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eastAsia="黑体"/>
          <w:lang w:eastAsia="zh-CN"/>
        </w:rPr>
        <w:sectPr>
          <w:headerReference r:id="rId3" w:type="default"/>
          <w:footerReference r:id="rId4" w:type="default"/>
          <w:endnotePr>
            <w:numFmt w:val="decimal"/>
          </w:endnotePr>
          <w:pgSz w:w="11906" w:h="16838"/>
          <w:pgMar w:top="1134" w:right="1418" w:bottom="1134" w:left="1418" w:header="567" w:footer="680" w:gutter="0"/>
          <w:pgNumType w:fmt="decimal" w:start="0"/>
          <w:cols w:space="720" w:num="1"/>
          <w:docGrid w:type="lines" w:linePitch="312" w:charSpace="0"/>
        </w:sectPr>
      </w:pPr>
      <w:bookmarkStart w:id="0" w:name="_Toc391392707"/>
      <w:r>
        <w:rPr>
          <w:rFonts w:hint="eastAsia" w:eastAsia="黑体"/>
          <w:lang w:eastAsia="zh-CN"/>
        </w:rPr>
        <w:drawing>
          <wp:inline distT="0" distB="0" distL="114300" distR="114300">
            <wp:extent cx="6123305" cy="8659495"/>
            <wp:effectExtent l="0" t="0" r="10795" b="8255"/>
            <wp:docPr id="3" name="图片 3" descr="SKM_2872104080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KM_28721040802580"/>
                    <pic:cNvPicPr>
                      <a:picLocks noChangeAspect="1"/>
                    </pic:cNvPicPr>
                  </pic:nvPicPr>
                  <pic:blipFill>
                    <a:blip r:embed="rId13"/>
                    <a:stretch>
                      <a:fillRect/>
                    </a:stretch>
                  </pic:blipFill>
                  <pic:spPr>
                    <a:xfrm>
                      <a:off x="0" y="0"/>
                      <a:ext cx="6123305" cy="8659495"/>
                    </a:xfrm>
                    <a:prstGeom prst="rect">
                      <a:avLst/>
                    </a:prstGeom>
                  </pic:spPr>
                </pic:pic>
              </a:graphicData>
            </a:graphic>
          </wp:inline>
        </w:drawing>
      </w:r>
    </w:p>
    <w:p>
      <w:pPr>
        <w:pStyle w:val="2"/>
        <w:rPr>
          <w:rFonts w:hint="eastAsia"/>
        </w:rPr>
      </w:pPr>
    </w:p>
    <w:p>
      <w:pPr>
        <w:spacing w:line="480" w:lineRule="auto"/>
        <w:jc w:val="both"/>
        <w:rPr>
          <w:rFonts w:hint="eastAsia" w:ascii="宋体" w:hAnsi="宋体" w:eastAsia="宋体" w:cs="宋体"/>
          <w:b/>
          <w:color w:val="auto"/>
          <w:sz w:val="52"/>
          <w:szCs w:val="52"/>
          <w:highlight w:val="none"/>
        </w:rPr>
      </w:pPr>
    </w:p>
    <w:p>
      <w:pPr>
        <w:spacing w:line="480" w:lineRule="auto"/>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目   录</w:t>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b/>
          <w:bCs/>
          <w:caps/>
          <w:color w:val="auto"/>
          <w:highlight w:val="none"/>
        </w:rPr>
        <w:fldChar w:fldCharType="begin"/>
      </w:r>
      <w:r>
        <w:rPr>
          <w:rFonts w:hint="eastAsia" w:ascii="宋体" w:hAnsi="宋体" w:eastAsia="宋体" w:cs="宋体"/>
          <w:b/>
          <w:bCs/>
          <w:caps/>
          <w:color w:val="auto"/>
          <w:highlight w:val="none"/>
        </w:rPr>
        <w:instrText xml:space="preserve"> TOC \o "1-4" \h \z \u </w:instrText>
      </w:r>
      <w:r>
        <w:rPr>
          <w:rFonts w:hint="eastAsia" w:ascii="宋体" w:hAnsi="宋体" w:eastAsia="宋体" w:cs="宋体"/>
          <w:b/>
          <w:bCs/>
          <w:caps/>
          <w:color w:val="auto"/>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"_Toc23379"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第一卷</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_Toc23379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"_Toc21966"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第一章  招标公告</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_Toc21966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"_Toc7485"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第二章  投标人须知</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_Toc7485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"_Toc28860" </w:instrText>
      </w:r>
      <w:r>
        <w:rPr>
          <w:rFonts w:hint="eastAsia" w:ascii="宋体" w:hAnsi="宋体" w:eastAsia="宋体" w:cs="宋体"/>
          <w:color w:val="auto"/>
          <w:highlight w:val="none"/>
        </w:rPr>
        <w:fldChar w:fldCharType="separate"/>
      </w:r>
      <w:r>
        <w:rPr>
          <w:rFonts w:hint="eastAsia" w:ascii="宋体" w:hAnsi="宋体" w:eastAsia="宋体" w:cs="宋体"/>
          <w:color w:val="auto"/>
          <w:szCs w:val="30"/>
          <w:highlight w:val="none"/>
        </w:rPr>
        <w:t>投标人须知前附表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_Toc28860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6</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"_Toc19846"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 总则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_Toc19846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"_Toc29506"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1.1 项目概况</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_Toc29506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"_Toc18421"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1.2 资金来源和落实情况</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_Toc18421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15</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"_Toc18844"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1.3 招标范围、计划工期和质量要求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_Toc18844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15</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"_Toc4377"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1.4 投标人资格要求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_Toc4377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15</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"_Toc12858"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1.5 费用承担</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_Toc12858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"_Toc4412"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1.6 保密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_Toc4412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"_Toc29042"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1.7 语言文字</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_Toc29042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"_Toc19403"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1.8 计量单位</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_Toc19403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"_Toc13253"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1.9 踏勘现场</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_Toc13253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"_Toc7928"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1.10 投标预备会</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_Toc7928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"_Toc7015"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1.11 分包</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_Toc7015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"_Toc13750"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1.12 偏离</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_Toc13750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"_Toc6884"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2 招标文件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_Toc6884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"_Toc26166"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2.1 招标文件的组成</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_Toc26166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"_Toc3612"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2.2 招标文件的澄清</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_Toc3612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"_Toc18821"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2.3 招标文件的修改</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_Toc18821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18</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"_Toc19436"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3 投标文件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_Toc19436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18</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"_Toc32007"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3.1 投标文件的组成</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_Toc32007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18</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"_Toc32308"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3.2 投标报价</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_Toc32308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"_Toc17633"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3.3 投标有效期</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_Toc17633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"_Toc15147"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3.4 投标保证金</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_Toc15147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20</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"_Toc16013"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3.7 投标文件的编制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_Toc16013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20</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"_Toc29204"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4 投标</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_Toc29204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20</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"_Toc3372"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4.1 投标文件的密封和标记</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_Toc3372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20</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"_Toc3790"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4.2 投标文件的递交</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_Toc3790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21</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"_Toc30037"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4.3 投标文件的修改与撤回</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_Toc30037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21</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"_Toc4838"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5 开标</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_Toc4838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21</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"_Toc19570"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5.1 开标时间和地点</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_Toc19570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21</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"_Toc6146"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5.2 开标程序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_Toc6146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21</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"_Toc32743"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6 评标</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_Toc32743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"_Toc3812"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6.1 评标委员会</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_Toc3812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"_Toc23196"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6.2 评标原则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_Toc23196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"_Toc26458"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6.3 评标</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_Toc26458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"_Toc9116"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7 合同授予</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_Toc9116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"_Toc28883"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7.1 定标方式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_Toc28883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"_Toc18151"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7.2 中标通知</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_Toc18151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"_Toc113"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7.3 履约担保</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_Toc113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"_Toc432"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7.4 签订合同</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_Toc432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"_Toc4301"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8 重新招标和不再招标</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_Toc4301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"_Toc5525"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8.1 重新招标</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_Toc5525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"_Toc28880"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8.2 不再招标</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_Toc28880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"_Toc25240"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9 纪律和监督</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_Toc25240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"_Toc580"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9.1 对</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的纪律要求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_Toc580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"_Toc1507"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9.2 对投标人的纪律要求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_Toc1507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"_Toc19986"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9.3 对评标委员会成员的纪律要求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_Toc19986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"_Toc19350"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9.4 对与评标活动有关的工作人员的纪律要求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_Toc19350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"_Toc9028"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9.5 投诉</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_Toc9028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"_Toc29754"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10 需要补充的其他内容</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_Toc29754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"_Toc24390"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10.1 词语定义</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_Toc24390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"_Toc4746"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10.2 招标控制价</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_Toc4746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"_Toc12536"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10.3“暗标”评审</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_Toc12536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"_Toc11433"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10.4 投标文件电子版</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_Toc11433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"_Toc30100"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10.5投标人代表出席开标会</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_Toc30100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"_Toc25611"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第三章 评标办法（</w:t>
      </w:r>
      <w:r>
        <w:rPr>
          <w:rFonts w:hint="eastAsia" w:ascii="宋体" w:hAnsi="宋体" w:eastAsia="宋体" w:cs="宋体"/>
          <w:color w:val="auto"/>
          <w:highlight w:val="none"/>
          <w:lang w:eastAsia="zh-CN"/>
        </w:rPr>
        <w:t>综合评分法</w:t>
      </w:r>
      <w:r>
        <w:rPr>
          <w:rFonts w:hint="eastAsia" w:ascii="宋体" w:hAnsi="宋体" w:eastAsia="宋体" w:cs="宋体"/>
          <w:color w:val="auto"/>
          <w:highlight w:val="none"/>
        </w:rPr>
        <w:t>）</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_Toc25611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26</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"_Toc1392"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评标办法（</w:t>
      </w:r>
      <w:r>
        <w:rPr>
          <w:rFonts w:hint="eastAsia" w:ascii="宋体" w:hAnsi="宋体" w:eastAsia="宋体" w:cs="宋体"/>
          <w:color w:val="auto"/>
          <w:szCs w:val="21"/>
          <w:highlight w:val="none"/>
          <w:lang w:eastAsia="zh-CN"/>
        </w:rPr>
        <w:t>综合评分法</w:t>
      </w:r>
      <w:r>
        <w:rPr>
          <w:rFonts w:hint="eastAsia" w:ascii="宋体" w:hAnsi="宋体" w:eastAsia="宋体" w:cs="宋体"/>
          <w:color w:val="auto"/>
          <w:szCs w:val="21"/>
          <w:highlight w:val="none"/>
        </w:rPr>
        <w:t>）正文部分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_Toc1392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"_Toc16787"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 评标方法</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_Toc16787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"_Toc14372"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1.1 总则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_Toc14372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"_Toc28598"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2 评审标准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_Toc28598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"_Toc25249"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2.1 初步评审标准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_Toc25249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"_Toc15013"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2.2 详细评审标准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_Toc15013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"_Toc26427"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3 评标程序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_Toc26427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"_Toc11974"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3.1 初步评审</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_Toc11974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"_Toc28334"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3.2 详细评审</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_Toc28334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"_Toc12299"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3.3 投标文件的澄清和补正</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_Toc12299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"_Toc23207"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3.4 评标结果</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_Toc23207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"_Toc30950"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第四章  合同条款及格式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_Toc30950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41</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"_Toc17165"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第五章  工程量清单（另册发放）</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_Toc17165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41</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"_Toc22626"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第六章  图纸（另册发放）</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_Toc22626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63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"_Toc27743"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第七章 技术标准和要求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_Toc27743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63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8"/>
        <w:tabs>
          <w:tab w:val="right" w:leader="dot" w:pos="9070"/>
          <w:tab w:val="clear" w:pos="9185"/>
        </w:tabs>
        <w:ind w:left="210" w:right="21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"_Toc11779"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第八章 投标文件格式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_Toc11779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64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4"/>
        <w:tabs>
          <w:tab w:val="right" w:leader="dot" w:pos="9070"/>
        </w:tabs>
        <w:rPr>
          <w:rFonts w:hint="eastAsia" w:ascii="宋体" w:hAnsi="宋体" w:eastAsia="宋体" w:cs="宋体"/>
          <w:color w:val="auto"/>
          <w:highlight w:val="none"/>
        </w:rPr>
      </w:pPr>
    </w:p>
    <w:p>
      <w:pPr>
        <w:pStyle w:val="28"/>
        <w:tabs>
          <w:tab w:val="left" w:pos="2911"/>
        </w:tabs>
        <w:spacing w:line="400" w:lineRule="exact"/>
        <w:ind w:left="210" w:right="210"/>
        <w:rPr>
          <w:rStyle w:val="51"/>
          <w:rFonts w:hint="eastAsia" w:ascii="宋体" w:hAnsi="宋体" w:eastAsia="宋体" w:cs="宋体"/>
          <w:b/>
          <w:bCs/>
          <w:caps/>
          <w:color w:val="auto"/>
          <w:highlight w:val="none"/>
          <w:lang w:eastAsia="zh-CN"/>
        </w:rPr>
        <w:sectPr>
          <w:endnotePr>
            <w:numFmt w:val="decimal"/>
          </w:endnotePr>
          <w:pgSz w:w="11906" w:h="16838"/>
          <w:pgMar w:top="1134" w:right="1418" w:bottom="1134" w:left="1418" w:header="567" w:footer="680" w:gutter="0"/>
          <w:pgNumType w:fmt="decimal" w:start="0"/>
          <w:cols w:space="720" w:num="1"/>
          <w:docGrid w:type="lines" w:linePitch="312" w:charSpace="0"/>
        </w:sectPr>
      </w:pPr>
      <w:r>
        <w:rPr>
          <w:rFonts w:hint="eastAsia" w:ascii="宋体" w:hAnsi="宋体" w:eastAsia="宋体" w:cs="宋体"/>
          <w:bCs/>
          <w:caps/>
          <w:color w:val="auto"/>
          <w:highlight w:val="none"/>
        </w:rPr>
        <w:fldChar w:fldCharType="end"/>
      </w:r>
    </w:p>
    <w:bookmarkEnd w:id="0"/>
    <w:p>
      <w:pPr>
        <w:pStyle w:val="3"/>
        <w:spacing w:line="460" w:lineRule="exact"/>
        <w:jc w:val="center"/>
        <w:rPr>
          <w:rFonts w:hint="eastAsia" w:ascii="宋体" w:hAnsi="宋体" w:eastAsia="宋体" w:cs="宋体"/>
          <w:color w:val="auto"/>
          <w:highlight w:val="none"/>
        </w:rPr>
      </w:pPr>
      <w:bookmarkStart w:id="1" w:name="_Toc23379"/>
      <w:bookmarkStart w:id="2" w:name="_Toc391392697"/>
      <w:r>
        <w:rPr>
          <w:rFonts w:hint="eastAsia" w:ascii="宋体" w:hAnsi="宋体" w:eastAsia="宋体" w:cs="宋体"/>
          <w:color w:val="auto"/>
          <w:highlight w:val="none"/>
        </w:rPr>
        <w:t>第一卷</w:t>
      </w:r>
      <w:bookmarkEnd w:id="1"/>
      <w:bookmarkEnd w:id="2"/>
    </w:p>
    <w:p>
      <w:pPr>
        <w:pStyle w:val="3"/>
        <w:spacing w:line="460" w:lineRule="exact"/>
        <w:jc w:val="center"/>
        <w:rPr>
          <w:rFonts w:hint="eastAsia" w:ascii="宋体" w:hAnsi="宋体" w:eastAsia="宋体" w:cs="宋体"/>
          <w:color w:val="auto"/>
          <w:sz w:val="21"/>
          <w:szCs w:val="21"/>
          <w:highlight w:val="none"/>
        </w:rPr>
      </w:pPr>
      <w:bookmarkStart w:id="3" w:name="_Toc21966"/>
      <w:bookmarkStart w:id="4" w:name="_Toc391392698"/>
      <w:r>
        <w:rPr>
          <w:rFonts w:hint="eastAsia" w:ascii="宋体" w:hAnsi="宋体" w:eastAsia="宋体" w:cs="宋体"/>
          <w:color w:val="auto"/>
          <w:sz w:val="21"/>
          <w:szCs w:val="21"/>
          <w:highlight w:val="none"/>
        </w:rPr>
        <w:t>第一章  招标公告</w:t>
      </w:r>
      <w:bookmarkEnd w:id="3"/>
      <w:bookmarkEnd w:id="4"/>
    </w:p>
    <w:p>
      <w:pPr>
        <w:spacing w:line="460" w:lineRule="exact"/>
        <w:jc w:val="center"/>
        <w:rPr>
          <w:rFonts w:hint="eastAsia" w:ascii="宋体" w:hAnsi="宋体" w:eastAsia="宋体" w:cs="宋体"/>
          <w:b/>
          <w:color w:val="auto"/>
          <w:sz w:val="21"/>
          <w:szCs w:val="21"/>
          <w:highlight w:val="none"/>
        </w:rPr>
      </w:pPr>
      <w:bookmarkStart w:id="5" w:name="_Toc7485"/>
      <w:bookmarkStart w:id="6" w:name="_Toc397000841"/>
      <w:bookmarkStart w:id="7" w:name="_Toc391392710"/>
      <w:bookmarkStart w:id="8" w:name="_Toc184635071"/>
      <w:r>
        <w:rPr>
          <w:rFonts w:hint="eastAsia" w:ascii="宋体" w:hAnsi="宋体" w:eastAsia="宋体" w:cs="宋体"/>
          <w:b/>
          <w:color w:val="auto"/>
          <w:sz w:val="21"/>
          <w:szCs w:val="21"/>
          <w:highlight w:val="none"/>
        </w:rPr>
        <w:t>广西桂宝工程监理咨询有限公司</w:t>
      </w:r>
      <w:r>
        <w:rPr>
          <w:rFonts w:hint="eastAsia" w:ascii="宋体" w:hAnsi="宋体" w:eastAsia="宋体" w:cs="宋体"/>
          <w:b/>
          <w:color w:val="auto"/>
          <w:sz w:val="21"/>
          <w:szCs w:val="21"/>
          <w:highlight w:val="none"/>
          <w:lang w:eastAsia="zh-CN"/>
        </w:rPr>
        <w:t>金城江区2020年灾毁农田修复项目</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eastAsia="zh-CN"/>
        </w:rPr>
        <w:t>采购</w:t>
      </w:r>
      <w:r>
        <w:rPr>
          <w:rFonts w:hint="eastAsia" w:ascii="宋体" w:hAnsi="宋体" w:eastAsia="宋体" w:cs="宋体"/>
          <w:b/>
          <w:color w:val="auto"/>
          <w:sz w:val="21"/>
          <w:szCs w:val="21"/>
          <w:highlight w:val="none"/>
        </w:rPr>
        <w:t>项目编号：</w:t>
      </w:r>
      <w:r>
        <w:rPr>
          <w:rFonts w:hint="eastAsia" w:ascii="宋体" w:hAnsi="宋体" w:eastAsia="宋体" w:cs="宋体"/>
          <w:b/>
          <w:color w:val="auto"/>
          <w:sz w:val="21"/>
          <w:szCs w:val="21"/>
          <w:highlight w:val="none"/>
          <w:lang w:eastAsia="zh-CN"/>
        </w:rPr>
        <w:t>HCZC2021-G2-020051-GXGB</w:t>
      </w:r>
      <w:r>
        <w:rPr>
          <w:rFonts w:hint="eastAsia" w:ascii="宋体" w:hAnsi="宋体" w:eastAsia="宋体" w:cs="宋体"/>
          <w:b/>
          <w:color w:val="auto"/>
          <w:sz w:val="21"/>
          <w:szCs w:val="21"/>
          <w:highlight w:val="none"/>
        </w:rPr>
        <w:t>）公开招标公告</w:t>
      </w:r>
    </w:p>
    <w:p>
      <w:pPr>
        <w:pStyle w:val="6"/>
        <w:rPr>
          <w:rFonts w:hint="eastAsia" w:ascii="宋体" w:hAnsi="宋体" w:eastAsia="宋体" w:cs="宋体"/>
          <w:b/>
          <w:color w:val="auto"/>
          <w:sz w:val="21"/>
          <w:szCs w:val="21"/>
          <w:highlight w:val="none"/>
        </w:rPr>
      </w:pP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项目概况</w:t>
            </w:r>
          </w:p>
          <w:p>
            <w:pPr>
              <w:ind w:firstLine="440" w:firstLineChars="200"/>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w w:val="105"/>
                <w:sz w:val="21"/>
                <w:szCs w:val="21"/>
                <w:highlight w:val="none"/>
                <w:u w:val="single"/>
                <w:lang w:eastAsia="zh-CN"/>
              </w:rPr>
              <w:t>金城江区2020年灾毁农田修复项目</w:t>
            </w:r>
            <w:r>
              <w:rPr>
                <w:rFonts w:hint="eastAsia" w:asciiTheme="minorEastAsia" w:hAnsiTheme="minorEastAsia" w:eastAsiaTheme="minorEastAsia" w:cstheme="minorEastAsia"/>
                <w:i w:val="0"/>
                <w:iCs w:val="0"/>
                <w:color w:val="auto"/>
                <w:w w:val="105"/>
                <w:sz w:val="21"/>
                <w:szCs w:val="21"/>
                <w:highlight w:val="none"/>
                <w:u w:val="single"/>
              </w:rPr>
              <w:t xml:space="preserve"> </w:t>
            </w:r>
            <w:r>
              <w:rPr>
                <w:rFonts w:hint="eastAsia" w:asciiTheme="minorEastAsia" w:hAnsiTheme="minorEastAsia" w:eastAsiaTheme="minorEastAsia" w:cstheme="minorEastAsia"/>
                <w:i w:val="0"/>
                <w:iCs w:val="0"/>
                <w:color w:val="auto"/>
                <w:w w:val="105"/>
                <w:sz w:val="21"/>
                <w:szCs w:val="21"/>
                <w:highlight w:val="none"/>
              </w:rPr>
              <w:t>招标项目的潜在投标人应</w:t>
            </w:r>
            <w:r>
              <w:rPr>
                <w:rFonts w:hint="eastAsia" w:asciiTheme="minorEastAsia" w:hAnsiTheme="minorEastAsia" w:eastAsiaTheme="minorEastAsia" w:cstheme="minorEastAsia"/>
                <w:i w:val="0"/>
                <w:iCs w:val="0"/>
                <w:color w:val="auto"/>
                <w:w w:val="105"/>
                <w:sz w:val="21"/>
                <w:szCs w:val="21"/>
                <w:highlight w:val="none"/>
                <w:u w:val="single"/>
              </w:rPr>
              <w:t>同时在河池市公共资源交易中心网（http://www.hcjyxxw.com）、政采云平台（http://www.zcygov.cn/）</w:t>
            </w:r>
            <w:r>
              <w:rPr>
                <w:rFonts w:hint="eastAsia" w:asciiTheme="minorEastAsia" w:hAnsiTheme="minorEastAsia" w:eastAsiaTheme="minorEastAsia" w:cstheme="minorEastAsia"/>
                <w:i w:val="0"/>
                <w:iCs w:val="0"/>
                <w:color w:val="auto"/>
                <w:w w:val="105"/>
                <w:sz w:val="21"/>
                <w:szCs w:val="21"/>
                <w:highlight w:val="none"/>
              </w:rPr>
              <w:t>获取招标文件，并于</w:t>
            </w:r>
            <w:r>
              <w:rPr>
                <w:rFonts w:hint="eastAsia" w:asciiTheme="minorEastAsia" w:hAnsiTheme="minorEastAsia" w:eastAsiaTheme="minorEastAsia" w:cstheme="minorEastAsia"/>
                <w:i w:val="0"/>
                <w:iCs w:val="0"/>
                <w:color w:val="auto"/>
                <w:w w:val="105"/>
                <w:sz w:val="21"/>
                <w:szCs w:val="21"/>
                <w:highlight w:val="none"/>
                <w:u w:val="single"/>
                <w:lang w:val="en-US" w:eastAsia="zh-CN"/>
              </w:rPr>
              <w:t>2021</w:t>
            </w:r>
            <w:r>
              <w:rPr>
                <w:rFonts w:hint="eastAsia" w:asciiTheme="minorEastAsia" w:hAnsiTheme="minorEastAsia" w:eastAsiaTheme="minorEastAsia" w:cstheme="minorEastAsia"/>
                <w:i w:val="0"/>
                <w:iCs w:val="0"/>
                <w:color w:val="auto"/>
                <w:w w:val="105"/>
                <w:sz w:val="21"/>
                <w:szCs w:val="21"/>
                <w:highlight w:val="none"/>
                <w:u w:val="single"/>
              </w:rPr>
              <w:t>年</w:t>
            </w:r>
            <w:r>
              <w:rPr>
                <w:rFonts w:hint="eastAsia" w:asciiTheme="minorEastAsia" w:hAnsiTheme="minorEastAsia" w:eastAsiaTheme="minorEastAsia" w:cstheme="minorEastAsia"/>
                <w:i w:val="0"/>
                <w:iCs w:val="0"/>
                <w:color w:val="auto"/>
                <w:w w:val="105"/>
                <w:sz w:val="21"/>
                <w:szCs w:val="21"/>
                <w:highlight w:val="none"/>
                <w:u w:val="single"/>
                <w:lang w:val="en-US" w:eastAsia="zh-CN"/>
              </w:rPr>
              <w:t>4</w:t>
            </w:r>
            <w:r>
              <w:rPr>
                <w:rFonts w:hint="eastAsia" w:asciiTheme="minorEastAsia" w:hAnsiTheme="minorEastAsia" w:eastAsiaTheme="minorEastAsia" w:cstheme="minorEastAsia"/>
                <w:i w:val="0"/>
                <w:iCs w:val="0"/>
                <w:color w:val="auto"/>
                <w:w w:val="105"/>
                <w:sz w:val="21"/>
                <w:szCs w:val="21"/>
                <w:highlight w:val="none"/>
                <w:u w:val="single"/>
              </w:rPr>
              <w:t>月</w:t>
            </w:r>
            <w:r>
              <w:rPr>
                <w:rFonts w:hint="eastAsia" w:asciiTheme="minorEastAsia" w:hAnsiTheme="minorEastAsia" w:eastAsiaTheme="minorEastAsia" w:cstheme="minorEastAsia"/>
                <w:i w:val="0"/>
                <w:iCs w:val="0"/>
                <w:color w:val="auto"/>
                <w:w w:val="105"/>
                <w:sz w:val="21"/>
                <w:szCs w:val="21"/>
                <w:highlight w:val="none"/>
                <w:u w:val="single"/>
                <w:lang w:val="en-US" w:eastAsia="zh-CN"/>
              </w:rPr>
              <w:t>29</w:t>
            </w:r>
            <w:r>
              <w:rPr>
                <w:rFonts w:hint="eastAsia" w:asciiTheme="minorEastAsia" w:hAnsiTheme="minorEastAsia" w:eastAsiaTheme="minorEastAsia" w:cstheme="minorEastAsia"/>
                <w:i w:val="0"/>
                <w:iCs w:val="0"/>
                <w:color w:val="auto"/>
                <w:w w:val="105"/>
                <w:sz w:val="21"/>
                <w:szCs w:val="21"/>
                <w:highlight w:val="none"/>
                <w:u w:val="single"/>
              </w:rPr>
              <w:t>日</w:t>
            </w:r>
            <w:r>
              <w:rPr>
                <w:rFonts w:hint="eastAsia" w:asciiTheme="minorEastAsia" w:hAnsiTheme="minorEastAsia" w:eastAsiaTheme="minorEastAsia" w:cstheme="minorEastAsia"/>
                <w:i w:val="0"/>
                <w:iCs w:val="0"/>
                <w:color w:val="auto"/>
                <w:w w:val="105"/>
                <w:sz w:val="21"/>
                <w:szCs w:val="21"/>
                <w:highlight w:val="none"/>
                <w:u w:val="single"/>
                <w:lang w:val="en-US" w:eastAsia="zh-CN"/>
              </w:rPr>
              <w:t xml:space="preserve">09 </w:t>
            </w:r>
            <w:r>
              <w:rPr>
                <w:rFonts w:hint="eastAsia" w:asciiTheme="minorEastAsia" w:hAnsiTheme="minorEastAsia" w:eastAsiaTheme="minorEastAsia" w:cstheme="minorEastAsia"/>
                <w:i w:val="0"/>
                <w:iCs w:val="0"/>
                <w:color w:val="auto"/>
                <w:w w:val="105"/>
                <w:sz w:val="21"/>
                <w:szCs w:val="21"/>
                <w:highlight w:val="none"/>
                <w:u w:val="single"/>
              </w:rPr>
              <w:t>时</w:t>
            </w:r>
            <w:r>
              <w:rPr>
                <w:rFonts w:hint="eastAsia" w:asciiTheme="minorEastAsia" w:hAnsiTheme="minorEastAsia" w:eastAsiaTheme="minorEastAsia" w:cstheme="minorEastAsia"/>
                <w:i w:val="0"/>
                <w:iCs w:val="0"/>
                <w:color w:val="auto"/>
                <w:w w:val="105"/>
                <w:sz w:val="21"/>
                <w:szCs w:val="21"/>
                <w:highlight w:val="none"/>
                <w:u w:val="single"/>
                <w:lang w:val="en-US" w:eastAsia="zh-CN"/>
              </w:rPr>
              <w:t xml:space="preserve">00 </w:t>
            </w:r>
            <w:r>
              <w:rPr>
                <w:rFonts w:hint="eastAsia" w:asciiTheme="minorEastAsia" w:hAnsiTheme="minorEastAsia" w:eastAsiaTheme="minorEastAsia" w:cstheme="minorEastAsia"/>
                <w:i w:val="0"/>
                <w:iCs w:val="0"/>
                <w:color w:val="auto"/>
                <w:w w:val="105"/>
                <w:sz w:val="21"/>
                <w:szCs w:val="21"/>
                <w:highlight w:val="none"/>
                <w:u w:val="single"/>
              </w:rPr>
              <w:t>分</w:t>
            </w:r>
            <w:r>
              <w:rPr>
                <w:rFonts w:hint="eastAsia" w:asciiTheme="minorEastAsia" w:hAnsiTheme="minorEastAsia" w:eastAsiaTheme="minorEastAsia" w:cstheme="minorEastAsia"/>
                <w:i w:val="0"/>
                <w:iCs w:val="0"/>
                <w:color w:val="auto"/>
                <w:w w:val="105"/>
                <w:sz w:val="21"/>
                <w:szCs w:val="21"/>
                <w:highlight w:val="none"/>
              </w:rPr>
              <w:t>（北京时间）前递交投标文件。</w:t>
            </w:r>
          </w:p>
          <w:p>
            <w:pPr>
              <w:rPr>
                <w:rFonts w:hint="eastAsia" w:ascii="宋体" w:hAnsi="宋体" w:eastAsia="宋体" w:cs="宋体"/>
                <w:b/>
                <w:color w:val="auto"/>
                <w:sz w:val="21"/>
                <w:szCs w:val="21"/>
                <w:highlight w:val="none"/>
                <w:vertAlign w:val="baseline"/>
              </w:rPr>
            </w:pPr>
          </w:p>
        </w:tc>
      </w:tr>
    </w:tbl>
    <w:p>
      <w:pPr>
        <w:pStyle w:val="4"/>
        <w:pageBreakBefore w:val="0"/>
        <w:numPr>
          <w:ilvl w:val="0"/>
          <w:numId w:val="0"/>
        </w:numPr>
        <w:kinsoku/>
        <w:wordWrap/>
        <w:overflowPunct/>
        <w:topLinePunct w:val="0"/>
        <w:autoSpaceDE/>
        <w:autoSpaceDN/>
        <w:bidi w:val="0"/>
        <w:adjustRightInd/>
        <w:snapToGrid/>
        <w:spacing w:before="0" w:after="0" w:line="340" w:lineRule="exact"/>
        <w:textAlignment w:val="auto"/>
        <w:rPr>
          <w:rFonts w:hint="eastAsia" w:asciiTheme="minorEastAsia" w:hAnsiTheme="minorEastAsia" w:eastAsiaTheme="minorEastAsia" w:cstheme="minorEastAsia"/>
          <w:b/>
          <w:bCs w:val="0"/>
          <w:i w:val="0"/>
          <w:iCs w:val="0"/>
          <w:color w:val="auto"/>
          <w:sz w:val="21"/>
          <w:szCs w:val="21"/>
          <w:highlight w:val="none"/>
          <w:lang w:eastAsia="zh-CN"/>
        </w:rPr>
      </w:pPr>
      <w:bookmarkStart w:id="9" w:name="_Toc35393790"/>
      <w:bookmarkStart w:id="10" w:name="_Toc35393621"/>
      <w:bookmarkStart w:id="11" w:name="_Toc28359079"/>
      <w:bookmarkStart w:id="12" w:name="_Toc28359002"/>
      <w:bookmarkStart w:id="13" w:name="_Hlk24379207"/>
    </w:p>
    <w:p>
      <w:pPr>
        <w:pStyle w:val="4"/>
        <w:pageBreakBefore w:val="0"/>
        <w:numPr>
          <w:ilvl w:val="0"/>
          <w:numId w:val="0"/>
        </w:numPr>
        <w:kinsoku/>
        <w:wordWrap/>
        <w:overflowPunct/>
        <w:topLinePunct w:val="0"/>
        <w:autoSpaceDE/>
        <w:autoSpaceDN/>
        <w:bidi w:val="0"/>
        <w:adjustRightInd/>
        <w:snapToGrid/>
        <w:spacing w:before="0" w:after="0" w:line="400" w:lineRule="exact"/>
        <w:textAlignment w:val="auto"/>
        <w:rPr>
          <w:rFonts w:hint="eastAsia" w:asciiTheme="minorEastAsia" w:hAnsiTheme="minorEastAsia" w:eastAsiaTheme="minorEastAsia" w:cstheme="minorEastAsia"/>
          <w:b/>
          <w:bCs w:val="0"/>
          <w:i w:val="0"/>
          <w:iCs w:val="0"/>
          <w:color w:val="auto"/>
          <w:sz w:val="21"/>
          <w:szCs w:val="21"/>
          <w:highlight w:val="none"/>
        </w:rPr>
      </w:pPr>
      <w:r>
        <w:rPr>
          <w:rFonts w:hint="eastAsia" w:asciiTheme="minorEastAsia" w:hAnsiTheme="minorEastAsia" w:eastAsiaTheme="minorEastAsia" w:cstheme="minorEastAsia"/>
          <w:b/>
          <w:bCs w:val="0"/>
          <w:i w:val="0"/>
          <w:iCs w:val="0"/>
          <w:color w:val="auto"/>
          <w:sz w:val="21"/>
          <w:szCs w:val="21"/>
          <w:highlight w:val="none"/>
          <w:lang w:eastAsia="zh-CN"/>
        </w:rPr>
        <w:t>一、</w:t>
      </w:r>
      <w:r>
        <w:rPr>
          <w:rFonts w:hint="eastAsia" w:asciiTheme="minorEastAsia" w:hAnsiTheme="minorEastAsia" w:eastAsiaTheme="minorEastAsia" w:cstheme="minorEastAsia"/>
          <w:b/>
          <w:bCs w:val="0"/>
          <w:i w:val="0"/>
          <w:iCs w:val="0"/>
          <w:color w:val="auto"/>
          <w:sz w:val="21"/>
          <w:szCs w:val="21"/>
          <w:highlight w:val="none"/>
        </w:rPr>
        <w:t>项目基本情况</w:t>
      </w:r>
      <w:bookmarkEnd w:id="9"/>
      <w:bookmarkEnd w:id="10"/>
      <w:bookmarkEnd w:id="11"/>
      <w:bookmarkEnd w:id="12"/>
    </w:p>
    <w:p>
      <w:pPr>
        <w:pStyle w:val="4"/>
        <w:pageBreakBefore w:val="0"/>
        <w:numPr>
          <w:ilvl w:val="0"/>
          <w:numId w:val="0"/>
        </w:numPr>
        <w:kinsoku/>
        <w:wordWrap/>
        <w:overflowPunct/>
        <w:topLinePunct w:val="0"/>
        <w:autoSpaceDE/>
        <w:autoSpaceDN/>
        <w:bidi w:val="0"/>
        <w:adjustRightInd/>
        <w:snapToGrid/>
        <w:spacing w:before="0" w:after="0" w:line="400" w:lineRule="exact"/>
        <w:ind w:firstLine="422" w:firstLineChars="200"/>
        <w:textAlignment w:val="auto"/>
        <w:rPr>
          <w:rFonts w:hint="default" w:asciiTheme="minorEastAsia" w:hAnsiTheme="minorEastAsia" w:eastAsiaTheme="minorEastAsia" w:cstheme="minorEastAsia"/>
          <w:i w:val="0"/>
          <w:iCs w:val="0"/>
          <w:color w:val="auto"/>
          <w:sz w:val="21"/>
          <w:szCs w:val="21"/>
          <w:highlight w:val="none"/>
          <w:lang w:val="en-US" w:eastAsia="zh-CN"/>
        </w:rPr>
      </w:pPr>
      <w:r>
        <w:rPr>
          <w:rFonts w:hint="eastAsia" w:asciiTheme="minorEastAsia" w:hAnsiTheme="minorEastAsia" w:eastAsiaTheme="minorEastAsia" w:cstheme="minorEastAsia"/>
          <w:b/>
          <w:bCs/>
          <w:i w:val="0"/>
          <w:iCs w:val="0"/>
          <w:color w:val="auto"/>
          <w:sz w:val="21"/>
          <w:szCs w:val="21"/>
          <w:highlight w:val="none"/>
        </w:rPr>
        <w:t>项目编号</w:t>
      </w:r>
      <w:r>
        <w:rPr>
          <w:rFonts w:hint="eastAsia" w:asciiTheme="minorEastAsia" w:hAnsiTheme="minorEastAsia" w:eastAsiaTheme="minorEastAsia" w:cstheme="minorEastAsia"/>
          <w:i w:val="0"/>
          <w:iCs w:val="0"/>
          <w:color w:val="auto"/>
          <w:sz w:val="21"/>
          <w:szCs w:val="21"/>
          <w:highlight w:val="none"/>
        </w:rPr>
        <w:t>：</w:t>
      </w:r>
      <w:r>
        <w:rPr>
          <w:rFonts w:hint="eastAsia" w:asciiTheme="minorEastAsia" w:hAnsiTheme="minorEastAsia" w:eastAsiaTheme="minorEastAsia" w:cstheme="minorEastAsia"/>
          <w:i w:val="0"/>
          <w:iCs w:val="0"/>
          <w:color w:val="auto"/>
          <w:sz w:val="21"/>
          <w:szCs w:val="21"/>
          <w:highlight w:val="none"/>
          <w:lang w:eastAsia="zh-CN"/>
        </w:rPr>
        <w:t>HCZC2021-G2-020051-GXGB</w:t>
      </w:r>
      <w:r>
        <w:rPr>
          <w:rFonts w:hint="eastAsia" w:asciiTheme="minorEastAsia" w:hAnsiTheme="minorEastAsia" w:eastAsiaTheme="minorEastAsia" w:cstheme="minorEastAsia"/>
          <w:i w:val="0"/>
          <w:iCs w:val="0"/>
          <w:color w:val="auto"/>
          <w:sz w:val="21"/>
          <w:szCs w:val="21"/>
          <w:highlight w:val="none"/>
          <w:lang w:val="en-US" w:eastAsia="zh-CN"/>
        </w:rPr>
        <w:t xml:space="preserve">                     </w:t>
      </w:r>
    </w:p>
    <w:p>
      <w:pPr>
        <w:pStyle w:val="4"/>
        <w:pageBreakBefore w:val="0"/>
        <w:numPr>
          <w:ilvl w:val="0"/>
          <w:numId w:val="0"/>
        </w:numPr>
        <w:kinsoku/>
        <w:wordWrap/>
        <w:overflowPunct/>
        <w:topLinePunct w:val="0"/>
        <w:autoSpaceDE/>
        <w:autoSpaceDN/>
        <w:bidi w:val="0"/>
        <w:adjustRightInd/>
        <w:snapToGrid/>
        <w:spacing w:before="0" w:after="0" w:line="400" w:lineRule="exact"/>
        <w:ind w:firstLine="422" w:firstLineChars="200"/>
        <w:textAlignment w:val="auto"/>
        <w:rPr>
          <w:rFonts w:hint="eastAsia" w:asciiTheme="minorEastAsia" w:hAnsiTheme="minorEastAsia" w:eastAsiaTheme="minorEastAsia" w:cstheme="minorEastAsia"/>
          <w:b/>
          <w:bCs/>
          <w:i w:val="0"/>
          <w:iCs w:val="0"/>
          <w:color w:val="auto"/>
          <w:sz w:val="21"/>
          <w:szCs w:val="21"/>
          <w:highlight w:val="none"/>
        </w:rPr>
      </w:pPr>
      <w:r>
        <w:rPr>
          <w:rFonts w:hint="eastAsia" w:asciiTheme="minorEastAsia" w:hAnsiTheme="minorEastAsia" w:eastAsiaTheme="minorEastAsia" w:cstheme="minorEastAsia"/>
          <w:b/>
          <w:bCs/>
          <w:i w:val="0"/>
          <w:iCs w:val="0"/>
          <w:color w:val="auto"/>
          <w:sz w:val="21"/>
          <w:szCs w:val="21"/>
          <w:highlight w:val="none"/>
        </w:rPr>
        <w:t>项目名称：</w:t>
      </w:r>
      <w:r>
        <w:rPr>
          <w:rFonts w:hint="eastAsia" w:asciiTheme="minorEastAsia" w:hAnsiTheme="minorEastAsia" w:eastAsiaTheme="minorEastAsia" w:cstheme="minorEastAsia"/>
          <w:b/>
          <w:bCs/>
          <w:i w:val="0"/>
          <w:iCs w:val="0"/>
          <w:color w:val="auto"/>
          <w:sz w:val="21"/>
          <w:szCs w:val="21"/>
          <w:highlight w:val="none"/>
          <w:lang w:eastAsia="zh-CN"/>
        </w:rPr>
        <w:t>金城江区2020年灾毁农田修复项目，</w:t>
      </w:r>
      <w:r>
        <w:rPr>
          <w:rFonts w:hint="eastAsia" w:asciiTheme="minorEastAsia" w:hAnsiTheme="minorEastAsia" w:eastAsiaTheme="minorEastAsia" w:cstheme="minorEastAsia"/>
          <w:b/>
          <w:bCs/>
          <w:i w:val="0"/>
          <w:iCs w:val="0"/>
          <w:color w:val="auto"/>
          <w:sz w:val="21"/>
          <w:szCs w:val="21"/>
          <w:highlight w:val="none"/>
        </w:rPr>
        <w:t>其中：</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一标段：金城江区拔贡镇坡降社区（主渠道等）灾毁农田修复项目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二标段：金城江区拔贡镇朝平村、贡维村、拉廖村灾毁农田修复项目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三标段：金城江区拔贡镇拉电村、大莫村灾毁农田修复项目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i w:val="0"/>
          <w:iCs w:val="0"/>
          <w:color w:val="auto"/>
          <w:sz w:val="21"/>
          <w:szCs w:val="21"/>
          <w:highlight w:val="none"/>
          <w:lang w:eastAsia="zh-CN"/>
        </w:rPr>
      </w:pPr>
      <w:r>
        <w:rPr>
          <w:rFonts w:hint="eastAsia" w:asciiTheme="minorEastAsia" w:hAnsiTheme="minorEastAsia" w:eastAsiaTheme="minorEastAsia" w:cstheme="minorEastAsia"/>
          <w:i w:val="0"/>
          <w:iCs w:val="0"/>
          <w:color w:val="auto"/>
          <w:sz w:val="21"/>
          <w:szCs w:val="21"/>
          <w:highlight w:val="none"/>
          <w:lang w:eastAsia="zh-CN"/>
        </w:rPr>
        <w:t>四标段：金城江区拔贡镇北香村灾毁农田修复项目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i w:val="0"/>
          <w:iCs w:val="0"/>
          <w:color w:val="auto"/>
          <w:sz w:val="21"/>
          <w:szCs w:val="21"/>
          <w:highlight w:val="none"/>
          <w:lang w:eastAsia="zh-CN"/>
        </w:rPr>
      </w:pPr>
      <w:r>
        <w:rPr>
          <w:rFonts w:hint="eastAsia" w:asciiTheme="minorEastAsia" w:hAnsiTheme="minorEastAsia" w:eastAsiaTheme="minorEastAsia" w:cstheme="minorEastAsia"/>
          <w:i w:val="0"/>
          <w:iCs w:val="0"/>
          <w:color w:val="auto"/>
          <w:sz w:val="21"/>
          <w:szCs w:val="21"/>
          <w:highlight w:val="none"/>
          <w:lang w:eastAsia="zh-CN"/>
        </w:rPr>
        <w:t>五标段：金城江区河池镇枫木村、大杨村、公华村灾毁农田修复项目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i w:val="0"/>
          <w:iCs w:val="0"/>
          <w:color w:val="auto"/>
          <w:sz w:val="21"/>
          <w:szCs w:val="21"/>
          <w:highlight w:val="none"/>
          <w:lang w:eastAsia="zh-CN"/>
        </w:rPr>
      </w:pPr>
      <w:r>
        <w:rPr>
          <w:rFonts w:hint="eastAsia" w:asciiTheme="minorEastAsia" w:hAnsiTheme="minorEastAsia" w:eastAsiaTheme="minorEastAsia" w:cstheme="minorEastAsia"/>
          <w:i w:val="0"/>
          <w:iCs w:val="0"/>
          <w:color w:val="auto"/>
          <w:sz w:val="21"/>
          <w:szCs w:val="21"/>
          <w:highlight w:val="none"/>
          <w:lang w:eastAsia="zh-CN"/>
        </w:rPr>
        <w:t>六标段：金城江区河池镇河池社区、拉显村、红沙村，六甲镇灾毁农田修复项目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i w:val="0"/>
          <w:iCs w:val="0"/>
          <w:color w:val="auto"/>
          <w:sz w:val="21"/>
          <w:szCs w:val="21"/>
          <w:highlight w:val="none"/>
          <w:lang w:eastAsia="zh-CN"/>
        </w:rPr>
      </w:pPr>
      <w:r>
        <w:rPr>
          <w:rFonts w:hint="eastAsia" w:asciiTheme="minorEastAsia" w:hAnsiTheme="minorEastAsia" w:eastAsiaTheme="minorEastAsia" w:cstheme="minorEastAsia"/>
          <w:i w:val="0"/>
          <w:iCs w:val="0"/>
          <w:color w:val="auto"/>
          <w:sz w:val="21"/>
          <w:szCs w:val="21"/>
          <w:highlight w:val="none"/>
          <w:lang w:eastAsia="zh-CN"/>
        </w:rPr>
        <w:t>七标段：金城江区五圩镇五圩社区、拔旺村、龙马村灾毁农田修复项目</w:t>
      </w:r>
    </w:p>
    <w:p>
      <w:pPr>
        <w:pageBreakBefore w:val="0"/>
        <w:kinsoku/>
        <w:wordWrap/>
        <w:overflowPunct/>
        <w:topLinePunct w:val="0"/>
        <w:autoSpaceDE/>
        <w:autoSpaceDN/>
        <w:bidi w:val="0"/>
        <w:adjustRightInd/>
        <w:snapToGrid/>
        <w:spacing w:line="400" w:lineRule="exact"/>
        <w:ind w:left="1470" w:leftChars="300" w:hanging="840" w:hangingChars="400"/>
        <w:textAlignment w:val="auto"/>
        <w:rPr>
          <w:rFonts w:hint="eastAsia" w:asciiTheme="minorEastAsia" w:hAnsiTheme="minorEastAsia" w:eastAsiaTheme="minorEastAsia" w:cstheme="minorEastAsia"/>
          <w:i w:val="0"/>
          <w:iCs w:val="0"/>
          <w:color w:val="auto"/>
          <w:sz w:val="21"/>
          <w:szCs w:val="21"/>
          <w:highlight w:val="none"/>
          <w:lang w:eastAsia="zh-CN"/>
        </w:rPr>
      </w:pPr>
      <w:r>
        <w:rPr>
          <w:rFonts w:hint="eastAsia" w:asciiTheme="minorEastAsia" w:hAnsiTheme="minorEastAsia" w:eastAsiaTheme="minorEastAsia" w:cstheme="minorEastAsia"/>
          <w:i w:val="0"/>
          <w:iCs w:val="0"/>
          <w:color w:val="auto"/>
          <w:sz w:val="21"/>
          <w:szCs w:val="21"/>
          <w:highlight w:val="none"/>
          <w:lang w:eastAsia="zh-CN"/>
        </w:rPr>
        <w:t>八标段：金城江区五圩镇塘州村、平桥村、塘降村灾毁农田修复项目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i w:val="0"/>
          <w:iCs w:val="0"/>
          <w:color w:val="auto"/>
          <w:sz w:val="21"/>
          <w:szCs w:val="21"/>
          <w:highlight w:val="none"/>
          <w:lang w:eastAsia="zh-CN"/>
        </w:rPr>
      </w:pPr>
      <w:r>
        <w:rPr>
          <w:rFonts w:hint="eastAsia" w:asciiTheme="minorEastAsia" w:hAnsiTheme="minorEastAsia" w:eastAsiaTheme="minorEastAsia" w:cstheme="minorEastAsia"/>
          <w:i w:val="0"/>
          <w:iCs w:val="0"/>
          <w:color w:val="auto"/>
          <w:sz w:val="21"/>
          <w:szCs w:val="21"/>
          <w:highlight w:val="none"/>
          <w:lang w:eastAsia="zh-CN"/>
        </w:rPr>
        <w:t>九标段：金城江区侧岭乡、五圩镇龙马村、三境村灾毁农田修复项目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i w:val="0"/>
          <w:iCs w:val="0"/>
          <w:color w:val="auto"/>
          <w:sz w:val="21"/>
          <w:szCs w:val="21"/>
          <w:highlight w:val="none"/>
          <w:lang w:eastAsia="zh-CN"/>
        </w:rPr>
      </w:pPr>
      <w:r>
        <w:rPr>
          <w:rFonts w:hint="eastAsia" w:asciiTheme="minorEastAsia" w:hAnsiTheme="minorEastAsia" w:eastAsiaTheme="minorEastAsia" w:cstheme="minorEastAsia"/>
          <w:i w:val="0"/>
          <w:iCs w:val="0"/>
          <w:color w:val="auto"/>
          <w:sz w:val="21"/>
          <w:szCs w:val="21"/>
          <w:highlight w:val="none"/>
          <w:lang w:eastAsia="zh-CN"/>
        </w:rPr>
        <w:t>十标段：金城江区拔贡镇坡降社区（排洪渠等）灾毁农田修复项目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i w:val="0"/>
          <w:iCs w:val="0"/>
          <w:color w:val="auto"/>
          <w:sz w:val="21"/>
          <w:szCs w:val="21"/>
          <w:highlight w:val="none"/>
          <w:lang w:eastAsia="zh-CN"/>
        </w:rPr>
      </w:pPr>
      <w:r>
        <w:rPr>
          <w:rFonts w:hint="eastAsia" w:asciiTheme="minorEastAsia" w:hAnsiTheme="minorEastAsia" w:eastAsiaTheme="minorEastAsia" w:cstheme="minorEastAsia"/>
          <w:i w:val="0"/>
          <w:iCs w:val="0"/>
          <w:color w:val="auto"/>
          <w:sz w:val="21"/>
          <w:szCs w:val="21"/>
          <w:highlight w:val="none"/>
          <w:lang w:eastAsia="zh-CN"/>
        </w:rPr>
        <w:t>十一标段：金城江区东江镇、九圩镇山脚村、拉平村、牙洞村、大村村、板岜村灾毁农田修复项目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i w:val="0"/>
          <w:iCs w:val="0"/>
          <w:color w:val="auto"/>
          <w:sz w:val="21"/>
          <w:szCs w:val="21"/>
          <w:highlight w:val="none"/>
          <w:lang w:eastAsia="zh-CN"/>
        </w:rPr>
      </w:pPr>
      <w:r>
        <w:rPr>
          <w:rFonts w:hint="eastAsia" w:asciiTheme="minorEastAsia" w:hAnsiTheme="minorEastAsia" w:eastAsiaTheme="minorEastAsia" w:cstheme="minorEastAsia"/>
          <w:i w:val="0"/>
          <w:iCs w:val="0"/>
          <w:color w:val="auto"/>
          <w:sz w:val="21"/>
          <w:szCs w:val="21"/>
          <w:highlight w:val="none"/>
          <w:lang w:eastAsia="zh-CN"/>
        </w:rPr>
        <w:t>十二标段：金城江区六圩镇、九圩镇大郭村、红渡村、那朝村、那余村灾毁农田修复项目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i w:val="0"/>
          <w:iCs w:val="0"/>
          <w:color w:val="auto"/>
          <w:sz w:val="21"/>
          <w:szCs w:val="21"/>
          <w:highlight w:val="none"/>
          <w:lang w:eastAsia="zh-CN"/>
        </w:rPr>
      </w:pPr>
      <w:r>
        <w:rPr>
          <w:rFonts w:hint="eastAsia" w:asciiTheme="minorEastAsia" w:hAnsiTheme="minorEastAsia" w:eastAsiaTheme="minorEastAsia" w:cstheme="minorEastAsia"/>
          <w:i w:val="0"/>
          <w:iCs w:val="0"/>
          <w:color w:val="auto"/>
          <w:sz w:val="21"/>
          <w:szCs w:val="21"/>
          <w:highlight w:val="none"/>
          <w:lang w:eastAsia="zh-CN"/>
        </w:rPr>
        <w:t>十三标段：金城江区长老乡板庆村、六角村、长老社区灾毁农田修复项目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i w:val="0"/>
          <w:iCs w:val="0"/>
          <w:color w:val="auto"/>
          <w:sz w:val="21"/>
          <w:szCs w:val="21"/>
          <w:highlight w:val="none"/>
          <w:lang w:eastAsia="zh-CN"/>
        </w:rPr>
      </w:pPr>
      <w:r>
        <w:rPr>
          <w:rFonts w:hint="eastAsia" w:asciiTheme="minorEastAsia" w:hAnsiTheme="minorEastAsia" w:eastAsiaTheme="minorEastAsia" w:cstheme="minorEastAsia"/>
          <w:i w:val="0"/>
          <w:iCs w:val="0"/>
          <w:color w:val="auto"/>
          <w:sz w:val="21"/>
          <w:szCs w:val="21"/>
          <w:highlight w:val="none"/>
          <w:lang w:eastAsia="zh-CN"/>
        </w:rPr>
        <w:t>十四标段：金城江区长老乡地霄村灾毁农田修复项目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i w:val="0"/>
          <w:iCs w:val="0"/>
          <w:color w:val="auto"/>
          <w:sz w:val="21"/>
          <w:szCs w:val="21"/>
          <w:highlight w:val="none"/>
          <w:lang w:eastAsia="zh-CN"/>
        </w:rPr>
      </w:pPr>
      <w:r>
        <w:rPr>
          <w:rFonts w:hint="eastAsia" w:asciiTheme="minorEastAsia" w:hAnsiTheme="minorEastAsia" w:eastAsiaTheme="minorEastAsia" w:cstheme="minorEastAsia"/>
          <w:i w:val="0"/>
          <w:iCs w:val="0"/>
          <w:color w:val="auto"/>
          <w:sz w:val="21"/>
          <w:szCs w:val="21"/>
          <w:highlight w:val="none"/>
          <w:lang w:eastAsia="zh-CN"/>
        </w:rPr>
        <w:t>十五标段：金城江区白土乡、长老乡拉谐村、长老社区望楼灾毁农田修复项目</w:t>
      </w:r>
    </w:p>
    <w:bookmarkEnd w:id="13"/>
    <w:p>
      <w:pPr>
        <w:pageBreakBefore w:val="0"/>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i w:val="0"/>
          <w:iCs w:val="0"/>
          <w:color w:val="auto"/>
          <w:sz w:val="21"/>
          <w:szCs w:val="21"/>
          <w:highlight w:val="none"/>
        </w:rPr>
      </w:pPr>
      <w:r>
        <w:rPr>
          <w:rFonts w:hint="eastAsia" w:asciiTheme="minorEastAsia" w:hAnsiTheme="minorEastAsia" w:eastAsiaTheme="minorEastAsia" w:cstheme="minorEastAsia"/>
          <w:b/>
          <w:bCs/>
          <w:i w:val="0"/>
          <w:iCs w:val="0"/>
          <w:color w:val="auto"/>
          <w:sz w:val="21"/>
          <w:szCs w:val="21"/>
          <w:highlight w:val="none"/>
        </w:rPr>
        <w:t>预算金额：</w:t>
      </w:r>
      <w:r>
        <w:rPr>
          <w:rFonts w:hint="eastAsia" w:asciiTheme="minorEastAsia" w:hAnsiTheme="minorEastAsia" w:eastAsiaTheme="minorEastAsia" w:cstheme="minorEastAsia"/>
          <w:b/>
          <w:bCs/>
          <w:i w:val="0"/>
          <w:iCs w:val="0"/>
          <w:color w:val="auto"/>
          <w:sz w:val="21"/>
          <w:szCs w:val="21"/>
          <w:highlight w:val="none"/>
          <w:u w:val="single"/>
          <w:lang w:val="en-US" w:eastAsia="zh-CN"/>
        </w:rPr>
        <w:t xml:space="preserve"> 3332.797307 </w:t>
      </w:r>
      <w:r>
        <w:rPr>
          <w:rFonts w:hint="eastAsia" w:asciiTheme="minorEastAsia" w:hAnsiTheme="minorEastAsia" w:eastAsiaTheme="minorEastAsia" w:cstheme="minorEastAsia"/>
          <w:b/>
          <w:bCs/>
          <w:i w:val="0"/>
          <w:iCs w:val="0"/>
          <w:color w:val="auto"/>
          <w:sz w:val="21"/>
          <w:szCs w:val="21"/>
          <w:highlight w:val="none"/>
        </w:rPr>
        <w:t>万元，其中：</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一标段：金城江区拔贡镇坡降社区（主渠道等）灾毁农田修复项目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预算金额：人民币叁佰零壹万肆仟伍佰零伍元柒角贰分（¥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3014505.72</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 xml:space="preserve"> </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二标段：金城江区拔贡镇朝平村、贡维村、拉廖村灾毁农田修复项目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预算金额：人民币贰佰贰拾捌万贰仟陆佰壹拾元陆角伍分（¥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2282610.65</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 xml:space="preserve"> </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三标段：金城江区拔贡镇拉电村、大莫村灾毁农田修复项目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预算金额：人民币贰佰肆拾万零肆仟捌佰贰拾陆元零肆分（¥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2404826.04</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 xml:space="preserve"> </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四标段：金城江区拔贡镇北香村灾毁农田修复项目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预算金额：人民币贰佰零叁万零柒拾肆元零壹分（¥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2030074.01</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五标段：金城江区河池镇枫木村、大杨村、公华村灾毁农田修复项目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预算金额：人民币壹佰玖拾陆万伍仟伍佰柒拾玖元肆角陆分（¥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1965579.46</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六标段：金城江区河池镇河池社区、拉显村、红沙村，六甲镇灾毁农田修复项目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预算金额：人民币壹佰捌拾陆万零肆佰柒拾伍元陆角叁分（¥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 xml:space="preserve">1860475.63 </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七标段：金城江区五圩镇五圩社区、拔旺村、龙马村灾毁农田修复项目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预算金额：人民币壹佰陆拾万零陆仟陆佰捌拾伍元叁角整（¥</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 xml:space="preserve">1606685.30 </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八标段：金城江区五圩镇塘州村、平桥村、塘降村灾毁农田修复项目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预算金额：人民币壹佰陆拾伍万玖仟陆佰零陆元捌角肆分（¥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 xml:space="preserve">1659606.84 </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九标段：金城江区侧岭乡、五圩镇龙马村、三境村灾毁农田修复项目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预算金额：人民币贰佰柒拾柒万捌仟叁佰叁拾柒元捌角伍分（¥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2778337.85</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十标段：金城江区拔贡镇坡降社区（排洪渠等）灾毁农田修复项目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预算金额：人民币贰佰叁拾柒万肆仟壹佰陆拾捌元柒角柒分（¥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2374168.77</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十一标段：金城江区东江镇、九圩镇山脚村、拉平村、牙洞村、大村村、板岜村灾毁农田修复项目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预算金额：人民币贰佰叁拾柒万壹仟陆佰零叁元叁角捌分（¥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2371603.38</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十二标段：金城江区六圩镇、九圩镇大郭村、红渡村、那朝村、那余村灾毁农田修复项目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预算金额：人民币贰佰壹拾伍万壹仟柒佰壹拾叁元玖角伍分（¥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2151713.95</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十三标段：金城江区长老乡板庆村、六角村、长老社区灾毁农田修复项目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预算金额：人民币贰佰贰拾壹万伍仟柒佰零伍元捌角肆分（¥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2215705.84</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十四标段：金城江区长老乡地霄村灾毁农田修复项目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预算金额：人民币贰佰肆拾伍万捌仟壹佰零伍元壹角陆分（¥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2458105.16</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十五标段：金城江区白土乡、长老乡拉谐村、长老社区望楼灾毁农田修复项目</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预算金额：人民币贰佰壹拾伍万叁仟玖佰柒拾肆元肆角柒分（¥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2153974.47</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1474" w:leftChars="200" w:hanging="1054" w:hangingChars="500"/>
        <w:textAlignment w:val="auto"/>
        <w:rPr>
          <w:rFonts w:hint="eastAsia" w:asciiTheme="minorEastAsia" w:hAnsiTheme="minorEastAsia" w:eastAsiaTheme="minorEastAsia" w:cstheme="minorEastAsia"/>
          <w:i w:val="0"/>
          <w:iCs w:val="0"/>
          <w:color w:val="auto"/>
          <w:sz w:val="21"/>
          <w:szCs w:val="21"/>
          <w:highlight w:val="none"/>
          <w:u w:val="single"/>
          <w:lang w:eastAsia="zh-CN"/>
        </w:rPr>
      </w:pPr>
      <w:r>
        <w:rPr>
          <w:rFonts w:hint="eastAsia" w:asciiTheme="minorEastAsia" w:hAnsiTheme="minorEastAsia" w:eastAsiaTheme="minorEastAsia" w:cstheme="minorEastAsia"/>
          <w:b/>
          <w:bCs/>
          <w:i w:val="0"/>
          <w:iCs w:val="0"/>
          <w:color w:val="auto"/>
          <w:sz w:val="21"/>
          <w:szCs w:val="21"/>
          <w:highlight w:val="none"/>
        </w:rPr>
        <w:t>采购需求</w:t>
      </w:r>
      <w:r>
        <w:rPr>
          <w:rFonts w:hint="eastAsia" w:asciiTheme="minorEastAsia" w:hAnsiTheme="minorEastAsia" w:eastAsiaTheme="minorEastAsia" w:cstheme="minorEastAsia"/>
          <w:i w:val="0"/>
          <w:iCs w:val="0"/>
          <w:color w:val="auto"/>
          <w:sz w:val="21"/>
          <w:szCs w:val="21"/>
          <w:highlight w:val="none"/>
        </w:rPr>
        <w:t>：</w:t>
      </w:r>
      <w:r>
        <w:rPr>
          <w:rFonts w:hint="eastAsia" w:asciiTheme="minorEastAsia" w:hAnsiTheme="minorEastAsia" w:eastAsiaTheme="minorEastAsia" w:cstheme="minorEastAsia"/>
          <w:i w:val="0"/>
          <w:iCs w:val="0"/>
          <w:color w:val="auto"/>
          <w:sz w:val="21"/>
          <w:szCs w:val="21"/>
          <w:highlight w:val="none"/>
          <w:u w:val="single"/>
          <w:lang w:eastAsia="zh-CN"/>
        </w:rPr>
        <w:t>金城江区2020年灾毁农田修复项目，如需进一步了解详细内容，详见招标文件。</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i w:val="0"/>
          <w:iCs w:val="0"/>
          <w:color w:val="auto"/>
          <w:sz w:val="21"/>
          <w:szCs w:val="21"/>
          <w:highlight w:val="none"/>
          <w:u w:val="single"/>
        </w:rPr>
      </w:pPr>
      <w:r>
        <w:rPr>
          <w:rFonts w:hint="eastAsia" w:asciiTheme="minorEastAsia" w:hAnsiTheme="minorEastAsia" w:eastAsiaTheme="minorEastAsia" w:cstheme="minorEastAsia"/>
          <w:b/>
          <w:bCs/>
          <w:i w:val="0"/>
          <w:iCs w:val="0"/>
          <w:color w:val="auto"/>
          <w:sz w:val="21"/>
          <w:szCs w:val="21"/>
          <w:highlight w:val="none"/>
        </w:rPr>
        <w:t>合同履行期限：</w:t>
      </w:r>
      <w:r>
        <w:rPr>
          <w:rFonts w:hint="eastAsia" w:asciiTheme="minorEastAsia" w:hAnsiTheme="minorEastAsia" w:eastAsiaTheme="minorEastAsia" w:cstheme="minorEastAsia"/>
          <w:i w:val="0"/>
          <w:iCs w:val="0"/>
          <w:color w:val="auto"/>
          <w:sz w:val="21"/>
          <w:szCs w:val="21"/>
          <w:highlight w:val="none"/>
          <w:lang w:eastAsia="zh-CN"/>
        </w:rPr>
        <w:t>各个标段要求</w:t>
      </w:r>
      <w:r>
        <w:rPr>
          <w:rFonts w:hint="eastAsia" w:asciiTheme="minorEastAsia" w:hAnsiTheme="minorEastAsia" w:eastAsiaTheme="minorEastAsia" w:cstheme="minorEastAsia"/>
          <w:i w:val="0"/>
          <w:iCs w:val="0"/>
          <w:color w:val="auto"/>
          <w:sz w:val="21"/>
          <w:szCs w:val="21"/>
          <w:highlight w:val="none"/>
        </w:rPr>
        <w:t>工期</w:t>
      </w:r>
      <w:r>
        <w:rPr>
          <w:rFonts w:hint="eastAsia" w:asciiTheme="minorEastAsia" w:hAnsiTheme="minorEastAsia" w:eastAsiaTheme="minorEastAsia" w:cstheme="minorEastAsia"/>
          <w:i w:val="0"/>
          <w:iCs w:val="0"/>
          <w:color w:val="auto"/>
          <w:sz w:val="21"/>
          <w:szCs w:val="21"/>
          <w:highlight w:val="none"/>
          <w:lang w:eastAsia="zh-CN"/>
        </w:rPr>
        <w:t>均</w:t>
      </w:r>
      <w:r>
        <w:rPr>
          <w:rFonts w:hint="eastAsia" w:asciiTheme="minorEastAsia" w:hAnsiTheme="minorEastAsia" w:eastAsiaTheme="minorEastAsia" w:cstheme="minorEastAsia"/>
          <w:i w:val="0"/>
          <w:iCs w:val="0"/>
          <w:color w:val="auto"/>
          <w:sz w:val="21"/>
          <w:szCs w:val="21"/>
          <w:highlight w:val="none"/>
        </w:rPr>
        <w:t xml:space="preserve">为 </w:t>
      </w:r>
      <w:r>
        <w:rPr>
          <w:rFonts w:hint="eastAsia" w:asciiTheme="minorEastAsia" w:hAnsiTheme="minorEastAsia" w:eastAsiaTheme="minorEastAsia" w:cstheme="minorEastAsia"/>
          <w:i w:val="0"/>
          <w:iCs w:val="0"/>
          <w:color w:val="auto"/>
          <w:sz w:val="21"/>
          <w:szCs w:val="21"/>
          <w:highlight w:val="none"/>
          <w:u w:val="single"/>
          <w:lang w:val="en-US" w:eastAsia="zh-CN"/>
        </w:rPr>
        <w:t>180</w:t>
      </w:r>
      <w:r>
        <w:rPr>
          <w:rFonts w:hint="eastAsia" w:asciiTheme="minorEastAsia" w:hAnsiTheme="minorEastAsia" w:eastAsiaTheme="minorEastAsia" w:cstheme="minorEastAsia"/>
          <w:i w:val="0"/>
          <w:iCs w:val="0"/>
          <w:color w:val="auto"/>
          <w:sz w:val="21"/>
          <w:szCs w:val="21"/>
          <w:highlight w:val="none"/>
          <w:u w:val="single"/>
        </w:rPr>
        <w:t xml:space="preserve"> </w:t>
      </w:r>
      <w:r>
        <w:rPr>
          <w:rFonts w:hint="eastAsia" w:asciiTheme="minorEastAsia" w:hAnsiTheme="minorEastAsia" w:eastAsiaTheme="minorEastAsia" w:cstheme="minorEastAsia"/>
          <w:i w:val="0"/>
          <w:iCs w:val="0"/>
          <w:color w:val="auto"/>
          <w:sz w:val="21"/>
          <w:szCs w:val="21"/>
          <w:highlight w:val="none"/>
        </w:rPr>
        <w:t>日历天。</w:t>
      </w:r>
    </w:p>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本项目</w:t>
      </w:r>
      <w:r>
        <w:rPr>
          <w:rFonts w:hint="eastAsia" w:asciiTheme="minorEastAsia" w:hAnsiTheme="minorEastAsia" w:eastAsiaTheme="minorEastAsia" w:cstheme="minorEastAsia"/>
          <w:i w:val="0"/>
          <w:iCs w:val="0"/>
          <w:color w:val="auto"/>
          <w:sz w:val="21"/>
          <w:szCs w:val="21"/>
          <w:highlight w:val="none"/>
          <w:lang w:eastAsia="zh-CN"/>
        </w:rPr>
        <w:t>不</w:t>
      </w:r>
      <w:r>
        <w:rPr>
          <w:rFonts w:hint="eastAsia" w:asciiTheme="minorEastAsia" w:hAnsiTheme="minorEastAsia" w:eastAsiaTheme="minorEastAsia" w:cstheme="minorEastAsia"/>
          <w:i w:val="0"/>
          <w:iCs w:val="0"/>
          <w:color w:val="auto"/>
          <w:sz w:val="21"/>
          <w:szCs w:val="21"/>
          <w:highlight w:val="none"/>
        </w:rPr>
        <w:t>接受联合体投标。</w:t>
      </w:r>
      <w:bookmarkStart w:id="14" w:name="_Toc35393622"/>
      <w:bookmarkStart w:id="15" w:name="_Toc28359080"/>
      <w:bookmarkStart w:id="16" w:name="_Toc28359003"/>
      <w:bookmarkStart w:id="17" w:name="_Toc35393791"/>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val="0"/>
          <w:i w:val="0"/>
          <w:iCs w:val="0"/>
          <w:color w:val="auto"/>
          <w:sz w:val="21"/>
          <w:szCs w:val="21"/>
          <w:highlight w:val="none"/>
        </w:rPr>
      </w:pPr>
      <w:r>
        <w:rPr>
          <w:rFonts w:hint="eastAsia" w:asciiTheme="minorEastAsia" w:hAnsiTheme="minorEastAsia" w:eastAsiaTheme="minorEastAsia" w:cstheme="minorEastAsia"/>
          <w:b/>
          <w:bCs w:val="0"/>
          <w:i w:val="0"/>
          <w:iCs w:val="0"/>
          <w:color w:val="auto"/>
          <w:sz w:val="21"/>
          <w:szCs w:val="21"/>
          <w:highlight w:val="none"/>
        </w:rPr>
        <w:t>二、申请人的资格要求：</w:t>
      </w:r>
      <w:bookmarkEnd w:id="14"/>
      <w:bookmarkEnd w:id="15"/>
      <w:bookmarkEnd w:id="16"/>
      <w:bookmarkEnd w:id="17"/>
    </w:p>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i w:val="0"/>
          <w:iCs w:val="0"/>
          <w:color w:val="auto"/>
          <w:sz w:val="21"/>
          <w:szCs w:val="21"/>
          <w:highlight w:val="none"/>
        </w:rPr>
      </w:pPr>
      <w:r>
        <w:rPr>
          <w:rFonts w:hint="eastAsia" w:asciiTheme="minorEastAsia" w:hAnsiTheme="minorEastAsia" w:eastAsiaTheme="minorEastAsia" w:cstheme="minorEastAsia"/>
          <w:b w:val="0"/>
          <w:bCs w:val="0"/>
          <w:i w:val="0"/>
          <w:iCs w:val="0"/>
          <w:color w:val="auto"/>
          <w:sz w:val="21"/>
          <w:szCs w:val="21"/>
          <w:highlight w:val="none"/>
        </w:rPr>
        <w:t>1.满足《中华人民共和国政府采购法》第二十二条规定；</w:t>
      </w:r>
    </w:p>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i w:val="0"/>
          <w:iCs w:val="0"/>
          <w:color w:val="auto"/>
          <w:sz w:val="21"/>
          <w:szCs w:val="21"/>
          <w:highlight w:val="none"/>
          <w:u w:val="none"/>
        </w:rPr>
      </w:pPr>
      <w:bookmarkStart w:id="18" w:name="_Toc28359081"/>
      <w:bookmarkStart w:id="19" w:name="_Toc28359004"/>
      <w:r>
        <w:rPr>
          <w:rFonts w:hint="eastAsia" w:asciiTheme="minorEastAsia" w:hAnsiTheme="minorEastAsia" w:eastAsiaTheme="minorEastAsia" w:cstheme="minorEastAsia"/>
          <w:b w:val="0"/>
          <w:bCs w:val="0"/>
          <w:i w:val="0"/>
          <w:iCs w:val="0"/>
          <w:color w:val="auto"/>
          <w:sz w:val="21"/>
          <w:szCs w:val="21"/>
          <w:highlight w:val="none"/>
        </w:rPr>
        <w:t>2.</w:t>
      </w:r>
      <w:r>
        <w:rPr>
          <w:rFonts w:hint="eastAsia" w:ascii="宋体" w:hAnsi="宋体" w:eastAsia="宋体" w:cs="宋体"/>
          <w:szCs w:val="21"/>
        </w:rPr>
        <w:t>落实政府采购政策需满足的资格要求：《政府采购促进中小企业发展管理办法》（财库﹝2020﹞46号）；《财政部、司法部关于政府采购支持监狱企业发展有关问题的通知》（财库[2014]68号）；政府采购促进残疾人就业政策（财库[2017]141号）；节能产品、环境标志产品依据品目清单和认证证书实施政府优先采购和强制采购（财库〔2019〕9号）；《招标采购促进广西工业产品产销对接实施细则》（桂政办发〔2015〕78号）；政府采购支持采购本国产品政策</w:t>
      </w:r>
      <w:r>
        <w:rPr>
          <w:rFonts w:hint="eastAsia" w:asciiTheme="minorEastAsia" w:hAnsiTheme="minorEastAsia" w:eastAsiaTheme="minorEastAsia" w:cstheme="minorEastAsia"/>
          <w:i w:val="0"/>
          <w:iCs w:val="0"/>
          <w:color w:val="auto"/>
          <w:sz w:val="21"/>
          <w:szCs w:val="21"/>
          <w:highlight w:val="none"/>
          <w:u w:val="none"/>
        </w:rPr>
        <w:t>。</w:t>
      </w:r>
    </w:p>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3.本项目的特定资格要求：</w:t>
      </w:r>
    </w:p>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i w:val="0"/>
          <w:iCs w:val="0"/>
          <w:color w:val="auto"/>
          <w:sz w:val="21"/>
          <w:szCs w:val="21"/>
          <w:highlight w:val="none"/>
          <w:u w:val="none"/>
          <w:lang w:val="en-US" w:eastAsia="zh-CN"/>
        </w:rPr>
      </w:pPr>
      <w:r>
        <w:rPr>
          <w:rFonts w:hint="eastAsia" w:asciiTheme="minorEastAsia" w:hAnsiTheme="minorEastAsia" w:eastAsiaTheme="minorEastAsia" w:cstheme="minorEastAsia"/>
          <w:i w:val="0"/>
          <w:iCs w:val="0"/>
          <w:color w:val="auto"/>
          <w:sz w:val="21"/>
          <w:szCs w:val="21"/>
          <w:highlight w:val="none"/>
          <w:u w:val="none"/>
          <w:lang w:val="en-US" w:eastAsia="zh-CN"/>
        </w:rPr>
        <w:t>3.1 投标人资质要求：</w:t>
      </w:r>
    </w:p>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i w:val="0"/>
          <w:iCs w:val="0"/>
          <w:color w:val="auto"/>
          <w:sz w:val="21"/>
          <w:szCs w:val="21"/>
          <w:highlight w:val="none"/>
          <w:u w:val="none"/>
          <w:lang w:val="en-US" w:eastAsia="zh-CN"/>
        </w:rPr>
      </w:pPr>
      <w:r>
        <w:rPr>
          <w:rFonts w:hint="eastAsia" w:asciiTheme="minorEastAsia" w:hAnsiTheme="minorEastAsia" w:eastAsiaTheme="minorEastAsia" w:cstheme="minorEastAsia"/>
          <w:i w:val="0"/>
          <w:iCs w:val="0"/>
          <w:color w:val="auto"/>
          <w:sz w:val="21"/>
          <w:szCs w:val="21"/>
          <w:highlight w:val="none"/>
          <w:u w:val="none"/>
          <w:lang w:val="en-US" w:eastAsia="zh-CN"/>
        </w:rPr>
        <w:t>一标段至十五标段投标人资格要求均为：投标人需具备水利工程施工总承包叁级以上（含叁级）资质或市政公用工程施工总承包叁级以上（含叁级）资质，并在人员、设备、资金等方面具有相应的施工能力；</w:t>
      </w:r>
    </w:p>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i w:val="0"/>
          <w:iCs w:val="0"/>
          <w:color w:val="auto"/>
          <w:sz w:val="21"/>
          <w:szCs w:val="21"/>
          <w:highlight w:val="none"/>
          <w:u w:val="none"/>
          <w:lang w:val="en-US" w:eastAsia="zh-CN"/>
        </w:rPr>
      </w:pPr>
      <w:r>
        <w:rPr>
          <w:rFonts w:hint="eastAsia" w:asciiTheme="minorEastAsia" w:hAnsiTheme="minorEastAsia" w:eastAsiaTheme="minorEastAsia" w:cstheme="minorEastAsia"/>
          <w:i w:val="0"/>
          <w:iCs w:val="0"/>
          <w:color w:val="auto"/>
          <w:sz w:val="21"/>
          <w:szCs w:val="21"/>
          <w:highlight w:val="none"/>
          <w:u w:val="none"/>
          <w:lang w:val="en-US" w:eastAsia="zh-CN"/>
        </w:rPr>
        <w:t>3.2 项目经理：</w:t>
      </w:r>
    </w:p>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i w:val="0"/>
          <w:iCs w:val="0"/>
          <w:color w:val="auto"/>
          <w:sz w:val="21"/>
          <w:szCs w:val="21"/>
          <w:highlight w:val="none"/>
          <w:u w:val="none"/>
          <w:lang w:val="en-US" w:eastAsia="zh-CN"/>
        </w:rPr>
      </w:pPr>
      <w:r>
        <w:rPr>
          <w:rFonts w:hint="eastAsia" w:asciiTheme="minorEastAsia" w:hAnsiTheme="minorEastAsia" w:eastAsiaTheme="minorEastAsia" w:cstheme="minorEastAsia"/>
          <w:i w:val="0"/>
          <w:iCs w:val="0"/>
          <w:color w:val="auto"/>
          <w:sz w:val="21"/>
          <w:szCs w:val="21"/>
          <w:highlight w:val="none"/>
          <w:u w:val="none"/>
          <w:lang w:val="en-US" w:eastAsia="zh-CN"/>
        </w:rPr>
        <w:t>一标段至十五标段拟派项目经理资格要求均为：投标人拟派项目经理需具备水利工程专业二级以上（含二级）或市政公用工程二级以上（含二级）注册建造师资格，具备有效的安全生产考核合格证书（B类），本项目不接受有在建项目、已中标未开工项目或已列为其他项目中标候选人第一名的建造师作为项目经理（符合桂建管﹝2013﹞17号和桂建管﹝2014﹞25号文除外）。</w:t>
      </w:r>
    </w:p>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i w:val="0"/>
          <w:iCs w:val="0"/>
          <w:color w:val="auto"/>
          <w:sz w:val="21"/>
          <w:szCs w:val="21"/>
          <w:highlight w:val="none"/>
          <w:u w:val="none"/>
          <w:lang w:val="en-US" w:eastAsia="zh-CN"/>
        </w:rPr>
      </w:pPr>
      <w:r>
        <w:rPr>
          <w:rFonts w:hint="eastAsia" w:asciiTheme="minorEastAsia" w:hAnsiTheme="minorEastAsia" w:eastAsiaTheme="minorEastAsia" w:cstheme="minorEastAsia"/>
          <w:i w:val="0"/>
          <w:iCs w:val="0"/>
          <w:color w:val="auto"/>
          <w:sz w:val="21"/>
          <w:szCs w:val="21"/>
          <w:highlight w:val="none"/>
          <w:u w:val="none"/>
          <w:lang w:val="en-US" w:eastAsia="zh-CN"/>
        </w:rPr>
        <w:t>3.3 业绩要求：无</w:t>
      </w:r>
    </w:p>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sz w:val="21"/>
          <w:szCs w:val="21"/>
          <w:highlight w:val="none"/>
          <w:u w:val="none"/>
          <w:lang w:val="en-US" w:eastAsia="zh-CN"/>
        </w:rPr>
        <w:t>3.4 本项目评标顺序为一标段→十五标段，为了保证工程质量及建设时间，各投标人可参加本项目中任意2个标段进行投标，最多可同时中2个标段。投标人应就不同标段派出不同的项目经理和项目专职安全员，否则同一项目经理或项目专职安全员所投其它标段作否决投标处理（符合桂建管﹝2013﹞17号和桂建管﹝2014﹞25号文除外）。</w:t>
      </w:r>
      <w:bookmarkStart w:id="20" w:name="_Toc35393792"/>
      <w:bookmarkStart w:id="21" w:name="_Toc35393623"/>
    </w:p>
    <w:p>
      <w:pPr>
        <w:pStyle w:val="6"/>
        <w:pageBreakBefore w:val="0"/>
        <w:kinsoku/>
        <w:wordWrap/>
        <w:overflowPunct/>
        <w:topLinePunct w:val="0"/>
        <w:autoSpaceDE/>
        <w:autoSpaceDN/>
        <w:bidi w:val="0"/>
        <w:adjustRightInd/>
        <w:snapToGrid/>
        <w:spacing w:line="400" w:lineRule="exact"/>
        <w:ind w:firstLine="420" w:firstLineChars="200"/>
        <w:textAlignment w:val="auto"/>
        <w:rPr>
          <w:rFonts w:hint="default" w:eastAsiaTheme="minorEastAsia"/>
          <w:color w:val="auto"/>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u w:val="none"/>
          <w:lang w:val="en-US" w:eastAsia="zh-CN"/>
        </w:rPr>
        <w:t>3.5 投标人不得为“列入失信被执行人”、“ 重大税收违法案件当事人名单”、“政府采购严重违法失信行为记录名单”。</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val="0"/>
          <w:i w:val="0"/>
          <w:iCs w:val="0"/>
          <w:color w:val="auto"/>
          <w:sz w:val="21"/>
          <w:szCs w:val="21"/>
          <w:highlight w:val="none"/>
        </w:rPr>
      </w:pPr>
      <w:r>
        <w:rPr>
          <w:rFonts w:hint="eastAsia" w:asciiTheme="minorEastAsia" w:hAnsiTheme="minorEastAsia" w:eastAsiaTheme="minorEastAsia" w:cstheme="minorEastAsia"/>
          <w:b/>
          <w:bCs w:val="0"/>
          <w:i w:val="0"/>
          <w:iCs w:val="0"/>
          <w:color w:val="auto"/>
          <w:sz w:val="21"/>
          <w:szCs w:val="21"/>
          <w:highlight w:val="none"/>
        </w:rPr>
        <w:t>三、获取招标文件</w:t>
      </w:r>
      <w:bookmarkEnd w:id="18"/>
      <w:bookmarkEnd w:id="19"/>
      <w:bookmarkEnd w:id="20"/>
      <w:bookmarkEnd w:id="21"/>
    </w:p>
    <w:p>
      <w:pPr>
        <w:pageBreakBefore w:val="0"/>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b/>
          <w:bCs/>
          <w:i w:val="0"/>
          <w:iCs w:val="0"/>
          <w:color w:val="auto"/>
          <w:sz w:val="21"/>
          <w:szCs w:val="21"/>
          <w:highlight w:val="none"/>
        </w:rPr>
        <w:t>时间：</w:t>
      </w:r>
      <w:r>
        <w:rPr>
          <w:rFonts w:hint="eastAsia" w:asciiTheme="minorEastAsia" w:hAnsiTheme="minorEastAsia" w:eastAsiaTheme="minorEastAsia" w:cstheme="minorEastAsia"/>
          <w:i w:val="0"/>
          <w:iCs w:val="0"/>
          <w:color w:val="auto"/>
          <w:sz w:val="21"/>
          <w:szCs w:val="21"/>
          <w:highlight w:val="none"/>
          <w:u w:val="single"/>
          <w:lang w:val="en-US" w:eastAsia="zh-CN"/>
        </w:rPr>
        <w:t>2021</w:t>
      </w:r>
      <w:r>
        <w:rPr>
          <w:rFonts w:hint="eastAsia" w:asciiTheme="minorEastAsia" w:hAnsiTheme="minorEastAsia" w:eastAsiaTheme="minorEastAsia" w:cstheme="minorEastAsia"/>
          <w:i w:val="0"/>
          <w:iCs w:val="0"/>
          <w:color w:val="auto"/>
          <w:sz w:val="21"/>
          <w:szCs w:val="21"/>
          <w:highlight w:val="none"/>
          <w:u w:val="single"/>
        </w:rPr>
        <w:t>年</w:t>
      </w:r>
      <w:r>
        <w:rPr>
          <w:rFonts w:hint="eastAsia" w:asciiTheme="minorEastAsia" w:hAnsiTheme="minorEastAsia" w:eastAsiaTheme="minorEastAsia" w:cstheme="minorEastAsia"/>
          <w:i w:val="0"/>
          <w:iCs w:val="0"/>
          <w:color w:val="auto"/>
          <w:sz w:val="21"/>
          <w:szCs w:val="21"/>
          <w:highlight w:val="none"/>
          <w:u w:val="single"/>
          <w:lang w:val="en-US" w:eastAsia="zh-CN"/>
        </w:rPr>
        <w:t>4</w:t>
      </w:r>
      <w:r>
        <w:rPr>
          <w:rFonts w:hint="eastAsia" w:asciiTheme="minorEastAsia" w:hAnsiTheme="minorEastAsia" w:eastAsiaTheme="minorEastAsia" w:cstheme="minorEastAsia"/>
          <w:i w:val="0"/>
          <w:iCs w:val="0"/>
          <w:color w:val="auto"/>
          <w:sz w:val="21"/>
          <w:szCs w:val="21"/>
          <w:highlight w:val="none"/>
          <w:u w:val="single"/>
        </w:rPr>
        <w:t>月</w:t>
      </w:r>
      <w:r>
        <w:rPr>
          <w:rFonts w:hint="eastAsia" w:asciiTheme="minorEastAsia" w:hAnsiTheme="minorEastAsia" w:eastAsiaTheme="minorEastAsia" w:cstheme="minorEastAsia"/>
          <w:i w:val="0"/>
          <w:iCs w:val="0"/>
          <w:color w:val="auto"/>
          <w:sz w:val="21"/>
          <w:szCs w:val="21"/>
          <w:highlight w:val="none"/>
          <w:u w:val="single"/>
          <w:lang w:val="en-US" w:eastAsia="zh-CN"/>
        </w:rPr>
        <w:t>9</w:t>
      </w:r>
      <w:r>
        <w:rPr>
          <w:rFonts w:hint="eastAsia" w:asciiTheme="minorEastAsia" w:hAnsiTheme="minorEastAsia" w:eastAsiaTheme="minorEastAsia" w:cstheme="minorEastAsia"/>
          <w:i w:val="0"/>
          <w:iCs w:val="0"/>
          <w:color w:val="auto"/>
          <w:sz w:val="21"/>
          <w:szCs w:val="21"/>
          <w:highlight w:val="none"/>
          <w:u w:val="single"/>
        </w:rPr>
        <w:t>日</w:t>
      </w:r>
      <w:r>
        <w:rPr>
          <w:rFonts w:hint="eastAsia" w:asciiTheme="minorEastAsia" w:hAnsiTheme="minorEastAsia" w:eastAsiaTheme="minorEastAsia" w:cstheme="minorEastAsia"/>
          <w:i w:val="0"/>
          <w:iCs w:val="0"/>
          <w:color w:val="auto"/>
          <w:sz w:val="21"/>
          <w:szCs w:val="21"/>
          <w:highlight w:val="none"/>
        </w:rPr>
        <w:t>至递交投标文件截止时间</w:t>
      </w:r>
    </w:p>
    <w:p>
      <w:pPr>
        <w:pageBreakBefore w:val="0"/>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i w:val="0"/>
          <w:iCs w:val="0"/>
          <w:color w:val="auto"/>
          <w:sz w:val="21"/>
          <w:szCs w:val="21"/>
          <w:highlight w:val="none"/>
          <w:u w:val="single"/>
          <w:lang w:eastAsia="zh-CN"/>
        </w:rPr>
      </w:pPr>
      <w:r>
        <w:rPr>
          <w:rFonts w:hint="eastAsia" w:asciiTheme="minorEastAsia" w:hAnsiTheme="minorEastAsia" w:eastAsiaTheme="minorEastAsia" w:cstheme="minorEastAsia"/>
          <w:b/>
          <w:bCs/>
          <w:i w:val="0"/>
          <w:iCs w:val="0"/>
          <w:color w:val="auto"/>
          <w:sz w:val="21"/>
          <w:szCs w:val="21"/>
          <w:highlight w:val="none"/>
          <w:u w:val="none"/>
          <w:lang w:eastAsia="zh-CN"/>
        </w:rPr>
        <w:t>地点</w:t>
      </w:r>
      <w:r>
        <w:rPr>
          <w:rFonts w:hint="eastAsia" w:asciiTheme="minorEastAsia" w:hAnsiTheme="minorEastAsia" w:eastAsiaTheme="minorEastAsia" w:cstheme="minorEastAsia"/>
          <w:b/>
          <w:bCs/>
          <w:i w:val="0"/>
          <w:iCs w:val="0"/>
          <w:color w:val="auto"/>
          <w:sz w:val="21"/>
          <w:szCs w:val="21"/>
          <w:highlight w:val="none"/>
          <w:u w:val="none"/>
          <w:lang w:val="en-US" w:eastAsia="zh-CN"/>
        </w:rPr>
        <w:t>:</w:t>
      </w:r>
      <w:r>
        <w:rPr>
          <w:rFonts w:hint="eastAsia" w:asciiTheme="minorEastAsia" w:hAnsiTheme="minorEastAsia" w:eastAsiaTheme="minorEastAsia" w:cstheme="minorEastAsia"/>
          <w:i w:val="0"/>
          <w:iCs w:val="0"/>
          <w:color w:val="auto"/>
          <w:sz w:val="21"/>
          <w:szCs w:val="21"/>
          <w:highlight w:val="none"/>
          <w:u w:val="single"/>
        </w:rPr>
        <w:t>河池市公共资源交易中心网（http://www.hcjyxxw.com）</w:t>
      </w:r>
      <w:r>
        <w:rPr>
          <w:rFonts w:hint="eastAsia" w:asciiTheme="minorEastAsia" w:hAnsiTheme="minorEastAsia" w:eastAsiaTheme="minorEastAsia" w:cstheme="minorEastAsia"/>
          <w:i w:val="0"/>
          <w:iCs w:val="0"/>
          <w:color w:val="auto"/>
          <w:sz w:val="21"/>
          <w:szCs w:val="21"/>
          <w:highlight w:val="none"/>
          <w:u w:val="single"/>
          <w:lang w:eastAsia="zh-CN"/>
        </w:rPr>
        <w:t>、政采云平台（http://www.zcygov.cn/）</w:t>
      </w:r>
    </w:p>
    <w:p>
      <w:pPr>
        <w:pageBreakBefore w:val="0"/>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i w:val="0"/>
          <w:iCs w:val="0"/>
          <w:color w:val="auto"/>
          <w:sz w:val="21"/>
          <w:szCs w:val="21"/>
          <w:highlight w:val="none"/>
          <w:u w:val="single"/>
          <w:lang w:val="en-US" w:eastAsia="zh-CN"/>
        </w:rPr>
      </w:pPr>
      <w:r>
        <w:rPr>
          <w:rFonts w:hint="eastAsia" w:asciiTheme="minorEastAsia" w:hAnsiTheme="minorEastAsia" w:eastAsiaTheme="minorEastAsia" w:cstheme="minorEastAsia"/>
          <w:b/>
          <w:bCs/>
          <w:i w:val="0"/>
          <w:iCs w:val="0"/>
          <w:color w:val="auto"/>
          <w:sz w:val="21"/>
          <w:szCs w:val="21"/>
          <w:highlight w:val="none"/>
        </w:rPr>
        <w:t>方式</w:t>
      </w:r>
      <w:r>
        <w:rPr>
          <w:rFonts w:hint="eastAsia" w:asciiTheme="minorEastAsia" w:hAnsiTheme="minorEastAsia" w:eastAsiaTheme="minorEastAsia" w:cstheme="minorEastAsia"/>
          <w:b/>
          <w:bCs/>
          <w:i w:val="0"/>
          <w:iCs w:val="0"/>
          <w:color w:val="auto"/>
          <w:sz w:val="21"/>
          <w:szCs w:val="21"/>
          <w:highlight w:val="none"/>
          <w:lang w:val="en-US" w:eastAsia="zh-CN"/>
        </w:rPr>
        <w:t>:</w:t>
      </w:r>
      <w:r>
        <w:rPr>
          <w:rFonts w:hint="eastAsia" w:asciiTheme="minorEastAsia" w:hAnsiTheme="minorEastAsia" w:eastAsiaTheme="minorEastAsia" w:cstheme="minorEastAsia"/>
          <w:i w:val="0"/>
          <w:iCs w:val="0"/>
          <w:color w:val="auto"/>
          <w:sz w:val="21"/>
          <w:szCs w:val="21"/>
          <w:highlight w:val="none"/>
        </w:rPr>
        <w:t>请</w:t>
      </w:r>
      <w:r>
        <w:rPr>
          <w:rFonts w:hint="eastAsia" w:asciiTheme="minorEastAsia" w:hAnsiTheme="minorEastAsia" w:eastAsiaTheme="minorEastAsia" w:cstheme="minorEastAsia"/>
          <w:i w:val="0"/>
          <w:iCs w:val="0"/>
          <w:color w:val="auto"/>
          <w:sz w:val="21"/>
          <w:szCs w:val="21"/>
          <w:highlight w:val="none"/>
          <w:lang w:eastAsia="zh-CN"/>
        </w:rPr>
        <w:t>同时</w:t>
      </w:r>
      <w:r>
        <w:rPr>
          <w:rFonts w:hint="eastAsia" w:asciiTheme="minorEastAsia" w:hAnsiTheme="minorEastAsia" w:eastAsiaTheme="minorEastAsia" w:cstheme="minorEastAsia"/>
          <w:i w:val="0"/>
          <w:iCs w:val="0"/>
          <w:color w:val="auto"/>
          <w:sz w:val="21"/>
          <w:szCs w:val="21"/>
          <w:highlight w:val="none"/>
        </w:rPr>
        <w:t>登录：</w:t>
      </w:r>
      <w:r>
        <w:rPr>
          <w:rFonts w:hint="eastAsia" w:asciiTheme="minorEastAsia" w:hAnsiTheme="minorEastAsia" w:eastAsiaTheme="minorEastAsia" w:cstheme="minorEastAsia"/>
          <w:i w:val="0"/>
          <w:iCs w:val="0"/>
          <w:color w:val="auto"/>
          <w:sz w:val="21"/>
          <w:szCs w:val="21"/>
          <w:highlight w:val="none"/>
          <w:u w:val="single"/>
        </w:rPr>
        <w:t>河池市公共资源交易中心网（http://www.hcjyxxw.com）</w:t>
      </w:r>
      <w:r>
        <w:rPr>
          <w:rFonts w:hint="eastAsia" w:asciiTheme="minorEastAsia" w:hAnsiTheme="minorEastAsia" w:eastAsiaTheme="minorEastAsia" w:cstheme="minorEastAsia"/>
          <w:i w:val="0"/>
          <w:iCs w:val="0"/>
          <w:color w:val="auto"/>
          <w:sz w:val="21"/>
          <w:szCs w:val="21"/>
          <w:highlight w:val="none"/>
          <w:u w:val="single"/>
          <w:lang w:eastAsia="zh-CN"/>
        </w:rPr>
        <w:t>及</w:t>
      </w:r>
      <w:r>
        <w:rPr>
          <w:rFonts w:hint="eastAsia" w:asciiTheme="minorEastAsia" w:hAnsiTheme="minorEastAsia" w:eastAsiaTheme="minorEastAsia" w:cstheme="minorEastAsia"/>
          <w:i w:val="0"/>
          <w:iCs w:val="0"/>
          <w:color w:val="auto"/>
          <w:sz w:val="21"/>
          <w:szCs w:val="21"/>
          <w:highlight w:val="none"/>
          <w:u w:val="single"/>
        </w:rPr>
        <w:t>政采云平台（http://www.zcygov.cn/）</w:t>
      </w:r>
      <w:r>
        <w:rPr>
          <w:rFonts w:hint="eastAsia" w:asciiTheme="minorEastAsia" w:hAnsiTheme="minorEastAsia" w:eastAsiaTheme="minorEastAsia" w:cstheme="minorEastAsia"/>
          <w:i w:val="0"/>
          <w:iCs w:val="0"/>
          <w:color w:val="auto"/>
          <w:sz w:val="21"/>
          <w:szCs w:val="21"/>
          <w:highlight w:val="none"/>
          <w:u w:val="none"/>
          <w:lang w:eastAsia="zh-CN"/>
        </w:rPr>
        <w:t>，在</w:t>
      </w:r>
      <w:r>
        <w:rPr>
          <w:rFonts w:hint="eastAsia" w:asciiTheme="minorEastAsia" w:hAnsiTheme="minorEastAsia" w:eastAsiaTheme="minorEastAsia" w:cstheme="minorEastAsia"/>
          <w:i w:val="0"/>
          <w:iCs w:val="0"/>
          <w:color w:val="auto"/>
          <w:sz w:val="21"/>
          <w:szCs w:val="21"/>
          <w:highlight w:val="none"/>
          <w:u w:val="none"/>
          <w:lang w:val="en-US" w:eastAsia="zh-CN"/>
        </w:rPr>
        <w:t>系</w:t>
      </w:r>
      <w:r>
        <w:rPr>
          <w:rFonts w:hint="eastAsia" w:asciiTheme="minorEastAsia" w:hAnsiTheme="minorEastAsia" w:eastAsiaTheme="minorEastAsia" w:cstheme="minorEastAsia"/>
          <w:i w:val="0"/>
          <w:iCs w:val="0"/>
          <w:color w:val="auto"/>
          <w:sz w:val="21"/>
          <w:szCs w:val="21"/>
          <w:highlight w:val="none"/>
          <w:lang w:val="en-US" w:eastAsia="zh-CN"/>
        </w:rPr>
        <w:t>统上注册、下载招标文件及相关资料，逾期下载无效。</w:t>
      </w:r>
    </w:p>
    <w:p>
      <w:pPr>
        <w:pageBreakBefore w:val="0"/>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b/>
          <w:bCs/>
          <w:i w:val="0"/>
          <w:iCs w:val="0"/>
          <w:color w:val="auto"/>
          <w:sz w:val="21"/>
          <w:szCs w:val="21"/>
          <w:highlight w:val="none"/>
        </w:rPr>
        <w:t>售</w:t>
      </w:r>
      <w:r>
        <w:rPr>
          <w:rFonts w:hint="eastAsia" w:asciiTheme="minorEastAsia" w:hAnsiTheme="minorEastAsia" w:eastAsiaTheme="minorEastAsia" w:cstheme="minorEastAsia"/>
          <w:b/>
          <w:bCs/>
          <w:i w:val="0"/>
          <w:iCs w:val="0"/>
          <w:color w:val="auto"/>
          <w:sz w:val="21"/>
          <w:szCs w:val="21"/>
          <w:highlight w:val="none"/>
          <w:lang w:val="en-US" w:eastAsia="zh-CN"/>
        </w:rPr>
        <w:t xml:space="preserve"> </w:t>
      </w:r>
      <w:r>
        <w:rPr>
          <w:rFonts w:hint="eastAsia" w:asciiTheme="minorEastAsia" w:hAnsiTheme="minorEastAsia" w:eastAsiaTheme="minorEastAsia" w:cstheme="minorEastAsia"/>
          <w:b/>
          <w:bCs/>
          <w:i w:val="0"/>
          <w:iCs w:val="0"/>
          <w:color w:val="auto"/>
          <w:sz w:val="21"/>
          <w:szCs w:val="21"/>
          <w:highlight w:val="none"/>
        </w:rPr>
        <w:t>价：</w:t>
      </w:r>
      <w:r>
        <w:rPr>
          <w:rFonts w:hint="eastAsia" w:ascii="宋体" w:hAnsi="宋体" w:eastAsia="宋体" w:cs="宋体"/>
          <w:i w:val="0"/>
          <w:caps w:val="0"/>
          <w:color w:val="auto"/>
          <w:spacing w:val="0"/>
          <w:sz w:val="21"/>
          <w:szCs w:val="21"/>
          <w:highlight w:val="none"/>
          <w:shd w:val="clear" w:fill="FFFFFF"/>
        </w:rPr>
        <w:t>0元</w:t>
      </w:r>
    </w:p>
    <w:p>
      <w:pPr>
        <w:pStyle w:val="4"/>
        <w:pageBreakBefore w:val="0"/>
        <w:kinsoku/>
        <w:wordWrap/>
        <w:overflowPunct/>
        <w:topLinePunct w:val="0"/>
        <w:autoSpaceDE/>
        <w:autoSpaceDN/>
        <w:bidi w:val="0"/>
        <w:adjustRightInd/>
        <w:snapToGrid/>
        <w:spacing w:before="0" w:after="0" w:line="400" w:lineRule="exact"/>
        <w:textAlignment w:val="auto"/>
        <w:rPr>
          <w:rFonts w:hint="eastAsia" w:asciiTheme="minorEastAsia" w:hAnsiTheme="minorEastAsia" w:eastAsiaTheme="minorEastAsia" w:cstheme="minorEastAsia"/>
          <w:b/>
          <w:bCs w:val="0"/>
          <w:i w:val="0"/>
          <w:iCs w:val="0"/>
          <w:color w:val="auto"/>
          <w:sz w:val="21"/>
          <w:szCs w:val="21"/>
          <w:highlight w:val="none"/>
        </w:rPr>
      </w:pPr>
      <w:bookmarkStart w:id="22" w:name="_Toc28359082"/>
      <w:bookmarkStart w:id="23" w:name="_Toc28359005"/>
      <w:bookmarkStart w:id="24" w:name="_Toc35393793"/>
      <w:bookmarkStart w:id="25" w:name="_Toc35393624"/>
      <w:r>
        <w:rPr>
          <w:rFonts w:hint="eastAsia" w:asciiTheme="minorEastAsia" w:hAnsiTheme="minorEastAsia" w:eastAsiaTheme="minorEastAsia" w:cstheme="minorEastAsia"/>
          <w:b/>
          <w:bCs w:val="0"/>
          <w:i w:val="0"/>
          <w:iCs w:val="0"/>
          <w:color w:val="auto"/>
          <w:sz w:val="21"/>
          <w:szCs w:val="21"/>
          <w:highlight w:val="none"/>
        </w:rPr>
        <w:t>四、提交投标文件</w:t>
      </w:r>
      <w:bookmarkEnd w:id="22"/>
      <w:bookmarkEnd w:id="23"/>
      <w:r>
        <w:rPr>
          <w:rFonts w:hint="eastAsia" w:asciiTheme="minorEastAsia" w:hAnsiTheme="minorEastAsia" w:eastAsiaTheme="minorEastAsia" w:cstheme="minorEastAsia"/>
          <w:b/>
          <w:bCs w:val="0"/>
          <w:i w:val="0"/>
          <w:iCs w:val="0"/>
          <w:color w:val="auto"/>
          <w:sz w:val="21"/>
          <w:szCs w:val="21"/>
          <w:highlight w:val="none"/>
        </w:rPr>
        <w:t>截止时间、开标时间和地点</w:t>
      </w:r>
      <w:bookmarkEnd w:id="24"/>
      <w:bookmarkEnd w:id="25"/>
    </w:p>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Cs/>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u w:val="single"/>
          <w:lang w:val="en-US" w:eastAsia="zh-CN"/>
        </w:rPr>
        <w:t>2021年4月29日09时00分</w:t>
      </w:r>
      <w:r>
        <w:rPr>
          <w:rFonts w:hint="eastAsia" w:asciiTheme="minorEastAsia" w:hAnsiTheme="minorEastAsia" w:eastAsiaTheme="minorEastAsia" w:cstheme="minorEastAsia"/>
          <w:bCs/>
          <w:i w:val="0"/>
          <w:iCs w:val="0"/>
          <w:color w:val="auto"/>
          <w:sz w:val="21"/>
          <w:szCs w:val="21"/>
          <w:highlight w:val="none"/>
        </w:rPr>
        <w:t>（北京时间）</w:t>
      </w:r>
    </w:p>
    <w:p>
      <w:pPr>
        <w:pageBreakBefore w:val="0"/>
        <w:kinsoku/>
        <w:wordWrap/>
        <w:overflowPunct/>
        <w:topLinePunct w:val="0"/>
        <w:autoSpaceDE/>
        <w:autoSpaceDN/>
        <w:bidi w:val="0"/>
        <w:adjustRightInd/>
        <w:snapToGrid/>
        <w:spacing w:line="400" w:lineRule="exact"/>
        <w:ind w:left="1052" w:leftChars="200" w:hanging="632" w:hangingChars="300"/>
        <w:textAlignment w:val="auto"/>
        <w:rPr>
          <w:rFonts w:hint="eastAsia" w:asciiTheme="minorEastAsia" w:hAnsiTheme="minorEastAsia" w:eastAsiaTheme="minorEastAsia" w:cstheme="minorEastAsia"/>
          <w:bCs/>
          <w:i w:val="0"/>
          <w:iCs w:val="0"/>
          <w:color w:val="auto"/>
          <w:sz w:val="21"/>
          <w:szCs w:val="21"/>
          <w:highlight w:val="none"/>
          <w:u w:val="single"/>
          <w:lang w:val="en-US" w:eastAsia="zh-CN"/>
        </w:rPr>
      </w:pPr>
      <w:r>
        <w:rPr>
          <w:rFonts w:hint="eastAsia" w:asciiTheme="minorEastAsia" w:hAnsiTheme="minorEastAsia" w:eastAsiaTheme="minorEastAsia" w:cstheme="minorEastAsia"/>
          <w:b/>
          <w:bCs/>
          <w:i w:val="0"/>
          <w:iCs w:val="0"/>
          <w:color w:val="auto"/>
          <w:sz w:val="21"/>
          <w:szCs w:val="21"/>
          <w:highlight w:val="none"/>
        </w:rPr>
        <w:t>地点：</w:t>
      </w:r>
      <w:r>
        <w:rPr>
          <w:rFonts w:hint="eastAsia" w:asciiTheme="minorEastAsia" w:hAnsiTheme="minorEastAsia" w:eastAsiaTheme="minorEastAsia" w:cstheme="minorEastAsia"/>
          <w:i w:val="0"/>
          <w:iCs w:val="0"/>
          <w:color w:val="auto"/>
          <w:sz w:val="21"/>
          <w:szCs w:val="21"/>
          <w:highlight w:val="none"/>
        </w:rPr>
        <w:t>河池市公共资源交易中心</w:t>
      </w:r>
      <w:r>
        <w:rPr>
          <w:rFonts w:hint="eastAsia" w:asciiTheme="minorEastAsia" w:hAnsiTheme="minorEastAsia" w:eastAsiaTheme="minorEastAsia" w:cstheme="minorEastAsia"/>
          <w:i w:val="0"/>
          <w:iCs w:val="0"/>
          <w:color w:val="auto"/>
          <w:sz w:val="21"/>
          <w:szCs w:val="21"/>
          <w:highlight w:val="none"/>
          <w:lang w:eastAsia="zh-CN"/>
        </w:rPr>
        <w:t>（</w:t>
      </w:r>
      <w:r>
        <w:rPr>
          <w:rFonts w:hint="eastAsia" w:asciiTheme="minorEastAsia" w:hAnsiTheme="minorEastAsia" w:eastAsiaTheme="minorEastAsia" w:cstheme="minorEastAsia"/>
          <w:i w:val="0"/>
          <w:iCs w:val="0"/>
          <w:color w:val="auto"/>
          <w:sz w:val="21"/>
          <w:szCs w:val="21"/>
          <w:highlight w:val="none"/>
        </w:rPr>
        <w:t>河池市金城江区城东新区肯旺桥西侧北面市工人文化宫办公大楼五楼</w:t>
      </w:r>
      <w:r>
        <w:rPr>
          <w:rFonts w:hint="eastAsia" w:asciiTheme="minorEastAsia" w:hAnsiTheme="minorEastAsia" w:eastAsiaTheme="minorEastAsia" w:cstheme="minorEastAsia"/>
          <w:i w:val="0"/>
          <w:iCs w:val="0"/>
          <w:color w:val="auto"/>
          <w:sz w:val="21"/>
          <w:szCs w:val="21"/>
          <w:highlight w:val="none"/>
          <w:lang w:eastAsia="zh-CN"/>
        </w:rPr>
        <w:t>）</w:t>
      </w:r>
      <w:r>
        <w:rPr>
          <w:rFonts w:hint="eastAsia" w:asciiTheme="minorEastAsia" w:hAnsiTheme="minorEastAsia" w:eastAsiaTheme="minorEastAsia" w:cstheme="minorEastAsia"/>
          <w:i w:val="0"/>
          <w:iCs w:val="0"/>
          <w:color w:val="auto"/>
          <w:sz w:val="21"/>
          <w:szCs w:val="21"/>
          <w:highlight w:val="none"/>
        </w:rPr>
        <w:t>开标厅</w:t>
      </w:r>
      <w:r>
        <w:rPr>
          <w:rFonts w:hint="eastAsia" w:asciiTheme="minorEastAsia" w:hAnsiTheme="minorEastAsia" w:eastAsiaTheme="minorEastAsia" w:cstheme="minorEastAsia"/>
          <w:i w:val="0"/>
          <w:iCs w:val="0"/>
          <w:color w:val="auto"/>
          <w:sz w:val="21"/>
          <w:szCs w:val="21"/>
          <w:highlight w:val="none"/>
          <w:lang w:val="en-US" w:eastAsia="zh-CN"/>
        </w:rPr>
        <w:t>(</w:t>
      </w:r>
      <w:r>
        <w:rPr>
          <w:rFonts w:hint="eastAsia" w:asciiTheme="minorEastAsia" w:hAnsiTheme="minorEastAsia" w:eastAsiaTheme="minorEastAsia" w:cstheme="minorEastAsia"/>
          <w:i w:val="0"/>
          <w:iCs w:val="0"/>
          <w:color w:val="auto"/>
          <w:sz w:val="21"/>
          <w:szCs w:val="21"/>
          <w:highlight w:val="none"/>
        </w:rPr>
        <w:t>具体开标</w:t>
      </w:r>
      <w:r>
        <w:rPr>
          <w:rFonts w:hint="eastAsia" w:asciiTheme="minorEastAsia" w:hAnsiTheme="minorEastAsia" w:eastAsiaTheme="minorEastAsia" w:cstheme="minorEastAsia"/>
          <w:i w:val="0"/>
          <w:iCs w:val="0"/>
          <w:color w:val="auto"/>
          <w:sz w:val="21"/>
          <w:szCs w:val="21"/>
          <w:highlight w:val="none"/>
          <w:lang w:eastAsia="zh-CN"/>
        </w:rPr>
        <w:t>厅</w:t>
      </w:r>
      <w:r>
        <w:rPr>
          <w:rFonts w:hint="eastAsia" w:asciiTheme="minorEastAsia" w:hAnsiTheme="minorEastAsia" w:eastAsiaTheme="minorEastAsia" w:cstheme="minorEastAsia"/>
          <w:i w:val="0"/>
          <w:iCs w:val="0"/>
          <w:color w:val="auto"/>
          <w:sz w:val="21"/>
          <w:szCs w:val="21"/>
          <w:highlight w:val="none"/>
        </w:rPr>
        <w:t>见当天的电子LED大屏安排</w:t>
      </w:r>
      <w:r>
        <w:rPr>
          <w:rFonts w:hint="eastAsia" w:asciiTheme="minorEastAsia" w:hAnsiTheme="minorEastAsia" w:eastAsiaTheme="minorEastAsia" w:cstheme="minorEastAsia"/>
          <w:i w:val="0"/>
          <w:iCs w:val="0"/>
          <w:color w:val="auto"/>
          <w:sz w:val="21"/>
          <w:szCs w:val="21"/>
          <w:highlight w:val="none"/>
          <w:lang w:val="en-US" w:eastAsia="zh-CN"/>
        </w:rPr>
        <w:t>)</w:t>
      </w:r>
    </w:p>
    <w:p>
      <w:pPr>
        <w:pStyle w:val="4"/>
        <w:pageBreakBefore w:val="0"/>
        <w:kinsoku/>
        <w:wordWrap/>
        <w:overflowPunct/>
        <w:topLinePunct w:val="0"/>
        <w:autoSpaceDE/>
        <w:autoSpaceDN/>
        <w:bidi w:val="0"/>
        <w:adjustRightInd/>
        <w:snapToGrid/>
        <w:spacing w:before="0" w:after="0" w:line="400" w:lineRule="exact"/>
        <w:textAlignment w:val="auto"/>
        <w:rPr>
          <w:rFonts w:hint="eastAsia" w:asciiTheme="minorEastAsia" w:hAnsiTheme="minorEastAsia" w:eastAsiaTheme="minorEastAsia" w:cstheme="minorEastAsia"/>
          <w:b/>
          <w:bCs w:val="0"/>
          <w:i w:val="0"/>
          <w:iCs w:val="0"/>
          <w:color w:val="auto"/>
          <w:sz w:val="21"/>
          <w:szCs w:val="21"/>
          <w:highlight w:val="none"/>
        </w:rPr>
      </w:pPr>
      <w:bookmarkStart w:id="26" w:name="_Toc28359084"/>
      <w:bookmarkStart w:id="27" w:name="_Toc28359007"/>
      <w:bookmarkStart w:id="28" w:name="_Toc35393794"/>
      <w:bookmarkStart w:id="29" w:name="_Toc35393625"/>
      <w:r>
        <w:rPr>
          <w:rFonts w:hint="eastAsia" w:asciiTheme="minorEastAsia" w:hAnsiTheme="minorEastAsia" w:eastAsiaTheme="minorEastAsia" w:cstheme="minorEastAsia"/>
          <w:b/>
          <w:bCs w:val="0"/>
          <w:i w:val="0"/>
          <w:iCs w:val="0"/>
          <w:color w:val="auto"/>
          <w:sz w:val="21"/>
          <w:szCs w:val="21"/>
          <w:highlight w:val="none"/>
        </w:rPr>
        <w:t>五、公告期限</w:t>
      </w:r>
      <w:bookmarkEnd w:id="26"/>
      <w:bookmarkEnd w:id="27"/>
      <w:bookmarkEnd w:id="28"/>
      <w:bookmarkEnd w:id="29"/>
    </w:p>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i w:val="0"/>
          <w:iCs w:val="0"/>
          <w:color w:val="auto"/>
          <w:kern w:val="0"/>
          <w:sz w:val="21"/>
          <w:szCs w:val="21"/>
          <w:highlight w:val="none"/>
        </w:rPr>
      </w:pPr>
      <w:r>
        <w:rPr>
          <w:rFonts w:hint="eastAsia" w:asciiTheme="minorEastAsia" w:hAnsiTheme="minorEastAsia" w:eastAsiaTheme="minorEastAsia" w:cstheme="minorEastAsia"/>
          <w:i w:val="0"/>
          <w:iCs w:val="0"/>
          <w:color w:val="auto"/>
          <w:kern w:val="0"/>
          <w:sz w:val="21"/>
          <w:szCs w:val="21"/>
          <w:highlight w:val="none"/>
        </w:rPr>
        <w:t>自本公告发布之日起5个工作日。</w:t>
      </w:r>
    </w:p>
    <w:p>
      <w:pPr>
        <w:pStyle w:val="4"/>
        <w:pageBreakBefore w:val="0"/>
        <w:numPr>
          <w:ilvl w:val="0"/>
          <w:numId w:val="0"/>
        </w:numPr>
        <w:kinsoku/>
        <w:wordWrap/>
        <w:overflowPunct/>
        <w:topLinePunct w:val="0"/>
        <w:autoSpaceDE/>
        <w:autoSpaceDN/>
        <w:bidi w:val="0"/>
        <w:adjustRightInd/>
        <w:snapToGrid/>
        <w:spacing w:before="0" w:after="0" w:line="400" w:lineRule="exact"/>
        <w:textAlignment w:val="auto"/>
        <w:rPr>
          <w:rFonts w:hint="eastAsia" w:asciiTheme="minorEastAsia" w:hAnsiTheme="minorEastAsia" w:eastAsiaTheme="minorEastAsia" w:cstheme="minorEastAsia"/>
          <w:b w:val="0"/>
          <w:i w:val="0"/>
          <w:iCs w:val="0"/>
          <w:color w:val="auto"/>
          <w:sz w:val="21"/>
          <w:szCs w:val="21"/>
          <w:highlight w:val="none"/>
        </w:rPr>
      </w:pPr>
      <w:bookmarkStart w:id="30" w:name="_Toc35393626"/>
      <w:bookmarkStart w:id="31" w:name="_Toc35393795"/>
      <w:r>
        <w:rPr>
          <w:rFonts w:hint="eastAsia" w:asciiTheme="minorEastAsia" w:hAnsiTheme="minorEastAsia" w:eastAsiaTheme="minorEastAsia" w:cstheme="minorEastAsia"/>
          <w:b/>
          <w:bCs w:val="0"/>
          <w:i w:val="0"/>
          <w:iCs w:val="0"/>
          <w:color w:val="auto"/>
          <w:sz w:val="21"/>
          <w:szCs w:val="21"/>
          <w:highlight w:val="none"/>
          <w:lang w:eastAsia="zh-CN"/>
        </w:rPr>
        <w:t>六、</w:t>
      </w:r>
      <w:r>
        <w:rPr>
          <w:rFonts w:hint="eastAsia" w:asciiTheme="minorEastAsia" w:hAnsiTheme="minorEastAsia" w:eastAsiaTheme="minorEastAsia" w:cstheme="minorEastAsia"/>
          <w:b/>
          <w:bCs w:val="0"/>
          <w:i w:val="0"/>
          <w:iCs w:val="0"/>
          <w:color w:val="auto"/>
          <w:sz w:val="21"/>
          <w:szCs w:val="21"/>
          <w:highlight w:val="none"/>
        </w:rPr>
        <w:t>其他补充事宜</w:t>
      </w:r>
      <w:bookmarkEnd w:id="30"/>
      <w:bookmarkEnd w:id="31"/>
    </w:p>
    <w:p>
      <w:pPr>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投标保证金：</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一标段</w:t>
      </w:r>
      <w:r>
        <w:rPr>
          <w:rFonts w:hint="eastAsia" w:asciiTheme="minorEastAsia" w:hAnsiTheme="minorEastAsia" w:eastAsiaTheme="minorEastAsia" w:cstheme="minorEastAsia"/>
          <w:color w:val="auto"/>
          <w:highlight w:val="none"/>
          <w:lang w:val="en-US" w:eastAsia="zh-CN"/>
        </w:rPr>
        <w:t>~十五标段投标保证金均为：人民币壹万元整（</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r>
        <w:rPr>
          <w:rFonts w:hint="eastAsia" w:asciiTheme="minorEastAsia" w:hAnsiTheme="minorEastAsia" w:eastAsiaTheme="minorEastAsia" w:cstheme="minorEastAsia"/>
          <w:b w:val="0"/>
          <w:bCs w:val="0"/>
          <w:i w:val="0"/>
          <w:iCs w:val="0"/>
          <w:color w:val="auto"/>
          <w:sz w:val="21"/>
          <w:szCs w:val="21"/>
          <w:highlight w:val="none"/>
          <w:u w:val="none"/>
          <w:lang w:val="en-US" w:eastAsia="zh-CN"/>
        </w:rPr>
        <w:t>10000.00</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投标人应于投标文件提交截止时间前：</w:t>
      </w:r>
      <w:r>
        <w:rPr>
          <w:rFonts w:hint="eastAsia" w:asciiTheme="minorEastAsia" w:hAnsiTheme="minorEastAsia" w:eastAsiaTheme="minorEastAsia" w:cstheme="minorEastAsia"/>
          <w:i w:val="0"/>
          <w:iCs w:val="0"/>
          <w:color w:val="auto"/>
          <w:sz w:val="21"/>
          <w:szCs w:val="21"/>
          <w:highlight w:val="none"/>
          <w:u w:val="single"/>
          <w:lang w:val="en-US" w:eastAsia="zh-CN"/>
        </w:rPr>
        <w:t>2021年4月29日09时00分</w:t>
      </w:r>
      <w:r>
        <w:rPr>
          <w:rFonts w:hint="eastAsia" w:asciiTheme="minorEastAsia" w:hAnsiTheme="minorEastAsia" w:eastAsiaTheme="minorEastAsia" w:cstheme="minorEastAsia"/>
          <w:color w:val="auto"/>
          <w:highlight w:val="none"/>
        </w:rPr>
        <w:t>止将投标保证金以电汇、转账、汇票等非现金形式交至指定账户（详见招标文件投标人须知前附表）。</w:t>
      </w:r>
      <w:bookmarkStart w:id="32" w:name="_Toc35393627"/>
      <w:bookmarkStart w:id="33" w:name="_Toc28359008"/>
      <w:bookmarkStart w:id="34" w:name="_Toc28359085"/>
      <w:bookmarkStart w:id="35" w:name="_Toc35393796"/>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查询公告地址：中国政府采购网（http://www.ccgp.gov.cn）、广西壮族自治区政府采购网</w:t>
      </w:r>
      <w:r>
        <w:rPr>
          <w:rFonts w:hint="eastAsia" w:asciiTheme="minorEastAsia" w:hAnsiTheme="minorEastAsia" w:eastAsiaTheme="minorEastAsia" w:cstheme="minorEastAsia"/>
          <w:color w:val="auto"/>
          <w:highlight w:val="none"/>
          <w:lang w:eastAsia="zh-CN"/>
        </w:rPr>
        <w:t>（http://zfcg.gxzf.gov.cn）、河池市公共资源交易中心网（http://www.hcjyxxw.com）</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lang w:eastAsia="zh-CN"/>
        </w:rPr>
        <w:t>）监督管理部门：河池市金城江区财政局政府采购监督管理股   电  话：0778-2305686</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i w:val="0"/>
          <w:iCs w:val="0"/>
          <w:color w:val="auto"/>
          <w:sz w:val="21"/>
          <w:szCs w:val="21"/>
          <w:highlight w:val="none"/>
        </w:rPr>
      </w:pPr>
      <w:r>
        <w:rPr>
          <w:rFonts w:hint="eastAsia" w:asciiTheme="minorEastAsia" w:hAnsiTheme="minorEastAsia" w:eastAsiaTheme="minorEastAsia" w:cstheme="minorEastAsia"/>
          <w:b/>
          <w:bCs/>
          <w:i w:val="0"/>
          <w:iCs w:val="0"/>
          <w:color w:val="auto"/>
          <w:sz w:val="21"/>
          <w:szCs w:val="21"/>
          <w:highlight w:val="none"/>
        </w:rPr>
        <w:t>七、对本次招标提出询问，请按以下方式联系。</w:t>
      </w:r>
      <w:bookmarkEnd w:id="32"/>
      <w:bookmarkEnd w:id="33"/>
      <w:bookmarkEnd w:id="34"/>
      <w:bookmarkEnd w:id="35"/>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　　1.采购人信息</w:t>
      </w:r>
    </w:p>
    <w:p>
      <w:pPr>
        <w:pageBreakBefore w:val="0"/>
        <w:kinsoku/>
        <w:wordWrap/>
        <w:overflowPunct/>
        <w:topLinePunct w:val="0"/>
        <w:autoSpaceDE/>
        <w:autoSpaceDN/>
        <w:bidi w:val="0"/>
        <w:adjustRightInd/>
        <w:snapToGrid/>
        <w:spacing w:line="400" w:lineRule="exact"/>
        <w:ind w:firstLine="630" w:firstLineChars="300"/>
        <w:jc w:val="left"/>
        <w:textAlignment w:val="auto"/>
        <w:rPr>
          <w:rFonts w:hint="default" w:asciiTheme="minorEastAsia" w:hAnsiTheme="minorEastAsia" w:eastAsiaTheme="minorEastAsia" w:cstheme="minorEastAsia"/>
          <w:i w:val="0"/>
          <w:iCs w:val="0"/>
          <w:color w:val="auto"/>
          <w:sz w:val="21"/>
          <w:szCs w:val="21"/>
          <w:highlight w:val="none"/>
          <w:lang w:val="en-US" w:eastAsia="zh-CN"/>
        </w:rPr>
      </w:pPr>
      <w:r>
        <w:rPr>
          <w:rFonts w:hint="eastAsia" w:asciiTheme="minorEastAsia" w:hAnsiTheme="minorEastAsia" w:eastAsiaTheme="minorEastAsia" w:cstheme="minorEastAsia"/>
          <w:i w:val="0"/>
          <w:iCs w:val="0"/>
          <w:color w:val="auto"/>
          <w:sz w:val="21"/>
          <w:szCs w:val="21"/>
          <w:highlight w:val="none"/>
        </w:rPr>
        <w:t>名 称：</w:t>
      </w:r>
      <w:r>
        <w:rPr>
          <w:rFonts w:hint="eastAsia" w:asciiTheme="minorEastAsia" w:hAnsiTheme="minorEastAsia" w:eastAsiaTheme="minorEastAsia" w:cstheme="minorEastAsia"/>
          <w:i w:val="0"/>
          <w:iCs w:val="0"/>
          <w:color w:val="auto"/>
          <w:sz w:val="21"/>
          <w:szCs w:val="21"/>
          <w:highlight w:val="none"/>
          <w:u w:val="none"/>
          <w:lang w:eastAsia="zh-CN"/>
        </w:rPr>
        <w:t>河池市金城江区农业农村局</w:t>
      </w:r>
      <w:r>
        <w:rPr>
          <w:rFonts w:hint="eastAsia" w:asciiTheme="minorEastAsia" w:hAnsiTheme="minorEastAsia" w:eastAsiaTheme="minorEastAsia" w:cstheme="minorEastAsia"/>
          <w:i w:val="0"/>
          <w:iCs w:val="0"/>
          <w:color w:val="auto"/>
          <w:sz w:val="21"/>
          <w:szCs w:val="21"/>
          <w:highlight w:val="none"/>
          <w:u w:val="none"/>
          <w:lang w:val="en-US" w:eastAsia="zh-CN"/>
        </w:rPr>
        <w:t xml:space="preserve">  </w:t>
      </w:r>
    </w:p>
    <w:p>
      <w:pPr>
        <w:pageBreakBefore w:val="0"/>
        <w:kinsoku/>
        <w:wordWrap/>
        <w:overflowPunct/>
        <w:topLinePunct w:val="0"/>
        <w:autoSpaceDE/>
        <w:autoSpaceDN/>
        <w:bidi w:val="0"/>
        <w:adjustRightInd/>
        <w:snapToGrid/>
        <w:spacing w:line="400" w:lineRule="exact"/>
        <w:ind w:firstLine="630" w:firstLineChars="300"/>
        <w:jc w:val="left"/>
        <w:textAlignment w:val="auto"/>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地</w:t>
      </w:r>
      <w:r>
        <w:rPr>
          <w:rFonts w:hint="eastAsia" w:asciiTheme="minorEastAsia" w:hAnsiTheme="minorEastAsia" w:eastAsiaTheme="minorEastAsia" w:cstheme="minorEastAsia"/>
          <w:i w:val="0"/>
          <w:iCs w:val="0"/>
          <w:color w:val="auto"/>
          <w:sz w:val="21"/>
          <w:szCs w:val="21"/>
          <w:highlight w:val="none"/>
          <w:lang w:val="en-US" w:eastAsia="zh-CN"/>
        </w:rPr>
        <w:t xml:space="preserve"> </w:t>
      </w:r>
      <w:r>
        <w:rPr>
          <w:rFonts w:hint="eastAsia" w:asciiTheme="minorEastAsia" w:hAnsiTheme="minorEastAsia" w:eastAsiaTheme="minorEastAsia" w:cstheme="minorEastAsia"/>
          <w:i w:val="0"/>
          <w:iCs w:val="0"/>
          <w:color w:val="auto"/>
          <w:sz w:val="21"/>
          <w:szCs w:val="21"/>
          <w:highlight w:val="none"/>
        </w:rPr>
        <w:t>址：</w:t>
      </w:r>
      <w:r>
        <w:rPr>
          <w:rFonts w:hint="eastAsia" w:asciiTheme="minorEastAsia" w:hAnsiTheme="minorEastAsia" w:eastAsiaTheme="minorEastAsia" w:cstheme="minorEastAsia"/>
          <w:i w:val="0"/>
          <w:iCs w:val="0"/>
          <w:color w:val="auto"/>
          <w:sz w:val="21"/>
          <w:szCs w:val="21"/>
          <w:highlight w:val="none"/>
          <w:u w:val="none"/>
        </w:rPr>
        <w:t>河池市金城江区文苑路1号</w:t>
      </w:r>
    </w:p>
    <w:p>
      <w:pPr>
        <w:pageBreakBefore w:val="0"/>
        <w:kinsoku/>
        <w:wordWrap/>
        <w:overflowPunct/>
        <w:topLinePunct w:val="0"/>
        <w:autoSpaceDE/>
        <w:autoSpaceDN/>
        <w:bidi w:val="0"/>
        <w:adjustRightInd/>
        <w:snapToGrid/>
        <w:spacing w:line="400" w:lineRule="exact"/>
        <w:ind w:firstLine="630" w:firstLineChars="300"/>
        <w:jc w:val="left"/>
        <w:textAlignment w:val="auto"/>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sz w:val="21"/>
          <w:szCs w:val="21"/>
          <w:highlight w:val="none"/>
        </w:rPr>
        <w:t>联系方式：</w:t>
      </w:r>
      <w:r>
        <w:rPr>
          <w:rFonts w:hint="eastAsia" w:asciiTheme="minorEastAsia" w:hAnsiTheme="minorEastAsia" w:eastAsiaTheme="minorEastAsia" w:cstheme="minorEastAsia"/>
          <w:i w:val="0"/>
          <w:iCs w:val="0"/>
          <w:color w:val="auto"/>
          <w:sz w:val="21"/>
          <w:szCs w:val="21"/>
          <w:highlight w:val="none"/>
          <w:u w:val="none"/>
        </w:rPr>
        <w:t>梁继豪</w:t>
      </w:r>
      <w:r>
        <w:rPr>
          <w:rFonts w:hint="eastAsia" w:asciiTheme="minorEastAsia" w:hAnsiTheme="minorEastAsia" w:eastAsiaTheme="minorEastAsia" w:cstheme="minorEastAsia"/>
          <w:i w:val="0"/>
          <w:iCs w:val="0"/>
          <w:color w:val="auto"/>
          <w:sz w:val="21"/>
          <w:szCs w:val="21"/>
          <w:highlight w:val="none"/>
          <w:u w:val="none"/>
          <w:lang w:val="en-US" w:eastAsia="zh-CN"/>
        </w:rPr>
        <w:t>、</w:t>
      </w:r>
      <w:r>
        <w:rPr>
          <w:rFonts w:hint="eastAsia" w:asciiTheme="minorEastAsia" w:hAnsiTheme="minorEastAsia" w:eastAsiaTheme="minorEastAsia" w:cstheme="minorEastAsia"/>
          <w:i w:val="0"/>
          <w:iCs w:val="0"/>
          <w:color w:val="auto"/>
          <w:sz w:val="21"/>
          <w:szCs w:val="21"/>
          <w:highlight w:val="none"/>
          <w:u w:val="none"/>
        </w:rPr>
        <w:t xml:space="preserve">0778-2280220 </w:t>
      </w:r>
      <w:bookmarkStart w:id="36" w:name="_Toc28359009"/>
      <w:bookmarkStart w:id="37" w:name="_Toc28359086"/>
    </w:p>
    <w:p>
      <w:pPr>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2.采购代理机构信息</w:t>
      </w:r>
      <w:bookmarkEnd w:id="36"/>
      <w:bookmarkEnd w:id="37"/>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sz w:val="21"/>
          <w:szCs w:val="21"/>
          <w:highlight w:val="none"/>
        </w:rPr>
        <w:t>名 称：</w:t>
      </w:r>
      <w:r>
        <w:rPr>
          <w:rFonts w:hint="eastAsia" w:asciiTheme="minorEastAsia" w:hAnsiTheme="minorEastAsia" w:eastAsiaTheme="minorEastAsia" w:cstheme="minorEastAsia"/>
          <w:i w:val="0"/>
          <w:iCs w:val="0"/>
          <w:color w:val="auto"/>
          <w:sz w:val="21"/>
          <w:szCs w:val="21"/>
          <w:highlight w:val="none"/>
          <w:u w:val="none"/>
        </w:rPr>
        <w:t>广西桂宝工程监理咨询有限公司</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地　址：</w:t>
      </w:r>
      <w:r>
        <w:rPr>
          <w:rFonts w:hint="eastAsia" w:asciiTheme="minorEastAsia" w:hAnsiTheme="minorEastAsia" w:eastAsiaTheme="minorEastAsia" w:cstheme="minorEastAsia"/>
          <w:i w:val="0"/>
          <w:iCs w:val="0"/>
          <w:color w:val="auto"/>
          <w:sz w:val="21"/>
          <w:szCs w:val="21"/>
          <w:highlight w:val="none"/>
          <w:u w:val="none"/>
        </w:rPr>
        <w:t>河池市金城江区金旅大厦2单元18楼</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sz w:val="21"/>
          <w:szCs w:val="21"/>
          <w:highlight w:val="none"/>
        </w:rPr>
        <w:t>联系方式：</w:t>
      </w:r>
      <w:bookmarkStart w:id="38" w:name="_Toc28359010"/>
      <w:bookmarkStart w:id="39" w:name="_Toc28359087"/>
      <w:r>
        <w:rPr>
          <w:rFonts w:hint="eastAsia" w:ascii="宋体" w:hAnsi="宋体" w:eastAsia="宋体" w:cs="宋体"/>
          <w:szCs w:val="21"/>
        </w:rPr>
        <w:t>余海玉、0778-2320397</w:t>
      </w:r>
    </w:p>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i w:val="0"/>
          <w:iCs w:val="0"/>
          <w:color w:val="auto"/>
          <w:sz w:val="21"/>
          <w:szCs w:val="21"/>
          <w:highlight w:val="none"/>
          <w:u w:val="single"/>
        </w:rPr>
      </w:pPr>
      <w:r>
        <w:rPr>
          <w:rFonts w:hint="eastAsia" w:asciiTheme="minorEastAsia" w:hAnsiTheme="minorEastAsia" w:eastAsiaTheme="minorEastAsia" w:cstheme="minorEastAsia"/>
          <w:i w:val="0"/>
          <w:iCs w:val="0"/>
          <w:color w:val="auto"/>
          <w:sz w:val="21"/>
          <w:szCs w:val="21"/>
          <w:highlight w:val="none"/>
        </w:rPr>
        <w:t>3.项目联系方式</w:t>
      </w:r>
      <w:bookmarkEnd w:id="38"/>
      <w:bookmarkEnd w:id="39"/>
    </w:p>
    <w:p>
      <w:pPr>
        <w:pStyle w:val="22"/>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i w:val="0"/>
          <w:iCs w:val="0"/>
          <w:color w:val="auto"/>
          <w:sz w:val="21"/>
          <w:szCs w:val="21"/>
          <w:highlight w:val="none"/>
          <w:u w:val="none"/>
          <w:lang w:eastAsia="zh-CN"/>
        </w:rPr>
      </w:pPr>
      <w:r>
        <w:rPr>
          <w:rFonts w:hint="eastAsia" w:asciiTheme="minorEastAsia" w:hAnsiTheme="minorEastAsia" w:eastAsiaTheme="minorEastAsia" w:cstheme="minorEastAsia"/>
          <w:i w:val="0"/>
          <w:iCs w:val="0"/>
          <w:color w:val="auto"/>
          <w:sz w:val="21"/>
          <w:szCs w:val="21"/>
          <w:highlight w:val="none"/>
        </w:rPr>
        <w:t>项目联系人：</w:t>
      </w:r>
      <w:r>
        <w:rPr>
          <w:rFonts w:hint="eastAsia" w:asciiTheme="minorEastAsia" w:hAnsiTheme="minorEastAsia" w:eastAsiaTheme="minorEastAsia" w:cstheme="minorEastAsia"/>
          <w:i w:val="0"/>
          <w:iCs w:val="0"/>
          <w:color w:val="auto"/>
          <w:sz w:val="21"/>
          <w:szCs w:val="21"/>
          <w:highlight w:val="none"/>
          <w:u w:val="none"/>
          <w:lang w:eastAsia="zh-CN"/>
        </w:rPr>
        <w:t>余海玉</w:t>
      </w:r>
    </w:p>
    <w:p>
      <w:pPr>
        <w:pageBreakBefore w:val="0"/>
        <w:kinsoku/>
        <w:wordWrap/>
        <w:overflowPunct/>
        <w:topLinePunct w:val="0"/>
        <w:autoSpaceDE/>
        <w:autoSpaceDN/>
        <w:bidi w:val="0"/>
        <w:adjustRightInd/>
        <w:snapToGrid/>
        <w:spacing w:line="400" w:lineRule="exact"/>
        <w:ind w:firstLine="630" w:firstLineChars="300"/>
        <w:textAlignment w:val="auto"/>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sz w:val="21"/>
          <w:szCs w:val="21"/>
          <w:highlight w:val="none"/>
        </w:rPr>
        <w:t>电　话：</w:t>
      </w:r>
      <w:r>
        <w:rPr>
          <w:rFonts w:hint="eastAsia" w:ascii="宋体" w:hAnsi="宋体" w:eastAsia="宋体" w:cs="宋体"/>
          <w:szCs w:val="21"/>
        </w:rPr>
        <w:t>0778-2320397</w:t>
      </w:r>
    </w:p>
    <w:p>
      <w:pPr>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i w:val="0"/>
          <w:iCs w:val="0"/>
          <w:color w:val="auto"/>
          <w:sz w:val="21"/>
          <w:szCs w:val="21"/>
          <w:highlight w:val="none"/>
        </w:rPr>
      </w:pPr>
    </w:p>
    <w:p>
      <w:pPr>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i w:val="0"/>
          <w:iCs w:val="0"/>
          <w:color w:val="auto"/>
          <w:sz w:val="21"/>
          <w:szCs w:val="21"/>
          <w:highlight w:val="yellow"/>
        </w:rPr>
      </w:pPr>
    </w:p>
    <w:p>
      <w:pPr>
        <w:pageBreakBefore w:val="0"/>
        <w:kinsoku/>
        <w:wordWrap/>
        <w:overflowPunct/>
        <w:topLinePunct w:val="0"/>
        <w:autoSpaceDE/>
        <w:autoSpaceDN/>
        <w:bidi w:val="0"/>
        <w:adjustRightInd/>
        <w:snapToGrid/>
        <w:spacing w:line="400" w:lineRule="exact"/>
        <w:ind w:firstLine="4410" w:firstLineChars="2100"/>
        <w:textAlignment w:val="auto"/>
        <w:rPr>
          <w:rFonts w:hint="eastAsia" w:asciiTheme="minorEastAsia" w:hAnsiTheme="minorEastAsia" w:eastAsiaTheme="minorEastAsia" w:cstheme="minorEastAsia"/>
          <w:i w:val="0"/>
          <w:iCs w:val="0"/>
          <w:color w:val="auto"/>
          <w:sz w:val="21"/>
          <w:szCs w:val="21"/>
          <w:highlight w:val="none"/>
          <w:lang w:eastAsia="zh-CN"/>
        </w:rPr>
      </w:pPr>
      <w:r>
        <w:rPr>
          <w:rFonts w:hint="eastAsia" w:asciiTheme="minorEastAsia" w:hAnsiTheme="minorEastAsia" w:eastAsiaTheme="minorEastAsia" w:cstheme="minorEastAsia"/>
          <w:i w:val="0"/>
          <w:iCs w:val="0"/>
          <w:color w:val="auto"/>
          <w:sz w:val="21"/>
          <w:szCs w:val="21"/>
          <w:highlight w:val="none"/>
          <w:lang w:eastAsia="zh-CN"/>
        </w:rPr>
        <w:t>采购代理单位：广西桂宝工程监理咨询有限公司</w:t>
      </w:r>
    </w:p>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2021</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08</w:t>
      </w:r>
      <w:r>
        <w:rPr>
          <w:rFonts w:hint="eastAsia" w:ascii="宋体" w:hAnsi="宋体" w:eastAsia="宋体" w:cs="宋体"/>
          <w:color w:val="auto"/>
          <w:sz w:val="21"/>
          <w:szCs w:val="21"/>
          <w:highlight w:val="none"/>
        </w:rPr>
        <w:t>日</w:t>
      </w:r>
    </w:p>
    <w:p>
      <w:pPr>
        <w:rPr>
          <w:rFonts w:hint="eastAsia" w:ascii="宋体" w:hAnsi="宋体" w:eastAsia="宋体" w:cs="宋体"/>
          <w:color w:val="auto"/>
          <w:highlight w:val="none"/>
        </w:rPr>
        <w:sectPr>
          <w:headerReference r:id="rId5" w:type="default"/>
          <w:footerReference r:id="rId7" w:type="default"/>
          <w:headerReference r:id="rId6" w:type="even"/>
          <w:footerReference r:id="rId8" w:type="even"/>
          <w:pgSz w:w="11907" w:h="16840"/>
          <w:pgMar w:top="1418" w:right="1134" w:bottom="1418" w:left="1134" w:header="851" w:footer="992" w:gutter="0"/>
          <w:pgNumType w:fmt="decimal"/>
          <w:cols w:space="720" w:num="1"/>
          <w:docGrid w:type="lines" w:linePitch="312" w:charSpace="0"/>
        </w:sectPr>
      </w:pPr>
    </w:p>
    <w:p>
      <w:pPr>
        <w:pStyle w:val="2"/>
        <w:rPr>
          <w:rFonts w:hint="eastAsia"/>
        </w:rPr>
      </w:pPr>
    </w:p>
    <w:p>
      <w:pPr>
        <w:pStyle w:val="3"/>
        <w:jc w:val="center"/>
        <w:rPr>
          <w:rFonts w:hint="eastAsia" w:ascii="宋体" w:hAnsi="宋体" w:eastAsia="宋体" w:cs="宋体"/>
          <w:color w:val="auto"/>
          <w:highlight w:val="none"/>
        </w:rPr>
      </w:pPr>
      <w:r>
        <w:rPr>
          <w:rFonts w:hint="eastAsia" w:ascii="宋体" w:hAnsi="宋体" w:eastAsia="宋体" w:cs="宋体"/>
          <w:color w:val="auto"/>
          <w:highlight w:val="none"/>
        </w:rPr>
        <w:t>第二章  投标人须知</w:t>
      </w:r>
      <w:bookmarkEnd w:id="5"/>
    </w:p>
    <w:p>
      <w:pPr>
        <w:pStyle w:val="3"/>
        <w:jc w:val="center"/>
        <w:rPr>
          <w:rFonts w:hint="eastAsia" w:ascii="宋体" w:hAnsi="宋体" w:eastAsia="宋体" w:cs="宋体"/>
          <w:color w:val="auto"/>
          <w:sz w:val="30"/>
          <w:szCs w:val="30"/>
          <w:highlight w:val="none"/>
        </w:rPr>
      </w:pPr>
      <w:bookmarkStart w:id="40" w:name="_Toc28860"/>
      <w:bookmarkStart w:id="41" w:name="_Toc391392709"/>
      <w:r>
        <w:rPr>
          <w:rFonts w:hint="eastAsia" w:ascii="宋体" w:hAnsi="宋体" w:eastAsia="宋体" w:cs="宋体"/>
          <w:color w:val="auto"/>
          <w:sz w:val="30"/>
          <w:szCs w:val="30"/>
          <w:highlight w:val="none"/>
        </w:rPr>
        <w:t>投标人须知前附表</w:t>
      </w:r>
      <w:bookmarkEnd w:id="40"/>
      <w:bookmarkEnd w:id="41"/>
    </w:p>
    <w:tbl>
      <w:tblPr>
        <w:tblStyle w:val="41"/>
        <w:tblW w:w="9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2730"/>
        <w:gridCol w:w="5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b/>
                <w:color w:val="auto"/>
                <w:highlight w:val="none"/>
              </w:rPr>
            </w:pPr>
            <w:r>
              <w:rPr>
                <w:rFonts w:hint="eastAsia" w:ascii="宋体" w:hAnsi="宋体" w:eastAsia="宋体" w:cs="宋体"/>
                <w:b/>
                <w:color w:val="auto"/>
                <w:highlight w:val="none"/>
              </w:rPr>
              <w:t>条款号</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b/>
                <w:color w:val="auto"/>
                <w:highlight w:val="none"/>
              </w:rPr>
            </w:pPr>
            <w:r>
              <w:rPr>
                <w:rFonts w:hint="eastAsia" w:ascii="宋体" w:hAnsi="宋体" w:eastAsia="宋体" w:cs="宋体"/>
                <w:b/>
                <w:color w:val="auto"/>
                <w:highlight w:val="none"/>
              </w:rPr>
              <w:t>条款名称</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b/>
                <w:color w:val="auto"/>
                <w:highlight w:val="none"/>
              </w:rPr>
            </w:pPr>
            <w:r>
              <w:rPr>
                <w:rFonts w:hint="eastAsia" w:ascii="宋体" w:hAnsi="宋体" w:eastAsia="宋体" w:cs="宋体"/>
                <w:b/>
                <w:color w:val="auto"/>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1.1.2</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采购人</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szCs w:val="21"/>
                <w:highlight w:val="none"/>
                <w:u w:val="single"/>
                <w:lang w:eastAsia="zh-CN"/>
              </w:rPr>
            </w:pPr>
            <w:r>
              <w:rPr>
                <w:rFonts w:hint="eastAsia" w:ascii="宋体" w:hAnsi="宋体" w:eastAsia="宋体" w:cs="宋体"/>
                <w:color w:val="auto"/>
                <w:highlight w:val="none"/>
              </w:rPr>
              <w:t>名称：</w:t>
            </w:r>
            <w:r>
              <w:rPr>
                <w:rFonts w:hint="eastAsia" w:ascii="宋体" w:hAnsi="宋体" w:eastAsia="宋体" w:cs="宋体"/>
                <w:color w:val="auto"/>
                <w:szCs w:val="21"/>
                <w:highlight w:val="none"/>
                <w:lang w:eastAsia="zh-CN"/>
              </w:rPr>
              <w:t>河池市金城江区农业农村局</w:t>
            </w:r>
          </w:p>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rPr>
              <w:t>地址：</w:t>
            </w:r>
            <w:r>
              <w:rPr>
                <w:rFonts w:hint="eastAsia" w:ascii="宋体" w:hAnsi="宋体" w:eastAsia="宋体" w:cs="宋体"/>
                <w:color w:val="auto"/>
                <w:highlight w:val="none"/>
                <w:lang w:eastAsia="zh-CN"/>
              </w:rPr>
              <w:t>河池市金城江区文苑路1号</w:t>
            </w:r>
          </w:p>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rPr>
              <w:t>联系人：</w:t>
            </w:r>
            <w:r>
              <w:rPr>
                <w:rFonts w:hint="eastAsia" w:ascii="宋体" w:hAnsi="宋体" w:eastAsia="宋体" w:cs="宋体"/>
                <w:color w:val="auto"/>
                <w:highlight w:val="none"/>
                <w:lang w:eastAsia="zh-CN"/>
              </w:rPr>
              <w:t>梁继豪</w:t>
            </w:r>
          </w:p>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电话：</w:t>
            </w:r>
            <w:r>
              <w:rPr>
                <w:rFonts w:hint="eastAsia" w:ascii="宋体" w:hAnsi="宋体" w:eastAsia="宋体" w:cs="宋体"/>
                <w:color w:val="auto"/>
                <w:highlight w:val="none"/>
                <w:lang w:eastAsia="zh-CN"/>
              </w:rPr>
              <w:t xml:space="preserve">0778-2280220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1.1.3</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采购代理机构</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szCs w:val="21"/>
                <w:highlight w:val="none"/>
                <w:lang w:eastAsia="zh-CN"/>
              </w:rPr>
            </w:pPr>
            <w:r>
              <w:rPr>
                <w:rFonts w:hint="eastAsia" w:ascii="宋体" w:hAnsi="宋体" w:eastAsia="宋体" w:cs="宋体"/>
                <w:color w:val="auto"/>
                <w:highlight w:val="none"/>
              </w:rPr>
              <w:t>名称：</w:t>
            </w:r>
            <w:r>
              <w:rPr>
                <w:rFonts w:hint="eastAsia" w:ascii="宋体" w:hAnsi="宋体" w:eastAsia="宋体" w:cs="宋体"/>
                <w:color w:val="auto"/>
                <w:szCs w:val="21"/>
                <w:highlight w:val="none"/>
                <w:lang w:eastAsia="zh-CN"/>
              </w:rPr>
              <w:t>广西桂宝工程监理咨询有限公司</w:t>
            </w:r>
          </w:p>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szCs w:val="21"/>
                <w:highlight w:val="none"/>
                <w:u w:val="single"/>
                <w:lang w:eastAsia="zh-CN"/>
              </w:rPr>
            </w:pPr>
            <w:r>
              <w:rPr>
                <w:rFonts w:hint="eastAsia" w:ascii="宋体" w:hAnsi="宋体" w:eastAsia="宋体" w:cs="宋体"/>
                <w:color w:val="auto"/>
                <w:highlight w:val="none"/>
              </w:rPr>
              <w:t>地址：</w:t>
            </w:r>
            <w:r>
              <w:rPr>
                <w:rFonts w:hint="eastAsia" w:ascii="宋体" w:hAnsi="宋体" w:eastAsia="宋体" w:cs="宋体"/>
                <w:color w:val="auto"/>
                <w:szCs w:val="21"/>
                <w:highlight w:val="none"/>
                <w:lang w:eastAsia="zh-CN"/>
              </w:rPr>
              <w:t>河池市金城江区百旺路金旅国际投资大厦2单元18楼</w:t>
            </w:r>
          </w:p>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rPr>
              <w:t>联系人：</w:t>
            </w:r>
            <w:r>
              <w:rPr>
                <w:rFonts w:hint="eastAsia" w:ascii="宋体" w:hAnsi="宋体" w:eastAsia="宋体" w:cs="宋体"/>
                <w:szCs w:val="21"/>
              </w:rPr>
              <w:t>余海玉</w:t>
            </w:r>
          </w:p>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rPr>
              <w:t>电话：</w:t>
            </w:r>
            <w:r>
              <w:rPr>
                <w:rFonts w:hint="eastAsia" w:ascii="宋体" w:hAnsi="宋体" w:eastAsia="宋体" w:cs="宋体"/>
                <w:szCs w:val="21"/>
              </w:rPr>
              <w:t>0778-2320397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1.1.4</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5109" w:type="dxa"/>
            <w:vAlign w:val="top"/>
          </w:tcPr>
          <w:p>
            <w:pPr>
              <w:ind w:left="1050" w:hanging="1054" w:hangingChars="500"/>
              <w:rPr>
                <w:rFonts w:hint="eastAsia" w:ascii="宋体" w:hAnsi="宋体" w:eastAsia="宋体" w:cs="宋体"/>
                <w:color w:val="auto"/>
                <w:highlight w:val="none"/>
                <w:lang w:eastAsia="zh-CN"/>
              </w:rPr>
            </w:pPr>
            <w:r>
              <w:rPr>
                <w:rFonts w:hint="eastAsia" w:ascii="宋体" w:hAnsi="宋体" w:eastAsia="宋体" w:cs="宋体"/>
                <w:b/>
                <w:bCs/>
                <w:color w:val="auto"/>
                <w:highlight w:val="none"/>
                <w:lang w:eastAsia="zh-CN"/>
              </w:rPr>
              <w:t>项目名称：</w:t>
            </w:r>
            <w:r>
              <w:rPr>
                <w:rFonts w:hint="eastAsia" w:ascii="宋体" w:hAnsi="宋体" w:eastAsia="宋体" w:cs="宋体"/>
                <w:color w:val="auto"/>
                <w:highlight w:val="none"/>
                <w:lang w:eastAsia="zh-CN"/>
              </w:rPr>
              <w:t>金城江区2020年灾毁农田修复项目</w:t>
            </w:r>
          </w:p>
          <w:p>
            <w:pPr>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标段划分：</w:t>
            </w:r>
          </w:p>
          <w:p>
            <w:pPr>
              <w:ind w:firstLine="42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一标段：金城江区拔贡镇坡降社区（主渠道等）灾毁农田修复项目</w:t>
            </w:r>
          </w:p>
          <w:p>
            <w:pPr>
              <w:ind w:firstLine="42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二标段：金城江区拔贡镇朝平村、贡维村、拉廖村灾毁农田修复项目</w:t>
            </w:r>
          </w:p>
          <w:p>
            <w:pPr>
              <w:ind w:firstLine="42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三标段：金城江区拔贡镇拉电村、大莫村灾毁农田修复项目</w:t>
            </w:r>
          </w:p>
          <w:p>
            <w:pPr>
              <w:ind w:firstLine="42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四标段：金城江区拔贡镇北香村灾毁农田修复项目</w:t>
            </w:r>
          </w:p>
          <w:p>
            <w:pPr>
              <w:ind w:firstLine="42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五标段：金城江区河池镇枫木村、大杨村、公华村灾毁农田修复项目</w:t>
            </w:r>
          </w:p>
          <w:p>
            <w:pPr>
              <w:ind w:firstLine="42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六标段：金城江区河池镇河池社区、拉显村、红沙村，六甲镇灾毁农田修复项目</w:t>
            </w:r>
          </w:p>
          <w:p>
            <w:pPr>
              <w:ind w:firstLine="42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七标段：金城江区五圩镇五圩社区、拔旺村、龙马村灾毁农田修复项目</w:t>
            </w:r>
          </w:p>
          <w:p>
            <w:pPr>
              <w:ind w:firstLine="42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八标段：金城江区五圩镇塘州村、平桥村、塘降村灾毁农田修复项目</w:t>
            </w:r>
          </w:p>
          <w:p>
            <w:pPr>
              <w:ind w:firstLine="42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九标段：金城江区侧岭乡、五圩镇龙马村、三境村灾毁农田修复项目</w:t>
            </w:r>
          </w:p>
          <w:p>
            <w:pPr>
              <w:ind w:firstLine="42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十标段：金城江区拔贡镇坡降社区（排洪渠等）灾毁农田修复项目</w:t>
            </w:r>
          </w:p>
          <w:p>
            <w:pPr>
              <w:ind w:firstLine="42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十一标段：金城江区东江镇、九圩镇山脚村、拉平村、牙洞村、大村村、板岜村灾毁农田修复项目</w:t>
            </w:r>
          </w:p>
          <w:p>
            <w:pPr>
              <w:ind w:firstLine="42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十二标段：金城江区六圩镇、九圩镇大郭村、红渡村、那朝村、那余村灾毁农田修复项目</w:t>
            </w:r>
          </w:p>
          <w:p>
            <w:pPr>
              <w:ind w:firstLine="42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十三标段：金城江区长老乡板庆村、六角村、长老社区灾毁农田修复项目</w:t>
            </w:r>
          </w:p>
          <w:p>
            <w:pPr>
              <w:ind w:firstLine="42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十四标段：金城江区长老乡地霄村灾毁农田修复项目</w:t>
            </w:r>
          </w:p>
          <w:p>
            <w:pPr>
              <w:ind w:firstLine="422" w:firstLineChars="200"/>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十五标段：金城江区白土乡、长老乡拉谐村、长老社区望楼灾毁农田修复项目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1.1.5</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建设地点</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河池市金城江区境内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1.2.1</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资金来源</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1.2.2</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出资比例</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1.2.3</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资金落实情况</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已下达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1.3.1</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招标范围</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szCs w:val="21"/>
                <w:highlight w:val="none"/>
              </w:rPr>
              <w:t>经评审备案的</w:t>
            </w:r>
            <w:r>
              <w:rPr>
                <w:rFonts w:hint="eastAsia" w:ascii="宋体" w:hAnsi="宋体" w:eastAsia="宋体" w:cs="宋体"/>
                <w:color w:val="auto"/>
                <w:highlight w:val="none"/>
              </w:rPr>
              <w:t>施工图纸范围内的施工内容，详见施工图纸及工程量清单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1.3.2</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计划工期</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各个标段要求工期均为</w:t>
            </w:r>
            <w:r>
              <w:rPr>
                <w:rFonts w:hint="eastAsia" w:ascii="宋体" w:hAnsi="宋体" w:eastAsia="宋体" w:cs="宋体"/>
                <w:color w:val="auto"/>
                <w:highlight w:val="none"/>
                <w:u w:val="single"/>
              </w:rPr>
              <w:t xml:space="preserve"> 1</w:t>
            </w:r>
            <w:r>
              <w:rPr>
                <w:rFonts w:hint="eastAsia" w:ascii="宋体" w:hAnsi="宋体" w:eastAsia="宋体" w:cs="宋体"/>
                <w:color w:val="auto"/>
                <w:highlight w:val="none"/>
                <w:u w:val="single"/>
                <w:lang w:val="en-US" w:eastAsia="zh-CN"/>
              </w:rPr>
              <w:t>8</w:t>
            </w:r>
            <w:r>
              <w:rPr>
                <w:rFonts w:hint="eastAsia" w:ascii="宋体" w:hAnsi="宋体" w:eastAsia="宋体" w:cs="宋体"/>
                <w:color w:val="auto"/>
                <w:highlight w:val="none"/>
                <w:u w:val="single"/>
              </w:rPr>
              <w:t xml:space="preserve">0 </w:t>
            </w:r>
            <w:r>
              <w:rPr>
                <w:rFonts w:hint="eastAsia" w:ascii="宋体" w:hAnsi="宋体" w:eastAsia="宋体" w:cs="宋体"/>
                <w:color w:val="auto"/>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1.3.3</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质量要求</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1.4.1</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投标人资质条件、能力、</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诚信要求</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b/>
                <w:color w:val="auto"/>
                <w:highlight w:val="none"/>
              </w:rPr>
            </w:pPr>
            <w:r>
              <w:rPr>
                <w:rFonts w:hint="eastAsia" w:ascii="宋体" w:hAnsi="宋体" w:eastAsia="宋体" w:cs="宋体"/>
                <w:b/>
                <w:color w:val="auto"/>
                <w:highlight w:val="none"/>
              </w:rPr>
              <w:t>资质条件：</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b/>
                <w:color w:val="auto"/>
                <w:highlight w:val="none"/>
                <w:lang w:eastAsia="zh-CN"/>
              </w:rPr>
            </w:pPr>
            <w:r>
              <w:rPr>
                <w:rFonts w:hint="eastAsia" w:ascii="宋体" w:hAnsi="宋体" w:eastAsia="宋体" w:cs="宋体"/>
                <w:color w:val="auto"/>
                <w:szCs w:val="21"/>
                <w:highlight w:val="none"/>
              </w:rPr>
              <w:t>本次招标要求投标人须</w:t>
            </w:r>
            <w:r>
              <w:rPr>
                <w:rFonts w:hint="eastAsia" w:ascii="宋体" w:hAnsi="宋体" w:eastAsia="宋体" w:cs="宋体"/>
                <w:color w:val="auto"/>
                <w:szCs w:val="21"/>
                <w:highlight w:val="none"/>
                <w:lang w:eastAsia="zh-CN"/>
              </w:rPr>
              <w:t>满足</w:t>
            </w:r>
            <w:r>
              <w:rPr>
                <w:rFonts w:hint="eastAsia" w:ascii="宋体" w:hAnsi="宋体" w:eastAsia="宋体" w:cs="宋体"/>
                <w:color w:val="auto"/>
                <w:szCs w:val="21"/>
                <w:highlight w:val="none"/>
              </w:rPr>
              <w:t>《中华人民共和国政府采购法》第二十二条的规定。</w:t>
            </w:r>
            <w:r>
              <w:rPr>
                <w:rFonts w:hint="eastAsia" w:ascii="宋体" w:hAnsi="宋体" w:eastAsia="宋体" w:cs="宋体"/>
                <w:b/>
                <w:bCs/>
                <w:color w:val="auto"/>
                <w:szCs w:val="21"/>
                <w:highlight w:val="none"/>
              </w:rPr>
              <w:t>一标段至</w:t>
            </w:r>
            <w:r>
              <w:rPr>
                <w:rFonts w:hint="eastAsia" w:ascii="宋体" w:hAnsi="宋体" w:eastAsia="宋体" w:cs="宋体"/>
                <w:b/>
                <w:bCs/>
                <w:color w:val="auto"/>
                <w:szCs w:val="21"/>
                <w:highlight w:val="none"/>
                <w:lang w:eastAsia="zh-CN"/>
              </w:rPr>
              <w:t>十五标段</w:t>
            </w:r>
            <w:r>
              <w:rPr>
                <w:rFonts w:hint="eastAsia" w:ascii="宋体" w:hAnsi="宋体" w:eastAsia="宋体" w:cs="宋体"/>
                <w:b/>
                <w:bCs/>
                <w:color w:val="auto"/>
                <w:szCs w:val="21"/>
                <w:highlight w:val="none"/>
              </w:rPr>
              <w:t>投标人资格要求均为：</w:t>
            </w:r>
            <w:r>
              <w:rPr>
                <w:rFonts w:hint="eastAsia" w:ascii="宋体" w:hAnsi="宋体" w:eastAsia="宋体" w:cs="宋体"/>
                <w:color w:val="auto"/>
                <w:szCs w:val="21"/>
                <w:highlight w:val="none"/>
              </w:rPr>
              <w:t>投标人需具备水利工程施工总承包叁级以上（含叁级）资质或市政公用工程施工总承包叁级以上（含叁级）资质，并在人员、设备、资金等方面具有相应的施工能力。</w:t>
            </w:r>
          </w:p>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szCs w:val="21"/>
                <w:highlight w:val="none"/>
              </w:rPr>
            </w:pPr>
            <w:r>
              <w:rPr>
                <w:rFonts w:hint="eastAsia" w:ascii="宋体" w:hAnsi="宋体" w:eastAsia="宋体" w:cs="宋体"/>
                <w:b/>
                <w:color w:val="auto"/>
                <w:highlight w:val="none"/>
              </w:rPr>
              <w:t>财务要求：</w:t>
            </w:r>
            <w:r>
              <w:rPr>
                <w:rFonts w:hint="eastAsia" w:ascii="宋体" w:hAnsi="宋体" w:eastAsia="宋体" w:cs="宋体"/>
                <w:color w:val="auto"/>
                <w:highlight w:val="none"/>
              </w:rPr>
              <w:t>近</w:t>
            </w:r>
            <w:r>
              <w:rPr>
                <w:rFonts w:hint="eastAsia" w:ascii="宋体" w:hAnsi="宋体" w:eastAsia="宋体" w:cs="宋体"/>
                <w:color w:val="auto"/>
                <w:szCs w:val="21"/>
                <w:highlight w:val="none"/>
              </w:rPr>
              <w:t>三年（201</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～201</w:t>
            </w: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年）经审计的财务报表。(对于从取得营业执照时间起到投标截止时间为止不足要求年数的企业，只需提交企业取得营业执照年份至所要求最近年份经审计的财务报表)</w:t>
            </w:r>
          </w:p>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szCs w:val="21"/>
                <w:highlight w:val="none"/>
              </w:rPr>
            </w:pPr>
            <w:r>
              <w:rPr>
                <w:rFonts w:hint="eastAsia" w:ascii="宋体" w:hAnsi="宋体" w:eastAsia="宋体" w:cs="宋体"/>
                <w:b/>
                <w:color w:val="auto"/>
                <w:highlight w:val="none"/>
              </w:rPr>
              <w:t>诚信要求：</w:t>
            </w:r>
            <w:bookmarkStart w:id="42" w:name="OLE_LINK1"/>
            <w:r>
              <w:rPr>
                <w:rFonts w:hint="eastAsia" w:ascii="宋体" w:hAnsi="宋体" w:eastAsia="宋体" w:cs="宋体"/>
                <w:color w:val="auto"/>
                <w:szCs w:val="21"/>
                <w:highlight w:val="none"/>
              </w:rPr>
              <w:t>在最近一年(开标之日前一年)内无骗取中标或重大安全事故或重大工程质量事故或停业处罚记录。</w:t>
            </w:r>
          </w:p>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szCs w:val="21"/>
                <w:highlight w:val="none"/>
                <w:lang w:eastAsia="zh-CN"/>
              </w:rPr>
            </w:pPr>
            <w:r>
              <w:rPr>
                <w:rFonts w:hint="eastAsia" w:ascii="宋体" w:hAnsi="宋体" w:eastAsia="宋体" w:cs="宋体"/>
                <w:b/>
                <w:color w:val="auto"/>
                <w:szCs w:val="21"/>
                <w:highlight w:val="none"/>
              </w:rPr>
              <w:t>业绩要求：</w:t>
            </w:r>
            <w:r>
              <w:rPr>
                <w:rFonts w:hint="eastAsia" w:ascii="宋体" w:hAnsi="宋体" w:eastAsia="宋体" w:cs="宋体"/>
                <w:color w:val="auto"/>
                <w:szCs w:val="21"/>
                <w:highlight w:val="none"/>
                <w:lang w:eastAsia="zh-CN"/>
              </w:rPr>
              <w:t>无</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联合体投标</w:t>
            </w:r>
            <w:r>
              <w:rPr>
                <w:rFonts w:hint="eastAsia" w:ascii="宋体" w:hAnsi="宋体" w:eastAsia="宋体" w:cs="宋体"/>
                <w:b/>
                <w:bCs/>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不接受</w:t>
            </w:r>
          </w:p>
          <w:bookmarkEnd w:id="42"/>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项目经理：</w:t>
            </w:r>
          </w:p>
          <w:p>
            <w:pPr>
              <w:pStyle w:val="188"/>
              <w:keepNext w:val="0"/>
              <w:keepLines w:val="0"/>
              <w:pageBreakBefore w:val="0"/>
              <w:widowControl/>
              <w:kinsoku/>
              <w:wordWrap/>
              <w:overflowPunct/>
              <w:topLinePunct w:val="0"/>
              <w:autoSpaceDE/>
              <w:autoSpaceDN/>
              <w:bidi w:val="0"/>
              <w:adjustRightInd/>
              <w:snapToGrid/>
              <w:spacing w:line="440" w:lineRule="exact"/>
              <w:jc w:val="both"/>
              <w:textAlignment w:val="auto"/>
              <w:outlineLvl w:val="9"/>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b/>
                <w:bCs/>
                <w:color w:val="auto"/>
                <w:kern w:val="0"/>
                <w:sz w:val="21"/>
                <w:szCs w:val="21"/>
                <w:highlight w:val="none"/>
                <w:lang w:val="en-US" w:eastAsia="zh-CN" w:bidi="ar-SA"/>
              </w:rPr>
              <w:t>一标段至十五标段拟派项目经理资格要求均为：</w:t>
            </w:r>
            <w:r>
              <w:rPr>
                <w:rFonts w:hint="eastAsia" w:ascii="宋体" w:hAnsi="宋体" w:eastAsia="宋体" w:cs="宋体"/>
                <w:color w:val="auto"/>
                <w:kern w:val="0"/>
                <w:sz w:val="21"/>
                <w:szCs w:val="21"/>
                <w:highlight w:val="none"/>
                <w:lang w:val="en-US" w:eastAsia="zh-CN" w:bidi="ar-SA"/>
              </w:rPr>
              <w:t>投标人拟派项目经理需具备水利工程专业二级以上（含二级）或市政公用工程二级以上（含二级）注册建造师资格，具备有效的安全生产考核合格证书（B类），本项目不接受有在建项目、已中标未开工项目或已列为其他项目中标候选人第一名的建造师作为项目经理（符合桂建管﹝2013﹞17号和桂建管﹝2014﹞25号文除外）</w:t>
            </w:r>
            <w:r>
              <w:rPr>
                <w:rFonts w:hint="eastAsia" w:ascii="宋体" w:hAnsi="宋体" w:eastAsia="宋体" w:cs="宋体"/>
                <w:color w:val="auto"/>
                <w:kern w:val="0"/>
                <w:sz w:val="21"/>
                <w:szCs w:val="21"/>
                <w:highlight w:val="none"/>
                <w:lang w:val="zh-CN" w:eastAsia="zh-CN" w:bidi="ar-SA"/>
              </w:rPr>
              <w:t>。</w:t>
            </w:r>
          </w:p>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b/>
                <w:color w:val="auto"/>
                <w:highlight w:val="none"/>
              </w:rPr>
            </w:pPr>
            <w:r>
              <w:rPr>
                <w:rFonts w:hint="eastAsia" w:ascii="宋体" w:hAnsi="宋体" w:eastAsia="宋体" w:cs="宋体"/>
                <w:b/>
                <w:color w:val="auto"/>
                <w:highlight w:val="none"/>
              </w:rPr>
              <w:t>其他要求：</w:t>
            </w:r>
          </w:p>
          <w:p>
            <w:pPr>
              <w:pStyle w:val="37"/>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340" w:lineRule="exact"/>
              <w:ind w:firstLine="56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本项目评标顺序为一标段→十</w:t>
            </w:r>
            <w:r>
              <w:rPr>
                <w:rFonts w:hint="eastAsia" w:ascii="宋体" w:hAnsi="宋体" w:eastAsia="宋体" w:cs="宋体"/>
                <w:color w:val="auto"/>
                <w:sz w:val="21"/>
                <w:szCs w:val="21"/>
                <w:highlight w:val="none"/>
                <w:lang w:eastAsia="zh-CN"/>
              </w:rPr>
              <w:t>五</w:t>
            </w:r>
            <w:r>
              <w:rPr>
                <w:rFonts w:hint="eastAsia" w:ascii="宋体" w:hAnsi="宋体" w:eastAsia="宋体" w:cs="宋体"/>
                <w:color w:val="auto"/>
                <w:sz w:val="21"/>
                <w:szCs w:val="21"/>
                <w:highlight w:val="none"/>
              </w:rPr>
              <w:t>标段，为了保证工程质量及建设时间，各投标人可参加本项目中任意</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个标段进行投标，最多可同时中2个标段。投标人应就不同标段派出不同的项目经理和项目专职安全员，否则同一项目经理或项目专职安全员所投其它标段作否决投标处理（符合桂建管﹝2013﹞17号和桂建管﹝2014﹞25号文除外）。</w:t>
            </w:r>
          </w:p>
          <w:p>
            <w:pPr>
              <w:pStyle w:val="37"/>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340" w:lineRule="exact"/>
              <w:ind w:firstLine="56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投标人不得为“列入失信被执行人”、“ 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1.4.2</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是否接受联合体投标</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eq \o\ac(□,</w:instrText>
            </w:r>
            <w:r>
              <w:rPr>
                <w:rFonts w:hint="eastAsia" w:ascii="宋体" w:hAnsi="宋体" w:eastAsia="宋体" w:cs="宋体"/>
                <w:color w:val="auto"/>
                <w:position w:val="2"/>
                <w:sz w:val="16"/>
                <w:highlight w:val="none"/>
              </w:rPr>
              <w:instrText xml:space="preserve">√</w:instrText>
            </w:r>
            <w:r>
              <w:rPr>
                <w:rFonts w:hint="eastAsia" w:ascii="宋体" w:hAnsi="宋体" w:eastAsia="宋体" w:cs="宋体"/>
                <w:color w:val="auto"/>
                <w:highlight w:val="none"/>
              </w:rPr>
              <w:instrText xml:space="preserve">)</w:instrTex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不接受</w:t>
            </w:r>
          </w:p>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highlight w:val="none"/>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1.9.1</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踏勘现场</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1.10.1</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投标预备会</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1.10.2</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投标人提出问题的</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截止时间</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投标截止日前</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1.10.3</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书面澄清的时间</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投标截止日前15天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1.11</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分包</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kern w:val="0"/>
                <w:sz w:val="24"/>
                <w:highlight w:val="none"/>
              </w:rPr>
            </w:pPr>
            <w:r>
              <w:rPr>
                <w:rFonts w:hint="eastAsia" w:ascii="宋体" w:hAnsi="宋体" w:eastAsia="宋体" w:cs="宋体"/>
                <w:color w:val="auto"/>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1.12</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偏离</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2.1</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构成招标文件的其他材料</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招标文件的澄清、修改、补充通知等内容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2.2.1</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投标人要求澄清招标文件的截止时间</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投标截止日前10天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2.2.2</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投标截止时间</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2021年4月29日09 时00 分</w:t>
            </w:r>
            <w:bookmarkStart w:id="847" w:name="_GoBack"/>
            <w:bookmarkEnd w:id="8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2.2.3</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投标人确认收到招标文件澄清的时间</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2.3.3</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投标人确认收到招标文件修改的时间</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3.1</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构成投标文件的材料</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投标文件的组成部分：</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outlineLvl w:val="9"/>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1、资格审查部分</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rPr>
              <w:t>；</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outlineLvl w:val="9"/>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2、商务标部分；</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rPr>
              <w:t>3</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技术标部分</w:t>
            </w:r>
            <w:r>
              <w:rPr>
                <w:rFonts w:hint="eastAsia" w:ascii="宋体" w:hAnsi="宋体" w:eastAsia="宋体" w:cs="宋体"/>
                <w:b w:val="0"/>
                <w:bCs w:val="0"/>
                <w:color w:val="auto"/>
                <w:highlight w:val="none"/>
                <w:lang w:eastAsia="zh-CN"/>
              </w:rPr>
              <w:t>；</w:t>
            </w:r>
          </w:p>
          <w:p>
            <w:pPr>
              <w:pStyle w:val="6"/>
              <w:ind w:firstLine="420" w:firstLineChars="200"/>
              <w:rPr>
                <w:rFonts w:hint="eastAsia"/>
                <w:color w:val="auto"/>
                <w:highlight w:val="none"/>
                <w:lang w:val="en-US" w:eastAsia="zh-CN"/>
              </w:rPr>
            </w:pPr>
            <w:r>
              <w:rPr>
                <w:rFonts w:hint="eastAsia" w:ascii="宋体" w:hAnsi="宋体" w:eastAsia="宋体" w:cs="宋体"/>
                <w:b w:val="0"/>
                <w:bCs w:val="0"/>
                <w:color w:val="auto"/>
                <w:sz w:val="21"/>
                <w:szCs w:val="21"/>
                <w:highlight w:val="none"/>
                <w:lang w:val="en-US" w:eastAsia="zh-CN"/>
              </w:rPr>
              <w:t>4、投标文件电子档。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Merge w:val="restart"/>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3.1.1</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近三年财务状况的年份</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要求</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近三年，指20</w:t>
            </w:r>
            <w:r>
              <w:rPr>
                <w:rFonts w:hint="eastAsia" w:ascii="宋体" w:hAnsi="宋体" w:eastAsia="宋体" w:cs="宋体"/>
                <w:color w:val="auto"/>
                <w:highlight w:val="none"/>
                <w:lang w:val="en-US" w:eastAsia="zh-CN"/>
              </w:rPr>
              <w:t>17</w:t>
            </w:r>
            <w:r>
              <w:rPr>
                <w:rFonts w:hint="eastAsia" w:ascii="宋体" w:hAnsi="宋体" w:eastAsia="宋体" w:cs="宋体"/>
                <w:color w:val="auto"/>
                <w:highlight w:val="none"/>
              </w:rPr>
              <w:t>年1月1日起至201</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年12月31日止(对于从取得营业执照时间起到投标截止时间为止不足要求年数的企业，只需提交企业取得营业执照年份至所要求最近年份经审计的财务报表)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近年完成的类似项目的年份要求</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近三年发生的诉讼及仲裁情况的年份要求</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近三年，指201</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年1月1日起至投标截止时间止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3.3.1</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投标有效期</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0 日（从提交投标文件截止之日算起）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3.4.1</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投标保证金</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ind w:firstLine="422" w:firstLineChars="200"/>
              <w:textAlignment w:val="auto"/>
              <w:outlineLvl w:val="9"/>
              <w:rPr>
                <w:rFonts w:hint="eastAsia" w:ascii="宋体" w:hAnsi="宋体" w:eastAsia="宋体" w:cs="宋体"/>
                <w:color w:val="auto"/>
                <w:highlight w:val="none"/>
              </w:rPr>
            </w:pPr>
            <w:r>
              <w:rPr>
                <w:rFonts w:hint="eastAsia" w:ascii="宋体" w:hAnsi="宋体" w:eastAsia="宋体" w:cs="宋体"/>
                <w:b/>
                <w:color w:val="auto"/>
                <w:highlight w:val="none"/>
              </w:rPr>
              <w:t>投标保证金的形式：</w:t>
            </w:r>
            <w:r>
              <w:rPr>
                <w:rFonts w:hint="eastAsia" w:ascii="宋体" w:hAnsi="宋体" w:eastAsia="宋体" w:cs="宋体"/>
                <w:b w:val="0"/>
                <w:bCs w:val="0"/>
                <w:color w:val="auto"/>
                <w:szCs w:val="21"/>
                <w:highlight w:val="none"/>
                <w:lang w:bidi="ar"/>
              </w:rPr>
              <w:t>电汇、转账、汇票等非现金形式。</w:t>
            </w:r>
            <w:r>
              <w:rPr>
                <w:rFonts w:hint="eastAsia" w:ascii="宋体" w:hAnsi="宋体" w:eastAsia="宋体" w:cs="宋体"/>
                <w:color w:val="auto"/>
                <w:highlight w:val="none"/>
              </w:rPr>
              <w:t>禁止采用现钞交纳方式。</w:t>
            </w:r>
          </w:p>
          <w:p>
            <w:pPr>
              <w:keepNext w:val="0"/>
              <w:keepLines w:val="0"/>
              <w:pageBreakBefore w:val="0"/>
              <w:kinsoku/>
              <w:wordWrap/>
              <w:overflowPunct/>
              <w:topLinePunct w:val="0"/>
              <w:autoSpaceDE/>
              <w:autoSpaceDN/>
              <w:bidi w:val="0"/>
              <w:adjustRightInd/>
              <w:snapToGrid/>
              <w:spacing w:line="340" w:lineRule="exact"/>
              <w:ind w:firstLine="422" w:firstLineChars="200"/>
              <w:textAlignment w:val="auto"/>
              <w:outlineLvl w:val="9"/>
              <w:rPr>
                <w:rFonts w:hint="eastAsia" w:ascii="宋体" w:hAnsi="宋体" w:eastAsia="宋体" w:cs="宋体"/>
                <w:b/>
                <w:bCs/>
                <w:color w:val="auto"/>
                <w:highlight w:val="none"/>
              </w:rPr>
            </w:pPr>
            <w:r>
              <w:rPr>
                <w:rFonts w:hint="eastAsia" w:ascii="宋体" w:hAnsi="宋体" w:eastAsia="宋体" w:cs="宋体"/>
                <w:b/>
                <w:bCs/>
                <w:color w:val="auto"/>
                <w:highlight w:val="none"/>
              </w:rPr>
              <w:t>一标段~十五标段投标保证金均为：</w:t>
            </w:r>
          </w:p>
          <w:p>
            <w:pPr>
              <w:keepNext w:val="0"/>
              <w:keepLines w:val="0"/>
              <w:pageBreakBefore w:val="0"/>
              <w:kinsoku/>
              <w:wordWrap/>
              <w:overflowPunct/>
              <w:topLinePunct w:val="0"/>
              <w:autoSpaceDE/>
              <w:autoSpaceDN/>
              <w:bidi w:val="0"/>
              <w:adjustRightInd/>
              <w:snapToGrid/>
              <w:spacing w:line="340" w:lineRule="exact"/>
              <w:ind w:firstLine="422" w:firstLineChars="200"/>
              <w:textAlignment w:val="auto"/>
              <w:outlineLvl w:val="9"/>
              <w:rPr>
                <w:rFonts w:hint="eastAsia" w:ascii="宋体" w:hAnsi="宋体" w:eastAsia="宋体" w:cs="宋体"/>
                <w:b/>
                <w:bCs/>
                <w:color w:val="auto"/>
                <w:highlight w:val="none"/>
              </w:rPr>
            </w:pPr>
            <w:r>
              <w:rPr>
                <w:rFonts w:hint="eastAsia" w:ascii="宋体" w:hAnsi="宋体" w:eastAsia="宋体" w:cs="宋体"/>
                <w:b/>
                <w:bCs/>
                <w:color w:val="auto"/>
                <w:highlight w:val="none"/>
              </w:rPr>
              <w:t>人民币壹万元整（¥10000.00）</w:t>
            </w:r>
          </w:p>
          <w:p>
            <w:pPr>
              <w:spacing w:line="340" w:lineRule="exact"/>
              <w:rPr>
                <w:rFonts w:hint="eastAsia" w:ascii="宋体" w:hAnsi="宋体" w:eastAsia="宋体" w:cs="宋体"/>
                <w:szCs w:val="21"/>
              </w:rPr>
            </w:pPr>
          </w:p>
          <w:p>
            <w:pPr>
              <w:spacing w:line="340" w:lineRule="exact"/>
              <w:rPr>
                <w:rFonts w:ascii="宋体" w:hAnsi="宋体" w:eastAsia="宋体" w:cs="宋体"/>
                <w:szCs w:val="21"/>
              </w:rPr>
            </w:pPr>
            <w:r>
              <w:rPr>
                <w:rFonts w:hint="eastAsia" w:ascii="宋体" w:hAnsi="宋体" w:eastAsia="宋体" w:cs="宋体"/>
                <w:szCs w:val="21"/>
              </w:rPr>
              <w:t>账户如下：</w:t>
            </w:r>
          </w:p>
          <w:p>
            <w:pPr>
              <w:spacing w:line="340" w:lineRule="exact"/>
              <w:rPr>
                <w:rFonts w:ascii="宋体" w:hAnsi="宋体" w:eastAsia="宋体" w:cs="宋体"/>
                <w:szCs w:val="21"/>
              </w:rPr>
            </w:pPr>
            <w:r>
              <w:rPr>
                <w:rFonts w:hint="eastAsia" w:ascii="宋体" w:hAnsi="宋体" w:eastAsia="宋体" w:cs="宋体"/>
                <w:szCs w:val="21"/>
              </w:rPr>
              <w:t xml:space="preserve">账户名称：河池市公共资源交易中心 </w:t>
            </w:r>
          </w:p>
          <w:p>
            <w:pPr>
              <w:spacing w:line="340" w:lineRule="exact"/>
              <w:rPr>
                <w:rFonts w:ascii="宋体" w:hAnsi="宋体" w:eastAsia="宋体" w:cs="宋体"/>
                <w:szCs w:val="21"/>
              </w:rPr>
            </w:pPr>
            <w:r>
              <w:rPr>
                <w:rFonts w:hint="eastAsia" w:ascii="宋体" w:hAnsi="宋体" w:eastAsia="宋体" w:cs="宋体"/>
                <w:szCs w:val="21"/>
              </w:rPr>
              <w:t xml:space="preserve">开户银行：河池市区农村信用合作联社兴业信用社 </w:t>
            </w:r>
          </w:p>
          <w:p>
            <w:pPr>
              <w:spacing w:line="340" w:lineRule="exact"/>
              <w:ind w:left="1050" w:hanging="1050" w:hangingChars="500"/>
              <w:rPr>
                <w:rFonts w:hint="eastAsia" w:ascii="宋体" w:hAnsi="宋体" w:eastAsia="宋体" w:cs="宋体"/>
                <w:szCs w:val="21"/>
                <w:lang w:eastAsia="zh-CN"/>
              </w:rPr>
            </w:pPr>
            <w:r>
              <w:rPr>
                <w:rFonts w:hint="eastAsia" w:ascii="宋体" w:hAnsi="宋体" w:eastAsia="宋体" w:cs="宋体"/>
                <w:szCs w:val="21"/>
              </w:rPr>
              <w:t>银行账号：</w:t>
            </w:r>
            <w:r>
              <w:rPr>
                <w:rFonts w:hint="eastAsia" w:ascii="宋体" w:hAnsi="宋体" w:eastAsia="宋体" w:cs="宋体"/>
                <w:szCs w:val="21"/>
                <w:lang w:eastAsia="zh-CN"/>
              </w:rPr>
              <w:t>供应商自行在河池市公共资源交易中心本项目系统内查询</w:t>
            </w:r>
          </w:p>
          <w:p>
            <w:pPr>
              <w:spacing w:line="340" w:lineRule="exact"/>
              <w:rPr>
                <w:rFonts w:hint="eastAsia" w:ascii="宋体" w:hAnsi="宋体" w:eastAsia="宋体" w:cs="宋体"/>
                <w:b/>
                <w:bCs/>
                <w:szCs w:val="21"/>
                <w:lang w:eastAsia="zh-CN"/>
              </w:rPr>
            </w:pPr>
            <w:r>
              <w:rPr>
                <w:rFonts w:hint="eastAsia" w:ascii="宋体" w:hAnsi="宋体" w:eastAsia="宋体" w:cs="宋体"/>
                <w:b/>
                <w:bCs/>
                <w:szCs w:val="21"/>
                <w:lang w:eastAsia="zh-CN"/>
              </w:rPr>
              <w:t>注：不同标段缴纳保证金的账户均不同，请各供应商仔细核对，若未转到指定账户，均视为未缴纳保证金行为。</w:t>
            </w:r>
          </w:p>
          <w:p>
            <w:pPr>
              <w:spacing w:line="340" w:lineRule="exact"/>
              <w:ind w:firstLine="420" w:firstLineChars="200"/>
              <w:rPr>
                <w:rFonts w:hint="eastAsia" w:ascii="宋体" w:hAnsi="宋体" w:eastAsia="宋体" w:cs="宋体"/>
                <w:color w:val="auto"/>
                <w:highlight w:val="none"/>
                <w:lang w:eastAsia="zh-CN"/>
              </w:rPr>
            </w:pPr>
            <w:r>
              <w:rPr>
                <w:rFonts w:hint="eastAsia" w:ascii="宋体" w:hAnsi="宋体" w:eastAsia="宋体" w:cs="宋体"/>
                <w:szCs w:val="21"/>
              </w:rPr>
              <w:t>采用银行转账、电汇方式的，必须从投标人的</w:t>
            </w:r>
            <w:r>
              <w:rPr>
                <w:rFonts w:hint="eastAsia" w:ascii="宋体" w:hAnsi="宋体" w:eastAsia="宋体" w:cs="宋体"/>
                <w:color w:val="auto"/>
                <w:highlight w:val="none"/>
              </w:rPr>
              <w:t>基本账户转账或电汇到</w:t>
            </w:r>
            <w:r>
              <w:rPr>
                <w:rFonts w:hint="eastAsia" w:ascii="宋体" w:hAnsi="宋体" w:eastAsia="宋体" w:cs="宋体"/>
                <w:color w:val="auto"/>
                <w:highlight w:val="none"/>
                <w:lang w:val="en-US" w:eastAsia="zh-CN"/>
              </w:rPr>
              <w:t>以上</w:t>
            </w:r>
            <w:r>
              <w:rPr>
                <w:rFonts w:hint="eastAsia" w:ascii="宋体" w:hAnsi="宋体" w:eastAsia="宋体" w:cs="宋体"/>
                <w:color w:val="auto"/>
                <w:highlight w:val="none"/>
              </w:rPr>
              <w:t>指定的投标保证金专用账户</w:t>
            </w:r>
            <w:r>
              <w:rPr>
                <w:rFonts w:hint="eastAsia" w:ascii="宋体" w:hAnsi="宋体" w:eastAsia="宋体" w:cs="宋体"/>
                <w:color w:val="auto"/>
                <w:highlight w:val="none"/>
                <w:lang w:eastAsia="zh-CN"/>
              </w:rPr>
              <w:t>。</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投标保证金必须在投标文件提交截止时间前从投标人基本账户交到河池市公共资源交易中心账户（以到账时间为准），请投标单位自行考虑投标保证金到账时间。</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投标人在开标时必须提供投标保证金银行转账单原件，开标时不出具投标保证金银行转账单原件，将不接受其投标文件。投标保证金银行转账单是投标文件的组成部分，投标文件中无投标保证金银行转账单复印件的，作废标处理。</w:t>
            </w:r>
          </w:p>
          <w:p>
            <w:pPr>
              <w:keepNext w:val="0"/>
              <w:keepLines w:val="0"/>
              <w:pageBreakBefore w:val="0"/>
              <w:kinsoku/>
              <w:wordWrap/>
              <w:overflowPunct/>
              <w:topLinePunct w:val="0"/>
              <w:autoSpaceDE/>
              <w:autoSpaceDN/>
              <w:bidi w:val="0"/>
              <w:adjustRightInd/>
              <w:snapToGrid/>
              <w:spacing w:line="340" w:lineRule="exact"/>
              <w:ind w:firstLine="422" w:firstLineChars="200"/>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注：</w:t>
            </w:r>
            <w:r>
              <w:rPr>
                <w:rFonts w:hint="eastAsia" w:ascii="宋体" w:hAnsi="宋体" w:eastAsia="宋体" w:cs="宋体"/>
                <w:b/>
                <w:bCs/>
                <w:color w:val="auto"/>
                <w:highlight w:val="none"/>
              </w:rPr>
              <w:t>办</w:t>
            </w:r>
            <w:r>
              <w:rPr>
                <w:rFonts w:hint="eastAsia" w:ascii="宋体" w:hAnsi="宋体" w:eastAsia="宋体" w:cs="宋体"/>
                <w:b/>
                <w:color w:val="auto"/>
                <w:highlight w:val="none"/>
              </w:rPr>
              <w:t>理</w:t>
            </w:r>
            <w:r>
              <w:rPr>
                <w:rFonts w:hint="eastAsia" w:ascii="宋体" w:hAnsi="宋体" w:eastAsia="宋体" w:cs="宋体"/>
                <w:b/>
                <w:color w:val="auto"/>
                <w:highlight w:val="none"/>
                <w:lang w:eastAsia="zh-CN"/>
              </w:rPr>
              <w:t>投</w:t>
            </w:r>
            <w:r>
              <w:rPr>
                <w:rFonts w:hint="eastAsia" w:ascii="宋体" w:hAnsi="宋体" w:eastAsia="宋体" w:cs="宋体"/>
                <w:b/>
                <w:color w:val="auto"/>
                <w:highlight w:val="none"/>
              </w:rPr>
              <w:t>标保证金手续时，请务必在银行进帐单或电汇单的用途或空白栏上注明</w:t>
            </w:r>
            <w:r>
              <w:rPr>
                <w:rFonts w:hint="eastAsia" w:ascii="宋体" w:hAnsi="宋体" w:eastAsia="宋体" w:cs="宋体"/>
                <w:b/>
                <w:color w:val="auto"/>
                <w:highlight w:val="none"/>
                <w:lang w:eastAsia="zh-CN"/>
              </w:rPr>
              <w:t>投</w:t>
            </w:r>
            <w:r>
              <w:rPr>
                <w:rFonts w:hint="eastAsia" w:ascii="宋体" w:hAnsi="宋体" w:eastAsia="宋体" w:cs="宋体"/>
                <w:b/>
                <w:color w:val="auto"/>
                <w:highlight w:val="none"/>
              </w:rPr>
              <w:t>标项目名称或项目编号</w:t>
            </w:r>
            <w:r>
              <w:rPr>
                <w:rFonts w:hint="eastAsia" w:ascii="宋体" w:hAnsi="宋体" w:eastAsia="宋体" w:cs="宋体"/>
                <w:b/>
                <w:color w:val="auto"/>
                <w:highlight w:val="none"/>
                <w:lang w:eastAsia="zh-CN"/>
              </w:rPr>
              <w:t>并注明标段</w:t>
            </w:r>
            <w:r>
              <w:rPr>
                <w:rFonts w:hint="eastAsia" w:ascii="宋体" w:hAnsi="宋体" w:eastAsia="宋体" w:cs="宋体"/>
                <w:b/>
                <w:color w:val="auto"/>
                <w:highlight w:val="none"/>
              </w:rPr>
              <w:t>，以免耽误</w:t>
            </w:r>
            <w:r>
              <w:rPr>
                <w:rFonts w:hint="eastAsia" w:ascii="宋体" w:hAnsi="宋体" w:eastAsia="宋体" w:cs="宋体"/>
                <w:b/>
                <w:color w:val="auto"/>
                <w:highlight w:val="none"/>
                <w:lang w:eastAsia="zh-CN"/>
              </w:rPr>
              <w:t>投</w:t>
            </w:r>
            <w:r>
              <w:rPr>
                <w:rFonts w:hint="eastAsia" w:ascii="宋体" w:hAnsi="宋体" w:eastAsia="宋体" w:cs="宋体"/>
                <w:b/>
                <w:color w:val="auto"/>
                <w:highlight w:val="none"/>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3.6</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是否允许递交备选</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投标方案</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3.7.3</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签字和（或）盖章要求</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投标文件正本与副本均由投标人在招标文件规定的相关位置加盖投标人法人单位公章，且经法定代表人签字（或盖章）或其委托代理人本人签字。投标文件未经投标人盖章或法定代表人签字（或盖章）或其委托代理人本人签字的，均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3.7.4</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投标文件副本份数</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b/>
                <w:color w:val="auto"/>
                <w:highlight w:val="none"/>
                <w:u w:val="single"/>
              </w:rPr>
              <w:t>肆</w:t>
            </w:r>
            <w:r>
              <w:rPr>
                <w:rFonts w:hint="eastAsia" w:ascii="宋体" w:hAnsi="宋体" w:eastAsia="宋体" w:cs="宋体"/>
                <w:color w:val="auto"/>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3.7.5</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装订要求</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按照投标人须知第3.1.1项规定的投标文件组成内容，投标文件应按以下要求装订：</w:t>
            </w:r>
          </w:p>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分册装订，共分</w:t>
            </w:r>
            <w:r>
              <w:rPr>
                <w:rFonts w:hint="eastAsia" w:ascii="宋体" w:hAnsi="宋体" w:eastAsia="宋体" w:cs="宋体"/>
                <w:color w:val="auto"/>
                <w:highlight w:val="none"/>
                <w:lang w:val="en-US" w:eastAsia="zh-CN"/>
              </w:rPr>
              <w:t>四</w:t>
            </w:r>
            <w:r>
              <w:rPr>
                <w:rFonts w:hint="eastAsia" w:ascii="宋体" w:hAnsi="宋体" w:eastAsia="宋体" w:cs="宋体"/>
                <w:color w:val="auto"/>
                <w:highlight w:val="none"/>
              </w:rPr>
              <w:t>册，分别为：</w:t>
            </w:r>
          </w:p>
          <w:p>
            <w:pPr>
              <w:keepNext w:val="0"/>
              <w:keepLines w:val="0"/>
              <w:pageBreakBefore w:val="0"/>
              <w:kinsoku/>
              <w:wordWrap/>
              <w:overflowPunct/>
              <w:topLinePunct w:val="0"/>
              <w:autoSpaceDE/>
              <w:autoSpaceDN/>
              <w:bidi w:val="0"/>
              <w:adjustRightInd/>
              <w:snapToGrid/>
              <w:spacing w:line="340" w:lineRule="exact"/>
              <w:ind w:firstLine="422" w:firstLineChars="200"/>
              <w:textAlignment w:val="auto"/>
              <w:outlineLvl w:val="9"/>
              <w:rPr>
                <w:rFonts w:hint="eastAsia" w:ascii="宋体" w:hAnsi="宋体" w:eastAsia="宋体" w:cs="宋体"/>
                <w:b/>
                <w:color w:val="auto"/>
                <w:highlight w:val="none"/>
              </w:rPr>
            </w:pPr>
            <w:r>
              <w:rPr>
                <w:rFonts w:hint="eastAsia" w:ascii="宋体" w:hAnsi="宋体" w:eastAsia="宋体" w:cs="宋体"/>
                <w:b/>
                <w:color w:val="auto"/>
                <w:highlight w:val="none"/>
              </w:rPr>
              <w:t>资格审查部分【备注：以下复印件均须加盖投标人单位公章】：</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包括投标人须知第3.1.1项资格审查部分第（1）项至第（13）项的内容；</w:t>
            </w:r>
          </w:p>
          <w:p>
            <w:pPr>
              <w:keepNext w:val="0"/>
              <w:keepLines w:val="0"/>
              <w:pageBreakBefore w:val="0"/>
              <w:kinsoku/>
              <w:wordWrap/>
              <w:overflowPunct/>
              <w:topLinePunct w:val="0"/>
              <w:autoSpaceDE/>
              <w:autoSpaceDN/>
              <w:bidi w:val="0"/>
              <w:adjustRightInd/>
              <w:snapToGrid/>
              <w:spacing w:line="340" w:lineRule="exact"/>
              <w:ind w:firstLine="422" w:firstLineChars="200"/>
              <w:textAlignment w:val="auto"/>
              <w:outlineLvl w:val="9"/>
              <w:rPr>
                <w:rFonts w:hint="eastAsia" w:ascii="宋体" w:hAnsi="宋体" w:eastAsia="宋体" w:cs="宋体"/>
                <w:color w:val="auto"/>
                <w:highlight w:val="none"/>
              </w:rPr>
            </w:pPr>
            <w:r>
              <w:rPr>
                <w:rFonts w:hint="eastAsia" w:ascii="宋体" w:hAnsi="宋体" w:eastAsia="宋体" w:cs="宋体"/>
                <w:b/>
                <w:color w:val="auto"/>
                <w:highlight w:val="none"/>
              </w:rPr>
              <w:t>商务标部分</w:t>
            </w:r>
            <w:r>
              <w:rPr>
                <w:rFonts w:hint="eastAsia" w:ascii="宋体" w:hAnsi="宋体" w:eastAsia="宋体" w:cs="宋体"/>
                <w:color w:val="auto"/>
                <w:highlight w:val="none"/>
              </w:rPr>
              <w:t>：包括投标人须知第3.1.1.项商务标部分第（1）项至第（4）项的内容；</w:t>
            </w:r>
          </w:p>
          <w:p>
            <w:pPr>
              <w:keepNext w:val="0"/>
              <w:keepLines w:val="0"/>
              <w:pageBreakBefore w:val="0"/>
              <w:kinsoku/>
              <w:wordWrap/>
              <w:overflowPunct/>
              <w:topLinePunct w:val="0"/>
              <w:autoSpaceDE/>
              <w:autoSpaceDN/>
              <w:bidi w:val="0"/>
              <w:adjustRightInd/>
              <w:snapToGrid/>
              <w:spacing w:line="340" w:lineRule="exact"/>
              <w:ind w:firstLine="422" w:firstLineChars="200"/>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b/>
                <w:color w:val="auto"/>
                <w:highlight w:val="none"/>
              </w:rPr>
              <w:t>技术标部分</w:t>
            </w:r>
            <w:r>
              <w:rPr>
                <w:rFonts w:hint="eastAsia" w:ascii="宋体" w:hAnsi="宋体" w:eastAsia="宋体" w:cs="宋体"/>
                <w:color w:val="auto"/>
                <w:highlight w:val="none"/>
              </w:rPr>
              <w:t>：包括投标人须知第3.1.1.项技术标部分第（</w:t>
            </w:r>
            <w:r>
              <w:rPr>
                <w:rFonts w:hint="eastAsia" w:ascii="宋体" w:hAnsi="宋体" w:eastAsia="宋体" w:cs="宋体"/>
                <w:color w:val="auto"/>
                <w:highlight w:val="none"/>
                <w:lang w:eastAsia="zh-CN"/>
              </w:rPr>
              <w:t>一</w:t>
            </w:r>
            <w:r>
              <w:rPr>
                <w:rFonts w:hint="eastAsia" w:ascii="宋体" w:hAnsi="宋体" w:eastAsia="宋体" w:cs="宋体"/>
                <w:color w:val="auto"/>
                <w:highlight w:val="none"/>
              </w:rPr>
              <w:t>）项至第（</w:t>
            </w:r>
            <w:r>
              <w:rPr>
                <w:rFonts w:hint="eastAsia" w:ascii="宋体" w:hAnsi="宋体" w:eastAsia="宋体" w:cs="宋体"/>
                <w:color w:val="auto"/>
                <w:highlight w:val="none"/>
                <w:lang w:eastAsia="zh-CN"/>
              </w:rPr>
              <w:t>二</w:t>
            </w:r>
            <w:r>
              <w:rPr>
                <w:rFonts w:hint="eastAsia" w:ascii="宋体" w:hAnsi="宋体" w:eastAsia="宋体" w:cs="宋体"/>
                <w:color w:val="auto"/>
                <w:highlight w:val="none"/>
              </w:rPr>
              <w:t>）项的内容。</w:t>
            </w:r>
            <w:r>
              <w:rPr>
                <w:rFonts w:hint="eastAsia" w:ascii="宋体" w:hAnsi="宋体" w:eastAsia="宋体" w:cs="宋体"/>
                <w:color w:val="auto"/>
                <w:highlight w:val="none"/>
                <w:lang w:val="en-US" w:eastAsia="zh-CN"/>
              </w:rPr>
              <w:t xml:space="preserve">              </w:t>
            </w:r>
          </w:p>
          <w:p>
            <w:pPr>
              <w:ind w:firstLine="42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投标文件电子档：</w:t>
            </w:r>
          </w:p>
          <w:p>
            <w:pPr>
              <w:rPr>
                <w:rFonts w:hint="eastAsia" w:ascii="宋体" w:hAnsi="宋体" w:eastAsia="宋体" w:cs="宋体"/>
                <w:color w:val="auto"/>
                <w:highlight w:val="none"/>
              </w:rPr>
            </w:pPr>
            <w:r>
              <w:rPr>
                <w:rFonts w:hint="eastAsia" w:ascii="宋体" w:hAnsi="宋体" w:eastAsia="宋体" w:cs="宋体"/>
                <w:color w:val="auto"/>
                <w:highlight w:val="none"/>
              </w:rPr>
              <w:t>投标文件电子版内容：</w:t>
            </w:r>
            <w:r>
              <w:rPr>
                <w:rFonts w:hint="eastAsia" w:ascii="宋体" w:hAnsi="宋体" w:eastAsia="宋体" w:cs="宋体"/>
                <w:color w:val="auto"/>
                <w:highlight w:val="none"/>
                <w:u w:val="single"/>
              </w:rPr>
              <w:t>工程量清单报价（Excel版）</w:t>
            </w:r>
          </w:p>
          <w:p>
            <w:pPr>
              <w:rPr>
                <w:rFonts w:hint="eastAsia" w:ascii="宋体" w:hAnsi="宋体" w:eastAsia="宋体" w:cs="宋体"/>
                <w:color w:val="auto"/>
                <w:highlight w:val="none"/>
              </w:rPr>
            </w:pPr>
            <w:r>
              <w:rPr>
                <w:rFonts w:hint="eastAsia" w:ascii="宋体" w:hAnsi="宋体" w:eastAsia="宋体" w:cs="宋体"/>
                <w:color w:val="auto"/>
                <w:highlight w:val="none"/>
              </w:rPr>
              <w:t>投标文件电子版份数：</w:t>
            </w:r>
            <w:r>
              <w:rPr>
                <w:rFonts w:hint="eastAsia" w:ascii="宋体" w:hAnsi="宋体" w:eastAsia="宋体" w:cs="宋体"/>
                <w:color w:val="auto"/>
                <w:highlight w:val="none"/>
                <w:u w:val="single"/>
              </w:rPr>
              <w:t>壹份</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投标文件电子版形式：</w:t>
            </w:r>
            <w:r>
              <w:rPr>
                <w:rFonts w:hint="eastAsia" w:ascii="宋体" w:hAnsi="宋体" w:eastAsia="宋体" w:cs="宋体"/>
                <w:color w:val="auto"/>
                <w:highlight w:val="none"/>
                <w:u w:val="single"/>
              </w:rPr>
              <w:t>U盘</w:t>
            </w:r>
            <w:r>
              <w:rPr>
                <w:rFonts w:hint="eastAsia" w:ascii="宋体" w:hAnsi="宋体" w:eastAsia="宋体" w:cs="宋体"/>
                <w:color w:val="auto"/>
                <w:highlight w:val="none"/>
                <w:u w:val="single"/>
                <w:lang w:eastAsia="zh-CN"/>
              </w:rPr>
              <w:t>或光盘</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每册采用胶装或精装方式装订，装订应牢固、不易拆散和换页，不得采用活页装订。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4.1.2</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封套上写明</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u w:val="single"/>
              </w:rPr>
            </w:pP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地址：</w:t>
            </w:r>
            <w:r>
              <w:rPr>
                <w:rFonts w:hint="eastAsia" w:ascii="宋体" w:hAnsi="宋体" w:eastAsia="宋体" w:cs="宋体"/>
                <w:color w:val="auto"/>
                <w:highlight w:val="none"/>
                <w:u w:val="single"/>
              </w:rPr>
              <w:t xml:space="preserve">                        </w:t>
            </w:r>
          </w:p>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u w:val="single"/>
              </w:rPr>
            </w:pP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p>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（项目</w:t>
            </w:r>
            <w:r>
              <w:rPr>
                <w:rFonts w:hint="eastAsia" w:ascii="宋体" w:hAnsi="宋体" w:eastAsia="宋体" w:cs="宋体"/>
                <w:color w:val="auto"/>
                <w:highlight w:val="none"/>
                <w:u w:val="single"/>
                <w:lang w:eastAsia="zh-CN"/>
              </w:rPr>
              <w:t>总</w:t>
            </w:r>
            <w:r>
              <w:rPr>
                <w:rFonts w:hint="eastAsia" w:ascii="宋体" w:hAnsi="宋体" w:eastAsia="宋体" w:cs="宋体"/>
                <w:color w:val="auto"/>
                <w:highlight w:val="none"/>
                <w:u w:val="single"/>
              </w:rPr>
              <w:t>名称）</w:t>
            </w:r>
            <w:r>
              <w:rPr>
                <w:rFonts w:hint="eastAsia" w:ascii="宋体" w:hAnsi="宋体" w:eastAsia="宋体" w:cs="宋体"/>
                <w:color w:val="auto"/>
                <w:highlight w:val="none"/>
                <w:u w:val="single"/>
                <w:lang w:eastAsia="zh-CN"/>
              </w:rPr>
              <w:t>（标段名称）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投标文件</w:t>
            </w:r>
          </w:p>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时</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4.2.2</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递交投标文件地点</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河池市公共资源交易中心开标厅（地址：</w:t>
            </w:r>
            <w:r>
              <w:rPr>
                <w:rFonts w:hint="eastAsia" w:ascii="宋体" w:hAnsi="宋体" w:eastAsia="宋体" w:cs="宋体"/>
                <w:color w:val="auto"/>
                <w:highlight w:val="none"/>
                <w:lang w:eastAsia="zh-CN"/>
              </w:rPr>
              <w:t>河池市金城江区城东新区肯旺桥西侧北面市工人文化宫办公大楼</w:t>
            </w:r>
            <w:r>
              <w:rPr>
                <w:rFonts w:hint="eastAsia" w:ascii="宋体" w:hAnsi="宋体" w:eastAsia="宋体" w:cs="宋体"/>
                <w:color w:val="auto"/>
                <w:sz w:val="21"/>
                <w:szCs w:val="21"/>
                <w:highlight w:val="none"/>
                <w:lang w:eastAsia="zh-CN"/>
              </w:rPr>
              <w:t>五楼</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开标厅</w:t>
            </w:r>
            <w:r>
              <w:rPr>
                <w:rFonts w:hint="eastAsia" w:asciiTheme="minorEastAsia" w:hAnsiTheme="minorEastAsia" w:eastAsiaTheme="minorEastAsia" w:cstheme="minorEastAsia"/>
                <w:i w:val="0"/>
                <w:iCs w:val="0"/>
                <w:color w:val="auto"/>
                <w:sz w:val="21"/>
                <w:szCs w:val="21"/>
                <w:highlight w:val="none"/>
                <w:lang w:val="en-US" w:eastAsia="zh-CN"/>
              </w:rPr>
              <w:t>(</w:t>
            </w:r>
            <w:r>
              <w:rPr>
                <w:rFonts w:hint="eastAsia" w:asciiTheme="minorEastAsia" w:hAnsiTheme="minorEastAsia" w:eastAsiaTheme="minorEastAsia" w:cstheme="minorEastAsia"/>
                <w:i w:val="0"/>
                <w:iCs w:val="0"/>
                <w:color w:val="auto"/>
                <w:sz w:val="21"/>
                <w:szCs w:val="21"/>
                <w:highlight w:val="none"/>
              </w:rPr>
              <w:t>具体开标</w:t>
            </w:r>
            <w:r>
              <w:rPr>
                <w:rFonts w:hint="eastAsia" w:asciiTheme="minorEastAsia" w:hAnsiTheme="minorEastAsia" w:eastAsiaTheme="minorEastAsia" w:cstheme="minorEastAsia"/>
                <w:i w:val="0"/>
                <w:iCs w:val="0"/>
                <w:color w:val="auto"/>
                <w:sz w:val="21"/>
                <w:szCs w:val="21"/>
                <w:highlight w:val="none"/>
                <w:lang w:eastAsia="zh-CN"/>
              </w:rPr>
              <w:t>厅</w:t>
            </w:r>
            <w:r>
              <w:rPr>
                <w:rFonts w:hint="eastAsia" w:asciiTheme="minorEastAsia" w:hAnsiTheme="minorEastAsia" w:eastAsiaTheme="minorEastAsia" w:cstheme="minorEastAsia"/>
                <w:i w:val="0"/>
                <w:iCs w:val="0"/>
                <w:color w:val="auto"/>
                <w:sz w:val="21"/>
                <w:szCs w:val="21"/>
                <w:highlight w:val="none"/>
              </w:rPr>
              <w:t>见当天的电子LED大屏安排</w:t>
            </w:r>
            <w:r>
              <w:rPr>
                <w:rFonts w:hint="eastAsia" w:asciiTheme="minorEastAsia" w:hAnsiTheme="minorEastAsia" w:eastAsiaTheme="minorEastAsia" w:cstheme="minorEastAsia"/>
                <w:i w:val="0"/>
                <w:iCs w:val="0"/>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4.2.3</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是否退还投标文件</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5.1</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开标时间和地点</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开标时间：同投标截止时间</w:t>
            </w:r>
          </w:p>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rPr>
              <w:t>开标地点：河</w:t>
            </w:r>
            <w:r>
              <w:rPr>
                <w:rFonts w:hint="eastAsia" w:ascii="宋体" w:hAnsi="宋体" w:eastAsia="宋体" w:cs="宋体"/>
                <w:color w:val="auto"/>
                <w:sz w:val="21"/>
                <w:szCs w:val="21"/>
                <w:highlight w:val="none"/>
              </w:rPr>
              <w:t>池市公共资源交易中心开标厅（地址：</w:t>
            </w:r>
            <w:r>
              <w:rPr>
                <w:rFonts w:hint="eastAsia" w:ascii="宋体" w:hAnsi="宋体" w:eastAsia="宋体" w:cs="宋体"/>
                <w:color w:val="auto"/>
                <w:sz w:val="21"/>
                <w:szCs w:val="21"/>
                <w:highlight w:val="none"/>
                <w:lang w:eastAsia="zh-CN"/>
              </w:rPr>
              <w:t>河池市金城江区城东新区肯旺桥西侧北面市工人文化宫办公大楼五楼</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开标厅（具体开标室见当天的电子LED大屏安排）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5.2</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开标程序</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详见总则5.2 条开标程序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6.1</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评标委员会的组建</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评标委员会构成：</w:t>
            </w:r>
            <w:r>
              <w:rPr>
                <w:rFonts w:hint="eastAsia" w:ascii="宋体" w:hAnsi="宋体" w:eastAsia="宋体" w:cs="宋体"/>
                <w:color w:val="auto"/>
                <w:highlight w:val="none"/>
                <w:u w:val="single"/>
              </w:rPr>
              <w:t xml:space="preserve"> 7</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人，其中</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代表</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2 </w:t>
            </w:r>
            <w:r>
              <w:rPr>
                <w:rFonts w:hint="eastAsia" w:ascii="宋体" w:hAnsi="宋体" w:eastAsia="宋体" w:cs="宋体"/>
                <w:color w:val="auto"/>
                <w:highlight w:val="none"/>
              </w:rPr>
              <w:t xml:space="preserve">人，专家 </w:t>
            </w:r>
            <w:r>
              <w:rPr>
                <w:rFonts w:hint="eastAsia" w:ascii="宋体" w:hAnsi="宋体" w:eastAsia="宋体" w:cs="宋体"/>
                <w:color w:val="auto"/>
                <w:highlight w:val="none"/>
                <w:u w:val="single"/>
              </w:rPr>
              <w:t>5</w:t>
            </w:r>
            <w:r>
              <w:rPr>
                <w:rFonts w:hint="eastAsia" w:ascii="宋体" w:hAnsi="宋体" w:eastAsia="宋体" w:cs="宋体"/>
                <w:color w:val="auto"/>
                <w:highlight w:val="none"/>
              </w:rPr>
              <w:t>人。</w:t>
            </w:r>
          </w:p>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其中，</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代表参加技术类</w:t>
            </w:r>
            <w:r>
              <w:rPr>
                <w:rFonts w:hint="eastAsia" w:ascii="宋体" w:hAnsi="宋体" w:eastAsia="宋体" w:cs="宋体"/>
                <w:color w:val="auto"/>
                <w:highlight w:val="none"/>
                <w:u w:val="single"/>
              </w:rPr>
              <w:t xml:space="preserve"> 2 </w:t>
            </w:r>
            <w:r>
              <w:rPr>
                <w:rFonts w:hint="eastAsia" w:ascii="宋体" w:hAnsi="宋体" w:eastAsia="宋体" w:cs="宋体"/>
                <w:color w:val="auto"/>
                <w:highlight w:val="none"/>
              </w:rPr>
              <w:t xml:space="preserve">人；技术类专家      </w:t>
            </w:r>
            <w:r>
              <w:rPr>
                <w:rFonts w:hint="eastAsia" w:ascii="宋体" w:hAnsi="宋体" w:eastAsia="宋体" w:cs="宋体"/>
                <w:color w:val="auto"/>
                <w:highlight w:val="none"/>
                <w:u w:val="single"/>
              </w:rPr>
              <w:t>1</w:t>
            </w:r>
            <w:r>
              <w:rPr>
                <w:rFonts w:hint="eastAsia" w:ascii="宋体" w:hAnsi="宋体" w:eastAsia="宋体" w:cs="宋体"/>
                <w:color w:val="auto"/>
                <w:highlight w:val="none"/>
              </w:rPr>
              <w:t>人、经济类专家</w:t>
            </w:r>
            <w:r>
              <w:rPr>
                <w:rFonts w:hint="eastAsia" w:ascii="宋体" w:hAnsi="宋体" w:eastAsia="宋体" w:cs="宋体"/>
                <w:color w:val="auto"/>
                <w:highlight w:val="none"/>
                <w:u w:val="single"/>
              </w:rPr>
              <w:t xml:space="preserve"> 4 </w:t>
            </w:r>
            <w:r>
              <w:rPr>
                <w:rFonts w:hint="eastAsia" w:ascii="宋体" w:hAnsi="宋体" w:eastAsia="宋体" w:cs="宋体"/>
                <w:color w:val="auto"/>
                <w:highlight w:val="none"/>
              </w:rPr>
              <w:t>人。</w:t>
            </w:r>
          </w:p>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评标专家确定方式：</w:t>
            </w:r>
            <w:r>
              <w:rPr>
                <w:rFonts w:hint="eastAsia" w:ascii="宋体" w:hAnsi="宋体" w:eastAsia="宋体" w:cs="宋体"/>
                <w:color w:val="auto"/>
                <w:highlight w:val="none"/>
                <w:u w:val="single"/>
              </w:rPr>
              <w:t xml:space="preserve">  随机抽取 </w:t>
            </w:r>
            <w:r>
              <w:rPr>
                <w:rFonts w:hint="eastAsia" w:ascii="宋体" w:hAnsi="宋体" w:eastAsia="宋体" w:cs="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6.2</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评标方式</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7.1</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是否授权评标委员会确定中标人</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否，推荐的中标候选人数：</w:t>
            </w:r>
            <w:r>
              <w:rPr>
                <w:rFonts w:hint="eastAsia" w:ascii="宋体" w:hAnsi="宋体" w:eastAsia="宋体" w:cs="宋体"/>
                <w:color w:val="auto"/>
                <w:highlight w:val="none"/>
                <w:u w:val="single"/>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7.3.1</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yellow"/>
              </w:rPr>
            </w:pPr>
            <w:r>
              <w:rPr>
                <w:rFonts w:hint="eastAsia" w:ascii="宋体" w:hAnsi="宋体" w:eastAsia="宋体" w:cs="宋体"/>
                <w:color w:val="auto"/>
                <w:highlight w:val="none"/>
              </w:rPr>
              <w:t>履约担保</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highlight w:val="none"/>
                <w:u w:val="single"/>
                <w:lang w:val="en-US" w:eastAsia="zh-CN"/>
              </w:rPr>
            </w:pPr>
            <w:r>
              <w:rPr>
                <w:rFonts w:hint="eastAsia" w:ascii="宋体" w:hAnsi="宋体" w:eastAsia="宋体" w:cs="宋体"/>
                <w:color w:val="auto"/>
                <w:szCs w:val="21"/>
                <w:highlight w:val="none"/>
              </w:rPr>
              <w:t>中标单位在签订合同前需交纳中标金额5%的履约保证金（银行转账、电汇或现金），现金缴纳方式为转账，转入河池市金城江区农业农村局的指定帐户。在项目工程竣工验收合格后，扣减承包人赔偿金和其他应从承包人扣回的款项后，发包人一次性向承包人返还剩余部分的履约保证金（无息）</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7.3.2</w:t>
            </w:r>
          </w:p>
        </w:tc>
        <w:tc>
          <w:tcPr>
            <w:tcW w:w="27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招标代理服务费支付方式</w:t>
            </w:r>
          </w:p>
        </w:tc>
        <w:tc>
          <w:tcPr>
            <w:tcW w:w="5109" w:type="dxa"/>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Cs w:val="21"/>
                <w:highlight w:val="none"/>
              </w:rPr>
              <w:t>中标人支付。具体为：根据</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与代理人签订的《委托采购代理协议》，本项目委托招标代理服务费按国家发展计划委员会 计价格[2002]1980号《招标代理服务费管理暂行办法》收费标准及发改价格[2011]534号文执行的“工程类”标准，向中标人收取，由中标人在领取中标通知书时，一次性向</w:t>
            </w:r>
            <w:r>
              <w:rPr>
                <w:rFonts w:hint="eastAsia" w:ascii="宋体" w:hAnsi="宋体" w:eastAsia="宋体" w:cs="宋体"/>
                <w:color w:val="auto"/>
                <w:szCs w:val="21"/>
                <w:highlight w:val="none"/>
                <w:lang w:eastAsia="zh-CN"/>
              </w:rPr>
              <w:t>招标代理机构</w:t>
            </w:r>
            <w:r>
              <w:rPr>
                <w:rFonts w:hint="eastAsia" w:ascii="宋体" w:hAnsi="宋体" w:eastAsia="宋体" w:cs="宋体"/>
                <w:color w:val="auto"/>
                <w:szCs w:val="21"/>
                <w:highlight w:val="none"/>
              </w:rPr>
              <w:t>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522" w:type="dxa"/>
            <w:gridSpan w:val="3"/>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10.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522" w:type="dxa"/>
            <w:gridSpan w:val="3"/>
            <w:vAlign w:val="center"/>
          </w:tcPr>
          <w:p>
            <w:pPr>
              <w:jc w:val="left"/>
              <w:rPr>
                <w:rFonts w:hint="eastAsia" w:ascii="宋体" w:hAnsi="宋体" w:eastAsia="宋体" w:cs="宋体"/>
                <w:color w:val="auto"/>
                <w:highlight w:val="none"/>
              </w:rPr>
            </w:pPr>
            <w:r>
              <w:rPr>
                <w:rFonts w:hint="eastAsia" w:ascii="宋体" w:hAnsi="宋体" w:eastAsia="宋体" w:cs="宋体"/>
                <w:color w:val="auto"/>
                <w:highlight w:val="none"/>
              </w:rPr>
              <w:t>10.1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jc w:val="left"/>
              <w:rPr>
                <w:rFonts w:hint="eastAsia" w:ascii="宋体" w:hAnsi="宋体" w:eastAsia="宋体" w:cs="宋体"/>
                <w:color w:val="auto"/>
                <w:highlight w:val="none"/>
              </w:rPr>
            </w:pPr>
            <w:r>
              <w:rPr>
                <w:rFonts w:hint="eastAsia" w:ascii="宋体" w:hAnsi="宋体" w:eastAsia="宋体" w:cs="宋体"/>
                <w:color w:val="auto"/>
                <w:highlight w:val="none"/>
              </w:rPr>
              <w:t>10.1.1</w:t>
            </w:r>
          </w:p>
        </w:tc>
        <w:tc>
          <w:tcPr>
            <w:tcW w:w="2730" w:type="dxa"/>
            <w:vAlign w:val="center"/>
          </w:tcPr>
          <w:p>
            <w:pPr>
              <w:jc w:val="left"/>
              <w:rPr>
                <w:rFonts w:hint="eastAsia" w:ascii="宋体" w:hAnsi="宋体" w:eastAsia="宋体" w:cs="宋体"/>
                <w:color w:val="auto"/>
                <w:highlight w:val="none"/>
              </w:rPr>
            </w:pPr>
            <w:r>
              <w:rPr>
                <w:rFonts w:hint="eastAsia" w:ascii="宋体" w:hAnsi="宋体" w:eastAsia="宋体" w:cs="宋体"/>
                <w:color w:val="auto"/>
                <w:highlight w:val="none"/>
              </w:rPr>
              <w:t>类似项目</w:t>
            </w:r>
          </w:p>
        </w:tc>
        <w:tc>
          <w:tcPr>
            <w:tcW w:w="5109" w:type="dxa"/>
            <w:vAlign w:val="center"/>
          </w:tcPr>
          <w:p>
            <w:pPr>
              <w:spacing w:line="460" w:lineRule="exact"/>
              <w:jc w:val="left"/>
              <w:rPr>
                <w:rFonts w:hint="eastAsia" w:ascii="宋体" w:hAnsi="宋体" w:eastAsia="宋体" w:cs="宋体"/>
                <w:color w:val="auto"/>
                <w:highlight w:val="none"/>
                <w:lang w:eastAsia="zh-CN"/>
              </w:rPr>
            </w:pPr>
            <w:r>
              <w:rPr>
                <w:rFonts w:hint="eastAsia" w:ascii="宋体" w:hAnsi="宋体" w:eastAsia="宋体" w:cs="宋体"/>
                <w:color w:val="auto"/>
                <w:highlight w:val="none"/>
              </w:rPr>
              <w:t>类似项目：</w:t>
            </w:r>
            <w:r>
              <w:rPr>
                <w:rFonts w:hint="eastAsia" w:ascii="宋体" w:hAnsi="宋体" w:eastAsia="宋体" w:cs="宋体"/>
                <w:color w:val="auto"/>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10.1.2</w:t>
            </w:r>
          </w:p>
        </w:tc>
        <w:tc>
          <w:tcPr>
            <w:tcW w:w="2730" w:type="dxa"/>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考核期</w:t>
            </w:r>
          </w:p>
        </w:tc>
        <w:tc>
          <w:tcPr>
            <w:tcW w:w="5109" w:type="dxa"/>
            <w:vAlign w:val="center"/>
          </w:tcPr>
          <w:p>
            <w:pPr>
              <w:spacing w:line="460" w:lineRule="exact"/>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考核期是指：</w:t>
            </w:r>
            <w:r>
              <w:rPr>
                <w:rFonts w:hint="eastAsia" w:ascii="宋体" w:hAnsi="宋体" w:eastAsia="宋体" w:cs="宋体"/>
                <w:color w:val="auto"/>
                <w:highlight w:val="none"/>
                <w:lang w:val="en-US" w:eastAsia="zh-CN"/>
              </w:rPr>
              <w:t>2017年1月1日至投标截止时间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3" w:type="dxa"/>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10.1.</w:t>
            </w:r>
            <w:r>
              <w:rPr>
                <w:rFonts w:hint="eastAsia" w:ascii="宋体" w:hAnsi="宋体" w:eastAsia="宋体" w:cs="宋体"/>
                <w:color w:val="auto"/>
                <w:highlight w:val="none"/>
                <w:lang w:val="en-US" w:eastAsia="zh-CN"/>
              </w:rPr>
              <w:t>3</w:t>
            </w:r>
          </w:p>
        </w:tc>
        <w:tc>
          <w:tcPr>
            <w:tcW w:w="273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不良行为记录</w:t>
            </w:r>
          </w:p>
        </w:tc>
        <w:tc>
          <w:tcPr>
            <w:tcW w:w="5109" w:type="dxa"/>
            <w:vAlign w:val="center"/>
          </w:tcPr>
          <w:p>
            <w:pPr>
              <w:jc w:val="left"/>
              <w:rPr>
                <w:rFonts w:hint="eastAsia" w:ascii="宋体" w:hAnsi="宋体" w:eastAsia="宋体" w:cs="宋体"/>
                <w:color w:val="auto"/>
                <w:highlight w:val="none"/>
              </w:rPr>
            </w:pPr>
            <w:r>
              <w:rPr>
                <w:rFonts w:hint="eastAsia" w:ascii="宋体" w:hAnsi="宋体" w:eastAsia="宋体" w:cs="宋体"/>
                <w:color w:val="auto"/>
                <w:highlight w:val="none"/>
              </w:rPr>
              <w:t>不良行为记录是指：投标人有商业贿赂、渎职及扰乱建设市场秩序等违反法律法规和政策规定的行为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2" w:type="dxa"/>
            <w:gridSpan w:val="3"/>
            <w:vAlign w:val="center"/>
          </w:tcPr>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10.2 招标控制价及上限控制价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3" w:type="dxa"/>
            <w:gridSpan w:val="2"/>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招标控制价公布</w:t>
            </w:r>
          </w:p>
        </w:tc>
        <w:tc>
          <w:tcPr>
            <w:tcW w:w="5109" w:type="dxa"/>
            <w:vAlign w:val="center"/>
          </w:tcPr>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本项目招标控制价为：叁仟叁佰叁拾贰万柒仟玖佰柒拾叁元零柒分（¥33327973.07），其中：</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i w:val="0"/>
                <w:iCs w:val="0"/>
                <w:color w:val="auto"/>
                <w:sz w:val="21"/>
                <w:szCs w:val="21"/>
                <w:highlight w:val="none"/>
                <w:u w:val="none"/>
                <w:lang w:eastAsia="zh-CN"/>
              </w:rPr>
            </w:pPr>
            <w:r>
              <w:rPr>
                <w:rFonts w:hint="eastAsia" w:asciiTheme="minorEastAsia" w:hAnsiTheme="minorEastAsia" w:eastAsiaTheme="minorEastAsia" w:cstheme="minorEastAsia"/>
                <w:b/>
                <w:bCs/>
                <w:i w:val="0"/>
                <w:iCs w:val="0"/>
                <w:color w:val="auto"/>
                <w:sz w:val="21"/>
                <w:szCs w:val="21"/>
                <w:highlight w:val="none"/>
                <w:u w:val="none"/>
                <w:lang w:eastAsia="zh-CN"/>
              </w:rPr>
              <w:t>一标段：金城江区拔贡镇坡降社区（主渠道等）灾毁农田修复项目</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预算金额：人民币叁佰零壹万肆仟伍佰零伍元柒角贰分（¥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3014505.72</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 xml:space="preserve"> </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i w:val="0"/>
                <w:iCs w:val="0"/>
                <w:color w:val="auto"/>
                <w:sz w:val="21"/>
                <w:szCs w:val="21"/>
                <w:highlight w:val="none"/>
                <w:u w:val="none"/>
                <w:lang w:eastAsia="zh-CN"/>
              </w:rPr>
            </w:pPr>
            <w:r>
              <w:rPr>
                <w:rFonts w:hint="eastAsia" w:asciiTheme="minorEastAsia" w:hAnsiTheme="minorEastAsia" w:eastAsiaTheme="minorEastAsia" w:cstheme="minorEastAsia"/>
                <w:b/>
                <w:bCs/>
                <w:i w:val="0"/>
                <w:iCs w:val="0"/>
                <w:color w:val="auto"/>
                <w:sz w:val="21"/>
                <w:szCs w:val="21"/>
                <w:highlight w:val="none"/>
                <w:u w:val="none"/>
                <w:lang w:eastAsia="zh-CN"/>
              </w:rPr>
              <w:t>二标段：金城江区拔贡镇朝平村、贡维村、拉廖村灾毁农田修复项目</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预算金额：人民币贰佰贰拾捌万贰仟陆佰壹拾元陆角伍分（¥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2282610.65</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 xml:space="preserve"> </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i w:val="0"/>
                <w:iCs w:val="0"/>
                <w:color w:val="auto"/>
                <w:sz w:val="21"/>
                <w:szCs w:val="21"/>
                <w:highlight w:val="none"/>
                <w:u w:val="none"/>
                <w:lang w:eastAsia="zh-CN"/>
              </w:rPr>
            </w:pPr>
            <w:r>
              <w:rPr>
                <w:rFonts w:hint="eastAsia" w:asciiTheme="minorEastAsia" w:hAnsiTheme="minorEastAsia" w:eastAsiaTheme="minorEastAsia" w:cstheme="minorEastAsia"/>
                <w:b/>
                <w:bCs/>
                <w:i w:val="0"/>
                <w:iCs w:val="0"/>
                <w:color w:val="auto"/>
                <w:sz w:val="21"/>
                <w:szCs w:val="21"/>
                <w:highlight w:val="none"/>
                <w:u w:val="none"/>
                <w:lang w:eastAsia="zh-CN"/>
              </w:rPr>
              <w:t>三标段：金城江区拔贡镇拉电村、大莫村灾毁农田修复项目</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预算金额：人民币贰佰肆拾万零肆仟捌佰贰拾陆元零肆分（¥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2404826.04</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 xml:space="preserve"> </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i w:val="0"/>
                <w:iCs w:val="0"/>
                <w:color w:val="auto"/>
                <w:sz w:val="21"/>
                <w:szCs w:val="21"/>
                <w:highlight w:val="none"/>
                <w:u w:val="none"/>
                <w:lang w:eastAsia="zh-CN"/>
              </w:rPr>
            </w:pPr>
            <w:r>
              <w:rPr>
                <w:rFonts w:hint="eastAsia" w:asciiTheme="minorEastAsia" w:hAnsiTheme="minorEastAsia" w:eastAsiaTheme="minorEastAsia" w:cstheme="minorEastAsia"/>
                <w:b/>
                <w:bCs/>
                <w:i w:val="0"/>
                <w:iCs w:val="0"/>
                <w:color w:val="auto"/>
                <w:sz w:val="21"/>
                <w:szCs w:val="21"/>
                <w:highlight w:val="none"/>
                <w:u w:val="none"/>
                <w:lang w:eastAsia="zh-CN"/>
              </w:rPr>
              <w:t>四标段：金城江区拔贡镇北香村灾毁农田修复项目</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预算金额：人民币贰佰零叁万零柒拾肆元零壹分（¥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2030074.01</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i w:val="0"/>
                <w:iCs w:val="0"/>
                <w:color w:val="auto"/>
                <w:sz w:val="21"/>
                <w:szCs w:val="21"/>
                <w:highlight w:val="none"/>
                <w:u w:val="none"/>
                <w:lang w:eastAsia="zh-CN"/>
              </w:rPr>
            </w:pPr>
            <w:r>
              <w:rPr>
                <w:rFonts w:hint="eastAsia" w:asciiTheme="minorEastAsia" w:hAnsiTheme="minorEastAsia" w:eastAsiaTheme="minorEastAsia" w:cstheme="minorEastAsia"/>
                <w:b/>
                <w:bCs/>
                <w:i w:val="0"/>
                <w:iCs w:val="0"/>
                <w:color w:val="auto"/>
                <w:sz w:val="21"/>
                <w:szCs w:val="21"/>
                <w:highlight w:val="none"/>
                <w:u w:val="none"/>
                <w:lang w:eastAsia="zh-CN"/>
              </w:rPr>
              <w:t>五标段：金城江区河池镇枫木村、大杨村、公华村灾毁农田修复项目</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预算金额：人民币壹佰玖拾陆万伍仟伍佰柒拾玖元肆角陆分（¥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1965579.46</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i w:val="0"/>
                <w:iCs w:val="0"/>
                <w:color w:val="auto"/>
                <w:sz w:val="21"/>
                <w:szCs w:val="21"/>
                <w:highlight w:val="none"/>
                <w:u w:val="none"/>
                <w:lang w:eastAsia="zh-CN"/>
              </w:rPr>
            </w:pPr>
            <w:r>
              <w:rPr>
                <w:rFonts w:hint="eastAsia" w:asciiTheme="minorEastAsia" w:hAnsiTheme="minorEastAsia" w:eastAsiaTheme="minorEastAsia" w:cstheme="minorEastAsia"/>
                <w:b/>
                <w:bCs/>
                <w:i w:val="0"/>
                <w:iCs w:val="0"/>
                <w:color w:val="auto"/>
                <w:sz w:val="21"/>
                <w:szCs w:val="21"/>
                <w:highlight w:val="none"/>
                <w:u w:val="none"/>
                <w:lang w:eastAsia="zh-CN"/>
              </w:rPr>
              <w:t>六标段：金城江区河池镇河池社区、拉显村、红沙村，六甲镇灾毁农田修复项目</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预算金额：人民币壹佰捌拾陆万零肆佰柒拾伍元陆角叁分（¥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 xml:space="preserve">1860475.63 </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i w:val="0"/>
                <w:iCs w:val="0"/>
                <w:color w:val="auto"/>
                <w:sz w:val="21"/>
                <w:szCs w:val="21"/>
                <w:highlight w:val="none"/>
                <w:u w:val="none"/>
                <w:lang w:eastAsia="zh-CN"/>
              </w:rPr>
            </w:pPr>
            <w:r>
              <w:rPr>
                <w:rFonts w:hint="eastAsia" w:asciiTheme="minorEastAsia" w:hAnsiTheme="minorEastAsia" w:eastAsiaTheme="minorEastAsia" w:cstheme="minorEastAsia"/>
                <w:b/>
                <w:bCs/>
                <w:i w:val="0"/>
                <w:iCs w:val="0"/>
                <w:color w:val="auto"/>
                <w:sz w:val="21"/>
                <w:szCs w:val="21"/>
                <w:highlight w:val="none"/>
                <w:u w:val="none"/>
                <w:lang w:eastAsia="zh-CN"/>
              </w:rPr>
              <w:t>七标段：金城江区五圩镇五圩社区、拔旺村、龙马村灾毁农田修复项目</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预算金额：人民币壹佰陆拾万零陆仟陆佰捌拾伍元叁角整（¥</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 xml:space="preserve">1606685.30 </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i w:val="0"/>
                <w:iCs w:val="0"/>
                <w:color w:val="auto"/>
                <w:sz w:val="21"/>
                <w:szCs w:val="21"/>
                <w:highlight w:val="none"/>
                <w:u w:val="none"/>
                <w:lang w:eastAsia="zh-CN"/>
              </w:rPr>
            </w:pPr>
            <w:r>
              <w:rPr>
                <w:rFonts w:hint="eastAsia" w:asciiTheme="minorEastAsia" w:hAnsiTheme="minorEastAsia" w:eastAsiaTheme="minorEastAsia" w:cstheme="minorEastAsia"/>
                <w:b/>
                <w:bCs/>
                <w:i w:val="0"/>
                <w:iCs w:val="0"/>
                <w:color w:val="auto"/>
                <w:sz w:val="21"/>
                <w:szCs w:val="21"/>
                <w:highlight w:val="none"/>
                <w:u w:val="none"/>
                <w:lang w:eastAsia="zh-CN"/>
              </w:rPr>
              <w:t>八标段：金城江区五圩镇塘州村、平桥村、塘降村灾毁农田修复项目</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预算金额：人民币壹佰陆拾伍万玖仟陆佰零陆元捌角肆分（¥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 xml:space="preserve">1659606.84 </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i w:val="0"/>
                <w:iCs w:val="0"/>
                <w:color w:val="auto"/>
                <w:sz w:val="21"/>
                <w:szCs w:val="21"/>
                <w:highlight w:val="none"/>
                <w:u w:val="none"/>
                <w:lang w:eastAsia="zh-CN"/>
              </w:rPr>
            </w:pPr>
            <w:r>
              <w:rPr>
                <w:rFonts w:hint="eastAsia" w:asciiTheme="minorEastAsia" w:hAnsiTheme="minorEastAsia" w:eastAsiaTheme="minorEastAsia" w:cstheme="minorEastAsia"/>
                <w:b/>
                <w:bCs/>
                <w:i w:val="0"/>
                <w:iCs w:val="0"/>
                <w:color w:val="auto"/>
                <w:sz w:val="21"/>
                <w:szCs w:val="21"/>
                <w:highlight w:val="none"/>
                <w:u w:val="none"/>
                <w:lang w:eastAsia="zh-CN"/>
              </w:rPr>
              <w:t>九标段：金城江区侧岭乡、五圩镇龙马村、三境村灾毁农田修复项目</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预算金额：人民币贰佰柒拾柒万捌仟叁佰叁拾柒元捌角伍分（¥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2778337.85</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i w:val="0"/>
                <w:iCs w:val="0"/>
                <w:color w:val="auto"/>
                <w:sz w:val="21"/>
                <w:szCs w:val="21"/>
                <w:highlight w:val="none"/>
                <w:u w:val="none"/>
                <w:lang w:eastAsia="zh-CN"/>
              </w:rPr>
            </w:pPr>
            <w:r>
              <w:rPr>
                <w:rFonts w:hint="eastAsia" w:asciiTheme="minorEastAsia" w:hAnsiTheme="minorEastAsia" w:eastAsiaTheme="minorEastAsia" w:cstheme="minorEastAsia"/>
                <w:b/>
                <w:bCs/>
                <w:i w:val="0"/>
                <w:iCs w:val="0"/>
                <w:color w:val="auto"/>
                <w:sz w:val="21"/>
                <w:szCs w:val="21"/>
                <w:highlight w:val="none"/>
                <w:u w:val="none"/>
                <w:lang w:eastAsia="zh-CN"/>
              </w:rPr>
              <w:t>十标段：金城江区拔贡镇坡降社区（排洪渠等）灾毁农田修复项目</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预算金额：人民币贰佰叁拾柒万肆仟壹佰陆拾捌元柒角柒分（¥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2374168.77</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i w:val="0"/>
                <w:iCs w:val="0"/>
                <w:color w:val="auto"/>
                <w:sz w:val="21"/>
                <w:szCs w:val="21"/>
                <w:highlight w:val="none"/>
                <w:u w:val="none"/>
                <w:lang w:eastAsia="zh-CN"/>
              </w:rPr>
            </w:pPr>
            <w:r>
              <w:rPr>
                <w:rFonts w:hint="eastAsia" w:asciiTheme="minorEastAsia" w:hAnsiTheme="minorEastAsia" w:eastAsiaTheme="minorEastAsia" w:cstheme="minorEastAsia"/>
                <w:b/>
                <w:bCs/>
                <w:i w:val="0"/>
                <w:iCs w:val="0"/>
                <w:color w:val="auto"/>
                <w:sz w:val="21"/>
                <w:szCs w:val="21"/>
                <w:highlight w:val="none"/>
                <w:u w:val="none"/>
                <w:lang w:eastAsia="zh-CN"/>
              </w:rPr>
              <w:t>十一标段：金城江区东江镇、九圩镇山脚村、拉平村、牙洞村、大村村、板岜村灾毁农田修复项目</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预算金额：人民币贰佰叁拾柒万壹仟陆佰零叁元叁角捌分（¥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2371603.38</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i w:val="0"/>
                <w:iCs w:val="0"/>
                <w:color w:val="auto"/>
                <w:sz w:val="21"/>
                <w:szCs w:val="21"/>
                <w:highlight w:val="none"/>
                <w:u w:val="none"/>
                <w:lang w:eastAsia="zh-CN"/>
              </w:rPr>
            </w:pPr>
            <w:r>
              <w:rPr>
                <w:rFonts w:hint="eastAsia" w:asciiTheme="minorEastAsia" w:hAnsiTheme="minorEastAsia" w:eastAsiaTheme="minorEastAsia" w:cstheme="minorEastAsia"/>
                <w:b/>
                <w:bCs/>
                <w:i w:val="0"/>
                <w:iCs w:val="0"/>
                <w:color w:val="auto"/>
                <w:sz w:val="21"/>
                <w:szCs w:val="21"/>
                <w:highlight w:val="none"/>
                <w:u w:val="none"/>
                <w:lang w:eastAsia="zh-CN"/>
              </w:rPr>
              <w:t>十二标段：金城江区六圩镇、九圩镇大郭村、红渡村、那朝村、那余村灾毁农田修复项目</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预算金额：人民币贰佰壹拾伍万壹仟柒佰壹拾叁元玖角伍分（¥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2151713.95</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i w:val="0"/>
                <w:iCs w:val="0"/>
                <w:color w:val="auto"/>
                <w:sz w:val="21"/>
                <w:szCs w:val="21"/>
                <w:highlight w:val="none"/>
                <w:u w:val="none"/>
                <w:lang w:eastAsia="zh-CN"/>
              </w:rPr>
            </w:pPr>
            <w:r>
              <w:rPr>
                <w:rFonts w:hint="eastAsia" w:asciiTheme="minorEastAsia" w:hAnsiTheme="minorEastAsia" w:eastAsiaTheme="minorEastAsia" w:cstheme="minorEastAsia"/>
                <w:b/>
                <w:bCs/>
                <w:i w:val="0"/>
                <w:iCs w:val="0"/>
                <w:color w:val="auto"/>
                <w:sz w:val="21"/>
                <w:szCs w:val="21"/>
                <w:highlight w:val="none"/>
                <w:u w:val="none"/>
                <w:lang w:eastAsia="zh-CN"/>
              </w:rPr>
              <w:t>十三标段：金城江区长老乡板庆村、六角村、长老社区灾毁农田修复项目</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预算金额：人民币贰佰贰拾壹万伍仟柒佰零伍元捌角肆分（¥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2215705.84</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i w:val="0"/>
                <w:iCs w:val="0"/>
                <w:color w:val="auto"/>
                <w:sz w:val="21"/>
                <w:szCs w:val="21"/>
                <w:highlight w:val="none"/>
                <w:u w:val="none"/>
                <w:lang w:eastAsia="zh-CN"/>
              </w:rPr>
            </w:pPr>
            <w:r>
              <w:rPr>
                <w:rFonts w:hint="eastAsia" w:asciiTheme="minorEastAsia" w:hAnsiTheme="minorEastAsia" w:eastAsiaTheme="minorEastAsia" w:cstheme="minorEastAsia"/>
                <w:b/>
                <w:bCs/>
                <w:i w:val="0"/>
                <w:iCs w:val="0"/>
                <w:color w:val="auto"/>
                <w:sz w:val="21"/>
                <w:szCs w:val="21"/>
                <w:highlight w:val="none"/>
                <w:u w:val="none"/>
                <w:lang w:eastAsia="zh-CN"/>
              </w:rPr>
              <w:t>十四标段：金城江区长老乡地霄村灾毁农田修复项目</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i w:val="0"/>
                <w:iCs w:val="0"/>
                <w:color w:val="auto"/>
                <w:sz w:val="21"/>
                <w:szCs w:val="21"/>
                <w:highlight w:val="none"/>
                <w:u w:val="non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预算金额：人民币贰佰肆拾伍万捌仟壹佰零伍元壹角陆分（¥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2458105.16</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p>
            <w:pPr>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i w:val="0"/>
                <w:iCs w:val="0"/>
                <w:color w:val="auto"/>
                <w:sz w:val="21"/>
                <w:szCs w:val="21"/>
                <w:highlight w:val="none"/>
                <w:u w:val="none"/>
                <w:lang w:eastAsia="zh-CN"/>
              </w:rPr>
            </w:pPr>
            <w:r>
              <w:rPr>
                <w:rFonts w:hint="eastAsia" w:asciiTheme="minorEastAsia" w:hAnsiTheme="minorEastAsia" w:eastAsiaTheme="minorEastAsia" w:cstheme="minorEastAsia"/>
                <w:b/>
                <w:bCs/>
                <w:i w:val="0"/>
                <w:iCs w:val="0"/>
                <w:color w:val="auto"/>
                <w:sz w:val="21"/>
                <w:szCs w:val="21"/>
                <w:highlight w:val="none"/>
                <w:u w:val="none"/>
                <w:lang w:eastAsia="zh-CN"/>
              </w:rPr>
              <w:t>十五标段：金城江区白土乡、长老乡拉谐村、长老社区望楼灾毁农田修复项目</w:t>
            </w:r>
          </w:p>
          <w:p>
            <w:pPr>
              <w:rPr>
                <w:rFonts w:hint="eastAsia" w:ascii="宋体" w:hAnsi="宋体" w:eastAsia="宋体" w:cs="宋体"/>
                <w:b/>
                <w:color w:val="auto"/>
                <w:highlight w:val="none"/>
                <w:u w:val="single"/>
                <w:lang w:eastAsia="zh-CN"/>
              </w:rPr>
            </w:pPr>
            <w:r>
              <w:rPr>
                <w:rFonts w:hint="eastAsia" w:asciiTheme="minorEastAsia" w:hAnsiTheme="minorEastAsia" w:eastAsiaTheme="minorEastAsia" w:cstheme="minorEastAsia"/>
                <w:b w:val="0"/>
                <w:bCs w:val="0"/>
                <w:i w:val="0"/>
                <w:iCs w:val="0"/>
                <w:color w:val="auto"/>
                <w:sz w:val="21"/>
                <w:szCs w:val="21"/>
                <w:highlight w:val="none"/>
                <w:u w:val="none"/>
                <w:lang w:eastAsia="zh-CN"/>
              </w:rPr>
              <w:t>预算金额：人民币贰佰壹拾伍万叁仟玖佰柒拾肆元肆角柒分（¥</w:t>
            </w:r>
            <w:r>
              <w:rPr>
                <w:rFonts w:hint="default" w:asciiTheme="minorEastAsia" w:hAnsiTheme="minorEastAsia" w:eastAsiaTheme="minorEastAsia" w:cstheme="minorEastAsia"/>
                <w:b w:val="0"/>
                <w:bCs w:val="0"/>
                <w:i w:val="0"/>
                <w:iCs w:val="0"/>
                <w:color w:val="auto"/>
                <w:sz w:val="21"/>
                <w:szCs w:val="21"/>
                <w:highlight w:val="none"/>
                <w:u w:val="none"/>
                <w:lang w:val="en-US" w:eastAsia="zh-CN"/>
              </w:rPr>
              <w:t>2153974.47</w:t>
            </w:r>
            <w:r>
              <w:rPr>
                <w:rFonts w:hint="eastAsia" w:asciiTheme="minorEastAsia" w:hAnsiTheme="minorEastAsia" w:eastAsiaTheme="minorEastAsia" w:cstheme="minorEastAsia"/>
                <w:b w:val="0"/>
                <w:bCs w:val="0"/>
                <w:i w:val="0"/>
                <w:iCs w:val="0"/>
                <w:color w:val="auto"/>
                <w:sz w:val="21"/>
                <w:szCs w:val="21"/>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3" w:type="dxa"/>
            <w:gridSpan w:val="2"/>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有效报价范围</w:t>
            </w:r>
          </w:p>
        </w:tc>
        <w:tc>
          <w:tcPr>
            <w:tcW w:w="5109"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投标报价小于或等于招标控制价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2" w:type="dxa"/>
            <w:gridSpan w:val="3"/>
            <w:vAlign w:val="center"/>
          </w:tcPr>
          <w:p>
            <w:pPr>
              <w:jc w:val="left"/>
              <w:rPr>
                <w:rFonts w:hint="eastAsia" w:ascii="宋体" w:hAnsi="宋体" w:eastAsia="宋体" w:cs="宋体"/>
                <w:color w:val="auto"/>
                <w:highlight w:val="none"/>
              </w:rPr>
            </w:pPr>
            <w:r>
              <w:rPr>
                <w:rFonts w:hint="eastAsia" w:ascii="宋体" w:hAnsi="宋体" w:eastAsia="宋体" w:cs="宋体"/>
                <w:color w:val="auto"/>
                <w:highlight w:val="none"/>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3" w:type="dxa"/>
            <w:gridSpan w:val="2"/>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施工组织设计是否采用“暗标”评审方式</w:t>
            </w:r>
          </w:p>
        </w:tc>
        <w:tc>
          <w:tcPr>
            <w:tcW w:w="5109" w:type="dxa"/>
            <w:vAlign w:val="center"/>
          </w:tcPr>
          <w:p>
            <w:pPr>
              <w:rPr>
                <w:rFonts w:hint="eastAsia" w:ascii="宋体" w:hAnsi="宋体" w:eastAsia="宋体" w:cs="宋体"/>
                <w:b/>
                <w:bCs/>
                <w:color w:val="auto"/>
                <w:highlight w:val="none"/>
              </w:rPr>
            </w:pP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eq \o\ac(□,</w:instrText>
            </w:r>
            <w:r>
              <w:rPr>
                <w:rFonts w:hint="eastAsia" w:ascii="宋体" w:hAnsi="宋体" w:eastAsia="宋体" w:cs="宋体"/>
                <w:b/>
                <w:bCs/>
                <w:color w:val="auto"/>
                <w:position w:val="2"/>
                <w:sz w:val="16"/>
                <w:highlight w:val="none"/>
              </w:rPr>
              <w:instrText xml:space="preserve">√</w:instrText>
            </w:r>
            <w:r>
              <w:rPr>
                <w:rFonts w:hint="eastAsia" w:ascii="宋体" w:hAnsi="宋体" w:eastAsia="宋体" w:cs="宋体"/>
                <w:b/>
                <w:bCs/>
                <w:color w:val="auto"/>
                <w:highlight w:val="none"/>
              </w:rPr>
              <w:instrText xml:space="preserve">)</w:instrTex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rPr>
              <w:t>不采用</w:t>
            </w:r>
          </w:p>
          <w:p>
            <w:pPr>
              <w:rPr>
                <w:rFonts w:hint="eastAsia" w:ascii="宋体" w:hAnsi="宋体" w:eastAsia="宋体" w:cs="宋体"/>
                <w:color w:val="auto"/>
                <w:highlight w:val="none"/>
              </w:rPr>
            </w:pPr>
            <w:r>
              <w:rPr>
                <w:rFonts w:hint="eastAsia" w:ascii="宋体" w:hAnsi="宋体" w:eastAsia="宋体" w:cs="宋体"/>
                <w:color w:val="auto"/>
                <w:highlight w:val="none"/>
              </w:rPr>
              <w:t>□采用，投标人应严格按照第八章“投标</w:t>
            </w:r>
          </w:p>
          <w:p>
            <w:pPr>
              <w:rPr>
                <w:rFonts w:hint="eastAsia" w:ascii="宋体" w:hAnsi="宋体" w:eastAsia="宋体" w:cs="宋体"/>
                <w:color w:val="auto"/>
                <w:highlight w:val="none"/>
              </w:rPr>
            </w:pPr>
            <w:r>
              <w:rPr>
                <w:rFonts w:hint="eastAsia" w:ascii="宋体" w:hAnsi="宋体" w:eastAsia="宋体" w:cs="宋体"/>
                <w:color w:val="auto"/>
                <w:highlight w:val="none"/>
              </w:rPr>
              <w:t xml:space="preserve">  文件格式”中“施工组织设计（技术暗</w:t>
            </w:r>
          </w:p>
          <w:p>
            <w:pPr>
              <w:rPr>
                <w:rFonts w:hint="eastAsia" w:ascii="宋体" w:hAnsi="宋体" w:eastAsia="宋体" w:cs="宋体"/>
                <w:color w:val="auto"/>
                <w:highlight w:val="none"/>
              </w:rPr>
            </w:pPr>
            <w:r>
              <w:rPr>
                <w:rFonts w:hint="eastAsia" w:ascii="宋体" w:hAnsi="宋体" w:eastAsia="宋体" w:cs="宋体"/>
                <w:color w:val="auto"/>
                <w:highlight w:val="none"/>
              </w:rPr>
              <w:t xml:space="preserve">  标）编制及装订要求”编制和装订施工</w:t>
            </w:r>
          </w:p>
          <w:p>
            <w:pPr>
              <w:rPr>
                <w:rFonts w:hint="eastAsia" w:ascii="宋体" w:hAnsi="宋体" w:eastAsia="宋体" w:cs="宋体"/>
                <w:color w:val="auto"/>
                <w:highlight w:val="none"/>
              </w:rPr>
            </w:pPr>
            <w:r>
              <w:rPr>
                <w:rFonts w:hint="eastAsia" w:ascii="宋体" w:hAnsi="宋体" w:eastAsia="宋体" w:cs="宋体"/>
                <w:color w:val="auto"/>
                <w:highlight w:val="none"/>
              </w:rPr>
              <w:t xml:space="preserve">  组织设计。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2" w:type="dxa"/>
            <w:gridSpan w:val="3"/>
            <w:vAlign w:val="center"/>
          </w:tcPr>
          <w:p>
            <w:pPr>
              <w:jc w:val="left"/>
              <w:rPr>
                <w:rFonts w:hint="eastAsia" w:ascii="宋体" w:hAnsi="宋体" w:eastAsia="宋体" w:cs="宋体"/>
                <w:color w:val="auto"/>
                <w:highlight w:val="none"/>
              </w:rPr>
            </w:pPr>
            <w:r>
              <w:rPr>
                <w:rFonts w:hint="eastAsia" w:ascii="宋体" w:hAnsi="宋体" w:eastAsia="宋体" w:cs="宋体"/>
                <w:color w:val="auto"/>
                <w:highlight w:val="none"/>
              </w:rPr>
              <w:t>10.4 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3" w:type="dxa"/>
            <w:gridSpan w:val="2"/>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投标人在递交投标文件时，同时递交</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投标文件电子版</w:t>
            </w:r>
          </w:p>
        </w:tc>
        <w:tc>
          <w:tcPr>
            <w:tcW w:w="5109"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投标文件电子版内容：</w:t>
            </w:r>
            <w:r>
              <w:rPr>
                <w:rFonts w:hint="eastAsia" w:ascii="宋体" w:hAnsi="宋体" w:eastAsia="宋体" w:cs="宋体"/>
                <w:color w:val="auto"/>
                <w:highlight w:val="none"/>
                <w:u w:val="single"/>
              </w:rPr>
              <w:t>工程量清单报价（Excel版）</w:t>
            </w:r>
          </w:p>
          <w:p>
            <w:pPr>
              <w:rPr>
                <w:rFonts w:hint="eastAsia" w:ascii="宋体" w:hAnsi="宋体" w:eastAsia="宋体" w:cs="宋体"/>
                <w:color w:val="auto"/>
                <w:highlight w:val="none"/>
              </w:rPr>
            </w:pPr>
            <w:r>
              <w:rPr>
                <w:rFonts w:hint="eastAsia" w:ascii="宋体" w:hAnsi="宋体" w:eastAsia="宋体" w:cs="宋体"/>
                <w:color w:val="auto"/>
                <w:highlight w:val="none"/>
              </w:rPr>
              <w:t>投标文件电子版份数：</w:t>
            </w:r>
            <w:r>
              <w:rPr>
                <w:rFonts w:hint="eastAsia" w:ascii="宋体" w:hAnsi="宋体" w:eastAsia="宋体" w:cs="宋体"/>
                <w:color w:val="auto"/>
                <w:highlight w:val="none"/>
                <w:u w:val="single"/>
              </w:rPr>
              <w:t>壹份</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投标文件电子版形式：</w:t>
            </w:r>
            <w:r>
              <w:rPr>
                <w:rFonts w:hint="eastAsia" w:ascii="宋体" w:hAnsi="宋体" w:eastAsia="宋体" w:cs="宋体"/>
                <w:color w:val="auto"/>
                <w:highlight w:val="none"/>
                <w:u w:val="single"/>
              </w:rPr>
              <w:t>U盘</w:t>
            </w:r>
            <w:r>
              <w:rPr>
                <w:rFonts w:hint="eastAsia" w:ascii="宋体" w:hAnsi="宋体" w:eastAsia="宋体" w:cs="宋体"/>
                <w:color w:val="auto"/>
                <w:highlight w:val="none"/>
                <w:u w:val="single"/>
                <w:lang w:eastAsia="zh-CN"/>
              </w:rPr>
              <w:t>或光盘</w:t>
            </w:r>
          </w:p>
          <w:p>
            <w:pPr>
              <w:rPr>
                <w:rFonts w:hint="eastAsia" w:ascii="宋体" w:hAnsi="宋体" w:eastAsia="宋体" w:cs="宋体"/>
                <w:color w:val="auto"/>
                <w:highlight w:val="none"/>
              </w:rPr>
            </w:pPr>
            <w:r>
              <w:rPr>
                <w:rFonts w:hint="eastAsia" w:ascii="宋体" w:hAnsi="宋体" w:eastAsia="宋体" w:cs="宋体"/>
                <w:color w:val="auto"/>
                <w:highlight w:val="none"/>
              </w:rPr>
              <w:t>投标文件电子版密封方式：</w:t>
            </w:r>
            <w:r>
              <w:rPr>
                <w:rFonts w:hint="eastAsia" w:ascii="宋体" w:hAnsi="宋体" w:eastAsia="宋体" w:cs="宋体"/>
                <w:color w:val="auto"/>
                <w:highlight w:val="none"/>
                <w:u w:val="single"/>
              </w:rPr>
              <w:t>单独放入一个密封袋中，加贴封条，并在封套封口处加盖投标人单位章，在封套上标记“投标文件电子版”字样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2" w:type="dxa"/>
            <w:gridSpan w:val="3"/>
            <w:vAlign w:val="center"/>
          </w:tcPr>
          <w:p>
            <w:pPr>
              <w:jc w:val="left"/>
              <w:rPr>
                <w:rFonts w:hint="eastAsia" w:ascii="宋体" w:hAnsi="宋体" w:eastAsia="宋体" w:cs="宋体"/>
                <w:color w:val="auto"/>
                <w:highlight w:val="none"/>
              </w:rPr>
            </w:pPr>
            <w:r>
              <w:rPr>
                <w:rFonts w:hint="eastAsia" w:ascii="宋体" w:hAnsi="宋体" w:eastAsia="宋体" w:cs="宋体"/>
                <w:color w:val="auto"/>
                <w:highlight w:val="none"/>
              </w:rPr>
              <w:t>10.5 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9522" w:type="dxa"/>
            <w:gridSpan w:val="3"/>
            <w:vAlign w:val="center"/>
          </w:tcPr>
          <w:p>
            <w:pPr>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按照本须知第5.1款的规定，要求所有投标人的法定代表人或其委托代理人参加开标会。投标人的委托代理人应当按时参加开标会，并在采购人按开标程序进行点名时，向采购人提交：法定代表人（持营业执照副本</w:t>
            </w:r>
            <w:r>
              <w:rPr>
                <w:rFonts w:hint="eastAsia" w:ascii="宋体" w:hAnsi="宋体" w:eastAsia="宋体" w:cs="宋体"/>
                <w:color w:val="auto"/>
                <w:highlight w:val="none"/>
                <w:lang w:eastAsia="zh-CN"/>
              </w:rPr>
              <w:t>复印件</w:t>
            </w:r>
            <w:r>
              <w:rPr>
                <w:rFonts w:hint="eastAsia" w:ascii="宋体" w:hAnsi="宋体" w:eastAsia="宋体" w:cs="宋体"/>
                <w:color w:val="auto"/>
                <w:highlight w:val="none"/>
              </w:rPr>
              <w:t>、投标保证金银行转帐底单原件或电子转帐单彩色打印件</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居民身份证原件</w:t>
            </w:r>
            <w:r>
              <w:rPr>
                <w:rFonts w:hint="eastAsia" w:ascii="宋体" w:hAnsi="宋体" w:eastAsia="宋体" w:cs="宋体"/>
                <w:color w:val="auto"/>
                <w:highlight w:val="none"/>
                <w:lang w:eastAsia="zh-CN"/>
              </w:rPr>
              <w:t>及身份证复印件</w:t>
            </w:r>
            <w:r>
              <w:rPr>
                <w:rFonts w:hint="eastAsia" w:ascii="宋体" w:hAnsi="宋体" w:eastAsia="宋体" w:cs="宋体"/>
                <w:color w:val="auto"/>
                <w:highlight w:val="none"/>
              </w:rPr>
              <w:t>）或授权专职投标员（持营业执照副本</w:t>
            </w:r>
            <w:r>
              <w:rPr>
                <w:rFonts w:hint="eastAsia" w:ascii="宋体" w:hAnsi="宋体" w:eastAsia="宋体" w:cs="宋体"/>
                <w:color w:val="auto"/>
                <w:highlight w:val="none"/>
                <w:lang w:eastAsia="zh-CN"/>
              </w:rPr>
              <w:t>复印件、</w:t>
            </w:r>
            <w:r>
              <w:rPr>
                <w:rFonts w:hint="eastAsia" w:ascii="宋体" w:hAnsi="宋体" w:eastAsia="宋体" w:cs="宋体"/>
                <w:color w:val="auto"/>
                <w:highlight w:val="none"/>
              </w:rPr>
              <w:t>法定代表人签字的</w:t>
            </w:r>
            <w:r>
              <w:rPr>
                <w:rFonts w:hint="eastAsia" w:ascii="宋体" w:hAnsi="宋体" w:eastAsia="宋体" w:cs="宋体"/>
                <w:color w:val="auto"/>
                <w:highlight w:val="none"/>
                <w:lang w:eastAsia="zh-CN"/>
              </w:rPr>
              <w:t>法定代表人</w:t>
            </w:r>
            <w:r>
              <w:rPr>
                <w:rFonts w:hint="eastAsia" w:ascii="宋体" w:hAnsi="宋体" w:eastAsia="宋体" w:cs="宋体"/>
                <w:color w:val="auto"/>
                <w:highlight w:val="none"/>
              </w:rPr>
              <w:t>授权委托书原件、投标保证金银行转帐底单原件或电子转帐单彩色打印件</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居民身份证原件</w:t>
            </w:r>
            <w:r>
              <w:rPr>
                <w:rFonts w:hint="eastAsia" w:ascii="宋体" w:hAnsi="宋体" w:eastAsia="宋体" w:cs="宋体"/>
                <w:color w:val="auto"/>
                <w:highlight w:val="none"/>
                <w:lang w:eastAsia="zh-CN"/>
              </w:rPr>
              <w:t>及身份证复印件</w:t>
            </w:r>
            <w:r>
              <w:rPr>
                <w:rFonts w:hint="eastAsia" w:ascii="宋体" w:hAnsi="宋体" w:eastAsia="宋体" w:cs="宋体"/>
                <w:color w:val="auto"/>
                <w:highlight w:val="none"/>
              </w:rPr>
              <w:t>），否则其投标文件不予接收。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2" w:type="dxa"/>
            <w:gridSpan w:val="3"/>
            <w:vAlign w:val="center"/>
          </w:tcPr>
          <w:p>
            <w:pPr>
              <w:jc w:val="left"/>
              <w:rPr>
                <w:rFonts w:hint="eastAsia" w:ascii="宋体" w:hAnsi="宋体" w:eastAsia="宋体" w:cs="宋体"/>
                <w:color w:val="auto"/>
                <w:highlight w:val="none"/>
              </w:rPr>
            </w:pPr>
            <w:r>
              <w:rPr>
                <w:rFonts w:hint="eastAsia" w:ascii="宋体" w:hAnsi="宋体" w:eastAsia="宋体" w:cs="宋体"/>
                <w:color w:val="auto"/>
                <w:highlight w:val="none"/>
              </w:rPr>
              <w:t>10.6 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2" w:type="dxa"/>
            <w:gridSpan w:val="3"/>
            <w:vAlign w:val="center"/>
          </w:tcPr>
          <w:p>
            <w:pPr>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在中标通知书发出前，</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将</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的情况在本</w:t>
            </w:r>
            <w:r>
              <w:rPr>
                <w:rFonts w:hint="eastAsia" w:ascii="宋体" w:hAnsi="宋体" w:eastAsia="宋体" w:cs="宋体"/>
                <w:color w:val="auto"/>
                <w:highlight w:val="none"/>
                <w:lang w:eastAsia="zh-CN"/>
              </w:rPr>
              <w:t>采购</w:t>
            </w:r>
            <w:r>
              <w:rPr>
                <w:rFonts w:hint="eastAsia" w:ascii="宋体" w:hAnsi="宋体" w:eastAsia="宋体" w:cs="宋体"/>
                <w:color w:val="auto"/>
                <w:highlight w:val="none"/>
              </w:rPr>
              <w:t>项目招标公告发布的同一媒介予以公示，公示期不少于</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2" w:type="dxa"/>
            <w:gridSpan w:val="3"/>
            <w:vAlign w:val="center"/>
          </w:tcPr>
          <w:p>
            <w:pPr>
              <w:jc w:val="left"/>
              <w:rPr>
                <w:rFonts w:hint="eastAsia" w:ascii="宋体" w:hAnsi="宋体" w:eastAsia="宋体" w:cs="宋体"/>
                <w:color w:val="auto"/>
                <w:highlight w:val="none"/>
              </w:rPr>
            </w:pPr>
            <w:r>
              <w:rPr>
                <w:rFonts w:hint="eastAsia" w:ascii="宋体" w:hAnsi="宋体" w:eastAsia="宋体" w:cs="宋体"/>
                <w:color w:val="auto"/>
                <w:highlight w:val="none"/>
              </w:rPr>
              <w:t>10.7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2" w:type="dxa"/>
            <w:gridSpan w:val="3"/>
            <w:vAlign w:val="center"/>
          </w:tcPr>
          <w:p>
            <w:pPr>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构成本招标文件各个组成部分的文件，未经</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书面同意，投标人不得擅自复印和用于非本招标项目所需的其他目的。</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2" w:type="dxa"/>
            <w:gridSpan w:val="3"/>
            <w:vAlign w:val="center"/>
          </w:tcPr>
          <w:p>
            <w:pPr>
              <w:jc w:val="left"/>
              <w:rPr>
                <w:rFonts w:hint="eastAsia" w:ascii="宋体" w:hAnsi="宋体" w:eastAsia="宋体" w:cs="宋体"/>
                <w:color w:val="auto"/>
                <w:highlight w:val="none"/>
              </w:rPr>
            </w:pPr>
            <w:r>
              <w:rPr>
                <w:rFonts w:hint="eastAsia" w:ascii="宋体" w:hAnsi="宋体" w:eastAsia="宋体" w:cs="宋体"/>
                <w:color w:val="auto"/>
                <w:highlight w:val="none"/>
              </w:rPr>
              <w:t>10.8 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9522" w:type="dxa"/>
            <w:gridSpan w:val="3"/>
            <w:vAlign w:val="center"/>
          </w:tcPr>
          <w:p>
            <w:pPr>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除投标人须知正文第8条规定的情形外，除非已经产生中标候选人，在投标有效期内同意延长投标有效期的投标人少于三个的，</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在分析招标失败的原因并采取相应措施后，应当依法重新招标。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22" w:type="dxa"/>
            <w:gridSpan w:val="3"/>
            <w:vAlign w:val="center"/>
          </w:tcPr>
          <w:p>
            <w:pPr>
              <w:jc w:val="left"/>
              <w:rPr>
                <w:rFonts w:hint="eastAsia" w:ascii="宋体" w:hAnsi="宋体" w:eastAsia="宋体" w:cs="宋体"/>
                <w:color w:val="auto"/>
                <w:highlight w:val="none"/>
              </w:rPr>
            </w:pPr>
            <w:r>
              <w:rPr>
                <w:rFonts w:hint="eastAsia" w:ascii="宋体" w:hAnsi="宋体" w:eastAsia="宋体" w:cs="宋体"/>
                <w:color w:val="auto"/>
                <w:highlight w:val="none"/>
              </w:rPr>
              <w:t>10.9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9522" w:type="dxa"/>
            <w:gridSpan w:val="3"/>
            <w:vAlign w:val="center"/>
          </w:tcPr>
          <w:p>
            <w:pPr>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构成招标文件组成部分的“通用合同条款”、“专用合同条款”、“技术标准和要求”和“工程量清单”等章节中出现的措辞“发包人”和“承包人”，在招标投标阶段应当分别按“</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522" w:type="dxa"/>
            <w:gridSpan w:val="3"/>
            <w:vAlign w:val="center"/>
          </w:tcPr>
          <w:p>
            <w:pPr>
              <w:jc w:val="left"/>
              <w:rPr>
                <w:rFonts w:hint="eastAsia" w:ascii="宋体" w:hAnsi="宋体" w:eastAsia="宋体" w:cs="宋体"/>
                <w:color w:val="auto"/>
                <w:highlight w:val="none"/>
              </w:rPr>
            </w:pPr>
            <w:r>
              <w:rPr>
                <w:rFonts w:hint="eastAsia" w:ascii="宋体" w:hAnsi="宋体" w:eastAsia="宋体" w:cs="宋体"/>
                <w:color w:val="auto"/>
                <w:highlight w:val="none"/>
              </w:rPr>
              <w:t>10.10 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522" w:type="dxa"/>
            <w:gridSpan w:val="3"/>
            <w:vAlign w:val="center"/>
          </w:tcPr>
          <w:p>
            <w:pPr>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本项目的招标投标活动及其相关当事人应当接受有管辖权的建设工程招标投标行政监督部门依法实施的监督，如项目属于公共资源范围，应同时接受本级招标投标管理专门机构监管。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522" w:type="dxa"/>
            <w:gridSpan w:val="3"/>
            <w:vAlign w:val="center"/>
          </w:tcPr>
          <w:p>
            <w:pPr>
              <w:jc w:val="left"/>
              <w:rPr>
                <w:rFonts w:hint="eastAsia" w:ascii="宋体" w:hAnsi="宋体" w:eastAsia="宋体" w:cs="宋体"/>
                <w:color w:val="auto"/>
                <w:highlight w:val="none"/>
              </w:rPr>
            </w:pPr>
            <w:r>
              <w:rPr>
                <w:rFonts w:hint="eastAsia" w:ascii="宋体" w:hAnsi="宋体" w:eastAsia="宋体" w:cs="宋体"/>
                <w:color w:val="auto"/>
                <w:highlight w:val="none"/>
              </w:rPr>
              <w:t>10.11解释权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9522" w:type="dxa"/>
            <w:gridSpan w:val="3"/>
            <w:vAlign w:val="center"/>
          </w:tcPr>
          <w:p>
            <w:pPr>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负责解释。</w:t>
            </w:r>
          </w:p>
        </w:tc>
      </w:tr>
    </w:tbl>
    <w:p>
      <w:pPr>
        <w:pStyle w:val="3"/>
        <w:spacing w:line="420" w:lineRule="exact"/>
        <w:rPr>
          <w:rFonts w:hint="eastAsia" w:ascii="宋体" w:hAnsi="宋体" w:eastAsia="宋体" w:cs="宋体"/>
          <w:color w:val="auto"/>
          <w:sz w:val="21"/>
          <w:szCs w:val="21"/>
          <w:highlight w:val="none"/>
        </w:rPr>
      </w:pPr>
    </w:p>
    <w:p>
      <w:pPr>
        <w:pStyle w:val="3"/>
        <w:spacing w:line="420" w:lineRule="exact"/>
        <w:rPr>
          <w:rFonts w:hint="eastAsia" w:ascii="宋体" w:hAnsi="宋体" w:eastAsia="宋体" w:cs="宋体"/>
          <w:color w:val="auto"/>
          <w:sz w:val="21"/>
          <w:szCs w:val="21"/>
          <w:highlight w:val="none"/>
        </w:rPr>
      </w:pPr>
      <w:bookmarkStart w:id="43" w:name="_Toc19846"/>
      <w:r>
        <w:rPr>
          <w:rFonts w:hint="eastAsia" w:ascii="宋体" w:hAnsi="宋体" w:eastAsia="宋体" w:cs="宋体"/>
          <w:color w:val="auto"/>
          <w:sz w:val="21"/>
          <w:szCs w:val="21"/>
          <w:highlight w:val="none"/>
        </w:rPr>
        <w:t>1 总则</w:t>
      </w:r>
      <w:bookmarkEnd w:id="6"/>
      <w:bookmarkEnd w:id="7"/>
      <w:bookmarkEnd w:id="8"/>
      <w:bookmarkEnd w:id="43"/>
    </w:p>
    <w:p>
      <w:pPr>
        <w:pStyle w:val="3"/>
        <w:spacing w:line="420" w:lineRule="exact"/>
        <w:rPr>
          <w:rFonts w:hint="eastAsia" w:ascii="宋体" w:hAnsi="宋体" w:eastAsia="宋体" w:cs="宋体"/>
          <w:color w:val="auto"/>
          <w:sz w:val="21"/>
          <w:szCs w:val="21"/>
          <w:highlight w:val="none"/>
        </w:rPr>
      </w:pPr>
      <w:bookmarkStart w:id="44" w:name="_Toc397000842"/>
      <w:bookmarkStart w:id="45" w:name="_Toc29506"/>
      <w:bookmarkStart w:id="46" w:name="_Toc391392711"/>
      <w:r>
        <w:rPr>
          <w:rFonts w:hint="eastAsia" w:ascii="宋体" w:hAnsi="宋体" w:eastAsia="宋体" w:cs="宋体"/>
          <w:color w:val="auto"/>
          <w:sz w:val="21"/>
          <w:szCs w:val="21"/>
          <w:highlight w:val="none"/>
        </w:rPr>
        <w:t>1.1 项目概况</w:t>
      </w:r>
      <w:bookmarkEnd w:id="44"/>
      <w:bookmarkEnd w:id="45"/>
      <w:bookmarkEnd w:id="46"/>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1.1.1 根据《中华人民共和国招标投标法》等有关法律、法规和规章的规定，本招标项目已具备招标条件，现对本</w:t>
      </w:r>
      <w:r>
        <w:rPr>
          <w:rFonts w:hint="eastAsia" w:ascii="宋体" w:hAnsi="宋体" w:eastAsia="宋体" w:cs="宋体"/>
          <w:color w:val="auto"/>
          <w:szCs w:val="21"/>
          <w:highlight w:val="none"/>
          <w:lang w:eastAsia="zh-CN"/>
        </w:rPr>
        <w:t>项目</w:t>
      </w:r>
      <w:r>
        <w:rPr>
          <w:rFonts w:hint="eastAsia" w:ascii="宋体" w:hAnsi="宋体" w:eastAsia="宋体" w:cs="宋体"/>
          <w:color w:val="auto"/>
          <w:szCs w:val="21"/>
          <w:highlight w:val="none"/>
        </w:rPr>
        <w:t>施工进行招标。</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1.1.2 本招标项目</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：见“投标人须知前附表”。</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1.1.3 本</w:t>
      </w:r>
      <w:r>
        <w:rPr>
          <w:rFonts w:hint="eastAsia" w:ascii="宋体" w:hAnsi="宋体" w:eastAsia="宋体" w:cs="宋体"/>
          <w:color w:val="auto"/>
          <w:szCs w:val="21"/>
          <w:highlight w:val="none"/>
          <w:lang w:eastAsia="zh-CN"/>
        </w:rPr>
        <w:t>项目采购代理机构</w:t>
      </w:r>
      <w:r>
        <w:rPr>
          <w:rFonts w:hint="eastAsia" w:ascii="宋体" w:hAnsi="宋体" w:eastAsia="宋体" w:cs="宋体"/>
          <w:color w:val="auto"/>
          <w:szCs w:val="21"/>
          <w:highlight w:val="none"/>
        </w:rPr>
        <w:t>：见“投标人须知前附表”。</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1.1.4 本招标项目名称：见“投标人须知前附表”。</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1.1.5 本</w:t>
      </w:r>
      <w:r>
        <w:rPr>
          <w:rFonts w:hint="eastAsia" w:ascii="宋体" w:hAnsi="宋体" w:eastAsia="宋体" w:cs="宋体"/>
          <w:color w:val="auto"/>
          <w:szCs w:val="21"/>
          <w:highlight w:val="none"/>
          <w:lang w:eastAsia="zh-CN"/>
        </w:rPr>
        <w:t>项目</w:t>
      </w:r>
      <w:r>
        <w:rPr>
          <w:rFonts w:hint="eastAsia" w:ascii="宋体" w:hAnsi="宋体" w:eastAsia="宋体" w:cs="宋体"/>
          <w:color w:val="auto"/>
          <w:szCs w:val="21"/>
          <w:highlight w:val="none"/>
        </w:rPr>
        <w:t>建设地点：见“投标人须知前附表”。</w:t>
      </w:r>
    </w:p>
    <w:p>
      <w:pPr>
        <w:pStyle w:val="3"/>
        <w:spacing w:line="420" w:lineRule="exact"/>
        <w:rPr>
          <w:rFonts w:hint="eastAsia" w:ascii="宋体" w:hAnsi="宋体" w:eastAsia="宋体" w:cs="宋体"/>
          <w:color w:val="auto"/>
          <w:sz w:val="21"/>
          <w:szCs w:val="21"/>
          <w:highlight w:val="none"/>
        </w:rPr>
      </w:pPr>
      <w:bookmarkStart w:id="47" w:name="_Toc397000843"/>
      <w:bookmarkStart w:id="48" w:name="_Toc18421"/>
      <w:bookmarkStart w:id="49" w:name="_Toc391392712"/>
      <w:r>
        <w:rPr>
          <w:rFonts w:hint="eastAsia" w:ascii="宋体" w:hAnsi="宋体" w:eastAsia="宋体" w:cs="宋体"/>
          <w:color w:val="auto"/>
          <w:sz w:val="21"/>
          <w:szCs w:val="21"/>
          <w:highlight w:val="none"/>
        </w:rPr>
        <w:t>1.2 资金来源和落实情况</w:t>
      </w:r>
      <w:bookmarkEnd w:id="47"/>
      <w:bookmarkEnd w:id="48"/>
      <w:bookmarkEnd w:id="49"/>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1.2.1 本招标项目的资金来源：见“投标人须知前附表”。</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1.2.2 本招标项目的出资比例：见“投标人须知前附表”。</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1.2.3 本招标项目的资金落实情况：见“投标人须知前附表”。</w:t>
      </w:r>
    </w:p>
    <w:p>
      <w:pPr>
        <w:pStyle w:val="3"/>
        <w:spacing w:line="420" w:lineRule="exact"/>
        <w:rPr>
          <w:rFonts w:hint="eastAsia" w:ascii="宋体" w:hAnsi="宋体" w:eastAsia="宋体" w:cs="宋体"/>
          <w:color w:val="auto"/>
          <w:sz w:val="21"/>
          <w:szCs w:val="21"/>
          <w:highlight w:val="none"/>
        </w:rPr>
      </w:pPr>
      <w:bookmarkStart w:id="50" w:name="_Toc391392713"/>
      <w:bookmarkStart w:id="51" w:name="_Toc397000844"/>
      <w:bookmarkStart w:id="52" w:name="_Toc18844"/>
      <w:r>
        <w:rPr>
          <w:rFonts w:hint="eastAsia" w:ascii="宋体" w:hAnsi="宋体" w:eastAsia="宋体" w:cs="宋体"/>
          <w:color w:val="auto"/>
          <w:sz w:val="21"/>
          <w:szCs w:val="21"/>
          <w:highlight w:val="none"/>
        </w:rPr>
        <w:t>1.3 招标范围、计划工期和质量要求</w:t>
      </w:r>
      <w:bookmarkEnd w:id="50"/>
      <w:bookmarkEnd w:id="51"/>
      <w:bookmarkEnd w:id="52"/>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1.3.1 本次招标范围：见“投标人须知前附表”。</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1.3.2 本</w:t>
      </w:r>
      <w:r>
        <w:rPr>
          <w:rFonts w:hint="eastAsia" w:ascii="宋体" w:hAnsi="宋体" w:eastAsia="宋体" w:cs="宋体"/>
          <w:color w:val="auto"/>
          <w:szCs w:val="21"/>
          <w:highlight w:val="none"/>
          <w:lang w:eastAsia="zh-CN"/>
        </w:rPr>
        <w:t>项目</w:t>
      </w:r>
      <w:r>
        <w:rPr>
          <w:rFonts w:hint="eastAsia" w:ascii="宋体" w:hAnsi="宋体" w:eastAsia="宋体" w:cs="宋体"/>
          <w:color w:val="auto"/>
          <w:szCs w:val="21"/>
          <w:highlight w:val="none"/>
        </w:rPr>
        <w:t>的计划工期：见“投标人须知前附表”。</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1.3.3 本</w:t>
      </w:r>
      <w:r>
        <w:rPr>
          <w:rFonts w:hint="eastAsia" w:ascii="宋体" w:hAnsi="宋体" w:eastAsia="宋体" w:cs="宋体"/>
          <w:color w:val="auto"/>
          <w:szCs w:val="21"/>
          <w:highlight w:val="none"/>
          <w:lang w:eastAsia="zh-CN"/>
        </w:rPr>
        <w:t>项目</w:t>
      </w:r>
      <w:r>
        <w:rPr>
          <w:rFonts w:hint="eastAsia" w:ascii="宋体" w:hAnsi="宋体" w:eastAsia="宋体" w:cs="宋体"/>
          <w:color w:val="auto"/>
          <w:szCs w:val="21"/>
          <w:highlight w:val="none"/>
        </w:rPr>
        <w:t>的质量要求：见“投标人须知前附表”。</w:t>
      </w:r>
    </w:p>
    <w:p>
      <w:pPr>
        <w:pStyle w:val="3"/>
        <w:spacing w:line="420" w:lineRule="exact"/>
        <w:rPr>
          <w:rFonts w:hint="eastAsia" w:ascii="宋体" w:hAnsi="宋体" w:eastAsia="宋体" w:cs="宋体"/>
          <w:color w:val="auto"/>
          <w:sz w:val="21"/>
          <w:szCs w:val="21"/>
          <w:highlight w:val="none"/>
        </w:rPr>
      </w:pPr>
      <w:bookmarkStart w:id="53" w:name="_Toc397000845"/>
      <w:bookmarkStart w:id="54" w:name="_Toc391392714"/>
      <w:bookmarkStart w:id="55" w:name="_Toc4377"/>
      <w:r>
        <w:rPr>
          <w:rFonts w:hint="eastAsia" w:ascii="宋体" w:hAnsi="宋体" w:eastAsia="宋体" w:cs="宋体"/>
          <w:color w:val="auto"/>
          <w:sz w:val="21"/>
          <w:szCs w:val="21"/>
          <w:highlight w:val="none"/>
        </w:rPr>
        <w:t>1.4 投标人资格要求</w:t>
      </w:r>
      <w:bookmarkEnd w:id="53"/>
      <w:bookmarkEnd w:id="54"/>
      <w:bookmarkEnd w:id="55"/>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1.4.1 投标人应具备承担</w:t>
      </w:r>
      <w:r>
        <w:rPr>
          <w:rFonts w:hint="eastAsia" w:ascii="宋体" w:hAnsi="宋体" w:eastAsia="宋体" w:cs="宋体"/>
          <w:color w:val="auto"/>
          <w:szCs w:val="21"/>
          <w:highlight w:val="none"/>
          <w:lang w:eastAsia="zh-CN"/>
        </w:rPr>
        <w:t>项目</w:t>
      </w:r>
      <w:r>
        <w:rPr>
          <w:rFonts w:hint="eastAsia" w:ascii="宋体" w:hAnsi="宋体" w:eastAsia="宋体" w:cs="宋体"/>
          <w:color w:val="auto"/>
          <w:szCs w:val="21"/>
          <w:highlight w:val="none"/>
        </w:rPr>
        <w:t>施工的资质条件、能力、诚信要求。</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（1）资质条件：见“投标人须知前附表”；</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（2）财务要求：见“投标人须知前附表”；</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（3）业绩要求：见“投标人须知前附表”；</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（4）诚信要求：见“投标人须知前附表”；</w:t>
      </w:r>
    </w:p>
    <w:p>
      <w:pPr>
        <w:spacing w:line="420" w:lineRule="exact"/>
        <w:ind w:firstLine="420" w:firstLineChars="200"/>
        <w:rPr>
          <w:rFonts w:hint="eastAsia"/>
          <w:color w:val="auto"/>
          <w:highlight w:val="none"/>
        </w:rPr>
      </w:pPr>
      <w:r>
        <w:rPr>
          <w:rFonts w:hint="eastAsia" w:ascii="宋体" w:hAnsi="宋体" w:eastAsia="宋体" w:cs="宋体"/>
          <w:color w:val="auto"/>
          <w:szCs w:val="21"/>
          <w:highlight w:val="none"/>
        </w:rPr>
        <w:t>（5）项目经理资格：见“投标人须知前附表”；</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（6）其他要求：见“投标人须知前附表”。</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1.4.2 “投标人须知前附表”规定接受联合体投标的，除应符合本章第1.4.1项和“投标人须知前附表”的要求外，还应遵守以下规定：</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（1）联合体各方应按招标文件提供的格式签订联合体协议书，明确联合体牵头人和各方权利义务；</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（2）由同一专业的单位组成的联合体，按照资质等级较低的单位确定资质等级；</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（3）联合体各方不得再以自己名义单独或参加其他联合体在同一标段中投标。</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1.4.3 投标人不得存在下列情形之一：</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（1）为</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不具有独立法人资格的附属机构（单位）；</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（2）为本</w:t>
      </w:r>
      <w:r>
        <w:rPr>
          <w:rFonts w:hint="eastAsia" w:ascii="宋体" w:hAnsi="宋体" w:eastAsia="宋体" w:cs="宋体"/>
          <w:color w:val="auto"/>
          <w:szCs w:val="21"/>
          <w:highlight w:val="none"/>
          <w:lang w:eastAsia="zh-CN"/>
        </w:rPr>
        <w:t>项目</w:t>
      </w:r>
      <w:r>
        <w:rPr>
          <w:rFonts w:hint="eastAsia" w:ascii="宋体" w:hAnsi="宋体" w:eastAsia="宋体" w:cs="宋体"/>
          <w:color w:val="auto"/>
          <w:szCs w:val="21"/>
          <w:highlight w:val="none"/>
        </w:rPr>
        <w:t>前期准备提供设计或咨询服务的，但设计施工总承包的除外；</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（3）为本</w:t>
      </w:r>
      <w:r>
        <w:rPr>
          <w:rFonts w:hint="eastAsia" w:ascii="宋体" w:hAnsi="宋体" w:eastAsia="宋体" w:cs="宋体"/>
          <w:color w:val="auto"/>
          <w:szCs w:val="21"/>
          <w:highlight w:val="none"/>
          <w:lang w:eastAsia="zh-CN"/>
        </w:rPr>
        <w:t>项目</w:t>
      </w:r>
      <w:r>
        <w:rPr>
          <w:rFonts w:hint="eastAsia" w:ascii="宋体" w:hAnsi="宋体" w:eastAsia="宋体" w:cs="宋体"/>
          <w:color w:val="auto"/>
          <w:szCs w:val="21"/>
          <w:highlight w:val="none"/>
        </w:rPr>
        <w:t>的监理人；</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（4）为本</w:t>
      </w:r>
      <w:r>
        <w:rPr>
          <w:rFonts w:hint="eastAsia" w:ascii="宋体" w:hAnsi="宋体" w:eastAsia="宋体" w:cs="宋体"/>
          <w:color w:val="auto"/>
          <w:szCs w:val="21"/>
          <w:highlight w:val="none"/>
          <w:lang w:eastAsia="zh-CN"/>
        </w:rPr>
        <w:t>项目</w:t>
      </w:r>
      <w:r>
        <w:rPr>
          <w:rFonts w:hint="eastAsia" w:ascii="宋体" w:hAnsi="宋体" w:eastAsia="宋体" w:cs="宋体"/>
          <w:color w:val="auto"/>
          <w:szCs w:val="21"/>
          <w:highlight w:val="none"/>
        </w:rPr>
        <w:t>的代建人；</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（5）为本</w:t>
      </w:r>
      <w:r>
        <w:rPr>
          <w:rFonts w:hint="eastAsia" w:ascii="宋体" w:hAnsi="宋体" w:eastAsia="宋体" w:cs="宋体"/>
          <w:color w:val="auto"/>
          <w:szCs w:val="21"/>
          <w:highlight w:val="none"/>
          <w:lang w:eastAsia="zh-CN"/>
        </w:rPr>
        <w:t>项目</w:t>
      </w:r>
      <w:r>
        <w:rPr>
          <w:rFonts w:hint="eastAsia" w:ascii="宋体" w:hAnsi="宋体" w:eastAsia="宋体" w:cs="宋体"/>
          <w:color w:val="auto"/>
          <w:szCs w:val="21"/>
          <w:highlight w:val="none"/>
        </w:rPr>
        <w:t>提供招标代理服务的；</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（6）与本</w:t>
      </w:r>
      <w:r>
        <w:rPr>
          <w:rFonts w:hint="eastAsia" w:ascii="宋体" w:hAnsi="宋体" w:eastAsia="宋体" w:cs="宋体"/>
          <w:color w:val="auto"/>
          <w:szCs w:val="21"/>
          <w:highlight w:val="none"/>
          <w:lang w:eastAsia="zh-CN"/>
        </w:rPr>
        <w:t>项目</w:t>
      </w:r>
      <w:r>
        <w:rPr>
          <w:rFonts w:hint="eastAsia" w:ascii="宋体" w:hAnsi="宋体" w:eastAsia="宋体" w:cs="宋体"/>
          <w:color w:val="auto"/>
          <w:szCs w:val="21"/>
          <w:highlight w:val="none"/>
        </w:rPr>
        <w:t>的监理人或代建人或</w:t>
      </w:r>
      <w:r>
        <w:rPr>
          <w:rFonts w:hint="eastAsia" w:ascii="宋体" w:hAnsi="宋体" w:eastAsia="宋体" w:cs="宋体"/>
          <w:color w:val="auto"/>
          <w:szCs w:val="21"/>
          <w:highlight w:val="none"/>
          <w:lang w:eastAsia="zh-CN"/>
        </w:rPr>
        <w:t>采购代理机构</w:t>
      </w:r>
      <w:r>
        <w:rPr>
          <w:rFonts w:hint="eastAsia" w:ascii="宋体" w:hAnsi="宋体" w:eastAsia="宋体" w:cs="宋体"/>
          <w:color w:val="auto"/>
          <w:szCs w:val="21"/>
          <w:highlight w:val="none"/>
        </w:rPr>
        <w:t>同为一个法定代表人的；</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（7）与本</w:t>
      </w:r>
      <w:r>
        <w:rPr>
          <w:rFonts w:hint="eastAsia" w:ascii="宋体" w:hAnsi="宋体" w:eastAsia="宋体" w:cs="宋体"/>
          <w:color w:val="auto"/>
          <w:szCs w:val="21"/>
          <w:highlight w:val="none"/>
          <w:lang w:eastAsia="zh-CN"/>
        </w:rPr>
        <w:t>项目</w:t>
      </w:r>
      <w:r>
        <w:rPr>
          <w:rFonts w:hint="eastAsia" w:ascii="宋体" w:hAnsi="宋体" w:eastAsia="宋体" w:cs="宋体"/>
          <w:color w:val="auto"/>
          <w:szCs w:val="21"/>
          <w:highlight w:val="none"/>
        </w:rPr>
        <w:t>的监理人或代建人或</w:t>
      </w:r>
      <w:r>
        <w:rPr>
          <w:rFonts w:hint="eastAsia" w:ascii="宋体" w:hAnsi="宋体" w:eastAsia="宋体" w:cs="宋体"/>
          <w:color w:val="auto"/>
          <w:szCs w:val="21"/>
          <w:highlight w:val="none"/>
          <w:lang w:eastAsia="zh-CN"/>
        </w:rPr>
        <w:t>采购代理机构</w:t>
      </w:r>
      <w:r>
        <w:rPr>
          <w:rFonts w:hint="eastAsia" w:ascii="宋体" w:hAnsi="宋体" w:eastAsia="宋体" w:cs="宋体"/>
          <w:color w:val="auto"/>
          <w:szCs w:val="21"/>
          <w:highlight w:val="none"/>
        </w:rPr>
        <w:t>相互控股或参股的；</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（8）与本</w:t>
      </w:r>
      <w:r>
        <w:rPr>
          <w:rFonts w:hint="eastAsia" w:ascii="宋体" w:hAnsi="宋体" w:eastAsia="宋体" w:cs="宋体"/>
          <w:color w:val="auto"/>
          <w:szCs w:val="21"/>
          <w:highlight w:val="none"/>
          <w:lang w:eastAsia="zh-CN"/>
        </w:rPr>
        <w:t>项目</w:t>
      </w:r>
      <w:r>
        <w:rPr>
          <w:rFonts w:hint="eastAsia" w:ascii="宋体" w:hAnsi="宋体" w:eastAsia="宋体" w:cs="宋体"/>
          <w:color w:val="auto"/>
          <w:szCs w:val="21"/>
          <w:highlight w:val="none"/>
        </w:rPr>
        <w:t>的监理人或代建人或</w:t>
      </w:r>
      <w:r>
        <w:rPr>
          <w:rFonts w:hint="eastAsia" w:ascii="宋体" w:hAnsi="宋体" w:eastAsia="宋体" w:cs="宋体"/>
          <w:color w:val="auto"/>
          <w:szCs w:val="21"/>
          <w:highlight w:val="none"/>
          <w:lang w:eastAsia="zh-CN"/>
        </w:rPr>
        <w:t>采购代理机构</w:t>
      </w:r>
      <w:r>
        <w:rPr>
          <w:rFonts w:hint="eastAsia" w:ascii="宋体" w:hAnsi="宋体" w:eastAsia="宋体" w:cs="宋体"/>
          <w:color w:val="auto"/>
          <w:szCs w:val="21"/>
          <w:highlight w:val="none"/>
        </w:rPr>
        <w:t>相互任职或工作的；</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（9）被责令停业的；</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（10）被暂停或取消投标资格的；</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（11）财产被接管或冻结的；</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（12）在最近三年内有骗取中标或严重违约或重大工程质量问题的。</w:t>
      </w:r>
    </w:p>
    <w:p>
      <w:pPr>
        <w:adjustRightInd w:val="0"/>
        <w:snapToGrid w:val="0"/>
        <w:spacing w:line="400" w:lineRule="exact"/>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highlight w:val="none"/>
          <w:lang w:val="en-US" w:eastAsia="zh-CN"/>
        </w:rPr>
        <w:t>1.5</w:t>
      </w:r>
      <w:r>
        <w:rPr>
          <w:rFonts w:hint="eastAsia" w:ascii="宋体" w:hAnsi="宋体" w:eastAsia="宋体" w:cs="宋体"/>
          <w:b/>
          <w:bCs/>
          <w:color w:val="auto"/>
          <w:sz w:val="21"/>
          <w:szCs w:val="21"/>
          <w:highlight w:val="none"/>
          <w:lang w:val="en-US" w:eastAsia="zh-CN"/>
        </w:rPr>
        <w:t>有下列情形之一的视为投标人相互串通投标，投标文件将被视为无效：</w:t>
      </w:r>
    </w:p>
    <w:p>
      <w:pPr>
        <w:adjustRightInd w:val="0"/>
        <w:snapToGrid w:val="0"/>
        <w:spacing w:line="40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highlight w:val="none"/>
          <w:lang w:val="en-US" w:eastAsia="zh-CN"/>
        </w:rPr>
        <w:t>1.5</w:t>
      </w:r>
      <w:r>
        <w:rPr>
          <w:rFonts w:hint="eastAsia" w:ascii="宋体" w:hAnsi="宋体" w:eastAsia="宋体" w:cs="宋体"/>
          <w:color w:val="auto"/>
          <w:sz w:val="21"/>
          <w:szCs w:val="21"/>
          <w:highlight w:val="none"/>
          <w:lang w:val="en-US" w:eastAsia="zh-CN"/>
        </w:rPr>
        <w:t>.1不同投标人的投标文件由同一个单位或者个人编制；或不同投标人报名的IP地址一致的；</w:t>
      </w:r>
    </w:p>
    <w:p>
      <w:pPr>
        <w:adjustRightInd w:val="0"/>
        <w:snapToGrid w:val="0"/>
        <w:spacing w:line="40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highlight w:val="none"/>
          <w:lang w:val="en-US" w:eastAsia="zh-CN"/>
        </w:rPr>
        <w:t>1.5</w:t>
      </w:r>
      <w:r>
        <w:rPr>
          <w:rFonts w:hint="eastAsia" w:ascii="宋体" w:hAnsi="宋体" w:eastAsia="宋体" w:cs="宋体"/>
          <w:color w:val="auto"/>
          <w:sz w:val="21"/>
          <w:szCs w:val="21"/>
          <w:highlight w:val="none"/>
          <w:lang w:val="en-US" w:eastAsia="zh-CN"/>
        </w:rPr>
        <w:t>.2不同投标人委托同一单位或者个人办理竞标事宜；</w:t>
      </w:r>
    </w:p>
    <w:p>
      <w:pPr>
        <w:adjustRightInd w:val="0"/>
        <w:snapToGrid w:val="0"/>
        <w:spacing w:line="40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highlight w:val="none"/>
          <w:lang w:val="en-US" w:eastAsia="zh-CN"/>
        </w:rPr>
        <w:t>1.5</w:t>
      </w:r>
      <w:r>
        <w:rPr>
          <w:rFonts w:hint="eastAsia" w:ascii="宋体" w:hAnsi="宋体" w:eastAsia="宋体" w:cs="宋体"/>
          <w:color w:val="auto"/>
          <w:sz w:val="21"/>
          <w:szCs w:val="21"/>
          <w:highlight w:val="none"/>
          <w:lang w:val="en-US" w:eastAsia="zh-CN"/>
        </w:rPr>
        <w:t>.3不同的投标人的投标文件载明的项目管理员为同一个人；</w:t>
      </w:r>
    </w:p>
    <w:p>
      <w:pPr>
        <w:adjustRightInd w:val="0"/>
        <w:snapToGrid w:val="0"/>
        <w:spacing w:line="40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highlight w:val="none"/>
          <w:lang w:val="en-US" w:eastAsia="zh-CN"/>
        </w:rPr>
        <w:t>1.5</w:t>
      </w:r>
      <w:r>
        <w:rPr>
          <w:rFonts w:hint="eastAsia" w:ascii="宋体" w:hAnsi="宋体" w:eastAsia="宋体" w:cs="宋体"/>
          <w:color w:val="auto"/>
          <w:sz w:val="21"/>
          <w:szCs w:val="21"/>
          <w:highlight w:val="none"/>
          <w:lang w:val="en-US" w:eastAsia="zh-CN"/>
        </w:rPr>
        <w:t>.4不同投标人的投标文件异常一致或投标报价呈规律性差异；</w:t>
      </w:r>
    </w:p>
    <w:p>
      <w:pPr>
        <w:adjustRightInd w:val="0"/>
        <w:snapToGrid w:val="0"/>
        <w:spacing w:line="40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highlight w:val="none"/>
          <w:lang w:val="en-US" w:eastAsia="zh-CN"/>
        </w:rPr>
        <w:t>1.5</w:t>
      </w:r>
      <w:r>
        <w:rPr>
          <w:rFonts w:hint="eastAsia" w:ascii="宋体" w:hAnsi="宋体" w:eastAsia="宋体" w:cs="宋体"/>
          <w:color w:val="auto"/>
          <w:sz w:val="21"/>
          <w:szCs w:val="21"/>
          <w:highlight w:val="none"/>
          <w:lang w:val="en-US" w:eastAsia="zh-CN"/>
        </w:rPr>
        <w:t>.5不同投标人的投标文件相互混装；</w:t>
      </w:r>
    </w:p>
    <w:p>
      <w:pPr>
        <w:adjustRightInd w:val="0"/>
        <w:snapToGrid w:val="0"/>
        <w:spacing w:line="40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highlight w:val="none"/>
          <w:lang w:val="en-US" w:eastAsia="zh-CN"/>
        </w:rPr>
        <w:t>1.5</w:t>
      </w:r>
      <w:r>
        <w:rPr>
          <w:rFonts w:hint="eastAsia" w:ascii="宋体" w:hAnsi="宋体" w:eastAsia="宋体" w:cs="宋体"/>
          <w:color w:val="auto"/>
          <w:sz w:val="21"/>
          <w:szCs w:val="21"/>
          <w:highlight w:val="none"/>
          <w:lang w:val="en-US" w:eastAsia="zh-CN"/>
        </w:rPr>
        <w:t>.6不同投标人的竞标保证金从同一单位或者个人账户转出</w:t>
      </w:r>
    </w:p>
    <w:p>
      <w:pPr>
        <w:adjustRightInd w:val="0"/>
        <w:snapToGrid w:val="0"/>
        <w:spacing w:line="40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1.5.7 同一</w:t>
      </w:r>
      <w:r>
        <w:rPr>
          <w:rFonts w:hint="eastAsia" w:asciiTheme="minorEastAsia" w:hAnsiTheme="minorEastAsia" w:eastAsiaTheme="minorEastAsia" w:cstheme="minorEastAsia"/>
          <w:i w:val="0"/>
          <w:iCs w:val="0"/>
          <w:color w:val="auto"/>
          <w:sz w:val="21"/>
          <w:szCs w:val="21"/>
          <w:highlight w:val="none"/>
          <w:u w:val="none"/>
          <w:lang w:val="en-US" w:eastAsia="zh-CN"/>
        </w:rPr>
        <w:t>投标人参加本项目中任意标段超过3个的（含3个），按标段顺序，超出数量的投标文件将被拒绝</w:t>
      </w:r>
      <w:r>
        <w:rPr>
          <w:rFonts w:hint="eastAsia" w:ascii="宋体" w:hAnsi="宋体" w:eastAsia="宋体" w:cs="宋体"/>
          <w:color w:val="auto"/>
          <w:sz w:val="21"/>
          <w:szCs w:val="21"/>
          <w:highlight w:val="none"/>
          <w:lang w:val="en-US" w:eastAsia="zh-CN"/>
        </w:rPr>
        <w:t>。</w:t>
      </w:r>
    </w:p>
    <w:p>
      <w:pPr>
        <w:adjustRightInd w:val="0"/>
        <w:snapToGrid w:val="0"/>
        <w:spacing w:line="400" w:lineRule="exact"/>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1.6采购人或采购代理机构应当在招标文件中载明以下内容：</w:t>
      </w:r>
    </w:p>
    <w:p>
      <w:pPr>
        <w:adjustRightInd w:val="0"/>
        <w:snapToGrid w:val="0"/>
        <w:spacing w:line="400" w:lineRule="exact"/>
        <w:ind w:firstLine="420" w:firstLineChars="2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1.6.1提供相同品牌产品的不同投标人参加同一合同项下投标的，以其中通过资格审查、符合性审查等且报价最低的参加评标，报价相同的，由采购人自主选择确定一个参加评标的投标人，其他投标无效；</w:t>
      </w:r>
    </w:p>
    <w:p>
      <w:pPr>
        <w:adjustRightInd w:val="0"/>
        <w:snapToGrid w:val="0"/>
        <w:spacing w:line="40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1.6.2非</w:t>
      </w:r>
      <w:r>
        <w:rPr>
          <w:rFonts w:hint="eastAsia" w:ascii="宋体" w:hAnsi="宋体" w:eastAsia="宋体" w:cs="宋体"/>
          <w:color w:val="auto"/>
          <w:sz w:val="21"/>
          <w:szCs w:val="21"/>
          <w:highlight w:val="none"/>
          <w:lang w:val="en-US" w:eastAsia="zh-CN"/>
        </w:rPr>
        <w:t>单一产品采购项目中，多家投标人提供的核心产品品牌相同的，视为提供相同品牌产品。核心产品的名称应当在招标文件中载明。</w:t>
      </w:r>
    </w:p>
    <w:p>
      <w:pPr>
        <w:adjustRightInd w:val="0"/>
        <w:snapToGrid w:val="0"/>
        <w:spacing w:line="400" w:lineRule="exact"/>
        <w:ind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1.7 关联投标人不得参加同一合同项下政府采购活动，否则投标文件将视为无效：</w:t>
      </w:r>
    </w:p>
    <w:p>
      <w:pPr>
        <w:adjustRightInd w:val="0"/>
        <w:snapToGrid w:val="0"/>
        <w:spacing w:line="400" w:lineRule="exact"/>
        <w:ind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1.7</w:t>
      </w:r>
      <w:r>
        <w:rPr>
          <w:rFonts w:hint="eastAsia" w:ascii="宋体" w:hAnsi="宋体" w:eastAsia="宋体" w:cs="宋体"/>
          <w:color w:val="auto"/>
          <w:sz w:val="21"/>
          <w:szCs w:val="21"/>
          <w:highlight w:val="none"/>
          <w:lang w:val="en-US" w:eastAsia="zh-CN"/>
        </w:rPr>
        <w:t>.1单位负责人为同一人或者存在直接控股管理关系的不同的投标人，不得参加同一合同项下的政府采购活动；</w:t>
      </w:r>
    </w:p>
    <w:p>
      <w:pPr>
        <w:adjustRightInd w:val="0"/>
        <w:snapToGrid w:val="0"/>
        <w:spacing w:line="400" w:lineRule="exact"/>
        <w:ind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1.7</w:t>
      </w:r>
      <w:r>
        <w:rPr>
          <w:rFonts w:hint="eastAsia" w:ascii="宋体" w:hAnsi="宋体" w:eastAsia="宋体" w:cs="宋体"/>
          <w:color w:val="auto"/>
          <w:sz w:val="21"/>
          <w:szCs w:val="21"/>
          <w:highlight w:val="none"/>
          <w:lang w:val="en-US" w:eastAsia="zh-CN"/>
        </w:rPr>
        <w:t>.2生产厂商授权给投标人后自己不得参加同一合同项下的政府采购活动；生产厂商对同一品牌同一型号的货物，仅能委托一个代理商参加竞标。</w:t>
      </w:r>
    </w:p>
    <w:p>
      <w:pPr>
        <w:adjustRightInd w:val="0"/>
        <w:snapToGrid w:val="0"/>
        <w:spacing w:line="400" w:lineRule="exact"/>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1.8投标人有下列情形之一的，属于恶意串通行为：</w:t>
      </w:r>
    </w:p>
    <w:p>
      <w:pPr>
        <w:adjustRightInd w:val="0"/>
        <w:snapToGrid w:val="0"/>
        <w:spacing w:line="400" w:lineRule="exact"/>
        <w:ind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1.8</w:t>
      </w:r>
      <w:r>
        <w:rPr>
          <w:rFonts w:hint="eastAsia" w:ascii="宋体" w:hAnsi="宋体" w:eastAsia="宋体" w:cs="宋体"/>
          <w:color w:val="auto"/>
          <w:sz w:val="21"/>
          <w:szCs w:val="21"/>
          <w:highlight w:val="none"/>
          <w:lang w:val="en-US" w:eastAsia="zh-CN"/>
        </w:rPr>
        <w:t>.1投标人直接或者间接从采购人或者采购代理机构处获得其他投标人的相关信息并修改其投标文件或者响应文件；</w:t>
      </w:r>
    </w:p>
    <w:p>
      <w:pPr>
        <w:adjustRightInd w:val="0"/>
        <w:snapToGrid w:val="0"/>
        <w:spacing w:line="400" w:lineRule="exact"/>
        <w:ind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1.8</w:t>
      </w:r>
      <w:r>
        <w:rPr>
          <w:rFonts w:hint="eastAsia" w:ascii="宋体" w:hAnsi="宋体" w:eastAsia="宋体" w:cs="宋体"/>
          <w:color w:val="auto"/>
          <w:sz w:val="21"/>
          <w:szCs w:val="21"/>
          <w:highlight w:val="none"/>
          <w:lang w:val="en-US" w:eastAsia="zh-CN"/>
        </w:rPr>
        <w:t>.2投标人按照采购人或者采购代理机构的授意撤换、修改投标文件或者响应文件；</w:t>
      </w:r>
    </w:p>
    <w:p>
      <w:pPr>
        <w:adjustRightInd w:val="0"/>
        <w:snapToGrid w:val="0"/>
        <w:spacing w:line="400" w:lineRule="exact"/>
        <w:ind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1.8</w:t>
      </w:r>
      <w:r>
        <w:rPr>
          <w:rFonts w:hint="eastAsia" w:ascii="宋体" w:hAnsi="宋体" w:eastAsia="宋体" w:cs="宋体"/>
          <w:color w:val="auto"/>
          <w:sz w:val="21"/>
          <w:szCs w:val="21"/>
          <w:highlight w:val="none"/>
          <w:lang w:val="en-US" w:eastAsia="zh-CN"/>
        </w:rPr>
        <w:t>.3投标人之间协商报价、技术方案等投标文件或者响应文件的实质性的内容；</w:t>
      </w:r>
    </w:p>
    <w:p>
      <w:pPr>
        <w:adjustRightInd w:val="0"/>
        <w:snapToGrid w:val="0"/>
        <w:spacing w:line="400" w:lineRule="exact"/>
        <w:ind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1.8</w:t>
      </w:r>
      <w:r>
        <w:rPr>
          <w:rFonts w:hint="eastAsia" w:ascii="宋体" w:hAnsi="宋体" w:eastAsia="宋体" w:cs="宋体"/>
          <w:color w:val="auto"/>
          <w:sz w:val="21"/>
          <w:szCs w:val="21"/>
          <w:highlight w:val="none"/>
          <w:lang w:val="en-US" w:eastAsia="zh-CN"/>
        </w:rPr>
        <w:t>.4属于同一集团、协会、商会等组织成员的投标人按照该组织要求协同参加政府采购活动；</w:t>
      </w:r>
    </w:p>
    <w:p>
      <w:pPr>
        <w:adjustRightInd w:val="0"/>
        <w:snapToGrid w:val="0"/>
        <w:spacing w:line="400" w:lineRule="exact"/>
        <w:ind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1.8</w:t>
      </w:r>
      <w:r>
        <w:rPr>
          <w:rFonts w:hint="eastAsia" w:ascii="宋体" w:hAnsi="宋体" w:eastAsia="宋体" w:cs="宋体"/>
          <w:color w:val="auto"/>
          <w:sz w:val="21"/>
          <w:szCs w:val="21"/>
          <w:highlight w:val="none"/>
          <w:lang w:val="en-US" w:eastAsia="zh-CN"/>
        </w:rPr>
        <w:t>.5投标人之间事先约定一致抬高或者压低投标报价，或者在采购项目中事先约定轮流以高价位或者低价位成交，或者事先约定由某一特定投标人成交，然后在参加投标；</w:t>
      </w:r>
    </w:p>
    <w:p>
      <w:pPr>
        <w:adjustRightInd w:val="0"/>
        <w:snapToGrid w:val="0"/>
        <w:spacing w:line="400" w:lineRule="exact"/>
        <w:ind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1.8</w:t>
      </w:r>
      <w:r>
        <w:rPr>
          <w:rFonts w:hint="eastAsia" w:ascii="宋体" w:hAnsi="宋体" w:eastAsia="宋体" w:cs="宋体"/>
          <w:color w:val="auto"/>
          <w:sz w:val="21"/>
          <w:szCs w:val="21"/>
          <w:highlight w:val="none"/>
          <w:lang w:val="en-US" w:eastAsia="zh-CN"/>
        </w:rPr>
        <w:t>.6投标人之间商定部分投标人放弃参加政府采购活动或者放弃成交；</w:t>
      </w:r>
    </w:p>
    <w:p>
      <w:pPr>
        <w:adjustRightInd w:val="0"/>
        <w:snapToGrid w:val="0"/>
        <w:spacing w:line="400" w:lineRule="exact"/>
        <w:ind w:firstLine="422" w:firstLineChars="200"/>
        <w:rPr>
          <w:rFonts w:hint="eastAsia"/>
          <w:color w:val="auto"/>
          <w:highlight w:val="none"/>
        </w:rPr>
      </w:pPr>
      <w:r>
        <w:rPr>
          <w:rFonts w:hint="eastAsia" w:ascii="宋体" w:hAnsi="宋体" w:eastAsia="宋体" w:cs="宋体"/>
          <w:b/>
          <w:bCs/>
          <w:color w:val="auto"/>
          <w:sz w:val="21"/>
          <w:szCs w:val="21"/>
          <w:highlight w:val="none"/>
          <w:lang w:val="en-US" w:eastAsia="zh-CN"/>
        </w:rPr>
        <w:t>1.8</w:t>
      </w:r>
      <w:r>
        <w:rPr>
          <w:rFonts w:hint="eastAsia" w:ascii="宋体" w:hAnsi="宋体" w:eastAsia="宋体" w:cs="宋体"/>
          <w:b w:val="0"/>
          <w:bCs w:val="0"/>
          <w:color w:val="auto"/>
          <w:sz w:val="21"/>
          <w:szCs w:val="21"/>
          <w:highlight w:val="none"/>
          <w:lang w:val="en-US" w:eastAsia="zh-CN"/>
        </w:rPr>
        <w:t>.7投标人与采购人或者采购代理机构之间、投标人相互之间，为谋求特定投标人成交或者排斥其他投标人的其他串通行为。</w:t>
      </w:r>
    </w:p>
    <w:p>
      <w:pPr>
        <w:pStyle w:val="3"/>
        <w:spacing w:line="420" w:lineRule="exact"/>
        <w:rPr>
          <w:rFonts w:hint="eastAsia" w:ascii="宋体" w:hAnsi="宋体" w:eastAsia="宋体" w:cs="宋体"/>
          <w:color w:val="auto"/>
          <w:sz w:val="21"/>
          <w:szCs w:val="21"/>
          <w:highlight w:val="none"/>
        </w:rPr>
      </w:pPr>
      <w:bookmarkStart w:id="56" w:name="_Toc12858"/>
      <w:bookmarkStart w:id="57" w:name="_Toc391392715"/>
      <w:bookmarkStart w:id="58" w:name="_Toc397000846"/>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费用承担</w:t>
      </w:r>
      <w:bookmarkEnd w:id="56"/>
      <w:bookmarkEnd w:id="57"/>
      <w:bookmarkEnd w:id="58"/>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投标人准备和参加投标活动发生的费用自理。</w:t>
      </w:r>
    </w:p>
    <w:p>
      <w:pPr>
        <w:pStyle w:val="3"/>
        <w:spacing w:line="420" w:lineRule="exact"/>
        <w:rPr>
          <w:rFonts w:hint="eastAsia" w:ascii="宋体" w:hAnsi="宋体" w:eastAsia="宋体" w:cs="宋体"/>
          <w:color w:val="auto"/>
          <w:sz w:val="21"/>
          <w:szCs w:val="21"/>
          <w:highlight w:val="none"/>
        </w:rPr>
      </w:pPr>
      <w:bookmarkStart w:id="59" w:name="_Toc397000847"/>
      <w:bookmarkStart w:id="60" w:name="_Toc4412"/>
      <w:bookmarkStart w:id="61" w:name="_Toc391392716"/>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 xml:space="preserve"> 保密</w:t>
      </w:r>
      <w:bookmarkEnd w:id="59"/>
      <w:bookmarkEnd w:id="60"/>
      <w:bookmarkEnd w:id="61"/>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参与招标投标活动的各方应对招标文件和投标文件中的商业和技术等秘密保密，违者应对由此造成的后果承担法律责任。</w:t>
      </w:r>
    </w:p>
    <w:p>
      <w:pPr>
        <w:pStyle w:val="3"/>
        <w:spacing w:line="420" w:lineRule="exact"/>
        <w:rPr>
          <w:rFonts w:hint="eastAsia" w:ascii="宋体" w:hAnsi="宋体" w:eastAsia="宋体" w:cs="宋体"/>
          <w:color w:val="auto"/>
          <w:sz w:val="21"/>
          <w:szCs w:val="21"/>
          <w:highlight w:val="none"/>
        </w:rPr>
      </w:pPr>
      <w:bookmarkStart w:id="62" w:name="_Toc397000848"/>
      <w:bookmarkStart w:id="63" w:name="_Toc29042"/>
      <w:bookmarkStart w:id="64" w:name="_Toc391392717"/>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 xml:space="preserve"> 语言文字</w:t>
      </w:r>
      <w:bookmarkEnd w:id="62"/>
      <w:bookmarkEnd w:id="63"/>
      <w:bookmarkEnd w:id="64"/>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除专用术语外，与招标投标有关的语言均使用中文。必要时专用术语应附有中文注释。</w:t>
      </w:r>
    </w:p>
    <w:p>
      <w:pPr>
        <w:pStyle w:val="3"/>
        <w:spacing w:line="420" w:lineRule="exact"/>
        <w:rPr>
          <w:rFonts w:hint="eastAsia" w:ascii="宋体" w:hAnsi="宋体" w:eastAsia="宋体" w:cs="宋体"/>
          <w:color w:val="auto"/>
          <w:sz w:val="21"/>
          <w:szCs w:val="21"/>
          <w:highlight w:val="none"/>
        </w:rPr>
      </w:pPr>
      <w:bookmarkStart w:id="65" w:name="_Toc397000849"/>
      <w:bookmarkStart w:id="66" w:name="_Toc391392718"/>
      <w:bookmarkStart w:id="67" w:name="_Toc19403"/>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 xml:space="preserve"> 计量单位</w:t>
      </w:r>
      <w:bookmarkEnd w:id="65"/>
      <w:bookmarkEnd w:id="66"/>
      <w:bookmarkEnd w:id="67"/>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所有计量均采用中华人民共和国法定计量单位。</w:t>
      </w:r>
    </w:p>
    <w:p>
      <w:pPr>
        <w:pStyle w:val="3"/>
        <w:spacing w:line="420" w:lineRule="exact"/>
        <w:rPr>
          <w:rFonts w:hint="eastAsia" w:ascii="宋体" w:hAnsi="宋体" w:eastAsia="宋体" w:cs="宋体"/>
          <w:color w:val="auto"/>
          <w:sz w:val="21"/>
          <w:szCs w:val="21"/>
          <w:highlight w:val="none"/>
        </w:rPr>
      </w:pPr>
      <w:bookmarkStart w:id="68" w:name="_Toc391392719"/>
      <w:bookmarkStart w:id="69" w:name="_Toc13253"/>
      <w:bookmarkStart w:id="70" w:name="_Toc397000850"/>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13</w:t>
      </w:r>
      <w:r>
        <w:rPr>
          <w:rFonts w:hint="eastAsia" w:ascii="宋体" w:hAnsi="宋体" w:eastAsia="宋体" w:cs="宋体"/>
          <w:color w:val="auto"/>
          <w:sz w:val="21"/>
          <w:szCs w:val="21"/>
          <w:highlight w:val="none"/>
        </w:rPr>
        <w:t xml:space="preserve"> 踏勘现场</w:t>
      </w:r>
      <w:bookmarkEnd w:id="68"/>
      <w:bookmarkEnd w:id="69"/>
      <w:bookmarkEnd w:id="70"/>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13</w:t>
      </w:r>
      <w:r>
        <w:rPr>
          <w:rFonts w:hint="eastAsia" w:ascii="宋体" w:hAnsi="宋体" w:eastAsia="宋体" w:cs="宋体"/>
          <w:color w:val="auto"/>
          <w:szCs w:val="21"/>
          <w:highlight w:val="none"/>
        </w:rPr>
        <w:t>.1 投标人根据需要自行踏勘项目现场。</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13</w:t>
      </w:r>
      <w:r>
        <w:rPr>
          <w:rFonts w:hint="eastAsia" w:ascii="宋体" w:hAnsi="宋体" w:eastAsia="宋体" w:cs="宋体"/>
          <w:color w:val="auto"/>
          <w:szCs w:val="21"/>
          <w:highlight w:val="none"/>
        </w:rPr>
        <w:t>.2 投标人踏勘现场发生的费用自理。</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13</w:t>
      </w:r>
      <w:r>
        <w:rPr>
          <w:rFonts w:hint="eastAsia" w:ascii="宋体" w:hAnsi="宋体" w:eastAsia="宋体" w:cs="宋体"/>
          <w:color w:val="auto"/>
          <w:szCs w:val="21"/>
          <w:highlight w:val="none"/>
        </w:rPr>
        <w:t>.3 投标人自行负责在踏勘现场中所发生的人员伤亡和财产损失。</w:t>
      </w:r>
    </w:p>
    <w:p>
      <w:pPr>
        <w:pStyle w:val="3"/>
        <w:spacing w:line="420" w:lineRule="exact"/>
        <w:rPr>
          <w:rFonts w:hint="eastAsia" w:ascii="宋体" w:hAnsi="宋体" w:eastAsia="宋体" w:cs="宋体"/>
          <w:color w:val="auto"/>
          <w:highlight w:val="none"/>
        </w:rPr>
      </w:pPr>
      <w:bookmarkStart w:id="71" w:name="_Toc7928"/>
      <w:bookmarkStart w:id="72" w:name="_Toc397000851"/>
      <w:bookmarkStart w:id="73" w:name="_Toc391392720"/>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14</w:t>
      </w:r>
      <w:r>
        <w:rPr>
          <w:rFonts w:hint="eastAsia" w:ascii="宋体" w:hAnsi="宋体" w:eastAsia="宋体" w:cs="宋体"/>
          <w:color w:val="auto"/>
          <w:sz w:val="21"/>
          <w:szCs w:val="21"/>
          <w:highlight w:val="none"/>
        </w:rPr>
        <w:t xml:space="preserve"> 投标预备会</w:t>
      </w:r>
      <w:bookmarkEnd w:id="71"/>
      <w:bookmarkEnd w:id="72"/>
      <w:bookmarkEnd w:id="73"/>
    </w:p>
    <w:p>
      <w:pPr>
        <w:pStyle w:val="3"/>
        <w:spacing w:line="420" w:lineRule="exact"/>
        <w:rPr>
          <w:rFonts w:hint="eastAsia" w:ascii="宋体" w:hAnsi="宋体" w:eastAsia="宋体" w:cs="宋体"/>
          <w:color w:val="auto"/>
          <w:sz w:val="21"/>
          <w:szCs w:val="21"/>
          <w:highlight w:val="none"/>
        </w:rPr>
      </w:pPr>
      <w:bookmarkStart w:id="74" w:name="_Toc397000852"/>
      <w:bookmarkStart w:id="75" w:name="_Toc7015"/>
      <w:bookmarkStart w:id="76" w:name="_Toc391392721"/>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 xml:space="preserve"> 分包</w:t>
      </w:r>
      <w:bookmarkEnd w:id="74"/>
      <w:bookmarkEnd w:id="75"/>
      <w:bookmarkEnd w:id="76"/>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投标人拟在中标后将中标项目的部分非主体、非关键性工作进行分包的，应符合“投标人须知前附表”规定的分包内容、分包金额和接受分包的第三人资质要求等限制性条件。</w:t>
      </w:r>
    </w:p>
    <w:p>
      <w:pPr>
        <w:pStyle w:val="3"/>
        <w:spacing w:line="420" w:lineRule="exact"/>
        <w:rPr>
          <w:rFonts w:hint="eastAsia" w:ascii="宋体" w:hAnsi="宋体" w:eastAsia="宋体" w:cs="宋体"/>
          <w:color w:val="auto"/>
          <w:highlight w:val="none"/>
        </w:rPr>
      </w:pPr>
      <w:bookmarkStart w:id="77" w:name="_Toc397000853"/>
      <w:bookmarkStart w:id="78" w:name="_Toc391392722"/>
      <w:bookmarkStart w:id="79" w:name="_Toc13750"/>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16</w:t>
      </w:r>
      <w:r>
        <w:rPr>
          <w:rFonts w:hint="eastAsia" w:ascii="宋体" w:hAnsi="宋体" w:eastAsia="宋体" w:cs="宋体"/>
          <w:color w:val="auto"/>
          <w:sz w:val="21"/>
          <w:szCs w:val="21"/>
          <w:highlight w:val="none"/>
        </w:rPr>
        <w:t xml:space="preserve"> 偏离</w:t>
      </w:r>
      <w:bookmarkEnd w:id="77"/>
      <w:bookmarkEnd w:id="78"/>
      <w:bookmarkEnd w:id="79"/>
    </w:p>
    <w:p>
      <w:pPr>
        <w:pStyle w:val="3"/>
        <w:spacing w:line="420" w:lineRule="exact"/>
        <w:rPr>
          <w:rFonts w:hint="eastAsia" w:ascii="宋体" w:hAnsi="宋体" w:eastAsia="宋体" w:cs="宋体"/>
          <w:color w:val="auto"/>
          <w:sz w:val="21"/>
          <w:szCs w:val="21"/>
          <w:highlight w:val="none"/>
        </w:rPr>
      </w:pPr>
      <w:bookmarkStart w:id="80" w:name="_Toc6884"/>
      <w:bookmarkStart w:id="81" w:name="_Toc391392723"/>
      <w:bookmarkStart w:id="82" w:name="_Toc397000854"/>
      <w:bookmarkStart w:id="83" w:name="_Toc184635072"/>
      <w:r>
        <w:rPr>
          <w:rFonts w:hint="eastAsia" w:ascii="宋体" w:hAnsi="宋体" w:eastAsia="宋体" w:cs="宋体"/>
          <w:color w:val="auto"/>
          <w:sz w:val="21"/>
          <w:szCs w:val="21"/>
          <w:highlight w:val="none"/>
        </w:rPr>
        <w:t>2 招标文件</w:t>
      </w:r>
      <w:bookmarkEnd w:id="80"/>
      <w:bookmarkEnd w:id="81"/>
      <w:bookmarkEnd w:id="82"/>
      <w:bookmarkEnd w:id="83"/>
    </w:p>
    <w:p>
      <w:pPr>
        <w:pStyle w:val="3"/>
        <w:spacing w:line="420" w:lineRule="exact"/>
        <w:rPr>
          <w:rFonts w:hint="eastAsia" w:ascii="宋体" w:hAnsi="宋体" w:eastAsia="宋体" w:cs="宋体"/>
          <w:color w:val="auto"/>
          <w:sz w:val="21"/>
          <w:szCs w:val="21"/>
          <w:highlight w:val="none"/>
        </w:rPr>
      </w:pPr>
      <w:bookmarkStart w:id="84" w:name="_Toc391392724"/>
      <w:bookmarkStart w:id="85" w:name="_Toc26166"/>
      <w:bookmarkStart w:id="86" w:name="_Toc397000855"/>
      <w:r>
        <w:rPr>
          <w:rFonts w:hint="eastAsia" w:ascii="宋体" w:hAnsi="宋体" w:eastAsia="宋体" w:cs="宋体"/>
          <w:color w:val="auto"/>
          <w:sz w:val="21"/>
          <w:szCs w:val="21"/>
          <w:highlight w:val="none"/>
        </w:rPr>
        <w:t>2.1 招标文件的组成</w:t>
      </w:r>
      <w:bookmarkEnd w:id="84"/>
      <w:bookmarkEnd w:id="85"/>
      <w:bookmarkEnd w:id="86"/>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本招标文件包括：</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（1）招标公告；</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（2）投标人须知；</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（3）评标办法；</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（4）合同条款及格式；</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（5）工程量清单；</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（6）图纸；</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（7）技术标准和要求；</w:t>
      </w:r>
    </w:p>
    <w:p>
      <w:pPr>
        <w:spacing w:line="42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（8）投标文件格式</w:t>
      </w:r>
      <w:r>
        <w:rPr>
          <w:rFonts w:hint="eastAsia" w:ascii="宋体" w:hAnsi="宋体" w:eastAsia="宋体" w:cs="宋体"/>
          <w:color w:val="auto"/>
          <w:szCs w:val="21"/>
          <w:highlight w:val="none"/>
          <w:lang w:eastAsia="zh-CN"/>
        </w:rPr>
        <w:t>。</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根据本章第1.10 款、第2.2 款和第2.3 款对招标文件所作的澄清、修改，构成招标文件的组成部分。</w:t>
      </w:r>
    </w:p>
    <w:p>
      <w:pPr>
        <w:pStyle w:val="3"/>
        <w:spacing w:line="420" w:lineRule="exact"/>
        <w:rPr>
          <w:rFonts w:hint="eastAsia" w:ascii="宋体" w:hAnsi="宋体" w:eastAsia="宋体" w:cs="宋体"/>
          <w:color w:val="auto"/>
          <w:sz w:val="21"/>
          <w:szCs w:val="21"/>
          <w:highlight w:val="none"/>
        </w:rPr>
      </w:pPr>
      <w:bookmarkStart w:id="87" w:name="_Toc397000856"/>
      <w:bookmarkStart w:id="88" w:name="_Toc391392725"/>
      <w:bookmarkStart w:id="89" w:name="_Toc3612"/>
      <w:r>
        <w:rPr>
          <w:rFonts w:hint="eastAsia" w:ascii="宋体" w:hAnsi="宋体" w:eastAsia="宋体" w:cs="宋体"/>
          <w:color w:val="auto"/>
          <w:sz w:val="21"/>
          <w:szCs w:val="21"/>
          <w:highlight w:val="none"/>
        </w:rPr>
        <w:t>2.2 招标文件的澄清</w:t>
      </w:r>
      <w:bookmarkEnd w:id="87"/>
      <w:bookmarkEnd w:id="88"/>
      <w:bookmarkEnd w:id="89"/>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2.2.1 投标人应仔细阅读和检查招标文件的全部内容。如发现缺页或附件不全，应及时向</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提出，以便补齐。如有疑问，应在“投标人须知前附表”规定的时间前以书面形式（包括信函、电报、传真等可以有形地表现所载内容的形式，下同），要求</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对招标文件予以澄清。</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2.2.2 招标文件的澄清将在“投标人须知前附表”规定的投标截止时间15 天前，以书面形式发给所有购买招标文件的投标人，但不指明澄清问题的来源。如果澄清发出的时间距投标截止时间不足15天，相应延长投标截止时间。</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2.2.3 投标人在收到澄清后，应在“投标人须知前附表”规定的时间内以书面形式通知</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，确认已收到该澄清。</w:t>
      </w:r>
    </w:p>
    <w:p>
      <w:pPr>
        <w:pStyle w:val="3"/>
        <w:spacing w:line="420" w:lineRule="exact"/>
        <w:rPr>
          <w:rFonts w:hint="eastAsia" w:ascii="宋体" w:hAnsi="宋体" w:eastAsia="宋体" w:cs="宋体"/>
          <w:color w:val="auto"/>
          <w:sz w:val="21"/>
          <w:szCs w:val="21"/>
          <w:highlight w:val="none"/>
        </w:rPr>
      </w:pPr>
      <w:bookmarkStart w:id="90" w:name="_Toc397000857"/>
      <w:bookmarkStart w:id="91" w:name="_Toc18821"/>
      <w:bookmarkStart w:id="92" w:name="_Toc391392726"/>
      <w:r>
        <w:rPr>
          <w:rFonts w:hint="eastAsia" w:ascii="宋体" w:hAnsi="宋体" w:eastAsia="宋体" w:cs="宋体"/>
          <w:color w:val="auto"/>
          <w:sz w:val="21"/>
          <w:szCs w:val="21"/>
          <w:highlight w:val="none"/>
        </w:rPr>
        <w:t>2.3 招标文件的修改</w:t>
      </w:r>
      <w:bookmarkEnd w:id="90"/>
      <w:bookmarkEnd w:id="91"/>
      <w:bookmarkEnd w:id="92"/>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2.3.1 在投标截止时间 15天前，</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可以书面形式修改招标文件，并通知所有已购买招标文件的投标人。如果修改招标文件的时间距投标截止时间不足15天，相应延长投标截止时间。</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2.3.2 当招标文件、招标文件的修改、招标文件的补充在同一内容表述不一致时，以最后的文件为准。</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2.3.3 投标人收到修改内容后，应在“投标人须知前附表”规定的时间内以书面形式通知</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，确认已收到该修改。</w:t>
      </w:r>
    </w:p>
    <w:p>
      <w:pPr>
        <w:pStyle w:val="170"/>
        <w:snapToGrid w:val="0"/>
        <w:spacing w:line="4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2.3.4 为使投标人在编制投标文件时有充分的时间对招标文件的修改、补充等内容进行研究并做出响应，</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 xml:space="preserve">可酌情延长提交投标文件的截止时间，具体时间在招标文件的修改、补充等通知中予以明确。 </w:t>
      </w:r>
    </w:p>
    <w:p>
      <w:pPr>
        <w:pStyle w:val="170"/>
        <w:snapToGrid w:val="0"/>
        <w:spacing w:line="4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2.3.5 招标文件的修改或补充报招标管理机构备案后，发送给所有获得招标文件的投标人。招标文件的修改内容作为招标文件的组成部分，具有约束作用。 </w:t>
      </w:r>
    </w:p>
    <w:p>
      <w:pPr>
        <w:pStyle w:val="3"/>
        <w:spacing w:line="420" w:lineRule="exact"/>
        <w:rPr>
          <w:rFonts w:hint="eastAsia" w:ascii="宋体" w:hAnsi="宋体" w:eastAsia="宋体" w:cs="宋体"/>
          <w:color w:val="auto"/>
          <w:sz w:val="21"/>
          <w:szCs w:val="21"/>
          <w:highlight w:val="none"/>
        </w:rPr>
      </w:pPr>
      <w:bookmarkStart w:id="93" w:name="_Toc19436"/>
      <w:bookmarkStart w:id="94" w:name="_Toc184635073"/>
      <w:bookmarkStart w:id="95" w:name="_Toc391392727"/>
      <w:bookmarkStart w:id="96" w:name="_Toc397000858"/>
      <w:r>
        <w:rPr>
          <w:rFonts w:hint="eastAsia" w:ascii="宋体" w:hAnsi="宋体" w:eastAsia="宋体" w:cs="宋体"/>
          <w:color w:val="auto"/>
          <w:sz w:val="21"/>
          <w:szCs w:val="21"/>
          <w:highlight w:val="none"/>
        </w:rPr>
        <w:t>3 投标文件</w:t>
      </w:r>
      <w:bookmarkEnd w:id="93"/>
      <w:bookmarkEnd w:id="94"/>
      <w:bookmarkEnd w:id="95"/>
      <w:bookmarkEnd w:id="96"/>
    </w:p>
    <w:p>
      <w:pPr>
        <w:pStyle w:val="3"/>
        <w:spacing w:line="460" w:lineRule="exact"/>
        <w:rPr>
          <w:rFonts w:hint="eastAsia" w:ascii="宋体" w:hAnsi="宋体" w:eastAsia="宋体" w:cs="宋体"/>
          <w:color w:val="auto"/>
          <w:sz w:val="21"/>
          <w:szCs w:val="21"/>
          <w:highlight w:val="none"/>
        </w:rPr>
      </w:pPr>
      <w:bookmarkStart w:id="97" w:name="_Toc391392728"/>
      <w:bookmarkStart w:id="98" w:name="_Toc397000859"/>
      <w:bookmarkStart w:id="99" w:name="_Toc32007"/>
      <w:r>
        <w:rPr>
          <w:rFonts w:hint="eastAsia" w:ascii="宋体" w:hAnsi="宋体" w:eastAsia="宋体" w:cs="宋体"/>
          <w:color w:val="auto"/>
          <w:sz w:val="21"/>
          <w:szCs w:val="21"/>
          <w:highlight w:val="none"/>
        </w:rPr>
        <w:t>3.1 投标文件的组成</w:t>
      </w:r>
      <w:bookmarkEnd w:id="97"/>
      <w:bookmarkEnd w:id="98"/>
      <w:bookmarkEnd w:id="99"/>
    </w:p>
    <w:p>
      <w:pPr>
        <w:pStyle w:val="162"/>
        <w:spacing w:line="460" w:lineRule="exact"/>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3.1.1 投标文件应包括下列内容：</w:t>
      </w:r>
    </w:p>
    <w:p>
      <w:pPr>
        <w:spacing w:line="460" w:lineRule="exact"/>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资格审查部分：</w:t>
      </w:r>
    </w:p>
    <w:p>
      <w:pPr>
        <w:spacing w:line="500" w:lineRule="exact"/>
        <w:ind w:firstLine="420" w:firstLineChars="200"/>
        <w:rPr>
          <w:rFonts w:hint="eastAsia" w:ascii="宋体" w:hAnsi="宋体" w:eastAsia="宋体" w:cs="宋体"/>
          <w:color w:val="auto"/>
          <w:highlight w:val="none"/>
        </w:rPr>
      </w:pPr>
      <w:bookmarkStart w:id="100" w:name="_Toc251051469"/>
      <w:r>
        <w:rPr>
          <w:rFonts w:hint="eastAsia" w:ascii="宋体" w:hAnsi="宋体" w:eastAsia="宋体" w:cs="宋体"/>
          <w:color w:val="auto"/>
          <w:highlight w:val="none"/>
        </w:rPr>
        <w:t>（1）投标文件签署授权委托书（原件），附：法定代表人身份证明和代理人身份证等材料的复印件；</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（2）投标人基本情况表（附有效的企业法人营业执照副本、企业资质证书副本、安全生产许可证副本等材料的复印件）；</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（3）投标保证金银行转账单的复印件、低价风险保证金凭证（如有）的复印件、基本账户开户许可证的复印件或基本存款账户信息复印件；</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（4）建设工程项目管理承诺书；</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（5）项目经理注册建造师注册证书和安全生产考核合格证书（B类）复印件；</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（6）技术负责人职称证书复印件；</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（7）考核期内已完成类似工程及目前在建工程一览表（如有）；</w:t>
      </w:r>
    </w:p>
    <w:p>
      <w:pPr>
        <w:spacing w:line="500" w:lineRule="exact"/>
        <w:ind w:firstLine="407" w:firstLineChars="194"/>
        <w:rPr>
          <w:rFonts w:hint="eastAsia" w:ascii="宋体" w:hAnsi="宋体" w:eastAsia="宋体" w:cs="宋体"/>
          <w:color w:val="auto"/>
          <w:highlight w:val="none"/>
        </w:rPr>
      </w:pPr>
      <w:r>
        <w:rPr>
          <w:rFonts w:hint="eastAsia" w:ascii="宋体" w:hAnsi="宋体" w:eastAsia="宋体" w:cs="宋体"/>
          <w:color w:val="auto"/>
          <w:highlight w:val="none"/>
        </w:rPr>
        <w:t>（8）近三年财务状况表；(对于从取得营业执照时间起到投标截止时间为止不足要求年数的企业，只需提交企业取得营业执照年份至所要求最近年份经审计的财务报表)</w:t>
      </w:r>
    </w:p>
    <w:p>
      <w:pPr>
        <w:spacing w:line="500" w:lineRule="exact"/>
        <w:ind w:firstLine="407" w:firstLineChars="194"/>
        <w:rPr>
          <w:rFonts w:hint="eastAsia" w:ascii="宋体" w:hAnsi="宋体" w:eastAsia="宋体" w:cs="宋体"/>
          <w:color w:val="auto"/>
          <w:highlight w:val="none"/>
        </w:rPr>
      </w:pPr>
      <w:r>
        <w:rPr>
          <w:rFonts w:hint="eastAsia" w:ascii="宋体" w:hAnsi="宋体" w:eastAsia="宋体" w:cs="宋体"/>
          <w:color w:val="auto"/>
          <w:highlight w:val="none"/>
        </w:rPr>
        <w:t>（9）近三年发生的诉讼和仲裁情况；</w:t>
      </w:r>
    </w:p>
    <w:p>
      <w:pPr>
        <w:spacing w:line="500" w:lineRule="exact"/>
        <w:ind w:firstLine="407" w:firstLineChars="194"/>
        <w:rPr>
          <w:rFonts w:hint="eastAsia" w:ascii="宋体" w:hAnsi="宋体" w:eastAsia="宋体" w:cs="宋体"/>
          <w:color w:val="auto"/>
          <w:highlight w:val="none"/>
        </w:rPr>
      </w:pPr>
      <w:r>
        <w:rPr>
          <w:rFonts w:hint="eastAsia" w:ascii="宋体" w:hAnsi="宋体" w:eastAsia="宋体" w:cs="宋体"/>
          <w:color w:val="auto"/>
          <w:highlight w:val="none"/>
        </w:rPr>
        <w:t>（10）投标保证金保证事项承诺书；</w:t>
      </w:r>
    </w:p>
    <w:p>
      <w:pPr>
        <w:spacing w:line="500" w:lineRule="exact"/>
        <w:ind w:firstLine="407" w:firstLineChars="194"/>
        <w:rPr>
          <w:rFonts w:hint="eastAsia" w:ascii="宋体" w:hAnsi="宋体" w:eastAsia="宋体" w:cs="宋体"/>
          <w:color w:val="auto"/>
          <w:highlight w:val="none"/>
        </w:rPr>
      </w:pPr>
      <w:r>
        <w:rPr>
          <w:rFonts w:hint="eastAsia" w:ascii="宋体" w:hAnsi="宋体" w:eastAsia="宋体" w:cs="宋体"/>
          <w:color w:val="auto"/>
          <w:highlight w:val="none"/>
        </w:rPr>
        <w:t>（11）拟投入本工程管理人员情况表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附各岗位人员资格证件复印件及</w:t>
      </w:r>
      <w:r>
        <w:rPr>
          <w:rFonts w:hint="eastAsia" w:ascii="宋体" w:hAnsi="宋体" w:eastAsia="宋体" w:cs="宋体"/>
          <w:color w:val="auto"/>
        </w:rPr>
        <w:t>投标截止之日前半年内任意一个月在本单位依法缴纳社保证明材料复印件</w:t>
      </w:r>
      <w:r>
        <w:rPr>
          <w:rFonts w:hint="eastAsia" w:ascii="宋体" w:hAnsi="宋体" w:eastAsia="宋体" w:cs="宋体"/>
          <w:color w:val="auto"/>
          <w:highlight w:val="none"/>
        </w:rPr>
        <w:t>，以上复印件均须加盖投标人单位公章</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spacing w:line="500" w:lineRule="exact"/>
        <w:ind w:firstLine="407" w:firstLineChars="194"/>
        <w:rPr>
          <w:rFonts w:hint="eastAsia" w:ascii="宋体" w:hAnsi="宋体" w:eastAsia="宋体" w:cs="宋体"/>
          <w:color w:val="auto"/>
          <w:highlight w:val="none"/>
        </w:rPr>
      </w:pPr>
      <w:r>
        <w:rPr>
          <w:rFonts w:hint="eastAsia" w:ascii="宋体" w:hAnsi="宋体" w:eastAsia="宋体" w:cs="宋体"/>
          <w:color w:val="auto"/>
          <w:highlight w:val="none"/>
        </w:rPr>
        <w:t>（12）拟投入施工机械设备情况表；</w:t>
      </w:r>
    </w:p>
    <w:p>
      <w:pPr>
        <w:spacing w:line="500" w:lineRule="exact"/>
        <w:ind w:firstLine="407" w:firstLineChars="194"/>
        <w:rPr>
          <w:rFonts w:hint="eastAsia" w:ascii="宋体" w:hAnsi="宋体" w:eastAsia="宋体" w:cs="宋体"/>
          <w:b/>
          <w:bCs/>
          <w:color w:val="auto"/>
          <w:szCs w:val="21"/>
          <w:highlight w:val="none"/>
        </w:rPr>
      </w:pPr>
      <w:r>
        <w:rPr>
          <w:rFonts w:hint="eastAsia" w:ascii="宋体" w:hAnsi="宋体" w:eastAsia="宋体" w:cs="宋体"/>
          <w:color w:val="auto"/>
          <w:highlight w:val="none"/>
        </w:rPr>
        <w:t>（13）资格审查需要的其他材料（企业信誉（如有）、在最近三年内无骗取中标或严重违约或重大工程质量问题的（格式自拟）和投标人认为有必要提供的其他证明材料。</w:t>
      </w:r>
    </w:p>
    <w:p>
      <w:pPr>
        <w:spacing w:line="420" w:lineRule="exact"/>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商务标部分：</w:t>
      </w:r>
    </w:p>
    <w:p>
      <w:pPr>
        <w:tabs>
          <w:tab w:val="left" w:pos="826"/>
        </w:tabs>
        <w:snapToGrid w:val="0"/>
        <w:spacing w:line="46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（1）投标函及投标函附录；</w:t>
      </w:r>
    </w:p>
    <w:bookmarkEnd w:id="100"/>
    <w:p>
      <w:pPr>
        <w:pStyle w:val="162"/>
        <w:spacing w:line="46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（2）投标响应表；</w:t>
      </w:r>
    </w:p>
    <w:p>
      <w:pPr>
        <w:spacing w:line="4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（3）投标报价表；</w:t>
      </w:r>
    </w:p>
    <w:p>
      <w:pPr>
        <w:spacing w:line="420" w:lineRule="exact"/>
        <w:rPr>
          <w:rFonts w:hint="eastAsia" w:ascii="宋体" w:hAnsi="宋体" w:eastAsia="宋体" w:cs="宋体"/>
          <w:color w:val="auto"/>
          <w:highlight w:val="none"/>
          <w:lang w:eastAsia="zh-CN"/>
        </w:rPr>
      </w:pPr>
      <w:r>
        <w:rPr>
          <w:rFonts w:hint="eastAsia" w:ascii="宋体" w:hAnsi="宋体" w:eastAsia="宋体" w:cs="宋体"/>
          <w:color w:val="auto"/>
          <w:szCs w:val="21"/>
          <w:highlight w:val="none"/>
        </w:rPr>
        <w:t xml:space="preserve">   （4）已标价工程量清单</w:t>
      </w:r>
      <w:r>
        <w:rPr>
          <w:rFonts w:hint="eastAsia" w:ascii="宋体" w:hAnsi="宋体" w:eastAsia="宋体" w:cs="宋体"/>
          <w:color w:val="auto"/>
          <w:szCs w:val="21"/>
          <w:highlight w:val="none"/>
          <w:lang w:eastAsia="zh-CN"/>
        </w:rPr>
        <w:t>。</w:t>
      </w:r>
    </w:p>
    <w:p>
      <w:pPr>
        <w:tabs>
          <w:tab w:val="left" w:pos="826"/>
        </w:tabs>
        <w:spacing w:line="420" w:lineRule="exact"/>
        <w:ind w:firstLine="413" w:firstLineChars="196"/>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技术标部分：</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一、施工组织设计</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二、项目管理机构配备情况</w:t>
      </w:r>
    </w:p>
    <w:p>
      <w:pPr>
        <w:spacing w:line="500" w:lineRule="exact"/>
        <w:ind w:firstLine="840" w:firstLineChars="400"/>
        <w:rPr>
          <w:rFonts w:hint="eastAsia" w:ascii="宋体" w:hAnsi="宋体" w:eastAsia="宋体" w:cs="宋体"/>
          <w:color w:val="auto"/>
          <w:highlight w:val="none"/>
        </w:rPr>
      </w:pPr>
      <w:r>
        <w:rPr>
          <w:rFonts w:hint="eastAsia" w:ascii="宋体" w:hAnsi="宋体" w:eastAsia="宋体" w:cs="宋体"/>
          <w:color w:val="auto"/>
          <w:highlight w:val="none"/>
        </w:rPr>
        <w:t>（一）项目管理机构配备情况表（附各岗位人员资格证件复印件及投标截止之日前半年内任意一个月在本单位依法缴纳社保证明材料复印件，以上复印件均须加盖投标人单位公章）</w:t>
      </w:r>
    </w:p>
    <w:p>
      <w:pPr>
        <w:spacing w:line="500" w:lineRule="exact"/>
        <w:ind w:firstLine="840" w:firstLineChars="400"/>
        <w:rPr>
          <w:rFonts w:hint="eastAsia" w:ascii="宋体" w:hAnsi="宋体" w:eastAsia="宋体" w:cs="宋体"/>
          <w:color w:val="auto"/>
          <w:highlight w:val="none"/>
        </w:rPr>
      </w:pPr>
      <w:r>
        <w:rPr>
          <w:rFonts w:hint="eastAsia" w:ascii="宋体" w:hAnsi="宋体" w:eastAsia="宋体" w:cs="宋体"/>
          <w:color w:val="auto"/>
          <w:highlight w:val="none"/>
        </w:rPr>
        <w:t>（二）项目经理简历表</w:t>
      </w:r>
    </w:p>
    <w:p>
      <w:pPr>
        <w:spacing w:line="500" w:lineRule="exact"/>
        <w:ind w:firstLine="840" w:firstLineChars="400"/>
        <w:rPr>
          <w:rFonts w:hint="eastAsia" w:ascii="宋体" w:hAnsi="宋体" w:eastAsia="宋体" w:cs="宋体"/>
          <w:color w:val="auto"/>
          <w:highlight w:val="none"/>
        </w:rPr>
      </w:pPr>
      <w:r>
        <w:rPr>
          <w:rFonts w:hint="eastAsia" w:ascii="宋体" w:hAnsi="宋体" w:eastAsia="宋体" w:cs="宋体"/>
          <w:color w:val="auto"/>
          <w:highlight w:val="none"/>
        </w:rPr>
        <w:t>（三）技术负责人简历表</w:t>
      </w:r>
    </w:p>
    <w:p>
      <w:pPr>
        <w:spacing w:line="500" w:lineRule="exact"/>
        <w:ind w:firstLine="840" w:firstLineChars="400"/>
        <w:rPr>
          <w:rFonts w:hint="eastAsia" w:ascii="宋体" w:hAnsi="宋体" w:eastAsia="宋体" w:cs="宋体"/>
          <w:color w:val="auto"/>
          <w:highlight w:val="none"/>
        </w:rPr>
      </w:pPr>
      <w:r>
        <w:rPr>
          <w:rFonts w:hint="eastAsia" w:ascii="宋体" w:hAnsi="宋体" w:eastAsia="宋体" w:cs="宋体"/>
          <w:color w:val="auto"/>
          <w:highlight w:val="none"/>
        </w:rPr>
        <w:t>（四）项目管理机构配备辅助说明资料</w:t>
      </w:r>
    </w:p>
    <w:p>
      <w:pPr>
        <w:pStyle w:val="162"/>
        <w:spacing w:line="460" w:lineRule="exact"/>
        <w:ind w:left="105" w:leftChars="50" w:firstLine="315" w:firstLineChars="150"/>
        <w:rPr>
          <w:rFonts w:hint="eastAsia" w:ascii="宋体" w:hAnsi="宋体" w:eastAsia="宋体" w:cs="宋体"/>
          <w:color w:val="auto"/>
          <w:highlight w:val="none"/>
        </w:rPr>
      </w:pPr>
      <w:r>
        <w:rPr>
          <w:rFonts w:hint="eastAsia" w:ascii="宋体" w:hAnsi="宋体" w:eastAsia="宋体" w:cs="宋体"/>
          <w:color w:val="auto"/>
          <w:highlight w:val="none"/>
        </w:rPr>
        <w:t>3.1.2 “投标人须知前附表”规定不接受联合体投标的，或投标人没有组成联合体的，投标文件不包括本章第3.1.1（3）目所指的联合体协议书。</w:t>
      </w:r>
    </w:p>
    <w:p>
      <w:pPr>
        <w:pStyle w:val="3"/>
        <w:spacing w:line="460" w:lineRule="exact"/>
        <w:rPr>
          <w:rFonts w:hint="eastAsia" w:ascii="宋体" w:hAnsi="宋体" w:eastAsia="宋体" w:cs="宋体"/>
          <w:color w:val="auto"/>
          <w:sz w:val="21"/>
          <w:szCs w:val="21"/>
          <w:highlight w:val="none"/>
        </w:rPr>
      </w:pPr>
      <w:bookmarkStart w:id="101" w:name="_Toc391392729"/>
      <w:bookmarkStart w:id="102" w:name="_Toc397000860"/>
      <w:bookmarkStart w:id="103" w:name="_Toc32308"/>
      <w:r>
        <w:rPr>
          <w:rFonts w:hint="eastAsia" w:ascii="宋体" w:hAnsi="宋体" w:eastAsia="宋体" w:cs="宋体"/>
          <w:color w:val="auto"/>
          <w:sz w:val="21"/>
          <w:szCs w:val="21"/>
          <w:highlight w:val="none"/>
        </w:rPr>
        <w:t>3.2 投标报价</w:t>
      </w:r>
      <w:bookmarkEnd w:id="101"/>
      <w:bookmarkEnd w:id="102"/>
      <w:bookmarkEnd w:id="103"/>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3.2.1 投标人应按第五章“工程量清单”的要求填写相应表格。</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3.2.2 投标人在投标截止时间前修改投标函中的投标总报价，应同时修改第五章“工程量清单”中的相应报价。此修改须符合本章第4.3 款的有关要求。</w:t>
      </w:r>
    </w:p>
    <w:p>
      <w:pPr>
        <w:pStyle w:val="3"/>
        <w:spacing w:line="420" w:lineRule="exact"/>
        <w:rPr>
          <w:rFonts w:hint="eastAsia" w:ascii="宋体" w:hAnsi="宋体" w:eastAsia="宋体" w:cs="宋体"/>
          <w:color w:val="auto"/>
          <w:sz w:val="21"/>
          <w:szCs w:val="21"/>
          <w:highlight w:val="none"/>
        </w:rPr>
      </w:pPr>
      <w:bookmarkStart w:id="104" w:name="_Toc17633"/>
      <w:bookmarkStart w:id="105" w:name="_Toc397000861"/>
      <w:bookmarkStart w:id="106" w:name="_Toc391392730"/>
      <w:r>
        <w:rPr>
          <w:rFonts w:hint="eastAsia" w:ascii="宋体" w:hAnsi="宋体" w:eastAsia="宋体" w:cs="宋体"/>
          <w:color w:val="auto"/>
          <w:sz w:val="21"/>
          <w:szCs w:val="21"/>
          <w:highlight w:val="none"/>
        </w:rPr>
        <w:t>3.3 投标有效期</w:t>
      </w:r>
      <w:bookmarkEnd w:id="104"/>
      <w:bookmarkEnd w:id="105"/>
      <w:bookmarkEnd w:id="106"/>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3.3.1 在“投标人须知前附表”规定的投标有效期内，投标人不得要求撤销或修改其投标文件。</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3.3.2 出现特殊情况需要延长投标有效期的，</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3"/>
        <w:spacing w:line="420" w:lineRule="exact"/>
        <w:rPr>
          <w:rFonts w:hint="eastAsia" w:ascii="宋体" w:hAnsi="宋体" w:eastAsia="宋体" w:cs="宋体"/>
          <w:color w:val="auto"/>
          <w:sz w:val="21"/>
          <w:szCs w:val="21"/>
          <w:highlight w:val="none"/>
        </w:rPr>
      </w:pPr>
      <w:bookmarkStart w:id="107" w:name="_Toc391392731"/>
      <w:bookmarkStart w:id="108" w:name="_Toc397000862"/>
      <w:bookmarkStart w:id="109" w:name="_Toc15147"/>
      <w:r>
        <w:rPr>
          <w:rFonts w:hint="eastAsia" w:ascii="宋体" w:hAnsi="宋体" w:eastAsia="宋体" w:cs="宋体"/>
          <w:color w:val="auto"/>
          <w:sz w:val="21"/>
          <w:szCs w:val="21"/>
          <w:highlight w:val="none"/>
        </w:rPr>
        <w:t>3.4 投标保证金</w:t>
      </w:r>
      <w:bookmarkEnd w:id="107"/>
      <w:bookmarkEnd w:id="108"/>
      <w:bookmarkEnd w:id="109"/>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3.4.1 投标人必须在投标截止时间前，按“投标人须知前附表”规定的金额、担保形式和第八章“投标文件格式”规定的投标保证金格式递交投标保证金。递交投标保证金的证明文件作为其投标文件的组成部分。联合体投标的，其投标保证金由牵头人递交，并应符合“投标人须知前附表”的规定。</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3.4.2 投标人不按本章第3.4.1 项要求提交投标保证金的，其投标文件作否决投标处理。</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3.4.3 </w:t>
      </w:r>
      <w:r>
        <w:rPr>
          <w:rFonts w:hint="eastAsia" w:ascii="宋体" w:hAnsi="宋体" w:eastAsia="宋体" w:cs="宋体"/>
          <w:color w:val="auto"/>
          <w:highlight w:val="none"/>
        </w:rPr>
        <w:t>对未中标人交纳的投标保证金应当于中标通知书发出之日起5日内退回；对中标人交纳的投标保证金应当于合同签订之日起5日内退回。</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3.4.4 有下列情形之一的，投标保证金将不予退还：</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（1）投标人在规定的投标有效期内撤销或修改其投标文件；</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（2）中标人在收到中标通知书后，无正当理由拒签合同协议书或未按招标文件规定提交履约担保。</w:t>
      </w:r>
    </w:p>
    <w:p>
      <w:pPr>
        <w:pStyle w:val="3"/>
        <w:spacing w:line="420" w:lineRule="exact"/>
        <w:rPr>
          <w:rFonts w:hint="eastAsia" w:ascii="宋体" w:hAnsi="宋体" w:eastAsia="宋体" w:cs="宋体"/>
          <w:color w:val="auto"/>
          <w:sz w:val="21"/>
          <w:szCs w:val="21"/>
          <w:highlight w:val="none"/>
        </w:rPr>
      </w:pPr>
      <w:bookmarkStart w:id="110" w:name="_Toc391392732"/>
      <w:bookmarkStart w:id="111" w:name="_Toc16013"/>
      <w:bookmarkStart w:id="112" w:name="_Toc397000863"/>
      <w:r>
        <w:rPr>
          <w:rFonts w:hint="eastAsia" w:ascii="宋体" w:hAnsi="宋体" w:eastAsia="宋体" w:cs="宋体"/>
          <w:color w:val="auto"/>
          <w:sz w:val="21"/>
          <w:szCs w:val="21"/>
          <w:highlight w:val="none"/>
        </w:rPr>
        <w:t>3.7 投标文件的编制</w:t>
      </w:r>
      <w:bookmarkEnd w:id="110"/>
      <w:bookmarkEnd w:id="111"/>
      <w:bookmarkEnd w:id="112"/>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3.7.1 投标文件应按第八章“投标文件格式”进行编写，如有必要，可以增加附页，作为投标文件的组成部分。其中，投标函附录在满足招标文件实质性要求的基础上，可以提出比招标文件要求更有利于</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的承诺。</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3.7.2 投标文件应当对招标文件有关工期、投标有效期、质量要求、技术标准和要求、招标范围等实质性内容作出响应。 </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3.7.3 投标文件应用不褪色的材料书写或打印，并由投标人的法定代表人或其委托代理人签字和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3.7.4 投标文件正本一份，副本份数见“投标人须知前附表”。正本和副本的封面上应清楚地标记“正本”或“副本”的字样。当副本和正本不一致时，以正本为准。</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3.7.5 投标文件的正本与副本应分别装订成册，并编制目录，具体装订要求见“投标人须知前附表”规定。</w:t>
      </w:r>
    </w:p>
    <w:p>
      <w:pPr>
        <w:pStyle w:val="3"/>
        <w:spacing w:line="420" w:lineRule="exact"/>
        <w:rPr>
          <w:rFonts w:hint="eastAsia" w:ascii="宋体" w:hAnsi="宋体" w:eastAsia="宋体" w:cs="宋体"/>
          <w:color w:val="auto"/>
          <w:sz w:val="21"/>
          <w:szCs w:val="21"/>
          <w:highlight w:val="none"/>
        </w:rPr>
      </w:pPr>
      <w:bookmarkStart w:id="113" w:name="_Toc184635074"/>
      <w:bookmarkStart w:id="114" w:name="_Toc391392733"/>
      <w:bookmarkStart w:id="115" w:name="_Toc397000864"/>
      <w:bookmarkStart w:id="116" w:name="_Toc29204"/>
      <w:r>
        <w:rPr>
          <w:rFonts w:hint="eastAsia" w:ascii="宋体" w:hAnsi="宋体" w:eastAsia="宋体" w:cs="宋体"/>
          <w:color w:val="auto"/>
          <w:sz w:val="21"/>
          <w:szCs w:val="21"/>
          <w:highlight w:val="none"/>
        </w:rPr>
        <w:t>4 投标</w:t>
      </w:r>
      <w:bookmarkEnd w:id="113"/>
      <w:bookmarkEnd w:id="114"/>
      <w:bookmarkEnd w:id="115"/>
      <w:bookmarkEnd w:id="116"/>
    </w:p>
    <w:p>
      <w:pPr>
        <w:pStyle w:val="3"/>
        <w:spacing w:line="420" w:lineRule="exact"/>
        <w:rPr>
          <w:rFonts w:hint="eastAsia" w:ascii="宋体" w:hAnsi="宋体" w:eastAsia="宋体" w:cs="宋体"/>
          <w:color w:val="auto"/>
          <w:sz w:val="21"/>
          <w:szCs w:val="21"/>
          <w:highlight w:val="none"/>
        </w:rPr>
      </w:pPr>
      <w:bookmarkStart w:id="117" w:name="_Toc391392734"/>
      <w:bookmarkStart w:id="118" w:name="_Toc397000865"/>
      <w:bookmarkStart w:id="119" w:name="_Toc3372"/>
      <w:r>
        <w:rPr>
          <w:rFonts w:hint="eastAsia" w:ascii="宋体" w:hAnsi="宋体" w:eastAsia="宋体" w:cs="宋体"/>
          <w:color w:val="auto"/>
          <w:sz w:val="21"/>
          <w:szCs w:val="21"/>
          <w:highlight w:val="none"/>
        </w:rPr>
        <w:t>4.1 投标文件的密封和标记</w:t>
      </w:r>
      <w:bookmarkEnd w:id="117"/>
      <w:bookmarkEnd w:id="118"/>
      <w:bookmarkEnd w:id="119"/>
    </w:p>
    <w:p>
      <w:pPr>
        <w:spacing w:line="420" w:lineRule="exact"/>
        <w:ind w:firstLine="420" w:firstLineChars="200"/>
        <w:rPr>
          <w:rFonts w:hint="eastAsia" w:ascii="宋体" w:hAnsi="宋体" w:eastAsia="宋体" w:cs="宋体"/>
          <w:b/>
          <w:color w:val="auto"/>
          <w:highlight w:val="none"/>
        </w:rPr>
      </w:pPr>
      <w:r>
        <w:rPr>
          <w:rFonts w:hint="eastAsia" w:ascii="宋体" w:hAnsi="宋体" w:eastAsia="宋体" w:cs="宋体"/>
          <w:color w:val="auto"/>
          <w:szCs w:val="21"/>
          <w:highlight w:val="none"/>
        </w:rPr>
        <w:t>4.1.1</w:t>
      </w:r>
      <w:r>
        <w:rPr>
          <w:rFonts w:hint="eastAsia" w:ascii="宋体" w:hAnsi="宋体" w:eastAsia="宋体" w:cs="宋体"/>
          <w:color w:val="auto"/>
          <w:highlight w:val="none"/>
        </w:rPr>
        <w:t>投标文件的资格审查</w:t>
      </w:r>
      <w:r>
        <w:rPr>
          <w:rFonts w:hint="eastAsia" w:ascii="宋体" w:hAnsi="宋体" w:eastAsia="宋体" w:cs="宋体"/>
          <w:color w:val="auto"/>
          <w:highlight w:val="none"/>
          <w:lang w:val="en-US" w:eastAsia="zh-CN"/>
        </w:rPr>
        <w:t>部分</w:t>
      </w:r>
      <w:r>
        <w:rPr>
          <w:rFonts w:hint="eastAsia" w:ascii="宋体" w:hAnsi="宋体" w:eastAsia="宋体" w:cs="宋体"/>
          <w:color w:val="auto"/>
          <w:highlight w:val="none"/>
        </w:rPr>
        <w:t>、商务标</w:t>
      </w:r>
      <w:r>
        <w:rPr>
          <w:rFonts w:hint="eastAsia" w:ascii="宋体" w:hAnsi="宋体" w:eastAsia="宋体" w:cs="宋体"/>
          <w:color w:val="auto"/>
          <w:highlight w:val="none"/>
          <w:lang w:val="en-US" w:eastAsia="zh-CN"/>
        </w:rPr>
        <w:t>部分</w:t>
      </w:r>
      <w:r>
        <w:rPr>
          <w:rFonts w:hint="eastAsia" w:ascii="宋体" w:hAnsi="宋体" w:eastAsia="宋体" w:cs="宋体"/>
          <w:color w:val="auto"/>
          <w:highlight w:val="none"/>
        </w:rPr>
        <w:t>、技术标</w:t>
      </w:r>
      <w:r>
        <w:rPr>
          <w:rFonts w:hint="eastAsia" w:ascii="宋体" w:hAnsi="宋体" w:eastAsia="宋体" w:cs="宋体"/>
          <w:color w:val="auto"/>
          <w:highlight w:val="none"/>
          <w:lang w:val="en-US" w:eastAsia="zh-CN"/>
        </w:rPr>
        <w:t>部分、投标文件电子档</w:t>
      </w:r>
      <w:r>
        <w:rPr>
          <w:rFonts w:hint="eastAsia" w:ascii="宋体" w:hAnsi="宋体" w:eastAsia="宋体" w:cs="宋体"/>
          <w:color w:val="auto"/>
          <w:highlight w:val="none"/>
        </w:rPr>
        <w:t>分别密封在</w:t>
      </w:r>
      <w:r>
        <w:rPr>
          <w:rFonts w:hint="eastAsia" w:ascii="宋体" w:hAnsi="宋体" w:eastAsia="宋体" w:cs="宋体"/>
          <w:color w:val="auto"/>
          <w:highlight w:val="none"/>
          <w:lang w:val="en-US" w:eastAsia="zh-CN"/>
        </w:rPr>
        <w:t>四</w:t>
      </w:r>
      <w:r>
        <w:rPr>
          <w:rFonts w:hint="eastAsia" w:ascii="宋体" w:hAnsi="宋体" w:eastAsia="宋体" w:cs="宋体"/>
          <w:color w:val="auto"/>
          <w:highlight w:val="none"/>
        </w:rPr>
        <w:t>个内层投标文件密封袋中，再将全部资料一同密封在一个外层投标文件密封袋中，并在包封处加盖投标人公章或者密封章。</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4.1.2 投标文件的封套写明的内容见“投标人须知前附表”。</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4.1.3 未按本章第4.1.1 项或第4.1.2 项要求密封和加写标记的投标文件，</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不予受理。</w:t>
      </w:r>
    </w:p>
    <w:p>
      <w:pPr>
        <w:pStyle w:val="3"/>
        <w:spacing w:line="420" w:lineRule="exact"/>
        <w:rPr>
          <w:rFonts w:hint="eastAsia" w:ascii="宋体" w:hAnsi="宋体" w:eastAsia="宋体" w:cs="宋体"/>
          <w:color w:val="auto"/>
          <w:sz w:val="21"/>
          <w:szCs w:val="21"/>
          <w:highlight w:val="none"/>
        </w:rPr>
      </w:pPr>
      <w:bookmarkStart w:id="120" w:name="_Toc391392735"/>
      <w:bookmarkStart w:id="121" w:name="_Toc3790"/>
      <w:bookmarkStart w:id="122" w:name="_Toc397000866"/>
      <w:r>
        <w:rPr>
          <w:rFonts w:hint="eastAsia" w:ascii="宋体" w:hAnsi="宋体" w:eastAsia="宋体" w:cs="宋体"/>
          <w:color w:val="auto"/>
          <w:sz w:val="21"/>
          <w:szCs w:val="21"/>
          <w:highlight w:val="none"/>
        </w:rPr>
        <w:t>4.2 投标文件的递交</w:t>
      </w:r>
      <w:bookmarkEnd w:id="120"/>
      <w:bookmarkEnd w:id="121"/>
      <w:bookmarkEnd w:id="122"/>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4.2.1 投标人应在本章第2.2.2 项规定的投标截止时间前递交投标文件。</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4.2.2 投标人递交投标文件的地点：见“投标人须知前附表”。</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4.2.3 逾期送达的或者未送达指定地点的投标文件，</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不予受理。</w:t>
      </w:r>
    </w:p>
    <w:p>
      <w:pPr>
        <w:pStyle w:val="3"/>
        <w:spacing w:line="420" w:lineRule="exact"/>
        <w:rPr>
          <w:rFonts w:hint="eastAsia" w:ascii="宋体" w:hAnsi="宋体" w:eastAsia="宋体" w:cs="宋体"/>
          <w:color w:val="auto"/>
          <w:sz w:val="21"/>
          <w:szCs w:val="21"/>
          <w:highlight w:val="none"/>
        </w:rPr>
      </w:pPr>
      <w:bookmarkStart w:id="123" w:name="_Toc30037"/>
      <w:bookmarkStart w:id="124" w:name="_Toc397000867"/>
      <w:bookmarkStart w:id="125" w:name="_Toc391392736"/>
      <w:r>
        <w:rPr>
          <w:rFonts w:hint="eastAsia" w:ascii="宋体" w:hAnsi="宋体" w:eastAsia="宋体" w:cs="宋体"/>
          <w:color w:val="auto"/>
          <w:sz w:val="21"/>
          <w:szCs w:val="21"/>
          <w:highlight w:val="none"/>
        </w:rPr>
        <w:t>4.3 投标文件的修改与撤回</w:t>
      </w:r>
      <w:bookmarkEnd w:id="123"/>
      <w:bookmarkEnd w:id="124"/>
      <w:bookmarkEnd w:id="125"/>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4.3.1 在本章第2.2.2 项规定的投标截止时间前，投标人可以修改或撤回已递交的投标文件，但应以书面形式通知</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4.3.2 投标人修改或撤回已递交投标文件的书面通知，应按照本章第3.7.3 项的要求签字或盖章。</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收到书面通知后，向投标人出具签收凭证。</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4.3.3 修改的内容为投标文件的组成部分。修改的投标文件应按照本章第3.7和第4条规定进行编制、密封、标记和递交，并标明“修改”字样。</w:t>
      </w:r>
    </w:p>
    <w:p>
      <w:pPr>
        <w:pStyle w:val="3"/>
        <w:spacing w:line="420" w:lineRule="exact"/>
        <w:rPr>
          <w:rFonts w:hint="eastAsia" w:ascii="宋体" w:hAnsi="宋体" w:eastAsia="宋体" w:cs="宋体"/>
          <w:color w:val="auto"/>
          <w:sz w:val="21"/>
          <w:szCs w:val="21"/>
          <w:highlight w:val="none"/>
        </w:rPr>
      </w:pPr>
      <w:bookmarkStart w:id="126" w:name="_Toc4838"/>
      <w:bookmarkStart w:id="127" w:name="_Toc184635075"/>
      <w:bookmarkStart w:id="128" w:name="_Toc397000868"/>
      <w:bookmarkStart w:id="129" w:name="_Toc391392737"/>
      <w:r>
        <w:rPr>
          <w:rFonts w:hint="eastAsia" w:ascii="宋体" w:hAnsi="宋体" w:eastAsia="宋体" w:cs="宋体"/>
          <w:color w:val="auto"/>
          <w:sz w:val="21"/>
          <w:szCs w:val="21"/>
          <w:highlight w:val="none"/>
        </w:rPr>
        <w:t>5 开标</w:t>
      </w:r>
      <w:bookmarkEnd w:id="126"/>
      <w:bookmarkEnd w:id="127"/>
      <w:bookmarkEnd w:id="128"/>
      <w:bookmarkEnd w:id="129"/>
    </w:p>
    <w:p>
      <w:pPr>
        <w:pStyle w:val="3"/>
        <w:spacing w:line="420" w:lineRule="exact"/>
        <w:rPr>
          <w:rFonts w:hint="eastAsia" w:ascii="宋体" w:hAnsi="宋体" w:eastAsia="宋体" w:cs="宋体"/>
          <w:color w:val="auto"/>
          <w:sz w:val="21"/>
          <w:szCs w:val="21"/>
          <w:highlight w:val="none"/>
        </w:rPr>
      </w:pPr>
      <w:bookmarkStart w:id="130" w:name="_Toc397000869"/>
      <w:bookmarkStart w:id="131" w:name="_Toc391392738"/>
      <w:bookmarkStart w:id="132" w:name="_Toc19570"/>
      <w:r>
        <w:rPr>
          <w:rFonts w:hint="eastAsia" w:ascii="宋体" w:hAnsi="宋体" w:eastAsia="宋体" w:cs="宋体"/>
          <w:color w:val="auto"/>
          <w:sz w:val="21"/>
          <w:szCs w:val="21"/>
          <w:highlight w:val="none"/>
        </w:rPr>
        <w:t>5.1 开标时间和地点</w:t>
      </w:r>
      <w:bookmarkEnd w:id="130"/>
      <w:bookmarkEnd w:id="131"/>
      <w:bookmarkEnd w:id="132"/>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在本章第2.2.2 项规定的投标截止时间（开标时间）和“投标人须知前附表”规定的地点公开开标，</w:t>
      </w:r>
      <w:r>
        <w:rPr>
          <w:rFonts w:hint="eastAsia" w:ascii="宋体" w:hAnsi="宋体" w:eastAsia="宋体" w:cs="宋体"/>
          <w:color w:val="auto"/>
          <w:szCs w:val="21"/>
          <w:highlight w:val="none"/>
          <w:lang w:eastAsia="zh-CN"/>
        </w:rPr>
        <w:t>并要求</w:t>
      </w:r>
      <w:r>
        <w:rPr>
          <w:rFonts w:hint="eastAsia" w:ascii="宋体" w:hAnsi="宋体" w:eastAsia="宋体" w:cs="宋体"/>
          <w:color w:val="auto"/>
          <w:szCs w:val="21"/>
          <w:highlight w:val="none"/>
        </w:rPr>
        <w:t>所有投标人的法定代表人或其委托代理人准时参加。委托代理人或专职投标员在投标截止前</w:t>
      </w:r>
      <w:r>
        <w:rPr>
          <w:rFonts w:hint="eastAsia" w:ascii="宋体" w:hAnsi="宋体" w:eastAsia="宋体" w:cs="宋体"/>
          <w:color w:val="auto"/>
          <w:highlight w:val="none"/>
        </w:rPr>
        <w:t>签到，</w:t>
      </w:r>
      <w:r>
        <w:rPr>
          <w:rFonts w:hint="eastAsia" w:ascii="宋体" w:hAnsi="宋体" w:eastAsia="宋体" w:cs="宋体"/>
          <w:color w:val="auto"/>
          <w:szCs w:val="21"/>
          <w:highlight w:val="none"/>
        </w:rPr>
        <w:t>迟到则视为自动放弃投标。</w:t>
      </w:r>
    </w:p>
    <w:p>
      <w:pPr>
        <w:pStyle w:val="3"/>
        <w:spacing w:line="420" w:lineRule="exact"/>
        <w:rPr>
          <w:rFonts w:hint="eastAsia" w:ascii="宋体" w:hAnsi="宋体" w:eastAsia="宋体" w:cs="宋体"/>
          <w:color w:val="auto"/>
          <w:sz w:val="21"/>
          <w:szCs w:val="21"/>
          <w:highlight w:val="none"/>
        </w:rPr>
      </w:pPr>
      <w:bookmarkStart w:id="133" w:name="_Toc397000870"/>
      <w:bookmarkStart w:id="134" w:name="_Toc6146"/>
      <w:bookmarkStart w:id="135" w:name="_Toc391392739"/>
      <w:r>
        <w:rPr>
          <w:rFonts w:hint="eastAsia" w:ascii="宋体" w:hAnsi="宋体" w:eastAsia="宋体" w:cs="宋体"/>
          <w:color w:val="auto"/>
          <w:sz w:val="21"/>
          <w:szCs w:val="21"/>
          <w:highlight w:val="none"/>
        </w:rPr>
        <w:t>5.2 开标程序</w:t>
      </w:r>
      <w:bookmarkEnd w:id="133"/>
      <w:bookmarkEnd w:id="134"/>
      <w:bookmarkEnd w:id="135"/>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主持人按下列程序进行开标：</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（1）宣布开标纪律；</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（2）公布在投标截止时间前递交投标文件的投标人名称，并点名确认投标人是否派人到场；</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（3）宣布开标人、唱标人、记录人、监标人等有关人员姓名；</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（4）由采购人代表和监标人一同检验法定代表人（持营业执照副本</w:t>
      </w:r>
      <w:r>
        <w:rPr>
          <w:rFonts w:hint="eastAsia" w:ascii="宋体" w:hAnsi="宋体" w:eastAsia="宋体" w:cs="宋体"/>
          <w:color w:val="auto"/>
          <w:szCs w:val="21"/>
          <w:highlight w:val="none"/>
          <w:lang w:eastAsia="zh-CN"/>
        </w:rPr>
        <w:t>复印件</w:t>
      </w:r>
      <w:r>
        <w:rPr>
          <w:rFonts w:hint="eastAsia" w:ascii="宋体" w:hAnsi="宋体" w:eastAsia="宋体" w:cs="宋体"/>
          <w:color w:val="auto"/>
          <w:szCs w:val="21"/>
          <w:highlight w:val="none"/>
        </w:rPr>
        <w:t>、投标保证金银行转帐底单原件或电子转帐单彩色打印件、居民身份证原件及身份证复印件）或授权专职投标员（持营业执照副本</w:t>
      </w:r>
      <w:r>
        <w:rPr>
          <w:rFonts w:hint="eastAsia" w:ascii="宋体" w:hAnsi="宋体" w:eastAsia="宋体" w:cs="宋体"/>
          <w:color w:val="auto"/>
          <w:szCs w:val="21"/>
          <w:highlight w:val="none"/>
          <w:lang w:eastAsia="zh-CN"/>
        </w:rPr>
        <w:t>复印件</w:t>
      </w:r>
      <w:r>
        <w:rPr>
          <w:rFonts w:hint="eastAsia" w:ascii="宋体" w:hAnsi="宋体" w:eastAsia="宋体" w:cs="宋体"/>
          <w:color w:val="auto"/>
          <w:szCs w:val="21"/>
          <w:highlight w:val="none"/>
        </w:rPr>
        <w:t>、法定代表人签字的法定代表人授权委托书原件、投标保证金银行转帐底单原件或电子转帐单彩色打印件、居民身份证原件及身份证复印件）。检查投标人的资格证件，投标人代表投标文件的密封情况；</w:t>
      </w:r>
    </w:p>
    <w:p>
      <w:pPr>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（5）按照“投标人须知前附表”的规定确定并宣布投标文件开标顺序</w:t>
      </w:r>
      <w:r>
        <w:rPr>
          <w:rFonts w:hint="eastAsia" w:ascii="宋体" w:hAnsi="宋体" w:eastAsia="宋体" w:cs="宋体"/>
          <w:color w:val="auto"/>
          <w:highlight w:val="none"/>
        </w:rPr>
        <w:t>；</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（6）</w:t>
      </w:r>
      <w:r>
        <w:rPr>
          <w:rFonts w:hint="eastAsia" w:ascii="宋体" w:hAnsi="宋体" w:eastAsia="宋体" w:cs="宋体"/>
          <w:color w:val="auto"/>
          <w:szCs w:val="21"/>
          <w:highlight w:val="none"/>
        </w:rPr>
        <w:t>公布投标人名称、投标保证金的递交情况、投标报价、质量目标、工期及其他内容，并记录在案；</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（7）投标人代表随机抽取K值和K′值（如有）；</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（8）开启技术标书，检查技术标文件是否符合暗标制作规定（如采用暗标）；</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（9）公布招标控制价及相关内容； </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（10）投标人代表、</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代表、监标人、记录人等有关人员在开标记录上签字确认；</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（11）开标结束。</w:t>
      </w:r>
    </w:p>
    <w:p>
      <w:pPr>
        <w:pStyle w:val="3"/>
        <w:spacing w:line="420" w:lineRule="exact"/>
        <w:rPr>
          <w:rFonts w:hint="eastAsia" w:ascii="宋体" w:hAnsi="宋体" w:eastAsia="宋体" w:cs="宋体"/>
          <w:color w:val="auto"/>
          <w:sz w:val="21"/>
          <w:szCs w:val="21"/>
          <w:highlight w:val="none"/>
        </w:rPr>
      </w:pPr>
      <w:bookmarkStart w:id="136" w:name="_Toc32743"/>
      <w:bookmarkStart w:id="137" w:name="_Toc391392740"/>
      <w:bookmarkStart w:id="138" w:name="_Toc397000871"/>
      <w:bookmarkStart w:id="139" w:name="_Toc184635076"/>
      <w:r>
        <w:rPr>
          <w:rFonts w:hint="eastAsia" w:ascii="宋体" w:hAnsi="宋体" w:eastAsia="宋体" w:cs="宋体"/>
          <w:color w:val="auto"/>
          <w:sz w:val="21"/>
          <w:szCs w:val="21"/>
          <w:highlight w:val="none"/>
        </w:rPr>
        <w:t>6 评标</w:t>
      </w:r>
      <w:bookmarkEnd w:id="136"/>
      <w:bookmarkEnd w:id="137"/>
      <w:bookmarkEnd w:id="138"/>
      <w:bookmarkEnd w:id="139"/>
    </w:p>
    <w:p>
      <w:pPr>
        <w:pStyle w:val="3"/>
        <w:spacing w:line="420" w:lineRule="exact"/>
        <w:rPr>
          <w:rFonts w:hint="eastAsia" w:ascii="宋体" w:hAnsi="宋体" w:eastAsia="宋体" w:cs="宋体"/>
          <w:color w:val="auto"/>
          <w:sz w:val="21"/>
          <w:szCs w:val="21"/>
          <w:highlight w:val="none"/>
        </w:rPr>
      </w:pPr>
      <w:bookmarkStart w:id="140" w:name="_Toc391392741"/>
      <w:bookmarkStart w:id="141" w:name="_Toc397000872"/>
      <w:bookmarkStart w:id="142" w:name="_Toc3812"/>
      <w:r>
        <w:rPr>
          <w:rFonts w:hint="eastAsia" w:ascii="宋体" w:hAnsi="宋体" w:eastAsia="宋体" w:cs="宋体"/>
          <w:color w:val="auto"/>
          <w:sz w:val="21"/>
          <w:szCs w:val="21"/>
          <w:highlight w:val="none"/>
        </w:rPr>
        <w:t>6.1 评标委员会</w:t>
      </w:r>
      <w:bookmarkEnd w:id="140"/>
      <w:bookmarkEnd w:id="141"/>
      <w:bookmarkEnd w:id="142"/>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6.1.1 评标由</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依法组建的评标委员会负责。评标委员会成员人数以及技术、经济等方面专家的确定方式见“投标人须知前附表”。</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6.1.2 评标委员会成员有下列情形之一的，应当回避：</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或投标人的主要负责人的近亲属；</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（2）项目主管部门或者行政监督部门的人员；</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（3）与投标人有经济利益关系，可能影响对投标公正评审的；</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（4）曾因在招标、评标以及其他与招标投标有关活动中从事违法行为而受过行政处罚或刑事处罚的。</w:t>
      </w:r>
    </w:p>
    <w:p>
      <w:pPr>
        <w:pStyle w:val="3"/>
        <w:spacing w:line="420" w:lineRule="exact"/>
        <w:rPr>
          <w:rFonts w:hint="eastAsia" w:ascii="宋体" w:hAnsi="宋体" w:eastAsia="宋体" w:cs="宋体"/>
          <w:color w:val="auto"/>
          <w:sz w:val="21"/>
          <w:szCs w:val="21"/>
          <w:highlight w:val="none"/>
        </w:rPr>
      </w:pPr>
      <w:bookmarkStart w:id="143" w:name="_Toc391392742"/>
      <w:bookmarkStart w:id="144" w:name="_Toc397000873"/>
      <w:bookmarkStart w:id="145" w:name="_Toc23196"/>
      <w:r>
        <w:rPr>
          <w:rFonts w:hint="eastAsia" w:ascii="宋体" w:hAnsi="宋体" w:eastAsia="宋体" w:cs="宋体"/>
          <w:color w:val="auto"/>
          <w:sz w:val="21"/>
          <w:szCs w:val="21"/>
          <w:highlight w:val="none"/>
        </w:rPr>
        <w:t>6.2 评标原则</w:t>
      </w:r>
      <w:bookmarkEnd w:id="143"/>
      <w:bookmarkEnd w:id="144"/>
      <w:bookmarkEnd w:id="145"/>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评标活动遵循公平、公正、科学和择优的原则。</w:t>
      </w:r>
    </w:p>
    <w:p>
      <w:pPr>
        <w:pStyle w:val="3"/>
        <w:spacing w:line="420" w:lineRule="exact"/>
        <w:rPr>
          <w:rFonts w:hint="eastAsia" w:ascii="宋体" w:hAnsi="宋体" w:eastAsia="宋体" w:cs="宋体"/>
          <w:color w:val="auto"/>
          <w:sz w:val="21"/>
          <w:szCs w:val="21"/>
          <w:highlight w:val="none"/>
        </w:rPr>
      </w:pPr>
      <w:bookmarkStart w:id="146" w:name="_Toc397000874"/>
      <w:bookmarkStart w:id="147" w:name="_Toc26458"/>
      <w:bookmarkStart w:id="148" w:name="_Toc391392743"/>
      <w:r>
        <w:rPr>
          <w:rFonts w:hint="eastAsia" w:ascii="宋体" w:hAnsi="宋体" w:eastAsia="宋体" w:cs="宋体"/>
          <w:color w:val="auto"/>
          <w:sz w:val="21"/>
          <w:szCs w:val="21"/>
          <w:highlight w:val="none"/>
        </w:rPr>
        <w:t>6.3 评标</w:t>
      </w:r>
      <w:bookmarkEnd w:id="146"/>
      <w:bookmarkEnd w:id="147"/>
      <w:bookmarkEnd w:id="148"/>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6.3.1评标顺序：</w:t>
      </w:r>
      <w:r>
        <w:rPr>
          <w:rFonts w:hint="eastAsia" w:ascii="宋体" w:hAnsi="宋体" w:eastAsia="宋体" w:cs="宋体"/>
          <w:color w:val="auto"/>
          <w:szCs w:val="21"/>
          <w:highlight w:val="none"/>
          <w:lang w:eastAsia="zh-CN"/>
        </w:rPr>
        <w:t>随机</w:t>
      </w:r>
      <w:r>
        <w:rPr>
          <w:rFonts w:hint="eastAsia" w:ascii="宋体" w:hAnsi="宋体" w:eastAsia="宋体" w:cs="宋体"/>
          <w:color w:val="auto"/>
          <w:szCs w:val="21"/>
          <w:highlight w:val="none"/>
        </w:rPr>
        <w:t>。</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6.3.2评标委员会按照第三章“评标办法”规定的方法、评审因素、标准和程序对投标文件进行评审。第三章“评标办法”没有规定的方法、评审因素和标准，不作为评标依据。</w:t>
      </w:r>
    </w:p>
    <w:p>
      <w:pPr>
        <w:spacing w:line="400" w:lineRule="exact"/>
        <w:rPr>
          <w:rFonts w:hint="eastAsia" w:ascii="宋体" w:hAnsi="宋体" w:eastAsia="宋体" w:cs="宋体"/>
          <w:b/>
          <w:bCs/>
          <w:color w:val="auto"/>
          <w:highlight w:val="none"/>
        </w:rPr>
      </w:pPr>
      <w:r>
        <w:rPr>
          <w:rFonts w:hint="eastAsia" w:ascii="宋体" w:hAnsi="宋体" w:eastAsia="宋体" w:cs="宋体"/>
          <w:b/>
          <w:bCs/>
          <w:color w:val="auto"/>
          <w:szCs w:val="21"/>
          <w:highlight w:val="none"/>
          <w:lang w:val="en-US" w:eastAsia="zh-CN"/>
        </w:rPr>
        <w:t xml:space="preserve">6.4 </w:t>
      </w:r>
      <w:r>
        <w:rPr>
          <w:rFonts w:hint="eastAsia" w:ascii="宋体" w:hAnsi="宋体" w:eastAsia="宋体" w:cs="宋体"/>
          <w:b/>
          <w:bCs/>
          <w:color w:val="auto"/>
          <w:highlight w:val="none"/>
        </w:rPr>
        <w:t>询问、质疑和投诉</w:t>
      </w:r>
    </w:p>
    <w:p>
      <w:pPr>
        <w:spacing w:line="400" w:lineRule="exact"/>
        <w:rPr>
          <w:rFonts w:ascii="宋体" w:hAnsi="宋体" w:eastAsia="宋体" w:cs="宋体"/>
          <w:b w:val="0"/>
          <w:bCs w:val="0"/>
          <w:color w:val="auto"/>
          <w:highlight w:val="none"/>
        </w:rPr>
      </w:pPr>
      <w:r>
        <w:rPr>
          <w:rFonts w:hint="eastAsia" w:ascii="宋体" w:hAnsi="宋体" w:eastAsia="宋体" w:cs="宋体"/>
          <w:b w:val="0"/>
          <w:bCs w:val="0"/>
          <w:color w:val="auto"/>
          <w:szCs w:val="21"/>
          <w:highlight w:val="none"/>
          <w:lang w:val="en-US" w:eastAsia="zh-CN"/>
        </w:rPr>
        <w:t>6.4.</w:t>
      </w:r>
      <w:r>
        <w:rPr>
          <w:rFonts w:hint="eastAsia" w:ascii="宋体" w:hAnsi="宋体" w:eastAsia="宋体" w:cs="宋体"/>
          <w:b w:val="0"/>
          <w:bCs w:val="0"/>
          <w:color w:val="auto"/>
          <w:szCs w:val="21"/>
          <w:highlight w:val="none"/>
        </w:rPr>
        <w:t>1</w:t>
      </w:r>
      <w:r>
        <w:rPr>
          <w:rFonts w:hint="eastAsia" w:ascii="宋体" w:hAnsi="宋体" w:eastAsia="宋体" w:cs="宋体"/>
          <w:b w:val="0"/>
          <w:bCs w:val="0"/>
          <w:color w:val="auto"/>
          <w:szCs w:val="21"/>
          <w:highlight w:val="none"/>
          <w:lang w:val="en-US" w:eastAsia="zh-CN"/>
        </w:rPr>
        <w:t xml:space="preserve"> </w:t>
      </w:r>
      <w:r>
        <w:rPr>
          <w:rFonts w:hint="eastAsia" w:ascii="宋体" w:hAnsi="宋体" w:eastAsia="宋体" w:cs="宋体"/>
          <w:b w:val="0"/>
          <w:bCs w:val="0"/>
          <w:color w:val="auto"/>
          <w:highlight w:val="none"/>
        </w:rPr>
        <w:t>投标人对政府采购活动事项有疑问的，可以向</w:t>
      </w:r>
      <w:r>
        <w:rPr>
          <w:rFonts w:hint="eastAsia" w:ascii="宋体" w:hAnsi="宋体" w:eastAsia="宋体" w:cs="宋体"/>
          <w:b w:val="0"/>
          <w:bCs w:val="0"/>
          <w:color w:val="auto"/>
          <w:highlight w:val="none"/>
          <w:lang w:eastAsia="zh-CN"/>
        </w:rPr>
        <w:t>采购人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eastAsia="zh-CN"/>
        </w:rPr>
        <w:t>采购代理机构</w:t>
      </w:r>
      <w:r>
        <w:rPr>
          <w:rFonts w:hint="eastAsia" w:ascii="宋体" w:hAnsi="宋体" w:eastAsia="宋体" w:cs="宋体"/>
          <w:b w:val="0"/>
          <w:bCs w:val="0"/>
          <w:color w:val="auto"/>
          <w:highlight w:val="none"/>
        </w:rPr>
        <w:t>提出询问。</w:t>
      </w:r>
    </w:p>
    <w:p>
      <w:pPr>
        <w:spacing w:line="400" w:lineRule="exact"/>
        <w:ind w:left="630" w:hanging="630" w:hangingChars="300"/>
        <w:rPr>
          <w:rFonts w:ascii="宋体" w:hAnsi="宋体" w:eastAsia="宋体" w:cs="宋体"/>
          <w:b w:val="0"/>
          <w:bCs w:val="0"/>
          <w:color w:val="auto"/>
          <w:highlight w:val="none"/>
        </w:rPr>
      </w:pPr>
      <w:r>
        <w:rPr>
          <w:rFonts w:hint="eastAsia" w:ascii="宋体" w:hAnsi="宋体" w:eastAsia="宋体" w:cs="宋体"/>
          <w:b w:val="0"/>
          <w:bCs w:val="0"/>
          <w:color w:val="auto"/>
          <w:szCs w:val="21"/>
          <w:highlight w:val="none"/>
          <w:lang w:val="en-US" w:eastAsia="zh-CN"/>
        </w:rPr>
        <w:t>6.4.</w:t>
      </w:r>
      <w:r>
        <w:rPr>
          <w:rFonts w:hint="eastAsia" w:ascii="宋体" w:hAnsi="宋体" w:eastAsia="宋体" w:cs="宋体"/>
          <w:b w:val="0"/>
          <w:bCs w:val="0"/>
          <w:color w:val="auto"/>
          <w:szCs w:val="21"/>
          <w:highlight w:val="none"/>
        </w:rPr>
        <w:t>2</w:t>
      </w:r>
      <w:r>
        <w:rPr>
          <w:rFonts w:hint="eastAsia" w:ascii="宋体" w:hAnsi="宋体" w:eastAsia="宋体" w:cs="宋体"/>
          <w:b w:val="0"/>
          <w:bCs w:val="0"/>
          <w:color w:val="auto"/>
          <w:szCs w:val="21"/>
          <w:highlight w:val="none"/>
          <w:lang w:val="en-US" w:eastAsia="zh-CN"/>
        </w:rPr>
        <w:t xml:space="preserve"> </w:t>
      </w:r>
      <w:r>
        <w:rPr>
          <w:rFonts w:hint="eastAsia" w:ascii="宋体" w:hAnsi="宋体" w:eastAsia="宋体" w:cs="宋体"/>
          <w:b w:val="0"/>
          <w:bCs w:val="0"/>
          <w:color w:val="auto"/>
          <w:highlight w:val="none"/>
        </w:rPr>
        <w:t>投标人认为招标文件、采购过程或中标结果使自己的合法权益受到损害的，应当在知道或者应知其权益受到损害之日起七个工作日内，以书面形式向</w:t>
      </w:r>
      <w:r>
        <w:rPr>
          <w:rFonts w:hint="eastAsia" w:ascii="宋体" w:hAnsi="宋体" w:eastAsia="宋体" w:cs="宋体"/>
          <w:b w:val="0"/>
          <w:bCs w:val="0"/>
          <w:color w:val="auto"/>
          <w:highlight w:val="none"/>
          <w:lang w:eastAsia="zh-CN"/>
        </w:rPr>
        <w:t>采购人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eastAsia="zh-CN"/>
        </w:rPr>
        <w:t>采购代理机构</w:t>
      </w:r>
      <w:r>
        <w:rPr>
          <w:rFonts w:hint="eastAsia" w:ascii="宋体" w:hAnsi="宋体" w:eastAsia="宋体" w:cs="宋体"/>
          <w:b w:val="0"/>
          <w:bCs w:val="0"/>
          <w:color w:val="auto"/>
          <w:highlight w:val="none"/>
        </w:rPr>
        <w:t>提出质疑。具体计算时间如下：</w:t>
      </w:r>
    </w:p>
    <w:p>
      <w:pPr>
        <w:spacing w:line="400" w:lineRule="exact"/>
        <w:ind w:firstLine="420" w:firstLineChars="200"/>
        <w:rPr>
          <w:rFonts w:ascii="宋体" w:hAnsi="宋体" w:eastAsia="宋体" w:cs="宋体"/>
          <w:b w:val="0"/>
          <w:bCs w:val="0"/>
          <w:color w:val="auto"/>
          <w:highlight w:val="none"/>
        </w:rPr>
      </w:pPr>
      <w:r>
        <w:rPr>
          <w:rFonts w:hint="eastAsia" w:ascii="宋体" w:hAnsi="宋体" w:eastAsia="宋体" w:cs="宋体"/>
          <w:b w:val="0"/>
          <w:bCs w:val="0"/>
          <w:color w:val="auto"/>
          <w:highlight w:val="none"/>
        </w:rPr>
        <w:t>（一）对可以质疑的招标文件提出质疑的，为收到招标文件之日；</w:t>
      </w:r>
    </w:p>
    <w:p>
      <w:pPr>
        <w:spacing w:line="400" w:lineRule="exact"/>
        <w:ind w:firstLine="420" w:firstLineChars="200"/>
        <w:rPr>
          <w:rFonts w:ascii="宋体" w:hAnsi="宋体" w:eastAsia="宋体" w:cs="宋体"/>
          <w:b w:val="0"/>
          <w:bCs w:val="0"/>
          <w:color w:val="auto"/>
          <w:highlight w:val="none"/>
        </w:rPr>
      </w:pPr>
      <w:r>
        <w:rPr>
          <w:rFonts w:hint="eastAsia" w:ascii="宋体" w:hAnsi="宋体" w:eastAsia="宋体" w:cs="宋体"/>
          <w:b w:val="0"/>
          <w:bCs w:val="0"/>
          <w:color w:val="auto"/>
          <w:highlight w:val="none"/>
        </w:rPr>
        <w:t>（二）对招标过程提出质疑的，为各招标程序环节结束之日；</w:t>
      </w:r>
    </w:p>
    <w:p>
      <w:pPr>
        <w:spacing w:line="400" w:lineRule="exact"/>
        <w:ind w:firstLine="420" w:firstLineChars="200"/>
        <w:rPr>
          <w:rFonts w:ascii="宋体" w:hAnsi="宋体" w:eastAsia="宋体" w:cs="宋体"/>
          <w:b w:val="0"/>
          <w:bCs w:val="0"/>
          <w:color w:val="auto"/>
          <w:highlight w:val="none"/>
        </w:rPr>
      </w:pPr>
      <w:r>
        <w:rPr>
          <w:rFonts w:hint="eastAsia" w:ascii="宋体" w:hAnsi="宋体" w:eastAsia="宋体" w:cs="宋体"/>
          <w:b w:val="0"/>
          <w:bCs w:val="0"/>
          <w:color w:val="auto"/>
          <w:highlight w:val="none"/>
        </w:rPr>
        <w:t>（三）对中标结果提出质疑的，为中标结果公告期限届满之日。</w:t>
      </w:r>
    </w:p>
    <w:p>
      <w:pPr>
        <w:spacing w:line="400" w:lineRule="exact"/>
        <w:ind w:left="630" w:hanging="630" w:hangingChars="300"/>
        <w:rPr>
          <w:rFonts w:ascii="宋体" w:hAnsi="宋体" w:eastAsia="宋体" w:cs="宋体"/>
          <w:b w:val="0"/>
          <w:bCs w:val="0"/>
          <w:color w:val="auto"/>
          <w:highlight w:val="none"/>
        </w:rPr>
      </w:pPr>
      <w:r>
        <w:rPr>
          <w:rFonts w:hint="eastAsia" w:ascii="宋体" w:hAnsi="宋体" w:eastAsia="宋体" w:cs="宋体"/>
          <w:b w:val="0"/>
          <w:bCs w:val="0"/>
          <w:color w:val="auto"/>
          <w:szCs w:val="21"/>
          <w:highlight w:val="none"/>
          <w:lang w:val="en-US" w:eastAsia="zh-CN"/>
        </w:rPr>
        <w:t>6.4.3</w:t>
      </w:r>
      <w:r>
        <w:rPr>
          <w:rFonts w:hint="eastAsia" w:ascii="宋体" w:hAnsi="宋体" w:eastAsia="宋体" w:cs="宋体"/>
          <w:b w:val="0"/>
          <w:bCs w:val="0"/>
          <w:color w:val="auto"/>
          <w:highlight w:val="none"/>
        </w:rPr>
        <w:t>投标人对招标单位的质疑答复不满意或者招标单位未在规定时间内作出答复的，可以在答复期满后十五个工作日内向同级采购监管部门投诉。</w:t>
      </w:r>
    </w:p>
    <w:p>
      <w:pPr>
        <w:spacing w:line="400" w:lineRule="exact"/>
        <w:ind w:left="630" w:hanging="630" w:hangingChars="300"/>
        <w:rPr>
          <w:rFonts w:hint="eastAsia" w:ascii="宋体" w:hAnsi="宋体" w:eastAsia="宋体" w:cs="宋体"/>
          <w:color w:val="auto"/>
          <w:highlight w:val="none"/>
        </w:rPr>
      </w:pPr>
      <w:r>
        <w:rPr>
          <w:rFonts w:hint="eastAsia" w:ascii="宋体" w:hAnsi="宋体" w:eastAsia="宋体" w:cs="宋体"/>
          <w:b w:val="0"/>
          <w:bCs w:val="0"/>
          <w:color w:val="auto"/>
          <w:szCs w:val="21"/>
          <w:highlight w:val="none"/>
          <w:lang w:val="en-US" w:eastAsia="zh-CN"/>
        </w:rPr>
        <w:t>6.4.4</w:t>
      </w:r>
      <w:r>
        <w:rPr>
          <w:rFonts w:hint="eastAsia" w:ascii="宋体" w:hAnsi="宋体" w:eastAsia="宋体" w:cs="宋体"/>
          <w:b w:val="0"/>
          <w:bCs w:val="0"/>
          <w:color w:val="auto"/>
          <w:highlight w:val="none"/>
        </w:rPr>
        <w:t>质疑、</w:t>
      </w:r>
      <w:r>
        <w:rPr>
          <w:rFonts w:hint="eastAsia" w:ascii="宋体" w:hAnsi="宋体" w:eastAsia="宋体" w:cs="宋体"/>
          <w:color w:val="auto"/>
          <w:highlight w:val="none"/>
        </w:rPr>
        <w:t>投诉应当采用书面形式，质疑书、投诉书均应明确阐述招标文件、招标过程、中标结果中使自己合法权益受到损害的实质性内容，提供相关事实、明确的请求、必要的证明材料，便于有关单位调查、答复和处理。</w:t>
      </w:r>
    </w:p>
    <w:p>
      <w:pPr>
        <w:pStyle w:val="16"/>
        <w:keepNext w:val="0"/>
        <w:keepLines w:val="0"/>
        <w:pageBreakBefore w:val="0"/>
        <w:widowControl w:val="0"/>
        <w:kinsoku/>
        <w:wordWrap/>
        <w:overflowPunct/>
        <w:topLinePunct w:val="0"/>
        <w:autoSpaceDE/>
        <w:autoSpaceDN/>
        <w:bidi w:val="0"/>
        <w:adjustRightInd/>
        <w:snapToGrid/>
        <w:spacing w:line="400" w:lineRule="exact"/>
        <w:ind w:firstLine="840" w:firstLineChars="4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质疑受理人：广西桂宝工程监理咨询有限公司河池第二分公司招标部</w:t>
      </w:r>
    </w:p>
    <w:p>
      <w:pPr>
        <w:pStyle w:val="16"/>
        <w:keepNext w:val="0"/>
        <w:keepLines w:val="0"/>
        <w:pageBreakBefore w:val="0"/>
        <w:widowControl w:val="0"/>
        <w:kinsoku/>
        <w:wordWrap/>
        <w:overflowPunct/>
        <w:topLinePunct w:val="0"/>
        <w:autoSpaceDE/>
        <w:autoSpaceDN/>
        <w:bidi w:val="0"/>
        <w:adjustRightInd/>
        <w:snapToGrid/>
        <w:spacing w:line="400" w:lineRule="exact"/>
        <w:ind w:firstLine="840" w:firstLineChars="4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联系电话：0778-2788099</w:t>
      </w:r>
    </w:p>
    <w:p>
      <w:pPr>
        <w:pStyle w:val="16"/>
        <w:keepNext w:val="0"/>
        <w:keepLines w:val="0"/>
        <w:pageBreakBefore w:val="0"/>
        <w:widowControl w:val="0"/>
        <w:kinsoku/>
        <w:wordWrap/>
        <w:overflowPunct/>
        <w:topLinePunct w:val="0"/>
        <w:autoSpaceDE/>
        <w:autoSpaceDN/>
        <w:bidi w:val="0"/>
        <w:adjustRightInd/>
        <w:snapToGrid/>
        <w:spacing w:line="400" w:lineRule="exact"/>
        <w:ind w:firstLine="840" w:firstLineChars="4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联系地址：河池市金城江区百旺路金旅国际投资大厦2单元18楼</w:t>
      </w:r>
    </w:p>
    <w:p>
      <w:pPr>
        <w:pStyle w:val="16"/>
        <w:keepNext w:val="0"/>
        <w:keepLines w:val="0"/>
        <w:pageBreakBefore w:val="0"/>
        <w:widowControl w:val="0"/>
        <w:kinsoku/>
        <w:wordWrap/>
        <w:overflowPunct/>
        <w:topLinePunct w:val="0"/>
        <w:autoSpaceDE/>
        <w:autoSpaceDN/>
        <w:bidi w:val="0"/>
        <w:adjustRightInd/>
        <w:snapToGrid/>
        <w:spacing w:line="400" w:lineRule="exact"/>
        <w:ind w:firstLine="840" w:firstLineChars="400"/>
        <w:textAlignment w:val="auto"/>
        <w:rPr>
          <w:rFonts w:hint="eastAsia"/>
          <w:color w:val="auto"/>
          <w:highlight w:val="none"/>
        </w:rPr>
      </w:pPr>
      <w:r>
        <w:rPr>
          <w:rFonts w:hint="eastAsia" w:ascii="宋体" w:hAnsi="宋体" w:eastAsia="宋体" w:cs="宋体"/>
          <w:color w:val="auto"/>
          <w:sz w:val="21"/>
          <w:szCs w:val="21"/>
          <w:highlight w:val="none"/>
          <w:lang w:val="en-US" w:eastAsia="zh-CN"/>
        </w:rPr>
        <w:t>邮编：547000</w:t>
      </w:r>
    </w:p>
    <w:p>
      <w:pPr>
        <w:pStyle w:val="3"/>
        <w:spacing w:line="420" w:lineRule="exact"/>
        <w:rPr>
          <w:rFonts w:hint="eastAsia" w:ascii="宋体" w:hAnsi="宋体" w:eastAsia="宋体" w:cs="宋体"/>
          <w:color w:val="auto"/>
          <w:sz w:val="21"/>
          <w:szCs w:val="21"/>
          <w:highlight w:val="none"/>
        </w:rPr>
      </w:pPr>
      <w:bookmarkStart w:id="149" w:name="_Toc184635077"/>
      <w:bookmarkStart w:id="150" w:name="_Toc391392744"/>
      <w:bookmarkStart w:id="151" w:name="_Toc397000875"/>
      <w:bookmarkStart w:id="152" w:name="_Toc9116"/>
      <w:r>
        <w:rPr>
          <w:rFonts w:hint="eastAsia" w:ascii="宋体" w:hAnsi="宋体" w:eastAsia="宋体" w:cs="宋体"/>
          <w:color w:val="auto"/>
          <w:sz w:val="21"/>
          <w:szCs w:val="21"/>
          <w:highlight w:val="none"/>
        </w:rPr>
        <w:t>7 合同授予</w:t>
      </w:r>
      <w:bookmarkEnd w:id="149"/>
      <w:bookmarkEnd w:id="150"/>
      <w:bookmarkEnd w:id="151"/>
      <w:bookmarkEnd w:id="152"/>
    </w:p>
    <w:p>
      <w:pPr>
        <w:pStyle w:val="3"/>
        <w:spacing w:line="420" w:lineRule="exact"/>
        <w:rPr>
          <w:rFonts w:hint="eastAsia" w:ascii="宋体" w:hAnsi="宋体" w:eastAsia="宋体" w:cs="宋体"/>
          <w:color w:val="auto"/>
          <w:sz w:val="21"/>
          <w:szCs w:val="21"/>
          <w:highlight w:val="none"/>
        </w:rPr>
      </w:pPr>
      <w:bookmarkStart w:id="153" w:name="_Toc397000876"/>
      <w:bookmarkStart w:id="154" w:name="_Toc28883"/>
      <w:bookmarkStart w:id="155" w:name="_Toc391392745"/>
      <w:r>
        <w:rPr>
          <w:rFonts w:hint="eastAsia" w:ascii="宋体" w:hAnsi="宋体" w:eastAsia="宋体" w:cs="宋体"/>
          <w:color w:val="auto"/>
          <w:sz w:val="21"/>
          <w:szCs w:val="21"/>
          <w:highlight w:val="none"/>
        </w:rPr>
        <w:t>7.1 定标方式</w:t>
      </w:r>
      <w:bookmarkEnd w:id="153"/>
      <w:bookmarkEnd w:id="154"/>
      <w:bookmarkEnd w:id="155"/>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除“投标人须知前附表”规定评标委员会直接确定中标人外，</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依据评标委员会推荐的中标候选人确定中标人，评标委员会推荐中标候选人的人数见“投标人须知前附表”。</w:t>
      </w:r>
    </w:p>
    <w:p>
      <w:pPr>
        <w:pStyle w:val="3"/>
        <w:spacing w:line="420" w:lineRule="exact"/>
        <w:rPr>
          <w:rFonts w:hint="eastAsia" w:ascii="宋体" w:hAnsi="宋体" w:eastAsia="宋体" w:cs="宋体"/>
          <w:color w:val="auto"/>
          <w:sz w:val="21"/>
          <w:szCs w:val="21"/>
          <w:highlight w:val="none"/>
        </w:rPr>
      </w:pPr>
      <w:bookmarkStart w:id="156" w:name="_Toc18151"/>
      <w:bookmarkStart w:id="157" w:name="_Toc397000877"/>
      <w:bookmarkStart w:id="158" w:name="_Toc391392746"/>
      <w:r>
        <w:rPr>
          <w:rFonts w:hint="eastAsia" w:ascii="宋体" w:hAnsi="宋体" w:eastAsia="宋体" w:cs="宋体"/>
          <w:color w:val="auto"/>
          <w:sz w:val="21"/>
          <w:szCs w:val="21"/>
          <w:highlight w:val="none"/>
        </w:rPr>
        <w:t>7.2 中标通知</w:t>
      </w:r>
      <w:bookmarkEnd w:id="156"/>
      <w:bookmarkEnd w:id="157"/>
      <w:bookmarkEnd w:id="158"/>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在本章第3.3 款规定的投标有效期内，</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以书面形式向中标人发出中标通知书，同时将中标结果通知未中标的投标人。</w:t>
      </w:r>
    </w:p>
    <w:p>
      <w:pPr>
        <w:pStyle w:val="3"/>
        <w:spacing w:line="420" w:lineRule="exact"/>
        <w:rPr>
          <w:rFonts w:hint="eastAsia" w:ascii="宋体" w:hAnsi="宋体" w:eastAsia="宋体" w:cs="宋体"/>
          <w:color w:val="auto"/>
          <w:sz w:val="21"/>
          <w:szCs w:val="21"/>
          <w:highlight w:val="none"/>
        </w:rPr>
      </w:pPr>
      <w:bookmarkStart w:id="159" w:name="_Toc113"/>
      <w:bookmarkStart w:id="160" w:name="_Toc391392747"/>
      <w:bookmarkStart w:id="161" w:name="_Toc397000878"/>
      <w:r>
        <w:rPr>
          <w:rFonts w:hint="eastAsia" w:ascii="宋体" w:hAnsi="宋体" w:eastAsia="宋体" w:cs="宋体"/>
          <w:color w:val="auto"/>
          <w:sz w:val="21"/>
          <w:szCs w:val="21"/>
          <w:highlight w:val="none"/>
        </w:rPr>
        <w:t>7.3 履约担保</w:t>
      </w:r>
      <w:bookmarkEnd w:id="159"/>
      <w:bookmarkEnd w:id="160"/>
      <w:bookmarkEnd w:id="161"/>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7.3.1 在签订合同前，中标人应按“投标人须知前附表”规定的金额、担保形式和招标文件第四章“合同条款及格式”规定的履约担保格式向</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提交履约担保。联合体中标的，其履约担保由牵头人递交，并应符合“投标人须知前附表”规定的金额、担保形式和招标文件第四章“合同条款及格式”规定的履约担保格式要求。</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7.3.2 中标人不能按本章第7.3.1 项要求提交履约担保的，视为放弃中标，其投标保证金不予退还，给</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造成的损失超过投标保证金数额的，中标人还应当对超过部分予以赔偿。</w:t>
      </w:r>
    </w:p>
    <w:p>
      <w:pPr>
        <w:pStyle w:val="3"/>
        <w:spacing w:line="420" w:lineRule="exact"/>
        <w:rPr>
          <w:rFonts w:hint="eastAsia" w:ascii="宋体" w:hAnsi="宋体" w:eastAsia="宋体" w:cs="宋体"/>
          <w:color w:val="auto"/>
          <w:sz w:val="21"/>
          <w:szCs w:val="21"/>
          <w:highlight w:val="none"/>
        </w:rPr>
      </w:pPr>
      <w:bookmarkStart w:id="162" w:name="_Toc391392748"/>
      <w:bookmarkStart w:id="163" w:name="_Toc432"/>
      <w:bookmarkStart w:id="164" w:name="_Toc397000879"/>
      <w:r>
        <w:rPr>
          <w:rFonts w:hint="eastAsia" w:ascii="宋体" w:hAnsi="宋体" w:eastAsia="宋体" w:cs="宋体"/>
          <w:color w:val="auto"/>
          <w:sz w:val="21"/>
          <w:szCs w:val="21"/>
          <w:highlight w:val="none"/>
        </w:rPr>
        <w:t>7.4 签订合同</w:t>
      </w:r>
      <w:bookmarkEnd w:id="162"/>
      <w:bookmarkEnd w:id="163"/>
      <w:bookmarkEnd w:id="164"/>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7.4.1 </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和中标人应当在投标有效期内以及中标通知书发出之日起30 天内，根据招标文件和中标人的投标文件订立书面合同。中标人无正当理由拒签合同的，</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取消其中标资格，其投标保证金不予退还；给</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造成的损失超过投标保证金数额的，中标人还应当对超过部分予以赔偿。对依法必须进行招标的项目的中标人，由有关行政监督部门责令改正。</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7.4.2 发出中标通知书后，</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无正当理由拒签合同的，</w:t>
      </w:r>
      <w:r>
        <w:rPr>
          <w:rFonts w:hint="eastAsia" w:ascii="宋体" w:hAnsi="宋体" w:eastAsia="宋体" w:cs="宋体"/>
          <w:color w:val="auto"/>
          <w:highlight w:val="none"/>
        </w:rPr>
        <w:t>由有关行政监督部门给予警告，责令改正。同时</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向中标人退还投标保证金；给中标人造成损失的，还应当赔偿损失。</w:t>
      </w:r>
    </w:p>
    <w:p>
      <w:pPr>
        <w:pStyle w:val="3"/>
        <w:spacing w:line="420" w:lineRule="exact"/>
        <w:rPr>
          <w:rFonts w:hint="eastAsia" w:ascii="宋体" w:hAnsi="宋体" w:eastAsia="宋体" w:cs="宋体"/>
          <w:color w:val="auto"/>
          <w:sz w:val="21"/>
          <w:szCs w:val="21"/>
          <w:highlight w:val="none"/>
        </w:rPr>
      </w:pPr>
      <w:bookmarkStart w:id="165" w:name="_Toc4301"/>
      <w:bookmarkStart w:id="166" w:name="_Toc184635078"/>
      <w:bookmarkStart w:id="167" w:name="_Toc397000880"/>
      <w:bookmarkStart w:id="168" w:name="_Toc391392749"/>
      <w:r>
        <w:rPr>
          <w:rFonts w:hint="eastAsia" w:ascii="宋体" w:hAnsi="宋体" w:eastAsia="宋体" w:cs="宋体"/>
          <w:color w:val="auto"/>
          <w:sz w:val="21"/>
          <w:szCs w:val="21"/>
          <w:highlight w:val="none"/>
        </w:rPr>
        <w:t>8 重新招标和不再招标</w:t>
      </w:r>
      <w:bookmarkEnd w:id="165"/>
      <w:bookmarkEnd w:id="166"/>
      <w:bookmarkEnd w:id="167"/>
      <w:bookmarkEnd w:id="168"/>
    </w:p>
    <w:p>
      <w:pPr>
        <w:pStyle w:val="3"/>
        <w:spacing w:line="420" w:lineRule="exact"/>
        <w:rPr>
          <w:rFonts w:hint="eastAsia" w:ascii="宋体" w:hAnsi="宋体" w:eastAsia="宋体" w:cs="宋体"/>
          <w:color w:val="auto"/>
          <w:sz w:val="21"/>
          <w:szCs w:val="21"/>
          <w:highlight w:val="none"/>
        </w:rPr>
      </w:pPr>
      <w:bookmarkStart w:id="169" w:name="_Toc397000881"/>
      <w:bookmarkStart w:id="170" w:name="_Toc391392750"/>
      <w:bookmarkStart w:id="171" w:name="_Toc5525"/>
      <w:r>
        <w:rPr>
          <w:rFonts w:hint="eastAsia" w:ascii="宋体" w:hAnsi="宋体" w:eastAsia="宋体" w:cs="宋体"/>
          <w:color w:val="auto"/>
          <w:sz w:val="21"/>
          <w:szCs w:val="21"/>
          <w:highlight w:val="none"/>
        </w:rPr>
        <w:t>8.1 重新招标</w:t>
      </w:r>
      <w:bookmarkEnd w:id="169"/>
      <w:bookmarkEnd w:id="170"/>
      <w:bookmarkEnd w:id="171"/>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有下列情形之一的，</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将重新招标：</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（1）投标截止时间止，投标人少于3 个的；</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（2）资格审查合格的投标人不够三家的；</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（3）经评标委员会评审后否决所有投标的；</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（4）其他有关法规和文件规定的应当重新招标的情形。</w:t>
      </w:r>
    </w:p>
    <w:p>
      <w:pPr>
        <w:pStyle w:val="3"/>
        <w:spacing w:line="420" w:lineRule="exact"/>
        <w:rPr>
          <w:rFonts w:hint="eastAsia" w:ascii="宋体" w:hAnsi="宋体" w:eastAsia="宋体" w:cs="宋体"/>
          <w:color w:val="auto"/>
          <w:sz w:val="21"/>
          <w:szCs w:val="21"/>
          <w:highlight w:val="none"/>
        </w:rPr>
      </w:pPr>
      <w:bookmarkStart w:id="172" w:name="_Toc28880"/>
      <w:bookmarkStart w:id="173" w:name="_Toc391392751"/>
      <w:bookmarkStart w:id="174" w:name="_Toc397000882"/>
      <w:r>
        <w:rPr>
          <w:rFonts w:hint="eastAsia" w:ascii="宋体" w:hAnsi="宋体" w:eastAsia="宋体" w:cs="宋体"/>
          <w:color w:val="auto"/>
          <w:sz w:val="21"/>
          <w:szCs w:val="21"/>
          <w:highlight w:val="none"/>
        </w:rPr>
        <w:t>8.2 不再招标</w:t>
      </w:r>
      <w:bookmarkEnd w:id="172"/>
      <w:bookmarkEnd w:id="173"/>
      <w:bookmarkEnd w:id="174"/>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重新招标后投标人仍少于3 个或者所有投标被否决的，属于必须审批或核准的工程建设项目，经原审批或核准部门批准后可不再进行招标。</w:t>
      </w:r>
    </w:p>
    <w:p>
      <w:pPr>
        <w:pStyle w:val="3"/>
        <w:spacing w:line="420" w:lineRule="exact"/>
        <w:rPr>
          <w:rFonts w:hint="eastAsia" w:ascii="宋体" w:hAnsi="宋体" w:eastAsia="宋体" w:cs="宋体"/>
          <w:color w:val="auto"/>
          <w:sz w:val="21"/>
          <w:szCs w:val="21"/>
          <w:highlight w:val="none"/>
        </w:rPr>
      </w:pPr>
      <w:bookmarkStart w:id="175" w:name="_Toc391392752"/>
      <w:bookmarkStart w:id="176" w:name="_Toc397000883"/>
      <w:bookmarkStart w:id="177" w:name="_Toc25240"/>
      <w:bookmarkStart w:id="178" w:name="_Toc184635079"/>
      <w:r>
        <w:rPr>
          <w:rFonts w:hint="eastAsia" w:ascii="宋体" w:hAnsi="宋体" w:eastAsia="宋体" w:cs="宋体"/>
          <w:color w:val="auto"/>
          <w:sz w:val="21"/>
          <w:szCs w:val="21"/>
          <w:highlight w:val="none"/>
        </w:rPr>
        <w:t>9 纪律和监督</w:t>
      </w:r>
      <w:bookmarkEnd w:id="175"/>
      <w:bookmarkEnd w:id="176"/>
      <w:bookmarkEnd w:id="177"/>
      <w:bookmarkEnd w:id="178"/>
    </w:p>
    <w:p>
      <w:pPr>
        <w:pStyle w:val="3"/>
        <w:spacing w:line="420" w:lineRule="exact"/>
        <w:rPr>
          <w:rFonts w:hint="eastAsia" w:ascii="宋体" w:hAnsi="宋体" w:eastAsia="宋体" w:cs="宋体"/>
          <w:color w:val="auto"/>
          <w:highlight w:val="none"/>
        </w:rPr>
      </w:pPr>
      <w:bookmarkStart w:id="179" w:name="_Toc391392753"/>
      <w:bookmarkStart w:id="180" w:name="_Toc397000884"/>
      <w:bookmarkStart w:id="181" w:name="_Toc580"/>
      <w:r>
        <w:rPr>
          <w:rFonts w:hint="eastAsia" w:ascii="宋体" w:hAnsi="宋体" w:eastAsia="宋体" w:cs="宋体"/>
          <w:color w:val="auto"/>
          <w:sz w:val="21"/>
          <w:szCs w:val="21"/>
          <w:highlight w:val="none"/>
        </w:rPr>
        <w:t>9.1 对</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的纪律要求</w:t>
      </w:r>
      <w:bookmarkEnd w:id="179"/>
      <w:bookmarkEnd w:id="180"/>
      <w:bookmarkEnd w:id="181"/>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不得泄漏招标投标活动中应当保密的情况和资料，不得与投标人串通损害国家利益、社会公共利益或者他人合法权益。</w:t>
      </w:r>
    </w:p>
    <w:p>
      <w:pPr>
        <w:pStyle w:val="3"/>
        <w:spacing w:line="420" w:lineRule="exact"/>
        <w:rPr>
          <w:rFonts w:hint="eastAsia" w:ascii="宋体" w:hAnsi="宋体" w:eastAsia="宋体" w:cs="宋体"/>
          <w:color w:val="auto"/>
          <w:sz w:val="21"/>
          <w:szCs w:val="21"/>
          <w:highlight w:val="none"/>
        </w:rPr>
      </w:pPr>
      <w:bookmarkStart w:id="182" w:name="_Toc391392754"/>
      <w:bookmarkStart w:id="183" w:name="_Toc1507"/>
      <w:bookmarkStart w:id="184" w:name="_Toc397000885"/>
      <w:r>
        <w:rPr>
          <w:rFonts w:hint="eastAsia" w:ascii="宋体" w:hAnsi="宋体" w:eastAsia="宋体" w:cs="宋体"/>
          <w:color w:val="auto"/>
          <w:sz w:val="21"/>
          <w:szCs w:val="21"/>
          <w:highlight w:val="none"/>
        </w:rPr>
        <w:t>9.2 对投标人的纪律要求</w:t>
      </w:r>
      <w:bookmarkEnd w:id="182"/>
      <w:bookmarkEnd w:id="183"/>
      <w:bookmarkEnd w:id="184"/>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投标人不得相互串通投标或者与</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串通投标，不得向</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或者评标委员会成员行贿谋取中标，不得以他人名义投标或者以其他方式弄虚作假骗取中标；投标人不得以任何方式干扰、影响评标工作。</w:t>
      </w:r>
    </w:p>
    <w:p>
      <w:pPr>
        <w:pStyle w:val="3"/>
        <w:spacing w:line="420" w:lineRule="exact"/>
        <w:rPr>
          <w:rFonts w:hint="eastAsia" w:ascii="宋体" w:hAnsi="宋体" w:eastAsia="宋体" w:cs="宋体"/>
          <w:color w:val="auto"/>
          <w:sz w:val="21"/>
          <w:szCs w:val="21"/>
          <w:highlight w:val="none"/>
        </w:rPr>
      </w:pPr>
      <w:bookmarkStart w:id="185" w:name="_Toc19986"/>
      <w:bookmarkStart w:id="186" w:name="_Toc391392755"/>
      <w:bookmarkStart w:id="187" w:name="_Toc397000886"/>
      <w:r>
        <w:rPr>
          <w:rFonts w:hint="eastAsia" w:ascii="宋体" w:hAnsi="宋体" w:eastAsia="宋体" w:cs="宋体"/>
          <w:color w:val="auto"/>
          <w:sz w:val="21"/>
          <w:szCs w:val="21"/>
          <w:highlight w:val="none"/>
        </w:rPr>
        <w:t>9.3 对评标委员会成员的纪律要求</w:t>
      </w:r>
      <w:bookmarkEnd w:id="185"/>
      <w:bookmarkEnd w:id="186"/>
      <w:bookmarkEnd w:id="187"/>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3"/>
        <w:spacing w:line="420" w:lineRule="exact"/>
        <w:rPr>
          <w:rFonts w:hint="eastAsia" w:ascii="宋体" w:hAnsi="宋体" w:eastAsia="宋体" w:cs="宋体"/>
          <w:color w:val="auto"/>
          <w:sz w:val="21"/>
          <w:szCs w:val="21"/>
          <w:highlight w:val="none"/>
        </w:rPr>
      </w:pPr>
      <w:bookmarkStart w:id="188" w:name="_Toc19350"/>
      <w:bookmarkStart w:id="189" w:name="_Toc397000887"/>
      <w:bookmarkStart w:id="190" w:name="_Toc391392756"/>
      <w:r>
        <w:rPr>
          <w:rFonts w:hint="eastAsia" w:ascii="宋体" w:hAnsi="宋体" w:eastAsia="宋体" w:cs="宋体"/>
          <w:color w:val="auto"/>
          <w:sz w:val="21"/>
          <w:szCs w:val="21"/>
          <w:highlight w:val="none"/>
        </w:rPr>
        <w:t>9.4 对与评标活动有关的工作人员的纪律要求</w:t>
      </w:r>
      <w:bookmarkEnd w:id="188"/>
      <w:bookmarkEnd w:id="189"/>
      <w:bookmarkEnd w:id="190"/>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3"/>
        <w:spacing w:line="420" w:lineRule="exact"/>
        <w:rPr>
          <w:rFonts w:hint="eastAsia" w:ascii="宋体" w:hAnsi="宋体" w:eastAsia="宋体" w:cs="宋体"/>
          <w:color w:val="auto"/>
          <w:sz w:val="21"/>
          <w:szCs w:val="21"/>
          <w:highlight w:val="none"/>
        </w:rPr>
      </w:pPr>
      <w:bookmarkStart w:id="191" w:name="_Toc397000888"/>
      <w:bookmarkStart w:id="192" w:name="_Toc9028"/>
      <w:bookmarkStart w:id="193" w:name="_Toc391392757"/>
      <w:r>
        <w:rPr>
          <w:rFonts w:hint="eastAsia" w:ascii="宋体" w:hAnsi="宋体" w:eastAsia="宋体" w:cs="宋体"/>
          <w:color w:val="auto"/>
          <w:sz w:val="21"/>
          <w:szCs w:val="21"/>
          <w:highlight w:val="none"/>
        </w:rPr>
        <w:t>9.5 投诉</w:t>
      </w:r>
      <w:bookmarkEnd w:id="191"/>
      <w:bookmarkEnd w:id="192"/>
      <w:bookmarkEnd w:id="193"/>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投标人和其他利害关系人认为本次招标活动违反法律、法规和规章规定的，有权向有关行政监督部门投诉。</w:t>
      </w:r>
    </w:p>
    <w:p>
      <w:pPr>
        <w:pStyle w:val="3"/>
        <w:spacing w:line="420" w:lineRule="exact"/>
        <w:rPr>
          <w:rFonts w:hint="eastAsia" w:ascii="宋体" w:hAnsi="宋体" w:eastAsia="宋体" w:cs="宋体"/>
          <w:color w:val="auto"/>
          <w:sz w:val="21"/>
          <w:szCs w:val="21"/>
          <w:highlight w:val="none"/>
        </w:rPr>
      </w:pPr>
      <w:bookmarkStart w:id="194" w:name="_Toc184635080"/>
      <w:bookmarkStart w:id="195" w:name="_Toc29754"/>
      <w:bookmarkStart w:id="196" w:name="_Toc391392758"/>
      <w:bookmarkStart w:id="197" w:name="_Toc397000889"/>
      <w:r>
        <w:rPr>
          <w:rFonts w:hint="eastAsia" w:ascii="宋体" w:hAnsi="宋体" w:eastAsia="宋体" w:cs="宋体"/>
          <w:color w:val="auto"/>
          <w:sz w:val="21"/>
          <w:szCs w:val="21"/>
          <w:highlight w:val="none"/>
        </w:rPr>
        <w:t>10 需要补充的其他内容</w:t>
      </w:r>
      <w:bookmarkEnd w:id="194"/>
      <w:bookmarkEnd w:id="195"/>
      <w:bookmarkEnd w:id="196"/>
      <w:bookmarkEnd w:id="197"/>
    </w:p>
    <w:p>
      <w:pPr>
        <w:pStyle w:val="3"/>
        <w:spacing w:line="420" w:lineRule="exact"/>
        <w:rPr>
          <w:rFonts w:hint="eastAsia" w:ascii="宋体" w:hAnsi="宋体" w:eastAsia="宋体" w:cs="宋体"/>
          <w:color w:val="auto"/>
          <w:sz w:val="21"/>
          <w:szCs w:val="21"/>
          <w:highlight w:val="none"/>
        </w:rPr>
      </w:pPr>
      <w:bookmarkStart w:id="198" w:name="_Toc397000890"/>
      <w:bookmarkStart w:id="199" w:name="_Toc24390"/>
      <w:bookmarkStart w:id="200" w:name="_Toc391392759"/>
      <w:r>
        <w:rPr>
          <w:rFonts w:hint="eastAsia" w:ascii="宋体" w:hAnsi="宋体" w:eastAsia="宋体" w:cs="宋体"/>
          <w:color w:val="auto"/>
          <w:sz w:val="21"/>
          <w:szCs w:val="21"/>
          <w:highlight w:val="none"/>
        </w:rPr>
        <w:t>10.1 词语定义</w:t>
      </w:r>
      <w:bookmarkEnd w:id="198"/>
      <w:bookmarkEnd w:id="199"/>
      <w:bookmarkEnd w:id="200"/>
    </w:p>
    <w:p>
      <w:pPr>
        <w:spacing w:line="420" w:lineRule="exact"/>
        <w:rPr>
          <w:rFonts w:hint="eastAsia" w:ascii="宋体" w:hAnsi="宋体" w:eastAsia="宋体" w:cs="宋体"/>
          <w:color w:val="auto"/>
          <w:szCs w:val="21"/>
          <w:highlight w:val="none"/>
        </w:rPr>
      </w:pPr>
      <w:r>
        <w:rPr>
          <w:rFonts w:hint="eastAsia" w:ascii="宋体" w:hAnsi="宋体" w:eastAsia="宋体" w:cs="宋体"/>
          <w:color w:val="auto"/>
          <w:highlight w:val="none"/>
        </w:rPr>
        <w:t>10.1.1类似项目：</w:t>
      </w:r>
      <w:r>
        <w:rPr>
          <w:rFonts w:hint="eastAsia" w:ascii="宋体" w:hAnsi="宋体" w:eastAsia="宋体" w:cs="宋体"/>
          <w:color w:val="auto"/>
          <w:szCs w:val="21"/>
          <w:highlight w:val="none"/>
        </w:rPr>
        <w:t>见“投标人须知前附表”。</w:t>
      </w:r>
    </w:p>
    <w:p>
      <w:pPr>
        <w:spacing w:line="420" w:lineRule="exact"/>
        <w:rPr>
          <w:rFonts w:hint="eastAsia" w:ascii="宋体" w:hAnsi="宋体" w:eastAsia="宋体" w:cs="宋体"/>
          <w:color w:val="auto"/>
          <w:highlight w:val="none"/>
        </w:rPr>
      </w:pPr>
      <w:r>
        <w:rPr>
          <w:rFonts w:hint="eastAsia" w:ascii="宋体" w:hAnsi="宋体" w:eastAsia="宋体" w:cs="宋体"/>
          <w:color w:val="auto"/>
          <w:highlight w:val="none"/>
        </w:rPr>
        <w:t>10.1.2不良行为记录：</w:t>
      </w:r>
      <w:r>
        <w:rPr>
          <w:rFonts w:hint="eastAsia" w:ascii="宋体" w:hAnsi="宋体" w:eastAsia="宋体" w:cs="宋体"/>
          <w:color w:val="auto"/>
          <w:szCs w:val="21"/>
          <w:highlight w:val="none"/>
        </w:rPr>
        <w:t>见“投标人须知前附表”。</w:t>
      </w:r>
    </w:p>
    <w:p>
      <w:pPr>
        <w:pStyle w:val="3"/>
        <w:spacing w:line="420" w:lineRule="exact"/>
        <w:rPr>
          <w:rFonts w:hint="eastAsia" w:ascii="宋体" w:hAnsi="宋体" w:eastAsia="宋体" w:cs="宋体"/>
          <w:color w:val="auto"/>
          <w:sz w:val="21"/>
          <w:szCs w:val="21"/>
          <w:highlight w:val="none"/>
        </w:rPr>
      </w:pPr>
      <w:bookmarkStart w:id="201" w:name="_Toc391392760"/>
      <w:bookmarkStart w:id="202" w:name="_Toc4746"/>
      <w:bookmarkStart w:id="203" w:name="_Toc397000891"/>
      <w:r>
        <w:rPr>
          <w:rFonts w:hint="eastAsia" w:ascii="宋体" w:hAnsi="宋体" w:eastAsia="宋体" w:cs="宋体"/>
          <w:color w:val="auto"/>
          <w:sz w:val="21"/>
          <w:szCs w:val="21"/>
          <w:highlight w:val="none"/>
        </w:rPr>
        <w:t>10.2 招标控制价</w:t>
      </w:r>
      <w:bookmarkEnd w:id="201"/>
      <w:bookmarkEnd w:id="202"/>
      <w:bookmarkEnd w:id="203"/>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或受其委托具有相应资质的中介机构，按照国家和地区的相关规定及第五章的要求编制招标工程的招标控制价，并在开标前七天向所有投标人公布，同时报送当地建设工程招投标主管部门备案。投标人如有疑义，应于投标截止时间五天前向</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提出书面异议或修正要求，如</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认为有必要对工程招标控制价进行修正的，必须在投标截止时间三天前重新公布修正后的工程招标控制价。.</w:t>
      </w:r>
    </w:p>
    <w:p>
      <w:pPr>
        <w:pStyle w:val="3"/>
        <w:spacing w:line="420" w:lineRule="exact"/>
        <w:rPr>
          <w:rFonts w:hint="eastAsia" w:ascii="宋体" w:hAnsi="宋体" w:eastAsia="宋体" w:cs="宋体"/>
          <w:color w:val="auto"/>
          <w:sz w:val="21"/>
          <w:szCs w:val="21"/>
          <w:highlight w:val="none"/>
        </w:rPr>
      </w:pPr>
      <w:bookmarkStart w:id="204" w:name="_Toc12536"/>
      <w:bookmarkStart w:id="205" w:name="_Toc391392761"/>
      <w:bookmarkStart w:id="206" w:name="_Toc397000892"/>
      <w:r>
        <w:rPr>
          <w:rFonts w:hint="eastAsia" w:ascii="宋体" w:hAnsi="宋体" w:eastAsia="宋体" w:cs="宋体"/>
          <w:color w:val="auto"/>
          <w:sz w:val="21"/>
          <w:szCs w:val="21"/>
          <w:highlight w:val="none"/>
        </w:rPr>
        <w:t>10.3“暗标”评审</w:t>
      </w:r>
      <w:bookmarkEnd w:id="204"/>
      <w:bookmarkEnd w:id="205"/>
      <w:bookmarkEnd w:id="206"/>
    </w:p>
    <w:p>
      <w:pPr>
        <w:spacing w:line="420" w:lineRule="exact"/>
        <w:rPr>
          <w:rFonts w:hint="eastAsia" w:ascii="宋体" w:hAnsi="宋体" w:eastAsia="宋体" w:cs="宋体"/>
          <w:color w:val="auto"/>
          <w:szCs w:val="21"/>
          <w:highlight w:val="none"/>
        </w:rPr>
      </w:pPr>
      <w:r>
        <w:rPr>
          <w:rFonts w:hint="eastAsia" w:ascii="宋体" w:hAnsi="宋体" w:eastAsia="宋体" w:cs="宋体"/>
          <w:color w:val="auto"/>
          <w:highlight w:val="none"/>
        </w:rPr>
        <w:t>10.3.1施工组织设计是否采用“暗标”评审方式：</w:t>
      </w:r>
      <w:r>
        <w:rPr>
          <w:rFonts w:hint="eastAsia" w:ascii="宋体" w:hAnsi="宋体" w:eastAsia="宋体" w:cs="宋体"/>
          <w:color w:val="auto"/>
          <w:szCs w:val="21"/>
          <w:highlight w:val="none"/>
        </w:rPr>
        <w:t>见“投标人须知前附表”。</w:t>
      </w:r>
    </w:p>
    <w:p>
      <w:pPr>
        <w:pStyle w:val="3"/>
        <w:spacing w:line="420" w:lineRule="exact"/>
        <w:rPr>
          <w:rFonts w:hint="eastAsia" w:ascii="宋体" w:hAnsi="宋体" w:eastAsia="宋体" w:cs="宋体"/>
          <w:color w:val="auto"/>
          <w:sz w:val="21"/>
          <w:szCs w:val="21"/>
          <w:highlight w:val="none"/>
        </w:rPr>
      </w:pPr>
      <w:bookmarkStart w:id="207" w:name="_Toc397000893"/>
      <w:bookmarkStart w:id="208" w:name="_Toc391392762"/>
      <w:bookmarkStart w:id="209" w:name="_Toc11433"/>
      <w:r>
        <w:rPr>
          <w:rFonts w:hint="eastAsia" w:ascii="宋体" w:hAnsi="宋体" w:eastAsia="宋体" w:cs="宋体"/>
          <w:color w:val="auto"/>
          <w:sz w:val="21"/>
          <w:szCs w:val="21"/>
          <w:highlight w:val="none"/>
        </w:rPr>
        <w:t>10.4 投标文件电子版</w:t>
      </w:r>
      <w:bookmarkEnd w:id="207"/>
      <w:bookmarkEnd w:id="208"/>
      <w:bookmarkEnd w:id="209"/>
    </w:p>
    <w:p>
      <w:pPr>
        <w:spacing w:line="420" w:lineRule="exact"/>
        <w:rPr>
          <w:rFonts w:hint="eastAsia" w:ascii="宋体" w:hAnsi="宋体" w:eastAsia="宋体" w:cs="宋体"/>
          <w:color w:val="auto"/>
          <w:szCs w:val="21"/>
          <w:highlight w:val="none"/>
        </w:rPr>
      </w:pPr>
      <w:r>
        <w:rPr>
          <w:rFonts w:hint="eastAsia" w:ascii="宋体" w:hAnsi="宋体" w:eastAsia="宋体" w:cs="宋体"/>
          <w:color w:val="auto"/>
          <w:highlight w:val="none"/>
        </w:rPr>
        <w:t>10.4.1投标人在递交投标文件时，同时递交投标文件电子版，</w:t>
      </w:r>
      <w:r>
        <w:rPr>
          <w:rFonts w:hint="eastAsia" w:ascii="宋体" w:hAnsi="宋体" w:eastAsia="宋体" w:cs="宋体"/>
          <w:color w:val="auto"/>
          <w:szCs w:val="21"/>
          <w:highlight w:val="none"/>
        </w:rPr>
        <w:t>见“投标人须知前附表”。</w:t>
      </w:r>
    </w:p>
    <w:p>
      <w:pPr>
        <w:pStyle w:val="3"/>
        <w:spacing w:line="420" w:lineRule="exact"/>
        <w:rPr>
          <w:rFonts w:hint="eastAsia" w:ascii="宋体" w:hAnsi="宋体" w:eastAsia="宋体" w:cs="宋体"/>
          <w:color w:val="auto"/>
          <w:sz w:val="21"/>
          <w:szCs w:val="21"/>
          <w:highlight w:val="none"/>
        </w:rPr>
      </w:pPr>
      <w:bookmarkStart w:id="210" w:name="_Toc397000894"/>
      <w:bookmarkStart w:id="211" w:name="_Toc30100"/>
      <w:bookmarkStart w:id="212" w:name="_Toc391392763"/>
      <w:r>
        <w:rPr>
          <w:rFonts w:hint="eastAsia" w:ascii="宋体" w:hAnsi="宋体" w:eastAsia="宋体" w:cs="宋体"/>
          <w:color w:val="auto"/>
          <w:sz w:val="21"/>
          <w:szCs w:val="21"/>
          <w:highlight w:val="none"/>
        </w:rPr>
        <w:t>10.5投标人代表出席开标会</w:t>
      </w:r>
      <w:bookmarkEnd w:id="210"/>
      <w:bookmarkEnd w:id="211"/>
      <w:bookmarkEnd w:id="212"/>
    </w:p>
    <w:p>
      <w:pPr>
        <w:spacing w:line="4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具体要求见“投标人须知前附表”。</w:t>
      </w:r>
    </w:p>
    <w:p>
      <w:pPr>
        <w:spacing w:line="420" w:lineRule="exact"/>
        <w:rPr>
          <w:rFonts w:hint="eastAsia" w:ascii="宋体" w:hAnsi="宋体" w:eastAsia="宋体" w:cs="宋体"/>
          <w:color w:val="auto"/>
          <w:szCs w:val="21"/>
          <w:highlight w:val="none"/>
        </w:rPr>
      </w:pPr>
      <w:r>
        <w:rPr>
          <w:rFonts w:hint="eastAsia" w:ascii="宋体" w:hAnsi="宋体" w:eastAsia="宋体" w:cs="宋体"/>
          <w:b/>
          <w:bCs/>
          <w:color w:val="auto"/>
          <w:kern w:val="44"/>
          <w:szCs w:val="21"/>
          <w:highlight w:val="none"/>
        </w:rPr>
        <w:t>10.6中标公示</w:t>
      </w:r>
      <w:r>
        <w:rPr>
          <w:rFonts w:hint="eastAsia" w:ascii="宋体" w:hAnsi="宋体" w:eastAsia="宋体" w:cs="宋体"/>
          <w:color w:val="auto"/>
          <w:highlight w:val="none"/>
        </w:rPr>
        <w:t>：</w:t>
      </w:r>
      <w:r>
        <w:rPr>
          <w:rFonts w:hint="eastAsia" w:ascii="宋体" w:hAnsi="宋体" w:eastAsia="宋体" w:cs="宋体"/>
          <w:color w:val="auto"/>
          <w:szCs w:val="21"/>
          <w:highlight w:val="none"/>
        </w:rPr>
        <w:t>见“投标人须知前附表”。</w:t>
      </w:r>
    </w:p>
    <w:p>
      <w:pPr>
        <w:spacing w:line="420" w:lineRule="exact"/>
        <w:rPr>
          <w:rFonts w:hint="eastAsia" w:ascii="宋体" w:hAnsi="宋体" w:eastAsia="宋体" w:cs="宋体"/>
          <w:color w:val="auto"/>
          <w:highlight w:val="none"/>
        </w:rPr>
      </w:pPr>
      <w:r>
        <w:rPr>
          <w:rFonts w:hint="eastAsia" w:ascii="宋体" w:hAnsi="宋体" w:eastAsia="宋体" w:cs="宋体"/>
          <w:b/>
          <w:bCs/>
          <w:color w:val="auto"/>
          <w:kern w:val="44"/>
          <w:szCs w:val="21"/>
          <w:highlight w:val="none"/>
        </w:rPr>
        <w:t>10.7知识产权</w:t>
      </w:r>
      <w:r>
        <w:rPr>
          <w:rFonts w:hint="eastAsia" w:ascii="宋体" w:hAnsi="宋体" w:eastAsia="宋体" w:cs="宋体"/>
          <w:color w:val="auto"/>
          <w:highlight w:val="none"/>
        </w:rPr>
        <w:t>：</w:t>
      </w:r>
      <w:r>
        <w:rPr>
          <w:rFonts w:hint="eastAsia" w:ascii="宋体" w:hAnsi="宋体" w:eastAsia="宋体" w:cs="宋体"/>
          <w:color w:val="auto"/>
          <w:szCs w:val="21"/>
          <w:highlight w:val="none"/>
        </w:rPr>
        <w:t>见“投标人须知前附表”。</w:t>
      </w:r>
    </w:p>
    <w:p>
      <w:pPr>
        <w:spacing w:line="420" w:lineRule="exact"/>
        <w:rPr>
          <w:rFonts w:hint="eastAsia" w:ascii="宋体" w:hAnsi="宋体" w:eastAsia="宋体" w:cs="宋体"/>
          <w:color w:val="auto"/>
          <w:highlight w:val="none"/>
        </w:rPr>
      </w:pPr>
      <w:r>
        <w:rPr>
          <w:rFonts w:hint="eastAsia" w:ascii="宋体" w:hAnsi="宋体" w:eastAsia="宋体" w:cs="宋体"/>
          <w:b/>
          <w:bCs/>
          <w:color w:val="auto"/>
          <w:kern w:val="44"/>
          <w:szCs w:val="21"/>
          <w:highlight w:val="none"/>
        </w:rPr>
        <w:t>10.8重新招标的其他情形</w:t>
      </w:r>
      <w:r>
        <w:rPr>
          <w:rFonts w:hint="eastAsia" w:ascii="宋体" w:hAnsi="宋体" w:eastAsia="宋体" w:cs="宋体"/>
          <w:color w:val="auto"/>
          <w:highlight w:val="none"/>
        </w:rPr>
        <w:t>：</w:t>
      </w:r>
      <w:r>
        <w:rPr>
          <w:rFonts w:hint="eastAsia" w:ascii="宋体" w:hAnsi="宋体" w:eastAsia="宋体" w:cs="宋体"/>
          <w:color w:val="auto"/>
          <w:szCs w:val="21"/>
          <w:highlight w:val="none"/>
        </w:rPr>
        <w:t>见“投标人须知前附表”。</w:t>
      </w:r>
    </w:p>
    <w:p>
      <w:pPr>
        <w:spacing w:line="420" w:lineRule="exact"/>
        <w:rPr>
          <w:rFonts w:hint="eastAsia" w:ascii="宋体" w:hAnsi="宋体" w:eastAsia="宋体" w:cs="宋体"/>
          <w:color w:val="auto"/>
          <w:highlight w:val="none"/>
        </w:rPr>
      </w:pPr>
      <w:r>
        <w:rPr>
          <w:rFonts w:hint="eastAsia" w:ascii="宋体" w:hAnsi="宋体" w:eastAsia="宋体" w:cs="宋体"/>
          <w:b/>
          <w:bCs/>
          <w:color w:val="auto"/>
          <w:kern w:val="44"/>
          <w:szCs w:val="21"/>
          <w:highlight w:val="none"/>
        </w:rPr>
        <w:t>10.9同义词语</w:t>
      </w:r>
      <w:r>
        <w:rPr>
          <w:rFonts w:hint="eastAsia" w:ascii="宋体" w:hAnsi="宋体" w:eastAsia="宋体" w:cs="宋体"/>
          <w:color w:val="auto"/>
          <w:highlight w:val="none"/>
        </w:rPr>
        <w:t>：</w:t>
      </w:r>
      <w:r>
        <w:rPr>
          <w:rFonts w:hint="eastAsia" w:ascii="宋体" w:hAnsi="宋体" w:eastAsia="宋体" w:cs="宋体"/>
          <w:color w:val="auto"/>
          <w:szCs w:val="21"/>
          <w:highlight w:val="none"/>
        </w:rPr>
        <w:t>见“投标人须知前附表”。</w:t>
      </w:r>
    </w:p>
    <w:p>
      <w:pPr>
        <w:spacing w:line="420" w:lineRule="exact"/>
        <w:rPr>
          <w:rFonts w:hint="eastAsia" w:ascii="宋体" w:hAnsi="宋体" w:eastAsia="宋体" w:cs="宋体"/>
          <w:color w:val="auto"/>
          <w:highlight w:val="none"/>
        </w:rPr>
      </w:pPr>
      <w:r>
        <w:rPr>
          <w:rFonts w:hint="eastAsia" w:ascii="宋体" w:hAnsi="宋体" w:eastAsia="宋体" w:cs="宋体"/>
          <w:b/>
          <w:bCs/>
          <w:color w:val="auto"/>
          <w:kern w:val="44"/>
          <w:szCs w:val="21"/>
          <w:highlight w:val="none"/>
        </w:rPr>
        <w:t>10.10监督</w:t>
      </w:r>
      <w:r>
        <w:rPr>
          <w:rFonts w:hint="eastAsia" w:ascii="宋体" w:hAnsi="宋体" w:eastAsia="宋体" w:cs="宋体"/>
          <w:color w:val="auto"/>
          <w:highlight w:val="none"/>
        </w:rPr>
        <w:t>：</w:t>
      </w:r>
      <w:r>
        <w:rPr>
          <w:rFonts w:hint="eastAsia" w:ascii="宋体" w:hAnsi="宋体" w:eastAsia="宋体" w:cs="宋体"/>
          <w:color w:val="auto"/>
          <w:szCs w:val="21"/>
          <w:highlight w:val="none"/>
        </w:rPr>
        <w:t>见“投标人须知前附表”。</w:t>
      </w:r>
    </w:p>
    <w:p>
      <w:pPr>
        <w:spacing w:line="420" w:lineRule="exact"/>
        <w:rPr>
          <w:rFonts w:hint="eastAsia" w:ascii="宋体" w:hAnsi="宋体" w:eastAsia="宋体" w:cs="宋体"/>
          <w:color w:val="auto"/>
          <w:highlight w:val="none"/>
        </w:rPr>
      </w:pPr>
      <w:r>
        <w:rPr>
          <w:rFonts w:hint="eastAsia" w:ascii="宋体" w:hAnsi="宋体" w:eastAsia="宋体" w:cs="宋体"/>
          <w:b/>
          <w:bCs/>
          <w:color w:val="auto"/>
          <w:kern w:val="44"/>
          <w:szCs w:val="21"/>
          <w:highlight w:val="none"/>
        </w:rPr>
        <w:t>10.11解释权</w:t>
      </w:r>
      <w:r>
        <w:rPr>
          <w:rFonts w:hint="eastAsia" w:ascii="宋体" w:hAnsi="宋体" w:eastAsia="宋体" w:cs="宋体"/>
          <w:color w:val="auto"/>
          <w:highlight w:val="none"/>
        </w:rPr>
        <w:t>：</w:t>
      </w:r>
      <w:r>
        <w:rPr>
          <w:rFonts w:hint="eastAsia" w:ascii="宋体" w:hAnsi="宋体" w:eastAsia="宋体" w:cs="宋体"/>
          <w:color w:val="auto"/>
          <w:szCs w:val="21"/>
          <w:highlight w:val="none"/>
        </w:rPr>
        <w:t>见“投标人须知前附表”。</w:t>
      </w:r>
    </w:p>
    <w:p>
      <w:pPr>
        <w:spacing w:line="420" w:lineRule="exact"/>
        <w:rPr>
          <w:rFonts w:hint="eastAsia" w:ascii="宋体" w:hAnsi="宋体" w:eastAsia="宋体" w:cs="宋体"/>
          <w:b/>
          <w:bCs/>
          <w:color w:val="auto"/>
          <w:kern w:val="44"/>
          <w:szCs w:val="21"/>
          <w:highlight w:val="none"/>
        </w:rPr>
      </w:pPr>
      <w:r>
        <w:rPr>
          <w:rFonts w:hint="eastAsia" w:ascii="宋体" w:hAnsi="宋体" w:eastAsia="宋体" w:cs="宋体"/>
          <w:b/>
          <w:bCs/>
          <w:color w:val="auto"/>
          <w:kern w:val="44"/>
          <w:szCs w:val="21"/>
          <w:highlight w:val="none"/>
        </w:rPr>
        <w:t>10.12 其他事项</w:t>
      </w:r>
    </w:p>
    <w:p>
      <w:pPr>
        <w:spacing w:line="420" w:lineRule="exact"/>
        <w:rPr>
          <w:rFonts w:hint="eastAsia" w:ascii="宋体" w:hAnsi="宋体" w:eastAsia="宋体" w:cs="宋体"/>
          <w:color w:val="auto"/>
          <w:highlight w:val="none"/>
        </w:rPr>
      </w:pPr>
      <w:r>
        <w:rPr>
          <w:rFonts w:hint="eastAsia" w:ascii="宋体" w:hAnsi="宋体" w:eastAsia="宋体" w:cs="宋体"/>
          <w:b/>
          <w:color w:val="auto"/>
          <w:highlight w:val="none"/>
        </w:rPr>
        <w:t>10.12.1招标代理服务费：</w:t>
      </w:r>
      <w:r>
        <w:rPr>
          <w:rFonts w:hint="eastAsia" w:ascii="宋体" w:hAnsi="宋体" w:eastAsia="宋体" w:cs="宋体"/>
          <w:color w:val="auto"/>
          <w:szCs w:val="21"/>
          <w:highlight w:val="none"/>
        </w:rPr>
        <w:t>见“投标人须知前附表”。</w:t>
      </w:r>
    </w:p>
    <w:p>
      <w:pPr>
        <w:pStyle w:val="2"/>
        <w:ind w:left="0" w:leftChars="0" w:firstLine="0" w:firstLineChars="0"/>
        <w:rPr>
          <w:rFonts w:hint="eastAsia" w:ascii="宋体" w:hAnsi="宋体" w:eastAsia="宋体" w:cs="宋体"/>
          <w:color w:val="auto"/>
          <w:highlight w:val="none"/>
        </w:rPr>
      </w:pPr>
      <w:bookmarkStart w:id="213" w:name="_Toc25611"/>
      <w:bookmarkStart w:id="214" w:name="_Toc397000895"/>
      <w:bookmarkStart w:id="215" w:name="_Toc391392766"/>
      <w:r>
        <w:rPr>
          <w:rFonts w:hint="eastAsia" w:ascii="宋体" w:hAnsi="宋体" w:eastAsia="宋体" w:cs="宋体"/>
          <w:color w:val="auto"/>
          <w:highlight w:val="none"/>
        </w:rPr>
        <w:br w:type="page"/>
      </w:r>
    </w:p>
    <w:p>
      <w:pPr>
        <w:rPr>
          <w:rFonts w:hint="eastAsia" w:ascii="宋体" w:hAnsi="宋体" w:eastAsia="宋体" w:cs="宋体"/>
          <w:color w:val="auto"/>
          <w:highlight w:val="none"/>
        </w:rPr>
      </w:pPr>
    </w:p>
    <w:p>
      <w:pPr>
        <w:pStyle w:val="3"/>
        <w:jc w:val="center"/>
        <w:rPr>
          <w:rFonts w:hint="eastAsia" w:ascii="宋体" w:hAnsi="宋体" w:eastAsia="宋体" w:cs="宋体"/>
          <w:color w:val="auto"/>
          <w:highlight w:val="none"/>
        </w:rPr>
      </w:pPr>
      <w:r>
        <w:rPr>
          <w:rFonts w:hint="eastAsia" w:ascii="宋体" w:hAnsi="宋体" w:eastAsia="宋体" w:cs="宋体"/>
          <w:color w:val="auto"/>
          <w:highlight w:val="none"/>
        </w:rPr>
        <w:t>第三章 评标办法（</w:t>
      </w:r>
      <w:r>
        <w:rPr>
          <w:rFonts w:hint="eastAsia" w:ascii="宋体" w:hAnsi="宋体" w:eastAsia="宋体" w:cs="宋体"/>
          <w:color w:val="auto"/>
          <w:highlight w:val="none"/>
          <w:lang w:eastAsia="zh-CN"/>
        </w:rPr>
        <w:t>综合评分法</w:t>
      </w:r>
      <w:r>
        <w:rPr>
          <w:rFonts w:hint="eastAsia" w:ascii="宋体" w:hAnsi="宋体" w:eastAsia="宋体" w:cs="宋体"/>
          <w:color w:val="auto"/>
          <w:highlight w:val="none"/>
        </w:rPr>
        <w:t>）</w:t>
      </w:r>
      <w:bookmarkEnd w:id="213"/>
      <w:bookmarkEnd w:id="214"/>
    </w:p>
    <w:bookmarkEnd w:id="215"/>
    <w:p>
      <w:pPr>
        <w:jc w:val="center"/>
        <w:rPr>
          <w:rFonts w:hint="eastAsia" w:ascii="宋体" w:hAnsi="宋体" w:eastAsia="宋体" w:cs="宋体"/>
          <w:b/>
          <w:color w:val="auto"/>
          <w:sz w:val="30"/>
          <w:szCs w:val="30"/>
          <w:highlight w:val="none"/>
        </w:rPr>
      </w:pPr>
      <w:bookmarkStart w:id="216" w:name="_Toc397000896"/>
      <w:bookmarkStart w:id="217" w:name="_Toc397000897"/>
      <w:r>
        <w:rPr>
          <w:rFonts w:hint="eastAsia" w:ascii="宋体" w:hAnsi="宋体" w:eastAsia="宋体" w:cs="宋体"/>
          <w:b/>
          <w:color w:val="auto"/>
          <w:sz w:val="30"/>
          <w:szCs w:val="30"/>
          <w:highlight w:val="none"/>
        </w:rPr>
        <w:t>评标办法前附表</w:t>
      </w:r>
      <w:bookmarkEnd w:id="216"/>
    </w:p>
    <w:tbl>
      <w:tblPr>
        <w:tblStyle w:val="41"/>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634"/>
        <w:gridCol w:w="1007"/>
        <w:gridCol w:w="1012"/>
        <w:gridCol w:w="1188"/>
        <w:gridCol w:w="5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444" w:type="dxa"/>
            <w:gridSpan w:val="3"/>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条款号</w:t>
            </w:r>
          </w:p>
        </w:tc>
        <w:tc>
          <w:tcPr>
            <w:tcW w:w="2200" w:type="dxa"/>
            <w:gridSpan w:val="2"/>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评审因素</w:t>
            </w:r>
          </w:p>
        </w:tc>
        <w:tc>
          <w:tcPr>
            <w:tcW w:w="5605" w:type="dxa"/>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03"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1641" w:type="dxa"/>
            <w:gridSpan w:val="2"/>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定标原则</w:t>
            </w:r>
          </w:p>
        </w:tc>
        <w:tc>
          <w:tcPr>
            <w:tcW w:w="7805" w:type="dxa"/>
            <w:gridSpan w:val="3"/>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综合得分相等时，投标报价低者优先；投标报价也相等的，按企业资质高的优先，企业资质也相等的，由评标委员会采用记名投票方式确定。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803" w:type="dxa"/>
            <w:vMerge w:val="restar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w:t>
            </w:r>
          </w:p>
        </w:tc>
        <w:tc>
          <w:tcPr>
            <w:tcW w:w="634" w:type="dxa"/>
            <w:vMerge w:val="restart"/>
            <w:vAlign w:val="center"/>
          </w:tcPr>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w:t>
            </w:r>
          </w:p>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格</w:t>
            </w:r>
          </w:p>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w:t>
            </w:r>
          </w:p>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审</w:t>
            </w:r>
          </w:p>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w:t>
            </w:r>
          </w:p>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准</w:t>
            </w:r>
          </w:p>
        </w:tc>
        <w:tc>
          <w:tcPr>
            <w:tcW w:w="1007" w:type="dxa"/>
            <w:vMerge w:val="restart"/>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合格制</w:t>
            </w:r>
          </w:p>
        </w:tc>
        <w:tc>
          <w:tcPr>
            <w:tcW w:w="7805" w:type="dxa"/>
            <w:gridSpan w:val="3"/>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b/>
                <w:color w:val="auto"/>
                <w:szCs w:val="21"/>
                <w:highlight w:val="none"/>
                <w:u w:val="single"/>
              </w:rPr>
              <w:t>合格标准：以下保证项目内容缺少任何一项或有任何一项不合格者其资格审查视为不合格。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03" w:type="dxa"/>
            <w:vMerge w:val="continue"/>
            <w:vAlign w:val="center"/>
          </w:tcPr>
          <w:p>
            <w:pPr>
              <w:spacing w:line="360" w:lineRule="auto"/>
              <w:jc w:val="center"/>
              <w:rPr>
                <w:rFonts w:hint="eastAsia" w:ascii="宋体" w:hAnsi="宋体" w:eastAsia="宋体" w:cs="宋体"/>
                <w:color w:val="auto"/>
                <w:szCs w:val="21"/>
                <w:highlight w:val="none"/>
              </w:rPr>
            </w:pPr>
          </w:p>
        </w:tc>
        <w:tc>
          <w:tcPr>
            <w:tcW w:w="634" w:type="dxa"/>
            <w:vMerge w:val="continue"/>
            <w:vAlign w:val="center"/>
          </w:tcPr>
          <w:p>
            <w:pPr>
              <w:spacing w:line="360" w:lineRule="auto"/>
              <w:rPr>
                <w:rFonts w:hint="eastAsia" w:ascii="宋体" w:hAnsi="宋体" w:eastAsia="宋体" w:cs="宋体"/>
                <w:color w:val="auto"/>
                <w:szCs w:val="21"/>
                <w:highlight w:val="none"/>
              </w:rPr>
            </w:pPr>
          </w:p>
        </w:tc>
        <w:tc>
          <w:tcPr>
            <w:tcW w:w="1007" w:type="dxa"/>
            <w:vMerge w:val="continue"/>
            <w:vAlign w:val="center"/>
          </w:tcPr>
          <w:p>
            <w:pPr>
              <w:spacing w:line="360" w:lineRule="auto"/>
              <w:jc w:val="center"/>
              <w:rPr>
                <w:rFonts w:hint="eastAsia" w:ascii="宋体" w:hAnsi="宋体" w:eastAsia="宋体" w:cs="宋体"/>
                <w:color w:val="auto"/>
                <w:szCs w:val="21"/>
                <w:highlight w:val="none"/>
              </w:rPr>
            </w:pPr>
          </w:p>
        </w:tc>
        <w:tc>
          <w:tcPr>
            <w:tcW w:w="2200" w:type="dxa"/>
            <w:gridSpan w:val="2"/>
            <w:vAlign w:val="center"/>
          </w:tcPr>
          <w:p>
            <w:pPr>
              <w:spacing w:line="360" w:lineRule="auto"/>
              <w:jc w:val="center"/>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投标文件签署授权委托书</w:t>
            </w:r>
          </w:p>
        </w:tc>
        <w:tc>
          <w:tcPr>
            <w:tcW w:w="5605"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有投标文件签署授权委托书，且符合第八章“投标文件格式”的要求。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03" w:type="dxa"/>
            <w:vMerge w:val="continue"/>
            <w:vAlign w:val="center"/>
          </w:tcPr>
          <w:p>
            <w:pPr>
              <w:spacing w:line="360" w:lineRule="auto"/>
              <w:jc w:val="center"/>
              <w:rPr>
                <w:rFonts w:hint="eastAsia" w:ascii="宋体" w:hAnsi="宋体" w:eastAsia="宋体" w:cs="宋体"/>
                <w:color w:val="auto"/>
                <w:szCs w:val="21"/>
                <w:highlight w:val="none"/>
              </w:rPr>
            </w:pPr>
          </w:p>
        </w:tc>
        <w:tc>
          <w:tcPr>
            <w:tcW w:w="634" w:type="dxa"/>
            <w:vMerge w:val="continue"/>
            <w:vAlign w:val="center"/>
          </w:tcPr>
          <w:p>
            <w:pPr>
              <w:spacing w:line="360" w:lineRule="auto"/>
              <w:rPr>
                <w:rFonts w:hint="eastAsia" w:ascii="宋体" w:hAnsi="宋体" w:eastAsia="宋体" w:cs="宋体"/>
                <w:color w:val="auto"/>
                <w:szCs w:val="21"/>
                <w:highlight w:val="none"/>
              </w:rPr>
            </w:pPr>
          </w:p>
        </w:tc>
        <w:tc>
          <w:tcPr>
            <w:tcW w:w="1007" w:type="dxa"/>
            <w:vMerge w:val="continue"/>
            <w:vAlign w:val="center"/>
          </w:tcPr>
          <w:p>
            <w:pPr>
              <w:spacing w:line="360" w:lineRule="auto"/>
              <w:jc w:val="center"/>
              <w:rPr>
                <w:rFonts w:hint="eastAsia" w:ascii="宋体" w:hAnsi="宋体" w:eastAsia="宋体" w:cs="宋体"/>
                <w:color w:val="auto"/>
                <w:szCs w:val="21"/>
                <w:highlight w:val="none"/>
              </w:rPr>
            </w:pPr>
          </w:p>
        </w:tc>
        <w:tc>
          <w:tcPr>
            <w:tcW w:w="2200" w:type="dxa"/>
            <w:gridSpan w:val="2"/>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营业执照</w:t>
            </w:r>
          </w:p>
        </w:tc>
        <w:tc>
          <w:tcPr>
            <w:tcW w:w="5605"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03" w:type="dxa"/>
            <w:vMerge w:val="continue"/>
            <w:vAlign w:val="center"/>
          </w:tcPr>
          <w:p>
            <w:pPr>
              <w:spacing w:line="360" w:lineRule="auto"/>
              <w:jc w:val="center"/>
              <w:rPr>
                <w:rFonts w:hint="eastAsia" w:ascii="宋体" w:hAnsi="宋体" w:eastAsia="宋体" w:cs="宋体"/>
                <w:color w:val="auto"/>
                <w:szCs w:val="21"/>
                <w:highlight w:val="none"/>
              </w:rPr>
            </w:pPr>
          </w:p>
        </w:tc>
        <w:tc>
          <w:tcPr>
            <w:tcW w:w="634" w:type="dxa"/>
            <w:vMerge w:val="continue"/>
            <w:vAlign w:val="center"/>
          </w:tcPr>
          <w:p>
            <w:pPr>
              <w:spacing w:line="360" w:lineRule="auto"/>
              <w:rPr>
                <w:rFonts w:hint="eastAsia" w:ascii="宋体" w:hAnsi="宋体" w:eastAsia="宋体" w:cs="宋体"/>
                <w:color w:val="auto"/>
                <w:szCs w:val="21"/>
                <w:highlight w:val="none"/>
              </w:rPr>
            </w:pPr>
          </w:p>
        </w:tc>
        <w:tc>
          <w:tcPr>
            <w:tcW w:w="1007" w:type="dxa"/>
            <w:vMerge w:val="continue"/>
            <w:vAlign w:val="center"/>
          </w:tcPr>
          <w:p>
            <w:pPr>
              <w:spacing w:line="360" w:lineRule="auto"/>
              <w:jc w:val="center"/>
              <w:rPr>
                <w:rFonts w:hint="eastAsia" w:ascii="宋体" w:hAnsi="宋体" w:eastAsia="宋体" w:cs="宋体"/>
                <w:color w:val="auto"/>
                <w:szCs w:val="21"/>
                <w:highlight w:val="none"/>
              </w:rPr>
            </w:pPr>
          </w:p>
        </w:tc>
        <w:tc>
          <w:tcPr>
            <w:tcW w:w="2200" w:type="dxa"/>
            <w:gridSpan w:val="2"/>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安全生产许可证</w:t>
            </w:r>
          </w:p>
        </w:tc>
        <w:tc>
          <w:tcPr>
            <w:tcW w:w="5605"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03" w:type="dxa"/>
            <w:vMerge w:val="continue"/>
            <w:vAlign w:val="center"/>
          </w:tcPr>
          <w:p>
            <w:pPr>
              <w:spacing w:line="360" w:lineRule="auto"/>
              <w:jc w:val="center"/>
              <w:rPr>
                <w:rFonts w:hint="eastAsia" w:ascii="宋体" w:hAnsi="宋体" w:eastAsia="宋体" w:cs="宋体"/>
                <w:color w:val="auto"/>
                <w:szCs w:val="21"/>
                <w:highlight w:val="none"/>
              </w:rPr>
            </w:pPr>
          </w:p>
        </w:tc>
        <w:tc>
          <w:tcPr>
            <w:tcW w:w="634" w:type="dxa"/>
            <w:vMerge w:val="continue"/>
            <w:vAlign w:val="center"/>
          </w:tcPr>
          <w:p>
            <w:pPr>
              <w:spacing w:line="360" w:lineRule="auto"/>
              <w:rPr>
                <w:rFonts w:hint="eastAsia" w:ascii="宋体" w:hAnsi="宋体" w:eastAsia="宋体" w:cs="宋体"/>
                <w:color w:val="auto"/>
                <w:szCs w:val="21"/>
                <w:highlight w:val="none"/>
              </w:rPr>
            </w:pPr>
          </w:p>
        </w:tc>
        <w:tc>
          <w:tcPr>
            <w:tcW w:w="1007" w:type="dxa"/>
            <w:vMerge w:val="continue"/>
            <w:vAlign w:val="center"/>
          </w:tcPr>
          <w:p>
            <w:pPr>
              <w:spacing w:line="360" w:lineRule="auto"/>
              <w:jc w:val="center"/>
              <w:rPr>
                <w:rFonts w:hint="eastAsia" w:ascii="宋体" w:hAnsi="宋体" w:eastAsia="宋体" w:cs="宋体"/>
                <w:color w:val="auto"/>
                <w:szCs w:val="21"/>
                <w:highlight w:val="none"/>
              </w:rPr>
            </w:pPr>
          </w:p>
        </w:tc>
        <w:tc>
          <w:tcPr>
            <w:tcW w:w="2200" w:type="dxa"/>
            <w:gridSpan w:val="2"/>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资质等级</w:t>
            </w:r>
          </w:p>
        </w:tc>
        <w:tc>
          <w:tcPr>
            <w:tcW w:w="5605" w:type="dxa"/>
            <w:vAlign w:val="center"/>
          </w:tcPr>
          <w:p>
            <w:pPr>
              <w:spacing w:line="460" w:lineRule="exact"/>
              <w:rPr>
                <w:rFonts w:hint="eastAsia" w:ascii="宋体" w:hAnsi="宋体" w:eastAsia="宋体" w:cs="宋体"/>
                <w:color w:val="auto"/>
                <w:highlight w:val="none"/>
                <w:lang w:eastAsia="zh-CN"/>
              </w:rPr>
            </w:pPr>
            <w:r>
              <w:rPr>
                <w:rFonts w:hint="eastAsia" w:ascii="宋体" w:hAnsi="宋体" w:eastAsia="宋体" w:cs="宋体"/>
                <w:color w:val="auto"/>
                <w:szCs w:val="21"/>
                <w:highlight w:val="none"/>
              </w:rPr>
              <w:t>本次招标要求投标人须满足《中华人民共和国政府采购法》第二十二条的规定。一标段至</w:t>
            </w:r>
            <w:r>
              <w:rPr>
                <w:rFonts w:hint="eastAsia" w:ascii="宋体" w:hAnsi="宋体" w:eastAsia="宋体" w:cs="宋体"/>
                <w:color w:val="auto"/>
                <w:szCs w:val="21"/>
                <w:highlight w:val="none"/>
                <w:lang w:eastAsia="zh-CN"/>
              </w:rPr>
              <w:t>十五</w:t>
            </w:r>
            <w:r>
              <w:rPr>
                <w:rFonts w:hint="eastAsia" w:ascii="宋体" w:hAnsi="宋体" w:eastAsia="宋体" w:cs="宋体"/>
                <w:color w:val="auto"/>
                <w:szCs w:val="21"/>
                <w:highlight w:val="none"/>
              </w:rPr>
              <w:t>标段投标人资格要求均为：投标人需具备水利工程施工总承包叁级以上（含叁级）资质或市政公用工程施工总承包叁级以上（含叁级）资质，并在人员、设备、资金等方面具有相应的施工能力</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03" w:type="dxa"/>
            <w:vMerge w:val="continue"/>
            <w:vAlign w:val="center"/>
          </w:tcPr>
          <w:p>
            <w:pPr>
              <w:spacing w:line="360" w:lineRule="auto"/>
              <w:jc w:val="center"/>
              <w:rPr>
                <w:rFonts w:hint="eastAsia" w:ascii="宋体" w:hAnsi="宋体" w:eastAsia="宋体" w:cs="宋体"/>
                <w:color w:val="auto"/>
                <w:szCs w:val="21"/>
                <w:highlight w:val="none"/>
              </w:rPr>
            </w:pPr>
          </w:p>
        </w:tc>
        <w:tc>
          <w:tcPr>
            <w:tcW w:w="634" w:type="dxa"/>
            <w:vMerge w:val="continue"/>
            <w:vAlign w:val="center"/>
          </w:tcPr>
          <w:p>
            <w:pPr>
              <w:spacing w:line="360" w:lineRule="auto"/>
              <w:rPr>
                <w:rFonts w:hint="eastAsia" w:ascii="宋体" w:hAnsi="宋体" w:eastAsia="宋体" w:cs="宋体"/>
                <w:color w:val="auto"/>
                <w:szCs w:val="21"/>
                <w:highlight w:val="none"/>
              </w:rPr>
            </w:pPr>
          </w:p>
        </w:tc>
        <w:tc>
          <w:tcPr>
            <w:tcW w:w="1007" w:type="dxa"/>
            <w:vMerge w:val="continue"/>
            <w:vAlign w:val="center"/>
          </w:tcPr>
          <w:p>
            <w:pPr>
              <w:spacing w:line="360" w:lineRule="auto"/>
              <w:jc w:val="center"/>
              <w:rPr>
                <w:rFonts w:hint="eastAsia" w:ascii="宋体" w:hAnsi="宋体" w:eastAsia="宋体" w:cs="宋体"/>
                <w:color w:val="auto"/>
                <w:szCs w:val="21"/>
                <w:highlight w:val="none"/>
              </w:rPr>
            </w:pPr>
          </w:p>
        </w:tc>
        <w:tc>
          <w:tcPr>
            <w:tcW w:w="2200" w:type="dxa"/>
            <w:gridSpan w:val="2"/>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项目经理</w:t>
            </w:r>
          </w:p>
        </w:tc>
        <w:tc>
          <w:tcPr>
            <w:tcW w:w="5605" w:type="dxa"/>
            <w:vAlign w:val="center"/>
          </w:tcPr>
          <w:p>
            <w:pPr>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项目经理：</w:t>
            </w:r>
          </w:p>
          <w:p>
            <w:pPr>
              <w:pStyle w:val="188"/>
              <w:keepNext w:val="0"/>
              <w:keepLines w:val="0"/>
              <w:pageBreakBefore w:val="0"/>
              <w:widowControl/>
              <w:kinsoku/>
              <w:wordWrap/>
              <w:overflowPunct/>
              <w:topLinePunct w:val="0"/>
              <w:autoSpaceDE/>
              <w:autoSpaceDN/>
              <w:bidi w:val="0"/>
              <w:adjustRightInd/>
              <w:snapToGrid/>
              <w:spacing w:line="440" w:lineRule="exact"/>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kern w:val="0"/>
                <w:sz w:val="21"/>
                <w:szCs w:val="21"/>
                <w:highlight w:val="none"/>
                <w:lang w:val="en-US" w:eastAsia="zh-CN" w:bidi="ar-SA"/>
              </w:rPr>
              <w:t>一标段至十五标段拟派项目经理资格要求均为：投标人拟派项目经理需具备水利工程专业二级以上（含二级）或市政公用工程二级以上（含二级）注册建造师资格，具备有效的安全生产考核合格证书（B类），本项目不接受有在建项目、已中标未开工项目或已列为其他项目中标候选人第一名的建造师作为项目经理（符合桂建管﹝2013﹞17号和桂建管﹝2014﹞25号文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03" w:type="dxa"/>
            <w:vMerge w:val="continue"/>
            <w:vAlign w:val="center"/>
          </w:tcPr>
          <w:p>
            <w:pPr>
              <w:spacing w:line="360" w:lineRule="auto"/>
              <w:jc w:val="center"/>
              <w:rPr>
                <w:rFonts w:hint="eastAsia" w:ascii="宋体" w:hAnsi="宋体" w:eastAsia="宋体" w:cs="宋体"/>
                <w:color w:val="auto"/>
                <w:szCs w:val="21"/>
                <w:highlight w:val="none"/>
              </w:rPr>
            </w:pPr>
          </w:p>
        </w:tc>
        <w:tc>
          <w:tcPr>
            <w:tcW w:w="634" w:type="dxa"/>
            <w:vMerge w:val="continue"/>
            <w:vAlign w:val="center"/>
          </w:tcPr>
          <w:p>
            <w:pPr>
              <w:spacing w:line="360" w:lineRule="auto"/>
              <w:rPr>
                <w:rFonts w:hint="eastAsia" w:ascii="宋体" w:hAnsi="宋体" w:eastAsia="宋体" w:cs="宋体"/>
                <w:color w:val="auto"/>
                <w:szCs w:val="21"/>
                <w:highlight w:val="none"/>
              </w:rPr>
            </w:pPr>
          </w:p>
        </w:tc>
        <w:tc>
          <w:tcPr>
            <w:tcW w:w="1007" w:type="dxa"/>
            <w:vMerge w:val="continue"/>
            <w:vAlign w:val="center"/>
          </w:tcPr>
          <w:p>
            <w:pPr>
              <w:spacing w:line="360" w:lineRule="auto"/>
              <w:jc w:val="center"/>
              <w:rPr>
                <w:rFonts w:hint="eastAsia" w:ascii="宋体" w:hAnsi="宋体" w:eastAsia="宋体" w:cs="宋体"/>
                <w:color w:val="auto"/>
                <w:szCs w:val="21"/>
                <w:highlight w:val="none"/>
              </w:rPr>
            </w:pPr>
          </w:p>
        </w:tc>
        <w:tc>
          <w:tcPr>
            <w:tcW w:w="2200" w:type="dxa"/>
            <w:gridSpan w:val="2"/>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类似项目业绩</w:t>
            </w:r>
          </w:p>
        </w:tc>
        <w:tc>
          <w:tcPr>
            <w:tcW w:w="5605" w:type="dxa"/>
            <w:vAlign w:val="center"/>
          </w:tcPr>
          <w:p>
            <w:pPr>
              <w:spacing w:line="460" w:lineRule="exact"/>
              <w:rPr>
                <w:rFonts w:hint="eastAsia" w:ascii="宋体" w:hAnsi="宋体" w:eastAsia="宋体" w:cs="宋体"/>
                <w:color w:val="auto"/>
                <w:highlight w:val="none"/>
                <w:lang w:eastAsia="zh-CN"/>
              </w:rPr>
            </w:pPr>
            <w:r>
              <w:rPr>
                <w:rFonts w:hint="eastAsia" w:ascii="宋体" w:hAnsi="宋体" w:eastAsia="宋体" w:cs="宋体"/>
                <w:color w:val="auto"/>
                <w:szCs w:val="21"/>
                <w:highlight w:val="none"/>
              </w:rPr>
              <w:t>业绩要求：</w:t>
            </w:r>
            <w:r>
              <w:rPr>
                <w:rFonts w:hint="eastAsia" w:ascii="宋体" w:hAnsi="宋体" w:eastAsia="宋体" w:cs="宋体"/>
                <w:color w:val="auto"/>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Merge w:val="continue"/>
            <w:vAlign w:val="center"/>
          </w:tcPr>
          <w:p>
            <w:pPr>
              <w:spacing w:line="360" w:lineRule="auto"/>
              <w:jc w:val="center"/>
              <w:rPr>
                <w:rFonts w:hint="eastAsia" w:ascii="宋体" w:hAnsi="宋体" w:eastAsia="宋体" w:cs="宋体"/>
                <w:color w:val="auto"/>
                <w:szCs w:val="21"/>
                <w:highlight w:val="none"/>
              </w:rPr>
            </w:pPr>
          </w:p>
        </w:tc>
        <w:tc>
          <w:tcPr>
            <w:tcW w:w="634" w:type="dxa"/>
            <w:vMerge w:val="continue"/>
            <w:vAlign w:val="center"/>
          </w:tcPr>
          <w:p>
            <w:pPr>
              <w:spacing w:line="360" w:lineRule="auto"/>
              <w:rPr>
                <w:rFonts w:hint="eastAsia" w:ascii="宋体" w:hAnsi="宋体" w:eastAsia="宋体" w:cs="宋体"/>
                <w:color w:val="auto"/>
                <w:szCs w:val="21"/>
                <w:highlight w:val="none"/>
              </w:rPr>
            </w:pPr>
          </w:p>
        </w:tc>
        <w:tc>
          <w:tcPr>
            <w:tcW w:w="1007" w:type="dxa"/>
            <w:vMerge w:val="continue"/>
            <w:vAlign w:val="center"/>
          </w:tcPr>
          <w:p>
            <w:pPr>
              <w:spacing w:line="360" w:lineRule="auto"/>
              <w:jc w:val="center"/>
              <w:rPr>
                <w:rFonts w:hint="eastAsia" w:ascii="宋体" w:hAnsi="宋体" w:eastAsia="宋体" w:cs="宋体"/>
                <w:color w:val="auto"/>
                <w:szCs w:val="21"/>
                <w:highlight w:val="none"/>
              </w:rPr>
            </w:pPr>
          </w:p>
        </w:tc>
        <w:tc>
          <w:tcPr>
            <w:tcW w:w="2200" w:type="dxa"/>
            <w:gridSpan w:val="2"/>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财务状况</w:t>
            </w:r>
          </w:p>
        </w:tc>
        <w:tc>
          <w:tcPr>
            <w:tcW w:w="560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近三年（201</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～201</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年）经审计的财务报表。(对于从取得营业执照时间起到投标截止时间为止不足要求年数的企业，只需提交企业取得营业执照年份至所要求最近年份经审计的财务报表)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03" w:type="dxa"/>
            <w:vMerge w:val="continue"/>
            <w:vAlign w:val="center"/>
          </w:tcPr>
          <w:p>
            <w:pPr>
              <w:spacing w:line="360" w:lineRule="auto"/>
              <w:jc w:val="center"/>
              <w:rPr>
                <w:rFonts w:hint="eastAsia" w:ascii="宋体" w:hAnsi="宋体" w:eastAsia="宋体" w:cs="宋体"/>
                <w:color w:val="auto"/>
                <w:szCs w:val="21"/>
                <w:highlight w:val="none"/>
              </w:rPr>
            </w:pPr>
          </w:p>
        </w:tc>
        <w:tc>
          <w:tcPr>
            <w:tcW w:w="634" w:type="dxa"/>
            <w:vMerge w:val="continue"/>
            <w:vAlign w:val="center"/>
          </w:tcPr>
          <w:p>
            <w:pPr>
              <w:spacing w:line="360" w:lineRule="auto"/>
              <w:rPr>
                <w:rFonts w:hint="eastAsia" w:ascii="宋体" w:hAnsi="宋体" w:eastAsia="宋体" w:cs="宋体"/>
                <w:color w:val="auto"/>
                <w:szCs w:val="21"/>
                <w:highlight w:val="none"/>
              </w:rPr>
            </w:pPr>
          </w:p>
        </w:tc>
        <w:tc>
          <w:tcPr>
            <w:tcW w:w="1007" w:type="dxa"/>
            <w:vMerge w:val="continue"/>
            <w:vAlign w:val="center"/>
          </w:tcPr>
          <w:p>
            <w:pPr>
              <w:spacing w:line="360" w:lineRule="auto"/>
              <w:jc w:val="center"/>
              <w:rPr>
                <w:rFonts w:hint="eastAsia" w:ascii="宋体" w:hAnsi="宋体" w:eastAsia="宋体" w:cs="宋体"/>
                <w:color w:val="auto"/>
                <w:szCs w:val="21"/>
                <w:highlight w:val="none"/>
              </w:rPr>
            </w:pPr>
          </w:p>
        </w:tc>
        <w:tc>
          <w:tcPr>
            <w:tcW w:w="2200" w:type="dxa"/>
            <w:gridSpan w:val="2"/>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投标保证金</w:t>
            </w:r>
          </w:p>
        </w:tc>
        <w:tc>
          <w:tcPr>
            <w:tcW w:w="5605"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有投标保证金银行转账单、加盖投标人公章的转帐底单、基本账户开户许可证复印件或基本存款账户信息复印件，且符合第二章“投标人须知”第3.4.1项规定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03" w:type="dxa"/>
            <w:vMerge w:val="continue"/>
            <w:vAlign w:val="center"/>
          </w:tcPr>
          <w:p>
            <w:pPr>
              <w:spacing w:line="360" w:lineRule="auto"/>
              <w:jc w:val="center"/>
              <w:rPr>
                <w:rFonts w:hint="eastAsia" w:ascii="宋体" w:hAnsi="宋体" w:eastAsia="宋体" w:cs="宋体"/>
                <w:color w:val="auto"/>
                <w:szCs w:val="21"/>
                <w:highlight w:val="none"/>
              </w:rPr>
            </w:pPr>
          </w:p>
        </w:tc>
        <w:tc>
          <w:tcPr>
            <w:tcW w:w="634" w:type="dxa"/>
            <w:vMerge w:val="continue"/>
            <w:vAlign w:val="center"/>
          </w:tcPr>
          <w:p>
            <w:pPr>
              <w:spacing w:line="360" w:lineRule="auto"/>
              <w:rPr>
                <w:rFonts w:hint="eastAsia" w:ascii="宋体" w:hAnsi="宋体" w:eastAsia="宋体" w:cs="宋体"/>
                <w:color w:val="auto"/>
                <w:szCs w:val="21"/>
                <w:highlight w:val="none"/>
              </w:rPr>
            </w:pPr>
          </w:p>
        </w:tc>
        <w:tc>
          <w:tcPr>
            <w:tcW w:w="1007" w:type="dxa"/>
            <w:vAlign w:val="center"/>
          </w:tcPr>
          <w:p>
            <w:pPr>
              <w:spacing w:line="360" w:lineRule="auto"/>
              <w:jc w:val="center"/>
              <w:rPr>
                <w:rFonts w:hint="eastAsia" w:ascii="宋体" w:hAnsi="宋体" w:eastAsia="宋体" w:cs="宋体"/>
                <w:color w:val="auto"/>
                <w:szCs w:val="21"/>
                <w:highlight w:val="none"/>
              </w:rPr>
            </w:pPr>
          </w:p>
        </w:tc>
        <w:tc>
          <w:tcPr>
            <w:tcW w:w="2200" w:type="dxa"/>
            <w:gridSpan w:val="2"/>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bCs/>
                <w:color w:val="auto"/>
                <w:highlight w:val="none"/>
              </w:rPr>
              <w:t>诚信要求</w:t>
            </w:r>
          </w:p>
        </w:tc>
        <w:tc>
          <w:tcPr>
            <w:tcW w:w="5605" w:type="dxa"/>
            <w:vAlign w:val="center"/>
          </w:tcPr>
          <w:p>
            <w:pPr>
              <w:spacing w:line="4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在最近一年(开标之日前一年)内无骗取中标或重大安全事故或重大工程质量事故或停业处罚记录。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803" w:type="dxa"/>
            <w:vMerge w:val="continue"/>
            <w:vAlign w:val="center"/>
          </w:tcPr>
          <w:p>
            <w:pPr>
              <w:spacing w:line="360" w:lineRule="auto"/>
              <w:jc w:val="center"/>
              <w:rPr>
                <w:rFonts w:hint="eastAsia" w:ascii="宋体" w:hAnsi="宋体" w:eastAsia="宋体" w:cs="宋体"/>
                <w:color w:val="auto"/>
                <w:szCs w:val="21"/>
                <w:highlight w:val="none"/>
              </w:rPr>
            </w:pPr>
          </w:p>
        </w:tc>
        <w:tc>
          <w:tcPr>
            <w:tcW w:w="634" w:type="dxa"/>
            <w:vMerge w:val="continue"/>
            <w:vAlign w:val="center"/>
          </w:tcPr>
          <w:p>
            <w:pPr>
              <w:spacing w:line="360" w:lineRule="auto"/>
              <w:rPr>
                <w:rFonts w:hint="eastAsia" w:ascii="宋体" w:hAnsi="宋体" w:eastAsia="宋体" w:cs="宋体"/>
                <w:color w:val="auto"/>
                <w:szCs w:val="21"/>
                <w:highlight w:val="none"/>
              </w:rPr>
            </w:pPr>
          </w:p>
        </w:tc>
        <w:tc>
          <w:tcPr>
            <w:tcW w:w="1007" w:type="dxa"/>
            <w:vAlign w:val="center"/>
          </w:tcPr>
          <w:p>
            <w:pPr>
              <w:spacing w:line="360" w:lineRule="auto"/>
              <w:jc w:val="center"/>
              <w:rPr>
                <w:rFonts w:hint="eastAsia" w:ascii="宋体" w:hAnsi="宋体" w:eastAsia="宋体" w:cs="宋体"/>
                <w:color w:val="auto"/>
                <w:szCs w:val="21"/>
                <w:highlight w:val="none"/>
              </w:rPr>
            </w:pPr>
          </w:p>
        </w:tc>
        <w:tc>
          <w:tcPr>
            <w:tcW w:w="2200" w:type="dxa"/>
            <w:gridSpan w:val="2"/>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Cs w:val="21"/>
                <w:highlight w:val="none"/>
              </w:rPr>
              <w:t>其他要求</w:t>
            </w:r>
          </w:p>
        </w:tc>
        <w:tc>
          <w:tcPr>
            <w:tcW w:w="5605" w:type="dxa"/>
            <w:vAlign w:val="center"/>
          </w:tcPr>
          <w:p>
            <w:pPr>
              <w:pStyle w:val="37"/>
              <w:numPr>
                <w:ilvl w:val="0"/>
                <w:numId w:val="0"/>
              </w:numPr>
              <w:spacing w:before="0" w:beforeAutospacing="0" w:after="0" w:afterAutospacing="0" w:line="46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1.本项目评标顺序为一标段→十</w:t>
            </w:r>
            <w:r>
              <w:rPr>
                <w:rFonts w:hint="eastAsia" w:ascii="宋体" w:hAnsi="宋体" w:eastAsia="宋体" w:cs="宋体"/>
                <w:color w:val="auto"/>
                <w:sz w:val="21"/>
                <w:szCs w:val="21"/>
                <w:highlight w:val="none"/>
                <w:lang w:eastAsia="zh-CN"/>
              </w:rPr>
              <w:t>五</w:t>
            </w:r>
            <w:r>
              <w:rPr>
                <w:rFonts w:hint="eastAsia" w:ascii="宋体" w:hAnsi="宋体" w:eastAsia="宋体" w:cs="宋体"/>
                <w:color w:val="auto"/>
                <w:sz w:val="21"/>
                <w:szCs w:val="21"/>
                <w:highlight w:val="none"/>
              </w:rPr>
              <w:t>标段，为了保证工程质量及建设时间，各投标人可参加本项目中任意</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个标段进行投标，最多可同时中2个标段。投标人应就不同标段派出不同的项目经理和项目专职安全员，否则同一项目经理或项目专职安全员所投其它标段作否决投标处理（符合桂建管﹝2013﹞17号和桂建管﹝2014﹞25号文除外）。</w:t>
            </w:r>
          </w:p>
          <w:p>
            <w:pPr>
              <w:pStyle w:val="37"/>
              <w:numPr>
                <w:ilvl w:val="0"/>
                <w:numId w:val="0"/>
              </w:numPr>
              <w:spacing w:before="0" w:beforeAutospacing="0" w:after="0" w:afterAutospacing="0" w:line="46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2.投标人不得为“列入失信被执行人”、“ 重大税收违法案件当事人名单”、“政府采购严重违法失信行为记录名单”。</w:t>
            </w:r>
          </w:p>
          <w:p>
            <w:pPr>
              <w:pStyle w:val="37"/>
              <w:numPr>
                <w:ilvl w:val="0"/>
                <w:numId w:val="0"/>
              </w:numPr>
              <w:spacing w:before="0" w:beforeAutospacing="0" w:after="0" w:afterAutospacing="0" w:line="460" w:lineRule="exact"/>
              <w:jc w:val="both"/>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 符合第二章“投标人须知”3.1.1  资格审查部分内容要求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03" w:type="dxa"/>
            <w:vMerge w:val="restar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2.1.2</w:t>
            </w:r>
          </w:p>
        </w:tc>
        <w:tc>
          <w:tcPr>
            <w:tcW w:w="1641" w:type="dxa"/>
            <w:gridSpan w:val="2"/>
            <w:vMerge w:val="restar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形式性评审标准</w:t>
            </w:r>
          </w:p>
        </w:tc>
        <w:tc>
          <w:tcPr>
            <w:tcW w:w="2200" w:type="dxa"/>
            <w:gridSpan w:val="2"/>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w:t>
            </w:r>
          </w:p>
        </w:tc>
        <w:tc>
          <w:tcPr>
            <w:tcW w:w="5605"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2200" w:type="dxa"/>
            <w:gridSpan w:val="2"/>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投标函签字盖章</w:t>
            </w:r>
          </w:p>
        </w:tc>
        <w:tc>
          <w:tcPr>
            <w:tcW w:w="5605"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法定代表人或其委托代理人签字及加盖单位章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2200" w:type="dxa"/>
            <w:gridSpan w:val="2"/>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投标文件格式</w:t>
            </w:r>
          </w:p>
        </w:tc>
        <w:tc>
          <w:tcPr>
            <w:tcW w:w="5605"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2200" w:type="dxa"/>
            <w:gridSpan w:val="2"/>
            <w:vAlign w:val="center"/>
          </w:tcPr>
          <w:p>
            <w:pPr>
              <w:ind w:left="210" w:hanging="210" w:hanging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联合体投标人（如有）</w:t>
            </w:r>
          </w:p>
        </w:tc>
        <w:tc>
          <w:tcPr>
            <w:tcW w:w="5605"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2200" w:type="dxa"/>
            <w:gridSpan w:val="2"/>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报价唯一</w:t>
            </w:r>
          </w:p>
        </w:tc>
        <w:tc>
          <w:tcPr>
            <w:tcW w:w="5605"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每个标段只能有一个有效报价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803" w:type="dxa"/>
            <w:vMerge w:val="restar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2.1.3</w:t>
            </w:r>
          </w:p>
        </w:tc>
        <w:tc>
          <w:tcPr>
            <w:tcW w:w="1641" w:type="dxa"/>
            <w:gridSpan w:val="2"/>
            <w:vMerge w:val="restar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 应 性</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评审标准</w:t>
            </w:r>
          </w:p>
        </w:tc>
        <w:tc>
          <w:tcPr>
            <w:tcW w:w="2200" w:type="dxa"/>
            <w:gridSpan w:val="2"/>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投标内容</w:t>
            </w:r>
          </w:p>
        </w:tc>
        <w:tc>
          <w:tcPr>
            <w:tcW w:w="5605"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2200" w:type="dxa"/>
            <w:gridSpan w:val="2"/>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工期</w:t>
            </w:r>
          </w:p>
        </w:tc>
        <w:tc>
          <w:tcPr>
            <w:tcW w:w="5605"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2200" w:type="dxa"/>
            <w:gridSpan w:val="2"/>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工程质量</w:t>
            </w:r>
          </w:p>
        </w:tc>
        <w:tc>
          <w:tcPr>
            <w:tcW w:w="5605"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2200" w:type="dxa"/>
            <w:gridSpan w:val="2"/>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投标有效期</w:t>
            </w:r>
          </w:p>
        </w:tc>
        <w:tc>
          <w:tcPr>
            <w:tcW w:w="5605"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2200" w:type="dxa"/>
            <w:gridSpan w:val="2"/>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权利义务</w:t>
            </w:r>
          </w:p>
        </w:tc>
        <w:tc>
          <w:tcPr>
            <w:tcW w:w="5605"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2200" w:type="dxa"/>
            <w:gridSpan w:val="2"/>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技术标准和要求</w:t>
            </w:r>
          </w:p>
        </w:tc>
        <w:tc>
          <w:tcPr>
            <w:tcW w:w="5605"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2200" w:type="dxa"/>
            <w:gridSpan w:val="2"/>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投标价格</w:t>
            </w:r>
          </w:p>
        </w:tc>
        <w:tc>
          <w:tcPr>
            <w:tcW w:w="5605"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低于（含等于）第二章“投标人须知”前附表第10.2款载明的招标控制价。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2200" w:type="dxa"/>
            <w:gridSpan w:val="2"/>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分包计划</w:t>
            </w:r>
          </w:p>
        </w:tc>
        <w:tc>
          <w:tcPr>
            <w:tcW w:w="5605"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符合第二章“投标人须知”第1.11款规定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03"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2.2</w:t>
            </w:r>
          </w:p>
        </w:tc>
        <w:tc>
          <w:tcPr>
            <w:tcW w:w="1641" w:type="dxa"/>
            <w:gridSpan w:val="2"/>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条款号</w:t>
            </w:r>
          </w:p>
        </w:tc>
        <w:tc>
          <w:tcPr>
            <w:tcW w:w="2200" w:type="dxa"/>
            <w:gridSpan w:val="2"/>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条款内容</w:t>
            </w:r>
          </w:p>
        </w:tc>
        <w:tc>
          <w:tcPr>
            <w:tcW w:w="5605"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803" w:type="dxa"/>
            <w:vMerge w:val="restart"/>
            <w:vAlign w:val="center"/>
          </w:tcPr>
          <w:p>
            <w:pPr>
              <w:jc w:val="center"/>
              <w:rPr>
                <w:rFonts w:hint="eastAsia" w:ascii="宋体" w:hAnsi="宋体" w:eastAsia="宋体" w:cs="宋体"/>
                <w:b/>
                <w:color w:val="auto"/>
                <w:szCs w:val="21"/>
                <w:highlight w:val="none"/>
              </w:rPr>
            </w:pPr>
          </w:p>
          <w:p>
            <w:pPr>
              <w:jc w:val="center"/>
              <w:rPr>
                <w:rFonts w:hint="eastAsia" w:ascii="宋体" w:hAnsi="宋体" w:eastAsia="宋体" w:cs="宋体"/>
                <w:b/>
                <w:color w:val="auto"/>
                <w:szCs w:val="21"/>
                <w:highlight w:val="none"/>
              </w:rPr>
            </w:pPr>
          </w:p>
          <w:p>
            <w:pPr>
              <w:jc w:val="center"/>
              <w:rPr>
                <w:rFonts w:hint="eastAsia" w:ascii="宋体" w:hAnsi="宋体" w:eastAsia="宋体" w:cs="宋体"/>
                <w:b/>
                <w:color w:val="auto"/>
                <w:szCs w:val="21"/>
                <w:highlight w:val="none"/>
              </w:rPr>
            </w:pPr>
          </w:p>
          <w:p>
            <w:pPr>
              <w:jc w:val="center"/>
              <w:rPr>
                <w:rFonts w:hint="eastAsia" w:ascii="宋体" w:hAnsi="宋体" w:eastAsia="宋体" w:cs="宋体"/>
                <w:b/>
                <w:color w:val="auto"/>
                <w:szCs w:val="21"/>
                <w:highlight w:val="none"/>
              </w:rPr>
            </w:pPr>
          </w:p>
          <w:p>
            <w:pPr>
              <w:jc w:val="center"/>
              <w:rPr>
                <w:rFonts w:hint="eastAsia" w:ascii="宋体" w:hAnsi="宋体" w:eastAsia="宋体" w:cs="宋体"/>
                <w:b/>
                <w:color w:val="auto"/>
                <w:szCs w:val="21"/>
                <w:highlight w:val="none"/>
              </w:rPr>
            </w:pPr>
          </w:p>
          <w:p>
            <w:pPr>
              <w:jc w:val="center"/>
              <w:rPr>
                <w:rFonts w:hint="eastAsia" w:ascii="宋体" w:hAnsi="宋体" w:eastAsia="宋体" w:cs="宋体"/>
                <w:b/>
                <w:color w:val="auto"/>
                <w:szCs w:val="21"/>
                <w:highlight w:val="none"/>
              </w:rPr>
            </w:pPr>
          </w:p>
          <w:p>
            <w:pPr>
              <w:jc w:val="center"/>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2.2.1</w:t>
            </w:r>
          </w:p>
        </w:tc>
        <w:tc>
          <w:tcPr>
            <w:tcW w:w="1641" w:type="dxa"/>
            <w:gridSpan w:val="2"/>
            <w:vMerge w:val="restart"/>
            <w:vAlign w:val="center"/>
          </w:tcPr>
          <w:p>
            <w:pPr>
              <w:spacing w:line="360" w:lineRule="auto"/>
              <w:jc w:val="center"/>
              <w:rPr>
                <w:rFonts w:hint="eastAsia" w:ascii="宋体" w:hAnsi="宋体" w:eastAsia="宋体" w:cs="宋体"/>
                <w:color w:val="auto"/>
                <w:szCs w:val="21"/>
                <w:highlight w:val="none"/>
              </w:rPr>
            </w:pPr>
          </w:p>
          <w:p>
            <w:pPr>
              <w:spacing w:line="360" w:lineRule="auto"/>
              <w:jc w:val="center"/>
              <w:rPr>
                <w:rFonts w:hint="eastAsia" w:ascii="宋体" w:hAnsi="宋体" w:eastAsia="宋体" w:cs="宋体"/>
                <w:color w:val="auto"/>
                <w:szCs w:val="21"/>
                <w:highlight w:val="none"/>
              </w:rPr>
            </w:pPr>
          </w:p>
          <w:p>
            <w:pPr>
              <w:spacing w:line="360" w:lineRule="auto"/>
              <w:jc w:val="center"/>
              <w:rPr>
                <w:rFonts w:hint="eastAsia" w:ascii="宋体" w:hAnsi="宋体" w:eastAsia="宋体" w:cs="宋体"/>
                <w:color w:val="auto"/>
                <w:szCs w:val="21"/>
                <w:highlight w:val="none"/>
              </w:rPr>
            </w:pPr>
          </w:p>
          <w:p>
            <w:pPr>
              <w:spacing w:line="360" w:lineRule="auto"/>
              <w:jc w:val="center"/>
              <w:rPr>
                <w:rFonts w:hint="eastAsia" w:ascii="宋体" w:hAnsi="宋体" w:eastAsia="宋体" w:cs="宋体"/>
                <w:color w:val="auto"/>
                <w:szCs w:val="21"/>
                <w:highlight w:val="none"/>
              </w:rPr>
            </w:pPr>
          </w:p>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技术标</w:t>
            </w:r>
          </w:p>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评分标准</w:t>
            </w:r>
          </w:p>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（满分</w:t>
            </w:r>
            <w:r>
              <w:rPr>
                <w:rFonts w:hint="eastAsia" w:ascii="宋体" w:hAnsi="宋体" w:eastAsia="宋体" w:cs="宋体"/>
                <w:color w:val="auto"/>
                <w:szCs w:val="21"/>
                <w:highlight w:val="none"/>
                <w:u w:val="single"/>
                <w:lang w:val="en-US" w:eastAsia="zh-CN"/>
              </w:rPr>
              <w:t>70分</w:t>
            </w:r>
            <w:r>
              <w:rPr>
                <w:rFonts w:hint="eastAsia" w:ascii="宋体" w:hAnsi="宋体" w:eastAsia="宋体" w:cs="宋体"/>
                <w:color w:val="auto"/>
                <w:szCs w:val="21"/>
                <w:highlight w:val="none"/>
              </w:rPr>
              <w:t>）</w:t>
            </w:r>
          </w:p>
          <w:p>
            <w:pPr>
              <w:spacing w:line="360" w:lineRule="auto"/>
              <w:jc w:val="center"/>
              <w:rPr>
                <w:rFonts w:hint="eastAsia" w:ascii="宋体" w:hAnsi="宋体" w:eastAsia="宋体" w:cs="宋体"/>
                <w:color w:val="auto"/>
                <w:szCs w:val="21"/>
                <w:highlight w:val="none"/>
              </w:rPr>
            </w:pPr>
          </w:p>
          <w:p>
            <w:pPr>
              <w:spacing w:line="360" w:lineRule="auto"/>
              <w:jc w:val="center"/>
              <w:rPr>
                <w:rFonts w:hint="eastAsia" w:ascii="宋体" w:hAnsi="宋体" w:eastAsia="宋体" w:cs="宋体"/>
                <w:color w:val="auto"/>
                <w:szCs w:val="21"/>
                <w:highlight w:val="none"/>
              </w:rPr>
            </w:pPr>
          </w:p>
          <w:p>
            <w:pPr>
              <w:spacing w:line="360" w:lineRule="auto"/>
              <w:jc w:val="cente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tc>
        <w:tc>
          <w:tcPr>
            <w:tcW w:w="7805" w:type="dxa"/>
            <w:gridSpan w:val="3"/>
            <w:vAlign w:val="center"/>
          </w:tcPr>
          <w:p>
            <w:pPr>
              <w:spacing w:line="360" w:lineRule="exact"/>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技术标得分=项目管理机构得分+施工组织设计得分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rPr>
                <w:rFonts w:hint="eastAsia" w:ascii="宋体" w:hAnsi="宋体" w:eastAsia="宋体" w:cs="宋体"/>
                <w:color w:val="auto"/>
                <w:szCs w:val="21"/>
                <w:highlight w:val="none"/>
              </w:rPr>
            </w:pPr>
          </w:p>
        </w:tc>
        <w:tc>
          <w:tcPr>
            <w:tcW w:w="1012" w:type="dxa"/>
            <w:vMerge w:val="restart"/>
            <w:vAlign w:val="center"/>
          </w:tcPr>
          <w:p>
            <w:pPr>
              <w:pStyle w:val="16"/>
              <w:jc w:val="center"/>
              <w:rPr>
                <w:rFonts w:hint="eastAsia" w:ascii="宋体" w:hAnsi="宋体" w:eastAsia="宋体" w:cs="宋体"/>
                <w:color w:val="auto"/>
                <w:kern w:val="2"/>
                <w:sz w:val="21"/>
                <w:highlight w:val="none"/>
              </w:rPr>
            </w:pPr>
            <w:r>
              <w:rPr>
                <w:rFonts w:hint="eastAsia" w:ascii="宋体" w:hAnsi="宋体" w:eastAsia="宋体" w:cs="宋体"/>
                <w:color w:val="auto"/>
                <w:szCs w:val="21"/>
                <w:highlight w:val="none"/>
              </w:rPr>
              <w:t>项目管理机构（</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分）</w:t>
            </w:r>
          </w:p>
        </w:tc>
        <w:tc>
          <w:tcPr>
            <w:tcW w:w="1188" w:type="dxa"/>
            <w:vAlign w:val="top"/>
          </w:tcPr>
          <w:p>
            <w:pPr>
              <w:widowControl/>
              <w:spacing w:line="400" w:lineRule="exact"/>
              <w:rPr>
                <w:rFonts w:hint="eastAsia" w:ascii="宋体" w:hAnsi="宋体" w:eastAsia="宋体" w:cs="宋体"/>
                <w:color w:val="auto"/>
                <w:kern w:val="2"/>
                <w:sz w:val="21"/>
                <w:highlight w:val="none"/>
              </w:rPr>
            </w:pPr>
            <w:r>
              <w:rPr>
                <w:rFonts w:hint="eastAsia" w:ascii="宋体" w:hAnsi="宋体" w:eastAsia="宋体" w:cs="宋体"/>
                <w:color w:val="auto"/>
                <w:highlight w:val="none"/>
              </w:rPr>
              <w:t>项目经理任职资格与业绩、工作经历等（0~</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分）</w:t>
            </w:r>
          </w:p>
        </w:tc>
        <w:tc>
          <w:tcPr>
            <w:tcW w:w="5605" w:type="dxa"/>
            <w:vAlign w:val="top"/>
          </w:tcPr>
          <w:p>
            <w:pPr>
              <w:widowControl/>
              <w:spacing w:line="400" w:lineRule="exact"/>
              <w:rPr>
                <w:rFonts w:hint="eastAsia" w:ascii="宋体" w:hAnsi="宋体" w:eastAsia="宋体" w:cs="宋体"/>
                <w:color w:val="auto"/>
                <w:kern w:val="2"/>
                <w:sz w:val="21"/>
                <w:szCs w:val="21"/>
                <w:highlight w:val="none"/>
              </w:rPr>
            </w:pPr>
            <w:r>
              <w:rPr>
                <w:rFonts w:hint="eastAsia" w:ascii="宋体" w:hAnsi="宋体" w:eastAsia="宋体" w:cs="宋体"/>
                <w:color w:val="auto"/>
                <w:highlight w:val="none"/>
              </w:rPr>
              <w:t>拟投入本工程的项目经理具有中级及以上职称的得</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分，初级职称得</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分，并且与资格审查合格通过的项目经理（或注册建造师）在名称、专业、资格等级等方面一致，否则此项不得分。备注：一标段至</w:t>
            </w:r>
            <w:r>
              <w:rPr>
                <w:rFonts w:hint="eastAsia" w:ascii="宋体" w:hAnsi="宋体" w:eastAsia="宋体" w:cs="宋体"/>
                <w:color w:val="auto"/>
                <w:highlight w:val="none"/>
                <w:lang w:eastAsia="zh-CN"/>
              </w:rPr>
              <w:t>十五</w:t>
            </w:r>
            <w:r>
              <w:rPr>
                <w:rFonts w:hint="eastAsia" w:ascii="宋体" w:hAnsi="宋体" w:eastAsia="宋体" w:cs="宋体"/>
                <w:color w:val="auto"/>
                <w:highlight w:val="none"/>
              </w:rPr>
              <w:t>标段拟派项目经理必须具备水利工程专业二级以上（含二级）或市政公用工程二级以上（含二级）注册建造师执业资格，否则竞标被否决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1012" w:type="dxa"/>
            <w:vMerge w:val="continue"/>
            <w:vAlign w:val="center"/>
          </w:tcPr>
          <w:p>
            <w:pPr>
              <w:pStyle w:val="16"/>
              <w:jc w:val="center"/>
              <w:rPr>
                <w:rFonts w:hint="eastAsia" w:ascii="宋体" w:hAnsi="宋体" w:eastAsia="宋体" w:cs="宋体"/>
                <w:color w:val="auto"/>
                <w:kern w:val="2"/>
                <w:sz w:val="21"/>
                <w:highlight w:val="none"/>
              </w:rPr>
            </w:pPr>
          </w:p>
        </w:tc>
        <w:tc>
          <w:tcPr>
            <w:tcW w:w="1188" w:type="dxa"/>
            <w:vAlign w:val="center"/>
          </w:tcPr>
          <w:p>
            <w:pPr>
              <w:widowControl/>
              <w:spacing w:line="400" w:lineRule="exact"/>
              <w:jc w:val="center"/>
              <w:rPr>
                <w:rFonts w:hint="eastAsia" w:ascii="宋体" w:hAnsi="宋体" w:eastAsia="宋体" w:cs="宋体"/>
                <w:color w:val="auto"/>
                <w:kern w:val="2"/>
                <w:sz w:val="21"/>
                <w:highlight w:val="none"/>
              </w:rPr>
            </w:pPr>
            <w:r>
              <w:rPr>
                <w:rFonts w:hint="eastAsia" w:ascii="宋体" w:hAnsi="宋体" w:eastAsia="宋体" w:cs="宋体"/>
                <w:color w:val="auto"/>
                <w:highlight w:val="none"/>
              </w:rPr>
              <w:t>其他主要人员（0~</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分）</w:t>
            </w:r>
          </w:p>
        </w:tc>
        <w:tc>
          <w:tcPr>
            <w:tcW w:w="5605" w:type="dxa"/>
            <w:vAlign w:val="top"/>
          </w:tcPr>
          <w:p>
            <w:pPr>
              <w:widowControl/>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基本要求：人员齐备、专业配套应与资格审查提供的人员配备相一致，且具备相关岗位证书</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拟投入的项目管理人员符合国家及广西壮族自治区的规定</w:t>
            </w:r>
          </w:p>
          <w:p>
            <w:pPr>
              <w:widowControl/>
              <w:spacing w:line="400" w:lineRule="exact"/>
              <w:ind w:firstLine="315" w:firstLineChars="150"/>
              <w:rPr>
                <w:rFonts w:hint="eastAsia" w:ascii="宋体" w:hAnsi="宋体" w:eastAsia="宋体" w:cs="宋体"/>
                <w:color w:val="auto"/>
                <w:highlight w:val="none"/>
              </w:rPr>
            </w:pPr>
            <w:r>
              <w:rPr>
                <w:rFonts w:hint="eastAsia" w:ascii="宋体" w:hAnsi="宋体" w:eastAsia="宋体" w:cs="宋体"/>
                <w:color w:val="auto"/>
                <w:highlight w:val="none"/>
              </w:rPr>
              <w:t>优（</w:t>
            </w:r>
            <w:r>
              <w:rPr>
                <w:rFonts w:hint="eastAsia" w:ascii="宋体" w:hAnsi="宋体" w:eastAsia="宋体" w:cs="宋体"/>
                <w:color w:val="auto"/>
                <w:highlight w:val="none"/>
                <w:lang w:val="en-US" w:eastAsia="zh-CN"/>
              </w:rPr>
              <w:t>3.6</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 xml:space="preserve">分）：人员配备齐全，人员搭配合理，很好满足施工需要。 </w:t>
            </w:r>
          </w:p>
          <w:p>
            <w:pPr>
              <w:widowControl/>
              <w:spacing w:line="400" w:lineRule="exact"/>
              <w:ind w:firstLine="315" w:firstLineChars="150"/>
              <w:rPr>
                <w:rFonts w:hint="eastAsia" w:ascii="宋体" w:hAnsi="宋体" w:eastAsia="宋体" w:cs="宋体"/>
                <w:color w:val="auto"/>
                <w:highlight w:val="none"/>
              </w:rPr>
            </w:pPr>
            <w:r>
              <w:rPr>
                <w:rFonts w:hint="eastAsia" w:ascii="宋体" w:hAnsi="宋体" w:eastAsia="宋体" w:cs="宋体"/>
                <w:color w:val="auto"/>
                <w:highlight w:val="none"/>
              </w:rPr>
              <w:t>良（</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3.5</w:t>
            </w:r>
            <w:r>
              <w:rPr>
                <w:rFonts w:hint="eastAsia" w:ascii="宋体" w:hAnsi="宋体" w:eastAsia="宋体" w:cs="宋体"/>
                <w:color w:val="auto"/>
                <w:highlight w:val="none"/>
              </w:rPr>
              <w:t>分）：人员配备比较齐全，人员搭配较合理，满足施工需要。</w:t>
            </w:r>
          </w:p>
          <w:p>
            <w:pPr>
              <w:widowControl/>
              <w:spacing w:line="400" w:lineRule="exact"/>
              <w:ind w:firstLine="315" w:firstLineChars="150"/>
              <w:rPr>
                <w:rFonts w:hint="eastAsia" w:ascii="宋体" w:hAnsi="宋体" w:eastAsia="宋体" w:cs="宋体"/>
                <w:color w:val="auto"/>
                <w:highlight w:val="none"/>
              </w:rPr>
            </w:pPr>
            <w:r>
              <w:rPr>
                <w:rFonts w:hint="eastAsia" w:ascii="宋体" w:hAnsi="宋体" w:eastAsia="宋体" w:cs="宋体"/>
                <w:color w:val="auto"/>
                <w:highlight w:val="none"/>
              </w:rPr>
              <w:t xml:space="preserve"> 中（0.1～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 xml:space="preserve">.0分）：组织结构比较完善，人员基本齐全，基本满足施工需要。 </w:t>
            </w:r>
          </w:p>
          <w:p>
            <w:pPr>
              <w:widowControl/>
              <w:spacing w:line="400" w:lineRule="exact"/>
              <w:ind w:firstLine="315" w:firstLineChars="150"/>
              <w:rPr>
                <w:rFonts w:hint="eastAsia" w:ascii="宋体" w:hAnsi="宋体" w:eastAsia="宋体" w:cs="宋体"/>
                <w:color w:val="auto"/>
                <w:kern w:val="2"/>
                <w:sz w:val="21"/>
                <w:highlight w:val="none"/>
              </w:rPr>
            </w:pPr>
            <w:r>
              <w:rPr>
                <w:rFonts w:hint="eastAsia" w:ascii="宋体" w:hAnsi="宋体" w:eastAsia="宋体" w:cs="宋体"/>
                <w:color w:val="auto"/>
                <w:highlight w:val="none"/>
              </w:rPr>
              <w:t>差（0分）：人员不齐全，不能满足施工需要。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1012" w:type="dxa"/>
            <w:vMerge w:val="restart"/>
            <w:vAlign w:val="center"/>
          </w:tcPr>
          <w:p>
            <w:pPr>
              <w:pStyle w:val="16"/>
              <w:jc w:val="center"/>
              <w:rPr>
                <w:rFonts w:hint="eastAsia" w:ascii="宋体" w:hAnsi="宋体" w:eastAsia="宋体" w:cs="宋体"/>
                <w:color w:val="auto"/>
                <w:kern w:val="2"/>
                <w:sz w:val="21"/>
                <w:highlight w:val="none"/>
              </w:rPr>
            </w:pPr>
            <w:r>
              <w:rPr>
                <w:rFonts w:hint="eastAsia" w:ascii="宋体" w:hAnsi="宋体" w:eastAsia="宋体" w:cs="宋体"/>
                <w:color w:val="auto"/>
                <w:szCs w:val="21"/>
                <w:highlight w:val="none"/>
              </w:rPr>
              <w:t>施工组织设计（</w:t>
            </w:r>
            <w:r>
              <w:rPr>
                <w:rFonts w:hint="eastAsia" w:ascii="宋体" w:hAnsi="宋体" w:eastAsia="宋体" w:cs="宋体"/>
                <w:color w:val="auto"/>
                <w:szCs w:val="21"/>
                <w:highlight w:val="none"/>
                <w:lang w:val="en-US" w:eastAsia="zh-CN"/>
              </w:rPr>
              <w:t>60</w:t>
            </w:r>
            <w:r>
              <w:rPr>
                <w:rFonts w:hint="eastAsia" w:ascii="宋体" w:hAnsi="宋体" w:eastAsia="宋体" w:cs="宋体"/>
                <w:color w:val="auto"/>
                <w:szCs w:val="21"/>
                <w:highlight w:val="none"/>
              </w:rPr>
              <w:t>分）</w:t>
            </w:r>
          </w:p>
        </w:tc>
        <w:tc>
          <w:tcPr>
            <w:tcW w:w="1188" w:type="dxa"/>
            <w:vAlign w:val="center"/>
          </w:tcPr>
          <w:p>
            <w:pPr>
              <w:spacing w:line="3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主要施工方法</w:t>
            </w:r>
          </w:p>
          <w:p>
            <w:pPr>
              <w:spacing w:line="360" w:lineRule="exac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Cs w:val="21"/>
                <w:highlight w:val="none"/>
              </w:rPr>
              <w:t>（</w:t>
            </w:r>
            <w:r>
              <w:rPr>
                <w:rFonts w:hint="eastAsia" w:ascii="宋体" w:hAnsi="宋体" w:eastAsia="宋体" w:cs="宋体"/>
                <w:color w:val="auto"/>
                <w:highlight w:val="none"/>
              </w:rPr>
              <w:t>0~</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分）</w:t>
            </w:r>
          </w:p>
        </w:tc>
        <w:tc>
          <w:tcPr>
            <w:tcW w:w="5605" w:type="dxa"/>
            <w:vAlign w:val="center"/>
          </w:tcPr>
          <w:p>
            <w:pPr>
              <w:widowControl/>
              <w:spacing w:line="360" w:lineRule="exact"/>
              <w:rPr>
                <w:rFonts w:hint="eastAsia" w:ascii="宋体" w:hAnsi="宋体" w:eastAsia="宋体" w:cs="宋体"/>
                <w:color w:val="auto"/>
                <w:highlight w:val="none"/>
              </w:rPr>
            </w:pPr>
            <w:r>
              <w:rPr>
                <w:rFonts w:hint="eastAsia" w:ascii="宋体" w:hAnsi="宋体" w:eastAsia="宋体" w:cs="宋体"/>
                <w:color w:val="auto"/>
                <w:highlight w:val="none"/>
              </w:rPr>
              <w:t>优（</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 xml:space="preserve">分）：各主要分部施工方法符合项目实际，有详尽的施工技术方案，工艺先进、方法科学合理、可行，能指导具体施工并确保安全。 </w:t>
            </w:r>
          </w:p>
          <w:p>
            <w:pPr>
              <w:widowControl/>
              <w:spacing w:line="360" w:lineRule="exact"/>
              <w:rPr>
                <w:rFonts w:hint="eastAsia" w:ascii="宋体" w:hAnsi="宋体" w:eastAsia="宋体" w:cs="宋体"/>
                <w:color w:val="auto"/>
                <w:highlight w:val="none"/>
              </w:rPr>
            </w:pPr>
            <w:r>
              <w:rPr>
                <w:rFonts w:hint="eastAsia" w:ascii="宋体" w:hAnsi="宋体" w:eastAsia="宋体" w:cs="宋体"/>
                <w:color w:val="auto"/>
                <w:highlight w:val="none"/>
              </w:rPr>
              <w:t>中（</w:t>
            </w:r>
            <w:r>
              <w:rPr>
                <w:rFonts w:hint="eastAsia" w:ascii="宋体" w:hAnsi="宋体" w:eastAsia="宋体" w:cs="宋体"/>
                <w:color w:val="auto"/>
                <w:highlight w:val="none"/>
                <w:lang w:val="en-US" w:eastAsia="zh-CN"/>
              </w:rPr>
              <w:t>2.1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.0分）：各主要分部施工方法符合项目实际，施工技术方案可行，工艺可行、方法可行，能指导具体施工并确保安全。</w:t>
            </w:r>
          </w:p>
          <w:p>
            <w:pPr>
              <w:widowControl/>
              <w:spacing w:line="360" w:lineRule="exac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差（0～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分）：对项目施工认识不足，表述不清晰，措施不具体；施工段划分不合理。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1012" w:type="dxa"/>
            <w:vMerge w:val="continue"/>
            <w:vAlign w:val="center"/>
          </w:tcPr>
          <w:p>
            <w:pPr>
              <w:pStyle w:val="16"/>
              <w:jc w:val="center"/>
              <w:rPr>
                <w:rFonts w:hint="eastAsia" w:ascii="宋体" w:hAnsi="宋体" w:eastAsia="宋体" w:cs="宋体"/>
                <w:color w:val="auto"/>
                <w:kern w:val="2"/>
                <w:sz w:val="21"/>
                <w:highlight w:val="none"/>
              </w:rPr>
            </w:pPr>
          </w:p>
        </w:tc>
        <w:tc>
          <w:tcPr>
            <w:tcW w:w="1188" w:type="dxa"/>
            <w:vAlign w:val="center"/>
          </w:tcPr>
          <w:p>
            <w:pPr>
              <w:widowControl/>
              <w:spacing w:line="360" w:lineRule="exac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Cs w:val="21"/>
                <w:highlight w:val="none"/>
              </w:rPr>
              <w:t>拟投入的主要物资计划（</w:t>
            </w:r>
            <w:r>
              <w:rPr>
                <w:rFonts w:hint="eastAsia" w:ascii="宋体" w:hAnsi="宋体" w:eastAsia="宋体" w:cs="宋体"/>
                <w:color w:val="auto"/>
                <w:highlight w:val="none"/>
              </w:rPr>
              <w:t>0~</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分）</w:t>
            </w:r>
          </w:p>
        </w:tc>
        <w:tc>
          <w:tcPr>
            <w:tcW w:w="5605" w:type="dxa"/>
            <w:vAlign w:val="center"/>
          </w:tcPr>
          <w:p>
            <w:pPr>
              <w:widowControl/>
              <w:spacing w:line="360" w:lineRule="exact"/>
              <w:rPr>
                <w:rFonts w:hint="eastAsia" w:ascii="宋体" w:hAnsi="宋体" w:eastAsia="宋体" w:cs="宋体"/>
                <w:color w:val="auto"/>
                <w:highlight w:val="none"/>
              </w:rPr>
            </w:pPr>
            <w:r>
              <w:rPr>
                <w:rFonts w:hint="eastAsia" w:ascii="宋体" w:hAnsi="宋体" w:eastAsia="宋体" w:cs="宋体"/>
                <w:color w:val="auto"/>
                <w:highlight w:val="none"/>
              </w:rPr>
              <w:t>优（</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 xml:space="preserve">分）：投入的施工材料有详细的组织计划且计划周密，数量、选型配置、进场时间安排合理，满足施工需要。 </w:t>
            </w:r>
          </w:p>
          <w:p>
            <w:pPr>
              <w:widowControl/>
              <w:spacing w:line="360" w:lineRule="exact"/>
              <w:rPr>
                <w:rFonts w:hint="eastAsia" w:ascii="宋体" w:hAnsi="宋体" w:eastAsia="宋体" w:cs="宋体"/>
                <w:color w:val="auto"/>
                <w:highlight w:val="none"/>
              </w:rPr>
            </w:pPr>
            <w:r>
              <w:rPr>
                <w:rFonts w:hint="eastAsia" w:ascii="宋体" w:hAnsi="宋体" w:eastAsia="宋体" w:cs="宋体"/>
                <w:color w:val="auto"/>
                <w:highlight w:val="none"/>
              </w:rPr>
              <w:t>中（</w:t>
            </w:r>
            <w:r>
              <w:rPr>
                <w:rFonts w:hint="eastAsia" w:ascii="宋体" w:hAnsi="宋体" w:eastAsia="宋体" w:cs="宋体"/>
                <w:color w:val="auto"/>
                <w:highlight w:val="none"/>
                <w:lang w:val="en-US" w:eastAsia="zh-CN"/>
              </w:rPr>
              <w:t>2.1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 xml:space="preserve">.0分）：投入施工材料的组织与施工进度相呼应、材料计划数量基本满足施工材料要求、材料质量基本满足施工材料要求、材料进场时间基本合理。 </w:t>
            </w:r>
          </w:p>
          <w:p>
            <w:pPr>
              <w:widowControl/>
              <w:spacing w:line="360" w:lineRule="exac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差（0～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分）：投入施工材料的组织与施工进度不呼应、材料计划数量不能满足施工材料要求、材料质量不能满足施工材料要求、材料进场时间不合理。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1012" w:type="dxa"/>
            <w:vMerge w:val="continue"/>
            <w:vAlign w:val="center"/>
          </w:tcPr>
          <w:p>
            <w:pPr>
              <w:pStyle w:val="16"/>
              <w:jc w:val="center"/>
              <w:rPr>
                <w:rFonts w:hint="eastAsia" w:ascii="宋体" w:hAnsi="宋体" w:eastAsia="宋体" w:cs="宋体"/>
                <w:color w:val="auto"/>
                <w:kern w:val="2"/>
                <w:sz w:val="21"/>
                <w:highlight w:val="none"/>
              </w:rPr>
            </w:pPr>
          </w:p>
        </w:tc>
        <w:tc>
          <w:tcPr>
            <w:tcW w:w="1188" w:type="dxa"/>
            <w:vAlign w:val="center"/>
          </w:tcPr>
          <w:p>
            <w:pPr>
              <w:spacing w:line="40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拟投入的主要施工机械、设备计划</w:t>
            </w:r>
            <w:r>
              <w:rPr>
                <w:rFonts w:hint="eastAsia" w:ascii="宋体" w:hAnsi="宋体" w:eastAsia="宋体" w:cs="宋体"/>
                <w:color w:val="auto"/>
                <w:kern w:val="0"/>
                <w:szCs w:val="21"/>
                <w:highlight w:val="none"/>
              </w:rPr>
              <w:t>（</w:t>
            </w:r>
            <w:r>
              <w:rPr>
                <w:rFonts w:hint="eastAsia" w:ascii="宋体" w:hAnsi="宋体" w:eastAsia="宋体" w:cs="宋体"/>
                <w:color w:val="auto"/>
                <w:highlight w:val="none"/>
              </w:rPr>
              <w:t>0~</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分）</w:t>
            </w:r>
          </w:p>
        </w:tc>
        <w:tc>
          <w:tcPr>
            <w:tcW w:w="5605" w:type="dxa"/>
            <w:vAlign w:val="center"/>
          </w:tcPr>
          <w:p>
            <w:pPr>
              <w:spacing w:line="40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优（</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分）：投入的施工机械、设备、机具有详细的组织计划且计划周密，设备数量、选型配置、进场时间安排合理，满足施工需要。</w:t>
            </w:r>
          </w:p>
          <w:p>
            <w:pPr>
              <w:spacing w:line="40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中（</w:t>
            </w:r>
            <w:r>
              <w:rPr>
                <w:rFonts w:hint="eastAsia" w:ascii="宋体" w:hAnsi="宋体" w:eastAsia="宋体" w:cs="宋体"/>
                <w:color w:val="auto"/>
                <w:highlight w:val="none"/>
                <w:lang w:val="en-US" w:eastAsia="zh-CN"/>
              </w:rPr>
              <w:t>2.1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.0分）：投入的施工机械、设备、机具计划与进度计划呼应，满足施工需要。</w:t>
            </w:r>
          </w:p>
          <w:p>
            <w:pPr>
              <w:spacing w:line="40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差（0～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分）：投入的施工机械、设备、机具计划与进度计划不呼应，不能满足施工需要。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1012" w:type="dxa"/>
            <w:vMerge w:val="continue"/>
            <w:vAlign w:val="center"/>
          </w:tcPr>
          <w:p>
            <w:pPr>
              <w:pStyle w:val="16"/>
              <w:jc w:val="center"/>
              <w:rPr>
                <w:rFonts w:hint="eastAsia" w:ascii="宋体" w:hAnsi="宋体" w:eastAsia="宋体" w:cs="宋体"/>
                <w:color w:val="auto"/>
                <w:kern w:val="2"/>
                <w:sz w:val="21"/>
                <w:highlight w:val="none"/>
              </w:rPr>
            </w:pPr>
          </w:p>
        </w:tc>
        <w:tc>
          <w:tcPr>
            <w:tcW w:w="1188" w:type="dxa"/>
            <w:vAlign w:val="center"/>
          </w:tcPr>
          <w:p>
            <w:pPr>
              <w:spacing w:line="40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劳动力安排计划</w:t>
            </w:r>
            <w:r>
              <w:rPr>
                <w:rFonts w:hint="eastAsia" w:ascii="宋体" w:hAnsi="宋体" w:eastAsia="宋体" w:cs="宋体"/>
                <w:color w:val="auto"/>
                <w:kern w:val="0"/>
                <w:szCs w:val="21"/>
                <w:highlight w:val="none"/>
              </w:rPr>
              <w:t>（</w:t>
            </w:r>
            <w:r>
              <w:rPr>
                <w:rFonts w:hint="eastAsia" w:ascii="宋体" w:hAnsi="宋体" w:eastAsia="宋体" w:cs="宋体"/>
                <w:color w:val="auto"/>
                <w:highlight w:val="none"/>
              </w:rPr>
              <w:t>0~</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分）</w:t>
            </w:r>
          </w:p>
        </w:tc>
        <w:tc>
          <w:tcPr>
            <w:tcW w:w="5605" w:type="dxa"/>
            <w:vAlign w:val="center"/>
          </w:tcPr>
          <w:p>
            <w:pPr>
              <w:spacing w:line="40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优（</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分）：各主要施工工序应有详细周密的劳动力安排计划，有各工种劳动力安排计划，劳动力投入合理，满足施工需要。</w:t>
            </w:r>
          </w:p>
          <w:p>
            <w:pPr>
              <w:spacing w:line="40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 中（</w:t>
            </w:r>
            <w:r>
              <w:rPr>
                <w:rFonts w:hint="eastAsia" w:ascii="宋体" w:hAnsi="宋体" w:eastAsia="宋体" w:cs="宋体"/>
                <w:color w:val="auto"/>
                <w:highlight w:val="none"/>
                <w:lang w:val="en-US" w:eastAsia="zh-CN"/>
              </w:rPr>
              <w:t>2.1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.0分）：投入劳动力安排计划与进度计划呼应，基本满足施工需要，调配投入计划基本合理、准确。</w:t>
            </w:r>
          </w:p>
          <w:p>
            <w:pPr>
              <w:spacing w:line="40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 xml:space="preserve"> 差（0～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分）：投入劳动力安排计划与进度计划不呼应，不能满足施工需要。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1012" w:type="dxa"/>
            <w:vMerge w:val="continue"/>
            <w:vAlign w:val="center"/>
          </w:tcPr>
          <w:p>
            <w:pPr>
              <w:pStyle w:val="16"/>
              <w:jc w:val="center"/>
              <w:rPr>
                <w:rFonts w:hint="eastAsia" w:ascii="宋体" w:hAnsi="宋体" w:eastAsia="宋体" w:cs="宋体"/>
                <w:color w:val="auto"/>
                <w:kern w:val="2"/>
                <w:sz w:val="21"/>
                <w:highlight w:val="none"/>
              </w:rPr>
            </w:pPr>
          </w:p>
        </w:tc>
        <w:tc>
          <w:tcPr>
            <w:tcW w:w="1188" w:type="dxa"/>
            <w:vAlign w:val="center"/>
          </w:tcPr>
          <w:p>
            <w:pPr>
              <w:spacing w:line="40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确保工程质量的技术组织措施</w:t>
            </w:r>
            <w:r>
              <w:rPr>
                <w:rFonts w:hint="eastAsia" w:ascii="宋体" w:hAnsi="宋体" w:eastAsia="宋体" w:cs="宋体"/>
                <w:color w:val="auto"/>
                <w:kern w:val="0"/>
                <w:szCs w:val="21"/>
                <w:highlight w:val="none"/>
              </w:rPr>
              <w:t>（</w:t>
            </w:r>
            <w:r>
              <w:rPr>
                <w:rFonts w:hint="eastAsia" w:ascii="宋体" w:hAnsi="宋体" w:eastAsia="宋体" w:cs="宋体"/>
                <w:color w:val="auto"/>
                <w:highlight w:val="none"/>
              </w:rPr>
              <w:t>0~</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分）</w:t>
            </w:r>
          </w:p>
        </w:tc>
        <w:tc>
          <w:tcPr>
            <w:tcW w:w="5605" w:type="dxa"/>
            <w:vAlign w:val="center"/>
          </w:tcPr>
          <w:p>
            <w:pPr>
              <w:spacing w:line="40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优（</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分）：有专门的质量技术管理班子和制度，且人员配备合理，制度健全。主要工序应有质量技术保证措施和手段，自控体系完整，能有效保证技术质量，达到承诺的质量标准。</w:t>
            </w:r>
          </w:p>
          <w:p>
            <w:pPr>
              <w:spacing w:line="40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中（</w:t>
            </w:r>
            <w:r>
              <w:rPr>
                <w:rFonts w:hint="eastAsia" w:ascii="宋体" w:hAnsi="宋体" w:eastAsia="宋体" w:cs="宋体"/>
                <w:color w:val="auto"/>
                <w:highlight w:val="none"/>
                <w:lang w:val="en-US" w:eastAsia="zh-CN"/>
              </w:rPr>
              <w:t>2.1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.0分）：有质量技术管理班子和制度，且人员配备可行。主要工序应有质量技术保证措施和手段，自控体系可行，基本能保证技术质量，达到承诺的质量标准。</w:t>
            </w:r>
          </w:p>
          <w:p>
            <w:pPr>
              <w:spacing w:line="40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差（0～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分）：编制的质量技术保证措施和手段不完善、不满足项目的实际施工要求，质量保证措施不具体。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1012" w:type="dxa"/>
            <w:vMerge w:val="continue"/>
            <w:vAlign w:val="center"/>
          </w:tcPr>
          <w:p>
            <w:pPr>
              <w:pStyle w:val="16"/>
              <w:jc w:val="center"/>
              <w:rPr>
                <w:rFonts w:hint="eastAsia" w:ascii="宋体" w:hAnsi="宋体" w:eastAsia="宋体" w:cs="宋体"/>
                <w:color w:val="auto"/>
                <w:kern w:val="2"/>
                <w:sz w:val="21"/>
                <w:highlight w:val="none"/>
              </w:rPr>
            </w:pPr>
          </w:p>
        </w:tc>
        <w:tc>
          <w:tcPr>
            <w:tcW w:w="1188" w:type="dxa"/>
            <w:vAlign w:val="center"/>
          </w:tcPr>
          <w:p>
            <w:pPr>
              <w:spacing w:line="40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确保安全生产的技术组织措施</w:t>
            </w:r>
            <w:r>
              <w:rPr>
                <w:rFonts w:hint="eastAsia" w:ascii="宋体" w:hAnsi="宋体" w:eastAsia="宋体" w:cs="宋体"/>
                <w:color w:val="auto"/>
                <w:kern w:val="0"/>
                <w:szCs w:val="21"/>
                <w:highlight w:val="none"/>
              </w:rPr>
              <w:t>（</w:t>
            </w:r>
            <w:r>
              <w:rPr>
                <w:rFonts w:hint="eastAsia" w:ascii="宋体" w:hAnsi="宋体" w:eastAsia="宋体" w:cs="宋体"/>
                <w:color w:val="auto"/>
                <w:highlight w:val="none"/>
              </w:rPr>
              <w:t>0~</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分）</w:t>
            </w:r>
          </w:p>
        </w:tc>
        <w:tc>
          <w:tcPr>
            <w:tcW w:w="5605" w:type="dxa"/>
            <w:vAlign w:val="center"/>
          </w:tcPr>
          <w:p>
            <w:pPr>
              <w:spacing w:line="40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优（</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 xml:space="preserve">分）：有专门的安全管理人员和制度，且人员配备合理，制度健全，各道工序安全技术措施针对性强，符合实际且满足有关安全技术标准要求。现场防火、应急救援、社会治安安全措施得力。 </w:t>
            </w:r>
          </w:p>
          <w:p>
            <w:pPr>
              <w:spacing w:line="40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中（</w:t>
            </w:r>
            <w:r>
              <w:rPr>
                <w:rFonts w:hint="eastAsia" w:ascii="宋体" w:hAnsi="宋体" w:eastAsia="宋体" w:cs="宋体"/>
                <w:color w:val="auto"/>
                <w:highlight w:val="none"/>
                <w:lang w:val="en-US" w:eastAsia="zh-CN"/>
              </w:rPr>
              <w:t>2.1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.0分）：有专门的安全管理人员和制度，且人员配备基本合理，制度基本健全，各道工序安全技术措施针对性强，基本满足符合实际且满足有关安全技术标准要求。现场防火、应急救援、社会治安安全措施一般。</w:t>
            </w:r>
          </w:p>
          <w:p>
            <w:pPr>
              <w:spacing w:line="40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 xml:space="preserve"> 差（0～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分）：有专门的安全管理人员和制度，但人员配备不合理，制度不健全，各道工序安全技术措施针对性差，不符合实际且满足有关安全技术标准要求。现场防火、应急救援、社会治安安全措施不完善。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1012" w:type="dxa"/>
            <w:vMerge w:val="continue"/>
            <w:vAlign w:val="center"/>
          </w:tcPr>
          <w:p>
            <w:pPr>
              <w:pStyle w:val="16"/>
              <w:jc w:val="center"/>
              <w:rPr>
                <w:rFonts w:hint="eastAsia" w:ascii="宋体" w:hAnsi="宋体" w:eastAsia="宋体" w:cs="宋体"/>
                <w:color w:val="auto"/>
                <w:kern w:val="2"/>
                <w:sz w:val="21"/>
                <w:highlight w:val="none"/>
              </w:rPr>
            </w:pPr>
          </w:p>
        </w:tc>
        <w:tc>
          <w:tcPr>
            <w:tcW w:w="1188" w:type="dxa"/>
            <w:vAlign w:val="center"/>
          </w:tcPr>
          <w:p>
            <w:pPr>
              <w:spacing w:line="40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确保工期的技术组织措施</w:t>
            </w:r>
            <w:r>
              <w:rPr>
                <w:rFonts w:hint="eastAsia" w:ascii="宋体" w:hAnsi="宋体" w:eastAsia="宋体" w:cs="宋体"/>
                <w:color w:val="auto"/>
                <w:kern w:val="0"/>
                <w:szCs w:val="21"/>
                <w:highlight w:val="none"/>
              </w:rPr>
              <w:t>（</w:t>
            </w:r>
            <w:r>
              <w:rPr>
                <w:rFonts w:hint="eastAsia" w:ascii="宋体" w:hAnsi="宋体" w:eastAsia="宋体" w:cs="宋体"/>
                <w:color w:val="auto"/>
                <w:highlight w:val="none"/>
              </w:rPr>
              <w:t>0~</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分）</w:t>
            </w:r>
          </w:p>
        </w:tc>
        <w:tc>
          <w:tcPr>
            <w:tcW w:w="5605" w:type="dxa"/>
            <w:vAlign w:val="center"/>
          </w:tcPr>
          <w:p>
            <w:pPr>
              <w:spacing w:line="40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优（</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 xml:space="preserve">分）：在施工工艺、施工方法、材料选用、劳动力安排、技术等方面有保证工期的具体措施且措施得当。有控制工期的施工进度计划。有施工总进度表或施工网络图，各项计划图表编制完善，安排科学合理，符合本项目施工实际要求。 </w:t>
            </w:r>
          </w:p>
          <w:p>
            <w:pPr>
              <w:spacing w:line="40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中（</w:t>
            </w:r>
            <w:r>
              <w:rPr>
                <w:rFonts w:hint="eastAsia" w:ascii="宋体" w:hAnsi="宋体" w:eastAsia="宋体" w:cs="宋体"/>
                <w:color w:val="auto"/>
                <w:highlight w:val="none"/>
                <w:lang w:val="en-US" w:eastAsia="zh-CN"/>
              </w:rPr>
              <w:t>2.1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0分）：在施工工艺、施工方法、材料选用、劳动力安排、技术等方面有基本保证工期的具体措施且措施可行。有控制工期的施工进度计划。有施工总进度表或施工网络图，各项计划图表编制基本完善，安排科学合理，基本符合本项目施工实际要求。</w:t>
            </w:r>
          </w:p>
          <w:p>
            <w:pPr>
              <w:spacing w:line="40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 xml:space="preserve"> 差（0～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分）：在施工工艺、施工方法、材料选用、劳动力安排、技术等方面没有保证工期的具体措施。没有控制工期的施工进度计划。没有有施工总进度表或施工网络图，各项计划图表编制不完善，安排科学不合理，不符合本项目施工实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1012" w:type="dxa"/>
            <w:vMerge w:val="continue"/>
            <w:vAlign w:val="center"/>
          </w:tcPr>
          <w:p>
            <w:pPr>
              <w:pStyle w:val="16"/>
              <w:jc w:val="center"/>
              <w:rPr>
                <w:rFonts w:hint="eastAsia" w:ascii="宋体" w:hAnsi="宋体" w:eastAsia="宋体" w:cs="宋体"/>
                <w:color w:val="auto"/>
                <w:kern w:val="2"/>
                <w:sz w:val="21"/>
                <w:highlight w:val="none"/>
              </w:rPr>
            </w:pPr>
          </w:p>
        </w:tc>
        <w:tc>
          <w:tcPr>
            <w:tcW w:w="1188" w:type="dxa"/>
            <w:vAlign w:val="center"/>
          </w:tcPr>
          <w:p>
            <w:pPr>
              <w:spacing w:line="40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确保文明施工的技术组织措施</w:t>
            </w:r>
            <w:r>
              <w:rPr>
                <w:rFonts w:hint="eastAsia" w:ascii="宋体" w:hAnsi="宋体" w:eastAsia="宋体" w:cs="宋体"/>
                <w:color w:val="auto"/>
                <w:kern w:val="0"/>
                <w:szCs w:val="21"/>
                <w:highlight w:val="none"/>
              </w:rPr>
              <w:t>（</w:t>
            </w:r>
            <w:r>
              <w:rPr>
                <w:rFonts w:hint="eastAsia" w:ascii="宋体" w:hAnsi="宋体" w:eastAsia="宋体" w:cs="宋体"/>
                <w:color w:val="auto"/>
                <w:highlight w:val="none"/>
              </w:rPr>
              <w:t>0~</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分）</w:t>
            </w:r>
          </w:p>
        </w:tc>
        <w:tc>
          <w:tcPr>
            <w:tcW w:w="5605" w:type="dxa"/>
            <w:vAlign w:val="center"/>
          </w:tcPr>
          <w:p>
            <w:pPr>
              <w:spacing w:line="36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优（</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 xml:space="preserve">分）：针对本工程项目特点，有现场文明施工、环境保护措施，且措施内容应达到《建筑施工安全生产检查标准》（JGJ59-2011）合格标准并符合《广西壮族自治区建筑工程文明施工导则》要求。各项措施周全、具体、有效。有具体实现现场文明施工目标的承诺。 </w:t>
            </w:r>
          </w:p>
          <w:p>
            <w:pPr>
              <w:spacing w:line="36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中（</w:t>
            </w:r>
            <w:r>
              <w:rPr>
                <w:rFonts w:hint="eastAsia" w:ascii="宋体" w:hAnsi="宋体" w:eastAsia="宋体" w:cs="宋体"/>
                <w:color w:val="auto"/>
                <w:highlight w:val="none"/>
                <w:lang w:val="en-US" w:eastAsia="zh-CN"/>
              </w:rPr>
              <w:t>2.1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.0分）：有基本合理的安全文明措施，采用规范正确。</w:t>
            </w:r>
          </w:p>
          <w:p>
            <w:pPr>
              <w:spacing w:line="36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差（0～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分）：安全文明措施不合理，采用规范不正确。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1012" w:type="dxa"/>
            <w:vMerge w:val="continue"/>
            <w:vAlign w:val="center"/>
          </w:tcPr>
          <w:p>
            <w:pPr>
              <w:pStyle w:val="16"/>
              <w:jc w:val="center"/>
              <w:rPr>
                <w:rFonts w:hint="eastAsia" w:ascii="宋体" w:hAnsi="宋体" w:eastAsia="宋体" w:cs="宋体"/>
                <w:color w:val="auto"/>
                <w:kern w:val="2"/>
                <w:sz w:val="21"/>
                <w:highlight w:val="none"/>
              </w:rPr>
            </w:pPr>
          </w:p>
        </w:tc>
        <w:tc>
          <w:tcPr>
            <w:tcW w:w="1188" w:type="dxa"/>
            <w:vAlign w:val="center"/>
          </w:tcPr>
          <w:p>
            <w:pPr>
              <w:spacing w:line="40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工程施工的重点和难点及保证措施</w:t>
            </w:r>
            <w:r>
              <w:rPr>
                <w:rFonts w:hint="eastAsia" w:ascii="宋体" w:hAnsi="宋体" w:eastAsia="宋体" w:cs="宋体"/>
                <w:color w:val="auto"/>
                <w:kern w:val="0"/>
                <w:szCs w:val="21"/>
                <w:highlight w:val="none"/>
              </w:rPr>
              <w:t>（</w:t>
            </w:r>
            <w:r>
              <w:rPr>
                <w:rFonts w:hint="eastAsia" w:ascii="宋体" w:hAnsi="宋体" w:eastAsia="宋体" w:cs="宋体"/>
                <w:color w:val="auto"/>
                <w:highlight w:val="none"/>
              </w:rPr>
              <w:t>0~</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分）</w:t>
            </w:r>
          </w:p>
        </w:tc>
        <w:tc>
          <w:tcPr>
            <w:tcW w:w="5605" w:type="dxa"/>
            <w:vAlign w:val="center"/>
          </w:tcPr>
          <w:p>
            <w:pPr>
              <w:spacing w:line="40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优（</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分）：针对本工程的特点，阐述工程的重点和难点，有解决重点和难点问题的切实可行方案且措施得力。</w:t>
            </w:r>
          </w:p>
          <w:p>
            <w:pPr>
              <w:spacing w:line="40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 中（</w:t>
            </w:r>
            <w:r>
              <w:rPr>
                <w:rFonts w:hint="eastAsia" w:ascii="宋体" w:hAnsi="宋体" w:eastAsia="宋体" w:cs="宋体"/>
                <w:color w:val="auto"/>
                <w:highlight w:val="none"/>
                <w:lang w:val="en-US" w:eastAsia="zh-CN"/>
              </w:rPr>
              <w:t>2.1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 xml:space="preserve">.0分）：针对本工程的特点，阐述本工程的重点和难点，解决重点和难点问题的方法可行。 </w:t>
            </w:r>
          </w:p>
          <w:p>
            <w:pPr>
              <w:spacing w:line="40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差（0～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分）：针对本工程的特点，阐述本工程的重点和难点，解决重点和难点问题的方法不可行。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803" w:type="dxa"/>
            <w:vMerge w:val="continue"/>
            <w:vAlign w:val="center"/>
          </w:tcPr>
          <w:p>
            <w:pPr>
              <w:jc w:val="center"/>
              <w:rPr>
                <w:rFonts w:hint="eastAsia" w:ascii="宋体" w:hAnsi="宋体" w:eastAsia="宋体" w:cs="宋体"/>
                <w:color w:val="auto"/>
                <w:szCs w:val="21"/>
                <w:highlight w:val="none"/>
              </w:rPr>
            </w:pPr>
          </w:p>
        </w:tc>
        <w:tc>
          <w:tcPr>
            <w:tcW w:w="1641" w:type="dxa"/>
            <w:gridSpan w:val="2"/>
            <w:vMerge w:val="continue"/>
            <w:vAlign w:val="center"/>
          </w:tcPr>
          <w:p>
            <w:pPr>
              <w:jc w:val="center"/>
              <w:rPr>
                <w:rFonts w:hint="eastAsia" w:ascii="宋体" w:hAnsi="宋体" w:eastAsia="宋体" w:cs="宋体"/>
                <w:color w:val="auto"/>
                <w:szCs w:val="21"/>
                <w:highlight w:val="none"/>
              </w:rPr>
            </w:pPr>
          </w:p>
        </w:tc>
        <w:tc>
          <w:tcPr>
            <w:tcW w:w="1012" w:type="dxa"/>
            <w:vMerge w:val="continue"/>
            <w:vAlign w:val="center"/>
          </w:tcPr>
          <w:p>
            <w:pPr>
              <w:pStyle w:val="16"/>
              <w:jc w:val="center"/>
              <w:rPr>
                <w:rFonts w:hint="eastAsia" w:ascii="宋体" w:hAnsi="宋体" w:eastAsia="宋体" w:cs="宋体"/>
                <w:color w:val="auto"/>
                <w:kern w:val="2"/>
                <w:sz w:val="21"/>
                <w:highlight w:val="none"/>
              </w:rPr>
            </w:pPr>
          </w:p>
        </w:tc>
        <w:tc>
          <w:tcPr>
            <w:tcW w:w="1188" w:type="dxa"/>
            <w:vAlign w:val="center"/>
          </w:tcPr>
          <w:p>
            <w:pPr>
              <w:spacing w:line="40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施工总平面布置图</w:t>
            </w:r>
            <w:r>
              <w:rPr>
                <w:rFonts w:hint="eastAsia" w:ascii="宋体" w:hAnsi="宋体" w:eastAsia="宋体" w:cs="宋体"/>
                <w:color w:val="auto"/>
                <w:kern w:val="0"/>
                <w:szCs w:val="21"/>
                <w:highlight w:val="none"/>
              </w:rPr>
              <w:t>（</w:t>
            </w:r>
            <w:r>
              <w:rPr>
                <w:rFonts w:hint="eastAsia" w:ascii="宋体" w:hAnsi="宋体" w:eastAsia="宋体" w:cs="宋体"/>
                <w:color w:val="auto"/>
                <w:highlight w:val="none"/>
              </w:rPr>
              <w:t>0~</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分）</w:t>
            </w:r>
          </w:p>
        </w:tc>
        <w:tc>
          <w:tcPr>
            <w:tcW w:w="5605" w:type="dxa"/>
            <w:vAlign w:val="center"/>
          </w:tcPr>
          <w:p>
            <w:pPr>
              <w:spacing w:line="40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优（</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 xml:space="preserve">分）：施工总平面布置图，安排科学合理，符合本项目施工实际要求。 </w:t>
            </w:r>
          </w:p>
          <w:p>
            <w:pPr>
              <w:spacing w:line="40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中（</w:t>
            </w:r>
            <w:r>
              <w:rPr>
                <w:rFonts w:hint="eastAsia" w:ascii="宋体" w:hAnsi="宋体" w:eastAsia="宋体" w:cs="宋体"/>
                <w:color w:val="auto"/>
                <w:highlight w:val="none"/>
                <w:lang w:val="en-US" w:eastAsia="zh-CN"/>
              </w:rPr>
              <w:t>2.1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 xml:space="preserve">.0分）：施工总平面布置图，安排可行，基本满足本项目施工实际要求。 </w:t>
            </w:r>
          </w:p>
          <w:p>
            <w:pPr>
              <w:spacing w:line="40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差（0～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分）：施工总平面布置不合理，不符合安全、文明生产要求。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03"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2.2.2</w:t>
            </w:r>
          </w:p>
        </w:tc>
        <w:tc>
          <w:tcPr>
            <w:tcW w:w="1641"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商务标评分</w:t>
            </w:r>
            <w:r>
              <w:rPr>
                <w:rFonts w:hint="eastAsia" w:ascii="宋体" w:hAnsi="宋体" w:eastAsia="宋体" w:cs="宋体"/>
                <w:color w:val="auto"/>
                <w:szCs w:val="21"/>
                <w:highlight w:val="none"/>
              </w:rPr>
              <w:t>标准：</w:t>
            </w:r>
            <w:r>
              <w:rPr>
                <w:rFonts w:hint="eastAsia" w:ascii="宋体" w:hAnsi="宋体" w:eastAsia="宋体" w:cs="宋体"/>
                <w:color w:val="auto"/>
                <w:highlight w:val="none"/>
              </w:rPr>
              <w:t>投标报价（满分</w:t>
            </w:r>
            <w:r>
              <w:rPr>
                <w:rFonts w:hint="eastAsia" w:ascii="宋体" w:hAnsi="宋体" w:eastAsia="宋体" w:cs="宋体"/>
                <w:color w:val="auto"/>
                <w:highlight w:val="none"/>
                <w:lang w:val="en-US" w:eastAsia="zh-CN"/>
              </w:rPr>
              <w:t>30</w:t>
            </w:r>
            <w:r>
              <w:rPr>
                <w:rFonts w:hint="eastAsia" w:ascii="宋体" w:hAnsi="宋体" w:eastAsia="宋体" w:cs="宋体"/>
                <w:color w:val="auto"/>
                <w:highlight w:val="none"/>
              </w:rPr>
              <w:t>分）</w:t>
            </w:r>
          </w:p>
        </w:tc>
        <w:tc>
          <w:tcPr>
            <w:tcW w:w="7805" w:type="dxa"/>
            <w:gridSpan w:val="3"/>
            <w:vAlign w:val="center"/>
          </w:tcPr>
          <w:p>
            <w:pPr>
              <w:spacing w:line="420" w:lineRule="atLeast"/>
              <w:rPr>
                <w:rFonts w:hint="eastAsia" w:ascii="宋体" w:hAnsi="宋体" w:eastAsia="宋体" w:cs="宋体"/>
                <w:b/>
                <w:color w:val="auto"/>
                <w:szCs w:val="21"/>
                <w:highlight w:val="none"/>
              </w:rPr>
            </w:pPr>
            <w:r>
              <w:rPr>
                <w:rFonts w:hint="eastAsia" w:ascii="宋体" w:hAnsi="宋体" w:eastAsia="宋体" w:cs="宋体"/>
                <w:b/>
                <w:bCs/>
                <w:color w:val="auto"/>
                <w:szCs w:val="21"/>
                <w:highlight w:val="none"/>
              </w:rPr>
              <w:t>评标基准价的确定方法</w:t>
            </w:r>
            <w:r>
              <w:rPr>
                <w:rFonts w:hint="eastAsia" w:ascii="宋体" w:hAnsi="宋体" w:eastAsia="宋体" w:cs="宋体"/>
                <w:b/>
                <w:color w:val="auto"/>
                <w:szCs w:val="21"/>
                <w:highlight w:val="none"/>
              </w:rPr>
              <w:t>：</w:t>
            </w:r>
          </w:p>
          <w:p>
            <w:pPr>
              <w:spacing w:line="420" w:lineRule="atLeast"/>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评标基准价的确定方法</w:t>
            </w:r>
          </w:p>
          <w:p>
            <w:pPr>
              <w:spacing w:line="420" w:lineRule="atLeas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（1）有效报价范围：为</w:t>
            </w:r>
            <w:r>
              <w:rPr>
                <w:rFonts w:hint="eastAsia" w:ascii="宋体" w:hAnsi="宋体" w:eastAsia="宋体" w:cs="宋体"/>
                <w:color w:val="auto"/>
                <w:szCs w:val="21"/>
                <w:highlight w:val="none"/>
                <w:lang w:eastAsia="zh-CN"/>
              </w:rPr>
              <w:t>投标报价</w:t>
            </w:r>
            <w:r>
              <w:rPr>
                <w:rFonts w:hint="eastAsia" w:ascii="宋体" w:hAnsi="宋体" w:eastAsia="宋体" w:cs="宋体"/>
                <w:color w:val="auto"/>
                <w:szCs w:val="21"/>
                <w:highlight w:val="none"/>
              </w:rPr>
              <w:t>低于或等于采购人公布的</w:t>
            </w:r>
            <w:r>
              <w:rPr>
                <w:rFonts w:hint="eastAsia" w:ascii="宋体" w:hAnsi="宋体" w:eastAsia="宋体" w:cs="宋体"/>
                <w:color w:val="auto"/>
                <w:szCs w:val="21"/>
                <w:highlight w:val="none"/>
                <w:lang w:eastAsia="zh-CN"/>
              </w:rPr>
              <w:t>招标控制价</w:t>
            </w:r>
            <w:r>
              <w:rPr>
                <w:rFonts w:hint="eastAsia" w:ascii="宋体" w:hAnsi="宋体" w:eastAsia="宋体" w:cs="宋体"/>
                <w:color w:val="auto"/>
                <w:szCs w:val="21"/>
                <w:highlight w:val="none"/>
              </w:rPr>
              <w:t>，通过资格评审、形式评审、响应性评审，经</w:t>
            </w:r>
            <w:r>
              <w:rPr>
                <w:rFonts w:hint="eastAsia" w:ascii="宋体" w:hAnsi="宋体" w:eastAsia="宋体" w:cs="宋体"/>
                <w:color w:val="auto"/>
                <w:szCs w:val="21"/>
                <w:highlight w:val="none"/>
                <w:lang w:eastAsia="zh-CN"/>
              </w:rPr>
              <w:t>评标委员会</w:t>
            </w:r>
            <w:r>
              <w:rPr>
                <w:rFonts w:hint="eastAsia" w:ascii="宋体" w:hAnsi="宋体" w:eastAsia="宋体" w:cs="宋体"/>
                <w:color w:val="auto"/>
                <w:szCs w:val="21"/>
                <w:highlight w:val="none"/>
              </w:rPr>
              <w:t>审定不存在严重不平衡、不合理、不低于其企业成本的</w:t>
            </w:r>
            <w:r>
              <w:rPr>
                <w:rFonts w:hint="eastAsia" w:ascii="宋体" w:hAnsi="宋体" w:eastAsia="宋体" w:cs="宋体"/>
                <w:color w:val="auto"/>
                <w:szCs w:val="21"/>
                <w:highlight w:val="none"/>
                <w:lang w:eastAsia="zh-CN"/>
              </w:rPr>
              <w:t>投标人投标报价</w:t>
            </w:r>
            <w:r>
              <w:rPr>
                <w:rFonts w:hint="eastAsia" w:ascii="宋体" w:hAnsi="宋体" w:eastAsia="宋体" w:cs="宋体"/>
                <w:color w:val="auto"/>
                <w:szCs w:val="21"/>
                <w:highlight w:val="none"/>
              </w:rPr>
              <w:t>。</w:t>
            </w:r>
          </w:p>
          <w:p>
            <w:pPr>
              <w:spacing w:line="420" w:lineRule="atLeas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将有效报价范围内的投标人，按其投标报价由低到高的顺序依次排出名次</w:t>
            </w:r>
            <w:r>
              <w:rPr>
                <w:rFonts w:hint="eastAsia" w:ascii="宋体" w:hAnsi="宋体" w:eastAsia="宋体" w:cs="宋体"/>
                <w:color w:val="auto"/>
                <w:szCs w:val="21"/>
                <w:highlight w:val="none"/>
              </w:rPr>
              <w:t>。</w:t>
            </w:r>
          </w:p>
          <w:p>
            <w:pPr>
              <w:spacing w:line="420" w:lineRule="atLeas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以进入综合评分环节最低的</w:t>
            </w:r>
            <w:r>
              <w:rPr>
                <w:rFonts w:hint="eastAsia" w:ascii="宋体" w:hAnsi="宋体" w:eastAsia="宋体" w:cs="宋体"/>
                <w:color w:val="auto"/>
                <w:szCs w:val="21"/>
                <w:highlight w:val="none"/>
                <w:lang w:eastAsia="zh-CN"/>
              </w:rPr>
              <w:t>投标报价</w:t>
            </w:r>
            <w:r>
              <w:rPr>
                <w:rFonts w:hint="eastAsia" w:ascii="宋体" w:hAnsi="宋体" w:eastAsia="宋体" w:cs="宋体"/>
                <w:color w:val="auto"/>
                <w:szCs w:val="21"/>
                <w:highlight w:val="none"/>
              </w:rPr>
              <w:t>为</w:t>
            </w:r>
            <w:r>
              <w:rPr>
                <w:rFonts w:hint="eastAsia" w:ascii="宋体" w:hAnsi="宋体" w:eastAsia="宋体" w:cs="宋体"/>
                <w:color w:val="auto"/>
                <w:szCs w:val="21"/>
                <w:highlight w:val="none"/>
                <w:lang w:eastAsia="zh-CN"/>
              </w:rPr>
              <w:t>评标</w:t>
            </w:r>
            <w:r>
              <w:rPr>
                <w:rFonts w:hint="eastAsia" w:ascii="宋体" w:hAnsi="宋体" w:eastAsia="宋体" w:cs="宋体"/>
                <w:color w:val="auto"/>
                <w:szCs w:val="21"/>
                <w:highlight w:val="none"/>
              </w:rPr>
              <w:t>基准价。</w:t>
            </w:r>
          </w:p>
          <w:p>
            <w:pPr>
              <w:spacing w:line="420" w:lineRule="atLeas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注：若</w:t>
            </w:r>
            <w:r>
              <w:rPr>
                <w:rFonts w:hint="eastAsia" w:ascii="宋体" w:hAnsi="宋体" w:eastAsia="宋体" w:cs="宋体"/>
                <w:color w:val="auto"/>
                <w:szCs w:val="21"/>
                <w:highlight w:val="none"/>
                <w:lang w:eastAsia="zh-CN"/>
              </w:rPr>
              <w:t>投标单位</w:t>
            </w:r>
            <w:r>
              <w:rPr>
                <w:rFonts w:hint="eastAsia" w:ascii="宋体" w:hAnsi="宋体" w:eastAsia="宋体" w:cs="宋体"/>
                <w:color w:val="auto"/>
                <w:szCs w:val="21"/>
                <w:highlight w:val="none"/>
              </w:rPr>
              <w:t>按</w:t>
            </w:r>
            <w:r>
              <w:rPr>
                <w:rFonts w:hint="eastAsia" w:ascii="宋体" w:hAnsi="宋体" w:eastAsia="宋体" w:cs="宋体"/>
                <w:szCs w:val="21"/>
                <w:highlight w:val="none"/>
              </w:rPr>
              <w:t>《政府采购促进中小企业发展管理办法》（财库﹝2020﹞46号）</w:t>
            </w:r>
            <w:r>
              <w:rPr>
                <w:rFonts w:hint="eastAsia" w:ascii="宋体" w:hAnsi="宋体" w:eastAsia="宋体" w:cs="宋体"/>
                <w:color w:val="auto"/>
                <w:szCs w:val="21"/>
                <w:highlight w:val="none"/>
              </w:rPr>
              <w:t>认定为小型和微型企业的（以</w:t>
            </w:r>
            <w:r>
              <w:rPr>
                <w:rFonts w:hint="eastAsia" w:ascii="宋体" w:hAnsi="宋体" w:eastAsia="宋体" w:cs="宋体"/>
                <w:color w:val="auto"/>
                <w:szCs w:val="21"/>
                <w:highlight w:val="none"/>
                <w:lang w:eastAsia="zh-CN"/>
              </w:rPr>
              <w:t>投标文件</w:t>
            </w:r>
            <w:r>
              <w:rPr>
                <w:rFonts w:hint="eastAsia" w:ascii="宋体" w:hAnsi="宋体" w:eastAsia="宋体" w:cs="宋体"/>
                <w:color w:val="auto"/>
                <w:szCs w:val="21"/>
                <w:highlight w:val="none"/>
              </w:rPr>
              <w:t>提供的符合规定有关证明材料为准），对</w:t>
            </w:r>
            <w:r>
              <w:rPr>
                <w:rFonts w:hint="eastAsia" w:ascii="宋体" w:hAnsi="宋体" w:eastAsia="宋体" w:cs="宋体"/>
                <w:color w:val="auto"/>
                <w:szCs w:val="21"/>
                <w:highlight w:val="none"/>
                <w:lang w:eastAsia="zh-CN"/>
              </w:rPr>
              <w:t>投标报价</w:t>
            </w:r>
            <w:r>
              <w:rPr>
                <w:rFonts w:hint="eastAsia" w:ascii="宋体" w:hAnsi="宋体" w:eastAsia="宋体" w:cs="宋体"/>
                <w:color w:val="auto"/>
                <w:szCs w:val="21"/>
                <w:highlight w:val="none"/>
              </w:rPr>
              <w:t>给予</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%的扣除，扣除后的价格为评标价，即评标价=</w:t>
            </w:r>
            <w:r>
              <w:rPr>
                <w:rFonts w:hint="eastAsia" w:ascii="宋体" w:hAnsi="宋体" w:eastAsia="宋体" w:cs="宋体"/>
                <w:color w:val="auto"/>
                <w:szCs w:val="21"/>
                <w:highlight w:val="none"/>
                <w:lang w:eastAsia="zh-CN"/>
              </w:rPr>
              <w:t>投标报价</w:t>
            </w: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%），以评标价计算商务标得分</w:t>
            </w:r>
            <w:r>
              <w:rPr>
                <w:rFonts w:hint="eastAsia" w:ascii="宋体" w:hAnsi="宋体" w:eastAsia="宋体" w:cs="宋体"/>
                <w:color w:val="auto"/>
                <w:szCs w:val="21"/>
                <w:highlight w:val="none"/>
                <w:lang w:eastAsia="zh-CN"/>
              </w:rPr>
              <w:t>，除上述情况外，评标价=投标报价。</w:t>
            </w:r>
          </w:p>
          <w:p>
            <w:pPr>
              <w:spacing w:line="420" w:lineRule="atLeas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投标单位</w:t>
            </w:r>
            <w:r>
              <w:rPr>
                <w:rFonts w:hint="eastAsia" w:ascii="宋体" w:hAnsi="宋体" w:eastAsia="宋体" w:cs="宋体"/>
                <w:color w:val="auto"/>
                <w:szCs w:val="21"/>
                <w:highlight w:val="none"/>
              </w:rPr>
              <w:t>按《关于政府采购支持监狱企业发展有关问题的通知》(财库[2014]68号)被认定为监狱企业的，监狱企业视同小型、微型企业。监狱企业以提供由省级以上监狱管理局、戒毒管理局(含新疆生产建设兵团)出具的属于监狱企业的证明文件为准。</w:t>
            </w:r>
          </w:p>
          <w:p>
            <w:pPr>
              <w:spacing w:line="420" w:lineRule="atLeas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投标单位</w:t>
            </w:r>
            <w:r>
              <w:rPr>
                <w:rFonts w:hint="eastAsia" w:ascii="宋体" w:hAnsi="宋体" w:eastAsia="宋体" w:cs="宋体"/>
                <w:color w:val="auto"/>
                <w:szCs w:val="21"/>
                <w:highlight w:val="none"/>
              </w:rPr>
              <w:t>按《关于促进残疾人就业政府采购政策的通知》（财库〔2017〕141号）被认定为残疾人福利性单位视同小型、微型企业。残疾人福利性单位属于小型、微型企业的，不重复享受政策。</w:t>
            </w:r>
          </w:p>
          <w:p>
            <w:pPr>
              <w:spacing w:line="420" w:lineRule="atLeast"/>
              <w:rPr>
                <w:rFonts w:hint="eastAsia" w:ascii="宋体" w:hAnsi="宋体" w:eastAsia="宋体" w:cs="宋体"/>
                <w:b/>
                <w:color w:val="auto"/>
                <w:szCs w:val="21"/>
                <w:highlight w:val="none"/>
              </w:rPr>
            </w:pPr>
            <w:r>
              <w:rPr>
                <w:rFonts w:hint="eastAsia" w:ascii="宋体" w:hAnsi="宋体" w:eastAsia="宋体" w:cs="宋体"/>
                <w:b/>
                <w:bCs/>
                <w:color w:val="auto"/>
                <w:szCs w:val="21"/>
                <w:highlight w:val="none"/>
              </w:rPr>
              <w:t>商务标评分标准</w:t>
            </w:r>
            <w:r>
              <w:rPr>
                <w:rFonts w:hint="eastAsia" w:ascii="宋体" w:hAnsi="宋体" w:eastAsia="宋体" w:cs="宋体"/>
                <w:b/>
                <w:color w:val="auto"/>
                <w:szCs w:val="21"/>
                <w:highlight w:val="none"/>
              </w:rPr>
              <w:t>：</w:t>
            </w:r>
          </w:p>
          <w:p>
            <w:pPr>
              <w:spacing w:line="42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rPr>
              <w:t>某</w:t>
            </w: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的商务标得分=（</w:t>
            </w:r>
            <w:r>
              <w:rPr>
                <w:rFonts w:hint="eastAsia" w:ascii="宋体" w:hAnsi="宋体" w:eastAsia="宋体" w:cs="宋体"/>
                <w:color w:val="auto"/>
                <w:szCs w:val="21"/>
                <w:highlight w:val="none"/>
                <w:lang w:eastAsia="zh-CN"/>
              </w:rPr>
              <w:t>评标</w:t>
            </w:r>
            <w:r>
              <w:rPr>
                <w:rFonts w:hint="eastAsia" w:ascii="宋体" w:hAnsi="宋体" w:eastAsia="宋体" w:cs="宋体"/>
                <w:color w:val="auto"/>
                <w:szCs w:val="21"/>
                <w:highlight w:val="none"/>
              </w:rPr>
              <w:t>基准价/某</w:t>
            </w:r>
            <w:r>
              <w:rPr>
                <w:rFonts w:hint="eastAsia" w:ascii="宋体" w:hAnsi="宋体" w:eastAsia="宋体" w:cs="宋体"/>
                <w:color w:val="auto"/>
                <w:szCs w:val="21"/>
                <w:highlight w:val="none"/>
                <w:lang w:eastAsia="zh-CN"/>
              </w:rPr>
              <w:t>投标人的</w:t>
            </w:r>
            <w:r>
              <w:rPr>
                <w:rFonts w:hint="eastAsia" w:ascii="宋体" w:hAnsi="宋体" w:eastAsia="宋体" w:cs="宋体"/>
                <w:color w:val="auto"/>
                <w:szCs w:val="21"/>
                <w:highlight w:val="none"/>
              </w:rPr>
              <w:t>评标价）×</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03" w:type="dxa"/>
            <w:vAlign w:val="center"/>
          </w:tcPr>
          <w:p>
            <w:pPr>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rPr>
              <w:t>2.2.</w:t>
            </w:r>
            <w:r>
              <w:rPr>
                <w:rFonts w:hint="eastAsia" w:ascii="宋体" w:hAnsi="宋体" w:eastAsia="宋体" w:cs="宋体"/>
                <w:b/>
                <w:color w:val="auto"/>
                <w:szCs w:val="21"/>
                <w:highlight w:val="none"/>
                <w:lang w:val="en-US" w:eastAsia="zh-CN"/>
              </w:rPr>
              <w:t>4</w:t>
            </w:r>
          </w:p>
        </w:tc>
        <w:tc>
          <w:tcPr>
            <w:tcW w:w="1641"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综合得分</w:t>
            </w:r>
          </w:p>
        </w:tc>
        <w:tc>
          <w:tcPr>
            <w:tcW w:w="7805" w:type="dxa"/>
            <w:gridSpan w:val="3"/>
            <w:vAlign w:val="center"/>
          </w:tcPr>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综合得分=该</w:t>
            </w: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的技术标得分+商务标得分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03"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641"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评标程序</w:t>
            </w:r>
          </w:p>
        </w:tc>
        <w:tc>
          <w:tcPr>
            <w:tcW w:w="7805" w:type="dxa"/>
            <w:gridSpan w:val="3"/>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03"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3.1.2</w:t>
            </w:r>
          </w:p>
        </w:tc>
        <w:tc>
          <w:tcPr>
            <w:tcW w:w="1641"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否决投标条件</w:t>
            </w:r>
          </w:p>
        </w:tc>
        <w:tc>
          <w:tcPr>
            <w:tcW w:w="7805" w:type="dxa"/>
            <w:gridSpan w:val="3"/>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详见本章附件B：否决投标条件</w:t>
            </w:r>
          </w:p>
        </w:tc>
      </w:tr>
      <w:bookmarkEnd w:id="217"/>
    </w:tbl>
    <w:p>
      <w:pPr>
        <w:pStyle w:val="3"/>
        <w:jc w:val="center"/>
        <w:rPr>
          <w:rFonts w:hint="eastAsia" w:ascii="宋体" w:hAnsi="宋体" w:eastAsia="宋体" w:cs="宋体"/>
          <w:color w:val="auto"/>
          <w:szCs w:val="21"/>
          <w:highlight w:val="none"/>
        </w:rPr>
      </w:pPr>
      <w:bookmarkStart w:id="218" w:name="_Toc432163846"/>
      <w:bookmarkStart w:id="219" w:name="_Toc1392"/>
    </w:p>
    <w:p>
      <w:pPr>
        <w:rPr>
          <w:rFonts w:hint="eastAsia" w:ascii="宋体" w:hAnsi="宋体" w:eastAsia="宋体" w:cs="宋体"/>
          <w:color w:val="auto"/>
          <w:highlight w:val="none"/>
        </w:rPr>
      </w:pPr>
    </w:p>
    <w:p>
      <w:pPr>
        <w:pStyle w:val="3"/>
        <w:jc w:val="cente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pStyle w:val="2"/>
        <w:rPr>
          <w:rFonts w:hint="eastAsia"/>
          <w:color w:val="auto"/>
          <w:highlight w:val="none"/>
        </w:rPr>
      </w:pPr>
    </w:p>
    <w:p>
      <w:pPr>
        <w:rPr>
          <w:rFonts w:hint="eastAsia" w:ascii="宋体" w:hAnsi="宋体" w:eastAsia="宋体" w:cs="宋体"/>
          <w:color w:val="auto"/>
          <w:szCs w:val="21"/>
          <w:highlight w:val="none"/>
        </w:rPr>
      </w:pPr>
      <w:r>
        <w:rPr>
          <w:rFonts w:hint="eastAsia"/>
          <w:color w:val="auto"/>
          <w:highlight w:val="none"/>
        </w:rPr>
        <w:br w:type="page"/>
      </w:r>
      <w:r>
        <w:rPr>
          <w:rFonts w:hint="eastAsia" w:ascii="宋体" w:hAnsi="宋体" w:eastAsia="宋体" w:cs="宋体"/>
          <w:color w:val="auto"/>
          <w:szCs w:val="21"/>
          <w:highlight w:val="none"/>
        </w:rPr>
        <w:t>评标办法（</w:t>
      </w:r>
      <w:r>
        <w:rPr>
          <w:rFonts w:hint="eastAsia" w:ascii="宋体" w:hAnsi="宋体" w:eastAsia="宋体" w:cs="宋体"/>
          <w:color w:val="auto"/>
          <w:szCs w:val="21"/>
          <w:highlight w:val="none"/>
          <w:lang w:eastAsia="zh-CN"/>
        </w:rPr>
        <w:t>综合评分法</w:t>
      </w:r>
      <w:r>
        <w:rPr>
          <w:rFonts w:hint="eastAsia" w:ascii="宋体" w:hAnsi="宋体" w:eastAsia="宋体" w:cs="宋体"/>
          <w:color w:val="auto"/>
          <w:szCs w:val="21"/>
          <w:highlight w:val="none"/>
        </w:rPr>
        <w:t>）正文部分</w:t>
      </w:r>
      <w:bookmarkEnd w:id="218"/>
      <w:bookmarkEnd w:id="219"/>
    </w:p>
    <w:p>
      <w:pPr>
        <w:pStyle w:val="3"/>
        <w:spacing w:line="460" w:lineRule="exact"/>
        <w:rPr>
          <w:rFonts w:hint="eastAsia" w:ascii="宋体" w:hAnsi="宋体" w:eastAsia="宋体" w:cs="宋体"/>
          <w:color w:val="auto"/>
          <w:sz w:val="21"/>
          <w:szCs w:val="21"/>
          <w:highlight w:val="none"/>
        </w:rPr>
      </w:pPr>
      <w:bookmarkStart w:id="220" w:name="_Toc16787"/>
      <w:bookmarkStart w:id="221" w:name="_Toc397000898"/>
      <w:bookmarkStart w:id="222" w:name="_Toc432163847"/>
      <w:bookmarkStart w:id="223" w:name="_Toc391392767"/>
      <w:bookmarkStart w:id="224" w:name="_Toc184635089"/>
      <w:r>
        <w:rPr>
          <w:rFonts w:hint="eastAsia" w:ascii="宋体" w:hAnsi="宋体" w:eastAsia="宋体" w:cs="宋体"/>
          <w:color w:val="auto"/>
          <w:sz w:val="21"/>
          <w:szCs w:val="21"/>
          <w:highlight w:val="none"/>
        </w:rPr>
        <w:t>1 评标方法</w:t>
      </w:r>
      <w:bookmarkEnd w:id="220"/>
      <w:bookmarkEnd w:id="221"/>
      <w:bookmarkEnd w:id="222"/>
      <w:bookmarkEnd w:id="223"/>
      <w:bookmarkEnd w:id="224"/>
    </w:p>
    <w:p>
      <w:pPr>
        <w:pStyle w:val="3"/>
        <w:spacing w:line="460" w:lineRule="exact"/>
        <w:rPr>
          <w:rFonts w:hint="eastAsia" w:ascii="宋体" w:hAnsi="宋体" w:eastAsia="宋体" w:cs="宋体"/>
          <w:color w:val="auto"/>
          <w:sz w:val="21"/>
          <w:szCs w:val="21"/>
          <w:highlight w:val="none"/>
        </w:rPr>
      </w:pPr>
      <w:bookmarkStart w:id="225" w:name="_Toc14372"/>
      <w:bookmarkStart w:id="226" w:name="_Toc397000899"/>
      <w:bookmarkStart w:id="227" w:name="_Toc432163848"/>
      <w:bookmarkStart w:id="228" w:name="_Toc391392768"/>
      <w:r>
        <w:rPr>
          <w:rFonts w:hint="eastAsia" w:ascii="宋体" w:hAnsi="宋体" w:eastAsia="宋体" w:cs="宋体"/>
          <w:color w:val="auto"/>
          <w:sz w:val="21"/>
          <w:szCs w:val="21"/>
          <w:highlight w:val="none"/>
        </w:rPr>
        <w:t>1.1 总则</w:t>
      </w:r>
      <w:bookmarkEnd w:id="225"/>
      <w:bookmarkEnd w:id="226"/>
      <w:bookmarkEnd w:id="227"/>
      <w:bookmarkEnd w:id="228"/>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本次评标采用</w:t>
      </w:r>
      <w:r>
        <w:rPr>
          <w:rFonts w:hint="eastAsia" w:ascii="宋体" w:hAnsi="宋体" w:eastAsia="宋体" w:cs="宋体"/>
          <w:color w:val="auto"/>
          <w:szCs w:val="21"/>
          <w:highlight w:val="none"/>
          <w:lang w:eastAsia="zh-CN"/>
        </w:rPr>
        <w:t>综合评分法</w:t>
      </w:r>
      <w:r>
        <w:rPr>
          <w:rFonts w:hint="eastAsia" w:ascii="宋体" w:hAnsi="宋体" w:eastAsia="宋体" w:cs="宋体"/>
          <w:color w:val="auto"/>
          <w:szCs w:val="21"/>
          <w:highlight w:val="none"/>
        </w:rPr>
        <w:t>。评标委员会对满足招标文件实质要求的投标文件，按照本章2.2条款进行评审，并按得分由高到低的顺序推荐中标候选人，但投标报价低于其成本的除外。经评审的综合得分相等时，投标报价低的优先；投标报价也相等的，由</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自行确定。</w:t>
      </w:r>
    </w:p>
    <w:p>
      <w:pPr>
        <w:pStyle w:val="3"/>
        <w:spacing w:line="460" w:lineRule="exact"/>
        <w:rPr>
          <w:rFonts w:hint="eastAsia" w:ascii="宋体" w:hAnsi="宋体" w:eastAsia="宋体" w:cs="宋体"/>
          <w:color w:val="auto"/>
          <w:sz w:val="21"/>
          <w:szCs w:val="21"/>
          <w:highlight w:val="none"/>
        </w:rPr>
      </w:pPr>
      <w:bookmarkStart w:id="229" w:name="_Toc391392770"/>
      <w:bookmarkStart w:id="230" w:name="_Toc397000900"/>
      <w:bookmarkStart w:id="231" w:name="_Toc432163849"/>
      <w:bookmarkStart w:id="232" w:name="_Toc184635090"/>
      <w:bookmarkStart w:id="233" w:name="_Toc28598"/>
      <w:r>
        <w:rPr>
          <w:rFonts w:hint="eastAsia" w:ascii="宋体" w:hAnsi="宋体" w:eastAsia="宋体" w:cs="宋体"/>
          <w:color w:val="auto"/>
          <w:sz w:val="21"/>
          <w:szCs w:val="21"/>
          <w:highlight w:val="none"/>
        </w:rPr>
        <w:t>2 评审标准</w:t>
      </w:r>
      <w:bookmarkEnd w:id="229"/>
      <w:bookmarkEnd w:id="230"/>
      <w:bookmarkEnd w:id="231"/>
      <w:bookmarkEnd w:id="232"/>
      <w:bookmarkEnd w:id="233"/>
    </w:p>
    <w:p>
      <w:pPr>
        <w:pStyle w:val="3"/>
        <w:spacing w:line="460" w:lineRule="exact"/>
        <w:rPr>
          <w:rFonts w:hint="eastAsia" w:ascii="宋体" w:hAnsi="宋体" w:eastAsia="宋体" w:cs="宋体"/>
          <w:color w:val="auto"/>
          <w:sz w:val="21"/>
          <w:szCs w:val="21"/>
          <w:highlight w:val="none"/>
        </w:rPr>
      </w:pPr>
      <w:bookmarkStart w:id="234" w:name="_Toc391392771"/>
      <w:bookmarkStart w:id="235" w:name="_Toc397000901"/>
      <w:bookmarkStart w:id="236" w:name="_Toc25249"/>
      <w:bookmarkStart w:id="237" w:name="_Toc432163850"/>
      <w:r>
        <w:rPr>
          <w:rFonts w:hint="eastAsia" w:ascii="宋体" w:hAnsi="宋体" w:eastAsia="宋体" w:cs="宋体"/>
          <w:color w:val="auto"/>
          <w:sz w:val="21"/>
          <w:szCs w:val="21"/>
          <w:highlight w:val="none"/>
        </w:rPr>
        <w:t>2.1 初步评审标准</w:t>
      </w:r>
      <w:bookmarkEnd w:id="234"/>
      <w:bookmarkEnd w:id="235"/>
      <w:bookmarkEnd w:id="236"/>
      <w:bookmarkEnd w:id="237"/>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2.1.1资格评审标准：见“评标办法前附表”。</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2.1.2形式评审标准：见“评标办法前附表”。</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2.1.3 响应性评审标准：见“评标办法前附表”。</w:t>
      </w:r>
    </w:p>
    <w:p>
      <w:pPr>
        <w:pStyle w:val="3"/>
        <w:spacing w:line="460" w:lineRule="exact"/>
        <w:rPr>
          <w:rFonts w:hint="eastAsia" w:ascii="宋体" w:hAnsi="宋体" w:eastAsia="宋体" w:cs="宋体"/>
          <w:color w:val="auto"/>
          <w:sz w:val="21"/>
          <w:szCs w:val="21"/>
          <w:highlight w:val="none"/>
        </w:rPr>
      </w:pPr>
      <w:bookmarkStart w:id="238" w:name="_Toc391392772"/>
      <w:bookmarkStart w:id="239" w:name="_Toc397000902"/>
      <w:bookmarkStart w:id="240" w:name="_Toc432163851"/>
      <w:bookmarkStart w:id="241" w:name="_Toc15013"/>
      <w:r>
        <w:rPr>
          <w:rFonts w:hint="eastAsia" w:ascii="宋体" w:hAnsi="宋体" w:eastAsia="宋体" w:cs="宋体"/>
          <w:color w:val="auto"/>
          <w:sz w:val="21"/>
          <w:szCs w:val="21"/>
          <w:highlight w:val="none"/>
        </w:rPr>
        <w:t>2.2 详细评审标准</w:t>
      </w:r>
      <w:bookmarkEnd w:id="238"/>
      <w:bookmarkEnd w:id="239"/>
      <w:bookmarkEnd w:id="240"/>
      <w:bookmarkEnd w:id="241"/>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2.2.1技术标评审标准：见“评标办法前附表”。</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2.2.2商务标评审标准：见“评标办法前附表”。</w:t>
      </w:r>
    </w:p>
    <w:p>
      <w:pPr>
        <w:pStyle w:val="3"/>
        <w:spacing w:line="460" w:lineRule="exact"/>
        <w:rPr>
          <w:rFonts w:hint="eastAsia" w:ascii="宋体" w:hAnsi="宋体" w:eastAsia="宋体" w:cs="宋体"/>
          <w:color w:val="auto"/>
          <w:sz w:val="21"/>
          <w:szCs w:val="21"/>
          <w:highlight w:val="none"/>
        </w:rPr>
      </w:pPr>
      <w:bookmarkStart w:id="242" w:name="_Toc397000903"/>
      <w:bookmarkStart w:id="243" w:name="_Toc432163852"/>
      <w:bookmarkStart w:id="244" w:name="_Toc26427"/>
      <w:bookmarkStart w:id="245" w:name="_Toc391392773"/>
      <w:bookmarkStart w:id="246" w:name="_Toc184635091"/>
      <w:r>
        <w:rPr>
          <w:rFonts w:hint="eastAsia" w:ascii="宋体" w:hAnsi="宋体" w:eastAsia="宋体" w:cs="宋体"/>
          <w:color w:val="auto"/>
          <w:sz w:val="21"/>
          <w:szCs w:val="21"/>
          <w:highlight w:val="none"/>
        </w:rPr>
        <w:t>3 评标程序</w:t>
      </w:r>
      <w:bookmarkEnd w:id="242"/>
      <w:bookmarkEnd w:id="243"/>
      <w:bookmarkEnd w:id="244"/>
      <w:bookmarkEnd w:id="245"/>
      <w:bookmarkEnd w:id="246"/>
    </w:p>
    <w:p>
      <w:pPr>
        <w:pStyle w:val="3"/>
        <w:spacing w:line="460" w:lineRule="exact"/>
        <w:rPr>
          <w:rFonts w:hint="eastAsia" w:ascii="宋体" w:hAnsi="宋体" w:eastAsia="宋体" w:cs="宋体"/>
          <w:color w:val="auto"/>
          <w:sz w:val="21"/>
          <w:szCs w:val="21"/>
          <w:highlight w:val="none"/>
        </w:rPr>
      </w:pPr>
      <w:bookmarkStart w:id="247" w:name="_Toc397000904"/>
      <w:bookmarkStart w:id="248" w:name="_Toc11974"/>
      <w:bookmarkStart w:id="249" w:name="_Toc391392774"/>
      <w:bookmarkStart w:id="250" w:name="_Toc432163853"/>
      <w:r>
        <w:rPr>
          <w:rFonts w:hint="eastAsia" w:ascii="宋体" w:hAnsi="宋体" w:eastAsia="宋体" w:cs="宋体"/>
          <w:color w:val="auto"/>
          <w:sz w:val="21"/>
          <w:szCs w:val="21"/>
          <w:highlight w:val="none"/>
        </w:rPr>
        <w:t>3.1 初步评审</w:t>
      </w:r>
      <w:bookmarkEnd w:id="247"/>
      <w:bookmarkEnd w:id="248"/>
      <w:bookmarkEnd w:id="249"/>
      <w:bookmarkEnd w:id="250"/>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3.1.1评标委员会依据本章第2.1 款规定的标准对投标文件进行初步评审。有一项不符合评审标准的，作否决投标处理。</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3.1.2 投标人有以下情形之一的，其投标作否决投标处理：</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（1）第二章“投标人须知”第1.4.3 项规定的任何一种情形的；</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（2）串通投标或弄虚作假或有其他违法行为的；</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（3）不按评标委员会要求澄清、说明或补正的。</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3.1.3 投标报价有算术错误的，评标委员会按以下原则对投标报价进行修正，修正的价格经投标人书面确认后具有约束力。投标人不接受修正价格的，其投标作否决投标处理。</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（1）投标文件中的大写金额与小写金额不一致的，以大写金额为准；</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（2）总价金额与依据单价计算出的结果不一致的，以单价金额为准修正总价，但单价金额小数点有明显错误的除外。</w:t>
      </w:r>
    </w:p>
    <w:p>
      <w:pPr>
        <w:pStyle w:val="3"/>
        <w:spacing w:line="460" w:lineRule="exact"/>
        <w:rPr>
          <w:rFonts w:hint="eastAsia" w:ascii="宋体" w:hAnsi="宋体" w:eastAsia="宋体" w:cs="宋体"/>
          <w:color w:val="auto"/>
          <w:sz w:val="21"/>
          <w:szCs w:val="21"/>
          <w:highlight w:val="none"/>
        </w:rPr>
      </w:pPr>
      <w:bookmarkStart w:id="251" w:name="_Toc397000905"/>
      <w:bookmarkStart w:id="252" w:name="_Toc391392775"/>
      <w:bookmarkStart w:id="253" w:name="_Toc432163854"/>
      <w:bookmarkStart w:id="254" w:name="_Toc28334"/>
      <w:r>
        <w:rPr>
          <w:rFonts w:hint="eastAsia" w:ascii="宋体" w:hAnsi="宋体" w:eastAsia="宋体" w:cs="宋体"/>
          <w:color w:val="auto"/>
          <w:sz w:val="21"/>
          <w:szCs w:val="21"/>
          <w:highlight w:val="none"/>
        </w:rPr>
        <w:t>3.2 详细评审</w:t>
      </w:r>
      <w:bookmarkEnd w:id="251"/>
      <w:bookmarkEnd w:id="252"/>
      <w:bookmarkEnd w:id="253"/>
      <w:bookmarkEnd w:id="254"/>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3.2.1 评标委员会按本章第2.2.2 款的规定计算出评标基准价。</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3.2.2 评分分值计算保留小数点后两位，小数点后第三位“四舍五入”。</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3.2.3 评标委员会发现投标人的报价明显低于其他投标报价，或者在设有标底时明显低于标底，使得其投标报价可能低于其成本的，应当要求该投标人作出书面说明并提供相应的证明材料。投标人不能合理说明或者不能提供相应证明材料的，由评标委员会认定该投标人以低于成本报价竞标。</w:t>
      </w:r>
    </w:p>
    <w:p>
      <w:pPr>
        <w:pStyle w:val="3"/>
        <w:spacing w:line="460" w:lineRule="exact"/>
        <w:rPr>
          <w:rFonts w:hint="eastAsia" w:ascii="宋体" w:hAnsi="宋体" w:eastAsia="宋体" w:cs="宋体"/>
          <w:color w:val="auto"/>
          <w:sz w:val="21"/>
          <w:szCs w:val="21"/>
          <w:highlight w:val="none"/>
        </w:rPr>
      </w:pPr>
      <w:bookmarkStart w:id="255" w:name="_Toc432163855"/>
      <w:bookmarkStart w:id="256" w:name="_Toc12299"/>
      <w:bookmarkStart w:id="257" w:name="_Toc397000906"/>
      <w:bookmarkStart w:id="258" w:name="_Toc391392776"/>
      <w:r>
        <w:rPr>
          <w:rFonts w:hint="eastAsia" w:ascii="宋体" w:hAnsi="宋体" w:eastAsia="宋体" w:cs="宋体"/>
          <w:color w:val="auto"/>
          <w:sz w:val="21"/>
          <w:szCs w:val="21"/>
          <w:highlight w:val="none"/>
        </w:rPr>
        <w:t>3.3 投标文件的澄清和补正</w:t>
      </w:r>
      <w:bookmarkEnd w:id="255"/>
      <w:bookmarkEnd w:id="256"/>
      <w:bookmarkEnd w:id="257"/>
      <w:bookmarkEnd w:id="258"/>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3.3.1 在评标过程中，评标委员会可以书面形式要求投标人对所提交的投标文件中不明确的内容进行书面澄清或说明，或者对细微偏差进行补正。评标委员会不接受投标人主动提出的澄清、说明或补正。</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3.3.2 澄清、说明和补正不得改变投标文件的实质性内容（算术性错误修正的除外）。投标人的书面澄清、说明和补正属于投标文件的组成部分。</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3.3.3 评标委员会对投标人提交的澄清、说明或补正有疑问的，可以要求投标人进一步澄清、说明或补正，直至满足评标委员会的要求。</w:t>
      </w:r>
    </w:p>
    <w:p>
      <w:pPr>
        <w:pStyle w:val="3"/>
        <w:spacing w:line="460" w:lineRule="exact"/>
        <w:rPr>
          <w:rFonts w:hint="eastAsia" w:ascii="宋体" w:hAnsi="宋体" w:eastAsia="宋体" w:cs="宋体"/>
          <w:color w:val="auto"/>
          <w:sz w:val="21"/>
          <w:szCs w:val="21"/>
          <w:highlight w:val="none"/>
        </w:rPr>
      </w:pPr>
      <w:bookmarkStart w:id="259" w:name="_Toc23207"/>
      <w:bookmarkStart w:id="260" w:name="_Toc397000907"/>
      <w:bookmarkStart w:id="261" w:name="_Toc432163856"/>
      <w:bookmarkStart w:id="262" w:name="_Toc391392777"/>
      <w:r>
        <w:rPr>
          <w:rFonts w:hint="eastAsia" w:ascii="宋体" w:hAnsi="宋体" w:eastAsia="宋体" w:cs="宋体"/>
          <w:color w:val="auto"/>
          <w:sz w:val="21"/>
          <w:szCs w:val="21"/>
          <w:highlight w:val="none"/>
        </w:rPr>
        <w:t>3.4 评标结果</w:t>
      </w:r>
      <w:bookmarkEnd w:id="259"/>
      <w:bookmarkEnd w:id="260"/>
      <w:bookmarkEnd w:id="261"/>
      <w:bookmarkEnd w:id="262"/>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3.4.1 除第二章“投标人须知”前附表授权直接确定中标人外，评标委员会按照经评审的综合得分由高到低的顺序推荐第一中标候选人、第二中标候选人、第三中标候选人。</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3.4.2 评标委员会完成评标后，应当向</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提交书面评标报告。</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3.4.3 评标委员会应将评标过程中使用的文件、表格以及其他材料应当即时归还</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w:t>
      </w:r>
    </w:p>
    <w:p>
      <w:pPr>
        <w:rPr>
          <w:rFonts w:hint="eastAsia"/>
          <w:color w:val="auto"/>
          <w:highlight w:val="none"/>
        </w:rPr>
        <w:sectPr>
          <w:pgSz w:w="11907" w:h="16840"/>
          <w:pgMar w:top="1418" w:right="1134" w:bottom="1418" w:left="1134" w:header="851" w:footer="992" w:gutter="0"/>
          <w:pgNumType w:fmt="decimal"/>
          <w:cols w:space="720" w:num="1"/>
          <w:docGrid w:type="lines" w:linePitch="312" w:charSpace="0"/>
        </w:sectPr>
      </w:pPr>
      <w:r>
        <w:rPr>
          <w:rFonts w:hint="eastAsia" w:ascii="宋体" w:hAnsi="宋体" w:eastAsia="宋体" w:cs="宋体"/>
          <w:color w:val="auto"/>
          <w:szCs w:val="21"/>
          <w:highlight w:val="none"/>
        </w:rPr>
        <w:br w:type="page"/>
      </w:r>
    </w:p>
    <w:p>
      <w:pPr>
        <w:rPr>
          <w:rFonts w:hint="eastAsia" w:ascii="宋体" w:hAnsi="宋体" w:eastAsia="宋体" w:cs="宋体"/>
          <w:b/>
          <w:color w:val="auto"/>
          <w:sz w:val="24"/>
          <w:highlight w:val="none"/>
        </w:rPr>
      </w:pPr>
      <w:bookmarkStart w:id="263" w:name="_Toc397000908"/>
      <w:bookmarkStart w:id="264" w:name="_Toc391392778"/>
      <w:r>
        <w:rPr>
          <w:rFonts w:hint="eastAsia" w:ascii="宋体" w:hAnsi="宋体" w:eastAsia="宋体" w:cs="宋体"/>
          <w:b/>
          <w:color w:val="auto"/>
          <w:sz w:val="24"/>
          <w:highlight w:val="none"/>
        </w:rPr>
        <w:t>附件A：评标详细程序</w:t>
      </w:r>
      <w:bookmarkEnd w:id="263"/>
      <w:bookmarkEnd w:id="264"/>
    </w:p>
    <w:p>
      <w:pPr>
        <w:ind w:firstLine="3247" w:firstLineChars="1078"/>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评标详细程序</w:t>
      </w:r>
    </w:p>
    <w:p>
      <w:pPr>
        <w:spacing w:line="500" w:lineRule="exact"/>
        <w:rPr>
          <w:rFonts w:hint="eastAsia" w:ascii="宋体" w:hAnsi="宋体" w:eastAsia="宋体" w:cs="宋体"/>
          <w:b/>
          <w:color w:val="auto"/>
          <w:szCs w:val="21"/>
          <w:highlight w:val="none"/>
        </w:rPr>
      </w:pPr>
      <w:bookmarkStart w:id="265" w:name="_Toc397000909"/>
      <w:bookmarkStart w:id="266" w:name="_Toc391392779"/>
      <w:r>
        <w:rPr>
          <w:rFonts w:hint="eastAsia" w:ascii="宋体" w:hAnsi="宋体" w:eastAsia="宋体" w:cs="宋体"/>
          <w:b/>
          <w:color w:val="auto"/>
          <w:szCs w:val="21"/>
          <w:highlight w:val="none"/>
        </w:rPr>
        <w:t>A0 总  则</w:t>
      </w:r>
      <w:bookmarkEnd w:id="265"/>
      <w:bookmarkEnd w:id="266"/>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本附件是本章“评标办法”的组成部分，是对本章第3条所规定的评标程序的进一步细化，评标委员会应当按照本附件所规定的详细程序开展并完成评标工作。</w:t>
      </w:r>
    </w:p>
    <w:p>
      <w:pPr>
        <w:spacing w:line="500" w:lineRule="exact"/>
        <w:rPr>
          <w:rFonts w:hint="eastAsia" w:ascii="宋体" w:hAnsi="宋体" w:eastAsia="宋体" w:cs="宋体"/>
          <w:b/>
          <w:color w:val="auto"/>
          <w:szCs w:val="21"/>
          <w:highlight w:val="none"/>
        </w:rPr>
      </w:pPr>
      <w:bookmarkStart w:id="267" w:name="_Toc391392780"/>
      <w:bookmarkStart w:id="268" w:name="_Toc397000910"/>
      <w:r>
        <w:rPr>
          <w:rFonts w:hint="eastAsia" w:ascii="宋体" w:hAnsi="宋体" w:eastAsia="宋体" w:cs="宋体"/>
          <w:b/>
          <w:color w:val="auto"/>
          <w:szCs w:val="21"/>
          <w:highlight w:val="none"/>
        </w:rPr>
        <w:t>A1 基本程序</w:t>
      </w:r>
      <w:bookmarkEnd w:id="267"/>
      <w:bookmarkEnd w:id="268"/>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评标活动将按以下五个步骤进行：</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（1）评标准备；</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（2）初步评审：</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（3）详细评审；</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（4）澄清、说明或补正；</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（5）推荐中标候选人或者直接确定中标人及提交评标报告。</w:t>
      </w:r>
    </w:p>
    <w:p>
      <w:pPr>
        <w:spacing w:line="500" w:lineRule="exact"/>
        <w:rPr>
          <w:rFonts w:hint="eastAsia" w:ascii="宋体" w:hAnsi="宋体" w:eastAsia="宋体" w:cs="宋体"/>
          <w:b/>
          <w:color w:val="auto"/>
          <w:szCs w:val="21"/>
          <w:highlight w:val="none"/>
        </w:rPr>
      </w:pPr>
      <w:bookmarkStart w:id="269" w:name="_Toc397000911"/>
      <w:bookmarkStart w:id="270" w:name="_Toc391392781"/>
      <w:r>
        <w:rPr>
          <w:rFonts w:hint="eastAsia" w:ascii="宋体" w:hAnsi="宋体" w:eastAsia="宋体" w:cs="宋体"/>
          <w:b/>
          <w:color w:val="auto"/>
          <w:szCs w:val="21"/>
          <w:highlight w:val="none"/>
        </w:rPr>
        <w:t>A2 评标准备</w:t>
      </w:r>
      <w:bookmarkEnd w:id="269"/>
      <w:bookmarkEnd w:id="270"/>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A2.1评标委员会成员签到</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评标委员会成员到达评标现场时应在签到表上签到以证明其出席。</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A2.2评标委员会的分工</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评标委员会首先推选一名评标委员会主任。评标委员会主任负责评标活动的组织工作。当需要划分技术类、经济类评委时，应按照规定组建为技术组评委和经济组评委。</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代表参加评标委员会的，应明确参加类别。采用工程量清单计价时，经济类的评委不应少于评标委员会总数的二分之一</w:t>
      </w:r>
    </w:p>
    <w:p>
      <w:pPr>
        <w:spacing w:line="500" w:lineRule="exact"/>
        <w:ind w:firstLine="420" w:firstLineChars="200"/>
        <w:rPr>
          <w:rFonts w:hint="eastAsia" w:ascii="宋体" w:hAnsi="宋体" w:eastAsia="宋体" w:cs="宋体"/>
          <w:color w:val="auto"/>
          <w:szCs w:val="21"/>
          <w:highlight w:val="none"/>
        </w:rPr>
      </w:pPr>
      <w:bookmarkStart w:id="271" w:name="_Toc391392782"/>
      <w:bookmarkStart w:id="272" w:name="_Toc397000912"/>
      <w:r>
        <w:rPr>
          <w:rFonts w:hint="eastAsia" w:ascii="宋体" w:hAnsi="宋体" w:eastAsia="宋体" w:cs="宋体"/>
          <w:color w:val="auto"/>
          <w:szCs w:val="21"/>
          <w:highlight w:val="none"/>
        </w:rPr>
        <w:t>A2.3熟悉文件资料</w:t>
      </w:r>
      <w:bookmarkEnd w:id="271"/>
      <w:bookmarkEnd w:id="272"/>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A2.3.1  评标委员会主任应组织评标委员会成员认真研究招标文件，了解和熟悉招标目的、招标范围、主要合同条件、技术标准和要求、质量标准和工期要求等，掌握评标标准和方法，熟悉本章及附件中包括的评标表格的使用。</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A2.3.2  </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或</w:t>
      </w:r>
      <w:r>
        <w:rPr>
          <w:rFonts w:hint="eastAsia" w:ascii="宋体" w:hAnsi="宋体" w:eastAsia="宋体" w:cs="宋体"/>
          <w:color w:val="auto"/>
          <w:szCs w:val="21"/>
          <w:highlight w:val="none"/>
          <w:lang w:eastAsia="zh-CN"/>
        </w:rPr>
        <w:t>采购代理机构</w:t>
      </w:r>
      <w:r>
        <w:rPr>
          <w:rFonts w:hint="eastAsia" w:ascii="宋体" w:hAnsi="宋体" w:eastAsia="宋体" w:cs="宋体"/>
          <w:color w:val="auto"/>
          <w:szCs w:val="21"/>
          <w:highlight w:val="none"/>
        </w:rPr>
        <w:t>应向评标委员会提供评标所需的信息和数据。</w:t>
      </w:r>
    </w:p>
    <w:p>
      <w:pPr>
        <w:spacing w:line="500" w:lineRule="exact"/>
        <w:rPr>
          <w:rFonts w:hint="eastAsia" w:ascii="宋体" w:hAnsi="宋体" w:eastAsia="宋体" w:cs="宋体"/>
          <w:b/>
          <w:color w:val="auto"/>
          <w:szCs w:val="21"/>
          <w:highlight w:val="none"/>
        </w:rPr>
      </w:pPr>
      <w:bookmarkStart w:id="273" w:name="_Toc391392783"/>
      <w:bookmarkStart w:id="274" w:name="_Toc397000913"/>
      <w:r>
        <w:rPr>
          <w:rFonts w:hint="eastAsia" w:ascii="宋体" w:hAnsi="宋体" w:eastAsia="宋体" w:cs="宋体"/>
          <w:b/>
          <w:color w:val="auto"/>
          <w:szCs w:val="21"/>
          <w:highlight w:val="none"/>
        </w:rPr>
        <w:t>A3 初步评审</w:t>
      </w:r>
      <w:bookmarkEnd w:id="273"/>
      <w:bookmarkEnd w:id="274"/>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A3.1资格评审</w:t>
      </w:r>
    </w:p>
    <w:p>
      <w:pPr>
        <w:spacing w:line="500" w:lineRule="exact"/>
        <w:ind w:firstLine="412" w:firstLineChars="200"/>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评标委员会根据“评标办法前附表”中规定的评审因素和评审标准，对投标人的投标文件进行资格评审。</w:t>
      </w:r>
    </w:p>
    <w:p>
      <w:pPr>
        <w:spacing w:line="500" w:lineRule="exact"/>
        <w:ind w:firstLine="420" w:firstLineChars="200"/>
        <w:rPr>
          <w:rFonts w:hint="eastAsia" w:ascii="宋体" w:hAnsi="宋体" w:eastAsia="宋体" w:cs="宋体"/>
          <w:color w:val="auto"/>
          <w:szCs w:val="21"/>
          <w:highlight w:val="none"/>
        </w:rPr>
      </w:pPr>
      <w:bookmarkStart w:id="275" w:name="_Toc397000914"/>
      <w:bookmarkStart w:id="276" w:name="_Toc391392784"/>
      <w:r>
        <w:rPr>
          <w:rFonts w:hint="eastAsia" w:ascii="宋体" w:hAnsi="宋体" w:eastAsia="宋体" w:cs="宋体"/>
          <w:color w:val="auto"/>
          <w:szCs w:val="21"/>
          <w:highlight w:val="none"/>
        </w:rPr>
        <w:t>A3.2形式评审</w:t>
      </w:r>
      <w:bookmarkEnd w:id="275"/>
      <w:bookmarkEnd w:id="276"/>
    </w:p>
    <w:p>
      <w:pPr>
        <w:spacing w:line="500" w:lineRule="exact"/>
        <w:ind w:firstLine="412" w:firstLineChars="200"/>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评标委员会根据“评标办法前附表”中规定的评审因素和评审标准，对投标人的投标文件进行形式评审。</w:t>
      </w:r>
    </w:p>
    <w:p>
      <w:pPr>
        <w:spacing w:line="500" w:lineRule="exact"/>
        <w:ind w:firstLine="420" w:firstLineChars="200"/>
        <w:rPr>
          <w:rFonts w:hint="eastAsia" w:ascii="宋体" w:hAnsi="宋体" w:eastAsia="宋体" w:cs="宋体"/>
          <w:color w:val="auto"/>
          <w:szCs w:val="21"/>
          <w:highlight w:val="none"/>
        </w:rPr>
      </w:pPr>
      <w:bookmarkStart w:id="277" w:name="_Toc391392785"/>
      <w:bookmarkStart w:id="278" w:name="_Toc397000915"/>
      <w:r>
        <w:rPr>
          <w:rFonts w:hint="eastAsia" w:ascii="宋体" w:hAnsi="宋体" w:eastAsia="宋体" w:cs="宋体"/>
          <w:color w:val="auto"/>
          <w:szCs w:val="21"/>
          <w:highlight w:val="none"/>
        </w:rPr>
        <w:t>A3.3 响应性评审</w:t>
      </w:r>
      <w:bookmarkEnd w:id="277"/>
      <w:bookmarkEnd w:id="278"/>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A3.3.1评标委员会根据“评标办法前附表”中规定的评审因素和评审标准，对投标人的投标文件进行响应性评审。</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A3.3.2投标人投标总价不得超出（不含等于）第二章 “投标人须知”前附表第10.2款载明的招标控制价，凡投标人的投标总价超出招标控制价的，该投标人的投标文件不能通过响应性评审。</w:t>
      </w:r>
    </w:p>
    <w:p>
      <w:pPr>
        <w:spacing w:line="500" w:lineRule="exact"/>
        <w:ind w:firstLine="420" w:firstLineChars="200"/>
        <w:rPr>
          <w:rFonts w:hint="eastAsia" w:ascii="宋体" w:hAnsi="宋体" w:eastAsia="宋体" w:cs="宋体"/>
          <w:color w:val="auto"/>
          <w:szCs w:val="21"/>
          <w:highlight w:val="none"/>
        </w:rPr>
      </w:pPr>
      <w:bookmarkStart w:id="279" w:name="_Toc391392786"/>
      <w:bookmarkStart w:id="280" w:name="_Toc397000916"/>
      <w:r>
        <w:rPr>
          <w:rFonts w:hint="eastAsia" w:ascii="宋体" w:hAnsi="宋体" w:eastAsia="宋体" w:cs="宋体"/>
          <w:color w:val="auto"/>
          <w:szCs w:val="21"/>
          <w:highlight w:val="none"/>
        </w:rPr>
        <w:t>A3.4 施工组织设计评审</w:t>
      </w:r>
      <w:bookmarkEnd w:id="279"/>
      <w:bookmarkEnd w:id="280"/>
    </w:p>
    <w:p>
      <w:pPr>
        <w:spacing w:line="500" w:lineRule="exact"/>
        <w:ind w:firstLine="412" w:firstLineChars="200"/>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评标委员会根据“评标办法前附表”中规定的评审因素和评审标准，对投标人的施工组织设计进行评审。</w:t>
      </w:r>
    </w:p>
    <w:p>
      <w:pPr>
        <w:spacing w:line="500" w:lineRule="exact"/>
        <w:ind w:firstLine="420" w:firstLineChars="200"/>
        <w:rPr>
          <w:rFonts w:hint="eastAsia" w:ascii="宋体" w:hAnsi="宋体" w:eastAsia="宋体" w:cs="宋体"/>
          <w:color w:val="auto"/>
          <w:szCs w:val="21"/>
          <w:highlight w:val="none"/>
        </w:rPr>
      </w:pPr>
      <w:bookmarkStart w:id="281" w:name="_Toc391392787"/>
      <w:bookmarkStart w:id="282" w:name="_Toc397000917"/>
      <w:r>
        <w:rPr>
          <w:rFonts w:hint="eastAsia" w:ascii="宋体" w:hAnsi="宋体" w:eastAsia="宋体" w:cs="宋体"/>
          <w:color w:val="auto"/>
          <w:szCs w:val="21"/>
          <w:highlight w:val="none"/>
        </w:rPr>
        <w:t>A3.5 判断投标是否为否决投标</w:t>
      </w:r>
      <w:bookmarkEnd w:id="281"/>
      <w:bookmarkEnd w:id="282"/>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A3.5.1判断投标人的投标是否为否决投标的全部条件（包括本章第3.1.2项中规定的条件），在本章附件B中集中列示。</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A3.5.2本章附件B集中列示的否决投标条件不应与第二章“投标人须知”和本章正文部分包括的否决投标条件抵触，如果出现相互矛盾的情况，以第二章“投标人须知”和本章正文部分的规定为准。</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A3.5.3评标委员会在评标（包括初步评审和详细评审）过程中，依据本章附件B中规定的否决投标条件判断投标人的投标是否为否决投标。</w:t>
      </w:r>
    </w:p>
    <w:p>
      <w:pPr>
        <w:spacing w:line="500" w:lineRule="exact"/>
        <w:ind w:firstLine="420" w:firstLineChars="200"/>
        <w:rPr>
          <w:rFonts w:hint="eastAsia" w:ascii="宋体" w:hAnsi="宋体" w:eastAsia="宋体" w:cs="宋体"/>
          <w:color w:val="auto"/>
          <w:szCs w:val="21"/>
          <w:highlight w:val="none"/>
        </w:rPr>
      </w:pPr>
      <w:bookmarkStart w:id="283" w:name="_Toc391392788"/>
      <w:bookmarkStart w:id="284" w:name="_Toc397000918"/>
      <w:r>
        <w:rPr>
          <w:rFonts w:hint="eastAsia" w:ascii="宋体" w:hAnsi="宋体" w:eastAsia="宋体" w:cs="宋体"/>
          <w:color w:val="auto"/>
          <w:szCs w:val="21"/>
          <w:highlight w:val="none"/>
        </w:rPr>
        <w:t>A3.6算术错误修正</w:t>
      </w:r>
      <w:bookmarkEnd w:id="283"/>
      <w:bookmarkEnd w:id="284"/>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评标委员会依据本章中规定的相关原则对投标报价中存在的算术错误进行修正，并根据算术错误修正结果计算评标价。</w:t>
      </w:r>
    </w:p>
    <w:p>
      <w:pPr>
        <w:spacing w:line="500" w:lineRule="exact"/>
        <w:ind w:firstLine="420" w:firstLineChars="200"/>
        <w:rPr>
          <w:rFonts w:hint="eastAsia" w:ascii="宋体" w:hAnsi="宋体" w:eastAsia="宋体" w:cs="宋体"/>
          <w:color w:val="auto"/>
          <w:szCs w:val="21"/>
          <w:highlight w:val="none"/>
        </w:rPr>
      </w:pPr>
      <w:bookmarkStart w:id="285" w:name="_Toc397000919"/>
      <w:bookmarkStart w:id="286" w:name="_Toc391392789"/>
      <w:r>
        <w:rPr>
          <w:rFonts w:hint="eastAsia" w:ascii="宋体" w:hAnsi="宋体" w:eastAsia="宋体" w:cs="宋体"/>
          <w:color w:val="auto"/>
          <w:szCs w:val="21"/>
          <w:highlight w:val="none"/>
        </w:rPr>
        <w:t>A3.7澄清、说明或补正</w:t>
      </w:r>
      <w:bookmarkEnd w:id="285"/>
      <w:bookmarkEnd w:id="286"/>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初步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spacing w:line="500" w:lineRule="exact"/>
        <w:rPr>
          <w:rFonts w:hint="eastAsia" w:ascii="宋体" w:hAnsi="宋体" w:eastAsia="宋体" w:cs="宋体"/>
          <w:color w:val="auto"/>
          <w:szCs w:val="21"/>
          <w:highlight w:val="none"/>
        </w:rPr>
      </w:pPr>
      <w:bookmarkStart w:id="287" w:name="_Toc391392790"/>
      <w:bookmarkStart w:id="288" w:name="_Toc397000920"/>
      <w:r>
        <w:rPr>
          <w:rFonts w:hint="eastAsia" w:ascii="宋体" w:hAnsi="宋体" w:eastAsia="宋体" w:cs="宋体"/>
          <w:color w:val="auto"/>
          <w:szCs w:val="21"/>
          <w:highlight w:val="none"/>
        </w:rPr>
        <w:t>A4 详细评审</w:t>
      </w:r>
      <w:bookmarkEnd w:id="287"/>
      <w:bookmarkEnd w:id="288"/>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只有通过了初步评审、被判定为合格的投标方可进入详细评审。</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A4.1 对投标文件进行基础性数据分析和整理工作（清标）</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A4.2 详细评审的程序</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A4.2.1 评标委员会按照本章第3.2款中规定的程序进行详细评审：</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（1）技术标评审和评分；</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（2）商务标评审和评分；</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（3）汇总评分结果。</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A4.3 技术标评审和评分 </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按照“评标办法前附表”中规定的分值设定、各项评分因素、评分标准，由评标委员会的技术组评委进行评审和评分。</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A4.4 商务标评审和评分</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A4.4.1  按照“评标办法前附表”中规定的方法计算“</w:t>
      </w:r>
      <w:r>
        <w:rPr>
          <w:rFonts w:hint="eastAsia" w:ascii="宋体" w:hAnsi="宋体" w:eastAsia="宋体" w:cs="宋体"/>
          <w:color w:val="auto"/>
          <w:szCs w:val="21"/>
          <w:highlight w:val="none"/>
          <w:lang w:eastAsia="zh-CN"/>
        </w:rPr>
        <w:t>综合评分法</w:t>
      </w:r>
      <w:r>
        <w:rPr>
          <w:rFonts w:hint="eastAsia" w:ascii="宋体" w:hAnsi="宋体" w:eastAsia="宋体" w:cs="宋体"/>
          <w:color w:val="auto"/>
          <w:szCs w:val="21"/>
          <w:highlight w:val="none"/>
        </w:rPr>
        <w:t>”。</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A4.4.2  按照“评标办法前附表”中规定的方法，计算各个已通过了初步评审和技术标评审的投标人商务标得分。</w:t>
      </w:r>
    </w:p>
    <w:p>
      <w:pPr>
        <w:spacing w:line="500" w:lineRule="exact"/>
        <w:ind w:firstLine="420" w:firstLineChars="200"/>
        <w:rPr>
          <w:rFonts w:hint="eastAsia" w:ascii="宋体" w:hAnsi="宋体" w:eastAsia="宋体" w:cs="宋体"/>
          <w:color w:val="auto"/>
          <w:szCs w:val="21"/>
          <w:highlight w:val="none"/>
        </w:rPr>
      </w:pPr>
      <w:bookmarkStart w:id="289" w:name="_Toc397000921"/>
      <w:bookmarkStart w:id="290" w:name="_Toc391392791"/>
      <w:r>
        <w:rPr>
          <w:rFonts w:hint="eastAsia" w:ascii="宋体" w:hAnsi="宋体" w:eastAsia="宋体" w:cs="宋体"/>
          <w:color w:val="auto"/>
          <w:szCs w:val="21"/>
          <w:highlight w:val="none"/>
        </w:rPr>
        <w:t>A4.3 判断投标报价是否低于成本</w:t>
      </w:r>
      <w:bookmarkEnd w:id="289"/>
      <w:bookmarkEnd w:id="290"/>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由评标委员会认定投标人是否以低于成本竞标。</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A4.5澄清、说明或补正</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spacing w:line="500" w:lineRule="exact"/>
        <w:rPr>
          <w:rFonts w:hint="eastAsia" w:ascii="宋体" w:hAnsi="宋体" w:eastAsia="宋体" w:cs="宋体"/>
          <w:color w:val="auto"/>
          <w:szCs w:val="21"/>
          <w:highlight w:val="none"/>
        </w:rPr>
      </w:pPr>
      <w:bookmarkStart w:id="291" w:name="_Toc391392792"/>
      <w:bookmarkStart w:id="292" w:name="_Toc397000922"/>
      <w:r>
        <w:rPr>
          <w:rFonts w:hint="eastAsia" w:ascii="宋体" w:hAnsi="宋体" w:eastAsia="宋体" w:cs="宋体"/>
          <w:color w:val="auto"/>
          <w:szCs w:val="21"/>
          <w:highlight w:val="none"/>
        </w:rPr>
        <w:t>A5 推荐中标候选人或者直接确定中标人</w:t>
      </w:r>
      <w:bookmarkEnd w:id="291"/>
      <w:bookmarkEnd w:id="292"/>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A5.1汇总评标结果</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投标报价评审工作全部结束后，评标委员会对评标结果进行汇总。</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A5.2 推荐中标候选人</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A5.2.1 除第二章“投标人须知”前附表授权直接确定中标人外，评标委员会在推荐中标候选人时，应遵照以下原则：</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（1）评标委员会按照最终得分由高到底的次序排列，根据第二章“投标人须知”前附表第7.1款的规定推荐中标候选人。</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（2）如果评标委员会根据本章的规定作否决投标处理后，有效投标不足三个，且少于第二章 “投标人须知”前附表第7.1款规定的中标候选人数量的，则评标委员会按照最终得分由高至低的次序作为中标候选人向</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推荐。如果因有效投标不足三个使得投标明显缺乏竞争的，评标委员会可以建议</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重新招标。</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A5.2.2  投标截止时间前递交投标文件的投标人数量少于三个或者所有投标被否决的，</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应当依法重新招标。</w:t>
      </w:r>
    </w:p>
    <w:p>
      <w:pPr>
        <w:spacing w:line="500" w:lineRule="exact"/>
        <w:ind w:firstLine="420" w:firstLineChars="200"/>
        <w:rPr>
          <w:rFonts w:hint="eastAsia" w:ascii="宋体" w:hAnsi="宋体" w:eastAsia="宋体" w:cs="宋体"/>
          <w:color w:val="auto"/>
          <w:szCs w:val="21"/>
          <w:highlight w:val="none"/>
        </w:rPr>
      </w:pPr>
      <w:bookmarkStart w:id="293" w:name="_Toc391392793"/>
      <w:bookmarkStart w:id="294" w:name="_Toc397000923"/>
      <w:r>
        <w:rPr>
          <w:rFonts w:hint="eastAsia" w:ascii="宋体" w:hAnsi="宋体" w:eastAsia="宋体" w:cs="宋体"/>
          <w:color w:val="auto"/>
          <w:szCs w:val="21"/>
          <w:highlight w:val="none"/>
        </w:rPr>
        <w:t>A5.3直接确定中标人</w:t>
      </w:r>
      <w:bookmarkEnd w:id="293"/>
      <w:bookmarkEnd w:id="294"/>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第二章“投标人须知”前附表授权评标委员会直接确定中标人的，评标委员会按照最终得分由高至低的次序排列，并确定排名第一的投标人为中标人。</w:t>
      </w:r>
    </w:p>
    <w:p>
      <w:pPr>
        <w:spacing w:line="500" w:lineRule="exact"/>
        <w:ind w:firstLine="420" w:firstLineChars="200"/>
        <w:rPr>
          <w:rFonts w:hint="eastAsia" w:ascii="宋体" w:hAnsi="宋体" w:eastAsia="宋体" w:cs="宋体"/>
          <w:color w:val="auto"/>
          <w:szCs w:val="21"/>
          <w:highlight w:val="none"/>
        </w:rPr>
      </w:pPr>
      <w:bookmarkStart w:id="295" w:name="_Toc391392794"/>
      <w:bookmarkStart w:id="296" w:name="_Toc397000924"/>
      <w:r>
        <w:rPr>
          <w:rFonts w:hint="eastAsia" w:ascii="宋体" w:hAnsi="宋体" w:eastAsia="宋体" w:cs="宋体"/>
          <w:color w:val="auto"/>
          <w:szCs w:val="21"/>
          <w:highlight w:val="none"/>
        </w:rPr>
        <w:t>A5.4编制及提交评标报告</w:t>
      </w:r>
      <w:bookmarkEnd w:id="295"/>
      <w:bookmarkEnd w:id="296"/>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评标委员会向</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提交评标报告。评标报告应当由全体评标委员会成员签字，并于评标结束时抄送有关行政监督部门。评标报告应当包括以下内容：</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（1）基本情况和数据表；</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（2）评标委员会成员名单；</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（3）开标记录；</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（4）符合要求的投标一览表；</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（5）否决投标情况说明；</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（6）评标标准、评标方法或者评标因素一览表；</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（7）经评审的价格一览表（包括评标委员会在评标过程中所形成的所有记载评标结果、结论的表格、说明、记录等文件）：</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（8）经评审的投标人排序；</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（9）推荐的中标候选人名单（如果第二章“投标人须知”前附表授权评标委员会直接确定中标人，则为“确定的中标人”）与签订合同前要处理的事宜；</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（10）澄清、说明或补正事项纪要。</w:t>
      </w:r>
    </w:p>
    <w:p>
      <w:pPr>
        <w:spacing w:line="500" w:lineRule="exact"/>
        <w:rPr>
          <w:rFonts w:hint="eastAsia" w:ascii="宋体" w:hAnsi="宋体" w:eastAsia="宋体" w:cs="宋体"/>
          <w:color w:val="auto"/>
          <w:szCs w:val="21"/>
          <w:highlight w:val="none"/>
        </w:rPr>
      </w:pPr>
      <w:bookmarkStart w:id="297" w:name="_Toc397000925"/>
      <w:bookmarkStart w:id="298" w:name="_Toc391392795"/>
      <w:r>
        <w:rPr>
          <w:rFonts w:hint="eastAsia" w:ascii="宋体" w:hAnsi="宋体" w:eastAsia="宋体" w:cs="宋体"/>
          <w:color w:val="auto"/>
          <w:szCs w:val="21"/>
          <w:highlight w:val="none"/>
        </w:rPr>
        <w:t>A6 特殊情况的处置程序</w:t>
      </w:r>
      <w:bookmarkEnd w:id="297"/>
      <w:bookmarkEnd w:id="298"/>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A6.1关于评标活动暂停</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A6.1.1评标委员会应当执行连续评标的原则，按评标办法中规定的程序、内容、方法、标准完成全部评标工作。只有发生不可抗力导致评标工作无法继续时，评标活动方可暂停。</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A6.1.2发生评标暂停情况时，评标委员会应当封存全部投标文件和评标记录，待不可抗力的影响结束且具备继续评标的条件时，由原评标委员会继续评标。</w:t>
      </w:r>
    </w:p>
    <w:p>
      <w:pPr>
        <w:spacing w:line="500" w:lineRule="exact"/>
        <w:ind w:firstLine="420" w:firstLineChars="200"/>
        <w:rPr>
          <w:rFonts w:hint="eastAsia" w:ascii="宋体" w:hAnsi="宋体" w:eastAsia="宋体" w:cs="宋体"/>
          <w:color w:val="auto"/>
          <w:szCs w:val="21"/>
          <w:highlight w:val="none"/>
        </w:rPr>
      </w:pPr>
      <w:bookmarkStart w:id="299" w:name="_Toc391392796"/>
      <w:bookmarkStart w:id="300" w:name="_Toc397000926"/>
      <w:r>
        <w:rPr>
          <w:rFonts w:hint="eastAsia" w:ascii="宋体" w:hAnsi="宋体" w:eastAsia="宋体" w:cs="宋体"/>
          <w:color w:val="auto"/>
          <w:szCs w:val="21"/>
          <w:highlight w:val="none"/>
        </w:rPr>
        <w:t>A6.2 关于评标中途更换评标委员会成员</w:t>
      </w:r>
      <w:bookmarkEnd w:id="299"/>
      <w:bookmarkEnd w:id="300"/>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A6.2.1  除非发生下列情况之一，评标委员会成员不得在评标中途更换：</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（1）因不可抗拒的客观原因，不能到场或需在评标中途退出评标活动。</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（2）根据法律法规规定，某个或某几个评标委员会成员需要回避。</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A6.2.2 退出评标的评标委员会成员，其已完成的评标行为无效。由</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根据本招标文件规定的评标委员会成员产生方式另行确定替代者进行评标。</w:t>
      </w:r>
    </w:p>
    <w:p>
      <w:pPr>
        <w:spacing w:line="500" w:lineRule="exact"/>
        <w:ind w:firstLine="420" w:firstLineChars="200"/>
        <w:rPr>
          <w:rFonts w:hint="eastAsia" w:ascii="宋体" w:hAnsi="宋体" w:eastAsia="宋体" w:cs="宋体"/>
          <w:color w:val="auto"/>
          <w:szCs w:val="21"/>
          <w:highlight w:val="none"/>
        </w:rPr>
      </w:pPr>
      <w:bookmarkStart w:id="301" w:name="_Toc397000927"/>
      <w:bookmarkStart w:id="302" w:name="_Toc391392797"/>
      <w:r>
        <w:rPr>
          <w:rFonts w:hint="eastAsia" w:ascii="宋体" w:hAnsi="宋体" w:eastAsia="宋体" w:cs="宋体"/>
          <w:color w:val="auto"/>
          <w:szCs w:val="21"/>
          <w:highlight w:val="none"/>
        </w:rPr>
        <w:t>A6.3记名投票</w:t>
      </w:r>
      <w:bookmarkEnd w:id="301"/>
      <w:bookmarkEnd w:id="302"/>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在任何评标环节中，需评标委员会就某项定性的评审结论做出表决的，由评标委员会全体成员按照少数服从多数的原则，以记名投票方式表决。</w:t>
      </w:r>
    </w:p>
    <w:p>
      <w:pPr>
        <w:spacing w:line="500" w:lineRule="exact"/>
        <w:rPr>
          <w:rFonts w:hint="eastAsia" w:ascii="宋体" w:hAnsi="宋体" w:eastAsia="宋体" w:cs="宋体"/>
          <w:color w:val="auto"/>
          <w:szCs w:val="21"/>
          <w:highlight w:val="none"/>
        </w:rPr>
      </w:pPr>
      <w:bookmarkStart w:id="303" w:name="_Toc397000928"/>
      <w:bookmarkStart w:id="304" w:name="_Toc391392798"/>
      <w:r>
        <w:rPr>
          <w:rFonts w:hint="eastAsia" w:ascii="宋体" w:hAnsi="宋体" w:eastAsia="宋体" w:cs="宋体"/>
          <w:color w:val="auto"/>
          <w:szCs w:val="21"/>
          <w:highlight w:val="none"/>
        </w:rPr>
        <w:t>A7 补充条款：无。</w:t>
      </w:r>
      <w:bookmarkEnd w:id="303"/>
      <w:bookmarkEnd w:id="304"/>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rPr>
          <w:rFonts w:hint="eastAsia" w:ascii="宋体" w:hAnsi="宋体" w:eastAsia="宋体" w:cs="宋体"/>
          <w:color w:val="auto"/>
          <w:highlight w:val="none"/>
        </w:rPr>
      </w:pPr>
      <w:bookmarkStart w:id="305" w:name="_Toc397000929"/>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附件B  否决投标条件</w:t>
      </w:r>
      <w:bookmarkEnd w:id="305"/>
    </w:p>
    <w:p>
      <w:pPr>
        <w:rPr>
          <w:rFonts w:hint="eastAsia" w:ascii="宋体" w:hAnsi="宋体" w:eastAsia="宋体" w:cs="宋体"/>
          <w:b/>
          <w:color w:val="auto"/>
          <w:highlight w:val="none"/>
        </w:rPr>
      </w:pPr>
      <w:bookmarkStart w:id="306" w:name="_Toc397000930"/>
      <w:bookmarkStart w:id="307" w:name="_Toc389123573"/>
      <w:r>
        <w:rPr>
          <w:rFonts w:hint="eastAsia" w:ascii="宋体" w:hAnsi="宋体" w:eastAsia="宋体" w:cs="宋体"/>
          <w:b/>
          <w:color w:val="auto"/>
          <w:highlight w:val="none"/>
        </w:rPr>
        <w:t>B0 总  则</w:t>
      </w:r>
      <w:bookmarkEnd w:id="306"/>
      <w:bookmarkEnd w:id="307"/>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rPr>
          <w:rFonts w:hint="eastAsia" w:ascii="宋体" w:hAnsi="宋体" w:eastAsia="宋体" w:cs="宋体"/>
          <w:b/>
          <w:color w:val="auto"/>
          <w:highlight w:val="none"/>
        </w:rPr>
      </w:pPr>
      <w:bookmarkStart w:id="308" w:name="_Toc389123574"/>
      <w:bookmarkStart w:id="309" w:name="_Toc397000931"/>
      <w:r>
        <w:rPr>
          <w:rFonts w:hint="eastAsia" w:ascii="宋体" w:hAnsi="宋体" w:eastAsia="宋体" w:cs="宋体"/>
          <w:b/>
          <w:color w:val="auto"/>
          <w:highlight w:val="none"/>
        </w:rPr>
        <w:t>B1 否决投标条件</w:t>
      </w:r>
      <w:bookmarkEnd w:id="308"/>
      <w:bookmarkEnd w:id="309"/>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投标人或其投标文件有下列情形之一的，其投标作否决投标处理：</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B1.1 有第二章“投标人须知”第1.4.3项规定的任何一种情形的；</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B1.2 有串通投标或弄虚作假或有其他违法行为的；</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B1.3 不按评标委员会要求澄清、说明或补正的；</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B1.4 在资格评审、形式评审、响应性评审中，评标委员会认定投标人的投标文件不符合“评标办法前附表”中规定的任何一项评审标准的；</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B1.5 在技术标评审中，评标委员会认定投标人的投标未能通过此项评审的；</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B1.6 不按第二章投标须知前附表第3.1.1条内容提供资料的；</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B1.7 由委托代理人签字或盖章，但未随投标文件一起提交有效的“授权委托书”原件的；</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B1.8 投标文件的关键内容字迹模糊、辨认不清的；</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B1.9 投标人不接受评标委员会按第三章“评标办法”第3.1.3条的原则对投标报价进行修正的；</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B1.10 投标人不具备独立法人资格或作为独立法人资格但就本工程提交一个以上的投标文件的；</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B1.11 投标人没有提供建设工程项目管理承诺书的；</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B1.12 投标人采用总价优惠或以总价百分比优惠的方式进行投标报价的；</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B1.15 投标人已标价工程量清单的项目编码、计量单位、工程量任何一处与招标工程量清单不一致的；</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B1.16 投标人已标价工程量清单的项目名称或项目特征与招标工程量清单不一致，评标委员会要求澄清、说明或补正，但投标人拒绝澄清、说明或补正的；</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B1.17 投标函中的报价与已标价的工程量清单汇总表不一致的；</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B1.18 设有暂估价、暂列金额的，投标时未按</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工程量清单给出的暂估价总价、暂列金额总价计入投标总报价中的；</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B1.19 投标文件实质上没有响应招标文件的要求的；</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B1.20 法规规定的其他否决投标条款</w:t>
      </w:r>
    </w:p>
    <w:p>
      <w:pPr>
        <w:pStyle w:val="162"/>
        <w:spacing w:line="360" w:lineRule="auto"/>
        <w:ind w:firstLine="833" w:firstLineChars="397"/>
        <w:rPr>
          <w:rFonts w:hint="eastAsia" w:ascii="宋体" w:hAnsi="宋体" w:eastAsia="宋体" w:cs="宋体"/>
          <w:color w:val="auto"/>
          <w:szCs w:val="21"/>
          <w:highlight w:val="none"/>
        </w:rPr>
      </w:pPr>
    </w:p>
    <w:p>
      <w:pPr>
        <w:pStyle w:val="162"/>
        <w:spacing w:line="360" w:lineRule="auto"/>
        <w:ind w:firstLine="833" w:firstLineChars="397"/>
        <w:rPr>
          <w:rFonts w:hint="eastAsia" w:ascii="宋体" w:hAnsi="宋体" w:eastAsia="宋体" w:cs="宋体"/>
          <w:color w:val="auto"/>
          <w:highlight w:val="none"/>
        </w:rPr>
      </w:pPr>
    </w:p>
    <w:p>
      <w:pPr>
        <w:pStyle w:val="162"/>
        <w:spacing w:line="360" w:lineRule="auto"/>
        <w:ind w:firstLine="833" w:firstLineChars="397"/>
        <w:rPr>
          <w:rFonts w:hint="eastAsia" w:ascii="宋体" w:hAnsi="宋体" w:eastAsia="宋体" w:cs="宋体"/>
          <w:color w:val="auto"/>
          <w:highlight w:val="none"/>
        </w:rPr>
      </w:pPr>
    </w:p>
    <w:p>
      <w:pPr>
        <w:spacing w:line="440" w:lineRule="exact"/>
        <w:ind w:firstLine="420" w:firstLineChars="200"/>
        <w:rPr>
          <w:rFonts w:hint="eastAsia" w:ascii="宋体" w:hAnsi="宋体" w:eastAsia="宋体" w:cs="宋体"/>
          <w:color w:val="auto"/>
          <w:highlight w:val="none"/>
        </w:rPr>
        <w:sectPr>
          <w:headerReference r:id="rId9" w:type="default"/>
          <w:pgSz w:w="11906" w:h="16838"/>
          <w:pgMar w:top="1587" w:right="1701" w:bottom="1417" w:left="1701" w:header="851" w:footer="850" w:gutter="0"/>
          <w:pgNumType w:fmt="decimal"/>
          <w:cols w:space="720" w:num="1"/>
          <w:docGrid w:type="lines" w:linePitch="312" w:charSpace="0"/>
        </w:sectPr>
      </w:pPr>
    </w:p>
    <w:p>
      <w:pPr>
        <w:pStyle w:val="3"/>
        <w:jc w:val="center"/>
        <w:rPr>
          <w:rFonts w:hint="eastAsia" w:ascii="宋体" w:hAnsi="宋体" w:eastAsia="宋体" w:cs="宋体"/>
          <w:color w:val="auto"/>
          <w:sz w:val="21"/>
          <w:szCs w:val="21"/>
          <w:highlight w:val="none"/>
        </w:rPr>
      </w:pPr>
      <w:bookmarkStart w:id="310" w:name="_Toc397000937"/>
      <w:bookmarkStart w:id="311" w:name="_Toc30950"/>
      <w:bookmarkStart w:id="312" w:name="_Toc358569763"/>
      <w:r>
        <w:rPr>
          <w:rFonts w:hint="eastAsia" w:ascii="宋体" w:hAnsi="宋体" w:eastAsia="宋体" w:cs="宋体"/>
          <w:color w:val="auto"/>
          <w:sz w:val="21"/>
          <w:szCs w:val="21"/>
          <w:highlight w:val="none"/>
        </w:rPr>
        <w:t>第四章  合同条款及格式</w:t>
      </w:r>
      <w:bookmarkEnd w:id="310"/>
      <w:bookmarkEnd w:id="311"/>
    </w:p>
    <w:p>
      <w:pPr>
        <w:snapToGrid w:val="0"/>
        <w:spacing w:line="440" w:lineRule="atLeast"/>
        <w:ind w:firstLine="397"/>
        <w:jc w:val="center"/>
        <w:rPr>
          <w:rFonts w:hint="eastAsia" w:ascii="宋体" w:hAnsi="宋体" w:eastAsia="宋体" w:cs="宋体"/>
          <w:b/>
          <w:bCs/>
          <w:color w:val="auto"/>
          <w:szCs w:val="21"/>
          <w:highlight w:val="none"/>
        </w:rPr>
      </w:pPr>
      <w:bookmarkStart w:id="313" w:name="_Toc397000942"/>
      <w:bookmarkStart w:id="314" w:name="_Toc17165"/>
      <w:r>
        <w:rPr>
          <w:rFonts w:hint="eastAsia" w:ascii="宋体" w:hAnsi="宋体" w:eastAsia="宋体" w:cs="宋体"/>
          <w:b/>
          <w:bCs/>
          <w:color w:val="auto"/>
          <w:szCs w:val="21"/>
          <w:highlight w:val="none"/>
        </w:rPr>
        <w:t>第一部分  协议书</w:t>
      </w:r>
    </w:p>
    <w:p>
      <w:pPr>
        <w:spacing w:line="440" w:lineRule="exact"/>
        <w:ind w:firstLine="480"/>
        <w:rPr>
          <w:rFonts w:hint="eastAsia" w:ascii="宋体" w:hAnsi="宋体" w:eastAsia="宋体" w:cs="宋体"/>
          <w:b/>
          <w:color w:val="auto"/>
          <w:szCs w:val="21"/>
          <w:highlight w:val="none"/>
        </w:rPr>
      </w:pPr>
    </w:p>
    <w:p>
      <w:pPr>
        <w:spacing w:line="440" w:lineRule="exact"/>
        <w:ind w:firstLine="48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 xml:space="preserve">（发包人名称，以下简称“发包人”）   </w:t>
      </w:r>
    </w:p>
    <w:p>
      <w:pPr>
        <w:spacing w:line="440" w:lineRule="exac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为实施</w:t>
      </w:r>
      <w:r>
        <w:rPr>
          <w:rFonts w:hint="eastAsia" w:ascii="宋体" w:hAnsi="宋体" w:eastAsia="宋体" w:cs="宋体"/>
          <w:color w:val="auto"/>
          <w:szCs w:val="21"/>
          <w:highlight w:val="none"/>
          <w:u w:val="single"/>
        </w:rPr>
        <w:t xml:space="preserve">  （项目名称）（标段名称）  </w:t>
      </w:r>
      <w:r>
        <w:rPr>
          <w:rFonts w:hint="eastAsia" w:ascii="宋体" w:hAnsi="宋体" w:eastAsia="宋体" w:cs="宋体"/>
          <w:color w:val="auto"/>
          <w:szCs w:val="21"/>
          <w:highlight w:val="none"/>
        </w:rPr>
        <w:t>，已接受</w:t>
      </w:r>
      <w:r>
        <w:rPr>
          <w:rFonts w:hint="eastAsia" w:ascii="宋体" w:hAnsi="宋体" w:eastAsia="宋体" w:cs="宋体"/>
          <w:color w:val="auto"/>
          <w:szCs w:val="21"/>
          <w:highlight w:val="none"/>
          <w:u w:val="single"/>
        </w:rPr>
        <w:t xml:space="preserve">   （承包人名称，以下简称“承包人”）   </w:t>
      </w:r>
      <w:r>
        <w:rPr>
          <w:rFonts w:hint="eastAsia" w:ascii="宋体" w:hAnsi="宋体" w:eastAsia="宋体" w:cs="宋体"/>
          <w:color w:val="auto"/>
          <w:szCs w:val="21"/>
          <w:highlight w:val="none"/>
        </w:rPr>
        <w:t>对该项目</w:t>
      </w:r>
      <w:r>
        <w:rPr>
          <w:rFonts w:hint="eastAsia" w:ascii="宋体" w:hAnsi="宋体" w:eastAsia="宋体" w:cs="宋体"/>
          <w:color w:val="auto"/>
          <w:szCs w:val="21"/>
          <w:highlight w:val="none"/>
          <w:u w:val="single"/>
        </w:rPr>
        <w:t xml:space="preserve">   （项目名称）（标段名称）  </w:t>
      </w:r>
      <w:r>
        <w:rPr>
          <w:rFonts w:hint="eastAsia" w:ascii="宋体" w:hAnsi="宋体" w:eastAsia="宋体" w:cs="宋体"/>
          <w:color w:val="auto"/>
          <w:szCs w:val="21"/>
          <w:highlight w:val="none"/>
        </w:rPr>
        <w:t>的投标。发包人和承包人共同达成如下协议。</w:t>
      </w:r>
    </w:p>
    <w:p>
      <w:pPr>
        <w:spacing w:line="300" w:lineRule="auto"/>
        <w:ind w:firstLine="420" w:firstLineChars="200"/>
        <w:rPr>
          <w:rFonts w:hint="eastAsia" w:ascii="宋体" w:hAnsi="宋体" w:eastAsia="宋体" w:cs="宋体"/>
          <w:color w:val="auto"/>
          <w:szCs w:val="21"/>
          <w:highlight w:val="none"/>
        </w:rPr>
      </w:pPr>
      <w:bookmarkStart w:id="315" w:name="_Toc168475885"/>
      <w:bookmarkStart w:id="316" w:name="_Toc168476288"/>
      <w:bookmarkStart w:id="317" w:name="_Toc144974828"/>
      <w:r>
        <w:rPr>
          <w:rFonts w:hint="eastAsia" w:ascii="宋体" w:hAnsi="宋体" w:eastAsia="宋体" w:cs="宋体"/>
          <w:color w:val="auto"/>
          <w:szCs w:val="21"/>
          <w:highlight w:val="none"/>
        </w:rPr>
        <w:t>1. 本协议书与下列文件一起构成合同文件：</w:t>
      </w:r>
      <w:bookmarkEnd w:id="315"/>
      <w:bookmarkEnd w:id="316"/>
      <w:bookmarkEnd w:id="317"/>
    </w:p>
    <w:p>
      <w:pPr>
        <w:spacing w:line="400" w:lineRule="exact"/>
        <w:ind w:firstLine="359" w:firstLineChars="171"/>
        <w:rPr>
          <w:rFonts w:hint="eastAsia" w:ascii="宋体" w:hAnsi="宋体" w:eastAsia="宋体" w:cs="宋体"/>
          <w:color w:val="auto"/>
          <w:szCs w:val="21"/>
          <w:highlight w:val="none"/>
        </w:rPr>
      </w:pPr>
      <w:bookmarkStart w:id="318" w:name="_Toc144974829"/>
      <w:bookmarkStart w:id="319" w:name="_Toc168475886"/>
      <w:bookmarkStart w:id="320" w:name="_Toc168476289"/>
      <w:r>
        <w:rPr>
          <w:rFonts w:hint="eastAsia" w:ascii="宋体" w:hAnsi="宋体" w:eastAsia="宋体" w:cs="宋体"/>
          <w:color w:val="auto"/>
          <w:szCs w:val="21"/>
          <w:highlight w:val="none"/>
        </w:rPr>
        <w:t>（1）合同协议书（包括补充协议、合同谈判备忘录）；</w:t>
      </w:r>
    </w:p>
    <w:p>
      <w:pPr>
        <w:spacing w:line="400" w:lineRule="exact"/>
        <w:ind w:firstLine="359" w:firstLineChars="171"/>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（2）中标通知书；</w:t>
      </w:r>
    </w:p>
    <w:p>
      <w:pPr>
        <w:spacing w:line="400" w:lineRule="exact"/>
        <w:ind w:firstLine="359" w:firstLineChars="171"/>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（3）投标函及投标函附录；</w:t>
      </w:r>
    </w:p>
    <w:p>
      <w:pPr>
        <w:spacing w:line="400" w:lineRule="exact"/>
        <w:ind w:firstLine="359" w:firstLineChars="171"/>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（4）专用合同条款（含附加条款）；</w:t>
      </w:r>
    </w:p>
    <w:p>
      <w:pPr>
        <w:spacing w:line="400" w:lineRule="exact"/>
        <w:ind w:firstLine="359" w:firstLineChars="171"/>
        <w:rPr>
          <w:rFonts w:hint="eastAsia" w:ascii="宋体" w:hAnsi="宋体" w:eastAsia="宋体" w:cs="宋体"/>
          <w:color w:val="auto"/>
          <w:szCs w:val="21"/>
          <w:highlight w:val="none"/>
        </w:rPr>
      </w:pPr>
      <w:r>
        <w:rPr>
          <w:rFonts w:hint="eastAsia" w:ascii="宋体" w:hAnsi="宋体" w:eastAsia="宋体" w:cs="宋体"/>
          <w:color w:val="auto"/>
          <w:szCs w:val="21"/>
          <w:highlight w:val="none"/>
        </w:rPr>
        <w:t>（5）通用合同条款；</w:t>
      </w:r>
    </w:p>
    <w:p>
      <w:pPr>
        <w:spacing w:line="400" w:lineRule="exact"/>
        <w:ind w:firstLine="359" w:firstLineChars="171"/>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（6）技术标准和要求（合同技术条款）；</w:t>
      </w:r>
    </w:p>
    <w:p>
      <w:pPr>
        <w:spacing w:line="400" w:lineRule="exact"/>
        <w:ind w:firstLine="359" w:firstLineChars="171"/>
        <w:rPr>
          <w:rFonts w:hint="eastAsia" w:ascii="宋体" w:hAnsi="宋体" w:eastAsia="宋体" w:cs="宋体"/>
          <w:color w:val="auto"/>
          <w:szCs w:val="21"/>
          <w:highlight w:val="none"/>
        </w:rPr>
      </w:pPr>
      <w:r>
        <w:rPr>
          <w:rFonts w:hint="eastAsia" w:ascii="宋体" w:hAnsi="宋体" w:eastAsia="宋体" w:cs="宋体"/>
          <w:color w:val="auto"/>
          <w:szCs w:val="21"/>
          <w:highlight w:val="none"/>
        </w:rPr>
        <w:t>（7）图纸；</w:t>
      </w:r>
    </w:p>
    <w:p>
      <w:pPr>
        <w:spacing w:line="400" w:lineRule="exact"/>
        <w:ind w:firstLine="359" w:firstLineChars="171"/>
        <w:rPr>
          <w:rFonts w:hint="eastAsia" w:ascii="宋体" w:hAnsi="宋体" w:eastAsia="宋体" w:cs="宋体"/>
          <w:color w:val="auto"/>
          <w:szCs w:val="21"/>
          <w:highlight w:val="none"/>
        </w:rPr>
      </w:pPr>
      <w:r>
        <w:rPr>
          <w:rFonts w:hint="eastAsia" w:ascii="宋体" w:hAnsi="宋体" w:eastAsia="宋体" w:cs="宋体"/>
          <w:color w:val="auto"/>
          <w:szCs w:val="21"/>
          <w:highlight w:val="none"/>
        </w:rPr>
        <w:t>（8）已标价工程量清单；</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（9）投标文件其他内容；</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（10）其他合同文件。</w:t>
      </w:r>
    </w:p>
    <w:p>
      <w:pPr>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上述文件互相补充和解释，如有不明确或不一致之处，以合同约定次序在先者为准。</w:t>
      </w:r>
      <w:bookmarkEnd w:id="318"/>
      <w:bookmarkEnd w:id="319"/>
      <w:bookmarkEnd w:id="320"/>
    </w:p>
    <w:p>
      <w:pPr>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签约合同价：人民币（大写）</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w:t>
      </w:r>
    </w:p>
    <w:p>
      <w:pPr>
        <w:spacing w:line="30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4. 承包人项目经理：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 工程质量符合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标准。</w:t>
      </w:r>
    </w:p>
    <w:p>
      <w:pPr>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 承包人承诺按合同约定承担工程的实施、完成及缺陷修复。</w:t>
      </w:r>
    </w:p>
    <w:p>
      <w:pPr>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 发包人承诺按合同约定的条件、时间和方式向承包人支付合同价款。</w:t>
      </w:r>
    </w:p>
    <w:p>
      <w:pPr>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 承包人承诺执行监理人开工通知，计划工期为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天。</w:t>
      </w:r>
    </w:p>
    <w:p>
      <w:pPr>
        <w:spacing w:line="300" w:lineRule="auto"/>
        <w:ind w:firstLine="420" w:firstLineChars="200"/>
        <w:rPr>
          <w:rFonts w:ascii="宋体" w:hAnsi="宋体" w:eastAsia="宋体" w:cs="宋体"/>
          <w:color w:val="auto"/>
          <w:szCs w:val="21"/>
        </w:rPr>
      </w:pPr>
      <w:r>
        <w:rPr>
          <w:rFonts w:hint="eastAsia" w:ascii="宋体" w:hAnsi="宋体" w:eastAsia="宋体" w:cs="宋体"/>
          <w:color w:val="auto"/>
          <w:szCs w:val="21"/>
        </w:rPr>
        <w:t>9、履约保证金：中标单位在签订合同前需交纳中标金额5%的履约保证金（银行转账、电汇或现金），现金缴纳方式为转账，转入河池市金城江区农业农村局的指定帐户。在项目工程竣工验收合格后，扣减承包人赔偿金和其他应从承包人扣回的款项后，发包人一次性向承包人返还剩余部分的履约保证金（无息）。</w:t>
      </w:r>
    </w:p>
    <w:p>
      <w:pPr>
        <w:spacing w:line="300" w:lineRule="auto"/>
        <w:rPr>
          <w:rFonts w:hint="eastAsia" w:ascii="宋体" w:hAnsi="宋体" w:eastAsia="宋体" w:cs="宋体"/>
          <w:color w:val="auto"/>
          <w:szCs w:val="21"/>
          <w:highlight w:val="none"/>
        </w:rPr>
      </w:pPr>
      <w:r>
        <w:rPr>
          <w:rFonts w:hint="eastAsia" w:ascii="宋体" w:hAnsi="宋体" w:eastAsia="宋体" w:cs="宋体"/>
          <w:color w:val="auto"/>
          <w:szCs w:val="21"/>
        </w:rPr>
        <w:t xml:space="preserve">    10、项目区设立的统一规范的公示标牌和标志由发包人统一制作提供给承包人。</w:t>
      </w:r>
    </w:p>
    <w:p>
      <w:pPr>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11</w:t>
      </w:r>
      <w:r>
        <w:rPr>
          <w:rFonts w:hint="eastAsia" w:ascii="宋体" w:hAnsi="宋体" w:eastAsia="宋体" w:cs="宋体"/>
          <w:color w:val="auto"/>
          <w:szCs w:val="21"/>
          <w:highlight w:val="none"/>
        </w:rPr>
        <w:t>. 本协议书一式</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份，合同双方各执一份。</w:t>
      </w:r>
    </w:p>
    <w:p>
      <w:pPr>
        <w:spacing w:line="300" w:lineRule="auto"/>
        <w:ind w:firstLine="420" w:firstLineChars="200"/>
        <w:rPr>
          <w:rFonts w:hint="eastAsia" w:ascii="宋体" w:hAnsi="宋体" w:eastAsia="宋体" w:cs="宋体"/>
          <w:color w:val="auto"/>
          <w:szCs w:val="21"/>
          <w:highlight w:val="none"/>
        </w:rPr>
      </w:pPr>
      <w:bookmarkStart w:id="321" w:name="_Toc144974830"/>
      <w:bookmarkStart w:id="322" w:name="_Toc168476290"/>
      <w:bookmarkStart w:id="323" w:name="_Toc168475887"/>
      <w:r>
        <w:rPr>
          <w:rFonts w:hint="eastAsia" w:ascii="宋体" w:hAnsi="宋体" w:eastAsia="宋体" w:cs="宋体"/>
          <w:color w:val="auto"/>
          <w:szCs w:val="21"/>
          <w:highlight w:val="none"/>
          <w:lang w:val="en-US" w:eastAsia="zh-CN"/>
        </w:rPr>
        <w:t>12</w:t>
      </w:r>
      <w:r>
        <w:rPr>
          <w:rFonts w:hint="eastAsia" w:ascii="宋体" w:hAnsi="宋体" w:eastAsia="宋体" w:cs="宋体"/>
          <w:color w:val="auto"/>
          <w:szCs w:val="21"/>
          <w:highlight w:val="none"/>
        </w:rPr>
        <w:t>. 合同未尽事宜，双方另行签订补充协议。补充协议是合同的组成部分。</w:t>
      </w:r>
      <w:bookmarkEnd w:id="321"/>
      <w:bookmarkEnd w:id="322"/>
      <w:bookmarkEnd w:id="323"/>
    </w:p>
    <w:p>
      <w:pPr>
        <w:spacing w:line="300" w:lineRule="auto"/>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（盖单位章）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承包人：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（盖单位章）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法定代表人或其委托代理人：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 xml:space="preserve">（签字）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法定代表人或其委托代理人：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（签字）</w:t>
      </w:r>
    </w:p>
    <w:p>
      <w:pPr>
        <w:keepNext w:val="0"/>
        <w:keepLines w:val="0"/>
        <w:pageBreakBefore w:val="0"/>
        <w:widowControl w:val="0"/>
        <w:tabs>
          <w:tab w:val="left" w:pos="4410"/>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组织机构代码：</w:t>
      </w:r>
      <w:r>
        <w:rPr>
          <w:rFonts w:hint="eastAsia" w:asciiTheme="minorEastAsia" w:hAnsiTheme="minorEastAsia" w:eastAsiaTheme="minorEastAsia" w:cstheme="minorEastAsia"/>
          <w:color w:val="000000"/>
          <w:sz w:val="21"/>
          <w:szCs w:val="21"/>
          <w:u w:val="single"/>
        </w:rPr>
        <w:t xml:space="preserve">       </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 xml:space="preserve">  组织机构代码：</w:t>
      </w:r>
      <w:r>
        <w:rPr>
          <w:rFonts w:hint="eastAsia" w:asciiTheme="minorEastAsia" w:hAnsiTheme="minorEastAsia" w:eastAsiaTheme="minorEastAsia" w:cstheme="minorEastAsia"/>
          <w:color w:val="000000"/>
          <w:sz w:val="21"/>
          <w:szCs w:val="21"/>
          <w:u w:val="single"/>
        </w:rPr>
        <w:t xml:space="preserve">          </w:t>
      </w:r>
      <w:r>
        <w:rPr>
          <w:rFonts w:hint="eastAsia" w:asciiTheme="minorEastAsia" w:hAnsiTheme="minorEastAsia" w:eastAsiaTheme="minorEastAsia" w:cstheme="minorEastAsia"/>
          <w:color w:val="000000"/>
          <w:sz w:val="21"/>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地  址：</w:t>
      </w:r>
      <w:r>
        <w:rPr>
          <w:rFonts w:hint="eastAsia" w:asciiTheme="minorEastAsia" w:hAnsiTheme="minorEastAsia" w:eastAsiaTheme="minorEastAsia" w:cstheme="minorEastAsia"/>
          <w:color w:val="000000"/>
          <w:sz w:val="21"/>
          <w:szCs w:val="21"/>
          <w:u w:val="single"/>
        </w:rPr>
        <w:t xml:space="preserve">     </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 xml:space="preserve"> 地  址：</w:t>
      </w:r>
      <w:r>
        <w:rPr>
          <w:rFonts w:hint="eastAsia" w:asciiTheme="minorEastAsia" w:hAnsiTheme="minorEastAsia" w:eastAsiaTheme="minorEastAsia" w:cstheme="minorEastAsia"/>
          <w:color w:val="000000"/>
          <w:sz w:val="21"/>
          <w:szCs w:val="21"/>
          <w:u w:val="single"/>
        </w:rPr>
        <w:t xml:space="preserve">  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邮政编码：</w:t>
      </w:r>
      <w:r>
        <w:rPr>
          <w:rFonts w:hint="eastAsia" w:asciiTheme="minorEastAsia" w:hAnsiTheme="minorEastAsia" w:eastAsiaTheme="minorEastAsia" w:cstheme="minorEastAsia"/>
          <w:color w:val="000000"/>
          <w:sz w:val="21"/>
          <w:szCs w:val="21"/>
          <w:u w:val="single"/>
        </w:rPr>
        <w:t xml:space="preserve">      </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 xml:space="preserve"> 邮政编码：</w:t>
      </w:r>
      <w:r>
        <w:rPr>
          <w:rFonts w:hint="eastAsia" w:asciiTheme="minorEastAsia" w:hAnsiTheme="minorEastAsia" w:eastAsiaTheme="minorEastAsia" w:cstheme="minorEastAsia"/>
          <w:color w:val="000000"/>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color w:val="000000"/>
          <w:sz w:val="21"/>
          <w:szCs w:val="21"/>
        </w:rPr>
        <w:t>电  话：</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 xml:space="preserve"> 电  话：</w:t>
      </w:r>
      <w:r>
        <w:rPr>
          <w:rFonts w:hint="eastAsia" w:asciiTheme="minorEastAsia" w:hAnsiTheme="minorEastAsia" w:eastAsiaTheme="minorEastAsia" w:cstheme="minorEastAsia"/>
          <w:color w:val="000000"/>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传  真：</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传  真：</w:t>
      </w:r>
      <w:r>
        <w:rPr>
          <w:rFonts w:hint="eastAsia" w:asciiTheme="minorEastAsia" w:hAnsiTheme="minorEastAsia" w:eastAsiaTheme="minorEastAsia" w:cstheme="minorEastAsia"/>
          <w:color w:val="000000"/>
          <w:sz w:val="21"/>
          <w:szCs w:val="21"/>
          <w:u w:val="single"/>
        </w:rPr>
        <w:t xml:space="preserve">  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电子信箱：</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 xml:space="preserve">  电子信箱：</w:t>
      </w:r>
      <w:r>
        <w:rPr>
          <w:rFonts w:hint="eastAsia" w:asciiTheme="minorEastAsia" w:hAnsiTheme="minorEastAsia" w:eastAsiaTheme="minorEastAsia" w:cstheme="minorEastAsia"/>
          <w:color w:val="000000"/>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开户名称：</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u w:val="single"/>
          <w:lang w:val="en-US" w:eastAsia="zh-CN"/>
        </w:rPr>
        <w:t xml:space="preserve"> </w:t>
      </w:r>
      <w:r>
        <w:rPr>
          <w:rFonts w:hint="eastAsia" w:asciiTheme="minorEastAsia" w:hAnsiTheme="minorEastAsia" w:eastAsiaTheme="minorEastAsia" w:cstheme="minorEastAsia"/>
          <w:color w:val="000000"/>
          <w:sz w:val="21"/>
          <w:szCs w:val="21"/>
          <w:u w:val="none"/>
          <w:lang w:val="en-US" w:eastAsia="zh-CN"/>
        </w:rPr>
        <w:t xml:space="preserve">                   </w:t>
      </w:r>
      <w:r>
        <w:rPr>
          <w:rFonts w:hint="eastAsia" w:asciiTheme="minorEastAsia" w:hAnsiTheme="minorEastAsia" w:eastAsiaTheme="minorEastAsia" w:cstheme="minorEastAsia"/>
          <w:color w:val="000000"/>
          <w:sz w:val="21"/>
          <w:szCs w:val="21"/>
          <w:lang w:eastAsia="zh-CN"/>
        </w:rPr>
        <w:t>开户名称：</w:t>
      </w:r>
      <w:r>
        <w:rPr>
          <w:rFonts w:hint="eastAsia" w:asciiTheme="minorEastAsia" w:hAnsiTheme="minorEastAsia" w:eastAsiaTheme="minorEastAsia" w:cstheme="minorEastAsia"/>
          <w:color w:val="000000"/>
          <w:sz w:val="21"/>
          <w:szCs w:val="21"/>
          <w:u w:val="single"/>
        </w:rPr>
        <w:t></w:t>
      </w:r>
      <w:r>
        <w:rPr>
          <w:rFonts w:hint="eastAsia" w:asciiTheme="minorEastAsia" w:hAnsiTheme="minorEastAsia" w:eastAsiaTheme="minorEastAsia" w:cstheme="minorEastAsia"/>
          <w:color w:val="000000"/>
          <w:sz w:val="21"/>
          <w:szCs w:val="21"/>
          <w:u w:val="single"/>
          <w:lang w:val="en-US" w:eastAsia="zh-CN"/>
        </w:rPr>
        <w:t xml:space="preserve">  </w:t>
      </w:r>
      <w:r>
        <w:rPr>
          <w:rFonts w:hint="eastAsia" w:asciiTheme="minorEastAsia" w:hAnsiTheme="minorEastAsia" w:eastAsiaTheme="minorEastAsia" w:cstheme="minorEastAsia"/>
          <w:color w:val="000000"/>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color w:val="000000"/>
          <w:sz w:val="21"/>
          <w:szCs w:val="21"/>
        </w:rPr>
        <w:t>开户银行：</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开户银行：</w:t>
      </w:r>
      <w:r>
        <w:rPr>
          <w:rFonts w:hint="eastAsia" w:asciiTheme="minorEastAsia" w:hAnsiTheme="minorEastAsia" w:eastAsiaTheme="minorEastAsia" w:cstheme="minorEastAsia"/>
          <w:color w:val="000000"/>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000000"/>
          <w:sz w:val="21"/>
          <w:szCs w:val="21"/>
        </w:rPr>
        <w:t>银行账号：</w:t>
      </w:r>
      <w:r>
        <w:rPr>
          <w:rFonts w:hint="eastAsia" w:asciiTheme="minorEastAsia" w:hAnsiTheme="minorEastAsia" w:eastAsiaTheme="minorEastAsia" w:cstheme="minorEastAsia"/>
          <w:color w:val="000000"/>
          <w:sz w:val="21"/>
          <w:szCs w:val="21"/>
          <w:u w:val="single"/>
        </w:rPr>
        <w:t xml:space="preserve">       </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 xml:space="preserve"> 银行账号：</w:t>
      </w:r>
      <w:r>
        <w:rPr>
          <w:rFonts w:hint="eastAsia" w:asciiTheme="minorEastAsia" w:hAnsiTheme="minorEastAsia" w:eastAsiaTheme="minorEastAsia" w:cstheme="minorEastAsia"/>
          <w:color w:val="000000"/>
          <w:sz w:val="21"/>
          <w:szCs w:val="21"/>
          <w:u w:val="single"/>
        </w:rPr>
        <w:t></w:t>
      </w:r>
      <w:r>
        <w:rPr>
          <w:rFonts w:hint="eastAsia" w:asciiTheme="minorEastAsia" w:hAnsiTheme="minorEastAsia" w:eastAsiaTheme="minorEastAsia" w:cstheme="minorEastAsia"/>
          <w:color w:val="000000"/>
          <w:sz w:val="21"/>
          <w:szCs w:val="21"/>
          <w:u w:val="single"/>
          <w:lang w:val="en-US" w:eastAsia="zh-CN"/>
        </w:rPr>
        <w:t xml:space="preserve">      </w:t>
      </w:r>
      <w:r>
        <w:rPr>
          <w:rFonts w:hint="eastAsia" w:asciiTheme="minorEastAsia" w:hAnsiTheme="minorEastAsia" w:eastAsiaTheme="minorEastAsia" w:cstheme="minorEastAsia"/>
          <w:color w:val="000000"/>
          <w:sz w:val="21"/>
          <w:szCs w:val="21"/>
          <w:u w:val="single"/>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1"/>
          <w:szCs w:val="21"/>
          <w:highlight w:val="none"/>
          <w:u w:val="singl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月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日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月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w:t>
      </w:r>
    </w:p>
    <w:p>
      <w:pPr>
        <w:snapToGrid w:val="0"/>
        <w:spacing w:line="440" w:lineRule="atLeast"/>
        <w:ind w:firstLine="397"/>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br w:type="page"/>
      </w:r>
      <w:bookmarkStart w:id="324" w:name="_Toc397000938"/>
      <w:bookmarkStart w:id="325" w:name="_Toc432163858"/>
      <w:bookmarkStart w:id="326" w:name="_Toc432157828"/>
      <w:bookmarkStart w:id="327" w:name="_Toc390787895"/>
      <w:r>
        <w:rPr>
          <w:rFonts w:hint="eastAsia" w:ascii="宋体" w:hAnsi="宋体" w:eastAsia="宋体" w:cs="宋体"/>
          <w:b/>
          <w:bCs/>
          <w:color w:val="auto"/>
          <w:szCs w:val="21"/>
          <w:highlight w:val="none"/>
        </w:rPr>
        <w:t>第二部分专用合同条款</w:t>
      </w:r>
    </w:p>
    <w:p>
      <w:pPr>
        <w:pStyle w:val="5"/>
        <w:spacing w:line="276" w:lineRule="auto"/>
        <w:rPr>
          <w:rFonts w:hint="eastAsia" w:ascii="宋体" w:hAnsi="宋体" w:eastAsia="宋体" w:cs="宋体"/>
          <w:color w:val="auto"/>
          <w:sz w:val="21"/>
          <w:szCs w:val="21"/>
          <w:highlight w:val="none"/>
        </w:rPr>
      </w:pPr>
      <w:bookmarkStart w:id="328" w:name="_Toc222033878"/>
      <w:bookmarkStart w:id="329" w:name="_Toc222029527"/>
      <w:bookmarkStart w:id="330" w:name="_Toc229305387"/>
      <w:bookmarkStart w:id="331" w:name="_Toc221951111"/>
      <w:bookmarkStart w:id="332" w:name="_Toc222031029"/>
      <w:bookmarkStart w:id="333" w:name="_Toc222032696"/>
      <w:r>
        <w:rPr>
          <w:rFonts w:hint="eastAsia" w:ascii="宋体" w:hAnsi="宋体" w:eastAsia="宋体" w:cs="宋体"/>
          <w:color w:val="auto"/>
          <w:sz w:val="21"/>
          <w:szCs w:val="21"/>
          <w:highlight w:val="none"/>
        </w:rPr>
        <w:t>1．一般约定</w:t>
      </w:r>
      <w:bookmarkEnd w:id="328"/>
      <w:bookmarkEnd w:id="329"/>
      <w:bookmarkEnd w:id="330"/>
      <w:bookmarkEnd w:id="331"/>
      <w:bookmarkEnd w:id="332"/>
      <w:bookmarkEnd w:id="333"/>
    </w:p>
    <w:p>
      <w:pPr>
        <w:pStyle w:val="5"/>
        <w:spacing w:line="276" w:lineRule="auto"/>
        <w:rPr>
          <w:rFonts w:hint="eastAsia" w:ascii="宋体" w:hAnsi="宋体" w:eastAsia="宋体" w:cs="宋体"/>
          <w:color w:val="auto"/>
          <w:sz w:val="21"/>
          <w:szCs w:val="21"/>
          <w:highlight w:val="none"/>
        </w:rPr>
      </w:pPr>
      <w:bookmarkStart w:id="334" w:name="_Toc221951112"/>
      <w:r>
        <w:rPr>
          <w:rFonts w:hint="eastAsia" w:ascii="宋体" w:hAnsi="宋体" w:eastAsia="宋体" w:cs="宋体"/>
          <w:color w:val="auto"/>
          <w:sz w:val="21"/>
          <w:szCs w:val="21"/>
          <w:highlight w:val="none"/>
        </w:rPr>
        <w:t>1.1  词语定义</w:t>
      </w:r>
      <w:bookmarkEnd w:id="334"/>
    </w:p>
    <w:p>
      <w:pPr>
        <w:spacing w:line="276" w:lineRule="auto"/>
        <w:rPr>
          <w:rFonts w:hint="eastAsia" w:ascii="宋体" w:hAnsi="宋体" w:eastAsia="宋体" w:cs="宋体"/>
          <w:color w:val="auto"/>
          <w:szCs w:val="21"/>
          <w:highlight w:val="none"/>
        </w:rPr>
      </w:pPr>
      <w:bookmarkStart w:id="335" w:name="_Toc221951113"/>
      <w:r>
        <w:rPr>
          <w:rFonts w:hint="eastAsia" w:ascii="宋体" w:hAnsi="宋体" w:eastAsia="宋体" w:cs="宋体"/>
          <w:color w:val="auto"/>
          <w:szCs w:val="21"/>
          <w:highlight w:val="none"/>
        </w:rPr>
        <w:t>1.1.2  合同当事人和人员</w:t>
      </w:r>
      <w:bookmarkEnd w:id="335"/>
    </w:p>
    <w:p>
      <w:pPr>
        <w:spacing w:line="276" w:lineRule="auto"/>
        <w:rPr>
          <w:rFonts w:hint="eastAsia" w:ascii="宋体" w:hAnsi="宋体" w:eastAsia="宋体" w:cs="宋体"/>
          <w:color w:val="auto"/>
          <w:szCs w:val="21"/>
          <w:highlight w:val="none"/>
        </w:rPr>
      </w:pPr>
      <w:bookmarkStart w:id="336" w:name="_Toc221951114"/>
      <w:r>
        <w:rPr>
          <w:rFonts w:hint="eastAsia" w:ascii="宋体" w:hAnsi="宋体" w:eastAsia="宋体" w:cs="宋体"/>
          <w:color w:val="auto"/>
          <w:szCs w:val="21"/>
          <w:highlight w:val="none"/>
        </w:rPr>
        <w:t>1.1.2.2  发包人：</w:t>
      </w:r>
      <w:r>
        <w:rPr>
          <w:rFonts w:hint="eastAsia" w:ascii="宋体" w:hAnsi="宋体" w:eastAsia="宋体" w:cs="宋体"/>
          <w:color w:val="auto"/>
          <w:szCs w:val="21"/>
          <w:highlight w:val="none"/>
          <w:u w:val="single"/>
        </w:rPr>
        <w:t xml:space="preserve">             (填入发包人的名称)          </w:t>
      </w:r>
      <w:r>
        <w:rPr>
          <w:rFonts w:hint="eastAsia" w:ascii="宋体" w:hAnsi="宋体" w:eastAsia="宋体" w:cs="宋体"/>
          <w:color w:val="auto"/>
          <w:szCs w:val="21"/>
          <w:highlight w:val="none"/>
        </w:rPr>
        <w:t>。</w:t>
      </w:r>
      <w:bookmarkEnd w:id="336"/>
    </w:p>
    <w:p>
      <w:pPr>
        <w:spacing w:line="276" w:lineRule="auto"/>
        <w:rPr>
          <w:rFonts w:hint="eastAsia" w:ascii="宋体" w:hAnsi="宋体" w:eastAsia="宋体" w:cs="宋体"/>
          <w:color w:val="auto"/>
          <w:szCs w:val="21"/>
          <w:highlight w:val="none"/>
        </w:rPr>
      </w:pPr>
      <w:bookmarkStart w:id="337" w:name="_Toc221951115"/>
      <w:r>
        <w:rPr>
          <w:rFonts w:hint="eastAsia" w:ascii="宋体" w:hAnsi="宋体" w:eastAsia="宋体" w:cs="宋体"/>
          <w:color w:val="auto"/>
          <w:szCs w:val="21"/>
          <w:highlight w:val="none"/>
        </w:rPr>
        <w:t>1.1.2.3  承包人：</w:t>
      </w:r>
      <w:r>
        <w:rPr>
          <w:rFonts w:hint="eastAsia" w:ascii="宋体" w:hAnsi="宋体" w:eastAsia="宋体" w:cs="宋体"/>
          <w:color w:val="auto"/>
          <w:szCs w:val="21"/>
          <w:highlight w:val="none"/>
          <w:u w:val="single"/>
        </w:rPr>
        <w:t xml:space="preserve">             (签约后填入承包人的名称)    </w:t>
      </w:r>
      <w:r>
        <w:rPr>
          <w:rFonts w:hint="eastAsia" w:ascii="宋体" w:hAnsi="宋体" w:eastAsia="宋体" w:cs="宋体"/>
          <w:color w:val="auto"/>
          <w:szCs w:val="21"/>
          <w:highlight w:val="none"/>
        </w:rPr>
        <w:t>。</w:t>
      </w:r>
      <w:bookmarkEnd w:id="337"/>
    </w:p>
    <w:p>
      <w:pPr>
        <w:spacing w:line="276" w:lineRule="auto"/>
        <w:rPr>
          <w:rFonts w:hint="eastAsia" w:ascii="宋体" w:hAnsi="宋体" w:eastAsia="宋体" w:cs="宋体"/>
          <w:color w:val="auto"/>
          <w:szCs w:val="21"/>
          <w:highlight w:val="none"/>
        </w:rPr>
      </w:pPr>
      <w:bookmarkStart w:id="338" w:name="_Toc221951116"/>
      <w:r>
        <w:rPr>
          <w:rFonts w:hint="eastAsia" w:ascii="宋体" w:hAnsi="宋体" w:eastAsia="宋体" w:cs="宋体"/>
          <w:color w:val="auto"/>
          <w:szCs w:val="21"/>
          <w:highlight w:val="none"/>
        </w:rPr>
        <w:t>1.1.2.5  分包人：</w:t>
      </w:r>
      <w:r>
        <w:rPr>
          <w:rFonts w:hint="eastAsia" w:ascii="宋体" w:hAnsi="宋体" w:eastAsia="宋体" w:cs="宋体"/>
          <w:color w:val="auto"/>
          <w:szCs w:val="21"/>
          <w:highlight w:val="none"/>
          <w:u w:val="single"/>
        </w:rPr>
        <w:t xml:space="preserve">             (签约后填入分包人的名称)   </w:t>
      </w:r>
      <w:r>
        <w:rPr>
          <w:rFonts w:hint="eastAsia" w:ascii="宋体" w:hAnsi="宋体" w:eastAsia="宋体" w:cs="宋体"/>
          <w:color w:val="auto"/>
          <w:szCs w:val="21"/>
          <w:highlight w:val="none"/>
        </w:rPr>
        <w:t xml:space="preserve"> 。</w:t>
      </w:r>
      <w:bookmarkEnd w:id="338"/>
    </w:p>
    <w:p>
      <w:pPr>
        <w:spacing w:line="276" w:lineRule="auto"/>
        <w:rPr>
          <w:rFonts w:hint="eastAsia" w:ascii="宋体" w:hAnsi="宋体" w:eastAsia="宋体" w:cs="宋体"/>
          <w:color w:val="auto"/>
          <w:szCs w:val="21"/>
          <w:highlight w:val="none"/>
        </w:rPr>
      </w:pPr>
      <w:bookmarkStart w:id="339" w:name="_Toc221951117"/>
      <w:r>
        <w:rPr>
          <w:rFonts w:hint="eastAsia" w:ascii="宋体" w:hAnsi="宋体" w:eastAsia="宋体" w:cs="宋体"/>
          <w:color w:val="auto"/>
          <w:szCs w:val="21"/>
          <w:highlight w:val="none"/>
        </w:rPr>
        <w:t>1.1.2.6  监理人：</w:t>
      </w:r>
      <w:r>
        <w:rPr>
          <w:rFonts w:hint="eastAsia" w:ascii="宋体" w:hAnsi="宋体" w:eastAsia="宋体" w:cs="宋体"/>
          <w:color w:val="auto"/>
          <w:szCs w:val="21"/>
          <w:highlight w:val="none"/>
          <w:u w:val="single"/>
        </w:rPr>
        <w:t xml:space="preserve">             (填入监理人名称)           </w:t>
      </w:r>
      <w:r>
        <w:rPr>
          <w:rFonts w:hint="eastAsia" w:ascii="宋体" w:hAnsi="宋体" w:eastAsia="宋体" w:cs="宋体"/>
          <w:color w:val="auto"/>
          <w:szCs w:val="21"/>
          <w:highlight w:val="none"/>
        </w:rPr>
        <w:t xml:space="preserve"> 。</w:t>
      </w:r>
      <w:bookmarkEnd w:id="339"/>
    </w:p>
    <w:p>
      <w:pPr>
        <w:spacing w:line="276" w:lineRule="auto"/>
        <w:rPr>
          <w:rFonts w:hint="eastAsia" w:ascii="宋体" w:hAnsi="宋体" w:eastAsia="宋体" w:cs="宋体"/>
          <w:color w:val="auto"/>
          <w:szCs w:val="21"/>
          <w:highlight w:val="none"/>
        </w:rPr>
      </w:pPr>
      <w:bookmarkStart w:id="340" w:name="_Toc221951125"/>
      <w:r>
        <w:rPr>
          <w:rFonts w:hint="eastAsia" w:ascii="宋体" w:hAnsi="宋体" w:eastAsia="宋体" w:cs="宋体"/>
          <w:color w:val="auto"/>
          <w:szCs w:val="21"/>
          <w:highlight w:val="none"/>
        </w:rPr>
        <w:t>1.1.4  日期</w:t>
      </w:r>
      <w:bookmarkEnd w:id="340"/>
    </w:p>
    <w:p>
      <w:pPr>
        <w:spacing w:line="276" w:lineRule="auto"/>
        <w:rPr>
          <w:rFonts w:hint="eastAsia" w:ascii="宋体" w:hAnsi="宋体" w:eastAsia="宋体" w:cs="宋体"/>
          <w:color w:val="auto"/>
          <w:szCs w:val="21"/>
          <w:highlight w:val="none"/>
        </w:rPr>
      </w:pPr>
      <w:bookmarkStart w:id="341" w:name="_Toc221951126"/>
      <w:r>
        <w:rPr>
          <w:rFonts w:hint="eastAsia" w:ascii="宋体" w:hAnsi="宋体" w:eastAsia="宋体" w:cs="宋体"/>
          <w:color w:val="auto"/>
          <w:szCs w:val="21"/>
          <w:highlight w:val="none"/>
        </w:rPr>
        <w:t>1.1.4.5  缺陷责任期（工程质量保修期）：</w:t>
      </w:r>
      <w:r>
        <w:rPr>
          <w:rFonts w:hint="eastAsia" w:ascii="宋体" w:hAnsi="宋体" w:eastAsia="宋体" w:cs="宋体"/>
          <w:color w:val="auto"/>
          <w:szCs w:val="21"/>
          <w:highlight w:val="none"/>
          <w:u w:val="single"/>
          <w:lang w:eastAsia="zh-CN"/>
        </w:rPr>
        <w:t>一</w:t>
      </w:r>
      <w:r>
        <w:rPr>
          <w:rFonts w:hint="eastAsia" w:ascii="宋体" w:hAnsi="宋体" w:eastAsia="宋体" w:cs="宋体"/>
          <w:color w:val="auto"/>
          <w:szCs w:val="21"/>
          <w:highlight w:val="none"/>
          <w:u w:val="single"/>
        </w:rPr>
        <w:t xml:space="preserve">年 </w:t>
      </w:r>
      <w:r>
        <w:rPr>
          <w:rFonts w:hint="eastAsia" w:ascii="宋体" w:hAnsi="宋体" w:eastAsia="宋体" w:cs="宋体"/>
          <w:color w:val="auto"/>
          <w:szCs w:val="21"/>
          <w:highlight w:val="none"/>
        </w:rPr>
        <w:t>。</w:t>
      </w:r>
      <w:bookmarkEnd w:id="341"/>
    </w:p>
    <w:p>
      <w:pPr>
        <w:pStyle w:val="5"/>
        <w:spacing w:line="276" w:lineRule="auto"/>
        <w:rPr>
          <w:rFonts w:hint="eastAsia" w:ascii="宋体" w:hAnsi="宋体" w:eastAsia="宋体" w:cs="宋体"/>
          <w:color w:val="auto"/>
          <w:sz w:val="21"/>
          <w:szCs w:val="21"/>
          <w:highlight w:val="none"/>
        </w:rPr>
      </w:pPr>
      <w:bookmarkStart w:id="342" w:name="_Toc221951127"/>
      <w:r>
        <w:rPr>
          <w:rFonts w:hint="eastAsia" w:ascii="宋体" w:hAnsi="宋体" w:eastAsia="宋体" w:cs="宋体"/>
          <w:color w:val="auto"/>
          <w:sz w:val="21"/>
          <w:szCs w:val="21"/>
          <w:highlight w:val="none"/>
        </w:rPr>
        <w:t>1.4  合同文件的优先顺序</w:t>
      </w:r>
      <w:bookmarkEnd w:id="342"/>
    </w:p>
    <w:p>
      <w:pPr>
        <w:spacing w:line="276" w:lineRule="auto"/>
        <w:rPr>
          <w:rFonts w:hint="eastAsia" w:ascii="宋体" w:hAnsi="宋体" w:eastAsia="宋体" w:cs="宋体"/>
          <w:color w:val="auto"/>
          <w:szCs w:val="21"/>
          <w:highlight w:val="none"/>
        </w:rPr>
      </w:pPr>
      <w:bookmarkStart w:id="343" w:name="_Toc221951128"/>
      <w:r>
        <w:rPr>
          <w:rFonts w:hint="eastAsia" w:ascii="宋体" w:hAnsi="宋体" w:eastAsia="宋体" w:cs="宋体"/>
          <w:color w:val="auto"/>
          <w:szCs w:val="21"/>
          <w:highlight w:val="none"/>
        </w:rPr>
        <w:t>进入合同的各项文件及其优先顺序</w:t>
      </w:r>
      <w:bookmarkEnd w:id="343"/>
      <w:r>
        <w:rPr>
          <w:rFonts w:hint="eastAsia" w:ascii="宋体" w:hAnsi="宋体" w:eastAsia="宋体" w:cs="宋体"/>
          <w:color w:val="auto"/>
          <w:szCs w:val="21"/>
          <w:highlight w:val="none"/>
        </w:rPr>
        <w:t>如下：</w:t>
      </w:r>
    </w:p>
    <w:p>
      <w:pPr>
        <w:spacing w:line="276" w:lineRule="auto"/>
        <w:ind w:firstLine="359" w:firstLineChars="171"/>
        <w:rPr>
          <w:rFonts w:hint="eastAsia" w:ascii="宋体" w:hAnsi="宋体" w:eastAsia="宋体" w:cs="宋体"/>
          <w:color w:val="auto"/>
          <w:szCs w:val="21"/>
          <w:highlight w:val="none"/>
        </w:rPr>
      </w:pPr>
      <w:r>
        <w:rPr>
          <w:rFonts w:hint="eastAsia" w:ascii="宋体" w:hAnsi="宋体" w:eastAsia="宋体" w:cs="宋体"/>
          <w:color w:val="auto"/>
          <w:szCs w:val="21"/>
          <w:highlight w:val="none"/>
        </w:rPr>
        <w:t>（1）合同协议书（包括补充协议、合同谈判备忘录）；</w:t>
      </w:r>
    </w:p>
    <w:p>
      <w:pPr>
        <w:spacing w:line="276" w:lineRule="auto"/>
        <w:ind w:firstLine="359" w:firstLineChars="171"/>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（2）中标通知书；</w:t>
      </w:r>
    </w:p>
    <w:p>
      <w:pPr>
        <w:spacing w:line="276" w:lineRule="auto"/>
        <w:ind w:firstLine="359" w:firstLineChars="171"/>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（3）投标函及投标函附录；</w:t>
      </w:r>
    </w:p>
    <w:p>
      <w:pPr>
        <w:spacing w:line="276" w:lineRule="auto"/>
        <w:ind w:firstLine="359" w:firstLineChars="171"/>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（4）专用合同条款（含附加条款）；</w:t>
      </w:r>
    </w:p>
    <w:p>
      <w:pPr>
        <w:spacing w:line="276" w:lineRule="auto"/>
        <w:ind w:firstLine="359" w:firstLineChars="171"/>
        <w:rPr>
          <w:rFonts w:hint="eastAsia" w:ascii="宋体" w:hAnsi="宋体" w:eastAsia="宋体" w:cs="宋体"/>
          <w:color w:val="auto"/>
          <w:szCs w:val="21"/>
          <w:highlight w:val="none"/>
        </w:rPr>
      </w:pPr>
      <w:r>
        <w:rPr>
          <w:rFonts w:hint="eastAsia" w:ascii="宋体" w:hAnsi="宋体" w:eastAsia="宋体" w:cs="宋体"/>
          <w:color w:val="auto"/>
          <w:szCs w:val="21"/>
          <w:highlight w:val="none"/>
        </w:rPr>
        <w:t>（5）通用合同条款；</w:t>
      </w:r>
    </w:p>
    <w:p>
      <w:pPr>
        <w:spacing w:line="276" w:lineRule="auto"/>
        <w:ind w:firstLine="359" w:firstLineChars="171"/>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（6）技术标准和要求（合同技术条款）；</w:t>
      </w:r>
    </w:p>
    <w:p>
      <w:pPr>
        <w:spacing w:line="276" w:lineRule="auto"/>
        <w:ind w:firstLine="359" w:firstLineChars="171"/>
        <w:rPr>
          <w:rFonts w:hint="eastAsia" w:ascii="宋体" w:hAnsi="宋体" w:eastAsia="宋体" w:cs="宋体"/>
          <w:color w:val="auto"/>
          <w:szCs w:val="21"/>
          <w:highlight w:val="none"/>
        </w:rPr>
      </w:pPr>
      <w:r>
        <w:rPr>
          <w:rFonts w:hint="eastAsia" w:ascii="宋体" w:hAnsi="宋体" w:eastAsia="宋体" w:cs="宋体"/>
          <w:color w:val="auto"/>
          <w:szCs w:val="21"/>
          <w:highlight w:val="none"/>
        </w:rPr>
        <w:t>（7）图纸；</w:t>
      </w:r>
    </w:p>
    <w:p>
      <w:pPr>
        <w:spacing w:line="276" w:lineRule="auto"/>
        <w:ind w:firstLine="359" w:firstLineChars="171"/>
        <w:rPr>
          <w:rFonts w:hint="eastAsia" w:ascii="宋体" w:hAnsi="宋体" w:eastAsia="宋体" w:cs="宋体"/>
          <w:color w:val="auto"/>
          <w:szCs w:val="21"/>
          <w:highlight w:val="none"/>
        </w:rPr>
      </w:pPr>
      <w:r>
        <w:rPr>
          <w:rFonts w:hint="eastAsia" w:ascii="宋体" w:hAnsi="宋体" w:eastAsia="宋体" w:cs="宋体"/>
          <w:color w:val="auto"/>
          <w:szCs w:val="21"/>
          <w:highlight w:val="none"/>
        </w:rPr>
        <w:t>（8）已标价工程量清单；</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（9）投标文件其他内容；</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（10）其他合同文件。</w:t>
      </w:r>
    </w:p>
    <w:p>
      <w:pPr>
        <w:pStyle w:val="5"/>
        <w:spacing w:line="276" w:lineRule="auto"/>
        <w:rPr>
          <w:rFonts w:hint="eastAsia" w:ascii="宋体" w:hAnsi="宋体" w:eastAsia="宋体" w:cs="宋体"/>
          <w:color w:val="auto"/>
          <w:sz w:val="21"/>
          <w:szCs w:val="21"/>
          <w:highlight w:val="none"/>
        </w:rPr>
      </w:pPr>
      <w:bookmarkStart w:id="344" w:name="_Toc221951129"/>
      <w:r>
        <w:rPr>
          <w:rFonts w:hint="eastAsia" w:ascii="宋体" w:hAnsi="宋体" w:eastAsia="宋体" w:cs="宋体"/>
          <w:color w:val="auto"/>
          <w:sz w:val="21"/>
          <w:szCs w:val="21"/>
          <w:highlight w:val="none"/>
        </w:rPr>
        <w:t>1.7  联络</w:t>
      </w:r>
      <w:bookmarkEnd w:id="344"/>
    </w:p>
    <w:p>
      <w:pPr>
        <w:spacing w:line="276" w:lineRule="auto"/>
        <w:rPr>
          <w:rFonts w:hint="eastAsia" w:ascii="宋体" w:hAnsi="宋体" w:eastAsia="宋体" w:cs="宋体"/>
          <w:color w:val="auto"/>
          <w:szCs w:val="21"/>
          <w:highlight w:val="none"/>
        </w:rPr>
      </w:pPr>
      <w:bookmarkStart w:id="345" w:name="_Toc221951130"/>
      <w:r>
        <w:rPr>
          <w:rFonts w:hint="eastAsia" w:ascii="宋体" w:hAnsi="宋体" w:eastAsia="宋体" w:cs="宋体"/>
          <w:color w:val="auto"/>
          <w:szCs w:val="21"/>
          <w:highlight w:val="none"/>
        </w:rPr>
        <w:t xml:space="preserve">1.7.2  来往函件均应按技术标准和要求（合同技术条款）约定的期限送达 </w:t>
      </w:r>
      <w:r>
        <w:rPr>
          <w:rFonts w:hint="eastAsia" w:ascii="宋体" w:hAnsi="宋体" w:eastAsia="宋体" w:cs="宋体"/>
          <w:color w:val="auto"/>
          <w:szCs w:val="21"/>
          <w:highlight w:val="none"/>
          <w:u w:val="single"/>
        </w:rPr>
        <w:t xml:space="preserve">  （填写文件送达地点）   </w:t>
      </w:r>
      <w:r>
        <w:rPr>
          <w:rFonts w:hint="eastAsia" w:ascii="宋体" w:hAnsi="宋体" w:eastAsia="宋体" w:cs="宋体"/>
          <w:color w:val="auto"/>
          <w:szCs w:val="21"/>
          <w:highlight w:val="none"/>
        </w:rPr>
        <w:t xml:space="preserve"> 。</w:t>
      </w:r>
      <w:bookmarkEnd w:id="345"/>
    </w:p>
    <w:p>
      <w:pPr>
        <w:pStyle w:val="5"/>
        <w:spacing w:line="276" w:lineRule="auto"/>
        <w:rPr>
          <w:rFonts w:hint="eastAsia" w:ascii="宋体" w:hAnsi="宋体" w:eastAsia="宋体" w:cs="宋体"/>
          <w:color w:val="auto"/>
          <w:sz w:val="21"/>
          <w:szCs w:val="21"/>
          <w:highlight w:val="none"/>
        </w:rPr>
      </w:pPr>
      <w:bookmarkStart w:id="346" w:name="_Toc222032697"/>
      <w:bookmarkStart w:id="347" w:name="_Toc222031030"/>
      <w:bookmarkStart w:id="348" w:name="_Toc222033879"/>
      <w:bookmarkStart w:id="349" w:name="_Toc221951131"/>
      <w:bookmarkStart w:id="350" w:name="_Toc222029528"/>
      <w:bookmarkStart w:id="351" w:name="_Toc229305388"/>
      <w:r>
        <w:rPr>
          <w:rFonts w:hint="eastAsia" w:ascii="宋体" w:hAnsi="宋体" w:eastAsia="宋体" w:cs="宋体"/>
          <w:color w:val="auto"/>
          <w:sz w:val="21"/>
          <w:szCs w:val="21"/>
          <w:highlight w:val="none"/>
        </w:rPr>
        <w:t>2  发包人义务</w:t>
      </w:r>
      <w:bookmarkEnd w:id="346"/>
      <w:bookmarkEnd w:id="347"/>
      <w:bookmarkEnd w:id="348"/>
      <w:bookmarkEnd w:id="349"/>
      <w:bookmarkEnd w:id="350"/>
      <w:bookmarkEnd w:id="351"/>
    </w:p>
    <w:p>
      <w:pPr>
        <w:pStyle w:val="5"/>
        <w:spacing w:line="276" w:lineRule="auto"/>
        <w:rPr>
          <w:rFonts w:hint="eastAsia" w:ascii="宋体" w:hAnsi="宋体" w:eastAsia="宋体" w:cs="宋体"/>
          <w:color w:val="auto"/>
          <w:sz w:val="21"/>
          <w:szCs w:val="21"/>
          <w:highlight w:val="none"/>
        </w:rPr>
      </w:pPr>
      <w:bookmarkStart w:id="352" w:name="_Toc221951132"/>
      <w:r>
        <w:rPr>
          <w:rFonts w:hint="eastAsia" w:ascii="宋体" w:hAnsi="宋体" w:eastAsia="宋体" w:cs="宋体"/>
          <w:color w:val="auto"/>
          <w:sz w:val="21"/>
          <w:szCs w:val="21"/>
          <w:highlight w:val="none"/>
        </w:rPr>
        <w:t>2.3  提供施工场地</w:t>
      </w:r>
      <w:bookmarkEnd w:id="352"/>
    </w:p>
    <w:p>
      <w:pPr>
        <w:spacing w:line="276" w:lineRule="auto"/>
        <w:ind w:right="248" w:firstLine="480"/>
        <w:rPr>
          <w:rFonts w:hint="eastAsia" w:ascii="宋体" w:hAnsi="宋体" w:eastAsia="宋体" w:cs="宋体"/>
          <w:b/>
          <w:bCs/>
          <w:color w:val="auto"/>
          <w:szCs w:val="21"/>
          <w:highlight w:val="none"/>
        </w:rPr>
      </w:pPr>
      <w:bookmarkStart w:id="353" w:name="_Toc221951133"/>
      <w:r>
        <w:rPr>
          <w:rFonts w:hint="eastAsia" w:ascii="宋体" w:hAnsi="宋体" w:eastAsia="宋体" w:cs="宋体"/>
          <w:color w:val="auto"/>
          <w:szCs w:val="21"/>
          <w:highlight w:val="none"/>
        </w:rPr>
        <w:t>2.3.2发包人提供的施工场地范围为：</w:t>
      </w:r>
      <w:bookmarkEnd w:id="353"/>
      <w:r>
        <w:rPr>
          <w:rFonts w:hint="eastAsia" w:ascii="宋体" w:hAnsi="宋体" w:eastAsia="宋体" w:cs="宋体"/>
          <w:color w:val="auto"/>
          <w:szCs w:val="21"/>
          <w:highlight w:val="none"/>
          <w:u w:val="single"/>
        </w:rPr>
        <w:t>发包人负责办理工地范围内的征地、拆迁和移民等有关手续，向承包人提供施工用地。提供的用地范围和期限在签订协议书时商定。</w:t>
      </w:r>
      <w:r>
        <w:rPr>
          <w:rFonts w:hint="eastAsia" w:ascii="宋体" w:hAnsi="宋体" w:eastAsia="宋体" w:cs="宋体"/>
          <w:b/>
          <w:bCs/>
          <w:color w:val="auto"/>
          <w:szCs w:val="21"/>
          <w:highlight w:val="none"/>
        </w:rPr>
        <w:t xml:space="preserve">  </w:t>
      </w:r>
    </w:p>
    <w:p>
      <w:pPr>
        <w:spacing w:line="276" w:lineRule="auto"/>
        <w:ind w:right="248"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2.3.3承包人自行勘察的施工场地范围为：</w:t>
      </w:r>
      <w:r>
        <w:rPr>
          <w:rFonts w:hint="eastAsia" w:ascii="宋体" w:hAnsi="宋体" w:eastAsia="宋体" w:cs="宋体"/>
          <w:color w:val="auto"/>
          <w:szCs w:val="21"/>
          <w:highlight w:val="none"/>
          <w:u w:val="single"/>
        </w:rPr>
        <w:t xml:space="preserve"> 在签订合同时商定 </w:t>
      </w:r>
      <w:r>
        <w:rPr>
          <w:rFonts w:hint="eastAsia" w:ascii="宋体" w:hAnsi="宋体" w:eastAsia="宋体" w:cs="宋体"/>
          <w:color w:val="auto"/>
          <w:szCs w:val="21"/>
          <w:highlight w:val="none"/>
        </w:rPr>
        <w:t>。</w:t>
      </w:r>
    </w:p>
    <w:p>
      <w:pPr>
        <w:pStyle w:val="5"/>
        <w:spacing w:line="276" w:lineRule="auto"/>
        <w:rPr>
          <w:rFonts w:hint="eastAsia" w:ascii="宋体" w:hAnsi="宋体" w:eastAsia="宋体" w:cs="宋体"/>
          <w:color w:val="auto"/>
          <w:sz w:val="21"/>
          <w:szCs w:val="21"/>
          <w:highlight w:val="none"/>
        </w:rPr>
      </w:pPr>
      <w:bookmarkStart w:id="354" w:name="_Toc221951134"/>
      <w:r>
        <w:rPr>
          <w:rFonts w:hint="eastAsia" w:ascii="宋体" w:hAnsi="宋体" w:eastAsia="宋体" w:cs="宋体"/>
          <w:color w:val="auto"/>
          <w:sz w:val="21"/>
          <w:szCs w:val="21"/>
          <w:highlight w:val="none"/>
        </w:rPr>
        <w:t>2.8  其它义务</w:t>
      </w:r>
      <w:bookmarkEnd w:id="354"/>
      <w:r>
        <w:rPr>
          <w:rFonts w:hint="eastAsia" w:ascii="宋体" w:hAnsi="宋体" w:eastAsia="宋体" w:cs="宋体"/>
          <w:color w:val="auto"/>
          <w:sz w:val="21"/>
          <w:szCs w:val="21"/>
          <w:highlight w:val="none"/>
        </w:rPr>
        <w:t xml:space="preserve">  </w:t>
      </w:r>
    </w:p>
    <w:p>
      <w:pPr>
        <w:spacing w:line="276" w:lineRule="auto"/>
        <w:ind w:left="240" w:right="248" w:firstLine="480"/>
        <w:rPr>
          <w:rFonts w:hint="eastAsia" w:ascii="宋体" w:hAnsi="宋体" w:eastAsia="宋体" w:cs="宋体"/>
          <w:color w:val="auto"/>
          <w:szCs w:val="21"/>
          <w:highlight w:val="none"/>
        </w:rPr>
      </w:pPr>
      <w:bookmarkStart w:id="355" w:name="_Toc221951139"/>
      <w:r>
        <w:rPr>
          <w:rFonts w:hint="eastAsia" w:ascii="宋体" w:hAnsi="宋体" w:eastAsia="宋体" w:cs="宋体"/>
          <w:b/>
          <w:color w:val="auto"/>
          <w:szCs w:val="21"/>
          <w:highlight w:val="none"/>
        </w:rPr>
        <w:t>（一）执行农民工工资保证金制度，缴纳农民工工资保证金</w:t>
      </w:r>
      <w:r>
        <w:rPr>
          <w:rFonts w:hint="eastAsia" w:ascii="宋体" w:hAnsi="宋体" w:eastAsia="宋体" w:cs="宋体"/>
          <w:b/>
          <w:bCs/>
          <w:color w:val="auto"/>
          <w:szCs w:val="21"/>
          <w:highlight w:val="none"/>
        </w:rPr>
        <w:t>（适用于在本自治区行政区域内施工的所有水利水电工程项目）</w:t>
      </w:r>
    </w:p>
    <w:p>
      <w:pPr>
        <w:spacing w:line="276" w:lineRule="auto"/>
        <w:ind w:left="240" w:right="248"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广西壮族自治区劳动和社会保障厅、自治区水利厅二○○七年二月二十七日联合颁发的桂劳社发[2007]38号文《关于关于建立水利水电工程项目农民工工资保证金制度的通知》精神，发包人在办理工程项目开工手续前必须向主管该工程项目招投标的同级劳动保障部门履行以下义务：</w:t>
      </w:r>
    </w:p>
    <w:p>
      <w:pPr>
        <w:spacing w:line="276" w:lineRule="auto"/>
        <w:ind w:left="240" w:right="248"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（1）按以下标准在劳动保障部门指定的账户足额存入农民工工资保证金：   </w:t>
      </w:r>
    </w:p>
    <w:p>
      <w:pPr>
        <w:spacing w:line="276" w:lineRule="auto"/>
        <w:ind w:left="240" w:right="248"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工程项目中标价(合同价)1000万元(含1000万元)以下的，按2％计算；超过1000万元部分，按1％计算。</w:t>
      </w:r>
    </w:p>
    <w:p>
      <w:pPr>
        <w:spacing w:line="276" w:lineRule="auto"/>
        <w:ind w:left="240" w:right="248"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（2）承诺一旦其出现拖欠工程款导致施工单位无法按时足额支付农民工工资时，可由劳动保障部门从工资保证金中先予垫支。  </w:t>
      </w:r>
    </w:p>
    <w:p>
      <w:pPr>
        <w:spacing w:line="276" w:lineRule="auto"/>
        <w:ind w:left="240" w:right="248"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发包人应当根据上述作出的义务、持存入农民工工资保证金的银行凭证到</w:t>
      </w:r>
      <w:r>
        <w:rPr>
          <w:rFonts w:hint="eastAsia" w:ascii="宋体" w:hAnsi="宋体" w:eastAsia="宋体" w:cs="宋体"/>
          <w:color w:val="auto"/>
          <w:szCs w:val="21"/>
          <w:highlight w:val="none"/>
          <w:lang w:eastAsia="zh-CN"/>
        </w:rPr>
        <w:t>相关</w:t>
      </w:r>
      <w:r>
        <w:rPr>
          <w:rFonts w:hint="eastAsia" w:ascii="宋体" w:hAnsi="宋体" w:eastAsia="宋体" w:cs="宋体"/>
          <w:color w:val="auto"/>
          <w:szCs w:val="21"/>
          <w:highlight w:val="none"/>
        </w:rPr>
        <w:t>部门报备。由劳动保障部门出具备案证明后到</w:t>
      </w:r>
      <w:r>
        <w:rPr>
          <w:rFonts w:hint="eastAsia" w:ascii="宋体" w:hAnsi="宋体" w:eastAsia="宋体" w:cs="宋体"/>
          <w:color w:val="auto"/>
          <w:szCs w:val="21"/>
          <w:highlight w:val="none"/>
          <w:lang w:eastAsia="zh-CN"/>
        </w:rPr>
        <w:t>相关单位</w:t>
      </w:r>
      <w:r>
        <w:rPr>
          <w:rFonts w:hint="eastAsia" w:ascii="宋体" w:hAnsi="宋体" w:eastAsia="宋体" w:cs="宋体"/>
          <w:color w:val="auto"/>
          <w:szCs w:val="21"/>
          <w:highlight w:val="none"/>
        </w:rPr>
        <w:t>办理开工手续。</w:t>
      </w:r>
    </w:p>
    <w:p>
      <w:pPr>
        <w:pStyle w:val="6"/>
        <w:ind w:firstLine="602" w:firstLineChars="3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（二） 资金来源证明及支付担保</w:t>
      </w:r>
    </w:p>
    <w:p>
      <w:pPr>
        <w:pStyle w:val="6"/>
        <w:ind w:firstLine="800" w:firstLineChars="400"/>
        <w:rPr>
          <w:rFonts w:hint="eastAsia" w:ascii="宋体" w:hAnsi="宋体" w:eastAsia="宋体" w:cs="宋体"/>
          <w:b w:val="0"/>
          <w:bCs w:val="0"/>
          <w:color w:val="auto"/>
          <w:szCs w:val="21"/>
          <w:highlight w:val="none"/>
          <w:lang w:eastAsia="zh-CN"/>
        </w:rPr>
      </w:pPr>
      <w:r>
        <w:rPr>
          <w:rFonts w:hint="eastAsia" w:ascii="宋体" w:hAnsi="宋体" w:eastAsia="宋体" w:cs="宋体"/>
          <w:b w:val="0"/>
          <w:bCs w:val="0"/>
          <w:color w:val="auto"/>
          <w:szCs w:val="21"/>
          <w:highlight w:val="none"/>
          <w:lang w:eastAsia="zh-CN"/>
        </w:rPr>
        <w:t>发包人提供资金来源证明的期限要求：</w:t>
      </w:r>
      <w:r>
        <w:rPr>
          <w:rFonts w:hint="eastAsia" w:ascii="宋体" w:hAnsi="宋体" w:eastAsia="宋体" w:cs="宋体"/>
          <w:b w:val="0"/>
          <w:bCs w:val="0"/>
          <w:color w:val="auto"/>
          <w:szCs w:val="21"/>
          <w:highlight w:val="none"/>
          <w:u w:val="single"/>
          <w:lang w:eastAsia="zh-CN"/>
        </w:rPr>
        <w:t xml:space="preserve">无   </w:t>
      </w:r>
      <w:r>
        <w:rPr>
          <w:rFonts w:hint="eastAsia" w:ascii="宋体" w:hAnsi="宋体" w:eastAsia="宋体" w:cs="宋体"/>
          <w:b w:val="0"/>
          <w:bCs w:val="0"/>
          <w:color w:val="auto"/>
          <w:szCs w:val="21"/>
          <w:highlight w:val="none"/>
          <w:lang w:eastAsia="zh-CN"/>
        </w:rPr>
        <w:t>。</w:t>
      </w:r>
    </w:p>
    <w:p>
      <w:pPr>
        <w:pStyle w:val="6"/>
        <w:ind w:firstLine="800" w:firstLineChars="400"/>
        <w:rPr>
          <w:rFonts w:hint="eastAsia" w:ascii="宋体" w:hAnsi="宋体" w:eastAsia="宋体" w:cs="宋体"/>
          <w:b w:val="0"/>
          <w:bCs w:val="0"/>
          <w:color w:val="auto"/>
          <w:szCs w:val="21"/>
          <w:highlight w:val="none"/>
          <w:lang w:eastAsia="zh-CN"/>
        </w:rPr>
      </w:pPr>
      <w:r>
        <w:rPr>
          <w:rFonts w:hint="eastAsia" w:ascii="宋体" w:hAnsi="宋体" w:eastAsia="宋体" w:cs="宋体"/>
          <w:b w:val="0"/>
          <w:bCs w:val="0"/>
          <w:color w:val="auto"/>
          <w:szCs w:val="21"/>
          <w:highlight w:val="none"/>
          <w:lang w:eastAsia="zh-CN"/>
        </w:rPr>
        <w:t>发包人是否提供支付担保：</w:t>
      </w:r>
      <w:r>
        <w:rPr>
          <w:rFonts w:hint="eastAsia" w:ascii="宋体" w:hAnsi="宋体" w:eastAsia="宋体" w:cs="宋体"/>
          <w:b w:val="0"/>
          <w:bCs w:val="0"/>
          <w:color w:val="auto"/>
          <w:szCs w:val="21"/>
          <w:highlight w:val="none"/>
          <w:u w:val="single"/>
          <w:lang w:eastAsia="zh-CN"/>
        </w:rPr>
        <w:t xml:space="preserve">无      </w:t>
      </w:r>
      <w:r>
        <w:rPr>
          <w:rFonts w:hint="eastAsia" w:ascii="宋体" w:hAnsi="宋体" w:eastAsia="宋体" w:cs="宋体"/>
          <w:b w:val="0"/>
          <w:bCs w:val="0"/>
          <w:color w:val="auto"/>
          <w:szCs w:val="21"/>
          <w:highlight w:val="none"/>
          <w:lang w:eastAsia="zh-CN"/>
        </w:rPr>
        <w:t>。</w:t>
      </w:r>
    </w:p>
    <w:p>
      <w:pPr>
        <w:pStyle w:val="6"/>
        <w:ind w:firstLine="800" w:firstLineChars="400"/>
        <w:rPr>
          <w:rFonts w:hint="eastAsia"/>
          <w:color w:val="auto"/>
        </w:rPr>
      </w:pPr>
      <w:r>
        <w:rPr>
          <w:rFonts w:hint="eastAsia" w:ascii="宋体" w:hAnsi="宋体" w:eastAsia="宋体" w:cs="宋体"/>
          <w:b w:val="0"/>
          <w:bCs w:val="0"/>
          <w:color w:val="auto"/>
          <w:szCs w:val="21"/>
          <w:highlight w:val="none"/>
          <w:lang w:eastAsia="zh-CN"/>
        </w:rPr>
        <w:t>发包人提供支付担保的形式：</w:t>
      </w:r>
      <w:r>
        <w:rPr>
          <w:rFonts w:hint="eastAsia" w:ascii="宋体" w:hAnsi="宋体" w:eastAsia="宋体" w:cs="宋体"/>
          <w:b w:val="0"/>
          <w:bCs w:val="0"/>
          <w:color w:val="auto"/>
          <w:szCs w:val="21"/>
          <w:highlight w:val="none"/>
          <w:u w:val="single"/>
          <w:lang w:eastAsia="zh-CN"/>
        </w:rPr>
        <w:t>无    </w:t>
      </w:r>
      <w:r>
        <w:rPr>
          <w:rFonts w:hint="eastAsia" w:ascii="宋体" w:hAnsi="宋体" w:eastAsia="宋体" w:cs="宋体"/>
          <w:b w:val="0"/>
          <w:bCs w:val="0"/>
          <w:color w:val="auto"/>
          <w:szCs w:val="21"/>
          <w:highlight w:val="none"/>
          <w:lang w:eastAsia="zh-CN"/>
        </w:rPr>
        <w:t>。</w:t>
      </w:r>
    </w:p>
    <w:p>
      <w:pPr>
        <w:spacing w:line="276" w:lineRule="auto"/>
        <w:ind w:left="240" w:right="248" w:firstLine="48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lang w:eastAsia="zh-CN"/>
        </w:rPr>
        <w:t>三</w:t>
      </w:r>
      <w:r>
        <w:rPr>
          <w:rFonts w:hint="eastAsia" w:ascii="宋体" w:hAnsi="宋体" w:eastAsia="宋体" w:cs="宋体"/>
          <w:b/>
          <w:color w:val="auto"/>
          <w:szCs w:val="21"/>
          <w:highlight w:val="none"/>
        </w:rPr>
        <w:t>）其他未尽事宜待签订施工合同时双方再协商。</w:t>
      </w:r>
      <w:bookmarkEnd w:id="355"/>
    </w:p>
    <w:p>
      <w:pPr>
        <w:pStyle w:val="5"/>
        <w:spacing w:line="276" w:lineRule="auto"/>
        <w:rPr>
          <w:rFonts w:hint="eastAsia" w:ascii="宋体" w:hAnsi="宋体" w:eastAsia="宋体" w:cs="宋体"/>
          <w:color w:val="auto"/>
          <w:sz w:val="21"/>
          <w:szCs w:val="21"/>
          <w:highlight w:val="none"/>
        </w:rPr>
      </w:pPr>
      <w:bookmarkStart w:id="356" w:name="_Toc222029529"/>
      <w:bookmarkStart w:id="357" w:name="_Toc222033880"/>
      <w:bookmarkStart w:id="358" w:name="_Toc221951140"/>
      <w:bookmarkStart w:id="359" w:name="_Toc222031031"/>
      <w:bookmarkStart w:id="360" w:name="_Toc222032698"/>
      <w:bookmarkStart w:id="361" w:name="_Toc229305389"/>
      <w:r>
        <w:rPr>
          <w:rFonts w:hint="eastAsia" w:ascii="宋体" w:hAnsi="宋体" w:eastAsia="宋体" w:cs="宋体"/>
          <w:color w:val="auto"/>
          <w:sz w:val="21"/>
          <w:szCs w:val="21"/>
          <w:highlight w:val="none"/>
        </w:rPr>
        <w:t>3  监理人</w:t>
      </w:r>
      <w:bookmarkEnd w:id="356"/>
      <w:bookmarkEnd w:id="357"/>
      <w:bookmarkEnd w:id="358"/>
      <w:bookmarkEnd w:id="359"/>
      <w:bookmarkEnd w:id="360"/>
      <w:bookmarkEnd w:id="361"/>
    </w:p>
    <w:p>
      <w:pPr>
        <w:pStyle w:val="5"/>
        <w:spacing w:line="276" w:lineRule="auto"/>
        <w:rPr>
          <w:rFonts w:hint="eastAsia" w:ascii="宋体" w:hAnsi="宋体" w:eastAsia="宋体" w:cs="宋体"/>
          <w:color w:val="auto"/>
          <w:sz w:val="21"/>
          <w:szCs w:val="21"/>
          <w:highlight w:val="none"/>
        </w:rPr>
      </w:pPr>
      <w:bookmarkStart w:id="362" w:name="_Toc221951141"/>
      <w:r>
        <w:rPr>
          <w:rFonts w:hint="eastAsia" w:ascii="宋体" w:hAnsi="宋体" w:eastAsia="宋体" w:cs="宋体"/>
          <w:color w:val="auto"/>
          <w:sz w:val="21"/>
          <w:szCs w:val="21"/>
          <w:highlight w:val="none"/>
        </w:rPr>
        <w:t>3.1  监理人的职责和权力</w:t>
      </w:r>
      <w:bookmarkEnd w:id="362"/>
    </w:p>
    <w:p>
      <w:pPr>
        <w:spacing w:line="276" w:lineRule="auto"/>
        <w:ind w:firstLine="420" w:firstLineChars="200"/>
        <w:rPr>
          <w:rFonts w:hint="eastAsia" w:ascii="宋体" w:hAnsi="宋体" w:eastAsia="宋体" w:cs="宋体"/>
          <w:color w:val="auto"/>
          <w:szCs w:val="21"/>
          <w:highlight w:val="none"/>
        </w:rPr>
      </w:pPr>
      <w:bookmarkStart w:id="363" w:name="_Toc221951142"/>
      <w:r>
        <w:rPr>
          <w:rFonts w:hint="eastAsia" w:ascii="宋体" w:hAnsi="宋体" w:eastAsia="宋体" w:cs="宋体"/>
          <w:color w:val="auto"/>
          <w:szCs w:val="21"/>
          <w:highlight w:val="none"/>
        </w:rPr>
        <w:t>3.1.1</w:t>
      </w:r>
      <w:bookmarkEnd w:id="363"/>
      <w:r>
        <w:rPr>
          <w:rFonts w:hint="eastAsia" w:ascii="宋体" w:hAnsi="宋体" w:eastAsia="宋体" w:cs="宋体"/>
          <w:color w:val="auto"/>
          <w:szCs w:val="21"/>
          <w:highlight w:val="none"/>
        </w:rPr>
        <w:t>　</w:t>
      </w:r>
      <w:bookmarkStart w:id="364" w:name="_Toc221951143"/>
      <w:r>
        <w:rPr>
          <w:rFonts w:hint="eastAsia" w:ascii="宋体" w:hAnsi="宋体" w:eastAsia="宋体" w:cs="宋体"/>
          <w:color w:val="auto"/>
          <w:szCs w:val="21"/>
          <w:highlight w:val="none"/>
        </w:rPr>
        <w:t>监理人须根据发包人事先批准的权力范围行使权力，发包人批准的权力范围：</w:t>
      </w:r>
      <w:bookmarkEnd w:id="364"/>
      <w:r>
        <w:rPr>
          <w:rFonts w:hint="eastAsia" w:ascii="宋体" w:hAnsi="宋体" w:eastAsia="宋体" w:cs="宋体"/>
          <w:color w:val="auto"/>
          <w:szCs w:val="21"/>
          <w:highlight w:val="none"/>
        </w:rPr>
        <w:t>按本工程委托监理合同。</w:t>
      </w:r>
    </w:p>
    <w:p>
      <w:pPr>
        <w:pStyle w:val="5"/>
        <w:spacing w:line="276" w:lineRule="auto"/>
        <w:rPr>
          <w:rFonts w:hint="eastAsia" w:ascii="宋体" w:hAnsi="宋体" w:eastAsia="宋体" w:cs="宋体"/>
          <w:color w:val="auto"/>
          <w:sz w:val="21"/>
          <w:szCs w:val="21"/>
          <w:highlight w:val="none"/>
        </w:rPr>
      </w:pPr>
      <w:bookmarkStart w:id="365" w:name="_Toc222031032"/>
      <w:bookmarkStart w:id="366" w:name="_Toc229305390"/>
      <w:bookmarkStart w:id="367" w:name="_Toc221951150"/>
      <w:bookmarkStart w:id="368" w:name="_Toc222032699"/>
      <w:bookmarkStart w:id="369" w:name="_Toc222033881"/>
      <w:bookmarkStart w:id="370" w:name="_Toc222029530"/>
      <w:r>
        <w:rPr>
          <w:rFonts w:hint="eastAsia" w:ascii="宋体" w:hAnsi="宋体" w:eastAsia="宋体" w:cs="宋体"/>
          <w:color w:val="auto"/>
          <w:sz w:val="21"/>
          <w:szCs w:val="21"/>
          <w:highlight w:val="none"/>
        </w:rPr>
        <w:t>4  承包人</w:t>
      </w:r>
      <w:bookmarkEnd w:id="365"/>
      <w:bookmarkEnd w:id="366"/>
      <w:bookmarkEnd w:id="367"/>
      <w:bookmarkEnd w:id="368"/>
      <w:bookmarkEnd w:id="369"/>
      <w:bookmarkEnd w:id="370"/>
    </w:p>
    <w:p>
      <w:pPr>
        <w:pStyle w:val="5"/>
        <w:spacing w:line="276" w:lineRule="auto"/>
        <w:rPr>
          <w:rFonts w:hint="eastAsia" w:ascii="宋体" w:hAnsi="宋体" w:eastAsia="宋体" w:cs="宋体"/>
          <w:color w:val="auto"/>
          <w:sz w:val="21"/>
          <w:szCs w:val="21"/>
          <w:highlight w:val="none"/>
        </w:rPr>
      </w:pPr>
      <w:bookmarkStart w:id="371" w:name="_Toc221951151"/>
      <w:r>
        <w:rPr>
          <w:rFonts w:hint="eastAsia" w:ascii="宋体" w:hAnsi="宋体" w:eastAsia="宋体" w:cs="宋体"/>
          <w:color w:val="auto"/>
          <w:sz w:val="21"/>
          <w:szCs w:val="21"/>
          <w:highlight w:val="none"/>
        </w:rPr>
        <w:t>4.1  承包人的一般义务</w:t>
      </w:r>
      <w:bookmarkEnd w:id="371"/>
    </w:p>
    <w:p>
      <w:pPr>
        <w:spacing w:line="276" w:lineRule="auto"/>
        <w:ind w:right="248" w:firstLine="480"/>
        <w:rPr>
          <w:rFonts w:hint="eastAsia" w:ascii="宋体" w:hAnsi="宋体" w:eastAsia="宋体" w:cs="宋体"/>
          <w:color w:val="auto"/>
          <w:szCs w:val="21"/>
          <w:highlight w:val="none"/>
        </w:rPr>
      </w:pPr>
      <w:bookmarkStart w:id="372" w:name="_Toc221951152"/>
      <w:r>
        <w:rPr>
          <w:rFonts w:hint="eastAsia" w:ascii="宋体" w:hAnsi="宋体" w:eastAsia="宋体" w:cs="宋体"/>
          <w:color w:val="auto"/>
          <w:szCs w:val="21"/>
          <w:highlight w:val="none"/>
        </w:rPr>
        <w:t>4.1.10  其他义务</w:t>
      </w:r>
      <w:bookmarkEnd w:id="372"/>
    </w:p>
    <w:p>
      <w:pPr>
        <w:pStyle w:val="2"/>
        <w:spacing w:after="0" w:line="276" w:lineRule="auto"/>
        <w:ind w:left="0" w:leftChars="0"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（一）</w:t>
      </w:r>
      <w:r>
        <w:rPr>
          <w:rFonts w:hint="eastAsia" w:ascii="宋体" w:hAnsi="宋体" w:eastAsia="宋体" w:cs="宋体"/>
          <w:b/>
          <w:bCs/>
          <w:color w:val="auto"/>
          <w:sz w:val="21"/>
          <w:szCs w:val="21"/>
          <w:highlight w:val="none"/>
        </w:rPr>
        <w:t>办理建筑意外伤害保险。</w:t>
      </w:r>
    </w:p>
    <w:p>
      <w:pPr>
        <w:pStyle w:val="2"/>
        <w:spacing w:after="0" w:line="276"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必须在工程开工前办理完建筑意外保险的投保手续，为参加本合同工程现场施工所有作业人员及管理人员，包括参加工程建设的管理人员、施工人员（含民工）办理建筑意外伤害保险，支付保险费（意外伤害保险费为中标的工程量清单总价的3‰，由承包人在办理开工手续前</w:t>
      </w:r>
      <w:r>
        <w:rPr>
          <w:rFonts w:hint="eastAsia" w:ascii="宋体" w:hAnsi="宋体" w:eastAsia="宋体" w:cs="宋体"/>
          <w:color w:val="auto"/>
          <w:sz w:val="21"/>
          <w:szCs w:val="21"/>
          <w:highlight w:val="none"/>
          <w:lang w:eastAsia="zh-CN"/>
        </w:rPr>
        <w:t>办理</w:t>
      </w:r>
      <w:r>
        <w:rPr>
          <w:rFonts w:hint="eastAsia" w:ascii="宋体" w:hAnsi="宋体" w:eastAsia="宋体" w:cs="宋体"/>
          <w:color w:val="auto"/>
          <w:sz w:val="21"/>
          <w:szCs w:val="21"/>
          <w:highlight w:val="none"/>
        </w:rPr>
        <w:t>）。</w:t>
      </w:r>
    </w:p>
    <w:p>
      <w:pPr>
        <w:pStyle w:val="2"/>
        <w:spacing w:after="0" w:line="276"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保险期限自投保之日（工程开工之日）起至工程竣工（或投入使用）验收时止，时间上涵盖施工全过程的任一时段。</w:t>
      </w:r>
    </w:p>
    <w:p>
      <w:pPr>
        <w:pStyle w:val="2"/>
        <w:spacing w:after="0" w:line="276"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建筑意外伤害保险金额为人民币12万元，其中意外伤害保险金额10万元，意外伤害医疗保险金额2万元。承包人办理投保手续后，应将投保有关信息以布告形式张贴于施工现场，告之被保险人。</w:t>
      </w:r>
    </w:p>
    <w:p>
      <w:pPr>
        <w:pStyle w:val="2"/>
        <w:spacing w:after="0" w:line="276"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鉴于本合同工程各工种调动频繁、用工流动性大等特点，投保实行不记名和不计人数的方式，一旦该工程项目发生人员意外伤害，只要是在该工程发生的，都应该由保险公司在保险责任范围内负责赔付。</w:t>
      </w:r>
    </w:p>
    <w:p>
      <w:pPr>
        <w:pStyle w:val="2"/>
        <w:spacing w:after="0" w:line="276" w:lineRule="auto"/>
        <w:ind w:left="0" w:leftChars="0" w:firstLine="413" w:firstLineChars="196"/>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（二）执行农民工工资保证金制度</w:t>
      </w:r>
      <w:r>
        <w:rPr>
          <w:rFonts w:hint="eastAsia" w:ascii="宋体" w:hAnsi="宋体" w:eastAsia="宋体" w:cs="宋体"/>
          <w:color w:val="auto"/>
          <w:sz w:val="21"/>
          <w:szCs w:val="21"/>
          <w:highlight w:val="none"/>
        </w:rPr>
        <w:t>，</w:t>
      </w:r>
      <w:r>
        <w:rPr>
          <w:rFonts w:hint="eastAsia" w:ascii="宋体" w:hAnsi="宋体" w:eastAsia="宋体" w:cs="宋体"/>
          <w:b/>
          <w:color w:val="auto"/>
          <w:sz w:val="21"/>
          <w:szCs w:val="21"/>
          <w:highlight w:val="none"/>
        </w:rPr>
        <w:t>缴纳农民工工资保证金</w:t>
      </w:r>
      <w:r>
        <w:rPr>
          <w:rFonts w:hint="eastAsia" w:ascii="宋体" w:hAnsi="宋体" w:eastAsia="宋体" w:cs="宋体"/>
          <w:b/>
          <w:bCs/>
          <w:color w:val="auto"/>
          <w:sz w:val="21"/>
          <w:szCs w:val="21"/>
          <w:highlight w:val="none"/>
        </w:rPr>
        <w:t>（适用于在本自治区行政区域内施工的所有水利水电工程项目）。</w:t>
      </w:r>
    </w:p>
    <w:p>
      <w:pPr>
        <w:pStyle w:val="2"/>
        <w:spacing w:after="0" w:line="276"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广西壮族自治区劳动和社会保障厅、自治区水利厅二○○七年二月二十七日联合颁发的桂劳社发[2007]38号文《关于关于建立水利水电工程项目农民工工资保证金制度的通知》精神，在办理工程项目开工手续前，住所地在广西境内的（或住所地不在广西境内的）承包人必须向其住所地（或工程项目实际用工地的）相关劳动保障部门履行以下义务：</w:t>
      </w:r>
    </w:p>
    <w:p>
      <w:pPr>
        <w:pStyle w:val="2"/>
        <w:spacing w:after="0" w:line="276"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 按以下标准在劳动保障部门指定的账户足额存入农民工工资保证金：   </w:t>
      </w:r>
    </w:p>
    <w:p>
      <w:pPr>
        <w:pStyle w:val="2"/>
        <w:spacing w:after="0" w:line="276"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工程项目中标价(合同价)1000万元(含1000万元)以下的，按2％计算；超过1000万元部分，按1％计算。</w:t>
      </w:r>
    </w:p>
    <w:p>
      <w:pPr>
        <w:pStyle w:val="2"/>
        <w:spacing w:after="0" w:line="276"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承包人在投标时，必须在投标文件中作如下承诺：</w:t>
      </w:r>
    </w:p>
    <w:p>
      <w:pPr>
        <w:pStyle w:val="2"/>
        <w:spacing w:after="0" w:line="276"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 如实说明其以前所承建的工程项目中工资支付的情况，特别注明是否存在拖欠或克扣农民工工资的行为。</w:t>
      </w:r>
    </w:p>
    <w:p>
      <w:pPr>
        <w:pStyle w:val="2"/>
        <w:spacing w:after="0" w:line="276"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②承诺中标后及时、足额存入农民工工资保证金。</w:t>
      </w:r>
    </w:p>
    <w:p>
      <w:pPr>
        <w:pStyle w:val="2"/>
        <w:spacing w:after="0" w:line="276"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③承诺依法足额支付农民工工资，一旦其承建的工程项目出现拖欠农民工工资情况的，可由劳动保障部门从工资保证金中先予垫支。</w:t>
      </w:r>
    </w:p>
    <w:p>
      <w:pPr>
        <w:pStyle w:val="2"/>
        <w:spacing w:after="0" w:line="276"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承包人应当持根据上述作出的承诺和说明、存入农民工工资保证金的银行凭证到劳动保障部门报备。由劳动保障部门出具备案证明后到水利部门办理开工手续。</w:t>
      </w:r>
    </w:p>
    <w:p>
      <w:pPr>
        <w:spacing w:line="276"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rPr>
        <w:t>（三）工程施工的</w:t>
      </w:r>
      <w:r>
        <w:rPr>
          <w:rFonts w:hint="eastAsia" w:ascii="宋体" w:hAnsi="宋体" w:eastAsia="宋体" w:cs="宋体"/>
          <w:b/>
          <w:bCs/>
          <w:color w:val="auto"/>
          <w:szCs w:val="21"/>
          <w:highlight w:val="none"/>
        </w:rPr>
        <w:t>义务和责任</w:t>
      </w:r>
    </w:p>
    <w:p>
      <w:pPr>
        <w:spacing w:line="276"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承包人应负责施工场地内部的水、电等施工管、线路的铺、架设及其费用，并按供电部门规定向供电部门（或发包人）交纳水、电费。发包人提供的接电点在签订合同时明确。另外，施工通讯及设施由承包人负责并承担费用。</w:t>
      </w:r>
    </w:p>
    <w:p>
      <w:pPr>
        <w:spacing w:line="276"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（2）除民房外、承包人应按监理人的指示负责拆除、清理已征用土地上的杂物、灌木、树木、树根、杂草等。</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（3）承包人应充分理解有一些设施（如施工道路、桥梁）可能会有其它人和单位使用通行，在使用过程中发生干扰时，应立即通知监理人并服从监理人的决定。</w:t>
      </w:r>
    </w:p>
    <w:p>
      <w:pPr>
        <w:spacing w:line="276" w:lineRule="auto"/>
        <w:ind w:firstLine="420" w:firstLineChars="20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（4）承包人应为监理人、发包人现场代表对施工现场的检查监督提供必要的配合，并对这种配合对施工的影响应有充分的考虑。</w:t>
      </w:r>
    </w:p>
    <w:p>
      <w:pPr>
        <w:spacing w:line="276"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（5）工程竣工后，承包人应按监理人的指示清理施工现场直至监理人、发包人满意为止。</w:t>
      </w:r>
    </w:p>
    <w:p>
      <w:pPr>
        <w:spacing w:line="276"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（6）对上述（1）～（5）项工作,费用已包括在有关单价和总价中，发包人不再另行支付由此所发生的一切费用。</w:t>
      </w:r>
    </w:p>
    <w:p>
      <w:pPr>
        <w:tabs>
          <w:tab w:val="left" w:pos="1134"/>
          <w:tab w:val="left" w:pos="1276"/>
          <w:tab w:val="left" w:pos="1985"/>
        </w:tabs>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经过公路、城市道路的施工车辆，必须按交警、城管、环保、环卫等部门规定执行。施工车辆的营运手续办理、清洗等一切费用由承包人承担。由于车辆超载、带泥或洒漏造成的道路损坏、环境污染等，其责任和费用均由承包人承担。</w:t>
      </w:r>
    </w:p>
    <w:p>
      <w:pPr>
        <w:tabs>
          <w:tab w:val="left" w:pos="1134"/>
          <w:tab w:val="left" w:pos="1276"/>
          <w:tab w:val="left" w:pos="1985"/>
        </w:tabs>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（8）承包人必须文明、安全施工，在施工期间发生的一切人员伤亡和财产损失等责任事故和所发生的一切费用概由承包人承担。</w:t>
      </w:r>
    </w:p>
    <w:p>
      <w:pPr>
        <w:pStyle w:val="22"/>
        <w:tabs>
          <w:tab w:val="left" w:pos="6300"/>
          <w:tab w:val="left" w:pos="6510"/>
        </w:tabs>
        <w:spacing w:line="276" w:lineRule="auto"/>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（9）按照发包人的要求作好安全文明宣传、领导检查宣传等工作，相关费用由承包人承担。</w:t>
      </w:r>
    </w:p>
    <w:p>
      <w:pPr>
        <w:pStyle w:val="22"/>
        <w:spacing w:line="276" w:lineRule="auto"/>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（10）承包人应按约定时间和要求，完成以下工作：</w:t>
      </w:r>
    </w:p>
    <w:p>
      <w:pPr>
        <w:pStyle w:val="22"/>
        <w:spacing w:line="276" w:lineRule="auto"/>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①按时提交施工组织设计、单位工程的施工方案。                     </w:t>
      </w:r>
    </w:p>
    <w:p>
      <w:pPr>
        <w:pStyle w:val="22"/>
        <w:spacing w:line="276" w:lineRule="auto"/>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②每月25日向监理人提交当月工程进度报表及下月进度计划。</w:t>
      </w:r>
    </w:p>
    <w:p>
      <w:pPr>
        <w:pStyle w:val="22"/>
        <w:spacing w:line="276" w:lineRule="auto"/>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③承包人自行负责施工安全保卫工作及夜间施工照明。                                                                           </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④需承包人办理的有关施工场地交通、环卫和施工噪音管理等手续：遵守有关部门对施工现场交通、环卫和施工噪音管理规定，如有发生，费用由承包人承担。             </w:t>
      </w:r>
    </w:p>
    <w:p>
      <w:pPr>
        <w:pStyle w:val="22"/>
        <w:spacing w:line="276" w:lineRule="auto"/>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⑤已完工程成品保护的特殊要求及费用承担：已竣工工程未交付发包人之前，承包人按协议条款约定负责已完成工程的成品保护工作，保护期间发生损坏，承包人自费予以修复。                        </w:t>
      </w:r>
    </w:p>
    <w:p>
      <w:pPr>
        <w:pStyle w:val="22"/>
        <w:spacing w:line="276" w:lineRule="auto"/>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⑥承包人有义务对施工场地周围管线（含地上及地下）和邻近建筑物、构筑物(含文物保护建筑)、古树名木等进行探明并负责保护。                                              </w:t>
      </w:r>
    </w:p>
    <w:p>
      <w:pPr>
        <w:pStyle w:val="22"/>
        <w:spacing w:line="276" w:lineRule="auto"/>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⑦施工场地清洁卫生的要求：按城建卫生有关规定执行，由承包人负责，费用由承包人承担。 </w:t>
      </w:r>
    </w:p>
    <w:p>
      <w:pPr>
        <w:pStyle w:val="22"/>
        <w:tabs>
          <w:tab w:val="left" w:pos="6300"/>
          <w:tab w:val="left" w:pos="6510"/>
        </w:tabs>
        <w:spacing w:line="276" w:lineRule="auto"/>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⑧承包人承担施工场地、水电及运输通道的修建和维护、清场等费用。</w:t>
      </w:r>
    </w:p>
    <w:p>
      <w:pPr>
        <w:pStyle w:val="22"/>
        <w:tabs>
          <w:tab w:val="left" w:pos="6300"/>
          <w:tab w:val="left" w:pos="6510"/>
        </w:tabs>
        <w:spacing w:line="276" w:lineRule="auto"/>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（11）双方约定承包人应做的其他工作：</w:t>
      </w:r>
    </w:p>
    <w:p>
      <w:pPr>
        <w:tabs>
          <w:tab w:val="left" w:pos="1134"/>
          <w:tab w:val="left" w:pos="1276"/>
          <w:tab w:val="left" w:pos="1985"/>
        </w:tabs>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①凡属于需要承包人交付给其他承包人的工作面以及与其他承包人交叉作业的工作面，承包人必须服从监理人的决定，按规定的完工日期完成并将清理好的工作面移交给发包人，并取得监理人的同意。</w:t>
      </w:r>
    </w:p>
    <w:p>
      <w:pPr>
        <w:tabs>
          <w:tab w:val="left" w:pos="1134"/>
          <w:tab w:val="left" w:pos="1276"/>
          <w:tab w:val="left" w:pos="1985"/>
        </w:tabs>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②工程完工后，承包人应按监理人的指示清理施工现场。并在工程完工后6个月内完成并提交工程竣工资料和工程结算资料。承包人逾期提交，发包人将对承包人的拖延行为视为违约，并按1000元/天计算违约金，违约金从承包人应得的工程款中扣除，但其最终的累计总金额与各项逾期完工违约金合计不超过合同价格的5％。</w:t>
      </w:r>
    </w:p>
    <w:p>
      <w:pPr>
        <w:pStyle w:val="2"/>
        <w:spacing w:after="0" w:line="276"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（12）其他未尽事宜待签订施工合同时双方再协商。</w:t>
      </w:r>
    </w:p>
    <w:p>
      <w:pPr>
        <w:pStyle w:val="5"/>
        <w:spacing w:line="276" w:lineRule="auto"/>
        <w:rPr>
          <w:rFonts w:hint="eastAsia" w:ascii="宋体" w:hAnsi="宋体" w:eastAsia="宋体" w:cs="宋体"/>
          <w:color w:val="auto"/>
          <w:sz w:val="21"/>
          <w:szCs w:val="21"/>
          <w:highlight w:val="none"/>
        </w:rPr>
      </w:pPr>
      <w:bookmarkStart w:id="373" w:name="_Toc221951153"/>
      <w:r>
        <w:rPr>
          <w:rFonts w:hint="eastAsia" w:ascii="宋体" w:hAnsi="宋体" w:eastAsia="宋体" w:cs="宋体"/>
          <w:color w:val="auto"/>
          <w:sz w:val="21"/>
          <w:szCs w:val="21"/>
          <w:highlight w:val="none"/>
        </w:rPr>
        <w:t>4.3  分包</w:t>
      </w:r>
      <w:bookmarkEnd w:id="373"/>
    </w:p>
    <w:p>
      <w:pPr>
        <w:pStyle w:val="2"/>
        <w:spacing w:line="276" w:lineRule="auto"/>
        <w:ind w:left="0" w:leftChars="0" w:right="248" w:firstLine="105" w:firstLineChars="5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本项目不允许分包。</w:t>
      </w:r>
    </w:p>
    <w:p>
      <w:pPr>
        <w:pStyle w:val="5"/>
        <w:spacing w:line="276" w:lineRule="auto"/>
        <w:rPr>
          <w:rFonts w:hint="eastAsia" w:ascii="宋体" w:hAnsi="宋体" w:eastAsia="宋体" w:cs="宋体"/>
          <w:color w:val="auto"/>
          <w:sz w:val="21"/>
          <w:szCs w:val="21"/>
          <w:highlight w:val="none"/>
        </w:rPr>
      </w:pPr>
      <w:bookmarkStart w:id="374" w:name="_Toc221951158"/>
      <w:r>
        <w:rPr>
          <w:rFonts w:hint="eastAsia" w:ascii="宋体" w:hAnsi="宋体" w:eastAsia="宋体" w:cs="宋体"/>
          <w:color w:val="auto"/>
          <w:sz w:val="21"/>
          <w:szCs w:val="21"/>
          <w:highlight w:val="none"/>
        </w:rPr>
        <w:t>4.11  不利物质条件</w:t>
      </w:r>
      <w:bookmarkEnd w:id="374"/>
    </w:p>
    <w:p>
      <w:pPr>
        <w:spacing w:line="276" w:lineRule="auto"/>
        <w:ind w:right="248" w:firstLine="420" w:firstLineChars="200"/>
        <w:rPr>
          <w:rFonts w:hint="eastAsia" w:ascii="宋体" w:hAnsi="宋体" w:eastAsia="宋体" w:cs="宋体"/>
          <w:color w:val="auto"/>
          <w:szCs w:val="21"/>
          <w:highlight w:val="none"/>
        </w:rPr>
      </w:pPr>
      <w:bookmarkStart w:id="375" w:name="_Toc221951159"/>
      <w:r>
        <w:rPr>
          <w:rFonts w:hint="eastAsia" w:ascii="宋体" w:hAnsi="宋体" w:eastAsia="宋体" w:cs="宋体"/>
          <w:color w:val="auto"/>
          <w:szCs w:val="21"/>
          <w:highlight w:val="none"/>
        </w:rPr>
        <w:t>4.11.1不利物质条件的范围：</w:t>
      </w:r>
      <w:r>
        <w:rPr>
          <w:rFonts w:hint="eastAsia" w:ascii="宋体" w:hAnsi="宋体" w:eastAsia="宋体" w:cs="宋体"/>
          <w:color w:val="auto"/>
          <w:szCs w:val="21"/>
          <w:highlight w:val="none"/>
          <w:u w:val="single"/>
        </w:rPr>
        <w:t>在签订施工承包合同时明确</w:t>
      </w:r>
      <w:r>
        <w:rPr>
          <w:rFonts w:hint="eastAsia" w:ascii="宋体" w:hAnsi="宋体" w:eastAsia="宋体" w:cs="宋体"/>
          <w:color w:val="auto"/>
          <w:szCs w:val="21"/>
          <w:highlight w:val="none"/>
        </w:rPr>
        <w:t>。</w:t>
      </w:r>
      <w:bookmarkEnd w:id="375"/>
    </w:p>
    <w:p>
      <w:pPr>
        <w:pStyle w:val="5"/>
        <w:spacing w:line="276" w:lineRule="auto"/>
        <w:rPr>
          <w:rFonts w:hint="eastAsia" w:ascii="宋体" w:hAnsi="宋体" w:eastAsia="宋体" w:cs="宋体"/>
          <w:color w:val="auto"/>
          <w:sz w:val="21"/>
          <w:szCs w:val="21"/>
          <w:highlight w:val="none"/>
        </w:rPr>
      </w:pPr>
      <w:bookmarkStart w:id="376" w:name="_Toc222032700"/>
      <w:bookmarkStart w:id="377" w:name="_Toc222029531"/>
      <w:bookmarkStart w:id="378" w:name="_Toc222031033"/>
      <w:bookmarkStart w:id="379" w:name="_Toc221951160"/>
      <w:bookmarkStart w:id="380" w:name="_Toc222033882"/>
      <w:bookmarkStart w:id="381" w:name="_Toc229305391"/>
      <w:r>
        <w:rPr>
          <w:rFonts w:hint="eastAsia" w:ascii="宋体" w:hAnsi="宋体" w:eastAsia="宋体" w:cs="宋体"/>
          <w:color w:val="auto"/>
          <w:sz w:val="21"/>
          <w:szCs w:val="21"/>
          <w:highlight w:val="none"/>
        </w:rPr>
        <w:t>5  材料和工程设备</w:t>
      </w:r>
      <w:bookmarkEnd w:id="376"/>
      <w:bookmarkEnd w:id="377"/>
      <w:bookmarkEnd w:id="378"/>
      <w:bookmarkEnd w:id="379"/>
      <w:bookmarkEnd w:id="380"/>
      <w:bookmarkEnd w:id="381"/>
    </w:p>
    <w:p>
      <w:pPr>
        <w:pStyle w:val="5"/>
        <w:spacing w:line="276" w:lineRule="auto"/>
        <w:rPr>
          <w:rFonts w:hint="eastAsia" w:ascii="宋体" w:hAnsi="宋体" w:eastAsia="宋体" w:cs="宋体"/>
          <w:color w:val="auto"/>
          <w:sz w:val="21"/>
          <w:szCs w:val="21"/>
          <w:highlight w:val="none"/>
        </w:rPr>
      </w:pPr>
      <w:bookmarkStart w:id="382" w:name="_Toc221951163"/>
      <w:r>
        <w:rPr>
          <w:rFonts w:hint="eastAsia" w:ascii="宋体" w:hAnsi="宋体" w:eastAsia="宋体" w:cs="宋体"/>
          <w:color w:val="auto"/>
          <w:sz w:val="21"/>
          <w:szCs w:val="21"/>
          <w:highlight w:val="none"/>
        </w:rPr>
        <w:t>5.2  发包人提供的材料和工程设备</w:t>
      </w:r>
      <w:bookmarkEnd w:id="382"/>
    </w:p>
    <w:p>
      <w:pPr>
        <w:spacing w:line="276" w:lineRule="auto"/>
        <w:ind w:firstLine="420" w:firstLineChars="200"/>
        <w:rPr>
          <w:rFonts w:hint="eastAsia" w:ascii="宋体" w:hAnsi="宋体" w:eastAsia="宋体" w:cs="宋体"/>
          <w:color w:val="auto"/>
          <w:szCs w:val="21"/>
          <w:highlight w:val="none"/>
        </w:rPr>
      </w:pPr>
      <w:bookmarkStart w:id="383" w:name="_Toc222033883"/>
      <w:bookmarkStart w:id="384" w:name="_Toc229305392"/>
      <w:bookmarkStart w:id="385" w:name="_Toc222032701"/>
      <w:bookmarkStart w:id="386" w:name="_Toc222029532"/>
      <w:bookmarkStart w:id="387" w:name="_Toc222031034"/>
      <w:bookmarkStart w:id="388" w:name="_Toc221951166"/>
      <w:r>
        <w:rPr>
          <w:rFonts w:hint="eastAsia" w:ascii="宋体" w:hAnsi="宋体" w:eastAsia="宋体" w:cs="宋体"/>
          <w:color w:val="auto"/>
          <w:szCs w:val="21"/>
          <w:highlight w:val="none"/>
        </w:rPr>
        <w:t>本工程发包人不提供材料和设备。</w:t>
      </w:r>
    </w:p>
    <w:p>
      <w:pPr>
        <w:pStyle w:val="5"/>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  施工设备和临时设施</w:t>
      </w:r>
      <w:bookmarkEnd w:id="383"/>
      <w:bookmarkEnd w:id="384"/>
      <w:bookmarkEnd w:id="385"/>
      <w:bookmarkEnd w:id="386"/>
      <w:bookmarkEnd w:id="387"/>
      <w:bookmarkEnd w:id="388"/>
    </w:p>
    <w:p>
      <w:pPr>
        <w:pStyle w:val="5"/>
        <w:spacing w:line="276" w:lineRule="auto"/>
        <w:rPr>
          <w:rFonts w:hint="eastAsia" w:ascii="宋体" w:hAnsi="宋体" w:eastAsia="宋体" w:cs="宋体"/>
          <w:color w:val="auto"/>
          <w:sz w:val="21"/>
          <w:szCs w:val="21"/>
          <w:highlight w:val="none"/>
        </w:rPr>
      </w:pPr>
      <w:bookmarkStart w:id="389" w:name="_Toc229593367"/>
      <w:r>
        <w:rPr>
          <w:rFonts w:hint="eastAsia" w:ascii="宋体" w:hAnsi="宋体" w:eastAsia="宋体" w:cs="宋体"/>
          <w:color w:val="auto"/>
          <w:sz w:val="21"/>
          <w:szCs w:val="21"/>
          <w:highlight w:val="none"/>
        </w:rPr>
        <w:t>6.1 承包人提供的施工设备和临时设施</w:t>
      </w:r>
      <w:bookmarkEnd w:id="389"/>
    </w:p>
    <w:p>
      <w:pPr>
        <w:spacing w:line="276" w:lineRule="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6.1.2 承包人自行承担修建临时设施的费用，需要临时占地的，由承包人办理相关申请手续，发包人予以协助，发生的相关费用由承包人承担。</w:t>
      </w:r>
    </w:p>
    <w:p>
      <w:pPr>
        <w:pStyle w:val="5"/>
        <w:spacing w:line="276" w:lineRule="auto"/>
        <w:rPr>
          <w:rFonts w:hint="eastAsia" w:ascii="宋体" w:hAnsi="宋体" w:eastAsia="宋体" w:cs="宋体"/>
          <w:color w:val="auto"/>
          <w:sz w:val="21"/>
          <w:szCs w:val="21"/>
          <w:highlight w:val="none"/>
        </w:rPr>
      </w:pPr>
      <w:bookmarkStart w:id="390" w:name="_Toc221951167"/>
      <w:r>
        <w:rPr>
          <w:rFonts w:hint="eastAsia" w:ascii="宋体" w:hAnsi="宋体" w:eastAsia="宋体" w:cs="宋体"/>
          <w:color w:val="auto"/>
          <w:sz w:val="21"/>
          <w:szCs w:val="21"/>
          <w:highlight w:val="none"/>
        </w:rPr>
        <w:t>6.2  发包人提供的施工设备和临时设施</w:t>
      </w:r>
      <w:bookmarkEnd w:id="390"/>
    </w:p>
    <w:p>
      <w:pPr>
        <w:spacing w:line="276" w:lineRule="auto"/>
        <w:ind w:right="248" w:firstLine="424" w:firstLineChars="202"/>
        <w:rPr>
          <w:rFonts w:hint="eastAsia" w:ascii="宋体" w:hAnsi="宋体" w:eastAsia="宋体" w:cs="宋体"/>
          <w:color w:val="auto"/>
          <w:szCs w:val="21"/>
          <w:highlight w:val="none"/>
        </w:rPr>
      </w:pPr>
      <w:bookmarkStart w:id="391" w:name="_Toc221951169"/>
      <w:r>
        <w:rPr>
          <w:rFonts w:hint="eastAsia" w:ascii="宋体" w:hAnsi="宋体" w:eastAsia="宋体" w:cs="宋体"/>
          <w:color w:val="auto"/>
          <w:szCs w:val="21"/>
          <w:highlight w:val="none"/>
        </w:rPr>
        <w:t>（1）发包人提供的的施工设备</w:t>
      </w:r>
      <w:bookmarkEnd w:id="391"/>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无 </w:t>
      </w:r>
      <w:r>
        <w:rPr>
          <w:rFonts w:hint="eastAsia" w:ascii="宋体" w:hAnsi="宋体" w:eastAsia="宋体" w:cs="宋体"/>
          <w:color w:val="auto"/>
          <w:szCs w:val="21"/>
          <w:highlight w:val="none"/>
        </w:rPr>
        <w:t>。</w:t>
      </w:r>
    </w:p>
    <w:p>
      <w:pPr>
        <w:spacing w:line="276" w:lineRule="auto"/>
        <w:ind w:right="248"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rPr>
        <w:t>（2）发包人提供的临时设施：</w:t>
      </w:r>
      <w:r>
        <w:rPr>
          <w:rFonts w:hint="eastAsia" w:ascii="宋体" w:hAnsi="宋体" w:eastAsia="宋体" w:cs="宋体"/>
          <w:color w:val="auto"/>
          <w:szCs w:val="21"/>
          <w:highlight w:val="none"/>
          <w:u w:val="single"/>
        </w:rPr>
        <w:t xml:space="preserve"> 无 </w:t>
      </w:r>
      <w:r>
        <w:rPr>
          <w:rFonts w:hint="eastAsia" w:ascii="宋体" w:hAnsi="宋体" w:eastAsia="宋体" w:cs="宋体"/>
          <w:color w:val="auto"/>
          <w:szCs w:val="21"/>
          <w:highlight w:val="none"/>
        </w:rPr>
        <w:t>。</w:t>
      </w:r>
    </w:p>
    <w:p>
      <w:pPr>
        <w:pStyle w:val="5"/>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7交通运输</w:t>
      </w:r>
    </w:p>
    <w:p>
      <w:pPr>
        <w:spacing w:line="27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7.1道路通行权和场外设施</w:t>
      </w:r>
    </w:p>
    <w:p>
      <w:pPr>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道路通行权和场外设施的约定：</w:t>
      </w:r>
      <w:r>
        <w:rPr>
          <w:rFonts w:hint="eastAsia" w:ascii="宋体" w:hAnsi="宋体" w:eastAsia="宋体" w:cs="宋体"/>
          <w:color w:val="auto"/>
          <w:szCs w:val="21"/>
          <w:highlight w:val="none"/>
          <w:u w:val="single"/>
        </w:rPr>
        <w:t xml:space="preserve">    施工合同中约定            </w:t>
      </w:r>
      <w:r>
        <w:rPr>
          <w:rFonts w:hint="eastAsia" w:ascii="宋体" w:hAnsi="宋体" w:eastAsia="宋体" w:cs="宋体"/>
          <w:color w:val="auto"/>
          <w:szCs w:val="21"/>
          <w:highlight w:val="none"/>
        </w:rPr>
        <w:t>。</w:t>
      </w:r>
    </w:p>
    <w:p>
      <w:pPr>
        <w:pStyle w:val="5"/>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 测量放线</w:t>
      </w:r>
    </w:p>
    <w:p>
      <w:pPr>
        <w:pStyle w:val="5"/>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8.1施工控制网</w:t>
      </w:r>
    </w:p>
    <w:p>
      <w:pPr>
        <w:spacing w:line="276" w:lineRule="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8.1.1</w:t>
      </w:r>
      <w:r>
        <w:rPr>
          <w:rFonts w:hint="eastAsia" w:ascii="宋体" w:hAnsi="宋体" w:eastAsia="宋体" w:cs="宋体"/>
          <w:color w:val="auto"/>
          <w:szCs w:val="21"/>
          <w:highlight w:val="none"/>
        </w:rPr>
        <w:t>施工控制网的约定</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u w:val="single"/>
        </w:rPr>
        <w:t xml:space="preserve">由承包人负责测设  </w:t>
      </w:r>
      <w:r>
        <w:rPr>
          <w:rFonts w:hint="eastAsia" w:ascii="宋体" w:hAnsi="宋体" w:eastAsia="宋体" w:cs="宋体"/>
          <w:color w:val="auto"/>
          <w:szCs w:val="21"/>
          <w:highlight w:val="none"/>
        </w:rPr>
        <w:t>。</w:t>
      </w:r>
    </w:p>
    <w:p>
      <w:pPr>
        <w:pStyle w:val="5"/>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 施工安全、治安保卫和环境保护</w:t>
      </w:r>
    </w:p>
    <w:p>
      <w:pPr>
        <w:pStyle w:val="5"/>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9.2承包人的施工安全责任</w:t>
      </w:r>
    </w:p>
    <w:p>
      <w:pPr>
        <w:spacing w:line="276" w:lineRule="auto"/>
        <w:ind w:right="248"/>
        <w:rPr>
          <w:rFonts w:hint="eastAsia" w:ascii="宋体" w:hAnsi="宋体" w:eastAsia="宋体" w:cs="宋体"/>
          <w:color w:val="auto"/>
          <w:szCs w:val="21"/>
          <w:highlight w:val="none"/>
        </w:rPr>
      </w:pPr>
      <w:r>
        <w:rPr>
          <w:rFonts w:hint="eastAsia" w:ascii="宋体" w:hAnsi="宋体" w:eastAsia="宋体" w:cs="宋体"/>
          <w:color w:val="auto"/>
          <w:szCs w:val="21"/>
          <w:highlight w:val="none"/>
        </w:rPr>
        <w:t>9.2.12下列工程应编制专项施工方案：</w:t>
      </w:r>
      <w:r>
        <w:rPr>
          <w:rFonts w:hint="eastAsia" w:ascii="宋体" w:hAnsi="宋体" w:eastAsia="宋体" w:cs="宋体"/>
          <w:color w:val="auto"/>
          <w:szCs w:val="21"/>
          <w:highlight w:val="none"/>
          <w:u w:val="single"/>
        </w:rPr>
        <w:t xml:space="preserve">在签订施工承包合同时明确（或无） </w:t>
      </w:r>
      <w:r>
        <w:rPr>
          <w:rFonts w:hint="eastAsia" w:ascii="宋体" w:hAnsi="宋体" w:eastAsia="宋体" w:cs="宋体"/>
          <w:color w:val="auto"/>
          <w:szCs w:val="21"/>
          <w:highlight w:val="none"/>
        </w:rPr>
        <w:t>。其中应组织专家论证和审查的专项施工方案：</w:t>
      </w:r>
      <w:r>
        <w:rPr>
          <w:rFonts w:hint="eastAsia" w:ascii="宋体" w:hAnsi="宋体" w:eastAsia="宋体" w:cs="宋体"/>
          <w:color w:val="auto"/>
          <w:szCs w:val="21"/>
          <w:highlight w:val="none"/>
          <w:u w:val="single"/>
        </w:rPr>
        <w:t>在签订施工承包合同时明确（或无）</w:t>
      </w:r>
      <w:r>
        <w:rPr>
          <w:rFonts w:hint="eastAsia" w:ascii="宋体" w:hAnsi="宋体" w:eastAsia="宋体" w:cs="宋体"/>
          <w:color w:val="auto"/>
          <w:szCs w:val="21"/>
          <w:highlight w:val="none"/>
        </w:rPr>
        <w:t>。</w:t>
      </w:r>
    </w:p>
    <w:p>
      <w:pPr>
        <w:pStyle w:val="5"/>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9.7文明工地</w:t>
      </w:r>
    </w:p>
    <w:p>
      <w:pPr>
        <w:spacing w:line="276" w:lineRule="auto"/>
        <w:ind w:right="248"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9.7.1 本合同文明工地的约定：</w:t>
      </w:r>
      <w:r>
        <w:rPr>
          <w:rFonts w:hint="eastAsia" w:ascii="宋体" w:hAnsi="宋体" w:eastAsia="宋体" w:cs="宋体"/>
          <w:bCs/>
          <w:color w:val="auto"/>
          <w:szCs w:val="21"/>
          <w:highlight w:val="none"/>
          <w:u w:val="single"/>
        </w:rPr>
        <w:t>按水利部《水利系统文明建设工地评审管理办法》创建文明建设工地</w:t>
      </w:r>
      <w:r>
        <w:rPr>
          <w:rFonts w:hint="eastAsia" w:ascii="宋体" w:hAnsi="宋体" w:eastAsia="宋体" w:cs="宋体"/>
          <w:color w:val="auto"/>
          <w:szCs w:val="21"/>
          <w:highlight w:val="none"/>
        </w:rPr>
        <w:t>。</w:t>
      </w:r>
    </w:p>
    <w:p>
      <w:pPr>
        <w:pStyle w:val="5"/>
        <w:spacing w:line="276" w:lineRule="auto"/>
        <w:rPr>
          <w:rFonts w:hint="eastAsia" w:ascii="宋体" w:hAnsi="宋体" w:eastAsia="宋体" w:cs="宋体"/>
          <w:color w:val="auto"/>
          <w:sz w:val="21"/>
          <w:szCs w:val="21"/>
          <w:highlight w:val="none"/>
        </w:rPr>
      </w:pPr>
      <w:bookmarkStart w:id="392" w:name="_Toc221951188"/>
      <w:bookmarkStart w:id="393" w:name="_Toc222031038"/>
      <w:bookmarkStart w:id="394" w:name="_Toc222032705"/>
      <w:bookmarkStart w:id="395" w:name="_Toc222029536"/>
      <w:bookmarkStart w:id="396" w:name="_Toc229305394"/>
      <w:bookmarkStart w:id="397" w:name="_Toc222033887"/>
      <w:r>
        <w:rPr>
          <w:rFonts w:hint="eastAsia" w:ascii="宋体" w:hAnsi="宋体" w:eastAsia="宋体" w:cs="宋体"/>
          <w:color w:val="auto"/>
          <w:sz w:val="21"/>
          <w:szCs w:val="21"/>
          <w:highlight w:val="none"/>
        </w:rPr>
        <w:t>11  开工和竣工</w:t>
      </w:r>
      <w:bookmarkEnd w:id="392"/>
      <w:bookmarkEnd w:id="393"/>
      <w:bookmarkEnd w:id="394"/>
      <w:bookmarkEnd w:id="395"/>
      <w:bookmarkEnd w:id="396"/>
      <w:bookmarkEnd w:id="397"/>
      <w:r>
        <w:rPr>
          <w:rFonts w:hint="eastAsia" w:ascii="宋体" w:hAnsi="宋体" w:eastAsia="宋体" w:cs="宋体"/>
          <w:color w:val="auto"/>
          <w:sz w:val="21"/>
          <w:szCs w:val="21"/>
          <w:highlight w:val="none"/>
        </w:rPr>
        <w:t>（完工）</w:t>
      </w:r>
    </w:p>
    <w:p>
      <w:pPr>
        <w:snapToGrid w:val="0"/>
        <w:spacing w:line="27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11.2  11.2  本工程主体工程完工时间为：</w:t>
      </w:r>
    </w:p>
    <w:p>
      <w:pPr>
        <w:snapToGrid w:val="0"/>
        <w:spacing w:line="276"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工程主体工程计划完工时间为</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日。</w:t>
      </w:r>
    </w:p>
    <w:p>
      <w:pPr>
        <w:spacing w:line="276" w:lineRule="auto"/>
        <w:ind w:firstLine="420" w:firstLineChars="200"/>
        <w:rPr>
          <w:rFonts w:hint="eastAsia" w:ascii="宋体" w:hAnsi="宋体" w:eastAsia="宋体" w:cs="宋体"/>
          <w:color w:val="auto"/>
          <w:szCs w:val="21"/>
          <w:highlight w:val="none"/>
        </w:rPr>
      </w:pPr>
    </w:p>
    <w:p>
      <w:pPr>
        <w:pStyle w:val="5"/>
        <w:spacing w:line="276" w:lineRule="auto"/>
        <w:rPr>
          <w:rFonts w:hint="eastAsia" w:ascii="宋体" w:hAnsi="宋体" w:eastAsia="宋体" w:cs="宋体"/>
          <w:color w:val="auto"/>
          <w:sz w:val="21"/>
          <w:szCs w:val="21"/>
          <w:highlight w:val="none"/>
        </w:rPr>
      </w:pPr>
      <w:bookmarkStart w:id="398" w:name="_Toc221951189"/>
      <w:r>
        <w:rPr>
          <w:rFonts w:hint="eastAsia" w:ascii="宋体" w:hAnsi="宋体" w:eastAsia="宋体" w:cs="宋体"/>
          <w:color w:val="auto"/>
          <w:sz w:val="21"/>
          <w:szCs w:val="21"/>
          <w:highlight w:val="none"/>
        </w:rPr>
        <w:t>11.4  异常恶劣的气候条件</w:t>
      </w:r>
      <w:bookmarkEnd w:id="398"/>
      <w:r>
        <w:rPr>
          <w:rFonts w:hint="eastAsia" w:ascii="宋体" w:hAnsi="宋体" w:eastAsia="宋体" w:cs="宋体"/>
          <w:color w:val="auto"/>
          <w:sz w:val="21"/>
          <w:szCs w:val="21"/>
          <w:highlight w:val="none"/>
        </w:rPr>
        <w:t xml:space="preserve"> </w:t>
      </w:r>
    </w:p>
    <w:p>
      <w:pPr>
        <w:spacing w:line="276" w:lineRule="auto"/>
        <w:ind w:right="248" w:firstLine="480"/>
        <w:rPr>
          <w:rFonts w:hint="eastAsia" w:ascii="宋体" w:hAnsi="宋体" w:eastAsia="宋体" w:cs="宋体"/>
          <w:color w:val="auto"/>
          <w:szCs w:val="21"/>
          <w:highlight w:val="none"/>
        </w:rPr>
      </w:pPr>
      <w:bookmarkStart w:id="399" w:name="_Toc221951191"/>
      <w:r>
        <w:rPr>
          <w:rFonts w:hint="eastAsia" w:ascii="宋体" w:hAnsi="宋体" w:eastAsia="宋体" w:cs="宋体"/>
          <w:color w:val="auto"/>
          <w:szCs w:val="21"/>
          <w:highlight w:val="none"/>
        </w:rPr>
        <w:t>11.4.3 本合同工程界定异常恶劣气候条件的范围为：</w:t>
      </w:r>
      <w:bookmarkEnd w:id="399"/>
    </w:p>
    <w:p>
      <w:pPr>
        <w:spacing w:line="276" w:lineRule="auto"/>
        <w:ind w:right="248" w:firstLine="480"/>
        <w:rPr>
          <w:rFonts w:hint="eastAsia" w:ascii="宋体" w:hAnsi="宋体" w:eastAsia="宋体" w:cs="宋体"/>
          <w:color w:val="auto"/>
          <w:szCs w:val="21"/>
          <w:highlight w:val="none"/>
        </w:rPr>
      </w:pPr>
      <w:bookmarkStart w:id="400" w:name="_Toc221951198"/>
      <w:r>
        <w:rPr>
          <w:rFonts w:hint="eastAsia" w:ascii="宋体" w:hAnsi="宋体" w:eastAsia="宋体" w:cs="宋体"/>
          <w:color w:val="auto"/>
          <w:szCs w:val="21"/>
          <w:highlight w:val="none"/>
        </w:rPr>
        <w:t>11.4.3 本合同工程界定异常恶劣气候条件的范围为：</w:t>
      </w:r>
    </w:p>
    <w:p>
      <w:pPr>
        <w:spacing w:line="276" w:lineRule="auto"/>
        <w:ind w:right="248" w:firstLine="480"/>
        <w:rPr>
          <w:rFonts w:hint="eastAsia" w:ascii="宋体" w:hAnsi="宋体" w:eastAsia="宋体" w:cs="宋体"/>
          <w:color w:val="auto"/>
          <w:szCs w:val="21"/>
          <w:highlight w:val="none"/>
        </w:rPr>
      </w:pPr>
      <w:bookmarkStart w:id="401" w:name="_Toc221951192"/>
      <w:r>
        <w:rPr>
          <w:rFonts w:hint="eastAsia" w:ascii="宋体" w:hAnsi="宋体" w:eastAsia="宋体" w:cs="宋体"/>
          <w:color w:val="auto"/>
          <w:szCs w:val="21"/>
          <w:highlight w:val="none"/>
        </w:rPr>
        <w:t>（1）日降雨量大于</w:t>
      </w:r>
      <w:r>
        <w:rPr>
          <w:rFonts w:hint="eastAsia" w:ascii="宋体" w:hAnsi="宋体" w:eastAsia="宋体" w:cs="宋体"/>
          <w:color w:val="auto"/>
          <w:szCs w:val="21"/>
          <w:highlight w:val="none"/>
          <w:u w:val="single"/>
        </w:rPr>
        <w:t xml:space="preserve"> 200  </w:t>
      </w:r>
      <w:r>
        <w:rPr>
          <w:rFonts w:hint="eastAsia" w:ascii="宋体" w:hAnsi="宋体" w:eastAsia="宋体" w:cs="宋体"/>
          <w:color w:val="auto"/>
          <w:szCs w:val="21"/>
          <w:highlight w:val="none"/>
        </w:rPr>
        <w:t>㎜的雨日超过</w:t>
      </w:r>
      <w:r>
        <w:rPr>
          <w:rFonts w:hint="eastAsia" w:ascii="宋体" w:hAnsi="宋体" w:eastAsia="宋体" w:cs="宋体"/>
          <w:color w:val="auto"/>
          <w:szCs w:val="21"/>
          <w:highlight w:val="none"/>
          <w:u w:val="single"/>
        </w:rPr>
        <w:t xml:space="preserve">   1  </w:t>
      </w:r>
      <w:r>
        <w:rPr>
          <w:rFonts w:hint="eastAsia" w:ascii="宋体" w:hAnsi="宋体" w:eastAsia="宋体" w:cs="宋体"/>
          <w:color w:val="auto"/>
          <w:szCs w:val="21"/>
          <w:highlight w:val="none"/>
        </w:rPr>
        <w:t>天；</w:t>
      </w:r>
      <w:bookmarkEnd w:id="401"/>
    </w:p>
    <w:p>
      <w:pPr>
        <w:spacing w:line="276" w:lineRule="auto"/>
        <w:ind w:right="248" w:firstLine="480"/>
        <w:rPr>
          <w:rFonts w:hint="eastAsia" w:ascii="宋体" w:hAnsi="宋体" w:eastAsia="宋体" w:cs="宋体"/>
          <w:color w:val="auto"/>
          <w:szCs w:val="21"/>
          <w:highlight w:val="none"/>
        </w:rPr>
      </w:pPr>
      <w:bookmarkStart w:id="402" w:name="_Toc221951193"/>
      <w:r>
        <w:rPr>
          <w:rFonts w:hint="eastAsia" w:ascii="宋体" w:hAnsi="宋体" w:eastAsia="宋体" w:cs="宋体"/>
          <w:color w:val="auto"/>
          <w:szCs w:val="21"/>
          <w:highlight w:val="none"/>
        </w:rPr>
        <w:t>（2）</w:t>
      </w:r>
      <w:bookmarkEnd w:id="402"/>
      <w:r>
        <w:rPr>
          <w:rFonts w:hint="eastAsia" w:ascii="宋体" w:hAnsi="宋体" w:eastAsia="宋体" w:cs="宋体"/>
          <w:color w:val="auto"/>
          <w:szCs w:val="21"/>
          <w:highlight w:val="none"/>
          <w:u w:val="single"/>
        </w:rPr>
        <w:t xml:space="preserve"> 10   </w:t>
      </w:r>
      <w:r>
        <w:rPr>
          <w:rFonts w:hint="eastAsia" w:ascii="宋体" w:hAnsi="宋体" w:eastAsia="宋体" w:cs="宋体"/>
          <w:color w:val="auto"/>
          <w:szCs w:val="21"/>
          <w:highlight w:val="none"/>
        </w:rPr>
        <w:t>级以上的持续</w:t>
      </w:r>
      <w:r>
        <w:rPr>
          <w:rFonts w:hint="eastAsia" w:ascii="宋体" w:hAnsi="宋体" w:eastAsia="宋体" w:cs="宋体"/>
          <w:color w:val="auto"/>
          <w:szCs w:val="21"/>
          <w:highlight w:val="none"/>
          <w:u w:val="single"/>
        </w:rPr>
        <w:t xml:space="preserve">  1  </w:t>
      </w:r>
      <w:r>
        <w:rPr>
          <w:rFonts w:hint="eastAsia" w:ascii="宋体" w:hAnsi="宋体" w:eastAsia="宋体" w:cs="宋体"/>
          <w:color w:val="auto"/>
          <w:szCs w:val="21"/>
          <w:highlight w:val="none"/>
        </w:rPr>
        <w:t>日的大风（以气象部门鉴定为准））</w:t>
      </w:r>
    </w:p>
    <w:p>
      <w:pPr>
        <w:spacing w:line="276" w:lineRule="auto"/>
        <w:ind w:right="248" w:firstLine="480"/>
        <w:rPr>
          <w:rFonts w:hint="eastAsia" w:ascii="宋体" w:hAnsi="宋体" w:eastAsia="宋体" w:cs="宋体"/>
          <w:color w:val="auto"/>
          <w:szCs w:val="21"/>
          <w:highlight w:val="none"/>
        </w:rPr>
      </w:pPr>
      <w:bookmarkStart w:id="403" w:name="_Toc221951194"/>
      <w:r>
        <w:rPr>
          <w:rFonts w:hint="eastAsia" w:ascii="宋体" w:hAnsi="宋体" w:eastAsia="宋体" w:cs="宋体"/>
          <w:color w:val="auto"/>
          <w:szCs w:val="21"/>
          <w:highlight w:val="none"/>
        </w:rPr>
        <w:t>（3）</w:t>
      </w:r>
      <w:bookmarkEnd w:id="403"/>
      <w:r>
        <w:rPr>
          <w:rFonts w:hint="eastAsia" w:ascii="宋体" w:hAnsi="宋体" w:eastAsia="宋体" w:cs="宋体"/>
          <w:color w:val="auto"/>
          <w:szCs w:val="21"/>
          <w:highlight w:val="none"/>
        </w:rPr>
        <w:t>日气温超过</w:t>
      </w:r>
      <w:r>
        <w:rPr>
          <w:rFonts w:hint="eastAsia" w:ascii="宋体" w:hAnsi="宋体" w:eastAsia="宋体" w:cs="宋体"/>
          <w:color w:val="auto"/>
          <w:szCs w:val="21"/>
          <w:highlight w:val="none"/>
          <w:u w:val="single"/>
        </w:rPr>
        <w:t xml:space="preserve">  40  </w:t>
      </w:r>
      <w:r>
        <w:rPr>
          <w:rFonts w:hint="eastAsia" w:ascii="宋体" w:hAnsi="宋体" w:eastAsia="宋体" w:cs="宋体"/>
          <w:color w:val="auto"/>
          <w:szCs w:val="21"/>
          <w:highlight w:val="none"/>
        </w:rPr>
        <w:t>℃的高温大于</w:t>
      </w:r>
      <w:r>
        <w:rPr>
          <w:rFonts w:hint="eastAsia" w:ascii="宋体" w:hAnsi="宋体" w:eastAsia="宋体" w:cs="宋体"/>
          <w:color w:val="auto"/>
          <w:szCs w:val="21"/>
          <w:highlight w:val="none"/>
          <w:u w:val="single"/>
        </w:rPr>
        <w:t xml:space="preserve">  2 </w:t>
      </w:r>
      <w:r>
        <w:rPr>
          <w:rFonts w:hint="eastAsia" w:ascii="宋体" w:hAnsi="宋体" w:eastAsia="宋体" w:cs="宋体"/>
          <w:color w:val="auto"/>
          <w:szCs w:val="21"/>
          <w:highlight w:val="none"/>
        </w:rPr>
        <w:t>天；</w:t>
      </w:r>
      <w:bookmarkStart w:id="404" w:name="_Toc221951195"/>
    </w:p>
    <w:p>
      <w:pPr>
        <w:spacing w:line="276" w:lineRule="auto"/>
        <w:ind w:right="248"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bookmarkEnd w:id="404"/>
      <w:r>
        <w:rPr>
          <w:rFonts w:hint="eastAsia" w:ascii="宋体" w:hAnsi="宋体" w:eastAsia="宋体" w:cs="宋体"/>
          <w:color w:val="auto"/>
          <w:szCs w:val="21"/>
          <w:highlight w:val="none"/>
        </w:rPr>
        <w:t>日气温低于</w:t>
      </w:r>
      <w:r>
        <w:rPr>
          <w:rFonts w:hint="eastAsia" w:ascii="宋体" w:hAnsi="宋体" w:eastAsia="宋体" w:cs="宋体"/>
          <w:color w:val="auto"/>
          <w:szCs w:val="21"/>
          <w:highlight w:val="none"/>
          <w:u w:val="single"/>
        </w:rPr>
        <w:t xml:space="preserve">  -10  </w:t>
      </w:r>
      <w:r>
        <w:rPr>
          <w:rFonts w:hint="eastAsia" w:ascii="宋体" w:hAnsi="宋体" w:eastAsia="宋体" w:cs="宋体"/>
          <w:color w:val="auto"/>
          <w:szCs w:val="21"/>
          <w:highlight w:val="none"/>
        </w:rPr>
        <w:t>℃的严寒大于</w:t>
      </w:r>
      <w:r>
        <w:rPr>
          <w:rFonts w:hint="eastAsia" w:ascii="宋体" w:hAnsi="宋体" w:eastAsia="宋体" w:cs="宋体"/>
          <w:color w:val="auto"/>
          <w:szCs w:val="21"/>
          <w:highlight w:val="none"/>
          <w:u w:val="single"/>
        </w:rPr>
        <w:t xml:space="preserve">  2   </w:t>
      </w:r>
      <w:r>
        <w:rPr>
          <w:rFonts w:hint="eastAsia" w:ascii="宋体" w:hAnsi="宋体" w:eastAsia="宋体" w:cs="宋体"/>
          <w:color w:val="auto"/>
          <w:szCs w:val="21"/>
          <w:highlight w:val="none"/>
        </w:rPr>
        <w:t>天。</w:t>
      </w:r>
      <w:bookmarkStart w:id="405" w:name="_Toc221951196"/>
    </w:p>
    <w:p>
      <w:pPr>
        <w:spacing w:line="276" w:lineRule="auto"/>
        <w:ind w:right="248"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bookmarkEnd w:id="405"/>
      <w:r>
        <w:rPr>
          <w:rFonts w:hint="eastAsia" w:ascii="宋体" w:hAnsi="宋体" w:eastAsia="宋体" w:cs="宋体"/>
          <w:color w:val="auto"/>
          <w:szCs w:val="21"/>
          <w:highlight w:val="none"/>
        </w:rPr>
        <w:t>造成工程损坏的冰雹和大雪灾害；</w:t>
      </w:r>
    </w:p>
    <w:p>
      <w:pPr>
        <w:spacing w:line="276" w:lineRule="auto"/>
        <w:ind w:right="248"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u w:val="single"/>
        </w:rPr>
        <w:t xml:space="preserve">  6  </w:t>
      </w:r>
      <w:r>
        <w:rPr>
          <w:rFonts w:hint="eastAsia" w:ascii="宋体" w:hAnsi="宋体" w:eastAsia="宋体" w:cs="宋体"/>
          <w:color w:val="auto"/>
          <w:szCs w:val="21"/>
          <w:highlight w:val="none"/>
        </w:rPr>
        <w:t>级以上的地震；</w:t>
      </w:r>
    </w:p>
    <w:p>
      <w:pPr>
        <w:spacing w:line="276" w:lineRule="auto"/>
        <w:ind w:right="248" w:firstLine="48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u w:val="single"/>
        </w:rPr>
        <w:t xml:space="preserve"> 50   </w:t>
      </w:r>
      <w:r>
        <w:rPr>
          <w:rFonts w:hint="eastAsia" w:ascii="宋体" w:hAnsi="宋体" w:eastAsia="宋体" w:cs="宋体"/>
          <w:color w:val="auto"/>
          <w:szCs w:val="21"/>
          <w:highlight w:val="none"/>
        </w:rPr>
        <w:t>年一遇及以上的洪水；</w:t>
      </w:r>
    </w:p>
    <w:p>
      <w:pPr>
        <w:spacing w:line="276" w:lineRule="auto"/>
        <w:ind w:right="248" w:firstLine="480"/>
        <w:rPr>
          <w:rFonts w:hint="eastAsia" w:ascii="宋体" w:hAnsi="宋体" w:eastAsia="宋体" w:cs="宋体"/>
          <w:color w:val="auto"/>
          <w:szCs w:val="21"/>
          <w:highlight w:val="none"/>
        </w:rPr>
      </w:pPr>
      <w:bookmarkStart w:id="406" w:name="_Toc221951197"/>
      <w:r>
        <w:rPr>
          <w:rFonts w:hint="eastAsia" w:ascii="宋体" w:hAnsi="宋体" w:eastAsia="宋体" w:cs="宋体"/>
          <w:color w:val="auto"/>
          <w:szCs w:val="21"/>
          <w:highlight w:val="none"/>
        </w:rPr>
        <w:t>（8）其他异常恶劣气候灾害。</w:t>
      </w:r>
      <w:bookmarkEnd w:id="406"/>
    </w:p>
    <w:p>
      <w:pPr>
        <w:pStyle w:val="5"/>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11.5  承包人工期延误</w:t>
      </w:r>
      <w:bookmarkEnd w:id="400"/>
      <w:r>
        <w:rPr>
          <w:rFonts w:hint="eastAsia" w:ascii="宋体" w:hAnsi="宋体" w:eastAsia="宋体" w:cs="宋体"/>
          <w:color w:val="auto"/>
          <w:sz w:val="21"/>
          <w:szCs w:val="21"/>
          <w:highlight w:val="none"/>
        </w:rPr>
        <w:t xml:space="preserve"> </w:t>
      </w:r>
      <w:bookmarkStart w:id="407" w:name="_Toc221951200"/>
    </w:p>
    <w:p>
      <w:pPr>
        <w:spacing w:line="276" w:lineRule="auto"/>
        <w:ind w:right="248"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（1）逾期完工违约金表(参考格式)</w:t>
      </w:r>
      <w:bookmarkEnd w:id="407"/>
    </w:p>
    <w:tbl>
      <w:tblPr>
        <w:tblStyle w:val="41"/>
        <w:tblW w:w="9286"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20"/>
        <w:gridCol w:w="4012"/>
        <w:gridCol w:w="2177"/>
        <w:gridCol w:w="21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920" w:type="dxa"/>
            <w:vAlign w:val="center"/>
          </w:tcPr>
          <w:p>
            <w:pPr>
              <w:spacing w:line="276" w:lineRule="auto"/>
              <w:ind w:right="-3"/>
              <w:jc w:val="center"/>
              <w:rPr>
                <w:rFonts w:hint="eastAsia" w:ascii="宋体" w:hAnsi="宋体" w:eastAsia="宋体" w:cs="宋体"/>
                <w:color w:val="auto"/>
                <w:szCs w:val="21"/>
                <w:highlight w:val="none"/>
              </w:rPr>
            </w:pPr>
            <w:bookmarkStart w:id="408" w:name="_Toc221951201"/>
            <w:r>
              <w:rPr>
                <w:rFonts w:hint="eastAsia" w:ascii="宋体" w:hAnsi="宋体" w:eastAsia="宋体" w:cs="宋体"/>
                <w:color w:val="auto"/>
                <w:szCs w:val="21"/>
                <w:highlight w:val="none"/>
              </w:rPr>
              <w:t>序号</w:t>
            </w:r>
            <w:bookmarkEnd w:id="408"/>
          </w:p>
        </w:tc>
        <w:tc>
          <w:tcPr>
            <w:tcW w:w="4012" w:type="dxa"/>
            <w:vAlign w:val="center"/>
          </w:tcPr>
          <w:p>
            <w:pPr>
              <w:spacing w:line="276" w:lineRule="auto"/>
              <w:ind w:right="3"/>
              <w:jc w:val="center"/>
              <w:rPr>
                <w:rFonts w:hint="eastAsia" w:ascii="宋体" w:hAnsi="宋体" w:eastAsia="宋体" w:cs="宋体"/>
                <w:color w:val="auto"/>
                <w:szCs w:val="21"/>
                <w:highlight w:val="none"/>
              </w:rPr>
            </w:pPr>
            <w:bookmarkStart w:id="409" w:name="_Toc221951202"/>
            <w:r>
              <w:rPr>
                <w:rFonts w:hint="eastAsia" w:ascii="宋体" w:hAnsi="宋体" w:eastAsia="宋体" w:cs="宋体"/>
                <w:color w:val="auto"/>
                <w:szCs w:val="21"/>
                <w:highlight w:val="none"/>
              </w:rPr>
              <w:t>项目及其说明</w:t>
            </w:r>
            <w:bookmarkEnd w:id="409"/>
          </w:p>
        </w:tc>
        <w:tc>
          <w:tcPr>
            <w:tcW w:w="2177" w:type="dxa"/>
            <w:vAlign w:val="center"/>
          </w:tcPr>
          <w:p>
            <w:pPr>
              <w:spacing w:line="276" w:lineRule="auto"/>
              <w:ind w:right="9"/>
              <w:jc w:val="center"/>
              <w:rPr>
                <w:rFonts w:hint="eastAsia" w:ascii="宋体" w:hAnsi="宋体" w:eastAsia="宋体" w:cs="宋体"/>
                <w:color w:val="auto"/>
                <w:szCs w:val="21"/>
                <w:highlight w:val="none"/>
              </w:rPr>
            </w:pPr>
            <w:bookmarkStart w:id="410" w:name="_Toc221951203"/>
            <w:r>
              <w:rPr>
                <w:rFonts w:hint="eastAsia" w:ascii="宋体" w:hAnsi="宋体" w:eastAsia="宋体" w:cs="宋体"/>
                <w:color w:val="auto"/>
                <w:szCs w:val="21"/>
                <w:highlight w:val="none"/>
              </w:rPr>
              <w:t>要求完工日期</w:t>
            </w:r>
            <w:bookmarkEnd w:id="410"/>
          </w:p>
        </w:tc>
        <w:tc>
          <w:tcPr>
            <w:tcW w:w="2177" w:type="dxa"/>
          </w:tcPr>
          <w:p>
            <w:pPr>
              <w:spacing w:line="276" w:lineRule="auto"/>
              <w:ind w:right="9"/>
              <w:jc w:val="center"/>
              <w:rPr>
                <w:rFonts w:hint="eastAsia" w:ascii="宋体" w:hAnsi="宋体" w:eastAsia="宋体" w:cs="宋体"/>
                <w:color w:val="auto"/>
                <w:szCs w:val="21"/>
                <w:highlight w:val="none"/>
              </w:rPr>
            </w:pPr>
            <w:bookmarkStart w:id="411" w:name="_Toc221951204"/>
            <w:r>
              <w:rPr>
                <w:rFonts w:hint="eastAsia" w:ascii="宋体" w:hAnsi="宋体" w:eastAsia="宋体" w:cs="宋体"/>
                <w:color w:val="auto"/>
                <w:szCs w:val="21"/>
                <w:highlight w:val="none"/>
              </w:rPr>
              <w:t>违约金(元/天)</w:t>
            </w:r>
            <w:bookmarkEnd w:id="411"/>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920" w:type="dxa"/>
            <w:vAlign w:val="center"/>
          </w:tcPr>
          <w:p>
            <w:pPr>
              <w:spacing w:line="276" w:lineRule="auto"/>
              <w:ind w:right="248"/>
              <w:jc w:val="center"/>
              <w:rPr>
                <w:rFonts w:hint="eastAsia" w:ascii="宋体" w:hAnsi="宋体" w:eastAsia="宋体" w:cs="宋体"/>
                <w:color w:val="auto"/>
                <w:szCs w:val="21"/>
                <w:highlight w:val="none"/>
              </w:rPr>
            </w:pPr>
          </w:p>
        </w:tc>
        <w:tc>
          <w:tcPr>
            <w:tcW w:w="4012" w:type="dxa"/>
            <w:vAlign w:val="center"/>
          </w:tcPr>
          <w:p>
            <w:pPr>
              <w:spacing w:line="276" w:lineRule="auto"/>
              <w:ind w:right="248"/>
              <w:jc w:val="center"/>
              <w:rPr>
                <w:rFonts w:hint="eastAsia" w:ascii="宋体" w:hAnsi="宋体" w:eastAsia="宋体" w:cs="宋体"/>
                <w:bCs/>
                <w:color w:val="auto"/>
                <w:szCs w:val="21"/>
                <w:highlight w:val="none"/>
              </w:rPr>
            </w:pPr>
          </w:p>
        </w:tc>
        <w:tc>
          <w:tcPr>
            <w:tcW w:w="2177" w:type="dxa"/>
            <w:vAlign w:val="center"/>
          </w:tcPr>
          <w:p>
            <w:pPr>
              <w:spacing w:line="276" w:lineRule="auto"/>
              <w:ind w:right="248" w:firstLine="105" w:firstLineChars="50"/>
              <w:rPr>
                <w:rFonts w:hint="eastAsia" w:ascii="宋体" w:hAnsi="宋体" w:eastAsia="宋体" w:cs="宋体"/>
                <w:color w:val="auto"/>
                <w:szCs w:val="21"/>
                <w:highlight w:val="none"/>
              </w:rPr>
            </w:pPr>
          </w:p>
        </w:tc>
        <w:tc>
          <w:tcPr>
            <w:tcW w:w="2177" w:type="dxa"/>
            <w:vAlign w:val="center"/>
          </w:tcPr>
          <w:p>
            <w:pPr>
              <w:spacing w:line="276" w:lineRule="auto"/>
              <w:ind w:right="248"/>
              <w:jc w:val="center"/>
              <w:rPr>
                <w:rFonts w:hint="eastAsia" w:ascii="宋体" w:hAnsi="宋体" w:eastAsia="宋体" w:cs="宋体"/>
                <w:color w:val="auto"/>
                <w:szCs w:val="21"/>
                <w:highlight w:val="none"/>
              </w:rPr>
            </w:pPr>
          </w:p>
        </w:tc>
      </w:tr>
    </w:tbl>
    <w:p>
      <w:pPr>
        <w:spacing w:line="276" w:lineRule="auto"/>
        <w:ind w:right="248" w:firstLine="420" w:firstLineChars="200"/>
        <w:rPr>
          <w:rFonts w:hint="eastAsia" w:ascii="宋体" w:hAnsi="宋体" w:eastAsia="宋体" w:cs="宋体"/>
          <w:color w:val="auto"/>
          <w:szCs w:val="21"/>
          <w:highlight w:val="none"/>
        </w:rPr>
      </w:pPr>
      <w:bookmarkStart w:id="412" w:name="_Toc221951205"/>
      <w:r>
        <w:rPr>
          <w:rFonts w:hint="eastAsia" w:ascii="宋体" w:hAnsi="宋体" w:eastAsia="宋体" w:cs="宋体"/>
          <w:color w:val="auto"/>
          <w:szCs w:val="21"/>
          <w:highlight w:val="none"/>
        </w:rPr>
        <w:t xml:space="preserve"> 承包人如未能按上表各节点要求的完工日期前完工，</w:t>
      </w:r>
      <w:r>
        <w:rPr>
          <w:rFonts w:hint="eastAsia" w:ascii="宋体" w:hAnsi="宋体" w:eastAsia="宋体" w:cs="宋体"/>
          <w:bCs/>
          <w:color w:val="auto"/>
          <w:szCs w:val="21"/>
          <w:highlight w:val="none"/>
        </w:rPr>
        <w:t>逾期完工违约金按</w:t>
      </w:r>
      <w:r>
        <w:rPr>
          <w:rFonts w:hint="eastAsia" w:ascii="宋体" w:hAnsi="宋体" w:eastAsia="宋体" w:cs="宋体"/>
          <w:color w:val="auto"/>
          <w:szCs w:val="21"/>
          <w:highlight w:val="none"/>
          <w:u w:val="single"/>
        </w:rPr>
        <w:t>1000</w:t>
      </w:r>
      <w:r>
        <w:rPr>
          <w:rFonts w:hint="eastAsia" w:ascii="宋体" w:hAnsi="宋体" w:eastAsia="宋体" w:cs="宋体"/>
          <w:bCs/>
          <w:color w:val="auto"/>
          <w:szCs w:val="21"/>
          <w:highlight w:val="none"/>
        </w:rPr>
        <w:t>元/天”计算。</w:t>
      </w:r>
    </w:p>
    <w:p>
      <w:pPr>
        <w:spacing w:line="276" w:lineRule="auto"/>
        <w:ind w:right="248"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（2）发包人可从应向承包人支付的任何金额中扣除此项违约金或以其他方式收回此款，此违约金的支付并不能解除承包人应完成工程的责任或合同规定的其他责任 。</w:t>
      </w:r>
      <w:bookmarkEnd w:id="412"/>
    </w:p>
    <w:p>
      <w:pPr>
        <w:pStyle w:val="5"/>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11.6工期提前</w:t>
      </w:r>
    </w:p>
    <w:p>
      <w:pPr>
        <w:spacing w:line="276" w:lineRule="auto"/>
        <w:ind w:right="248"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工期提前的资金约定：</w:t>
      </w:r>
      <w:r>
        <w:rPr>
          <w:rFonts w:hint="eastAsia" w:ascii="宋体" w:hAnsi="宋体" w:eastAsia="宋体" w:cs="宋体"/>
          <w:bCs/>
          <w:color w:val="auto"/>
          <w:szCs w:val="21"/>
          <w:highlight w:val="none"/>
          <w:u w:val="single"/>
        </w:rPr>
        <w:t>在保证工程质量的前提下，发包人鼓励承包人提前完工，但本合同工程无提前工期奖金</w:t>
      </w:r>
      <w:r>
        <w:rPr>
          <w:rFonts w:hint="eastAsia" w:ascii="宋体" w:hAnsi="宋体" w:eastAsia="宋体" w:cs="宋体"/>
          <w:color w:val="auto"/>
          <w:szCs w:val="21"/>
          <w:highlight w:val="none"/>
        </w:rPr>
        <w:t>。</w:t>
      </w:r>
    </w:p>
    <w:p>
      <w:pPr>
        <w:pStyle w:val="5"/>
        <w:spacing w:line="276" w:lineRule="auto"/>
        <w:rPr>
          <w:rFonts w:hint="eastAsia" w:ascii="宋体" w:hAnsi="宋体" w:eastAsia="宋体" w:cs="宋体"/>
          <w:color w:val="auto"/>
          <w:sz w:val="21"/>
          <w:szCs w:val="21"/>
          <w:highlight w:val="none"/>
        </w:rPr>
      </w:pPr>
      <w:bookmarkStart w:id="413" w:name="_Toc222032706"/>
      <w:bookmarkStart w:id="414" w:name="_Toc221951206"/>
      <w:bookmarkStart w:id="415" w:name="_Toc222031039"/>
      <w:bookmarkStart w:id="416" w:name="_Toc229305395"/>
      <w:bookmarkStart w:id="417" w:name="_Toc222033888"/>
      <w:bookmarkStart w:id="418" w:name="_Toc222029537"/>
      <w:r>
        <w:rPr>
          <w:rFonts w:hint="eastAsia" w:ascii="宋体" w:hAnsi="宋体" w:eastAsia="宋体" w:cs="宋体"/>
          <w:color w:val="auto"/>
          <w:sz w:val="21"/>
          <w:szCs w:val="21"/>
          <w:highlight w:val="none"/>
        </w:rPr>
        <w:t>12  暂停施工</w:t>
      </w:r>
      <w:bookmarkEnd w:id="413"/>
      <w:bookmarkEnd w:id="414"/>
      <w:bookmarkEnd w:id="415"/>
      <w:bookmarkEnd w:id="416"/>
      <w:bookmarkEnd w:id="417"/>
      <w:bookmarkEnd w:id="418"/>
    </w:p>
    <w:p>
      <w:pPr>
        <w:pStyle w:val="5"/>
        <w:spacing w:line="276" w:lineRule="auto"/>
        <w:rPr>
          <w:rFonts w:hint="eastAsia" w:ascii="宋体" w:hAnsi="宋体" w:eastAsia="宋体" w:cs="宋体"/>
          <w:color w:val="auto"/>
          <w:sz w:val="21"/>
          <w:szCs w:val="21"/>
          <w:highlight w:val="none"/>
        </w:rPr>
      </w:pPr>
      <w:bookmarkStart w:id="419" w:name="_Toc221951207"/>
      <w:r>
        <w:rPr>
          <w:rFonts w:hint="eastAsia" w:ascii="宋体" w:hAnsi="宋体" w:eastAsia="宋体" w:cs="宋体"/>
          <w:color w:val="auto"/>
          <w:sz w:val="21"/>
          <w:szCs w:val="21"/>
          <w:highlight w:val="none"/>
        </w:rPr>
        <w:t>12.1  承包人暂停施工的责任</w:t>
      </w:r>
      <w:bookmarkEnd w:id="419"/>
    </w:p>
    <w:p>
      <w:pPr>
        <w:spacing w:line="276" w:lineRule="auto"/>
        <w:ind w:right="248" w:firstLine="480"/>
        <w:rPr>
          <w:rFonts w:hint="eastAsia" w:ascii="宋体" w:hAnsi="宋体" w:eastAsia="宋体" w:cs="宋体"/>
          <w:color w:val="auto"/>
          <w:szCs w:val="21"/>
          <w:highlight w:val="none"/>
        </w:rPr>
      </w:pPr>
      <w:bookmarkStart w:id="420" w:name="_Toc221951209"/>
      <w:r>
        <w:rPr>
          <w:rFonts w:hint="eastAsia" w:ascii="宋体" w:hAnsi="宋体" w:eastAsia="宋体" w:cs="宋体"/>
          <w:color w:val="auto"/>
          <w:szCs w:val="21"/>
          <w:highlight w:val="none"/>
        </w:rPr>
        <w:t xml:space="preserve"> (5) 承包人承担暂停施工责任的其它情形：</w:t>
      </w:r>
      <w:r>
        <w:rPr>
          <w:rFonts w:hint="eastAsia" w:ascii="宋体" w:hAnsi="宋体" w:eastAsia="宋体" w:cs="宋体"/>
          <w:color w:val="auto"/>
          <w:szCs w:val="21"/>
          <w:highlight w:val="none"/>
          <w:u w:val="single"/>
        </w:rPr>
        <w:t>在签订施工承包合同时商定</w:t>
      </w:r>
      <w:r>
        <w:rPr>
          <w:rFonts w:hint="eastAsia" w:ascii="宋体" w:hAnsi="宋体" w:eastAsia="宋体" w:cs="宋体"/>
          <w:color w:val="auto"/>
          <w:szCs w:val="21"/>
          <w:highlight w:val="none"/>
        </w:rPr>
        <w:t xml:space="preserve"> 。</w:t>
      </w:r>
      <w:bookmarkEnd w:id="420"/>
    </w:p>
    <w:p>
      <w:pPr>
        <w:pStyle w:val="5"/>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12.2  发包人暂停施工的责任</w:t>
      </w:r>
    </w:p>
    <w:p>
      <w:pPr>
        <w:spacing w:line="276" w:lineRule="auto"/>
        <w:ind w:right="248"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(3) 发包人承担暂停施工责任的其它情形：</w:t>
      </w:r>
      <w:r>
        <w:rPr>
          <w:rFonts w:hint="eastAsia" w:ascii="宋体" w:hAnsi="宋体" w:eastAsia="宋体" w:cs="宋体"/>
          <w:color w:val="auto"/>
          <w:szCs w:val="21"/>
          <w:highlight w:val="none"/>
          <w:u w:val="single"/>
        </w:rPr>
        <w:t>在签订施工承包合同时商定</w:t>
      </w:r>
      <w:r>
        <w:rPr>
          <w:rFonts w:hint="eastAsia" w:ascii="宋体" w:hAnsi="宋体" w:eastAsia="宋体" w:cs="宋体"/>
          <w:color w:val="auto"/>
          <w:szCs w:val="21"/>
          <w:highlight w:val="none"/>
        </w:rPr>
        <w:t>。</w:t>
      </w:r>
    </w:p>
    <w:p>
      <w:pPr>
        <w:pStyle w:val="5"/>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  工程质量</w:t>
      </w:r>
    </w:p>
    <w:p>
      <w:pPr>
        <w:pStyle w:val="5"/>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13.7质量评定</w:t>
      </w:r>
    </w:p>
    <w:p>
      <w:pPr>
        <w:spacing w:line="276" w:lineRule="auto"/>
        <w:ind w:right="248"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13.7.4重要隐蔽单元工程和关键部位单元工程质量评定的约定：</w:t>
      </w:r>
      <w:r>
        <w:rPr>
          <w:rFonts w:hint="eastAsia" w:ascii="宋体" w:hAnsi="宋体" w:eastAsia="宋体" w:cs="宋体"/>
          <w:color w:val="auto"/>
          <w:szCs w:val="21"/>
          <w:highlight w:val="none"/>
          <w:u w:val="single"/>
        </w:rPr>
        <w:t>在签订施工承包合同时商定</w:t>
      </w:r>
      <w:r>
        <w:rPr>
          <w:rFonts w:hint="eastAsia" w:ascii="宋体" w:hAnsi="宋体" w:eastAsia="宋体" w:cs="宋体"/>
          <w:color w:val="auto"/>
          <w:szCs w:val="21"/>
          <w:highlight w:val="none"/>
        </w:rPr>
        <w:t>。</w:t>
      </w:r>
    </w:p>
    <w:p>
      <w:pPr>
        <w:spacing w:line="276" w:lineRule="auto"/>
        <w:ind w:right="248"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13.7.7工程合格标准和优良标准为：</w:t>
      </w:r>
      <w:r>
        <w:rPr>
          <w:rFonts w:hint="eastAsia" w:ascii="宋体" w:hAnsi="宋体" w:eastAsia="宋体" w:cs="宋体"/>
          <w:color w:val="auto"/>
          <w:szCs w:val="21"/>
          <w:highlight w:val="none"/>
          <w:u w:val="single"/>
        </w:rPr>
        <w:t>执行《</w:t>
      </w:r>
      <w:r>
        <w:rPr>
          <w:rFonts w:hint="eastAsia" w:ascii="宋体" w:hAnsi="宋体" w:eastAsia="宋体" w:cs="宋体"/>
          <w:bCs/>
          <w:color w:val="auto"/>
          <w:szCs w:val="21"/>
          <w:highlight w:val="none"/>
          <w:u w:val="single"/>
        </w:rPr>
        <w:t>水利水电工程施工质量检验与评定规程》（SL176—2007）</w:t>
      </w:r>
      <w:r>
        <w:rPr>
          <w:rFonts w:hint="eastAsia" w:ascii="宋体" w:hAnsi="宋体" w:eastAsia="宋体" w:cs="宋体"/>
          <w:color w:val="auto"/>
          <w:szCs w:val="21"/>
          <w:highlight w:val="none"/>
        </w:rPr>
        <w:t>。达到优良的奖金为：</w:t>
      </w:r>
      <w:r>
        <w:rPr>
          <w:rFonts w:hint="eastAsia" w:ascii="宋体" w:hAnsi="宋体" w:eastAsia="宋体" w:cs="宋体"/>
          <w:color w:val="auto"/>
          <w:szCs w:val="21"/>
          <w:highlight w:val="none"/>
          <w:u w:val="single"/>
        </w:rPr>
        <w:t>在签订施工承包合同时商定</w:t>
      </w:r>
      <w:r>
        <w:rPr>
          <w:rFonts w:hint="eastAsia" w:ascii="宋体" w:hAnsi="宋体" w:eastAsia="宋体" w:cs="宋体"/>
          <w:color w:val="auto"/>
          <w:szCs w:val="21"/>
          <w:highlight w:val="none"/>
        </w:rPr>
        <w:t>。</w:t>
      </w:r>
    </w:p>
    <w:p>
      <w:pPr>
        <w:pStyle w:val="5"/>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13.8  质量事故处理</w:t>
      </w:r>
    </w:p>
    <w:p>
      <w:pPr>
        <w:spacing w:line="276" w:lineRule="auto"/>
        <w:ind w:right="248"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13.8.4工程竣工验收时，</w:t>
      </w:r>
      <w:r>
        <w:rPr>
          <w:rFonts w:hint="eastAsia" w:ascii="宋体" w:hAnsi="宋体" w:eastAsia="宋体" w:cs="宋体"/>
          <w:color w:val="auto"/>
          <w:szCs w:val="21"/>
          <w:highlight w:val="none"/>
          <w:u w:val="single"/>
        </w:rPr>
        <w:t xml:space="preserve"> 发包人   </w:t>
      </w:r>
      <w:r>
        <w:rPr>
          <w:rFonts w:hint="eastAsia" w:ascii="宋体" w:hAnsi="宋体" w:eastAsia="宋体" w:cs="宋体"/>
          <w:color w:val="auto"/>
          <w:szCs w:val="21"/>
          <w:highlight w:val="none"/>
        </w:rPr>
        <w:t>向竣工验收委员会汇报并提交历次质量缺陷处理的备案资料。</w:t>
      </w:r>
    </w:p>
    <w:p>
      <w:pPr>
        <w:pStyle w:val="5"/>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 试验和检验</w:t>
      </w:r>
    </w:p>
    <w:p>
      <w:pPr>
        <w:pStyle w:val="5"/>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14.1材料、工程设备和工程的试验和检验</w:t>
      </w:r>
    </w:p>
    <w:p>
      <w:pPr>
        <w:spacing w:line="276" w:lineRule="auto"/>
        <w:ind w:right="248" w:firstLine="480"/>
        <w:rPr>
          <w:rFonts w:hint="eastAsia" w:ascii="宋体" w:hAnsi="宋体" w:eastAsia="宋体" w:cs="宋体"/>
          <w:color w:val="auto"/>
          <w:szCs w:val="21"/>
          <w:highlight w:val="none"/>
        </w:rPr>
      </w:pPr>
      <w:bookmarkStart w:id="421" w:name="_Toc222031041"/>
      <w:bookmarkStart w:id="422" w:name="_Toc222033890"/>
      <w:bookmarkStart w:id="423" w:name="_Toc222029539"/>
      <w:bookmarkStart w:id="424" w:name="_Toc222032708"/>
      <w:bookmarkStart w:id="425" w:name="_Toc229305396"/>
      <w:bookmarkStart w:id="426" w:name="_Toc221951213"/>
      <w:r>
        <w:rPr>
          <w:rFonts w:hint="eastAsia" w:ascii="宋体" w:hAnsi="宋体" w:eastAsia="宋体" w:cs="宋体"/>
          <w:color w:val="auto"/>
          <w:szCs w:val="21"/>
          <w:highlight w:val="none"/>
        </w:rPr>
        <w:t>14.1.5 水工金属结构、启闭机及机电产品进场后的交货检查和验收中，承包人负责</w:t>
      </w:r>
      <w:r>
        <w:rPr>
          <w:rFonts w:hint="eastAsia" w:ascii="宋体" w:hAnsi="宋体" w:eastAsia="宋体" w:cs="宋体"/>
          <w:color w:val="auto"/>
          <w:szCs w:val="21"/>
          <w:highlight w:val="none"/>
          <w:u w:val="single"/>
        </w:rPr>
        <w:t xml:space="preserve">卸车及卸车后的验收、保管、转运、仓储管理  </w:t>
      </w:r>
      <w:r>
        <w:rPr>
          <w:rFonts w:hint="eastAsia" w:ascii="宋体" w:hAnsi="宋体" w:eastAsia="宋体" w:cs="宋体"/>
          <w:color w:val="auto"/>
          <w:szCs w:val="21"/>
          <w:highlight w:val="none"/>
        </w:rPr>
        <w:t>。</w:t>
      </w:r>
    </w:p>
    <w:p>
      <w:pPr>
        <w:pStyle w:val="5"/>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14.1.6 本工程实行见证取样的试块、试件及有关材料：</w:t>
      </w:r>
      <w:r>
        <w:rPr>
          <w:rFonts w:hint="eastAsia" w:ascii="宋体" w:hAnsi="宋体" w:eastAsia="宋体" w:cs="宋体"/>
          <w:color w:val="auto"/>
          <w:sz w:val="21"/>
          <w:szCs w:val="21"/>
          <w:highlight w:val="none"/>
          <w:u w:val="single"/>
        </w:rPr>
        <w:t>在签订施工承包合同时商定</w:t>
      </w:r>
      <w:r>
        <w:rPr>
          <w:rFonts w:hint="eastAsia" w:ascii="宋体" w:hAnsi="宋体" w:eastAsia="宋体" w:cs="宋体"/>
          <w:color w:val="auto"/>
          <w:sz w:val="21"/>
          <w:szCs w:val="21"/>
          <w:highlight w:val="none"/>
        </w:rPr>
        <w:t>。</w:t>
      </w:r>
      <w:bookmarkEnd w:id="421"/>
      <w:bookmarkEnd w:id="422"/>
      <w:bookmarkEnd w:id="423"/>
      <w:bookmarkEnd w:id="424"/>
      <w:bookmarkEnd w:id="425"/>
      <w:bookmarkEnd w:id="426"/>
    </w:p>
    <w:p>
      <w:pPr>
        <w:pStyle w:val="4"/>
        <w:spacing w:before="0" w:after="0" w:line="440" w:lineRule="exact"/>
        <w:rPr>
          <w:rFonts w:hint="eastAsia" w:ascii="宋体" w:hAnsi="宋体" w:eastAsia="宋体" w:cs="宋体"/>
          <w:color w:val="auto"/>
          <w:sz w:val="21"/>
          <w:szCs w:val="21"/>
          <w:highlight w:val="none"/>
        </w:rPr>
      </w:pPr>
      <w:bookmarkStart w:id="427" w:name="_Toc351203642"/>
      <w:bookmarkStart w:id="428" w:name="_Toc373478386"/>
      <w:bookmarkStart w:id="429" w:name="_Toc389065305"/>
      <w:bookmarkStart w:id="430" w:name="_Toc408483338"/>
      <w:bookmarkStart w:id="431" w:name="_Toc373227739"/>
      <w:bookmarkStart w:id="432" w:name="_Toc407290456"/>
      <w:r>
        <w:rPr>
          <w:rFonts w:hint="eastAsia" w:ascii="宋体" w:hAnsi="宋体" w:eastAsia="宋体" w:cs="宋体"/>
          <w:color w:val="auto"/>
          <w:sz w:val="21"/>
          <w:szCs w:val="21"/>
          <w:highlight w:val="none"/>
        </w:rPr>
        <w:t>1</w:t>
      </w:r>
      <w:bookmarkStart w:id="433" w:name="_Toc304295566"/>
      <w:bookmarkStart w:id="434" w:name="_Toc296891233"/>
      <w:bookmarkStart w:id="435" w:name="_Toc303539146"/>
      <w:bookmarkStart w:id="436" w:name="_Toc296503193"/>
      <w:bookmarkStart w:id="437" w:name="_Toc300934989"/>
      <w:bookmarkStart w:id="438" w:name="_Toc296346694"/>
      <w:bookmarkStart w:id="439" w:name="_Toc292559398"/>
      <w:bookmarkStart w:id="440" w:name="_Toc297123540"/>
      <w:bookmarkStart w:id="441" w:name="_Toc296891021"/>
      <w:bookmarkStart w:id="442" w:name="_Toc292559903"/>
      <w:bookmarkStart w:id="443" w:name="_Toc297048379"/>
      <w:bookmarkStart w:id="444" w:name="_Toc297120493"/>
      <w:bookmarkStart w:id="445" w:name="_Toc296944532"/>
      <w:bookmarkStart w:id="446" w:name="_Toc297216199"/>
      <w:bookmarkStart w:id="447" w:name="_Toc296347192"/>
      <w:bookmarkStart w:id="448" w:name="_Toc312678025"/>
      <w:bookmarkStart w:id="449" w:name="_Toc312677499"/>
      <w:bookmarkStart w:id="450" w:name="_Toc267251440"/>
      <w:bookmarkStart w:id="451" w:name="_Toc267251437"/>
      <w:bookmarkStart w:id="452" w:name="_Toc267251435"/>
      <w:bookmarkStart w:id="453" w:name="_Toc267251441"/>
      <w:bookmarkStart w:id="454" w:name="_Toc267251433"/>
      <w:bookmarkStart w:id="455" w:name="_Toc267251439"/>
      <w:bookmarkStart w:id="456" w:name="_Toc267251442"/>
      <w:r>
        <w:rPr>
          <w:rFonts w:hint="eastAsia" w:ascii="宋体" w:hAnsi="宋体" w:eastAsia="宋体" w:cs="宋体"/>
          <w:color w:val="auto"/>
          <w:sz w:val="21"/>
          <w:szCs w:val="21"/>
          <w:highlight w:val="none"/>
        </w:rPr>
        <w:t>5. 变更</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bookmarkEnd w:id="448"/>
    <w:bookmarkEnd w:id="449"/>
    <w:p>
      <w:pPr>
        <w:pStyle w:val="5"/>
        <w:spacing w:line="440" w:lineRule="exact"/>
        <w:rPr>
          <w:rFonts w:hint="eastAsia" w:ascii="宋体" w:hAnsi="宋体" w:eastAsia="宋体" w:cs="宋体"/>
          <w:color w:val="auto"/>
          <w:sz w:val="21"/>
          <w:szCs w:val="21"/>
          <w:highlight w:val="none"/>
        </w:rPr>
      </w:pPr>
      <w:bookmarkStart w:id="457" w:name="_Toc408483339"/>
      <w:bookmarkStart w:id="458" w:name="_Toc373478387"/>
      <w:bookmarkStart w:id="459" w:name="_Toc373227740"/>
      <w:bookmarkStart w:id="460" w:name="_Toc389065306"/>
      <w:bookmarkStart w:id="461" w:name="_Toc407290457"/>
      <w:r>
        <w:rPr>
          <w:rFonts w:hint="eastAsia" w:ascii="宋体" w:hAnsi="宋体" w:eastAsia="宋体" w:cs="宋体"/>
          <w:color w:val="auto"/>
          <w:sz w:val="21"/>
          <w:szCs w:val="21"/>
          <w:highlight w:val="none"/>
        </w:rPr>
        <w:t>1</w:t>
      </w:r>
      <w:bookmarkStart w:id="462" w:name="_Toc297216200"/>
      <w:bookmarkStart w:id="463" w:name="_Toc296346695"/>
      <w:bookmarkStart w:id="464" w:name="_Toc296503194"/>
      <w:bookmarkStart w:id="465" w:name="_Toc312677500"/>
      <w:bookmarkStart w:id="466" w:name="_Toc296891022"/>
      <w:bookmarkStart w:id="467" w:name="_Toc297048380"/>
      <w:bookmarkStart w:id="468" w:name="_Toc312678026"/>
      <w:bookmarkStart w:id="469" w:name="_Toc296891234"/>
      <w:bookmarkStart w:id="470" w:name="_Toc296347193"/>
      <w:bookmarkStart w:id="471" w:name="_Toc296944533"/>
      <w:bookmarkStart w:id="472" w:name="_Toc297123541"/>
      <w:bookmarkStart w:id="473" w:name="_Toc297120494"/>
      <w:bookmarkStart w:id="474" w:name="_Toc292559399"/>
      <w:bookmarkStart w:id="475" w:name="_Toc292559904"/>
      <w:bookmarkStart w:id="476" w:name="_Toc300934990"/>
      <w:bookmarkStart w:id="477" w:name="_Toc304295567"/>
      <w:bookmarkStart w:id="478" w:name="_Toc303539147"/>
      <w:r>
        <w:rPr>
          <w:rFonts w:hint="eastAsia" w:ascii="宋体" w:hAnsi="宋体" w:eastAsia="宋体" w:cs="宋体"/>
          <w:color w:val="auto"/>
          <w:sz w:val="21"/>
          <w:szCs w:val="21"/>
          <w:highlight w:val="none"/>
        </w:rPr>
        <w:t>5.1 变更的范围</w:t>
      </w:r>
      <w:bookmarkEnd w:id="457"/>
      <w:bookmarkEnd w:id="458"/>
      <w:bookmarkEnd w:id="459"/>
      <w:bookmarkEnd w:id="460"/>
      <w:bookmarkEnd w:id="461"/>
    </w:p>
    <w:p>
      <w:pPr>
        <w:spacing w:line="440" w:lineRule="exact"/>
        <w:ind w:firstLine="42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关于变更的范围的约定：</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除合同条款另有约定外，合同履行过程中发生以下情形的，应按照本条约定进行变更：（1）增加或减少合同中的任何工作，或追加额外的工作；（2）取消合同中任何工作，但转由他人实施的工作除外；（3）改变合同中工作的质量标准或其他特征；（4）改变工作的基线、标高、位置和尺寸；（5）改变工作的时间安排或实施顺序 。</w:t>
      </w:r>
    </w:p>
    <w:p>
      <w:pPr>
        <w:pStyle w:val="5"/>
        <w:spacing w:line="440" w:lineRule="exact"/>
        <w:rPr>
          <w:rFonts w:hint="eastAsia" w:ascii="宋体" w:hAnsi="宋体" w:eastAsia="宋体" w:cs="宋体"/>
          <w:color w:val="auto"/>
          <w:sz w:val="21"/>
          <w:szCs w:val="21"/>
          <w:highlight w:val="none"/>
        </w:rPr>
      </w:pPr>
      <w:bookmarkStart w:id="479" w:name="_Toc373478388"/>
      <w:bookmarkStart w:id="480" w:name="_Toc407290458"/>
      <w:bookmarkStart w:id="481" w:name="_Toc373227741"/>
      <w:bookmarkStart w:id="482" w:name="_Toc408483340"/>
      <w:bookmarkStart w:id="483" w:name="_Toc389065307"/>
      <w:r>
        <w:rPr>
          <w:rFonts w:hint="eastAsia" w:ascii="宋体" w:hAnsi="宋体" w:eastAsia="宋体" w:cs="宋体"/>
          <w:color w:val="auto"/>
          <w:sz w:val="21"/>
          <w:szCs w:val="21"/>
          <w:highlight w:val="none"/>
        </w:rPr>
        <w:t>15.3 变更程序</w:t>
      </w:r>
      <w:bookmarkEnd w:id="479"/>
      <w:bookmarkEnd w:id="480"/>
      <w:bookmarkEnd w:id="481"/>
      <w:bookmarkEnd w:id="482"/>
      <w:bookmarkEnd w:id="483"/>
    </w:p>
    <w:p>
      <w:pPr>
        <w:pStyle w:val="22"/>
        <w:spacing w:line="440" w:lineRule="exact"/>
        <w:ind w:firstLine="441" w:firstLineChars="210"/>
        <w:rPr>
          <w:rFonts w:hint="eastAsia" w:ascii="宋体" w:hAnsi="宋体" w:eastAsia="宋体" w:cs="宋体"/>
          <w:bCs/>
          <w:color w:val="auto"/>
          <w:highlight w:val="none"/>
        </w:rPr>
      </w:pPr>
      <w:r>
        <w:rPr>
          <w:rFonts w:hint="eastAsia" w:ascii="宋体" w:hAnsi="宋体" w:eastAsia="宋体" w:cs="宋体"/>
          <w:bCs/>
          <w:color w:val="auto"/>
          <w:highlight w:val="none"/>
        </w:rPr>
        <w:t>15.3.1 国有投资项目：</w:t>
      </w:r>
    </w:p>
    <w:p>
      <w:pPr>
        <w:pStyle w:val="22"/>
        <w:spacing w:line="440" w:lineRule="exact"/>
        <w:ind w:firstLine="441" w:firstLineChars="210"/>
        <w:rPr>
          <w:rFonts w:hint="eastAsia" w:ascii="宋体" w:hAnsi="宋体" w:eastAsia="宋体" w:cs="宋体"/>
          <w:bCs/>
          <w:color w:val="auto"/>
          <w:highlight w:val="none"/>
        </w:rPr>
      </w:pPr>
      <w:r>
        <w:rPr>
          <w:rFonts w:hint="eastAsia" w:ascii="宋体" w:hAnsi="宋体" w:eastAsia="宋体" w:cs="宋体"/>
          <w:bCs/>
          <w:color w:val="auto"/>
          <w:highlight w:val="none"/>
        </w:rPr>
        <w:t>⑴设计变更和工程签证，按相关部门的规定办理。属不可抗力（自然灾害、突发事件等）造成变更的，按特事特办原则予以办理。</w:t>
      </w:r>
    </w:p>
    <w:p>
      <w:pPr>
        <w:pStyle w:val="22"/>
        <w:spacing w:line="440" w:lineRule="exact"/>
        <w:ind w:firstLine="441" w:firstLineChars="210"/>
        <w:rPr>
          <w:rFonts w:hint="eastAsia" w:ascii="宋体" w:hAnsi="宋体" w:eastAsia="宋体" w:cs="宋体"/>
          <w:bCs/>
          <w:color w:val="auto"/>
          <w:highlight w:val="none"/>
        </w:rPr>
      </w:pPr>
      <w:r>
        <w:rPr>
          <w:rFonts w:hint="eastAsia" w:ascii="宋体" w:hAnsi="宋体" w:eastAsia="宋体" w:cs="宋体"/>
          <w:bCs/>
          <w:color w:val="auto"/>
          <w:highlight w:val="none"/>
        </w:rPr>
        <w:t>⑵建设单位在实施项目过程中，若发生单价变动，由建设单位、监理单位、施工单位及其他相关单位共同商定并签字确认。</w:t>
      </w:r>
    </w:p>
    <w:p>
      <w:pPr>
        <w:spacing w:line="440" w:lineRule="exact"/>
        <w:ind w:firstLine="420" w:firstLineChars="20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⑶ 当合同规定的合同价款调整情况发生后，承包人未在规定时间内通知发包人，或者未在规定时间内提出调整报告，发包人可以根据有关资料，决定是否调整和调整的金额，并书面通知承包人。</w:t>
      </w:r>
    </w:p>
    <w:p>
      <w:pPr>
        <w:spacing w:line="440" w:lineRule="exact"/>
        <w:ind w:firstLine="422" w:firstLineChars="200"/>
        <w:rPr>
          <w:rFonts w:ascii="宋体" w:hAnsi="宋体" w:eastAsia="宋体" w:cs="宋体"/>
          <w:b/>
          <w:bCs/>
          <w:color w:val="auto"/>
          <w:szCs w:val="21"/>
          <w:u w:val="none"/>
        </w:rPr>
      </w:pPr>
      <w:r>
        <w:rPr>
          <w:rFonts w:hint="eastAsia" w:ascii="宋体" w:hAnsi="宋体" w:eastAsia="宋体" w:cs="宋体"/>
          <w:b/>
          <w:bCs/>
          <w:color w:val="auto"/>
          <w:szCs w:val="21"/>
          <w:u w:val="none"/>
        </w:rPr>
        <w:t>15.3.2变更程序应按国家的相关规定进行。因设计变更或其他原因引起项目总投资增加，按照下列方式处理：</w:t>
      </w:r>
    </w:p>
    <w:p>
      <w:pPr>
        <w:spacing w:line="440" w:lineRule="exact"/>
        <w:ind w:firstLine="422" w:firstLineChars="200"/>
        <w:rPr>
          <w:rFonts w:ascii="宋体" w:hAnsi="宋体" w:eastAsia="宋体" w:cs="宋体"/>
          <w:b/>
          <w:bCs/>
          <w:color w:val="auto"/>
          <w:szCs w:val="21"/>
          <w:u w:val="single"/>
        </w:rPr>
      </w:pPr>
      <w:r>
        <w:rPr>
          <w:rFonts w:hint="eastAsia" w:ascii="宋体" w:hAnsi="宋体" w:eastAsia="宋体" w:cs="宋体"/>
          <w:b/>
          <w:bCs/>
          <w:color w:val="auto"/>
          <w:szCs w:val="21"/>
          <w:u w:val="single"/>
        </w:rPr>
        <w:t>1.工程实施中出现设计变更、工程量增减变化的，必须先申报，经审定后才能变更。</w:t>
      </w:r>
    </w:p>
    <w:p>
      <w:pPr>
        <w:spacing w:line="440" w:lineRule="exact"/>
        <w:ind w:firstLine="422" w:firstLineChars="200"/>
        <w:rPr>
          <w:rFonts w:ascii="宋体" w:hAnsi="宋体" w:eastAsia="宋体" w:cs="宋体"/>
          <w:b/>
          <w:bCs/>
          <w:color w:val="auto"/>
          <w:szCs w:val="21"/>
          <w:u w:val="single"/>
        </w:rPr>
      </w:pPr>
      <w:r>
        <w:rPr>
          <w:rFonts w:hint="eastAsia" w:ascii="宋体" w:hAnsi="宋体" w:eastAsia="宋体" w:cs="宋体"/>
          <w:b/>
          <w:bCs/>
          <w:color w:val="auto"/>
          <w:szCs w:val="21"/>
          <w:u w:val="single"/>
          <w:lang w:val="en-US" w:eastAsia="zh-CN"/>
        </w:rPr>
        <w:t>2</w:t>
      </w:r>
      <w:r>
        <w:rPr>
          <w:rFonts w:hint="eastAsia" w:ascii="宋体" w:hAnsi="宋体" w:eastAsia="宋体" w:cs="宋体"/>
          <w:b/>
          <w:bCs/>
          <w:color w:val="auto"/>
          <w:szCs w:val="21"/>
          <w:u w:val="single"/>
        </w:rPr>
        <w:t>.凡因擅自超预算、超标准、超规模的建设行为而形成的资金缺口，发包人不予认可。</w:t>
      </w:r>
    </w:p>
    <w:p>
      <w:pPr>
        <w:spacing w:line="440" w:lineRule="exact"/>
        <w:ind w:firstLine="422" w:firstLineChars="200"/>
        <w:rPr>
          <w:rFonts w:ascii="宋体" w:hAnsi="宋体" w:eastAsia="宋体" w:cs="宋体"/>
          <w:bCs/>
          <w:color w:val="auto"/>
          <w:szCs w:val="21"/>
        </w:rPr>
      </w:pPr>
      <w:r>
        <w:rPr>
          <w:rFonts w:hint="eastAsia" w:ascii="宋体" w:hAnsi="宋体" w:eastAsia="宋体" w:cs="宋体"/>
          <w:b/>
          <w:bCs/>
          <w:color w:val="auto"/>
          <w:szCs w:val="21"/>
          <w:u w:val="single"/>
        </w:rPr>
        <w:t>在项目实施过程中，因设计变更引起新的工程量清单项目，其综合单价由承包人提出（该综合单价不得违反现行计价规定）扣除项目变更优惠下浮比例来确定综合单价，须经发包人确认并按规定报河池市金城江区财政局评审，以评审结论作为结算的依据。</w:t>
      </w:r>
    </w:p>
    <w:p>
      <w:pPr>
        <w:spacing w:line="440" w:lineRule="exact"/>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15.3.3 非国有投资项目：</w:t>
      </w:r>
      <w:r>
        <w:rPr>
          <w:rFonts w:hint="eastAsia" w:ascii="宋体" w:hAnsi="宋体" w:eastAsia="宋体" w:cs="宋体"/>
          <w:bCs/>
          <w:color w:val="auto"/>
          <w:szCs w:val="21"/>
          <w:highlight w:val="none"/>
          <w:u w:val="single"/>
        </w:rPr>
        <w:t xml:space="preserve">            （双方约定）             </w:t>
      </w:r>
      <w:r>
        <w:rPr>
          <w:rFonts w:hint="eastAsia" w:ascii="宋体" w:hAnsi="宋体" w:eastAsia="宋体" w:cs="宋体"/>
          <w:bCs/>
          <w:color w:val="auto"/>
          <w:szCs w:val="21"/>
          <w:highlight w:val="none"/>
        </w:rPr>
        <w:t>。</w:t>
      </w:r>
    </w:p>
    <w:p>
      <w:pPr>
        <w:pStyle w:val="5"/>
        <w:spacing w:line="440" w:lineRule="exact"/>
        <w:rPr>
          <w:rFonts w:hint="eastAsia" w:ascii="宋体" w:hAnsi="宋体" w:eastAsia="宋体" w:cs="宋体"/>
          <w:color w:val="auto"/>
          <w:sz w:val="21"/>
          <w:szCs w:val="21"/>
          <w:highlight w:val="none"/>
        </w:rPr>
      </w:pPr>
      <w:bookmarkStart w:id="484" w:name="_Toc389065308"/>
      <w:bookmarkStart w:id="485" w:name="_Toc408483341"/>
      <w:bookmarkStart w:id="486" w:name="_Toc407290459"/>
      <w:bookmarkStart w:id="487" w:name="_Toc373478389"/>
      <w:bookmarkStart w:id="488" w:name="_Toc373227742"/>
      <w:r>
        <w:rPr>
          <w:rFonts w:hint="eastAsia" w:ascii="宋体" w:hAnsi="宋体" w:eastAsia="宋体" w:cs="宋体"/>
          <w:color w:val="auto"/>
          <w:sz w:val="21"/>
          <w:szCs w:val="21"/>
          <w:highlight w:val="none"/>
        </w:rPr>
        <w:t>15.4 变更估价</w:t>
      </w:r>
      <w:bookmarkEnd w:id="484"/>
      <w:bookmarkEnd w:id="485"/>
      <w:bookmarkEnd w:id="486"/>
      <w:bookmarkEnd w:id="487"/>
      <w:bookmarkEnd w:id="488"/>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10.4.1 变更估价原则</w:t>
      </w:r>
    </w:p>
    <w:p>
      <w:pPr>
        <w:spacing w:line="44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关于变更估价的约定: </w:t>
      </w:r>
      <w:bookmarkStart w:id="489" w:name="_Toc251051742"/>
      <w:r>
        <w:rPr>
          <w:rFonts w:hint="eastAsia" w:ascii="宋体" w:hAnsi="宋体" w:eastAsia="宋体" w:cs="宋体"/>
          <w:bCs/>
          <w:color w:val="auto"/>
          <w:szCs w:val="21"/>
          <w:highlight w:val="none"/>
          <w:u w:val="single"/>
        </w:rPr>
        <w:t>因设计变更、相关签证引起工程项目、工程量任何变化的，变更合同价款按下列方法进行：（1）合同中已有相同清单项目的，按合同该清单项目价格进行计算；（2）合同中只有类似清单项目的，参照该类似清单项目价格进行计算；（3）合同中没有适用或类似清单项目的价格计算方法：有定额的套定额，并（</w:t>
      </w:r>
      <w:r>
        <w:rPr>
          <w:rFonts w:hint="eastAsia" w:ascii="宋体" w:hAnsi="宋体" w:eastAsia="宋体" w:cs="宋体"/>
          <w:b/>
          <w:bCs/>
          <w:color w:val="auto"/>
          <w:szCs w:val="21"/>
          <w:highlight w:val="none"/>
          <w:u w:val="single"/>
        </w:rPr>
        <w:fldChar w:fldCharType="begin"/>
      </w:r>
      <w:r>
        <w:rPr>
          <w:rFonts w:hint="eastAsia" w:ascii="宋体" w:hAnsi="宋体" w:eastAsia="宋体" w:cs="宋体"/>
          <w:b/>
          <w:bCs/>
          <w:color w:val="auto"/>
          <w:szCs w:val="21"/>
          <w:highlight w:val="none"/>
          <w:u w:val="single"/>
        </w:rPr>
        <w:instrText xml:space="preserve"> eq \o\ac(□,√)</w:instrText>
      </w:r>
      <w:r>
        <w:rPr>
          <w:rFonts w:hint="eastAsia" w:ascii="宋体" w:hAnsi="宋体" w:eastAsia="宋体" w:cs="宋体"/>
          <w:b/>
          <w:bCs/>
          <w:color w:val="auto"/>
          <w:szCs w:val="21"/>
          <w:highlight w:val="none"/>
          <w:u w:val="single"/>
        </w:rPr>
        <w:fldChar w:fldCharType="end"/>
      </w:r>
      <w:r>
        <w:rPr>
          <w:rFonts w:hint="eastAsia" w:ascii="宋体" w:hAnsi="宋体" w:eastAsia="宋体" w:cs="宋体"/>
          <w:bCs/>
          <w:color w:val="auto"/>
          <w:szCs w:val="21"/>
          <w:highlight w:val="none"/>
          <w:u w:val="single"/>
        </w:rPr>
        <w:t xml:space="preserve">乘以下浮系数 </w:t>
      </w:r>
      <w:r>
        <w:rPr>
          <w:rFonts w:hint="eastAsia" w:ascii="宋体" w:hAnsi="宋体" w:eastAsia="宋体" w:cs="宋体"/>
          <w:b/>
          <w:bCs/>
          <w:color w:val="auto"/>
          <w:szCs w:val="21"/>
          <w:highlight w:val="none"/>
          <w:u w:val="single"/>
          <w:lang w:val="en-US" w:eastAsia="zh-CN"/>
        </w:rPr>
        <w:t>5</w:t>
      </w:r>
      <w:r>
        <w:rPr>
          <w:rFonts w:hint="eastAsia" w:ascii="宋体" w:hAnsi="宋体" w:eastAsia="宋体" w:cs="宋体"/>
          <w:b/>
          <w:bCs/>
          <w:color w:val="auto"/>
          <w:szCs w:val="21"/>
          <w:highlight w:val="none"/>
          <w:u w:val="single"/>
        </w:rPr>
        <w:t>%</w:t>
      </w:r>
      <w:r>
        <w:rPr>
          <w:rFonts w:hint="eastAsia" w:ascii="宋体" w:hAnsi="宋体" w:eastAsia="宋体" w:cs="宋体"/>
          <w:bCs/>
          <w:color w:val="auto"/>
          <w:szCs w:val="21"/>
          <w:highlight w:val="none"/>
          <w:u w:val="single"/>
        </w:rPr>
        <w:t>，</w:t>
      </w:r>
      <w:r>
        <w:rPr>
          <w:rFonts w:hint="eastAsia" w:ascii="宋体" w:hAnsi="宋体" w:eastAsia="宋体" w:cs="宋体"/>
          <w:b/>
          <w:color w:val="auto"/>
          <w:szCs w:val="21"/>
          <w:highlight w:val="none"/>
        </w:rPr>
        <w:t>□</w:t>
      </w:r>
      <w:r>
        <w:rPr>
          <w:rFonts w:hint="eastAsia" w:ascii="宋体" w:hAnsi="宋体" w:eastAsia="宋体" w:cs="宋体"/>
          <w:bCs/>
          <w:color w:val="auto"/>
          <w:szCs w:val="21"/>
          <w:highlight w:val="none"/>
          <w:u w:val="single"/>
        </w:rPr>
        <w:t>不乘下浮系数）计算，其中材料价格按施工期间的《河池市建设工程造价信息》相应价格信息</w:t>
      </w:r>
      <w:r>
        <w:rPr>
          <w:rFonts w:hint="eastAsia" w:ascii="宋体" w:hAnsi="宋体" w:eastAsia="宋体" w:cs="宋体"/>
          <w:b/>
          <w:bCs/>
          <w:color w:val="auto"/>
          <w:szCs w:val="21"/>
          <w:highlight w:val="none"/>
          <w:u w:val="single"/>
        </w:rPr>
        <w:t>（</w:t>
      </w:r>
      <w:r>
        <w:rPr>
          <w:rFonts w:hint="eastAsia" w:ascii="宋体" w:hAnsi="宋体" w:eastAsia="宋体" w:cs="宋体"/>
          <w:b/>
          <w:bCs/>
          <w:color w:val="auto"/>
          <w:szCs w:val="21"/>
          <w:highlight w:val="none"/>
          <w:u w:val="single"/>
          <w:lang w:eastAsia="zh-CN"/>
        </w:rPr>
        <w:t>中</w:t>
      </w:r>
      <w:r>
        <w:rPr>
          <w:rFonts w:hint="eastAsia" w:ascii="宋体" w:hAnsi="宋体" w:eastAsia="宋体" w:cs="宋体"/>
          <w:b/>
          <w:bCs/>
          <w:color w:val="auto"/>
          <w:szCs w:val="21"/>
          <w:highlight w:val="none"/>
          <w:u w:val="single"/>
        </w:rPr>
        <w:t>值）</w:t>
      </w:r>
      <w:r>
        <w:rPr>
          <w:rFonts w:hint="eastAsia" w:ascii="宋体" w:hAnsi="宋体" w:eastAsia="宋体" w:cs="宋体"/>
          <w:bCs/>
          <w:color w:val="auto"/>
          <w:szCs w:val="21"/>
          <w:highlight w:val="none"/>
          <w:u w:val="single"/>
        </w:rPr>
        <w:t>进行计算；《河池市建设工程造价信息》没有相应价格信息的按市场价计算；无定额可套的，根据市场价格协商确定综合价格；对于国有资产投资的项目，新增项目的单价必须经</w:t>
      </w:r>
      <w:r>
        <w:rPr>
          <w:rFonts w:hint="eastAsia" w:ascii="宋体" w:hAnsi="宋体" w:eastAsia="宋体" w:cs="宋体"/>
          <w:b/>
          <w:bCs/>
          <w:color w:val="auto"/>
          <w:szCs w:val="21"/>
          <w:highlight w:val="none"/>
          <w:u w:val="single"/>
          <w:lang w:eastAsia="zh-CN"/>
        </w:rPr>
        <w:t>河池市金城江区财政局</w:t>
      </w:r>
      <w:r>
        <w:rPr>
          <w:rFonts w:hint="eastAsia" w:ascii="宋体" w:hAnsi="宋体" w:eastAsia="宋体" w:cs="宋体"/>
          <w:bCs/>
          <w:color w:val="auto"/>
          <w:szCs w:val="21"/>
          <w:highlight w:val="none"/>
          <w:u w:val="single"/>
        </w:rPr>
        <w:t>审定</w:t>
      </w:r>
      <w:bookmarkEnd w:id="489"/>
      <w:r>
        <w:rPr>
          <w:rFonts w:hint="eastAsia" w:ascii="宋体" w:hAnsi="宋体" w:eastAsia="宋体" w:cs="宋体"/>
          <w:color w:val="auto"/>
          <w:szCs w:val="21"/>
          <w:highlight w:val="none"/>
        </w:rPr>
        <w:t>。</w:t>
      </w:r>
    </w:p>
    <w:p>
      <w:pPr>
        <w:pStyle w:val="5"/>
        <w:spacing w:line="440" w:lineRule="exact"/>
        <w:rPr>
          <w:rFonts w:hint="eastAsia" w:ascii="宋体" w:hAnsi="宋体" w:eastAsia="宋体" w:cs="宋体"/>
          <w:color w:val="auto"/>
          <w:sz w:val="21"/>
          <w:szCs w:val="21"/>
          <w:highlight w:val="none"/>
        </w:rPr>
      </w:pPr>
      <w:bookmarkStart w:id="490" w:name="_Toc408483342"/>
      <w:bookmarkStart w:id="491" w:name="_Toc407290460"/>
      <w:bookmarkStart w:id="492" w:name="_Toc373227743"/>
      <w:bookmarkStart w:id="493" w:name="_Toc389065309"/>
      <w:bookmarkStart w:id="494" w:name="_Toc373478390"/>
      <w:r>
        <w:rPr>
          <w:rFonts w:hint="eastAsia" w:ascii="宋体" w:hAnsi="宋体" w:eastAsia="宋体" w:cs="宋体"/>
          <w:color w:val="auto"/>
          <w:sz w:val="21"/>
          <w:szCs w:val="21"/>
          <w:highlight w:val="none"/>
        </w:rPr>
        <w:t>1</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Start w:id="495" w:name="_Toc297123544"/>
      <w:bookmarkStart w:id="496" w:name="_Toc292559907"/>
      <w:bookmarkStart w:id="497" w:name="_Toc296347196"/>
      <w:bookmarkStart w:id="498" w:name="_Toc297216203"/>
      <w:bookmarkStart w:id="499" w:name="_Toc300934993"/>
      <w:bookmarkStart w:id="500" w:name="_Toc296891237"/>
      <w:bookmarkStart w:id="501" w:name="_Toc296891025"/>
      <w:bookmarkStart w:id="502" w:name="_Toc303539150"/>
      <w:bookmarkStart w:id="503" w:name="_Toc297120497"/>
      <w:bookmarkStart w:id="504" w:name="_Toc296346698"/>
      <w:bookmarkStart w:id="505" w:name="_Toc296503197"/>
      <w:bookmarkStart w:id="506" w:name="_Toc296944536"/>
      <w:bookmarkStart w:id="507" w:name="_Toc297048383"/>
      <w:bookmarkStart w:id="508" w:name="_Toc292559402"/>
      <w:bookmarkStart w:id="509" w:name="_Toc312677503"/>
      <w:bookmarkStart w:id="510" w:name="_Toc304295570"/>
      <w:bookmarkStart w:id="511" w:name="_Toc312678029"/>
      <w:r>
        <w:rPr>
          <w:rFonts w:hint="eastAsia" w:ascii="宋体" w:hAnsi="宋体" w:eastAsia="宋体" w:cs="宋体"/>
          <w:color w:val="auto"/>
          <w:sz w:val="21"/>
          <w:szCs w:val="21"/>
          <w:highlight w:val="none"/>
        </w:rPr>
        <w:t>5.5 承</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Start w:id="512" w:name="_Toc292559408"/>
      <w:bookmarkStart w:id="513" w:name="_Toc297048389"/>
      <w:bookmarkStart w:id="514" w:name="_Toc300934994"/>
      <w:bookmarkStart w:id="515" w:name="_Toc297123545"/>
      <w:bookmarkStart w:id="516" w:name="_Toc296347202"/>
      <w:bookmarkStart w:id="517" w:name="_Toc296891243"/>
      <w:bookmarkStart w:id="518" w:name="_Toc296891031"/>
      <w:bookmarkStart w:id="519" w:name="_Toc296944542"/>
      <w:bookmarkStart w:id="520" w:name="_Toc303539151"/>
      <w:bookmarkStart w:id="521" w:name="_Toc292559913"/>
      <w:bookmarkStart w:id="522" w:name="_Toc296346704"/>
      <w:bookmarkStart w:id="523" w:name="_Toc296503203"/>
      <w:bookmarkStart w:id="524" w:name="_Toc297120503"/>
      <w:bookmarkStart w:id="525" w:name="_Toc297216204"/>
      <w:r>
        <w:rPr>
          <w:rFonts w:hint="eastAsia" w:ascii="宋体" w:hAnsi="宋体" w:eastAsia="宋体" w:cs="宋体"/>
          <w:color w:val="auto"/>
          <w:sz w:val="21"/>
          <w:szCs w:val="21"/>
          <w:highlight w:val="none"/>
        </w:rPr>
        <w:t>包人的合理化建议</w:t>
      </w:r>
      <w:bookmarkEnd w:id="490"/>
      <w:bookmarkEnd w:id="491"/>
      <w:bookmarkEnd w:id="492"/>
      <w:bookmarkEnd w:id="493"/>
      <w:bookmarkEnd w:id="494"/>
    </w:p>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监理人审查承包人合理化建议的期限：</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发包人审批承包人合理化建议的期限：</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4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承</w:t>
      </w:r>
      <w:bookmarkStart w:id="526" w:name="_Toc292559409"/>
      <w:bookmarkStart w:id="527" w:name="_Toc296503204"/>
      <w:bookmarkStart w:id="528" w:name="_Toc296891032"/>
      <w:bookmarkStart w:id="529" w:name="_Toc297048390"/>
      <w:bookmarkStart w:id="530" w:name="_Toc312677504"/>
      <w:bookmarkStart w:id="531" w:name="_Toc297120504"/>
      <w:bookmarkStart w:id="532" w:name="_Toc312678030"/>
      <w:bookmarkStart w:id="533" w:name="_Toc296346705"/>
      <w:bookmarkStart w:id="534" w:name="_Toc297216205"/>
      <w:bookmarkStart w:id="535" w:name="_Toc296891244"/>
      <w:bookmarkStart w:id="536" w:name="_Toc304295571"/>
      <w:bookmarkStart w:id="537" w:name="_Toc292559914"/>
      <w:bookmarkStart w:id="538" w:name="_Toc296347203"/>
      <w:bookmarkStart w:id="539" w:name="_Toc318581175"/>
      <w:bookmarkStart w:id="540" w:name="_Toc297123546"/>
      <w:bookmarkStart w:id="541" w:name="_Toc303539152"/>
      <w:bookmarkStart w:id="542" w:name="_Toc296944543"/>
      <w:bookmarkStart w:id="543" w:name="_Toc300934995"/>
      <w:r>
        <w:rPr>
          <w:rFonts w:hint="eastAsia" w:ascii="宋体" w:hAnsi="宋体" w:eastAsia="宋体" w:cs="宋体"/>
          <w:color w:val="auto"/>
          <w:szCs w:val="21"/>
          <w:highlight w:val="none"/>
        </w:rPr>
        <w:t>包人提出的合理化建议降低了合同价格或者提高了工程经济效益的奖励的方法和金额为：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Pr>
        <w:pStyle w:val="5"/>
        <w:spacing w:line="440" w:lineRule="exact"/>
        <w:rPr>
          <w:rFonts w:hint="eastAsia" w:ascii="宋体" w:hAnsi="宋体" w:eastAsia="宋体" w:cs="宋体"/>
          <w:color w:val="auto"/>
          <w:sz w:val="21"/>
          <w:szCs w:val="21"/>
          <w:highlight w:val="none"/>
        </w:rPr>
      </w:pPr>
      <w:bookmarkStart w:id="544" w:name="_Toc373227744"/>
      <w:bookmarkStart w:id="545" w:name="_Toc408483343"/>
      <w:bookmarkStart w:id="546" w:name="_Toc407290461"/>
      <w:bookmarkStart w:id="547" w:name="_Toc389065310"/>
      <w:bookmarkStart w:id="548" w:name="_Toc373478391"/>
      <w:r>
        <w:rPr>
          <w:rFonts w:hint="eastAsia" w:ascii="宋体" w:hAnsi="宋体" w:eastAsia="宋体" w:cs="宋体"/>
          <w:color w:val="auto"/>
          <w:sz w:val="21"/>
          <w:szCs w:val="21"/>
          <w:highlight w:val="none"/>
        </w:rPr>
        <w:t>1</w:t>
      </w:r>
      <w:bookmarkStart w:id="549" w:name="_Toc300934997"/>
      <w:bookmarkStart w:id="550" w:name="_Toc303539154"/>
      <w:bookmarkStart w:id="551" w:name="_Toc296503199"/>
      <w:bookmarkStart w:id="552" w:name="_Toc292559404"/>
      <w:bookmarkStart w:id="553" w:name="_Toc304295574"/>
      <w:bookmarkStart w:id="554" w:name="_Toc312678033"/>
      <w:bookmarkStart w:id="555" w:name="_Toc296346700"/>
      <w:bookmarkStart w:id="556" w:name="_Toc296891239"/>
      <w:bookmarkStart w:id="557" w:name="_Toc296891027"/>
      <w:bookmarkStart w:id="558" w:name="_Toc296347198"/>
      <w:bookmarkStart w:id="559" w:name="_Toc297123548"/>
      <w:bookmarkStart w:id="560" w:name="_Toc297120499"/>
      <w:bookmarkStart w:id="561" w:name="_Toc297216207"/>
      <w:bookmarkStart w:id="562" w:name="_Toc292559909"/>
      <w:bookmarkStart w:id="563" w:name="_Toc296944538"/>
      <w:bookmarkStart w:id="564" w:name="_Toc312677507"/>
      <w:bookmarkStart w:id="565" w:name="_Toc297048385"/>
      <w:r>
        <w:rPr>
          <w:rFonts w:hint="eastAsia" w:ascii="宋体" w:hAnsi="宋体" w:eastAsia="宋体" w:cs="宋体"/>
          <w:color w:val="auto"/>
          <w:sz w:val="21"/>
          <w:szCs w:val="21"/>
          <w:highlight w:val="none"/>
        </w:rPr>
        <w:t>5.7 暂估价</w:t>
      </w:r>
      <w:bookmarkEnd w:id="544"/>
      <w:bookmarkEnd w:id="545"/>
      <w:bookmarkEnd w:id="546"/>
      <w:bookmarkEnd w:id="547"/>
      <w:bookmarkEnd w:id="548"/>
    </w:p>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暂</w:t>
      </w:r>
      <w:bookmarkStart w:id="566" w:name="_Toc312678034"/>
      <w:bookmarkStart w:id="567" w:name="_Toc312677508"/>
      <w:bookmarkStart w:id="568" w:name="_Toc318581176"/>
      <w:r>
        <w:rPr>
          <w:rFonts w:hint="eastAsia" w:ascii="宋体" w:hAnsi="宋体" w:eastAsia="宋体" w:cs="宋体"/>
          <w:color w:val="auto"/>
          <w:kern w:val="0"/>
          <w:szCs w:val="21"/>
          <w:highlight w:val="none"/>
        </w:rPr>
        <w:t>估价材料和工程设备的明细详见已标价工程量清单《</w:t>
      </w:r>
      <w:r>
        <w:rPr>
          <w:rFonts w:hint="eastAsia" w:ascii="宋体" w:hAnsi="宋体" w:eastAsia="宋体" w:cs="宋体"/>
          <w:color w:val="auto"/>
          <w:szCs w:val="21"/>
          <w:highlight w:val="none"/>
        </w:rPr>
        <w:t>材料（工程设备）暂估价格及调整表》</w:t>
      </w:r>
      <w:r>
        <w:rPr>
          <w:rFonts w:hint="eastAsia" w:ascii="宋体" w:hAnsi="宋体" w:eastAsia="宋体" w:cs="宋体"/>
          <w:color w:val="auto"/>
          <w:kern w:val="0"/>
          <w:szCs w:val="21"/>
          <w:highlight w:val="none"/>
        </w:rPr>
        <w:t>（表12-2）和《</w:t>
      </w:r>
      <w:r>
        <w:rPr>
          <w:rFonts w:hint="eastAsia" w:ascii="宋体" w:hAnsi="宋体" w:eastAsia="宋体" w:cs="宋体"/>
          <w:color w:val="auto"/>
          <w:szCs w:val="21"/>
          <w:highlight w:val="none"/>
        </w:rPr>
        <w:t>专业工程暂估价表》（</w:t>
      </w:r>
      <w:r>
        <w:rPr>
          <w:rFonts w:hint="eastAsia" w:ascii="宋体" w:hAnsi="宋体" w:eastAsia="宋体" w:cs="宋体"/>
          <w:color w:val="auto"/>
          <w:kern w:val="0"/>
          <w:szCs w:val="21"/>
          <w:highlight w:val="none"/>
        </w:rPr>
        <w:t>表12-3）。</w:t>
      </w:r>
    </w:p>
    <w:bookmarkEnd w:id="566"/>
    <w:bookmarkEnd w:id="567"/>
    <w:bookmarkEnd w:id="568"/>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bookmarkStart w:id="569" w:name="_Toc318581177"/>
      <w:bookmarkStart w:id="570" w:name="_Toc312677509"/>
      <w:bookmarkStart w:id="571" w:name="_Toc312678035"/>
      <w:r>
        <w:rPr>
          <w:rFonts w:hint="eastAsia" w:ascii="宋体" w:hAnsi="宋体" w:eastAsia="宋体" w:cs="宋体"/>
          <w:color w:val="auto"/>
          <w:szCs w:val="21"/>
          <w:highlight w:val="none"/>
        </w:rPr>
        <w:t>5.7.1 依法必须招标的暂估价项目</w:t>
      </w:r>
    </w:p>
    <w:bookmarkEnd w:id="569"/>
    <w:bookmarkEnd w:id="570"/>
    <w:bookmarkEnd w:id="571"/>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对于依法必须招标的暂估价项目的确认和批准采取第</w:t>
      </w:r>
      <w:r>
        <w:rPr>
          <w:rFonts w:hint="eastAsia" w:ascii="宋体" w:hAnsi="宋体" w:eastAsia="宋体" w:cs="宋体"/>
          <w:color w:val="auto"/>
          <w:szCs w:val="21"/>
          <w:highlight w:val="none"/>
          <w:u w:val="single"/>
        </w:rPr>
        <w:t xml:space="preserve">  1 </w:t>
      </w:r>
      <w:r>
        <w:rPr>
          <w:rFonts w:hint="eastAsia" w:ascii="宋体" w:hAnsi="宋体" w:eastAsia="宋体" w:cs="宋体"/>
          <w:color w:val="auto"/>
          <w:szCs w:val="21"/>
          <w:highlight w:val="none"/>
        </w:rPr>
        <w:t>种方式确定。</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第1种方式：对于依法必须进行招标的暂估项目，由承包人招标。</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第2种方式：对于依法必须进行招标的暂估项目，由发包人和承包人共同招标确定暂估价项目</w:t>
      </w: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或分包商。</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15.7.2 不属于依法必须招标的暂估价项目</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对于不属于依法必须招标的暂估价项目的确认和批准采取第</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3</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种方式确定。</w:t>
      </w:r>
    </w:p>
    <w:p>
      <w:pPr>
        <w:spacing w:line="44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第1种方式：对于不属于依法必须招标的</w:t>
      </w:r>
      <w:r>
        <w:rPr>
          <w:rFonts w:hint="eastAsia" w:ascii="宋体" w:hAnsi="宋体" w:eastAsia="宋体" w:cs="宋体"/>
          <w:color w:val="auto"/>
          <w:kern w:val="0"/>
          <w:szCs w:val="21"/>
          <w:highlight w:val="none"/>
        </w:rPr>
        <w:t>暂估价项目，按本项约定确认和批准后承包人直接实施的</w:t>
      </w:r>
    </w:p>
    <w:p>
      <w:pPr>
        <w:spacing w:line="44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第2种方式：承包人按照第10.7.1项（依法必须招标的暂估价项目）约定的第1种方式确定</w:t>
      </w:r>
      <w:r>
        <w:rPr>
          <w:rFonts w:hint="eastAsia" w:ascii="宋体" w:hAnsi="宋体" w:eastAsia="宋体" w:cs="宋体"/>
          <w:color w:val="auto"/>
          <w:kern w:val="0"/>
          <w:szCs w:val="21"/>
          <w:highlight w:val="none"/>
        </w:rPr>
        <w:t>暂估价的项目</w:t>
      </w:r>
    </w:p>
    <w:p>
      <w:pPr>
        <w:spacing w:line="44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第3种方式：</w:t>
      </w:r>
      <w:r>
        <w:rPr>
          <w:rFonts w:hint="eastAsia" w:ascii="宋体" w:hAnsi="宋体" w:eastAsia="宋体" w:cs="宋体"/>
          <w:color w:val="auto"/>
          <w:kern w:val="0"/>
          <w:szCs w:val="21"/>
          <w:highlight w:val="none"/>
        </w:rPr>
        <w:t>承包人直接实施的暂估价项目</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承包人直接实施的暂估价项目的约定：</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由承包人提出申请经发包人、监理人确定可以实施后承包人即可以实施</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pStyle w:val="5"/>
        <w:spacing w:line="440" w:lineRule="exact"/>
        <w:rPr>
          <w:rFonts w:hint="eastAsia" w:ascii="宋体" w:hAnsi="宋体" w:eastAsia="宋体" w:cs="宋体"/>
          <w:color w:val="auto"/>
          <w:sz w:val="21"/>
          <w:szCs w:val="21"/>
          <w:highlight w:val="none"/>
        </w:rPr>
      </w:pPr>
      <w:bookmarkStart w:id="572" w:name="_Toc407290462"/>
      <w:bookmarkStart w:id="573" w:name="_Toc373478392"/>
      <w:bookmarkStart w:id="574" w:name="_Toc373227745"/>
      <w:bookmarkStart w:id="575" w:name="_Toc408483344"/>
      <w:bookmarkStart w:id="576" w:name="_Toc389065311"/>
      <w:r>
        <w:rPr>
          <w:rFonts w:hint="eastAsia" w:ascii="宋体" w:hAnsi="宋体" w:eastAsia="宋体" w:cs="宋体"/>
          <w:color w:val="auto"/>
          <w:sz w:val="21"/>
          <w:szCs w:val="21"/>
          <w:highlight w:val="none"/>
        </w:rPr>
        <w:t>15.8 暂列金额</w:t>
      </w:r>
      <w:bookmarkEnd w:id="572"/>
      <w:bookmarkEnd w:id="573"/>
      <w:bookmarkEnd w:id="574"/>
      <w:bookmarkEnd w:id="575"/>
      <w:bookmarkEnd w:id="576"/>
    </w:p>
    <w:p>
      <w:pPr>
        <w:autoSpaceDE w:val="0"/>
        <w:autoSpaceDN w:val="0"/>
        <w:adjustRightInd w:val="0"/>
        <w:spacing w:line="44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kern w:val="0"/>
          <w:szCs w:val="21"/>
          <w:highlight w:val="none"/>
        </w:rPr>
        <w:t>合同当事人关于暂列金额使用的约定：</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kern w:val="0"/>
          <w:szCs w:val="21"/>
          <w:highlight w:val="none"/>
          <w:u w:val="single"/>
        </w:rPr>
        <w:t xml:space="preserve">暂列金额是由发包人暂定并掌握使用的一笔款项，包括在合同价之内，但并不直接属于承包人所有和支配，只能按照监理人的指示并经发包人和资金审计部门（批准）后使用，并对合同价格进行相应调整  </w:t>
      </w:r>
      <w:r>
        <w:rPr>
          <w:rFonts w:hint="eastAsia" w:ascii="宋体" w:hAnsi="宋体" w:eastAsia="宋体" w:cs="宋体"/>
          <w:color w:val="auto"/>
          <w:kern w:val="0"/>
          <w:szCs w:val="21"/>
          <w:highlight w:val="none"/>
        </w:rPr>
        <w:t xml:space="preserve"> 。</w:t>
      </w:r>
    </w:p>
    <w:p>
      <w:pPr>
        <w:pStyle w:val="4"/>
        <w:spacing w:before="0" w:after="0" w:line="440" w:lineRule="exact"/>
        <w:rPr>
          <w:rFonts w:hint="eastAsia" w:ascii="宋体" w:hAnsi="宋体" w:eastAsia="宋体" w:cs="宋体"/>
          <w:color w:val="auto"/>
          <w:sz w:val="21"/>
          <w:szCs w:val="21"/>
          <w:highlight w:val="none"/>
        </w:rPr>
      </w:pPr>
      <w:bookmarkStart w:id="577" w:name="_Toc408483345"/>
      <w:bookmarkStart w:id="578" w:name="_Toc389065312"/>
      <w:bookmarkStart w:id="579" w:name="_Toc351203643"/>
      <w:bookmarkStart w:id="580" w:name="_Toc373478393"/>
      <w:bookmarkStart w:id="581" w:name="_Toc373227746"/>
      <w:bookmarkStart w:id="582" w:name="_Toc407290463"/>
      <w:r>
        <w:rPr>
          <w:rFonts w:hint="eastAsia" w:ascii="宋体" w:hAnsi="宋体" w:eastAsia="宋体" w:cs="宋体"/>
          <w:color w:val="auto"/>
          <w:sz w:val="21"/>
          <w:szCs w:val="21"/>
          <w:highlight w:val="none"/>
        </w:rPr>
        <w:t>16. 价格调整</w:t>
      </w:r>
      <w:bookmarkEnd w:id="577"/>
      <w:bookmarkEnd w:id="578"/>
      <w:bookmarkEnd w:id="579"/>
      <w:bookmarkEnd w:id="580"/>
      <w:bookmarkEnd w:id="581"/>
      <w:bookmarkEnd w:id="582"/>
    </w:p>
    <w:p>
      <w:pPr>
        <w:pStyle w:val="5"/>
        <w:spacing w:line="440" w:lineRule="exact"/>
        <w:rPr>
          <w:rFonts w:hint="eastAsia" w:ascii="宋体" w:hAnsi="宋体" w:eastAsia="宋体" w:cs="宋体"/>
          <w:color w:val="auto"/>
          <w:sz w:val="21"/>
          <w:szCs w:val="21"/>
          <w:highlight w:val="none"/>
        </w:rPr>
      </w:pPr>
      <w:bookmarkStart w:id="583" w:name="_Toc408483346"/>
      <w:bookmarkStart w:id="584" w:name="_Toc407290464"/>
      <w:bookmarkStart w:id="585" w:name="_Toc373478394"/>
      <w:bookmarkStart w:id="586" w:name="_Toc389065313"/>
      <w:bookmarkStart w:id="587" w:name="_Toc373227747"/>
      <w:bookmarkStart w:id="588" w:name="_Toc292559406"/>
      <w:bookmarkStart w:id="589" w:name="_Toc296346702"/>
      <w:bookmarkStart w:id="590" w:name="_Toc296347200"/>
      <w:bookmarkStart w:id="591" w:name="_Toc297120501"/>
      <w:bookmarkStart w:id="592" w:name="_Toc312678039"/>
      <w:bookmarkStart w:id="593" w:name="_Toc303539157"/>
      <w:bookmarkStart w:id="594" w:name="_Toc292559911"/>
      <w:bookmarkStart w:id="595" w:name="_Toc297048387"/>
      <w:bookmarkStart w:id="596" w:name="_Toc297216209"/>
      <w:bookmarkStart w:id="597" w:name="_Toc300935000"/>
      <w:bookmarkStart w:id="598" w:name="_Toc296944540"/>
      <w:bookmarkStart w:id="599" w:name="_Toc297123550"/>
      <w:bookmarkStart w:id="600" w:name="_Toc296503201"/>
      <w:bookmarkStart w:id="601" w:name="_Toc296891029"/>
      <w:bookmarkStart w:id="602" w:name="_Toc296891241"/>
      <w:bookmarkStart w:id="603" w:name="_Toc304295577"/>
      <w:r>
        <w:rPr>
          <w:rFonts w:hint="eastAsia" w:ascii="宋体" w:hAnsi="宋体" w:eastAsia="宋体" w:cs="宋体"/>
          <w:color w:val="auto"/>
          <w:sz w:val="21"/>
          <w:szCs w:val="21"/>
          <w:highlight w:val="none"/>
        </w:rPr>
        <w:t>16.1 市场价格波动引起的调整</w:t>
      </w:r>
      <w:bookmarkEnd w:id="583"/>
      <w:bookmarkEnd w:id="584"/>
      <w:bookmarkEnd w:id="585"/>
      <w:bookmarkEnd w:id="586"/>
      <w:bookmarkEnd w:id="587"/>
    </w:p>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市场价格波动是否调整合同价格的约定：</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调整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因市场价格波动调整合同价格，采用以下第</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3</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种方式对合同价格进行调整：</w:t>
      </w:r>
    </w:p>
    <w:p>
      <w:pPr>
        <w:spacing w:line="44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第1种方式：</w:t>
      </w:r>
      <w:r>
        <w:rPr>
          <w:rFonts w:hint="eastAsia" w:ascii="宋体" w:hAnsi="宋体" w:eastAsia="宋体" w:cs="宋体"/>
          <w:color w:val="auto"/>
          <w:szCs w:val="21"/>
          <w:highlight w:val="none"/>
        </w:rPr>
        <w:t>采用价格指数进行价格调整。</w:t>
      </w:r>
    </w:p>
    <w:p>
      <w:pPr>
        <w:spacing w:line="44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关于各可调因子、定值和变值权重，以及基本价格指数及其来源的约定：</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440" w:lineRule="exac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第2种方式：采用造价信息进行价格调整。</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（1）允许调整的主要材料（设备）、基期价格、风险系数、投标报价：详见《承包人提供主要材料和设备一览表》。</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（2）主要材料确认价：</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按施工期间《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eastAsia="zh-CN"/>
        </w:rPr>
        <w:t>河池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市建设工程造价信息》加权平均计算，信息价没有的按通用条款规定确定。</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（3）价差计算方法：</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①《承包人提供主要材料和设备一览表》中载明的材料投标报价低于基准价格的：合同履行期间材料单价涨幅以基准价格为基础超过约定的风险范围时，或材料单价跌幅以投标报价为基础超过约定的风险范围时，其超过部分据实调整。</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②承包人在《承包人提供主要材料和设备一览表》中载明的材料投标报价高于基准价格的：专用合同条款合同履行期间材料单价跌幅以基准价格为基础超过约定的风险范围时，材料单价涨幅以投标报价为基础超过约定的风险范围时，其超过部分据实调整。</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③承包人在《承包人提供主要材料和设备一览表》中载明的材料单价等于基准单价的：合同履行期间材料单价涨跌幅以基准单价为基础超过约定的风险范围时，其超过部分据实调整。</w:t>
      </w:r>
    </w:p>
    <w:bookmarkEnd w:id="450"/>
    <w:bookmarkEnd w:id="451"/>
    <w:bookmarkEnd w:id="452"/>
    <w:bookmarkEnd w:id="453"/>
    <w:bookmarkEnd w:id="454"/>
    <w:bookmarkEnd w:id="455"/>
    <w:p>
      <w:pPr>
        <w:spacing w:line="440" w:lineRule="exact"/>
        <w:ind w:firstLine="645"/>
        <w:jc w:val="left"/>
        <w:rPr>
          <w:rFonts w:hint="eastAsia" w:ascii="宋体" w:hAnsi="宋体" w:eastAsia="宋体" w:cs="宋体"/>
          <w:b/>
          <w:color w:val="auto"/>
          <w:szCs w:val="21"/>
          <w:highlight w:val="none"/>
          <w:u w:val="single"/>
        </w:rPr>
      </w:pPr>
      <w:bookmarkStart w:id="604" w:name="_Toc292559915"/>
      <w:bookmarkStart w:id="605" w:name="_Toc296503205"/>
      <w:bookmarkStart w:id="606" w:name="_Toc296944544"/>
      <w:bookmarkStart w:id="607" w:name="_Toc292559410"/>
      <w:bookmarkStart w:id="608" w:name="_Toc297120505"/>
      <w:bookmarkStart w:id="609" w:name="_Toc296347204"/>
      <w:bookmarkStart w:id="610" w:name="_Toc297048391"/>
      <w:bookmarkStart w:id="611" w:name="_Toc296891245"/>
      <w:bookmarkStart w:id="612" w:name="_Toc296891033"/>
      <w:bookmarkStart w:id="613" w:name="_Toc296346706"/>
      <w:bookmarkStart w:id="614" w:name="_Toc351203644"/>
      <w:bookmarkStart w:id="615" w:name="_Toc373227748"/>
      <w:bookmarkStart w:id="616" w:name="_Toc373478395"/>
      <w:bookmarkStart w:id="617" w:name="_Toc312678040"/>
      <w:bookmarkStart w:id="618" w:name="_Toc300935002"/>
      <w:bookmarkStart w:id="619" w:name="_Toc297123552"/>
      <w:bookmarkStart w:id="620" w:name="_Toc304295579"/>
      <w:bookmarkStart w:id="621" w:name="_Toc303539159"/>
      <w:bookmarkStart w:id="622" w:name="_Toc297216211"/>
      <w:r>
        <w:rPr>
          <w:rFonts w:hint="eastAsia" w:ascii="宋体" w:hAnsi="宋体" w:eastAsia="宋体" w:cs="宋体"/>
          <w:b/>
          <w:color w:val="auto"/>
          <w:szCs w:val="21"/>
          <w:highlight w:val="none"/>
        </w:rPr>
        <w:t>第3种方式：其他价格调整方式：</w:t>
      </w:r>
    </w:p>
    <w:p>
      <w:pPr>
        <w:spacing w:line="440" w:lineRule="exact"/>
        <w:ind w:firstLine="562" w:firstLineChars="268"/>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1、本合同价款采用</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固定综合单价合同</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方式确定。</w:t>
      </w:r>
    </w:p>
    <w:p>
      <w:pPr>
        <w:spacing w:line="440" w:lineRule="exact"/>
        <w:ind w:firstLine="562" w:firstLineChars="268"/>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2、采用固定综合单价合同，合同中的综合单价包括的风险范围：</w:t>
      </w:r>
      <w:r>
        <w:rPr>
          <w:rFonts w:hint="eastAsia" w:ascii="宋体" w:hAnsi="宋体" w:eastAsia="宋体" w:cs="宋体"/>
          <w:b/>
          <w:color w:val="auto"/>
          <w:szCs w:val="21"/>
          <w:highlight w:val="none"/>
          <w:u w:val="single"/>
        </w:rPr>
        <w:t>除不可抗力、设计变更及政策性调整以外的其他风险(其他风险包含材料、设备、劳动力、运输价格、施工场地、施工运距、二次运输、弃土场地、交通条件等影响工程量清单综合单价的所有波动因素)。</w:t>
      </w:r>
    </w:p>
    <w:p>
      <w:pPr>
        <w:spacing w:line="440" w:lineRule="exact"/>
        <w:ind w:firstLine="562" w:firstLineChars="268"/>
        <w:rPr>
          <w:rFonts w:hint="eastAsia" w:ascii="宋体" w:hAnsi="宋体" w:eastAsia="宋体" w:cs="宋体"/>
          <w:b/>
          <w:color w:val="auto"/>
          <w:szCs w:val="21"/>
          <w:highlight w:val="none"/>
          <w:u w:val="single"/>
        </w:rPr>
      </w:pPr>
      <w:r>
        <w:rPr>
          <w:rFonts w:hint="eastAsia" w:ascii="宋体" w:hAnsi="宋体" w:eastAsia="宋体" w:cs="宋体"/>
          <w:color w:val="auto"/>
          <w:szCs w:val="21"/>
          <w:highlight w:val="none"/>
        </w:rPr>
        <w:t>3、风险范围以外合同价款调整方法：</w:t>
      </w:r>
      <w:r>
        <w:rPr>
          <w:rFonts w:hint="eastAsia" w:ascii="宋体" w:hAnsi="宋体" w:eastAsia="宋体" w:cs="宋体"/>
          <w:b/>
          <w:color w:val="auto"/>
          <w:szCs w:val="21"/>
          <w:highlight w:val="none"/>
          <w:u w:val="single"/>
        </w:rPr>
        <w:t>（1）工程按实际完成工程量结算。（2）因设计变更引起合同外新增项目，其综合单价的调整方法是：①工程量清单中有相同细目的按投标人的中标综合单价进行结算；工程量清单中有类似细目的按类似细目中标综合单价结算；②工程量清单无类似细目时套定额并乘以一定的下浮系数(中标价/上控价)进行结算，其材料价格参考当地施工期间的信息价（低值）计算，无信息价的材料按市场价计算（市场价由发包人、承包人双方市场询价协商决定）；③新增项目无定额可套的，由发包人、承包人根据市场价格协商决定；新增项目的单价须经</w:t>
      </w:r>
      <w:r>
        <w:rPr>
          <w:rFonts w:hint="eastAsia" w:ascii="宋体" w:hAnsi="宋体" w:eastAsia="宋体" w:cs="宋体"/>
          <w:b/>
          <w:color w:val="auto"/>
          <w:szCs w:val="21"/>
          <w:highlight w:val="none"/>
          <w:u w:val="single"/>
          <w:lang w:eastAsia="zh-CN"/>
        </w:rPr>
        <w:t>河池市金城江区财政局</w:t>
      </w:r>
      <w:r>
        <w:rPr>
          <w:rFonts w:hint="eastAsia" w:ascii="宋体" w:hAnsi="宋体" w:eastAsia="宋体" w:cs="宋体"/>
          <w:b/>
          <w:color w:val="auto"/>
          <w:szCs w:val="21"/>
          <w:highlight w:val="none"/>
          <w:u w:val="single"/>
        </w:rPr>
        <w:t>审定。④国家和自治区政策性调整有关费用标准的，按文件规定执行。</w:t>
      </w:r>
    </w:p>
    <w:p>
      <w:pPr>
        <w:spacing w:line="440" w:lineRule="exact"/>
        <w:ind w:firstLine="562" w:firstLineChars="268"/>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4、对于增减工程项目，施工图预算中含有相应综合单价的，以</w:t>
      </w:r>
      <w:r>
        <w:rPr>
          <w:rFonts w:hint="eastAsia" w:ascii="宋体" w:hAnsi="宋体" w:eastAsia="宋体" w:cs="宋体"/>
          <w:color w:val="auto"/>
          <w:szCs w:val="21"/>
          <w:highlight w:val="none"/>
          <w:lang w:eastAsia="zh-CN"/>
        </w:rPr>
        <w:t>河池市金城江区财政局</w:t>
      </w:r>
      <w:r>
        <w:rPr>
          <w:rFonts w:hint="eastAsia" w:ascii="宋体" w:hAnsi="宋体" w:eastAsia="宋体" w:cs="宋体"/>
          <w:color w:val="auto"/>
          <w:szCs w:val="21"/>
          <w:highlight w:val="none"/>
        </w:rPr>
        <w:t>审定的综合单价为控制价，并按相应中标人投标时中标的清单综合单价为结算单价，施工图预算中未含相应综合单价的，以甲方、乙方及评审机关三方经市场调查后共同确定的综合单价为结算单价：工程建设实施期间，如遇</w:t>
      </w:r>
      <w:r>
        <w:rPr>
          <w:rFonts w:hint="eastAsia" w:ascii="宋体" w:hAnsi="宋体" w:eastAsia="宋体" w:cs="宋体"/>
          <w:b/>
          <w:color w:val="auto"/>
          <w:szCs w:val="21"/>
          <w:highlight w:val="none"/>
          <w:u w:val="single"/>
        </w:rPr>
        <w:t>工程量清单中的主要材料</w:t>
      </w:r>
      <w:r>
        <w:rPr>
          <w:rFonts w:hint="eastAsia" w:ascii="宋体" w:hAnsi="宋体" w:eastAsia="宋体" w:cs="宋体"/>
          <w:color w:val="auto"/>
          <w:szCs w:val="21"/>
          <w:highlight w:val="none"/>
        </w:rPr>
        <w:t>价格上涨或下跌，增减幅度在正负</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%（包括</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%）以内的，合同综合单价一律不予调整；增减幅度在正负</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%（不包括</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%）以上的对合同综合单价的调整按当期的《河池市建设工程造价信息》的同期主要材料</w:t>
      </w:r>
      <w:r>
        <w:rPr>
          <w:rFonts w:hint="eastAsia" w:ascii="宋体" w:hAnsi="宋体" w:eastAsia="宋体" w:cs="宋体"/>
          <w:color w:val="auto"/>
          <w:szCs w:val="21"/>
          <w:highlight w:val="none"/>
          <w:lang w:eastAsia="zh-CN"/>
        </w:rPr>
        <w:t>河池</w:t>
      </w:r>
      <w:r>
        <w:rPr>
          <w:rFonts w:hint="eastAsia" w:ascii="宋体" w:hAnsi="宋体" w:eastAsia="宋体" w:cs="宋体"/>
          <w:color w:val="auto"/>
          <w:szCs w:val="21"/>
          <w:highlight w:val="none"/>
        </w:rPr>
        <w:t>信息价予以调整，以价格浮动部分的主要材料实际发生量计算差价；上限控制价清单内缺项单价（新增变更项），由乙方依据当时《河池市建设工程造价信息》的同期</w:t>
      </w:r>
      <w:r>
        <w:rPr>
          <w:rFonts w:hint="eastAsia" w:ascii="宋体" w:hAnsi="宋体" w:eastAsia="宋体" w:cs="宋体"/>
          <w:color w:val="auto"/>
          <w:szCs w:val="21"/>
          <w:highlight w:val="none"/>
          <w:lang w:eastAsia="zh-CN"/>
        </w:rPr>
        <w:t>河池</w:t>
      </w:r>
      <w:r>
        <w:rPr>
          <w:rFonts w:hint="eastAsia" w:ascii="宋体" w:hAnsi="宋体" w:eastAsia="宋体" w:cs="宋体"/>
          <w:color w:val="auto"/>
          <w:szCs w:val="21"/>
          <w:highlight w:val="none"/>
        </w:rPr>
        <w:t>信息价编制报</w:t>
      </w:r>
      <w:r>
        <w:rPr>
          <w:rFonts w:hint="eastAsia" w:ascii="宋体" w:hAnsi="宋体" w:eastAsia="宋体" w:cs="宋体"/>
          <w:color w:val="auto"/>
          <w:szCs w:val="21"/>
          <w:highlight w:val="none"/>
          <w:lang w:eastAsia="zh-CN"/>
        </w:rPr>
        <w:t>河池市金城江区财政局</w:t>
      </w:r>
      <w:r>
        <w:rPr>
          <w:rFonts w:hint="eastAsia" w:ascii="宋体" w:hAnsi="宋体" w:eastAsia="宋体" w:cs="宋体"/>
          <w:color w:val="auto"/>
          <w:szCs w:val="21"/>
          <w:highlight w:val="none"/>
        </w:rPr>
        <w:t>审批。如《河池市建设工程造价信息》上没有的材料价格，由乙方提出，监理和甲方确认，再由甲方将相关资料报送</w:t>
      </w:r>
      <w:r>
        <w:rPr>
          <w:rFonts w:hint="eastAsia" w:ascii="宋体" w:hAnsi="宋体" w:eastAsia="宋体" w:cs="宋体"/>
          <w:color w:val="auto"/>
          <w:szCs w:val="21"/>
          <w:highlight w:val="none"/>
          <w:lang w:eastAsia="zh-CN"/>
        </w:rPr>
        <w:t>河池市金城江区财政局</w:t>
      </w:r>
      <w:r>
        <w:rPr>
          <w:rFonts w:hint="eastAsia" w:ascii="宋体" w:hAnsi="宋体" w:eastAsia="宋体" w:cs="宋体"/>
          <w:color w:val="auto"/>
          <w:szCs w:val="21"/>
          <w:highlight w:val="none"/>
        </w:rPr>
        <w:t>审核，</w:t>
      </w:r>
      <w:r>
        <w:rPr>
          <w:rFonts w:hint="eastAsia" w:ascii="宋体" w:hAnsi="宋体" w:eastAsia="宋体" w:cs="宋体"/>
          <w:color w:val="auto"/>
          <w:szCs w:val="21"/>
          <w:highlight w:val="none"/>
          <w:lang w:eastAsia="zh-CN"/>
        </w:rPr>
        <w:t>河池市金城江区财政局</w:t>
      </w:r>
      <w:r>
        <w:rPr>
          <w:rFonts w:hint="eastAsia" w:ascii="宋体" w:hAnsi="宋体" w:eastAsia="宋体" w:cs="宋体"/>
          <w:color w:val="auto"/>
          <w:szCs w:val="21"/>
          <w:highlight w:val="none"/>
        </w:rPr>
        <w:t>通过市场询价拟定材料价后报县人民政府审定；超出和同工期延期竣工的当遇材料价格上涨时对合同综合单价不与调整。</w:t>
      </w:r>
    </w:p>
    <w:p>
      <w:pPr>
        <w:pStyle w:val="4"/>
        <w:spacing w:before="0" w:after="0" w:line="440" w:lineRule="exact"/>
        <w:rPr>
          <w:rFonts w:hint="eastAsia" w:ascii="宋体" w:hAnsi="宋体" w:eastAsia="宋体" w:cs="宋体"/>
          <w:color w:val="auto"/>
          <w:sz w:val="21"/>
          <w:szCs w:val="21"/>
          <w:highlight w:val="none"/>
        </w:rPr>
      </w:pPr>
      <w:bookmarkStart w:id="623" w:name="_Toc408483347"/>
      <w:bookmarkStart w:id="624" w:name="_Toc407290465"/>
      <w:r>
        <w:rPr>
          <w:rFonts w:hint="eastAsia" w:ascii="宋体" w:hAnsi="宋体" w:eastAsia="宋体" w:cs="宋体"/>
          <w:color w:val="auto"/>
          <w:sz w:val="21"/>
          <w:szCs w:val="21"/>
          <w:highlight w:val="none"/>
        </w:rPr>
        <w:t xml:space="preserve">17. </w:t>
      </w:r>
      <w:bookmarkEnd w:id="604"/>
      <w:bookmarkEnd w:id="605"/>
      <w:bookmarkEnd w:id="606"/>
      <w:bookmarkEnd w:id="607"/>
      <w:bookmarkEnd w:id="608"/>
      <w:bookmarkEnd w:id="609"/>
      <w:bookmarkEnd w:id="610"/>
      <w:bookmarkEnd w:id="611"/>
      <w:bookmarkEnd w:id="612"/>
      <w:bookmarkEnd w:id="613"/>
      <w:r>
        <w:rPr>
          <w:rFonts w:hint="eastAsia" w:ascii="宋体" w:hAnsi="宋体" w:eastAsia="宋体" w:cs="宋体"/>
          <w:color w:val="auto"/>
          <w:sz w:val="21"/>
          <w:szCs w:val="21"/>
          <w:highlight w:val="none"/>
        </w:rPr>
        <w:t>合同价格、计量与支付</w:t>
      </w:r>
      <w:bookmarkEnd w:id="614"/>
      <w:bookmarkEnd w:id="615"/>
      <w:bookmarkEnd w:id="616"/>
      <w:bookmarkEnd w:id="623"/>
      <w:bookmarkEnd w:id="624"/>
    </w:p>
    <w:bookmarkEnd w:id="617"/>
    <w:bookmarkEnd w:id="618"/>
    <w:bookmarkEnd w:id="619"/>
    <w:bookmarkEnd w:id="620"/>
    <w:bookmarkEnd w:id="621"/>
    <w:bookmarkEnd w:id="622"/>
    <w:p>
      <w:pPr>
        <w:pStyle w:val="5"/>
        <w:spacing w:line="440" w:lineRule="exact"/>
        <w:rPr>
          <w:rFonts w:hint="eastAsia" w:ascii="宋体" w:hAnsi="宋体" w:eastAsia="宋体" w:cs="宋体"/>
          <w:color w:val="auto"/>
          <w:sz w:val="21"/>
          <w:szCs w:val="21"/>
          <w:highlight w:val="none"/>
        </w:rPr>
      </w:pPr>
      <w:bookmarkStart w:id="625" w:name="_Toc292559411"/>
      <w:bookmarkStart w:id="626" w:name="_Toc292559916"/>
      <w:bookmarkStart w:id="627" w:name="_Toc267251461"/>
      <w:bookmarkStart w:id="628" w:name="_Toc296891246"/>
      <w:bookmarkStart w:id="629" w:name="_Toc297048392"/>
      <w:bookmarkStart w:id="630" w:name="_Toc296891034"/>
      <w:bookmarkStart w:id="631" w:name="_Toc297120506"/>
      <w:bookmarkStart w:id="632" w:name="_Toc296944545"/>
      <w:bookmarkStart w:id="633" w:name="_Toc296347205"/>
      <w:bookmarkStart w:id="634" w:name="_Toc296346707"/>
      <w:bookmarkStart w:id="635" w:name="_Toc296503206"/>
      <w:bookmarkStart w:id="636" w:name="_Toc373227749"/>
      <w:bookmarkStart w:id="637" w:name="_Toc389065314"/>
      <w:bookmarkStart w:id="638" w:name="_Toc373478396"/>
      <w:bookmarkStart w:id="639" w:name="_Toc407290466"/>
      <w:bookmarkStart w:id="640" w:name="_Toc408483348"/>
      <w:bookmarkStart w:id="641" w:name="_Toc300935003"/>
      <w:bookmarkStart w:id="642" w:name="_Toc312678041"/>
      <w:bookmarkStart w:id="643" w:name="_Toc303539160"/>
      <w:bookmarkStart w:id="644" w:name="_Toc297123553"/>
      <w:bookmarkStart w:id="645" w:name="_Toc304295580"/>
      <w:bookmarkStart w:id="646" w:name="_Toc297216212"/>
      <w:r>
        <w:rPr>
          <w:rFonts w:hint="eastAsia" w:ascii="宋体" w:hAnsi="宋体" w:eastAsia="宋体" w:cs="宋体"/>
          <w:color w:val="auto"/>
          <w:sz w:val="21"/>
          <w:szCs w:val="21"/>
          <w:highlight w:val="none"/>
        </w:rPr>
        <w:t>17.1 合</w:t>
      </w:r>
      <w:bookmarkEnd w:id="625"/>
      <w:bookmarkEnd w:id="626"/>
      <w:bookmarkEnd w:id="627"/>
      <w:r>
        <w:rPr>
          <w:rFonts w:hint="eastAsia" w:ascii="宋体" w:hAnsi="宋体" w:eastAsia="宋体" w:cs="宋体"/>
          <w:color w:val="auto"/>
          <w:sz w:val="21"/>
          <w:szCs w:val="21"/>
          <w:highlight w:val="none"/>
        </w:rPr>
        <w:t>同价</w:t>
      </w:r>
      <w:bookmarkEnd w:id="628"/>
      <w:bookmarkEnd w:id="629"/>
      <w:bookmarkEnd w:id="630"/>
      <w:bookmarkEnd w:id="631"/>
      <w:bookmarkEnd w:id="632"/>
      <w:bookmarkEnd w:id="633"/>
      <w:bookmarkEnd w:id="634"/>
      <w:bookmarkEnd w:id="635"/>
      <w:r>
        <w:rPr>
          <w:rFonts w:hint="eastAsia" w:ascii="宋体" w:hAnsi="宋体" w:eastAsia="宋体" w:cs="宋体"/>
          <w:color w:val="auto"/>
          <w:sz w:val="21"/>
          <w:szCs w:val="21"/>
          <w:highlight w:val="none"/>
        </w:rPr>
        <w:t>格形式</w:t>
      </w:r>
      <w:bookmarkEnd w:id="636"/>
      <w:bookmarkEnd w:id="637"/>
      <w:bookmarkEnd w:id="638"/>
      <w:bookmarkEnd w:id="639"/>
      <w:bookmarkEnd w:id="640"/>
    </w:p>
    <w:bookmarkEnd w:id="641"/>
    <w:bookmarkEnd w:id="642"/>
    <w:bookmarkEnd w:id="643"/>
    <w:bookmarkEnd w:id="644"/>
    <w:bookmarkEnd w:id="645"/>
    <w:bookmarkEnd w:id="646"/>
    <w:p>
      <w:pPr>
        <w:spacing w:line="440" w:lineRule="exact"/>
        <w:ind w:firstLine="420" w:firstLineChars="200"/>
        <w:jc w:val="left"/>
        <w:rPr>
          <w:rFonts w:hint="eastAsia" w:ascii="宋体" w:hAnsi="宋体" w:eastAsia="宋体" w:cs="宋体"/>
          <w:color w:val="auto"/>
          <w:szCs w:val="21"/>
          <w:highlight w:val="none"/>
        </w:rPr>
      </w:pPr>
      <w:bookmarkStart w:id="647" w:name="_Toc297048393"/>
      <w:bookmarkStart w:id="648" w:name="_Toc373227750"/>
      <w:bookmarkStart w:id="649" w:name="_Toc296944546"/>
      <w:bookmarkStart w:id="650" w:name="_Toc389065315"/>
      <w:bookmarkStart w:id="651" w:name="_Toc373478397"/>
      <w:bookmarkStart w:id="652" w:name="_Toc296346708"/>
      <w:bookmarkStart w:id="653" w:name="_Toc304295581"/>
      <w:bookmarkStart w:id="654" w:name="_Toc296347206"/>
      <w:bookmarkStart w:id="655" w:name="_Toc300935004"/>
      <w:bookmarkStart w:id="656" w:name="_Toc297216213"/>
      <w:bookmarkStart w:id="657" w:name="_Toc296891035"/>
      <w:bookmarkStart w:id="658" w:name="_Toc312678042"/>
      <w:bookmarkStart w:id="659" w:name="_Toc297123554"/>
      <w:bookmarkStart w:id="660" w:name="_Toc296503207"/>
      <w:bookmarkStart w:id="661" w:name="_Toc296891247"/>
      <w:bookmarkStart w:id="662" w:name="_Toc292559412"/>
      <w:bookmarkStart w:id="663" w:name="_Toc292559917"/>
      <w:bookmarkStart w:id="664" w:name="_Toc303539161"/>
      <w:bookmarkStart w:id="665" w:name="_Toc297120507"/>
      <w:r>
        <w:rPr>
          <w:rFonts w:hint="eastAsia" w:ascii="宋体" w:hAnsi="宋体" w:eastAsia="宋体" w:cs="宋体"/>
          <w:color w:val="auto"/>
          <w:szCs w:val="21"/>
          <w:highlight w:val="none"/>
        </w:rPr>
        <w:t>（1）单价合同。</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本合同价款采用</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 xml:space="preserve">固定综合单价  </w:t>
      </w:r>
      <w:r>
        <w:rPr>
          <w:rFonts w:hint="eastAsia" w:ascii="宋体" w:hAnsi="宋体" w:eastAsia="宋体" w:cs="宋体"/>
          <w:color w:val="auto"/>
          <w:szCs w:val="21"/>
          <w:highlight w:val="none"/>
        </w:rPr>
        <w:t>方式确定。</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综合单价包含的风险范围：</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除工程变更、工程量清单缺项、漏项、签证、施工期间主要材料的价格涨幅超出基准价</w:t>
      </w:r>
      <w:r>
        <w:rPr>
          <w:rFonts w:hint="eastAsia" w:ascii="宋体" w:hAnsi="宋体" w:eastAsia="宋体" w:cs="宋体"/>
          <w:b/>
          <w:color w:val="auto"/>
          <w:szCs w:val="21"/>
          <w:highlight w:val="none"/>
          <w:u w:val="single"/>
          <w:lang w:val="en-US" w:eastAsia="zh-CN"/>
        </w:rPr>
        <w:t>5</w:t>
      </w:r>
      <w:r>
        <w:rPr>
          <w:rFonts w:hint="eastAsia" w:ascii="宋体" w:hAnsi="宋体" w:eastAsia="宋体" w:cs="宋体"/>
          <w:b/>
          <w:color w:val="auto"/>
          <w:szCs w:val="21"/>
          <w:highlight w:val="none"/>
          <w:u w:val="single"/>
        </w:rPr>
        <w:t>%及政策性调整以外的其他风险政策性调整、《承包人提供主要材料和设备一览表》约定的材料、设备价格变动风险以外因素</w:t>
      </w:r>
      <w:r>
        <w:rPr>
          <w:rFonts w:hint="eastAsia" w:ascii="宋体" w:hAnsi="宋体" w:eastAsia="宋体" w:cs="宋体"/>
          <w:color w:val="auto"/>
          <w:szCs w:val="21"/>
          <w:highlight w:val="none"/>
          <w:u w:val="single"/>
        </w:rPr>
        <w:t>。</w:t>
      </w:r>
    </w:p>
    <w:p>
      <w:pPr>
        <w:pStyle w:val="22"/>
        <w:spacing w:line="440" w:lineRule="exact"/>
        <w:ind w:firstLine="441" w:firstLineChars="210"/>
        <w:rPr>
          <w:rFonts w:hint="eastAsia" w:ascii="宋体" w:hAnsi="宋体" w:eastAsia="宋体" w:cs="宋体"/>
          <w:color w:val="auto"/>
          <w:highlight w:val="none"/>
        </w:rPr>
      </w:pPr>
      <w:r>
        <w:rPr>
          <w:rFonts w:hint="eastAsia" w:ascii="宋体" w:hAnsi="宋体" w:eastAsia="宋体" w:cs="宋体"/>
          <w:color w:val="auto"/>
          <w:highlight w:val="none"/>
        </w:rPr>
        <w:t>风险范围以外合同价格的调整方法：</w:t>
      </w:r>
    </w:p>
    <w:p>
      <w:pPr>
        <w:pStyle w:val="22"/>
        <w:spacing w:line="440" w:lineRule="exact"/>
        <w:ind w:firstLine="441" w:firstLineChars="210"/>
        <w:rPr>
          <w:rFonts w:hint="eastAsia" w:ascii="宋体" w:hAnsi="宋体" w:eastAsia="宋体" w:cs="宋体"/>
          <w:color w:val="auto"/>
          <w:highlight w:val="none"/>
        </w:rPr>
      </w:pPr>
      <w:r>
        <w:rPr>
          <w:rFonts w:hint="eastAsia" w:ascii="宋体" w:hAnsi="宋体" w:eastAsia="宋体" w:cs="宋体"/>
          <w:color w:val="auto"/>
          <w:highlight w:val="none"/>
        </w:rPr>
        <w:t>①工程变更：按10.4.1变更估价原则的约定调整。</w:t>
      </w:r>
    </w:p>
    <w:p>
      <w:pPr>
        <w:pStyle w:val="22"/>
        <w:spacing w:line="440" w:lineRule="exact"/>
        <w:ind w:firstLine="441" w:firstLineChars="210"/>
        <w:rPr>
          <w:rFonts w:hint="eastAsia" w:ascii="宋体" w:hAnsi="宋体" w:eastAsia="宋体" w:cs="宋体"/>
          <w:color w:val="auto"/>
          <w:highlight w:val="none"/>
        </w:rPr>
      </w:pPr>
      <w:r>
        <w:rPr>
          <w:rFonts w:hint="eastAsia" w:ascii="宋体" w:hAnsi="宋体" w:eastAsia="宋体" w:cs="宋体"/>
          <w:color w:val="auto"/>
          <w:highlight w:val="none"/>
        </w:rPr>
        <w:t>②政策性调整：按自治区建设行政主管部门颁布的文件执行。</w:t>
      </w:r>
    </w:p>
    <w:p>
      <w:pPr>
        <w:pStyle w:val="22"/>
        <w:spacing w:line="440" w:lineRule="exact"/>
        <w:ind w:firstLine="441" w:firstLineChars="210"/>
        <w:rPr>
          <w:rFonts w:hint="eastAsia" w:ascii="宋体" w:hAnsi="宋体" w:eastAsia="宋体" w:cs="宋体"/>
          <w:color w:val="auto"/>
          <w:highlight w:val="none"/>
        </w:rPr>
      </w:pPr>
      <w:r>
        <w:rPr>
          <w:rFonts w:hint="eastAsia" w:ascii="宋体" w:hAnsi="宋体" w:eastAsia="宋体" w:cs="宋体"/>
          <w:color w:val="auto"/>
          <w:highlight w:val="none"/>
        </w:rPr>
        <w:t>③材料价格风险：按11.1的约定调整。</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④其它：</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（2）总价合同。</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总价包含的风险范围：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40" w:lineRule="exact"/>
        <w:ind w:firstLine="420" w:firstLineChars="200"/>
        <w:jc w:val="left"/>
        <w:rPr>
          <w:rFonts w:hint="eastAsia" w:ascii="宋体" w:hAnsi="宋体" w:eastAsia="宋体" w:cs="宋体"/>
          <w:b/>
          <w:color w:val="auto"/>
          <w:szCs w:val="21"/>
          <w:highlight w:val="none"/>
          <w:u w:val="single"/>
        </w:rPr>
      </w:pPr>
      <w:r>
        <w:rPr>
          <w:rFonts w:hint="eastAsia" w:ascii="宋体" w:hAnsi="宋体" w:eastAsia="宋体" w:cs="宋体"/>
          <w:color w:val="auto"/>
          <w:szCs w:val="21"/>
          <w:highlight w:val="none"/>
        </w:rPr>
        <w:t>风险范围以外合同价格的调整方法：</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①因设计变更引起工程项目和工程量变化的，其增减部分的工程量经承、发包双方签证后，按以下办法计算费用：工程量清单中有相同细目的按承包人的中标单价进行结算；工程量清单中有类似细目的参照类似细目的中标单价结算；新增项目的单价有定额的套用广西现行定额计算，并乘以下浮系数（1-中标价/招标控制价）结算，其中材料价格有信息价的按施工期间《河池市建设工程造价信息》公布的信息价</w:t>
      </w:r>
      <w:r>
        <w:rPr>
          <w:rFonts w:hint="eastAsia" w:ascii="宋体" w:hAnsi="宋体" w:eastAsia="宋体" w:cs="宋体"/>
          <w:b/>
          <w:bCs/>
          <w:color w:val="auto"/>
          <w:szCs w:val="21"/>
          <w:highlight w:val="none"/>
          <w:u w:val="single"/>
        </w:rPr>
        <w:t>（低值）</w:t>
      </w:r>
      <w:r>
        <w:rPr>
          <w:rFonts w:hint="eastAsia" w:ascii="宋体" w:hAnsi="宋体" w:eastAsia="宋体" w:cs="宋体"/>
          <w:b/>
          <w:color w:val="auto"/>
          <w:szCs w:val="21"/>
          <w:highlight w:val="none"/>
          <w:u w:val="single"/>
        </w:rPr>
        <w:t>计取，无信息价或无定额可套的由发、承包人双方进行市场询价协商确定。</w:t>
      </w:r>
    </w:p>
    <w:p>
      <w:pPr>
        <w:spacing w:line="440" w:lineRule="exact"/>
        <w:ind w:firstLine="422" w:firstLineChars="200"/>
        <w:jc w:val="left"/>
        <w:rPr>
          <w:rFonts w:hint="eastAsia" w:ascii="宋体" w:hAnsi="宋体" w:eastAsia="宋体" w:cs="宋体"/>
          <w:b/>
          <w:color w:val="auto"/>
          <w:szCs w:val="21"/>
          <w:highlight w:val="none"/>
          <w:u w:val="single"/>
        </w:rPr>
      </w:pPr>
      <w:r>
        <w:rPr>
          <w:rFonts w:hint="eastAsia" w:ascii="宋体" w:hAnsi="宋体" w:eastAsia="宋体" w:cs="宋体"/>
          <w:b/>
          <w:color w:val="auto"/>
          <w:szCs w:val="21"/>
          <w:highlight w:val="none"/>
          <w:u w:val="single"/>
        </w:rPr>
        <w:fldChar w:fldCharType="begin"/>
      </w:r>
      <w:r>
        <w:rPr>
          <w:rFonts w:hint="eastAsia" w:ascii="宋体" w:hAnsi="宋体" w:eastAsia="宋体" w:cs="宋体"/>
          <w:b/>
          <w:color w:val="auto"/>
          <w:szCs w:val="21"/>
          <w:highlight w:val="none"/>
          <w:u w:val="single"/>
        </w:rPr>
        <w:instrText xml:space="preserve"> = 2 \* GB3 </w:instrText>
      </w:r>
      <w:r>
        <w:rPr>
          <w:rFonts w:hint="eastAsia" w:ascii="宋体" w:hAnsi="宋体" w:eastAsia="宋体" w:cs="宋体"/>
          <w:b/>
          <w:color w:val="auto"/>
          <w:szCs w:val="21"/>
          <w:highlight w:val="none"/>
          <w:u w:val="single"/>
        </w:rPr>
        <w:fldChar w:fldCharType="separate"/>
      </w:r>
      <w:r>
        <w:rPr>
          <w:rFonts w:hint="eastAsia" w:ascii="宋体" w:hAnsi="宋体" w:eastAsia="宋体" w:cs="宋体"/>
          <w:b/>
          <w:color w:val="auto"/>
          <w:szCs w:val="21"/>
          <w:highlight w:val="none"/>
          <w:u w:val="single"/>
        </w:rPr>
        <w:t>②</w:t>
      </w:r>
      <w:r>
        <w:rPr>
          <w:rFonts w:hint="eastAsia" w:ascii="宋体" w:hAnsi="宋体" w:eastAsia="宋体" w:cs="宋体"/>
          <w:b/>
          <w:color w:val="auto"/>
          <w:szCs w:val="21"/>
          <w:highlight w:val="none"/>
          <w:u w:val="single"/>
        </w:rPr>
        <w:fldChar w:fldCharType="end"/>
      </w:r>
      <w:r>
        <w:rPr>
          <w:rFonts w:hint="eastAsia" w:ascii="宋体" w:hAnsi="宋体" w:eastAsia="宋体" w:cs="宋体"/>
          <w:b/>
          <w:color w:val="auto"/>
          <w:szCs w:val="21"/>
          <w:highlight w:val="none"/>
          <w:u w:val="single"/>
        </w:rPr>
        <w:t>合同履行过程中，工程主要材料（商品混凝土、钢材、水泥、砌体砖、砂石、片石、木材等）价格涨幅超过基准价格</w:t>
      </w:r>
      <w:r>
        <w:rPr>
          <w:rFonts w:hint="eastAsia" w:ascii="宋体" w:hAnsi="宋体" w:eastAsia="宋体" w:cs="宋体"/>
          <w:b/>
          <w:color w:val="auto"/>
          <w:szCs w:val="21"/>
          <w:highlight w:val="none"/>
          <w:u w:val="single"/>
          <w:lang w:val="en-US" w:eastAsia="zh-CN"/>
        </w:rPr>
        <w:t>5</w:t>
      </w:r>
      <w:r>
        <w:rPr>
          <w:rFonts w:hint="eastAsia" w:ascii="宋体" w:hAnsi="宋体" w:eastAsia="宋体" w:cs="宋体"/>
          <w:b/>
          <w:color w:val="auto"/>
          <w:szCs w:val="21"/>
          <w:highlight w:val="none"/>
          <w:u w:val="single"/>
        </w:rPr>
        <w:t>%（不含</w:t>
      </w:r>
      <w:r>
        <w:rPr>
          <w:rFonts w:hint="eastAsia" w:ascii="宋体" w:hAnsi="宋体" w:eastAsia="宋体" w:cs="宋体"/>
          <w:b/>
          <w:color w:val="auto"/>
          <w:szCs w:val="21"/>
          <w:highlight w:val="none"/>
          <w:u w:val="single"/>
          <w:lang w:val="en-US" w:eastAsia="zh-CN"/>
        </w:rPr>
        <w:t>5</w:t>
      </w:r>
      <w:r>
        <w:rPr>
          <w:rFonts w:hint="eastAsia" w:ascii="宋体" w:hAnsi="宋体" w:eastAsia="宋体" w:cs="宋体"/>
          <w:b/>
          <w:color w:val="auto"/>
          <w:szCs w:val="21"/>
          <w:highlight w:val="none"/>
          <w:u w:val="single"/>
        </w:rPr>
        <w:t>%）以上的，材料价格按施工时间相应的《河池建设工程造价信息》上的单价进行结算。材料价格信息采用河池建设工程造价管理总站编制的《河池市建设工程造价信息》201</w:t>
      </w:r>
      <w:r>
        <w:rPr>
          <w:rFonts w:hint="eastAsia" w:ascii="宋体" w:hAnsi="宋体" w:eastAsia="宋体" w:cs="宋体"/>
          <w:b/>
          <w:color w:val="auto"/>
          <w:szCs w:val="21"/>
          <w:highlight w:val="none"/>
          <w:u w:val="single"/>
          <w:lang w:val="en-US" w:eastAsia="zh-CN"/>
        </w:rPr>
        <w:t>9</w:t>
      </w:r>
      <w:r>
        <w:rPr>
          <w:rFonts w:hint="eastAsia" w:ascii="宋体" w:hAnsi="宋体" w:eastAsia="宋体" w:cs="宋体"/>
          <w:b/>
          <w:color w:val="auto"/>
          <w:szCs w:val="21"/>
          <w:highlight w:val="none"/>
          <w:u w:val="single"/>
        </w:rPr>
        <w:t>年</w:t>
      </w:r>
      <w:r>
        <w:rPr>
          <w:rFonts w:hint="eastAsia" w:ascii="宋体" w:hAnsi="宋体" w:eastAsia="宋体" w:cs="宋体"/>
          <w:b/>
          <w:color w:val="auto"/>
          <w:szCs w:val="21"/>
          <w:highlight w:val="none"/>
          <w:u w:val="single"/>
          <w:lang w:val="en-US" w:eastAsia="zh-CN"/>
        </w:rPr>
        <w:t>06</w:t>
      </w:r>
      <w:r>
        <w:rPr>
          <w:rFonts w:hint="eastAsia" w:ascii="宋体" w:hAnsi="宋体" w:eastAsia="宋体" w:cs="宋体"/>
          <w:b/>
          <w:color w:val="auto"/>
          <w:szCs w:val="21"/>
          <w:highlight w:val="none"/>
          <w:u w:val="single"/>
        </w:rPr>
        <w:t>月份（除税价），地方材料价格按当地材料市场价格为准。</w:t>
      </w:r>
    </w:p>
    <w:p>
      <w:pPr>
        <w:spacing w:line="44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color w:val="auto"/>
          <w:szCs w:val="21"/>
          <w:highlight w:val="none"/>
          <w:u w:val="single"/>
        </w:rPr>
        <w:t>③合同履行期间，如有国家或地方政府有关预结算政策性调整要求的，按文件规定执行</w:t>
      </w:r>
      <w:r>
        <w:rPr>
          <w:rFonts w:hint="eastAsia" w:ascii="宋体" w:hAnsi="宋体" w:eastAsia="宋体" w:cs="宋体"/>
          <w:b/>
          <w:color w:val="auto"/>
          <w:szCs w:val="21"/>
          <w:highlight w:val="none"/>
        </w:rPr>
        <w:t>。</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（3）其他价格方式：</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Pr>
        <w:pStyle w:val="5"/>
        <w:spacing w:line="440" w:lineRule="exact"/>
        <w:rPr>
          <w:rFonts w:hint="eastAsia" w:ascii="宋体" w:hAnsi="宋体" w:eastAsia="宋体" w:cs="宋体"/>
          <w:color w:val="auto"/>
          <w:sz w:val="21"/>
          <w:szCs w:val="21"/>
          <w:highlight w:val="none"/>
        </w:rPr>
      </w:pPr>
      <w:bookmarkStart w:id="666" w:name="_Toc373478398"/>
      <w:bookmarkStart w:id="667" w:name="_Toc407290468"/>
      <w:bookmarkStart w:id="668" w:name="_Toc408483350"/>
      <w:bookmarkStart w:id="669" w:name="_Toc389065316"/>
      <w:bookmarkStart w:id="670" w:name="_Toc373227751"/>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.2 预付款</w:t>
      </w:r>
    </w:p>
    <w:p>
      <w:pPr>
        <w:pStyle w:val="5"/>
        <w:spacing w:line="4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rPr>
        <w:t>.2.1 预付款的支付</w:t>
      </w:r>
    </w:p>
    <w:p>
      <w:pPr>
        <w:pStyle w:val="5"/>
        <w:spacing w:line="44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预付款支付比例或金额：</w:t>
      </w:r>
      <w:r>
        <w:rPr>
          <w:rFonts w:hint="eastAsia" w:ascii="宋体" w:hAnsi="宋体" w:eastAsia="宋体" w:cs="宋体"/>
          <w:b/>
          <w:bCs/>
          <w:color w:val="auto"/>
          <w:sz w:val="21"/>
          <w:szCs w:val="21"/>
          <w:highlight w:val="none"/>
          <w:u w:val="single"/>
          <w:lang w:val="en-US" w:eastAsia="zh-CN"/>
        </w:rPr>
        <w:t xml:space="preserve"> 按合同金额总价的20%支付预付款</w:t>
      </w:r>
      <w:r>
        <w:rPr>
          <w:rFonts w:hint="eastAsia" w:ascii="宋体" w:hAnsi="宋体" w:eastAsia="宋体" w:cs="宋体"/>
          <w:b/>
          <w:bCs/>
          <w:color w:val="auto"/>
          <w:sz w:val="21"/>
          <w:szCs w:val="21"/>
          <w:highlight w:val="none"/>
          <w:u w:val="single"/>
        </w:rPr>
        <w:t xml:space="preserve">  </w:t>
      </w:r>
      <w:r>
        <w:rPr>
          <w:rFonts w:hint="eastAsia" w:ascii="宋体" w:hAnsi="宋体" w:eastAsia="宋体" w:cs="宋体"/>
          <w:b/>
          <w:bCs/>
          <w:color w:val="auto"/>
          <w:sz w:val="21"/>
          <w:szCs w:val="21"/>
          <w:highlight w:val="none"/>
        </w:rPr>
        <w:t>。</w:t>
      </w:r>
    </w:p>
    <w:p>
      <w:pPr>
        <w:pStyle w:val="5"/>
        <w:spacing w:line="44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预付款支付期限：</w:t>
      </w:r>
      <w:r>
        <w:rPr>
          <w:rFonts w:hint="eastAsia" w:ascii="宋体" w:hAnsi="宋体" w:eastAsia="宋体" w:cs="宋体"/>
          <w:b/>
          <w:bCs/>
          <w:color w:val="auto"/>
          <w:sz w:val="21"/>
          <w:szCs w:val="21"/>
          <w:highlight w:val="none"/>
          <w:u w:val="single"/>
        </w:rPr>
        <w:t xml:space="preserve">   </w:t>
      </w:r>
      <w:r>
        <w:rPr>
          <w:rFonts w:hint="eastAsia" w:ascii="宋体" w:hAnsi="宋体" w:eastAsia="宋体" w:cs="宋体"/>
          <w:b/>
          <w:bCs/>
          <w:color w:val="auto"/>
          <w:sz w:val="21"/>
          <w:szCs w:val="21"/>
          <w:highlight w:val="none"/>
          <w:u w:val="single"/>
          <w:lang w:val="en-US" w:eastAsia="zh-CN"/>
        </w:rPr>
        <w:t>签订合同后一个月内</w:t>
      </w:r>
      <w:r>
        <w:rPr>
          <w:rFonts w:hint="eastAsia" w:ascii="宋体" w:hAnsi="宋体" w:eastAsia="宋体" w:cs="宋体"/>
          <w:b/>
          <w:bCs/>
          <w:color w:val="auto"/>
          <w:sz w:val="21"/>
          <w:szCs w:val="21"/>
          <w:highlight w:val="none"/>
          <w:u w:val="single"/>
        </w:rPr>
        <w:t xml:space="preserve">  </w:t>
      </w:r>
      <w:r>
        <w:rPr>
          <w:rFonts w:hint="eastAsia" w:ascii="宋体" w:hAnsi="宋体" w:eastAsia="宋体" w:cs="宋体"/>
          <w:b/>
          <w:bCs/>
          <w:color w:val="auto"/>
          <w:sz w:val="21"/>
          <w:szCs w:val="21"/>
          <w:highlight w:val="none"/>
        </w:rPr>
        <w:t>。</w:t>
      </w:r>
    </w:p>
    <w:p>
      <w:pPr>
        <w:pStyle w:val="5"/>
        <w:spacing w:line="44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预付款扣回的方式：</w:t>
      </w:r>
      <w:r>
        <w:rPr>
          <w:rFonts w:hint="eastAsia" w:ascii="宋体" w:hAnsi="宋体" w:eastAsia="宋体" w:cs="宋体"/>
          <w:b/>
          <w:bCs/>
          <w:color w:val="auto"/>
          <w:sz w:val="21"/>
          <w:szCs w:val="21"/>
          <w:highlight w:val="none"/>
          <w:u w:val="single"/>
          <w:lang w:val="en-US" w:eastAsia="zh-CN"/>
        </w:rPr>
        <w:t xml:space="preserve">  工程进度款中抵扣  </w:t>
      </w:r>
      <w:r>
        <w:rPr>
          <w:rFonts w:hint="eastAsia" w:ascii="宋体" w:hAnsi="宋体" w:eastAsia="宋体" w:cs="宋体"/>
          <w:b/>
          <w:bCs/>
          <w:color w:val="auto"/>
          <w:sz w:val="21"/>
          <w:szCs w:val="21"/>
          <w:highlight w:val="none"/>
        </w:rPr>
        <w:t>。</w:t>
      </w:r>
    </w:p>
    <w:p>
      <w:pPr>
        <w:pStyle w:val="5"/>
        <w:spacing w:line="4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rPr>
        <w:t>.2.2 预付款担保</w:t>
      </w:r>
    </w:p>
    <w:p>
      <w:pPr>
        <w:pStyle w:val="5"/>
        <w:spacing w:line="4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承包人提交预付款担保的期限：</w:t>
      </w:r>
      <w:r>
        <w:rPr>
          <w:rFonts w:hint="eastAsia" w:ascii="宋体" w:hAnsi="宋体" w:eastAsia="宋体" w:cs="宋体"/>
          <w:b w:val="0"/>
          <w:bCs w:val="0"/>
          <w:color w:val="auto"/>
          <w:sz w:val="21"/>
          <w:szCs w:val="21"/>
          <w:highlight w:val="none"/>
          <w:u w:val="single"/>
        </w:rPr>
        <w:t xml:space="preserve">  无   </w:t>
      </w:r>
      <w:r>
        <w:rPr>
          <w:rFonts w:hint="eastAsia" w:ascii="宋体" w:hAnsi="宋体" w:eastAsia="宋体" w:cs="宋体"/>
          <w:b w:val="0"/>
          <w:bCs w:val="0"/>
          <w:color w:val="auto"/>
          <w:sz w:val="21"/>
          <w:szCs w:val="21"/>
          <w:highlight w:val="none"/>
        </w:rPr>
        <w:t xml:space="preserve"> 。</w:t>
      </w:r>
    </w:p>
    <w:p>
      <w:pPr>
        <w:pStyle w:val="5"/>
        <w:spacing w:line="440" w:lineRule="exact"/>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rPr>
        <w:t>预付款担保的形式为：</w:t>
      </w:r>
      <w:r>
        <w:rPr>
          <w:rFonts w:hint="eastAsia" w:ascii="宋体" w:hAnsi="宋体" w:eastAsia="宋体" w:cs="宋体"/>
          <w:b w:val="0"/>
          <w:bCs w:val="0"/>
          <w:color w:val="auto"/>
          <w:sz w:val="21"/>
          <w:szCs w:val="21"/>
          <w:highlight w:val="none"/>
          <w:u w:val="single"/>
        </w:rPr>
        <w:t xml:space="preserve">   无   </w:t>
      </w:r>
      <w:r>
        <w:rPr>
          <w:rFonts w:hint="eastAsia" w:ascii="宋体" w:hAnsi="宋体" w:eastAsia="宋体" w:cs="宋体"/>
          <w:b w:val="0"/>
          <w:bCs w:val="0"/>
          <w:color w:val="auto"/>
          <w:sz w:val="21"/>
          <w:szCs w:val="21"/>
          <w:highlight w:val="none"/>
        </w:rPr>
        <w:t>。</w:t>
      </w:r>
    </w:p>
    <w:p>
      <w:pPr>
        <w:pStyle w:val="5"/>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 xml:space="preserve"> 计量</w:t>
      </w:r>
      <w:bookmarkEnd w:id="666"/>
      <w:bookmarkEnd w:id="667"/>
      <w:bookmarkEnd w:id="668"/>
      <w:bookmarkEnd w:id="669"/>
      <w:bookmarkEnd w:id="670"/>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.1 计量原则</w:t>
      </w:r>
    </w:p>
    <w:p>
      <w:pPr>
        <w:spacing w:line="440" w:lineRule="exact"/>
        <w:ind w:firstLine="420" w:firstLineChars="200"/>
        <w:jc w:val="left"/>
        <w:rPr>
          <w:rFonts w:hint="eastAsia" w:ascii="宋体" w:hAnsi="宋体" w:eastAsia="宋体" w:cs="宋体"/>
          <w:b w:val="0"/>
          <w:bCs/>
          <w:color w:val="auto"/>
          <w:szCs w:val="21"/>
          <w:highlight w:val="none"/>
        </w:rPr>
      </w:pPr>
      <w:r>
        <w:rPr>
          <w:rFonts w:hint="eastAsia" w:ascii="宋体" w:hAnsi="宋体" w:eastAsia="宋体" w:cs="宋体"/>
          <w:color w:val="auto"/>
          <w:szCs w:val="21"/>
          <w:highlight w:val="none"/>
        </w:rPr>
        <w:t>工程量计算规则：</w:t>
      </w:r>
      <w:r>
        <w:rPr>
          <w:rFonts w:hint="eastAsia" w:ascii="宋体" w:hAnsi="宋体" w:eastAsia="宋体" w:cs="宋体"/>
          <w:b w:val="0"/>
          <w:bCs/>
          <w:color w:val="auto"/>
          <w:szCs w:val="21"/>
          <w:highlight w:val="none"/>
          <w:u w:val="single"/>
        </w:rPr>
        <w:t>（1）广西水利厅、发改委、财政厅以“桂水基[2007]38号”文颁布的《广西壮族自治区水利水电工程设计概（预）算编制规定》和《广西壮族自治区水利水电建筑工程概算定额》、《广西壮族自治区水利水电设备安装工程概算定额》、《广西壮族自治区水利水电机械台时费定额》</w:t>
      </w:r>
      <w:r>
        <w:rPr>
          <w:rFonts w:hint="eastAsia" w:ascii="宋体" w:hAnsi="宋体" w:eastAsia="宋体" w:cs="宋体"/>
          <w:b w:val="0"/>
          <w:bCs/>
          <w:color w:val="auto"/>
          <w:szCs w:val="21"/>
          <w:highlight w:val="none"/>
          <w:u w:val="single"/>
          <w:lang w:eastAsia="zh-CN"/>
        </w:rPr>
        <w:t>；（2）广西水利厅“桂水基[2014]41号”文发布的《关于发布&lt;广西壮族自治区水利水电工程概（预）算补充定额的通知&gt;》；（3）国家计委、建设部“计价格[2002]10号”《工程勘察设计收费管理规定》；（4）国家发改委、建设部发布的《水利、水电、电力建设项目前期工作勘察收费暂行规定》（发改价格[2006]1352号）；（5）国家发改委、建设部关于印发《建设工程监理与相关服务收费管理规定》的通知（发改价格[2007]670号）；（6）国家发展与改革委员会计价格[2002]1980号文关于印发《招标代理服务收费管理暂行办法》的通知；（7）广西水利厅、发改委、财政厅以“桂水基[2016]第1号”文发布的《关于调整广西水利水电建设工程定额人工预算单价的通知》；（8）广西水利厅桂水基〔2016〕16号文发布的《水利厅关于营业税改征增值税后广西水利水电工程计价依据调整的通知》；（9）《水利工程营业税改征增值税计价依据调整办法》（水办基（2016）31号）；（10）《广西人力资源和社会保障厅降低社会保险费率》(桂人社规[2019]9号)文；（12）自治区水利厅关于调整水利工程增值税计算标准的通知（桂水建设〔2019〕4号）文；（13）《河池市建设工程造价信息》202</w:t>
      </w:r>
      <w:r>
        <w:rPr>
          <w:rFonts w:hint="eastAsia" w:ascii="宋体" w:hAnsi="宋体" w:eastAsia="宋体" w:cs="宋体"/>
          <w:b w:val="0"/>
          <w:bCs/>
          <w:color w:val="auto"/>
          <w:szCs w:val="21"/>
          <w:highlight w:val="none"/>
          <w:u w:val="single"/>
          <w:lang w:val="en-US" w:eastAsia="zh-CN"/>
        </w:rPr>
        <w:t>0</w:t>
      </w:r>
      <w:r>
        <w:rPr>
          <w:rFonts w:hint="eastAsia" w:ascii="宋体" w:hAnsi="宋体" w:eastAsia="宋体" w:cs="宋体"/>
          <w:b w:val="0"/>
          <w:bCs/>
          <w:color w:val="auto"/>
          <w:szCs w:val="21"/>
          <w:highlight w:val="none"/>
          <w:u w:val="single"/>
          <w:lang w:eastAsia="zh-CN"/>
        </w:rPr>
        <w:t>年第</w:t>
      </w:r>
      <w:r>
        <w:rPr>
          <w:rFonts w:hint="eastAsia" w:ascii="宋体" w:hAnsi="宋体" w:eastAsia="宋体" w:cs="宋体"/>
          <w:b w:val="0"/>
          <w:bCs/>
          <w:color w:val="auto"/>
          <w:szCs w:val="21"/>
          <w:highlight w:val="none"/>
          <w:u w:val="single"/>
          <w:lang w:val="en-US" w:eastAsia="zh-CN"/>
        </w:rPr>
        <w:t>6</w:t>
      </w:r>
      <w:r>
        <w:rPr>
          <w:rFonts w:hint="eastAsia" w:ascii="宋体" w:hAnsi="宋体" w:eastAsia="宋体" w:cs="宋体"/>
          <w:b w:val="0"/>
          <w:bCs/>
          <w:color w:val="auto"/>
          <w:szCs w:val="21"/>
          <w:highlight w:val="none"/>
          <w:u w:val="single"/>
          <w:lang w:eastAsia="zh-CN"/>
        </w:rPr>
        <w:t>期、2021年第2期。</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.2 计量周期</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关于计量周期的约定：</w:t>
      </w:r>
      <w:r>
        <w:rPr>
          <w:rFonts w:hint="eastAsia" w:ascii="宋体" w:hAnsi="宋体" w:eastAsia="宋体" w:cs="宋体"/>
          <w:b/>
          <w:color w:val="auto"/>
          <w:szCs w:val="21"/>
          <w:highlight w:val="none"/>
          <w:u w:val="single"/>
        </w:rPr>
        <w:t>每月25日前</w:t>
      </w:r>
      <w:r>
        <w:rPr>
          <w:rFonts w:hint="eastAsia" w:ascii="宋体" w:hAnsi="宋体" w:eastAsia="宋体" w:cs="宋体"/>
          <w:color w:val="auto"/>
          <w:szCs w:val="21"/>
          <w:highlight w:val="none"/>
        </w:rPr>
        <w:t>。</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.3 单价合同的计量</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关于单价合同计量的约定：</w:t>
      </w:r>
    </w:p>
    <w:p>
      <w:pPr>
        <w:spacing w:line="440" w:lineRule="exact"/>
        <w:ind w:firstLine="441" w:firstLineChars="21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工程量清单所列的工程量，不能作为承包人按合同履行其责任依据，实际施工中发生的工程量增加或减少并不影响承包人履行合同的责任，工程结算以完成的实际工程量为准。</w:t>
      </w:r>
    </w:p>
    <w:p>
      <w:pPr>
        <w:spacing w:line="440" w:lineRule="exact"/>
        <w:ind w:firstLine="441" w:firstLineChars="21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除另有规定外，工程师应按照合同通过计量来核实确定已完成的工程量和价款，承包人应得到该价款扣除保留金后的金额。当工程师要对已完工的工程量进行计量时，应适时地通知承包人参加。</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.4 总价合同的计量</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关于总价合同计量的约定：除工程变更外，原图纸范围内的工程量不得按实计量。进度款按支付分解表支付，按通用条款第</w:t>
      </w:r>
      <w:r>
        <w:rPr>
          <w:rFonts w:hint="eastAsia" w:ascii="宋体" w:hAnsi="宋体" w:eastAsia="宋体" w:cs="宋体"/>
          <w:color w:val="auto"/>
          <w:kern w:val="0"/>
          <w:szCs w:val="21"/>
          <w:highlight w:val="none"/>
        </w:rPr>
        <w:t>12.3.4</w:t>
      </w:r>
      <w:r>
        <w:rPr>
          <w:rFonts w:hint="eastAsia" w:ascii="宋体" w:hAnsi="宋体" w:eastAsia="宋体" w:cs="宋体"/>
          <w:color w:val="auto"/>
          <w:szCs w:val="21"/>
          <w:highlight w:val="none"/>
        </w:rPr>
        <w:t>项</w:t>
      </w:r>
      <w:r>
        <w:rPr>
          <w:rFonts w:hint="eastAsia" w:ascii="宋体" w:hAnsi="宋体" w:eastAsia="宋体" w:cs="宋体"/>
          <w:color w:val="auto"/>
          <w:kern w:val="0"/>
          <w:szCs w:val="21"/>
          <w:highlight w:val="none"/>
        </w:rPr>
        <w:t>〔总价合同的计量〕</w:t>
      </w:r>
      <w:r>
        <w:rPr>
          <w:rFonts w:hint="eastAsia" w:ascii="宋体" w:hAnsi="宋体" w:eastAsia="宋体" w:cs="宋体"/>
          <w:color w:val="auto"/>
          <w:szCs w:val="21"/>
          <w:highlight w:val="none"/>
        </w:rPr>
        <w:t>约定进行计量，但</w:t>
      </w:r>
      <w:r>
        <w:rPr>
          <w:rFonts w:hint="eastAsia" w:ascii="宋体" w:hAnsi="宋体" w:eastAsia="宋体" w:cs="宋体"/>
          <w:color w:val="auto"/>
          <w:kern w:val="0"/>
          <w:szCs w:val="21"/>
          <w:highlight w:val="none"/>
        </w:rPr>
        <w:t>合同价款按照支付分解表进行支付。</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其他价格形式合同的计量</w:t>
      </w:r>
    </w:p>
    <w:p>
      <w:pPr>
        <w:spacing w:line="44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其他价格形式的计量方式和程序：</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pStyle w:val="5"/>
        <w:spacing w:line="440" w:lineRule="exact"/>
        <w:rPr>
          <w:rFonts w:hint="eastAsia" w:ascii="宋体" w:hAnsi="宋体" w:eastAsia="宋体" w:cs="宋体"/>
          <w:color w:val="auto"/>
          <w:sz w:val="21"/>
          <w:szCs w:val="21"/>
          <w:highlight w:val="none"/>
        </w:rPr>
      </w:pPr>
      <w:bookmarkStart w:id="671" w:name="_Toc373227752"/>
      <w:bookmarkStart w:id="672" w:name="_Toc373478399"/>
      <w:bookmarkStart w:id="673" w:name="_Toc408483351"/>
      <w:bookmarkStart w:id="674" w:name="_Toc407290469"/>
      <w:bookmarkStart w:id="675" w:name="_Toc389065317"/>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工程进度款支付</w:t>
      </w:r>
      <w:bookmarkEnd w:id="671"/>
      <w:bookmarkEnd w:id="672"/>
      <w:bookmarkEnd w:id="673"/>
      <w:bookmarkEnd w:id="674"/>
      <w:bookmarkEnd w:id="675"/>
    </w:p>
    <w:p>
      <w:pPr>
        <w:spacing w:line="440" w:lineRule="exact"/>
        <w:ind w:firstLine="420" w:firstLineChars="200"/>
        <w:jc w:val="left"/>
        <w:rPr>
          <w:rFonts w:hint="eastAsia" w:ascii="宋体" w:hAnsi="宋体" w:eastAsia="宋体" w:cs="宋体"/>
          <w:bCs/>
          <w:color w:val="auto"/>
          <w:sz w:val="21"/>
          <w:szCs w:val="21"/>
          <w:highlight w:val="none"/>
          <w:u w:val="single"/>
        </w:rPr>
      </w:pPr>
      <w:bookmarkStart w:id="676" w:name="_Toc296944550"/>
      <w:bookmarkStart w:id="677" w:name="_Toc292559921"/>
      <w:bookmarkStart w:id="678" w:name="_Toc297123556"/>
      <w:bookmarkStart w:id="679" w:name="_Toc296891039"/>
      <w:bookmarkStart w:id="680" w:name="_Toc297216215"/>
      <w:bookmarkStart w:id="681" w:name="_Toc296347210"/>
      <w:bookmarkStart w:id="682" w:name="_Toc303539163"/>
      <w:bookmarkStart w:id="683" w:name="_Toc297048397"/>
      <w:bookmarkStart w:id="684" w:name="_Toc296346712"/>
      <w:bookmarkStart w:id="685" w:name="_Toc297120511"/>
      <w:bookmarkStart w:id="686" w:name="_Toc296503211"/>
      <w:bookmarkStart w:id="687" w:name="_Toc296891251"/>
      <w:bookmarkStart w:id="688" w:name="_Toc292559416"/>
      <w:bookmarkStart w:id="689" w:name="_Toc300935006"/>
      <w:r>
        <w:rPr>
          <w:rFonts w:hint="eastAsia" w:ascii="宋体" w:hAnsi="宋体" w:eastAsia="宋体" w:cs="宋体"/>
          <w:color w:val="auto"/>
          <w:szCs w:val="21"/>
          <w:highlight w:val="none"/>
        </w:rPr>
        <w:t>关于付款周期的约定：</w:t>
      </w:r>
      <w:r>
        <w:rPr>
          <w:rFonts w:hint="eastAsia" w:ascii="宋体" w:hAnsi="宋体" w:eastAsia="宋体" w:cs="宋体"/>
          <w:b/>
          <w:bCs/>
          <w:color w:val="auto"/>
          <w:sz w:val="21"/>
          <w:szCs w:val="21"/>
          <w:highlight w:val="none"/>
          <w:u w:val="single"/>
        </w:rPr>
        <w:t>工程款按工程完成量支付，承包方完成工程量 30%</w:t>
      </w:r>
      <w:r>
        <w:rPr>
          <w:rFonts w:hint="eastAsia" w:ascii="宋体" w:hAnsi="宋体" w:eastAsia="宋体" w:cs="宋体"/>
          <w:b/>
          <w:bCs/>
          <w:color w:val="auto"/>
          <w:sz w:val="21"/>
          <w:szCs w:val="21"/>
          <w:highlight w:val="none"/>
          <w:u w:val="single"/>
          <w:lang w:val="en-US" w:eastAsia="zh-CN"/>
        </w:rPr>
        <w:t>后</w:t>
      </w:r>
      <w:r>
        <w:rPr>
          <w:rFonts w:hint="eastAsia" w:ascii="宋体" w:hAnsi="宋体" w:eastAsia="宋体" w:cs="宋体"/>
          <w:b/>
          <w:bCs/>
          <w:color w:val="auto"/>
          <w:sz w:val="21"/>
          <w:szCs w:val="21"/>
          <w:highlight w:val="none"/>
          <w:u w:val="single"/>
        </w:rPr>
        <w:t>，</w:t>
      </w:r>
      <w:r>
        <w:rPr>
          <w:rFonts w:hint="eastAsia" w:ascii="宋体" w:hAnsi="宋体" w:eastAsia="宋体" w:cs="宋体"/>
          <w:b/>
          <w:bCs/>
          <w:color w:val="auto"/>
          <w:sz w:val="21"/>
          <w:szCs w:val="21"/>
          <w:highlight w:val="none"/>
          <w:u w:val="single"/>
          <w:lang w:val="en-US" w:eastAsia="zh-CN"/>
        </w:rPr>
        <w:t>在工程完工前，</w:t>
      </w:r>
      <w:r>
        <w:rPr>
          <w:rFonts w:hint="eastAsia" w:ascii="宋体" w:hAnsi="宋体" w:eastAsia="宋体" w:cs="宋体"/>
          <w:b/>
          <w:bCs/>
          <w:color w:val="auto"/>
          <w:sz w:val="21"/>
          <w:szCs w:val="21"/>
          <w:highlight w:val="none"/>
          <w:u w:val="single"/>
        </w:rPr>
        <w:t>发包方</w:t>
      </w:r>
      <w:r>
        <w:rPr>
          <w:rFonts w:hint="eastAsia" w:ascii="宋体" w:hAnsi="宋体" w:eastAsia="宋体" w:cs="宋体"/>
          <w:b/>
          <w:bCs/>
          <w:color w:val="auto"/>
          <w:sz w:val="21"/>
          <w:szCs w:val="21"/>
          <w:highlight w:val="none"/>
          <w:u w:val="single"/>
          <w:lang w:val="en-US" w:eastAsia="zh-CN"/>
        </w:rPr>
        <w:t>可</w:t>
      </w:r>
      <w:r>
        <w:rPr>
          <w:rFonts w:hint="eastAsia" w:ascii="宋体" w:hAnsi="宋体" w:eastAsia="宋体" w:cs="宋体"/>
          <w:b/>
          <w:bCs/>
          <w:color w:val="auto"/>
          <w:sz w:val="21"/>
          <w:szCs w:val="21"/>
          <w:highlight w:val="none"/>
          <w:u w:val="single"/>
        </w:rPr>
        <w:t>按承包方</w:t>
      </w:r>
      <w:r>
        <w:rPr>
          <w:rFonts w:hint="eastAsia" w:ascii="宋体" w:hAnsi="宋体" w:eastAsia="宋体" w:cs="宋体"/>
          <w:b/>
          <w:bCs/>
          <w:color w:val="auto"/>
          <w:sz w:val="21"/>
          <w:szCs w:val="21"/>
          <w:highlight w:val="none"/>
          <w:u w:val="single"/>
          <w:lang w:val="en-US" w:eastAsia="zh-CN"/>
        </w:rPr>
        <w:t>实际</w:t>
      </w:r>
      <w:r>
        <w:rPr>
          <w:rFonts w:hint="eastAsia" w:ascii="宋体" w:hAnsi="宋体" w:eastAsia="宋体" w:cs="宋体"/>
          <w:b/>
          <w:bCs/>
          <w:color w:val="auto"/>
          <w:sz w:val="21"/>
          <w:szCs w:val="21"/>
          <w:highlight w:val="none"/>
          <w:u w:val="single"/>
        </w:rPr>
        <w:t>完成工程量</w:t>
      </w:r>
      <w:r>
        <w:rPr>
          <w:rFonts w:hint="eastAsia" w:ascii="宋体" w:hAnsi="宋体" w:eastAsia="宋体" w:cs="宋体"/>
          <w:b/>
          <w:bCs/>
          <w:color w:val="auto"/>
          <w:sz w:val="21"/>
          <w:szCs w:val="21"/>
          <w:highlight w:val="none"/>
          <w:u w:val="single"/>
          <w:lang w:val="en-US" w:eastAsia="zh-CN"/>
        </w:rPr>
        <w:t>拨付工程进度款，拨付的工程进度款不低于工程价款的60%、不高于工程价款的90%（第一次工程进度款中需抵扣预付款）</w:t>
      </w:r>
      <w:r>
        <w:rPr>
          <w:rFonts w:hint="eastAsia" w:ascii="宋体" w:hAnsi="宋体" w:eastAsia="宋体" w:cs="宋体"/>
          <w:b/>
          <w:bCs/>
          <w:color w:val="auto"/>
          <w:sz w:val="21"/>
          <w:szCs w:val="21"/>
          <w:highlight w:val="none"/>
          <w:u w:val="single"/>
        </w:rPr>
        <w:t>；工程完工经验收合格，结算经相关部门审核并审计后，按审计结算总价的97%支付工程款；发包人按工程价款结算总额预留3%</w:t>
      </w:r>
      <w:r>
        <w:rPr>
          <w:rFonts w:hint="eastAsia" w:ascii="宋体" w:hAnsi="宋体" w:eastAsia="宋体" w:cs="宋体"/>
          <w:b/>
          <w:bCs/>
          <w:color w:val="auto"/>
          <w:sz w:val="21"/>
          <w:szCs w:val="21"/>
          <w:highlight w:val="none"/>
          <w:u w:val="single"/>
          <w:lang w:val="en-US" w:eastAsia="zh-CN"/>
        </w:rPr>
        <w:t>作为</w:t>
      </w:r>
      <w:r>
        <w:rPr>
          <w:rFonts w:hint="eastAsia" w:ascii="宋体" w:hAnsi="宋体" w:eastAsia="宋体" w:cs="宋体"/>
          <w:b/>
          <w:bCs/>
          <w:color w:val="auto"/>
          <w:sz w:val="21"/>
          <w:szCs w:val="21"/>
          <w:highlight w:val="none"/>
          <w:u w:val="single"/>
        </w:rPr>
        <w:t>工程质量保修金(工程保修金无息)，待工程质量保修期满后返还</w:t>
      </w:r>
      <w:r>
        <w:rPr>
          <w:rFonts w:hint="eastAsia" w:ascii="宋体" w:hAnsi="宋体" w:eastAsia="宋体" w:cs="宋体"/>
          <w:bCs/>
          <w:color w:val="auto"/>
          <w:sz w:val="21"/>
          <w:szCs w:val="21"/>
          <w:highlight w:val="none"/>
          <w:u w:val="single"/>
        </w:rPr>
        <w:t>。</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.2 进度付款申请单的编制</w:t>
      </w:r>
    </w:p>
    <w:p>
      <w:pPr>
        <w:spacing w:line="44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关于进度付款申请单编制的约定：</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 xml:space="preserve">承包人依照完成工程量编制预算经监理单位审查后送发包人确认 </w:t>
      </w:r>
      <w:r>
        <w:rPr>
          <w:rFonts w:hint="eastAsia" w:ascii="宋体" w:hAnsi="宋体" w:eastAsia="宋体" w:cs="宋体"/>
          <w:color w:val="auto"/>
          <w:szCs w:val="21"/>
          <w:highlight w:val="none"/>
        </w:rPr>
        <w:t>。</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.3 进度付款申请单的提交</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（1）单价合同进度付款申请单提交的约定：</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每月25日前提交，预算清单需附盖章承包人单位公章及其造价师或造价员签字盖章的原件</w:t>
      </w:r>
      <w:r>
        <w:rPr>
          <w:rFonts w:hint="eastAsia" w:ascii="宋体" w:hAnsi="宋体" w:eastAsia="宋体" w:cs="宋体"/>
          <w:color w:val="auto"/>
          <w:szCs w:val="21"/>
          <w:highlight w:val="none"/>
        </w:rPr>
        <w:t>。</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（2）总价合同进度付款申请单提交的约定：</w:t>
      </w:r>
      <w:r>
        <w:rPr>
          <w:rFonts w:hint="eastAsia" w:ascii="宋体" w:hAnsi="宋体" w:eastAsia="宋体" w:cs="宋体"/>
          <w:b/>
          <w:color w:val="auto"/>
          <w:szCs w:val="21"/>
          <w:highlight w:val="none"/>
          <w:u w:val="single"/>
        </w:rPr>
        <w:t xml:space="preserve"> 每月25日前提交，预算清单需附盖章承包人单位公章及其造价师或造价员签字盖章的原件</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4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（3）其他价格形式合同进度付款申请单提交的约定：</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.4 进度款审核和支付</w:t>
      </w:r>
    </w:p>
    <w:p>
      <w:pPr>
        <w:spacing w:line="44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（1）监理人审查并报送发包人的期限：</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 xml:space="preserve">收到申请之日起7天内 </w:t>
      </w:r>
      <w:r>
        <w:rPr>
          <w:rFonts w:hint="eastAsia" w:ascii="宋体" w:hAnsi="宋体" w:eastAsia="宋体" w:cs="宋体"/>
          <w:color w:val="auto"/>
          <w:szCs w:val="21"/>
          <w:highlight w:val="none"/>
        </w:rPr>
        <w:t>。</w:t>
      </w:r>
    </w:p>
    <w:p>
      <w:pPr>
        <w:spacing w:line="44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发包人完成审批并签发进度款支付证书的期限：</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收到申请之日起7天内</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4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（2）发包人支付进度款的期限：</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 xml:space="preserve"> /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40" w:lineRule="exact"/>
        <w:ind w:firstLine="525" w:firstLineChars="25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发包人逾期支付进度款的违约金的计算方式：</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40" w:lineRule="exact"/>
        <w:ind w:firstLine="525" w:firstLineChars="25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进度款支付方式：</w:t>
      </w:r>
      <w:r>
        <w:rPr>
          <w:rFonts w:hint="eastAsia" w:ascii="宋体" w:hAnsi="宋体" w:eastAsia="宋体" w:cs="宋体"/>
          <w:color w:val="auto"/>
          <w:szCs w:val="21"/>
          <w:highlight w:val="none"/>
          <w:u w:val="single"/>
        </w:rPr>
        <w:t>银行转账</w:t>
      </w:r>
      <w:r>
        <w:rPr>
          <w:rFonts w:hint="eastAsia" w:ascii="宋体" w:hAnsi="宋体" w:eastAsia="宋体" w:cs="宋体"/>
          <w:color w:val="auto"/>
          <w:szCs w:val="21"/>
          <w:highlight w:val="none"/>
        </w:rPr>
        <w:t>。</w:t>
      </w:r>
    </w:p>
    <w:p>
      <w:pPr>
        <w:spacing w:line="440" w:lineRule="exact"/>
        <w:ind w:firstLine="525" w:firstLineChars="25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支付分解表的编制</w:t>
      </w:r>
    </w:p>
    <w:p>
      <w:pPr>
        <w:spacing w:line="440" w:lineRule="exact"/>
        <w:ind w:firstLine="525" w:firstLineChars="25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 总价合同支付分解表的编制与审批：</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40" w:lineRule="exact"/>
        <w:ind w:firstLine="525" w:firstLineChars="25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 单价合同的总价项目支付分解表的编制与审批：总价项目不采用支付分解表的方式计算，而按《建设工程工程量清单计价规范（GB50500-2013）广西壮族自治区实施细则》的规定执行。</w:t>
      </w:r>
    </w:p>
    <w:bookmarkEnd w:id="456"/>
    <w:p>
      <w:pPr>
        <w:pStyle w:val="4"/>
        <w:spacing w:before="0" w:after="0" w:line="440" w:lineRule="exact"/>
        <w:rPr>
          <w:rFonts w:hint="eastAsia" w:ascii="宋体" w:hAnsi="宋体" w:eastAsia="宋体" w:cs="宋体"/>
          <w:color w:val="auto"/>
          <w:sz w:val="21"/>
          <w:szCs w:val="21"/>
          <w:highlight w:val="none"/>
        </w:rPr>
      </w:pPr>
      <w:bookmarkStart w:id="690" w:name="_Toc351203645"/>
      <w:bookmarkStart w:id="691" w:name="_Toc408483352"/>
      <w:bookmarkStart w:id="692" w:name="_Toc389065318"/>
      <w:bookmarkStart w:id="693" w:name="_Toc407290470"/>
      <w:bookmarkStart w:id="694" w:name="_Toc373478400"/>
      <w:bookmarkStart w:id="695" w:name="_Toc373227753"/>
      <w:bookmarkStart w:id="696" w:name="_Toc312678053"/>
      <w:bookmarkStart w:id="697" w:name="_Toc292559424"/>
      <w:bookmarkStart w:id="698" w:name="_Toc297048405"/>
      <w:bookmarkStart w:id="699" w:name="_Toc297120519"/>
      <w:bookmarkStart w:id="700" w:name="_Toc300935015"/>
      <w:bookmarkStart w:id="701" w:name="_Toc296891259"/>
      <w:bookmarkStart w:id="702" w:name="_Toc296891047"/>
      <w:bookmarkStart w:id="703" w:name="_Toc297123564"/>
      <w:bookmarkStart w:id="704" w:name="_Toc296346720"/>
      <w:bookmarkStart w:id="705" w:name="_Toc297216223"/>
      <w:bookmarkStart w:id="706" w:name="_Toc296944558"/>
      <w:bookmarkStart w:id="707" w:name="_Toc304295593"/>
      <w:bookmarkStart w:id="708" w:name="_Toc296503219"/>
      <w:bookmarkStart w:id="709" w:name="_Toc296347218"/>
      <w:bookmarkStart w:id="710" w:name="_Toc292559929"/>
      <w:bookmarkStart w:id="711" w:name="_Toc303539172"/>
      <w:r>
        <w:rPr>
          <w:rFonts w:hint="eastAsia" w:ascii="宋体" w:hAnsi="宋体" w:eastAsia="宋体" w:cs="宋体"/>
          <w:color w:val="auto"/>
          <w:sz w:val="21"/>
          <w:szCs w:val="21"/>
          <w:highlight w:val="none"/>
        </w:rPr>
        <w:t>18. 验收和工程试车</w:t>
      </w:r>
      <w:bookmarkEnd w:id="690"/>
      <w:bookmarkEnd w:id="691"/>
      <w:bookmarkEnd w:id="692"/>
      <w:bookmarkEnd w:id="693"/>
      <w:bookmarkEnd w:id="694"/>
      <w:bookmarkEnd w:id="695"/>
    </w:p>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Pr>
        <w:pStyle w:val="5"/>
        <w:spacing w:line="440" w:lineRule="exact"/>
        <w:rPr>
          <w:rFonts w:hint="eastAsia" w:ascii="宋体" w:hAnsi="宋体" w:eastAsia="宋体" w:cs="宋体"/>
          <w:color w:val="auto"/>
          <w:sz w:val="21"/>
          <w:szCs w:val="21"/>
          <w:highlight w:val="none"/>
        </w:rPr>
      </w:pPr>
      <w:bookmarkStart w:id="712" w:name="_Toc373227754"/>
      <w:bookmarkStart w:id="713" w:name="_Toc408483353"/>
      <w:bookmarkStart w:id="714" w:name="_Toc407290471"/>
      <w:bookmarkStart w:id="715" w:name="_Toc389065319"/>
      <w:bookmarkStart w:id="716" w:name="_Toc373478401"/>
      <w:r>
        <w:rPr>
          <w:rFonts w:hint="eastAsia" w:ascii="宋体" w:hAnsi="宋体" w:eastAsia="宋体" w:cs="宋体"/>
          <w:color w:val="auto"/>
          <w:sz w:val="21"/>
          <w:szCs w:val="21"/>
          <w:highlight w:val="none"/>
        </w:rPr>
        <w:t>18.1 分部分项工程验收</w:t>
      </w:r>
      <w:bookmarkEnd w:id="712"/>
      <w:bookmarkEnd w:id="713"/>
      <w:bookmarkEnd w:id="714"/>
      <w:bookmarkEnd w:id="715"/>
      <w:bookmarkEnd w:id="716"/>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18.1.2监理人不能按时进行验收时，应提前</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 xml:space="preserve">24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小时提交书面延期要求。</w:t>
      </w:r>
    </w:p>
    <w:p>
      <w:pPr>
        <w:spacing w:line="440" w:lineRule="exact"/>
        <w:ind w:firstLine="420" w:firstLineChars="200"/>
        <w:jc w:val="left"/>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关于延期最长不得超过：</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48</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小时。</w:t>
      </w:r>
    </w:p>
    <w:p>
      <w:pPr>
        <w:pStyle w:val="5"/>
        <w:spacing w:line="440" w:lineRule="exact"/>
        <w:rPr>
          <w:rFonts w:hint="eastAsia" w:ascii="宋体" w:hAnsi="宋体" w:eastAsia="宋体" w:cs="宋体"/>
          <w:color w:val="auto"/>
          <w:sz w:val="21"/>
          <w:szCs w:val="21"/>
          <w:highlight w:val="none"/>
        </w:rPr>
      </w:pPr>
      <w:bookmarkStart w:id="717" w:name="_Toc373478402"/>
      <w:bookmarkStart w:id="718" w:name="_Toc389065320"/>
      <w:bookmarkStart w:id="719" w:name="_Toc373227755"/>
      <w:bookmarkStart w:id="720" w:name="_Toc408483354"/>
      <w:bookmarkStart w:id="721" w:name="_Toc407290472"/>
      <w:bookmarkStart w:id="722" w:name="_Toc297123565"/>
      <w:bookmarkStart w:id="723" w:name="_Toc300935016"/>
      <w:bookmarkStart w:id="724" w:name="_Toc296891051"/>
      <w:bookmarkStart w:id="725" w:name="_Toc303539173"/>
      <w:bookmarkStart w:id="726" w:name="_Toc292559428"/>
      <w:bookmarkStart w:id="727" w:name="_Toc292559933"/>
      <w:bookmarkStart w:id="728" w:name="_Toc297048409"/>
      <w:bookmarkStart w:id="729" w:name="_Toc296891263"/>
      <w:bookmarkStart w:id="730" w:name="_Toc296347222"/>
      <w:bookmarkStart w:id="731" w:name="_Toc296503223"/>
      <w:bookmarkStart w:id="732" w:name="_Toc297216224"/>
      <w:bookmarkStart w:id="733" w:name="_Toc296346724"/>
      <w:bookmarkStart w:id="734" w:name="_Toc312678056"/>
      <w:bookmarkStart w:id="735" w:name="_Toc304295596"/>
      <w:bookmarkStart w:id="736" w:name="_Toc296944562"/>
      <w:bookmarkStart w:id="737" w:name="_Toc297120523"/>
      <w:bookmarkStart w:id="738" w:name="_Toc267251476"/>
      <w:bookmarkStart w:id="739" w:name="_Toc267251473"/>
      <w:bookmarkStart w:id="740" w:name="_Toc267251470"/>
      <w:bookmarkStart w:id="741" w:name="_Toc267251474"/>
      <w:bookmarkStart w:id="742" w:name="_Toc267251471"/>
      <w:bookmarkStart w:id="743" w:name="_Toc267251472"/>
      <w:bookmarkStart w:id="744" w:name="_Toc267251475"/>
      <w:r>
        <w:rPr>
          <w:rFonts w:hint="eastAsia" w:ascii="宋体" w:hAnsi="宋体" w:eastAsia="宋体" w:cs="宋体"/>
          <w:color w:val="auto"/>
          <w:sz w:val="21"/>
          <w:szCs w:val="21"/>
          <w:highlight w:val="none"/>
        </w:rPr>
        <w:t>18.2 竣工验收</w:t>
      </w:r>
      <w:bookmarkEnd w:id="717"/>
      <w:bookmarkEnd w:id="718"/>
      <w:bookmarkEnd w:id="719"/>
      <w:bookmarkEnd w:id="720"/>
      <w:bookmarkEnd w:id="721"/>
    </w:p>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Pr>
        <w:spacing w:line="440" w:lineRule="exact"/>
        <w:ind w:firstLine="420" w:firstLineChars="200"/>
        <w:jc w:val="left"/>
        <w:rPr>
          <w:rFonts w:hint="eastAsia" w:ascii="宋体" w:hAnsi="宋体" w:eastAsia="宋体" w:cs="宋体"/>
          <w:color w:val="auto"/>
          <w:szCs w:val="21"/>
          <w:highlight w:val="none"/>
        </w:rPr>
      </w:pPr>
      <w:bookmarkStart w:id="745" w:name="_Toc280868704"/>
      <w:bookmarkStart w:id="746" w:name="_Toc280868705"/>
      <w:bookmarkStart w:id="747" w:name="_Toc280868706"/>
      <w:bookmarkStart w:id="748" w:name="_Toc280868707"/>
      <w:bookmarkStart w:id="749" w:name="_Toc280868708"/>
      <w:bookmarkStart w:id="750" w:name="_Toc280868709"/>
      <w:r>
        <w:rPr>
          <w:rFonts w:hint="eastAsia" w:ascii="宋体" w:hAnsi="宋体" w:eastAsia="宋体" w:cs="宋体"/>
          <w:color w:val="auto"/>
          <w:szCs w:val="21"/>
          <w:highlight w:val="none"/>
        </w:rPr>
        <w:t>18.2.1竣工验收条件</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（3）承包人负责整理和提交的竣工验收资料应当符合工程所在地建设行政主管部门和(或)城市建设档案管理机构有关施工资料的要求，具体内容包括：</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竣工图、工程质保资料、备案资料等</w:t>
      </w:r>
      <w:r>
        <w:rPr>
          <w:rFonts w:hint="eastAsia" w:ascii="宋体" w:hAnsi="宋体" w:eastAsia="宋体" w:cs="宋体"/>
          <w:color w:val="auto"/>
          <w:szCs w:val="21"/>
          <w:highlight w:val="none"/>
        </w:rPr>
        <w:t>。</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竣工验收资料的份数：</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 xml:space="preserve">3份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承包人提供竣工图的约定：</w:t>
      </w:r>
      <w:r>
        <w:rPr>
          <w:rFonts w:hint="eastAsia" w:ascii="宋体" w:hAnsi="宋体" w:eastAsia="宋体" w:cs="宋体"/>
          <w:bCs/>
          <w:color w:val="auto"/>
          <w:szCs w:val="21"/>
          <w:highlight w:val="none"/>
          <w:u w:val="single"/>
        </w:rPr>
        <w:t>竣工验收正式通过后5天（工程造价在500万元以下含500万元）、10天（工程造价在500万元至1000万元之间含1000万元）、15天（工程造价在1000万元以上），提供竣工图的数量分别为</w:t>
      </w:r>
      <w:r>
        <w:rPr>
          <w:rFonts w:hint="eastAsia" w:ascii="宋体" w:hAnsi="宋体" w:eastAsia="宋体" w:cs="宋体"/>
          <w:b/>
          <w:bCs/>
          <w:color w:val="auto"/>
          <w:szCs w:val="21"/>
          <w:highlight w:val="none"/>
          <w:u w:val="single"/>
        </w:rPr>
        <w:t>4套</w:t>
      </w:r>
      <w:r>
        <w:rPr>
          <w:rFonts w:hint="eastAsia" w:ascii="宋体" w:hAnsi="宋体" w:eastAsia="宋体" w:cs="宋体"/>
          <w:bCs/>
          <w:color w:val="auto"/>
          <w:szCs w:val="21"/>
          <w:highlight w:val="none"/>
          <w:u w:val="single"/>
        </w:rPr>
        <w:t>。</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18.2.2竣工验收程序</w:t>
      </w:r>
    </w:p>
    <w:bookmarkEnd w:id="745"/>
    <w:p>
      <w:pPr>
        <w:spacing w:line="44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kern w:val="0"/>
          <w:szCs w:val="21"/>
          <w:highlight w:val="none"/>
        </w:rPr>
        <w:t>关于竣工验收程序的约定：</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按通用合同条款执行</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40" w:lineRule="exact"/>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发包人不按照本项约定组织竣工验收、颁发工程接收证书的违约金的计算方法：</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 xml:space="preserve">按通用合同条款执行 </w:t>
      </w:r>
      <w:r>
        <w:rPr>
          <w:rFonts w:hint="eastAsia" w:ascii="宋体" w:hAnsi="宋体" w:eastAsia="宋体" w:cs="宋体"/>
          <w:color w:val="auto"/>
          <w:szCs w:val="21"/>
          <w:highlight w:val="none"/>
        </w:rPr>
        <w:t>。</w:t>
      </w:r>
    </w:p>
    <w:bookmarkEnd w:id="746"/>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18.2.5移交、接收全部与部分工程</w:t>
      </w:r>
    </w:p>
    <w:bookmarkEnd w:id="747"/>
    <w:p>
      <w:pPr>
        <w:spacing w:line="44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承包人向发包人移交工程的期限：</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工程通过竣工验收30天内</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4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kern w:val="0"/>
          <w:szCs w:val="21"/>
          <w:highlight w:val="none"/>
        </w:rPr>
        <w:t>发包人未按本合同约定接收全部或部分工程的，违约金的计算方法为：</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bookmarkEnd w:id="748"/>
    <w:p>
      <w:pPr>
        <w:spacing w:line="44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承包人未按时移交工程的，违约金的计算方法为：</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pStyle w:val="5"/>
        <w:spacing w:line="440" w:lineRule="exact"/>
        <w:rPr>
          <w:rFonts w:hint="eastAsia" w:ascii="宋体" w:hAnsi="宋体" w:eastAsia="宋体" w:cs="宋体"/>
          <w:color w:val="auto"/>
          <w:sz w:val="21"/>
          <w:szCs w:val="21"/>
          <w:highlight w:val="none"/>
        </w:rPr>
      </w:pPr>
      <w:bookmarkStart w:id="751" w:name="_Toc373227756"/>
      <w:bookmarkStart w:id="752" w:name="_Toc373478403"/>
      <w:bookmarkStart w:id="753" w:name="_Toc408483355"/>
      <w:bookmarkStart w:id="754" w:name="_Toc407290473"/>
      <w:bookmarkStart w:id="755" w:name="_Toc389065321"/>
      <w:r>
        <w:rPr>
          <w:rFonts w:hint="eastAsia" w:ascii="宋体" w:hAnsi="宋体" w:eastAsia="宋体" w:cs="宋体"/>
          <w:color w:val="auto"/>
          <w:sz w:val="21"/>
          <w:szCs w:val="21"/>
          <w:highlight w:val="none"/>
        </w:rPr>
        <w:t>18.3 工程试车</w:t>
      </w:r>
      <w:bookmarkEnd w:id="751"/>
      <w:bookmarkEnd w:id="752"/>
      <w:bookmarkEnd w:id="753"/>
      <w:bookmarkEnd w:id="754"/>
      <w:bookmarkEnd w:id="755"/>
    </w:p>
    <w:bookmarkEnd w:id="749"/>
    <w:p>
      <w:pPr>
        <w:spacing w:line="44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18.3.1 试车程序</w:t>
      </w:r>
    </w:p>
    <w:p>
      <w:pPr>
        <w:spacing w:line="44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kern w:val="0"/>
          <w:szCs w:val="21"/>
          <w:highlight w:val="none"/>
        </w:rPr>
        <w:t>工程试车内容：</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（双方约定）</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4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（1）单机无负荷试车费用由</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承包人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szCs w:val="21"/>
          <w:highlight w:val="none"/>
        </w:rPr>
        <w:t>承担；</w:t>
      </w:r>
    </w:p>
    <w:p>
      <w:pPr>
        <w:spacing w:line="44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（2）无负荷联动试车费用由</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承包人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szCs w:val="21"/>
          <w:highlight w:val="none"/>
        </w:rPr>
        <w:t>承担。</w:t>
      </w:r>
    </w:p>
    <w:p>
      <w:pPr>
        <w:spacing w:line="44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18.3.3 投料试车</w:t>
      </w:r>
    </w:p>
    <w:p>
      <w:pPr>
        <w:spacing w:line="44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kern w:val="0"/>
          <w:szCs w:val="21"/>
          <w:highlight w:val="none"/>
        </w:rPr>
        <w:t>关于投料试车相关事项的约定：</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（双方约定）</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pStyle w:val="5"/>
        <w:spacing w:line="440" w:lineRule="exact"/>
        <w:rPr>
          <w:rFonts w:hint="eastAsia" w:ascii="宋体" w:hAnsi="宋体" w:eastAsia="宋体" w:cs="宋体"/>
          <w:color w:val="auto"/>
          <w:sz w:val="21"/>
          <w:szCs w:val="21"/>
          <w:highlight w:val="none"/>
        </w:rPr>
      </w:pPr>
      <w:bookmarkStart w:id="756" w:name="_Toc408483356"/>
      <w:bookmarkStart w:id="757" w:name="_Toc389065322"/>
      <w:bookmarkStart w:id="758" w:name="_Toc373478404"/>
      <w:bookmarkStart w:id="759" w:name="_Toc407290474"/>
      <w:bookmarkStart w:id="760" w:name="_Toc373227757"/>
      <w:r>
        <w:rPr>
          <w:rFonts w:hint="eastAsia" w:ascii="宋体" w:hAnsi="宋体" w:eastAsia="宋体" w:cs="宋体"/>
          <w:color w:val="auto"/>
          <w:sz w:val="21"/>
          <w:szCs w:val="21"/>
          <w:highlight w:val="none"/>
        </w:rPr>
        <w:t>18.6 竣工退场</w:t>
      </w:r>
      <w:bookmarkEnd w:id="756"/>
      <w:bookmarkEnd w:id="757"/>
      <w:bookmarkEnd w:id="758"/>
      <w:bookmarkEnd w:id="759"/>
      <w:bookmarkEnd w:id="760"/>
    </w:p>
    <w:p>
      <w:pPr>
        <w:spacing w:line="44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18.6.1 竣工退场</w:t>
      </w:r>
    </w:p>
    <w:p>
      <w:pPr>
        <w:spacing w:line="44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承包人完成竣工退场的期限：</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工程通过竣工验收30天内</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szCs w:val="21"/>
          <w:highlight w:val="none"/>
        </w:rPr>
        <w:t>。</w:t>
      </w:r>
    </w:p>
    <w:p>
      <w:pPr>
        <w:pStyle w:val="4"/>
        <w:spacing w:before="0" w:after="0" w:line="440" w:lineRule="exact"/>
        <w:rPr>
          <w:rFonts w:hint="eastAsia" w:ascii="宋体" w:hAnsi="宋体" w:eastAsia="宋体" w:cs="宋体"/>
          <w:color w:val="auto"/>
          <w:sz w:val="21"/>
          <w:szCs w:val="21"/>
          <w:highlight w:val="none"/>
        </w:rPr>
      </w:pPr>
      <w:bookmarkStart w:id="761" w:name="_Toc351203646"/>
      <w:bookmarkStart w:id="762" w:name="_Toc373227758"/>
      <w:bookmarkStart w:id="763" w:name="_Toc408483357"/>
      <w:bookmarkStart w:id="764" w:name="_Toc389065323"/>
      <w:bookmarkStart w:id="765" w:name="_Toc373478405"/>
      <w:bookmarkStart w:id="766" w:name="_Toc407290475"/>
      <w:r>
        <w:rPr>
          <w:rFonts w:hint="eastAsia" w:ascii="宋体" w:hAnsi="宋体" w:eastAsia="宋体" w:cs="宋体"/>
          <w:color w:val="auto"/>
          <w:sz w:val="21"/>
          <w:szCs w:val="21"/>
          <w:highlight w:val="none"/>
        </w:rPr>
        <w:t>19. 竣工结算</w:t>
      </w:r>
      <w:bookmarkEnd w:id="761"/>
      <w:bookmarkEnd w:id="762"/>
      <w:bookmarkEnd w:id="763"/>
      <w:bookmarkEnd w:id="764"/>
      <w:bookmarkEnd w:id="765"/>
      <w:bookmarkEnd w:id="766"/>
    </w:p>
    <w:p>
      <w:pPr>
        <w:pStyle w:val="5"/>
        <w:spacing w:line="440" w:lineRule="exact"/>
        <w:rPr>
          <w:rFonts w:hint="eastAsia" w:ascii="宋体" w:hAnsi="宋体" w:eastAsia="宋体" w:cs="宋体"/>
          <w:color w:val="auto"/>
          <w:sz w:val="21"/>
          <w:szCs w:val="21"/>
          <w:highlight w:val="none"/>
        </w:rPr>
      </w:pPr>
      <w:bookmarkStart w:id="767" w:name="_Toc373478406"/>
      <w:bookmarkStart w:id="768" w:name="_Toc407290476"/>
      <w:bookmarkStart w:id="769" w:name="_Toc373227759"/>
      <w:bookmarkStart w:id="770" w:name="_Toc408483358"/>
      <w:bookmarkStart w:id="771" w:name="_Toc389065324"/>
      <w:r>
        <w:rPr>
          <w:rFonts w:hint="eastAsia" w:ascii="宋体" w:hAnsi="宋体" w:eastAsia="宋体" w:cs="宋体"/>
          <w:color w:val="auto"/>
          <w:sz w:val="21"/>
          <w:szCs w:val="21"/>
          <w:highlight w:val="none"/>
        </w:rPr>
        <w:t>19.1 竣工付款申请</w:t>
      </w:r>
      <w:bookmarkEnd w:id="767"/>
      <w:bookmarkEnd w:id="768"/>
      <w:bookmarkEnd w:id="769"/>
      <w:bookmarkEnd w:id="770"/>
      <w:bookmarkEnd w:id="771"/>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承包人提交竣工付款申请单的期限：</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工程通过竣工验收28天内</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4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竣工付款申请单应包括的内容：</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按通用合同条款执行</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pStyle w:val="5"/>
        <w:spacing w:line="440" w:lineRule="exact"/>
        <w:rPr>
          <w:rFonts w:hint="eastAsia" w:ascii="宋体" w:hAnsi="宋体" w:eastAsia="宋体" w:cs="宋体"/>
          <w:color w:val="auto"/>
          <w:sz w:val="21"/>
          <w:szCs w:val="21"/>
          <w:highlight w:val="none"/>
        </w:rPr>
      </w:pPr>
      <w:bookmarkStart w:id="772" w:name="_Toc373478407"/>
      <w:bookmarkStart w:id="773" w:name="_Toc373227760"/>
      <w:bookmarkStart w:id="774" w:name="_Toc408483359"/>
      <w:bookmarkStart w:id="775" w:name="_Toc389065325"/>
      <w:bookmarkStart w:id="776" w:name="_Toc407290477"/>
      <w:r>
        <w:rPr>
          <w:rFonts w:hint="eastAsia" w:ascii="宋体" w:hAnsi="宋体" w:eastAsia="宋体" w:cs="宋体"/>
          <w:color w:val="auto"/>
          <w:sz w:val="21"/>
          <w:szCs w:val="21"/>
          <w:highlight w:val="none"/>
        </w:rPr>
        <w:t>19.2 竣工结算审核</w:t>
      </w:r>
      <w:bookmarkEnd w:id="772"/>
      <w:bookmarkEnd w:id="773"/>
      <w:bookmarkEnd w:id="774"/>
      <w:bookmarkEnd w:id="775"/>
      <w:bookmarkEnd w:id="776"/>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发包人审批竣工付款申请单的期限：</w:t>
      </w:r>
    </w:p>
    <w:tbl>
      <w:tblPr>
        <w:tblStyle w:val="41"/>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440" w:lineRule="exact"/>
              <w:rPr>
                <w:rFonts w:hint="eastAsia" w:ascii="宋体" w:hAnsi="宋体" w:eastAsia="宋体" w:cs="宋体"/>
                <w:bCs/>
                <w:color w:val="auto"/>
                <w:szCs w:val="21"/>
                <w:highlight w:val="none"/>
              </w:rPr>
            </w:pPr>
          </w:p>
        </w:tc>
        <w:tc>
          <w:tcPr>
            <w:tcW w:w="2466" w:type="dxa"/>
            <w:vAlign w:val="center"/>
          </w:tcPr>
          <w:p>
            <w:pPr>
              <w:spacing w:line="440" w:lineRule="exact"/>
              <w:ind w:firstLine="27" w:firstLineChars="13"/>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工程竣工结算报告金额</w:t>
            </w:r>
          </w:p>
        </w:tc>
        <w:tc>
          <w:tcPr>
            <w:tcW w:w="5967" w:type="dxa"/>
            <w:vAlign w:val="center"/>
          </w:tcPr>
          <w:p>
            <w:pPr>
              <w:spacing w:line="440" w:lineRule="exact"/>
              <w:ind w:firstLine="441" w:firstLineChars="21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44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w:t>
            </w:r>
          </w:p>
        </w:tc>
        <w:tc>
          <w:tcPr>
            <w:tcW w:w="2466" w:type="dxa"/>
            <w:vAlign w:val="center"/>
          </w:tcPr>
          <w:p>
            <w:pPr>
              <w:spacing w:line="440" w:lineRule="exact"/>
              <w:ind w:firstLine="27" w:firstLineChars="13"/>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500万元以下</w:t>
            </w:r>
          </w:p>
        </w:tc>
        <w:tc>
          <w:tcPr>
            <w:tcW w:w="5967" w:type="dxa"/>
            <w:vAlign w:val="center"/>
          </w:tcPr>
          <w:p>
            <w:pPr>
              <w:spacing w:line="440" w:lineRule="exact"/>
              <w:ind w:firstLine="441" w:firstLineChars="21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从接到竣工结算报告和完整的竣工结算资料之日起20天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44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w:t>
            </w:r>
          </w:p>
        </w:tc>
        <w:tc>
          <w:tcPr>
            <w:tcW w:w="2466" w:type="dxa"/>
            <w:vAlign w:val="center"/>
          </w:tcPr>
          <w:p>
            <w:pPr>
              <w:spacing w:line="440" w:lineRule="exact"/>
              <w:ind w:firstLine="27" w:firstLineChars="13"/>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500万元-2000万元</w:t>
            </w:r>
          </w:p>
        </w:tc>
        <w:tc>
          <w:tcPr>
            <w:tcW w:w="5967" w:type="dxa"/>
            <w:vAlign w:val="center"/>
          </w:tcPr>
          <w:p>
            <w:pPr>
              <w:spacing w:line="440" w:lineRule="exact"/>
              <w:ind w:firstLine="441" w:firstLineChars="21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从接到竣工结算报告和完整的竣工结算资料之日起30天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44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w:t>
            </w:r>
          </w:p>
        </w:tc>
        <w:tc>
          <w:tcPr>
            <w:tcW w:w="2466" w:type="dxa"/>
            <w:vAlign w:val="center"/>
          </w:tcPr>
          <w:p>
            <w:pPr>
              <w:spacing w:line="440" w:lineRule="exact"/>
              <w:ind w:firstLine="27" w:firstLineChars="13"/>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2000万元-5000万元</w:t>
            </w:r>
          </w:p>
        </w:tc>
        <w:tc>
          <w:tcPr>
            <w:tcW w:w="5967" w:type="dxa"/>
            <w:vAlign w:val="center"/>
          </w:tcPr>
          <w:p>
            <w:pPr>
              <w:spacing w:line="440" w:lineRule="exact"/>
              <w:ind w:firstLine="441" w:firstLineChars="21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从接到竣工结算报告和完整的竣工结算资料之日起45天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44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w:t>
            </w:r>
          </w:p>
        </w:tc>
        <w:tc>
          <w:tcPr>
            <w:tcW w:w="2466" w:type="dxa"/>
            <w:vAlign w:val="center"/>
          </w:tcPr>
          <w:p>
            <w:pPr>
              <w:spacing w:line="440" w:lineRule="exact"/>
              <w:ind w:firstLine="27" w:firstLineChars="13"/>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5000万元以上</w:t>
            </w:r>
          </w:p>
        </w:tc>
        <w:tc>
          <w:tcPr>
            <w:tcW w:w="5967" w:type="dxa"/>
            <w:vAlign w:val="center"/>
          </w:tcPr>
          <w:p>
            <w:pPr>
              <w:spacing w:line="440" w:lineRule="exact"/>
              <w:ind w:firstLine="441" w:firstLineChars="21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从接到竣工结算报告和完整的竣工结算资料之日起60天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44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5</w:t>
            </w:r>
          </w:p>
        </w:tc>
        <w:tc>
          <w:tcPr>
            <w:tcW w:w="2466" w:type="dxa"/>
            <w:vAlign w:val="center"/>
          </w:tcPr>
          <w:p>
            <w:pPr>
              <w:spacing w:line="440" w:lineRule="exact"/>
              <w:ind w:firstLine="27" w:firstLineChars="1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需要审计部门审计后方可完成结算的投资项目</w:t>
            </w:r>
          </w:p>
        </w:tc>
        <w:tc>
          <w:tcPr>
            <w:tcW w:w="5967" w:type="dxa"/>
            <w:vAlign w:val="center"/>
          </w:tcPr>
          <w:p>
            <w:pPr>
              <w:spacing w:line="440" w:lineRule="exact"/>
              <w:ind w:firstLine="379" w:firstLineChars="210"/>
              <w:jc w:val="left"/>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特别注明：发包人应当从接到竣工结算报告和完整的竣工结算资料之日起14天内审查完成初步审查，20天内送审计部门进行审计结算；具体审计结算的期限以现行审计法律、法规约定的期限为准。</w:t>
            </w:r>
          </w:p>
        </w:tc>
      </w:tr>
    </w:tbl>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因承包人提供的结算资料不完整而需要补充或承包人不按时对账耽误时间时，审查时间应相应顺延</w:t>
      </w:r>
      <w:r>
        <w:rPr>
          <w:rFonts w:hint="eastAsia" w:ascii="宋体" w:hAnsi="宋体" w:eastAsia="宋体" w:cs="宋体"/>
          <w:color w:val="auto"/>
          <w:szCs w:val="21"/>
          <w:highlight w:val="none"/>
        </w:rPr>
        <w:t>。</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发包人完成竣工付款的期限：</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（双方约定）</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4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关于竣工付款证书异议部分复核的方式和程序：</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按通用合同条款执行</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pStyle w:val="5"/>
        <w:spacing w:line="440" w:lineRule="exact"/>
        <w:rPr>
          <w:rFonts w:hint="eastAsia" w:ascii="宋体" w:hAnsi="宋体" w:eastAsia="宋体" w:cs="宋体"/>
          <w:color w:val="auto"/>
          <w:sz w:val="21"/>
          <w:szCs w:val="21"/>
          <w:highlight w:val="none"/>
        </w:rPr>
      </w:pPr>
      <w:bookmarkStart w:id="777" w:name="_Toc389065326"/>
      <w:bookmarkStart w:id="778" w:name="_Toc373227761"/>
      <w:bookmarkStart w:id="779" w:name="_Toc407290478"/>
      <w:bookmarkStart w:id="780" w:name="_Toc373478408"/>
      <w:bookmarkStart w:id="781" w:name="_Toc408483360"/>
      <w:r>
        <w:rPr>
          <w:rFonts w:hint="eastAsia" w:ascii="宋体" w:hAnsi="宋体" w:eastAsia="宋体" w:cs="宋体"/>
          <w:color w:val="auto"/>
          <w:sz w:val="21"/>
          <w:szCs w:val="21"/>
          <w:highlight w:val="none"/>
        </w:rPr>
        <w:t>19.4 最终结清</w:t>
      </w:r>
      <w:bookmarkEnd w:id="777"/>
      <w:bookmarkEnd w:id="778"/>
      <w:bookmarkEnd w:id="779"/>
      <w:bookmarkEnd w:id="780"/>
      <w:bookmarkEnd w:id="781"/>
    </w:p>
    <w:p>
      <w:pPr>
        <w:spacing w:line="44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14.4.1 最终结清申请单</w:t>
      </w:r>
    </w:p>
    <w:p>
      <w:pPr>
        <w:spacing w:line="44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承包人提交最终结清申请单的份数：</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 xml:space="preserve">4份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承包人提交最终结算申请单的期限：</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工程通过竣工验收28天内</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14.4.2 最终结清证书和支付</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（1）发包人完成最终结清申请单的审批并颁发最终结清证书的期限：</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 xml:space="preserve">（双方约定） </w:t>
      </w:r>
      <w:r>
        <w:rPr>
          <w:rFonts w:hint="eastAsia" w:ascii="宋体" w:hAnsi="宋体" w:eastAsia="宋体" w:cs="宋体"/>
          <w:color w:val="auto"/>
          <w:szCs w:val="21"/>
          <w:highlight w:val="none"/>
        </w:rPr>
        <w:t>。</w:t>
      </w:r>
    </w:p>
    <w:p>
      <w:pPr>
        <w:spacing w:line="4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（2）发包人完成支付的期限：</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360" w:lineRule="auto"/>
        <w:rPr>
          <w:rFonts w:hint="eastAsia" w:ascii="宋体" w:hAnsi="宋体" w:eastAsia="宋体" w:cs="宋体"/>
          <w:color w:val="auto"/>
          <w:sz w:val="30"/>
          <w:szCs w:val="30"/>
          <w:highlight w:val="none"/>
        </w:rPr>
      </w:pPr>
      <w:r>
        <w:rPr>
          <w:rFonts w:hint="eastAsia" w:ascii="宋体" w:hAnsi="宋体" w:eastAsia="宋体" w:cs="宋体"/>
          <w:b/>
          <w:color w:val="auto"/>
          <w:szCs w:val="21"/>
          <w:highlight w:val="none"/>
        </w:rPr>
        <w:t>19.5 结算最终以</w:t>
      </w:r>
      <w:r>
        <w:rPr>
          <w:rFonts w:hint="eastAsia" w:ascii="宋体" w:hAnsi="宋体" w:eastAsia="宋体" w:cs="宋体"/>
          <w:b/>
          <w:color w:val="auto"/>
          <w:szCs w:val="21"/>
          <w:highlight w:val="none"/>
          <w:u w:val="single"/>
        </w:rPr>
        <w:t xml:space="preserve"> </w:t>
      </w:r>
      <w:r>
        <w:rPr>
          <w:rFonts w:hint="eastAsia" w:ascii="宋体" w:hAnsi="宋体" w:eastAsia="宋体" w:cs="宋体"/>
          <w:b/>
          <w:color w:val="auto"/>
          <w:szCs w:val="21"/>
          <w:highlight w:val="none"/>
          <w:u w:val="single"/>
          <w:lang w:eastAsia="zh-CN"/>
        </w:rPr>
        <w:t>河池市金城江区</w:t>
      </w:r>
      <w:r>
        <w:rPr>
          <w:rFonts w:hint="eastAsia" w:ascii="宋体" w:hAnsi="宋体" w:eastAsia="宋体" w:cs="宋体"/>
          <w:b/>
          <w:color w:val="auto"/>
          <w:szCs w:val="21"/>
          <w:highlight w:val="none"/>
          <w:u w:val="single"/>
          <w:lang w:val="en-US" w:eastAsia="zh-CN"/>
        </w:rPr>
        <w:t>财政局</w:t>
      </w:r>
      <w:r>
        <w:rPr>
          <w:rFonts w:hint="eastAsia" w:ascii="宋体" w:hAnsi="宋体" w:eastAsia="宋体" w:cs="宋体"/>
          <w:b/>
          <w:color w:val="auto"/>
          <w:szCs w:val="21"/>
          <w:highlight w:val="none"/>
          <w:u w:val="single"/>
        </w:rPr>
        <w:t>的审计结论作为工程结算的依据。</w:t>
      </w:r>
      <w:bookmarkEnd w:id="738"/>
      <w:bookmarkEnd w:id="739"/>
      <w:bookmarkEnd w:id="740"/>
      <w:bookmarkEnd w:id="741"/>
      <w:bookmarkEnd w:id="742"/>
      <w:bookmarkEnd w:id="743"/>
      <w:bookmarkEnd w:id="744"/>
      <w:bookmarkEnd w:id="750"/>
      <w:r>
        <w:rPr>
          <w:rFonts w:hint="eastAsia" w:ascii="宋体" w:hAnsi="宋体" w:eastAsia="宋体" w:cs="宋体"/>
          <w:color w:val="auto"/>
          <w:sz w:val="30"/>
          <w:szCs w:val="30"/>
          <w:highlight w:val="none"/>
        </w:rPr>
        <w:t xml:space="preserve">                                                                                                                                                                                                                                                                                                                                                                                                                                                                                    </w:t>
      </w:r>
      <w:bookmarkStart w:id="782" w:name="_Toc17766"/>
    </w:p>
    <w:p>
      <w:pPr>
        <w:jc w:val="center"/>
        <w:outlineLvl w:val="2"/>
        <w:rPr>
          <w:rFonts w:hint="eastAsia" w:ascii="宋体" w:hAnsi="宋体" w:eastAsia="宋体" w:cs="宋体"/>
          <w:b/>
          <w:bCs/>
          <w:color w:val="auto"/>
          <w:sz w:val="30"/>
          <w:szCs w:val="30"/>
          <w:highlight w:val="none"/>
        </w:rPr>
      </w:pPr>
    </w:p>
    <w:p>
      <w:pPr>
        <w:jc w:val="center"/>
        <w:outlineLvl w:val="2"/>
        <w:rPr>
          <w:rFonts w:hint="eastAsia" w:ascii="宋体" w:hAnsi="宋体" w:eastAsia="宋体" w:cs="宋体"/>
          <w:b/>
          <w:bCs/>
          <w:color w:val="auto"/>
          <w:sz w:val="30"/>
          <w:szCs w:val="30"/>
          <w:highlight w:val="none"/>
        </w:rPr>
      </w:pPr>
    </w:p>
    <w:p>
      <w:pPr>
        <w:jc w:val="center"/>
        <w:outlineLvl w:val="2"/>
        <w:rPr>
          <w:rFonts w:hint="eastAsia" w:ascii="宋体" w:hAnsi="宋体" w:eastAsia="宋体" w:cs="宋体"/>
          <w:b/>
          <w:bCs/>
          <w:color w:val="auto"/>
          <w:sz w:val="30"/>
          <w:szCs w:val="30"/>
          <w:highlight w:val="none"/>
        </w:rPr>
      </w:pPr>
    </w:p>
    <w:p>
      <w:pPr>
        <w:jc w:val="center"/>
        <w:outlineLvl w:val="2"/>
        <w:rPr>
          <w:rFonts w:hint="eastAsia" w:ascii="宋体" w:hAnsi="宋体" w:eastAsia="宋体" w:cs="宋体"/>
          <w:b/>
          <w:bCs/>
          <w:color w:val="auto"/>
          <w:sz w:val="30"/>
          <w:szCs w:val="30"/>
          <w:highlight w:val="none"/>
        </w:rPr>
      </w:pPr>
    </w:p>
    <w:p>
      <w:pPr>
        <w:jc w:val="center"/>
        <w:outlineLvl w:val="2"/>
        <w:rPr>
          <w:rFonts w:hint="eastAsia" w:ascii="宋体" w:hAnsi="宋体" w:eastAsia="宋体" w:cs="宋体"/>
          <w:b/>
          <w:bCs/>
          <w:color w:val="auto"/>
          <w:sz w:val="30"/>
          <w:szCs w:val="30"/>
          <w:highlight w:val="none"/>
        </w:rPr>
      </w:pPr>
    </w:p>
    <w:p>
      <w:pPr>
        <w:jc w:val="center"/>
        <w:outlineLvl w:val="2"/>
        <w:rPr>
          <w:rFonts w:hint="eastAsia" w:ascii="宋体" w:hAnsi="宋体" w:eastAsia="宋体" w:cs="宋体"/>
          <w:b/>
          <w:bCs/>
          <w:color w:val="auto"/>
          <w:sz w:val="30"/>
          <w:szCs w:val="30"/>
          <w:highlight w:val="none"/>
        </w:rPr>
      </w:pPr>
    </w:p>
    <w:p>
      <w:pPr>
        <w:jc w:val="center"/>
        <w:outlineLvl w:val="2"/>
        <w:rPr>
          <w:rFonts w:hint="eastAsia" w:ascii="宋体" w:hAnsi="宋体" w:eastAsia="宋体" w:cs="宋体"/>
          <w:b/>
          <w:bCs/>
          <w:color w:val="auto"/>
          <w:sz w:val="30"/>
          <w:szCs w:val="30"/>
          <w:highlight w:val="none"/>
        </w:rPr>
      </w:pPr>
    </w:p>
    <w:p>
      <w:pPr>
        <w:jc w:val="center"/>
        <w:outlineLvl w:val="2"/>
        <w:rPr>
          <w:rFonts w:hint="eastAsia" w:ascii="宋体" w:hAnsi="宋体" w:eastAsia="宋体" w:cs="宋体"/>
          <w:b/>
          <w:color w:val="auto"/>
          <w:sz w:val="28"/>
          <w:szCs w:val="28"/>
          <w:highlight w:val="none"/>
        </w:rPr>
      </w:pPr>
      <w:r>
        <w:rPr>
          <w:rFonts w:hint="eastAsia" w:ascii="宋体" w:hAnsi="宋体" w:eastAsia="宋体" w:cs="宋体"/>
          <w:b/>
          <w:bCs/>
          <w:color w:val="auto"/>
          <w:sz w:val="30"/>
          <w:szCs w:val="30"/>
          <w:highlight w:val="none"/>
        </w:rPr>
        <w:t>工程质量保修书</w:t>
      </w:r>
      <w:bookmarkEnd w:id="324"/>
      <w:bookmarkEnd w:id="325"/>
      <w:bookmarkEnd w:id="326"/>
      <w:bookmarkEnd w:id="327"/>
      <w:bookmarkEnd w:id="782"/>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发包人（全称）：</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承包人（全称）：</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发包人、承包人根据《中华人民共和国建筑法》、《建设工程质量管理条例》，经协商一致，对</w:t>
      </w:r>
      <w:r>
        <w:rPr>
          <w:rFonts w:hint="eastAsia" w:ascii="宋体" w:hAnsi="宋体" w:eastAsia="宋体" w:cs="宋体"/>
          <w:color w:val="auto"/>
          <w:szCs w:val="21"/>
          <w:highlight w:val="none"/>
          <w:u w:val="single"/>
        </w:rPr>
        <w:t xml:space="preserve">         （项目名称）        </w:t>
      </w:r>
      <w:r>
        <w:rPr>
          <w:rFonts w:hint="eastAsia" w:ascii="宋体" w:hAnsi="宋体" w:eastAsia="宋体" w:cs="宋体"/>
          <w:color w:val="auto"/>
          <w:szCs w:val="21"/>
          <w:highlight w:val="none"/>
        </w:rPr>
        <w:t>签订工程质量保修书。</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 工程质量保修范围和内容</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承包人在质量保修期内，按照有关法律、法规、规章规定和双方约定，承担本工程质量保修责任。</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质量保修范围包括：施工图纸全部内容（具体以图纸设计及财政预算评审确认工程量清单范围内的施工内容为准），以及双方约定的其他项目。具体保修的内容，双方约定如下：</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 质量保修期</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2.1 双方根据《建设工程质量管理条例》及有关规定，约定本工程的质量保修期如下：</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2.2 质量保修期自工程竣工验收合格之日起计算。</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 质量保修责任</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3.1 属于保修范围、内容的项目，承包人应当在接到保修通知之日起7日内派人保修。承包人不在约定期限内派人保修的，发包人可以委托他人修理。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3.2 发生紧急抢修事故的，承包人在接到事故通知后，应当立即到达事故现场抢修。</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3.3 对于涉及质量问题，应当按照相关的规范规定，立即向当地主管部门报告，采取措施；由原设计单位或者具有相应资质等级的设计单位提出保修方案，承包人实施保修。</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3.4 质量保修完成后，由发包人组织验收。</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 保修费用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4.1 保修费用由造成质量缺陷的责任方承担。</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4.2 本工程约定的质量保修金为施工结算价的</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%，保修金返还时无息。</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 其他</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5.1 双方约定的其他工程质量保修事项：</w:t>
      </w:r>
      <w:r>
        <w:rPr>
          <w:rFonts w:hint="eastAsia" w:ascii="宋体" w:hAnsi="宋体" w:eastAsia="宋体" w:cs="宋体"/>
          <w:color w:val="auto"/>
          <w:szCs w:val="21"/>
          <w:highlight w:val="none"/>
          <w:u w:val="single"/>
        </w:rPr>
        <w:t>保修期内，如发生属承包人责任的质量问题，按本保修书第3条第3.1款约定，发包人委托他人修理，其费用由发包人在质量保修金中扣除。超过保修金额的部分，承包人应当在接到缴款通知书之日起7日内付清，否则按应缴款额的5%/日计罚</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本工程质量保修书，由施工合同发包人、承包人双方在竣工验收前共同签署，作为施工合同附件，其有效期限至保修期满。</w:t>
      </w: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  包  人（公章）：                  承  包  人（公章）：</w:t>
      </w:r>
    </w:p>
    <w:p>
      <w:pPr>
        <w:spacing w:line="360" w:lineRule="auto"/>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法定代表人（签字）：                  法定代表人（签字）：</w:t>
      </w:r>
    </w:p>
    <w:p>
      <w:pPr>
        <w:spacing w:line="360" w:lineRule="auto"/>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日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720" w:lineRule="auto"/>
        <w:jc w:val="center"/>
        <w:outlineLvl w:val="2"/>
        <w:rPr>
          <w:rFonts w:hint="eastAsia" w:ascii="宋体" w:hAnsi="宋体" w:eastAsia="宋体" w:cs="宋体"/>
          <w:b/>
          <w:color w:val="auto"/>
          <w:sz w:val="28"/>
          <w:szCs w:val="28"/>
          <w:highlight w:val="none"/>
        </w:rPr>
      </w:pPr>
      <w:bookmarkStart w:id="783" w:name="_Toc397000939"/>
      <w:bookmarkStart w:id="784" w:name="_Toc9700"/>
      <w:bookmarkStart w:id="785" w:name="_Toc432163859"/>
      <w:bookmarkStart w:id="786" w:name="_Toc432157829"/>
      <w:r>
        <w:rPr>
          <w:rFonts w:hint="eastAsia" w:ascii="宋体" w:hAnsi="宋体" w:eastAsia="宋体" w:cs="宋体"/>
          <w:b/>
          <w:color w:val="auto"/>
          <w:sz w:val="28"/>
          <w:szCs w:val="28"/>
          <w:highlight w:val="none"/>
        </w:rPr>
        <w:t>第三节 合同附件格式</w:t>
      </w:r>
      <w:bookmarkEnd w:id="783"/>
      <w:bookmarkEnd w:id="784"/>
      <w:bookmarkEnd w:id="785"/>
      <w:bookmarkEnd w:id="786"/>
    </w:p>
    <w:p>
      <w:pPr>
        <w:rPr>
          <w:rFonts w:hint="eastAsia" w:ascii="宋体" w:hAnsi="宋体" w:eastAsia="宋体" w:cs="宋体"/>
          <w:color w:val="auto"/>
          <w:highlight w:val="none"/>
        </w:rPr>
      </w:pPr>
    </w:p>
    <w:p>
      <w:pPr>
        <w:spacing w:line="480" w:lineRule="auto"/>
        <w:outlineLvl w:val="3"/>
        <w:rPr>
          <w:rFonts w:hint="eastAsia" w:ascii="宋体" w:hAnsi="宋体" w:eastAsia="宋体" w:cs="宋体"/>
          <w:b/>
          <w:color w:val="auto"/>
          <w:sz w:val="24"/>
          <w:highlight w:val="none"/>
        </w:rPr>
      </w:pPr>
      <w:bookmarkStart w:id="787" w:name="_Toc397000940"/>
      <w:bookmarkStart w:id="788" w:name="_Toc432163860"/>
      <w:bookmarkStart w:id="789" w:name="_Toc16222"/>
      <w:bookmarkStart w:id="790" w:name="_Toc387947443"/>
      <w:bookmarkStart w:id="791" w:name="_Toc432157830"/>
      <w:r>
        <w:rPr>
          <w:rFonts w:hint="eastAsia" w:ascii="宋体" w:hAnsi="宋体" w:eastAsia="宋体" w:cs="宋体"/>
          <w:b/>
          <w:color w:val="auto"/>
          <w:sz w:val="24"/>
          <w:highlight w:val="none"/>
        </w:rPr>
        <w:t>附件1：廉政合同格式</w:t>
      </w:r>
      <w:bookmarkEnd w:id="787"/>
      <w:bookmarkEnd w:id="788"/>
      <w:bookmarkEnd w:id="789"/>
      <w:bookmarkEnd w:id="790"/>
      <w:bookmarkEnd w:id="791"/>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Cs w:val="21"/>
          <w:highlight w:val="none"/>
        </w:rPr>
        <w:t>根据有关工程建设、廉政建设的规定，为做好工程建设中的党风廉政建设，保证工程建设高效优质，保证建设资金的安全和有效使用以及投资效益，建设工程的项目法人</w:t>
      </w:r>
      <w:r>
        <w:rPr>
          <w:rFonts w:hint="eastAsia" w:ascii="宋体" w:hAnsi="宋体" w:eastAsia="宋体" w:cs="宋体"/>
          <w:color w:val="auto"/>
          <w:szCs w:val="21"/>
          <w:highlight w:val="none"/>
          <w:u w:val="single"/>
        </w:rPr>
        <w:t>（全称）</w:t>
      </w:r>
      <w:r>
        <w:rPr>
          <w:rFonts w:hint="eastAsia" w:ascii="宋体" w:hAnsi="宋体" w:eastAsia="宋体" w:cs="宋体"/>
          <w:color w:val="auto"/>
          <w:szCs w:val="21"/>
          <w:highlight w:val="none"/>
        </w:rPr>
        <w:t>（以下简称“甲方”）与施工单位</w:t>
      </w:r>
      <w:r>
        <w:rPr>
          <w:rFonts w:hint="eastAsia" w:ascii="宋体" w:hAnsi="宋体" w:eastAsia="宋体" w:cs="宋体"/>
          <w:color w:val="auto"/>
          <w:szCs w:val="21"/>
          <w:highlight w:val="none"/>
          <w:u w:val="single"/>
        </w:rPr>
        <w:t xml:space="preserve"> （全称） </w:t>
      </w:r>
      <w:r>
        <w:rPr>
          <w:rFonts w:hint="eastAsia" w:ascii="宋体" w:hAnsi="宋体" w:eastAsia="宋体" w:cs="宋体"/>
          <w:color w:val="auto"/>
          <w:szCs w:val="21"/>
          <w:highlight w:val="none"/>
        </w:rPr>
        <w:t>（以下简称“乙方”），特订立如下合同。</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 甲乙双方的权利和义务</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（1）严格遵守党的政策规定和国家有关法律法规及交通部的有关规定。</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（2）严格执行</w:t>
      </w:r>
      <w:r>
        <w:rPr>
          <w:rFonts w:hint="eastAsia" w:ascii="宋体" w:hAnsi="宋体" w:eastAsia="宋体" w:cs="宋体"/>
          <w:color w:val="auto"/>
          <w:szCs w:val="21"/>
          <w:highlight w:val="none"/>
          <w:u w:val="single"/>
        </w:rPr>
        <w:t xml:space="preserve">  （项目名称）  </w:t>
      </w:r>
      <w:r>
        <w:rPr>
          <w:rFonts w:hint="eastAsia" w:ascii="宋体" w:hAnsi="宋体" w:eastAsia="宋体" w:cs="宋体"/>
          <w:color w:val="auto"/>
          <w:szCs w:val="21"/>
          <w:highlight w:val="none"/>
        </w:rPr>
        <w:t>工程的合同文件，自觉按合同办事。</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（3）双方的业务活动坚持公开、公正、诚信、透明的原则（法律认定的商业秘密和合同文件另有规定除外），不得损害国家和集体利益，违反工程建设管理规章制度。</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（4）建立健全廉政制度，开展廉政教育，设立廉政告示牌，公布举报电话，监督并认真查处违法违纪行为。</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（5）发现对方在业务活动中有违反廉政规定的行为，有及时提醒对方纠正的权利和义务。</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（6）发现对方严重违反本合同义务条款的行为，有向其上级有关部门举报、建议给予处理并要求告知处理结果的权利。</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2. 甲方的义务</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（1）甲方及其工作人员不得索要或接受乙方的礼金、有价证券和贵重物品，不得在乙方报销任何应由甲方或甲方工作人员个人支付的费用等。</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（2）甲方工作人员不得参加乙方安排的超标准宴请和娱乐活动；不得接受乙方提供的通讯工具、交通工具和高档办公用品等。</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（3）甲方及其工作人员不得要求或者接受乙方为其住房装修、婚丧嫁聚活动、配偶子女的工作安排以及出国出境、旅游等提供方便等。</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（4）甲方工作人及其配偶、子女不得从事与甲方工程有关的材料设备供应、工程分包、劳务等经济活动等。</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（5）甲方及其工作人员不得以任何理由向乙方推荐分包单位或推销材料，不得要求乙方购买合同规定外的材料和设备。</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（6）甲方工作人员要秉公办事，不准营私舞弊，不准利用职权从事各种个人有偿中介活动和安排个人施工队伍。</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3. 乙方义务</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（1）乙方不得以任何理由向甲方及其工作人员行贿或馈赠礼金、有介证券、贵重礼品。</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（2）乙方不得以任何名义为甲方及其工作人员报销应由甲方单位或个人支付的任何费用。</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（3）乙方不得以任何理由安排甲方工作人员参加超标准宴请及娱乐活动。</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（4）乙方不得为甲方单位和个人购置或提供通讯工具、交通工具和高档办公用吕等。</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4. 违约责任</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（1）甲方及其工作人员违反本合同第一、二条，按管理权限，依据有关规定给予党纪、政纪或组织处理；涉嫌犯罪的，移交司法机关追究刑事责任；给乙方单位造成经济损失的，应予以赔偿。</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2）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5. 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6. 本合同有效期为甲乙双签署之日起至该工程项目竣工验收后止。</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7. 本合同作为</w:t>
      </w:r>
      <w:r>
        <w:rPr>
          <w:rFonts w:hint="eastAsia" w:ascii="宋体" w:hAnsi="宋体" w:eastAsia="宋体" w:cs="宋体"/>
          <w:color w:val="auto"/>
          <w:szCs w:val="21"/>
          <w:highlight w:val="none"/>
          <w:u w:val="single"/>
        </w:rPr>
        <w:t xml:space="preserve">  （项目名称）  </w:t>
      </w:r>
      <w:r>
        <w:rPr>
          <w:rFonts w:hint="eastAsia" w:ascii="宋体" w:hAnsi="宋体" w:eastAsia="宋体" w:cs="宋体"/>
          <w:color w:val="auto"/>
          <w:szCs w:val="21"/>
          <w:highlight w:val="none"/>
        </w:rPr>
        <w:t>工程施工合同的附件，与工程施工合同具有同等的法律效力，经合同双方签署立即生效。</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8. 本合同一式四份，由甲乙双方各执一份，送交甲乙双方的监督单位各一份。</w:t>
      </w:r>
    </w:p>
    <w:p>
      <w:pPr>
        <w:spacing w:line="360" w:lineRule="auto"/>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甲     方：（单位全称）（盖章）          乙      方：（单位全称）（盖章）</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                             法定代表人</w:t>
      </w:r>
    </w:p>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（或）其授权的代理人：  （职务）       （或）其授权的代理人：    （职务）   </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（签字）                                 （签字）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     址：                            地     址：</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     话：                            电     话：</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                            日     期：</w:t>
      </w:r>
    </w:p>
    <w:p>
      <w:pPr>
        <w:spacing w:line="360" w:lineRule="auto"/>
        <w:ind w:firstLine="420" w:firstLineChars="200"/>
        <w:rPr>
          <w:rFonts w:hint="eastAsia" w:ascii="宋体" w:hAnsi="宋体" w:eastAsia="宋体" w:cs="宋体"/>
          <w:color w:val="auto"/>
          <w:sz w:val="24"/>
          <w:highlight w:val="none"/>
        </w:rPr>
      </w:pPr>
      <w:r>
        <w:rPr>
          <w:rFonts w:hint="eastAsia" w:ascii="宋体" w:hAnsi="宋体" w:eastAsia="宋体" w:cs="宋体"/>
          <w:color w:val="auto"/>
          <w:szCs w:val="21"/>
          <w:highlight w:val="none"/>
        </w:rPr>
        <w:t xml:space="preserve">甲方监督单位：  （全称）（盖章）   </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乙方监督单位：  （全称）（盖章）   </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rPr>
          <w:rFonts w:hint="eastAsia" w:ascii="宋体" w:hAnsi="宋体" w:eastAsia="宋体" w:cs="宋体"/>
          <w:color w:val="auto"/>
          <w:highlight w:val="none"/>
        </w:rPr>
      </w:pPr>
      <w:bookmarkStart w:id="792" w:name="_Toc387947444"/>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480" w:lineRule="auto"/>
        <w:outlineLvl w:val="3"/>
        <w:rPr>
          <w:rFonts w:hint="eastAsia" w:ascii="宋体" w:hAnsi="宋体" w:eastAsia="宋体" w:cs="宋体"/>
          <w:b/>
          <w:color w:val="auto"/>
          <w:sz w:val="24"/>
          <w:highlight w:val="none"/>
        </w:rPr>
      </w:pPr>
      <w:bookmarkStart w:id="793" w:name="_Toc432157831"/>
      <w:bookmarkStart w:id="794" w:name="_Toc23363"/>
      <w:bookmarkStart w:id="795" w:name="_Toc397000941"/>
      <w:bookmarkStart w:id="796" w:name="_Toc432163861"/>
      <w:r>
        <w:rPr>
          <w:rFonts w:hint="eastAsia" w:ascii="宋体" w:hAnsi="宋体" w:eastAsia="宋体" w:cs="宋体"/>
          <w:b/>
          <w:color w:val="auto"/>
          <w:sz w:val="24"/>
          <w:highlight w:val="none"/>
        </w:rPr>
        <w:t>附件2：安全生产合同</w:t>
      </w:r>
      <w:bookmarkEnd w:id="792"/>
      <w:bookmarkEnd w:id="793"/>
      <w:bookmarkEnd w:id="794"/>
      <w:bookmarkEnd w:id="795"/>
      <w:bookmarkEnd w:id="796"/>
    </w:p>
    <w:p>
      <w:pPr>
        <w:rPr>
          <w:rFonts w:hint="eastAsia" w:ascii="宋体" w:hAnsi="宋体" w:eastAsia="宋体" w:cs="宋体"/>
          <w:color w:val="auto"/>
          <w:sz w:val="24"/>
          <w:highlight w:val="none"/>
        </w:rPr>
      </w:pP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Cs w:val="21"/>
          <w:highlight w:val="none"/>
        </w:rPr>
        <w:t>为在</w:t>
      </w:r>
      <w:r>
        <w:rPr>
          <w:rFonts w:hint="eastAsia" w:ascii="宋体" w:hAnsi="宋体" w:eastAsia="宋体" w:cs="宋体"/>
          <w:color w:val="auto"/>
          <w:szCs w:val="21"/>
          <w:highlight w:val="none"/>
          <w:u w:val="single"/>
        </w:rPr>
        <w:t xml:space="preserve">        （项目名称）        </w:t>
      </w:r>
      <w:r>
        <w:rPr>
          <w:rFonts w:hint="eastAsia" w:ascii="宋体" w:hAnsi="宋体" w:eastAsia="宋体" w:cs="宋体"/>
          <w:color w:val="auto"/>
          <w:szCs w:val="21"/>
          <w:highlight w:val="none"/>
        </w:rPr>
        <w:t>施工合同的实施过程中创造安全、高效的施工环境，切实搞好本项目的安全管理工作，本项目业主</w:t>
      </w:r>
      <w:r>
        <w:rPr>
          <w:rFonts w:hint="eastAsia" w:ascii="宋体" w:hAnsi="宋体" w:eastAsia="宋体" w:cs="宋体"/>
          <w:color w:val="auto"/>
          <w:szCs w:val="21"/>
          <w:highlight w:val="none"/>
          <w:u w:val="single"/>
        </w:rPr>
        <w:t xml:space="preserve">         （全称）         </w:t>
      </w:r>
      <w:r>
        <w:rPr>
          <w:rFonts w:hint="eastAsia" w:ascii="宋体" w:hAnsi="宋体" w:eastAsia="宋体" w:cs="宋体"/>
          <w:color w:val="auto"/>
          <w:szCs w:val="21"/>
          <w:highlight w:val="none"/>
        </w:rPr>
        <w:t>（以下简称“甲方”）与承包人</w:t>
      </w:r>
      <w:r>
        <w:rPr>
          <w:rFonts w:hint="eastAsia" w:ascii="宋体" w:hAnsi="宋体" w:eastAsia="宋体" w:cs="宋体"/>
          <w:color w:val="auto"/>
          <w:szCs w:val="21"/>
          <w:highlight w:val="none"/>
          <w:u w:val="single"/>
        </w:rPr>
        <w:t xml:space="preserve">     （全称）      </w:t>
      </w:r>
      <w:r>
        <w:rPr>
          <w:rFonts w:hint="eastAsia" w:ascii="宋体" w:hAnsi="宋体" w:eastAsia="宋体" w:cs="宋体"/>
          <w:color w:val="auto"/>
          <w:szCs w:val="21"/>
          <w:highlight w:val="none"/>
        </w:rPr>
        <w:t>（以下简称“乙方”）特此签订安全生产合同：</w:t>
      </w:r>
    </w:p>
    <w:p>
      <w:pPr>
        <w:spacing w:line="360" w:lineRule="auto"/>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b/>
          <w:color w:val="auto"/>
          <w:szCs w:val="21"/>
          <w:highlight w:val="none"/>
        </w:rPr>
        <w:t>一、甲方职责</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 严格遵守国家有关安全生产的法律法规，认真执行工程承包合同中的有关安全要求。</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2. 按照“安全第一、预防为主”和坚持“管生产必须管安全”的原则进行安全生产管理，做到生产与安全工作同时计划、布置、检查、总结和评比。</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3. 重要的安全设施必须坚持与主体工程“三同时”的原则，即：同时设计、审批，同时施工，同时验收，投入使用。</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4. 定期召开安全生产调度会，及时传达中央及地方有关安全生产的精神。</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5. 组织对乙方施工现场安全生产检查，监督乙方及时处理发现的各种安全隐患。</w:t>
      </w:r>
    </w:p>
    <w:p>
      <w:pPr>
        <w:spacing w:line="360" w:lineRule="auto"/>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b/>
          <w:color w:val="auto"/>
          <w:szCs w:val="21"/>
          <w:highlight w:val="none"/>
        </w:rPr>
        <w:t>二、乙方职责</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 严格遵守国家有关安全生产的法律法规、交通部颁发的有关安全生产的规定，认真执行工程承包合同中的有关安全要求。</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2. 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3. 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4. 乙方在任何时候都应采取各种合理的预防措施，防止其员工发生任何违法、违禁、暴力或妨碍治安的行为。</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5. 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项目经理必须承担管理责任。</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6. 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7. 操作人员上岗，必须按规定穿戴防护用品。施工负责人和安全检查员应随时检查劳动防护用品的穿戴情况，不按规定穿戴防护用品的人员不得上岗。</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8. 所有施工机具设备和高空作业的设备均应定期检查，并有安全员的签字记录，保证其经常处于完好状态；不合格的机具、设备和劳动保护用品严禁使用。</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9. 施工中采用新技术、新工艺、新设备、新材料时，必须制定相应的安全技术措施，施工现场必须具有相关的安全标志牌。</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10. 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spacing w:line="360" w:lineRule="auto"/>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b/>
          <w:color w:val="auto"/>
          <w:szCs w:val="21"/>
          <w:highlight w:val="none"/>
        </w:rPr>
        <w:t>三、违约责任</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如因甲方或乙方违约造成安全事故，将依法追究责任。</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本合同正本一式二份，副本八份，合同双方各执正本一份，副本四份。由双方法定代表人或其授权的代理人签署与加盖公章后生效，全部工程竣工验收后失效。</w:t>
      </w: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甲     方：（单位全称）（盖章）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 乙      方：（单位全称）（盖章）</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法定代表人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法定代表人</w:t>
      </w:r>
    </w:p>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（或）其授权的代理人：  （职务）            （或）其授权的代理人：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（职务）   </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（签字）                                           （签字）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地     址：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 地     址：</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     话：                               电     话：</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                               日     期：</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jc w:val="center"/>
        <w:rPr>
          <w:rFonts w:hint="eastAsia" w:ascii="宋体" w:hAnsi="宋体" w:eastAsia="宋体" w:cs="宋体"/>
          <w:b w:val="0"/>
          <w:bCs w:val="0"/>
          <w:color w:val="auto"/>
          <w:kern w:val="2"/>
          <w:sz w:val="21"/>
          <w:szCs w:val="24"/>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jc w:val="center"/>
        <w:rPr>
          <w:rFonts w:hint="eastAsia" w:ascii="宋体" w:hAnsi="宋体" w:eastAsia="宋体" w:cs="宋体"/>
          <w:color w:val="auto"/>
          <w:highlight w:val="none"/>
        </w:rPr>
      </w:pPr>
      <w:r>
        <w:rPr>
          <w:rFonts w:hint="eastAsia" w:ascii="宋体" w:hAnsi="宋体" w:eastAsia="宋体" w:cs="宋体"/>
          <w:color w:val="auto"/>
          <w:highlight w:val="none"/>
        </w:rPr>
        <w:t>第五章  工程量清单（另册发放）</w:t>
      </w:r>
      <w:bookmarkEnd w:id="313"/>
      <w:bookmarkEnd w:id="314"/>
    </w:p>
    <w:p>
      <w:pPr>
        <w:spacing w:line="72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投标报价说明</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 投标人的投标价，应是施工图所含全部工程的投标价，并以投标人在工程数量报价表中提出的综合单价或总价为根据。</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 投标人应认真填写工程数量报价表中所列的本合同各工程项目的综合单价和总价。投标人没有填入综合单价或总价的工程项目业主将不予支付，并认为该项目的价款已包括在工程数量报价表其他项目的综合单价或总价中。投标人在工程数量报价表中多报的项目或综合单价、总价</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将不予接受，严重者将视为不符合性投标，其投标将被拒绝。</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 投标人的投标价中应含的保险费按如下规定办理：</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3.1 工程一切险和第三方责任险由承包人自行投保，保险费由承包人承担。投保的范围与条件和保险费率由</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与承包人协商确定。上述保险费包含在承包人所报的工程数量报价表中的工程项目综合单价和总价中，不单独计量支付。</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3.2 承包人装备险和承包人职工的（人身）事故险由承包人自行投保，保险费由承包人承担并支付，并包含在所报的单价和总额价中，不单独报价。</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 承包人因承包本合同工程需缴纳的一切税费均由承包人承担，并包含在所报的综合单价和总价内。</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 投标价中承包人需要修建的临时工程及其临时占地租用费（含拆迁补偿），投标人在报价中自行考虑列入，并包含在工程数量报价表各项目的综合单价和总额价中，不再单独报价。</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 投标价应包括工程维护费、废弃物倾倒费等一切费用，并包含在工程数量报价表各项目的单价和总额价中，不再单独报价。</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 在合同实施期间，投标人填写的综合单价不予调整，劳务或影响工程施工成本的任何其他事项的价格不予调整。承包人在投标时应考虑价格上涨的风险，并计入工程数量报价表的各项目单价中。</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 承包人自行解决施工人员的临建宿舍建设和施工完毕后临时设施拆除及垃圾的清理等费用。</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 发现工程数量报价表中的数量与图纸中数量不一致时，应立即通知</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核查，除</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以补遗书予以更正外，应以工程数量报价表中数量为准。</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 工程量清单中的每一子目须填入综合单价或价格，且只允许有一个报价。</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 工程量清单中标价的综合单价或合价，应包括所需人工费、施工机械使用费、材料费、其他（运杂费、质检费（含桩基的无破损检测费）、安装费、缺陷修复费、保险费，以及合同明示或暗示的风险、责任和义务等），以及管理费、利润等。</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 工程量清单中投标人没有填入综合单价或合价的子目，其费用视为已分摊在工程量清单中其他相关项目的综合单价或合价之中。</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 投标价应包括安全文明施工费，并包含在工程数量报价表各项目的单价和总额价中，不再单独报价。</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14. 招标控制价及投标报价计算参考依据：</w:t>
      </w:r>
    </w:p>
    <w:p>
      <w:pPr>
        <w:spacing w:line="440" w:lineRule="exact"/>
        <w:ind w:firstLine="420" w:firstLineChars="200"/>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14.1 一标段至十五标段：</w:t>
      </w:r>
    </w:p>
    <w:p>
      <w:pPr>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广西水利厅、发改委、财政厅以“桂水基[2007]38号”文颁布的《广西壮族自治区水利水电工程设计概（预）算编制规定》和《广西壮族自治区水利水电建筑工程概算定额》、《广西壮族自治区水利水电设备安装工程概算定额》、《广西壮族自治区水利水电机械台时费定额》；（2）广西水利厅“桂水基[2014]41号”文发布的《关于发布&lt;广西壮族自治区水利水电工程概（预）算补充定额的通知&gt;》；（3）国家计委、建设部“计价格[2002]10号”《工程勘察设计收费管理规定》；（4）国家发改委、建设部发布的《水利、水电、电力建设项目前期工作勘察收费暂行规定》（发改价格[2006]1352号）；（5）国家发改委、建设部关于印发《建设工程监理与相关服务收费管理规定》的通知（发改价格[2007]670号）；（6）国家发展与改革委员会计价格[2002]1980号文关于印发《招标代理服务收费管理暂行办法》的通知；（7）广西水利厅、发改委、财政厅以“桂水基[2016]第1号”文发布的《关于调整广西水利水电建设工程定额人工预算单价的通知》；（8）广西水利厅桂水基〔2016〕16号文发布的《水利厅关于营业税改征增值税后广西水利水电工程计价依据调整的通知》；（9）《水利工程营业税改征增值税计价依据调整办法》（水办基（2016）31号）；（10）《广西人力资源和社会保障厅降低社会保险费率》(桂人社规[2019]9号)文；（12）自治区水利厅关于调整水利工程增值税计算标准的通知（桂水建设〔2019〕4号）文；（13）《河池市建设工程造价信息》2020年第6期、2021年第2期。</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15.1 本工程预算包干费：无。</w:t>
      </w:r>
    </w:p>
    <w:p>
      <w:pPr>
        <w:pStyle w:val="3"/>
        <w:jc w:val="both"/>
        <w:rPr>
          <w:rFonts w:hint="eastAsia" w:ascii="宋体" w:hAnsi="宋体" w:eastAsia="宋体" w:cs="宋体"/>
          <w:color w:val="auto"/>
          <w:highlight w:val="none"/>
        </w:rPr>
      </w:pPr>
      <w:bookmarkStart w:id="797" w:name="_Toc397000943"/>
      <w:r>
        <w:rPr>
          <w:rFonts w:hint="eastAsia" w:ascii="宋体" w:hAnsi="宋体" w:eastAsia="宋体" w:cs="宋体"/>
          <w:color w:val="auto"/>
          <w:highlight w:val="none"/>
        </w:rPr>
        <w:br w:type="page"/>
      </w:r>
      <w:bookmarkStart w:id="798" w:name="_Toc15347"/>
      <w:r>
        <w:rPr>
          <w:rFonts w:hint="eastAsia" w:ascii="宋体" w:hAnsi="宋体" w:eastAsia="宋体" w:cs="宋体"/>
          <w:color w:val="auto"/>
          <w:highlight w:val="none"/>
        </w:rPr>
        <w:t>第二卷</w:t>
      </w:r>
      <w:bookmarkEnd w:id="797"/>
      <w:bookmarkEnd w:id="798"/>
    </w:p>
    <w:p>
      <w:pPr>
        <w:pStyle w:val="3"/>
        <w:jc w:val="center"/>
        <w:rPr>
          <w:rFonts w:hint="eastAsia" w:ascii="宋体" w:hAnsi="宋体" w:eastAsia="宋体" w:cs="宋体"/>
          <w:color w:val="auto"/>
          <w:highlight w:val="none"/>
        </w:rPr>
      </w:pPr>
      <w:bookmarkStart w:id="799" w:name="_Toc397000944"/>
      <w:bookmarkStart w:id="800" w:name="_Toc22626"/>
      <w:r>
        <w:rPr>
          <w:rFonts w:hint="eastAsia" w:ascii="宋体" w:hAnsi="宋体" w:eastAsia="宋体" w:cs="宋体"/>
          <w:color w:val="auto"/>
          <w:highlight w:val="none"/>
        </w:rPr>
        <w:t>第六章  图纸（另册发放）</w:t>
      </w:r>
      <w:bookmarkEnd w:id="799"/>
      <w:bookmarkEnd w:id="800"/>
    </w:p>
    <w:p>
      <w:pPr>
        <w:pStyle w:val="3"/>
        <w:jc w:val="center"/>
        <w:rPr>
          <w:rFonts w:hint="eastAsia" w:ascii="宋体" w:hAnsi="宋体" w:eastAsia="宋体" w:cs="宋体"/>
          <w:color w:val="auto"/>
          <w:highlight w:val="none"/>
        </w:rPr>
      </w:pPr>
      <w:bookmarkStart w:id="801" w:name="_Toc397000945"/>
      <w:bookmarkStart w:id="802" w:name="_Toc26084"/>
      <w:r>
        <w:rPr>
          <w:rFonts w:hint="eastAsia" w:ascii="宋体" w:hAnsi="宋体" w:eastAsia="宋体" w:cs="宋体"/>
          <w:color w:val="auto"/>
          <w:highlight w:val="none"/>
        </w:rPr>
        <w:t>第三卷</w:t>
      </w:r>
      <w:bookmarkEnd w:id="801"/>
      <w:bookmarkEnd w:id="802"/>
    </w:p>
    <w:p>
      <w:pPr>
        <w:pStyle w:val="3"/>
        <w:jc w:val="center"/>
        <w:rPr>
          <w:rFonts w:hint="eastAsia" w:ascii="宋体" w:hAnsi="宋体" w:eastAsia="宋体" w:cs="宋体"/>
          <w:color w:val="auto"/>
          <w:highlight w:val="none"/>
        </w:rPr>
      </w:pPr>
      <w:bookmarkStart w:id="803" w:name="_Toc397000946"/>
      <w:bookmarkStart w:id="804" w:name="_Toc27743"/>
      <w:r>
        <w:rPr>
          <w:rFonts w:hint="eastAsia" w:ascii="宋体" w:hAnsi="宋体" w:eastAsia="宋体" w:cs="宋体"/>
          <w:color w:val="auto"/>
          <w:highlight w:val="none"/>
        </w:rPr>
        <w:t>第七章 技术标准和要求</w:t>
      </w:r>
      <w:bookmarkEnd w:id="803"/>
      <w:bookmarkEnd w:id="804"/>
    </w:p>
    <w:p>
      <w:pPr>
        <w:spacing w:line="360" w:lineRule="auto"/>
        <w:rPr>
          <w:rFonts w:hint="eastAsia" w:ascii="宋体" w:hAnsi="宋体" w:eastAsia="宋体" w:cs="宋体"/>
          <w:b/>
          <w:color w:val="auto"/>
          <w:highlight w:val="none"/>
        </w:rPr>
      </w:pPr>
      <w:r>
        <w:rPr>
          <w:rFonts w:hint="eastAsia" w:ascii="宋体" w:hAnsi="宋体" w:eastAsia="宋体" w:cs="宋体"/>
          <w:color w:val="auto"/>
          <w:highlight w:val="none"/>
        </w:rPr>
        <w:t xml:space="preserve">  </w:t>
      </w:r>
      <w:r>
        <w:rPr>
          <w:rFonts w:hint="eastAsia" w:ascii="宋体" w:hAnsi="宋体" w:eastAsia="宋体" w:cs="宋体"/>
          <w:b/>
          <w:color w:val="auto"/>
          <w:highlight w:val="none"/>
        </w:rPr>
        <w:t xml:space="preserve"> </w:t>
      </w:r>
    </w:p>
    <w:p>
      <w:pPr>
        <w:spacing w:line="360" w:lineRule="auto"/>
        <w:ind w:firstLine="310" w:firstLineChars="147"/>
        <w:outlineLvl w:val="2"/>
        <w:rPr>
          <w:rFonts w:hint="eastAsia" w:ascii="宋体" w:hAnsi="宋体" w:eastAsia="宋体" w:cs="宋体"/>
          <w:b/>
          <w:color w:val="auto"/>
          <w:highlight w:val="none"/>
        </w:rPr>
      </w:pPr>
      <w:bookmarkStart w:id="805" w:name="_Toc397000947"/>
      <w:bookmarkStart w:id="806" w:name="_Toc432157837"/>
      <w:bookmarkStart w:id="807" w:name="_Toc432163867"/>
      <w:bookmarkStart w:id="808" w:name="_Toc1431"/>
      <w:r>
        <w:rPr>
          <w:rFonts w:hint="eastAsia" w:ascii="宋体" w:hAnsi="宋体" w:eastAsia="宋体" w:cs="宋体"/>
          <w:b/>
          <w:color w:val="auto"/>
          <w:highlight w:val="none"/>
        </w:rPr>
        <w:t>一、现场自然条件</w:t>
      </w:r>
      <w:bookmarkEnd w:id="805"/>
      <w:bookmarkEnd w:id="806"/>
      <w:bookmarkEnd w:id="807"/>
      <w:bookmarkEnd w:id="808"/>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满足施工要求。</w:t>
      </w:r>
    </w:p>
    <w:p>
      <w:pPr>
        <w:spacing w:line="360" w:lineRule="auto"/>
        <w:ind w:firstLine="413" w:firstLineChars="196"/>
        <w:outlineLvl w:val="2"/>
        <w:rPr>
          <w:rFonts w:hint="eastAsia" w:ascii="宋体" w:hAnsi="宋体" w:eastAsia="宋体" w:cs="宋体"/>
          <w:b/>
          <w:color w:val="auto"/>
          <w:highlight w:val="none"/>
        </w:rPr>
      </w:pPr>
      <w:bookmarkStart w:id="809" w:name="_Toc25406"/>
      <w:bookmarkStart w:id="810" w:name="_Toc397000948"/>
      <w:bookmarkStart w:id="811" w:name="_Toc432157838"/>
      <w:bookmarkStart w:id="812" w:name="_Toc432163868"/>
      <w:r>
        <w:rPr>
          <w:rFonts w:hint="eastAsia" w:ascii="宋体" w:hAnsi="宋体" w:eastAsia="宋体" w:cs="宋体"/>
          <w:b/>
          <w:color w:val="auto"/>
          <w:highlight w:val="none"/>
        </w:rPr>
        <w:t>二、现场施工条件</w:t>
      </w:r>
      <w:bookmarkEnd w:id="809"/>
      <w:bookmarkEnd w:id="810"/>
      <w:bookmarkEnd w:id="811"/>
      <w:bookmarkEnd w:id="812"/>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满足施工要求。</w:t>
      </w:r>
    </w:p>
    <w:p>
      <w:pPr>
        <w:spacing w:line="360" w:lineRule="auto"/>
        <w:ind w:firstLine="422" w:firstLineChars="200"/>
        <w:outlineLvl w:val="2"/>
        <w:rPr>
          <w:rFonts w:hint="eastAsia" w:ascii="宋体" w:hAnsi="宋体" w:eastAsia="宋体" w:cs="宋体"/>
          <w:b/>
          <w:color w:val="auto"/>
          <w:highlight w:val="none"/>
        </w:rPr>
      </w:pPr>
      <w:bookmarkStart w:id="813" w:name="_Toc412821077"/>
      <w:bookmarkStart w:id="814" w:name="_Toc412160129"/>
      <w:bookmarkStart w:id="815" w:name="_Toc400785717"/>
      <w:bookmarkStart w:id="816" w:name="_Toc397000950"/>
      <w:r>
        <w:rPr>
          <w:rFonts w:hint="eastAsia" w:ascii="宋体" w:hAnsi="宋体" w:eastAsia="宋体" w:cs="宋体"/>
          <w:b/>
          <w:color w:val="auto"/>
          <w:highlight w:val="none"/>
        </w:rPr>
        <w:t>三、本工程采用的技术规范</w:t>
      </w:r>
      <w:bookmarkEnd w:id="813"/>
      <w:bookmarkEnd w:id="814"/>
      <w:bookmarkEnd w:id="815"/>
    </w:p>
    <w:p>
      <w:pPr>
        <w:pStyle w:val="195"/>
        <w:keepNext w:val="0"/>
        <w:keepLines w:val="0"/>
        <w:widowControl w:val="0"/>
        <w:shd w:val="clear" w:color="auto" w:fill="auto"/>
        <w:bidi w:val="0"/>
        <w:spacing w:before="0" w:after="0"/>
        <w:ind w:left="480" w:right="0" w:firstLine="0"/>
        <w:jc w:val="left"/>
        <w:rPr>
          <w:rFonts w:hint="eastAsia" w:ascii="宋体" w:hAnsi="宋体" w:eastAsia="宋体" w:cs="宋体"/>
          <w:color w:val="auto"/>
          <w:spacing w:val="0"/>
          <w:w w:val="100"/>
          <w:position w:val="0"/>
          <w:highlight w:val="none"/>
          <w:lang w:val="zh-CN" w:eastAsia="zh-CN" w:bidi="zh-CN"/>
        </w:rPr>
      </w:pPr>
      <w:r>
        <w:rPr>
          <w:rFonts w:hint="eastAsia" w:ascii="宋体" w:hAnsi="宋体" w:eastAsia="宋体" w:cs="宋体"/>
          <w:color w:val="auto"/>
          <w:highlight w:val="none"/>
        </w:rPr>
        <w:t>本工程执行国家现行的施工及验收规范、验评标准及强制性标准条文、以及施工图纸载明的其他有关规范标准。</w:t>
      </w:r>
    </w:p>
    <w:p>
      <w:pPr>
        <w:pStyle w:val="195"/>
        <w:keepNext w:val="0"/>
        <w:keepLines w:val="0"/>
        <w:widowControl w:val="0"/>
        <w:shd w:val="clear" w:color="auto" w:fill="auto"/>
        <w:bidi w:val="0"/>
        <w:spacing w:before="0" w:after="0"/>
        <w:ind w:left="480" w:right="0" w:firstLine="0"/>
        <w:jc w:val="left"/>
        <w:rPr>
          <w:rFonts w:hint="eastAsia" w:ascii="宋体" w:hAnsi="宋体" w:eastAsia="宋体" w:cs="宋体"/>
          <w:color w:val="auto"/>
          <w:spacing w:val="0"/>
          <w:w w:val="100"/>
          <w:position w:val="0"/>
          <w:highlight w:val="none"/>
          <w:lang w:val="zh-CN" w:eastAsia="zh-CN" w:bidi="zh-CN"/>
        </w:rPr>
      </w:pPr>
    </w:p>
    <w:p>
      <w:pPr>
        <w:spacing w:line="360" w:lineRule="auto"/>
        <w:ind w:firstLine="480" w:firstLineChars="200"/>
        <w:rPr>
          <w:rFonts w:hint="eastAsia" w:ascii="宋体" w:hAnsi="宋体" w:eastAsia="宋体" w:cs="宋体"/>
          <w:color w:val="auto"/>
          <w:sz w:val="24"/>
          <w:highlight w:val="none"/>
        </w:rPr>
      </w:pPr>
    </w:p>
    <w:p>
      <w:pPr>
        <w:pStyle w:val="3"/>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
        <w:rPr>
          <w:rFonts w:hint="eastAsia"/>
          <w:color w:val="auto"/>
          <w:highlight w:val="none"/>
        </w:rPr>
      </w:pPr>
    </w:p>
    <w:p>
      <w:pPr>
        <w:pStyle w:val="3"/>
        <w:jc w:val="center"/>
        <w:rPr>
          <w:rFonts w:hint="eastAsia" w:ascii="宋体" w:hAnsi="宋体" w:eastAsia="宋体" w:cs="宋体"/>
          <w:color w:val="auto"/>
          <w:highlight w:val="none"/>
        </w:rPr>
      </w:pPr>
      <w:bookmarkStart w:id="817" w:name="_Toc7608"/>
      <w:r>
        <w:rPr>
          <w:rFonts w:hint="eastAsia" w:ascii="宋体" w:hAnsi="宋体" w:eastAsia="宋体" w:cs="宋体"/>
          <w:color w:val="auto"/>
          <w:highlight w:val="none"/>
        </w:rPr>
        <w:t>第四卷</w:t>
      </w:r>
      <w:bookmarkEnd w:id="816"/>
      <w:bookmarkEnd w:id="817"/>
    </w:p>
    <w:p>
      <w:pPr>
        <w:pStyle w:val="3"/>
        <w:jc w:val="center"/>
        <w:rPr>
          <w:rFonts w:hint="eastAsia" w:ascii="宋体" w:hAnsi="宋体" w:eastAsia="宋体" w:cs="宋体"/>
          <w:color w:val="auto"/>
          <w:highlight w:val="none"/>
        </w:rPr>
      </w:pPr>
      <w:bookmarkStart w:id="818" w:name="_Toc397000951"/>
    </w:p>
    <w:p>
      <w:pPr>
        <w:pStyle w:val="3"/>
        <w:jc w:val="center"/>
        <w:rPr>
          <w:rFonts w:hint="eastAsia" w:ascii="宋体" w:hAnsi="宋体" w:eastAsia="宋体" w:cs="宋体"/>
          <w:color w:val="auto"/>
          <w:highlight w:val="none"/>
        </w:rPr>
      </w:pPr>
      <w:bookmarkStart w:id="819" w:name="_Toc11779"/>
      <w:r>
        <w:rPr>
          <w:rFonts w:hint="eastAsia" w:ascii="宋体" w:hAnsi="宋体" w:eastAsia="宋体" w:cs="宋体"/>
          <w:color w:val="auto"/>
          <w:highlight w:val="none"/>
        </w:rPr>
        <w:t>第八章 投标文件格式</w:t>
      </w:r>
      <w:bookmarkEnd w:id="818"/>
      <w:bookmarkEnd w:id="819"/>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b/>
          <w:color w:val="auto"/>
          <w:sz w:val="36"/>
          <w:szCs w:val="36"/>
          <w:highlight w:val="none"/>
        </w:rPr>
      </w:pPr>
      <w:r>
        <w:rPr>
          <w:rFonts w:hint="eastAsia" w:ascii="宋体" w:hAnsi="宋体" w:eastAsia="宋体" w:cs="宋体"/>
          <w:color w:val="auto"/>
          <w:highlight w:val="none"/>
        </w:rPr>
        <w:t xml:space="preserve">          </w:t>
      </w:r>
      <w:bookmarkEnd w:id="312"/>
      <w:r>
        <w:rPr>
          <w:rFonts w:hint="eastAsia" w:ascii="宋体" w:hAnsi="宋体" w:eastAsia="宋体" w:cs="宋体"/>
          <w:color w:val="auto"/>
          <w:highlight w:val="none"/>
        </w:rPr>
        <w:t xml:space="preserve">   </w:t>
      </w:r>
      <w:r>
        <w:rPr>
          <w:rFonts w:hint="eastAsia" w:ascii="宋体" w:hAnsi="宋体" w:eastAsia="宋体" w:cs="宋体"/>
          <w:b/>
          <w:color w:val="auto"/>
          <w:sz w:val="36"/>
          <w:szCs w:val="36"/>
          <w:highlight w:val="none"/>
          <w:u w:val="single"/>
        </w:rPr>
        <w:t xml:space="preserve">   （项目总名称）（标段名称）        </w:t>
      </w:r>
      <w:r>
        <w:rPr>
          <w:rFonts w:hint="eastAsia" w:ascii="宋体" w:hAnsi="宋体" w:eastAsia="宋体" w:cs="宋体"/>
          <w:b/>
          <w:color w:val="auto"/>
          <w:sz w:val="36"/>
          <w:szCs w:val="36"/>
          <w:highlight w:val="none"/>
        </w:rPr>
        <w:t>施工招标</w:t>
      </w:r>
    </w:p>
    <w:p>
      <w:pP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例如：</w:t>
      </w:r>
      <w:r>
        <w:rPr>
          <w:rFonts w:hint="eastAsia" w:ascii="宋体" w:hAnsi="宋体" w:eastAsia="宋体" w:cs="宋体"/>
          <w:color w:val="auto"/>
          <w:highlight w:val="none"/>
          <w:u w:val="single"/>
          <w:lang w:eastAsia="zh-CN"/>
        </w:rPr>
        <w:t>金城江区2020年灾毁农田修复项目（一标段：金城江区拔贡镇坡降社区（主渠道等）灾毁农田修复项目）</w:t>
      </w:r>
      <w:r>
        <w:rPr>
          <w:rFonts w:hint="eastAsia" w:ascii="宋体" w:hAnsi="宋体" w:eastAsia="宋体" w:cs="宋体"/>
          <w:color w:val="auto"/>
          <w:highlight w:val="none"/>
          <w:lang w:eastAsia="zh-CN"/>
        </w:rPr>
        <w:t>施工招标</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center"/>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rPr>
        <w:t>投 标 文 件</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ind w:firstLine="2249" w:firstLineChars="70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项目编号：</w:t>
      </w:r>
    </w:p>
    <w:p>
      <w:pPr>
        <w:jc w:val="cente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（正本/副本）</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800" w:lineRule="exact"/>
        <w:ind w:firstLine="640" w:firstLineChars="200"/>
        <w:textAlignment w:val="auto"/>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t>投标内容：</w:t>
      </w:r>
      <w:r>
        <w:rPr>
          <w:rFonts w:hint="eastAsia" w:ascii="宋体" w:hAnsi="宋体" w:eastAsia="宋体" w:cs="宋体"/>
          <w:color w:val="auto"/>
          <w:sz w:val="32"/>
          <w:szCs w:val="32"/>
          <w:highlight w:val="none"/>
          <w:u w:val="single"/>
        </w:rPr>
        <w:t xml:space="preserve">              资格审查部分              </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 标 人：</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（盖单位章）</w:t>
      </w:r>
    </w:p>
    <w:p>
      <w:pPr>
        <w:keepNext w:val="0"/>
        <w:keepLines w:val="0"/>
        <w:pageBreakBefore w:val="0"/>
        <w:widowControl w:val="0"/>
        <w:kinsoku/>
        <w:wordWrap/>
        <w:overflowPunct/>
        <w:topLinePunct w:val="0"/>
        <w:autoSpaceDE/>
        <w:autoSpaceDN/>
        <w:bidi w:val="0"/>
        <w:adjustRightInd/>
        <w:snapToGrid/>
        <w:spacing w:line="80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法定代表人或其委托代理人：</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（签字）</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年         月         日</w:t>
      </w:r>
    </w:p>
    <w:p>
      <w:pPr>
        <w:spacing w:line="600" w:lineRule="exact"/>
        <w:jc w:val="center"/>
        <w:rPr>
          <w:rFonts w:hint="eastAsia" w:ascii="宋体" w:hAnsi="宋体" w:eastAsia="宋体" w:cs="宋体"/>
          <w:b/>
          <w:color w:val="auto"/>
          <w:sz w:val="48"/>
          <w:szCs w:val="48"/>
          <w:highlight w:val="none"/>
        </w:rPr>
      </w:pPr>
    </w:p>
    <w:p>
      <w:pPr>
        <w:spacing w:line="600" w:lineRule="exact"/>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600" w:lineRule="exact"/>
        <w:jc w:val="center"/>
        <w:rPr>
          <w:rFonts w:hint="eastAsia" w:ascii="宋体" w:hAnsi="宋体" w:eastAsia="宋体" w:cs="宋体"/>
          <w:b/>
          <w:color w:val="auto"/>
          <w:sz w:val="18"/>
          <w:szCs w:val="18"/>
          <w:highlight w:val="none"/>
        </w:rPr>
      </w:pPr>
      <w:r>
        <w:rPr>
          <w:rFonts w:hint="eastAsia" w:ascii="宋体" w:hAnsi="宋体" w:eastAsia="宋体" w:cs="宋体"/>
          <w:color w:val="auto"/>
          <w:highlight w:val="none"/>
        </w:rPr>
        <w:t>（应附有页码）</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一、投标文件签署授权委托书（原件），附：法定代表人身份证明和代理人身份证等材料的复印件；</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二、投标人基本情况表（附有效的企业法人营业执照副本、企业资质证书副本、安全生产许可证副本等材料的复印件）；</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三、投标保证金银行转账单的复印件、低价风险保证金凭证（如有）的复印件、基本账户开户许可证的复印件或基本存款账户信息复印件；</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四、建设工程项目管理承诺书；</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五、项目经理注册建造师注册证书和安全生产考核合格证书（B类）复印件；</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六、技术负责人职称证书复印件；</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七、考核期内已完成类似工程及目前在建工程一览表</w:t>
      </w:r>
      <w:r>
        <w:rPr>
          <w:rFonts w:hint="eastAsia" w:ascii="宋体" w:hAnsi="宋体" w:eastAsia="宋体" w:cs="宋体"/>
          <w:color w:val="auto"/>
          <w:highlight w:val="none"/>
          <w:lang w:eastAsia="zh-CN"/>
        </w:rPr>
        <w:t>（如有）</w:t>
      </w:r>
      <w:r>
        <w:rPr>
          <w:rFonts w:hint="eastAsia" w:ascii="宋体" w:hAnsi="宋体" w:eastAsia="宋体" w:cs="宋体"/>
          <w:color w:val="auto"/>
          <w:highlight w:val="none"/>
        </w:rPr>
        <w:t>；</w:t>
      </w:r>
    </w:p>
    <w:p>
      <w:pPr>
        <w:spacing w:line="500" w:lineRule="exact"/>
        <w:ind w:firstLine="407" w:firstLineChars="194"/>
        <w:rPr>
          <w:rFonts w:hint="eastAsia" w:ascii="宋体" w:hAnsi="宋体" w:eastAsia="宋体" w:cs="宋体"/>
          <w:color w:val="auto"/>
          <w:highlight w:val="none"/>
        </w:rPr>
      </w:pPr>
      <w:r>
        <w:rPr>
          <w:rFonts w:hint="eastAsia" w:ascii="宋体" w:hAnsi="宋体" w:eastAsia="宋体" w:cs="宋体"/>
          <w:color w:val="auto"/>
          <w:highlight w:val="none"/>
        </w:rPr>
        <w:t>八、近三年财务状况表；(对于从取得营业执照时间起到投标截止时间为止不足要求年数的企业，只需提交企业取得营业执照年份至所要求最近年份经审计的财务报表)</w:t>
      </w:r>
    </w:p>
    <w:p>
      <w:pPr>
        <w:spacing w:line="500" w:lineRule="exact"/>
        <w:ind w:firstLine="407" w:firstLineChars="194"/>
        <w:rPr>
          <w:rFonts w:hint="eastAsia" w:ascii="宋体" w:hAnsi="宋体" w:eastAsia="宋体" w:cs="宋体"/>
          <w:color w:val="auto"/>
          <w:highlight w:val="none"/>
        </w:rPr>
      </w:pPr>
      <w:r>
        <w:rPr>
          <w:rFonts w:hint="eastAsia" w:ascii="宋体" w:hAnsi="宋体" w:eastAsia="宋体" w:cs="宋体"/>
          <w:color w:val="auto"/>
          <w:highlight w:val="none"/>
        </w:rPr>
        <w:t>九、近三年发生的诉讼和仲裁情况；</w:t>
      </w:r>
    </w:p>
    <w:p>
      <w:pPr>
        <w:spacing w:line="500" w:lineRule="exact"/>
        <w:ind w:firstLine="407" w:firstLineChars="194"/>
        <w:rPr>
          <w:rFonts w:hint="eastAsia" w:ascii="宋体" w:hAnsi="宋体" w:eastAsia="宋体" w:cs="宋体"/>
          <w:color w:val="auto"/>
          <w:highlight w:val="none"/>
        </w:rPr>
      </w:pPr>
      <w:r>
        <w:rPr>
          <w:rFonts w:hint="eastAsia" w:ascii="宋体" w:hAnsi="宋体" w:eastAsia="宋体" w:cs="宋体"/>
          <w:color w:val="auto"/>
          <w:highlight w:val="none"/>
        </w:rPr>
        <w:t>十、投标保证金保证事项承诺书；</w:t>
      </w:r>
    </w:p>
    <w:p>
      <w:pPr>
        <w:spacing w:line="500" w:lineRule="exact"/>
        <w:ind w:firstLine="407" w:firstLineChars="194"/>
        <w:rPr>
          <w:rFonts w:hint="eastAsia" w:ascii="宋体" w:hAnsi="宋体" w:eastAsia="宋体" w:cs="宋体"/>
          <w:color w:val="auto"/>
          <w:highlight w:val="none"/>
        </w:rPr>
      </w:pPr>
      <w:r>
        <w:rPr>
          <w:rFonts w:hint="eastAsia" w:ascii="宋体" w:hAnsi="宋体" w:eastAsia="宋体" w:cs="宋体"/>
          <w:color w:val="auto"/>
          <w:highlight w:val="none"/>
        </w:rPr>
        <w:t>十一、拟投入本工程管理人员情况表（附各岗位人员资格证件复印件及投标截止之日前半年内任意一个月在本单位依法缴纳社保证明材料复印件，以上复印件均须加盖投标人单位公章）；</w:t>
      </w:r>
    </w:p>
    <w:p>
      <w:pPr>
        <w:spacing w:line="500" w:lineRule="exact"/>
        <w:ind w:firstLine="407" w:firstLineChars="194"/>
        <w:rPr>
          <w:rFonts w:hint="eastAsia" w:ascii="宋体" w:hAnsi="宋体" w:eastAsia="宋体" w:cs="宋体"/>
          <w:color w:val="auto"/>
          <w:highlight w:val="none"/>
        </w:rPr>
      </w:pPr>
      <w:r>
        <w:rPr>
          <w:rFonts w:hint="eastAsia" w:ascii="宋体" w:hAnsi="宋体" w:eastAsia="宋体" w:cs="宋体"/>
          <w:color w:val="auto"/>
          <w:highlight w:val="none"/>
        </w:rPr>
        <w:t>十二、拟投入施工机械设备情况表；</w:t>
      </w:r>
    </w:p>
    <w:p>
      <w:pPr>
        <w:spacing w:line="500" w:lineRule="exact"/>
        <w:ind w:firstLine="407" w:firstLineChars="194"/>
        <w:rPr>
          <w:rFonts w:hint="eastAsia" w:ascii="宋体" w:hAnsi="宋体" w:eastAsia="宋体" w:cs="宋体"/>
          <w:color w:val="auto"/>
          <w:highlight w:val="none"/>
        </w:rPr>
      </w:pPr>
      <w:r>
        <w:rPr>
          <w:rFonts w:hint="eastAsia" w:ascii="宋体" w:hAnsi="宋体" w:eastAsia="宋体" w:cs="宋体"/>
          <w:color w:val="auto"/>
          <w:highlight w:val="none"/>
        </w:rPr>
        <w:t>十三、资格审查需要的其他材料（企业信誉（如有）、在最近三年内无骗取中标或严重违约或重大工程质量问题的（格式自拟）和投标人认为有必要提供的其他证明材料。</w:t>
      </w:r>
    </w:p>
    <w:p>
      <w:pPr>
        <w:spacing w:line="360" w:lineRule="auto"/>
        <w:ind w:firstLine="420"/>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4"/>
        <w:jc w:val="center"/>
        <w:rPr>
          <w:rFonts w:hint="eastAsia" w:ascii="宋体" w:hAnsi="宋体" w:eastAsia="宋体" w:cs="宋体"/>
          <w:color w:val="auto"/>
          <w:highlight w:val="none"/>
        </w:rPr>
      </w:pPr>
      <w:bookmarkStart w:id="820" w:name="_Toc251051976"/>
      <w:bookmarkStart w:id="821" w:name="_Toc15388"/>
      <w:bookmarkStart w:id="822" w:name="_Toc349555831"/>
      <w:bookmarkStart w:id="823" w:name="_Toc349215544"/>
      <w:r>
        <w:rPr>
          <w:rFonts w:hint="eastAsia" w:ascii="宋体" w:hAnsi="宋体" w:eastAsia="宋体" w:cs="宋体"/>
          <w:color w:val="auto"/>
          <w:highlight w:val="none"/>
        </w:rPr>
        <w:t>一、投标文件签署授权委托书</w:t>
      </w:r>
      <w:bookmarkEnd w:id="820"/>
      <w:bookmarkEnd w:id="821"/>
      <w:bookmarkEnd w:id="822"/>
      <w:bookmarkEnd w:id="823"/>
    </w:p>
    <w:p>
      <w:pPr>
        <w:spacing w:line="460" w:lineRule="exact"/>
        <w:ind w:firstLine="420" w:firstLineChars="200"/>
        <w:rPr>
          <w:rFonts w:hint="eastAsia" w:ascii="宋体" w:hAnsi="宋体" w:eastAsia="宋体" w:cs="宋体"/>
          <w:color w:val="auto"/>
          <w:highlight w:val="none"/>
        </w:rPr>
      </w:pPr>
      <w:bookmarkStart w:id="824" w:name="_Toc251051977"/>
      <w:r>
        <w:rPr>
          <w:rFonts w:hint="eastAsia" w:ascii="宋体" w:hAnsi="宋体" w:eastAsia="宋体" w:cs="宋体"/>
          <w:color w:val="auto"/>
          <w:highlight w:val="none"/>
        </w:rPr>
        <w:t>本授权委托书声明：我</w:t>
      </w:r>
      <w:r>
        <w:rPr>
          <w:rFonts w:hint="eastAsia" w:ascii="宋体" w:hAnsi="宋体" w:eastAsia="宋体" w:cs="宋体"/>
          <w:color w:val="auto"/>
          <w:szCs w:val="21"/>
          <w:highlight w:val="none"/>
          <w:u w:val="single"/>
        </w:rPr>
        <w:t> </w:t>
      </w:r>
      <w:r>
        <w:rPr>
          <w:rFonts w:hint="eastAsia" w:ascii="宋体" w:hAnsi="宋体" w:eastAsia="宋体" w:cs="宋体"/>
          <w:color w:val="auto"/>
          <w:highlight w:val="none"/>
        </w:rPr>
        <w:t>（姓名）系</w:t>
      </w:r>
      <w:r>
        <w:rPr>
          <w:rFonts w:hint="eastAsia" w:ascii="宋体" w:hAnsi="宋体" w:eastAsia="宋体" w:cs="宋体"/>
          <w:color w:val="auto"/>
          <w:highlight w:val="none"/>
          <w:u w:val="single"/>
        </w:rPr>
        <w:t xml:space="preserve">        （投标人名称）        </w:t>
      </w:r>
      <w:r>
        <w:rPr>
          <w:rFonts w:hint="eastAsia" w:ascii="宋体" w:hAnsi="宋体" w:eastAsia="宋体" w:cs="宋体"/>
          <w:color w:val="auto"/>
          <w:highlight w:val="none"/>
        </w:rPr>
        <w:t>的法定代表人，现授权委托</w:t>
      </w:r>
      <w:r>
        <w:rPr>
          <w:rFonts w:hint="eastAsia" w:ascii="宋体" w:hAnsi="宋体" w:eastAsia="宋体" w:cs="宋体"/>
          <w:color w:val="auto"/>
          <w:highlight w:val="none"/>
          <w:u w:val="single"/>
        </w:rPr>
        <w:t xml:space="preserve">      （单位名称）     </w:t>
      </w:r>
      <w:r>
        <w:rPr>
          <w:rFonts w:hint="eastAsia" w:ascii="宋体" w:hAnsi="宋体" w:eastAsia="宋体" w:cs="宋体"/>
          <w:color w:val="auto"/>
          <w:highlight w:val="none"/>
        </w:rPr>
        <w:t>的</w:t>
      </w:r>
      <w:r>
        <w:rPr>
          <w:rFonts w:hint="eastAsia" w:ascii="宋体" w:hAnsi="宋体" w:eastAsia="宋体" w:cs="宋体"/>
          <w:color w:val="auto"/>
          <w:highlight w:val="none"/>
          <w:u w:val="single"/>
        </w:rPr>
        <w:t xml:space="preserve">    （姓名）</w:t>
      </w:r>
      <w:r>
        <w:rPr>
          <w:rFonts w:hint="eastAsia" w:ascii="宋体" w:hAnsi="宋体" w:eastAsia="宋体" w:cs="宋体"/>
          <w:color w:val="auto"/>
          <w:highlight w:val="none"/>
        </w:rPr>
        <w:t>为我公司签署</w:t>
      </w:r>
      <w:r>
        <w:rPr>
          <w:rFonts w:hint="eastAsia" w:ascii="宋体" w:hAnsi="宋体" w:eastAsia="宋体" w:cs="宋体"/>
          <w:color w:val="auto"/>
          <w:highlight w:val="none"/>
          <w:u w:val="single"/>
          <w:lang w:eastAsia="zh-CN"/>
        </w:rPr>
        <w:t>项目名称：</w:t>
      </w:r>
      <w:r>
        <w:rPr>
          <w:rFonts w:hint="eastAsia" w:ascii="宋体" w:hAnsi="宋体" w:eastAsia="宋体" w:cs="宋体"/>
          <w:color w:val="auto"/>
          <w:highlight w:val="none"/>
          <w:u w:val="single"/>
          <w:lang w:val="en-US" w:eastAsia="zh-CN"/>
        </w:rPr>
        <w:t xml:space="preserve"> （项目总名称）（标段名称）     ，项目编号：      </w:t>
      </w:r>
      <w:r>
        <w:rPr>
          <w:rFonts w:hint="eastAsia" w:ascii="宋体" w:hAnsi="宋体" w:eastAsia="宋体" w:cs="宋体"/>
          <w:color w:val="auto"/>
          <w:highlight w:val="none"/>
        </w:rPr>
        <w:t>的投标文件的法定代表人授权委托代理人，我承认代理人全权代表我所签署的本工程的投标文件的内容。</w:t>
      </w:r>
      <w:bookmarkEnd w:id="824"/>
    </w:p>
    <w:p>
      <w:pPr>
        <w:spacing w:line="480" w:lineRule="auto"/>
        <w:ind w:firstLine="610"/>
        <w:rPr>
          <w:rFonts w:hint="eastAsia" w:ascii="宋体" w:hAnsi="宋体" w:eastAsia="宋体" w:cs="宋体"/>
          <w:color w:val="auto"/>
          <w:highlight w:val="none"/>
        </w:rPr>
      </w:pPr>
    </w:p>
    <w:p>
      <w:pPr>
        <w:spacing w:line="480" w:lineRule="auto"/>
        <w:ind w:firstLine="697"/>
        <w:rPr>
          <w:rFonts w:hint="eastAsia" w:ascii="宋体" w:hAnsi="宋体" w:eastAsia="宋体" w:cs="宋体"/>
          <w:color w:val="auto"/>
          <w:highlight w:val="none"/>
        </w:rPr>
      </w:pPr>
      <w:bookmarkStart w:id="825" w:name="_Toc251051978"/>
      <w:r>
        <w:rPr>
          <w:rFonts w:hint="eastAsia" w:ascii="宋体" w:hAnsi="宋体" w:eastAsia="宋体" w:cs="宋体"/>
          <w:color w:val="auto"/>
          <w:highlight w:val="none"/>
        </w:rPr>
        <w:t>代理人无转委托权，特此委托。</w:t>
      </w:r>
      <w:bookmarkEnd w:id="825"/>
    </w:p>
    <w:p>
      <w:pPr>
        <w:spacing w:line="360" w:lineRule="auto"/>
        <w:ind w:left="1260"/>
        <w:rPr>
          <w:rFonts w:hint="eastAsia" w:ascii="宋体" w:hAnsi="宋体" w:eastAsia="宋体" w:cs="宋体"/>
          <w:color w:val="auto"/>
          <w:highlight w:val="none"/>
        </w:rPr>
      </w:pPr>
    </w:p>
    <w:p>
      <w:pPr>
        <w:spacing w:line="360" w:lineRule="auto"/>
        <w:ind w:left="1260"/>
        <w:rPr>
          <w:rFonts w:hint="eastAsia" w:ascii="宋体" w:hAnsi="宋体" w:eastAsia="宋体" w:cs="宋体"/>
          <w:color w:val="auto"/>
          <w:highlight w:val="none"/>
        </w:rPr>
      </w:pPr>
    </w:p>
    <w:p>
      <w:pPr>
        <w:spacing w:line="360" w:lineRule="auto"/>
        <w:ind w:left="1260"/>
        <w:rPr>
          <w:rFonts w:hint="eastAsia" w:ascii="宋体" w:hAnsi="宋体" w:eastAsia="宋体" w:cs="宋体"/>
          <w:color w:val="auto"/>
          <w:highlight w:val="none"/>
        </w:rPr>
      </w:pPr>
    </w:p>
    <w:p>
      <w:pPr>
        <w:spacing w:line="360" w:lineRule="auto"/>
        <w:ind w:left="1260"/>
        <w:rPr>
          <w:rFonts w:hint="eastAsia" w:ascii="宋体" w:hAnsi="宋体" w:eastAsia="宋体" w:cs="宋体"/>
          <w:color w:val="auto"/>
          <w:highlight w:val="none"/>
        </w:rPr>
      </w:pPr>
    </w:p>
    <w:p>
      <w:pPr>
        <w:spacing w:line="480" w:lineRule="auto"/>
        <w:ind w:left="1260"/>
        <w:rPr>
          <w:rFonts w:hint="eastAsia" w:ascii="宋体" w:hAnsi="宋体" w:eastAsia="宋体" w:cs="宋体"/>
          <w:color w:val="auto"/>
          <w:highlight w:val="none"/>
        </w:rPr>
      </w:pPr>
    </w:p>
    <w:p>
      <w:pPr>
        <w:spacing w:line="480" w:lineRule="auto"/>
        <w:ind w:left="2699"/>
        <w:rPr>
          <w:rFonts w:hint="eastAsia" w:ascii="宋体" w:hAnsi="宋体" w:eastAsia="宋体" w:cs="宋体"/>
          <w:color w:val="auto"/>
          <w:highlight w:val="none"/>
          <w:u w:val="single"/>
        </w:rPr>
      </w:pPr>
      <w:bookmarkStart w:id="826" w:name="_Toc251051979"/>
      <w:r>
        <w:rPr>
          <w:rFonts w:hint="eastAsia" w:ascii="宋体" w:hAnsi="宋体" w:eastAsia="宋体" w:cs="宋体"/>
          <w:color w:val="auto"/>
          <w:highlight w:val="none"/>
        </w:rPr>
        <w:t>代理人：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性别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年龄：_______</w:t>
      </w:r>
      <w:bookmarkEnd w:id="826"/>
    </w:p>
    <w:p>
      <w:pPr>
        <w:spacing w:line="480" w:lineRule="auto"/>
        <w:ind w:left="2699"/>
        <w:rPr>
          <w:rFonts w:hint="eastAsia" w:ascii="宋体" w:hAnsi="宋体" w:eastAsia="宋体" w:cs="宋体"/>
          <w:color w:val="auto"/>
          <w:highlight w:val="none"/>
        </w:rPr>
      </w:pPr>
      <w:bookmarkStart w:id="827" w:name="_Toc251051980"/>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职务：</w:t>
      </w:r>
      <w:bookmarkEnd w:id="827"/>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spacing w:line="480" w:lineRule="auto"/>
        <w:ind w:left="2699"/>
        <w:rPr>
          <w:rFonts w:hint="eastAsia" w:ascii="宋体" w:hAnsi="宋体" w:eastAsia="宋体" w:cs="宋体"/>
          <w:color w:val="auto"/>
          <w:highlight w:val="none"/>
        </w:rPr>
      </w:pPr>
      <w:bookmarkStart w:id="828" w:name="_Toc251051981"/>
      <w:r>
        <w:rPr>
          <w:rFonts w:hint="eastAsia" w:ascii="宋体" w:hAnsi="宋体" w:eastAsia="宋体" w:cs="宋体"/>
          <w:color w:val="auto"/>
          <w:highlight w:val="none"/>
        </w:rPr>
        <w:t>投标人：</w:t>
      </w:r>
      <w:r>
        <w:rPr>
          <w:rFonts w:hint="eastAsia" w:ascii="宋体" w:hAnsi="宋体" w:eastAsia="宋体" w:cs="宋体"/>
          <w:color w:val="auto"/>
          <w:highlight w:val="none"/>
          <w:u w:val="single"/>
        </w:rPr>
        <w:t xml:space="preserve">                                      （盖章）</w:t>
      </w:r>
      <w:bookmarkEnd w:id="828"/>
    </w:p>
    <w:p>
      <w:pPr>
        <w:spacing w:line="480" w:lineRule="auto"/>
        <w:ind w:left="2699"/>
        <w:rPr>
          <w:rFonts w:hint="eastAsia" w:ascii="宋体" w:hAnsi="宋体" w:eastAsia="宋体" w:cs="宋体"/>
          <w:color w:val="auto"/>
          <w:highlight w:val="none"/>
        </w:rPr>
      </w:pPr>
      <w:bookmarkStart w:id="829" w:name="_Toc251051982"/>
      <w:r>
        <w:rPr>
          <w:rFonts w:hint="eastAsia" w:ascii="宋体" w:hAnsi="宋体" w:eastAsia="宋体" w:cs="宋体"/>
          <w:color w:val="auto"/>
          <w:highlight w:val="none"/>
        </w:rPr>
        <w:t>法定代表人：</w:t>
      </w:r>
      <w:r>
        <w:rPr>
          <w:rFonts w:hint="eastAsia" w:ascii="宋体" w:hAnsi="宋体" w:eastAsia="宋体" w:cs="宋体"/>
          <w:color w:val="auto"/>
          <w:highlight w:val="none"/>
          <w:u w:val="single"/>
        </w:rPr>
        <w:t xml:space="preserve">                            （签字或盖章）</w:t>
      </w:r>
      <w:bookmarkEnd w:id="829"/>
    </w:p>
    <w:p>
      <w:pPr>
        <w:spacing w:line="480" w:lineRule="auto"/>
        <w:ind w:left="2699"/>
        <w:rPr>
          <w:rFonts w:hint="eastAsia" w:ascii="宋体" w:hAnsi="宋体" w:eastAsia="宋体" w:cs="宋体"/>
          <w:color w:val="auto"/>
          <w:highlight w:val="none"/>
        </w:rPr>
      </w:pPr>
      <w:bookmarkStart w:id="830" w:name="_Toc251051983"/>
      <w:r>
        <w:rPr>
          <w:rFonts w:hint="eastAsia" w:ascii="宋体" w:hAnsi="宋体" w:eastAsia="宋体" w:cs="宋体"/>
          <w:color w:val="auto"/>
          <w:highlight w:val="none"/>
        </w:rPr>
        <w:t>授权委托日期：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日 </w:t>
      </w:r>
      <w:bookmarkEnd w:id="830"/>
    </w:p>
    <w:p>
      <w:pPr>
        <w:spacing w:line="360" w:lineRule="auto"/>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500" w:lineRule="exact"/>
        <w:rPr>
          <w:rFonts w:hint="eastAsia" w:ascii="宋体" w:hAnsi="宋体" w:eastAsia="宋体" w:cs="宋体"/>
          <w:color w:val="auto"/>
          <w:highlight w:val="none"/>
        </w:rPr>
      </w:pPr>
      <w:r>
        <w:rPr>
          <w:rFonts w:hint="eastAsia" w:ascii="宋体" w:hAnsi="宋体" w:eastAsia="宋体" w:cs="宋体"/>
          <w:color w:val="auto"/>
          <w:highlight w:val="none"/>
        </w:rPr>
        <w:t>附：法定代表人身份证明和代理人身份证等材料的复印件，以上复印件均须加盖投标人单位公章。</w:t>
      </w:r>
    </w:p>
    <w:p>
      <w:pPr>
        <w:spacing w:line="480" w:lineRule="auto"/>
        <w:jc w:val="center"/>
        <w:rPr>
          <w:rFonts w:hint="eastAsia" w:ascii="宋体" w:hAnsi="宋体" w:eastAsia="宋体" w:cs="宋体"/>
          <w:b/>
          <w:color w:val="auto"/>
          <w:sz w:val="32"/>
          <w:szCs w:val="32"/>
          <w:highlight w:val="none"/>
        </w:rPr>
      </w:pPr>
    </w:p>
    <w:p>
      <w:pPr>
        <w:spacing w:line="720" w:lineRule="auto"/>
        <w:jc w:val="both"/>
        <w:rPr>
          <w:rFonts w:hint="eastAsia" w:ascii="宋体" w:hAnsi="宋体" w:eastAsia="宋体" w:cs="宋体"/>
          <w:b/>
          <w:color w:val="auto"/>
          <w:sz w:val="32"/>
          <w:szCs w:val="32"/>
          <w:highlight w:val="none"/>
        </w:rPr>
      </w:pPr>
    </w:p>
    <w:p>
      <w:pPr>
        <w:spacing w:line="72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法定代表人身份证明</w:t>
      </w:r>
    </w:p>
    <w:p>
      <w:pPr>
        <w:spacing w:line="56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 标 人：</w:t>
      </w:r>
      <w:r>
        <w:rPr>
          <w:rFonts w:hint="eastAsia" w:ascii="宋体" w:hAnsi="宋体" w:eastAsia="宋体" w:cs="宋体"/>
          <w:color w:val="auto"/>
          <w:szCs w:val="21"/>
          <w:highlight w:val="none"/>
          <w:u w:val="single"/>
        </w:rPr>
        <w:t xml:space="preserve">                                                        </w:t>
      </w:r>
    </w:p>
    <w:p>
      <w:pPr>
        <w:spacing w:line="56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单位性质：</w:t>
      </w:r>
      <w:r>
        <w:rPr>
          <w:rFonts w:hint="eastAsia" w:ascii="宋体" w:hAnsi="宋体" w:eastAsia="宋体" w:cs="宋体"/>
          <w:color w:val="auto"/>
          <w:szCs w:val="21"/>
          <w:highlight w:val="none"/>
          <w:u w:val="single"/>
        </w:rPr>
        <w:t xml:space="preserve">                                                        </w:t>
      </w:r>
    </w:p>
    <w:p>
      <w:pPr>
        <w:spacing w:line="56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u w:val="single"/>
        </w:rPr>
        <w:t xml:space="preserve">                                                        </w:t>
      </w:r>
    </w:p>
    <w:p>
      <w:pPr>
        <w:spacing w:line="56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成立时间：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56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经营期限：</w:t>
      </w:r>
      <w:r>
        <w:rPr>
          <w:rFonts w:hint="eastAsia" w:ascii="宋体" w:hAnsi="宋体" w:eastAsia="宋体" w:cs="宋体"/>
          <w:color w:val="auto"/>
          <w:szCs w:val="21"/>
          <w:highlight w:val="none"/>
          <w:u w:val="single"/>
        </w:rPr>
        <w:t xml:space="preserve">                                                        </w:t>
      </w:r>
    </w:p>
    <w:p>
      <w:pPr>
        <w:spacing w:line="56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    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性     别：</w:t>
      </w:r>
      <w:r>
        <w:rPr>
          <w:rFonts w:hint="eastAsia" w:ascii="宋体" w:hAnsi="宋体" w:eastAsia="宋体" w:cs="宋体"/>
          <w:color w:val="auto"/>
          <w:szCs w:val="21"/>
          <w:highlight w:val="none"/>
          <w:u w:val="single"/>
        </w:rPr>
        <w:t xml:space="preserve">                   </w:t>
      </w:r>
    </w:p>
    <w:p>
      <w:pPr>
        <w:spacing w:line="56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    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职     务：</w:t>
      </w:r>
      <w:r>
        <w:rPr>
          <w:rFonts w:hint="eastAsia" w:ascii="宋体" w:hAnsi="宋体" w:eastAsia="宋体" w:cs="宋体"/>
          <w:color w:val="auto"/>
          <w:szCs w:val="21"/>
          <w:highlight w:val="none"/>
          <w:u w:val="single"/>
        </w:rPr>
        <w:t xml:space="preserve">                   </w:t>
      </w:r>
    </w:p>
    <w:p>
      <w:pPr>
        <w:spacing w:line="56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（投标人名称）的法定代表人。</w:t>
      </w:r>
    </w:p>
    <w:p>
      <w:pPr>
        <w:spacing w:line="5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特此证明。</w:t>
      </w:r>
    </w:p>
    <w:p>
      <w:pPr>
        <w:spacing w:line="500" w:lineRule="exact"/>
        <w:rPr>
          <w:rFonts w:hint="eastAsia" w:ascii="宋体" w:hAnsi="宋体" w:eastAsia="宋体" w:cs="宋体"/>
          <w:color w:val="auto"/>
          <w:szCs w:val="21"/>
          <w:highlight w:val="none"/>
        </w:rPr>
      </w:pPr>
    </w:p>
    <w:p>
      <w:pPr>
        <w:spacing w:line="500" w:lineRule="exact"/>
        <w:rPr>
          <w:rFonts w:hint="eastAsia" w:ascii="宋体" w:hAnsi="宋体" w:eastAsia="宋体" w:cs="宋体"/>
          <w:color w:val="auto"/>
          <w:szCs w:val="21"/>
          <w:highlight w:val="none"/>
        </w:rPr>
      </w:pPr>
    </w:p>
    <w:p>
      <w:pPr>
        <w:wordWrap w:val="0"/>
        <w:spacing w:line="500" w:lineRule="exact"/>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（盖单位章）</w:t>
      </w:r>
    </w:p>
    <w:p>
      <w:pPr>
        <w:spacing w:line="500" w:lineRule="exact"/>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日 </w:t>
      </w: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spacing w:line="720" w:lineRule="auto"/>
        <w:jc w:val="center"/>
        <w:rPr>
          <w:rFonts w:hint="eastAsia" w:ascii="宋体" w:hAnsi="宋体" w:eastAsia="宋体" w:cs="宋体"/>
          <w:b/>
          <w:color w:val="auto"/>
          <w:sz w:val="32"/>
          <w:szCs w:val="32"/>
          <w:highlight w:val="none"/>
        </w:rPr>
      </w:pPr>
      <w:r>
        <w:rPr>
          <w:rFonts w:hint="eastAsia" w:ascii="宋体" w:hAnsi="宋体" w:eastAsia="宋体" w:cs="宋体"/>
          <w:color w:val="auto"/>
          <w:szCs w:val="21"/>
          <w:highlight w:val="none"/>
        </w:rPr>
        <w:br w:type="page"/>
      </w:r>
      <w:bookmarkStart w:id="831" w:name="_Toc19604"/>
      <w:r>
        <w:rPr>
          <w:rStyle w:val="73"/>
          <w:rFonts w:hint="eastAsia" w:ascii="宋体" w:hAnsi="宋体" w:eastAsia="宋体" w:cs="宋体"/>
          <w:color w:val="auto"/>
          <w:highlight w:val="none"/>
        </w:rPr>
        <w:t>二、投标人基本情况表</w:t>
      </w:r>
      <w:bookmarkEnd w:id="831"/>
    </w:p>
    <w:tbl>
      <w:tblPr>
        <w:tblStyle w:val="41"/>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993"/>
        <w:gridCol w:w="283"/>
        <w:gridCol w:w="195"/>
        <w:gridCol w:w="1246"/>
        <w:gridCol w:w="260"/>
        <w:gridCol w:w="709"/>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w:t>
            </w:r>
          </w:p>
        </w:tc>
        <w:tc>
          <w:tcPr>
            <w:tcW w:w="7341" w:type="dxa"/>
            <w:gridSpan w:val="9"/>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注册地址</w:t>
            </w:r>
          </w:p>
        </w:tc>
        <w:tc>
          <w:tcPr>
            <w:tcW w:w="3389" w:type="dxa"/>
            <w:gridSpan w:val="5"/>
            <w:vAlign w:val="center"/>
          </w:tcPr>
          <w:p>
            <w:pPr>
              <w:jc w:val="center"/>
              <w:rPr>
                <w:rFonts w:hint="eastAsia" w:ascii="宋体" w:hAnsi="宋体" w:eastAsia="宋体" w:cs="宋体"/>
                <w:color w:val="auto"/>
                <w:szCs w:val="21"/>
                <w:highlight w:val="none"/>
              </w:rPr>
            </w:pPr>
          </w:p>
        </w:tc>
        <w:tc>
          <w:tcPr>
            <w:tcW w:w="124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邮政编码</w:t>
            </w:r>
          </w:p>
        </w:tc>
        <w:tc>
          <w:tcPr>
            <w:tcW w:w="2706" w:type="dxa"/>
            <w:gridSpan w:val="3"/>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联系方式</w:t>
            </w:r>
          </w:p>
        </w:tc>
        <w:tc>
          <w:tcPr>
            <w:tcW w:w="897"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w:t>
            </w:r>
          </w:p>
        </w:tc>
        <w:tc>
          <w:tcPr>
            <w:tcW w:w="2492" w:type="dxa"/>
            <w:gridSpan w:val="4"/>
            <w:vAlign w:val="center"/>
          </w:tcPr>
          <w:p>
            <w:pPr>
              <w:jc w:val="center"/>
              <w:rPr>
                <w:rFonts w:hint="eastAsia" w:ascii="宋体" w:hAnsi="宋体" w:eastAsia="宋体" w:cs="宋体"/>
                <w:color w:val="auto"/>
                <w:szCs w:val="21"/>
                <w:highlight w:val="none"/>
              </w:rPr>
            </w:pPr>
          </w:p>
        </w:tc>
        <w:tc>
          <w:tcPr>
            <w:tcW w:w="124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  话</w:t>
            </w:r>
          </w:p>
        </w:tc>
        <w:tc>
          <w:tcPr>
            <w:tcW w:w="2706" w:type="dxa"/>
            <w:gridSpan w:val="3"/>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vAlign w:val="center"/>
          </w:tcPr>
          <w:p>
            <w:pPr>
              <w:jc w:val="center"/>
              <w:rPr>
                <w:rFonts w:hint="eastAsia" w:ascii="宋体" w:hAnsi="宋体" w:eastAsia="宋体" w:cs="宋体"/>
                <w:color w:val="auto"/>
                <w:szCs w:val="21"/>
                <w:highlight w:val="none"/>
              </w:rPr>
            </w:pPr>
          </w:p>
        </w:tc>
        <w:tc>
          <w:tcPr>
            <w:tcW w:w="897"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  真</w:t>
            </w:r>
          </w:p>
        </w:tc>
        <w:tc>
          <w:tcPr>
            <w:tcW w:w="2492" w:type="dxa"/>
            <w:gridSpan w:val="4"/>
            <w:vAlign w:val="center"/>
          </w:tcPr>
          <w:p>
            <w:pPr>
              <w:jc w:val="center"/>
              <w:rPr>
                <w:rFonts w:hint="eastAsia" w:ascii="宋体" w:hAnsi="宋体" w:eastAsia="宋体" w:cs="宋体"/>
                <w:color w:val="auto"/>
                <w:szCs w:val="21"/>
                <w:highlight w:val="none"/>
              </w:rPr>
            </w:pPr>
          </w:p>
        </w:tc>
        <w:tc>
          <w:tcPr>
            <w:tcW w:w="124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网  址</w:t>
            </w:r>
          </w:p>
        </w:tc>
        <w:tc>
          <w:tcPr>
            <w:tcW w:w="2706" w:type="dxa"/>
            <w:gridSpan w:val="3"/>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组织机构</w:t>
            </w:r>
          </w:p>
        </w:tc>
        <w:tc>
          <w:tcPr>
            <w:tcW w:w="7341" w:type="dxa"/>
            <w:gridSpan w:val="9"/>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p>
        </w:tc>
        <w:tc>
          <w:tcPr>
            <w:tcW w:w="897"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1021" w:type="dxa"/>
            <w:vAlign w:val="center"/>
          </w:tcPr>
          <w:p>
            <w:pPr>
              <w:jc w:val="center"/>
              <w:rPr>
                <w:rFonts w:hint="eastAsia" w:ascii="宋体" w:hAnsi="宋体" w:eastAsia="宋体" w:cs="宋体"/>
                <w:color w:val="auto"/>
                <w:szCs w:val="21"/>
                <w:highlight w:val="none"/>
              </w:rPr>
            </w:pPr>
          </w:p>
        </w:tc>
        <w:tc>
          <w:tcPr>
            <w:tcW w:w="1276"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技术职称</w:t>
            </w:r>
          </w:p>
        </w:tc>
        <w:tc>
          <w:tcPr>
            <w:tcW w:w="1701" w:type="dxa"/>
            <w:gridSpan w:val="3"/>
            <w:vAlign w:val="center"/>
          </w:tcPr>
          <w:p>
            <w:pPr>
              <w:jc w:val="center"/>
              <w:rPr>
                <w:rFonts w:hint="eastAsia" w:ascii="宋体" w:hAnsi="宋体" w:eastAsia="宋体" w:cs="宋体"/>
                <w:color w:val="auto"/>
                <w:szCs w:val="21"/>
                <w:highlight w:val="none"/>
              </w:rPr>
            </w:pPr>
          </w:p>
        </w:tc>
        <w:tc>
          <w:tcPr>
            <w:tcW w:w="70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p>
        </w:tc>
        <w:tc>
          <w:tcPr>
            <w:tcW w:w="1737"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技术负责人</w:t>
            </w:r>
          </w:p>
        </w:tc>
        <w:tc>
          <w:tcPr>
            <w:tcW w:w="897"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1021" w:type="dxa"/>
            <w:vAlign w:val="center"/>
          </w:tcPr>
          <w:p>
            <w:pPr>
              <w:jc w:val="center"/>
              <w:rPr>
                <w:rFonts w:hint="eastAsia" w:ascii="宋体" w:hAnsi="宋体" w:eastAsia="宋体" w:cs="宋体"/>
                <w:color w:val="auto"/>
                <w:szCs w:val="21"/>
                <w:highlight w:val="none"/>
              </w:rPr>
            </w:pPr>
          </w:p>
        </w:tc>
        <w:tc>
          <w:tcPr>
            <w:tcW w:w="1276"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技术职称</w:t>
            </w:r>
          </w:p>
        </w:tc>
        <w:tc>
          <w:tcPr>
            <w:tcW w:w="1701" w:type="dxa"/>
            <w:gridSpan w:val="3"/>
            <w:vAlign w:val="center"/>
          </w:tcPr>
          <w:p>
            <w:pPr>
              <w:jc w:val="center"/>
              <w:rPr>
                <w:rFonts w:hint="eastAsia" w:ascii="宋体" w:hAnsi="宋体" w:eastAsia="宋体" w:cs="宋体"/>
                <w:color w:val="auto"/>
                <w:szCs w:val="21"/>
                <w:highlight w:val="none"/>
              </w:rPr>
            </w:pPr>
          </w:p>
        </w:tc>
        <w:tc>
          <w:tcPr>
            <w:tcW w:w="70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p>
        </w:tc>
        <w:tc>
          <w:tcPr>
            <w:tcW w:w="1737"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成立时间</w:t>
            </w:r>
          </w:p>
        </w:tc>
        <w:tc>
          <w:tcPr>
            <w:tcW w:w="1918" w:type="dxa"/>
            <w:gridSpan w:val="2"/>
            <w:vAlign w:val="center"/>
          </w:tcPr>
          <w:p>
            <w:pPr>
              <w:jc w:val="center"/>
              <w:rPr>
                <w:rFonts w:hint="eastAsia" w:ascii="宋体" w:hAnsi="宋体" w:eastAsia="宋体" w:cs="宋体"/>
                <w:color w:val="auto"/>
                <w:szCs w:val="21"/>
                <w:highlight w:val="none"/>
              </w:rPr>
            </w:pPr>
          </w:p>
        </w:tc>
        <w:tc>
          <w:tcPr>
            <w:tcW w:w="5423" w:type="dxa"/>
            <w:gridSpan w:val="7"/>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企业资质等级</w:t>
            </w:r>
          </w:p>
        </w:tc>
        <w:tc>
          <w:tcPr>
            <w:tcW w:w="897" w:type="dxa"/>
            <w:vAlign w:val="center"/>
          </w:tcPr>
          <w:p>
            <w:pPr>
              <w:jc w:val="center"/>
              <w:rPr>
                <w:rFonts w:hint="eastAsia" w:ascii="宋体" w:hAnsi="宋体" w:eastAsia="宋体" w:cs="宋体"/>
                <w:color w:val="auto"/>
                <w:szCs w:val="21"/>
                <w:highlight w:val="none"/>
              </w:rPr>
            </w:pPr>
          </w:p>
        </w:tc>
        <w:tc>
          <w:tcPr>
            <w:tcW w:w="1021" w:type="dxa"/>
            <w:vAlign w:val="center"/>
          </w:tcPr>
          <w:p>
            <w:pPr>
              <w:jc w:val="center"/>
              <w:rPr>
                <w:rFonts w:hint="eastAsia" w:ascii="宋体" w:hAnsi="宋体" w:eastAsia="宋体" w:cs="宋体"/>
                <w:color w:val="auto"/>
                <w:szCs w:val="21"/>
                <w:highlight w:val="none"/>
              </w:rPr>
            </w:pPr>
          </w:p>
        </w:tc>
        <w:tc>
          <w:tcPr>
            <w:tcW w:w="993" w:type="dxa"/>
            <w:vMerge w:val="restar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其中</w:t>
            </w:r>
          </w:p>
        </w:tc>
        <w:tc>
          <w:tcPr>
            <w:tcW w:w="1984" w:type="dxa"/>
            <w:gridSpan w:val="4"/>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项目经理</w:t>
            </w:r>
          </w:p>
        </w:tc>
        <w:tc>
          <w:tcPr>
            <w:tcW w:w="2446" w:type="dxa"/>
            <w:gridSpan w:val="2"/>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营业执照号</w:t>
            </w:r>
          </w:p>
        </w:tc>
        <w:tc>
          <w:tcPr>
            <w:tcW w:w="897" w:type="dxa"/>
            <w:vAlign w:val="center"/>
          </w:tcPr>
          <w:p>
            <w:pPr>
              <w:jc w:val="center"/>
              <w:rPr>
                <w:rFonts w:hint="eastAsia" w:ascii="宋体" w:hAnsi="宋体" w:eastAsia="宋体" w:cs="宋体"/>
                <w:color w:val="auto"/>
                <w:szCs w:val="21"/>
                <w:highlight w:val="none"/>
              </w:rPr>
            </w:pPr>
          </w:p>
        </w:tc>
        <w:tc>
          <w:tcPr>
            <w:tcW w:w="1021" w:type="dxa"/>
            <w:vAlign w:val="center"/>
          </w:tcPr>
          <w:p>
            <w:pPr>
              <w:jc w:val="center"/>
              <w:rPr>
                <w:rFonts w:hint="eastAsia" w:ascii="宋体" w:hAnsi="宋体" w:eastAsia="宋体" w:cs="宋体"/>
                <w:color w:val="auto"/>
                <w:szCs w:val="21"/>
                <w:highlight w:val="none"/>
              </w:rPr>
            </w:pPr>
          </w:p>
        </w:tc>
        <w:tc>
          <w:tcPr>
            <w:tcW w:w="993" w:type="dxa"/>
            <w:vMerge w:val="continue"/>
            <w:vAlign w:val="center"/>
          </w:tcPr>
          <w:p>
            <w:pPr>
              <w:jc w:val="center"/>
              <w:rPr>
                <w:rFonts w:hint="eastAsia" w:ascii="宋体" w:hAnsi="宋体" w:eastAsia="宋体" w:cs="宋体"/>
                <w:color w:val="auto"/>
                <w:szCs w:val="21"/>
                <w:highlight w:val="none"/>
              </w:rPr>
            </w:pPr>
          </w:p>
        </w:tc>
        <w:tc>
          <w:tcPr>
            <w:tcW w:w="1984" w:type="dxa"/>
            <w:gridSpan w:val="4"/>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高级职称人员</w:t>
            </w:r>
          </w:p>
        </w:tc>
        <w:tc>
          <w:tcPr>
            <w:tcW w:w="2446" w:type="dxa"/>
            <w:gridSpan w:val="2"/>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注册资金</w:t>
            </w:r>
          </w:p>
        </w:tc>
        <w:tc>
          <w:tcPr>
            <w:tcW w:w="897" w:type="dxa"/>
            <w:vAlign w:val="center"/>
          </w:tcPr>
          <w:p>
            <w:pPr>
              <w:jc w:val="center"/>
              <w:rPr>
                <w:rFonts w:hint="eastAsia" w:ascii="宋体" w:hAnsi="宋体" w:eastAsia="宋体" w:cs="宋体"/>
                <w:color w:val="auto"/>
                <w:szCs w:val="21"/>
                <w:highlight w:val="none"/>
              </w:rPr>
            </w:pPr>
          </w:p>
        </w:tc>
        <w:tc>
          <w:tcPr>
            <w:tcW w:w="1021" w:type="dxa"/>
            <w:vAlign w:val="center"/>
          </w:tcPr>
          <w:p>
            <w:pPr>
              <w:jc w:val="center"/>
              <w:rPr>
                <w:rFonts w:hint="eastAsia" w:ascii="宋体" w:hAnsi="宋体" w:eastAsia="宋体" w:cs="宋体"/>
                <w:color w:val="auto"/>
                <w:szCs w:val="21"/>
                <w:highlight w:val="none"/>
              </w:rPr>
            </w:pPr>
          </w:p>
        </w:tc>
        <w:tc>
          <w:tcPr>
            <w:tcW w:w="993" w:type="dxa"/>
            <w:vMerge w:val="continue"/>
            <w:vAlign w:val="center"/>
          </w:tcPr>
          <w:p>
            <w:pPr>
              <w:jc w:val="center"/>
              <w:rPr>
                <w:rFonts w:hint="eastAsia" w:ascii="宋体" w:hAnsi="宋体" w:eastAsia="宋体" w:cs="宋体"/>
                <w:color w:val="auto"/>
                <w:szCs w:val="21"/>
                <w:highlight w:val="none"/>
              </w:rPr>
            </w:pPr>
          </w:p>
        </w:tc>
        <w:tc>
          <w:tcPr>
            <w:tcW w:w="1984" w:type="dxa"/>
            <w:gridSpan w:val="4"/>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中级职称人员</w:t>
            </w:r>
          </w:p>
        </w:tc>
        <w:tc>
          <w:tcPr>
            <w:tcW w:w="2446" w:type="dxa"/>
            <w:gridSpan w:val="2"/>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开户银行</w:t>
            </w:r>
          </w:p>
        </w:tc>
        <w:tc>
          <w:tcPr>
            <w:tcW w:w="897" w:type="dxa"/>
            <w:vAlign w:val="center"/>
          </w:tcPr>
          <w:p>
            <w:pPr>
              <w:jc w:val="center"/>
              <w:rPr>
                <w:rFonts w:hint="eastAsia" w:ascii="宋体" w:hAnsi="宋体" w:eastAsia="宋体" w:cs="宋体"/>
                <w:color w:val="auto"/>
                <w:szCs w:val="21"/>
                <w:highlight w:val="none"/>
              </w:rPr>
            </w:pPr>
          </w:p>
        </w:tc>
        <w:tc>
          <w:tcPr>
            <w:tcW w:w="1021" w:type="dxa"/>
            <w:vAlign w:val="center"/>
          </w:tcPr>
          <w:p>
            <w:pPr>
              <w:jc w:val="center"/>
              <w:rPr>
                <w:rFonts w:hint="eastAsia" w:ascii="宋体" w:hAnsi="宋体" w:eastAsia="宋体" w:cs="宋体"/>
                <w:color w:val="auto"/>
                <w:szCs w:val="21"/>
                <w:highlight w:val="none"/>
              </w:rPr>
            </w:pPr>
          </w:p>
        </w:tc>
        <w:tc>
          <w:tcPr>
            <w:tcW w:w="993" w:type="dxa"/>
            <w:vMerge w:val="continue"/>
            <w:vAlign w:val="center"/>
          </w:tcPr>
          <w:p>
            <w:pPr>
              <w:jc w:val="center"/>
              <w:rPr>
                <w:rFonts w:hint="eastAsia" w:ascii="宋体" w:hAnsi="宋体" w:eastAsia="宋体" w:cs="宋体"/>
                <w:color w:val="auto"/>
                <w:szCs w:val="21"/>
                <w:highlight w:val="none"/>
              </w:rPr>
            </w:pPr>
          </w:p>
        </w:tc>
        <w:tc>
          <w:tcPr>
            <w:tcW w:w="1984" w:type="dxa"/>
            <w:gridSpan w:val="4"/>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初级职称人员</w:t>
            </w:r>
          </w:p>
        </w:tc>
        <w:tc>
          <w:tcPr>
            <w:tcW w:w="2446" w:type="dxa"/>
            <w:gridSpan w:val="2"/>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账号</w:t>
            </w:r>
          </w:p>
        </w:tc>
        <w:tc>
          <w:tcPr>
            <w:tcW w:w="897" w:type="dxa"/>
            <w:vAlign w:val="center"/>
          </w:tcPr>
          <w:p>
            <w:pPr>
              <w:jc w:val="center"/>
              <w:rPr>
                <w:rFonts w:hint="eastAsia" w:ascii="宋体" w:hAnsi="宋体" w:eastAsia="宋体" w:cs="宋体"/>
                <w:color w:val="auto"/>
                <w:szCs w:val="21"/>
                <w:highlight w:val="none"/>
              </w:rPr>
            </w:pPr>
          </w:p>
        </w:tc>
        <w:tc>
          <w:tcPr>
            <w:tcW w:w="1021" w:type="dxa"/>
            <w:vAlign w:val="center"/>
          </w:tcPr>
          <w:p>
            <w:pPr>
              <w:jc w:val="center"/>
              <w:rPr>
                <w:rFonts w:hint="eastAsia" w:ascii="宋体" w:hAnsi="宋体" w:eastAsia="宋体" w:cs="宋体"/>
                <w:color w:val="auto"/>
                <w:szCs w:val="21"/>
                <w:highlight w:val="none"/>
              </w:rPr>
            </w:pPr>
          </w:p>
        </w:tc>
        <w:tc>
          <w:tcPr>
            <w:tcW w:w="993" w:type="dxa"/>
            <w:vMerge w:val="continue"/>
            <w:vAlign w:val="center"/>
          </w:tcPr>
          <w:p>
            <w:pPr>
              <w:jc w:val="center"/>
              <w:rPr>
                <w:rFonts w:hint="eastAsia" w:ascii="宋体" w:hAnsi="宋体" w:eastAsia="宋体" w:cs="宋体"/>
                <w:color w:val="auto"/>
                <w:szCs w:val="21"/>
                <w:highlight w:val="none"/>
              </w:rPr>
            </w:pPr>
          </w:p>
        </w:tc>
        <w:tc>
          <w:tcPr>
            <w:tcW w:w="1984" w:type="dxa"/>
            <w:gridSpan w:val="4"/>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  工</w:t>
            </w:r>
          </w:p>
        </w:tc>
        <w:tc>
          <w:tcPr>
            <w:tcW w:w="2446" w:type="dxa"/>
            <w:gridSpan w:val="2"/>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62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经营范围</w:t>
            </w:r>
          </w:p>
        </w:tc>
        <w:tc>
          <w:tcPr>
            <w:tcW w:w="7341" w:type="dxa"/>
            <w:gridSpan w:val="9"/>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c>
          <w:tcPr>
            <w:tcW w:w="7341" w:type="dxa"/>
            <w:gridSpan w:val="9"/>
            <w:vAlign w:val="center"/>
          </w:tcPr>
          <w:p>
            <w:pPr>
              <w:jc w:val="center"/>
              <w:rPr>
                <w:rFonts w:hint="eastAsia" w:ascii="宋体" w:hAnsi="宋体" w:eastAsia="宋体" w:cs="宋体"/>
                <w:color w:val="auto"/>
                <w:szCs w:val="21"/>
                <w:highlight w:val="none"/>
              </w:rPr>
            </w:pPr>
          </w:p>
        </w:tc>
      </w:tr>
    </w:tbl>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b/>
          <w:color w:val="auto"/>
          <w:spacing w:val="-6"/>
          <w:szCs w:val="21"/>
          <w:highlight w:val="none"/>
        </w:rPr>
        <w:t>备注</w:t>
      </w:r>
      <w:r>
        <w:rPr>
          <w:rFonts w:hint="eastAsia" w:ascii="宋体" w:hAnsi="宋体" w:eastAsia="宋体" w:cs="宋体"/>
          <w:color w:val="auto"/>
          <w:spacing w:val="-6"/>
          <w:szCs w:val="21"/>
          <w:highlight w:val="none"/>
        </w:rPr>
        <w:t>：本表后应附</w:t>
      </w:r>
      <w:r>
        <w:rPr>
          <w:rFonts w:hint="eastAsia" w:ascii="宋体" w:hAnsi="宋体" w:eastAsia="宋体" w:cs="宋体"/>
          <w:color w:val="auto"/>
          <w:spacing w:val="-6"/>
          <w:highlight w:val="none"/>
        </w:rPr>
        <w:t>有效的企业法人营业执照副本、企业资质证书副本、安全生产许可证副本等材料的复印件</w:t>
      </w:r>
      <w:r>
        <w:rPr>
          <w:rFonts w:hint="eastAsia" w:ascii="宋体" w:hAnsi="宋体" w:eastAsia="宋体" w:cs="宋体"/>
          <w:color w:val="auto"/>
          <w:highlight w:val="none"/>
        </w:rPr>
        <w:t>）</w:t>
      </w:r>
      <w:r>
        <w:rPr>
          <w:rFonts w:hint="eastAsia" w:ascii="宋体" w:hAnsi="宋体" w:eastAsia="宋体" w:cs="宋体"/>
          <w:color w:val="auto"/>
          <w:szCs w:val="21"/>
          <w:highlight w:val="none"/>
        </w:rPr>
        <w:t>。</w:t>
      </w:r>
    </w:p>
    <w:p>
      <w:pPr>
        <w:jc w:val="center"/>
        <w:rPr>
          <w:rFonts w:hint="eastAsia" w:ascii="宋体" w:hAnsi="宋体" w:eastAsia="宋体" w:cs="宋体"/>
          <w:b/>
          <w:color w:val="auto"/>
          <w:sz w:val="32"/>
          <w:szCs w:val="32"/>
          <w:highlight w:val="none"/>
        </w:rPr>
      </w:pPr>
    </w:p>
    <w:p>
      <w:pPr>
        <w:spacing w:line="720" w:lineRule="auto"/>
        <w:jc w:val="center"/>
        <w:rPr>
          <w:rFonts w:hint="eastAsia" w:ascii="宋体" w:hAnsi="宋体" w:eastAsia="宋体" w:cs="宋体"/>
          <w:b/>
          <w:color w:val="auto"/>
          <w:sz w:val="32"/>
          <w:szCs w:val="32"/>
          <w:highlight w:val="none"/>
        </w:rPr>
      </w:pPr>
    </w:p>
    <w:p>
      <w:pPr>
        <w:spacing w:line="500" w:lineRule="exact"/>
        <w:ind w:firstLine="643" w:firstLineChars="200"/>
        <w:rPr>
          <w:rStyle w:val="73"/>
          <w:rFonts w:hint="eastAsia" w:ascii="宋体" w:hAnsi="宋体" w:eastAsia="宋体" w:cs="宋体"/>
          <w:b/>
          <w:color w:val="auto"/>
          <w:sz w:val="32"/>
          <w:szCs w:val="32"/>
          <w:highlight w:val="none"/>
        </w:rPr>
      </w:pPr>
      <w:r>
        <w:rPr>
          <w:rFonts w:hint="eastAsia" w:ascii="宋体" w:hAnsi="宋体" w:eastAsia="宋体" w:cs="宋体"/>
          <w:b/>
          <w:bCs/>
          <w:color w:val="auto"/>
          <w:sz w:val="32"/>
          <w:szCs w:val="32"/>
          <w:highlight w:val="none"/>
        </w:rPr>
        <w:t>三、</w:t>
      </w:r>
      <w:r>
        <w:rPr>
          <w:rStyle w:val="73"/>
          <w:rFonts w:hint="eastAsia" w:ascii="宋体" w:hAnsi="宋体" w:eastAsia="宋体" w:cs="宋体"/>
          <w:color w:val="auto"/>
          <w:highlight w:val="none"/>
        </w:rPr>
        <w:t>投标保证金银行转账单的复印件、低价风险保证金凭证（如有）的复印件、基本账户开户许可证的复印件或基本存款账户信息复印件</w:t>
      </w:r>
    </w:p>
    <w:p>
      <w:pPr>
        <w:spacing w:line="720" w:lineRule="auto"/>
        <w:jc w:val="center"/>
        <w:rPr>
          <w:rFonts w:hint="eastAsia" w:ascii="宋体" w:hAnsi="宋体" w:eastAsia="宋体" w:cs="宋体"/>
          <w:b/>
          <w:color w:val="auto"/>
          <w:sz w:val="32"/>
          <w:szCs w:val="32"/>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4"/>
        <w:jc w:val="center"/>
        <w:rPr>
          <w:rFonts w:hint="eastAsia" w:ascii="宋体" w:hAnsi="宋体" w:eastAsia="宋体" w:cs="宋体"/>
          <w:color w:val="auto"/>
          <w:highlight w:val="none"/>
        </w:rPr>
      </w:pPr>
      <w:bookmarkStart w:id="832" w:name="_Toc17367"/>
      <w:bookmarkStart w:id="833" w:name="_Toc251051984"/>
      <w:bookmarkStart w:id="834" w:name="_Toc332814356"/>
      <w:r>
        <w:rPr>
          <w:rFonts w:hint="eastAsia" w:ascii="宋体" w:hAnsi="宋体" w:eastAsia="宋体" w:cs="宋体"/>
          <w:color w:val="auto"/>
          <w:highlight w:val="none"/>
        </w:rPr>
        <w:t>四、建设工程项目管理承诺书</w:t>
      </w:r>
      <w:bookmarkEnd w:id="832"/>
      <w:bookmarkEnd w:id="833"/>
      <w:bookmarkEnd w:id="834"/>
    </w:p>
    <w:p>
      <w:pPr>
        <w:spacing w:line="480" w:lineRule="auto"/>
        <w:jc w:val="left"/>
        <w:rPr>
          <w:rFonts w:hint="eastAsia" w:ascii="宋体" w:hAnsi="宋体" w:eastAsia="宋体" w:cs="宋体"/>
          <w:color w:val="auto"/>
          <w:highlight w:val="none"/>
        </w:rPr>
      </w:pPr>
      <w:r>
        <w:rPr>
          <w:rFonts w:hint="eastAsia" w:ascii="宋体" w:hAnsi="宋体" w:eastAsia="宋体" w:cs="宋体"/>
          <w:color w:val="auto"/>
          <w:highlight w:val="none"/>
        </w:rPr>
        <w:t>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采购人</w:t>
      </w:r>
      <w:r>
        <w:rPr>
          <w:rFonts w:hint="eastAsia" w:ascii="宋体" w:hAnsi="宋体" w:eastAsia="宋体" w:cs="宋体"/>
          <w:color w:val="auto"/>
          <w:highlight w:val="none"/>
          <w:u w:val="single"/>
        </w:rPr>
        <w:t xml:space="preserve">名称）     </w:t>
      </w:r>
      <w:r>
        <w:rPr>
          <w:rFonts w:hint="eastAsia" w:ascii="宋体" w:hAnsi="宋体" w:eastAsia="宋体" w:cs="宋体"/>
          <w:color w:val="auto"/>
          <w:highlight w:val="none"/>
        </w:rPr>
        <w:t>：</w:t>
      </w:r>
    </w:p>
    <w:p>
      <w:pPr>
        <w:spacing w:line="520" w:lineRule="exact"/>
        <w:ind w:firstLine="422" w:firstLineChars="201"/>
        <w:jc w:val="left"/>
        <w:rPr>
          <w:rFonts w:hint="eastAsia" w:ascii="宋体" w:hAnsi="宋体" w:eastAsia="宋体" w:cs="宋体"/>
          <w:color w:val="auto"/>
          <w:highlight w:val="none"/>
        </w:rPr>
      </w:pPr>
      <w:r>
        <w:rPr>
          <w:rFonts w:hint="eastAsia" w:ascii="宋体" w:hAnsi="宋体" w:eastAsia="宋体" w:cs="宋体"/>
          <w:color w:val="auto"/>
          <w:highlight w:val="none"/>
        </w:rPr>
        <w:t>作为参与</w:t>
      </w:r>
      <w:r>
        <w:rPr>
          <w:rFonts w:hint="eastAsia" w:ascii="宋体" w:hAnsi="宋体" w:eastAsia="宋体" w:cs="宋体"/>
          <w:color w:val="auto"/>
          <w:szCs w:val="21"/>
          <w:highlight w:val="none"/>
          <w:u w:val="single"/>
        </w:rPr>
        <w:t> </w:t>
      </w:r>
      <w:r>
        <w:rPr>
          <w:rFonts w:hint="eastAsia" w:ascii="宋体" w:hAnsi="宋体" w:eastAsia="宋体" w:cs="宋体"/>
          <w:color w:val="auto"/>
          <w:highlight w:val="none"/>
          <w:u w:val="single"/>
        </w:rPr>
        <w:t xml:space="preserve">（项目总名称）（标段名称）        </w:t>
      </w:r>
      <w:r>
        <w:rPr>
          <w:rFonts w:hint="eastAsia" w:ascii="宋体" w:hAnsi="宋体" w:eastAsia="宋体" w:cs="宋体"/>
          <w:color w:val="auto"/>
          <w:highlight w:val="none"/>
        </w:rPr>
        <w:t>项目的投标方，根据国家、自治区及河池市相关文件规定，我方在此向</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承诺：</w:t>
      </w:r>
    </w:p>
    <w:p>
      <w:pPr>
        <w:spacing w:line="520" w:lineRule="exact"/>
        <w:ind w:firstLine="422" w:firstLineChars="201"/>
        <w:jc w:val="left"/>
        <w:rPr>
          <w:rFonts w:hint="eastAsia" w:ascii="宋体" w:hAnsi="宋体" w:eastAsia="宋体" w:cs="宋体"/>
          <w:color w:val="auto"/>
          <w:highlight w:val="none"/>
        </w:rPr>
      </w:pPr>
      <w:r>
        <w:rPr>
          <w:rFonts w:hint="eastAsia" w:ascii="宋体" w:hAnsi="宋体" w:eastAsia="宋体" w:cs="宋体"/>
          <w:color w:val="auto"/>
          <w:highlight w:val="none"/>
        </w:rPr>
        <w:t>1、一旦中标，我方保证按照政府相关部门的规定，在发出中标通知书之日起7个工作日内足额将农民工工资保障金转入农民工工资保障金专用账户。一旦我方所承包的该项目中出现拖欠农民工和工人工资情况，由建设行政主管部门或财政部门从我方农民工工资保障金中先予划支。我方在中标后如不按时、足额存入农民工工资保障金的，将被取消中标资格。</w:t>
      </w:r>
    </w:p>
    <w:p>
      <w:pPr>
        <w:spacing w:line="520" w:lineRule="exact"/>
        <w:ind w:left="-10" w:firstLine="455" w:firstLineChars="217"/>
        <w:jc w:val="left"/>
        <w:rPr>
          <w:rFonts w:hint="eastAsia" w:ascii="宋体" w:hAnsi="宋体" w:eastAsia="宋体" w:cs="宋体"/>
          <w:color w:val="auto"/>
          <w:highlight w:val="none"/>
        </w:rPr>
      </w:pPr>
      <w:r>
        <w:rPr>
          <w:rFonts w:hint="eastAsia" w:ascii="宋体" w:hAnsi="宋体" w:eastAsia="宋体" w:cs="宋体"/>
          <w:color w:val="auto"/>
          <w:highlight w:val="none"/>
        </w:rPr>
        <w:t>2、一旦中标，我方保证在施工过程中，严格执行桂建质安〔2006〕22号文《广西壮族自治区建筑工程安全防护、文明施工措施费及使用管理细则》的有关规定，确保建设工程各项安全防护、文明施工措施落实到位。如我方在该项目的承包中出现未按桂建质安〔2006〕22号文附件一规定执行的情形，我方愿意按照相关规定接受建设单位及有关主管部门的处罚。</w:t>
      </w:r>
    </w:p>
    <w:p>
      <w:pPr>
        <w:spacing w:line="520" w:lineRule="exact"/>
        <w:ind w:left="-2" w:leftChars="-1" w:firstLine="449" w:firstLineChars="214"/>
        <w:jc w:val="left"/>
        <w:rPr>
          <w:rFonts w:hint="eastAsia" w:ascii="宋体" w:hAnsi="宋体" w:eastAsia="宋体" w:cs="宋体"/>
          <w:color w:val="auto"/>
          <w:highlight w:val="none"/>
        </w:rPr>
      </w:pPr>
      <w:r>
        <w:rPr>
          <w:rFonts w:hint="eastAsia" w:ascii="宋体" w:hAnsi="宋体" w:eastAsia="宋体" w:cs="宋体"/>
          <w:color w:val="auto"/>
          <w:highlight w:val="none"/>
        </w:rPr>
        <w:t>3、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360" w:lineRule="auto"/>
        <w:jc w:val="left"/>
        <w:rPr>
          <w:rFonts w:hint="eastAsia" w:ascii="宋体" w:hAnsi="宋体" w:eastAsia="宋体" w:cs="宋体"/>
          <w:color w:val="auto"/>
          <w:highlight w:val="none"/>
        </w:rPr>
      </w:pPr>
    </w:p>
    <w:p>
      <w:pPr>
        <w:spacing w:line="360" w:lineRule="auto"/>
        <w:jc w:val="left"/>
        <w:rPr>
          <w:rFonts w:hint="eastAsia" w:ascii="宋体" w:hAnsi="宋体" w:eastAsia="宋体" w:cs="宋体"/>
          <w:color w:val="auto"/>
          <w:highlight w:val="none"/>
        </w:rPr>
      </w:pPr>
    </w:p>
    <w:p>
      <w:pPr>
        <w:spacing w:line="360" w:lineRule="auto"/>
        <w:jc w:val="left"/>
        <w:rPr>
          <w:rFonts w:hint="eastAsia" w:ascii="宋体" w:hAnsi="宋体" w:eastAsia="宋体" w:cs="宋体"/>
          <w:color w:val="auto"/>
          <w:highlight w:val="none"/>
        </w:rPr>
      </w:pPr>
    </w:p>
    <w:p>
      <w:pPr>
        <w:wordWrap w:val="0"/>
        <w:spacing w:line="360" w:lineRule="auto"/>
        <w:ind w:right="420" w:firstLine="3885" w:firstLineChars="1850"/>
        <w:rPr>
          <w:rFonts w:hint="eastAsia" w:ascii="宋体" w:hAnsi="宋体" w:eastAsia="宋体" w:cs="宋体"/>
          <w:color w:val="auto"/>
          <w:highlight w:val="none"/>
          <w:u w:val="single"/>
        </w:rPr>
      </w:pPr>
      <w:r>
        <w:rPr>
          <w:rFonts w:hint="eastAsia" w:ascii="宋体" w:hAnsi="宋体" w:eastAsia="宋体" w:cs="宋体"/>
          <w:color w:val="auto"/>
          <w:highlight w:val="none"/>
        </w:rPr>
        <w:t>投标人：</w:t>
      </w:r>
      <w:r>
        <w:rPr>
          <w:rFonts w:hint="eastAsia" w:ascii="宋体" w:hAnsi="宋体" w:eastAsia="宋体" w:cs="宋体"/>
          <w:color w:val="auto"/>
          <w:highlight w:val="none"/>
          <w:u w:val="single"/>
        </w:rPr>
        <w:t xml:space="preserve">          （投标人名称）        （盖章）</w:t>
      </w:r>
    </w:p>
    <w:p>
      <w:pPr>
        <w:spacing w:line="360" w:lineRule="auto"/>
        <w:ind w:firstLine="1260" w:firstLineChars="600"/>
        <w:jc w:val="left"/>
        <w:rPr>
          <w:rFonts w:hint="eastAsia" w:ascii="宋体" w:hAnsi="宋体" w:eastAsia="宋体" w:cs="宋体"/>
          <w:color w:val="auto"/>
          <w:highlight w:val="none"/>
        </w:rPr>
      </w:pPr>
    </w:p>
    <w:p>
      <w:pPr>
        <w:spacing w:line="360" w:lineRule="auto"/>
        <w:ind w:firstLine="3885" w:firstLineChars="1850"/>
        <w:jc w:val="left"/>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法定代表人或授权代理人：</w:t>
      </w:r>
      <w:r>
        <w:rPr>
          <w:rFonts w:hint="eastAsia" w:ascii="宋体" w:hAnsi="宋体" w:eastAsia="宋体" w:cs="宋体"/>
          <w:color w:val="auto"/>
          <w:highlight w:val="none"/>
          <w:u w:val="single"/>
        </w:rPr>
        <w:t xml:space="preserve">       （签字或盖章）</w:t>
      </w:r>
    </w:p>
    <w:p>
      <w:pPr>
        <w:spacing w:line="360" w:lineRule="auto"/>
        <w:ind w:firstLine="1260" w:firstLineChars="600"/>
        <w:jc w:val="left"/>
        <w:rPr>
          <w:rFonts w:hint="eastAsia" w:ascii="宋体" w:hAnsi="宋体" w:eastAsia="宋体" w:cs="宋体"/>
          <w:color w:val="auto"/>
          <w:highlight w:val="none"/>
        </w:rPr>
      </w:pPr>
    </w:p>
    <w:p>
      <w:pPr>
        <w:spacing w:line="360" w:lineRule="auto"/>
        <w:ind w:right="420" w:firstLine="4515" w:firstLineChars="2150"/>
        <w:jc w:val="right"/>
        <w:rPr>
          <w:rFonts w:hint="eastAsia" w:ascii="宋体" w:hAnsi="宋体" w:eastAsia="宋体" w:cs="宋体"/>
          <w:color w:val="auto"/>
          <w:highlight w:val="none"/>
        </w:rPr>
      </w:pPr>
      <w:r>
        <w:rPr>
          <w:rFonts w:hint="eastAsia" w:ascii="宋体" w:hAnsi="宋体" w:eastAsia="宋体" w:cs="宋体"/>
          <w:color w:val="auto"/>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桂建质安〔2006〕22号文附件一</w:t>
      </w:r>
    </w:p>
    <w:p>
      <w:pPr>
        <w:jc w:val="cente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广西壮族自治区建筑工程安全防护、文明施工措施项目清单内容</w:t>
      </w:r>
    </w:p>
    <w:p>
      <w:pPr>
        <w:jc w:val="center"/>
        <w:rPr>
          <w:rFonts w:hint="eastAsia" w:ascii="宋体" w:hAnsi="宋体" w:eastAsia="宋体" w:cs="宋体"/>
          <w:b/>
          <w:color w:val="auto"/>
          <w:sz w:val="28"/>
          <w:szCs w:val="28"/>
          <w:highlight w:val="none"/>
        </w:rPr>
      </w:pPr>
    </w:p>
    <w:tbl>
      <w:tblPr>
        <w:tblStyle w:val="41"/>
        <w:tblW w:w="9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429"/>
        <w:gridCol w:w="1143"/>
        <w:gridCol w:w="7242"/>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482" w:hRule="atLeast"/>
          <w:jc w:val="center"/>
        </w:trPr>
        <w:tc>
          <w:tcPr>
            <w:tcW w:w="715"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类别</w:t>
            </w:r>
          </w:p>
        </w:tc>
        <w:tc>
          <w:tcPr>
            <w:tcW w:w="1572" w:type="dxa"/>
            <w:gridSpan w:val="2"/>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项目名称</w:t>
            </w:r>
          </w:p>
        </w:tc>
        <w:tc>
          <w:tcPr>
            <w:tcW w:w="7242"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575" w:hRule="atLeast"/>
          <w:jc w:val="center"/>
        </w:trPr>
        <w:tc>
          <w:tcPr>
            <w:tcW w:w="715" w:type="dxa"/>
            <w:vMerge w:val="restar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文明施工与</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环境保护</w:t>
            </w:r>
          </w:p>
        </w:tc>
        <w:tc>
          <w:tcPr>
            <w:tcW w:w="1572" w:type="dxa"/>
            <w:gridSpan w:val="2"/>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安全警示</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标志牌</w:t>
            </w:r>
          </w:p>
        </w:tc>
        <w:tc>
          <w:tcPr>
            <w:tcW w:w="7242" w:type="dxa"/>
          </w:tcPr>
          <w:p>
            <w:pPr>
              <w:rPr>
                <w:rFonts w:hint="eastAsia" w:ascii="宋体" w:hAnsi="宋体" w:eastAsia="宋体" w:cs="宋体"/>
                <w:color w:val="auto"/>
                <w:highlight w:val="none"/>
              </w:rPr>
            </w:pPr>
            <w:r>
              <w:rPr>
                <w:rFonts w:hint="eastAsia" w:ascii="宋体" w:hAnsi="宋体" w:eastAsia="宋体" w:cs="宋体"/>
                <w:color w:val="auto"/>
                <w:highlight w:val="none"/>
              </w:rPr>
              <w:t>在易发伤亡事故（或危险）处设置明显的、符合国家标准要求的安全警示标志牌。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151" w:hRule="atLeast"/>
          <w:jc w:val="center"/>
        </w:trPr>
        <w:tc>
          <w:tcPr>
            <w:tcW w:w="715" w:type="dxa"/>
            <w:vMerge w:val="continue"/>
          </w:tcPr>
          <w:p>
            <w:pPr>
              <w:rPr>
                <w:rFonts w:hint="eastAsia" w:ascii="宋体" w:hAnsi="宋体" w:eastAsia="宋体" w:cs="宋体"/>
                <w:color w:val="auto"/>
                <w:highlight w:val="none"/>
              </w:rPr>
            </w:pPr>
          </w:p>
        </w:tc>
        <w:tc>
          <w:tcPr>
            <w:tcW w:w="1572" w:type="dxa"/>
            <w:gridSpan w:val="2"/>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现场围挡</w:t>
            </w:r>
          </w:p>
        </w:tc>
        <w:tc>
          <w:tcPr>
            <w:tcW w:w="7242" w:type="dxa"/>
          </w:tcPr>
          <w:p>
            <w:pPr>
              <w:numPr>
                <w:ilvl w:val="0"/>
                <w:numId w:val="2"/>
              </w:numPr>
              <w:rPr>
                <w:rFonts w:hint="eastAsia" w:ascii="宋体" w:hAnsi="宋体" w:eastAsia="宋体" w:cs="宋体"/>
                <w:color w:val="auto"/>
                <w:highlight w:val="none"/>
              </w:rPr>
            </w:pPr>
            <w:r>
              <w:rPr>
                <w:rFonts w:hint="eastAsia" w:ascii="宋体" w:hAnsi="宋体" w:eastAsia="宋体" w:cs="宋体"/>
                <w:color w:val="auto"/>
                <w:highlight w:val="none"/>
              </w:rPr>
              <w:t>现场采用封闭围挡，高度不小于1.8m。</w:t>
            </w:r>
          </w:p>
          <w:p>
            <w:pPr>
              <w:numPr>
                <w:ilvl w:val="0"/>
                <w:numId w:val="2"/>
              </w:numPr>
              <w:rPr>
                <w:rFonts w:hint="eastAsia" w:ascii="宋体" w:hAnsi="宋体" w:eastAsia="宋体" w:cs="宋体"/>
                <w:color w:val="auto"/>
                <w:highlight w:val="none"/>
              </w:rPr>
            </w:pPr>
            <w:r>
              <w:rPr>
                <w:rFonts w:hint="eastAsia" w:ascii="宋体" w:hAnsi="宋体" w:eastAsia="宋体" w:cs="宋体"/>
                <w:color w:val="auto"/>
                <w:highlight w:val="none"/>
              </w:rPr>
              <w:t>围挡材料可用彩色、定型钢板，砖、砼砌块等墙体。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151" w:hRule="atLeast"/>
          <w:jc w:val="center"/>
        </w:trPr>
        <w:tc>
          <w:tcPr>
            <w:tcW w:w="715" w:type="dxa"/>
            <w:vMerge w:val="continue"/>
          </w:tcPr>
          <w:p>
            <w:pPr>
              <w:rPr>
                <w:rFonts w:hint="eastAsia" w:ascii="宋体" w:hAnsi="宋体" w:eastAsia="宋体" w:cs="宋体"/>
                <w:color w:val="auto"/>
                <w:highlight w:val="none"/>
              </w:rPr>
            </w:pPr>
          </w:p>
        </w:tc>
        <w:tc>
          <w:tcPr>
            <w:tcW w:w="1572" w:type="dxa"/>
            <w:gridSpan w:val="2"/>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五板一图</w:t>
            </w:r>
          </w:p>
        </w:tc>
        <w:tc>
          <w:tcPr>
            <w:tcW w:w="7242" w:type="dxa"/>
          </w:tcPr>
          <w:p>
            <w:pPr>
              <w:rPr>
                <w:rFonts w:hint="eastAsia" w:ascii="宋体" w:hAnsi="宋体" w:eastAsia="宋体" w:cs="宋体"/>
                <w:color w:val="auto"/>
                <w:highlight w:val="none"/>
              </w:rPr>
            </w:pPr>
            <w:r>
              <w:rPr>
                <w:rFonts w:hint="eastAsia" w:ascii="宋体" w:hAnsi="宋体" w:eastAsia="宋体" w:cs="宋体"/>
                <w:color w:val="auto"/>
                <w:highlight w:val="none"/>
              </w:rPr>
              <w:t>在进门处悬挂工程概况、管理人员名单及监督电话、安全生产规定、文明施工、消防保卫五板；施工现场总平面图。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526" w:hRule="atLeast"/>
          <w:jc w:val="center"/>
        </w:trPr>
        <w:tc>
          <w:tcPr>
            <w:tcW w:w="715" w:type="dxa"/>
            <w:vMerge w:val="continue"/>
          </w:tcPr>
          <w:p>
            <w:pPr>
              <w:rPr>
                <w:rFonts w:hint="eastAsia" w:ascii="宋体" w:hAnsi="宋体" w:eastAsia="宋体" w:cs="宋体"/>
                <w:color w:val="auto"/>
                <w:highlight w:val="none"/>
              </w:rPr>
            </w:pPr>
          </w:p>
        </w:tc>
        <w:tc>
          <w:tcPr>
            <w:tcW w:w="1572" w:type="dxa"/>
            <w:gridSpan w:val="2"/>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企业标志</w:t>
            </w:r>
          </w:p>
        </w:tc>
        <w:tc>
          <w:tcPr>
            <w:tcW w:w="7242"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现场出入的大门应设有本企业标志或企业标识。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151" w:hRule="atLeast"/>
          <w:jc w:val="center"/>
        </w:trPr>
        <w:tc>
          <w:tcPr>
            <w:tcW w:w="715" w:type="dxa"/>
            <w:vMerge w:val="continue"/>
          </w:tcPr>
          <w:p>
            <w:pPr>
              <w:rPr>
                <w:rFonts w:hint="eastAsia" w:ascii="宋体" w:hAnsi="宋体" w:eastAsia="宋体" w:cs="宋体"/>
                <w:color w:val="auto"/>
                <w:highlight w:val="none"/>
              </w:rPr>
            </w:pPr>
          </w:p>
        </w:tc>
        <w:tc>
          <w:tcPr>
            <w:tcW w:w="1572" w:type="dxa"/>
            <w:gridSpan w:val="2"/>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场容场貌</w:t>
            </w:r>
          </w:p>
        </w:tc>
        <w:tc>
          <w:tcPr>
            <w:tcW w:w="7242" w:type="dxa"/>
          </w:tcPr>
          <w:p>
            <w:pPr>
              <w:numPr>
                <w:ilvl w:val="0"/>
                <w:numId w:val="3"/>
              </w:numPr>
              <w:rPr>
                <w:rFonts w:hint="eastAsia" w:ascii="宋体" w:hAnsi="宋体" w:eastAsia="宋体" w:cs="宋体"/>
                <w:color w:val="auto"/>
                <w:highlight w:val="none"/>
              </w:rPr>
            </w:pPr>
            <w:r>
              <w:rPr>
                <w:rFonts w:hint="eastAsia" w:ascii="宋体" w:hAnsi="宋体" w:eastAsia="宋体" w:cs="宋体"/>
                <w:color w:val="auto"/>
                <w:highlight w:val="none"/>
              </w:rPr>
              <w:t>道路畅通；</w:t>
            </w:r>
          </w:p>
          <w:p>
            <w:pPr>
              <w:numPr>
                <w:ilvl w:val="0"/>
                <w:numId w:val="3"/>
              </w:numPr>
              <w:rPr>
                <w:rFonts w:hint="eastAsia" w:ascii="宋体" w:hAnsi="宋体" w:eastAsia="宋体" w:cs="宋体"/>
                <w:color w:val="auto"/>
                <w:highlight w:val="none"/>
              </w:rPr>
            </w:pPr>
            <w:r>
              <w:rPr>
                <w:rFonts w:hint="eastAsia" w:ascii="宋体" w:hAnsi="宋体" w:eastAsia="宋体" w:cs="宋体"/>
                <w:color w:val="auto"/>
                <w:highlight w:val="none"/>
              </w:rPr>
              <w:t>排水沟、排水设施畅通；</w:t>
            </w:r>
          </w:p>
          <w:p>
            <w:pPr>
              <w:numPr>
                <w:ilvl w:val="0"/>
                <w:numId w:val="3"/>
              </w:numPr>
              <w:rPr>
                <w:rFonts w:hint="eastAsia" w:ascii="宋体" w:hAnsi="宋体" w:eastAsia="宋体" w:cs="宋体"/>
                <w:color w:val="auto"/>
                <w:highlight w:val="none"/>
              </w:rPr>
            </w:pPr>
            <w:r>
              <w:rPr>
                <w:rFonts w:hint="eastAsia" w:ascii="宋体" w:hAnsi="宋体" w:eastAsia="宋体" w:cs="宋体"/>
                <w:color w:val="auto"/>
                <w:highlight w:val="none"/>
              </w:rPr>
              <w:t>工地地面硬化处理（办公区，生活区，现场道路，材料堆放、混凝土搅拌、砂浆搅拌、钢筋加工等场地，外脚手架基础等）。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151" w:hRule="atLeast"/>
          <w:jc w:val="center"/>
        </w:trPr>
        <w:tc>
          <w:tcPr>
            <w:tcW w:w="715" w:type="dxa"/>
            <w:vMerge w:val="continue"/>
          </w:tcPr>
          <w:p>
            <w:pPr>
              <w:rPr>
                <w:rFonts w:hint="eastAsia" w:ascii="宋体" w:hAnsi="宋体" w:eastAsia="宋体" w:cs="宋体"/>
                <w:color w:val="auto"/>
                <w:highlight w:val="none"/>
              </w:rPr>
            </w:pPr>
          </w:p>
        </w:tc>
        <w:tc>
          <w:tcPr>
            <w:tcW w:w="1572" w:type="dxa"/>
            <w:gridSpan w:val="2"/>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材料堆放</w:t>
            </w:r>
          </w:p>
        </w:tc>
        <w:tc>
          <w:tcPr>
            <w:tcW w:w="7242" w:type="dxa"/>
          </w:tcPr>
          <w:p>
            <w:pPr>
              <w:numPr>
                <w:ilvl w:val="0"/>
                <w:numId w:val="4"/>
              </w:numPr>
              <w:rPr>
                <w:rFonts w:hint="eastAsia" w:ascii="宋体" w:hAnsi="宋体" w:eastAsia="宋体" w:cs="宋体"/>
                <w:color w:val="auto"/>
                <w:highlight w:val="none"/>
              </w:rPr>
            </w:pPr>
            <w:r>
              <w:rPr>
                <w:rFonts w:hint="eastAsia" w:ascii="宋体" w:hAnsi="宋体" w:eastAsia="宋体" w:cs="宋体"/>
                <w:color w:val="auto"/>
                <w:highlight w:val="none"/>
              </w:rPr>
              <w:t>材料、构件、料具等堆放时，悬挂有名称、品种、规格等标牌；</w:t>
            </w:r>
          </w:p>
          <w:p>
            <w:pPr>
              <w:numPr>
                <w:ilvl w:val="0"/>
                <w:numId w:val="4"/>
              </w:numPr>
              <w:rPr>
                <w:rFonts w:hint="eastAsia" w:ascii="宋体" w:hAnsi="宋体" w:eastAsia="宋体" w:cs="宋体"/>
                <w:color w:val="auto"/>
                <w:highlight w:val="none"/>
              </w:rPr>
            </w:pPr>
            <w:r>
              <w:rPr>
                <w:rFonts w:hint="eastAsia" w:ascii="宋体" w:hAnsi="宋体" w:eastAsia="宋体" w:cs="宋体"/>
                <w:color w:val="auto"/>
                <w:highlight w:val="none"/>
              </w:rPr>
              <w:t>水泥和其他易飞扬细颗粒建筑材料应封闭存放或采取覆盖等措施；</w:t>
            </w:r>
          </w:p>
          <w:p>
            <w:pPr>
              <w:numPr>
                <w:ilvl w:val="0"/>
                <w:numId w:val="4"/>
              </w:numPr>
              <w:rPr>
                <w:rFonts w:hint="eastAsia" w:ascii="宋体" w:hAnsi="宋体" w:eastAsia="宋体" w:cs="宋体"/>
                <w:color w:val="auto"/>
                <w:highlight w:val="none"/>
              </w:rPr>
            </w:pPr>
            <w:r>
              <w:rPr>
                <w:rFonts w:hint="eastAsia" w:ascii="宋体" w:hAnsi="宋体" w:eastAsia="宋体" w:cs="宋体"/>
                <w:color w:val="auto"/>
                <w:highlight w:val="none"/>
              </w:rPr>
              <w:t>易燃、易爆和有毒有害物品分类存放。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573" w:hRule="atLeast"/>
          <w:jc w:val="center"/>
        </w:trPr>
        <w:tc>
          <w:tcPr>
            <w:tcW w:w="715" w:type="dxa"/>
            <w:vMerge w:val="continue"/>
          </w:tcPr>
          <w:p>
            <w:pPr>
              <w:rPr>
                <w:rFonts w:hint="eastAsia" w:ascii="宋体" w:hAnsi="宋体" w:eastAsia="宋体" w:cs="宋体"/>
                <w:color w:val="auto"/>
                <w:highlight w:val="none"/>
              </w:rPr>
            </w:pPr>
          </w:p>
        </w:tc>
        <w:tc>
          <w:tcPr>
            <w:tcW w:w="1572" w:type="dxa"/>
            <w:gridSpan w:val="2"/>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现场防火</w:t>
            </w:r>
          </w:p>
        </w:tc>
        <w:tc>
          <w:tcPr>
            <w:tcW w:w="7242"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消防器材配置合理，符合消防要求。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151" w:hRule="atLeast"/>
          <w:jc w:val="center"/>
        </w:trPr>
        <w:tc>
          <w:tcPr>
            <w:tcW w:w="715" w:type="dxa"/>
            <w:vMerge w:val="continue"/>
          </w:tcPr>
          <w:p>
            <w:pPr>
              <w:rPr>
                <w:rFonts w:hint="eastAsia" w:ascii="宋体" w:hAnsi="宋体" w:eastAsia="宋体" w:cs="宋体"/>
                <w:color w:val="auto"/>
                <w:highlight w:val="none"/>
              </w:rPr>
            </w:pPr>
          </w:p>
        </w:tc>
        <w:tc>
          <w:tcPr>
            <w:tcW w:w="1572" w:type="dxa"/>
            <w:gridSpan w:val="2"/>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垃圾清运</w:t>
            </w:r>
          </w:p>
        </w:tc>
        <w:tc>
          <w:tcPr>
            <w:tcW w:w="7242" w:type="dxa"/>
          </w:tcPr>
          <w:p>
            <w:pPr>
              <w:rPr>
                <w:rFonts w:hint="eastAsia" w:ascii="宋体" w:hAnsi="宋体" w:eastAsia="宋体" w:cs="宋体"/>
                <w:color w:val="auto"/>
                <w:highlight w:val="none"/>
              </w:rPr>
            </w:pPr>
            <w:r>
              <w:rPr>
                <w:rFonts w:hint="eastAsia" w:ascii="宋体" w:hAnsi="宋体" w:eastAsia="宋体" w:cs="宋体"/>
                <w:color w:val="auto"/>
                <w:highlight w:val="none"/>
              </w:rPr>
              <w:t>施工现场应设置密闭式垃圾站，施工垃圾、生活垃圾应分类存放。</w:t>
            </w:r>
          </w:p>
          <w:p>
            <w:pPr>
              <w:rPr>
                <w:rFonts w:hint="eastAsia" w:ascii="宋体" w:hAnsi="宋体" w:eastAsia="宋体" w:cs="宋体"/>
                <w:color w:val="auto"/>
                <w:highlight w:val="none"/>
              </w:rPr>
            </w:pPr>
            <w:r>
              <w:rPr>
                <w:rFonts w:hint="eastAsia" w:ascii="宋体" w:hAnsi="宋体" w:eastAsia="宋体" w:cs="宋体"/>
                <w:color w:val="auto"/>
                <w:highlight w:val="none"/>
              </w:rPr>
              <w:t>施工垃圾必须采用相应容器或管道运输。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151" w:hRule="atLeast"/>
          <w:jc w:val="center"/>
        </w:trPr>
        <w:tc>
          <w:tcPr>
            <w:tcW w:w="715" w:type="dxa"/>
            <w:vMerge w:val="continue"/>
          </w:tcPr>
          <w:p>
            <w:pPr>
              <w:rPr>
                <w:rFonts w:hint="eastAsia" w:ascii="宋体" w:hAnsi="宋体" w:eastAsia="宋体" w:cs="宋体"/>
                <w:color w:val="auto"/>
                <w:highlight w:val="none"/>
              </w:rPr>
            </w:pPr>
          </w:p>
        </w:tc>
        <w:tc>
          <w:tcPr>
            <w:tcW w:w="1572" w:type="dxa"/>
            <w:gridSpan w:val="2"/>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宣传栏、环保及不扰民措施</w:t>
            </w:r>
          </w:p>
        </w:tc>
        <w:tc>
          <w:tcPr>
            <w:tcW w:w="7242" w:type="dxa"/>
          </w:tcPr>
          <w:p>
            <w:pPr>
              <w:rPr>
                <w:rFonts w:hint="eastAsia" w:ascii="宋体" w:hAnsi="宋体" w:eastAsia="宋体" w:cs="宋体"/>
                <w:color w:val="auto"/>
                <w:highlight w:val="none"/>
              </w:rPr>
            </w:pPr>
            <w:r>
              <w:rPr>
                <w:rFonts w:hint="eastAsia" w:ascii="宋体" w:hAnsi="宋体" w:eastAsia="宋体" w:cs="宋体"/>
                <w:color w:val="auto"/>
                <w:highlight w:val="none"/>
              </w:rPr>
              <w:t>宣传栏、安全宣传标语等，洗车（防止污染市区道路）、粉尘、噪声控制，排污（污水、废气）措施等。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858" w:hRule="atLeast"/>
          <w:jc w:val="center"/>
        </w:trPr>
        <w:tc>
          <w:tcPr>
            <w:tcW w:w="715" w:type="dxa"/>
            <w:vMerge w:val="restar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临时</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措施</w:t>
            </w:r>
          </w:p>
        </w:tc>
        <w:tc>
          <w:tcPr>
            <w:tcW w:w="1572" w:type="dxa"/>
            <w:gridSpan w:val="2"/>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现场办公</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生活设施</w:t>
            </w:r>
          </w:p>
        </w:tc>
        <w:tc>
          <w:tcPr>
            <w:tcW w:w="7242" w:type="dxa"/>
          </w:tcPr>
          <w:p>
            <w:pPr>
              <w:numPr>
                <w:ilvl w:val="0"/>
                <w:numId w:val="5"/>
              </w:numPr>
              <w:rPr>
                <w:rFonts w:hint="eastAsia" w:ascii="宋体" w:hAnsi="宋体" w:eastAsia="宋体" w:cs="宋体"/>
                <w:color w:val="auto"/>
                <w:highlight w:val="none"/>
              </w:rPr>
            </w:pPr>
            <w:r>
              <w:rPr>
                <w:rFonts w:hint="eastAsia" w:ascii="宋体" w:hAnsi="宋体" w:eastAsia="宋体" w:cs="宋体"/>
                <w:color w:val="auto"/>
                <w:highlight w:val="none"/>
              </w:rPr>
              <w:t>施工现场办公、生活区与作业区分开设置，保持安全距离。</w:t>
            </w:r>
          </w:p>
          <w:p>
            <w:pPr>
              <w:numPr>
                <w:ilvl w:val="0"/>
                <w:numId w:val="5"/>
              </w:numPr>
              <w:rPr>
                <w:rFonts w:hint="eastAsia" w:ascii="宋体" w:hAnsi="宋体" w:eastAsia="宋体" w:cs="宋体"/>
                <w:color w:val="auto"/>
                <w:highlight w:val="none"/>
              </w:rPr>
            </w:pPr>
            <w:r>
              <w:rPr>
                <w:rFonts w:hint="eastAsia" w:ascii="宋体" w:hAnsi="宋体" w:eastAsia="宋体" w:cs="宋体"/>
                <w:color w:val="auto"/>
                <w:highlight w:val="none"/>
              </w:rPr>
              <w:t>工地办公室、现场宿舍、食堂、、厕所、饮水、沐浴、休息场所等符合卫生和安全要求；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715" w:type="dxa"/>
            <w:vMerge w:val="continue"/>
            <w:vAlign w:val="center"/>
          </w:tcPr>
          <w:p>
            <w:pPr>
              <w:jc w:val="center"/>
              <w:rPr>
                <w:rFonts w:hint="eastAsia" w:ascii="宋体" w:hAnsi="宋体" w:eastAsia="宋体" w:cs="宋体"/>
                <w:color w:val="auto"/>
                <w:highlight w:val="none"/>
              </w:rPr>
            </w:pPr>
          </w:p>
        </w:tc>
        <w:tc>
          <w:tcPr>
            <w:tcW w:w="429" w:type="dxa"/>
            <w:vMerge w:val="restar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施工现场临时用电</w:t>
            </w:r>
          </w:p>
        </w:tc>
        <w:tc>
          <w:tcPr>
            <w:tcW w:w="1143"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配电线路</w:t>
            </w:r>
          </w:p>
        </w:tc>
        <w:tc>
          <w:tcPr>
            <w:tcW w:w="7258" w:type="dxa"/>
            <w:gridSpan w:val="2"/>
          </w:tcPr>
          <w:p>
            <w:pPr>
              <w:numPr>
                <w:ilvl w:val="0"/>
                <w:numId w:val="6"/>
              </w:numPr>
              <w:rPr>
                <w:rFonts w:hint="eastAsia" w:ascii="宋体" w:hAnsi="宋体" w:eastAsia="宋体" w:cs="宋体"/>
                <w:color w:val="auto"/>
                <w:highlight w:val="none"/>
              </w:rPr>
            </w:pPr>
            <w:r>
              <w:rPr>
                <w:rFonts w:hint="eastAsia" w:ascii="宋体" w:hAnsi="宋体" w:eastAsia="宋体" w:cs="宋体"/>
                <w:color w:val="auto"/>
                <w:highlight w:val="none"/>
              </w:rPr>
              <w:t>按照TN-S系统要求配备五芯电缆、四芯电缆和三芯电缆。</w:t>
            </w:r>
          </w:p>
          <w:p>
            <w:pPr>
              <w:numPr>
                <w:ilvl w:val="0"/>
                <w:numId w:val="6"/>
              </w:numPr>
              <w:rPr>
                <w:rFonts w:hint="eastAsia" w:ascii="宋体" w:hAnsi="宋体" w:eastAsia="宋体" w:cs="宋体"/>
                <w:color w:val="auto"/>
                <w:highlight w:val="none"/>
              </w:rPr>
            </w:pPr>
            <w:r>
              <w:rPr>
                <w:rFonts w:hint="eastAsia" w:ascii="宋体" w:hAnsi="宋体" w:eastAsia="宋体" w:cs="宋体"/>
                <w:color w:val="auto"/>
                <w:highlight w:val="none"/>
              </w:rPr>
              <w:t>按要求架设临时用电线路的电杆、横担、瓷夹、瓷瓶等，或电缆埋地的地沟。</w:t>
            </w:r>
          </w:p>
          <w:p>
            <w:pPr>
              <w:numPr>
                <w:ilvl w:val="0"/>
                <w:numId w:val="6"/>
              </w:numPr>
              <w:rPr>
                <w:rFonts w:hint="eastAsia" w:ascii="宋体" w:hAnsi="宋体" w:eastAsia="宋体" w:cs="宋体"/>
                <w:color w:val="auto"/>
                <w:highlight w:val="none"/>
              </w:rPr>
            </w:pPr>
            <w:r>
              <w:rPr>
                <w:rFonts w:hint="eastAsia" w:ascii="宋体" w:hAnsi="宋体" w:eastAsia="宋体" w:cs="宋体"/>
                <w:color w:val="auto"/>
                <w:highlight w:val="none"/>
              </w:rPr>
              <w:t>对靠近施工现场的外电线路，设置木质、塑料等绝缘体的防护设施。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715" w:type="dxa"/>
            <w:vMerge w:val="continue"/>
            <w:vAlign w:val="center"/>
          </w:tcPr>
          <w:p>
            <w:pPr>
              <w:rPr>
                <w:rFonts w:hint="eastAsia" w:ascii="宋体" w:hAnsi="宋体" w:eastAsia="宋体" w:cs="宋体"/>
                <w:color w:val="auto"/>
                <w:highlight w:val="none"/>
              </w:rPr>
            </w:pPr>
          </w:p>
        </w:tc>
        <w:tc>
          <w:tcPr>
            <w:tcW w:w="429" w:type="dxa"/>
            <w:vMerge w:val="continue"/>
          </w:tcPr>
          <w:p>
            <w:pPr>
              <w:rPr>
                <w:rFonts w:hint="eastAsia" w:ascii="宋体" w:hAnsi="宋体" w:eastAsia="宋体" w:cs="宋体"/>
                <w:color w:val="auto"/>
                <w:highlight w:val="none"/>
              </w:rPr>
            </w:pPr>
          </w:p>
        </w:tc>
        <w:tc>
          <w:tcPr>
            <w:tcW w:w="1143"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配电箱开关箱</w:t>
            </w:r>
          </w:p>
        </w:tc>
        <w:tc>
          <w:tcPr>
            <w:tcW w:w="7258" w:type="dxa"/>
            <w:gridSpan w:val="2"/>
          </w:tcPr>
          <w:p>
            <w:pPr>
              <w:numPr>
                <w:ilvl w:val="0"/>
                <w:numId w:val="7"/>
              </w:numPr>
              <w:rPr>
                <w:rFonts w:hint="eastAsia" w:ascii="宋体" w:hAnsi="宋体" w:eastAsia="宋体" w:cs="宋体"/>
                <w:color w:val="auto"/>
                <w:highlight w:val="none"/>
              </w:rPr>
            </w:pPr>
            <w:r>
              <w:rPr>
                <w:rFonts w:hint="eastAsia" w:ascii="宋体" w:hAnsi="宋体" w:eastAsia="宋体" w:cs="宋体"/>
                <w:color w:val="auto"/>
                <w:highlight w:val="none"/>
              </w:rPr>
              <w:t>按三级配电要求，配备总配电箱、分配电箱、开关箱三类（铁质）标准电箱准电箱。开关箱应符合一机、一箱、一闸、一漏。三类电箱中的各类电器应是合格品。</w:t>
            </w:r>
          </w:p>
          <w:p>
            <w:pPr>
              <w:numPr>
                <w:ilvl w:val="0"/>
                <w:numId w:val="7"/>
              </w:numPr>
              <w:rPr>
                <w:rFonts w:hint="eastAsia" w:ascii="宋体" w:hAnsi="宋体" w:eastAsia="宋体" w:cs="宋体"/>
                <w:color w:val="auto"/>
                <w:highlight w:val="none"/>
              </w:rPr>
            </w:pPr>
            <w:r>
              <w:rPr>
                <w:rFonts w:hint="eastAsia" w:ascii="宋体" w:hAnsi="宋体" w:eastAsia="宋体" w:cs="宋体"/>
                <w:color w:val="auto"/>
                <w:highlight w:val="none"/>
              </w:rPr>
              <w:t>按两级保护的要求，选取符合容量要求和质量合格的总配电箱和开关箱中的漏电保护器。</w:t>
            </w:r>
          </w:p>
          <w:p>
            <w:pPr>
              <w:numPr>
                <w:ilvl w:val="0"/>
                <w:numId w:val="7"/>
              </w:numPr>
              <w:rPr>
                <w:rFonts w:hint="eastAsia" w:ascii="宋体" w:hAnsi="宋体" w:eastAsia="宋体" w:cs="宋体"/>
                <w:color w:val="auto"/>
                <w:highlight w:val="none"/>
              </w:rPr>
            </w:pPr>
            <w:r>
              <w:rPr>
                <w:rFonts w:hint="eastAsia" w:ascii="宋体" w:hAnsi="宋体" w:eastAsia="宋体" w:cs="宋体"/>
                <w:color w:val="auto"/>
                <w:highlight w:val="none"/>
              </w:rPr>
              <w:t>对大型、落地式分配电箱、开关箱设置防护棚和通透式围挡。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715" w:type="dxa"/>
            <w:vMerge w:val="continue"/>
          </w:tcPr>
          <w:p>
            <w:pPr>
              <w:rPr>
                <w:rFonts w:hint="eastAsia" w:ascii="宋体" w:hAnsi="宋体" w:eastAsia="宋体" w:cs="宋体"/>
                <w:color w:val="auto"/>
                <w:highlight w:val="none"/>
              </w:rPr>
            </w:pPr>
          </w:p>
        </w:tc>
        <w:tc>
          <w:tcPr>
            <w:tcW w:w="429" w:type="dxa"/>
            <w:vMerge w:val="continue"/>
          </w:tcPr>
          <w:p>
            <w:pPr>
              <w:rPr>
                <w:rFonts w:hint="eastAsia" w:ascii="宋体" w:hAnsi="宋体" w:eastAsia="宋体" w:cs="宋体"/>
                <w:color w:val="auto"/>
                <w:highlight w:val="none"/>
              </w:rPr>
            </w:pPr>
          </w:p>
        </w:tc>
        <w:tc>
          <w:tcPr>
            <w:tcW w:w="1143"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接地保护</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装置</w:t>
            </w:r>
          </w:p>
        </w:tc>
        <w:tc>
          <w:tcPr>
            <w:tcW w:w="7258" w:type="dxa"/>
            <w:gridSpan w:val="2"/>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施工现场应设置不少于三处的保护接地装置。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715" w:type="dxa"/>
            <w:vMerge w:val="continue"/>
          </w:tcPr>
          <w:p>
            <w:pPr>
              <w:rPr>
                <w:rFonts w:hint="eastAsia" w:ascii="宋体" w:hAnsi="宋体" w:eastAsia="宋体" w:cs="宋体"/>
                <w:color w:val="auto"/>
                <w:highlight w:val="none"/>
              </w:rPr>
            </w:pPr>
          </w:p>
        </w:tc>
        <w:tc>
          <w:tcPr>
            <w:tcW w:w="429" w:type="dxa"/>
            <w:vMerge w:val="continue"/>
          </w:tcPr>
          <w:p>
            <w:pPr>
              <w:rPr>
                <w:rFonts w:hint="eastAsia" w:ascii="宋体" w:hAnsi="宋体" w:eastAsia="宋体" w:cs="宋体"/>
                <w:color w:val="auto"/>
                <w:highlight w:val="none"/>
              </w:rPr>
            </w:pPr>
          </w:p>
        </w:tc>
        <w:tc>
          <w:tcPr>
            <w:tcW w:w="1143"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现场变配</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电装置</w:t>
            </w:r>
          </w:p>
        </w:tc>
        <w:tc>
          <w:tcPr>
            <w:tcW w:w="7258" w:type="dxa"/>
            <w:gridSpan w:val="2"/>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总配电室建筑材料必须达到三级防火要求，室内做硬地坪、电缆沟、吊顶。</w:t>
            </w:r>
          </w:p>
        </w:tc>
      </w:tr>
    </w:tbl>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tbl>
      <w:tblPr>
        <w:tblStyle w:val="41"/>
        <w:tblW w:w="949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67"/>
        <w:gridCol w:w="1134"/>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67"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类别</w:t>
            </w:r>
          </w:p>
        </w:tc>
        <w:tc>
          <w:tcPr>
            <w:tcW w:w="1701" w:type="dxa"/>
            <w:gridSpan w:val="2"/>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项目名称</w:t>
            </w:r>
          </w:p>
        </w:tc>
        <w:tc>
          <w:tcPr>
            <w:tcW w:w="7229"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安全施工</w:t>
            </w:r>
          </w:p>
        </w:tc>
        <w:tc>
          <w:tcPr>
            <w:tcW w:w="567" w:type="dxa"/>
            <w:vMerge w:val="restar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临边洞口交叉高处作业防护</w:t>
            </w:r>
          </w:p>
        </w:tc>
        <w:tc>
          <w:tcPr>
            <w:tcW w:w="1134" w:type="dxa"/>
          </w:tcPr>
          <w:p>
            <w:pPr>
              <w:rPr>
                <w:rFonts w:hint="eastAsia" w:ascii="宋体" w:hAnsi="宋体" w:eastAsia="宋体" w:cs="宋体"/>
                <w:color w:val="auto"/>
                <w:highlight w:val="none"/>
              </w:rPr>
            </w:pPr>
            <w:r>
              <w:rPr>
                <w:rFonts w:hint="eastAsia" w:ascii="宋体" w:hAnsi="宋体" w:eastAsia="宋体" w:cs="宋体"/>
                <w:color w:val="auto"/>
                <w:highlight w:val="none"/>
              </w:rPr>
              <w:t>楼层、屋面、阳台等临边防护</w:t>
            </w:r>
          </w:p>
        </w:tc>
        <w:tc>
          <w:tcPr>
            <w:tcW w:w="7229"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用密目式安全立网全封闭，作业层另加两道防护栏杆和18cm高的踢脚板。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ascii="宋体" w:hAnsi="宋体" w:eastAsia="宋体" w:cs="宋体"/>
                <w:color w:val="auto"/>
                <w:highlight w:val="none"/>
              </w:rPr>
            </w:pPr>
          </w:p>
        </w:tc>
        <w:tc>
          <w:tcPr>
            <w:tcW w:w="567" w:type="dxa"/>
            <w:vMerge w:val="continue"/>
          </w:tcPr>
          <w:p>
            <w:pPr>
              <w:rPr>
                <w:rFonts w:hint="eastAsia" w:ascii="宋体" w:hAnsi="宋体" w:eastAsia="宋体" w:cs="宋体"/>
                <w:color w:val="auto"/>
                <w:highlight w:val="none"/>
              </w:rPr>
            </w:pPr>
          </w:p>
        </w:tc>
        <w:tc>
          <w:tcPr>
            <w:tcW w:w="1134" w:type="dxa"/>
          </w:tcPr>
          <w:p>
            <w:pPr>
              <w:rPr>
                <w:rFonts w:hint="eastAsia" w:ascii="宋体" w:hAnsi="宋体" w:eastAsia="宋体" w:cs="宋体"/>
                <w:color w:val="auto"/>
                <w:highlight w:val="none"/>
              </w:rPr>
            </w:pPr>
            <w:r>
              <w:rPr>
                <w:rFonts w:hint="eastAsia" w:ascii="宋体" w:hAnsi="宋体" w:eastAsia="宋体" w:cs="宋体"/>
                <w:color w:val="auto"/>
                <w:highlight w:val="none"/>
              </w:rPr>
              <w:t>通道口</w:t>
            </w:r>
          </w:p>
          <w:p>
            <w:pPr>
              <w:rPr>
                <w:rFonts w:hint="eastAsia" w:ascii="宋体" w:hAnsi="宋体" w:eastAsia="宋体" w:cs="宋体"/>
                <w:color w:val="auto"/>
                <w:highlight w:val="none"/>
              </w:rPr>
            </w:pPr>
            <w:r>
              <w:rPr>
                <w:rFonts w:hint="eastAsia" w:ascii="宋体" w:hAnsi="宋体" w:eastAsia="宋体" w:cs="宋体"/>
                <w:color w:val="auto"/>
                <w:highlight w:val="none"/>
              </w:rPr>
              <w:t>防护</w:t>
            </w:r>
          </w:p>
        </w:tc>
        <w:tc>
          <w:tcPr>
            <w:tcW w:w="7229"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设防护棚，防护棚应为不小于5cm厚的木板或两道相距50cm的竹笆。两侧应沿栏杆架用密目式安全网封闭。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ascii="宋体" w:hAnsi="宋体" w:eastAsia="宋体" w:cs="宋体"/>
                <w:color w:val="auto"/>
                <w:highlight w:val="none"/>
              </w:rPr>
            </w:pPr>
          </w:p>
        </w:tc>
        <w:tc>
          <w:tcPr>
            <w:tcW w:w="567" w:type="dxa"/>
            <w:vMerge w:val="continue"/>
          </w:tcPr>
          <w:p>
            <w:pPr>
              <w:rPr>
                <w:rFonts w:hint="eastAsia" w:ascii="宋体" w:hAnsi="宋体" w:eastAsia="宋体" w:cs="宋体"/>
                <w:color w:val="auto"/>
                <w:highlight w:val="none"/>
              </w:rPr>
            </w:pPr>
          </w:p>
        </w:tc>
        <w:tc>
          <w:tcPr>
            <w:tcW w:w="1134" w:type="dxa"/>
          </w:tcPr>
          <w:p>
            <w:pPr>
              <w:rPr>
                <w:rFonts w:hint="eastAsia" w:ascii="宋体" w:hAnsi="宋体" w:eastAsia="宋体" w:cs="宋体"/>
                <w:color w:val="auto"/>
                <w:highlight w:val="none"/>
              </w:rPr>
            </w:pPr>
            <w:r>
              <w:rPr>
                <w:rFonts w:hint="eastAsia" w:ascii="宋体" w:hAnsi="宋体" w:eastAsia="宋体" w:cs="宋体"/>
                <w:color w:val="auto"/>
                <w:highlight w:val="none"/>
              </w:rPr>
              <w:t>预留洞口防护</w:t>
            </w:r>
          </w:p>
        </w:tc>
        <w:tc>
          <w:tcPr>
            <w:tcW w:w="7229"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用硬质材料全封闭；短边超过1.5m长的洞口，除封闭外四周还应设有防护栏杆。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ascii="宋体" w:hAnsi="宋体" w:eastAsia="宋体" w:cs="宋体"/>
                <w:color w:val="auto"/>
                <w:highlight w:val="none"/>
              </w:rPr>
            </w:pPr>
          </w:p>
        </w:tc>
        <w:tc>
          <w:tcPr>
            <w:tcW w:w="567" w:type="dxa"/>
            <w:vMerge w:val="continue"/>
          </w:tcPr>
          <w:p>
            <w:pPr>
              <w:rPr>
                <w:rFonts w:hint="eastAsia" w:ascii="宋体" w:hAnsi="宋体" w:eastAsia="宋体" w:cs="宋体"/>
                <w:color w:val="auto"/>
                <w:highlight w:val="none"/>
              </w:rPr>
            </w:pPr>
          </w:p>
        </w:tc>
        <w:tc>
          <w:tcPr>
            <w:tcW w:w="1134" w:type="dxa"/>
          </w:tcPr>
          <w:p>
            <w:pPr>
              <w:rPr>
                <w:rFonts w:hint="eastAsia" w:ascii="宋体" w:hAnsi="宋体" w:eastAsia="宋体" w:cs="宋体"/>
                <w:color w:val="auto"/>
                <w:highlight w:val="none"/>
              </w:rPr>
            </w:pPr>
            <w:r>
              <w:rPr>
                <w:rFonts w:hint="eastAsia" w:ascii="宋体" w:hAnsi="宋体" w:eastAsia="宋体" w:cs="宋体"/>
                <w:color w:val="auto"/>
                <w:highlight w:val="none"/>
              </w:rPr>
              <w:t>电梯井口防护</w:t>
            </w:r>
          </w:p>
        </w:tc>
        <w:tc>
          <w:tcPr>
            <w:tcW w:w="7229"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设置定型化、工具化、标准化的防护门。在电梯井内每隔2层（不大于10m）</w:t>
            </w:r>
          </w:p>
          <w:p>
            <w:pPr>
              <w:rPr>
                <w:rFonts w:hint="eastAsia" w:ascii="宋体" w:hAnsi="宋体" w:eastAsia="宋体" w:cs="宋体"/>
                <w:color w:val="auto"/>
                <w:highlight w:val="none"/>
              </w:rPr>
            </w:pPr>
            <w:r>
              <w:rPr>
                <w:rFonts w:hint="eastAsia" w:ascii="宋体" w:hAnsi="宋体" w:eastAsia="宋体" w:cs="宋体"/>
                <w:color w:val="auto"/>
                <w:highlight w:val="none"/>
              </w:rPr>
              <w:t>设置一道安全平网。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ascii="宋体" w:hAnsi="宋体" w:eastAsia="宋体" w:cs="宋体"/>
                <w:color w:val="auto"/>
                <w:highlight w:val="none"/>
              </w:rPr>
            </w:pPr>
          </w:p>
        </w:tc>
        <w:tc>
          <w:tcPr>
            <w:tcW w:w="567" w:type="dxa"/>
            <w:vMerge w:val="continue"/>
          </w:tcPr>
          <w:p>
            <w:pPr>
              <w:rPr>
                <w:rFonts w:hint="eastAsia" w:ascii="宋体" w:hAnsi="宋体" w:eastAsia="宋体" w:cs="宋体"/>
                <w:color w:val="auto"/>
                <w:highlight w:val="none"/>
              </w:rPr>
            </w:pPr>
          </w:p>
        </w:tc>
        <w:tc>
          <w:tcPr>
            <w:tcW w:w="1134" w:type="dxa"/>
          </w:tcPr>
          <w:p>
            <w:pPr>
              <w:rPr>
                <w:rFonts w:hint="eastAsia" w:ascii="宋体" w:hAnsi="宋体" w:eastAsia="宋体" w:cs="宋体"/>
                <w:color w:val="auto"/>
                <w:highlight w:val="none"/>
              </w:rPr>
            </w:pPr>
            <w:r>
              <w:rPr>
                <w:rFonts w:hint="eastAsia" w:ascii="宋体" w:hAnsi="宋体" w:eastAsia="宋体" w:cs="宋体"/>
                <w:color w:val="auto"/>
                <w:highlight w:val="none"/>
              </w:rPr>
              <w:t>楼梯边</w:t>
            </w:r>
          </w:p>
          <w:p>
            <w:pPr>
              <w:rPr>
                <w:rFonts w:hint="eastAsia" w:ascii="宋体" w:hAnsi="宋体" w:eastAsia="宋体" w:cs="宋体"/>
                <w:color w:val="auto"/>
                <w:highlight w:val="none"/>
              </w:rPr>
            </w:pPr>
            <w:r>
              <w:rPr>
                <w:rFonts w:hint="eastAsia" w:ascii="宋体" w:hAnsi="宋体" w:eastAsia="宋体" w:cs="宋体"/>
                <w:color w:val="auto"/>
                <w:highlight w:val="none"/>
              </w:rPr>
              <w:t>防护</w:t>
            </w:r>
          </w:p>
        </w:tc>
        <w:tc>
          <w:tcPr>
            <w:tcW w:w="7229"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设1.2m高的定型化、工具化、标准化的防护栏，18cm高的踢脚板。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ascii="宋体" w:hAnsi="宋体" w:eastAsia="宋体" w:cs="宋体"/>
                <w:color w:val="auto"/>
                <w:highlight w:val="none"/>
              </w:rPr>
            </w:pPr>
          </w:p>
        </w:tc>
        <w:tc>
          <w:tcPr>
            <w:tcW w:w="567" w:type="dxa"/>
            <w:vMerge w:val="continue"/>
          </w:tcPr>
          <w:p>
            <w:pPr>
              <w:rPr>
                <w:rFonts w:hint="eastAsia" w:ascii="宋体" w:hAnsi="宋体" w:eastAsia="宋体" w:cs="宋体"/>
                <w:color w:val="auto"/>
                <w:highlight w:val="none"/>
              </w:rPr>
            </w:pPr>
          </w:p>
        </w:tc>
        <w:tc>
          <w:tcPr>
            <w:tcW w:w="1134" w:type="dxa"/>
          </w:tcPr>
          <w:p>
            <w:pPr>
              <w:rPr>
                <w:rFonts w:hint="eastAsia" w:ascii="宋体" w:hAnsi="宋体" w:eastAsia="宋体" w:cs="宋体"/>
                <w:color w:val="auto"/>
                <w:highlight w:val="none"/>
              </w:rPr>
            </w:pPr>
            <w:r>
              <w:rPr>
                <w:rFonts w:hint="eastAsia" w:ascii="宋体" w:hAnsi="宋体" w:eastAsia="宋体" w:cs="宋体"/>
                <w:color w:val="auto"/>
                <w:highlight w:val="none"/>
              </w:rPr>
              <w:t>垂直方向交叉作业防护</w:t>
            </w:r>
          </w:p>
        </w:tc>
        <w:tc>
          <w:tcPr>
            <w:tcW w:w="7229"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有悬挂安全带的悬索或其他设施；有操作平台；有上下的梯子或其他形式的通道。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567" w:type="dxa"/>
            <w:vMerge w:val="continue"/>
          </w:tcPr>
          <w:p>
            <w:pPr>
              <w:rPr>
                <w:rFonts w:hint="eastAsia" w:ascii="宋体" w:hAnsi="宋体" w:eastAsia="宋体" w:cs="宋体"/>
                <w:color w:val="auto"/>
                <w:highlight w:val="none"/>
              </w:rPr>
            </w:pPr>
          </w:p>
        </w:tc>
        <w:tc>
          <w:tcPr>
            <w:tcW w:w="567" w:type="dxa"/>
            <w:vMerge w:val="continue"/>
          </w:tcPr>
          <w:p>
            <w:pPr>
              <w:rPr>
                <w:rFonts w:hint="eastAsia" w:ascii="宋体" w:hAnsi="宋体" w:eastAsia="宋体" w:cs="宋体"/>
                <w:color w:val="auto"/>
                <w:highlight w:val="none"/>
              </w:rPr>
            </w:pPr>
          </w:p>
        </w:tc>
        <w:tc>
          <w:tcPr>
            <w:tcW w:w="1134" w:type="dxa"/>
          </w:tcPr>
          <w:p>
            <w:pPr>
              <w:rPr>
                <w:rFonts w:hint="eastAsia" w:ascii="宋体" w:hAnsi="宋体" w:eastAsia="宋体" w:cs="宋体"/>
                <w:color w:val="auto"/>
                <w:highlight w:val="none"/>
              </w:rPr>
            </w:pPr>
            <w:r>
              <w:rPr>
                <w:rFonts w:hint="eastAsia" w:ascii="宋体" w:hAnsi="宋体" w:eastAsia="宋体" w:cs="宋体"/>
                <w:color w:val="auto"/>
                <w:highlight w:val="none"/>
              </w:rPr>
              <w:t>基坑、卸料平台防护</w:t>
            </w:r>
          </w:p>
        </w:tc>
        <w:tc>
          <w:tcPr>
            <w:tcW w:w="7229"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设1.2m高标准化的防护栏，用密目式安全立网封闭，悬挂标识。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rFonts w:hint="eastAsia" w:ascii="宋体" w:hAnsi="宋体" w:eastAsia="宋体" w:cs="宋体"/>
                <w:color w:val="auto"/>
                <w:highlight w:val="none"/>
              </w:rPr>
            </w:pPr>
          </w:p>
        </w:tc>
        <w:tc>
          <w:tcPr>
            <w:tcW w:w="1701" w:type="dxa"/>
            <w:gridSpan w:val="2"/>
          </w:tcPr>
          <w:p>
            <w:pPr>
              <w:rPr>
                <w:rFonts w:hint="eastAsia" w:ascii="宋体" w:hAnsi="宋体" w:eastAsia="宋体" w:cs="宋体"/>
                <w:color w:val="auto"/>
                <w:highlight w:val="none"/>
              </w:rPr>
            </w:pPr>
            <w:r>
              <w:rPr>
                <w:rFonts w:hint="eastAsia" w:ascii="宋体" w:hAnsi="宋体" w:eastAsia="宋体" w:cs="宋体"/>
                <w:color w:val="auto"/>
                <w:highlight w:val="none"/>
              </w:rPr>
              <w:t>安全防护用品</w:t>
            </w:r>
          </w:p>
        </w:tc>
        <w:tc>
          <w:tcPr>
            <w:tcW w:w="7229" w:type="dxa"/>
          </w:tcPr>
          <w:p>
            <w:pPr>
              <w:rPr>
                <w:rFonts w:hint="eastAsia" w:ascii="宋体" w:hAnsi="宋体" w:eastAsia="宋体" w:cs="宋体"/>
                <w:color w:val="auto"/>
                <w:highlight w:val="none"/>
              </w:rPr>
            </w:pPr>
            <w:r>
              <w:rPr>
                <w:rFonts w:hint="eastAsia" w:ascii="宋体" w:hAnsi="宋体" w:eastAsia="宋体" w:cs="宋体"/>
                <w:color w:val="auto"/>
                <w:highlight w:val="none"/>
              </w:rPr>
              <w:t>安全帽、安全带、特种作业人员（电工、混凝土工、焊工等）防护服装、用品等。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567" w:type="dxa"/>
            <w:vMerge w:val="restar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其他</w:t>
            </w:r>
          </w:p>
        </w:tc>
        <w:tc>
          <w:tcPr>
            <w:tcW w:w="567" w:type="dxa"/>
            <w:vMerge w:val="restar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机械设备防护</w:t>
            </w:r>
          </w:p>
        </w:tc>
        <w:tc>
          <w:tcPr>
            <w:tcW w:w="1134" w:type="dxa"/>
          </w:tcPr>
          <w:p>
            <w:pPr>
              <w:rPr>
                <w:rFonts w:hint="eastAsia" w:ascii="宋体" w:hAnsi="宋体" w:eastAsia="宋体" w:cs="宋体"/>
                <w:color w:val="auto"/>
                <w:highlight w:val="none"/>
              </w:rPr>
            </w:pPr>
            <w:r>
              <w:rPr>
                <w:rFonts w:hint="eastAsia" w:ascii="宋体" w:hAnsi="宋体" w:eastAsia="宋体" w:cs="宋体"/>
                <w:color w:val="auto"/>
                <w:highlight w:val="none"/>
              </w:rPr>
              <w:t>中小型机械防护</w:t>
            </w:r>
          </w:p>
        </w:tc>
        <w:tc>
          <w:tcPr>
            <w:tcW w:w="7229" w:type="dxa"/>
          </w:tcPr>
          <w:p>
            <w:pPr>
              <w:rPr>
                <w:rFonts w:hint="eastAsia" w:ascii="宋体" w:hAnsi="宋体" w:eastAsia="宋体" w:cs="宋体"/>
                <w:color w:val="auto"/>
                <w:highlight w:val="none"/>
              </w:rPr>
            </w:pPr>
            <w:r>
              <w:rPr>
                <w:rFonts w:hint="eastAsia" w:ascii="宋体" w:hAnsi="宋体" w:eastAsia="宋体" w:cs="宋体"/>
                <w:color w:val="auto"/>
                <w:highlight w:val="none"/>
              </w:rPr>
              <w:t>设防护棚（同通道口防护并有防雨措施）、操作平台。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567" w:type="dxa"/>
            <w:vMerge w:val="continue"/>
          </w:tcPr>
          <w:p>
            <w:pPr>
              <w:rPr>
                <w:rFonts w:hint="eastAsia" w:ascii="宋体" w:hAnsi="宋体" w:eastAsia="宋体" w:cs="宋体"/>
                <w:color w:val="auto"/>
                <w:highlight w:val="none"/>
              </w:rPr>
            </w:pPr>
          </w:p>
        </w:tc>
        <w:tc>
          <w:tcPr>
            <w:tcW w:w="567" w:type="dxa"/>
            <w:vMerge w:val="continue"/>
          </w:tcPr>
          <w:p>
            <w:pP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垂直运输设备防护</w:t>
            </w:r>
          </w:p>
        </w:tc>
        <w:tc>
          <w:tcPr>
            <w:tcW w:w="7229" w:type="dxa"/>
          </w:tcPr>
          <w:p>
            <w:pPr>
              <w:numPr>
                <w:ilvl w:val="0"/>
                <w:numId w:val="8"/>
              </w:numPr>
              <w:rPr>
                <w:rFonts w:hint="eastAsia" w:ascii="宋体" w:hAnsi="宋体" w:eastAsia="宋体" w:cs="宋体"/>
                <w:color w:val="auto"/>
                <w:highlight w:val="none"/>
              </w:rPr>
            </w:pPr>
            <w:r>
              <w:rPr>
                <w:rFonts w:hint="eastAsia" w:ascii="宋体" w:hAnsi="宋体" w:eastAsia="宋体" w:cs="宋体"/>
                <w:color w:val="auto"/>
                <w:highlight w:val="none"/>
              </w:rPr>
              <w:t>垂直运输设备检测、检验。</w:t>
            </w:r>
          </w:p>
          <w:p>
            <w:pPr>
              <w:rPr>
                <w:rFonts w:hint="eastAsia" w:ascii="宋体" w:hAnsi="宋体" w:eastAsia="宋体" w:cs="宋体"/>
                <w:color w:val="auto"/>
                <w:highlight w:val="none"/>
              </w:rPr>
            </w:pPr>
            <w:r>
              <w:rPr>
                <w:rFonts w:hint="eastAsia" w:ascii="宋体" w:hAnsi="宋体" w:eastAsia="宋体" w:cs="宋体"/>
                <w:color w:val="auto"/>
                <w:highlight w:val="none"/>
              </w:rPr>
              <w:t>（2）物料提升机、施工电梯等卸料平台搭设、外测用密目式安全立网全封闭，安全防护门、防护棚等。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ascii="宋体" w:hAnsi="宋体" w:eastAsia="宋体" w:cs="宋体"/>
                <w:color w:val="auto"/>
                <w:highlight w:val="none"/>
              </w:rPr>
            </w:pPr>
          </w:p>
        </w:tc>
        <w:tc>
          <w:tcPr>
            <w:tcW w:w="1701" w:type="dxa"/>
            <w:gridSpan w:val="2"/>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专家论证审查</w:t>
            </w:r>
          </w:p>
        </w:tc>
        <w:tc>
          <w:tcPr>
            <w:tcW w:w="7229" w:type="dxa"/>
            <w:vAlign w:val="center"/>
          </w:tcPr>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t>危险性较大工程专家论证审查。</w:t>
            </w:r>
          </w:p>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ascii="宋体" w:hAnsi="宋体" w:eastAsia="宋体" w:cs="宋体"/>
                <w:color w:val="auto"/>
                <w:highlight w:val="none"/>
              </w:rPr>
            </w:pPr>
          </w:p>
        </w:tc>
        <w:tc>
          <w:tcPr>
            <w:tcW w:w="1701" w:type="dxa"/>
            <w:gridSpan w:val="2"/>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应急救援预案</w:t>
            </w:r>
          </w:p>
        </w:tc>
        <w:tc>
          <w:tcPr>
            <w:tcW w:w="7229" w:type="dxa"/>
            <w:vAlign w:val="center"/>
          </w:tcPr>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t>救援器材准备及演练等。</w:t>
            </w:r>
          </w:p>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vMerge w:val="continue"/>
          </w:tcPr>
          <w:p>
            <w:pPr>
              <w:rPr>
                <w:rFonts w:hint="eastAsia" w:ascii="宋体" w:hAnsi="宋体" w:eastAsia="宋体" w:cs="宋体"/>
                <w:color w:val="auto"/>
                <w:highlight w:val="none"/>
              </w:rPr>
            </w:pPr>
          </w:p>
        </w:tc>
        <w:tc>
          <w:tcPr>
            <w:tcW w:w="1701" w:type="dxa"/>
            <w:gridSpan w:val="2"/>
          </w:tcPr>
          <w:p>
            <w:pPr>
              <w:rPr>
                <w:rFonts w:hint="eastAsia" w:ascii="宋体" w:hAnsi="宋体" w:eastAsia="宋体" w:cs="宋体"/>
                <w:color w:val="auto"/>
                <w:highlight w:val="none"/>
              </w:rPr>
            </w:pPr>
            <w:r>
              <w:rPr>
                <w:rFonts w:hint="eastAsia" w:ascii="宋体" w:hAnsi="宋体" w:eastAsia="宋体" w:cs="宋体"/>
                <w:color w:val="auto"/>
                <w:highlight w:val="none"/>
              </w:rPr>
              <w:t>非正常情况施工</w:t>
            </w:r>
          </w:p>
        </w:tc>
        <w:tc>
          <w:tcPr>
            <w:tcW w:w="7229" w:type="dxa"/>
          </w:tcPr>
          <w:p>
            <w:pPr>
              <w:rPr>
                <w:rFonts w:hint="eastAsia" w:ascii="宋体" w:hAnsi="宋体" w:eastAsia="宋体" w:cs="宋体"/>
                <w:color w:val="auto"/>
                <w:highlight w:val="none"/>
              </w:rPr>
            </w:pPr>
            <w:r>
              <w:rPr>
                <w:rFonts w:hint="eastAsia" w:ascii="宋体" w:hAnsi="宋体" w:eastAsia="宋体" w:cs="宋体"/>
                <w:color w:val="auto"/>
                <w:highlight w:val="none"/>
              </w:rPr>
              <w:t>其他特殊情况下的防护费用，如：城市主干道、人流密集、河边等处施工及文物、古建筑、古树保护等。</w:t>
            </w:r>
          </w:p>
        </w:tc>
      </w:tr>
    </w:tbl>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备注：本表所列建筑工程安全防护、文明施工措施项目，是依据现行法律法规及标准规范确定的。如法律法规和标准规范修订，本表所列项目应按照修订后的法律法规和标准规范进行调整。</w:t>
      </w:r>
    </w:p>
    <w:p>
      <w:pPr>
        <w:jc w:val="cente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p>
    <w:p>
      <w:pPr>
        <w:spacing w:beforeLines="50" w:line="360" w:lineRule="auto"/>
        <w:rPr>
          <w:rFonts w:hint="eastAsia" w:ascii="宋体" w:hAnsi="宋体" w:eastAsia="宋体" w:cs="宋体"/>
          <w:color w:val="auto"/>
          <w:highlight w:val="none"/>
        </w:rPr>
      </w:pPr>
    </w:p>
    <w:p>
      <w:pPr>
        <w:pStyle w:val="4"/>
        <w:jc w:val="center"/>
        <w:rPr>
          <w:rFonts w:hint="eastAsia" w:ascii="宋体" w:hAnsi="宋体" w:eastAsia="宋体" w:cs="宋体"/>
          <w:color w:val="auto"/>
          <w:highlight w:val="none"/>
        </w:rPr>
      </w:pPr>
      <w:bookmarkStart w:id="835" w:name="_Toc6460"/>
      <w:r>
        <w:rPr>
          <w:rFonts w:hint="eastAsia" w:ascii="宋体" w:hAnsi="宋体" w:eastAsia="宋体" w:cs="宋体"/>
          <w:color w:val="auto"/>
          <w:highlight w:val="none"/>
        </w:rPr>
        <w:t>五、项目经理注册建造师注册证书和安全生产考核合格证书（B类）复印件；</w:t>
      </w:r>
      <w:bookmarkEnd w:id="835"/>
    </w:p>
    <w:p>
      <w:pPr>
        <w:pStyle w:val="4"/>
        <w:jc w:val="both"/>
        <w:rPr>
          <w:rFonts w:hint="eastAsia" w:ascii="宋体" w:hAnsi="宋体" w:eastAsia="宋体" w:cs="宋体"/>
          <w:color w:val="auto"/>
          <w:highlight w:val="none"/>
        </w:rPr>
      </w:pPr>
      <w:bookmarkStart w:id="836" w:name="_Toc2037"/>
      <w:r>
        <w:rPr>
          <w:rFonts w:hint="eastAsia" w:ascii="宋体" w:hAnsi="宋体" w:eastAsia="宋体" w:cs="宋体"/>
          <w:color w:val="auto"/>
          <w:highlight w:val="none"/>
        </w:rPr>
        <w:t>六、技术负责人职称证书复印件；</w:t>
      </w:r>
      <w:bookmarkEnd w:id="836"/>
    </w:p>
    <w:p>
      <w:pPr>
        <w:spacing w:beforeLines="50" w:line="360" w:lineRule="auto"/>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4"/>
        <w:jc w:val="center"/>
        <w:rPr>
          <w:rFonts w:hint="eastAsia" w:ascii="宋体" w:hAnsi="宋体" w:eastAsia="宋体" w:cs="宋体"/>
          <w:b/>
          <w:bCs/>
          <w:color w:val="auto"/>
          <w:spacing w:val="-6"/>
          <w:highlight w:val="none"/>
        </w:rPr>
      </w:pPr>
      <w:bookmarkStart w:id="837" w:name="_Toc19905"/>
      <w:r>
        <w:rPr>
          <w:rFonts w:hint="eastAsia" w:ascii="宋体" w:hAnsi="宋体" w:eastAsia="宋体" w:cs="宋体"/>
          <w:b/>
          <w:bCs/>
          <w:color w:val="auto"/>
          <w:spacing w:val="-6"/>
          <w:highlight w:val="none"/>
        </w:rPr>
        <w:t>七、</w:t>
      </w:r>
      <w:bookmarkEnd w:id="837"/>
      <w:r>
        <w:rPr>
          <w:rFonts w:hint="eastAsia" w:ascii="宋体" w:hAnsi="宋体" w:eastAsia="宋体" w:cs="宋体"/>
          <w:b/>
          <w:bCs/>
          <w:color w:val="auto"/>
          <w:spacing w:val="-6"/>
          <w:highlight w:val="none"/>
        </w:rPr>
        <w:t>考核期内已完成类似工程及目前在建工程一览表（如有）</w:t>
      </w:r>
    </w:p>
    <w:p>
      <w:pPr>
        <w:jc w:val="center"/>
        <w:rPr>
          <w:rFonts w:hint="eastAsia" w:ascii="宋体" w:hAnsi="宋体" w:eastAsia="宋体" w:cs="宋体"/>
          <w:b/>
          <w:color w:val="auto"/>
          <w:sz w:val="18"/>
          <w:szCs w:val="18"/>
          <w:highlight w:val="none"/>
        </w:rPr>
      </w:pPr>
    </w:p>
    <w:tbl>
      <w:tblPr>
        <w:tblStyle w:val="41"/>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417"/>
        <w:gridCol w:w="851"/>
        <w:gridCol w:w="992"/>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851"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序号</w:t>
            </w:r>
          </w:p>
        </w:tc>
        <w:tc>
          <w:tcPr>
            <w:tcW w:w="1701"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发包人名称</w:t>
            </w:r>
          </w:p>
        </w:tc>
        <w:tc>
          <w:tcPr>
            <w:tcW w:w="1417"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工程名称</w:t>
            </w:r>
          </w:p>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及建设地点</w:t>
            </w:r>
          </w:p>
        </w:tc>
        <w:tc>
          <w:tcPr>
            <w:tcW w:w="851"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结构</w:t>
            </w:r>
          </w:p>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类型</w:t>
            </w:r>
          </w:p>
        </w:tc>
        <w:tc>
          <w:tcPr>
            <w:tcW w:w="992"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建设</w:t>
            </w:r>
          </w:p>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规模</w:t>
            </w:r>
          </w:p>
        </w:tc>
        <w:tc>
          <w:tcPr>
            <w:tcW w:w="113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合同金额</w:t>
            </w:r>
          </w:p>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（万元）</w:t>
            </w:r>
          </w:p>
        </w:tc>
        <w:tc>
          <w:tcPr>
            <w:tcW w:w="1276"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竣工达到</w:t>
            </w:r>
          </w:p>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质量标准</w:t>
            </w:r>
          </w:p>
        </w:tc>
        <w:tc>
          <w:tcPr>
            <w:tcW w:w="113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开竣工</w:t>
            </w:r>
          </w:p>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1"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c>
          <w:tcPr>
            <w:tcW w:w="1417" w:type="dxa"/>
            <w:vAlign w:val="center"/>
          </w:tcPr>
          <w:p>
            <w:pPr>
              <w:jc w:val="center"/>
              <w:rPr>
                <w:rFonts w:hint="eastAsia" w:ascii="宋体" w:hAnsi="宋体" w:eastAsia="宋体" w:cs="宋体"/>
                <w:color w:val="auto"/>
                <w:highlight w:val="none"/>
              </w:rPr>
            </w:pPr>
          </w:p>
        </w:tc>
        <w:tc>
          <w:tcPr>
            <w:tcW w:w="851"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276"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1"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c>
          <w:tcPr>
            <w:tcW w:w="1417" w:type="dxa"/>
            <w:vAlign w:val="center"/>
          </w:tcPr>
          <w:p>
            <w:pPr>
              <w:jc w:val="center"/>
              <w:rPr>
                <w:rFonts w:hint="eastAsia" w:ascii="宋体" w:hAnsi="宋体" w:eastAsia="宋体" w:cs="宋体"/>
                <w:color w:val="auto"/>
                <w:highlight w:val="none"/>
              </w:rPr>
            </w:pPr>
          </w:p>
        </w:tc>
        <w:tc>
          <w:tcPr>
            <w:tcW w:w="851"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276"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1"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c>
          <w:tcPr>
            <w:tcW w:w="1417" w:type="dxa"/>
            <w:vAlign w:val="center"/>
          </w:tcPr>
          <w:p>
            <w:pPr>
              <w:jc w:val="center"/>
              <w:rPr>
                <w:rFonts w:hint="eastAsia" w:ascii="宋体" w:hAnsi="宋体" w:eastAsia="宋体" w:cs="宋体"/>
                <w:color w:val="auto"/>
                <w:highlight w:val="none"/>
              </w:rPr>
            </w:pPr>
          </w:p>
        </w:tc>
        <w:tc>
          <w:tcPr>
            <w:tcW w:w="851"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276"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trPr>
        <w:tc>
          <w:tcPr>
            <w:tcW w:w="851"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c>
          <w:tcPr>
            <w:tcW w:w="1417" w:type="dxa"/>
            <w:vAlign w:val="center"/>
          </w:tcPr>
          <w:p>
            <w:pPr>
              <w:jc w:val="center"/>
              <w:rPr>
                <w:rFonts w:hint="eastAsia" w:ascii="宋体" w:hAnsi="宋体" w:eastAsia="宋体" w:cs="宋体"/>
                <w:color w:val="auto"/>
                <w:highlight w:val="none"/>
              </w:rPr>
            </w:pPr>
          </w:p>
        </w:tc>
        <w:tc>
          <w:tcPr>
            <w:tcW w:w="851"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276"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trPr>
        <w:tc>
          <w:tcPr>
            <w:tcW w:w="851"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c>
          <w:tcPr>
            <w:tcW w:w="1417" w:type="dxa"/>
            <w:vAlign w:val="center"/>
          </w:tcPr>
          <w:p>
            <w:pPr>
              <w:jc w:val="center"/>
              <w:rPr>
                <w:rFonts w:hint="eastAsia" w:ascii="宋体" w:hAnsi="宋体" w:eastAsia="宋体" w:cs="宋体"/>
                <w:color w:val="auto"/>
                <w:highlight w:val="none"/>
              </w:rPr>
            </w:pPr>
          </w:p>
        </w:tc>
        <w:tc>
          <w:tcPr>
            <w:tcW w:w="851"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276"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trPr>
        <w:tc>
          <w:tcPr>
            <w:tcW w:w="851"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c>
          <w:tcPr>
            <w:tcW w:w="1417" w:type="dxa"/>
            <w:vAlign w:val="center"/>
          </w:tcPr>
          <w:p>
            <w:pPr>
              <w:jc w:val="center"/>
              <w:rPr>
                <w:rFonts w:hint="eastAsia" w:ascii="宋体" w:hAnsi="宋体" w:eastAsia="宋体" w:cs="宋体"/>
                <w:color w:val="auto"/>
                <w:highlight w:val="none"/>
              </w:rPr>
            </w:pPr>
          </w:p>
        </w:tc>
        <w:tc>
          <w:tcPr>
            <w:tcW w:w="851"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276"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trPr>
        <w:tc>
          <w:tcPr>
            <w:tcW w:w="851"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c>
          <w:tcPr>
            <w:tcW w:w="1417" w:type="dxa"/>
            <w:vAlign w:val="center"/>
          </w:tcPr>
          <w:p>
            <w:pPr>
              <w:jc w:val="center"/>
              <w:rPr>
                <w:rFonts w:hint="eastAsia" w:ascii="宋体" w:hAnsi="宋体" w:eastAsia="宋体" w:cs="宋体"/>
                <w:color w:val="auto"/>
                <w:highlight w:val="none"/>
              </w:rPr>
            </w:pPr>
          </w:p>
        </w:tc>
        <w:tc>
          <w:tcPr>
            <w:tcW w:w="851"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276"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trPr>
        <w:tc>
          <w:tcPr>
            <w:tcW w:w="851"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c>
          <w:tcPr>
            <w:tcW w:w="1417" w:type="dxa"/>
            <w:vAlign w:val="center"/>
          </w:tcPr>
          <w:p>
            <w:pPr>
              <w:jc w:val="center"/>
              <w:rPr>
                <w:rFonts w:hint="eastAsia" w:ascii="宋体" w:hAnsi="宋体" w:eastAsia="宋体" w:cs="宋体"/>
                <w:color w:val="auto"/>
                <w:highlight w:val="none"/>
              </w:rPr>
            </w:pPr>
          </w:p>
        </w:tc>
        <w:tc>
          <w:tcPr>
            <w:tcW w:w="851"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276"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r>
    </w:tbl>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rPr>
          <w:rFonts w:hint="eastAsia" w:ascii="宋体" w:hAnsi="宋体" w:eastAsia="宋体" w:cs="宋体"/>
          <w:color w:val="auto"/>
          <w:szCs w:val="21"/>
          <w:highlight w:val="none"/>
        </w:rPr>
      </w:pPr>
      <w:r>
        <w:rPr>
          <w:rFonts w:hint="eastAsia" w:ascii="宋体" w:hAnsi="宋体" w:eastAsia="宋体" w:cs="宋体"/>
          <w:b/>
          <w:color w:val="auto"/>
          <w:highlight w:val="none"/>
        </w:rPr>
        <w:t>注：</w:t>
      </w:r>
      <w:r>
        <w:rPr>
          <w:rFonts w:hint="eastAsia" w:ascii="宋体" w:hAnsi="宋体" w:eastAsia="宋体" w:cs="宋体"/>
          <w:color w:val="auto"/>
          <w:highlight w:val="none"/>
        </w:rPr>
        <w:t xml:space="preserve"> 1、对于已完成工程，投标人应附上施工承包合同协议书和中标通知书和工程完工验收证明材料或竣工验收鉴定书复印件（加单位公</w:t>
      </w:r>
      <w:r>
        <w:rPr>
          <w:rFonts w:hint="eastAsia" w:ascii="宋体" w:hAnsi="宋体" w:eastAsia="宋体" w:cs="宋体"/>
          <w:color w:val="auto"/>
          <w:szCs w:val="21"/>
          <w:highlight w:val="none"/>
        </w:rPr>
        <w:t>章）。</w:t>
      </w:r>
    </w:p>
    <w:p>
      <w:pPr>
        <w:spacing w:line="4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2、对于在建工程，投标人应附上中标通知书和工程合同协议书复印件（加盖单位公章），不填“竣工达到质量标准”和“竣工日期”两栏。</w:t>
      </w:r>
    </w:p>
    <w:p>
      <w:pPr>
        <w:spacing w:line="420" w:lineRule="exact"/>
        <w:ind w:firstLine="630" w:firstLineChars="300"/>
        <w:rPr>
          <w:rFonts w:hint="eastAsia" w:ascii="宋体" w:hAnsi="宋体" w:eastAsia="宋体" w:cs="宋体"/>
          <w:color w:val="auto"/>
          <w:highlight w:val="none"/>
        </w:rPr>
      </w:pPr>
    </w:p>
    <w:p>
      <w:pPr>
        <w:spacing w:line="420" w:lineRule="exact"/>
        <w:ind w:firstLine="630" w:firstLineChars="30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pacing w:line="420" w:lineRule="exact"/>
        <w:ind w:firstLine="630" w:firstLineChars="300"/>
        <w:rPr>
          <w:rFonts w:hint="eastAsia" w:ascii="宋体" w:hAnsi="宋体" w:eastAsia="宋体" w:cs="宋体"/>
          <w:color w:val="auto"/>
          <w:highlight w:val="none"/>
        </w:rPr>
      </w:pPr>
    </w:p>
    <w:p>
      <w:pPr>
        <w:spacing w:line="420" w:lineRule="exact"/>
        <w:ind w:firstLine="630" w:firstLineChars="300"/>
        <w:rPr>
          <w:rFonts w:hint="eastAsia" w:ascii="宋体" w:hAnsi="宋体" w:eastAsia="宋体" w:cs="宋体"/>
          <w:color w:val="auto"/>
          <w:highlight w:val="none"/>
        </w:rPr>
      </w:pPr>
    </w:p>
    <w:p>
      <w:pPr>
        <w:pStyle w:val="4"/>
        <w:jc w:val="center"/>
        <w:rPr>
          <w:rFonts w:hint="eastAsia" w:ascii="宋体" w:hAnsi="宋体" w:eastAsia="宋体" w:cs="宋体"/>
          <w:b w:val="0"/>
          <w:bCs w:val="0"/>
          <w:color w:val="auto"/>
          <w:kern w:val="2"/>
          <w:sz w:val="21"/>
          <w:szCs w:val="24"/>
          <w:highlight w:val="none"/>
        </w:rPr>
      </w:pPr>
      <w:bookmarkStart w:id="838" w:name="_Toc27235"/>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4"/>
        <w:jc w:val="center"/>
        <w:rPr>
          <w:rFonts w:hint="eastAsia" w:ascii="宋体" w:hAnsi="宋体" w:eastAsia="宋体" w:cs="宋体"/>
          <w:color w:val="auto"/>
          <w:highlight w:val="none"/>
        </w:rPr>
      </w:pPr>
      <w:r>
        <w:rPr>
          <w:rFonts w:hint="eastAsia" w:ascii="宋体" w:hAnsi="宋体" w:eastAsia="宋体" w:cs="宋体"/>
          <w:color w:val="auto"/>
          <w:highlight w:val="none"/>
        </w:rPr>
        <w:t>八、近三年财务状况表</w:t>
      </w:r>
      <w:bookmarkEnd w:id="838"/>
    </w:p>
    <w:p>
      <w:pPr>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备注：附近三年财务状况表及经会计师事务所或审计机构审计的财务会计报表，包括资产负债表、损益表、现金流量表、利润表的复印件，具体年份要求见第二章“投标人须知”的规定。</w:t>
      </w: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pStyle w:val="4"/>
        <w:jc w:val="center"/>
        <w:rPr>
          <w:rFonts w:hint="eastAsia" w:ascii="宋体" w:hAnsi="宋体" w:eastAsia="宋体" w:cs="宋体"/>
          <w:color w:val="auto"/>
          <w:highlight w:val="none"/>
        </w:rPr>
      </w:pPr>
      <w:bookmarkStart w:id="839" w:name="_Toc7831"/>
      <w:r>
        <w:rPr>
          <w:rFonts w:hint="eastAsia" w:ascii="宋体" w:hAnsi="宋体" w:eastAsia="宋体" w:cs="宋体"/>
          <w:color w:val="auto"/>
          <w:highlight w:val="none"/>
        </w:rPr>
        <w:t>九、近三年发生的诉讼和仲裁情况</w:t>
      </w:r>
      <w:bookmarkEnd w:id="839"/>
    </w:p>
    <w:p>
      <w:pPr>
        <w:jc w:val="center"/>
        <w:rPr>
          <w:rFonts w:hint="eastAsia" w:ascii="宋体" w:hAnsi="宋体" w:eastAsia="宋体" w:cs="宋体"/>
          <w:b/>
          <w:color w:val="auto"/>
          <w:sz w:val="18"/>
          <w:szCs w:val="18"/>
          <w:highlight w:val="none"/>
        </w:rPr>
      </w:pP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说明：近年发生的诉讼和仲裁情况仅限于投标人败诉的，且与履行施工承包合同有关的案件，不包括调解结案以及未裁决的仲裁或未终审判决的诉讼。</w:t>
      </w: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pStyle w:val="4"/>
        <w:jc w:val="center"/>
        <w:rPr>
          <w:rFonts w:hint="eastAsia" w:ascii="宋体" w:hAnsi="宋体" w:eastAsia="宋体" w:cs="宋体"/>
          <w:color w:val="auto"/>
          <w:highlight w:val="none"/>
        </w:rPr>
      </w:pPr>
      <w:bookmarkStart w:id="840" w:name="_Toc10014"/>
      <w:bookmarkStart w:id="841" w:name="_Toc427334931"/>
      <w:r>
        <w:rPr>
          <w:rFonts w:hint="eastAsia" w:ascii="宋体" w:hAnsi="宋体" w:eastAsia="宋体" w:cs="宋体"/>
          <w:color w:val="auto"/>
          <w:highlight w:val="none"/>
        </w:rPr>
        <w:t>十、投标保证金保证事项承诺书</w:t>
      </w:r>
      <w:bookmarkEnd w:id="840"/>
    </w:p>
    <w:p>
      <w:pPr>
        <w:pStyle w:val="17"/>
        <w:spacing w:line="540" w:lineRule="exact"/>
        <w:ind w:left="63" w:right="63"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color="000000"/>
        </w:rPr>
        <w:t>（</w:t>
      </w:r>
      <w:r>
        <w:rPr>
          <w:rFonts w:hint="eastAsia" w:ascii="宋体" w:hAnsi="宋体" w:eastAsia="宋体" w:cs="宋体"/>
          <w:color w:val="auto"/>
          <w:sz w:val="21"/>
          <w:szCs w:val="21"/>
          <w:highlight w:val="none"/>
          <w:u w:val="single" w:color="000000"/>
          <w:lang w:eastAsia="zh-CN"/>
        </w:rPr>
        <w:t>采购人</w:t>
      </w:r>
      <w:r>
        <w:rPr>
          <w:rFonts w:hint="eastAsia" w:ascii="宋体" w:hAnsi="宋体" w:eastAsia="宋体" w:cs="宋体"/>
          <w:color w:val="auto"/>
          <w:sz w:val="21"/>
          <w:szCs w:val="21"/>
          <w:highlight w:val="none"/>
          <w:u w:val="single" w:color="000000"/>
        </w:rPr>
        <w:t xml:space="preserve">名称） </w:t>
      </w:r>
      <w:r>
        <w:rPr>
          <w:rFonts w:hint="eastAsia" w:ascii="宋体" w:hAnsi="宋体" w:eastAsia="宋体" w:cs="宋体"/>
          <w:color w:val="auto"/>
          <w:sz w:val="21"/>
          <w:szCs w:val="21"/>
          <w:highlight w:val="none"/>
        </w:rPr>
        <w:t>：</w:t>
      </w:r>
    </w:p>
    <w:p>
      <w:pPr>
        <w:pStyle w:val="17"/>
        <w:spacing w:before="34" w:line="540" w:lineRule="exact"/>
        <w:ind w:left="63" w:right="63" w:firstLine="396" w:firstLineChars="200"/>
        <w:jc w:val="both"/>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我公司参与</w:t>
      </w:r>
      <w:r>
        <w:rPr>
          <w:rFonts w:hint="eastAsia" w:ascii="宋体" w:hAnsi="宋体" w:eastAsia="宋体" w:cs="宋体"/>
          <w:color w:val="auto"/>
          <w:spacing w:val="-6"/>
          <w:sz w:val="21"/>
          <w:szCs w:val="21"/>
          <w:highlight w:val="none"/>
          <w:u w:val="single"/>
        </w:rPr>
        <w:t xml:space="preserve">（项目总名称）（标段名称）  </w:t>
      </w:r>
      <w:r>
        <w:rPr>
          <w:rFonts w:hint="eastAsia" w:ascii="宋体" w:hAnsi="宋体" w:eastAsia="宋体" w:cs="宋体"/>
          <w:color w:val="auto"/>
          <w:spacing w:val="-6"/>
          <w:sz w:val="21"/>
          <w:szCs w:val="21"/>
          <w:highlight w:val="none"/>
        </w:rPr>
        <w:t>工程施工招标投标活动，按招标文件要求，现将对投标保证金事项说明如下：</w:t>
      </w:r>
    </w:p>
    <w:p>
      <w:pPr>
        <w:pStyle w:val="17"/>
        <w:spacing w:line="540" w:lineRule="exact"/>
        <w:ind w:left="63" w:right="63"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一、我公司严格遵守诚实信用的原则，按照招标文件的要求提供的有关项目经理业绩及企业业绩资料均真实有效。若有弄虚作假行为被有关行政监督管理部门查实的，投标文件将作废标处理，并给予不良记录，</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或有关行政管理监督部门可没收我公司的投标保证金上缴国库；若我公司弄虚作假骗取中标被管理部门查实的，则取消中标资格，</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或有关行政管理监督部门可没收我公司的投标保证金上缴国库，造成</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损失的则赔偿</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损失，并给予不良记录，甚至停止投标资格的处理，触犯法律的则交由司法机关依法追究责任。</w:t>
      </w:r>
    </w:p>
    <w:p>
      <w:pPr>
        <w:pStyle w:val="17"/>
        <w:spacing w:before="34" w:line="540" w:lineRule="exact"/>
        <w:ind w:left="63" w:right="63"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二、如我公司因上述原因被没收投标保证金的，我公司将不进行上诉。 特此承诺。</w:t>
      </w:r>
    </w:p>
    <w:p>
      <w:pPr>
        <w:spacing w:line="540" w:lineRule="exact"/>
        <w:rPr>
          <w:rFonts w:hint="eastAsia" w:ascii="宋体" w:hAnsi="宋体" w:eastAsia="宋体" w:cs="宋体"/>
          <w:color w:val="auto"/>
          <w:sz w:val="21"/>
          <w:szCs w:val="21"/>
          <w:highlight w:val="none"/>
        </w:rPr>
      </w:pPr>
    </w:p>
    <w:p>
      <w:pPr>
        <w:spacing w:line="382" w:lineRule="auto"/>
        <w:rPr>
          <w:rFonts w:hint="eastAsia" w:ascii="宋体" w:hAnsi="宋体" w:eastAsia="宋体" w:cs="宋体"/>
          <w:color w:val="auto"/>
          <w:sz w:val="21"/>
          <w:szCs w:val="21"/>
          <w:highlight w:val="none"/>
        </w:rPr>
      </w:pPr>
    </w:p>
    <w:p>
      <w:pPr>
        <w:spacing w:line="382" w:lineRule="auto"/>
        <w:rPr>
          <w:rFonts w:hint="eastAsia" w:ascii="宋体" w:hAnsi="宋体" w:eastAsia="宋体" w:cs="宋体"/>
          <w:color w:val="auto"/>
          <w:sz w:val="21"/>
          <w:szCs w:val="21"/>
          <w:highlight w:val="none"/>
        </w:rPr>
      </w:pPr>
    </w:p>
    <w:p>
      <w:pPr>
        <w:pStyle w:val="17"/>
        <w:spacing w:line="382" w:lineRule="auto"/>
        <w:ind w:left="63" w:right="6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投标人：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（盖章）</w:t>
      </w:r>
    </w:p>
    <w:p>
      <w:pPr>
        <w:pStyle w:val="17"/>
        <w:spacing w:before="164" w:line="382" w:lineRule="auto"/>
        <w:ind w:left="3518" w:leftChars="1675" w:right="63"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法定代表人或其授权委托代理人：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（签字或盖章）</w:t>
      </w:r>
    </w:p>
    <w:p>
      <w:pPr>
        <w:pStyle w:val="17"/>
        <w:tabs>
          <w:tab w:val="left" w:pos="839"/>
          <w:tab w:val="left" w:pos="1259"/>
          <w:tab w:val="left" w:pos="1785"/>
        </w:tabs>
        <w:spacing w:before="166" w:line="382" w:lineRule="auto"/>
        <w:ind w:left="63" w:right="6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日 期：</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月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4"/>
        <w:jc w:val="center"/>
        <w:rPr>
          <w:rFonts w:hint="eastAsia" w:ascii="宋体" w:hAnsi="宋体" w:eastAsia="宋体" w:cs="宋体"/>
          <w:color w:val="auto"/>
          <w:highlight w:val="none"/>
        </w:rPr>
      </w:pPr>
      <w:bookmarkStart w:id="842" w:name="_Toc5077"/>
      <w:r>
        <w:rPr>
          <w:rFonts w:hint="eastAsia" w:ascii="宋体" w:hAnsi="宋体" w:eastAsia="宋体" w:cs="宋体"/>
          <w:color w:val="auto"/>
          <w:highlight w:val="none"/>
        </w:rPr>
        <w:t>十一、拟投入本工程管理人员情况表</w:t>
      </w:r>
      <w:bookmarkEnd w:id="841"/>
      <w:bookmarkEnd w:id="842"/>
    </w:p>
    <w:p>
      <w:pPr>
        <w:tabs>
          <w:tab w:val="left" w:pos="826"/>
        </w:tabs>
        <w:snapToGrid w:val="0"/>
        <w:ind w:firstLine="482" w:firstLineChars="200"/>
        <w:rPr>
          <w:rFonts w:hint="eastAsia" w:ascii="宋体" w:hAnsi="宋体" w:eastAsia="宋体" w:cs="宋体"/>
          <w:b/>
          <w:color w:val="auto"/>
          <w:sz w:val="24"/>
          <w:highlight w:val="none"/>
        </w:rPr>
      </w:pPr>
    </w:p>
    <w:p>
      <w:pPr>
        <w:pStyle w:val="162"/>
        <w:outlineLvl w:val="0"/>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bookmarkStart w:id="843" w:name="_Toc427334932"/>
      <w:bookmarkStart w:id="844" w:name="_Toc6591"/>
      <w:r>
        <w:rPr>
          <w:rFonts w:hint="eastAsia" w:ascii="宋体" w:hAnsi="宋体" w:eastAsia="宋体" w:cs="宋体"/>
          <w:color w:val="auto"/>
          <w:highlight w:val="none"/>
          <w:u w:val="single"/>
        </w:rPr>
        <w:t xml:space="preserve">（项目总名称）（标段名称）         </w:t>
      </w:r>
      <w:r>
        <w:rPr>
          <w:rFonts w:hint="eastAsia" w:ascii="宋体" w:hAnsi="宋体" w:eastAsia="宋体" w:cs="宋体"/>
          <w:color w:val="auto"/>
          <w:highlight w:val="none"/>
        </w:rPr>
        <w:t xml:space="preserve"> 工程</w:t>
      </w:r>
      <w:bookmarkEnd w:id="843"/>
      <w:bookmarkEnd w:id="844"/>
    </w:p>
    <w:tbl>
      <w:tblPr>
        <w:tblStyle w:val="41"/>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rPr>
                <w:rFonts w:hint="eastAsia" w:ascii="宋体" w:hAnsi="宋体" w:eastAsia="宋体" w:cs="宋体"/>
                <w:color w:val="auto"/>
                <w:highlight w:val="none"/>
              </w:rPr>
            </w:pPr>
            <w:r>
              <w:rPr>
                <w:rFonts w:hint="eastAsia" w:ascii="宋体" w:hAnsi="宋体" w:eastAsia="宋体" w:cs="宋体"/>
                <w:color w:val="auto"/>
                <w:highlight w:val="none"/>
              </w:rPr>
              <w:t>岗位</w:t>
            </w:r>
          </w:p>
        </w:tc>
        <w:tc>
          <w:tcPr>
            <w:tcW w:w="829" w:type="dxa"/>
            <w:vMerge w:val="restart"/>
            <w:vAlign w:val="center"/>
          </w:tcPr>
          <w:p>
            <w:pPr>
              <w:ind w:left="223" w:hanging="222" w:hangingChars="106"/>
              <w:jc w:val="center"/>
              <w:rPr>
                <w:rFonts w:hint="eastAsia" w:ascii="宋体" w:hAnsi="宋体" w:eastAsia="宋体" w:cs="宋体"/>
                <w:color w:val="auto"/>
                <w:highlight w:val="none"/>
              </w:rPr>
            </w:pPr>
            <w:r>
              <w:rPr>
                <w:rFonts w:hint="eastAsia" w:ascii="宋体" w:hAnsi="宋体" w:eastAsia="宋体" w:cs="宋体"/>
                <w:color w:val="auto"/>
                <w:highlight w:val="none"/>
              </w:rPr>
              <w:t>姓名</w:t>
            </w:r>
          </w:p>
        </w:tc>
        <w:tc>
          <w:tcPr>
            <w:tcW w:w="816" w:type="dxa"/>
            <w:vMerge w:val="restart"/>
            <w:vAlign w:val="center"/>
          </w:tcPr>
          <w:p>
            <w:pPr>
              <w:ind w:left="223" w:hanging="222" w:hangingChars="106"/>
              <w:jc w:val="center"/>
              <w:rPr>
                <w:rFonts w:hint="eastAsia" w:ascii="宋体" w:hAnsi="宋体" w:eastAsia="宋体" w:cs="宋体"/>
                <w:color w:val="auto"/>
                <w:highlight w:val="none"/>
              </w:rPr>
            </w:pPr>
            <w:r>
              <w:rPr>
                <w:rFonts w:hint="eastAsia" w:ascii="宋体" w:hAnsi="宋体" w:eastAsia="宋体" w:cs="宋体"/>
                <w:color w:val="auto"/>
                <w:highlight w:val="none"/>
              </w:rPr>
              <w:t>职称</w:t>
            </w:r>
          </w:p>
        </w:tc>
        <w:tc>
          <w:tcPr>
            <w:tcW w:w="4592" w:type="dxa"/>
            <w:gridSpan w:val="4"/>
            <w:vAlign w:val="center"/>
          </w:tcPr>
          <w:p>
            <w:pPr>
              <w:ind w:left="223" w:hanging="222" w:hangingChars="106"/>
              <w:jc w:val="center"/>
              <w:rPr>
                <w:rFonts w:hint="eastAsia" w:ascii="宋体" w:hAnsi="宋体" w:eastAsia="宋体" w:cs="宋体"/>
                <w:color w:val="auto"/>
                <w:highlight w:val="none"/>
              </w:rPr>
            </w:pPr>
            <w:r>
              <w:rPr>
                <w:rFonts w:hint="eastAsia" w:ascii="宋体" w:hAnsi="宋体" w:eastAsia="宋体" w:cs="宋体"/>
                <w:color w:val="auto"/>
                <w:highlight w:val="none"/>
              </w:rPr>
              <w:t>执业或职业资格证明</w:t>
            </w:r>
          </w:p>
        </w:tc>
        <w:tc>
          <w:tcPr>
            <w:tcW w:w="2529" w:type="dxa"/>
            <w:gridSpan w:val="2"/>
            <w:vAlign w:val="center"/>
          </w:tcPr>
          <w:p>
            <w:pPr>
              <w:ind w:left="223" w:hanging="222" w:hangingChars="106"/>
              <w:jc w:val="center"/>
              <w:rPr>
                <w:rFonts w:hint="eastAsia" w:ascii="宋体" w:hAnsi="宋体" w:eastAsia="宋体" w:cs="宋体"/>
                <w:color w:val="auto"/>
                <w:highlight w:val="none"/>
              </w:rPr>
            </w:pPr>
            <w:r>
              <w:rPr>
                <w:rFonts w:hint="eastAsia" w:ascii="宋体" w:hAnsi="宋体" w:eastAsia="宋体" w:cs="宋体"/>
                <w:color w:val="auto"/>
                <w:highlight w:val="none"/>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223" w:hanging="222" w:hangingChars="106"/>
              <w:jc w:val="center"/>
              <w:rPr>
                <w:rFonts w:hint="eastAsia" w:ascii="宋体" w:hAnsi="宋体" w:eastAsia="宋体" w:cs="宋体"/>
                <w:color w:val="auto"/>
                <w:highlight w:val="none"/>
              </w:rPr>
            </w:pPr>
          </w:p>
        </w:tc>
        <w:tc>
          <w:tcPr>
            <w:tcW w:w="829" w:type="dxa"/>
            <w:vMerge w:val="continue"/>
            <w:vAlign w:val="center"/>
          </w:tcPr>
          <w:p>
            <w:pPr>
              <w:ind w:left="223" w:hanging="222" w:hangingChars="106"/>
              <w:jc w:val="center"/>
              <w:rPr>
                <w:rFonts w:hint="eastAsia" w:ascii="宋体" w:hAnsi="宋体" w:eastAsia="宋体" w:cs="宋体"/>
                <w:color w:val="auto"/>
                <w:highlight w:val="none"/>
              </w:rPr>
            </w:pPr>
          </w:p>
        </w:tc>
        <w:tc>
          <w:tcPr>
            <w:tcW w:w="816" w:type="dxa"/>
            <w:vMerge w:val="continue"/>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r>
              <w:rPr>
                <w:rFonts w:hint="eastAsia" w:ascii="宋体" w:hAnsi="宋体" w:eastAsia="宋体" w:cs="宋体"/>
                <w:color w:val="auto"/>
                <w:highlight w:val="none"/>
              </w:rPr>
              <w:t>证书名称</w:t>
            </w:r>
          </w:p>
        </w:tc>
        <w:tc>
          <w:tcPr>
            <w:tcW w:w="1148" w:type="dxa"/>
            <w:vAlign w:val="center"/>
          </w:tcPr>
          <w:p>
            <w:pPr>
              <w:ind w:left="223" w:hanging="222" w:hangingChars="106"/>
              <w:jc w:val="center"/>
              <w:rPr>
                <w:rFonts w:hint="eastAsia" w:ascii="宋体" w:hAnsi="宋体" w:eastAsia="宋体" w:cs="宋体"/>
                <w:color w:val="auto"/>
                <w:highlight w:val="none"/>
              </w:rPr>
            </w:pPr>
            <w:r>
              <w:rPr>
                <w:rFonts w:hint="eastAsia" w:ascii="宋体" w:hAnsi="宋体" w:eastAsia="宋体" w:cs="宋体"/>
                <w:color w:val="auto"/>
                <w:highlight w:val="none"/>
              </w:rPr>
              <w:t>级别</w:t>
            </w:r>
          </w:p>
        </w:tc>
        <w:tc>
          <w:tcPr>
            <w:tcW w:w="1148" w:type="dxa"/>
            <w:vAlign w:val="center"/>
          </w:tcPr>
          <w:p>
            <w:pPr>
              <w:ind w:left="223" w:hanging="222" w:hangingChars="106"/>
              <w:jc w:val="center"/>
              <w:rPr>
                <w:rFonts w:hint="eastAsia" w:ascii="宋体" w:hAnsi="宋体" w:eastAsia="宋体" w:cs="宋体"/>
                <w:color w:val="auto"/>
                <w:highlight w:val="none"/>
              </w:rPr>
            </w:pPr>
            <w:r>
              <w:rPr>
                <w:rFonts w:hint="eastAsia" w:ascii="宋体" w:hAnsi="宋体" w:eastAsia="宋体" w:cs="宋体"/>
                <w:color w:val="auto"/>
                <w:highlight w:val="none"/>
              </w:rPr>
              <w:t>证号</w:t>
            </w:r>
          </w:p>
        </w:tc>
        <w:tc>
          <w:tcPr>
            <w:tcW w:w="1148" w:type="dxa"/>
            <w:vAlign w:val="center"/>
          </w:tcPr>
          <w:p>
            <w:pPr>
              <w:ind w:left="223" w:hanging="222" w:hangingChars="106"/>
              <w:jc w:val="center"/>
              <w:rPr>
                <w:rFonts w:hint="eastAsia" w:ascii="宋体" w:hAnsi="宋体" w:eastAsia="宋体" w:cs="宋体"/>
                <w:color w:val="auto"/>
                <w:highlight w:val="none"/>
              </w:rPr>
            </w:pPr>
            <w:r>
              <w:rPr>
                <w:rFonts w:hint="eastAsia" w:ascii="宋体" w:hAnsi="宋体" w:eastAsia="宋体" w:cs="宋体"/>
                <w:color w:val="auto"/>
                <w:highlight w:val="none"/>
              </w:rPr>
              <w:t>专业</w:t>
            </w:r>
          </w:p>
        </w:tc>
        <w:tc>
          <w:tcPr>
            <w:tcW w:w="850" w:type="dxa"/>
            <w:vAlign w:val="center"/>
          </w:tcPr>
          <w:p>
            <w:pPr>
              <w:ind w:left="223" w:hanging="222" w:hangingChars="106"/>
              <w:jc w:val="center"/>
              <w:rPr>
                <w:rFonts w:hint="eastAsia" w:ascii="宋体" w:hAnsi="宋体" w:eastAsia="宋体" w:cs="宋体"/>
                <w:color w:val="auto"/>
                <w:highlight w:val="none"/>
              </w:rPr>
            </w:pPr>
            <w:r>
              <w:rPr>
                <w:rFonts w:hint="eastAsia" w:ascii="宋体" w:hAnsi="宋体" w:eastAsia="宋体" w:cs="宋体"/>
                <w:color w:val="auto"/>
                <w:highlight w:val="none"/>
              </w:rPr>
              <w:t>项目数</w:t>
            </w:r>
          </w:p>
        </w:tc>
        <w:tc>
          <w:tcPr>
            <w:tcW w:w="1679" w:type="dxa"/>
            <w:vAlign w:val="center"/>
          </w:tcPr>
          <w:p>
            <w:pPr>
              <w:ind w:left="223" w:hanging="222" w:hangingChars="106"/>
              <w:jc w:val="center"/>
              <w:rPr>
                <w:rFonts w:hint="eastAsia" w:ascii="宋体" w:hAnsi="宋体" w:eastAsia="宋体" w:cs="宋体"/>
                <w:color w:val="auto"/>
                <w:highlight w:val="none"/>
              </w:rPr>
            </w:pPr>
            <w:r>
              <w:rPr>
                <w:rFonts w:hint="eastAsia" w:ascii="宋体" w:hAnsi="宋体" w:eastAsia="宋体" w:cs="宋体"/>
                <w:color w:val="auto"/>
                <w:highlight w:val="none"/>
              </w:rPr>
              <w:t>主要项目</w:t>
            </w:r>
          </w:p>
          <w:p>
            <w:pPr>
              <w:ind w:left="223" w:hanging="222" w:hangingChars="106"/>
              <w:jc w:val="center"/>
              <w:rPr>
                <w:rFonts w:hint="eastAsia" w:ascii="宋体" w:hAnsi="宋体" w:eastAsia="宋体" w:cs="宋体"/>
                <w:color w:val="auto"/>
                <w:highlight w:val="none"/>
              </w:rPr>
            </w:pPr>
            <w:r>
              <w:rPr>
                <w:rFonts w:hint="eastAsia" w:ascii="宋体" w:hAnsi="宋体" w:eastAsia="宋体" w:cs="宋体"/>
                <w:color w:val="auto"/>
                <w:highlight w:val="none"/>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hint="eastAsia" w:ascii="宋体" w:hAnsi="宋体" w:eastAsia="宋体" w:cs="宋体"/>
                <w:color w:val="auto"/>
                <w:szCs w:val="21"/>
                <w:highlight w:val="none"/>
              </w:rPr>
            </w:pPr>
          </w:p>
        </w:tc>
        <w:tc>
          <w:tcPr>
            <w:tcW w:w="829" w:type="dxa"/>
            <w:vAlign w:val="center"/>
          </w:tcPr>
          <w:p>
            <w:pPr>
              <w:ind w:left="223" w:hanging="222" w:hangingChars="106"/>
              <w:jc w:val="center"/>
              <w:rPr>
                <w:rFonts w:hint="eastAsia" w:ascii="宋体" w:hAnsi="宋体" w:eastAsia="宋体" w:cs="宋体"/>
                <w:color w:val="auto"/>
                <w:highlight w:val="none"/>
              </w:rPr>
            </w:pPr>
          </w:p>
        </w:tc>
        <w:tc>
          <w:tcPr>
            <w:tcW w:w="816"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850" w:type="dxa"/>
            <w:vAlign w:val="center"/>
          </w:tcPr>
          <w:p>
            <w:pPr>
              <w:ind w:left="223" w:hanging="222" w:hangingChars="106"/>
              <w:jc w:val="center"/>
              <w:rPr>
                <w:rFonts w:hint="eastAsia" w:ascii="宋体" w:hAnsi="宋体" w:eastAsia="宋体" w:cs="宋体"/>
                <w:color w:val="auto"/>
                <w:highlight w:val="none"/>
              </w:rPr>
            </w:pPr>
          </w:p>
        </w:tc>
        <w:tc>
          <w:tcPr>
            <w:tcW w:w="1679" w:type="dxa"/>
            <w:vAlign w:val="center"/>
          </w:tcPr>
          <w:p>
            <w:pPr>
              <w:ind w:left="223" w:hanging="222" w:hangingChars="106"/>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hint="eastAsia" w:ascii="宋体" w:hAnsi="宋体" w:eastAsia="宋体" w:cs="宋体"/>
                <w:color w:val="auto"/>
                <w:szCs w:val="21"/>
                <w:highlight w:val="none"/>
              </w:rPr>
            </w:pPr>
          </w:p>
        </w:tc>
        <w:tc>
          <w:tcPr>
            <w:tcW w:w="829" w:type="dxa"/>
            <w:vAlign w:val="center"/>
          </w:tcPr>
          <w:p>
            <w:pPr>
              <w:ind w:left="223" w:hanging="222" w:hangingChars="106"/>
              <w:jc w:val="center"/>
              <w:rPr>
                <w:rFonts w:hint="eastAsia" w:ascii="宋体" w:hAnsi="宋体" w:eastAsia="宋体" w:cs="宋体"/>
                <w:color w:val="auto"/>
                <w:highlight w:val="none"/>
              </w:rPr>
            </w:pPr>
          </w:p>
        </w:tc>
        <w:tc>
          <w:tcPr>
            <w:tcW w:w="816"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850" w:type="dxa"/>
            <w:vAlign w:val="center"/>
          </w:tcPr>
          <w:p>
            <w:pPr>
              <w:ind w:left="223" w:hanging="222" w:hangingChars="106"/>
              <w:jc w:val="center"/>
              <w:rPr>
                <w:rFonts w:hint="eastAsia" w:ascii="宋体" w:hAnsi="宋体" w:eastAsia="宋体" w:cs="宋体"/>
                <w:color w:val="auto"/>
                <w:highlight w:val="none"/>
              </w:rPr>
            </w:pPr>
          </w:p>
        </w:tc>
        <w:tc>
          <w:tcPr>
            <w:tcW w:w="1679" w:type="dxa"/>
            <w:vAlign w:val="center"/>
          </w:tcPr>
          <w:p>
            <w:pPr>
              <w:ind w:left="223" w:hanging="222" w:hangingChars="106"/>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hint="eastAsia" w:ascii="宋体" w:hAnsi="宋体" w:eastAsia="宋体" w:cs="宋体"/>
                <w:color w:val="auto"/>
                <w:szCs w:val="21"/>
                <w:highlight w:val="none"/>
              </w:rPr>
            </w:pPr>
          </w:p>
        </w:tc>
        <w:tc>
          <w:tcPr>
            <w:tcW w:w="829" w:type="dxa"/>
            <w:vAlign w:val="center"/>
          </w:tcPr>
          <w:p>
            <w:pPr>
              <w:ind w:left="223" w:hanging="222" w:hangingChars="106"/>
              <w:jc w:val="center"/>
              <w:rPr>
                <w:rFonts w:hint="eastAsia" w:ascii="宋体" w:hAnsi="宋体" w:eastAsia="宋体" w:cs="宋体"/>
                <w:color w:val="auto"/>
                <w:highlight w:val="none"/>
              </w:rPr>
            </w:pPr>
          </w:p>
        </w:tc>
        <w:tc>
          <w:tcPr>
            <w:tcW w:w="816"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850" w:type="dxa"/>
            <w:vAlign w:val="center"/>
          </w:tcPr>
          <w:p>
            <w:pPr>
              <w:ind w:left="223" w:hanging="222" w:hangingChars="106"/>
              <w:jc w:val="center"/>
              <w:rPr>
                <w:rFonts w:hint="eastAsia" w:ascii="宋体" w:hAnsi="宋体" w:eastAsia="宋体" w:cs="宋体"/>
                <w:color w:val="auto"/>
                <w:highlight w:val="none"/>
              </w:rPr>
            </w:pPr>
          </w:p>
        </w:tc>
        <w:tc>
          <w:tcPr>
            <w:tcW w:w="1679" w:type="dxa"/>
            <w:vAlign w:val="center"/>
          </w:tcPr>
          <w:p>
            <w:pPr>
              <w:ind w:left="223" w:hanging="222" w:hangingChars="106"/>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hint="eastAsia" w:ascii="宋体" w:hAnsi="宋体" w:eastAsia="宋体" w:cs="宋体"/>
                <w:color w:val="auto"/>
                <w:szCs w:val="21"/>
                <w:highlight w:val="none"/>
              </w:rPr>
            </w:pPr>
          </w:p>
        </w:tc>
        <w:tc>
          <w:tcPr>
            <w:tcW w:w="829" w:type="dxa"/>
            <w:vAlign w:val="center"/>
          </w:tcPr>
          <w:p>
            <w:pPr>
              <w:ind w:left="223" w:hanging="222" w:hangingChars="106"/>
              <w:jc w:val="center"/>
              <w:rPr>
                <w:rFonts w:hint="eastAsia" w:ascii="宋体" w:hAnsi="宋体" w:eastAsia="宋体" w:cs="宋体"/>
                <w:color w:val="auto"/>
                <w:highlight w:val="none"/>
              </w:rPr>
            </w:pPr>
          </w:p>
        </w:tc>
        <w:tc>
          <w:tcPr>
            <w:tcW w:w="816"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850" w:type="dxa"/>
            <w:vAlign w:val="center"/>
          </w:tcPr>
          <w:p>
            <w:pPr>
              <w:ind w:left="223" w:hanging="222" w:hangingChars="106"/>
              <w:jc w:val="center"/>
              <w:rPr>
                <w:rFonts w:hint="eastAsia" w:ascii="宋体" w:hAnsi="宋体" w:eastAsia="宋体" w:cs="宋体"/>
                <w:color w:val="auto"/>
                <w:highlight w:val="none"/>
              </w:rPr>
            </w:pPr>
          </w:p>
        </w:tc>
        <w:tc>
          <w:tcPr>
            <w:tcW w:w="1679" w:type="dxa"/>
            <w:vAlign w:val="center"/>
          </w:tcPr>
          <w:p>
            <w:pPr>
              <w:ind w:left="223" w:hanging="222" w:hangingChars="106"/>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hint="eastAsia" w:ascii="宋体" w:hAnsi="宋体" w:eastAsia="宋体" w:cs="宋体"/>
                <w:color w:val="auto"/>
                <w:szCs w:val="21"/>
                <w:highlight w:val="none"/>
              </w:rPr>
            </w:pPr>
          </w:p>
        </w:tc>
        <w:tc>
          <w:tcPr>
            <w:tcW w:w="829" w:type="dxa"/>
            <w:vAlign w:val="center"/>
          </w:tcPr>
          <w:p>
            <w:pPr>
              <w:ind w:left="223" w:hanging="222" w:hangingChars="106"/>
              <w:jc w:val="center"/>
              <w:rPr>
                <w:rFonts w:hint="eastAsia" w:ascii="宋体" w:hAnsi="宋体" w:eastAsia="宋体" w:cs="宋体"/>
                <w:color w:val="auto"/>
                <w:highlight w:val="none"/>
              </w:rPr>
            </w:pPr>
          </w:p>
        </w:tc>
        <w:tc>
          <w:tcPr>
            <w:tcW w:w="816"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850" w:type="dxa"/>
            <w:vAlign w:val="center"/>
          </w:tcPr>
          <w:p>
            <w:pPr>
              <w:ind w:left="223" w:hanging="222" w:hangingChars="106"/>
              <w:jc w:val="center"/>
              <w:rPr>
                <w:rFonts w:hint="eastAsia" w:ascii="宋体" w:hAnsi="宋体" w:eastAsia="宋体" w:cs="宋体"/>
                <w:color w:val="auto"/>
                <w:highlight w:val="none"/>
              </w:rPr>
            </w:pPr>
          </w:p>
        </w:tc>
        <w:tc>
          <w:tcPr>
            <w:tcW w:w="1679" w:type="dxa"/>
            <w:vAlign w:val="center"/>
          </w:tcPr>
          <w:p>
            <w:pPr>
              <w:ind w:left="223" w:hanging="222" w:hangingChars="106"/>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hint="eastAsia" w:ascii="宋体" w:hAnsi="宋体" w:eastAsia="宋体" w:cs="宋体"/>
                <w:color w:val="auto"/>
                <w:szCs w:val="21"/>
                <w:highlight w:val="none"/>
              </w:rPr>
            </w:pPr>
          </w:p>
        </w:tc>
        <w:tc>
          <w:tcPr>
            <w:tcW w:w="829" w:type="dxa"/>
            <w:vAlign w:val="center"/>
          </w:tcPr>
          <w:p>
            <w:pPr>
              <w:ind w:left="223" w:hanging="222" w:hangingChars="106"/>
              <w:jc w:val="center"/>
              <w:rPr>
                <w:rFonts w:hint="eastAsia" w:ascii="宋体" w:hAnsi="宋体" w:eastAsia="宋体" w:cs="宋体"/>
                <w:color w:val="auto"/>
                <w:highlight w:val="none"/>
              </w:rPr>
            </w:pPr>
          </w:p>
        </w:tc>
        <w:tc>
          <w:tcPr>
            <w:tcW w:w="816"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850" w:type="dxa"/>
            <w:vAlign w:val="center"/>
          </w:tcPr>
          <w:p>
            <w:pPr>
              <w:ind w:left="223" w:hanging="222" w:hangingChars="106"/>
              <w:jc w:val="center"/>
              <w:rPr>
                <w:rFonts w:hint="eastAsia" w:ascii="宋体" w:hAnsi="宋体" w:eastAsia="宋体" w:cs="宋体"/>
                <w:color w:val="auto"/>
                <w:highlight w:val="none"/>
              </w:rPr>
            </w:pPr>
          </w:p>
        </w:tc>
        <w:tc>
          <w:tcPr>
            <w:tcW w:w="1679" w:type="dxa"/>
            <w:vAlign w:val="center"/>
          </w:tcPr>
          <w:p>
            <w:pPr>
              <w:ind w:left="223" w:hanging="222" w:hangingChars="106"/>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hint="eastAsia" w:ascii="宋体" w:hAnsi="宋体" w:eastAsia="宋体" w:cs="宋体"/>
                <w:color w:val="auto"/>
                <w:szCs w:val="21"/>
                <w:highlight w:val="none"/>
              </w:rPr>
            </w:pPr>
          </w:p>
        </w:tc>
        <w:tc>
          <w:tcPr>
            <w:tcW w:w="829" w:type="dxa"/>
            <w:vAlign w:val="center"/>
          </w:tcPr>
          <w:p>
            <w:pPr>
              <w:ind w:left="223" w:hanging="222" w:hangingChars="106"/>
              <w:jc w:val="center"/>
              <w:rPr>
                <w:rFonts w:hint="eastAsia" w:ascii="宋体" w:hAnsi="宋体" w:eastAsia="宋体" w:cs="宋体"/>
                <w:color w:val="auto"/>
                <w:highlight w:val="none"/>
              </w:rPr>
            </w:pPr>
          </w:p>
        </w:tc>
        <w:tc>
          <w:tcPr>
            <w:tcW w:w="816"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850" w:type="dxa"/>
            <w:vAlign w:val="center"/>
          </w:tcPr>
          <w:p>
            <w:pPr>
              <w:ind w:left="223" w:hanging="222" w:hangingChars="106"/>
              <w:jc w:val="center"/>
              <w:rPr>
                <w:rFonts w:hint="eastAsia" w:ascii="宋体" w:hAnsi="宋体" w:eastAsia="宋体" w:cs="宋体"/>
                <w:color w:val="auto"/>
                <w:highlight w:val="none"/>
              </w:rPr>
            </w:pPr>
          </w:p>
        </w:tc>
        <w:tc>
          <w:tcPr>
            <w:tcW w:w="1679" w:type="dxa"/>
            <w:vAlign w:val="center"/>
          </w:tcPr>
          <w:p>
            <w:pPr>
              <w:ind w:left="223" w:hanging="222" w:hangingChars="106"/>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hint="eastAsia" w:ascii="宋体" w:hAnsi="宋体" w:eastAsia="宋体" w:cs="宋体"/>
                <w:color w:val="auto"/>
                <w:szCs w:val="21"/>
                <w:highlight w:val="none"/>
              </w:rPr>
            </w:pPr>
          </w:p>
        </w:tc>
        <w:tc>
          <w:tcPr>
            <w:tcW w:w="829" w:type="dxa"/>
            <w:vAlign w:val="center"/>
          </w:tcPr>
          <w:p>
            <w:pPr>
              <w:ind w:left="223" w:hanging="222" w:hangingChars="106"/>
              <w:jc w:val="center"/>
              <w:rPr>
                <w:rFonts w:hint="eastAsia" w:ascii="宋体" w:hAnsi="宋体" w:eastAsia="宋体" w:cs="宋体"/>
                <w:color w:val="auto"/>
                <w:highlight w:val="none"/>
              </w:rPr>
            </w:pPr>
          </w:p>
        </w:tc>
        <w:tc>
          <w:tcPr>
            <w:tcW w:w="816"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850" w:type="dxa"/>
            <w:vAlign w:val="center"/>
          </w:tcPr>
          <w:p>
            <w:pPr>
              <w:ind w:left="223" w:hanging="222" w:hangingChars="106"/>
              <w:jc w:val="center"/>
              <w:rPr>
                <w:rFonts w:hint="eastAsia" w:ascii="宋体" w:hAnsi="宋体" w:eastAsia="宋体" w:cs="宋体"/>
                <w:color w:val="auto"/>
                <w:highlight w:val="none"/>
              </w:rPr>
            </w:pPr>
          </w:p>
        </w:tc>
        <w:tc>
          <w:tcPr>
            <w:tcW w:w="1679" w:type="dxa"/>
            <w:vAlign w:val="center"/>
          </w:tcPr>
          <w:p>
            <w:pPr>
              <w:ind w:left="223" w:hanging="222" w:hangingChars="106"/>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hint="eastAsia" w:ascii="宋体" w:hAnsi="宋体" w:eastAsia="宋体" w:cs="宋体"/>
                <w:color w:val="auto"/>
                <w:szCs w:val="21"/>
                <w:highlight w:val="none"/>
              </w:rPr>
            </w:pPr>
          </w:p>
        </w:tc>
        <w:tc>
          <w:tcPr>
            <w:tcW w:w="829" w:type="dxa"/>
            <w:vAlign w:val="center"/>
          </w:tcPr>
          <w:p>
            <w:pPr>
              <w:ind w:left="223" w:hanging="222" w:hangingChars="106"/>
              <w:jc w:val="center"/>
              <w:rPr>
                <w:rFonts w:hint="eastAsia" w:ascii="宋体" w:hAnsi="宋体" w:eastAsia="宋体" w:cs="宋体"/>
                <w:color w:val="auto"/>
                <w:highlight w:val="none"/>
              </w:rPr>
            </w:pPr>
          </w:p>
        </w:tc>
        <w:tc>
          <w:tcPr>
            <w:tcW w:w="816"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1148" w:type="dxa"/>
            <w:vAlign w:val="center"/>
          </w:tcPr>
          <w:p>
            <w:pPr>
              <w:ind w:left="223" w:hanging="222" w:hangingChars="106"/>
              <w:jc w:val="center"/>
              <w:rPr>
                <w:rFonts w:hint="eastAsia" w:ascii="宋体" w:hAnsi="宋体" w:eastAsia="宋体" w:cs="宋体"/>
                <w:color w:val="auto"/>
                <w:highlight w:val="none"/>
              </w:rPr>
            </w:pPr>
          </w:p>
        </w:tc>
        <w:tc>
          <w:tcPr>
            <w:tcW w:w="850" w:type="dxa"/>
            <w:vAlign w:val="center"/>
          </w:tcPr>
          <w:p>
            <w:pPr>
              <w:ind w:left="223" w:hanging="222" w:hangingChars="106"/>
              <w:jc w:val="center"/>
              <w:rPr>
                <w:rFonts w:hint="eastAsia" w:ascii="宋体" w:hAnsi="宋体" w:eastAsia="宋体" w:cs="宋体"/>
                <w:color w:val="auto"/>
                <w:highlight w:val="none"/>
              </w:rPr>
            </w:pPr>
          </w:p>
        </w:tc>
        <w:tc>
          <w:tcPr>
            <w:tcW w:w="1679" w:type="dxa"/>
            <w:vAlign w:val="center"/>
          </w:tcPr>
          <w:p>
            <w:pPr>
              <w:ind w:left="223" w:hanging="222" w:hangingChars="106"/>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759" w:type="dxa"/>
            <w:gridSpan w:val="9"/>
          </w:tcPr>
          <w:p>
            <w:pPr>
              <w:spacing w:beforeLines="50" w:afterLines="5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一旦我单位中标，将实行项目经理负责制，我方保证并配备上述项目管理机构。上述填报内容真实，若不真实，愿按有关规定接受处理。项目管理班子机构设置、职责分工等情况另附资料说明。</w:t>
            </w:r>
          </w:p>
        </w:tc>
      </w:tr>
    </w:tbl>
    <w:p>
      <w:pPr>
        <w:tabs>
          <w:tab w:val="left" w:pos="0"/>
        </w:tabs>
        <w:spacing w:line="360" w:lineRule="auto"/>
        <w:ind w:right="-210"/>
        <w:rPr>
          <w:rFonts w:hint="eastAsia" w:ascii="宋体" w:hAnsi="宋体" w:eastAsia="宋体" w:cs="宋体"/>
          <w:color w:val="auto"/>
          <w:highlight w:val="none"/>
        </w:rPr>
      </w:pPr>
    </w:p>
    <w:p>
      <w:pPr>
        <w:tabs>
          <w:tab w:val="left" w:pos="0"/>
        </w:tabs>
        <w:spacing w:line="360" w:lineRule="auto"/>
        <w:ind w:right="-210"/>
        <w:rPr>
          <w:rFonts w:hint="eastAsia" w:ascii="宋体" w:hAnsi="宋体" w:eastAsia="宋体" w:cs="宋体"/>
          <w:color w:val="auto"/>
          <w:highlight w:val="none"/>
        </w:rPr>
      </w:pPr>
      <w:r>
        <w:rPr>
          <w:rFonts w:hint="eastAsia" w:ascii="宋体" w:hAnsi="宋体" w:eastAsia="宋体" w:cs="宋体"/>
          <w:color w:val="auto"/>
          <w:highlight w:val="none"/>
        </w:rPr>
        <w:t>备注：附各岗位人员资格证件复印件及投标截止之日前半年内任意一个月在本单位依法缴纳社保证明材料复印件，以上复印件均须加盖投标人单位公章。</w:t>
      </w:r>
    </w:p>
    <w:p>
      <w:pPr>
        <w:pStyle w:val="4"/>
        <w:numPr>
          <w:ilvl w:val="0"/>
          <w:numId w:val="9"/>
        </w:numPr>
        <w:jc w:val="center"/>
        <w:rPr>
          <w:rFonts w:hint="eastAsia" w:ascii="宋体" w:hAnsi="宋体" w:eastAsia="宋体" w:cs="宋体"/>
          <w:color w:val="auto"/>
          <w:highlight w:val="none"/>
        </w:rPr>
      </w:pPr>
      <w:bookmarkStart w:id="845" w:name="_Toc427334933"/>
      <w:r>
        <w:rPr>
          <w:rFonts w:hint="eastAsia" w:ascii="宋体" w:hAnsi="宋体" w:eastAsia="宋体" w:cs="宋体"/>
          <w:color w:val="auto"/>
          <w:highlight w:val="none"/>
        </w:rPr>
        <w:br w:type="page"/>
      </w:r>
      <w:bookmarkStart w:id="846" w:name="_Toc18178"/>
      <w:r>
        <w:rPr>
          <w:rFonts w:hint="eastAsia" w:ascii="宋体" w:hAnsi="宋体" w:eastAsia="宋体" w:cs="宋体"/>
          <w:color w:val="auto"/>
          <w:highlight w:val="none"/>
        </w:rPr>
        <w:t>拟投入施工机械设备情况表</w:t>
      </w:r>
      <w:bookmarkEnd w:id="845"/>
      <w:bookmarkEnd w:id="846"/>
    </w:p>
    <w:p>
      <w:pPr>
        <w:pStyle w:val="4"/>
        <w:jc w:val="center"/>
        <w:rPr>
          <w:rFonts w:hint="eastAsia" w:ascii="宋体" w:hAnsi="宋体" w:eastAsia="宋体" w:cs="宋体"/>
          <w:color w:val="auto"/>
          <w:highlight w:val="none"/>
        </w:rPr>
      </w:pPr>
      <w:r>
        <w:rPr>
          <w:rFonts w:hint="eastAsia" w:ascii="宋体" w:hAnsi="宋体" w:eastAsia="宋体" w:cs="宋体"/>
          <w:color w:val="auto"/>
          <w:highlight w:val="none"/>
        </w:rPr>
        <w:t>（格式自拟）</w:t>
      </w:r>
    </w:p>
    <w:p>
      <w:pPr>
        <w:numPr>
          <w:ilvl w:val="0"/>
          <w:numId w:val="0"/>
        </w:numPr>
        <w:rPr>
          <w:rFonts w:hint="eastAsia" w:eastAsia="黑体"/>
          <w:color w:val="auto"/>
          <w:highlight w:val="none"/>
          <w:lang w:val="en-US" w:eastAsia="zh-CN"/>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十三、</w:t>
      </w:r>
      <w:r>
        <w:rPr>
          <w:rFonts w:hint="eastAsia" w:ascii="宋体" w:hAnsi="宋体" w:eastAsia="宋体" w:cs="宋体"/>
          <w:b/>
          <w:color w:val="auto"/>
          <w:sz w:val="32"/>
          <w:szCs w:val="32"/>
          <w:highlight w:val="none"/>
          <w:lang w:val="en-US" w:eastAsia="zh-CN"/>
        </w:rPr>
        <w:t>资格审查需要的</w:t>
      </w:r>
      <w:r>
        <w:rPr>
          <w:rFonts w:hint="eastAsia" w:ascii="宋体" w:hAnsi="宋体" w:eastAsia="宋体" w:cs="宋体"/>
          <w:b/>
          <w:color w:val="auto"/>
          <w:sz w:val="32"/>
          <w:szCs w:val="32"/>
          <w:highlight w:val="none"/>
        </w:rPr>
        <w:t>其他材料</w:t>
      </w:r>
    </w:p>
    <w:p>
      <w:pPr>
        <w:jc w:val="center"/>
        <w:rPr>
          <w:rFonts w:hint="eastAsia" w:ascii="宋体" w:hAnsi="宋体" w:eastAsia="宋体" w:cs="宋体"/>
          <w:b/>
          <w:color w:val="auto"/>
          <w:sz w:val="32"/>
          <w:szCs w:val="32"/>
          <w:highlight w:val="none"/>
        </w:rPr>
      </w:pPr>
    </w:p>
    <w:p>
      <w:pPr>
        <w:tabs>
          <w:tab w:val="left" w:pos="826"/>
        </w:tabs>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企业信誉（如有）、在最近三年内无骗取中标或严重违约或重大工程质量问题的（格式自拟）和投标人认为有必要提供的其他证明材料。</w:t>
      </w:r>
    </w:p>
    <w:p>
      <w:pPr>
        <w:tabs>
          <w:tab w:val="left" w:pos="826"/>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pacing w:line="440" w:lineRule="exac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附件：</w:t>
      </w:r>
    </w:p>
    <w:p>
      <w:pPr>
        <w:keepNext w:val="0"/>
        <w:keepLines w:val="0"/>
        <w:widowControl/>
        <w:suppressLineNumbers w:val="0"/>
        <w:jc w:val="center"/>
        <w:rPr>
          <w:rFonts w:hint="eastAsia" w:ascii="宋体" w:hAnsi="宋体" w:eastAsia="宋体" w:cs="宋体"/>
          <w:b/>
          <w:color w:val="auto"/>
          <w:kern w:val="0"/>
          <w:sz w:val="28"/>
          <w:szCs w:val="28"/>
          <w:highlight w:val="none"/>
          <w:lang w:val="en-US" w:eastAsia="zh-CN" w:bidi="ar"/>
        </w:rPr>
      </w:pPr>
      <w:r>
        <w:rPr>
          <w:rFonts w:hint="eastAsia" w:ascii="宋体" w:hAnsi="宋体" w:eastAsia="宋体" w:cs="宋体"/>
          <w:b/>
          <w:color w:val="auto"/>
          <w:kern w:val="0"/>
          <w:sz w:val="28"/>
          <w:szCs w:val="28"/>
          <w:highlight w:val="none"/>
          <w:lang w:val="en-US" w:eastAsia="zh-CN" w:bidi="ar"/>
        </w:rPr>
        <w:t>中小企业声明函（工程、服务）</w:t>
      </w:r>
    </w:p>
    <w:p>
      <w:pPr>
        <w:keepNext w:val="0"/>
        <w:keepLines w:val="0"/>
        <w:widowControl/>
        <w:suppressLineNumbers w:val="0"/>
        <w:jc w:val="center"/>
        <w:rPr>
          <w:rFonts w:hint="eastAsia" w:ascii="宋体" w:hAnsi="宋体" w:eastAsia="宋体" w:cs="宋体"/>
          <w:b/>
          <w:color w:val="auto"/>
          <w:kern w:val="0"/>
          <w:sz w:val="28"/>
          <w:szCs w:val="28"/>
          <w:highlight w:val="none"/>
          <w:lang w:val="en-US" w:eastAsia="zh-CN" w:bidi="ar"/>
        </w:rPr>
      </w:pPr>
    </w:p>
    <w:p>
      <w:pPr>
        <w:spacing w:line="500" w:lineRule="exact"/>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lang w:val="en-US" w:eastAsia="zh-CN"/>
        </w:rPr>
        <w:t>本公司（联合体）郑重声明，根据《政府采购促进中小企业发展管理办法》（财库﹝2020﹞46 号）的规定，本公司 （联合体）参加</w:t>
      </w:r>
      <w:r>
        <w:rPr>
          <w:rFonts w:hint="eastAsia" w:ascii="宋体" w:hAnsi="宋体" w:eastAsia="宋体" w:cs="宋体"/>
          <w:color w:val="auto"/>
          <w:spacing w:val="6"/>
          <w:szCs w:val="21"/>
          <w:highlight w:val="none"/>
          <w:u w:val="single"/>
          <w:lang w:val="en-US" w:eastAsia="zh-CN"/>
        </w:rPr>
        <w:t xml:space="preserve">                     （单位名称）</w:t>
      </w:r>
      <w:r>
        <w:rPr>
          <w:rFonts w:hint="eastAsia" w:ascii="宋体" w:hAnsi="宋体" w:eastAsia="宋体" w:cs="宋体"/>
          <w:color w:val="auto"/>
          <w:spacing w:val="6"/>
          <w:szCs w:val="21"/>
          <w:highlight w:val="none"/>
          <w:lang w:val="en-US" w:eastAsia="zh-CN"/>
        </w:rPr>
        <w:t>的</w:t>
      </w:r>
      <w:r>
        <w:rPr>
          <w:rFonts w:hint="eastAsia" w:ascii="宋体" w:hAnsi="宋体" w:eastAsia="宋体" w:cs="宋体"/>
          <w:color w:val="auto"/>
          <w:spacing w:val="6"/>
          <w:szCs w:val="21"/>
          <w:highlight w:val="none"/>
          <w:u w:val="single"/>
          <w:lang w:val="en-US" w:eastAsia="zh-CN"/>
        </w:rPr>
        <w:t xml:space="preserve">          （项目名称）</w:t>
      </w:r>
      <w:r>
        <w:rPr>
          <w:rFonts w:hint="eastAsia" w:ascii="宋体" w:hAnsi="宋体" w:eastAsia="宋体" w:cs="宋体"/>
          <w:color w:val="auto"/>
          <w:spacing w:val="6"/>
          <w:szCs w:val="21"/>
          <w:highlight w:val="none"/>
          <w:lang w:val="en-US" w:eastAsia="zh-CN"/>
        </w:rPr>
        <w:t>采购活动，工程的施工单位全部为符合政策要求的中小企业（或者：服务全部由符合政策要求的中小企业承接）。相关企业（含联合体中的中小企业、签订分包意向协议的中小企业）的具体情况如下：</w:t>
      </w:r>
    </w:p>
    <w:p>
      <w:pPr>
        <w:numPr>
          <w:ilvl w:val="0"/>
          <w:numId w:val="10"/>
        </w:numPr>
        <w:spacing w:line="500" w:lineRule="exact"/>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u w:val="single"/>
          <w:lang w:val="en-US" w:eastAsia="zh-CN"/>
        </w:rPr>
        <w:t xml:space="preserve">              （标的名称） </w:t>
      </w:r>
      <w:r>
        <w:rPr>
          <w:rFonts w:hint="eastAsia" w:ascii="宋体" w:hAnsi="宋体" w:eastAsia="宋体" w:cs="宋体"/>
          <w:color w:val="auto"/>
          <w:spacing w:val="6"/>
          <w:szCs w:val="21"/>
          <w:highlight w:val="none"/>
          <w:lang w:val="en-US" w:eastAsia="zh-CN"/>
        </w:rPr>
        <w:t>，属于</w:t>
      </w:r>
      <w:r>
        <w:rPr>
          <w:rFonts w:hint="eastAsia" w:ascii="宋体" w:hAnsi="宋体" w:eastAsia="宋体" w:cs="宋体"/>
          <w:color w:val="auto"/>
          <w:spacing w:val="6"/>
          <w:szCs w:val="21"/>
          <w:highlight w:val="none"/>
          <w:u w:val="single"/>
          <w:lang w:val="en-US" w:eastAsia="zh-CN"/>
        </w:rPr>
        <w:t xml:space="preserve">             （采购文件中明确的所属行业）</w:t>
      </w:r>
      <w:r>
        <w:rPr>
          <w:rFonts w:hint="eastAsia" w:ascii="宋体" w:hAnsi="宋体" w:eastAsia="宋体" w:cs="宋体"/>
          <w:color w:val="auto"/>
          <w:spacing w:val="6"/>
          <w:szCs w:val="21"/>
          <w:highlight w:val="none"/>
          <w:lang w:val="en-US" w:eastAsia="zh-CN"/>
        </w:rPr>
        <w:t>；承建（承接）企业为</w:t>
      </w:r>
      <w:r>
        <w:rPr>
          <w:rFonts w:hint="eastAsia" w:ascii="宋体" w:hAnsi="宋体" w:eastAsia="宋体" w:cs="宋体"/>
          <w:color w:val="auto"/>
          <w:spacing w:val="6"/>
          <w:szCs w:val="21"/>
          <w:highlight w:val="none"/>
          <w:u w:val="single"/>
          <w:lang w:val="en-US" w:eastAsia="zh-CN"/>
        </w:rPr>
        <w:t xml:space="preserve">           （企业名称）</w:t>
      </w:r>
      <w:r>
        <w:rPr>
          <w:rFonts w:hint="eastAsia" w:ascii="宋体" w:hAnsi="宋体" w:eastAsia="宋体" w:cs="宋体"/>
          <w:color w:val="auto"/>
          <w:spacing w:val="6"/>
          <w:szCs w:val="21"/>
          <w:highlight w:val="none"/>
          <w:lang w:val="en-US" w:eastAsia="zh-CN"/>
        </w:rPr>
        <w:t>，从业人员</w:t>
      </w:r>
      <w:r>
        <w:rPr>
          <w:rFonts w:hint="eastAsia" w:ascii="宋体" w:hAnsi="宋体" w:eastAsia="宋体" w:cs="宋体"/>
          <w:color w:val="auto"/>
          <w:spacing w:val="6"/>
          <w:szCs w:val="21"/>
          <w:highlight w:val="none"/>
          <w:u w:val="single"/>
          <w:lang w:val="en-US" w:eastAsia="zh-CN"/>
        </w:rPr>
        <w:t xml:space="preserve">    </w:t>
      </w:r>
      <w:r>
        <w:rPr>
          <w:rFonts w:hint="eastAsia" w:ascii="宋体" w:hAnsi="宋体" w:eastAsia="宋体" w:cs="宋体"/>
          <w:color w:val="auto"/>
          <w:spacing w:val="6"/>
          <w:szCs w:val="21"/>
          <w:highlight w:val="none"/>
          <w:lang w:val="en-US" w:eastAsia="zh-CN"/>
        </w:rPr>
        <w:t>人，营业收入为</w:t>
      </w:r>
      <w:r>
        <w:rPr>
          <w:rFonts w:hint="eastAsia" w:ascii="宋体" w:hAnsi="宋体" w:eastAsia="宋体" w:cs="宋体"/>
          <w:color w:val="auto"/>
          <w:spacing w:val="6"/>
          <w:szCs w:val="21"/>
          <w:highlight w:val="none"/>
          <w:u w:val="single"/>
          <w:lang w:val="en-US" w:eastAsia="zh-CN"/>
        </w:rPr>
        <w:t xml:space="preserve">    </w:t>
      </w:r>
      <w:r>
        <w:rPr>
          <w:rFonts w:hint="eastAsia" w:ascii="宋体" w:hAnsi="宋体" w:eastAsia="宋体" w:cs="宋体"/>
          <w:color w:val="auto"/>
          <w:spacing w:val="6"/>
          <w:szCs w:val="21"/>
          <w:highlight w:val="none"/>
          <w:lang w:val="en-US" w:eastAsia="zh-CN"/>
        </w:rPr>
        <w:t>万元，资产总额为</w:t>
      </w:r>
      <w:r>
        <w:rPr>
          <w:rFonts w:hint="eastAsia" w:ascii="宋体" w:hAnsi="宋体" w:eastAsia="宋体" w:cs="宋体"/>
          <w:color w:val="auto"/>
          <w:spacing w:val="6"/>
          <w:szCs w:val="21"/>
          <w:highlight w:val="none"/>
          <w:u w:val="single"/>
          <w:lang w:val="en-US" w:eastAsia="zh-CN"/>
        </w:rPr>
        <w:t xml:space="preserve">    </w:t>
      </w:r>
      <w:r>
        <w:rPr>
          <w:rFonts w:hint="eastAsia" w:ascii="宋体" w:hAnsi="宋体" w:eastAsia="宋体" w:cs="宋体"/>
          <w:color w:val="auto"/>
          <w:spacing w:val="6"/>
          <w:szCs w:val="21"/>
          <w:highlight w:val="none"/>
          <w:lang w:val="en-US" w:eastAsia="zh-CN"/>
        </w:rPr>
        <w:t>万元，属于</w:t>
      </w:r>
      <w:r>
        <w:rPr>
          <w:rFonts w:hint="eastAsia" w:ascii="宋体" w:hAnsi="宋体" w:eastAsia="宋体" w:cs="宋体"/>
          <w:color w:val="auto"/>
          <w:spacing w:val="6"/>
          <w:szCs w:val="21"/>
          <w:highlight w:val="none"/>
          <w:u w:val="single"/>
          <w:lang w:val="en-US" w:eastAsia="zh-CN"/>
        </w:rPr>
        <w:t xml:space="preserve">            （中型企业、小型企业、微型企业）</w:t>
      </w:r>
      <w:r>
        <w:rPr>
          <w:rFonts w:hint="eastAsia" w:ascii="宋体" w:hAnsi="宋体" w:eastAsia="宋体" w:cs="宋体"/>
          <w:color w:val="auto"/>
          <w:spacing w:val="6"/>
          <w:szCs w:val="21"/>
          <w:highlight w:val="none"/>
          <w:lang w:val="en-US" w:eastAsia="zh-CN"/>
        </w:rPr>
        <w:t xml:space="preserve">； </w:t>
      </w:r>
    </w:p>
    <w:p>
      <w:pPr>
        <w:numPr>
          <w:ilvl w:val="0"/>
          <w:numId w:val="10"/>
        </w:numPr>
        <w:spacing w:line="500" w:lineRule="exact"/>
        <w:ind w:left="0" w:leftChars="0" w:firstLine="444" w:firstLineChars="200"/>
        <w:rPr>
          <w:rFonts w:hint="eastAsia" w:ascii="宋体" w:hAnsi="宋体" w:eastAsia="宋体" w:cs="宋体"/>
          <w:color w:val="auto"/>
          <w:spacing w:val="6"/>
          <w:szCs w:val="21"/>
          <w:highlight w:val="none"/>
          <w:lang w:val="en-US" w:eastAsia="zh-CN"/>
        </w:rPr>
      </w:pPr>
      <w:r>
        <w:rPr>
          <w:rFonts w:hint="eastAsia" w:ascii="宋体" w:hAnsi="宋体" w:eastAsia="宋体" w:cs="宋体"/>
          <w:color w:val="auto"/>
          <w:spacing w:val="6"/>
          <w:szCs w:val="21"/>
          <w:highlight w:val="none"/>
          <w:u w:val="single"/>
          <w:lang w:val="en-US" w:eastAsia="zh-CN"/>
        </w:rPr>
        <w:t xml:space="preserve">             （标的名称） </w:t>
      </w:r>
      <w:r>
        <w:rPr>
          <w:rFonts w:hint="eastAsia" w:ascii="宋体" w:hAnsi="宋体" w:eastAsia="宋体" w:cs="宋体"/>
          <w:color w:val="auto"/>
          <w:spacing w:val="6"/>
          <w:szCs w:val="21"/>
          <w:highlight w:val="none"/>
          <w:lang w:val="en-US" w:eastAsia="zh-CN"/>
        </w:rPr>
        <w:t>，属于</w:t>
      </w:r>
      <w:r>
        <w:rPr>
          <w:rFonts w:hint="eastAsia" w:ascii="宋体" w:hAnsi="宋体" w:eastAsia="宋体" w:cs="宋体"/>
          <w:color w:val="auto"/>
          <w:spacing w:val="6"/>
          <w:szCs w:val="21"/>
          <w:highlight w:val="none"/>
          <w:u w:val="single"/>
          <w:lang w:val="en-US" w:eastAsia="zh-CN"/>
        </w:rPr>
        <w:t xml:space="preserve">             （采购文件中明确的所属行业）</w:t>
      </w:r>
      <w:r>
        <w:rPr>
          <w:rFonts w:hint="eastAsia" w:ascii="宋体" w:hAnsi="宋体" w:eastAsia="宋体" w:cs="宋体"/>
          <w:color w:val="auto"/>
          <w:spacing w:val="6"/>
          <w:szCs w:val="21"/>
          <w:highlight w:val="none"/>
          <w:lang w:val="en-US" w:eastAsia="zh-CN"/>
        </w:rPr>
        <w:t>；承建（承接）企业为</w:t>
      </w:r>
      <w:r>
        <w:rPr>
          <w:rFonts w:hint="eastAsia" w:ascii="宋体" w:hAnsi="宋体" w:eastAsia="宋体" w:cs="宋体"/>
          <w:color w:val="auto"/>
          <w:spacing w:val="6"/>
          <w:szCs w:val="21"/>
          <w:highlight w:val="none"/>
          <w:u w:val="single"/>
          <w:lang w:val="en-US" w:eastAsia="zh-CN"/>
        </w:rPr>
        <w:t xml:space="preserve">           （企业名称）</w:t>
      </w:r>
      <w:r>
        <w:rPr>
          <w:rFonts w:hint="eastAsia" w:ascii="宋体" w:hAnsi="宋体" w:eastAsia="宋体" w:cs="宋体"/>
          <w:color w:val="auto"/>
          <w:spacing w:val="6"/>
          <w:szCs w:val="21"/>
          <w:highlight w:val="none"/>
          <w:lang w:val="en-US" w:eastAsia="zh-CN"/>
        </w:rPr>
        <w:t>，从业人员</w:t>
      </w:r>
      <w:r>
        <w:rPr>
          <w:rFonts w:hint="eastAsia" w:ascii="宋体" w:hAnsi="宋体" w:eastAsia="宋体" w:cs="宋体"/>
          <w:color w:val="auto"/>
          <w:spacing w:val="6"/>
          <w:szCs w:val="21"/>
          <w:highlight w:val="none"/>
          <w:u w:val="single"/>
          <w:lang w:val="en-US" w:eastAsia="zh-CN"/>
        </w:rPr>
        <w:t xml:space="preserve">    </w:t>
      </w:r>
      <w:r>
        <w:rPr>
          <w:rFonts w:hint="eastAsia" w:ascii="宋体" w:hAnsi="宋体" w:eastAsia="宋体" w:cs="宋体"/>
          <w:color w:val="auto"/>
          <w:spacing w:val="6"/>
          <w:szCs w:val="21"/>
          <w:highlight w:val="none"/>
          <w:lang w:val="en-US" w:eastAsia="zh-CN"/>
        </w:rPr>
        <w:t>人，营业收入为</w:t>
      </w:r>
      <w:r>
        <w:rPr>
          <w:rFonts w:hint="eastAsia" w:ascii="宋体" w:hAnsi="宋体" w:eastAsia="宋体" w:cs="宋体"/>
          <w:color w:val="auto"/>
          <w:spacing w:val="6"/>
          <w:szCs w:val="21"/>
          <w:highlight w:val="none"/>
          <w:u w:val="single"/>
          <w:lang w:val="en-US" w:eastAsia="zh-CN"/>
        </w:rPr>
        <w:t xml:space="preserve">    </w:t>
      </w:r>
      <w:r>
        <w:rPr>
          <w:rFonts w:hint="eastAsia" w:ascii="宋体" w:hAnsi="宋体" w:eastAsia="宋体" w:cs="宋体"/>
          <w:color w:val="auto"/>
          <w:spacing w:val="6"/>
          <w:szCs w:val="21"/>
          <w:highlight w:val="none"/>
          <w:lang w:val="en-US" w:eastAsia="zh-CN"/>
        </w:rPr>
        <w:t>万元，资产总额为</w:t>
      </w:r>
      <w:r>
        <w:rPr>
          <w:rFonts w:hint="eastAsia" w:ascii="宋体" w:hAnsi="宋体" w:eastAsia="宋体" w:cs="宋体"/>
          <w:color w:val="auto"/>
          <w:spacing w:val="6"/>
          <w:szCs w:val="21"/>
          <w:highlight w:val="none"/>
          <w:u w:val="single"/>
          <w:lang w:val="en-US" w:eastAsia="zh-CN"/>
        </w:rPr>
        <w:t xml:space="preserve">    </w:t>
      </w:r>
      <w:r>
        <w:rPr>
          <w:rFonts w:hint="eastAsia" w:ascii="宋体" w:hAnsi="宋体" w:eastAsia="宋体" w:cs="宋体"/>
          <w:color w:val="auto"/>
          <w:spacing w:val="6"/>
          <w:szCs w:val="21"/>
          <w:highlight w:val="none"/>
          <w:lang w:val="en-US" w:eastAsia="zh-CN"/>
        </w:rPr>
        <w:t>万元，属于</w:t>
      </w:r>
      <w:r>
        <w:rPr>
          <w:rFonts w:hint="eastAsia" w:ascii="宋体" w:hAnsi="宋体" w:eastAsia="宋体" w:cs="宋体"/>
          <w:color w:val="auto"/>
          <w:spacing w:val="6"/>
          <w:szCs w:val="21"/>
          <w:highlight w:val="none"/>
          <w:u w:val="single"/>
          <w:lang w:val="en-US" w:eastAsia="zh-CN"/>
        </w:rPr>
        <w:t xml:space="preserve">            （中型企业、小型企业、微型企业）</w:t>
      </w:r>
      <w:r>
        <w:rPr>
          <w:rFonts w:hint="eastAsia" w:ascii="宋体" w:hAnsi="宋体" w:eastAsia="宋体" w:cs="宋体"/>
          <w:color w:val="auto"/>
          <w:spacing w:val="6"/>
          <w:szCs w:val="21"/>
          <w:highlight w:val="none"/>
          <w:lang w:val="en-US" w:eastAsia="zh-CN"/>
        </w:rPr>
        <w:t>；</w:t>
      </w:r>
    </w:p>
    <w:p>
      <w:pPr>
        <w:numPr>
          <w:ilvl w:val="0"/>
          <w:numId w:val="0"/>
        </w:numPr>
        <w:spacing w:line="500" w:lineRule="exact"/>
        <w:ind w:leftChars="200"/>
        <w:rPr>
          <w:rFonts w:hint="eastAsia" w:ascii="宋体" w:hAnsi="宋体" w:eastAsia="宋体" w:cs="宋体"/>
          <w:color w:val="auto"/>
          <w:spacing w:val="6"/>
          <w:szCs w:val="21"/>
          <w:highlight w:val="none"/>
          <w:lang w:val="en-US" w:eastAsia="zh-CN"/>
        </w:rPr>
      </w:pPr>
      <w:r>
        <w:rPr>
          <w:rFonts w:hint="eastAsia" w:ascii="宋体" w:hAnsi="宋体" w:eastAsia="宋体" w:cs="宋体"/>
          <w:color w:val="auto"/>
          <w:spacing w:val="6"/>
          <w:szCs w:val="21"/>
          <w:highlight w:val="none"/>
          <w:lang w:val="en-US" w:eastAsia="zh-CN"/>
        </w:rPr>
        <w:t xml:space="preserve"> ……</w:t>
      </w:r>
    </w:p>
    <w:p>
      <w:pPr>
        <w:numPr>
          <w:ilvl w:val="0"/>
          <w:numId w:val="0"/>
        </w:numPr>
        <w:spacing w:line="500" w:lineRule="exact"/>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lang w:val="en-US" w:eastAsia="zh-CN"/>
        </w:rPr>
        <w:t>以上企业，不属于大企业的分支机构，不存在控股股东为大企业的情形，也不存在与大企业的负责人为同一人的情形。</w:t>
      </w:r>
    </w:p>
    <w:p>
      <w:pPr>
        <w:spacing w:line="500" w:lineRule="exact"/>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lang w:val="en-US" w:eastAsia="zh-CN"/>
        </w:rPr>
        <w:t xml:space="preserve">本企业对上述声明内容的真实性负责。如有虚假，将依法承担相应责任。 </w:t>
      </w:r>
    </w:p>
    <w:p>
      <w:pPr>
        <w:spacing w:line="500" w:lineRule="exact"/>
        <w:rPr>
          <w:rFonts w:hint="eastAsia" w:ascii="宋体" w:hAnsi="宋体" w:eastAsia="宋体" w:cs="宋体"/>
          <w:color w:val="auto"/>
          <w:spacing w:val="6"/>
          <w:szCs w:val="21"/>
          <w:highlight w:val="none"/>
          <w:lang w:val="en-US" w:eastAsia="zh-CN"/>
        </w:rPr>
      </w:pPr>
    </w:p>
    <w:p>
      <w:pPr>
        <w:spacing w:line="500" w:lineRule="exact"/>
        <w:rPr>
          <w:rFonts w:hint="eastAsia" w:ascii="宋体" w:hAnsi="宋体" w:eastAsia="宋体" w:cs="宋体"/>
          <w:color w:val="auto"/>
          <w:spacing w:val="6"/>
          <w:szCs w:val="21"/>
          <w:highlight w:val="none"/>
          <w:lang w:val="en-US" w:eastAsia="zh-CN"/>
        </w:rPr>
      </w:pPr>
    </w:p>
    <w:p>
      <w:pPr>
        <w:spacing w:line="500" w:lineRule="exact"/>
        <w:ind w:firstLine="5550" w:firstLineChars="25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lang w:val="en-US" w:eastAsia="zh-CN"/>
        </w:rPr>
        <w:t xml:space="preserve">企业名称（盖章）： </w:t>
      </w:r>
    </w:p>
    <w:p>
      <w:pPr>
        <w:spacing w:line="500" w:lineRule="exact"/>
        <w:ind w:firstLine="5550" w:firstLineChars="25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lang w:val="en-US" w:eastAsia="zh-CN"/>
        </w:rPr>
        <w:t xml:space="preserve">日 期： </w:t>
      </w:r>
    </w:p>
    <w:p>
      <w:pPr>
        <w:widowControl/>
        <w:shd w:val="clear" w:color="auto" w:fill="FFFFFF"/>
        <w:spacing w:line="400" w:lineRule="exact"/>
        <w:ind w:firstLine="5938" w:firstLineChars="2828"/>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br w:type="page"/>
      </w:r>
    </w:p>
    <w:p>
      <w:pPr>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残疾人福利性单位声明函（如有，请提供）</w:t>
      </w:r>
    </w:p>
    <w:p>
      <w:pPr>
        <w:spacing w:line="588" w:lineRule="exact"/>
        <w:rPr>
          <w:rFonts w:hint="eastAsia" w:ascii="宋体" w:hAnsi="宋体" w:eastAsia="宋体" w:cs="宋体"/>
          <w:b/>
          <w:color w:val="auto"/>
          <w:spacing w:val="6"/>
          <w:sz w:val="30"/>
          <w:szCs w:val="30"/>
          <w:highlight w:val="none"/>
        </w:rPr>
      </w:pPr>
    </w:p>
    <w:p>
      <w:pPr>
        <w:spacing w:line="500" w:lineRule="exact"/>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eastAsia="宋体" w:cs="宋体"/>
          <w:color w:val="auto"/>
          <w:szCs w:val="21"/>
          <w:highlight w:val="none"/>
        </w:rPr>
        <w:t>〔2017〕 141</w:t>
      </w:r>
      <w:r>
        <w:rPr>
          <w:rFonts w:hint="eastAsia" w:ascii="宋体" w:hAnsi="宋体" w:eastAsia="宋体" w:cs="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本单位对上述声明的真实性负责。如有虚假，将依法承担相应责任。</w:t>
      </w:r>
    </w:p>
    <w:p>
      <w:pPr>
        <w:spacing w:line="588" w:lineRule="exact"/>
        <w:ind w:firstLine="444" w:firstLineChars="200"/>
        <w:rPr>
          <w:rFonts w:hint="eastAsia" w:ascii="宋体" w:hAnsi="宋体" w:eastAsia="宋体" w:cs="宋体"/>
          <w:color w:val="auto"/>
          <w:spacing w:val="6"/>
          <w:szCs w:val="21"/>
          <w:highlight w:val="none"/>
        </w:rPr>
      </w:pPr>
    </w:p>
    <w:p>
      <w:pPr>
        <w:spacing w:line="44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竞标人（盖单位公章）：</w:t>
      </w:r>
      <w:r>
        <w:rPr>
          <w:rFonts w:hint="eastAsia" w:ascii="宋体" w:hAnsi="宋体" w:eastAsia="宋体" w:cs="宋体"/>
          <w:color w:val="auto"/>
          <w:szCs w:val="21"/>
          <w:highlight w:val="none"/>
          <w:u w:val="single"/>
        </w:rPr>
        <w:t xml:space="preserve"> </w:t>
      </w:r>
    </w:p>
    <w:p>
      <w:pPr>
        <w:spacing w:line="440" w:lineRule="exact"/>
        <w:rPr>
          <w:rFonts w:hint="eastAsia" w:ascii="宋体" w:hAnsi="宋体" w:eastAsia="宋体" w:cs="宋体"/>
          <w:color w:val="auto"/>
          <w:szCs w:val="21"/>
          <w:highlight w:val="none"/>
          <w:u w:val="single"/>
        </w:rPr>
      </w:pPr>
    </w:p>
    <w:p>
      <w:pPr>
        <w:spacing w:line="44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法定代表人或其委托代理人（签字或盖章）：</w:t>
      </w:r>
      <w:r>
        <w:rPr>
          <w:rFonts w:hint="eastAsia" w:ascii="宋体" w:hAnsi="宋体" w:eastAsia="宋体" w:cs="宋体"/>
          <w:color w:val="auto"/>
          <w:szCs w:val="21"/>
          <w:highlight w:val="none"/>
          <w:u w:val="single"/>
        </w:rPr>
        <w:t xml:space="preserve"> </w:t>
      </w:r>
    </w:p>
    <w:p>
      <w:pPr>
        <w:spacing w:line="440" w:lineRule="exact"/>
        <w:rPr>
          <w:rFonts w:hint="eastAsia" w:ascii="宋体" w:hAnsi="宋体" w:eastAsia="宋体" w:cs="宋体"/>
          <w:color w:val="auto"/>
          <w:szCs w:val="21"/>
          <w:highlight w:val="none"/>
          <w:u w:val="single"/>
        </w:rPr>
      </w:pPr>
    </w:p>
    <w:p>
      <w:pPr>
        <w:spacing w:line="360" w:lineRule="auto"/>
        <w:ind w:right="64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日  期</w:t>
      </w:r>
      <w:r>
        <w:rPr>
          <w:rFonts w:hint="eastAsia" w:ascii="宋体" w:hAnsi="宋体" w:eastAsia="宋体" w:cs="宋体"/>
          <w:b/>
          <w:color w:val="auto"/>
          <w:sz w:val="32"/>
          <w:szCs w:val="21"/>
          <w:highlight w:val="none"/>
        </w:rPr>
        <w:t>：</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年</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月</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日</w:t>
      </w:r>
    </w:p>
    <w:p>
      <w:pPr>
        <w:spacing w:line="440" w:lineRule="exact"/>
        <w:rPr>
          <w:rFonts w:hint="eastAsia" w:ascii="宋体" w:hAnsi="宋体" w:eastAsia="宋体" w:cs="宋体"/>
          <w:b/>
          <w:color w:val="auto"/>
          <w:sz w:val="32"/>
          <w:szCs w:val="32"/>
          <w:highlight w:val="none"/>
        </w:rPr>
      </w:pPr>
    </w:p>
    <w:p>
      <w:pPr>
        <w:tabs>
          <w:tab w:val="left" w:pos="1305"/>
          <w:tab w:val="right" w:pos="9638"/>
        </w:tabs>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注： </w:t>
      </w:r>
    </w:p>
    <w:p>
      <w:pPr>
        <w:tabs>
          <w:tab w:val="left" w:pos="1305"/>
          <w:tab w:val="right" w:pos="9638"/>
        </w:tabs>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1、《中小企业声明函》主要供参加政府采购活动的中小企业填写，非中小企业无需填写。</w:t>
      </w:r>
    </w:p>
    <w:p>
      <w:pPr>
        <w:tabs>
          <w:tab w:val="left" w:pos="1305"/>
          <w:tab w:val="right" w:pos="9638"/>
        </w:tabs>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2、小型、微型企业提供中型企业制造的货物的，视同为中型企业。</w:t>
      </w:r>
    </w:p>
    <w:p>
      <w:pPr>
        <w:tabs>
          <w:tab w:val="left" w:pos="1305"/>
          <w:tab w:val="right" w:pos="9638"/>
        </w:tabs>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竞标人按《财政部、司法部关于政府采购支持监狱企业发展有关问题的通知》（财库〔2014〕68号）认定为监狱企业，且提供由省级以上监狱管理局、戒毒管理局（含新疆生产建设兵团）出具的属于监狱企业的证明文件的，视同小型、微型企业。</w:t>
      </w:r>
    </w:p>
    <w:p>
      <w:pPr>
        <w:spacing w:line="400" w:lineRule="exact"/>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w:t>
      </w:r>
      <w:r>
        <w:rPr>
          <w:rFonts w:hint="eastAsia" w:ascii="宋体" w:hAnsi="宋体" w:eastAsia="宋体" w:cs="宋体"/>
          <w:color w:val="auto"/>
          <w:highlight w:val="none"/>
        </w:rPr>
        <w:t>按照《关于促进残疾人就业政府采购政策的通知》（财库〔2017〕141号）的规定，残疾人福利性单位视同小型、微型企业。</w:t>
      </w:r>
      <w:r>
        <w:rPr>
          <w:rFonts w:hint="eastAsia" w:ascii="宋体" w:hAnsi="宋体" w:eastAsia="宋体" w:cs="宋体"/>
          <w:color w:val="auto"/>
          <w:szCs w:val="21"/>
          <w:highlight w:val="none"/>
        </w:rPr>
        <w:t>残疾人福利性单位应当提供《残疾人福利性单位声明函》，残疾人福利性单位属于小型、微型企业的，不重复享受政策。竞标人提供的《残疾人福利性单位声明函》与事实不符的，依照《政府采购法》第七十七条第一款的规定追究法律责任。</w:t>
      </w:r>
    </w:p>
    <w:p>
      <w:pPr>
        <w:spacing w:line="720" w:lineRule="auto"/>
        <w:jc w:val="center"/>
        <w:rPr>
          <w:rFonts w:hint="eastAsia" w:ascii="宋体" w:hAnsi="宋体" w:eastAsia="宋体" w:cs="宋体"/>
          <w:b/>
          <w:color w:val="auto"/>
          <w:sz w:val="32"/>
          <w:szCs w:val="32"/>
          <w:highlight w:val="none"/>
        </w:rPr>
      </w:pPr>
      <w:r>
        <w:rPr>
          <w:rFonts w:hint="eastAsia" w:ascii="宋体" w:hAnsi="宋体" w:eastAsia="宋体" w:cs="宋体"/>
          <w:color w:val="auto"/>
          <w:szCs w:val="21"/>
          <w:highlight w:val="none"/>
        </w:rPr>
        <w:br w:type="page"/>
      </w:r>
    </w:p>
    <w:p>
      <w:pPr>
        <w:rPr>
          <w:rFonts w:hint="eastAsia" w:ascii="宋体" w:hAnsi="宋体" w:eastAsia="宋体" w:cs="宋体"/>
          <w:color w:val="auto"/>
          <w:highlight w:val="none"/>
        </w:rPr>
      </w:pPr>
    </w:p>
    <w:p>
      <w:pPr>
        <w:ind w:firstLine="1247" w:firstLineChars="345"/>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u w:val="single"/>
        </w:rPr>
        <w:t xml:space="preserve">     （项目总名称）（标段名称）        </w:t>
      </w:r>
      <w:r>
        <w:rPr>
          <w:rFonts w:hint="eastAsia" w:ascii="宋体" w:hAnsi="宋体" w:eastAsia="宋体" w:cs="宋体"/>
          <w:b/>
          <w:color w:val="auto"/>
          <w:sz w:val="36"/>
          <w:szCs w:val="36"/>
          <w:highlight w:val="none"/>
        </w:rPr>
        <w:t>施工招标</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例如：</w:t>
      </w:r>
      <w:r>
        <w:rPr>
          <w:rFonts w:hint="eastAsia" w:ascii="宋体" w:hAnsi="宋体" w:eastAsia="宋体" w:cs="宋体"/>
          <w:color w:val="auto"/>
          <w:highlight w:val="none"/>
          <w:u w:val="single"/>
          <w:lang w:eastAsia="zh-CN"/>
        </w:rPr>
        <w:t>金城江区2020年灾毁农田修复项目（一标段：金城江区2020年灾毁农田修复项目（五圩镇五圩社区））</w:t>
      </w:r>
      <w:r>
        <w:rPr>
          <w:rFonts w:hint="eastAsia" w:ascii="宋体" w:hAnsi="宋体" w:eastAsia="宋体" w:cs="宋体"/>
          <w:color w:val="auto"/>
          <w:highlight w:val="none"/>
          <w:lang w:eastAsia="zh-CN"/>
        </w:rPr>
        <w:t>施工招标</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center"/>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rPr>
        <w:t>投 标 文 件</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ind w:firstLine="2249" w:firstLineChars="70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项目编号：</w:t>
      </w:r>
    </w:p>
    <w:p>
      <w:pPr>
        <w:jc w:val="cente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（正本/副本）</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720" w:lineRule="auto"/>
        <w:ind w:firstLine="480" w:firstLineChars="150"/>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t>投标内容：</w:t>
      </w:r>
      <w:r>
        <w:rPr>
          <w:rFonts w:hint="eastAsia" w:ascii="宋体" w:hAnsi="宋体" w:eastAsia="宋体" w:cs="宋体"/>
          <w:color w:val="auto"/>
          <w:sz w:val="32"/>
          <w:szCs w:val="32"/>
          <w:highlight w:val="none"/>
          <w:u w:val="single"/>
        </w:rPr>
        <w:t xml:space="preserve">               商务标部分               </w:t>
      </w:r>
    </w:p>
    <w:p>
      <w:pPr>
        <w:spacing w:line="720" w:lineRule="auto"/>
        <w:ind w:firstLine="480" w:firstLineChars="15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 标 人：</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（盖单位章）</w:t>
      </w:r>
    </w:p>
    <w:p>
      <w:pPr>
        <w:spacing w:line="720" w:lineRule="auto"/>
        <w:ind w:firstLine="480" w:firstLineChars="15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法定代表人或其委托代理人：</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（签字）</w:t>
      </w:r>
    </w:p>
    <w:p>
      <w:pPr>
        <w:spacing w:line="720" w:lineRule="auto"/>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年         月         日</w:t>
      </w:r>
    </w:p>
    <w:p>
      <w:pPr>
        <w:jc w:val="center"/>
        <w:rPr>
          <w:rFonts w:hint="eastAsia" w:ascii="宋体" w:hAnsi="宋体" w:eastAsia="宋体" w:cs="宋体"/>
          <w:b/>
          <w:color w:val="auto"/>
          <w:sz w:val="48"/>
          <w:szCs w:val="48"/>
          <w:highlight w:val="none"/>
        </w:rPr>
      </w:pPr>
    </w:p>
    <w:p>
      <w:pPr>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jc w:val="center"/>
        <w:rPr>
          <w:rFonts w:hint="eastAsia" w:ascii="宋体" w:hAnsi="宋体" w:eastAsia="宋体" w:cs="宋体"/>
          <w:b/>
          <w:color w:val="auto"/>
          <w:sz w:val="18"/>
          <w:szCs w:val="18"/>
          <w:highlight w:val="none"/>
        </w:rPr>
      </w:pPr>
    </w:p>
    <w:p>
      <w:pPr>
        <w:jc w:val="center"/>
        <w:rPr>
          <w:rFonts w:hint="eastAsia" w:ascii="宋体" w:hAnsi="宋体" w:eastAsia="宋体" w:cs="宋体"/>
          <w:color w:val="auto"/>
          <w:highlight w:val="none"/>
        </w:rPr>
      </w:pPr>
      <w:r>
        <w:rPr>
          <w:rFonts w:hint="eastAsia" w:ascii="宋体" w:hAnsi="宋体" w:eastAsia="宋体" w:cs="宋体"/>
          <w:color w:val="auto"/>
          <w:highlight w:val="none"/>
        </w:rPr>
        <w:t>（应附有页码）</w:t>
      </w:r>
    </w:p>
    <w:p>
      <w:pPr>
        <w:spacing w:line="50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一、投标函及投标函附录：</w:t>
      </w:r>
    </w:p>
    <w:p>
      <w:pPr>
        <w:spacing w:line="500" w:lineRule="exact"/>
        <w:ind w:firstLine="840" w:firstLineChars="400"/>
        <w:rPr>
          <w:rFonts w:hint="eastAsia" w:ascii="宋体" w:hAnsi="宋体" w:eastAsia="宋体" w:cs="宋体"/>
          <w:color w:val="auto"/>
          <w:highlight w:val="none"/>
        </w:rPr>
      </w:pPr>
      <w:r>
        <w:rPr>
          <w:rFonts w:hint="eastAsia" w:ascii="宋体" w:hAnsi="宋体" w:eastAsia="宋体" w:cs="宋体"/>
          <w:color w:val="auto"/>
          <w:highlight w:val="none"/>
        </w:rPr>
        <w:t>（一）投标函；</w:t>
      </w:r>
    </w:p>
    <w:p>
      <w:pPr>
        <w:spacing w:line="500" w:lineRule="exact"/>
        <w:ind w:firstLine="840" w:firstLineChars="400"/>
        <w:rPr>
          <w:rFonts w:hint="eastAsia" w:ascii="宋体" w:hAnsi="宋体" w:eastAsia="宋体" w:cs="宋体"/>
          <w:color w:val="auto"/>
          <w:highlight w:val="none"/>
        </w:rPr>
      </w:pPr>
      <w:r>
        <w:rPr>
          <w:rFonts w:hint="eastAsia" w:ascii="宋体" w:hAnsi="宋体" w:eastAsia="宋体" w:cs="宋体"/>
          <w:color w:val="auto"/>
          <w:highlight w:val="none"/>
        </w:rPr>
        <w:t>（二）投标函附录。</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二、投标响应表；</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三、投标报价表；</w:t>
      </w:r>
    </w:p>
    <w:p>
      <w:pPr>
        <w:spacing w:line="500" w:lineRule="exact"/>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四、已标价工程量清单</w:t>
      </w:r>
      <w:r>
        <w:rPr>
          <w:rFonts w:hint="eastAsia" w:ascii="宋体" w:hAnsi="宋体" w:eastAsia="宋体" w:cs="宋体"/>
          <w:color w:val="auto"/>
          <w:highlight w:val="none"/>
          <w:lang w:eastAsia="zh-CN"/>
        </w:rPr>
        <w:t>。</w:t>
      </w:r>
    </w:p>
    <w:p>
      <w:pPr>
        <w:spacing w:line="500" w:lineRule="exact"/>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color w:val="auto"/>
          <w:highlight w:val="none"/>
        </w:rPr>
      </w:pPr>
      <w:r>
        <w:rPr>
          <w:rFonts w:hint="eastAsia"/>
          <w:color w:val="auto"/>
          <w:highlight w:val="none"/>
        </w:rPr>
        <w:br w:type="page"/>
      </w:r>
    </w:p>
    <w:p>
      <w:pPr>
        <w:rPr>
          <w:rFonts w:hint="eastAsia" w:ascii="宋体" w:hAnsi="宋体" w:eastAsia="宋体" w:cs="宋体"/>
          <w:color w:val="auto"/>
          <w:highlight w:val="none"/>
        </w:rPr>
      </w:pPr>
    </w:p>
    <w:p>
      <w:pPr>
        <w:spacing w:line="5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一、投标函及投标函附录</w:t>
      </w:r>
    </w:p>
    <w:p>
      <w:pPr>
        <w:spacing w:line="500" w:lineRule="exact"/>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（一）投标函</w:t>
      </w:r>
    </w:p>
    <w:p>
      <w:pPr>
        <w:rPr>
          <w:rFonts w:hint="eastAsia" w:ascii="宋体" w:hAnsi="宋体" w:eastAsia="宋体" w:cs="宋体"/>
          <w:color w:val="auto"/>
          <w:highlight w:val="none"/>
        </w:rPr>
      </w:pPr>
    </w:p>
    <w:p>
      <w:pPr>
        <w:rPr>
          <w:rFonts w:hint="eastAsia" w:ascii="宋体" w:hAnsi="宋体" w:eastAsia="宋体" w:cs="宋体"/>
          <w:color w:val="auto"/>
          <w:highlight w:val="none"/>
          <w:u w:val="single"/>
        </w:rPr>
      </w:pPr>
      <w:r>
        <w:rPr>
          <w:rFonts w:hint="eastAsia" w:ascii="宋体" w:hAnsi="宋体" w:eastAsia="宋体" w:cs="宋体"/>
          <w:color w:val="auto"/>
          <w:highlight w:val="none"/>
        </w:rPr>
        <w:t>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采购人</w:t>
      </w:r>
      <w:r>
        <w:rPr>
          <w:rFonts w:hint="eastAsia" w:ascii="宋体" w:hAnsi="宋体" w:eastAsia="宋体" w:cs="宋体"/>
          <w:color w:val="auto"/>
          <w:highlight w:val="none"/>
          <w:u w:val="single"/>
        </w:rPr>
        <w:t xml:space="preserve">名称）         </w:t>
      </w:r>
    </w:p>
    <w:p>
      <w:pPr>
        <w:tabs>
          <w:tab w:val="left" w:pos="7560"/>
        </w:tabs>
        <w:spacing w:line="460" w:lineRule="exact"/>
        <w:ind w:firstLine="442"/>
        <w:rPr>
          <w:rFonts w:hint="eastAsia" w:ascii="宋体" w:hAnsi="宋体" w:eastAsia="宋体" w:cs="宋体"/>
          <w:color w:val="auto"/>
          <w:highlight w:val="none"/>
        </w:rPr>
      </w:pPr>
      <w:r>
        <w:rPr>
          <w:rFonts w:hint="eastAsia" w:ascii="宋体" w:hAnsi="宋体" w:eastAsia="宋体" w:cs="宋体"/>
          <w:color w:val="auto"/>
          <w:highlight w:val="none"/>
        </w:rPr>
        <w:t>1、根据你方项目编号为</w:t>
      </w:r>
      <w:r>
        <w:rPr>
          <w:rFonts w:hint="eastAsia" w:ascii="宋体" w:hAnsi="宋体" w:eastAsia="宋体" w:cs="宋体"/>
          <w:color w:val="auto"/>
          <w:highlight w:val="none"/>
          <w:u w:val="single"/>
        </w:rPr>
        <w:t xml:space="preserve">  （项目编号）  </w:t>
      </w:r>
      <w:r>
        <w:rPr>
          <w:rFonts w:hint="eastAsia" w:ascii="宋体" w:hAnsi="宋体" w:eastAsia="宋体" w:cs="宋体"/>
          <w:color w:val="auto"/>
          <w:highlight w:val="none"/>
        </w:rPr>
        <w:t>的</w:t>
      </w:r>
      <w:r>
        <w:rPr>
          <w:rFonts w:hint="eastAsia" w:ascii="宋体" w:hAnsi="宋体" w:eastAsia="宋体" w:cs="宋体"/>
          <w:color w:val="auto"/>
          <w:highlight w:val="none"/>
          <w:u w:val="single"/>
        </w:rPr>
        <w:t xml:space="preserve">  （项目总名称）（标段名称）    </w:t>
      </w:r>
      <w:r>
        <w:rPr>
          <w:rFonts w:hint="eastAsia" w:ascii="宋体" w:hAnsi="宋体" w:eastAsia="宋体" w:cs="宋体"/>
          <w:color w:val="auto"/>
          <w:highlight w:val="none"/>
        </w:rPr>
        <w:t>工程招标文件，遵照《中华人民共和国招标投标法》等有关规定，经踏勘项目现场和研究上述招标文件的投标须知、合同条款、图纸、工程建设标准和工程量清单及其他有关文件后，我方愿以人民币（大写）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）的投标报价并按上述图纸、合同条款、工程建设标准和工程量清单（如有时）的条件要求承包上述工程的施工、竣工，并承担任何质量缺陷保修责任。我方保证工程质量达到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等级。</w:t>
      </w:r>
    </w:p>
    <w:p>
      <w:pPr>
        <w:spacing w:line="460" w:lineRule="exact"/>
        <w:ind w:firstLine="442"/>
        <w:rPr>
          <w:rFonts w:hint="eastAsia" w:ascii="宋体" w:hAnsi="宋体" w:eastAsia="宋体" w:cs="宋体"/>
          <w:color w:val="auto"/>
          <w:highlight w:val="none"/>
        </w:rPr>
      </w:pPr>
      <w:r>
        <w:rPr>
          <w:rFonts w:hint="eastAsia" w:ascii="宋体" w:hAnsi="宋体" w:eastAsia="宋体" w:cs="宋体"/>
          <w:color w:val="auto"/>
          <w:highlight w:val="none"/>
        </w:rPr>
        <w:t>2、我方已详细审核全部招标文件，包括修改文件（如有时）及有关附件。</w:t>
      </w:r>
    </w:p>
    <w:p>
      <w:pPr>
        <w:spacing w:line="460" w:lineRule="exact"/>
        <w:ind w:firstLine="442"/>
        <w:rPr>
          <w:rFonts w:hint="eastAsia" w:ascii="宋体" w:hAnsi="宋体" w:eastAsia="宋体" w:cs="宋体"/>
          <w:color w:val="auto"/>
          <w:highlight w:val="none"/>
        </w:rPr>
      </w:pPr>
      <w:r>
        <w:rPr>
          <w:rFonts w:hint="eastAsia" w:ascii="宋体" w:hAnsi="宋体" w:eastAsia="宋体" w:cs="宋体"/>
          <w:color w:val="auto"/>
          <w:highlight w:val="none"/>
        </w:rPr>
        <w:t>3、我方承认投标函附录是我方投标函的组成部分。</w:t>
      </w:r>
    </w:p>
    <w:p>
      <w:pPr>
        <w:spacing w:line="460" w:lineRule="exact"/>
        <w:ind w:firstLine="442"/>
        <w:rPr>
          <w:rFonts w:hint="eastAsia" w:ascii="宋体" w:hAnsi="宋体" w:eastAsia="宋体" w:cs="宋体"/>
          <w:color w:val="auto"/>
          <w:highlight w:val="none"/>
        </w:rPr>
      </w:pPr>
      <w:r>
        <w:rPr>
          <w:rFonts w:hint="eastAsia" w:ascii="宋体" w:hAnsi="宋体" w:eastAsia="宋体" w:cs="宋体"/>
          <w:color w:val="auto"/>
          <w:highlight w:val="none"/>
        </w:rPr>
        <w:t>4、一旦我方中标，我方保证按合同书中规定的工期</w:t>
      </w:r>
      <w:r>
        <w:rPr>
          <w:rFonts w:hint="eastAsia" w:ascii="宋体" w:hAnsi="宋体" w:eastAsia="宋体" w:cs="宋体"/>
          <w:color w:val="auto"/>
          <w:highlight w:val="none"/>
          <w:u w:val="single"/>
        </w:rPr>
        <w:t xml:space="preserve"> （工期）  </w:t>
      </w:r>
      <w:r>
        <w:rPr>
          <w:rFonts w:hint="eastAsia" w:ascii="宋体" w:hAnsi="宋体" w:eastAsia="宋体" w:cs="宋体"/>
          <w:color w:val="auto"/>
          <w:highlight w:val="none"/>
        </w:rPr>
        <w:t>日历天内完成并移交全部工程。</w:t>
      </w:r>
    </w:p>
    <w:p>
      <w:pPr>
        <w:spacing w:line="460" w:lineRule="exact"/>
        <w:ind w:firstLine="442"/>
        <w:rPr>
          <w:rFonts w:hint="eastAsia" w:ascii="宋体" w:hAnsi="宋体" w:eastAsia="宋体" w:cs="宋体"/>
          <w:color w:val="auto"/>
          <w:highlight w:val="none"/>
        </w:rPr>
      </w:pPr>
      <w:r>
        <w:rPr>
          <w:rFonts w:hint="eastAsia" w:ascii="宋体" w:hAnsi="宋体" w:eastAsia="宋体" w:cs="宋体"/>
          <w:color w:val="auto"/>
          <w:highlight w:val="none"/>
        </w:rPr>
        <w:t>5、如果我方中标，我方将按照文件规定提交履约保证金作为履约担保。</w:t>
      </w:r>
    </w:p>
    <w:p>
      <w:pPr>
        <w:spacing w:line="460" w:lineRule="exact"/>
        <w:ind w:firstLine="442"/>
        <w:rPr>
          <w:rFonts w:hint="eastAsia" w:ascii="宋体" w:hAnsi="宋体" w:eastAsia="宋体" w:cs="宋体"/>
          <w:color w:val="auto"/>
          <w:highlight w:val="none"/>
        </w:rPr>
      </w:pPr>
      <w:r>
        <w:rPr>
          <w:rFonts w:hint="eastAsia" w:ascii="宋体" w:hAnsi="宋体" w:eastAsia="宋体" w:cs="宋体"/>
          <w:color w:val="auto"/>
          <w:highlight w:val="none"/>
        </w:rPr>
        <w:t>6、我方同意所提交的投标文件在招标文件的投标须知中第3.3.1条规定的投标有效期内有效，在此期间内如果中标，我方将受此约束。</w:t>
      </w:r>
    </w:p>
    <w:p>
      <w:pPr>
        <w:spacing w:line="460" w:lineRule="exact"/>
        <w:ind w:firstLine="442"/>
        <w:rPr>
          <w:rFonts w:hint="eastAsia" w:ascii="宋体" w:hAnsi="宋体" w:eastAsia="宋体" w:cs="宋体"/>
          <w:color w:val="auto"/>
          <w:highlight w:val="none"/>
        </w:rPr>
      </w:pPr>
      <w:r>
        <w:rPr>
          <w:rFonts w:hint="eastAsia" w:ascii="宋体" w:hAnsi="宋体" w:eastAsia="宋体" w:cs="宋体"/>
          <w:color w:val="auto"/>
          <w:highlight w:val="none"/>
        </w:rPr>
        <w:t>7、除非另外达成协议并生效，你方的中标通知书和本投标文件将成为约束双方的合同文件的组成部分。</w:t>
      </w:r>
    </w:p>
    <w:p>
      <w:pPr>
        <w:spacing w:line="460" w:lineRule="exact"/>
        <w:ind w:firstLine="442"/>
        <w:rPr>
          <w:rFonts w:hint="eastAsia" w:ascii="宋体" w:hAnsi="宋体" w:eastAsia="宋体" w:cs="宋体"/>
          <w:color w:val="auto"/>
          <w:highlight w:val="none"/>
        </w:rPr>
      </w:pPr>
      <w:r>
        <w:rPr>
          <w:rFonts w:hint="eastAsia" w:ascii="宋体" w:hAnsi="宋体" w:eastAsia="宋体" w:cs="宋体"/>
          <w:color w:val="auto"/>
          <w:highlight w:val="none"/>
        </w:rPr>
        <w:t>8、我方将与本投标函一起，提交人民币</w:t>
      </w:r>
      <w:r>
        <w:rPr>
          <w:rFonts w:hint="eastAsia" w:ascii="宋体" w:hAnsi="宋体" w:eastAsia="宋体" w:cs="宋体"/>
          <w:color w:val="auto"/>
          <w:szCs w:val="21"/>
          <w:highlight w:val="none"/>
          <w:u w:val="single"/>
        </w:rPr>
        <w:t> </w:t>
      </w:r>
      <w:r>
        <w:rPr>
          <w:rFonts w:hint="eastAsia" w:ascii="宋体" w:hAnsi="宋体" w:eastAsia="宋体" w:cs="宋体"/>
          <w:color w:val="auto"/>
          <w:highlight w:val="none"/>
        </w:rPr>
        <w:t xml:space="preserve">作为投标担保。 </w:t>
      </w:r>
    </w:p>
    <w:p>
      <w:pPr>
        <w:spacing w:line="460" w:lineRule="exact"/>
        <w:rPr>
          <w:rFonts w:hint="eastAsia" w:ascii="宋体" w:hAnsi="宋体" w:eastAsia="宋体" w:cs="宋体"/>
          <w:color w:val="auto"/>
          <w:highlight w:val="none"/>
        </w:rPr>
      </w:pPr>
    </w:p>
    <w:p>
      <w:pPr>
        <w:spacing w:line="360" w:lineRule="auto"/>
        <w:ind w:left="1000"/>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投 标 人：</w:t>
      </w:r>
      <w:r>
        <w:rPr>
          <w:rFonts w:hint="eastAsia" w:ascii="宋体" w:hAnsi="宋体" w:eastAsia="宋体" w:cs="宋体"/>
          <w:color w:val="auto"/>
          <w:highlight w:val="none"/>
          <w:u w:val="single"/>
        </w:rPr>
        <w:t xml:space="preserve">                                                （盖章）</w:t>
      </w:r>
      <w:r>
        <w:rPr>
          <w:rFonts w:hint="eastAsia" w:ascii="宋体" w:hAnsi="宋体" w:eastAsia="宋体" w:cs="宋体"/>
          <w:color w:val="auto"/>
          <w:highlight w:val="none"/>
        </w:rPr>
        <w:t xml:space="preserve">                                   </w:t>
      </w:r>
      <w:r>
        <w:rPr>
          <w:rFonts w:hint="eastAsia" w:ascii="宋体" w:hAnsi="宋体" w:eastAsia="宋体" w:cs="宋体"/>
          <w:color w:val="auto"/>
          <w:highlight w:val="none"/>
          <w:u w:val="single"/>
        </w:rPr>
        <w:t xml:space="preserve">                                                                                              </w:t>
      </w:r>
    </w:p>
    <w:p>
      <w:pPr>
        <w:spacing w:line="360" w:lineRule="auto"/>
        <w:ind w:left="1000"/>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单位地址：</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p>
    <w:p>
      <w:pPr>
        <w:spacing w:line="360" w:lineRule="auto"/>
        <w:ind w:left="1000"/>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法定代表人或其委托代理人：</w:t>
      </w:r>
      <w:r>
        <w:rPr>
          <w:rFonts w:hint="eastAsia" w:ascii="宋体" w:hAnsi="宋体" w:eastAsia="宋体" w:cs="宋体"/>
          <w:color w:val="auto"/>
          <w:highlight w:val="none"/>
          <w:u w:val="single"/>
        </w:rPr>
        <w:t xml:space="preserve">                （签字或盖章）</w:t>
      </w:r>
    </w:p>
    <w:p>
      <w:pPr>
        <w:spacing w:line="360" w:lineRule="auto"/>
        <w:ind w:left="1000"/>
        <w:rPr>
          <w:rFonts w:hint="eastAsia" w:ascii="宋体" w:hAnsi="宋体" w:eastAsia="宋体" w:cs="宋体"/>
          <w:color w:val="auto"/>
          <w:highlight w:val="none"/>
        </w:rPr>
      </w:pPr>
      <w:r>
        <w:rPr>
          <w:rFonts w:hint="eastAsia" w:ascii="宋体" w:hAnsi="宋体" w:eastAsia="宋体" w:cs="宋体"/>
          <w:color w:val="auto"/>
          <w:highlight w:val="none"/>
        </w:rPr>
        <w:t xml:space="preserve">         邮政编码：</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电话：</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rPr>
        <w:tab/>
      </w:r>
      <w:r>
        <w:rPr>
          <w:rFonts w:hint="eastAsia" w:ascii="宋体" w:hAnsi="宋体" w:eastAsia="宋体" w:cs="宋体"/>
          <w:color w:val="auto"/>
          <w:highlight w:val="none"/>
        </w:rPr>
        <w:t xml:space="preserve"> 传真：</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rPr>
        <w:tab/>
      </w:r>
    </w:p>
    <w:p>
      <w:pPr>
        <w:spacing w:line="360" w:lineRule="auto"/>
        <w:ind w:left="1000"/>
        <w:rPr>
          <w:rFonts w:hint="eastAsia" w:ascii="宋体" w:hAnsi="宋体" w:eastAsia="宋体" w:cs="宋体"/>
          <w:color w:val="auto"/>
          <w:highlight w:val="none"/>
        </w:rPr>
      </w:pPr>
      <w:r>
        <w:rPr>
          <w:rFonts w:hint="eastAsia" w:ascii="宋体" w:hAnsi="宋体" w:eastAsia="宋体" w:cs="宋体"/>
          <w:color w:val="auto"/>
          <w:highlight w:val="none"/>
        </w:rPr>
        <w:t xml:space="preserve">         开户银行名称：</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p>
    <w:p>
      <w:pPr>
        <w:spacing w:line="360" w:lineRule="auto"/>
        <w:ind w:left="1000"/>
        <w:rPr>
          <w:rFonts w:hint="eastAsia" w:ascii="宋体" w:hAnsi="宋体" w:eastAsia="宋体" w:cs="宋体"/>
          <w:color w:val="auto"/>
          <w:highlight w:val="none"/>
        </w:rPr>
      </w:pPr>
      <w:r>
        <w:rPr>
          <w:rFonts w:hint="eastAsia" w:ascii="宋体" w:hAnsi="宋体" w:eastAsia="宋体" w:cs="宋体"/>
          <w:color w:val="auto"/>
          <w:highlight w:val="none"/>
        </w:rPr>
        <w:t xml:space="preserve">         开户银行账号：</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p>
    <w:p>
      <w:pPr>
        <w:spacing w:line="360" w:lineRule="auto"/>
        <w:ind w:left="1000"/>
        <w:rPr>
          <w:rFonts w:hint="eastAsia" w:ascii="宋体" w:hAnsi="宋体" w:eastAsia="宋体" w:cs="宋体"/>
          <w:color w:val="auto"/>
          <w:highlight w:val="none"/>
        </w:rPr>
      </w:pPr>
      <w:r>
        <w:rPr>
          <w:rFonts w:hint="eastAsia" w:ascii="宋体" w:hAnsi="宋体" w:eastAsia="宋体" w:cs="宋体"/>
          <w:color w:val="auto"/>
          <w:highlight w:val="none"/>
        </w:rPr>
        <w:t xml:space="preserve">         开户银行地址：</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p>
    <w:p>
      <w:pPr>
        <w:spacing w:line="360" w:lineRule="auto"/>
        <w:ind w:left="1000"/>
        <w:rPr>
          <w:rFonts w:hint="eastAsia" w:ascii="宋体" w:hAnsi="宋体" w:eastAsia="宋体" w:cs="宋体"/>
          <w:color w:val="auto"/>
          <w:highlight w:val="none"/>
        </w:rPr>
      </w:pPr>
      <w:r>
        <w:rPr>
          <w:rFonts w:hint="eastAsia" w:ascii="宋体" w:hAnsi="宋体" w:eastAsia="宋体" w:cs="宋体"/>
          <w:color w:val="auto"/>
          <w:highlight w:val="none"/>
        </w:rPr>
        <w:t xml:space="preserve">         开户银行电话：</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p>
    <w:p>
      <w:pPr>
        <w:spacing w:line="360" w:lineRule="auto"/>
        <w:ind w:right="420" w:firstLine="1974" w:firstLineChars="940"/>
        <w:rPr>
          <w:rFonts w:hint="eastAsia" w:ascii="宋体" w:hAnsi="宋体" w:eastAsia="宋体" w:cs="宋体"/>
          <w:color w:val="auto"/>
          <w:highlight w:val="none"/>
        </w:rPr>
      </w:pPr>
      <w:r>
        <w:rPr>
          <w:rFonts w:hint="eastAsia" w:ascii="宋体" w:hAnsi="宋体" w:eastAsia="宋体" w:cs="宋体"/>
          <w:color w:val="auto"/>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rPr>
          <w:rFonts w:hint="eastAsia" w:ascii="宋体" w:hAnsi="宋体" w:eastAsia="宋体" w:cs="宋体"/>
          <w:color w:val="auto"/>
          <w:highlight w:val="none"/>
        </w:rPr>
      </w:pPr>
    </w:p>
    <w:p>
      <w:pPr>
        <w:jc w:val="center"/>
        <w:rPr>
          <w:rFonts w:hint="eastAsia" w:ascii="宋体" w:hAnsi="宋体" w:eastAsia="宋体" w:cs="宋体"/>
          <w:b/>
          <w:color w:val="auto"/>
          <w:sz w:val="28"/>
          <w:szCs w:val="28"/>
          <w:highlight w:val="none"/>
        </w:rPr>
      </w:pPr>
    </w:p>
    <w:p>
      <w:pPr>
        <w:jc w:val="cente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（二）投标函附录</w:t>
      </w:r>
    </w:p>
    <w:p>
      <w:pPr>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工程名称：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（项目总名称）（标段名称）  </w:t>
      </w:r>
    </w:p>
    <w:tbl>
      <w:tblPr>
        <w:tblStyle w:val="41"/>
        <w:tblW w:w="893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796"/>
        <w:gridCol w:w="2315"/>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 号</w:t>
            </w:r>
          </w:p>
        </w:tc>
        <w:tc>
          <w:tcPr>
            <w:tcW w:w="1796"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条款内容</w:t>
            </w:r>
          </w:p>
        </w:tc>
        <w:tc>
          <w:tcPr>
            <w:tcW w:w="2315" w:type="dxa"/>
            <w:vAlign w:val="center"/>
          </w:tcPr>
          <w:p>
            <w:pPr>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招标文件约定条款</w:t>
            </w:r>
          </w:p>
        </w:tc>
        <w:tc>
          <w:tcPr>
            <w:tcW w:w="1984"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约定内容</w:t>
            </w:r>
          </w:p>
        </w:tc>
        <w:tc>
          <w:tcPr>
            <w:tcW w:w="1843"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796"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项目经理</w:t>
            </w:r>
          </w:p>
        </w:tc>
        <w:tc>
          <w:tcPr>
            <w:tcW w:w="2315" w:type="dxa"/>
            <w:tcMar>
              <w:left w:w="170" w:type="dxa"/>
            </w:tcMar>
            <w:vAlign w:val="center"/>
          </w:tcPr>
          <w:p>
            <w:pP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984"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r>
              <w:rPr>
                <w:rFonts w:hint="eastAsia" w:ascii="宋体" w:hAnsi="宋体" w:eastAsia="宋体" w:cs="宋体"/>
                <w:color w:val="auto"/>
                <w:szCs w:val="21"/>
                <w:highlight w:val="none"/>
                <w:u w:val="single"/>
              </w:rPr>
              <w:t xml:space="preserve">          </w:t>
            </w:r>
          </w:p>
        </w:tc>
        <w:tc>
          <w:tcPr>
            <w:tcW w:w="18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796"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工期</w:t>
            </w:r>
          </w:p>
        </w:tc>
        <w:tc>
          <w:tcPr>
            <w:tcW w:w="2315" w:type="dxa"/>
            <w:tcMar>
              <w:left w:w="170" w:type="dxa"/>
            </w:tcMar>
            <w:vAlign w:val="center"/>
          </w:tcPr>
          <w:p>
            <w:pP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984"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日历天</w:t>
            </w:r>
          </w:p>
        </w:tc>
        <w:tc>
          <w:tcPr>
            <w:tcW w:w="18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796"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缺陷责任期</w:t>
            </w:r>
          </w:p>
        </w:tc>
        <w:tc>
          <w:tcPr>
            <w:tcW w:w="2315" w:type="dxa"/>
            <w:tcMar>
              <w:left w:w="170" w:type="dxa"/>
            </w:tcMar>
            <w:vAlign w:val="center"/>
          </w:tcPr>
          <w:p>
            <w:pP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984" w:type="dxa"/>
            <w:vAlign w:val="center"/>
          </w:tcPr>
          <w:p>
            <w:pP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8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9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796"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发包人支付担保</w:t>
            </w:r>
          </w:p>
        </w:tc>
        <w:tc>
          <w:tcPr>
            <w:tcW w:w="2315" w:type="dxa"/>
            <w:tcMar>
              <w:left w:w="170" w:type="dxa"/>
            </w:tcMar>
            <w:vAlign w:val="center"/>
          </w:tcPr>
          <w:p>
            <w:pP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984" w:type="dxa"/>
            <w:vAlign w:val="center"/>
          </w:tcPr>
          <w:p>
            <w:pPr>
              <w:jc w:val="left"/>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8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9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796"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承包人履约担保金额</w:t>
            </w:r>
          </w:p>
        </w:tc>
        <w:tc>
          <w:tcPr>
            <w:tcW w:w="2315" w:type="dxa"/>
            <w:tcMar>
              <w:left w:w="170" w:type="dxa"/>
            </w:tcMar>
            <w:vAlign w:val="center"/>
          </w:tcPr>
          <w:p>
            <w:pP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984" w:type="dxa"/>
            <w:vAlign w:val="center"/>
          </w:tcPr>
          <w:p>
            <w:pPr>
              <w:jc w:val="left"/>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843" w:type="dxa"/>
            <w:vAlign w:val="center"/>
          </w:tcPr>
          <w:p>
            <w:pPr>
              <w:jc w:val="center"/>
              <w:rPr>
                <w:rFonts w:hint="eastAsia" w:ascii="宋体" w:hAnsi="宋体" w:eastAsia="宋体" w:cs="宋体"/>
                <w:color w:val="auto"/>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9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796"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分包</w:t>
            </w:r>
          </w:p>
        </w:tc>
        <w:tc>
          <w:tcPr>
            <w:tcW w:w="2315" w:type="dxa"/>
            <w:tcMar>
              <w:left w:w="170" w:type="dxa"/>
            </w:tcMar>
            <w:vAlign w:val="center"/>
          </w:tcPr>
          <w:p>
            <w:pP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984" w:type="dxa"/>
            <w:vAlign w:val="center"/>
          </w:tcPr>
          <w:p>
            <w:pPr>
              <w:jc w:val="both"/>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8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9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796"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逾期竣工违约金</w:t>
            </w:r>
          </w:p>
        </w:tc>
        <w:tc>
          <w:tcPr>
            <w:tcW w:w="2315" w:type="dxa"/>
            <w:tcMar>
              <w:left w:w="170" w:type="dxa"/>
            </w:tcMar>
            <w:vAlign w:val="center"/>
          </w:tcPr>
          <w:p>
            <w:pP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984" w:type="dxa"/>
            <w:vAlign w:val="center"/>
          </w:tcPr>
          <w:p>
            <w:pPr>
              <w:jc w:val="both"/>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8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9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796"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逾期竣工违约金最高限额</w:t>
            </w:r>
          </w:p>
        </w:tc>
        <w:tc>
          <w:tcPr>
            <w:tcW w:w="2315" w:type="dxa"/>
            <w:tcMar>
              <w:left w:w="170" w:type="dxa"/>
            </w:tcMar>
            <w:vAlign w:val="center"/>
          </w:tcPr>
          <w:p>
            <w:pP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984" w:type="dxa"/>
            <w:vAlign w:val="center"/>
          </w:tcPr>
          <w:p>
            <w:pP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8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9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796"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质量标准</w:t>
            </w:r>
          </w:p>
        </w:tc>
        <w:tc>
          <w:tcPr>
            <w:tcW w:w="2315" w:type="dxa"/>
            <w:tcMar>
              <w:left w:w="170" w:type="dxa"/>
            </w:tcMar>
            <w:vAlign w:val="center"/>
          </w:tcPr>
          <w:p>
            <w:pP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984" w:type="dxa"/>
            <w:vAlign w:val="center"/>
          </w:tcPr>
          <w:p>
            <w:pPr>
              <w:jc w:val="left"/>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8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9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1796"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预付款额度</w:t>
            </w:r>
          </w:p>
        </w:tc>
        <w:tc>
          <w:tcPr>
            <w:tcW w:w="2315" w:type="dxa"/>
            <w:tcMar>
              <w:left w:w="170" w:type="dxa"/>
            </w:tcMar>
            <w:vAlign w:val="center"/>
          </w:tcPr>
          <w:p>
            <w:pP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984" w:type="dxa"/>
            <w:vAlign w:val="center"/>
          </w:tcPr>
          <w:p>
            <w:pPr>
              <w:jc w:val="left"/>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8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9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1796"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预付款保函金额</w:t>
            </w:r>
          </w:p>
        </w:tc>
        <w:tc>
          <w:tcPr>
            <w:tcW w:w="2315" w:type="dxa"/>
            <w:tcMar>
              <w:left w:w="170" w:type="dxa"/>
            </w:tcMar>
            <w:vAlign w:val="center"/>
          </w:tcPr>
          <w:p>
            <w:pP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984" w:type="dxa"/>
            <w:vAlign w:val="center"/>
          </w:tcPr>
          <w:p>
            <w:pPr>
              <w:jc w:val="left"/>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8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9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1796"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质量保证金额度</w:t>
            </w:r>
          </w:p>
        </w:tc>
        <w:tc>
          <w:tcPr>
            <w:tcW w:w="2315" w:type="dxa"/>
            <w:tcMar>
              <w:left w:w="170" w:type="dxa"/>
            </w:tcMar>
            <w:vAlign w:val="center"/>
          </w:tcPr>
          <w:p>
            <w:pP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984" w:type="dxa"/>
            <w:vAlign w:val="center"/>
          </w:tcPr>
          <w:p>
            <w:pPr>
              <w:jc w:val="left"/>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u w:val="single"/>
              </w:rPr>
              <w:t xml:space="preserve">     </w:t>
            </w:r>
            <w:r>
              <w:rPr>
                <w:rFonts w:hint="eastAsia" w:ascii="宋体" w:hAnsi="宋体" w:eastAsia="宋体" w:cs="宋体"/>
                <w:b w:val="0"/>
                <w:bCs/>
                <w:color w:val="auto"/>
                <w:szCs w:val="21"/>
                <w:highlight w:val="none"/>
                <w:u w:val="single"/>
                <w:lang w:val="en-US" w:eastAsia="zh-CN"/>
              </w:rPr>
              <w:t xml:space="preserve">       </w:t>
            </w:r>
          </w:p>
        </w:tc>
        <w:tc>
          <w:tcPr>
            <w:tcW w:w="18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9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79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2315" w:type="dxa"/>
            <w:tcMar>
              <w:left w:w="170" w:type="dxa"/>
            </w:tcMar>
            <w:vAlign w:val="center"/>
          </w:tcPr>
          <w:p>
            <w:pPr>
              <w:rPr>
                <w:rFonts w:hint="eastAsia" w:ascii="宋体" w:hAnsi="宋体" w:eastAsia="宋体" w:cs="宋体"/>
                <w:color w:val="auto"/>
                <w:szCs w:val="21"/>
                <w:highlight w:val="none"/>
              </w:rPr>
            </w:pPr>
          </w:p>
        </w:tc>
        <w:tc>
          <w:tcPr>
            <w:tcW w:w="1984" w:type="dxa"/>
            <w:vAlign w:val="center"/>
          </w:tcPr>
          <w:p>
            <w:pPr>
              <w:jc w:val="center"/>
              <w:rPr>
                <w:rFonts w:hint="eastAsia" w:ascii="宋体" w:hAnsi="宋体" w:eastAsia="宋体" w:cs="宋体"/>
                <w:color w:val="auto"/>
                <w:szCs w:val="21"/>
                <w:highlight w:val="none"/>
              </w:rPr>
            </w:pPr>
          </w:p>
        </w:tc>
        <w:tc>
          <w:tcPr>
            <w:tcW w:w="18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6" w:hRule="atLeast"/>
        </w:trPr>
        <w:tc>
          <w:tcPr>
            <w:tcW w:w="8930" w:type="dxa"/>
            <w:gridSpan w:val="5"/>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备注：投标人在响应招标文件中规定的实质性要求和条件的基础上，可做出其他有利于</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的承诺。此类承诺可在本表中予以补充填写。</w:t>
            </w:r>
          </w:p>
        </w:tc>
      </w:tr>
    </w:tbl>
    <w:p>
      <w:pPr>
        <w:jc w:val="center"/>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投标人（盖章）：</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法人代表或委托代理人（签字或盖章）：</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cente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二、投标响应表</w:t>
      </w:r>
    </w:p>
    <w:p>
      <w:pPr>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（对招标文件有关工期、投标有效期、质量要求、技术标准和要求、招标范围等实质性内容作出响应,格式自行拟定）。</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三、投标报价表</w:t>
      </w:r>
    </w:p>
    <w:p>
      <w:pPr>
        <w:rPr>
          <w:rFonts w:hint="eastAsia" w:ascii="宋体" w:hAnsi="宋体" w:eastAsia="宋体" w:cs="宋体"/>
          <w:color w:val="auto"/>
          <w:sz w:val="28"/>
          <w:highlight w:val="none"/>
        </w:rPr>
      </w:pPr>
    </w:p>
    <w:p>
      <w:pPr>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u w:val="single"/>
        </w:rPr>
        <w:t xml:space="preserve">（项目总名称）（标段名称） </w:t>
      </w:r>
      <w:r>
        <w:rPr>
          <w:rFonts w:hint="eastAsia" w:ascii="宋体" w:hAnsi="宋体" w:eastAsia="宋体" w:cs="宋体"/>
          <w:color w:val="auto"/>
          <w:sz w:val="24"/>
          <w:highlight w:val="none"/>
        </w:rPr>
        <w:t xml:space="preserve">工程                </w:t>
      </w:r>
      <w:r>
        <w:rPr>
          <w:rFonts w:hint="eastAsia" w:ascii="宋体" w:hAnsi="宋体" w:eastAsia="宋体" w:cs="宋体"/>
          <w:color w:val="auto"/>
          <w:kern w:val="0"/>
          <w:sz w:val="28"/>
          <w:highlight w:val="none"/>
        </w:rPr>
        <w:t xml:space="preserve">    </w:t>
      </w:r>
      <w:r>
        <w:rPr>
          <w:rFonts w:hint="eastAsia" w:ascii="宋体" w:hAnsi="宋体" w:eastAsia="宋体" w:cs="宋体"/>
          <w:color w:val="auto"/>
          <w:kern w:val="0"/>
          <w:sz w:val="24"/>
          <w:highlight w:val="none"/>
        </w:rPr>
        <w:t>币种：人民币</w:t>
      </w:r>
    </w:p>
    <w:tbl>
      <w:tblPr>
        <w:tblStyle w:val="41"/>
        <w:tblW w:w="8028" w:type="dxa"/>
        <w:tblInd w:w="4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8"/>
        <w:gridCol w:w="378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trPr>
        <w:tc>
          <w:tcPr>
            <w:tcW w:w="1908"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内  容</w:t>
            </w:r>
          </w:p>
        </w:tc>
        <w:tc>
          <w:tcPr>
            <w:tcW w:w="378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金   额</w:t>
            </w:r>
          </w:p>
        </w:tc>
        <w:tc>
          <w:tcPr>
            <w:tcW w:w="23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4" w:hRule="atLeast"/>
        </w:trPr>
        <w:tc>
          <w:tcPr>
            <w:tcW w:w="1908" w:type="dxa"/>
            <w:vAlign w:val="center"/>
          </w:tcPr>
          <w:p>
            <w:pPr>
              <w:ind w:left="720" w:leftChars="57" w:hanging="600" w:hangingChars="2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投标报价</w:t>
            </w:r>
          </w:p>
        </w:tc>
        <w:tc>
          <w:tcPr>
            <w:tcW w:w="3780" w:type="dxa"/>
            <w:vAlign w:val="center"/>
          </w:tcPr>
          <w:p>
            <w:pPr>
              <w:ind w:firstLine="3120" w:firstLineChars="1300"/>
              <w:rPr>
                <w:rFonts w:hint="eastAsia" w:ascii="宋体" w:hAnsi="宋体" w:eastAsia="宋体" w:cs="宋体"/>
                <w:color w:val="auto"/>
                <w:sz w:val="24"/>
                <w:highlight w:val="none"/>
              </w:rPr>
            </w:pPr>
            <w:r>
              <w:rPr>
                <w:rFonts w:hint="eastAsia" w:ascii="宋体" w:hAnsi="宋体" w:eastAsia="宋体" w:cs="宋体"/>
                <w:color w:val="auto"/>
                <w:sz w:val="24"/>
                <w:highlight w:val="none"/>
              </w:rPr>
              <w:t>元</w:t>
            </w:r>
          </w:p>
          <w:p>
            <w:pPr>
              <w:ind w:firstLine="1560" w:firstLineChars="650"/>
              <w:jc w:val="center"/>
              <w:rPr>
                <w:rFonts w:hint="eastAsia" w:ascii="宋体" w:hAnsi="宋体" w:eastAsia="宋体" w:cs="宋体"/>
                <w:color w:val="auto"/>
                <w:sz w:val="24"/>
                <w:highlight w:val="none"/>
              </w:rPr>
            </w:pPr>
          </w:p>
        </w:tc>
        <w:tc>
          <w:tcPr>
            <w:tcW w:w="23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4" w:hRule="atLeast"/>
        </w:trPr>
        <w:tc>
          <w:tcPr>
            <w:tcW w:w="1908" w:type="dxa"/>
            <w:vAlign w:val="center"/>
          </w:tcPr>
          <w:p>
            <w:pPr>
              <w:ind w:left="720" w:leftChars="57" w:hanging="600" w:hangingChars="2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承诺质量等级</w:t>
            </w:r>
          </w:p>
        </w:tc>
        <w:tc>
          <w:tcPr>
            <w:tcW w:w="6120" w:type="dxa"/>
            <w:gridSpan w:val="2"/>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4" w:hRule="atLeast"/>
        </w:trPr>
        <w:tc>
          <w:tcPr>
            <w:tcW w:w="1908" w:type="dxa"/>
            <w:vAlign w:val="center"/>
          </w:tcPr>
          <w:p>
            <w:pPr>
              <w:ind w:left="720" w:leftChars="57" w:hanging="600" w:hangingChars="2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承诺工期</w:t>
            </w:r>
          </w:p>
        </w:tc>
        <w:tc>
          <w:tcPr>
            <w:tcW w:w="6120" w:type="dxa"/>
            <w:gridSpan w:val="2"/>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4" w:hRule="atLeast"/>
        </w:trPr>
        <w:tc>
          <w:tcPr>
            <w:tcW w:w="1908" w:type="dxa"/>
            <w:vAlign w:val="center"/>
          </w:tcPr>
          <w:p>
            <w:pPr>
              <w:ind w:left="720" w:leftChars="57" w:hanging="600" w:hangingChars="2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其他</w:t>
            </w:r>
          </w:p>
        </w:tc>
        <w:tc>
          <w:tcPr>
            <w:tcW w:w="6120" w:type="dxa"/>
            <w:gridSpan w:val="2"/>
            <w:vAlign w:val="center"/>
          </w:tcPr>
          <w:p>
            <w:pPr>
              <w:jc w:val="center"/>
              <w:rPr>
                <w:rFonts w:hint="eastAsia" w:ascii="宋体" w:hAnsi="宋体" w:eastAsia="宋体" w:cs="宋体"/>
                <w:color w:val="auto"/>
                <w:sz w:val="24"/>
                <w:highlight w:val="none"/>
              </w:rPr>
            </w:pPr>
          </w:p>
        </w:tc>
      </w:tr>
    </w:tbl>
    <w:p>
      <w:pPr>
        <w:rPr>
          <w:rFonts w:hint="eastAsia" w:ascii="宋体" w:hAnsi="宋体" w:eastAsia="宋体" w:cs="宋体"/>
          <w:color w:val="auto"/>
          <w:sz w:val="24"/>
          <w:highlight w:val="none"/>
        </w:rPr>
      </w:pPr>
    </w:p>
    <w:p>
      <w:pPr>
        <w:rPr>
          <w:rFonts w:hint="eastAsia" w:ascii="宋体" w:hAnsi="宋体" w:eastAsia="宋体" w:cs="宋体"/>
          <w:color w:val="auto"/>
          <w:highlight w:val="none"/>
        </w:rPr>
      </w:pPr>
    </w:p>
    <w:p>
      <w:pPr>
        <w:spacing w:line="480" w:lineRule="auto"/>
        <w:ind w:left="-178" w:leftChars="-85"/>
        <w:rPr>
          <w:rFonts w:hint="eastAsia" w:ascii="宋体" w:hAnsi="宋体" w:eastAsia="宋体" w:cs="宋体"/>
          <w:color w:val="auto"/>
          <w:sz w:val="24"/>
          <w:highlight w:val="none"/>
        </w:rPr>
      </w:pPr>
      <w:r>
        <w:rPr>
          <w:rFonts w:hint="eastAsia" w:ascii="宋体" w:hAnsi="宋体" w:eastAsia="宋体" w:cs="宋体"/>
          <w:color w:val="auto"/>
          <w:sz w:val="24"/>
          <w:highlight w:val="none"/>
        </w:rPr>
        <w:t>注：投标报价中含建安劳保费（即社会保障费，包含养老保险费、医疗保险费、失业保险费）</w:t>
      </w:r>
    </w:p>
    <w:p>
      <w:pPr>
        <w:spacing w:line="48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投标人（盖章）：</w:t>
      </w:r>
    </w:p>
    <w:p>
      <w:pPr>
        <w:spacing w:line="48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法定代表人或其委托代理人（签字或盖章）：</w:t>
      </w:r>
    </w:p>
    <w:p>
      <w:pPr>
        <w:spacing w:line="48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480" w:lineRule="auto"/>
        <w:ind w:firstLine="210" w:firstLineChars="100"/>
        <w:rPr>
          <w:rFonts w:hint="eastAsia" w:ascii="宋体" w:hAnsi="宋体" w:eastAsia="宋体" w:cs="宋体"/>
          <w:color w:val="auto"/>
          <w:highlight w:val="none"/>
        </w:rPr>
      </w:pPr>
    </w:p>
    <w:p>
      <w:pPr>
        <w:spacing w:line="480" w:lineRule="auto"/>
        <w:ind w:firstLine="210" w:firstLineChars="100"/>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四、已标价工程量清单</w:t>
      </w:r>
    </w:p>
    <w:p>
      <w:pPr>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1、说明：已标价工程量清单按</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提供的相关清单表格式填写。构成合同文件的已标价工程量清单包括第五章“工程量清单”有关工程量清单、投标报价以及其他说明的内容。</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ind w:firstLine="1247" w:firstLineChars="345"/>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u w:val="single"/>
        </w:rPr>
        <w:t xml:space="preserve">     （项目总名称）（标段名称）        </w:t>
      </w:r>
      <w:r>
        <w:rPr>
          <w:rFonts w:hint="eastAsia" w:ascii="宋体" w:hAnsi="宋体" w:eastAsia="宋体" w:cs="宋体"/>
          <w:b/>
          <w:color w:val="auto"/>
          <w:sz w:val="36"/>
          <w:szCs w:val="36"/>
          <w:highlight w:val="none"/>
        </w:rPr>
        <w:t>施工招标</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b/>
          <w:bCs/>
          <w:color w:val="auto"/>
          <w:highlight w:val="none"/>
          <w:u w:val="none"/>
          <w:lang w:eastAsia="zh-CN"/>
        </w:rPr>
        <w:t>例如：</w:t>
      </w:r>
      <w:r>
        <w:rPr>
          <w:rFonts w:hint="eastAsia" w:ascii="宋体" w:hAnsi="宋体" w:eastAsia="宋体" w:cs="宋体"/>
          <w:color w:val="auto"/>
          <w:highlight w:val="none"/>
          <w:u w:val="single"/>
          <w:lang w:eastAsia="zh-CN"/>
        </w:rPr>
        <w:t>金城江区2020年灾毁农田修复项目（一标段：金城江区2020年灾毁农田修复项目（五圩镇五圩社区））</w:t>
      </w:r>
      <w:r>
        <w:rPr>
          <w:rFonts w:hint="eastAsia" w:ascii="宋体" w:hAnsi="宋体" w:eastAsia="宋体" w:cs="宋体"/>
          <w:color w:val="auto"/>
          <w:highlight w:val="none"/>
          <w:lang w:eastAsia="zh-CN"/>
        </w:rPr>
        <w:t>施工招标</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center"/>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rPr>
        <w:t>投 标 文 件</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ind w:firstLine="2249" w:firstLineChars="70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项目编号：</w:t>
      </w:r>
    </w:p>
    <w:p>
      <w:pPr>
        <w:jc w:val="cente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（正本/副本）</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720" w:lineRule="auto"/>
        <w:ind w:firstLine="480" w:firstLineChars="150"/>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t>投标内容：</w:t>
      </w:r>
      <w:r>
        <w:rPr>
          <w:rFonts w:hint="eastAsia" w:ascii="宋体" w:hAnsi="宋体" w:eastAsia="宋体" w:cs="宋体"/>
          <w:color w:val="auto"/>
          <w:sz w:val="32"/>
          <w:szCs w:val="32"/>
          <w:highlight w:val="none"/>
          <w:u w:val="single"/>
        </w:rPr>
        <w:t xml:space="preserve">               技术标部分               </w:t>
      </w:r>
    </w:p>
    <w:p>
      <w:pPr>
        <w:spacing w:line="720" w:lineRule="auto"/>
        <w:ind w:firstLine="480" w:firstLineChars="15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 标 人：</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（盖单位章）</w:t>
      </w:r>
    </w:p>
    <w:p>
      <w:pPr>
        <w:spacing w:line="720" w:lineRule="auto"/>
        <w:ind w:firstLine="480" w:firstLineChars="15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法定代表人或其委托代理人：</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（签字）</w:t>
      </w:r>
    </w:p>
    <w:p>
      <w:pPr>
        <w:spacing w:line="720" w:lineRule="auto"/>
        <w:ind w:firstLine="2720" w:firstLineChars="85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年         月         日</w:t>
      </w:r>
    </w:p>
    <w:p>
      <w:pPr>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jc w:val="center"/>
        <w:rPr>
          <w:rFonts w:hint="eastAsia" w:ascii="宋体" w:hAnsi="宋体" w:eastAsia="宋体" w:cs="宋体"/>
          <w:b/>
          <w:color w:val="auto"/>
          <w:sz w:val="18"/>
          <w:szCs w:val="18"/>
          <w:highlight w:val="none"/>
        </w:rPr>
      </w:pPr>
    </w:p>
    <w:p>
      <w:pPr>
        <w:jc w:val="center"/>
        <w:rPr>
          <w:rFonts w:hint="eastAsia" w:ascii="宋体" w:hAnsi="宋体" w:eastAsia="宋体" w:cs="宋体"/>
          <w:color w:val="auto"/>
          <w:highlight w:val="none"/>
        </w:rPr>
      </w:pPr>
      <w:r>
        <w:rPr>
          <w:rFonts w:hint="eastAsia" w:ascii="宋体" w:hAnsi="宋体" w:eastAsia="宋体" w:cs="宋体"/>
          <w:color w:val="auto"/>
          <w:highlight w:val="none"/>
        </w:rPr>
        <w:t>（应附有页码）</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一、施工组织设计</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二、项目管理机构配备情况</w:t>
      </w:r>
    </w:p>
    <w:p>
      <w:pPr>
        <w:spacing w:line="500" w:lineRule="exact"/>
        <w:ind w:firstLine="840" w:firstLineChars="400"/>
        <w:rPr>
          <w:rFonts w:hint="eastAsia" w:ascii="宋体" w:hAnsi="宋体" w:eastAsia="宋体" w:cs="宋体"/>
          <w:color w:val="auto"/>
          <w:highlight w:val="none"/>
        </w:rPr>
      </w:pPr>
      <w:r>
        <w:rPr>
          <w:rFonts w:hint="eastAsia" w:ascii="宋体" w:hAnsi="宋体" w:eastAsia="宋体" w:cs="宋体"/>
          <w:color w:val="auto"/>
          <w:highlight w:val="none"/>
        </w:rPr>
        <w:t>（一）项目管理机构配备情况表（附各岗位人员资格证件复印件及投标截止之日前半年内任意一个月在本单位依法缴纳社保证明材料复印件，以上复印件均须加盖投标人单位公章）</w:t>
      </w:r>
    </w:p>
    <w:p>
      <w:pPr>
        <w:spacing w:line="500" w:lineRule="exact"/>
        <w:ind w:firstLine="840" w:firstLineChars="400"/>
        <w:rPr>
          <w:rFonts w:hint="eastAsia" w:ascii="宋体" w:hAnsi="宋体" w:eastAsia="宋体" w:cs="宋体"/>
          <w:color w:val="auto"/>
          <w:highlight w:val="none"/>
        </w:rPr>
      </w:pPr>
      <w:r>
        <w:rPr>
          <w:rFonts w:hint="eastAsia" w:ascii="宋体" w:hAnsi="宋体" w:eastAsia="宋体" w:cs="宋体"/>
          <w:color w:val="auto"/>
          <w:highlight w:val="none"/>
        </w:rPr>
        <w:t>（二）项目经理简历表</w:t>
      </w:r>
    </w:p>
    <w:p>
      <w:pPr>
        <w:spacing w:line="500" w:lineRule="exact"/>
        <w:ind w:firstLine="840" w:firstLineChars="400"/>
        <w:rPr>
          <w:rFonts w:hint="eastAsia" w:ascii="宋体" w:hAnsi="宋体" w:eastAsia="宋体" w:cs="宋体"/>
          <w:color w:val="auto"/>
          <w:highlight w:val="none"/>
        </w:rPr>
      </w:pPr>
      <w:r>
        <w:rPr>
          <w:rFonts w:hint="eastAsia" w:ascii="宋体" w:hAnsi="宋体" w:eastAsia="宋体" w:cs="宋体"/>
          <w:color w:val="auto"/>
          <w:highlight w:val="none"/>
        </w:rPr>
        <w:t>（三）技术负责人简历表</w:t>
      </w:r>
    </w:p>
    <w:p>
      <w:pPr>
        <w:spacing w:line="500" w:lineRule="exact"/>
        <w:ind w:firstLine="840" w:firstLineChars="400"/>
        <w:rPr>
          <w:rFonts w:hint="eastAsia" w:ascii="宋体" w:hAnsi="宋体" w:eastAsia="宋体" w:cs="宋体"/>
          <w:color w:val="auto"/>
          <w:highlight w:val="none"/>
        </w:rPr>
      </w:pPr>
      <w:r>
        <w:rPr>
          <w:rFonts w:hint="eastAsia" w:ascii="宋体" w:hAnsi="宋体" w:eastAsia="宋体" w:cs="宋体"/>
          <w:color w:val="auto"/>
          <w:highlight w:val="none"/>
        </w:rPr>
        <w:t>（四）项目管理机构配备辅助说明资料</w:t>
      </w:r>
    </w:p>
    <w:p>
      <w:pPr>
        <w:spacing w:line="500" w:lineRule="exact"/>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720" w:lineRule="auto"/>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一、施工组织设计</w:t>
      </w:r>
    </w:p>
    <w:p>
      <w:pPr>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投标人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2、施工组织设计除采用文字表述外可附下列图表，图表及格式要求附后。</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附表一  拟投入本工程的主要施工设备表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附表二  拟配备本工程的试验和检测仪器设备表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附表三  劳动力计划表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附表四  计划开、竣工日期和施工进度网络图</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附表五  施工总平面图</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附表六  临时用地表</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48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附表一：拟投入本工程的主要施工设备表</w:t>
      </w:r>
    </w:p>
    <w:tbl>
      <w:tblPr>
        <w:tblStyle w:val="41"/>
        <w:tblW w:w="90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709"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992"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设备</w:t>
            </w:r>
          </w:p>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名称</w:t>
            </w:r>
          </w:p>
        </w:tc>
        <w:tc>
          <w:tcPr>
            <w:tcW w:w="851"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型号</w:t>
            </w:r>
          </w:p>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规格</w:t>
            </w:r>
          </w:p>
        </w:tc>
        <w:tc>
          <w:tcPr>
            <w:tcW w:w="708"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数量</w:t>
            </w:r>
          </w:p>
        </w:tc>
        <w:tc>
          <w:tcPr>
            <w:tcW w:w="709"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国别</w:t>
            </w:r>
          </w:p>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产地</w:t>
            </w:r>
          </w:p>
        </w:tc>
        <w:tc>
          <w:tcPr>
            <w:tcW w:w="851"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制造</w:t>
            </w:r>
          </w:p>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年份</w:t>
            </w:r>
          </w:p>
        </w:tc>
        <w:tc>
          <w:tcPr>
            <w:tcW w:w="1134"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额定功率</w:t>
            </w:r>
          </w:p>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KW ）</w:t>
            </w:r>
          </w:p>
        </w:tc>
        <w:tc>
          <w:tcPr>
            <w:tcW w:w="992"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生产</w:t>
            </w:r>
          </w:p>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能力</w:t>
            </w:r>
          </w:p>
        </w:tc>
        <w:tc>
          <w:tcPr>
            <w:tcW w:w="1134"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用于施</w:t>
            </w:r>
          </w:p>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工部位</w:t>
            </w:r>
          </w:p>
        </w:tc>
        <w:tc>
          <w:tcPr>
            <w:tcW w:w="992"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color w:val="auto"/>
                <w:szCs w:val="21"/>
                <w:highlight w:val="none"/>
              </w:rPr>
            </w:pPr>
          </w:p>
        </w:tc>
        <w:tc>
          <w:tcPr>
            <w:tcW w:w="992" w:type="dxa"/>
            <w:vAlign w:val="center"/>
          </w:tcPr>
          <w:p>
            <w:pPr>
              <w:ind w:firstLine="420" w:firstLineChars="200"/>
              <w:jc w:val="center"/>
              <w:rPr>
                <w:rFonts w:hint="eastAsia" w:ascii="宋体" w:hAnsi="宋体" w:eastAsia="宋体" w:cs="宋体"/>
                <w:color w:val="auto"/>
                <w:szCs w:val="21"/>
                <w:highlight w:val="none"/>
              </w:rPr>
            </w:pPr>
          </w:p>
        </w:tc>
        <w:tc>
          <w:tcPr>
            <w:tcW w:w="851" w:type="dxa"/>
            <w:vAlign w:val="center"/>
          </w:tcPr>
          <w:p>
            <w:pPr>
              <w:jc w:val="center"/>
              <w:rPr>
                <w:rFonts w:hint="eastAsia" w:ascii="宋体" w:hAnsi="宋体" w:eastAsia="宋体" w:cs="宋体"/>
                <w:color w:val="auto"/>
                <w:szCs w:val="21"/>
                <w:highlight w:val="none"/>
              </w:rPr>
            </w:pPr>
          </w:p>
        </w:tc>
        <w:tc>
          <w:tcPr>
            <w:tcW w:w="708" w:type="dxa"/>
            <w:vAlign w:val="center"/>
          </w:tcPr>
          <w:p>
            <w:pPr>
              <w:jc w:val="center"/>
              <w:rPr>
                <w:rFonts w:hint="eastAsia" w:ascii="宋体" w:hAnsi="宋体" w:eastAsia="宋体" w:cs="宋体"/>
                <w:color w:val="auto"/>
                <w:szCs w:val="21"/>
                <w:highlight w:val="none"/>
              </w:rPr>
            </w:pPr>
          </w:p>
        </w:tc>
        <w:tc>
          <w:tcPr>
            <w:tcW w:w="709" w:type="dxa"/>
            <w:vAlign w:val="center"/>
          </w:tcPr>
          <w:p>
            <w:pPr>
              <w:jc w:val="center"/>
              <w:rPr>
                <w:rFonts w:hint="eastAsia" w:ascii="宋体" w:hAnsi="宋体" w:eastAsia="宋体" w:cs="宋体"/>
                <w:color w:val="auto"/>
                <w:szCs w:val="21"/>
                <w:highlight w:val="none"/>
              </w:rPr>
            </w:pPr>
          </w:p>
        </w:tc>
        <w:tc>
          <w:tcPr>
            <w:tcW w:w="851" w:type="dxa"/>
            <w:vAlign w:val="center"/>
          </w:tcPr>
          <w:p>
            <w:pPr>
              <w:jc w:val="center"/>
              <w:rPr>
                <w:rFonts w:hint="eastAsia" w:ascii="宋体" w:hAnsi="宋体" w:eastAsia="宋体" w:cs="宋体"/>
                <w:color w:val="auto"/>
                <w:szCs w:val="21"/>
                <w:highlight w:val="none"/>
              </w:rPr>
            </w:pPr>
          </w:p>
        </w:tc>
        <w:tc>
          <w:tcPr>
            <w:tcW w:w="1134" w:type="dxa"/>
            <w:vAlign w:val="center"/>
          </w:tcPr>
          <w:p>
            <w:pPr>
              <w:jc w:val="center"/>
              <w:rPr>
                <w:rFonts w:hint="eastAsia" w:ascii="宋体" w:hAnsi="宋体" w:eastAsia="宋体" w:cs="宋体"/>
                <w:color w:val="auto"/>
                <w:szCs w:val="21"/>
                <w:highlight w:val="none"/>
              </w:rPr>
            </w:pPr>
          </w:p>
        </w:tc>
        <w:tc>
          <w:tcPr>
            <w:tcW w:w="992" w:type="dxa"/>
            <w:vAlign w:val="center"/>
          </w:tcPr>
          <w:p>
            <w:pPr>
              <w:jc w:val="center"/>
              <w:rPr>
                <w:rFonts w:hint="eastAsia" w:ascii="宋体" w:hAnsi="宋体" w:eastAsia="宋体" w:cs="宋体"/>
                <w:color w:val="auto"/>
                <w:szCs w:val="21"/>
                <w:highlight w:val="none"/>
              </w:rPr>
            </w:pPr>
          </w:p>
        </w:tc>
        <w:tc>
          <w:tcPr>
            <w:tcW w:w="1134" w:type="dxa"/>
            <w:vAlign w:val="center"/>
          </w:tcPr>
          <w:p>
            <w:pPr>
              <w:jc w:val="center"/>
              <w:rPr>
                <w:rFonts w:hint="eastAsia" w:ascii="宋体" w:hAnsi="宋体" w:eastAsia="宋体" w:cs="宋体"/>
                <w:color w:val="auto"/>
                <w:szCs w:val="21"/>
                <w:highlight w:val="none"/>
              </w:rPr>
            </w:pPr>
          </w:p>
        </w:tc>
        <w:tc>
          <w:tcPr>
            <w:tcW w:w="992"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color w:val="auto"/>
                <w:szCs w:val="21"/>
                <w:highlight w:val="none"/>
              </w:rPr>
            </w:pPr>
          </w:p>
        </w:tc>
        <w:tc>
          <w:tcPr>
            <w:tcW w:w="992" w:type="dxa"/>
            <w:vAlign w:val="center"/>
          </w:tcPr>
          <w:p>
            <w:pPr>
              <w:jc w:val="center"/>
              <w:rPr>
                <w:rFonts w:hint="eastAsia" w:ascii="宋体" w:hAnsi="宋体" w:eastAsia="宋体" w:cs="宋体"/>
                <w:color w:val="auto"/>
                <w:szCs w:val="21"/>
                <w:highlight w:val="none"/>
              </w:rPr>
            </w:pPr>
          </w:p>
        </w:tc>
        <w:tc>
          <w:tcPr>
            <w:tcW w:w="851" w:type="dxa"/>
            <w:vAlign w:val="center"/>
          </w:tcPr>
          <w:p>
            <w:pPr>
              <w:jc w:val="center"/>
              <w:rPr>
                <w:rFonts w:hint="eastAsia" w:ascii="宋体" w:hAnsi="宋体" w:eastAsia="宋体" w:cs="宋体"/>
                <w:color w:val="auto"/>
                <w:szCs w:val="21"/>
                <w:highlight w:val="none"/>
              </w:rPr>
            </w:pPr>
          </w:p>
        </w:tc>
        <w:tc>
          <w:tcPr>
            <w:tcW w:w="708" w:type="dxa"/>
            <w:vAlign w:val="center"/>
          </w:tcPr>
          <w:p>
            <w:pPr>
              <w:jc w:val="center"/>
              <w:rPr>
                <w:rFonts w:hint="eastAsia" w:ascii="宋体" w:hAnsi="宋体" w:eastAsia="宋体" w:cs="宋体"/>
                <w:color w:val="auto"/>
                <w:szCs w:val="21"/>
                <w:highlight w:val="none"/>
              </w:rPr>
            </w:pPr>
          </w:p>
        </w:tc>
        <w:tc>
          <w:tcPr>
            <w:tcW w:w="709" w:type="dxa"/>
            <w:vAlign w:val="center"/>
          </w:tcPr>
          <w:p>
            <w:pPr>
              <w:jc w:val="center"/>
              <w:rPr>
                <w:rFonts w:hint="eastAsia" w:ascii="宋体" w:hAnsi="宋体" w:eastAsia="宋体" w:cs="宋体"/>
                <w:color w:val="auto"/>
                <w:szCs w:val="21"/>
                <w:highlight w:val="none"/>
              </w:rPr>
            </w:pPr>
          </w:p>
        </w:tc>
        <w:tc>
          <w:tcPr>
            <w:tcW w:w="851" w:type="dxa"/>
            <w:vAlign w:val="center"/>
          </w:tcPr>
          <w:p>
            <w:pPr>
              <w:jc w:val="center"/>
              <w:rPr>
                <w:rFonts w:hint="eastAsia" w:ascii="宋体" w:hAnsi="宋体" w:eastAsia="宋体" w:cs="宋体"/>
                <w:color w:val="auto"/>
                <w:szCs w:val="21"/>
                <w:highlight w:val="none"/>
              </w:rPr>
            </w:pPr>
          </w:p>
        </w:tc>
        <w:tc>
          <w:tcPr>
            <w:tcW w:w="1134" w:type="dxa"/>
            <w:vAlign w:val="center"/>
          </w:tcPr>
          <w:p>
            <w:pPr>
              <w:jc w:val="center"/>
              <w:rPr>
                <w:rFonts w:hint="eastAsia" w:ascii="宋体" w:hAnsi="宋体" w:eastAsia="宋体" w:cs="宋体"/>
                <w:color w:val="auto"/>
                <w:szCs w:val="21"/>
                <w:highlight w:val="none"/>
              </w:rPr>
            </w:pPr>
          </w:p>
        </w:tc>
        <w:tc>
          <w:tcPr>
            <w:tcW w:w="992" w:type="dxa"/>
            <w:vAlign w:val="center"/>
          </w:tcPr>
          <w:p>
            <w:pPr>
              <w:jc w:val="center"/>
              <w:rPr>
                <w:rFonts w:hint="eastAsia" w:ascii="宋体" w:hAnsi="宋体" w:eastAsia="宋体" w:cs="宋体"/>
                <w:color w:val="auto"/>
                <w:szCs w:val="21"/>
                <w:highlight w:val="none"/>
              </w:rPr>
            </w:pPr>
          </w:p>
        </w:tc>
        <w:tc>
          <w:tcPr>
            <w:tcW w:w="1134" w:type="dxa"/>
            <w:vAlign w:val="center"/>
          </w:tcPr>
          <w:p>
            <w:pPr>
              <w:jc w:val="center"/>
              <w:rPr>
                <w:rFonts w:hint="eastAsia" w:ascii="宋体" w:hAnsi="宋体" w:eastAsia="宋体" w:cs="宋体"/>
                <w:color w:val="auto"/>
                <w:szCs w:val="21"/>
                <w:highlight w:val="none"/>
              </w:rPr>
            </w:pPr>
          </w:p>
        </w:tc>
        <w:tc>
          <w:tcPr>
            <w:tcW w:w="992"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color w:val="auto"/>
                <w:szCs w:val="21"/>
                <w:highlight w:val="none"/>
              </w:rPr>
            </w:pPr>
          </w:p>
        </w:tc>
        <w:tc>
          <w:tcPr>
            <w:tcW w:w="992" w:type="dxa"/>
            <w:vAlign w:val="center"/>
          </w:tcPr>
          <w:p>
            <w:pPr>
              <w:jc w:val="center"/>
              <w:rPr>
                <w:rFonts w:hint="eastAsia" w:ascii="宋体" w:hAnsi="宋体" w:eastAsia="宋体" w:cs="宋体"/>
                <w:color w:val="auto"/>
                <w:szCs w:val="21"/>
                <w:highlight w:val="none"/>
              </w:rPr>
            </w:pPr>
          </w:p>
        </w:tc>
        <w:tc>
          <w:tcPr>
            <w:tcW w:w="851" w:type="dxa"/>
            <w:vAlign w:val="center"/>
          </w:tcPr>
          <w:p>
            <w:pPr>
              <w:jc w:val="center"/>
              <w:rPr>
                <w:rFonts w:hint="eastAsia" w:ascii="宋体" w:hAnsi="宋体" w:eastAsia="宋体" w:cs="宋体"/>
                <w:color w:val="auto"/>
                <w:szCs w:val="21"/>
                <w:highlight w:val="none"/>
              </w:rPr>
            </w:pPr>
          </w:p>
        </w:tc>
        <w:tc>
          <w:tcPr>
            <w:tcW w:w="708" w:type="dxa"/>
            <w:vAlign w:val="center"/>
          </w:tcPr>
          <w:p>
            <w:pPr>
              <w:jc w:val="center"/>
              <w:rPr>
                <w:rFonts w:hint="eastAsia" w:ascii="宋体" w:hAnsi="宋体" w:eastAsia="宋体" w:cs="宋体"/>
                <w:color w:val="auto"/>
                <w:szCs w:val="21"/>
                <w:highlight w:val="none"/>
              </w:rPr>
            </w:pPr>
          </w:p>
        </w:tc>
        <w:tc>
          <w:tcPr>
            <w:tcW w:w="709" w:type="dxa"/>
            <w:vAlign w:val="center"/>
          </w:tcPr>
          <w:p>
            <w:pPr>
              <w:jc w:val="center"/>
              <w:rPr>
                <w:rFonts w:hint="eastAsia" w:ascii="宋体" w:hAnsi="宋体" w:eastAsia="宋体" w:cs="宋体"/>
                <w:color w:val="auto"/>
                <w:szCs w:val="21"/>
                <w:highlight w:val="none"/>
              </w:rPr>
            </w:pPr>
          </w:p>
        </w:tc>
        <w:tc>
          <w:tcPr>
            <w:tcW w:w="851" w:type="dxa"/>
            <w:vAlign w:val="center"/>
          </w:tcPr>
          <w:p>
            <w:pPr>
              <w:jc w:val="center"/>
              <w:rPr>
                <w:rFonts w:hint="eastAsia" w:ascii="宋体" w:hAnsi="宋体" w:eastAsia="宋体" w:cs="宋体"/>
                <w:color w:val="auto"/>
                <w:szCs w:val="21"/>
                <w:highlight w:val="none"/>
              </w:rPr>
            </w:pPr>
          </w:p>
        </w:tc>
        <w:tc>
          <w:tcPr>
            <w:tcW w:w="1134" w:type="dxa"/>
            <w:vAlign w:val="center"/>
          </w:tcPr>
          <w:p>
            <w:pPr>
              <w:jc w:val="center"/>
              <w:rPr>
                <w:rFonts w:hint="eastAsia" w:ascii="宋体" w:hAnsi="宋体" w:eastAsia="宋体" w:cs="宋体"/>
                <w:color w:val="auto"/>
                <w:szCs w:val="21"/>
                <w:highlight w:val="none"/>
              </w:rPr>
            </w:pPr>
          </w:p>
        </w:tc>
        <w:tc>
          <w:tcPr>
            <w:tcW w:w="992" w:type="dxa"/>
            <w:vAlign w:val="center"/>
          </w:tcPr>
          <w:p>
            <w:pPr>
              <w:jc w:val="center"/>
              <w:rPr>
                <w:rFonts w:hint="eastAsia" w:ascii="宋体" w:hAnsi="宋体" w:eastAsia="宋体" w:cs="宋体"/>
                <w:color w:val="auto"/>
                <w:szCs w:val="21"/>
                <w:highlight w:val="none"/>
              </w:rPr>
            </w:pPr>
          </w:p>
        </w:tc>
        <w:tc>
          <w:tcPr>
            <w:tcW w:w="1134" w:type="dxa"/>
            <w:vAlign w:val="center"/>
          </w:tcPr>
          <w:p>
            <w:pPr>
              <w:jc w:val="center"/>
              <w:rPr>
                <w:rFonts w:hint="eastAsia" w:ascii="宋体" w:hAnsi="宋体" w:eastAsia="宋体" w:cs="宋体"/>
                <w:color w:val="auto"/>
                <w:szCs w:val="21"/>
                <w:highlight w:val="none"/>
              </w:rPr>
            </w:pPr>
          </w:p>
        </w:tc>
        <w:tc>
          <w:tcPr>
            <w:tcW w:w="992"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09" w:type="dxa"/>
            <w:vAlign w:val="center"/>
          </w:tcPr>
          <w:p>
            <w:pPr>
              <w:jc w:val="center"/>
              <w:rPr>
                <w:rFonts w:hint="eastAsia" w:ascii="宋体" w:hAnsi="宋体" w:eastAsia="宋体" w:cs="宋体"/>
                <w:color w:val="auto"/>
                <w:szCs w:val="21"/>
                <w:highlight w:val="none"/>
              </w:rPr>
            </w:pPr>
          </w:p>
        </w:tc>
        <w:tc>
          <w:tcPr>
            <w:tcW w:w="992" w:type="dxa"/>
            <w:vAlign w:val="center"/>
          </w:tcPr>
          <w:p>
            <w:pPr>
              <w:jc w:val="center"/>
              <w:rPr>
                <w:rFonts w:hint="eastAsia" w:ascii="宋体" w:hAnsi="宋体" w:eastAsia="宋体" w:cs="宋体"/>
                <w:color w:val="auto"/>
                <w:szCs w:val="21"/>
                <w:highlight w:val="none"/>
              </w:rPr>
            </w:pPr>
          </w:p>
        </w:tc>
        <w:tc>
          <w:tcPr>
            <w:tcW w:w="851" w:type="dxa"/>
            <w:vAlign w:val="center"/>
          </w:tcPr>
          <w:p>
            <w:pPr>
              <w:jc w:val="center"/>
              <w:rPr>
                <w:rFonts w:hint="eastAsia" w:ascii="宋体" w:hAnsi="宋体" w:eastAsia="宋体" w:cs="宋体"/>
                <w:color w:val="auto"/>
                <w:szCs w:val="21"/>
                <w:highlight w:val="none"/>
              </w:rPr>
            </w:pPr>
          </w:p>
        </w:tc>
        <w:tc>
          <w:tcPr>
            <w:tcW w:w="708" w:type="dxa"/>
            <w:vAlign w:val="center"/>
          </w:tcPr>
          <w:p>
            <w:pPr>
              <w:jc w:val="center"/>
              <w:rPr>
                <w:rFonts w:hint="eastAsia" w:ascii="宋体" w:hAnsi="宋体" w:eastAsia="宋体" w:cs="宋体"/>
                <w:color w:val="auto"/>
                <w:szCs w:val="21"/>
                <w:highlight w:val="none"/>
              </w:rPr>
            </w:pPr>
          </w:p>
        </w:tc>
        <w:tc>
          <w:tcPr>
            <w:tcW w:w="709" w:type="dxa"/>
            <w:vAlign w:val="center"/>
          </w:tcPr>
          <w:p>
            <w:pPr>
              <w:jc w:val="center"/>
              <w:rPr>
                <w:rFonts w:hint="eastAsia" w:ascii="宋体" w:hAnsi="宋体" w:eastAsia="宋体" w:cs="宋体"/>
                <w:color w:val="auto"/>
                <w:szCs w:val="21"/>
                <w:highlight w:val="none"/>
              </w:rPr>
            </w:pPr>
          </w:p>
        </w:tc>
        <w:tc>
          <w:tcPr>
            <w:tcW w:w="851" w:type="dxa"/>
            <w:vAlign w:val="center"/>
          </w:tcPr>
          <w:p>
            <w:pPr>
              <w:jc w:val="center"/>
              <w:rPr>
                <w:rFonts w:hint="eastAsia" w:ascii="宋体" w:hAnsi="宋体" w:eastAsia="宋体" w:cs="宋体"/>
                <w:color w:val="auto"/>
                <w:szCs w:val="21"/>
                <w:highlight w:val="none"/>
              </w:rPr>
            </w:pPr>
          </w:p>
        </w:tc>
        <w:tc>
          <w:tcPr>
            <w:tcW w:w="1134" w:type="dxa"/>
            <w:vAlign w:val="center"/>
          </w:tcPr>
          <w:p>
            <w:pPr>
              <w:jc w:val="center"/>
              <w:rPr>
                <w:rFonts w:hint="eastAsia" w:ascii="宋体" w:hAnsi="宋体" w:eastAsia="宋体" w:cs="宋体"/>
                <w:color w:val="auto"/>
                <w:szCs w:val="21"/>
                <w:highlight w:val="none"/>
              </w:rPr>
            </w:pPr>
          </w:p>
        </w:tc>
        <w:tc>
          <w:tcPr>
            <w:tcW w:w="992" w:type="dxa"/>
            <w:vAlign w:val="center"/>
          </w:tcPr>
          <w:p>
            <w:pPr>
              <w:jc w:val="center"/>
              <w:rPr>
                <w:rFonts w:hint="eastAsia" w:ascii="宋体" w:hAnsi="宋体" w:eastAsia="宋体" w:cs="宋体"/>
                <w:color w:val="auto"/>
                <w:szCs w:val="21"/>
                <w:highlight w:val="none"/>
              </w:rPr>
            </w:pPr>
          </w:p>
        </w:tc>
        <w:tc>
          <w:tcPr>
            <w:tcW w:w="1134" w:type="dxa"/>
            <w:vAlign w:val="center"/>
          </w:tcPr>
          <w:p>
            <w:pPr>
              <w:jc w:val="center"/>
              <w:rPr>
                <w:rFonts w:hint="eastAsia" w:ascii="宋体" w:hAnsi="宋体" w:eastAsia="宋体" w:cs="宋体"/>
                <w:color w:val="auto"/>
                <w:szCs w:val="21"/>
                <w:highlight w:val="none"/>
              </w:rPr>
            </w:pPr>
          </w:p>
        </w:tc>
        <w:tc>
          <w:tcPr>
            <w:tcW w:w="992"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09" w:type="dxa"/>
            <w:vAlign w:val="center"/>
          </w:tcPr>
          <w:p>
            <w:pPr>
              <w:jc w:val="center"/>
              <w:rPr>
                <w:rFonts w:hint="eastAsia" w:ascii="宋体" w:hAnsi="宋体" w:eastAsia="宋体" w:cs="宋体"/>
                <w:color w:val="auto"/>
                <w:szCs w:val="21"/>
                <w:highlight w:val="none"/>
              </w:rPr>
            </w:pPr>
          </w:p>
        </w:tc>
        <w:tc>
          <w:tcPr>
            <w:tcW w:w="992" w:type="dxa"/>
            <w:vAlign w:val="center"/>
          </w:tcPr>
          <w:p>
            <w:pPr>
              <w:jc w:val="center"/>
              <w:rPr>
                <w:rFonts w:hint="eastAsia" w:ascii="宋体" w:hAnsi="宋体" w:eastAsia="宋体" w:cs="宋体"/>
                <w:color w:val="auto"/>
                <w:szCs w:val="21"/>
                <w:highlight w:val="none"/>
              </w:rPr>
            </w:pPr>
          </w:p>
        </w:tc>
        <w:tc>
          <w:tcPr>
            <w:tcW w:w="851" w:type="dxa"/>
            <w:vAlign w:val="center"/>
          </w:tcPr>
          <w:p>
            <w:pPr>
              <w:jc w:val="center"/>
              <w:rPr>
                <w:rFonts w:hint="eastAsia" w:ascii="宋体" w:hAnsi="宋体" w:eastAsia="宋体" w:cs="宋体"/>
                <w:color w:val="auto"/>
                <w:szCs w:val="21"/>
                <w:highlight w:val="none"/>
              </w:rPr>
            </w:pPr>
          </w:p>
        </w:tc>
        <w:tc>
          <w:tcPr>
            <w:tcW w:w="708" w:type="dxa"/>
            <w:vAlign w:val="center"/>
          </w:tcPr>
          <w:p>
            <w:pPr>
              <w:jc w:val="center"/>
              <w:rPr>
                <w:rFonts w:hint="eastAsia" w:ascii="宋体" w:hAnsi="宋体" w:eastAsia="宋体" w:cs="宋体"/>
                <w:color w:val="auto"/>
                <w:szCs w:val="21"/>
                <w:highlight w:val="none"/>
              </w:rPr>
            </w:pPr>
          </w:p>
        </w:tc>
        <w:tc>
          <w:tcPr>
            <w:tcW w:w="709" w:type="dxa"/>
            <w:vAlign w:val="center"/>
          </w:tcPr>
          <w:p>
            <w:pPr>
              <w:jc w:val="center"/>
              <w:rPr>
                <w:rFonts w:hint="eastAsia" w:ascii="宋体" w:hAnsi="宋体" w:eastAsia="宋体" w:cs="宋体"/>
                <w:color w:val="auto"/>
                <w:szCs w:val="21"/>
                <w:highlight w:val="none"/>
              </w:rPr>
            </w:pPr>
          </w:p>
        </w:tc>
        <w:tc>
          <w:tcPr>
            <w:tcW w:w="851" w:type="dxa"/>
            <w:vAlign w:val="center"/>
          </w:tcPr>
          <w:p>
            <w:pPr>
              <w:jc w:val="center"/>
              <w:rPr>
                <w:rFonts w:hint="eastAsia" w:ascii="宋体" w:hAnsi="宋体" w:eastAsia="宋体" w:cs="宋体"/>
                <w:color w:val="auto"/>
                <w:szCs w:val="21"/>
                <w:highlight w:val="none"/>
              </w:rPr>
            </w:pPr>
          </w:p>
        </w:tc>
        <w:tc>
          <w:tcPr>
            <w:tcW w:w="1134" w:type="dxa"/>
            <w:vAlign w:val="center"/>
          </w:tcPr>
          <w:p>
            <w:pPr>
              <w:jc w:val="center"/>
              <w:rPr>
                <w:rFonts w:hint="eastAsia" w:ascii="宋体" w:hAnsi="宋体" w:eastAsia="宋体" w:cs="宋体"/>
                <w:color w:val="auto"/>
                <w:szCs w:val="21"/>
                <w:highlight w:val="none"/>
              </w:rPr>
            </w:pPr>
          </w:p>
        </w:tc>
        <w:tc>
          <w:tcPr>
            <w:tcW w:w="992" w:type="dxa"/>
            <w:vAlign w:val="center"/>
          </w:tcPr>
          <w:p>
            <w:pPr>
              <w:jc w:val="center"/>
              <w:rPr>
                <w:rFonts w:hint="eastAsia" w:ascii="宋体" w:hAnsi="宋体" w:eastAsia="宋体" w:cs="宋体"/>
                <w:color w:val="auto"/>
                <w:szCs w:val="21"/>
                <w:highlight w:val="none"/>
              </w:rPr>
            </w:pPr>
          </w:p>
        </w:tc>
        <w:tc>
          <w:tcPr>
            <w:tcW w:w="1134" w:type="dxa"/>
            <w:vAlign w:val="center"/>
          </w:tcPr>
          <w:p>
            <w:pPr>
              <w:jc w:val="center"/>
              <w:rPr>
                <w:rFonts w:hint="eastAsia" w:ascii="宋体" w:hAnsi="宋体" w:eastAsia="宋体" w:cs="宋体"/>
                <w:color w:val="auto"/>
                <w:szCs w:val="21"/>
                <w:highlight w:val="none"/>
              </w:rPr>
            </w:pPr>
          </w:p>
        </w:tc>
        <w:tc>
          <w:tcPr>
            <w:tcW w:w="992" w:type="dxa"/>
            <w:vAlign w:val="center"/>
          </w:tcPr>
          <w:p>
            <w:pPr>
              <w:jc w:val="center"/>
              <w:rPr>
                <w:rFonts w:hint="eastAsia" w:ascii="宋体" w:hAnsi="宋体" w:eastAsia="宋体" w:cs="宋体"/>
                <w:color w:val="auto"/>
                <w:szCs w:val="21"/>
                <w:highlight w:val="none"/>
              </w:rPr>
            </w:pPr>
          </w:p>
        </w:tc>
      </w:tr>
    </w:tbl>
    <w:p>
      <w:pPr>
        <w:rPr>
          <w:rFonts w:hint="eastAsia" w:ascii="宋体" w:hAnsi="宋体" w:eastAsia="宋体" w:cs="宋体"/>
          <w:color w:val="auto"/>
          <w:highlight w:val="none"/>
        </w:rPr>
      </w:pPr>
    </w:p>
    <w:p>
      <w:pPr>
        <w:spacing w:line="48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附表二：拟配备本工程的试验和检测仪器设备表</w:t>
      </w:r>
    </w:p>
    <w:tbl>
      <w:tblPr>
        <w:tblStyle w:val="41"/>
        <w:tblW w:w="90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709"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992"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仪器设备名称</w:t>
            </w:r>
          </w:p>
        </w:tc>
        <w:tc>
          <w:tcPr>
            <w:tcW w:w="851"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型号</w:t>
            </w:r>
          </w:p>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规格</w:t>
            </w:r>
          </w:p>
        </w:tc>
        <w:tc>
          <w:tcPr>
            <w:tcW w:w="708"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数量</w:t>
            </w:r>
          </w:p>
        </w:tc>
        <w:tc>
          <w:tcPr>
            <w:tcW w:w="709"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国别</w:t>
            </w:r>
          </w:p>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产地</w:t>
            </w:r>
          </w:p>
        </w:tc>
        <w:tc>
          <w:tcPr>
            <w:tcW w:w="1134"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制造年份</w:t>
            </w:r>
          </w:p>
        </w:tc>
        <w:tc>
          <w:tcPr>
            <w:tcW w:w="1276"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已使用</w:t>
            </w:r>
          </w:p>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台时数</w:t>
            </w:r>
          </w:p>
        </w:tc>
        <w:tc>
          <w:tcPr>
            <w:tcW w:w="1134"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用途</w:t>
            </w:r>
          </w:p>
        </w:tc>
        <w:tc>
          <w:tcPr>
            <w:tcW w:w="1559"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jc w:val="center"/>
              <w:rPr>
                <w:rFonts w:hint="eastAsia" w:ascii="宋体" w:hAnsi="宋体" w:eastAsia="宋体" w:cs="宋体"/>
                <w:color w:val="auto"/>
                <w:szCs w:val="21"/>
                <w:highlight w:val="none"/>
              </w:rPr>
            </w:pPr>
          </w:p>
        </w:tc>
        <w:tc>
          <w:tcPr>
            <w:tcW w:w="992" w:type="dxa"/>
            <w:vAlign w:val="center"/>
          </w:tcPr>
          <w:p>
            <w:pPr>
              <w:jc w:val="center"/>
              <w:rPr>
                <w:rFonts w:hint="eastAsia" w:ascii="宋体" w:hAnsi="宋体" w:eastAsia="宋体" w:cs="宋体"/>
                <w:color w:val="auto"/>
                <w:szCs w:val="21"/>
                <w:highlight w:val="none"/>
              </w:rPr>
            </w:pPr>
          </w:p>
        </w:tc>
        <w:tc>
          <w:tcPr>
            <w:tcW w:w="851" w:type="dxa"/>
            <w:vAlign w:val="center"/>
          </w:tcPr>
          <w:p>
            <w:pPr>
              <w:jc w:val="center"/>
              <w:rPr>
                <w:rFonts w:hint="eastAsia" w:ascii="宋体" w:hAnsi="宋体" w:eastAsia="宋体" w:cs="宋体"/>
                <w:color w:val="auto"/>
                <w:szCs w:val="21"/>
                <w:highlight w:val="none"/>
              </w:rPr>
            </w:pPr>
          </w:p>
        </w:tc>
        <w:tc>
          <w:tcPr>
            <w:tcW w:w="708" w:type="dxa"/>
            <w:vAlign w:val="center"/>
          </w:tcPr>
          <w:p>
            <w:pPr>
              <w:jc w:val="center"/>
              <w:rPr>
                <w:rFonts w:hint="eastAsia" w:ascii="宋体" w:hAnsi="宋体" w:eastAsia="宋体" w:cs="宋体"/>
                <w:color w:val="auto"/>
                <w:szCs w:val="21"/>
                <w:highlight w:val="none"/>
              </w:rPr>
            </w:pPr>
          </w:p>
        </w:tc>
        <w:tc>
          <w:tcPr>
            <w:tcW w:w="709" w:type="dxa"/>
            <w:vAlign w:val="center"/>
          </w:tcPr>
          <w:p>
            <w:pPr>
              <w:jc w:val="center"/>
              <w:rPr>
                <w:rFonts w:hint="eastAsia" w:ascii="宋体" w:hAnsi="宋体" w:eastAsia="宋体" w:cs="宋体"/>
                <w:color w:val="auto"/>
                <w:szCs w:val="21"/>
                <w:highlight w:val="none"/>
              </w:rPr>
            </w:pPr>
          </w:p>
        </w:tc>
        <w:tc>
          <w:tcPr>
            <w:tcW w:w="1134" w:type="dxa"/>
            <w:vAlign w:val="center"/>
          </w:tcPr>
          <w:p>
            <w:pPr>
              <w:jc w:val="center"/>
              <w:rPr>
                <w:rFonts w:hint="eastAsia" w:ascii="宋体" w:hAnsi="宋体" w:eastAsia="宋体" w:cs="宋体"/>
                <w:color w:val="auto"/>
                <w:szCs w:val="21"/>
                <w:highlight w:val="none"/>
              </w:rPr>
            </w:pPr>
          </w:p>
        </w:tc>
        <w:tc>
          <w:tcPr>
            <w:tcW w:w="1276" w:type="dxa"/>
            <w:vAlign w:val="center"/>
          </w:tcPr>
          <w:p>
            <w:pPr>
              <w:jc w:val="center"/>
              <w:rPr>
                <w:rFonts w:hint="eastAsia" w:ascii="宋体" w:hAnsi="宋体" w:eastAsia="宋体" w:cs="宋体"/>
                <w:color w:val="auto"/>
                <w:szCs w:val="21"/>
                <w:highlight w:val="none"/>
              </w:rPr>
            </w:pPr>
          </w:p>
        </w:tc>
        <w:tc>
          <w:tcPr>
            <w:tcW w:w="1134" w:type="dxa"/>
            <w:vAlign w:val="center"/>
          </w:tcPr>
          <w:p>
            <w:pPr>
              <w:jc w:val="center"/>
              <w:rPr>
                <w:rFonts w:hint="eastAsia" w:ascii="宋体" w:hAnsi="宋体" w:eastAsia="宋体" w:cs="宋体"/>
                <w:color w:val="auto"/>
                <w:szCs w:val="21"/>
                <w:highlight w:val="none"/>
              </w:rPr>
            </w:pPr>
          </w:p>
        </w:tc>
        <w:tc>
          <w:tcPr>
            <w:tcW w:w="1559"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jc w:val="center"/>
              <w:rPr>
                <w:rFonts w:hint="eastAsia" w:ascii="宋体" w:hAnsi="宋体" w:eastAsia="宋体" w:cs="宋体"/>
                <w:color w:val="auto"/>
                <w:szCs w:val="21"/>
                <w:highlight w:val="none"/>
              </w:rPr>
            </w:pPr>
          </w:p>
        </w:tc>
        <w:tc>
          <w:tcPr>
            <w:tcW w:w="992" w:type="dxa"/>
            <w:vAlign w:val="center"/>
          </w:tcPr>
          <w:p>
            <w:pPr>
              <w:jc w:val="center"/>
              <w:rPr>
                <w:rFonts w:hint="eastAsia" w:ascii="宋体" w:hAnsi="宋体" w:eastAsia="宋体" w:cs="宋体"/>
                <w:color w:val="auto"/>
                <w:szCs w:val="21"/>
                <w:highlight w:val="none"/>
              </w:rPr>
            </w:pPr>
          </w:p>
        </w:tc>
        <w:tc>
          <w:tcPr>
            <w:tcW w:w="851" w:type="dxa"/>
            <w:vAlign w:val="center"/>
          </w:tcPr>
          <w:p>
            <w:pPr>
              <w:jc w:val="center"/>
              <w:rPr>
                <w:rFonts w:hint="eastAsia" w:ascii="宋体" w:hAnsi="宋体" w:eastAsia="宋体" w:cs="宋体"/>
                <w:color w:val="auto"/>
                <w:szCs w:val="21"/>
                <w:highlight w:val="none"/>
              </w:rPr>
            </w:pPr>
          </w:p>
        </w:tc>
        <w:tc>
          <w:tcPr>
            <w:tcW w:w="708" w:type="dxa"/>
            <w:vAlign w:val="center"/>
          </w:tcPr>
          <w:p>
            <w:pPr>
              <w:jc w:val="center"/>
              <w:rPr>
                <w:rFonts w:hint="eastAsia" w:ascii="宋体" w:hAnsi="宋体" w:eastAsia="宋体" w:cs="宋体"/>
                <w:color w:val="auto"/>
                <w:szCs w:val="21"/>
                <w:highlight w:val="none"/>
              </w:rPr>
            </w:pPr>
          </w:p>
        </w:tc>
        <w:tc>
          <w:tcPr>
            <w:tcW w:w="709" w:type="dxa"/>
            <w:vAlign w:val="center"/>
          </w:tcPr>
          <w:p>
            <w:pPr>
              <w:jc w:val="center"/>
              <w:rPr>
                <w:rFonts w:hint="eastAsia" w:ascii="宋体" w:hAnsi="宋体" w:eastAsia="宋体" w:cs="宋体"/>
                <w:color w:val="auto"/>
                <w:szCs w:val="21"/>
                <w:highlight w:val="none"/>
              </w:rPr>
            </w:pPr>
          </w:p>
        </w:tc>
        <w:tc>
          <w:tcPr>
            <w:tcW w:w="1134" w:type="dxa"/>
            <w:vAlign w:val="center"/>
          </w:tcPr>
          <w:p>
            <w:pPr>
              <w:jc w:val="center"/>
              <w:rPr>
                <w:rFonts w:hint="eastAsia" w:ascii="宋体" w:hAnsi="宋体" w:eastAsia="宋体" w:cs="宋体"/>
                <w:color w:val="auto"/>
                <w:szCs w:val="21"/>
                <w:highlight w:val="none"/>
              </w:rPr>
            </w:pPr>
          </w:p>
        </w:tc>
        <w:tc>
          <w:tcPr>
            <w:tcW w:w="1276" w:type="dxa"/>
            <w:vAlign w:val="center"/>
          </w:tcPr>
          <w:p>
            <w:pPr>
              <w:jc w:val="center"/>
              <w:rPr>
                <w:rFonts w:hint="eastAsia" w:ascii="宋体" w:hAnsi="宋体" w:eastAsia="宋体" w:cs="宋体"/>
                <w:color w:val="auto"/>
                <w:szCs w:val="21"/>
                <w:highlight w:val="none"/>
              </w:rPr>
            </w:pPr>
          </w:p>
        </w:tc>
        <w:tc>
          <w:tcPr>
            <w:tcW w:w="1134" w:type="dxa"/>
            <w:vAlign w:val="center"/>
          </w:tcPr>
          <w:p>
            <w:pPr>
              <w:jc w:val="center"/>
              <w:rPr>
                <w:rFonts w:hint="eastAsia" w:ascii="宋体" w:hAnsi="宋体" w:eastAsia="宋体" w:cs="宋体"/>
                <w:color w:val="auto"/>
                <w:szCs w:val="21"/>
                <w:highlight w:val="none"/>
              </w:rPr>
            </w:pPr>
          </w:p>
        </w:tc>
        <w:tc>
          <w:tcPr>
            <w:tcW w:w="1559"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jc w:val="center"/>
              <w:rPr>
                <w:rFonts w:hint="eastAsia" w:ascii="宋体" w:hAnsi="宋体" w:eastAsia="宋体" w:cs="宋体"/>
                <w:color w:val="auto"/>
                <w:szCs w:val="21"/>
                <w:highlight w:val="none"/>
              </w:rPr>
            </w:pPr>
          </w:p>
        </w:tc>
        <w:tc>
          <w:tcPr>
            <w:tcW w:w="992" w:type="dxa"/>
            <w:vAlign w:val="center"/>
          </w:tcPr>
          <w:p>
            <w:pPr>
              <w:jc w:val="center"/>
              <w:rPr>
                <w:rFonts w:hint="eastAsia" w:ascii="宋体" w:hAnsi="宋体" w:eastAsia="宋体" w:cs="宋体"/>
                <w:color w:val="auto"/>
                <w:szCs w:val="21"/>
                <w:highlight w:val="none"/>
              </w:rPr>
            </w:pPr>
          </w:p>
        </w:tc>
        <w:tc>
          <w:tcPr>
            <w:tcW w:w="851" w:type="dxa"/>
            <w:vAlign w:val="center"/>
          </w:tcPr>
          <w:p>
            <w:pPr>
              <w:jc w:val="center"/>
              <w:rPr>
                <w:rFonts w:hint="eastAsia" w:ascii="宋体" w:hAnsi="宋体" w:eastAsia="宋体" w:cs="宋体"/>
                <w:color w:val="auto"/>
                <w:szCs w:val="21"/>
                <w:highlight w:val="none"/>
              </w:rPr>
            </w:pPr>
          </w:p>
        </w:tc>
        <w:tc>
          <w:tcPr>
            <w:tcW w:w="708" w:type="dxa"/>
            <w:vAlign w:val="center"/>
          </w:tcPr>
          <w:p>
            <w:pPr>
              <w:jc w:val="center"/>
              <w:rPr>
                <w:rFonts w:hint="eastAsia" w:ascii="宋体" w:hAnsi="宋体" w:eastAsia="宋体" w:cs="宋体"/>
                <w:color w:val="auto"/>
                <w:szCs w:val="21"/>
                <w:highlight w:val="none"/>
              </w:rPr>
            </w:pPr>
          </w:p>
        </w:tc>
        <w:tc>
          <w:tcPr>
            <w:tcW w:w="709" w:type="dxa"/>
            <w:vAlign w:val="center"/>
          </w:tcPr>
          <w:p>
            <w:pPr>
              <w:jc w:val="center"/>
              <w:rPr>
                <w:rFonts w:hint="eastAsia" w:ascii="宋体" w:hAnsi="宋体" w:eastAsia="宋体" w:cs="宋体"/>
                <w:color w:val="auto"/>
                <w:szCs w:val="21"/>
                <w:highlight w:val="none"/>
              </w:rPr>
            </w:pPr>
          </w:p>
        </w:tc>
        <w:tc>
          <w:tcPr>
            <w:tcW w:w="1134" w:type="dxa"/>
            <w:vAlign w:val="center"/>
          </w:tcPr>
          <w:p>
            <w:pPr>
              <w:jc w:val="center"/>
              <w:rPr>
                <w:rFonts w:hint="eastAsia" w:ascii="宋体" w:hAnsi="宋体" w:eastAsia="宋体" w:cs="宋体"/>
                <w:color w:val="auto"/>
                <w:szCs w:val="21"/>
                <w:highlight w:val="none"/>
              </w:rPr>
            </w:pPr>
          </w:p>
        </w:tc>
        <w:tc>
          <w:tcPr>
            <w:tcW w:w="1276" w:type="dxa"/>
            <w:vAlign w:val="center"/>
          </w:tcPr>
          <w:p>
            <w:pPr>
              <w:jc w:val="center"/>
              <w:rPr>
                <w:rFonts w:hint="eastAsia" w:ascii="宋体" w:hAnsi="宋体" w:eastAsia="宋体" w:cs="宋体"/>
                <w:color w:val="auto"/>
                <w:szCs w:val="21"/>
                <w:highlight w:val="none"/>
              </w:rPr>
            </w:pPr>
          </w:p>
        </w:tc>
        <w:tc>
          <w:tcPr>
            <w:tcW w:w="1134" w:type="dxa"/>
            <w:vAlign w:val="center"/>
          </w:tcPr>
          <w:p>
            <w:pPr>
              <w:jc w:val="center"/>
              <w:rPr>
                <w:rFonts w:hint="eastAsia" w:ascii="宋体" w:hAnsi="宋体" w:eastAsia="宋体" w:cs="宋体"/>
                <w:color w:val="auto"/>
                <w:szCs w:val="21"/>
                <w:highlight w:val="none"/>
              </w:rPr>
            </w:pPr>
          </w:p>
        </w:tc>
        <w:tc>
          <w:tcPr>
            <w:tcW w:w="1559"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09" w:type="dxa"/>
            <w:vAlign w:val="center"/>
          </w:tcPr>
          <w:p>
            <w:pPr>
              <w:jc w:val="center"/>
              <w:rPr>
                <w:rFonts w:hint="eastAsia" w:ascii="宋体" w:hAnsi="宋体" w:eastAsia="宋体" w:cs="宋体"/>
                <w:color w:val="auto"/>
                <w:szCs w:val="21"/>
                <w:highlight w:val="none"/>
              </w:rPr>
            </w:pPr>
          </w:p>
        </w:tc>
        <w:tc>
          <w:tcPr>
            <w:tcW w:w="992" w:type="dxa"/>
            <w:vAlign w:val="center"/>
          </w:tcPr>
          <w:p>
            <w:pPr>
              <w:jc w:val="center"/>
              <w:rPr>
                <w:rFonts w:hint="eastAsia" w:ascii="宋体" w:hAnsi="宋体" w:eastAsia="宋体" w:cs="宋体"/>
                <w:color w:val="auto"/>
                <w:szCs w:val="21"/>
                <w:highlight w:val="none"/>
              </w:rPr>
            </w:pPr>
          </w:p>
        </w:tc>
        <w:tc>
          <w:tcPr>
            <w:tcW w:w="851" w:type="dxa"/>
            <w:vAlign w:val="center"/>
          </w:tcPr>
          <w:p>
            <w:pPr>
              <w:jc w:val="center"/>
              <w:rPr>
                <w:rFonts w:hint="eastAsia" w:ascii="宋体" w:hAnsi="宋体" w:eastAsia="宋体" w:cs="宋体"/>
                <w:color w:val="auto"/>
                <w:szCs w:val="21"/>
                <w:highlight w:val="none"/>
              </w:rPr>
            </w:pPr>
          </w:p>
        </w:tc>
        <w:tc>
          <w:tcPr>
            <w:tcW w:w="708" w:type="dxa"/>
            <w:vAlign w:val="center"/>
          </w:tcPr>
          <w:p>
            <w:pPr>
              <w:jc w:val="center"/>
              <w:rPr>
                <w:rFonts w:hint="eastAsia" w:ascii="宋体" w:hAnsi="宋体" w:eastAsia="宋体" w:cs="宋体"/>
                <w:color w:val="auto"/>
                <w:szCs w:val="21"/>
                <w:highlight w:val="none"/>
              </w:rPr>
            </w:pPr>
          </w:p>
        </w:tc>
        <w:tc>
          <w:tcPr>
            <w:tcW w:w="709" w:type="dxa"/>
            <w:vAlign w:val="center"/>
          </w:tcPr>
          <w:p>
            <w:pPr>
              <w:jc w:val="center"/>
              <w:rPr>
                <w:rFonts w:hint="eastAsia" w:ascii="宋体" w:hAnsi="宋体" w:eastAsia="宋体" w:cs="宋体"/>
                <w:color w:val="auto"/>
                <w:szCs w:val="21"/>
                <w:highlight w:val="none"/>
              </w:rPr>
            </w:pPr>
          </w:p>
        </w:tc>
        <w:tc>
          <w:tcPr>
            <w:tcW w:w="1134" w:type="dxa"/>
            <w:vAlign w:val="center"/>
          </w:tcPr>
          <w:p>
            <w:pPr>
              <w:jc w:val="center"/>
              <w:rPr>
                <w:rFonts w:hint="eastAsia" w:ascii="宋体" w:hAnsi="宋体" w:eastAsia="宋体" w:cs="宋体"/>
                <w:color w:val="auto"/>
                <w:szCs w:val="21"/>
                <w:highlight w:val="none"/>
              </w:rPr>
            </w:pPr>
          </w:p>
        </w:tc>
        <w:tc>
          <w:tcPr>
            <w:tcW w:w="1276" w:type="dxa"/>
            <w:vAlign w:val="center"/>
          </w:tcPr>
          <w:p>
            <w:pPr>
              <w:jc w:val="center"/>
              <w:rPr>
                <w:rFonts w:hint="eastAsia" w:ascii="宋体" w:hAnsi="宋体" w:eastAsia="宋体" w:cs="宋体"/>
                <w:color w:val="auto"/>
                <w:szCs w:val="21"/>
                <w:highlight w:val="none"/>
              </w:rPr>
            </w:pPr>
          </w:p>
        </w:tc>
        <w:tc>
          <w:tcPr>
            <w:tcW w:w="1134" w:type="dxa"/>
            <w:vAlign w:val="center"/>
          </w:tcPr>
          <w:p>
            <w:pPr>
              <w:jc w:val="center"/>
              <w:rPr>
                <w:rFonts w:hint="eastAsia" w:ascii="宋体" w:hAnsi="宋体" w:eastAsia="宋体" w:cs="宋体"/>
                <w:color w:val="auto"/>
                <w:szCs w:val="21"/>
                <w:highlight w:val="none"/>
              </w:rPr>
            </w:pPr>
          </w:p>
        </w:tc>
        <w:tc>
          <w:tcPr>
            <w:tcW w:w="1559"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09" w:type="dxa"/>
            <w:vAlign w:val="center"/>
          </w:tcPr>
          <w:p>
            <w:pPr>
              <w:jc w:val="center"/>
              <w:rPr>
                <w:rFonts w:hint="eastAsia" w:ascii="宋体" w:hAnsi="宋体" w:eastAsia="宋体" w:cs="宋体"/>
                <w:color w:val="auto"/>
                <w:szCs w:val="21"/>
                <w:highlight w:val="none"/>
              </w:rPr>
            </w:pPr>
          </w:p>
        </w:tc>
        <w:tc>
          <w:tcPr>
            <w:tcW w:w="992" w:type="dxa"/>
            <w:vAlign w:val="center"/>
          </w:tcPr>
          <w:p>
            <w:pPr>
              <w:jc w:val="center"/>
              <w:rPr>
                <w:rFonts w:hint="eastAsia" w:ascii="宋体" w:hAnsi="宋体" w:eastAsia="宋体" w:cs="宋体"/>
                <w:color w:val="auto"/>
                <w:szCs w:val="21"/>
                <w:highlight w:val="none"/>
              </w:rPr>
            </w:pPr>
          </w:p>
        </w:tc>
        <w:tc>
          <w:tcPr>
            <w:tcW w:w="851" w:type="dxa"/>
            <w:vAlign w:val="center"/>
          </w:tcPr>
          <w:p>
            <w:pPr>
              <w:jc w:val="center"/>
              <w:rPr>
                <w:rFonts w:hint="eastAsia" w:ascii="宋体" w:hAnsi="宋体" w:eastAsia="宋体" w:cs="宋体"/>
                <w:color w:val="auto"/>
                <w:szCs w:val="21"/>
                <w:highlight w:val="none"/>
              </w:rPr>
            </w:pPr>
          </w:p>
        </w:tc>
        <w:tc>
          <w:tcPr>
            <w:tcW w:w="708" w:type="dxa"/>
            <w:vAlign w:val="center"/>
          </w:tcPr>
          <w:p>
            <w:pPr>
              <w:jc w:val="center"/>
              <w:rPr>
                <w:rFonts w:hint="eastAsia" w:ascii="宋体" w:hAnsi="宋体" w:eastAsia="宋体" w:cs="宋体"/>
                <w:color w:val="auto"/>
                <w:szCs w:val="21"/>
                <w:highlight w:val="none"/>
              </w:rPr>
            </w:pPr>
          </w:p>
        </w:tc>
        <w:tc>
          <w:tcPr>
            <w:tcW w:w="709" w:type="dxa"/>
            <w:vAlign w:val="center"/>
          </w:tcPr>
          <w:p>
            <w:pPr>
              <w:jc w:val="center"/>
              <w:rPr>
                <w:rFonts w:hint="eastAsia" w:ascii="宋体" w:hAnsi="宋体" w:eastAsia="宋体" w:cs="宋体"/>
                <w:color w:val="auto"/>
                <w:szCs w:val="21"/>
                <w:highlight w:val="none"/>
              </w:rPr>
            </w:pPr>
          </w:p>
        </w:tc>
        <w:tc>
          <w:tcPr>
            <w:tcW w:w="1134" w:type="dxa"/>
            <w:vAlign w:val="center"/>
          </w:tcPr>
          <w:p>
            <w:pPr>
              <w:jc w:val="center"/>
              <w:rPr>
                <w:rFonts w:hint="eastAsia" w:ascii="宋体" w:hAnsi="宋体" w:eastAsia="宋体" w:cs="宋体"/>
                <w:color w:val="auto"/>
                <w:szCs w:val="21"/>
                <w:highlight w:val="none"/>
              </w:rPr>
            </w:pPr>
          </w:p>
        </w:tc>
        <w:tc>
          <w:tcPr>
            <w:tcW w:w="1276" w:type="dxa"/>
            <w:vAlign w:val="center"/>
          </w:tcPr>
          <w:p>
            <w:pPr>
              <w:jc w:val="center"/>
              <w:rPr>
                <w:rFonts w:hint="eastAsia" w:ascii="宋体" w:hAnsi="宋体" w:eastAsia="宋体" w:cs="宋体"/>
                <w:color w:val="auto"/>
                <w:szCs w:val="21"/>
                <w:highlight w:val="none"/>
              </w:rPr>
            </w:pPr>
          </w:p>
        </w:tc>
        <w:tc>
          <w:tcPr>
            <w:tcW w:w="1134" w:type="dxa"/>
            <w:vAlign w:val="center"/>
          </w:tcPr>
          <w:p>
            <w:pPr>
              <w:jc w:val="center"/>
              <w:rPr>
                <w:rFonts w:hint="eastAsia" w:ascii="宋体" w:hAnsi="宋体" w:eastAsia="宋体" w:cs="宋体"/>
                <w:color w:val="auto"/>
                <w:szCs w:val="21"/>
                <w:highlight w:val="none"/>
              </w:rPr>
            </w:pPr>
          </w:p>
        </w:tc>
        <w:tc>
          <w:tcPr>
            <w:tcW w:w="1559" w:type="dxa"/>
            <w:vAlign w:val="center"/>
          </w:tcPr>
          <w:p>
            <w:pPr>
              <w:jc w:val="center"/>
              <w:rPr>
                <w:rFonts w:hint="eastAsia" w:ascii="宋体" w:hAnsi="宋体" w:eastAsia="宋体" w:cs="宋体"/>
                <w:color w:val="auto"/>
                <w:szCs w:val="21"/>
                <w:highlight w:val="none"/>
              </w:rPr>
            </w:pPr>
          </w:p>
        </w:tc>
      </w:tr>
    </w:tbl>
    <w:p>
      <w:pPr>
        <w:rPr>
          <w:rFonts w:hint="eastAsia" w:ascii="宋体" w:hAnsi="宋体" w:eastAsia="宋体" w:cs="宋体"/>
          <w:color w:val="auto"/>
          <w:highlight w:val="none"/>
        </w:rPr>
      </w:pPr>
    </w:p>
    <w:p>
      <w:pPr>
        <w:spacing w:line="48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附表三：劳动力计划表</w:t>
      </w:r>
    </w:p>
    <w:p>
      <w:pPr>
        <w:spacing w:line="360" w:lineRule="auto"/>
        <w:ind w:firstLine="7245" w:firstLineChars="345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单位：人</w:t>
      </w:r>
    </w:p>
    <w:tbl>
      <w:tblPr>
        <w:tblStyle w:val="41"/>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3" w:type="dxa"/>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工种</w:t>
            </w:r>
          </w:p>
        </w:tc>
        <w:tc>
          <w:tcPr>
            <w:tcW w:w="8506" w:type="dxa"/>
            <w:gridSpan w:val="7"/>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3" w:type="dxa"/>
            <w:vAlign w:val="center"/>
          </w:tcPr>
          <w:p>
            <w:pPr>
              <w:spacing w:line="360" w:lineRule="auto"/>
              <w:jc w:val="center"/>
              <w:rPr>
                <w:rFonts w:hint="eastAsia" w:ascii="宋体" w:hAnsi="宋体" w:eastAsia="宋体" w:cs="宋体"/>
                <w:color w:val="auto"/>
                <w:szCs w:val="21"/>
                <w:highlight w:val="none"/>
              </w:rPr>
            </w:pPr>
          </w:p>
        </w:tc>
        <w:tc>
          <w:tcPr>
            <w:tcW w:w="961"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3" w:type="dxa"/>
            <w:vAlign w:val="center"/>
          </w:tcPr>
          <w:p>
            <w:pPr>
              <w:spacing w:line="360" w:lineRule="auto"/>
              <w:jc w:val="center"/>
              <w:rPr>
                <w:rFonts w:hint="eastAsia" w:ascii="宋体" w:hAnsi="宋体" w:eastAsia="宋体" w:cs="宋体"/>
                <w:color w:val="auto"/>
                <w:szCs w:val="21"/>
                <w:highlight w:val="none"/>
              </w:rPr>
            </w:pPr>
          </w:p>
        </w:tc>
        <w:tc>
          <w:tcPr>
            <w:tcW w:w="961"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3" w:type="dxa"/>
            <w:vAlign w:val="center"/>
          </w:tcPr>
          <w:p>
            <w:pPr>
              <w:spacing w:line="360" w:lineRule="auto"/>
              <w:jc w:val="center"/>
              <w:rPr>
                <w:rFonts w:hint="eastAsia" w:ascii="宋体" w:hAnsi="宋体" w:eastAsia="宋体" w:cs="宋体"/>
                <w:color w:val="auto"/>
                <w:szCs w:val="21"/>
                <w:highlight w:val="none"/>
              </w:rPr>
            </w:pPr>
          </w:p>
        </w:tc>
        <w:tc>
          <w:tcPr>
            <w:tcW w:w="961"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3" w:type="dxa"/>
            <w:vAlign w:val="center"/>
          </w:tcPr>
          <w:p>
            <w:pPr>
              <w:spacing w:line="360" w:lineRule="auto"/>
              <w:jc w:val="center"/>
              <w:rPr>
                <w:rFonts w:hint="eastAsia" w:ascii="宋体" w:hAnsi="宋体" w:eastAsia="宋体" w:cs="宋体"/>
                <w:color w:val="auto"/>
                <w:szCs w:val="21"/>
                <w:highlight w:val="none"/>
              </w:rPr>
            </w:pPr>
          </w:p>
        </w:tc>
        <w:tc>
          <w:tcPr>
            <w:tcW w:w="961"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3" w:type="dxa"/>
            <w:vAlign w:val="center"/>
          </w:tcPr>
          <w:p>
            <w:pPr>
              <w:spacing w:line="360" w:lineRule="auto"/>
              <w:jc w:val="center"/>
              <w:rPr>
                <w:rFonts w:hint="eastAsia" w:ascii="宋体" w:hAnsi="宋体" w:eastAsia="宋体" w:cs="宋体"/>
                <w:color w:val="auto"/>
                <w:szCs w:val="21"/>
                <w:highlight w:val="none"/>
              </w:rPr>
            </w:pPr>
          </w:p>
        </w:tc>
        <w:tc>
          <w:tcPr>
            <w:tcW w:w="961"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3" w:type="dxa"/>
            <w:vAlign w:val="center"/>
          </w:tcPr>
          <w:p>
            <w:pPr>
              <w:spacing w:line="360" w:lineRule="auto"/>
              <w:jc w:val="center"/>
              <w:rPr>
                <w:rFonts w:hint="eastAsia" w:ascii="宋体" w:hAnsi="宋体" w:eastAsia="宋体" w:cs="宋体"/>
                <w:color w:val="auto"/>
                <w:szCs w:val="21"/>
                <w:highlight w:val="none"/>
              </w:rPr>
            </w:pPr>
          </w:p>
        </w:tc>
        <w:tc>
          <w:tcPr>
            <w:tcW w:w="961"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3" w:type="dxa"/>
            <w:vAlign w:val="center"/>
          </w:tcPr>
          <w:p>
            <w:pPr>
              <w:spacing w:line="360" w:lineRule="auto"/>
              <w:jc w:val="center"/>
              <w:rPr>
                <w:rFonts w:hint="eastAsia" w:ascii="宋体" w:hAnsi="宋体" w:eastAsia="宋体" w:cs="宋体"/>
                <w:color w:val="auto"/>
                <w:szCs w:val="21"/>
                <w:highlight w:val="none"/>
              </w:rPr>
            </w:pPr>
          </w:p>
        </w:tc>
        <w:tc>
          <w:tcPr>
            <w:tcW w:w="961"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c>
          <w:tcPr>
            <w:tcW w:w="1257" w:type="dxa"/>
            <w:vAlign w:val="center"/>
          </w:tcPr>
          <w:p>
            <w:pPr>
              <w:spacing w:line="360" w:lineRule="auto"/>
              <w:jc w:val="center"/>
              <w:rPr>
                <w:rFonts w:hint="eastAsia" w:ascii="宋体" w:hAnsi="宋体" w:eastAsia="宋体" w:cs="宋体"/>
                <w:color w:val="auto"/>
                <w:szCs w:val="21"/>
                <w:highlight w:val="none"/>
              </w:rPr>
            </w:pPr>
          </w:p>
        </w:tc>
        <w:tc>
          <w:tcPr>
            <w:tcW w:w="1258" w:type="dxa"/>
            <w:vAlign w:val="center"/>
          </w:tcPr>
          <w:p>
            <w:pPr>
              <w:spacing w:line="360" w:lineRule="auto"/>
              <w:jc w:val="center"/>
              <w:rPr>
                <w:rFonts w:hint="eastAsia" w:ascii="宋体" w:hAnsi="宋体" w:eastAsia="宋体" w:cs="宋体"/>
                <w:color w:val="auto"/>
                <w:szCs w:val="21"/>
                <w:highlight w:val="none"/>
              </w:rPr>
            </w:pPr>
          </w:p>
        </w:tc>
      </w:tr>
    </w:tbl>
    <w:p>
      <w:pPr>
        <w:spacing w:line="480" w:lineRule="auto"/>
        <w:rPr>
          <w:rFonts w:hint="eastAsia" w:ascii="宋体" w:hAnsi="宋体" w:eastAsia="宋体" w:cs="宋体"/>
          <w:b/>
          <w:color w:val="auto"/>
          <w:sz w:val="24"/>
          <w:highlight w:val="none"/>
        </w:rPr>
      </w:pPr>
    </w:p>
    <w:p>
      <w:pPr>
        <w:spacing w:line="48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附表四：计划开、竣工日期和施工进度网络图</w:t>
      </w:r>
    </w:p>
    <w:p>
      <w:pPr>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 投标人应提交的施工进度网络图或施工进度表，说明按招标文件要求的工期进行施工的各个关键日期。中标的投标人还应按合同条件有关条款的要求提交详细的施工进度计划。</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 施工进度表可采用网络图（或横道图）表示，说明计划开工日期和各分项工程各阶段的完工日期和分包合同签订的日期。</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 施工进度计划应与施工组织设计相适应。</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48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附表五：施工总平面图</w:t>
      </w:r>
    </w:p>
    <w:p>
      <w:pPr>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投标人应递交一份施工总平面图，绘出现场临时设施布置图表并附文字说明，说明临时设施、加工车间、现场办公、设备及仓储、供电、供水、卫生、生活、道路、消防等设施的情况和布置。</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48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附表六：临时用地表</w:t>
      </w:r>
    </w:p>
    <w:p>
      <w:pPr>
        <w:rPr>
          <w:rFonts w:hint="eastAsia" w:ascii="宋体" w:hAnsi="宋体" w:eastAsia="宋体" w:cs="宋体"/>
          <w:color w:val="auto"/>
          <w:highlight w:val="none"/>
        </w:rPr>
      </w:pPr>
    </w:p>
    <w:tbl>
      <w:tblPr>
        <w:tblStyle w:val="4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2341"/>
        <w:gridCol w:w="216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15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szCs w:val="21"/>
                <w:highlight w:val="none"/>
              </w:rPr>
              <w:t>用途</w:t>
            </w:r>
          </w:p>
        </w:tc>
        <w:tc>
          <w:tcPr>
            <w:tcW w:w="2341"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szCs w:val="21"/>
                <w:highlight w:val="none"/>
              </w:rPr>
              <w:t>面积（平方米）</w:t>
            </w:r>
          </w:p>
        </w:tc>
        <w:tc>
          <w:tcPr>
            <w:tcW w:w="2168"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szCs w:val="21"/>
                <w:highlight w:val="none"/>
              </w:rPr>
              <w:t>位置</w:t>
            </w:r>
          </w:p>
        </w:tc>
        <w:tc>
          <w:tcPr>
            <w:tcW w:w="2126"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szCs w:val="21"/>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154" w:type="dxa"/>
            <w:vAlign w:val="center"/>
          </w:tcPr>
          <w:p>
            <w:pPr>
              <w:jc w:val="center"/>
              <w:rPr>
                <w:rFonts w:hint="eastAsia" w:ascii="宋体" w:hAnsi="宋体" w:eastAsia="宋体" w:cs="宋体"/>
                <w:color w:val="auto"/>
                <w:highlight w:val="none"/>
              </w:rPr>
            </w:pPr>
          </w:p>
        </w:tc>
        <w:tc>
          <w:tcPr>
            <w:tcW w:w="2341" w:type="dxa"/>
            <w:vAlign w:val="center"/>
          </w:tcPr>
          <w:p>
            <w:pPr>
              <w:jc w:val="center"/>
              <w:rPr>
                <w:rFonts w:hint="eastAsia" w:ascii="宋体" w:hAnsi="宋体" w:eastAsia="宋体" w:cs="宋体"/>
                <w:color w:val="auto"/>
                <w:highlight w:val="none"/>
              </w:rPr>
            </w:pPr>
          </w:p>
        </w:tc>
        <w:tc>
          <w:tcPr>
            <w:tcW w:w="2168" w:type="dxa"/>
            <w:vAlign w:val="center"/>
          </w:tcPr>
          <w:p>
            <w:pPr>
              <w:jc w:val="center"/>
              <w:rPr>
                <w:rFonts w:hint="eastAsia" w:ascii="宋体" w:hAnsi="宋体" w:eastAsia="宋体" w:cs="宋体"/>
                <w:color w:val="auto"/>
                <w:highlight w:val="none"/>
              </w:rPr>
            </w:pPr>
          </w:p>
        </w:tc>
        <w:tc>
          <w:tcPr>
            <w:tcW w:w="2126"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154" w:type="dxa"/>
            <w:vAlign w:val="center"/>
          </w:tcPr>
          <w:p>
            <w:pPr>
              <w:jc w:val="center"/>
              <w:rPr>
                <w:rFonts w:hint="eastAsia" w:ascii="宋体" w:hAnsi="宋体" w:eastAsia="宋体" w:cs="宋体"/>
                <w:color w:val="auto"/>
                <w:highlight w:val="none"/>
              </w:rPr>
            </w:pPr>
          </w:p>
        </w:tc>
        <w:tc>
          <w:tcPr>
            <w:tcW w:w="2341" w:type="dxa"/>
            <w:vAlign w:val="center"/>
          </w:tcPr>
          <w:p>
            <w:pPr>
              <w:jc w:val="center"/>
              <w:rPr>
                <w:rFonts w:hint="eastAsia" w:ascii="宋体" w:hAnsi="宋体" w:eastAsia="宋体" w:cs="宋体"/>
                <w:color w:val="auto"/>
                <w:highlight w:val="none"/>
              </w:rPr>
            </w:pPr>
          </w:p>
        </w:tc>
        <w:tc>
          <w:tcPr>
            <w:tcW w:w="2168" w:type="dxa"/>
            <w:vAlign w:val="center"/>
          </w:tcPr>
          <w:p>
            <w:pPr>
              <w:jc w:val="center"/>
              <w:rPr>
                <w:rFonts w:hint="eastAsia" w:ascii="宋体" w:hAnsi="宋体" w:eastAsia="宋体" w:cs="宋体"/>
                <w:color w:val="auto"/>
                <w:highlight w:val="none"/>
              </w:rPr>
            </w:pPr>
          </w:p>
        </w:tc>
        <w:tc>
          <w:tcPr>
            <w:tcW w:w="2126"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54" w:type="dxa"/>
            <w:vAlign w:val="center"/>
          </w:tcPr>
          <w:p>
            <w:pPr>
              <w:jc w:val="center"/>
              <w:rPr>
                <w:rFonts w:hint="eastAsia" w:ascii="宋体" w:hAnsi="宋体" w:eastAsia="宋体" w:cs="宋体"/>
                <w:color w:val="auto"/>
                <w:highlight w:val="none"/>
              </w:rPr>
            </w:pPr>
          </w:p>
        </w:tc>
        <w:tc>
          <w:tcPr>
            <w:tcW w:w="2341" w:type="dxa"/>
            <w:vAlign w:val="center"/>
          </w:tcPr>
          <w:p>
            <w:pPr>
              <w:jc w:val="center"/>
              <w:rPr>
                <w:rFonts w:hint="eastAsia" w:ascii="宋体" w:hAnsi="宋体" w:eastAsia="宋体" w:cs="宋体"/>
                <w:color w:val="auto"/>
                <w:highlight w:val="none"/>
              </w:rPr>
            </w:pPr>
          </w:p>
        </w:tc>
        <w:tc>
          <w:tcPr>
            <w:tcW w:w="2168" w:type="dxa"/>
            <w:vAlign w:val="center"/>
          </w:tcPr>
          <w:p>
            <w:pPr>
              <w:jc w:val="center"/>
              <w:rPr>
                <w:rFonts w:hint="eastAsia" w:ascii="宋体" w:hAnsi="宋体" w:eastAsia="宋体" w:cs="宋体"/>
                <w:color w:val="auto"/>
                <w:highlight w:val="none"/>
              </w:rPr>
            </w:pPr>
          </w:p>
        </w:tc>
        <w:tc>
          <w:tcPr>
            <w:tcW w:w="2126"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154" w:type="dxa"/>
            <w:vAlign w:val="center"/>
          </w:tcPr>
          <w:p>
            <w:pPr>
              <w:jc w:val="center"/>
              <w:rPr>
                <w:rFonts w:hint="eastAsia" w:ascii="宋体" w:hAnsi="宋体" w:eastAsia="宋体" w:cs="宋体"/>
                <w:color w:val="auto"/>
                <w:highlight w:val="none"/>
              </w:rPr>
            </w:pPr>
          </w:p>
        </w:tc>
        <w:tc>
          <w:tcPr>
            <w:tcW w:w="2341" w:type="dxa"/>
            <w:vAlign w:val="center"/>
          </w:tcPr>
          <w:p>
            <w:pPr>
              <w:jc w:val="center"/>
              <w:rPr>
                <w:rFonts w:hint="eastAsia" w:ascii="宋体" w:hAnsi="宋体" w:eastAsia="宋体" w:cs="宋体"/>
                <w:color w:val="auto"/>
                <w:highlight w:val="none"/>
              </w:rPr>
            </w:pPr>
          </w:p>
        </w:tc>
        <w:tc>
          <w:tcPr>
            <w:tcW w:w="2168" w:type="dxa"/>
            <w:vAlign w:val="center"/>
          </w:tcPr>
          <w:p>
            <w:pPr>
              <w:jc w:val="center"/>
              <w:rPr>
                <w:rFonts w:hint="eastAsia" w:ascii="宋体" w:hAnsi="宋体" w:eastAsia="宋体" w:cs="宋体"/>
                <w:color w:val="auto"/>
                <w:highlight w:val="none"/>
              </w:rPr>
            </w:pPr>
          </w:p>
        </w:tc>
        <w:tc>
          <w:tcPr>
            <w:tcW w:w="2126" w:type="dxa"/>
            <w:vAlign w:val="center"/>
          </w:tcPr>
          <w:p>
            <w:pPr>
              <w:jc w:val="center"/>
              <w:rPr>
                <w:rFonts w:hint="eastAsia" w:ascii="宋体" w:hAnsi="宋体" w:eastAsia="宋体" w:cs="宋体"/>
                <w:color w:val="auto"/>
                <w:highlight w:val="none"/>
              </w:rPr>
            </w:pPr>
          </w:p>
        </w:tc>
      </w:tr>
    </w:tbl>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720" w:lineRule="auto"/>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二、项目管理机构配备情况</w:t>
      </w:r>
    </w:p>
    <w:p>
      <w:pPr>
        <w:jc w:val="center"/>
        <w:rPr>
          <w:rFonts w:hint="eastAsia" w:ascii="宋体" w:hAnsi="宋体" w:eastAsia="宋体" w:cs="宋体"/>
          <w:b/>
          <w:color w:val="auto"/>
          <w:sz w:val="18"/>
          <w:szCs w:val="18"/>
          <w:highlight w:val="none"/>
        </w:rPr>
      </w:pP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（一）项目管理机构配备情况表（附各岗位人员资格证件复印件及投标截止之日前半年内任意一个月在本单位依法缴纳社保证明材料复印件，以上复印件均须加盖投标人单位公章）</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（二）项目经理简历表</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（三）技术负责人简历表</w:t>
      </w:r>
    </w:p>
    <w:p>
      <w:pPr>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（四）项目管理机构配备辅助说明资料</w:t>
      </w:r>
    </w:p>
    <w:p>
      <w:pPr>
        <w:spacing w:line="500" w:lineRule="exact"/>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720" w:lineRule="auto"/>
        <w:rPr>
          <w:rFonts w:hint="eastAsia" w:ascii="宋体" w:hAnsi="宋体" w:eastAsia="宋体" w:cs="宋体"/>
          <w:b/>
          <w:color w:val="auto"/>
          <w:sz w:val="28"/>
          <w:szCs w:val="28"/>
          <w:highlight w:val="none"/>
        </w:rPr>
      </w:pPr>
    </w:p>
    <w:p>
      <w:pPr>
        <w:spacing w:line="720" w:lineRule="auto"/>
        <w:rPr>
          <w:rFonts w:hint="eastAsia" w:ascii="宋体" w:hAnsi="宋体" w:eastAsia="宋体" w:cs="宋体"/>
          <w:b/>
          <w:color w:val="auto"/>
          <w:sz w:val="28"/>
          <w:szCs w:val="28"/>
          <w:highlight w:val="none"/>
        </w:rPr>
      </w:pPr>
    </w:p>
    <w:p>
      <w:pPr>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（一）项目管理机构配备情况表</w:t>
      </w:r>
    </w:p>
    <w:p>
      <w:pPr>
        <w:jc w:val="center"/>
        <w:rPr>
          <w:rFonts w:hint="eastAsia" w:ascii="宋体" w:hAnsi="宋体" w:eastAsia="宋体" w:cs="宋体"/>
          <w:b/>
          <w:color w:val="auto"/>
          <w:sz w:val="28"/>
          <w:szCs w:val="28"/>
          <w:highlight w:val="none"/>
        </w:rPr>
      </w:pPr>
    </w:p>
    <w:p>
      <w:pPr>
        <w:spacing w:line="480" w:lineRule="auto"/>
        <w:ind w:firstLine="420" w:firstLineChars="200"/>
        <w:rPr>
          <w:rFonts w:hint="eastAsia" w:ascii="宋体" w:hAnsi="宋体" w:eastAsia="宋体" w:cs="宋体"/>
          <w:b/>
          <w:color w:val="auto"/>
          <w:szCs w:val="21"/>
          <w:highlight w:val="none"/>
        </w:rPr>
      </w:pPr>
      <w:r>
        <w:rPr>
          <w:rFonts w:hint="eastAsia" w:ascii="宋体" w:hAnsi="宋体" w:eastAsia="宋体" w:cs="宋体"/>
          <w:bCs/>
          <w:color w:val="auto"/>
          <w:szCs w:val="21"/>
          <w:highlight w:val="none"/>
          <w:u w:val="single"/>
        </w:rPr>
        <w:t xml:space="preserve">         （项目总名称）（标段名称）           </w:t>
      </w:r>
      <w:r>
        <w:rPr>
          <w:rFonts w:hint="eastAsia" w:ascii="宋体" w:hAnsi="宋体" w:eastAsia="宋体" w:cs="宋体"/>
          <w:bCs/>
          <w:color w:val="auto"/>
          <w:szCs w:val="21"/>
          <w:highlight w:val="none"/>
        </w:rPr>
        <w:t xml:space="preserve">工程                             </w:t>
      </w:r>
    </w:p>
    <w:tbl>
      <w:tblPr>
        <w:tblStyle w:val="41"/>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928"/>
        <w:gridCol w:w="928"/>
        <w:gridCol w:w="1041"/>
        <w:gridCol w:w="1041"/>
        <w:gridCol w:w="1041"/>
        <w:gridCol w:w="1041"/>
        <w:gridCol w:w="117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28" w:type="dxa"/>
            <w:vMerge w:val="restart"/>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职务</w:t>
            </w:r>
          </w:p>
        </w:tc>
        <w:tc>
          <w:tcPr>
            <w:tcW w:w="928" w:type="dxa"/>
            <w:vMerge w:val="restart"/>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姓名</w:t>
            </w:r>
          </w:p>
        </w:tc>
        <w:tc>
          <w:tcPr>
            <w:tcW w:w="928" w:type="dxa"/>
            <w:vMerge w:val="restart"/>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职称</w:t>
            </w:r>
          </w:p>
        </w:tc>
        <w:tc>
          <w:tcPr>
            <w:tcW w:w="4164" w:type="dxa"/>
            <w:gridSpan w:val="4"/>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执业或职业资格证明</w:t>
            </w:r>
          </w:p>
        </w:tc>
        <w:tc>
          <w:tcPr>
            <w:tcW w:w="2340" w:type="dxa"/>
            <w:gridSpan w:val="2"/>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已承担在建</w:t>
            </w:r>
          </w:p>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28" w:type="dxa"/>
            <w:vMerge w:val="continue"/>
            <w:vAlign w:val="center"/>
          </w:tcPr>
          <w:p>
            <w:pPr>
              <w:jc w:val="center"/>
              <w:rPr>
                <w:rFonts w:hint="eastAsia" w:ascii="宋体" w:hAnsi="宋体" w:eastAsia="宋体" w:cs="宋体"/>
                <w:b/>
                <w:color w:val="auto"/>
                <w:szCs w:val="21"/>
                <w:highlight w:val="none"/>
              </w:rPr>
            </w:pPr>
          </w:p>
        </w:tc>
        <w:tc>
          <w:tcPr>
            <w:tcW w:w="928" w:type="dxa"/>
            <w:vMerge w:val="continue"/>
            <w:vAlign w:val="center"/>
          </w:tcPr>
          <w:p>
            <w:pPr>
              <w:jc w:val="center"/>
              <w:rPr>
                <w:rFonts w:hint="eastAsia" w:ascii="宋体" w:hAnsi="宋体" w:eastAsia="宋体" w:cs="宋体"/>
                <w:b/>
                <w:color w:val="auto"/>
                <w:szCs w:val="21"/>
                <w:highlight w:val="none"/>
              </w:rPr>
            </w:pPr>
          </w:p>
        </w:tc>
        <w:tc>
          <w:tcPr>
            <w:tcW w:w="928" w:type="dxa"/>
            <w:vMerge w:val="continue"/>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证书</w:t>
            </w:r>
          </w:p>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名称</w:t>
            </w:r>
          </w:p>
        </w:tc>
        <w:tc>
          <w:tcPr>
            <w:tcW w:w="1041"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级别</w:t>
            </w:r>
          </w:p>
        </w:tc>
        <w:tc>
          <w:tcPr>
            <w:tcW w:w="1041"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证号</w:t>
            </w:r>
          </w:p>
        </w:tc>
        <w:tc>
          <w:tcPr>
            <w:tcW w:w="1041"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专业</w:t>
            </w:r>
          </w:p>
        </w:tc>
        <w:tc>
          <w:tcPr>
            <w:tcW w:w="1170"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项目数</w:t>
            </w:r>
          </w:p>
        </w:tc>
        <w:tc>
          <w:tcPr>
            <w:tcW w:w="1170"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928"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041"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c>
          <w:tcPr>
            <w:tcW w:w="1170" w:type="dxa"/>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9288" w:type="dxa"/>
            <w:gridSpan w:val="9"/>
            <w:vAlign w:val="center"/>
          </w:tcPr>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xml:space="preserve">    一旦我方中标，将实行项目经理负责制，并配备上述项目管理机构。我方保证上述填报内容真实，若不真实，愿按有关规定接受处理。项目管理班子机构设置、职责分工等情况另附资料说明。</w:t>
            </w:r>
          </w:p>
        </w:tc>
      </w:tr>
    </w:tbl>
    <w:p>
      <w:pPr>
        <w:rPr>
          <w:rFonts w:hint="eastAsia" w:ascii="宋体" w:hAnsi="宋体" w:eastAsia="宋体" w:cs="宋体"/>
          <w:color w:val="auto"/>
          <w:highlight w:val="none"/>
        </w:rPr>
      </w:pPr>
    </w:p>
    <w:p>
      <w:pPr>
        <w:tabs>
          <w:tab w:val="left" w:pos="0"/>
        </w:tabs>
        <w:spacing w:line="360" w:lineRule="auto"/>
        <w:ind w:right="-210"/>
        <w:rPr>
          <w:rFonts w:hint="eastAsia" w:ascii="宋体" w:hAnsi="宋体" w:eastAsia="宋体" w:cs="宋体"/>
          <w:color w:val="auto"/>
          <w:highlight w:val="none"/>
        </w:rPr>
      </w:pPr>
      <w:r>
        <w:rPr>
          <w:rFonts w:hint="eastAsia" w:ascii="宋体" w:hAnsi="宋体" w:eastAsia="宋体" w:cs="宋体"/>
          <w:color w:val="auto"/>
          <w:highlight w:val="none"/>
        </w:rPr>
        <w:t>备注：附各岗位人员资格证件复印件及投标截止之日前半年内任意一个月在本单位依法缴纳社保证明材料复印件，以上复印件均须加盖投标人单位公章。</w:t>
      </w:r>
    </w:p>
    <w:p>
      <w:pPr>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（二）项目经理简历表</w:t>
      </w:r>
    </w:p>
    <w:p>
      <w:pPr>
        <w:jc w:val="center"/>
        <w:rPr>
          <w:rFonts w:hint="eastAsia" w:ascii="宋体" w:hAnsi="宋体" w:eastAsia="宋体" w:cs="宋体"/>
          <w:b/>
          <w:color w:val="auto"/>
          <w:sz w:val="28"/>
          <w:szCs w:val="28"/>
          <w:highlight w:val="none"/>
        </w:rPr>
      </w:pPr>
    </w:p>
    <w:p>
      <w:pPr>
        <w:spacing w:line="480" w:lineRule="auto"/>
        <w:ind w:firstLine="420" w:firstLineChars="200"/>
        <w:jc w:val="left"/>
        <w:rPr>
          <w:rFonts w:hint="eastAsia" w:ascii="宋体" w:hAnsi="宋体" w:eastAsia="宋体" w:cs="宋体"/>
          <w:b/>
          <w:bCs/>
          <w:color w:val="auto"/>
          <w:kern w:val="0"/>
          <w:szCs w:val="21"/>
          <w:highlight w:val="none"/>
        </w:rPr>
      </w:pPr>
      <w:r>
        <w:rPr>
          <w:rFonts w:hint="eastAsia" w:ascii="宋体" w:hAnsi="宋体" w:eastAsia="宋体" w:cs="宋体"/>
          <w:bCs/>
          <w:color w:val="auto"/>
          <w:szCs w:val="21"/>
          <w:highlight w:val="none"/>
          <w:u w:val="single"/>
        </w:rPr>
        <w:t xml:space="preserve">          （项目总名称）（标段名称）           </w:t>
      </w:r>
      <w:r>
        <w:rPr>
          <w:rFonts w:hint="eastAsia" w:ascii="宋体" w:hAnsi="宋体" w:eastAsia="宋体" w:cs="宋体"/>
          <w:bCs/>
          <w:color w:val="auto"/>
          <w:szCs w:val="21"/>
          <w:highlight w:val="none"/>
        </w:rPr>
        <w:t xml:space="preserve">工程                             </w:t>
      </w:r>
      <w:r>
        <w:rPr>
          <w:rFonts w:hint="eastAsia" w:ascii="宋体" w:hAnsi="宋体" w:eastAsia="宋体" w:cs="宋体"/>
          <w:b/>
          <w:bCs/>
          <w:color w:val="auto"/>
          <w:kern w:val="0"/>
          <w:szCs w:val="21"/>
          <w:highlight w:val="none"/>
        </w:rPr>
        <w:t xml:space="preserve">                                                                </w:t>
      </w:r>
    </w:p>
    <w:tbl>
      <w:tblPr>
        <w:tblStyle w:val="41"/>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80"/>
        <w:gridCol w:w="1620"/>
        <w:gridCol w:w="180"/>
        <w:gridCol w:w="1080"/>
        <w:gridCol w:w="900"/>
        <w:gridCol w:w="180"/>
        <w:gridCol w:w="900"/>
        <w:gridCol w:w="900"/>
        <w:gridCol w:w="180"/>
        <w:gridCol w:w="3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trPr>
        <w:tc>
          <w:tcPr>
            <w:tcW w:w="1080" w:type="dxa"/>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p>
        </w:tc>
        <w:tc>
          <w:tcPr>
            <w:tcW w:w="198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1080" w:type="dxa"/>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性别</w:t>
            </w:r>
          </w:p>
        </w:tc>
        <w:tc>
          <w:tcPr>
            <w:tcW w:w="198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1080" w:type="dxa"/>
            <w:gridSpan w:val="2"/>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年龄</w:t>
            </w:r>
          </w:p>
        </w:tc>
        <w:tc>
          <w:tcPr>
            <w:tcW w:w="1980" w:type="dxa"/>
            <w:gridSpan w:val="2"/>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80" w:type="dxa"/>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职务</w:t>
            </w:r>
          </w:p>
        </w:tc>
        <w:tc>
          <w:tcPr>
            <w:tcW w:w="198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1080" w:type="dxa"/>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职称</w:t>
            </w:r>
          </w:p>
        </w:tc>
        <w:tc>
          <w:tcPr>
            <w:tcW w:w="198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1080" w:type="dxa"/>
            <w:gridSpan w:val="2"/>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学历</w:t>
            </w:r>
          </w:p>
        </w:tc>
        <w:tc>
          <w:tcPr>
            <w:tcW w:w="1980" w:type="dxa"/>
            <w:gridSpan w:val="2"/>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880" w:type="dxa"/>
            <w:gridSpan w:val="3"/>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参加工作时间</w:t>
            </w:r>
          </w:p>
        </w:tc>
        <w:tc>
          <w:tcPr>
            <w:tcW w:w="2340" w:type="dxa"/>
            <w:gridSpan w:val="4"/>
            <w:vAlign w:val="center"/>
          </w:tcPr>
          <w:p>
            <w:pPr>
              <w:autoSpaceDE w:val="0"/>
              <w:autoSpaceDN w:val="0"/>
              <w:jc w:val="center"/>
              <w:rPr>
                <w:rFonts w:hint="eastAsia" w:ascii="宋体" w:hAnsi="宋体" w:eastAsia="宋体" w:cs="宋体"/>
                <w:color w:val="auto"/>
                <w:kern w:val="0"/>
                <w:szCs w:val="21"/>
                <w:highlight w:val="none"/>
              </w:rPr>
            </w:pPr>
          </w:p>
        </w:tc>
        <w:tc>
          <w:tcPr>
            <w:tcW w:w="2340" w:type="dxa"/>
            <w:gridSpan w:val="4"/>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担任项目经理年限</w:t>
            </w:r>
          </w:p>
        </w:tc>
        <w:tc>
          <w:tcPr>
            <w:tcW w:w="1620" w:type="dxa"/>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880" w:type="dxa"/>
            <w:gridSpan w:val="3"/>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注册建造师资格证书编号</w:t>
            </w:r>
          </w:p>
        </w:tc>
        <w:tc>
          <w:tcPr>
            <w:tcW w:w="6300" w:type="dxa"/>
            <w:gridSpan w:val="9"/>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trPr>
        <w:tc>
          <w:tcPr>
            <w:tcW w:w="9180" w:type="dxa"/>
            <w:gridSpan w:val="12"/>
            <w:vAlign w:val="center"/>
          </w:tcPr>
          <w:p>
            <w:pPr>
              <w:autoSpaceDE w:val="0"/>
              <w:autoSpaceDN w:val="0"/>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已完成工程项目情况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1" w:hRule="atLeast"/>
        </w:trPr>
        <w:tc>
          <w:tcPr>
            <w:tcW w:w="1260" w:type="dxa"/>
            <w:gridSpan w:val="2"/>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建设单位</w:t>
            </w:r>
          </w:p>
        </w:tc>
        <w:tc>
          <w:tcPr>
            <w:tcW w:w="1800" w:type="dxa"/>
            <w:gridSpan w:val="2"/>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项目名称</w:t>
            </w:r>
          </w:p>
        </w:tc>
        <w:tc>
          <w:tcPr>
            <w:tcW w:w="1980" w:type="dxa"/>
            <w:gridSpan w:val="2"/>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建设规模</w:t>
            </w:r>
          </w:p>
        </w:tc>
        <w:tc>
          <w:tcPr>
            <w:tcW w:w="1980" w:type="dxa"/>
            <w:gridSpan w:val="3"/>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开、竣工</w:t>
            </w:r>
          </w:p>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w:t>
            </w:r>
          </w:p>
        </w:tc>
        <w:tc>
          <w:tcPr>
            <w:tcW w:w="2160" w:type="dxa"/>
            <w:gridSpan w:val="3"/>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trPr>
        <w:tc>
          <w:tcPr>
            <w:tcW w:w="126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80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98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98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2160" w:type="dxa"/>
            <w:gridSpan w:val="3"/>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trPr>
        <w:tc>
          <w:tcPr>
            <w:tcW w:w="126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80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98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98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2160" w:type="dxa"/>
            <w:gridSpan w:val="3"/>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trPr>
        <w:tc>
          <w:tcPr>
            <w:tcW w:w="126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80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98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98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2160" w:type="dxa"/>
            <w:gridSpan w:val="3"/>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trPr>
        <w:tc>
          <w:tcPr>
            <w:tcW w:w="126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80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98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98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2160" w:type="dxa"/>
            <w:gridSpan w:val="3"/>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trPr>
        <w:tc>
          <w:tcPr>
            <w:tcW w:w="126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80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98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98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2160" w:type="dxa"/>
            <w:gridSpan w:val="3"/>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trPr>
        <w:tc>
          <w:tcPr>
            <w:tcW w:w="126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80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98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98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2160" w:type="dxa"/>
            <w:gridSpan w:val="3"/>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trPr>
        <w:tc>
          <w:tcPr>
            <w:tcW w:w="126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80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98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98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2160" w:type="dxa"/>
            <w:gridSpan w:val="3"/>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trPr>
        <w:tc>
          <w:tcPr>
            <w:tcW w:w="126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80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98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98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2160" w:type="dxa"/>
            <w:gridSpan w:val="3"/>
            <w:vAlign w:val="center"/>
          </w:tcPr>
          <w:p>
            <w:pPr>
              <w:autoSpaceDE w:val="0"/>
              <w:autoSpaceDN w:val="0"/>
              <w:jc w:val="center"/>
              <w:rPr>
                <w:rFonts w:hint="eastAsia" w:ascii="宋体" w:hAnsi="宋体" w:eastAsia="宋体" w:cs="宋体"/>
                <w:color w:val="auto"/>
                <w:kern w:val="0"/>
                <w:szCs w:val="21"/>
                <w:highlight w:val="none"/>
              </w:rPr>
            </w:pPr>
          </w:p>
        </w:tc>
      </w:tr>
    </w:tbl>
    <w:p>
      <w:pPr>
        <w:autoSpaceDE w:val="0"/>
        <w:autoSpaceDN w:val="0"/>
        <w:jc w:val="left"/>
        <w:rPr>
          <w:rFonts w:hint="eastAsia" w:ascii="宋体" w:hAnsi="宋体" w:eastAsia="宋体" w:cs="宋体"/>
          <w:color w:val="auto"/>
          <w:kern w:val="0"/>
          <w:sz w:val="24"/>
          <w:highlight w:val="none"/>
        </w:rPr>
      </w:pPr>
    </w:p>
    <w:p>
      <w:pPr>
        <w:spacing w:line="360" w:lineRule="auto"/>
        <w:ind w:firstLine="411" w:firstLineChars="196"/>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备注：</w:t>
      </w:r>
      <w:r>
        <w:rPr>
          <w:rFonts w:hint="eastAsia" w:ascii="宋体" w:hAnsi="宋体" w:eastAsia="宋体" w:cs="宋体"/>
          <w:color w:val="auto"/>
          <w:highlight w:val="none"/>
        </w:rPr>
        <w:t>项目经理资质证书复印件等</w:t>
      </w:r>
      <w:r>
        <w:rPr>
          <w:rFonts w:hint="eastAsia" w:ascii="宋体" w:hAnsi="宋体" w:eastAsia="宋体" w:cs="宋体"/>
          <w:color w:val="auto"/>
          <w:kern w:val="0"/>
          <w:szCs w:val="21"/>
          <w:highlight w:val="none"/>
        </w:rPr>
        <w:t>（含有效年审记录）。</w:t>
      </w:r>
    </w:p>
    <w:p>
      <w:pPr>
        <w:spacing w:line="720" w:lineRule="auto"/>
        <w:jc w:val="center"/>
        <w:rPr>
          <w:rFonts w:hint="eastAsia" w:ascii="宋体" w:hAnsi="宋体" w:eastAsia="宋体" w:cs="宋体"/>
          <w:b/>
          <w:color w:val="auto"/>
          <w:sz w:val="28"/>
          <w:szCs w:val="28"/>
          <w:highlight w:val="none"/>
        </w:rPr>
      </w:pPr>
    </w:p>
    <w:p>
      <w:pPr>
        <w:spacing w:line="720" w:lineRule="auto"/>
        <w:jc w:val="center"/>
        <w:rPr>
          <w:rFonts w:hint="eastAsia" w:ascii="宋体" w:hAnsi="宋体" w:eastAsia="宋体" w:cs="宋体"/>
          <w:b/>
          <w:color w:val="auto"/>
          <w:sz w:val="28"/>
          <w:szCs w:val="28"/>
          <w:highlight w:val="none"/>
        </w:rPr>
      </w:pPr>
    </w:p>
    <w:p>
      <w:pPr>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（三）项目技术负责人简历表</w:t>
      </w:r>
    </w:p>
    <w:p>
      <w:pPr>
        <w:spacing w:line="480" w:lineRule="auto"/>
        <w:ind w:firstLine="420" w:firstLineChars="200"/>
        <w:jc w:val="left"/>
        <w:rPr>
          <w:rFonts w:hint="eastAsia" w:ascii="宋体" w:hAnsi="宋体" w:eastAsia="宋体" w:cs="宋体"/>
          <w:bCs/>
          <w:color w:val="auto"/>
          <w:szCs w:val="21"/>
          <w:highlight w:val="none"/>
          <w:u w:val="single"/>
        </w:rPr>
      </w:pPr>
    </w:p>
    <w:p>
      <w:pPr>
        <w:spacing w:line="480" w:lineRule="auto"/>
        <w:ind w:firstLine="420" w:firstLineChars="200"/>
        <w:jc w:val="left"/>
        <w:rPr>
          <w:rFonts w:hint="eastAsia" w:ascii="宋体" w:hAnsi="宋体" w:eastAsia="宋体" w:cs="宋体"/>
          <w:b/>
          <w:bCs/>
          <w:color w:val="auto"/>
          <w:kern w:val="0"/>
          <w:szCs w:val="21"/>
          <w:highlight w:val="none"/>
        </w:rPr>
      </w:pPr>
      <w:r>
        <w:rPr>
          <w:rFonts w:hint="eastAsia" w:ascii="宋体" w:hAnsi="宋体" w:eastAsia="宋体" w:cs="宋体"/>
          <w:bCs/>
          <w:color w:val="auto"/>
          <w:szCs w:val="21"/>
          <w:highlight w:val="none"/>
          <w:u w:val="single"/>
        </w:rPr>
        <w:t xml:space="preserve">         （项目总名称）（标段名称）            </w:t>
      </w:r>
      <w:r>
        <w:rPr>
          <w:rFonts w:hint="eastAsia" w:ascii="宋体" w:hAnsi="宋体" w:eastAsia="宋体" w:cs="宋体"/>
          <w:bCs/>
          <w:color w:val="auto"/>
          <w:szCs w:val="21"/>
          <w:highlight w:val="none"/>
        </w:rPr>
        <w:t xml:space="preserve">工程                             </w:t>
      </w:r>
      <w:r>
        <w:rPr>
          <w:rFonts w:hint="eastAsia" w:ascii="宋体" w:hAnsi="宋体" w:eastAsia="宋体" w:cs="宋体"/>
          <w:b/>
          <w:bCs/>
          <w:color w:val="auto"/>
          <w:kern w:val="0"/>
          <w:szCs w:val="21"/>
          <w:highlight w:val="none"/>
        </w:rPr>
        <w:t xml:space="preserve">                                                                </w:t>
      </w:r>
    </w:p>
    <w:tbl>
      <w:tblPr>
        <w:tblStyle w:val="4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80"/>
        <w:gridCol w:w="720"/>
        <w:gridCol w:w="1080"/>
        <w:gridCol w:w="1080"/>
        <w:gridCol w:w="360"/>
        <w:gridCol w:w="90"/>
        <w:gridCol w:w="1530"/>
        <w:gridCol w:w="1080"/>
        <w:gridCol w:w="45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80" w:type="dxa"/>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p>
        </w:tc>
        <w:tc>
          <w:tcPr>
            <w:tcW w:w="198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1080" w:type="dxa"/>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性别</w:t>
            </w:r>
          </w:p>
        </w:tc>
        <w:tc>
          <w:tcPr>
            <w:tcW w:w="198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1080" w:type="dxa"/>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年龄</w:t>
            </w:r>
          </w:p>
        </w:tc>
        <w:tc>
          <w:tcPr>
            <w:tcW w:w="1980" w:type="dxa"/>
            <w:gridSpan w:val="2"/>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80" w:type="dxa"/>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职务</w:t>
            </w:r>
          </w:p>
        </w:tc>
        <w:tc>
          <w:tcPr>
            <w:tcW w:w="198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1080" w:type="dxa"/>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职称</w:t>
            </w:r>
          </w:p>
        </w:tc>
        <w:tc>
          <w:tcPr>
            <w:tcW w:w="198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1080" w:type="dxa"/>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学历</w:t>
            </w:r>
          </w:p>
        </w:tc>
        <w:tc>
          <w:tcPr>
            <w:tcW w:w="1980" w:type="dxa"/>
            <w:gridSpan w:val="2"/>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80" w:type="dxa"/>
            <w:gridSpan w:val="3"/>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参加工作时间</w:t>
            </w:r>
          </w:p>
        </w:tc>
        <w:tc>
          <w:tcPr>
            <w:tcW w:w="252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2700" w:type="dxa"/>
            <w:gridSpan w:val="3"/>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担任技术负责人年限</w:t>
            </w:r>
          </w:p>
        </w:tc>
        <w:tc>
          <w:tcPr>
            <w:tcW w:w="1980" w:type="dxa"/>
            <w:gridSpan w:val="2"/>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180" w:type="dxa"/>
            <w:gridSpan w:val="11"/>
            <w:vAlign w:val="center"/>
          </w:tcPr>
          <w:p>
            <w:pPr>
              <w:autoSpaceDE w:val="0"/>
              <w:autoSpaceDN w:val="0"/>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在建和已完成工程项目情况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260" w:type="dxa"/>
            <w:gridSpan w:val="2"/>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建设单位</w:t>
            </w:r>
          </w:p>
        </w:tc>
        <w:tc>
          <w:tcPr>
            <w:tcW w:w="1800" w:type="dxa"/>
            <w:gridSpan w:val="2"/>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项目名称</w:t>
            </w:r>
          </w:p>
        </w:tc>
        <w:tc>
          <w:tcPr>
            <w:tcW w:w="1530" w:type="dxa"/>
            <w:gridSpan w:val="3"/>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建设规模</w:t>
            </w:r>
          </w:p>
        </w:tc>
        <w:tc>
          <w:tcPr>
            <w:tcW w:w="1530" w:type="dxa"/>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开、竣工</w:t>
            </w:r>
          </w:p>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w:t>
            </w:r>
          </w:p>
        </w:tc>
        <w:tc>
          <w:tcPr>
            <w:tcW w:w="1530" w:type="dxa"/>
            <w:gridSpan w:val="2"/>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在建或</w:t>
            </w:r>
          </w:p>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已完成</w:t>
            </w:r>
          </w:p>
        </w:tc>
        <w:tc>
          <w:tcPr>
            <w:tcW w:w="1530" w:type="dxa"/>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6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80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53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1530" w:type="dxa"/>
            <w:vAlign w:val="center"/>
          </w:tcPr>
          <w:p>
            <w:pPr>
              <w:autoSpaceDE w:val="0"/>
              <w:autoSpaceDN w:val="0"/>
              <w:jc w:val="center"/>
              <w:rPr>
                <w:rFonts w:hint="eastAsia" w:ascii="宋体" w:hAnsi="宋体" w:eastAsia="宋体" w:cs="宋体"/>
                <w:color w:val="auto"/>
                <w:kern w:val="0"/>
                <w:szCs w:val="21"/>
                <w:highlight w:val="none"/>
              </w:rPr>
            </w:pPr>
          </w:p>
        </w:tc>
        <w:tc>
          <w:tcPr>
            <w:tcW w:w="153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530" w:type="dxa"/>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6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80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53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1530" w:type="dxa"/>
            <w:vAlign w:val="center"/>
          </w:tcPr>
          <w:p>
            <w:pPr>
              <w:autoSpaceDE w:val="0"/>
              <w:autoSpaceDN w:val="0"/>
              <w:jc w:val="center"/>
              <w:rPr>
                <w:rFonts w:hint="eastAsia" w:ascii="宋体" w:hAnsi="宋体" w:eastAsia="宋体" w:cs="宋体"/>
                <w:color w:val="auto"/>
                <w:kern w:val="0"/>
                <w:szCs w:val="21"/>
                <w:highlight w:val="none"/>
              </w:rPr>
            </w:pPr>
          </w:p>
        </w:tc>
        <w:tc>
          <w:tcPr>
            <w:tcW w:w="153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530" w:type="dxa"/>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6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80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53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1530" w:type="dxa"/>
            <w:vAlign w:val="center"/>
          </w:tcPr>
          <w:p>
            <w:pPr>
              <w:autoSpaceDE w:val="0"/>
              <w:autoSpaceDN w:val="0"/>
              <w:jc w:val="center"/>
              <w:rPr>
                <w:rFonts w:hint="eastAsia" w:ascii="宋体" w:hAnsi="宋体" w:eastAsia="宋体" w:cs="宋体"/>
                <w:color w:val="auto"/>
                <w:kern w:val="0"/>
                <w:szCs w:val="21"/>
                <w:highlight w:val="none"/>
              </w:rPr>
            </w:pPr>
          </w:p>
        </w:tc>
        <w:tc>
          <w:tcPr>
            <w:tcW w:w="153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530" w:type="dxa"/>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6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80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53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1530" w:type="dxa"/>
            <w:vAlign w:val="center"/>
          </w:tcPr>
          <w:p>
            <w:pPr>
              <w:autoSpaceDE w:val="0"/>
              <w:autoSpaceDN w:val="0"/>
              <w:jc w:val="center"/>
              <w:rPr>
                <w:rFonts w:hint="eastAsia" w:ascii="宋体" w:hAnsi="宋体" w:eastAsia="宋体" w:cs="宋体"/>
                <w:color w:val="auto"/>
                <w:kern w:val="0"/>
                <w:szCs w:val="21"/>
                <w:highlight w:val="none"/>
              </w:rPr>
            </w:pPr>
          </w:p>
        </w:tc>
        <w:tc>
          <w:tcPr>
            <w:tcW w:w="153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530" w:type="dxa"/>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6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80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53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1530" w:type="dxa"/>
            <w:vAlign w:val="center"/>
          </w:tcPr>
          <w:p>
            <w:pPr>
              <w:autoSpaceDE w:val="0"/>
              <w:autoSpaceDN w:val="0"/>
              <w:jc w:val="center"/>
              <w:rPr>
                <w:rFonts w:hint="eastAsia" w:ascii="宋体" w:hAnsi="宋体" w:eastAsia="宋体" w:cs="宋体"/>
                <w:color w:val="auto"/>
                <w:kern w:val="0"/>
                <w:szCs w:val="21"/>
                <w:highlight w:val="none"/>
              </w:rPr>
            </w:pPr>
          </w:p>
        </w:tc>
        <w:tc>
          <w:tcPr>
            <w:tcW w:w="153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530" w:type="dxa"/>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6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80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53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1530" w:type="dxa"/>
            <w:vAlign w:val="center"/>
          </w:tcPr>
          <w:p>
            <w:pPr>
              <w:autoSpaceDE w:val="0"/>
              <w:autoSpaceDN w:val="0"/>
              <w:jc w:val="center"/>
              <w:rPr>
                <w:rFonts w:hint="eastAsia" w:ascii="宋体" w:hAnsi="宋体" w:eastAsia="宋体" w:cs="宋体"/>
                <w:color w:val="auto"/>
                <w:kern w:val="0"/>
                <w:szCs w:val="21"/>
                <w:highlight w:val="none"/>
              </w:rPr>
            </w:pPr>
          </w:p>
        </w:tc>
        <w:tc>
          <w:tcPr>
            <w:tcW w:w="153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530" w:type="dxa"/>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6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80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53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1530" w:type="dxa"/>
            <w:vAlign w:val="center"/>
          </w:tcPr>
          <w:p>
            <w:pPr>
              <w:autoSpaceDE w:val="0"/>
              <w:autoSpaceDN w:val="0"/>
              <w:jc w:val="center"/>
              <w:rPr>
                <w:rFonts w:hint="eastAsia" w:ascii="宋体" w:hAnsi="宋体" w:eastAsia="宋体" w:cs="宋体"/>
                <w:color w:val="auto"/>
                <w:kern w:val="0"/>
                <w:szCs w:val="21"/>
                <w:highlight w:val="none"/>
              </w:rPr>
            </w:pPr>
          </w:p>
        </w:tc>
        <w:tc>
          <w:tcPr>
            <w:tcW w:w="153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530" w:type="dxa"/>
            <w:vAlign w:val="center"/>
          </w:tcPr>
          <w:p>
            <w:pPr>
              <w:autoSpaceDE w:val="0"/>
              <w:autoSpaceDN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6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80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530" w:type="dxa"/>
            <w:gridSpan w:val="3"/>
            <w:vAlign w:val="center"/>
          </w:tcPr>
          <w:p>
            <w:pPr>
              <w:autoSpaceDE w:val="0"/>
              <w:autoSpaceDN w:val="0"/>
              <w:jc w:val="center"/>
              <w:rPr>
                <w:rFonts w:hint="eastAsia" w:ascii="宋体" w:hAnsi="宋体" w:eastAsia="宋体" w:cs="宋体"/>
                <w:color w:val="auto"/>
                <w:kern w:val="0"/>
                <w:szCs w:val="21"/>
                <w:highlight w:val="none"/>
              </w:rPr>
            </w:pPr>
          </w:p>
        </w:tc>
        <w:tc>
          <w:tcPr>
            <w:tcW w:w="1530" w:type="dxa"/>
            <w:vAlign w:val="center"/>
          </w:tcPr>
          <w:p>
            <w:pPr>
              <w:autoSpaceDE w:val="0"/>
              <w:autoSpaceDN w:val="0"/>
              <w:jc w:val="center"/>
              <w:rPr>
                <w:rFonts w:hint="eastAsia" w:ascii="宋体" w:hAnsi="宋体" w:eastAsia="宋体" w:cs="宋体"/>
                <w:color w:val="auto"/>
                <w:kern w:val="0"/>
                <w:szCs w:val="21"/>
                <w:highlight w:val="none"/>
              </w:rPr>
            </w:pPr>
          </w:p>
        </w:tc>
        <w:tc>
          <w:tcPr>
            <w:tcW w:w="1530" w:type="dxa"/>
            <w:gridSpan w:val="2"/>
            <w:vAlign w:val="center"/>
          </w:tcPr>
          <w:p>
            <w:pPr>
              <w:autoSpaceDE w:val="0"/>
              <w:autoSpaceDN w:val="0"/>
              <w:jc w:val="center"/>
              <w:rPr>
                <w:rFonts w:hint="eastAsia" w:ascii="宋体" w:hAnsi="宋体" w:eastAsia="宋体" w:cs="宋体"/>
                <w:color w:val="auto"/>
                <w:kern w:val="0"/>
                <w:szCs w:val="21"/>
                <w:highlight w:val="none"/>
              </w:rPr>
            </w:pPr>
          </w:p>
        </w:tc>
        <w:tc>
          <w:tcPr>
            <w:tcW w:w="1530" w:type="dxa"/>
            <w:vAlign w:val="center"/>
          </w:tcPr>
          <w:p>
            <w:pPr>
              <w:autoSpaceDE w:val="0"/>
              <w:autoSpaceDN w:val="0"/>
              <w:jc w:val="center"/>
              <w:rPr>
                <w:rFonts w:hint="eastAsia" w:ascii="宋体" w:hAnsi="宋体" w:eastAsia="宋体" w:cs="宋体"/>
                <w:color w:val="auto"/>
                <w:kern w:val="0"/>
                <w:szCs w:val="21"/>
                <w:highlight w:val="none"/>
              </w:rPr>
            </w:pPr>
          </w:p>
        </w:tc>
      </w:tr>
    </w:tbl>
    <w:p>
      <w:pPr>
        <w:jc w:val="cente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备注：后附技术负责人职称证复印件。</w:t>
      </w:r>
    </w:p>
    <w:p>
      <w:pPr>
        <w:spacing w:line="720" w:lineRule="auto"/>
        <w:jc w:val="center"/>
        <w:rPr>
          <w:rFonts w:hint="eastAsia" w:ascii="宋体" w:hAnsi="宋体" w:eastAsia="宋体" w:cs="宋体"/>
          <w:b/>
          <w:color w:val="auto"/>
          <w:sz w:val="28"/>
          <w:szCs w:val="28"/>
          <w:highlight w:val="none"/>
        </w:rPr>
      </w:pPr>
    </w:p>
    <w:p>
      <w:pPr>
        <w:spacing w:line="720" w:lineRule="auto"/>
        <w:jc w:val="center"/>
        <w:rPr>
          <w:rFonts w:hint="eastAsia" w:ascii="宋体" w:hAnsi="宋体" w:eastAsia="宋体" w:cs="宋体"/>
          <w:b/>
          <w:color w:val="auto"/>
          <w:sz w:val="28"/>
          <w:szCs w:val="28"/>
          <w:highlight w:val="none"/>
        </w:rPr>
      </w:pPr>
    </w:p>
    <w:p>
      <w:pPr>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（四）项目管理机构配备情况辅助说明资料</w:t>
      </w:r>
    </w:p>
    <w:p>
      <w:pPr>
        <w:spacing w:line="480" w:lineRule="auto"/>
        <w:ind w:firstLine="420" w:firstLineChars="200"/>
        <w:rPr>
          <w:rFonts w:hint="eastAsia" w:ascii="宋体" w:hAnsi="宋体" w:eastAsia="宋体" w:cs="宋体"/>
          <w:bCs/>
          <w:color w:val="auto"/>
          <w:szCs w:val="21"/>
          <w:highlight w:val="none"/>
          <w:u w:val="single"/>
        </w:rPr>
      </w:pP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bCs/>
          <w:color w:val="auto"/>
          <w:szCs w:val="21"/>
          <w:highlight w:val="none"/>
          <w:u w:val="single"/>
        </w:rPr>
        <w:t xml:space="preserve">         （项目总名称）（标段名称）            </w:t>
      </w:r>
      <w:r>
        <w:rPr>
          <w:rFonts w:hint="eastAsia" w:ascii="宋体" w:hAnsi="宋体" w:eastAsia="宋体" w:cs="宋体"/>
          <w:bCs/>
          <w:color w:val="auto"/>
          <w:szCs w:val="21"/>
          <w:highlight w:val="none"/>
        </w:rPr>
        <w:t>工程</w:t>
      </w:r>
    </w:p>
    <w:tbl>
      <w:tblPr>
        <w:tblStyle w:val="4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5" w:hRule="atLeast"/>
        </w:trPr>
        <w:tc>
          <w:tcPr>
            <w:tcW w:w="9628" w:type="dxa"/>
          </w:tcPr>
          <w:p>
            <w:pPr>
              <w:autoSpaceDE w:val="0"/>
              <w:autoSpaceDN w:val="0"/>
              <w:rPr>
                <w:rFonts w:hint="eastAsia" w:ascii="宋体" w:hAnsi="宋体" w:eastAsia="宋体" w:cs="宋体"/>
                <w:color w:val="auto"/>
                <w:kern w:val="0"/>
                <w:sz w:val="24"/>
                <w:highlight w:val="none"/>
              </w:rPr>
            </w:pPr>
          </w:p>
        </w:tc>
      </w:tr>
    </w:tbl>
    <w:p>
      <w:pPr>
        <w:autoSpaceDE w:val="0"/>
        <w:autoSpaceDN w:val="0"/>
        <w:rPr>
          <w:rFonts w:hint="eastAsia" w:ascii="宋体" w:hAnsi="宋体" w:eastAsia="宋体" w:cs="宋体"/>
          <w:color w:val="auto"/>
          <w:kern w:val="0"/>
          <w:sz w:val="24"/>
          <w:highlight w:val="none"/>
        </w:rPr>
      </w:pPr>
    </w:p>
    <w:p>
      <w:pPr>
        <w:rPr>
          <w:rFonts w:hint="eastAsia" w:ascii="宋体" w:hAnsi="宋体" w:eastAsia="宋体" w:cs="宋体"/>
          <w:color w:val="auto"/>
          <w:highlight w:val="none"/>
        </w:rPr>
      </w:pP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备注：1、辅助说明资料主要包括管理机构设置、责任分工、有关复印证明资料以及投标人认为有必要提供的资料。辅助说明资料格式不做他统一规定，由投标人自行设计。</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2、附施工员、质量员、安全员、材料员资格证书或岗位证书复印件。  </w:t>
      </w:r>
    </w:p>
    <w:p>
      <w:pPr>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3、另附与技术标评审有关的资料。</w:t>
      </w:r>
    </w:p>
    <w:p>
      <w:pPr>
        <w:ind w:firstLine="411" w:firstLineChars="196"/>
        <w:rPr>
          <w:rFonts w:hint="eastAsia" w:ascii="宋体" w:hAnsi="宋体" w:eastAsia="宋体" w:cs="宋体"/>
          <w:color w:val="auto"/>
          <w:szCs w:val="21"/>
          <w:highlight w:val="none"/>
        </w:rPr>
      </w:pPr>
    </w:p>
    <w:p>
      <w:pPr>
        <w:ind w:firstLine="411" w:firstLineChars="196"/>
        <w:rPr>
          <w:rFonts w:hint="eastAsia" w:ascii="宋体" w:hAnsi="宋体" w:eastAsia="宋体" w:cs="宋体"/>
          <w:color w:val="auto"/>
          <w:szCs w:val="21"/>
          <w:highlight w:val="none"/>
        </w:rPr>
      </w:pPr>
    </w:p>
    <w:p>
      <w:pPr>
        <w:ind w:firstLine="411" w:firstLineChars="196"/>
        <w:rPr>
          <w:rFonts w:hint="eastAsia" w:ascii="宋体" w:hAnsi="宋体" w:eastAsia="宋体" w:cs="宋体"/>
          <w:color w:val="auto"/>
          <w:szCs w:val="21"/>
          <w:highlight w:val="none"/>
        </w:rPr>
      </w:pPr>
    </w:p>
    <w:p>
      <w:pPr>
        <w:ind w:firstLine="411" w:firstLineChars="196"/>
        <w:rPr>
          <w:rFonts w:hint="eastAsia" w:ascii="宋体" w:hAnsi="宋体" w:eastAsia="宋体" w:cs="宋体"/>
          <w:color w:val="auto"/>
          <w:szCs w:val="21"/>
          <w:highlight w:val="none"/>
        </w:rPr>
      </w:pPr>
    </w:p>
    <w:p>
      <w:pPr>
        <w:rPr>
          <w:rFonts w:hint="eastAsia" w:ascii="宋体" w:hAnsi="宋体" w:eastAsia="宋体" w:cs="宋体"/>
          <w:color w:val="auto"/>
          <w:highlight w:val="none"/>
        </w:rPr>
      </w:pPr>
    </w:p>
    <w:sectPr>
      <w:footerReference r:id="rId10" w:type="default"/>
      <w:footerReference r:id="rId11" w:type="even"/>
      <w:pgSz w:w="11907" w:h="16840"/>
      <w:pgMar w:top="1418" w:right="1134" w:bottom="1418" w:left="1134" w:header="851" w:footer="851"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6"/>
                  <w:rPr>
                    <w:rFonts w:hint="eastAsia" w:eastAsia="黑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45"/>
      </w:rPr>
    </w:pPr>
    <w:r>
      <w:fldChar w:fldCharType="begin"/>
    </w:r>
    <w:r>
      <w:rPr>
        <w:rStyle w:val="45"/>
      </w:rPr>
      <w:instrText xml:space="preserve">PAGE  </w:instrText>
    </w:r>
    <w:r>
      <w:fldChar w:fldCharType="end"/>
    </w:r>
  </w:p>
  <w:p>
    <w:pPr>
      <w:pStyle w:val="2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6"/>
                  <w:rPr>
                    <w:rFonts w:hint="eastAsia" w:eastAsia="黑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36</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5"/>
      </w:rPr>
    </w:pPr>
    <w:r>
      <w:fldChar w:fldCharType="begin"/>
    </w:r>
    <w:r>
      <w:rPr>
        <w:rStyle w:val="45"/>
      </w:rPr>
      <w:instrText xml:space="preserve">PAGE  </w:instrTex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80" w:lineRule="auto"/>
      <w:rPr>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C3C3A2"/>
    <w:multiLevelType w:val="singleLevel"/>
    <w:tmpl w:val="A0C3C3A2"/>
    <w:lvl w:ilvl="0" w:tentative="0">
      <w:start w:val="12"/>
      <w:numFmt w:val="chineseCounting"/>
      <w:suff w:val="nothing"/>
      <w:lvlText w:val="%1、"/>
      <w:lvlJc w:val="left"/>
      <w:rPr>
        <w:rFonts w:hint="eastAsia"/>
      </w:rPr>
    </w:lvl>
  </w:abstractNum>
  <w:abstractNum w:abstractNumId="1">
    <w:nsid w:val="C83E17C3"/>
    <w:multiLevelType w:val="singleLevel"/>
    <w:tmpl w:val="C83E17C3"/>
    <w:lvl w:ilvl="0" w:tentative="0">
      <w:start w:val="1"/>
      <w:numFmt w:val="decimal"/>
      <w:lvlText w:val="%1."/>
      <w:lvlJc w:val="left"/>
      <w:pPr>
        <w:tabs>
          <w:tab w:val="left" w:pos="312"/>
        </w:tabs>
      </w:pPr>
    </w:lvl>
  </w:abstractNum>
  <w:abstractNum w:abstractNumId="2">
    <w:nsid w:val="00000004"/>
    <w:multiLevelType w:val="multilevel"/>
    <w:tmpl w:val="00000004"/>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A"/>
    <w:multiLevelType w:val="multilevel"/>
    <w:tmpl w:val="0000000A"/>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B"/>
    <w:multiLevelType w:val="multilevel"/>
    <w:tmpl w:val="0000000B"/>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2"/>
    <w:multiLevelType w:val="multilevel"/>
    <w:tmpl w:val="00000012"/>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4"/>
    <w:multiLevelType w:val="multilevel"/>
    <w:tmpl w:val="00000014"/>
    <w:lvl w:ilvl="0" w:tentative="0">
      <w:start w:val="1"/>
      <w:numFmt w:val="decimal"/>
      <w:lvlText w:val="（%1）"/>
      <w:lvlJc w:val="left"/>
      <w:pPr>
        <w:tabs>
          <w:tab w:val="left" w:pos="720"/>
        </w:tabs>
        <w:ind w:left="720" w:hanging="720"/>
      </w:pPr>
      <w:rPr>
        <w:rFonts w:hint="default"/>
      </w:rPr>
    </w:lvl>
    <w:lvl w:ilvl="1" w:tentative="0">
      <w:start w:val="1"/>
      <w:numFmt w:val="japaneseCounting"/>
      <w:lvlText w:val="%2、"/>
      <w:lvlJc w:val="left"/>
      <w:pPr>
        <w:tabs>
          <w:tab w:val="left" w:pos="840"/>
        </w:tabs>
        <w:ind w:left="840" w:hanging="420"/>
      </w:pPr>
      <w:rPr>
        <w:rFonts w:ascii="Calibri" w:hAnsi="Calibri" w:eastAsia="Calibri" w:cs="Calibri"/>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D"/>
    <w:multiLevelType w:val="multilevel"/>
    <w:tmpl w:val="0000001D"/>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E"/>
    <w:multiLevelType w:val="multilevel"/>
    <w:tmpl w:val="0000001E"/>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BC815DE"/>
    <w:multiLevelType w:val="singleLevel"/>
    <w:tmpl w:val="2BC815DE"/>
    <w:lvl w:ilvl="0" w:tentative="0">
      <w:start w:val="1"/>
      <w:numFmt w:val="decimal"/>
      <w:suff w:val="space"/>
      <w:lvlText w:val="%1."/>
      <w:lvlJc w:val="left"/>
    </w:lvl>
  </w:abstractNum>
  <w:num w:numId="1">
    <w:abstractNumId w:val="1"/>
  </w:num>
  <w:num w:numId="2">
    <w:abstractNumId w:val="8"/>
  </w:num>
  <w:num w:numId="3">
    <w:abstractNumId w:val="7"/>
  </w:num>
  <w:num w:numId="4">
    <w:abstractNumId w:val="2"/>
  </w:num>
  <w:num w:numId="5">
    <w:abstractNumId w:val="3"/>
  </w:num>
  <w:num w:numId="6">
    <w:abstractNumId w:val="6"/>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B5CB7"/>
    <w:rsid w:val="0000200C"/>
    <w:rsid w:val="00006153"/>
    <w:rsid w:val="00013173"/>
    <w:rsid w:val="000135D7"/>
    <w:rsid w:val="00015866"/>
    <w:rsid w:val="0001588D"/>
    <w:rsid w:val="000217AA"/>
    <w:rsid w:val="000252B3"/>
    <w:rsid w:val="00025B6F"/>
    <w:rsid w:val="0003152C"/>
    <w:rsid w:val="000328DB"/>
    <w:rsid w:val="00034F1C"/>
    <w:rsid w:val="00035DBB"/>
    <w:rsid w:val="00041350"/>
    <w:rsid w:val="00042D86"/>
    <w:rsid w:val="00046C6B"/>
    <w:rsid w:val="000552B4"/>
    <w:rsid w:val="000610D2"/>
    <w:rsid w:val="00061E97"/>
    <w:rsid w:val="0006475E"/>
    <w:rsid w:val="00064B11"/>
    <w:rsid w:val="0006768E"/>
    <w:rsid w:val="000713F1"/>
    <w:rsid w:val="000774C0"/>
    <w:rsid w:val="00081D22"/>
    <w:rsid w:val="00094D3C"/>
    <w:rsid w:val="000A0146"/>
    <w:rsid w:val="000A258E"/>
    <w:rsid w:val="000A27A2"/>
    <w:rsid w:val="000C0B8A"/>
    <w:rsid w:val="000C17F3"/>
    <w:rsid w:val="000C230A"/>
    <w:rsid w:val="000C6609"/>
    <w:rsid w:val="000D0377"/>
    <w:rsid w:val="000D1BA9"/>
    <w:rsid w:val="000D67B7"/>
    <w:rsid w:val="000E0939"/>
    <w:rsid w:val="000E21E5"/>
    <w:rsid w:val="000E2F1C"/>
    <w:rsid w:val="000E51A8"/>
    <w:rsid w:val="000E5D6D"/>
    <w:rsid w:val="000F4C49"/>
    <w:rsid w:val="000F684A"/>
    <w:rsid w:val="00101DDD"/>
    <w:rsid w:val="001138F0"/>
    <w:rsid w:val="00114A94"/>
    <w:rsid w:val="0012355C"/>
    <w:rsid w:val="00123C83"/>
    <w:rsid w:val="00125D1C"/>
    <w:rsid w:val="00130513"/>
    <w:rsid w:val="00130554"/>
    <w:rsid w:val="001379D2"/>
    <w:rsid w:val="00141445"/>
    <w:rsid w:val="00143973"/>
    <w:rsid w:val="0015317E"/>
    <w:rsid w:val="0015465C"/>
    <w:rsid w:val="0016025E"/>
    <w:rsid w:val="00165EC4"/>
    <w:rsid w:val="001833B1"/>
    <w:rsid w:val="00190E1C"/>
    <w:rsid w:val="00193F33"/>
    <w:rsid w:val="00196785"/>
    <w:rsid w:val="001A3B07"/>
    <w:rsid w:val="001B2C79"/>
    <w:rsid w:val="001B2F5E"/>
    <w:rsid w:val="001C5343"/>
    <w:rsid w:val="001C7009"/>
    <w:rsid w:val="001D64A7"/>
    <w:rsid w:val="001D74B4"/>
    <w:rsid w:val="001F5D5B"/>
    <w:rsid w:val="002018D4"/>
    <w:rsid w:val="00203934"/>
    <w:rsid w:val="00205088"/>
    <w:rsid w:val="00217BD5"/>
    <w:rsid w:val="0023204E"/>
    <w:rsid w:val="0023663B"/>
    <w:rsid w:val="0023736D"/>
    <w:rsid w:val="00237714"/>
    <w:rsid w:val="00237D22"/>
    <w:rsid w:val="002506D5"/>
    <w:rsid w:val="00255E12"/>
    <w:rsid w:val="00271BBD"/>
    <w:rsid w:val="0027253B"/>
    <w:rsid w:val="002727E2"/>
    <w:rsid w:val="00276FAF"/>
    <w:rsid w:val="00277695"/>
    <w:rsid w:val="0028376E"/>
    <w:rsid w:val="00283D91"/>
    <w:rsid w:val="002903AA"/>
    <w:rsid w:val="002A152D"/>
    <w:rsid w:val="002A6ADB"/>
    <w:rsid w:val="002B45F2"/>
    <w:rsid w:val="002D3713"/>
    <w:rsid w:val="002D66AB"/>
    <w:rsid w:val="002F08DD"/>
    <w:rsid w:val="002F4015"/>
    <w:rsid w:val="002F61E0"/>
    <w:rsid w:val="0031103C"/>
    <w:rsid w:val="0031189D"/>
    <w:rsid w:val="00314CF7"/>
    <w:rsid w:val="00315E85"/>
    <w:rsid w:val="003327D2"/>
    <w:rsid w:val="003403FE"/>
    <w:rsid w:val="00343840"/>
    <w:rsid w:val="00345A01"/>
    <w:rsid w:val="00346AF8"/>
    <w:rsid w:val="0035074D"/>
    <w:rsid w:val="00351B3C"/>
    <w:rsid w:val="00351FF2"/>
    <w:rsid w:val="003532B5"/>
    <w:rsid w:val="00353A6A"/>
    <w:rsid w:val="00361624"/>
    <w:rsid w:val="003643A0"/>
    <w:rsid w:val="00366961"/>
    <w:rsid w:val="003704BD"/>
    <w:rsid w:val="00372102"/>
    <w:rsid w:val="00372D28"/>
    <w:rsid w:val="00374372"/>
    <w:rsid w:val="00380256"/>
    <w:rsid w:val="00387835"/>
    <w:rsid w:val="00390C1F"/>
    <w:rsid w:val="00390D18"/>
    <w:rsid w:val="003B338A"/>
    <w:rsid w:val="003C2B2B"/>
    <w:rsid w:val="003D03D2"/>
    <w:rsid w:val="003D1219"/>
    <w:rsid w:val="003D151D"/>
    <w:rsid w:val="003F2868"/>
    <w:rsid w:val="00402C94"/>
    <w:rsid w:val="0040394B"/>
    <w:rsid w:val="00405643"/>
    <w:rsid w:val="0040637C"/>
    <w:rsid w:val="00411B9B"/>
    <w:rsid w:val="00412AAB"/>
    <w:rsid w:val="00413074"/>
    <w:rsid w:val="0041311E"/>
    <w:rsid w:val="00415F2E"/>
    <w:rsid w:val="00423DBC"/>
    <w:rsid w:val="00427754"/>
    <w:rsid w:val="004333DD"/>
    <w:rsid w:val="00437BBD"/>
    <w:rsid w:val="0044192B"/>
    <w:rsid w:val="0044297D"/>
    <w:rsid w:val="00450D40"/>
    <w:rsid w:val="00453893"/>
    <w:rsid w:val="00454061"/>
    <w:rsid w:val="00457DFE"/>
    <w:rsid w:val="004710DC"/>
    <w:rsid w:val="00474DA3"/>
    <w:rsid w:val="00485F5B"/>
    <w:rsid w:val="00486123"/>
    <w:rsid w:val="004958B8"/>
    <w:rsid w:val="004A16A0"/>
    <w:rsid w:val="004A1E0E"/>
    <w:rsid w:val="004B2122"/>
    <w:rsid w:val="004B4CA2"/>
    <w:rsid w:val="004C02B8"/>
    <w:rsid w:val="004C2080"/>
    <w:rsid w:val="004C2233"/>
    <w:rsid w:val="004C49F4"/>
    <w:rsid w:val="004C53E0"/>
    <w:rsid w:val="004C6C6F"/>
    <w:rsid w:val="004D0A68"/>
    <w:rsid w:val="004D20B5"/>
    <w:rsid w:val="004D5742"/>
    <w:rsid w:val="004D70C1"/>
    <w:rsid w:val="004D72D7"/>
    <w:rsid w:val="004F05F4"/>
    <w:rsid w:val="004F0D74"/>
    <w:rsid w:val="004F1077"/>
    <w:rsid w:val="004F7628"/>
    <w:rsid w:val="00500B13"/>
    <w:rsid w:val="00501096"/>
    <w:rsid w:val="005050DF"/>
    <w:rsid w:val="0051372A"/>
    <w:rsid w:val="00516B75"/>
    <w:rsid w:val="00517992"/>
    <w:rsid w:val="0052261A"/>
    <w:rsid w:val="005279D6"/>
    <w:rsid w:val="00541BAB"/>
    <w:rsid w:val="00553ACD"/>
    <w:rsid w:val="0056218D"/>
    <w:rsid w:val="00566E51"/>
    <w:rsid w:val="00567895"/>
    <w:rsid w:val="00570B29"/>
    <w:rsid w:val="005724CB"/>
    <w:rsid w:val="00572ABD"/>
    <w:rsid w:val="00573BEC"/>
    <w:rsid w:val="00580354"/>
    <w:rsid w:val="005809A8"/>
    <w:rsid w:val="00584A92"/>
    <w:rsid w:val="00585B8C"/>
    <w:rsid w:val="005877DA"/>
    <w:rsid w:val="00591667"/>
    <w:rsid w:val="00594440"/>
    <w:rsid w:val="005A0A56"/>
    <w:rsid w:val="005A2A97"/>
    <w:rsid w:val="005A30CB"/>
    <w:rsid w:val="005A5FA7"/>
    <w:rsid w:val="005B0C9D"/>
    <w:rsid w:val="005B3FF9"/>
    <w:rsid w:val="005B518A"/>
    <w:rsid w:val="005C7678"/>
    <w:rsid w:val="005D016F"/>
    <w:rsid w:val="005D3A0B"/>
    <w:rsid w:val="005D4C76"/>
    <w:rsid w:val="005E18C6"/>
    <w:rsid w:val="005E3AA8"/>
    <w:rsid w:val="005F0D3C"/>
    <w:rsid w:val="005F1072"/>
    <w:rsid w:val="005F7B31"/>
    <w:rsid w:val="00610472"/>
    <w:rsid w:val="00613538"/>
    <w:rsid w:val="00621B4A"/>
    <w:rsid w:val="00633C97"/>
    <w:rsid w:val="00642C0C"/>
    <w:rsid w:val="00650CA3"/>
    <w:rsid w:val="0065154F"/>
    <w:rsid w:val="00663457"/>
    <w:rsid w:val="00664079"/>
    <w:rsid w:val="00666DF0"/>
    <w:rsid w:val="00670945"/>
    <w:rsid w:val="006725BC"/>
    <w:rsid w:val="006757DB"/>
    <w:rsid w:val="00680409"/>
    <w:rsid w:val="00681B62"/>
    <w:rsid w:val="00686F1E"/>
    <w:rsid w:val="00690809"/>
    <w:rsid w:val="006A174A"/>
    <w:rsid w:val="006A2C76"/>
    <w:rsid w:val="006A39BE"/>
    <w:rsid w:val="006B1CC7"/>
    <w:rsid w:val="006B2A2B"/>
    <w:rsid w:val="006B2C9C"/>
    <w:rsid w:val="006B424F"/>
    <w:rsid w:val="006C42A5"/>
    <w:rsid w:val="006D20D5"/>
    <w:rsid w:val="006D45D8"/>
    <w:rsid w:val="006D4950"/>
    <w:rsid w:val="006D5A0F"/>
    <w:rsid w:val="006E73BA"/>
    <w:rsid w:val="006F059F"/>
    <w:rsid w:val="006F1864"/>
    <w:rsid w:val="006F1FFB"/>
    <w:rsid w:val="0071447B"/>
    <w:rsid w:val="007245E0"/>
    <w:rsid w:val="00725452"/>
    <w:rsid w:val="0072551B"/>
    <w:rsid w:val="00726006"/>
    <w:rsid w:val="00727E28"/>
    <w:rsid w:val="00732577"/>
    <w:rsid w:val="00734DBF"/>
    <w:rsid w:val="00743A4F"/>
    <w:rsid w:val="007503B0"/>
    <w:rsid w:val="00763808"/>
    <w:rsid w:val="00766F73"/>
    <w:rsid w:val="00775A7B"/>
    <w:rsid w:val="00781182"/>
    <w:rsid w:val="00792532"/>
    <w:rsid w:val="00794708"/>
    <w:rsid w:val="00794BFC"/>
    <w:rsid w:val="007A5026"/>
    <w:rsid w:val="007A6810"/>
    <w:rsid w:val="007B33EC"/>
    <w:rsid w:val="007C4D28"/>
    <w:rsid w:val="007C6436"/>
    <w:rsid w:val="007D1098"/>
    <w:rsid w:val="007D4942"/>
    <w:rsid w:val="007D5136"/>
    <w:rsid w:val="007E1089"/>
    <w:rsid w:val="007E1C80"/>
    <w:rsid w:val="007F1D45"/>
    <w:rsid w:val="007F2282"/>
    <w:rsid w:val="0080656B"/>
    <w:rsid w:val="008153AF"/>
    <w:rsid w:val="00816626"/>
    <w:rsid w:val="00817325"/>
    <w:rsid w:val="00821332"/>
    <w:rsid w:val="008348E6"/>
    <w:rsid w:val="00836AD5"/>
    <w:rsid w:val="00853027"/>
    <w:rsid w:val="00854A8F"/>
    <w:rsid w:val="00854B7C"/>
    <w:rsid w:val="008569EE"/>
    <w:rsid w:val="00861E2B"/>
    <w:rsid w:val="00862192"/>
    <w:rsid w:val="008643E5"/>
    <w:rsid w:val="00866860"/>
    <w:rsid w:val="00866AA5"/>
    <w:rsid w:val="00870136"/>
    <w:rsid w:val="0087223F"/>
    <w:rsid w:val="00875282"/>
    <w:rsid w:val="0088037E"/>
    <w:rsid w:val="008828E6"/>
    <w:rsid w:val="0088474E"/>
    <w:rsid w:val="00885D94"/>
    <w:rsid w:val="008935B3"/>
    <w:rsid w:val="00893BF9"/>
    <w:rsid w:val="008A4BFF"/>
    <w:rsid w:val="008A4EBC"/>
    <w:rsid w:val="008B4C02"/>
    <w:rsid w:val="008B7796"/>
    <w:rsid w:val="008C3689"/>
    <w:rsid w:val="008C5BAF"/>
    <w:rsid w:val="008C5FBE"/>
    <w:rsid w:val="008D2F5A"/>
    <w:rsid w:val="008D5464"/>
    <w:rsid w:val="008E08D3"/>
    <w:rsid w:val="008E31A5"/>
    <w:rsid w:val="008E3DFC"/>
    <w:rsid w:val="008E7AF5"/>
    <w:rsid w:val="008F0F0F"/>
    <w:rsid w:val="009004EB"/>
    <w:rsid w:val="0090220E"/>
    <w:rsid w:val="00911FCB"/>
    <w:rsid w:val="009170D2"/>
    <w:rsid w:val="00922AC1"/>
    <w:rsid w:val="00923DC4"/>
    <w:rsid w:val="009328E7"/>
    <w:rsid w:val="00934FCB"/>
    <w:rsid w:val="00945AE1"/>
    <w:rsid w:val="0094658E"/>
    <w:rsid w:val="009513CF"/>
    <w:rsid w:val="00952CF7"/>
    <w:rsid w:val="00954618"/>
    <w:rsid w:val="009629AF"/>
    <w:rsid w:val="00962F4E"/>
    <w:rsid w:val="00964BBB"/>
    <w:rsid w:val="00964C40"/>
    <w:rsid w:val="00964E8F"/>
    <w:rsid w:val="009A6BE8"/>
    <w:rsid w:val="009B5C44"/>
    <w:rsid w:val="009B5CB7"/>
    <w:rsid w:val="009B5CDC"/>
    <w:rsid w:val="009C5B41"/>
    <w:rsid w:val="009C67FE"/>
    <w:rsid w:val="009E0701"/>
    <w:rsid w:val="009E2AB0"/>
    <w:rsid w:val="009E7B43"/>
    <w:rsid w:val="009F09B3"/>
    <w:rsid w:val="009F5E26"/>
    <w:rsid w:val="00A00AB8"/>
    <w:rsid w:val="00A17F6F"/>
    <w:rsid w:val="00A24C33"/>
    <w:rsid w:val="00A26A8B"/>
    <w:rsid w:val="00A3044D"/>
    <w:rsid w:val="00A31F9F"/>
    <w:rsid w:val="00A35A1C"/>
    <w:rsid w:val="00A37B2C"/>
    <w:rsid w:val="00A43F24"/>
    <w:rsid w:val="00A46D06"/>
    <w:rsid w:val="00A50105"/>
    <w:rsid w:val="00A51708"/>
    <w:rsid w:val="00A612F3"/>
    <w:rsid w:val="00A65852"/>
    <w:rsid w:val="00A670BD"/>
    <w:rsid w:val="00A67300"/>
    <w:rsid w:val="00A77172"/>
    <w:rsid w:val="00A77316"/>
    <w:rsid w:val="00A77F8B"/>
    <w:rsid w:val="00A81F0F"/>
    <w:rsid w:val="00A90EC9"/>
    <w:rsid w:val="00A965FD"/>
    <w:rsid w:val="00A9663A"/>
    <w:rsid w:val="00AA422B"/>
    <w:rsid w:val="00AB6134"/>
    <w:rsid w:val="00AB681F"/>
    <w:rsid w:val="00AD0C30"/>
    <w:rsid w:val="00AD3A85"/>
    <w:rsid w:val="00AD74F4"/>
    <w:rsid w:val="00AF2FD3"/>
    <w:rsid w:val="00AF5DBE"/>
    <w:rsid w:val="00AF6783"/>
    <w:rsid w:val="00B01052"/>
    <w:rsid w:val="00B037E6"/>
    <w:rsid w:val="00B0495D"/>
    <w:rsid w:val="00B16C83"/>
    <w:rsid w:val="00B20C4E"/>
    <w:rsid w:val="00B23A08"/>
    <w:rsid w:val="00B24FEC"/>
    <w:rsid w:val="00B26898"/>
    <w:rsid w:val="00B27C8D"/>
    <w:rsid w:val="00B27EA3"/>
    <w:rsid w:val="00B308DD"/>
    <w:rsid w:val="00B3374B"/>
    <w:rsid w:val="00B36DD6"/>
    <w:rsid w:val="00B40494"/>
    <w:rsid w:val="00B41AF8"/>
    <w:rsid w:val="00B43A5C"/>
    <w:rsid w:val="00B4526D"/>
    <w:rsid w:val="00B4583B"/>
    <w:rsid w:val="00B46928"/>
    <w:rsid w:val="00B6786F"/>
    <w:rsid w:val="00B714FB"/>
    <w:rsid w:val="00B71B57"/>
    <w:rsid w:val="00B84071"/>
    <w:rsid w:val="00B84E0F"/>
    <w:rsid w:val="00B913D7"/>
    <w:rsid w:val="00B946A8"/>
    <w:rsid w:val="00B951FC"/>
    <w:rsid w:val="00B96B61"/>
    <w:rsid w:val="00B96C8A"/>
    <w:rsid w:val="00BA06BA"/>
    <w:rsid w:val="00BA4E27"/>
    <w:rsid w:val="00BB6591"/>
    <w:rsid w:val="00BC29A6"/>
    <w:rsid w:val="00BC40E4"/>
    <w:rsid w:val="00BC5568"/>
    <w:rsid w:val="00BC59C7"/>
    <w:rsid w:val="00BF6A88"/>
    <w:rsid w:val="00BF7AB2"/>
    <w:rsid w:val="00C06C38"/>
    <w:rsid w:val="00C135A7"/>
    <w:rsid w:val="00C1533B"/>
    <w:rsid w:val="00C15BFE"/>
    <w:rsid w:val="00C209C0"/>
    <w:rsid w:val="00C25F46"/>
    <w:rsid w:val="00C30418"/>
    <w:rsid w:val="00C336D0"/>
    <w:rsid w:val="00C3774F"/>
    <w:rsid w:val="00C3799A"/>
    <w:rsid w:val="00C4665E"/>
    <w:rsid w:val="00C47F20"/>
    <w:rsid w:val="00C52037"/>
    <w:rsid w:val="00C60532"/>
    <w:rsid w:val="00C6776A"/>
    <w:rsid w:val="00C71BDE"/>
    <w:rsid w:val="00C86D2F"/>
    <w:rsid w:val="00C86F32"/>
    <w:rsid w:val="00CA0AEA"/>
    <w:rsid w:val="00CA1BB4"/>
    <w:rsid w:val="00CA2AEA"/>
    <w:rsid w:val="00CC47BC"/>
    <w:rsid w:val="00CC7B80"/>
    <w:rsid w:val="00CD0C1C"/>
    <w:rsid w:val="00CD133D"/>
    <w:rsid w:val="00CD57A4"/>
    <w:rsid w:val="00CD7F64"/>
    <w:rsid w:val="00CE5C87"/>
    <w:rsid w:val="00CE5E19"/>
    <w:rsid w:val="00CF66FB"/>
    <w:rsid w:val="00D16020"/>
    <w:rsid w:val="00D16C6F"/>
    <w:rsid w:val="00D2252D"/>
    <w:rsid w:val="00D27397"/>
    <w:rsid w:val="00D33092"/>
    <w:rsid w:val="00D33557"/>
    <w:rsid w:val="00D34541"/>
    <w:rsid w:val="00D37D92"/>
    <w:rsid w:val="00D45398"/>
    <w:rsid w:val="00D4550D"/>
    <w:rsid w:val="00D4601A"/>
    <w:rsid w:val="00D4711B"/>
    <w:rsid w:val="00D50155"/>
    <w:rsid w:val="00D501BC"/>
    <w:rsid w:val="00D51F55"/>
    <w:rsid w:val="00D53875"/>
    <w:rsid w:val="00D567EA"/>
    <w:rsid w:val="00D721F6"/>
    <w:rsid w:val="00D72D03"/>
    <w:rsid w:val="00D75B3A"/>
    <w:rsid w:val="00D83FE2"/>
    <w:rsid w:val="00D91DF5"/>
    <w:rsid w:val="00D97C36"/>
    <w:rsid w:val="00DA204E"/>
    <w:rsid w:val="00DA3716"/>
    <w:rsid w:val="00DA6061"/>
    <w:rsid w:val="00DB643B"/>
    <w:rsid w:val="00DC174F"/>
    <w:rsid w:val="00DC35D9"/>
    <w:rsid w:val="00DC3C0B"/>
    <w:rsid w:val="00DC54A3"/>
    <w:rsid w:val="00DC7F58"/>
    <w:rsid w:val="00DD66D6"/>
    <w:rsid w:val="00DE452F"/>
    <w:rsid w:val="00E24FF5"/>
    <w:rsid w:val="00E30C1B"/>
    <w:rsid w:val="00E367C3"/>
    <w:rsid w:val="00E406DB"/>
    <w:rsid w:val="00E40E03"/>
    <w:rsid w:val="00E4199C"/>
    <w:rsid w:val="00E41BB2"/>
    <w:rsid w:val="00E477A9"/>
    <w:rsid w:val="00E54A50"/>
    <w:rsid w:val="00E56AC0"/>
    <w:rsid w:val="00E60DCC"/>
    <w:rsid w:val="00E6309E"/>
    <w:rsid w:val="00E66868"/>
    <w:rsid w:val="00E73CC8"/>
    <w:rsid w:val="00E84E1D"/>
    <w:rsid w:val="00E878C1"/>
    <w:rsid w:val="00E929DD"/>
    <w:rsid w:val="00E95F32"/>
    <w:rsid w:val="00EA60DA"/>
    <w:rsid w:val="00EB6075"/>
    <w:rsid w:val="00EC3F66"/>
    <w:rsid w:val="00ED179F"/>
    <w:rsid w:val="00ED506F"/>
    <w:rsid w:val="00ED679A"/>
    <w:rsid w:val="00EE737C"/>
    <w:rsid w:val="00EE7933"/>
    <w:rsid w:val="00EF1C4F"/>
    <w:rsid w:val="00EF27F6"/>
    <w:rsid w:val="00EF2980"/>
    <w:rsid w:val="00EF4D52"/>
    <w:rsid w:val="00F02C82"/>
    <w:rsid w:val="00F03ACE"/>
    <w:rsid w:val="00F1177F"/>
    <w:rsid w:val="00F22ED0"/>
    <w:rsid w:val="00F23185"/>
    <w:rsid w:val="00F25909"/>
    <w:rsid w:val="00F26DBA"/>
    <w:rsid w:val="00F31D3C"/>
    <w:rsid w:val="00F34A26"/>
    <w:rsid w:val="00F37F3A"/>
    <w:rsid w:val="00F40A14"/>
    <w:rsid w:val="00F40EA3"/>
    <w:rsid w:val="00F45594"/>
    <w:rsid w:val="00F50385"/>
    <w:rsid w:val="00F53769"/>
    <w:rsid w:val="00F5457C"/>
    <w:rsid w:val="00F55F55"/>
    <w:rsid w:val="00F57147"/>
    <w:rsid w:val="00F57F57"/>
    <w:rsid w:val="00F739F4"/>
    <w:rsid w:val="00F8343E"/>
    <w:rsid w:val="00FA3BC3"/>
    <w:rsid w:val="00FB588C"/>
    <w:rsid w:val="00FC62DA"/>
    <w:rsid w:val="00FC64C7"/>
    <w:rsid w:val="00FE1935"/>
    <w:rsid w:val="00FE7ECE"/>
    <w:rsid w:val="0115266E"/>
    <w:rsid w:val="01400946"/>
    <w:rsid w:val="01773841"/>
    <w:rsid w:val="01A12681"/>
    <w:rsid w:val="01CA379B"/>
    <w:rsid w:val="01DB71A5"/>
    <w:rsid w:val="01FF21E5"/>
    <w:rsid w:val="027545B9"/>
    <w:rsid w:val="030A31EA"/>
    <w:rsid w:val="031D277B"/>
    <w:rsid w:val="03415EF4"/>
    <w:rsid w:val="03471FAA"/>
    <w:rsid w:val="034761FB"/>
    <w:rsid w:val="034930DC"/>
    <w:rsid w:val="034A4298"/>
    <w:rsid w:val="03585D42"/>
    <w:rsid w:val="03652767"/>
    <w:rsid w:val="03973F34"/>
    <w:rsid w:val="041D3652"/>
    <w:rsid w:val="04481EA6"/>
    <w:rsid w:val="04B101E5"/>
    <w:rsid w:val="04E014DE"/>
    <w:rsid w:val="057661AA"/>
    <w:rsid w:val="05CC039A"/>
    <w:rsid w:val="06005194"/>
    <w:rsid w:val="06391C93"/>
    <w:rsid w:val="06475449"/>
    <w:rsid w:val="064B6C9B"/>
    <w:rsid w:val="06A662C0"/>
    <w:rsid w:val="06BA433C"/>
    <w:rsid w:val="06C8584A"/>
    <w:rsid w:val="06DE3A2B"/>
    <w:rsid w:val="07652688"/>
    <w:rsid w:val="077761F6"/>
    <w:rsid w:val="082950D2"/>
    <w:rsid w:val="08811B08"/>
    <w:rsid w:val="08E6381C"/>
    <w:rsid w:val="09EB6778"/>
    <w:rsid w:val="0A272BB8"/>
    <w:rsid w:val="0AEB5CA6"/>
    <w:rsid w:val="0B230D39"/>
    <w:rsid w:val="0BD917C3"/>
    <w:rsid w:val="0C3F6156"/>
    <w:rsid w:val="0CB702E2"/>
    <w:rsid w:val="0CE5776A"/>
    <w:rsid w:val="0CE87293"/>
    <w:rsid w:val="0CEF7117"/>
    <w:rsid w:val="0D163FB5"/>
    <w:rsid w:val="0D2B47DF"/>
    <w:rsid w:val="0DB32C82"/>
    <w:rsid w:val="0DDC64FF"/>
    <w:rsid w:val="0DFA0385"/>
    <w:rsid w:val="0E6A1B08"/>
    <w:rsid w:val="0E833544"/>
    <w:rsid w:val="0F232695"/>
    <w:rsid w:val="0F7A19CA"/>
    <w:rsid w:val="10693473"/>
    <w:rsid w:val="107C479C"/>
    <w:rsid w:val="10AD41B8"/>
    <w:rsid w:val="115023DD"/>
    <w:rsid w:val="11771278"/>
    <w:rsid w:val="11AF5B5F"/>
    <w:rsid w:val="11ED64FA"/>
    <w:rsid w:val="123C5426"/>
    <w:rsid w:val="12437144"/>
    <w:rsid w:val="12553E67"/>
    <w:rsid w:val="12D23FDC"/>
    <w:rsid w:val="12F4748C"/>
    <w:rsid w:val="13E25F79"/>
    <w:rsid w:val="14BA1AC6"/>
    <w:rsid w:val="155A6367"/>
    <w:rsid w:val="15884200"/>
    <w:rsid w:val="158B25C0"/>
    <w:rsid w:val="15E561A9"/>
    <w:rsid w:val="16381527"/>
    <w:rsid w:val="16384D99"/>
    <w:rsid w:val="16B45139"/>
    <w:rsid w:val="1778390B"/>
    <w:rsid w:val="177B3AFC"/>
    <w:rsid w:val="17E60D26"/>
    <w:rsid w:val="185B5DEA"/>
    <w:rsid w:val="18B16DD6"/>
    <w:rsid w:val="18F6562F"/>
    <w:rsid w:val="19093067"/>
    <w:rsid w:val="192541D0"/>
    <w:rsid w:val="19401C1E"/>
    <w:rsid w:val="1A941BD8"/>
    <w:rsid w:val="1B422E94"/>
    <w:rsid w:val="1BB657A4"/>
    <w:rsid w:val="1BDB7B33"/>
    <w:rsid w:val="1C3B415B"/>
    <w:rsid w:val="1C7047D4"/>
    <w:rsid w:val="1D89500D"/>
    <w:rsid w:val="1DFD4BF1"/>
    <w:rsid w:val="1EAD5AC7"/>
    <w:rsid w:val="1EB20D93"/>
    <w:rsid w:val="1EDE519E"/>
    <w:rsid w:val="1EF124A5"/>
    <w:rsid w:val="1EF660BC"/>
    <w:rsid w:val="1F0B0B1A"/>
    <w:rsid w:val="1F815483"/>
    <w:rsid w:val="1F870D1A"/>
    <w:rsid w:val="21406C10"/>
    <w:rsid w:val="215E14FC"/>
    <w:rsid w:val="216201D3"/>
    <w:rsid w:val="21C50004"/>
    <w:rsid w:val="22C635FA"/>
    <w:rsid w:val="22F12026"/>
    <w:rsid w:val="2335754F"/>
    <w:rsid w:val="23581F02"/>
    <w:rsid w:val="2399348A"/>
    <w:rsid w:val="24A0625D"/>
    <w:rsid w:val="24BF4516"/>
    <w:rsid w:val="252B25E5"/>
    <w:rsid w:val="253C0FFD"/>
    <w:rsid w:val="25594C4B"/>
    <w:rsid w:val="25B20645"/>
    <w:rsid w:val="25B35427"/>
    <w:rsid w:val="26143AC5"/>
    <w:rsid w:val="261615DE"/>
    <w:rsid w:val="270D2D60"/>
    <w:rsid w:val="27EB1017"/>
    <w:rsid w:val="28A849C2"/>
    <w:rsid w:val="28EC61EF"/>
    <w:rsid w:val="291E2CE9"/>
    <w:rsid w:val="292C3DBD"/>
    <w:rsid w:val="29584F9C"/>
    <w:rsid w:val="299D15C4"/>
    <w:rsid w:val="2A0A6338"/>
    <w:rsid w:val="2A2F24FB"/>
    <w:rsid w:val="2A884B12"/>
    <w:rsid w:val="2ABE3A5C"/>
    <w:rsid w:val="2B902B1C"/>
    <w:rsid w:val="2BC41963"/>
    <w:rsid w:val="2CBD641A"/>
    <w:rsid w:val="2D46179D"/>
    <w:rsid w:val="2D7B6AD3"/>
    <w:rsid w:val="2DA2688F"/>
    <w:rsid w:val="2DAB16BD"/>
    <w:rsid w:val="2DB2336E"/>
    <w:rsid w:val="2DC26FB5"/>
    <w:rsid w:val="2E3C73E4"/>
    <w:rsid w:val="2E4555E7"/>
    <w:rsid w:val="2EDD70A1"/>
    <w:rsid w:val="2EE75F08"/>
    <w:rsid w:val="2F6448B2"/>
    <w:rsid w:val="30682A05"/>
    <w:rsid w:val="306B0FFB"/>
    <w:rsid w:val="308064DB"/>
    <w:rsid w:val="30FC6B81"/>
    <w:rsid w:val="31080DAE"/>
    <w:rsid w:val="31AD104D"/>
    <w:rsid w:val="31C7240F"/>
    <w:rsid w:val="321C26F2"/>
    <w:rsid w:val="33413E98"/>
    <w:rsid w:val="33CA6D89"/>
    <w:rsid w:val="33DF2282"/>
    <w:rsid w:val="34153668"/>
    <w:rsid w:val="34956F8D"/>
    <w:rsid w:val="34AE3DD5"/>
    <w:rsid w:val="353317B3"/>
    <w:rsid w:val="353B0E50"/>
    <w:rsid w:val="355411AB"/>
    <w:rsid w:val="35A07F3D"/>
    <w:rsid w:val="35C419C8"/>
    <w:rsid w:val="36001EE7"/>
    <w:rsid w:val="361046D0"/>
    <w:rsid w:val="361C5C1E"/>
    <w:rsid w:val="362B68AA"/>
    <w:rsid w:val="364B340C"/>
    <w:rsid w:val="36695D69"/>
    <w:rsid w:val="37883DCF"/>
    <w:rsid w:val="37C57134"/>
    <w:rsid w:val="380B5F1C"/>
    <w:rsid w:val="38626C5A"/>
    <w:rsid w:val="38910972"/>
    <w:rsid w:val="38D31EFB"/>
    <w:rsid w:val="38F54BBF"/>
    <w:rsid w:val="39225396"/>
    <w:rsid w:val="39437613"/>
    <w:rsid w:val="3977445C"/>
    <w:rsid w:val="39FB403F"/>
    <w:rsid w:val="3B1E439D"/>
    <w:rsid w:val="3B37747F"/>
    <w:rsid w:val="3B954085"/>
    <w:rsid w:val="3BA3119B"/>
    <w:rsid w:val="3C697F3C"/>
    <w:rsid w:val="3D163764"/>
    <w:rsid w:val="3D876BF6"/>
    <w:rsid w:val="3D9B592D"/>
    <w:rsid w:val="3E9133C2"/>
    <w:rsid w:val="3EB3556A"/>
    <w:rsid w:val="3EF7515C"/>
    <w:rsid w:val="3F2F62E8"/>
    <w:rsid w:val="3FF574D5"/>
    <w:rsid w:val="40074F86"/>
    <w:rsid w:val="406F53B4"/>
    <w:rsid w:val="40831A96"/>
    <w:rsid w:val="40EB5923"/>
    <w:rsid w:val="415416B8"/>
    <w:rsid w:val="41CC659A"/>
    <w:rsid w:val="41D54561"/>
    <w:rsid w:val="4236671F"/>
    <w:rsid w:val="424A1524"/>
    <w:rsid w:val="42B27F1E"/>
    <w:rsid w:val="42B4449A"/>
    <w:rsid w:val="433D37F2"/>
    <w:rsid w:val="44323FEF"/>
    <w:rsid w:val="44970288"/>
    <w:rsid w:val="450B6E6A"/>
    <w:rsid w:val="454816BC"/>
    <w:rsid w:val="455C0DDE"/>
    <w:rsid w:val="45B5488C"/>
    <w:rsid w:val="461D4628"/>
    <w:rsid w:val="461F4EDC"/>
    <w:rsid w:val="463A2E7E"/>
    <w:rsid w:val="463B4CD7"/>
    <w:rsid w:val="46D66F4A"/>
    <w:rsid w:val="46E71BC6"/>
    <w:rsid w:val="474A6693"/>
    <w:rsid w:val="47AF7662"/>
    <w:rsid w:val="480F4128"/>
    <w:rsid w:val="48554A15"/>
    <w:rsid w:val="49033286"/>
    <w:rsid w:val="497458D9"/>
    <w:rsid w:val="49CC3D77"/>
    <w:rsid w:val="49EB7B92"/>
    <w:rsid w:val="49FB5BDE"/>
    <w:rsid w:val="4A48238B"/>
    <w:rsid w:val="4ACE61FE"/>
    <w:rsid w:val="4ACF0524"/>
    <w:rsid w:val="4ACF310E"/>
    <w:rsid w:val="4AE135E6"/>
    <w:rsid w:val="4AF146B0"/>
    <w:rsid w:val="4B7B31DA"/>
    <w:rsid w:val="4B885AF2"/>
    <w:rsid w:val="4B9827ED"/>
    <w:rsid w:val="4BAA2182"/>
    <w:rsid w:val="4BD356A1"/>
    <w:rsid w:val="4C4F4792"/>
    <w:rsid w:val="4C7B730D"/>
    <w:rsid w:val="4CE81CDA"/>
    <w:rsid w:val="4D2C2F45"/>
    <w:rsid w:val="4DB228F2"/>
    <w:rsid w:val="4DB34101"/>
    <w:rsid w:val="4E86141E"/>
    <w:rsid w:val="4E9B0484"/>
    <w:rsid w:val="4EE86FC8"/>
    <w:rsid w:val="4F2368BF"/>
    <w:rsid w:val="4F2A6061"/>
    <w:rsid w:val="4FA03BC8"/>
    <w:rsid w:val="4FF30FB7"/>
    <w:rsid w:val="5006161D"/>
    <w:rsid w:val="503B7113"/>
    <w:rsid w:val="506D3A5B"/>
    <w:rsid w:val="509739F5"/>
    <w:rsid w:val="50AA672C"/>
    <w:rsid w:val="50E6698A"/>
    <w:rsid w:val="51152CDE"/>
    <w:rsid w:val="51165415"/>
    <w:rsid w:val="512C0F7C"/>
    <w:rsid w:val="51B126DC"/>
    <w:rsid w:val="52296D54"/>
    <w:rsid w:val="528C3637"/>
    <w:rsid w:val="52B67A13"/>
    <w:rsid w:val="5389478F"/>
    <w:rsid w:val="544D54EB"/>
    <w:rsid w:val="56593473"/>
    <w:rsid w:val="56662EDE"/>
    <w:rsid w:val="56720FBB"/>
    <w:rsid w:val="57121DF2"/>
    <w:rsid w:val="577A2E12"/>
    <w:rsid w:val="57A60A35"/>
    <w:rsid w:val="57D1246E"/>
    <w:rsid w:val="57F43941"/>
    <w:rsid w:val="581069F2"/>
    <w:rsid w:val="59773794"/>
    <w:rsid w:val="59951FB4"/>
    <w:rsid w:val="59A531EA"/>
    <w:rsid w:val="59D233A7"/>
    <w:rsid w:val="59EA17B7"/>
    <w:rsid w:val="5A2238FA"/>
    <w:rsid w:val="5B0B2A72"/>
    <w:rsid w:val="5B104ECA"/>
    <w:rsid w:val="5B7B51B5"/>
    <w:rsid w:val="5CA412FB"/>
    <w:rsid w:val="5D2476CF"/>
    <w:rsid w:val="5D832B22"/>
    <w:rsid w:val="5DF033FC"/>
    <w:rsid w:val="5DF378D6"/>
    <w:rsid w:val="5E681A29"/>
    <w:rsid w:val="5E6B7F65"/>
    <w:rsid w:val="5E7539B6"/>
    <w:rsid w:val="5FA303CD"/>
    <w:rsid w:val="5FCC0579"/>
    <w:rsid w:val="60270F25"/>
    <w:rsid w:val="61131B57"/>
    <w:rsid w:val="61776449"/>
    <w:rsid w:val="61BD5513"/>
    <w:rsid w:val="61D81BFA"/>
    <w:rsid w:val="62224A33"/>
    <w:rsid w:val="62302A6F"/>
    <w:rsid w:val="62541670"/>
    <w:rsid w:val="62CF674F"/>
    <w:rsid w:val="62D7097E"/>
    <w:rsid w:val="62DD1DDB"/>
    <w:rsid w:val="62F560C7"/>
    <w:rsid w:val="62F57839"/>
    <w:rsid w:val="634E7DD9"/>
    <w:rsid w:val="638C509D"/>
    <w:rsid w:val="63A14975"/>
    <w:rsid w:val="63EC2776"/>
    <w:rsid w:val="64A435E9"/>
    <w:rsid w:val="65672EE1"/>
    <w:rsid w:val="656976F9"/>
    <w:rsid w:val="66092F61"/>
    <w:rsid w:val="66236C7B"/>
    <w:rsid w:val="66366275"/>
    <w:rsid w:val="667C2E42"/>
    <w:rsid w:val="66E9403F"/>
    <w:rsid w:val="66F971B1"/>
    <w:rsid w:val="67304E93"/>
    <w:rsid w:val="674E2EB2"/>
    <w:rsid w:val="675D11D8"/>
    <w:rsid w:val="677C42F1"/>
    <w:rsid w:val="67B57BF3"/>
    <w:rsid w:val="67DB1770"/>
    <w:rsid w:val="68432AA4"/>
    <w:rsid w:val="68E759D5"/>
    <w:rsid w:val="69252DFA"/>
    <w:rsid w:val="698F0190"/>
    <w:rsid w:val="6A04506C"/>
    <w:rsid w:val="6A26240F"/>
    <w:rsid w:val="6A2E7CCC"/>
    <w:rsid w:val="6ACC6C7C"/>
    <w:rsid w:val="6B0A5435"/>
    <w:rsid w:val="6B5206AA"/>
    <w:rsid w:val="6B664BB6"/>
    <w:rsid w:val="6B9C038F"/>
    <w:rsid w:val="6C396408"/>
    <w:rsid w:val="6C575861"/>
    <w:rsid w:val="6C6A0DE7"/>
    <w:rsid w:val="6CE00081"/>
    <w:rsid w:val="6CE969A5"/>
    <w:rsid w:val="6CF9067C"/>
    <w:rsid w:val="6E504306"/>
    <w:rsid w:val="6F010FFF"/>
    <w:rsid w:val="6F2115B2"/>
    <w:rsid w:val="6F233592"/>
    <w:rsid w:val="6F6F2188"/>
    <w:rsid w:val="6F722127"/>
    <w:rsid w:val="6FDF1B81"/>
    <w:rsid w:val="7037318E"/>
    <w:rsid w:val="705C5C62"/>
    <w:rsid w:val="706F778B"/>
    <w:rsid w:val="708D322F"/>
    <w:rsid w:val="70B20C14"/>
    <w:rsid w:val="71A77A4C"/>
    <w:rsid w:val="72593320"/>
    <w:rsid w:val="72903A9E"/>
    <w:rsid w:val="7344546E"/>
    <w:rsid w:val="738851F8"/>
    <w:rsid w:val="73D1441B"/>
    <w:rsid w:val="741C6ABA"/>
    <w:rsid w:val="74245D51"/>
    <w:rsid w:val="74501480"/>
    <w:rsid w:val="74861060"/>
    <w:rsid w:val="74DA2AAF"/>
    <w:rsid w:val="754A156A"/>
    <w:rsid w:val="759409CB"/>
    <w:rsid w:val="762E77C8"/>
    <w:rsid w:val="7672518E"/>
    <w:rsid w:val="76BE4538"/>
    <w:rsid w:val="77431100"/>
    <w:rsid w:val="77A333BE"/>
    <w:rsid w:val="7809436E"/>
    <w:rsid w:val="78A711B8"/>
    <w:rsid w:val="78AF0D9E"/>
    <w:rsid w:val="794315B9"/>
    <w:rsid w:val="7A8C63BA"/>
    <w:rsid w:val="7AB37314"/>
    <w:rsid w:val="7AB86A95"/>
    <w:rsid w:val="7AD15DB2"/>
    <w:rsid w:val="7B06432B"/>
    <w:rsid w:val="7B24281E"/>
    <w:rsid w:val="7C42090C"/>
    <w:rsid w:val="7C4F118B"/>
    <w:rsid w:val="7C837A2E"/>
    <w:rsid w:val="7D58411F"/>
    <w:rsid w:val="7D98656F"/>
    <w:rsid w:val="7E176399"/>
    <w:rsid w:val="7E3F1C4E"/>
    <w:rsid w:val="7EF20F20"/>
    <w:rsid w:val="7F804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nhideWhenUsed="0" w:uiPriority="59" w:semiHidden="0" w:name="Table Grid"/>
    <w:lsdException w:unhideWhenUsed="0" w:uiPriority="99"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黑体" w:cs="Calibri"/>
      <w:kern w:val="2"/>
      <w:sz w:val="21"/>
      <w:szCs w:val="24"/>
      <w:lang w:val="en-US" w:eastAsia="zh-CN" w:bidi="ar-SA"/>
    </w:rPr>
  </w:style>
  <w:style w:type="paragraph" w:styleId="3">
    <w:name w:val="heading 1"/>
    <w:basedOn w:val="1"/>
    <w:next w:val="1"/>
    <w:link w:val="126"/>
    <w:qFormat/>
    <w:uiPriority w:val="0"/>
    <w:pPr>
      <w:keepNext/>
      <w:keepLines/>
      <w:spacing w:line="360" w:lineRule="auto"/>
      <w:outlineLvl w:val="0"/>
    </w:pPr>
    <w:rPr>
      <w:rFonts w:cs="Times New Roman"/>
      <w:b/>
      <w:bCs/>
      <w:kern w:val="44"/>
      <w:sz w:val="32"/>
      <w:szCs w:val="44"/>
    </w:rPr>
  </w:style>
  <w:style w:type="paragraph" w:styleId="4">
    <w:name w:val="heading 2"/>
    <w:basedOn w:val="1"/>
    <w:next w:val="1"/>
    <w:link w:val="73"/>
    <w:qFormat/>
    <w:uiPriority w:val="0"/>
    <w:pPr>
      <w:keepNext/>
      <w:keepLines/>
      <w:spacing w:before="260" w:after="260" w:line="413" w:lineRule="auto"/>
      <w:outlineLvl w:val="1"/>
    </w:pPr>
    <w:rPr>
      <w:rFonts w:ascii="Cambria" w:hAnsi="Cambria" w:eastAsia="等线 Light" w:cs="Times New Roman"/>
      <w:b/>
      <w:bCs/>
      <w:kern w:val="0"/>
      <w:sz w:val="32"/>
      <w:szCs w:val="32"/>
    </w:rPr>
  </w:style>
  <w:style w:type="paragraph" w:styleId="5">
    <w:name w:val="heading 3"/>
    <w:basedOn w:val="1"/>
    <w:next w:val="1"/>
    <w:link w:val="85"/>
    <w:qFormat/>
    <w:uiPriority w:val="0"/>
    <w:pPr>
      <w:keepNext/>
      <w:keepLines/>
      <w:spacing w:line="360" w:lineRule="auto"/>
      <w:outlineLvl w:val="2"/>
    </w:pPr>
    <w:rPr>
      <w:rFonts w:cs="Times New Roman"/>
      <w:b/>
      <w:bCs/>
      <w:kern w:val="0"/>
      <w:sz w:val="24"/>
      <w:szCs w:val="32"/>
    </w:rPr>
  </w:style>
  <w:style w:type="paragraph" w:styleId="6">
    <w:name w:val="heading 4"/>
    <w:basedOn w:val="1"/>
    <w:next w:val="1"/>
    <w:link w:val="79"/>
    <w:qFormat/>
    <w:uiPriority w:val="0"/>
    <w:pPr>
      <w:keepNext/>
      <w:keepLines/>
      <w:spacing w:line="360" w:lineRule="auto"/>
      <w:outlineLvl w:val="3"/>
    </w:pPr>
    <w:rPr>
      <w:rFonts w:ascii="Cambria" w:hAnsi="Cambria" w:cs="Times New Roman"/>
      <w:b/>
      <w:bCs/>
      <w:kern w:val="0"/>
      <w:sz w:val="20"/>
      <w:szCs w:val="28"/>
    </w:rPr>
  </w:style>
  <w:style w:type="paragraph" w:styleId="7">
    <w:name w:val="heading 5"/>
    <w:basedOn w:val="1"/>
    <w:next w:val="1"/>
    <w:link w:val="119"/>
    <w:qFormat/>
    <w:uiPriority w:val="0"/>
    <w:pPr>
      <w:keepNext/>
      <w:keepLines/>
      <w:spacing w:before="280" w:after="290" w:line="376" w:lineRule="auto"/>
      <w:outlineLvl w:val="4"/>
    </w:pPr>
    <w:rPr>
      <w:rFonts w:cs="Times New Roman"/>
      <w:b/>
      <w:bCs/>
      <w:kern w:val="0"/>
      <w:sz w:val="28"/>
      <w:szCs w:val="28"/>
    </w:rPr>
  </w:style>
  <w:style w:type="paragraph" w:styleId="8">
    <w:name w:val="heading 6"/>
    <w:basedOn w:val="1"/>
    <w:next w:val="1"/>
    <w:link w:val="106"/>
    <w:qFormat/>
    <w:uiPriority w:val="0"/>
    <w:pPr>
      <w:keepNext/>
      <w:keepLines/>
      <w:spacing w:before="240" w:after="64" w:line="317" w:lineRule="auto"/>
      <w:outlineLvl w:val="5"/>
    </w:pPr>
    <w:rPr>
      <w:rFonts w:ascii="等线" w:hAnsi="等线" w:cs="Times New Roman"/>
      <w:b/>
      <w:bCs/>
      <w:kern w:val="0"/>
      <w:sz w:val="24"/>
    </w:rPr>
  </w:style>
  <w:style w:type="paragraph" w:styleId="9">
    <w:name w:val="heading 7"/>
    <w:basedOn w:val="1"/>
    <w:next w:val="1"/>
    <w:link w:val="103"/>
    <w:qFormat/>
    <w:uiPriority w:val="0"/>
    <w:pPr>
      <w:keepNext/>
      <w:keepLines/>
      <w:spacing w:before="240" w:after="64" w:line="317" w:lineRule="auto"/>
      <w:outlineLvl w:val="6"/>
    </w:pPr>
    <w:rPr>
      <w:rFonts w:ascii="Cambria Math" w:hAnsi="Cambria Math" w:cs="Times New Roman"/>
      <w:b/>
      <w:bCs/>
      <w:kern w:val="0"/>
      <w:sz w:val="24"/>
    </w:rPr>
  </w:style>
  <w:style w:type="paragraph" w:styleId="10">
    <w:name w:val="heading 8"/>
    <w:basedOn w:val="1"/>
    <w:next w:val="1"/>
    <w:link w:val="120"/>
    <w:qFormat/>
    <w:uiPriority w:val="0"/>
    <w:pPr>
      <w:keepNext/>
      <w:keepLines/>
      <w:spacing w:before="240" w:after="64" w:line="317" w:lineRule="auto"/>
      <w:outlineLvl w:val="7"/>
    </w:pPr>
    <w:rPr>
      <w:rFonts w:ascii="等线" w:hAnsi="等线" w:cs="Times New Roman"/>
      <w:kern w:val="0"/>
      <w:sz w:val="24"/>
    </w:rPr>
  </w:style>
  <w:style w:type="paragraph" w:styleId="11">
    <w:name w:val="heading 9"/>
    <w:basedOn w:val="1"/>
    <w:next w:val="1"/>
    <w:link w:val="72"/>
    <w:qFormat/>
    <w:uiPriority w:val="0"/>
    <w:pPr>
      <w:keepNext/>
      <w:keepLines/>
      <w:spacing w:before="240" w:after="64" w:line="317" w:lineRule="auto"/>
      <w:outlineLvl w:val="8"/>
    </w:pPr>
    <w:rPr>
      <w:rFonts w:ascii="等线" w:hAnsi="等线" w:cs="Times New Roman"/>
      <w:kern w:val="0"/>
      <w:sz w:val="20"/>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56"/>
    <w:qFormat/>
    <w:uiPriority w:val="0"/>
    <w:pPr>
      <w:spacing w:after="120" w:line="480" w:lineRule="auto"/>
      <w:ind w:left="420" w:leftChars="200"/>
    </w:pPr>
    <w:rPr>
      <w:rFonts w:cs="Times New Roman"/>
      <w:kern w:val="0"/>
      <w:sz w:val="20"/>
    </w:rPr>
  </w:style>
  <w:style w:type="paragraph" w:styleId="12">
    <w:name w:val="toc 7"/>
    <w:basedOn w:val="1"/>
    <w:next w:val="1"/>
    <w:qFormat/>
    <w:uiPriority w:val="39"/>
    <w:pPr>
      <w:ind w:left="2520" w:leftChars="1200"/>
    </w:pPr>
    <w:rPr>
      <w:rFonts w:ascii="Cambria Math" w:hAnsi="Cambria Math"/>
      <w:szCs w:val="22"/>
    </w:rPr>
  </w:style>
  <w:style w:type="paragraph" w:styleId="13">
    <w:name w:val="Normal Indent"/>
    <w:basedOn w:val="1"/>
    <w:qFormat/>
    <w:uiPriority w:val="0"/>
    <w:pPr>
      <w:widowControl/>
      <w:ind w:firstLine="420"/>
      <w:jc w:val="left"/>
    </w:pPr>
    <w:rPr>
      <w:sz w:val="20"/>
    </w:rPr>
  </w:style>
  <w:style w:type="paragraph" w:styleId="14">
    <w:name w:val="caption"/>
    <w:basedOn w:val="1"/>
    <w:next w:val="1"/>
    <w:qFormat/>
    <w:uiPriority w:val="0"/>
    <w:rPr>
      <w:rFonts w:ascii="等线" w:hAnsi="等线" w:eastAsia="等线 Light"/>
      <w:sz w:val="20"/>
      <w:szCs w:val="20"/>
    </w:rPr>
  </w:style>
  <w:style w:type="paragraph" w:styleId="15">
    <w:name w:val="Document Map"/>
    <w:basedOn w:val="1"/>
    <w:link w:val="144"/>
    <w:qFormat/>
    <w:uiPriority w:val="0"/>
    <w:pPr>
      <w:shd w:val="clear" w:color="auto" w:fill="000080"/>
    </w:pPr>
    <w:rPr>
      <w:rFonts w:cs="Times New Roman"/>
      <w:kern w:val="0"/>
      <w:sz w:val="20"/>
      <w:shd w:val="clear" w:color="auto" w:fill="000080"/>
    </w:rPr>
  </w:style>
  <w:style w:type="paragraph" w:styleId="16">
    <w:name w:val="annotation text"/>
    <w:basedOn w:val="1"/>
    <w:link w:val="90"/>
    <w:unhideWhenUsed/>
    <w:qFormat/>
    <w:uiPriority w:val="99"/>
    <w:pPr>
      <w:jc w:val="left"/>
    </w:pPr>
    <w:rPr>
      <w:rFonts w:cs="Times New Roman"/>
      <w:kern w:val="0"/>
      <w:sz w:val="20"/>
    </w:rPr>
  </w:style>
  <w:style w:type="paragraph" w:styleId="17">
    <w:name w:val="Body Text"/>
    <w:basedOn w:val="1"/>
    <w:link w:val="58"/>
    <w:qFormat/>
    <w:uiPriority w:val="0"/>
    <w:pPr>
      <w:adjustRightInd w:val="0"/>
      <w:spacing w:after="60" w:line="360" w:lineRule="atLeast"/>
      <w:ind w:left="72" w:leftChars="30" w:right="30" w:rightChars="30"/>
      <w:jc w:val="center"/>
      <w:textAlignment w:val="baseline"/>
    </w:pPr>
    <w:rPr>
      <w:rFonts w:cs="Times New Roman"/>
      <w:kern w:val="0"/>
      <w:sz w:val="20"/>
      <w:szCs w:val="20"/>
    </w:rPr>
  </w:style>
  <w:style w:type="paragraph" w:styleId="18">
    <w:name w:val="Body Text Indent"/>
    <w:basedOn w:val="1"/>
    <w:link w:val="155"/>
    <w:qFormat/>
    <w:uiPriority w:val="0"/>
    <w:pPr>
      <w:spacing w:before="240" w:line="360" w:lineRule="auto"/>
      <w:ind w:firstLine="552" w:firstLineChars="263"/>
    </w:pPr>
    <w:rPr>
      <w:rFonts w:ascii="黑体" w:hAnsi="黑体" w:cs="Times New Roman"/>
      <w:kern w:val="0"/>
      <w:sz w:val="20"/>
      <w:szCs w:val="20"/>
    </w:rPr>
  </w:style>
  <w:style w:type="paragraph" w:styleId="19">
    <w:name w:val="index 4"/>
    <w:basedOn w:val="1"/>
    <w:next w:val="1"/>
    <w:qFormat/>
    <w:uiPriority w:val="0"/>
    <w:pPr>
      <w:ind w:left="600" w:leftChars="600"/>
    </w:pPr>
  </w:style>
  <w:style w:type="paragraph" w:styleId="20">
    <w:name w:val="toc 5"/>
    <w:basedOn w:val="1"/>
    <w:next w:val="1"/>
    <w:qFormat/>
    <w:uiPriority w:val="39"/>
    <w:pPr>
      <w:ind w:left="1680" w:leftChars="800"/>
    </w:pPr>
    <w:rPr>
      <w:rFonts w:ascii="Cambria Math" w:hAnsi="Cambria Math"/>
      <w:szCs w:val="22"/>
    </w:rPr>
  </w:style>
  <w:style w:type="paragraph" w:styleId="21">
    <w:name w:val="toc 3"/>
    <w:basedOn w:val="1"/>
    <w:next w:val="1"/>
    <w:qFormat/>
    <w:uiPriority w:val="39"/>
    <w:pPr>
      <w:ind w:left="840" w:leftChars="400"/>
    </w:pPr>
  </w:style>
  <w:style w:type="paragraph" w:styleId="22">
    <w:name w:val="Plain Text"/>
    <w:basedOn w:val="1"/>
    <w:link w:val="157"/>
    <w:qFormat/>
    <w:uiPriority w:val="0"/>
    <w:pPr>
      <w:adjustRightInd w:val="0"/>
      <w:spacing w:line="312" w:lineRule="atLeast"/>
      <w:textAlignment w:val="baseline"/>
    </w:pPr>
    <w:rPr>
      <w:rFonts w:ascii="黑体" w:hAnsi="楷体_GB2312" w:eastAsia="黑体" w:cs="Calibri"/>
      <w:szCs w:val="21"/>
      <w:lang w:val="en-US" w:eastAsia="zh-CN" w:bidi="ar-SA"/>
    </w:rPr>
  </w:style>
  <w:style w:type="paragraph" w:styleId="23">
    <w:name w:val="toc 8"/>
    <w:basedOn w:val="1"/>
    <w:next w:val="1"/>
    <w:qFormat/>
    <w:uiPriority w:val="39"/>
    <w:pPr>
      <w:ind w:left="2940" w:leftChars="1400"/>
    </w:pPr>
    <w:rPr>
      <w:rFonts w:ascii="Cambria Math" w:hAnsi="Cambria Math"/>
      <w:szCs w:val="22"/>
    </w:rPr>
  </w:style>
  <w:style w:type="paragraph" w:styleId="24">
    <w:name w:val="Date"/>
    <w:basedOn w:val="1"/>
    <w:next w:val="1"/>
    <w:link w:val="55"/>
    <w:qFormat/>
    <w:uiPriority w:val="0"/>
    <w:pPr>
      <w:ind w:left="100" w:leftChars="2500"/>
    </w:pPr>
    <w:rPr>
      <w:rFonts w:cs="Times New Roman"/>
      <w:kern w:val="0"/>
      <w:sz w:val="20"/>
    </w:rPr>
  </w:style>
  <w:style w:type="paragraph" w:styleId="25">
    <w:name w:val="Balloon Text"/>
    <w:basedOn w:val="1"/>
    <w:link w:val="89"/>
    <w:qFormat/>
    <w:uiPriority w:val="0"/>
    <w:rPr>
      <w:rFonts w:cs="Times New Roman"/>
      <w:kern w:val="0"/>
      <w:sz w:val="18"/>
      <w:szCs w:val="18"/>
    </w:rPr>
  </w:style>
  <w:style w:type="paragraph" w:styleId="26">
    <w:name w:val="footer"/>
    <w:basedOn w:val="1"/>
    <w:link w:val="138"/>
    <w:unhideWhenUsed/>
    <w:qFormat/>
    <w:uiPriority w:val="0"/>
    <w:pPr>
      <w:tabs>
        <w:tab w:val="center" w:pos="4153"/>
        <w:tab w:val="right" w:pos="8306"/>
      </w:tabs>
      <w:snapToGrid w:val="0"/>
      <w:jc w:val="left"/>
    </w:pPr>
    <w:rPr>
      <w:rFonts w:cs="Times New Roman"/>
      <w:kern w:val="0"/>
      <w:sz w:val="18"/>
      <w:szCs w:val="18"/>
    </w:rPr>
  </w:style>
  <w:style w:type="paragraph" w:styleId="27">
    <w:name w:val="header"/>
    <w:basedOn w:val="1"/>
    <w:link w:val="152"/>
    <w:unhideWhenUsed/>
    <w:qFormat/>
    <w:uiPriority w:val="0"/>
    <w:pPr>
      <w:pBdr>
        <w:bottom w:val="single" w:color="auto" w:sz="6" w:space="1"/>
      </w:pBdr>
      <w:tabs>
        <w:tab w:val="center" w:pos="4153"/>
        <w:tab w:val="right" w:pos="8306"/>
      </w:tabs>
      <w:snapToGrid w:val="0"/>
      <w:jc w:val="center"/>
    </w:pPr>
    <w:rPr>
      <w:rFonts w:cs="Times New Roman"/>
      <w:kern w:val="0"/>
      <w:sz w:val="18"/>
      <w:szCs w:val="18"/>
    </w:rPr>
  </w:style>
  <w:style w:type="paragraph" w:styleId="28">
    <w:name w:val="toc 1"/>
    <w:basedOn w:val="1"/>
    <w:next w:val="1"/>
    <w:qFormat/>
    <w:uiPriority w:val="39"/>
    <w:pPr>
      <w:tabs>
        <w:tab w:val="right" w:leader="dot" w:pos="9185"/>
      </w:tabs>
      <w:adjustRightInd w:val="0"/>
      <w:ind w:left="420" w:leftChars="100" w:right="100" w:rightChars="100"/>
      <w:textAlignment w:val="baseline"/>
    </w:pPr>
    <w:rPr>
      <w:kern w:val="0"/>
    </w:rPr>
  </w:style>
  <w:style w:type="paragraph" w:styleId="29">
    <w:name w:val="toc 4"/>
    <w:basedOn w:val="1"/>
    <w:next w:val="1"/>
    <w:qFormat/>
    <w:uiPriority w:val="39"/>
    <w:pPr>
      <w:ind w:left="1260" w:leftChars="600"/>
    </w:pPr>
    <w:rPr>
      <w:rFonts w:ascii="Cambria Math" w:hAnsi="Cambria Math"/>
      <w:szCs w:val="22"/>
    </w:rPr>
  </w:style>
  <w:style w:type="paragraph" w:styleId="30">
    <w:name w:val="Subtitle"/>
    <w:basedOn w:val="1"/>
    <w:next w:val="1"/>
    <w:link w:val="68"/>
    <w:qFormat/>
    <w:uiPriority w:val="0"/>
    <w:pPr>
      <w:spacing w:before="240" w:after="60" w:line="312" w:lineRule="auto"/>
      <w:jc w:val="center"/>
      <w:outlineLvl w:val="1"/>
    </w:pPr>
    <w:rPr>
      <w:rFonts w:ascii="等线" w:hAnsi="等线" w:cs="Times New Roman"/>
      <w:b/>
      <w:bCs/>
      <w:kern w:val="28"/>
      <w:sz w:val="32"/>
      <w:szCs w:val="32"/>
    </w:rPr>
  </w:style>
  <w:style w:type="paragraph" w:styleId="31">
    <w:name w:val="footnote text"/>
    <w:basedOn w:val="1"/>
    <w:link w:val="91"/>
    <w:qFormat/>
    <w:uiPriority w:val="0"/>
    <w:pPr>
      <w:adjustRightInd w:val="0"/>
      <w:spacing w:line="312" w:lineRule="atLeast"/>
      <w:jc w:val="left"/>
      <w:textAlignment w:val="baseline"/>
    </w:pPr>
    <w:rPr>
      <w:rFonts w:cs="Times New Roman"/>
      <w:kern w:val="0"/>
      <w:sz w:val="18"/>
      <w:szCs w:val="20"/>
    </w:rPr>
  </w:style>
  <w:style w:type="paragraph" w:styleId="32">
    <w:name w:val="toc 6"/>
    <w:basedOn w:val="1"/>
    <w:next w:val="1"/>
    <w:qFormat/>
    <w:uiPriority w:val="39"/>
    <w:pPr>
      <w:ind w:left="2100" w:leftChars="1000"/>
    </w:pPr>
    <w:rPr>
      <w:rFonts w:ascii="Cambria Math" w:hAnsi="Cambria Math"/>
      <w:szCs w:val="22"/>
    </w:rPr>
  </w:style>
  <w:style w:type="paragraph" w:styleId="33">
    <w:name w:val="Body Text Indent 3"/>
    <w:basedOn w:val="1"/>
    <w:link w:val="101"/>
    <w:qFormat/>
    <w:uiPriority w:val="0"/>
    <w:pPr>
      <w:autoSpaceDE w:val="0"/>
      <w:autoSpaceDN w:val="0"/>
      <w:adjustRightInd w:val="0"/>
      <w:spacing w:line="360" w:lineRule="exact"/>
      <w:ind w:firstLine="600"/>
    </w:pPr>
    <w:rPr>
      <w:rFonts w:ascii="仿宋" w:eastAsia="仿宋" w:cs="Times New Roman"/>
      <w:color w:val="000000"/>
      <w:kern w:val="0"/>
      <w:sz w:val="28"/>
      <w:szCs w:val="20"/>
    </w:rPr>
  </w:style>
  <w:style w:type="paragraph" w:styleId="34">
    <w:name w:val="toc 2"/>
    <w:basedOn w:val="1"/>
    <w:next w:val="1"/>
    <w:qFormat/>
    <w:uiPriority w:val="39"/>
    <w:pPr>
      <w:ind w:left="420" w:leftChars="200"/>
    </w:pPr>
    <w:rPr>
      <w:rFonts w:ascii="Cambria Math" w:hAnsi="Cambria Math"/>
      <w:szCs w:val="22"/>
    </w:rPr>
  </w:style>
  <w:style w:type="paragraph" w:styleId="35">
    <w:name w:val="toc 9"/>
    <w:basedOn w:val="1"/>
    <w:next w:val="1"/>
    <w:qFormat/>
    <w:uiPriority w:val="39"/>
    <w:pPr>
      <w:ind w:left="3360" w:leftChars="1600"/>
    </w:pPr>
    <w:rPr>
      <w:rFonts w:ascii="Cambria Math" w:hAnsi="Cambria Math"/>
      <w:szCs w:val="22"/>
    </w:rPr>
  </w:style>
  <w:style w:type="paragraph" w:styleId="36">
    <w:name w:val="Body Text 2"/>
    <w:basedOn w:val="1"/>
    <w:link w:val="140"/>
    <w:qFormat/>
    <w:uiPriority w:val="0"/>
    <w:pPr>
      <w:spacing w:after="120" w:line="480" w:lineRule="auto"/>
    </w:pPr>
    <w:rPr>
      <w:rFonts w:cs="Times New Roman"/>
      <w:kern w:val="0"/>
      <w:sz w:val="20"/>
      <w:szCs w:val="20"/>
    </w:rPr>
  </w:style>
  <w:style w:type="paragraph" w:styleId="37">
    <w:name w:val="Normal (Web)"/>
    <w:basedOn w:val="1"/>
    <w:qFormat/>
    <w:uiPriority w:val="99"/>
    <w:pPr>
      <w:widowControl/>
      <w:spacing w:before="100" w:beforeAutospacing="1" w:after="100" w:afterAutospacing="1"/>
      <w:jc w:val="left"/>
    </w:pPr>
    <w:rPr>
      <w:rFonts w:ascii="黑体" w:hAnsi="黑体" w:cs="黑体"/>
      <w:kern w:val="0"/>
      <w:sz w:val="24"/>
    </w:rPr>
  </w:style>
  <w:style w:type="paragraph" w:styleId="38">
    <w:name w:val="index 1"/>
    <w:basedOn w:val="1"/>
    <w:next w:val="1"/>
    <w:qFormat/>
    <w:uiPriority w:val="0"/>
    <w:rPr>
      <w:szCs w:val="20"/>
    </w:rPr>
  </w:style>
  <w:style w:type="paragraph" w:styleId="39">
    <w:name w:val="Title"/>
    <w:basedOn w:val="1"/>
    <w:next w:val="1"/>
    <w:link w:val="110"/>
    <w:qFormat/>
    <w:uiPriority w:val="0"/>
    <w:pPr>
      <w:spacing w:before="240" w:after="60"/>
      <w:jc w:val="center"/>
      <w:outlineLvl w:val="0"/>
    </w:pPr>
    <w:rPr>
      <w:rFonts w:ascii="等线" w:hAnsi="等线" w:cs="Times New Roman"/>
      <w:b/>
      <w:bCs/>
      <w:kern w:val="0"/>
      <w:sz w:val="32"/>
      <w:szCs w:val="32"/>
    </w:rPr>
  </w:style>
  <w:style w:type="paragraph" w:styleId="40">
    <w:name w:val="annotation subject"/>
    <w:basedOn w:val="16"/>
    <w:next w:val="16"/>
    <w:link w:val="133"/>
    <w:qFormat/>
    <w:uiPriority w:val="0"/>
    <w:rPr>
      <w:b/>
      <w:bCs/>
    </w:rPr>
  </w:style>
  <w:style w:type="table" w:styleId="42">
    <w:name w:val="Table Grid"/>
    <w:basedOn w:val="4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000000"/>
      <w:u w:val="none"/>
    </w:rPr>
  </w:style>
  <w:style w:type="character" w:styleId="47">
    <w:name w:val="Emphasis"/>
    <w:qFormat/>
    <w:uiPriority w:val="0"/>
    <w:rPr>
      <w:i/>
      <w:iCs/>
    </w:rPr>
  </w:style>
  <w:style w:type="character" w:styleId="48">
    <w:name w:val="HTML Definition"/>
    <w:basedOn w:val="43"/>
    <w:semiHidden/>
    <w:unhideWhenUsed/>
    <w:qFormat/>
    <w:uiPriority w:val="99"/>
  </w:style>
  <w:style w:type="character" w:styleId="49">
    <w:name w:val="HTML Acronym"/>
    <w:basedOn w:val="43"/>
    <w:semiHidden/>
    <w:unhideWhenUsed/>
    <w:qFormat/>
    <w:uiPriority w:val="99"/>
  </w:style>
  <w:style w:type="character" w:styleId="50">
    <w:name w:val="HTML Variable"/>
    <w:basedOn w:val="43"/>
    <w:semiHidden/>
    <w:unhideWhenUsed/>
    <w:qFormat/>
    <w:uiPriority w:val="99"/>
  </w:style>
  <w:style w:type="character" w:styleId="51">
    <w:name w:val="Hyperlink"/>
    <w:qFormat/>
    <w:uiPriority w:val="99"/>
    <w:rPr>
      <w:color w:val="000000"/>
      <w:u w:val="none"/>
    </w:rPr>
  </w:style>
  <w:style w:type="character" w:styleId="52">
    <w:name w:val="HTML Code"/>
    <w:basedOn w:val="43"/>
    <w:semiHidden/>
    <w:unhideWhenUsed/>
    <w:qFormat/>
    <w:uiPriority w:val="99"/>
    <w:rPr>
      <w:rFonts w:ascii="Courier New" w:hAnsi="Courier New"/>
      <w:color w:val="505050"/>
      <w:sz w:val="24"/>
      <w:szCs w:val="24"/>
    </w:rPr>
  </w:style>
  <w:style w:type="character" w:styleId="53">
    <w:name w:val="annotation reference"/>
    <w:qFormat/>
    <w:uiPriority w:val="0"/>
    <w:rPr>
      <w:sz w:val="21"/>
      <w:szCs w:val="21"/>
    </w:rPr>
  </w:style>
  <w:style w:type="character" w:styleId="54">
    <w:name w:val="HTML Cite"/>
    <w:basedOn w:val="43"/>
    <w:semiHidden/>
    <w:unhideWhenUsed/>
    <w:qFormat/>
    <w:uiPriority w:val="99"/>
  </w:style>
  <w:style w:type="character" w:customStyle="1" w:styleId="55">
    <w:name w:val="日期 Char"/>
    <w:link w:val="24"/>
    <w:qFormat/>
    <w:uiPriority w:val="0"/>
    <w:rPr>
      <w:szCs w:val="24"/>
    </w:rPr>
  </w:style>
  <w:style w:type="character" w:customStyle="1" w:styleId="56">
    <w:name w:val="Char Char Char Char Char"/>
    <w:qFormat/>
    <w:uiPriority w:val="0"/>
    <w:rPr>
      <w:b/>
      <w:bCs/>
      <w:kern w:val="2"/>
      <w:sz w:val="21"/>
      <w:szCs w:val="24"/>
    </w:rPr>
  </w:style>
  <w:style w:type="character" w:customStyle="1" w:styleId="57">
    <w:name w:val="标题 Char3"/>
    <w:qFormat/>
    <w:uiPriority w:val="10"/>
    <w:rPr>
      <w:rFonts w:ascii="等线" w:hAnsi="等线" w:eastAsia="黑体" w:cs="Calibri"/>
      <w:b/>
      <w:bCs/>
      <w:sz w:val="32"/>
      <w:szCs w:val="32"/>
    </w:rPr>
  </w:style>
  <w:style w:type="character" w:customStyle="1" w:styleId="58">
    <w:name w:val="正文文本 Char"/>
    <w:link w:val="17"/>
    <w:qFormat/>
    <w:uiPriority w:val="0"/>
    <w:rPr>
      <w:rFonts w:eastAsia="黑体"/>
    </w:rPr>
  </w:style>
  <w:style w:type="character" w:customStyle="1" w:styleId="59">
    <w:name w:val="Balloon Text Char"/>
    <w:qFormat/>
    <w:uiPriority w:val="0"/>
    <w:rPr>
      <w:sz w:val="18"/>
      <w:lang w:bidi="ar-SA"/>
    </w:rPr>
  </w:style>
  <w:style w:type="character" w:customStyle="1" w:styleId="60">
    <w:name w:val="纯文本 Char2"/>
    <w:semiHidden/>
    <w:qFormat/>
    <w:uiPriority w:val="99"/>
    <w:rPr>
      <w:rFonts w:ascii="黑体" w:hAnsi="楷体_GB2312" w:eastAsia="黑体" w:cs="楷体_GB2312"/>
      <w:szCs w:val="21"/>
    </w:rPr>
  </w:style>
  <w:style w:type="character" w:customStyle="1" w:styleId="61">
    <w:name w:val="Char Char19"/>
    <w:qFormat/>
    <w:uiPriority w:val="0"/>
    <w:rPr>
      <w:rFonts w:ascii="Cambria" w:hAnsi="Cambria" w:eastAsia="黑体" w:cs="Calibri"/>
      <w:b/>
      <w:bCs/>
      <w:szCs w:val="28"/>
    </w:rPr>
  </w:style>
  <w:style w:type="character" w:customStyle="1" w:styleId="62">
    <w:name w:val="批注文字 Char Char"/>
    <w:qFormat/>
    <w:uiPriority w:val="0"/>
    <w:rPr>
      <w:rFonts w:ascii="黑体" w:hAnsi="Calibri" w:eastAsia="黑体" w:cs="Calibri"/>
      <w:sz w:val="28"/>
      <w:szCs w:val="20"/>
    </w:rPr>
  </w:style>
  <w:style w:type="character" w:customStyle="1" w:styleId="63">
    <w:name w:val="Heading 1 Char"/>
    <w:qFormat/>
    <w:uiPriority w:val="0"/>
    <w:rPr>
      <w:rFonts w:eastAsia="黑体"/>
      <w:b/>
      <w:bCs/>
      <w:kern w:val="44"/>
      <w:sz w:val="32"/>
      <w:szCs w:val="44"/>
      <w:lang w:val="en-US" w:eastAsia="zh-CN" w:bidi="ar-SA"/>
    </w:rPr>
  </w:style>
  <w:style w:type="character" w:customStyle="1" w:styleId="64">
    <w:name w:val="Heading 4 Char"/>
    <w:qFormat/>
    <w:uiPriority w:val="0"/>
    <w:rPr>
      <w:rFonts w:ascii="Cambria" w:hAnsi="Cambria" w:eastAsia="黑体"/>
      <w:b/>
      <w:bCs/>
      <w:kern w:val="2"/>
      <w:sz w:val="21"/>
      <w:szCs w:val="28"/>
      <w:lang w:val="en-US" w:eastAsia="zh-CN" w:bidi="ar-SA"/>
    </w:rPr>
  </w:style>
  <w:style w:type="character" w:customStyle="1" w:styleId="65">
    <w:name w:val="Document Map Char"/>
    <w:qFormat/>
    <w:uiPriority w:val="0"/>
    <w:rPr>
      <w:rFonts w:eastAsia="黑体"/>
      <w:kern w:val="2"/>
      <w:sz w:val="21"/>
      <w:szCs w:val="24"/>
      <w:lang w:val="en-US" w:eastAsia="zh-CN" w:bidi="ar-SA"/>
    </w:rPr>
  </w:style>
  <w:style w:type="character" w:customStyle="1" w:styleId="66">
    <w:name w:val="批注主题 Char2"/>
    <w:semiHidden/>
    <w:qFormat/>
    <w:uiPriority w:val="99"/>
    <w:rPr>
      <w:rFonts w:ascii="Calibri" w:hAnsi="Calibri" w:eastAsia="黑体" w:cs="Calibri"/>
      <w:b/>
      <w:bCs/>
      <w:szCs w:val="24"/>
    </w:rPr>
  </w:style>
  <w:style w:type="character" w:customStyle="1" w:styleId="67">
    <w:name w:val="标题 Char1"/>
    <w:qFormat/>
    <w:uiPriority w:val="0"/>
    <w:rPr>
      <w:rFonts w:ascii="等线" w:hAnsi="等线" w:eastAsia="黑体" w:cs="Calibri"/>
      <w:b/>
      <w:bCs/>
      <w:sz w:val="32"/>
      <w:szCs w:val="32"/>
    </w:rPr>
  </w:style>
  <w:style w:type="character" w:customStyle="1" w:styleId="68">
    <w:name w:val="副标题 Char"/>
    <w:link w:val="30"/>
    <w:qFormat/>
    <w:uiPriority w:val="0"/>
    <w:rPr>
      <w:rFonts w:ascii="等线" w:hAnsi="等线" w:eastAsia="黑体" w:cs="Calibri"/>
      <w:b/>
      <w:bCs/>
      <w:kern w:val="28"/>
      <w:sz w:val="32"/>
      <w:szCs w:val="32"/>
    </w:rPr>
  </w:style>
  <w:style w:type="character" w:customStyle="1" w:styleId="69">
    <w:name w:val="Char Char22"/>
    <w:qFormat/>
    <w:uiPriority w:val="0"/>
    <w:rPr>
      <w:rFonts w:ascii="Calibri" w:hAnsi="Calibri" w:eastAsia="黑体" w:cs="Calibri"/>
      <w:b/>
      <w:bCs/>
      <w:kern w:val="44"/>
      <w:sz w:val="32"/>
      <w:szCs w:val="44"/>
    </w:rPr>
  </w:style>
  <w:style w:type="character" w:customStyle="1" w:styleId="70">
    <w:name w:val="Plain Text Char"/>
    <w:qFormat/>
    <w:uiPriority w:val="0"/>
    <w:rPr>
      <w:rFonts w:ascii="黑体" w:hAnsi="楷体_GB2312" w:eastAsia="黑体"/>
      <w:sz w:val="24"/>
      <w:lang w:bidi="ar-SA"/>
    </w:rPr>
  </w:style>
  <w:style w:type="character" w:customStyle="1" w:styleId="71">
    <w:name w:val="Header Char"/>
    <w:qFormat/>
    <w:uiPriority w:val="0"/>
    <w:rPr>
      <w:rFonts w:eastAsia="黑体"/>
      <w:kern w:val="2"/>
      <w:sz w:val="18"/>
      <w:szCs w:val="18"/>
      <w:lang w:val="en-US" w:eastAsia="zh-CN" w:bidi="ar-SA"/>
    </w:rPr>
  </w:style>
  <w:style w:type="character" w:customStyle="1" w:styleId="72">
    <w:name w:val="标题 9 Char"/>
    <w:link w:val="11"/>
    <w:qFormat/>
    <w:uiPriority w:val="0"/>
    <w:rPr>
      <w:rFonts w:ascii="等线" w:hAnsi="等线" w:eastAsia="黑体" w:cs="Calibri"/>
      <w:szCs w:val="21"/>
    </w:rPr>
  </w:style>
  <w:style w:type="character" w:customStyle="1" w:styleId="73">
    <w:name w:val="标题 2 Char1"/>
    <w:link w:val="4"/>
    <w:qFormat/>
    <w:uiPriority w:val="0"/>
    <w:rPr>
      <w:rFonts w:ascii="Cambria" w:hAnsi="Cambria" w:eastAsia="等线 Light" w:cs="Calibri"/>
      <w:b/>
      <w:bCs/>
      <w:sz w:val="32"/>
      <w:szCs w:val="32"/>
    </w:rPr>
  </w:style>
  <w:style w:type="character" w:customStyle="1" w:styleId="74">
    <w:name w:val="明显引用 Char"/>
    <w:link w:val="75"/>
    <w:qFormat/>
    <w:uiPriority w:val="0"/>
    <w:rPr>
      <w:b/>
      <w:bCs/>
      <w:i/>
      <w:iCs/>
      <w:color w:val="4F81BD"/>
    </w:rPr>
  </w:style>
  <w:style w:type="paragraph" w:styleId="75">
    <w:name w:val="Intense Quote"/>
    <w:basedOn w:val="1"/>
    <w:next w:val="1"/>
    <w:link w:val="74"/>
    <w:qFormat/>
    <w:uiPriority w:val="0"/>
    <w:pPr>
      <w:pBdr>
        <w:bottom w:val="single" w:color="4F81BD" w:sz="4" w:space="4"/>
      </w:pBdr>
      <w:spacing w:before="200" w:after="280"/>
      <w:ind w:left="936" w:right="936"/>
    </w:pPr>
    <w:rPr>
      <w:rFonts w:cs="Times New Roman"/>
      <w:b/>
      <w:bCs/>
      <w:i/>
      <w:iCs/>
      <w:color w:val="4F81BD"/>
      <w:kern w:val="0"/>
      <w:sz w:val="20"/>
      <w:szCs w:val="20"/>
    </w:rPr>
  </w:style>
  <w:style w:type="character" w:customStyle="1" w:styleId="76">
    <w:name w:val="Footer Char"/>
    <w:qFormat/>
    <w:uiPriority w:val="0"/>
    <w:rPr>
      <w:rFonts w:eastAsia="黑体"/>
      <w:kern w:val="2"/>
      <w:sz w:val="18"/>
      <w:szCs w:val="18"/>
      <w:lang w:val="en-US" w:eastAsia="zh-CN" w:bidi="ar-SA"/>
    </w:rPr>
  </w:style>
  <w:style w:type="character" w:customStyle="1" w:styleId="77">
    <w:name w:val="纯文本 Char1"/>
    <w:qFormat/>
    <w:uiPriority w:val="0"/>
    <w:rPr>
      <w:rFonts w:ascii="黑体" w:hAnsi="楷体_GB2312" w:eastAsia="黑体" w:cs="楷体_GB2312"/>
      <w:szCs w:val="21"/>
    </w:rPr>
  </w:style>
  <w:style w:type="character" w:customStyle="1" w:styleId="78">
    <w:name w:val="明显引用 Char Char"/>
    <w:qFormat/>
    <w:uiPriority w:val="0"/>
    <w:rPr>
      <w:b/>
      <w:bCs/>
      <w:i/>
      <w:iCs/>
      <w:color w:val="4F81BD"/>
      <w:lang w:bidi="ar-SA"/>
    </w:rPr>
  </w:style>
  <w:style w:type="character" w:customStyle="1" w:styleId="79">
    <w:name w:val="标题 4 Char"/>
    <w:link w:val="6"/>
    <w:qFormat/>
    <w:uiPriority w:val="0"/>
    <w:rPr>
      <w:rFonts w:ascii="Cambria" w:hAnsi="Cambria" w:eastAsia="黑体" w:cs="Calibri"/>
      <w:b/>
      <w:bCs/>
      <w:szCs w:val="28"/>
    </w:rPr>
  </w:style>
  <w:style w:type="character" w:customStyle="1" w:styleId="80">
    <w:name w:val="普通文字 Char Char3"/>
    <w:qFormat/>
    <w:uiPriority w:val="0"/>
    <w:rPr>
      <w:rFonts w:ascii="黑体" w:hAnsi="楷体_GB2312" w:eastAsia="黑体"/>
      <w:kern w:val="2"/>
      <w:sz w:val="21"/>
      <w:lang w:val="en-US" w:eastAsia="zh-CN" w:bidi="ar-SA"/>
    </w:rPr>
  </w:style>
  <w:style w:type="character" w:customStyle="1" w:styleId="81">
    <w:name w:val="Heading 3 Char1"/>
    <w:qFormat/>
    <w:uiPriority w:val="0"/>
    <w:rPr>
      <w:rFonts w:eastAsia="黑体"/>
      <w:b/>
      <w:bCs/>
      <w:kern w:val="2"/>
      <w:sz w:val="24"/>
      <w:szCs w:val="32"/>
      <w:lang w:val="en-US" w:eastAsia="zh-CN" w:bidi="ar-SA"/>
    </w:rPr>
  </w:style>
  <w:style w:type="character" w:customStyle="1" w:styleId="82">
    <w:name w:val="脚注文本 Char1"/>
    <w:semiHidden/>
    <w:qFormat/>
    <w:uiPriority w:val="99"/>
    <w:rPr>
      <w:rFonts w:ascii="Calibri" w:hAnsi="Calibri" w:eastAsia="黑体" w:cs="Calibri"/>
      <w:sz w:val="18"/>
      <w:szCs w:val="18"/>
    </w:rPr>
  </w:style>
  <w:style w:type="character" w:customStyle="1" w:styleId="83">
    <w:name w:val="mh-map_new-info"/>
    <w:basedOn w:val="43"/>
    <w:qFormat/>
    <w:uiPriority w:val="0"/>
  </w:style>
  <w:style w:type="character" w:customStyle="1" w:styleId="84">
    <w:name w:val="引用 Char Char"/>
    <w:qFormat/>
    <w:uiPriority w:val="0"/>
    <w:rPr>
      <w:i/>
      <w:iCs/>
      <w:color w:val="000000"/>
      <w:lang w:bidi="ar-SA"/>
    </w:rPr>
  </w:style>
  <w:style w:type="character" w:customStyle="1" w:styleId="85">
    <w:name w:val="标题 3 Char"/>
    <w:link w:val="5"/>
    <w:qFormat/>
    <w:uiPriority w:val="0"/>
    <w:rPr>
      <w:rFonts w:ascii="Calibri" w:hAnsi="Calibri" w:eastAsia="黑体" w:cs="Calibri"/>
      <w:b/>
      <w:bCs/>
      <w:sz w:val="24"/>
      <w:szCs w:val="32"/>
    </w:rPr>
  </w:style>
  <w:style w:type="character" w:customStyle="1" w:styleId="86">
    <w:name w:val="引用 Char"/>
    <w:link w:val="87"/>
    <w:qFormat/>
    <w:uiPriority w:val="0"/>
    <w:rPr>
      <w:i/>
      <w:iCs/>
      <w:color w:val="000000"/>
    </w:rPr>
  </w:style>
  <w:style w:type="paragraph" w:styleId="87">
    <w:name w:val="Quote"/>
    <w:basedOn w:val="1"/>
    <w:next w:val="1"/>
    <w:link w:val="86"/>
    <w:qFormat/>
    <w:uiPriority w:val="0"/>
    <w:rPr>
      <w:rFonts w:cs="Times New Roman"/>
      <w:i/>
      <w:iCs/>
      <w:color w:val="000000"/>
      <w:kern w:val="0"/>
      <w:sz w:val="20"/>
      <w:szCs w:val="20"/>
    </w:rPr>
  </w:style>
  <w:style w:type="character" w:customStyle="1" w:styleId="88">
    <w:name w:val="文档结构图 Char2"/>
    <w:semiHidden/>
    <w:qFormat/>
    <w:uiPriority w:val="99"/>
    <w:rPr>
      <w:rFonts w:ascii="黑体" w:hAnsi="Calibri" w:eastAsia="黑体" w:cs="Calibri"/>
      <w:sz w:val="18"/>
      <w:szCs w:val="18"/>
    </w:rPr>
  </w:style>
  <w:style w:type="character" w:customStyle="1" w:styleId="89">
    <w:name w:val="批注框文本 Char"/>
    <w:link w:val="25"/>
    <w:qFormat/>
    <w:uiPriority w:val="0"/>
    <w:rPr>
      <w:sz w:val="18"/>
      <w:szCs w:val="18"/>
    </w:rPr>
  </w:style>
  <w:style w:type="character" w:customStyle="1" w:styleId="90">
    <w:name w:val="批注文字 Char2"/>
    <w:link w:val="16"/>
    <w:semiHidden/>
    <w:qFormat/>
    <w:uiPriority w:val="99"/>
    <w:rPr>
      <w:rFonts w:ascii="Calibri" w:hAnsi="Calibri" w:eastAsia="黑体" w:cs="Calibri"/>
      <w:szCs w:val="24"/>
    </w:rPr>
  </w:style>
  <w:style w:type="character" w:customStyle="1" w:styleId="91">
    <w:name w:val="脚注文本 Char"/>
    <w:link w:val="31"/>
    <w:qFormat/>
    <w:uiPriority w:val="0"/>
    <w:rPr>
      <w:sz w:val="18"/>
    </w:rPr>
  </w:style>
  <w:style w:type="character" w:customStyle="1" w:styleId="92">
    <w:name w:val="Char Char6"/>
    <w:qFormat/>
    <w:uiPriority w:val="0"/>
    <w:rPr>
      <w:rFonts w:eastAsia="黑体"/>
      <w:b/>
      <w:bCs/>
      <w:kern w:val="44"/>
      <w:sz w:val="32"/>
      <w:szCs w:val="44"/>
      <w:lang w:val="en-US" w:eastAsia="zh-CN" w:bidi="ar-SA"/>
    </w:rPr>
  </w:style>
  <w:style w:type="character" w:customStyle="1" w:styleId="93">
    <w:name w:val="正文文本 Char1"/>
    <w:qFormat/>
    <w:uiPriority w:val="0"/>
    <w:rPr>
      <w:kern w:val="2"/>
      <w:sz w:val="21"/>
      <w:szCs w:val="22"/>
    </w:rPr>
  </w:style>
  <w:style w:type="character" w:customStyle="1" w:styleId="94">
    <w:name w:val="标题4 Char Char"/>
    <w:link w:val="95"/>
    <w:qFormat/>
    <w:uiPriority w:val="0"/>
    <w:rPr>
      <w:rFonts w:ascii="Cambria" w:hAnsi="Cambria"/>
      <w:b/>
      <w:bCs/>
      <w:sz w:val="24"/>
      <w:szCs w:val="32"/>
    </w:rPr>
  </w:style>
  <w:style w:type="paragraph" w:customStyle="1" w:styleId="95">
    <w:name w:val="标题4"/>
    <w:basedOn w:val="4"/>
    <w:next w:val="19"/>
    <w:link w:val="94"/>
    <w:qFormat/>
    <w:uiPriority w:val="0"/>
    <w:rPr>
      <w:rFonts w:eastAsia="黑体"/>
      <w:sz w:val="24"/>
    </w:rPr>
  </w:style>
  <w:style w:type="character" w:customStyle="1" w:styleId="96">
    <w:name w:val="批注框文本 Char2"/>
    <w:semiHidden/>
    <w:qFormat/>
    <w:uiPriority w:val="99"/>
    <w:rPr>
      <w:rFonts w:ascii="Calibri" w:hAnsi="Calibri" w:eastAsia="黑体" w:cs="Calibri"/>
      <w:sz w:val="18"/>
      <w:szCs w:val="18"/>
    </w:rPr>
  </w:style>
  <w:style w:type="character" w:customStyle="1" w:styleId="97">
    <w:name w:val="明显引用 Char1"/>
    <w:qFormat/>
    <w:uiPriority w:val="0"/>
    <w:rPr>
      <w:rFonts w:ascii="Calibri" w:hAnsi="Calibri" w:eastAsia="黑体" w:cs="Calibri"/>
      <w:b/>
      <w:bCs/>
      <w:i/>
      <w:iCs/>
      <w:color w:val="4F81BD"/>
      <w:szCs w:val="24"/>
    </w:rPr>
  </w:style>
  <w:style w:type="character" w:customStyle="1" w:styleId="98">
    <w:name w:val="Body Text Indent 2 Char"/>
    <w:qFormat/>
    <w:uiPriority w:val="0"/>
    <w:rPr>
      <w:rFonts w:eastAsia="黑体"/>
      <w:kern w:val="2"/>
      <w:sz w:val="21"/>
      <w:szCs w:val="24"/>
      <w:lang w:val="en-US" w:eastAsia="zh-CN" w:bidi="ar-SA"/>
    </w:rPr>
  </w:style>
  <w:style w:type="character" w:customStyle="1" w:styleId="99">
    <w:name w:val="apple-converted-space"/>
    <w:basedOn w:val="43"/>
    <w:qFormat/>
    <w:uiPriority w:val="0"/>
  </w:style>
  <w:style w:type="character" w:customStyle="1" w:styleId="100">
    <w:name w:val="Comment Subject Char"/>
    <w:qFormat/>
    <w:uiPriority w:val="0"/>
    <w:rPr>
      <w:b/>
      <w:sz w:val="24"/>
      <w:lang w:bidi="ar-SA"/>
    </w:rPr>
  </w:style>
  <w:style w:type="character" w:customStyle="1" w:styleId="101">
    <w:name w:val="正文文本缩进 3 Char"/>
    <w:link w:val="33"/>
    <w:qFormat/>
    <w:uiPriority w:val="0"/>
    <w:rPr>
      <w:rFonts w:ascii="仿宋" w:hAnsi="Calibri" w:eastAsia="仿宋" w:cs="Calibri"/>
      <w:color w:val="000000"/>
      <w:kern w:val="0"/>
      <w:sz w:val="28"/>
      <w:szCs w:val="20"/>
    </w:rPr>
  </w:style>
  <w:style w:type="character" w:customStyle="1" w:styleId="102">
    <w:name w:val="明显引用 Char Char Char"/>
    <w:qFormat/>
    <w:uiPriority w:val="0"/>
    <w:rPr>
      <w:b/>
      <w:bCs/>
      <w:i/>
      <w:iCs/>
      <w:color w:val="4F81BD"/>
      <w:lang w:bidi="ar-SA"/>
    </w:rPr>
  </w:style>
  <w:style w:type="character" w:customStyle="1" w:styleId="103">
    <w:name w:val="标题 7 Char"/>
    <w:link w:val="9"/>
    <w:qFormat/>
    <w:uiPriority w:val="0"/>
    <w:rPr>
      <w:rFonts w:ascii="Cambria Math" w:hAnsi="Cambria Math" w:eastAsia="黑体" w:cs="Calibri"/>
      <w:b/>
      <w:bCs/>
      <w:sz w:val="24"/>
      <w:szCs w:val="24"/>
    </w:rPr>
  </w:style>
  <w:style w:type="character" w:customStyle="1" w:styleId="104">
    <w:name w:val="Subtle Emphasis"/>
    <w:qFormat/>
    <w:uiPriority w:val="0"/>
    <w:rPr>
      <w:i/>
      <w:iCs/>
      <w:color w:val="808080"/>
    </w:rPr>
  </w:style>
  <w:style w:type="character" w:customStyle="1" w:styleId="105">
    <w:name w:val="Heading 5 Char"/>
    <w:qFormat/>
    <w:uiPriority w:val="0"/>
    <w:rPr>
      <w:rFonts w:eastAsia="黑体"/>
      <w:b/>
      <w:bCs/>
      <w:kern w:val="2"/>
      <w:sz w:val="28"/>
      <w:szCs w:val="28"/>
      <w:lang w:val="en-US" w:eastAsia="zh-CN" w:bidi="ar-SA"/>
    </w:rPr>
  </w:style>
  <w:style w:type="character" w:customStyle="1" w:styleId="106">
    <w:name w:val="标题 6 Char"/>
    <w:link w:val="8"/>
    <w:qFormat/>
    <w:uiPriority w:val="0"/>
    <w:rPr>
      <w:rFonts w:ascii="等线" w:hAnsi="等线" w:eastAsia="黑体" w:cs="Calibri"/>
      <w:b/>
      <w:bCs/>
      <w:sz w:val="24"/>
      <w:szCs w:val="24"/>
    </w:rPr>
  </w:style>
  <w:style w:type="character" w:customStyle="1" w:styleId="107">
    <w:name w:val="Char Char21"/>
    <w:qFormat/>
    <w:uiPriority w:val="0"/>
    <w:rPr>
      <w:rFonts w:ascii="Cambria" w:hAnsi="Cambria" w:eastAsia="等线 Light" w:cs="Calibri"/>
      <w:b/>
      <w:bCs/>
      <w:sz w:val="32"/>
      <w:szCs w:val="32"/>
    </w:rPr>
  </w:style>
  <w:style w:type="character" w:customStyle="1" w:styleId="108">
    <w:name w:val="Intense Emphasis"/>
    <w:qFormat/>
    <w:uiPriority w:val="0"/>
    <w:rPr>
      <w:b/>
      <w:bCs/>
      <w:i/>
      <w:iCs/>
      <w:color w:val="4F81BD"/>
    </w:rPr>
  </w:style>
  <w:style w:type="character" w:customStyle="1" w:styleId="109">
    <w:name w:val="正文文本 Char2"/>
    <w:semiHidden/>
    <w:qFormat/>
    <w:uiPriority w:val="99"/>
    <w:rPr>
      <w:rFonts w:ascii="Calibri" w:hAnsi="Calibri" w:eastAsia="黑体" w:cs="Calibri"/>
      <w:szCs w:val="24"/>
    </w:rPr>
  </w:style>
  <w:style w:type="character" w:customStyle="1" w:styleId="110">
    <w:name w:val="标题 Char"/>
    <w:link w:val="39"/>
    <w:qFormat/>
    <w:uiPriority w:val="0"/>
    <w:rPr>
      <w:rFonts w:ascii="等线" w:hAnsi="等线" w:cs="Calibri"/>
      <w:b/>
      <w:bCs/>
      <w:sz w:val="32"/>
      <w:szCs w:val="32"/>
    </w:rPr>
  </w:style>
  <w:style w:type="character" w:customStyle="1" w:styleId="111">
    <w:name w:val="Char Char Char Char Char Char"/>
    <w:qFormat/>
    <w:uiPriority w:val="0"/>
    <w:rPr>
      <w:b/>
      <w:bCs/>
      <w:kern w:val="2"/>
      <w:sz w:val="21"/>
      <w:szCs w:val="24"/>
    </w:rPr>
  </w:style>
  <w:style w:type="character" w:customStyle="1" w:styleId="112">
    <w:name w:val="textcontents"/>
    <w:qFormat/>
    <w:uiPriority w:val="0"/>
    <w:rPr>
      <w:rFonts w:cs="Calibri"/>
    </w:rPr>
  </w:style>
  <w:style w:type="character" w:customStyle="1" w:styleId="113">
    <w:name w:val="Char Char18"/>
    <w:qFormat/>
    <w:uiPriority w:val="0"/>
    <w:rPr>
      <w:rFonts w:ascii="Calibri" w:hAnsi="Calibri" w:eastAsia="黑体" w:cs="Calibri"/>
      <w:b/>
      <w:bCs/>
      <w:sz w:val="28"/>
      <w:szCs w:val="28"/>
    </w:rPr>
  </w:style>
  <w:style w:type="character" w:customStyle="1" w:styleId="114">
    <w:name w:val="引用 Char Char Char"/>
    <w:qFormat/>
    <w:uiPriority w:val="0"/>
    <w:rPr>
      <w:i/>
      <w:iCs/>
      <w:color w:val="000000"/>
      <w:lang w:bidi="ar-SA"/>
    </w:rPr>
  </w:style>
  <w:style w:type="character" w:customStyle="1" w:styleId="115">
    <w:name w:val="批注框文本 Char1"/>
    <w:qFormat/>
    <w:uiPriority w:val="0"/>
    <w:rPr>
      <w:rFonts w:ascii="Calibri" w:hAnsi="Calibri" w:eastAsia="黑体" w:cs="Calibri"/>
      <w:sz w:val="18"/>
      <w:szCs w:val="18"/>
    </w:rPr>
  </w:style>
  <w:style w:type="character" w:customStyle="1" w:styleId="116">
    <w:name w:val="Comment Text Char1"/>
    <w:qFormat/>
    <w:uiPriority w:val="0"/>
    <w:rPr>
      <w:sz w:val="24"/>
      <w:lang w:bidi="ar-SA"/>
    </w:rPr>
  </w:style>
  <w:style w:type="character" w:customStyle="1" w:styleId="117">
    <w:name w:val="Footnote Text Char"/>
    <w:qFormat/>
    <w:uiPriority w:val="0"/>
    <w:rPr>
      <w:rFonts w:eastAsia="黑体"/>
      <w:sz w:val="18"/>
      <w:lang w:val="en-US" w:eastAsia="zh-CN" w:bidi="ar-SA"/>
    </w:rPr>
  </w:style>
  <w:style w:type="character" w:customStyle="1" w:styleId="118">
    <w:name w:val="Char Char181"/>
    <w:qFormat/>
    <w:uiPriority w:val="0"/>
    <w:rPr>
      <w:b/>
      <w:bCs/>
      <w:kern w:val="44"/>
      <w:sz w:val="44"/>
      <w:szCs w:val="44"/>
    </w:rPr>
  </w:style>
  <w:style w:type="character" w:customStyle="1" w:styleId="119">
    <w:name w:val="标题 5 Char"/>
    <w:link w:val="7"/>
    <w:qFormat/>
    <w:uiPriority w:val="0"/>
    <w:rPr>
      <w:rFonts w:ascii="Calibri" w:hAnsi="Calibri" w:eastAsia="黑体" w:cs="Calibri"/>
      <w:b/>
      <w:bCs/>
      <w:sz w:val="28"/>
      <w:szCs w:val="28"/>
    </w:rPr>
  </w:style>
  <w:style w:type="character" w:customStyle="1" w:styleId="120">
    <w:name w:val="标题 8 Char"/>
    <w:link w:val="10"/>
    <w:qFormat/>
    <w:uiPriority w:val="0"/>
    <w:rPr>
      <w:rFonts w:ascii="等线" w:hAnsi="等线" w:eastAsia="黑体" w:cs="Calibri"/>
      <w:sz w:val="24"/>
      <w:szCs w:val="24"/>
    </w:rPr>
  </w:style>
  <w:style w:type="character" w:customStyle="1" w:styleId="121">
    <w:name w:val="Char Char9"/>
    <w:qFormat/>
    <w:uiPriority w:val="0"/>
    <w:rPr>
      <w:rFonts w:eastAsia="黑体"/>
      <w:b/>
      <w:bCs/>
      <w:kern w:val="44"/>
      <w:sz w:val="32"/>
      <w:szCs w:val="44"/>
      <w:lang w:val="en-US" w:eastAsia="zh-CN" w:bidi="ar-SA"/>
    </w:rPr>
  </w:style>
  <w:style w:type="character" w:customStyle="1" w:styleId="122">
    <w:name w:val="Book Title"/>
    <w:qFormat/>
    <w:uiPriority w:val="0"/>
    <w:rPr>
      <w:b/>
      <w:bCs/>
      <w:smallCaps/>
      <w:spacing w:val="5"/>
    </w:rPr>
  </w:style>
  <w:style w:type="character" w:customStyle="1" w:styleId="123">
    <w:name w:val="文档结构图 Char1"/>
    <w:qFormat/>
    <w:uiPriority w:val="0"/>
    <w:rPr>
      <w:rFonts w:ascii="黑体" w:hAnsi="Calibri" w:eastAsia="黑体" w:cs="Calibri"/>
      <w:sz w:val="18"/>
      <w:szCs w:val="18"/>
    </w:rPr>
  </w:style>
  <w:style w:type="character" w:customStyle="1" w:styleId="124">
    <w:name w:val="Date Char"/>
    <w:qFormat/>
    <w:uiPriority w:val="0"/>
    <w:rPr>
      <w:rFonts w:eastAsia="黑体"/>
      <w:kern w:val="2"/>
      <w:sz w:val="21"/>
      <w:szCs w:val="24"/>
      <w:lang w:val="en-US" w:eastAsia="zh-CN" w:bidi="ar-SA"/>
    </w:rPr>
  </w:style>
  <w:style w:type="character" w:customStyle="1" w:styleId="125">
    <w:name w:val="Heading 3 Char"/>
    <w:qFormat/>
    <w:uiPriority w:val="0"/>
    <w:rPr>
      <w:rFonts w:cs="Calibri"/>
      <w:b/>
      <w:bCs/>
      <w:kern w:val="2"/>
      <w:sz w:val="32"/>
      <w:szCs w:val="32"/>
    </w:rPr>
  </w:style>
  <w:style w:type="character" w:customStyle="1" w:styleId="126">
    <w:name w:val="标题 1 Char"/>
    <w:link w:val="3"/>
    <w:qFormat/>
    <w:uiPriority w:val="0"/>
    <w:rPr>
      <w:rFonts w:ascii="Calibri" w:hAnsi="Calibri" w:eastAsia="黑体" w:cs="Calibri"/>
      <w:b/>
      <w:bCs/>
      <w:kern w:val="44"/>
      <w:sz w:val="32"/>
      <w:szCs w:val="44"/>
    </w:rPr>
  </w:style>
  <w:style w:type="character" w:customStyle="1" w:styleId="127">
    <w:name w:val="明显引用 Char2"/>
    <w:qFormat/>
    <w:uiPriority w:val="30"/>
    <w:rPr>
      <w:rFonts w:ascii="Calibri" w:hAnsi="Calibri" w:eastAsia="黑体" w:cs="Calibri"/>
      <w:b/>
      <w:bCs/>
      <w:i/>
      <w:iCs/>
      <w:color w:val="4F81BD"/>
      <w:szCs w:val="24"/>
    </w:rPr>
  </w:style>
  <w:style w:type="character" w:customStyle="1" w:styleId="128">
    <w:name w:val="Body Text Indent Char"/>
    <w:qFormat/>
    <w:uiPriority w:val="0"/>
    <w:rPr>
      <w:rFonts w:ascii="黑体" w:hAnsi="黑体" w:eastAsia="黑体"/>
      <w:kern w:val="2"/>
      <w:sz w:val="21"/>
      <w:lang w:val="en-US" w:eastAsia="zh-CN" w:bidi="ar-SA"/>
    </w:rPr>
  </w:style>
  <w:style w:type="character" w:customStyle="1" w:styleId="129">
    <w:name w:val="T10 Char Char"/>
    <w:link w:val="130"/>
    <w:qFormat/>
    <w:uiPriority w:val="0"/>
    <w:rPr>
      <w:rFonts w:ascii="黑体" w:hAnsi="黑体" w:eastAsia="黑体"/>
      <w:b/>
      <w:sz w:val="28"/>
    </w:rPr>
  </w:style>
  <w:style w:type="paragraph" w:customStyle="1" w:styleId="130">
    <w:name w:val="T10"/>
    <w:basedOn w:val="1"/>
    <w:link w:val="129"/>
    <w:qFormat/>
    <w:uiPriority w:val="0"/>
    <w:pPr>
      <w:adjustRightInd w:val="0"/>
      <w:spacing w:line="500" w:lineRule="exact"/>
      <w:ind w:left="10" w:leftChars="5" w:firstLine="561" w:firstLineChars="200"/>
      <w:jc w:val="center"/>
      <w:textAlignment w:val="baseline"/>
    </w:pPr>
    <w:rPr>
      <w:rFonts w:ascii="黑体" w:hAnsi="黑体" w:cs="Times New Roman"/>
      <w:b/>
      <w:kern w:val="0"/>
      <w:sz w:val="28"/>
      <w:szCs w:val="20"/>
    </w:rPr>
  </w:style>
  <w:style w:type="character" w:customStyle="1" w:styleId="131">
    <w:name w:val="正文文本缩进 Char1"/>
    <w:semiHidden/>
    <w:qFormat/>
    <w:uiPriority w:val="99"/>
    <w:rPr>
      <w:rFonts w:ascii="Calibri" w:hAnsi="Calibri" w:eastAsia="黑体" w:cs="Calibri"/>
      <w:szCs w:val="24"/>
    </w:rPr>
  </w:style>
  <w:style w:type="character" w:customStyle="1" w:styleId="132">
    <w:name w:val="日期 Char1"/>
    <w:qFormat/>
    <w:uiPriority w:val="0"/>
    <w:rPr>
      <w:rFonts w:ascii="Calibri" w:hAnsi="Calibri" w:eastAsia="黑体" w:cs="Calibri"/>
      <w:szCs w:val="24"/>
    </w:rPr>
  </w:style>
  <w:style w:type="character" w:customStyle="1" w:styleId="133">
    <w:name w:val="批注主题 Char"/>
    <w:link w:val="40"/>
    <w:qFormat/>
    <w:uiPriority w:val="0"/>
    <w:rPr>
      <w:b/>
      <w:bCs/>
      <w:szCs w:val="24"/>
    </w:rPr>
  </w:style>
  <w:style w:type="character" w:customStyle="1" w:styleId="134">
    <w:name w:val="批注主题 Char1"/>
    <w:qFormat/>
    <w:uiPriority w:val="0"/>
    <w:rPr>
      <w:rFonts w:ascii="Calibri" w:hAnsi="Calibri" w:eastAsia="黑体" w:cs="Calibri"/>
      <w:b/>
      <w:bCs/>
      <w:szCs w:val="24"/>
    </w:rPr>
  </w:style>
  <w:style w:type="character" w:customStyle="1" w:styleId="135">
    <w:name w:val="引用 Char1"/>
    <w:qFormat/>
    <w:uiPriority w:val="0"/>
    <w:rPr>
      <w:rFonts w:ascii="Calibri" w:hAnsi="Calibri" w:eastAsia="黑体" w:cs="Calibri"/>
      <w:i/>
      <w:iCs/>
      <w:color w:val="000000"/>
      <w:szCs w:val="24"/>
    </w:rPr>
  </w:style>
  <w:style w:type="character" w:customStyle="1" w:styleId="136">
    <w:name w:val="标题 Char2"/>
    <w:qFormat/>
    <w:uiPriority w:val="0"/>
    <w:rPr>
      <w:rFonts w:ascii="等线" w:hAnsi="等线" w:eastAsia="黑体" w:cs="Calibri"/>
      <w:b/>
      <w:bCs/>
      <w:sz w:val="32"/>
      <w:szCs w:val="32"/>
    </w:rPr>
  </w:style>
  <w:style w:type="character" w:customStyle="1" w:styleId="137">
    <w:name w:val="Heading 2 Char"/>
    <w:qFormat/>
    <w:uiPriority w:val="0"/>
    <w:rPr>
      <w:rFonts w:ascii="Cambria" w:hAnsi="Cambria" w:eastAsia="等线 Light"/>
      <w:b/>
      <w:bCs/>
      <w:kern w:val="2"/>
      <w:sz w:val="32"/>
      <w:szCs w:val="32"/>
      <w:lang w:val="en-US" w:eastAsia="zh-CN" w:bidi="ar-SA"/>
    </w:rPr>
  </w:style>
  <w:style w:type="character" w:customStyle="1" w:styleId="138">
    <w:name w:val="页脚 Char"/>
    <w:link w:val="26"/>
    <w:qFormat/>
    <w:uiPriority w:val="0"/>
    <w:rPr>
      <w:sz w:val="18"/>
      <w:szCs w:val="18"/>
    </w:rPr>
  </w:style>
  <w:style w:type="character" w:customStyle="1" w:styleId="139">
    <w:name w:val="Subtle Reference"/>
    <w:qFormat/>
    <w:uiPriority w:val="0"/>
    <w:rPr>
      <w:smallCaps/>
      <w:color w:val="C0504D"/>
      <w:u w:val="single"/>
    </w:rPr>
  </w:style>
  <w:style w:type="character" w:customStyle="1" w:styleId="140">
    <w:name w:val="正文文本 2 Char"/>
    <w:link w:val="36"/>
    <w:qFormat/>
    <w:uiPriority w:val="0"/>
    <w:rPr>
      <w:rFonts w:ascii="Calibri" w:hAnsi="Calibri" w:eastAsia="黑体" w:cs="Calibri"/>
      <w:szCs w:val="20"/>
    </w:rPr>
  </w:style>
  <w:style w:type="character" w:customStyle="1" w:styleId="141">
    <w:name w:val="批注文字 Char1"/>
    <w:qFormat/>
    <w:uiPriority w:val="0"/>
    <w:rPr>
      <w:rFonts w:ascii="Calibri" w:hAnsi="Calibri" w:eastAsia="黑体" w:cs="Calibri"/>
      <w:szCs w:val="24"/>
    </w:rPr>
  </w:style>
  <w:style w:type="character" w:customStyle="1" w:styleId="142">
    <w:name w:val="Char Char91"/>
    <w:qFormat/>
    <w:uiPriority w:val="0"/>
    <w:rPr>
      <w:rFonts w:eastAsia="黑体"/>
      <w:b/>
      <w:bCs/>
      <w:kern w:val="44"/>
      <w:sz w:val="32"/>
      <w:szCs w:val="44"/>
      <w:lang w:val="en-US" w:eastAsia="zh-CN" w:bidi="ar-SA"/>
    </w:rPr>
  </w:style>
  <w:style w:type="character" w:customStyle="1" w:styleId="143">
    <w:name w:val="日期 Char2"/>
    <w:semiHidden/>
    <w:qFormat/>
    <w:uiPriority w:val="99"/>
    <w:rPr>
      <w:rFonts w:ascii="Calibri" w:hAnsi="Calibri" w:eastAsia="黑体" w:cs="Calibri"/>
      <w:szCs w:val="24"/>
    </w:rPr>
  </w:style>
  <w:style w:type="character" w:customStyle="1" w:styleId="144">
    <w:name w:val="文档结构图 Char"/>
    <w:link w:val="15"/>
    <w:qFormat/>
    <w:uiPriority w:val="0"/>
    <w:rPr>
      <w:szCs w:val="24"/>
      <w:shd w:val="clear" w:color="auto" w:fill="000080"/>
    </w:rPr>
  </w:style>
  <w:style w:type="character" w:customStyle="1" w:styleId="145">
    <w:name w:val="Char Char1"/>
    <w:qFormat/>
    <w:uiPriority w:val="0"/>
    <w:rPr>
      <w:rFonts w:ascii="黑体" w:hAnsi="楷体_GB2312" w:eastAsia="黑体"/>
      <w:kern w:val="2"/>
      <w:sz w:val="28"/>
      <w:lang w:val="en-US" w:eastAsia="zh-CN" w:bidi="ar-SA"/>
    </w:rPr>
  </w:style>
  <w:style w:type="character" w:customStyle="1" w:styleId="146">
    <w:name w:val="Title Char"/>
    <w:qFormat/>
    <w:uiPriority w:val="0"/>
    <w:rPr>
      <w:rFonts w:ascii="等线" w:hAnsi="等线"/>
      <w:b/>
      <w:sz w:val="32"/>
      <w:lang w:bidi="ar-SA"/>
    </w:rPr>
  </w:style>
  <w:style w:type="character" w:customStyle="1" w:styleId="147">
    <w:name w:val="批注文字 Char"/>
    <w:qFormat/>
    <w:uiPriority w:val="0"/>
    <w:rPr>
      <w:kern w:val="2"/>
      <w:sz w:val="21"/>
      <w:szCs w:val="24"/>
    </w:rPr>
  </w:style>
  <w:style w:type="character" w:customStyle="1" w:styleId="148">
    <w:name w:val="Comment Text Char"/>
    <w:qFormat/>
    <w:uiPriority w:val="0"/>
    <w:rPr>
      <w:rFonts w:cs="Calibri"/>
      <w:sz w:val="24"/>
      <w:szCs w:val="24"/>
    </w:rPr>
  </w:style>
  <w:style w:type="character" w:customStyle="1" w:styleId="149">
    <w:name w:val="正文文本缩进 2 Char1"/>
    <w:semiHidden/>
    <w:qFormat/>
    <w:uiPriority w:val="99"/>
    <w:rPr>
      <w:rFonts w:ascii="Calibri" w:hAnsi="Calibri" w:eastAsia="黑体" w:cs="Calibri"/>
      <w:szCs w:val="24"/>
    </w:rPr>
  </w:style>
  <w:style w:type="character" w:customStyle="1" w:styleId="150">
    <w:name w:val="标题5 Char Char"/>
    <w:link w:val="151"/>
    <w:qFormat/>
    <w:uiPriority w:val="0"/>
    <w:rPr>
      <w:rFonts w:ascii="Cambria" w:hAnsi="Cambria"/>
      <w:b/>
      <w:bCs/>
      <w:sz w:val="24"/>
      <w:szCs w:val="32"/>
    </w:rPr>
  </w:style>
  <w:style w:type="paragraph" w:customStyle="1" w:styleId="151">
    <w:name w:val="标题5"/>
    <w:basedOn w:val="5"/>
    <w:link w:val="150"/>
    <w:qFormat/>
    <w:uiPriority w:val="0"/>
    <w:pPr>
      <w:spacing w:before="260" w:after="260" w:line="413" w:lineRule="auto"/>
    </w:pPr>
    <w:rPr>
      <w:rFonts w:ascii="Cambria" w:hAnsi="Cambria"/>
    </w:rPr>
  </w:style>
  <w:style w:type="character" w:customStyle="1" w:styleId="152">
    <w:name w:val="页眉 Char"/>
    <w:link w:val="27"/>
    <w:qFormat/>
    <w:uiPriority w:val="0"/>
    <w:rPr>
      <w:sz w:val="18"/>
      <w:szCs w:val="18"/>
    </w:rPr>
  </w:style>
  <w:style w:type="character" w:customStyle="1" w:styleId="153">
    <w:name w:val="Char Char20"/>
    <w:qFormat/>
    <w:uiPriority w:val="0"/>
    <w:rPr>
      <w:rFonts w:ascii="Calibri" w:hAnsi="Calibri" w:eastAsia="黑体" w:cs="Calibri"/>
      <w:b/>
      <w:bCs/>
      <w:sz w:val="24"/>
      <w:szCs w:val="32"/>
    </w:rPr>
  </w:style>
  <w:style w:type="character" w:customStyle="1" w:styleId="154">
    <w:name w:val="引用 Char2"/>
    <w:qFormat/>
    <w:uiPriority w:val="29"/>
    <w:rPr>
      <w:rFonts w:ascii="Calibri" w:hAnsi="Calibri" w:eastAsia="黑体" w:cs="Calibri"/>
      <w:i/>
      <w:iCs/>
      <w:color w:val="000000"/>
      <w:szCs w:val="24"/>
    </w:rPr>
  </w:style>
  <w:style w:type="character" w:customStyle="1" w:styleId="155">
    <w:name w:val="正文文本缩进 Char"/>
    <w:link w:val="18"/>
    <w:qFormat/>
    <w:uiPriority w:val="0"/>
    <w:rPr>
      <w:rFonts w:ascii="黑体" w:hAnsi="黑体"/>
    </w:rPr>
  </w:style>
  <w:style w:type="character" w:customStyle="1" w:styleId="156">
    <w:name w:val="正文文本缩进 2 Char"/>
    <w:link w:val="2"/>
    <w:qFormat/>
    <w:uiPriority w:val="0"/>
    <w:rPr>
      <w:szCs w:val="24"/>
    </w:rPr>
  </w:style>
  <w:style w:type="character" w:customStyle="1" w:styleId="157">
    <w:name w:val="纯文本 Char"/>
    <w:link w:val="22"/>
    <w:qFormat/>
    <w:uiPriority w:val="99"/>
    <w:rPr>
      <w:rFonts w:ascii="黑体" w:hAnsi="楷体_GB2312"/>
      <w:szCs w:val="21"/>
      <w:lang w:val="en-US" w:eastAsia="zh-CN" w:bidi="ar-SA"/>
    </w:rPr>
  </w:style>
  <w:style w:type="character" w:customStyle="1" w:styleId="158">
    <w:name w:val="标题 2 Char"/>
    <w:qFormat/>
    <w:uiPriority w:val="0"/>
    <w:rPr>
      <w:rFonts w:ascii="等线" w:hAnsi="等线" w:eastAsia="黑体" w:cs="Calibri"/>
      <w:b/>
      <w:bCs/>
      <w:sz w:val="32"/>
      <w:szCs w:val="32"/>
    </w:rPr>
  </w:style>
  <w:style w:type="character" w:customStyle="1" w:styleId="159">
    <w:name w:val="Char Char24"/>
    <w:qFormat/>
    <w:uiPriority w:val="0"/>
    <w:rPr>
      <w:rFonts w:eastAsia="黑体"/>
      <w:b/>
      <w:bCs/>
      <w:kern w:val="44"/>
      <w:sz w:val="32"/>
      <w:szCs w:val="44"/>
      <w:lang w:val="en-US" w:eastAsia="zh-CN" w:bidi="ar-SA"/>
    </w:rPr>
  </w:style>
  <w:style w:type="character" w:customStyle="1" w:styleId="160">
    <w:name w:val="Char Char23"/>
    <w:qFormat/>
    <w:uiPriority w:val="0"/>
    <w:rPr>
      <w:rFonts w:eastAsia="黑体"/>
      <w:b/>
      <w:bCs/>
      <w:kern w:val="44"/>
      <w:sz w:val="32"/>
      <w:szCs w:val="44"/>
      <w:lang w:val="en-US" w:eastAsia="zh-CN" w:bidi="ar-SA"/>
    </w:rPr>
  </w:style>
  <w:style w:type="character" w:customStyle="1" w:styleId="161">
    <w:name w:val="Intense Reference"/>
    <w:qFormat/>
    <w:uiPriority w:val="0"/>
    <w:rPr>
      <w:b/>
      <w:bCs/>
      <w:smallCaps/>
      <w:color w:val="C0504D"/>
      <w:spacing w:val="5"/>
      <w:u w:val="single"/>
    </w:rPr>
  </w:style>
  <w:style w:type="paragraph" w:styleId="162">
    <w:name w:val="No Spacing"/>
    <w:qFormat/>
    <w:uiPriority w:val="0"/>
    <w:pPr>
      <w:widowControl w:val="0"/>
      <w:jc w:val="both"/>
    </w:pPr>
    <w:rPr>
      <w:rFonts w:ascii="Calibri" w:hAnsi="Calibri" w:eastAsia="黑体" w:cs="Calibri"/>
      <w:kern w:val="2"/>
      <w:sz w:val="21"/>
      <w:szCs w:val="24"/>
      <w:lang w:val="en-US" w:eastAsia="zh-CN" w:bidi="ar-SA"/>
    </w:rPr>
  </w:style>
  <w:style w:type="paragraph" w:customStyle="1" w:styleId="163">
    <w:name w:val="列出段落1"/>
    <w:basedOn w:val="1"/>
    <w:qFormat/>
    <w:uiPriority w:val="0"/>
    <w:pPr>
      <w:ind w:firstLine="420" w:firstLineChars="200"/>
    </w:pPr>
    <w:rPr>
      <w:rFonts w:ascii="Cambria Math" w:hAnsi="Cambria Math"/>
      <w:szCs w:val="22"/>
    </w:rPr>
  </w:style>
  <w:style w:type="paragraph" w:customStyle="1" w:styleId="164">
    <w:name w:val="Char Char Char"/>
    <w:basedOn w:val="1"/>
    <w:qFormat/>
    <w:uiPriority w:val="0"/>
  </w:style>
  <w:style w:type="paragraph" w:customStyle="1" w:styleId="165">
    <w:name w:val="Char Char Char Char"/>
    <w:basedOn w:val="1"/>
    <w:qFormat/>
    <w:uiPriority w:val="0"/>
    <w:pPr>
      <w:widowControl/>
      <w:spacing w:line="500" w:lineRule="exact"/>
      <w:outlineLvl w:val="2"/>
    </w:pPr>
    <w:rPr>
      <w:rFonts w:ascii="等线 Light" w:hAnsi="楷体_GB2312" w:eastAsia="等线 Light" w:cs="等线 Light"/>
      <w:kern w:val="0"/>
      <w:sz w:val="28"/>
      <w:szCs w:val="28"/>
      <w:lang w:eastAsia="en-US"/>
    </w:rPr>
  </w:style>
  <w:style w:type="paragraph" w:customStyle="1" w:styleId="166">
    <w:name w:val="TOC Heading"/>
    <w:basedOn w:val="3"/>
    <w:next w:val="1"/>
    <w:qFormat/>
    <w:uiPriority w:val="0"/>
    <w:pPr>
      <w:spacing w:before="340" w:after="330" w:line="576" w:lineRule="auto"/>
      <w:outlineLvl w:val="9"/>
    </w:pPr>
    <w:rPr>
      <w:rFonts w:ascii="Cambria Math" w:hAnsi="Cambria Math"/>
      <w:sz w:val="44"/>
    </w:rPr>
  </w:style>
  <w:style w:type="paragraph" w:customStyle="1" w:styleId="167">
    <w:name w:val="样式1"/>
    <w:basedOn w:val="1"/>
    <w:next w:val="6"/>
    <w:qFormat/>
    <w:uiPriority w:val="0"/>
    <w:pPr>
      <w:spacing w:line="360" w:lineRule="auto"/>
      <w:ind w:firstLine="420" w:firstLineChars="200"/>
    </w:pPr>
    <w:rPr>
      <w:rFonts w:ascii="黑体" w:hAnsi="黑体"/>
      <w:szCs w:val="21"/>
    </w:rPr>
  </w:style>
  <w:style w:type="paragraph" w:customStyle="1" w:styleId="168">
    <w:name w:val="批注框文本 Char Char"/>
    <w:basedOn w:val="1"/>
    <w:qFormat/>
    <w:uiPriority w:val="0"/>
    <w:rPr>
      <w:sz w:val="18"/>
      <w:szCs w:val="20"/>
    </w:rPr>
  </w:style>
  <w:style w:type="paragraph" w:customStyle="1" w:styleId="169">
    <w:name w:val="flNote"/>
    <w:basedOn w:val="1"/>
    <w:qFormat/>
    <w:uiPriority w:val="0"/>
    <w:pPr>
      <w:adjustRightInd w:val="0"/>
      <w:spacing w:before="320" w:after="160" w:line="360" w:lineRule="atLeast"/>
      <w:jc w:val="center"/>
      <w:textAlignment w:val="baseline"/>
    </w:pPr>
    <w:rPr>
      <w:rFonts w:ascii="Cambria" w:eastAsia="等线 Light"/>
      <w:kern w:val="0"/>
      <w:sz w:val="30"/>
      <w:szCs w:val="20"/>
    </w:rPr>
  </w:style>
  <w:style w:type="paragraph" w:customStyle="1" w:styleId="170">
    <w:name w:val="Default"/>
    <w:qFormat/>
    <w:uiPriority w:val="0"/>
    <w:pPr>
      <w:widowControl w:val="0"/>
      <w:autoSpaceDE w:val="0"/>
      <w:autoSpaceDN w:val="0"/>
      <w:adjustRightInd w:val="0"/>
    </w:pPr>
    <w:rPr>
      <w:rFonts w:ascii="Calibri" w:hAnsi="Calibri" w:eastAsia="黑体" w:cs="Cambria Math"/>
      <w:color w:val="000000"/>
      <w:sz w:val="24"/>
      <w:szCs w:val="24"/>
      <w:lang w:val="en-US" w:eastAsia="zh-CN" w:bidi="ar-SA"/>
    </w:rPr>
  </w:style>
  <w:style w:type="paragraph" w:customStyle="1" w:styleId="171">
    <w:name w:val="Char"/>
    <w:basedOn w:val="1"/>
    <w:qFormat/>
    <w:uiPriority w:val="0"/>
    <w:pPr>
      <w:widowControl/>
      <w:spacing w:after="160" w:line="240" w:lineRule="exact"/>
      <w:jc w:val="left"/>
    </w:pPr>
  </w:style>
  <w:style w:type="paragraph" w:customStyle="1" w:styleId="172">
    <w:name w:val="2-2ji"/>
    <w:basedOn w:val="4"/>
    <w:qFormat/>
    <w:uiPriority w:val="0"/>
    <w:pPr>
      <w:spacing w:before="0" w:after="0" w:line="360" w:lineRule="auto"/>
      <w:jc w:val="center"/>
    </w:pPr>
    <w:rPr>
      <w:rFonts w:ascii="黑体" w:hAnsi="黑体" w:eastAsia="黑体"/>
      <w:sz w:val="36"/>
      <w:szCs w:val="24"/>
    </w:rPr>
  </w:style>
  <w:style w:type="paragraph" w:customStyle="1" w:styleId="173">
    <w:name w:val="Char Char Char Char Char Char Char"/>
    <w:basedOn w:val="1"/>
    <w:qFormat/>
    <w:uiPriority w:val="0"/>
    <w:pPr>
      <w:widowControl/>
      <w:spacing w:after="160" w:line="240" w:lineRule="exact"/>
      <w:jc w:val="left"/>
    </w:pPr>
  </w:style>
  <w:style w:type="paragraph" w:customStyle="1" w:styleId="174">
    <w:name w:val="默认段落字体 Para Char Char Char Char Char Char Char Char Char Char"/>
    <w:basedOn w:val="1"/>
    <w:qFormat/>
    <w:uiPriority w:val="0"/>
    <w:rPr>
      <w:kern w:val="0"/>
      <w:szCs w:val="20"/>
    </w:rPr>
  </w:style>
  <w:style w:type="paragraph" w:customStyle="1" w:styleId="175">
    <w:name w:val="列表段落"/>
    <w:basedOn w:val="1"/>
    <w:qFormat/>
    <w:uiPriority w:val="0"/>
    <w:pPr>
      <w:ind w:firstLine="420" w:firstLineChars="200"/>
    </w:pPr>
    <w:rPr>
      <w:rFonts w:ascii="Cambria Math" w:hAnsi="Cambria Math"/>
      <w:szCs w:val="22"/>
    </w:rPr>
  </w:style>
  <w:style w:type="paragraph" w:customStyle="1" w:styleId="176">
    <w:name w:val="样式 标题 2 + Times New Roman 四号 非加粗 段前: 5 磅 段后: 0 磅 行距: 固定值 20..."/>
    <w:basedOn w:val="4"/>
    <w:qFormat/>
    <w:uiPriority w:val="0"/>
    <w:pPr>
      <w:spacing w:before="100" w:after="0" w:line="400" w:lineRule="exact"/>
    </w:pPr>
    <w:rPr>
      <w:rFonts w:ascii="Calibri" w:hAnsi="Calibri" w:cs="黑体"/>
      <w:b w:val="0"/>
      <w:bCs w:val="0"/>
      <w:sz w:val="28"/>
      <w:szCs w:val="20"/>
    </w:rPr>
  </w:style>
  <w:style w:type="paragraph" w:customStyle="1" w:styleId="177">
    <w:name w:val="样式 标题 3 + (中文) 黑体 小四 非加粗 段前: 7.8 磅 段后: 0 磅 行距: 固定值 20 磅"/>
    <w:basedOn w:val="5"/>
    <w:qFormat/>
    <w:uiPriority w:val="0"/>
    <w:pPr>
      <w:spacing w:line="400" w:lineRule="exact"/>
    </w:pPr>
    <w:rPr>
      <w:rFonts w:eastAsia="等线 Light" w:cs="黑体"/>
      <w:b w:val="0"/>
      <w:bCs w:val="0"/>
      <w:szCs w:val="20"/>
    </w:rPr>
  </w:style>
  <w:style w:type="paragraph" w:customStyle="1" w:styleId="178">
    <w:name w:val="1"/>
    <w:basedOn w:val="1"/>
    <w:next w:val="1"/>
    <w:qFormat/>
    <w:uiPriority w:val="0"/>
  </w:style>
  <w:style w:type="paragraph" w:customStyle="1" w:styleId="179">
    <w:name w:val="Revision"/>
    <w:qFormat/>
    <w:uiPriority w:val="0"/>
    <w:rPr>
      <w:rFonts w:ascii="Calibri" w:hAnsi="Calibri" w:eastAsia="黑体" w:cs="Calibri"/>
      <w:kern w:val="2"/>
      <w:sz w:val="21"/>
      <w:szCs w:val="24"/>
      <w:lang w:val="en-US" w:eastAsia="zh-CN" w:bidi="ar-SA"/>
    </w:rPr>
  </w:style>
  <w:style w:type="paragraph" w:customStyle="1" w:styleId="180">
    <w:name w:val="无间隔1"/>
    <w:qFormat/>
    <w:uiPriority w:val="0"/>
    <w:pPr>
      <w:widowControl w:val="0"/>
      <w:jc w:val="both"/>
    </w:pPr>
    <w:rPr>
      <w:rFonts w:ascii="Calibri" w:hAnsi="Calibri" w:eastAsia="黑体" w:cs="Calibri"/>
      <w:kern w:val="2"/>
      <w:sz w:val="21"/>
      <w:szCs w:val="24"/>
      <w:lang w:val="en-US" w:eastAsia="zh-CN" w:bidi="ar-SA"/>
    </w:rPr>
  </w:style>
  <w:style w:type="paragraph" w:customStyle="1" w:styleId="181">
    <w:name w:val="Char1"/>
    <w:basedOn w:val="1"/>
    <w:qFormat/>
    <w:uiPriority w:val="0"/>
    <w:pPr>
      <w:widowControl/>
      <w:spacing w:after="160" w:line="240" w:lineRule="exact"/>
      <w:jc w:val="left"/>
    </w:pPr>
  </w:style>
  <w:style w:type="paragraph" w:customStyle="1" w:styleId="182">
    <w:name w:val="Default Paragraph Font Para Char Char Char Char Char Char"/>
    <w:basedOn w:val="1"/>
    <w:qFormat/>
    <w:uiPriority w:val="0"/>
    <w:pPr>
      <w:widowControl/>
      <w:spacing w:after="160" w:line="240" w:lineRule="exact"/>
      <w:jc w:val="left"/>
    </w:pPr>
    <w:rPr>
      <w:szCs w:val="20"/>
    </w:rPr>
  </w:style>
  <w:style w:type="paragraph" w:customStyle="1" w:styleId="183">
    <w:name w:val="reader-word-layer"/>
    <w:basedOn w:val="1"/>
    <w:qFormat/>
    <w:uiPriority w:val="0"/>
    <w:pPr>
      <w:widowControl/>
      <w:spacing w:before="100" w:beforeAutospacing="1" w:after="100" w:afterAutospacing="1"/>
      <w:jc w:val="left"/>
    </w:pPr>
    <w:rPr>
      <w:rFonts w:ascii="黑体" w:hAnsi="黑体" w:cs="黑体"/>
      <w:kern w:val="0"/>
      <w:sz w:val="24"/>
    </w:rPr>
  </w:style>
  <w:style w:type="paragraph" w:customStyle="1" w:styleId="184">
    <w:name w:val="默认段落字体 Para Char Char Char Char Char Char Char Char Char1 Char Char Char Char Char Char Char"/>
    <w:basedOn w:val="1"/>
    <w:qFormat/>
    <w:uiPriority w:val="0"/>
    <w:rPr>
      <w:kern w:val="0"/>
      <w:szCs w:val="20"/>
    </w:rPr>
  </w:style>
  <w:style w:type="paragraph" w:customStyle="1" w:styleId="185">
    <w:name w:val="p0"/>
    <w:basedOn w:val="1"/>
    <w:qFormat/>
    <w:uiPriority w:val="0"/>
    <w:pPr>
      <w:widowControl/>
    </w:pPr>
    <w:rPr>
      <w:rFonts w:ascii="Cambria Math" w:hAnsi="Cambria Math" w:cs="黑体"/>
      <w:kern w:val="0"/>
      <w:szCs w:val="21"/>
    </w:rPr>
  </w:style>
  <w:style w:type="paragraph" w:customStyle="1" w:styleId="186">
    <w:name w:val="_Style 37"/>
    <w:basedOn w:val="1"/>
    <w:next w:val="1"/>
    <w:qFormat/>
    <w:uiPriority w:val="0"/>
  </w:style>
  <w:style w:type="paragraph" w:customStyle="1" w:styleId="187">
    <w:name w:val="空半行"/>
    <w:basedOn w:val="1"/>
    <w:qFormat/>
    <w:uiPriority w:val="0"/>
    <w:pPr>
      <w:adjustRightInd w:val="0"/>
      <w:spacing w:line="120" w:lineRule="exact"/>
      <w:textAlignment w:val="baseline"/>
    </w:pPr>
    <w:rPr>
      <w:rFonts w:eastAsia="Verdana"/>
      <w:color w:val="FFFFFF"/>
      <w:kern w:val="0"/>
      <w:sz w:val="30"/>
      <w:szCs w:val="20"/>
    </w:rPr>
  </w:style>
  <w:style w:type="paragraph" w:customStyle="1" w:styleId="188">
    <w:name w:val="Normal"/>
    <w:qFormat/>
    <w:uiPriority w:val="0"/>
    <w:rPr>
      <w:rFonts w:ascii="Times New Roman" w:hAnsi="Times New Roman" w:eastAsia="Times New Roman" w:cs="Times New Roman"/>
      <w:sz w:val="24"/>
      <w:szCs w:val="24"/>
      <w:lang w:bidi="ar-SA"/>
    </w:rPr>
  </w:style>
  <w:style w:type="character" w:customStyle="1" w:styleId="189">
    <w:name w:val="bds_more"/>
    <w:basedOn w:val="43"/>
    <w:qFormat/>
    <w:uiPriority w:val="0"/>
    <w:rPr>
      <w:rFonts w:hint="eastAsia" w:ascii="宋体" w:hAnsi="宋体" w:eastAsia="宋体" w:cs="宋体"/>
    </w:rPr>
  </w:style>
  <w:style w:type="character" w:customStyle="1" w:styleId="190">
    <w:name w:val="bds_more1"/>
    <w:basedOn w:val="43"/>
    <w:qFormat/>
    <w:uiPriority w:val="0"/>
  </w:style>
  <w:style w:type="character" w:customStyle="1" w:styleId="191">
    <w:name w:val="bds_more2"/>
    <w:basedOn w:val="43"/>
    <w:qFormat/>
    <w:uiPriority w:val="0"/>
  </w:style>
  <w:style w:type="character" w:customStyle="1" w:styleId="192">
    <w:name w:val="bds_nopic"/>
    <w:basedOn w:val="43"/>
    <w:qFormat/>
    <w:uiPriority w:val="0"/>
  </w:style>
  <w:style w:type="character" w:customStyle="1" w:styleId="193">
    <w:name w:val="bds_nopic1"/>
    <w:basedOn w:val="43"/>
    <w:qFormat/>
    <w:uiPriority w:val="0"/>
  </w:style>
  <w:style w:type="character" w:customStyle="1" w:styleId="194">
    <w:name w:val="bds_nopic2"/>
    <w:basedOn w:val="43"/>
    <w:qFormat/>
    <w:uiPriority w:val="0"/>
  </w:style>
  <w:style w:type="paragraph" w:customStyle="1" w:styleId="195">
    <w:name w:val="Body text|2"/>
    <w:basedOn w:val="1"/>
    <w:link w:val="197"/>
    <w:qFormat/>
    <w:uiPriority w:val="0"/>
    <w:pPr>
      <w:widowControl w:val="0"/>
      <w:shd w:val="clear" w:color="auto" w:fill="FFFFFF"/>
      <w:spacing w:line="443" w:lineRule="exact"/>
    </w:pPr>
    <w:rPr>
      <w:rFonts w:ascii="PMingLiU" w:hAnsi="PMingLiU" w:eastAsia="PMingLiU" w:cs="PMingLiU"/>
      <w:sz w:val="22"/>
      <w:szCs w:val="22"/>
      <w:u w:val="none"/>
    </w:rPr>
  </w:style>
  <w:style w:type="character" w:customStyle="1" w:styleId="196">
    <w:name w:val="Body text|2 + 12 pt"/>
    <w:basedOn w:val="197"/>
    <w:semiHidden/>
    <w:unhideWhenUsed/>
    <w:qFormat/>
    <w:uiPriority w:val="0"/>
    <w:rPr>
      <w:i/>
      <w:iCs/>
      <w:color w:val="000000"/>
      <w:spacing w:val="0"/>
      <w:w w:val="100"/>
      <w:position w:val="0"/>
      <w:sz w:val="24"/>
      <w:szCs w:val="24"/>
      <w:lang w:val="en-US" w:eastAsia="en-US" w:bidi="en-US"/>
    </w:rPr>
  </w:style>
  <w:style w:type="character" w:customStyle="1" w:styleId="197">
    <w:name w:val="Body text|2_"/>
    <w:basedOn w:val="43"/>
    <w:link w:val="195"/>
    <w:qFormat/>
    <w:uiPriority w:val="0"/>
    <w:rPr>
      <w:rFonts w:ascii="PMingLiU" w:hAnsi="PMingLiU" w:eastAsia="PMingLiU" w:cs="PMingLiU"/>
      <w:sz w:val="22"/>
      <w:szCs w:val="22"/>
      <w:u w:val="none"/>
    </w:rPr>
  </w:style>
  <w:style w:type="character" w:customStyle="1" w:styleId="198">
    <w:name w:val="Body text|2 + Times New Roman"/>
    <w:basedOn w:val="197"/>
    <w:semiHidden/>
    <w:unhideWhenUsed/>
    <w:qFormat/>
    <w:uiPriority w:val="0"/>
    <w:rPr>
      <w:rFonts w:ascii="Times New Roman" w:hAnsi="Times New Roman" w:eastAsia="Times New Roman" w:cs="Times New Roman"/>
      <w:i/>
      <w:iCs/>
      <w:color w:val="000000"/>
      <w:spacing w:val="0"/>
      <w:w w:val="100"/>
      <w:position w:val="0"/>
      <w:sz w:val="24"/>
      <w:szCs w:val="24"/>
      <w:lang w:val="zh-CN" w:eastAsia="zh-CN" w:bidi="zh-CN"/>
    </w:rPr>
  </w:style>
  <w:style w:type="character" w:customStyle="1" w:styleId="199">
    <w:name w:val="Body text|2 + Bold"/>
    <w:basedOn w:val="197"/>
    <w:semiHidden/>
    <w:unhideWhenUsed/>
    <w:qFormat/>
    <w:uiPriority w:val="0"/>
    <w:rPr>
      <w:b/>
      <w:bCs/>
      <w:color w:val="000000"/>
      <w:spacing w:val="0"/>
      <w:w w:val="100"/>
      <w:position w:val="0"/>
      <w:lang w:val="zh-CN" w:eastAsia="zh-CN" w:bidi="zh-CN"/>
    </w:rPr>
  </w:style>
  <w:style w:type="character" w:customStyle="1" w:styleId="200">
    <w:name w:val="Body text|2 + Spacing 2 pt"/>
    <w:basedOn w:val="197"/>
    <w:semiHidden/>
    <w:unhideWhenUsed/>
    <w:qFormat/>
    <w:uiPriority w:val="0"/>
    <w:rPr>
      <w:color w:val="000000"/>
      <w:spacing w:val="40"/>
      <w:w w:val="100"/>
      <w:position w:val="0"/>
      <w:lang w:val="zh-CN" w:eastAsia="zh-CN" w:bidi="zh-CN"/>
    </w:rPr>
  </w:style>
  <w:style w:type="paragraph" w:customStyle="1" w:styleId="201">
    <w:name w:val="正文1"/>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textRotate="1"/>
    <customShpInfo spid="_x0000_s4099"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166133-D02A-4AB5-97F1-767B7FA81CF4}">
  <ds:schemaRefs/>
</ds:datastoreItem>
</file>

<file path=docProps/app.xml><?xml version="1.0" encoding="utf-8"?>
<Properties xmlns="http://schemas.openxmlformats.org/officeDocument/2006/extended-properties" xmlns:vt="http://schemas.openxmlformats.org/officeDocument/2006/docPropsVTypes">
  <Template>Normal</Template>
  <Pages>95</Pages>
  <Words>50360</Words>
  <Characters>54018</Characters>
  <Lines>475</Lines>
  <Paragraphs>133</Paragraphs>
  <TotalTime>0</TotalTime>
  <ScaleCrop>false</ScaleCrop>
  <LinksUpToDate>false</LinksUpToDate>
  <CharactersWithSpaces>61031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2018-07-09T09:47:00Z</dcterms:created>
  <dc:creator>Administrator</dc:creator>
  <cp:lastModifiedBy>昵伽</cp:lastModifiedBy>
  <cp:lastPrinted>2020-08-31T06:30:00Z</cp:lastPrinted>
  <dcterms:modified xsi:type="dcterms:W3CDTF">2021-04-08T03:04:35Z</dcterms:modified>
  <dc:title>广西德胜工程造价咨询有限公司</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41BBF55EF589407A834F3E0405CB6E85</vt:lpwstr>
  </property>
</Properties>
</file>