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sz w:val="48"/>
          <w:szCs w:val="48"/>
        </w:rPr>
      </w:pPr>
    </w:p>
    <w:p>
      <w:pPr>
        <w:jc w:val="center"/>
        <w:rPr>
          <w:rFonts w:ascii="隶书" w:hAnsi="宋体" w:eastAsia="隶书"/>
          <w:snapToGrid w:val="0"/>
          <w:sz w:val="48"/>
          <w:szCs w:val="48"/>
        </w:rPr>
      </w:pPr>
      <w:r>
        <w:rPr>
          <w:rFonts w:hint="eastAsia" w:ascii="楷体_GB2312" w:eastAsia="楷体_GB2312"/>
          <w:b/>
          <w:sz w:val="48"/>
          <w:szCs w:val="48"/>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593725</wp:posOffset>
                </wp:positionV>
                <wp:extent cx="6172200" cy="0"/>
                <wp:effectExtent l="0" t="19050" r="19050" b="38100"/>
                <wp:wrapNone/>
                <wp:docPr id="8" name="直接连接符 8"/>
                <wp:cNvGraphicFramePr/>
                <a:graphic xmlns:a="http://schemas.openxmlformats.org/drawingml/2006/main">
                  <a:graphicData uri="http://schemas.microsoft.com/office/word/2010/wordprocessingShape">
                    <wps:wsp>
                      <wps:cNvCnPr/>
                      <wps:spPr>
                        <a:xfrm flipV="1">
                          <a:off x="0" y="0"/>
                          <a:ext cx="6172200"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9.75pt;margin-top:46.75pt;height:0pt;width:486pt;z-index:251659264;mso-width-relative:page;mso-height-relative:page;" filled="f" stroked="t" coordsize="21600,21600" o:gfxdata="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2RK8rUAAAACQEAAA8A&#10;AAAAAAAAAQAgAAAAIgAAAGRycy9kb3ducmV2LnhtbFBLAQIUABQAAAAIAIdO4kDF6I4x4gEAAKkD&#10;AAAOAAAAAAAAAAEAIAAAACMBAABkcnMvZTJvRG9jLnhtbFBLBQYAAAAABgAGAFkBAAB3BQAAAAA=&#10;">
                <v:fill on="f" focussize="0,0"/>
                <v:stroke weight="4.5pt" color="#000000" linestyle="thinThick" joinstyle="round"/>
                <v:imagedata o:title=""/>
                <o:lock v:ext="edit" aspectratio="f"/>
              </v:line>
            </w:pict>
          </mc:Fallback>
        </mc:AlternateContent>
      </w:r>
      <w:r>
        <w:rPr>
          <w:rFonts w:hint="eastAsia" w:ascii="楷体_GB2312" w:eastAsia="楷体_GB2312"/>
          <w:b/>
          <w:sz w:val="48"/>
          <w:szCs w:val="48"/>
        </w:rPr>
        <w:t>广西盛凯工程咨询有限公司</w:t>
      </w:r>
      <w:r>
        <w:rPr>
          <w:rFonts w:hint="eastAsia" w:ascii="楷体_GB2312" w:eastAsia="楷体_GB2312"/>
          <w:b/>
          <w:sz w:val="48"/>
          <w:szCs w:val="48"/>
        </w:rPr>
        <w:cr/>
      </w:r>
    </w:p>
    <w:p>
      <w:pPr>
        <w:tabs>
          <w:tab w:val="left" w:pos="7931"/>
        </w:tabs>
        <w:jc w:val="center"/>
        <w:rPr>
          <w:rFonts w:ascii="华文新魏" w:eastAsia="华文新魏"/>
          <w:sz w:val="52"/>
        </w:rPr>
      </w:pPr>
    </w:p>
    <w:p>
      <w:pPr>
        <w:spacing w:before="312" w:beforeLines="100" w:after="156" w:afterLines="50" w:line="600" w:lineRule="exact"/>
        <w:jc w:val="center"/>
        <w:rPr>
          <w:rFonts w:ascii="宋体" w:hAnsi="宋体"/>
          <w:b/>
          <w:color w:val="000000"/>
          <w:sz w:val="72"/>
          <w:szCs w:val="72"/>
        </w:rPr>
      </w:pPr>
      <w:r>
        <w:rPr>
          <w:rFonts w:hint="eastAsia" w:ascii="宋体" w:hAnsi="宋体"/>
          <w:b/>
          <w:color w:val="000000"/>
          <w:sz w:val="72"/>
          <w:szCs w:val="72"/>
        </w:rPr>
        <w:t>竞争性磋商文件</w:t>
      </w:r>
    </w:p>
    <w:p>
      <w:pPr>
        <w:jc w:val="center"/>
      </w:pPr>
      <w:r>
        <w:rPr>
          <w:rFonts w:hint="eastAsia"/>
          <w:sz w:val="72"/>
        </w:rPr>
        <w:cr/>
      </w:r>
      <w:r>
        <w:cr/>
      </w:r>
    </w:p>
    <w:p>
      <w:pPr>
        <w:spacing w:before="312" w:beforeLines="100" w:after="156" w:afterLines="50" w:line="600" w:lineRule="exact"/>
        <w:jc w:val="center"/>
        <w:rPr>
          <w:rFonts w:ascii="宋体" w:hAnsi="宋体"/>
          <w:b/>
          <w:color w:val="000000"/>
          <w:sz w:val="32"/>
          <w:szCs w:val="32"/>
        </w:rPr>
      </w:pPr>
      <w:r>
        <w:rPr>
          <w:rFonts w:hint="eastAsia" w:ascii="宋体" w:hAnsi="宋体"/>
          <w:sz w:val="30"/>
          <w:szCs w:val="30"/>
        </w:rPr>
        <w:t xml:space="preserve">      项目名称：</w:t>
      </w:r>
      <w:r>
        <w:rPr>
          <w:rFonts w:hint="eastAsia" w:ascii="宋体" w:hAnsi="宋体"/>
          <w:b/>
          <w:color w:val="000000"/>
          <w:sz w:val="32"/>
          <w:szCs w:val="32"/>
        </w:rPr>
        <w:t>港南区工业园区江五路（城东大道-安澜路）基础设施建设项目工程检测服务</w:t>
      </w:r>
    </w:p>
    <w:p>
      <w:pPr>
        <w:spacing w:line="360" w:lineRule="auto"/>
        <w:ind w:firstLine="900" w:firstLineChars="300"/>
        <w:rPr>
          <w:rFonts w:ascii="宋体" w:hAnsi="宋体"/>
          <w:sz w:val="30"/>
          <w:szCs w:val="30"/>
        </w:rPr>
      </w:pPr>
      <w:r>
        <w:rPr>
          <w:rFonts w:hint="eastAsia" w:ascii="宋体" w:hAnsi="宋体"/>
          <w:sz w:val="30"/>
          <w:szCs w:val="30"/>
        </w:rPr>
        <w:t>项目编号：</w:t>
      </w:r>
      <w:r>
        <w:rPr>
          <w:rFonts w:hint="eastAsia" w:ascii="宋体" w:hAnsi="宋体"/>
          <w:b/>
          <w:color w:val="000000"/>
          <w:sz w:val="32"/>
          <w:szCs w:val="32"/>
        </w:rPr>
        <w:t>GGZC2020-C3-30060-GXSK</w:t>
      </w:r>
    </w:p>
    <w:p>
      <w:pPr>
        <w:pStyle w:val="2"/>
      </w:pPr>
    </w:p>
    <w:p>
      <w:pPr>
        <w:ind w:left="-2" w:leftChars="-1"/>
      </w:pPr>
      <w:r>
        <w:rPr>
          <w:rFonts w:hint="eastAsia"/>
        </w:rPr>
        <w:cr/>
      </w:r>
      <w:r>
        <w:rPr>
          <w:rFonts w:hint="eastAsia"/>
        </w:rPr>
        <w:cr/>
      </w:r>
      <w:r>
        <w:rPr>
          <w:rFonts w:hint="eastAsia"/>
        </w:rPr>
        <w:cr/>
      </w:r>
    </w:p>
    <w:p>
      <w:pPr>
        <w:ind w:left="-2" w:leftChars="-1"/>
      </w:pPr>
    </w:p>
    <w:p>
      <w:pPr>
        <w:ind w:left="-2" w:leftChars="-1"/>
      </w:pPr>
    </w:p>
    <w:p/>
    <w:p>
      <w:pPr>
        <w:pStyle w:val="26"/>
        <w:spacing w:line="600" w:lineRule="auto"/>
        <w:ind w:left="193" w:leftChars="92" w:firstLine="964" w:firstLineChars="300"/>
        <w:rPr>
          <w:rFonts w:hAnsi="宋体"/>
          <w:b/>
          <w:bCs/>
          <w:sz w:val="30"/>
          <w:szCs w:val="30"/>
        </w:rPr>
      </w:pPr>
      <w:r>
        <w:rPr>
          <w:rFonts w:hint="eastAsia"/>
          <w:b/>
          <w:sz w:val="32"/>
          <w:szCs w:val="32"/>
        </w:rPr>
        <w:t>采购单位：</w:t>
      </w:r>
      <w:r>
        <w:rPr>
          <w:rFonts w:hint="eastAsia" w:hAnsi="宋体"/>
          <w:b/>
          <w:bCs/>
          <w:sz w:val="30"/>
          <w:szCs w:val="30"/>
        </w:rPr>
        <w:t>贵港市港南区工业园区管理委员会</w:t>
      </w:r>
    </w:p>
    <w:p>
      <w:pPr>
        <w:pStyle w:val="26"/>
        <w:spacing w:line="600" w:lineRule="auto"/>
        <w:ind w:left="626" w:leftChars="-8" w:hanging="643"/>
        <w:jc w:val="center"/>
        <w:rPr>
          <w:b/>
          <w:sz w:val="32"/>
          <w:szCs w:val="32"/>
        </w:rPr>
      </w:pPr>
      <w:r>
        <w:rPr>
          <w:rFonts w:hint="eastAsia"/>
          <w:b/>
          <w:sz w:val="32"/>
          <w:szCs w:val="32"/>
        </w:rPr>
        <w:t>采购代</w:t>
      </w:r>
      <w:r>
        <w:rPr>
          <w:rFonts w:hint="eastAsia" w:hAnsi="宋体"/>
          <w:b/>
          <w:bCs/>
          <w:sz w:val="30"/>
          <w:szCs w:val="30"/>
        </w:rPr>
        <w:t>理机构：广西盛凯工程咨询有限公司</w:t>
      </w:r>
    </w:p>
    <w:p>
      <w:pPr>
        <w:pStyle w:val="28"/>
        <w:ind w:left="99" w:leftChars="47"/>
        <w:jc w:val="center"/>
        <w:rPr>
          <w:b/>
          <w:sz w:val="32"/>
          <w:szCs w:val="32"/>
        </w:rPr>
      </w:pPr>
      <w:r>
        <w:rPr>
          <w:rFonts w:hint="eastAsia"/>
          <w:b/>
          <w:sz w:val="32"/>
          <w:szCs w:val="32"/>
        </w:rPr>
        <w:t>发布日期：</w:t>
      </w:r>
      <w:r>
        <w:rPr>
          <w:b/>
          <w:sz w:val="32"/>
          <w:szCs w:val="32"/>
        </w:rPr>
        <w:t>20</w:t>
      </w:r>
      <w:r>
        <w:rPr>
          <w:rFonts w:hint="eastAsia"/>
          <w:b/>
          <w:sz w:val="32"/>
          <w:szCs w:val="32"/>
        </w:rPr>
        <w:t>20</w:t>
      </w:r>
      <w:r>
        <w:rPr>
          <w:b/>
          <w:sz w:val="32"/>
          <w:szCs w:val="32"/>
        </w:rPr>
        <w:t>年</w:t>
      </w:r>
      <w:r>
        <w:rPr>
          <w:rFonts w:hint="eastAsia"/>
          <w:b/>
          <w:sz w:val="32"/>
          <w:szCs w:val="32"/>
        </w:rPr>
        <w:t>11月13日</w:t>
      </w:r>
    </w:p>
    <w:p>
      <w:pPr>
        <w:spacing w:line="400" w:lineRule="exact"/>
        <w:rPr>
          <w:rFonts w:ascii="宋体" w:hAnsi="宋体"/>
          <w:b/>
          <w:color w:val="000000"/>
          <w:sz w:val="32"/>
          <w:szCs w:val="32"/>
        </w:rPr>
      </w:pPr>
    </w:p>
    <w:p>
      <w:pPr>
        <w:spacing w:line="400" w:lineRule="exact"/>
        <w:jc w:val="center"/>
        <w:rPr>
          <w:rFonts w:ascii="宋体" w:hAnsi="宋体"/>
          <w:b/>
          <w:color w:val="000000"/>
          <w:sz w:val="36"/>
          <w:szCs w:val="36"/>
        </w:rPr>
      </w:pPr>
      <w:r>
        <w:rPr>
          <w:rFonts w:hint="eastAsia" w:ascii="宋体" w:hAnsi="宋体"/>
          <w:b/>
          <w:color w:val="000000"/>
          <w:sz w:val="36"/>
          <w:szCs w:val="36"/>
        </w:rPr>
        <w:t>目   录</w:t>
      </w:r>
    </w:p>
    <w:p>
      <w:pPr>
        <w:spacing w:line="400" w:lineRule="exact"/>
        <w:jc w:val="center"/>
        <w:rPr>
          <w:rFonts w:ascii="宋体" w:hAnsi="宋体"/>
          <w:b/>
          <w:color w:val="000000"/>
          <w:sz w:val="44"/>
          <w:szCs w:val="44"/>
        </w:rPr>
      </w:pPr>
    </w:p>
    <w:p>
      <w:pPr>
        <w:pStyle w:val="42"/>
        <w:rPr>
          <w:color w:val="000000"/>
          <w:sz w:val="30"/>
          <w:szCs w:val="30"/>
        </w:rPr>
      </w:pPr>
      <w:r>
        <w:rPr>
          <w:rFonts w:ascii="宋体" w:hAnsi="宋体"/>
          <w:b/>
          <w:color w:val="000000"/>
          <w:sz w:val="30"/>
          <w:szCs w:val="30"/>
        </w:rPr>
        <w:fldChar w:fldCharType="begin"/>
      </w:r>
      <w:r>
        <w:rPr>
          <w:rFonts w:ascii="宋体" w:hAnsi="宋体"/>
          <w:b/>
          <w:color w:val="000000"/>
          <w:sz w:val="30"/>
          <w:szCs w:val="30"/>
        </w:rPr>
        <w:instrText xml:space="preserve"> </w:instrText>
      </w:r>
      <w:r>
        <w:rPr>
          <w:rFonts w:hint="eastAsia" w:ascii="宋体" w:hAnsi="宋体"/>
          <w:b/>
          <w:color w:val="000000"/>
          <w:sz w:val="30"/>
          <w:szCs w:val="30"/>
        </w:rPr>
        <w:instrText xml:space="preserve">TOC \o "1-3" \h \z \u</w:instrText>
      </w:r>
      <w:r>
        <w:rPr>
          <w:rFonts w:ascii="宋体" w:hAnsi="宋体"/>
          <w:b/>
          <w:color w:val="000000"/>
          <w:sz w:val="30"/>
          <w:szCs w:val="30"/>
        </w:rPr>
        <w:instrText xml:space="preserve"> </w:instrText>
      </w:r>
      <w:r>
        <w:rPr>
          <w:rFonts w:ascii="宋体" w:hAnsi="宋体"/>
          <w:b/>
          <w:color w:val="000000"/>
          <w:sz w:val="30"/>
          <w:szCs w:val="30"/>
        </w:rPr>
        <w:fldChar w:fldCharType="separate"/>
      </w:r>
      <w:r>
        <w:fldChar w:fldCharType="begin"/>
      </w:r>
      <w:r>
        <w:instrText xml:space="preserve"> HYPERLINK \l "_Toc433110106" </w:instrText>
      </w:r>
      <w:r>
        <w:fldChar w:fldCharType="separate"/>
      </w:r>
      <w:r>
        <w:rPr>
          <w:rStyle w:val="58"/>
          <w:color w:val="000000"/>
          <w:sz w:val="30"/>
          <w:szCs w:val="30"/>
        </w:rPr>
        <w:t xml:space="preserve"> </w:t>
      </w:r>
      <w:r>
        <w:rPr>
          <w:rStyle w:val="58"/>
          <w:rFonts w:hint="eastAsia"/>
          <w:color w:val="000000"/>
          <w:sz w:val="30"/>
          <w:szCs w:val="30"/>
        </w:rPr>
        <w:t>竞争性磋商</w:t>
      </w:r>
      <w:bookmarkStart w:id="0" w:name="_Hlt433110117"/>
      <w:bookmarkStart w:id="1" w:name="_Hlt433110116"/>
      <w:r>
        <w:rPr>
          <w:rStyle w:val="58"/>
          <w:rFonts w:hint="eastAsia"/>
          <w:color w:val="000000"/>
          <w:sz w:val="30"/>
          <w:szCs w:val="30"/>
        </w:rPr>
        <w:t>公</w:t>
      </w:r>
      <w:bookmarkEnd w:id="0"/>
      <w:bookmarkEnd w:id="1"/>
      <w:r>
        <w:rPr>
          <w:rStyle w:val="58"/>
          <w:rFonts w:hint="eastAsia"/>
          <w:color w:val="000000"/>
          <w:sz w:val="30"/>
          <w:szCs w:val="30"/>
        </w:rPr>
        <w:t>告</w:t>
      </w:r>
      <w:r>
        <w:rPr>
          <w:color w:val="000000"/>
          <w:sz w:val="30"/>
          <w:szCs w:val="30"/>
        </w:rPr>
        <w:tab/>
      </w:r>
      <w:r>
        <w:rPr>
          <w:rFonts w:hint="eastAsia"/>
          <w:color w:val="000000"/>
          <w:sz w:val="30"/>
          <w:szCs w:val="30"/>
        </w:rPr>
        <w:t>2</w:t>
      </w:r>
      <w:r>
        <w:rPr>
          <w:rFonts w:hint="eastAsia"/>
          <w:color w:val="000000"/>
          <w:sz w:val="30"/>
          <w:szCs w:val="30"/>
        </w:rPr>
        <w:fldChar w:fldCharType="end"/>
      </w:r>
    </w:p>
    <w:p>
      <w:pPr>
        <w:pStyle w:val="42"/>
        <w:rPr>
          <w:color w:val="000000"/>
          <w:sz w:val="30"/>
          <w:szCs w:val="30"/>
        </w:rPr>
      </w:pPr>
      <w:r>
        <w:fldChar w:fldCharType="begin"/>
      </w:r>
      <w:r>
        <w:instrText xml:space="preserve"> HYPERLINK \l "_Toc433110107" </w:instrText>
      </w:r>
      <w:r>
        <w:fldChar w:fldCharType="separate"/>
      </w:r>
      <w:r>
        <w:rPr>
          <w:rStyle w:val="58"/>
          <w:rFonts w:hint="eastAsia"/>
          <w:color w:val="000000"/>
          <w:sz w:val="30"/>
          <w:szCs w:val="30"/>
        </w:rPr>
        <w:t>第一章</w:t>
      </w:r>
      <w:r>
        <w:rPr>
          <w:rStyle w:val="58"/>
          <w:color w:val="000000"/>
          <w:sz w:val="30"/>
          <w:szCs w:val="30"/>
        </w:rPr>
        <w:t xml:space="preserve"> </w:t>
      </w:r>
      <w:r>
        <w:rPr>
          <w:rStyle w:val="58"/>
          <w:rFonts w:hint="eastAsia"/>
          <w:color w:val="000000"/>
          <w:sz w:val="30"/>
          <w:szCs w:val="30"/>
        </w:rPr>
        <w:t>磋商供应商须知</w:t>
      </w:r>
      <w:r>
        <w:rPr>
          <w:color w:val="000000"/>
          <w:sz w:val="30"/>
          <w:szCs w:val="30"/>
        </w:rPr>
        <w:tab/>
      </w:r>
      <w:r>
        <w:rPr>
          <w:rFonts w:hint="eastAsia"/>
          <w:color w:val="000000"/>
          <w:sz w:val="30"/>
          <w:szCs w:val="30"/>
        </w:rPr>
        <w:t>4</w:t>
      </w:r>
      <w:r>
        <w:rPr>
          <w:rFonts w:hint="eastAsia"/>
          <w:color w:val="000000"/>
          <w:sz w:val="30"/>
          <w:szCs w:val="30"/>
        </w:rPr>
        <w:fldChar w:fldCharType="end"/>
      </w:r>
    </w:p>
    <w:p>
      <w:pPr>
        <w:pStyle w:val="42"/>
        <w:rPr>
          <w:color w:val="000000"/>
          <w:sz w:val="30"/>
          <w:szCs w:val="30"/>
        </w:rPr>
      </w:pPr>
      <w:r>
        <w:fldChar w:fldCharType="begin"/>
      </w:r>
      <w:r>
        <w:instrText xml:space="preserve"> HYPERLINK \l "_Toc433110108" </w:instrText>
      </w:r>
      <w:r>
        <w:fldChar w:fldCharType="separate"/>
      </w:r>
      <w:r>
        <w:rPr>
          <w:rStyle w:val="58"/>
          <w:rFonts w:hint="eastAsia"/>
          <w:color w:val="000000"/>
          <w:sz w:val="30"/>
          <w:szCs w:val="30"/>
        </w:rPr>
        <w:t>第二章</w:t>
      </w:r>
      <w:r>
        <w:rPr>
          <w:rStyle w:val="58"/>
          <w:color w:val="000000"/>
          <w:sz w:val="30"/>
          <w:szCs w:val="30"/>
        </w:rPr>
        <w:t xml:space="preserve"> </w:t>
      </w:r>
      <w:r>
        <w:rPr>
          <w:rStyle w:val="58"/>
          <w:rFonts w:hint="eastAsia"/>
          <w:color w:val="000000"/>
          <w:sz w:val="30"/>
          <w:szCs w:val="30"/>
        </w:rPr>
        <w:t>服务项目采购需求</w:t>
      </w:r>
      <w:r>
        <w:rPr>
          <w:color w:val="000000"/>
          <w:sz w:val="30"/>
          <w:szCs w:val="30"/>
        </w:rPr>
        <w:tab/>
      </w:r>
      <w:r>
        <w:rPr>
          <w:color w:val="000000"/>
          <w:sz w:val="30"/>
          <w:szCs w:val="30"/>
        </w:rPr>
        <w:fldChar w:fldCharType="begin"/>
      </w:r>
      <w:r>
        <w:rPr>
          <w:color w:val="000000"/>
          <w:sz w:val="30"/>
          <w:szCs w:val="30"/>
        </w:rPr>
        <w:instrText xml:space="preserve"> PAGEREF _Toc433110108 \h </w:instrText>
      </w:r>
      <w:r>
        <w:rPr>
          <w:color w:val="000000"/>
          <w:sz w:val="30"/>
          <w:szCs w:val="30"/>
        </w:rPr>
        <w:fldChar w:fldCharType="separate"/>
      </w:r>
      <w:r>
        <w:rPr>
          <w:color w:val="000000"/>
          <w:sz w:val="30"/>
          <w:szCs w:val="30"/>
        </w:rPr>
        <w:t>1</w:t>
      </w:r>
      <w:r>
        <w:rPr>
          <w:rFonts w:hint="eastAsia"/>
          <w:color w:val="000000"/>
          <w:sz w:val="30"/>
          <w:szCs w:val="30"/>
        </w:rPr>
        <w:t>8</w:t>
      </w:r>
      <w:r>
        <w:rPr>
          <w:color w:val="000000"/>
          <w:sz w:val="30"/>
          <w:szCs w:val="30"/>
        </w:rPr>
        <w:fldChar w:fldCharType="end"/>
      </w:r>
      <w:r>
        <w:rPr>
          <w:color w:val="000000"/>
          <w:sz w:val="30"/>
          <w:szCs w:val="30"/>
        </w:rPr>
        <w:fldChar w:fldCharType="end"/>
      </w:r>
    </w:p>
    <w:p>
      <w:pPr>
        <w:pStyle w:val="42"/>
        <w:rPr>
          <w:color w:val="000000"/>
          <w:sz w:val="30"/>
          <w:szCs w:val="30"/>
        </w:rPr>
      </w:pPr>
      <w:r>
        <w:fldChar w:fldCharType="begin"/>
      </w:r>
      <w:r>
        <w:instrText xml:space="preserve"> HYPERLINK \l "_Toc433110109" </w:instrText>
      </w:r>
      <w:r>
        <w:fldChar w:fldCharType="separate"/>
      </w:r>
      <w:r>
        <w:rPr>
          <w:rStyle w:val="58"/>
          <w:rFonts w:hint="eastAsia"/>
          <w:color w:val="000000"/>
          <w:sz w:val="30"/>
          <w:szCs w:val="30"/>
        </w:rPr>
        <w:t>第三章</w:t>
      </w:r>
      <w:r>
        <w:rPr>
          <w:rStyle w:val="58"/>
          <w:color w:val="000000"/>
          <w:sz w:val="30"/>
          <w:szCs w:val="30"/>
        </w:rPr>
        <w:t xml:space="preserve"> </w:t>
      </w:r>
      <w:r>
        <w:rPr>
          <w:rStyle w:val="58"/>
          <w:rFonts w:hint="eastAsia"/>
          <w:color w:val="000000"/>
          <w:sz w:val="30"/>
          <w:szCs w:val="30"/>
        </w:rPr>
        <w:t>评审方法及定标标准</w:t>
      </w:r>
      <w:r>
        <w:rPr>
          <w:color w:val="000000"/>
          <w:sz w:val="30"/>
          <w:szCs w:val="30"/>
        </w:rPr>
        <w:tab/>
      </w:r>
      <w:r>
        <w:rPr>
          <w:color w:val="000000"/>
          <w:sz w:val="30"/>
          <w:szCs w:val="30"/>
        </w:rPr>
        <w:fldChar w:fldCharType="begin"/>
      </w:r>
      <w:r>
        <w:rPr>
          <w:color w:val="000000"/>
          <w:sz w:val="30"/>
          <w:szCs w:val="30"/>
        </w:rPr>
        <w:instrText xml:space="preserve"> PAGEREF _Toc433110109 \h </w:instrText>
      </w:r>
      <w:r>
        <w:rPr>
          <w:color w:val="000000"/>
          <w:sz w:val="30"/>
          <w:szCs w:val="30"/>
        </w:rPr>
        <w:fldChar w:fldCharType="separate"/>
      </w:r>
      <w:r>
        <w:rPr>
          <w:color w:val="000000"/>
          <w:sz w:val="30"/>
          <w:szCs w:val="30"/>
        </w:rPr>
        <w:t>2</w:t>
      </w:r>
      <w:r>
        <w:rPr>
          <w:rFonts w:hint="eastAsia"/>
          <w:color w:val="000000"/>
          <w:sz w:val="30"/>
          <w:szCs w:val="30"/>
        </w:rPr>
        <w:t>0</w:t>
      </w:r>
      <w:r>
        <w:rPr>
          <w:color w:val="000000"/>
          <w:sz w:val="30"/>
          <w:szCs w:val="30"/>
        </w:rPr>
        <w:fldChar w:fldCharType="end"/>
      </w:r>
      <w:r>
        <w:rPr>
          <w:color w:val="000000"/>
          <w:sz w:val="30"/>
          <w:szCs w:val="30"/>
        </w:rPr>
        <w:fldChar w:fldCharType="end"/>
      </w:r>
    </w:p>
    <w:p>
      <w:pPr>
        <w:pStyle w:val="42"/>
        <w:rPr>
          <w:color w:val="000000"/>
          <w:sz w:val="30"/>
          <w:szCs w:val="30"/>
        </w:rPr>
      </w:pPr>
      <w:r>
        <w:fldChar w:fldCharType="begin"/>
      </w:r>
      <w:r>
        <w:instrText xml:space="preserve"> HYPERLINK \l "_Toc433110110" </w:instrText>
      </w:r>
      <w:r>
        <w:fldChar w:fldCharType="separate"/>
      </w:r>
      <w:r>
        <w:rPr>
          <w:rStyle w:val="58"/>
          <w:rFonts w:hint="eastAsia"/>
          <w:color w:val="000000"/>
          <w:sz w:val="30"/>
          <w:szCs w:val="30"/>
        </w:rPr>
        <w:t>第四章</w:t>
      </w:r>
      <w:r>
        <w:rPr>
          <w:rStyle w:val="58"/>
          <w:color w:val="000000"/>
          <w:sz w:val="30"/>
          <w:szCs w:val="30"/>
        </w:rPr>
        <w:t xml:space="preserve"> </w:t>
      </w:r>
      <w:r>
        <w:rPr>
          <w:rStyle w:val="58"/>
          <w:rFonts w:hint="eastAsia"/>
          <w:color w:val="000000"/>
          <w:sz w:val="30"/>
          <w:szCs w:val="30"/>
        </w:rPr>
        <w:t>响应文件格式</w:t>
      </w:r>
      <w:r>
        <w:rPr>
          <w:color w:val="000000"/>
          <w:sz w:val="30"/>
          <w:szCs w:val="30"/>
        </w:rPr>
        <w:tab/>
      </w:r>
      <w:r>
        <w:rPr>
          <w:color w:val="000000"/>
          <w:sz w:val="30"/>
          <w:szCs w:val="30"/>
        </w:rPr>
        <w:fldChar w:fldCharType="begin"/>
      </w:r>
      <w:r>
        <w:rPr>
          <w:color w:val="000000"/>
          <w:sz w:val="30"/>
          <w:szCs w:val="30"/>
        </w:rPr>
        <w:instrText xml:space="preserve"> PAGEREF _Toc433110110 \h </w:instrText>
      </w:r>
      <w:r>
        <w:rPr>
          <w:color w:val="000000"/>
          <w:sz w:val="30"/>
          <w:szCs w:val="30"/>
        </w:rPr>
        <w:fldChar w:fldCharType="separate"/>
      </w:r>
      <w:r>
        <w:rPr>
          <w:color w:val="000000"/>
          <w:sz w:val="30"/>
          <w:szCs w:val="30"/>
        </w:rPr>
        <w:t>2</w:t>
      </w:r>
      <w:r>
        <w:rPr>
          <w:rFonts w:hint="eastAsia"/>
          <w:color w:val="000000"/>
          <w:sz w:val="30"/>
          <w:szCs w:val="30"/>
        </w:rPr>
        <w:t>4</w:t>
      </w:r>
      <w:r>
        <w:rPr>
          <w:color w:val="000000"/>
          <w:sz w:val="30"/>
          <w:szCs w:val="30"/>
        </w:rPr>
        <w:fldChar w:fldCharType="end"/>
      </w:r>
      <w:r>
        <w:rPr>
          <w:color w:val="000000"/>
          <w:sz w:val="30"/>
          <w:szCs w:val="30"/>
        </w:rPr>
        <w:fldChar w:fldCharType="end"/>
      </w:r>
    </w:p>
    <w:p>
      <w:pPr>
        <w:pStyle w:val="42"/>
        <w:rPr>
          <w:color w:val="000000"/>
          <w:sz w:val="30"/>
          <w:szCs w:val="30"/>
        </w:rPr>
      </w:pPr>
      <w:r>
        <w:fldChar w:fldCharType="begin"/>
      </w:r>
      <w:r>
        <w:instrText xml:space="preserve"> HYPERLINK \l "_Toc433110111" </w:instrText>
      </w:r>
      <w:r>
        <w:fldChar w:fldCharType="separate"/>
      </w:r>
      <w:r>
        <w:rPr>
          <w:rStyle w:val="58"/>
          <w:rFonts w:hint="eastAsia"/>
          <w:color w:val="000000"/>
          <w:sz w:val="30"/>
          <w:szCs w:val="30"/>
        </w:rPr>
        <w:t>第五章</w:t>
      </w:r>
      <w:r>
        <w:rPr>
          <w:rStyle w:val="58"/>
          <w:color w:val="000000"/>
          <w:sz w:val="30"/>
          <w:szCs w:val="30"/>
        </w:rPr>
        <w:t xml:space="preserve"> </w:t>
      </w:r>
      <w:r>
        <w:rPr>
          <w:rStyle w:val="58"/>
          <w:rFonts w:hint="eastAsia"/>
          <w:color w:val="000000"/>
          <w:sz w:val="30"/>
          <w:szCs w:val="30"/>
        </w:rPr>
        <w:t>合同条款及格式</w:t>
      </w:r>
      <w:r>
        <w:rPr>
          <w:color w:val="000000"/>
          <w:sz w:val="30"/>
          <w:szCs w:val="30"/>
        </w:rPr>
        <w:tab/>
      </w:r>
      <w:r>
        <w:rPr>
          <w:rFonts w:hint="eastAsia"/>
          <w:color w:val="000000"/>
          <w:sz w:val="30"/>
          <w:szCs w:val="30"/>
        </w:rPr>
        <w:t>39</w:t>
      </w:r>
      <w:r>
        <w:rPr>
          <w:rFonts w:hint="eastAsia"/>
          <w:color w:val="000000"/>
          <w:sz w:val="30"/>
          <w:szCs w:val="30"/>
        </w:rPr>
        <w:fldChar w:fldCharType="end"/>
      </w:r>
    </w:p>
    <w:p>
      <w:pPr>
        <w:spacing w:line="360" w:lineRule="auto"/>
        <w:jc w:val="left"/>
        <w:rPr>
          <w:rFonts w:ascii="宋体" w:hAnsi="宋体"/>
          <w:b/>
          <w:color w:val="000000"/>
          <w:sz w:val="30"/>
          <w:szCs w:val="30"/>
        </w:rPr>
      </w:pPr>
      <w:r>
        <w:rPr>
          <w:rFonts w:ascii="宋体" w:hAnsi="宋体"/>
          <w:b/>
          <w:color w:val="000000"/>
          <w:sz w:val="30"/>
          <w:szCs w:val="30"/>
        </w:rPr>
        <w:fldChar w:fldCharType="end"/>
      </w:r>
    </w:p>
    <w:p>
      <w:pPr>
        <w:spacing w:line="400" w:lineRule="exact"/>
        <w:jc w:val="left"/>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pStyle w:val="2"/>
      </w:pPr>
    </w:p>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360" w:lineRule="exact"/>
        <w:jc w:val="center"/>
        <w:rPr>
          <w:rFonts w:ascii="宋体" w:hAnsi="宋体" w:cs="宋体"/>
          <w:b/>
          <w:bCs/>
          <w:kern w:val="0"/>
          <w:sz w:val="24"/>
        </w:rPr>
      </w:pPr>
      <w:bookmarkStart w:id="2" w:name="_Toc433110106"/>
    </w:p>
    <w:p>
      <w:pPr>
        <w:spacing w:line="360" w:lineRule="exact"/>
        <w:jc w:val="center"/>
        <w:rPr>
          <w:rFonts w:ascii="宋体" w:hAnsi="宋体" w:cs="宋体"/>
          <w:b/>
          <w:bCs/>
          <w:kern w:val="0"/>
          <w:sz w:val="24"/>
        </w:rPr>
      </w:pPr>
    </w:p>
    <w:p>
      <w:pPr>
        <w:spacing w:line="360" w:lineRule="exact"/>
        <w:ind w:firstLine="562" w:firstLineChars="200"/>
        <w:jc w:val="center"/>
        <w:rPr>
          <w:b/>
          <w:sz w:val="28"/>
          <w:szCs w:val="28"/>
        </w:rPr>
      </w:pPr>
    </w:p>
    <w:p>
      <w:pPr>
        <w:spacing w:line="360" w:lineRule="exact"/>
        <w:ind w:firstLine="562" w:firstLineChars="200"/>
        <w:jc w:val="center"/>
        <w:rPr>
          <w:szCs w:val="21"/>
        </w:rPr>
      </w:pPr>
      <w:r>
        <w:rPr>
          <w:rFonts w:hint="eastAsia"/>
          <w:b/>
          <w:sz w:val="28"/>
          <w:szCs w:val="28"/>
        </w:rPr>
        <w:t>广西盛凯工程咨询有限公司</w:t>
      </w:r>
      <w:r>
        <w:rPr>
          <w:rFonts w:hint="eastAsia"/>
          <w:b/>
          <w:sz w:val="24"/>
        </w:rPr>
        <w:t>港南区工业园区江五路（城东大道-安澜路）基础设施建设项目工程检测服务（项目编号：GGZC2020-C3-30060-GXSK）竞争性磋商公告</w:t>
      </w:r>
      <w:bookmarkEnd w:id="2"/>
    </w:p>
    <w:p>
      <w:pPr>
        <w:pBdr>
          <w:top w:val="single" w:color="auto" w:sz="4" w:space="1"/>
          <w:left w:val="single" w:color="auto" w:sz="4" w:space="4"/>
          <w:bottom w:val="single" w:color="auto" w:sz="4" w:space="1"/>
          <w:right w:val="single" w:color="auto" w:sz="4" w:space="4"/>
        </w:pBdr>
        <w:spacing w:line="360" w:lineRule="exact"/>
        <w:ind w:firstLine="482" w:firstLineChars="200"/>
        <w:rPr>
          <w:rFonts w:ascii="宋体" w:hAnsi="宋体" w:cs="宋体"/>
          <w:b/>
          <w:bCs/>
          <w:kern w:val="0"/>
          <w:sz w:val="24"/>
        </w:rPr>
      </w:pPr>
      <w:r>
        <w:rPr>
          <w:rFonts w:hint="eastAsia" w:ascii="宋体" w:hAnsi="宋体" w:cs="宋体"/>
          <w:b/>
          <w:bCs/>
          <w:kern w:val="0"/>
          <w:sz w:val="24"/>
        </w:rPr>
        <w:t>项目概况</w:t>
      </w:r>
    </w:p>
    <w:p>
      <w:pPr>
        <w:pBdr>
          <w:top w:val="single" w:color="auto" w:sz="4" w:space="1"/>
          <w:left w:val="single" w:color="auto" w:sz="4" w:space="4"/>
          <w:bottom w:val="single" w:color="auto" w:sz="4" w:space="1"/>
          <w:right w:val="single" w:color="auto" w:sz="4" w:space="4"/>
        </w:pBdr>
        <w:spacing w:line="360" w:lineRule="exact"/>
        <w:ind w:firstLine="420" w:firstLineChars="200"/>
        <w:rPr>
          <w:rFonts w:ascii="宋体" w:hAnsi="宋体"/>
          <w:szCs w:val="21"/>
        </w:rPr>
      </w:pPr>
      <w:r>
        <w:rPr>
          <w:rFonts w:hint="eastAsia" w:ascii="宋体" w:hAnsi="宋体"/>
          <w:szCs w:val="21"/>
          <w:u w:val="single"/>
        </w:rPr>
        <w:t xml:space="preserve">港南区工业园区江五路（城东大道-安澜路）基础设施建设项目工程检测服务 </w:t>
      </w:r>
      <w:r>
        <w:rPr>
          <w:rFonts w:hint="eastAsia" w:ascii="宋体" w:hAnsi="宋体"/>
          <w:szCs w:val="21"/>
        </w:rPr>
        <w:t xml:space="preserve"> 采购项目的潜在供应商应在</w:t>
      </w:r>
      <w:r>
        <w:rPr>
          <w:rFonts w:hint="eastAsia" w:ascii="宋体" w:hAnsi="宋体"/>
          <w:szCs w:val="21"/>
          <w:u w:val="single"/>
        </w:rPr>
        <w:t>贵港市政府采购网（http://zfcg.czj.gxgg.gov.cn）“供应商注册入口”完成账号注册后，登录政采云平台“项目采购—获取采购文件”模块自行下载</w:t>
      </w:r>
      <w:r>
        <w:rPr>
          <w:rFonts w:hint="eastAsia" w:ascii="宋体" w:hAnsi="宋体"/>
          <w:szCs w:val="21"/>
        </w:rPr>
        <w:t>获取竞争性磋商采购文件，并于</w:t>
      </w:r>
      <w:r>
        <w:rPr>
          <w:rFonts w:ascii="宋体" w:hAnsi="宋体"/>
          <w:szCs w:val="21"/>
          <w:u w:val="single"/>
        </w:rPr>
        <w:t xml:space="preserve"> </w:t>
      </w:r>
      <w:r>
        <w:rPr>
          <w:rFonts w:hint="eastAsia" w:ascii="宋体" w:hAnsi="宋体"/>
          <w:szCs w:val="21"/>
          <w:u w:val="single"/>
        </w:rPr>
        <w:t>2020年 11月25 日 15 时 30 分</w:t>
      </w:r>
      <w:r>
        <w:rPr>
          <w:rFonts w:hint="eastAsia" w:ascii="宋体" w:hAnsi="宋体"/>
          <w:bCs/>
          <w:szCs w:val="21"/>
        </w:rPr>
        <w:t>（北京时间）前提交响应</w:t>
      </w:r>
      <w:r>
        <w:rPr>
          <w:rFonts w:ascii="宋体" w:hAnsi="宋体"/>
          <w:bCs/>
          <w:szCs w:val="21"/>
        </w:rPr>
        <w:t>文件</w:t>
      </w:r>
      <w:r>
        <w:rPr>
          <w:rFonts w:hint="eastAsia" w:ascii="宋体" w:hAnsi="宋体"/>
          <w:szCs w:val="21"/>
        </w:rPr>
        <w:t>。</w:t>
      </w:r>
    </w:p>
    <w:p>
      <w:pPr>
        <w:spacing w:line="360" w:lineRule="exact"/>
        <w:rPr>
          <w:rFonts w:ascii="宋体" w:hAnsi="宋体" w:cs="宋体"/>
          <w:b/>
          <w:bCs/>
          <w:kern w:val="0"/>
          <w:sz w:val="24"/>
        </w:rPr>
      </w:pPr>
      <w:bookmarkStart w:id="3" w:name="_Toc35393798"/>
      <w:bookmarkStart w:id="4" w:name="_Toc35393629"/>
      <w:bookmarkStart w:id="5" w:name="_Toc28359089"/>
      <w:bookmarkStart w:id="6" w:name="_Toc28359012"/>
      <w:r>
        <w:rPr>
          <w:rFonts w:hint="eastAsia" w:ascii="宋体" w:hAnsi="宋体" w:cs="宋体"/>
          <w:b/>
          <w:bCs/>
          <w:kern w:val="0"/>
          <w:sz w:val="24"/>
        </w:rPr>
        <w:t>一、项目基本情况</w:t>
      </w:r>
      <w:bookmarkEnd w:id="3"/>
      <w:bookmarkEnd w:id="4"/>
      <w:bookmarkEnd w:id="5"/>
      <w:bookmarkEnd w:id="6"/>
    </w:p>
    <w:p>
      <w:pPr>
        <w:spacing w:line="360" w:lineRule="exact"/>
        <w:ind w:firstLine="420" w:firstLineChars="200"/>
        <w:rPr>
          <w:rFonts w:ascii="宋体" w:hAnsi="宋体" w:cs="宋体"/>
          <w:szCs w:val="21"/>
        </w:rPr>
      </w:pPr>
      <w:r>
        <w:rPr>
          <w:rFonts w:hint="eastAsia" w:ascii="宋体" w:hAnsi="宋体" w:cs="宋体"/>
          <w:szCs w:val="21"/>
        </w:rPr>
        <w:t>项目编号：GGZC2020-C3-30060-GXSK</w:t>
      </w:r>
    </w:p>
    <w:p>
      <w:pPr>
        <w:spacing w:line="360" w:lineRule="exact"/>
        <w:ind w:firstLine="420" w:firstLineChars="200"/>
        <w:rPr>
          <w:rFonts w:ascii="宋体" w:hAnsi="宋体" w:cs="宋体"/>
          <w:szCs w:val="21"/>
          <w:u w:val="single"/>
        </w:rPr>
      </w:pPr>
      <w:r>
        <w:rPr>
          <w:rFonts w:hint="eastAsia" w:ascii="宋体" w:hAnsi="宋体" w:cs="宋体"/>
          <w:szCs w:val="21"/>
        </w:rPr>
        <w:t>项目名称：</w:t>
      </w:r>
      <w:r>
        <w:rPr>
          <w:rFonts w:hint="eastAsia"/>
        </w:rPr>
        <w:t>港南区工业园区江五路（城东大道-安澜路）基础设施建设项目工程检测服务</w:t>
      </w:r>
    </w:p>
    <w:p>
      <w:pPr>
        <w:spacing w:line="360" w:lineRule="exact"/>
        <w:ind w:firstLine="420" w:firstLineChars="200"/>
        <w:rPr>
          <w:rFonts w:ascii="宋体" w:hAnsi="宋体" w:cs="宋体"/>
          <w:szCs w:val="21"/>
        </w:rPr>
      </w:pPr>
      <w:r>
        <w:rPr>
          <w:rFonts w:hint="eastAsia" w:ascii="宋体" w:hAnsi="宋体" w:cs="宋体"/>
          <w:szCs w:val="21"/>
        </w:rPr>
        <w:t>采购方式：竞争性磋商</w:t>
      </w:r>
    </w:p>
    <w:p>
      <w:pPr>
        <w:spacing w:line="360" w:lineRule="exact"/>
        <w:ind w:firstLine="420" w:firstLineChars="200"/>
        <w:rPr>
          <w:rFonts w:ascii="宋体" w:hAnsi="宋体" w:cs="宋体"/>
          <w:szCs w:val="21"/>
        </w:rPr>
      </w:pPr>
      <w:r>
        <w:rPr>
          <w:rFonts w:hint="eastAsia" w:ascii="宋体" w:hAnsi="宋体" w:cs="宋体"/>
          <w:szCs w:val="21"/>
        </w:rPr>
        <w:t>预算金额：人民币肆拾贰万陆仟捌佰元整（￥426800.00元）</w:t>
      </w:r>
    </w:p>
    <w:p>
      <w:pPr>
        <w:spacing w:line="360" w:lineRule="exact"/>
        <w:ind w:firstLine="420" w:firstLineChars="200"/>
        <w:rPr>
          <w:rFonts w:ascii="宋体" w:hAnsi="宋体" w:cs="宋体"/>
          <w:szCs w:val="21"/>
        </w:rPr>
      </w:pPr>
      <w:r>
        <w:rPr>
          <w:rFonts w:hint="eastAsia" w:ascii="宋体" w:hAnsi="宋体" w:cs="宋体"/>
          <w:szCs w:val="21"/>
        </w:rPr>
        <w:t>最高限价：人民币肆拾贰万陆仟捌佰元整（￥426800.00元）</w:t>
      </w:r>
    </w:p>
    <w:p>
      <w:pPr>
        <w:spacing w:line="360" w:lineRule="exact"/>
        <w:ind w:firstLine="420" w:firstLineChars="200"/>
        <w:rPr>
          <w:rFonts w:ascii="宋体" w:hAnsi="宋体" w:cs="宋体"/>
          <w:szCs w:val="21"/>
          <w:u w:val="single"/>
        </w:rPr>
      </w:pPr>
      <w:r>
        <w:rPr>
          <w:rFonts w:hint="eastAsia" w:ascii="宋体" w:hAnsi="宋体" w:cs="宋体"/>
          <w:szCs w:val="21"/>
        </w:rPr>
        <w:t>采购需求：</w:t>
      </w:r>
      <w:r>
        <w:rPr>
          <w:rFonts w:hint="eastAsia"/>
        </w:rPr>
        <w:t>港南区工业园区江五路（城东大道-安澜路）基础设施建设项目工程检测服务工作一项</w:t>
      </w:r>
      <w:r>
        <w:rPr>
          <w:rFonts w:hint="eastAsia" w:ascii="宋体" w:hAnsi="宋体" w:cs="宋体"/>
          <w:szCs w:val="21"/>
        </w:rPr>
        <w:t>，</w:t>
      </w:r>
      <w:r>
        <w:rPr>
          <w:rFonts w:hint="eastAsia" w:ascii="宋体" w:hAnsi="宋体"/>
          <w:szCs w:val="21"/>
        </w:rPr>
        <w:t>如需进一步了解详细内容，详见竞争性磋商文件。</w:t>
      </w:r>
    </w:p>
    <w:p>
      <w:pPr>
        <w:spacing w:line="360" w:lineRule="exact"/>
        <w:ind w:firstLine="420" w:firstLineChars="200"/>
        <w:rPr>
          <w:rFonts w:ascii="宋体" w:hAnsi="宋体" w:cs="宋体"/>
          <w:color w:val="auto"/>
          <w:szCs w:val="21"/>
          <w:u w:val="single"/>
        </w:rPr>
      </w:pPr>
      <w:r>
        <w:rPr>
          <w:rFonts w:hint="eastAsia" w:ascii="宋体" w:hAnsi="宋体" w:cs="宋体"/>
          <w:szCs w:val="21"/>
        </w:rPr>
        <w:t>合同履行</w:t>
      </w:r>
      <w:r>
        <w:rPr>
          <w:rFonts w:hint="eastAsia" w:ascii="宋体" w:hAnsi="宋体" w:cs="宋体"/>
          <w:color w:val="auto"/>
          <w:szCs w:val="21"/>
        </w:rPr>
        <w:t>期限：</w:t>
      </w:r>
      <w:r>
        <w:rPr>
          <w:rFonts w:hint="eastAsia"/>
          <w:color w:val="auto"/>
          <w:kern w:val="0"/>
          <w:szCs w:val="21"/>
        </w:rPr>
        <w:t>工程开工至工程竣工验收，</w:t>
      </w:r>
      <w:r>
        <w:rPr>
          <w:color w:val="auto"/>
          <w:kern w:val="0"/>
          <w:szCs w:val="21"/>
        </w:rPr>
        <w:t>检测服务工作以满足施工进度和验收为原则</w:t>
      </w:r>
      <w:r>
        <w:rPr>
          <w:rFonts w:hint="eastAsia" w:ascii="宋体" w:hAnsi="宋体" w:cs="宋体"/>
          <w:color w:val="auto"/>
          <w:szCs w:val="21"/>
        </w:rPr>
        <w:t>。</w:t>
      </w:r>
    </w:p>
    <w:p>
      <w:pPr>
        <w:spacing w:line="360" w:lineRule="exact"/>
        <w:ind w:firstLine="420" w:firstLineChars="200"/>
        <w:rPr>
          <w:rFonts w:ascii="宋体" w:hAnsi="宋体" w:cs="宋体"/>
          <w:color w:val="auto"/>
          <w:szCs w:val="21"/>
        </w:rPr>
      </w:pPr>
      <w:r>
        <w:rPr>
          <w:rFonts w:hint="eastAsia" w:ascii="宋体" w:hAnsi="宋体" w:cs="宋体"/>
          <w:color w:val="auto"/>
          <w:szCs w:val="21"/>
        </w:rPr>
        <w:t>本项目不接受联合体。</w:t>
      </w:r>
    </w:p>
    <w:p>
      <w:pPr>
        <w:spacing w:line="360" w:lineRule="exact"/>
        <w:rPr>
          <w:rFonts w:ascii="宋体" w:hAnsi="宋体" w:cs="宋体"/>
          <w:b/>
          <w:bCs/>
          <w:color w:val="auto"/>
          <w:kern w:val="0"/>
          <w:sz w:val="24"/>
        </w:rPr>
      </w:pPr>
      <w:bookmarkStart w:id="7" w:name="_Toc28359090"/>
      <w:bookmarkStart w:id="8" w:name="_Toc35393799"/>
      <w:bookmarkStart w:id="9" w:name="_Toc28359013"/>
      <w:bookmarkStart w:id="10" w:name="_Toc35393630"/>
      <w:r>
        <w:rPr>
          <w:rFonts w:hint="eastAsia" w:ascii="宋体" w:hAnsi="宋体" w:cs="宋体"/>
          <w:b/>
          <w:bCs/>
          <w:color w:val="auto"/>
          <w:kern w:val="0"/>
          <w:sz w:val="24"/>
        </w:rPr>
        <w:t>二、申请人的资格要求：</w:t>
      </w:r>
      <w:bookmarkEnd w:id="7"/>
      <w:bookmarkEnd w:id="8"/>
      <w:bookmarkEnd w:id="9"/>
      <w:bookmarkEnd w:id="10"/>
    </w:p>
    <w:p>
      <w:pPr>
        <w:spacing w:line="360" w:lineRule="exact"/>
        <w:ind w:firstLine="420" w:firstLineChars="200"/>
        <w:rPr>
          <w:rFonts w:ascii="宋体" w:hAnsi="宋体" w:cs="宋体"/>
          <w:color w:val="auto"/>
          <w:szCs w:val="21"/>
        </w:rPr>
      </w:pPr>
      <w:r>
        <w:rPr>
          <w:rFonts w:hint="eastAsia" w:ascii="宋体" w:hAnsi="宋体" w:cs="宋体"/>
          <w:color w:val="auto"/>
          <w:szCs w:val="21"/>
        </w:rPr>
        <w:t>1.满足《中华人民共和国政府采购法》第二十二条规定；</w:t>
      </w:r>
    </w:p>
    <w:p>
      <w:pPr>
        <w:spacing w:line="360" w:lineRule="exact"/>
        <w:ind w:firstLine="420" w:firstLineChars="200"/>
        <w:rPr>
          <w:rFonts w:ascii="宋体" w:hAnsi="宋体" w:cs="宋体"/>
          <w:color w:val="auto"/>
          <w:szCs w:val="21"/>
        </w:rPr>
      </w:pPr>
      <w:bookmarkStart w:id="11" w:name="_Toc28359091"/>
      <w:bookmarkStart w:id="12" w:name="_Toc28359014"/>
      <w:r>
        <w:rPr>
          <w:rFonts w:hint="eastAsia" w:ascii="宋体" w:hAnsi="宋体" w:cs="宋体"/>
          <w:color w:val="auto"/>
          <w:szCs w:val="21"/>
        </w:rPr>
        <w:t>2.落实政府采购政策需满足的资格要求：无；</w:t>
      </w:r>
    </w:p>
    <w:p>
      <w:pPr>
        <w:pStyle w:val="26"/>
        <w:spacing w:line="340" w:lineRule="exact"/>
        <w:ind w:firstLine="420" w:firstLineChars="200"/>
        <w:rPr>
          <w:rFonts w:hAnsi="宋体"/>
          <w:color w:val="auto"/>
          <w:sz w:val="21"/>
        </w:rPr>
      </w:pPr>
      <w:r>
        <w:rPr>
          <w:rFonts w:hint="eastAsia" w:hAnsi="宋体" w:cs="宋体"/>
          <w:color w:val="auto"/>
          <w:sz w:val="21"/>
        </w:rPr>
        <w:t>3.本项目的特定资格要求：</w:t>
      </w:r>
      <w:r>
        <w:rPr>
          <w:rFonts w:hint="eastAsia" w:hAnsi="宋体"/>
          <w:color w:val="auto"/>
          <w:sz w:val="21"/>
        </w:rPr>
        <w:t>(1)取得省级及以上住房城乡建设主管部门颁发的相应建设工程质量检测资质证书，本次招标要求资质证书具有：</w:t>
      </w:r>
      <w:r>
        <w:rPr>
          <w:rFonts w:hAnsi="宋体"/>
          <w:color w:val="auto"/>
          <w:sz w:val="21"/>
        </w:rPr>
        <w:fldChar w:fldCharType="begin"/>
      </w:r>
      <w:r>
        <w:rPr>
          <w:rFonts w:hAnsi="宋体"/>
          <w:color w:val="auto"/>
          <w:sz w:val="21"/>
        </w:rPr>
        <w:instrText xml:space="preserve"> </w:instrText>
      </w:r>
      <w:r>
        <w:rPr>
          <w:rFonts w:hint="eastAsia" w:hAnsi="宋体"/>
          <w:color w:val="auto"/>
          <w:sz w:val="21"/>
        </w:rPr>
        <w:instrText xml:space="preserve">eq \o\ac(□,</w:instrText>
      </w:r>
      <w:r>
        <w:rPr>
          <w:rFonts w:hint="eastAsia" w:hAnsi="宋体"/>
          <w:color w:val="auto"/>
          <w:position w:val="1"/>
          <w:sz w:val="21"/>
        </w:rPr>
        <w:instrText xml:space="preserve">√</w:instrText>
      </w:r>
      <w:r>
        <w:rPr>
          <w:rFonts w:hint="eastAsia" w:hAnsi="宋体"/>
          <w:color w:val="auto"/>
          <w:sz w:val="21"/>
        </w:rPr>
        <w:instrText xml:space="preserve">)</w:instrText>
      </w:r>
      <w:r>
        <w:rPr>
          <w:rFonts w:hAnsi="宋体"/>
          <w:color w:val="auto"/>
          <w:sz w:val="21"/>
        </w:rPr>
        <w:fldChar w:fldCharType="end"/>
      </w:r>
      <w:r>
        <w:rPr>
          <w:rFonts w:hint="eastAsia" w:hAnsi="宋体"/>
          <w:color w:val="auto"/>
          <w:sz w:val="21"/>
        </w:rPr>
        <w:t xml:space="preserve">见证取样检测 </w:t>
      </w:r>
      <w:r>
        <w:rPr>
          <w:rFonts w:hAnsi="宋体"/>
          <w:color w:val="auto"/>
          <w:sz w:val="21"/>
        </w:rPr>
        <w:fldChar w:fldCharType="begin"/>
      </w:r>
      <w:r>
        <w:rPr>
          <w:rFonts w:hAnsi="宋体"/>
          <w:color w:val="auto"/>
          <w:sz w:val="21"/>
        </w:rPr>
        <w:instrText xml:space="preserve"> </w:instrText>
      </w:r>
      <w:r>
        <w:rPr>
          <w:rFonts w:hint="eastAsia" w:hAnsi="宋体"/>
          <w:color w:val="auto"/>
          <w:sz w:val="21"/>
        </w:rPr>
        <w:instrText xml:space="preserve">eq \o\ac(□,</w:instrText>
      </w:r>
      <w:r>
        <w:rPr>
          <w:rFonts w:hint="eastAsia" w:hAnsi="宋体"/>
          <w:color w:val="auto"/>
          <w:position w:val="1"/>
          <w:sz w:val="21"/>
        </w:rPr>
        <w:instrText xml:space="preserve">√</w:instrText>
      </w:r>
      <w:r>
        <w:rPr>
          <w:rFonts w:hint="eastAsia" w:hAnsi="宋体"/>
          <w:color w:val="auto"/>
          <w:sz w:val="21"/>
        </w:rPr>
        <w:instrText xml:space="preserve">)</w:instrText>
      </w:r>
      <w:r>
        <w:rPr>
          <w:rFonts w:hAnsi="宋体"/>
          <w:color w:val="auto"/>
          <w:sz w:val="21"/>
        </w:rPr>
        <w:fldChar w:fldCharType="end"/>
      </w:r>
      <w:r>
        <w:rPr>
          <w:rFonts w:hint="eastAsia" w:hAnsi="宋体"/>
          <w:color w:val="auto"/>
          <w:sz w:val="21"/>
        </w:rPr>
        <w:t xml:space="preserve">地基基础工程检测 </w:t>
      </w:r>
      <w:r>
        <w:rPr>
          <w:rFonts w:hAnsi="宋体"/>
          <w:color w:val="auto"/>
          <w:sz w:val="21"/>
        </w:rPr>
        <w:fldChar w:fldCharType="begin"/>
      </w:r>
      <w:r>
        <w:rPr>
          <w:rFonts w:hAnsi="宋体"/>
          <w:color w:val="auto"/>
          <w:sz w:val="21"/>
        </w:rPr>
        <w:instrText xml:space="preserve"> </w:instrText>
      </w:r>
      <w:r>
        <w:rPr>
          <w:rFonts w:hint="eastAsia" w:hAnsi="宋体"/>
          <w:color w:val="auto"/>
          <w:sz w:val="21"/>
        </w:rPr>
        <w:instrText xml:space="preserve">eq \o\ac(□,</w:instrText>
      </w:r>
      <w:r>
        <w:rPr>
          <w:rFonts w:hint="eastAsia" w:hAnsi="宋体"/>
          <w:color w:val="auto"/>
          <w:position w:val="1"/>
          <w:sz w:val="21"/>
        </w:rPr>
        <w:instrText xml:space="preserve">√</w:instrText>
      </w:r>
      <w:r>
        <w:rPr>
          <w:rFonts w:hint="eastAsia" w:hAnsi="宋体"/>
          <w:color w:val="auto"/>
          <w:sz w:val="21"/>
        </w:rPr>
        <w:instrText xml:space="preserve">)</w:instrText>
      </w:r>
      <w:r>
        <w:rPr>
          <w:rFonts w:hAnsi="宋体"/>
          <w:color w:val="auto"/>
          <w:sz w:val="21"/>
        </w:rPr>
        <w:fldChar w:fldCharType="end"/>
      </w:r>
      <w:r>
        <w:rPr>
          <w:rFonts w:hint="eastAsia" w:hAnsi="宋体"/>
          <w:color w:val="auto"/>
          <w:sz w:val="21"/>
        </w:rPr>
        <w:t xml:space="preserve">主体结构工程现场检测  □建筑幕墙工程检测  □钢结构工程检测  □室内环境检测  </w:t>
      </w:r>
      <w:r>
        <w:rPr>
          <w:rFonts w:hAnsi="宋体"/>
          <w:color w:val="auto"/>
          <w:sz w:val="21"/>
        </w:rPr>
        <w:fldChar w:fldCharType="begin"/>
      </w:r>
      <w:r>
        <w:rPr>
          <w:rFonts w:hAnsi="宋体"/>
          <w:color w:val="auto"/>
          <w:sz w:val="21"/>
        </w:rPr>
        <w:instrText xml:space="preserve"> </w:instrText>
      </w:r>
      <w:r>
        <w:rPr>
          <w:rFonts w:hint="eastAsia" w:hAnsi="宋体"/>
          <w:color w:val="auto"/>
          <w:sz w:val="21"/>
        </w:rPr>
        <w:instrText xml:space="preserve">eq \o\ac(□,√)</w:instrText>
      </w:r>
      <w:r>
        <w:rPr>
          <w:rFonts w:hAnsi="宋体"/>
          <w:color w:val="auto"/>
          <w:sz w:val="21"/>
        </w:rPr>
        <w:fldChar w:fldCharType="end"/>
      </w:r>
      <w:r>
        <w:rPr>
          <w:rFonts w:hint="eastAsia" w:hAnsi="宋体"/>
          <w:color w:val="auto"/>
          <w:sz w:val="21"/>
        </w:rPr>
        <w:t>建筑物附属设备安装工程检测等资质范围；</w:t>
      </w:r>
    </w:p>
    <w:p>
      <w:pPr>
        <w:pStyle w:val="26"/>
        <w:spacing w:line="340" w:lineRule="exact"/>
        <w:ind w:firstLine="420" w:firstLineChars="200"/>
        <w:rPr>
          <w:rFonts w:hAnsi="宋体"/>
          <w:color w:val="auto"/>
          <w:sz w:val="21"/>
        </w:rPr>
      </w:pPr>
      <w:r>
        <w:rPr>
          <w:rFonts w:hint="eastAsia" w:hAnsi="宋体"/>
          <w:color w:val="auto"/>
          <w:sz w:val="21"/>
        </w:rPr>
        <w:t>(2) 具备省级及以上质量技术监督部门颁发的检验检测机构资质认定证书；</w:t>
      </w:r>
    </w:p>
    <w:p>
      <w:pPr>
        <w:pStyle w:val="26"/>
        <w:spacing w:line="340" w:lineRule="exact"/>
        <w:ind w:firstLine="420" w:firstLineChars="200"/>
        <w:rPr>
          <w:rFonts w:hAnsi="宋体" w:cs="宋体"/>
          <w:sz w:val="21"/>
        </w:rPr>
      </w:pPr>
      <w:r>
        <w:rPr>
          <w:rFonts w:hint="eastAsia" w:hAnsi="宋体"/>
          <w:color w:val="auto"/>
          <w:sz w:val="21"/>
        </w:rPr>
        <w:t xml:space="preserve">(3) </w:t>
      </w:r>
      <w:r>
        <w:rPr>
          <w:rFonts w:hAnsi="宋体"/>
          <w:color w:val="auto"/>
          <w:sz w:val="21"/>
        </w:rPr>
        <w:t>符合《</w:t>
      </w:r>
      <w:r>
        <w:rPr>
          <w:color w:val="auto"/>
        </w:rPr>
        <w:fldChar w:fldCharType="begin"/>
      </w:r>
      <w:r>
        <w:rPr>
          <w:color w:val="auto"/>
        </w:rPr>
        <w:instrText xml:space="preserve"> HYPERLINK "http://www.gxcic.net/HTMLFile/2013-02/shownews_167314.html" \t "_blank" </w:instrText>
      </w:r>
      <w:r>
        <w:rPr>
          <w:color w:val="auto"/>
        </w:rPr>
        <w:fldChar w:fldCharType="separate"/>
      </w:r>
      <w:r>
        <w:rPr>
          <w:rFonts w:hAnsi="宋体"/>
          <w:color w:val="auto"/>
          <w:sz w:val="21"/>
        </w:rPr>
        <w:t>广西壮族自治区建筑市场诚信卡管理暂行办法</w:t>
      </w:r>
      <w:r>
        <w:rPr>
          <w:rFonts w:hAnsi="宋体"/>
          <w:color w:val="auto"/>
          <w:sz w:val="21"/>
        </w:rPr>
        <w:fldChar w:fldCharType="end"/>
      </w:r>
      <w:r>
        <w:rPr>
          <w:rFonts w:hAnsi="宋体"/>
          <w:color w:val="auto"/>
          <w:sz w:val="21"/>
        </w:rPr>
        <w:t>》</w:t>
      </w:r>
      <w:r>
        <w:rPr>
          <w:rFonts w:hint="eastAsia" w:hAnsi="宋体"/>
          <w:color w:val="auto"/>
          <w:sz w:val="21"/>
        </w:rPr>
        <w:t>（</w:t>
      </w:r>
      <w:r>
        <w:rPr>
          <w:rFonts w:hAnsi="宋体"/>
          <w:color w:val="auto"/>
          <w:sz w:val="21"/>
        </w:rPr>
        <w:t>桂建管</w:t>
      </w:r>
      <w:r>
        <w:rPr>
          <w:rFonts w:hint="eastAsia" w:hAnsi="宋体"/>
          <w:color w:val="auto"/>
          <w:sz w:val="21"/>
        </w:rPr>
        <w:t>﹝2013</w:t>
      </w:r>
      <w:r>
        <w:rPr>
          <w:rFonts w:hint="eastAsia" w:hAnsi="宋体"/>
          <w:sz w:val="21"/>
        </w:rPr>
        <w:t>﹞</w:t>
      </w:r>
      <w:r>
        <w:rPr>
          <w:rFonts w:hAnsi="宋体"/>
          <w:sz w:val="21"/>
        </w:rPr>
        <w:t>17号</w:t>
      </w:r>
      <w:r>
        <w:rPr>
          <w:rFonts w:hint="eastAsia" w:hAnsi="宋体"/>
          <w:sz w:val="21"/>
        </w:rPr>
        <w:t>）</w:t>
      </w:r>
      <w:r>
        <w:rPr>
          <w:rFonts w:hAnsi="宋体"/>
          <w:sz w:val="21"/>
        </w:rPr>
        <w:t>和《关于加强广西建筑业企业诚信信息库日常维护管理的通知》（桂建管﹝2014﹞25号）</w:t>
      </w:r>
      <w:r>
        <w:rPr>
          <w:rFonts w:hint="eastAsia" w:hAnsi="宋体"/>
          <w:sz w:val="21"/>
        </w:rPr>
        <w:t>的</w:t>
      </w:r>
      <w:r>
        <w:rPr>
          <w:rFonts w:hAnsi="宋体"/>
          <w:sz w:val="21"/>
        </w:rPr>
        <w:t>要求，已办理诚信库入库手续并处于有效</w:t>
      </w:r>
      <w:r>
        <w:rPr>
          <w:rFonts w:hint="eastAsia" w:hAnsi="宋体"/>
          <w:sz w:val="21"/>
        </w:rPr>
        <w:t>状态。</w:t>
      </w:r>
    </w:p>
    <w:p>
      <w:pPr>
        <w:spacing w:line="360" w:lineRule="exact"/>
        <w:ind w:firstLine="420" w:firstLineChars="200"/>
        <w:rPr>
          <w:rFonts w:ascii="宋体" w:hAnsi="宋体" w:cs="宋体"/>
          <w:szCs w:val="21"/>
        </w:rPr>
      </w:pPr>
      <w:r>
        <w:rPr>
          <w:rFonts w:hint="eastAsia" w:ascii="宋体" w:hAnsi="宋体" w:cs="宋体"/>
          <w:szCs w:val="21"/>
        </w:rPr>
        <w:t>4.供应商在磋商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360" w:lineRule="exact"/>
        <w:ind w:firstLine="420" w:firstLineChars="200"/>
        <w:rPr>
          <w:rFonts w:ascii="宋体" w:hAnsi="宋体" w:cs="宋体"/>
          <w:szCs w:val="21"/>
        </w:rPr>
      </w:pPr>
      <w:r>
        <w:rPr>
          <w:rFonts w:hint="eastAsia" w:ascii="宋体" w:hAnsi="宋体" w:cs="宋体"/>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rPr>
          <w:rFonts w:ascii="宋体" w:hAnsi="宋体" w:cs="宋体"/>
          <w:b/>
          <w:bCs/>
          <w:kern w:val="0"/>
          <w:sz w:val="24"/>
        </w:rPr>
      </w:pPr>
      <w:bookmarkStart w:id="13" w:name="_Toc35393631"/>
      <w:bookmarkStart w:id="14" w:name="_Toc35393800"/>
      <w:r>
        <w:rPr>
          <w:rFonts w:hint="eastAsia" w:ascii="宋体" w:hAnsi="宋体" w:cs="宋体"/>
          <w:b/>
          <w:bCs/>
          <w:kern w:val="0"/>
          <w:sz w:val="24"/>
        </w:rPr>
        <w:t>三、获取采购文件</w:t>
      </w:r>
      <w:bookmarkEnd w:id="11"/>
      <w:bookmarkEnd w:id="12"/>
      <w:bookmarkEnd w:id="13"/>
      <w:bookmarkEnd w:id="14"/>
    </w:p>
    <w:p>
      <w:pPr>
        <w:spacing w:line="360" w:lineRule="exact"/>
        <w:ind w:firstLine="540"/>
        <w:rPr>
          <w:rFonts w:ascii="宋体" w:hAnsi="宋体" w:cs="宋体"/>
          <w:szCs w:val="21"/>
        </w:rPr>
      </w:pPr>
      <w:r>
        <w:rPr>
          <w:rFonts w:hint="eastAsia" w:ascii="宋体" w:hAnsi="宋体" w:cs="宋体"/>
          <w:szCs w:val="21"/>
        </w:rPr>
        <w:t>时间：</w:t>
      </w:r>
      <w:r>
        <w:rPr>
          <w:rFonts w:hint="eastAsia" w:ascii="宋体" w:hAnsi="宋体" w:cs="宋体"/>
          <w:szCs w:val="21"/>
          <w:u w:val="single"/>
        </w:rPr>
        <w:t>2020</w:t>
      </w:r>
      <w:r>
        <w:rPr>
          <w:rFonts w:hint="eastAsia" w:ascii="宋体" w:hAnsi="宋体" w:cs="宋体"/>
          <w:szCs w:val="21"/>
        </w:rPr>
        <w:t>年</w:t>
      </w:r>
      <w:r>
        <w:rPr>
          <w:rFonts w:hint="eastAsia" w:ascii="宋体" w:hAnsi="宋体" w:cs="宋体"/>
          <w:szCs w:val="21"/>
          <w:u w:val="single"/>
        </w:rPr>
        <w:t xml:space="preserve">  11 </w:t>
      </w:r>
      <w:r>
        <w:rPr>
          <w:rFonts w:hint="eastAsia" w:ascii="宋体" w:hAnsi="宋体" w:cs="宋体"/>
          <w:szCs w:val="21"/>
        </w:rPr>
        <w:t>月</w:t>
      </w:r>
      <w:r>
        <w:rPr>
          <w:rFonts w:hint="eastAsia" w:ascii="宋体" w:hAnsi="宋体" w:cs="宋体"/>
          <w:szCs w:val="21"/>
          <w:u w:val="single"/>
        </w:rPr>
        <w:t xml:space="preserve"> 13 </w:t>
      </w:r>
      <w:r>
        <w:rPr>
          <w:rFonts w:hint="eastAsia" w:ascii="宋体" w:hAnsi="宋体" w:cs="宋体"/>
          <w:szCs w:val="21"/>
        </w:rPr>
        <w:t>日至提交磋商文件截止时间</w:t>
      </w:r>
    </w:p>
    <w:p>
      <w:pPr>
        <w:spacing w:line="360" w:lineRule="exact"/>
        <w:ind w:firstLine="540"/>
        <w:rPr>
          <w:rFonts w:ascii="宋体" w:hAnsi="宋体" w:cs="宋体"/>
          <w:szCs w:val="21"/>
        </w:rPr>
      </w:pPr>
      <w:r>
        <w:rPr>
          <w:rFonts w:hint="eastAsia" w:ascii="宋体" w:hAnsi="宋体" w:cs="宋体"/>
          <w:szCs w:val="21"/>
        </w:rPr>
        <w:t>地点：贵港市政府采购网（http://zfcg.czj.gxgg.gov.cn）</w:t>
      </w:r>
    </w:p>
    <w:p>
      <w:pPr>
        <w:spacing w:line="360" w:lineRule="exact"/>
        <w:ind w:firstLine="420" w:firstLineChars="200"/>
        <w:rPr>
          <w:rFonts w:ascii="宋体" w:hAnsi="宋体" w:cs="宋体"/>
          <w:szCs w:val="21"/>
        </w:rPr>
      </w:pPr>
      <w:r>
        <w:rPr>
          <w:rFonts w:hint="eastAsia" w:ascii="宋体" w:hAnsi="宋体" w:cs="宋体"/>
          <w:szCs w:val="21"/>
        </w:rPr>
        <w:t>方式：供应商通过贵港市政府采购网“供应商注册入口”完成账号注册后，登录政采云平台“项目采购—获取采购文件”模块自行下载采购文件</w:t>
      </w:r>
    </w:p>
    <w:p>
      <w:pPr>
        <w:spacing w:line="360" w:lineRule="exact"/>
        <w:ind w:firstLine="540"/>
        <w:rPr>
          <w:rFonts w:ascii="宋体" w:hAnsi="宋体" w:cs="宋体"/>
          <w:szCs w:val="21"/>
        </w:rPr>
      </w:pPr>
      <w:r>
        <w:rPr>
          <w:rFonts w:hint="eastAsia" w:ascii="宋体" w:hAnsi="宋体" w:cs="宋体"/>
          <w:szCs w:val="21"/>
        </w:rPr>
        <w:t>售价：0元</w:t>
      </w:r>
    </w:p>
    <w:p>
      <w:pPr>
        <w:spacing w:line="360" w:lineRule="exact"/>
        <w:rPr>
          <w:rFonts w:ascii="宋体" w:hAnsi="宋体" w:cs="宋体"/>
          <w:b/>
          <w:bCs/>
          <w:kern w:val="0"/>
          <w:sz w:val="24"/>
        </w:rPr>
      </w:pPr>
      <w:bookmarkStart w:id="15" w:name="_Toc28359092"/>
      <w:bookmarkStart w:id="16" w:name="_Toc28359015"/>
      <w:bookmarkStart w:id="17" w:name="_Toc35393801"/>
      <w:bookmarkStart w:id="18" w:name="_Toc35393632"/>
      <w:r>
        <w:rPr>
          <w:rFonts w:hint="eastAsia" w:ascii="宋体" w:hAnsi="宋体" w:cs="宋体"/>
          <w:b/>
          <w:bCs/>
          <w:kern w:val="0"/>
          <w:sz w:val="24"/>
        </w:rPr>
        <w:t>四、响应文件提交</w:t>
      </w:r>
      <w:bookmarkEnd w:id="15"/>
      <w:bookmarkEnd w:id="16"/>
      <w:bookmarkEnd w:id="17"/>
      <w:bookmarkEnd w:id="18"/>
    </w:p>
    <w:p>
      <w:pPr>
        <w:spacing w:line="360" w:lineRule="exact"/>
        <w:ind w:firstLine="420" w:firstLineChars="200"/>
        <w:rPr>
          <w:rFonts w:ascii="宋体" w:hAnsi="宋体" w:cs="宋体"/>
          <w:bCs/>
          <w:szCs w:val="21"/>
          <w:u w:val="single"/>
        </w:rPr>
      </w:pPr>
      <w:r>
        <w:rPr>
          <w:rFonts w:hint="eastAsia" w:ascii="宋体" w:hAnsi="宋体" w:cs="宋体"/>
          <w:szCs w:val="21"/>
        </w:rPr>
        <w:t>截止时间：</w:t>
      </w:r>
      <w:r>
        <w:rPr>
          <w:rFonts w:hint="eastAsia" w:ascii="宋体" w:hAnsi="宋体" w:cs="宋体"/>
          <w:szCs w:val="21"/>
          <w:u w:val="single"/>
        </w:rPr>
        <w:t xml:space="preserve">2020 </w:t>
      </w:r>
      <w:r>
        <w:rPr>
          <w:rFonts w:hint="eastAsia" w:ascii="宋体" w:hAnsi="宋体" w:cs="宋体"/>
          <w:bCs/>
          <w:szCs w:val="21"/>
          <w:u w:val="single"/>
        </w:rPr>
        <w:t>年 11月 25日 15时30分</w:t>
      </w:r>
      <w:r>
        <w:rPr>
          <w:rFonts w:hint="eastAsia" w:ascii="宋体" w:hAnsi="宋体" w:cs="宋体"/>
          <w:bCs/>
          <w:szCs w:val="21"/>
        </w:rPr>
        <w:t>（北京时间）</w:t>
      </w:r>
      <w:r>
        <w:rPr>
          <w:rFonts w:hint="eastAsia" w:ascii="宋体" w:hAnsi="宋体" w:cs="宋体"/>
          <w:iCs/>
          <w:szCs w:val="21"/>
        </w:rPr>
        <w:t>；</w:t>
      </w:r>
    </w:p>
    <w:p>
      <w:pPr>
        <w:spacing w:line="360" w:lineRule="exact"/>
        <w:ind w:firstLine="420" w:firstLineChars="200"/>
        <w:rPr>
          <w:rFonts w:ascii="宋体" w:hAnsi="宋体"/>
          <w:szCs w:val="21"/>
        </w:rPr>
      </w:pPr>
      <w:r>
        <w:rPr>
          <w:rFonts w:hint="eastAsia" w:ascii="宋体" w:hAnsi="宋体" w:cs="宋体"/>
          <w:szCs w:val="21"/>
        </w:rPr>
        <w:t>地点：</w:t>
      </w:r>
      <w:bookmarkStart w:id="19" w:name="_Toc28359016"/>
      <w:bookmarkStart w:id="20" w:name="_Toc28359093"/>
      <w:bookmarkStart w:id="21" w:name="_Toc35393633"/>
      <w:bookmarkStart w:id="22" w:name="_Toc35393802"/>
      <w:r>
        <w:rPr>
          <w:rFonts w:hint="eastAsia" w:ascii="宋体" w:hAnsi="宋体"/>
          <w:szCs w:val="21"/>
        </w:rPr>
        <w:t>贵港市公共资源交易中心（贵港市港北区金城商业步行街与金田路交叉口东南150米水利大厦）2楼交易厅</w:t>
      </w:r>
    </w:p>
    <w:p>
      <w:pPr>
        <w:spacing w:line="360" w:lineRule="exact"/>
        <w:rPr>
          <w:rFonts w:ascii="宋体" w:hAnsi="宋体" w:cs="宋体"/>
          <w:b/>
          <w:bCs/>
          <w:kern w:val="0"/>
          <w:sz w:val="24"/>
        </w:rPr>
      </w:pPr>
      <w:r>
        <w:rPr>
          <w:rFonts w:hint="eastAsia" w:ascii="宋体" w:hAnsi="宋体" w:cs="宋体"/>
          <w:b/>
          <w:bCs/>
          <w:kern w:val="0"/>
          <w:sz w:val="24"/>
        </w:rPr>
        <w:t>五、开启</w:t>
      </w:r>
      <w:bookmarkEnd w:id="19"/>
      <w:bookmarkEnd w:id="20"/>
      <w:bookmarkEnd w:id="21"/>
      <w:bookmarkEnd w:id="22"/>
    </w:p>
    <w:p>
      <w:pPr>
        <w:spacing w:line="360" w:lineRule="exact"/>
        <w:ind w:firstLine="420" w:firstLineChars="200"/>
        <w:rPr>
          <w:rFonts w:ascii="宋体" w:hAnsi="宋体" w:cs="宋体"/>
          <w:bCs/>
          <w:szCs w:val="21"/>
          <w:u w:val="single"/>
        </w:rPr>
      </w:pPr>
      <w:r>
        <w:rPr>
          <w:rFonts w:hint="eastAsia" w:ascii="宋体" w:hAnsi="宋体" w:cs="宋体"/>
          <w:szCs w:val="21"/>
        </w:rPr>
        <w:t>时间：</w:t>
      </w:r>
      <w:r>
        <w:rPr>
          <w:rFonts w:hint="eastAsia" w:ascii="宋体" w:hAnsi="宋体" w:cs="宋体"/>
          <w:szCs w:val="21"/>
          <w:u w:val="single"/>
        </w:rPr>
        <w:t xml:space="preserve"> 2020 </w:t>
      </w:r>
      <w:r>
        <w:rPr>
          <w:rFonts w:hint="eastAsia" w:ascii="宋体" w:hAnsi="宋体" w:cs="宋体"/>
          <w:bCs/>
          <w:szCs w:val="21"/>
          <w:u w:val="single"/>
        </w:rPr>
        <w:t>年11月25日 15时30分</w:t>
      </w:r>
      <w:r>
        <w:rPr>
          <w:rFonts w:hint="eastAsia" w:ascii="宋体" w:hAnsi="宋体" w:cs="宋体"/>
          <w:bCs/>
          <w:szCs w:val="21"/>
        </w:rPr>
        <w:t>（北京时间）</w:t>
      </w:r>
    </w:p>
    <w:p>
      <w:pPr>
        <w:spacing w:line="360" w:lineRule="exact"/>
        <w:ind w:firstLine="420" w:firstLineChars="200"/>
        <w:rPr>
          <w:rFonts w:ascii="宋体" w:hAnsi="宋体"/>
          <w:szCs w:val="21"/>
        </w:rPr>
      </w:pPr>
      <w:r>
        <w:rPr>
          <w:rFonts w:hint="eastAsia" w:ascii="宋体" w:hAnsi="宋体" w:cs="宋体"/>
          <w:szCs w:val="21"/>
        </w:rPr>
        <w:t>地点：</w:t>
      </w:r>
      <w:bookmarkStart w:id="23" w:name="_Toc35393803"/>
      <w:bookmarkStart w:id="24" w:name="_Toc28359094"/>
      <w:bookmarkStart w:id="25" w:name="_Toc35393634"/>
      <w:bookmarkStart w:id="26" w:name="_Toc28359017"/>
      <w:r>
        <w:rPr>
          <w:rFonts w:hint="eastAsia" w:ascii="宋体" w:hAnsi="宋体"/>
          <w:szCs w:val="21"/>
        </w:rPr>
        <w:t>贵港市公共资源交易中心（贵港市港北区金城商业步行街与金田路交叉口东南150米水利大厦）3楼评标室</w:t>
      </w:r>
    </w:p>
    <w:p>
      <w:pPr>
        <w:spacing w:line="360" w:lineRule="exact"/>
        <w:rPr>
          <w:rFonts w:ascii="宋体" w:hAnsi="宋体" w:cs="宋体"/>
          <w:b/>
          <w:bCs/>
          <w:kern w:val="0"/>
          <w:sz w:val="24"/>
        </w:rPr>
      </w:pPr>
      <w:r>
        <w:rPr>
          <w:rFonts w:hint="eastAsia" w:ascii="宋体" w:hAnsi="宋体" w:cs="宋体"/>
          <w:b/>
          <w:bCs/>
          <w:kern w:val="0"/>
          <w:sz w:val="24"/>
        </w:rPr>
        <w:t>六、公告期限</w:t>
      </w:r>
      <w:bookmarkEnd w:id="23"/>
      <w:bookmarkEnd w:id="24"/>
      <w:bookmarkEnd w:id="25"/>
      <w:bookmarkEnd w:id="26"/>
    </w:p>
    <w:p>
      <w:pPr>
        <w:spacing w:line="360" w:lineRule="exact"/>
        <w:ind w:firstLine="420" w:firstLineChars="200"/>
        <w:rPr>
          <w:rFonts w:ascii="宋体" w:hAnsi="宋体" w:cs="宋体"/>
          <w:kern w:val="0"/>
          <w:szCs w:val="21"/>
        </w:rPr>
      </w:pPr>
      <w:r>
        <w:rPr>
          <w:rFonts w:hint="eastAsia" w:ascii="宋体" w:hAnsi="宋体" w:cs="宋体"/>
          <w:kern w:val="0"/>
          <w:szCs w:val="21"/>
        </w:rPr>
        <w:t>自本公告发布之日起5个工作日。</w:t>
      </w:r>
      <w:bookmarkStart w:id="27" w:name="_Toc35393635"/>
      <w:bookmarkStart w:id="28" w:name="_Toc35393804"/>
    </w:p>
    <w:p>
      <w:pPr>
        <w:spacing w:line="360" w:lineRule="exact"/>
        <w:rPr>
          <w:rFonts w:ascii="宋体" w:hAnsi="宋体" w:cs="宋体"/>
          <w:b/>
          <w:kern w:val="0"/>
          <w:sz w:val="24"/>
        </w:rPr>
      </w:pPr>
      <w:r>
        <w:rPr>
          <w:rFonts w:hint="eastAsia" w:ascii="宋体" w:hAnsi="宋体" w:cs="宋体"/>
          <w:b/>
          <w:bCs/>
          <w:kern w:val="0"/>
          <w:sz w:val="24"/>
        </w:rPr>
        <w:t>七、其他补充事宜</w:t>
      </w:r>
      <w:bookmarkEnd w:id="27"/>
      <w:bookmarkEnd w:id="28"/>
    </w:p>
    <w:p>
      <w:pPr>
        <w:spacing w:line="360" w:lineRule="exact"/>
        <w:ind w:firstLine="420" w:firstLineChars="200"/>
        <w:rPr>
          <w:rFonts w:ascii="宋体" w:hAnsi="宋体" w:cs="宋体"/>
          <w:bCs/>
          <w:szCs w:val="21"/>
        </w:rPr>
      </w:pPr>
      <w:r>
        <w:rPr>
          <w:rFonts w:hint="eastAsia" w:ascii="宋体" w:hAnsi="宋体" w:cs="宋体"/>
          <w:kern w:val="0"/>
          <w:szCs w:val="21"/>
        </w:rPr>
        <w:t>1、</w:t>
      </w:r>
      <w:r>
        <w:rPr>
          <w:rFonts w:hint="eastAsia" w:ascii="宋体" w:hAnsi="宋体" w:cs="宋体"/>
          <w:bCs/>
          <w:szCs w:val="21"/>
        </w:rPr>
        <w:t>本项目不收取</w:t>
      </w:r>
      <w:r>
        <w:rPr>
          <w:rFonts w:hint="eastAsia" w:hAnsi="宋体"/>
        </w:rPr>
        <w:t>磋商</w:t>
      </w:r>
      <w:r>
        <w:rPr>
          <w:rFonts w:hint="eastAsia" w:ascii="宋体" w:hAnsi="宋体" w:cs="宋体"/>
          <w:bCs/>
          <w:szCs w:val="21"/>
        </w:rPr>
        <w:t>保证金；</w:t>
      </w:r>
    </w:p>
    <w:p>
      <w:pPr>
        <w:spacing w:line="360" w:lineRule="exact"/>
        <w:ind w:firstLine="420" w:firstLineChars="200"/>
      </w:pPr>
      <w:r>
        <w:rPr>
          <w:rFonts w:hint="eastAsia" w:ascii="宋体" w:hAnsi="宋体" w:cs="宋体"/>
          <w:bCs/>
          <w:szCs w:val="21"/>
        </w:rPr>
        <w:t>2、</w:t>
      </w:r>
      <w:r>
        <w:rPr>
          <w:rFonts w:hint="eastAsia" w:ascii="宋体" w:hAnsi="宋体"/>
          <w:szCs w:val="21"/>
        </w:rPr>
        <w:t>本项目不接受未</w:t>
      </w:r>
      <w:r>
        <w:rPr>
          <w:rFonts w:hint="eastAsia" w:ascii="宋体" w:hAnsi="宋体" w:cs="Courier New"/>
          <w:spacing w:val="2"/>
        </w:rPr>
        <w:t>成功</w:t>
      </w:r>
      <w:r>
        <w:rPr>
          <w:rFonts w:hint="eastAsia" w:ascii="宋体" w:hAnsi="宋体"/>
          <w:szCs w:val="21"/>
        </w:rPr>
        <w:t>在政采云平台申请</w:t>
      </w:r>
      <w:r>
        <w:rPr>
          <w:rFonts w:hint="eastAsia" w:ascii="宋体" w:hAnsi="宋体" w:cs="Courier New"/>
          <w:spacing w:val="2"/>
        </w:rPr>
        <w:t>获取采购文件</w:t>
      </w:r>
      <w:r>
        <w:rPr>
          <w:rFonts w:hint="eastAsia" w:ascii="宋体" w:hAnsi="宋体"/>
          <w:szCs w:val="21"/>
        </w:rPr>
        <w:t>的竞标人参加竞标；</w:t>
      </w:r>
    </w:p>
    <w:p>
      <w:pPr>
        <w:spacing w:line="360" w:lineRule="exact"/>
        <w:ind w:firstLine="420" w:firstLineChars="200"/>
        <w:rPr>
          <w:rFonts w:ascii="宋体" w:hAnsi="宋体" w:cs="宋体"/>
          <w:kern w:val="0"/>
          <w:szCs w:val="21"/>
        </w:rPr>
      </w:pPr>
      <w:r>
        <w:rPr>
          <w:rFonts w:hint="eastAsia" w:ascii="宋体" w:hAnsi="宋体" w:cs="宋体"/>
          <w:kern w:val="0"/>
          <w:szCs w:val="21"/>
        </w:rPr>
        <w:t>3、本项目需要落实的政府采购政策：《政府采购促进中小企业发展暂行办法》（财库</w:t>
      </w:r>
      <w:r>
        <w:rPr>
          <w:rFonts w:ascii="宋体" w:hAnsi="宋体" w:cs="宋体"/>
          <w:kern w:val="0"/>
          <w:szCs w:val="21"/>
        </w:rPr>
        <w:t>[2011]181</w:t>
      </w:r>
      <w:r>
        <w:rPr>
          <w:rFonts w:hint="eastAsia" w:ascii="宋体" w:hAnsi="宋体" w:cs="宋体"/>
          <w:kern w:val="0"/>
          <w:szCs w:val="21"/>
        </w:rPr>
        <w:t>号）、《关于政府采购支持监狱企业发展有关问题的通知》（财库</w:t>
      </w:r>
      <w:r>
        <w:rPr>
          <w:rFonts w:ascii="宋体" w:hAnsi="宋体" w:cs="宋体"/>
          <w:kern w:val="0"/>
          <w:szCs w:val="21"/>
        </w:rPr>
        <w:t>[2014]68</w:t>
      </w:r>
      <w:r>
        <w:rPr>
          <w:rFonts w:hint="eastAsia" w:ascii="宋体" w:hAnsi="宋体" w:cs="宋体"/>
          <w:kern w:val="0"/>
          <w:szCs w:val="21"/>
        </w:rPr>
        <w:t>号）、《关于我区政府采购支持监狱企业发展有关问题的通知》（桂财采</w:t>
      </w:r>
      <w:r>
        <w:rPr>
          <w:rFonts w:ascii="宋体" w:hAnsi="宋体" w:cs="宋体"/>
          <w:kern w:val="0"/>
          <w:szCs w:val="21"/>
        </w:rPr>
        <w:t>[2015]24</w:t>
      </w:r>
      <w:r>
        <w:rPr>
          <w:rFonts w:hint="eastAsia" w:ascii="宋体" w:hAnsi="宋体" w:cs="宋体"/>
          <w:kern w:val="0"/>
          <w:szCs w:val="21"/>
        </w:rPr>
        <w:t>号）、《三部门联合发布关于促进残疾人就业政府采购政策的通知》（财库</w:t>
      </w:r>
      <w:r>
        <w:rPr>
          <w:rFonts w:ascii="宋体" w:hAnsi="宋体" w:cs="宋体"/>
          <w:kern w:val="0"/>
          <w:szCs w:val="21"/>
        </w:rPr>
        <w:t>[2017]141</w:t>
      </w:r>
      <w:r>
        <w:rPr>
          <w:rFonts w:hint="eastAsia" w:ascii="宋体" w:hAnsi="宋体" w:cs="宋体"/>
          <w:kern w:val="0"/>
          <w:szCs w:val="21"/>
        </w:rPr>
        <w:t>号）。</w:t>
      </w:r>
    </w:p>
    <w:p>
      <w:pPr>
        <w:spacing w:line="360" w:lineRule="exact"/>
        <w:ind w:firstLine="420" w:firstLineChars="200"/>
        <w:rPr>
          <w:rFonts w:ascii="宋体" w:hAnsi="宋体" w:cs="宋体"/>
          <w:kern w:val="0"/>
          <w:szCs w:val="21"/>
        </w:rPr>
      </w:pPr>
      <w:r>
        <w:rPr>
          <w:rFonts w:hint="eastAsia" w:ascii="宋体" w:hAnsi="宋体" w:cs="宋体"/>
          <w:kern w:val="0"/>
          <w:szCs w:val="21"/>
        </w:rPr>
        <w:t>4、网上公告媒体查询：本次公告同时在中国政府采购网（http://</w:t>
      </w:r>
      <w:r>
        <w:fldChar w:fldCharType="begin"/>
      </w:r>
      <w:r>
        <w:instrText xml:space="preserve"> HYPERLINK "http://www.ccgp.gov.cn" </w:instrText>
      </w:r>
      <w:r>
        <w:fldChar w:fldCharType="separate"/>
      </w:r>
      <w:r>
        <w:rPr>
          <w:rFonts w:hint="eastAsia" w:ascii="宋体" w:hAnsi="宋体" w:cs="宋体"/>
          <w:kern w:val="0"/>
          <w:szCs w:val="21"/>
        </w:rPr>
        <w:t>www.ccgp.gov.cn</w:t>
      </w:r>
      <w:r>
        <w:rPr>
          <w:rFonts w:hint="eastAsia" w:ascii="宋体" w:hAnsi="宋体" w:cs="宋体"/>
          <w:kern w:val="0"/>
          <w:szCs w:val="21"/>
        </w:rPr>
        <w:fldChar w:fldCharType="end"/>
      </w:r>
      <w:r>
        <w:rPr>
          <w:rFonts w:hint="eastAsia" w:ascii="宋体" w:hAnsi="宋体" w:cs="宋体"/>
          <w:kern w:val="0"/>
          <w:szCs w:val="21"/>
        </w:rPr>
        <w:t>）、广西壮族自治区政府采购网（http://zfcg.gxzf.gov.cn/ ）、贵港市政府采购网（http://zfcg.czj.gxgg.gov.cn ）、贵港市公共资源交易中心网（http://ggggjy.gxgg.gov.cn:9005/）发布。</w:t>
      </w:r>
      <w:bookmarkStart w:id="29" w:name="_Toc35393636"/>
      <w:bookmarkStart w:id="30" w:name="_Toc35393805"/>
      <w:bookmarkStart w:id="31" w:name="_Toc28359018"/>
      <w:bookmarkStart w:id="32" w:name="_Toc28359095"/>
    </w:p>
    <w:p>
      <w:pPr>
        <w:spacing w:line="360" w:lineRule="exact"/>
        <w:rPr>
          <w:rFonts w:ascii="宋体" w:hAnsi="宋体" w:cs="宋体"/>
          <w:kern w:val="0"/>
          <w:szCs w:val="21"/>
        </w:rPr>
      </w:pPr>
      <w:r>
        <w:rPr>
          <w:rFonts w:hint="eastAsia" w:ascii="宋体" w:hAnsi="宋体" w:cs="宋体"/>
          <w:b/>
          <w:bCs/>
          <w:kern w:val="0"/>
          <w:sz w:val="24"/>
        </w:rPr>
        <w:t>八、凡对本次采购提出询问，请按以下方式联系。</w:t>
      </w:r>
      <w:bookmarkEnd w:id="29"/>
      <w:bookmarkEnd w:id="30"/>
      <w:bookmarkEnd w:id="31"/>
      <w:bookmarkEnd w:id="32"/>
    </w:p>
    <w:p>
      <w:pPr>
        <w:spacing w:line="360" w:lineRule="exact"/>
        <w:ind w:firstLine="420" w:firstLineChars="200"/>
        <w:rPr>
          <w:rFonts w:ascii="宋体" w:hAnsi="宋体" w:cs="宋体"/>
          <w:kern w:val="0"/>
          <w:szCs w:val="21"/>
        </w:rPr>
      </w:pPr>
      <w:bookmarkStart w:id="33" w:name="_Toc28359019"/>
      <w:bookmarkStart w:id="34" w:name="_Toc28359096"/>
      <w:bookmarkStart w:id="35" w:name="_Toc35393637"/>
      <w:bookmarkStart w:id="36" w:name="_Toc35393806"/>
      <w:r>
        <w:rPr>
          <w:rFonts w:hint="eastAsia" w:ascii="宋体" w:hAnsi="宋体" w:cs="宋体"/>
          <w:kern w:val="0"/>
          <w:szCs w:val="21"/>
        </w:rPr>
        <w:t>1.采购人信息</w:t>
      </w:r>
      <w:bookmarkEnd w:id="33"/>
      <w:bookmarkEnd w:id="34"/>
      <w:bookmarkEnd w:id="35"/>
      <w:bookmarkEnd w:id="36"/>
    </w:p>
    <w:p>
      <w:pPr>
        <w:spacing w:line="360" w:lineRule="exact"/>
        <w:ind w:firstLine="420" w:firstLineChars="200"/>
        <w:rPr>
          <w:rFonts w:ascii="宋体" w:hAnsi="宋体" w:cs="宋体"/>
          <w:kern w:val="0"/>
          <w:szCs w:val="21"/>
        </w:rPr>
      </w:pPr>
      <w:r>
        <w:rPr>
          <w:rFonts w:hint="eastAsia" w:ascii="宋体" w:hAnsi="宋体" w:cs="宋体"/>
          <w:kern w:val="0"/>
          <w:szCs w:val="21"/>
        </w:rPr>
        <w:t>名    称：贵港市港南区工业园区管理委员会</w:t>
      </w:r>
    </w:p>
    <w:p>
      <w:pPr>
        <w:spacing w:line="360" w:lineRule="exact"/>
        <w:ind w:firstLine="420" w:firstLineChars="200"/>
        <w:rPr>
          <w:rFonts w:ascii="宋体" w:hAnsi="宋体" w:cs="宋体"/>
          <w:kern w:val="0"/>
          <w:szCs w:val="21"/>
        </w:rPr>
      </w:pPr>
      <w:r>
        <w:rPr>
          <w:rFonts w:hint="eastAsia" w:ascii="宋体" w:hAnsi="宋体" w:cs="宋体"/>
          <w:kern w:val="0"/>
          <w:szCs w:val="21"/>
        </w:rPr>
        <w:t>地    址：贵港市港南区行政中心综合楼</w:t>
      </w:r>
    </w:p>
    <w:p>
      <w:pPr>
        <w:spacing w:line="360" w:lineRule="exact"/>
        <w:ind w:firstLine="420" w:firstLineChars="200"/>
        <w:rPr>
          <w:rFonts w:ascii="宋体" w:hAnsi="宋体" w:cs="宋体"/>
          <w:kern w:val="0"/>
          <w:szCs w:val="21"/>
        </w:rPr>
      </w:pPr>
      <w:r>
        <w:rPr>
          <w:rFonts w:hint="eastAsia" w:ascii="宋体" w:hAnsi="宋体" w:cs="宋体"/>
          <w:kern w:val="0"/>
          <w:szCs w:val="21"/>
        </w:rPr>
        <w:t>联系方式：黄</w:t>
      </w:r>
      <w:r>
        <w:rPr>
          <w:rFonts w:hint="eastAsia" w:ascii="宋体" w:hAnsi="宋体" w:cs="宋体"/>
          <w:color w:val="auto"/>
          <w:kern w:val="0"/>
          <w:szCs w:val="21"/>
        </w:rPr>
        <w:t>工，0775-4353218</w:t>
      </w:r>
    </w:p>
    <w:p>
      <w:pPr>
        <w:spacing w:line="360" w:lineRule="exact"/>
        <w:ind w:firstLine="420" w:firstLineChars="200"/>
        <w:rPr>
          <w:rFonts w:ascii="宋体" w:hAnsi="宋体" w:cs="宋体"/>
          <w:kern w:val="0"/>
          <w:szCs w:val="21"/>
        </w:rPr>
      </w:pPr>
      <w:bookmarkStart w:id="37" w:name="_Toc28359097"/>
      <w:bookmarkStart w:id="38" w:name="_Toc28359020"/>
      <w:bookmarkStart w:id="39" w:name="_Toc35393638"/>
      <w:bookmarkStart w:id="40" w:name="_Toc35393807"/>
      <w:r>
        <w:rPr>
          <w:rFonts w:hint="eastAsia" w:ascii="宋体" w:hAnsi="宋体" w:cs="宋体"/>
          <w:kern w:val="0"/>
          <w:szCs w:val="21"/>
        </w:rPr>
        <w:t>2.采购代理机构信息</w:t>
      </w:r>
      <w:bookmarkEnd w:id="37"/>
      <w:bookmarkEnd w:id="38"/>
      <w:bookmarkEnd w:id="39"/>
      <w:bookmarkEnd w:id="40"/>
    </w:p>
    <w:p>
      <w:pPr>
        <w:spacing w:line="360" w:lineRule="exact"/>
        <w:ind w:firstLine="630" w:firstLineChars="300"/>
        <w:rPr>
          <w:rFonts w:ascii="宋体" w:hAnsi="宋体" w:cs="宋体"/>
          <w:szCs w:val="21"/>
        </w:rPr>
      </w:pPr>
      <w:r>
        <w:rPr>
          <w:rFonts w:hint="eastAsia" w:ascii="宋体" w:hAnsi="宋体" w:cs="宋体"/>
          <w:szCs w:val="21"/>
        </w:rPr>
        <w:t>名    称：广西盛凯工程咨询有限公司</w:t>
      </w:r>
    </w:p>
    <w:p>
      <w:pPr>
        <w:spacing w:line="360" w:lineRule="exact"/>
        <w:ind w:firstLine="630" w:firstLineChars="300"/>
        <w:rPr>
          <w:rFonts w:ascii="宋体" w:hAnsi="宋体" w:cs="宋体"/>
          <w:szCs w:val="21"/>
        </w:rPr>
      </w:pPr>
      <w:r>
        <w:rPr>
          <w:rFonts w:hint="eastAsia" w:ascii="宋体" w:hAnsi="宋体" w:cs="宋体"/>
          <w:szCs w:val="21"/>
        </w:rPr>
        <w:t>地　　址：广西贵港市港北区布山路1456号天河花园北面4-2号商铺二楼</w:t>
      </w:r>
    </w:p>
    <w:p>
      <w:pPr>
        <w:spacing w:line="360" w:lineRule="exact"/>
        <w:ind w:firstLine="630" w:firstLineChars="300"/>
        <w:rPr>
          <w:rFonts w:ascii="宋体" w:hAnsi="宋体" w:cs="宋体"/>
          <w:szCs w:val="21"/>
        </w:rPr>
      </w:pPr>
      <w:r>
        <w:rPr>
          <w:rFonts w:hint="eastAsia" w:ascii="宋体" w:hAnsi="宋体" w:cs="宋体"/>
          <w:szCs w:val="21"/>
        </w:rPr>
        <w:t>联系方式：李工，0775-</w:t>
      </w:r>
      <w:bookmarkStart w:id="41" w:name="_Toc35393808"/>
      <w:bookmarkStart w:id="42" w:name="_Toc35393639"/>
      <w:bookmarkStart w:id="43" w:name="_Toc28359021"/>
      <w:bookmarkStart w:id="44" w:name="_Toc28359098"/>
      <w:r>
        <w:rPr>
          <w:rFonts w:hint="eastAsia" w:ascii="宋体" w:hAnsi="宋体" w:cs="宋体"/>
          <w:szCs w:val="21"/>
        </w:rPr>
        <w:t>4555745</w:t>
      </w:r>
    </w:p>
    <w:p>
      <w:pPr>
        <w:spacing w:line="360" w:lineRule="exact"/>
        <w:ind w:firstLine="420" w:firstLineChars="200"/>
        <w:rPr>
          <w:rFonts w:ascii="宋体" w:hAnsi="宋体" w:cs="宋体"/>
          <w:b/>
          <w:szCs w:val="21"/>
        </w:rPr>
      </w:pPr>
      <w:r>
        <w:rPr>
          <w:rFonts w:hint="eastAsia" w:ascii="宋体" w:hAnsi="宋体" w:cs="宋体"/>
          <w:szCs w:val="21"/>
        </w:rPr>
        <w:t>3.项目联系方式</w:t>
      </w:r>
      <w:bookmarkEnd w:id="41"/>
      <w:bookmarkEnd w:id="42"/>
      <w:bookmarkEnd w:id="43"/>
      <w:bookmarkEnd w:id="44"/>
    </w:p>
    <w:p>
      <w:pPr>
        <w:pStyle w:val="26"/>
        <w:spacing w:line="360" w:lineRule="exact"/>
        <w:ind w:firstLine="630" w:firstLineChars="300"/>
        <w:rPr>
          <w:rFonts w:hAnsi="宋体" w:cs="宋体"/>
          <w:sz w:val="21"/>
        </w:rPr>
      </w:pPr>
      <w:r>
        <w:rPr>
          <w:rFonts w:hint="eastAsia" w:hAnsi="宋体" w:cs="宋体"/>
          <w:sz w:val="21"/>
        </w:rPr>
        <w:t>项目联系人：李工</w:t>
      </w:r>
    </w:p>
    <w:p>
      <w:pPr>
        <w:shd w:val="clear" w:color="auto" w:fill="FFFFFF"/>
        <w:snapToGrid w:val="0"/>
        <w:spacing w:line="360" w:lineRule="exact"/>
        <w:ind w:firstLine="630" w:firstLineChars="300"/>
        <w:rPr>
          <w:rFonts w:ascii="宋体" w:hAnsi="宋体" w:cs="宋体"/>
          <w:szCs w:val="21"/>
        </w:rPr>
      </w:pPr>
      <w:r>
        <w:rPr>
          <w:rFonts w:hint="eastAsia" w:ascii="宋体" w:hAnsi="宋体" w:cs="宋体"/>
          <w:szCs w:val="21"/>
        </w:rPr>
        <w:t>电　　 话：0775-4555745</w:t>
      </w:r>
    </w:p>
    <w:p>
      <w:pPr>
        <w:pStyle w:val="50"/>
        <w:spacing w:line="380" w:lineRule="exact"/>
        <w:rPr>
          <w:rFonts w:ascii="宋体" w:hAnsi="宋体" w:cs="Arial"/>
          <w:color w:val="000000"/>
          <w:szCs w:val="21"/>
        </w:rPr>
      </w:pPr>
      <w:r>
        <w:rPr>
          <w:rFonts w:hint="eastAsia" w:ascii="宋体" w:hAnsi="宋体" w:cs="宋体"/>
          <w:szCs w:val="21"/>
        </w:rPr>
        <w:t xml:space="preserve">                               </w:t>
      </w:r>
      <w:r>
        <w:rPr>
          <w:rFonts w:hint="eastAsia" w:ascii="宋体" w:hAnsi="宋体" w:cs="Arial"/>
          <w:color w:val="000000"/>
          <w:szCs w:val="21"/>
        </w:rPr>
        <w:t>广西盛凯工程咨询有限公司</w:t>
      </w:r>
    </w:p>
    <w:p>
      <w:pPr>
        <w:snapToGrid w:val="0"/>
        <w:spacing w:line="276" w:lineRule="auto"/>
        <w:ind w:firstLine="420" w:firstLineChars="200"/>
        <w:jc w:val="center"/>
        <w:rPr>
          <w:rFonts w:ascii="宋体" w:hAnsi="宋体"/>
          <w:color w:val="000000"/>
          <w:szCs w:val="21"/>
        </w:rPr>
      </w:pPr>
      <w:r>
        <w:rPr>
          <w:rFonts w:hint="eastAsia" w:ascii="宋体" w:hAnsi="宋体"/>
          <w:color w:val="000000"/>
          <w:szCs w:val="21"/>
        </w:rPr>
        <w:t xml:space="preserve">                   2020年 11 月 </w:t>
      </w:r>
      <w:bookmarkStart w:id="45" w:name="_Toc433110107"/>
      <w:r>
        <w:rPr>
          <w:rFonts w:hint="eastAsia" w:ascii="宋体" w:hAnsi="宋体"/>
          <w:color w:val="000000"/>
          <w:szCs w:val="21"/>
        </w:rPr>
        <w:t>13 日</w:t>
      </w:r>
      <w:r>
        <w:rPr>
          <w:color w:val="000000"/>
        </w:rPr>
        <w:br w:type="page"/>
      </w:r>
      <w:r>
        <w:rPr>
          <w:rFonts w:hint="eastAsia" w:ascii="Cambria" w:hAnsi="Cambria"/>
          <w:b/>
          <w:bCs/>
          <w:color w:val="000000"/>
          <w:sz w:val="36"/>
          <w:szCs w:val="36"/>
        </w:rPr>
        <w:t>第一章 磋商供应商须知</w:t>
      </w:r>
      <w:bookmarkEnd w:id="45"/>
    </w:p>
    <w:p>
      <w:pPr>
        <w:spacing w:line="400" w:lineRule="exact"/>
        <w:jc w:val="center"/>
        <w:rPr>
          <w:rFonts w:ascii="宋体" w:hAnsi="宋体"/>
          <w:b/>
          <w:color w:val="000000"/>
          <w:sz w:val="30"/>
          <w:szCs w:val="30"/>
        </w:rPr>
      </w:pPr>
    </w:p>
    <w:p>
      <w:pPr>
        <w:spacing w:line="400" w:lineRule="exact"/>
        <w:jc w:val="center"/>
        <w:rPr>
          <w:rFonts w:ascii="宋体" w:hAnsi="宋体"/>
          <w:b/>
          <w:color w:val="000000"/>
          <w:sz w:val="30"/>
          <w:szCs w:val="30"/>
        </w:rPr>
      </w:pPr>
      <w:r>
        <w:rPr>
          <w:rFonts w:hint="eastAsia" w:ascii="宋体" w:hAnsi="宋体"/>
          <w:b/>
          <w:color w:val="000000"/>
          <w:sz w:val="30"/>
          <w:szCs w:val="30"/>
        </w:rPr>
        <w:t>磋商供应商须知前附表</w:t>
      </w:r>
    </w:p>
    <w:p>
      <w:pPr>
        <w:pStyle w:val="26"/>
        <w:spacing w:line="300" w:lineRule="exact"/>
        <w:ind w:firstLine="420"/>
        <w:rPr>
          <w:rFonts w:hAnsi="宋体"/>
        </w:rPr>
      </w:pPr>
    </w:p>
    <w:p>
      <w:pPr>
        <w:pStyle w:val="26"/>
        <w:spacing w:line="300" w:lineRule="exact"/>
        <w:ind w:firstLine="420"/>
        <w:rPr>
          <w:rFonts w:hAnsi="宋体"/>
          <w:sz w:val="21"/>
        </w:rPr>
      </w:pPr>
      <w:r>
        <w:rPr>
          <w:rFonts w:hint="eastAsia" w:hAnsi="宋体"/>
          <w:sz w:val="21"/>
        </w:rPr>
        <w:t>本表是关于本次采购的具体资料，是对后列条款的具体补充和修改。所有与本次采购有关的事宜，以本资料表规定的为准。</w:t>
      </w:r>
    </w:p>
    <w:tbl>
      <w:tblPr>
        <w:tblStyle w:val="51"/>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182"/>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71" w:type="dxa"/>
            <w:vAlign w:val="center"/>
          </w:tcPr>
          <w:p>
            <w:pPr>
              <w:pStyle w:val="26"/>
              <w:adjustRightInd w:val="0"/>
              <w:spacing w:line="260" w:lineRule="exact"/>
              <w:jc w:val="center"/>
              <w:rPr>
                <w:rFonts w:hAnsi="宋体"/>
                <w:b/>
                <w:sz w:val="21"/>
              </w:rPr>
            </w:pPr>
            <w:r>
              <w:rPr>
                <w:rFonts w:hint="eastAsia" w:hAnsi="宋体"/>
                <w:b/>
                <w:sz w:val="21"/>
              </w:rPr>
              <w:t>条款号</w:t>
            </w:r>
          </w:p>
        </w:tc>
        <w:tc>
          <w:tcPr>
            <w:tcW w:w="2182" w:type="dxa"/>
            <w:vAlign w:val="center"/>
          </w:tcPr>
          <w:p>
            <w:pPr>
              <w:pStyle w:val="26"/>
              <w:spacing w:line="260" w:lineRule="exact"/>
              <w:jc w:val="center"/>
              <w:rPr>
                <w:rFonts w:hAnsi="宋体"/>
                <w:b/>
                <w:sz w:val="21"/>
              </w:rPr>
            </w:pPr>
            <w:r>
              <w:rPr>
                <w:rFonts w:hint="eastAsia" w:hAnsi="宋体"/>
                <w:b/>
                <w:sz w:val="21"/>
              </w:rPr>
              <w:t>条款名称</w:t>
            </w:r>
          </w:p>
        </w:tc>
        <w:tc>
          <w:tcPr>
            <w:tcW w:w="6518" w:type="dxa"/>
          </w:tcPr>
          <w:p>
            <w:pPr>
              <w:pStyle w:val="26"/>
              <w:spacing w:line="260" w:lineRule="exact"/>
              <w:jc w:val="center"/>
              <w:rPr>
                <w:rFonts w:hAnsi="宋体"/>
                <w:b/>
                <w:sz w:val="21"/>
              </w:rPr>
            </w:pPr>
            <w:r>
              <w:rPr>
                <w:rFonts w:hint="eastAsia" w:hAnsi="宋体"/>
                <w:b/>
                <w:sz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871" w:type="dxa"/>
            <w:vAlign w:val="center"/>
          </w:tcPr>
          <w:p>
            <w:pPr>
              <w:pStyle w:val="26"/>
              <w:spacing w:line="260" w:lineRule="exact"/>
              <w:jc w:val="center"/>
              <w:rPr>
                <w:rFonts w:hAnsi="宋体"/>
                <w:sz w:val="21"/>
              </w:rPr>
            </w:pPr>
            <w:r>
              <w:rPr>
                <w:rFonts w:hAnsi="宋体"/>
                <w:sz w:val="21"/>
              </w:rPr>
              <w:t>1.1</w:t>
            </w:r>
          </w:p>
        </w:tc>
        <w:tc>
          <w:tcPr>
            <w:tcW w:w="2182" w:type="dxa"/>
            <w:vAlign w:val="center"/>
          </w:tcPr>
          <w:p>
            <w:pPr>
              <w:pStyle w:val="26"/>
              <w:spacing w:line="360" w:lineRule="exact"/>
              <w:jc w:val="center"/>
              <w:rPr>
                <w:rFonts w:hAnsi="宋体"/>
                <w:sz w:val="21"/>
              </w:rPr>
            </w:pPr>
            <w:r>
              <w:rPr>
                <w:rFonts w:hint="eastAsia" w:hAnsi="宋体"/>
                <w:sz w:val="21"/>
              </w:rPr>
              <w:t>采购人</w:t>
            </w:r>
          </w:p>
        </w:tc>
        <w:tc>
          <w:tcPr>
            <w:tcW w:w="6518" w:type="dxa"/>
            <w:vAlign w:val="center"/>
          </w:tcPr>
          <w:p>
            <w:pPr>
              <w:snapToGrid w:val="0"/>
              <w:spacing w:line="320" w:lineRule="exact"/>
              <w:ind w:firstLine="210" w:firstLineChars="100"/>
              <w:rPr>
                <w:rFonts w:ascii="宋体"/>
                <w:szCs w:val="21"/>
              </w:rPr>
            </w:pPr>
            <w:r>
              <w:rPr>
                <w:rFonts w:hint="eastAsia" w:ascii="宋体" w:hAnsi="宋体"/>
                <w:szCs w:val="21"/>
              </w:rPr>
              <w:t>采购人名称：贵港市港南区工业园区管理委员会</w:t>
            </w:r>
          </w:p>
          <w:p>
            <w:pPr>
              <w:spacing w:line="400" w:lineRule="exact"/>
              <w:ind w:firstLine="210" w:firstLineChars="100"/>
              <w:rPr>
                <w:rFonts w:ascii="宋体"/>
                <w:szCs w:val="21"/>
              </w:rPr>
            </w:pPr>
            <w:r>
              <w:rPr>
                <w:rFonts w:hint="eastAsia" w:ascii="宋体" w:hAnsi="宋体"/>
                <w:szCs w:val="21"/>
              </w:rPr>
              <w:t>地址：</w:t>
            </w:r>
            <w:r>
              <w:rPr>
                <w:rFonts w:hint="eastAsia" w:ascii="宋体" w:hAnsi="宋体" w:cs="宋体"/>
                <w:kern w:val="0"/>
                <w:szCs w:val="21"/>
              </w:rPr>
              <w:t>贵港市港南区行政中心综合楼</w:t>
            </w:r>
          </w:p>
          <w:p>
            <w:pPr>
              <w:snapToGrid w:val="0"/>
              <w:spacing w:line="320" w:lineRule="exact"/>
              <w:ind w:firstLine="210" w:firstLineChars="100"/>
              <w:rPr>
                <w:rFonts w:ascii="宋体"/>
                <w:szCs w:val="21"/>
              </w:rPr>
            </w:pPr>
            <w:r>
              <w:rPr>
                <w:rFonts w:hint="eastAsia" w:ascii="宋体" w:hAnsi="宋体"/>
                <w:szCs w:val="21"/>
              </w:rPr>
              <w:t>联系人：</w:t>
            </w:r>
            <w:r>
              <w:rPr>
                <w:rFonts w:hint="eastAsia" w:ascii="宋体" w:hAnsi="宋体" w:cs="宋体"/>
                <w:kern w:val="0"/>
                <w:szCs w:val="21"/>
              </w:rPr>
              <w:t>黄工</w:t>
            </w:r>
          </w:p>
          <w:p>
            <w:pPr>
              <w:snapToGrid w:val="0"/>
              <w:spacing w:line="320" w:lineRule="exact"/>
              <w:ind w:firstLine="210" w:firstLineChars="100"/>
              <w:rPr>
                <w:rFonts w:ascii="宋体" w:hAnsi="宋体" w:cs="宋体"/>
                <w:szCs w:val="21"/>
                <w:lang w:val="zh-CN"/>
              </w:rPr>
            </w:pPr>
            <w:r>
              <w:rPr>
                <w:rFonts w:hint="eastAsia" w:ascii="宋体" w:hAnsi="宋体"/>
                <w:szCs w:val="21"/>
              </w:rPr>
              <w:t>电话：</w:t>
            </w:r>
            <w:r>
              <w:rPr>
                <w:rFonts w:hint="eastAsia" w:ascii="宋体" w:hAnsi="宋体" w:cs="宋体"/>
                <w:kern w:val="0"/>
                <w:szCs w:val="21"/>
              </w:rPr>
              <w:t xml:space="preserve"> 0775-4353218</w:t>
            </w:r>
            <w:r>
              <w:rPr>
                <w:rFonts w:hint="eastAsia" w:ascii="宋体" w:hAnsi="宋体" w:cs="宋体"/>
                <w:szCs w:val="21"/>
                <w:lang w:val="zh-CN"/>
              </w:rPr>
              <w:t xml:space="preserve">           邮编：537100</w:t>
            </w:r>
          </w:p>
          <w:p>
            <w:pPr>
              <w:snapToGrid w:val="0"/>
              <w:spacing w:line="320" w:lineRule="exact"/>
              <w:ind w:firstLine="210" w:firstLineChars="100"/>
              <w:rPr>
                <w:szCs w:val="21"/>
                <w:lang w:val="zh-CN"/>
              </w:rPr>
            </w:pPr>
            <w:r>
              <w:rPr>
                <w:rFonts w:hint="eastAsia" w:ascii="宋体" w:hAnsi="宋体" w:cs="宋体"/>
                <w:bCs/>
                <w:szCs w:val="21"/>
                <w:lang w:val="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1" w:type="dxa"/>
            <w:vAlign w:val="center"/>
          </w:tcPr>
          <w:p>
            <w:pPr>
              <w:pStyle w:val="26"/>
              <w:spacing w:line="260" w:lineRule="exact"/>
              <w:jc w:val="center"/>
              <w:rPr>
                <w:rFonts w:hAnsi="宋体"/>
                <w:sz w:val="21"/>
              </w:rPr>
            </w:pPr>
            <w:r>
              <w:rPr>
                <w:rFonts w:hAnsi="宋体"/>
                <w:sz w:val="21"/>
              </w:rPr>
              <w:t>1.2</w:t>
            </w:r>
          </w:p>
        </w:tc>
        <w:tc>
          <w:tcPr>
            <w:tcW w:w="2182" w:type="dxa"/>
            <w:vAlign w:val="center"/>
          </w:tcPr>
          <w:p>
            <w:pPr>
              <w:pStyle w:val="26"/>
              <w:spacing w:line="360" w:lineRule="exact"/>
              <w:jc w:val="center"/>
              <w:rPr>
                <w:rFonts w:hAnsi="宋体"/>
                <w:sz w:val="21"/>
              </w:rPr>
            </w:pPr>
            <w:r>
              <w:rPr>
                <w:rFonts w:hint="eastAsia" w:hAnsi="宋体"/>
                <w:sz w:val="21"/>
              </w:rPr>
              <w:t>采购代理机构</w:t>
            </w:r>
          </w:p>
        </w:tc>
        <w:tc>
          <w:tcPr>
            <w:tcW w:w="6518" w:type="dxa"/>
            <w:vAlign w:val="center"/>
          </w:tcPr>
          <w:p>
            <w:pPr>
              <w:snapToGrid w:val="0"/>
              <w:spacing w:line="320" w:lineRule="exact"/>
              <w:ind w:firstLine="210" w:firstLineChars="100"/>
              <w:rPr>
                <w:rFonts w:ascii="宋体"/>
                <w:szCs w:val="21"/>
              </w:rPr>
            </w:pPr>
            <w:r>
              <w:rPr>
                <w:rFonts w:hint="eastAsia" w:ascii="宋体" w:hAnsi="宋体"/>
                <w:szCs w:val="21"/>
              </w:rPr>
              <w:t>采购代理机构：广西盛凯工程咨询有限公司</w:t>
            </w:r>
          </w:p>
          <w:p>
            <w:pPr>
              <w:snapToGrid w:val="0"/>
              <w:spacing w:line="320" w:lineRule="exact"/>
              <w:ind w:firstLine="210" w:firstLineChars="100"/>
              <w:rPr>
                <w:rFonts w:hAnsi="宋体" w:cs="宋体"/>
                <w:kern w:val="0"/>
                <w:szCs w:val="21"/>
              </w:rPr>
            </w:pPr>
            <w:r>
              <w:rPr>
                <w:rFonts w:hint="eastAsia" w:ascii="宋体" w:hAnsi="宋体"/>
                <w:szCs w:val="21"/>
              </w:rPr>
              <w:t>地址：</w:t>
            </w:r>
            <w:r>
              <w:rPr>
                <w:rFonts w:hint="eastAsia" w:ascii="宋体" w:hAnsi="宋体" w:cs="宋体"/>
                <w:szCs w:val="21"/>
              </w:rPr>
              <w:t>广西贵港市港北区布山路1456号天河花园北面4-2号商铺二楼</w:t>
            </w:r>
          </w:p>
          <w:p>
            <w:pPr>
              <w:snapToGrid w:val="0"/>
              <w:spacing w:line="320" w:lineRule="exact"/>
              <w:ind w:firstLine="210" w:firstLineChars="100"/>
              <w:rPr>
                <w:rFonts w:ascii="宋体"/>
                <w:szCs w:val="21"/>
              </w:rPr>
            </w:pPr>
            <w:r>
              <w:rPr>
                <w:rFonts w:hint="eastAsia" w:ascii="宋体" w:hAnsi="宋体"/>
                <w:szCs w:val="21"/>
              </w:rPr>
              <w:t>项目联系人：李工</w:t>
            </w:r>
          </w:p>
          <w:p>
            <w:pPr>
              <w:snapToGrid w:val="0"/>
              <w:spacing w:line="320" w:lineRule="exact"/>
              <w:ind w:firstLine="210" w:firstLineChars="100"/>
              <w:rPr>
                <w:rFonts w:ascii="宋体"/>
                <w:szCs w:val="21"/>
              </w:rPr>
            </w:pPr>
            <w:bookmarkStart w:id="46" w:name="OLE_LINK31"/>
            <w:r>
              <w:rPr>
                <w:rFonts w:hint="eastAsia" w:ascii="宋体" w:hAnsi="宋体"/>
                <w:szCs w:val="21"/>
              </w:rPr>
              <w:t xml:space="preserve">联系电话：0775-4555745       </w:t>
            </w:r>
            <w:r>
              <w:rPr>
                <w:rFonts w:hint="eastAsia" w:ascii="宋体" w:hAnsi="宋体" w:cs="宋体"/>
                <w:szCs w:val="21"/>
                <w:lang w:val="zh-CN"/>
              </w:rPr>
              <w:t xml:space="preserve"> 邮编：537100</w:t>
            </w:r>
          </w:p>
          <w:bookmarkEnd w:id="46"/>
          <w:p>
            <w:pPr>
              <w:snapToGrid w:val="0"/>
              <w:spacing w:line="320" w:lineRule="exact"/>
              <w:ind w:firstLine="210" w:firstLineChars="100"/>
              <w:rPr>
                <w:szCs w:val="21"/>
              </w:rPr>
            </w:pPr>
            <w:r>
              <w:rPr>
                <w:rFonts w:hint="eastAsia" w:ascii="宋体" w:hAnsi="宋体" w:cs="宋体"/>
                <w:bCs/>
                <w:szCs w:val="21"/>
                <w:lang w:val="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vAlign w:val="center"/>
          </w:tcPr>
          <w:p>
            <w:pPr>
              <w:pStyle w:val="26"/>
              <w:spacing w:line="260" w:lineRule="exact"/>
              <w:jc w:val="center"/>
              <w:rPr>
                <w:rFonts w:hAnsi="宋体"/>
                <w:sz w:val="21"/>
              </w:rPr>
            </w:pPr>
            <w:r>
              <w:rPr>
                <w:rFonts w:hAnsi="宋体"/>
                <w:sz w:val="21"/>
              </w:rPr>
              <w:t>1.3</w:t>
            </w:r>
          </w:p>
        </w:tc>
        <w:tc>
          <w:tcPr>
            <w:tcW w:w="2182" w:type="dxa"/>
            <w:vAlign w:val="center"/>
          </w:tcPr>
          <w:p>
            <w:pPr>
              <w:pStyle w:val="26"/>
              <w:spacing w:line="360" w:lineRule="exact"/>
              <w:jc w:val="center"/>
              <w:rPr>
                <w:rFonts w:hAnsi="宋体"/>
                <w:sz w:val="21"/>
              </w:rPr>
            </w:pPr>
            <w:r>
              <w:rPr>
                <w:rFonts w:hint="eastAsia" w:hAnsi="宋体"/>
                <w:sz w:val="21"/>
              </w:rPr>
              <w:t>项目名称</w:t>
            </w:r>
          </w:p>
        </w:tc>
        <w:tc>
          <w:tcPr>
            <w:tcW w:w="6518" w:type="dxa"/>
            <w:vAlign w:val="center"/>
          </w:tcPr>
          <w:p>
            <w:pPr>
              <w:pStyle w:val="26"/>
              <w:spacing w:line="360" w:lineRule="exact"/>
              <w:ind w:firstLine="210" w:firstLineChars="100"/>
              <w:rPr>
                <w:rFonts w:hAnsi="宋体"/>
                <w:sz w:val="21"/>
              </w:rPr>
            </w:pPr>
            <w:r>
              <w:rPr>
                <w:rFonts w:hAnsi="宋体"/>
                <w:sz w:val="21"/>
              </w:rPr>
              <w:t>港南区工业园区江五路（城东大道-安澜路）基础设施建设项目工程检测服务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71" w:type="dxa"/>
            <w:vAlign w:val="center"/>
          </w:tcPr>
          <w:p>
            <w:pPr>
              <w:pStyle w:val="26"/>
              <w:spacing w:line="260" w:lineRule="exact"/>
              <w:jc w:val="center"/>
              <w:rPr>
                <w:rFonts w:hAnsi="宋体"/>
                <w:sz w:val="21"/>
              </w:rPr>
            </w:pPr>
            <w:r>
              <w:rPr>
                <w:rFonts w:hAnsi="宋体"/>
                <w:sz w:val="21"/>
              </w:rPr>
              <w:t>1.4</w:t>
            </w:r>
          </w:p>
        </w:tc>
        <w:tc>
          <w:tcPr>
            <w:tcW w:w="2182" w:type="dxa"/>
            <w:vAlign w:val="center"/>
          </w:tcPr>
          <w:p>
            <w:pPr>
              <w:pStyle w:val="26"/>
              <w:spacing w:line="360" w:lineRule="exact"/>
              <w:jc w:val="center"/>
              <w:rPr>
                <w:rFonts w:hAnsi="宋体"/>
                <w:sz w:val="21"/>
              </w:rPr>
            </w:pPr>
            <w:r>
              <w:rPr>
                <w:rFonts w:hint="eastAsia" w:hAnsi="宋体"/>
                <w:sz w:val="21"/>
              </w:rPr>
              <w:t>项目编号</w:t>
            </w:r>
          </w:p>
        </w:tc>
        <w:tc>
          <w:tcPr>
            <w:tcW w:w="6518" w:type="dxa"/>
            <w:vAlign w:val="center"/>
          </w:tcPr>
          <w:p>
            <w:pPr>
              <w:pStyle w:val="26"/>
              <w:spacing w:line="360" w:lineRule="exact"/>
              <w:ind w:firstLine="210" w:firstLineChars="100"/>
              <w:rPr>
                <w:rFonts w:hAnsi="宋体"/>
                <w:sz w:val="21"/>
              </w:rPr>
            </w:pPr>
            <w:r>
              <w:rPr>
                <w:rFonts w:hAnsi="宋体"/>
                <w:sz w:val="21"/>
              </w:rPr>
              <w:t>GGZC2020-C3-30060-GXSK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1" w:type="dxa"/>
            <w:vAlign w:val="center"/>
          </w:tcPr>
          <w:p>
            <w:pPr>
              <w:pStyle w:val="26"/>
              <w:spacing w:line="260" w:lineRule="exact"/>
              <w:jc w:val="center"/>
              <w:rPr>
                <w:rFonts w:hAnsi="宋体"/>
                <w:sz w:val="21"/>
              </w:rPr>
            </w:pPr>
            <w:r>
              <w:rPr>
                <w:rFonts w:hAnsi="宋体"/>
                <w:sz w:val="21"/>
              </w:rPr>
              <w:t>1.5</w:t>
            </w:r>
          </w:p>
        </w:tc>
        <w:tc>
          <w:tcPr>
            <w:tcW w:w="2182" w:type="dxa"/>
            <w:vAlign w:val="center"/>
          </w:tcPr>
          <w:p>
            <w:pPr>
              <w:pStyle w:val="26"/>
              <w:spacing w:line="360" w:lineRule="exact"/>
              <w:jc w:val="center"/>
              <w:rPr>
                <w:rFonts w:hAnsi="宋体"/>
                <w:sz w:val="21"/>
              </w:rPr>
            </w:pPr>
            <w:r>
              <w:rPr>
                <w:rFonts w:hint="eastAsia" w:hAnsi="宋体"/>
                <w:sz w:val="21"/>
              </w:rPr>
              <w:t>采购预算</w:t>
            </w:r>
          </w:p>
        </w:tc>
        <w:tc>
          <w:tcPr>
            <w:tcW w:w="6518" w:type="dxa"/>
          </w:tcPr>
          <w:p>
            <w:pPr>
              <w:pStyle w:val="26"/>
              <w:spacing w:line="360" w:lineRule="exact"/>
              <w:rPr>
                <w:rFonts w:hAnsi="宋体"/>
                <w:sz w:val="21"/>
              </w:rPr>
            </w:pPr>
            <w:r>
              <w:rPr>
                <w:rFonts w:hint="eastAsia" w:hAnsi="宋体"/>
                <w:sz w:val="21"/>
              </w:rPr>
              <w:t>人民币：肆拾贰万陆仟捌佰元整（￥426800.00元）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71" w:type="dxa"/>
            <w:vAlign w:val="center"/>
          </w:tcPr>
          <w:p>
            <w:pPr>
              <w:pStyle w:val="26"/>
              <w:spacing w:line="260" w:lineRule="exact"/>
              <w:jc w:val="center"/>
              <w:rPr>
                <w:rFonts w:hAnsi="宋体"/>
                <w:sz w:val="21"/>
              </w:rPr>
            </w:pPr>
            <w:r>
              <w:rPr>
                <w:rFonts w:hAnsi="宋体"/>
                <w:sz w:val="21"/>
              </w:rPr>
              <w:t>1.7</w:t>
            </w:r>
          </w:p>
        </w:tc>
        <w:tc>
          <w:tcPr>
            <w:tcW w:w="2182" w:type="dxa"/>
            <w:vAlign w:val="center"/>
          </w:tcPr>
          <w:p>
            <w:pPr>
              <w:pStyle w:val="26"/>
              <w:spacing w:line="360" w:lineRule="exact"/>
              <w:jc w:val="center"/>
              <w:rPr>
                <w:rFonts w:hAnsi="宋体"/>
                <w:sz w:val="21"/>
              </w:rPr>
            </w:pPr>
            <w:r>
              <w:rPr>
                <w:rFonts w:hint="eastAsia" w:hAnsi="宋体"/>
                <w:sz w:val="21"/>
              </w:rPr>
              <w:t>获取竞争性磋商采购文件的时间、地点、方式</w:t>
            </w:r>
          </w:p>
        </w:tc>
        <w:tc>
          <w:tcPr>
            <w:tcW w:w="6518" w:type="dxa"/>
            <w:vAlign w:val="center"/>
          </w:tcPr>
          <w:p>
            <w:pPr>
              <w:pStyle w:val="26"/>
              <w:spacing w:line="360" w:lineRule="exact"/>
              <w:jc w:val="left"/>
              <w:rPr>
                <w:rFonts w:hAnsi="宋体"/>
                <w:sz w:val="21"/>
              </w:rPr>
            </w:pPr>
            <w:r>
              <w:rPr>
                <w:rFonts w:hint="eastAsia" w:hAnsi="宋体"/>
                <w:sz w:val="21"/>
              </w:rPr>
              <w:t>获取时间：磋商人须按本项目采购公告第三点规定的时间、地点、方式获取。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pStyle w:val="26"/>
              <w:spacing w:line="260" w:lineRule="exact"/>
              <w:jc w:val="center"/>
              <w:rPr>
                <w:rFonts w:hAnsi="宋体"/>
                <w:sz w:val="21"/>
              </w:rPr>
            </w:pPr>
            <w:r>
              <w:rPr>
                <w:rFonts w:hAnsi="宋体"/>
                <w:sz w:val="21"/>
              </w:rPr>
              <w:t>1.8</w:t>
            </w:r>
          </w:p>
        </w:tc>
        <w:tc>
          <w:tcPr>
            <w:tcW w:w="2182" w:type="dxa"/>
            <w:vAlign w:val="center"/>
          </w:tcPr>
          <w:p>
            <w:pPr>
              <w:pStyle w:val="26"/>
              <w:spacing w:line="360" w:lineRule="exact"/>
              <w:jc w:val="center"/>
              <w:rPr>
                <w:rFonts w:hAnsi="宋体"/>
                <w:sz w:val="21"/>
              </w:rPr>
            </w:pPr>
            <w:r>
              <w:rPr>
                <w:rFonts w:hint="eastAsia" w:hAnsi="宋体"/>
                <w:bCs/>
                <w:sz w:val="21"/>
              </w:rPr>
              <w:t>落实的政府采购政策</w:t>
            </w:r>
          </w:p>
        </w:tc>
        <w:tc>
          <w:tcPr>
            <w:tcW w:w="6518" w:type="dxa"/>
            <w:vAlign w:val="center"/>
          </w:tcPr>
          <w:p>
            <w:pPr>
              <w:pStyle w:val="26"/>
              <w:spacing w:line="360" w:lineRule="exact"/>
              <w:ind w:firstLine="210" w:firstLineChars="100"/>
              <w:rPr>
                <w:rFonts w:hAnsi="宋体"/>
                <w:sz w:val="21"/>
              </w:rPr>
            </w:pPr>
            <w:r>
              <w:rPr>
                <w:rFonts w:hint="eastAsia" w:hAnsi="宋体"/>
                <w:sz w:val="21"/>
                <w:shd w:val="clear" w:color="auto" w:fill="FFFFFF"/>
              </w:rPr>
              <w:t>《</w:t>
            </w:r>
            <w:r>
              <w:rPr>
                <w:rFonts w:hint="eastAsia" w:hAnsi="宋体"/>
                <w:sz w:val="21"/>
              </w:rPr>
              <w:t>政府采购促进中小企业发展暂行办法》（财库</w:t>
            </w:r>
            <w:r>
              <w:rPr>
                <w:sz w:val="21"/>
              </w:rPr>
              <w:t>[2011]181</w:t>
            </w:r>
            <w:r>
              <w:rPr>
                <w:rFonts w:hint="eastAsia" w:hAnsi="宋体"/>
                <w:sz w:val="21"/>
              </w:rPr>
              <w:t>号）、《关于政府采购支持监狱企业发展有关问题的通知》</w:t>
            </w:r>
            <w:r>
              <w:rPr>
                <w:sz w:val="21"/>
              </w:rPr>
              <w:t>(</w:t>
            </w:r>
            <w:r>
              <w:rPr>
                <w:rFonts w:hint="eastAsia" w:hAnsi="宋体"/>
                <w:sz w:val="21"/>
              </w:rPr>
              <w:t>财库</w:t>
            </w:r>
            <w:r>
              <w:rPr>
                <w:sz w:val="21"/>
              </w:rPr>
              <w:t>[2014]68</w:t>
            </w:r>
            <w:r>
              <w:rPr>
                <w:rFonts w:hint="eastAsia" w:hAnsi="宋体"/>
                <w:sz w:val="21"/>
              </w:rPr>
              <w:t>号</w:t>
            </w:r>
            <w:r>
              <w:rPr>
                <w:sz w:val="21"/>
              </w:rPr>
              <w:t>)</w:t>
            </w:r>
            <w:r>
              <w:rPr>
                <w:rFonts w:hint="eastAsia" w:hAnsi="宋体"/>
                <w:sz w:val="21"/>
                <w:shd w:val="clear" w:color="auto" w:fill="FFFFFF"/>
              </w:rPr>
              <w:t>、</w:t>
            </w:r>
            <w:r>
              <w:rPr>
                <w:rFonts w:hint="eastAsia" w:hAnsi="宋体"/>
                <w:sz w:val="21"/>
              </w:rPr>
              <w:t>《关于促进残疾人就业政府采购政策的通知》（财库〔</w:t>
            </w:r>
            <w:r>
              <w:rPr>
                <w:sz w:val="21"/>
              </w:rPr>
              <w:t>2017</w:t>
            </w:r>
            <w:r>
              <w:rPr>
                <w:rFonts w:hint="eastAsia" w:hAnsi="宋体"/>
                <w:sz w:val="21"/>
              </w:rPr>
              <w:t>〕</w:t>
            </w:r>
            <w:r>
              <w:rPr>
                <w:sz w:val="21"/>
              </w:rPr>
              <w:t xml:space="preserve"> 141</w:t>
            </w:r>
            <w:r>
              <w:rPr>
                <w:rFonts w:hint="eastAsia" w:hAnsi="宋体"/>
                <w:sz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pStyle w:val="26"/>
              <w:spacing w:line="260" w:lineRule="exact"/>
              <w:jc w:val="center"/>
              <w:rPr>
                <w:rFonts w:hAnsi="宋体"/>
                <w:sz w:val="21"/>
              </w:rPr>
            </w:pPr>
            <w:r>
              <w:rPr>
                <w:rFonts w:hAnsi="宋体"/>
                <w:sz w:val="21"/>
              </w:rPr>
              <w:t>3.2</w:t>
            </w:r>
          </w:p>
        </w:tc>
        <w:tc>
          <w:tcPr>
            <w:tcW w:w="2182" w:type="dxa"/>
            <w:vAlign w:val="center"/>
          </w:tcPr>
          <w:p>
            <w:pPr>
              <w:pStyle w:val="26"/>
              <w:spacing w:line="360" w:lineRule="exact"/>
              <w:jc w:val="center"/>
              <w:rPr>
                <w:rFonts w:hAnsi="宋体"/>
                <w:color w:val="auto"/>
                <w:sz w:val="21"/>
              </w:rPr>
            </w:pPr>
            <w:r>
              <w:rPr>
                <w:rFonts w:hint="eastAsia" w:hAnsi="宋体"/>
                <w:color w:val="auto"/>
                <w:sz w:val="21"/>
              </w:rPr>
              <w:t>谈判磋商人资格要求</w:t>
            </w:r>
          </w:p>
        </w:tc>
        <w:tc>
          <w:tcPr>
            <w:tcW w:w="6518" w:type="dxa"/>
            <w:vAlign w:val="center"/>
          </w:tcPr>
          <w:p>
            <w:pPr>
              <w:spacing w:line="400" w:lineRule="exact"/>
              <w:rPr>
                <w:rFonts w:ascii="宋体"/>
                <w:color w:val="auto"/>
                <w:szCs w:val="21"/>
              </w:rPr>
            </w:pPr>
            <w:r>
              <w:rPr>
                <w:rFonts w:ascii="宋体"/>
                <w:color w:val="auto"/>
                <w:szCs w:val="21"/>
              </w:rPr>
              <w:t>1</w:t>
            </w:r>
            <w:r>
              <w:rPr>
                <w:rFonts w:hint="eastAsia" w:ascii="宋体"/>
                <w:color w:val="auto"/>
                <w:szCs w:val="21"/>
              </w:rPr>
              <w:t>．符合《中华人民共和国政府采购法》第二十二条规定；</w:t>
            </w:r>
          </w:p>
          <w:p>
            <w:pPr>
              <w:snapToGrid w:val="0"/>
              <w:spacing w:line="340" w:lineRule="exact"/>
              <w:rPr>
                <w:rFonts w:ascii="宋体" w:hAnsi="宋体"/>
                <w:color w:val="auto"/>
                <w:szCs w:val="21"/>
              </w:rPr>
            </w:pPr>
            <w:r>
              <w:rPr>
                <w:rFonts w:hint="eastAsia" w:ascii="宋体" w:hAnsi="宋体"/>
                <w:color w:val="auto"/>
                <w:szCs w:val="21"/>
              </w:rPr>
              <w:t>2.须具备以下资质：</w:t>
            </w:r>
          </w:p>
          <w:p>
            <w:pPr>
              <w:pStyle w:val="26"/>
              <w:spacing w:line="340" w:lineRule="exact"/>
              <w:ind w:firstLine="420" w:firstLineChars="200"/>
              <w:rPr>
                <w:rFonts w:hAnsi="宋体"/>
                <w:color w:val="auto"/>
                <w:sz w:val="21"/>
              </w:rPr>
            </w:pPr>
            <w:r>
              <w:rPr>
                <w:rFonts w:hint="eastAsia" w:hAnsi="宋体"/>
                <w:color w:val="auto"/>
                <w:sz w:val="21"/>
              </w:rPr>
              <w:t>(1)取得省级及以上住房城乡建设主管部门颁发的相应建设工程质量检测资质证书，本次招标要求资质证书具有：</w:t>
            </w:r>
            <w:r>
              <w:rPr>
                <w:rFonts w:hAnsi="宋体"/>
                <w:color w:val="auto"/>
                <w:sz w:val="21"/>
              </w:rPr>
              <w:fldChar w:fldCharType="begin"/>
            </w:r>
            <w:r>
              <w:rPr>
                <w:rFonts w:hAnsi="宋体"/>
                <w:color w:val="auto"/>
                <w:sz w:val="21"/>
              </w:rPr>
              <w:instrText xml:space="preserve"> </w:instrText>
            </w:r>
            <w:r>
              <w:rPr>
                <w:rFonts w:hint="eastAsia" w:hAnsi="宋体"/>
                <w:color w:val="auto"/>
                <w:sz w:val="21"/>
              </w:rPr>
              <w:instrText xml:space="preserve">eq \o\ac(□,</w:instrText>
            </w:r>
            <w:r>
              <w:rPr>
                <w:rFonts w:hint="eastAsia" w:hAnsi="宋体"/>
                <w:color w:val="auto"/>
                <w:position w:val="1"/>
                <w:sz w:val="21"/>
              </w:rPr>
              <w:instrText xml:space="preserve">√</w:instrText>
            </w:r>
            <w:r>
              <w:rPr>
                <w:rFonts w:hint="eastAsia" w:hAnsi="宋体"/>
                <w:color w:val="auto"/>
                <w:sz w:val="21"/>
              </w:rPr>
              <w:instrText xml:space="preserve">)</w:instrText>
            </w:r>
            <w:r>
              <w:rPr>
                <w:rFonts w:hAnsi="宋体"/>
                <w:color w:val="auto"/>
                <w:sz w:val="21"/>
              </w:rPr>
              <w:fldChar w:fldCharType="end"/>
            </w:r>
            <w:r>
              <w:rPr>
                <w:rFonts w:hint="eastAsia" w:hAnsi="宋体"/>
                <w:color w:val="auto"/>
                <w:sz w:val="21"/>
              </w:rPr>
              <w:t xml:space="preserve">见证取样检测 </w:t>
            </w:r>
            <w:r>
              <w:rPr>
                <w:rFonts w:hAnsi="宋体"/>
                <w:color w:val="auto"/>
                <w:sz w:val="21"/>
              </w:rPr>
              <w:fldChar w:fldCharType="begin"/>
            </w:r>
            <w:r>
              <w:rPr>
                <w:rFonts w:hAnsi="宋体"/>
                <w:color w:val="auto"/>
                <w:sz w:val="21"/>
              </w:rPr>
              <w:instrText xml:space="preserve"> </w:instrText>
            </w:r>
            <w:r>
              <w:rPr>
                <w:rFonts w:hint="eastAsia" w:hAnsi="宋体"/>
                <w:color w:val="auto"/>
                <w:sz w:val="21"/>
              </w:rPr>
              <w:instrText xml:space="preserve">eq \o\ac(□,</w:instrText>
            </w:r>
            <w:r>
              <w:rPr>
                <w:rFonts w:hint="eastAsia" w:hAnsi="宋体"/>
                <w:color w:val="auto"/>
                <w:position w:val="1"/>
                <w:sz w:val="21"/>
              </w:rPr>
              <w:instrText xml:space="preserve">√</w:instrText>
            </w:r>
            <w:r>
              <w:rPr>
                <w:rFonts w:hint="eastAsia" w:hAnsi="宋体"/>
                <w:color w:val="auto"/>
                <w:sz w:val="21"/>
              </w:rPr>
              <w:instrText xml:space="preserve">)</w:instrText>
            </w:r>
            <w:r>
              <w:rPr>
                <w:rFonts w:hAnsi="宋体"/>
                <w:color w:val="auto"/>
                <w:sz w:val="21"/>
              </w:rPr>
              <w:fldChar w:fldCharType="end"/>
            </w:r>
            <w:r>
              <w:rPr>
                <w:rFonts w:hint="eastAsia" w:hAnsi="宋体"/>
                <w:color w:val="auto"/>
                <w:sz w:val="21"/>
              </w:rPr>
              <w:t xml:space="preserve">地基基础工程检测 </w:t>
            </w:r>
            <w:r>
              <w:rPr>
                <w:rFonts w:hAnsi="宋体"/>
                <w:color w:val="auto"/>
                <w:sz w:val="21"/>
              </w:rPr>
              <w:fldChar w:fldCharType="begin"/>
            </w:r>
            <w:r>
              <w:rPr>
                <w:rFonts w:hAnsi="宋体"/>
                <w:color w:val="auto"/>
                <w:sz w:val="21"/>
              </w:rPr>
              <w:instrText xml:space="preserve"> </w:instrText>
            </w:r>
            <w:r>
              <w:rPr>
                <w:rFonts w:hint="eastAsia" w:hAnsi="宋体"/>
                <w:color w:val="auto"/>
                <w:sz w:val="21"/>
              </w:rPr>
              <w:instrText xml:space="preserve">eq \o\ac(□,</w:instrText>
            </w:r>
            <w:r>
              <w:rPr>
                <w:rFonts w:hint="eastAsia" w:hAnsi="宋体"/>
                <w:color w:val="auto"/>
                <w:position w:val="1"/>
                <w:sz w:val="21"/>
              </w:rPr>
              <w:instrText xml:space="preserve">√</w:instrText>
            </w:r>
            <w:r>
              <w:rPr>
                <w:rFonts w:hint="eastAsia" w:hAnsi="宋体"/>
                <w:color w:val="auto"/>
                <w:sz w:val="21"/>
              </w:rPr>
              <w:instrText xml:space="preserve">)</w:instrText>
            </w:r>
            <w:r>
              <w:rPr>
                <w:rFonts w:hAnsi="宋体"/>
                <w:color w:val="auto"/>
                <w:sz w:val="21"/>
              </w:rPr>
              <w:fldChar w:fldCharType="end"/>
            </w:r>
            <w:r>
              <w:rPr>
                <w:rFonts w:hint="eastAsia" w:hAnsi="宋体"/>
                <w:color w:val="auto"/>
                <w:sz w:val="21"/>
              </w:rPr>
              <w:t xml:space="preserve">主体结构工程现场检测  □建筑幕墙工程检测  □钢结构工程检测  □室内环境检测  </w:t>
            </w:r>
            <w:r>
              <w:rPr>
                <w:rFonts w:hAnsi="宋体"/>
                <w:color w:val="auto"/>
                <w:sz w:val="21"/>
              </w:rPr>
              <w:fldChar w:fldCharType="begin"/>
            </w:r>
            <w:r>
              <w:rPr>
                <w:rFonts w:hAnsi="宋体"/>
                <w:color w:val="auto"/>
                <w:sz w:val="21"/>
              </w:rPr>
              <w:instrText xml:space="preserve"> </w:instrText>
            </w:r>
            <w:r>
              <w:rPr>
                <w:rFonts w:hint="eastAsia" w:hAnsi="宋体"/>
                <w:color w:val="auto"/>
                <w:sz w:val="21"/>
              </w:rPr>
              <w:instrText xml:space="preserve">eq \o\ac(□,</w:instrText>
            </w:r>
            <w:r>
              <w:rPr>
                <w:rFonts w:hint="eastAsia" w:hAnsi="宋体"/>
                <w:color w:val="auto"/>
                <w:position w:val="1"/>
                <w:sz w:val="21"/>
              </w:rPr>
              <w:instrText xml:space="preserve">√</w:instrText>
            </w:r>
            <w:r>
              <w:rPr>
                <w:rFonts w:hint="eastAsia" w:hAnsi="宋体"/>
                <w:color w:val="auto"/>
                <w:sz w:val="21"/>
              </w:rPr>
              <w:instrText xml:space="preserve">)</w:instrText>
            </w:r>
            <w:r>
              <w:rPr>
                <w:rFonts w:hAnsi="宋体"/>
                <w:color w:val="auto"/>
                <w:sz w:val="21"/>
              </w:rPr>
              <w:fldChar w:fldCharType="end"/>
            </w:r>
            <w:r>
              <w:rPr>
                <w:rFonts w:hint="eastAsia" w:hAnsi="宋体"/>
                <w:color w:val="auto"/>
                <w:sz w:val="21"/>
              </w:rPr>
              <w:t>建筑物附属设备安装工程检测等资质范围；</w:t>
            </w:r>
          </w:p>
          <w:p>
            <w:pPr>
              <w:pStyle w:val="26"/>
              <w:spacing w:line="380" w:lineRule="exact"/>
              <w:rPr>
                <w:rFonts w:hAnsi="宋体"/>
                <w:color w:val="auto"/>
                <w:sz w:val="21"/>
              </w:rPr>
            </w:pPr>
            <w:r>
              <w:rPr>
                <w:rFonts w:hint="eastAsia" w:hAnsi="宋体"/>
                <w:color w:val="auto"/>
                <w:sz w:val="21"/>
              </w:rPr>
              <w:t xml:space="preserve"> (2)具备省级及以上质量技术监督部门颁发的检验检测机构资质认定证书；</w:t>
            </w:r>
          </w:p>
          <w:p>
            <w:pPr>
              <w:pStyle w:val="26"/>
              <w:spacing w:line="380" w:lineRule="exact"/>
              <w:rPr>
                <w:rFonts w:hAnsi="宋体"/>
                <w:color w:val="auto"/>
                <w:sz w:val="21"/>
              </w:rPr>
            </w:pPr>
            <w:r>
              <w:rPr>
                <w:rFonts w:hint="eastAsia" w:hAnsi="宋体"/>
                <w:color w:val="auto"/>
                <w:sz w:val="21"/>
              </w:rPr>
              <w:t>(3)</w:t>
            </w:r>
            <w:r>
              <w:rPr>
                <w:rFonts w:hAnsi="宋体"/>
                <w:color w:val="auto"/>
                <w:sz w:val="21"/>
              </w:rPr>
              <w:t>符合《</w:t>
            </w:r>
            <w:r>
              <w:rPr>
                <w:color w:val="auto"/>
              </w:rPr>
              <w:fldChar w:fldCharType="begin"/>
            </w:r>
            <w:r>
              <w:rPr>
                <w:color w:val="auto"/>
              </w:rPr>
              <w:instrText xml:space="preserve"> HYPERLINK "http://www.gxcic.net/HTMLFile/2013-02/shownews_167314.html" \t "_blank" </w:instrText>
            </w:r>
            <w:r>
              <w:rPr>
                <w:color w:val="auto"/>
              </w:rPr>
              <w:fldChar w:fldCharType="separate"/>
            </w:r>
            <w:r>
              <w:rPr>
                <w:rFonts w:hAnsi="宋体"/>
                <w:color w:val="auto"/>
                <w:sz w:val="21"/>
              </w:rPr>
              <w:t>广西壮族自治区建筑市场诚信卡管理暂行办法</w:t>
            </w:r>
            <w:r>
              <w:rPr>
                <w:rFonts w:hAnsi="宋体"/>
                <w:color w:val="auto"/>
                <w:sz w:val="21"/>
              </w:rPr>
              <w:fldChar w:fldCharType="end"/>
            </w:r>
            <w:r>
              <w:rPr>
                <w:rFonts w:hAnsi="宋体"/>
                <w:color w:val="auto"/>
                <w:sz w:val="21"/>
              </w:rPr>
              <w:t>》</w:t>
            </w:r>
            <w:r>
              <w:rPr>
                <w:rFonts w:hint="eastAsia" w:hAnsi="宋体"/>
                <w:color w:val="auto"/>
                <w:sz w:val="21"/>
              </w:rPr>
              <w:t>（</w:t>
            </w:r>
            <w:r>
              <w:rPr>
                <w:rFonts w:hAnsi="宋体"/>
                <w:color w:val="auto"/>
                <w:sz w:val="21"/>
              </w:rPr>
              <w:t>桂建管</w:t>
            </w:r>
            <w:r>
              <w:rPr>
                <w:rFonts w:hint="eastAsia" w:hAnsi="宋体"/>
                <w:color w:val="auto"/>
                <w:sz w:val="21"/>
              </w:rPr>
              <w:t>﹝2013﹞</w:t>
            </w:r>
            <w:r>
              <w:rPr>
                <w:rFonts w:hAnsi="宋体"/>
                <w:color w:val="auto"/>
                <w:sz w:val="21"/>
              </w:rPr>
              <w:t>17号</w:t>
            </w:r>
            <w:r>
              <w:rPr>
                <w:rFonts w:hint="eastAsia" w:hAnsi="宋体"/>
                <w:color w:val="auto"/>
                <w:sz w:val="21"/>
              </w:rPr>
              <w:t>）</w:t>
            </w:r>
            <w:r>
              <w:rPr>
                <w:rFonts w:hAnsi="宋体"/>
                <w:color w:val="auto"/>
                <w:sz w:val="21"/>
              </w:rPr>
              <w:t>和《关于加强广西建筑业企业诚信信息库日常维护管理的通知》（桂建管﹝2014﹞25号）</w:t>
            </w:r>
            <w:r>
              <w:rPr>
                <w:rFonts w:hint="eastAsia" w:hAnsi="宋体"/>
                <w:color w:val="auto"/>
                <w:sz w:val="21"/>
              </w:rPr>
              <w:t>的</w:t>
            </w:r>
            <w:r>
              <w:rPr>
                <w:rFonts w:hAnsi="宋体"/>
                <w:color w:val="auto"/>
                <w:sz w:val="21"/>
              </w:rPr>
              <w:t>要求，已办理诚信库入库手续并处于有效</w:t>
            </w:r>
            <w:r>
              <w:rPr>
                <w:rFonts w:hint="eastAsia" w:hAnsi="宋体"/>
                <w:color w:val="auto"/>
                <w:sz w:val="21"/>
              </w:rPr>
              <w:t>状态。</w:t>
            </w:r>
          </w:p>
          <w:p>
            <w:pPr>
              <w:snapToGrid w:val="0"/>
              <w:spacing w:line="340" w:lineRule="exact"/>
              <w:rPr>
                <w:rFonts w:ascii="宋体" w:hAnsi="宋体" w:cs="Arial"/>
                <w:color w:val="auto"/>
                <w:szCs w:val="21"/>
              </w:rPr>
            </w:pPr>
            <w:r>
              <w:rPr>
                <w:rFonts w:hint="eastAsia" w:ascii="宋体" w:hAnsi="宋体"/>
                <w:color w:val="auto"/>
                <w:szCs w:val="21"/>
              </w:rPr>
              <w:t>3.</w:t>
            </w:r>
            <w:r>
              <w:rPr>
                <w:rFonts w:hint="eastAsia" w:ascii="宋体" w:hAnsi="宋体" w:cs="Arial"/>
                <w:color w:val="auto"/>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276" w:lineRule="auto"/>
              <w:rPr>
                <w:rFonts w:hAnsi="宋体"/>
                <w:color w:val="auto"/>
                <w:szCs w:val="21"/>
              </w:rPr>
            </w:pPr>
            <w:r>
              <w:rPr>
                <w:rFonts w:hint="eastAsia" w:ascii="宋体" w:hAnsi="宋体" w:cs="Arial"/>
                <w:color w:val="auto"/>
                <w:szCs w:val="21"/>
              </w:rPr>
              <w:t>4.</w:t>
            </w:r>
            <w:r>
              <w:rPr>
                <w:rFonts w:hint="eastAsia"/>
                <w:color w:val="auto"/>
                <w:szCs w:val="21"/>
              </w:rPr>
              <w:t>根据最高人民法院等9部门《关于在招标投标活动中对失信被执行人实施联合惩戒的通知》（法〔2016〕285号）规定，投标人不得为失信被执行人（以评标阶段通过“信用中国”网站（www.creditchina.gov.cn）查询的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pStyle w:val="26"/>
              <w:spacing w:line="260" w:lineRule="exact"/>
              <w:jc w:val="center"/>
              <w:rPr>
                <w:rFonts w:hAnsi="宋体"/>
                <w:sz w:val="21"/>
              </w:rPr>
            </w:pPr>
            <w:r>
              <w:rPr>
                <w:rFonts w:hAnsi="宋体"/>
                <w:sz w:val="21"/>
              </w:rPr>
              <w:t>3.3</w:t>
            </w:r>
          </w:p>
        </w:tc>
        <w:tc>
          <w:tcPr>
            <w:tcW w:w="2182" w:type="dxa"/>
            <w:vAlign w:val="center"/>
          </w:tcPr>
          <w:p>
            <w:pPr>
              <w:pStyle w:val="26"/>
              <w:spacing w:line="360" w:lineRule="exact"/>
              <w:jc w:val="center"/>
              <w:rPr>
                <w:rFonts w:hAnsi="宋体"/>
                <w:sz w:val="21"/>
              </w:rPr>
            </w:pPr>
            <w:r>
              <w:rPr>
                <w:rFonts w:hint="eastAsia" w:hAnsi="宋体"/>
                <w:sz w:val="21"/>
              </w:rPr>
              <w:t>是否接受联合体磋商</w:t>
            </w:r>
          </w:p>
        </w:tc>
        <w:tc>
          <w:tcPr>
            <w:tcW w:w="6518" w:type="dxa"/>
            <w:vAlign w:val="center"/>
          </w:tcPr>
          <w:p>
            <w:pPr>
              <w:pStyle w:val="26"/>
              <w:spacing w:line="360" w:lineRule="exact"/>
              <w:ind w:firstLine="210" w:firstLineChars="100"/>
              <w:rPr>
                <w:rFonts w:hAnsi="宋体"/>
                <w:sz w:val="21"/>
              </w:rPr>
            </w:pPr>
            <w:r>
              <w:rPr>
                <w:rFonts w:hint="eastAsia" w:hAnsi="宋体"/>
                <w:sz w:val="21"/>
              </w:rPr>
              <w:t>本次采购</w:t>
            </w:r>
            <w:r>
              <w:rPr>
                <w:rFonts w:hint="eastAsia" w:hAnsi="宋体"/>
                <w:sz w:val="21"/>
                <w:u w:val="single"/>
              </w:rPr>
              <w:t>不接受</w:t>
            </w:r>
            <w:r>
              <w:rPr>
                <w:rFonts w:hint="eastAsia" w:hAnsi="宋体"/>
                <w:sz w:val="21"/>
              </w:rPr>
              <w:t>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pStyle w:val="26"/>
              <w:adjustRightInd w:val="0"/>
              <w:snapToGrid w:val="0"/>
              <w:spacing w:line="260" w:lineRule="exact"/>
              <w:jc w:val="center"/>
              <w:rPr>
                <w:rFonts w:hAnsi="宋体"/>
                <w:sz w:val="21"/>
              </w:rPr>
            </w:pPr>
            <w:r>
              <w:rPr>
                <w:rFonts w:hAnsi="宋体"/>
                <w:sz w:val="21"/>
              </w:rPr>
              <w:t>4.2</w:t>
            </w:r>
          </w:p>
        </w:tc>
        <w:tc>
          <w:tcPr>
            <w:tcW w:w="2182" w:type="dxa"/>
            <w:vAlign w:val="center"/>
          </w:tcPr>
          <w:p>
            <w:pPr>
              <w:pStyle w:val="26"/>
              <w:adjustRightInd w:val="0"/>
              <w:snapToGrid w:val="0"/>
              <w:spacing w:line="360" w:lineRule="exact"/>
              <w:jc w:val="center"/>
              <w:rPr>
                <w:rFonts w:hAnsi="宋体"/>
                <w:sz w:val="21"/>
              </w:rPr>
            </w:pPr>
            <w:r>
              <w:rPr>
                <w:rFonts w:hint="eastAsia" w:hAnsi="宋体"/>
                <w:sz w:val="21"/>
              </w:rPr>
              <w:t>质疑受理</w:t>
            </w:r>
          </w:p>
        </w:tc>
        <w:tc>
          <w:tcPr>
            <w:tcW w:w="6518" w:type="dxa"/>
            <w:vAlign w:val="center"/>
          </w:tcPr>
          <w:p>
            <w:pPr>
              <w:pStyle w:val="26"/>
              <w:adjustRightInd w:val="0"/>
              <w:snapToGrid w:val="0"/>
              <w:spacing w:line="360" w:lineRule="exact"/>
              <w:ind w:firstLine="210" w:firstLineChars="100"/>
              <w:rPr>
                <w:rFonts w:hAnsi="宋体"/>
                <w:sz w:val="21"/>
              </w:rPr>
            </w:pPr>
            <w:r>
              <w:rPr>
                <w:rFonts w:hint="eastAsia" w:hAnsi="宋体"/>
                <w:sz w:val="21"/>
              </w:rPr>
              <w:t>质疑书的提交地点：广西盛凯工程咨询有限公司（贵港市港北区布山路1456号天河花园北面4-2号商铺二楼）</w:t>
            </w:r>
          </w:p>
          <w:p>
            <w:pPr>
              <w:pStyle w:val="26"/>
              <w:adjustRightInd w:val="0"/>
              <w:snapToGrid w:val="0"/>
              <w:spacing w:line="360" w:lineRule="exact"/>
              <w:ind w:firstLine="210" w:firstLineChars="100"/>
              <w:rPr>
                <w:rFonts w:hAnsi="宋体"/>
                <w:sz w:val="21"/>
              </w:rPr>
            </w:pPr>
            <w:r>
              <w:rPr>
                <w:rFonts w:hint="eastAsia" w:hAnsi="宋体"/>
                <w:sz w:val="21"/>
              </w:rPr>
              <w:t>质疑受理电话：0775-4555745</w:t>
            </w:r>
          </w:p>
          <w:p>
            <w:pPr>
              <w:pStyle w:val="26"/>
              <w:adjustRightInd w:val="0"/>
              <w:snapToGrid w:val="0"/>
              <w:spacing w:line="360" w:lineRule="exact"/>
              <w:ind w:firstLine="210" w:firstLineChars="100"/>
              <w:rPr>
                <w:rFonts w:hAnsi="宋体"/>
                <w:sz w:val="21"/>
              </w:rPr>
            </w:pPr>
            <w:r>
              <w:rPr>
                <w:rFonts w:hint="eastAsia" w:hAnsi="宋体"/>
                <w:sz w:val="21"/>
              </w:rPr>
              <w:t>传    真：0775-4555745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71" w:type="dxa"/>
            <w:vAlign w:val="center"/>
          </w:tcPr>
          <w:p>
            <w:pPr>
              <w:pStyle w:val="26"/>
              <w:adjustRightInd w:val="0"/>
              <w:snapToGrid w:val="0"/>
              <w:spacing w:line="260" w:lineRule="exact"/>
              <w:jc w:val="center"/>
              <w:rPr>
                <w:rFonts w:hAnsi="宋体"/>
                <w:sz w:val="21"/>
              </w:rPr>
            </w:pPr>
            <w:r>
              <w:rPr>
                <w:rFonts w:hAnsi="宋体"/>
                <w:sz w:val="21"/>
              </w:rPr>
              <w:t>5.1</w:t>
            </w:r>
          </w:p>
        </w:tc>
        <w:tc>
          <w:tcPr>
            <w:tcW w:w="2182" w:type="dxa"/>
            <w:vAlign w:val="center"/>
          </w:tcPr>
          <w:p>
            <w:pPr>
              <w:pStyle w:val="26"/>
              <w:adjustRightInd w:val="0"/>
              <w:snapToGrid w:val="0"/>
              <w:spacing w:line="360" w:lineRule="exact"/>
              <w:jc w:val="center"/>
              <w:rPr>
                <w:rFonts w:hAnsi="宋体"/>
                <w:sz w:val="21"/>
              </w:rPr>
            </w:pPr>
            <w:r>
              <w:rPr>
                <w:rFonts w:hint="eastAsia" w:hAnsi="宋体"/>
                <w:sz w:val="21"/>
              </w:rPr>
              <w:t>投诉受理</w:t>
            </w:r>
          </w:p>
        </w:tc>
        <w:tc>
          <w:tcPr>
            <w:tcW w:w="6518" w:type="dxa"/>
            <w:vAlign w:val="center"/>
          </w:tcPr>
          <w:p>
            <w:pPr>
              <w:snapToGrid w:val="0"/>
              <w:spacing w:line="320" w:lineRule="exact"/>
              <w:rPr>
                <w:rFonts w:ascii="宋体" w:hAnsi="宋体" w:cs="宋体"/>
              </w:rPr>
            </w:pPr>
            <w:r>
              <w:rPr>
                <w:rFonts w:ascii="宋体" w:hAnsi="宋体" w:cs="宋体"/>
              </w:rPr>
              <w:t>监督部门: 贵港市港南区财政局政府采购监督管理股</w:t>
            </w:r>
          </w:p>
          <w:p>
            <w:pPr>
              <w:snapToGrid w:val="0"/>
              <w:spacing w:line="320" w:lineRule="exact"/>
              <w:rPr>
                <w:rFonts w:ascii="宋体"/>
                <w:szCs w:val="21"/>
              </w:rPr>
            </w:pPr>
            <w:r>
              <w:rPr>
                <w:rFonts w:hint="eastAsia" w:ascii="宋体" w:hAnsi="宋体"/>
                <w:szCs w:val="21"/>
              </w:rPr>
              <w:t>投诉受理电话：</w:t>
            </w:r>
            <w:r>
              <w:rPr>
                <w:rFonts w:ascii="宋体" w:hAnsi="宋体" w:cs="宋体"/>
                <w:kern w:val="0"/>
                <w:szCs w:val="21"/>
              </w:rPr>
              <w:t>077</w:t>
            </w:r>
            <w:r>
              <w:rPr>
                <w:rFonts w:hint="eastAsia" w:ascii="宋体" w:hAnsi="宋体" w:cs="宋体"/>
                <w:kern w:val="0"/>
                <w:szCs w:val="21"/>
              </w:rPr>
              <w:t>5-</w:t>
            </w:r>
            <w:r>
              <w:rPr>
                <w:rFonts w:ascii="宋体" w:hAnsi="宋体" w:cs="宋体"/>
              </w:rPr>
              <w:t>4327666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71" w:type="dxa"/>
            <w:vAlign w:val="center"/>
          </w:tcPr>
          <w:p>
            <w:pPr>
              <w:pStyle w:val="26"/>
              <w:spacing w:line="260" w:lineRule="exact"/>
              <w:jc w:val="center"/>
              <w:rPr>
                <w:rFonts w:hAnsi="宋体"/>
                <w:sz w:val="21"/>
              </w:rPr>
            </w:pPr>
            <w:r>
              <w:rPr>
                <w:rFonts w:hAnsi="宋体"/>
                <w:sz w:val="21"/>
              </w:rPr>
              <w:t>8.8</w:t>
            </w:r>
          </w:p>
        </w:tc>
        <w:tc>
          <w:tcPr>
            <w:tcW w:w="2182" w:type="dxa"/>
            <w:vAlign w:val="center"/>
          </w:tcPr>
          <w:p>
            <w:pPr>
              <w:pStyle w:val="26"/>
              <w:spacing w:line="360" w:lineRule="exact"/>
              <w:jc w:val="center"/>
              <w:rPr>
                <w:rFonts w:hAnsi="宋体"/>
                <w:sz w:val="21"/>
              </w:rPr>
            </w:pPr>
            <w:r>
              <w:rPr>
                <w:rFonts w:hint="eastAsia" w:hAnsi="宋体"/>
                <w:sz w:val="21"/>
              </w:rPr>
              <w:t>响应文件份数</w:t>
            </w:r>
          </w:p>
        </w:tc>
        <w:tc>
          <w:tcPr>
            <w:tcW w:w="6518" w:type="dxa"/>
            <w:vAlign w:val="center"/>
          </w:tcPr>
          <w:p>
            <w:pPr>
              <w:pStyle w:val="26"/>
              <w:spacing w:line="360" w:lineRule="exact"/>
              <w:ind w:firstLine="210" w:firstLineChars="100"/>
              <w:rPr>
                <w:rFonts w:hAnsi="宋体"/>
                <w:sz w:val="21"/>
              </w:rPr>
            </w:pPr>
            <w:r>
              <w:rPr>
                <w:rFonts w:hint="eastAsia" w:hAnsi="宋体"/>
                <w:sz w:val="21"/>
              </w:rPr>
              <w:t>正本</w:t>
            </w:r>
            <w:r>
              <w:rPr>
                <w:rFonts w:hAnsi="宋体"/>
                <w:sz w:val="21"/>
              </w:rPr>
              <w:t>1</w:t>
            </w:r>
            <w:r>
              <w:rPr>
                <w:rFonts w:hint="eastAsia" w:hAnsi="宋体"/>
                <w:sz w:val="21"/>
              </w:rPr>
              <w:t>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71" w:type="dxa"/>
            <w:vAlign w:val="center"/>
          </w:tcPr>
          <w:p>
            <w:pPr>
              <w:pStyle w:val="26"/>
              <w:spacing w:line="260" w:lineRule="exact"/>
              <w:jc w:val="center"/>
              <w:rPr>
                <w:rFonts w:hAnsi="宋体"/>
                <w:sz w:val="21"/>
              </w:rPr>
            </w:pPr>
            <w:r>
              <w:rPr>
                <w:rFonts w:hAnsi="宋体"/>
                <w:sz w:val="21"/>
              </w:rPr>
              <w:t>11.4</w:t>
            </w:r>
          </w:p>
        </w:tc>
        <w:tc>
          <w:tcPr>
            <w:tcW w:w="2182" w:type="dxa"/>
            <w:vAlign w:val="center"/>
          </w:tcPr>
          <w:p>
            <w:pPr>
              <w:autoSpaceDE w:val="0"/>
              <w:autoSpaceDN w:val="0"/>
              <w:spacing w:line="360" w:lineRule="exact"/>
              <w:jc w:val="center"/>
              <w:rPr>
                <w:rFonts w:ascii="宋体"/>
                <w:szCs w:val="21"/>
              </w:rPr>
            </w:pPr>
            <w:r>
              <w:rPr>
                <w:rFonts w:hint="eastAsia" w:ascii="宋体" w:hAnsi="宋体"/>
                <w:szCs w:val="21"/>
              </w:rPr>
              <w:t>采购代理服务费</w:t>
            </w:r>
          </w:p>
        </w:tc>
        <w:tc>
          <w:tcPr>
            <w:tcW w:w="6518" w:type="dxa"/>
            <w:vAlign w:val="center"/>
          </w:tcPr>
          <w:p>
            <w:pPr>
              <w:pStyle w:val="26"/>
              <w:snapToGrid w:val="0"/>
              <w:spacing w:line="360" w:lineRule="exact"/>
              <w:ind w:firstLine="210" w:firstLineChars="100"/>
              <w:outlineLvl w:val="1"/>
              <w:rPr>
                <w:rFonts w:hAnsi="宋体"/>
                <w:sz w:val="21"/>
              </w:rPr>
            </w:pPr>
            <w:bookmarkStart w:id="47" w:name="OLE_LINK44"/>
            <w:r>
              <w:rPr>
                <w:rFonts w:hint="eastAsia" w:hAnsi="宋体"/>
                <w:sz w:val="21"/>
              </w:rPr>
              <w:t>本项目招标代理服务费按国家发展改革委《关于进一步放开建设项目专业服务价格的通知》发改价格〔</w:t>
            </w:r>
            <w:r>
              <w:rPr>
                <w:rFonts w:hAnsi="宋体"/>
                <w:sz w:val="21"/>
              </w:rPr>
              <w:t>2015</w:t>
            </w:r>
            <w:r>
              <w:rPr>
                <w:rFonts w:hint="eastAsia" w:hAnsi="宋体"/>
                <w:sz w:val="21"/>
              </w:rPr>
              <w:t>〕</w:t>
            </w:r>
            <w:r>
              <w:rPr>
                <w:rFonts w:hAnsi="宋体"/>
                <w:sz w:val="21"/>
              </w:rPr>
              <w:t>299</w:t>
            </w:r>
            <w:r>
              <w:rPr>
                <w:rFonts w:hint="eastAsia" w:hAnsi="宋体"/>
                <w:sz w:val="21"/>
              </w:rPr>
              <w:t>号</w:t>
            </w:r>
            <w:r>
              <w:rPr>
                <w:rFonts w:hAnsi="宋体"/>
                <w:sz w:val="21"/>
              </w:rPr>
              <w:t>规定收取，</w:t>
            </w:r>
            <w:r>
              <w:rPr>
                <w:rFonts w:hint="eastAsia" w:hAnsi="宋体"/>
                <w:sz w:val="21"/>
              </w:rPr>
              <w:t>方式为成交人向采购代理机构支付。领取成交通知书前，成交人应向采购代理机构一次性付清代理服务费。</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vAlign w:val="center"/>
          </w:tcPr>
          <w:p>
            <w:pPr>
              <w:pStyle w:val="26"/>
              <w:spacing w:line="260" w:lineRule="exact"/>
              <w:jc w:val="center"/>
              <w:rPr>
                <w:rFonts w:hAnsi="宋体"/>
                <w:sz w:val="21"/>
              </w:rPr>
            </w:pPr>
            <w:r>
              <w:rPr>
                <w:rFonts w:hAnsi="宋体"/>
                <w:sz w:val="21"/>
              </w:rPr>
              <w:t>12.1</w:t>
            </w:r>
          </w:p>
        </w:tc>
        <w:tc>
          <w:tcPr>
            <w:tcW w:w="2182" w:type="dxa"/>
            <w:vAlign w:val="center"/>
          </w:tcPr>
          <w:p>
            <w:pPr>
              <w:pStyle w:val="26"/>
              <w:spacing w:line="360" w:lineRule="exact"/>
              <w:jc w:val="center"/>
              <w:rPr>
                <w:rFonts w:hAnsi="宋体"/>
                <w:sz w:val="21"/>
              </w:rPr>
            </w:pPr>
            <w:r>
              <w:rPr>
                <w:rFonts w:hint="eastAsia" w:hAnsi="宋体"/>
                <w:sz w:val="21"/>
              </w:rPr>
              <w:t>磋商有效期</w:t>
            </w:r>
          </w:p>
        </w:tc>
        <w:tc>
          <w:tcPr>
            <w:tcW w:w="6518" w:type="dxa"/>
            <w:vAlign w:val="center"/>
          </w:tcPr>
          <w:p>
            <w:pPr>
              <w:pStyle w:val="26"/>
              <w:spacing w:line="360" w:lineRule="exact"/>
              <w:ind w:firstLine="210" w:firstLineChars="100"/>
              <w:rPr>
                <w:rFonts w:hAnsi="宋体"/>
                <w:sz w:val="21"/>
              </w:rPr>
            </w:pPr>
            <w:r>
              <w:rPr>
                <w:rFonts w:hint="eastAsia" w:hAnsi="宋体"/>
                <w:sz w:val="21"/>
              </w:rPr>
              <w:t>自递交响应文件截止时间起</w:t>
            </w:r>
            <w:r>
              <w:rPr>
                <w:rFonts w:hAnsi="宋体"/>
                <w:sz w:val="21"/>
                <w:u w:val="single"/>
              </w:rPr>
              <w:t>60</w:t>
            </w:r>
            <w:r>
              <w:rPr>
                <w:rFonts w:hint="eastAsia" w:hAnsi="宋体"/>
                <w:sz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1" w:type="dxa"/>
            <w:vAlign w:val="center"/>
          </w:tcPr>
          <w:p>
            <w:pPr>
              <w:pStyle w:val="26"/>
              <w:spacing w:line="260" w:lineRule="exact"/>
              <w:jc w:val="center"/>
              <w:rPr>
                <w:rFonts w:hAnsi="宋体"/>
                <w:sz w:val="21"/>
              </w:rPr>
            </w:pPr>
            <w:r>
              <w:rPr>
                <w:rFonts w:hAnsi="宋体"/>
                <w:sz w:val="21"/>
              </w:rPr>
              <w:t>13.1</w:t>
            </w:r>
          </w:p>
        </w:tc>
        <w:tc>
          <w:tcPr>
            <w:tcW w:w="2182" w:type="dxa"/>
            <w:vAlign w:val="center"/>
          </w:tcPr>
          <w:p>
            <w:pPr>
              <w:pStyle w:val="26"/>
              <w:spacing w:line="360" w:lineRule="exact"/>
              <w:jc w:val="center"/>
              <w:rPr>
                <w:rFonts w:hAnsi="宋体"/>
                <w:color w:val="0000FF"/>
                <w:sz w:val="21"/>
              </w:rPr>
            </w:pPr>
            <w:r>
              <w:rPr>
                <w:rFonts w:hint="eastAsia" w:hAnsi="宋体"/>
                <w:sz w:val="21"/>
              </w:rPr>
              <w:t>磋商保证金金额</w:t>
            </w:r>
          </w:p>
        </w:tc>
        <w:tc>
          <w:tcPr>
            <w:tcW w:w="6518" w:type="dxa"/>
            <w:vAlign w:val="center"/>
          </w:tcPr>
          <w:p>
            <w:pPr>
              <w:pStyle w:val="26"/>
              <w:spacing w:line="360" w:lineRule="exact"/>
              <w:ind w:firstLine="210" w:firstLineChars="100"/>
              <w:rPr>
                <w:rFonts w:hAnsi="宋体"/>
                <w:color w:val="0000FF"/>
                <w:sz w:val="21"/>
              </w:rPr>
            </w:pPr>
            <w:r>
              <w:rPr>
                <w:rFonts w:hint="eastAsia"/>
                <w:color w:val="auto"/>
                <w:sz w:val="21"/>
              </w:rPr>
              <w:t>本项目不收取</w:t>
            </w:r>
            <w:r>
              <w:rPr>
                <w:rFonts w:hint="eastAsia" w:hAnsi="宋体"/>
                <w:color w:val="auto"/>
                <w:sz w:val="21"/>
              </w:rPr>
              <w:t>磋商保证金</w:t>
            </w:r>
            <w:r>
              <w:rPr>
                <w:rFonts w:hint="eastAsia"/>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71" w:type="dxa"/>
            <w:vAlign w:val="center"/>
          </w:tcPr>
          <w:p>
            <w:pPr>
              <w:pStyle w:val="26"/>
              <w:spacing w:line="260" w:lineRule="exact"/>
              <w:jc w:val="center"/>
              <w:rPr>
                <w:rFonts w:hAnsi="宋体"/>
                <w:sz w:val="21"/>
              </w:rPr>
            </w:pPr>
            <w:r>
              <w:rPr>
                <w:rFonts w:hAnsi="宋体"/>
                <w:sz w:val="21"/>
              </w:rPr>
              <w:t>15.1</w:t>
            </w:r>
          </w:p>
        </w:tc>
        <w:tc>
          <w:tcPr>
            <w:tcW w:w="2182" w:type="dxa"/>
            <w:vAlign w:val="center"/>
          </w:tcPr>
          <w:p>
            <w:pPr>
              <w:pStyle w:val="26"/>
              <w:jc w:val="center"/>
              <w:rPr>
                <w:rFonts w:hAnsi="宋体"/>
                <w:sz w:val="21"/>
              </w:rPr>
            </w:pPr>
            <w:r>
              <w:rPr>
                <w:rFonts w:hint="eastAsia" w:hAnsi="宋体"/>
                <w:sz w:val="21"/>
              </w:rPr>
              <w:t>递交响应文件</w:t>
            </w:r>
          </w:p>
          <w:p>
            <w:pPr>
              <w:pStyle w:val="26"/>
              <w:jc w:val="center"/>
              <w:rPr>
                <w:rFonts w:hAnsi="宋体"/>
                <w:sz w:val="21"/>
              </w:rPr>
            </w:pPr>
            <w:r>
              <w:rPr>
                <w:rFonts w:hint="eastAsia" w:hAnsi="宋体"/>
                <w:sz w:val="21"/>
              </w:rPr>
              <w:t>截止时间</w:t>
            </w:r>
          </w:p>
        </w:tc>
        <w:tc>
          <w:tcPr>
            <w:tcW w:w="6518" w:type="dxa"/>
            <w:vAlign w:val="center"/>
          </w:tcPr>
          <w:p>
            <w:pPr>
              <w:pStyle w:val="26"/>
              <w:spacing w:line="360" w:lineRule="exact"/>
              <w:ind w:firstLine="211" w:firstLineChars="100"/>
              <w:rPr>
                <w:rFonts w:hAnsi="宋体"/>
                <w:sz w:val="21"/>
                <w:u w:val="single"/>
              </w:rPr>
            </w:pPr>
            <w:r>
              <w:rPr>
                <w:rFonts w:hAnsi="宋体"/>
                <w:b/>
                <w:sz w:val="21"/>
                <w:u w:val="single"/>
              </w:rPr>
              <w:t>20</w:t>
            </w:r>
            <w:r>
              <w:rPr>
                <w:rFonts w:hint="eastAsia" w:hAnsi="宋体"/>
                <w:b/>
                <w:sz w:val="21"/>
                <w:u w:val="single"/>
              </w:rPr>
              <w:t>20</w:t>
            </w:r>
            <w:r>
              <w:rPr>
                <w:rFonts w:hint="eastAsia" w:hAnsi="宋体"/>
                <w:b/>
                <w:sz w:val="21"/>
              </w:rPr>
              <w:t>年</w:t>
            </w:r>
            <w:r>
              <w:rPr>
                <w:rFonts w:hint="eastAsia" w:hAnsi="宋体"/>
                <w:b/>
                <w:sz w:val="21"/>
                <w:u w:val="single"/>
              </w:rPr>
              <w:t xml:space="preserve">  11 </w:t>
            </w:r>
            <w:r>
              <w:rPr>
                <w:rFonts w:hint="eastAsia" w:hAnsi="宋体"/>
                <w:b/>
                <w:sz w:val="21"/>
              </w:rPr>
              <w:t>月</w:t>
            </w:r>
            <w:r>
              <w:rPr>
                <w:rFonts w:hint="eastAsia" w:hAnsi="宋体"/>
                <w:b/>
                <w:sz w:val="21"/>
                <w:u w:val="single"/>
              </w:rPr>
              <w:t xml:space="preserve"> 25  </w:t>
            </w:r>
            <w:r>
              <w:rPr>
                <w:rFonts w:hint="eastAsia" w:hAnsi="宋体"/>
                <w:b/>
                <w:sz w:val="21"/>
              </w:rPr>
              <w:t>日</w:t>
            </w:r>
            <w:r>
              <w:rPr>
                <w:rFonts w:hint="eastAsia" w:hAnsi="宋体"/>
                <w:b/>
                <w:sz w:val="21"/>
                <w:u w:val="single"/>
              </w:rPr>
              <w:t xml:space="preserve"> 15 </w:t>
            </w:r>
            <w:r>
              <w:rPr>
                <w:rFonts w:hint="eastAsia" w:hAnsi="宋体"/>
                <w:b/>
                <w:sz w:val="21"/>
              </w:rPr>
              <w:t>时</w:t>
            </w:r>
            <w:r>
              <w:rPr>
                <w:rFonts w:hint="eastAsia" w:hAnsi="宋体"/>
                <w:b/>
                <w:sz w:val="21"/>
                <w:u w:val="single"/>
              </w:rPr>
              <w:t xml:space="preserve"> 30 </w:t>
            </w:r>
            <w:r>
              <w:rPr>
                <w:rFonts w:hint="eastAsia" w:hAnsi="宋体"/>
                <w:b/>
                <w:sz w:val="21"/>
              </w:rPr>
              <w:t>分</w:t>
            </w:r>
            <w:r>
              <w:rPr>
                <w:rFonts w:hint="eastAsia"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vAlign w:val="center"/>
          </w:tcPr>
          <w:p>
            <w:pPr>
              <w:pStyle w:val="26"/>
              <w:spacing w:line="260" w:lineRule="exact"/>
              <w:jc w:val="center"/>
              <w:rPr>
                <w:rFonts w:hAnsi="宋体"/>
                <w:sz w:val="21"/>
              </w:rPr>
            </w:pPr>
            <w:r>
              <w:rPr>
                <w:rFonts w:hAnsi="宋体"/>
                <w:sz w:val="21"/>
              </w:rPr>
              <w:t>15.2</w:t>
            </w:r>
          </w:p>
        </w:tc>
        <w:tc>
          <w:tcPr>
            <w:tcW w:w="2182" w:type="dxa"/>
            <w:vAlign w:val="center"/>
          </w:tcPr>
          <w:p>
            <w:pPr>
              <w:pStyle w:val="26"/>
              <w:spacing w:line="360" w:lineRule="exact"/>
              <w:jc w:val="center"/>
              <w:rPr>
                <w:rFonts w:hAnsi="宋体"/>
                <w:sz w:val="21"/>
              </w:rPr>
            </w:pPr>
            <w:r>
              <w:rPr>
                <w:rFonts w:hint="eastAsia" w:hAnsi="宋体"/>
                <w:sz w:val="21"/>
              </w:rPr>
              <w:t>递交响应文件地点</w:t>
            </w:r>
          </w:p>
        </w:tc>
        <w:tc>
          <w:tcPr>
            <w:tcW w:w="6518" w:type="dxa"/>
            <w:vAlign w:val="center"/>
          </w:tcPr>
          <w:p>
            <w:pPr>
              <w:spacing w:line="320" w:lineRule="exact"/>
              <w:ind w:firstLine="210" w:firstLineChars="100"/>
              <w:rPr>
                <w:rFonts w:ascii="宋体"/>
                <w:szCs w:val="21"/>
              </w:rPr>
            </w:pPr>
            <w:r>
              <w:rPr>
                <w:rFonts w:hint="eastAsia" w:ascii="宋体" w:hAnsi="宋体"/>
                <w:szCs w:val="21"/>
              </w:rPr>
              <w:t>将响应文件密封提交到贵港市公共资源交易中心（贵港市港北区金城商业步行街与金田路交叉口东南150米水利大厦）2楼交易厅，逾期送达或未密封的将予以拒收（或作无效响应文件处理）。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71" w:type="dxa"/>
            <w:vAlign w:val="center"/>
          </w:tcPr>
          <w:p>
            <w:pPr>
              <w:pStyle w:val="26"/>
              <w:adjustRightInd w:val="0"/>
              <w:spacing w:line="260" w:lineRule="exact"/>
              <w:jc w:val="center"/>
              <w:rPr>
                <w:rFonts w:hAnsi="宋体"/>
                <w:sz w:val="21"/>
              </w:rPr>
            </w:pPr>
            <w:r>
              <w:rPr>
                <w:rFonts w:hAnsi="宋体"/>
                <w:sz w:val="21"/>
              </w:rPr>
              <w:t>17.4.8</w:t>
            </w:r>
            <w:r>
              <w:rPr>
                <w:rFonts w:hint="eastAsia" w:hAnsi="宋体"/>
                <w:sz w:val="21"/>
              </w:rPr>
              <w:t>（</w:t>
            </w:r>
            <w:r>
              <w:rPr>
                <w:rFonts w:hAnsi="宋体"/>
                <w:sz w:val="21"/>
              </w:rPr>
              <w:t>1</w:t>
            </w:r>
            <w:r>
              <w:rPr>
                <w:rFonts w:hint="eastAsia" w:hAnsi="宋体"/>
                <w:sz w:val="21"/>
              </w:rPr>
              <w:t>）</w:t>
            </w:r>
          </w:p>
        </w:tc>
        <w:tc>
          <w:tcPr>
            <w:tcW w:w="2182" w:type="dxa"/>
            <w:vAlign w:val="center"/>
          </w:tcPr>
          <w:p>
            <w:pPr>
              <w:autoSpaceDE w:val="0"/>
              <w:autoSpaceDN w:val="0"/>
              <w:adjustRightInd w:val="0"/>
              <w:spacing w:line="360" w:lineRule="exact"/>
              <w:jc w:val="center"/>
              <w:rPr>
                <w:rFonts w:ascii="宋体"/>
                <w:szCs w:val="21"/>
              </w:rPr>
            </w:pPr>
            <w:r>
              <w:rPr>
                <w:rFonts w:hint="eastAsia" w:ascii="宋体" w:hAnsi="宋体"/>
                <w:szCs w:val="21"/>
              </w:rPr>
              <w:t>磋商谈判地点</w:t>
            </w:r>
          </w:p>
        </w:tc>
        <w:tc>
          <w:tcPr>
            <w:tcW w:w="6518" w:type="dxa"/>
            <w:vAlign w:val="center"/>
          </w:tcPr>
          <w:p>
            <w:pPr>
              <w:pStyle w:val="26"/>
              <w:spacing w:line="360" w:lineRule="exact"/>
              <w:ind w:firstLine="210" w:firstLineChars="100"/>
              <w:rPr>
                <w:rFonts w:hAnsi="宋体" w:cs="宋体"/>
                <w:sz w:val="21"/>
              </w:rPr>
            </w:pPr>
            <w:r>
              <w:rPr>
                <w:rFonts w:hint="eastAsia" w:hAnsi="宋体" w:cs="宋体"/>
                <w:sz w:val="21"/>
              </w:rPr>
              <w:t>1、磋商时间：响应文件递交截止时间后为磋商小组与磋商供应商磋商时间，具体时间由代理机构广西盛凯工程咨询有限公司另行通知。</w:t>
            </w:r>
          </w:p>
          <w:p>
            <w:pPr>
              <w:pStyle w:val="26"/>
              <w:spacing w:line="360" w:lineRule="exact"/>
              <w:ind w:firstLine="210" w:firstLineChars="100"/>
              <w:rPr>
                <w:rFonts w:hAnsi="宋体"/>
                <w:sz w:val="21"/>
              </w:rPr>
            </w:pPr>
            <w:r>
              <w:rPr>
                <w:rFonts w:hint="eastAsia" w:hAnsi="宋体" w:cs="宋体"/>
                <w:sz w:val="21"/>
              </w:rPr>
              <w:t>2、磋商地点：贵港市公共资源交易中心（贵港市港北区金城商业步行街与金田路交叉口东南150米水利大厦）3楼评标室。</w:t>
            </w:r>
            <w:r>
              <w:rPr>
                <w:rFonts w:hint="eastAsia" w:hAnsi="宋体"/>
                <w:sz w:val="21"/>
              </w:rPr>
              <w:t>参加磋商的法定代表人或委托代理人必须持有效证件</w:t>
            </w:r>
            <w:r>
              <w:rPr>
                <w:rFonts w:hAnsi="宋体"/>
                <w:sz w:val="21"/>
              </w:rPr>
              <w:t>[</w:t>
            </w:r>
            <w:r>
              <w:rPr>
                <w:rFonts w:hint="eastAsia" w:hAnsi="宋体"/>
                <w:sz w:val="21"/>
              </w:rPr>
              <w:t>法定代表人凭身份证或委托代理人凭法人授权委托书原件和身份证</w:t>
            </w:r>
            <w:r>
              <w:rPr>
                <w:rFonts w:hAnsi="宋体"/>
                <w:sz w:val="21"/>
              </w:rPr>
              <w:t>]</w:t>
            </w:r>
            <w:r>
              <w:rPr>
                <w:rFonts w:hint="eastAsia" w:hAnsi="宋体"/>
                <w:sz w:val="21"/>
              </w:rPr>
              <w:t>依时到达指定地点等候当面磋商。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71" w:type="dxa"/>
            <w:vAlign w:val="center"/>
          </w:tcPr>
          <w:p>
            <w:pPr>
              <w:pStyle w:val="26"/>
              <w:adjustRightInd w:val="0"/>
              <w:spacing w:line="260" w:lineRule="exact"/>
              <w:jc w:val="center"/>
              <w:rPr>
                <w:rFonts w:hAnsi="宋体"/>
                <w:color w:val="FF0000"/>
                <w:sz w:val="21"/>
              </w:rPr>
            </w:pPr>
            <w:r>
              <w:rPr>
                <w:rFonts w:hint="eastAsia" w:hAnsi="宋体"/>
                <w:sz w:val="21"/>
              </w:rPr>
              <w:t>27</w:t>
            </w:r>
          </w:p>
        </w:tc>
        <w:tc>
          <w:tcPr>
            <w:tcW w:w="2182" w:type="dxa"/>
            <w:vAlign w:val="center"/>
          </w:tcPr>
          <w:p>
            <w:pPr>
              <w:autoSpaceDE w:val="0"/>
              <w:autoSpaceDN w:val="0"/>
              <w:adjustRightInd w:val="0"/>
              <w:spacing w:line="360" w:lineRule="exact"/>
              <w:jc w:val="center"/>
              <w:rPr>
                <w:rFonts w:ascii="宋体"/>
                <w:szCs w:val="21"/>
              </w:rPr>
            </w:pPr>
            <w:r>
              <w:rPr>
                <w:rFonts w:hint="eastAsia" w:ascii="宋体" w:hAnsi="宋体"/>
                <w:szCs w:val="21"/>
              </w:rPr>
              <w:t>履约保证金金额</w:t>
            </w:r>
          </w:p>
        </w:tc>
        <w:tc>
          <w:tcPr>
            <w:tcW w:w="6518" w:type="dxa"/>
            <w:vAlign w:val="center"/>
          </w:tcPr>
          <w:p>
            <w:pPr>
              <w:pStyle w:val="26"/>
              <w:spacing w:line="360" w:lineRule="exact"/>
              <w:rPr>
                <w:rFonts w:hAnsi="宋体"/>
                <w:sz w:val="21"/>
              </w:rPr>
            </w:pPr>
            <w:r>
              <w:rPr>
                <w:rFonts w:hint="eastAsia" w:hAnsi="宋体"/>
                <w:sz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71" w:type="dxa"/>
            <w:vAlign w:val="center"/>
          </w:tcPr>
          <w:p>
            <w:pPr>
              <w:pStyle w:val="26"/>
              <w:adjustRightInd w:val="0"/>
              <w:spacing w:line="260" w:lineRule="exact"/>
              <w:jc w:val="center"/>
              <w:rPr>
                <w:rFonts w:hAnsi="宋体"/>
                <w:sz w:val="21"/>
              </w:rPr>
            </w:pPr>
            <w:r>
              <w:rPr>
                <w:rFonts w:hAnsi="宋体"/>
                <w:sz w:val="21"/>
              </w:rPr>
              <w:t>28.1</w:t>
            </w:r>
          </w:p>
        </w:tc>
        <w:tc>
          <w:tcPr>
            <w:tcW w:w="2182" w:type="dxa"/>
            <w:vAlign w:val="center"/>
          </w:tcPr>
          <w:p>
            <w:pPr>
              <w:pStyle w:val="26"/>
              <w:spacing w:line="360" w:lineRule="exact"/>
              <w:jc w:val="center"/>
              <w:rPr>
                <w:rFonts w:hAnsi="宋体"/>
                <w:sz w:val="21"/>
              </w:rPr>
            </w:pPr>
            <w:r>
              <w:rPr>
                <w:rFonts w:hint="eastAsia" w:hAnsi="宋体"/>
                <w:sz w:val="21"/>
              </w:rPr>
              <w:t>需要补充的其他内容</w:t>
            </w:r>
          </w:p>
        </w:tc>
        <w:tc>
          <w:tcPr>
            <w:tcW w:w="6518" w:type="dxa"/>
            <w:vAlign w:val="center"/>
          </w:tcPr>
          <w:p>
            <w:pPr>
              <w:rPr>
                <w:rFonts w:ascii="宋体"/>
                <w:szCs w:val="21"/>
              </w:rPr>
            </w:pPr>
            <w:r>
              <w:rPr>
                <w:rFonts w:hint="eastAsia" w:ascii="宋体" w:hAnsi="宋体"/>
                <w:b/>
                <w:bCs/>
                <w:szCs w:val="21"/>
              </w:rPr>
              <w:t>解释权：</w:t>
            </w:r>
            <w:r>
              <w:rPr>
                <w:rFonts w:hint="eastAsia" w:ascii="宋体" w:hAnsi="宋体"/>
                <w:szCs w:val="21"/>
              </w:rPr>
              <w:t>本招标文件是根据国家相关法律及有关政策、法规和参照国际惯例编制，解释权属本招标代理机构。</w:t>
            </w:r>
          </w:p>
          <w:p>
            <w:pPr>
              <w:rPr>
                <w:rFonts w:ascii="宋体"/>
                <w:szCs w:val="21"/>
              </w:rPr>
            </w:pPr>
            <w:r>
              <w:rPr>
                <w:rFonts w:hint="eastAsia" w:ascii="宋体" w:hAnsi="宋体"/>
                <w:szCs w:val="21"/>
              </w:rPr>
              <w:t>本文件中描述磋商人的“</w:t>
            </w:r>
            <w:r>
              <w:rPr>
                <w:rFonts w:hint="eastAsia" w:ascii="宋体" w:hAnsi="宋体"/>
                <w:b/>
                <w:bCs/>
                <w:szCs w:val="21"/>
              </w:rPr>
              <w:t>公章”是</w:t>
            </w:r>
            <w:r>
              <w:rPr>
                <w:rFonts w:hint="eastAsia" w:ascii="宋体" w:hAnsi="宋体"/>
                <w:szCs w:val="21"/>
              </w:rPr>
              <w:t>指根据我国对公章的管理规定，用磋商人法定主体行为名称制作的印章，除本文件有特殊规定外，磋商人的财务章、部门章、分公司章、工会章、合同章、投标专用章、业务专用章及银行的转账章、现金收讫章、现金付讫章等其它形式印章均不能代替公章。</w:t>
            </w:r>
          </w:p>
        </w:tc>
      </w:tr>
    </w:tbl>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r>
        <w:rPr>
          <w:rFonts w:ascii="宋体" w:hAnsi="宋体"/>
          <w:b/>
          <w:color w:val="000000"/>
          <w:sz w:val="32"/>
          <w:szCs w:val="32"/>
        </w:rPr>
        <w:br w:type="page"/>
      </w:r>
    </w:p>
    <w:p>
      <w:pPr>
        <w:pStyle w:val="26"/>
        <w:jc w:val="center"/>
        <w:outlineLvl w:val="1"/>
        <w:rPr>
          <w:rFonts w:hAnsi="宋体"/>
          <w:b/>
          <w:sz w:val="28"/>
          <w:szCs w:val="28"/>
        </w:rPr>
      </w:pPr>
      <w:r>
        <w:rPr>
          <w:rFonts w:hint="eastAsia" w:hAnsi="宋体"/>
          <w:b/>
          <w:color w:val="000000"/>
          <w:sz w:val="32"/>
          <w:szCs w:val="32"/>
        </w:rPr>
        <w:t xml:space="preserve">  </w:t>
      </w:r>
      <w:bookmarkStart w:id="48" w:name="_Toc452041905"/>
      <w:r>
        <w:rPr>
          <w:rFonts w:hint="eastAsia" w:hAnsi="宋体"/>
          <w:b/>
          <w:sz w:val="30"/>
          <w:szCs w:val="30"/>
        </w:rPr>
        <w:t>一、总则</w:t>
      </w:r>
      <w:bookmarkEnd w:id="48"/>
    </w:p>
    <w:p>
      <w:pPr>
        <w:spacing w:line="360" w:lineRule="exact"/>
        <w:ind w:firstLine="207" w:firstLineChars="98"/>
        <w:rPr>
          <w:rFonts w:ascii="宋体"/>
          <w:b/>
          <w:bCs/>
          <w:szCs w:val="21"/>
        </w:rPr>
      </w:pPr>
      <w:r>
        <w:rPr>
          <w:rFonts w:ascii="宋体" w:hAnsi="宋体"/>
          <w:b/>
          <w:bCs/>
          <w:szCs w:val="21"/>
        </w:rPr>
        <w:t>1</w:t>
      </w:r>
      <w:r>
        <w:rPr>
          <w:rFonts w:hint="eastAsia" w:ascii="宋体" w:hAnsi="宋体"/>
          <w:b/>
          <w:bCs/>
          <w:szCs w:val="21"/>
        </w:rPr>
        <w:t>、项目概况：</w:t>
      </w:r>
    </w:p>
    <w:p>
      <w:pPr>
        <w:spacing w:line="360" w:lineRule="exact"/>
        <w:ind w:firstLine="210" w:firstLineChars="100"/>
        <w:rPr>
          <w:rFonts w:ascii="宋体"/>
          <w:bCs/>
          <w:szCs w:val="21"/>
        </w:rPr>
      </w:pPr>
      <w:r>
        <w:rPr>
          <w:rFonts w:ascii="宋体" w:hAnsi="宋体"/>
          <w:bCs/>
          <w:szCs w:val="21"/>
        </w:rPr>
        <w:t xml:space="preserve">1.1  </w:t>
      </w:r>
      <w:r>
        <w:rPr>
          <w:rFonts w:hint="eastAsia" w:ascii="宋体" w:hAnsi="宋体"/>
          <w:bCs/>
          <w:szCs w:val="21"/>
        </w:rPr>
        <w:t>采购人：见磋商供应商须知前附表。</w:t>
      </w:r>
    </w:p>
    <w:p>
      <w:pPr>
        <w:spacing w:line="360" w:lineRule="exact"/>
        <w:ind w:firstLine="210" w:firstLineChars="100"/>
        <w:rPr>
          <w:rFonts w:ascii="宋体"/>
          <w:bCs/>
          <w:szCs w:val="21"/>
        </w:rPr>
      </w:pPr>
      <w:r>
        <w:rPr>
          <w:rFonts w:ascii="宋体" w:hAnsi="宋体"/>
          <w:bCs/>
          <w:szCs w:val="21"/>
        </w:rPr>
        <w:t xml:space="preserve">1.2  </w:t>
      </w:r>
      <w:r>
        <w:rPr>
          <w:rFonts w:hint="eastAsia" w:ascii="宋体" w:hAnsi="宋体"/>
          <w:bCs/>
          <w:szCs w:val="21"/>
        </w:rPr>
        <w:t>采购代理机构：见磋商供应商须知前附表。</w:t>
      </w:r>
    </w:p>
    <w:p>
      <w:pPr>
        <w:spacing w:line="360" w:lineRule="exact"/>
        <w:ind w:firstLine="210" w:firstLineChars="100"/>
        <w:rPr>
          <w:rFonts w:ascii="宋体"/>
          <w:bCs/>
          <w:szCs w:val="21"/>
        </w:rPr>
      </w:pPr>
      <w:r>
        <w:rPr>
          <w:rFonts w:ascii="宋体" w:hAnsi="宋体"/>
          <w:szCs w:val="21"/>
        </w:rPr>
        <w:t xml:space="preserve">1.3  </w:t>
      </w:r>
      <w:r>
        <w:rPr>
          <w:rFonts w:hint="eastAsia" w:ascii="宋体" w:hAnsi="宋体"/>
          <w:szCs w:val="21"/>
        </w:rPr>
        <w:t>项目名称：</w:t>
      </w:r>
      <w:r>
        <w:rPr>
          <w:rFonts w:hint="eastAsia" w:ascii="宋体" w:hAnsi="宋体"/>
          <w:bCs/>
          <w:szCs w:val="21"/>
        </w:rPr>
        <w:t>见磋商供应商须知前附表。</w:t>
      </w:r>
    </w:p>
    <w:p>
      <w:pPr>
        <w:spacing w:line="360" w:lineRule="exact"/>
        <w:ind w:firstLine="210" w:firstLineChars="100"/>
        <w:rPr>
          <w:rFonts w:ascii="宋体"/>
          <w:bCs/>
          <w:szCs w:val="21"/>
        </w:rPr>
      </w:pPr>
      <w:r>
        <w:rPr>
          <w:rFonts w:ascii="宋体" w:hAnsi="宋体"/>
          <w:szCs w:val="21"/>
        </w:rPr>
        <w:t xml:space="preserve">1.4  </w:t>
      </w:r>
      <w:r>
        <w:rPr>
          <w:rFonts w:hint="eastAsia" w:ascii="宋体" w:hAnsi="宋体"/>
          <w:szCs w:val="21"/>
        </w:rPr>
        <w:t>项目编号：</w:t>
      </w:r>
      <w:r>
        <w:rPr>
          <w:rFonts w:hint="eastAsia" w:ascii="宋体" w:hAnsi="宋体"/>
          <w:bCs/>
          <w:szCs w:val="21"/>
        </w:rPr>
        <w:t>见磋商供应商须知前附表。</w:t>
      </w:r>
    </w:p>
    <w:p>
      <w:pPr>
        <w:spacing w:line="360" w:lineRule="exact"/>
        <w:ind w:firstLine="210" w:firstLineChars="100"/>
        <w:rPr>
          <w:rFonts w:ascii="宋体"/>
          <w:bCs/>
          <w:szCs w:val="21"/>
        </w:rPr>
      </w:pPr>
      <w:r>
        <w:rPr>
          <w:rFonts w:ascii="宋体" w:hAnsi="宋体"/>
          <w:bCs/>
          <w:szCs w:val="21"/>
        </w:rPr>
        <w:t xml:space="preserve">1.5  </w:t>
      </w:r>
      <w:r>
        <w:rPr>
          <w:rFonts w:hint="eastAsia" w:ascii="宋体" w:hAnsi="宋体"/>
          <w:bCs/>
          <w:szCs w:val="21"/>
        </w:rPr>
        <w:t>采购预算：见磋商供应商须知前附表。</w:t>
      </w:r>
    </w:p>
    <w:p>
      <w:pPr>
        <w:spacing w:line="360" w:lineRule="exact"/>
        <w:ind w:firstLine="210" w:firstLineChars="100"/>
        <w:rPr>
          <w:rFonts w:ascii="宋体"/>
          <w:bCs/>
          <w:szCs w:val="21"/>
        </w:rPr>
      </w:pPr>
      <w:r>
        <w:rPr>
          <w:rFonts w:ascii="宋体" w:hAnsi="宋体"/>
          <w:bCs/>
          <w:szCs w:val="21"/>
        </w:rPr>
        <w:t xml:space="preserve">1.6  </w:t>
      </w:r>
      <w:r>
        <w:rPr>
          <w:rFonts w:hint="eastAsia" w:ascii="宋体" w:hAnsi="宋体"/>
          <w:bCs/>
          <w:szCs w:val="21"/>
        </w:rPr>
        <w:t>资金来源：</w:t>
      </w:r>
      <w:r>
        <w:rPr>
          <w:rFonts w:hint="eastAsia" w:ascii="宋体" w:hAnsi="宋体"/>
          <w:szCs w:val="21"/>
        </w:rPr>
        <w:t>自筹资金</w:t>
      </w:r>
      <w:r>
        <w:rPr>
          <w:rFonts w:hint="eastAsia" w:ascii="宋体" w:hAnsi="宋体"/>
          <w:bCs/>
          <w:szCs w:val="21"/>
        </w:rPr>
        <w:t>。</w:t>
      </w:r>
    </w:p>
    <w:p>
      <w:pPr>
        <w:spacing w:line="360" w:lineRule="exact"/>
        <w:ind w:firstLine="210" w:firstLineChars="100"/>
        <w:rPr>
          <w:rFonts w:ascii="宋体"/>
          <w:bCs/>
          <w:szCs w:val="21"/>
        </w:rPr>
      </w:pPr>
      <w:r>
        <w:rPr>
          <w:rFonts w:ascii="宋体" w:hAnsi="宋体"/>
          <w:bCs/>
          <w:szCs w:val="21"/>
        </w:rPr>
        <w:t xml:space="preserve">1.7  </w:t>
      </w:r>
      <w:r>
        <w:rPr>
          <w:rFonts w:hint="eastAsia" w:ascii="宋体" w:hAnsi="宋体"/>
          <w:szCs w:val="21"/>
        </w:rPr>
        <w:t>报名、获取竞争性磋商文件的时间、地点、方式及竞争性磋商文件售价：</w:t>
      </w:r>
      <w:r>
        <w:rPr>
          <w:rFonts w:hint="eastAsia" w:ascii="宋体" w:hAnsi="宋体"/>
          <w:bCs/>
          <w:szCs w:val="21"/>
        </w:rPr>
        <w:t>见磋商供应商须知前附表。</w:t>
      </w:r>
    </w:p>
    <w:p>
      <w:pPr>
        <w:spacing w:line="360" w:lineRule="exact"/>
        <w:ind w:firstLine="210" w:firstLineChars="100"/>
        <w:rPr>
          <w:rFonts w:ascii="宋体"/>
          <w:bCs/>
          <w:szCs w:val="21"/>
        </w:rPr>
      </w:pPr>
      <w:r>
        <w:rPr>
          <w:rFonts w:ascii="宋体" w:hAnsi="宋体"/>
          <w:bCs/>
          <w:szCs w:val="21"/>
        </w:rPr>
        <w:t xml:space="preserve">1.8  </w:t>
      </w:r>
      <w:r>
        <w:rPr>
          <w:rFonts w:hint="eastAsia" w:ascii="宋体" w:hAnsi="宋体"/>
          <w:bCs/>
          <w:szCs w:val="21"/>
        </w:rPr>
        <w:t>落实的政府采购政策：见磋商供应商须知前附表。</w:t>
      </w:r>
    </w:p>
    <w:p>
      <w:pPr>
        <w:spacing w:line="360" w:lineRule="exact"/>
        <w:ind w:firstLine="207" w:firstLineChars="98"/>
        <w:rPr>
          <w:rFonts w:ascii="宋体"/>
          <w:b/>
          <w:bCs/>
          <w:szCs w:val="21"/>
        </w:rPr>
      </w:pPr>
      <w:r>
        <w:rPr>
          <w:rFonts w:ascii="宋体" w:hAnsi="宋体"/>
          <w:b/>
          <w:bCs/>
          <w:szCs w:val="21"/>
        </w:rPr>
        <w:t>2</w:t>
      </w:r>
      <w:r>
        <w:rPr>
          <w:rFonts w:hint="eastAsia" w:ascii="宋体" w:hAnsi="宋体"/>
          <w:b/>
          <w:bCs/>
          <w:szCs w:val="21"/>
        </w:rPr>
        <w:t>、采购信息发布媒体：</w:t>
      </w:r>
    </w:p>
    <w:p>
      <w:pPr>
        <w:spacing w:line="360" w:lineRule="exact"/>
        <w:ind w:firstLine="210" w:firstLineChars="100"/>
        <w:rPr>
          <w:rFonts w:ascii="宋体"/>
          <w:bCs/>
          <w:szCs w:val="21"/>
        </w:rPr>
      </w:pPr>
      <w:r>
        <w:rPr>
          <w:rFonts w:ascii="宋体" w:hAnsi="宋体"/>
          <w:bCs/>
          <w:szCs w:val="21"/>
        </w:rPr>
        <w:t xml:space="preserve">2.1  </w:t>
      </w:r>
      <w:r>
        <w:rPr>
          <w:rFonts w:hint="eastAsia" w:ascii="宋体" w:hAnsi="宋体"/>
          <w:bCs/>
          <w:szCs w:val="21"/>
        </w:rPr>
        <w:t>与本项目相关的政府采购业务信息（包括竞争性磋商采购公告、成交公告及其更正事项等）将在以下媒体上发布：</w:t>
      </w:r>
      <w:r>
        <w:rPr>
          <w:rFonts w:hint="eastAsia" w:ascii="宋体" w:hAnsi="宋体"/>
          <w:szCs w:val="21"/>
        </w:rPr>
        <w:t>中国政府采购网、</w:t>
      </w:r>
      <w:r>
        <w:rPr>
          <w:rFonts w:hint="eastAsia" w:ascii="宋体" w:hAnsi="宋体" w:cs="宋体"/>
          <w:kern w:val="0"/>
          <w:szCs w:val="21"/>
        </w:rPr>
        <w:t>广西壮族自治区政府采购网、贵港市政府采购网、贵港市公共资源交易中心网发布。</w:t>
      </w:r>
    </w:p>
    <w:p>
      <w:pPr>
        <w:spacing w:line="360" w:lineRule="exact"/>
        <w:ind w:firstLine="207" w:firstLineChars="98"/>
        <w:rPr>
          <w:rFonts w:ascii="宋体"/>
          <w:b/>
          <w:bCs/>
          <w:szCs w:val="21"/>
        </w:rPr>
      </w:pPr>
      <w:r>
        <w:rPr>
          <w:rFonts w:ascii="宋体" w:hAnsi="宋体"/>
          <w:b/>
          <w:bCs/>
          <w:szCs w:val="21"/>
        </w:rPr>
        <w:t>3</w:t>
      </w:r>
      <w:r>
        <w:rPr>
          <w:rFonts w:hint="eastAsia" w:ascii="宋体" w:hAnsi="宋体"/>
          <w:b/>
          <w:bCs/>
          <w:szCs w:val="21"/>
        </w:rPr>
        <w:t>、竞争性磋商供应商资格要求：</w:t>
      </w:r>
    </w:p>
    <w:p>
      <w:pPr>
        <w:spacing w:line="360" w:lineRule="exact"/>
        <w:ind w:firstLine="210" w:firstLineChars="100"/>
        <w:rPr>
          <w:rFonts w:ascii="宋体"/>
          <w:bCs/>
          <w:szCs w:val="21"/>
        </w:rPr>
      </w:pPr>
      <w:r>
        <w:rPr>
          <w:rFonts w:ascii="宋体" w:hAnsi="宋体"/>
          <w:bCs/>
          <w:szCs w:val="21"/>
        </w:rPr>
        <w:t xml:space="preserve">3.1  </w:t>
      </w:r>
      <w:r>
        <w:rPr>
          <w:rFonts w:hint="eastAsia" w:ascii="宋体" w:hAnsi="宋体"/>
          <w:bCs/>
          <w:szCs w:val="21"/>
        </w:rPr>
        <w:t>磋商供应商应具备下列条件：</w:t>
      </w:r>
    </w:p>
    <w:p>
      <w:pPr>
        <w:spacing w:line="360" w:lineRule="exact"/>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）具有独立承担民事责任的能力；</w:t>
      </w:r>
    </w:p>
    <w:p>
      <w:pPr>
        <w:spacing w:line="360" w:lineRule="exact"/>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）具有良好的商业信誉；</w:t>
      </w:r>
    </w:p>
    <w:p>
      <w:pPr>
        <w:spacing w:line="360" w:lineRule="exact"/>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）具有履行合同所必需的设备和专业技术能力；</w:t>
      </w:r>
    </w:p>
    <w:p>
      <w:pPr>
        <w:spacing w:line="360" w:lineRule="exact"/>
        <w:rPr>
          <w:rFonts w:ascii="宋体"/>
          <w:bCs/>
          <w:szCs w:val="21"/>
        </w:rPr>
      </w:pPr>
      <w:r>
        <w:rPr>
          <w:rFonts w:hint="eastAsia" w:ascii="宋体" w:hAnsi="宋体"/>
          <w:bCs/>
          <w:szCs w:val="21"/>
        </w:rPr>
        <w:t>（</w:t>
      </w:r>
      <w:r>
        <w:rPr>
          <w:rFonts w:ascii="宋体" w:hAnsi="宋体"/>
          <w:bCs/>
          <w:szCs w:val="21"/>
        </w:rPr>
        <w:t>4</w:t>
      </w:r>
      <w:r>
        <w:rPr>
          <w:rFonts w:hint="eastAsia" w:ascii="宋体" w:hAnsi="宋体"/>
          <w:bCs/>
          <w:szCs w:val="21"/>
        </w:rPr>
        <w:t>）参加政府采购活动前三年内，在经营活动中没有重大违法记录；</w:t>
      </w:r>
    </w:p>
    <w:p>
      <w:pPr>
        <w:spacing w:line="360" w:lineRule="exact"/>
        <w:rPr>
          <w:rFonts w:ascii="宋体"/>
          <w:bCs/>
          <w:szCs w:val="21"/>
        </w:rPr>
      </w:pPr>
      <w:r>
        <w:rPr>
          <w:rFonts w:hint="eastAsia" w:ascii="宋体" w:hAnsi="宋体"/>
          <w:bCs/>
          <w:szCs w:val="21"/>
        </w:rPr>
        <w:t>（</w:t>
      </w:r>
      <w:r>
        <w:rPr>
          <w:rFonts w:ascii="宋体" w:hAnsi="宋体"/>
          <w:bCs/>
          <w:szCs w:val="21"/>
        </w:rPr>
        <w:t>5</w:t>
      </w:r>
      <w:r>
        <w:rPr>
          <w:rFonts w:hint="eastAsia" w:ascii="宋体" w:hAnsi="宋体"/>
          <w:bCs/>
          <w:szCs w:val="21"/>
        </w:rPr>
        <w:t>）法律、行政法规规定的其他条件。</w:t>
      </w:r>
    </w:p>
    <w:p>
      <w:pPr>
        <w:spacing w:line="360" w:lineRule="exact"/>
        <w:ind w:firstLine="210" w:firstLineChars="100"/>
        <w:rPr>
          <w:rFonts w:ascii="宋体"/>
          <w:bCs/>
          <w:szCs w:val="21"/>
        </w:rPr>
      </w:pPr>
      <w:r>
        <w:rPr>
          <w:rFonts w:ascii="宋体" w:hAnsi="宋体"/>
          <w:bCs/>
          <w:szCs w:val="21"/>
        </w:rPr>
        <w:t xml:space="preserve">3.2  </w:t>
      </w:r>
      <w:r>
        <w:rPr>
          <w:rFonts w:hint="eastAsia" w:ascii="宋体" w:hAnsi="宋体"/>
          <w:bCs/>
          <w:szCs w:val="21"/>
        </w:rPr>
        <w:t>针对本项目，磋商供应商应具备的特定条件：见磋商供应商须知前附表。</w:t>
      </w:r>
    </w:p>
    <w:p>
      <w:pPr>
        <w:spacing w:line="360" w:lineRule="exact"/>
        <w:ind w:firstLine="210" w:firstLineChars="100"/>
        <w:rPr>
          <w:rFonts w:ascii="宋体"/>
          <w:bCs/>
          <w:szCs w:val="21"/>
        </w:rPr>
      </w:pPr>
      <w:r>
        <w:rPr>
          <w:rFonts w:ascii="宋体" w:hAnsi="宋体"/>
          <w:bCs/>
          <w:szCs w:val="21"/>
        </w:rPr>
        <w:t xml:space="preserve">3.3  </w:t>
      </w:r>
      <w:r>
        <w:rPr>
          <w:rFonts w:hint="eastAsia" w:ascii="宋体" w:hAnsi="宋体"/>
          <w:bCs/>
          <w:szCs w:val="21"/>
        </w:rPr>
        <w:t>磋商供应商须知前附表规定不接受联合体磋商。</w:t>
      </w:r>
    </w:p>
    <w:p>
      <w:pPr>
        <w:spacing w:line="360" w:lineRule="exact"/>
        <w:ind w:firstLine="210" w:firstLineChars="100"/>
        <w:rPr>
          <w:rFonts w:ascii="宋体"/>
          <w:bCs/>
          <w:szCs w:val="21"/>
        </w:rPr>
      </w:pPr>
      <w:r>
        <w:rPr>
          <w:rFonts w:ascii="宋体" w:hAnsi="宋体"/>
          <w:bCs/>
          <w:szCs w:val="21"/>
        </w:rPr>
        <w:t xml:space="preserve">3.4  </w:t>
      </w:r>
      <w:r>
        <w:rPr>
          <w:rFonts w:hint="eastAsia" w:ascii="宋体" w:hAnsi="宋体"/>
          <w:szCs w:val="21"/>
        </w:rPr>
        <w:t>磋商供应商不得直接或间接地与为本次采购的项目内容进行设计、编制规范和其他文件的咨询公司、采购人、采购代理机构或其附属机构有任何关联。</w:t>
      </w:r>
    </w:p>
    <w:p>
      <w:pPr>
        <w:spacing w:line="360" w:lineRule="exact"/>
        <w:ind w:firstLine="207" w:firstLineChars="98"/>
        <w:rPr>
          <w:rFonts w:ascii="宋体"/>
          <w:b/>
          <w:bCs/>
          <w:szCs w:val="21"/>
        </w:rPr>
      </w:pPr>
      <w:r>
        <w:rPr>
          <w:rFonts w:ascii="宋体" w:hAnsi="宋体"/>
          <w:b/>
          <w:bCs/>
          <w:szCs w:val="21"/>
        </w:rPr>
        <w:t>4</w:t>
      </w:r>
      <w:r>
        <w:rPr>
          <w:rFonts w:hint="eastAsia" w:ascii="宋体" w:hAnsi="宋体"/>
          <w:b/>
          <w:bCs/>
          <w:szCs w:val="21"/>
        </w:rPr>
        <w:t>、质疑：</w:t>
      </w:r>
    </w:p>
    <w:p>
      <w:pPr>
        <w:spacing w:line="360" w:lineRule="exact"/>
        <w:ind w:firstLine="210" w:firstLineChars="100"/>
        <w:rPr>
          <w:rFonts w:ascii="宋体"/>
          <w:szCs w:val="21"/>
        </w:rPr>
      </w:pPr>
      <w:r>
        <w:rPr>
          <w:rFonts w:ascii="宋体" w:hAnsi="宋体"/>
          <w:bCs/>
          <w:szCs w:val="21"/>
        </w:rPr>
        <w:t xml:space="preserve">4.1  </w:t>
      </w:r>
      <w:r>
        <w:rPr>
          <w:rFonts w:hint="eastAsia" w:ascii="宋体" w:hAnsi="宋体"/>
          <w:bCs/>
          <w:szCs w:val="21"/>
        </w:rPr>
        <w:t>磋商供应商</w:t>
      </w:r>
      <w:r>
        <w:rPr>
          <w:rFonts w:hint="eastAsia" w:ascii="宋体" w:hAnsi="宋体"/>
          <w:szCs w:val="21"/>
        </w:rPr>
        <w:t>对政府采购活动事项有疑问的，可以向采购人或</w:t>
      </w:r>
      <w:r>
        <w:rPr>
          <w:rFonts w:hint="eastAsia" w:ascii="宋体" w:hAnsi="宋体"/>
          <w:bCs/>
          <w:szCs w:val="21"/>
        </w:rPr>
        <w:t>采购代理机构提出询问</w:t>
      </w:r>
      <w:r>
        <w:rPr>
          <w:rFonts w:hint="eastAsia" w:ascii="宋体" w:hAnsi="宋体"/>
          <w:szCs w:val="21"/>
        </w:rPr>
        <w:t>；</w:t>
      </w:r>
    </w:p>
    <w:p>
      <w:pPr>
        <w:spacing w:line="360" w:lineRule="exact"/>
        <w:ind w:firstLine="210" w:firstLineChars="100"/>
        <w:rPr>
          <w:rFonts w:ascii="宋体"/>
          <w:bCs/>
          <w:szCs w:val="21"/>
        </w:rPr>
      </w:pPr>
      <w:r>
        <w:rPr>
          <w:rFonts w:ascii="宋体" w:hAnsi="宋体"/>
          <w:szCs w:val="21"/>
        </w:rPr>
        <w:t xml:space="preserve">4.2  </w:t>
      </w:r>
      <w:r>
        <w:rPr>
          <w:rFonts w:hint="eastAsia" w:ascii="宋体" w:hAnsi="宋体"/>
          <w:bCs/>
          <w:szCs w:val="21"/>
        </w:rPr>
        <w:t>磋商供应商如</w:t>
      </w:r>
      <w:r>
        <w:rPr>
          <w:rFonts w:hint="eastAsia" w:ascii="宋体" w:hAnsi="宋体"/>
          <w:szCs w:val="21"/>
        </w:rPr>
        <w:t>认为竞争性磋商采购文件使自己的权益受到损害的，可以在知道或者应知其权益受到损害之日起七个工作日内以书面形式向采购代理机构提出质疑</w:t>
      </w:r>
      <w:r>
        <w:rPr>
          <w:rFonts w:hint="eastAsia" w:ascii="宋体" w:hAnsi="宋体"/>
          <w:bCs/>
          <w:szCs w:val="21"/>
        </w:rPr>
        <w:t>；递交响应文件截止时间后，采购代理机构不再受理对竞争性磋商采购文件的询问或质疑。磋商供应商认为</w:t>
      </w:r>
      <w:r>
        <w:rPr>
          <w:rFonts w:hint="eastAsia" w:ascii="宋体" w:hAnsi="宋体"/>
          <w:szCs w:val="21"/>
        </w:rPr>
        <w:t>采购过程和成交结果使自己的权益受到损害的，可</w:t>
      </w:r>
      <w:r>
        <w:rPr>
          <w:rFonts w:hint="eastAsia" w:ascii="宋体" w:hAnsi="宋体"/>
          <w:bCs/>
          <w:szCs w:val="21"/>
        </w:rPr>
        <w:t>以</w:t>
      </w:r>
      <w:r>
        <w:rPr>
          <w:rFonts w:hint="eastAsia" w:ascii="宋体" w:hAnsi="宋体"/>
          <w:szCs w:val="21"/>
        </w:rPr>
        <w:t>在知道或者应知其权益受到损害之日起七个工作日内，以书面形式向采购人委托的采购代理机构质疑。质疑书的提交地点和质疑受理电话见磋商供应商须知前附表。</w:t>
      </w:r>
    </w:p>
    <w:p>
      <w:pPr>
        <w:spacing w:line="360" w:lineRule="exact"/>
        <w:ind w:firstLine="210" w:firstLineChars="100"/>
        <w:rPr>
          <w:rFonts w:ascii="宋体"/>
          <w:bCs/>
          <w:szCs w:val="21"/>
        </w:rPr>
      </w:pPr>
      <w:r>
        <w:rPr>
          <w:rFonts w:ascii="宋体" w:hAnsi="宋体"/>
          <w:bCs/>
          <w:szCs w:val="21"/>
        </w:rPr>
        <w:t xml:space="preserve">4.3  </w:t>
      </w:r>
      <w:r>
        <w:rPr>
          <w:rFonts w:hint="eastAsia" w:ascii="宋体" w:hAnsi="宋体"/>
          <w:bCs/>
          <w:szCs w:val="21"/>
        </w:rPr>
        <w:t>供应商质疑实行实名制，其质疑应当有具体的质疑事项及事实根据，不得进行虚假、恶意质疑。</w:t>
      </w:r>
    </w:p>
    <w:p>
      <w:pPr>
        <w:spacing w:line="360" w:lineRule="exact"/>
        <w:ind w:firstLine="210" w:firstLineChars="100"/>
        <w:rPr>
          <w:rFonts w:ascii="宋体"/>
          <w:bCs/>
          <w:szCs w:val="21"/>
        </w:rPr>
      </w:pPr>
      <w:r>
        <w:rPr>
          <w:rFonts w:ascii="宋体" w:hAnsi="宋体"/>
          <w:bCs/>
          <w:szCs w:val="21"/>
        </w:rPr>
        <w:t xml:space="preserve">4.4  </w:t>
      </w:r>
      <w:r>
        <w:rPr>
          <w:rFonts w:hint="eastAsia" w:ascii="宋体" w:hAnsi="宋体"/>
          <w:bCs/>
          <w:szCs w:val="21"/>
        </w:rPr>
        <w:t>供应商质疑时，应当提交质疑书原件，质疑书应当包括下列主要内容：</w:t>
      </w:r>
    </w:p>
    <w:p>
      <w:pPr>
        <w:spacing w:line="360" w:lineRule="exact"/>
        <w:rPr>
          <w:rFonts w:ascii="宋体"/>
          <w:szCs w:val="21"/>
        </w:rPr>
      </w:pPr>
      <w:r>
        <w:rPr>
          <w:rFonts w:hint="eastAsia" w:ascii="宋体" w:hAnsi="宋体"/>
          <w:szCs w:val="21"/>
        </w:rPr>
        <w:t>（</w:t>
      </w:r>
      <w:r>
        <w:rPr>
          <w:rFonts w:ascii="宋体" w:hAnsi="宋体"/>
          <w:szCs w:val="21"/>
        </w:rPr>
        <w:t>1</w:t>
      </w:r>
      <w:r>
        <w:rPr>
          <w:rFonts w:hint="eastAsia" w:ascii="宋体" w:hAnsi="宋体"/>
          <w:szCs w:val="21"/>
        </w:rPr>
        <w:t>）质疑供应商和被质疑的采购人或采购人委托的采购代理机构名称、地址、电话、邮编等；</w:t>
      </w:r>
    </w:p>
    <w:p>
      <w:pPr>
        <w:spacing w:line="360" w:lineRule="exact"/>
        <w:rPr>
          <w:rFonts w:ascii="宋体"/>
          <w:szCs w:val="21"/>
        </w:rPr>
      </w:pPr>
      <w:r>
        <w:rPr>
          <w:rFonts w:hint="eastAsia" w:ascii="宋体" w:hAnsi="宋体"/>
          <w:szCs w:val="21"/>
        </w:rPr>
        <w:t>（</w:t>
      </w:r>
      <w:r>
        <w:rPr>
          <w:rFonts w:ascii="宋体" w:hAnsi="宋体"/>
          <w:szCs w:val="21"/>
        </w:rPr>
        <w:t>2</w:t>
      </w:r>
      <w:r>
        <w:rPr>
          <w:rFonts w:hint="eastAsia" w:ascii="宋体" w:hAnsi="宋体"/>
          <w:szCs w:val="21"/>
        </w:rPr>
        <w:t>）质疑项目的名称、编号；</w:t>
      </w:r>
    </w:p>
    <w:p>
      <w:pPr>
        <w:spacing w:line="360" w:lineRule="exact"/>
        <w:rPr>
          <w:rFonts w:ascii="宋体"/>
          <w:szCs w:val="21"/>
        </w:rPr>
      </w:pPr>
      <w:r>
        <w:rPr>
          <w:rFonts w:hint="eastAsia" w:ascii="宋体" w:hAnsi="宋体"/>
          <w:szCs w:val="21"/>
        </w:rPr>
        <w:t>（</w:t>
      </w:r>
      <w:r>
        <w:rPr>
          <w:rFonts w:ascii="宋体" w:hAnsi="宋体"/>
          <w:szCs w:val="21"/>
        </w:rPr>
        <w:t>3</w:t>
      </w:r>
      <w:r>
        <w:rPr>
          <w:rFonts w:hint="eastAsia" w:ascii="宋体" w:hAnsi="宋体"/>
          <w:szCs w:val="21"/>
        </w:rPr>
        <w:t>）权益受到损害的事实和理由；</w:t>
      </w:r>
    </w:p>
    <w:p>
      <w:pPr>
        <w:spacing w:line="360" w:lineRule="exact"/>
        <w:rPr>
          <w:rFonts w:ascii="宋体"/>
          <w:szCs w:val="21"/>
        </w:rPr>
      </w:pPr>
      <w:r>
        <w:rPr>
          <w:rFonts w:hint="eastAsia" w:ascii="宋体" w:hAnsi="宋体"/>
          <w:szCs w:val="21"/>
        </w:rPr>
        <w:t>（</w:t>
      </w:r>
      <w:r>
        <w:rPr>
          <w:rFonts w:ascii="宋体" w:hAnsi="宋体"/>
          <w:szCs w:val="21"/>
        </w:rPr>
        <w:t>4</w:t>
      </w:r>
      <w:r>
        <w:rPr>
          <w:rFonts w:hint="eastAsia" w:ascii="宋体" w:hAnsi="宋体"/>
          <w:szCs w:val="21"/>
        </w:rPr>
        <w:t>）相关证明材料；</w:t>
      </w:r>
    </w:p>
    <w:p>
      <w:pPr>
        <w:spacing w:line="360" w:lineRule="exact"/>
        <w:rPr>
          <w:rFonts w:ascii="宋体"/>
          <w:szCs w:val="21"/>
        </w:rPr>
      </w:pPr>
      <w:r>
        <w:rPr>
          <w:rFonts w:hint="eastAsia" w:ascii="宋体" w:hAnsi="宋体"/>
          <w:szCs w:val="21"/>
        </w:rPr>
        <w:t>（</w:t>
      </w:r>
      <w:r>
        <w:rPr>
          <w:rFonts w:ascii="宋体" w:hAnsi="宋体"/>
          <w:szCs w:val="21"/>
        </w:rPr>
        <w:t>5</w:t>
      </w:r>
      <w:r>
        <w:rPr>
          <w:rFonts w:hint="eastAsia" w:ascii="宋体" w:hAnsi="宋体"/>
          <w:szCs w:val="21"/>
        </w:rPr>
        <w:t>）提起质疑的日期。</w:t>
      </w:r>
    </w:p>
    <w:p>
      <w:pPr>
        <w:spacing w:line="360" w:lineRule="exact"/>
        <w:rPr>
          <w:rFonts w:ascii="宋体"/>
          <w:szCs w:val="21"/>
        </w:rPr>
      </w:pPr>
      <w:r>
        <w:rPr>
          <w:rFonts w:hint="eastAsia" w:ascii="宋体" w:hAnsi="宋体"/>
          <w:szCs w:val="21"/>
        </w:rPr>
        <w:t>（</w:t>
      </w:r>
      <w:r>
        <w:rPr>
          <w:rFonts w:ascii="宋体" w:hAnsi="宋体"/>
          <w:szCs w:val="21"/>
        </w:rPr>
        <w:t>6</w:t>
      </w:r>
      <w:r>
        <w:rPr>
          <w:rFonts w:hint="eastAsia" w:ascii="宋体" w:hAnsi="宋体"/>
          <w:szCs w:val="21"/>
        </w:rPr>
        <w:t>）附件材料：缴纳磋商保证金银行凭证；营业执照副本内页复印件（要求证件有效并清晰反映企业法人经营范围）；近期连续三个月依法缴纳税收和在职职工社会保障资金证明材料（复印件，原件备查）。</w:t>
      </w:r>
    </w:p>
    <w:p>
      <w:pPr>
        <w:spacing w:line="360" w:lineRule="exact"/>
        <w:ind w:firstLine="210" w:firstLineChars="100"/>
        <w:rPr>
          <w:rFonts w:ascii="宋体"/>
          <w:szCs w:val="21"/>
        </w:rPr>
      </w:pPr>
      <w:r>
        <w:rPr>
          <w:rFonts w:hint="eastAsia" w:ascii="宋体" w:hAnsi="宋体"/>
          <w:szCs w:val="21"/>
        </w:rPr>
        <w:t>质疑书应当署名。质疑供应商为法人或者其他组织的，应当由法定代表人或者主要负责人签字并加盖公章。</w:t>
      </w:r>
    </w:p>
    <w:p>
      <w:pPr>
        <w:spacing w:line="360" w:lineRule="exact"/>
        <w:ind w:firstLine="210" w:firstLineChars="100"/>
        <w:rPr>
          <w:rFonts w:ascii="宋体"/>
          <w:bCs/>
          <w:szCs w:val="21"/>
        </w:rPr>
      </w:pPr>
      <w:r>
        <w:rPr>
          <w:rFonts w:ascii="宋体" w:hAnsi="宋体"/>
          <w:bCs/>
          <w:szCs w:val="21"/>
        </w:rPr>
        <w:t xml:space="preserve">4.5  </w:t>
      </w:r>
      <w:r>
        <w:rPr>
          <w:rFonts w:hint="eastAsia" w:ascii="宋体" w:hAnsi="宋体"/>
          <w:bCs/>
          <w:szCs w:val="21"/>
        </w:rPr>
        <w:t>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spacing w:line="360" w:lineRule="exact"/>
        <w:ind w:firstLine="210" w:firstLineChars="100"/>
        <w:rPr>
          <w:rFonts w:ascii="宋体"/>
          <w:szCs w:val="21"/>
        </w:rPr>
      </w:pPr>
      <w:r>
        <w:rPr>
          <w:rFonts w:ascii="宋体" w:hAnsi="宋体"/>
          <w:bCs/>
          <w:szCs w:val="21"/>
        </w:rPr>
        <w:t xml:space="preserve">4.6  </w:t>
      </w:r>
      <w:r>
        <w:rPr>
          <w:rFonts w:hint="eastAsia" w:ascii="宋体" w:hAnsi="宋体"/>
          <w:bCs/>
          <w:szCs w:val="21"/>
        </w:rPr>
        <w:t>质疑供应商提起质疑应当符合下列条件：</w:t>
      </w:r>
    </w:p>
    <w:p>
      <w:pPr>
        <w:spacing w:line="360" w:lineRule="exact"/>
        <w:rPr>
          <w:rFonts w:ascii="宋体"/>
          <w:szCs w:val="21"/>
        </w:rPr>
      </w:pPr>
      <w:r>
        <w:rPr>
          <w:rFonts w:hint="eastAsia" w:ascii="宋体" w:hAnsi="宋体"/>
          <w:szCs w:val="21"/>
        </w:rPr>
        <w:t>（</w:t>
      </w:r>
      <w:r>
        <w:rPr>
          <w:rFonts w:ascii="宋体" w:hAnsi="宋体"/>
          <w:szCs w:val="21"/>
        </w:rPr>
        <w:t>1</w:t>
      </w:r>
      <w:r>
        <w:rPr>
          <w:rFonts w:hint="eastAsia" w:ascii="宋体" w:hAnsi="宋体"/>
          <w:szCs w:val="21"/>
        </w:rPr>
        <w:t>）质疑供应商是参与所质疑政府采购活动的供应商；</w:t>
      </w:r>
    </w:p>
    <w:p>
      <w:pPr>
        <w:spacing w:line="360" w:lineRule="exact"/>
        <w:rPr>
          <w:rFonts w:ascii="宋体"/>
          <w:szCs w:val="21"/>
        </w:rPr>
      </w:pPr>
      <w:r>
        <w:rPr>
          <w:rFonts w:hint="eastAsia" w:ascii="宋体" w:hAnsi="宋体"/>
          <w:szCs w:val="21"/>
        </w:rPr>
        <w:t>（</w:t>
      </w:r>
      <w:r>
        <w:rPr>
          <w:rFonts w:ascii="宋体" w:hAnsi="宋体"/>
          <w:szCs w:val="21"/>
        </w:rPr>
        <w:t>2</w:t>
      </w:r>
      <w:r>
        <w:rPr>
          <w:rFonts w:hint="eastAsia" w:ascii="宋体" w:hAnsi="宋体"/>
          <w:szCs w:val="21"/>
        </w:rPr>
        <w:t>）质疑书内容符合本章第</w:t>
      </w:r>
      <w:r>
        <w:rPr>
          <w:rFonts w:ascii="宋体" w:hAnsi="宋体"/>
          <w:szCs w:val="21"/>
        </w:rPr>
        <w:t>4.3</w:t>
      </w:r>
      <w:r>
        <w:rPr>
          <w:rFonts w:hint="eastAsia" w:ascii="宋体" w:hAnsi="宋体"/>
          <w:szCs w:val="21"/>
        </w:rPr>
        <w:t>项的规定；</w:t>
      </w:r>
    </w:p>
    <w:p>
      <w:pPr>
        <w:spacing w:line="360" w:lineRule="exact"/>
        <w:rPr>
          <w:rFonts w:ascii="宋体"/>
          <w:szCs w:val="21"/>
        </w:rPr>
      </w:pPr>
      <w:r>
        <w:rPr>
          <w:rFonts w:hint="eastAsia" w:ascii="宋体" w:hAnsi="宋体"/>
          <w:szCs w:val="21"/>
        </w:rPr>
        <w:t>（</w:t>
      </w:r>
      <w:r>
        <w:rPr>
          <w:rFonts w:ascii="宋体" w:hAnsi="宋体"/>
          <w:szCs w:val="21"/>
        </w:rPr>
        <w:t>3</w:t>
      </w:r>
      <w:r>
        <w:rPr>
          <w:rFonts w:hint="eastAsia" w:ascii="宋体" w:hAnsi="宋体"/>
          <w:szCs w:val="21"/>
        </w:rPr>
        <w:t>）在质疑有效期限内提起质疑；</w:t>
      </w:r>
    </w:p>
    <w:p>
      <w:pPr>
        <w:spacing w:line="360" w:lineRule="exact"/>
        <w:rPr>
          <w:rFonts w:ascii="宋体"/>
          <w:szCs w:val="21"/>
        </w:rPr>
      </w:pPr>
      <w:r>
        <w:rPr>
          <w:rFonts w:hint="eastAsia" w:ascii="宋体" w:hAnsi="宋体"/>
          <w:szCs w:val="21"/>
        </w:rPr>
        <w:t>（</w:t>
      </w:r>
      <w:r>
        <w:rPr>
          <w:rFonts w:ascii="宋体" w:hAnsi="宋体"/>
          <w:szCs w:val="21"/>
        </w:rPr>
        <w:t>4</w:t>
      </w:r>
      <w:r>
        <w:rPr>
          <w:rFonts w:hint="eastAsia" w:ascii="宋体" w:hAnsi="宋体"/>
          <w:szCs w:val="21"/>
        </w:rPr>
        <w:t>）属于所质疑的采购人或采购人委托的采购代理机构组织的采购活动；</w:t>
      </w:r>
    </w:p>
    <w:p>
      <w:pPr>
        <w:spacing w:line="360" w:lineRule="exact"/>
        <w:rPr>
          <w:rFonts w:ascii="宋体"/>
          <w:szCs w:val="21"/>
        </w:rPr>
      </w:pPr>
      <w:r>
        <w:rPr>
          <w:rFonts w:hint="eastAsia" w:ascii="宋体" w:hAnsi="宋体"/>
          <w:szCs w:val="21"/>
        </w:rPr>
        <w:t>（</w:t>
      </w:r>
      <w:r>
        <w:rPr>
          <w:rFonts w:ascii="宋体" w:hAnsi="宋体"/>
          <w:szCs w:val="21"/>
        </w:rPr>
        <w:t>5</w:t>
      </w:r>
      <w:r>
        <w:rPr>
          <w:rFonts w:hint="eastAsia" w:ascii="宋体" w:hAnsi="宋体"/>
          <w:szCs w:val="21"/>
        </w:rPr>
        <w:t>）同一质疑事项未经采购人或采购人委托的采购代理机构质疑处理；</w:t>
      </w:r>
    </w:p>
    <w:p>
      <w:pPr>
        <w:spacing w:line="360" w:lineRule="exact"/>
        <w:rPr>
          <w:rFonts w:ascii="宋体"/>
          <w:szCs w:val="21"/>
        </w:rPr>
      </w:pPr>
      <w:r>
        <w:rPr>
          <w:rFonts w:hint="eastAsia" w:ascii="宋体" w:hAnsi="宋体"/>
          <w:szCs w:val="21"/>
        </w:rPr>
        <w:t>（</w:t>
      </w:r>
      <w:r>
        <w:rPr>
          <w:rFonts w:ascii="宋体" w:hAnsi="宋体"/>
          <w:szCs w:val="21"/>
        </w:rPr>
        <w:t>6</w:t>
      </w:r>
      <w:r>
        <w:rPr>
          <w:rFonts w:hint="eastAsia" w:ascii="宋体" w:hAnsi="宋体"/>
          <w:szCs w:val="21"/>
        </w:rPr>
        <w:t>）财政部门规定的其他条件。</w:t>
      </w:r>
    </w:p>
    <w:p>
      <w:pPr>
        <w:spacing w:line="360" w:lineRule="exact"/>
        <w:ind w:firstLine="210" w:firstLineChars="100"/>
        <w:rPr>
          <w:rFonts w:ascii="宋体"/>
          <w:szCs w:val="21"/>
        </w:rPr>
      </w:pPr>
      <w:r>
        <w:rPr>
          <w:rFonts w:ascii="宋体" w:hAnsi="宋体"/>
          <w:szCs w:val="21"/>
        </w:rPr>
        <w:t xml:space="preserve">4.7  </w:t>
      </w:r>
      <w:r>
        <w:rPr>
          <w:rFonts w:hint="eastAsia" w:ascii="宋体" w:hAnsi="宋体"/>
          <w:szCs w:val="21"/>
        </w:rPr>
        <w:t>采购人或采购人委托的采购代理机构自受理质疑之日起三个工作日内，对质疑事项作出答复，并以书面形式通知质疑供应商及其他有关供应商。</w:t>
      </w:r>
    </w:p>
    <w:p>
      <w:pPr>
        <w:spacing w:line="360" w:lineRule="exact"/>
        <w:ind w:firstLine="211" w:firstLineChars="100"/>
        <w:rPr>
          <w:rFonts w:ascii="宋体"/>
          <w:b/>
          <w:bCs/>
          <w:szCs w:val="21"/>
        </w:rPr>
      </w:pPr>
      <w:r>
        <w:rPr>
          <w:rFonts w:ascii="宋体" w:hAnsi="宋体"/>
          <w:b/>
          <w:bCs/>
          <w:szCs w:val="21"/>
        </w:rPr>
        <w:t>5</w:t>
      </w:r>
      <w:r>
        <w:rPr>
          <w:rFonts w:hint="eastAsia" w:ascii="宋体" w:hAnsi="宋体"/>
          <w:b/>
          <w:bCs/>
          <w:szCs w:val="21"/>
        </w:rPr>
        <w:t>、投诉：</w:t>
      </w:r>
    </w:p>
    <w:p>
      <w:pPr>
        <w:spacing w:line="360" w:lineRule="exact"/>
        <w:ind w:firstLine="210" w:firstLineChars="100"/>
        <w:rPr>
          <w:rFonts w:ascii="宋体"/>
          <w:bCs/>
          <w:szCs w:val="21"/>
        </w:rPr>
      </w:pPr>
      <w:r>
        <w:rPr>
          <w:rFonts w:ascii="宋体" w:hAnsi="宋体"/>
          <w:bCs/>
          <w:szCs w:val="21"/>
        </w:rPr>
        <w:t xml:space="preserve">5.1  </w:t>
      </w:r>
      <w:r>
        <w:rPr>
          <w:rFonts w:hint="eastAsia" w:ascii="宋体" w:hAnsi="宋体"/>
          <w:bCs/>
          <w:szCs w:val="21"/>
        </w:rPr>
        <w:t>供应商认为采购文件、采购过程、成交和成交结果使自己的合法权益受到损害的，应当首先依法向采购人或采购人委托的</w:t>
      </w:r>
      <w:r>
        <w:rPr>
          <w:rFonts w:hint="eastAsia" w:ascii="宋体" w:hAnsi="宋体"/>
          <w:szCs w:val="21"/>
        </w:rPr>
        <w:t>采购代理机构</w:t>
      </w:r>
      <w:r>
        <w:rPr>
          <w:rFonts w:hint="eastAsia" w:ascii="宋体" w:hAnsi="宋体"/>
          <w:bCs/>
          <w:szCs w:val="21"/>
        </w:rPr>
        <w:t>提出质疑。对采购人、</w:t>
      </w:r>
      <w:r>
        <w:rPr>
          <w:rFonts w:hint="eastAsia" w:ascii="宋体" w:hAnsi="宋体"/>
          <w:szCs w:val="21"/>
        </w:rPr>
        <w:t>采购代理机构</w:t>
      </w:r>
      <w:r>
        <w:rPr>
          <w:rFonts w:hint="eastAsia" w:ascii="宋体" w:hAnsi="宋体"/>
          <w:bCs/>
          <w:szCs w:val="21"/>
        </w:rPr>
        <w:t>的答复不满意，或者采购人、</w:t>
      </w:r>
      <w:r>
        <w:rPr>
          <w:rFonts w:hint="eastAsia" w:ascii="宋体" w:hAnsi="宋体"/>
          <w:szCs w:val="21"/>
        </w:rPr>
        <w:t>采购代理机构</w:t>
      </w:r>
      <w:r>
        <w:rPr>
          <w:rFonts w:hint="eastAsia" w:ascii="宋体" w:hAnsi="宋体"/>
          <w:bCs/>
          <w:szCs w:val="21"/>
        </w:rPr>
        <w:t>未在规定期限内做出答复的，供应商可以在答复期满后十五个工作日内向监督管理部门提起投诉。</w:t>
      </w:r>
    </w:p>
    <w:p>
      <w:pPr>
        <w:spacing w:line="360" w:lineRule="exact"/>
        <w:ind w:firstLine="210" w:firstLineChars="100"/>
        <w:rPr>
          <w:rFonts w:ascii="宋体"/>
          <w:bCs/>
          <w:szCs w:val="21"/>
        </w:rPr>
      </w:pPr>
      <w:r>
        <w:rPr>
          <w:rFonts w:ascii="宋体" w:hAnsi="宋体"/>
          <w:szCs w:val="21"/>
        </w:rPr>
        <w:t xml:space="preserve">5.2  </w:t>
      </w:r>
      <w:r>
        <w:rPr>
          <w:rFonts w:hint="eastAsia" w:ascii="宋体" w:hAnsi="宋体"/>
          <w:szCs w:val="21"/>
        </w:rPr>
        <w:t>投诉人投诉时，应当提交投诉书，并按照被投诉采购人、采购代理机构和与投诉事项有关的供应商数量提供投诉书的副本。投诉书应当包括下列主要内容（如材料中有外文资料应同时附上对应的中文译本）：</w:t>
      </w:r>
    </w:p>
    <w:p>
      <w:pPr>
        <w:spacing w:line="360" w:lineRule="exac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）投诉人和被投诉人的名称、地址、电话等；</w:t>
      </w:r>
    </w:p>
    <w:p>
      <w:pPr>
        <w:spacing w:line="360" w:lineRule="exact"/>
        <w:rPr>
          <w:rFonts w:ascii="宋体"/>
          <w:szCs w:val="21"/>
        </w:rPr>
      </w:pPr>
      <w:r>
        <w:rPr>
          <w:rFonts w:hint="eastAsia" w:ascii="宋体" w:hAnsi="宋体"/>
          <w:szCs w:val="21"/>
        </w:rPr>
        <w:t>（</w:t>
      </w:r>
      <w:r>
        <w:rPr>
          <w:rFonts w:ascii="宋体" w:hAnsi="宋体"/>
          <w:szCs w:val="21"/>
        </w:rPr>
        <w:t>2</w:t>
      </w:r>
      <w:r>
        <w:rPr>
          <w:rFonts w:hint="eastAsia" w:ascii="宋体" w:hAnsi="宋体"/>
          <w:szCs w:val="21"/>
        </w:rPr>
        <w:t>）具体的投诉事项及事实依据；</w:t>
      </w:r>
    </w:p>
    <w:p>
      <w:pPr>
        <w:spacing w:line="360" w:lineRule="exact"/>
        <w:rPr>
          <w:rFonts w:ascii="宋体"/>
          <w:szCs w:val="21"/>
        </w:rPr>
      </w:pPr>
      <w:r>
        <w:rPr>
          <w:rFonts w:hint="eastAsia" w:ascii="宋体" w:hAnsi="宋体"/>
          <w:szCs w:val="21"/>
        </w:rPr>
        <w:t>（</w:t>
      </w:r>
      <w:r>
        <w:rPr>
          <w:rFonts w:ascii="宋体" w:hAnsi="宋体"/>
          <w:szCs w:val="21"/>
        </w:rPr>
        <w:t>3</w:t>
      </w:r>
      <w:r>
        <w:rPr>
          <w:rFonts w:hint="eastAsia" w:ascii="宋体" w:hAnsi="宋体"/>
          <w:szCs w:val="21"/>
        </w:rPr>
        <w:t>）质疑和质疑答复情况及相关证明材料；</w:t>
      </w:r>
    </w:p>
    <w:p>
      <w:pPr>
        <w:spacing w:line="360" w:lineRule="exact"/>
        <w:rPr>
          <w:rFonts w:ascii="宋体"/>
          <w:szCs w:val="21"/>
        </w:rPr>
      </w:pPr>
      <w:r>
        <w:rPr>
          <w:rFonts w:hint="eastAsia" w:ascii="宋体" w:hAnsi="宋体"/>
          <w:szCs w:val="21"/>
        </w:rPr>
        <w:t>（</w:t>
      </w:r>
      <w:r>
        <w:rPr>
          <w:rFonts w:ascii="宋体" w:hAnsi="宋体"/>
          <w:szCs w:val="21"/>
        </w:rPr>
        <w:t>4</w:t>
      </w:r>
      <w:r>
        <w:rPr>
          <w:rFonts w:hint="eastAsia" w:ascii="宋体" w:hAnsi="宋体"/>
          <w:szCs w:val="21"/>
        </w:rPr>
        <w:t>）提起投诉的日期。</w:t>
      </w:r>
    </w:p>
    <w:p>
      <w:pPr>
        <w:spacing w:line="360" w:lineRule="exact"/>
        <w:rPr>
          <w:rFonts w:ascii="宋体"/>
          <w:szCs w:val="21"/>
        </w:rPr>
      </w:pPr>
      <w:r>
        <w:rPr>
          <w:rFonts w:hint="eastAsia" w:ascii="宋体" w:hAnsi="宋体"/>
          <w:szCs w:val="21"/>
        </w:rPr>
        <w:t>投诉书应当署名。投诉人为法人或者其他组织的，应当由法定代表人或者主要负责人签字盖章并加盖公章。</w:t>
      </w:r>
    </w:p>
    <w:p>
      <w:pPr>
        <w:spacing w:line="360" w:lineRule="exact"/>
        <w:ind w:firstLine="210" w:firstLineChars="100"/>
        <w:rPr>
          <w:rFonts w:ascii="宋体"/>
          <w:szCs w:val="21"/>
        </w:rPr>
      </w:pPr>
      <w:r>
        <w:rPr>
          <w:rFonts w:ascii="宋体" w:hAnsi="宋体"/>
          <w:szCs w:val="21"/>
        </w:rPr>
        <w:t xml:space="preserve">5.3  </w:t>
      </w:r>
      <w:r>
        <w:rPr>
          <w:rFonts w:hint="eastAsia" w:ascii="宋体" w:hAnsi="宋体"/>
          <w:szCs w:val="21"/>
        </w:rPr>
        <w:t>投诉人可以委托代理人办理投诉事务。代理人办理投诉事务时，除提交投诉书外，还应当提交投诉人的授权委托书，授权委托书应当载明委托代理的具体权限和事项。</w:t>
      </w:r>
    </w:p>
    <w:p>
      <w:pPr>
        <w:spacing w:line="360" w:lineRule="exact"/>
        <w:ind w:firstLine="210" w:firstLineChars="100"/>
        <w:rPr>
          <w:rFonts w:ascii="宋体"/>
          <w:szCs w:val="21"/>
        </w:rPr>
      </w:pPr>
      <w:r>
        <w:rPr>
          <w:rFonts w:ascii="宋体" w:hAnsi="宋体"/>
          <w:szCs w:val="21"/>
        </w:rPr>
        <w:t xml:space="preserve">5.4  </w:t>
      </w:r>
      <w:r>
        <w:rPr>
          <w:rFonts w:hint="eastAsia" w:ascii="宋体" w:hAnsi="宋体"/>
          <w:szCs w:val="21"/>
        </w:rPr>
        <w:t>投诉人提起投诉应当符合下列条件：</w:t>
      </w:r>
    </w:p>
    <w:p>
      <w:pPr>
        <w:spacing w:line="360" w:lineRule="exac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）投诉人是参与所投诉政府采购活动的供应商；</w:t>
      </w:r>
    </w:p>
    <w:p>
      <w:pPr>
        <w:spacing w:line="360" w:lineRule="exact"/>
        <w:rPr>
          <w:rFonts w:ascii="宋体"/>
          <w:szCs w:val="21"/>
        </w:rPr>
      </w:pPr>
      <w:r>
        <w:rPr>
          <w:rFonts w:hint="eastAsia" w:ascii="宋体" w:hAnsi="宋体"/>
          <w:szCs w:val="21"/>
        </w:rPr>
        <w:t>（</w:t>
      </w:r>
      <w:r>
        <w:rPr>
          <w:rFonts w:ascii="宋体" w:hAnsi="宋体"/>
          <w:szCs w:val="21"/>
        </w:rPr>
        <w:t>2</w:t>
      </w:r>
      <w:r>
        <w:rPr>
          <w:rFonts w:hint="eastAsia" w:ascii="宋体" w:hAnsi="宋体"/>
          <w:szCs w:val="21"/>
        </w:rPr>
        <w:t>）提起投诉前已依法进行质疑；</w:t>
      </w:r>
    </w:p>
    <w:p>
      <w:pPr>
        <w:spacing w:line="360" w:lineRule="exact"/>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）投诉书内容符合本章第</w:t>
      </w:r>
      <w:r>
        <w:rPr>
          <w:rFonts w:ascii="宋体" w:hAnsi="宋体"/>
          <w:szCs w:val="21"/>
        </w:rPr>
        <w:t>5.2</w:t>
      </w:r>
      <w:r>
        <w:rPr>
          <w:rFonts w:hint="eastAsia" w:ascii="宋体" w:hAnsi="宋体"/>
          <w:szCs w:val="21"/>
        </w:rPr>
        <w:t>项的规定；</w:t>
      </w:r>
    </w:p>
    <w:p>
      <w:pPr>
        <w:spacing w:line="360" w:lineRule="exact"/>
        <w:rPr>
          <w:rFonts w:ascii="宋体"/>
          <w:szCs w:val="21"/>
        </w:rPr>
      </w:pPr>
      <w:r>
        <w:rPr>
          <w:rFonts w:hint="eastAsia" w:ascii="宋体" w:hAnsi="宋体"/>
          <w:szCs w:val="21"/>
        </w:rPr>
        <w:t>（</w:t>
      </w:r>
      <w:r>
        <w:rPr>
          <w:rFonts w:ascii="宋体" w:hAnsi="宋体"/>
          <w:szCs w:val="21"/>
        </w:rPr>
        <w:t>4</w:t>
      </w:r>
      <w:r>
        <w:rPr>
          <w:rFonts w:hint="eastAsia" w:ascii="宋体" w:hAnsi="宋体"/>
          <w:szCs w:val="21"/>
        </w:rPr>
        <w:t>）在投诉有效期限内提起投诉；</w:t>
      </w:r>
    </w:p>
    <w:p>
      <w:pPr>
        <w:spacing w:line="360" w:lineRule="exact"/>
        <w:rPr>
          <w:rFonts w:ascii="宋体"/>
          <w:szCs w:val="21"/>
        </w:rPr>
      </w:pPr>
      <w:r>
        <w:rPr>
          <w:rFonts w:hint="eastAsia" w:ascii="宋体" w:hAnsi="宋体"/>
          <w:szCs w:val="21"/>
        </w:rPr>
        <w:t>（</w:t>
      </w:r>
      <w:r>
        <w:rPr>
          <w:rFonts w:ascii="宋体" w:hAnsi="宋体"/>
          <w:szCs w:val="21"/>
        </w:rPr>
        <w:t>5</w:t>
      </w:r>
      <w:r>
        <w:rPr>
          <w:rFonts w:hint="eastAsia" w:ascii="宋体" w:hAnsi="宋体"/>
          <w:szCs w:val="21"/>
        </w:rPr>
        <w:t>）属于采购监督管理部门管辖；</w:t>
      </w:r>
    </w:p>
    <w:p>
      <w:pPr>
        <w:spacing w:line="360" w:lineRule="exact"/>
        <w:rPr>
          <w:rFonts w:ascii="宋体"/>
          <w:szCs w:val="21"/>
        </w:rPr>
      </w:pPr>
      <w:r>
        <w:rPr>
          <w:rFonts w:hint="eastAsia" w:ascii="宋体" w:hAnsi="宋体"/>
          <w:szCs w:val="21"/>
        </w:rPr>
        <w:t>（</w:t>
      </w:r>
      <w:r>
        <w:rPr>
          <w:rFonts w:ascii="宋体" w:hAnsi="宋体"/>
          <w:szCs w:val="21"/>
        </w:rPr>
        <w:t>6</w:t>
      </w:r>
      <w:r>
        <w:rPr>
          <w:rFonts w:hint="eastAsia" w:ascii="宋体" w:hAnsi="宋体"/>
          <w:szCs w:val="21"/>
        </w:rPr>
        <w:t>）同一投诉事项未经采购</w:t>
      </w:r>
      <w:r>
        <w:rPr>
          <w:rFonts w:hint="eastAsia" w:ascii="宋体" w:hAnsi="宋体"/>
          <w:bCs/>
          <w:szCs w:val="21"/>
        </w:rPr>
        <w:t>监督管理部门</w:t>
      </w:r>
      <w:r>
        <w:rPr>
          <w:rFonts w:hint="eastAsia" w:ascii="宋体" w:hAnsi="宋体"/>
          <w:szCs w:val="21"/>
        </w:rPr>
        <w:t>投诉处理；</w:t>
      </w:r>
    </w:p>
    <w:p>
      <w:pPr>
        <w:spacing w:line="360" w:lineRule="exact"/>
        <w:rPr>
          <w:rFonts w:ascii="宋体"/>
          <w:szCs w:val="21"/>
        </w:rPr>
      </w:pPr>
      <w:r>
        <w:rPr>
          <w:rFonts w:hint="eastAsia" w:ascii="宋体" w:hAnsi="宋体"/>
          <w:szCs w:val="21"/>
        </w:rPr>
        <w:t>（</w:t>
      </w:r>
      <w:r>
        <w:rPr>
          <w:rFonts w:ascii="宋体" w:hAnsi="宋体"/>
          <w:szCs w:val="21"/>
        </w:rPr>
        <w:t>7</w:t>
      </w:r>
      <w:r>
        <w:rPr>
          <w:rFonts w:hint="eastAsia" w:ascii="宋体" w:hAnsi="宋体"/>
          <w:szCs w:val="21"/>
        </w:rPr>
        <w:t>）国务院财政部门规定的其他条件。</w:t>
      </w:r>
    </w:p>
    <w:p>
      <w:pPr>
        <w:spacing w:line="360" w:lineRule="exact"/>
        <w:ind w:firstLine="210" w:firstLineChars="100"/>
        <w:rPr>
          <w:rFonts w:ascii="宋体"/>
          <w:szCs w:val="21"/>
        </w:rPr>
      </w:pPr>
      <w:r>
        <w:rPr>
          <w:rFonts w:ascii="宋体" w:hAnsi="宋体"/>
          <w:szCs w:val="21"/>
        </w:rPr>
        <w:t xml:space="preserve">5.5  </w:t>
      </w:r>
      <w:r>
        <w:rPr>
          <w:rFonts w:hint="eastAsia" w:ascii="宋体" w:hAnsi="宋体"/>
          <w:szCs w:val="21"/>
        </w:rPr>
        <w:t>采购监督管理部门自受理投诉之日起三十个工作日内，对投诉事项作出处理决定，并以书面形式通知投诉人、被投诉人及其他与投诉处理结果有利害关系的政府采购当事人。</w:t>
      </w:r>
    </w:p>
    <w:p>
      <w:pPr>
        <w:spacing w:line="360" w:lineRule="exact"/>
        <w:ind w:firstLine="210" w:firstLineChars="100"/>
        <w:rPr>
          <w:rFonts w:ascii="宋体"/>
          <w:szCs w:val="21"/>
        </w:rPr>
      </w:pPr>
      <w:r>
        <w:rPr>
          <w:rFonts w:ascii="宋体" w:hAnsi="宋体"/>
          <w:szCs w:val="21"/>
        </w:rPr>
        <w:t xml:space="preserve">5.6  </w:t>
      </w:r>
      <w:r>
        <w:rPr>
          <w:rFonts w:hint="eastAsia" w:ascii="宋体" w:hAnsi="宋体"/>
          <w:szCs w:val="21"/>
        </w:rPr>
        <w:t>采购监督管理部门在处理投诉事项期间，可以视具体情况暂停采购活动。</w:t>
      </w:r>
    </w:p>
    <w:p>
      <w:pPr>
        <w:pStyle w:val="26"/>
        <w:spacing w:line="360" w:lineRule="exact"/>
        <w:jc w:val="center"/>
        <w:rPr>
          <w:rFonts w:hAnsi="宋体"/>
          <w:b/>
          <w:sz w:val="21"/>
        </w:rPr>
      </w:pPr>
    </w:p>
    <w:p>
      <w:pPr>
        <w:pStyle w:val="26"/>
        <w:jc w:val="center"/>
        <w:outlineLvl w:val="1"/>
        <w:rPr>
          <w:rFonts w:hAnsi="宋体"/>
          <w:b/>
          <w:sz w:val="21"/>
        </w:rPr>
      </w:pPr>
      <w:bookmarkStart w:id="49" w:name="_Toc452041906"/>
      <w:r>
        <w:rPr>
          <w:rFonts w:hint="eastAsia" w:hAnsi="宋体"/>
          <w:b/>
          <w:sz w:val="30"/>
          <w:szCs w:val="30"/>
        </w:rPr>
        <w:t>二、竞争性磋商采购文件</w:t>
      </w:r>
      <w:bookmarkEnd w:id="49"/>
    </w:p>
    <w:p>
      <w:pPr>
        <w:pStyle w:val="26"/>
        <w:spacing w:line="360" w:lineRule="exact"/>
        <w:ind w:firstLine="207" w:firstLineChars="98"/>
        <w:rPr>
          <w:rFonts w:hAnsi="宋体"/>
          <w:b/>
          <w:bCs/>
          <w:sz w:val="21"/>
        </w:rPr>
      </w:pPr>
      <w:r>
        <w:rPr>
          <w:rFonts w:hAnsi="宋体"/>
          <w:b/>
          <w:bCs/>
          <w:sz w:val="21"/>
        </w:rPr>
        <w:t>6</w:t>
      </w:r>
      <w:r>
        <w:rPr>
          <w:rFonts w:hint="eastAsia" w:hAnsi="宋体"/>
          <w:b/>
          <w:bCs/>
          <w:sz w:val="21"/>
        </w:rPr>
        <w:t>、竞争性磋商采购文件的组成：</w:t>
      </w:r>
    </w:p>
    <w:p>
      <w:pPr>
        <w:pStyle w:val="26"/>
        <w:spacing w:line="360" w:lineRule="exact"/>
        <w:ind w:firstLine="420" w:firstLineChars="200"/>
        <w:rPr>
          <w:rFonts w:hAnsi="宋体"/>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 xml:space="preserve">6.1  </w:t>
      </w:r>
      <w:r>
        <w:rPr>
          <w:rFonts w:hint="eastAsia" w:hAnsi="宋体"/>
          <w:color w:val="000000" w:themeColor="text1"/>
          <w:sz w:val="21"/>
          <w14:textFill>
            <w14:solidFill>
              <w14:schemeClr w14:val="tx1"/>
            </w14:solidFill>
          </w14:textFill>
        </w:rPr>
        <w:t>本</w:t>
      </w:r>
      <w:r>
        <w:rPr>
          <w:rFonts w:hint="eastAsia" w:hAnsi="宋体"/>
          <w:bCs/>
          <w:color w:val="000000" w:themeColor="text1"/>
          <w:sz w:val="21"/>
          <w14:textFill>
            <w14:solidFill>
              <w14:schemeClr w14:val="tx1"/>
            </w14:solidFill>
          </w14:textFill>
        </w:rPr>
        <w:t>竞争性磋商采购文件</w:t>
      </w:r>
      <w:r>
        <w:rPr>
          <w:rFonts w:hint="eastAsia" w:hAnsi="宋体"/>
          <w:color w:val="000000" w:themeColor="text1"/>
          <w:sz w:val="21"/>
          <w14:textFill>
            <w14:solidFill>
              <w14:schemeClr w14:val="tx1"/>
            </w14:solidFill>
          </w14:textFill>
        </w:rPr>
        <w:t>包括五个章节，各章的内容如下：</w:t>
      </w:r>
    </w:p>
    <w:p>
      <w:pPr>
        <w:pStyle w:val="26"/>
        <w:spacing w:line="36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第一章 磋商供应商须知</w:t>
      </w:r>
    </w:p>
    <w:p>
      <w:pPr>
        <w:pStyle w:val="26"/>
        <w:spacing w:line="36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第二章 服务项目采购需求</w:t>
      </w:r>
    </w:p>
    <w:p>
      <w:pPr>
        <w:pStyle w:val="26"/>
        <w:spacing w:line="36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第三章 评审方法及定标标准</w:t>
      </w:r>
    </w:p>
    <w:p>
      <w:pPr>
        <w:pStyle w:val="26"/>
        <w:spacing w:line="36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第四章 响应文件格式</w:t>
      </w:r>
    </w:p>
    <w:p>
      <w:pPr>
        <w:pStyle w:val="26"/>
        <w:spacing w:line="36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第五章 合同条款及格式</w:t>
      </w:r>
    </w:p>
    <w:p>
      <w:pPr>
        <w:pStyle w:val="26"/>
        <w:spacing w:line="360" w:lineRule="exact"/>
        <w:ind w:firstLine="420" w:firstLineChars="200"/>
        <w:rPr>
          <w:rFonts w:hAnsi="宋体"/>
          <w:sz w:val="21"/>
        </w:rPr>
      </w:pPr>
      <w:r>
        <w:rPr>
          <w:rFonts w:hAnsi="宋体"/>
          <w:sz w:val="21"/>
        </w:rPr>
        <w:t xml:space="preserve">6.2  </w:t>
      </w:r>
      <w:r>
        <w:rPr>
          <w:rFonts w:hint="eastAsia" w:hAnsi="宋体"/>
          <w:sz w:val="21"/>
        </w:rPr>
        <w:t>根据本章第</w:t>
      </w:r>
      <w:r>
        <w:rPr>
          <w:rFonts w:hAnsi="宋体"/>
          <w:sz w:val="21"/>
        </w:rPr>
        <w:t>7.1</w:t>
      </w:r>
      <w:r>
        <w:rPr>
          <w:rFonts w:hint="eastAsia" w:hAnsi="宋体"/>
          <w:sz w:val="21"/>
        </w:rPr>
        <w:t>项的规定对竞争性</w:t>
      </w:r>
      <w:r>
        <w:rPr>
          <w:rFonts w:hint="eastAsia" w:hAnsi="宋体"/>
          <w:bCs/>
          <w:sz w:val="21"/>
        </w:rPr>
        <w:t>磋商</w:t>
      </w:r>
      <w:r>
        <w:rPr>
          <w:rFonts w:hint="eastAsia" w:hAnsi="宋体"/>
          <w:sz w:val="21"/>
        </w:rPr>
        <w:t>采购文件所做的澄清、修改，构成竞争性</w:t>
      </w:r>
      <w:r>
        <w:rPr>
          <w:rFonts w:hint="eastAsia" w:hAnsi="宋体"/>
          <w:bCs/>
          <w:sz w:val="21"/>
        </w:rPr>
        <w:t>磋商</w:t>
      </w:r>
      <w:r>
        <w:rPr>
          <w:rFonts w:hint="eastAsia" w:hAnsi="宋体"/>
          <w:sz w:val="21"/>
        </w:rPr>
        <w:t>采购文件的组成部分。当竞争性</w:t>
      </w:r>
      <w:r>
        <w:rPr>
          <w:rFonts w:hint="eastAsia" w:hAnsi="宋体"/>
          <w:bCs/>
          <w:sz w:val="21"/>
        </w:rPr>
        <w:t>磋商</w:t>
      </w:r>
      <w:r>
        <w:rPr>
          <w:rFonts w:hint="eastAsia" w:hAnsi="宋体"/>
          <w:sz w:val="21"/>
        </w:rPr>
        <w:t>采购文件与竞争性</w:t>
      </w:r>
      <w:r>
        <w:rPr>
          <w:rFonts w:hint="eastAsia" w:hAnsi="宋体"/>
          <w:bCs/>
          <w:sz w:val="21"/>
        </w:rPr>
        <w:t>磋商</w:t>
      </w:r>
      <w:r>
        <w:rPr>
          <w:rFonts w:hint="eastAsia" w:hAnsi="宋体"/>
          <w:sz w:val="21"/>
        </w:rPr>
        <w:t>采购文件的澄清和修改就同一内容的表述不一致时，以最后发出的书面文件为准。</w:t>
      </w:r>
    </w:p>
    <w:p>
      <w:pPr>
        <w:pStyle w:val="26"/>
        <w:spacing w:line="360" w:lineRule="exact"/>
        <w:ind w:firstLine="207" w:firstLineChars="98"/>
        <w:rPr>
          <w:rFonts w:hAnsi="宋体"/>
          <w:b/>
          <w:bCs/>
          <w:sz w:val="21"/>
        </w:rPr>
      </w:pPr>
      <w:r>
        <w:rPr>
          <w:rFonts w:hAnsi="宋体"/>
          <w:b/>
          <w:bCs/>
          <w:sz w:val="21"/>
        </w:rPr>
        <w:t>7</w:t>
      </w:r>
      <w:r>
        <w:rPr>
          <w:rFonts w:hint="eastAsia" w:hAnsi="宋体"/>
          <w:b/>
          <w:bCs/>
          <w:sz w:val="21"/>
        </w:rPr>
        <w:t>、竞争性磋商采购文件的澄清和修改：</w:t>
      </w:r>
    </w:p>
    <w:p>
      <w:pPr>
        <w:pStyle w:val="26"/>
        <w:spacing w:line="360" w:lineRule="exact"/>
        <w:ind w:left="2" w:leftChars="1" w:firstLine="420" w:firstLineChars="200"/>
        <w:rPr>
          <w:rFonts w:hAnsi="宋体"/>
          <w:sz w:val="21"/>
        </w:rPr>
      </w:pPr>
      <w:r>
        <w:rPr>
          <w:rFonts w:hAnsi="宋体"/>
          <w:sz w:val="21"/>
        </w:rPr>
        <w:t xml:space="preserve">7.1  </w:t>
      </w:r>
      <w:r>
        <w:rPr>
          <w:rFonts w:hint="eastAsia" w:hAnsi="宋体"/>
          <w:sz w:val="21"/>
        </w:rPr>
        <w:t>采购人或采购代理机构可以对已发出的竞争性</w:t>
      </w:r>
      <w:r>
        <w:rPr>
          <w:rFonts w:hint="eastAsia" w:hAnsi="宋体"/>
          <w:bCs/>
          <w:sz w:val="21"/>
        </w:rPr>
        <w:t>磋商</w:t>
      </w:r>
      <w:r>
        <w:rPr>
          <w:rFonts w:hint="eastAsia" w:hAnsi="宋体"/>
          <w:sz w:val="21"/>
        </w:rPr>
        <w:t>采购文件进行必要澄清或修改，澄清或者修改的内容可能影响响应文件编制的，采购人、采购代理机构应当在提交首次响应文件截止之日</w:t>
      </w:r>
      <w:r>
        <w:rPr>
          <w:rFonts w:hAnsi="宋体"/>
          <w:sz w:val="21"/>
        </w:rPr>
        <w:t>5</w:t>
      </w:r>
      <w:r>
        <w:rPr>
          <w:rFonts w:hint="eastAsia" w:hAnsi="宋体"/>
          <w:sz w:val="21"/>
        </w:rPr>
        <w:t>日前，以书面形式通知（在本章第</w:t>
      </w:r>
      <w:r>
        <w:rPr>
          <w:rFonts w:hAnsi="宋体"/>
          <w:sz w:val="21"/>
        </w:rPr>
        <w:t>2</w:t>
      </w:r>
      <w:r>
        <w:rPr>
          <w:rFonts w:hint="eastAsia" w:hAnsi="宋体"/>
          <w:sz w:val="21"/>
        </w:rPr>
        <w:t>条规定的政府采购信息发布媒体上发布更正公告</w:t>
      </w:r>
      <w:r>
        <w:rPr>
          <w:rFonts w:hAnsi="宋体"/>
          <w:sz w:val="21"/>
        </w:rPr>
        <w:t>)</w:t>
      </w:r>
      <w:r>
        <w:rPr>
          <w:rFonts w:hint="eastAsia" w:hAnsi="宋体"/>
          <w:sz w:val="21"/>
        </w:rPr>
        <w:t>所有接收竞争性</w:t>
      </w:r>
      <w:r>
        <w:rPr>
          <w:rFonts w:hint="eastAsia" w:hAnsi="宋体"/>
          <w:bCs/>
          <w:sz w:val="21"/>
        </w:rPr>
        <w:t>磋商</w:t>
      </w:r>
      <w:r>
        <w:rPr>
          <w:rFonts w:hint="eastAsia" w:hAnsi="宋体"/>
          <w:sz w:val="21"/>
        </w:rPr>
        <w:t>文件的潜在供应商，不足</w:t>
      </w:r>
      <w:r>
        <w:rPr>
          <w:rFonts w:hAnsi="宋体"/>
          <w:sz w:val="21"/>
        </w:rPr>
        <w:t>5</w:t>
      </w:r>
      <w:r>
        <w:rPr>
          <w:rFonts w:hint="eastAsia" w:hAnsi="宋体"/>
          <w:sz w:val="21"/>
        </w:rPr>
        <w:t>日的，应当顺延提交首次响应文件截止之日。</w:t>
      </w:r>
    </w:p>
    <w:p>
      <w:pPr>
        <w:pStyle w:val="26"/>
        <w:spacing w:line="360" w:lineRule="exact"/>
        <w:ind w:left="2" w:leftChars="1" w:firstLine="420" w:firstLineChars="200"/>
        <w:rPr>
          <w:rFonts w:hAnsi="宋体"/>
          <w:sz w:val="21"/>
        </w:rPr>
      </w:pPr>
      <w:r>
        <w:rPr>
          <w:rFonts w:hAnsi="宋体"/>
          <w:sz w:val="21"/>
        </w:rPr>
        <w:t xml:space="preserve">7.2  </w:t>
      </w:r>
      <w:r>
        <w:rPr>
          <w:rFonts w:hint="eastAsia" w:hAnsi="宋体"/>
          <w:sz w:val="21"/>
        </w:rPr>
        <w:t>采购人和采购代理机构可以视采购具体情况，变更递交响应文件截止时间，但应当在递交响应文件截止之日前，将变更时间以书面形式通知（在本章第</w:t>
      </w:r>
      <w:r>
        <w:rPr>
          <w:rFonts w:hAnsi="宋体"/>
          <w:sz w:val="21"/>
        </w:rPr>
        <w:t>2</w:t>
      </w:r>
      <w:r>
        <w:rPr>
          <w:rFonts w:hint="eastAsia" w:hAnsi="宋体"/>
          <w:sz w:val="21"/>
        </w:rPr>
        <w:t>条规定的政府采购信息发布媒体上发布更正公告</w:t>
      </w:r>
      <w:r>
        <w:rPr>
          <w:rFonts w:hAnsi="宋体"/>
          <w:sz w:val="21"/>
        </w:rPr>
        <w:t>)</w:t>
      </w:r>
      <w:r>
        <w:rPr>
          <w:rFonts w:hint="eastAsia" w:hAnsi="宋体"/>
          <w:sz w:val="21"/>
        </w:rPr>
        <w:t>所有接收竞争性</w:t>
      </w:r>
      <w:r>
        <w:rPr>
          <w:rFonts w:hint="eastAsia" w:hAnsi="宋体"/>
          <w:bCs/>
          <w:sz w:val="21"/>
        </w:rPr>
        <w:t>磋商</w:t>
      </w:r>
      <w:r>
        <w:rPr>
          <w:rFonts w:hint="eastAsia" w:hAnsi="宋体"/>
          <w:sz w:val="21"/>
        </w:rPr>
        <w:t>采购文件潜在供应商。</w:t>
      </w:r>
    </w:p>
    <w:p>
      <w:pPr>
        <w:pStyle w:val="26"/>
        <w:jc w:val="center"/>
        <w:outlineLvl w:val="1"/>
        <w:rPr>
          <w:rFonts w:hAnsi="宋体"/>
          <w:b/>
          <w:sz w:val="30"/>
          <w:szCs w:val="30"/>
        </w:rPr>
      </w:pPr>
      <w:bookmarkStart w:id="50" w:name="_Toc452041907"/>
      <w:r>
        <w:rPr>
          <w:rFonts w:hint="eastAsia" w:hAnsi="宋体"/>
          <w:b/>
          <w:sz w:val="30"/>
          <w:szCs w:val="30"/>
        </w:rPr>
        <w:t>三、响应文件</w:t>
      </w:r>
      <w:bookmarkEnd w:id="50"/>
    </w:p>
    <w:p>
      <w:pPr>
        <w:pStyle w:val="26"/>
        <w:spacing w:line="360" w:lineRule="exact"/>
        <w:ind w:firstLine="207" w:firstLineChars="98"/>
        <w:rPr>
          <w:rFonts w:hAnsi="宋体"/>
          <w:b/>
          <w:bCs/>
          <w:sz w:val="21"/>
        </w:rPr>
      </w:pPr>
      <w:r>
        <w:rPr>
          <w:rFonts w:hAnsi="宋体"/>
          <w:b/>
          <w:bCs/>
          <w:sz w:val="21"/>
        </w:rPr>
        <w:t>8</w:t>
      </w:r>
      <w:r>
        <w:rPr>
          <w:rFonts w:hint="eastAsia" w:hAnsi="宋体"/>
          <w:b/>
          <w:bCs/>
          <w:sz w:val="21"/>
        </w:rPr>
        <w:t>、响应文件的编制：</w:t>
      </w:r>
    </w:p>
    <w:p>
      <w:pPr>
        <w:pStyle w:val="26"/>
        <w:spacing w:line="360" w:lineRule="exact"/>
        <w:ind w:left="2" w:leftChars="1" w:firstLine="420" w:firstLineChars="200"/>
        <w:rPr>
          <w:rFonts w:hAnsi="宋体"/>
          <w:sz w:val="21"/>
        </w:rPr>
      </w:pPr>
      <w:r>
        <w:rPr>
          <w:rFonts w:hAnsi="宋体"/>
          <w:sz w:val="21"/>
        </w:rPr>
        <w:t xml:space="preserve">8.1  </w:t>
      </w:r>
      <w:r>
        <w:rPr>
          <w:rFonts w:hint="eastAsia" w:hAnsi="宋体"/>
          <w:sz w:val="21"/>
        </w:rPr>
        <w:t>磋商供应商应仔细阅读竞争性磋商采购文件，在充分了解采购的内容、技术要求和商务条款以及实质性要求和条件后，编写响应文件。</w:t>
      </w:r>
    </w:p>
    <w:p>
      <w:pPr>
        <w:pStyle w:val="26"/>
        <w:spacing w:line="360" w:lineRule="exact"/>
        <w:ind w:left="2" w:leftChars="1" w:firstLine="420" w:firstLineChars="200"/>
        <w:rPr>
          <w:rFonts w:hAnsi="宋体"/>
          <w:sz w:val="21"/>
        </w:rPr>
      </w:pPr>
      <w:r>
        <w:rPr>
          <w:rFonts w:hAnsi="宋体"/>
          <w:sz w:val="21"/>
        </w:rPr>
        <w:t xml:space="preserve">8.2  </w:t>
      </w:r>
      <w:r>
        <w:rPr>
          <w:rFonts w:hint="eastAsia" w:hAnsi="宋体"/>
          <w:sz w:val="21"/>
        </w:rPr>
        <w:t>对竞争性磋商采购文件的实质性要求和条件作出响应是指磋商供应商必须对竞争性磋商采购文件成交注为实质性要求和条件的技术要求、商务条款及其它内容</w:t>
      </w:r>
      <w:r>
        <w:rPr>
          <w:rFonts w:hint="eastAsia" w:hAnsi="宋体"/>
          <w:b/>
          <w:sz w:val="21"/>
        </w:rPr>
        <w:t>作出满足或者优于原要求和条件的承诺</w:t>
      </w:r>
      <w:r>
        <w:rPr>
          <w:rFonts w:hint="eastAsia" w:hAnsi="宋体"/>
          <w:sz w:val="21"/>
        </w:rPr>
        <w:t>。</w:t>
      </w:r>
    </w:p>
    <w:p>
      <w:pPr>
        <w:pStyle w:val="26"/>
        <w:spacing w:line="360" w:lineRule="exact"/>
        <w:ind w:left="2" w:leftChars="1" w:firstLine="420" w:firstLineChars="200"/>
        <w:rPr>
          <w:rFonts w:hAnsi="宋体"/>
          <w:sz w:val="21"/>
        </w:rPr>
      </w:pPr>
      <w:r>
        <w:rPr>
          <w:rFonts w:hAnsi="宋体"/>
          <w:sz w:val="21"/>
        </w:rPr>
        <w:t xml:space="preserve">8.3  </w:t>
      </w:r>
      <w:r>
        <w:rPr>
          <w:rFonts w:hint="eastAsia" w:hAnsi="宋体"/>
          <w:sz w:val="21"/>
        </w:rPr>
        <w:t>竞争性磋商采购文件注★号的内容为实质性要求和条件。</w:t>
      </w:r>
    </w:p>
    <w:p>
      <w:pPr>
        <w:pStyle w:val="26"/>
        <w:spacing w:line="360" w:lineRule="exact"/>
        <w:ind w:left="2" w:leftChars="1" w:firstLine="420" w:firstLineChars="200"/>
        <w:rPr>
          <w:rFonts w:hAnsi="宋体"/>
          <w:sz w:val="21"/>
        </w:rPr>
      </w:pPr>
      <w:r>
        <w:rPr>
          <w:rFonts w:hAnsi="宋体"/>
          <w:sz w:val="21"/>
        </w:rPr>
        <w:t xml:space="preserve">8.4  </w:t>
      </w:r>
      <w:r>
        <w:rPr>
          <w:rFonts w:hint="eastAsia" w:hAnsi="宋体"/>
          <w:sz w:val="21"/>
        </w:rPr>
        <w:t>响应文件应用不褪色的材料书写或打印，保证其清楚、工整，相关材料的复印件应清晰可辨认。响应文件字迹潦草、表达不清、模糊无法辨认而导致非唯一理解是磋商供应商的风险，很可能导致该竞标无效。</w:t>
      </w:r>
    </w:p>
    <w:p>
      <w:pPr>
        <w:pStyle w:val="26"/>
        <w:spacing w:line="360" w:lineRule="exact"/>
        <w:ind w:left="2" w:leftChars="1" w:firstLine="420" w:firstLineChars="200"/>
        <w:rPr>
          <w:rFonts w:hAnsi="宋体"/>
          <w:sz w:val="21"/>
        </w:rPr>
      </w:pPr>
      <w:r>
        <w:rPr>
          <w:rFonts w:hAnsi="宋体"/>
          <w:sz w:val="21"/>
        </w:rPr>
        <w:t xml:space="preserve">8.5  </w:t>
      </w:r>
      <w:r>
        <w:rPr>
          <w:rFonts w:hint="eastAsia" w:hAnsi="宋体"/>
          <w:sz w:val="21"/>
        </w:rPr>
        <w:t>第四章“响应文件格式”中规定了响应文件格式的，应按相应格式要求编写。</w:t>
      </w:r>
    </w:p>
    <w:p>
      <w:pPr>
        <w:pStyle w:val="26"/>
        <w:spacing w:line="360" w:lineRule="exact"/>
        <w:ind w:left="2" w:leftChars="1" w:firstLine="420" w:firstLineChars="200"/>
        <w:rPr>
          <w:rFonts w:hAnsi="宋体"/>
          <w:sz w:val="21"/>
        </w:rPr>
      </w:pPr>
      <w:r>
        <w:rPr>
          <w:rFonts w:hAnsi="宋体"/>
          <w:sz w:val="21"/>
        </w:rPr>
        <w:t xml:space="preserve">8.6  </w:t>
      </w:r>
      <w:r>
        <w:rPr>
          <w:rFonts w:hint="eastAsia" w:hAnsi="宋体"/>
          <w:sz w:val="21"/>
        </w:rPr>
        <w:t>响应文件应由磋商供应商的法定代表人或其委托代理人在凡规定签章处逐一签字或盖章并加盖单位公章。响应文件应尽量避免涂改、行间插字或删除。如果出现上述情况，改动之处应加盖单位公章或由磋商供应商的法定代表人或其委托代理人签字或盖章确认。</w:t>
      </w:r>
    </w:p>
    <w:p>
      <w:pPr>
        <w:pStyle w:val="26"/>
        <w:spacing w:line="360" w:lineRule="exact"/>
        <w:ind w:left="2" w:leftChars="1" w:firstLine="420" w:firstLineChars="200"/>
        <w:rPr>
          <w:rFonts w:hAnsi="宋体"/>
          <w:sz w:val="21"/>
        </w:rPr>
      </w:pPr>
      <w:r>
        <w:rPr>
          <w:rFonts w:hAnsi="宋体"/>
          <w:sz w:val="21"/>
        </w:rPr>
        <w:t xml:space="preserve">8.7  </w:t>
      </w:r>
      <w:r>
        <w:rPr>
          <w:rFonts w:hint="eastAsia" w:hAnsi="宋体"/>
          <w:sz w:val="21"/>
        </w:rPr>
        <w:t>响应文件应编制目录，且页码清晰准确。</w:t>
      </w:r>
    </w:p>
    <w:p>
      <w:pPr>
        <w:pStyle w:val="26"/>
        <w:spacing w:line="360" w:lineRule="exact"/>
        <w:ind w:left="2" w:leftChars="1" w:firstLine="420" w:firstLineChars="200"/>
        <w:rPr>
          <w:rFonts w:hAnsi="宋体"/>
          <w:color w:val="FF0000"/>
          <w:sz w:val="21"/>
        </w:rPr>
      </w:pPr>
      <w:r>
        <w:rPr>
          <w:rFonts w:hAnsi="宋体"/>
          <w:sz w:val="21"/>
        </w:rPr>
        <w:t xml:space="preserve">8.8  </w:t>
      </w:r>
      <w:r>
        <w:rPr>
          <w:rFonts w:hint="eastAsia" w:hAnsi="宋体"/>
          <w:sz w:val="21"/>
        </w:rPr>
        <w:t>响应文件的正本和副本应分别装订成册，封面上应清楚地标记“正本”或“副本”字样，并标明项目名称、项目编号、磋商供应商名称等内容。副本可以采用正本的复印件，当副本和正本不一致时，以正本为准</w:t>
      </w:r>
      <w:r>
        <w:rPr>
          <w:rFonts w:hint="eastAsia" w:hAnsi="宋体"/>
          <w:color w:val="000000" w:themeColor="text1"/>
          <w:sz w:val="21"/>
          <w14:textFill>
            <w14:solidFill>
              <w14:schemeClr w14:val="tx1"/>
            </w14:solidFill>
          </w14:textFill>
        </w:rPr>
        <w:t>。磋商供应商应准备</w:t>
      </w:r>
      <w:bookmarkStart w:id="51" w:name="OLE_LINK46"/>
      <w:r>
        <w:rPr>
          <w:rFonts w:hint="eastAsia" w:hAnsi="宋体"/>
          <w:color w:val="000000" w:themeColor="text1"/>
          <w:sz w:val="21"/>
          <w14:textFill>
            <w14:solidFill>
              <w14:schemeClr w14:val="tx1"/>
            </w14:solidFill>
          </w14:textFill>
        </w:rPr>
        <w:t>正本</w:t>
      </w:r>
      <w:bookmarkEnd w:id="51"/>
      <w:r>
        <w:rPr>
          <w:rFonts w:hint="eastAsia" w:hAnsi="宋体"/>
          <w:color w:val="000000" w:themeColor="text1"/>
          <w:sz w:val="21"/>
          <w14:textFill>
            <w14:solidFill>
              <w14:schemeClr w14:val="tx1"/>
            </w14:solidFill>
          </w14:textFill>
        </w:rPr>
        <w:t>一份（装订时应将首次报价部分、商务部分、技术部分文件统一装订成一册，如响应文件过厚不便于装订成一册的，可将技术部分文件单独装订成一册），副本份数见磋商供应商须知前附表。</w:t>
      </w:r>
    </w:p>
    <w:p>
      <w:pPr>
        <w:pStyle w:val="26"/>
        <w:spacing w:line="360" w:lineRule="exact"/>
        <w:ind w:firstLine="207" w:firstLineChars="98"/>
        <w:rPr>
          <w:rFonts w:hAnsi="宋体"/>
          <w:b/>
          <w:bCs/>
          <w:sz w:val="21"/>
        </w:rPr>
      </w:pPr>
      <w:r>
        <w:rPr>
          <w:rFonts w:hAnsi="宋体"/>
          <w:b/>
          <w:bCs/>
          <w:sz w:val="21"/>
        </w:rPr>
        <w:t>9</w:t>
      </w:r>
      <w:r>
        <w:rPr>
          <w:rFonts w:hint="eastAsia" w:hAnsi="宋体"/>
          <w:b/>
          <w:bCs/>
          <w:sz w:val="21"/>
        </w:rPr>
        <w:t>、磋商语言文字及计量单位：</w:t>
      </w:r>
    </w:p>
    <w:p>
      <w:pPr>
        <w:pStyle w:val="26"/>
        <w:spacing w:line="360" w:lineRule="exact"/>
        <w:ind w:firstLine="420" w:firstLineChars="200"/>
        <w:rPr>
          <w:rFonts w:hAnsi="宋体"/>
          <w:sz w:val="21"/>
        </w:rPr>
      </w:pPr>
      <w:r>
        <w:rPr>
          <w:rFonts w:hAnsi="宋体"/>
          <w:sz w:val="21"/>
        </w:rPr>
        <w:t xml:space="preserve">9.1  </w:t>
      </w:r>
      <w:r>
        <w:rPr>
          <w:rFonts w:hint="eastAsia" w:hAnsi="宋体"/>
          <w:sz w:val="21"/>
        </w:rPr>
        <w:t>磋商供应商的响应文件以及磋商供应商与采购人、采购代理机构就有关磋商的所有往来函电统一使用中文（特别规定除外）。磋商供应商随响应文件或往来函电所提交的相关证明材料等可以使用其他语言，但必须同时提供由专业翻译机构出具的或经公证的中文译文，否则视同未提供该项证明材料。</w:t>
      </w:r>
    </w:p>
    <w:p>
      <w:pPr>
        <w:pStyle w:val="26"/>
        <w:spacing w:line="360" w:lineRule="exact"/>
        <w:ind w:firstLine="420" w:firstLineChars="200"/>
        <w:rPr>
          <w:rFonts w:hAnsi="宋体"/>
          <w:sz w:val="21"/>
        </w:rPr>
      </w:pPr>
      <w:r>
        <w:rPr>
          <w:rFonts w:hAnsi="宋体"/>
          <w:sz w:val="21"/>
        </w:rPr>
        <w:t xml:space="preserve">9.2  </w:t>
      </w:r>
      <w:r>
        <w:rPr>
          <w:rFonts w:hint="eastAsia" w:hAnsi="宋体"/>
          <w:sz w:val="21"/>
        </w:rPr>
        <w:t>对不同文字文本响应文件的解释发生异议的，以中文文本为准。</w:t>
      </w:r>
    </w:p>
    <w:p>
      <w:pPr>
        <w:pStyle w:val="26"/>
        <w:spacing w:line="360" w:lineRule="exact"/>
        <w:ind w:firstLine="420" w:firstLineChars="200"/>
        <w:rPr>
          <w:rFonts w:hAnsi="宋体"/>
          <w:sz w:val="21"/>
        </w:rPr>
      </w:pPr>
      <w:r>
        <w:rPr>
          <w:rFonts w:hAnsi="宋体"/>
          <w:sz w:val="21"/>
        </w:rPr>
        <w:t xml:space="preserve">9.3  </w:t>
      </w:r>
      <w:r>
        <w:rPr>
          <w:rFonts w:hint="eastAsia" w:hAnsi="宋体"/>
          <w:sz w:val="21"/>
        </w:rPr>
        <w:t>响应文件使用的计量单位除竞争性磋商采购文件中有特殊规定外，一律使用中华人民共和国法定计量单位。</w:t>
      </w:r>
    </w:p>
    <w:p>
      <w:pPr>
        <w:pStyle w:val="26"/>
        <w:spacing w:line="360" w:lineRule="exact"/>
        <w:ind w:firstLine="207" w:firstLineChars="98"/>
        <w:rPr>
          <w:rFonts w:hAnsi="宋体"/>
          <w:b/>
          <w:bCs/>
          <w:sz w:val="21"/>
        </w:rPr>
      </w:pPr>
      <w:r>
        <w:rPr>
          <w:rFonts w:hAnsi="宋体"/>
          <w:b/>
          <w:bCs/>
          <w:sz w:val="21"/>
        </w:rPr>
        <w:t>10</w:t>
      </w:r>
      <w:r>
        <w:rPr>
          <w:rFonts w:hint="eastAsia" w:hAnsi="宋体"/>
          <w:b/>
          <w:bCs/>
          <w:sz w:val="21"/>
        </w:rPr>
        <w:t>、响应文件的组成：</w:t>
      </w:r>
    </w:p>
    <w:p>
      <w:pPr>
        <w:pStyle w:val="26"/>
        <w:spacing w:line="360" w:lineRule="exact"/>
        <w:ind w:firstLine="420" w:firstLineChars="200"/>
        <w:rPr>
          <w:rFonts w:hAnsi="宋体"/>
          <w:sz w:val="21"/>
        </w:rPr>
      </w:pPr>
      <w:r>
        <w:rPr>
          <w:rFonts w:hAnsi="宋体"/>
          <w:sz w:val="21"/>
        </w:rPr>
        <w:t>10.1</w:t>
      </w:r>
      <w:r>
        <w:rPr>
          <w:rFonts w:hint="eastAsia" w:hAnsi="宋体"/>
          <w:sz w:val="21"/>
        </w:rPr>
        <w:t>下述资格证明文件中注明必须提交的文件均必须于本项目截标前与竞标文件同时提交完备，如提供的材料不完备或未按规定加盖单位公章的，将被当作资格审查不合格而取消竞标资格：</w:t>
      </w:r>
    </w:p>
    <w:p>
      <w:pPr>
        <w:pStyle w:val="26"/>
        <w:spacing w:line="360" w:lineRule="exact"/>
        <w:ind w:firstLine="422" w:firstLineChars="200"/>
        <w:rPr>
          <w:rFonts w:hAnsi="宋体"/>
          <w:b/>
          <w:sz w:val="21"/>
        </w:rPr>
      </w:pPr>
      <w:r>
        <w:rPr>
          <w:rFonts w:hAnsi="宋体"/>
          <w:b/>
          <w:sz w:val="21"/>
        </w:rPr>
        <w:t xml:space="preserve">10.1.1  </w:t>
      </w:r>
      <w:r>
        <w:rPr>
          <w:rFonts w:hint="eastAsia" w:hAnsi="宋体"/>
          <w:b/>
          <w:sz w:val="21"/>
        </w:rPr>
        <w:t>首次报价文件，包括：</w:t>
      </w:r>
    </w:p>
    <w:p>
      <w:pPr>
        <w:pStyle w:val="26"/>
        <w:spacing w:line="360" w:lineRule="exact"/>
        <w:ind w:firstLine="420"/>
        <w:rPr>
          <w:rFonts w:hAnsi="宋体"/>
          <w:sz w:val="21"/>
        </w:rPr>
      </w:pPr>
      <w:r>
        <w:rPr>
          <w:rFonts w:hint="eastAsia" w:hAnsi="宋体"/>
          <w:sz w:val="21"/>
        </w:rPr>
        <w:t>（</w:t>
      </w:r>
      <w:r>
        <w:rPr>
          <w:rFonts w:hAnsi="宋体"/>
          <w:sz w:val="21"/>
        </w:rPr>
        <w:t>1</w:t>
      </w:r>
      <w:r>
        <w:rPr>
          <w:rFonts w:hint="eastAsia" w:hAnsi="宋体"/>
          <w:sz w:val="21"/>
        </w:rPr>
        <w:t>）磋商函；（</w:t>
      </w:r>
      <w:r>
        <w:rPr>
          <w:rFonts w:hint="eastAsia" w:hAnsi="宋体" w:cs="宋体"/>
          <w:bCs/>
          <w:sz w:val="21"/>
        </w:rPr>
        <w:t>格式见附件一，</w:t>
      </w:r>
      <w:r>
        <w:rPr>
          <w:rFonts w:hint="eastAsia" w:hAnsi="宋体"/>
          <w:b/>
          <w:sz w:val="21"/>
        </w:rPr>
        <w:t>必须提供</w:t>
      </w:r>
      <w:r>
        <w:rPr>
          <w:rFonts w:hint="eastAsia" w:hAnsi="宋体"/>
          <w:sz w:val="21"/>
        </w:rPr>
        <w:t>）</w:t>
      </w:r>
    </w:p>
    <w:p>
      <w:pPr>
        <w:pStyle w:val="26"/>
        <w:spacing w:line="360" w:lineRule="exact"/>
        <w:ind w:firstLine="420"/>
        <w:rPr>
          <w:rFonts w:hAnsi="宋体"/>
          <w:sz w:val="21"/>
        </w:rPr>
      </w:pPr>
      <w:r>
        <w:rPr>
          <w:rFonts w:hint="eastAsia" w:hAnsi="宋体"/>
          <w:sz w:val="21"/>
        </w:rPr>
        <w:t>（</w:t>
      </w:r>
      <w:r>
        <w:rPr>
          <w:rFonts w:hAnsi="宋体"/>
          <w:sz w:val="21"/>
        </w:rPr>
        <w:t>2</w:t>
      </w:r>
      <w:r>
        <w:rPr>
          <w:rFonts w:hint="eastAsia" w:hAnsi="宋体"/>
          <w:sz w:val="21"/>
        </w:rPr>
        <w:t>）磋商报价表；（</w:t>
      </w:r>
      <w:r>
        <w:rPr>
          <w:rFonts w:hint="eastAsia" w:hAnsi="宋体" w:cs="宋体"/>
          <w:bCs/>
          <w:sz w:val="21"/>
        </w:rPr>
        <w:t>格式见附件二，</w:t>
      </w:r>
      <w:r>
        <w:rPr>
          <w:rFonts w:hint="eastAsia" w:hAnsi="宋体"/>
          <w:b/>
          <w:sz w:val="21"/>
        </w:rPr>
        <w:t>必须提供</w:t>
      </w:r>
      <w:r>
        <w:rPr>
          <w:rFonts w:hint="eastAsia" w:hAnsi="宋体"/>
          <w:sz w:val="21"/>
        </w:rPr>
        <w:t>）</w:t>
      </w:r>
    </w:p>
    <w:p>
      <w:pPr>
        <w:pStyle w:val="26"/>
        <w:spacing w:line="360" w:lineRule="exact"/>
        <w:ind w:firstLine="420"/>
        <w:rPr>
          <w:rFonts w:hAnsi="宋体"/>
          <w:sz w:val="21"/>
        </w:rPr>
      </w:pPr>
      <w:r>
        <w:rPr>
          <w:rFonts w:hint="eastAsia" w:hAnsi="宋体"/>
          <w:sz w:val="21"/>
        </w:rPr>
        <w:t>（</w:t>
      </w:r>
      <w:r>
        <w:rPr>
          <w:rFonts w:hAnsi="宋体"/>
          <w:sz w:val="21"/>
        </w:rPr>
        <w:t>3</w:t>
      </w:r>
      <w:r>
        <w:rPr>
          <w:rFonts w:hint="eastAsia" w:hAnsi="宋体"/>
          <w:sz w:val="21"/>
        </w:rPr>
        <w:t>）中小企业声明函</w:t>
      </w:r>
      <w:r>
        <w:rPr>
          <w:rFonts w:hint="eastAsia" w:hAnsi="宋体" w:cs="宋体"/>
          <w:sz w:val="21"/>
        </w:rPr>
        <w:t>或残疾人福利性单位声明函</w:t>
      </w:r>
      <w:r>
        <w:rPr>
          <w:rFonts w:hint="eastAsia" w:hAnsi="宋体"/>
          <w:sz w:val="21"/>
        </w:rPr>
        <w:t>。（</w:t>
      </w:r>
      <w:r>
        <w:rPr>
          <w:rFonts w:hint="eastAsia" w:hAnsi="宋体" w:cs="宋体"/>
          <w:bCs/>
          <w:sz w:val="21"/>
        </w:rPr>
        <w:t>格式见附件九，</w:t>
      </w:r>
      <w:r>
        <w:rPr>
          <w:rFonts w:hint="eastAsia" w:hAnsi="宋体"/>
          <w:b/>
          <w:sz w:val="21"/>
        </w:rPr>
        <w:t>如有请提供</w:t>
      </w:r>
      <w:r>
        <w:rPr>
          <w:rFonts w:hint="eastAsia" w:hAnsi="宋体"/>
          <w:sz w:val="21"/>
        </w:rPr>
        <w:t>）</w:t>
      </w:r>
    </w:p>
    <w:p>
      <w:pPr>
        <w:pStyle w:val="26"/>
        <w:spacing w:line="360" w:lineRule="exact"/>
        <w:ind w:firstLine="402" w:firstLineChars="200"/>
        <w:rPr>
          <w:rFonts w:hAnsi="宋体"/>
          <w:b/>
        </w:rPr>
      </w:pPr>
      <w:r>
        <w:rPr>
          <w:rFonts w:hAnsi="宋体"/>
          <w:b/>
        </w:rPr>
        <w:t xml:space="preserve">10.1.2  </w:t>
      </w:r>
      <w:r>
        <w:rPr>
          <w:rFonts w:hint="eastAsia" w:hAnsi="宋体"/>
          <w:b/>
          <w:sz w:val="21"/>
        </w:rPr>
        <w:t>商务文件</w:t>
      </w:r>
      <w:r>
        <w:rPr>
          <w:rFonts w:hint="eastAsia" w:hAnsi="宋体"/>
          <w:sz w:val="21"/>
        </w:rPr>
        <w:t>，包括：</w:t>
      </w:r>
    </w:p>
    <w:p>
      <w:pPr>
        <w:spacing w:line="320" w:lineRule="exact"/>
        <w:ind w:firstLine="33" w:firstLineChars="16"/>
        <w:rPr>
          <w:rFonts w:ascii="宋体" w:hAnsi="宋体" w:cs="宋体"/>
          <w:bCs/>
          <w:szCs w:val="21"/>
        </w:rPr>
      </w:pPr>
      <w:r>
        <w:rPr>
          <w:rFonts w:hint="eastAsia" w:ascii="宋体" w:hAnsi="宋体" w:cs="宋体"/>
          <w:bCs/>
          <w:szCs w:val="21"/>
        </w:rPr>
        <w:t>（1）法定代表人身份证明原件及身份证复印件；（格式见附件三，</w:t>
      </w:r>
      <w:r>
        <w:rPr>
          <w:rFonts w:hint="eastAsia" w:ascii="宋体" w:hAnsi="宋体" w:cs="宋体"/>
          <w:b/>
          <w:bCs/>
          <w:szCs w:val="21"/>
        </w:rPr>
        <w:t>必须提供）</w:t>
      </w:r>
    </w:p>
    <w:p>
      <w:pPr>
        <w:spacing w:line="320" w:lineRule="exact"/>
        <w:ind w:firstLine="33" w:firstLineChars="16"/>
        <w:rPr>
          <w:rFonts w:ascii="宋体" w:hAnsi="宋体" w:cs="宋体"/>
          <w:bCs/>
          <w:szCs w:val="21"/>
        </w:rPr>
      </w:pPr>
      <w:r>
        <w:rPr>
          <w:rFonts w:hint="eastAsia" w:ascii="宋体" w:hAnsi="宋体" w:cs="宋体"/>
          <w:bCs/>
          <w:szCs w:val="21"/>
        </w:rPr>
        <w:t>（2）授权委托书原件及委托代理人身份证复印件（格式见附件四，</w:t>
      </w:r>
      <w:r>
        <w:rPr>
          <w:rFonts w:hint="eastAsia" w:ascii="宋体" w:hAnsi="宋体" w:cs="宋体"/>
          <w:b/>
          <w:bCs/>
          <w:szCs w:val="21"/>
        </w:rPr>
        <w:t>委托代理时必须提供）</w:t>
      </w:r>
      <w:r>
        <w:rPr>
          <w:rFonts w:hint="eastAsia" w:ascii="宋体" w:hAnsi="宋体" w:cs="宋体"/>
          <w:bCs/>
          <w:szCs w:val="21"/>
        </w:rPr>
        <w:t>；</w:t>
      </w:r>
    </w:p>
    <w:p>
      <w:pPr>
        <w:spacing w:line="320" w:lineRule="exact"/>
        <w:ind w:firstLine="33" w:firstLineChars="16"/>
        <w:rPr>
          <w:rFonts w:ascii="宋体" w:hAnsi="宋体" w:cs="宋体"/>
        </w:rPr>
      </w:pPr>
      <w:r>
        <w:rPr>
          <w:rFonts w:hint="eastAsia" w:ascii="宋体" w:hAnsi="宋体" w:cs="宋体"/>
        </w:rPr>
        <w:t>（3）有效的企业法人营业执照副本或事业单位法人证书副本复印件；</w:t>
      </w:r>
      <w:r>
        <w:rPr>
          <w:rFonts w:hint="eastAsia" w:ascii="宋体" w:hAnsi="宋体" w:cs="宋体"/>
          <w:b/>
          <w:bCs/>
          <w:szCs w:val="21"/>
        </w:rPr>
        <w:t>（必须提供）</w:t>
      </w:r>
    </w:p>
    <w:p>
      <w:pPr>
        <w:spacing w:line="320" w:lineRule="exact"/>
        <w:ind w:firstLine="33" w:firstLineChars="16"/>
        <w:rPr>
          <w:rFonts w:ascii="宋体" w:hAnsi="宋体" w:cs="宋体"/>
        </w:rPr>
      </w:pPr>
      <w:r>
        <w:rPr>
          <w:rFonts w:hint="eastAsia" w:ascii="宋体" w:hAnsi="宋体" w:cs="宋体"/>
        </w:rPr>
        <w:t>（4）有效的建设工程质量检测机构资质证书副本、检验检测机构资质认定证书复印件；</w:t>
      </w:r>
      <w:r>
        <w:rPr>
          <w:rFonts w:hint="eastAsia" w:ascii="宋体" w:hAnsi="宋体" w:cs="宋体"/>
          <w:b/>
        </w:rPr>
        <w:t>（</w:t>
      </w:r>
      <w:r>
        <w:rPr>
          <w:rFonts w:hint="eastAsia" w:ascii="宋体" w:hAnsi="宋体" w:cs="宋体"/>
          <w:b/>
          <w:bCs/>
          <w:szCs w:val="21"/>
        </w:rPr>
        <w:t>必须提供）</w:t>
      </w:r>
    </w:p>
    <w:p>
      <w:pPr>
        <w:spacing w:line="320" w:lineRule="exact"/>
        <w:ind w:firstLine="33" w:firstLineChars="16"/>
        <w:rPr>
          <w:rFonts w:ascii="宋体" w:hAnsi="宋体" w:cs="宋体"/>
          <w:color w:val="0000FF"/>
        </w:rPr>
      </w:pPr>
    </w:p>
    <w:p>
      <w:pPr>
        <w:spacing w:line="320" w:lineRule="exact"/>
        <w:ind w:firstLine="33" w:firstLineChars="16"/>
        <w:rPr>
          <w:rFonts w:ascii="宋体" w:hAnsi="宋体" w:cs="宋体"/>
          <w:color w:val="0000FF"/>
        </w:rPr>
      </w:pPr>
    </w:p>
    <w:p>
      <w:pPr>
        <w:spacing w:line="320" w:lineRule="exact"/>
        <w:ind w:firstLine="33" w:firstLineChars="16"/>
        <w:rPr>
          <w:rFonts w:ascii="宋体" w:hAnsi="宋体" w:cs="宋体"/>
          <w:bCs/>
          <w:szCs w:val="21"/>
        </w:rPr>
      </w:pPr>
      <w:r>
        <w:rPr>
          <w:rFonts w:hint="eastAsia" w:ascii="宋体" w:hAnsi="宋体" w:cs="宋体"/>
          <w:bCs/>
          <w:szCs w:val="21"/>
        </w:rPr>
        <w:t>（5）检测项目负责人简历表；（格式见附件五，</w:t>
      </w:r>
      <w:r>
        <w:rPr>
          <w:rFonts w:hint="eastAsia" w:ascii="宋体" w:hAnsi="宋体" w:cs="宋体"/>
          <w:b/>
          <w:bCs/>
          <w:szCs w:val="21"/>
        </w:rPr>
        <w:t>必须提供）</w:t>
      </w:r>
    </w:p>
    <w:p>
      <w:pPr>
        <w:spacing w:line="380" w:lineRule="exact"/>
        <w:rPr>
          <w:rFonts w:ascii="宋体" w:hAnsi="宋体" w:cs="宋体"/>
          <w:szCs w:val="21"/>
        </w:rPr>
      </w:pPr>
      <w:r>
        <w:rPr>
          <w:rFonts w:hint="eastAsia" w:ascii="宋体" w:hAnsi="宋体" w:cs="宋体"/>
          <w:bCs/>
          <w:szCs w:val="21"/>
        </w:rPr>
        <w:t>（6）《贵港市政府采购项目投标资格承诺函》；（格式见附件六，</w:t>
      </w:r>
      <w:r>
        <w:rPr>
          <w:rFonts w:hint="eastAsia" w:ascii="宋体" w:hAnsi="宋体" w:cs="宋体"/>
          <w:b/>
          <w:bCs/>
          <w:szCs w:val="21"/>
        </w:rPr>
        <w:t>必须提供</w:t>
      </w:r>
      <w:r>
        <w:rPr>
          <w:rFonts w:hint="eastAsia" w:ascii="宋体" w:hAnsi="宋体" w:cs="宋体"/>
          <w:bCs/>
          <w:szCs w:val="21"/>
        </w:rPr>
        <w:t>）；</w:t>
      </w:r>
    </w:p>
    <w:p>
      <w:pPr>
        <w:spacing w:line="320" w:lineRule="exact"/>
        <w:ind w:firstLine="33" w:firstLineChars="16"/>
        <w:rPr>
          <w:rFonts w:ascii="宋体" w:hAnsi="宋体" w:cs="宋体"/>
          <w:bCs/>
          <w:szCs w:val="21"/>
        </w:rPr>
      </w:pPr>
      <w:r>
        <w:rPr>
          <w:rFonts w:hint="eastAsia" w:ascii="宋体" w:hAnsi="宋体" w:cs="宋体"/>
          <w:bCs/>
          <w:szCs w:val="21"/>
        </w:rPr>
        <w:t>（7）商务响应表；（格式见附件七，</w:t>
      </w:r>
      <w:r>
        <w:rPr>
          <w:rFonts w:hint="eastAsia" w:ascii="宋体" w:hAnsi="宋体" w:cs="宋体"/>
          <w:b/>
          <w:bCs/>
          <w:szCs w:val="21"/>
        </w:rPr>
        <w:t>必须提供）</w:t>
      </w:r>
    </w:p>
    <w:p>
      <w:pPr>
        <w:spacing w:line="320" w:lineRule="exact"/>
        <w:ind w:firstLine="33" w:firstLineChars="16"/>
        <w:rPr>
          <w:rFonts w:ascii="宋体" w:hAnsi="宋体" w:cs="宋体"/>
          <w:b/>
          <w:bCs/>
          <w:szCs w:val="21"/>
        </w:rPr>
      </w:pPr>
      <w:r>
        <w:rPr>
          <w:rFonts w:hint="eastAsia" w:ascii="宋体" w:hAnsi="宋体" w:cs="宋体"/>
          <w:bCs/>
          <w:szCs w:val="21"/>
        </w:rPr>
        <w:t>（8）无重大违法记录声明书；（格式见附件八，</w:t>
      </w:r>
      <w:r>
        <w:rPr>
          <w:rFonts w:hint="eastAsia" w:ascii="宋体" w:hAnsi="宋体" w:cs="宋体"/>
          <w:b/>
          <w:bCs/>
          <w:szCs w:val="21"/>
        </w:rPr>
        <w:t>必须提供）</w:t>
      </w:r>
    </w:p>
    <w:p>
      <w:pPr>
        <w:pStyle w:val="26"/>
        <w:spacing w:line="360" w:lineRule="exact"/>
        <w:rPr>
          <w:rFonts w:hAnsi="宋体" w:cs="宋体"/>
          <w:bCs/>
          <w:sz w:val="21"/>
        </w:rPr>
      </w:pPr>
      <w:r>
        <w:rPr>
          <w:rFonts w:hint="eastAsia" w:hAnsi="宋体" w:cs="宋体"/>
          <w:bCs/>
          <w:sz w:val="21"/>
        </w:rPr>
        <w:t>（9）供应商认为需要提交的其他材料。</w:t>
      </w:r>
    </w:p>
    <w:p>
      <w:pPr>
        <w:pStyle w:val="26"/>
        <w:spacing w:line="360" w:lineRule="exact"/>
        <w:ind w:firstLine="422" w:firstLineChars="200"/>
        <w:rPr>
          <w:rFonts w:hAnsi="宋体"/>
          <w:b/>
          <w:sz w:val="21"/>
        </w:rPr>
      </w:pPr>
      <w:r>
        <w:rPr>
          <w:rFonts w:hAnsi="宋体"/>
          <w:b/>
          <w:sz w:val="21"/>
        </w:rPr>
        <w:t>10.1.</w:t>
      </w:r>
      <w:r>
        <w:rPr>
          <w:rFonts w:hint="eastAsia" w:hAnsi="宋体"/>
          <w:b/>
          <w:sz w:val="21"/>
        </w:rPr>
        <w:t>3</w:t>
      </w:r>
      <w:r>
        <w:rPr>
          <w:rFonts w:hAnsi="宋体"/>
          <w:b/>
          <w:sz w:val="21"/>
        </w:rPr>
        <w:t xml:space="preserve">  </w:t>
      </w:r>
      <w:r>
        <w:rPr>
          <w:rFonts w:hint="eastAsia" w:hAnsi="宋体"/>
          <w:b/>
          <w:sz w:val="21"/>
        </w:rPr>
        <w:t>技术文件，包括：</w:t>
      </w:r>
    </w:p>
    <w:p>
      <w:pPr>
        <w:spacing w:line="320" w:lineRule="exact"/>
        <w:ind w:firstLine="33" w:firstLineChars="16"/>
        <w:rPr>
          <w:rFonts w:ascii="宋体" w:hAnsi="宋体" w:cs="宋体"/>
          <w:bCs/>
          <w:szCs w:val="21"/>
        </w:rPr>
      </w:pPr>
      <w:r>
        <w:rPr>
          <w:rFonts w:hint="eastAsia" w:ascii="宋体" w:hAnsi="宋体" w:cs="宋体"/>
          <w:bCs/>
          <w:szCs w:val="21"/>
        </w:rPr>
        <w:t>（1）工程检测大纲；（格式见附件九，</w:t>
      </w:r>
      <w:r>
        <w:rPr>
          <w:rFonts w:hint="eastAsia" w:ascii="宋体" w:hAnsi="宋体" w:cs="宋体"/>
          <w:b/>
          <w:bCs/>
          <w:szCs w:val="21"/>
        </w:rPr>
        <w:t>必须提供）</w:t>
      </w:r>
    </w:p>
    <w:p>
      <w:pPr>
        <w:spacing w:line="320" w:lineRule="exact"/>
        <w:ind w:firstLine="33" w:firstLineChars="16"/>
        <w:rPr>
          <w:rFonts w:ascii="宋体" w:hAnsi="宋体" w:cs="宋体"/>
          <w:bCs/>
          <w:szCs w:val="21"/>
        </w:rPr>
      </w:pPr>
      <w:r>
        <w:rPr>
          <w:rFonts w:hint="eastAsia" w:ascii="宋体" w:hAnsi="宋体" w:cs="宋体"/>
          <w:bCs/>
          <w:szCs w:val="21"/>
        </w:rPr>
        <w:t>（2）供应商认为</w:t>
      </w:r>
      <w:r>
        <w:rPr>
          <w:rFonts w:hint="eastAsia" w:hAnsi="宋体" w:cs="宋体"/>
          <w:bCs/>
          <w:szCs w:val="21"/>
        </w:rPr>
        <w:t>技术文件</w:t>
      </w:r>
      <w:r>
        <w:rPr>
          <w:rFonts w:hint="eastAsia" w:ascii="宋体" w:hAnsi="宋体" w:cs="宋体"/>
          <w:bCs/>
          <w:szCs w:val="21"/>
        </w:rPr>
        <w:t>需要提交的其他材料。</w:t>
      </w:r>
    </w:p>
    <w:p>
      <w:pPr>
        <w:spacing w:line="276" w:lineRule="auto"/>
        <w:ind w:firstLine="422" w:firstLineChars="200"/>
        <w:rPr>
          <w:rFonts w:ascii="宋体" w:hAnsi="宋体"/>
          <w:b/>
          <w:szCs w:val="21"/>
        </w:rPr>
      </w:pPr>
      <w:r>
        <w:rPr>
          <w:rFonts w:hint="eastAsia" w:ascii="宋体" w:hAnsi="宋体"/>
          <w:b/>
          <w:szCs w:val="21"/>
        </w:rPr>
        <w:t>以上价格部分、商务部分、技术部分文件组成中注明“必须提供”的文件均必须于本项目截标前与响应文件同时提交完备，如提供的材料不完备或未按规定加盖单位公章的，将被当作资格审查不合格而取消竞标资格。</w:t>
      </w:r>
    </w:p>
    <w:p>
      <w:pPr>
        <w:pStyle w:val="26"/>
        <w:spacing w:line="360" w:lineRule="exact"/>
        <w:ind w:firstLine="207" w:firstLineChars="98"/>
        <w:rPr>
          <w:rFonts w:hAnsi="宋体"/>
          <w:b/>
          <w:bCs/>
          <w:sz w:val="21"/>
        </w:rPr>
      </w:pPr>
      <w:r>
        <w:rPr>
          <w:rFonts w:hAnsi="宋体"/>
          <w:b/>
          <w:bCs/>
          <w:sz w:val="21"/>
        </w:rPr>
        <w:t>11</w:t>
      </w:r>
      <w:r>
        <w:rPr>
          <w:rFonts w:hint="eastAsia" w:hAnsi="宋体"/>
          <w:b/>
          <w:bCs/>
          <w:sz w:val="21"/>
        </w:rPr>
        <w:t>、磋商报价：</w:t>
      </w:r>
    </w:p>
    <w:p>
      <w:pPr>
        <w:pStyle w:val="26"/>
        <w:spacing w:line="360" w:lineRule="exact"/>
        <w:ind w:firstLine="420" w:firstLineChars="200"/>
        <w:rPr>
          <w:rFonts w:hAnsi="宋体"/>
          <w:sz w:val="21"/>
        </w:rPr>
      </w:pPr>
      <w:r>
        <w:rPr>
          <w:rFonts w:hAnsi="宋体"/>
          <w:sz w:val="21"/>
        </w:rPr>
        <w:t xml:space="preserve">11.1  </w:t>
      </w:r>
      <w:r>
        <w:rPr>
          <w:rFonts w:hint="eastAsia" w:hAnsi="宋体"/>
          <w:sz w:val="21"/>
        </w:rPr>
        <w:t>磋商供应商应以人民币报价。</w:t>
      </w:r>
    </w:p>
    <w:p>
      <w:pPr>
        <w:pStyle w:val="26"/>
        <w:spacing w:line="360" w:lineRule="exact"/>
        <w:ind w:firstLine="420" w:firstLineChars="200"/>
        <w:rPr>
          <w:rFonts w:hAnsi="宋体"/>
          <w:sz w:val="21"/>
        </w:rPr>
      </w:pPr>
      <w:r>
        <w:rPr>
          <w:rFonts w:hAnsi="宋体"/>
          <w:sz w:val="21"/>
        </w:rPr>
        <w:t xml:space="preserve">11.2  </w:t>
      </w:r>
      <w:r>
        <w:rPr>
          <w:rFonts w:hint="eastAsia" w:hAnsi="宋体"/>
          <w:sz w:val="21"/>
        </w:rPr>
        <w:t>磋商供应商就第二章“服务项目采购需求”中的检测清单</w:t>
      </w:r>
      <w:r>
        <w:rPr>
          <w:rFonts w:hint="eastAsia" w:hAnsi="宋体"/>
          <w:b/>
          <w:sz w:val="21"/>
        </w:rPr>
        <w:t>内容作完整且唯一报价。</w:t>
      </w:r>
    </w:p>
    <w:p>
      <w:pPr>
        <w:pStyle w:val="26"/>
        <w:spacing w:line="360" w:lineRule="exact"/>
        <w:ind w:firstLine="420" w:firstLineChars="200"/>
        <w:rPr>
          <w:rFonts w:hAnsi="宋体"/>
          <w:sz w:val="21"/>
        </w:rPr>
      </w:pPr>
      <w:r>
        <w:rPr>
          <w:rFonts w:hAnsi="宋体"/>
          <w:sz w:val="21"/>
        </w:rPr>
        <w:t xml:space="preserve">11.3  </w:t>
      </w:r>
      <w:r>
        <w:rPr>
          <w:rFonts w:hint="eastAsia" w:hAnsi="宋体"/>
          <w:sz w:val="21"/>
        </w:rPr>
        <w:t>磋商报价为综合单价报价，其组成部分详见第二章“服务项目采购需求”。</w:t>
      </w:r>
    </w:p>
    <w:p>
      <w:pPr>
        <w:pStyle w:val="26"/>
        <w:spacing w:line="360" w:lineRule="exact"/>
        <w:ind w:firstLine="210" w:firstLineChars="100"/>
        <w:rPr>
          <w:rFonts w:hAnsi="宋体"/>
          <w:sz w:val="21"/>
        </w:rPr>
      </w:pPr>
      <w:r>
        <w:rPr>
          <w:rFonts w:hAnsi="宋体"/>
          <w:sz w:val="21"/>
        </w:rPr>
        <w:t xml:space="preserve"> 11.4  </w:t>
      </w:r>
      <w:r>
        <w:rPr>
          <w:rFonts w:hint="eastAsia" w:hAnsi="宋体"/>
          <w:sz w:val="21"/>
        </w:rPr>
        <w:t>本项目的采购代理服务费及成交服务费收费按物价部门核准的收费标准执行，见磋商供应商须知前附表。</w:t>
      </w:r>
    </w:p>
    <w:p>
      <w:pPr>
        <w:pStyle w:val="26"/>
        <w:spacing w:line="360" w:lineRule="exact"/>
        <w:ind w:firstLine="420" w:firstLineChars="200"/>
        <w:rPr>
          <w:rFonts w:hAnsi="宋体"/>
          <w:sz w:val="21"/>
        </w:rPr>
      </w:pPr>
      <w:r>
        <w:rPr>
          <w:rFonts w:hAnsi="宋体"/>
          <w:sz w:val="21"/>
        </w:rPr>
        <w:t xml:space="preserve">11.5  </w:t>
      </w:r>
      <w:r>
        <w:rPr>
          <w:rFonts w:hint="eastAsia" w:hAnsi="宋体"/>
          <w:sz w:val="21"/>
        </w:rPr>
        <w:t>不论磋商结果如何，磋商供应商均应自行承担与编制和递交响应文件有关的全部费用。</w:t>
      </w:r>
    </w:p>
    <w:p>
      <w:pPr>
        <w:pStyle w:val="26"/>
        <w:spacing w:line="360" w:lineRule="exact"/>
        <w:ind w:firstLine="207" w:firstLineChars="98"/>
        <w:rPr>
          <w:rFonts w:hAnsi="宋体"/>
          <w:b/>
          <w:bCs/>
          <w:sz w:val="21"/>
        </w:rPr>
      </w:pPr>
      <w:r>
        <w:rPr>
          <w:rFonts w:hAnsi="宋体"/>
          <w:b/>
          <w:bCs/>
          <w:sz w:val="21"/>
        </w:rPr>
        <w:t>12</w:t>
      </w:r>
      <w:r>
        <w:rPr>
          <w:rFonts w:hint="eastAsia" w:hAnsi="宋体"/>
          <w:b/>
          <w:bCs/>
          <w:sz w:val="21"/>
        </w:rPr>
        <w:t>、磋商有效期</w:t>
      </w:r>
    </w:p>
    <w:p>
      <w:pPr>
        <w:pStyle w:val="26"/>
        <w:spacing w:line="360" w:lineRule="exact"/>
        <w:ind w:firstLine="420" w:firstLineChars="200"/>
        <w:rPr>
          <w:rFonts w:hAnsi="宋体"/>
          <w:bCs/>
          <w:sz w:val="21"/>
        </w:rPr>
      </w:pPr>
      <w:r>
        <w:rPr>
          <w:rFonts w:hAnsi="宋体"/>
          <w:sz w:val="21"/>
        </w:rPr>
        <w:t xml:space="preserve">12.1  </w:t>
      </w:r>
      <w:r>
        <w:rPr>
          <w:rFonts w:hint="eastAsia" w:hAnsi="宋体"/>
          <w:sz w:val="21"/>
        </w:rPr>
        <w:t>在磋商供应商须知前附表规定的磋商有效期内，磋商供应商不得要求撤销或修改其响应文件。</w:t>
      </w:r>
    </w:p>
    <w:p>
      <w:pPr>
        <w:pStyle w:val="26"/>
        <w:spacing w:line="360" w:lineRule="exact"/>
        <w:ind w:firstLine="420" w:firstLineChars="200"/>
        <w:rPr>
          <w:rFonts w:hAnsi="宋体"/>
          <w:bCs/>
          <w:sz w:val="21"/>
        </w:rPr>
      </w:pPr>
      <w:r>
        <w:rPr>
          <w:rFonts w:hAnsi="宋体"/>
          <w:sz w:val="21"/>
        </w:rPr>
        <w:t xml:space="preserve">12.2  </w:t>
      </w:r>
      <w:r>
        <w:rPr>
          <w:rFonts w:hint="eastAsia" w:hAnsi="宋体"/>
          <w:sz w:val="21"/>
        </w:rPr>
        <w:t>在特殊情况下，采购人或采购代理机构可与磋商供应商协商延长磋商有效期，这种要求与答复均应使用书面形式。磋商供应商同意延长的，应相应延长其磋商保证金的有效期，但不得要求或被允许修改或撤销其响应文件；磋商供应商拒绝延长的，其磋商失效，但磋商供应商有权收回其磋商保证金。</w:t>
      </w:r>
    </w:p>
    <w:p>
      <w:pPr>
        <w:pStyle w:val="26"/>
        <w:spacing w:line="360" w:lineRule="exact"/>
        <w:ind w:firstLine="207" w:firstLineChars="98"/>
        <w:rPr>
          <w:rFonts w:hAnsi="宋体"/>
          <w:b/>
          <w:bCs/>
          <w:sz w:val="21"/>
        </w:rPr>
      </w:pPr>
      <w:r>
        <w:rPr>
          <w:rFonts w:hAnsi="宋体"/>
          <w:b/>
          <w:bCs/>
          <w:sz w:val="21"/>
        </w:rPr>
        <w:t>13</w:t>
      </w:r>
      <w:r>
        <w:rPr>
          <w:rFonts w:hint="eastAsia" w:hAnsi="宋体"/>
          <w:b/>
          <w:bCs/>
          <w:sz w:val="21"/>
        </w:rPr>
        <w:t>、磋商保证金：</w:t>
      </w:r>
    </w:p>
    <w:p>
      <w:pPr>
        <w:pStyle w:val="26"/>
        <w:tabs>
          <w:tab w:val="left" w:pos="0"/>
        </w:tabs>
        <w:spacing w:line="360" w:lineRule="exact"/>
        <w:ind w:firstLine="420" w:firstLineChars="200"/>
        <w:rPr>
          <w:rFonts w:hAnsi="宋体"/>
          <w:sz w:val="21"/>
        </w:rPr>
      </w:pPr>
      <w:r>
        <w:rPr>
          <w:rFonts w:hAnsi="宋体"/>
          <w:sz w:val="21"/>
        </w:rPr>
        <w:t>13.1</w:t>
      </w:r>
      <w:r>
        <w:rPr>
          <w:rFonts w:hint="eastAsia" w:hAnsi="宋体"/>
          <w:sz w:val="21"/>
        </w:rPr>
        <w:t>潜在供应商必须按磋商供应商须知前附表的规定缴纳磋商保证金。</w:t>
      </w:r>
    </w:p>
    <w:p>
      <w:pPr>
        <w:pStyle w:val="26"/>
        <w:tabs>
          <w:tab w:val="left" w:pos="0"/>
        </w:tabs>
        <w:spacing w:line="360" w:lineRule="exact"/>
        <w:ind w:firstLine="420" w:firstLineChars="200"/>
        <w:rPr>
          <w:rFonts w:hAnsi="宋体"/>
          <w:sz w:val="21"/>
        </w:rPr>
      </w:pPr>
      <w:r>
        <w:rPr>
          <w:rFonts w:hAnsi="宋体"/>
          <w:sz w:val="21"/>
        </w:rPr>
        <w:t>13.2</w:t>
      </w:r>
      <w:r>
        <w:rPr>
          <w:rFonts w:hint="eastAsia" w:hAnsi="宋体"/>
          <w:sz w:val="21"/>
        </w:rPr>
        <w:t>磋商保证金应于竞标截止时间前到达专用账户</w:t>
      </w:r>
      <w:r>
        <w:rPr>
          <w:rFonts w:hAnsi="宋体"/>
          <w:sz w:val="21"/>
        </w:rPr>
        <w:t>(</w:t>
      </w:r>
      <w:r>
        <w:rPr>
          <w:rFonts w:hint="eastAsia" w:hAnsi="宋体"/>
          <w:sz w:val="21"/>
        </w:rPr>
        <w:t>到账时间以银行确认的到达专用账户时间为准</w:t>
      </w:r>
      <w:r>
        <w:rPr>
          <w:rFonts w:hAnsi="宋体"/>
          <w:sz w:val="21"/>
        </w:rPr>
        <w:t>)</w:t>
      </w:r>
      <w:r>
        <w:rPr>
          <w:rFonts w:hint="eastAsia" w:hAnsi="宋体"/>
          <w:sz w:val="21"/>
        </w:rPr>
        <w:t>并按</w:t>
      </w:r>
      <w:r>
        <w:rPr>
          <w:rFonts w:hAnsi="宋体"/>
          <w:sz w:val="21"/>
        </w:rPr>
        <w:t>13.1</w:t>
      </w:r>
      <w:r>
        <w:rPr>
          <w:rFonts w:hint="eastAsia" w:hAnsi="宋体"/>
          <w:sz w:val="21"/>
        </w:rPr>
        <w:t>要求进行操作</w:t>
      </w:r>
      <w:r>
        <w:rPr>
          <w:rFonts w:hAnsi="宋体"/>
          <w:sz w:val="21"/>
        </w:rPr>
        <w:t>,</w:t>
      </w:r>
      <w:r>
        <w:rPr>
          <w:rFonts w:hint="eastAsia" w:hAnsi="宋体"/>
          <w:sz w:val="21"/>
        </w:rPr>
        <w:t>否则磋商会被拒绝。供应商提交的磋商保证金仅限当次磋商项目（标段）有效，不得重复替代使用。</w:t>
      </w:r>
    </w:p>
    <w:p>
      <w:pPr>
        <w:pStyle w:val="26"/>
        <w:tabs>
          <w:tab w:val="left" w:pos="0"/>
        </w:tabs>
        <w:spacing w:line="360" w:lineRule="exact"/>
        <w:ind w:firstLine="420" w:firstLineChars="200"/>
        <w:rPr>
          <w:rFonts w:hAnsi="宋体"/>
          <w:sz w:val="21"/>
        </w:rPr>
      </w:pPr>
      <w:r>
        <w:rPr>
          <w:rFonts w:hAnsi="宋体"/>
          <w:sz w:val="21"/>
        </w:rPr>
        <w:t>13.3</w:t>
      </w:r>
      <w:r>
        <w:rPr>
          <w:rFonts w:hint="eastAsia" w:hAnsi="宋体"/>
          <w:sz w:val="21"/>
        </w:rPr>
        <w:t>磋商小组根据磋商保证金缴纳证明查验磋商保证金提交情况。</w:t>
      </w:r>
    </w:p>
    <w:p>
      <w:pPr>
        <w:pStyle w:val="26"/>
        <w:tabs>
          <w:tab w:val="left" w:pos="0"/>
        </w:tabs>
        <w:spacing w:line="360" w:lineRule="exact"/>
        <w:ind w:firstLine="420" w:firstLineChars="200"/>
        <w:rPr>
          <w:rFonts w:hAnsi="宋体"/>
          <w:sz w:val="21"/>
        </w:rPr>
      </w:pPr>
      <w:r>
        <w:rPr>
          <w:rFonts w:hAnsi="宋体"/>
          <w:sz w:val="21"/>
        </w:rPr>
        <w:t>13.4</w:t>
      </w:r>
      <w:r>
        <w:rPr>
          <w:rFonts w:hint="eastAsia" w:hAnsi="宋体"/>
          <w:sz w:val="21"/>
        </w:rPr>
        <w:t>广西盛凯工程咨询有限公司负责对磋商保证金的递交方式进行解释。</w:t>
      </w:r>
    </w:p>
    <w:p>
      <w:pPr>
        <w:pStyle w:val="26"/>
        <w:tabs>
          <w:tab w:val="left" w:pos="0"/>
        </w:tabs>
        <w:spacing w:line="360" w:lineRule="exact"/>
        <w:ind w:firstLine="420" w:firstLineChars="200"/>
        <w:rPr>
          <w:rFonts w:hAnsi="宋体"/>
          <w:sz w:val="21"/>
        </w:rPr>
      </w:pPr>
      <w:r>
        <w:rPr>
          <w:rFonts w:hAnsi="宋体"/>
          <w:sz w:val="21"/>
        </w:rPr>
        <w:t>13.5</w:t>
      </w:r>
      <w:r>
        <w:rPr>
          <w:rFonts w:hint="eastAsia" w:hAnsi="宋体"/>
          <w:sz w:val="21"/>
        </w:rPr>
        <w:t>未成交供应商的磋商保证金，除本章第</w:t>
      </w:r>
      <w:r>
        <w:rPr>
          <w:rFonts w:hAnsi="宋体"/>
          <w:sz w:val="21"/>
        </w:rPr>
        <w:t>13.6</w:t>
      </w:r>
      <w:r>
        <w:rPr>
          <w:rFonts w:hint="eastAsia" w:hAnsi="宋体"/>
          <w:sz w:val="21"/>
        </w:rPr>
        <w:t>项规定的不予退还的情形外，将无息退还至未成交供应商的账号。成交供应商的保证金退还。采购人与成交供应商签订合同后，采购代理机构收到合同书后五个工作日内，将按照未成交人退付投标保证金的退付方式，以转账或电汇方式退还。</w:t>
      </w:r>
    </w:p>
    <w:p>
      <w:pPr>
        <w:pStyle w:val="26"/>
        <w:tabs>
          <w:tab w:val="left" w:pos="0"/>
        </w:tabs>
        <w:spacing w:line="360" w:lineRule="exact"/>
        <w:ind w:firstLine="420" w:firstLineChars="200"/>
        <w:rPr>
          <w:rFonts w:hAnsi="宋体"/>
          <w:sz w:val="21"/>
        </w:rPr>
      </w:pPr>
      <w:r>
        <w:rPr>
          <w:rFonts w:hAnsi="宋体"/>
          <w:sz w:val="21"/>
        </w:rPr>
        <w:t>13.6</w:t>
      </w:r>
      <w:r>
        <w:rPr>
          <w:rFonts w:hint="eastAsia" w:hAnsi="宋体"/>
          <w:sz w:val="21"/>
        </w:rPr>
        <w:t>磋商供应商有下列情形之一的，不予退还其交纳的磋商保证金：</w:t>
      </w:r>
    </w:p>
    <w:p>
      <w:pPr>
        <w:pStyle w:val="26"/>
        <w:spacing w:line="360" w:lineRule="exact"/>
        <w:ind w:left="2" w:firstLine="417" w:firstLineChars="199"/>
        <w:rPr>
          <w:rFonts w:hAnsi="宋体"/>
          <w:sz w:val="21"/>
        </w:rPr>
      </w:pPr>
      <w:r>
        <w:rPr>
          <w:rFonts w:hint="eastAsia" w:hAnsi="宋体"/>
          <w:sz w:val="21"/>
        </w:rPr>
        <w:t>（</w:t>
      </w:r>
      <w:r>
        <w:rPr>
          <w:rFonts w:hAnsi="宋体"/>
          <w:sz w:val="21"/>
        </w:rPr>
        <w:t>1</w:t>
      </w:r>
      <w:r>
        <w:rPr>
          <w:rFonts w:hint="eastAsia" w:hAnsi="宋体"/>
          <w:sz w:val="21"/>
        </w:rPr>
        <w:t>）在截标后要求撤回磋商的；</w:t>
      </w:r>
    </w:p>
    <w:p>
      <w:pPr>
        <w:pStyle w:val="26"/>
        <w:spacing w:line="360" w:lineRule="exact"/>
        <w:ind w:left="2" w:firstLine="417" w:firstLineChars="199"/>
        <w:rPr>
          <w:rFonts w:hAnsi="宋体"/>
          <w:sz w:val="21"/>
        </w:rPr>
      </w:pPr>
      <w:r>
        <w:rPr>
          <w:rFonts w:hint="eastAsia" w:hAnsi="宋体"/>
          <w:sz w:val="21"/>
        </w:rPr>
        <w:t>（</w:t>
      </w:r>
      <w:r>
        <w:rPr>
          <w:rFonts w:hAnsi="宋体"/>
          <w:sz w:val="21"/>
        </w:rPr>
        <w:t>2</w:t>
      </w:r>
      <w:r>
        <w:rPr>
          <w:rFonts w:hint="eastAsia" w:hAnsi="宋体"/>
          <w:sz w:val="21"/>
        </w:rPr>
        <w:t>）属本章第</w:t>
      </w:r>
      <w:r>
        <w:rPr>
          <w:rFonts w:hAnsi="宋体"/>
          <w:sz w:val="21"/>
        </w:rPr>
        <w:t>18.2</w:t>
      </w:r>
      <w:r>
        <w:rPr>
          <w:rFonts w:hint="eastAsia" w:hAnsi="宋体"/>
          <w:sz w:val="21"/>
        </w:rPr>
        <w:t>项所述情形的；</w:t>
      </w:r>
    </w:p>
    <w:p>
      <w:pPr>
        <w:pStyle w:val="26"/>
        <w:spacing w:line="360" w:lineRule="exact"/>
        <w:ind w:left="2" w:firstLine="417" w:firstLineChars="199"/>
        <w:rPr>
          <w:rFonts w:hAnsi="宋体"/>
          <w:sz w:val="21"/>
        </w:rPr>
      </w:pPr>
      <w:r>
        <w:rPr>
          <w:rFonts w:hint="eastAsia" w:hAnsi="宋体"/>
          <w:sz w:val="21"/>
        </w:rPr>
        <w:t>（</w:t>
      </w:r>
      <w:r>
        <w:rPr>
          <w:rFonts w:hAnsi="宋体"/>
          <w:sz w:val="21"/>
        </w:rPr>
        <w:t>3</w:t>
      </w:r>
      <w:r>
        <w:rPr>
          <w:rFonts w:hint="eastAsia" w:hAnsi="宋体"/>
          <w:sz w:val="21"/>
        </w:rPr>
        <w:t>）成交后未按规定缴纳履约保证金的；</w:t>
      </w:r>
    </w:p>
    <w:p>
      <w:pPr>
        <w:pStyle w:val="26"/>
        <w:spacing w:line="360" w:lineRule="exact"/>
        <w:ind w:left="2" w:firstLine="417" w:firstLineChars="199"/>
        <w:rPr>
          <w:rFonts w:hAnsi="宋体"/>
          <w:sz w:val="21"/>
        </w:rPr>
      </w:pPr>
      <w:r>
        <w:rPr>
          <w:rFonts w:hint="eastAsia" w:hAnsi="宋体"/>
          <w:sz w:val="21"/>
        </w:rPr>
        <w:t>（</w:t>
      </w:r>
      <w:r>
        <w:rPr>
          <w:rFonts w:hAnsi="宋体"/>
          <w:sz w:val="21"/>
        </w:rPr>
        <w:t>4</w:t>
      </w:r>
      <w:r>
        <w:rPr>
          <w:rFonts w:hint="eastAsia" w:hAnsi="宋体"/>
          <w:sz w:val="21"/>
        </w:rPr>
        <w:t>）成交后无正当理由不与采购人或者采购代理机构按规定的时间、地点签订合同的；</w:t>
      </w:r>
    </w:p>
    <w:p>
      <w:pPr>
        <w:pStyle w:val="26"/>
        <w:spacing w:line="360" w:lineRule="exact"/>
        <w:ind w:left="2" w:firstLine="417" w:firstLineChars="199"/>
        <w:rPr>
          <w:rFonts w:hAnsi="宋体"/>
          <w:sz w:val="21"/>
        </w:rPr>
      </w:pPr>
      <w:r>
        <w:rPr>
          <w:rFonts w:hint="eastAsia" w:hAnsi="宋体"/>
          <w:sz w:val="21"/>
        </w:rPr>
        <w:t>（</w:t>
      </w:r>
      <w:r>
        <w:rPr>
          <w:rFonts w:hAnsi="宋体"/>
          <w:sz w:val="21"/>
        </w:rPr>
        <w:t>5</w:t>
      </w:r>
      <w:r>
        <w:rPr>
          <w:rFonts w:hint="eastAsia" w:hAnsi="宋体"/>
          <w:sz w:val="21"/>
        </w:rPr>
        <w:t>）成交后与采购人签订对竞争性磋商采购文件和响应文件作了实质性修改的合同，或与采购人私下订立背离合同实质性内容的协议的；</w:t>
      </w:r>
    </w:p>
    <w:p>
      <w:pPr>
        <w:pStyle w:val="26"/>
        <w:spacing w:line="360" w:lineRule="exact"/>
        <w:ind w:left="2" w:firstLine="417" w:firstLineChars="199"/>
        <w:rPr>
          <w:rFonts w:hAnsi="宋体"/>
          <w:sz w:val="21"/>
        </w:rPr>
      </w:pPr>
      <w:r>
        <w:rPr>
          <w:rFonts w:hint="eastAsia" w:hAnsi="宋体"/>
          <w:sz w:val="21"/>
        </w:rPr>
        <w:t>（</w:t>
      </w:r>
      <w:r>
        <w:rPr>
          <w:rFonts w:hAnsi="宋体"/>
          <w:sz w:val="21"/>
        </w:rPr>
        <w:t>6</w:t>
      </w:r>
      <w:r>
        <w:rPr>
          <w:rFonts w:hint="eastAsia" w:hAnsi="宋体"/>
          <w:sz w:val="21"/>
        </w:rPr>
        <w:t>）将成交项目转让给他人，或者在响应文件中未说明，且未经采购人或采购代理机构同意，将成交项目分包给他人的。</w:t>
      </w:r>
    </w:p>
    <w:p>
      <w:pPr>
        <w:pStyle w:val="26"/>
        <w:jc w:val="center"/>
        <w:outlineLvl w:val="1"/>
        <w:rPr>
          <w:rFonts w:hAnsi="宋体"/>
          <w:b/>
          <w:sz w:val="30"/>
          <w:szCs w:val="30"/>
        </w:rPr>
      </w:pPr>
      <w:bookmarkStart w:id="52" w:name="_Toc452041908"/>
      <w:r>
        <w:rPr>
          <w:rFonts w:hint="eastAsia" w:hAnsi="宋体"/>
          <w:b/>
          <w:sz w:val="30"/>
          <w:szCs w:val="30"/>
        </w:rPr>
        <w:t>四、磋商</w:t>
      </w:r>
      <w:bookmarkEnd w:id="52"/>
    </w:p>
    <w:p>
      <w:pPr>
        <w:pStyle w:val="26"/>
        <w:spacing w:line="360" w:lineRule="exact"/>
        <w:ind w:firstLine="207" w:firstLineChars="98"/>
        <w:rPr>
          <w:rFonts w:hAnsi="宋体"/>
          <w:b/>
          <w:bCs/>
          <w:sz w:val="21"/>
        </w:rPr>
      </w:pPr>
      <w:r>
        <w:rPr>
          <w:rFonts w:hAnsi="宋体"/>
          <w:b/>
          <w:bCs/>
          <w:sz w:val="21"/>
        </w:rPr>
        <w:t>14</w:t>
      </w:r>
      <w:r>
        <w:rPr>
          <w:rFonts w:hint="eastAsia" w:hAnsi="宋体"/>
          <w:b/>
          <w:bCs/>
          <w:sz w:val="21"/>
        </w:rPr>
        <w:t>、响应文件的密封：</w:t>
      </w:r>
    </w:p>
    <w:p>
      <w:pPr>
        <w:pStyle w:val="26"/>
        <w:spacing w:line="360" w:lineRule="exact"/>
        <w:ind w:firstLine="420" w:firstLineChars="200"/>
        <w:rPr>
          <w:rFonts w:hAnsi="宋体"/>
          <w:sz w:val="21"/>
        </w:rPr>
      </w:pPr>
      <w:r>
        <w:rPr>
          <w:rFonts w:hAnsi="宋体"/>
          <w:sz w:val="21"/>
        </w:rPr>
        <w:t xml:space="preserve">14.1  </w:t>
      </w:r>
      <w:r>
        <w:rPr>
          <w:rFonts w:hint="eastAsia" w:hAnsi="宋体"/>
          <w:sz w:val="21"/>
        </w:rPr>
        <w:t>磋商供应商应将响应文件进行密封包装，并在包装面上加盖单位公章。</w:t>
      </w:r>
    </w:p>
    <w:p>
      <w:pPr>
        <w:pStyle w:val="26"/>
        <w:spacing w:line="360" w:lineRule="exact"/>
        <w:ind w:firstLine="207" w:firstLineChars="98"/>
        <w:rPr>
          <w:rFonts w:hAnsi="宋体"/>
          <w:b/>
          <w:bCs/>
          <w:sz w:val="21"/>
        </w:rPr>
      </w:pPr>
      <w:r>
        <w:rPr>
          <w:rFonts w:hAnsi="宋体"/>
          <w:b/>
          <w:bCs/>
          <w:sz w:val="21"/>
        </w:rPr>
        <w:t>15</w:t>
      </w:r>
      <w:r>
        <w:rPr>
          <w:rFonts w:hint="eastAsia" w:hAnsi="宋体"/>
          <w:b/>
          <w:bCs/>
          <w:sz w:val="21"/>
        </w:rPr>
        <w:t>、响应文件的递交：</w:t>
      </w:r>
    </w:p>
    <w:p>
      <w:pPr>
        <w:pStyle w:val="26"/>
        <w:spacing w:line="360" w:lineRule="exact"/>
        <w:ind w:firstLine="420" w:firstLineChars="200"/>
        <w:rPr>
          <w:rFonts w:hAnsi="宋体"/>
          <w:bCs/>
          <w:sz w:val="21"/>
        </w:rPr>
      </w:pPr>
      <w:r>
        <w:rPr>
          <w:rFonts w:hAnsi="宋体"/>
          <w:sz w:val="21"/>
        </w:rPr>
        <w:t xml:space="preserve">15.1  </w:t>
      </w:r>
      <w:r>
        <w:rPr>
          <w:rFonts w:hint="eastAsia" w:hAnsi="宋体"/>
          <w:sz w:val="21"/>
        </w:rPr>
        <w:t>磋商供应商递交响应文件截止时间：见磋商供应商须知前附表。</w:t>
      </w:r>
    </w:p>
    <w:p>
      <w:pPr>
        <w:pStyle w:val="26"/>
        <w:spacing w:line="360" w:lineRule="exact"/>
        <w:ind w:firstLine="420" w:firstLineChars="200"/>
        <w:rPr>
          <w:rFonts w:hAnsi="宋体"/>
          <w:bCs/>
          <w:sz w:val="21"/>
        </w:rPr>
      </w:pPr>
      <w:r>
        <w:rPr>
          <w:rFonts w:hAnsi="宋体"/>
          <w:sz w:val="21"/>
        </w:rPr>
        <w:t xml:space="preserve">15.2  </w:t>
      </w:r>
      <w:r>
        <w:rPr>
          <w:rFonts w:hint="eastAsia" w:hAnsi="宋体"/>
          <w:sz w:val="21"/>
        </w:rPr>
        <w:t>磋商供应商递交响应文件地点：见磋商供应商须知前附表。</w:t>
      </w:r>
    </w:p>
    <w:p>
      <w:pPr>
        <w:pStyle w:val="26"/>
        <w:spacing w:line="360" w:lineRule="exact"/>
        <w:ind w:firstLine="420" w:firstLineChars="200"/>
        <w:rPr>
          <w:rFonts w:hAnsi="宋体"/>
          <w:bCs/>
          <w:sz w:val="21"/>
        </w:rPr>
      </w:pPr>
      <w:r>
        <w:rPr>
          <w:rFonts w:hAnsi="宋体"/>
          <w:sz w:val="21"/>
        </w:rPr>
        <w:t xml:space="preserve">15.3  </w:t>
      </w:r>
      <w:r>
        <w:rPr>
          <w:rFonts w:hint="eastAsia" w:hAnsi="宋体"/>
          <w:sz w:val="21"/>
        </w:rPr>
        <w:t>磋商供应商递交磋商样品截止时间：见磋商供应商须知前附表。</w:t>
      </w:r>
    </w:p>
    <w:p>
      <w:pPr>
        <w:pStyle w:val="26"/>
        <w:spacing w:line="360" w:lineRule="exact"/>
        <w:ind w:firstLine="420" w:firstLineChars="200"/>
        <w:rPr>
          <w:rFonts w:hAnsi="宋体"/>
          <w:sz w:val="21"/>
        </w:rPr>
      </w:pPr>
      <w:r>
        <w:rPr>
          <w:rFonts w:hAnsi="宋体"/>
          <w:sz w:val="21"/>
        </w:rPr>
        <w:t xml:space="preserve">15.4  </w:t>
      </w:r>
      <w:r>
        <w:rPr>
          <w:rFonts w:hint="eastAsia" w:hAnsi="宋体"/>
          <w:sz w:val="21"/>
        </w:rPr>
        <w:t>磋商供应商递交磋商样品地点：见磋商供应商须知前附表。</w:t>
      </w:r>
    </w:p>
    <w:p>
      <w:pPr>
        <w:pStyle w:val="26"/>
        <w:spacing w:line="360" w:lineRule="exact"/>
        <w:ind w:firstLine="420" w:firstLineChars="200"/>
        <w:rPr>
          <w:rFonts w:hAnsi="宋体"/>
          <w:sz w:val="21"/>
        </w:rPr>
      </w:pPr>
      <w:r>
        <w:rPr>
          <w:rFonts w:hAnsi="宋体"/>
          <w:sz w:val="21"/>
        </w:rPr>
        <w:t xml:space="preserve">15.5  </w:t>
      </w:r>
      <w:r>
        <w:rPr>
          <w:rFonts w:hint="eastAsia" w:hAnsi="宋体"/>
          <w:sz w:val="21"/>
        </w:rPr>
        <w:t>磋商供应商递交响应文件时，应自行检查其响应文件的密封性，并签字确认。</w:t>
      </w:r>
    </w:p>
    <w:p>
      <w:pPr>
        <w:pStyle w:val="26"/>
        <w:spacing w:line="360" w:lineRule="exact"/>
        <w:jc w:val="center"/>
        <w:rPr>
          <w:rFonts w:hAnsi="宋体"/>
          <w:sz w:val="21"/>
        </w:rPr>
      </w:pPr>
    </w:p>
    <w:p>
      <w:pPr>
        <w:pStyle w:val="26"/>
        <w:jc w:val="center"/>
        <w:outlineLvl w:val="1"/>
        <w:rPr>
          <w:rFonts w:hAnsi="宋体"/>
          <w:b/>
          <w:sz w:val="30"/>
          <w:szCs w:val="30"/>
        </w:rPr>
      </w:pPr>
      <w:bookmarkStart w:id="53" w:name="_Toc452041909"/>
      <w:r>
        <w:rPr>
          <w:rFonts w:hint="eastAsia" w:hAnsi="宋体"/>
          <w:b/>
          <w:sz w:val="30"/>
          <w:szCs w:val="30"/>
        </w:rPr>
        <w:t>五、评审与磋商谈判</w:t>
      </w:r>
      <w:bookmarkEnd w:id="53"/>
    </w:p>
    <w:p>
      <w:pPr>
        <w:pStyle w:val="26"/>
        <w:spacing w:line="360" w:lineRule="exact"/>
        <w:ind w:firstLine="207" w:firstLineChars="98"/>
        <w:rPr>
          <w:rFonts w:hAnsi="宋体"/>
          <w:b/>
          <w:bCs/>
          <w:sz w:val="21"/>
        </w:rPr>
      </w:pPr>
      <w:r>
        <w:rPr>
          <w:rFonts w:hAnsi="宋体"/>
          <w:b/>
          <w:bCs/>
          <w:sz w:val="21"/>
        </w:rPr>
        <w:t>16</w:t>
      </w:r>
      <w:r>
        <w:rPr>
          <w:rFonts w:hint="eastAsia" w:hAnsi="宋体"/>
          <w:b/>
          <w:bCs/>
          <w:sz w:val="21"/>
        </w:rPr>
        <w:t>、截标：</w:t>
      </w:r>
    </w:p>
    <w:p>
      <w:pPr>
        <w:pStyle w:val="26"/>
        <w:spacing w:line="360" w:lineRule="exact"/>
        <w:ind w:firstLine="420" w:firstLineChars="200"/>
        <w:rPr>
          <w:rFonts w:hAnsi="宋体"/>
          <w:sz w:val="21"/>
        </w:rPr>
      </w:pPr>
      <w:r>
        <w:rPr>
          <w:rFonts w:hAnsi="宋体"/>
          <w:sz w:val="21"/>
        </w:rPr>
        <w:t xml:space="preserve">16.1  </w:t>
      </w:r>
      <w:r>
        <w:rPr>
          <w:rFonts w:hint="eastAsia" w:hAnsi="宋体"/>
          <w:sz w:val="21"/>
        </w:rPr>
        <w:t>磋商供应商的法定代表人或其委托代理人应在递交响应文件截止时间到达响应文件递交地点并签到。如未按时签到，由此产生的后果由磋商供应商自行负责。</w:t>
      </w:r>
    </w:p>
    <w:p>
      <w:pPr>
        <w:pStyle w:val="26"/>
        <w:spacing w:line="360" w:lineRule="exact"/>
        <w:ind w:firstLine="207" w:firstLineChars="98"/>
        <w:rPr>
          <w:rFonts w:hAnsi="宋体"/>
          <w:b/>
          <w:bCs/>
          <w:sz w:val="21"/>
        </w:rPr>
      </w:pPr>
      <w:r>
        <w:rPr>
          <w:rFonts w:hAnsi="宋体"/>
          <w:b/>
          <w:bCs/>
          <w:sz w:val="21"/>
        </w:rPr>
        <w:t>17</w:t>
      </w:r>
      <w:r>
        <w:rPr>
          <w:rFonts w:hint="eastAsia" w:hAnsi="宋体"/>
          <w:b/>
          <w:bCs/>
          <w:sz w:val="21"/>
        </w:rPr>
        <w:t>、评审与磋商谈判：</w:t>
      </w:r>
    </w:p>
    <w:p>
      <w:pPr>
        <w:pStyle w:val="26"/>
        <w:spacing w:line="360" w:lineRule="exact"/>
        <w:ind w:firstLine="420" w:firstLineChars="200"/>
        <w:rPr>
          <w:rFonts w:cs="Courier New"/>
          <w:sz w:val="21"/>
        </w:rPr>
      </w:pPr>
      <w:r>
        <w:rPr>
          <w:rFonts w:hAnsi="宋体"/>
          <w:sz w:val="21"/>
        </w:rPr>
        <w:t xml:space="preserve">17.1  </w:t>
      </w:r>
      <w:r>
        <w:rPr>
          <w:rFonts w:hint="eastAsia" w:hAnsi="宋体"/>
          <w:sz w:val="21"/>
        </w:rPr>
        <w:t>成立磋商小组：评审与磋商谈判活动由依法组建的磋商小组负责。磋商小组由采购人代表和有关技术、经济等共</w:t>
      </w:r>
      <w:r>
        <w:rPr>
          <w:rFonts w:hint="eastAsia" w:cs="Courier New"/>
          <w:sz w:val="21"/>
        </w:rPr>
        <w:t>3人以上单数组成，其中评审专家人数不得少于磋商小组成员总数的2/3。</w:t>
      </w:r>
    </w:p>
    <w:p>
      <w:pPr>
        <w:pStyle w:val="26"/>
        <w:spacing w:line="360" w:lineRule="exact"/>
        <w:ind w:firstLine="420" w:firstLineChars="200"/>
        <w:rPr>
          <w:rFonts w:hAnsi="宋体"/>
          <w:sz w:val="21"/>
        </w:rPr>
      </w:pPr>
      <w:r>
        <w:rPr>
          <w:rFonts w:hAnsi="宋体"/>
          <w:sz w:val="21"/>
        </w:rPr>
        <w:t xml:space="preserve">17.2  </w:t>
      </w:r>
      <w:r>
        <w:rPr>
          <w:rFonts w:hint="eastAsia" w:hAnsi="宋体"/>
          <w:sz w:val="21"/>
        </w:rPr>
        <w:t>评审原则：评审活动遵循公平、公正、科学和择优的原则。</w:t>
      </w:r>
    </w:p>
    <w:p>
      <w:pPr>
        <w:pStyle w:val="26"/>
        <w:spacing w:line="360" w:lineRule="exact"/>
        <w:ind w:firstLine="420" w:firstLineChars="200"/>
        <w:rPr>
          <w:rFonts w:hAnsi="宋体"/>
          <w:sz w:val="21"/>
        </w:rPr>
      </w:pPr>
      <w:r>
        <w:rPr>
          <w:rFonts w:hAnsi="宋体"/>
          <w:sz w:val="21"/>
        </w:rPr>
        <w:t xml:space="preserve">17.3  </w:t>
      </w:r>
      <w:r>
        <w:rPr>
          <w:rFonts w:hint="eastAsia" w:hAnsi="宋体"/>
          <w:sz w:val="21"/>
        </w:rPr>
        <w:t>评审方法：磋商小组按照磋商供应商须知前附表和第三章“评审方法”规定的方法、评审因素和标准对响应文件进行评审。在评审中，不得改变第三章“评审方法”规定的方法、评审因素和标准；第三章“评审方法”没有规定的方法、评审因素和标准，不作为评审依据。</w:t>
      </w:r>
    </w:p>
    <w:p>
      <w:pPr>
        <w:pStyle w:val="26"/>
        <w:spacing w:line="360" w:lineRule="exact"/>
        <w:ind w:firstLine="420" w:firstLineChars="200"/>
        <w:rPr>
          <w:rFonts w:hAnsi="宋体"/>
          <w:sz w:val="21"/>
        </w:rPr>
      </w:pPr>
      <w:r>
        <w:rPr>
          <w:rFonts w:hAnsi="宋体"/>
          <w:sz w:val="21"/>
        </w:rPr>
        <w:t xml:space="preserve">17.4  </w:t>
      </w:r>
      <w:r>
        <w:rPr>
          <w:rFonts w:hint="eastAsia" w:hAnsi="宋体"/>
          <w:bCs/>
          <w:sz w:val="21"/>
        </w:rPr>
        <w:t>评审程序：</w:t>
      </w:r>
    </w:p>
    <w:p>
      <w:pPr>
        <w:pStyle w:val="26"/>
        <w:spacing w:line="360" w:lineRule="exact"/>
        <w:ind w:firstLine="420" w:firstLineChars="200"/>
        <w:rPr>
          <w:rFonts w:hAnsi="宋体"/>
          <w:sz w:val="21"/>
        </w:rPr>
      </w:pPr>
      <w:r>
        <w:rPr>
          <w:rFonts w:hAnsi="宋体"/>
          <w:sz w:val="21"/>
        </w:rPr>
        <w:t xml:space="preserve">17.4.1  </w:t>
      </w:r>
      <w:r>
        <w:rPr>
          <w:rFonts w:hint="eastAsia" w:hAnsi="宋体"/>
          <w:bCs/>
          <w:sz w:val="21"/>
        </w:rPr>
        <w:t>采购代理机构项目负责人宣读评审会场纪律要求，集中管理通讯工具，询问在场人员是否申请回避。</w:t>
      </w:r>
    </w:p>
    <w:p>
      <w:pPr>
        <w:pStyle w:val="26"/>
        <w:spacing w:line="360" w:lineRule="exact"/>
        <w:ind w:firstLine="420" w:firstLineChars="200"/>
        <w:rPr>
          <w:rFonts w:hAnsi="宋体"/>
          <w:bCs/>
          <w:sz w:val="21"/>
        </w:rPr>
      </w:pPr>
      <w:r>
        <w:rPr>
          <w:rFonts w:hAnsi="宋体"/>
          <w:sz w:val="21"/>
        </w:rPr>
        <w:t xml:space="preserve">17.4.2  </w:t>
      </w:r>
      <w:r>
        <w:rPr>
          <w:rFonts w:hint="eastAsia" w:hAnsi="宋体"/>
          <w:bCs/>
          <w:sz w:val="21"/>
        </w:rPr>
        <w:t>采购代理机构项目负责人介绍项目概况及磋商小组组成情况（但不得发表影响评审的倾向性、歧视性言论），推选磋商小组组长（原则上采购人不得担任磋商小组组长）。</w:t>
      </w:r>
    </w:p>
    <w:p>
      <w:pPr>
        <w:pStyle w:val="26"/>
        <w:spacing w:line="360" w:lineRule="exact"/>
        <w:ind w:firstLine="420" w:firstLineChars="200"/>
        <w:rPr>
          <w:rFonts w:hAnsi="宋体"/>
          <w:sz w:val="21"/>
        </w:rPr>
      </w:pPr>
      <w:r>
        <w:rPr>
          <w:rFonts w:hAnsi="宋体"/>
          <w:bCs/>
          <w:sz w:val="21"/>
        </w:rPr>
        <w:t xml:space="preserve">17.4.3  </w:t>
      </w:r>
      <w:r>
        <w:rPr>
          <w:rFonts w:hint="eastAsia" w:hAnsi="宋体"/>
          <w:sz w:val="21"/>
        </w:rPr>
        <w:t>磋商小组在响应文件拆封前对响应文件做密封性检查，并签字确认。</w:t>
      </w:r>
    </w:p>
    <w:p>
      <w:pPr>
        <w:pStyle w:val="26"/>
        <w:spacing w:line="360" w:lineRule="exact"/>
        <w:ind w:firstLine="420" w:firstLineChars="200"/>
        <w:rPr>
          <w:rFonts w:hAnsi="宋体"/>
          <w:sz w:val="21"/>
        </w:rPr>
      </w:pPr>
      <w:r>
        <w:rPr>
          <w:rFonts w:hAnsi="宋体"/>
          <w:sz w:val="21"/>
        </w:rPr>
        <w:t xml:space="preserve">17.4.4  </w:t>
      </w:r>
      <w:r>
        <w:rPr>
          <w:rFonts w:hint="eastAsia" w:hAnsi="宋体"/>
          <w:sz w:val="21"/>
        </w:rPr>
        <w:t>响应文件初审：初审分为资格性检查和符合性检查。</w:t>
      </w:r>
    </w:p>
    <w:p>
      <w:pPr>
        <w:pStyle w:val="26"/>
        <w:spacing w:line="360" w:lineRule="exact"/>
        <w:ind w:firstLine="420" w:firstLineChars="200"/>
        <w:rPr>
          <w:rFonts w:hAnsi="宋体"/>
          <w:sz w:val="21"/>
        </w:rPr>
      </w:pPr>
      <w:r>
        <w:rPr>
          <w:rFonts w:hint="eastAsia" w:hAnsi="宋体"/>
          <w:sz w:val="21"/>
        </w:rPr>
        <w:t>（</w:t>
      </w:r>
      <w:r>
        <w:rPr>
          <w:rFonts w:hAnsi="宋体"/>
          <w:sz w:val="21"/>
        </w:rPr>
        <w:t>1</w:t>
      </w:r>
      <w:r>
        <w:rPr>
          <w:rFonts w:hint="eastAsia" w:hAnsi="宋体"/>
          <w:sz w:val="21"/>
        </w:rPr>
        <w:t>）资格性检查：依据法律法规和采购文件的规定，对响应文件中的资格证明、磋商保证金等进行审查，以确定磋商供应商是否具备磋商资格。</w:t>
      </w:r>
    </w:p>
    <w:p>
      <w:pPr>
        <w:pStyle w:val="26"/>
        <w:spacing w:line="360" w:lineRule="exact"/>
        <w:ind w:firstLine="420" w:firstLineChars="200"/>
        <w:rPr>
          <w:rFonts w:hAnsi="宋体"/>
          <w:sz w:val="21"/>
        </w:rPr>
      </w:pPr>
      <w:r>
        <w:rPr>
          <w:rFonts w:hint="eastAsia" w:hAnsi="宋体"/>
          <w:sz w:val="21"/>
        </w:rPr>
        <w:t>（</w:t>
      </w:r>
      <w:r>
        <w:rPr>
          <w:rFonts w:hAnsi="宋体"/>
          <w:sz w:val="21"/>
        </w:rPr>
        <w:t>2</w:t>
      </w:r>
      <w:r>
        <w:rPr>
          <w:rFonts w:hint="eastAsia" w:hAnsi="宋体"/>
          <w:sz w:val="21"/>
        </w:rPr>
        <w:t>）符合性检查：依据采购文件的规定，从响应文件的有效性、完整性和对采购文件的响应程度进行审查，以确定是否对采购文件的实质性要求和条件作出响应。</w:t>
      </w:r>
    </w:p>
    <w:p>
      <w:pPr>
        <w:pStyle w:val="26"/>
        <w:spacing w:line="360" w:lineRule="exact"/>
        <w:ind w:firstLine="420" w:firstLineChars="200"/>
        <w:rPr>
          <w:rFonts w:hAnsi="宋体"/>
          <w:sz w:val="21"/>
        </w:rPr>
      </w:pPr>
      <w:r>
        <w:rPr>
          <w:rFonts w:hAnsi="宋体"/>
          <w:sz w:val="21"/>
        </w:rPr>
        <w:t xml:space="preserve">17.4.5  </w:t>
      </w:r>
      <w:r>
        <w:rPr>
          <w:rFonts w:hint="eastAsia" w:hAnsi="宋体"/>
          <w:sz w:val="21"/>
        </w:rPr>
        <w:t>澄清有关问题。对响应文件中含义不明确、同类问题表述不一致或者有明显文字和计算错误的内容，磋商小组可以书面形式（应当由磋商小组专家签字）要求磋商供应商作出必要的澄清、说明或者纠正。磋商供应商的澄清、说明或者纠正应当采用书面形式，由法定代表人或其委托代理人签字或盖章确认，且不得超出响应文件的范围或者改变响应文件的实质性内容。该澄清、说明或者纠正是响应文件的组成部分。</w:t>
      </w:r>
    </w:p>
    <w:p>
      <w:pPr>
        <w:pStyle w:val="26"/>
        <w:spacing w:line="360" w:lineRule="exact"/>
        <w:ind w:firstLine="420" w:firstLineChars="200"/>
        <w:rPr>
          <w:rFonts w:hAnsi="宋体"/>
          <w:sz w:val="21"/>
        </w:rPr>
      </w:pPr>
      <w:r>
        <w:rPr>
          <w:rFonts w:hAnsi="宋体"/>
          <w:sz w:val="21"/>
        </w:rPr>
        <w:t xml:space="preserve">17.4.6  </w:t>
      </w:r>
      <w:r>
        <w:rPr>
          <w:rFonts w:hint="eastAsia" w:hAnsi="宋体"/>
          <w:sz w:val="21"/>
        </w:rPr>
        <w:t>制定磋商谈判文件。磋商小组根据采购项目以及磋商供应商的实际情况制定磋商谈判文件。磋商谈判文件应当明确磋商谈判程序、磋商谈判内容、合同草案的条款以及评定成交的标准等事项。</w:t>
      </w:r>
    </w:p>
    <w:p>
      <w:pPr>
        <w:pStyle w:val="26"/>
        <w:spacing w:line="360" w:lineRule="exact"/>
        <w:ind w:firstLine="420" w:firstLineChars="200"/>
        <w:rPr>
          <w:rFonts w:hAnsi="宋体"/>
          <w:sz w:val="21"/>
        </w:rPr>
      </w:pPr>
      <w:r>
        <w:rPr>
          <w:rFonts w:hAnsi="宋体"/>
          <w:sz w:val="21"/>
        </w:rPr>
        <w:t xml:space="preserve">17.4.7  </w:t>
      </w:r>
      <w:r>
        <w:rPr>
          <w:rFonts w:hint="eastAsia" w:hAnsi="宋体"/>
          <w:sz w:val="21"/>
        </w:rPr>
        <w:t>确定邀请参加磋商谈判的供应商名单。磋商小组将所有通过资格性审查的磋商供应商确定为邀请参加磋商谈判的供应商，并向其提供磋商谈判文件。</w:t>
      </w:r>
    </w:p>
    <w:p>
      <w:pPr>
        <w:pStyle w:val="26"/>
        <w:spacing w:line="360" w:lineRule="exact"/>
        <w:ind w:firstLine="420" w:firstLineChars="200"/>
        <w:rPr>
          <w:rFonts w:hAnsi="宋体"/>
          <w:sz w:val="21"/>
        </w:rPr>
      </w:pPr>
      <w:r>
        <w:rPr>
          <w:rFonts w:hAnsi="宋体"/>
          <w:sz w:val="21"/>
        </w:rPr>
        <w:t xml:space="preserve">17.4.8  </w:t>
      </w:r>
      <w:r>
        <w:rPr>
          <w:rFonts w:hint="eastAsia" w:hAnsi="宋体"/>
          <w:sz w:val="21"/>
        </w:rPr>
        <w:t>磋商谈判。</w:t>
      </w:r>
    </w:p>
    <w:p>
      <w:pPr>
        <w:pStyle w:val="26"/>
        <w:spacing w:line="360" w:lineRule="exact"/>
        <w:ind w:firstLine="420" w:firstLineChars="200"/>
        <w:rPr>
          <w:rFonts w:hAnsi="宋体"/>
          <w:sz w:val="21"/>
        </w:rPr>
      </w:pPr>
      <w:r>
        <w:rPr>
          <w:rFonts w:hint="eastAsia" w:hAnsi="宋体"/>
          <w:sz w:val="21"/>
        </w:rPr>
        <w:t>（</w:t>
      </w:r>
      <w:r>
        <w:rPr>
          <w:rFonts w:hAnsi="宋体"/>
          <w:sz w:val="21"/>
        </w:rPr>
        <w:t>1</w:t>
      </w:r>
      <w:r>
        <w:rPr>
          <w:rFonts w:hint="eastAsia" w:hAnsi="宋体"/>
          <w:sz w:val="21"/>
        </w:rPr>
        <w:t>）磋商小组将在磋商供应商须知前附表规定的地点与各磋商供应商进行每轮磋商谈判。</w:t>
      </w:r>
    </w:p>
    <w:p>
      <w:pPr>
        <w:pStyle w:val="26"/>
        <w:spacing w:line="360" w:lineRule="exact"/>
        <w:ind w:firstLine="420" w:firstLineChars="200"/>
        <w:rPr>
          <w:rFonts w:hAnsi="宋体"/>
          <w:sz w:val="21"/>
        </w:rPr>
      </w:pPr>
      <w:r>
        <w:rPr>
          <w:rFonts w:hint="eastAsia" w:hAnsi="宋体"/>
          <w:sz w:val="21"/>
        </w:rPr>
        <w:t>（</w:t>
      </w:r>
      <w:r>
        <w:rPr>
          <w:rFonts w:hAnsi="宋体"/>
          <w:sz w:val="21"/>
        </w:rPr>
        <w:t>2</w:t>
      </w:r>
      <w:r>
        <w:rPr>
          <w:rFonts w:hint="eastAsia" w:hAnsi="宋体"/>
          <w:sz w:val="21"/>
        </w:rPr>
        <w:t>）磋商谈判内容包括：磋商报价、技术要求和商务条款，其中磋商供应商资格条件和</w:t>
      </w:r>
      <w:r>
        <w:rPr>
          <w:rFonts w:hint="eastAsia" w:hAnsi="宋体"/>
          <w:bCs/>
          <w:sz w:val="21"/>
        </w:rPr>
        <w:t>标注</w:t>
      </w:r>
      <w:r>
        <w:rPr>
          <w:rFonts w:hint="eastAsia" w:hAnsi="宋体"/>
          <w:b/>
          <w:bCs/>
          <w:sz w:val="21"/>
        </w:rPr>
        <w:t>★</w:t>
      </w:r>
      <w:r>
        <w:rPr>
          <w:rFonts w:hint="eastAsia" w:hAnsi="宋体"/>
          <w:bCs/>
          <w:sz w:val="21"/>
        </w:rPr>
        <w:t>号的条款</w:t>
      </w:r>
      <w:r>
        <w:rPr>
          <w:rFonts w:hint="eastAsia" w:hAnsi="宋体"/>
          <w:sz w:val="21"/>
        </w:rPr>
        <w:t>除外。</w:t>
      </w:r>
    </w:p>
    <w:p>
      <w:pPr>
        <w:pStyle w:val="26"/>
        <w:spacing w:line="360" w:lineRule="exact"/>
        <w:ind w:firstLine="420" w:firstLineChars="200"/>
        <w:rPr>
          <w:rFonts w:hAnsi="宋体"/>
          <w:sz w:val="21"/>
        </w:rPr>
      </w:pPr>
      <w:r>
        <w:rPr>
          <w:rFonts w:hint="eastAsia" w:hAnsi="宋体"/>
          <w:sz w:val="21"/>
        </w:rPr>
        <w:t>（</w:t>
      </w:r>
      <w:r>
        <w:rPr>
          <w:rFonts w:hAnsi="宋体"/>
          <w:sz w:val="21"/>
        </w:rPr>
        <w:t>3</w:t>
      </w:r>
      <w:r>
        <w:rPr>
          <w:rFonts w:hint="eastAsia" w:hAnsi="宋体"/>
          <w:sz w:val="21"/>
        </w:rPr>
        <w:t>）磋商小组所有成员集中与单一供应商分别进行磋商谈判。在磋商谈判中，磋商谈判的任何一方不得透露与磋商谈判有关的其他供应商的技术资料、价格和其他信息。磋商谈判文件有实质性变动的，磋商小组应当以书面形式通知所有参加磋商谈判的供应商。</w:t>
      </w:r>
    </w:p>
    <w:p>
      <w:pPr>
        <w:pStyle w:val="26"/>
        <w:spacing w:line="360" w:lineRule="exact"/>
        <w:ind w:firstLine="420" w:firstLineChars="200"/>
        <w:rPr>
          <w:rFonts w:hAnsi="宋体"/>
          <w:sz w:val="21"/>
        </w:rPr>
      </w:pPr>
      <w:r>
        <w:rPr>
          <w:rFonts w:hint="eastAsia" w:hAnsi="宋体"/>
          <w:sz w:val="21"/>
        </w:rPr>
        <w:t>（</w:t>
      </w:r>
      <w:r>
        <w:rPr>
          <w:rFonts w:hAnsi="宋体"/>
          <w:sz w:val="21"/>
        </w:rPr>
        <w:t>4</w:t>
      </w:r>
      <w:r>
        <w:rPr>
          <w:rFonts w:hint="eastAsia" w:hAnsi="宋体"/>
          <w:sz w:val="21"/>
        </w:rPr>
        <w:t>）磋商供应商的法定代表人或其委托代理人必须参加每轮磋商谈判。磋商供应商的法定代表人凭本人身份证原件参加磋商谈判，其委托代理人凭授权委托书原件和本人身份证原件参加磋商谈判。磋商供应商未按时到达评审会场参加磋商谈判或未能出示上述证件的，视为放弃竞标。</w:t>
      </w:r>
    </w:p>
    <w:p>
      <w:pPr>
        <w:pStyle w:val="26"/>
        <w:spacing w:line="360" w:lineRule="exact"/>
        <w:ind w:firstLine="420" w:firstLineChars="200"/>
        <w:rPr>
          <w:rFonts w:hAnsi="宋体"/>
          <w:sz w:val="21"/>
        </w:rPr>
      </w:pPr>
      <w:r>
        <w:rPr>
          <w:rFonts w:hint="eastAsia" w:hAnsi="宋体"/>
          <w:sz w:val="21"/>
        </w:rPr>
        <w:t>（</w:t>
      </w:r>
      <w:r>
        <w:rPr>
          <w:rFonts w:hAnsi="宋体"/>
          <w:sz w:val="21"/>
        </w:rPr>
        <w:t>5</w:t>
      </w:r>
      <w:r>
        <w:rPr>
          <w:rFonts w:hint="eastAsia" w:hAnsi="宋体"/>
          <w:sz w:val="21"/>
        </w:rPr>
        <w:t>）磋商小组与磋商供应商进行磋商谈判的内容，磋商供应商除当场答复外，还应作出书面应答。书面应答文件必须由磋商供应商的法定代表人或其委托代理人签字或盖公章，按要求进行封装并在磋商谈判文件规定的时间前递交至磋商小组，否则视为放弃竞标。</w:t>
      </w:r>
    </w:p>
    <w:p>
      <w:pPr>
        <w:pStyle w:val="26"/>
        <w:spacing w:line="360" w:lineRule="exact"/>
        <w:ind w:firstLine="420" w:firstLineChars="200"/>
        <w:rPr>
          <w:rFonts w:hAnsi="宋体"/>
          <w:sz w:val="21"/>
        </w:rPr>
      </w:pPr>
      <w:r>
        <w:rPr>
          <w:rFonts w:hint="eastAsia" w:hAnsi="宋体"/>
          <w:sz w:val="21"/>
        </w:rPr>
        <w:t>（</w:t>
      </w:r>
      <w:r>
        <w:rPr>
          <w:rFonts w:hAnsi="宋体"/>
          <w:sz w:val="21"/>
        </w:rPr>
        <w:t>6</w:t>
      </w:r>
      <w:r>
        <w:rPr>
          <w:rFonts w:hint="eastAsia" w:hAnsi="宋体"/>
          <w:sz w:val="21"/>
        </w:rPr>
        <w:t>）磋商小组与磋商供应商可进行多轮磋商谈判，磋商供应商的最后一次应答文件及最终报价应单独封装递交至磋商小组。在对商务、技术及其他内容的比较和评价结束前，磋商小组不能接触、比较和评价磋商报价。最终报价在磋商小组完成商务、技术及其他内容的评审后才能拆封。</w:t>
      </w:r>
    </w:p>
    <w:p>
      <w:pPr>
        <w:pStyle w:val="26"/>
        <w:spacing w:line="360" w:lineRule="exact"/>
        <w:ind w:firstLine="420" w:firstLineChars="200"/>
        <w:rPr>
          <w:rFonts w:hAnsi="宋体"/>
          <w:sz w:val="21"/>
        </w:rPr>
      </w:pPr>
      <w:r>
        <w:rPr>
          <w:rFonts w:hint="eastAsia" w:hAnsi="宋体"/>
          <w:sz w:val="21"/>
        </w:rPr>
        <w:t>（</w:t>
      </w:r>
      <w:r>
        <w:rPr>
          <w:rFonts w:hAnsi="宋体"/>
          <w:sz w:val="21"/>
        </w:rPr>
        <w:t>7</w:t>
      </w:r>
      <w:r>
        <w:rPr>
          <w:rFonts w:hint="eastAsia" w:hAnsi="宋体"/>
          <w:sz w:val="21"/>
        </w:rPr>
        <w:t>）磋商供应商的应答文件经磋商小组代表确认后，替代竞争性磋商采购文件或响应文件中相应的内容，并构成响应文件的组成部分和评审的依据。如成交，则作为合同的组成部分。</w:t>
      </w:r>
    </w:p>
    <w:p>
      <w:pPr>
        <w:pStyle w:val="26"/>
        <w:spacing w:line="360" w:lineRule="exact"/>
        <w:ind w:firstLine="420" w:firstLineChars="200"/>
        <w:rPr>
          <w:rFonts w:hAnsi="宋体"/>
          <w:sz w:val="21"/>
        </w:rPr>
      </w:pPr>
      <w:r>
        <w:rPr>
          <w:rFonts w:hAnsi="宋体"/>
          <w:sz w:val="21"/>
        </w:rPr>
        <w:t xml:space="preserve">17.4.9 </w:t>
      </w:r>
      <w:r>
        <w:rPr>
          <w:rFonts w:hint="eastAsia" w:hAnsi="宋体"/>
          <w:sz w:val="21"/>
        </w:rPr>
        <w:t>低于成本报价。</w:t>
      </w:r>
      <w:r>
        <w:rPr>
          <w:rFonts w:hint="eastAsia" w:hAnsi="宋体"/>
          <w:b/>
          <w:sz w:val="21"/>
        </w:rPr>
        <w:t>磋商小组在评审过程中发现磋商供应商的总报价明显低于其他磋商供应商的总报价或者明显低于采购预算价，有理由怀疑其总报价可能低于其成本的，应当要求该磋商供应商做出书面说明并提供相关证明材料。磋商供应商不能合理说明或者不能提供相关证明材料的，视作该磋商供应商以低于成本报价竞标，其竞标无效。</w:t>
      </w:r>
    </w:p>
    <w:p>
      <w:pPr>
        <w:pStyle w:val="26"/>
        <w:spacing w:line="360" w:lineRule="exact"/>
        <w:ind w:firstLine="420" w:firstLineChars="200"/>
        <w:rPr>
          <w:rFonts w:hAnsi="宋体"/>
          <w:sz w:val="21"/>
        </w:rPr>
      </w:pPr>
      <w:r>
        <w:rPr>
          <w:rFonts w:hAnsi="宋体"/>
          <w:sz w:val="21"/>
        </w:rPr>
        <w:t xml:space="preserve">17.4.10  </w:t>
      </w:r>
      <w:r>
        <w:rPr>
          <w:rFonts w:hint="eastAsia" w:hAnsi="宋体"/>
          <w:bCs/>
          <w:sz w:val="21"/>
        </w:rPr>
        <w:t>磋商小组根据综合评分由高到低顺序</w:t>
      </w:r>
      <w:r>
        <w:rPr>
          <w:rFonts w:hint="eastAsia" w:hAnsi="宋体"/>
          <w:sz w:val="21"/>
        </w:rPr>
        <w:t>排列成交候选供应商，并编写评审报告。</w:t>
      </w:r>
    </w:p>
    <w:p>
      <w:pPr>
        <w:pStyle w:val="26"/>
        <w:spacing w:line="360" w:lineRule="exact"/>
        <w:ind w:firstLine="420" w:firstLineChars="200"/>
        <w:rPr>
          <w:rFonts w:hAnsi="宋体"/>
          <w:sz w:val="21"/>
        </w:rPr>
      </w:pPr>
      <w:r>
        <w:rPr>
          <w:rFonts w:hAnsi="宋体"/>
          <w:sz w:val="21"/>
        </w:rPr>
        <w:t xml:space="preserve">17.4.11  </w:t>
      </w:r>
      <w:r>
        <w:rPr>
          <w:rFonts w:hint="eastAsia" w:hAnsi="宋体"/>
          <w:sz w:val="21"/>
        </w:rPr>
        <w:t>采购代理机构对评审过程和评分、评审结论进行核对和复核，如有错漏，请当事评委进行校正，按校正后的结果确定成交供应商。</w:t>
      </w:r>
    </w:p>
    <w:p>
      <w:pPr>
        <w:pStyle w:val="26"/>
        <w:spacing w:line="360" w:lineRule="exact"/>
        <w:ind w:firstLine="420" w:firstLineChars="200"/>
        <w:rPr>
          <w:rFonts w:hAnsi="宋体"/>
          <w:sz w:val="21"/>
        </w:rPr>
      </w:pPr>
      <w:r>
        <w:rPr>
          <w:rFonts w:hAnsi="宋体"/>
          <w:sz w:val="21"/>
        </w:rPr>
        <w:t xml:space="preserve">17.5  </w:t>
      </w:r>
      <w:r>
        <w:rPr>
          <w:rFonts w:hint="eastAsia" w:hAnsi="宋体"/>
          <w:sz w:val="21"/>
        </w:rPr>
        <w:t>评审过程的保密。评审在严格保密的情况下进行，任何单位和个人不得非法干预、影响评审办法的确定，以及评审过程和结果。磋商小组成员和参与评审的有关工作人员不得透露对响应文件的评审和比较、成交候选人的推荐情况以及与评审有关的其他情况。</w:t>
      </w:r>
    </w:p>
    <w:p>
      <w:pPr>
        <w:pStyle w:val="26"/>
        <w:spacing w:line="360" w:lineRule="exact"/>
        <w:ind w:firstLine="420" w:firstLineChars="200"/>
        <w:rPr>
          <w:rFonts w:hAnsi="宋体"/>
          <w:sz w:val="21"/>
        </w:rPr>
      </w:pPr>
      <w:r>
        <w:rPr>
          <w:rFonts w:hint="eastAsia" w:hAnsi="宋体"/>
          <w:sz w:val="21"/>
        </w:rPr>
        <w:t>17.6  最终磋商结束后，磋商小组不得再与供应商进行任何形式的商谈。</w:t>
      </w:r>
    </w:p>
    <w:p>
      <w:pPr>
        <w:pStyle w:val="26"/>
        <w:spacing w:line="360" w:lineRule="exact"/>
        <w:ind w:firstLine="207" w:firstLineChars="98"/>
        <w:rPr>
          <w:rFonts w:hAnsi="宋体"/>
          <w:b/>
          <w:bCs/>
          <w:sz w:val="21"/>
        </w:rPr>
      </w:pPr>
      <w:r>
        <w:rPr>
          <w:rFonts w:hAnsi="宋体"/>
          <w:b/>
          <w:bCs/>
          <w:sz w:val="21"/>
        </w:rPr>
        <w:t>18</w:t>
      </w:r>
      <w:r>
        <w:rPr>
          <w:rFonts w:hint="eastAsia" w:hAnsi="宋体"/>
          <w:b/>
          <w:bCs/>
          <w:sz w:val="21"/>
        </w:rPr>
        <w:t>、响应文件的修正：</w:t>
      </w:r>
    </w:p>
    <w:p>
      <w:pPr>
        <w:pStyle w:val="26"/>
        <w:spacing w:line="360" w:lineRule="exact"/>
        <w:ind w:firstLine="420" w:firstLineChars="200"/>
        <w:rPr>
          <w:rFonts w:hAnsi="宋体"/>
          <w:sz w:val="21"/>
        </w:rPr>
      </w:pPr>
      <w:r>
        <w:rPr>
          <w:rFonts w:hAnsi="宋体"/>
          <w:sz w:val="21"/>
        </w:rPr>
        <w:t xml:space="preserve">18.1  </w:t>
      </w:r>
      <w:r>
        <w:rPr>
          <w:rFonts w:hint="eastAsia" w:hAnsi="宋体"/>
          <w:sz w:val="21"/>
        </w:rPr>
        <w:t>如果出现计算或表达上的错误，修正的原则如下：</w:t>
      </w:r>
    </w:p>
    <w:p>
      <w:pPr>
        <w:pStyle w:val="26"/>
        <w:spacing w:line="360" w:lineRule="exact"/>
        <w:ind w:firstLine="420"/>
        <w:rPr>
          <w:rFonts w:hAnsi="宋体"/>
          <w:bCs/>
          <w:sz w:val="21"/>
        </w:rPr>
      </w:pPr>
      <w:r>
        <w:rPr>
          <w:rFonts w:hint="eastAsia" w:hAnsi="宋体"/>
          <w:sz w:val="21"/>
        </w:rPr>
        <w:t>（</w:t>
      </w:r>
      <w:r>
        <w:rPr>
          <w:rFonts w:hAnsi="宋体"/>
          <w:sz w:val="21"/>
        </w:rPr>
        <w:t>1</w:t>
      </w:r>
      <w:r>
        <w:rPr>
          <w:rFonts w:hint="eastAsia" w:hAnsi="宋体"/>
          <w:sz w:val="21"/>
        </w:rPr>
        <w:t>）响应文件中磋商函内容与磋商报价表内容不一致的，以磋商函为准；</w:t>
      </w:r>
    </w:p>
    <w:p>
      <w:pPr>
        <w:pStyle w:val="26"/>
        <w:spacing w:line="360" w:lineRule="exact"/>
        <w:ind w:firstLine="420"/>
        <w:rPr>
          <w:rFonts w:hAnsi="宋体"/>
          <w:bCs/>
          <w:sz w:val="21"/>
        </w:rPr>
      </w:pPr>
      <w:r>
        <w:rPr>
          <w:rFonts w:hint="eastAsia" w:hAnsi="宋体"/>
          <w:sz w:val="21"/>
        </w:rPr>
        <w:t>（</w:t>
      </w:r>
      <w:r>
        <w:rPr>
          <w:rFonts w:hAnsi="宋体"/>
          <w:sz w:val="21"/>
        </w:rPr>
        <w:t>2</w:t>
      </w:r>
      <w:r>
        <w:rPr>
          <w:rFonts w:hint="eastAsia" w:hAnsi="宋体"/>
          <w:sz w:val="21"/>
        </w:rPr>
        <w:t>）响应文件的大写金额和小写金额不一致的，以大写金额为准；</w:t>
      </w:r>
    </w:p>
    <w:p>
      <w:pPr>
        <w:pStyle w:val="26"/>
        <w:spacing w:line="360" w:lineRule="exact"/>
        <w:ind w:firstLine="420"/>
        <w:rPr>
          <w:rFonts w:hAnsi="宋体"/>
          <w:bCs/>
          <w:sz w:val="21"/>
        </w:rPr>
      </w:pPr>
      <w:r>
        <w:rPr>
          <w:rFonts w:hint="eastAsia" w:hAnsi="宋体"/>
          <w:sz w:val="21"/>
        </w:rPr>
        <w:t>（</w:t>
      </w:r>
      <w:r>
        <w:rPr>
          <w:rFonts w:hAnsi="宋体"/>
          <w:sz w:val="21"/>
        </w:rPr>
        <w:t>3</w:t>
      </w:r>
      <w:r>
        <w:rPr>
          <w:rFonts w:hint="eastAsia" w:hAnsi="宋体"/>
          <w:sz w:val="21"/>
        </w:rPr>
        <w:t>）总价金额与按单价汇总金额不一致的，以单价金额计算结果为准；</w:t>
      </w:r>
    </w:p>
    <w:p>
      <w:pPr>
        <w:pStyle w:val="26"/>
        <w:spacing w:line="360" w:lineRule="exact"/>
        <w:ind w:firstLine="420"/>
        <w:rPr>
          <w:rFonts w:hAnsi="宋体"/>
          <w:bCs/>
          <w:sz w:val="21"/>
        </w:rPr>
      </w:pPr>
      <w:r>
        <w:rPr>
          <w:rFonts w:hint="eastAsia" w:hAnsi="宋体"/>
          <w:sz w:val="21"/>
        </w:rPr>
        <w:t>（</w:t>
      </w:r>
      <w:r>
        <w:rPr>
          <w:rFonts w:hAnsi="宋体"/>
          <w:sz w:val="21"/>
        </w:rPr>
        <w:t>4</w:t>
      </w:r>
      <w:r>
        <w:rPr>
          <w:rFonts w:hint="eastAsia" w:hAnsi="宋体"/>
          <w:sz w:val="21"/>
        </w:rPr>
        <w:t>）单价金额小数点有明显错位的，应以总价为准，并修改单价。</w:t>
      </w:r>
    </w:p>
    <w:p>
      <w:pPr>
        <w:pStyle w:val="26"/>
        <w:spacing w:line="360" w:lineRule="exact"/>
        <w:ind w:firstLine="420" w:firstLineChars="200"/>
        <w:rPr>
          <w:rFonts w:hAnsi="宋体"/>
          <w:sz w:val="21"/>
        </w:rPr>
      </w:pPr>
      <w:r>
        <w:rPr>
          <w:rFonts w:hAnsi="宋体"/>
          <w:sz w:val="21"/>
        </w:rPr>
        <w:t xml:space="preserve">18.2  </w:t>
      </w:r>
      <w:r>
        <w:rPr>
          <w:rFonts w:hint="eastAsia" w:hAnsi="宋体"/>
          <w:sz w:val="21"/>
        </w:rPr>
        <w:t>按上述修正原则修正后的磋商报价经磋商供应商书面确认后对磋商供应商具有约束力。如果磋商供应商不接受修正后的磋商报价，则其竞标无效且其磋商保证金不予退回。</w:t>
      </w:r>
    </w:p>
    <w:p>
      <w:pPr>
        <w:pStyle w:val="26"/>
        <w:spacing w:line="360" w:lineRule="exact"/>
        <w:ind w:firstLine="207" w:firstLineChars="98"/>
        <w:rPr>
          <w:rFonts w:hAnsi="宋体"/>
          <w:b/>
          <w:bCs/>
          <w:sz w:val="21"/>
        </w:rPr>
      </w:pPr>
      <w:r>
        <w:rPr>
          <w:rFonts w:hAnsi="宋体"/>
          <w:b/>
          <w:bCs/>
          <w:sz w:val="21"/>
        </w:rPr>
        <w:t>19</w:t>
      </w:r>
      <w:r>
        <w:rPr>
          <w:rFonts w:hint="eastAsia" w:hAnsi="宋体"/>
          <w:b/>
          <w:bCs/>
          <w:sz w:val="21"/>
        </w:rPr>
        <w:t>、拒绝接收：</w:t>
      </w:r>
    </w:p>
    <w:p>
      <w:pPr>
        <w:pStyle w:val="26"/>
        <w:spacing w:line="360" w:lineRule="exact"/>
        <w:ind w:firstLine="420"/>
        <w:rPr>
          <w:rFonts w:hAnsi="宋体"/>
          <w:sz w:val="21"/>
        </w:rPr>
      </w:pPr>
      <w:r>
        <w:rPr>
          <w:rFonts w:hAnsi="宋体"/>
          <w:sz w:val="21"/>
        </w:rPr>
        <w:t xml:space="preserve">19.1  </w:t>
      </w:r>
      <w:r>
        <w:rPr>
          <w:rFonts w:hint="eastAsia" w:hAnsi="宋体"/>
          <w:sz w:val="21"/>
        </w:rPr>
        <w:t>磋商供应商未在本章第</w:t>
      </w:r>
      <w:r>
        <w:rPr>
          <w:rFonts w:hAnsi="宋体"/>
          <w:sz w:val="21"/>
        </w:rPr>
        <w:t>15.1</w:t>
      </w:r>
      <w:r>
        <w:rPr>
          <w:rFonts w:hint="eastAsia" w:hAnsi="宋体"/>
          <w:sz w:val="21"/>
        </w:rPr>
        <w:t>项规定的时间之前将响应文件送达至本章第</w:t>
      </w:r>
      <w:r>
        <w:rPr>
          <w:rFonts w:hAnsi="宋体"/>
          <w:sz w:val="21"/>
        </w:rPr>
        <w:t>15.2</w:t>
      </w:r>
      <w:r>
        <w:rPr>
          <w:rFonts w:hint="eastAsia" w:hAnsi="宋体"/>
          <w:sz w:val="21"/>
        </w:rPr>
        <w:t>项指定地点的，采购代理机构应当拒绝接收该磋商供应商的响应文件。</w:t>
      </w:r>
    </w:p>
    <w:p>
      <w:pPr>
        <w:pStyle w:val="26"/>
        <w:spacing w:line="360" w:lineRule="exact"/>
        <w:ind w:firstLine="420"/>
        <w:rPr>
          <w:rFonts w:hAnsi="宋体"/>
          <w:sz w:val="21"/>
        </w:rPr>
      </w:pPr>
      <w:r>
        <w:rPr>
          <w:rFonts w:hAnsi="宋体"/>
          <w:sz w:val="21"/>
        </w:rPr>
        <w:t xml:space="preserve">19.2  </w:t>
      </w:r>
      <w:r>
        <w:rPr>
          <w:rFonts w:hint="eastAsia" w:hAnsi="宋体"/>
          <w:sz w:val="21"/>
        </w:rPr>
        <w:t>磋商供应商未在本章第</w:t>
      </w:r>
      <w:r>
        <w:rPr>
          <w:rFonts w:hAnsi="宋体"/>
          <w:sz w:val="21"/>
        </w:rPr>
        <w:t>15.3</w:t>
      </w:r>
      <w:r>
        <w:rPr>
          <w:rFonts w:hint="eastAsia" w:hAnsi="宋体"/>
          <w:sz w:val="21"/>
        </w:rPr>
        <w:t>项规定的时间之前将磋商样品送达至本章第</w:t>
      </w:r>
      <w:r>
        <w:rPr>
          <w:rFonts w:hAnsi="宋体"/>
          <w:sz w:val="21"/>
        </w:rPr>
        <w:t>15.4</w:t>
      </w:r>
      <w:r>
        <w:rPr>
          <w:rFonts w:hint="eastAsia" w:hAnsi="宋体"/>
          <w:sz w:val="21"/>
        </w:rPr>
        <w:t>项指定地点的，采购代理机构应当拒绝接收该磋商供应商的磋商样品。</w:t>
      </w:r>
    </w:p>
    <w:p>
      <w:pPr>
        <w:pStyle w:val="26"/>
        <w:spacing w:line="360" w:lineRule="exact"/>
        <w:ind w:firstLine="207" w:firstLineChars="98"/>
        <w:rPr>
          <w:rFonts w:hAnsi="宋体"/>
          <w:b/>
          <w:bCs/>
          <w:sz w:val="21"/>
        </w:rPr>
      </w:pPr>
      <w:r>
        <w:rPr>
          <w:rFonts w:hAnsi="宋体"/>
          <w:b/>
          <w:bCs/>
          <w:sz w:val="21"/>
        </w:rPr>
        <w:t>20</w:t>
      </w:r>
      <w:r>
        <w:rPr>
          <w:rFonts w:hint="eastAsia" w:hAnsi="宋体"/>
          <w:b/>
          <w:bCs/>
          <w:sz w:val="21"/>
        </w:rPr>
        <w:t>、无效磋商：</w:t>
      </w:r>
    </w:p>
    <w:p>
      <w:pPr>
        <w:pStyle w:val="26"/>
        <w:spacing w:line="360" w:lineRule="exact"/>
        <w:ind w:firstLine="420" w:firstLineChars="200"/>
        <w:rPr>
          <w:rFonts w:hAnsi="宋体"/>
          <w:sz w:val="21"/>
        </w:rPr>
      </w:pPr>
      <w:r>
        <w:rPr>
          <w:rFonts w:hAnsi="宋体"/>
          <w:sz w:val="21"/>
        </w:rPr>
        <w:t xml:space="preserve">20.1  </w:t>
      </w:r>
      <w:r>
        <w:rPr>
          <w:rFonts w:hint="eastAsia" w:hAnsi="宋体"/>
          <w:sz w:val="21"/>
        </w:rPr>
        <w:t>属下列情形之一的，磋商供应商的磋商无效：</w:t>
      </w:r>
    </w:p>
    <w:p>
      <w:pPr>
        <w:pStyle w:val="26"/>
        <w:spacing w:line="360" w:lineRule="exact"/>
        <w:rPr>
          <w:rFonts w:hAnsi="宋体"/>
          <w:sz w:val="21"/>
        </w:rPr>
      </w:pPr>
      <w:r>
        <w:rPr>
          <w:rFonts w:hint="eastAsia" w:hAnsi="宋体"/>
          <w:sz w:val="21"/>
        </w:rPr>
        <w:t>（</w:t>
      </w:r>
      <w:r>
        <w:rPr>
          <w:rFonts w:hAnsi="宋体"/>
          <w:sz w:val="21"/>
        </w:rPr>
        <w:t>1</w:t>
      </w:r>
      <w:r>
        <w:rPr>
          <w:rFonts w:hint="eastAsia" w:hAnsi="宋体"/>
          <w:sz w:val="21"/>
        </w:rPr>
        <w:t>）磋商供应商不具备本章第</w:t>
      </w:r>
      <w:r>
        <w:rPr>
          <w:rFonts w:hAnsi="宋体"/>
          <w:sz w:val="21"/>
        </w:rPr>
        <w:t>3</w:t>
      </w:r>
      <w:r>
        <w:rPr>
          <w:rFonts w:hint="eastAsia" w:hAnsi="宋体"/>
          <w:sz w:val="21"/>
        </w:rPr>
        <w:t>项规定的磋商供应商资格要求的；</w:t>
      </w:r>
    </w:p>
    <w:p>
      <w:pPr>
        <w:pStyle w:val="26"/>
        <w:spacing w:line="360" w:lineRule="exact"/>
        <w:rPr>
          <w:rFonts w:hAnsi="宋体"/>
          <w:sz w:val="21"/>
        </w:rPr>
      </w:pPr>
      <w:r>
        <w:rPr>
          <w:rFonts w:hint="eastAsia" w:hAnsi="宋体"/>
          <w:sz w:val="21"/>
        </w:rPr>
        <w:t>（</w:t>
      </w:r>
      <w:r>
        <w:rPr>
          <w:rFonts w:hAnsi="宋体"/>
          <w:sz w:val="21"/>
        </w:rPr>
        <w:t>2</w:t>
      </w:r>
      <w:r>
        <w:rPr>
          <w:rFonts w:hint="eastAsia" w:hAnsi="宋体"/>
          <w:sz w:val="21"/>
        </w:rPr>
        <w:t>）响应文件未按本章第</w:t>
      </w:r>
      <w:r>
        <w:rPr>
          <w:rFonts w:hAnsi="宋体"/>
          <w:sz w:val="21"/>
        </w:rPr>
        <w:t>8.8</w:t>
      </w:r>
      <w:r>
        <w:rPr>
          <w:rFonts w:hint="eastAsia" w:hAnsi="宋体"/>
          <w:sz w:val="21"/>
        </w:rPr>
        <w:t>项的规定标识或未按规定的正、副本数量递交的；</w:t>
      </w:r>
    </w:p>
    <w:p>
      <w:pPr>
        <w:pStyle w:val="26"/>
        <w:spacing w:line="360" w:lineRule="exact"/>
        <w:rPr>
          <w:rFonts w:hAnsi="宋体"/>
          <w:sz w:val="21"/>
        </w:rPr>
      </w:pPr>
      <w:r>
        <w:rPr>
          <w:rFonts w:hint="eastAsia" w:hAnsi="宋体"/>
          <w:sz w:val="21"/>
        </w:rPr>
        <w:t>（</w:t>
      </w:r>
      <w:r>
        <w:rPr>
          <w:rFonts w:hAnsi="宋体"/>
          <w:sz w:val="21"/>
        </w:rPr>
        <w:t>3</w:t>
      </w:r>
      <w:r>
        <w:rPr>
          <w:rFonts w:hint="eastAsia" w:hAnsi="宋体"/>
          <w:sz w:val="21"/>
        </w:rPr>
        <w:t>）响应文件未按本章第</w:t>
      </w:r>
      <w:r>
        <w:rPr>
          <w:rFonts w:hAnsi="宋体"/>
          <w:sz w:val="21"/>
        </w:rPr>
        <w:t>10</w:t>
      </w:r>
      <w:r>
        <w:rPr>
          <w:rFonts w:hint="eastAsia" w:hAnsi="宋体"/>
          <w:sz w:val="21"/>
        </w:rPr>
        <w:t>项的规定编写和提交的（包括缺少应提交的文件或格式不符合第四章“响应文件格式”的要求）；</w:t>
      </w:r>
    </w:p>
    <w:p>
      <w:pPr>
        <w:pStyle w:val="26"/>
        <w:spacing w:line="360" w:lineRule="exact"/>
        <w:rPr>
          <w:rFonts w:hAnsi="宋体"/>
          <w:sz w:val="21"/>
        </w:rPr>
      </w:pPr>
      <w:r>
        <w:rPr>
          <w:rFonts w:hint="eastAsia" w:hAnsi="宋体"/>
          <w:sz w:val="21"/>
        </w:rPr>
        <w:t>（</w:t>
      </w:r>
      <w:r>
        <w:rPr>
          <w:rFonts w:hAnsi="宋体"/>
          <w:sz w:val="21"/>
        </w:rPr>
        <w:t>4</w:t>
      </w:r>
      <w:r>
        <w:rPr>
          <w:rFonts w:hint="eastAsia" w:hAnsi="宋体"/>
          <w:sz w:val="21"/>
        </w:rPr>
        <w:t>）磋商报价不符合本章第</w:t>
      </w:r>
      <w:r>
        <w:rPr>
          <w:rFonts w:hAnsi="宋体"/>
          <w:sz w:val="21"/>
        </w:rPr>
        <w:t>11</w:t>
      </w:r>
      <w:r>
        <w:rPr>
          <w:rFonts w:hint="eastAsia" w:hAnsi="宋体"/>
          <w:sz w:val="21"/>
        </w:rPr>
        <w:t>项规定的或超过采购预算的；</w:t>
      </w:r>
    </w:p>
    <w:p>
      <w:pPr>
        <w:pStyle w:val="26"/>
        <w:spacing w:line="360" w:lineRule="exact"/>
        <w:rPr>
          <w:rFonts w:hAnsi="宋体"/>
          <w:sz w:val="21"/>
        </w:rPr>
      </w:pPr>
      <w:r>
        <w:rPr>
          <w:rFonts w:hint="eastAsia" w:hAnsi="宋体"/>
          <w:sz w:val="21"/>
        </w:rPr>
        <w:t>（</w:t>
      </w:r>
      <w:r>
        <w:rPr>
          <w:rFonts w:hAnsi="宋体"/>
          <w:sz w:val="21"/>
        </w:rPr>
        <w:t>5</w:t>
      </w:r>
      <w:r>
        <w:rPr>
          <w:rFonts w:hint="eastAsia" w:hAnsi="宋体"/>
          <w:sz w:val="21"/>
        </w:rPr>
        <w:t>）磋商供应商未能按本章第</w:t>
      </w:r>
      <w:r>
        <w:rPr>
          <w:rFonts w:hAnsi="宋体"/>
          <w:sz w:val="21"/>
        </w:rPr>
        <w:t>13.1</w:t>
      </w:r>
      <w:r>
        <w:rPr>
          <w:rFonts w:hint="eastAsia" w:hAnsi="宋体"/>
          <w:sz w:val="21"/>
        </w:rPr>
        <w:t>、</w:t>
      </w:r>
      <w:r>
        <w:rPr>
          <w:rFonts w:hAnsi="宋体"/>
          <w:sz w:val="21"/>
        </w:rPr>
        <w:t>13.2</w:t>
      </w:r>
      <w:r>
        <w:rPr>
          <w:rFonts w:hint="eastAsia" w:hAnsi="宋体"/>
          <w:sz w:val="21"/>
        </w:rPr>
        <w:t>、</w:t>
      </w:r>
      <w:r>
        <w:rPr>
          <w:rFonts w:hAnsi="宋体"/>
          <w:sz w:val="21"/>
        </w:rPr>
        <w:t>13.3</w:t>
      </w:r>
      <w:r>
        <w:rPr>
          <w:rFonts w:hint="eastAsia" w:hAnsi="宋体"/>
          <w:sz w:val="21"/>
        </w:rPr>
        <w:t>项的要求缴纳磋商保证金的；</w:t>
      </w:r>
    </w:p>
    <w:p>
      <w:pPr>
        <w:pStyle w:val="26"/>
        <w:spacing w:line="360" w:lineRule="exact"/>
        <w:rPr>
          <w:rFonts w:hAnsi="宋体"/>
          <w:sz w:val="21"/>
        </w:rPr>
      </w:pPr>
      <w:r>
        <w:rPr>
          <w:rFonts w:hint="eastAsia" w:hAnsi="宋体"/>
          <w:sz w:val="21"/>
        </w:rPr>
        <w:t>（</w:t>
      </w:r>
      <w:r>
        <w:rPr>
          <w:rFonts w:hAnsi="宋体"/>
          <w:sz w:val="21"/>
        </w:rPr>
        <w:t>6</w:t>
      </w:r>
      <w:r>
        <w:rPr>
          <w:rFonts w:hint="eastAsia" w:hAnsi="宋体"/>
          <w:sz w:val="21"/>
        </w:rPr>
        <w:t>）响应文件不符合本章第</w:t>
      </w:r>
      <w:r>
        <w:rPr>
          <w:rFonts w:hAnsi="宋体"/>
          <w:sz w:val="21"/>
        </w:rPr>
        <w:t>14.1</w:t>
      </w:r>
      <w:r>
        <w:rPr>
          <w:rFonts w:hint="eastAsia" w:hAnsi="宋体"/>
          <w:sz w:val="21"/>
        </w:rPr>
        <w:t>项规定的；</w:t>
      </w:r>
    </w:p>
    <w:p>
      <w:pPr>
        <w:pStyle w:val="26"/>
        <w:spacing w:line="360" w:lineRule="exact"/>
        <w:rPr>
          <w:rFonts w:hAnsi="宋体"/>
          <w:sz w:val="21"/>
        </w:rPr>
      </w:pPr>
      <w:r>
        <w:rPr>
          <w:rFonts w:hint="eastAsia" w:hAnsi="宋体"/>
          <w:sz w:val="21"/>
        </w:rPr>
        <w:t>（</w:t>
      </w:r>
      <w:r>
        <w:rPr>
          <w:rFonts w:hAnsi="宋体"/>
          <w:sz w:val="21"/>
        </w:rPr>
        <w:t>7</w:t>
      </w:r>
      <w:r>
        <w:rPr>
          <w:rFonts w:hint="eastAsia" w:hAnsi="宋体"/>
          <w:sz w:val="21"/>
        </w:rPr>
        <w:t>）磋商供应商出现本章第</w:t>
      </w:r>
      <w:r>
        <w:rPr>
          <w:rFonts w:hAnsi="宋体"/>
          <w:sz w:val="21"/>
        </w:rPr>
        <w:t>18.2</w:t>
      </w:r>
      <w:r>
        <w:rPr>
          <w:rFonts w:hint="eastAsia" w:hAnsi="宋体"/>
          <w:sz w:val="21"/>
        </w:rPr>
        <w:t>项所述情形的；</w:t>
      </w:r>
    </w:p>
    <w:p>
      <w:pPr>
        <w:pStyle w:val="26"/>
        <w:spacing w:line="360" w:lineRule="exact"/>
        <w:rPr>
          <w:rFonts w:hAnsi="宋体"/>
          <w:sz w:val="21"/>
        </w:rPr>
      </w:pPr>
      <w:r>
        <w:rPr>
          <w:rFonts w:hint="eastAsia" w:hAnsi="宋体"/>
          <w:sz w:val="21"/>
        </w:rPr>
        <w:t>（</w:t>
      </w:r>
      <w:r>
        <w:rPr>
          <w:rFonts w:hAnsi="宋体"/>
          <w:sz w:val="21"/>
        </w:rPr>
        <w:t>8</w:t>
      </w:r>
      <w:r>
        <w:rPr>
          <w:rFonts w:hint="eastAsia" w:hAnsi="宋体"/>
          <w:sz w:val="21"/>
        </w:rPr>
        <w:t>）响应文件未对竞争性磋商采购文件提出的要求和条件作出实质性响应的；</w:t>
      </w:r>
    </w:p>
    <w:p>
      <w:pPr>
        <w:pStyle w:val="26"/>
        <w:spacing w:line="360" w:lineRule="exact"/>
        <w:rPr>
          <w:rFonts w:hAnsi="宋体"/>
          <w:sz w:val="21"/>
        </w:rPr>
      </w:pPr>
      <w:r>
        <w:rPr>
          <w:rFonts w:hint="eastAsia" w:hAnsi="宋体"/>
          <w:sz w:val="21"/>
        </w:rPr>
        <w:t>（</w:t>
      </w:r>
      <w:r>
        <w:rPr>
          <w:rFonts w:hAnsi="宋体"/>
          <w:sz w:val="21"/>
        </w:rPr>
        <w:t>9</w:t>
      </w:r>
      <w:r>
        <w:rPr>
          <w:rFonts w:hint="eastAsia" w:hAnsi="宋体"/>
          <w:sz w:val="21"/>
        </w:rPr>
        <w:t>）磋商小组认为响应文件存在严重负偏离的；</w:t>
      </w:r>
    </w:p>
    <w:p>
      <w:pPr>
        <w:pStyle w:val="26"/>
        <w:spacing w:line="360" w:lineRule="exact"/>
        <w:rPr>
          <w:rFonts w:hAnsi="宋体"/>
          <w:sz w:val="21"/>
        </w:rPr>
      </w:pPr>
      <w:r>
        <w:rPr>
          <w:rFonts w:hint="eastAsia" w:hAnsi="宋体"/>
          <w:sz w:val="21"/>
        </w:rPr>
        <w:t>（</w:t>
      </w:r>
      <w:r>
        <w:rPr>
          <w:rFonts w:hAnsi="宋体"/>
          <w:sz w:val="21"/>
        </w:rPr>
        <w:t>10</w:t>
      </w:r>
      <w:r>
        <w:rPr>
          <w:rFonts w:hint="eastAsia" w:hAnsi="宋体"/>
          <w:sz w:val="21"/>
        </w:rPr>
        <w:t>）响应文件附有采购需求以外的条件使磋商小组认为不能接受的；</w:t>
      </w:r>
    </w:p>
    <w:p>
      <w:pPr>
        <w:pStyle w:val="26"/>
        <w:spacing w:line="360" w:lineRule="exact"/>
        <w:rPr>
          <w:rFonts w:hAnsi="宋体"/>
          <w:sz w:val="21"/>
        </w:rPr>
      </w:pPr>
      <w:r>
        <w:rPr>
          <w:rFonts w:hint="eastAsia" w:hAnsi="宋体"/>
          <w:sz w:val="21"/>
        </w:rPr>
        <w:t>（</w:t>
      </w:r>
      <w:r>
        <w:rPr>
          <w:rFonts w:hAnsi="宋体"/>
          <w:sz w:val="21"/>
        </w:rPr>
        <w:t>11</w:t>
      </w:r>
      <w:r>
        <w:rPr>
          <w:rFonts w:hint="eastAsia" w:hAnsi="宋体"/>
          <w:sz w:val="21"/>
        </w:rPr>
        <w:t>）磋商供应商在磋商谈判过程中提供虚假材料的；</w:t>
      </w:r>
    </w:p>
    <w:p>
      <w:pPr>
        <w:pStyle w:val="26"/>
        <w:spacing w:line="360" w:lineRule="exact"/>
        <w:rPr>
          <w:rFonts w:hAnsi="宋体"/>
          <w:sz w:val="21"/>
        </w:rPr>
      </w:pPr>
      <w:r>
        <w:rPr>
          <w:rFonts w:hint="eastAsia" w:hAnsi="宋体"/>
          <w:sz w:val="21"/>
        </w:rPr>
        <w:t>（</w:t>
      </w:r>
      <w:r>
        <w:rPr>
          <w:rFonts w:hAnsi="宋体"/>
          <w:sz w:val="21"/>
        </w:rPr>
        <w:t>12</w:t>
      </w:r>
      <w:r>
        <w:rPr>
          <w:rFonts w:hint="eastAsia" w:hAnsi="宋体"/>
          <w:sz w:val="21"/>
        </w:rPr>
        <w:t>）响应文件含有违反国家法律、法规的内容。</w:t>
      </w:r>
    </w:p>
    <w:p>
      <w:pPr>
        <w:pStyle w:val="26"/>
        <w:spacing w:line="360" w:lineRule="exact"/>
        <w:rPr>
          <w:rFonts w:hAnsi="宋体"/>
          <w:sz w:val="21"/>
        </w:rPr>
      </w:pPr>
      <w:r>
        <w:rPr>
          <w:rFonts w:hint="eastAsia" w:hAnsi="宋体"/>
          <w:sz w:val="21"/>
        </w:rPr>
        <w:t>磋商供应商竞标无效的，磋商小组应当告知有关磋商供应商。</w:t>
      </w:r>
    </w:p>
    <w:p>
      <w:pPr>
        <w:pStyle w:val="26"/>
        <w:spacing w:line="360" w:lineRule="exact"/>
        <w:ind w:firstLine="207" w:firstLineChars="98"/>
        <w:rPr>
          <w:rFonts w:hAnsi="宋体"/>
          <w:b/>
          <w:bCs/>
          <w:sz w:val="21"/>
        </w:rPr>
      </w:pPr>
      <w:r>
        <w:rPr>
          <w:rFonts w:hAnsi="宋体"/>
          <w:b/>
          <w:bCs/>
          <w:sz w:val="21"/>
        </w:rPr>
        <w:t>21</w:t>
      </w:r>
      <w:r>
        <w:rPr>
          <w:rFonts w:hint="eastAsia" w:hAnsi="宋体"/>
          <w:b/>
          <w:bCs/>
          <w:sz w:val="21"/>
        </w:rPr>
        <w:t>、废标：</w:t>
      </w:r>
    </w:p>
    <w:p>
      <w:pPr>
        <w:pStyle w:val="26"/>
        <w:spacing w:line="360" w:lineRule="exact"/>
        <w:ind w:firstLine="420" w:firstLineChars="200"/>
        <w:rPr>
          <w:rFonts w:hAnsi="宋体"/>
          <w:sz w:val="21"/>
        </w:rPr>
      </w:pPr>
      <w:r>
        <w:rPr>
          <w:rFonts w:hAnsi="宋体"/>
          <w:sz w:val="21"/>
        </w:rPr>
        <w:t xml:space="preserve">21.1  </w:t>
      </w:r>
      <w:r>
        <w:rPr>
          <w:rFonts w:hint="eastAsia" w:hAnsi="宋体"/>
          <w:sz w:val="21"/>
        </w:rPr>
        <w:t>在采购过程中，出现下列情形之一的，予以废标：</w:t>
      </w:r>
    </w:p>
    <w:p>
      <w:pPr>
        <w:pStyle w:val="26"/>
        <w:spacing w:line="360" w:lineRule="exact"/>
        <w:ind w:firstLine="420"/>
        <w:rPr>
          <w:rFonts w:hAnsi="宋体"/>
          <w:sz w:val="21"/>
        </w:rPr>
      </w:pPr>
      <w:r>
        <w:rPr>
          <w:rFonts w:hint="eastAsia" w:hAnsi="宋体"/>
          <w:sz w:val="21"/>
        </w:rPr>
        <w:t>（</w:t>
      </w:r>
      <w:r>
        <w:rPr>
          <w:rFonts w:hAnsi="宋体"/>
          <w:sz w:val="21"/>
        </w:rPr>
        <w:t>1</w:t>
      </w:r>
      <w:r>
        <w:rPr>
          <w:rFonts w:hint="eastAsia" w:hAnsi="宋体"/>
          <w:sz w:val="21"/>
        </w:rPr>
        <w:t>）符合资格条件的供应商或者对竞争性磋商采购文件作实质响应的供应商不足三家的；</w:t>
      </w:r>
    </w:p>
    <w:p>
      <w:pPr>
        <w:pStyle w:val="26"/>
        <w:spacing w:line="360" w:lineRule="exact"/>
        <w:ind w:firstLine="420"/>
        <w:rPr>
          <w:rFonts w:hAnsi="宋体"/>
          <w:bCs/>
          <w:sz w:val="21"/>
        </w:rPr>
      </w:pPr>
      <w:r>
        <w:rPr>
          <w:rFonts w:hint="eastAsia" w:hAnsi="宋体"/>
          <w:sz w:val="21"/>
        </w:rPr>
        <w:t>（</w:t>
      </w:r>
      <w:r>
        <w:rPr>
          <w:rFonts w:hAnsi="宋体"/>
          <w:sz w:val="21"/>
        </w:rPr>
        <w:t>2</w:t>
      </w:r>
      <w:r>
        <w:rPr>
          <w:rFonts w:hint="eastAsia" w:hAnsi="宋体"/>
          <w:sz w:val="21"/>
        </w:rPr>
        <w:t>）出现影响采购公正的违法、违规行为的；</w:t>
      </w:r>
    </w:p>
    <w:p>
      <w:pPr>
        <w:pStyle w:val="26"/>
        <w:spacing w:line="360" w:lineRule="exact"/>
        <w:ind w:firstLine="420"/>
        <w:rPr>
          <w:rFonts w:hAnsi="宋体"/>
          <w:sz w:val="21"/>
        </w:rPr>
      </w:pPr>
      <w:r>
        <w:rPr>
          <w:rFonts w:hint="eastAsia" w:hAnsi="宋体"/>
          <w:sz w:val="21"/>
        </w:rPr>
        <w:t>（</w:t>
      </w:r>
      <w:r>
        <w:rPr>
          <w:rFonts w:hAnsi="宋体"/>
          <w:sz w:val="21"/>
        </w:rPr>
        <w:t>3</w:t>
      </w:r>
      <w:r>
        <w:rPr>
          <w:rFonts w:hint="eastAsia" w:hAnsi="宋体"/>
          <w:sz w:val="21"/>
        </w:rPr>
        <w:t>）磋商供应商的报价均超过了采购预算，采购人不能支付的；</w:t>
      </w:r>
    </w:p>
    <w:p>
      <w:pPr>
        <w:pStyle w:val="26"/>
        <w:spacing w:line="360" w:lineRule="exact"/>
        <w:ind w:firstLine="420"/>
        <w:rPr>
          <w:rFonts w:hAnsi="宋体"/>
          <w:sz w:val="21"/>
        </w:rPr>
      </w:pPr>
      <w:r>
        <w:rPr>
          <w:rFonts w:hint="eastAsia" w:hAnsi="宋体"/>
          <w:sz w:val="21"/>
        </w:rPr>
        <w:t>（</w:t>
      </w:r>
      <w:r>
        <w:rPr>
          <w:rFonts w:hAnsi="宋体"/>
          <w:sz w:val="21"/>
        </w:rPr>
        <w:t>4</w:t>
      </w:r>
      <w:r>
        <w:rPr>
          <w:rFonts w:hint="eastAsia" w:hAnsi="宋体"/>
          <w:sz w:val="21"/>
        </w:rPr>
        <w:t>）因重大变故，采购任务取消的。</w:t>
      </w:r>
    </w:p>
    <w:p>
      <w:pPr>
        <w:pStyle w:val="26"/>
        <w:spacing w:line="360" w:lineRule="exact"/>
        <w:ind w:firstLine="420" w:firstLineChars="200"/>
        <w:rPr>
          <w:rFonts w:hAnsi="宋体"/>
          <w:sz w:val="21"/>
        </w:rPr>
      </w:pPr>
      <w:r>
        <w:rPr>
          <w:rFonts w:hAnsi="宋体"/>
          <w:sz w:val="21"/>
        </w:rPr>
        <w:t xml:space="preserve">21.2  </w:t>
      </w:r>
      <w:r>
        <w:rPr>
          <w:rFonts w:hint="eastAsia" w:hAnsi="宋体"/>
          <w:sz w:val="21"/>
        </w:rPr>
        <w:t>废标后，采购代理机构将在本章第</w:t>
      </w:r>
      <w:r>
        <w:rPr>
          <w:rFonts w:hAnsi="宋体"/>
          <w:sz w:val="21"/>
        </w:rPr>
        <w:t>2.1</w:t>
      </w:r>
      <w:r>
        <w:rPr>
          <w:rFonts w:hint="eastAsia" w:hAnsi="宋体"/>
          <w:sz w:val="21"/>
        </w:rPr>
        <w:t>项规定的政府采购信息发布媒体上公告废标理由。</w:t>
      </w:r>
    </w:p>
    <w:p>
      <w:pPr>
        <w:widowControl/>
        <w:spacing w:line="320" w:lineRule="exact"/>
        <w:ind w:firstLine="424" w:firstLineChars="201"/>
        <w:jc w:val="left"/>
        <w:rPr>
          <w:rFonts w:hAnsi="宋体"/>
          <w:b/>
          <w:bCs/>
          <w:szCs w:val="21"/>
        </w:rPr>
      </w:pPr>
      <w:r>
        <w:rPr>
          <w:rFonts w:hAnsi="宋体"/>
          <w:b/>
          <w:bCs/>
          <w:szCs w:val="21"/>
        </w:rPr>
        <w:t>2</w:t>
      </w:r>
      <w:r>
        <w:rPr>
          <w:rFonts w:hint="eastAsia" w:hAnsi="宋体"/>
          <w:b/>
          <w:bCs/>
          <w:szCs w:val="21"/>
        </w:rPr>
        <w:t>2、特别说明：</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22.1有下列情形之一的视为供应商相互串通投标，响应文件将被视为无效：</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（1）不同供应商的响应文件由同一单位或者个人编制；或不同供应商报名的IP地址一致的；</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（2）不同供应商委托同一单位或者个人办理竞标事宜；</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（3）不同的供应商的响应文件载明的项目管理员为同一个人；</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（4）不同供应商的响应文件异常一致或报价呈规律性差异；</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（5）不同供应商的响应文件相互混装；</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（6）不同供应商的保证金从同一单位或者个人账户转出。</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22.2供应商有下列情形之一的，属于恶意串通行为：</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（1）供应商直接或者间接从采购人或者采购代理机构处获得其他供应商的相关信息并修改其响应文件：</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（2）供应商按照采购人或者采购代理机构的授意撤换、修改响应文件；</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（3）供应商之间协商报价、技术方案等响应文件的实质性内容；</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（4）属于同一集团、协会、商会等组织成员的供应商按照该组织要求协同参加政府采购活动；</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（5）供应商之间事先约定一致抬高或者压低报价,或者在采购项目中事先约定轮流以高价位或者低价位成交,或者事先约定由某一特定供应商成交,然后再参加竞标；</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（6）供应商之间商定部分供应商放弃参加政府采购活动或者放弃成交；</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（7）供应商与采购人或者采购代理机构之间、供应商相互之间，为谋求特定供应商成交或者排斥其他供应商的其他串通行为。</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22.3关联供应商不得参加同一合同项下政府采购活动，否则响应文件将被视为无效：</w:t>
      </w:r>
    </w:p>
    <w:p>
      <w:pPr>
        <w:widowControl/>
        <w:spacing w:line="320" w:lineRule="exact"/>
        <w:ind w:firstLine="422" w:firstLineChars="201"/>
        <w:jc w:val="left"/>
        <w:rPr>
          <w:rFonts w:ascii="宋体" w:hAnsi="宋体"/>
          <w:color w:val="000000"/>
          <w:szCs w:val="21"/>
        </w:rPr>
      </w:pPr>
      <w:r>
        <w:rPr>
          <w:rFonts w:hint="eastAsia" w:ascii="宋体" w:hAnsi="宋体"/>
          <w:color w:val="000000"/>
          <w:szCs w:val="21"/>
        </w:rPr>
        <w:t>（1）单位负责人为同一人或者存在直接控股、管理关系的不同的供应商，不得参加同一合同项下的政府采购活动；</w:t>
      </w:r>
    </w:p>
    <w:p>
      <w:pPr>
        <w:widowControl/>
        <w:spacing w:line="320" w:lineRule="exact"/>
        <w:ind w:firstLine="422" w:firstLineChars="201"/>
        <w:jc w:val="left"/>
        <w:rPr>
          <w:rFonts w:ascii="宋体" w:hAnsi="宋体"/>
          <w:color w:val="000000"/>
          <w:szCs w:val="21"/>
        </w:rPr>
      </w:pPr>
      <w:r>
        <w:rPr>
          <w:rFonts w:hint="eastAsia" w:hAnsi="宋体"/>
          <w:color w:val="000000"/>
          <w:szCs w:val="21"/>
        </w:rPr>
        <w:t>（2）生产厂商授权给供应商后自己不得参加同一合同项下的政府采购活动；生产厂商对同一品牌同一型号的货物，仅能委托一个代理商参加竞标。</w:t>
      </w:r>
    </w:p>
    <w:p>
      <w:pPr>
        <w:pStyle w:val="26"/>
        <w:spacing w:line="360" w:lineRule="exact"/>
        <w:ind w:firstLine="236" w:firstLineChars="98"/>
        <w:rPr>
          <w:rFonts w:hAnsi="宋体"/>
          <w:b/>
          <w:bCs/>
          <w:sz w:val="24"/>
          <w:szCs w:val="24"/>
        </w:rPr>
      </w:pPr>
    </w:p>
    <w:p>
      <w:pPr>
        <w:pStyle w:val="26"/>
        <w:spacing w:line="360" w:lineRule="exact"/>
        <w:jc w:val="center"/>
        <w:rPr>
          <w:rFonts w:hAnsi="宋体"/>
          <w:b/>
          <w:bCs/>
        </w:rPr>
      </w:pPr>
    </w:p>
    <w:p>
      <w:pPr>
        <w:pStyle w:val="26"/>
        <w:jc w:val="center"/>
        <w:outlineLvl w:val="1"/>
        <w:rPr>
          <w:rFonts w:hAnsi="宋体"/>
          <w:b/>
          <w:sz w:val="30"/>
          <w:szCs w:val="30"/>
        </w:rPr>
      </w:pPr>
      <w:bookmarkStart w:id="54" w:name="_Toc452041910"/>
    </w:p>
    <w:p>
      <w:pPr>
        <w:pStyle w:val="26"/>
        <w:jc w:val="center"/>
        <w:outlineLvl w:val="1"/>
        <w:rPr>
          <w:rFonts w:hAnsi="宋体"/>
          <w:b/>
          <w:sz w:val="30"/>
          <w:szCs w:val="30"/>
        </w:rPr>
      </w:pPr>
      <w:r>
        <w:rPr>
          <w:rFonts w:hint="eastAsia" w:hAnsi="宋体"/>
          <w:b/>
          <w:sz w:val="30"/>
          <w:szCs w:val="30"/>
        </w:rPr>
        <w:t>六、合同授予</w:t>
      </w:r>
      <w:bookmarkEnd w:id="54"/>
    </w:p>
    <w:p>
      <w:pPr>
        <w:pStyle w:val="26"/>
        <w:spacing w:line="360" w:lineRule="exact"/>
        <w:ind w:firstLine="207" w:firstLineChars="98"/>
        <w:rPr>
          <w:rFonts w:hAnsi="宋体"/>
          <w:b/>
          <w:bCs/>
          <w:sz w:val="21"/>
        </w:rPr>
      </w:pPr>
      <w:r>
        <w:rPr>
          <w:rFonts w:hAnsi="宋体"/>
          <w:b/>
          <w:bCs/>
          <w:sz w:val="21"/>
        </w:rPr>
        <w:t>2</w:t>
      </w:r>
      <w:r>
        <w:rPr>
          <w:rFonts w:hint="eastAsia" w:hAnsi="宋体"/>
          <w:b/>
          <w:bCs/>
          <w:sz w:val="21"/>
        </w:rPr>
        <w:t>3、成交供应商的确定：</w:t>
      </w:r>
    </w:p>
    <w:p>
      <w:pPr>
        <w:spacing w:line="360" w:lineRule="exact"/>
        <w:ind w:firstLine="420" w:firstLineChars="200"/>
        <w:rPr>
          <w:rFonts w:ascii="宋体" w:hAnsi="宋体"/>
          <w:szCs w:val="21"/>
        </w:rPr>
      </w:pPr>
      <w:r>
        <w:rPr>
          <w:rFonts w:ascii="宋体" w:hAnsi="宋体"/>
          <w:szCs w:val="21"/>
        </w:rPr>
        <w:t>2</w:t>
      </w:r>
      <w:r>
        <w:rPr>
          <w:rFonts w:hint="eastAsia" w:ascii="宋体" w:hAnsi="宋体"/>
          <w:szCs w:val="21"/>
        </w:rPr>
        <w:t>3</w:t>
      </w:r>
      <w:r>
        <w:rPr>
          <w:rFonts w:ascii="宋体" w:hAnsi="宋体"/>
          <w:szCs w:val="21"/>
        </w:rPr>
        <w:t xml:space="preserve">.1  </w:t>
      </w:r>
      <w:r>
        <w:rPr>
          <w:rFonts w:hint="eastAsia" w:ascii="宋体" w:hAnsi="宋体"/>
          <w:szCs w:val="21"/>
        </w:rPr>
        <w:t>磋商小组按第三章“评审方法”的规定排列成交候选供应商顺序，并推荐3名成交候选人。</w:t>
      </w:r>
    </w:p>
    <w:p>
      <w:pPr>
        <w:spacing w:line="360" w:lineRule="exact"/>
        <w:ind w:firstLine="420" w:firstLineChars="200"/>
        <w:rPr>
          <w:rFonts w:ascii="宋体" w:hAnsi="宋体"/>
          <w:szCs w:val="21"/>
        </w:rPr>
      </w:pPr>
      <w:r>
        <w:rPr>
          <w:rFonts w:hint="eastAsia" w:ascii="宋体" w:hAnsi="宋体"/>
          <w:szCs w:val="21"/>
        </w:rPr>
        <w:t>23.2采购代理机构在评标结束后</w:t>
      </w:r>
      <w:r>
        <w:rPr>
          <w:rFonts w:ascii="宋体" w:hAnsi="宋体"/>
          <w:szCs w:val="21"/>
        </w:rPr>
        <w:t>2</w:t>
      </w:r>
      <w:r>
        <w:rPr>
          <w:rFonts w:hint="eastAsia" w:ascii="宋体" w:hAnsi="宋体"/>
          <w:szCs w:val="21"/>
        </w:rPr>
        <w:t>个工作日内将评标报告送达采购人，采购人自收到评标报告之日起</w:t>
      </w:r>
      <w:r>
        <w:rPr>
          <w:rFonts w:ascii="宋体" w:hAnsi="宋体"/>
          <w:szCs w:val="21"/>
        </w:rPr>
        <w:t>5</w:t>
      </w:r>
      <w:r>
        <w:rPr>
          <w:rFonts w:hint="eastAsia" w:ascii="宋体" w:hAnsi="宋体"/>
          <w:szCs w:val="21"/>
        </w:rPr>
        <w:t>个工作日内，在评标报告确定的成交候选人名单中按顺序确定</w:t>
      </w:r>
      <w:r>
        <w:rPr>
          <w:rFonts w:hint="eastAsia" w:ascii="宋体" w:hAnsi="宋体"/>
          <w:szCs w:val="21"/>
          <w:u w:val="single"/>
        </w:rPr>
        <w:t>一名</w:t>
      </w:r>
      <w:r>
        <w:rPr>
          <w:rFonts w:hint="eastAsia" w:ascii="宋体" w:hAnsi="宋体"/>
          <w:szCs w:val="21"/>
        </w:rPr>
        <w:t>成交人。成交候选人并列的，由采购人或者采购人委托评标委员会按照采购文件规定的方式确定成交人；采购文件未规定的，采取随机抽取的方式确定。</w:t>
      </w:r>
    </w:p>
    <w:p>
      <w:pPr>
        <w:spacing w:line="360" w:lineRule="exact"/>
        <w:ind w:firstLine="420" w:firstLineChars="200"/>
        <w:rPr>
          <w:rFonts w:ascii="宋体" w:hAnsi="宋体"/>
          <w:szCs w:val="21"/>
        </w:rPr>
      </w:pPr>
      <w:r>
        <w:rPr>
          <w:rFonts w:hint="eastAsia" w:ascii="宋体" w:hAnsi="宋体"/>
          <w:szCs w:val="21"/>
        </w:rPr>
        <w:t>23.3采购人在收到评标报告5个工作日内未按评标报告推荐的成交候选人顺序确定成交人，又不能说明合法理由的，视同按评标报告推荐的顺序确定排名第一的成交候选人为成交人。</w:t>
      </w:r>
    </w:p>
    <w:p>
      <w:pPr>
        <w:pStyle w:val="26"/>
        <w:spacing w:line="360" w:lineRule="exact"/>
        <w:ind w:firstLine="207" w:firstLineChars="98"/>
        <w:rPr>
          <w:rFonts w:hAnsi="宋体"/>
          <w:b/>
          <w:bCs/>
          <w:sz w:val="21"/>
        </w:rPr>
      </w:pPr>
      <w:r>
        <w:rPr>
          <w:rFonts w:hAnsi="宋体"/>
          <w:b/>
          <w:bCs/>
          <w:sz w:val="21"/>
        </w:rPr>
        <w:t>2</w:t>
      </w:r>
      <w:r>
        <w:rPr>
          <w:rFonts w:hint="eastAsia" w:hAnsi="宋体"/>
          <w:b/>
          <w:bCs/>
          <w:sz w:val="21"/>
        </w:rPr>
        <w:t>4、成交公告及成交通知书：</w:t>
      </w:r>
    </w:p>
    <w:p>
      <w:pPr>
        <w:pStyle w:val="26"/>
        <w:spacing w:line="360" w:lineRule="exact"/>
        <w:ind w:firstLine="420" w:firstLineChars="200"/>
        <w:rPr>
          <w:rFonts w:hAnsi="宋体"/>
          <w:sz w:val="21"/>
        </w:rPr>
      </w:pPr>
      <w:r>
        <w:rPr>
          <w:rFonts w:hAnsi="宋体"/>
          <w:sz w:val="21"/>
        </w:rPr>
        <w:t>2</w:t>
      </w:r>
      <w:r>
        <w:rPr>
          <w:rFonts w:hint="eastAsia" w:hAnsi="宋体"/>
          <w:sz w:val="21"/>
        </w:rPr>
        <w:t>4</w:t>
      </w:r>
      <w:r>
        <w:rPr>
          <w:rFonts w:hAnsi="宋体"/>
          <w:sz w:val="21"/>
        </w:rPr>
        <w:t xml:space="preserve">.1  </w:t>
      </w:r>
      <w:r>
        <w:rPr>
          <w:rFonts w:hint="eastAsia" w:hAnsi="宋体"/>
          <w:sz w:val="21"/>
        </w:rPr>
        <w:t>成交供应商确定后，成交结果由采购代理机构于五个工作日内在本章第</w:t>
      </w:r>
      <w:r>
        <w:rPr>
          <w:rFonts w:hAnsi="宋体"/>
          <w:sz w:val="21"/>
        </w:rPr>
        <w:t>2.1</w:t>
      </w:r>
      <w:r>
        <w:rPr>
          <w:rFonts w:hint="eastAsia" w:hAnsi="宋体"/>
          <w:sz w:val="21"/>
        </w:rPr>
        <w:t>项规定的政府采购信息发布媒体上公告，同时向成交供应商发出成交通知书。</w:t>
      </w:r>
    </w:p>
    <w:p>
      <w:pPr>
        <w:pStyle w:val="26"/>
        <w:spacing w:line="360" w:lineRule="exact"/>
        <w:ind w:firstLine="420" w:firstLineChars="200"/>
        <w:rPr>
          <w:rFonts w:hAnsi="宋体"/>
          <w:sz w:val="21"/>
        </w:rPr>
      </w:pPr>
      <w:r>
        <w:rPr>
          <w:rFonts w:hAnsi="宋体"/>
          <w:sz w:val="21"/>
        </w:rPr>
        <w:t>2</w:t>
      </w:r>
      <w:r>
        <w:rPr>
          <w:rFonts w:hint="eastAsia" w:hAnsi="宋体"/>
          <w:sz w:val="21"/>
        </w:rPr>
        <w:t>4</w:t>
      </w:r>
      <w:r>
        <w:rPr>
          <w:rFonts w:hAnsi="宋体"/>
          <w:sz w:val="21"/>
        </w:rPr>
        <w:t xml:space="preserve">.2  </w:t>
      </w:r>
      <w:r>
        <w:rPr>
          <w:rFonts w:hint="eastAsia" w:hAnsi="宋体"/>
          <w:sz w:val="21"/>
        </w:rPr>
        <w:t>成交通知书对采购人和成交供应商具有同等法律效力。成交通知书发出后，采购人改变成交结果，或者成交供应商放弃成交，应当承担相应的法律责任。</w:t>
      </w:r>
    </w:p>
    <w:p>
      <w:pPr>
        <w:pStyle w:val="26"/>
        <w:spacing w:line="360" w:lineRule="exact"/>
        <w:ind w:firstLine="207" w:firstLineChars="98"/>
        <w:rPr>
          <w:rFonts w:hAnsi="宋体"/>
          <w:b/>
          <w:bCs/>
          <w:sz w:val="21"/>
        </w:rPr>
      </w:pPr>
      <w:r>
        <w:rPr>
          <w:rFonts w:hAnsi="宋体"/>
          <w:b/>
          <w:bCs/>
          <w:sz w:val="21"/>
        </w:rPr>
        <w:t>2</w:t>
      </w:r>
      <w:r>
        <w:rPr>
          <w:rFonts w:hint="eastAsia" w:hAnsi="宋体"/>
          <w:b/>
          <w:bCs/>
          <w:sz w:val="21"/>
        </w:rPr>
        <w:t>5、响应文件的退回：</w:t>
      </w:r>
    </w:p>
    <w:p>
      <w:pPr>
        <w:pStyle w:val="26"/>
        <w:spacing w:line="360" w:lineRule="exact"/>
        <w:ind w:firstLine="420" w:firstLineChars="200"/>
        <w:rPr>
          <w:rFonts w:hAnsi="宋体"/>
          <w:sz w:val="21"/>
        </w:rPr>
      </w:pPr>
      <w:r>
        <w:rPr>
          <w:rFonts w:hAnsi="宋体"/>
          <w:sz w:val="21"/>
        </w:rPr>
        <w:t>2</w:t>
      </w:r>
      <w:r>
        <w:rPr>
          <w:rFonts w:hint="eastAsia" w:hAnsi="宋体"/>
          <w:sz w:val="21"/>
        </w:rPr>
        <w:t>5</w:t>
      </w:r>
      <w:r>
        <w:rPr>
          <w:rFonts w:hAnsi="宋体"/>
          <w:sz w:val="21"/>
        </w:rPr>
        <w:t xml:space="preserve">.1  </w:t>
      </w:r>
      <w:r>
        <w:rPr>
          <w:rFonts w:hint="eastAsia" w:hAnsi="宋体"/>
          <w:sz w:val="21"/>
        </w:rPr>
        <w:t>采购人及采购代理机构无义务向未成交供应商解释其未成交原因和退回响应文件。</w:t>
      </w:r>
    </w:p>
    <w:p>
      <w:pPr>
        <w:pStyle w:val="26"/>
        <w:spacing w:line="360" w:lineRule="exact"/>
        <w:ind w:firstLine="207" w:firstLineChars="98"/>
        <w:rPr>
          <w:rFonts w:hAnsi="宋体"/>
          <w:b/>
          <w:bCs/>
          <w:sz w:val="21"/>
        </w:rPr>
      </w:pPr>
      <w:r>
        <w:rPr>
          <w:rFonts w:hAnsi="宋体"/>
          <w:b/>
          <w:bCs/>
          <w:sz w:val="21"/>
        </w:rPr>
        <w:t>2</w:t>
      </w:r>
      <w:r>
        <w:rPr>
          <w:rFonts w:hint="eastAsia" w:hAnsi="宋体"/>
          <w:b/>
          <w:bCs/>
          <w:sz w:val="21"/>
        </w:rPr>
        <w:t>6、签订合同：</w:t>
      </w:r>
    </w:p>
    <w:p>
      <w:pPr>
        <w:pStyle w:val="26"/>
        <w:spacing w:line="360" w:lineRule="exact"/>
        <w:ind w:firstLine="420" w:firstLineChars="200"/>
        <w:rPr>
          <w:rFonts w:hAnsi="宋体"/>
          <w:sz w:val="21"/>
        </w:rPr>
      </w:pPr>
      <w:r>
        <w:rPr>
          <w:rFonts w:hAnsi="宋体"/>
          <w:sz w:val="21"/>
        </w:rPr>
        <w:t>2</w:t>
      </w:r>
      <w:r>
        <w:rPr>
          <w:rFonts w:hint="eastAsia" w:hAnsi="宋体"/>
          <w:sz w:val="21"/>
        </w:rPr>
        <w:t>6</w:t>
      </w:r>
      <w:r>
        <w:rPr>
          <w:rFonts w:hAnsi="宋体"/>
          <w:sz w:val="21"/>
        </w:rPr>
        <w:t xml:space="preserve">.1  </w:t>
      </w:r>
      <w:r>
        <w:rPr>
          <w:rFonts w:hint="eastAsia" w:hAnsi="宋体"/>
          <w:sz w:val="21"/>
        </w:rPr>
        <w:t>采购人和成交供应商应当在第二章“服务项目采购需求”中商务条款要求载明的合同签订期内，根据竞争性磋商采购文件、成交供应商的响应文件及有关澄清承诺书的要求按第五章“合同条款及格式”订立书面合同。联合体磋商的，联合体各方应当共同与采购人签订采购合同，就采购合同约定的事项对采购人承担连带责任。</w:t>
      </w:r>
    </w:p>
    <w:p>
      <w:pPr>
        <w:pStyle w:val="26"/>
        <w:spacing w:line="360" w:lineRule="exact"/>
        <w:ind w:firstLine="420" w:firstLineChars="200"/>
        <w:rPr>
          <w:rFonts w:hAnsi="宋体"/>
          <w:sz w:val="21"/>
        </w:rPr>
      </w:pPr>
      <w:r>
        <w:rPr>
          <w:rFonts w:hAnsi="宋体"/>
          <w:sz w:val="21"/>
        </w:rPr>
        <w:t>2</w:t>
      </w:r>
      <w:r>
        <w:rPr>
          <w:rFonts w:hint="eastAsia" w:hAnsi="宋体"/>
          <w:sz w:val="21"/>
        </w:rPr>
        <w:t>6</w:t>
      </w:r>
      <w:r>
        <w:rPr>
          <w:rFonts w:hAnsi="宋体"/>
          <w:sz w:val="21"/>
        </w:rPr>
        <w:t xml:space="preserve">.2  </w:t>
      </w:r>
      <w:r>
        <w:rPr>
          <w:rFonts w:hint="eastAsia" w:hAnsi="宋体"/>
          <w:sz w:val="21"/>
        </w:rPr>
        <w:t>发出成交通知书后，成交供应商有本章第</w:t>
      </w:r>
      <w:r>
        <w:rPr>
          <w:rFonts w:hAnsi="宋体"/>
          <w:sz w:val="21"/>
        </w:rPr>
        <w:t>13.</w:t>
      </w:r>
      <w:r>
        <w:rPr>
          <w:rFonts w:hint="eastAsia" w:hAnsi="宋体"/>
          <w:sz w:val="21"/>
        </w:rPr>
        <w:t>6项第（</w:t>
      </w:r>
      <w:r>
        <w:rPr>
          <w:rFonts w:hAnsi="宋体"/>
          <w:sz w:val="21"/>
        </w:rPr>
        <w:t>3</w:t>
      </w:r>
      <w:r>
        <w:rPr>
          <w:rFonts w:hint="eastAsia" w:hAnsi="宋体"/>
          <w:sz w:val="21"/>
        </w:rPr>
        <w:t>）</w:t>
      </w:r>
      <w:r>
        <w:rPr>
          <w:rFonts w:hAnsi="宋体"/>
          <w:sz w:val="21"/>
        </w:rPr>
        <w:t>-</w:t>
      </w:r>
      <w:r>
        <w:rPr>
          <w:rFonts w:hint="eastAsia" w:hAnsi="宋体"/>
          <w:sz w:val="21"/>
        </w:rPr>
        <w:t>（</w:t>
      </w:r>
      <w:r>
        <w:rPr>
          <w:rFonts w:hAnsi="宋体"/>
          <w:sz w:val="21"/>
        </w:rPr>
        <w:t>6</w:t>
      </w:r>
      <w:r>
        <w:rPr>
          <w:rFonts w:hint="eastAsia" w:hAnsi="宋体"/>
          <w:sz w:val="21"/>
        </w:rPr>
        <w:t>）项情形之一的，成交无效，其</w:t>
      </w:r>
      <w:r>
        <w:rPr>
          <w:rFonts w:hint="eastAsia" w:hAnsi="宋体"/>
          <w:spacing w:val="-2"/>
          <w:sz w:val="21"/>
        </w:rPr>
        <w:t>磋商保证金不予退还；给采购人造成的损失超过磋商保证金数额的，成交供应商还应当对超过部分予以赔偿。</w:t>
      </w:r>
    </w:p>
    <w:p>
      <w:pPr>
        <w:pStyle w:val="26"/>
        <w:spacing w:line="360" w:lineRule="exact"/>
        <w:ind w:firstLine="420" w:firstLineChars="200"/>
        <w:rPr>
          <w:rFonts w:hAnsi="宋体"/>
          <w:sz w:val="21"/>
        </w:rPr>
      </w:pPr>
      <w:r>
        <w:rPr>
          <w:rFonts w:hAnsi="宋体"/>
          <w:sz w:val="21"/>
        </w:rPr>
        <w:t>2</w:t>
      </w:r>
      <w:r>
        <w:rPr>
          <w:rFonts w:hint="eastAsia" w:hAnsi="宋体"/>
          <w:sz w:val="21"/>
        </w:rPr>
        <w:t>6</w:t>
      </w:r>
      <w:r>
        <w:rPr>
          <w:rFonts w:hAnsi="宋体"/>
          <w:sz w:val="21"/>
        </w:rPr>
        <w:t xml:space="preserve">.3  </w:t>
      </w:r>
      <w:r>
        <w:rPr>
          <w:rFonts w:hint="eastAsia" w:hAnsi="宋体"/>
          <w:sz w:val="21"/>
        </w:rPr>
        <w:t>发出成交通知书后，采购人无正当理由拒签合同的，向成交供应商退还磋商保证金；采购人给成交供应商造成损失的，应当赔偿损失。</w:t>
      </w:r>
    </w:p>
    <w:p>
      <w:pPr>
        <w:pStyle w:val="26"/>
        <w:spacing w:line="360" w:lineRule="exact"/>
        <w:ind w:firstLine="420" w:firstLineChars="200"/>
        <w:rPr>
          <w:rFonts w:hAnsi="宋体"/>
          <w:sz w:val="21"/>
        </w:rPr>
      </w:pPr>
      <w:r>
        <w:rPr>
          <w:rFonts w:hAnsi="宋体"/>
          <w:sz w:val="21"/>
        </w:rPr>
        <w:t>2</w:t>
      </w:r>
      <w:r>
        <w:rPr>
          <w:rFonts w:hint="eastAsia" w:hAnsi="宋体"/>
          <w:sz w:val="21"/>
        </w:rPr>
        <w:t>6</w:t>
      </w:r>
      <w:r>
        <w:rPr>
          <w:rFonts w:hAnsi="宋体"/>
          <w:sz w:val="21"/>
        </w:rPr>
        <w:t xml:space="preserve">.4  </w:t>
      </w:r>
      <w:r>
        <w:rPr>
          <w:rFonts w:hint="eastAsia" w:hAnsi="宋体"/>
          <w:sz w:val="21"/>
        </w:rPr>
        <w:t>成交供应商因不可抗力或者自身原因不能履行政府采购合同的，采购人可以与排位在成交供应商之后第一位的成交候选供应商签订政府采购合同，以此类推。</w:t>
      </w:r>
    </w:p>
    <w:p>
      <w:pPr>
        <w:pStyle w:val="26"/>
        <w:spacing w:line="360" w:lineRule="exact"/>
        <w:ind w:firstLine="420" w:firstLineChars="200"/>
        <w:rPr>
          <w:rFonts w:hAnsi="宋体"/>
          <w:sz w:val="21"/>
        </w:rPr>
      </w:pPr>
      <w:r>
        <w:rPr>
          <w:rFonts w:hAnsi="宋体"/>
          <w:sz w:val="21"/>
        </w:rPr>
        <w:t>2</w:t>
      </w:r>
      <w:r>
        <w:rPr>
          <w:rFonts w:hint="eastAsia" w:hAnsi="宋体"/>
          <w:sz w:val="21"/>
        </w:rPr>
        <w:t>6</w:t>
      </w:r>
      <w:r>
        <w:rPr>
          <w:rFonts w:hAnsi="宋体"/>
          <w:sz w:val="21"/>
        </w:rPr>
        <w:t xml:space="preserve">.5  </w:t>
      </w:r>
      <w:r>
        <w:rPr>
          <w:rFonts w:hint="eastAsia" w:hAnsi="宋体"/>
          <w:sz w:val="21"/>
        </w:rPr>
        <w:t>自采购合同签订之日起七个工作日内，采购人应当将合同副本壹份报采购监督管理部门备案。</w:t>
      </w:r>
    </w:p>
    <w:p>
      <w:pPr>
        <w:pStyle w:val="26"/>
        <w:spacing w:line="360" w:lineRule="exact"/>
        <w:ind w:firstLine="360"/>
        <w:rPr>
          <w:rFonts w:hAnsi="宋体"/>
          <w:sz w:val="21"/>
        </w:rPr>
      </w:pPr>
      <w:r>
        <w:rPr>
          <w:rFonts w:hAnsi="宋体"/>
          <w:sz w:val="21"/>
        </w:rPr>
        <w:t>2</w:t>
      </w:r>
      <w:r>
        <w:rPr>
          <w:rFonts w:hint="eastAsia" w:hAnsi="宋体"/>
          <w:sz w:val="21"/>
        </w:rPr>
        <w:t>6</w:t>
      </w:r>
      <w:r>
        <w:rPr>
          <w:rFonts w:hAnsi="宋体"/>
          <w:sz w:val="21"/>
        </w:rPr>
        <w:t xml:space="preserve">.6  </w:t>
      </w:r>
      <w:r>
        <w:rPr>
          <w:rFonts w:hint="eastAsia" w:hAnsi="宋体"/>
          <w:sz w:val="21"/>
        </w:rPr>
        <w:t>采购合同是采购项目验收的依据，成交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26"/>
        <w:spacing w:line="360" w:lineRule="exact"/>
        <w:ind w:firstLine="360"/>
        <w:rPr>
          <w:rFonts w:hAnsi="宋体"/>
          <w:sz w:val="21"/>
        </w:rPr>
      </w:pPr>
      <w:r>
        <w:rPr>
          <w:rFonts w:hAnsi="宋体"/>
          <w:sz w:val="21"/>
        </w:rPr>
        <w:t>2</w:t>
      </w:r>
      <w:r>
        <w:rPr>
          <w:rFonts w:hint="eastAsia" w:hAnsi="宋体"/>
          <w:sz w:val="21"/>
        </w:rPr>
        <w:t>6</w:t>
      </w:r>
      <w:r>
        <w:rPr>
          <w:rFonts w:hAnsi="宋体"/>
          <w:sz w:val="21"/>
        </w:rPr>
        <w:t xml:space="preserve">.7  </w:t>
      </w:r>
      <w:r>
        <w:rPr>
          <w:rFonts w:hint="eastAsia" w:hAnsi="宋体"/>
          <w:sz w:val="21"/>
        </w:rPr>
        <w:t>采购人或成交供应商在合同履行过程中存在违反政府采购合同行为的，权益受损当事人应当将有关违约的情况以及拟采取的措施，及时书面报告采购代理机构。</w:t>
      </w:r>
    </w:p>
    <w:p>
      <w:pPr>
        <w:pStyle w:val="26"/>
        <w:spacing w:line="360" w:lineRule="exact"/>
        <w:ind w:firstLine="360"/>
        <w:rPr>
          <w:rFonts w:hAnsi="宋体"/>
          <w:sz w:val="21"/>
        </w:rPr>
      </w:pPr>
      <w:r>
        <w:rPr>
          <w:rFonts w:hAnsi="宋体"/>
          <w:sz w:val="21"/>
        </w:rPr>
        <w:t>2</w:t>
      </w:r>
      <w:r>
        <w:rPr>
          <w:rFonts w:hint="eastAsia" w:hAnsi="宋体"/>
          <w:sz w:val="21"/>
        </w:rPr>
        <w:t>6</w:t>
      </w:r>
      <w:r>
        <w:rPr>
          <w:rFonts w:hAnsi="宋体"/>
          <w:sz w:val="21"/>
        </w:rPr>
        <w:t>.</w:t>
      </w:r>
      <w:r>
        <w:rPr>
          <w:rFonts w:hint="eastAsia" w:hAnsi="宋体"/>
          <w:sz w:val="21"/>
        </w:rPr>
        <w:t>8</w:t>
      </w:r>
      <w:r>
        <w:rPr>
          <w:rFonts w:hAnsi="宋体"/>
          <w:sz w:val="21"/>
        </w:rPr>
        <w:t xml:space="preserve"> </w:t>
      </w:r>
      <w:r>
        <w:rPr>
          <w:rFonts w:hint="eastAsia" w:hAnsi="宋体"/>
          <w:sz w:val="21"/>
        </w:rPr>
        <w:t>采购人在签订合同之前有权要求成交供应商提供本项目必需的相关资料原件进行核查，成交供应商不得拒绝。如成交供应商拒绝提供，则自行承担由此产生的后果。</w:t>
      </w:r>
    </w:p>
    <w:p>
      <w:pPr>
        <w:pStyle w:val="26"/>
        <w:spacing w:line="360" w:lineRule="exact"/>
        <w:ind w:firstLine="207" w:firstLineChars="98"/>
        <w:rPr>
          <w:rFonts w:hAnsi="宋体"/>
          <w:sz w:val="21"/>
        </w:rPr>
      </w:pPr>
      <w:r>
        <w:rPr>
          <w:rFonts w:hAnsi="宋体"/>
          <w:b/>
          <w:bCs/>
          <w:sz w:val="21"/>
        </w:rPr>
        <w:t>2</w:t>
      </w:r>
      <w:r>
        <w:rPr>
          <w:rFonts w:hint="eastAsia" w:hAnsi="宋体"/>
          <w:b/>
          <w:bCs/>
          <w:sz w:val="21"/>
        </w:rPr>
        <w:t>7、履约保证金及质量保证金：</w:t>
      </w:r>
      <w:r>
        <w:rPr>
          <w:rFonts w:hint="eastAsia" w:hAnsi="宋体"/>
          <w:bCs/>
          <w:sz w:val="21"/>
        </w:rPr>
        <w:t>无。</w:t>
      </w:r>
    </w:p>
    <w:p>
      <w:pPr>
        <w:pStyle w:val="26"/>
        <w:spacing w:line="360" w:lineRule="exact"/>
        <w:jc w:val="center"/>
        <w:rPr>
          <w:rFonts w:hAnsi="宋体"/>
          <w:sz w:val="21"/>
        </w:rPr>
      </w:pPr>
    </w:p>
    <w:p>
      <w:pPr>
        <w:pStyle w:val="26"/>
        <w:spacing w:line="360" w:lineRule="exact"/>
        <w:jc w:val="center"/>
        <w:outlineLvl w:val="1"/>
        <w:rPr>
          <w:rFonts w:hAnsi="宋体"/>
          <w:b/>
          <w:sz w:val="30"/>
          <w:szCs w:val="30"/>
        </w:rPr>
      </w:pPr>
      <w:bookmarkStart w:id="55" w:name="_Toc452041911"/>
      <w:r>
        <w:rPr>
          <w:rFonts w:hint="eastAsia" w:hAnsi="宋体"/>
          <w:b/>
          <w:sz w:val="30"/>
          <w:szCs w:val="30"/>
        </w:rPr>
        <w:t>七、其他事项</w:t>
      </w:r>
      <w:bookmarkEnd w:id="55"/>
    </w:p>
    <w:p>
      <w:pPr>
        <w:pStyle w:val="26"/>
        <w:spacing w:line="360" w:lineRule="exact"/>
        <w:ind w:firstLine="207" w:firstLineChars="98"/>
        <w:rPr>
          <w:rFonts w:hAnsi="宋体"/>
          <w:b/>
          <w:bCs/>
          <w:sz w:val="21"/>
        </w:rPr>
      </w:pPr>
      <w:r>
        <w:rPr>
          <w:rFonts w:hAnsi="宋体"/>
          <w:b/>
          <w:bCs/>
          <w:sz w:val="21"/>
        </w:rPr>
        <w:t>2</w:t>
      </w:r>
      <w:r>
        <w:rPr>
          <w:rFonts w:hint="eastAsia" w:hAnsi="宋体"/>
          <w:b/>
          <w:bCs/>
          <w:sz w:val="21"/>
        </w:rPr>
        <w:t>8、解释权：</w:t>
      </w:r>
    </w:p>
    <w:p>
      <w:pPr>
        <w:pStyle w:val="26"/>
        <w:spacing w:line="360" w:lineRule="exact"/>
        <w:ind w:firstLine="420" w:firstLineChars="200"/>
        <w:jc w:val="left"/>
        <w:rPr>
          <w:rFonts w:hAnsi="宋体"/>
          <w:sz w:val="21"/>
        </w:rPr>
      </w:pPr>
      <w:r>
        <w:rPr>
          <w:rFonts w:hAnsi="宋体"/>
          <w:sz w:val="21"/>
        </w:rPr>
        <w:t>2</w:t>
      </w:r>
      <w:r>
        <w:rPr>
          <w:rFonts w:hint="eastAsia" w:hAnsi="宋体"/>
          <w:sz w:val="21"/>
        </w:rPr>
        <w:t>8</w:t>
      </w:r>
      <w:r>
        <w:rPr>
          <w:rFonts w:hAnsi="宋体"/>
          <w:sz w:val="21"/>
        </w:rPr>
        <w:t xml:space="preserve">.1  </w:t>
      </w:r>
      <w:r>
        <w:rPr>
          <w:rFonts w:hint="eastAsia" w:hAnsi="宋体"/>
          <w:sz w:val="21"/>
        </w:rPr>
        <w:t>本竞争性磋商采购文件根据《中华人民共和国政府采购法》及相关法律法规编制，解释权属采购代理机构。</w:t>
      </w:r>
    </w:p>
    <w:p>
      <w:pPr>
        <w:pStyle w:val="26"/>
        <w:spacing w:line="360" w:lineRule="exact"/>
        <w:ind w:firstLine="207" w:firstLineChars="98"/>
        <w:jc w:val="left"/>
        <w:rPr>
          <w:rFonts w:hAnsi="宋体"/>
          <w:b/>
          <w:sz w:val="21"/>
        </w:rPr>
      </w:pPr>
      <w:r>
        <w:rPr>
          <w:rFonts w:hAnsi="宋体"/>
          <w:b/>
          <w:sz w:val="21"/>
        </w:rPr>
        <w:t>2</w:t>
      </w:r>
      <w:r>
        <w:rPr>
          <w:rFonts w:hint="eastAsia" w:hAnsi="宋体"/>
          <w:b/>
          <w:sz w:val="21"/>
        </w:rPr>
        <w:t>9、需要补充的其他内容：</w:t>
      </w:r>
    </w:p>
    <w:p>
      <w:pPr>
        <w:spacing w:line="460" w:lineRule="exact"/>
        <w:ind w:firstLine="409" w:firstLineChars="195"/>
        <w:rPr>
          <w:rFonts w:hAnsi="宋体"/>
          <w:szCs w:val="21"/>
        </w:rPr>
      </w:pPr>
      <w:bookmarkStart w:id="56" w:name="_Toc293863058"/>
      <w:bookmarkStart w:id="57" w:name="_Toc308018682"/>
      <w:bookmarkStart w:id="58" w:name="_Toc293863325"/>
      <w:bookmarkStart w:id="59" w:name="_Toc254970548"/>
      <w:bookmarkStart w:id="60" w:name="_Toc254970689"/>
      <w:r>
        <w:rPr>
          <w:rFonts w:hint="eastAsia" w:ascii="宋体" w:hAnsi="宋体"/>
          <w:kern w:val="0"/>
          <w:szCs w:val="21"/>
        </w:rPr>
        <w:t>29.1</w:t>
      </w:r>
      <w:r>
        <w:rPr>
          <w:rFonts w:hint="eastAsia" w:ascii="宋体" w:hAnsi="宋体"/>
          <w:szCs w:val="21"/>
        </w:rPr>
        <w:t>本项目招标代理服务费</w:t>
      </w:r>
      <w:r>
        <w:rPr>
          <w:rFonts w:hint="eastAsia" w:hAnsi="宋体"/>
          <w:szCs w:val="21"/>
        </w:rPr>
        <w:t>按国家发展改革委《关于进一步放开建设项目专业服务价格的通知》发改价格〔</w:t>
      </w:r>
      <w:r>
        <w:rPr>
          <w:rFonts w:hAnsi="宋体"/>
          <w:szCs w:val="21"/>
        </w:rPr>
        <w:t>2015</w:t>
      </w:r>
      <w:r>
        <w:rPr>
          <w:rFonts w:hint="eastAsia" w:hAnsi="宋体"/>
          <w:szCs w:val="21"/>
        </w:rPr>
        <w:t>〕</w:t>
      </w:r>
      <w:r>
        <w:rPr>
          <w:rFonts w:hAnsi="宋体"/>
          <w:szCs w:val="21"/>
        </w:rPr>
        <w:t>299</w:t>
      </w:r>
      <w:r>
        <w:rPr>
          <w:rFonts w:hint="eastAsia" w:hAnsi="宋体"/>
          <w:szCs w:val="21"/>
        </w:rPr>
        <w:t>号</w:t>
      </w:r>
      <w:r>
        <w:rPr>
          <w:rFonts w:hAnsi="宋体"/>
          <w:szCs w:val="21"/>
        </w:rPr>
        <w:t>规定收取，</w:t>
      </w:r>
      <w:r>
        <w:rPr>
          <w:rFonts w:hint="eastAsia" w:hAnsi="宋体"/>
          <w:szCs w:val="21"/>
        </w:rPr>
        <w:t>方式为成交人向采购代理机构支付。领取成交通知书前，成交人应向采购代理机构一次性付清代理服务费。招标代理成交服务费缴纳帐户如下：</w:t>
      </w:r>
    </w:p>
    <w:p>
      <w:pPr>
        <w:pStyle w:val="26"/>
        <w:spacing w:line="360" w:lineRule="auto"/>
        <w:ind w:firstLine="420" w:firstLineChars="200"/>
        <w:rPr>
          <w:rFonts w:ascii="Times New Roman" w:hAnsi="宋体"/>
          <w:kern w:val="2"/>
          <w:sz w:val="21"/>
        </w:rPr>
      </w:pPr>
      <w:r>
        <w:rPr>
          <w:rFonts w:hint="eastAsia" w:ascii="Times New Roman" w:hAnsi="宋体"/>
          <w:kern w:val="2"/>
          <w:sz w:val="21"/>
        </w:rPr>
        <w:t>开户名称：广西盛凯工程咨询有限公司</w:t>
      </w:r>
    </w:p>
    <w:p>
      <w:pPr>
        <w:pStyle w:val="26"/>
        <w:spacing w:line="360" w:lineRule="auto"/>
        <w:ind w:firstLine="420" w:firstLineChars="200"/>
        <w:rPr>
          <w:rFonts w:ascii="Times New Roman" w:hAnsi="宋体"/>
          <w:kern w:val="2"/>
          <w:sz w:val="21"/>
        </w:rPr>
      </w:pPr>
      <w:r>
        <w:rPr>
          <w:rFonts w:hint="eastAsia" w:ascii="Times New Roman" w:hAnsi="宋体"/>
          <w:kern w:val="2"/>
          <w:sz w:val="21"/>
        </w:rPr>
        <w:t>开户银行：中国工商银行股份有限公司贵港市石油站支行</w:t>
      </w:r>
    </w:p>
    <w:p>
      <w:pPr>
        <w:pStyle w:val="26"/>
        <w:spacing w:line="360" w:lineRule="auto"/>
        <w:ind w:firstLine="420" w:firstLineChars="200"/>
        <w:rPr>
          <w:rFonts w:ascii="Times New Roman" w:hAnsi="宋体"/>
          <w:kern w:val="2"/>
          <w:sz w:val="21"/>
        </w:rPr>
      </w:pPr>
      <w:r>
        <w:rPr>
          <w:rFonts w:hint="eastAsia" w:ascii="Times New Roman" w:hAnsi="宋体"/>
          <w:kern w:val="2"/>
          <w:sz w:val="21"/>
        </w:rPr>
        <w:t>开户账号：2116711009100075128</w:t>
      </w:r>
    </w:p>
    <w:p>
      <w:pPr>
        <w:spacing w:line="360" w:lineRule="exact"/>
        <w:ind w:firstLine="420" w:firstLineChars="200"/>
        <w:rPr>
          <w:rFonts w:hAnsi="宋体"/>
          <w:szCs w:val="21"/>
        </w:rPr>
      </w:pPr>
    </w:p>
    <w:p>
      <w:pPr>
        <w:spacing w:line="360" w:lineRule="exact"/>
        <w:ind w:firstLine="402" w:firstLineChars="200"/>
        <w:rPr>
          <w:rFonts w:ascii="宋体" w:hAnsi="宋体"/>
          <w:b/>
          <w:bCs/>
          <w:kern w:val="0"/>
          <w:sz w:val="20"/>
          <w:szCs w:val="21"/>
        </w:rPr>
      </w:pPr>
    </w:p>
    <w:bookmarkEnd w:id="56"/>
    <w:bookmarkEnd w:id="57"/>
    <w:bookmarkEnd w:id="58"/>
    <w:bookmarkEnd w:id="59"/>
    <w:bookmarkEnd w:id="60"/>
    <w:p>
      <w:pPr>
        <w:spacing w:line="400" w:lineRule="exact"/>
        <w:jc w:val="center"/>
        <w:rPr>
          <w:rFonts w:ascii="宋体" w:hAnsi="宋体"/>
          <w:color w:val="000000"/>
          <w:szCs w:val="21"/>
        </w:rPr>
      </w:pPr>
      <w:r>
        <w:rPr>
          <w:rFonts w:hAnsi="宋体"/>
        </w:rPr>
        <w:br w:type="page"/>
      </w:r>
    </w:p>
    <w:p>
      <w:pPr>
        <w:pStyle w:val="3"/>
        <w:spacing w:line="420" w:lineRule="exact"/>
        <w:jc w:val="center"/>
        <w:rPr>
          <w:rFonts w:ascii="宋体" w:hAnsi="宋体"/>
          <w:color w:val="000000"/>
          <w:sz w:val="32"/>
          <w:szCs w:val="32"/>
        </w:rPr>
      </w:pPr>
      <w:bookmarkStart w:id="61" w:name="_Toc335744368"/>
      <w:bookmarkStart w:id="62" w:name="_Toc433110108"/>
      <w:r>
        <w:rPr>
          <w:rFonts w:hint="eastAsia" w:ascii="宋体" w:hAnsi="宋体"/>
          <w:color w:val="000000"/>
          <w:sz w:val="32"/>
          <w:szCs w:val="32"/>
        </w:rPr>
        <w:t>第二章 服务项目采购需求</w:t>
      </w:r>
      <w:bookmarkEnd w:id="61"/>
    </w:p>
    <w:p>
      <w:pPr>
        <w:spacing w:line="540" w:lineRule="exact"/>
        <w:ind w:left="-2" w:leftChars="-1" w:right="126" w:rightChars="60"/>
        <w:rPr>
          <w:rFonts w:hAnsi="宋体"/>
          <w:b/>
          <w:bCs/>
          <w:sz w:val="24"/>
        </w:rPr>
      </w:pPr>
      <w:r>
        <w:rPr>
          <w:rFonts w:hint="eastAsia" w:hAnsi="宋体"/>
          <w:b/>
          <w:bCs/>
          <w:sz w:val="24"/>
        </w:rPr>
        <w:t>说明：</w:t>
      </w:r>
    </w:p>
    <w:p>
      <w:pPr>
        <w:spacing w:line="390" w:lineRule="exact"/>
        <w:ind w:firstLine="413" w:firstLineChars="196"/>
        <w:rPr>
          <w:rFonts w:ascii="宋体" w:hAnsi="宋体"/>
          <w:b/>
          <w:bCs/>
          <w:szCs w:val="21"/>
        </w:rPr>
      </w:pPr>
      <w:r>
        <w:rPr>
          <w:rFonts w:hint="eastAsia" w:ascii="宋体" w:hAnsi="宋体"/>
          <w:b/>
          <w:bCs/>
          <w:szCs w:val="21"/>
        </w:rPr>
        <w:t>1、本服务需求表中标注★号的部分为实质性要求和条件，对这些关键性要求的任何不满足将导致报价无效；未标注“★”号的技术指标或要求发生负偏离的项数达3项（含3项）以上的，报价无效。</w:t>
      </w:r>
    </w:p>
    <w:p>
      <w:pPr>
        <w:spacing w:line="390" w:lineRule="exact"/>
        <w:ind w:firstLine="413" w:firstLineChars="196"/>
        <w:rPr>
          <w:rFonts w:hAnsi="宋体"/>
        </w:rPr>
      </w:pPr>
      <w:r>
        <w:rPr>
          <w:rFonts w:hint="eastAsia" w:ascii="宋体" w:hAnsi="宋体"/>
          <w:b/>
          <w:bCs/>
          <w:szCs w:val="21"/>
        </w:rPr>
        <w:t>2、本服务需求表中的内容如与第五章“合同主要条款及格式”相关条款不一致的，以本表为准。</w:t>
      </w:r>
    </w:p>
    <w:tbl>
      <w:tblPr>
        <w:tblStyle w:val="51"/>
        <w:tblW w:w="9515" w:type="dxa"/>
        <w:tblInd w:w="-34" w:type="dxa"/>
        <w:tblLayout w:type="fixed"/>
        <w:tblCellMar>
          <w:top w:w="0" w:type="dxa"/>
          <w:left w:w="108" w:type="dxa"/>
          <w:bottom w:w="0" w:type="dxa"/>
          <w:right w:w="108" w:type="dxa"/>
        </w:tblCellMar>
      </w:tblPr>
      <w:tblGrid>
        <w:gridCol w:w="1843"/>
        <w:gridCol w:w="7672"/>
      </w:tblGrid>
      <w:tr>
        <w:tblPrEx>
          <w:tblCellMar>
            <w:top w:w="0" w:type="dxa"/>
            <w:left w:w="108" w:type="dxa"/>
            <w:bottom w:w="0" w:type="dxa"/>
            <w:right w:w="108" w:type="dxa"/>
          </w:tblCellMar>
        </w:tblPrEx>
        <w:trPr>
          <w:trHeight w:val="90" w:hRule="atLeast"/>
        </w:trPr>
        <w:tc>
          <w:tcPr>
            <w:tcW w:w="9515" w:type="dxa"/>
            <w:gridSpan w:val="2"/>
            <w:tcBorders>
              <w:top w:val="single" w:color="000000" w:sz="4" w:space="0"/>
              <w:left w:val="single" w:color="000000" w:sz="4" w:space="0"/>
              <w:bottom w:val="single" w:color="000000" w:sz="4" w:space="0"/>
              <w:right w:val="single" w:color="auto" w:sz="4" w:space="0"/>
            </w:tcBorders>
            <w:vAlign w:val="center"/>
          </w:tcPr>
          <w:p>
            <w:pPr>
              <w:tabs>
                <w:tab w:val="left" w:pos="180"/>
                <w:tab w:val="left" w:pos="1620"/>
              </w:tabs>
              <w:spacing w:line="390" w:lineRule="exact"/>
              <w:rPr>
                <w:rFonts w:ascii="宋体" w:hAnsi="宋体"/>
                <w:color w:val="auto"/>
                <w:sz w:val="24"/>
              </w:rPr>
            </w:pPr>
            <w:r>
              <w:rPr>
                <w:rFonts w:hint="eastAsia" w:ascii="宋体" w:hAnsi="宋体"/>
                <w:color w:val="auto"/>
                <w:sz w:val="24"/>
              </w:rPr>
              <w:t>项目名称：港南区工业园区江五路（城东大道-安澜路）基础设施建设项目工程检测服务</w:t>
            </w:r>
          </w:p>
          <w:p>
            <w:pPr>
              <w:pStyle w:val="26"/>
              <w:tabs>
                <w:tab w:val="left" w:pos="5640"/>
              </w:tabs>
              <w:snapToGrid w:val="0"/>
              <w:spacing w:line="390" w:lineRule="exact"/>
              <w:rPr>
                <w:rFonts w:hAnsi="宋体"/>
                <w:color w:val="auto"/>
              </w:rPr>
            </w:pPr>
            <w:r>
              <w:rPr>
                <w:rFonts w:hint="eastAsia" w:hAnsi="宋体"/>
                <w:color w:val="auto"/>
                <w:sz w:val="24"/>
              </w:rPr>
              <w:t>项目编号</w:t>
            </w:r>
            <w:r>
              <w:rPr>
                <w:rFonts w:hint="eastAsia" w:hAnsi="宋体"/>
                <w:color w:val="auto"/>
                <w:sz w:val="24"/>
                <w:szCs w:val="24"/>
              </w:rPr>
              <w:t>：GGZC2020-C3-30060-GXSK</w:t>
            </w:r>
          </w:p>
        </w:tc>
      </w:tr>
      <w:tr>
        <w:tblPrEx>
          <w:tblCellMar>
            <w:top w:w="0" w:type="dxa"/>
            <w:left w:w="108" w:type="dxa"/>
            <w:bottom w:w="0" w:type="dxa"/>
            <w:right w:w="108" w:type="dxa"/>
          </w:tblCellMar>
        </w:tblPrEx>
        <w:trPr>
          <w:trHeight w:val="521" w:hRule="atLeast"/>
        </w:trPr>
        <w:tc>
          <w:tcPr>
            <w:tcW w:w="9515" w:type="dxa"/>
            <w:gridSpan w:val="2"/>
            <w:tcBorders>
              <w:top w:val="single" w:color="000000" w:sz="4" w:space="0"/>
              <w:left w:val="single" w:color="000000" w:sz="4" w:space="0"/>
              <w:bottom w:val="single" w:color="000000" w:sz="4" w:space="0"/>
              <w:right w:val="single" w:color="auto" w:sz="4" w:space="0"/>
            </w:tcBorders>
            <w:vAlign w:val="center"/>
          </w:tcPr>
          <w:p>
            <w:pPr>
              <w:pStyle w:val="26"/>
              <w:snapToGrid w:val="0"/>
              <w:spacing w:line="390" w:lineRule="exact"/>
              <w:jc w:val="left"/>
              <w:rPr>
                <w:rFonts w:hAnsi="宋体"/>
                <w:color w:val="auto"/>
              </w:rPr>
            </w:pPr>
            <w:r>
              <w:rPr>
                <w:rFonts w:hint="eastAsia" w:hAnsi="宋体"/>
                <w:b/>
                <w:color w:val="auto"/>
                <w:sz w:val="24"/>
              </w:rPr>
              <w:t>一、项目概况及内容</w:t>
            </w:r>
          </w:p>
        </w:tc>
      </w:tr>
      <w:tr>
        <w:tblPrEx>
          <w:tblCellMar>
            <w:top w:w="0" w:type="dxa"/>
            <w:left w:w="108" w:type="dxa"/>
            <w:bottom w:w="0" w:type="dxa"/>
            <w:right w:w="108" w:type="dxa"/>
          </w:tblCellMar>
        </w:tblPrEx>
        <w:trPr>
          <w:trHeight w:val="726" w:hRule="atLeast"/>
        </w:trPr>
        <w:tc>
          <w:tcPr>
            <w:tcW w:w="9515" w:type="dxa"/>
            <w:gridSpan w:val="2"/>
            <w:tcBorders>
              <w:top w:val="single" w:color="000000" w:sz="4" w:space="0"/>
              <w:left w:val="single" w:color="000000" w:sz="4" w:space="0"/>
              <w:right w:val="single" w:color="auto" w:sz="4" w:space="0"/>
            </w:tcBorders>
            <w:vAlign w:val="center"/>
          </w:tcPr>
          <w:p>
            <w:pPr>
              <w:pStyle w:val="26"/>
              <w:snapToGrid w:val="0"/>
              <w:spacing w:line="390" w:lineRule="exact"/>
              <w:rPr>
                <w:rFonts w:hAnsi="宋体"/>
                <w:b/>
                <w:color w:val="auto"/>
                <w:sz w:val="21"/>
                <w:highlight w:val="none"/>
              </w:rPr>
            </w:pPr>
            <w:r>
              <w:rPr>
                <w:rFonts w:hint="eastAsia" w:hAnsi="宋体"/>
                <w:b/>
                <w:color w:val="auto"/>
                <w:sz w:val="21"/>
                <w:highlight w:val="none"/>
              </w:rPr>
              <w:t>（一）项目概况</w:t>
            </w:r>
          </w:p>
          <w:p>
            <w:pPr>
              <w:spacing w:line="400" w:lineRule="exact"/>
              <w:rPr>
                <w:rFonts w:hAnsi="宋体"/>
                <w:color w:val="auto"/>
                <w:highlight w:val="none"/>
              </w:rPr>
            </w:pPr>
            <w:r>
              <w:rPr>
                <w:rFonts w:hint="eastAsia" w:hAnsi="宋体"/>
                <w:b/>
                <w:color w:val="auto"/>
                <w:highlight w:val="none"/>
              </w:rPr>
              <w:t>1.项目建设内容及规模：</w:t>
            </w:r>
            <w:r>
              <w:rPr>
                <w:rFonts w:ascii="宋体" w:hAnsi="宋体"/>
                <w:color w:val="auto"/>
                <w:kern w:val="0"/>
                <w:szCs w:val="21"/>
                <w:highlight w:val="none"/>
              </w:rPr>
              <w:t xml:space="preserve">  </w:t>
            </w:r>
            <w:r>
              <w:rPr>
                <w:rFonts w:hint="eastAsia" w:ascii="宋体" w:hAnsi="宋体"/>
                <w:color w:val="auto"/>
                <w:kern w:val="0"/>
                <w:szCs w:val="21"/>
                <w:highlight w:val="none"/>
              </w:rPr>
              <w:t>新建城市次干路1199.522米，道路红线宽度为30米，建设内容包括道路工程、桥梁工程、给排水工程、电力工程、电信工程、照明工程、交通工程、绿化工程及相关配套设施建设。其中桥梁结构为1-30m预应力混凝土小箱梁，桥梁全长36.4m，桥宽33.5m；正交布置。</w:t>
            </w:r>
          </w:p>
          <w:p>
            <w:pPr>
              <w:pStyle w:val="26"/>
              <w:snapToGrid w:val="0"/>
              <w:spacing w:line="390" w:lineRule="exact"/>
              <w:rPr>
                <w:rFonts w:hAnsi="宋体"/>
                <w:color w:val="auto"/>
                <w:sz w:val="21"/>
                <w:highlight w:val="none"/>
              </w:rPr>
            </w:pPr>
            <w:r>
              <w:rPr>
                <w:rFonts w:hint="eastAsia" w:hAnsi="宋体"/>
                <w:color w:val="auto"/>
                <w:sz w:val="21"/>
                <w:highlight w:val="none"/>
              </w:rPr>
              <w:t>2.</w:t>
            </w:r>
            <w:r>
              <w:rPr>
                <w:rFonts w:hint="eastAsia" w:hAnsi="宋体"/>
                <w:b/>
                <w:color w:val="auto"/>
                <w:sz w:val="21"/>
                <w:highlight w:val="none"/>
              </w:rPr>
              <w:t xml:space="preserve"> 项目建安工程投资额：</w:t>
            </w:r>
            <w:r>
              <w:rPr>
                <w:rFonts w:hint="eastAsia" w:hAnsi="宋体"/>
                <w:color w:val="auto"/>
                <w:sz w:val="21"/>
                <w:highlight w:val="none"/>
              </w:rPr>
              <w:t>肆仟捌佰伍拾万叁仟捌佰叁拾元柒角壹分 (</w:t>
            </w:r>
            <w:r>
              <w:rPr>
                <w:rFonts w:hAnsi="宋体"/>
                <w:color w:val="auto"/>
                <w:sz w:val="21"/>
                <w:highlight w:val="none"/>
              </w:rPr>
              <w:t>¥</w:t>
            </w:r>
            <w:r>
              <w:rPr>
                <w:rFonts w:hint="eastAsia" w:hAnsi="宋体"/>
                <w:color w:val="auto"/>
                <w:sz w:val="21"/>
                <w:highlight w:val="none"/>
              </w:rPr>
              <w:t>4850.383071万元)。</w:t>
            </w:r>
          </w:p>
          <w:p>
            <w:pPr>
              <w:pStyle w:val="26"/>
              <w:tabs>
                <w:tab w:val="left" w:pos="5640"/>
              </w:tabs>
              <w:snapToGrid w:val="0"/>
              <w:spacing w:line="390" w:lineRule="exact"/>
              <w:rPr>
                <w:rFonts w:hAnsi="宋体"/>
                <w:color w:val="auto"/>
                <w:sz w:val="21"/>
                <w:highlight w:val="none"/>
              </w:rPr>
            </w:pPr>
            <w:r>
              <w:rPr>
                <w:rFonts w:hint="eastAsia" w:hAnsi="宋体"/>
                <w:color w:val="auto"/>
                <w:sz w:val="21"/>
                <w:highlight w:val="none"/>
              </w:rPr>
              <w:t xml:space="preserve">3. </w:t>
            </w:r>
            <w:r>
              <w:rPr>
                <w:rFonts w:hint="eastAsia" w:hAnsi="宋体"/>
                <w:b/>
                <w:color w:val="auto"/>
                <w:sz w:val="21"/>
                <w:highlight w:val="none"/>
              </w:rPr>
              <w:t>项目建设地点：</w:t>
            </w:r>
            <w:r>
              <w:rPr>
                <w:rFonts w:hAnsi="宋体"/>
                <w:color w:val="auto"/>
                <w:sz w:val="21"/>
                <w:highlight w:val="none"/>
              </w:rPr>
              <w:t>贵港市港南区工业园区内</w:t>
            </w:r>
          </w:p>
          <w:p>
            <w:pPr>
              <w:pStyle w:val="26"/>
              <w:tabs>
                <w:tab w:val="left" w:pos="5640"/>
              </w:tabs>
              <w:snapToGrid w:val="0"/>
              <w:spacing w:line="390" w:lineRule="exact"/>
              <w:rPr>
                <w:color w:val="auto"/>
                <w:highlight w:val="none"/>
              </w:rPr>
            </w:pPr>
            <w:r>
              <w:rPr>
                <w:rFonts w:hint="eastAsia" w:hAnsi="宋体"/>
                <w:color w:val="auto"/>
                <w:sz w:val="21"/>
                <w:highlight w:val="none"/>
              </w:rPr>
              <w:t xml:space="preserve">4. </w:t>
            </w:r>
            <w:r>
              <w:rPr>
                <w:rFonts w:hint="eastAsia" w:hAnsi="宋体"/>
                <w:b/>
                <w:color w:val="auto"/>
                <w:sz w:val="21"/>
                <w:highlight w:val="none"/>
              </w:rPr>
              <w:t>项目施工工期：</w:t>
            </w:r>
            <w:r>
              <w:rPr>
                <w:rFonts w:cs="宋体"/>
                <w:color w:val="auto"/>
                <w:sz w:val="21"/>
                <w:highlight w:val="none"/>
                <w:u w:val="single"/>
                <w:lang w:val="zh-CN"/>
              </w:rPr>
              <w:t xml:space="preserve"> </w:t>
            </w:r>
            <w:r>
              <w:rPr>
                <w:rFonts w:hint="eastAsia" w:cs="宋体"/>
                <w:color w:val="auto"/>
                <w:sz w:val="21"/>
                <w:highlight w:val="none"/>
                <w:u w:val="single"/>
                <w:lang w:val="zh-CN"/>
              </w:rPr>
              <w:t>540</w:t>
            </w:r>
            <w:r>
              <w:rPr>
                <w:rFonts w:cs="宋体"/>
                <w:color w:val="auto"/>
                <w:sz w:val="21"/>
                <w:highlight w:val="none"/>
                <w:u w:val="single"/>
                <w:lang w:val="zh-CN"/>
              </w:rPr>
              <w:t xml:space="preserve"> </w:t>
            </w:r>
            <w:r>
              <w:rPr>
                <w:rFonts w:cs="宋体"/>
                <w:color w:val="auto"/>
                <w:sz w:val="21"/>
                <w:highlight w:val="none"/>
                <w:lang w:val="zh-CN"/>
              </w:rPr>
              <w:t>日历天</w:t>
            </w:r>
          </w:p>
        </w:tc>
      </w:tr>
      <w:tr>
        <w:tblPrEx>
          <w:tblCellMar>
            <w:top w:w="0" w:type="dxa"/>
            <w:left w:w="108" w:type="dxa"/>
            <w:bottom w:w="0" w:type="dxa"/>
            <w:right w:w="108" w:type="dxa"/>
          </w:tblCellMar>
        </w:tblPrEx>
        <w:trPr>
          <w:trHeight w:val="696" w:hRule="atLeast"/>
        </w:trPr>
        <w:tc>
          <w:tcPr>
            <w:tcW w:w="9515" w:type="dxa"/>
            <w:gridSpan w:val="2"/>
            <w:tcBorders>
              <w:left w:val="single" w:color="000000" w:sz="4" w:space="0"/>
              <w:right w:val="single" w:color="auto" w:sz="4" w:space="0"/>
            </w:tcBorders>
            <w:vAlign w:val="center"/>
          </w:tcPr>
          <w:p>
            <w:pPr>
              <w:spacing w:line="360" w:lineRule="auto"/>
              <w:rPr>
                <w:rFonts w:hAnsi="宋体"/>
                <w:b/>
                <w:color w:val="auto"/>
                <w:highlight w:val="none"/>
              </w:rPr>
            </w:pPr>
            <w:r>
              <w:rPr>
                <w:rFonts w:hint="eastAsia" w:hAnsi="宋体"/>
                <w:b/>
                <w:color w:val="auto"/>
                <w:highlight w:val="none"/>
              </w:rPr>
              <w:t>（二）招标范围</w:t>
            </w:r>
          </w:p>
          <w:p>
            <w:pPr>
              <w:spacing w:line="276" w:lineRule="auto"/>
              <w:rPr>
                <w:color w:val="auto"/>
                <w:highlight w:val="none"/>
              </w:rPr>
            </w:pPr>
            <w:r>
              <w:rPr>
                <w:rFonts w:hint="eastAsia" w:ascii="宋体" w:hAnsi="宋体"/>
                <w:color w:val="auto"/>
                <w:szCs w:val="21"/>
                <w:highlight w:val="none"/>
              </w:rPr>
              <w:t>(专项检测或综合检测)</w:t>
            </w:r>
            <w:r>
              <w:rPr>
                <w:rFonts w:hint="eastAsia" w:ascii="宋体" w:hAnsi="宋体" w:cs="宋体"/>
                <w:color w:val="auto"/>
                <w:sz w:val="24"/>
                <w:highlight w:val="none"/>
              </w:rPr>
              <w:t>☑</w:t>
            </w:r>
            <w:r>
              <w:rPr>
                <w:rFonts w:hint="eastAsia" w:ascii="宋体" w:hAnsi="宋体"/>
                <w:color w:val="auto"/>
                <w:sz w:val="24"/>
                <w:highlight w:val="none"/>
              </w:rPr>
              <w:t xml:space="preserve"> </w:t>
            </w:r>
            <w:r>
              <w:rPr>
                <w:rFonts w:hint="eastAsia" w:ascii="宋体" w:hAnsi="宋体"/>
                <w:color w:val="auto"/>
                <w:szCs w:val="21"/>
                <w:highlight w:val="none"/>
              </w:rPr>
              <w:t xml:space="preserve">见证取样检测  </w:t>
            </w:r>
            <w:r>
              <w:rPr>
                <w:rFonts w:hint="eastAsia" w:ascii="宋体" w:hAnsi="宋体" w:cs="宋体"/>
                <w:color w:val="auto"/>
                <w:sz w:val="24"/>
                <w:highlight w:val="none"/>
              </w:rPr>
              <w:t>☑</w:t>
            </w:r>
            <w:r>
              <w:rPr>
                <w:rFonts w:hint="eastAsia" w:ascii="宋体" w:hAnsi="宋体"/>
                <w:color w:val="auto"/>
                <w:sz w:val="24"/>
                <w:highlight w:val="none"/>
              </w:rPr>
              <w:t xml:space="preserve"> </w:t>
            </w:r>
            <w:r>
              <w:rPr>
                <w:rFonts w:hint="eastAsia" w:ascii="宋体" w:hAnsi="宋体"/>
                <w:color w:val="auto"/>
                <w:szCs w:val="21"/>
                <w:highlight w:val="none"/>
              </w:rPr>
              <w:t xml:space="preserve">地基基础工程检测 </w:t>
            </w:r>
            <w:r>
              <w:rPr>
                <w:rFonts w:hint="eastAsia" w:ascii="宋体" w:hAnsi="宋体" w:cs="宋体"/>
                <w:color w:val="auto"/>
                <w:sz w:val="24"/>
                <w:highlight w:val="none"/>
              </w:rPr>
              <w:t>☑</w:t>
            </w:r>
            <w:r>
              <w:rPr>
                <w:rFonts w:hint="eastAsia" w:ascii="宋体" w:hAnsi="宋体"/>
                <w:color w:val="auto"/>
                <w:sz w:val="24"/>
                <w:highlight w:val="none"/>
              </w:rPr>
              <w:t xml:space="preserve"> </w:t>
            </w:r>
            <w:r>
              <w:rPr>
                <w:rFonts w:hint="eastAsia" w:ascii="宋体" w:hAnsi="宋体"/>
                <w:color w:val="auto"/>
                <w:szCs w:val="21"/>
                <w:highlight w:val="none"/>
              </w:rPr>
              <w:t xml:space="preserve">主体结构工程现场检测  </w:t>
            </w:r>
            <w:r>
              <w:rPr>
                <w:rFonts w:hint="eastAsia" w:hAnsi="宋体"/>
                <w:color w:val="auto"/>
                <w:szCs w:val="21"/>
                <w:highlight w:val="none"/>
              </w:rPr>
              <w:t xml:space="preserve"> □</w:t>
            </w:r>
            <w:r>
              <w:rPr>
                <w:rFonts w:hint="eastAsia" w:ascii="宋体" w:hAnsi="宋体"/>
                <w:color w:val="auto"/>
                <w:szCs w:val="21"/>
                <w:highlight w:val="none"/>
              </w:rPr>
              <w:t xml:space="preserve">建筑幕墙工程检测  </w:t>
            </w:r>
            <w:r>
              <w:rPr>
                <w:rFonts w:hint="eastAsia" w:hAnsi="宋体"/>
                <w:color w:val="auto"/>
                <w:szCs w:val="21"/>
                <w:highlight w:val="none"/>
              </w:rPr>
              <w:t xml:space="preserve"> □</w:t>
            </w:r>
            <w:r>
              <w:rPr>
                <w:rFonts w:hint="eastAsia" w:ascii="宋体" w:hAnsi="宋体"/>
                <w:color w:val="auto"/>
                <w:szCs w:val="21"/>
                <w:highlight w:val="none"/>
              </w:rPr>
              <w:t xml:space="preserve">钢结构工程检测  </w:t>
            </w:r>
            <w:r>
              <w:rPr>
                <w:rFonts w:hint="eastAsia" w:hAnsi="宋体"/>
                <w:color w:val="auto"/>
                <w:szCs w:val="21"/>
                <w:highlight w:val="none"/>
              </w:rPr>
              <w:t xml:space="preserve"> □</w:t>
            </w:r>
            <w:r>
              <w:rPr>
                <w:rFonts w:hint="eastAsia" w:ascii="宋体" w:hAnsi="宋体"/>
                <w:color w:val="auto"/>
                <w:szCs w:val="21"/>
                <w:highlight w:val="none"/>
              </w:rPr>
              <w:t xml:space="preserve">室内环境检测  </w:t>
            </w:r>
            <w:r>
              <w:rPr>
                <w:rFonts w:hint="eastAsia" w:hAnsi="宋体"/>
                <w:color w:val="auto"/>
                <w:szCs w:val="21"/>
                <w:highlight w:val="none"/>
              </w:rPr>
              <w:t xml:space="preserve"> </w:t>
            </w:r>
            <w:r>
              <w:rPr>
                <w:rFonts w:hint="eastAsia" w:ascii="宋体" w:hAnsi="宋体" w:cs="宋体"/>
                <w:color w:val="auto"/>
                <w:sz w:val="24"/>
                <w:highlight w:val="none"/>
              </w:rPr>
              <w:t xml:space="preserve">☑ </w:t>
            </w:r>
            <w:r>
              <w:rPr>
                <w:rFonts w:hint="eastAsia" w:ascii="宋体" w:hAnsi="宋体"/>
                <w:color w:val="auto"/>
                <w:szCs w:val="21"/>
                <w:highlight w:val="none"/>
              </w:rPr>
              <w:t xml:space="preserve">建筑物附属设备安装工程检测  </w:t>
            </w:r>
            <w:r>
              <w:rPr>
                <w:rFonts w:hint="eastAsia" w:ascii="宋体" w:hAnsi="宋体" w:cs="宋体"/>
                <w:color w:val="auto"/>
                <w:sz w:val="24"/>
                <w:highlight w:val="none"/>
              </w:rPr>
              <w:t xml:space="preserve">☑ </w:t>
            </w:r>
            <w:r>
              <w:rPr>
                <w:rFonts w:hint="eastAsia" w:ascii="宋体" w:hAnsi="宋体"/>
                <w:color w:val="auto"/>
                <w:szCs w:val="21"/>
                <w:highlight w:val="none"/>
              </w:rPr>
              <w:t>其他</w:t>
            </w:r>
            <w:r>
              <w:rPr>
                <w:rFonts w:ascii="宋体" w:hAnsi="宋体" w:cs="宋体"/>
                <w:color w:val="auto"/>
                <w:highlight w:val="none"/>
                <w:u w:val="single"/>
              </w:rPr>
              <w:t>排水工程检测、照明工程检测、桥涵工程</w:t>
            </w:r>
            <w:r>
              <w:rPr>
                <w:rFonts w:hint="eastAsia" w:ascii="宋体" w:hAnsi="宋体" w:cs="宋体"/>
                <w:color w:val="auto"/>
                <w:highlight w:val="none"/>
                <w:u w:val="single"/>
              </w:rPr>
              <w:t>专项</w:t>
            </w:r>
            <w:r>
              <w:rPr>
                <w:rFonts w:ascii="宋体" w:hAnsi="宋体" w:cs="宋体"/>
                <w:color w:val="auto"/>
                <w:highlight w:val="none"/>
                <w:u w:val="single"/>
              </w:rPr>
              <w:t>检测（</w:t>
            </w:r>
            <w:r>
              <w:rPr>
                <w:rFonts w:hint="eastAsia" w:ascii="宋体" w:hAnsi="宋体" w:cs="宋体"/>
                <w:color w:val="auto"/>
                <w:highlight w:val="none"/>
                <w:u w:val="single"/>
              </w:rPr>
              <w:t>含声波透射、动静载试验等内容）</w:t>
            </w:r>
            <w:r>
              <w:rPr>
                <w:rFonts w:ascii="宋体" w:hAnsi="宋体" w:cs="宋体"/>
                <w:color w:val="auto"/>
                <w:highlight w:val="none"/>
                <w:u w:val="single"/>
              </w:rPr>
              <w:t>、建筑节能检测根据设计内容及国家相关规定要求必须检测的项目等,包含不限于以上所列检测项，必须达到验收要求。</w:t>
            </w:r>
          </w:p>
        </w:tc>
      </w:tr>
      <w:tr>
        <w:tblPrEx>
          <w:tblCellMar>
            <w:top w:w="0" w:type="dxa"/>
            <w:left w:w="108" w:type="dxa"/>
            <w:bottom w:w="0" w:type="dxa"/>
            <w:right w:w="108" w:type="dxa"/>
          </w:tblCellMar>
        </w:tblPrEx>
        <w:trPr>
          <w:trHeight w:val="696" w:hRule="atLeast"/>
        </w:trPr>
        <w:tc>
          <w:tcPr>
            <w:tcW w:w="9515" w:type="dxa"/>
            <w:gridSpan w:val="2"/>
            <w:tcBorders>
              <w:left w:val="single" w:color="000000" w:sz="4" w:space="0"/>
              <w:right w:val="single" w:color="auto" w:sz="4" w:space="0"/>
            </w:tcBorders>
            <w:vAlign w:val="center"/>
          </w:tcPr>
          <w:p>
            <w:pPr>
              <w:spacing w:line="390" w:lineRule="exact"/>
              <w:rPr>
                <w:rFonts w:hAnsi="宋体"/>
                <w:b/>
                <w:color w:val="auto"/>
              </w:rPr>
            </w:pPr>
            <w:r>
              <w:rPr>
                <w:rFonts w:hint="eastAsia" w:hAnsi="宋体"/>
                <w:b/>
                <w:color w:val="auto"/>
              </w:rPr>
              <w:t>（三）检测标准</w:t>
            </w:r>
          </w:p>
          <w:p>
            <w:pPr>
              <w:spacing w:line="390" w:lineRule="exact"/>
              <w:rPr>
                <w:rFonts w:ascii="宋体" w:hAnsi="宋体"/>
                <w:bCs/>
                <w:color w:val="auto"/>
                <w:kern w:val="0"/>
                <w:szCs w:val="21"/>
              </w:rPr>
            </w:pPr>
            <w:r>
              <w:rPr>
                <w:rFonts w:hint="eastAsia" w:ascii="宋体" w:hAnsi="宋体"/>
                <w:bCs/>
                <w:color w:val="auto"/>
                <w:kern w:val="0"/>
                <w:szCs w:val="21"/>
              </w:rPr>
              <w:t>1.</w:t>
            </w:r>
            <w:r>
              <w:rPr>
                <w:rFonts w:hint="eastAsia" w:ascii="宋体" w:hAnsi="宋体" w:cs="宋体"/>
                <w:color w:val="auto"/>
                <w:kern w:val="0"/>
                <w:sz w:val="24"/>
                <w:lang w:bidi="ar"/>
              </w:rPr>
              <w:t xml:space="preserve"> </w:t>
            </w:r>
            <w:r>
              <w:rPr>
                <w:rFonts w:hint="eastAsia" w:ascii="宋体" w:hAnsi="宋体"/>
                <w:bCs/>
                <w:color w:val="auto"/>
                <w:kern w:val="0"/>
                <w:szCs w:val="21"/>
              </w:rPr>
              <w:t>《建筑基桩检测技术规程》JGJ106-2014、《预应力混凝土管桩》（10G409）、《建筑地基基础工程施工质量验收规范》GB50202-2018、《建筑节能工程施工质量验收标准》(GB 50411-2019)、《建筑电气工程施工质量验收规范》（GB 50303-2015）等国家现行相关规范要求。</w:t>
            </w:r>
          </w:p>
          <w:p>
            <w:pPr>
              <w:spacing w:line="390" w:lineRule="exact"/>
              <w:rPr>
                <w:color w:val="auto"/>
              </w:rPr>
            </w:pPr>
            <w:r>
              <w:rPr>
                <w:rFonts w:hint="eastAsia" w:ascii="宋体" w:hAnsi="宋体"/>
                <w:bCs/>
                <w:color w:val="auto"/>
                <w:kern w:val="0"/>
                <w:szCs w:val="21"/>
              </w:rPr>
              <w:t>2.本工程设计图纸以及施工相关资料。</w:t>
            </w:r>
          </w:p>
        </w:tc>
      </w:tr>
      <w:tr>
        <w:tblPrEx>
          <w:tblCellMar>
            <w:top w:w="0" w:type="dxa"/>
            <w:left w:w="108" w:type="dxa"/>
            <w:bottom w:w="0" w:type="dxa"/>
            <w:right w:w="108" w:type="dxa"/>
          </w:tblCellMar>
        </w:tblPrEx>
        <w:trPr>
          <w:trHeight w:val="682" w:hRule="atLeast"/>
        </w:trPr>
        <w:tc>
          <w:tcPr>
            <w:tcW w:w="9515" w:type="dxa"/>
            <w:gridSpan w:val="2"/>
            <w:tcBorders>
              <w:top w:val="single" w:color="000000" w:sz="4" w:space="0"/>
              <w:left w:val="single" w:color="000000" w:sz="4" w:space="0"/>
              <w:bottom w:val="single" w:color="000000" w:sz="4" w:space="0"/>
              <w:right w:val="single" w:color="auto" w:sz="4" w:space="0"/>
            </w:tcBorders>
            <w:vAlign w:val="center"/>
          </w:tcPr>
          <w:p>
            <w:pPr>
              <w:pStyle w:val="26"/>
              <w:snapToGrid w:val="0"/>
              <w:spacing w:line="390" w:lineRule="exact"/>
              <w:rPr>
                <w:rFonts w:hAnsi="宋体"/>
                <w:b/>
                <w:color w:val="auto"/>
                <w:sz w:val="24"/>
                <w:highlight w:val="none"/>
              </w:rPr>
            </w:pPr>
            <w:r>
              <w:rPr>
                <w:rFonts w:hint="eastAsia" w:hAnsi="宋体"/>
                <w:b/>
                <w:color w:val="auto"/>
                <w:sz w:val="24"/>
                <w:highlight w:val="none"/>
              </w:rPr>
              <w:t>二、工程检测主要内容:</w:t>
            </w:r>
            <w:r>
              <w:rPr>
                <w:rFonts w:hint="eastAsia" w:hAnsi="宋体"/>
                <w:color w:val="auto"/>
                <w:highlight w:val="none"/>
              </w:rPr>
              <w:t>(专项检测或综合检测)</w:t>
            </w:r>
            <w:r>
              <w:rPr>
                <w:rFonts w:hint="eastAsia" w:hAnsi="宋体" w:cs="宋体"/>
                <w:color w:val="auto"/>
                <w:sz w:val="24"/>
                <w:highlight w:val="none"/>
              </w:rPr>
              <w:t>☑</w:t>
            </w:r>
            <w:r>
              <w:rPr>
                <w:rFonts w:hint="eastAsia" w:hAnsi="宋体"/>
                <w:color w:val="auto"/>
                <w:sz w:val="24"/>
                <w:highlight w:val="none"/>
              </w:rPr>
              <w:t xml:space="preserve"> </w:t>
            </w:r>
            <w:r>
              <w:rPr>
                <w:rFonts w:hint="eastAsia" w:hAnsi="宋体"/>
                <w:color w:val="auto"/>
                <w:highlight w:val="none"/>
              </w:rPr>
              <w:t xml:space="preserve">见证取样检测  </w:t>
            </w:r>
            <w:r>
              <w:rPr>
                <w:rFonts w:hint="eastAsia" w:hAnsi="宋体" w:cs="宋体"/>
                <w:color w:val="auto"/>
                <w:sz w:val="24"/>
                <w:highlight w:val="none"/>
              </w:rPr>
              <w:t xml:space="preserve">☑ </w:t>
            </w:r>
            <w:r>
              <w:rPr>
                <w:rFonts w:hint="eastAsia" w:hAnsi="宋体"/>
                <w:color w:val="auto"/>
                <w:highlight w:val="none"/>
              </w:rPr>
              <w:t xml:space="preserve">地基基础工程检测 </w:t>
            </w:r>
            <w:r>
              <w:rPr>
                <w:rFonts w:hint="eastAsia" w:hAnsi="宋体" w:cs="宋体"/>
                <w:color w:val="auto"/>
                <w:sz w:val="24"/>
                <w:highlight w:val="none"/>
              </w:rPr>
              <w:t>☑</w:t>
            </w:r>
            <w:r>
              <w:rPr>
                <w:rFonts w:hint="eastAsia" w:hAnsi="宋体"/>
                <w:color w:val="auto"/>
                <w:sz w:val="24"/>
                <w:highlight w:val="none"/>
              </w:rPr>
              <w:t xml:space="preserve"> </w:t>
            </w:r>
            <w:r>
              <w:rPr>
                <w:rFonts w:hint="eastAsia" w:hAnsi="宋体"/>
                <w:color w:val="auto"/>
                <w:highlight w:val="none"/>
              </w:rPr>
              <w:t xml:space="preserve">主体结构工程现场检测   □建筑幕墙工程检测   □钢结构工程检测   □室内环境检测   </w:t>
            </w:r>
            <w:r>
              <w:rPr>
                <w:rFonts w:hint="eastAsia" w:hAnsi="宋体" w:cs="宋体"/>
                <w:color w:val="auto"/>
                <w:sz w:val="24"/>
                <w:highlight w:val="none"/>
              </w:rPr>
              <w:t xml:space="preserve">☑ </w:t>
            </w:r>
            <w:r>
              <w:rPr>
                <w:rFonts w:hint="eastAsia" w:hAnsi="宋体"/>
                <w:color w:val="auto"/>
                <w:highlight w:val="none"/>
              </w:rPr>
              <w:t xml:space="preserve">建筑物附属设备安装工程检测  </w:t>
            </w:r>
            <w:r>
              <w:rPr>
                <w:rFonts w:hint="eastAsia" w:hAnsi="宋体" w:cs="宋体"/>
                <w:color w:val="auto"/>
                <w:sz w:val="24"/>
                <w:highlight w:val="none"/>
              </w:rPr>
              <w:t xml:space="preserve">☑ </w:t>
            </w:r>
            <w:r>
              <w:rPr>
                <w:rFonts w:hint="eastAsia" w:hAnsi="宋体"/>
                <w:color w:val="auto"/>
                <w:highlight w:val="none"/>
              </w:rPr>
              <w:t>其他</w:t>
            </w:r>
            <w:r>
              <w:rPr>
                <w:rFonts w:hAnsi="宋体" w:cs="宋体"/>
                <w:color w:val="auto"/>
                <w:highlight w:val="none"/>
                <w:u w:val="single"/>
              </w:rPr>
              <w:t>排水工程检测、照明工程检测、桥涵工程</w:t>
            </w:r>
            <w:r>
              <w:rPr>
                <w:rFonts w:hint="eastAsia" w:hAnsi="宋体" w:cs="宋体"/>
                <w:color w:val="auto"/>
                <w:highlight w:val="none"/>
                <w:u w:val="single"/>
              </w:rPr>
              <w:t>专项</w:t>
            </w:r>
            <w:r>
              <w:rPr>
                <w:rFonts w:hAnsi="宋体" w:cs="宋体"/>
                <w:color w:val="auto"/>
                <w:highlight w:val="none"/>
                <w:u w:val="single"/>
              </w:rPr>
              <w:t>检测（</w:t>
            </w:r>
            <w:r>
              <w:rPr>
                <w:rFonts w:hint="eastAsia" w:hAnsi="宋体" w:cs="宋体"/>
                <w:color w:val="auto"/>
                <w:highlight w:val="none"/>
                <w:u w:val="single"/>
              </w:rPr>
              <w:t>含声波透射、动静载试验等内容）</w:t>
            </w:r>
            <w:r>
              <w:rPr>
                <w:rFonts w:hAnsi="宋体" w:cs="宋体"/>
                <w:color w:val="auto"/>
                <w:highlight w:val="none"/>
                <w:u w:val="single"/>
              </w:rPr>
              <w:t>、建筑节能检测根据设计内容及国家相关规定要求必须检测的项目等,包含不限于以上所列检测项，必须达到验收要求。</w:t>
            </w:r>
          </w:p>
        </w:tc>
      </w:tr>
      <w:tr>
        <w:tblPrEx>
          <w:tblCellMar>
            <w:top w:w="0" w:type="dxa"/>
            <w:left w:w="108" w:type="dxa"/>
            <w:bottom w:w="0" w:type="dxa"/>
            <w:right w:w="108" w:type="dxa"/>
          </w:tblCellMar>
        </w:tblPrEx>
        <w:trPr>
          <w:trHeight w:val="710" w:hRule="atLeast"/>
        </w:trPr>
        <w:tc>
          <w:tcPr>
            <w:tcW w:w="9515" w:type="dxa"/>
            <w:gridSpan w:val="2"/>
            <w:tcBorders>
              <w:top w:val="single" w:color="000000" w:sz="4" w:space="0"/>
              <w:left w:val="single" w:color="000000" w:sz="4" w:space="0"/>
              <w:bottom w:val="single" w:color="000000" w:sz="4" w:space="0"/>
              <w:right w:val="single" w:color="auto" w:sz="4" w:space="0"/>
            </w:tcBorders>
            <w:vAlign w:val="center"/>
          </w:tcPr>
          <w:p>
            <w:pPr>
              <w:pStyle w:val="26"/>
              <w:snapToGrid w:val="0"/>
              <w:spacing w:line="390" w:lineRule="exact"/>
              <w:ind w:left="-34" w:leftChars="-16" w:firstLine="482" w:firstLineChars="200"/>
              <w:rPr>
                <w:rFonts w:hAnsi="宋体"/>
              </w:rPr>
            </w:pPr>
            <w:r>
              <w:rPr>
                <w:rFonts w:hint="eastAsia" w:hAnsi="宋体"/>
                <w:b/>
                <w:sz w:val="24"/>
              </w:rPr>
              <w:t>三、商务条款</w:t>
            </w:r>
          </w:p>
        </w:tc>
      </w:tr>
      <w:tr>
        <w:tblPrEx>
          <w:tblCellMar>
            <w:top w:w="0" w:type="dxa"/>
            <w:left w:w="108" w:type="dxa"/>
            <w:bottom w:w="0" w:type="dxa"/>
            <w:right w:w="108" w:type="dxa"/>
          </w:tblCellMar>
        </w:tblPrEx>
        <w:trPr>
          <w:trHeight w:val="416"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spacing w:line="390" w:lineRule="exact"/>
              <w:jc w:val="center"/>
              <w:rPr>
                <w:rFonts w:ascii="宋体" w:hAnsi="宋体"/>
                <w:szCs w:val="21"/>
              </w:rPr>
            </w:pPr>
            <w:r>
              <w:rPr>
                <w:rFonts w:hint="eastAsia" w:ascii="宋体" w:hAnsi="宋体"/>
                <w:b/>
                <w:bCs/>
                <w:szCs w:val="21"/>
              </w:rPr>
              <w:t>★</w:t>
            </w:r>
            <w:r>
              <w:rPr>
                <w:rFonts w:hint="eastAsia" w:ascii="宋体" w:hAnsi="宋体"/>
                <w:b/>
                <w:szCs w:val="21"/>
              </w:rPr>
              <w:t>检测服务期</w:t>
            </w:r>
          </w:p>
        </w:tc>
        <w:tc>
          <w:tcPr>
            <w:tcW w:w="7672" w:type="dxa"/>
            <w:tcBorders>
              <w:top w:val="single" w:color="000000" w:sz="4" w:space="0"/>
              <w:left w:val="nil"/>
              <w:bottom w:val="single" w:color="000000" w:sz="4" w:space="0"/>
              <w:right w:val="single" w:color="auto" w:sz="4" w:space="0"/>
            </w:tcBorders>
            <w:vAlign w:val="center"/>
          </w:tcPr>
          <w:p>
            <w:pPr>
              <w:spacing w:line="390" w:lineRule="exact"/>
              <w:rPr>
                <w:kern w:val="0"/>
                <w:szCs w:val="21"/>
              </w:rPr>
            </w:pPr>
            <w:r>
              <w:rPr>
                <w:rFonts w:hint="eastAsia"/>
                <w:kern w:val="0"/>
                <w:szCs w:val="21"/>
              </w:rPr>
              <w:t>工程开工至工程竣工验收，</w:t>
            </w:r>
            <w:r>
              <w:rPr>
                <w:kern w:val="0"/>
                <w:szCs w:val="21"/>
              </w:rPr>
              <w:t>检测服务工作以满足施工进度和验收为原则，3 日内进场开展检测工作，检测工作完成后的7日内提供检测结果，并在分部验收前递交正式检测成果报告给招标人，不能影响工程的正式交工竣工验收。</w:t>
            </w:r>
          </w:p>
        </w:tc>
      </w:tr>
      <w:tr>
        <w:tblPrEx>
          <w:tblCellMar>
            <w:top w:w="0" w:type="dxa"/>
            <w:left w:w="108" w:type="dxa"/>
            <w:bottom w:w="0" w:type="dxa"/>
            <w:right w:w="108" w:type="dxa"/>
          </w:tblCellMar>
        </w:tblPrEx>
        <w:trPr>
          <w:trHeight w:val="843"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390" w:lineRule="exact"/>
              <w:jc w:val="center"/>
              <w:rPr>
                <w:rFonts w:ascii="宋体" w:hAnsi="宋体"/>
                <w:szCs w:val="21"/>
              </w:rPr>
            </w:pPr>
            <w:r>
              <w:rPr>
                <w:rFonts w:hint="eastAsia" w:ascii="宋体" w:hAnsi="宋体"/>
                <w:b/>
                <w:bCs/>
                <w:szCs w:val="21"/>
              </w:rPr>
              <w:t>★质量要求</w:t>
            </w:r>
          </w:p>
        </w:tc>
        <w:tc>
          <w:tcPr>
            <w:tcW w:w="7672" w:type="dxa"/>
            <w:tcBorders>
              <w:top w:val="single" w:color="000000" w:sz="4" w:space="0"/>
              <w:left w:val="nil"/>
              <w:bottom w:val="single" w:color="000000" w:sz="4" w:space="0"/>
              <w:right w:val="single" w:color="auto" w:sz="4" w:space="0"/>
            </w:tcBorders>
            <w:vAlign w:val="center"/>
          </w:tcPr>
          <w:p>
            <w:pPr>
              <w:spacing w:line="276" w:lineRule="auto"/>
              <w:rPr>
                <w:szCs w:val="21"/>
              </w:rPr>
            </w:pPr>
            <w:r>
              <w:rPr>
                <w:rFonts w:hint="eastAsia"/>
                <w:kern w:val="0"/>
                <w:szCs w:val="21"/>
              </w:rPr>
              <w:t>按国家、省、市现行规范、标准和委托单位的检测内容、完成时间进行检测，严格按《建设工程质量检测管理办法》规定执行，对招标人委托的检测项目进行客观公正检测，做到检测数据完整、准确、真实、清楚</w:t>
            </w:r>
            <w:r>
              <w:rPr>
                <w:kern w:val="0"/>
                <w:szCs w:val="21"/>
              </w:rPr>
              <w:t xml:space="preserve"> </w:t>
            </w:r>
            <w:r>
              <w:rPr>
                <w:rFonts w:hint="eastAsia"/>
                <w:kern w:val="0"/>
                <w:szCs w:val="21"/>
              </w:rPr>
              <w:t>。</w:t>
            </w:r>
            <w:r>
              <w:rPr>
                <w:szCs w:val="21"/>
              </w:rPr>
              <w:t xml:space="preserve"> </w:t>
            </w:r>
          </w:p>
        </w:tc>
      </w:tr>
      <w:tr>
        <w:tblPrEx>
          <w:tblCellMar>
            <w:top w:w="0" w:type="dxa"/>
            <w:left w:w="108" w:type="dxa"/>
            <w:bottom w:w="0" w:type="dxa"/>
            <w:right w:w="108" w:type="dxa"/>
          </w:tblCellMar>
        </w:tblPrEx>
        <w:trPr>
          <w:trHeight w:val="585" w:hRule="atLeast"/>
        </w:trPr>
        <w:tc>
          <w:tcPr>
            <w:tcW w:w="1843" w:type="dxa"/>
            <w:tcBorders>
              <w:top w:val="single" w:color="000000" w:sz="4" w:space="0"/>
              <w:left w:val="single" w:color="000000" w:sz="4" w:space="0"/>
              <w:bottom w:val="single" w:color="auto" w:sz="4" w:space="0"/>
              <w:right w:val="single" w:color="000000" w:sz="4" w:space="0"/>
            </w:tcBorders>
            <w:vAlign w:val="center"/>
          </w:tcPr>
          <w:p>
            <w:pPr>
              <w:tabs>
                <w:tab w:val="left" w:pos="1418"/>
              </w:tabs>
              <w:snapToGrid w:val="0"/>
              <w:spacing w:before="50" w:after="50" w:line="390" w:lineRule="exact"/>
              <w:jc w:val="center"/>
              <w:rPr>
                <w:rFonts w:ascii="宋体" w:hAnsi="宋体"/>
                <w:b/>
                <w:bCs/>
                <w:szCs w:val="21"/>
              </w:rPr>
            </w:pPr>
            <w:r>
              <w:rPr>
                <w:rFonts w:hint="eastAsia" w:ascii="宋体" w:hAnsi="宋体"/>
                <w:b/>
                <w:bCs/>
                <w:szCs w:val="21"/>
              </w:rPr>
              <w:t>★成果要求</w:t>
            </w:r>
          </w:p>
        </w:tc>
        <w:tc>
          <w:tcPr>
            <w:tcW w:w="7672" w:type="dxa"/>
            <w:tcBorders>
              <w:top w:val="single" w:color="000000" w:sz="4" w:space="0"/>
              <w:left w:val="nil"/>
              <w:bottom w:val="single" w:color="auto" w:sz="4" w:space="0"/>
              <w:right w:val="single" w:color="auto" w:sz="4" w:space="0"/>
            </w:tcBorders>
            <w:vAlign w:val="center"/>
          </w:tcPr>
          <w:p>
            <w:pPr>
              <w:spacing w:line="276" w:lineRule="auto"/>
              <w:rPr>
                <w:kern w:val="0"/>
                <w:szCs w:val="21"/>
              </w:rPr>
            </w:pPr>
            <w:r>
              <w:rPr>
                <w:rFonts w:hint="eastAsia"/>
                <w:kern w:val="0"/>
                <w:szCs w:val="21"/>
              </w:rPr>
              <w:t>正式报告一式四份</w:t>
            </w:r>
          </w:p>
        </w:tc>
      </w:tr>
      <w:tr>
        <w:tblPrEx>
          <w:tblCellMar>
            <w:top w:w="0" w:type="dxa"/>
            <w:left w:w="108" w:type="dxa"/>
            <w:bottom w:w="0" w:type="dxa"/>
            <w:right w:w="108" w:type="dxa"/>
          </w:tblCellMar>
        </w:tblPrEx>
        <w:trPr>
          <w:trHeight w:val="843" w:hRule="atLeast"/>
        </w:trPr>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90" w:lineRule="exact"/>
              <w:jc w:val="center"/>
              <w:rPr>
                <w:rFonts w:ascii="宋体" w:hAnsi="宋体"/>
                <w:b/>
                <w:bCs/>
                <w:szCs w:val="21"/>
              </w:rPr>
            </w:pPr>
            <w:r>
              <w:rPr>
                <w:rFonts w:hint="eastAsia" w:ascii="宋体" w:hAnsi="宋体"/>
                <w:b/>
                <w:bCs/>
                <w:szCs w:val="21"/>
              </w:rPr>
              <w:t>★报价要求</w:t>
            </w:r>
          </w:p>
        </w:tc>
        <w:tc>
          <w:tcPr>
            <w:tcW w:w="7672" w:type="dxa"/>
            <w:tcBorders>
              <w:top w:val="single" w:color="auto" w:sz="4" w:space="0"/>
              <w:left w:val="single" w:color="auto" w:sz="4" w:space="0"/>
              <w:bottom w:val="single" w:color="auto" w:sz="4" w:space="0"/>
              <w:right w:val="single" w:color="auto" w:sz="4" w:space="0"/>
            </w:tcBorders>
            <w:vAlign w:val="center"/>
          </w:tcPr>
          <w:p>
            <w:pPr>
              <w:pStyle w:val="2"/>
              <w:spacing w:before="0" w:after="0" w:line="400" w:lineRule="exact"/>
              <w:jc w:val="left"/>
              <w:rPr>
                <w:rFonts w:ascii="Times New Roman" w:hAnsi="Times New Roman" w:eastAsia="宋体"/>
                <w:b w:val="0"/>
                <w:bCs w:val="0"/>
                <w:color w:val="auto"/>
                <w:kern w:val="0"/>
                <w:sz w:val="21"/>
                <w:szCs w:val="21"/>
              </w:rPr>
            </w:pPr>
            <w:r>
              <w:rPr>
                <w:rFonts w:hint="eastAsia" w:ascii="Times New Roman" w:hAnsi="Times New Roman" w:eastAsia="宋体"/>
                <w:b w:val="0"/>
                <w:bCs w:val="0"/>
                <w:color w:val="auto"/>
                <w:kern w:val="0"/>
                <w:sz w:val="21"/>
                <w:szCs w:val="21"/>
              </w:rPr>
              <w:t>1.投标报价形式：</w:t>
            </w:r>
            <w:ins w:id="0" w:author="Administrator" w:date="2020-01-03T17:37:00Z">
              <w:r>
                <w:rPr>
                  <w:rFonts w:hint="eastAsia" w:ascii="Times New Roman" w:hAnsi="Times New Roman" w:eastAsia="宋体"/>
                  <w:b w:val="0"/>
                  <w:bCs w:val="0"/>
                  <w:color w:val="auto"/>
                  <w:kern w:val="0"/>
                  <w:sz w:val="21"/>
                  <w:szCs w:val="21"/>
                </w:rPr>
                <w:t>固定总价</w:t>
              </w:r>
            </w:ins>
            <w:r>
              <w:rPr>
                <w:rFonts w:hint="eastAsia" w:ascii="Times New Roman" w:hAnsi="Times New Roman" w:eastAsia="宋体"/>
                <w:b w:val="0"/>
                <w:bCs w:val="0"/>
                <w:color w:val="auto"/>
                <w:kern w:val="0"/>
                <w:sz w:val="21"/>
                <w:szCs w:val="21"/>
              </w:rPr>
              <w:t>报价。</w:t>
            </w:r>
          </w:p>
          <w:p>
            <w:pPr>
              <w:pStyle w:val="148"/>
              <w:spacing w:line="400" w:lineRule="exact"/>
              <w:jc w:val="both"/>
              <w:rPr>
                <w:color w:val="auto"/>
                <w:sz w:val="21"/>
                <w:szCs w:val="21"/>
              </w:rPr>
            </w:pPr>
            <w:r>
              <w:rPr>
                <w:rFonts w:hint="eastAsia"/>
                <w:color w:val="auto"/>
                <w:sz w:val="21"/>
                <w:szCs w:val="21"/>
              </w:rPr>
              <w:t>2.报价应包括了实施和完成本项目的检测服务所需的技术服务费、检测修缮费、交通、通讯、保险、税费和利润等各项应有费用。</w:t>
            </w:r>
          </w:p>
          <w:p>
            <w:pPr>
              <w:pStyle w:val="2"/>
              <w:spacing w:before="0" w:after="0" w:line="400" w:lineRule="exact"/>
              <w:jc w:val="left"/>
              <w:rPr>
                <w:rFonts w:ascii="Times New Roman" w:hAnsi="Times New Roman" w:eastAsia="宋体"/>
                <w:b w:val="0"/>
                <w:bCs w:val="0"/>
                <w:color w:val="auto"/>
                <w:kern w:val="0"/>
                <w:sz w:val="21"/>
                <w:szCs w:val="21"/>
              </w:rPr>
            </w:pPr>
            <w:r>
              <w:rPr>
                <w:rFonts w:hint="eastAsia" w:ascii="Times New Roman" w:hAnsi="Times New Roman" w:eastAsia="宋体"/>
                <w:b w:val="0"/>
                <w:bCs w:val="0"/>
                <w:color w:val="auto"/>
                <w:kern w:val="0"/>
                <w:sz w:val="21"/>
                <w:szCs w:val="21"/>
              </w:rPr>
              <w:t>3.本项目采用固定总价报价，高于采购预算上限的报价为无效报价。</w:t>
            </w:r>
          </w:p>
        </w:tc>
      </w:tr>
      <w:tr>
        <w:tblPrEx>
          <w:tblCellMar>
            <w:top w:w="0" w:type="dxa"/>
            <w:left w:w="108" w:type="dxa"/>
            <w:bottom w:w="0" w:type="dxa"/>
            <w:right w:w="108" w:type="dxa"/>
          </w:tblCellMar>
        </w:tblPrEx>
        <w:trPr>
          <w:trHeight w:val="843"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390" w:lineRule="exact"/>
              <w:jc w:val="center"/>
              <w:rPr>
                <w:rFonts w:ascii="宋体" w:hAnsi="宋体"/>
                <w:b/>
                <w:bCs/>
                <w:szCs w:val="21"/>
              </w:rPr>
            </w:pPr>
            <w:r>
              <w:rPr>
                <w:rFonts w:hint="eastAsia" w:ascii="宋体" w:hAnsi="宋体"/>
                <w:b/>
                <w:bCs/>
                <w:szCs w:val="21"/>
              </w:rPr>
              <w:t>签订合同时间</w:t>
            </w:r>
          </w:p>
        </w:tc>
        <w:tc>
          <w:tcPr>
            <w:tcW w:w="7672" w:type="dxa"/>
            <w:tcBorders>
              <w:top w:val="single" w:color="000000" w:sz="4" w:space="0"/>
              <w:left w:val="nil"/>
              <w:bottom w:val="single" w:color="000000" w:sz="4" w:space="0"/>
              <w:right w:val="single" w:color="auto" w:sz="4" w:space="0"/>
            </w:tcBorders>
            <w:vAlign w:val="center"/>
          </w:tcPr>
          <w:p>
            <w:pPr>
              <w:spacing w:line="276" w:lineRule="auto"/>
              <w:rPr>
                <w:color w:val="auto"/>
                <w:szCs w:val="21"/>
              </w:rPr>
            </w:pPr>
            <w:r>
              <w:rPr>
                <w:color w:val="auto"/>
                <w:kern w:val="0"/>
                <w:szCs w:val="21"/>
              </w:rPr>
              <w:t>成交通知书发出之日起</w:t>
            </w:r>
            <w:r>
              <w:rPr>
                <w:rFonts w:hint="eastAsia"/>
                <w:color w:val="auto"/>
                <w:kern w:val="0"/>
                <w:szCs w:val="21"/>
              </w:rPr>
              <w:t>7个工作</w:t>
            </w:r>
            <w:r>
              <w:rPr>
                <w:color w:val="auto"/>
                <w:kern w:val="0"/>
                <w:szCs w:val="21"/>
              </w:rPr>
              <w:t>日内</w:t>
            </w:r>
          </w:p>
        </w:tc>
      </w:tr>
      <w:tr>
        <w:tblPrEx>
          <w:tblCellMar>
            <w:top w:w="0" w:type="dxa"/>
            <w:left w:w="108" w:type="dxa"/>
            <w:bottom w:w="0" w:type="dxa"/>
            <w:right w:w="108" w:type="dxa"/>
          </w:tblCellMar>
        </w:tblPrEx>
        <w:trPr>
          <w:trHeight w:val="843"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390" w:lineRule="exact"/>
              <w:jc w:val="center"/>
              <w:rPr>
                <w:rFonts w:ascii="宋体" w:hAnsi="宋体"/>
                <w:b/>
                <w:bCs/>
                <w:szCs w:val="21"/>
              </w:rPr>
            </w:pPr>
            <w:r>
              <w:rPr>
                <w:rFonts w:hint="eastAsia" w:ascii="宋体" w:hAnsi="宋体"/>
                <w:b/>
                <w:bCs/>
                <w:szCs w:val="21"/>
              </w:rPr>
              <w:t>合同形式</w:t>
            </w:r>
          </w:p>
        </w:tc>
        <w:tc>
          <w:tcPr>
            <w:tcW w:w="7672" w:type="dxa"/>
            <w:tcBorders>
              <w:top w:val="single" w:color="000000" w:sz="4" w:space="0"/>
              <w:left w:val="nil"/>
              <w:bottom w:val="single" w:color="000000" w:sz="4" w:space="0"/>
              <w:right w:val="single" w:color="auto" w:sz="4" w:space="0"/>
            </w:tcBorders>
            <w:vAlign w:val="center"/>
          </w:tcPr>
          <w:p>
            <w:pPr>
              <w:spacing w:line="276" w:lineRule="auto"/>
              <w:rPr>
                <w:color w:val="auto"/>
                <w:szCs w:val="21"/>
              </w:rPr>
            </w:pPr>
            <w:r>
              <w:rPr>
                <w:rFonts w:hint="eastAsia"/>
                <w:color w:val="auto"/>
                <w:szCs w:val="21"/>
              </w:rPr>
              <w:t>1.固定总价包干。</w:t>
            </w:r>
          </w:p>
          <w:p>
            <w:pPr>
              <w:spacing w:line="276" w:lineRule="auto"/>
              <w:rPr>
                <w:color w:val="auto"/>
                <w:szCs w:val="21"/>
              </w:rPr>
            </w:pPr>
            <w:r>
              <w:rPr>
                <w:rFonts w:hint="eastAsia"/>
                <w:color w:val="auto"/>
                <w:szCs w:val="21"/>
              </w:rPr>
              <w:t>2.本招标项目为国家相关规范和标准要求必检项目，实际检测内容和数量，以最终实施的施工要求为准。</w:t>
            </w:r>
          </w:p>
        </w:tc>
      </w:tr>
      <w:tr>
        <w:tblPrEx>
          <w:tblCellMar>
            <w:top w:w="0" w:type="dxa"/>
            <w:left w:w="108" w:type="dxa"/>
            <w:bottom w:w="0" w:type="dxa"/>
            <w:right w:w="108" w:type="dxa"/>
          </w:tblCellMar>
        </w:tblPrEx>
        <w:trPr>
          <w:trHeight w:val="1263"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line="380" w:lineRule="exact"/>
              <w:jc w:val="center"/>
              <w:rPr>
                <w:b/>
                <w:kern w:val="0"/>
                <w:szCs w:val="21"/>
              </w:rPr>
            </w:pPr>
            <w:r>
              <w:rPr>
                <w:rFonts w:hint="eastAsia"/>
                <w:b/>
                <w:kern w:val="0"/>
                <w:szCs w:val="21"/>
              </w:rPr>
              <w:t>付款方式</w:t>
            </w:r>
          </w:p>
        </w:tc>
        <w:tc>
          <w:tcPr>
            <w:tcW w:w="7672" w:type="dxa"/>
            <w:tcBorders>
              <w:top w:val="single" w:color="000000" w:sz="4" w:space="0"/>
              <w:left w:val="nil"/>
              <w:bottom w:val="single" w:color="000000" w:sz="4" w:space="0"/>
              <w:right w:val="single" w:color="auto" w:sz="4" w:space="0"/>
            </w:tcBorders>
            <w:vAlign w:val="center"/>
          </w:tcPr>
          <w:p>
            <w:pPr>
              <w:spacing w:line="380" w:lineRule="exact"/>
              <w:ind w:firstLine="210" w:firstLineChars="100"/>
              <w:jc w:val="left"/>
              <w:rPr>
                <w:color w:val="auto"/>
                <w:szCs w:val="21"/>
                <w:highlight w:val="none"/>
              </w:rPr>
            </w:pPr>
            <w:r>
              <w:rPr>
                <w:rFonts w:hint="eastAsia"/>
                <w:color w:val="auto"/>
                <w:szCs w:val="21"/>
                <w:highlight w:val="none"/>
              </w:rPr>
              <w:t>合同生效后15日内采购人支付合同价的30%作为预付款，检测服务工作进度完成60%，支付到检测费60%的费用，检测服务工作完成80%，支付到检测费80%的费用，检测服务工作完成并提交最后一批报告后，经验收合格支付至合同价的100%。</w:t>
            </w:r>
          </w:p>
          <w:p>
            <w:pPr>
              <w:pStyle w:val="14"/>
              <w:ind w:left="0" w:leftChars="0"/>
              <w:rPr>
                <w:b/>
                <w:bCs/>
                <w:color w:val="auto"/>
                <w:kern w:val="0"/>
                <w:szCs w:val="21"/>
                <w:highlight w:val="none"/>
              </w:rPr>
            </w:pPr>
            <w:r>
              <w:rPr>
                <w:rFonts w:hint="eastAsia" w:ascii="宋体" w:hAnsi="宋体"/>
                <w:color w:val="auto"/>
                <w:szCs w:val="21"/>
                <w:highlight w:val="none"/>
              </w:rPr>
              <w:t>（注：在签订合同时，供应商明确表示无需预付款或者主动要求降低预付款比例的，采购人可不按上述规定。具体以双方签订合同为准。）</w:t>
            </w:r>
          </w:p>
        </w:tc>
      </w:tr>
      <w:tr>
        <w:tblPrEx>
          <w:tblCellMar>
            <w:top w:w="0" w:type="dxa"/>
            <w:left w:w="108" w:type="dxa"/>
            <w:bottom w:w="0" w:type="dxa"/>
            <w:right w:w="108" w:type="dxa"/>
          </w:tblCellMar>
        </w:tblPrEx>
        <w:trPr>
          <w:trHeight w:val="1950"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390" w:lineRule="exact"/>
              <w:jc w:val="center"/>
              <w:rPr>
                <w:rFonts w:ascii="宋体" w:hAnsi="宋体"/>
                <w:b/>
                <w:bCs/>
                <w:szCs w:val="21"/>
              </w:rPr>
            </w:pPr>
            <w:r>
              <w:rPr>
                <w:rFonts w:hint="eastAsia" w:ascii="宋体" w:hAnsi="宋体"/>
                <w:b/>
                <w:bCs/>
                <w:szCs w:val="21"/>
              </w:rPr>
              <w:t>其他要求</w:t>
            </w:r>
          </w:p>
        </w:tc>
        <w:tc>
          <w:tcPr>
            <w:tcW w:w="7672" w:type="dxa"/>
            <w:tcBorders>
              <w:top w:val="single" w:color="000000" w:sz="4" w:space="0"/>
              <w:left w:val="nil"/>
              <w:bottom w:val="single" w:color="000000" w:sz="4" w:space="0"/>
              <w:right w:val="single" w:color="auto" w:sz="4" w:space="0"/>
            </w:tcBorders>
            <w:vAlign w:val="center"/>
          </w:tcPr>
          <w:p>
            <w:pPr>
              <w:pStyle w:val="148"/>
              <w:spacing w:line="380" w:lineRule="exact"/>
              <w:rPr>
                <w:color w:val="auto"/>
                <w:sz w:val="21"/>
                <w:szCs w:val="21"/>
                <w:highlight w:val="none"/>
              </w:rPr>
            </w:pPr>
            <w:r>
              <w:rPr>
                <w:rFonts w:hint="eastAsia"/>
                <w:color w:val="auto"/>
                <w:sz w:val="21"/>
                <w:szCs w:val="21"/>
                <w:highlight w:val="none"/>
              </w:rPr>
              <w:t>1.允许检测机构依法分包；</w:t>
            </w:r>
          </w:p>
          <w:p>
            <w:pPr>
              <w:pStyle w:val="50"/>
              <w:spacing w:after="0"/>
              <w:ind w:left="0" w:leftChars="0" w:firstLine="0" w:firstLineChars="0"/>
              <w:jc w:val="left"/>
              <w:rPr>
                <w:color w:val="auto"/>
                <w:kern w:val="0"/>
                <w:szCs w:val="21"/>
                <w:highlight w:val="none"/>
              </w:rPr>
            </w:pPr>
            <w:r>
              <w:rPr>
                <w:rFonts w:hint="eastAsia"/>
                <w:color w:val="auto"/>
                <w:kern w:val="0"/>
                <w:szCs w:val="21"/>
                <w:highlight w:val="none"/>
              </w:rPr>
              <w:t>2.由于变更设计所增加的检测项目内容按实际完成数量结算，所有检测项目以图纸及国家验收规范为准。结算费用</w:t>
            </w:r>
            <w:r>
              <w:rPr>
                <w:rFonts w:hint="eastAsia"/>
                <w:color w:val="auto"/>
                <w:szCs w:val="21"/>
                <w:highlight w:val="none"/>
              </w:rPr>
              <w:t>按桂建质检协【2017】65号文“关于印发《广西建设工程质量检测和建筑材料试验收费项目及标准指导性意见》（2017年版）的通知”进行计算，再下浮40%后乘以实际完成工作量结算。</w:t>
            </w:r>
          </w:p>
          <w:p>
            <w:pPr>
              <w:pStyle w:val="50"/>
              <w:spacing w:after="0"/>
              <w:ind w:left="0" w:leftChars="0" w:firstLine="0" w:firstLineChars="0"/>
              <w:jc w:val="left"/>
              <w:rPr>
                <w:color w:val="auto"/>
                <w:szCs w:val="21"/>
                <w:highlight w:val="none"/>
              </w:rPr>
            </w:pPr>
            <w:r>
              <w:rPr>
                <w:rFonts w:hint="eastAsia"/>
                <w:color w:val="auto"/>
                <w:kern w:val="0"/>
                <w:szCs w:val="21"/>
                <w:highlight w:val="none"/>
              </w:rPr>
              <w:t>3、若因施工质量问题或非乙方原因造成扩大检测或增加检测量的，扩大检测或增加检测产生的费用另计，具体金额由甲乙双方另行协商。</w:t>
            </w:r>
          </w:p>
        </w:tc>
      </w:tr>
      <w:bookmarkEnd w:id="62"/>
    </w:tbl>
    <w:p>
      <w:bookmarkStart w:id="63" w:name="_Toc433110109"/>
    </w:p>
    <w:p/>
    <w:p/>
    <w:p/>
    <w:p/>
    <w:p/>
    <w:p/>
    <w:p/>
    <w:p>
      <w:pPr>
        <w:jc w:val="center"/>
        <w:rPr>
          <w:rFonts w:ascii="宋体" w:hAnsi="宋体"/>
          <w:b/>
          <w:sz w:val="32"/>
          <w:szCs w:val="32"/>
        </w:rPr>
      </w:pPr>
      <w:r>
        <w:rPr>
          <w:rFonts w:hint="eastAsia" w:ascii="宋体" w:hAnsi="宋体"/>
          <w:b/>
          <w:sz w:val="32"/>
          <w:szCs w:val="32"/>
        </w:rPr>
        <w:t>第三章 评审方法及定标标准</w:t>
      </w:r>
      <w:bookmarkEnd w:id="63"/>
    </w:p>
    <w:p>
      <w:pPr>
        <w:jc w:val="left"/>
        <w:rPr>
          <w:rFonts w:hAnsi="宋体"/>
          <w:b/>
          <w:bCs/>
          <w:color w:val="000000"/>
          <w:sz w:val="24"/>
        </w:rPr>
      </w:pPr>
      <w:r>
        <w:rPr>
          <w:rFonts w:hint="eastAsia" w:hAnsi="宋体"/>
          <w:b/>
          <w:bCs/>
          <w:color w:val="000000"/>
          <w:sz w:val="24"/>
        </w:rPr>
        <w:t>一、评标原则</w:t>
      </w:r>
    </w:p>
    <w:p>
      <w:pPr>
        <w:pStyle w:val="26"/>
        <w:spacing w:line="320" w:lineRule="exact"/>
        <w:ind w:firstLine="420" w:firstLineChars="200"/>
        <w:rPr>
          <w:rFonts w:hAnsi="宋体"/>
          <w:bCs/>
          <w:color w:val="000000"/>
          <w:sz w:val="21"/>
        </w:rPr>
      </w:pPr>
      <w:r>
        <w:rPr>
          <w:rFonts w:hint="eastAsia" w:hAnsi="宋体"/>
          <w:bCs/>
          <w:color w:val="000000"/>
          <w:sz w:val="21"/>
        </w:rPr>
        <w:t>(一）评标依据：磋商小组将以竞争性磋商文件和响应文件为评定依据进行评审，对供应商的报价、</w:t>
      </w:r>
      <w:r>
        <w:rPr>
          <w:rFonts w:ascii="Arial" w:hAnsi="Arial" w:cs="Arial"/>
          <w:color w:val="000000"/>
          <w:sz w:val="21"/>
        </w:rPr>
        <w:t>商务</w:t>
      </w:r>
      <w:r>
        <w:rPr>
          <w:rFonts w:hint="eastAsia" w:hAnsi="宋体"/>
          <w:bCs/>
          <w:color w:val="000000"/>
          <w:sz w:val="21"/>
        </w:rPr>
        <w:t>、</w:t>
      </w:r>
      <w:r>
        <w:rPr>
          <w:rFonts w:ascii="Arial" w:hAnsi="Arial" w:cs="Arial"/>
          <w:color w:val="000000"/>
          <w:sz w:val="21"/>
        </w:rPr>
        <w:t>技术</w:t>
      </w:r>
      <w:r>
        <w:rPr>
          <w:rFonts w:hint="eastAsia" w:hAnsi="宋体"/>
          <w:bCs/>
          <w:color w:val="000000"/>
          <w:sz w:val="21"/>
        </w:rPr>
        <w:t>等内容按百分制打分。</w:t>
      </w:r>
    </w:p>
    <w:p>
      <w:pPr>
        <w:pStyle w:val="26"/>
        <w:spacing w:line="320" w:lineRule="exact"/>
        <w:ind w:firstLine="420" w:firstLineChars="200"/>
        <w:rPr>
          <w:rFonts w:hAnsi="宋体"/>
          <w:bCs/>
          <w:color w:val="000000"/>
          <w:sz w:val="21"/>
        </w:rPr>
      </w:pPr>
      <w:r>
        <w:rPr>
          <w:rFonts w:hint="eastAsia" w:hAnsi="宋体"/>
          <w:bCs/>
          <w:color w:val="000000"/>
          <w:sz w:val="21"/>
        </w:rPr>
        <w:t>(二）评标方法：综合评分法。</w:t>
      </w:r>
    </w:p>
    <w:p>
      <w:pPr>
        <w:pStyle w:val="26"/>
        <w:spacing w:line="320" w:lineRule="exact"/>
        <w:rPr>
          <w:rFonts w:hAnsi="宋体"/>
          <w:bCs/>
          <w:color w:val="000000"/>
          <w:sz w:val="24"/>
          <w:szCs w:val="24"/>
        </w:rPr>
      </w:pPr>
      <w:r>
        <w:rPr>
          <w:rFonts w:hint="eastAsia" w:hAnsi="宋体"/>
          <w:b/>
          <w:bCs/>
          <w:color w:val="000000"/>
          <w:sz w:val="24"/>
          <w:szCs w:val="24"/>
        </w:rPr>
        <w:t>二、</w:t>
      </w:r>
      <w:r>
        <w:rPr>
          <w:rFonts w:hint="eastAsia" w:ascii="Times New Roman" w:hAnsi="宋体"/>
          <w:b/>
          <w:bCs/>
          <w:color w:val="000000"/>
          <w:kern w:val="2"/>
          <w:sz w:val="24"/>
          <w:szCs w:val="24"/>
        </w:rPr>
        <w:t>评标方法</w:t>
      </w:r>
      <w:r>
        <w:rPr>
          <w:rFonts w:hint="eastAsia" w:ascii="Times New Roman" w:hAnsi="Times New Roman"/>
          <w:color w:val="000000"/>
          <w:kern w:val="2"/>
          <w:sz w:val="21"/>
          <w:szCs w:val="24"/>
        </w:rPr>
        <w:t>（计分办法按四舍五入取至百分位）：</w:t>
      </w:r>
    </w:p>
    <w:tbl>
      <w:tblPr>
        <w:tblStyle w:val="51"/>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111"/>
        <w:gridCol w:w="1245"/>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04" w:type="dxa"/>
            <w:vAlign w:val="center"/>
          </w:tcPr>
          <w:p>
            <w:pPr>
              <w:jc w:val="center"/>
              <w:rPr>
                <w:rFonts w:ascii="Arial" w:hAnsi="Arial" w:cs="Arial"/>
                <w:b/>
                <w:color w:val="auto"/>
                <w:szCs w:val="21"/>
              </w:rPr>
            </w:pPr>
            <w:r>
              <w:rPr>
                <w:rFonts w:ascii="Arial" w:hAnsi="Arial" w:cs="Arial"/>
                <w:b/>
                <w:color w:val="auto"/>
                <w:szCs w:val="21"/>
              </w:rPr>
              <w:t>序号</w:t>
            </w:r>
          </w:p>
        </w:tc>
        <w:tc>
          <w:tcPr>
            <w:tcW w:w="1111" w:type="dxa"/>
            <w:vAlign w:val="center"/>
          </w:tcPr>
          <w:p>
            <w:pPr>
              <w:jc w:val="center"/>
              <w:rPr>
                <w:rFonts w:ascii="Arial" w:hAnsi="Arial" w:cs="Arial"/>
                <w:b/>
                <w:color w:val="auto"/>
                <w:szCs w:val="21"/>
              </w:rPr>
            </w:pPr>
            <w:r>
              <w:rPr>
                <w:rFonts w:ascii="Arial" w:hAnsi="Arial" w:cs="Arial"/>
                <w:b/>
                <w:color w:val="auto"/>
                <w:szCs w:val="21"/>
              </w:rPr>
              <w:t>评标因素及分值</w:t>
            </w:r>
          </w:p>
        </w:tc>
        <w:tc>
          <w:tcPr>
            <w:tcW w:w="7469" w:type="dxa"/>
            <w:gridSpan w:val="2"/>
            <w:vAlign w:val="center"/>
          </w:tcPr>
          <w:p>
            <w:pPr>
              <w:jc w:val="center"/>
              <w:rPr>
                <w:rFonts w:ascii="Arial" w:hAnsi="Arial" w:cs="Arial"/>
                <w:b/>
                <w:color w:val="auto"/>
                <w:szCs w:val="21"/>
              </w:rPr>
            </w:pPr>
            <w:r>
              <w:rPr>
                <w:rFonts w:ascii="Arial" w:hAnsi="Arial" w:cs="Arial"/>
                <w:b/>
                <w:color w:val="auto"/>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04" w:type="dxa"/>
            <w:vAlign w:val="center"/>
          </w:tcPr>
          <w:p>
            <w:pPr>
              <w:jc w:val="center"/>
              <w:rPr>
                <w:rFonts w:ascii="Arial" w:hAnsi="Arial" w:cs="Arial"/>
                <w:color w:val="auto"/>
                <w:szCs w:val="21"/>
              </w:rPr>
            </w:pPr>
            <w:r>
              <w:rPr>
                <w:rFonts w:hint="eastAsia" w:ascii="Arial" w:hAnsi="Arial" w:cs="Arial"/>
                <w:color w:val="auto"/>
                <w:szCs w:val="21"/>
              </w:rPr>
              <w:t>1</w:t>
            </w:r>
          </w:p>
        </w:tc>
        <w:tc>
          <w:tcPr>
            <w:tcW w:w="1111" w:type="dxa"/>
            <w:vAlign w:val="center"/>
          </w:tcPr>
          <w:p>
            <w:pPr>
              <w:jc w:val="center"/>
              <w:rPr>
                <w:rFonts w:ascii="Arial" w:hAnsi="Arial" w:cs="Arial"/>
                <w:color w:val="auto"/>
                <w:szCs w:val="21"/>
              </w:rPr>
            </w:pPr>
            <w:r>
              <w:rPr>
                <w:rFonts w:ascii="Arial" w:hAnsi="Arial" w:cs="Arial"/>
                <w:color w:val="auto"/>
                <w:szCs w:val="21"/>
              </w:rPr>
              <w:t>投标报价（</w:t>
            </w:r>
            <w:r>
              <w:rPr>
                <w:rFonts w:hint="eastAsia" w:ascii="Arial" w:hAnsi="Arial" w:cs="Arial"/>
                <w:color w:val="auto"/>
                <w:szCs w:val="21"/>
              </w:rPr>
              <w:t>30</w:t>
            </w:r>
            <w:r>
              <w:rPr>
                <w:rFonts w:ascii="Arial" w:hAnsi="Arial" w:cs="Arial"/>
                <w:color w:val="auto"/>
                <w:szCs w:val="21"/>
              </w:rPr>
              <w:t>分）</w:t>
            </w:r>
          </w:p>
        </w:tc>
        <w:tc>
          <w:tcPr>
            <w:tcW w:w="7469" w:type="dxa"/>
            <w:gridSpan w:val="2"/>
            <w:vAlign w:val="center"/>
          </w:tcPr>
          <w:p>
            <w:pPr>
              <w:spacing w:line="276" w:lineRule="auto"/>
              <w:jc w:val="left"/>
              <w:rPr>
                <w:color w:val="auto"/>
              </w:rPr>
            </w:pPr>
            <w:r>
              <w:rPr>
                <w:rFonts w:hint="eastAsia"/>
                <w:color w:val="auto"/>
              </w:rPr>
              <w:t>（1）评标价为供应商的磋商报价进行政策性扣除后的价格，评标价只是作为评标时使用。最终成交供应商的成交金额＝磋商报价。</w:t>
            </w:r>
          </w:p>
          <w:p>
            <w:pPr>
              <w:spacing w:line="276" w:lineRule="auto"/>
              <w:jc w:val="left"/>
              <w:rPr>
                <w:color w:val="auto"/>
              </w:rPr>
            </w:pPr>
            <w:r>
              <w:rPr>
                <w:rFonts w:hint="eastAsia"/>
                <w:color w:val="auto"/>
              </w:rPr>
              <w:t>（2）按照《政府采购促进中小企业发展暂行办法》（财库[2011]181 号）之规定，供应商为小型和微型企业，并在其响应文件中提供《中小企业声明函》或相关职能部门出具的证明材料，且其所投标产品为小型和微型企业产品的，对其磋商价格给予6%的扣除。</w:t>
            </w:r>
          </w:p>
          <w:p>
            <w:pPr>
              <w:spacing w:line="276" w:lineRule="auto"/>
              <w:jc w:val="left"/>
              <w:rPr>
                <w:color w:val="auto"/>
              </w:rPr>
            </w:pPr>
            <w:r>
              <w:rPr>
                <w:rFonts w:hint="eastAsia"/>
                <w:color w:val="auto"/>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276" w:lineRule="auto"/>
              <w:jc w:val="left"/>
              <w:rPr>
                <w:color w:val="auto"/>
              </w:rPr>
            </w:pPr>
            <w:r>
              <w:rPr>
                <w:rFonts w:hint="eastAsia"/>
                <w:color w:val="auto"/>
              </w:rPr>
              <w:t>（4）按照《关于促进残疾人就业政府采购政策的通知》（财库〔2017〕141 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276" w:lineRule="auto"/>
              <w:jc w:val="left"/>
              <w:rPr>
                <w:color w:val="auto"/>
              </w:rPr>
            </w:pPr>
            <w:r>
              <w:rPr>
                <w:rFonts w:hint="eastAsia"/>
                <w:color w:val="auto"/>
              </w:rPr>
              <w:t>（5）政策性扣除计算方法。供应商被认定为监狱企业或残疾人福利性单位或小型和微型企业且其所投标产品为小型和微型企业产品的，该供应商的磋商报价给予10%的扣除，扣除后的价格为评标报价，即评标报价=磋商报价×（1-10%）；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磋商报价×（1-3%）；除上述情况外，评标报价=磋商报价。</w:t>
            </w:r>
          </w:p>
          <w:p>
            <w:pPr>
              <w:spacing w:line="276" w:lineRule="auto"/>
              <w:ind w:firstLine="315" w:firstLineChars="150"/>
              <w:rPr>
                <w:rFonts w:ascii="宋体"/>
                <w:bCs/>
                <w:color w:val="auto"/>
                <w:szCs w:val="20"/>
              </w:rPr>
            </w:pPr>
            <w:r>
              <w:rPr>
                <w:rFonts w:hint="eastAsia"/>
                <w:color w:val="auto"/>
              </w:rPr>
              <w:t>（6）</w:t>
            </w:r>
            <w:r>
              <w:rPr>
                <w:rFonts w:hint="eastAsia" w:ascii="宋体"/>
                <w:bCs/>
                <w:color w:val="auto"/>
                <w:szCs w:val="20"/>
              </w:rPr>
              <w:t>价格分采用低价优先法计算，即满足磋商文件要求且最后报价最低的供应商的价格为磋商基准价，其价格分为满分（3</w:t>
            </w:r>
            <w:r>
              <w:rPr>
                <w:rFonts w:ascii="宋体"/>
                <w:bCs/>
                <w:color w:val="auto"/>
                <w:szCs w:val="20"/>
              </w:rPr>
              <w:t>0</w:t>
            </w:r>
            <w:r>
              <w:rPr>
                <w:rFonts w:hint="eastAsia" w:ascii="宋体"/>
                <w:bCs/>
                <w:color w:val="auto"/>
                <w:szCs w:val="20"/>
              </w:rPr>
              <w:t>分）</w:t>
            </w:r>
            <w:r>
              <w:rPr>
                <w:rFonts w:hint="eastAsia"/>
                <w:color w:val="auto"/>
              </w:rPr>
              <w:t>。</w:t>
            </w:r>
            <w:r>
              <w:rPr>
                <w:rFonts w:hint="eastAsia" w:ascii="宋体"/>
                <w:bCs/>
                <w:color w:val="auto"/>
                <w:szCs w:val="20"/>
              </w:rPr>
              <w:t>其他供应商的价格分统一按照下列公式计算：</w:t>
            </w:r>
          </w:p>
          <w:p>
            <w:pPr>
              <w:spacing w:line="276" w:lineRule="auto"/>
              <w:ind w:firstLine="316" w:firstLineChars="150"/>
              <w:rPr>
                <w:rFonts w:ascii="宋体"/>
                <w:b/>
                <w:color w:val="auto"/>
                <w:szCs w:val="21"/>
              </w:rPr>
            </w:pPr>
            <w:r>
              <w:rPr>
                <w:rFonts w:hint="eastAsia" w:ascii="宋体"/>
                <w:b/>
                <w:color w:val="auto"/>
                <w:szCs w:val="21"/>
              </w:rPr>
              <w:t>最后磋商报价得分</w:t>
            </w:r>
            <w:r>
              <w:rPr>
                <w:rFonts w:ascii="宋体"/>
                <w:b/>
                <w:color w:val="auto"/>
                <w:szCs w:val="21"/>
              </w:rPr>
              <w:t>=</w:t>
            </w:r>
            <w:r>
              <w:rPr>
                <w:rFonts w:hint="eastAsia" w:ascii="宋体"/>
                <w:b/>
                <w:color w:val="auto"/>
                <w:szCs w:val="21"/>
              </w:rPr>
              <w:t>（磋商基准价</w:t>
            </w:r>
            <w:r>
              <w:rPr>
                <w:rFonts w:ascii="宋体"/>
                <w:b/>
                <w:color w:val="auto"/>
                <w:szCs w:val="21"/>
              </w:rPr>
              <w:t>/</w:t>
            </w:r>
            <w:r>
              <w:rPr>
                <w:rFonts w:hint="eastAsia" w:ascii="宋体"/>
                <w:b/>
                <w:color w:val="auto"/>
                <w:szCs w:val="21"/>
              </w:rPr>
              <w:t>最后磋商报价）×3</w:t>
            </w:r>
            <w:r>
              <w:rPr>
                <w:rFonts w:ascii="宋体"/>
                <w:b/>
                <w:color w:val="auto"/>
                <w:szCs w:val="21"/>
              </w:rPr>
              <w:t>0</w:t>
            </w:r>
            <w:r>
              <w:rPr>
                <w:rFonts w:hint="eastAsia" w:ascii="宋体" w:hAnsi="宋体"/>
                <w:b/>
                <w:color w:val="auto"/>
                <w:szCs w:val="21"/>
              </w:rPr>
              <w:t>分</w:t>
            </w:r>
          </w:p>
          <w:p>
            <w:pPr>
              <w:spacing w:line="276" w:lineRule="auto"/>
              <w:ind w:firstLine="315" w:firstLineChars="150"/>
              <w:rPr>
                <w:rFonts w:ascii="宋体" w:hAnsi="宋体" w:cs="宋体"/>
                <w:color w:val="auto"/>
                <w:kern w:val="0"/>
                <w:sz w:val="24"/>
              </w:rPr>
            </w:pPr>
            <w:r>
              <w:rPr>
                <w:rFonts w:hint="eastAsia" w:ascii="宋体"/>
                <w:bCs/>
                <w:color w:val="auto"/>
                <w:szCs w:val="20"/>
              </w:rPr>
              <w:t>（7）项目评审过程中，不得去掉最后报价中的最高报价和最低报价。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04" w:type="dxa"/>
            <w:vMerge w:val="restart"/>
            <w:vAlign w:val="center"/>
          </w:tcPr>
          <w:p>
            <w:pPr>
              <w:jc w:val="center"/>
              <w:rPr>
                <w:rFonts w:ascii="Arial" w:hAnsi="Arial" w:cs="Arial"/>
                <w:color w:val="auto"/>
                <w:szCs w:val="21"/>
              </w:rPr>
            </w:pPr>
            <w:r>
              <w:rPr>
                <w:rFonts w:hint="eastAsia" w:ascii="Arial" w:hAnsi="Arial" w:cs="Arial"/>
                <w:color w:val="auto"/>
                <w:szCs w:val="21"/>
              </w:rPr>
              <w:t>2</w:t>
            </w:r>
          </w:p>
        </w:tc>
        <w:tc>
          <w:tcPr>
            <w:tcW w:w="1111" w:type="dxa"/>
            <w:vMerge w:val="restart"/>
            <w:vAlign w:val="center"/>
          </w:tcPr>
          <w:p>
            <w:pPr>
              <w:jc w:val="center"/>
              <w:rPr>
                <w:rFonts w:ascii="Arial" w:hAnsi="Arial" w:cs="Arial"/>
                <w:color w:val="auto"/>
                <w:szCs w:val="21"/>
              </w:rPr>
            </w:pPr>
            <w:r>
              <w:rPr>
                <w:rFonts w:ascii="Arial" w:hAnsi="Arial" w:cs="Arial"/>
                <w:color w:val="auto"/>
                <w:szCs w:val="21"/>
              </w:rPr>
              <w:t>技术部分</w:t>
            </w:r>
          </w:p>
          <w:p>
            <w:pPr>
              <w:jc w:val="center"/>
              <w:rPr>
                <w:rFonts w:ascii="Arial" w:hAnsi="Arial" w:cs="Arial"/>
                <w:color w:val="auto"/>
                <w:szCs w:val="21"/>
              </w:rPr>
            </w:pPr>
            <w:r>
              <w:rPr>
                <w:rFonts w:ascii="Arial" w:hAnsi="Arial" w:cs="Arial"/>
                <w:color w:val="auto"/>
                <w:szCs w:val="21"/>
              </w:rPr>
              <w:t>（</w:t>
            </w:r>
            <w:r>
              <w:rPr>
                <w:rFonts w:hint="eastAsia" w:ascii="Arial" w:hAnsi="Arial" w:cs="Arial"/>
                <w:color w:val="auto"/>
                <w:szCs w:val="21"/>
              </w:rPr>
              <w:t>55</w:t>
            </w:r>
            <w:r>
              <w:rPr>
                <w:rFonts w:ascii="Arial" w:hAnsi="Arial" w:cs="Arial"/>
                <w:color w:val="auto"/>
                <w:szCs w:val="21"/>
              </w:rPr>
              <w:t>分）</w:t>
            </w:r>
          </w:p>
        </w:tc>
        <w:tc>
          <w:tcPr>
            <w:tcW w:w="1245" w:type="dxa"/>
            <w:vAlign w:val="center"/>
          </w:tcPr>
          <w:p>
            <w:pPr>
              <w:spacing w:line="340" w:lineRule="exact"/>
              <w:jc w:val="center"/>
              <w:rPr>
                <w:rFonts w:hAnsi="宋体" w:cs="Courier New"/>
                <w:color w:val="auto"/>
                <w:szCs w:val="21"/>
              </w:rPr>
            </w:pPr>
            <w:r>
              <w:rPr>
                <w:rFonts w:hAnsi="宋体"/>
                <w:color w:val="auto"/>
              </w:rPr>
              <w:t>（</w:t>
            </w:r>
            <w:r>
              <w:rPr>
                <w:rFonts w:hint="eastAsia"/>
                <w:color w:val="auto"/>
              </w:rPr>
              <w:t>1</w:t>
            </w:r>
            <w:r>
              <w:rPr>
                <w:rFonts w:hAnsi="宋体"/>
                <w:color w:val="auto"/>
              </w:rPr>
              <w:t>）</w:t>
            </w:r>
            <w:r>
              <w:rPr>
                <w:rFonts w:hint="eastAsia" w:hAnsi="宋体"/>
                <w:color w:val="auto"/>
              </w:rPr>
              <w:t>检测方案（满分20分）</w:t>
            </w:r>
          </w:p>
        </w:tc>
        <w:tc>
          <w:tcPr>
            <w:tcW w:w="6224" w:type="dxa"/>
            <w:vAlign w:val="center"/>
          </w:tcPr>
          <w:p>
            <w:pPr>
              <w:spacing w:line="360" w:lineRule="exact"/>
              <w:jc w:val="left"/>
              <w:rPr>
                <w:color w:val="auto"/>
              </w:rPr>
            </w:pPr>
            <w:r>
              <w:rPr>
                <w:rFonts w:hint="eastAsia"/>
                <w:color w:val="auto"/>
              </w:rPr>
              <w:t>优（15.1～20.0分）：检测方法针对性强，检测技术方案详尽周密，工艺先进、方法科学、措施切实可行，能较好指导具体检测工作并确保安全。</w:t>
            </w:r>
          </w:p>
          <w:p>
            <w:pPr>
              <w:spacing w:line="360" w:lineRule="exact"/>
              <w:jc w:val="left"/>
              <w:rPr>
                <w:color w:val="auto"/>
              </w:rPr>
            </w:pPr>
            <w:r>
              <w:rPr>
                <w:rFonts w:hint="eastAsia"/>
                <w:color w:val="auto"/>
              </w:rPr>
              <w:t>良（10.1～15.0）：检测方法符合项目实际，检测技术方案齐全，工艺成熟、方法合理、措施可行，能指导具体检测工作并确保安全。</w:t>
            </w:r>
          </w:p>
          <w:p>
            <w:pPr>
              <w:spacing w:line="360" w:lineRule="exact"/>
              <w:jc w:val="left"/>
              <w:rPr>
                <w:color w:val="auto"/>
              </w:rPr>
            </w:pPr>
            <w:r>
              <w:rPr>
                <w:rFonts w:hint="eastAsia"/>
                <w:color w:val="auto"/>
              </w:rPr>
              <w:t>中：（5.1～10.0分）检测方法基本符合项目实际，检测技术方案比较齐全，工艺基本符合项目要求、方法基本符合项目要求、措施基本符合项目要求，基本能指导具体检测工作并确保安全。</w:t>
            </w:r>
          </w:p>
          <w:p>
            <w:pPr>
              <w:spacing w:line="360" w:lineRule="exact"/>
              <w:jc w:val="left"/>
              <w:rPr>
                <w:rFonts w:hAnsi="宋体" w:cs="Courier New"/>
                <w:color w:val="auto"/>
                <w:szCs w:val="21"/>
              </w:rPr>
            </w:pPr>
            <w:r>
              <w:rPr>
                <w:rFonts w:hint="eastAsia"/>
                <w:color w:val="auto"/>
              </w:rPr>
              <w:t>差（0～5.0分）：检测方法针对性差，检测技术方案差，工艺落后、方法不合理，措施不可行，不能指导具体检测工作并确保安全。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04" w:type="dxa"/>
            <w:vMerge w:val="continue"/>
            <w:vAlign w:val="center"/>
          </w:tcPr>
          <w:p>
            <w:pPr>
              <w:spacing w:line="360" w:lineRule="exact"/>
              <w:ind w:firstLine="420"/>
              <w:jc w:val="left"/>
              <w:rPr>
                <w:color w:val="auto"/>
                <w:highlight w:val="yellow"/>
              </w:rPr>
            </w:pPr>
          </w:p>
        </w:tc>
        <w:tc>
          <w:tcPr>
            <w:tcW w:w="1111" w:type="dxa"/>
            <w:vMerge w:val="continue"/>
            <w:vAlign w:val="center"/>
          </w:tcPr>
          <w:p>
            <w:pPr>
              <w:spacing w:line="360" w:lineRule="exact"/>
              <w:ind w:firstLine="420"/>
              <w:jc w:val="left"/>
              <w:rPr>
                <w:color w:val="auto"/>
                <w:highlight w:val="yellow"/>
              </w:rPr>
            </w:pPr>
          </w:p>
        </w:tc>
        <w:tc>
          <w:tcPr>
            <w:tcW w:w="1245" w:type="dxa"/>
            <w:vAlign w:val="center"/>
          </w:tcPr>
          <w:p>
            <w:pPr>
              <w:spacing w:line="340" w:lineRule="exact"/>
              <w:jc w:val="left"/>
              <w:rPr>
                <w:color w:val="auto"/>
              </w:rPr>
            </w:pPr>
            <w:r>
              <w:rPr>
                <w:rFonts w:hint="eastAsia" w:hAnsi="宋体"/>
                <w:color w:val="auto"/>
              </w:rPr>
              <w:t>（2）</w:t>
            </w:r>
            <w:r>
              <w:rPr>
                <w:rFonts w:hAnsi="宋体"/>
                <w:color w:val="auto"/>
              </w:rPr>
              <w:t>拟投入本项目人员</w:t>
            </w:r>
            <w:r>
              <w:rPr>
                <w:rFonts w:hint="eastAsia" w:hAnsi="宋体"/>
                <w:color w:val="auto"/>
              </w:rPr>
              <w:t>情况（满分10分）</w:t>
            </w:r>
          </w:p>
        </w:tc>
        <w:tc>
          <w:tcPr>
            <w:tcW w:w="6224" w:type="dxa"/>
          </w:tcPr>
          <w:p>
            <w:pPr>
              <w:spacing w:line="390" w:lineRule="exact"/>
              <w:ind w:firstLine="210" w:firstLineChars="100"/>
              <w:jc w:val="left"/>
              <w:rPr>
                <w:color w:val="auto"/>
              </w:rPr>
            </w:pPr>
            <w:r>
              <w:rPr>
                <w:rFonts w:hint="eastAsia"/>
                <w:color w:val="auto"/>
              </w:rPr>
              <w:t>（1）拟投入的项目负责人持有高级及以上职称证书、一级注册结构工程师和注册岩土师执业资格证书的，得2分。</w:t>
            </w:r>
          </w:p>
          <w:p>
            <w:pPr>
              <w:spacing w:line="390" w:lineRule="exact"/>
              <w:ind w:firstLine="210" w:firstLineChars="100"/>
              <w:jc w:val="left"/>
              <w:rPr>
                <w:color w:val="auto"/>
              </w:rPr>
            </w:pPr>
            <w:r>
              <w:rPr>
                <w:rFonts w:hint="eastAsia"/>
                <w:color w:val="auto"/>
              </w:rPr>
              <w:t>（2）拟投入的技术负责人持有中级技术职称证书并持有土木工程师（岩土）注册执业资格证书及检测上岗证书的，得2分。</w:t>
            </w:r>
          </w:p>
          <w:p>
            <w:pPr>
              <w:spacing w:line="390" w:lineRule="exact"/>
              <w:ind w:firstLine="210" w:firstLineChars="100"/>
              <w:jc w:val="left"/>
              <w:rPr>
                <w:color w:val="auto"/>
              </w:rPr>
            </w:pPr>
            <w:r>
              <w:rPr>
                <w:rFonts w:hint="eastAsia"/>
                <w:color w:val="auto"/>
              </w:rPr>
              <w:t>（3）拟投入的技术人员：</w:t>
            </w:r>
          </w:p>
          <w:p>
            <w:pPr>
              <w:spacing w:line="390" w:lineRule="exact"/>
              <w:ind w:firstLine="420" w:firstLineChars="200"/>
              <w:jc w:val="left"/>
              <w:rPr>
                <w:color w:val="auto"/>
              </w:rPr>
            </w:pPr>
            <w:r>
              <w:rPr>
                <w:rFonts w:hint="eastAsia"/>
                <w:color w:val="auto"/>
              </w:rPr>
              <w:t>三档（4.1~6分）：项目负责人有高级及以上技术职称证书、一级注册结构工程师和注册岩土师执业资格证书并持有检测上岗证，技术负责人有中级及以上技术职称证书，拟投入本项目检测人员具有中级或中级以上职称证书及检测上岗证的不少于15人。</w:t>
            </w:r>
          </w:p>
          <w:p>
            <w:pPr>
              <w:spacing w:line="390" w:lineRule="exact"/>
              <w:ind w:firstLine="420" w:firstLineChars="200"/>
              <w:jc w:val="left"/>
              <w:rPr>
                <w:color w:val="auto"/>
              </w:rPr>
            </w:pPr>
            <w:r>
              <w:rPr>
                <w:rFonts w:hint="eastAsia"/>
                <w:color w:val="auto"/>
              </w:rPr>
              <w:t>二档（2.1~4分）：项目负责人有高级及以上技术职称证书和一级注册结构工程师执业资格证书，技术负责人有中级级及以上技术职称证书，拟投入本项目检测人员有10人（含10人）具有中级以上技术职称证书。</w:t>
            </w:r>
          </w:p>
          <w:p>
            <w:pPr>
              <w:spacing w:line="390" w:lineRule="exact"/>
              <w:ind w:firstLine="420" w:firstLineChars="200"/>
              <w:rPr>
                <w:color w:val="auto"/>
              </w:rPr>
            </w:pPr>
            <w:r>
              <w:rPr>
                <w:rFonts w:hint="eastAsia"/>
                <w:color w:val="auto"/>
              </w:rPr>
              <w:t>一档（0.1~2分）：项目负责人有高级及以上技术职称证书，技术负责人有中级及以上技术职称证书，拟投入本项目检测人员8人（含8人）以上。</w:t>
            </w:r>
          </w:p>
          <w:p>
            <w:pPr>
              <w:pStyle w:val="18"/>
              <w:rPr>
                <w:color w:val="auto"/>
              </w:rPr>
            </w:pPr>
            <w:r>
              <w:rPr>
                <w:rFonts w:hint="eastAsia"/>
                <w:color w:val="auto"/>
              </w:rPr>
              <w:t>【备注：以上人员须提供的相应证书的复印件，以加盖公章为准】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04" w:type="dxa"/>
            <w:vMerge w:val="continue"/>
            <w:vAlign w:val="center"/>
          </w:tcPr>
          <w:p>
            <w:pPr>
              <w:spacing w:line="360" w:lineRule="exact"/>
              <w:ind w:firstLine="420"/>
              <w:jc w:val="left"/>
              <w:rPr>
                <w:color w:val="auto"/>
                <w:highlight w:val="yellow"/>
              </w:rPr>
            </w:pPr>
          </w:p>
        </w:tc>
        <w:tc>
          <w:tcPr>
            <w:tcW w:w="1111" w:type="dxa"/>
            <w:vMerge w:val="continue"/>
            <w:vAlign w:val="center"/>
          </w:tcPr>
          <w:p>
            <w:pPr>
              <w:spacing w:line="360" w:lineRule="exact"/>
              <w:ind w:firstLine="420"/>
              <w:jc w:val="left"/>
              <w:rPr>
                <w:color w:val="auto"/>
                <w:highlight w:val="yellow"/>
              </w:rPr>
            </w:pPr>
          </w:p>
        </w:tc>
        <w:tc>
          <w:tcPr>
            <w:tcW w:w="1245" w:type="dxa"/>
            <w:vAlign w:val="center"/>
          </w:tcPr>
          <w:p>
            <w:pPr>
              <w:spacing w:line="340" w:lineRule="exact"/>
              <w:jc w:val="left"/>
              <w:rPr>
                <w:color w:val="auto"/>
              </w:rPr>
            </w:pPr>
            <w:r>
              <w:rPr>
                <w:rFonts w:hint="eastAsia" w:hAnsi="宋体"/>
                <w:color w:val="auto"/>
              </w:rPr>
              <w:t>（3）拟投入设备、场地情况（满分10分）</w:t>
            </w:r>
          </w:p>
        </w:tc>
        <w:tc>
          <w:tcPr>
            <w:tcW w:w="6224" w:type="dxa"/>
          </w:tcPr>
          <w:p>
            <w:pPr>
              <w:spacing w:line="360" w:lineRule="exact"/>
              <w:ind w:firstLine="420" w:firstLineChars="200"/>
              <w:jc w:val="left"/>
              <w:rPr>
                <w:color w:val="auto"/>
              </w:rPr>
            </w:pPr>
            <w:r>
              <w:rPr>
                <w:rFonts w:hint="eastAsia"/>
                <w:color w:val="auto"/>
              </w:rPr>
              <w:t>三档（6.1～10分）：</w:t>
            </w:r>
          </w:p>
          <w:p>
            <w:pPr>
              <w:spacing w:line="360" w:lineRule="exact"/>
              <w:ind w:firstLine="420" w:firstLineChars="200"/>
              <w:jc w:val="left"/>
              <w:rPr>
                <w:color w:val="auto"/>
              </w:rPr>
            </w:pPr>
            <w:r>
              <w:rPr>
                <w:rFonts w:hint="eastAsia"/>
                <w:color w:val="auto"/>
              </w:rPr>
              <w:t>投标人有检测仪器和设备齐全、先进，现代化配备计划完善，设备数量、选型配置、进场时间安排合理，满足本项目检测需要；</w:t>
            </w:r>
          </w:p>
          <w:p>
            <w:pPr>
              <w:spacing w:line="360" w:lineRule="exact"/>
              <w:ind w:firstLine="420" w:firstLineChars="200"/>
              <w:jc w:val="left"/>
              <w:rPr>
                <w:color w:val="auto"/>
              </w:rPr>
            </w:pPr>
            <w:r>
              <w:rPr>
                <w:rFonts w:hint="eastAsia"/>
                <w:color w:val="auto"/>
              </w:rPr>
              <w:t>二档（3.1～6分）：</w:t>
            </w:r>
          </w:p>
          <w:p>
            <w:pPr>
              <w:spacing w:line="360" w:lineRule="exact"/>
              <w:ind w:firstLine="420" w:firstLineChars="200"/>
              <w:jc w:val="left"/>
              <w:rPr>
                <w:color w:val="auto"/>
              </w:rPr>
            </w:pPr>
            <w:r>
              <w:rPr>
                <w:rFonts w:hint="eastAsia"/>
                <w:color w:val="auto"/>
              </w:rPr>
              <w:t>投标人有检测仪器和设备齐全完整，设备数量、选型配置、进场投入计划与进度计划呼应，基本满足本项目检测需要。基本满足项目检测要求；</w:t>
            </w:r>
          </w:p>
          <w:p>
            <w:pPr>
              <w:spacing w:line="360" w:lineRule="exact"/>
              <w:ind w:firstLine="420" w:firstLineChars="200"/>
              <w:jc w:val="left"/>
              <w:rPr>
                <w:color w:val="auto"/>
              </w:rPr>
            </w:pPr>
            <w:r>
              <w:rPr>
                <w:rFonts w:hint="eastAsia"/>
                <w:color w:val="auto"/>
              </w:rPr>
              <w:t>一档（0.1～3分）：</w:t>
            </w:r>
          </w:p>
          <w:p>
            <w:pPr>
              <w:spacing w:line="360" w:lineRule="exact"/>
              <w:ind w:firstLine="420" w:firstLineChars="200"/>
              <w:jc w:val="left"/>
              <w:rPr>
                <w:color w:val="auto"/>
              </w:rPr>
            </w:pPr>
            <w:r>
              <w:rPr>
                <w:rFonts w:hint="eastAsia"/>
                <w:color w:val="auto"/>
              </w:rPr>
              <w:t>投标人有检测仪器和设备基本齐全，基本满足检测和工期要求。</w:t>
            </w:r>
          </w:p>
          <w:p>
            <w:pPr>
              <w:pStyle w:val="18"/>
              <w:spacing w:line="360" w:lineRule="exact"/>
              <w:rPr>
                <w:color w:val="auto"/>
              </w:rPr>
            </w:pPr>
            <w:r>
              <w:rPr>
                <w:rFonts w:hint="eastAsia"/>
                <w:color w:val="auto"/>
              </w:rPr>
              <w:t>（投标人提供</w:t>
            </w:r>
            <w:r>
              <w:rPr>
                <w:color w:val="auto"/>
              </w:rPr>
              <w:t>仪器检定（校准）证书等有效证明资料</w:t>
            </w:r>
            <w:r>
              <w:rPr>
                <w:rFonts w:hint="eastAsia"/>
                <w:color w:val="auto"/>
              </w:rPr>
              <w:t>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04" w:type="dxa"/>
            <w:vMerge w:val="continue"/>
            <w:vAlign w:val="center"/>
          </w:tcPr>
          <w:p>
            <w:pPr>
              <w:spacing w:line="360" w:lineRule="exact"/>
              <w:ind w:firstLine="420"/>
              <w:jc w:val="left"/>
              <w:rPr>
                <w:color w:val="auto"/>
                <w:highlight w:val="yellow"/>
              </w:rPr>
            </w:pPr>
          </w:p>
        </w:tc>
        <w:tc>
          <w:tcPr>
            <w:tcW w:w="1111" w:type="dxa"/>
            <w:vMerge w:val="continue"/>
            <w:vAlign w:val="center"/>
          </w:tcPr>
          <w:p>
            <w:pPr>
              <w:spacing w:line="360" w:lineRule="exact"/>
              <w:ind w:firstLine="420"/>
              <w:jc w:val="left"/>
              <w:rPr>
                <w:color w:val="auto"/>
                <w:highlight w:val="yellow"/>
              </w:rPr>
            </w:pPr>
          </w:p>
        </w:tc>
        <w:tc>
          <w:tcPr>
            <w:tcW w:w="1245" w:type="dxa"/>
            <w:vAlign w:val="center"/>
          </w:tcPr>
          <w:p>
            <w:pPr>
              <w:spacing w:line="340" w:lineRule="exact"/>
              <w:jc w:val="left"/>
              <w:rPr>
                <w:color w:val="auto"/>
              </w:rPr>
            </w:pPr>
            <w:r>
              <w:rPr>
                <w:rFonts w:hint="eastAsia" w:hAnsi="宋体"/>
                <w:color w:val="auto"/>
              </w:rPr>
              <w:t>（4）质量、进度控制方案（满分10分）</w:t>
            </w:r>
          </w:p>
        </w:tc>
        <w:tc>
          <w:tcPr>
            <w:tcW w:w="6224" w:type="dxa"/>
          </w:tcPr>
          <w:p>
            <w:pPr>
              <w:spacing w:line="390" w:lineRule="exact"/>
              <w:ind w:firstLine="420" w:firstLineChars="200"/>
              <w:jc w:val="left"/>
              <w:rPr>
                <w:color w:val="auto"/>
              </w:rPr>
            </w:pPr>
            <w:r>
              <w:rPr>
                <w:rFonts w:hint="eastAsia"/>
                <w:color w:val="auto"/>
              </w:rPr>
              <w:t>三档（6.1～10分）：针对本项目的特点，投标人提供的阐述质量、进度控制方案能够满足本项目的总体建设要求，各目标切实可行，科学合理，关键线路清晰、准确、完整，计划编制合理、可行，关键节点的控制措施有力、合理、可行，完全可行，进度违约责任承诺具体，通过ISO质量体系认证（ISO9001）、环境管理体系认证（ISO14001）、职业健康安全管理体系认证（OHSAS18001），并提供证书复印件加盖公章。</w:t>
            </w:r>
          </w:p>
          <w:p>
            <w:pPr>
              <w:spacing w:line="390" w:lineRule="exact"/>
              <w:ind w:firstLine="420" w:firstLineChars="200"/>
              <w:jc w:val="left"/>
              <w:rPr>
                <w:color w:val="auto"/>
              </w:rPr>
            </w:pPr>
            <w:r>
              <w:rPr>
                <w:rFonts w:hint="eastAsia"/>
                <w:color w:val="auto"/>
              </w:rPr>
              <w:t>二档（3.1～6分）：针对本项目的特点，投标人提供的阐述质量、进度控制方案基本满足本项目的总体建设要求，各目标切实基本可行，科学合理，关键线路基本准确，计划编制基本合理，关键节点控制基本可行，有简单的进度违约责任承诺，通过ISO质量体系认证（ISO9001），并提供证书复印件加盖公章。</w:t>
            </w:r>
          </w:p>
          <w:p>
            <w:pPr>
              <w:spacing w:line="340" w:lineRule="exact"/>
              <w:ind w:firstLine="420" w:firstLineChars="200"/>
              <w:rPr>
                <w:color w:val="auto"/>
              </w:rPr>
            </w:pPr>
            <w:r>
              <w:rPr>
                <w:rFonts w:hint="eastAsia"/>
                <w:color w:val="auto"/>
              </w:rPr>
              <w:t>一档（0.1～3分）：针对本项目的特点，投标人提供的阐述质量、进度控制方案满足本项目的总体建设要求，各目标切实基本可行，基本科学合理。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04" w:type="dxa"/>
            <w:vMerge w:val="continue"/>
            <w:vAlign w:val="center"/>
          </w:tcPr>
          <w:p>
            <w:pPr>
              <w:spacing w:line="360" w:lineRule="exact"/>
              <w:ind w:firstLine="420"/>
              <w:jc w:val="left"/>
              <w:rPr>
                <w:color w:val="auto"/>
                <w:highlight w:val="yellow"/>
              </w:rPr>
            </w:pPr>
          </w:p>
        </w:tc>
        <w:tc>
          <w:tcPr>
            <w:tcW w:w="1111" w:type="dxa"/>
            <w:vMerge w:val="continue"/>
            <w:vAlign w:val="center"/>
          </w:tcPr>
          <w:p>
            <w:pPr>
              <w:spacing w:line="360" w:lineRule="exact"/>
              <w:ind w:firstLine="420"/>
              <w:jc w:val="left"/>
              <w:rPr>
                <w:color w:val="auto"/>
                <w:highlight w:val="yellow"/>
              </w:rPr>
            </w:pPr>
          </w:p>
        </w:tc>
        <w:tc>
          <w:tcPr>
            <w:tcW w:w="1245" w:type="dxa"/>
            <w:vAlign w:val="center"/>
          </w:tcPr>
          <w:p>
            <w:pPr>
              <w:spacing w:line="340" w:lineRule="exact"/>
              <w:jc w:val="left"/>
              <w:rPr>
                <w:color w:val="auto"/>
              </w:rPr>
            </w:pPr>
            <w:r>
              <w:rPr>
                <w:rFonts w:hint="eastAsia" w:hAnsi="宋体"/>
                <w:color w:val="auto"/>
              </w:rPr>
              <w:t>（5）服务承诺方案（满分5分）</w:t>
            </w:r>
          </w:p>
        </w:tc>
        <w:tc>
          <w:tcPr>
            <w:tcW w:w="6224" w:type="dxa"/>
          </w:tcPr>
          <w:p>
            <w:pPr>
              <w:spacing w:line="340" w:lineRule="exact"/>
              <w:rPr>
                <w:rFonts w:ascii="宋体" w:hAnsi="宋体"/>
                <w:color w:val="auto"/>
              </w:rPr>
            </w:pPr>
            <w:r>
              <w:rPr>
                <w:rFonts w:hint="eastAsia" w:ascii="宋体" w:hAnsi="宋体"/>
                <w:color w:val="auto"/>
              </w:rPr>
              <w:t>优秀：服务承诺很好满足项目需求，能为采购方提供完善的服务（3.1-5分）。</w:t>
            </w:r>
          </w:p>
          <w:p>
            <w:pPr>
              <w:spacing w:line="340" w:lineRule="exact"/>
              <w:rPr>
                <w:rFonts w:ascii="宋体" w:hAnsi="宋体"/>
                <w:color w:val="auto"/>
              </w:rPr>
            </w:pPr>
            <w:r>
              <w:rPr>
                <w:rFonts w:hint="eastAsia" w:ascii="宋体" w:hAnsi="宋体"/>
                <w:color w:val="auto"/>
              </w:rPr>
              <w:t>良好：服务承诺较好满足项目需求（1.6-3分）；</w:t>
            </w:r>
          </w:p>
          <w:p>
            <w:pPr>
              <w:spacing w:line="340" w:lineRule="exact"/>
              <w:rPr>
                <w:color w:val="auto"/>
              </w:rPr>
            </w:pPr>
            <w:r>
              <w:rPr>
                <w:rFonts w:hint="eastAsia" w:ascii="宋体" w:hAnsi="宋体"/>
                <w:color w:val="auto"/>
              </w:rPr>
              <w:t xml:space="preserve">一般：服务承诺基本满足项目需求（0.1-1.5分）；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404" w:type="dxa"/>
            <w:vAlign w:val="center"/>
          </w:tcPr>
          <w:p>
            <w:pPr>
              <w:spacing w:line="276" w:lineRule="auto"/>
              <w:ind w:firstLine="420"/>
              <w:jc w:val="center"/>
              <w:rPr>
                <w:color w:val="auto"/>
              </w:rPr>
            </w:pPr>
            <w:r>
              <w:rPr>
                <w:rFonts w:hint="eastAsia"/>
                <w:color w:val="auto"/>
              </w:rPr>
              <w:t>33</w:t>
            </w:r>
          </w:p>
        </w:tc>
        <w:tc>
          <w:tcPr>
            <w:tcW w:w="1111" w:type="dxa"/>
            <w:vAlign w:val="center"/>
          </w:tcPr>
          <w:p>
            <w:pPr>
              <w:tabs>
                <w:tab w:val="left" w:pos="1841"/>
              </w:tabs>
              <w:spacing w:line="276" w:lineRule="auto"/>
              <w:ind w:left="-107" w:leftChars="-51"/>
              <w:jc w:val="center"/>
              <w:rPr>
                <w:color w:val="auto"/>
              </w:rPr>
            </w:pPr>
            <w:r>
              <w:rPr>
                <w:rFonts w:hint="eastAsia" w:hAnsi="宋体"/>
                <w:color w:val="auto"/>
              </w:rPr>
              <w:t>磋商</w:t>
            </w:r>
            <w:r>
              <w:rPr>
                <w:rFonts w:hAnsi="宋体"/>
                <w:color w:val="auto"/>
              </w:rPr>
              <w:t>人的能力和信誉</w:t>
            </w:r>
            <w:r>
              <w:rPr>
                <w:rFonts w:hint="eastAsia" w:hAnsi="宋体"/>
                <w:color w:val="auto"/>
              </w:rPr>
              <w:t>、类似检测项目业绩（满分15分）</w:t>
            </w:r>
          </w:p>
        </w:tc>
        <w:tc>
          <w:tcPr>
            <w:tcW w:w="7469" w:type="dxa"/>
            <w:gridSpan w:val="2"/>
            <w:vAlign w:val="center"/>
          </w:tcPr>
          <w:p>
            <w:pPr>
              <w:pStyle w:val="26"/>
              <w:spacing w:line="276" w:lineRule="auto"/>
              <w:rPr>
                <w:rFonts w:hAnsi="宋体" w:cs="宋体"/>
                <w:color w:val="auto"/>
                <w:sz w:val="21"/>
              </w:rPr>
            </w:pPr>
            <w:r>
              <w:rPr>
                <w:rFonts w:hint="eastAsia" w:hAnsi="宋体" w:cs="宋体"/>
                <w:color w:val="auto"/>
                <w:sz w:val="21"/>
              </w:rPr>
              <w:t>（1）2017年1月1日以来磋商人独立完成过同类项目的，每个项目得1分。满分5分。(提供合同或中标通知书复印件加盖公章,分包及联合体合同不予承认，考核期是指：2017年1月1日至竞争性磋商截止日)。</w:t>
            </w:r>
          </w:p>
          <w:p>
            <w:pPr>
              <w:spacing w:line="276" w:lineRule="auto"/>
              <w:rPr>
                <w:rFonts w:ascii="宋体" w:hAnsi="宋体"/>
                <w:color w:val="auto"/>
                <w:szCs w:val="21"/>
              </w:rPr>
            </w:pPr>
            <w:r>
              <w:rPr>
                <w:rFonts w:hint="eastAsia" w:hAnsi="宋体" w:cs="宋体"/>
                <w:color w:val="auto"/>
                <w:szCs w:val="21"/>
              </w:rPr>
              <w:t>（2）磋商供应商2019年1月1日起主编或参与编写建筑类标准的，每参与一项得5分，此项满分10分。</w:t>
            </w:r>
          </w:p>
        </w:tc>
      </w:tr>
    </w:tbl>
    <w:p>
      <w:pPr>
        <w:pStyle w:val="26"/>
        <w:spacing w:line="400" w:lineRule="exact"/>
        <w:ind w:firstLine="420"/>
        <w:rPr>
          <w:b/>
          <w:color w:val="000000"/>
          <w:sz w:val="24"/>
          <w:szCs w:val="24"/>
        </w:rPr>
      </w:pPr>
      <w:r>
        <w:rPr>
          <w:rFonts w:hint="eastAsia"/>
          <w:b/>
          <w:color w:val="000000"/>
          <w:sz w:val="24"/>
          <w:szCs w:val="24"/>
        </w:rPr>
        <w:t>（三）总得分 =</w:t>
      </w:r>
      <w:r>
        <w:rPr>
          <w:rFonts w:hint="eastAsia" w:ascii="Times New Roman" w:hAnsi="Times New Roman" w:cs="宋体"/>
          <w:b/>
          <w:sz w:val="24"/>
          <w:szCs w:val="24"/>
        </w:rPr>
        <w:t>1 + 2 + 3</w:t>
      </w:r>
    </w:p>
    <w:p>
      <w:pPr>
        <w:pStyle w:val="26"/>
        <w:rPr>
          <w:rFonts w:hAnsi="宋体"/>
          <w:b/>
          <w:bCs/>
          <w:color w:val="000000"/>
        </w:rPr>
      </w:pPr>
    </w:p>
    <w:p>
      <w:pPr>
        <w:pStyle w:val="26"/>
        <w:ind w:firstLine="484" w:firstLineChars="201"/>
        <w:rPr>
          <w:rFonts w:hAnsi="宋体"/>
          <w:b/>
          <w:bCs/>
          <w:color w:val="000000"/>
          <w:sz w:val="24"/>
          <w:szCs w:val="24"/>
        </w:rPr>
      </w:pPr>
      <w:r>
        <w:rPr>
          <w:rFonts w:hint="eastAsia" w:hAnsi="宋体"/>
          <w:b/>
          <w:bCs/>
          <w:color w:val="000000"/>
          <w:sz w:val="24"/>
          <w:szCs w:val="24"/>
        </w:rPr>
        <w:t>三、成交标准及成交候选人推荐原则</w:t>
      </w:r>
    </w:p>
    <w:p>
      <w:pPr>
        <w:pStyle w:val="26"/>
        <w:spacing w:before="120" w:line="276" w:lineRule="auto"/>
        <w:ind w:left="20" w:firstLine="420" w:firstLineChars="200"/>
        <w:outlineLvl w:val="0"/>
        <w:rPr>
          <w:rFonts w:hAnsi="宋体"/>
          <w:bCs/>
          <w:sz w:val="21"/>
        </w:rPr>
      </w:pPr>
      <w:r>
        <w:rPr>
          <w:rFonts w:hint="eastAsia" w:hAnsi="宋体"/>
          <w:bCs/>
          <w:sz w:val="21"/>
        </w:rPr>
        <w:t>磋商小组将根据综合得分由高到低排列次序（得分相同时，以最后磋商报价由低到高顺序排列；得分相同且最后磋商报价相同的，按</w:t>
      </w:r>
      <w:r>
        <w:rPr>
          <w:rFonts w:hint="eastAsia" w:hAnsi="宋体"/>
          <w:bCs/>
          <w:sz w:val="21"/>
          <w:u w:val="single"/>
        </w:rPr>
        <w:t>项目实施方案、人员配备、服务承诺</w:t>
      </w:r>
      <w:r>
        <w:rPr>
          <w:rFonts w:hint="eastAsia" w:hAnsi="宋体"/>
          <w:bCs/>
          <w:sz w:val="21"/>
        </w:rPr>
        <w:t>顺序排列）并推荐3家以上（含 3家）成交候选供应商（除了根据财库【2015】124号文，政府购买服务项目，在采购过程中符合要求的供应商只有2家的，推荐2家成交供应商）。采购单位应当确定磋商小组推荐排名第一的成交候选人为成交人。根据桂财采〔2016〕37号《关于做好政府采购有关信用主体标识码登记及在政府采购活动中查询使用信用记录有关问题的通知》及</w:t>
      </w:r>
      <w:r>
        <w:rPr>
          <w:rFonts w:hint="eastAsia"/>
          <w:sz w:val="21"/>
        </w:rPr>
        <w:t>最高人民法院等9部门《关于在招标投标活动中对失信被执行人实施联合惩戒的通知》（法〔2016〕285号）</w:t>
      </w:r>
      <w:r>
        <w:rPr>
          <w:rFonts w:hint="eastAsia" w:hAnsi="宋体"/>
          <w:bCs/>
          <w:sz w:val="21"/>
        </w:rPr>
        <w:t>相关规定，招标采购单位将对排名第一的成交候选人进行信用查询，如排名第一的成交候选人在中国政府采购网处于被暂停参加政府采购活动期间的，或排名第一的成交候选人放弃成交、因不可抗力提出不能履行合同的，采购单位可以确定排定第二的成交候选人为成交人。排名第二的成交候选人因前款规定的同样原因不能签订合同的，采购单位可以确定排名第三的成交候选人为成交人。</w:t>
      </w:r>
    </w:p>
    <w:p>
      <w:pPr>
        <w:pStyle w:val="2"/>
      </w:pPr>
    </w:p>
    <w:p>
      <w:pPr>
        <w:pStyle w:val="26"/>
        <w:spacing w:line="320" w:lineRule="exact"/>
        <w:rPr>
          <w:rFonts w:hAnsi="宋体"/>
          <w:b/>
          <w:color w:val="000000"/>
        </w:rPr>
      </w:pPr>
      <w:r>
        <w:rPr>
          <w:rFonts w:hAnsi="宋体"/>
          <w:color w:val="000000"/>
        </w:rPr>
        <w:br w:type="page"/>
      </w:r>
    </w:p>
    <w:p>
      <w:pPr>
        <w:jc w:val="center"/>
        <w:rPr>
          <w:rFonts w:ascii="宋体" w:hAnsi="宋体"/>
          <w:b/>
          <w:sz w:val="32"/>
          <w:szCs w:val="32"/>
        </w:rPr>
      </w:pPr>
      <w:bookmarkStart w:id="64" w:name="_Toc433110110"/>
      <w:r>
        <w:rPr>
          <w:rFonts w:hint="eastAsia" w:ascii="宋体" w:hAnsi="宋体"/>
          <w:b/>
          <w:sz w:val="32"/>
          <w:szCs w:val="32"/>
        </w:rPr>
        <w:t>第四章 响应文件格式</w:t>
      </w:r>
      <w:bookmarkEnd w:id="64"/>
    </w:p>
    <w:p>
      <w:pPr>
        <w:spacing w:line="240" w:lineRule="atLeast"/>
        <w:rPr>
          <w:rFonts w:ascii="宋体" w:hAnsi="宋体"/>
          <w:color w:val="000000"/>
          <w:sz w:val="24"/>
        </w:rPr>
      </w:pPr>
      <w:r>
        <w:rPr>
          <w:rFonts w:hint="eastAsia" w:ascii="宋体" w:hAnsi="宋体"/>
          <w:color w:val="000000"/>
          <w:sz w:val="24"/>
        </w:rPr>
        <w:t>一、响应文件正、副本封面格式</w:t>
      </w:r>
    </w:p>
    <w:p>
      <w:pPr>
        <w:spacing w:line="240" w:lineRule="atLeast"/>
        <w:jc w:val="center"/>
        <w:rPr>
          <w:rFonts w:ascii="宋体" w:hAnsi="宋体"/>
          <w:b/>
          <w:sz w:val="44"/>
          <w:szCs w:val="44"/>
        </w:rPr>
      </w:pPr>
    </w:p>
    <w:p>
      <w:pPr>
        <w:spacing w:line="240" w:lineRule="atLeast"/>
        <w:jc w:val="center"/>
        <w:rPr>
          <w:rFonts w:ascii="宋体" w:hAnsi="宋体"/>
          <w:b/>
          <w:sz w:val="44"/>
          <w:szCs w:val="44"/>
        </w:rPr>
      </w:pPr>
    </w:p>
    <w:p>
      <w:pPr>
        <w:spacing w:line="240" w:lineRule="atLeast"/>
        <w:jc w:val="center"/>
        <w:rPr>
          <w:rFonts w:ascii="宋体" w:hAnsi="宋体"/>
          <w:b/>
          <w:sz w:val="52"/>
          <w:szCs w:val="52"/>
        </w:rPr>
      </w:pPr>
      <w:r>
        <w:rPr>
          <w:rFonts w:hint="eastAsia" w:ascii="宋体" w:hAnsi="宋体"/>
          <w:b/>
          <w:sz w:val="52"/>
          <w:szCs w:val="52"/>
        </w:rPr>
        <w:t xml:space="preserve">响 应 文 件 </w:t>
      </w:r>
    </w:p>
    <w:p>
      <w:pPr>
        <w:spacing w:line="360" w:lineRule="auto"/>
        <w:jc w:val="center"/>
        <w:rPr>
          <w:rFonts w:ascii="宋体" w:hAnsi="宋体"/>
          <w:sz w:val="28"/>
          <w:szCs w:val="28"/>
        </w:rPr>
      </w:pPr>
    </w:p>
    <w:p>
      <w:pPr>
        <w:spacing w:line="360" w:lineRule="auto"/>
        <w:jc w:val="center"/>
        <w:rPr>
          <w:rFonts w:ascii="宋体" w:hAnsi="宋体"/>
          <w:b/>
          <w:sz w:val="30"/>
          <w:szCs w:val="30"/>
        </w:rPr>
      </w:pPr>
      <w:r>
        <w:rPr>
          <w:rFonts w:hint="eastAsia" w:ascii="宋体" w:hAnsi="宋体"/>
          <w:b/>
          <w:sz w:val="30"/>
          <w:szCs w:val="30"/>
        </w:rPr>
        <w:t>报价文件/商务文件/技术文件</w:t>
      </w:r>
    </w:p>
    <w:p>
      <w:pPr>
        <w:spacing w:line="360" w:lineRule="auto"/>
        <w:jc w:val="center"/>
        <w:rPr>
          <w:rFonts w:ascii="宋体" w:hAnsi="宋体"/>
          <w:b/>
          <w:sz w:val="30"/>
          <w:szCs w:val="30"/>
        </w:rPr>
      </w:pPr>
      <w:r>
        <w:rPr>
          <w:rFonts w:hint="eastAsia" w:ascii="宋体" w:hAnsi="宋体"/>
          <w:b/>
          <w:sz w:val="30"/>
          <w:szCs w:val="30"/>
        </w:rPr>
        <w:t>正/副本</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left"/>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p>
    <w:p>
      <w:pPr>
        <w:spacing w:line="360" w:lineRule="auto"/>
        <w:jc w:val="left"/>
        <w:rPr>
          <w:rFonts w:ascii="宋体" w:hAnsi="宋体"/>
          <w:szCs w:val="21"/>
          <w:u w:val="single"/>
        </w:rPr>
      </w:pPr>
      <w:r>
        <w:rPr>
          <w:rFonts w:hint="eastAsia" w:ascii="宋体" w:hAnsi="宋体"/>
          <w:szCs w:val="21"/>
        </w:rPr>
        <w:t>项目编号：</w:t>
      </w:r>
      <w:r>
        <w:rPr>
          <w:rFonts w:hint="eastAsia" w:ascii="宋体" w:hAnsi="宋体"/>
          <w:szCs w:val="21"/>
          <w:u w:val="single"/>
        </w:rPr>
        <w:t xml:space="preserve">                       </w:t>
      </w:r>
    </w:p>
    <w:p>
      <w:pPr>
        <w:spacing w:line="360" w:lineRule="auto"/>
        <w:jc w:val="left"/>
        <w:rPr>
          <w:rFonts w:ascii="宋体" w:hAnsi="宋体"/>
          <w:szCs w:val="21"/>
          <w:u w:val="single"/>
        </w:rPr>
      </w:pPr>
      <w:r>
        <w:rPr>
          <w:rFonts w:hint="eastAsia" w:ascii="宋体" w:hAnsi="宋体"/>
          <w:szCs w:val="21"/>
        </w:rPr>
        <w:t>供应商名称（盖单位章）：</w:t>
      </w:r>
      <w:r>
        <w:rPr>
          <w:rFonts w:hint="eastAsia" w:ascii="宋体" w:hAnsi="宋体"/>
          <w:szCs w:val="21"/>
          <w:u w:val="single"/>
        </w:rPr>
        <w:t xml:space="preserve">                       </w:t>
      </w:r>
    </w:p>
    <w:p>
      <w:pPr>
        <w:spacing w:line="360" w:lineRule="auto"/>
        <w:jc w:val="left"/>
        <w:rPr>
          <w:rFonts w:ascii="宋体" w:hAnsi="宋体"/>
          <w:szCs w:val="21"/>
        </w:rPr>
      </w:pPr>
      <w:r>
        <w:rPr>
          <w:rFonts w:hint="eastAsia" w:ascii="宋体" w:hAnsi="宋体"/>
          <w:szCs w:val="21"/>
        </w:rPr>
        <w:t>法定代表人或授权代理人（签字或盖章）：</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ascii="宋体" w:hAnsi="宋体"/>
          <w:szCs w:val="21"/>
        </w:rPr>
        <w:t>供应商地址：</w:t>
      </w:r>
      <w:r>
        <w:rPr>
          <w:rFonts w:hint="eastAsia" w:ascii="宋体" w:hAnsi="宋体"/>
          <w:szCs w:val="21"/>
          <w:u w:val="single"/>
        </w:rPr>
        <w:t xml:space="preserve">                                   </w:t>
      </w:r>
    </w:p>
    <w:p>
      <w:pPr>
        <w:tabs>
          <w:tab w:val="left" w:pos="3240"/>
        </w:tabs>
        <w:spacing w:line="360" w:lineRule="auto"/>
        <w:jc w:val="left"/>
        <w:rPr>
          <w:rFonts w:ascii="宋体" w:hAnsi="宋体"/>
          <w:szCs w:val="21"/>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w:t>
      </w:r>
    </w:p>
    <w:p>
      <w:pPr>
        <w:tabs>
          <w:tab w:val="left" w:pos="2625"/>
        </w:tabs>
        <w:spacing w:line="360" w:lineRule="auto"/>
        <w:jc w:val="center"/>
        <w:rPr>
          <w:rFonts w:ascii="宋体" w:hAnsi="宋体"/>
          <w:szCs w:val="21"/>
        </w:rPr>
      </w:pPr>
    </w:p>
    <w:p>
      <w:pPr>
        <w:tabs>
          <w:tab w:val="left" w:pos="2625"/>
        </w:tabs>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240" w:lineRule="atLeast"/>
        <w:rPr>
          <w:rFonts w:ascii="宋体" w:hAnsi="宋体"/>
          <w:sz w:val="24"/>
        </w:rPr>
      </w:pPr>
      <w:r>
        <w:rPr>
          <w:rFonts w:hint="eastAsia" w:ascii="宋体" w:hAnsi="宋体"/>
          <w:sz w:val="24"/>
        </w:rPr>
        <w:t>一、响应文件格式</w:t>
      </w:r>
    </w:p>
    <w:p>
      <w:pPr>
        <w:spacing w:line="400" w:lineRule="exact"/>
        <w:ind w:firstLine="320" w:firstLineChars="100"/>
        <w:jc w:val="center"/>
        <w:rPr>
          <w:rFonts w:ascii="宋体" w:hAnsi="宋体"/>
          <w:bCs/>
          <w:sz w:val="32"/>
          <w:szCs w:val="32"/>
        </w:rPr>
      </w:pPr>
    </w:p>
    <w:p>
      <w:pPr>
        <w:spacing w:line="400" w:lineRule="exact"/>
        <w:ind w:firstLine="320" w:firstLineChars="100"/>
        <w:jc w:val="center"/>
        <w:rPr>
          <w:rFonts w:ascii="宋体"/>
          <w:sz w:val="32"/>
          <w:szCs w:val="32"/>
        </w:rPr>
      </w:pPr>
      <w:r>
        <w:rPr>
          <w:rFonts w:hint="eastAsia" w:ascii="宋体" w:hAnsi="宋体"/>
          <w:bCs/>
          <w:sz w:val="32"/>
          <w:szCs w:val="32"/>
        </w:rPr>
        <w:t>目 录</w:t>
      </w:r>
    </w:p>
    <w:p>
      <w:pPr>
        <w:spacing w:line="360" w:lineRule="exact"/>
        <w:ind w:firstLine="422" w:firstLineChars="200"/>
        <w:rPr>
          <w:rFonts w:ascii="宋体" w:hAnsi="宋体"/>
          <w:b/>
          <w:szCs w:val="21"/>
        </w:rPr>
      </w:pPr>
      <w:r>
        <w:rPr>
          <w:rFonts w:hint="eastAsia" w:ascii="宋体" w:hAnsi="宋体"/>
          <w:b/>
          <w:szCs w:val="21"/>
        </w:rPr>
        <w:t>一、报价文件</w:t>
      </w:r>
    </w:p>
    <w:p>
      <w:pPr>
        <w:spacing w:line="360" w:lineRule="exact"/>
        <w:ind w:firstLine="420" w:firstLineChars="200"/>
        <w:rPr>
          <w:rFonts w:ascii="宋体" w:hAnsi="宋体"/>
          <w:szCs w:val="21"/>
        </w:rPr>
      </w:pPr>
      <w:r>
        <w:rPr>
          <w:rFonts w:hint="eastAsia" w:ascii="宋体" w:hAnsi="宋体"/>
          <w:szCs w:val="21"/>
        </w:rPr>
        <w:t>（1）磋商函</w:t>
      </w:r>
    </w:p>
    <w:p>
      <w:pPr>
        <w:spacing w:line="360" w:lineRule="exact"/>
        <w:ind w:firstLine="420" w:firstLineChars="200"/>
        <w:rPr>
          <w:rFonts w:ascii="宋体" w:hAnsi="宋体"/>
          <w:szCs w:val="21"/>
        </w:rPr>
      </w:pPr>
      <w:r>
        <w:rPr>
          <w:rFonts w:hint="eastAsia" w:ascii="宋体" w:hAnsi="宋体"/>
          <w:szCs w:val="21"/>
        </w:rPr>
        <w:t>（2）磋商报价表</w:t>
      </w:r>
    </w:p>
    <w:p>
      <w:pPr>
        <w:spacing w:line="360" w:lineRule="exact"/>
        <w:ind w:firstLine="420" w:firstLineChars="200"/>
        <w:rPr>
          <w:rFonts w:ascii="宋体" w:cs="宋体"/>
        </w:rPr>
      </w:pPr>
      <w:r>
        <w:rPr>
          <w:rFonts w:hint="eastAsia" w:ascii="宋体" w:hAnsi="宋体" w:cs="宋体"/>
        </w:rPr>
        <w:t>（</w:t>
      </w:r>
      <w:r>
        <w:rPr>
          <w:rFonts w:ascii="宋体" w:hAnsi="宋体" w:cs="宋体"/>
        </w:rPr>
        <w:t>3</w:t>
      </w:r>
      <w:r>
        <w:rPr>
          <w:rFonts w:hint="eastAsia" w:ascii="宋体" w:hAnsi="宋体" w:cs="宋体"/>
        </w:rPr>
        <w:t>）中小企业声明函或残疾人福利性单位声明函：（如有请提供）</w:t>
      </w:r>
    </w:p>
    <w:p>
      <w:pPr>
        <w:spacing w:line="360" w:lineRule="exact"/>
        <w:ind w:firstLine="420" w:firstLineChars="200"/>
        <w:rPr>
          <w:rFonts w:ascii="宋体" w:hAnsi="宋体"/>
          <w:szCs w:val="21"/>
        </w:rPr>
      </w:pPr>
    </w:p>
    <w:p>
      <w:pPr>
        <w:spacing w:line="360" w:lineRule="exact"/>
        <w:ind w:firstLine="422" w:firstLineChars="200"/>
        <w:rPr>
          <w:rFonts w:ascii="宋体" w:hAnsi="宋体"/>
          <w:b/>
          <w:szCs w:val="21"/>
        </w:rPr>
      </w:pPr>
      <w:r>
        <w:rPr>
          <w:rFonts w:hint="eastAsia" w:ascii="宋体" w:hAnsi="宋体"/>
          <w:b/>
          <w:szCs w:val="21"/>
        </w:rPr>
        <w:t>二、商务文件</w:t>
      </w:r>
    </w:p>
    <w:p>
      <w:pPr>
        <w:spacing w:line="360" w:lineRule="exact"/>
        <w:ind w:firstLine="420" w:firstLineChars="200"/>
        <w:rPr>
          <w:rFonts w:ascii="宋体" w:hAnsi="宋体"/>
          <w:szCs w:val="21"/>
        </w:rPr>
      </w:pPr>
      <w:r>
        <w:rPr>
          <w:rFonts w:hint="eastAsia" w:ascii="宋体" w:hAnsi="宋体"/>
          <w:szCs w:val="21"/>
        </w:rPr>
        <w:t>（1）法定代表人身份证明原件及身份证复印件</w:t>
      </w:r>
    </w:p>
    <w:p>
      <w:pPr>
        <w:spacing w:line="360" w:lineRule="exact"/>
        <w:ind w:firstLine="420" w:firstLineChars="200"/>
        <w:rPr>
          <w:rFonts w:ascii="宋体" w:hAnsi="宋体"/>
          <w:szCs w:val="21"/>
        </w:rPr>
      </w:pPr>
      <w:r>
        <w:rPr>
          <w:rFonts w:hint="eastAsia" w:ascii="宋体" w:hAnsi="宋体"/>
          <w:szCs w:val="21"/>
        </w:rPr>
        <w:t>（2）授权委托书原件及委托代理人身份证复印件（委托代理时必须提供）</w:t>
      </w:r>
    </w:p>
    <w:p>
      <w:pPr>
        <w:spacing w:line="360" w:lineRule="exact"/>
        <w:ind w:firstLine="420" w:firstLineChars="200"/>
        <w:rPr>
          <w:rFonts w:ascii="宋体" w:hAnsi="宋体" w:cs="宋体"/>
          <w:bCs/>
          <w:szCs w:val="21"/>
        </w:rPr>
      </w:pPr>
      <w:r>
        <w:rPr>
          <w:rFonts w:hint="eastAsia" w:ascii="宋体" w:hAnsi="宋体"/>
          <w:szCs w:val="21"/>
        </w:rPr>
        <w:t>（3）</w:t>
      </w:r>
      <w:r>
        <w:rPr>
          <w:rFonts w:hint="eastAsia" w:ascii="宋体" w:hAnsi="宋体" w:cs="宋体"/>
          <w:bCs/>
          <w:szCs w:val="21"/>
        </w:rPr>
        <w:t>有效的企业法人营业执照副本或事业单位法人证书副本复印件</w:t>
      </w:r>
    </w:p>
    <w:p>
      <w:pPr>
        <w:spacing w:line="360" w:lineRule="exact"/>
        <w:ind w:firstLine="420" w:firstLineChars="200"/>
        <w:rPr>
          <w:rFonts w:ascii="宋体" w:hAnsi="宋体"/>
          <w:szCs w:val="21"/>
        </w:rPr>
      </w:pPr>
      <w:r>
        <w:rPr>
          <w:rFonts w:hint="eastAsia" w:ascii="宋体" w:hAnsi="宋体" w:cs="宋体"/>
          <w:bCs/>
          <w:szCs w:val="21"/>
        </w:rPr>
        <w:t>（4）有效的建设工程质量检测机构资质证书副本、检验检测机构资质认定证书复印件</w:t>
      </w:r>
    </w:p>
    <w:p>
      <w:pPr>
        <w:spacing w:line="320" w:lineRule="exact"/>
        <w:ind w:firstLine="453" w:firstLineChars="216"/>
        <w:rPr>
          <w:rFonts w:ascii="宋体" w:hAnsi="宋体" w:cs="宋体"/>
          <w:bCs/>
          <w:szCs w:val="21"/>
        </w:rPr>
      </w:pPr>
      <w:r>
        <w:rPr>
          <w:rFonts w:hint="eastAsia" w:ascii="宋体" w:hAnsi="宋体" w:cs="宋体"/>
          <w:bCs/>
          <w:szCs w:val="21"/>
        </w:rPr>
        <w:t>（5）检测项目负责人简历表</w:t>
      </w:r>
    </w:p>
    <w:p>
      <w:pPr>
        <w:spacing w:line="320" w:lineRule="exact"/>
        <w:ind w:firstLine="453" w:firstLineChars="216"/>
        <w:rPr>
          <w:rFonts w:ascii="宋体" w:hAnsi="宋体" w:cs="宋体"/>
          <w:bCs/>
          <w:szCs w:val="21"/>
        </w:rPr>
      </w:pPr>
      <w:r>
        <w:rPr>
          <w:rFonts w:hint="eastAsia" w:ascii="宋体" w:hAnsi="宋体" w:cs="宋体"/>
          <w:bCs/>
          <w:szCs w:val="21"/>
        </w:rPr>
        <w:t>（6</w:t>
      </w:r>
      <w:r>
        <w:rPr>
          <w:rFonts w:hint="eastAsia" w:ascii="宋体" w:hAnsi="宋体" w:cs="宋体"/>
        </w:rPr>
        <w:t>）</w:t>
      </w:r>
      <w:r>
        <w:rPr>
          <w:rFonts w:hint="eastAsia" w:ascii="宋体" w:hAnsi="宋体" w:cs="宋体"/>
          <w:bCs/>
          <w:szCs w:val="21"/>
        </w:rPr>
        <w:t>《贵港市政府采购项目投标资格承诺函》</w:t>
      </w:r>
    </w:p>
    <w:p>
      <w:pPr>
        <w:spacing w:line="320" w:lineRule="exact"/>
        <w:ind w:firstLine="453" w:firstLineChars="216"/>
        <w:rPr>
          <w:rFonts w:ascii="宋体" w:hAnsi="宋体" w:cs="宋体"/>
          <w:bCs/>
          <w:szCs w:val="21"/>
        </w:rPr>
      </w:pPr>
      <w:r>
        <w:rPr>
          <w:rFonts w:hint="eastAsia" w:ascii="宋体" w:hAnsi="宋体" w:cs="宋体"/>
          <w:bCs/>
          <w:szCs w:val="21"/>
        </w:rPr>
        <w:t>（7）商务响应表</w:t>
      </w:r>
    </w:p>
    <w:p>
      <w:pPr>
        <w:spacing w:line="320" w:lineRule="exact"/>
        <w:ind w:firstLine="453" w:firstLineChars="216"/>
        <w:rPr>
          <w:rFonts w:ascii="宋体" w:hAnsi="宋体" w:cs="宋体"/>
          <w:b/>
          <w:bCs/>
          <w:szCs w:val="21"/>
        </w:rPr>
      </w:pPr>
      <w:r>
        <w:rPr>
          <w:rFonts w:hint="eastAsia" w:ascii="宋体" w:hAnsi="宋体" w:cs="宋体"/>
          <w:bCs/>
          <w:szCs w:val="21"/>
        </w:rPr>
        <w:t>（8）无重大违法记录声明书</w:t>
      </w:r>
    </w:p>
    <w:p>
      <w:pPr>
        <w:pStyle w:val="26"/>
        <w:spacing w:line="360" w:lineRule="exact"/>
        <w:ind w:firstLine="630" w:firstLineChars="300"/>
        <w:rPr>
          <w:rFonts w:hAnsi="宋体" w:cs="宋体"/>
          <w:bCs/>
          <w:kern w:val="2"/>
          <w:sz w:val="21"/>
        </w:rPr>
      </w:pPr>
      <w:r>
        <w:rPr>
          <w:rFonts w:hint="eastAsia" w:hAnsi="宋体" w:cs="宋体"/>
          <w:bCs/>
          <w:kern w:val="2"/>
          <w:sz w:val="21"/>
        </w:rPr>
        <w:t>（9）供应商认为需要提交的其他材料。</w:t>
      </w:r>
    </w:p>
    <w:p>
      <w:pPr>
        <w:spacing w:line="360" w:lineRule="exact"/>
        <w:ind w:firstLine="422" w:firstLineChars="200"/>
        <w:rPr>
          <w:rFonts w:ascii="宋体" w:hAnsi="宋体"/>
          <w:b/>
          <w:szCs w:val="21"/>
        </w:rPr>
      </w:pPr>
    </w:p>
    <w:p>
      <w:pPr>
        <w:spacing w:line="360" w:lineRule="exact"/>
        <w:ind w:firstLine="422" w:firstLineChars="200"/>
        <w:rPr>
          <w:rFonts w:ascii="宋体" w:hAnsi="宋体"/>
          <w:b/>
          <w:szCs w:val="21"/>
        </w:rPr>
      </w:pPr>
      <w:r>
        <w:rPr>
          <w:rFonts w:hint="eastAsia" w:ascii="宋体" w:hAnsi="宋体"/>
          <w:b/>
          <w:szCs w:val="21"/>
        </w:rPr>
        <w:t>三、技术文件</w:t>
      </w:r>
    </w:p>
    <w:p>
      <w:pPr>
        <w:spacing w:line="320" w:lineRule="exact"/>
        <w:ind w:firstLine="33" w:firstLineChars="16"/>
        <w:rPr>
          <w:rFonts w:ascii="宋体" w:hAnsi="宋体" w:cs="宋体"/>
          <w:bCs/>
          <w:szCs w:val="21"/>
        </w:rPr>
      </w:pPr>
      <w:r>
        <w:rPr>
          <w:rFonts w:hint="eastAsia" w:ascii="宋体" w:hAnsi="宋体" w:cs="宋体"/>
          <w:bCs/>
          <w:szCs w:val="21"/>
        </w:rPr>
        <w:t>（1）工程检测大纲</w:t>
      </w:r>
    </w:p>
    <w:p>
      <w:pPr>
        <w:spacing w:line="320" w:lineRule="exact"/>
        <w:ind w:firstLine="33" w:firstLineChars="16"/>
        <w:rPr>
          <w:rFonts w:ascii="宋体" w:hAnsi="宋体" w:cs="宋体"/>
          <w:bCs/>
          <w:szCs w:val="21"/>
        </w:rPr>
      </w:pPr>
      <w:r>
        <w:rPr>
          <w:rFonts w:hint="eastAsia" w:ascii="宋体" w:hAnsi="宋体" w:cs="宋体"/>
          <w:bCs/>
          <w:szCs w:val="21"/>
        </w:rPr>
        <w:t>（2）供应商认为</w:t>
      </w:r>
      <w:r>
        <w:rPr>
          <w:rFonts w:hint="eastAsia" w:hAnsi="宋体" w:cs="宋体"/>
          <w:bCs/>
        </w:rPr>
        <w:t>技术文件</w:t>
      </w:r>
      <w:r>
        <w:rPr>
          <w:rFonts w:hint="eastAsia" w:ascii="宋体" w:hAnsi="宋体" w:cs="宋体"/>
          <w:bCs/>
          <w:szCs w:val="21"/>
        </w:rPr>
        <w:t>需要提交的其他材料。</w:t>
      </w:r>
    </w:p>
    <w:p>
      <w:pPr>
        <w:spacing w:line="360" w:lineRule="exact"/>
        <w:ind w:firstLine="420" w:firstLineChars="200"/>
        <w:rPr>
          <w:rFonts w:ascii="宋体" w:hAnsi="宋体"/>
          <w:szCs w:val="21"/>
        </w:rPr>
      </w:pPr>
    </w:p>
    <w:p>
      <w:pPr>
        <w:spacing w:line="360" w:lineRule="auto"/>
        <w:ind w:firstLine="320" w:firstLineChars="100"/>
        <w:rPr>
          <w:rFonts w:ascii="宋体"/>
          <w:sz w:val="32"/>
          <w:szCs w:val="32"/>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b/>
          <w:szCs w:val="21"/>
        </w:rPr>
      </w:pPr>
    </w:p>
    <w:p>
      <w:pPr>
        <w:spacing w:line="300" w:lineRule="auto"/>
        <w:rPr>
          <w:rFonts w:ascii="宋体" w:hAnsi="宋体"/>
          <w:b/>
          <w:color w:val="000000"/>
          <w:szCs w:val="21"/>
        </w:rPr>
      </w:pPr>
    </w:p>
    <w:p>
      <w:pPr>
        <w:spacing w:line="300" w:lineRule="auto"/>
        <w:rPr>
          <w:rFonts w:ascii="宋体" w:hAnsi="宋体"/>
          <w:b/>
          <w:color w:val="000000"/>
          <w:szCs w:val="21"/>
        </w:rPr>
      </w:pPr>
    </w:p>
    <w:p>
      <w:pPr>
        <w:spacing w:line="300" w:lineRule="auto"/>
        <w:rPr>
          <w:rFonts w:ascii="宋体" w:hAnsi="宋体"/>
          <w:b/>
          <w:color w:val="000000"/>
          <w:szCs w:val="21"/>
        </w:rPr>
      </w:pPr>
    </w:p>
    <w:p>
      <w:pPr>
        <w:spacing w:line="300" w:lineRule="auto"/>
        <w:rPr>
          <w:rFonts w:ascii="宋体" w:hAnsi="宋体"/>
          <w:b/>
          <w:color w:val="000000"/>
          <w:szCs w:val="21"/>
        </w:rPr>
      </w:pPr>
    </w:p>
    <w:p>
      <w:pPr>
        <w:spacing w:line="300" w:lineRule="auto"/>
        <w:rPr>
          <w:rFonts w:ascii="宋体" w:hAnsi="宋体"/>
          <w:b/>
          <w:color w:val="000000"/>
          <w:szCs w:val="21"/>
        </w:rPr>
      </w:pPr>
    </w:p>
    <w:p>
      <w:pPr>
        <w:spacing w:line="300" w:lineRule="auto"/>
        <w:rPr>
          <w:rFonts w:ascii="宋体" w:hAnsi="宋体"/>
          <w:b/>
          <w:color w:val="000000"/>
          <w:szCs w:val="21"/>
        </w:rPr>
      </w:pPr>
    </w:p>
    <w:p>
      <w:pPr>
        <w:spacing w:line="300" w:lineRule="auto"/>
        <w:rPr>
          <w:rFonts w:ascii="宋体" w:hAnsi="宋体"/>
          <w:b/>
          <w:color w:val="000000"/>
          <w:szCs w:val="21"/>
        </w:rPr>
      </w:pPr>
    </w:p>
    <w:p>
      <w:pPr>
        <w:spacing w:line="300" w:lineRule="auto"/>
        <w:rPr>
          <w:rFonts w:ascii="宋体" w:hAnsi="宋体"/>
          <w:b/>
          <w:color w:val="000000"/>
          <w:szCs w:val="21"/>
        </w:rPr>
      </w:pPr>
    </w:p>
    <w:p>
      <w:pPr>
        <w:pStyle w:val="2"/>
      </w:pPr>
    </w:p>
    <w:p>
      <w:pPr>
        <w:spacing w:line="300" w:lineRule="auto"/>
        <w:rPr>
          <w:rFonts w:ascii="宋体" w:hAnsi="宋体"/>
          <w:b/>
          <w:color w:val="000000"/>
          <w:sz w:val="24"/>
        </w:rPr>
      </w:pPr>
      <w:r>
        <w:rPr>
          <w:rFonts w:hint="eastAsia" w:ascii="宋体" w:hAnsi="宋体"/>
          <w:b/>
          <w:color w:val="000000"/>
          <w:sz w:val="24"/>
        </w:rPr>
        <w:t xml:space="preserve">附件一 </w:t>
      </w:r>
    </w:p>
    <w:p>
      <w:pPr>
        <w:spacing w:line="320" w:lineRule="exact"/>
        <w:rPr>
          <w:rFonts w:ascii="宋体" w:hAnsi="宋体"/>
          <w:color w:val="000000"/>
          <w:szCs w:val="21"/>
        </w:rPr>
      </w:pPr>
    </w:p>
    <w:p>
      <w:pPr>
        <w:spacing w:line="320" w:lineRule="exact"/>
        <w:jc w:val="center"/>
        <w:rPr>
          <w:rFonts w:ascii="宋体" w:hAnsi="宋体"/>
          <w:b/>
          <w:sz w:val="32"/>
          <w:szCs w:val="32"/>
        </w:rPr>
      </w:pPr>
      <w:r>
        <w:rPr>
          <w:rFonts w:hint="eastAsia" w:ascii="宋体" w:hAnsi="宋体"/>
          <w:b/>
          <w:sz w:val="32"/>
          <w:szCs w:val="32"/>
        </w:rPr>
        <w:t>磋   商  函 （格式）</w:t>
      </w:r>
    </w:p>
    <w:p>
      <w:pPr>
        <w:spacing w:line="320" w:lineRule="exact"/>
        <w:jc w:val="center"/>
        <w:rPr>
          <w:rFonts w:ascii="宋体" w:hAnsi="宋体"/>
          <w:b/>
          <w:sz w:val="32"/>
          <w:szCs w:val="32"/>
        </w:rPr>
      </w:pPr>
    </w:p>
    <w:p>
      <w:pPr>
        <w:pStyle w:val="26"/>
        <w:spacing w:line="360" w:lineRule="exact"/>
        <w:jc w:val="left"/>
        <w:rPr>
          <w:rFonts w:hAnsi="宋体"/>
          <w:b/>
          <w:bCs/>
          <w:sz w:val="21"/>
        </w:rPr>
      </w:pPr>
      <w:r>
        <w:rPr>
          <w:rFonts w:hint="eastAsia" w:hAnsi="宋体"/>
          <w:sz w:val="21"/>
          <w:u w:val="single"/>
        </w:rPr>
        <w:t>致：广西盛凯工程咨询有限公司</w:t>
      </w:r>
    </w:p>
    <w:p>
      <w:pPr>
        <w:pStyle w:val="26"/>
        <w:spacing w:line="360" w:lineRule="exact"/>
        <w:ind w:firstLine="420" w:firstLineChars="200"/>
        <w:rPr>
          <w:rFonts w:hAnsi="宋体"/>
          <w:sz w:val="21"/>
        </w:rPr>
      </w:pPr>
      <w:r>
        <w:rPr>
          <w:rFonts w:hint="eastAsia" w:hAnsi="宋体"/>
          <w:sz w:val="21"/>
        </w:rPr>
        <w:t>我方已仔细阅读了贵方组织的</w:t>
      </w:r>
      <w:r>
        <w:rPr>
          <w:rFonts w:cs="宋体"/>
          <w:sz w:val="21"/>
          <w:u w:val="single"/>
          <w:lang w:val="zh-CN"/>
        </w:rPr>
        <w:t>港南区工业园区江五路（城东大道-安澜路）基础设施建设项目工程检测服务</w:t>
      </w:r>
      <w:r>
        <w:rPr>
          <w:rFonts w:hint="eastAsia" w:hAnsi="宋体" w:cs="Arial"/>
          <w:sz w:val="21"/>
          <w:u w:val="single"/>
        </w:rPr>
        <w:t>（项目编号：</w:t>
      </w:r>
      <w:r>
        <w:rPr>
          <w:rFonts w:cs="宋体"/>
          <w:sz w:val="21"/>
          <w:u w:val="single"/>
          <w:lang w:val="zh-CN"/>
        </w:rPr>
        <w:t>GGZC2020-C3-30060-GXSK</w:t>
      </w:r>
      <w:r>
        <w:rPr>
          <w:rFonts w:hAnsi="宋体" w:cs="Arial"/>
          <w:sz w:val="21"/>
          <w:u w:val="single"/>
        </w:rPr>
        <w:t>）</w:t>
      </w:r>
      <w:r>
        <w:rPr>
          <w:rFonts w:hint="eastAsia" w:hAnsi="宋体"/>
          <w:sz w:val="21"/>
        </w:rPr>
        <w:t>的竞争性磋商采购文件的全部内容，现正式递交下述文件参加贵方组织的本次采购活动：</w:t>
      </w:r>
    </w:p>
    <w:p>
      <w:pPr>
        <w:pStyle w:val="26"/>
        <w:spacing w:line="360" w:lineRule="exact"/>
        <w:ind w:firstLine="420" w:firstLineChars="200"/>
        <w:rPr>
          <w:rFonts w:hAnsi="宋体"/>
          <w:sz w:val="21"/>
        </w:rPr>
      </w:pPr>
      <w:r>
        <w:rPr>
          <w:rFonts w:hint="eastAsia" w:hAnsi="宋体"/>
          <w:sz w:val="21"/>
        </w:rPr>
        <w:t>投标文件正本一份，副本二份（包含按磋商供应商须知第“</w:t>
      </w:r>
      <w:r>
        <w:rPr>
          <w:rFonts w:hAnsi="宋体"/>
          <w:sz w:val="21"/>
        </w:rPr>
        <w:t>10.1.1”、“10.1.2”、“ 10.1.3”</w:t>
      </w:r>
      <w:r>
        <w:rPr>
          <w:rFonts w:hint="eastAsia" w:hAnsi="宋体"/>
          <w:sz w:val="21"/>
        </w:rPr>
        <w:t>项要求提交的全部文件）；</w:t>
      </w:r>
    </w:p>
    <w:p>
      <w:pPr>
        <w:pStyle w:val="26"/>
        <w:spacing w:line="360" w:lineRule="exact"/>
        <w:ind w:firstLine="482"/>
        <w:rPr>
          <w:rFonts w:hAnsi="宋体"/>
          <w:sz w:val="21"/>
        </w:rPr>
      </w:pPr>
      <w:r>
        <w:rPr>
          <w:rFonts w:hint="eastAsia" w:hAnsi="宋体"/>
          <w:sz w:val="21"/>
        </w:rPr>
        <w:t>据此函，签字人兹宣布：</w:t>
      </w:r>
    </w:p>
    <w:p>
      <w:pPr>
        <w:spacing w:line="360" w:lineRule="exact"/>
        <w:ind w:firstLine="482"/>
        <w:rPr>
          <w:rFonts w:ascii="宋体"/>
          <w:szCs w:val="21"/>
        </w:rPr>
      </w:pPr>
      <w:r>
        <w:rPr>
          <w:rFonts w:ascii="宋体" w:hAnsi="宋体"/>
          <w:szCs w:val="21"/>
        </w:rPr>
        <w:t>1</w:t>
      </w:r>
      <w:r>
        <w:rPr>
          <w:rFonts w:hint="eastAsia" w:ascii="宋体" w:hAnsi="宋体"/>
          <w:szCs w:val="21"/>
        </w:rPr>
        <w:t>、我方愿意以（大写）人民币</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元</w:t>
      </w:r>
      <w:r>
        <w:rPr>
          <w:rFonts w:ascii="宋体" w:hAnsi="宋体"/>
          <w:szCs w:val="21"/>
          <w:u w:val="single"/>
        </w:rPr>
        <w:t>)</w:t>
      </w:r>
      <w:r>
        <w:rPr>
          <w:rFonts w:hint="eastAsia" w:ascii="宋体" w:hAnsi="宋体"/>
          <w:szCs w:val="21"/>
        </w:rPr>
        <w:t>的竞标总报价，提供本项目竞争性磋商采购文件第二章“服务项目采购需求”中相应的采购内容。</w:t>
      </w:r>
    </w:p>
    <w:p>
      <w:pPr>
        <w:pStyle w:val="26"/>
        <w:spacing w:line="360" w:lineRule="exact"/>
        <w:ind w:firstLine="482"/>
        <w:rPr>
          <w:rFonts w:hAnsi="宋体"/>
          <w:sz w:val="21"/>
        </w:rPr>
      </w:pPr>
      <w:r>
        <w:rPr>
          <w:rFonts w:hAnsi="宋体"/>
          <w:sz w:val="21"/>
        </w:rPr>
        <w:t>2</w:t>
      </w:r>
      <w:r>
        <w:rPr>
          <w:rFonts w:hint="eastAsia" w:hAnsi="宋体"/>
          <w:sz w:val="21"/>
        </w:rPr>
        <w:t>、我方同意自本项目竞争性磋商采购文件“磋商供应商须知”第</w:t>
      </w:r>
      <w:r>
        <w:rPr>
          <w:rFonts w:hAnsi="宋体"/>
          <w:sz w:val="21"/>
        </w:rPr>
        <w:t>15.1</w:t>
      </w:r>
      <w:r>
        <w:rPr>
          <w:rFonts w:hint="eastAsia" w:hAnsi="宋体"/>
          <w:sz w:val="21"/>
        </w:rPr>
        <w:t>项规定的递交响应文件截止时间起遵循本磋商函，并承诺在“磋商供应商须知”第</w:t>
      </w:r>
      <w:r>
        <w:rPr>
          <w:rFonts w:hAnsi="宋体"/>
          <w:sz w:val="21"/>
        </w:rPr>
        <w:t>12.1</w:t>
      </w:r>
      <w:r>
        <w:rPr>
          <w:rFonts w:hint="eastAsia" w:hAnsi="宋体"/>
          <w:sz w:val="21"/>
        </w:rPr>
        <w:t>项规定的磋商有效期内不修改、撤销响应文件。</w:t>
      </w:r>
    </w:p>
    <w:p>
      <w:pPr>
        <w:pStyle w:val="26"/>
        <w:spacing w:line="360" w:lineRule="exact"/>
        <w:ind w:firstLine="482"/>
        <w:rPr>
          <w:rFonts w:hAnsi="宋体"/>
          <w:sz w:val="21"/>
        </w:rPr>
      </w:pPr>
      <w:r>
        <w:rPr>
          <w:rFonts w:hAnsi="宋体"/>
          <w:sz w:val="21"/>
        </w:rPr>
        <w:t>3</w:t>
      </w:r>
      <w:r>
        <w:rPr>
          <w:rFonts w:hint="eastAsia" w:hAnsi="宋体"/>
          <w:sz w:val="21"/>
        </w:rPr>
        <w:t>、我方在此声明，所递交的响应文件及有关资料内容完整、真实和准确。</w:t>
      </w:r>
    </w:p>
    <w:p>
      <w:pPr>
        <w:pStyle w:val="26"/>
        <w:spacing w:line="360" w:lineRule="exact"/>
        <w:ind w:firstLine="482"/>
        <w:rPr>
          <w:rFonts w:hAnsi="宋体"/>
          <w:sz w:val="21"/>
        </w:rPr>
      </w:pPr>
      <w:r>
        <w:rPr>
          <w:rFonts w:hAnsi="宋体"/>
          <w:sz w:val="21"/>
        </w:rPr>
        <w:t>4</w:t>
      </w:r>
      <w:r>
        <w:rPr>
          <w:rFonts w:hint="eastAsia" w:hAnsi="宋体"/>
          <w:sz w:val="21"/>
        </w:rPr>
        <w:t>、如本项目采购内容涉及须符合国家强制规定的，我方承诺我方本次竞标均符合国家有关强制规定。</w:t>
      </w:r>
    </w:p>
    <w:p>
      <w:pPr>
        <w:pStyle w:val="26"/>
        <w:spacing w:line="360" w:lineRule="exact"/>
        <w:ind w:firstLine="482"/>
        <w:rPr>
          <w:rFonts w:hAnsi="宋体"/>
          <w:sz w:val="21"/>
        </w:rPr>
      </w:pPr>
      <w:r>
        <w:rPr>
          <w:rFonts w:hAnsi="宋体"/>
          <w:sz w:val="21"/>
        </w:rPr>
        <w:t>5</w:t>
      </w:r>
      <w:r>
        <w:rPr>
          <w:rFonts w:hint="eastAsia" w:hAnsi="宋体"/>
          <w:sz w:val="21"/>
        </w:rPr>
        <w:t>、我方承诺已经具备《中华人民共和国政府采购法》中规定的参加政府采购活动的供应商应当具备的条件：</w:t>
      </w:r>
    </w:p>
    <w:p>
      <w:pPr>
        <w:pStyle w:val="26"/>
        <w:numPr>
          <w:ilvl w:val="0"/>
          <w:numId w:val="7"/>
        </w:numPr>
        <w:spacing w:line="360" w:lineRule="exact"/>
        <w:rPr>
          <w:rFonts w:hAnsi="宋体"/>
          <w:sz w:val="21"/>
        </w:rPr>
      </w:pPr>
      <w:r>
        <w:rPr>
          <w:rFonts w:hint="eastAsia" w:hAnsi="宋体"/>
          <w:sz w:val="21"/>
        </w:rPr>
        <w:t>具有独立承担民事责任的能力；</w:t>
      </w:r>
    </w:p>
    <w:p>
      <w:pPr>
        <w:pStyle w:val="26"/>
        <w:numPr>
          <w:ilvl w:val="0"/>
          <w:numId w:val="7"/>
        </w:numPr>
        <w:spacing w:line="360" w:lineRule="exact"/>
        <w:rPr>
          <w:rFonts w:hAnsi="宋体"/>
          <w:sz w:val="21"/>
        </w:rPr>
      </w:pPr>
      <w:r>
        <w:rPr>
          <w:rFonts w:hint="eastAsia" w:hAnsi="宋体"/>
          <w:sz w:val="21"/>
        </w:rPr>
        <w:t>具有良好的商业信誉和健全的财务会计制度；</w:t>
      </w:r>
    </w:p>
    <w:p>
      <w:pPr>
        <w:pStyle w:val="26"/>
        <w:numPr>
          <w:ilvl w:val="0"/>
          <w:numId w:val="7"/>
        </w:numPr>
        <w:spacing w:line="360" w:lineRule="exact"/>
        <w:rPr>
          <w:rFonts w:hAnsi="宋体"/>
          <w:sz w:val="21"/>
        </w:rPr>
      </w:pPr>
      <w:r>
        <w:rPr>
          <w:rFonts w:hint="eastAsia" w:hAnsi="宋体"/>
          <w:sz w:val="21"/>
        </w:rPr>
        <w:t>具有履行合同所必需的设备和专业技术能力；</w:t>
      </w:r>
    </w:p>
    <w:p>
      <w:pPr>
        <w:pStyle w:val="26"/>
        <w:numPr>
          <w:ilvl w:val="0"/>
          <w:numId w:val="7"/>
        </w:numPr>
        <w:spacing w:line="360" w:lineRule="exact"/>
        <w:rPr>
          <w:rFonts w:hAnsi="宋体"/>
          <w:sz w:val="21"/>
        </w:rPr>
      </w:pPr>
      <w:r>
        <w:rPr>
          <w:rFonts w:hint="eastAsia" w:hAnsi="宋体"/>
          <w:sz w:val="21"/>
        </w:rPr>
        <w:t>有依法缴纳税收和社会保障资金的良好记录；</w:t>
      </w:r>
    </w:p>
    <w:p>
      <w:pPr>
        <w:pStyle w:val="26"/>
        <w:numPr>
          <w:ilvl w:val="0"/>
          <w:numId w:val="7"/>
        </w:numPr>
        <w:spacing w:line="360" w:lineRule="exact"/>
        <w:rPr>
          <w:rFonts w:hAnsi="宋体"/>
          <w:sz w:val="21"/>
        </w:rPr>
      </w:pPr>
      <w:r>
        <w:rPr>
          <w:rFonts w:hint="eastAsia" w:hAnsi="宋体"/>
          <w:sz w:val="21"/>
        </w:rPr>
        <w:t>参加政府采购活动前三年内，在经营活动中没有重大违法记录（以行政处罚决定书、法院判决书为准）；</w:t>
      </w:r>
    </w:p>
    <w:p>
      <w:pPr>
        <w:pStyle w:val="26"/>
        <w:numPr>
          <w:ilvl w:val="0"/>
          <w:numId w:val="7"/>
        </w:numPr>
        <w:spacing w:line="360" w:lineRule="exact"/>
        <w:rPr>
          <w:rFonts w:hAnsi="宋体"/>
          <w:sz w:val="21"/>
        </w:rPr>
      </w:pPr>
      <w:r>
        <w:rPr>
          <w:rFonts w:hint="eastAsia" w:hAnsi="宋体"/>
          <w:sz w:val="21"/>
        </w:rPr>
        <w:t>法律、行政法规规定的其他条件。</w:t>
      </w:r>
    </w:p>
    <w:p>
      <w:pPr>
        <w:pStyle w:val="26"/>
        <w:spacing w:line="360" w:lineRule="exact"/>
        <w:ind w:firstLine="482"/>
        <w:rPr>
          <w:rFonts w:hAnsi="宋体"/>
          <w:sz w:val="21"/>
        </w:rPr>
      </w:pPr>
      <w:r>
        <w:rPr>
          <w:rFonts w:hAnsi="宋体"/>
          <w:sz w:val="21"/>
        </w:rPr>
        <w:t>6</w:t>
      </w:r>
      <w:r>
        <w:rPr>
          <w:rFonts w:hint="eastAsia" w:hAnsi="宋体"/>
          <w:sz w:val="21"/>
        </w:rPr>
        <w:t>、如我方成交，我方承诺在收到成交通知书后，在成交通知书规定的期限内，根据竞争性磋商采购文件、我方的响应文件及有关澄清承诺书的要求按第五章“合同条款及格式”与采购人订立书面合同，并按照合同约定承担完成合同的责任和义务。</w:t>
      </w:r>
    </w:p>
    <w:p>
      <w:pPr>
        <w:pStyle w:val="26"/>
        <w:spacing w:line="360" w:lineRule="exact"/>
        <w:ind w:firstLine="482"/>
        <w:rPr>
          <w:rFonts w:hAnsi="宋体"/>
          <w:sz w:val="21"/>
        </w:rPr>
      </w:pPr>
      <w:r>
        <w:rPr>
          <w:rFonts w:hAnsi="宋体"/>
          <w:sz w:val="21"/>
        </w:rPr>
        <w:t>7</w:t>
      </w:r>
      <w:r>
        <w:rPr>
          <w:rFonts w:hint="eastAsia" w:hAnsi="宋体"/>
          <w:sz w:val="21"/>
        </w:rPr>
        <w:t>、我方已详细审核竞争性磋商采购文件，我方知道必须放弃提出含糊不清或误解问题的权利。</w:t>
      </w:r>
    </w:p>
    <w:p>
      <w:pPr>
        <w:pStyle w:val="26"/>
        <w:spacing w:line="360" w:lineRule="exact"/>
        <w:ind w:firstLine="482"/>
        <w:rPr>
          <w:rFonts w:hAnsi="宋体"/>
          <w:sz w:val="21"/>
        </w:rPr>
      </w:pPr>
      <w:r>
        <w:rPr>
          <w:rFonts w:hAnsi="宋体"/>
          <w:sz w:val="21"/>
        </w:rPr>
        <w:t>8</w:t>
      </w:r>
      <w:r>
        <w:rPr>
          <w:rFonts w:hint="eastAsia" w:hAnsi="宋体"/>
          <w:sz w:val="21"/>
        </w:rPr>
        <w:t>、我方承诺满足竞争性磋商采购文件第五章《合同条款及格式》中的条款，承担完成合同的责任和义务。</w:t>
      </w:r>
    </w:p>
    <w:p>
      <w:pPr>
        <w:pStyle w:val="26"/>
        <w:spacing w:line="360" w:lineRule="exact"/>
        <w:ind w:firstLine="482"/>
        <w:rPr>
          <w:rFonts w:hAnsi="宋体"/>
          <w:sz w:val="21"/>
        </w:rPr>
      </w:pPr>
      <w:r>
        <w:rPr>
          <w:rFonts w:hAnsi="宋体"/>
          <w:sz w:val="21"/>
        </w:rPr>
        <w:t>9</w:t>
      </w:r>
      <w:r>
        <w:rPr>
          <w:rFonts w:hint="eastAsia" w:hAnsi="宋体"/>
          <w:sz w:val="21"/>
        </w:rPr>
        <w:t>、如我方有本项目竞争性磋商采购文件第一章“磋商供应商须知”第</w:t>
      </w:r>
      <w:r>
        <w:rPr>
          <w:rFonts w:hAnsi="宋体"/>
          <w:sz w:val="21"/>
        </w:rPr>
        <w:t>13.</w:t>
      </w:r>
      <w:r>
        <w:rPr>
          <w:rFonts w:hint="eastAsia" w:hAnsi="宋体"/>
          <w:sz w:val="21"/>
        </w:rPr>
        <w:t>6项所述的情形之一的，贵方有权不予退回我方交纳的磋商保证金。</w:t>
      </w:r>
    </w:p>
    <w:p>
      <w:pPr>
        <w:pStyle w:val="26"/>
        <w:spacing w:line="360" w:lineRule="exact"/>
        <w:ind w:firstLine="482"/>
        <w:rPr>
          <w:rFonts w:hAnsi="宋体"/>
          <w:sz w:val="21"/>
        </w:rPr>
      </w:pPr>
      <w:r>
        <w:rPr>
          <w:rFonts w:hAnsi="宋体"/>
          <w:sz w:val="21"/>
        </w:rPr>
        <w:t>10</w:t>
      </w:r>
      <w:r>
        <w:rPr>
          <w:rFonts w:hint="eastAsia" w:hAnsi="宋体"/>
          <w:sz w:val="21"/>
        </w:rPr>
        <w:t>、我方同意应贵方要求提供与本磋商有关的任何数据或资料。若贵方需要，我方愿意提供我方作出的一切承诺的证明材料。</w:t>
      </w:r>
    </w:p>
    <w:p>
      <w:pPr>
        <w:pStyle w:val="26"/>
        <w:spacing w:line="360" w:lineRule="exact"/>
        <w:ind w:firstLine="482"/>
        <w:rPr>
          <w:rFonts w:hAnsi="宋体"/>
          <w:sz w:val="21"/>
        </w:rPr>
      </w:pPr>
      <w:r>
        <w:rPr>
          <w:rFonts w:hAnsi="宋体"/>
          <w:sz w:val="21"/>
        </w:rPr>
        <w:t>11</w:t>
      </w:r>
      <w:r>
        <w:rPr>
          <w:rFonts w:hint="eastAsia" w:hAnsi="宋体"/>
          <w:sz w:val="21"/>
        </w:rPr>
        <w:t>、我方完全理解贵方不一定接受磋商报价最低的磋商供应商为成交供应商的行为。</w:t>
      </w:r>
    </w:p>
    <w:p>
      <w:pPr>
        <w:pStyle w:val="26"/>
        <w:spacing w:line="360" w:lineRule="exact"/>
        <w:ind w:firstLine="482"/>
        <w:rPr>
          <w:rFonts w:hAnsi="宋体"/>
          <w:sz w:val="21"/>
        </w:rPr>
      </w:pPr>
      <w:r>
        <w:rPr>
          <w:rFonts w:hAnsi="宋体"/>
          <w:sz w:val="21"/>
        </w:rPr>
        <w:t xml:space="preserve">12 </w:t>
      </w:r>
      <w:r>
        <w:rPr>
          <w:rFonts w:hint="eastAsia" w:hAnsi="宋体"/>
          <w:sz w:val="21"/>
        </w:rPr>
        <w:t>、我方完全同意本响应文件中“报价表”和成交后签订的采购合同可用于公示，其中所有内容不涉及磋商供应商商业秘密，并承诺可向招标采购单位提供相关电子文档。</w:t>
      </w:r>
    </w:p>
    <w:p>
      <w:pPr>
        <w:pStyle w:val="26"/>
        <w:spacing w:line="360" w:lineRule="exact"/>
        <w:ind w:firstLine="482"/>
        <w:rPr>
          <w:rFonts w:hAnsi="宋体"/>
          <w:sz w:val="21"/>
        </w:rPr>
      </w:pPr>
      <w:r>
        <w:rPr>
          <w:rFonts w:hAnsi="宋体"/>
          <w:sz w:val="21"/>
        </w:rPr>
        <w:t>13</w:t>
      </w:r>
      <w:r>
        <w:rPr>
          <w:rFonts w:hint="eastAsia" w:hAnsi="宋体"/>
          <w:sz w:val="21"/>
        </w:rPr>
        <w:t>、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6"/>
        <w:numPr>
          <w:ilvl w:val="0"/>
          <w:numId w:val="8"/>
        </w:numPr>
        <w:spacing w:line="360" w:lineRule="exact"/>
        <w:rPr>
          <w:rFonts w:hAnsi="宋体"/>
          <w:sz w:val="21"/>
        </w:rPr>
      </w:pPr>
      <w:r>
        <w:rPr>
          <w:rFonts w:hint="eastAsia" w:hAnsi="宋体"/>
          <w:sz w:val="21"/>
        </w:rPr>
        <w:t>提供虚假材料谋取成交、成交的；</w:t>
      </w:r>
    </w:p>
    <w:p>
      <w:pPr>
        <w:pStyle w:val="26"/>
        <w:numPr>
          <w:ilvl w:val="0"/>
          <w:numId w:val="8"/>
        </w:numPr>
        <w:spacing w:line="360" w:lineRule="exact"/>
        <w:rPr>
          <w:rFonts w:hAnsi="宋体"/>
          <w:sz w:val="21"/>
        </w:rPr>
      </w:pPr>
      <w:r>
        <w:rPr>
          <w:rFonts w:hint="eastAsia" w:hAnsi="宋体"/>
          <w:sz w:val="21"/>
        </w:rPr>
        <w:t>采取不正当手段诋毁、排挤其他供应商的；</w:t>
      </w:r>
    </w:p>
    <w:p>
      <w:pPr>
        <w:pStyle w:val="26"/>
        <w:numPr>
          <w:ilvl w:val="0"/>
          <w:numId w:val="8"/>
        </w:numPr>
        <w:spacing w:line="360" w:lineRule="exact"/>
        <w:rPr>
          <w:rFonts w:hAnsi="宋体"/>
          <w:sz w:val="21"/>
        </w:rPr>
      </w:pPr>
      <w:r>
        <w:rPr>
          <w:rFonts w:hint="eastAsia" w:hAnsi="宋体"/>
          <w:sz w:val="21"/>
        </w:rPr>
        <w:t>与采购人、其他供应商或者采购代理机构恶意串通的；</w:t>
      </w:r>
    </w:p>
    <w:p>
      <w:pPr>
        <w:pStyle w:val="26"/>
        <w:numPr>
          <w:ilvl w:val="0"/>
          <w:numId w:val="8"/>
        </w:numPr>
        <w:spacing w:line="360" w:lineRule="exact"/>
        <w:rPr>
          <w:rFonts w:hAnsi="宋体"/>
          <w:sz w:val="21"/>
        </w:rPr>
      </w:pPr>
      <w:r>
        <w:rPr>
          <w:rFonts w:hint="eastAsia" w:hAnsi="宋体"/>
          <w:sz w:val="21"/>
        </w:rPr>
        <w:t>向采购人、采购代理机构行贿或者提供其他不正当利益的；</w:t>
      </w:r>
    </w:p>
    <w:p>
      <w:pPr>
        <w:pStyle w:val="26"/>
        <w:numPr>
          <w:ilvl w:val="0"/>
          <w:numId w:val="8"/>
        </w:numPr>
        <w:spacing w:line="360" w:lineRule="exact"/>
        <w:rPr>
          <w:rFonts w:hAnsi="宋体"/>
          <w:sz w:val="21"/>
        </w:rPr>
      </w:pPr>
      <w:r>
        <w:rPr>
          <w:rFonts w:hint="eastAsia" w:hAnsi="宋体"/>
          <w:sz w:val="21"/>
        </w:rPr>
        <w:t>在采购过程中与采购人进行协商谈判的；</w:t>
      </w:r>
    </w:p>
    <w:p>
      <w:pPr>
        <w:pStyle w:val="26"/>
        <w:numPr>
          <w:ilvl w:val="0"/>
          <w:numId w:val="8"/>
        </w:numPr>
        <w:spacing w:line="360" w:lineRule="exact"/>
        <w:rPr>
          <w:rFonts w:hAnsi="宋体"/>
          <w:sz w:val="21"/>
        </w:rPr>
      </w:pPr>
      <w:r>
        <w:rPr>
          <w:rFonts w:hint="eastAsia" w:hAnsi="宋体"/>
          <w:sz w:val="21"/>
        </w:rPr>
        <w:t>拒绝有关部门监督检查或提供虚假情况的。</w:t>
      </w:r>
    </w:p>
    <w:p>
      <w:pPr>
        <w:pStyle w:val="26"/>
        <w:spacing w:line="360" w:lineRule="exact"/>
        <w:ind w:firstLine="420"/>
        <w:rPr>
          <w:rFonts w:hAnsi="宋体"/>
          <w:sz w:val="21"/>
          <w:u w:val="single"/>
        </w:rPr>
      </w:pPr>
      <w:r>
        <w:rPr>
          <w:rFonts w:hint="eastAsia" w:hAnsi="宋体"/>
          <w:sz w:val="21"/>
        </w:rPr>
        <w:t>磋商供应商：（盖单位公章）</w:t>
      </w:r>
    </w:p>
    <w:p>
      <w:pPr>
        <w:pStyle w:val="26"/>
        <w:spacing w:line="360" w:lineRule="exact"/>
        <w:ind w:firstLine="420"/>
        <w:rPr>
          <w:rFonts w:hAnsi="宋体"/>
          <w:sz w:val="21"/>
        </w:rPr>
      </w:pPr>
      <w:r>
        <w:rPr>
          <w:rFonts w:hint="eastAsia" w:hAnsi="宋体"/>
          <w:sz w:val="21"/>
        </w:rPr>
        <w:t>法定代表人或其委托代理人：（签字）</w:t>
      </w:r>
    </w:p>
    <w:p>
      <w:pPr>
        <w:pStyle w:val="26"/>
        <w:spacing w:line="360" w:lineRule="exact"/>
        <w:ind w:firstLine="420"/>
        <w:rPr>
          <w:rFonts w:hAnsi="宋体"/>
          <w:sz w:val="21"/>
        </w:rPr>
      </w:pPr>
      <w:r>
        <w:rPr>
          <w:rFonts w:hint="eastAsia" w:hAnsi="宋体"/>
          <w:sz w:val="21"/>
        </w:rPr>
        <w:t>地址：</w:t>
      </w:r>
      <w:r>
        <w:rPr>
          <w:rFonts w:hint="eastAsia" w:hAnsi="宋体"/>
          <w:sz w:val="21"/>
          <w:u w:val="single"/>
        </w:rPr>
        <w:t>　　　　　　　　　　　</w:t>
      </w:r>
    </w:p>
    <w:p>
      <w:pPr>
        <w:pStyle w:val="26"/>
        <w:spacing w:line="360" w:lineRule="exact"/>
        <w:ind w:firstLine="420"/>
        <w:rPr>
          <w:rFonts w:hAnsi="宋体"/>
          <w:sz w:val="21"/>
          <w:u w:val="single"/>
        </w:rPr>
      </w:pPr>
      <w:r>
        <w:rPr>
          <w:rFonts w:hint="eastAsia" w:hAnsi="宋体"/>
          <w:sz w:val="21"/>
        </w:rPr>
        <w:t>电话：</w:t>
      </w:r>
      <w:r>
        <w:rPr>
          <w:rFonts w:hint="eastAsia" w:hAnsi="宋体"/>
          <w:sz w:val="21"/>
          <w:u w:val="single"/>
        </w:rPr>
        <w:t>　　　　　　　　　　　</w:t>
      </w:r>
    </w:p>
    <w:p>
      <w:pPr>
        <w:pStyle w:val="26"/>
        <w:spacing w:line="360" w:lineRule="exact"/>
        <w:ind w:firstLine="420"/>
        <w:rPr>
          <w:rFonts w:hAnsi="宋体"/>
          <w:sz w:val="21"/>
          <w:u w:val="single"/>
        </w:rPr>
      </w:pPr>
      <w:r>
        <w:rPr>
          <w:rFonts w:hint="eastAsia" w:hAnsi="宋体"/>
          <w:sz w:val="21"/>
        </w:rPr>
        <w:t>传真：</w:t>
      </w:r>
      <w:r>
        <w:rPr>
          <w:rFonts w:hint="eastAsia" w:hAnsi="宋体"/>
          <w:sz w:val="21"/>
          <w:u w:val="single"/>
        </w:rPr>
        <w:t>　　　　　　　　　　　</w:t>
      </w:r>
    </w:p>
    <w:p>
      <w:pPr>
        <w:pStyle w:val="26"/>
        <w:spacing w:line="360" w:lineRule="exact"/>
        <w:ind w:firstLine="420"/>
        <w:rPr>
          <w:rFonts w:hAnsi="宋体"/>
          <w:sz w:val="21"/>
          <w:u w:val="single"/>
        </w:rPr>
      </w:pPr>
      <w:r>
        <w:rPr>
          <w:rFonts w:hint="eastAsia" w:hAnsi="宋体"/>
          <w:sz w:val="21"/>
        </w:rPr>
        <w:t>邮政编码：</w:t>
      </w:r>
      <w:r>
        <w:rPr>
          <w:rFonts w:hint="eastAsia" w:hAnsi="宋体"/>
          <w:sz w:val="21"/>
          <w:u w:val="single"/>
        </w:rPr>
        <w:t>　　　　　　　　　</w:t>
      </w:r>
    </w:p>
    <w:p>
      <w:pPr>
        <w:pStyle w:val="26"/>
        <w:spacing w:line="360" w:lineRule="exact"/>
        <w:ind w:firstLine="420"/>
        <w:rPr>
          <w:rFonts w:hAnsi="宋体"/>
          <w:sz w:val="21"/>
          <w:u w:val="single"/>
        </w:rPr>
      </w:pPr>
      <w:r>
        <w:rPr>
          <w:rFonts w:hint="eastAsia" w:hAnsi="宋体"/>
          <w:sz w:val="21"/>
        </w:rPr>
        <w:t>开户名称：</w:t>
      </w:r>
      <w:r>
        <w:rPr>
          <w:rFonts w:hint="eastAsia" w:hAnsi="宋体"/>
          <w:sz w:val="21"/>
          <w:u w:val="single"/>
        </w:rPr>
        <w:t>　　　　　　　　　</w:t>
      </w:r>
    </w:p>
    <w:p>
      <w:pPr>
        <w:pStyle w:val="26"/>
        <w:spacing w:line="360" w:lineRule="exact"/>
        <w:ind w:firstLine="420"/>
        <w:rPr>
          <w:rFonts w:hAnsi="宋体"/>
          <w:sz w:val="21"/>
          <w:u w:val="single"/>
        </w:rPr>
      </w:pPr>
      <w:r>
        <w:rPr>
          <w:rFonts w:hint="eastAsia" w:hAnsi="宋体"/>
          <w:sz w:val="21"/>
        </w:rPr>
        <w:t>开户银行：</w:t>
      </w:r>
      <w:r>
        <w:rPr>
          <w:rFonts w:hint="eastAsia" w:hAnsi="宋体"/>
          <w:sz w:val="21"/>
          <w:u w:val="single"/>
        </w:rPr>
        <w:t>　　　　　　　　　</w:t>
      </w:r>
    </w:p>
    <w:p>
      <w:pPr>
        <w:pStyle w:val="26"/>
        <w:spacing w:line="360" w:lineRule="exact"/>
        <w:ind w:firstLine="420"/>
        <w:rPr>
          <w:rFonts w:hAnsi="宋体"/>
          <w:sz w:val="21"/>
          <w:u w:val="single"/>
        </w:rPr>
      </w:pPr>
      <w:r>
        <w:rPr>
          <w:rFonts w:hint="eastAsia" w:hAnsi="宋体"/>
          <w:sz w:val="21"/>
        </w:rPr>
        <w:t>银行账号：</w:t>
      </w:r>
      <w:r>
        <w:rPr>
          <w:rFonts w:hint="eastAsia" w:hAnsi="宋体"/>
          <w:sz w:val="21"/>
          <w:u w:val="single"/>
        </w:rPr>
        <w:t>　　　　　　　　　</w:t>
      </w:r>
    </w:p>
    <w:p>
      <w:pPr>
        <w:pStyle w:val="26"/>
        <w:spacing w:line="360" w:lineRule="exact"/>
        <w:ind w:right="840" w:firstLine="840" w:firstLineChars="400"/>
        <w:rPr>
          <w:rFonts w:hAnsi="宋体"/>
          <w:sz w:val="21"/>
          <w:u w:val="single"/>
        </w:rPr>
      </w:pPr>
      <w:r>
        <w:rPr>
          <w:rFonts w:hint="eastAsia" w:hAnsi="宋体"/>
          <w:bCs/>
          <w:sz w:val="21"/>
        </w:rPr>
        <w:t>年   月    日</w:t>
      </w:r>
    </w:p>
    <w:p>
      <w:pPr>
        <w:pStyle w:val="26"/>
        <w:spacing w:line="320" w:lineRule="exact"/>
        <w:rPr>
          <w:rFonts w:hAnsi="宋体"/>
          <w:b/>
          <w:color w:val="000000"/>
          <w:sz w:val="21"/>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pStyle w:val="26"/>
        <w:spacing w:line="320" w:lineRule="exact"/>
        <w:rPr>
          <w:rFonts w:hAnsi="宋体"/>
          <w:b/>
          <w:color w:val="000000"/>
        </w:rPr>
      </w:pPr>
    </w:p>
    <w:p>
      <w:pPr>
        <w:spacing w:line="300" w:lineRule="auto"/>
        <w:rPr>
          <w:rFonts w:hAnsi="宋体"/>
          <w:b/>
          <w:color w:val="000000"/>
        </w:rPr>
      </w:pPr>
      <w:r>
        <w:rPr>
          <w:rFonts w:hint="eastAsia" w:ascii="宋体" w:hAnsi="宋体"/>
          <w:b/>
          <w:color w:val="000000"/>
          <w:sz w:val="24"/>
        </w:rPr>
        <w:t xml:space="preserve">附件二  </w:t>
      </w:r>
      <w:r>
        <w:rPr>
          <w:rFonts w:hint="eastAsia" w:hAnsi="宋体"/>
          <w:b/>
          <w:color w:val="000000"/>
        </w:rPr>
        <w:t xml:space="preserve">           </w:t>
      </w:r>
    </w:p>
    <w:p>
      <w:pPr>
        <w:spacing w:line="300" w:lineRule="auto"/>
        <w:jc w:val="center"/>
        <w:rPr>
          <w:rFonts w:ascii="宋体" w:hAnsi="宋体"/>
          <w:b/>
          <w:sz w:val="32"/>
          <w:szCs w:val="32"/>
        </w:rPr>
      </w:pPr>
      <w:r>
        <w:rPr>
          <w:rFonts w:hint="eastAsia" w:hAnsi="宋体"/>
          <w:b/>
          <w:bCs/>
          <w:sz w:val="30"/>
          <w:szCs w:val="30"/>
        </w:rPr>
        <w:t>磋商报价表（格式）</w:t>
      </w:r>
    </w:p>
    <w:p>
      <w:pPr>
        <w:spacing w:line="300" w:lineRule="auto"/>
        <w:rPr>
          <w:rFonts w:ascii="宋体" w:hAnsi="宋体"/>
          <w:szCs w:val="21"/>
        </w:rPr>
      </w:pPr>
    </w:p>
    <w:p>
      <w:pPr>
        <w:spacing w:line="300" w:lineRule="auto"/>
        <w:rPr>
          <w:rFonts w:ascii="宋体" w:hAnsi="宋体"/>
          <w:szCs w:val="21"/>
          <w:u w:val="single"/>
        </w:rPr>
      </w:pPr>
      <w:r>
        <w:rPr>
          <w:rFonts w:hint="eastAsia" w:ascii="宋体" w:hAnsi="宋体"/>
          <w:szCs w:val="21"/>
        </w:rPr>
        <w:t>采购项目编号:</w:t>
      </w:r>
      <w:r>
        <w:rPr>
          <w:rFonts w:hint="eastAsia" w:ascii="宋体" w:hAnsi="宋体"/>
          <w:szCs w:val="21"/>
          <w:u w:val="single"/>
        </w:rPr>
        <w:t xml:space="preserve">                 </w:t>
      </w:r>
    </w:p>
    <w:p>
      <w:pPr>
        <w:spacing w:line="300" w:lineRule="auto"/>
        <w:rPr>
          <w:rFonts w:ascii="宋体" w:hAnsi="宋体"/>
          <w:szCs w:val="21"/>
        </w:rPr>
      </w:pPr>
      <w:r>
        <w:rPr>
          <w:rFonts w:hint="eastAsia" w:ascii="宋体" w:hAnsi="宋体"/>
          <w:szCs w:val="21"/>
        </w:rPr>
        <w:t>采购项目名称:</w:t>
      </w:r>
      <w:r>
        <w:rPr>
          <w:rFonts w:hint="eastAsia" w:ascii="宋体" w:hAnsi="宋体"/>
          <w:szCs w:val="21"/>
          <w:u w:val="single"/>
        </w:rPr>
        <w:t xml:space="preserve">                 </w:t>
      </w:r>
      <w:r>
        <w:rPr>
          <w:rFonts w:hint="eastAsia" w:ascii="宋体" w:hAnsi="宋体"/>
          <w:szCs w:val="21"/>
        </w:rPr>
        <w:t xml:space="preserve">                                            </w:t>
      </w:r>
      <w:r>
        <w:rPr>
          <w:rFonts w:hint="eastAsia"/>
        </w:rPr>
        <w:t>单位:元</w:t>
      </w:r>
    </w:p>
    <w:tbl>
      <w:tblPr>
        <w:tblStyle w:val="51"/>
        <w:tblpPr w:leftFromText="180" w:rightFromText="180" w:vertAnchor="text" w:horzAnchor="margin" w:tblpXSpec="center" w:tblpY="15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15"/>
        <w:gridCol w:w="4962"/>
        <w:gridCol w:w="191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trPr>
        <w:tc>
          <w:tcPr>
            <w:tcW w:w="666" w:type="dxa"/>
            <w:vAlign w:val="center"/>
          </w:tcPr>
          <w:p>
            <w:r>
              <w:rPr>
                <w:rFonts w:hint="eastAsia"/>
              </w:rPr>
              <w:t>序号</w:t>
            </w:r>
          </w:p>
        </w:tc>
        <w:tc>
          <w:tcPr>
            <w:tcW w:w="1215" w:type="dxa"/>
            <w:vAlign w:val="center"/>
          </w:tcPr>
          <w:p>
            <w:pPr>
              <w:jc w:val="center"/>
            </w:pPr>
            <w:r>
              <w:rPr>
                <w:rFonts w:hint="eastAsia"/>
              </w:rPr>
              <w:t>名称</w:t>
            </w:r>
          </w:p>
        </w:tc>
        <w:tc>
          <w:tcPr>
            <w:tcW w:w="4962" w:type="dxa"/>
            <w:vAlign w:val="center"/>
          </w:tcPr>
          <w:p>
            <w:pPr>
              <w:jc w:val="center"/>
            </w:pPr>
            <w:r>
              <w:rPr>
                <w:rFonts w:hint="eastAsia" w:ascii="宋体" w:hAnsi="宋体"/>
              </w:rPr>
              <w:t>检测内容</w:t>
            </w:r>
          </w:p>
        </w:tc>
        <w:tc>
          <w:tcPr>
            <w:tcW w:w="1912" w:type="dxa"/>
            <w:vAlign w:val="center"/>
          </w:tcPr>
          <w:p>
            <w:pPr>
              <w:jc w:val="center"/>
            </w:pPr>
            <w:r>
              <w:rPr>
                <w:rFonts w:hint="eastAsia"/>
              </w:rPr>
              <w:t>投标总报价</w:t>
            </w:r>
            <w:r>
              <w:rPr>
                <w:rFonts w:hint="eastAsia" w:ascii="宋体" w:hAnsi="宋体" w:cs="宋体"/>
              </w:rPr>
              <w:t>（元）</w:t>
            </w:r>
          </w:p>
        </w:tc>
        <w:tc>
          <w:tcPr>
            <w:tcW w:w="1276" w:type="dxa"/>
            <w:vAlign w:val="center"/>
          </w:tcPr>
          <w:p>
            <w:pPr>
              <w:jc w:val="center"/>
            </w:pPr>
            <w:r>
              <w:rPr>
                <w:rFonts w:hint="eastAsia"/>
              </w:rPr>
              <w:t>备</w:t>
            </w:r>
            <w:r>
              <w:rPr>
                <w:rFonts w:hint="eastAsia" w:ascii="宋体" w:hAnsi="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66" w:type="dxa"/>
            <w:vAlign w:val="center"/>
          </w:tcPr>
          <w:p>
            <w:pPr>
              <w:jc w:val="center"/>
            </w:pPr>
            <w:r>
              <w:rPr>
                <w:rFonts w:eastAsia="Times New Roman"/>
              </w:rPr>
              <w:t>1</w:t>
            </w:r>
          </w:p>
        </w:tc>
        <w:tc>
          <w:tcPr>
            <w:tcW w:w="1215" w:type="dxa"/>
            <w:vAlign w:val="center"/>
          </w:tcPr>
          <w:p>
            <w:pPr>
              <w:jc w:val="center"/>
              <w:rPr>
                <w:rFonts w:ascii="宋体" w:hAnsi="宋体" w:cs="Arial"/>
                <w:szCs w:val="21"/>
              </w:rPr>
            </w:pPr>
          </w:p>
        </w:tc>
        <w:tc>
          <w:tcPr>
            <w:tcW w:w="4962" w:type="dxa"/>
            <w:vAlign w:val="center"/>
          </w:tcPr>
          <w:p>
            <w:pPr>
              <w:pStyle w:val="148"/>
              <w:rPr>
                <w:rFonts w:cs="Arial"/>
                <w:color w:val="auto"/>
                <w:sz w:val="21"/>
                <w:szCs w:val="21"/>
              </w:rPr>
            </w:pPr>
          </w:p>
        </w:tc>
        <w:tc>
          <w:tcPr>
            <w:tcW w:w="1912" w:type="dxa"/>
            <w:vAlign w:val="center"/>
          </w:tcPr>
          <w:p>
            <w:r>
              <w:rPr>
                <w:rFonts w:ascii="宋体"/>
                <w:szCs w:val="21"/>
              </w:rPr>
              <w:t xml:space="preserve"> </w:t>
            </w:r>
          </w:p>
        </w:tc>
        <w:tc>
          <w:tcPr>
            <w:tcW w:w="12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666" w:type="dxa"/>
            <w:vAlign w:val="center"/>
          </w:tcPr>
          <w:p>
            <w:pPr>
              <w:jc w:val="center"/>
              <w:rPr>
                <w:rFonts w:eastAsiaTheme="minorEastAsia"/>
              </w:rPr>
            </w:pPr>
            <w:r>
              <w:rPr>
                <w:rFonts w:hint="eastAsia" w:eastAsiaTheme="minorEastAsia"/>
              </w:rPr>
              <w:t>2</w:t>
            </w:r>
          </w:p>
        </w:tc>
        <w:tc>
          <w:tcPr>
            <w:tcW w:w="1215" w:type="dxa"/>
            <w:vAlign w:val="center"/>
          </w:tcPr>
          <w:p>
            <w:pPr>
              <w:jc w:val="center"/>
              <w:rPr>
                <w:rFonts w:ascii="宋体" w:hAnsi="宋体" w:cs="Arial"/>
                <w:szCs w:val="21"/>
              </w:rPr>
            </w:pPr>
          </w:p>
        </w:tc>
        <w:tc>
          <w:tcPr>
            <w:tcW w:w="4962" w:type="dxa"/>
            <w:vAlign w:val="center"/>
          </w:tcPr>
          <w:p>
            <w:pPr>
              <w:pStyle w:val="148"/>
              <w:rPr>
                <w:rFonts w:cs="Arial"/>
                <w:color w:val="auto"/>
                <w:sz w:val="21"/>
                <w:szCs w:val="21"/>
              </w:rPr>
            </w:pPr>
          </w:p>
        </w:tc>
        <w:tc>
          <w:tcPr>
            <w:tcW w:w="1912" w:type="dxa"/>
            <w:vAlign w:val="center"/>
          </w:tcPr>
          <w:p/>
        </w:tc>
        <w:tc>
          <w:tcPr>
            <w:tcW w:w="12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666" w:type="dxa"/>
            <w:vAlign w:val="center"/>
          </w:tcPr>
          <w:p>
            <w:pPr>
              <w:jc w:val="center"/>
              <w:rPr>
                <w:rFonts w:eastAsiaTheme="minorEastAsia"/>
              </w:rPr>
            </w:pPr>
            <w:r>
              <w:rPr>
                <w:rFonts w:hint="eastAsia" w:eastAsiaTheme="minorEastAsia"/>
              </w:rPr>
              <w:t>3</w:t>
            </w:r>
          </w:p>
        </w:tc>
        <w:tc>
          <w:tcPr>
            <w:tcW w:w="1215" w:type="dxa"/>
            <w:vAlign w:val="center"/>
          </w:tcPr>
          <w:p>
            <w:pPr>
              <w:jc w:val="center"/>
              <w:rPr>
                <w:rFonts w:ascii="宋体" w:hAnsi="宋体" w:cs="Arial"/>
                <w:szCs w:val="21"/>
              </w:rPr>
            </w:pPr>
          </w:p>
        </w:tc>
        <w:tc>
          <w:tcPr>
            <w:tcW w:w="4962" w:type="dxa"/>
            <w:vAlign w:val="center"/>
          </w:tcPr>
          <w:p>
            <w:pPr>
              <w:pStyle w:val="148"/>
              <w:rPr>
                <w:rFonts w:cs="Arial"/>
                <w:color w:val="auto"/>
                <w:sz w:val="21"/>
                <w:szCs w:val="21"/>
              </w:rPr>
            </w:pPr>
          </w:p>
        </w:tc>
        <w:tc>
          <w:tcPr>
            <w:tcW w:w="1912" w:type="dxa"/>
            <w:vAlign w:val="center"/>
          </w:tcPr>
          <w:p/>
        </w:tc>
        <w:tc>
          <w:tcPr>
            <w:tcW w:w="12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666" w:type="dxa"/>
            <w:vAlign w:val="center"/>
          </w:tcPr>
          <w:p>
            <w:pPr>
              <w:jc w:val="center"/>
              <w:rPr>
                <w:rFonts w:eastAsiaTheme="minorEastAsia"/>
              </w:rPr>
            </w:pPr>
            <w:r>
              <w:rPr>
                <w:rFonts w:hint="eastAsia" w:eastAsiaTheme="minorEastAsia"/>
              </w:rPr>
              <w:t>4</w:t>
            </w:r>
          </w:p>
        </w:tc>
        <w:tc>
          <w:tcPr>
            <w:tcW w:w="1215" w:type="dxa"/>
            <w:vAlign w:val="center"/>
          </w:tcPr>
          <w:p>
            <w:pPr>
              <w:jc w:val="center"/>
              <w:rPr>
                <w:rFonts w:ascii="宋体" w:hAnsi="宋体" w:cs="Arial"/>
                <w:szCs w:val="21"/>
              </w:rPr>
            </w:pPr>
          </w:p>
        </w:tc>
        <w:tc>
          <w:tcPr>
            <w:tcW w:w="4962" w:type="dxa"/>
            <w:vAlign w:val="center"/>
          </w:tcPr>
          <w:p>
            <w:pPr>
              <w:pStyle w:val="148"/>
              <w:rPr>
                <w:rFonts w:cs="Arial"/>
                <w:color w:val="auto"/>
                <w:sz w:val="21"/>
                <w:szCs w:val="21"/>
              </w:rPr>
            </w:pPr>
          </w:p>
        </w:tc>
        <w:tc>
          <w:tcPr>
            <w:tcW w:w="1912" w:type="dxa"/>
            <w:vAlign w:val="center"/>
          </w:tcPr>
          <w:p/>
        </w:tc>
        <w:tc>
          <w:tcPr>
            <w:tcW w:w="12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666" w:type="dxa"/>
            <w:vAlign w:val="center"/>
          </w:tcPr>
          <w:p>
            <w:pPr>
              <w:jc w:val="center"/>
              <w:rPr>
                <w:rFonts w:eastAsiaTheme="minorEastAsia"/>
              </w:rPr>
            </w:pPr>
            <w:r>
              <w:rPr>
                <w:rFonts w:hint="eastAsia" w:eastAsiaTheme="minorEastAsia"/>
              </w:rPr>
              <w:t>.....</w:t>
            </w:r>
          </w:p>
        </w:tc>
        <w:tc>
          <w:tcPr>
            <w:tcW w:w="1215" w:type="dxa"/>
            <w:vAlign w:val="center"/>
          </w:tcPr>
          <w:p>
            <w:pPr>
              <w:jc w:val="center"/>
              <w:rPr>
                <w:rFonts w:ascii="宋体" w:hAnsi="宋体" w:cs="Arial"/>
                <w:szCs w:val="21"/>
              </w:rPr>
            </w:pPr>
          </w:p>
        </w:tc>
        <w:tc>
          <w:tcPr>
            <w:tcW w:w="4962" w:type="dxa"/>
            <w:vAlign w:val="center"/>
          </w:tcPr>
          <w:p>
            <w:pPr>
              <w:pStyle w:val="148"/>
              <w:rPr>
                <w:rFonts w:cs="Arial"/>
                <w:color w:val="auto"/>
                <w:sz w:val="21"/>
                <w:szCs w:val="21"/>
              </w:rPr>
            </w:pPr>
          </w:p>
        </w:tc>
        <w:tc>
          <w:tcPr>
            <w:tcW w:w="1912" w:type="dxa"/>
            <w:vAlign w:val="center"/>
          </w:tcPr>
          <w:p/>
        </w:tc>
        <w:tc>
          <w:tcPr>
            <w:tcW w:w="12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0031" w:type="dxa"/>
            <w:gridSpan w:val="5"/>
            <w:vAlign w:val="center"/>
          </w:tcPr>
          <w:p>
            <w:pPr>
              <w:rPr>
                <w:rFonts w:ascii="宋体" w:hAnsi="宋体"/>
                <w:szCs w:val="21"/>
              </w:rPr>
            </w:pPr>
            <w:r>
              <w:rPr>
                <w:szCs w:val="21"/>
              </w:rPr>
              <w:t>报价</w:t>
            </w:r>
            <w:r>
              <w:rPr>
                <w:rFonts w:hint="eastAsia"/>
                <w:szCs w:val="21"/>
              </w:rPr>
              <w:t>金额</w:t>
            </w:r>
            <w:r>
              <w:rPr>
                <w:szCs w:val="21"/>
              </w:rPr>
              <w:t>：</w:t>
            </w:r>
            <w:r>
              <w:rPr>
                <w:rFonts w:hint="eastAsia"/>
                <w:szCs w:val="21"/>
                <w:u w:val="single"/>
              </w:rPr>
              <w:t>（大写 ）                （小写</w:t>
            </w:r>
            <w:r>
              <w:rPr>
                <w:szCs w:val="21"/>
                <w:u w:val="single"/>
              </w:rPr>
              <w:t>￥</w:t>
            </w:r>
            <w:r>
              <w:rPr>
                <w:rFonts w:hint="eastAsia"/>
                <w:szCs w:val="21"/>
                <w:u w:val="single"/>
              </w:rPr>
              <w:t xml:space="preserve">       ）</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10031" w:type="dxa"/>
            <w:gridSpan w:val="5"/>
            <w:vAlign w:val="center"/>
          </w:tcPr>
          <w:p>
            <w:pPr>
              <w:pStyle w:val="148"/>
              <w:jc w:val="both"/>
              <w:rPr>
                <w:color w:val="auto"/>
                <w:sz w:val="21"/>
                <w:szCs w:val="21"/>
              </w:rPr>
            </w:pPr>
            <w:r>
              <w:rPr>
                <w:rFonts w:hint="eastAsia"/>
                <w:color w:val="auto"/>
                <w:sz w:val="21"/>
                <w:szCs w:val="21"/>
              </w:rPr>
              <w:t>检测服务期：</w:t>
            </w:r>
            <w:r>
              <w:rPr>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10031" w:type="dxa"/>
            <w:gridSpan w:val="5"/>
            <w:vAlign w:val="center"/>
          </w:tcPr>
          <w:p>
            <w:pPr>
              <w:pStyle w:val="26"/>
              <w:spacing w:line="600" w:lineRule="exact"/>
              <w:rPr>
                <w:rFonts w:hAnsi="宋体"/>
                <w:sz w:val="21"/>
                <w:u w:val="single"/>
              </w:rPr>
            </w:pPr>
            <w:r>
              <w:rPr>
                <w:rFonts w:hint="eastAsia" w:hAnsi="宋体"/>
                <w:sz w:val="21"/>
              </w:rPr>
              <w:t>磋商供应商（盖单位公章）：</w:t>
            </w:r>
          </w:p>
          <w:p>
            <w:pPr>
              <w:pStyle w:val="148"/>
              <w:jc w:val="both"/>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10031" w:type="dxa"/>
            <w:gridSpan w:val="5"/>
            <w:vAlign w:val="center"/>
          </w:tcPr>
          <w:p>
            <w:pPr>
              <w:pStyle w:val="26"/>
              <w:spacing w:line="500" w:lineRule="exact"/>
              <w:rPr>
                <w:rFonts w:hAnsi="宋体"/>
                <w:sz w:val="21"/>
              </w:rPr>
            </w:pPr>
            <w:r>
              <w:rPr>
                <w:rFonts w:hint="eastAsia" w:hAnsi="宋体"/>
                <w:sz w:val="21"/>
              </w:rPr>
              <w:t>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10031" w:type="dxa"/>
            <w:gridSpan w:val="5"/>
            <w:vAlign w:val="center"/>
          </w:tcPr>
          <w:p>
            <w:pPr>
              <w:pStyle w:val="26"/>
              <w:spacing w:line="360" w:lineRule="auto"/>
              <w:jc w:val="left"/>
              <w:rPr>
                <w:rFonts w:hAnsi="宋体"/>
                <w:sz w:val="21"/>
              </w:rPr>
            </w:pPr>
            <w:r>
              <w:rPr>
                <w:rFonts w:hint="eastAsia" w:hAnsi="宋体"/>
                <w:sz w:val="21"/>
              </w:rPr>
              <w:t xml:space="preserve">日期：   </w:t>
            </w:r>
            <w:r>
              <w:rPr>
                <w:rFonts w:hint="eastAsia" w:hAnsi="宋体"/>
                <w:bCs/>
                <w:sz w:val="21"/>
              </w:rPr>
              <w:t>年    月    日</w:t>
            </w:r>
          </w:p>
        </w:tc>
      </w:tr>
    </w:tbl>
    <w:p>
      <w:pPr>
        <w:ind w:firstLine="241" w:firstLineChars="100"/>
        <w:jc w:val="center"/>
        <w:rPr>
          <w:rFonts w:ascii="宋体"/>
          <w:b/>
          <w:sz w:val="24"/>
        </w:rPr>
      </w:pPr>
      <w:r>
        <w:rPr>
          <w:rFonts w:hint="eastAsia" w:ascii="宋体"/>
          <w:b/>
          <w:sz w:val="24"/>
        </w:rPr>
        <w:t xml:space="preserve">                                           </w:t>
      </w:r>
      <w:r>
        <w:rPr>
          <w:rFonts w:hint="eastAsia"/>
        </w:rPr>
        <w:t xml:space="preserve">     </w:t>
      </w:r>
    </w:p>
    <w:p>
      <w:pPr>
        <w:pStyle w:val="148"/>
        <w:rPr>
          <w:color w:val="auto"/>
          <w:sz w:val="21"/>
          <w:szCs w:val="21"/>
        </w:rPr>
      </w:pPr>
      <w:r>
        <w:rPr>
          <w:color w:val="auto"/>
          <w:sz w:val="21"/>
          <w:szCs w:val="21"/>
        </w:rPr>
        <w:t xml:space="preserve">注: </w:t>
      </w:r>
    </w:p>
    <w:p>
      <w:pPr>
        <w:pStyle w:val="26"/>
        <w:rPr>
          <w:rFonts w:hAnsi="宋体"/>
          <w:sz w:val="21"/>
        </w:rPr>
      </w:pPr>
      <w:r>
        <w:rPr>
          <w:sz w:val="21"/>
        </w:rPr>
        <w:t>1</w:t>
      </w:r>
      <w:r>
        <w:rPr>
          <w:rFonts w:hint="eastAsia" w:hAnsi="宋体"/>
          <w:sz w:val="21"/>
        </w:rPr>
        <w:t>、表格内容需按第二章服务项目采购需求“工程检测清单”作唯一报价，漏报或高于单价上限的按投标无效处理。</w:t>
      </w:r>
    </w:p>
    <w:p>
      <w:pPr>
        <w:pStyle w:val="148"/>
        <w:rPr>
          <w:color w:val="auto"/>
          <w:sz w:val="21"/>
          <w:szCs w:val="21"/>
        </w:rPr>
      </w:pPr>
      <w:r>
        <w:rPr>
          <w:color w:val="auto"/>
          <w:sz w:val="21"/>
          <w:szCs w:val="21"/>
        </w:rPr>
        <w:t>2、报价一经涂改，应在涂改处加盖单位公章或者由法定代表人或授权委托人签字或盖章，否则其投标作无效标处理。</w:t>
      </w:r>
    </w:p>
    <w:p>
      <w:pPr>
        <w:pStyle w:val="26"/>
        <w:rPr>
          <w:rFonts w:hAnsi="宋体"/>
        </w:rPr>
      </w:pPr>
      <w:r>
        <w:rPr>
          <w:rFonts w:hint="eastAsia" w:hAnsi="宋体"/>
          <w:sz w:val="21"/>
        </w:rPr>
        <w:t>3、</w:t>
      </w:r>
      <w:r>
        <w:rPr>
          <w:rFonts w:hint="eastAsia" w:ascii="Times New Roman" w:hAnsi="Times New Roman"/>
          <w:sz w:val="21"/>
        </w:rPr>
        <w:t>报价应包括了实施和完成本项目的检测服务所需的技术服务费、检测修缮费、交通、通讯、保险、税费和利润等各项应有费用。</w:t>
      </w:r>
      <w:r>
        <w:rPr>
          <w:rFonts w:hAnsi="宋体"/>
        </w:rPr>
        <w:br w:type="page"/>
      </w:r>
      <w:bookmarkStart w:id="65" w:name="_Toc356165644"/>
      <w:bookmarkStart w:id="66" w:name="_Toc356979893"/>
    </w:p>
    <w:bookmarkEnd w:id="65"/>
    <w:bookmarkEnd w:id="66"/>
    <w:p>
      <w:pPr>
        <w:spacing w:line="300" w:lineRule="auto"/>
        <w:rPr>
          <w:rFonts w:ascii="宋体" w:hAnsi="宋体"/>
          <w:b/>
          <w:color w:val="000000"/>
          <w:sz w:val="24"/>
        </w:rPr>
      </w:pPr>
      <w:r>
        <w:rPr>
          <w:rFonts w:hint="eastAsia" w:ascii="宋体" w:hAnsi="宋体"/>
          <w:b/>
          <w:color w:val="000000"/>
          <w:sz w:val="24"/>
        </w:rPr>
        <w:t>附件三</w:t>
      </w:r>
    </w:p>
    <w:p>
      <w:pPr>
        <w:pStyle w:val="26"/>
        <w:spacing w:line="440" w:lineRule="exact"/>
        <w:jc w:val="center"/>
        <w:rPr>
          <w:b/>
          <w:color w:val="000000"/>
          <w:sz w:val="32"/>
          <w:szCs w:val="32"/>
        </w:rPr>
      </w:pPr>
      <w:r>
        <w:rPr>
          <w:rFonts w:hint="eastAsia"/>
          <w:b/>
          <w:color w:val="000000"/>
          <w:sz w:val="32"/>
          <w:szCs w:val="32"/>
        </w:rPr>
        <w:t>法定代表人身份证明书（格式）</w:t>
      </w:r>
    </w:p>
    <w:p>
      <w:pPr>
        <w:pStyle w:val="26"/>
        <w:spacing w:line="460" w:lineRule="exact"/>
        <w:ind w:firstLine="516" w:firstLineChars="257"/>
        <w:jc w:val="center"/>
        <w:rPr>
          <w:b/>
          <w:color w:val="000000"/>
        </w:rPr>
      </w:pPr>
    </w:p>
    <w:p>
      <w:pPr>
        <w:spacing w:line="500" w:lineRule="exact"/>
        <w:rPr>
          <w:rFonts w:ascii="宋体" w:hAnsi="宋体"/>
          <w:color w:val="000000"/>
          <w:szCs w:val="21"/>
        </w:rPr>
      </w:pPr>
      <w:r>
        <w:rPr>
          <w:rFonts w:hint="eastAsia" w:ascii="宋体" w:hAnsi="宋体"/>
          <w:szCs w:val="21"/>
        </w:rPr>
        <w:t>磋 商 人：</w:t>
      </w:r>
      <w:r>
        <w:rPr>
          <w:rFonts w:hint="eastAsia" w:ascii="宋体" w:hAnsi="宋体"/>
          <w:szCs w:val="21"/>
          <w:u w:val="single"/>
        </w:rPr>
        <w:t xml:space="preserve">  </w:t>
      </w:r>
      <w:r>
        <w:rPr>
          <w:rFonts w:hint="eastAsia" w:ascii="宋体" w:hAnsi="宋体"/>
          <w:color w:val="000000"/>
          <w:szCs w:val="21"/>
          <w:u w:val="single"/>
        </w:rPr>
        <w:t xml:space="preserve">                                                      </w:t>
      </w:r>
    </w:p>
    <w:p>
      <w:pPr>
        <w:spacing w:line="500" w:lineRule="exact"/>
        <w:rPr>
          <w:rFonts w:ascii="宋体" w:hAnsi="宋体"/>
          <w:color w:val="000000"/>
          <w:szCs w:val="21"/>
        </w:rPr>
      </w:pPr>
      <w:r>
        <w:rPr>
          <w:rFonts w:hint="eastAsia" w:ascii="宋体" w:hAnsi="宋体"/>
          <w:color w:val="000000"/>
          <w:szCs w:val="21"/>
        </w:rPr>
        <w:t>单位性质：</w:t>
      </w:r>
      <w:r>
        <w:rPr>
          <w:rFonts w:hint="eastAsia" w:ascii="宋体" w:hAnsi="宋体"/>
          <w:color w:val="000000"/>
          <w:szCs w:val="21"/>
          <w:u w:val="single"/>
        </w:rPr>
        <w:t xml:space="preserve">                                                        </w:t>
      </w:r>
    </w:p>
    <w:p>
      <w:pPr>
        <w:spacing w:line="500" w:lineRule="exact"/>
        <w:rPr>
          <w:rFonts w:ascii="宋体" w:hAnsi="宋体"/>
          <w:color w:val="000000"/>
          <w:szCs w:val="21"/>
        </w:rPr>
      </w:pPr>
      <w:r>
        <w:rPr>
          <w:rFonts w:hint="eastAsia" w:ascii="宋体" w:hAnsi="宋体"/>
          <w:color w:val="000000"/>
          <w:szCs w:val="21"/>
        </w:rPr>
        <w:t>地    址：</w:t>
      </w:r>
      <w:r>
        <w:rPr>
          <w:rFonts w:hint="eastAsia" w:ascii="宋体" w:hAnsi="宋体"/>
          <w:color w:val="000000"/>
          <w:szCs w:val="21"/>
          <w:u w:val="single"/>
        </w:rPr>
        <w:t xml:space="preserve">                                                        </w:t>
      </w:r>
    </w:p>
    <w:p>
      <w:pPr>
        <w:spacing w:line="500" w:lineRule="exact"/>
        <w:rPr>
          <w:rFonts w:ascii="宋体" w:hAnsi="宋体"/>
          <w:color w:val="000000"/>
          <w:szCs w:val="21"/>
        </w:rPr>
      </w:pPr>
      <w:r>
        <w:rPr>
          <w:rFonts w:hint="eastAsia" w:ascii="宋体" w:hAnsi="宋体"/>
          <w:color w:val="000000"/>
          <w:szCs w:val="21"/>
        </w:rPr>
        <w:t>成立时间：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500" w:lineRule="exact"/>
        <w:rPr>
          <w:rFonts w:ascii="宋体" w:hAnsi="宋体"/>
          <w:color w:val="000000"/>
          <w:szCs w:val="21"/>
        </w:rPr>
      </w:pPr>
      <w:r>
        <w:rPr>
          <w:rFonts w:hint="eastAsia" w:ascii="宋体" w:hAnsi="宋体"/>
          <w:color w:val="000000"/>
          <w:szCs w:val="21"/>
        </w:rPr>
        <w:t>经营期限：</w:t>
      </w:r>
      <w:r>
        <w:rPr>
          <w:rFonts w:hint="eastAsia" w:ascii="宋体" w:hAnsi="宋体"/>
          <w:color w:val="000000"/>
          <w:szCs w:val="21"/>
          <w:u w:val="single"/>
        </w:rPr>
        <w:t xml:space="preserve">                                                        </w:t>
      </w:r>
    </w:p>
    <w:p>
      <w:pPr>
        <w:spacing w:line="500" w:lineRule="exact"/>
        <w:rPr>
          <w:rFonts w:ascii="宋体" w:hAnsi="宋体"/>
          <w:color w:val="000000"/>
          <w:szCs w:val="21"/>
          <w:u w:val="single"/>
        </w:rPr>
      </w:pPr>
      <w:r>
        <w:rPr>
          <w:rFonts w:hint="eastAsia" w:ascii="宋体" w:hAnsi="宋体"/>
          <w:color w:val="000000"/>
          <w:szCs w:val="21"/>
        </w:rPr>
        <w:t>姓    名：</w:t>
      </w:r>
      <w:r>
        <w:rPr>
          <w:rFonts w:hint="eastAsia" w:ascii="宋体" w:hAnsi="宋体"/>
          <w:color w:val="000000"/>
          <w:szCs w:val="21"/>
          <w:u w:val="single"/>
        </w:rPr>
        <w:t xml:space="preserve">           </w:t>
      </w:r>
      <w:r>
        <w:rPr>
          <w:rFonts w:hint="eastAsia" w:ascii="宋体" w:hAnsi="宋体"/>
          <w:color w:val="000000"/>
          <w:szCs w:val="21"/>
        </w:rPr>
        <w:t xml:space="preserve">    性  别：</w:t>
      </w:r>
      <w:r>
        <w:rPr>
          <w:rFonts w:hint="eastAsia" w:ascii="宋体" w:hAnsi="宋体"/>
          <w:color w:val="000000"/>
          <w:szCs w:val="21"/>
          <w:u w:val="single"/>
        </w:rPr>
        <w:t xml:space="preserve">        </w:t>
      </w:r>
      <w:r>
        <w:rPr>
          <w:rFonts w:hint="eastAsia" w:ascii="宋体" w:hAnsi="宋体"/>
          <w:color w:val="000000"/>
          <w:szCs w:val="21"/>
        </w:rPr>
        <w:t xml:space="preserve">  年  龄：</w:t>
      </w:r>
      <w:r>
        <w:rPr>
          <w:rFonts w:hint="eastAsia" w:ascii="宋体" w:hAnsi="宋体"/>
          <w:color w:val="000000"/>
          <w:szCs w:val="21"/>
          <w:u w:val="single"/>
        </w:rPr>
        <w:t xml:space="preserve">         </w:t>
      </w:r>
      <w:r>
        <w:rPr>
          <w:rFonts w:hint="eastAsia" w:ascii="宋体" w:hAnsi="宋体"/>
          <w:color w:val="000000"/>
          <w:szCs w:val="21"/>
        </w:rPr>
        <w:t xml:space="preserve"> 职  务：</w:t>
      </w:r>
      <w:r>
        <w:rPr>
          <w:rFonts w:hint="eastAsia" w:ascii="宋体" w:hAnsi="宋体"/>
          <w:color w:val="000000"/>
          <w:szCs w:val="21"/>
          <w:u w:val="single"/>
        </w:rPr>
        <w:t xml:space="preserve">                </w:t>
      </w:r>
    </w:p>
    <w:p>
      <w:pPr>
        <w:spacing w:line="500" w:lineRule="exact"/>
        <w:rPr>
          <w:rFonts w:ascii="宋体" w:hAnsi="宋体"/>
          <w:color w:val="000000"/>
          <w:szCs w:val="21"/>
        </w:rPr>
      </w:pPr>
      <w:r>
        <w:rPr>
          <w:rFonts w:hint="eastAsia" w:ascii="宋体" w:hAnsi="宋体"/>
          <w:color w:val="000000"/>
          <w:szCs w:val="21"/>
        </w:rPr>
        <w:t>系</w:t>
      </w:r>
      <w:r>
        <w:rPr>
          <w:rFonts w:hint="eastAsia" w:ascii="宋体" w:hAnsi="宋体"/>
          <w:color w:val="000000"/>
          <w:szCs w:val="21"/>
          <w:u w:val="single"/>
        </w:rPr>
        <w:t xml:space="preserve">                                                 </w:t>
      </w:r>
      <w:r>
        <w:rPr>
          <w:rFonts w:hint="eastAsia" w:ascii="宋体" w:hAnsi="宋体"/>
          <w:color w:val="000000"/>
          <w:szCs w:val="21"/>
        </w:rPr>
        <w:t>（供应商名称）的法定代表人。</w:t>
      </w:r>
    </w:p>
    <w:p>
      <w:pPr>
        <w:pStyle w:val="26"/>
        <w:spacing w:line="460" w:lineRule="exact"/>
        <w:ind w:firstLine="514" w:firstLineChars="257"/>
        <w:rPr>
          <w:rFonts w:hAnsi="宋体"/>
          <w:color w:val="000000"/>
        </w:rPr>
      </w:pPr>
      <w:r>
        <w:rPr>
          <w:rFonts w:hint="eastAsia" w:hAnsi="宋体"/>
          <w:color w:val="000000"/>
        </w:rPr>
        <w:t>特此证明。</w:t>
      </w:r>
    </w:p>
    <w:p>
      <w:pPr>
        <w:pStyle w:val="26"/>
        <w:spacing w:line="460" w:lineRule="exact"/>
        <w:ind w:firstLine="514" w:firstLineChars="257"/>
        <w:rPr>
          <w:color w:val="000000"/>
        </w:rPr>
      </w:pPr>
    </w:p>
    <w:p>
      <w:pPr>
        <w:pStyle w:val="26"/>
        <w:wordWrap w:val="0"/>
        <w:spacing w:line="460" w:lineRule="exact"/>
        <w:ind w:firstLine="514" w:firstLineChars="257"/>
        <w:jc w:val="right"/>
        <w:rPr>
          <w:color w:val="000000"/>
        </w:rPr>
      </w:pPr>
      <w:r>
        <w:rPr>
          <w:rFonts w:hint="eastAsia"/>
          <w:color w:val="000000"/>
        </w:rPr>
        <w:t>供应商：</w:t>
      </w:r>
      <w:r>
        <w:rPr>
          <w:rFonts w:hint="eastAsia"/>
          <w:color w:val="000000"/>
          <w:u w:val="single"/>
        </w:rPr>
        <w:t xml:space="preserve">                     </w:t>
      </w:r>
      <w:r>
        <w:rPr>
          <w:rFonts w:hint="eastAsia"/>
          <w:color w:val="000000"/>
        </w:rPr>
        <w:t>（盖单位章）</w:t>
      </w:r>
    </w:p>
    <w:p>
      <w:pPr>
        <w:pStyle w:val="26"/>
        <w:spacing w:line="460" w:lineRule="exact"/>
        <w:ind w:firstLine="514" w:firstLineChars="257"/>
        <w:rPr>
          <w:color w:val="000000"/>
        </w:rPr>
      </w:pPr>
    </w:p>
    <w:p>
      <w:pPr>
        <w:pStyle w:val="26"/>
        <w:spacing w:line="460" w:lineRule="exact"/>
        <w:ind w:right="800" w:firstLine="500" w:firstLineChars="250"/>
        <w:jc w:val="right"/>
        <w:rPr>
          <w:color w:val="000000"/>
        </w:rPr>
      </w:pPr>
      <w:r>
        <w:rPr>
          <w:rFonts w:hint="eastAsia"/>
          <w:color w:val="000000"/>
        </w:rPr>
        <w:t>日期：</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pStyle w:val="26"/>
        <w:spacing w:line="460" w:lineRule="exact"/>
        <w:rPr>
          <w:color w:val="000000"/>
        </w:rPr>
      </w:pPr>
    </w:p>
    <w:p>
      <w:pPr>
        <w:pStyle w:val="26"/>
        <w:spacing w:line="460" w:lineRule="exact"/>
        <w:rPr>
          <w:color w:val="000000"/>
        </w:rPr>
      </w:pPr>
    </w:p>
    <w:p>
      <w:pPr>
        <w:spacing w:line="300" w:lineRule="auto"/>
        <w:rPr>
          <w:rFonts w:ascii="宋体" w:hAnsi="宋体"/>
          <w:b/>
          <w:color w:val="000000"/>
          <w:szCs w:val="21"/>
        </w:rPr>
      </w:pPr>
      <w:r>
        <w:rPr>
          <w:rFonts w:hint="eastAsia"/>
          <w:color w:val="000000"/>
          <w:szCs w:val="21"/>
        </w:rPr>
        <w:t>附：法定代表人身份证复印件。</w:t>
      </w: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rPr>
          <w:rFonts w:ascii="宋体" w:hAnsi="宋体"/>
          <w:b/>
          <w:color w:val="000000"/>
          <w:sz w:val="24"/>
        </w:rPr>
      </w:pPr>
      <w:r>
        <w:rPr>
          <w:rFonts w:hint="eastAsia" w:ascii="宋体" w:hAnsi="宋体"/>
          <w:b/>
          <w:color w:val="000000"/>
          <w:sz w:val="24"/>
        </w:rPr>
        <w:t>附件四</w:t>
      </w:r>
    </w:p>
    <w:p>
      <w:pPr>
        <w:adjustRightInd w:val="0"/>
        <w:snapToGrid w:val="0"/>
        <w:spacing w:line="300" w:lineRule="auto"/>
        <w:jc w:val="center"/>
        <w:rPr>
          <w:rFonts w:ascii="宋体" w:hAnsi="宋体"/>
          <w:b/>
          <w:color w:val="000000"/>
          <w:sz w:val="32"/>
          <w:szCs w:val="32"/>
        </w:rPr>
      </w:pPr>
      <w:r>
        <w:rPr>
          <w:rFonts w:hint="eastAsia" w:ascii="宋体" w:hAnsi="宋体"/>
          <w:b/>
          <w:color w:val="000000"/>
          <w:sz w:val="32"/>
          <w:szCs w:val="32"/>
        </w:rPr>
        <w:t>授 权 委 托 书</w:t>
      </w:r>
    </w:p>
    <w:p>
      <w:pPr>
        <w:adjustRightInd w:val="0"/>
        <w:snapToGrid w:val="0"/>
        <w:spacing w:line="300" w:lineRule="auto"/>
        <w:rPr>
          <w:rFonts w:ascii="宋体" w:hAnsi="宋体"/>
          <w:color w:val="000000"/>
          <w:szCs w:val="21"/>
        </w:rPr>
      </w:pPr>
    </w:p>
    <w:p>
      <w:pPr>
        <w:snapToGrid w:val="0"/>
        <w:spacing w:line="360" w:lineRule="auto"/>
        <w:rPr>
          <w:rFonts w:ascii="宋体" w:hAnsi="宋体"/>
          <w:b/>
          <w:bCs/>
          <w:color w:val="000000"/>
          <w:szCs w:val="21"/>
        </w:rPr>
      </w:pPr>
      <w:r>
        <w:rPr>
          <w:rFonts w:hint="eastAsia" w:ascii="宋体" w:hAnsi="宋体"/>
          <w:bCs/>
          <w:color w:val="000000"/>
          <w:szCs w:val="21"/>
        </w:rPr>
        <w:t>致：</w:t>
      </w:r>
      <w:r>
        <w:rPr>
          <w:rFonts w:hint="eastAsia" w:ascii="宋体" w:hAnsi="宋体"/>
          <w:color w:val="000000"/>
          <w:szCs w:val="21"/>
          <w:u w:val="single"/>
        </w:rPr>
        <w:t>广西盛凯工程咨询有限公司</w:t>
      </w:r>
      <w:r>
        <w:rPr>
          <w:rFonts w:hint="eastAsia" w:ascii="宋体" w:hAnsi="宋体"/>
          <w:b/>
          <w:bCs/>
          <w:color w:val="000000"/>
          <w:szCs w:val="21"/>
        </w:rPr>
        <w:t xml:space="preserve"> </w:t>
      </w:r>
      <w:r>
        <w:rPr>
          <w:rFonts w:hint="eastAsia" w:ascii="宋体" w:hAnsi="宋体"/>
          <w:color w:val="000000"/>
          <w:szCs w:val="21"/>
        </w:rPr>
        <w:t>：</w:t>
      </w:r>
    </w:p>
    <w:p>
      <w:pPr>
        <w:snapToGrid w:val="0"/>
        <w:spacing w:line="360" w:lineRule="auto"/>
        <w:ind w:firstLine="495" w:firstLineChars="236"/>
        <w:rPr>
          <w:rFonts w:ascii="宋体" w:hAnsi="宋体"/>
          <w:color w:val="000000"/>
          <w:szCs w:val="21"/>
        </w:rPr>
      </w:pPr>
      <w:r>
        <w:rPr>
          <w:rFonts w:hint="eastAsia" w:ascii="宋体" w:hAnsi="宋体"/>
          <w:color w:val="000000"/>
          <w:szCs w:val="21"/>
        </w:rPr>
        <w:t>我______</w:t>
      </w:r>
      <w:r>
        <w:rPr>
          <w:rFonts w:hint="eastAsia" w:ascii="宋体" w:hAnsi="宋体"/>
          <w:color w:val="000000"/>
          <w:szCs w:val="21"/>
          <w:u w:val="single"/>
        </w:rPr>
        <w:t>_     _</w:t>
      </w:r>
      <w:r>
        <w:rPr>
          <w:rFonts w:hint="eastAsia" w:ascii="宋体" w:hAnsi="宋体"/>
          <w:color w:val="000000"/>
          <w:szCs w:val="21"/>
        </w:rPr>
        <w:t>_（姓名）系______</w:t>
      </w:r>
      <w:r>
        <w:rPr>
          <w:rFonts w:hint="eastAsia" w:ascii="宋体" w:hAnsi="宋体"/>
          <w:color w:val="000000"/>
          <w:szCs w:val="21"/>
          <w:u w:val="single"/>
        </w:rPr>
        <w:t>_     _</w:t>
      </w:r>
      <w:r>
        <w:rPr>
          <w:rFonts w:hint="eastAsia" w:ascii="宋体" w:hAnsi="宋体"/>
          <w:color w:val="000000"/>
          <w:szCs w:val="21"/>
        </w:rPr>
        <w:t xml:space="preserve">_（供应商名称）的法定代表人，现授权委托本单位在职职工 </w:t>
      </w:r>
      <w:r>
        <w:rPr>
          <w:rFonts w:hint="eastAsia" w:ascii="宋体" w:hAnsi="宋体"/>
          <w:color w:val="000000"/>
          <w:szCs w:val="21"/>
          <w:u w:val="single"/>
        </w:rPr>
        <w:t xml:space="preserve">            </w:t>
      </w:r>
      <w:r>
        <w:rPr>
          <w:rFonts w:hint="eastAsia" w:ascii="宋体" w:hAnsi="宋体"/>
          <w:color w:val="000000"/>
          <w:szCs w:val="21"/>
        </w:rPr>
        <w:t>（姓名）以我方的名义参加</w:t>
      </w:r>
      <w:r>
        <w:rPr>
          <w:rFonts w:hint="eastAsia" w:ascii="宋体" w:hAnsi="宋体"/>
          <w:color w:val="000000"/>
          <w:szCs w:val="21"/>
          <w:u w:val="single"/>
        </w:rPr>
        <w:t xml:space="preserve">         </w:t>
      </w:r>
      <w:r>
        <w:rPr>
          <w:rFonts w:hint="eastAsia" w:ascii="宋体" w:hAnsi="宋体"/>
          <w:color w:val="000000"/>
          <w:szCs w:val="21"/>
        </w:rPr>
        <w:t>项目的磋商活动，并代表我方全权办理针对上述项目的递交文件、磋商、澄清、签约等具体事务和签署相关文件。</w:t>
      </w:r>
    </w:p>
    <w:p>
      <w:pPr>
        <w:snapToGrid w:val="0"/>
        <w:spacing w:line="360" w:lineRule="auto"/>
        <w:rPr>
          <w:rFonts w:ascii="宋体" w:hAnsi="宋体"/>
          <w:color w:val="000000"/>
          <w:szCs w:val="21"/>
        </w:rPr>
      </w:pPr>
      <w:r>
        <w:rPr>
          <w:rFonts w:hint="eastAsia" w:ascii="宋体" w:hAnsi="宋体"/>
          <w:color w:val="000000"/>
          <w:szCs w:val="21"/>
        </w:rPr>
        <w:t xml:space="preserve">    我方对被授权人的签名事项负全部责任。</w:t>
      </w:r>
    </w:p>
    <w:p>
      <w:pPr>
        <w:snapToGrid w:val="0"/>
        <w:spacing w:line="360" w:lineRule="auto"/>
        <w:ind w:firstLine="480"/>
        <w:rPr>
          <w:rFonts w:ascii="宋体" w:hAnsi="宋体"/>
          <w:color w:val="000000"/>
          <w:szCs w:val="21"/>
        </w:rPr>
      </w:pPr>
      <w:r>
        <w:rPr>
          <w:rFonts w:hint="eastAsia" w:ascii="宋体" w:hAnsi="宋体"/>
          <w:color w:val="000000"/>
          <w:szCs w:val="21"/>
          <w:u w:val="single"/>
        </w:rPr>
        <w:t>在撤销授权的书面通知以前，本授权书一直有效。</w:t>
      </w:r>
      <w:r>
        <w:rPr>
          <w:rFonts w:hint="eastAsia" w:ascii="宋体" w:hAnsi="宋体"/>
          <w:color w:val="000000"/>
          <w:szCs w:val="21"/>
        </w:rPr>
        <w:t>被授权人在授权书有效期内签署的所有文件不因授权的撤销而失效。</w:t>
      </w:r>
    </w:p>
    <w:p>
      <w:pPr>
        <w:snapToGrid w:val="0"/>
        <w:spacing w:line="360" w:lineRule="auto"/>
        <w:ind w:firstLine="480"/>
        <w:rPr>
          <w:rFonts w:ascii="宋体" w:hAnsi="宋体"/>
          <w:color w:val="000000"/>
          <w:szCs w:val="21"/>
        </w:rPr>
      </w:pPr>
      <w:r>
        <w:rPr>
          <w:rFonts w:hint="eastAsia" w:ascii="宋体" w:hAnsi="宋体"/>
          <w:color w:val="000000"/>
          <w:szCs w:val="21"/>
        </w:rPr>
        <w:t>被授权人无转委托权，特此委托。</w:t>
      </w:r>
    </w:p>
    <w:p>
      <w:pPr>
        <w:snapToGrid w:val="0"/>
        <w:spacing w:before="156" w:beforeLines="50" w:after="50"/>
        <w:rPr>
          <w:rFonts w:ascii="宋体" w:hAnsi="宋体"/>
          <w:color w:val="000000"/>
          <w:szCs w:val="21"/>
        </w:rPr>
      </w:pPr>
    </w:p>
    <w:p>
      <w:pPr>
        <w:snapToGrid w:val="0"/>
        <w:spacing w:before="156" w:beforeLines="50" w:after="50"/>
        <w:rPr>
          <w:rFonts w:ascii="宋体" w:hAnsi="宋体"/>
          <w:color w:val="000000"/>
          <w:szCs w:val="21"/>
          <w:u w:val="single"/>
        </w:rPr>
      </w:pPr>
      <w:r>
        <w:rPr>
          <w:rFonts w:hint="eastAsia" w:ascii="宋体" w:hAnsi="宋体"/>
          <w:color w:val="000000"/>
          <w:szCs w:val="21"/>
        </w:rPr>
        <w:t>被授权人签名：</w:t>
      </w:r>
      <w:r>
        <w:rPr>
          <w:rFonts w:hint="eastAsia" w:ascii="宋体" w:hAnsi="宋体"/>
          <w:color w:val="000000"/>
          <w:szCs w:val="21"/>
          <w:u w:val="single"/>
        </w:rPr>
        <w:t xml:space="preserve">               </w:t>
      </w:r>
      <w:r>
        <w:rPr>
          <w:rFonts w:hint="eastAsia" w:ascii="宋体" w:hAnsi="宋体"/>
          <w:color w:val="000000"/>
          <w:szCs w:val="21"/>
        </w:rPr>
        <w:t xml:space="preserve">            法定代表人签字或盖章：</w:t>
      </w:r>
      <w:r>
        <w:rPr>
          <w:rFonts w:hint="eastAsia" w:ascii="宋体" w:hAnsi="宋体"/>
          <w:color w:val="000000"/>
          <w:szCs w:val="21"/>
          <w:u w:val="single"/>
        </w:rPr>
        <w:t xml:space="preserve">               </w:t>
      </w:r>
    </w:p>
    <w:p>
      <w:pPr>
        <w:snapToGrid w:val="0"/>
        <w:spacing w:before="156" w:beforeLines="50" w:after="50"/>
        <w:rPr>
          <w:rFonts w:ascii="宋体" w:hAnsi="宋体"/>
          <w:color w:val="000000"/>
          <w:szCs w:val="21"/>
        </w:rPr>
      </w:pPr>
      <w:r>
        <w:rPr>
          <w:rFonts w:hint="eastAsia" w:ascii="宋体" w:hAnsi="宋体"/>
          <w:color w:val="000000"/>
          <w:szCs w:val="21"/>
        </w:rPr>
        <w:t>所在部门职务：</w:t>
      </w:r>
      <w:r>
        <w:rPr>
          <w:rFonts w:hint="eastAsia" w:ascii="宋体" w:hAnsi="宋体"/>
          <w:color w:val="000000"/>
          <w:szCs w:val="21"/>
          <w:u w:val="single"/>
        </w:rPr>
        <w:t xml:space="preserve">               </w:t>
      </w:r>
      <w:r>
        <w:rPr>
          <w:rFonts w:hint="eastAsia" w:ascii="宋体" w:hAnsi="宋体"/>
          <w:color w:val="000000"/>
          <w:szCs w:val="21"/>
        </w:rPr>
        <w:t xml:space="preserve">                      职务：</w:t>
      </w:r>
      <w:r>
        <w:rPr>
          <w:rFonts w:hint="eastAsia" w:ascii="宋体" w:hAnsi="宋体"/>
          <w:color w:val="000000"/>
          <w:szCs w:val="21"/>
          <w:u w:val="single"/>
        </w:rPr>
        <w:t xml:space="preserve">                  </w:t>
      </w:r>
    </w:p>
    <w:p>
      <w:pPr>
        <w:snapToGrid w:val="0"/>
        <w:spacing w:before="156" w:beforeLines="50" w:after="50"/>
        <w:rPr>
          <w:rFonts w:ascii="宋体" w:hAnsi="宋体"/>
          <w:color w:val="000000"/>
          <w:szCs w:val="21"/>
        </w:rPr>
      </w:pPr>
      <w:r>
        <w:rPr>
          <w:rFonts w:hint="eastAsia" w:ascii="宋体" w:hAnsi="宋体"/>
          <w:color w:val="000000"/>
          <w:szCs w:val="21"/>
        </w:rPr>
        <w:t>被授权人身份证号码：</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before="156" w:beforeLines="50" w:after="50"/>
        <w:jc w:val="center"/>
        <w:rPr>
          <w:rFonts w:ascii="宋体" w:hAnsi="宋体"/>
          <w:color w:val="000000"/>
          <w:szCs w:val="21"/>
        </w:rPr>
      </w:pPr>
      <w:r>
        <w:rPr>
          <w:rFonts w:hint="eastAsia" w:ascii="宋体" w:hAnsi="宋体"/>
          <w:color w:val="000000"/>
          <w:szCs w:val="21"/>
        </w:rPr>
        <w:t xml:space="preserve">                                   </w:t>
      </w:r>
    </w:p>
    <w:p>
      <w:pPr>
        <w:pStyle w:val="26"/>
        <w:wordWrap w:val="0"/>
        <w:spacing w:line="460" w:lineRule="exact"/>
        <w:ind w:firstLine="539" w:firstLineChars="257"/>
        <w:jc w:val="right"/>
        <w:rPr>
          <w:color w:val="000000"/>
          <w:sz w:val="21"/>
        </w:rPr>
      </w:pPr>
      <w:r>
        <w:rPr>
          <w:rFonts w:hint="eastAsia" w:hAnsi="宋体"/>
          <w:color w:val="000000"/>
          <w:sz w:val="21"/>
        </w:rPr>
        <w:t xml:space="preserve">                               </w:t>
      </w:r>
      <w:r>
        <w:rPr>
          <w:rFonts w:hint="eastAsia"/>
          <w:color w:val="000000"/>
          <w:sz w:val="21"/>
        </w:rPr>
        <w:t>供应商：</w:t>
      </w:r>
      <w:r>
        <w:rPr>
          <w:rFonts w:hint="eastAsia"/>
          <w:color w:val="000000"/>
          <w:sz w:val="21"/>
          <w:u w:val="single"/>
        </w:rPr>
        <w:t xml:space="preserve">                     </w:t>
      </w:r>
      <w:r>
        <w:rPr>
          <w:rFonts w:hint="eastAsia"/>
          <w:color w:val="000000"/>
          <w:sz w:val="21"/>
        </w:rPr>
        <w:t>（盖单位章）</w:t>
      </w:r>
    </w:p>
    <w:p>
      <w:pPr>
        <w:pStyle w:val="26"/>
        <w:spacing w:line="460" w:lineRule="exact"/>
        <w:ind w:firstLine="539" w:firstLineChars="257"/>
        <w:rPr>
          <w:color w:val="000000"/>
          <w:sz w:val="21"/>
        </w:rPr>
      </w:pPr>
    </w:p>
    <w:p>
      <w:pPr>
        <w:pStyle w:val="26"/>
        <w:spacing w:line="460" w:lineRule="exact"/>
        <w:ind w:right="800" w:firstLine="525" w:firstLineChars="250"/>
        <w:jc w:val="right"/>
        <w:rPr>
          <w:color w:val="000000"/>
          <w:sz w:val="21"/>
        </w:rPr>
      </w:pPr>
      <w:r>
        <w:rPr>
          <w:rFonts w:hint="eastAsia"/>
          <w:color w:val="000000"/>
          <w:sz w:val="21"/>
        </w:rPr>
        <w:t>日期：</w:t>
      </w:r>
      <w:r>
        <w:rPr>
          <w:rFonts w:hint="eastAsia"/>
          <w:color w:val="000000"/>
          <w:sz w:val="21"/>
          <w:u w:val="single"/>
        </w:rPr>
        <w:t xml:space="preserve">     </w:t>
      </w:r>
      <w:r>
        <w:rPr>
          <w:rFonts w:hint="eastAsia"/>
          <w:color w:val="000000"/>
          <w:sz w:val="21"/>
        </w:rPr>
        <w:t>年</w:t>
      </w:r>
      <w:r>
        <w:rPr>
          <w:rFonts w:hint="eastAsia"/>
          <w:color w:val="000000"/>
          <w:sz w:val="21"/>
          <w:u w:val="single"/>
        </w:rPr>
        <w:t xml:space="preserve">    </w:t>
      </w:r>
      <w:r>
        <w:rPr>
          <w:rFonts w:hint="eastAsia"/>
          <w:color w:val="000000"/>
          <w:sz w:val="21"/>
        </w:rPr>
        <w:t>月</w:t>
      </w:r>
      <w:r>
        <w:rPr>
          <w:rFonts w:hint="eastAsia"/>
          <w:color w:val="000000"/>
          <w:sz w:val="21"/>
          <w:u w:val="single"/>
        </w:rPr>
        <w:t xml:space="preserve">    </w:t>
      </w:r>
      <w:r>
        <w:rPr>
          <w:rFonts w:hint="eastAsia"/>
          <w:color w:val="000000"/>
          <w:sz w:val="21"/>
        </w:rPr>
        <w:t>日</w:t>
      </w:r>
    </w:p>
    <w:p>
      <w:pPr>
        <w:snapToGrid w:val="0"/>
        <w:spacing w:before="156" w:beforeLines="50" w:after="50"/>
        <w:rPr>
          <w:rFonts w:ascii="宋体" w:hAnsi="宋体"/>
          <w:color w:val="000000"/>
          <w:szCs w:val="21"/>
        </w:rPr>
      </w:pPr>
      <w:r>
        <w:rPr>
          <w:rFonts w:hint="eastAsia" w:ascii="宋体" w:hAnsi="宋体"/>
          <w:color w:val="000000"/>
          <w:szCs w:val="21"/>
        </w:rPr>
        <w:t>附：委托代理人身份证复印件。</w:t>
      </w: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rPr>
          <w:rFonts w:ascii="宋体" w:hAnsi="宋体"/>
          <w:b/>
          <w:color w:val="000000"/>
          <w:sz w:val="24"/>
        </w:rPr>
      </w:pPr>
    </w:p>
    <w:p>
      <w:pPr>
        <w:spacing w:line="300" w:lineRule="auto"/>
        <w:rPr>
          <w:rFonts w:ascii="宋体" w:hAnsi="宋体"/>
          <w:b/>
          <w:color w:val="000000"/>
          <w:sz w:val="24"/>
        </w:rPr>
      </w:pPr>
      <w:r>
        <w:rPr>
          <w:rFonts w:hint="eastAsia" w:ascii="宋体" w:hAnsi="宋体"/>
          <w:b/>
          <w:color w:val="000000"/>
          <w:sz w:val="24"/>
        </w:rPr>
        <w:t>附件五</w:t>
      </w:r>
    </w:p>
    <w:p>
      <w:pPr>
        <w:jc w:val="center"/>
        <w:outlineLvl w:val="0"/>
        <w:rPr>
          <w:rFonts w:ascii="宋体" w:hAnsi="宋体"/>
          <w:b/>
          <w:sz w:val="30"/>
          <w:szCs w:val="30"/>
        </w:rPr>
      </w:pPr>
      <w:r>
        <w:rPr>
          <w:rFonts w:hint="eastAsia" w:ascii="宋体" w:hAnsi="宋体"/>
          <w:b/>
          <w:sz w:val="30"/>
          <w:szCs w:val="30"/>
        </w:rPr>
        <w:t>检测项目负责人</w:t>
      </w:r>
      <w:r>
        <w:rPr>
          <w:rFonts w:ascii="宋体" w:hAnsi="宋体"/>
          <w:b/>
          <w:sz w:val="30"/>
          <w:szCs w:val="30"/>
        </w:rPr>
        <w:t>简历表</w:t>
      </w:r>
    </w:p>
    <w:p>
      <w:pPr>
        <w:tabs>
          <w:tab w:val="left" w:pos="0"/>
          <w:tab w:val="left" w:pos="567"/>
          <w:tab w:val="left" w:pos="993"/>
          <w:tab w:val="left" w:pos="1134"/>
        </w:tabs>
        <w:snapToGrid w:val="0"/>
        <w:spacing w:line="300" w:lineRule="auto"/>
        <w:jc w:val="center"/>
        <w:rPr>
          <w:rFonts w:ascii="宋体" w:hAnsi="宋体"/>
          <w:b/>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1791"/>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宋体" w:hAnsi="宋体"/>
                <w:szCs w:val="21"/>
              </w:rPr>
            </w:pPr>
            <w:r>
              <w:rPr>
                <w:rFonts w:ascii="宋体" w:hAnsi="宋体"/>
                <w:szCs w:val="21"/>
              </w:rPr>
              <w:t>姓 名</w:t>
            </w:r>
          </w:p>
        </w:tc>
        <w:tc>
          <w:tcPr>
            <w:tcW w:w="1700" w:type="dxa"/>
            <w:gridSpan w:val="3"/>
            <w:vAlign w:val="center"/>
          </w:tcPr>
          <w:p>
            <w:pPr>
              <w:spacing w:line="560" w:lineRule="exact"/>
              <w:ind w:firstLine="420"/>
              <w:rPr>
                <w:rFonts w:ascii="宋体" w:hAnsi="宋体"/>
                <w:szCs w:val="21"/>
              </w:rPr>
            </w:pPr>
          </w:p>
        </w:tc>
        <w:tc>
          <w:tcPr>
            <w:tcW w:w="1509" w:type="dxa"/>
            <w:vAlign w:val="center"/>
          </w:tcPr>
          <w:p>
            <w:pPr>
              <w:spacing w:line="560" w:lineRule="exact"/>
              <w:jc w:val="center"/>
              <w:rPr>
                <w:rFonts w:ascii="宋体" w:hAnsi="宋体"/>
                <w:szCs w:val="21"/>
              </w:rPr>
            </w:pPr>
            <w:r>
              <w:rPr>
                <w:rFonts w:ascii="宋体" w:hAnsi="宋体"/>
                <w:szCs w:val="21"/>
              </w:rPr>
              <w:t>性 别</w:t>
            </w:r>
          </w:p>
        </w:tc>
        <w:tc>
          <w:tcPr>
            <w:tcW w:w="1791" w:type="dxa"/>
            <w:vAlign w:val="center"/>
          </w:tcPr>
          <w:p>
            <w:pPr>
              <w:spacing w:line="560" w:lineRule="exact"/>
              <w:ind w:firstLine="420"/>
              <w:rPr>
                <w:rFonts w:ascii="宋体" w:hAnsi="宋体"/>
                <w:szCs w:val="21"/>
              </w:rPr>
            </w:pPr>
          </w:p>
        </w:tc>
        <w:tc>
          <w:tcPr>
            <w:tcW w:w="1275" w:type="dxa"/>
            <w:gridSpan w:val="2"/>
          </w:tcPr>
          <w:p>
            <w:pPr>
              <w:spacing w:line="560" w:lineRule="exact"/>
              <w:jc w:val="center"/>
              <w:rPr>
                <w:rFonts w:ascii="宋体" w:hAnsi="宋体"/>
                <w:szCs w:val="21"/>
              </w:rPr>
            </w:pPr>
            <w:r>
              <w:rPr>
                <w:rFonts w:ascii="宋体" w:hAnsi="宋体"/>
                <w:szCs w:val="21"/>
              </w:rPr>
              <w:t>年 龄</w:t>
            </w:r>
          </w:p>
        </w:tc>
        <w:tc>
          <w:tcPr>
            <w:tcW w:w="1529" w:type="dxa"/>
            <w:gridSpan w:val="2"/>
          </w:tcPr>
          <w:p>
            <w:pPr>
              <w:spacing w:line="560" w:lineRule="exac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宋体" w:hAnsi="宋体"/>
                <w:szCs w:val="21"/>
              </w:rPr>
            </w:pPr>
            <w:r>
              <w:rPr>
                <w:rFonts w:ascii="宋体" w:hAnsi="宋体"/>
                <w:szCs w:val="21"/>
              </w:rPr>
              <w:t>职 务</w:t>
            </w:r>
          </w:p>
        </w:tc>
        <w:tc>
          <w:tcPr>
            <w:tcW w:w="1700" w:type="dxa"/>
            <w:gridSpan w:val="3"/>
            <w:vAlign w:val="center"/>
          </w:tcPr>
          <w:p>
            <w:pPr>
              <w:spacing w:line="560" w:lineRule="exact"/>
              <w:ind w:firstLine="420"/>
              <w:rPr>
                <w:rFonts w:ascii="宋体" w:hAnsi="宋体"/>
                <w:szCs w:val="21"/>
              </w:rPr>
            </w:pPr>
          </w:p>
        </w:tc>
        <w:tc>
          <w:tcPr>
            <w:tcW w:w="1509" w:type="dxa"/>
            <w:vAlign w:val="center"/>
          </w:tcPr>
          <w:p>
            <w:pPr>
              <w:spacing w:line="560" w:lineRule="exact"/>
              <w:jc w:val="center"/>
              <w:rPr>
                <w:rFonts w:ascii="宋体" w:hAnsi="宋体"/>
                <w:szCs w:val="21"/>
              </w:rPr>
            </w:pPr>
            <w:r>
              <w:rPr>
                <w:rFonts w:ascii="宋体" w:hAnsi="宋体"/>
                <w:szCs w:val="21"/>
              </w:rPr>
              <w:t>职 称</w:t>
            </w:r>
          </w:p>
        </w:tc>
        <w:tc>
          <w:tcPr>
            <w:tcW w:w="1791" w:type="dxa"/>
            <w:vAlign w:val="center"/>
          </w:tcPr>
          <w:p>
            <w:pPr>
              <w:spacing w:line="560" w:lineRule="exact"/>
              <w:ind w:firstLine="420"/>
              <w:rPr>
                <w:rFonts w:ascii="宋体" w:hAnsi="宋体"/>
                <w:szCs w:val="21"/>
              </w:rPr>
            </w:pPr>
          </w:p>
        </w:tc>
        <w:tc>
          <w:tcPr>
            <w:tcW w:w="1275" w:type="dxa"/>
            <w:gridSpan w:val="2"/>
          </w:tcPr>
          <w:p>
            <w:pPr>
              <w:spacing w:line="560" w:lineRule="exact"/>
              <w:jc w:val="center"/>
              <w:rPr>
                <w:rFonts w:ascii="宋体" w:hAnsi="宋体"/>
                <w:szCs w:val="21"/>
              </w:rPr>
            </w:pPr>
            <w:r>
              <w:rPr>
                <w:rFonts w:ascii="宋体" w:hAnsi="宋体"/>
                <w:szCs w:val="21"/>
              </w:rPr>
              <w:t>学 历</w:t>
            </w:r>
          </w:p>
        </w:tc>
        <w:tc>
          <w:tcPr>
            <w:tcW w:w="1529" w:type="dxa"/>
            <w:gridSpan w:val="2"/>
          </w:tcPr>
          <w:p>
            <w:pPr>
              <w:spacing w:line="560" w:lineRule="exac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ind w:firstLine="420"/>
              <w:rPr>
                <w:rFonts w:ascii="宋体" w:hAnsi="宋体"/>
                <w:szCs w:val="21"/>
              </w:rPr>
            </w:pPr>
            <w:r>
              <w:rPr>
                <w:rFonts w:ascii="宋体" w:hAnsi="宋体"/>
                <w:szCs w:val="21"/>
              </w:rPr>
              <w:t>参加工作时间</w:t>
            </w:r>
          </w:p>
        </w:tc>
        <w:tc>
          <w:tcPr>
            <w:tcW w:w="1509" w:type="dxa"/>
            <w:vAlign w:val="center"/>
          </w:tcPr>
          <w:p>
            <w:pPr>
              <w:spacing w:line="560" w:lineRule="exact"/>
              <w:rPr>
                <w:rFonts w:ascii="宋体" w:hAnsi="宋体"/>
                <w:szCs w:val="21"/>
              </w:rPr>
            </w:pPr>
          </w:p>
        </w:tc>
        <w:tc>
          <w:tcPr>
            <w:tcW w:w="3066" w:type="dxa"/>
            <w:gridSpan w:val="3"/>
            <w:vAlign w:val="center"/>
          </w:tcPr>
          <w:p>
            <w:pPr>
              <w:spacing w:line="560" w:lineRule="exact"/>
              <w:ind w:firstLine="210" w:firstLineChars="100"/>
              <w:rPr>
                <w:rFonts w:ascii="宋体" w:hAnsi="宋体"/>
                <w:szCs w:val="21"/>
              </w:rPr>
            </w:pPr>
            <w:r>
              <w:rPr>
                <w:rFonts w:hint="eastAsia" w:ascii="宋体" w:hAnsi="宋体"/>
                <w:szCs w:val="21"/>
              </w:rPr>
              <w:t>检测资格上岗证</w:t>
            </w:r>
            <w:r>
              <w:rPr>
                <w:rFonts w:ascii="宋体" w:hAnsi="宋体"/>
                <w:szCs w:val="21"/>
              </w:rPr>
              <w:t>书号</w:t>
            </w:r>
          </w:p>
        </w:tc>
        <w:tc>
          <w:tcPr>
            <w:tcW w:w="1529" w:type="dxa"/>
            <w:gridSpan w:val="2"/>
          </w:tcPr>
          <w:p>
            <w:pPr>
              <w:spacing w:line="560" w:lineRule="exac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rPr>
                <w:rFonts w:ascii="宋体" w:hAnsi="宋体"/>
                <w:szCs w:val="21"/>
              </w:rPr>
            </w:pPr>
            <w:r>
              <w:rPr>
                <w:rFonts w:ascii="宋体" w:hAnsi="宋体"/>
                <w:szCs w:val="21"/>
              </w:rPr>
              <w:t>主要工作</w:t>
            </w:r>
          </w:p>
          <w:p>
            <w:pPr>
              <w:jc w:val="center"/>
              <w:rPr>
                <w:rFonts w:ascii="宋体" w:hAnsi="宋体"/>
                <w:szCs w:val="21"/>
              </w:rPr>
            </w:pPr>
            <w:r>
              <w:rPr>
                <w:rFonts w:ascii="宋体" w:hAnsi="宋体"/>
                <w:szCs w:val="21"/>
              </w:rPr>
              <w:t>经历</w:t>
            </w:r>
          </w:p>
        </w:tc>
        <w:tc>
          <w:tcPr>
            <w:tcW w:w="7591" w:type="dxa"/>
            <w:gridSpan w:val="8"/>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0"/>
            <w:vAlign w:val="center"/>
          </w:tcPr>
          <w:p>
            <w:pPr>
              <w:jc w:val="center"/>
              <w:rPr>
                <w:rFonts w:ascii="宋体" w:hAnsi="宋体"/>
                <w:szCs w:val="21"/>
              </w:rPr>
            </w:pPr>
            <w:r>
              <w:rPr>
                <w:rFonts w:ascii="宋体" w:hAnsi="宋体"/>
                <w:szCs w:val="21"/>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vAlign w:val="center"/>
          </w:tcPr>
          <w:p>
            <w:pPr>
              <w:jc w:val="center"/>
              <w:rPr>
                <w:rFonts w:ascii="宋体" w:hAnsi="宋体"/>
                <w:szCs w:val="21"/>
              </w:rPr>
            </w:pPr>
            <w:r>
              <w:rPr>
                <w:rFonts w:ascii="宋体" w:hAnsi="宋体"/>
                <w:szCs w:val="21"/>
              </w:rPr>
              <w:t>建设单位</w:t>
            </w:r>
          </w:p>
        </w:tc>
        <w:tc>
          <w:tcPr>
            <w:tcW w:w="1470" w:type="dxa"/>
            <w:vAlign w:val="center"/>
          </w:tcPr>
          <w:p>
            <w:pPr>
              <w:jc w:val="center"/>
              <w:rPr>
                <w:rFonts w:ascii="宋体" w:hAnsi="宋体"/>
                <w:szCs w:val="21"/>
              </w:rPr>
            </w:pPr>
            <w:r>
              <w:rPr>
                <w:rFonts w:ascii="宋体" w:hAnsi="宋体"/>
                <w:szCs w:val="21"/>
              </w:rPr>
              <w:t>项目名称</w:t>
            </w:r>
          </w:p>
        </w:tc>
        <w:tc>
          <w:tcPr>
            <w:tcW w:w="1526" w:type="dxa"/>
            <w:gridSpan w:val="2"/>
            <w:vAlign w:val="center"/>
          </w:tcPr>
          <w:p>
            <w:pPr>
              <w:jc w:val="center"/>
              <w:rPr>
                <w:rFonts w:ascii="宋体" w:hAnsi="宋体"/>
                <w:szCs w:val="21"/>
              </w:rPr>
            </w:pPr>
            <w:r>
              <w:rPr>
                <w:rFonts w:ascii="宋体" w:hAnsi="宋体"/>
                <w:szCs w:val="21"/>
              </w:rPr>
              <w:t>建设规模</w:t>
            </w:r>
          </w:p>
          <w:p>
            <w:pPr>
              <w:jc w:val="center"/>
              <w:rPr>
                <w:rFonts w:ascii="宋体" w:hAnsi="宋体"/>
                <w:szCs w:val="21"/>
              </w:rPr>
            </w:pPr>
            <w:r>
              <w:rPr>
                <w:rFonts w:ascii="宋体" w:hAnsi="宋体"/>
                <w:szCs w:val="21"/>
              </w:rPr>
              <w:t>（面积、层数等）</w:t>
            </w:r>
          </w:p>
        </w:tc>
        <w:tc>
          <w:tcPr>
            <w:tcW w:w="2191" w:type="dxa"/>
            <w:gridSpan w:val="2"/>
            <w:vAlign w:val="center"/>
          </w:tcPr>
          <w:p>
            <w:pPr>
              <w:jc w:val="center"/>
              <w:rPr>
                <w:rFonts w:ascii="宋体" w:hAnsi="宋体"/>
                <w:szCs w:val="21"/>
              </w:rPr>
            </w:pPr>
            <w:r>
              <w:rPr>
                <w:rFonts w:hint="eastAsia" w:ascii="宋体" w:hAnsi="宋体"/>
                <w:szCs w:val="21"/>
              </w:rPr>
              <w:t>检测内容</w:t>
            </w:r>
          </w:p>
        </w:tc>
        <w:tc>
          <w:tcPr>
            <w:tcW w:w="1100" w:type="dxa"/>
            <w:gridSpan w:val="2"/>
            <w:vAlign w:val="center"/>
          </w:tcPr>
          <w:p>
            <w:pPr>
              <w:jc w:val="center"/>
              <w:rPr>
                <w:rFonts w:ascii="宋体" w:hAnsi="宋体"/>
                <w:szCs w:val="21"/>
              </w:rPr>
            </w:pPr>
            <w:r>
              <w:rPr>
                <w:rFonts w:ascii="宋体" w:hAnsi="宋体"/>
                <w:szCs w:val="21"/>
              </w:rPr>
              <w:t>在</w:t>
            </w:r>
            <w:r>
              <w:rPr>
                <w:rFonts w:hint="eastAsia" w:ascii="宋体" w:hAnsi="宋体"/>
                <w:szCs w:val="21"/>
              </w:rPr>
              <w:t>检测</w:t>
            </w:r>
            <w:r>
              <w:rPr>
                <w:rFonts w:ascii="宋体" w:hAnsi="宋体"/>
                <w:szCs w:val="21"/>
              </w:rPr>
              <w:t>项目中</w:t>
            </w:r>
            <w:r>
              <w:rPr>
                <w:rFonts w:hint="eastAsia" w:ascii="宋体" w:hAnsi="宋体"/>
                <w:szCs w:val="21"/>
              </w:rPr>
              <w:t>承担的工作内容</w:t>
            </w:r>
          </w:p>
        </w:tc>
        <w:tc>
          <w:tcPr>
            <w:tcW w:w="1304"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2191" w:type="dxa"/>
            <w:gridSpan w:val="2"/>
            <w:vAlign w:val="center"/>
          </w:tcPr>
          <w:p>
            <w:pPr>
              <w:spacing w:line="560" w:lineRule="exact"/>
              <w:ind w:firstLine="420"/>
              <w:jc w:val="center"/>
              <w:rPr>
                <w:rFonts w:ascii="宋体" w:hAnsi="宋体"/>
                <w:szCs w:val="21"/>
              </w:rPr>
            </w:pPr>
          </w:p>
        </w:tc>
        <w:tc>
          <w:tcPr>
            <w:tcW w:w="1100" w:type="dxa"/>
            <w:gridSpan w:val="2"/>
          </w:tcPr>
          <w:p>
            <w:pPr>
              <w:spacing w:line="560" w:lineRule="exact"/>
              <w:ind w:firstLine="420"/>
              <w:jc w:val="center"/>
              <w:rPr>
                <w:rFonts w:ascii="宋体" w:hAnsi="宋体"/>
                <w:szCs w:val="21"/>
              </w:rPr>
            </w:pPr>
          </w:p>
        </w:tc>
        <w:tc>
          <w:tcPr>
            <w:tcW w:w="1304" w:type="dxa"/>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2191" w:type="dxa"/>
            <w:gridSpan w:val="2"/>
            <w:vAlign w:val="center"/>
          </w:tcPr>
          <w:p>
            <w:pPr>
              <w:spacing w:line="560" w:lineRule="exact"/>
              <w:ind w:firstLine="420"/>
              <w:jc w:val="center"/>
              <w:rPr>
                <w:rFonts w:ascii="宋体" w:hAnsi="宋体"/>
                <w:szCs w:val="21"/>
              </w:rPr>
            </w:pPr>
          </w:p>
        </w:tc>
        <w:tc>
          <w:tcPr>
            <w:tcW w:w="1100" w:type="dxa"/>
            <w:gridSpan w:val="2"/>
          </w:tcPr>
          <w:p>
            <w:pPr>
              <w:spacing w:line="560" w:lineRule="exact"/>
              <w:ind w:firstLine="420"/>
              <w:jc w:val="center"/>
              <w:rPr>
                <w:rFonts w:ascii="宋体" w:hAnsi="宋体"/>
                <w:szCs w:val="21"/>
              </w:rPr>
            </w:pPr>
          </w:p>
        </w:tc>
        <w:tc>
          <w:tcPr>
            <w:tcW w:w="1304" w:type="dxa"/>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2191" w:type="dxa"/>
            <w:gridSpan w:val="2"/>
            <w:vAlign w:val="center"/>
          </w:tcPr>
          <w:p>
            <w:pPr>
              <w:spacing w:line="560" w:lineRule="exact"/>
              <w:ind w:firstLine="420"/>
              <w:jc w:val="center"/>
              <w:rPr>
                <w:rFonts w:ascii="宋体" w:hAnsi="宋体"/>
                <w:szCs w:val="21"/>
              </w:rPr>
            </w:pPr>
          </w:p>
        </w:tc>
        <w:tc>
          <w:tcPr>
            <w:tcW w:w="1100" w:type="dxa"/>
            <w:gridSpan w:val="2"/>
          </w:tcPr>
          <w:p>
            <w:pPr>
              <w:spacing w:line="560" w:lineRule="exact"/>
              <w:ind w:firstLine="420"/>
              <w:jc w:val="center"/>
              <w:rPr>
                <w:rFonts w:ascii="宋体" w:hAnsi="宋体"/>
                <w:szCs w:val="21"/>
              </w:rPr>
            </w:pPr>
          </w:p>
        </w:tc>
        <w:tc>
          <w:tcPr>
            <w:tcW w:w="1304" w:type="dxa"/>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2191" w:type="dxa"/>
            <w:gridSpan w:val="2"/>
            <w:vAlign w:val="center"/>
          </w:tcPr>
          <w:p>
            <w:pPr>
              <w:spacing w:line="560" w:lineRule="exact"/>
              <w:ind w:firstLine="420"/>
              <w:jc w:val="center"/>
              <w:rPr>
                <w:rFonts w:ascii="宋体" w:hAnsi="宋体"/>
                <w:szCs w:val="21"/>
              </w:rPr>
            </w:pPr>
          </w:p>
        </w:tc>
        <w:tc>
          <w:tcPr>
            <w:tcW w:w="1100" w:type="dxa"/>
            <w:gridSpan w:val="2"/>
          </w:tcPr>
          <w:p>
            <w:pPr>
              <w:spacing w:line="560" w:lineRule="exact"/>
              <w:ind w:firstLine="420"/>
              <w:jc w:val="center"/>
              <w:rPr>
                <w:rFonts w:ascii="宋体" w:hAnsi="宋体"/>
                <w:szCs w:val="21"/>
              </w:rPr>
            </w:pPr>
          </w:p>
        </w:tc>
        <w:tc>
          <w:tcPr>
            <w:tcW w:w="1304" w:type="dxa"/>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2191" w:type="dxa"/>
            <w:gridSpan w:val="2"/>
            <w:vAlign w:val="center"/>
          </w:tcPr>
          <w:p>
            <w:pPr>
              <w:spacing w:line="560" w:lineRule="exact"/>
              <w:ind w:firstLine="420"/>
              <w:jc w:val="center"/>
              <w:rPr>
                <w:rFonts w:ascii="宋体" w:hAnsi="宋体"/>
                <w:szCs w:val="21"/>
              </w:rPr>
            </w:pPr>
          </w:p>
        </w:tc>
        <w:tc>
          <w:tcPr>
            <w:tcW w:w="1100" w:type="dxa"/>
            <w:gridSpan w:val="2"/>
          </w:tcPr>
          <w:p>
            <w:pPr>
              <w:spacing w:line="560" w:lineRule="exact"/>
              <w:ind w:firstLine="420"/>
              <w:jc w:val="center"/>
              <w:rPr>
                <w:rFonts w:ascii="宋体" w:hAnsi="宋体"/>
                <w:szCs w:val="21"/>
              </w:rPr>
            </w:pPr>
          </w:p>
        </w:tc>
        <w:tc>
          <w:tcPr>
            <w:tcW w:w="1304" w:type="dxa"/>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2191" w:type="dxa"/>
            <w:gridSpan w:val="2"/>
          </w:tcPr>
          <w:p>
            <w:pPr>
              <w:rPr>
                <w:rFonts w:ascii="宋体" w:hAnsi="宋体"/>
              </w:rPr>
            </w:pPr>
          </w:p>
        </w:tc>
        <w:tc>
          <w:tcPr>
            <w:tcW w:w="1100" w:type="dxa"/>
            <w:gridSpan w:val="2"/>
          </w:tcPr>
          <w:p>
            <w:pPr>
              <w:spacing w:line="560" w:lineRule="exact"/>
              <w:ind w:firstLine="420"/>
              <w:jc w:val="center"/>
              <w:rPr>
                <w:rFonts w:ascii="宋体" w:hAnsi="宋体"/>
                <w:szCs w:val="21"/>
              </w:rPr>
            </w:pPr>
          </w:p>
        </w:tc>
        <w:tc>
          <w:tcPr>
            <w:tcW w:w="1304" w:type="dxa"/>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526" w:type="dxa"/>
            <w:gridSpan w:val="2"/>
            <w:vAlign w:val="center"/>
          </w:tcPr>
          <w:p>
            <w:pPr>
              <w:spacing w:line="560" w:lineRule="exact"/>
              <w:ind w:firstLine="420"/>
              <w:jc w:val="center"/>
              <w:rPr>
                <w:rFonts w:ascii="宋体" w:hAnsi="宋体"/>
                <w:szCs w:val="21"/>
              </w:rPr>
            </w:pPr>
          </w:p>
        </w:tc>
        <w:tc>
          <w:tcPr>
            <w:tcW w:w="2191" w:type="dxa"/>
            <w:gridSpan w:val="2"/>
            <w:vAlign w:val="center"/>
          </w:tcPr>
          <w:p>
            <w:pPr>
              <w:spacing w:line="560" w:lineRule="exact"/>
              <w:ind w:firstLine="420"/>
              <w:jc w:val="center"/>
              <w:rPr>
                <w:rFonts w:ascii="宋体" w:hAnsi="宋体"/>
                <w:szCs w:val="21"/>
              </w:rPr>
            </w:pPr>
          </w:p>
        </w:tc>
        <w:tc>
          <w:tcPr>
            <w:tcW w:w="1100" w:type="dxa"/>
            <w:gridSpan w:val="2"/>
          </w:tcPr>
          <w:p>
            <w:pPr>
              <w:spacing w:line="560" w:lineRule="exact"/>
              <w:ind w:firstLine="420"/>
              <w:jc w:val="center"/>
              <w:rPr>
                <w:rFonts w:ascii="宋体" w:hAnsi="宋体"/>
                <w:szCs w:val="21"/>
              </w:rPr>
            </w:pPr>
          </w:p>
        </w:tc>
        <w:tc>
          <w:tcPr>
            <w:tcW w:w="1304" w:type="dxa"/>
          </w:tcPr>
          <w:p>
            <w:pPr>
              <w:spacing w:line="560" w:lineRule="exact"/>
              <w:ind w:firstLine="420"/>
              <w:jc w:val="center"/>
              <w:rPr>
                <w:rFonts w:ascii="宋体" w:hAnsi="宋体"/>
                <w:szCs w:val="21"/>
              </w:rPr>
            </w:pPr>
          </w:p>
        </w:tc>
      </w:tr>
    </w:tbl>
    <w:p>
      <w:pPr>
        <w:ind w:left="315" w:leftChars="150" w:right="399" w:rightChars="190"/>
        <w:rPr>
          <w:rFonts w:ascii="宋体" w:hAnsi="宋体"/>
          <w:szCs w:val="21"/>
        </w:rPr>
      </w:pPr>
      <w:r>
        <w:rPr>
          <w:rFonts w:ascii="宋体" w:hAnsi="宋体"/>
        </w:rPr>
        <w:t>【备注：附</w:t>
      </w:r>
      <w:r>
        <w:rPr>
          <w:rFonts w:hint="eastAsia" w:ascii="宋体" w:hAnsi="宋体"/>
        </w:rPr>
        <w:t>检测项目总负责人</w:t>
      </w:r>
      <w:r>
        <w:rPr>
          <w:rFonts w:ascii="宋体" w:hAnsi="宋体"/>
        </w:rPr>
        <w:t>的资格证书、职称证书等相关证件</w:t>
      </w:r>
      <w:r>
        <w:rPr>
          <w:rFonts w:hint="eastAsia" w:ascii="宋体" w:hAnsi="宋体"/>
        </w:rPr>
        <w:t>复印件，以及投标人认为需要的其他证明材料复印件。</w:t>
      </w:r>
      <w:r>
        <w:rPr>
          <w:rFonts w:ascii="宋体" w:hAnsi="宋体"/>
        </w:rPr>
        <w:t>】</w:t>
      </w:r>
    </w:p>
    <w:p>
      <w:pPr>
        <w:ind w:left="315" w:leftChars="150" w:right="399" w:rightChars="190"/>
        <w:rPr>
          <w:rFonts w:ascii="宋体" w:hAnsi="宋体"/>
          <w:szCs w:val="21"/>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rPr>
          <w:rFonts w:ascii="宋体" w:hAnsi="宋体"/>
          <w:b/>
          <w:color w:val="000000"/>
          <w:sz w:val="24"/>
        </w:rPr>
      </w:pPr>
    </w:p>
    <w:p>
      <w:pPr>
        <w:spacing w:line="300" w:lineRule="auto"/>
        <w:rPr>
          <w:rFonts w:ascii="宋体" w:hAnsi="宋体"/>
          <w:b/>
          <w:color w:val="000000"/>
          <w:sz w:val="24"/>
        </w:rPr>
      </w:pPr>
      <w:r>
        <w:rPr>
          <w:rFonts w:hint="eastAsia" w:ascii="宋体" w:hAnsi="宋体"/>
          <w:b/>
          <w:color w:val="000000"/>
          <w:sz w:val="24"/>
        </w:rPr>
        <w:t>附件六</w:t>
      </w:r>
    </w:p>
    <w:p>
      <w:pPr>
        <w:spacing w:line="360" w:lineRule="auto"/>
        <w:ind w:firstLine="687" w:firstLineChars="228"/>
        <w:jc w:val="center"/>
        <w:rPr>
          <w:rFonts w:ascii="宋体" w:hAnsi="宋体" w:cs="宋体"/>
          <w:szCs w:val="21"/>
        </w:rPr>
      </w:pPr>
      <w:r>
        <w:rPr>
          <w:rFonts w:hint="eastAsia"/>
          <w:b/>
          <w:bCs/>
          <w:sz w:val="30"/>
          <w:szCs w:val="30"/>
        </w:rPr>
        <w:t>《贵港市政府采购项目投标资格承诺函》</w:t>
      </w:r>
    </w:p>
    <w:p>
      <w:pPr>
        <w:spacing w:line="400" w:lineRule="exact"/>
        <w:ind w:left="763" w:leftChars="200" w:hanging="343" w:hangingChars="143"/>
        <w:jc w:val="left"/>
        <w:rPr>
          <w:rFonts w:ascii="宋体" w:hAnsi="Courier New"/>
          <w:sz w:val="24"/>
        </w:rPr>
      </w:pPr>
      <w:r>
        <w:rPr>
          <w:rFonts w:hint="eastAsia" w:ascii="宋体" w:hAnsi="Courier New"/>
          <w:sz w:val="24"/>
        </w:rPr>
        <w:t>注：根据贵港市财政局关于进一步优化政府采购营商环境有关事项的通知（贵财采〔2020〕20号）的规定，政府采购供应商参加政府采购活动实施“承诺+信用管理”的准入制度，请投标人如实填写《贵港市政府采购项目投标资格承诺函》</w:t>
      </w:r>
    </w:p>
    <w:p>
      <w:pPr>
        <w:spacing w:line="400" w:lineRule="exact"/>
        <w:ind w:firstLine="420" w:firstLineChars="200"/>
        <w:rPr>
          <w:rFonts w:ascii="宋体" w:hAnsi="Courier New"/>
          <w:szCs w:val="21"/>
        </w:rPr>
      </w:pPr>
    </w:p>
    <w:p>
      <w:pPr>
        <w:spacing w:line="400" w:lineRule="exact"/>
        <w:ind w:firstLine="720" w:firstLineChars="200"/>
        <w:rPr>
          <w:rFonts w:ascii="黑体" w:hAnsi="宋体" w:eastAsia="黑体"/>
          <w:sz w:val="36"/>
          <w:szCs w:val="36"/>
        </w:rPr>
      </w:pPr>
      <w:r>
        <w:rPr>
          <w:rFonts w:hint="eastAsia" w:ascii="黑体" w:hAnsi="宋体" w:eastAsia="黑体"/>
          <w:sz w:val="36"/>
          <w:szCs w:val="36"/>
        </w:rPr>
        <w:t>贵港市政府采购项目投标资格承诺函（格式）</w:t>
      </w:r>
    </w:p>
    <w:p>
      <w:pPr>
        <w:spacing w:line="400" w:lineRule="exact"/>
        <w:ind w:firstLine="720" w:firstLineChars="200"/>
        <w:rPr>
          <w:rFonts w:ascii="黑体" w:hAnsi="宋体" w:eastAsia="黑体"/>
          <w:sz w:val="36"/>
          <w:szCs w:val="36"/>
        </w:rPr>
      </w:pPr>
    </w:p>
    <w:p>
      <w:pPr>
        <w:wordWrap w:val="0"/>
        <w:snapToGrid w:val="0"/>
        <w:spacing w:before="156" w:beforeLines="50" w:after="50" w:line="360" w:lineRule="exact"/>
        <w:rPr>
          <w:rFonts w:ascii="宋体" w:hAnsi="Courier New"/>
          <w:sz w:val="24"/>
        </w:rPr>
      </w:pPr>
      <w:r>
        <w:rPr>
          <w:rFonts w:ascii="宋体" w:hAnsi="Courier New"/>
          <w:sz w:val="24"/>
        </w:rPr>
        <w:t>致：（采购单位名称）：</w:t>
      </w:r>
    </w:p>
    <w:p>
      <w:pPr>
        <w:spacing w:line="400" w:lineRule="exact"/>
        <w:ind w:firstLine="480" w:firstLineChars="200"/>
        <w:rPr>
          <w:rFonts w:ascii="宋体" w:hAnsi="Courier New"/>
          <w:sz w:val="24"/>
        </w:rPr>
      </w:pPr>
      <w:r>
        <w:rPr>
          <w:rFonts w:hint="eastAsia" w:ascii="宋体" w:hAnsi="Courier New"/>
          <w:sz w:val="24"/>
        </w:rPr>
        <w:t>本公司郑重承诺,根据《中华人民共和国政府采购法》第二十二条的规定,本公司为参加政府采购活动的合格供应商。即本公司同时满足以下条件:</w:t>
      </w:r>
    </w:p>
    <w:p>
      <w:pPr>
        <w:spacing w:line="400" w:lineRule="exact"/>
        <w:ind w:firstLine="480" w:firstLineChars="200"/>
        <w:rPr>
          <w:rFonts w:ascii="宋体" w:hAnsi="Courier New"/>
          <w:sz w:val="24"/>
        </w:rPr>
      </w:pPr>
      <w:r>
        <w:rPr>
          <w:rFonts w:hint="eastAsia" w:ascii="宋体" w:hAnsi="Courier New"/>
          <w:sz w:val="24"/>
        </w:rPr>
        <w:t>1.具有独立承担民事责任的能力。</w:t>
      </w:r>
    </w:p>
    <w:p>
      <w:pPr>
        <w:spacing w:line="400" w:lineRule="exact"/>
        <w:ind w:firstLine="480" w:firstLineChars="200"/>
        <w:rPr>
          <w:rFonts w:ascii="宋体" w:hAnsi="Courier New"/>
          <w:sz w:val="24"/>
        </w:rPr>
      </w:pPr>
      <w:r>
        <w:rPr>
          <w:rFonts w:hint="eastAsia" w:ascii="宋体" w:hAnsi="Courier New"/>
          <w:sz w:val="24"/>
        </w:rPr>
        <w:t>2.具有良好的商业信誉和健全的财务会计制度。</w:t>
      </w:r>
    </w:p>
    <w:p>
      <w:pPr>
        <w:spacing w:line="400" w:lineRule="exact"/>
        <w:ind w:firstLine="480" w:firstLineChars="200"/>
        <w:rPr>
          <w:rFonts w:ascii="宋体" w:hAnsi="Courier New"/>
          <w:sz w:val="24"/>
        </w:rPr>
      </w:pPr>
      <w:r>
        <w:rPr>
          <w:rFonts w:hint="eastAsia" w:ascii="宋体" w:hAnsi="Courier New"/>
          <w:sz w:val="24"/>
        </w:rPr>
        <w:t>3.具有履行合同所必需的设备和专业技术能力。</w:t>
      </w:r>
    </w:p>
    <w:p>
      <w:pPr>
        <w:spacing w:line="400" w:lineRule="exact"/>
        <w:ind w:firstLine="480" w:firstLineChars="200"/>
        <w:rPr>
          <w:rFonts w:ascii="宋体" w:hAnsi="Courier New"/>
          <w:sz w:val="24"/>
        </w:rPr>
      </w:pPr>
      <w:r>
        <w:rPr>
          <w:rFonts w:hint="eastAsia" w:ascii="宋体" w:hAnsi="Courier New"/>
          <w:sz w:val="24"/>
        </w:rPr>
        <w:t>4.有依法缴纳税收和社会保障资金的良好记录。</w:t>
      </w:r>
    </w:p>
    <w:p>
      <w:pPr>
        <w:spacing w:line="400" w:lineRule="exact"/>
        <w:ind w:firstLine="480" w:firstLineChars="200"/>
        <w:rPr>
          <w:rFonts w:ascii="宋体" w:hAnsi="Courier New"/>
          <w:sz w:val="24"/>
        </w:rPr>
      </w:pPr>
      <w:r>
        <w:rPr>
          <w:rFonts w:hint="eastAsia" w:ascii="宋体" w:hAnsi="Courier New"/>
          <w:sz w:val="24"/>
        </w:rPr>
        <w:t>5.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pPr>
        <w:spacing w:line="400" w:lineRule="exact"/>
        <w:rPr>
          <w:rFonts w:ascii="宋体" w:hAnsi="Courier New"/>
          <w:sz w:val="24"/>
        </w:rPr>
      </w:pPr>
    </w:p>
    <w:p>
      <w:pPr>
        <w:spacing w:line="400" w:lineRule="exact"/>
        <w:rPr>
          <w:rFonts w:ascii="宋体" w:hAnsi="Courier New"/>
          <w:sz w:val="24"/>
        </w:rPr>
      </w:pPr>
    </w:p>
    <w:p>
      <w:pPr>
        <w:spacing w:line="400" w:lineRule="exact"/>
        <w:ind w:firstLine="4320" w:firstLineChars="1800"/>
        <w:rPr>
          <w:rFonts w:ascii="宋体" w:hAnsi="Courier New"/>
          <w:sz w:val="24"/>
        </w:rPr>
      </w:pPr>
      <w:r>
        <w:rPr>
          <w:rFonts w:hint="eastAsia" w:ascii="宋体" w:hAnsi="Courier New"/>
          <w:sz w:val="24"/>
        </w:rPr>
        <w:t>企业名称(盖章)：</w:t>
      </w:r>
    </w:p>
    <w:p>
      <w:pPr>
        <w:spacing w:line="400" w:lineRule="exact"/>
        <w:ind w:firstLine="4320" w:firstLineChars="1800"/>
        <w:rPr>
          <w:rFonts w:ascii="宋体" w:hAnsi="Courier New"/>
          <w:sz w:val="24"/>
        </w:rPr>
      </w:pPr>
      <w:r>
        <w:rPr>
          <w:rFonts w:hint="eastAsia" w:ascii="宋体" w:hAnsi="Courier New"/>
          <w:sz w:val="24"/>
        </w:rPr>
        <w:t>法定代表人(签名)：</w:t>
      </w:r>
    </w:p>
    <w:p>
      <w:pPr>
        <w:spacing w:line="400" w:lineRule="exact"/>
        <w:ind w:firstLine="4320" w:firstLineChars="1800"/>
        <w:rPr>
          <w:rFonts w:ascii="宋体" w:hAnsi="Courier New"/>
          <w:sz w:val="24"/>
        </w:rPr>
      </w:pPr>
      <w:r>
        <w:rPr>
          <w:rFonts w:hint="eastAsia" w:ascii="宋体" w:hAnsi="Courier New"/>
          <w:sz w:val="24"/>
        </w:rPr>
        <w:t>日期：    年   月   日</w:t>
      </w:r>
    </w:p>
    <w:p>
      <w:pPr>
        <w:spacing w:line="400" w:lineRule="exact"/>
        <w:ind w:left="849" w:leftChars="200" w:hanging="429" w:hangingChars="143"/>
        <w:jc w:val="center"/>
        <w:rPr>
          <w:sz w:val="30"/>
          <w:szCs w:val="30"/>
        </w:rPr>
      </w:pP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pacing w:line="300" w:lineRule="auto"/>
        <w:rPr>
          <w:rFonts w:ascii="宋体" w:hAnsi="宋体"/>
          <w:b/>
          <w:color w:val="000000"/>
          <w:sz w:val="24"/>
        </w:rPr>
      </w:pP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pStyle w:val="2"/>
      </w:pPr>
    </w:p>
    <w:p>
      <w:pPr>
        <w:snapToGrid w:val="0"/>
        <w:spacing w:line="360" w:lineRule="exact"/>
        <w:ind w:firstLine="562" w:firstLineChars="200"/>
        <w:jc w:val="left"/>
        <w:rPr>
          <w:rFonts w:asciiTheme="minorEastAsia" w:hAnsiTheme="minorEastAsia" w:eastAsiaTheme="minorEastAsia" w:cstheme="minorEastAsia"/>
          <w:b/>
          <w:bCs/>
          <w:sz w:val="28"/>
          <w:szCs w:val="28"/>
        </w:rPr>
      </w:pPr>
    </w:p>
    <w:p>
      <w:pPr>
        <w:spacing w:line="300" w:lineRule="auto"/>
        <w:rPr>
          <w:rFonts w:ascii="宋体" w:hAnsi="宋体"/>
          <w:b/>
          <w:color w:val="000000"/>
          <w:sz w:val="24"/>
        </w:rPr>
      </w:pPr>
    </w:p>
    <w:p>
      <w:pPr>
        <w:spacing w:line="300" w:lineRule="auto"/>
        <w:rPr>
          <w:rFonts w:ascii="宋体" w:hAnsi="宋体"/>
          <w:b/>
          <w:color w:val="000000"/>
          <w:sz w:val="24"/>
        </w:rPr>
      </w:pPr>
      <w:r>
        <w:rPr>
          <w:rFonts w:hint="eastAsia" w:ascii="宋体" w:hAnsi="宋体"/>
          <w:b/>
          <w:color w:val="000000"/>
          <w:sz w:val="24"/>
        </w:rPr>
        <w:t>附件七</w:t>
      </w:r>
    </w:p>
    <w:p>
      <w:pPr>
        <w:pStyle w:val="26"/>
        <w:spacing w:line="400" w:lineRule="exact"/>
        <w:ind w:firstLine="420" w:firstLineChars="200"/>
        <w:rPr>
          <w:rFonts w:hAnsi="宋体"/>
          <w:color w:val="000000"/>
          <w:kern w:val="2"/>
          <w:sz w:val="21"/>
        </w:rPr>
      </w:pPr>
      <w:r>
        <w:rPr>
          <w:rFonts w:hint="eastAsia" w:hAnsi="宋体"/>
          <w:color w:val="000000"/>
          <w:kern w:val="2"/>
          <w:sz w:val="21"/>
        </w:rPr>
        <w:t>请逐条对应本项目招标文件第二章“服务项目采购需求”中“商务条款”的要求，详细填写相应的具体内容。“偏离说明”一栏应当选择“正偏离”、“负偏离”或“无偏离”进行填写。</w:t>
      </w:r>
    </w:p>
    <w:p>
      <w:pPr>
        <w:spacing w:line="300" w:lineRule="auto"/>
        <w:jc w:val="center"/>
        <w:rPr>
          <w:rFonts w:ascii="宋体" w:hAnsi="宋体"/>
          <w:b/>
          <w:color w:val="000000"/>
          <w:sz w:val="32"/>
          <w:szCs w:val="32"/>
        </w:rPr>
      </w:pPr>
      <w:r>
        <w:rPr>
          <w:rFonts w:hint="eastAsia" w:ascii="宋体" w:hAnsi="宋体"/>
          <w:b/>
          <w:color w:val="000000"/>
          <w:sz w:val="32"/>
          <w:szCs w:val="32"/>
        </w:rPr>
        <w:t>商务响应表</w:t>
      </w:r>
    </w:p>
    <w:p>
      <w:pPr>
        <w:spacing w:line="300" w:lineRule="auto"/>
        <w:rPr>
          <w:rFonts w:ascii="宋体" w:hAnsi="宋体"/>
          <w:color w:val="000000"/>
          <w:szCs w:val="21"/>
        </w:rPr>
      </w:pPr>
    </w:p>
    <w:p>
      <w:pPr>
        <w:spacing w:line="300" w:lineRule="auto"/>
        <w:rPr>
          <w:rFonts w:ascii="宋体" w:hAnsi="宋体"/>
          <w:color w:val="000000"/>
          <w:szCs w:val="21"/>
          <w:u w:val="single"/>
        </w:rPr>
      </w:pPr>
      <w:r>
        <w:rPr>
          <w:rFonts w:hint="eastAsia" w:ascii="宋体" w:hAnsi="宋体"/>
          <w:color w:val="000000"/>
          <w:szCs w:val="21"/>
        </w:rPr>
        <w:t>采购项目编号:</w:t>
      </w:r>
      <w:r>
        <w:rPr>
          <w:rFonts w:hint="eastAsia" w:ascii="宋体" w:hAnsi="宋体"/>
          <w:color w:val="000000"/>
          <w:szCs w:val="21"/>
          <w:u w:val="single"/>
        </w:rPr>
        <w:t xml:space="preserve">                 </w:t>
      </w:r>
    </w:p>
    <w:p>
      <w:pPr>
        <w:spacing w:line="300" w:lineRule="auto"/>
        <w:rPr>
          <w:rFonts w:ascii="宋体" w:hAnsi="宋体"/>
          <w:color w:val="000000"/>
          <w:szCs w:val="21"/>
        </w:rPr>
      </w:pPr>
      <w:r>
        <w:rPr>
          <w:rFonts w:hint="eastAsia" w:ascii="宋体" w:hAnsi="宋体"/>
          <w:color w:val="000000"/>
          <w:szCs w:val="21"/>
        </w:rPr>
        <w:t>采购项目名称:</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00" w:lineRule="auto"/>
        <w:rPr>
          <w:rFonts w:ascii="宋体" w:hAnsi="宋体"/>
          <w:color w:val="000000"/>
          <w:szCs w:val="21"/>
        </w:rPr>
      </w:pPr>
    </w:p>
    <w:tbl>
      <w:tblPr>
        <w:tblStyle w:val="51"/>
        <w:tblW w:w="90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5"/>
        <w:gridCol w:w="2350"/>
        <w:gridCol w:w="2462"/>
        <w:gridCol w:w="18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43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r>
              <w:rPr>
                <w:rFonts w:hint="eastAsia" w:ascii="宋体" w:hAnsi="宋体"/>
                <w:color w:val="000000"/>
                <w:szCs w:val="21"/>
              </w:rPr>
              <w:t>项目</w:t>
            </w:r>
          </w:p>
        </w:tc>
        <w:tc>
          <w:tcPr>
            <w:tcW w:w="235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r>
              <w:rPr>
                <w:rFonts w:hint="eastAsia" w:ascii="宋体" w:hAnsi="宋体"/>
                <w:color w:val="000000"/>
                <w:szCs w:val="21"/>
              </w:rPr>
              <w:t>磋商文件的商务要求</w:t>
            </w:r>
          </w:p>
        </w:tc>
        <w:tc>
          <w:tcPr>
            <w:tcW w:w="246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r>
              <w:rPr>
                <w:rFonts w:hint="eastAsia" w:ascii="宋体" w:hAnsi="宋体"/>
                <w:color w:val="000000"/>
                <w:szCs w:val="21"/>
              </w:rPr>
              <w:t>磋商人承诺的商务条款</w:t>
            </w:r>
          </w:p>
        </w:tc>
        <w:tc>
          <w:tcPr>
            <w:tcW w:w="181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r>
              <w:rPr>
                <w:rFonts w:hint="eastAsia" w:ascii="宋体" w:hAnsi="宋体"/>
                <w:color w:val="000000"/>
                <w:szCs w:val="21"/>
              </w:rPr>
              <w:t>检测服务期</w:t>
            </w:r>
          </w:p>
        </w:tc>
        <w:tc>
          <w:tcPr>
            <w:tcW w:w="235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246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181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r>
              <w:rPr>
                <w:rFonts w:hint="eastAsia" w:ascii="宋体" w:hAnsi="宋体"/>
                <w:color w:val="000000"/>
                <w:szCs w:val="21"/>
              </w:rPr>
              <w:t>质量要求</w:t>
            </w:r>
          </w:p>
        </w:tc>
        <w:tc>
          <w:tcPr>
            <w:tcW w:w="235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246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181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r>
              <w:rPr>
                <w:rFonts w:hint="eastAsia" w:ascii="宋体" w:hAnsi="宋体"/>
                <w:color w:val="000000"/>
                <w:szCs w:val="21"/>
              </w:rPr>
              <w:t>成果要求</w:t>
            </w:r>
          </w:p>
        </w:tc>
        <w:tc>
          <w:tcPr>
            <w:tcW w:w="235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246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181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r>
              <w:rPr>
                <w:rFonts w:hint="eastAsia" w:ascii="宋体" w:hAnsi="宋体"/>
                <w:color w:val="000000"/>
                <w:szCs w:val="21"/>
              </w:rPr>
              <w:t>报价要求</w:t>
            </w:r>
          </w:p>
        </w:tc>
        <w:tc>
          <w:tcPr>
            <w:tcW w:w="235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246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181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000000"/>
                <w:szCs w:val="21"/>
              </w:rPr>
            </w:pPr>
            <w:r>
              <w:rPr>
                <w:rFonts w:hint="eastAsia" w:ascii="宋体" w:hAnsi="宋体"/>
                <w:color w:val="000000"/>
                <w:szCs w:val="21"/>
              </w:rPr>
              <w:t>签订合同时间</w:t>
            </w:r>
          </w:p>
        </w:tc>
        <w:tc>
          <w:tcPr>
            <w:tcW w:w="235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246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c>
          <w:tcPr>
            <w:tcW w:w="181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Cs w:val="21"/>
              </w:rPr>
            </w:pPr>
            <w:r>
              <w:rPr>
                <w:rFonts w:hint="eastAsia" w:ascii="宋体" w:hAnsi="宋体"/>
                <w:szCs w:val="21"/>
              </w:rPr>
              <w:t>合同形式</w:t>
            </w:r>
          </w:p>
        </w:tc>
        <w:tc>
          <w:tcPr>
            <w:tcW w:w="235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Cs w:val="21"/>
              </w:rPr>
            </w:pPr>
          </w:p>
        </w:tc>
        <w:tc>
          <w:tcPr>
            <w:tcW w:w="246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Cs w:val="21"/>
              </w:rPr>
            </w:pPr>
          </w:p>
        </w:tc>
        <w:tc>
          <w:tcPr>
            <w:tcW w:w="181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Cs w:val="21"/>
              </w:rPr>
            </w:pPr>
            <w:r>
              <w:rPr>
                <w:rFonts w:hint="eastAsia" w:ascii="宋体" w:hAnsi="宋体"/>
                <w:szCs w:val="21"/>
              </w:rPr>
              <w:t>付款方式</w:t>
            </w:r>
          </w:p>
        </w:tc>
        <w:tc>
          <w:tcPr>
            <w:tcW w:w="235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Cs w:val="21"/>
              </w:rPr>
            </w:pPr>
          </w:p>
        </w:tc>
        <w:tc>
          <w:tcPr>
            <w:tcW w:w="246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Cs w:val="21"/>
              </w:rPr>
            </w:pPr>
          </w:p>
        </w:tc>
        <w:tc>
          <w:tcPr>
            <w:tcW w:w="181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Cs w:val="21"/>
              </w:rPr>
            </w:pPr>
            <w:r>
              <w:rPr>
                <w:rFonts w:hint="eastAsia" w:ascii="宋体" w:hAnsi="宋体"/>
                <w:szCs w:val="21"/>
              </w:rPr>
              <w:t>其他要求</w:t>
            </w:r>
          </w:p>
        </w:tc>
        <w:tc>
          <w:tcPr>
            <w:tcW w:w="235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Cs w:val="21"/>
              </w:rPr>
            </w:pPr>
          </w:p>
        </w:tc>
        <w:tc>
          <w:tcPr>
            <w:tcW w:w="246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Cs w:val="21"/>
              </w:rPr>
            </w:pPr>
          </w:p>
        </w:tc>
        <w:tc>
          <w:tcPr>
            <w:tcW w:w="181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9062" w:type="dxa"/>
            <w:gridSpan w:val="4"/>
            <w:tcBorders>
              <w:top w:val="single" w:color="auto" w:sz="4" w:space="0"/>
              <w:left w:val="single" w:color="auto" w:sz="4" w:space="0"/>
              <w:bottom w:val="single" w:color="auto" w:sz="4" w:space="0"/>
              <w:right w:val="single" w:color="auto" w:sz="4" w:space="0"/>
            </w:tcBorders>
            <w:vAlign w:val="center"/>
          </w:tcPr>
          <w:p>
            <w:pPr>
              <w:pStyle w:val="26"/>
              <w:spacing w:line="600" w:lineRule="exact"/>
              <w:rPr>
                <w:rFonts w:hAnsi="宋体"/>
                <w:sz w:val="21"/>
              </w:rPr>
            </w:pPr>
          </w:p>
          <w:p>
            <w:pPr>
              <w:pStyle w:val="26"/>
              <w:spacing w:line="600" w:lineRule="exact"/>
              <w:rPr>
                <w:rFonts w:hAnsi="宋体"/>
                <w:sz w:val="21"/>
                <w:u w:val="single"/>
              </w:rPr>
            </w:pPr>
            <w:r>
              <w:rPr>
                <w:rFonts w:hint="eastAsia" w:hAnsi="宋体"/>
                <w:sz w:val="21"/>
              </w:rPr>
              <w:t>磋商供应商（盖单位公章）：</w:t>
            </w:r>
          </w:p>
          <w:p>
            <w:pPr>
              <w:snapToGrid w:val="0"/>
              <w:spacing w:before="156" w:before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906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宋体" w:hAnsi="宋体"/>
                <w:szCs w:val="21"/>
              </w:rPr>
            </w:pPr>
            <w:r>
              <w:rPr>
                <w:rFonts w:hint="eastAsia" w:hAnsi="宋体"/>
              </w:rPr>
              <w:t>法定代表人或其委托代理人（签字）：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906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宋体" w:hAnsi="宋体"/>
                <w:szCs w:val="21"/>
              </w:rPr>
            </w:pPr>
            <w:r>
              <w:rPr>
                <w:rFonts w:hint="eastAsia" w:hAnsi="宋体"/>
              </w:rPr>
              <w:t xml:space="preserve">日期：   </w:t>
            </w:r>
            <w:r>
              <w:rPr>
                <w:rFonts w:hint="eastAsia" w:hAnsi="宋体"/>
                <w:bCs/>
              </w:rPr>
              <w:t>年    月    日</w:t>
            </w:r>
          </w:p>
        </w:tc>
      </w:tr>
    </w:tbl>
    <w:p>
      <w:pPr>
        <w:pStyle w:val="26"/>
        <w:rPr>
          <w:sz w:val="21"/>
        </w:rPr>
      </w:pPr>
      <w:r>
        <w:rPr>
          <w:rFonts w:hint="eastAsia"/>
          <w:sz w:val="21"/>
        </w:rPr>
        <w:t>注：1、表格内容均需按要求填写并盖章，不得留空，否则按投标无效处理。</w:t>
      </w:r>
    </w:p>
    <w:p>
      <w:pPr>
        <w:pStyle w:val="26"/>
        <w:rPr>
          <w:sz w:val="21"/>
        </w:rPr>
      </w:pPr>
      <w:r>
        <w:rPr>
          <w:rFonts w:hint="eastAsia"/>
          <w:sz w:val="21"/>
        </w:rPr>
        <w:t>2、当投标文件的商务承诺低于招标文件要求时，投标人应当如实写明“负偏离”，否则视为虚假应标。</w:t>
      </w:r>
    </w:p>
    <w:p>
      <w:pPr>
        <w:spacing w:line="300" w:lineRule="auto"/>
        <w:rPr>
          <w:rFonts w:ascii="宋体" w:hAnsi="宋体"/>
          <w:szCs w:val="21"/>
        </w:rPr>
      </w:pPr>
    </w:p>
    <w:p>
      <w:pPr>
        <w:spacing w:line="300" w:lineRule="auto"/>
        <w:rPr>
          <w:rFonts w:ascii="宋体" w:hAnsi="宋体"/>
          <w:szCs w:val="21"/>
        </w:rPr>
      </w:pPr>
    </w:p>
    <w:p>
      <w:pPr>
        <w:pStyle w:val="26"/>
        <w:spacing w:line="300" w:lineRule="auto"/>
        <w:rPr>
          <w:rFonts w:hAnsi="宋体"/>
        </w:rPr>
      </w:pPr>
    </w:p>
    <w:p>
      <w:pPr>
        <w:spacing w:line="300" w:lineRule="auto"/>
        <w:rPr>
          <w:rFonts w:ascii="宋体" w:hAnsi="宋体"/>
          <w:b/>
          <w:color w:val="000000"/>
          <w:szCs w:val="21"/>
        </w:rPr>
      </w:pPr>
      <w:r>
        <w:rPr>
          <w:rFonts w:hint="eastAsia" w:ascii="宋体" w:hAnsi="宋体"/>
          <w:b/>
          <w:color w:val="000000"/>
          <w:sz w:val="24"/>
        </w:rPr>
        <w:t>附件八</w:t>
      </w:r>
    </w:p>
    <w:p>
      <w:pPr>
        <w:ind w:firstLine="360" w:firstLineChars="100"/>
        <w:jc w:val="center"/>
        <w:rPr>
          <w:rStyle w:val="94"/>
          <w:rFonts w:ascii="黑体" w:hAnsi="ˎ̥" w:eastAsia="黑体"/>
          <w:color w:val="000000"/>
          <w:sz w:val="36"/>
          <w:szCs w:val="36"/>
        </w:rPr>
      </w:pPr>
      <w:r>
        <w:rPr>
          <w:rFonts w:hint="eastAsia" w:ascii="黑体" w:hAnsi="宋体" w:eastAsia="黑体"/>
          <w:color w:val="000000"/>
          <w:sz w:val="36"/>
          <w:szCs w:val="36"/>
        </w:rPr>
        <w:t>无重大违法记录声明书</w:t>
      </w:r>
    </w:p>
    <w:p>
      <w:pPr>
        <w:ind w:firstLine="210" w:firstLineChars="100"/>
        <w:rPr>
          <w:rStyle w:val="94"/>
          <w:rFonts w:ascii="ˎ̥" w:hAnsi="ˎ̥"/>
          <w:color w:val="000000"/>
          <w:szCs w:val="21"/>
        </w:rPr>
      </w:pPr>
    </w:p>
    <w:p>
      <w:pPr>
        <w:spacing w:line="360" w:lineRule="auto"/>
        <w:rPr>
          <w:rFonts w:asciiTheme="majorEastAsia" w:hAnsiTheme="majorEastAsia" w:eastAsiaTheme="majorEastAsia"/>
          <w:color w:val="000000"/>
          <w:sz w:val="24"/>
        </w:rPr>
      </w:pPr>
      <w:r>
        <w:rPr>
          <w:rStyle w:val="94"/>
          <w:rFonts w:hint="eastAsia" w:asciiTheme="majorEastAsia" w:hAnsiTheme="majorEastAsia" w:eastAsiaTheme="majorEastAsia"/>
          <w:color w:val="000000"/>
          <w:sz w:val="24"/>
        </w:rPr>
        <w:t>广西盛凯工程咨询有限公司：</w:t>
      </w:r>
    </w:p>
    <w:p>
      <w:pPr>
        <w:spacing w:line="360" w:lineRule="auto"/>
        <w:ind w:firstLine="480" w:firstLineChars="200"/>
        <w:rPr>
          <w:rFonts w:asciiTheme="majorEastAsia" w:hAnsiTheme="majorEastAsia" w:eastAsiaTheme="majorEastAsia"/>
          <w:color w:val="000000"/>
          <w:sz w:val="24"/>
        </w:rPr>
      </w:pPr>
      <w:r>
        <w:rPr>
          <w:rStyle w:val="94"/>
          <w:rFonts w:hint="eastAsia" w:asciiTheme="majorEastAsia" w:hAnsiTheme="majorEastAsia" w:eastAsiaTheme="majorEastAsia"/>
          <w:color w:val="000000"/>
          <w:sz w:val="24"/>
        </w:rPr>
        <w:t>我公司参加贵公司组织</w:t>
      </w:r>
      <w:r>
        <w:rPr>
          <w:rStyle w:val="94"/>
          <w:rFonts w:hint="eastAsia" w:asciiTheme="majorEastAsia" w:hAnsiTheme="majorEastAsia" w:eastAsiaTheme="majorEastAsia"/>
          <w:color w:val="000000"/>
          <w:sz w:val="24"/>
          <w:u w:val="single"/>
        </w:rPr>
        <w:t xml:space="preserve">         </w:t>
      </w:r>
      <w:r>
        <w:rPr>
          <w:rStyle w:val="94"/>
          <w:rFonts w:hint="eastAsia" w:asciiTheme="majorEastAsia" w:hAnsiTheme="majorEastAsia" w:eastAsiaTheme="majorEastAsia"/>
          <w:color w:val="000000"/>
          <w:sz w:val="24"/>
        </w:rPr>
        <w:t>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360" w:lineRule="auto"/>
        <w:ind w:firstLine="480" w:firstLineChars="200"/>
        <w:rPr>
          <w:rFonts w:asciiTheme="majorEastAsia" w:hAnsiTheme="majorEastAsia" w:eastAsiaTheme="majorEastAsia"/>
          <w:color w:val="000000"/>
          <w:sz w:val="24"/>
        </w:rPr>
      </w:pPr>
      <w:r>
        <w:rPr>
          <w:rStyle w:val="94"/>
          <w:rFonts w:hint="eastAsia" w:asciiTheme="majorEastAsia" w:hAnsiTheme="majorEastAsia" w:eastAsiaTheme="majorEastAsia"/>
          <w:color w:val="000000"/>
          <w:sz w:val="24"/>
        </w:rPr>
        <w:t>特此承诺。</w:t>
      </w:r>
    </w:p>
    <w:p>
      <w:pPr>
        <w:spacing w:line="360" w:lineRule="auto"/>
        <w:ind w:firstLine="480" w:firstLineChars="200"/>
        <w:rPr>
          <w:rFonts w:asciiTheme="majorEastAsia" w:hAnsiTheme="majorEastAsia" w:eastAsiaTheme="majorEastAsia"/>
          <w:color w:val="000000"/>
          <w:sz w:val="24"/>
        </w:rPr>
      </w:pPr>
    </w:p>
    <w:p>
      <w:pPr>
        <w:spacing w:line="360" w:lineRule="auto"/>
        <w:ind w:firstLine="480" w:firstLineChars="200"/>
        <w:rPr>
          <w:rFonts w:asciiTheme="majorEastAsia" w:hAnsiTheme="majorEastAsia" w:eastAsiaTheme="majorEastAsia"/>
          <w:color w:val="000000"/>
          <w:sz w:val="24"/>
        </w:rPr>
      </w:pPr>
    </w:p>
    <w:p>
      <w:pPr>
        <w:spacing w:line="360" w:lineRule="auto"/>
        <w:ind w:firstLine="480" w:firstLineChars="200"/>
        <w:rPr>
          <w:rStyle w:val="94"/>
          <w:rFonts w:asciiTheme="majorEastAsia" w:hAnsiTheme="majorEastAsia" w:eastAsiaTheme="majorEastAsia"/>
          <w:color w:val="000000"/>
          <w:sz w:val="24"/>
        </w:rPr>
      </w:pPr>
      <w:r>
        <w:rPr>
          <w:rStyle w:val="94"/>
          <w:rFonts w:hint="eastAsia" w:asciiTheme="majorEastAsia" w:hAnsiTheme="majorEastAsia" w:eastAsiaTheme="majorEastAsia"/>
          <w:color w:val="000000"/>
          <w:sz w:val="24"/>
        </w:rPr>
        <w:t xml:space="preserve">供应商公章：  </w:t>
      </w:r>
    </w:p>
    <w:p>
      <w:pPr>
        <w:spacing w:line="360" w:lineRule="auto"/>
        <w:ind w:firstLine="480" w:firstLineChars="200"/>
        <w:rPr>
          <w:rStyle w:val="94"/>
          <w:rFonts w:asciiTheme="majorEastAsia" w:hAnsiTheme="majorEastAsia" w:eastAsiaTheme="majorEastAsia"/>
          <w:color w:val="000000"/>
          <w:sz w:val="24"/>
        </w:rPr>
      </w:pPr>
      <w:r>
        <w:rPr>
          <w:rStyle w:val="94"/>
          <w:rFonts w:hint="eastAsia" w:asciiTheme="majorEastAsia" w:hAnsiTheme="majorEastAsia" w:eastAsiaTheme="majorEastAsia"/>
          <w:color w:val="000000"/>
          <w:sz w:val="24"/>
        </w:rPr>
        <w:t>法定代表人或委托代理人签字：   </w:t>
      </w:r>
    </w:p>
    <w:p>
      <w:pPr>
        <w:spacing w:line="360" w:lineRule="auto"/>
        <w:ind w:firstLine="480" w:firstLineChars="200"/>
        <w:rPr>
          <w:rFonts w:asciiTheme="majorEastAsia" w:hAnsiTheme="majorEastAsia" w:eastAsiaTheme="majorEastAsia"/>
          <w:color w:val="000000"/>
          <w:sz w:val="24"/>
        </w:rPr>
      </w:pPr>
      <w:r>
        <w:rPr>
          <w:rStyle w:val="94"/>
          <w:rFonts w:hint="eastAsia" w:asciiTheme="majorEastAsia" w:hAnsiTheme="majorEastAsia" w:eastAsiaTheme="majorEastAsia"/>
          <w:color w:val="000000"/>
          <w:sz w:val="24"/>
        </w:rPr>
        <w:t>日期：   年  月  日</w:t>
      </w: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00" w:lineRule="auto"/>
        <w:rPr>
          <w:rFonts w:ascii="宋体" w:hAnsi="宋体"/>
          <w:b/>
          <w:color w:val="000000"/>
          <w:szCs w:val="21"/>
        </w:rPr>
      </w:pPr>
    </w:p>
    <w:p>
      <w:pPr>
        <w:spacing w:line="300" w:lineRule="auto"/>
        <w:rPr>
          <w:rFonts w:ascii="宋体" w:hAnsi="宋体"/>
          <w:b/>
          <w:color w:val="000000"/>
          <w:szCs w:val="21"/>
        </w:rPr>
      </w:pPr>
    </w:p>
    <w:p>
      <w:pPr>
        <w:spacing w:line="300" w:lineRule="auto"/>
        <w:rPr>
          <w:rFonts w:ascii="宋体" w:hAnsi="宋体"/>
          <w:b/>
          <w:color w:val="000000"/>
          <w:szCs w:val="21"/>
        </w:rPr>
      </w:pPr>
    </w:p>
    <w:p>
      <w:pPr>
        <w:spacing w:line="300" w:lineRule="auto"/>
        <w:rPr>
          <w:rFonts w:ascii="宋体" w:hAnsi="宋体"/>
          <w:b/>
          <w:color w:val="000000"/>
          <w:sz w:val="24"/>
        </w:rPr>
      </w:pPr>
    </w:p>
    <w:p>
      <w:pPr>
        <w:spacing w:line="300" w:lineRule="auto"/>
        <w:rPr>
          <w:rFonts w:ascii="宋体" w:hAnsi="宋体"/>
          <w:b/>
          <w:color w:val="000000"/>
          <w:sz w:val="24"/>
        </w:rPr>
      </w:pPr>
    </w:p>
    <w:p>
      <w:pPr>
        <w:spacing w:line="300" w:lineRule="auto"/>
        <w:rPr>
          <w:rFonts w:ascii="宋体" w:hAnsi="宋体"/>
          <w:b/>
          <w:color w:val="000000"/>
          <w:sz w:val="24"/>
        </w:rPr>
      </w:pPr>
    </w:p>
    <w:p>
      <w:pPr>
        <w:spacing w:line="300" w:lineRule="auto"/>
        <w:rPr>
          <w:rFonts w:ascii="宋体" w:hAnsi="宋体"/>
          <w:b/>
          <w:color w:val="000000"/>
          <w:sz w:val="24"/>
        </w:rPr>
      </w:pPr>
    </w:p>
    <w:p>
      <w:pPr>
        <w:spacing w:line="300" w:lineRule="auto"/>
        <w:rPr>
          <w:rFonts w:ascii="宋体" w:hAnsi="宋体"/>
          <w:b/>
          <w:color w:val="000000"/>
          <w:sz w:val="24"/>
        </w:rPr>
      </w:pPr>
    </w:p>
    <w:p>
      <w:pPr>
        <w:spacing w:line="300" w:lineRule="auto"/>
        <w:rPr>
          <w:rFonts w:ascii="宋体" w:hAnsi="宋体"/>
          <w:b/>
          <w:color w:val="000000"/>
          <w:sz w:val="24"/>
        </w:rPr>
      </w:pPr>
    </w:p>
    <w:p>
      <w:pPr>
        <w:spacing w:line="300" w:lineRule="auto"/>
        <w:rPr>
          <w:rFonts w:ascii="宋体" w:hAnsi="宋体"/>
          <w:b/>
          <w:color w:val="000000"/>
          <w:sz w:val="24"/>
        </w:rPr>
      </w:pPr>
    </w:p>
    <w:p>
      <w:pPr>
        <w:spacing w:line="300" w:lineRule="auto"/>
        <w:rPr>
          <w:rFonts w:ascii="宋体" w:hAnsi="宋体"/>
          <w:b/>
          <w:color w:val="000000"/>
          <w:sz w:val="24"/>
        </w:rPr>
      </w:pPr>
    </w:p>
    <w:p>
      <w:pPr>
        <w:spacing w:line="300" w:lineRule="auto"/>
        <w:rPr>
          <w:rFonts w:ascii="宋体" w:hAnsi="宋体"/>
          <w:b/>
          <w:color w:val="000000"/>
          <w:szCs w:val="21"/>
        </w:rPr>
      </w:pPr>
      <w:r>
        <w:rPr>
          <w:rFonts w:hint="eastAsia" w:ascii="宋体" w:hAnsi="宋体"/>
          <w:b/>
          <w:color w:val="000000"/>
          <w:sz w:val="24"/>
        </w:rPr>
        <w:t>附件九</w:t>
      </w:r>
    </w:p>
    <w:p>
      <w:pPr>
        <w:jc w:val="center"/>
        <w:rPr>
          <w:rFonts w:ascii="宋体" w:hAnsi="宋体"/>
          <w:b/>
          <w:sz w:val="32"/>
          <w:szCs w:val="32"/>
        </w:rPr>
      </w:pPr>
      <w:r>
        <w:rPr>
          <w:rFonts w:ascii="宋体" w:hAnsi="宋体"/>
          <w:b/>
          <w:sz w:val="32"/>
          <w:szCs w:val="32"/>
        </w:rPr>
        <w:t>工程</w:t>
      </w:r>
      <w:r>
        <w:rPr>
          <w:rFonts w:hint="eastAsia" w:ascii="宋体" w:hAnsi="宋体"/>
          <w:b/>
          <w:sz w:val="32"/>
          <w:szCs w:val="32"/>
        </w:rPr>
        <w:t>检测</w:t>
      </w:r>
      <w:r>
        <w:rPr>
          <w:rFonts w:ascii="宋体" w:hAnsi="宋体"/>
          <w:b/>
          <w:sz w:val="32"/>
          <w:szCs w:val="32"/>
        </w:rPr>
        <w:t>大纲</w:t>
      </w:r>
    </w:p>
    <w:p>
      <w:pPr>
        <w:spacing w:line="276" w:lineRule="auto"/>
        <w:ind w:firstLine="420" w:firstLineChars="200"/>
        <w:rPr>
          <w:szCs w:val="21"/>
        </w:rPr>
      </w:pPr>
      <w:r>
        <w:rPr>
          <w:rFonts w:hint="eastAsia" w:hAnsi="宋体"/>
          <w:szCs w:val="21"/>
        </w:rPr>
        <w:t>1</w:t>
      </w:r>
      <w:r>
        <w:rPr>
          <w:rFonts w:hAnsi="宋体"/>
          <w:szCs w:val="21"/>
        </w:rPr>
        <w:t>．投标人编制工程</w:t>
      </w:r>
      <w:r>
        <w:rPr>
          <w:rFonts w:hint="eastAsia" w:hAnsi="宋体"/>
          <w:szCs w:val="21"/>
        </w:rPr>
        <w:t>检测</w:t>
      </w:r>
      <w:r>
        <w:rPr>
          <w:rFonts w:hAnsi="宋体"/>
          <w:szCs w:val="21"/>
        </w:rPr>
        <w:t>大纲的要求：编制时应采用文字并结合图表形式说明</w:t>
      </w:r>
      <w:r>
        <w:rPr>
          <w:rFonts w:hint="eastAsia" w:hAnsi="宋体"/>
          <w:szCs w:val="21"/>
        </w:rPr>
        <w:t>针对本招标项目制定的检测方案、</w:t>
      </w:r>
      <w:r>
        <w:rPr>
          <w:rFonts w:hAnsi="宋体"/>
        </w:rPr>
        <w:t>拟投入本项目人员</w:t>
      </w:r>
      <w:r>
        <w:rPr>
          <w:rFonts w:hint="eastAsia" w:hAnsi="宋体"/>
        </w:rPr>
        <w:t>、设备、场地</w:t>
      </w:r>
      <w:r>
        <w:rPr>
          <w:rFonts w:hAnsi="宋体"/>
        </w:rPr>
        <w:t>情况</w:t>
      </w:r>
      <w:r>
        <w:rPr>
          <w:rFonts w:hint="eastAsia" w:hAnsi="宋体"/>
        </w:rPr>
        <w:t>、质量控制方案、服务方案</w:t>
      </w:r>
      <w:r>
        <w:rPr>
          <w:rFonts w:hAnsi="宋体"/>
          <w:szCs w:val="21"/>
        </w:rPr>
        <w:t>等；同时应对关键</w:t>
      </w:r>
      <w:r>
        <w:rPr>
          <w:rFonts w:hint="eastAsia" w:hAnsi="宋体"/>
          <w:szCs w:val="21"/>
        </w:rPr>
        <w:t>检测项目</w:t>
      </w:r>
      <w:r>
        <w:rPr>
          <w:rFonts w:hAnsi="宋体"/>
          <w:szCs w:val="21"/>
        </w:rPr>
        <w:t>、复杂环节重点提出相应措施与</w:t>
      </w:r>
      <w:r>
        <w:rPr>
          <w:rFonts w:hint="eastAsia" w:hAnsi="宋体"/>
          <w:szCs w:val="21"/>
        </w:rPr>
        <w:t>检测前准备</w:t>
      </w:r>
      <w:r>
        <w:rPr>
          <w:rFonts w:hAnsi="宋体"/>
          <w:szCs w:val="21"/>
        </w:rPr>
        <w:t>工作的安排等。具体内容可参照如下章节展开：</w:t>
      </w:r>
    </w:p>
    <w:p>
      <w:pPr>
        <w:spacing w:line="276" w:lineRule="auto"/>
        <w:ind w:firstLine="420" w:firstLineChars="200"/>
        <w:rPr>
          <w:rFonts w:hAnsi="宋体"/>
          <w:szCs w:val="21"/>
        </w:rPr>
      </w:pPr>
      <w:r>
        <w:rPr>
          <w:rFonts w:hAnsi="宋体"/>
          <w:szCs w:val="21"/>
        </w:rPr>
        <w:fldChar w:fldCharType="begin"/>
      </w:r>
      <w:r>
        <w:rPr>
          <w:rFonts w:hAnsi="宋体"/>
          <w:szCs w:val="21"/>
        </w:rPr>
        <w:instrText xml:space="preserve"> </w:instrText>
      </w:r>
      <w:r>
        <w:rPr>
          <w:rFonts w:hint="eastAsia" w:hAnsi="宋体"/>
          <w:szCs w:val="21"/>
        </w:rPr>
        <w:instrText xml:space="preserve">eq \o\ac(○,</w:instrText>
      </w:r>
      <w:r>
        <w:rPr>
          <w:rFonts w:hint="eastAsia" w:ascii="宋体" w:hAnsi="宋体"/>
          <w:position w:val="2"/>
          <w:sz w:val="14"/>
          <w:szCs w:val="21"/>
        </w:rPr>
        <w:instrText xml:space="preserve">1</w:instrText>
      </w:r>
      <w:r>
        <w:rPr>
          <w:rFonts w:hint="eastAsia" w:hAnsi="宋体"/>
          <w:szCs w:val="21"/>
        </w:rPr>
        <w:instrText xml:space="preserve">)</w:instrText>
      </w:r>
      <w:r>
        <w:rPr>
          <w:rFonts w:hAnsi="宋体"/>
          <w:szCs w:val="21"/>
        </w:rPr>
        <w:fldChar w:fldCharType="end"/>
      </w:r>
      <w:r>
        <w:rPr>
          <w:rFonts w:hint="eastAsia" w:hAnsi="宋体"/>
          <w:szCs w:val="21"/>
        </w:rPr>
        <w:t xml:space="preserve">. </w:t>
      </w:r>
      <w:r>
        <w:rPr>
          <w:rFonts w:hAnsi="宋体"/>
          <w:szCs w:val="21"/>
        </w:rPr>
        <w:t>工程概述：</w:t>
      </w:r>
    </w:p>
    <w:p>
      <w:pPr>
        <w:spacing w:line="276" w:lineRule="auto"/>
        <w:ind w:firstLine="315" w:firstLineChars="150"/>
        <w:rPr>
          <w:rFonts w:hAnsi="宋体"/>
          <w:szCs w:val="21"/>
        </w:rPr>
      </w:pPr>
      <w:r>
        <w:rPr>
          <w:rFonts w:hint="eastAsia" w:hAnsi="宋体"/>
          <w:szCs w:val="21"/>
        </w:rPr>
        <w:t xml:space="preserve"> </w:t>
      </w:r>
      <w:r>
        <w:rPr>
          <w:rFonts w:hAnsi="宋体"/>
          <w:szCs w:val="21"/>
        </w:rPr>
        <w:fldChar w:fldCharType="begin"/>
      </w:r>
      <w:r>
        <w:rPr>
          <w:rFonts w:hAnsi="宋体"/>
          <w:szCs w:val="21"/>
        </w:rPr>
        <w:instrText xml:space="preserve"> </w:instrText>
      </w:r>
      <w:r>
        <w:rPr>
          <w:rFonts w:hint="eastAsia" w:hAnsi="宋体"/>
          <w:szCs w:val="21"/>
        </w:rPr>
        <w:instrText xml:space="preserve">eq \o\ac(○,</w:instrText>
      </w:r>
      <w:r>
        <w:rPr>
          <w:rFonts w:hint="eastAsia" w:ascii="宋体" w:hAnsi="宋体"/>
          <w:position w:val="2"/>
          <w:sz w:val="14"/>
          <w:szCs w:val="21"/>
        </w:rPr>
        <w:instrText xml:space="preserve">2</w:instrText>
      </w:r>
      <w:r>
        <w:rPr>
          <w:rFonts w:hint="eastAsia" w:hAnsi="宋体"/>
          <w:szCs w:val="21"/>
        </w:rPr>
        <w:instrText xml:space="preserve">)</w:instrText>
      </w:r>
      <w:r>
        <w:rPr>
          <w:rFonts w:hAnsi="宋体"/>
          <w:szCs w:val="21"/>
        </w:rPr>
        <w:fldChar w:fldCharType="end"/>
      </w:r>
      <w:r>
        <w:rPr>
          <w:rFonts w:hint="eastAsia" w:hAnsi="宋体"/>
          <w:szCs w:val="21"/>
        </w:rPr>
        <w:t>. 检测方案：</w:t>
      </w:r>
    </w:p>
    <w:p>
      <w:pPr>
        <w:spacing w:line="276" w:lineRule="auto"/>
        <w:ind w:firstLine="420" w:firstLineChars="200"/>
        <w:rPr>
          <w:szCs w:val="21"/>
        </w:rPr>
      </w:pPr>
      <w:r>
        <w:rPr>
          <w:rFonts w:hAnsi="宋体"/>
          <w:szCs w:val="21"/>
        </w:rPr>
        <w:fldChar w:fldCharType="begin"/>
      </w:r>
      <w:r>
        <w:rPr>
          <w:rFonts w:hAnsi="宋体"/>
          <w:szCs w:val="21"/>
        </w:rPr>
        <w:instrText xml:space="preserve"> </w:instrText>
      </w:r>
      <w:r>
        <w:rPr>
          <w:rFonts w:hint="eastAsia" w:hAnsi="宋体"/>
          <w:szCs w:val="21"/>
        </w:rPr>
        <w:instrText xml:space="preserve">eq \o\ac(○,</w:instrText>
      </w:r>
      <w:r>
        <w:rPr>
          <w:rFonts w:hint="eastAsia" w:ascii="宋体" w:hAnsi="宋体"/>
          <w:position w:val="2"/>
          <w:sz w:val="14"/>
          <w:szCs w:val="21"/>
        </w:rPr>
        <w:instrText xml:space="preserve">3</w:instrText>
      </w:r>
      <w:r>
        <w:rPr>
          <w:rFonts w:hint="eastAsia" w:hAnsi="宋体"/>
          <w:szCs w:val="21"/>
        </w:rPr>
        <w:instrText xml:space="preserve">)</w:instrText>
      </w:r>
      <w:r>
        <w:rPr>
          <w:rFonts w:hAnsi="宋体"/>
          <w:szCs w:val="21"/>
        </w:rPr>
        <w:fldChar w:fldCharType="end"/>
      </w:r>
      <w:r>
        <w:rPr>
          <w:rFonts w:hint="eastAsia" w:hAnsi="宋体"/>
          <w:szCs w:val="21"/>
        </w:rPr>
        <w:t xml:space="preserve">. </w:t>
      </w:r>
      <w:r>
        <w:rPr>
          <w:rFonts w:hAnsi="宋体"/>
        </w:rPr>
        <w:t>拟投入本项目人员</w:t>
      </w:r>
      <w:r>
        <w:rPr>
          <w:rFonts w:hint="eastAsia" w:hAnsi="宋体"/>
        </w:rPr>
        <w:t>、设备、场地</w:t>
      </w:r>
      <w:r>
        <w:rPr>
          <w:rFonts w:hAnsi="宋体"/>
        </w:rPr>
        <w:t>情况</w:t>
      </w:r>
    </w:p>
    <w:p>
      <w:pPr>
        <w:spacing w:line="276" w:lineRule="auto"/>
        <w:ind w:firstLine="420" w:firstLineChars="200"/>
        <w:rPr>
          <w:szCs w:val="21"/>
        </w:rPr>
      </w:pPr>
      <w:r>
        <w:rPr>
          <w:rFonts w:hAnsi="宋体"/>
          <w:szCs w:val="21"/>
        </w:rPr>
        <w:fldChar w:fldCharType="begin"/>
      </w:r>
      <w:r>
        <w:rPr>
          <w:rFonts w:hAnsi="宋体"/>
          <w:szCs w:val="21"/>
        </w:rPr>
        <w:instrText xml:space="preserve"> </w:instrText>
      </w:r>
      <w:r>
        <w:rPr>
          <w:rFonts w:hint="eastAsia" w:hAnsi="宋体"/>
          <w:szCs w:val="21"/>
        </w:rPr>
        <w:instrText xml:space="preserve">eq \o\ac(○,</w:instrText>
      </w:r>
      <w:r>
        <w:rPr>
          <w:rFonts w:hint="eastAsia" w:ascii="宋体" w:hAnsi="宋体"/>
          <w:position w:val="2"/>
          <w:sz w:val="14"/>
          <w:szCs w:val="21"/>
        </w:rPr>
        <w:instrText xml:space="preserve">4</w:instrText>
      </w:r>
      <w:r>
        <w:rPr>
          <w:rFonts w:hint="eastAsia" w:hAnsi="宋体"/>
          <w:szCs w:val="21"/>
        </w:rPr>
        <w:instrText xml:space="preserve">)</w:instrText>
      </w:r>
      <w:r>
        <w:rPr>
          <w:rFonts w:hAnsi="宋体"/>
          <w:szCs w:val="21"/>
        </w:rPr>
        <w:fldChar w:fldCharType="end"/>
      </w:r>
      <w:r>
        <w:rPr>
          <w:rFonts w:hint="eastAsia" w:hAnsi="宋体"/>
          <w:szCs w:val="21"/>
        </w:rPr>
        <w:t xml:space="preserve">. </w:t>
      </w:r>
      <w:r>
        <w:rPr>
          <w:rFonts w:hint="eastAsia" w:hAnsi="宋体"/>
        </w:rPr>
        <w:t>质量控制方案</w:t>
      </w:r>
    </w:p>
    <w:p>
      <w:pPr>
        <w:spacing w:line="276" w:lineRule="auto"/>
        <w:ind w:firstLine="420" w:firstLineChars="200"/>
        <w:rPr>
          <w:szCs w:val="21"/>
        </w:rPr>
      </w:pPr>
      <w:r>
        <w:rPr>
          <w:rFonts w:hAnsi="宋体"/>
          <w:szCs w:val="21"/>
        </w:rPr>
        <w:fldChar w:fldCharType="begin"/>
      </w:r>
      <w:r>
        <w:rPr>
          <w:rFonts w:hAnsi="宋体"/>
          <w:szCs w:val="21"/>
        </w:rPr>
        <w:instrText xml:space="preserve"> </w:instrText>
      </w:r>
      <w:r>
        <w:rPr>
          <w:rFonts w:hint="eastAsia" w:hAnsi="宋体"/>
          <w:szCs w:val="21"/>
        </w:rPr>
        <w:instrText xml:space="preserve">eq \o\ac(○,</w:instrText>
      </w:r>
      <w:r>
        <w:rPr>
          <w:rFonts w:hint="eastAsia" w:ascii="宋体" w:hAnsi="宋体"/>
          <w:position w:val="2"/>
          <w:sz w:val="14"/>
          <w:szCs w:val="21"/>
        </w:rPr>
        <w:instrText xml:space="preserve">5</w:instrText>
      </w:r>
      <w:r>
        <w:rPr>
          <w:rFonts w:hint="eastAsia" w:hAnsi="宋体"/>
          <w:szCs w:val="21"/>
        </w:rPr>
        <w:instrText xml:space="preserve">)</w:instrText>
      </w:r>
      <w:r>
        <w:rPr>
          <w:rFonts w:hAnsi="宋体"/>
          <w:szCs w:val="21"/>
        </w:rPr>
        <w:fldChar w:fldCharType="end"/>
      </w:r>
      <w:r>
        <w:rPr>
          <w:rFonts w:hint="eastAsia" w:hAnsi="宋体"/>
          <w:szCs w:val="21"/>
        </w:rPr>
        <w:t xml:space="preserve">. </w:t>
      </w:r>
      <w:r>
        <w:rPr>
          <w:rFonts w:hint="eastAsia" w:hAnsi="宋体"/>
        </w:rPr>
        <w:t>服务方案</w:t>
      </w:r>
    </w:p>
    <w:p>
      <w:pPr>
        <w:spacing w:line="276" w:lineRule="auto"/>
        <w:ind w:firstLine="420" w:firstLineChars="200"/>
        <w:rPr>
          <w:szCs w:val="21"/>
        </w:rPr>
      </w:pPr>
      <w:r>
        <w:rPr>
          <w:rFonts w:hAnsi="宋体"/>
          <w:szCs w:val="21"/>
        </w:rPr>
        <w:fldChar w:fldCharType="begin"/>
      </w:r>
      <w:r>
        <w:rPr>
          <w:rFonts w:hAnsi="宋体"/>
          <w:szCs w:val="21"/>
        </w:rPr>
        <w:instrText xml:space="preserve"> </w:instrText>
      </w:r>
      <w:r>
        <w:rPr>
          <w:rFonts w:hint="eastAsia" w:hAnsi="宋体"/>
          <w:szCs w:val="21"/>
        </w:rPr>
        <w:instrText xml:space="preserve">eq \o\ac(○,</w:instrText>
      </w:r>
      <w:r>
        <w:rPr>
          <w:rFonts w:hint="eastAsia" w:ascii="宋体" w:hAnsi="宋体"/>
          <w:position w:val="2"/>
          <w:sz w:val="14"/>
          <w:szCs w:val="21"/>
        </w:rPr>
        <w:instrText xml:space="preserve">6</w:instrText>
      </w:r>
      <w:r>
        <w:rPr>
          <w:rFonts w:hint="eastAsia" w:hAnsi="宋体"/>
          <w:szCs w:val="21"/>
        </w:rPr>
        <w:instrText xml:space="preserve">)</w:instrText>
      </w:r>
      <w:r>
        <w:rPr>
          <w:rFonts w:hAnsi="宋体"/>
          <w:szCs w:val="21"/>
        </w:rPr>
        <w:fldChar w:fldCharType="end"/>
      </w:r>
      <w:r>
        <w:rPr>
          <w:rFonts w:hint="eastAsia" w:hAnsi="宋体"/>
          <w:szCs w:val="21"/>
        </w:rPr>
        <w:t xml:space="preserve">. </w:t>
      </w:r>
      <w:r>
        <w:rPr>
          <w:rFonts w:hAnsi="宋体"/>
          <w:szCs w:val="21"/>
        </w:rPr>
        <w:t>其他</w:t>
      </w:r>
      <w:r>
        <w:rPr>
          <w:szCs w:val="21"/>
        </w:rPr>
        <w:t>······</w:t>
      </w:r>
    </w:p>
    <w:p>
      <w:pPr>
        <w:spacing w:line="276" w:lineRule="auto"/>
        <w:ind w:firstLine="420" w:firstLineChars="200"/>
        <w:rPr>
          <w:szCs w:val="21"/>
        </w:rPr>
      </w:pPr>
      <w:r>
        <w:rPr>
          <w:szCs w:val="21"/>
        </w:rPr>
        <w:t>2．工程</w:t>
      </w:r>
      <w:r>
        <w:rPr>
          <w:rFonts w:hint="eastAsia"/>
          <w:szCs w:val="21"/>
        </w:rPr>
        <w:t>检测</w:t>
      </w:r>
      <w:r>
        <w:rPr>
          <w:szCs w:val="21"/>
        </w:rPr>
        <w:t>大纲除采用文字表述外可附下列图表，图表及格式要求附后。</w:t>
      </w:r>
    </w:p>
    <w:p>
      <w:pPr>
        <w:spacing w:line="276" w:lineRule="auto"/>
        <w:ind w:firstLine="420" w:firstLineChars="200"/>
        <w:rPr>
          <w:szCs w:val="21"/>
        </w:rPr>
      </w:pPr>
      <w:r>
        <w:rPr>
          <w:szCs w:val="21"/>
        </w:rPr>
        <w:t>附表一</w:t>
      </w:r>
      <w:r>
        <w:rPr>
          <w:rFonts w:hint="eastAsia"/>
          <w:szCs w:val="21"/>
        </w:rPr>
        <w:t>拟投入本项目人员情况汇总表</w:t>
      </w:r>
    </w:p>
    <w:p>
      <w:pPr>
        <w:spacing w:line="276" w:lineRule="auto"/>
        <w:ind w:firstLine="420" w:firstLineChars="200"/>
        <w:rPr>
          <w:szCs w:val="21"/>
        </w:rPr>
      </w:pPr>
      <w:r>
        <w:rPr>
          <w:szCs w:val="21"/>
        </w:rPr>
        <w:t>附表二拟投入本项目的主要检测设备仪器一览表</w:t>
      </w:r>
    </w:p>
    <w:p>
      <w:pPr>
        <w:spacing w:line="360" w:lineRule="auto"/>
        <w:rPr>
          <w:szCs w:val="21"/>
        </w:rPr>
      </w:pPr>
      <w:r>
        <w:rPr>
          <w:szCs w:val="21"/>
        </w:rPr>
        <w:t>附表一：</w:t>
      </w:r>
      <w:r>
        <w:rPr>
          <w:rFonts w:hint="eastAsia"/>
          <w:szCs w:val="21"/>
        </w:rPr>
        <w:t>拟投入本项目人员情况汇总表</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994"/>
        <w:gridCol w:w="994"/>
        <w:gridCol w:w="994"/>
        <w:gridCol w:w="994"/>
        <w:gridCol w:w="994"/>
        <w:gridCol w:w="1234"/>
        <w:gridCol w:w="99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995" w:type="dxa"/>
            <w:vMerge w:val="restart"/>
            <w:vAlign w:val="center"/>
          </w:tcPr>
          <w:p>
            <w:pPr>
              <w:spacing w:line="360" w:lineRule="auto"/>
              <w:rPr>
                <w:szCs w:val="21"/>
              </w:rPr>
            </w:pPr>
            <w:r>
              <w:rPr>
                <w:szCs w:val="21"/>
              </w:rPr>
              <w:t>序号</w:t>
            </w:r>
          </w:p>
        </w:tc>
        <w:tc>
          <w:tcPr>
            <w:tcW w:w="994" w:type="dxa"/>
            <w:vMerge w:val="restart"/>
            <w:vAlign w:val="center"/>
          </w:tcPr>
          <w:p>
            <w:pPr>
              <w:spacing w:line="360" w:lineRule="auto"/>
              <w:rPr>
                <w:szCs w:val="21"/>
              </w:rPr>
            </w:pPr>
            <w:r>
              <w:rPr>
                <w:szCs w:val="21"/>
              </w:rPr>
              <w:t>姓名</w:t>
            </w:r>
          </w:p>
        </w:tc>
        <w:tc>
          <w:tcPr>
            <w:tcW w:w="994" w:type="dxa"/>
            <w:vMerge w:val="restart"/>
            <w:vAlign w:val="center"/>
          </w:tcPr>
          <w:p>
            <w:pPr>
              <w:spacing w:line="360" w:lineRule="auto"/>
              <w:rPr>
                <w:szCs w:val="21"/>
              </w:rPr>
            </w:pPr>
            <w:r>
              <w:rPr>
                <w:szCs w:val="21"/>
              </w:rPr>
              <w:t>拟</w:t>
            </w:r>
            <w:r>
              <w:rPr>
                <w:rFonts w:hint="eastAsia"/>
                <w:szCs w:val="21"/>
              </w:rPr>
              <w:t>承担工作内容</w:t>
            </w:r>
          </w:p>
        </w:tc>
        <w:tc>
          <w:tcPr>
            <w:tcW w:w="994" w:type="dxa"/>
            <w:vMerge w:val="restart"/>
            <w:vAlign w:val="center"/>
          </w:tcPr>
          <w:p>
            <w:pPr>
              <w:spacing w:line="360" w:lineRule="auto"/>
              <w:rPr>
                <w:szCs w:val="21"/>
              </w:rPr>
            </w:pPr>
            <w:r>
              <w:rPr>
                <w:szCs w:val="21"/>
              </w:rPr>
              <w:t>学历</w:t>
            </w:r>
          </w:p>
        </w:tc>
        <w:tc>
          <w:tcPr>
            <w:tcW w:w="994" w:type="dxa"/>
            <w:vMerge w:val="restart"/>
            <w:vAlign w:val="center"/>
          </w:tcPr>
          <w:p>
            <w:pPr>
              <w:spacing w:line="360" w:lineRule="auto"/>
              <w:rPr>
                <w:szCs w:val="21"/>
              </w:rPr>
            </w:pPr>
            <w:r>
              <w:rPr>
                <w:szCs w:val="21"/>
              </w:rPr>
              <w:t>职称</w:t>
            </w:r>
          </w:p>
        </w:tc>
        <w:tc>
          <w:tcPr>
            <w:tcW w:w="994" w:type="dxa"/>
            <w:vMerge w:val="restart"/>
            <w:vAlign w:val="center"/>
          </w:tcPr>
          <w:p>
            <w:pPr>
              <w:spacing w:line="360" w:lineRule="auto"/>
              <w:rPr>
                <w:szCs w:val="21"/>
              </w:rPr>
            </w:pPr>
            <w:r>
              <w:rPr>
                <w:szCs w:val="21"/>
              </w:rPr>
              <w:t>专业</w:t>
            </w:r>
          </w:p>
        </w:tc>
        <w:tc>
          <w:tcPr>
            <w:tcW w:w="2229" w:type="dxa"/>
            <w:gridSpan w:val="2"/>
            <w:vAlign w:val="center"/>
          </w:tcPr>
          <w:p>
            <w:pPr>
              <w:spacing w:line="360" w:lineRule="auto"/>
              <w:rPr>
                <w:szCs w:val="21"/>
              </w:rPr>
            </w:pPr>
            <w:r>
              <w:rPr>
                <w:szCs w:val="21"/>
              </w:rPr>
              <w:t>执业资格或岗位</w:t>
            </w:r>
          </w:p>
          <w:p>
            <w:pPr>
              <w:spacing w:line="360" w:lineRule="auto"/>
              <w:rPr>
                <w:szCs w:val="21"/>
              </w:rPr>
            </w:pPr>
            <w:r>
              <w:rPr>
                <w:szCs w:val="21"/>
              </w:rPr>
              <w:t>（培训）证书</w:t>
            </w:r>
          </w:p>
        </w:tc>
        <w:tc>
          <w:tcPr>
            <w:tcW w:w="1090" w:type="dxa"/>
            <w:vMerge w:val="restart"/>
            <w:vAlign w:val="center"/>
          </w:tcPr>
          <w:p>
            <w:pPr>
              <w:spacing w:line="360" w:lineRule="auto"/>
              <w:rPr>
                <w:szCs w:val="21"/>
              </w:rPr>
            </w:pPr>
            <w:r>
              <w:rPr>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95" w:type="dxa"/>
            <w:vMerge w:val="continue"/>
            <w:vAlign w:val="center"/>
          </w:tcPr>
          <w:p>
            <w:pPr>
              <w:spacing w:line="360" w:lineRule="auto"/>
              <w:rPr>
                <w:szCs w:val="21"/>
              </w:rPr>
            </w:pPr>
          </w:p>
        </w:tc>
        <w:tc>
          <w:tcPr>
            <w:tcW w:w="994" w:type="dxa"/>
            <w:vMerge w:val="continue"/>
            <w:vAlign w:val="center"/>
          </w:tcPr>
          <w:p>
            <w:pPr>
              <w:spacing w:line="360" w:lineRule="auto"/>
              <w:rPr>
                <w:szCs w:val="21"/>
              </w:rPr>
            </w:pPr>
          </w:p>
        </w:tc>
        <w:tc>
          <w:tcPr>
            <w:tcW w:w="994" w:type="dxa"/>
            <w:vMerge w:val="continue"/>
            <w:vAlign w:val="center"/>
          </w:tcPr>
          <w:p>
            <w:pPr>
              <w:spacing w:line="360" w:lineRule="auto"/>
              <w:rPr>
                <w:szCs w:val="21"/>
              </w:rPr>
            </w:pPr>
          </w:p>
        </w:tc>
        <w:tc>
          <w:tcPr>
            <w:tcW w:w="994" w:type="dxa"/>
            <w:vMerge w:val="continue"/>
            <w:vAlign w:val="center"/>
          </w:tcPr>
          <w:p>
            <w:pPr>
              <w:spacing w:line="360" w:lineRule="auto"/>
              <w:rPr>
                <w:szCs w:val="21"/>
              </w:rPr>
            </w:pPr>
          </w:p>
        </w:tc>
        <w:tc>
          <w:tcPr>
            <w:tcW w:w="994" w:type="dxa"/>
            <w:vMerge w:val="continue"/>
            <w:vAlign w:val="center"/>
          </w:tcPr>
          <w:p>
            <w:pPr>
              <w:spacing w:line="360" w:lineRule="auto"/>
              <w:rPr>
                <w:szCs w:val="21"/>
              </w:rPr>
            </w:pPr>
          </w:p>
        </w:tc>
        <w:tc>
          <w:tcPr>
            <w:tcW w:w="994" w:type="dxa"/>
            <w:vMerge w:val="continue"/>
            <w:vAlign w:val="center"/>
          </w:tcPr>
          <w:p>
            <w:pPr>
              <w:spacing w:line="360" w:lineRule="auto"/>
              <w:rPr>
                <w:szCs w:val="21"/>
              </w:rPr>
            </w:pPr>
          </w:p>
        </w:tc>
        <w:tc>
          <w:tcPr>
            <w:tcW w:w="1234" w:type="dxa"/>
            <w:vAlign w:val="center"/>
          </w:tcPr>
          <w:p>
            <w:pPr>
              <w:spacing w:line="360" w:lineRule="auto"/>
              <w:rPr>
                <w:szCs w:val="21"/>
              </w:rPr>
            </w:pPr>
            <w:r>
              <w:rPr>
                <w:szCs w:val="21"/>
              </w:rPr>
              <w:t>证书名称及</w:t>
            </w:r>
            <w:r>
              <w:rPr>
                <w:rFonts w:hint="eastAsia"/>
                <w:szCs w:val="21"/>
              </w:rPr>
              <w:t>范围</w:t>
            </w:r>
          </w:p>
        </w:tc>
        <w:tc>
          <w:tcPr>
            <w:tcW w:w="995" w:type="dxa"/>
            <w:vAlign w:val="center"/>
          </w:tcPr>
          <w:p>
            <w:pPr>
              <w:spacing w:line="360" w:lineRule="auto"/>
              <w:rPr>
                <w:szCs w:val="21"/>
              </w:rPr>
            </w:pPr>
            <w:r>
              <w:rPr>
                <w:szCs w:val="21"/>
              </w:rPr>
              <w:t>证书</w:t>
            </w:r>
          </w:p>
          <w:p>
            <w:pPr>
              <w:spacing w:line="360" w:lineRule="auto"/>
              <w:rPr>
                <w:szCs w:val="21"/>
              </w:rPr>
            </w:pPr>
            <w:r>
              <w:rPr>
                <w:szCs w:val="21"/>
              </w:rPr>
              <w:t>编号</w:t>
            </w:r>
          </w:p>
        </w:tc>
        <w:tc>
          <w:tcPr>
            <w:tcW w:w="1090" w:type="dxa"/>
            <w:vMerge w:val="continue"/>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1234" w:type="dxa"/>
            <w:vAlign w:val="center"/>
          </w:tcPr>
          <w:p>
            <w:pPr>
              <w:spacing w:line="360" w:lineRule="auto"/>
              <w:rPr>
                <w:szCs w:val="21"/>
              </w:rPr>
            </w:pPr>
          </w:p>
        </w:tc>
        <w:tc>
          <w:tcPr>
            <w:tcW w:w="995" w:type="dxa"/>
            <w:vAlign w:val="center"/>
          </w:tcPr>
          <w:p>
            <w:pPr>
              <w:spacing w:line="360" w:lineRule="auto"/>
              <w:rPr>
                <w:szCs w:val="21"/>
              </w:rPr>
            </w:pPr>
          </w:p>
        </w:tc>
        <w:tc>
          <w:tcPr>
            <w:tcW w:w="1090"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1234" w:type="dxa"/>
            <w:vAlign w:val="center"/>
          </w:tcPr>
          <w:p>
            <w:pPr>
              <w:spacing w:line="360" w:lineRule="auto"/>
              <w:rPr>
                <w:szCs w:val="21"/>
              </w:rPr>
            </w:pPr>
          </w:p>
        </w:tc>
        <w:tc>
          <w:tcPr>
            <w:tcW w:w="995" w:type="dxa"/>
            <w:vAlign w:val="center"/>
          </w:tcPr>
          <w:p>
            <w:pPr>
              <w:spacing w:line="360" w:lineRule="auto"/>
              <w:rPr>
                <w:szCs w:val="21"/>
              </w:rPr>
            </w:pPr>
          </w:p>
        </w:tc>
        <w:tc>
          <w:tcPr>
            <w:tcW w:w="1090"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1234" w:type="dxa"/>
            <w:vAlign w:val="center"/>
          </w:tcPr>
          <w:p>
            <w:pPr>
              <w:spacing w:line="360" w:lineRule="auto"/>
              <w:rPr>
                <w:szCs w:val="21"/>
              </w:rPr>
            </w:pPr>
          </w:p>
        </w:tc>
        <w:tc>
          <w:tcPr>
            <w:tcW w:w="995" w:type="dxa"/>
            <w:vAlign w:val="center"/>
          </w:tcPr>
          <w:p>
            <w:pPr>
              <w:spacing w:line="360" w:lineRule="auto"/>
              <w:rPr>
                <w:szCs w:val="21"/>
              </w:rPr>
            </w:pPr>
          </w:p>
        </w:tc>
        <w:tc>
          <w:tcPr>
            <w:tcW w:w="1090"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1234" w:type="dxa"/>
            <w:vAlign w:val="center"/>
          </w:tcPr>
          <w:p>
            <w:pPr>
              <w:spacing w:line="360" w:lineRule="auto"/>
              <w:rPr>
                <w:szCs w:val="21"/>
              </w:rPr>
            </w:pPr>
          </w:p>
        </w:tc>
        <w:tc>
          <w:tcPr>
            <w:tcW w:w="995" w:type="dxa"/>
            <w:vAlign w:val="center"/>
          </w:tcPr>
          <w:p>
            <w:pPr>
              <w:spacing w:line="360" w:lineRule="auto"/>
              <w:rPr>
                <w:szCs w:val="21"/>
              </w:rPr>
            </w:pPr>
          </w:p>
        </w:tc>
        <w:tc>
          <w:tcPr>
            <w:tcW w:w="1090"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1234" w:type="dxa"/>
            <w:vAlign w:val="center"/>
          </w:tcPr>
          <w:p>
            <w:pPr>
              <w:spacing w:line="360" w:lineRule="auto"/>
              <w:rPr>
                <w:szCs w:val="21"/>
              </w:rPr>
            </w:pPr>
          </w:p>
        </w:tc>
        <w:tc>
          <w:tcPr>
            <w:tcW w:w="995" w:type="dxa"/>
            <w:vAlign w:val="center"/>
          </w:tcPr>
          <w:p>
            <w:pPr>
              <w:spacing w:line="360" w:lineRule="auto"/>
              <w:rPr>
                <w:szCs w:val="21"/>
              </w:rPr>
            </w:pPr>
          </w:p>
        </w:tc>
        <w:tc>
          <w:tcPr>
            <w:tcW w:w="1090"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1234" w:type="dxa"/>
            <w:vAlign w:val="center"/>
          </w:tcPr>
          <w:p>
            <w:pPr>
              <w:spacing w:line="360" w:lineRule="auto"/>
              <w:rPr>
                <w:szCs w:val="21"/>
              </w:rPr>
            </w:pPr>
          </w:p>
        </w:tc>
        <w:tc>
          <w:tcPr>
            <w:tcW w:w="995" w:type="dxa"/>
            <w:vAlign w:val="center"/>
          </w:tcPr>
          <w:p>
            <w:pPr>
              <w:spacing w:line="360" w:lineRule="auto"/>
              <w:rPr>
                <w:szCs w:val="21"/>
              </w:rPr>
            </w:pPr>
          </w:p>
        </w:tc>
        <w:tc>
          <w:tcPr>
            <w:tcW w:w="1090"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1234" w:type="dxa"/>
            <w:vAlign w:val="center"/>
          </w:tcPr>
          <w:p>
            <w:pPr>
              <w:spacing w:line="360" w:lineRule="auto"/>
              <w:rPr>
                <w:szCs w:val="21"/>
              </w:rPr>
            </w:pPr>
          </w:p>
        </w:tc>
        <w:tc>
          <w:tcPr>
            <w:tcW w:w="995" w:type="dxa"/>
            <w:vAlign w:val="center"/>
          </w:tcPr>
          <w:p>
            <w:pPr>
              <w:spacing w:line="360" w:lineRule="auto"/>
              <w:rPr>
                <w:szCs w:val="21"/>
              </w:rPr>
            </w:pPr>
          </w:p>
        </w:tc>
        <w:tc>
          <w:tcPr>
            <w:tcW w:w="1090"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994" w:type="dxa"/>
            <w:vAlign w:val="center"/>
          </w:tcPr>
          <w:p>
            <w:pPr>
              <w:spacing w:line="360" w:lineRule="auto"/>
              <w:rPr>
                <w:szCs w:val="21"/>
              </w:rPr>
            </w:pPr>
          </w:p>
        </w:tc>
        <w:tc>
          <w:tcPr>
            <w:tcW w:w="1234" w:type="dxa"/>
            <w:vAlign w:val="center"/>
          </w:tcPr>
          <w:p>
            <w:pPr>
              <w:spacing w:line="360" w:lineRule="auto"/>
              <w:rPr>
                <w:szCs w:val="21"/>
              </w:rPr>
            </w:pPr>
          </w:p>
        </w:tc>
        <w:tc>
          <w:tcPr>
            <w:tcW w:w="995" w:type="dxa"/>
            <w:vAlign w:val="center"/>
          </w:tcPr>
          <w:p>
            <w:pPr>
              <w:spacing w:line="360" w:lineRule="auto"/>
              <w:rPr>
                <w:szCs w:val="21"/>
              </w:rPr>
            </w:pPr>
          </w:p>
        </w:tc>
        <w:tc>
          <w:tcPr>
            <w:tcW w:w="1090" w:type="dxa"/>
            <w:vAlign w:val="center"/>
          </w:tcPr>
          <w:p>
            <w:pPr>
              <w:spacing w:line="360" w:lineRule="auto"/>
              <w:rPr>
                <w:szCs w:val="21"/>
              </w:rPr>
            </w:pPr>
          </w:p>
        </w:tc>
      </w:tr>
    </w:tbl>
    <w:p>
      <w:pPr>
        <w:spacing w:line="360" w:lineRule="auto"/>
        <w:rPr>
          <w:szCs w:val="21"/>
        </w:rPr>
      </w:pPr>
      <w:r>
        <w:rPr>
          <w:szCs w:val="21"/>
        </w:rPr>
        <w:t>【备注：</w:t>
      </w:r>
      <w:r>
        <w:rPr>
          <w:rFonts w:hint="eastAsia"/>
          <w:szCs w:val="21"/>
        </w:rPr>
        <w:t>附</w:t>
      </w:r>
      <w:r>
        <w:rPr>
          <w:szCs w:val="21"/>
        </w:rPr>
        <w:t>投入人员的资格证书（含注册证书）、职称证书等相关证件的盖投标人单位公章</w:t>
      </w:r>
      <w:r>
        <w:rPr>
          <w:rFonts w:hint="eastAsia"/>
          <w:szCs w:val="21"/>
        </w:rPr>
        <w:t>。</w:t>
      </w:r>
    </w:p>
    <w:p>
      <w:pPr>
        <w:pStyle w:val="2"/>
      </w:pPr>
    </w:p>
    <w:p>
      <w:pPr>
        <w:spacing w:line="360" w:lineRule="auto"/>
        <w:rPr>
          <w:szCs w:val="21"/>
        </w:rPr>
      </w:pPr>
      <w:r>
        <w:rPr>
          <w:rFonts w:hint="eastAsia"/>
          <w:szCs w:val="21"/>
        </w:rPr>
        <w:t>附表二：</w:t>
      </w:r>
      <w:r>
        <w:rPr>
          <w:szCs w:val="21"/>
        </w:rPr>
        <w:t>拟投入本项目的主要检测设备仪器一览表</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941"/>
        <w:gridCol w:w="941"/>
        <w:gridCol w:w="780"/>
        <w:gridCol w:w="1344"/>
        <w:gridCol w:w="780"/>
        <w:gridCol w:w="1344"/>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exac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rPr>
                <w:b/>
                <w:szCs w:val="21"/>
              </w:rPr>
            </w:pPr>
            <w:r>
              <w:rPr>
                <w:b/>
                <w:szCs w:val="21"/>
              </w:rPr>
              <w:t>序号</w:t>
            </w: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b/>
                <w:szCs w:val="21"/>
              </w:rPr>
            </w:pPr>
            <w:r>
              <w:rPr>
                <w:b/>
                <w:szCs w:val="21"/>
              </w:rPr>
              <w:t>设备名称</w:t>
            </w: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b/>
                <w:szCs w:val="21"/>
              </w:rPr>
            </w:pPr>
            <w:r>
              <w:rPr>
                <w:b/>
                <w:szCs w:val="21"/>
              </w:rPr>
              <w:t>规格型号</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b/>
                <w:szCs w:val="21"/>
              </w:rPr>
            </w:pPr>
            <w:r>
              <w:rPr>
                <w:b/>
                <w:szCs w:val="21"/>
              </w:rPr>
              <w:t>制造厂</w:t>
            </w: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b/>
                <w:szCs w:val="21"/>
              </w:rPr>
            </w:pPr>
            <w:r>
              <w:rPr>
                <w:b/>
                <w:szCs w:val="21"/>
              </w:rPr>
              <w:t>检定/校准机构</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b/>
                <w:szCs w:val="21"/>
              </w:rPr>
            </w:pPr>
            <w:r>
              <w:rPr>
                <w:b/>
                <w:szCs w:val="21"/>
              </w:rPr>
              <w:t>有效期</w:t>
            </w: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b/>
                <w:szCs w:val="21"/>
              </w:rPr>
            </w:pPr>
            <w:r>
              <w:rPr>
                <w:b/>
                <w:szCs w:val="21"/>
              </w:rPr>
              <w:t>检定/校准周期</w:t>
            </w: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rPr>
                <w:b/>
                <w:szCs w:val="21"/>
              </w:rPr>
            </w:pPr>
            <w:r>
              <w:rPr>
                <w:b/>
                <w:szCs w:val="21"/>
              </w:rPr>
              <w:t>用于何检测项目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bl>
    <w:p>
      <w:pPr>
        <w:spacing w:line="360" w:lineRule="auto"/>
        <w:rPr>
          <w:szCs w:val="21"/>
        </w:rPr>
      </w:pPr>
      <w:r>
        <w:rPr>
          <w:szCs w:val="21"/>
        </w:rPr>
        <w:t>注：附仪器检定（校准）证书等有效证明资料</w:t>
      </w:r>
      <w:r>
        <w:rPr>
          <w:rFonts w:hint="eastAsia"/>
          <w:szCs w:val="21"/>
        </w:rPr>
        <w:t>复印件</w:t>
      </w:r>
      <w:r>
        <w:rPr>
          <w:szCs w:val="21"/>
        </w:rPr>
        <w:t>。</w:t>
      </w:r>
    </w:p>
    <w:p>
      <w:pPr>
        <w:spacing w:line="300" w:lineRule="auto"/>
        <w:rPr>
          <w:rFonts w:ascii="宋体" w:hAnsi="宋体"/>
          <w:b/>
          <w:szCs w:val="21"/>
        </w:rPr>
      </w:pPr>
      <w:r>
        <w:rPr>
          <w:rFonts w:ascii="宋体" w:hAnsi="宋体"/>
          <w:b/>
          <w:szCs w:val="21"/>
        </w:rPr>
        <w:br w:type="page"/>
      </w:r>
    </w:p>
    <w:p>
      <w:pPr>
        <w:spacing w:line="300" w:lineRule="auto"/>
        <w:rPr>
          <w:rFonts w:ascii="宋体" w:hAnsi="宋体"/>
          <w:b/>
          <w:color w:val="000000"/>
          <w:sz w:val="24"/>
        </w:rPr>
      </w:pPr>
      <w:r>
        <w:rPr>
          <w:rFonts w:hint="eastAsia" w:ascii="宋体" w:hAnsi="宋体"/>
          <w:b/>
          <w:color w:val="000000"/>
          <w:sz w:val="24"/>
        </w:rPr>
        <w:t>附件十</w:t>
      </w:r>
    </w:p>
    <w:p>
      <w:pPr>
        <w:snapToGrid w:val="0"/>
        <w:spacing w:before="156" w:beforeLines="50" w:after="50"/>
        <w:rPr>
          <w:rFonts w:ascii="宋体" w:hAnsi="宋体"/>
          <w:color w:val="000000"/>
          <w:sz w:val="24"/>
        </w:rPr>
      </w:pPr>
    </w:p>
    <w:p>
      <w:pPr>
        <w:snapToGrid w:val="0"/>
        <w:spacing w:before="156" w:beforeLines="50" w:after="50"/>
        <w:jc w:val="left"/>
        <w:rPr>
          <w:color w:val="000000"/>
        </w:rPr>
      </w:pPr>
      <w:r>
        <w:rPr>
          <w:rFonts w:hint="eastAsia" w:ascii="宋体" w:hAnsi="宋体"/>
          <w:b/>
          <w:color w:val="000000"/>
          <w:sz w:val="24"/>
        </w:rPr>
        <w:t>1.中小企业声明函</w:t>
      </w:r>
    </w:p>
    <w:p>
      <w:pPr>
        <w:rPr>
          <w:color w:val="000000"/>
        </w:rPr>
      </w:pPr>
    </w:p>
    <w:p>
      <w:pPr>
        <w:spacing w:line="588" w:lineRule="exact"/>
        <w:jc w:val="center"/>
        <w:rPr>
          <w:rFonts w:ascii="仿宋_GB2312" w:eastAsia="仿宋_GB2312"/>
          <w:b/>
          <w:color w:val="000000"/>
          <w:spacing w:val="6"/>
          <w:sz w:val="32"/>
          <w:szCs w:val="32"/>
        </w:rPr>
      </w:pPr>
      <w:r>
        <w:rPr>
          <w:rFonts w:hint="eastAsia" w:ascii="仿宋_GB2312" w:eastAsia="仿宋_GB2312"/>
          <w:b/>
          <w:color w:val="000000"/>
          <w:spacing w:val="6"/>
          <w:sz w:val="32"/>
          <w:szCs w:val="32"/>
        </w:rPr>
        <w:t>中小企业声明函</w:t>
      </w:r>
    </w:p>
    <w:p>
      <w:pPr>
        <w:spacing w:line="588" w:lineRule="exact"/>
        <w:rPr>
          <w:rFonts w:ascii="仿宋_GB2312" w:eastAsia="仿宋_GB2312"/>
          <w:b/>
          <w:color w:val="000000"/>
          <w:spacing w:val="6"/>
          <w:sz w:val="30"/>
          <w:szCs w:val="30"/>
        </w:rPr>
      </w:pPr>
    </w:p>
    <w:p>
      <w:pPr>
        <w:spacing w:line="588" w:lineRule="exact"/>
        <w:ind w:firstLine="504" w:firstLineChars="200"/>
        <w:rPr>
          <w:rFonts w:ascii="仿宋_GB2312" w:eastAsia="仿宋_GB2312"/>
          <w:color w:val="000000"/>
          <w:spacing w:val="6"/>
          <w:sz w:val="24"/>
        </w:rPr>
      </w:pPr>
      <w:r>
        <w:rPr>
          <w:rFonts w:hint="eastAsia" w:ascii="仿宋_GB2312" w:eastAsia="仿宋_GB2312"/>
          <w:color w:val="000000"/>
          <w:spacing w:val="6"/>
          <w:sz w:val="24"/>
        </w:rPr>
        <w:t>本公司郑重声明，根据《政府采购促进中小企业发展暂行办法》（财库[2011]181号）的规定，本公司为</w:t>
      </w:r>
      <w:bookmarkStart w:id="67" w:name="OLE_LINK5"/>
      <w:bookmarkStart w:id="68" w:name="OLE_LINK2"/>
      <w:r>
        <w:rPr>
          <w:rFonts w:hint="eastAsia" w:ascii="仿宋_GB2312" w:eastAsia="仿宋_GB2312"/>
          <w:color w:val="000000"/>
          <w:spacing w:val="6"/>
          <w:sz w:val="24"/>
        </w:rPr>
        <w:t>______（请填写：中型、小型、微型）企业</w:t>
      </w:r>
      <w:bookmarkEnd w:id="67"/>
      <w:bookmarkEnd w:id="68"/>
      <w:r>
        <w:rPr>
          <w:rFonts w:hint="eastAsia" w:ascii="仿宋_GB2312" w:eastAsia="仿宋_GB2312"/>
          <w:color w:val="000000"/>
          <w:spacing w:val="6"/>
          <w:sz w:val="24"/>
        </w:rPr>
        <w:t>。即，本公司同时满足以下条件：</w:t>
      </w:r>
    </w:p>
    <w:p>
      <w:pPr>
        <w:spacing w:line="588" w:lineRule="exact"/>
        <w:ind w:firstLine="504" w:firstLineChars="200"/>
        <w:rPr>
          <w:rFonts w:ascii="仿宋_GB2312" w:eastAsia="仿宋_GB2312"/>
          <w:color w:val="000000"/>
          <w:spacing w:val="6"/>
          <w:sz w:val="24"/>
        </w:rPr>
      </w:pPr>
      <w:r>
        <w:rPr>
          <w:rFonts w:hint="eastAsia" w:ascii="仿宋_GB2312" w:eastAsia="仿宋_GB2312"/>
          <w:color w:val="000000"/>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504" w:firstLineChars="200"/>
        <w:rPr>
          <w:rFonts w:ascii="仿宋_GB2312" w:eastAsia="仿宋_GB2312"/>
          <w:color w:val="000000"/>
          <w:spacing w:val="6"/>
          <w:sz w:val="24"/>
        </w:rPr>
      </w:pPr>
      <w:r>
        <w:rPr>
          <w:rFonts w:hint="eastAsia" w:ascii="仿宋_GB2312" w:eastAsia="仿宋_GB2312"/>
          <w:color w:val="000000"/>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504" w:firstLineChars="200"/>
        <w:rPr>
          <w:rFonts w:ascii="仿宋_GB2312" w:eastAsia="仿宋_GB2312"/>
          <w:color w:val="000000"/>
          <w:spacing w:val="6"/>
          <w:sz w:val="24"/>
        </w:rPr>
      </w:pPr>
      <w:r>
        <w:rPr>
          <w:rFonts w:hint="eastAsia" w:ascii="仿宋_GB2312" w:eastAsia="仿宋_GB2312"/>
          <w:color w:val="000000"/>
          <w:spacing w:val="6"/>
          <w:sz w:val="24"/>
        </w:rPr>
        <w:t>本公司对上述声明的真实性负责。如有虚假，将依法承担相应责任。</w:t>
      </w:r>
    </w:p>
    <w:p>
      <w:pPr>
        <w:spacing w:line="588" w:lineRule="exact"/>
        <w:ind w:firstLine="504" w:firstLineChars="200"/>
        <w:rPr>
          <w:rFonts w:ascii="仿宋_GB2312" w:eastAsia="仿宋_GB2312"/>
          <w:color w:val="000000"/>
          <w:spacing w:val="6"/>
          <w:sz w:val="24"/>
        </w:rPr>
      </w:pPr>
    </w:p>
    <w:p>
      <w:pPr>
        <w:spacing w:line="588" w:lineRule="exact"/>
        <w:ind w:firstLine="504" w:firstLineChars="200"/>
        <w:rPr>
          <w:rFonts w:ascii="仿宋_GB2312" w:eastAsia="仿宋_GB2312"/>
          <w:color w:val="000000"/>
          <w:spacing w:val="6"/>
          <w:sz w:val="24"/>
        </w:rPr>
      </w:pPr>
    </w:p>
    <w:p>
      <w:pPr>
        <w:tabs>
          <w:tab w:val="left" w:pos="4860"/>
        </w:tabs>
        <w:spacing w:line="588" w:lineRule="exact"/>
        <w:ind w:right="1560" w:firstLine="504" w:firstLineChars="200"/>
        <w:jc w:val="center"/>
        <w:rPr>
          <w:rFonts w:ascii="仿宋_GB2312" w:eastAsia="仿宋_GB2312"/>
          <w:color w:val="000000"/>
          <w:spacing w:val="6"/>
          <w:sz w:val="24"/>
        </w:rPr>
      </w:pPr>
      <w:r>
        <w:rPr>
          <w:rFonts w:hint="eastAsia" w:ascii="仿宋_GB2312" w:eastAsia="仿宋_GB2312"/>
          <w:color w:val="000000"/>
          <w:spacing w:val="6"/>
          <w:sz w:val="24"/>
        </w:rPr>
        <w:t xml:space="preserve">               企业名称（盖章）： </w:t>
      </w:r>
    </w:p>
    <w:p>
      <w:pPr>
        <w:rPr>
          <w:color w:val="000000"/>
        </w:rPr>
      </w:pPr>
      <w:r>
        <w:rPr>
          <w:rFonts w:hint="eastAsia" w:ascii="仿宋_GB2312" w:eastAsia="仿宋_GB2312"/>
          <w:color w:val="000000"/>
          <w:spacing w:val="6"/>
          <w:sz w:val="24"/>
        </w:rPr>
        <w:t xml:space="preserve">                               日  期：     </w:t>
      </w:r>
      <w:r>
        <w:rPr>
          <w:rFonts w:hint="eastAsia" w:ascii="仿宋_GB2312" w:eastAsia="仿宋_GB2312"/>
          <w:color w:val="000000"/>
          <w:spacing w:val="6"/>
          <w:sz w:val="30"/>
          <w:szCs w:val="30"/>
        </w:rPr>
        <w:t xml:space="preserve">    </w:t>
      </w:r>
    </w:p>
    <w:p>
      <w:pPr>
        <w:rPr>
          <w:color w:val="000000"/>
        </w:rPr>
      </w:pPr>
    </w:p>
    <w:p>
      <w:pPr>
        <w:rPr>
          <w:color w:val="000000"/>
        </w:rPr>
      </w:pPr>
      <w:r>
        <w:rPr>
          <w:color w:val="000000"/>
        </w:rPr>
        <w:br w:type="page"/>
      </w:r>
    </w:p>
    <w:p>
      <w:pPr>
        <w:snapToGrid w:val="0"/>
        <w:spacing w:before="156" w:beforeLines="50" w:after="50"/>
        <w:jc w:val="left"/>
        <w:rPr>
          <w:rFonts w:ascii="宋体" w:hAnsi="宋体"/>
          <w:b/>
          <w:color w:val="000000"/>
          <w:sz w:val="24"/>
        </w:rPr>
      </w:pPr>
      <w:r>
        <w:rPr>
          <w:rFonts w:hint="eastAsia" w:ascii="宋体" w:hAnsi="宋体"/>
          <w:b/>
          <w:color w:val="000000"/>
          <w:sz w:val="24"/>
        </w:rPr>
        <w:t>2.残疾人福利性单位声明函</w:t>
      </w:r>
    </w:p>
    <w:p>
      <w:pPr>
        <w:spacing w:line="588" w:lineRule="exact"/>
        <w:jc w:val="center"/>
        <w:rPr>
          <w:rFonts w:ascii="仿宋_GB2312" w:eastAsia="仿宋_GB2312"/>
          <w:b/>
          <w:color w:val="000000"/>
          <w:spacing w:val="6"/>
          <w:sz w:val="32"/>
          <w:szCs w:val="32"/>
        </w:rPr>
      </w:pPr>
      <w:bookmarkStart w:id="69" w:name="OLE_LINK13"/>
      <w:bookmarkStart w:id="70" w:name="OLE_LINK14"/>
    </w:p>
    <w:p>
      <w:pPr>
        <w:spacing w:line="588" w:lineRule="exact"/>
        <w:jc w:val="center"/>
        <w:rPr>
          <w:rFonts w:ascii="仿宋_GB2312" w:eastAsia="仿宋_GB2312"/>
          <w:b/>
          <w:color w:val="000000"/>
          <w:spacing w:val="6"/>
          <w:sz w:val="32"/>
          <w:szCs w:val="32"/>
        </w:rPr>
      </w:pPr>
      <w:r>
        <w:rPr>
          <w:rFonts w:hint="eastAsia" w:ascii="仿宋_GB2312" w:eastAsia="仿宋_GB2312"/>
          <w:b/>
          <w:color w:val="000000"/>
          <w:spacing w:val="6"/>
          <w:sz w:val="32"/>
          <w:szCs w:val="32"/>
        </w:rPr>
        <w:t>残疾人福利性单位声明函</w:t>
      </w:r>
    </w:p>
    <w:bookmarkEnd w:id="69"/>
    <w:bookmarkEnd w:id="70"/>
    <w:p>
      <w:pPr>
        <w:spacing w:line="588" w:lineRule="exact"/>
        <w:rPr>
          <w:rFonts w:ascii="仿宋_GB2312" w:eastAsia="仿宋_GB2312"/>
          <w:b/>
          <w:color w:val="000000"/>
          <w:spacing w:val="6"/>
          <w:sz w:val="30"/>
          <w:szCs w:val="30"/>
        </w:rPr>
      </w:pPr>
    </w:p>
    <w:p>
      <w:pPr>
        <w:spacing w:line="588" w:lineRule="exact"/>
        <w:ind w:firstLine="504" w:firstLineChars="200"/>
        <w:rPr>
          <w:rFonts w:ascii="仿宋_GB2312" w:eastAsia="仿宋_GB2312"/>
          <w:color w:val="000000"/>
          <w:spacing w:val="6"/>
          <w:sz w:val="24"/>
        </w:rPr>
      </w:pPr>
      <w:r>
        <w:rPr>
          <w:rFonts w:hint="eastAsia" w:ascii="仿宋_GB2312" w:eastAsia="仿宋_GB2312"/>
          <w:color w:val="000000"/>
          <w:spacing w:val="6"/>
          <w:sz w:val="24"/>
        </w:rPr>
        <w:t>本单位郑重声明，根据《财政部 民政部 中国残疾人联合会关于促进残疾人就业政府采购政策的通知》（财库</w:t>
      </w:r>
      <w:r>
        <w:rPr>
          <w:rFonts w:hint="eastAsia" w:ascii="仿宋_GB2312" w:eastAsia="仿宋_GB2312"/>
          <w:color w:val="000000"/>
          <w:sz w:val="24"/>
        </w:rPr>
        <w:t>〔2017〕 141</w:t>
      </w:r>
      <w:r>
        <w:rPr>
          <w:rFonts w:hint="eastAsia" w:ascii="仿宋_GB2312" w:eastAsia="仿宋_GB2312"/>
          <w:color w:val="000000"/>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_GB2312" w:eastAsia="仿宋_GB2312"/>
          <w:color w:val="000000"/>
          <w:spacing w:val="6"/>
          <w:sz w:val="24"/>
        </w:rPr>
      </w:pPr>
      <w:r>
        <w:rPr>
          <w:rFonts w:hint="eastAsia" w:ascii="仿宋_GB2312" w:eastAsia="仿宋_GB2312"/>
          <w:color w:val="000000"/>
          <w:spacing w:val="6"/>
          <w:sz w:val="24"/>
        </w:rPr>
        <w:t>本单位对上述声明的真实性负责。如有虚假，将依法承担相应责任。</w:t>
      </w:r>
    </w:p>
    <w:p>
      <w:pPr>
        <w:spacing w:line="588" w:lineRule="exact"/>
        <w:ind w:firstLine="504" w:firstLineChars="200"/>
        <w:rPr>
          <w:rFonts w:ascii="仿宋_GB2312" w:eastAsia="仿宋_GB2312"/>
          <w:color w:val="000000"/>
          <w:spacing w:val="6"/>
          <w:sz w:val="24"/>
        </w:rPr>
      </w:pPr>
    </w:p>
    <w:p>
      <w:pPr>
        <w:spacing w:line="588" w:lineRule="exact"/>
        <w:ind w:firstLine="504" w:firstLineChars="200"/>
        <w:rPr>
          <w:rFonts w:ascii="仿宋_GB2312" w:eastAsia="仿宋_GB2312"/>
          <w:color w:val="000000"/>
          <w:spacing w:val="6"/>
          <w:sz w:val="24"/>
        </w:rPr>
      </w:pPr>
    </w:p>
    <w:p>
      <w:pPr>
        <w:tabs>
          <w:tab w:val="left" w:pos="4860"/>
        </w:tabs>
        <w:spacing w:line="588" w:lineRule="exact"/>
        <w:ind w:right="1560" w:firstLine="504" w:firstLineChars="200"/>
        <w:jc w:val="center"/>
        <w:rPr>
          <w:rFonts w:ascii="仿宋_GB2312" w:eastAsia="仿宋_GB2312"/>
          <w:color w:val="000000"/>
          <w:spacing w:val="6"/>
          <w:sz w:val="24"/>
        </w:rPr>
      </w:pPr>
      <w:r>
        <w:rPr>
          <w:rFonts w:hint="eastAsia" w:ascii="仿宋_GB2312" w:eastAsia="仿宋_GB2312"/>
          <w:color w:val="000000"/>
          <w:spacing w:val="6"/>
          <w:sz w:val="24"/>
        </w:rPr>
        <w:t>单位名称（盖章）：</w:t>
      </w:r>
    </w:p>
    <w:p>
      <w:pPr>
        <w:tabs>
          <w:tab w:val="left" w:pos="4860"/>
        </w:tabs>
        <w:spacing w:line="588" w:lineRule="exact"/>
        <w:ind w:right="1560" w:firstLine="504" w:firstLineChars="200"/>
        <w:jc w:val="center"/>
        <w:rPr>
          <w:rFonts w:ascii="仿宋_GB2312" w:eastAsia="仿宋_GB2312"/>
          <w:color w:val="000000"/>
          <w:spacing w:val="6"/>
          <w:sz w:val="24"/>
        </w:rPr>
      </w:pPr>
      <w:r>
        <w:rPr>
          <w:rFonts w:hint="eastAsia" w:ascii="仿宋_GB2312" w:eastAsia="仿宋_GB2312"/>
          <w:color w:val="000000"/>
          <w:spacing w:val="6"/>
          <w:sz w:val="24"/>
        </w:rPr>
        <w:t>日  期：</w:t>
      </w:r>
    </w:p>
    <w:p>
      <w:pPr>
        <w:rPr>
          <w:color w:val="000000"/>
          <w:sz w:val="28"/>
          <w:szCs w:val="28"/>
        </w:rPr>
      </w:pPr>
    </w:p>
    <w:p>
      <w:pPr>
        <w:autoSpaceDE w:val="0"/>
        <w:autoSpaceDN w:val="0"/>
        <w:spacing w:line="300" w:lineRule="auto"/>
        <w:ind w:left="480" w:hanging="480"/>
        <w:rPr>
          <w:rFonts w:ascii="宋体" w:hAnsi="宋体"/>
          <w:color w:val="000000"/>
          <w:szCs w:val="21"/>
        </w:rPr>
      </w:pPr>
    </w:p>
    <w:p>
      <w:pPr>
        <w:autoSpaceDE w:val="0"/>
        <w:autoSpaceDN w:val="0"/>
        <w:spacing w:line="300" w:lineRule="auto"/>
        <w:ind w:left="480" w:hanging="480"/>
        <w:rPr>
          <w:rFonts w:ascii="宋体" w:hAnsi="宋体"/>
          <w:color w:val="000000"/>
          <w:szCs w:val="21"/>
        </w:rPr>
      </w:pPr>
    </w:p>
    <w:p>
      <w:pPr>
        <w:autoSpaceDE w:val="0"/>
        <w:autoSpaceDN w:val="0"/>
        <w:spacing w:line="300" w:lineRule="auto"/>
        <w:ind w:left="480" w:hanging="480"/>
        <w:rPr>
          <w:rFonts w:ascii="宋体" w:hAnsi="宋体"/>
          <w:color w:val="000000"/>
          <w:szCs w:val="21"/>
        </w:rPr>
      </w:pPr>
    </w:p>
    <w:p>
      <w:pPr>
        <w:autoSpaceDE w:val="0"/>
        <w:autoSpaceDN w:val="0"/>
        <w:spacing w:line="300" w:lineRule="auto"/>
        <w:ind w:left="480" w:hanging="480"/>
        <w:rPr>
          <w:rFonts w:ascii="宋体" w:hAnsi="宋体"/>
          <w:color w:val="000000"/>
          <w:szCs w:val="21"/>
        </w:rPr>
      </w:pPr>
    </w:p>
    <w:p>
      <w:pPr>
        <w:autoSpaceDE w:val="0"/>
        <w:autoSpaceDN w:val="0"/>
        <w:spacing w:line="300" w:lineRule="auto"/>
        <w:ind w:left="480" w:hanging="480"/>
        <w:rPr>
          <w:rFonts w:ascii="宋体" w:hAnsi="宋体"/>
          <w:color w:val="000000"/>
          <w:szCs w:val="21"/>
        </w:rPr>
      </w:pPr>
    </w:p>
    <w:p>
      <w:pPr>
        <w:autoSpaceDE w:val="0"/>
        <w:autoSpaceDN w:val="0"/>
        <w:spacing w:line="300" w:lineRule="auto"/>
        <w:ind w:left="480" w:hanging="480"/>
        <w:rPr>
          <w:rFonts w:ascii="宋体" w:hAnsi="宋体"/>
          <w:color w:val="000000"/>
          <w:szCs w:val="21"/>
        </w:rPr>
      </w:pPr>
    </w:p>
    <w:p>
      <w:pPr>
        <w:autoSpaceDE w:val="0"/>
        <w:autoSpaceDN w:val="0"/>
        <w:spacing w:line="300" w:lineRule="auto"/>
        <w:ind w:left="480" w:hanging="480"/>
        <w:rPr>
          <w:rFonts w:ascii="宋体" w:hAnsi="宋体"/>
          <w:color w:val="000000"/>
          <w:szCs w:val="21"/>
        </w:rPr>
      </w:pPr>
    </w:p>
    <w:p>
      <w:pPr>
        <w:autoSpaceDE w:val="0"/>
        <w:autoSpaceDN w:val="0"/>
        <w:spacing w:line="300" w:lineRule="auto"/>
        <w:ind w:left="480" w:hanging="480"/>
        <w:rPr>
          <w:rFonts w:ascii="宋体" w:hAnsi="宋体"/>
          <w:color w:val="000000"/>
          <w:szCs w:val="21"/>
        </w:rPr>
      </w:pPr>
    </w:p>
    <w:p>
      <w:pPr>
        <w:autoSpaceDE w:val="0"/>
        <w:autoSpaceDN w:val="0"/>
        <w:spacing w:line="300" w:lineRule="auto"/>
        <w:ind w:left="480" w:hanging="480"/>
        <w:rPr>
          <w:rFonts w:ascii="宋体" w:hAnsi="宋体"/>
          <w:color w:val="000000"/>
          <w:szCs w:val="21"/>
        </w:rPr>
      </w:pPr>
    </w:p>
    <w:p>
      <w:pPr>
        <w:pStyle w:val="2"/>
      </w:pPr>
    </w:p>
    <w:p/>
    <w:p>
      <w:pPr>
        <w:jc w:val="center"/>
        <w:rPr>
          <w:rFonts w:hAnsi="宋体"/>
          <w:b/>
          <w:color w:val="000000"/>
          <w:highlight w:val="yellow"/>
        </w:rPr>
      </w:pPr>
      <w:bookmarkStart w:id="71" w:name="_Toc433110111"/>
      <w:r>
        <w:rPr>
          <w:rFonts w:hint="eastAsia"/>
          <w:b/>
          <w:color w:val="000000"/>
          <w:sz w:val="32"/>
          <w:szCs w:val="32"/>
        </w:rPr>
        <w:t>第五章  合同条款及格式</w:t>
      </w:r>
      <w:bookmarkEnd w:id="71"/>
    </w:p>
    <w:p>
      <w:pPr>
        <w:snapToGrid w:val="0"/>
        <w:spacing w:line="400" w:lineRule="exact"/>
        <w:jc w:val="center"/>
        <w:rPr>
          <w:rFonts w:ascii="宋体" w:hAnsi="宋体"/>
          <w:bCs/>
          <w:color w:val="000000"/>
          <w:sz w:val="32"/>
          <w:szCs w:val="32"/>
        </w:rPr>
      </w:pPr>
    </w:p>
    <w:p>
      <w:pPr>
        <w:spacing w:line="360" w:lineRule="auto"/>
        <w:ind w:firstLine="437"/>
        <w:jc w:val="center"/>
        <w:rPr>
          <w:rFonts w:ascii="宋体" w:hAnsi="宋体"/>
          <w:b/>
          <w:bCs/>
          <w:sz w:val="48"/>
          <w:szCs w:val="48"/>
        </w:rPr>
      </w:pPr>
      <w:r>
        <w:rPr>
          <w:rFonts w:hint="eastAsia" w:ascii="宋体" w:hAnsi="宋体"/>
          <w:b/>
          <w:bCs/>
          <w:sz w:val="48"/>
          <w:szCs w:val="48"/>
        </w:rPr>
        <w:t>广西壮族自治区房屋建筑和市政工程</w:t>
      </w:r>
    </w:p>
    <w:p>
      <w:pPr>
        <w:spacing w:line="360" w:lineRule="auto"/>
        <w:ind w:firstLine="437"/>
        <w:jc w:val="center"/>
        <w:rPr>
          <w:rFonts w:ascii="宋体" w:hAnsi="宋体"/>
          <w:b/>
          <w:sz w:val="48"/>
          <w:szCs w:val="48"/>
        </w:rPr>
      </w:pPr>
      <w:r>
        <w:rPr>
          <w:rFonts w:hint="eastAsia" w:ascii="宋体" w:hAnsi="宋体"/>
          <w:b/>
          <w:sz w:val="48"/>
          <w:szCs w:val="48"/>
        </w:rPr>
        <w:t>检测合同范本</w:t>
      </w:r>
    </w:p>
    <w:p>
      <w:pPr>
        <w:spacing w:line="360" w:lineRule="auto"/>
        <w:ind w:firstLine="437"/>
        <w:jc w:val="center"/>
        <w:rPr>
          <w:rFonts w:ascii="宋体" w:hAnsi="宋体"/>
          <w:b/>
          <w:sz w:val="48"/>
          <w:szCs w:val="48"/>
        </w:rPr>
      </w:pPr>
      <w:r>
        <w:rPr>
          <w:rFonts w:hint="eastAsia" w:ascii="宋体" w:hAnsi="宋体"/>
          <w:b/>
          <w:sz w:val="48"/>
          <w:szCs w:val="48"/>
        </w:rPr>
        <w:t>（</w:t>
      </w:r>
      <w:r>
        <w:rPr>
          <w:rFonts w:ascii="宋体" w:hAnsi="宋体"/>
          <w:b/>
          <w:sz w:val="48"/>
          <w:szCs w:val="48"/>
        </w:rPr>
        <w:t>2019</w:t>
      </w:r>
      <w:r>
        <w:rPr>
          <w:rFonts w:hint="eastAsia" w:ascii="宋体" w:hAnsi="宋体"/>
          <w:b/>
          <w:sz w:val="48"/>
          <w:szCs w:val="48"/>
        </w:rPr>
        <w:t>年版）</w:t>
      </w:r>
    </w:p>
    <w:p>
      <w:pPr>
        <w:spacing w:line="360" w:lineRule="auto"/>
        <w:jc w:val="center"/>
        <w:rPr>
          <w:rFonts w:ascii="宋体" w:hAnsi="宋体"/>
          <w:bCs/>
          <w:sz w:val="48"/>
          <w:szCs w:val="48"/>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rPr>
          <w:rFonts w:ascii="宋体" w:hAnsi="宋体"/>
          <w:sz w:val="32"/>
          <w:szCs w:val="32"/>
          <w:u w:val="single"/>
        </w:rPr>
      </w:pPr>
      <w:r>
        <w:rPr>
          <w:rFonts w:hint="eastAsia" w:ascii="宋体" w:hAnsi="宋体"/>
          <w:sz w:val="32"/>
          <w:szCs w:val="32"/>
        </w:rPr>
        <w:t>委托方合同编号：</w:t>
      </w:r>
      <w:r>
        <w:rPr>
          <w:rFonts w:hint="eastAsia" w:ascii="宋体" w:hAnsi="宋体"/>
          <w:sz w:val="32"/>
          <w:szCs w:val="32"/>
          <w:u w:val="single"/>
        </w:rPr>
        <w:t xml:space="preserve">                     </w:t>
      </w:r>
    </w:p>
    <w:p>
      <w:pPr>
        <w:spacing w:line="360" w:lineRule="auto"/>
        <w:rPr>
          <w:rFonts w:ascii="宋体" w:hAnsi="宋体"/>
          <w:b/>
          <w:bCs/>
          <w:sz w:val="24"/>
        </w:rPr>
      </w:pPr>
      <w:r>
        <w:rPr>
          <w:rFonts w:hint="eastAsia" w:ascii="宋体" w:hAnsi="宋体"/>
          <w:sz w:val="32"/>
          <w:szCs w:val="32"/>
        </w:rPr>
        <w:t>服务方合同编号：</w:t>
      </w:r>
      <w:r>
        <w:rPr>
          <w:rFonts w:hint="eastAsia" w:ascii="宋体" w:hAnsi="宋体"/>
          <w:sz w:val="32"/>
          <w:szCs w:val="32"/>
          <w:u w:val="single"/>
        </w:rPr>
        <w:t xml:space="preserve">                   </w:t>
      </w:r>
      <w:r>
        <w:rPr>
          <w:rFonts w:hint="eastAsia" w:ascii="宋体" w:hAnsi="宋体"/>
          <w:sz w:val="32"/>
          <w:szCs w:val="32"/>
        </w:rPr>
        <w:t>号</w:t>
      </w: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jc w:val="center"/>
        <w:rPr>
          <w:rFonts w:ascii="宋体" w:hAnsi="宋体"/>
          <w:b/>
          <w:sz w:val="32"/>
          <w:szCs w:val="32"/>
        </w:rPr>
      </w:pPr>
      <w:r>
        <w:rPr>
          <w:rFonts w:hint="eastAsia" w:ascii="宋体" w:hAnsi="宋体"/>
          <w:b/>
          <w:bCs/>
          <w:sz w:val="32"/>
          <w:szCs w:val="32"/>
        </w:rPr>
        <w:t xml:space="preserve">  广西住房和城乡建设厅</w:t>
      </w:r>
      <w:r>
        <w:rPr>
          <w:rFonts w:hint="eastAsia" w:ascii="宋体" w:hAnsi="宋体"/>
          <w:b/>
        </w:rPr>
        <w:t xml:space="preserve">                                                        </w:t>
      </w:r>
      <w:r>
        <w:rPr>
          <w:rFonts w:hint="eastAsia" w:ascii="宋体" w:hAnsi="宋体"/>
          <w:b/>
          <w:sz w:val="32"/>
          <w:szCs w:val="32"/>
        </w:rPr>
        <w:t>制定</w:t>
      </w:r>
    </w:p>
    <w:p>
      <w:pPr>
        <w:spacing w:line="360" w:lineRule="auto"/>
        <w:jc w:val="center"/>
        <w:rPr>
          <w:rFonts w:ascii="宋体" w:hAnsi="宋体"/>
          <w:b/>
        </w:rPr>
      </w:pPr>
      <w:r>
        <w:rPr>
          <w:rFonts w:hint="eastAsia" w:ascii="宋体" w:hAnsi="宋体"/>
          <w:b/>
          <w:bCs/>
          <w:sz w:val="32"/>
          <w:szCs w:val="32"/>
        </w:rPr>
        <w:t xml:space="preserve">   </w:t>
      </w:r>
    </w:p>
    <w:p>
      <w:pPr>
        <w:pStyle w:val="4"/>
        <w:jc w:val="center"/>
        <w:rPr>
          <w:sz w:val="36"/>
        </w:rPr>
      </w:pPr>
      <w:r>
        <w:rPr>
          <w:rFonts w:hint="eastAsia"/>
        </w:rPr>
        <w:br w:type="page"/>
      </w:r>
      <w:bookmarkStart w:id="72" w:name="_Toc22813556"/>
      <w:r>
        <w:rPr>
          <w:rFonts w:hint="eastAsia" w:ascii="Times New Roman" w:hAnsi="Times New Roman"/>
          <w:bCs w:val="0"/>
          <w:color w:val="000000"/>
        </w:rPr>
        <w:t>第一部分  协议书</w:t>
      </w:r>
      <w:bookmarkEnd w:id="72"/>
    </w:p>
    <w:p>
      <w:pPr>
        <w:tabs>
          <w:tab w:val="left" w:pos="3120"/>
        </w:tabs>
        <w:spacing w:line="360" w:lineRule="auto"/>
        <w:ind w:firstLine="883" w:firstLineChars="200"/>
        <w:jc w:val="center"/>
        <w:rPr>
          <w:rFonts w:ascii="宋体" w:hAnsi="宋体"/>
          <w:b/>
          <w:bCs/>
          <w:sz w:val="44"/>
          <w:szCs w:val="44"/>
        </w:rPr>
      </w:pPr>
    </w:p>
    <w:p>
      <w:pPr>
        <w:adjustRightInd w:val="0"/>
        <w:snapToGrid w:val="0"/>
        <w:spacing w:line="360" w:lineRule="auto"/>
        <w:ind w:firstLine="326" w:firstLineChars="250"/>
        <w:rPr>
          <w:rFonts w:ascii="宋体" w:hAnsi="宋体"/>
          <w:b/>
          <w:sz w:val="13"/>
          <w:szCs w:val="13"/>
        </w:rPr>
      </w:pPr>
    </w:p>
    <w:p>
      <w:pPr>
        <w:adjustRightInd w:val="0"/>
        <w:snapToGrid w:val="0"/>
        <w:spacing w:line="360" w:lineRule="auto"/>
        <w:rPr>
          <w:rFonts w:ascii="宋体" w:hAnsi="宋体"/>
          <w:kern w:val="0"/>
          <w:szCs w:val="21"/>
        </w:rPr>
      </w:pPr>
      <w:r>
        <w:rPr>
          <w:rFonts w:hint="eastAsia" w:ascii="宋体" w:hAnsi="宋体"/>
          <w:kern w:val="0"/>
          <w:szCs w:val="21"/>
        </w:rPr>
        <w:t>委托方：</w:t>
      </w:r>
      <w:r>
        <w:rPr>
          <w:rFonts w:hint="eastAsia" w:ascii="宋体" w:hAnsi="宋体"/>
          <w:kern w:val="0"/>
          <w:szCs w:val="21"/>
          <w:u w:val="single"/>
        </w:rPr>
        <w:t xml:space="preserve">   贵港市港南区工业园区管理委员会   </w:t>
      </w:r>
      <w:r>
        <w:rPr>
          <w:rFonts w:hint="eastAsia" w:ascii="宋体" w:hAnsi="宋体"/>
          <w:kern w:val="0"/>
          <w:szCs w:val="21"/>
        </w:rPr>
        <w:t>（以下简称甲方）</w:t>
      </w:r>
    </w:p>
    <w:p>
      <w:pPr>
        <w:adjustRightInd w:val="0"/>
        <w:snapToGrid w:val="0"/>
        <w:spacing w:line="360" w:lineRule="auto"/>
        <w:rPr>
          <w:rFonts w:ascii="宋体" w:hAnsi="宋体"/>
          <w:kern w:val="0"/>
          <w:szCs w:val="21"/>
        </w:rPr>
      </w:pPr>
      <w:r>
        <w:rPr>
          <w:rFonts w:hint="eastAsia" w:ascii="宋体" w:hAnsi="宋体"/>
          <w:kern w:val="0"/>
          <w:szCs w:val="21"/>
        </w:rPr>
        <w:t>服务方：</w:t>
      </w:r>
      <w:r>
        <w:rPr>
          <w:rFonts w:hint="eastAsia" w:ascii="宋体" w:hAnsi="宋体"/>
          <w:kern w:val="0"/>
          <w:szCs w:val="21"/>
          <w:u w:val="single"/>
        </w:rPr>
        <w:t xml:space="preserve">                              </w:t>
      </w:r>
      <w:r>
        <w:rPr>
          <w:rFonts w:hint="eastAsia" w:ascii="宋体" w:hAnsi="宋体"/>
          <w:kern w:val="0"/>
          <w:szCs w:val="21"/>
        </w:rPr>
        <w:t>（以下简称乙方）</w:t>
      </w:r>
    </w:p>
    <w:p>
      <w:pPr>
        <w:adjustRightInd w:val="0"/>
        <w:snapToGrid w:val="0"/>
        <w:spacing w:line="360" w:lineRule="auto"/>
        <w:ind w:firstLine="415" w:firstLineChars="198"/>
        <w:rPr>
          <w:rFonts w:ascii="宋体" w:hAnsi="宋体"/>
          <w:kern w:val="0"/>
          <w:szCs w:val="21"/>
        </w:rPr>
      </w:pPr>
      <w:r>
        <w:rPr>
          <w:rFonts w:hint="eastAsia" w:ascii="宋体" w:hAnsi="宋体"/>
          <w:kern w:val="0"/>
          <w:szCs w:val="21"/>
        </w:rPr>
        <w:t>甲方委托乙方对其开发建设（承建）的</w:t>
      </w:r>
      <w:r>
        <w:rPr>
          <w:rFonts w:hint="eastAsia" w:ascii="宋体" w:hAnsi="宋体"/>
          <w:szCs w:val="21"/>
          <w:u w:val="single"/>
        </w:rPr>
        <w:t xml:space="preserve">   </w:t>
      </w:r>
      <w:r>
        <w:rPr>
          <w:rFonts w:cs="宋体"/>
          <w:u w:val="single"/>
          <w:lang w:val="zh-CN"/>
        </w:rPr>
        <w:t>港南区工业园区江五路（城东大道-安澜路）基础设施建设项目</w:t>
      </w:r>
      <w:r>
        <w:rPr>
          <w:rFonts w:hint="eastAsia" w:ascii="宋体" w:hAnsi="宋体"/>
          <w:szCs w:val="21"/>
          <w:u w:val="single"/>
        </w:rPr>
        <w:t xml:space="preserve">   </w:t>
      </w:r>
      <w:r>
        <w:rPr>
          <w:rFonts w:hint="eastAsia" w:ascii="宋体" w:hAnsi="宋体"/>
          <w:kern w:val="0"/>
          <w:szCs w:val="21"/>
        </w:rPr>
        <w:t>进行检测，按照《中华人民共和国合同法》、《中华人民共和国建筑法》及其他有关法律、行政法规，遵循平等、自愿、公平和诚实信用的原则，双方就</w:t>
      </w:r>
      <w:r>
        <w:rPr>
          <w:rFonts w:hint="eastAsia" w:ascii="宋体" w:hAnsi="宋体"/>
          <w:kern w:val="0"/>
          <w:szCs w:val="21"/>
          <w:u w:val="single"/>
        </w:rPr>
        <w:t xml:space="preserve">  </w:t>
      </w:r>
      <w:r>
        <w:rPr>
          <w:rFonts w:cs="宋体"/>
          <w:u w:val="single"/>
          <w:lang w:val="zh-CN"/>
        </w:rPr>
        <w:t>港南区工业园区江五路（城东大道-安澜路）基础设施建设项目</w:t>
      </w:r>
      <w:r>
        <w:rPr>
          <w:rFonts w:hint="eastAsia" w:ascii="宋体" w:hAnsi="宋体"/>
          <w:kern w:val="0"/>
          <w:szCs w:val="21"/>
        </w:rPr>
        <w:t>工程质量检测事项协商一致，订立本合同。</w:t>
      </w:r>
      <w:bookmarkStart w:id="73" w:name="_Toc22813557"/>
    </w:p>
    <w:p>
      <w:pPr>
        <w:adjustRightInd w:val="0"/>
        <w:snapToGrid w:val="0"/>
        <w:spacing w:line="360" w:lineRule="exact"/>
        <w:rPr>
          <w:b/>
          <w:bCs/>
          <w:color w:val="000000"/>
          <w:sz w:val="24"/>
        </w:rPr>
      </w:pPr>
      <w:r>
        <w:rPr>
          <w:rFonts w:hint="eastAsia"/>
          <w:b/>
          <w:bCs/>
          <w:color w:val="000000"/>
          <w:sz w:val="24"/>
        </w:rPr>
        <w:t>一、工程概况</w:t>
      </w:r>
      <w:bookmarkEnd w:id="73"/>
    </w:p>
    <w:p>
      <w:pPr>
        <w:adjustRightInd w:val="0"/>
        <w:snapToGrid w:val="0"/>
        <w:spacing w:line="360" w:lineRule="auto"/>
        <w:ind w:firstLine="415" w:firstLineChars="198"/>
        <w:rPr>
          <w:rFonts w:ascii="宋体" w:hAnsi="宋体"/>
          <w:kern w:val="0"/>
          <w:szCs w:val="21"/>
          <w:u w:val="single"/>
        </w:rPr>
      </w:pPr>
      <w:r>
        <w:rPr>
          <w:rFonts w:hint="eastAsia" w:ascii="宋体" w:hAnsi="宋体"/>
          <w:kern w:val="0"/>
          <w:szCs w:val="21"/>
        </w:rPr>
        <w:t>工程名称：</w:t>
      </w:r>
      <w:r>
        <w:rPr>
          <w:rFonts w:hint="eastAsia" w:ascii="宋体" w:hAnsi="宋体"/>
          <w:szCs w:val="21"/>
          <w:u w:val="single"/>
        </w:rPr>
        <w:t xml:space="preserve">   </w:t>
      </w:r>
      <w:r>
        <w:rPr>
          <w:rFonts w:cs="宋体"/>
          <w:u w:val="single"/>
          <w:lang w:val="zh-CN"/>
        </w:rPr>
        <w:t>港南区工业园区江五路（城东大道-安澜路）基础设施建设项目</w:t>
      </w:r>
      <w:r>
        <w:rPr>
          <w:rFonts w:hint="eastAsia" w:ascii="宋体" w:hAnsi="宋体"/>
          <w:szCs w:val="21"/>
          <w:u w:val="single"/>
        </w:rPr>
        <w:t xml:space="preserve">  </w:t>
      </w:r>
    </w:p>
    <w:p>
      <w:pPr>
        <w:adjustRightInd w:val="0"/>
        <w:snapToGrid w:val="0"/>
        <w:spacing w:line="360" w:lineRule="auto"/>
        <w:ind w:firstLine="415" w:firstLineChars="198"/>
        <w:rPr>
          <w:rFonts w:ascii="宋体" w:hAnsi="宋体"/>
          <w:kern w:val="0"/>
          <w:szCs w:val="21"/>
        </w:rPr>
      </w:pPr>
      <w:r>
        <w:rPr>
          <w:rFonts w:hint="eastAsia" w:ascii="宋体" w:hAnsi="宋体"/>
          <w:kern w:val="0"/>
          <w:szCs w:val="21"/>
        </w:rPr>
        <w:t>工程地址：</w:t>
      </w:r>
      <w:r>
        <w:rPr>
          <w:rFonts w:cs="宋体"/>
          <w:u w:val="single"/>
          <w:lang w:val="zh-CN"/>
        </w:rPr>
        <w:t>贵港市港南区工业园区内</w:t>
      </w:r>
      <w:r>
        <w:rPr>
          <w:rFonts w:hint="eastAsia" w:ascii="宋体" w:hAnsi="宋体"/>
          <w:kern w:val="0"/>
          <w:szCs w:val="21"/>
          <w:u w:val="single"/>
        </w:rPr>
        <w:t xml:space="preserve">     </w:t>
      </w:r>
    </w:p>
    <w:p>
      <w:pPr>
        <w:spacing w:line="400" w:lineRule="exact"/>
        <w:rPr>
          <w:rFonts w:ascii="宋体" w:hAnsi="宋体"/>
          <w:color w:val="auto"/>
          <w:kern w:val="0"/>
          <w:szCs w:val="21"/>
          <w:highlight w:val="none"/>
        </w:rPr>
      </w:pPr>
      <w:r>
        <w:rPr>
          <w:rFonts w:hint="eastAsia" w:ascii="宋体" w:hAnsi="宋体"/>
          <w:szCs w:val="21"/>
        </w:rPr>
        <w:t>建设规模：</w:t>
      </w:r>
      <w:r>
        <w:rPr>
          <w:rFonts w:hint="eastAsia" w:cs="宋体"/>
          <w:u w:val="single"/>
          <w:lang w:val="zh-CN"/>
        </w:rPr>
        <w:t xml:space="preserve">  新建城市次干路1199.522米，道路红线宽度为30米，建设内容包括道路工程、桥梁工程、给排水</w:t>
      </w:r>
      <w:r>
        <w:rPr>
          <w:rFonts w:hint="eastAsia" w:cs="宋体"/>
          <w:color w:val="auto"/>
          <w:highlight w:val="none"/>
          <w:u w:val="single"/>
          <w:lang w:val="zh-CN"/>
        </w:rPr>
        <w:t>工程、电力工程、电信工程、照明工程、交通工程、绿化工程及相关配套设施建设。其中桥梁结构为1-30m预应力混凝土小箱梁，桥梁全长36.4m，桥宽33.5m；正交布置。</w:t>
      </w:r>
      <w:r>
        <w:rPr>
          <w:rFonts w:cs="宋体"/>
          <w:color w:val="auto"/>
          <w:highlight w:val="none"/>
          <w:u w:val="single"/>
          <w:lang w:val="zh-CN"/>
        </w:rPr>
        <w:t xml:space="preserve"> </w:t>
      </w:r>
    </w:p>
    <w:p>
      <w:pPr>
        <w:adjustRightInd w:val="0"/>
        <w:snapToGrid w:val="0"/>
        <w:spacing w:line="360" w:lineRule="auto"/>
        <w:ind w:firstLine="415" w:firstLineChars="198"/>
        <w:rPr>
          <w:rFonts w:ascii="宋体" w:hAnsi="宋体"/>
          <w:color w:val="auto"/>
          <w:kern w:val="0"/>
          <w:szCs w:val="21"/>
          <w:highlight w:val="none"/>
        </w:rPr>
      </w:pPr>
      <w:r>
        <w:rPr>
          <w:rFonts w:hint="eastAsia" w:ascii="宋体" w:hAnsi="宋体"/>
          <w:color w:val="auto"/>
          <w:kern w:val="0"/>
          <w:szCs w:val="21"/>
          <w:highlight w:val="none"/>
        </w:rPr>
        <w:t>结构类型：</w:t>
      </w:r>
      <w:r>
        <w:rPr>
          <w:rFonts w:hint="eastAsia" w:ascii="宋体" w:hAnsi="宋体"/>
          <w:color w:val="auto"/>
          <w:kern w:val="0"/>
          <w:szCs w:val="21"/>
          <w:highlight w:val="none"/>
          <w:u w:val="single"/>
        </w:rPr>
        <w:t xml:space="preserve">                        </w:t>
      </w:r>
    </w:p>
    <w:p>
      <w:pPr>
        <w:spacing w:line="360" w:lineRule="auto"/>
        <w:ind w:firstLine="415" w:firstLineChars="198"/>
        <w:rPr>
          <w:rFonts w:ascii="宋体" w:hAnsi="宋体"/>
          <w:color w:val="auto"/>
          <w:szCs w:val="21"/>
          <w:highlight w:val="none"/>
        </w:rPr>
      </w:pPr>
      <w:r>
        <w:rPr>
          <w:rFonts w:hint="eastAsia" w:ascii="宋体" w:hAnsi="宋体"/>
          <w:color w:val="auto"/>
          <w:szCs w:val="21"/>
          <w:highlight w:val="none"/>
        </w:rPr>
        <w:t>工程</w:t>
      </w:r>
      <w:r>
        <w:rPr>
          <w:rFonts w:hint="eastAsia" w:ascii="宋体" w:hAnsi="宋体"/>
          <w:color w:val="auto"/>
          <w:kern w:val="0"/>
          <w:szCs w:val="21"/>
          <w:highlight w:val="none"/>
        </w:rPr>
        <w:t>概算投资</w:t>
      </w:r>
      <w:r>
        <w:rPr>
          <w:rFonts w:hint="eastAsia" w:ascii="宋体" w:hAnsi="宋体" w:cs="宋体"/>
          <w:color w:val="auto"/>
          <w:kern w:val="0"/>
          <w:szCs w:val="21"/>
          <w:highlight w:val="none"/>
        </w:rPr>
        <w:t>额或建筑安装工程费</w:t>
      </w:r>
      <w:r>
        <w:rPr>
          <w:rFonts w:hint="eastAsia" w:ascii="宋体" w:hAnsi="宋体"/>
          <w:color w:val="auto"/>
          <w:szCs w:val="21"/>
          <w:highlight w:val="none"/>
        </w:rPr>
        <w:t>：</w:t>
      </w:r>
      <w:r>
        <w:rPr>
          <w:rFonts w:hint="eastAsia" w:ascii="宋体" w:hAnsi="宋体"/>
          <w:color w:val="auto"/>
          <w:szCs w:val="21"/>
          <w:highlight w:val="none"/>
          <w:u w:val="single"/>
        </w:rPr>
        <w:t xml:space="preserve">                 。 </w:t>
      </w:r>
    </w:p>
    <w:p>
      <w:pPr>
        <w:spacing w:line="360" w:lineRule="auto"/>
        <w:ind w:firstLine="420" w:firstLineChars="200"/>
        <w:rPr>
          <w:rFonts w:ascii="宋体" w:hAnsi="宋体" w:cs="宋体"/>
          <w:bCs/>
          <w:color w:val="auto"/>
          <w:szCs w:val="21"/>
          <w:highlight w:val="none"/>
          <w:u w:val="single"/>
        </w:rPr>
      </w:pPr>
      <w:r>
        <w:rPr>
          <w:rFonts w:hint="eastAsia" w:ascii="宋体" w:hAnsi="宋体" w:cs="宋体"/>
          <w:bCs/>
          <w:color w:val="auto"/>
          <w:kern w:val="0"/>
          <w:szCs w:val="21"/>
          <w:highlight w:val="none"/>
        </w:rPr>
        <w:t>工程检测范围</w:t>
      </w:r>
      <w:r>
        <w:rPr>
          <w:rFonts w:hint="eastAsia" w:ascii="宋体" w:hAnsi="宋体" w:cs="宋体"/>
          <w:bCs/>
          <w:color w:val="auto"/>
          <w:szCs w:val="21"/>
          <w:highlight w:val="none"/>
          <w:u w:val="single"/>
        </w:rPr>
        <w:t>： (专项检测或综合检测)☑ 见证取样检测  ☑ 地基基础工程检测 ☑ 主体结构工程现场检测   □建筑幕墙工程检测   □钢结构工程检测   □室内环境检测   ☑ 建筑物附属设备安装工程检测  ☑ 其他</w:t>
      </w:r>
      <w:r>
        <w:rPr>
          <w:rFonts w:ascii="宋体" w:hAnsi="宋体" w:cs="宋体"/>
          <w:bCs/>
          <w:color w:val="auto"/>
          <w:szCs w:val="21"/>
          <w:highlight w:val="none"/>
          <w:u w:val="single"/>
        </w:rPr>
        <w:t>排水工程检测、照明工程检测、</w:t>
      </w:r>
      <w:r>
        <w:rPr>
          <w:rFonts w:ascii="宋体" w:hAnsi="宋体" w:cs="宋体"/>
          <w:color w:val="auto"/>
          <w:highlight w:val="none"/>
          <w:u w:val="single"/>
        </w:rPr>
        <w:t>桥涵工程</w:t>
      </w:r>
      <w:r>
        <w:rPr>
          <w:rFonts w:hint="eastAsia" w:ascii="宋体" w:hAnsi="宋体" w:cs="宋体"/>
          <w:color w:val="auto"/>
          <w:highlight w:val="none"/>
          <w:u w:val="single"/>
        </w:rPr>
        <w:t>专项</w:t>
      </w:r>
      <w:r>
        <w:rPr>
          <w:rFonts w:ascii="宋体" w:hAnsi="宋体" w:cs="宋体"/>
          <w:color w:val="auto"/>
          <w:highlight w:val="none"/>
          <w:u w:val="single"/>
        </w:rPr>
        <w:t>检测（</w:t>
      </w:r>
      <w:r>
        <w:rPr>
          <w:rFonts w:hint="eastAsia" w:ascii="宋体" w:hAnsi="宋体" w:cs="宋体"/>
          <w:color w:val="auto"/>
          <w:highlight w:val="none"/>
          <w:u w:val="single"/>
        </w:rPr>
        <w:t>含声波透射、动静载试验等内容）</w:t>
      </w:r>
      <w:r>
        <w:rPr>
          <w:rFonts w:ascii="宋体" w:hAnsi="宋体" w:cs="宋体"/>
          <w:bCs/>
          <w:color w:val="auto"/>
          <w:szCs w:val="21"/>
          <w:highlight w:val="none"/>
          <w:u w:val="single"/>
        </w:rPr>
        <w:t>、建筑节能检测根据设计内容及国家相关规定要求必须检测的项目等,包含不限于以上所列检测项，必须达到验收要求。</w:t>
      </w:r>
    </w:p>
    <w:p>
      <w:pPr>
        <w:spacing w:line="360" w:lineRule="auto"/>
        <w:ind w:firstLine="415" w:firstLineChars="198"/>
        <w:rPr>
          <w:rFonts w:ascii="宋体" w:hAnsi="宋体"/>
          <w:szCs w:val="21"/>
        </w:rPr>
      </w:pPr>
      <w:r>
        <w:rPr>
          <w:rFonts w:hint="eastAsia" w:ascii="宋体" w:hAnsi="宋体" w:cs="宋体"/>
          <w:szCs w:val="21"/>
          <w:u w:val="single"/>
        </w:rPr>
        <w:t>即本次招标范围涵盖该项目所有需要检测的内容，投标人需根据项目情况综合考虑需要检测的内容及报价。</w:t>
      </w:r>
    </w:p>
    <w:p>
      <w:pPr>
        <w:adjustRightInd w:val="0"/>
        <w:snapToGrid w:val="0"/>
        <w:spacing w:line="360" w:lineRule="exact"/>
        <w:rPr>
          <w:b/>
          <w:bCs/>
          <w:color w:val="000000"/>
          <w:sz w:val="24"/>
        </w:rPr>
      </w:pPr>
      <w:bookmarkStart w:id="74" w:name="_Toc22813558"/>
      <w:r>
        <w:rPr>
          <w:rFonts w:hint="eastAsia"/>
          <w:b/>
          <w:bCs/>
          <w:color w:val="000000"/>
          <w:sz w:val="24"/>
        </w:rPr>
        <w:t>二、词语限定</w:t>
      </w:r>
      <w:bookmarkEnd w:id="74"/>
    </w:p>
    <w:p>
      <w:pPr>
        <w:adjustRightInd w:val="0"/>
        <w:snapToGrid w:val="0"/>
        <w:spacing w:line="360" w:lineRule="auto"/>
        <w:ind w:firstLine="415" w:firstLineChars="198"/>
        <w:rPr>
          <w:rFonts w:ascii="宋体" w:hAnsi="宋体"/>
          <w:szCs w:val="21"/>
        </w:rPr>
      </w:pPr>
      <w:r>
        <w:rPr>
          <w:rFonts w:hint="eastAsia" w:ascii="宋体" w:hAnsi="宋体"/>
          <w:szCs w:val="21"/>
        </w:rPr>
        <w:t>协议书中相关词语的含义与通用条件中的定义与解释相同。</w:t>
      </w:r>
    </w:p>
    <w:p>
      <w:pPr>
        <w:adjustRightInd w:val="0"/>
        <w:snapToGrid w:val="0"/>
        <w:spacing w:line="360" w:lineRule="exact"/>
        <w:rPr>
          <w:b/>
          <w:bCs/>
          <w:color w:val="000000"/>
          <w:sz w:val="24"/>
        </w:rPr>
      </w:pPr>
      <w:bookmarkStart w:id="75" w:name="_Toc22813559"/>
      <w:r>
        <w:rPr>
          <w:rFonts w:hint="eastAsia"/>
          <w:b/>
          <w:bCs/>
          <w:color w:val="000000"/>
          <w:sz w:val="24"/>
        </w:rPr>
        <w:t>三、组成本合同的文件</w:t>
      </w:r>
      <w:bookmarkEnd w:id="75"/>
    </w:p>
    <w:p>
      <w:pPr>
        <w:adjustRightInd w:val="0"/>
        <w:snapToGrid w:val="0"/>
        <w:spacing w:line="360" w:lineRule="auto"/>
        <w:ind w:firstLine="415" w:firstLineChars="198"/>
        <w:rPr>
          <w:rFonts w:ascii="宋体" w:hAnsi="宋体"/>
          <w:szCs w:val="21"/>
        </w:rPr>
      </w:pPr>
      <w:r>
        <w:rPr>
          <w:rFonts w:hint="eastAsia" w:ascii="宋体" w:hAnsi="宋体"/>
          <w:szCs w:val="21"/>
        </w:rPr>
        <w:t>1. 中标通知书（如有）；</w:t>
      </w:r>
    </w:p>
    <w:p>
      <w:pPr>
        <w:adjustRightInd w:val="0"/>
        <w:snapToGrid w:val="0"/>
        <w:spacing w:line="360" w:lineRule="auto"/>
        <w:ind w:firstLine="415" w:firstLineChars="198"/>
        <w:rPr>
          <w:rFonts w:ascii="宋体" w:hAnsi="宋体"/>
          <w:szCs w:val="21"/>
        </w:rPr>
      </w:pPr>
      <w:r>
        <w:rPr>
          <w:rFonts w:hint="eastAsia" w:ascii="宋体" w:hAnsi="宋体"/>
          <w:szCs w:val="21"/>
        </w:rPr>
        <w:t>2、投标函及其附录(如有)；</w:t>
      </w:r>
    </w:p>
    <w:p>
      <w:pPr>
        <w:adjustRightInd w:val="0"/>
        <w:snapToGrid w:val="0"/>
        <w:spacing w:line="360" w:lineRule="auto"/>
        <w:rPr>
          <w:rFonts w:ascii="宋体" w:hAnsi="宋体"/>
          <w:szCs w:val="21"/>
        </w:rPr>
      </w:pPr>
      <w:r>
        <w:rPr>
          <w:rFonts w:hint="eastAsia" w:ascii="宋体" w:hAnsi="宋体"/>
          <w:szCs w:val="21"/>
        </w:rPr>
        <w:t xml:space="preserve">    3. 专用合同条款及其附件；</w:t>
      </w:r>
    </w:p>
    <w:p>
      <w:pPr>
        <w:adjustRightInd w:val="0"/>
        <w:snapToGrid w:val="0"/>
        <w:spacing w:line="360" w:lineRule="auto"/>
        <w:ind w:firstLine="415" w:firstLineChars="198"/>
        <w:rPr>
          <w:rFonts w:ascii="宋体" w:hAnsi="宋体"/>
          <w:szCs w:val="21"/>
        </w:rPr>
      </w:pPr>
      <w:r>
        <w:rPr>
          <w:rFonts w:hint="eastAsia" w:ascii="宋体" w:hAnsi="宋体"/>
          <w:szCs w:val="21"/>
        </w:rPr>
        <w:t>4. 通用合同条款；</w:t>
      </w:r>
    </w:p>
    <w:p>
      <w:pPr>
        <w:adjustRightInd w:val="0"/>
        <w:snapToGrid w:val="0"/>
        <w:spacing w:line="360" w:lineRule="auto"/>
        <w:ind w:firstLine="415" w:firstLineChars="198"/>
        <w:rPr>
          <w:rFonts w:ascii="宋体" w:hAnsi="宋体"/>
          <w:szCs w:val="21"/>
        </w:rPr>
      </w:pPr>
      <w:r>
        <w:rPr>
          <w:rFonts w:hint="eastAsia" w:ascii="宋体" w:hAnsi="宋体"/>
          <w:szCs w:val="21"/>
        </w:rPr>
        <w:t>5、工程检测与相关服务规范</w:t>
      </w:r>
    </w:p>
    <w:p>
      <w:pPr>
        <w:adjustRightInd w:val="0"/>
        <w:snapToGrid w:val="0"/>
        <w:spacing w:line="360" w:lineRule="auto"/>
        <w:ind w:firstLine="415" w:firstLineChars="198"/>
        <w:rPr>
          <w:rFonts w:ascii="宋体" w:hAnsi="宋体"/>
          <w:szCs w:val="21"/>
        </w:rPr>
      </w:pPr>
      <w:r>
        <w:rPr>
          <w:rFonts w:hint="eastAsia" w:ascii="宋体" w:hAnsi="宋体"/>
          <w:szCs w:val="21"/>
        </w:rPr>
        <w:t>6、已标价工程量清单（如有）</w:t>
      </w:r>
    </w:p>
    <w:p>
      <w:pPr>
        <w:adjustRightInd w:val="0"/>
        <w:snapToGrid w:val="0"/>
        <w:spacing w:line="360" w:lineRule="auto"/>
        <w:ind w:firstLine="415" w:firstLineChars="198"/>
        <w:rPr>
          <w:rFonts w:ascii="宋体" w:hAnsi="宋体"/>
          <w:szCs w:val="21"/>
        </w:rPr>
      </w:pPr>
      <w:r>
        <w:rPr>
          <w:rFonts w:hint="eastAsia" w:ascii="宋体" w:hAnsi="宋体"/>
          <w:szCs w:val="21"/>
        </w:rPr>
        <w:t>7、图纸</w:t>
      </w:r>
    </w:p>
    <w:p>
      <w:pPr>
        <w:adjustRightInd w:val="0"/>
        <w:snapToGrid w:val="0"/>
        <w:spacing w:line="360" w:lineRule="auto"/>
        <w:ind w:firstLine="415" w:firstLineChars="198"/>
        <w:rPr>
          <w:rFonts w:ascii="宋体" w:hAnsi="宋体"/>
          <w:szCs w:val="21"/>
        </w:rPr>
      </w:pPr>
      <w:r>
        <w:rPr>
          <w:rFonts w:hint="eastAsia" w:ascii="宋体" w:hAnsi="宋体"/>
          <w:szCs w:val="21"/>
        </w:rPr>
        <w:t>8. 附录，即：</w:t>
      </w:r>
    </w:p>
    <w:p>
      <w:pPr>
        <w:adjustRightInd w:val="0"/>
        <w:snapToGrid w:val="0"/>
        <w:spacing w:line="360" w:lineRule="auto"/>
        <w:ind w:firstLine="415" w:firstLineChars="198"/>
        <w:rPr>
          <w:rFonts w:ascii="宋体" w:hAnsi="宋体"/>
          <w:szCs w:val="21"/>
        </w:rPr>
      </w:pPr>
      <w:r>
        <w:rPr>
          <w:rFonts w:hint="eastAsia" w:ascii="宋体" w:hAnsi="宋体"/>
          <w:szCs w:val="21"/>
        </w:rPr>
        <w:t>附录A  相关服务的范围和内容</w:t>
      </w:r>
    </w:p>
    <w:p>
      <w:pPr>
        <w:adjustRightInd w:val="0"/>
        <w:snapToGrid w:val="0"/>
        <w:spacing w:line="360" w:lineRule="auto"/>
        <w:ind w:firstLine="420" w:firstLineChars="200"/>
        <w:rPr>
          <w:rFonts w:ascii="宋体" w:hAnsi="宋体"/>
          <w:szCs w:val="21"/>
        </w:rPr>
      </w:pPr>
      <w:r>
        <w:rPr>
          <w:rFonts w:hint="eastAsia" w:ascii="宋体" w:hAnsi="宋体"/>
          <w:szCs w:val="21"/>
        </w:rPr>
        <w:t>附录B  甲方派遣的人员和设备</w:t>
      </w:r>
    </w:p>
    <w:p>
      <w:pPr>
        <w:adjustRightInd w:val="0"/>
        <w:snapToGrid w:val="0"/>
        <w:spacing w:line="360" w:lineRule="auto"/>
        <w:ind w:firstLine="415" w:firstLineChars="198"/>
        <w:rPr>
          <w:rFonts w:ascii="宋体" w:hAnsi="宋体"/>
          <w:szCs w:val="21"/>
        </w:rPr>
      </w:pPr>
      <w:r>
        <w:rPr>
          <w:rFonts w:hint="eastAsia" w:ascii="宋体" w:hAnsi="宋体"/>
          <w:szCs w:val="21"/>
        </w:rPr>
        <w:t>本合同签订后，双方依法签订的补充协议也是本合同文件的组成部分。</w:t>
      </w:r>
    </w:p>
    <w:p>
      <w:pPr>
        <w:adjustRightInd w:val="0"/>
        <w:snapToGrid w:val="0"/>
        <w:spacing w:line="360" w:lineRule="exact"/>
        <w:rPr>
          <w:b/>
          <w:bCs/>
          <w:color w:val="000000"/>
          <w:sz w:val="24"/>
        </w:rPr>
      </w:pPr>
      <w:bookmarkStart w:id="76" w:name="_Toc22813560"/>
      <w:r>
        <w:rPr>
          <w:rFonts w:hint="eastAsia"/>
          <w:b/>
          <w:bCs/>
          <w:color w:val="000000"/>
          <w:sz w:val="24"/>
        </w:rPr>
        <w:t>四、服务要求</w:t>
      </w:r>
      <w:bookmarkEnd w:id="76"/>
    </w:p>
    <w:p>
      <w:pPr>
        <w:adjustRightInd w:val="0"/>
        <w:snapToGrid w:val="0"/>
        <w:spacing w:line="360" w:lineRule="auto"/>
        <w:ind w:firstLine="415" w:firstLineChars="198"/>
        <w:rPr>
          <w:rFonts w:ascii="宋体" w:hAnsi="宋体"/>
          <w:szCs w:val="21"/>
        </w:rPr>
      </w:pPr>
      <w:r>
        <w:rPr>
          <w:rFonts w:hint="eastAsia" w:ascii="宋体" w:hAnsi="宋体"/>
          <w:szCs w:val="21"/>
        </w:rPr>
        <w:t>工程检测质量符合</w:t>
      </w:r>
      <w:r>
        <w:rPr>
          <w:rFonts w:hint="eastAsia" w:ascii="宋体" w:hAnsi="宋体"/>
          <w:szCs w:val="21"/>
          <w:u w:val="single"/>
        </w:rPr>
        <w:t xml:space="preserve">    按国家、省、市现行规范、标准和委托单位的检测内容、完成时间进行检测，严格按规定执行，对招标人委托的检测项目进行客观公正检测，做到检测数据完整、准确、真实、清楚</w:t>
      </w:r>
      <w:r>
        <w:rPr>
          <w:rFonts w:hint="eastAsia" w:ascii="宋体" w:hAnsi="宋体"/>
          <w:szCs w:val="21"/>
        </w:rPr>
        <w:t>。</w:t>
      </w:r>
    </w:p>
    <w:p>
      <w:pPr>
        <w:adjustRightInd w:val="0"/>
        <w:snapToGrid w:val="0"/>
        <w:spacing w:line="360" w:lineRule="exact"/>
        <w:rPr>
          <w:b/>
          <w:bCs/>
          <w:color w:val="000000"/>
          <w:sz w:val="24"/>
        </w:rPr>
      </w:pPr>
      <w:bookmarkStart w:id="77" w:name="_Toc22813561"/>
      <w:r>
        <w:rPr>
          <w:rFonts w:hint="eastAsia"/>
          <w:b/>
          <w:bCs/>
          <w:color w:val="000000"/>
          <w:sz w:val="24"/>
        </w:rPr>
        <w:t>五、检测项目负责人</w:t>
      </w:r>
      <w:bookmarkEnd w:id="77"/>
    </w:p>
    <w:p>
      <w:pPr>
        <w:adjustRightInd w:val="0"/>
        <w:snapToGrid w:val="0"/>
        <w:spacing w:line="360" w:lineRule="auto"/>
        <w:ind w:firstLine="415" w:firstLineChars="198"/>
        <w:rPr>
          <w:rFonts w:ascii="宋体" w:hAnsi="宋体"/>
          <w:kern w:val="0"/>
          <w:szCs w:val="21"/>
        </w:rPr>
      </w:pPr>
      <w:r>
        <w:rPr>
          <w:rFonts w:hint="eastAsia" w:ascii="宋体" w:hAnsi="宋体"/>
          <w:kern w:val="0"/>
          <w:szCs w:val="21"/>
        </w:rPr>
        <w:t>检测项目负责人：</w:t>
      </w:r>
      <w:r>
        <w:rPr>
          <w:rFonts w:hint="eastAsia" w:ascii="宋体" w:hAnsi="宋体"/>
          <w:kern w:val="0"/>
          <w:szCs w:val="21"/>
          <w:u w:val="single"/>
        </w:rPr>
        <w:t xml:space="preserve">                 </w:t>
      </w:r>
    </w:p>
    <w:p>
      <w:pPr>
        <w:adjustRightInd w:val="0"/>
        <w:snapToGrid w:val="0"/>
        <w:spacing w:line="360" w:lineRule="auto"/>
        <w:ind w:firstLine="415" w:firstLineChars="198"/>
        <w:rPr>
          <w:rFonts w:ascii="宋体" w:hAnsi="宋体"/>
          <w:kern w:val="0"/>
          <w:szCs w:val="21"/>
        </w:rPr>
      </w:pPr>
      <w:r>
        <w:rPr>
          <w:rFonts w:hint="eastAsia" w:ascii="宋体" w:hAnsi="宋体"/>
          <w:kern w:val="0"/>
          <w:szCs w:val="21"/>
        </w:rPr>
        <w:t>身份证号码：</w:t>
      </w:r>
      <w:r>
        <w:rPr>
          <w:rFonts w:hint="eastAsia" w:ascii="宋体" w:hAnsi="宋体"/>
          <w:kern w:val="0"/>
          <w:szCs w:val="21"/>
          <w:u w:val="single"/>
        </w:rPr>
        <w:t xml:space="preserve">                        </w:t>
      </w:r>
      <w:r>
        <w:rPr>
          <w:rFonts w:hint="eastAsia" w:ascii="宋体" w:hAnsi="宋体"/>
          <w:kern w:val="0"/>
          <w:szCs w:val="21"/>
        </w:rPr>
        <w:t>。</w:t>
      </w:r>
    </w:p>
    <w:p>
      <w:pPr>
        <w:adjustRightInd w:val="0"/>
        <w:snapToGrid w:val="0"/>
        <w:spacing w:line="360" w:lineRule="exact"/>
        <w:rPr>
          <w:b/>
          <w:bCs/>
          <w:color w:val="000000"/>
          <w:sz w:val="24"/>
        </w:rPr>
      </w:pPr>
      <w:bookmarkStart w:id="78" w:name="_Toc22813562"/>
      <w:r>
        <w:rPr>
          <w:rFonts w:hint="eastAsia"/>
          <w:b/>
          <w:bCs/>
          <w:color w:val="000000"/>
          <w:sz w:val="24"/>
        </w:rPr>
        <w:t>六、签约合同价与合同价格形式</w:t>
      </w:r>
      <w:bookmarkEnd w:id="78"/>
    </w:p>
    <w:p>
      <w:pPr>
        <w:adjustRightInd w:val="0"/>
        <w:snapToGrid w:val="0"/>
        <w:spacing w:line="360" w:lineRule="auto"/>
        <w:ind w:firstLine="415" w:firstLineChars="198"/>
        <w:rPr>
          <w:rFonts w:ascii="宋体" w:hAnsi="宋体"/>
          <w:szCs w:val="21"/>
          <w:u w:val="single"/>
        </w:rPr>
      </w:pPr>
      <w:r>
        <w:rPr>
          <w:rFonts w:hint="eastAsia" w:ascii="宋体" w:hAnsi="宋体"/>
          <w:szCs w:val="21"/>
        </w:rPr>
        <w:t>签约合同总价为（大写）：</w:t>
      </w:r>
      <w:r>
        <w:rPr>
          <w:rFonts w:hint="eastAsia" w:ascii="宋体" w:hAnsi="宋体"/>
          <w:szCs w:val="21"/>
          <w:u w:val="single"/>
        </w:rPr>
        <w:t xml:space="preserve">                       （¥        ）</w:t>
      </w:r>
    </w:p>
    <w:p>
      <w:pPr>
        <w:adjustRightInd w:val="0"/>
        <w:snapToGrid w:val="0"/>
        <w:spacing w:line="360" w:lineRule="auto"/>
        <w:ind w:firstLine="415" w:firstLineChars="198"/>
        <w:rPr>
          <w:rFonts w:ascii="宋体" w:hAnsi="宋体"/>
          <w:szCs w:val="21"/>
        </w:rPr>
      </w:pPr>
      <w:r>
        <w:rPr>
          <w:rFonts w:hint="eastAsia" w:ascii="宋体" w:hAnsi="宋体"/>
          <w:szCs w:val="21"/>
        </w:rPr>
        <w:t>1、具体检测内容及抽检数量，详见招标文件；</w:t>
      </w:r>
    </w:p>
    <w:p>
      <w:pPr>
        <w:adjustRightInd w:val="0"/>
        <w:snapToGrid w:val="0"/>
        <w:spacing w:line="360" w:lineRule="auto"/>
        <w:ind w:firstLine="415" w:firstLineChars="198"/>
        <w:rPr>
          <w:rFonts w:ascii="宋体" w:hAnsi="宋体"/>
          <w:szCs w:val="21"/>
        </w:rPr>
      </w:pPr>
      <w:r>
        <w:rPr>
          <w:rFonts w:hint="eastAsia" w:ascii="宋体" w:hAnsi="宋体"/>
          <w:szCs w:val="21"/>
        </w:rPr>
        <w:t>2、合同价格形式为</w:t>
      </w:r>
      <w:r>
        <w:rPr>
          <w:rFonts w:hint="eastAsia" w:ascii="宋体" w:hAnsi="宋体"/>
          <w:szCs w:val="21"/>
          <w:u w:val="single"/>
        </w:rPr>
        <w:t xml:space="preserve">   固定总价合同      </w:t>
      </w:r>
      <w:r>
        <w:rPr>
          <w:rFonts w:hint="eastAsia" w:ascii="宋体" w:hAnsi="宋体"/>
          <w:szCs w:val="21"/>
        </w:rPr>
        <w:t>。</w:t>
      </w:r>
    </w:p>
    <w:p>
      <w:pPr>
        <w:pStyle w:val="50"/>
        <w:ind w:firstLine="0" w:firstLineChars="0"/>
      </w:pPr>
      <w:r>
        <w:rPr>
          <w:rFonts w:hint="eastAsia" w:ascii="宋体" w:hAnsi="宋体"/>
          <w:szCs w:val="21"/>
        </w:rPr>
        <w:t>3、若因施工质量问题或非乙方原因造成扩大检测或增加检测量的，扩大检测或增加检测产生的费用另计，具体金额由甲乙双方另行协商。</w:t>
      </w:r>
    </w:p>
    <w:p>
      <w:pPr>
        <w:adjustRightInd w:val="0"/>
        <w:snapToGrid w:val="0"/>
        <w:spacing w:line="360" w:lineRule="exact"/>
        <w:rPr>
          <w:b/>
          <w:bCs/>
          <w:color w:val="000000"/>
          <w:sz w:val="24"/>
        </w:rPr>
      </w:pPr>
      <w:bookmarkStart w:id="79" w:name="_Toc22813563"/>
      <w:r>
        <w:rPr>
          <w:rFonts w:hint="eastAsia"/>
          <w:b/>
          <w:bCs/>
          <w:color w:val="000000"/>
          <w:sz w:val="24"/>
        </w:rPr>
        <w:t>七、双方承诺</w:t>
      </w:r>
      <w:bookmarkEnd w:id="79"/>
    </w:p>
    <w:p>
      <w:pPr>
        <w:spacing w:line="360" w:lineRule="auto"/>
        <w:ind w:firstLine="415" w:firstLineChars="198"/>
        <w:rPr>
          <w:rFonts w:ascii="宋体" w:hAnsi="宋体"/>
          <w:szCs w:val="21"/>
        </w:rPr>
      </w:pPr>
      <w:r>
        <w:rPr>
          <w:rFonts w:hint="eastAsia" w:ascii="宋体" w:hAnsi="宋体"/>
          <w:szCs w:val="21"/>
        </w:rPr>
        <w:t xml:space="preserve">1. 甲方向乙方承诺，按照本合同约定为乙方开展工程质量检测提供条件，并按本合同约定支付合同价款。 </w:t>
      </w:r>
    </w:p>
    <w:p>
      <w:pPr>
        <w:spacing w:line="360" w:lineRule="auto"/>
        <w:ind w:firstLine="415" w:firstLineChars="198"/>
        <w:rPr>
          <w:rFonts w:ascii="宋体" w:hAnsi="宋体"/>
          <w:szCs w:val="21"/>
        </w:rPr>
      </w:pPr>
      <w:r>
        <w:rPr>
          <w:rFonts w:hint="eastAsia" w:ascii="宋体" w:hAnsi="宋体"/>
          <w:szCs w:val="21"/>
        </w:rPr>
        <w:t>2. 乙方向甲方承诺：</w:t>
      </w:r>
    </w:p>
    <w:p>
      <w:pPr>
        <w:spacing w:line="360" w:lineRule="auto"/>
        <w:ind w:firstLine="415" w:firstLineChars="198"/>
        <w:rPr>
          <w:rFonts w:ascii="宋体" w:hAnsi="宋体"/>
          <w:b/>
          <w:szCs w:val="21"/>
        </w:rPr>
      </w:pPr>
      <w:r>
        <w:rPr>
          <w:rFonts w:hint="eastAsia" w:ascii="宋体" w:hAnsi="宋体"/>
          <w:szCs w:val="21"/>
        </w:rPr>
        <w:t>（1）按照本合同约定</w:t>
      </w:r>
      <w:r>
        <w:rPr>
          <w:rFonts w:hint="eastAsia" w:ascii="宋体" w:hAnsi="宋体"/>
          <w:kern w:val="0"/>
          <w:szCs w:val="21"/>
        </w:rPr>
        <w:t>提供</w:t>
      </w:r>
      <w:r>
        <w:rPr>
          <w:rFonts w:hint="eastAsia" w:ascii="宋体" w:hAnsi="宋体"/>
          <w:szCs w:val="21"/>
        </w:rPr>
        <w:t>工程质量检测报告与相关服务。</w:t>
      </w:r>
    </w:p>
    <w:p>
      <w:pPr>
        <w:spacing w:line="360" w:lineRule="auto"/>
        <w:ind w:firstLine="415" w:firstLineChars="198"/>
        <w:rPr>
          <w:rFonts w:ascii="宋体" w:hAnsi="宋体"/>
          <w:szCs w:val="21"/>
        </w:rPr>
      </w:pPr>
      <w:r>
        <w:rPr>
          <w:rFonts w:hint="eastAsia" w:ascii="宋体" w:hAnsi="宋体"/>
          <w:szCs w:val="21"/>
        </w:rPr>
        <w:t>（2）按照法律规定及合同约定组织完成工程检测工作，不转包或违法分包。</w:t>
      </w:r>
    </w:p>
    <w:p>
      <w:pPr>
        <w:spacing w:line="360" w:lineRule="auto"/>
        <w:ind w:firstLine="415" w:firstLineChars="198"/>
        <w:rPr>
          <w:rFonts w:ascii="宋体" w:hAnsi="宋体"/>
          <w:szCs w:val="21"/>
        </w:rPr>
      </w:pPr>
      <w:r>
        <w:rPr>
          <w:rFonts w:hint="eastAsia" w:ascii="宋体" w:hAnsi="宋体"/>
          <w:szCs w:val="21"/>
        </w:rPr>
        <w:t>3.甲方和乙方承诺不再就同一工程另行签订与合同实质性内容相背离的协议。</w:t>
      </w:r>
    </w:p>
    <w:p>
      <w:pPr>
        <w:adjustRightInd w:val="0"/>
        <w:snapToGrid w:val="0"/>
        <w:spacing w:line="360" w:lineRule="exact"/>
        <w:rPr>
          <w:b/>
          <w:bCs/>
          <w:color w:val="000000"/>
          <w:sz w:val="24"/>
        </w:rPr>
      </w:pPr>
      <w:bookmarkStart w:id="80" w:name="_Toc22813564"/>
      <w:r>
        <w:rPr>
          <w:rFonts w:hint="eastAsia"/>
          <w:b/>
          <w:bCs/>
          <w:color w:val="000000"/>
          <w:sz w:val="24"/>
        </w:rPr>
        <w:t>八、合同订立</w:t>
      </w:r>
      <w:bookmarkEnd w:id="80"/>
    </w:p>
    <w:p>
      <w:pPr>
        <w:adjustRightInd w:val="0"/>
        <w:snapToGrid w:val="0"/>
        <w:spacing w:line="360" w:lineRule="auto"/>
        <w:ind w:firstLine="415" w:firstLineChars="198"/>
        <w:rPr>
          <w:rFonts w:ascii="宋体" w:hAnsi="宋体"/>
          <w:szCs w:val="21"/>
        </w:rPr>
      </w:pPr>
      <w:r>
        <w:rPr>
          <w:rFonts w:hint="eastAsia" w:ascii="宋体" w:hAnsi="宋体"/>
          <w:szCs w:val="21"/>
        </w:rPr>
        <w:t>1. 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ind w:firstLine="415" w:firstLineChars="198"/>
        <w:rPr>
          <w:rFonts w:ascii="宋体" w:hAnsi="宋体"/>
          <w:szCs w:val="21"/>
        </w:rPr>
      </w:pPr>
      <w:r>
        <w:rPr>
          <w:rFonts w:hint="eastAsia" w:ascii="宋体" w:hAnsi="宋体"/>
          <w:szCs w:val="21"/>
        </w:rPr>
        <w:t>2. 订立地点：</w:t>
      </w:r>
      <w:r>
        <w:rPr>
          <w:rFonts w:hint="eastAsia" w:ascii="宋体" w:hAnsi="宋体"/>
          <w:szCs w:val="21"/>
          <w:u w:val="single"/>
        </w:rPr>
        <w:t xml:space="preserve">        广西贵港市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3、补充协议：合同未尽事宜，合同当事人另行签订补充协议，补充协议是合同的组成部分。</w:t>
      </w:r>
    </w:p>
    <w:p>
      <w:pPr>
        <w:adjustRightInd w:val="0"/>
        <w:snapToGrid w:val="0"/>
        <w:spacing w:line="360" w:lineRule="auto"/>
        <w:ind w:firstLine="415" w:firstLineChars="198"/>
        <w:rPr>
          <w:rFonts w:ascii="宋体" w:hAnsi="宋体"/>
          <w:szCs w:val="21"/>
        </w:rPr>
      </w:pPr>
      <w:r>
        <w:rPr>
          <w:rFonts w:hint="eastAsia" w:ascii="宋体" w:hAnsi="宋体"/>
          <w:szCs w:val="21"/>
        </w:rPr>
        <w:t>4、合同生效：本合同自</w:t>
      </w:r>
      <w:r>
        <w:rPr>
          <w:rFonts w:hint="eastAsia" w:ascii="宋体" w:hAnsi="宋体"/>
          <w:szCs w:val="21"/>
          <w:u w:val="single"/>
        </w:rPr>
        <w:t xml:space="preserve">   双方签字盖章后     </w:t>
      </w:r>
      <w:r>
        <w:rPr>
          <w:rFonts w:hint="eastAsia" w:ascii="宋体" w:hAnsi="宋体"/>
          <w:szCs w:val="21"/>
        </w:rPr>
        <w:t>生效。</w:t>
      </w:r>
    </w:p>
    <w:p>
      <w:pPr>
        <w:adjustRightInd w:val="0"/>
        <w:snapToGrid w:val="0"/>
        <w:spacing w:line="360" w:lineRule="auto"/>
        <w:ind w:firstLine="415" w:firstLineChars="198"/>
        <w:rPr>
          <w:rFonts w:ascii="宋体" w:hAnsi="宋体"/>
          <w:szCs w:val="21"/>
        </w:rPr>
      </w:pPr>
      <w:r>
        <w:rPr>
          <w:rFonts w:hint="eastAsia" w:ascii="宋体" w:hAnsi="宋体"/>
          <w:szCs w:val="21"/>
        </w:rPr>
        <w:t>5、本合同一式</w:t>
      </w:r>
      <w:r>
        <w:rPr>
          <w:rFonts w:hint="eastAsia" w:ascii="宋体" w:hAnsi="宋体"/>
          <w:szCs w:val="21"/>
          <w:u w:val="single"/>
        </w:rPr>
        <w:t xml:space="preserve">    </w:t>
      </w:r>
      <w:r>
        <w:rPr>
          <w:rFonts w:hint="eastAsia" w:ascii="宋体" w:hAnsi="宋体"/>
          <w:szCs w:val="21"/>
        </w:rPr>
        <w:t>份，均具有同等法律效力，双方各执</w:t>
      </w:r>
      <w:r>
        <w:rPr>
          <w:rFonts w:hint="eastAsia" w:ascii="宋体" w:hAnsi="宋体"/>
          <w:szCs w:val="21"/>
          <w:u w:val="single"/>
        </w:rPr>
        <w:t xml:space="preserve">     </w:t>
      </w:r>
      <w:r>
        <w:rPr>
          <w:rFonts w:hint="eastAsia" w:ascii="宋体" w:hAnsi="宋体"/>
          <w:szCs w:val="21"/>
        </w:rPr>
        <w:t>份。</w:t>
      </w:r>
    </w:p>
    <w:p>
      <w:pPr>
        <w:adjustRightInd w:val="0"/>
        <w:snapToGrid w:val="0"/>
        <w:spacing w:line="360" w:lineRule="auto"/>
        <w:ind w:firstLine="415" w:firstLineChars="198"/>
        <w:rPr>
          <w:rFonts w:ascii="宋体" w:hAnsi="宋体"/>
          <w:szCs w:val="21"/>
        </w:rPr>
      </w:pPr>
    </w:p>
    <w:p>
      <w:pPr>
        <w:adjustRightInd w:val="0"/>
        <w:snapToGrid w:val="0"/>
        <w:spacing w:line="360" w:lineRule="auto"/>
        <w:ind w:firstLine="415" w:firstLineChars="198"/>
        <w:rPr>
          <w:rFonts w:ascii="宋体" w:hAnsi="宋体"/>
          <w:szCs w:val="21"/>
        </w:rPr>
      </w:pPr>
      <w:r>
        <w:rPr>
          <w:rFonts w:hint="eastAsia" w:ascii="宋体" w:hAnsi="宋体"/>
          <w:szCs w:val="21"/>
        </w:rPr>
        <w:t>甲方：</w:t>
      </w:r>
      <w:r>
        <w:rPr>
          <w:rFonts w:hint="eastAsia" w:ascii="宋体" w:hAnsi="宋体"/>
          <w:szCs w:val="21"/>
          <w:u w:val="single"/>
        </w:rPr>
        <w:t xml:space="preserve">   （盖章）      </w:t>
      </w:r>
      <w:r>
        <w:rPr>
          <w:rFonts w:hint="eastAsia" w:ascii="宋体" w:hAnsi="宋体"/>
          <w:szCs w:val="21"/>
        </w:rPr>
        <w:t xml:space="preserve">                   乙方：</w:t>
      </w:r>
      <w:r>
        <w:rPr>
          <w:rFonts w:hint="eastAsia" w:ascii="宋体" w:hAnsi="宋体"/>
          <w:szCs w:val="21"/>
          <w:u w:val="single"/>
        </w:rPr>
        <w:t xml:space="preserve">   （盖章）    </w:t>
      </w:r>
    </w:p>
    <w:p>
      <w:pPr>
        <w:adjustRightInd w:val="0"/>
        <w:snapToGrid w:val="0"/>
        <w:spacing w:line="360" w:lineRule="auto"/>
        <w:ind w:firstLine="415" w:firstLineChars="198"/>
        <w:rPr>
          <w:rFonts w:ascii="宋体" w:hAnsi="宋体"/>
          <w:szCs w:val="21"/>
        </w:rPr>
      </w:pPr>
      <w:r>
        <w:rPr>
          <w:rFonts w:hint="eastAsia" w:ascii="宋体" w:hAnsi="宋体"/>
          <w:szCs w:val="21"/>
        </w:rPr>
        <w:t xml:space="preserve">住所： </w:t>
      </w:r>
      <w:r>
        <w:rPr>
          <w:rFonts w:hint="eastAsia" w:ascii="宋体" w:hAnsi="宋体"/>
          <w:szCs w:val="21"/>
          <w:u w:val="single"/>
        </w:rPr>
        <w:t xml:space="preserve">                     </w:t>
      </w:r>
      <w:r>
        <w:rPr>
          <w:rFonts w:hint="eastAsia" w:ascii="宋体" w:hAnsi="宋体"/>
          <w:szCs w:val="21"/>
        </w:rPr>
        <w:t xml:space="preserve">              住所： </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adjustRightInd w:val="0"/>
        <w:snapToGrid w:val="0"/>
        <w:spacing w:line="360" w:lineRule="auto"/>
        <w:ind w:firstLine="415" w:firstLineChars="198"/>
        <w:rPr>
          <w:rFonts w:ascii="宋体" w:hAnsi="宋体"/>
          <w:szCs w:val="21"/>
        </w:rPr>
      </w:pPr>
      <w:r>
        <w:rPr>
          <w:rFonts w:hint="eastAsia" w:ascii="宋体" w:hAnsi="宋体"/>
          <w:szCs w:val="21"/>
        </w:rPr>
        <w:t>法定代表人或其授权                        法定代表人或其授权</w:t>
      </w:r>
    </w:p>
    <w:p>
      <w:pPr>
        <w:adjustRightInd w:val="0"/>
        <w:snapToGrid w:val="0"/>
        <w:spacing w:line="360" w:lineRule="auto"/>
        <w:ind w:firstLine="415" w:firstLineChars="198"/>
        <w:rPr>
          <w:rFonts w:ascii="宋体" w:hAnsi="宋体"/>
          <w:szCs w:val="21"/>
        </w:rPr>
      </w:pPr>
      <w:r>
        <w:rPr>
          <w:rFonts w:hint="eastAsia" w:ascii="宋体" w:hAnsi="宋体"/>
          <w:szCs w:val="21"/>
        </w:rPr>
        <w:t>的代理人：</w:t>
      </w:r>
      <w:r>
        <w:rPr>
          <w:rFonts w:hint="eastAsia" w:ascii="宋体" w:hAnsi="宋体"/>
          <w:szCs w:val="21"/>
          <w:u w:val="single"/>
        </w:rPr>
        <w:t xml:space="preserve">（签字）      </w:t>
      </w:r>
      <w:r>
        <w:rPr>
          <w:rFonts w:hint="eastAsia" w:ascii="宋体" w:hAnsi="宋体"/>
          <w:szCs w:val="21"/>
        </w:rPr>
        <w:t xml:space="preserve">                   的代理人：</w:t>
      </w:r>
      <w:r>
        <w:rPr>
          <w:rFonts w:hint="eastAsia" w:ascii="宋体" w:hAnsi="宋体"/>
          <w:szCs w:val="21"/>
          <w:u w:val="single"/>
        </w:rPr>
        <w:t xml:space="preserve">（签字）          </w:t>
      </w:r>
    </w:p>
    <w:p>
      <w:pPr>
        <w:adjustRightInd w:val="0"/>
        <w:snapToGrid w:val="0"/>
        <w:spacing w:line="360" w:lineRule="auto"/>
        <w:ind w:firstLine="415" w:firstLineChars="198"/>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adjustRightInd w:val="0"/>
        <w:snapToGrid w:val="0"/>
        <w:spacing w:line="360" w:lineRule="auto"/>
        <w:ind w:firstLine="415" w:firstLineChars="198"/>
        <w:rPr>
          <w:rFonts w:ascii="宋体" w:hAnsi="宋体"/>
          <w:szCs w:val="21"/>
        </w:rPr>
      </w:pPr>
      <w:r>
        <w:rPr>
          <w:rFonts w:hint="eastAsia" w:ascii="宋体" w:hAnsi="宋体"/>
          <w:szCs w:val="21"/>
        </w:rPr>
        <w:t>账号：</w:t>
      </w:r>
      <w:r>
        <w:rPr>
          <w:rFonts w:hint="eastAsia" w:ascii="宋体" w:hAnsi="宋体"/>
          <w:szCs w:val="21"/>
          <w:u w:val="single"/>
        </w:rPr>
        <w:t xml:space="preserve">                      </w:t>
      </w:r>
      <w:r>
        <w:rPr>
          <w:rFonts w:hint="eastAsia" w:ascii="宋体" w:hAnsi="宋体"/>
          <w:szCs w:val="21"/>
        </w:rPr>
        <w:t xml:space="preserve">              账号：</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adjustRightInd w:val="0"/>
        <w:snapToGrid w:val="0"/>
        <w:spacing w:line="360" w:lineRule="auto"/>
        <w:ind w:firstLine="415" w:firstLineChars="198"/>
        <w:rPr>
          <w:rFonts w:ascii="宋体" w:hAnsi="宋体"/>
          <w:szCs w:val="21"/>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                   联系人：</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15" w:firstLineChars="198"/>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adjustRightInd w:val="0"/>
        <w:snapToGrid w:val="0"/>
        <w:spacing w:line="360" w:lineRule="auto"/>
        <w:ind w:firstLine="415" w:firstLineChars="198"/>
        <w:rPr>
          <w:rFonts w:ascii="宋体" w:hAnsi="宋体"/>
          <w:szCs w:val="21"/>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adjustRightInd w:val="0"/>
        <w:snapToGrid w:val="0"/>
        <w:spacing w:line="360" w:lineRule="auto"/>
        <w:ind w:firstLine="415" w:firstLineChars="198"/>
        <w:rPr>
          <w:rFonts w:ascii="宋体" w:hAnsi="宋体"/>
          <w:szCs w:val="21"/>
          <w:u w:val="single"/>
        </w:rPr>
      </w:pPr>
      <w:r>
        <w:rPr>
          <w:rFonts w:hint="eastAsia" w:ascii="宋体" w:hAnsi="宋体"/>
          <w:szCs w:val="21"/>
        </w:rPr>
        <w:t>电子邮箱：</w:t>
      </w:r>
      <w:r>
        <w:rPr>
          <w:rFonts w:hint="eastAsia" w:ascii="宋体" w:hAnsi="宋体"/>
          <w:szCs w:val="21"/>
          <w:u w:val="single"/>
        </w:rPr>
        <w:t xml:space="preserve">                 </w:t>
      </w:r>
      <w:r>
        <w:rPr>
          <w:rFonts w:hint="eastAsia" w:ascii="宋体" w:hAnsi="宋体"/>
          <w:szCs w:val="21"/>
        </w:rPr>
        <w:t xml:space="preserve">               电子邮箱：</w:t>
      </w:r>
      <w:r>
        <w:rPr>
          <w:rFonts w:hint="eastAsia" w:ascii="宋体" w:hAnsi="宋体"/>
          <w:szCs w:val="21"/>
          <w:u w:val="single"/>
        </w:rPr>
        <w:t xml:space="preserve">                  </w:t>
      </w:r>
      <w:bookmarkStart w:id="81" w:name="_Toc22813565"/>
    </w:p>
    <w:p>
      <w:pPr>
        <w:adjustRightInd w:val="0"/>
        <w:snapToGrid w:val="0"/>
        <w:spacing w:line="276" w:lineRule="auto"/>
        <w:ind w:firstLine="477" w:firstLineChars="198"/>
        <w:rPr>
          <w:b/>
          <w:bCs/>
          <w:color w:val="000000"/>
          <w:sz w:val="24"/>
        </w:rPr>
      </w:pPr>
    </w:p>
    <w:p>
      <w:pPr>
        <w:adjustRightInd w:val="0"/>
        <w:snapToGrid w:val="0"/>
        <w:spacing w:line="276" w:lineRule="auto"/>
        <w:ind w:firstLine="477" w:firstLineChars="198"/>
        <w:rPr>
          <w:b/>
          <w:bCs/>
          <w:color w:val="000000"/>
          <w:sz w:val="24"/>
        </w:rPr>
      </w:pPr>
    </w:p>
    <w:p>
      <w:pPr>
        <w:adjustRightInd w:val="0"/>
        <w:snapToGrid w:val="0"/>
        <w:spacing w:line="276" w:lineRule="auto"/>
        <w:ind w:firstLine="477" w:firstLineChars="198"/>
        <w:rPr>
          <w:b/>
          <w:bCs/>
          <w:color w:val="000000"/>
          <w:sz w:val="24"/>
        </w:rPr>
      </w:pPr>
    </w:p>
    <w:p>
      <w:pPr>
        <w:adjustRightInd w:val="0"/>
        <w:snapToGrid w:val="0"/>
        <w:spacing w:line="276" w:lineRule="auto"/>
        <w:ind w:firstLine="477" w:firstLineChars="198"/>
        <w:rPr>
          <w:b/>
          <w:bCs/>
          <w:color w:val="000000"/>
          <w:sz w:val="24"/>
        </w:rPr>
      </w:pPr>
      <w:r>
        <w:rPr>
          <w:rFonts w:hint="eastAsia"/>
          <w:b/>
          <w:bCs/>
          <w:color w:val="000000"/>
          <w:sz w:val="24"/>
        </w:rPr>
        <w:t xml:space="preserve">   </w:t>
      </w:r>
    </w:p>
    <w:p>
      <w:pPr>
        <w:pStyle w:val="4"/>
        <w:jc w:val="center"/>
        <w:rPr>
          <w:sz w:val="36"/>
        </w:rPr>
      </w:pPr>
      <w:r>
        <w:rPr>
          <w:rFonts w:hint="eastAsia"/>
          <w:sz w:val="36"/>
        </w:rPr>
        <w:t>第二部分  通用条件</w:t>
      </w:r>
      <w:bookmarkEnd w:id="81"/>
    </w:p>
    <w:p>
      <w:pPr>
        <w:spacing w:line="360" w:lineRule="auto"/>
        <w:jc w:val="center"/>
        <w:rPr>
          <w:rFonts w:ascii="宋体" w:hAnsi="宋体"/>
          <w:b/>
          <w:szCs w:val="21"/>
        </w:rPr>
      </w:pPr>
    </w:p>
    <w:p>
      <w:pPr>
        <w:adjustRightInd w:val="0"/>
        <w:snapToGrid w:val="0"/>
        <w:spacing w:line="276" w:lineRule="auto"/>
        <w:ind w:firstLine="557" w:firstLineChars="198"/>
        <w:rPr>
          <w:b/>
          <w:bCs/>
          <w:color w:val="000000"/>
          <w:sz w:val="28"/>
          <w:szCs w:val="28"/>
        </w:rPr>
      </w:pPr>
      <w:bookmarkStart w:id="82" w:name="_Toc22813566"/>
      <w:r>
        <w:rPr>
          <w:rFonts w:hint="eastAsia"/>
          <w:b/>
          <w:bCs/>
          <w:color w:val="000000"/>
          <w:sz w:val="28"/>
          <w:szCs w:val="28"/>
        </w:rPr>
        <w:t>1. 定义与解释</w:t>
      </w:r>
      <w:bookmarkEnd w:id="82"/>
    </w:p>
    <w:p>
      <w:pPr>
        <w:adjustRightInd w:val="0"/>
        <w:snapToGrid w:val="0"/>
        <w:spacing w:line="360" w:lineRule="exact"/>
        <w:rPr>
          <w:b/>
          <w:bCs/>
          <w:color w:val="000000"/>
          <w:sz w:val="24"/>
        </w:rPr>
      </w:pPr>
      <w:r>
        <w:rPr>
          <w:rFonts w:hint="eastAsia"/>
          <w:b/>
          <w:bCs/>
          <w:color w:val="000000"/>
          <w:sz w:val="24"/>
        </w:rPr>
        <w:t>1.1 定义</w:t>
      </w:r>
    </w:p>
    <w:p>
      <w:pPr>
        <w:adjustRightInd w:val="0"/>
        <w:snapToGrid w:val="0"/>
        <w:spacing w:line="360" w:lineRule="auto"/>
        <w:ind w:firstLine="420" w:firstLineChars="200"/>
        <w:rPr>
          <w:rFonts w:ascii="宋体" w:hAnsi="宋体"/>
          <w:szCs w:val="21"/>
        </w:rPr>
      </w:pPr>
      <w:r>
        <w:rPr>
          <w:rFonts w:hint="eastAsia" w:ascii="宋体" w:hAnsi="宋体"/>
          <w:szCs w:val="21"/>
        </w:rPr>
        <w:t>除根据上下文另有其意义外，组成本合同的全部文件中的下列名词和用语应具有本款所赋予的含义：</w:t>
      </w:r>
    </w:p>
    <w:p>
      <w:pPr>
        <w:adjustRightInd w:val="0"/>
        <w:snapToGrid w:val="0"/>
        <w:spacing w:line="360" w:lineRule="auto"/>
        <w:ind w:firstLine="420" w:firstLineChars="200"/>
        <w:rPr>
          <w:rFonts w:ascii="宋体" w:hAnsi="宋体"/>
          <w:szCs w:val="21"/>
        </w:rPr>
      </w:pPr>
      <w:r>
        <w:rPr>
          <w:rFonts w:hint="eastAsia" w:ascii="宋体" w:hAnsi="宋体"/>
          <w:szCs w:val="21"/>
        </w:rPr>
        <w:t>1.1.1 “工程”是指按照本合同约定实施工程质量检测与相关服务的建设工程。</w:t>
      </w:r>
    </w:p>
    <w:p>
      <w:pPr>
        <w:adjustRightInd w:val="0"/>
        <w:snapToGrid w:val="0"/>
        <w:spacing w:line="360" w:lineRule="auto"/>
        <w:ind w:firstLine="420" w:firstLineChars="200"/>
        <w:rPr>
          <w:rFonts w:ascii="宋体" w:hAnsi="宋体"/>
          <w:szCs w:val="21"/>
        </w:rPr>
      </w:pPr>
      <w:r>
        <w:rPr>
          <w:rFonts w:hint="eastAsia" w:ascii="宋体" w:hAnsi="宋体"/>
          <w:szCs w:val="21"/>
        </w:rPr>
        <w:t>1.1.2  “工程质量检测”是指建设工程质量检测机构接受委托，依照国家有关法律、法规、规章和技术标准，对建设工程及其所使用的建筑材料、中间产品、设备、构配件的质量安全、使用功能等进行测试的活动。</w:t>
      </w:r>
    </w:p>
    <w:p>
      <w:pPr>
        <w:adjustRightInd w:val="0"/>
        <w:snapToGrid w:val="0"/>
        <w:spacing w:line="360" w:lineRule="auto"/>
        <w:ind w:firstLine="420" w:firstLineChars="200"/>
        <w:rPr>
          <w:rFonts w:ascii="宋体" w:hAnsi="宋体"/>
          <w:szCs w:val="21"/>
        </w:rPr>
      </w:pPr>
      <w:r>
        <w:rPr>
          <w:rFonts w:hint="eastAsia" w:ascii="宋体" w:hAnsi="宋体"/>
          <w:szCs w:val="21"/>
        </w:rPr>
        <w:t>1.1.3 “相关服务”是指工程质量检测机构受委托方的委托 ，按照本合同约定，在勘察、设计、建造、保修、使用等阶段提供的服务活动。</w:t>
      </w:r>
    </w:p>
    <w:p>
      <w:pPr>
        <w:adjustRightInd w:val="0"/>
        <w:snapToGrid w:val="0"/>
        <w:spacing w:line="360" w:lineRule="auto"/>
        <w:ind w:firstLine="420" w:firstLineChars="200"/>
        <w:rPr>
          <w:rFonts w:ascii="宋体" w:hAnsi="宋体"/>
          <w:szCs w:val="21"/>
        </w:rPr>
      </w:pPr>
      <w:r>
        <w:rPr>
          <w:rFonts w:hint="eastAsia" w:ascii="宋体" w:hAnsi="宋体"/>
          <w:szCs w:val="21"/>
        </w:rPr>
        <w:t>1.1.4 “正常工作”指本合同订立时通用条件和专用条件中约定的乙方的工作。</w:t>
      </w:r>
    </w:p>
    <w:p>
      <w:pPr>
        <w:adjustRightInd w:val="0"/>
        <w:snapToGrid w:val="0"/>
        <w:spacing w:line="360" w:lineRule="auto"/>
        <w:ind w:firstLine="420" w:firstLineChars="200"/>
        <w:rPr>
          <w:rFonts w:ascii="宋体" w:hAnsi="宋体"/>
          <w:szCs w:val="21"/>
        </w:rPr>
      </w:pPr>
      <w:r>
        <w:rPr>
          <w:rFonts w:hint="eastAsia" w:ascii="宋体" w:hAnsi="宋体"/>
          <w:szCs w:val="21"/>
        </w:rPr>
        <w:t>1.1.5 “附加工作”是指本合同约定的正常工作以外乙方的工作。</w:t>
      </w:r>
    </w:p>
    <w:p>
      <w:pPr>
        <w:adjustRightInd w:val="0"/>
        <w:snapToGrid w:val="0"/>
        <w:spacing w:line="360" w:lineRule="auto"/>
        <w:ind w:firstLine="420" w:firstLineChars="200"/>
        <w:rPr>
          <w:rFonts w:ascii="宋体" w:hAnsi="宋体"/>
          <w:szCs w:val="21"/>
        </w:rPr>
      </w:pPr>
      <w:r>
        <w:rPr>
          <w:rFonts w:hint="eastAsia" w:ascii="宋体" w:hAnsi="宋体"/>
          <w:szCs w:val="21"/>
        </w:rPr>
        <w:t>1.1.6 “项目负责人”是指代表工程质量检测机构，全面负责履行本合同、主持项目工程质量检测工作的检测人员。</w:t>
      </w:r>
    </w:p>
    <w:p>
      <w:pPr>
        <w:adjustRightInd w:val="0"/>
        <w:snapToGrid w:val="0"/>
        <w:spacing w:line="360" w:lineRule="auto"/>
        <w:ind w:firstLine="415" w:firstLineChars="198"/>
        <w:rPr>
          <w:rFonts w:ascii="宋体" w:hAnsi="宋体"/>
          <w:szCs w:val="21"/>
        </w:rPr>
      </w:pPr>
      <w:r>
        <w:rPr>
          <w:rFonts w:hint="eastAsia" w:ascii="宋体" w:hAnsi="宋体"/>
          <w:szCs w:val="21"/>
        </w:rPr>
        <w:t>1.1.7 “酬金”是指乙方履行本合同义务，甲方按照本合同约定给付乙方的金额。</w:t>
      </w:r>
    </w:p>
    <w:p>
      <w:pPr>
        <w:adjustRightInd w:val="0"/>
        <w:snapToGrid w:val="0"/>
        <w:spacing w:line="360" w:lineRule="auto"/>
        <w:ind w:firstLine="415" w:firstLineChars="198"/>
        <w:rPr>
          <w:rFonts w:ascii="宋体" w:hAnsi="宋体"/>
          <w:szCs w:val="21"/>
        </w:rPr>
      </w:pPr>
      <w:r>
        <w:rPr>
          <w:rFonts w:hint="eastAsia" w:ascii="宋体" w:hAnsi="宋体"/>
          <w:szCs w:val="21"/>
        </w:rPr>
        <w:t>1.1.8 “正常工作</w:t>
      </w:r>
      <w:r>
        <w:rPr>
          <w:rFonts w:hint="eastAsia" w:ascii="宋体" w:hAnsi="宋体" w:cs="宋体"/>
          <w:kern w:val="0"/>
          <w:szCs w:val="21"/>
        </w:rPr>
        <w:t>酬金”</w:t>
      </w:r>
      <w:r>
        <w:rPr>
          <w:rFonts w:hint="eastAsia" w:ascii="宋体" w:hAnsi="宋体"/>
          <w:szCs w:val="21"/>
        </w:rPr>
        <w:t>是指乙方完成正常工作，甲方应给付乙方并在协议书中载明的签约</w:t>
      </w:r>
      <w:r>
        <w:rPr>
          <w:rFonts w:hint="eastAsia" w:ascii="宋体" w:hAnsi="宋体" w:cs="宋体"/>
          <w:kern w:val="0"/>
          <w:szCs w:val="21"/>
        </w:rPr>
        <w:t>酬金额</w:t>
      </w:r>
      <w:r>
        <w:rPr>
          <w:rFonts w:hint="eastAsia" w:ascii="宋体" w:hAnsi="宋体"/>
          <w:szCs w:val="21"/>
        </w:rPr>
        <w:t>。</w:t>
      </w:r>
    </w:p>
    <w:p>
      <w:pPr>
        <w:adjustRightInd w:val="0"/>
        <w:snapToGrid w:val="0"/>
        <w:spacing w:line="360" w:lineRule="auto"/>
        <w:ind w:firstLine="415" w:firstLineChars="198"/>
        <w:rPr>
          <w:rFonts w:ascii="宋体" w:hAnsi="宋体"/>
          <w:szCs w:val="21"/>
        </w:rPr>
      </w:pPr>
      <w:r>
        <w:rPr>
          <w:rFonts w:hint="eastAsia" w:ascii="宋体" w:hAnsi="宋体"/>
          <w:szCs w:val="21"/>
        </w:rPr>
        <w:t>1.1.9 “附加工作酬金”是指乙方完成附加工作，甲方应给付乙方的金额。</w:t>
      </w:r>
    </w:p>
    <w:p>
      <w:pPr>
        <w:adjustRightInd w:val="0"/>
        <w:snapToGrid w:val="0"/>
        <w:spacing w:line="360" w:lineRule="auto"/>
        <w:ind w:firstLine="420" w:firstLineChars="200"/>
        <w:rPr>
          <w:rFonts w:ascii="宋体" w:hAnsi="宋体"/>
          <w:szCs w:val="21"/>
        </w:rPr>
      </w:pPr>
      <w:r>
        <w:rPr>
          <w:rFonts w:hint="eastAsia" w:ascii="宋体" w:hAnsi="宋体"/>
          <w:szCs w:val="21"/>
        </w:rPr>
        <w:t>1.1.10 “一方”是指甲方或乙方；“双方”是指甲方和乙方；“第三方”是指除甲方和乙方以外的有关方。</w:t>
      </w:r>
    </w:p>
    <w:p>
      <w:pPr>
        <w:adjustRightInd w:val="0"/>
        <w:snapToGrid w:val="0"/>
        <w:spacing w:line="360" w:lineRule="auto"/>
        <w:ind w:firstLine="420" w:firstLineChars="200"/>
        <w:rPr>
          <w:rFonts w:ascii="宋体" w:hAnsi="宋体"/>
          <w:szCs w:val="21"/>
        </w:rPr>
      </w:pPr>
      <w:r>
        <w:rPr>
          <w:rFonts w:hint="eastAsia" w:ascii="宋体" w:hAnsi="宋体"/>
          <w:szCs w:val="21"/>
        </w:rPr>
        <w:t>1.1.11 “书面形式”是指合同书、信件和数据电文（包括电报、电传、传真、电子数据交换和电子邮件）等可以有形地表现所载内容的形式。</w:t>
      </w:r>
    </w:p>
    <w:p>
      <w:pPr>
        <w:adjustRightInd w:val="0"/>
        <w:snapToGrid w:val="0"/>
        <w:spacing w:line="360" w:lineRule="auto"/>
        <w:ind w:firstLine="420" w:firstLineChars="200"/>
        <w:rPr>
          <w:rFonts w:ascii="宋体" w:hAnsi="宋体"/>
          <w:szCs w:val="21"/>
        </w:rPr>
      </w:pPr>
      <w:r>
        <w:rPr>
          <w:rFonts w:hint="eastAsia" w:ascii="宋体" w:hAnsi="宋体"/>
          <w:szCs w:val="21"/>
        </w:rPr>
        <w:t>1.1.12 “天”是指第一天零时至第二天零时的时间。</w:t>
      </w:r>
    </w:p>
    <w:p>
      <w:pPr>
        <w:adjustRightInd w:val="0"/>
        <w:snapToGrid w:val="0"/>
        <w:spacing w:line="360" w:lineRule="auto"/>
        <w:ind w:firstLine="420" w:firstLineChars="200"/>
        <w:rPr>
          <w:rFonts w:ascii="宋体" w:hAnsi="宋体"/>
          <w:szCs w:val="21"/>
        </w:rPr>
      </w:pPr>
      <w:r>
        <w:rPr>
          <w:rFonts w:hint="eastAsia" w:ascii="宋体" w:hAnsi="宋体"/>
          <w:szCs w:val="21"/>
        </w:rPr>
        <w:t>1.1.13“月”是指按公历从一个月中任何一天开始的一个公历月时间。</w:t>
      </w:r>
    </w:p>
    <w:p>
      <w:pPr>
        <w:adjustRightInd w:val="0"/>
        <w:snapToGrid w:val="0"/>
        <w:spacing w:line="360" w:lineRule="auto"/>
        <w:ind w:firstLine="420" w:firstLineChars="200"/>
        <w:rPr>
          <w:rFonts w:ascii="宋体" w:hAnsi="宋体"/>
          <w:szCs w:val="21"/>
        </w:rPr>
      </w:pPr>
      <w:r>
        <w:rPr>
          <w:rFonts w:hint="eastAsia" w:ascii="宋体" w:hAnsi="宋体"/>
          <w:szCs w:val="21"/>
        </w:rPr>
        <w:t>1.1.14 “不可抗力”是指甲方和乙方在订立本合同时不可预见，在工程检测过程中不可避免发生并不能克服的自然灾害和社会性突发事件，如地震、海啸、瘟疫、水灾、骚乱、暴动、战争和专用条件约定的其他情形。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ascii="宋体" w:hAnsi="宋体"/>
          <w:szCs w:val="21"/>
        </w:rPr>
      </w:pPr>
      <w:r>
        <w:rPr>
          <w:rFonts w:hint="eastAsia" w:ascii="宋体" w:hAnsi="宋体"/>
          <w:bCs/>
          <w:szCs w:val="21"/>
        </w:rPr>
        <w:t xml:space="preserve">1.2 </w:t>
      </w:r>
      <w:r>
        <w:rPr>
          <w:rFonts w:hint="eastAsia" w:ascii="宋体" w:hAnsi="宋体"/>
          <w:szCs w:val="21"/>
        </w:rPr>
        <w:t>解释</w:t>
      </w:r>
    </w:p>
    <w:p>
      <w:pPr>
        <w:tabs>
          <w:tab w:val="left" w:pos="6140"/>
        </w:tabs>
        <w:adjustRightInd w:val="0"/>
        <w:snapToGrid w:val="0"/>
        <w:spacing w:line="360" w:lineRule="auto"/>
        <w:ind w:firstLine="420" w:firstLineChars="200"/>
        <w:rPr>
          <w:rFonts w:ascii="宋体" w:hAnsi="宋体"/>
          <w:szCs w:val="21"/>
        </w:rPr>
      </w:pPr>
      <w:r>
        <w:rPr>
          <w:rFonts w:hint="eastAsia" w:ascii="宋体" w:hAnsi="宋体"/>
          <w:szCs w:val="21"/>
        </w:rPr>
        <w:t>1.2.1本合同使用中文书写、解释和说明。如专用条件约定使用两种及以上语言文字时，应以中文为准。</w:t>
      </w:r>
    </w:p>
    <w:p>
      <w:pPr>
        <w:tabs>
          <w:tab w:val="left" w:pos="6140"/>
        </w:tabs>
        <w:adjustRightInd w:val="0"/>
        <w:snapToGrid w:val="0"/>
        <w:spacing w:line="360" w:lineRule="auto"/>
        <w:ind w:firstLine="420" w:firstLineChars="200"/>
        <w:rPr>
          <w:rFonts w:ascii="宋体" w:hAnsi="宋体"/>
          <w:szCs w:val="21"/>
        </w:rPr>
      </w:pPr>
      <w:r>
        <w:rPr>
          <w:rFonts w:hint="eastAsia" w:ascii="宋体" w:hAnsi="宋体"/>
          <w:szCs w:val="21"/>
        </w:rPr>
        <w:t>1.2.2 组成本合同的下列文件彼此应能相互解释、互为说明。除专用条件另有约定外，本合同文件的解释顺序如下：</w:t>
      </w:r>
    </w:p>
    <w:p>
      <w:pPr>
        <w:adjustRightInd w:val="0"/>
        <w:snapToGrid w:val="0"/>
        <w:spacing w:line="360" w:lineRule="auto"/>
        <w:ind w:firstLine="420" w:firstLineChars="200"/>
        <w:rPr>
          <w:rFonts w:ascii="宋体" w:hAnsi="宋体"/>
          <w:szCs w:val="21"/>
        </w:rPr>
      </w:pPr>
      <w:r>
        <w:rPr>
          <w:rFonts w:hint="eastAsia" w:ascii="宋体" w:hAnsi="宋体"/>
          <w:szCs w:val="21"/>
        </w:rPr>
        <w:t>（1）协议书；</w:t>
      </w:r>
    </w:p>
    <w:p>
      <w:pPr>
        <w:adjustRightInd w:val="0"/>
        <w:snapToGrid w:val="0"/>
        <w:spacing w:line="360" w:lineRule="auto"/>
        <w:ind w:firstLine="420" w:firstLineChars="200"/>
        <w:rPr>
          <w:rFonts w:ascii="宋体" w:hAnsi="宋体"/>
          <w:szCs w:val="21"/>
        </w:rPr>
      </w:pPr>
      <w:r>
        <w:rPr>
          <w:rFonts w:hint="eastAsia" w:ascii="宋体" w:hAnsi="宋体"/>
          <w:szCs w:val="21"/>
        </w:rPr>
        <w:t>（2）中标通知书；</w:t>
      </w:r>
    </w:p>
    <w:p>
      <w:pPr>
        <w:adjustRightInd w:val="0"/>
        <w:snapToGrid w:val="0"/>
        <w:spacing w:line="360" w:lineRule="auto"/>
        <w:ind w:firstLine="420" w:firstLineChars="200"/>
        <w:rPr>
          <w:rFonts w:ascii="宋体" w:hAnsi="宋体"/>
          <w:szCs w:val="21"/>
        </w:rPr>
      </w:pPr>
      <w:r>
        <w:rPr>
          <w:rFonts w:hint="eastAsia" w:ascii="宋体" w:hAnsi="宋体"/>
          <w:szCs w:val="21"/>
        </w:rPr>
        <w:t>（3）专用条件及附录A、附录B；</w:t>
      </w:r>
    </w:p>
    <w:p>
      <w:pPr>
        <w:adjustRightInd w:val="0"/>
        <w:snapToGrid w:val="0"/>
        <w:spacing w:line="360" w:lineRule="auto"/>
        <w:ind w:firstLine="420" w:firstLineChars="200"/>
        <w:rPr>
          <w:rFonts w:ascii="宋体" w:hAnsi="宋体"/>
          <w:szCs w:val="21"/>
        </w:rPr>
      </w:pPr>
      <w:r>
        <w:rPr>
          <w:rFonts w:hint="eastAsia" w:ascii="宋体" w:hAnsi="宋体"/>
          <w:szCs w:val="21"/>
        </w:rPr>
        <w:t>（4）通用条件；</w:t>
      </w:r>
    </w:p>
    <w:p>
      <w:pPr>
        <w:adjustRightInd w:val="0"/>
        <w:snapToGrid w:val="0"/>
        <w:spacing w:line="360" w:lineRule="auto"/>
        <w:ind w:firstLine="420" w:firstLineChars="200"/>
        <w:rPr>
          <w:rFonts w:ascii="宋体" w:hAnsi="宋体"/>
          <w:szCs w:val="21"/>
        </w:rPr>
      </w:pPr>
      <w:r>
        <w:rPr>
          <w:rFonts w:hint="eastAsia" w:ascii="宋体" w:hAnsi="宋体"/>
          <w:szCs w:val="21"/>
        </w:rPr>
        <w:t>（5）投标文件。</w:t>
      </w:r>
    </w:p>
    <w:p>
      <w:pPr>
        <w:spacing w:line="360" w:lineRule="auto"/>
        <w:ind w:firstLine="420" w:firstLineChars="200"/>
        <w:rPr>
          <w:rFonts w:ascii="宋体" w:hAnsi="宋体"/>
          <w:szCs w:val="21"/>
        </w:rPr>
      </w:pPr>
      <w:r>
        <w:rPr>
          <w:rFonts w:hint="eastAsia" w:ascii="宋体" w:hAnsi="宋体"/>
          <w:szCs w:val="21"/>
        </w:rPr>
        <w:t>双方签订的补充协议与其他文件发生矛盾或歧义时，属于同一类内容的文件，应以最新签署的为准。</w:t>
      </w:r>
    </w:p>
    <w:p>
      <w:pPr>
        <w:adjustRightInd w:val="0"/>
        <w:snapToGrid w:val="0"/>
        <w:spacing w:line="360" w:lineRule="exact"/>
        <w:rPr>
          <w:b/>
          <w:bCs/>
          <w:color w:val="000000"/>
          <w:sz w:val="24"/>
        </w:rPr>
      </w:pPr>
      <w:bookmarkStart w:id="83" w:name="_Toc22813567"/>
      <w:r>
        <w:rPr>
          <w:rFonts w:hint="eastAsia"/>
          <w:b/>
          <w:bCs/>
          <w:color w:val="000000"/>
          <w:sz w:val="24"/>
        </w:rPr>
        <w:t>2. 乙方义务</w:t>
      </w:r>
      <w:bookmarkEnd w:id="83"/>
    </w:p>
    <w:p>
      <w:pPr>
        <w:adjustRightInd w:val="0"/>
        <w:snapToGrid w:val="0"/>
        <w:spacing w:line="360" w:lineRule="auto"/>
        <w:ind w:left="210" w:leftChars="100"/>
        <w:rPr>
          <w:rFonts w:ascii="宋体" w:hAnsi="宋体"/>
          <w:bCs/>
          <w:szCs w:val="21"/>
        </w:rPr>
      </w:pPr>
      <w:r>
        <w:rPr>
          <w:rFonts w:hint="eastAsia" w:ascii="宋体" w:hAnsi="宋体"/>
          <w:szCs w:val="21"/>
        </w:rPr>
        <w:t>2.1 乙方的工作范围和内容</w:t>
      </w:r>
    </w:p>
    <w:p>
      <w:pPr>
        <w:adjustRightInd w:val="0"/>
        <w:snapToGrid w:val="0"/>
        <w:spacing w:line="360" w:lineRule="auto"/>
        <w:ind w:left="420" w:leftChars="200"/>
        <w:rPr>
          <w:rFonts w:ascii="宋体" w:hAnsi="宋体"/>
          <w:szCs w:val="21"/>
        </w:rPr>
      </w:pPr>
      <w:r>
        <w:rPr>
          <w:rFonts w:hint="eastAsia" w:ascii="宋体" w:hAnsi="宋体"/>
          <w:szCs w:val="21"/>
        </w:rPr>
        <w:t>2.1.1 乙方工作范围和内容在专用条件中约定。</w:t>
      </w:r>
    </w:p>
    <w:p>
      <w:pPr>
        <w:adjustRightInd w:val="0"/>
        <w:snapToGrid w:val="0"/>
        <w:spacing w:line="360" w:lineRule="auto"/>
        <w:ind w:left="420" w:leftChars="200"/>
        <w:rPr>
          <w:rFonts w:ascii="宋体" w:hAnsi="宋体"/>
          <w:szCs w:val="21"/>
        </w:rPr>
      </w:pPr>
      <w:r>
        <w:rPr>
          <w:rFonts w:hint="eastAsia" w:ascii="宋体" w:hAnsi="宋体"/>
          <w:szCs w:val="21"/>
        </w:rPr>
        <w:t>2.1.2相关服务的范围和内容在附录A中约定。</w:t>
      </w:r>
    </w:p>
    <w:p>
      <w:pPr>
        <w:adjustRightInd w:val="0"/>
        <w:snapToGrid w:val="0"/>
        <w:spacing w:line="360" w:lineRule="auto"/>
        <w:ind w:left="210" w:leftChars="100"/>
        <w:rPr>
          <w:rFonts w:ascii="宋体" w:hAnsi="宋体"/>
          <w:szCs w:val="21"/>
        </w:rPr>
      </w:pPr>
      <w:r>
        <w:rPr>
          <w:rFonts w:hint="eastAsia" w:ascii="宋体" w:hAnsi="宋体"/>
          <w:szCs w:val="21"/>
        </w:rPr>
        <w:t>2.2 工程质量检测与相关服务依据</w:t>
      </w:r>
    </w:p>
    <w:p>
      <w:pPr>
        <w:adjustRightInd w:val="0"/>
        <w:snapToGrid w:val="0"/>
        <w:spacing w:line="360" w:lineRule="auto"/>
        <w:ind w:left="420" w:leftChars="200"/>
        <w:rPr>
          <w:rFonts w:ascii="宋体" w:hAnsi="宋体"/>
          <w:szCs w:val="21"/>
        </w:rPr>
      </w:pPr>
      <w:r>
        <w:rPr>
          <w:rFonts w:hint="eastAsia" w:ascii="宋体" w:hAnsi="宋体"/>
          <w:szCs w:val="21"/>
        </w:rPr>
        <w:t>2.2.1工程质量检测依据包括：</w:t>
      </w:r>
    </w:p>
    <w:p>
      <w:pPr>
        <w:adjustRightInd w:val="0"/>
        <w:snapToGrid w:val="0"/>
        <w:spacing w:line="360" w:lineRule="auto"/>
        <w:ind w:firstLine="525" w:firstLineChars="250"/>
        <w:rPr>
          <w:rFonts w:ascii="宋体" w:hAnsi="宋体"/>
          <w:szCs w:val="21"/>
        </w:rPr>
      </w:pPr>
      <w:r>
        <w:rPr>
          <w:rFonts w:hint="eastAsia" w:ascii="宋体" w:hAnsi="宋体"/>
          <w:szCs w:val="21"/>
        </w:rPr>
        <w:t>（1）适用的法律、行政法规及部门规章；</w:t>
      </w:r>
    </w:p>
    <w:p>
      <w:pPr>
        <w:adjustRightInd w:val="0"/>
        <w:snapToGrid w:val="0"/>
        <w:spacing w:line="360" w:lineRule="auto"/>
        <w:ind w:firstLine="525" w:firstLineChars="250"/>
        <w:rPr>
          <w:rFonts w:ascii="宋体" w:hAnsi="宋体"/>
          <w:szCs w:val="21"/>
        </w:rPr>
      </w:pPr>
      <w:r>
        <w:rPr>
          <w:rFonts w:hint="eastAsia" w:ascii="宋体" w:hAnsi="宋体"/>
          <w:szCs w:val="21"/>
        </w:rPr>
        <w:t>（2）与工程有关的标准；</w:t>
      </w:r>
    </w:p>
    <w:p>
      <w:pPr>
        <w:adjustRightInd w:val="0"/>
        <w:snapToGrid w:val="0"/>
        <w:spacing w:line="360" w:lineRule="auto"/>
        <w:ind w:firstLine="525" w:firstLineChars="250"/>
        <w:rPr>
          <w:rFonts w:ascii="宋体" w:hAnsi="宋体"/>
          <w:szCs w:val="21"/>
        </w:rPr>
      </w:pPr>
      <w:r>
        <w:rPr>
          <w:rFonts w:hint="eastAsia" w:ascii="宋体" w:hAnsi="宋体"/>
          <w:szCs w:val="21"/>
        </w:rPr>
        <w:t>（3）工程设计及有关文件；</w:t>
      </w:r>
    </w:p>
    <w:p>
      <w:pPr>
        <w:adjustRightInd w:val="0"/>
        <w:snapToGrid w:val="0"/>
        <w:spacing w:line="360" w:lineRule="auto"/>
        <w:ind w:firstLine="525" w:firstLineChars="250"/>
        <w:rPr>
          <w:rFonts w:ascii="宋体" w:hAnsi="宋体"/>
          <w:szCs w:val="21"/>
        </w:rPr>
      </w:pPr>
      <w:r>
        <w:rPr>
          <w:rFonts w:hint="eastAsia" w:ascii="宋体" w:hAnsi="宋体"/>
          <w:szCs w:val="21"/>
        </w:rPr>
        <w:t>（4）本合同及委托方与第三方签订的与实施工程有关的其他合同。</w:t>
      </w:r>
    </w:p>
    <w:p>
      <w:pPr>
        <w:spacing w:line="360" w:lineRule="auto"/>
        <w:ind w:left="210" w:leftChars="100" w:firstLine="420" w:firstLineChars="200"/>
        <w:rPr>
          <w:rFonts w:ascii="宋体" w:hAnsi="宋体"/>
          <w:bCs/>
          <w:szCs w:val="21"/>
        </w:rPr>
      </w:pPr>
      <w:r>
        <w:rPr>
          <w:rFonts w:hint="eastAsia" w:ascii="宋体" w:hAnsi="宋体"/>
          <w:bCs/>
          <w:szCs w:val="21"/>
        </w:rPr>
        <w:t>双方根据工程的行业和地域特点，在专用条件中具体约定工程质量检测依据。</w:t>
      </w:r>
    </w:p>
    <w:p>
      <w:pPr>
        <w:adjustRightInd w:val="0"/>
        <w:snapToGrid w:val="0"/>
        <w:spacing w:line="360" w:lineRule="auto"/>
        <w:ind w:firstLine="420" w:firstLineChars="200"/>
        <w:rPr>
          <w:rFonts w:ascii="宋体" w:hAnsi="宋体"/>
          <w:szCs w:val="21"/>
        </w:rPr>
      </w:pPr>
      <w:r>
        <w:rPr>
          <w:rFonts w:hint="eastAsia" w:ascii="宋体" w:hAnsi="宋体"/>
          <w:szCs w:val="21"/>
        </w:rPr>
        <w:t>2.2.2 相关服务依据在专用条件中约定。</w:t>
      </w:r>
    </w:p>
    <w:p>
      <w:pPr>
        <w:spacing w:line="360" w:lineRule="auto"/>
        <w:ind w:firstLine="210" w:firstLineChars="100"/>
        <w:rPr>
          <w:rFonts w:ascii="宋体" w:hAnsi="宋体" w:cs="宋体"/>
          <w:kern w:val="0"/>
          <w:szCs w:val="21"/>
        </w:rPr>
      </w:pPr>
      <w:r>
        <w:rPr>
          <w:rFonts w:hint="eastAsia" w:ascii="宋体" w:hAnsi="宋体"/>
          <w:kern w:val="0"/>
          <w:szCs w:val="21"/>
        </w:rPr>
        <w:t xml:space="preserve">2.3 </w:t>
      </w:r>
      <w:r>
        <w:rPr>
          <w:rFonts w:hint="eastAsia" w:ascii="宋体" w:hAnsi="宋体" w:cs="宋体"/>
          <w:kern w:val="0"/>
          <w:szCs w:val="21"/>
        </w:rPr>
        <w:t>项目组成员</w:t>
      </w:r>
    </w:p>
    <w:p>
      <w:pPr>
        <w:adjustRightInd w:val="0"/>
        <w:snapToGrid w:val="0"/>
        <w:spacing w:line="360" w:lineRule="auto"/>
        <w:ind w:firstLine="645"/>
        <w:rPr>
          <w:rFonts w:ascii="宋体" w:hAnsi="宋体"/>
          <w:kern w:val="0"/>
          <w:szCs w:val="21"/>
        </w:rPr>
      </w:pPr>
      <w:r>
        <w:rPr>
          <w:rFonts w:hint="eastAsia" w:ascii="宋体" w:hAnsi="宋体"/>
          <w:kern w:val="0"/>
          <w:szCs w:val="21"/>
        </w:rPr>
        <w:t>2.3.1 乙方应组建满足工作需要的项目组，配备必要的检测设备。项目组的主要人员应具有相应的资格条件。</w:t>
      </w:r>
    </w:p>
    <w:p>
      <w:pPr>
        <w:adjustRightInd w:val="0"/>
        <w:snapToGrid w:val="0"/>
        <w:spacing w:line="360" w:lineRule="auto"/>
        <w:ind w:firstLine="645"/>
        <w:rPr>
          <w:rFonts w:ascii="宋体" w:hAnsi="宋体"/>
          <w:kern w:val="0"/>
          <w:szCs w:val="21"/>
        </w:rPr>
      </w:pPr>
      <w:r>
        <w:rPr>
          <w:rFonts w:hint="eastAsia" w:ascii="宋体" w:hAnsi="宋体"/>
          <w:kern w:val="0"/>
          <w:szCs w:val="21"/>
        </w:rPr>
        <w:t>2.3.2本合同履行过程中，项目负责人及重要岗位检测人员应保持相对稳定，以保证工程质量检测工作正常进行。</w:t>
      </w:r>
    </w:p>
    <w:p>
      <w:pPr>
        <w:adjustRightInd w:val="0"/>
        <w:snapToGrid w:val="0"/>
        <w:spacing w:line="360" w:lineRule="auto"/>
        <w:ind w:firstLine="645"/>
        <w:rPr>
          <w:rFonts w:ascii="宋体" w:hAnsi="宋体"/>
          <w:kern w:val="0"/>
          <w:szCs w:val="21"/>
        </w:rPr>
      </w:pPr>
      <w:r>
        <w:rPr>
          <w:rFonts w:hint="eastAsia" w:ascii="宋体" w:hAnsi="宋体"/>
          <w:kern w:val="0"/>
          <w:szCs w:val="21"/>
        </w:rPr>
        <w:t>2.3.3乙方可根据工程进展和工作需要调整项目组人员。乙方更换项目组人员时，应以相当资格与能力的人员替换，乙方更换项目组其他检测人员，并通知委托方。</w:t>
      </w:r>
    </w:p>
    <w:p>
      <w:pPr>
        <w:adjustRightInd w:val="0"/>
        <w:snapToGrid w:val="0"/>
        <w:spacing w:line="360" w:lineRule="auto"/>
        <w:ind w:firstLine="645"/>
        <w:rPr>
          <w:rFonts w:ascii="宋体" w:hAnsi="宋体"/>
          <w:kern w:val="0"/>
          <w:szCs w:val="21"/>
        </w:rPr>
      </w:pPr>
      <w:r>
        <w:rPr>
          <w:rFonts w:hint="eastAsia" w:ascii="宋体" w:hAnsi="宋体"/>
          <w:kern w:val="0"/>
          <w:szCs w:val="21"/>
        </w:rPr>
        <w:t>2.3.4 乙方应及时更换有下列情形之一的检测人员：</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（1）严重过失行为的；</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（2）有违法行为不能履行职责的；</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（3）涉嫌犯罪的；</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（4）不能胜任岗位职责的；</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（5）严重违反职业道德的；</w:t>
      </w:r>
    </w:p>
    <w:p>
      <w:pPr>
        <w:tabs>
          <w:tab w:val="left" w:pos="420"/>
        </w:tabs>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（6）专用条件约定的其他情形。</w:t>
      </w:r>
    </w:p>
    <w:p>
      <w:pPr>
        <w:tabs>
          <w:tab w:val="left" w:pos="420"/>
        </w:tabs>
        <w:spacing w:line="360" w:lineRule="auto"/>
        <w:ind w:firstLine="420" w:firstLineChars="200"/>
        <w:rPr>
          <w:rFonts w:ascii="宋体" w:hAnsi="宋体"/>
          <w:kern w:val="0"/>
          <w:szCs w:val="21"/>
        </w:rPr>
      </w:pPr>
      <w:r>
        <w:rPr>
          <w:rFonts w:hint="eastAsia" w:ascii="宋体" w:hAnsi="宋体"/>
          <w:kern w:val="0"/>
          <w:szCs w:val="21"/>
        </w:rPr>
        <w:t xml:space="preserve">  2.3.5 甲方可要求乙方更换不能胜任本职工作的项目组工程质量检测人员。</w:t>
      </w:r>
    </w:p>
    <w:p>
      <w:pPr>
        <w:spacing w:line="360" w:lineRule="auto"/>
        <w:ind w:left="210" w:leftChars="100"/>
        <w:rPr>
          <w:rFonts w:ascii="宋体" w:hAnsi="宋体" w:cs="宋体"/>
          <w:kern w:val="0"/>
          <w:szCs w:val="21"/>
        </w:rPr>
      </w:pPr>
      <w:r>
        <w:rPr>
          <w:rFonts w:hint="eastAsia" w:ascii="宋体" w:hAnsi="宋体"/>
          <w:kern w:val="0"/>
          <w:szCs w:val="21"/>
        </w:rPr>
        <w:t xml:space="preserve">2.4 </w:t>
      </w:r>
      <w:r>
        <w:rPr>
          <w:rFonts w:hint="eastAsia" w:ascii="宋体" w:hAnsi="宋体" w:cs="宋体"/>
          <w:kern w:val="0"/>
          <w:szCs w:val="21"/>
        </w:rPr>
        <w:t>履行职责</w:t>
      </w:r>
    </w:p>
    <w:p>
      <w:pPr>
        <w:adjustRightInd w:val="0"/>
        <w:snapToGrid w:val="0"/>
        <w:spacing w:line="360" w:lineRule="auto"/>
        <w:ind w:firstLine="420" w:firstLineChars="200"/>
        <w:rPr>
          <w:rFonts w:ascii="宋体" w:hAnsi="宋体"/>
          <w:szCs w:val="21"/>
        </w:rPr>
      </w:pPr>
      <w:r>
        <w:rPr>
          <w:rFonts w:hint="eastAsia" w:ascii="宋体" w:hAnsi="宋体"/>
          <w:kern w:val="0"/>
          <w:szCs w:val="21"/>
        </w:rPr>
        <w:t>乙方应遵循职业道德准则和行为规范，严格按照法律法规、工程建设有关标准及本合同履行职责。</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2.4.1 在工程质量检测与相关服务范围内，甲方提出的意见和要求，乙方应及时提出处置意见。</w:t>
      </w:r>
    </w:p>
    <w:p>
      <w:pPr>
        <w:spacing w:line="360" w:lineRule="auto"/>
        <w:ind w:left="210" w:leftChars="100"/>
        <w:rPr>
          <w:rFonts w:ascii="宋体" w:hAnsi="宋体" w:cs="宋体"/>
          <w:kern w:val="0"/>
          <w:szCs w:val="21"/>
        </w:rPr>
      </w:pPr>
      <w:r>
        <w:rPr>
          <w:rFonts w:hint="eastAsia" w:ascii="宋体" w:hAnsi="宋体"/>
          <w:kern w:val="0"/>
          <w:szCs w:val="21"/>
        </w:rPr>
        <w:t>2.5 提交</w:t>
      </w:r>
      <w:r>
        <w:rPr>
          <w:rFonts w:hint="eastAsia" w:ascii="宋体" w:hAnsi="宋体" w:cs="宋体"/>
          <w:kern w:val="0"/>
          <w:szCs w:val="21"/>
        </w:rPr>
        <w:t>报告</w:t>
      </w:r>
    </w:p>
    <w:p>
      <w:pPr>
        <w:spacing w:line="360" w:lineRule="auto"/>
        <w:ind w:firstLine="420" w:firstLineChars="200"/>
        <w:rPr>
          <w:rFonts w:ascii="宋体" w:hAnsi="宋体"/>
          <w:szCs w:val="21"/>
        </w:rPr>
      </w:pPr>
      <w:r>
        <w:rPr>
          <w:rFonts w:hint="eastAsia" w:ascii="宋体" w:hAnsi="宋体"/>
          <w:szCs w:val="21"/>
        </w:rPr>
        <w:t>乙方应按专用条件约定的种类、时间和份数向甲方提交工程质量检测与相关服务的报告。</w:t>
      </w:r>
    </w:p>
    <w:p>
      <w:pPr>
        <w:spacing w:line="360" w:lineRule="auto"/>
        <w:ind w:left="210" w:leftChars="100"/>
        <w:rPr>
          <w:rFonts w:ascii="宋体" w:hAnsi="宋体"/>
          <w:kern w:val="0"/>
          <w:szCs w:val="21"/>
        </w:rPr>
      </w:pPr>
      <w:r>
        <w:rPr>
          <w:rFonts w:hint="eastAsia" w:ascii="宋体" w:hAnsi="宋体"/>
          <w:kern w:val="0"/>
          <w:szCs w:val="21"/>
        </w:rPr>
        <w:t>2.6 文件资料</w:t>
      </w:r>
    </w:p>
    <w:p>
      <w:pPr>
        <w:spacing w:line="360" w:lineRule="auto"/>
        <w:ind w:firstLine="420" w:firstLineChars="200"/>
        <w:rPr>
          <w:rFonts w:ascii="宋体" w:hAnsi="宋体"/>
          <w:szCs w:val="21"/>
        </w:rPr>
      </w:pPr>
      <w:r>
        <w:rPr>
          <w:rFonts w:hint="eastAsia" w:ascii="宋体" w:hAnsi="宋体"/>
          <w:kern w:val="0"/>
          <w:szCs w:val="21"/>
        </w:rPr>
        <w:t>在本合同履行期内，甲方应在现场保留工作所用的图纸、报告及记录等</w:t>
      </w:r>
      <w:r>
        <w:rPr>
          <w:rFonts w:hint="eastAsia" w:ascii="宋体" w:hAnsi="宋体"/>
          <w:szCs w:val="21"/>
        </w:rPr>
        <w:t>相关文件。工程竣工后，应当按照档案管理规定将工程质量检测有关文件归档。</w:t>
      </w:r>
    </w:p>
    <w:p>
      <w:pPr>
        <w:spacing w:line="360" w:lineRule="auto"/>
        <w:ind w:left="210" w:leftChars="100"/>
        <w:rPr>
          <w:rFonts w:ascii="宋体" w:hAnsi="宋体" w:cs="宋体"/>
          <w:kern w:val="0"/>
          <w:szCs w:val="21"/>
        </w:rPr>
      </w:pPr>
      <w:r>
        <w:rPr>
          <w:rFonts w:hint="eastAsia" w:ascii="宋体" w:hAnsi="宋体"/>
          <w:kern w:val="0"/>
          <w:szCs w:val="21"/>
        </w:rPr>
        <w:t xml:space="preserve">2.7 </w:t>
      </w:r>
      <w:r>
        <w:rPr>
          <w:rFonts w:hint="eastAsia" w:ascii="宋体" w:hAnsi="宋体" w:cs="宋体"/>
          <w:kern w:val="0"/>
          <w:szCs w:val="21"/>
        </w:rPr>
        <w:t>使用委托人的财产</w:t>
      </w:r>
    </w:p>
    <w:p>
      <w:pPr>
        <w:spacing w:line="360" w:lineRule="auto"/>
        <w:ind w:firstLine="420" w:firstLineChars="200"/>
        <w:rPr>
          <w:rFonts w:ascii="宋体" w:hAnsi="宋体"/>
          <w:szCs w:val="21"/>
        </w:rPr>
      </w:pPr>
      <w:r>
        <w:rPr>
          <w:rFonts w:hint="eastAsia" w:ascii="宋体" w:hAnsi="宋体"/>
          <w:szCs w:val="21"/>
        </w:rPr>
        <w:t>乙方无偿使用附录B中由甲方派遣的人员和提供的房屋、场地、资料、设备。除专用条件另有约定外，甲方提供的房屋、设备属于甲方的财产，乙方应妥善使用和保管，在本合同终止时将这些房屋、设备的清单提交甲方，并按专用条件约定的时间和方式移交。</w:t>
      </w:r>
    </w:p>
    <w:p>
      <w:pPr>
        <w:adjustRightInd w:val="0"/>
        <w:snapToGrid w:val="0"/>
        <w:spacing w:line="360" w:lineRule="exact"/>
        <w:rPr>
          <w:b/>
          <w:bCs/>
          <w:color w:val="000000"/>
          <w:sz w:val="24"/>
        </w:rPr>
      </w:pPr>
      <w:bookmarkStart w:id="84" w:name="_Toc22813568"/>
      <w:r>
        <w:rPr>
          <w:rFonts w:hint="eastAsia"/>
          <w:b/>
          <w:bCs/>
          <w:color w:val="000000"/>
          <w:sz w:val="24"/>
        </w:rPr>
        <w:t>3．甲方的义务</w:t>
      </w:r>
      <w:bookmarkEnd w:id="84"/>
    </w:p>
    <w:p>
      <w:pPr>
        <w:adjustRightInd w:val="0"/>
        <w:snapToGrid w:val="0"/>
        <w:spacing w:line="360" w:lineRule="auto"/>
        <w:ind w:left="210" w:leftChars="100"/>
        <w:rPr>
          <w:rFonts w:ascii="宋体" w:hAnsi="宋体"/>
          <w:szCs w:val="21"/>
        </w:rPr>
      </w:pPr>
      <w:r>
        <w:rPr>
          <w:rFonts w:hint="eastAsia" w:ascii="宋体" w:hAnsi="宋体"/>
          <w:szCs w:val="21"/>
        </w:rPr>
        <w:t>3.1 提供资料</w:t>
      </w:r>
    </w:p>
    <w:p>
      <w:pPr>
        <w:spacing w:line="360" w:lineRule="auto"/>
        <w:ind w:firstLine="420" w:firstLineChars="200"/>
        <w:rPr>
          <w:rFonts w:ascii="宋体" w:hAnsi="宋体"/>
          <w:szCs w:val="21"/>
        </w:rPr>
      </w:pPr>
      <w:r>
        <w:rPr>
          <w:rFonts w:hint="eastAsia" w:ascii="宋体" w:hAnsi="宋体"/>
          <w:kern w:val="0"/>
          <w:szCs w:val="21"/>
        </w:rPr>
        <w:t>甲方应按照附录B约定，无偿向乙方提供工程有关的资料。</w:t>
      </w:r>
      <w:r>
        <w:rPr>
          <w:rFonts w:hint="eastAsia" w:ascii="宋体" w:hAnsi="宋体"/>
          <w:szCs w:val="21"/>
        </w:rPr>
        <w:t>在本合同履行过程中，甲方应及时向乙方提供最新的与工程有关的资料。</w:t>
      </w:r>
    </w:p>
    <w:p>
      <w:pPr>
        <w:adjustRightInd w:val="0"/>
        <w:snapToGrid w:val="0"/>
        <w:spacing w:line="360" w:lineRule="auto"/>
        <w:ind w:left="210" w:leftChars="100"/>
        <w:rPr>
          <w:rFonts w:ascii="宋体" w:hAnsi="宋体"/>
          <w:szCs w:val="21"/>
        </w:rPr>
      </w:pPr>
      <w:r>
        <w:rPr>
          <w:rFonts w:hint="eastAsia" w:ascii="宋体" w:hAnsi="宋体"/>
          <w:szCs w:val="21"/>
        </w:rPr>
        <w:t>3.2 提供工作条件</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甲方应为乙方完成工程质量检测与相关服务提供必要的条件。</w:t>
      </w:r>
    </w:p>
    <w:p>
      <w:pPr>
        <w:adjustRightInd w:val="0"/>
        <w:snapToGrid w:val="0"/>
        <w:spacing w:line="360" w:lineRule="auto"/>
        <w:ind w:firstLine="420" w:firstLineChars="200"/>
        <w:rPr>
          <w:rFonts w:ascii="宋体" w:hAnsi="宋体"/>
          <w:szCs w:val="21"/>
        </w:rPr>
      </w:pPr>
      <w:r>
        <w:rPr>
          <w:rFonts w:hint="eastAsia" w:ascii="宋体" w:hAnsi="宋体"/>
          <w:kern w:val="0"/>
          <w:szCs w:val="21"/>
        </w:rPr>
        <w:t xml:space="preserve"> 3.2.1 </w:t>
      </w:r>
      <w:r>
        <w:rPr>
          <w:rFonts w:hint="eastAsia" w:ascii="宋体" w:hAnsi="宋体"/>
          <w:szCs w:val="21"/>
        </w:rPr>
        <w:t>甲方应按照附录B约定，派遣相应的人员，提供房屋、场地、设备，供乙方</w:t>
      </w:r>
      <w:r>
        <w:rPr>
          <w:rFonts w:hint="eastAsia" w:ascii="宋体" w:hAnsi="宋体"/>
          <w:kern w:val="0"/>
          <w:szCs w:val="21"/>
        </w:rPr>
        <w:t>无偿</w:t>
      </w:r>
      <w:r>
        <w:rPr>
          <w:rFonts w:hint="eastAsia" w:ascii="宋体" w:hAnsi="宋体"/>
          <w:szCs w:val="21"/>
        </w:rPr>
        <w:t>使用。</w:t>
      </w:r>
    </w:p>
    <w:p>
      <w:pPr>
        <w:spacing w:line="360" w:lineRule="auto"/>
        <w:ind w:firstLine="420" w:firstLineChars="200"/>
        <w:rPr>
          <w:rFonts w:ascii="宋体" w:hAnsi="宋体"/>
          <w:szCs w:val="21"/>
        </w:rPr>
      </w:pPr>
      <w:r>
        <w:rPr>
          <w:rFonts w:hint="eastAsia" w:ascii="宋体" w:hAnsi="宋体"/>
          <w:kern w:val="0"/>
          <w:szCs w:val="21"/>
        </w:rPr>
        <w:t xml:space="preserve"> 3.2.2 </w:t>
      </w:r>
      <w:r>
        <w:rPr>
          <w:rFonts w:hint="eastAsia" w:ascii="宋体" w:hAnsi="宋体"/>
          <w:szCs w:val="21"/>
        </w:rPr>
        <w:t>甲方应负责协调工程建设中所有外部关系，为乙方履行本合同提供必要的外部条件。</w:t>
      </w:r>
    </w:p>
    <w:p>
      <w:pPr>
        <w:adjustRightInd w:val="0"/>
        <w:snapToGrid w:val="0"/>
        <w:spacing w:line="360" w:lineRule="auto"/>
        <w:ind w:left="210" w:leftChars="100"/>
        <w:rPr>
          <w:rFonts w:ascii="宋体" w:hAnsi="宋体"/>
          <w:szCs w:val="21"/>
        </w:rPr>
      </w:pPr>
      <w:r>
        <w:rPr>
          <w:rFonts w:hint="eastAsia" w:ascii="宋体" w:hAnsi="宋体"/>
          <w:szCs w:val="21"/>
        </w:rPr>
        <w:t>3.3 委托方代表</w:t>
      </w:r>
    </w:p>
    <w:p>
      <w:pPr>
        <w:snapToGrid w:val="0"/>
        <w:spacing w:line="360" w:lineRule="auto"/>
        <w:ind w:firstLine="420" w:firstLineChars="200"/>
        <w:rPr>
          <w:rFonts w:ascii="宋体" w:hAnsi="宋体"/>
          <w:szCs w:val="21"/>
        </w:rPr>
      </w:pPr>
      <w:r>
        <w:rPr>
          <w:rFonts w:hint="eastAsia" w:ascii="宋体" w:hAnsi="宋体"/>
          <w:szCs w:val="21"/>
        </w:rPr>
        <w:t>甲方应授权一名熟悉工程情况的代表，负责与乙方联系。甲方应在双方签订本合同后7天内，将甲方代表的姓名和职责书面告知乙方。当甲方更换甲方代表时，应及时通知（含书面）乙方。</w:t>
      </w:r>
    </w:p>
    <w:p>
      <w:pPr>
        <w:adjustRightInd w:val="0"/>
        <w:snapToGrid w:val="0"/>
        <w:spacing w:line="360" w:lineRule="auto"/>
        <w:ind w:left="210" w:leftChars="100"/>
        <w:rPr>
          <w:rFonts w:ascii="宋体" w:hAnsi="宋体"/>
          <w:szCs w:val="21"/>
        </w:rPr>
      </w:pPr>
      <w:r>
        <w:rPr>
          <w:rFonts w:hint="eastAsia" w:ascii="宋体" w:hAnsi="宋体"/>
          <w:szCs w:val="21"/>
        </w:rPr>
        <w:t>3.4答复</w:t>
      </w:r>
    </w:p>
    <w:p>
      <w:pPr>
        <w:snapToGrid w:val="0"/>
        <w:spacing w:line="360" w:lineRule="auto"/>
        <w:ind w:firstLine="420" w:firstLineChars="200"/>
        <w:rPr>
          <w:rFonts w:ascii="宋体" w:hAnsi="宋体"/>
          <w:szCs w:val="21"/>
        </w:rPr>
      </w:pPr>
      <w:r>
        <w:rPr>
          <w:rFonts w:hint="eastAsia" w:ascii="宋体" w:hAnsi="宋体"/>
          <w:szCs w:val="21"/>
        </w:rPr>
        <w:t>甲方应在专用条件约定的时间内，对乙方以书面形式提交并要求作出决定的事宜，给予书面答复。逾期未答复的，视为委托人认可。</w:t>
      </w:r>
    </w:p>
    <w:p>
      <w:pPr>
        <w:adjustRightInd w:val="0"/>
        <w:snapToGrid w:val="0"/>
        <w:spacing w:line="360" w:lineRule="auto"/>
        <w:ind w:left="210" w:leftChars="100"/>
        <w:rPr>
          <w:rFonts w:ascii="宋体" w:hAnsi="宋体"/>
          <w:szCs w:val="21"/>
        </w:rPr>
      </w:pPr>
      <w:r>
        <w:rPr>
          <w:rFonts w:hint="eastAsia" w:ascii="宋体" w:hAnsi="宋体"/>
          <w:szCs w:val="21"/>
        </w:rPr>
        <w:t>3.5 支付</w:t>
      </w:r>
    </w:p>
    <w:p>
      <w:pPr>
        <w:snapToGrid w:val="0"/>
        <w:spacing w:line="360" w:lineRule="auto"/>
        <w:ind w:firstLine="420" w:firstLineChars="200"/>
        <w:rPr>
          <w:rFonts w:ascii="宋体" w:hAnsi="宋体"/>
          <w:szCs w:val="21"/>
        </w:rPr>
      </w:pPr>
      <w:r>
        <w:rPr>
          <w:rFonts w:hint="eastAsia" w:ascii="宋体" w:hAnsi="宋体"/>
          <w:szCs w:val="21"/>
        </w:rPr>
        <w:t>甲方应按本合同约定，向乙方支付酬金。</w:t>
      </w:r>
    </w:p>
    <w:p>
      <w:pPr>
        <w:adjustRightInd w:val="0"/>
        <w:snapToGrid w:val="0"/>
        <w:spacing w:line="360" w:lineRule="exact"/>
        <w:rPr>
          <w:b/>
          <w:bCs/>
          <w:color w:val="000000"/>
          <w:sz w:val="24"/>
        </w:rPr>
      </w:pPr>
      <w:bookmarkStart w:id="85" w:name="_Toc22813569"/>
      <w:r>
        <w:rPr>
          <w:rFonts w:hint="eastAsia"/>
          <w:b/>
          <w:bCs/>
          <w:color w:val="000000"/>
          <w:sz w:val="24"/>
        </w:rPr>
        <w:t>4. 违约责任</w:t>
      </w:r>
      <w:bookmarkEnd w:id="85"/>
    </w:p>
    <w:p>
      <w:pPr>
        <w:adjustRightInd w:val="0"/>
        <w:snapToGrid w:val="0"/>
        <w:spacing w:line="360" w:lineRule="auto"/>
        <w:ind w:left="210" w:leftChars="100"/>
        <w:rPr>
          <w:rFonts w:ascii="宋体" w:hAnsi="宋体"/>
          <w:szCs w:val="21"/>
        </w:rPr>
      </w:pPr>
      <w:r>
        <w:rPr>
          <w:rFonts w:hint="eastAsia" w:ascii="宋体" w:hAnsi="宋体"/>
          <w:szCs w:val="21"/>
        </w:rPr>
        <w:t>4.1 乙方的违约责任</w:t>
      </w:r>
    </w:p>
    <w:p>
      <w:pPr>
        <w:adjustRightInd w:val="0"/>
        <w:snapToGrid w:val="0"/>
        <w:spacing w:line="360" w:lineRule="auto"/>
        <w:ind w:firstLine="420" w:firstLineChars="200"/>
        <w:rPr>
          <w:rFonts w:ascii="宋体" w:hAnsi="宋体"/>
          <w:szCs w:val="21"/>
        </w:rPr>
      </w:pPr>
      <w:r>
        <w:rPr>
          <w:rFonts w:hint="eastAsia" w:ascii="宋体" w:hAnsi="宋体"/>
          <w:kern w:val="0"/>
          <w:szCs w:val="21"/>
        </w:rPr>
        <w:t>乙方未履行本合同义务的，应承担相应的责任。</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4.1.1 因乙方</w:t>
      </w:r>
      <w:r>
        <w:rPr>
          <w:rFonts w:hint="eastAsia" w:ascii="宋体" w:hAnsi="宋体" w:cs="宋体"/>
          <w:kern w:val="0"/>
          <w:szCs w:val="21"/>
        </w:rPr>
        <w:t>违反本合同约定</w:t>
      </w:r>
      <w:r>
        <w:rPr>
          <w:rFonts w:hint="eastAsia" w:ascii="宋体" w:hAnsi="宋体"/>
          <w:szCs w:val="21"/>
        </w:rPr>
        <w:t>给委托方造成损失的，乙方应当赔偿委托方损失</w:t>
      </w:r>
      <w:r>
        <w:rPr>
          <w:rFonts w:hint="eastAsia" w:ascii="宋体" w:hAnsi="宋体"/>
          <w:kern w:val="0"/>
          <w:szCs w:val="21"/>
        </w:rPr>
        <w:t>。赔偿金额的确定方法在专用条件中约定。乙方承担部分赔偿责任的，其承担赔偿金额由双方协商确定。</w:t>
      </w:r>
    </w:p>
    <w:p>
      <w:pPr>
        <w:spacing w:line="360" w:lineRule="auto"/>
        <w:ind w:firstLine="420" w:firstLineChars="200"/>
        <w:rPr>
          <w:rFonts w:ascii="宋体" w:hAnsi="宋体"/>
          <w:kern w:val="0"/>
          <w:szCs w:val="21"/>
        </w:rPr>
      </w:pPr>
      <w:r>
        <w:rPr>
          <w:rFonts w:hint="eastAsia" w:ascii="宋体" w:hAnsi="宋体"/>
          <w:kern w:val="0"/>
          <w:szCs w:val="21"/>
        </w:rPr>
        <w:t>4.1.2 乙方向甲方的索赔不成立时，乙方应赔偿委托方由此发生的费用。</w:t>
      </w:r>
    </w:p>
    <w:p>
      <w:pPr>
        <w:adjustRightInd w:val="0"/>
        <w:snapToGrid w:val="0"/>
        <w:spacing w:line="360" w:lineRule="auto"/>
        <w:ind w:left="210" w:leftChars="100"/>
        <w:rPr>
          <w:rFonts w:ascii="宋体" w:hAnsi="宋体"/>
          <w:szCs w:val="21"/>
        </w:rPr>
      </w:pPr>
      <w:r>
        <w:rPr>
          <w:rFonts w:hint="eastAsia" w:ascii="宋体" w:hAnsi="宋体"/>
          <w:szCs w:val="21"/>
        </w:rPr>
        <w:t>4.2 甲方的违约责任</w:t>
      </w:r>
    </w:p>
    <w:p>
      <w:pPr>
        <w:adjustRightInd w:val="0"/>
        <w:snapToGrid w:val="0"/>
        <w:spacing w:line="360" w:lineRule="auto"/>
        <w:ind w:firstLine="420" w:firstLineChars="200"/>
        <w:rPr>
          <w:rFonts w:ascii="宋体" w:hAnsi="宋体" w:cs="宋体"/>
          <w:kern w:val="0"/>
          <w:szCs w:val="21"/>
        </w:rPr>
      </w:pPr>
      <w:r>
        <w:rPr>
          <w:rFonts w:hint="eastAsia" w:ascii="宋体" w:hAnsi="宋体"/>
          <w:kern w:val="0"/>
          <w:szCs w:val="21"/>
        </w:rPr>
        <w:t>甲方未履行本合同义务的，应承担相应的责任。</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4.2.1 甲方违反本合同约定造成乙方损失的，甲方应予以赔偿。</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4.2.2 甲方向乙方的索赔不成立时，甲方应赔偿乙方由此引起的费用。</w:t>
      </w:r>
    </w:p>
    <w:p>
      <w:pPr>
        <w:spacing w:line="360" w:lineRule="auto"/>
        <w:ind w:firstLine="420" w:firstLineChars="200"/>
        <w:rPr>
          <w:rFonts w:ascii="宋体" w:hAnsi="宋体"/>
          <w:kern w:val="0"/>
          <w:szCs w:val="21"/>
        </w:rPr>
      </w:pPr>
      <w:r>
        <w:rPr>
          <w:rFonts w:hint="eastAsia" w:ascii="宋体" w:hAnsi="宋体"/>
          <w:szCs w:val="21"/>
        </w:rPr>
        <w:t xml:space="preserve">4.2.3 </w:t>
      </w:r>
      <w:r>
        <w:rPr>
          <w:rFonts w:hint="eastAsia" w:ascii="宋体" w:hAnsi="宋体"/>
          <w:kern w:val="0"/>
          <w:szCs w:val="21"/>
        </w:rPr>
        <w:t>甲方未能按期支付</w:t>
      </w:r>
      <w:r>
        <w:rPr>
          <w:rFonts w:hint="eastAsia" w:ascii="宋体" w:hAnsi="宋体"/>
          <w:szCs w:val="21"/>
        </w:rPr>
        <w:t>酬金</w:t>
      </w:r>
      <w:r>
        <w:rPr>
          <w:rFonts w:hint="eastAsia" w:ascii="宋体" w:hAnsi="宋体"/>
          <w:kern w:val="0"/>
          <w:szCs w:val="21"/>
        </w:rPr>
        <w:t>超过28天，</w:t>
      </w:r>
      <w:r>
        <w:rPr>
          <w:rFonts w:hint="eastAsia" w:ascii="宋体" w:hAnsi="宋体" w:cs="宋体"/>
          <w:kern w:val="0"/>
          <w:szCs w:val="21"/>
        </w:rPr>
        <w:t>应按专用条件约定支付逾期付款利息</w:t>
      </w:r>
      <w:r>
        <w:rPr>
          <w:rFonts w:hint="eastAsia" w:ascii="宋体" w:hAnsi="宋体"/>
          <w:kern w:val="0"/>
          <w:szCs w:val="21"/>
        </w:rPr>
        <w:t>。</w:t>
      </w:r>
    </w:p>
    <w:p>
      <w:pPr>
        <w:adjustRightInd w:val="0"/>
        <w:snapToGrid w:val="0"/>
        <w:spacing w:line="360" w:lineRule="auto"/>
        <w:ind w:left="210" w:leftChars="100"/>
        <w:rPr>
          <w:rFonts w:ascii="宋体" w:hAnsi="宋体"/>
          <w:szCs w:val="21"/>
        </w:rPr>
      </w:pPr>
      <w:r>
        <w:rPr>
          <w:rFonts w:hint="eastAsia" w:ascii="宋体" w:hAnsi="宋体"/>
          <w:szCs w:val="21"/>
        </w:rPr>
        <w:t>4.3 除外责任</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因非乙方的原因，且乙方无过错，发生工程质量事故、安全事故、工期延误等造成的损失，乙方不承担赔偿责任。</w:t>
      </w:r>
    </w:p>
    <w:p>
      <w:pPr>
        <w:snapToGrid w:val="0"/>
        <w:spacing w:line="360" w:lineRule="auto"/>
        <w:ind w:firstLine="420" w:firstLineChars="200"/>
        <w:rPr>
          <w:rFonts w:ascii="宋体" w:hAnsi="宋体"/>
          <w:kern w:val="0"/>
          <w:szCs w:val="21"/>
        </w:rPr>
      </w:pPr>
      <w:r>
        <w:rPr>
          <w:rFonts w:hint="eastAsia" w:ascii="宋体" w:hAnsi="宋体"/>
          <w:kern w:val="0"/>
          <w:szCs w:val="21"/>
        </w:rPr>
        <w:t>因不可抗力导致本合同全部或部分不能履行时，双方各自承担其因此而造成的损失、损害。</w:t>
      </w:r>
    </w:p>
    <w:p>
      <w:pPr>
        <w:adjustRightInd w:val="0"/>
        <w:snapToGrid w:val="0"/>
        <w:spacing w:line="360" w:lineRule="exact"/>
        <w:rPr>
          <w:b/>
          <w:bCs/>
          <w:color w:val="000000"/>
          <w:sz w:val="24"/>
        </w:rPr>
      </w:pPr>
      <w:bookmarkStart w:id="86" w:name="_Toc22813570"/>
      <w:r>
        <w:rPr>
          <w:rFonts w:hint="eastAsia"/>
          <w:b/>
          <w:bCs/>
          <w:color w:val="000000"/>
          <w:sz w:val="24"/>
        </w:rPr>
        <w:t>5. 支付</w:t>
      </w:r>
      <w:bookmarkEnd w:id="86"/>
    </w:p>
    <w:p>
      <w:pPr>
        <w:adjustRightInd w:val="0"/>
        <w:snapToGrid w:val="0"/>
        <w:spacing w:line="360" w:lineRule="auto"/>
        <w:ind w:left="210" w:leftChars="100"/>
        <w:rPr>
          <w:rFonts w:ascii="宋体" w:hAnsi="宋体"/>
          <w:szCs w:val="21"/>
        </w:rPr>
      </w:pPr>
      <w:r>
        <w:rPr>
          <w:rFonts w:hint="eastAsia" w:ascii="宋体" w:hAnsi="宋体"/>
          <w:szCs w:val="21"/>
        </w:rPr>
        <w:t>5.1 支付货币</w:t>
      </w:r>
    </w:p>
    <w:p>
      <w:pPr>
        <w:snapToGrid w:val="0"/>
        <w:spacing w:line="360" w:lineRule="auto"/>
        <w:ind w:firstLine="420" w:firstLineChars="200"/>
        <w:rPr>
          <w:rFonts w:ascii="宋体" w:hAnsi="宋体"/>
          <w:bCs/>
          <w:szCs w:val="21"/>
        </w:rPr>
      </w:pPr>
      <w:r>
        <w:rPr>
          <w:rFonts w:hint="eastAsia" w:ascii="宋体" w:hAnsi="宋体"/>
          <w:szCs w:val="21"/>
        </w:rPr>
        <w:t>除专用条件另有约定外，酬金均以人民币支付。涉及外币支付的，所采用的货币种类、比例和汇率在专用条件中约定。</w:t>
      </w:r>
    </w:p>
    <w:p>
      <w:pPr>
        <w:adjustRightInd w:val="0"/>
        <w:snapToGrid w:val="0"/>
        <w:spacing w:line="360" w:lineRule="auto"/>
        <w:ind w:left="210" w:leftChars="100"/>
        <w:rPr>
          <w:rFonts w:ascii="宋体" w:hAnsi="宋体"/>
          <w:szCs w:val="21"/>
        </w:rPr>
      </w:pPr>
      <w:r>
        <w:rPr>
          <w:rFonts w:hint="eastAsia" w:ascii="宋体" w:hAnsi="宋体"/>
          <w:szCs w:val="21"/>
        </w:rPr>
        <w:t>5.2 支付申请</w:t>
      </w:r>
    </w:p>
    <w:p>
      <w:pPr>
        <w:snapToGrid w:val="0"/>
        <w:spacing w:line="360" w:lineRule="auto"/>
        <w:ind w:firstLine="420" w:firstLineChars="200"/>
        <w:rPr>
          <w:rFonts w:ascii="宋体" w:hAnsi="宋体"/>
          <w:szCs w:val="21"/>
        </w:rPr>
      </w:pPr>
      <w:r>
        <w:rPr>
          <w:rFonts w:hint="eastAsia" w:ascii="宋体" w:hAnsi="宋体"/>
          <w:szCs w:val="21"/>
        </w:rPr>
        <w:t>乙方应在本合同约定的每次应付款时间的7天前，向甲方提交支付申请书。支付申请书应当说明当期应付款总额，并列出当期应支付的款项及其金额。</w:t>
      </w:r>
    </w:p>
    <w:p>
      <w:pPr>
        <w:adjustRightInd w:val="0"/>
        <w:snapToGrid w:val="0"/>
        <w:spacing w:line="360" w:lineRule="auto"/>
        <w:ind w:left="210" w:leftChars="100"/>
        <w:rPr>
          <w:rFonts w:ascii="宋体" w:hAnsi="宋体"/>
          <w:szCs w:val="21"/>
        </w:rPr>
      </w:pPr>
      <w:r>
        <w:rPr>
          <w:rFonts w:hint="eastAsia" w:ascii="宋体" w:hAnsi="宋体"/>
          <w:szCs w:val="21"/>
        </w:rPr>
        <w:t xml:space="preserve"> 5.3 支付酬金</w:t>
      </w:r>
    </w:p>
    <w:p>
      <w:pPr>
        <w:snapToGrid w:val="0"/>
        <w:spacing w:line="360" w:lineRule="auto"/>
        <w:ind w:firstLine="480"/>
        <w:rPr>
          <w:rFonts w:ascii="宋体" w:hAnsi="宋体"/>
          <w:szCs w:val="21"/>
        </w:rPr>
      </w:pPr>
      <w:r>
        <w:rPr>
          <w:rFonts w:hint="eastAsia" w:ascii="宋体" w:hAnsi="宋体"/>
          <w:szCs w:val="21"/>
        </w:rPr>
        <w:t>支付的酬金包括正常工作酬金、附加工作酬金。</w:t>
      </w:r>
    </w:p>
    <w:p>
      <w:pPr>
        <w:adjustRightInd w:val="0"/>
        <w:snapToGrid w:val="0"/>
        <w:spacing w:line="360" w:lineRule="auto"/>
        <w:ind w:left="210" w:leftChars="100"/>
        <w:rPr>
          <w:rFonts w:ascii="宋体" w:hAnsi="宋体"/>
          <w:szCs w:val="21"/>
        </w:rPr>
      </w:pPr>
      <w:r>
        <w:rPr>
          <w:rFonts w:hint="eastAsia" w:ascii="宋体" w:hAnsi="宋体"/>
          <w:szCs w:val="21"/>
        </w:rPr>
        <w:t xml:space="preserve">   5.4 有争议部分的付款</w:t>
      </w:r>
    </w:p>
    <w:p>
      <w:pPr>
        <w:snapToGrid w:val="0"/>
        <w:spacing w:line="360" w:lineRule="auto"/>
        <w:ind w:firstLine="420" w:firstLineChars="200"/>
        <w:rPr>
          <w:rFonts w:ascii="宋体" w:hAnsi="宋体"/>
          <w:szCs w:val="21"/>
        </w:rPr>
      </w:pPr>
      <w:r>
        <w:rPr>
          <w:rFonts w:hint="eastAsia" w:ascii="宋体" w:hAnsi="宋体"/>
          <w:szCs w:val="21"/>
        </w:rPr>
        <w:t>甲方对乙方提交的支付申请书有异议时，应当在收到甲方提交的支付申请书后7天内，以书面形式向乙方发出异议通知。无异议部分的款项应按期支付，有异议部分的款项按第7条约定办理。</w:t>
      </w:r>
    </w:p>
    <w:p>
      <w:pPr>
        <w:adjustRightInd w:val="0"/>
        <w:snapToGrid w:val="0"/>
        <w:spacing w:line="360" w:lineRule="exact"/>
        <w:rPr>
          <w:b/>
          <w:bCs/>
          <w:color w:val="000000"/>
          <w:sz w:val="24"/>
        </w:rPr>
      </w:pPr>
      <w:bookmarkStart w:id="87" w:name="_Toc22813571"/>
      <w:r>
        <w:rPr>
          <w:rFonts w:hint="eastAsia"/>
          <w:b/>
          <w:bCs/>
          <w:color w:val="000000"/>
          <w:sz w:val="24"/>
        </w:rPr>
        <w:t>6. 合同生效、变更、暂停、解除与终止</w:t>
      </w:r>
      <w:bookmarkEnd w:id="87"/>
    </w:p>
    <w:p>
      <w:pPr>
        <w:adjustRightInd w:val="0"/>
        <w:snapToGrid w:val="0"/>
        <w:spacing w:line="360" w:lineRule="auto"/>
        <w:ind w:left="210" w:leftChars="100"/>
        <w:rPr>
          <w:rFonts w:ascii="宋体" w:hAnsi="宋体"/>
          <w:szCs w:val="21"/>
        </w:rPr>
      </w:pPr>
      <w:r>
        <w:rPr>
          <w:rFonts w:hint="eastAsia" w:ascii="宋体" w:hAnsi="宋体"/>
          <w:szCs w:val="21"/>
        </w:rPr>
        <w:t>6.1生效</w:t>
      </w:r>
    </w:p>
    <w:p>
      <w:pPr>
        <w:spacing w:line="360" w:lineRule="auto"/>
        <w:ind w:firstLine="420" w:firstLineChars="200"/>
        <w:rPr>
          <w:rFonts w:ascii="宋体" w:hAnsi="宋体"/>
          <w:szCs w:val="21"/>
        </w:rPr>
      </w:pPr>
      <w:r>
        <w:rPr>
          <w:rFonts w:hint="eastAsia" w:ascii="宋体" w:hAnsi="宋体"/>
          <w:szCs w:val="21"/>
        </w:rPr>
        <w:t>除法律另有规定或者专用条件另有约定外，甲方和乙方的法定代表人或其授权代理人在协议书上签字并盖单位章后本合同生效。</w:t>
      </w:r>
    </w:p>
    <w:p>
      <w:pPr>
        <w:adjustRightInd w:val="0"/>
        <w:snapToGrid w:val="0"/>
        <w:spacing w:line="360" w:lineRule="auto"/>
        <w:ind w:left="210" w:leftChars="100"/>
        <w:rPr>
          <w:rFonts w:ascii="宋体" w:hAnsi="宋体"/>
          <w:szCs w:val="21"/>
        </w:rPr>
      </w:pPr>
      <w:r>
        <w:rPr>
          <w:rFonts w:hint="eastAsia" w:ascii="宋体" w:hAnsi="宋体"/>
          <w:szCs w:val="21"/>
        </w:rPr>
        <w:t>6.2变更</w:t>
      </w:r>
    </w:p>
    <w:p>
      <w:pPr>
        <w:spacing w:line="360" w:lineRule="auto"/>
        <w:ind w:firstLine="420" w:firstLineChars="200"/>
        <w:rPr>
          <w:rFonts w:ascii="宋体" w:hAnsi="宋体"/>
          <w:szCs w:val="21"/>
        </w:rPr>
      </w:pPr>
      <w:r>
        <w:rPr>
          <w:rFonts w:hint="eastAsia" w:ascii="宋体" w:hAnsi="宋体"/>
          <w:szCs w:val="21"/>
        </w:rPr>
        <w:t>6.2.1 任何一方提出变更请求时，双方经协商一致后可进行变更。</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szCs w:val="21"/>
        </w:rPr>
        <w:t>6.2.2</w:t>
      </w:r>
      <w:r>
        <w:rPr>
          <w:rFonts w:hint="eastAsia" w:ascii="宋体" w:hAnsi="宋体"/>
          <w:kern w:val="0"/>
          <w:szCs w:val="21"/>
        </w:rPr>
        <w:t>变更估价原则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除专用合同条款另有约定外，变更估价按照本款约定处理：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）已标价工程量清单或预算书有相同项目的，按照相同项目单价认定；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）已标价工程量清单或预算书中无相同项目，但有类似项目的，参照类似项目的单价认定；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）变更导致实际完成的变更工程量与已标价工程量清单或预算书中列明的该项目工程量的变化幅度超过</w:t>
      </w:r>
      <w:r>
        <w:rPr>
          <w:rFonts w:ascii="宋体" w:hAnsi="宋体"/>
          <w:kern w:val="0"/>
          <w:szCs w:val="21"/>
        </w:rPr>
        <w:t>15%</w:t>
      </w:r>
      <w:r>
        <w:rPr>
          <w:rFonts w:hint="eastAsia" w:ascii="宋体" w:hAnsi="宋体"/>
          <w:kern w:val="0"/>
          <w:szCs w:val="21"/>
        </w:rPr>
        <w:t>的，或已标价工程量清单或预算书中无相同项目及类似项目单价的，按照合理的成本与利润构成的原则，由合同当事人按照第</w:t>
      </w:r>
      <w:r>
        <w:rPr>
          <w:rFonts w:ascii="宋体" w:hAnsi="宋体"/>
          <w:kern w:val="0"/>
          <w:szCs w:val="21"/>
        </w:rPr>
        <w:t>4.4</w:t>
      </w:r>
      <w:r>
        <w:rPr>
          <w:rFonts w:hint="eastAsia" w:ascii="宋体" w:hAnsi="宋体"/>
          <w:kern w:val="0"/>
          <w:szCs w:val="21"/>
        </w:rPr>
        <w:t>款〔商定或确定〕确定变更工作的单价。</w:t>
      </w:r>
    </w:p>
    <w:p>
      <w:pPr>
        <w:adjustRightInd w:val="0"/>
        <w:snapToGrid w:val="0"/>
        <w:spacing w:line="360" w:lineRule="auto"/>
        <w:ind w:firstLine="420" w:firstLineChars="200"/>
        <w:rPr>
          <w:rFonts w:ascii="宋体" w:hAnsi="宋体"/>
          <w:szCs w:val="21"/>
        </w:rPr>
      </w:pPr>
      <w:r>
        <w:rPr>
          <w:rFonts w:hint="eastAsia" w:ascii="宋体" w:hAnsi="宋体"/>
          <w:szCs w:val="21"/>
        </w:rPr>
        <w:t>6.2.3除不可抗力外，因非乙方原因导致乙方履行合同期限延长、内容增加时，乙方应当将此情况与可能产生的影响及时通知甲方。增加的检测工作时间、工作内容应视为附加工作。附加工作酬金的确定方法由双方协商确定。</w:t>
      </w:r>
    </w:p>
    <w:p>
      <w:pPr>
        <w:adjustRightInd w:val="0"/>
        <w:snapToGrid w:val="0"/>
        <w:spacing w:line="360" w:lineRule="auto"/>
        <w:ind w:firstLine="420" w:firstLineChars="200"/>
        <w:rPr>
          <w:rFonts w:ascii="宋体" w:hAnsi="宋体"/>
          <w:szCs w:val="21"/>
        </w:rPr>
      </w:pPr>
      <w:r>
        <w:rPr>
          <w:rFonts w:hint="eastAsia" w:ascii="宋体" w:hAnsi="宋体"/>
          <w:szCs w:val="21"/>
        </w:rPr>
        <w:t>6.2.4合同生效后，如果实际情况发生变化使得乙方不能完成全部或部分工作时，乙方应立即通知甲方。除不可抗力外，其善后工作以及恢复服务的准备工作应为附加工作，附加工作酬金的确定方法由双方协商确定。乙方用于恢复服务的准备时间不应超过28天。</w:t>
      </w:r>
    </w:p>
    <w:p>
      <w:pPr>
        <w:snapToGrid w:val="0"/>
        <w:spacing w:line="360" w:lineRule="auto"/>
        <w:ind w:firstLine="420" w:firstLineChars="200"/>
        <w:rPr>
          <w:rFonts w:ascii="宋体" w:hAnsi="宋体"/>
          <w:szCs w:val="21"/>
        </w:rPr>
      </w:pPr>
      <w:r>
        <w:rPr>
          <w:rFonts w:hint="eastAsia" w:ascii="宋体" w:hAnsi="宋体"/>
          <w:szCs w:val="21"/>
        </w:rPr>
        <w:t>6.2.5合同签订后，遇有与工程相关的法律法规、标准颁布或修订的，双方应遵照执行。由此引起检测与相关服务的数量、范围、时间、酬金变化的，双方应通过协商进行相应调整。</w:t>
      </w:r>
    </w:p>
    <w:p>
      <w:pPr>
        <w:adjustRightInd w:val="0"/>
        <w:snapToGrid w:val="0"/>
        <w:spacing w:line="360" w:lineRule="auto"/>
        <w:ind w:firstLine="420" w:firstLineChars="200"/>
        <w:rPr>
          <w:rFonts w:ascii="宋体" w:hAnsi="宋体"/>
          <w:szCs w:val="21"/>
        </w:rPr>
      </w:pPr>
      <w:r>
        <w:rPr>
          <w:rFonts w:hint="eastAsia" w:ascii="宋体" w:hAnsi="宋体"/>
          <w:szCs w:val="21"/>
        </w:rPr>
        <w:t>6.2.6 因非乙方原因造成工程概算投资额或建筑安装工程费、工程量增加时，正常工作酬金应作相应调整。调整方法由双方协商确定。</w:t>
      </w:r>
    </w:p>
    <w:p>
      <w:pPr>
        <w:snapToGrid w:val="0"/>
        <w:spacing w:line="360" w:lineRule="auto"/>
        <w:ind w:firstLine="420" w:firstLineChars="200"/>
        <w:rPr>
          <w:rFonts w:ascii="宋体" w:hAnsi="宋体"/>
          <w:szCs w:val="21"/>
        </w:rPr>
      </w:pPr>
      <w:r>
        <w:rPr>
          <w:rFonts w:hint="eastAsia" w:ascii="宋体" w:hAnsi="宋体"/>
          <w:szCs w:val="21"/>
        </w:rPr>
        <w:t>6.2.7因工程规模、检测范围的变化导致乙方的正常工作量减少时，正常工作酬金应作相应调整。调整方法由双方协商确定。</w:t>
      </w:r>
    </w:p>
    <w:p>
      <w:pPr>
        <w:adjustRightInd w:val="0"/>
        <w:snapToGrid w:val="0"/>
        <w:spacing w:line="360" w:lineRule="auto"/>
        <w:ind w:left="210" w:leftChars="100"/>
        <w:rPr>
          <w:rFonts w:ascii="宋体" w:hAnsi="宋体"/>
          <w:szCs w:val="21"/>
        </w:rPr>
      </w:pPr>
      <w:r>
        <w:rPr>
          <w:rFonts w:hint="eastAsia" w:ascii="宋体" w:hAnsi="宋体"/>
          <w:szCs w:val="21"/>
        </w:rPr>
        <w:t xml:space="preserve"> 6.3 暂停与解除</w:t>
      </w:r>
    </w:p>
    <w:p>
      <w:pPr>
        <w:adjustRightInd w:val="0"/>
        <w:snapToGrid w:val="0"/>
        <w:spacing w:line="360" w:lineRule="auto"/>
        <w:ind w:firstLine="420" w:firstLineChars="200"/>
        <w:rPr>
          <w:rFonts w:ascii="宋体" w:hAnsi="宋体"/>
          <w:szCs w:val="21"/>
        </w:rPr>
      </w:pPr>
      <w:r>
        <w:rPr>
          <w:rFonts w:hint="eastAsia" w:ascii="宋体" w:hAnsi="宋体"/>
          <w:szCs w:val="21"/>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20" w:firstLineChars="200"/>
        <w:rPr>
          <w:rFonts w:ascii="宋体" w:hAnsi="宋体"/>
          <w:szCs w:val="21"/>
        </w:rPr>
      </w:pPr>
      <w:r>
        <w:rPr>
          <w:rFonts w:hint="eastAsia" w:ascii="宋体" w:hAnsi="宋体"/>
          <w:szCs w:val="21"/>
        </w:rPr>
        <w:t>6.3.1 在本合同有效期内，由于双方无法预见和控制的原因导致本合同全部或部分无法继续履行或继续履行已无意义，经双方协商一致，可以解除本合同或乙方的部分义务。在解除之前，乙方应作出合理安排，使开支减至最小。</w:t>
      </w:r>
    </w:p>
    <w:p>
      <w:pPr>
        <w:adjustRightInd w:val="0"/>
        <w:snapToGrid w:val="0"/>
        <w:spacing w:line="360" w:lineRule="auto"/>
        <w:ind w:firstLine="420" w:firstLineChars="200"/>
        <w:rPr>
          <w:rFonts w:ascii="宋体" w:hAnsi="宋体"/>
          <w:szCs w:val="21"/>
        </w:rPr>
      </w:pPr>
      <w:r>
        <w:rPr>
          <w:rFonts w:hint="eastAsia" w:ascii="宋体" w:hAnsi="宋体"/>
          <w:szCs w:val="21"/>
        </w:rPr>
        <w:t>因解除本合同或解除乙方的部分义务导致乙方遭受的损失，除依法可以免除责任的情况外，应由甲方予以补偿，补偿金额由双方协商确定。</w:t>
      </w:r>
    </w:p>
    <w:p>
      <w:pPr>
        <w:adjustRightInd w:val="0"/>
        <w:snapToGrid w:val="0"/>
        <w:spacing w:line="360" w:lineRule="auto"/>
        <w:ind w:firstLine="420" w:firstLineChars="200"/>
        <w:rPr>
          <w:rFonts w:ascii="宋体" w:hAnsi="宋体"/>
          <w:szCs w:val="21"/>
        </w:rPr>
      </w:pPr>
      <w:r>
        <w:rPr>
          <w:rFonts w:hint="eastAsia" w:ascii="宋体" w:hAnsi="宋体"/>
          <w:szCs w:val="21"/>
        </w:rPr>
        <w:t>解除本合同的协议必须采取书面形式，协议未达成之前，本合同仍然有效。</w:t>
      </w:r>
    </w:p>
    <w:p>
      <w:pPr>
        <w:adjustRightInd w:val="0"/>
        <w:snapToGrid w:val="0"/>
        <w:spacing w:line="360" w:lineRule="auto"/>
        <w:ind w:firstLine="420" w:firstLineChars="200"/>
        <w:rPr>
          <w:rFonts w:ascii="宋体" w:hAnsi="宋体"/>
          <w:szCs w:val="21"/>
        </w:rPr>
      </w:pPr>
      <w:r>
        <w:rPr>
          <w:rFonts w:hint="eastAsia" w:ascii="宋体" w:hAnsi="宋体"/>
          <w:szCs w:val="21"/>
        </w:rPr>
        <w:t>6.3.2 当乙方无正当理由未履行本合同约定的义务时，甲方应通知乙方限期改正。若甲方在乙方接到通知后的7天内未收到乙方书面形式的合理解释，则可在7天后发出解除本合同的通知，自通知到达乙方时本合同解除。甲方应将检测与相关服务</w:t>
      </w:r>
      <w:r>
        <w:rPr>
          <w:rFonts w:hint="eastAsia" w:ascii="宋体" w:hAnsi="宋体"/>
          <w:kern w:val="0"/>
          <w:szCs w:val="21"/>
        </w:rPr>
        <w:t>的</w:t>
      </w:r>
      <w:r>
        <w:rPr>
          <w:rFonts w:hint="eastAsia" w:ascii="宋体" w:hAnsi="宋体"/>
          <w:szCs w:val="21"/>
        </w:rPr>
        <w:t>酬金支付至</w:t>
      </w:r>
      <w:r>
        <w:rPr>
          <w:rFonts w:hint="eastAsia" w:ascii="宋体" w:hAnsi="宋体"/>
          <w:kern w:val="0"/>
          <w:szCs w:val="21"/>
        </w:rPr>
        <w:t>限期改正通知到达乙方之日</w:t>
      </w:r>
      <w:r>
        <w:rPr>
          <w:rFonts w:hint="eastAsia" w:ascii="宋体" w:hAnsi="宋体"/>
          <w:szCs w:val="21"/>
        </w:rPr>
        <w:t>，但乙方应承担第4.1款约定的责任。</w:t>
      </w:r>
    </w:p>
    <w:p>
      <w:pPr>
        <w:adjustRightInd w:val="0"/>
        <w:snapToGrid w:val="0"/>
        <w:spacing w:line="360" w:lineRule="auto"/>
        <w:ind w:firstLine="420" w:firstLineChars="200"/>
        <w:rPr>
          <w:rFonts w:ascii="宋体" w:hAnsi="宋体"/>
          <w:szCs w:val="21"/>
        </w:rPr>
      </w:pPr>
      <w:r>
        <w:rPr>
          <w:rFonts w:hint="eastAsia" w:ascii="宋体" w:hAnsi="宋体"/>
          <w:szCs w:val="21"/>
        </w:rPr>
        <w:t>6.3.3 乙方在专用条件5.3中约定的支付之日起28天后仍未收到甲方按本合同约定应付的款项，可向甲方发出催付通知。甲方接到通知14天后仍未支付或未提出乙方可以接受的延期支付安排，乙方可向甲方发出暂停工作的通知并可自行暂停全部或部分工作。暂停工作后14天内乙方仍未获得甲方应付酬金或甲方的合理答复，乙方可向甲方发出解除本合同的通知，自通知到达甲方时本合同解除。甲方应承担第4.2.3款约定的责任。</w:t>
      </w:r>
    </w:p>
    <w:p>
      <w:pPr>
        <w:snapToGrid w:val="0"/>
        <w:spacing w:line="360" w:lineRule="auto"/>
        <w:ind w:firstLine="420" w:firstLineChars="200"/>
        <w:rPr>
          <w:rFonts w:ascii="宋体" w:hAnsi="宋体"/>
          <w:kern w:val="0"/>
          <w:szCs w:val="21"/>
        </w:rPr>
      </w:pPr>
      <w:r>
        <w:rPr>
          <w:rFonts w:hint="eastAsia" w:ascii="宋体" w:hAnsi="宋体"/>
          <w:szCs w:val="21"/>
        </w:rPr>
        <w:t>6.3.4 因不可抗力致使本合同部分或全部不能履行时，一方应立即通知另一方，可暂停或解除本合同。</w:t>
      </w:r>
    </w:p>
    <w:p>
      <w:pPr>
        <w:snapToGrid w:val="0"/>
        <w:spacing w:line="360" w:lineRule="auto"/>
        <w:ind w:firstLine="420" w:firstLineChars="200"/>
        <w:rPr>
          <w:rFonts w:ascii="宋体" w:hAnsi="宋体"/>
          <w:szCs w:val="21"/>
        </w:rPr>
      </w:pPr>
      <w:r>
        <w:rPr>
          <w:rFonts w:hint="eastAsia" w:ascii="宋体" w:hAnsi="宋体"/>
          <w:szCs w:val="21"/>
        </w:rPr>
        <w:t>6.3.5 本合同解除后，本合同约定的有关结算、清理、争议解决方式的条件仍然有效。</w:t>
      </w:r>
    </w:p>
    <w:p>
      <w:pPr>
        <w:adjustRightInd w:val="0"/>
        <w:snapToGrid w:val="0"/>
        <w:spacing w:line="360" w:lineRule="auto"/>
        <w:ind w:left="210" w:leftChars="100"/>
        <w:rPr>
          <w:rFonts w:ascii="宋体" w:hAnsi="宋体"/>
          <w:szCs w:val="21"/>
        </w:rPr>
      </w:pPr>
      <w:r>
        <w:rPr>
          <w:rFonts w:hint="eastAsia" w:ascii="宋体" w:hAnsi="宋体"/>
          <w:szCs w:val="21"/>
        </w:rPr>
        <w:t>6.4 终止</w:t>
      </w:r>
    </w:p>
    <w:p>
      <w:pPr>
        <w:adjustRightInd w:val="0"/>
        <w:snapToGrid w:val="0"/>
        <w:spacing w:line="360" w:lineRule="auto"/>
        <w:ind w:firstLine="420" w:firstLineChars="200"/>
        <w:rPr>
          <w:rFonts w:ascii="宋体" w:hAnsi="宋体"/>
          <w:szCs w:val="21"/>
        </w:rPr>
      </w:pPr>
      <w:r>
        <w:rPr>
          <w:rFonts w:hint="eastAsia" w:ascii="宋体" w:hAnsi="宋体"/>
          <w:szCs w:val="21"/>
        </w:rPr>
        <w:t>以下条件全部满足时，本合同即告终止：</w:t>
      </w:r>
    </w:p>
    <w:p>
      <w:pPr>
        <w:adjustRightInd w:val="0"/>
        <w:snapToGrid w:val="0"/>
        <w:spacing w:line="360" w:lineRule="auto"/>
        <w:ind w:firstLine="420" w:firstLineChars="200"/>
        <w:rPr>
          <w:rFonts w:ascii="宋体" w:hAnsi="宋体"/>
          <w:szCs w:val="21"/>
        </w:rPr>
      </w:pPr>
      <w:r>
        <w:rPr>
          <w:rFonts w:hint="eastAsia" w:ascii="宋体" w:hAnsi="宋体"/>
          <w:szCs w:val="21"/>
        </w:rPr>
        <w:t>（1）乙方完成本合同约定的全部工作；</w:t>
      </w:r>
    </w:p>
    <w:p>
      <w:pPr>
        <w:snapToGrid w:val="0"/>
        <w:spacing w:line="360" w:lineRule="auto"/>
        <w:ind w:firstLine="420" w:firstLineChars="200"/>
        <w:rPr>
          <w:rFonts w:ascii="宋体" w:hAnsi="宋体"/>
          <w:szCs w:val="21"/>
        </w:rPr>
      </w:pPr>
      <w:r>
        <w:rPr>
          <w:rFonts w:hint="eastAsia" w:ascii="宋体" w:hAnsi="宋体"/>
          <w:szCs w:val="21"/>
        </w:rPr>
        <w:t>（2）甲方与乙方结清并支付全部酬金。</w:t>
      </w:r>
    </w:p>
    <w:p>
      <w:pPr>
        <w:adjustRightInd w:val="0"/>
        <w:snapToGrid w:val="0"/>
        <w:spacing w:line="360" w:lineRule="exact"/>
        <w:rPr>
          <w:b/>
          <w:bCs/>
          <w:color w:val="000000"/>
          <w:sz w:val="24"/>
        </w:rPr>
      </w:pPr>
      <w:bookmarkStart w:id="88" w:name="_Toc22813572"/>
      <w:r>
        <w:rPr>
          <w:rFonts w:hint="eastAsia"/>
          <w:b/>
          <w:bCs/>
          <w:color w:val="000000"/>
          <w:sz w:val="24"/>
        </w:rPr>
        <w:t>7. 争议解决</w:t>
      </w:r>
      <w:bookmarkEnd w:id="88"/>
    </w:p>
    <w:p>
      <w:pPr>
        <w:adjustRightInd w:val="0"/>
        <w:snapToGrid w:val="0"/>
        <w:spacing w:line="360" w:lineRule="auto"/>
        <w:ind w:left="210" w:leftChars="100"/>
        <w:rPr>
          <w:rFonts w:ascii="宋体" w:hAnsi="宋体"/>
          <w:szCs w:val="21"/>
        </w:rPr>
      </w:pPr>
      <w:r>
        <w:rPr>
          <w:rFonts w:hint="eastAsia" w:ascii="宋体" w:hAnsi="宋体"/>
          <w:szCs w:val="21"/>
        </w:rPr>
        <w:t>7.1协商</w:t>
      </w:r>
    </w:p>
    <w:p>
      <w:pPr>
        <w:snapToGrid w:val="0"/>
        <w:spacing w:line="360" w:lineRule="auto"/>
        <w:ind w:firstLine="420" w:firstLineChars="200"/>
        <w:rPr>
          <w:rFonts w:ascii="宋体" w:hAnsi="宋体"/>
          <w:bCs/>
          <w:szCs w:val="21"/>
        </w:rPr>
      </w:pPr>
      <w:r>
        <w:rPr>
          <w:rFonts w:hint="eastAsia" w:ascii="宋体" w:hAnsi="宋体"/>
          <w:szCs w:val="21"/>
        </w:rPr>
        <w:t>双方应本着诚信原则协商解决彼此间的争议。</w:t>
      </w:r>
    </w:p>
    <w:p>
      <w:pPr>
        <w:adjustRightInd w:val="0"/>
        <w:snapToGrid w:val="0"/>
        <w:spacing w:line="360" w:lineRule="auto"/>
        <w:ind w:left="210" w:leftChars="100"/>
        <w:rPr>
          <w:rFonts w:ascii="宋体" w:hAnsi="宋体"/>
          <w:szCs w:val="21"/>
        </w:rPr>
      </w:pPr>
      <w:r>
        <w:rPr>
          <w:rFonts w:hint="eastAsia" w:ascii="宋体" w:hAnsi="宋体"/>
          <w:szCs w:val="21"/>
        </w:rPr>
        <w:t>7.2调解</w:t>
      </w:r>
    </w:p>
    <w:p>
      <w:pPr>
        <w:snapToGrid w:val="0"/>
        <w:spacing w:line="360" w:lineRule="auto"/>
        <w:ind w:firstLine="420" w:firstLineChars="200"/>
        <w:rPr>
          <w:rFonts w:ascii="宋体" w:hAnsi="宋体"/>
          <w:bCs/>
          <w:szCs w:val="21"/>
        </w:rPr>
      </w:pPr>
      <w:r>
        <w:rPr>
          <w:rFonts w:hint="eastAsia" w:ascii="宋体" w:hAnsi="宋体"/>
          <w:szCs w:val="21"/>
        </w:rPr>
        <w:t>如果双方不能在14天内或双方商定的其他时间内解决本合同争议，可以将其提交给专用条件约定的或事后达成协议的调解人进行调解。</w:t>
      </w:r>
    </w:p>
    <w:p>
      <w:pPr>
        <w:adjustRightInd w:val="0"/>
        <w:snapToGrid w:val="0"/>
        <w:spacing w:line="360" w:lineRule="auto"/>
        <w:ind w:left="210" w:leftChars="100"/>
        <w:rPr>
          <w:rFonts w:ascii="宋体" w:hAnsi="宋体"/>
          <w:szCs w:val="21"/>
        </w:rPr>
      </w:pPr>
      <w:r>
        <w:rPr>
          <w:rFonts w:hint="eastAsia" w:ascii="宋体" w:hAnsi="宋体"/>
          <w:szCs w:val="21"/>
        </w:rPr>
        <w:t>7.3仲裁或诉讼</w:t>
      </w:r>
    </w:p>
    <w:p>
      <w:pPr>
        <w:snapToGrid w:val="0"/>
        <w:spacing w:line="360" w:lineRule="auto"/>
        <w:ind w:firstLine="420" w:firstLineChars="200"/>
        <w:rPr>
          <w:rFonts w:ascii="宋体" w:hAnsi="宋体"/>
          <w:szCs w:val="21"/>
        </w:rPr>
      </w:pPr>
      <w:r>
        <w:rPr>
          <w:rFonts w:hint="eastAsia" w:ascii="宋体" w:hAnsi="宋体"/>
          <w:szCs w:val="21"/>
        </w:rPr>
        <w:t>双方均有权不经调解直接向专用条件约定的仲裁机构申请仲裁或向有管辖权的人民法院提起诉讼。</w:t>
      </w:r>
    </w:p>
    <w:p>
      <w:pPr>
        <w:adjustRightInd w:val="0"/>
        <w:snapToGrid w:val="0"/>
        <w:spacing w:line="360" w:lineRule="exact"/>
        <w:rPr>
          <w:b/>
          <w:bCs/>
          <w:color w:val="000000"/>
          <w:sz w:val="24"/>
        </w:rPr>
      </w:pPr>
      <w:bookmarkStart w:id="89" w:name="_Toc22813573"/>
      <w:r>
        <w:rPr>
          <w:rFonts w:hint="eastAsia"/>
          <w:b/>
          <w:bCs/>
          <w:color w:val="000000"/>
          <w:sz w:val="24"/>
        </w:rPr>
        <w:t>8. 其他</w:t>
      </w:r>
      <w:bookmarkEnd w:id="89"/>
    </w:p>
    <w:p>
      <w:pPr>
        <w:adjustRightInd w:val="0"/>
        <w:snapToGrid w:val="0"/>
        <w:spacing w:line="360" w:lineRule="auto"/>
        <w:ind w:left="210" w:leftChars="100"/>
        <w:rPr>
          <w:rFonts w:ascii="宋体" w:hAnsi="宋体"/>
          <w:szCs w:val="21"/>
        </w:rPr>
      </w:pPr>
      <w:r>
        <w:rPr>
          <w:rFonts w:hint="eastAsia" w:ascii="宋体" w:hAnsi="宋体"/>
          <w:szCs w:val="21"/>
        </w:rPr>
        <w:t>8.1 外出考察费用</w:t>
      </w:r>
    </w:p>
    <w:p>
      <w:pPr>
        <w:snapToGrid w:val="0"/>
        <w:spacing w:line="360" w:lineRule="auto"/>
        <w:ind w:firstLine="420" w:firstLineChars="200"/>
        <w:rPr>
          <w:rFonts w:ascii="宋体" w:hAnsi="宋体"/>
          <w:bCs/>
          <w:szCs w:val="21"/>
        </w:rPr>
      </w:pPr>
      <w:r>
        <w:rPr>
          <w:rFonts w:hint="eastAsia" w:ascii="宋体" w:hAnsi="宋体"/>
          <w:szCs w:val="21"/>
        </w:rPr>
        <w:t>经甲方同意，检测人员外出考察发生的费用由甲方审核后支付。</w:t>
      </w:r>
    </w:p>
    <w:p>
      <w:pPr>
        <w:adjustRightInd w:val="0"/>
        <w:snapToGrid w:val="0"/>
        <w:spacing w:line="360" w:lineRule="auto"/>
        <w:ind w:left="210" w:leftChars="100"/>
        <w:rPr>
          <w:rFonts w:ascii="宋体" w:hAnsi="宋体"/>
          <w:szCs w:val="21"/>
        </w:rPr>
      </w:pPr>
      <w:r>
        <w:rPr>
          <w:rFonts w:hint="eastAsia" w:ascii="宋体" w:hAnsi="宋体"/>
          <w:szCs w:val="21"/>
        </w:rPr>
        <w:t>8.2咨询费用</w:t>
      </w:r>
    </w:p>
    <w:p>
      <w:pPr>
        <w:snapToGrid w:val="0"/>
        <w:spacing w:line="360" w:lineRule="auto"/>
        <w:ind w:firstLine="420" w:firstLineChars="200"/>
        <w:rPr>
          <w:rFonts w:ascii="宋体" w:hAnsi="宋体"/>
          <w:szCs w:val="21"/>
        </w:rPr>
      </w:pPr>
      <w:r>
        <w:rPr>
          <w:rFonts w:hint="eastAsia" w:ascii="宋体" w:hAnsi="宋体"/>
          <w:szCs w:val="21"/>
        </w:rPr>
        <w:t>经甲方同意，根据工程需要由乙方组织的相关咨询论证会以及聘请相关专家等发生的费用由甲方支付，支付时间在专用条件中约定。</w:t>
      </w:r>
    </w:p>
    <w:p>
      <w:pPr>
        <w:adjustRightInd w:val="0"/>
        <w:snapToGrid w:val="0"/>
        <w:spacing w:line="360" w:lineRule="auto"/>
        <w:ind w:left="210" w:leftChars="100"/>
        <w:rPr>
          <w:rFonts w:ascii="宋体" w:hAnsi="宋体"/>
          <w:szCs w:val="21"/>
        </w:rPr>
      </w:pPr>
      <w:r>
        <w:rPr>
          <w:rFonts w:hint="eastAsia" w:ascii="宋体" w:hAnsi="宋体"/>
          <w:szCs w:val="21"/>
        </w:rPr>
        <w:t>8.3 守法诚信</w:t>
      </w:r>
    </w:p>
    <w:p>
      <w:pPr>
        <w:snapToGrid w:val="0"/>
        <w:spacing w:line="360" w:lineRule="auto"/>
        <w:ind w:firstLine="420" w:firstLineChars="200"/>
        <w:rPr>
          <w:rFonts w:ascii="宋体" w:hAnsi="宋体"/>
          <w:bCs/>
          <w:szCs w:val="21"/>
        </w:rPr>
      </w:pPr>
      <w:r>
        <w:rPr>
          <w:rFonts w:hint="eastAsia" w:ascii="宋体" w:hAnsi="宋体"/>
          <w:szCs w:val="21"/>
        </w:rPr>
        <w:t>乙方及其工作人员不得从与实施工程有关的第三方处获得任何经济利益。</w:t>
      </w:r>
    </w:p>
    <w:p>
      <w:pPr>
        <w:adjustRightInd w:val="0"/>
        <w:snapToGrid w:val="0"/>
        <w:spacing w:line="360" w:lineRule="auto"/>
        <w:ind w:left="210" w:leftChars="100"/>
        <w:rPr>
          <w:rFonts w:ascii="宋体" w:hAnsi="宋体"/>
          <w:szCs w:val="21"/>
        </w:rPr>
      </w:pPr>
      <w:r>
        <w:rPr>
          <w:rFonts w:hint="eastAsia" w:ascii="宋体" w:hAnsi="宋体"/>
          <w:szCs w:val="21"/>
        </w:rPr>
        <w:t>8.4 保密</w:t>
      </w:r>
    </w:p>
    <w:p>
      <w:pPr>
        <w:snapToGrid w:val="0"/>
        <w:spacing w:line="360" w:lineRule="auto"/>
        <w:ind w:firstLine="420" w:firstLineChars="200"/>
        <w:rPr>
          <w:rFonts w:ascii="宋体" w:hAnsi="宋体"/>
          <w:bCs/>
          <w:szCs w:val="21"/>
        </w:rPr>
      </w:pPr>
      <w:r>
        <w:rPr>
          <w:rFonts w:hint="eastAsia" w:ascii="宋体" w:hAnsi="宋体"/>
          <w:szCs w:val="21"/>
        </w:rPr>
        <w:t>双方不得泄露对方申明的保密资料，亦不得泄露与实施工程有关的第三方所提供的保密资料，保密事项在专用条件中约定。</w:t>
      </w:r>
    </w:p>
    <w:p>
      <w:pPr>
        <w:adjustRightInd w:val="0"/>
        <w:snapToGrid w:val="0"/>
        <w:spacing w:line="360" w:lineRule="auto"/>
        <w:ind w:left="210" w:leftChars="100"/>
        <w:rPr>
          <w:rFonts w:ascii="宋体" w:hAnsi="宋体"/>
          <w:szCs w:val="21"/>
        </w:rPr>
      </w:pPr>
      <w:r>
        <w:rPr>
          <w:rFonts w:hint="eastAsia" w:ascii="宋体" w:hAnsi="宋体"/>
          <w:szCs w:val="21"/>
        </w:rPr>
        <w:t>8.5 通知</w:t>
      </w:r>
    </w:p>
    <w:p>
      <w:pPr>
        <w:snapToGrid w:val="0"/>
        <w:spacing w:line="360" w:lineRule="auto"/>
        <w:ind w:firstLine="420" w:firstLineChars="200"/>
        <w:rPr>
          <w:rFonts w:ascii="宋体" w:hAnsi="宋体"/>
          <w:bCs/>
          <w:szCs w:val="21"/>
        </w:rPr>
      </w:pPr>
      <w:r>
        <w:rPr>
          <w:rFonts w:hint="eastAsia" w:ascii="宋体" w:hAnsi="宋体"/>
          <w:szCs w:val="21"/>
        </w:rPr>
        <w:t>本合同涉及的通知均应当采用书面形式，并在送达对方时生效，收件人应书面签收。</w:t>
      </w:r>
    </w:p>
    <w:p>
      <w:pPr>
        <w:adjustRightInd w:val="0"/>
        <w:snapToGrid w:val="0"/>
        <w:spacing w:line="360" w:lineRule="auto"/>
        <w:ind w:left="210" w:leftChars="100"/>
        <w:rPr>
          <w:rFonts w:ascii="宋体" w:hAnsi="宋体"/>
          <w:szCs w:val="21"/>
        </w:rPr>
      </w:pPr>
      <w:r>
        <w:rPr>
          <w:rFonts w:hint="eastAsia" w:ascii="宋体" w:hAnsi="宋体"/>
          <w:szCs w:val="21"/>
        </w:rPr>
        <w:t>8.6 著作权</w:t>
      </w:r>
    </w:p>
    <w:p>
      <w:pPr>
        <w:adjustRightInd w:val="0"/>
        <w:snapToGrid w:val="0"/>
        <w:spacing w:line="360" w:lineRule="auto"/>
        <w:ind w:firstLine="420" w:firstLineChars="200"/>
        <w:rPr>
          <w:rFonts w:ascii="宋体" w:hAnsi="宋体"/>
          <w:szCs w:val="21"/>
        </w:rPr>
      </w:pPr>
      <w:r>
        <w:rPr>
          <w:rFonts w:hint="eastAsia" w:ascii="宋体" w:hAnsi="宋体"/>
          <w:szCs w:val="21"/>
        </w:rPr>
        <w:t>乙方对其编制的文件拥有著作权。</w:t>
      </w:r>
    </w:p>
    <w:p>
      <w:pPr>
        <w:snapToGrid w:val="0"/>
        <w:spacing w:line="360" w:lineRule="auto"/>
        <w:ind w:firstLine="420" w:firstLineChars="200"/>
        <w:rPr>
          <w:rFonts w:ascii="宋体" w:hAnsi="宋体"/>
          <w:szCs w:val="21"/>
        </w:rPr>
      </w:pPr>
      <w:r>
        <w:rPr>
          <w:rFonts w:hint="eastAsia" w:ascii="宋体" w:hAnsi="宋体"/>
          <w:szCs w:val="21"/>
        </w:rPr>
        <w:t>乙方可单独或与他人联合出版有关检测与相关服务的资料。除专用条件另有约定外，如果乙方在本合同履行期间及本合同终止后两年内出版涉及本工程的有关检测与相关服务的资料，应当征得甲方的同意。</w:t>
      </w:r>
      <w:bookmarkStart w:id="90" w:name="_Toc22813574"/>
    </w:p>
    <w:p>
      <w:pPr>
        <w:snapToGrid w:val="0"/>
        <w:spacing w:line="360" w:lineRule="auto"/>
        <w:ind w:firstLine="420" w:firstLineChars="200"/>
        <w:jc w:val="center"/>
        <w:rPr>
          <w:rFonts w:ascii="宋体" w:hAnsi="宋体"/>
          <w:szCs w:val="21"/>
        </w:rPr>
      </w:pPr>
    </w:p>
    <w:p>
      <w:pPr>
        <w:snapToGrid w:val="0"/>
        <w:spacing w:line="360" w:lineRule="auto"/>
        <w:ind w:firstLine="420" w:firstLineChars="200"/>
        <w:jc w:val="center"/>
        <w:rPr>
          <w:rFonts w:ascii="宋体" w:hAnsi="宋体"/>
          <w:szCs w:val="21"/>
        </w:rPr>
      </w:pPr>
    </w:p>
    <w:p>
      <w:pPr>
        <w:snapToGrid w:val="0"/>
        <w:spacing w:line="360" w:lineRule="auto"/>
        <w:ind w:firstLine="720" w:firstLineChars="200"/>
        <w:jc w:val="center"/>
        <w:rPr>
          <w:rFonts w:ascii="宋体" w:hAnsi="宋体"/>
          <w:b/>
          <w:szCs w:val="21"/>
        </w:rPr>
      </w:pPr>
      <w:r>
        <w:rPr>
          <w:rFonts w:hint="eastAsia"/>
          <w:sz w:val="36"/>
        </w:rPr>
        <w:t>第三部分  专用条件</w:t>
      </w:r>
      <w:bookmarkEnd w:id="90"/>
    </w:p>
    <w:p>
      <w:pPr>
        <w:adjustRightInd w:val="0"/>
        <w:snapToGrid w:val="0"/>
        <w:spacing w:line="360" w:lineRule="exact"/>
        <w:rPr>
          <w:b/>
          <w:bCs/>
          <w:color w:val="000000"/>
          <w:sz w:val="24"/>
        </w:rPr>
      </w:pPr>
      <w:bookmarkStart w:id="91" w:name="_Toc22813575"/>
      <w:r>
        <w:rPr>
          <w:rFonts w:hint="eastAsia"/>
          <w:b/>
          <w:bCs/>
          <w:color w:val="000000"/>
          <w:sz w:val="24"/>
        </w:rPr>
        <w:t>1. 定义与解释</w:t>
      </w:r>
      <w:bookmarkEnd w:id="91"/>
    </w:p>
    <w:p>
      <w:pPr>
        <w:adjustRightInd w:val="0"/>
        <w:snapToGrid w:val="0"/>
        <w:spacing w:line="360" w:lineRule="auto"/>
        <w:ind w:left="210" w:leftChars="100"/>
        <w:rPr>
          <w:rFonts w:ascii="宋体" w:hAnsi="宋体"/>
          <w:szCs w:val="21"/>
        </w:rPr>
      </w:pPr>
      <w:r>
        <w:rPr>
          <w:rFonts w:hint="eastAsia" w:ascii="宋体" w:hAnsi="宋体"/>
          <w:szCs w:val="21"/>
        </w:rPr>
        <w:t xml:space="preserve">    1.2  解释</w:t>
      </w:r>
    </w:p>
    <w:p>
      <w:pPr>
        <w:adjustRightInd w:val="0"/>
        <w:snapToGrid w:val="0"/>
        <w:spacing w:line="360" w:lineRule="auto"/>
        <w:ind w:firstLine="420" w:firstLineChars="200"/>
        <w:rPr>
          <w:rFonts w:ascii="宋体" w:hAnsi="宋体"/>
          <w:szCs w:val="21"/>
        </w:rPr>
      </w:pPr>
      <w:r>
        <w:rPr>
          <w:rFonts w:hint="eastAsia" w:ascii="宋体" w:hAnsi="宋体"/>
          <w:szCs w:val="21"/>
        </w:rPr>
        <w:t>1.2.1 本合同文件除使用中文外，还可用</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1.2.2 约定本合同文件的解释顺序为：</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rPr>
          <w:b/>
          <w:bCs/>
          <w:color w:val="000000"/>
          <w:sz w:val="24"/>
        </w:rPr>
      </w:pPr>
      <w:bookmarkStart w:id="92" w:name="_Toc22813576"/>
      <w:r>
        <w:rPr>
          <w:rFonts w:hint="eastAsia"/>
          <w:b/>
          <w:bCs/>
          <w:color w:val="000000"/>
          <w:sz w:val="24"/>
        </w:rPr>
        <w:t>2. 乙方义务</w:t>
      </w:r>
      <w:bookmarkEnd w:id="92"/>
    </w:p>
    <w:p>
      <w:pPr>
        <w:adjustRightInd w:val="0"/>
        <w:snapToGrid w:val="0"/>
        <w:spacing w:line="360" w:lineRule="exact"/>
        <w:ind w:left="210" w:leftChars="100"/>
        <w:rPr>
          <w:rFonts w:ascii="宋体" w:hAnsi="宋体"/>
          <w:szCs w:val="21"/>
        </w:rPr>
      </w:pPr>
      <w:r>
        <w:rPr>
          <w:rFonts w:hint="eastAsia" w:ascii="宋体" w:hAnsi="宋体"/>
          <w:szCs w:val="21"/>
        </w:rPr>
        <w:t>2.1 工程质量检测的范围和内容</w:t>
      </w:r>
    </w:p>
    <w:p>
      <w:pPr>
        <w:spacing w:line="360" w:lineRule="exact"/>
        <w:ind w:firstLine="420" w:firstLineChars="200"/>
        <w:rPr>
          <w:rFonts w:ascii="宋体" w:hAnsi="宋体" w:cs="宋体"/>
          <w:bCs/>
          <w:color w:val="auto"/>
          <w:szCs w:val="21"/>
          <w:highlight w:val="none"/>
          <w:u w:val="single"/>
        </w:rPr>
      </w:pPr>
      <w:r>
        <w:rPr>
          <w:rFonts w:hint="eastAsia" w:ascii="宋体" w:hAnsi="宋体"/>
          <w:szCs w:val="21"/>
        </w:rPr>
        <w:t xml:space="preserve">2.1.1 </w:t>
      </w:r>
      <w:r>
        <w:rPr>
          <w:rFonts w:hint="eastAsia" w:ascii="宋体" w:hAnsi="宋体" w:cs="宋体"/>
          <w:bCs/>
          <w:kern w:val="0"/>
          <w:szCs w:val="21"/>
        </w:rPr>
        <w:t>工程检测范围</w:t>
      </w:r>
      <w:bookmarkStart w:id="100" w:name="_GoBack"/>
      <w:r>
        <w:rPr>
          <w:rFonts w:hint="eastAsia" w:ascii="宋体" w:hAnsi="宋体" w:cs="宋体"/>
          <w:bCs/>
          <w:color w:val="auto"/>
          <w:szCs w:val="21"/>
          <w:highlight w:val="none"/>
          <w:u w:val="single"/>
        </w:rPr>
        <w:t xml:space="preserve">：(专项检测或综合检测) </w:t>
      </w:r>
      <w:r>
        <w:rPr>
          <w:rFonts w:hint="eastAsia" w:ascii="宋体" w:hAnsi="宋体" w:cs="宋体"/>
          <w:bCs/>
          <w:color w:val="auto"/>
          <w:highlight w:val="none"/>
          <w:u w:val="single"/>
        </w:rPr>
        <w:t xml:space="preserve">☑ </w:t>
      </w:r>
      <w:r>
        <w:rPr>
          <w:rFonts w:hint="eastAsia" w:ascii="宋体" w:hAnsi="宋体" w:cs="宋体"/>
          <w:bCs/>
          <w:color w:val="auto"/>
          <w:szCs w:val="21"/>
          <w:highlight w:val="none"/>
          <w:u w:val="single"/>
        </w:rPr>
        <w:t xml:space="preserve">见证取样检测 </w:t>
      </w:r>
      <w:r>
        <w:rPr>
          <w:rFonts w:hint="eastAsia" w:ascii="宋体" w:hAnsi="宋体" w:cs="宋体"/>
          <w:bCs/>
          <w:color w:val="auto"/>
          <w:highlight w:val="none"/>
          <w:u w:val="single"/>
        </w:rPr>
        <w:t xml:space="preserve">☑ </w:t>
      </w:r>
      <w:r>
        <w:rPr>
          <w:rFonts w:hint="eastAsia" w:ascii="宋体" w:hAnsi="宋体" w:cs="宋体"/>
          <w:bCs/>
          <w:color w:val="auto"/>
          <w:szCs w:val="21"/>
          <w:highlight w:val="none"/>
          <w:u w:val="single"/>
        </w:rPr>
        <w:t xml:space="preserve">地基基础工程检测 </w:t>
      </w:r>
      <w:r>
        <w:rPr>
          <w:rFonts w:hint="eastAsia" w:ascii="宋体" w:hAnsi="宋体" w:cs="宋体"/>
          <w:bCs/>
          <w:color w:val="auto"/>
          <w:highlight w:val="none"/>
          <w:u w:val="single"/>
        </w:rPr>
        <w:t xml:space="preserve">☑ </w:t>
      </w:r>
      <w:r>
        <w:rPr>
          <w:rFonts w:hint="eastAsia" w:ascii="宋体" w:hAnsi="宋体" w:cs="宋体"/>
          <w:bCs/>
          <w:color w:val="auto"/>
          <w:szCs w:val="21"/>
          <w:highlight w:val="none"/>
          <w:u w:val="single"/>
        </w:rPr>
        <w:t xml:space="preserve">主体结构工程现场检测   </w:t>
      </w:r>
      <w:r>
        <w:rPr>
          <w:rFonts w:hint="eastAsia" w:ascii="宋体" w:hAnsi="宋体" w:cs="宋体"/>
          <w:bCs/>
          <w:color w:val="auto"/>
          <w:highlight w:val="none"/>
          <w:u w:val="single"/>
        </w:rPr>
        <w:t xml:space="preserve">□ </w:t>
      </w:r>
      <w:r>
        <w:rPr>
          <w:rFonts w:hint="eastAsia" w:ascii="宋体" w:hAnsi="宋体" w:cs="宋体"/>
          <w:bCs/>
          <w:color w:val="auto"/>
          <w:szCs w:val="21"/>
          <w:highlight w:val="none"/>
          <w:u w:val="single"/>
        </w:rPr>
        <w:t xml:space="preserve">建筑幕墙工程检测  </w:t>
      </w:r>
      <w:r>
        <w:rPr>
          <w:rFonts w:hint="eastAsia" w:ascii="宋体" w:hAnsi="宋体" w:cs="宋体"/>
          <w:bCs/>
          <w:color w:val="auto"/>
          <w:highlight w:val="none"/>
          <w:u w:val="single"/>
        </w:rPr>
        <w:t xml:space="preserve">□ </w:t>
      </w:r>
      <w:r>
        <w:rPr>
          <w:rFonts w:hint="eastAsia" w:ascii="宋体" w:hAnsi="宋体" w:cs="宋体"/>
          <w:bCs/>
          <w:color w:val="auto"/>
          <w:szCs w:val="21"/>
          <w:highlight w:val="none"/>
          <w:u w:val="single"/>
        </w:rPr>
        <w:t xml:space="preserve">钢结构工程检测   </w:t>
      </w:r>
      <w:r>
        <w:rPr>
          <w:rFonts w:hint="eastAsia" w:ascii="宋体" w:hAnsi="宋体" w:cs="宋体"/>
          <w:bCs/>
          <w:color w:val="auto"/>
          <w:highlight w:val="none"/>
          <w:u w:val="single"/>
        </w:rPr>
        <w:t xml:space="preserve">□ </w:t>
      </w:r>
      <w:r>
        <w:rPr>
          <w:rFonts w:hint="eastAsia" w:ascii="宋体" w:hAnsi="宋体" w:cs="宋体"/>
          <w:bCs/>
          <w:color w:val="auto"/>
          <w:szCs w:val="21"/>
          <w:highlight w:val="none"/>
          <w:u w:val="single"/>
        </w:rPr>
        <w:t xml:space="preserve">室内环境检测  </w:t>
      </w:r>
      <w:r>
        <w:rPr>
          <w:rFonts w:hint="eastAsia" w:ascii="宋体" w:hAnsi="宋体" w:cs="宋体"/>
          <w:bCs/>
          <w:color w:val="auto"/>
          <w:highlight w:val="none"/>
          <w:u w:val="single"/>
        </w:rPr>
        <w:t>☑ 建筑物附属设备安装工程检测</w:t>
      </w:r>
      <w:r>
        <w:rPr>
          <w:rFonts w:hint="eastAsia" w:ascii="宋体" w:hAnsi="宋体" w:cs="宋体"/>
          <w:bCs/>
          <w:color w:val="auto"/>
          <w:szCs w:val="21"/>
          <w:highlight w:val="none"/>
          <w:u w:val="single"/>
        </w:rPr>
        <w:t xml:space="preserve">   </w:t>
      </w:r>
      <w:r>
        <w:rPr>
          <w:rFonts w:hint="eastAsia" w:ascii="宋体" w:hAnsi="宋体" w:cs="宋体"/>
          <w:bCs/>
          <w:color w:val="auto"/>
          <w:highlight w:val="none"/>
          <w:u w:val="single"/>
        </w:rPr>
        <w:t>□</w:t>
      </w:r>
      <w:r>
        <w:rPr>
          <w:rFonts w:ascii="宋体" w:hAnsi="宋体" w:cs="宋体"/>
          <w:color w:val="auto"/>
          <w:highlight w:val="none"/>
          <w:u w:val="single"/>
        </w:rPr>
        <w:t>排水工程检测、照明工程检测、桥涵工程检测（</w:t>
      </w:r>
      <w:r>
        <w:rPr>
          <w:rFonts w:hint="eastAsia" w:ascii="宋体" w:hAnsi="宋体" w:cs="宋体"/>
          <w:color w:val="auto"/>
          <w:highlight w:val="none"/>
          <w:u w:val="single"/>
        </w:rPr>
        <w:t>包含静载试验）</w:t>
      </w:r>
      <w:r>
        <w:rPr>
          <w:rFonts w:ascii="宋体" w:hAnsi="宋体" w:cs="宋体"/>
          <w:color w:val="auto"/>
          <w:highlight w:val="none"/>
          <w:u w:val="single"/>
        </w:rPr>
        <w:t>、建筑节能检测根据设计内容及国家相关规定要求必须检测的项目等,包含不限于以上所列检测项，必须达到验收要求。</w:t>
      </w:r>
      <w:r>
        <w:rPr>
          <w:rFonts w:hint="eastAsia" w:ascii="宋体" w:hAnsi="宋体" w:cs="宋体"/>
          <w:color w:val="auto"/>
          <w:szCs w:val="21"/>
          <w:highlight w:val="none"/>
          <w:u w:val="single"/>
        </w:rPr>
        <w:t>排水工程检测、照明工程检测、桥涵工程检测、建筑节能检测根据设计内容及国家相关规定要求必须检测的项目等</w:t>
      </w:r>
      <w:r>
        <w:rPr>
          <w:rFonts w:ascii="宋体" w:hAnsi="宋体" w:cs="宋体"/>
          <w:color w:val="auto"/>
          <w:szCs w:val="21"/>
          <w:highlight w:val="none"/>
          <w:u w:val="single"/>
        </w:rPr>
        <w:t>,</w:t>
      </w:r>
      <w:r>
        <w:rPr>
          <w:rFonts w:hint="eastAsia" w:ascii="宋体" w:hAnsi="宋体" w:cs="宋体"/>
          <w:color w:val="auto"/>
          <w:szCs w:val="21"/>
          <w:highlight w:val="none"/>
          <w:u w:val="single"/>
        </w:rPr>
        <w:t>包含不限于以上所列检测项，必须达到验收要求</w:t>
      </w:r>
      <w:r>
        <w:rPr>
          <w:rFonts w:hint="eastAsia" w:ascii="宋体" w:hAnsi="宋体" w:cs="宋体"/>
          <w:bCs/>
          <w:color w:val="auto"/>
          <w:szCs w:val="21"/>
          <w:highlight w:val="none"/>
          <w:u w:val="single"/>
        </w:rPr>
        <w:t xml:space="preserve"> 。</w:t>
      </w:r>
    </w:p>
    <w:p>
      <w:pPr>
        <w:adjustRightInd w:val="0"/>
        <w:snapToGrid w:val="0"/>
        <w:spacing w:line="360" w:lineRule="exact"/>
        <w:ind w:firstLine="210" w:firstLineChars="100"/>
        <w:rPr>
          <w:color w:val="auto"/>
          <w:highlight w:val="none"/>
          <w:lang w:val="zh-CN"/>
        </w:rPr>
      </w:pPr>
      <w:r>
        <w:rPr>
          <w:rFonts w:hint="eastAsia" w:ascii="宋体" w:hAnsi="宋体" w:cs="宋体"/>
          <w:color w:val="auto"/>
          <w:szCs w:val="21"/>
          <w:highlight w:val="none"/>
        </w:rPr>
        <w:t>2.1.2 工程质量检测工作内容还包括：</w:t>
      </w:r>
      <w:r>
        <w:rPr>
          <w:rFonts w:hint="eastAsia" w:ascii="宋体" w:hAnsi="宋体" w:cs="宋体"/>
          <w:color w:val="auto"/>
          <w:szCs w:val="21"/>
          <w:highlight w:val="none"/>
          <w:u w:val="single"/>
        </w:rPr>
        <w:t xml:space="preserve">   </w:t>
      </w:r>
      <w:r>
        <w:rPr>
          <w:rFonts w:hint="eastAsia" w:ascii="宋体" w:hAnsi="宋体" w:cs="宋体"/>
          <w:color w:val="auto"/>
          <w:highlight w:val="none"/>
          <w:u w:val="single"/>
        </w:rPr>
        <w:t>/</w:t>
      </w:r>
      <w:r>
        <w:rPr>
          <w:rFonts w:hint="eastAsia" w:ascii="宋体" w:hAnsi="宋体" w:cs="宋体"/>
          <w:color w:val="auto"/>
          <w:szCs w:val="21"/>
          <w:highlight w:val="none"/>
          <w:u w:val="single"/>
        </w:rPr>
        <w:t>。</w:t>
      </w:r>
    </w:p>
    <w:bookmarkEnd w:id="100"/>
    <w:p>
      <w:pPr>
        <w:adjustRightInd w:val="0"/>
        <w:snapToGrid w:val="0"/>
        <w:spacing w:line="360" w:lineRule="exact"/>
        <w:ind w:left="210" w:leftChars="100"/>
        <w:rPr>
          <w:rFonts w:ascii="宋体" w:hAnsi="宋体"/>
          <w:szCs w:val="21"/>
        </w:rPr>
      </w:pPr>
      <w:r>
        <w:rPr>
          <w:rFonts w:hint="eastAsia" w:ascii="宋体" w:hAnsi="宋体"/>
          <w:szCs w:val="21"/>
        </w:rPr>
        <w:t>2.2 工程质量检测与相关服务依据</w:t>
      </w:r>
    </w:p>
    <w:p>
      <w:pPr>
        <w:spacing w:line="360" w:lineRule="exact"/>
        <w:ind w:firstLine="420" w:firstLineChars="200"/>
        <w:rPr>
          <w:rFonts w:ascii="宋体" w:hAnsi="宋体"/>
          <w:szCs w:val="21"/>
        </w:rPr>
      </w:pPr>
      <w:r>
        <w:rPr>
          <w:rFonts w:hint="eastAsia" w:ascii="宋体" w:hAnsi="宋体"/>
          <w:szCs w:val="21"/>
        </w:rPr>
        <w:t>2.2.1 工程质量检测依据包括：</w:t>
      </w:r>
    </w:p>
    <w:p>
      <w:pPr>
        <w:spacing w:line="360" w:lineRule="exact"/>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 xml:space="preserve">      </w:t>
      </w:r>
    </w:p>
    <w:p>
      <w:pPr>
        <w:spacing w:line="360" w:lineRule="exact"/>
        <w:ind w:firstLine="420" w:firstLineChars="200"/>
        <w:rPr>
          <w:rFonts w:ascii="宋体" w:hAnsi="宋体"/>
          <w:szCs w:val="21"/>
        </w:rPr>
      </w:pPr>
      <w:r>
        <w:rPr>
          <w:rFonts w:hint="eastAsia" w:ascii="宋体" w:hAnsi="宋体"/>
          <w:szCs w:val="21"/>
        </w:rPr>
        <w:t>2、</w:t>
      </w:r>
      <w:r>
        <w:rPr>
          <w:rFonts w:hint="eastAsia" w:ascii="宋体" w:hAnsi="宋体"/>
          <w:szCs w:val="21"/>
          <w:u w:val="single"/>
        </w:rPr>
        <w:t xml:space="preserve">                                            </w:t>
      </w:r>
      <w:r>
        <w:rPr>
          <w:rFonts w:hint="eastAsia" w:ascii="宋体" w:hAnsi="宋体"/>
          <w:szCs w:val="21"/>
        </w:rPr>
        <w:t xml:space="preserve">      </w:t>
      </w:r>
    </w:p>
    <w:p>
      <w:pPr>
        <w:spacing w:line="360" w:lineRule="exact"/>
        <w:ind w:firstLine="420" w:firstLineChars="200"/>
        <w:rPr>
          <w:rFonts w:ascii="宋体" w:hAnsi="宋体"/>
          <w:szCs w:val="21"/>
        </w:rPr>
      </w:pPr>
      <w:r>
        <w:rPr>
          <w:rFonts w:hint="eastAsia" w:ascii="宋体" w:hAnsi="宋体"/>
          <w:szCs w:val="21"/>
        </w:rPr>
        <w:t>3、</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ind w:firstLine="420" w:firstLineChars="200"/>
        <w:rPr>
          <w:rFonts w:ascii="宋体" w:hAnsi="宋体"/>
          <w:dstrike/>
          <w:szCs w:val="21"/>
        </w:rPr>
      </w:pPr>
      <w:r>
        <w:rPr>
          <w:rFonts w:hint="eastAsia" w:ascii="宋体" w:hAnsi="宋体"/>
          <w:szCs w:val="21"/>
        </w:rPr>
        <w:t>2.2.2 相关服务依据包括：</w:t>
      </w:r>
      <w:r>
        <w:rPr>
          <w:rFonts w:hint="eastAsia" w:ascii="宋体" w:hAnsi="宋体"/>
          <w:szCs w:val="21"/>
          <w:u w:val="single"/>
        </w:rPr>
        <w:t xml:space="preserve">                              </w:t>
      </w:r>
      <w:r>
        <w:rPr>
          <w:rFonts w:hint="eastAsia" w:ascii="宋体" w:hAnsi="宋体"/>
          <w:szCs w:val="21"/>
        </w:rPr>
        <w:t>。</w:t>
      </w:r>
    </w:p>
    <w:p>
      <w:pPr>
        <w:spacing w:line="360" w:lineRule="exact"/>
        <w:rPr>
          <w:rFonts w:ascii="宋体" w:hAnsi="宋体"/>
          <w:szCs w:val="21"/>
        </w:rPr>
      </w:pPr>
      <w:r>
        <w:rPr>
          <w:rFonts w:hint="eastAsia" w:ascii="宋体" w:hAnsi="宋体"/>
          <w:szCs w:val="21"/>
        </w:rPr>
        <w:t xml:space="preserve">  2.3检测</w:t>
      </w:r>
      <w:r>
        <w:rPr>
          <w:rFonts w:hint="eastAsia" w:ascii="宋体" w:hAnsi="宋体" w:cs="宋体"/>
          <w:kern w:val="0"/>
          <w:szCs w:val="21"/>
        </w:rPr>
        <w:t>项目负责人</w:t>
      </w:r>
    </w:p>
    <w:p>
      <w:pPr>
        <w:adjustRightInd w:val="0"/>
        <w:snapToGrid w:val="0"/>
        <w:spacing w:line="360" w:lineRule="exact"/>
        <w:ind w:firstLine="420" w:firstLineChars="200"/>
        <w:rPr>
          <w:rFonts w:ascii="宋体" w:hAnsi="宋体"/>
          <w:szCs w:val="21"/>
        </w:rPr>
      </w:pPr>
      <w:r>
        <w:rPr>
          <w:rFonts w:hint="eastAsia" w:ascii="宋体" w:hAnsi="宋体"/>
          <w:szCs w:val="21"/>
        </w:rPr>
        <w:t>2.3.1 乙方检测总负责人为：</w:t>
      </w:r>
    </w:p>
    <w:p>
      <w:pPr>
        <w:adjustRightInd w:val="0"/>
        <w:snapToGrid w:val="0"/>
        <w:spacing w:line="360" w:lineRule="exact"/>
        <w:ind w:firstLine="1050" w:firstLineChars="500"/>
        <w:rPr>
          <w:rFonts w:ascii="宋体" w:hAnsi="宋体"/>
          <w:szCs w:val="21"/>
        </w:rPr>
      </w:pPr>
      <w:r>
        <w:rPr>
          <w:rFonts w:hint="eastAsia" w:ascii="宋体" w:hAnsi="宋体"/>
          <w:szCs w:val="21"/>
        </w:rPr>
        <w:t>各检测项目组负责人为：</w:t>
      </w:r>
    </w:p>
    <w:p>
      <w:pPr>
        <w:adjustRightInd w:val="0"/>
        <w:snapToGrid w:val="0"/>
        <w:spacing w:line="360" w:lineRule="exact"/>
        <w:ind w:firstLine="420" w:firstLineChars="200"/>
        <w:rPr>
          <w:rFonts w:ascii="宋体" w:hAnsi="宋体"/>
          <w:szCs w:val="21"/>
        </w:rPr>
      </w:pPr>
      <w:r>
        <w:rPr>
          <w:rFonts w:hint="eastAsia" w:ascii="宋体" w:hAnsi="宋体"/>
          <w:szCs w:val="21"/>
        </w:rPr>
        <w:t>2.3.2 总负责人的职责：</w:t>
      </w:r>
    </w:p>
    <w:p>
      <w:pPr>
        <w:adjustRightInd w:val="0"/>
        <w:snapToGrid w:val="0"/>
        <w:spacing w:line="360" w:lineRule="exact"/>
        <w:ind w:firstLine="1050" w:firstLineChars="500"/>
        <w:rPr>
          <w:rFonts w:ascii="宋体" w:hAnsi="宋体"/>
          <w:szCs w:val="21"/>
        </w:rPr>
      </w:pPr>
      <w:r>
        <w:rPr>
          <w:rFonts w:hint="eastAsia" w:ascii="宋体" w:hAnsi="宋体"/>
          <w:szCs w:val="21"/>
        </w:rPr>
        <w:t>检测项目组负责人的职责：</w:t>
      </w:r>
    </w:p>
    <w:p>
      <w:pPr>
        <w:adjustRightInd w:val="0"/>
        <w:snapToGrid w:val="0"/>
        <w:spacing w:line="360" w:lineRule="exact"/>
        <w:ind w:firstLine="420" w:firstLineChars="200"/>
        <w:rPr>
          <w:rFonts w:ascii="宋体" w:hAnsi="宋体"/>
          <w:kern w:val="0"/>
          <w:szCs w:val="21"/>
        </w:rPr>
      </w:pPr>
      <w:r>
        <w:rPr>
          <w:rFonts w:hint="eastAsia" w:ascii="宋体" w:hAnsi="宋体"/>
          <w:szCs w:val="21"/>
        </w:rPr>
        <w:t>2.3.3检测总负责人和各检测项目组如有变</w:t>
      </w:r>
      <w:r>
        <w:rPr>
          <w:rFonts w:hint="eastAsia" w:ascii="宋体" w:hAnsi="宋体"/>
          <w:kern w:val="0"/>
          <w:szCs w:val="21"/>
        </w:rPr>
        <w:t>更，乙方应提前7天通知甲方，并征得甲方书面同意。通知中应当载明继任人的资格、管理经验等资料。继任总负责人或检测项目组负责人继续履行2.3.2项约定的职责。未经甲方书面同意，乙方不得擅自更换总负责人和项目组负责人。乙方擅自更换总负责人和项目组负责人的，应按照专用合同条款的约定承担违约责任。</w:t>
      </w:r>
    </w:p>
    <w:p>
      <w:pPr>
        <w:adjustRightInd w:val="0"/>
        <w:snapToGrid w:val="0"/>
        <w:spacing w:line="360" w:lineRule="exact"/>
        <w:ind w:firstLine="420" w:firstLineChars="200"/>
        <w:rPr>
          <w:rFonts w:ascii="宋体" w:hAnsi="宋体"/>
          <w:szCs w:val="21"/>
        </w:rPr>
      </w:pPr>
      <w:r>
        <w:rPr>
          <w:rFonts w:hint="eastAsia" w:ascii="宋体" w:hAnsi="宋体"/>
          <w:kern w:val="0"/>
          <w:szCs w:val="21"/>
        </w:rPr>
        <w:t>2.3.4 甲方有权书面通知乙方更换其认为不称职的检测总负责人或检测项目组负责人。通知中应当载明要求更换的理由。乙方应在接到更换通知后14天内向甲方提出书面的改进报告。甲方收到报告后仍要求更换的，乙方应在接到第二次更换通知的28天内进行更换，并将新任命的总负责人或检测项目组负责人的资格、管理经验等资料书面通知甲方。继任总负责人或检测项目组负责人继续履行2.3.2项约定的职责。乙方无正当理由拒绝更换总负责人或检测项目组负责人的，应按照专用合同条款的约定承担违约责任。</w:t>
      </w:r>
    </w:p>
    <w:p>
      <w:pPr>
        <w:adjustRightInd w:val="0"/>
        <w:snapToGrid w:val="0"/>
        <w:spacing w:line="360" w:lineRule="exact"/>
        <w:ind w:firstLine="105" w:firstLineChars="50"/>
        <w:rPr>
          <w:rFonts w:ascii="宋体" w:hAnsi="宋体"/>
          <w:szCs w:val="21"/>
        </w:rPr>
      </w:pPr>
      <w:r>
        <w:rPr>
          <w:rFonts w:hint="eastAsia" w:ascii="宋体" w:hAnsi="宋体"/>
          <w:kern w:val="0"/>
          <w:szCs w:val="21"/>
        </w:rPr>
        <w:t xml:space="preserve">2.5 </w:t>
      </w:r>
      <w:r>
        <w:rPr>
          <w:rFonts w:hint="eastAsia" w:ascii="宋体" w:hAnsi="宋体"/>
          <w:szCs w:val="21"/>
        </w:rPr>
        <w:t>提交</w:t>
      </w:r>
      <w:r>
        <w:rPr>
          <w:rFonts w:hint="eastAsia" w:ascii="宋体" w:hAnsi="宋体" w:cs="宋体"/>
          <w:kern w:val="0"/>
          <w:szCs w:val="21"/>
        </w:rPr>
        <w:t>报告</w:t>
      </w:r>
    </w:p>
    <w:p>
      <w:pPr>
        <w:adjustRightInd w:val="0"/>
        <w:snapToGrid w:val="0"/>
        <w:spacing w:line="360" w:lineRule="exact"/>
        <w:ind w:firstLine="525"/>
        <w:rPr>
          <w:rFonts w:ascii="宋体" w:hAnsi="宋体"/>
          <w:szCs w:val="21"/>
          <w:u w:val="single"/>
        </w:rPr>
      </w:pPr>
      <w:r>
        <w:rPr>
          <w:rFonts w:hint="eastAsia" w:ascii="宋体" w:hAnsi="宋体"/>
          <w:szCs w:val="21"/>
        </w:rPr>
        <w:t>乙方应提交报告的种类、时间和份数</w:t>
      </w:r>
      <w:r>
        <w:rPr>
          <w:rFonts w:hint="eastAsia" w:ascii="宋体" w:hAnsi="宋体" w:cs="宋体"/>
          <w:kern w:val="0"/>
          <w:szCs w:val="21"/>
        </w:rPr>
        <w:t>：</w:t>
      </w:r>
      <w:r>
        <w:rPr>
          <w:rFonts w:hint="eastAsia" w:ascii="宋体" w:hAnsi="宋体"/>
          <w:szCs w:val="21"/>
          <w:u w:val="single"/>
        </w:rPr>
        <w:t xml:space="preserve">                                 </w:t>
      </w:r>
    </w:p>
    <w:p>
      <w:pPr>
        <w:adjustRightInd w:val="0"/>
        <w:snapToGrid w:val="0"/>
        <w:spacing w:line="360" w:lineRule="exact"/>
        <w:rPr>
          <w:rFonts w:ascii="宋体" w:hAnsi="宋体"/>
          <w:szCs w:val="21"/>
          <w:u w:val="single"/>
        </w:rPr>
      </w:pPr>
      <w:r>
        <w:rPr>
          <w:rFonts w:hint="eastAsia" w:ascii="宋体" w:hAnsi="宋体"/>
          <w:szCs w:val="21"/>
          <w:u w:val="single"/>
        </w:rPr>
        <w:t xml:space="preserve">                                                                     </w:t>
      </w:r>
    </w:p>
    <w:p>
      <w:pPr>
        <w:adjustRightInd w:val="0"/>
        <w:snapToGrid w:val="0"/>
        <w:spacing w:line="360" w:lineRule="exact"/>
        <w:rPr>
          <w:rFonts w:ascii="宋体" w:hAnsi="宋体"/>
          <w:szCs w:val="21"/>
          <w:u w:val="single"/>
        </w:rPr>
      </w:pPr>
      <w:r>
        <w:rPr>
          <w:rFonts w:hint="eastAsia" w:ascii="宋体" w:hAnsi="宋体"/>
          <w:szCs w:val="21"/>
          <w:u w:val="single"/>
        </w:rPr>
        <w:t xml:space="preserve">                                                  </w:t>
      </w:r>
      <w:r>
        <w:rPr>
          <w:rFonts w:hint="eastAsia" w:ascii="宋体" w:hAnsi="宋体"/>
          <w:szCs w:val="21"/>
        </w:rPr>
        <w:t>。</w:t>
      </w:r>
    </w:p>
    <w:p>
      <w:pPr>
        <w:spacing w:line="360" w:lineRule="exact"/>
        <w:rPr>
          <w:rFonts w:ascii="宋体" w:hAnsi="宋体" w:cs="宋体"/>
          <w:kern w:val="0"/>
          <w:szCs w:val="21"/>
        </w:rPr>
      </w:pPr>
      <w:r>
        <w:rPr>
          <w:rFonts w:hint="eastAsia" w:ascii="宋体" w:hAnsi="宋体"/>
          <w:kern w:val="0"/>
          <w:szCs w:val="21"/>
        </w:rPr>
        <w:t xml:space="preserve"> 2.7 </w:t>
      </w:r>
      <w:r>
        <w:rPr>
          <w:rFonts w:hint="eastAsia" w:ascii="宋体" w:hAnsi="宋体" w:cs="宋体"/>
          <w:kern w:val="0"/>
          <w:szCs w:val="21"/>
        </w:rPr>
        <w:t>使用甲方的财产</w:t>
      </w:r>
    </w:p>
    <w:p>
      <w:pPr>
        <w:spacing w:line="360" w:lineRule="exact"/>
        <w:jc w:val="left"/>
        <w:rPr>
          <w:rFonts w:ascii="宋体" w:hAnsi="宋体"/>
          <w:kern w:val="0"/>
          <w:szCs w:val="21"/>
        </w:rPr>
      </w:pPr>
      <w:r>
        <w:rPr>
          <w:rFonts w:hint="eastAsia" w:ascii="宋体" w:hAnsi="宋体" w:cs="宋体"/>
          <w:kern w:val="0"/>
          <w:szCs w:val="21"/>
        </w:rPr>
        <w:t xml:space="preserve">  </w:t>
      </w:r>
      <w:r>
        <w:rPr>
          <w:rFonts w:hint="eastAsia" w:ascii="宋体" w:hAnsi="宋体"/>
          <w:kern w:val="0"/>
          <w:szCs w:val="21"/>
        </w:rPr>
        <w:t xml:space="preserve">   </w:t>
      </w:r>
      <w:r>
        <w:rPr>
          <w:rFonts w:hint="eastAsia" w:ascii="宋体" w:hAnsi="宋体"/>
          <w:szCs w:val="21"/>
        </w:rPr>
        <w:t>附录B中由甲方无偿提供的房屋、场地、设备的所有权属于：</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rPr>
          <w:rFonts w:ascii="宋体" w:hAnsi="宋体"/>
          <w:kern w:val="0"/>
          <w:szCs w:val="21"/>
        </w:rPr>
      </w:pPr>
      <w:r>
        <w:rPr>
          <w:rFonts w:hint="eastAsia" w:ascii="宋体" w:hAnsi="宋体"/>
          <w:szCs w:val="21"/>
        </w:rPr>
        <w:t>乙方应在本合同终止后</w:t>
      </w:r>
      <w:r>
        <w:rPr>
          <w:rFonts w:hint="eastAsia" w:ascii="宋体" w:hAnsi="宋体"/>
          <w:szCs w:val="21"/>
          <w:u w:val="single"/>
        </w:rPr>
        <w:t xml:space="preserve">       </w:t>
      </w:r>
      <w:r>
        <w:rPr>
          <w:rFonts w:hint="eastAsia" w:ascii="宋体" w:hAnsi="宋体"/>
          <w:szCs w:val="21"/>
        </w:rPr>
        <w:t>天内移交甲方无偿提供的房屋、场地、设备。移交的时间和方式为：</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rPr>
          <w:b/>
          <w:bCs/>
          <w:color w:val="000000"/>
          <w:sz w:val="28"/>
          <w:szCs w:val="28"/>
        </w:rPr>
      </w:pPr>
      <w:bookmarkStart w:id="93" w:name="_Toc22813577"/>
      <w:r>
        <w:rPr>
          <w:rFonts w:hint="eastAsia"/>
          <w:b/>
          <w:bCs/>
          <w:color w:val="000000"/>
          <w:sz w:val="24"/>
        </w:rPr>
        <w:t>3. 甲方义务</w:t>
      </w:r>
      <w:bookmarkEnd w:id="93"/>
      <w:r>
        <w:rPr>
          <w:rFonts w:hint="eastAsia"/>
          <w:b/>
          <w:bCs/>
          <w:color w:val="000000"/>
          <w:sz w:val="24"/>
        </w:rPr>
        <w:t xml:space="preserve"> </w:t>
      </w:r>
      <w:r>
        <w:rPr>
          <w:rFonts w:hint="eastAsia"/>
          <w:b/>
          <w:bCs/>
          <w:color w:val="000000"/>
          <w:sz w:val="28"/>
          <w:szCs w:val="28"/>
        </w:rPr>
        <w:t xml:space="preserve"> </w:t>
      </w:r>
    </w:p>
    <w:p>
      <w:pPr>
        <w:snapToGrid w:val="0"/>
        <w:spacing w:line="360" w:lineRule="exact"/>
        <w:rPr>
          <w:rFonts w:ascii="宋体" w:hAnsi="宋体"/>
          <w:szCs w:val="21"/>
        </w:rPr>
      </w:pPr>
      <w:r>
        <w:rPr>
          <w:rFonts w:hint="eastAsia" w:ascii="宋体" w:hAnsi="宋体"/>
          <w:szCs w:val="21"/>
        </w:rPr>
        <w:t xml:space="preserve">  </w:t>
      </w:r>
      <w:r>
        <w:rPr>
          <w:rFonts w:hint="eastAsia" w:ascii="宋体" w:hAnsi="宋体"/>
          <w:kern w:val="0"/>
          <w:szCs w:val="21"/>
        </w:rPr>
        <w:t>3.3</w:t>
      </w:r>
      <w:r>
        <w:rPr>
          <w:rFonts w:hint="eastAsia" w:ascii="宋体" w:hAnsi="宋体" w:cs="宋体"/>
          <w:kern w:val="0"/>
          <w:szCs w:val="21"/>
        </w:rPr>
        <w:t>甲方代表</w:t>
      </w:r>
    </w:p>
    <w:p>
      <w:pPr>
        <w:adjustRightInd w:val="0"/>
        <w:snapToGrid w:val="0"/>
        <w:spacing w:line="360" w:lineRule="exact"/>
        <w:ind w:firstLine="420" w:firstLineChars="200"/>
        <w:rPr>
          <w:rFonts w:ascii="宋体" w:hAnsi="宋体"/>
          <w:szCs w:val="21"/>
          <w:u w:val="single"/>
        </w:rPr>
      </w:pPr>
      <w:r>
        <w:rPr>
          <w:rFonts w:hint="eastAsia" w:ascii="宋体" w:hAnsi="宋体"/>
          <w:szCs w:val="21"/>
        </w:rPr>
        <w:t>甲方代表为：</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ind w:left="210" w:leftChars="100"/>
        <w:rPr>
          <w:rFonts w:ascii="宋体" w:hAnsi="宋体"/>
          <w:szCs w:val="21"/>
        </w:rPr>
      </w:pPr>
      <w:r>
        <w:rPr>
          <w:rFonts w:hint="eastAsia" w:ascii="宋体" w:hAnsi="宋体"/>
          <w:szCs w:val="21"/>
        </w:rPr>
        <w:t>3.4 答复</w:t>
      </w:r>
    </w:p>
    <w:p>
      <w:pPr>
        <w:adjustRightInd w:val="0"/>
        <w:snapToGrid w:val="0"/>
        <w:spacing w:line="360" w:lineRule="exact"/>
        <w:ind w:firstLine="420" w:firstLineChars="200"/>
        <w:rPr>
          <w:rFonts w:ascii="宋体" w:hAnsi="宋体"/>
          <w:szCs w:val="21"/>
        </w:rPr>
      </w:pPr>
      <w:r>
        <w:rPr>
          <w:rFonts w:hint="eastAsia" w:ascii="宋体" w:hAnsi="宋体"/>
          <w:szCs w:val="21"/>
        </w:rPr>
        <w:t>甲方同意在</w:t>
      </w:r>
      <w:r>
        <w:rPr>
          <w:rFonts w:hint="eastAsia" w:ascii="宋体" w:hAnsi="宋体"/>
          <w:szCs w:val="21"/>
          <w:u w:val="single"/>
        </w:rPr>
        <w:t xml:space="preserve">        </w:t>
      </w:r>
      <w:r>
        <w:rPr>
          <w:rFonts w:hint="eastAsia" w:ascii="宋体" w:hAnsi="宋体"/>
          <w:szCs w:val="21"/>
        </w:rPr>
        <w:t>天内，对乙方书面提交并要求做出决定的事宜给予书面答复。</w:t>
      </w:r>
    </w:p>
    <w:p>
      <w:pPr>
        <w:adjustRightInd w:val="0"/>
        <w:snapToGrid w:val="0"/>
        <w:spacing w:line="360" w:lineRule="exact"/>
        <w:rPr>
          <w:b/>
          <w:bCs/>
          <w:color w:val="000000"/>
          <w:sz w:val="24"/>
        </w:rPr>
      </w:pPr>
      <w:bookmarkStart w:id="94" w:name="_Toc22813578"/>
      <w:r>
        <w:rPr>
          <w:rFonts w:hint="eastAsia"/>
          <w:b/>
          <w:bCs/>
          <w:color w:val="000000"/>
          <w:sz w:val="24"/>
        </w:rPr>
        <w:t>4. 违约责任</w:t>
      </w:r>
      <w:bookmarkEnd w:id="94"/>
    </w:p>
    <w:p>
      <w:pPr>
        <w:adjustRightInd w:val="0"/>
        <w:snapToGrid w:val="0"/>
        <w:spacing w:line="360" w:lineRule="exact"/>
        <w:ind w:left="210" w:leftChars="100"/>
        <w:rPr>
          <w:rFonts w:ascii="宋体" w:hAnsi="宋体"/>
          <w:szCs w:val="21"/>
        </w:rPr>
      </w:pPr>
      <w:r>
        <w:rPr>
          <w:rFonts w:hint="eastAsia" w:ascii="宋体" w:hAnsi="宋体"/>
          <w:szCs w:val="21"/>
        </w:rPr>
        <w:t>4.1 乙方的违约责任</w:t>
      </w:r>
    </w:p>
    <w:p>
      <w:pPr>
        <w:adjustRightInd w:val="0"/>
        <w:snapToGrid w:val="0"/>
        <w:spacing w:line="360" w:lineRule="exact"/>
        <w:ind w:firstLine="420" w:firstLineChars="200"/>
        <w:rPr>
          <w:rFonts w:ascii="宋体" w:hAnsi="宋体" w:cs="宋体"/>
          <w:kern w:val="0"/>
          <w:szCs w:val="21"/>
        </w:rPr>
      </w:pPr>
      <w:r>
        <w:rPr>
          <w:rFonts w:hint="eastAsia" w:ascii="宋体" w:hAnsi="宋体"/>
          <w:kern w:val="0"/>
          <w:szCs w:val="21"/>
        </w:rPr>
        <w:t>4.1.1乙方赔偿金额按下列方法确定（由甲乙双方签订合同时明确）。</w:t>
      </w:r>
    </w:p>
    <w:p>
      <w:pPr>
        <w:adjustRightInd w:val="0"/>
        <w:snapToGrid w:val="0"/>
        <w:spacing w:line="360" w:lineRule="exact"/>
        <w:ind w:left="210" w:leftChars="100"/>
        <w:rPr>
          <w:rFonts w:ascii="宋体" w:hAnsi="宋体"/>
          <w:szCs w:val="21"/>
        </w:rPr>
      </w:pPr>
      <w:r>
        <w:rPr>
          <w:rFonts w:hint="eastAsia" w:ascii="宋体" w:hAnsi="宋体"/>
          <w:szCs w:val="21"/>
        </w:rPr>
        <w:t>4.2 甲方的违约责任</w:t>
      </w:r>
    </w:p>
    <w:p>
      <w:pPr>
        <w:spacing w:line="360" w:lineRule="exact"/>
        <w:ind w:firstLine="420" w:firstLineChars="200"/>
        <w:rPr>
          <w:rFonts w:ascii="宋体" w:hAnsi="宋体"/>
          <w:szCs w:val="21"/>
        </w:rPr>
      </w:pPr>
      <w:r>
        <w:rPr>
          <w:rFonts w:hint="eastAsia" w:ascii="宋体" w:hAnsi="宋体"/>
          <w:szCs w:val="21"/>
        </w:rPr>
        <w:t>4.2.3甲方逾期付款利息按下列方法确定（由甲乙双方签订合同时明确）。</w:t>
      </w:r>
    </w:p>
    <w:p>
      <w:pPr>
        <w:adjustRightInd w:val="0"/>
        <w:snapToGrid w:val="0"/>
        <w:spacing w:line="360" w:lineRule="exact"/>
        <w:rPr>
          <w:b/>
          <w:bCs/>
          <w:color w:val="000000"/>
          <w:sz w:val="24"/>
        </w:rPr>
      </w:pPr>
      <w:bookmarkStart w:id="95" w:name="_Toc22813579"/>
      <w:r>
        <w:rPr>
          <w:rFonts w:hint="eastAsia"/>
          <w:b/>
          <w:bCs/>
          <w:color w:val="000000"/>
          <w:sz w:val="24"/>
        </w:rPr>
        <w:t>5. 合同价格、计量与支付</w:t>
      </w:r>
      <w:bookmarkEnd w:id="95"/>
    </w:p>
    <w:p>
      <w:pPr>
        <w:snapToGrid w:val="0"/>
        <w:spacing w:line="360" w:lineRule="exact"/>
        <w:rPr>
          <w:rFonts w:ascii="宋体" w:hAnsi="宋体"/>
          <w:szCs w:val="21"/>
        </w:rPr>
      </w:pPr>
      <w:r>
        <w:rPr>
          <w:rFonts w:hint="eastAsia" w:ascii="宋体" w:hAnsi="宋体"/>
          <w:szCs w:val="21"/>
        </w:rPr>
        <w:t xml:space="preserve">  5.5合同价格形式</w:t>
      </w:r>
    </w:p>
    <w:p>
      <w:pPr>
        <w:snapToGrid w:val="0"/>
        <w:spacing w:line="360" w:lineRule="exact"/>
        <w:ind w:firstLine="210" w:firstLineChars="100"/>
        <w:rPr>
          <w:rFonts w:ascii="宋体" w:hAnsi="宋体" w:cs="宋体"/>
          <w:bCs/>
          <w:szCs w:val="21"/>
          <w:u w:val="single"/>
        </w:rPr>
      </w:pPr>
      <w:r>
        <w:rPr>
          <w:rFonts w:hint="eastAsia" w:ascii="宋体" w:hAnsi="宋体"/>
          <w:szCs w:val="21"/>
        </w:rPr>
        <w:t>5.6预付款：</w:t>
      </w:r>
      <w:r>
        <w:rPr>
          <w:rFonts w:hint="eastAsia" w:ascii="宋体" w:hAnsi="宋体" w:cs="宋体"/>
          <w:bCs/>
          <w:szCs w:val="21"/>
          <w:u w:val="single"/>
        </w:rPr>
        <w:t xml:space="preserve"> 30% 。</w:t>
      </w:r>
    </w:p>
    <w:p>
      <w:pPr>
        <w:snapToGrid w:val="0"/>
        <w:spacing w:line="360" w:lineRule="exact"/>
        <w:ind w:firstLine="210" w:firstLineChars="100"/>
        <w:rPr>
          <w:rFonts w:ascii="宋体" w:hAnsi="宋体"/>
          <w:szCs w:val="21"/>
        </w:rPr>
      </w:pPr>
      <w:r>
        <w:rPr>
          <w:rFonts w:hint="eastAsia" w:ascii="宋体" w:hAnsi="宋体"/>
          <w:szCs w:val="21"/>
        </w:rPr>
        <w:t>5.7计量</w:t>
      </w:r>
    </w:p>
    <w:p>
      <w:pPr>
        <w:snapToGrid w:val="0"/>
        <w:spacing w:line="360" w:lineRule="exact"/>
        <w:ind w:firstLine="210" w:firstLineChars="100"/>
        <w:rPr>
          <w:rFonts w:ascii="宋体" w:hAnsi="宋体"/>
          <w:szCs w:val="21"/>
        </w:rPr>
      </w:pPr>
      <w:r>
        <w:rPr>
          <w:rFonts w:hint="eastAsia" w:ascii="宋体" w:hAnsi="宋体"/>
          <w:szCs w:val="21"/>
        </w:rPr>
        <w:t>5.8检测进度款支付</w:t>
      </w:r>
    </w:p>
    <w:p>
      <w:pPr>
        <w:pStyle w:val="2"/>
        <w:spacing w:before="0" w:after="0" w:line="400" w:lineRule="exact"/>
        <w:ind w:firstLine="422" w:firstLineChars="200"/>
        <w:rPr>
          <w:rFonts w:ascii="仿宋" w:hAnsi="仿宋" w:eastAsia="仿宋" w:cs="仿宋"/>
          <w:sz w:val="21"/>
          <w:szCs w:val="21"/>
        </w:rPr>
      </w:pPr>
      <w:r>
        <w:rPr>
          <w:rFonts w:hint="eastAsia" w:ascii="仿宋" w:hAnsi="仿宋" w:eastAsia="仿宋" w:cs="仿宋"/>
          <w:sz w:val="21"/>
          <w:szCs w:val="21"/>
        </w:rPr>
        <w:t>自乙方检测工作开展之日起，按已完成的检测工作量，每个月甲方须支付给乙方一次检测费用；检测工作量完成100%，提交最后一批报告，检测费用结算后15个工作日内，甲方付清乙方全部的检测费用。</w:t>
      </w:r>
    </w:p>
    <w:p>
      <w:pPr>
        <w:snapToGrid w:val="0"/>
        <w:spacing w:line="360" w:lineRule="exact"/>
        <w:ind w:firstLine="210" w:firstLineChars="100"/>
        <w:rPr>
          <w:rFonts w:ascii="宋体" w:hAnsi="宋体"/>
          <w:bCs/>
          <w:szCs w:val="21"/>
        </w:rPr>
      </w:pPr>
      <w:r>
        <w:rPr>
          <w:rFonts w:hint="eastAsia" w:ascii="宋体" w:hAnsi="宋体"/>
          <w:szCs w:val="21"/>
        </w:rPr>
        <w:t>5.9支付账户</w:t>
      </w:r>
      <w:bookmarkStart w:id="96" w:name="_Toc22813580"/>
      <w:r>
        <w:rPr>
          <w:rFonts w:hint="eastAsia" w:ascii="宋体" w:hAnsi="宋体"/>
          <w:szCs w:val="21"/>
        </w:rPr>
        <w:t>：</w:t>
      </w:r>
    </w:p>
    <w:p>
      <w:pPr>
        <w:adjustRightInd w:val="0"/>
        <w:snapToGrid w:val="0"/>
        <w:spacing w:line="360" w:lineRule="exact"/>
        <w:rPr>
          <w:b/>
          <w:bCs/>
          <w:color w:val="000000"/>
          <w:sz w:val="24"/>
        </w:rPr>
      </w:pPr>
      <w:r>
        <w:rPr>
          <w:rFonts w:hint="eastAsia"/>
          <w:b/>
          <w:bCs/>
          <w:color w:val="000000"/>
          <w:sz w:val="24"/>
        </w:rPr>
        <w:t>6. 合同生效、变更、暂停、解除与终止</w:t>
      </w:r>
      <w:bookmarkEnd w:id="96"/>
    </w:p>
    <w:p>
      <w:pPr>
        <w:adjustRightInd w:val="0"/>
        <w:snapToGrid w:val="0"/>
        <w:spacing w:line="360" w:lineRule="exact"/>
        <w:ind w:firstLine="210" w:firstLineChars="100"/>
        <w:rPr>
          <w:rFonts w:ascii="宋体" w:hAnsi="宋体"/>
          <w:szCs w:val="21"/>
        </w:rPr>
      </w:pPr>
      <w:r>
        <w:rPr>
          <w:rFonts w:hint="eastAsia" w:ascii="宋体" w:hAnsi="宋体"/>
          <w:szCs w:val="21"/>
        </w:rPr>
        <w:t>6.1 生效</w:t>
      </w:r>
    </w:p>
    <w:p>
      <w:pPr>
        <w:adjustRightInd w:val="0"/>
        <w:snapToGrid w:val="0"/>
        <w:spacing w:line="360" w:lineRule="exact"/>
        <w:ind w:firstLine="480"/>
        <w:rPr>
          <w:rFonts w:ascii="宋体" w:hAnsi="宋体"/>
          <w:szCs w:val="21"/>
        </w:rPr>
      </w:pPr>
      <w:r>
        <w:rPr>
          <w:rFonts w:hint="eastAsia" w:ascii="宋体" w:hAnsi="宋体"/>
          <w:szCs w:val="21"/>
        </w:rPr>
        <w:t>本合同生效条件：</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rPr>
          <w:b/>
          <w:bCs/>
          <w:color w:val="000000"/>
          <w:sz w:val="24"/>
        </w:rPr>
      </w:pPr>
      <w:bookmarkStart w:id="97" w:name="_Toc22813581"/>
      <w:r>
        <w:rPr>
          <w:rFonts w:hint="eastAsia"/>
          <w:b/>
          <w:bCs/>
          <w:color w:val="000000"/>
          <w:sz w:val="24"/>
        </w:rPr>
        <w:t>7. 争议解决</w:t>
      </w:r>
      <w:bookmarkEnd w:id="97"/>
    </w:p>
    <w:p>
      <w:pPr>
        <w:snapToGrid w:val="0"/>
        <w:spacing w:line="360" w:lineRule="exact"/>
        <w:ind w:firstLine="205" w:firstLineChars="98"/>
        <w:rPr>
          <w:rFonts w:ascii="宋体" w:hAnsi="宋体"/>
          <w:szCs w:val="21"/>
        </w:rPr>
      </w:pPr>
      <w:r>
        <w:rPr>
          <w:rFonts w:hint="eastAsia" w:ascii="宋体" w:hAnsi="宋体"/>
          <w:szCs w:val="21"/>
        </w:rPr>
        <w:t xml:space="preserve">7.2 </w:t>
      </w:r>
      <w:r>
        <w:rPr>
          <w:rFonts w:hint="eastAsia" w:ascii="宋体" w:hAnsi="宋体"/>
          <w:bCs/>
          <w:szCs w:val="21"/>
        </w:rPr>
        <w:t>调解</w:t>
      </w:r>
    </w:p>
    <w:p>
      <w:pPr>
        <w:snapToGrid w:val="0"/>
        <w:spacing w:line="360" w:lineRule="exact"/>
        <w:ind w:firstLine="411" w:firstLineChars="196"/>
        <w:rPr>
          <w:rFonts w:ascii="宋体" w:hAnsi="宋体"/>
          <w:szCs w:val="21"/>
        </w:rPr>
      </w:pPr>
      <w:r>
        <w:rPr>
          <w:rFonts w:hint="eastAsia" w:ascii="宋体" w:hAnsi="宋体"/>
          <w:szCs w:val="21"/>
        </w:rPr>
        <w:t>本合同争议进行调解时，可提交</w:t>
      </w:r>
      <w:r>
        <w:rPr>
          <w:rFonts w:hint="eastAsia" w:ascii="宋体" w:hAnsi="宋体"/>
          <w:szCs w:val="21"/>
          <w:u w:val="single"/>
        </w:rPr>
        <w:t xml:space="preserve">        </w:t>
      </w:r>
      <w:r>
        <w:rPr>
          <w:rFonts w:hint="eastAsia" w:ascii="宋体" w:hAnsi="宋体"/>
          <w:szCs w:val="21"/>
        </w:rPr>
        <w:t>进行调解。</w:t>
      </w:r>
    </w:p>
    <w:p>
      <w:pPr>
        <w:snapToGrid w:val="0"/>
        <w:spacing w:line="360" w:lineRule="exact"/>
        <w:ind w:firstLine="205" w:firstLineChars="98"/>
        <w:rPr>
          <w:rFonts w:ascii="宋体" w:hAnsi="宋体"/>
          <w:szCs w:val="21"/>
        </w:rPr>
      </w:pPr>
      <w:r>
        <w:rPr>
          <w:rFonts w:hint="eastAsia" w:ascii="宋体" w:hAnsi="宋体"/>
          <w:szCs w:val="21"/>
        </w:rPr>
        <w:t xml:space="preserve">7.3 </w:t>
      </w:r>
      <w:r>
        <w:rPr>
          <w:rFonts w:hint="eastAsia" w:ascii="宋体" w:hAnsi="宋体"/>
          <w:bCs/>
          <w:szCs w:val="21"/>
        </w:rPr>
        <w:t>仲裁或诉讼</w:t>
      </w:r>
    </w:p>
    <w:p>
      <w:pPr>
        <w:adjustRightInd w:val="0"/>
        <w:snapToGrid w:val="0"/>
        <w:spacing w:line="360" w:lineRule="exact"/>
        <w:ind w:firstLine="420" w:firstLineChars="200"/>
        <w:rPr>
          <w:rFonts w:ascii="宋体" w:hAnsi="宋体"/>
          <w:szCs w:val="21"/>
        </w:rPr>
      </w:pPr>
      <w:r>
        <w:rPr>
          <w:rFonts w:hint="eastAsia" w:ascii="宋体" w:hAnsi="宋体"/>
          <w:szCs w:val="21"/>
        </w:rPr>
        <w:t>合同争议的最终解决方式为下列第</w:t>
      </w:r>
      <w:r>
        <w:rPr>
          <w:rFonts w:hint="eastAsia" w:ascii="宋体" w:hAnsi="宋体"/>
          <w:szCs w:val="21"/>
          <w:u w:val="single"/>
        </w:rPr>
        <w:t xml:space="preserve">        </w:t>
      </w:r>
      <w:r>
        <w:rPr>
          <w:rFonts w:hint="eastAsia" w:ascii="宋体" w:hAnsi="宋体"/>
          <w:szCs w:val="21"/>
        </w:rPr>
        <w:t>种方式：</w:t>
      </w:r>
    </w:p>
    <w:p>
      <w:pPr>
        <w:adjustRightInd w:val="0"/>
        <w:snapToGrid w:val="0"/>
        <w:spacing w:line="360" w:lineRule="exact"/>
        <w:ind w:firstLine="420" w:firstLineChars="200"/>
        <w:rPr>
          <w:rFonts w:ascii="宋体" w:hAnsi="宋体"/>
          <w:szCs w:val="21"/>
        </w:rPr>
      </w:pPr>
      <w:r>
        <w:rPr>
          <w:rFonts w:hint="eastAsia" w:ascii="宋体" w:hAnsi="宋体"/>
          <w:szCs w:val="21"/>
        </w:rPr>
        <w:t>（1）提请</w:t>
      </w:r>
      <w:r>
        <w:rPr>
          <w:rFonts w:hint="eastAsia" w:ascii="宋体" w:hAnsi="宋体"/>
          <w:szCs w:val="21"/>
          <w:u w:val="single"/>
        </w:rPr>
        <w:t xml:space="preserve">        </w:t>
      </w:r>
      <w:r>
        <w:rPr>
          <w:rFonts w:hint="eastAsia" w:ascii="宋体" w:hAnsi="宋体"/>
          <w:szCs w:val="21"/>
        </w:rPr>
        <w:t>仲裁委员会进行仲裁。</w:t>
      </w:r>
    </w:p>
    <w:p>
      <w:pPr>
        <w:adjustRightInd w:val="0"/>
        <w:snapToGrid w:val="0"/>
        <w:spacing w:line="360" w:lineRule="exact"/>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人民法院提起诉讼。</w:t>
      </w:r>
    </w:p>
    <w:p>
      <w:pPr>
        <w:adjustRightInd w:val="0"/>
        <w:snapToGrid w:val="0"/>
        <w:spacing w:line="360" w:lineRule="exact"/>
        <w:rPr>
          <w:b/>
          <w:bCs/>
          <w:color w:val="000000"/>
          <w:sz w:val="24"/>
        </w:rPr>
      </w:pPr>
      <w:bookmarkStart w:id="98" w:name="_Toc22813582"/>
      <w:r>
        <w:rPr>
          <w:rFonts w:hint="eastAsia"/>
          <w:b/>
          <w:bCs/>
          <w:color w:val="000000"/>
          <w:sz w:val="24"/>
        </w:rPr>
        <w:t>8. 其他</w:t>
      </w:r>
      <w:bookmarkEnd w:id="98"/>
    </w:p>
    <w:p>
      <w:pPr>
        <w:adjustRightInd w:val="0"/>
        <w:snapToGrid w:val="0"/>
        <w:spacing w:line="360" w:lineRule="exact"/>
        <w:rPr>
          <w:rFonts w:ascii="宋体" w:hAnsi="宋体"/>
          <w:bCs/>
          <w:szCs w:val="21"/>
        </w:rPr>
      </w:pPr>
      <w:r>
        <w:rPr>
          <w:rFonts w:hint="eastAsia" w:ascii="宋体" w:hAnsi="宋体"/>
          <w:b/>
          <w:bCs/>
          <w:szCs w:val="21"/>
        </w:rPr>
        <w:t xml:space="preserve"> </w:t>
      </w:r>
      <w:r>
        <w:rPr>
          <w:rFonts w:hint="eastAsia" w:ascii="宋体" w:hAnsi="宋体"/>
          <w:bCs/>
          <w:szCs w:val="21"/>
        </w:rPr>
        <w:t xml:space="preserve">  8.2 咨询费用</w:t>
      </w:r>
    </w:p>
    <w:p>
      <w:pPr>
        <w:adjustRightInd w:val="0"/>
        <w:snapToGrid w:val="0"/>
        <w:spacing w:line="360" w:lineRule="exact"/>
        <w:rPr>
          <w:rFonts w:ascii="宋体" w:hAnsi="宋体"/>
          <w:bCs/>
          <w:szCs w:val="21"/>
        </w:rPr>
      </w:pPr>
      <w:r>
        <w:rPr>
          <w:rFonts w:hint="eastAsia" w:ascii="宋体" w:hAnsi="宋体"/>
          <w:bCs/>
          <w:szCs w:val="21"/>
        </w:rPr>
        <w:t xml:space="preserve">    委托方应在咨询工作完成后</w:t>
      </w:r>
      <w:r>
        <w:rPr>
          <w:rFonts w:hint="eastAsia" w:ascii="宋体" w:hAnsi="宋体"/>
          <w:szCs w:val="21"/>
          <w:u w:val="single"/>
        </w:rPr>
        <w:t xml:space="preserve">     </w:t>
      </w:r>
      <w:r>
        <w:rPr>
          <w:rFonts w:hint="eastAsia" w:ascii="宋体" w:hAnsi="宋体"/>
          <w:bCs/>
          <w:szCs w:val="21"/>
        </w:rPr>
        <w:t>天内支付咨询费用。</w:t>
      </w:r>
    </w:p>
    <w:p>
      <w:pPr>
        <w:adjustRightInd w:val="0"/>
        <w:snapToGrid w:val="0"/>
        <w:spacing w:line="360" w:lineRule="exact"/>
        <w:ind w:firstLine="205" w:firstLineChars="98"/>
        <w:rPr>
          <w:rFonts w:ascii="宋体" w:hAnsi="宋体"/>
          <w:szCs w:val="21"/>
        </w:rPr>
      </w:pPr>
      <w:r>
        <w:rPr>
          <w:rFonts w:hint="eastAsia" w:ascii="宋体" w:hAnsi="宋体"/>
          <w:szCs w:val="21"/>
        </w:rPr>
        <w:t>8.4 保密</w:t>
      </w:r>
    </w:p>
    <w:p>
      <w:pPr>
        <w:adjustRightInd w:val="0"/>
        <w:snapToGrid w:val="0"/>
        <w:spacing w:line="360" w:lineRule="exact"/>
        <w:ind w:firstLine="420" w:firstLineChars="200"/>
        <w:rPr>
          <w:rFonts w:ascii="宋体" w:hAnsi="宋体"/>
          <w:szCs w:val="21"/>
          <w:u w:val="single"/>
        </w:rPr>
      </w:pPr>
      <w:r>
        <w:rPr>
          <w:rFonts w:hint="eastAsia" w:ascii="宋体" w:hAnsi="宋体"/>
          <w:szCs w:val="21"/>
        </w:rPr>
        <w:t>甲方申明的保密事项和期限：</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ind w:firstLine="420" w:firstLineChars="200"/>
        <w:rPr>
          <w:rFonts w:ascii="宋体" w:hAnsi="宋体"/>
          <w:szCs w:val="21"/>
          <w:u w:val="single"/>
        </w:rPr>
      </w:pPr>
      <w:r>
        <w:rPr>
          <w:rFonts w:hint="eastAsia" w:ascii="宋体" w:hAnsi="宋体"/>
          <w:szCs w:val="21"/>
        </w:rPr>
        <w:t>乙方申明的保密事项和期限：</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ind w:firstLine="420" w:firstLineChars="200"/>
        <w:rPr>
          <w:rFonts w:ascii="宋体" w:hAnsi="宋体"/>
          <w:szCs w:val="21"/>
          <w:u w:val="single"/>
        </w:rPr>
      </w:pPr>
      <w:r>
        <w:rPr>
          <w:rFonts w:hint="eastAsia" w:ascii="宋体" w:hAnsi="宋体"/>
          <w:szCs w:val="21"/>
        </w:rPr>
        <w:t>第三方申明的保密事项和期限：</w:t>
      </w:r>
      <w:r>
        <w:rPr>
          <w:rFonts w:hint="eastAsia" w:ascii="宋体" w:hAnsi="宋体"/>
          <w:szCs w:val="21"/>
          <w:u w:val="single"/>
        </w:rPr>
        <w:t xml:space="preserve">                         </w:t>
      </w:r>
      <w:r>
        <w:rPr>
          <w:rFonts w:hint="eastAsia" w:ascii="宋体" w:hAnsi="宋体"/>
          <w:szCs w:val="21"/>
        </w:rPr>
        <w:t>。</w:t>
      </w:r>
    </w:p>
    <w:p>
      <w:pPr>
        <w:snapToGrid w:val="0"/>
        <w:spacing w:line="360" w:lineRule="exact"/>
        <w:ind w:firstLine="205" w:firstLineChars="98"/>
        <w:rPr>
          <w:rFonts w:ascii="宋体" w:hAnsi="宋体"/>
          <w:bCs/>
          <w:szCs w:val="21"/>
        </w:rPr>
      </w:pPr>
      <w:r>
        <w:rPr>
          <w:rFonts w:hint="eastAsia" w:ascii="宋体" w:hAnsi="宋体"/>
          <w:szCs w:val="21"/>
        </w:rPr>
        <w:t>8.6</w:t>
      </w:r>
      <w:r>
        <w:rPr>
          <w:rFonts w:hint="eastAsia" w:ascii="宋体" w:hAnsi="宋体"/>
          <w:bCs/>
          <w:szCs w:val="21"/>
        </w:rPr>
        <w:t>著作权</w:t>
      </w:r>
    </w:p>
    <w:p>
      <w:pPr>
        <w:snapToGrid w:val="0"/>
        <w:spacing w:line="360" w:lineRule="exact"/>
        <w:ind w:firstLine="420" w:firstLineChars="200"/>
        <w:rPr>
          <w:rFonts w:ascii="宋体" w:hAnsi="宋体"/>
          <w:szCs w:val="21"/>
        </w:rPr>
      </w:pPr>
      <w:r>
        <w:rPr>
          <w:rFonts w:hint="eastAsia" w:ascii="宋体" w:hAnsi="宋体"/>
          <w:szCs w:val="21"/>
        </w:rPr>
        <w:t>乙方在本合同履行期间及本合同终止后两年内出版涉及本工程的有关检测与相关服务的资料的限制条件：</w:t>
      </w:r>
    </w:p>
    <w:p>
      <w:pPr>
        <w:adjustRightInd w:val="0"/>
        <w:snapToGrid w:val="0"/>
        <w:spacing w:before="156" w:beforeLines="50" w:after="156" w:afterLines="50" w:line="360" w:lineRule="exact"/>
        <w:rPr>
          <w:rFonts w:ascii="宋体" w:hAnsi="宋体"/>
          <w:szCs w:val="21"/>
          <w:u w:val="single"/>
        </w:rPr>
      </w:pPr>
      <w:r>
        <w:rPr>
          <w:rFonts w:hint="eastAsia" w:ascii="宋体" w:hAnsi="宋体"/>
          <w:szCs w:val="21"/>
          <w:u w:val="single"/>
        </w:rPr>
        <w:t xml:space="preserve">                                                     </w:t>
      </w:r>
    </w:p>
    <w:p>
      <w:pPr>
        <w:adjustRightInd w:val="0"/>
        <w:snapToGrid w:val="0"/>
        <w:spacing w:before="156" w:beforeLines="50" w:after="156" w:afterLines="50" w:line="360" w:lineRule="exact"/>
        <w:rPr>
          <w:rFonts w:ascii="宋体" w:hAnsi="宋体"/>
          <w:szCs w:val="21"/>
        </w:rPr>
      </w:pPr>
      <w:r>
        <w:rPr>
          <w:rFonts w:hint="eastAsia" w:ascii="宋体" w:hAnsi="宋体"/>
          <w:szCs w:val="21"/>
          <w:u w:val="single"/>
        </w:rPr>
        <w:t xml:space="preserve">                                                   </w:t>
      </w:r>
      <w:r>
        <w:rPr>
          <w:rFonts w:hint="eastAsia" w:ascii="宋体" w:hAnsi="宋体"/>
          <w:szCs w:val="21"/>
        </w:rPr>
        <w:t>。</w:t>
      </w:r>
    </w:p>
    <w:p>
      <w:pPr>
        <w:adjustRightInd w:val="0"/>
        <w:snapToGrid w:val="0"/>
        <w:spacing w:line="360" w:lineRule="exact"/>
        <w:rPr>
          <w:b/>
          <w:bCs/>
          <w:color w:val="000000"/>
          <w:sz w:val="24"/>
        </w:rPr>
      </w:pPr>
      <w:bookmarkStart w:id="99" w:name="_Toc22813583"/>
      <w:r>
        <w:rPr>
          <w:rFonts w:hint="eastAsia"/>
          <w:b/>
          <w:bCs/>
          <w:color w:val="000000"/>
          <w:sz w:val="24"/>
        </w:rPr>
        <w:t>9. 补充条款</w:t>
      </w:r>
      <w:bookmarkEnd w:id="99"/>
    </w:p>
    <w:p>
      <w:pPr>
        <w:adjustRightInd w:val="0"/>
        <w:snapToGrid w:val="0"/>
        <w:spacing w:before="156" w:beforeLines="50" w:after="156" w:afterLines="50" w:line="360" w:lineRule="exact"/>
        <w:rPr>
          <w:rFonts w:ascii="宋体" w:hAnsi="宋体"/>
          <w:szCs w:val="21"/>
          <w:u w:val="single"/>
        </w:rPr>
      </w:pPr>
      <w:r>
        <w:rPr>
          <w:rFonts w:hint="eastAsia" w:ascii="宋体" w:hAnsi="宋体"/>
          <w:szCs w:val="21"/>
          <w:u w:val="single"/>
        </w:rPr>
        <w:t xml:space="preserve">                                                     </w:t>
      </w:r>
    </w:p>
    <w:p>
      <w:pPr>
        <w:adjustRightInd w:val="0"/>
        <w:snapToGrid w:val="0"/>
        <w:spacing w:before="156" w:beforeLines="50" w:after="156" w:afterLines="50" w:line="360" w:lineRule="exact"/>
        <w:rPr>
          <w:rFonts w:ascii="宋体" w:hAnsi="宋体"/>
          <w:szCs w:val="21"/>
        </w:rPr>
      </w:pPr>
      <w:r>
        <w:rPr>
          <w:rFonts w:hint="eastAsia" w:ascii="宋体" w:hAnsi="宋体"/>
          <w:szCs w:val="21"/>
          <w:u w:val="single"/>
        </w:rPr>
        <w:t xml:space="preserve">                                                   </w:t>
      </w:r>
      <w:r>
        <w:rPr>
          <w:rFonts w:hint="eastAsia" w:ascii="宋体" w:hAnsi="宋体"/>
          <w:szCs w:val="21"/>
        </w:rPr>
        <w:t>。</w:t>
      </w:r>
    </w:p>
    <w:p>
      <w:pPr>
        <w:adjustRightInd w:val="0"/>
        <w:snapToGrid w:val="0"/>
        <w:spacing w:before="156" w:beforeLines="50" w:after="156" w:afterLines="50" w:line="360" w:lineRule="exact"/>
        <w:rPr>
          <w:rFonts w:ascii="宋体" w:hAnsi="宋体"/>
          <w:b/>
          <w:bCs/>
          <w:szCs w:val="21"/>
        </w:rPr>
      </w:pPr>
      <w:r>
        <w:rPr>
          <w:rFonts w:hint="eastAsia" w:ascii="宋体" w:hAnsi="宋体"/>
          <w:b/>
          <w:bCs/>
          <w:szCs w:val="21"/>
        </w:rPr>
        <w:t>附录A  相关服务的范围和内容</w:t>
      </w:r>
    </w:p>
    <w:p>
      <w:pPr>
        <w:adjustRightInd w:val="0"/>
        <w:snapToGrid w:val="0"/>
        <w:spacing w:line="360" w:lineRule="exact"/>
        <w:ind w:left="210" w:leftChars="100"/>
        <w:rPr>
          <w:rFonts w:ascii="宋体" w:hAnsi="宋体"/>
          <w:szCs w:val="21"/>
        </w:rPr>
      </w:pPr>
      <w:r>
        <w:rPr>
          <w:rFonts w:hint="eastAsia" w:ascii="宋体" w:hAnsi="宋体"/>
          <w:szCs w:val="21"/>
        </w:rPr>
        <w:t xml:space="preserve">A-1  </w:t>
      </w:r>
    </w:p>
    <w:p>
      <w:pPr>
        <w:snapToGrid w:val="0"/>
        <w:spacing w:before="156" w:beforeLines="50" w:after="156" w:afterLines="50" w:line="360" w:lineRule="exact"/>
        <w:ind w:firstLine="315" w:firstLineChars="150"/>
        <w:rPr>
          <w:rFonts w:ascii="宋体" w:hAnsi="宋体"/>
          <w:szCs w:val="21"/>
          <w:u w:val="single"/>
        </w:rPr>
      </w:pPr>
      <w:r>
        <w:rPr>
          <w:rFonts w:hint="eastAsia" w:ascii="宋体" w:hAnsi="宋体"/>
          <w:kern w:val="0"/>
          <w:szCs w:val="21"/>
        </w:rPr>
        <w:t xml:space="preserve">A-2 </w:t>
      </w:r>
      <w:r>
        <w:rPr>
          <w:rFonts w:hint="eastAsia" w:ascii="宋体" w:hAnsi="宋体"/>
          <w:szCs w:val="21"/>
        </w:rPr>
        <w:t>其他（专业技术咨询、外部协调工作等）：</w:t>
      </w:r>
      <w:r>
        <w:rPr>
          <w:rFonts w:hint="eastAsia" w:ascii="宋体" w:hAnsi="宋体"/>
          <w:szCs w:val="21"/>
          <w:u w:val="single"/>
        </w:rPr>
        <w:t xml:space="preserve">   </w:t>
      </w:r>
    </w:p>
    <w:p>
      <w:pPr>
        <w:snapToGrid w:val="0"/>
        <w:spacing w:before="156" w:beforeLines="50" w:after="156" w:afterLines="50" w:line="360" w:lineRule="exact"/>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w:t>
      </w:r>
    </w:p>
    <w:p>
      <w:pPr>
        <w:snapToGrid w:val="0"/>
        <w:spacing w:before="156" w:beforeLines="50" w:after="156" w:afterLines="50" w:line="360" w:lineRule="exact"/>
        <w:rPr>
          <w:rFonts w:ascii="宋体" w:hAnsi="宋体"/>
          <w:b/>
          <w:bCs/>
          <w:szCs w:val="21"/>
        </w:rPr>
      </w:pPr>
      <w:r>
        <w:rPr>
          <w:rFonts w:hint="eastAsia" w:ascii="宋体" w:hAnsi="宋体"/>
          <w:b/>
          <w:bCs/>
          <w:szCs w:val="21"/>
        </w:rPr>
        <w:t>附录B  甲方派遣的人员和提供的房屋、资料、设备</w:t>
      </w:r>
    </w:p>
    <w:p>
      <w:pPr>
        <w:rPr>
          <w:b/>
          <w:kern w:val="0"/>
          <w:sz w:val="24"/>
        </w:rPr>
      </w:pPr>
      <w:r>
        <w:rPr>
          <w:rFonts w:hint="eastAsia"/>
          <w:b/>
          <w:kern w:val="0"/>
          <w:sz w:val="24"/>
        </w:rPr>
        <w:t>B-1  甲方派遣的人员</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名称</w:t>
            </w:r>
          </w:p>
        </w:tc>
        <w:tc>
          <w:tcPr>
            <w:tcW w:w="177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工作要求</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 xml:space="preserve">1. 工程技术人员 </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2. 辅助工作人员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3. 其他人员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bl>
    <w:p>
      <w:pPr>
        <w:rPr>
          <w:b/>
          <w:kern w:val="0"/>
          <w:sz w:val="24"/>
        </w:rPr>
      </w:pPr>
      <w:r>
        <w:rPr>
          <w:rFonts w:hint="eastAsia"/>
          <w:b/>
          <w:kern w:val="0"/>
          <w:sz w:val="24"/>
        </w:rPr>
        <w:t>B-2  甲方提供的房屋、场地</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29"/>
        <w:gridCol w:w="2129"/>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名称</w:t>
            </w:r>
          </w:p>
        </w:tc>
        <w:tc>
          <w:tcPr>
            <w:tcW w:w="212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数量</w:t>
            </w:r>
          </w:p>
        </w:tc>
        <w:tc>
          <w:tcPr>
            <w:tcW w:w="212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面积</w:t>
            </w:r>
          </w:p>
        </w:tc>
        <w:tc>
          <w:tcPr>
            <w:tcW w:w="18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1. 设备用房</w:t>
            </w:r>
          </w:p>
        </w:tc>
        <w:tc>
          <w:tcPr>
            <w:tcW w:w="2129"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szCs w:val="21"/>
              </w:rPr>
            </w:pPr>
            <w:r>
              <w:rPr>
                <w:rFonts w:hint="eastAsia" w:ascii="宋体" w:hAnsi="宋体"/>
                <w:szCs w:val="21"/>
              </w:rPr>
              <w:t xml:space="preserve"> </w:t>
            </w:r>
          </w:p>
        </w:tc>
        <w:tc>
          <w:tcPr>
            <w:tcW w:w="2129"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szCs w:val="21"/>
              </w:rPr>
            </w:pPr>
            <w:r>
              <w:rPr>
                <w:rFonts w:hint="eastAsia" w:ascii="宋体" w:hAnsi="宋体"/>
                <w:szCs w:val="21"/>
              </w:rPr>
              <w:t xml:space="preserve"> </w:t>
            </w:r>
          </w:p>
        </w:tc>
        <w:tc>
          <w:tcPr>
            <w:tcW w:w="18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2. 样品用房</w:t>
            </w:r>
          </w:p>
        </w:tc>
        <w:tc>
          <w:tcPr>
            <w:tcW w:w="21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3. 设备场地</w:t>
            </w:r>
          </w:p>
        </w:tc>
        <w:tc>
          <w:tcPr>
            <w:tcW w:w="21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bl>
    <w:p>
      <w:pPr>
        <w:rPr>
          <w:b/>
          <w:kern w:val="0"/>
          <w:sz w:val="24"/>
        </w:rPr>
      </w:pPr>
      <w:r>
        <w:rPr>
          <w:rFonts w:hint="eastAsia"/>
          <w:b/>
          <w:kern w:val="0"/>
          <w:sz w:val="24"/>
        </w:rPr>
        <w:t>B-3  甲方提供的资料</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Cs w:val="21"/>
              </w:rPr>
            </w:pPr>
            <w:r>
              <w:rPr>
                <w:rFonts w:hint="eastAsia" w:ascii="宋体" w:hAnsi="宋体"/>
                <w:kern w:val="0"/>
                <w:szCs w:val="21"/>
              </w:rPr>
              <w:t>名称</w:t>
            </w:r>
          </w:p>
        </w:tc>
        <w:tc>
          <w:tcPr>
            <w:tcW w:w="14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Cs w:val="21"/>
              </w:rPr>
            </w:pPr>
            <w:r>
              <w:rPr>
                <w:rFonts w:hint="eastAsia" w:ascii="宋体" w:hAnsi="宋体"/>
                <w:kern w:val="0"/>
                <w:szCs w:val="21"/>
              </w:rPr>
              <w:t>份数</w:t>
            </w:r>
          </w:p>
        </w:tc>
        <w:tc>
          <w:tcPr>
            <w:tcW w:w="21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Cs w:val="21"/>
              </w:rPr>
            </w:pPr>
            <w:r>
              <w:rPr>
                <w:rFonts w:hint="eastAsia" w:ascii="宋体" w:hAnsi="宋体"/>
                <w:kern w:val="0"/>
                <w:szCs w:val="21"/>
              </w:rPr>
              <w:t>提供时间</w:t>
            </w:r>
          </w:p>
        </w:tc>
        <w:tc>
          <w:tcPr>
            <w:tcW w:w="20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Cs w:val="21"/>
              </w:rPr>
            </w:pPr>
            <w:r>
              <w:rPr>
                <w:rFonts w:hint="eastAsia" w:ascii="宋体"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r>
              <w:rPr>
                <w:rFonts w:hint="eastAsia" w:ascii="宋体" w:hAnsi="宋体"/>
                <w:kern w:val="0"/>
                <w:szCs w:val="21"/>
              </w:rPr>
              <w:t>1. 工程设计及施工图纸</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r>
              <w:rPr>
                <w:rFonts w:hint="eastAsia" w:ascii="宋体" w:hAnsi="宋体"/>
                <w:kern w:val="0"/>
                <w:szCs w:val="21"/>
              </w:rPr>
              <w:t>2. 施工资料</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r>
              <w:rPr>
                <w:rFonts w:hint="eastAsia" w:ascii="宋体" w:hAnsi="宋体"/>
                <w:kern w:val="0"/>
                <w:szCs w:val="21"/>
              </w:rPr>
              <w:t>3. 监理资料</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r>
              <w:rPr>
                <w:rFonts w:hint="eastAsia" w:ascii="宋体" w:hAnsi="宋体"/>
                <w:kern w:val="0"/>
                <w:szCs w:val="21"/>
              </w:rPr>
              <w:t>其他文件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Cs w:val="21"/>
              </w:rPr>
            </w:pPr>
          </w:p>
        </w:tc>
      </w:tr>
    </w:tbl>
    <w:p>
      <w:pPr>
        <w:rPr>
          <w:b/>
          <w:kern w:val="0"/>
          <w:sz w:val="24"/>
        </w:rPr>
      </w:pPr>
      <w:r>
        <w:rPr>
          <w:rFonts w:hint="eastAsia"/>
          <w:b/>
          <w:kern w:val="0"/>
          <w:sz w:val="24"/>
        </w:rPr>
        <w:t>B-4 甲方提供的设备</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名称</w:t>
            </w:r>
          </w:p>
        </w:tc>
        <w:tc>
          <w:tcPr>
            <w:tcW w:w="15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型号与规格</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1. 办公设备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2. 交通工具</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3. 水</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4. 电</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5. 照明</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6. 爬梯</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bl>
    <w:p>
      <w:pPr>
        <w:spacing w:before="156" w:beforeLines="50" w:line="360" w:lineRule="auto"/>
        <w:rPr>
          <w:rFonts w:ascii="宋体" w:hAnsi="宋体"/>
          <w:b/>
          <w:kern w:val="0"/>
          <w:szCs w:val="21"/>
        </w:rPr>
      </w:pPr>
    </w:p>
    <w:p>
      <w:pPr>
        <w:rPr>
          <w:b/>
          <w:kern w:val="0"/>
          <w:sz w:val="24"/>
        </w:rPr>
      </w:pPr>
      <w:r>
        <w:rPr>
          <w:rFonts w:hint="eastAsia"/>
          <w:b/>
          <w:kern w:val="0"/>
          <w:sz w:val="24"/>
        </w:rPr>
        <w:t>B-5甲方负责修复乙方为实施检测工作所必需对工程进行破拆的部位。</w:t>
      </w:r>
    </w:p>
    <w:p>
      <w:pPr>
        <w:spacing w:line="600" w:lineRule="exact"/>
        <w:ind w:firstLine="432" w:firstLineChars="205"/>
        <w:rPr>
          <w:rFonts w:ascii="宋体" w:hAnsi="宋体"/>
          <w:b/>
          <w:kern w:val="0"/>
          <w:szCs w:val="21"/>
        </w:rPr>
      </w:pPr>
    </w:p>
    <w:p>
      <w:pPr>
        <w:rPr>
          <w:b/>
          <w:kern w:val="0"/>
          <w:sz w:val="24"/>
        </w:rPr>
      </w:pPr>
      <w:r>
        <w:rPr>
          <w:rFonts w:hint="eastAsia"/>
          <w:b/>
          <w:kern w:val="0"/>
          <w:sz w:val="24"/>
        </w:rPr>
        <w:t>B-6甲方负责修筑乙方车辆在检测场地内为实施检测工作所必需的简易道路。</w:t>
      </w:r>
    </w:p>
    <w:p>
      <w:pPr>
        <w:spacing w:line="600" w:lineRule="exact"/>
        <w:ind w:firstLine="432" w:firstLineChars="205"/>
        <w:rPr>
          <w:rFonts w:ascii="宋体" w:hAnsi="宋体"/>
          <w:b/>
          <w:kern w:val="0"/>
          <w:szCs w:val="21"/>
        </w:rPr>
      </w:pPr>
    </w:p>
    <w:p>
      <w:pPr>
        <w:rPr>
          <w:b/>
          <w:kern w:val="0"/>
          <w:sz w:val="24"/>
        </w:rPr>
      </w:pPr>
      <w:r>
        <w:rPr>
          <w:rFonts w:hint="eastAsia"/>
          <w:b/>
          <w:kern w:val="0"/>
          <w:sz w:val="24"/>
        </w:rPr>
        <w:t>B-7甲方负责在检测场地内提供为乙方实施检测工作所必需的工作环境（含检测工作面、水电条件等）。</w:t>
      </w:r>
    </w:p>
    <w:p>
      <w:pPr>
        <w:spacing w:line="600" w:lineRule="exact"/>
        <w:ind w:firstLine="432" w:firstLineChars="205"/>
        <w:rPr>
          <w:rFonts w:ascii="宋体" w:hAnsi="宋体"/>
          <w:b/>
          <w:kern w:val="0"/>
          <w:szCs w:val="21"/>
        </w:rPr>
      </w:pPr>
    </w:p>
    <w:p>
      <w:pPr>
        <w:spacing w:line="600" w:lineRule="exact"/>
        <w:ind w:firstLine="432" w:firstLineChars="205"/>
        <w:rPr>
          <w:rFonts w:ascii="宋体" w:hAnsi="宋体"/>
          <w:b/>
          <w:kern w:val="0"/>
          <w:szCs w:val="21"/>
        </w:rPr>
      </w:pPr>
    </w:p>
    <w:p>
      <w:pPr>
        <w:spacing w:line="600" w:lineRule="exact"/>
        <w:ind w:firstLine="494" w:firstLineChars="205"/>
        <w:rPr>
          <w:rFonts w:ascii="宋体" w:hAnsi="宋体"/>
          <w:b/>
          <w:kern w:val="0"/>
          <w:szCs w:val="21"/>
        </w:rPr>
      </w:pPr>
      <w:r>
        <w:rPr>
          <w:rFonts w:hint="eastAsia"/>
          <w:b/>
          <w:kern w:val="0"/>
          <w:sz w:val="24"/>
        </w:rPr>
        <w:t>B-8乙方与甲方约定的其他内容：</w:t>
      </w:r>
      <w:r>
        <w:rPr>
          <w:rFonts w:hint="eastAsia" w:ascii="宋体" w:hAnsi="宋体"/>
          <w:b/>
          <w:kern w:val="0"/>
          <w:szCs w:val="21"/>
          <w:u w:val="single"/>
        </w:rPr>
        <w:t xml:space="preserve">                  </w:t>
      </w:r>
      <w:r>
        <w:rPr>
          <w:rFonts w:hint="eastAsia" w:ascii="宋体" w:hAnsi="宋体"/>
          <w:b/>
          <w:kern w:val="0"/>
          <w:szCs w:val="21"/>
        </w:rPr>
        <w:t>。</w:t>
      </w:r>
    </w:p>
    <w:p>
      <w:pPr>
        <w:spacing w:line="360" w:lineRule="auto"/>
        <w:ind w:firstLine="437"/>
        <w:jc w:val="center"/>
        <w:rPr>
          <w:rFonts w:ascii="宋体" w:hAnsi="宋体" w:cs="仿宋_GB2312"/>
          <w:color w:val="000000"/>
          <w:sz w:val="30"/>
          <w:szCs w:val="30"/>
        </w:rPr>
      </w:pPr>
    </w:p>
    <w:sectPr>
      <w:headerReference r:id="rId4" w:type="first"/>
      <w:footerReference r:id="rId7" w:type="first"/>
      <w:headerReference r:id="rId3" w:type="default"/>
      <w:footerReference r:id="rId5" w:type="default"/>
      <w:footerReference r:id="rId6" w:type="even"/>
      <w:pgSz w:w="11906" w:h="16838"/>
      <w:pgMar w:top="1418" w:right="1474" w:bottom="1418" w:left="158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楷体_GB2312">
    <w:altName w:val="楷体"/>
    <w:panose1 w:val="00000000000000000000"/>
    <w:charset w:val="86"/>
    <w:family w:val="modern"/>
    <w:pitch w:val="default"/>
    <w:sig w:usb0="00000000" w:usb1="00000000" w:usb2="0000000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华文新魏">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5X5J0AAA&#10;AAMBAAAPAAAAAAAAAAEAIAAAACIAAABkcnMvZG93bnJldi54bWxQSwECFAAUAAAACACHTuJAFE7i&#10;IrQBAABJAwAADgAAAAAAAAABACAAAAAfAQAAZHJzL2Uyb0RvYy54bWxQSwUGAAAAAAYABgBZAQAA&#10;RQUAAAAA&#10;">
              <v:fill on="f" focussize="0,0"/>
              <v:stroke on="f"/>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fldChar w:fldCharType="begin"/>
    </w:r>
    <w:r>
      <w:rPr>
        <w:rStyle w:val="55"/>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i91E0AAA&#10;AAIBAAAPAAAAAAAAAAEAIAAAACIAAABkcnMvZG93bnJldi54bWxQSwECFAAUAAAACACHTuJAj5xI&#10;brQBAABIAwAADgAAAAAAAAABACAAAAAfAQAAZHJzL2Uyb0RvYy54bWxQSwUGAAAAAAYABgBZAQAA&#10;RQUAAAAA&#10;">
              <v:fill on="f" focussize="0,0"/>
              <v:stroke on="f"/>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pPr>
    <w:r>
      <w:rPr>
        <w:rFonts w:hint="eastAsia"/>
      </w:rPr>
      <w:t>港南区工业园区江五路（城东大道-安澜路）基础设施建设项目工程检测服务    GGZC2020-C3-30060-GXSK</w:t>
    </w:r>
  </w:p>
  <w:p>
    <w:pPr>
      <w:pStyle w:val="3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1">
    <w:nsid w:val="076C7C35"/>
    <w:multiLevelType w:val="multilevel"/>
    <w:tmpl w:val="076C7C35"/>
    <w:lvl w:ilvl="0" w:tentative="0">
      <w:start w:val="1"/>
      <w:numFmt w:val="decimal"/>
      <w:pStyle w:val="149"/>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22B364E5"/>
    <w:multiLevelType w:val="multilevel"/>
    <w:tmpl w:val="22B364E5"/>
    <w:lvl w:ilvl="0" w:tentative="0">
      <w:start w:val="1"/>
      <w:numFmt w:val="decimal"/>
      <w:lvlText w:val="（%1）"/>
      <w:lvlJc w:val="left"/>
      <w:pPr>
        <w:tabs>
          <w:tab w:val="left" w:pos="1140"/>
        </w:tabs>
        <w:ind w:left="1140" w:hanging="7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5">
    <w:nsid w:val="4F886337"/>
    <w:multiLevelType w:val="multilevel"/>
    <w:tmpl w:val="4F886337"/>
    <w:lvl w:ilvl="0" w:tentative="0">
      <w:start w:val="1"/>
      <w:numFmt w:val="decimal"/>
      <w:pStyle w:val="82"/>
      <w:lvlText w:val="（%1）"/>
      <w:lvlJc w:val="left"/>
      <w:pPr>
        <w:ind w:left="1275" w:hanging="750"/>
      </w:pPr>
      <w:rPr>
        <w:rFonts w:hint="default"/>
        <w:lang w:val="en-US"/>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6">
    <w:nsid w:val="4FF1187F"/>
    <w:multiLevelType w:val="multilevel"/>
    <w:tmpl w:val="4FF1187F"/>
    <w:lvl w:ilvl="0" w:tentative="0">
      <w:start w:val="1"/>
      <w:numFmt w:val="decimal"/>
      <w:pStyle w:val="113"/>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7">
    <w:nsid w:val="56E83EA1"/>
    <w:multiLevelType w:val="multilevel"/>
    <w:tmpl w:val="56E83EA1"/>
    <w:lvl w:ilvl="0" w:tentative="0">
      <w:start w:val="1"/>
      <w:numFmt w:val="decimal"/>
      <w:pStyle w:val="124"/>
      <w:lvlText w:val="%1."/>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0"/>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14"/>
    <w:rsid w:val="00000672"/>
    <w:rsid w:val="00001A25"/>
    <w:rsid w:val="000021E2"/>
    <w:rsid w:val="000025AB"/>
    <w:rsid w:val="000029ED"/>
    <w:rsid w:val="00002AF7"/>
    <w:rsid w:val="00002C6D"/>
    <w:rsid w:val="000039E6"/>
    <w:rsid w:val="00003FC2"/>
    <w:rsid w:val="00005897"/>
    <w:rsid w:val="000059F7"/>
    <w:rsid w:val="00005A3E"/>
    <w:rsid w:val="000065E3"/>
    <w:rsid w:val="000075C0"/>
    <w:rsid w:val="00010263"/>
    <w:rsid w:val="00010D86"/>
    <w:rsid w:val="00010EE6"/>
    <w:rsid w:val="0001172C"/>
    <w:rsid w:val="0001172F"/>
    <w:rsid w:val="0001178E"/>
    <w:rsid w:val="00012128"/>
    <w:rsid w:val="00012854"/>
    <w:rsid w:val="000132E8"/>
    <w:rsid w:val="0001408A"/>
    <w:rsid w:val="00014E30"/>
    <w:rsid w:val="00015487"/>
    <w:rsid w:val="00016585"/>
    <w:rsid w:val="00016D3D"/>
    <w:rsid w:val="00020014"/>
    <w:rsid w:val="00020C9B"/>
    <w:rsid w:val="0002190F"/>
    <w:rsid w:val="000222F3"/>
    <w:rsid w:val="00022792"/>
    <w:rsid w:val="000236EF"/>
    <w:rsid w:val="00024027"/>
    <w:rsid w:val="0002585A"/>
    <w:rsid w:val="00025E36"/>
    <w:rsid w:val="000269ED"/>
    <w:rsid w:val="00026C29"/>
    <w:rsid w:val="000273E9"/>
    <w:rsid w:val="00027DE1"/>
    <w:rsid w:val="00030224"/>
    <w:rsid w:val="000307E9"/>
    <w:rsid w:val="00032114"/>
    <w:rsid w:val="00033A5B"/>
    <w:rsid w:val="000344FC"/>
    <w:rsid w:val="000355F5"/>
    <w:rsid w:val="000371E3"/>
    <w:rsid w:val="00037FAC"/>
    <w:rsid w:val="0004013F"/>
    <w:rsid w:val="00042CB8"/>
    <w:rsid w:val="0004440C"/>
    <w:rsid w:val="00044F9A"/>
    <w:rsid w:val="00045812"/>
    <w:rsid w:val="000467A4"/>
    <w:rsid w:val="0004693E"/>
    <w:rsid w:val="00046FAC"/>
    <w:rsid w:val="000502B7"/>
    <w:rsid w:val="000509D9"/>
    <w:rsid w:val="00050DF8"/>
    <w:rsid w:val="0005234F"/>
    <w:rsid w:val="00055316"/>
    <w:rsid w:val="0006050C"/>
    <w:rsid w:val="000608D5"/>
    <w:rsid w:val="00060E46"/>
    <w:rsid w:val="00062A8B"/>
    <w:rsid w:val="00062D2F"/>
    <w:rsid w:val="00064847"/>
    <w:rsid w:val="00064D31"/>
    <w:rsid w:val="00065B14"/>
    <w:rsid w:val="00065B94"/>
    <w:rsid w:val="00065ED2"/>
    <w:rsid w:val="00066E37"/>
    <w:rsid w:val="000673E2"/>
    <w:rsid w:val="000679DB"/>
    <w:rsid w:val="00070090"/>
    <w:rsid w:val="000705EE"/>
    <w:rsid w:val="000711E4"/>
    <w:rsid w:val="00071550"/>
    <w:rsid w:val="00071E4B"/>
    <w:rsid w:val="00072DA9"/>
    <w:rsid w:val="00072E17"/>
    <w:rsid w:val="00073A29"/>
    <w:rsid w:val="000751D8"/>
    <w:rsid w:val="00076589"/>
    <w:rsid w:val="00077794"/>
    <w:rsid w:val="00077AF4"/>
    <w:rsid w:val="0008074E"/>
    <w:rsid w:val="00080B30"/>
    <w:rsid w:val="00080F2C"/>
    <w:rsid w:val="00081891"/>
    <w:rsid w:val="00081D90"/>
    <w:rsid w:val="000821F1"/>
    <w:rsid w:val="00082F7B"/>
    <w:rsid w:val="00085EC4"/>
    <w:rsid w:val="00090819"/>
    <w:rsid w:val="00091AD7"/>
    <w:rsid w:val="00091DCC"/>
    <w:rsid w:val="000923D8"/>
    <w:rsid w:val="00092A1C"/>
    <w:rsid w:val="00095183"/>
    <w:rsid w:val="000958A8"/>
    <w:rsid w:val="00097077"/>
    <w:rsid w:val="000973B5"/>
    <w:rsid w:val="00097775"/>
    <w:rsid w:val="000A2750"/>
    <w:rsid w:val="000A354A"/>
    <w:rsid w:val="000A627F"/>
    <w:rsid w:val="000A79F5"/>
    <w:rsid w:val="000A7A12"/>
    <w:rsid w:val="000B1EDF"/>
    <w:rsid w:val="000B2A8E"/>
    <w:rsid w:val="000B2D47"/>
    <w:rsid w:val="000B2EE2"/>
    <w:rsid w:val="000B2EF8"/>
    <w:rsid w:val="000B2FB5"/>
    <w:rsid w:val="000B3B98"/>
    <w:rsid w:val="000B4A1E"/>
    <w:rsid w:val="000B6F55"/>
    <w:rsid w:val="000C03BC"/>
    <w:rsid w:val="000C3771"/>
    <w:rsid w:val="000C56E0"/>
    <w:rsid w:val="000C705A"/>
    <w:rsid w:val="000C7B1D"/>
    <w:rsid w:val="000D0515"/>
    <w:rsid w:val="000D0A89"/>
    <w:rsid w:val="000D17DE"/>
    <w:rsid w:val="000D2626"/>
    <w:rsid w:val="000D2D35"/>
    <w:rsid w:val="000D2DC6"/>
    <w:rsid w:val="000D47C1"/>
    <w:rsid w:val="000D48EE"/>
    <w:rsid w:val="000D73DD"/>
    <w:rsid w:val="000D7F94"/>
    <w:rsid w:val="000E02B6"/>
    <w:rsid w:val="000E03CB"/>
    <w:rsid w:val="000E3F14"/>
    <w:rsid w:val="000E46A6"/>
    <w:rsid w:val="000E4E23"/>
    <w:rsid w:val="000E56FD"/>
    <w:rsid w:val="000E6507"/>
    <w:rsid w:val="000E69A0"/>
    <w:rsid w:val="000E6C78"/>
    <w:rsid w:val="000E747D"/>
    <w:rsid w:val="000F0AD0"/>
    <w:rsid w:val="000F0CE8"/>
    <w:rsid w:val="000F3733"/>
    <w:rsid w:val="000F4D36"/>
    <w:rsid w:val="000F5F7E"/>
    <w:rsid w:val="00101EB8"/>
    <w:rsid w:val="001020ED"/>
    <w:rsid w:val="001035A5"/>
    <w:rsid w:val="00103918"/>
    <w:rsid w:val="00103E83"/>
    <w:rsid w:val="00104897"/>
    <w:rsid w:val="00104EDE"/>
    <w:rsid w:val="00105636"/>
    <w:rsid w:val="001066DD"/>
    <w:rsid w:val="00106776"/>
    <w:rsid w:val="00106BEE"/>
    <w:rsid w:val="00110145"/>
    <w:rsid w:val="00110236"/>
    <w:rsid w:val="001105DA"/>
    <w:rsid w:val="00111624"/>
    <w:rsid w:val="001118F4"/>
    <w:rsid w:val="00112FBC"/>
    <w:rsid w:val="00115CB0"/>
    <w:rsid w:val="0011608D"/>
    <w:rsid w:val="001168F0"/>
    <w:rsid w:val="00117405"/>
    <w:rsid w:val="001176F5"/>
    <w:rsid w:val="00117F08"/>
    <w:rsid w:val="0012195F"/>
    <w:rsid w:val="00122064"/>
    <w:rsid w:val="00122941"/>
    <w:rsid w:val="00123581"/>
    <w:rsid w:val="00125E07"/>
    <w:rsid w:val="00126277"/>
    <w:rsid w:val="001263B8"/>
    <w:rsid w:val="00126ED1"/>
    <w:rsid w:val="001271F9"/>
    <w:rsid w:val="0012736F"/>
    <w:rsid w:val="00127A9D"/>
    <w:rsid w:val="00130D92"/>
    <w:rsid w:val="00131DA7"/>
    <w:rsid w:val="00132F14"/>
    <w:rsid w:val="001336FA"/>
    <w:rsid w:val="001337A4"/>
    <w:rsid w:val="00134F37"/>
    <w:rsid w:val="00135B9C"/>
    <w:rsid w:val="00135C28"/>
    <w:rsid w:val="00137A3D"/>
    <w:rsid w:val="00140DC5"/>
    <w:rsid w:val="00140FA3"/>
    <w:rsid w:val="0014113E"/>
    <w:rsid w:val="00141C9C"/>
    <w:rsid w:val="0014459D"/>
    <w:rsid w:val="001448D5"/>
    <w:rsid w:val="00145624"/>
    <w:rsid w:val="00145810"/>
    <w:rsid w:val="00146501"/>
    <w:rsid w:val="00146809"/>
    <w:rsid w:val="00147134"/>
    <w:rsid w:val="00147802"/>
    <w:rsid w:val="00150444"/>
    <w:rsid w:val="00151627"/>
    <w:rsid w:val="00151CD1"/>
    <w:rsid w:val="00151F4F"/>
    <w:rsid w:val="0015202A"/>
    <w:rsid w:val="00153750"/>
    <w:rsid w:val="0015413C"/>
    <w:rsid w:val="00154F30"/>
    <w:rsid w:val="001561F6"/>
    <w:rsid w:val="00156478"/>
    <w:rsid w:val="0015688F"/>
    <w:rsid w:val="00156F6B"/>
    <w:rsid w:val="0015756B"/>
    <w:rsid w:val="001609C5"/>
    <w:rsid w:val="00163202"/>
    <w:rsid w:val="00163DDA"/>
    <w:rsid w:val="001643DD"/>
    <w:rsid w:val="00164EC0"/>
    <w:rsid w:val="001661A3"/>
    <w:rsid w:val="00166BEF"/>
    <w:rsid w:val="00167512"/>
    <w:rsid w:val="0017027A"/>
    <w:rsid w:val="00170485"/>
    <w:rsid w:val="0017059D"/>
    <w:rsid w:val="00171374"/>
    <w:rsid w:val="0017223D"/>
    <w:rsid w:val="001737E0"/>
    <w:rsid w:val="00173C68"/>
    <w:rsid w:val="00175BA6"/>
    <w:rsid w:val="001778C5"/>
    <w:rsid w:val="00177B28"/>
    <w:rsid w:val="00177C33"/>
    <w:rsid w:val="00180209"/>
    <w:rsid w:val="001811F8"/>
    <w:rsid w:val="0018280D"/>
    <w:rsid w:val="0018466C"/>
    <w:rsid w:val="00185373"/>
    <w:rsid w:val="00185617"/>
    <w:rsid w:val="001856F9"/>
    <w:rsid w:val="001869B8"/>
    <w:rsid w:val="00186E62"/>
    <w:rsid w:val="00190688"/>
    <w:rsid w:val="0019181F"/>
    <w:rsid w:val="0019231C"/>
    <w:rsid w:val="00192BB6"/>
    <w:rsid w:val="00192E96"/>
    <w:rsid w:val="00192EE0"/>
    <w:rsid w:val="00194B5C"/>
    <w:rsid w:val="0019710D"/>
    <w:rsid w:val="001A02B3"/>
    <w:rsid w:val="001A037B"/>
    <w:rsid w:val="001A0B79"/>
    <w:rsid w:val="001A26CD"/>
    <w:rsid w:val="001A2D07"/>
    <w:rsid w:val="001A3DF8"/>
    <w:rsid w:val="001A3EDE"/>
    <w:rsid w:val="001A4DBA"/>
    <w:rsid w:val="001A55CA"/>
    <w:rsid w:val="001A5E24"/>
    <w:rsid w:val="001A6D8B"/>
    <w:rsid w:val="001B00A8"/>
    <w:rsid w:val="001B063B"/>
    <w:rsid w:val="001B10E7"/>
    <w:rsid w:val="001B19E1"/>
    <w:rsid w:val="001B3A7D"/>
    <w:rsid w:val="001B4BF2"/>
    <w:rsid w:val="001B5CC7"/>
    <w:rsid w:val="001B7CFF"/>
    <w:rsid w:val="001B7F00"/>
    <w:rsid w:val="001C006E"/>
    <w:rsid w:val="001C054C"/>
    <w:rsid w:val="001C086E"/>
    <w:rsid w:val="001C0A43"/>
    <w:rsid w:val="001C0D86"/>
    <w:rsid w:val="001C1C91"/>
    <w:rsid w:val="001C2075"/>
    <w:rsid w:val="001C3758"/>
    <w:rsid w:val="001C794A"/>
    <w:rsid w:val="001D0C8A"/>
    <w:rsid w:val="001D1596"/>
    <w:rsid w:val="001D1712"/>
    <w:rsid w:val="001D17EE"/>
    <w:rsid w:val="001D18E0"/>
    <w:rsid w:val="001D2555"/>
    <w:rsid w:val="001D255E"/>
    <w:rsid w:val="001D57FC"/>
    <w:rsid w:val="001D5A8A"/>
    <w:rsid w:val="001D5D9C"/>
    <w:rsid w:val="001D6B84"/>
    <w:rsid w:val="001D714D"/>
    <w:rsid w:val="001D71F1"/>
    <w:rsid w:val="001D721C"/>
    <w:rsid w:val="001D7AA1"/>
    <w:rsid w:val="001E129E"/>
    <w:rsid w:val="001E12E3"/>
    <w:rsid w:val="001E13C8"/>
    <w:rsid w:val="001E2052"/>
    <w:rsid w:val="001E23BA"/>
    <w:rsid w:val="001E3593"/>
    <w:rsid w:val="001E40B9"/>
    <w:rsid w:val="001E4232"/>
    <w:rsid w:val="001E474A"/>
    <w:rsid w:val="001E7370"/>
    <w:rsid w:val="001E798B"/>
    <w:rsid w:val="001F168F"/>
    <w:rsid w:val="001F286F"/>
    <w:rsid w:val="001F325C"/>
    <w:rsid w:val="001F4591"/>
    <w:rsid w:val="001F6250"/>
    <w:rsid w:val="001F678E"/>
    <w:rsid w:val="001F744C"/>
    <w:rsid w:val="00200AEE"/>
    <w:rsid w:val="00201F4C"/>
    <w:rsid w:val="0020307F"/>
    <w:rsid w:val="00203825"/>
    <w:rsid w:val="0020437A"/>
    <w:rsid w:val="0020517D"/>
    <w:rsid w:val="00205BDE"/>
    <w:rsid w:val="002105A7"/>
    <w:rsid w:val="00210604"/>
    <w:rsid w:val="00210624"/>
    <w:rsid w:val="002114C7"/>
    <w:rsid w:val="00211568"/>
    <w:rsid w:val="00211A29"/>
    <w:rsid w:val="00212BDD"/>
    <w:rsid w:val="00213066"/>
    <w:rsid w:val="00213E98"/>
    <w:rsid w:val="002140E1"/>
    <w:rsid w:val="002146FD"/>
    <w:rsid w:val="00214F2E"/>
    <w:rsid w:val="00215314"/>
    <w:rsid w:val="002156AE"/>
    <w:rsid w:val="00216D43"/>
    <w:rsid w:val="00216F6B"/>
    <w:rsid w:val="00222879"/>
    <w:rsid w:val="002237DB"/>
    <w:rsid w:val="00224BBE"/>
    <w:rsid w:val="00224E50"/>
    <w:rsid w:val="002259A7"/>
    <w:rsid w:val="00225D62"/>
    <w:rsid w:val="00226FDD"/>
    <w:rsid w:val="00227954"/>
    <w:rsid w:val="00227F95"/>
    <w:rsid w:val="00231B89"/>
    <w:rsid w:val="00231FA2"/>
    <w:rsid w:val="00232C9A"/>
    <w:rsid w:val="0023332B"/>
    <w:rsid w:val="00233877"/>
    <w:rsid w:val="00234045"/>
    <w:rsid w:val="00234FE0"/>
    <w:rsid w:val="002355BE"/>
    <w:rsid w:val="00235BC7"/>
    <w:rsid w:val="00235C67"/>
    <w:rsid w:val="00236B6E"/>
    <w:rsid w:val="00237020"/>
    <w:rsid w:val="00237E1B"/>
    <w:rsid w:val="0024075C"/>
    <w:rsid w:val="00240F45"/>
    <w:rsid w:val="002417DF"/>
    <w:rsid w:val="00242682"/>
    <w:rsid w:val="002427A2"/>
    <w:rsid w:val="002427BA"/>
    <w:rsid w:val="00243743"/>
    <w:rsid w:val="002439AB"/>
    <w:rsid w:val="00244B22"/>
    <w:rsid w:val="00245F2B"/>
    <w:rsid w:val="002474A9"/>
    <w:rsid w:val="002511B0"/>
    <w:rsid w:val="002518B9"/>
    <w:rsid w:val="002529BA"/>
    <w:rsid w:val="00254FC6"/>
    <w:rsid w:val="002560B6"/>
    <w:rsid w:val="002564B9"/>
    <w:rsid w:val="002566B1"/>
    <w:rsid w:val="00257AA2"/>
    <w:rsid w:val="00260CFF"/>
    <w:rsid w:val="00262421"/>
    <w:rsid w:val="00262F79"/>
    <w:rsid w:val="00262FDC"/>
    <w:rsid w:val="002642EF"/>
    <w:rsid w:val="00264954"/>
    <w:rsid w:val="002657FB"/>
    <w:rsid w:val="00265F55"/>
    <w:rsid w:val="00267436"/>
    <w:rsid w:val="00270A8C"/>
    <w:rsid w:val="00273504"/>
    <w:rsid w:val="002739CD"/>
    <w:rsid w:val="0027406B"/>
    <w:rsid w:val="0027637D"/>
    <w:rsid w:val="00276DA6"/>
    <w:rsid w:val="002800B8"/>
    <w:rsid w:val="002812DF"/>
    <w:rsid w:val="002821A7"/>
    <w:rsid w:val="0028328D"/>
    <w:rsid w:val="002835B0"/>
    <w:rsid w:val="00283761"/>
    <w:rsid w:val="00284567"/>
    <w:rsid w:val="00284C0C"/>
    <w:rsid w:val="00285063"/>
    <w:rsid w:val="00286A5B"/>
    <w:rsid w:val="00287763"/>
    <w:rsid w:val="0028795D"/>
    <w:rsid w:val="0029049C"/>
    <w:rsid w:val="0029162C"/>
    <w:rsid w:val="00292475"/>
    <w:rsid w:val="00292DF6"/>
    <w:rsid w:val="00292E13"/>
    <w:rsid w:val="00293B43"/>
    <w:rsid w:val="00294B05"/>
    <w:rsid w:val="002952AF"/>
    <w:rsid w:val="00295D11"/>
    <w:rsid w:val="00297A2B"/>
    <w:rsid w:val="002A018B"/>
    <w:rsid w:val="002A33C7"/>
    <w:rsid w:val="002A34C4"/>
    <w:rsid w:val="002A3794"/>
    <w:rsid w:val="002A49C7"/>
    <w:rsid w:val="002A5D15"/>
    <w:rsid w:val="002A60C7"/>
    <w:rsid w:val="002A713F"/>
    <w:rsid w:val="002B25F1"/>
    <w:rsid w:val="002B2DD4"/>
    <w:rsid w:val="002B356B"/>
    <w:rsid w:val="002B5765"/>
    <w:rsid w:val="002B5A13"/>
    <w:rsid w:val="002B5E20"/>
    <w:rsid w:val="002B6E43"/>
    <w:rsid w:val="002B7C27"/>
    <w:rsid w:val="002C02C6"/>
    <w:rsid w:val="002C040B"/>
    <w:rsid w:val="002C0C1C"/>
    <w:rsid w:val="002C1D21"/>
    <w:rsid w:val="002C3722"/>
    <w:rsid w:val="002C6AD4"/>
    <w:rsid w:val="002C6B20"/>
    <w:rsid w:val="002D08B3"/>
    <w:rsid w:val="002D3B7B"/>
    <w:rsid w:val="002D4B03"/>
    <w:rsid w:val="002D517A"/>
    <w:rsid w:val="002D5449"/>
    <w:rsid w:val="002D5726"/>
    <w:rsid w:val="002D5F3E"/>
    <w:rsid w:val="002D6801"/>
    <w:rsid w:val="002D7648"/>
    <w:rsid w:val="002D7E2F"/>
    <w:rsid w:val="002E05CF"/>
    <w:rsid w:val="002E0980"/>
    <w:rsid w:val="002E109C"/>
    <w:rsid w:val="002E1A1E"/>
    <w:rsid w:val="002E1A51"/>
    <w:rsid w:val="002E1C63"/>
    <w:rsid w:val="002E27F4"/>
    <w:rsid w:val="002E6186"/>
    <w:rsid w:val="002E6A40"/>
    <w:rsid w:val="002F09EF"/>
    <w:rsid w:val="002F199D"/>
    <w:rsid w:val="002F251E"/>
    <w:rsid w:val="002F253E"/>
    <w:rsid w:val="002F323C"/>
    <w:rsid w:val="002F3F98"/>
    <w:rsid w:val="002F5188"/>
    <w:rsid w:val="002F63E5"/>
    <w:rsid w:val="002F6708"/>
    <w:rsid w:val="002F6851"/>
    <w:rsid w:val="002F768C"/>
    <w:rsid w:val="002F7912"/>
    <w:rsid w:val="002F7D1E"/>
    <w:rsid w:val="003019A4"/>
    <w:rsid w:val="00301A1A"/>
    <w:rsid w:val="00303F2B"/>
    <w:rsid w:val="0030400D"/>
    <w:rsid w:val="00304845"/>
    <w:rsid w:val="00305442"/>
    <w:rsid w:val="003067AA"/>
    <w:rsid w:val="0031166B"/>
    <w:rsid w:val="00312A54"/>
    <w:rsid w:val="00313081"/>
    <w:rsid w:val="003141F7"/>
    <w:rsid w:val="00314469"/>
    <w:rsid w:val="0031446E"/>
    <w:rsid w:val="00314C82"/>
    <w:rsid w:val="00315727"/>
    <w:rsid w:val="00315FD5"/>
    <w:rsid w:val="00316598"/>
    <w:rsid w:val="003170F4"/>
    <w:rsid w:val="00317BA7"/>
    <w:rsid w:val="00317E5D"/>
    <w:rsid w:val="00320924"/>
    <w:rsid w:val="00322520"/>
    <w:rsid w:val="0032256D"/>
    <w:rsid w:val="00322D2E"/>
    <w:rsid w:val="00323A3E"/>
    <w:rsid w:val="003246E4"/>
    <w:rsid w:val="00324D63"/>
    <w:rsid w:val="003309C2"/>
    <w:rsid w:val="00331158"/>
    <w:rsid w:val="00332412"/>
    <w:rsid w:val="00332872"/>
    <w:rsid w:val="003329B3"/>
    <w:rsid w:val="003332C6"/>
    <w:rsid w:val="003350C5"/>
    <w:rsid w:val="003352D4"/>
    <w:rsid w:val="003357F1"/>
    <w:rsid w:val="00335DC5"/>
    <w:rsid w:val="00335F33"/>
    <w:rsid w:val="0033691E"/>
    <w:rsid w:val="003374B7"/>
    <w:rsid w:val="0033788C"/>
    <w:rsid w:val="00340906"/>
    <w:rsid w:val="00341236"/>
    <w:rsid w:val="0034146E"/>
    <w:rsid w:val="003416BA"/>
    <w:rsid w:val="00342D82"/>
    <w:rsid w:val="00342F4D"/>
    <w:rsid w:val="00342F99"/>
    <w:rsid w:val="003436BC"/>
    <w:rsid w:val="00343813"/>
    <w:rsid w:val="00343BAF"/>
    <w:rsid w:val="0034501B"/>
    <w:rsid w:val="00346910"/>
    <w:rsid w:val="003469A0"/>
    <w:rsid w:val="003512EE"/>
    <w:rsid w:val="00351898"/>
    <w:rsid w:val="003518A6"/>
    <w:rsid w:val="003523BF"/>
    <w:rsid w:val="00352423"/>
    <w:rsid w:val="003529E7"/>
    <w:rsid w:val="003542A9"/>
    <w:rsid w:val="003547BC"/>
    <w:rsid w:val="00355125"/>
    <w:rsid w:val="003554A4"/>
    <w:rsid w:val="00355C1A"/>
    <w:rsid w:val="00356988"/>
    <w:rsid w:val="00361A45"/>
    <w:rsid w:val="0036306B"/>
    <w:rsid w:val="00364034"/>
    <w:rsid w:val="00364457"/>
    <w:rsid w:val="00365C3E"/>
    <w:rsid w:val="00366375"/>
    <w:rsid w:val="00367EF4"/>
    <w:rsid w:val="00370D43"/>
    <w:rsid w:val="00370DC7"/>
    <w:rsid w:val="003713E2"/>
    <w:rsid w:val="00371500"/>
    <w:rsid w:val="00371539"/>
    <w:rsid w:val="00373C12"/>
    <w:rsid w:val="0037542C"/>
    <w:rsid w:val="00375696"/>
    <w:rsid w:val="0037626E"/>
    <w:rsid w:val="00377FE5"/>
    <w:rsid w:val="00381224"/>
    <w:rsid w:val="00381606"/>
    <w:rsid w:val="00381F28"/>
    <w:rsid w:val="00382B81"/>
    <w:rsid w:val="00383247"/>
    <w:rsid w:val="00384C93"/>
    <w:rsid w:val="003875A4"/>
    <w:rsid w:val="00387610"/>
    <w:rsid w:val="00390286"/>
    <w:rsid w:val="00390D48"/>
    <w:rsid w:val="0039245A"/>
    <w:rsid w:val="00392E52"/>
    <w:rsid w:val="00393874"/>
    <w:rsid w:val="00393EC8"/>
    <w:rsid w:val="00394910"/>
    <w:rsid w:val="00394B74"/>
    <w:rsid w:val="00395A61"/>
    <w:rsid w:val="0039651A"/>
    <w:rsid w:val="00396A2D"/>
    <w:rsid w:val="00396FC3"/>
    <w:rsid w:val="00397BC9"/>
    <w:rsid w:val="003A04CB"/>
    <w:rsid w:val="003A2385"/>
    <w:rsid w:val="003A2A68"/>
    <w:rsid w:val="003A2B3E"/>
    <w:rsid w:val="003A2B44"/>
    <w:rsid w:val="003A2C1C"/>
    <w:rsid w:val="003A5758"/>
    <w:rsid w:val="003A6226"/>
    <w:rsid w:val="003A64BB"/>
    <w:rsid w:val="003B04C5"/>
    <w:rsid w:val="003B06A1"/>
    <w:rsid w:val="003B0B18"/>
    <w:rsid w:val="003B0B6A"/>
    <w:rsid w:val="003B1A3A"/>
    <w:rsid w:val="003B1D17"/>
    <w:rsid w:val="003B1F18"/>
    <w:rsid w:val="003B2199"/>
    <w:rsid w:val="003B29CF"/>
    <w:rsid w:val="003B2A1E"/>
    <w:rsid w:val="003B31AB"/>
    <w:rsid w:val="003B34E6"/>
    <w:rsid w:val="003B3727"/>
    <w:rsid w:val="003B3C9A"/>
    <w:rsid w:val="003B46FF"/>
    <w:rsid w:val="003B4A36"/>
    <w:rsid w:val="003B534E"/>
    <w:rsid w:val="003B54A5"/>
    <w:rsid w:val="003B5C8E"/>
    <w:rsid w:val="003B63C6"/>
    <w:rsid w:val="003C071B"/>
    <w:rsid w:val="003C10CB"/>
    <w:rsid w:val="003C1BD9"/>
    <w:rsid w:val="003C2AD9"/>
    <w:rsid w:val="003C31FA"/>
    <w:rsid w:val="003C3BA0"/>
    <w:rsid w:val="003C4580"/>
    <w:rsid w:val="003C497F"/>
    <w:rsid w:val="003C6624"/>
    <w:rsid w:val="003C6746"/>
    <w:rsid w:val="003C7252"/>
    <w:rsid w:val="003C7F0D"/>
    <w:rsid w:val="003D0526"/>
    <w:rsid w:val="003D1328"/>
    <w:rsid w:val="003D375D"/>
    <w:rsid w:val="003D50B5"/>
    <w:rsid w:val="003D65D8"/>
    <w:rsid w:val="003D69EB"/>
    <w:rsid w:val="003D7687"/>
    <w:rsid w:val="003D7CE8"/>
    <w:rsid w:val="003D7CF6"/>
    <w:rsid w:val="003E2693"/>
    <w:rsid w:val="003E285E"/>
    <w:rsid w:val="003E3300"/>
    <w:rsid w:val="003E39D7"/>
    <w:rsid w:val="003E3C6C"/>
    <w:rsid w:val="003E5CB7"/>
    <w:rsid w:val="003E6C1D"/>
    <w:rsid w:val="003E72B9"/>
    <w:rsid w:val="003F0DBE"/>
    <w:rsid w:val="003F1DB9"/>
    <w:rsid w:val="003F1F4D"/>
    <w:rsid w:val="003F2873"/>
    <w:rsid w:val="003F3187"/>
    <w:rsid w:val="003F3897"/>
    <w:rsid w:val="003F41F0"/>
    <w:rsid w:val="003F47BA"/>
    <w:rsid w:val="003F47F5"/>
    <w:rsid w:val="003F6617"/>
    <w:rsid w:val="0040117D"/>
    <w:rsid w:val="0040118D"/>
    <w:rsid w:val="00401529"/>
    <w:rsid w:val="00401E88"/>
    <w:rsid w:val="00402FB4"/>
    <w:rsid w:val="00403F49"/>
    <w:rsid w:val="00406C55"/>
    <w:rsid w:val="0040729A"/>
    <w:rsid w:val="00410CA1"/>
    <w:rsid w:val="004110AE"/>
    <w:rsid w:val="0041194C"/>
    <w:rsid w:val="00412618"/>
    <w:rsid w:val="00414616"/>
    <w:rsid w:val="00414DA2"/>
    <w:rsid w:val="00415522"/>
    <w:rsid w:val="00415BC5"/>
    <w:rsid w:val="00415F25"/>
    <w:rsid w:val="00416854"/>
    <w:rsid w:val="00417BAA"/>
    <w:rsid w:val="00422204"/>
    <w:rsid w:val="00422A10"/>
    <w:rsid w:val="00422CF5"/>
    <w:rsid w:val="00422DCA"/>
    <w:rsid w:val="00423B42"/>
    <w:rsid w:val="00424A99"/>
    <w:rsid w:val="00424AAC"/>
    <w:rsid w:val="00427713"/>
    <w:rsid w:val="004312E1"/>
    <w:rsid w:val="00431CC1"/>
    <w:rsid w:val="00432589"/>
    <w:rsid w:val="00432896"/>
    <w:rsid w:val="00432B21"/>
    <w:rsid w:val="00433B60"/>
    <w:rsid w:val="00433E8E"/>
    <w:rsid w:val="0043430F"/>
    <w:rsid w:val="00434EB8"/>
    <w:rsid w:val="0043547D"/>
    <w:rsid w:val="00436AA2"/>
    <w:rsid w:val="0043799C"/>
    <w:rsid w:val="004379E7"/>
    <w:rsid w:val="004405D9"/>
    <w:rsid w:val="0044076A"/>
    <w:rsid w:val="00442056"/>
    <w:rsid w:val="00442C4F"/>
    <w:rsid w:val="00443321"/>
    <w:rsid w:val="0044372F"/>
    <w:rsid w:val="004457A9"/>
    <w:rsid w:val="00445A2F"/>
    <w:rsid w:val="00445D65"/>
    <w:rsid w:val="00445E59"/>
    <w:rsid w:val="0044647E"/>
    <w:rsid w:val="00446555"/>
    <w:rsid w:val="0044684E"/>
    <w:rsid w:val="00446D91"/>
    <w:rsid w:val="0044797A"/>
    <w:rsid w:val="00450555"/>
    <w:rsid w:val="00452AE1"/>
    <w:rsid w:val="00453A8D"/>
    <w:rsid w:val="00453EB2"/>
    <w:rsid w:val="00454111"/>
    <w:rsid w:val="00454292"/>
    <w:rsid w:val="00454E11"/>
    <w:rsid w:val="00456215"/>
    <w:rsid w:val="004572F3"/>
    <w:rsid w:val="004617EB"/>
    <w:rsid w:val="00461EBA"/>
    <w:rsid w:val="00461EC8"/>
    <w:rsid w:val="00462D42"/>
    <w:rsid w:val="00462D56"/>
    <w:rsid w:val="004634E8"/>
    <w:rsid w:val="00463B77"/>
    <w:rsid w:val="00464261"/>
    <w:rsid w:val="00464D90"/>
    <w:rsid w:val="00465126"/>
    <w:rsid w:val="0046570E"/>
    <w:rsid w:val="00465DA2"/>
    <w:rsid w:val="00466BE8"/>
    <w:rsid w:val="00467061"/>
    <w:rsid w:val="00470520"/>
    <w:rsid w:val="0047119F"/>
    <w:rsid w:val="0047191D"/>
    <w:rsid w:val="00473128"/>
    <w:rsid w:val="0047507A"/>
    <w:rsid w:val="004761F2"/>
    <w:rsid w:val="004763CD"/>
    <w:rsid w:val="00476565"/>
    <w:rsid w:val="004765BD"/>
    <w:rsid w:val="004770EE"/>
    <w:rsid w:val="004779D3"/>
    <w:rsid w:val="00477DBF"/>
    <w:rsid w:val="00480372"/>
    <w:rsid w:val="00481875"/>
    <w:rsid w:val="00481FC3"/>
    <w:rsid w:val="0048204C"/>
    <w:rsid w:val="004820F2"/>
    <w:rsid w:val="004826FE"/>
    <w:rsid w:val="00484956"/>
    <w:rsid w:val="00484B3B"/>
    <w:rsid w:val="00484B69"/>
    <w:rsid w:val="0048590F"/>
    <w:rsid w:val="00486DAB"/>
    <w:rsid w:val="00486FD8"/>
    <w:rsid w:val="004879A0"/>
    <w:rsid w:val="0049018B"/>
    <w:rsid w:val="004908BF"/>
    <w:rsid w:val="004912D0"/>
    <w:rsid w:val="00491C82"/>
    <w:rsid w:val="004921F9"/>
    <w:rsid w:val="00492A25"/>
    <w:rsid w:val="00492B88"/>
    <w:rsid w:val="004930FB"/>
    <w:rsid w:val="00493AA1"/>
    <w:rsid w:val="00493EC9"/>
    <w:rsid w:val="00494B08"/>
    <w:rsid w:val="00495C30"/>
    <w:rsid w:val="00495F64"/>
    <w:rsid w:val="0049608F"/>
    <w:rsid w:val="00496584"/>
    <w:rsid w:val="0049719B"/>
    <w:rsid w:val="0049749E"/>
    <w:rsid w:val="004A1405"/>
    <w:rsid w:val="004A1548"/>
    <w:rsid w:val="004A1933"/>
    <w:rsid w:val="004A1BF0"/>
    <w:rsid w:val="004A279F"/>
    <w:rsid w:val="004A2BFE"/>
    <w:rsid w:val="004A3347"/>
    <w:rsid w:val="004A381E"/>
    <w:rsid w:val="004A5387"/>
    <w:rsid w:val="004A5422"/>
    <w:rsid w:val="004A5A21"/>
    <w:rsid w:val="004A5B92"/>
    <w:rsid w:val="004B17B3"/>
    <w:rsid w:val="004B1FF5"/>
    <w:rsid w:val="004B29AC"/>
    <w:rsid w:val="004B42DB"/>
    <w:rsid w:val="004B72F8"/>
    <w:rsid w:val="004B74C3"/>
    <w:rsid w:val="004B78F4"/>
    <w:rsid w:val="004B7F88"/>
    <w:rsid w:val="004C1787"/>
    <w:rsid w:val="004C296F"/>
    <w:rsid w:val="004C4EF9"/>
    <w:rsid w:val="004C51FD"/>
    <w:rsid w:val="004C577E"/>
    <w:rsid w:val="004C5987"/>
    <w:rsid w:val="004C7393"/>
    <w:rsid w:val="004C75B6"/>
    <w:rsid w:val="004D04ED"/>
    <w:rsid w:val="004D0E09"/>
    <w:rsid w:val="004D1578"/>
    <w:rsid w:val="004D2350"/>
    <w:rsid w:val="004D23BE"/>
    <w:rsid w:val="004D2499"/>
    <w:rsid w:val="004D29ED"/>
    <w:rsid w:val="004D2F65"/>
    <w:rsid w:val="004D35BA"/>
    <w:rsid w:val="004D377F"/>
    <w:rsid w:val="004D41DD"/>
    <w:rsid w:val="004D4EB0"/>
    <w:rsid w:val="004D5599"/>
    <w:rsid w:val="004D5FD0"/>
    <w:rsid w:val="004D618D"/>
    <w:rsid w:val="004D655D"/>
    <w:rsid w:val="004D74CB"/>
    <w:rsid w:val="004D7CAD"/>
    <w:rsid w:val="004E25A8"/>
    <w:rsid w:val="004E54C1"/>
    <w:rsid w:val="004E59CE"/>
    <w:rsid w:val="004E6097"/>
    <w:rsid w:val="004E687A"/>
    <w:rsid w:val="004E6D9E"/>
    <w:rsid w:val="004E74E1"/>
    <w:rsid w:val="004E7B03"/>
    <w:rsid w:val="004F0446"/>
    <w:rsid w:val="004F06AC"/>
    <w:rsid w:val="004F2080"/>
    <w:rsid w:val="004F2193"/>
    <w:rsid w:val="004F23AE"/>
    <w:rsid w:val="004F2EFC"/>
    <w:rsid w:val="004F4883"/>
    <w:rsid w:val="004F4DA9"/>
    <w:rsid w:val="004F552A"/>
    <w:rsid w:val="004F62B3"/>
    <w:rsid w:val="004F7075"/>
    <w:rsid w:val="004F70FC"/>
    <w:rsid w:val="00500258"/>
    <w:rsid w:val="00500E14"/>
    <w:rsid w:val="00502444"/>
    <w:rsid w:val="00503031"/>
    <w:rsid w:val="00503482"/>
    <w:rsid w:val="0050487A"/>
    <w:rsid w:val="005061D0"/>
    <w:rsid w:val="00511610"/>
    <w:rsid w:val="00511C55"/>
    <w:rsid w:val="00511D40"/>
    <w:rsid w:val="005128BE"/>
    <w:rsid w:val="0051399C"/>
    <w:rsid w:val="00513DC9"/>
    <w:rsid w:val="00513E7C"/>
    <w:rsid w:val="00513F17"/>
    <w:rsid w:val="00515051"/>
    <w:rsid w:val="0051608F"/>
    <w:rsid w:val="00517376"/>
    <w:rsid w:val="005212B0"/>
    <w:rsid w:val="005229FE"/>
    <w:rsid w:val="00523B51"/>
    <w:rsid w:val="00524C5A"/>
    <w:rsid w:val="00524F71"/>
    <w:rsid w:val="00525E26"/>
    <w:rsid w:val="00526049"/>
    <w:rsid w:val="00526BC3"/>
    <w:rsid w:val="00527137"/>
    <w:rsid w:val="00527AE1"/>
    <w:rsid w:val="0053195D"/>
    <w:rsid w:val="00531BF4"/>
    <w:rsid w:val="005320A0"/>
    <w:rsid w:val="00533F08"/>
    <w:rsid w:val="00534BE3"/>
    <w:rsid w:val="00534D3F"/>
    <w:rsid w:val="00534ECF"/>
    <w:rsid w:val="00535291"/>
    <w:rsid w:val="0053798F"/>
    <w:rsid w:val="00540631"/>
    <w:rsid w:val="0054199C"/>
    <w:rsid w:val="0054290A"/>
    <w:rsid w:val="00543AF4"/>
    <w:rsid w:val="00543C6E"/>
    <w:rsid w:val="00544191"/>
    <w:rsid w:val="00544230"/>
    <w:rsid w:val="00544678"/>
    <w:rsid w:val="00544F39"/>
    <w:rsid w:val="0054543F"/>
    <w:rsid w:val="00546B2C"/>
    <w:rsid w:val="00547EFB"/>
    <w:rsid w:val="00550829"/>
    <w:rsid w:val="00552C88"/>
    <w:rsid w:val="00552F4E"/>
    <w:rsid w:val="005531DF"/>
    <w:rsid w:val="00553A90"/>
    <w:rsid w:val="00554151"/>
    <w:rsid w:val="005542CE"/>
    <w:rsid w:val="00554F78"/>
    <w:rsid w:val="005556FD"/>
    <w:rsid w:val="00555834"/>
    <w:rsid w:val="005564B1"/>
    <w:rsid w:val="0055781F"/>
    <w:rsid w:val="00561B7B"/>
    <w:rsid w:val="00563354"/>
    <w:rsid w:val="005640F1"/>
    <w:rsid w:val="00565BE9"/>
    <w:rsid w:val="00565E69"/>
    <w:rsid w:val="00567098"/>
    <w:rsid w:val="005678DE"/>
    <w:rsid w:val="00570D28"/>
    <w:rsid w:val="00573733"/>
    <w:rsid w:val="00573EEF"/>
    <w:rsid w:val="00574152"/>
    <w:rsid w:val="00575A24"/>
    <w:rsid w:val="00576120"/>
    <w:rsid w:val="005764BF"/>
    <w:rsid w:val="00577426"/>
    <w:rsid w:val="005779E4"/>
    <w:rsid w:val="00580037"/>
    <w:rsid w:val="005809E1"/>
    <w:rsid w:val="00581752"/>
    <w:rsid w:val="00581AD7"/>
    <w:rsid w:val="00581D76"/>
    <w:rsid w:val="00582452"/>
    <w:rsid w:val="005836C7"/>
    <w:rsid w:val="00583A28"/>
    <w:rsid w:val="00584E2C"/>
    <w:rsid w:val="00586BAD"/>
    <w:rsid w:val="00586C5C"/>
    <w:rsid w:val="00586CE7"/>
    <w:rsid w:val="00590B77"/>
    <w:rsid w:val="005913A3"/>
    <w:rsid w:val="00593753"/>
    <w:rsid w:val="00593D5E"/>
    <w:rsid w:val="00594411"/>
    <w:rsid w:val="00595131"/>
    <w:rsid w:val="00596FF0"/>
    <w:rsid w:val="005A24F0"/>
    <w:rsid w:val="005A32F7"/>
    <w:rsid w:val="005A4744"/>
    <w:rsid w:val="005A48E3"/>
    <w:rsid w:val="005A71E9"/>
    <w:rsid w:val="005A7328"/>
    <w:rsid w:val="005A7F37"/>
    <w:rsid w:val="005B07EC"/>
    <w:rsid w:val="005B1C37"/>
    <w:rsid w:val="005B285B"/>
    <w:rsid w:val="005B3341"/>
    <w:rsid w:val="005B59D3"/>
    <w:rsid w:val="005B5BEE"/>
    <w:rsid w:val="005B7552"/>
    <w:rsid w:val="005B77D2"/>
    <w:rsid w:val="005C1B4B"/>
    <w:rsid w:val="005C3032"/>
    <w:rsid w:val="005C30F5"/>
    <w:rsid w:val="005C3779"/>
    <w:rsid w:val="005C3CAA"/>
    <w:rsid w:val="005C4BA0"/>
    <w:rsid w:val="005C6000"/>
    <w:rsid w:val="005C6B8B"/>
    <w:rsid w:val="005C6BC8"/>
    <w:rsid w:val="005C7DC4"/>
    <w:rsid w:val="005D02E3"/>
    <w:rsid w:val="005D05F5"/>
    <w:rsid w:val="005D0F47"/>
    <w:rsid w:val="005D1A53"/>
    <w:rsid w:val="005D1D98"/>
    <w:rsid w:val="005D2154"/>
    <w:rsid w:val="005D238F"/>
    <w:rsid w:val="005D39FD"/>
    <w:rsid w:val="005D3B54"/>
    <w:rsid w:val="005D5DA0"/>
    <w:rsid w:val="005E2335"/>
    <w:rsid w:val="005E2DAA"/>
    <w:rsid w:val="005E3CF3"/>
    <w:rsid w:val="005E40C9"/>
    <w:rsid w:val="005E43DD"/>
    <w:rsid w:val="005E45E2"/>
    <w:rsid w:val="005E666A"/>
    <w:rsid w:val="005F02F0"/>
    <w:rsid w:val="005F0FF8"/>
    <w:rsid w:val="005F1516"/>
    <w:rsid w:val="005F229E"/>
    <w:rsid w:val="005F2D9A"/>
    <w:rsid w:val="005F3098"/>
    <w:rsid w:val="005F314A"/>
    <w:rsid w:val="005F3D9D"/>
    <w:rsid w:val="005F4E52"/>
    <w:rsid w:val="005F5360"/>
    <w:rsid w:val="005F5889"/>
    <w:rsid w:val="005F5921"/>
    <w:rsid w:val="005F6F0A"/>
    <w:rsid w:val="005F7357"/>
    <w:rsid w:val="0060058E"/>
    <w:rsid w:val="006007DE"/>
    <w:rsid w:val="0060188B"/>
    <w:rsid w:val="00602A3C"/>
    <w:rsid w:val="006032E8"/>
    <w:rsid w:val="0060435C"/>
    <w:rsid w:val="00604508"/>
    <w:rsid w:val="00604754"/>
    <w:rsid w:val="00604D23"/>
    <w:rsid w:val="0060549F"/>
    <w:rsid w:val="0060560A"/>
    <w:rsid w:val="00606AFD"/>
    <w:rsid w:val="00607230"/>
    <w:rsid w:val="0060750F"/>
    <w:rsid w:val="0061035A"/>
    <w:rsid w:val="0061110D"/>
    <w:rsid w:val="00611A2E"/>
    <w:rsid w:val="00613791"/>
    <w:rsid w:val="00614079"/>
    <w:rsid w:val="006156C3"/>
    <w:rsid w:val="00615E13"/>
    <w:rsid w:val="00616866"/>
    <w:rsid w:val="00617BE1"/>
    <w:rsid w:val="00617EEE"/>
    <w:rsid w:val="00620352"/>
    <w:rsid w:val="0062055B"/>
    <w:rsid w:val="00622B99"/>
    <w:rsid w:val="00623389"/>
    <w:rsid w:val="006235C2"/>
    <w:rsid w:val="006247D0"/>
    <w:rsid w:val="006268E4"/>
    <w:rsid w:val="006279FE"/>
    <w:rsid w:val="00632592"/>
    <w:rsid w:val="006330BE"/>
    <w:rsid w:val="006330CA"/>
    <w:rsid w:val="0063413D"/>
    <w:rsid w:val="006359EB"/>
    <w:rsid w:val="006363FA"/>
    <w:rsid w:val="00640FB5"/>
    <w:rsid w:val="00641AF8"/>
    <w:rsid w:val="00642E16"/>
    <w:rsid w:val="00642FA2"/>
    <w:rsid w:val="00643244"/>
    <w:rsid w:val="00643664"/>
    <w:rsid w:val="0064380A"/>
    <w:rsid w:val="00643CAA"/>
    <w:rsid w:val="0064415E"/>
    <w:rsid w:val="006452BA"/>
    <w:rsid w:val="00645C8F"/>
    <w:rsid w:val="0064744D"/>
    <w:rsid w:val="006477FF"/>
    <w:rsid w:val="00651FF2"/>
    <w:rsid w:val="00652A89"/>
    <w:rsid w:val="00652C4C"/>
    <w:rsid w:val="00652EA1"/>
    <w:rsid w:val="00653CDE"/>
    <w:rsid w:val="00654093"/>
    <w:rsid w:val="00654523"/>
    <w:rsid w:val="0065497D"/>
    <w:rsid w:val="00654C7E"/>
    <w:rsid w:val="00657E76"/>
    <w:rsid w:val="00660F2F"/>
    <w:rsid w:val="00661277"/>
    <w:rsid w:val="00661F62"/>
    <w:rsid w:val="006623D7"/>
    <w:rsid w:val="00662482"/>
    <w:rsid w:val="006636AD"/>
    <w:rsid w:val="00663B40"/>
    <w:rsid w:val="00663FEA"/>
    <w:rsid w:val="0066433F"/>
    <w:rsid w:val="00664803"/>
    <w:rsid w:val="00665945"/>
    <w:rsid w:val="00665B3B"/>
    <w:rsid w:val="00667B59"/>
    <w:rsid w:val="00667EA7"/>
    <w:rsid w:val="0067064D"/>
    <w:rsid w:val="00670F0F"/>
    <w:rsid w:val="00670F71"/>
    <w:rsid w:val="006740F0"/>
    <w:rsid w:val="00674530"/>
    <w:rsid w:val="00674549"/>
    <w:rsid w:val="00674B85"/>
    <w:rsid w:val="006772BF"/>
    <w:rsid w:val="006772C9"/>
    <w:rsid w:val="00677641"/>
    <w:rsid w:val="006777FB"/>
    <w:rsid w:val="00677BF4"/>
    <w:rsid w:val="00680459"/>
    <w:rsid w:val="00681690"/>
    <w:rsid w:val="00682F28"/>
    <w:rsid w:val="0068336F"/>
    <w:rsid w:val="00683AD6"/>
    <w:rsid w:val="0068483C"/>
    <w:rsid w:val="00684BDF"/>
    <w:rsid w:val="00685E31"/>
    <w:rsid w:val="006879E5"/>
    <w:rsid w:val="0069007E"/>
    <w:rsid w:val="00690437"/>
    <w:rsid w:val="00690E65"/>
    <w:rsid w:val="00691F2F"/>
    <w:rsid w:val="00691FAE"/>
    <w:rsid w:val="00692AAF"/>
    <w:rsid w:val="00695421"/>
    <w:rsid w:val="00697136"/>
    <w:rsid w:val="00697DFA"/>
    <w:rsid w:val="006A04B8"/>
    <w:rsid w:val="006A0A00"/>
    <w:rsid w:val="006A154B"/>
    <w:rsid w:val="006A1E5E"/>
    <w:rsid w:val="006A3FD9"/>
    <w:rsid w:val="006A43B3"/>
    <w:rsid w:val="006A6012"/>
    <w:rsid w:val="006A7BE3"/>
    <w:rsid w:val="006B01D1"/>
    <w:rsid w:val="006B05E5"/>
    <w:rsid w:val="006B0AE2"/>
    <w:rsid w:val="006B0F39"/>
    <w:rsid w:val="006B15CC"/>
    <w:rsid w:val="006B266D"/>
    <w:rsid w:val="006B2827"/>
    <w:rsid w:val="006B3643"/>
    <w:rsid w:val="006B4589"/>
    <w:rsid w:val="006B4C94"/>
    <w:rsid w:val="006B5EFA"/>
    <w:rsid w:val="006B6D52"/>
    <w:rsid w:val="006B7A4F"/>
    <w:rsid w:val="006B7ABB"/>
    <w:rsid w:val="006C0994"/>
    <w:rsid w:val="006C28E5"/>
    <w:rsid w:val="006C30F2"/>
    <w:rsid w:val="006C4F0E"/>
    <w:rsid w:val="006C5F01"/>
    <w:rsid w:val="006D06E4"/>
    <w:rsid w:val="006D0C1D"/>
    <w:rsid w:val="006D2C3F"/>
    <w:rsid w:val="006D388A"/>
    <w:rsid w:val="006D3D09"/>
    <w:rsid w:val="006D415B"/>
    <w:rsid w:val="006D548E"/>
    <w:rsid w:val="006D5532"/>
    <w:rsid w:val="006D59C3"/>
    <w:rsid w:val="006D724B"/>
    <w:rsid w:val="006D7C85"/>
    <w:rsid w:val="006E0574"/>
    <w:rsid w:val="006E079E"/>
    <w:rsid w:val="006E231B"/>
    <w:rsid w:val="006E3DFD"/>
    <w:rsid w:val="006E5DD8"/>
    <w:rsid w:val="006E6E06"/>
    <w:rsid w:val="006E7098"/>
    <w:rsid w:val="006F00EF"/>
    <w:rsid w:val="006F0F34"/>
    <w:rsid w:val="006F2AE6"/>
    <w:rsid w:val="006F2F2A"/>
    <w:rsid w:val="006F310E"/>
    <w:rsid w:val="006F3231"/>
    <w:rsid w:val="006F3AA0"/>
    <w:rsid w:val="006F3DE3"/>
    <w:rsid w:val="006F4771"/>
    <w:rsid w:val="006F4BF8"/>
    <w:rsid w:val="006F547F"/>
    <w:rsid w:val="006F58B0"/>
    <w:rsid w:val="006F5A12"/>
    <w:rsid w:val="006F6AD5"/>
    <w:rsid w:val="006F70BC"/>
    <w:rsid w:val="006F7D3B"/>
    <w:rsid w:val="006F7E1F"/>
    <w:rsid w:val="00701766"/>
    <w:rsid w:val="00702569"/>
    <w:rsid w:val="007025FB"/>
    <w:rsid w:val="0070296A"/>
    <w:rsid w:val="00702A3B"/>
    <w:rsid w:val="00702A7E"/>
    <w:rsid w:val="0070490E"/>
    <w:rsid w:val="00704A47"/>
    <w:rsid w:val="00707A90"/>
    <w:rsid w:val="00710112"/>
    <w:rsid w:val="0071038E"/>
    <w:rsid w:val="0071156A"/>
    <w:rsid w:val="0071220F"/>
    <w:rsid w:val="00714576"/>
    <w:rsid w:val="00714F54"/>
    <w:rsid w:val="00715837"/>
    <w:rsid w:val="00720F28"/>
    <w:rsid w:val="00721266"/>
    <w:rsid w:val="00721F0C"/>
    <w:rsid w:val="00721F4A"/>
    <w:rsid w:val="00722033"/>
    <w:rsid w:val="007229D4"/>
    <w:rsid w:val="00722B6B"/>
    <w:rsid w:val="00723C4A"/>
    <w:rsid w:val="00724044"/>
    <w:rsid w:val="00724BA2"/>
    <w:rsid w:val="0072791A"/>
    <w:rsid w:val="00730014"/>
    <w:rsid w:val="00731B09"/>
    <w:rsid w:val="007332B8"/>
    <w:rsid w:val="0073389C"/>
    <w:rsid w:val="00733FDB"/>
    <w:rsid w:val="0073479F"/>
    <w:rsid w:val="007366F9"/>
    <w:rsid w:val="007436A4"/>
    <w:rsid w:val="007436E6"/>
    <w:rsid w:val="00743818"/>
    <w:rsid w:val="0074413B"/>
    <w:rsid w:val="00744517"/>
    <w:rsid w:val="007450CE"/>
    <w:rsid w:val="00745966"/>
    <w:rsid w:val="00745A60"/>
    <w:rsid w:val="007476EC"/>
    <w:rsid w:val="00747DE2"/>
    <w:rsid w:val="007526EC"/>
    <w:rsid w:val="00752B53"/>
    <w:rsid w:val="0075302B"/>
    <w:rsid w:val="00753F15"/>
    <w:rsid w:val="00754CA4"/>
    <w:rsid w:val="00754E31"/>
    <w:rsid w:val="007557D3"/>
    <w:rsid w:val="00755813"/>
    <w:rsid w:val="00756521"/>
    <w:rsid w:val="00756AB7"/>
    <w:rsid w:val="007572AB"/>
    <w:rsid w:val="007576AB"/>
    <w:rsid w:val="0076098F"/>
    <w:rsid w:val="00760E9D"/>
    <w:rsid w:val="0076155A"/>
    <w:rsid w:val="00762354"/>
    <w:rsid w:val="00763189"/>
    <w:rsid w:val="007632F4"/>
    <w:rsid w:val="00763F0E"/>
    <w:rsid w:val="007661EA"/>
    <w:rsid w:val="007665C6"/>
    <w:rsid w:val="00766B4B"/>
    <w:rsid w:val="00767AB4"/>
    <w:rsid w:val="0077018B"/>
    <w:rsid w:val="007703E6"/>
    <w:rsid w:val="0077042B"/>
    <w:rsid w:val="00770471"/>
    <w:rsid w:val="00770C90"/>
    <w:rsid w:val="00771E4C"/>
    <w:rsid w:val="00771FB0"/>
    <w:rsid w:val="007725BD"/>
    <w:rsid w:val="007726A6"/>
    <w:rsid w:val="00773AA7"/>
    <w:rsid w:val="0077644A"/>
    <w:rsid w:val="0077693F"/>
    <w:rsid w:val="00776E86"/>
    <w:rsid w:val="0078051E"/>
    <w:rsid w:val="007808F1"/>
    <w:rsid w:val="00781DC6"/>
    <w:rsid w:val="00783580"/>
    <w:rsid w:val="00784B49"/>
    <w:rsid w:val="007850C0"/>
    <w:rsid w:val="007857E1"/>
    <w:rsid w:val="00785CD0"/>
    <w:rsid w:val="0078672D"/>
    <w:rsid w:val="00787789"/>
    <w:rsid w:val="00787FE5"/>
    <w:rsid w:val="00791361"/>
    <w:rsid w:val="00791466"/>
    <w:rsid w:val="007937B6"/>
    <w:rsid w:val="00795575"/>
    <w:rsid w:val="007966FC"/>
    <w:rsid w:val="00796EEC"/>
    <w:rsid w:val="007A0332"/>
    <w:rsid w:val="007A12BA"/>
    <w:rsid w:val="007A1CE0"/>
    <w:rsid w:val="007A20D1"/>
    <w:rsid w:val="007A3B19"/>
    <w:rsid w:val="007A3ED8"/>
    <w:rsid w:val="007A3F1A"/>
    <w:rsid w:val="007A4B79"/>
    <w:rsid w:val="007A65BB"/>
    <w:rsid w:val="007A7044"/>
    <w:rsid w:val="007A7863"/>
    <w:rsid w:val="007A799E"/>
    <w:rsid w:val="007A7FFA"/>
    <w:rsid w:val="007B0297"/>
    <w:rsid w:val="007B0A53"/>
    <w:rsid w:val="007B191B"/>
    <w:rsid w:val="007B1BE0"/>
    <w:rsid w:val="007B21AE"/>
    <w:rsid w:val="007B2EE2"/>
    <w:rsid w:val="007B357E"/>
    <w:rsid w:val="007B3E57"/>
    <w:rsid w:val="007B3EEB"/>
    <w:rsid w:val="007B6D64"/>
    <w:rsid w:val="007B716A"/>
    <w:rsid w:val="007B71FD"/>
    <w:rsid w:val="007B7293"/>
    <w:rsid w:val="007B764E"/>
    <w:rsid w:val="007C002E"/>
    <w:rsid w:val="007C0525"/>
    <w:rsid w:val="007C2C23"/>
    <w:rsid w:val="007C37FC"/>
    <w:rsid w:val="007C4600"/>
    <w:rsid w:val="007C5F21"/>
    <w:rsid w:val="007C6882"/>
    <w:rsid w:val="007C7478"/>
    <w:rsid w:val="007C7D5F"/>
    <w:rsid w:val="007D2D81"/>
    <w:rsid w:val="007D2E2C"/>
    <w:rsid w:val="007D3A24"/>
    <w:rsid w:val="007D3A63"/>
    <w:rsid w:val="007D4C06"/>
    <w:rsid w:val="007D4EAE"/>
    <w:rsid w:val="007D5FDC"/>
    <w:rsid w:val="007D62EF"/>
    <w:rsid w:val="007D6F09"/>
    <w:rsid w:val="007E0E54"/>
    <w:rsid w:val="007E11F6"/>
    <w:rsid w:val="007E1630"/>
    <w:rsid w:val="007E17D9"/>
    <w:rsid w:val="007E3B7F"/>
    <w:rsid w:val="007E4147"/>
    <w:rsid w:val="007E4838"/>
    <w:rsid w:val="007E4A9C"/>
    <w:rsid w:val="007E4D5D"/>
    <w:rsid w:val="007E5E62"/>
    <w:rsid w:val="007E7C05"/>
    <w:rsid w:val="007E7DF9"/>
    <w:rsid w:val="007F0730"/>
    <w:rsid w:val="007F13D6"/>
    <w:rsid w:val="007F2BD6"/>
    <w:rsid w:val="007F6E0A"/>
    <w:rsid w:val="007F7ABD"/>
    <w:rsid w:val="007F7E4C"/>
    <w:rsid w:val="00800A1D"/>
    <w:rsid w:val="0080110C"/>
    <w:rsid w:val="008014FC"/>
    <w:rsid w:val="00801E24"/>
    <w:rsid w:val="00802F6E"/>
    <w:rsid w:val="00803F25"/>
    <w:rsid w:val="008041E4"/>
    <w:rsid w:val="008055A9"/>
    <w:rsid w:val="00805FB0"/>
    <w:rsid w:val="00806E96"/>
    <w:rsid w:val="0080753B"/>
    <w:rsid w:val="0081030B"/>
    <w:rsid w:val="00810338"/>
    <w:rsid w:val="00810E8E"/>
    <w:rsid w:val="008124D0"/>
    <w:rsid w:val="00814E45"/>
    <w:rsid w:val="0081764E"/>
    <w:rsid w:val="008179F4"/>
    <w:rsid w:val="00820886"/>
    <w:rsid w:val="00821B22"/>
    <w:rsid w:val="00821CAD"/>
    <w:rsid w:val="00822C60"/>
    <w:rsid w:val="00824CE7"/>
    <w:rsid w:val="00824DD2"/>
    <w:rsid w:val="00826A9C"/>
    <w:rsid w:val="00826AB9"/>
    <w:rsid w:val="0082700B"/>
    <w:rsid w:val="00827863"/>
    <w:rsid w:val="00827AB9"/>
    <w:rsid w:val="00827AE7"/>
    <w:rsid w:val="00827CA8"/>
    <w:rsid w:val="00827E0F"/>
    <w:rsid w:val="008325B9"/>
    <w:rsid w:val="0083279F"/>
    <w:rsid w:val="008337E8"/>
    <w:rsid w:val="00833B7F"/>
    <w:rsid w:val="0083524E"/>
    <w:rsid w:val="00835292"/>
    <w:rsid w:val="00835809"/>
    <w:rsid w:val="008362C1"/>
    <w:rsid w:val="0083735E"/>
    <w:rsid w:val="008373B7"/>
    <w:rsid w:val="00841B45"/>
    <w:rsid w:val="008430AD"/>
    <w:rsid w:val="008430C0"/>
    <w:rsid w:val="00843F81"/>
    <w:rsid w:val="0084469B"/>
    <w:rsid w:val="00844AF6"/>
    <w:rsid w:val="00846915"/>
    <w:rsid w:val="00846998"/>
    <w:rsid w:val="00851F77"/>
    <w:rsid w:val="00852852"/>
    <w:rsid w:val="00852940"/>
    <w:rsid w:val="00852F21"/>
    <w:rsid w:val="00853BF4"/>
    <w:rsid w:val="0085586F"/>
    <w:rsid w:val="00855A24"/>
    <w:rsid w:val="008577FF"/>
    <w:rsid w:val="00857DCA"/>
    <w:rsid w:val="00857DE2"/>
    <w:rsid w:val="00860A1F"/>
    <w:rsid w:val="00860B41"/>
    <w:rsid w:val="008614B2"/>
    <w:rsid w:val="008616F5"/>
    <w:rsid w:val="00862A10"/>
    <w:rsid w:val="00864E79"/>
    <w:rsid w:val="008662EE"/>
    <w:rsid w:val="00866A0D"/>
    <w:rsid w:val="008679BF"/>
    <w:rsid w:val="00870582"/>
    <w:rsid w:val="008710FE"/>
    <w:rsid w:val="008714A7"/>
    <w:rsid w:val="00871F5B"/>
    <w:rsid w:val="00872A32"/>
    <w:rsid w:val="00872B79"/>
    <w:rsid w:val="00873B9C"/>
    <w:rsid w:val="008747F1"/>
    <w:rsid w:val="00874DF7"/>
    <w:rsid w:val="00874F09"/>
    <w:rsid w:val="0087505B"/>
    <w:rsid w:val="00875FC8"/>
    <w:rsid w:val="00876B58"/>
    <w:rsid w:val="00881FC8"/>
    <w:rsid w:val="00882661"/>
    <w:rsid w:val="00882B44"/>
    <w:rsid w:val="00883C8C"/>
    <w:rsid w:val="00884344"/>
    <w:rsid w:val="00884B40"/>
    <w:rsid w:val="0088566F"/>
    <w:rsid w:val="008856F8"/>
    <w:rsid w:val="00886063"/>
    <w:rsid w:val="008868C4"/>
    <w:rsid w:val="008871B0"/>
    <w:rsid w:val="0089014B"/>
    <w:rsid w:val="00890316"/>
    <w:rsid w:val="008908C4"/>
    <w:rsid w:val="00890D50"/>
    <w:rsid w:val="00891AE9"/>
    <w:rsid w:val="0089253D"/>
    <w:rsid w:val="0089289F"/>
    <w:rsid w:val="00894276"/>
    <w:rsid w:val="00894F21"/>
    <w:rsid w:val="00895299"/>
    <w:rsid w:val="00896351"/>
    <w:rsid w:val="00896985"/>
    <w:rsid w:val="00896DB4"/>
    <w:rsid w:val="008A07F7"/>
    <w:rsid w:val="008A0CB2"/>
    <w:rsid w:val="008A0FC9"/>
    <w:rsid w:val="008A21FA"/>
    <w:rsid w:val="008A234C"/>
    <w:rsid w:val="008A2DA3"/>
    <w:rsid w:val="008A40D3"/>
    <w:rsid w:val="008A5699"/>
    <w:rsid w:val="008A675E"/>
    <w:rsid w:val="008A6BCC"/>
    <w:rsid w:val="008B07A3"/>
    <w:rsid w:val="008B1E76"/>
    <w:rsid w:val="008B283F"/>
    <w:rsid w:val="008B2E0A"/>
    <w:rsid w:val="008B2E7C"/>
    <w:rsid w:val="008B3AC4"/>
    <w:rsid w:val="008B3C41"/>
    <w:rsid w:val="008B5F95"/>
    <w:rsid w:val="008B733C"/>
    <w:rsid w:val="008B784D"/>
    <w:rsid w:val="008C0B6B"/>
    <w:rsid w:val="008C13AA"/>
    <w:rsid w:val="008C1DA4"/>
    <w:rsid w:val="008C1DE5"/>
    <w:rsid w:val="008C28CC"/>
    <w:rsid w:val="008C2CD5"/>
    <w:rsid w:val="008C3618"/>
    <w:rsid w:val="008C4771"/>
    <w:rsid w:val="008C731F"/>
    <w:rsid w:val="008D03DC"/>
    <w:rsid w:val="008D04F6"/>
    <w:rsid w:val="008D1C7F"/>
    <w:rsid w:val="008D1E23"/>
    <w:rsid w:val="008D1F4C"/>
    <w:rsid w:val="008D300F"/>
    <w:rsid w:val="008D309E"/>
    <w:rsid w:val="008D3902"/>
    <w:rsid w:val="008D5773"/>
    <w:rsid w:val="008D7155"/>
    <w:rsid w:val="008E0FF9"/>
    <w:rsid w:val="008E27A8"/>
    <w:rsid w:val="008E2896"/>
    <w:rsid w:val="008E298D"/>
    <w:rsid w:val="008E3674"/>
    <w:rsid w:val="008E3825"/>
    <w:rsid w:val="008E3DC5"/>
    <w:rsid w:val="008E461D"/>
    <w:rsid w:val="008E6687"/>
    <w:rsid w:val="008E6757"/>
    <w:rsid w:val="008E6792"/>
    <w:rsid w:val="008E68F4"/>
    <w:rsid w:val="008E6D1D"/>
    <w:rsid w:val="008F0231"/>
    <w:rsid w:val="008F0965"/>
    <w:rsid w:val="008F1177"/>
    <w:rsid w:val="008F2FFA"/>
    <w:rsid w:val="008F5C6A"/>
    <w:rsid w:val="008F69B8"/>
    <w:rsid w:val="008F79E3"/>
    <w:rsid w:val="008F7DFB"/>
    <w:rsid w:val="009017DD"/>
    <w:rsid w:val="009027F2"/>
    <w:rsid w:val="00902EE1"/>
    <w:rsid w:val="009058DE"/>
    <w:rsid w:val="00905D7E"/>
    <w:rsid w:val="00906215"/>
    <w:rsid w:val="00906CBE"/>
    <w:rsid w:val="00912001"/>
    <w:rsid w:val="00913114"/>
    <w:rsid w:val="009134FC"/>
    <w:rsid w:val="00914329"/>
    <w:rsid w:val="00914DDD"/>
    <w:rsid w:val="0091562F"/>
    <w:rsid w:val="009156DA"/>
    <w:rsid w:val="00915DCC"/>
    <w:rsid w:val="00916CE8"/>
    <w:rsid w:val="00917412"/>
    <w:rsid w:val="00920184"/>
    <w:rsid w:val="009207A7"/>
    <w:rsid w:val="00920EA4"/>
    <w:rsid w:val="0092150B"/>
    <w:rsid w:val="00922303"/>
    <w:rsid w:val="009235D6"/>
    <w:rsid w:val="009243C3"/>
    <w:rsid w:val="009266EA"/>
    <w:rsid w:val="00927B37"/>
    <w:rsid w:val="00927C6F"/>
    <w:rsid w:val="00930C8A"/>
    <w:rsid w:val="00931074"/>
    <w:rsid w:val="009336B2"/>
    <w:rsid w:val="00933981"/>
    <w:rsid w:val="00934DD7"/>
    <w:rsid w:val="009353D4"/>
    <w:rsid w:val="00937117"/>
    <w:rsid w:val="00937FC3"/>
    <w:rsid w:val="009400EE"/>
    <w:rsid w:val="009416C2"/>
    <w:rsid w:val="00941B89"/>
    <w:rsid w:val="00942306"/>
    <w:rsid w:val="00942A33"/>
    <w:rsid w:val="00942D76"/>
    <w:rsid w:val="00943223"/>
    <w:rsid w:val="00943FFC"/>
    <w:rsid w:val="00944224"/>
    <w:rsid w:val="00945225"/>
    <w:rsid w:val="009454F3"/>
    <w:rsid w:val="009458B0"/>
    <w:rsid w:val="00947424"/>
    <w:rsid w:val="009478A2"/>
    <w:rsid w:val="00950884"/>
    <w:rsid w:val="00951322"/>
    <w:rsid w:val="00951DBF"/>
    <w:rsid w:val="00952B9F"/>
    <w:rsid w:val="00953276"/>
    <w:rsid w:val="00954EE6"/>
    <w:rsid w:val="00955FBB"/>
    <w:rsid w:val="00956585"/>
    <w:rsid w:val="00956A66"/>
    <w:rsid w:val="00956BD5"/>
    <w:rsid w:val="009577B5"/>
    <w:rsid w:val="0096269B"/>
    <w:rsid w:val="00962A94"/>
    <w:rsid w:val="0096350C"/>
    <w:rsid w:val="0096386D"/>
    <w:rsid w:val="00966253"/>
    <w:rsid w:val="00966522"/>
    <w:rsid w:val="00966582"/>
    <w:rsid w:val="00966892"/>
    <w:rsid w:val="00967329"/>
    <w:rsid w:val="009678A5"/>
    <w:rsid w:val="00970CF2"/>
    <w:rsid w:val="00970FFF"/>
    <w:rsid w:val="0097133F"/>
    <w:rsid w:val="00971CF1"/>
    <w:rsid w:val="00971D4D"/>
    <w:rsid w:val="00973507"/>
    <w:rsid w:val="00975706"/>
    <w:rsid w:val="00975A17"/>
    <w:rsid w:val="009766D2"/>
    <w:rsid w:val="0097723F"/>
    <w:rsid w:val="0097730E"/>
    <w:rsid w:val="00980777"/>
    <w:rsid w:val="009819B7"/>
    <w:rsid w:val="0098280E"/>
    <w:rsid w:val="00983E22"/>
    <w:rsid w:val="0098534E"/>
    <w:rsid w:val="00985C3D"/>
    <w:rsid w:val="00985E71"/>
    <w:rsid w:val="009860F8"/>
    <w:rsid w:val="0098687B"/>
    <w:rsid w:val="00990225"/>
    <w:rsid w:val="00991A4E"/>
    <w:rsid w:val="009934DA"/>
    <w:rsid w:val="0099370A"/>
    <w:rsid w:val="009943FE"/>
    <w:rsid w:val="009948C1"/>
    <w:rsid w:val="009950C0"/>
    <w:rsid w:val="00995D67"/>
    <w:rsid w:val="00997781"/>
    <w:rsid w:val="009A2282"/>
    <w:rsid w:val="009A2482"/>
    <w:rsid w:val="009A2B2E"/>
    <w:rsid w:val="009A303A"/>
    <w:rsid w:val="009A349F"/>
    <w:rsid w:val="009A36AE"/>
    <w:rsid w:val="009A42FF"/>
    <w:rsid w:val="009A53AF"/>
    <w:rsid w:val="009A53B2"/>
    <w:rsid w:val="009A6559"/>
    <w:rsid w:val="009A6C49"/>
    <w:rsid w:val="009A7AFE"/>
    <w:rsid w:val="009B1C2B"/>
    <w:rsid w:val="009B20F5"/>
    <w:rsid w:val="009B21F6"/>
    <w:rsid w:val="009B2B36"/>
    <w:rsid w:val="009B2F9B"/>
    <w:rsid w:val="009B3647"/>
    <w:rsid w:val="009B47F4"/>
    <w:rsid w:val="009B4A6C"/>
    <w:rsid w:val="009B6857"/>
    <w:rsid w:val="009C01A4"/>
    <w:rsid w:val="009C1A29"/>
    <w:rsid w:val="009C1BDF"/>
    <w:rsid w:val="009C21B5"/>
    <w:rsid w:val="009C313F"/>
    <w:rsid w:val="009C36FF"/>
    <w:rsid w:val="009C5233"/>
    <w:rsid w:val="009C5F24"/>
    <w:rsid w:val="009C628A"/>
    <w:rsid w:val="009C6322"/>
    <w:rsid w:val="009C6467"/>
    <w:rsid w:val="009C64A2"/>
    <w:rsid w:val="009C6660"/>
    <w:rsid w:val="009C6CE5"/>
    <w:rsid w:val="009C6D50"/>
    <w:rsid w:val="009C73A0"/>
    <w:rsid w:val="009D0287"/>
    <w:rsid w:val="009D1A6E"/>
    <w:rsid w:val="009D1A82"/>
    <w:rsid w:val="009D2F60"/>
    <w:rsid w:val="009D32CC"/>
    <w:rsid w:val="009D4C27"/>
    <w:rsid w:val="009D526D"/>
    <w:rsid w:val="009D5BFD"/>
    <w:rsid w:val="009D6DD9"/>
    <w:rsid w:val="009D7321"/>
    <w:rsid w:val="009D77B3"/>
    <w:rsid w:val="009E0C5F"/>
    <w:rsid w:val="009E3BDA"/>
    <w:rsid w:val="009E444E"/>
    <w:rsid w:val="009E44DB"/>
    <w:rsid w:val="009E4857"/>
    <w:rsid w:val="009E4CD1"/>
    <w:rsid w:val="009E638D"/>
    <w:rsid w:val="009E693D"/>
    <w:rsid w:val="009E6D05"/>
    <w:rsid w:val="009F0EC4"/>
    <w:rsid w:val="009F1A79"/>
    <w:rsid w:val="009F1A83"/>
    <w:rsid w:val="009F2040"/>
    <w:rsid w:val="009F28E8"/>
    <w:rsid w:val="009F3038"/>
    <w:rsid w:val="009F46EF"/>
    <w:rsid w:val="009F60FD"/>
    <w:rsid w:val="009F628C"/>
    <w:rsid w:val="009F65F4"/>
    <w:rsid w:val="009F676B"/>
    <w:rsid w:val="009F68E8"/>
    <w:rsid w:val="009F69AF"/>
    <w:rsid w:val="009F7A77"/>
    <w:rsid w:val="00A00DDD"/>
    <w:rsid w:val="00A010A1"/>
    <w:rsid w:val="00A014E4"/>
    <w:rsid w:val="00A01B03"/>
    <w:rsid w:val="00A02169"/>
    <w:rsid w:val="00A02C66"/>
    <w:rsid w:val="00A0464C"/>
    <w:rsid w:val="00A04E0A"/>
    <w:rsid w:val="00A054E0"/>
    <w:rsid w:val="00A06ADF"/>
    <w:rsid w:val="00A07937"/>
    <w:rsid w:val="00A10F59"/>
    <w:rsid w:val="00A11042"/>
    <w:rsid w:val="00A116F8"/>
    <w:rsid w:val="00A133D8"/>
    <w:rsid w:val="00A161E0"/>
    <w:rsid w:val="00A16277"/>
    <w:rsid w:val="00A200A6"/>
    <w:rsid w:val="00A216A2"/>
    <w:rsid w:val="00A23527"/>
    <w:rsid w:val="00A25F38"/>
    <w:rsid w:val="00A269F6"/>
    <w:rsid w:val="00A2757A"/>
    <w:rsid w:val="00A27724"/>
    <w:rsid w:val="00A32040"/>
    <w:rsid w:val="00A3244E"/>
    <w:rsid w:val="00A32629"/>
    <w:rsid w:val="00A3316F"/>
    <w:rsid w:val="00A33840"/>
    <w:rsid w:val="00A33D3A"/>
    <w:rsid w:val="00A34620"/>
    <w:rsid w:val="00A3467F"/>
    <w:rsid w:val="00A3470D"/>
    <w:rsid w:val="00A35212"/>
    <w:rsid w:val="00A3532F"/>
    <w:rsid w:val="00A35955"/>
    <w:rsid w:val="00A35C61"/>
    <w:rsid w:val="00A3617D"/>
    <w:rsid w:val="00A3743C"/>
    <w:rsid w:val="00A37F8E"/>
    <w:rsid w:val="00A40E6C"/>
    <w:rsid w:val="00A4177F"/>
    <w:rsid w:val="00A41BD9"/>
    <w:rsid w:val="00A42764"/>
    <w:rsid w:val="00A43237"/>
    <w:rsid w:val="00A44A7A"/>
    <w:rsid w:val="00A46B2C"/>
    <w:rsid w:val="00A46F27"/>
    <w:rsid w:val="00A47ECC"/>
    <w:rsid w:val="00A47FD7"/>
    <w:rsid w:val="00A50171"/>
    <w:rsid w:val="00A5102E"/>
    <w:rsid w:val="00A51513"/>
    <w:rsid w:val="00A51E08"/>
    <w:rsid w:val="00A52282"/>
    <w:rsid w:val="00A542DE"/>
    <w:rsid w:val="00A544DD"/>
    <w:rsid w:val="00A54ABA"/>
    <w:rsid w:val="00A55A32"/>
    <w:rsid w:val="00A575B8"/>
    <w:rsid w:val="00A576C8"/>
    <w:rsid w:val="00A622B5"/>
    <w:rsid w:val="00A62774"/>
    <w:rsid w:val="00A627CC"/>
    <w:rsid w:val="00A6451C"/>
    <w:rsid w:val="00A647B1"/>
    <w:rsid w:val="00A6499A"/>
    <w:rsid w:val="00A6606B"/>
    <w:rsid w:val="00A66090"/>
    <w:rsid w:val="00A70216"/>
    <w:rsid w:val="00A71008"/>
    <w:rsid w:val="00A72BC3"/>
    <w:rsid w:val="00A736F5"/>
    <w:rsid w:val="00A739A6"/>
    <w:rsid w:val="00A743B3"/>
    <w:rsid w:val="00A75856"/>
    <w:rsid w:val="00A75FE0"/>
    <w:rsid w:val="00A772BC"/>
    <w:rsid w:val="00A81778"/>
    <w:rsid w:val="00A823D2"/>
    <w:rsid w:val="00A82F56"/>
    <w:rsid w:val="00A82FE9"/>
    <w:rsid w:val="00A831DF"/>
    <w:rsid w:val="00A831F5"/>
    <w:rsid w:val="00A8397A"/>
    <w:rsid w:val="00A8558A"/>
    <w:rsid w:val="00A85942"/>
    <w:rsid w:val="00A90F5E"/>
    <w:rsid w:val="00A910AD"/>
    <w:rsid w:val="00A9117A"/>
    <w:rsid w:val="00A92155"/>
    <w:rsid w:val="00A9246D"/>
    <w:rsid w:val="00A93CE8"/>
    <w:rsid w:val="00A9518B"/>
    <w:rsid w:val="00A97832"/>
    <w:rsid w:val="00AA1A10"/>
    <w:rsid w:val="00AA2886"/>
    <w:rsid w:val="00AA2B5C"/>
    <w:rsid w:val="00AA2F64"/>
    <w:rsid w:val="00AA313A"/>
    <w:rsid w:val="00AA577F"/>
    <w:rsid w:val="00AA5C0A"/>
    <w:rsid w:val="00AA5E86"/>
    <w:rsid w:val="00AA5F9E"/>
    <w:rsid w:val="00AA6328"/>
    <w:rsid w:val="00AA6783"/>
    <w:rsid w:val="00AA73DA"/>
    <w:rsid w:val="00AA7598"/>
    <w:rsid w:val="00AB010E"/>
    <w:rsid w:val="00AB03FD"/>
    <w:rsid w:val="00AB0880"/>
    <w:rsid w:val="00AB1375"/>
    <w:rsid w:val="00AB270B"/>
    <w:rsid w:val="00AB38CB"/>
    <w:rsid w:val="00AB415B"/>
    <w:rsid w:val="00AB423F"/>
    <w:rsid w:val="00AB524D"/>
    <w:rsid w:val="00AB577E"/>
    <w:rsid w:val="00AB67EB"/>
    <w:rsid w:val="00AB6EE0"/>
    <w:rsid w:val="00AB723B"/>
    <w:rsid w:val="00AC0213"/>
    <w:rsid w:val="00AC2884"/>
    <w:rsid w:val="00AC4725"/>
    <w:rsid w:val="00AC5828"/>
    <w:rsid w:val="00AC5D6C"/>
    <w:rsid w:val="00AC5F41"/>
    <w:rsid w:val="00AC6060"/>
    <w:rsid w:val="00AC6DA3"/>
    <w:rsid w:val="00AC71B8"/>
    <w:rsid w:val="00AC7C30"/>
    <w:rsid w:val="00AD2498"/>
    <w:rsid w:val="00AD4467"/>
    <w:rsid w:val="00AD5E99"/>
    <w:rsid w:val="00AD6206"/>
    <w:rsid w:val="00AD6372"/>
    <w:rsid w:val="00AD7666"/>
    <w:rsid w:val="00AE123A"/>
    <w:rsid w:val="00AE17E5"/>
    <w:rsid w:val="00AE2987"/>
    <w:rsid w:val="00AE2BBF"/>
    <w:rsid w:val="00AE2C81"/>
    <w:rsid w:val="00AE33A6"/>
    <w:rsid w:val="00AE3B97"/>
    <w:rsid w:val="00AE6817"/>
    <w:rsid w:val="00AE75C0"/>
    <w:rsid w:val="00AF2241"/>
    <w:rsid w:val="00AF252D"/>
    <w:rsid w:val="00AF3ADA"/>
    <w:rsid w:val="00AF45DB"/>
    <w:rsid w:val="00AF478C"/>
    <w:rsid w:val="00AF5BFB"/>
    <w:rsid w:val="00AF68FF"/>
    <w:rsid w:val="00AF78B9"/>
    <w:rsid w:val="00AF7941"/>
    <w:rsid w:val="00B00021"/>
    <w:rsid w:val="00B00D2B"/>
    <w:rsid w:val="00B012FD"/>
    <w:rsid w:val="00B02365"/>
    <w:rsid w:val="00B02C1E"/>
    <w:rsid w:val="00B02F60"/>
    <w:rsid w:val="00B037A4"/>
    <w:rsid w:val="00B03CAF"/>
    <w:rsid w:val="00B0440E"/>
    <w:rsid w:val="00B053D5"/>
    <w:rsid w:val="00B05BE8"/>
    <w:rsid w:val="00B07367"/>
    <w:rsid w:val="00B073FE"/>
    <w:rsid w:val="00B10050"/>
    <w:rsid w:val="00B10F5A"/>
    <w:rsid w:val="00B115E6"/>
    <w:rsid w:val="00B129EA"/>
    <w:rsid w:val="00B1364A"/>
    <w:rsid w:val="00B14BE6"/>
    <w:rsid w:val="00B17220"/>
    <w:rsid w:val="00B201E3"/>
    <w:rsid w:val="00B2063F"/>
    <w:rsid w:val="00B20BA1"/>
    <w:rsid w:val="00B20F18"/>
    <w:rsid w:val="00B21849"/>
    <w:rsid w:val="00B21D2A"/>
    <w:rsid w:val="00B22460"/>
    <w:rsid w:val="00B228E3"/>
    <w:rsid w:val="00B23137"/>
    <w:rsid w:val="00B23239"/>
    <w:rsid w:val="00B2326B"/>
    <w:rsid w:val="00B23738"/>
    <w:rsid w:val="00B2468C"/>
    <w:rsid w:val="00B259AA"/>
    <w:rsid w:val="00B25EE6"/>
    <w:rsid w:val="00B27626"/>
    <w:rsid w:val="00B27B7B"/>
    <w:rsid w:val="00B27CF7"/>
    <w:rsid w:val="00B30D8A"/>
    <w:rsid w:val="00B315C0"/>
    <w:rsid w:val="00B318C1"/>
    <w:rsid w:val="00B32BED"/>
    <w:rsid w:val="00B341EF"/>
    <w:rsid w:val="00B377BF"/>
    <w:rsid w:val="00B40DFA"/>
    <w:rsid w:val="00B418A9"/>
    <w:rsid w:val="00B43879"/>
    <w:rsid w:val="00B43AB8"/>
    <w:rsid w:val="00B43D45"/>
    <w:rsid w:val="00B44779"/>
    <w:rsid w:val="00B44B64"/>
    <w:rsid w:val="00B45EE9"/>
    <w:rsid w:val="00B4698D"/>
    <w:rsid w:val="00B47830"/>
    <w:rsid w:val="00B47CB5"/>
    <w:rsid w:val="00B50234"/>
    <w:rsid w:val="00B50C8D"/>
    <w:rsid w:val="00B50CA4"/>
    <w:rsid w:val="00B51EE3"/>
    <w:rsid w:val="00B52827"/>
    <w:rsid w:val="00B52C68"/>
    <w:rsid w:val="00B5462E"/>
    <w:rsid w:val="00B54BCA"/>
    <w:rsid w:val="00B55144"/>
    <w:rsid w:val="00B561DB"/>
    <w:rsid w:val="00B56F25"/>
    <w:rsid w:val="00B571DD"/>
    <w:rsid w:val="00B6030E"/>
    <w:rsid w:val="00B62789"/>
    <w:rsid w:val="00B62CED"/>
    <w:rsid w:val="00B63EE6"/>
    <w:rsid w:val="00B64518"/>
    <w:rsid w:val="00B64F9C"/>
    <w:rsid w:val="00B66577"/>
    <w:rsid w:val="00B66FE5"/>
    <w:rsid w:val="00B67730"/>
    <w:rsid w:val="00B677E3"/>
    <w:rsid w:val="00B70AE9"/>
    <w:rsid w:val="00B71051"/>
    <w:rsid w:val="00B7139C"/>
    <w:rsid w:val="00B73BA1"/>
    <w:rsid w:val="00B7424A"/>
    <w:rsid w:val="00B7562B"/>
    <w:rsid w:val="00B76D1D"/>
    <w:rsid w:val="00B76EAC"/>
    <w:rsid w:val="00B76EB1"/>
    <w:rsid w:val="00B7768F"/>
    <w:rsid w:val="00B8011E"/>
    <w:rsid w:val="00B80270"/>
    <w:rsid w:val="00B83323"/>
    <w:rsid w:val="00B9073B"/>
    <w:rsid w:val="00B913E4"/>
    <w:rsid w:val="00B9166C"/>
    <w:rsid w:val="00B92777"/>
    <w:rsid w:val="00B934C6"/>
    <w:rsid w:val="00B93894"/>
    <w:rsid w:val="00B94D1F"/>
    <w:rsid w:val="00B95FEF"/>
    <w:rsid w:val="00B96CD3"/>
    <w:rsid w:val="00BA1220"/>
    <w:rsid w:val="00BA1440"/>
    <w:rsid w:val="00BA21C8"/>
    <w:rsid w:val="00BA4358"/>
    <w:rsid w:val="00BA478B"/>
    <w:rsid w:val="00BA4EB2"/>
    <w:rsid w:val="00BA51C2"/>
    <w:rsid w:val="00BB0B03"/>
    <w:rsid w:val="00BB1827"/>
    <w:rsid w:val="00BB2095"/>
    <w:rsid w:val="00BB26D0"/>
    <w:rsid w:val="00BB26E4"/>
    <w:rsid w:val="00BB41E5"/>
    <w:rsid w:val="00BB5B2A"/>
    <w:rsid w:val="00BB6EFC"/>
    <w:rsid w:val="00BB7058"/>
    <w:rsid w:val="00BB7742"/>
    <w:rsid w:val="00BB7A28"/>
    <w:rsid w:val="00BC197A"/>
    <w:rsid w:val="00BC2612"/>
    <w:rsid w:val="00BC26E2"/>
    <w:rsid w:val="00BC47FE"/>
    <w:rsid w:val="00BC498B"/>
    <w:rsid w:val="00BC4C35"/>
    <w:rsid w:val="00BC5C68"/>
    <w:rsid w:val="00BC64CA"/>
    <w:rsid w:val="00BC6E73"/>
    <w:rsid w:val="00BC7C8F"/>
    <w:rsid w:val="00BD5134"/>
    <w:rsid w:val="00BD6EF9"/>
    <w:rsid w:val="00BD78BE"/>
    <w:rsid w:val="00BD7B85"/>
    <w:rsid w:val="00BD7BB2"/>
    <w:rsid w:val="00BE1CD8"/>
    <w:rsid w:val="00BE2457"/>
    <w:rsid w:val="00BE2912"/>
    <w:rsid w:val="00BE4230"/>
    <w:rsid w:val="00BE51CA"/>
    <w:rsid w:val="00BF049C"/>
    <w:rsid w:val="00BF1945"/>
    <w:rsid w:val="00BF33B3"/>
    <w:rsid w:val="00BF36F6"/>
    <w:rsid w:val="00BF3EE5"/>
    <w:rsid w:val="00BF4342"/>
    <w:rsid w:val="00BF4A3A"/>
    <w:rsid w:val="00BF4F21"/>
    <w:rsid w:val="00BF5DEF"/>
    <w:rsid w:val="00BF66A6"/>
    <w:rsid w:val="00BF6CE4"/>
    <w:rsid w:val="00BF6EB9"/>
    <w:rsid w:val="00BF746D"/>
    <w:rsid w:val="00C011B8"/>
    <w:rsid w:val="00C012F6"/>
    <w:rsid w:val="00C014E0"/>
    <w:rsid w:val="00C017FE"/>
    <w:rsid w:val="00C03581"/>
    <w:rsid w:val="00C0414A"/>
    <w:rsid w:val="00C04210"/>
    <w:rsid w:val="00C04FE7"/>
    <w:rsid w:val="00C0530C"/>
    <w:rsid w:val="00C058AF"/>
    <w:rsid w:val="00C058C4"/>
    <w:rsid w:val="00C069EA"/>
    <w:rsid w:val="00C07A1F"/>
    <w:rsid w:val="00C111AC"/>
    <w:rsid w:val="00C126BE"/>
    <w:rsid w:val="00C128AE"/>
    <w:rsid w:val="00C12E84"/>
    <w:rsid w:val="00C13739"/>
    <w:rsid w:val="00C1373D"/>
    <w:rsid w:val="00C14060"/>
    <w:rsid w:val="00C144D9"/>
    <w:rsid w:val="00C14B0A"/>
    <w:rsid w:val="00C14FA0"/>
    <w:rsid w:val="00C170C3"/>
    <w:rsid w:val="00C20F27"/>
    <w:rsid w:val="00C212A8"/>
    <w:rsid w:val="00C2257F"/>
    <w:rsid w:val="00C22B0D"/>
    <w:rsid w:val="00C22E73"/>
    <w:rsid w:val="00C2518C"/>
    <w:rsid w:val="00C253CD"/>
    <w:rsid w:val="00C2604E"/>
    <w:rsid w:val="00C269D2"/>
    <w:rsid w:val="00C26CE9"/>
    <w:rsid w:val="00C30042"/>
    <w:rsid w:val="00C310A4"/>
    <w:rsid w:val="00C327EB"/>
    <w:rsid w:val="00C35B31"/>
    <w:rsid w:val="00C360B3"/>
    <w:rsid w:val="00C36AD3"/>
    <w:rsid w:val="00C37027"/>
    <w:rsid w:val="00C40207"/>
    <w:rsid w:val="00C40431"/>
    <w:rsid w:val="00C40715"/>
    <w:rsid w:val="00C40D83"/>
    <w:rsid w:val="00C40F25"/>
    <w:rsid w:val="00C42A8C"/>
    <w:rsid w:val="00C42E56"/>
    <w:rsid w:val="00C45741"/>
    <w:rsid w:val="00C46217"/>
    <w:rsid w:val="00C4698D"/>
    <w:rsid w:val="00C50457"/>
    <w:rsid w:val="00C50C1C"/>
    <w:rsid w:val="00C51111"/>
    <w:rsid w:val="00C51178"/>
    <w:rsid w:val="00C516F1"/>
    <w:rsid w:val="00C5211B"/>
    <w:rsid w:val="00C52479"/>
    <w:rsid w:val="00C52C59"/>
    <w:rsid w:val="00C5383F"/>
    <w:rsid w:val="00C54452"/>
    <w:rsid w:val="00C54D3D"/>
    <w:rsid w:val="00C5689A"/>
    <w:rsid w:val="00C60148"/>
    <w:rsid w:val="00C61CFF"/>
    <w:rsid w:val="00C61D7E"/>
    <w:rsid w:val="00C642D3"/>
    <w:rsid w:val="00C64338"/>
    <w:rsid w:val="00C6490C"/>
    <w:rsid w:val="00C64FE7"/>
    <w:rsid w:val="00C65AED"/>
    <w:rsid w:val="00C66B51"/>
    <w:rsid w:val="00C7042F"/>
    <w:rsid w:val="00C71433"/>
    <w:rsid w:val="00C716A0"/>
    <w:rsid w:val="00C72567"/>
    <w:rsid w:val="00C73100"/>
    <w:rsid w:val="00C74ADB"/>
    <w:rsid w:val="00C767B2"/>
    <w:rsid w:val="00C8063F"/>
    <w:rsid w:val="00C81EC5"/>
    <w:rsid w:val="00C82089"/>
    <w:rsid w:val="00C828DB"/>
    <w:rsid w:val="00C82A71"/>
    <w:rsid w:val="00C82EA6"/>
    <w:rsid w:val="00C84215"/>
    <w:rsid w:val="00C86F8C"/>
    <w:rsid w:val="00C87879"/>
    <w:rsid w:val="00C87CFD"/>
    <w:rsid w:val="00C91764"/>
    <w:rsid w:val="00C93BDB"/>
    <w:rsid w:val="00C93DBA"/>
    <w:rsid w:val="00C9431C"/>
    <w:rsid w:val="00C94CE2"/>
    <w:rsid w:val="00C94FF0"/>
    <w:rsid w:val="00C95A89"/>
    <w:rsid w:val="00C975C2"/>
    <w:rsid w:val="00CA05D3"/>
    <w:rsid w:val="00CA224C"/>
    <w:rsid w:val="00CA25C0"/>
    <w:rsid w:val="00CA28B6"/>
    <w:rsid w:val="00CA33B4"/>
    <w:rsid w:val="00CA4891"/>
    <w:rsid w:val="00CA4948"/>
    <w:rsid w:val="00CA4F8D"/>
    <w:rsid w:val="00CA513D"/>
    <w:rsid w:val="00CA5D39"/>
    <w:rsid w:val="00CA5DC8"/>
    <w:rsid w:val="00CA6441"/>
    <w:rsid w:val="00CA6AF7"/>
    <w:rsid w:val="00CA732A"/>
    <w:rsid w:val="00CA7853"/>
    <w:rsid w:val="00CA7977"/>
    <w:rsid w:val="00CB0A9D"/>
    <w:rsid w:val="00CB21CD"/>
    <w:rsid w:val="00CB2286"/>
    <w:rsid w:val="00CB2706"/>
    <w:rsid w:val="00CB304C"/>
    <w:rsid w:val="00CB376E"/>
    <w:rsid w:val="00CB4F92"/>
    <w:rsid w:val="00CB5CB2"/>
    <w:rsid w:val="00CB7989"/>
    <w:rsid w:val="00CC06FF"/>
    <w:rsid w:val="00CC0AF7"/>
    <w:rsid w:val="00CC1A6F"/>
    <w:rsid w:val="00CC1BA0"/>
    <w:rsid w:val="00CC2606"/>
    <w:rsid w:val="00CC2837"/>
    <w:rsid w:val="00CC2A85"/>
    <w:rsid w:val="00CC3F91"/>
    <w:rsid w:val="00CC438F"/>
    <w:rsid w:val="00CC4A76"/>
    <w:rsid w:val="00CC51F3"/>
    <w:rsid w:val="00CC544A"/>
    <w:rsid w:val="00CC57EA"/>
    <w:rsid w:val="00CC6097"/>
    <w:rsid w:val="00CC6612"/>
    <w:rsid w:val="00CC675A"/>
    <w:rsid w:val="00CC6992"/>
    <w:rsid w:val="00CC6E07"/>
    <w:rsid w:val="00CC79D7"/>
    <w:rsid w:val="00CC7C70"/>
    <w:rsid w:val="00CC7E8C"/>
    <w:rsid w:val="00CD05A0"/>
    <w:rsid w:val="00CD06B6"/>
    <w:rsid w:val="00CD0E42"/>
    <w:rsid w:val="00CD1826"/>
    <w:rsid w:val="00CD1994"/>
    <w:rsid w:val="00CD33CB"/>
    <w:rsid w:val="00CD3893"/>
    <w:rsid w:val="00CD3C39"/>
    <w:rsid w:val="00CD420C"/>
    <w:rsid w:val="00CD437E"/>
    <w:rsid w:val="00CD4989"/>
    <w:rsid w:val="00CD4C1D"/>
    <w:rsid w:val="00CD52EA"/>
    <w:rsid w:val="00CD54B4"/>
    <w:rsid w:val="00CD590C"/>
    <w:rsid w:val="00CD5C56"/>
    <w:rsid w:val="00CD5DAD"/>
    <w:rsid w:val="00CD6386"/>
    <w:rsid w:val="00CD67A8"/>
    <w:rsid w:val="00CD6D74"/>
    <w:rsid w:val="00CD7CE2"/>
    <w:rsid w:val="00CE0103"/>
    <w:rsid w:val="00CE0789"/>
    <w:rsid w:val="00CE0A10"/>
    <w:rsid w:val="00CE1A03"/>
    <w:rsid w:val="00CE2057"/>
    <w:rsid w:val="00CE29F4"/>
    <w:rsid w:val="00CE2FBC"/>
    <w:rsid w:val="00CE34DF"/>
    <w:rsid w:val="00CE3962"/>
    <w:rsid w:val="00CE44F3"/>
    <w:rsid w:val="00CE56BD"/>
    <w:rsid w:val="00CE64BD"/>
    <w:rsid w:val="00CE7B86"/>
    <w:rsid w:val="00CE7E45"/>
    <w:rsid w:val="00CF1442"/>
    <w:rsid w:val="00CF2BE2"/>
    <w:rsid w:val="00CF2C0E"/>
    <w:rsid w:val="00CF3DA7"/>
    <w:rsid w:val="00CF531A"/>
    <w:rsid w:val="00CF6353"/>
    <w:rsid w:val="00CF64D3"/>
    <w:rsid w:val="00CF6A0B"/>
    <w:rsid w:val="00D01C39"/>
    <w:rsid w:val="00D01CF9"/>
    <w:rsid w:val="00D02667"/>
    <w:rsid w:val="00D02F9F"/>
    <w:rsid w:val="00D0334D"/>
    <w:rsid w:val="00D04993"/>
    <w:rsid w:val="00D0503C"/>
    <w:rsid w:val="00D05839"/>
    <w:rsid w:val="00D06542"/>
    <w:rsid w:val="00D06C72"/>
    <w:rsid w:val="00D075A8"/>
    <w:rsid w:val="00D07A40"/>
    <w:rsid w:val="00D111A0"/>
    <w:rsid w:val="00D11B3B"/>
    <w:rsid w:val="00D1213D"/>
    <w:rsid w:val="00D12587"/>
    <w:rsid w:val="00D13BE9"/>
    <w:rsid w:val="00D1491A"/>
    <w:rsid w:val="00D151A6"/>
    <w:rsid w:val="00D15597"/>
    <w:rsid w:val="00D15921"/>
    <w:rsid w:val="00D162E7"/>
    <w:rsid w:val="00D16DA8"/>
    <w:rsid w:val="00D17019"/>
    <w:rsid w:val="00D200BA"/>
    <w:rsid w:val="00D202D8"/>
    <w:rsid w:val="00D2060C"/>
    <w:rsid w:val="00D21168"/>
    <w:rsid w:val="00D219C8"/>
    <w:rsid w:val="00D220C6"/>
    <w:rsid w:val="00D2410C"/>
    <w:rsid w:val="00D2438C"/>
    <w:rsid w:val="00D26CED"/>
    <w:rsid w:val="00D27185"/>
    <w:rsid w:val="00D304AF"/>
    <w:rsid w:val="00D31CB7"/>
    <w:rsid w:val="00D329EC"/>
    <w:rsid w:val="00D33457"/>
    <w:rsid w:val="00D33767"/>
    <w:rsid w:val="00D33A55"/>
    <w:rsid w:val="00D33AB3"/>
    <w:rsid w:val="00D33B7A"/>
    <w:rsid w:val="00D35731"/>
    <w:rsid w:val="00D36F26"/>
    <w:rsid w:val="00D371E5"/>
    <w:rsid w:val="00D4072D"/>
    <w:rsid w:val="00D40748"/>
    <w:rsid w:val="00D411F1"/>
    <w:rsid w:val="00D44613"/>
    <w:rsid w:val="00D44AC5"/>
    <w:rsid w:val="00D44C4B"/>
    <w:rsid w:val="00D468B8"/>
    <w:rsid w:val="00D4693F"/>
    <w:rsid w:val="00D46A06"/>
    <w:rsid w:val="00D471AF"/>
    <w:rsid w:val="00D50492"/>
    <w:rsid w:val="00D50519"/>
    <w:rsid w:val="00D516AF"/>
    <w:rsid w:val="00D51C00"/>
    <w:rsid w:val="00D51CF6"/>
    <w:rsid w:val="00D52541"/>
    <w:rsid w:val="00D52721"/>
    <w:rsid w:val="00D5399E"/>
    <w:rsid w:val="00D54036"/>
    <w:rsid w:val="00D545CC"/>
    <w:rsid w:val="00D55951"/>
    <w:rsid w:val="00D55A17"/>
    <w:rsid w:val="00D55BDF"/>
    <w:rsid w:val="00D55C52"/>
    <w:rsid w:val="00D56824"/>
    <w:rsid w:val="00D627CF"/>
    <w:rsid w:val="00D640F6"/>
    <w:rsid w:val="00D64204"/>
    <w:rsid w:val="00D65393"/>
    <w:rsid w:val="00D654CC"/>
    <w:rsid w:val="00D66D8B"/>
    <w:rsid w:val="00D675ED"/>
    <w:rsid w:val="00D70F1B"/>
    <w:rsid w:val="00D71786"/>
    <w:rsid w:val="00D733F1"/>
    <w:rsid w:val="00D739FB"/>
    <w:rsid w:val="00D73A9A"/>
    <w:rsid w:val="00D73C2C"/>
    <w:rsid w:val="00D75A34"/>
    <w:rsid w:val="00D760B4"/>
    <w:rsid w:val="00D76575"/>
    <w:rsid w:val="00D778FE"/>
    <w:rsid w:val="00D80DF3"/>
    <w:rsid w:val="00D80F54"/>
    <w:rsid w:val="00D81182"/>
    <w:rsid w:val="00D81300"/>
    <w:rsid w:val="00D81FE9"/>
    <w:rsid w:val="00D8259F"/>
    <w:rsid w:val="00D825D6"/>
    <w:rsid w:val="00D84D0E"/>
    <w:rsid w:val="00D84F27"/>
    <w:rsid w:val="00D85B8E"/>
    <w:rsid w:val="00D86562"/>
    <w:rsid w:val="00D86B4C"/>
    <w:rsid w:val="00D86D48"/>
    <w:rsid w:val="00D86FB2"/>
    <w:rsid w:val="00D903FC"/>
    <w:rsid w:val="00D90706"/>
    <w:rsid w:val="00D90BCF"/>
    <w:rsid w:val="00D91E17"/>
    <w:rsid w:val="00D92976"/>
    <w:rsid w:val="00D9436A"/>
    <w:rsid w:val="00D95797"/>
    <w:rsid w:val="00D9673F"/>
    <w:rsid w:val="00D96A67"/>
    <w:rsid w:val="00D97A4C"/>
    <w:rsid w:val="00D97CE8"/>
    <w:rsid w:val="00D97E09"/>
    <w:rsid w:val="00D97F4E"/>
    <w:rsid w:val="00DA09DB"/>
    <w:rsid w:val="00DA0D4D"/>
    <w:rsid w:val="00DA153A"/>
    <w:rsid w:val="00DA240D"/>
    <w:rsid w:val="00DA2765"/>
    <w:rsid w:val="00DA3089"/>
    <w:rsid w:val="00DA3762"/>
    <w:rsid w:val="00DA3932"/>
    <w:rsid w:val="00DA4B3A"/>
    <w:rsid w:val="00DA5285"/>
    <w:rsid w:val="00DA7027"/>
    <w:rsid w:val="00DB2FA5"/>
    <w:rsid w:val="00DB32EA"/>
    <w:rsid w:val="00DB4224"/>
    <w:rsid w:val="00DB432C"/>
    <w:rsid w:val="00DB52CF"/>
    <w:rsid w:val="00DB6DA3"/>
    <w:rsid w:val="00DB751E"/>
    <w:rsid w:val="00DB794A"/>
    <w:rsid w:val="00DC0BB7"/>
    <w:rsid w:val="00DC3BA9"/>
    <w:rsid w:val="00DC67B1"/>
    <w:rsid w:val="00DC6EBB"/>
    <w:rsid w:val="00DD1DD8"/>
    <w:rsid w:val="00DD2203"/>
    <w:rsid w:val="00DD2253"/>
    <w:rsid w:val="00DD276E"/>
    <w:rsid w:val="00DD3AE4"/>
    <w:rsid w:val="00DD4C5E"/>
    <w:rsid w:val="00DD58BE"/>
    <w:rsid w:val="00DD66A0"/>
    <w:rsid w:val="00DE0097"/>
    <w:rsid w:val="00DE01DE"/>
    <w:rsid w:val="00DE0361"/>
    <w:rsid w:val="00DE1BF5"/>
    <w:rsid w:val="00DE20AD"/>
    <w:rsid w:val="00DE2C05"/>
    <w:rsid w:val="00DE3F95"/>
    <w:rsid w:val="00DE49F1"/>
    <w:rsid w:val="00DE79B0"/>
    <w:rsid w:val="00DE7A29"/>
    <w:rsid w:val="00DF0403"/>
    <w:rsid w:val="00DF0452"/>
    <w:rsid w:val="00DF0EFC"/>
    <w:rsid w:val="00DF11BD"/>
    <w:rsid w:val="00DF1299"/>
    <w:rsid w:val="00DF1ADD"/>
    <w:rsid w:val="00DF21DA"/>
    <w:rsid w:val="00DF22C1"/>
    <w:rsid w:val="00DF23A8"/>
    <w:rsid w:val="00DF343D"/>
    <w:rsid w:val="00DF3AE2"/>
    <w:rsid w:val="00DF47F4"/>
    <w:rsid w:val="00DF54B4"/>
    <w:rsid w:val="00DF6CCC"/>
    <w:rsid w:val="00DF6F64"/>
    <w:rsid w:val="00DF721A"/>
    <w:rsid w:val="00DF721E"/>
    <w:rsid w:val="00DF73E1"/>
    <w:rsid w:val="00DF7B22"/>
    <w:rsid w:val="00E026C5"/>
    <w:rsid w:val="00E02E63"/>
    <w:rsid w:val="00E0311A"/>
    <w:rsid w:val="00E03628"/>
    <w:rsid w:val="00E0366A"/>
    <w:rsid w:val="00E04A10"/>
    <w:rsid w:val="00E0570B"/>
    <w:rsid w:val="00E05B85"/>
    <w:rsid w:val="00E05F53"/>
    <w:rsid w:val="00E0648E"/>
    <w:rsid w:val="00E06C0A"/>
    <w:rsid w:val="00E07669"/>
    <w:rsid w:val="00E078C6"/>
    <w:rsid w:val="00E1039E"/>
    <w:rsid w:val="00E10468"/>
    <w:rsid w:val="00E10DBA"/>
    <w:rsid w:val="00E11AAD"/>
    <w:rsid w:val="00E12731"/>
    <w:rsid w:val="00E1335F"/>
    <w:rsid w:val="00E14C11"/>
    <w:rsid w:val="00E151FC"/>
    <w:rsid w:val="00E15FD4"/>
    <w:rsid w:val="00E17AB0"/>
    <w:rsid w:val="00E219CE"/>
    <w:rsid w:val="00E21D4C"/>
    <w:rsid w:val="00E2227D"/>
    <w:rsid w:val="00E22292"/>
    <w:rsid w:val="00E2273F"/>
    <w:rsid w:val="00E22D8F"/>
    <w:rsid w:val="00E231E4"/>
    <w:rsid w:val="00E239F4"/>
    <w:rsid w:val="00E24CC4"/>
    <w:rsid w:val="00E24EBC"/>
    <w:rsid w:val="00E25047"/>
    <w:rsid w:val="00E2522C"/>
    <w:rsid w:val="00E25723"/>
    <w:rsid w:val="00E2584E"/>
    <w:rsid w:val="00E25F31"/>
    <w:rsid w:val="00E26194"/>
    <w:rsid w:val="00E27CB7"/>
    <w:rsid w:val="00E32008"/>
    <w:rsid w:val="00E32F09"/>
    <w:rsid w:val="00E3408B"/>
    <w:rsid w:val="00E349E9"/>
    <w:rsid w:val="00E34A97"/>
    <w:rsid w:val="00E35EA1"/>
    <w:rsid w:val="00E374DB"/>
    <w:rsid w:val="00E37E55"/>
    <w:rsid w:val="00E40AC4"/>
    <w:rsid w:val="00E41D36"/>
    <w:rsid w:val="00E425E0"/>
    <w:rsid w:val="00E43D6A"/>
    <w:rsid w:val="00E44C65"/>
    <w:rsid w:val="00E450A8"/>
    <w:rsid w:val="00E45E4D"/>
    <w:rsid w:val="00E46454"/>
    <w:rsid w:val="00E47A5D"/>
    <w:rsid w:val="00E47BFC"/>
    <w:rsid w:val="00E47EC7"/>
    <w:rsid w:val="00E51B8B"/>
    <w:rsid w:val="00E53730"/>
    <w:rsid w:val="00E5409A"/>
    <w:rsid w:val="00E54511"/>
    <w:rsid w:val="00E55ADC"/>
    <w:rsid w:val="00E5681F"/>
    <w:rsid w:val="00E56F17"/>
    <w:rsid w:val="00E5702A"/>
    <w:rsid w:val="00E57577"/>
    <w:rsid w:val="00E617A8"/>
    <w:rsid w:val="00E62B42"/>
    <w:rsid w:val="00E63AAE"/>
    <w:rsid w:val="00E65C50"/>
    <w:rsid w:val="00E6614C"/>
    <w:rsid w:val="00E66FA5"/>
    <w:rsid w:val="00E67499"/>
    <w:rsid w:val="00E72830"/>
    <w:rsid w:val="00E745C3"/>
    <w:rsid w:val="00E749E8"/>
    <w:rsid w:val="00E7555D"/>
    <w:rsid w:val="00E755CD"/>
    <w:rsid w:val="00E75DCF"/>
    <w:rsid w:val="00E7713B"/>
    <w:rsid w:val="00E8051B"/>
    <w:rsid w:val="00E8251E"/>
    <w:rsid w:val="00E8291B"/>
    <w:rsid w:val="00E82B03"/>
    <w:rsid w:val="00E82CDE"/>
    <w:rsid w:val="00E82F6E"/>
    <w:rsid w:val="00E84F34"/>
    <w:rsid w:val="00E855F7"/>
    <w:rsid w:val="00E862B5"/>
    <w:rsid w:val="00E86CCF"/>
    <w:rsid w:val="00E871A3"/>
    <w:rsid w:val="00E90C87"/>
    <w:rsid w:val="00E91044"/>
    <w:rsid w:val="00E910D3"/>
    <w:rsid w:val="00E91575"/>
    <w:rsid w:val="00E919BD"/>
    <w:rsid w:val="00E9269E"/>
    <w:rsid w:val="00E93154"/>
    <w:rsid w:val="00E93CB2"/>
    <w:rsid w:val="00E94B65"/>
    <w:rsid w:val="00E96D8A"/>
    <w:rsid w:val="00E9734C"/>
    <w:rsid w:val="00EA021F"/>
    <w:rsid w:val="00EA02D1"/>
    <w:rsid w:val="00EA0D79"/>
    <w:rsid w:val="00EA2F36"/>
    <w:rsid w:val="00EA5AE7"/>
    <w:rsid w:val="00EA667C"/>
    <w:rsid w:val="00EA6E4E"/>
    <w:rsid w:val="00EA70C8"/>
    <w:rsid w:val="00EB05D0"/>
    <w:rsid w:val="00EB062B"/>
    <w:rsid w:val="00EB1B6D"/>
    <w:rsid w:val="00EB1D49"/>
    <w:rsid w:val="00EB204B"/>
    <w:rsid w:val="00EB3609"/>
    <w:rsid w:val="00EB6A4F"/>
    <w:rsid w:val="00EB7680"/>
    <w:rsid w:val="00EB7AE9"/>
    <w:rsid w:val="00EB7B78"/>
    <w:rsid w:val="00EC03B1"/>
    <w:rsid w:val="00EC15B9"/>
    <w:rsid w:val="00EC1D17"/>
    <w:rsid w:val="00EC2584"/>
    <w:rsid w:val="00EC2A2B"/>
    <w:rsid w:val="00EC3570"/>
    <w:rsid w:val="00EC39EC"/>
    <w:rsid w:val="00EC5643"/>
    <w:rsid w:val="00EC7024"/>
    <w:rsid w:val="00EC714F"/>
    <w:rsid w:val="00EC7175"/>
    <w:rsid w:val="00ED127E"/>
    <w:rsid w:val="00ED1323"/>
    <w:rsid w:val="00ED3525"/>
    <w:rsid w:val="00ED3E2A"/>
    <w:rsid w:val="00ED657F"/>
    <w:rsid w:val="00ED6758"/>
    <w:rsid w:val="00ED6C2B"/>
    <w:rsid w:val="00ED735E"/>
    <w:rsid w:val="00EE0F3D"/>
    <w:rsid w:val="00EE1BD5"/>
    <w:rsid w:val="00EE1C92"/>
    <w:rsid w:val="00EE22CC"/>
    <w:rsid w:val="00EE2800"/>
    <w:rsid w:val="00EE375E"/>
    <w:rsid w:val="00EE3B50"/>
    <w:rsid w:val="00EF202E"/>
    <w:rsid w:val="00EF2109"/>
    <w:rsid w:val="00EF2BC3"/>
    <w:rsid w:val="00EF2C6E"/>
    <w:rsid w:val="00EF3095"/>
    <w:rsid w:val="00EF3AB8"/>
    <w:rsid w:val="00EF3E6A"/>
    <w:rsid w:val="00EF420A"/>
    <w:rsid w:val="00EF5554"/>
    <w:rsid w:val="00EF5CB6"/>
    <w:rsid w:val="00EF6FAC"/>
    <w:rsid w:val="00EF7033"/>
    <w:rsid w:val="00EF70BC"/>
    <w:rsid w:val="00EF7F30"/>
    <w:rsid w:val="00F0041A"/>
    <w:rsid w:val="00F006C0"/>
    <w:rsid w:val="00F00923"/>
    <w:rsid w:val="00F0212F"/>
    <w:rsid w:val="00F02686"/>
    <w:rsid w:val="00F02B5F"/>
    <w:rsid w:val="00F02EC0"/>
    <w:rsid w:val="00F03C71"/>
    <w:rsid w:val="00F04E15"/>
    <w:rsid w:val="00F04E54"/>
    <w:rsid w:val="00F069EA"/>
    <w:rsid w:val="00F0746B"/>
    <w:rsid w:val="00F11DDC"/>
    <w:rsid w:val="00F11EAA"/>
    <w:rsid w:val="00F11FB1"/>
    <w:rsid w:val="00F12B24"/>
    <w:rsid w:val="00F1324A"/>
    <w:rsid w:val="00F144B8"/>
    <w:rsid w:val="00F14A63"/>
    <w:rsid w:val="00F14D46"/>
    <w:rsid w:val="00F14F40"/>
    <w:rsid w:val="00F15082"/>
    <w:rsid w:val="00F15BA2"/>
    <w:rsid w:val="00F15E94"/>
    <w:rsid w:val="00F16055"/>
    <w:rsid w:val="00F164B2"/>
    <w:rsid w:val="00F179B3"/>
    <w:rsid w:val="00F179EF"/>
    <w:rsid w:val="00F20BE1"/>
    <w:rsid w:val="00F210EE"/>
    <w:rsid w:val="00F215EA"/>
    <w:rsid w:val="00F22756"/>
    <w:rsid w:val="00F22BED"/>
    <w:rsid w:val="00F22C25"/>
    <w:rsid w:val="00F23BC2"/>
    <w:rsid w:val="00F24F54"/>
    <w:rsid w:val="00F259C2"/>
    <w:rsid w:val="00F25AF8"/>
    <w:rsid w:val="00F2637F"/>
    <w:rsid w:val="00F26ADE"/>
    <w:rsid w:val="00F30CF8"/>
    <w:rsid w:val="00F30D85"/>
    <w:rsid w:val="00F310EA"/>
    <w:rsid w:val="00F32D44"/>
    <w:rsid w:val="00F32D4C"/>
    <w:rsid w:val="00F335C3"/>
    <w:rsid w:val="00F34B14"/>
    <w:rsid w:val="00F34E3F"/>
    <w:rsid w:val="00F35D6D"/>
    <w:rsid w:val="00F360A0"/>
    <w:rsid w:val="00F3626F"/>
    <w:rsid w:val="00F36348"/>
    <w:rsid w:val="00F36BAC"/>
    <w:rsid w:val="00F4008D"/>
    <w:rsid w:val="00F40101"/>
    <w:rsid w:val="00F4146A"/>
    <w:rsid w:val="00F43BD4"/>
    <w:rsid w:val="00F44C25"/>
    <w:rsid w:val="00F46723"/>
    <w:rsid w:val="00F46B91"/>
    <w:rsid w:val="00F46E29"/>
    <w:rsid w:val="00F4743E"/>
    <w:rsid w:val="00F50016"/>
    <w:rsid w:val="00F506C1"/>
    <w:rsid w:val="00F50D15"/>
    <w:rsid w:val="00F50D45"/>
    <w:rsid w:val="00F5175C"/>
    <w:rsid w:val="00F51969"/>
    <w:rsid w:val="00F52963"/>
    <w:rsid w:val="00F529FE"/>
    <w:rsid w:val="00F53A05"/>
    <w:rsid w:val="00F53BC8"/>
    <w:rsid w:val="00F53E28"/>
    <w:rsid w:val="00F543D4"/>
    <w:rsid w:val="00F54401"/>
    <w:rsid w:val="00F55C9E"/>
    <w:rsid w:val="00F57061"/>
    <w:rsid w:val="00F57F41"/>
    <w:rsid w:val="00F60265"/>
    <w:rsid w:val="00F60440"/>
    <w:rsid w:val="00F60D2F"/>
    <w:rsid w:val="00F6232F"/>
    <w:rsid w:val="00F6520F"/>
    <w:rsid w:val="00F66751"/>
    <w:rsid w:val="00F70799"/>
    <w:rsid w:val="00F724FB"/>
    <w:rsid w:val="00F725D1"/>
    <w:rsid w:val="00F731C7"/>
    <w:rsid w:val="00F74CE4"/>
    <w:rsid w:val="00F756DD"/>
    <w:rsid w:val="00F7680C"/>
    <w:rsid w:val="00F77E6E"/>
    <w:rsid w:val="00F8136D"/>
    <w:rsid w:val="00F81EA1"/>
    <w:rsid w:val="00F81F39"/>
    <w:rsid w:val="00F82908"/>
    <w:rsid w:val="00F83182"/>
    <w:rsid w:val="00F8545F"/>
    <w:rsid w:val="00F85583"/>
    <w:rsid w:val="00F862F7"/>
    <w:rsid w:val="00F86559"/>
    <w:rsid w:val="00F90DFE"/>
    <w:rsid w:val="00F91906"/>
    <w:rsid w:val="00F959D9"/>
    <w:rsid w:val="00F96922"/>
    <w:rsid w:val="00F972DA"/>
    <w:rsid w:val="00F97636"/>
    <w:rsid w:val="00FA0305"/>
    <w:rsid w:val="00FA099F"/>
    <w:rsid w:val="00FA0C1A"/>
    <w:rsid w:val="00FA24BA"/>
    <w:rsid w:val="00FA2949"/>
    <w:rsid w:val="00FA3F93"/>
    <w:rsid w:val="00FA472D"/>
    <w:rsid w:val="00FA4CB0"/>
    <w:rsid w:val="00FA5BE0"/>
    <w:rsid w:val="00FA5E5E"/>
    <w:rsid w:val="00FA65CF"/>
    <w:rsid w:val="00FA68F4"/>
    <w:rsid w:val="00FB035E"/>
    <w:rsid w:val="00FB06BC"/>
    <w:rsid w:val="00FB10EC"/>
    <w:rsid w:val="00FB1717"/>
    <w:rsid w:val="00FB46B3"/>
    <w:rsid w:val="00FB58B9"/>
    <w:rsid w:val="00FC06E2"/>
    <w:rsid w:val="00FC1953"/>
    <w:rsid w:val="00FC308C"/>
    <w:rsid w:val="00FC4149"/>
    <w:rsid w:val="00FC4979"/>
    <w:rsid w:val="00FC4EA7"/>
    <w:rsid w:val="00FC5605"/>
    <w:rsid w:val="00FC68F1"/>
    <w:rsid w:val="00FC79BC"/>
    <w:rsid w:val="00FC7BFE"/>
    <w:rsid w:val="00FD01BF"/>
    <w:rsid w:val="00FD6BC7"/>
    <w:rsid w:val="00FD7B79"/>
    <w:rsid w:val="00FD7EAA"/>
    <w:rsid w:val="00FE1708"/>
    <w:rsid w:val="00FE3F86"/>
    <w:rsid w:val="00FE5314"/>
    <w:rsid w:val="00FE5A81"/>
    <w:rsid w:val="00FE62F5"/>
    <w:rsid w:val="00FE741D"/>
    <w:rsid w:val="00FF0742"/>
    <w:rsid w:val="00FF124E"/>
    <w:rsid w:val="00FF1C9B"/>
    <w:rsid w:val="00FF1E45"/>
    <w:rsid w:val="00FF1EE3"/>
    <w:rsid w:val="00FF2136"/>
    <w:rsid w:val="00FF23F1"/>
    <w:rsid w:val="00FF36AE"/>
    <w:rsid w:val="00FF4767"/>
    <w:rsid w:val="00FF48D1"/>
    <w:rsid w:val="00FF57E4"/>
    <w:rsid w:val="00FF69DD"/>
    <w:rsid w:val="00FF7A12"/>
    <w:rsid w:val="01635ED2"/>
    <w:rsid w:val="01766EB3"/>
    <w:rsid w:val="018F0365"/>
    <w:rsid w:val="01C9280C"/>
    <w:rsid w:val="020E2CB6"/>
    <w:rsid w:val="0218664C"/>
    <w:rsid w:val="02326AC9"/>
    <w:rsid w:val="02630547"/>
    <w:rsid w:val="02962DDA"/>
    <w:rsid w:val="02AE0767"/>
    <w:rsid w:val="036C55C1"/>
    <w:rsid w:val="04161988"/>
    <w:rsid w:val="04213268"/>
    <w:rsid w:val="0430521D"/>
    <w:rsid w:val="043D0862"/>
    <w:rsid w:val="04D549A4"/>
    <w:rsid w:val="050E3D57"/>
    <w:rsid w:val="056313F7"/>
    <w:rsid w:val="059B2EE8"/>
    <w:rsid w:val="05B21908"/>
    <w:rsid w:val="05CD3E06"/>
    <w:rsid w:val="05D90B02"/>
    <w:rsid w:val="062535DB"/>
    <w:rsid w:val="063C14B1"/>
    <w:rsid w:val="0654243F"/>
    <w:rsid w:val="069463E3"/>
    <w:rsid w:val="06A213A0"/>
    <w:rsid w:val="06E05855"/>
    <w:rsid w:val="071E25C5"/>
    <w:rsid w:val="076852C2"/>
    <w:rsid w:val="07895B69"/>
    <w:rsid w:val="07EA5D7B"/>
    <w:rsid w:val="0817329B"/>
    <w:rsid w:val="08274504"/>
    <w:rsid w:val="086F7223"/>
    <w:rsid w:val="08B7236F"/>
    <w:rsid w:val="08E16C03"/>
    <w:rsid w:val="0919341B"/>
    <w:rsid w:val="093A1F73"/>
    <w:rsid w:val="0992235E"/>
    <w:rsid w:val="09B07D2F"/>
    <w:rsid w:val="09BD1E3A"/>
    <w:rsid w:val="09CC3813"/>
    <w:rsid w:val="09CD4DAC"/>
    <w:rsid w:val="09DB133F"/>
    <w:rsid w:val="09F1442F"/>
    <w:rsid w:val="0A045F5E"/>
    <w:rsid w:val="0A7D5B26"/>
    <w:rsid w:val="0A96156C"/>
    <w:rsid w:val="0AA14493"/>
    <w:rsid w:val="0AB0179D"/>
    <w:rsid w:val="0ABD60B9"/>
    <w:rsid w:val="0ADF5943"/>
    <w:rsid w:val="0AE93235"/>
    <w:rsid w:val="0B335C97"/>
    <w:rsid w:val="0B7802F3"/>
    <w:rsid w:val="0BE30589"/>
    <w:rsid w:val="0BEB05F1"/>
    <w:rsid w:val="0C494A7C"/>
    <w:rsid w:val="0C9162E5"/>
    <w:rsid w:val="0C9A7C78"/>
    <w:rsid w:val="0CAA6DBC"/>
    <w:rsid w:val="0CE32B83"/>
    <w:rsid w:val="0D010CB9"/>
    <w:rsid w:val="0D2B6254"/>
    <w:rsid w:val="0D5B5C1E"/>
    <w:rsid w:val="0D6B7815"/>
    <w:rsid w:val="0D992008"/>
    <w:rsid w:val="0DE10A57"/>
    <w:rsid w:val="0E233ED7"/>
    <w:rsid w:val="0E377A38"/>
    <w:rsid w:val="0E593592"/>
    <w:rsid w:val="0E5D1D15"/>
    <w:rsid w:val="0EA92867"/>
    <w:rsid w:val="0EAC7989"/>
    <w:rsid w:val="0EC22E70"/>
    <w:rsid w:val="0ED210D1"/>
    <w:rsid w:val="0EE84DF1"/>
    <w:rsid w:val="0F092A97"/>
    <w:rsid w:val="0F1A3157"/>
    <w:rsid w:val="0F3F795B"/>
    <w:rsid w:val="0F6B3D5E"/>
    <w:rsid w:val="0FD1088F"/>
    <w:rsid w:val="10A930CF"/>
    <w:rsid w:val="10C50266"/>
    <w:rsid w:val="10E5331E"/>
    <w:rsid w:val="10FD539F"/>
    <w:rsid w:val="117248C3"/>
    <w:rsid w:val="11A90C4B"/>
    <w:rsid w:val="11E72929"/>
    <w:rsid w:val="11F1328A"/>
    <w:rsid w:val="120D2E9E"/>
    <w:rsid w:val="122B1D55"/>
    <w:rsid w:val="12300F71"/>
    <w:rsid w:val="12BF628A"/>
    <w:rsid w:val="12E07AF5"/>
    <w:rsid w:val="12F064B4"/>
    <w:rsid w:val="12F812F6"/>
    <w:rsid w:val="12FD573D"/>
    <w:rsid w:val="132234B8"/>
    <w:rsid w:val="13556B4F"/>
    <w:rsid w:val="13662773"/>
    <w:rsid w:val="139E5EE6"/>
    <w:rsid w:val="13C92EA0"/>
    <w:rsid w:val="13E3136F"/>
    <w:rsid w:val="14232BC1"/>
    <w:rsid w:val="14BC1966"/>
    <w:rsid w:val="14ED1473"/>
    <w:rsid w:val="14FA5EF8"/>
    <w:rsid w:val="151A18A8"/>
    <w:rsid w:val="15492434"/>
    <w:rsid w:val="15C43AB4"/>
    <w:rsid w:val="163C0D9F"/>
    <w:rsid w:val="163F6DB0"/>
    <w:rsid w:val="165E4CDA"/>
    <w:rsid w:val="169859CD"/>
    <w:rsid w:val="16BF5E84"/>
    <w:rsid w:val="16EB75F6"/>
    <w:rsid w:val="16F22949"/>
    <w:rsid w:val="16FB376F"/>
    <w:rsid w:val="17091415"/>
    <w:rsid w:val="172E126E"/>
    <w:rsid w:val="17737896"/>
    <w:rsid w:val="17A1769C"/>
    <w:rsid w:val="17B441B0"/>
    <w:rsid w:val="1855148E"/>
    <w:rsid w:val="189D746B"/>
    <w:rsid w:val="18EF04E8"/>
    <w:rsid w:val="19846D5F"/>
    <w:rsid w:val="19880822"/>
    <w:rsid w:val="199F39BC"/>
    <w:rsid w:val="19FE315F"/>
    <w:rsid w:val="1A450AEA"/>
    <w:rsid w:val="1A45740D"/>
    <w:rsid w:val="1A7E4D1B"/>
    <w:rsid w:val="1AAB27AF"/>
    <w:rsid w:val="1AC81181"/>
    <w:rsid w:val="1B0F717D"/>
    <w:rsid w:val="1B655B7C"/>
    <w:rsid w:val="1B7176A6"/>
    <w:rsid w:val="1B7C3992"/>
    <w:rsid w:val="1B9551C0"/>
    <w:rsid w:val="1BC176BC"/>
    <w:rsid w:val="1BF72F5C"/>
    <w:rsid w:val="1C1D07E2"/>
    <w:rsid w:val="1D1B5602"/>
    <w:rsid w:val="1D1F33C2"/>
    <w:rsid w:val="1D6B774A"/>
    <w:rsid w:val="1D6E44BE"/>
    <w:rsid w:val="1DA10D4D"/>
    <w:rsid w:val="1DC66B66"/>
    <w:rsid w:val="1DE6613C"/>
    <w:rsid w:val="1E256D14"/>
    <w:rsid w:val="1E377351"/>
    <w:rsid w:val="1E8167E0"/>
    <w:rsid w:val="1F0C460C"/>
    <w:rsid w:val="1F3A51EF"/>
    <w:rsid w:val="1F484440"/>
    <w:rsid w:val="1F785DAE"/>
    <w:rsid w:val="1FEE6CE0"/>
    <w:rsid w:val="1FFB27D7"/>
    <w:rsid w:val="2090079C"/>
    <w:rsid w:val="20F00BD8"/>
    <w:rsid w:val="214A14DF"/>
    <w:rsid w:val="21834474"/>
    <w:rsid w:val="21B7060D"/>
    <w:rsid w:val="21CA1F9F"/>
    <w:rsid w:val="21E64E83"/>
    <w:rsid w:val="222112B5"/>
    <w:rsid w:val="227B5FB5"/>
    <w:rsid w:val="232D44B1"/>
    <w:rsid w:val="234C5885"/>
    <w:rsid w:val="235861F4"/>
    <w:rsid w:val="235D6E21"/>
    <w:rsid w:val="23781C2D"/>
    <w:rsid w:val="238015EE"/>
    <w:rsid w:val="23812FA3"/>
    <w:rsid w:val="239537A0"/>
    <w:rsid w:val="240A4268"/>
    <w:rsid w:val="246F2EF6"/>
    <w:rsid w:val="249E73B2"/>
    <w:rsid w:val="24E62D99"/>
    <w:rsid w:val="24F0387E"/>
    <w:rsid w:val="252D7C56"/>
    <w:rsid w:val="25555CBD"/>
    <w:rsid w:val="2637469B"/>
    <w:rsid w:val="2642774F"/>
    <w:rsid w:val="26613C08"/>
    <w:rsid w:val="266B5966"/>
    <w:rsid w:val="26B76FDF"/>
    <w:rsid w:val="26FC51B3"/>
    <w:rsid w:val="272B721A"/>
    <w:rsid w:val="27B92043"/>
    <w:rsid w:val="27E00374"/>
    <w:rsid w:val="280035C1"/>
    <w:rsid w:val="284015D5"/>
    <w:rsid w:val="28C832DD"/>
    <w:rsid w:val="28FC0F09"/>
    <w:rsid w:val="291B40EF"/>
    <w:rsid w:val="295C32E0"/>
    <w:rsid w:val="29A12E36"/>
    <w:rsid w:val="29BB6C19"/>
    <w:rsid w:val="2A262D47"/>
    <w:rsid w:val="2A725B2A"/>
    <w:rsid w:val="2B4D5F67"/>
    <w:rsid w:val="2B51453D"/>
    <w:rsid w:val="2B643AB6"/>
    <w:rsid w:val="2B8C73A5"/>
    <w:rsid w:val="2B916722"/>
    <w:rsid w:val="2BCA4D5B"/>
    <w:rsid w:val="2BF80B1B"/>
    <w:rsid w:val="2C1E2ADE"/>
    <w:rsid w:val="2C677D74"/>
    <w:rsid w:val="2C9142E9"/>
    <w:rsid w:val="2C957D75"/>
    <w:rsid w:val="2CBA318B"/>
    <w:rsid w:val="2CEE0211"/>
    <w:rsid w:val="2CF207C8"/>
    <w:rsid w:val="2D1C0981"/>
    <w:rsid w:val="2D262BD5"/>
    <w:rsid w:val="2D2D14B2"/>
    <w:rsid w:val="2D3C2CBF"/>
    <w:rsid w:val="2D5B28BB"/>
    <w:rsid w:val="2D7A10E7"/>
    <w:rsid w:val="2DD27597"/>
    <w:rsid w:val="2E200008"/>
    <w:rsid w:val="2E4C4DAD"/>
    <w:rsid w:val="2EA11683"/>
    <w:rsid w:val="2ED35318"/>
    <w:rsid w:val="2EEF23F4"/>
    <w:rsid w:val="2EF06D74"/>
    <w:rsid w:val="2F0774B0"/>
    <w:rsid w:val="2F12160D"/>
    <w:rsid w:val="2F16524A"/>
    <w:rsid w:val="2F904653"/>
    <w:rsid w:val="2FAC6F7D"/>
    <w:rsid w:val="2FBC66A1"/>
    <w:rsid w:val="2FDB4A76"/>
    <w:rsid w:val="2FFD589F"/>
    <w:rsid w:val="30CB339A"/>
    <w:rsid w:val="30D9592E"/>
    <w:rsid w:val="31305FFF"/>
    <w:rsid w:val="315F5B64"/>
    <w:rsid w:val="31686211"/>
    <w:rsid w:val="31734F09"/>
    <w:rsid w:val="31B06192"/>
    <w:rsid w:val="31D752F5"/>
    <w:rsid w:val="31E4323C"/>
    <w:rsid w:val="320B7341"/>
    <w:rsid w:val="322E20A6"/>
    <w:rsid w:val="324263CD"/>
    <w:rsid w:val="3299080C"/>
    <w:rsid w:val="32E53D25"/>
    <w:rsid w:val="32F33E72"/>
    <w:rsid w:val="33595B3E"/>
    <w:rsid w:val="338846E3"/>
    <w:rsid w:val="33A85875"/>
    <w:rsid w:val="34012A64"/>
    <w:rsid w:val="3418408A"/>
    <w:rsid w:val="34216318"/>
    <w:rsid w:val="343732EC"/>
    <w:rsid w:val="3479708F"/>
    <w:rsid w:val="34807BEC"/>
    <w:rsid w:val="34A16ACD"/>
    <w:rsid w:val="34C91C50"/>
    <w:rsid w:val="3566332F"/>
    <w:rsid w:val="35C26DA2"/>
    <w:rsid w:val="363466EB"/>
    <w:rsid w:val="367F7C8E"/>
    <w:rsid w:val="36F72FCC"/>
    <w:rsid w:val="37204E01"/>
    <w:rsid w:val="372F72BF"/>
    <w:rsid w:val="38587BD9"/>
    <w:rsid w:val="38630D26"/>
    <w:rsid w:val="38751B88"/>
    <w:rsid w:val="38823F62"/>
    <w:rsid w:val="38A6759D"/>
    <w:rsid w:val="38D51668"/>
    <w:rsid w:val="38D62D60"/>
    <w:rsid w:val="38E81175"/>
    <w:rsid w:val="391C37B9"/>
    <w:rsid w:val="392F00EC"/>
    <w:rsid w:val="3940198C"/>
    <w:rsid w:val="396E746C"/>
    <w:rsid w:val="397B7965"/>
    <w:rsid w:val="39907CFC"/>
    <w:rsid w:val="39B0739A"/>
    <w:rsid w:val="3A2465D4"/>
    <w:rsid w:val="3A290B79"/>
    <w:rsid w:val="3A31628F"/>
    <w:rsid w:val="3A460E41"/>
    <w:rsid w:val="3B257BAB"/>
    <w:rsid w:val="3B6C40AA"/>
    <w:rsid w:val="3B9811B7"/>
    <w:rsid w:val="3BDF5F29"/>
    <w:rsid w:val="3BE4602A"/>
    <w:rsid w:val="3C04591A"/>
    <w:rsid w:val="3C7D2349"/>
    <w:rsid w:val="3CA259AD"/>
    <w:rsid w:val="3CE7402D"/>
    <w:rsid w:val="3D071115"/>
    <w:rsid w:val="3DAE494D"/>
    <w:rsid w:val="3DEE07C7"/>
    <w:rsid w:val="3E011ACF"/>
    <w:rsid w:val="3E0950C4"/>
    <w:rsid w:val="3E0C269B"/>
    <w:rsid w:val="3E3B6F59"/>
    <w:rsid w:val="3E3C52BE"/>
    <w:rsid w:val="3EAD4D1A"/>
    <w:rsid w:val="3F7146DD"/>
    <w:rsid w:val="3FBC1AFE"/>
    <w:rsid w:val="3FD15F6C"/>
    <w:rsid w:val="3FD93DFA"/>
    <w:rsid w:val="3FFC74F1"/>
    <w:rsid w:val="40636182"/>
    <w:rsid w:val="407E30CA"/>
    <w:rsid w:val="40E44374"/>
    <w:rsid w:val="413D17BA"/>
    <w:rsid w:val="415F150F"/>
    <w:rsid w:val="41633DCA"/>
    <w:rsid w:val="4180044A"/>
    <w:rsid w:val="419D4EDF"/>
    <w:rsid w:val="41C6218D"/>
    <w:rsid w:val="422E395F"/>
    <w:rsid w:val="42555FB4"/>
    <w:rsid w:val="428560D0"/>
    <w:rsid w:val="42907955"/>
    <w:rsid w:val="42C6024C"/>
    <w:rsid w:val="43226718"/>
    <w:rsid w:val="43304ED6"/>
    <w:rsid w:val="437F78E7"/>
    <w:rsid w:val="43841C62"/>
    <w:rsid w:val="43A36E8B"/>
    <w:rsid w:val="43DC6AF4"/>
    <w:rsid w:val="4415325A"/>
    <w:rsid w:val="44335900"/>
    <w:rsid w:val="44410480"/>
    <w:rsid w:val="445E4AF4"/>
    <w:rsid w:val="446B152A"/>
    <w:rsid w:val="44706838"/>
    <w:rsid w:val="448076CE"/>
    <w:rsid w:val="44A47FB6"/>
    <w:rsid w:val="44D238B6"/>
    <w:rsid w:val="44D31E56"/>
    <w:rsid w:val="45103AC0"/>
    <w:rsid w:val="45116756"/>
    <w:rsid w:val="452D78FF"/>
    <w:rsid w:val="452F5AE3"/>
    <w:rsid w:val="456E58A8"/>
    <w:rsid w:val="45741575"/>
    <w:rsid w:val="45951F34"/>
    <w:rsid w:val="45B3060F"/>
    <w:rsid w:val="45C1472F"/>
    <w:rsid w:val="45CD120A"/>
    <w:rsid w:val="45E81048"/>
    <w:rsid w:val="46413487"/>
    <w:rsid w:val="46A025FF"/>
    <w:rsid w:val="46E37C84"/>
    <w:rsid w:val="472B7ED0"/>
    <w:rsid w:val="475072DF"/>
    <w:rsid w:val="476A7C58"/>
    <w:rsid w:val="47EA2D3B"/>
    <w:rsid w:val="482E299E"/>
    <w:rsid w:val="4882546C"/>
    <w:rsid w:val="48C514AB"/>
    <w:rsid w:val="492C14FC"/>
    <w:rsid w:val="495E5CDD"/>
    <w:rsid w:val="49A83B09"/>
    <w:rsid w:val="49B32007"/>
    <w:rsid w:val="49BE5341"/>
    <w:rsid w:val="49D22220"/>
    <w:rsid w:val="49FE1468"/>
    <w:rsid w:val="4A1F2C48"/>
    <w:rsid w:val="4A653A93"/>
    <w:rsid w:val="4A8B7C1C"/>
    <w:rsid w:val="4AA04221"/>
    <w:rsid w:val="4AAC7A68"/>
    <w:rsid w:val="4AC042C1"/>
    <w:rsid w:val="4B104FCC"/>
    <w:rsid w:val="4B2B0463"/>
    <w:rsid w:val="4B346878"/>
    <w:rsid w:val="4B4A3D1D"/>
    <w:rsid w:val="4B852118"/>
    <w:rsid w:val="4BA63997"/>
    <w:rsid w:val="4BB500BE"/>
    <w:rsid w:val="4C2C02E1"/>
    <w:rsid w:val="4C360D68"/>
    <w:rsid w:val="4C517A39"/>
    <w:rsid w:val="4C53287D"/>
    <w:rsid w:val="4C6B2C07"/>
    <w:rsid w:val="4D5B679D"/>
    <w:rsid w:val="4D803AEE"/>
    <w:rsid w:val="4D9F5A09"/>
    <w:rsid w:val="4E7A0A21"/>
    <w:rsid w:val="4EC55B20"/>
    <w:rsid w:val="4EE7135A"/>
    <w:rsid w:val="4EFC125B"/>
    <w:rsid w:val="4F0C40DC"/>
    <w:rsid w:val="4F5473E7"/>
    <w:rsid w:val="4F9A5F8F"/>
    <w:rsid w:val="4FD073BF"/>
    <w:rsid w:val="4FE52530"/>
    <w:rsid w:val="50046904"/>
    <w:rsid w:val="50175A37"/>
    <w:rsid w:val="50265131"/>
    <w:rsid w:val="50311179"/>
    <w:rsid w:val="50572E99"/>
    <w:rsid w:val="50691133"/>
    <w:rsid w:val="50DB59FE"/>
    <w:rsid w:val="51D34730"/>
    <w:rsid w:val="51FD160D"/>
    <w:rsid w:val="522E1623"/>
    <w:rsid w:val="524153F2"/>
    <w:rsid w:val="52A604A3"/>
    <w:rsid w:val="52CF1182"/>
    <w:rsid w:val="52DD3189"/>
    <w:rsid w:val="53292E8E"/>
    <w:rsid w:val="532A5373"/>
    <w:rsid w:val="532D2DE8"/>
    <w:rsid w:val="53306C04"/>
    <w:rsid w:val="53AF73E6"/>
    <w:rsid w:val="53F1206A"/>
    <w:rsid w:val="54456882"/>
    <w:rsid w:val="54D82ADC"/>
    <w:rsid w:val="55490323"/>
    <w:rsid w:val="55665D93"/>
    <w:rsid w:val="558B505E"/>
    <w:rsid w:val="55930B10"/>
    <w:rsid w:val="559A5176"/>
    <w:rsid w:val="55C131B6"/>
    <w:rsid w:val="560B2344"/>
    <w:rsid w:val="56432740"/>
    <w:rsid w:val="564D729E"/>
    <w:rsid w:val="5663791B"/>
    <w:rsid w:val="56940351"/>
    <w:rsid w:val="56A912E7"/>
    <w:rsid w:val="56F71491"/>
    <w:rsid w:val="5724350A"/>
    <w:rsid w:val="57282877"/>
    <w:rsid w:val="572A2FCC"/>
    <w:rsid w:val="57AC2184"/>
    <w:rsid w:val="57B2592E"/>
    <w:rsid w:val="58024FA1"/>
    <w:rsid w:val="582C1CC7"/>
    <w:rsid w:val="583C6E69"/>
    <w:rsid w:val="58657C20"/>
    <w:rsid w:val="58A6613E"/>
    <w:rsid w:val="58CB4A1A"/>
    <w:rsid w:val="58DD5C4B"/>
    <w:rsid w:val="5902727A"/>
    <w:rsid w:val="59283281"/>
    <w:rsid w:val="59AA5F48"/>
    <w:rsid w:val="5A0F4BD7"/>
    <w:rsid w:val="5A5175B5"/>
    <w:rsid w:val="5A672545"/>
    <w:rsid w:val="5A71351E"/>
    <w:rsid w:val="5AA8546C"/>
    <w:rsid w:val="5AB3631C"/>
    <w:rsid w:val="5B3C34AA"/>
    <w:rsid w:val="5BAB73B8"/>
    <w:rsid w:val="5BCC6130"/>
    <w:rsid w:val="5BD27350"/>
    <w:rsid w:val="5BD32CE2"/>
    <w:rsid w:val="5C0C5F4D"/>
    <w:rsid w:val="5C1A51D2"/>
    <w:rsid w:val="5C8A11EA"/>
    <w:rsid w:val="5CE7721D"/>
    <w:rsid w:val="5D0E06C9"/>
    <w:rsid w:val="5DAF0DBE"/>
    <w:rsid w:val="5DE33814"/>
    <w:rsid w:val="5E106D2B"/>
    <w:rsid w:val="5E3A12A8"/>
    <w:rsid w:val="5E3B65E5"/>
    <w:rsid w:val="5EBB2189"/>
    <w:rsid w:val="5ED07917"/>
    <w:rsid w:val="5EDF6111"/>
    <w:rsid w:val="5F0E038A"/>
    <w:rsid w:val="5F835CE3"/>
    <w:rsid w:val="601B1708"/>
    <w:rsid w:val="602C3035"/>
    <w:rsid w:val="610213FC"/>
    <w:rsid w:val="610B2AC1"/>
    <w:rsid w:val="610E0C0E"/>
    <w:rsid w:val="610F587E"/>
    <w:rsid w:val="613B50EF"/>
    <w:rsid w:val="614E4F1E"/>
    <w:rsid w:val="619475B1"/>
    <w:rsid w:val="61997202"/>
    <w:rsid w:val="61A76874"/>
    <w:rsid w:val="61B17EEE"/>
    <w:rsid w:val="621778AA"/>
    <w:rsid w:val="62304636"/>
    <w:rsid w:val="626E64C2"/>
    <w:rsid w:val="62833094"/>
    <w:rsid w:val="62C66BBE"/>
    <w:rsid w:val="62D06C61"/>
    <w:rsid w:val="62D15D55"/>
    <w:rsid w:val="62DA05A8"/>
    <w:rsid w:val="630E31E7"/>
    <w:rsid w:val="63544837"/>
    <w:rsid w:val="636E2273"/>
    <w:rsid w:val="637A1EAF"/>
    <w:rsid w:val="639D51E5"/>
    <w:rsid w:val="640F1B86"/>
    <w:rsid w:val="64284A89"/>
    <w:rsid w:val="64DA16A0"/>
    <w:rsid w:val="64DE2B14"/>
    <w:rsid w:val="64EC31DA"/>
    <w:rsid w:val="650E3CF5"/>
    <w:rsid w:val="652119FE"/>
    <w:rsid w:val="65505347"/>
    <w:rsid w:val="65963EE4"/>
    <w:rsid w:val="659870E4"/>
    <w:rsid w:val="65FB1C30"/>
    <w:rsid w:val="66103351"/>
    <w:rsid w:val="664B2916"/>
    <w:rsid w:val="667868A7"/>
    <w:rsid w:val="6685561E"/>
    <w:rsid w:val="668A5F1C"/>
    <w:rsid w:val="66C702B6"/>
    <w:rsid w:val="6714572D"/>
    <w:rsid w:val="673C468D"/>
    <w:rsid w:val="6749323C"/>
    <w:rsid w:val="6764667C"/>
    <w:rsid w:val="67944395"/>
    <w:rsid w:val="67EF5983"/>
    <w:rsid w:val="67F16FEC"/>
    <w:rsid w:val="67F4769A"/>
    <w:rsid w:val="680E3D99"/>
    <w:rsid w:val="683662F3"/>
    <w:rsid w:val="68755C37"/>
    <w:rsid w:val="68DB2C34"/>
    <w:rsid w:val="68DD07C7"/>
    <w:rsid w:val="68F72E17"/>
    <w:rsid w:val="690E4571"/>
    <w:rsid w:val="69854151"/>
    <w:rsid w:val="69B910AF"/>
    <w:rsid w:val="69CA0FE4"/>
    <w:rsid w:val="69DE2579"/>
    <w:rsid w:val="69EB433D"/>
    <w:rsid w:val="69F931A2"/>
    <w:rsid w:val="6A35645C"/>
    <w:rsid w:val="6B226FB9"/>
    <w:rsid w:val="6B3703A6"/>
    <w:rsid w:val="6B77020E"/>
    <w:rsid w:val="6B9E2CEE"/>
    <w:rsid w:val="6C010FD4"/>
    <w:rsid w:val="6C234064"/>
    <w:rsid w:val="6C775757"/>
    <w:rsid w:val="6C8B10DB"/>
    <w:rsid w:val="6CAB0B03"/>
    <w:rsid w:val="6CB73BDA"/>
    <w:rsid w:val="6CB82B41"/>
    <w:rsid w:val="6D982656"/>
    <w:rsid w:val="6DB168F1"/>
    <w:rsid w:val="6DCE6EB3"/>
    <w:rsid w:val="6DE33E13"/>
    <w:rsid w:val="6E5535D8"/>
    <w:rsid w:val="6E5A6704"/>
    <w:rsid w:val="6E6D5F2E"/>
    <w:rsid w:val="6EAA74B5"/>
    <w:rsid w:val="6EB45934"/>
    <w:rsid w:val="6ECD1CF2"/>
    <w:rsid w:val="6F5812F1"/>
    <w:rsid w:val="6F782B22"/>
    <w:rsid w:val="6FAA1CA7"/>
    <w:rsid w:val="6FE11CD6"/>
    <w:rsid w:val="700D5BE0"/>
    <w:rsid w:val="702444CC"/>
    <w:rsid w:val="7093197C"/>
    <w:rsid w:val="709C0F63"/>
    <w:rsid w:val="70B26FC5"/>
    <w:rsid w:val="70D60D50"/>
    <w:rsid w:val="70FB63B8"/>
    <w:rsid w:val="711F0E15"/>
    <w:rsid w:val="71215AB5"/>
    <w:rsid w:val="71321EF6"/>
    <w:rsid w:val="719631BB"/>
    <w:rsid w:val="71C9677B"/>
    <w:rsid w:val="71DA0D6C"/>
    <w:rsid w:val="71E651C0"/>
    <w:rsid w:val="720C4B46"/>
    <w:rsid w:val="722A017C"/>
    <w:rsid w:val="72665C2B"/>
    <w:rsid w:val="72802307"/>
    <w:rsid w:val="73107348"/>
    <w:rsid w:val="73476D9B"/>
    <w:rsid w:val="73807F96"/>
    <w:rsid w:val="73BB2D60"/>
    <w:rsid w:val="74193B96"/>
    <w:rsid w:val="744B393C"/>
    <w:rsid w:val="746D3803"/>
    <w:rsid w:val="747B72F1"/>
    <w:rsid w:val="74902B16"/>
    <w:rsid w:val="74A82515"/>
    <w:rsid w:val="74C3626F"/>
    <w:rsid w:val="74CF12EE"/>
    <w:rsid w:val="75376E41"/>
    <w:rsid w:val="75897BAA"/>
    <w:rsid w:val="76213DB1"/>
    <w:rsid w:val="76423827"/>
    <w:rsid w:val="76C56BB3"/>
    <w:rsid w:val="76ED1A9D"/>
    <w:rsid w:val="776C653E"/>
    <w:rsid w:val="77ED1569"/>
    <w:rsid w:val="78311F21"/>
    <w:rsid w:val="786C5767"/>
    <w:rsid w:val="788C214F"/>
    <w:rsid w:val="78C670A2"/>
    <w:rsid w:val="78CF6BBD"/>
    <w:rsid w:val="78E47421"/>
    <w:rsid w:val="790D475F"/>
    <w:rsid w:val="79691BF2"/>
    <w:rsid w:val="79A80325"/>
    <w:rsid w:val="7A205D54"/>
    <w:rsid w:val="7A474D13"/>
    <w:rsid w:val="7A592642"/>
    <w:rsid w:val="7A6072F2"/>
    <w:rsid w:val="7AB50B47"/>
    <w:rsid w:val="7ACF1D36"/>
    <w:rsid w:val="7AFB06DB"/>
    <w:rsid w:val="7B1D287C"/>
    <w:rsid w:val="7B3551AF"/>
    <w:rsid w:val="7C34774C"/>
    <w:rsid w:val="7C3D5725"/>
    <w:rsid w:val="7C4C609E"/>
    <w:rsid w:val="7C8E39B5"/>
    <w:rsid w:val="7CA42DEF"/>
    <w:rsid w:val="7CD26CE7"/>
    <w:rsid w:val="7D24564D"/>
    <w:rsid w:val="7D27659B"/>
    <w:rsid w:val="7D9D2EB8"/>
    <w:rsid w:val="7DFA0F3F"/>
    <w:rsid w:val="7E0064B7"/>
    <w:rsid w:val="7E0C4D41"/>
    <w:rsid w:val="7E0D45A7"/>
    <w:rsid w:val="7E1F513A"/>
    <w:rsid w:val="7E5F4CE4"/>
    <w:rsid w:val="7EA5789C"/>
    <w:rsid w:val="7F113BC3"/>
    <w:rsid w:val="7F9E3E64"/>
    <w:rsid w:val="7FAE48AA"/>
    <w:rsid w:val="7FDC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0" w:semiHidden="0" w:name="endnote text"/>
    <w:lsdException w:qFormat="1" w:uiPriority="99" w:semiHidden="0"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8"/>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65"/>
    <w:qFormat/>
    <w:uiPriority w:val="0"/>
    <w:pPr>
      <w:keepNext/>
      <w:keepLines/>
      <w:spacing w:before="260" w:after="260" w:line="416" w:lineRule="auto"/>
      <w:outlineLvl w:val="2"/>
    </w:pPr>
    <w:rPr>
      <w:b/>
      <w:bCs/>
      <w:sz w:val="32"/>
      <w:szCs w:val="32"/>
    </w:rPr>
  </w:style>
  <w:style w:type="paragraph" w:styleId="2">
    <w:name w:val="heading 4"/>
    <w:basedOn w:val="1"/>
    <w:next w:val="1"/>
    <w:link w:val="9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9"/>
    <w:qFormat/>
    <w:uiPriority w:val="0"/>
    <w:pPr>
      <w:keepNext/>
      <w:keepLines/>
      <w:numPr>
        <w:ilvl w:val="4"/>
        <w:numId w:val="1"/>
      </w:numPr>
      <w:spacing w:before="280" w:after="290" w:line="376" w:lineRule="auto"/>
      <w:outlineLvl w:val="4"/>
    </w:pPr>
    <w:rPr>
      <w:b/>
      <w:sz w:val="28"/>
    </w:rPr>
  </w:style>
  <w:style w:type="paragraph" w:styleId="8">
    <w:name w:val="heading 6"/>
    <w:basedOn w:val="1"/>
    <w:next w:val="7"/>
    <w:link w:val="76"/>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link w:val="73"/>
    <w:qFormat/>
    <w:uiPriority w:val="0"/>
    <w:pPr>
      <w:keepNext/>
      <w:keepLines/>
      <w:numPr>
        <w:ilvl w:val="6"/>
        <w:numId w:val="1"/>
      </w:numPr>
      <w:spacing w:before="240" w:after="64" w:line="320" w:lineRule="auto"/>
      <w:outlineLvl w:val="6"/>
    </w:pPr>
    <w:rPr>
      <w:b/>
      <w:sz w:val="24"/>
    </w:rPr>
  </w:style>
  <w:style w:type="paragraph" w:styleId="10">
    <w:name w:val="heading 8"/>
    <w:basedOn w:val="1"/>
    <w:next w:val="7"/>
    <w:link w:val="8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link w:val="116"/>
    <w:qFormat/>
    <w:uiPriority w:val="0"/>
    <w:pPr>
      <w:keepNext/>
      <w:keepLines/>
      <w:numPr>
        <w:ilvl w:val="8"/>
        <w:numId w:val="1"/>
      </w:numPr>
      <w:spacing w:before="240" w:after="64" w:line="320" w:lineRule="auto"/>
      <w:outlineLvl w:val="8"/>
    </w:pPr>
    <w:rPr>
      <w:rFonts w:ascii="Arial" w:hAnsi="Arial" w:eastAsia="黑体"/>
    </w:r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7">
    <w:name w:val="Normal Indent"/>
    <w:basedOn w:val="1"/>
    <w:link w:val="109"/>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unhideWhenUsed/>
    <w:qFormat/>
    <w:uiPriority w:val="0"/>
    <w:pPr>
      <w:ind w:left="2520" w:leftChars="1200"/>
    </w:pPr>
    <w:rPr>
      <w:rFonts w:ascii="Calibri" w:hAnsi="Calibri"/>
      <w:szCs w:val="22"/>
    </w:rPr>
  </w:style>
  <w:style w:type="paragraph" w:styleId="14">
    <w:name w:val="table of authorities"/>
    <w:basedOn w:val="1"/>
    <w:next w:val="1"/>
    <w:unhideWhenUsed/>
    <w:qFormat/>
    <w:uiPriority w:val="99"/>
    <w:pPr>
      <w:ind w:left="420" w:leftChars="200"/>
    </w:p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semiHidden/>
    <w:qFormat/>
    <w:uiPriority w:val="0"/>
    <w:pPr>
      <w:shd w:val="clear" w:color="auto" w:fill="000080"/>
    </w:pPr>
  </w:style>
  <w:style w:type="paragraph" w:styleId="18">
    <w:name w:val="annotation text"/>
    <w:basedOn w:val="1"/>
    <w:link w:val="111"/>
    <w:qFormat/>
    <w:uiPriority w:val="0"/>
    <w:pPr>
      <w:jc w:val="left"/>
    </w:pPr>
  </w:style>
  <w:style w:type="paragraph" w:styleId="19">
    <w:name w:val="Body Text 3"/>
    <w:basedOn w:val="1"/>
    <w:link w:val="79"/>
    <w:qFormat/>
    <w:uiPriority w:val="0"/>
    <w:pPr>
      <w:spacing w:line="500" w:lineRule="exact"/>
    </w:pPr>
    <w:rPr>
      <w:b/>
      <w:bCs/>
      <w:sz w:val="24"/>
    </w:rPr>
  </w:style>
  <w:style w:type="paragraph" w:styleId="20">
    <w:name w:val="Body Text"/>
    <w:basedOn w:val="1"/>
    <w:link w:val="88"/>
    <w:unhideWhenUsed/>
    <w:qFormat/>
    <w:uiPriority w:val="99"/>
    <w:pPr>
      <w:spacing w:after="120"/>
    </w:pPr>
  </w:style>
  <w:style w:type="paragraph" w:styleId="21">
    <w:name w:val="Body Text Indent"/>
    <w:basedOn w:val="1"/>
    <w:link w:val="64"/>
    <w:qFormat/>
    <w:uiPriority w:val="0"/>
    <w:pPr>
      <w:ind w:firstLine="830" w:firstLineChars="352"/>
    </w:pPr>
    <w:rPr>
      <w:rFonts w:ascii="仿宋_GB2312" w:eastAsia="仿宋_GB2312"/>
      <w:kern w:val="0"/>
      <w:sz w:val="32"/>
      <w:szCs w:val="20"/>
    </w:rPr>
  </w:style>
  <w:style w:type="paragraph" w:styleId="22">
    <w:name w:val="List Number 3"/>
    <w:basedOn w:val="1"/>
    <w:qFormat/>
    <w:uiPriority w:val="0"/>
    <w:pPr>
      <w:numPr>
        <w:ilvl w:val="0"/>
        <w:numId w:val="2"/>
      </w:numPr>
    </w:pPr>
  </w:style>
  <w:style w:type="paragraph" w:styleId="23">
    <w:name w:val="List 2"/>
    <w:basedOn w:val="1"/>
    <w:qFormat/>
    <w:uiPriority w:val="0"/>
    <w:pPr>
      <w:ind w:left="100" w:leftChars="200" w:hanging="200" w:hangingChars="200"/>
    </w:pPr>
    <w:rPr>
      <w:sz w:val="28"/>
    </w:rPr>
  </w:style>
  <w:style w:type="paragraph" w:styleId="24">
    <w:name w:val="toc 5"/>
    <w:basedOn w:val="1"/>
    <w:next w:val="1"/>
    <w:unhideWhenUsed/>
    <w:qFormat/>
    <w:uiPriority w:val="0"/>
    <w:pPr>
      <w:ind w:left="1680" w:leftChars="800"/>
    </w:pPr>
    <w:rPr>
      <w:rFonts w:ascii="Calibri" w:hAnsi="Calibri"/>
      <w:szCs w:val="22"/>
    </w:rPr>
  </w:style>
  <w:style w:type="paragraph" w:styleId="25">
    <w:name w:val="toc 3"/>
    <w:basedOn w:val="1"/>
    <w:next w:val="1"/>
    <w:unhideWhenUsed/>
    <w:qFormat/>
    <w:uiPriority w:val="0"/>
    <w:pPr>
      <w:ind w:left="840" w:leftChars="400"/>
    </w:pPr>
    <w:rPr>
      <w:rFonts w:ascii="Calibri" w:hAnsi="Calibri"/>
      <w:szCs w:val="22"/>
    </w:rPr>
  </w:style>
  <w:style w:type="paragraph" w:styleId="26">
    <w:name w:val="Plain Text"/>
    <w:basedOn w:val="1"/>
    <w:next w:val="2"/>
    <w:link w:val="92"/>
    <w:qFormat/>
    <w:uiPriority w:val="0"/>
    <w:rPr>
      <w:rFonts w:ascii="宋体" w:hAnsi="Courier New"/>
      <w:kern w:val="0"/>
      <w:sz w:val="20"/>
      <w:szCs w:val="21"/>
    </w:rPr>
  </w:style>
  <w:style w:type="paragraph" w:styleId="27">
    <w:name w:val="toc 8"/>
    <w:basedOn w:val="1"/>
    <w:next w:val="1"/>
    <w:unhideWhenUsed/>
    <w:qFormat/>
    <w:uiPriority w:val="0"/>
    <w:pPr>
      <w:ind w:left="2940" w:leftChars="1400"/>
    </w:pPr>
    <w:rPr>
      <w:rFonts w:ascii="Calibri" w:hAnsi="Calibri"/>
      <w:szCs w:val="22"/>
    </w:rPr>
  </w:style>
  <w:style w:type="paragraph" w:styleId="28">
    <w:name w:val="Date"/>
    <w:basedOn w:val="1"/>
    <w:next w:val="1"/>
    <w:link w:val="80"/>
    <w:unhideWhenUsed/>
    <w:qFormat/>
    <w:uiPriority w:val="0"/>
    <w:pPr>
      <w:ind w:left="100" w:leftChars="2500"/>
    </w:pPr>
  </w:style>
  <w:style w:type="paragraph" w:styleId="29">
    <w:name w:val="Body Text Indent 2"/>
    <w:basedOn w:val="1"/>
    <w:link w:val="77"/>
    <w:qFormat/>
    <w:uiPriority w:val="0"/>
    <w:pPr>
      <w:ind w:firstLine="630"/>
    </w:pPr>
    <w:rPr>
      <w:sz w:val="32"/>
      <w:szCs w:val="20"/>
    </w:rPr>
  </w:style>
  <w:style w:type="paragraph" w:styleId="30">
    <w:name w:val="endnote text"/>
    <w:basedOn w:val="1"/>
    <w:unhideWhenUsed/>
    <w:qFormat/>
    <w:uiPriority w:val="0"/>
    <w:pPr>
      <w:snapToGrid w:val="0"/>
      <w:jc w:val="left"/>
    </w:pPr>
  </w:style>
  <w:style w:type="paragraph" w:styleId="31">
    <w:name w:val="Balloon Text"/>
    <w:basedOn w:val="1"/>
    <w:semiHidden/>
    <w:qFormat/>
    <w:uiPriority w:val="0"/>
    <w:rPr>
      <w:sz w:val="18"/>
      <w:szCs w:val="18"/>
    </w:rPr>
  </w:style>
  <w:style w:type="paragraph" w:styleId="32">
    <w:name w:val="footer"/>
    <w:basedOn w:val="1"/>
    <w:link w:val="95"/>
    <w:unhideWhenUsed/>
    <w:qFormat/>
    <w:uiPriority w:val="99"/>
    <w:pPr>
      <w:tabs>
        <w:tab w:val="center" w:pos="4153"/>
        <w:tab w:val="right" w:pos="8306"/>
      </w:tabs>
      <w:snapToGrid w:val="0"/>
      <w:jc w:val="left"/>
    </w:pPr>
    <w:rPr>
      <w:kern w:val="0"/>
      <w:sz w:val="18"/>
      <w:szCs w:val="18"/>
    </w:rPr>
  </w:style>
  <w:style w:type="paragraph" w:styleId="33">
    <w:name w:val="header"/>
    <w:basedOn w:val="1"/>
    <w:link w:val="8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4">
    <w:name w:val="toc 1"/>
    <w:basedOn w:val="1"/>
    <w:next w:val="1"/>
    <w:unhideWhenUsed/>
    <w:qFormat/>
    <w:uiPriority w:val="39"/>
  </w:style>
  <w:style w:type="paragraph" w:styleId="35">
    <w:name w:val="toc 4"/>
    <w:basedOn w:val="1"/>
    <w:next w:val="1"/>
    <w:unhideWhenUsed/>
    <w:qFormat/>
    <w:uiPriority w:val="0"/>
    <w:pPr>
      <w:ind w:left="1260" w:leftChars="600"/>
    </w:pPr>
    <w:rPr>
      <w:rFonts w:ascii="Calibri" w:hAnsi="Calibri"/>
      <w:szCs w:val="22"/>
    </w:rPr>
  </w:style>
  <w:style w:type="paragraph" w:styleId="36">
    <w:name w:val="index heading"/>
    <w:basedOn w:val="1"/>
    <w:next w:val="37"/>
    <w:semiHidden/>
    <w:qFormat/>
    <w:uiPriority w:val="0"/>
    <w:rPr>
      <w:szCs w:val="20"/>
    </w:rPr>
  </w:style>
  <w:style w:type="paragraph" w:styleId="37">
    <w:name w:val="index 1"/>
    <w:basedOn w:val="1"/>
    <w:next w:val="1"/>
    <w:semiHidden/>
    <w:qFormat/>
    <w:uiPriority w:val="0"/>
    <w:pPr>
      <w:spacing w:line="400" w:lineRule="exact"/>
      <w:ind w:firstLine="420" w:firstLineChars="200"/>
    </w:pPr>
    <w:rPr>
      <w:rFonts w:ascii="宋体" w:hAnsi="Courier New"/>
      <w:b/>
      <w:szCs w:val="20"/>
    </w:rPr>
  </w:style>
  <w:style w:type="paragraph" w:styleId="38">
    <w:name w:val="List"/>
    <w:basedOn w:val="1"/>
    <w:qFormat/>
    <w:uiPriority w:val="0"/>
    <w:pPr>
      <w:ind w:left="200" w:hanging="200" w:hangingChars="200"/>
    </w:pPr>
    <w:rPr>
      <w:sz w:val="28"/>
    </w:rPr>
  </w:style>
  <w:style w:type="paragraph" w:styleId="39">
    <w:name w:val="footnote text"/>
    <w:basedOn w:val="1"/>
    <w:unhideWhenUsed/>
    <w:qFormat/>
    <w:uiPriority w:val="0"/>
    <w:pPr>
      <w:snapToGrid w:val="0"/>
      <w:jc w:val="left"/>
    </w:pPr>
    <w:rPr>
      <w:sz w:val="18"/>
      <w:szCs w:val="18"/>
    </w:rPr>
  </w:style>
  <w:style w:type="paragraph" w:styleId="40">
    <w:name w:val="toc 6"/>
    <w:basedOn w:val="1"/>
    <w:next w:val="1"/>
    <w:unhideWhenUsed/>
    <w:qFormat/>
    <w:uiPriority w:val="0"/>
    <w:pPr>
      <w:ind w:left="2100" w:leftChars="1000"/>
    </w:pPr>
    <w:rPr>
      <w:rFonts w:ascii="Calibri" w:hAnsi="Calibri"/>
      <w:szCs w:val="22"/>
    </w:rPr>
  </w:style>
  <w:style w:type="paragraph" w:styleId="41">
    <w:name w:val="Body Text Indent 3"/>
    <w:basedOn w:val="1"/>
    <w:link w:val="66"/>
    <w:qFormat/>
    <w:uiPriority w:val="0"/>
    <w:pPr>
      <w:spacing w:after="120"/>
      <w:ind w:left="420" w:leftChars="200"/>
    </w:pPr>
    <w:rPr>
      <w:sz w:val="16"/>
      <w:szCs w:val="16"/>
    </w:rPr>
  </w:style>
  <w:style w:type="paragraph" w:styleId="42">
    <w:name w:val="toc 2"/>
    <w:basedOn w:val="1"/>
    <w:next w:val="1"/>
    <w:unhideWhenUsed/>
    <w:qFormat/>
    <w:uiPriority w:val="39"/>
    <w:pPr>
      <w:tabs>
        <w:tab w:val="right" w:leader="dot" w:pos="8450"/>
      </w:tabs>
      <w:ind w:left="420" w:leftChars="200"/>
    </w:pPr>
  </w:style>
  <w:style w:type="paragraph" w:styleId="43">
    <w:name w:val="toc 9"/>
    <w:basedOn w:val="1"/>
    <w:next w:val="1"/>
    <w:unhideWhenUsed/>
    <w:qFormat/>
    <w:uiPriority w:val="0"/>
    <w:pPr>
      <w:ind w:left="3360" w:leftChars="1600"/>
    </w:pPr>
    <w:rPr>
      <w:rFonts w:ascii="Calibri" w:hAnsi="Calibri"/>
      <w:szCs w:val="22"/>
    </w:rPr>
  </w:style>
  <w:style w:type="paragraph" w:styleId="44">
    <w:name w:val="Body Text 2"/>
    <w:basedOn w:val="1"/>
    <w:link w:val="70"/>
    <w:qFormat/>
    <w:uiPriority w:val="0"/>
    <w:pPr>
      <w:spacing w:after="120" w:line="480" w:lineRule="auto"/>
    </w:pPr>
  </w:style>
  <w:style w:type="paragraph" w:styleId="4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qFormat/>
    <w:uiPriority w:val="0"/>
    <w:pPr>
      <w:widowControl/>
      <w:spacing w:before="100" w:beforeAutospacing="1" w:after="100" w:afterAutospacing="1"/>
      <w:jc w:val="left"/>
    </w:pPr>
    <w:rPr>
      <w:rFonts w:ascii="宋体" w:hAnsi="宋体"/>
      <w:kern w:val="0"/>
      <w:sz w:val="24"/>
    </w:rPr>
  </w:style>
  <w:style w:type="paragraph" w:styleId="47">
    <w:name w:val="Title"/>
    <w:basedOn w:val="1"/>
    <w:next w:val="1"/>
    <w:link w:val="63"/>
    <w:qFormat/>
    <w:uiPriority w:val="0"/>
    <w:pPr>
      <w:spacing w:before="240" w:after="60"/>
      <w:jc w:val="center"/>
      <w:outlineLvl w:val="0"/>
    </w:pPr>
    <w:rPr>
      <w:rFonts w:ascii="Cambria" w:hAnsi="Cambria"/>
      <w:b/>
      <w:bCs/>
      <w:sz w:val="32"/>
      <w:szCs w:val="32"/>
    </w:rPr>
  </w:style>
  <w:style w:type="paragraph" w:styleId="48">
    <w:name w:val="annotation subject"/>
    <w:basedOn w:val="18"/>
    <w:next w:val="18"/>
    <w:semiHidden/>
    <w:qFormat/>
    <w:uiPriority w:val="0"/>
    <w:rPr>
      <w:b/>
      <w:bCs/>
    </w:rPr>
  </w:style>
  <w:style w:type="paragraph" w:styleId="49">
    <w:name w:val="Body Text First Indent"/>
    <w:basedOn w:val="20"/>
    <w:link w:val="104"/>
    <w:qFormat/>
    <w:uiPriority w:val="0"/>
    <w:pPr>
      <w:ind w:firstLine="420" w:firstLineChars="100"/>
    </w:pPr>
    <w:rPr>
      <w:rFonts w:ascii="宋体" w:hAnsi="Courier New"/>
      <w:kern w:val="0"/>
      <w:sz w:val="20"/>
      <w:szCs w:val="21"/>
    </w:rPr>
  </w:style>
  <w:style w:type="paragraph" w:styleId="50">
    <w:name w:val="Body Text First Indent 2"/>
    <w:basedOn w:val="1"/>
    <w:link w:val="68"/>
    <w:unhideWhenUsed/>
    <w:qFormat/>
    <w:uiPriority w:val="99"/>
    <w:pPr>
      <w:spacing w:after="120"/>
      <w:ind w:left="420" w:leftChars="200" w:firstLine="420" w:firstLineChars="200"/>
    </w:p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qFormat/>
    <w:uiPriority w:val="0"/>
    <w:rPr>
      <w:rFonts w:ascii="Tahoma" w:hAnsi="Tahoma" w:eastAsia="宋体"/>
      <w:b/>
      <w:bCs/>
      <w:spacing w:val="10"/>
      <w:kern w:val="2"/>
      <w:sz w:val="24"/>
      <w:szCs w:val="24"/>
      <w:lang w:val="en-US" w:eastAsia="zh-CN" w:bidi="ar-SA"/>
    </w:rPr>
  </w:style>
  <w:style w:type="character" w:styleId="55">
    <w:name w:val="page number"/>
    <w:basedOn w:val="53"/>
    <w:qFormat/>
    <w:uiPriority w:val="0"/>
  </w:style>
  <w:style w:type="character" w:styleId="56">
    <w:name w:val="FollowedHyperlink"/>
    <w:unhideWhenUsed/>
    <w:qFormat/>
    <w:uiPriority w:val="99"/>
    <w:rPr>
      <w:color w:val="464646"/>
      <w:u w:val="none"/>
    </w:rPr>
  </w:style>
  <w:style w:type="character" w:styleId="57">
    <w:name w:val="Emphasis"/>
    <w:qFormat/>
    <w:uiPriority w:val="20"/>
    <w:rPr>
      <w:color w:val="CC0000"/>
      <w:sz w:val="24"/>
      <w:szCs w:val="24"/>
    </w:rPr>
  </w:style>
  <w:style w:type="character" w:styleId="58">
    <w:name w:val="Hyperlink"/>
    <w:unhideWhenUsed/>
    <w:qFormat/>
    <w:uiPriority w:val="99"/>
    <w:rPr>
      <w:color w:val="464646"/>
      <w:u w:val="none"/>
    </w:rPr>
  </w:style>
  <w:style w:type="character" w:styleId="59">
    <w:name w:val="annotation reference"/>
    <w:qFormat/>
    <w:uiPriority w:val="0"/>
    <w:rPr>
      <w:sz w:val="21"/>
      <w:szCs w:val="21"/>
    </w:rPr>
  </w:style>
  <w:style w:type="character" w:styleId="60">
    <w:name w:val="HTML Cite"/>
    <w:unhideWhenUsed/>
    <w:qFormat/>
    <w:uiPriority w:val="99"/>
    <w:rPr>
      <w:sz w:val="24"/>
      <w:szCs w:val="24"/>
    </w:rPr>
  </w:style>
  <w:style w:type="character" w:customStyle="1" w:styleId="61">
    <w:name w:val="Char Char17"/>
    <w:qFormat/>
    <w:uiPriority w:val="0"/>
    <w:rPr>
      <w:rFonts w:ascii="Calibri" w:hAnsi="Calibri" w:eastAsia="宋体" w:cs="Times New Roman"/>
      <w:b/>
      <w:bCs/>
      <w:kern w:val="2"/>
      <w:sz w:val="32"/>
      <w:szCs w:val="32"/>
      <w:lang w:val="en-US" w:eastAsia="zh-CN" w:bidi="ar-SA"/>
    </w:rPr>
  </w:style>
  <w:style w:type="character" w:customStyle="1" w:styleId="62">
    <w:name w:val="fontorange1"/>
    <w:qFormat/>
    <w:uiPriority w:val="0"/>
    <w:rPr>
      <w:rFonts w:hint="default" w:ascii="ˎ̥" w:hAnsi="ˎ̥" w:eastAsia="宋体"/>
      <w:color w:val="FF6600"/>
      <w:kern w:val="2"/>
      <w:sz w:val="18"/>
      <w:szCs w:val="18"/>
      <w:lang w:val="en-US" w:eastAsia="zh-CN" w:bidi="ar-SA"/>
    </w:rPr>
  </w:style>
  <w:style w:type="character" w:customStyle="1" w:styleId="63">
    <w:name w:val="标题 Char"/>
    <w:link w:val="47"/>
    <w:qFormat/>
    <w:uiPriority w:val="0"/>
    <w:rPr>
      <w:rFonts w:ascii="Cambria" w:hAnsi="Cambria"/>
      <w:b/>
      <w:bCs/>
      <w:kern w:val="2"/>
      <w:sz w:val="32"/>
      <w:szCs w:val="32"/>
    </w:rPr>
  </w:style>
  <w:style w:type="character" w:customStyle="1" w:styleId="64">
    <w:name w:val="正文文本缩进 Char"/>
    <w:link w:val="21"/>
    <w:qFormat/>
    <w:uiPriority w:val="0"/>
    <w:rPr>
      <w:rFonts w:ascii="仿宋_GB2312" w:hAnsi="Times New Roman" w:eastAsia="仿宋_GB2312" w:cs="Times New Roman"/>
      <w:sz w:val="32"/>
      <w:szCs w:val="20"/>
    </w:rPr>
  </w:style>
  <w:style w:type="character" w:customStyle="1" w:styleId="65">
    <w:name w:val="标题 3 Char"/>
    <w:link w:val="5"/>
    <w:qFormat/>
    <w:uiPriority w:val="0"/>
    <w:rPr>
      <w:rFonts w:eastAsia="宋体"/>
      <w:b/>
      <w:bCs/>
      <w:kern w:val="2"/>
      <w:sz w:val="32"/>
      <w:szCs w:val="32"/>
      <w:lang w:val="en-US" w:eastAsia="zh-CN" w:bidi="ar-SA"/>
    </w:rPr>
  </w:style>
  <w:style w:type="character" w:customStyle="1" w:styleId="66">
    <w:name w:val="正文文本缩进 3 Char"/>
    <w:link w:val="41"/>
    <w:qFormat/>
    <w:uiPriority w:val="0"/>
    <w:rPr>
      <w:rFonts w:eastAsia="宋体"/>
      <w:kern w:val="2"/>
      <w:sz w:val="16"/>
      <w:szCs w:val="16"/>
      <w:lang w:val="en-US" w:eastAsia="zh-CN" w:bidi="ar-SA"/>
    </w:rPr>
  </w:style>
  <w:style w:type="character" w:customStyle="1" w:styleId="67">
    <w:name w:val="纯文本 Char1"/>
    <w:qFormat/>
    <w:uiPriority w:val="0"/>
    <w:rPr>
      <w:rFonts w:hint="eastAsia" w:ascii="宋体" w:hAnsi="Courier New" w:eastAsia="宋体" w:cs="Courier New"/>
      <w:kern w:val="2"/>
      <w:sz w:val="21"/>
      <w:szCs w:val="21"/>
    </w:rPr>
  </w:style>
  <w:style w:type="character" w:customStyle="1" w:styleId="68">
    <w:name w:val="正文首行缩进 2 Char"/>
    <w:basedOn w:val="64"/>
    <w:link w:val="50"/>
    <w:qFormat/>
    <w:uiPriority w:val="99"/>
    <w:rPr>
      <w:rFonts w:ascii="仿宋_GB2312" w:hAnsi="Times New Roman" w:eastAsia="仿宋_GB2312" w:cs="Times New Roman"/>
      <w:kern w:val="2"/>
      <w:sz w:val="21"/>
      <w:szCs w:val="24"/>
    </w:rPr>
  </w:style>
  <w:style w:type="character" w:customStyle="1" w:styleId="69">
    <w:name w:val="标题 5 Char"/>
    <w:link w:val="6"/>
    <w:qFormat/>
    <w:uiPriority w:val="0"/>
    <w:rPr>
      <w:rFonts w:eastAsia="宋体"/>
      <w:b/>
      <w:kern w:val="2"/>
      <w:sz w:val="28"/>
      <w:szCs w:val="24"/>
      <w:lang w:val="en-US" w:eastAsia="zh-CN" w:bidi="ar-SA"/>
    </w:rPr>
  </w:style>
  <w:style w:type="character" w:customStyle="1" w:styleId="70">
    <w:name w:val="正文文本 2 Char"/>
    <w:link w:val="44"/>
    <w:qFormat/>
    <w:uiPriority w:val="0"/>
    <w:rPr>
      <w:rFonts w:eastAsia="宋体"/>
      <w:kern w:val="2"/>
      <w:sz w:val="21"/>
      <w:szCs w:val="24"/>
      <w:lang w:val="en-US" w:eastAsia="zh-CN" w:bidi="ar-SA"/>
    </w:rPr>
  </w:style>
  <w:style w:type="character" w:customStyle="1" w:styleId="71">
    <w:name w:val="普通文字 Char Char2"/>
    <w:qFormat/>
    <w:uiPriority w:val="0"/>
    <w:rPr>
      <w:rFonts w:ascii="宋体" w:hAnsi="Courier New" w:eastAsia="宋体"/>
      <w:kern w:val="2"/>
      <w:sz w:val="21"/>
      <w:lang w:val="en-US" w:eastAsia="zh-CN" w:bidi="ar-SA"/>
    </w:rPr>
  </w:style>
  <w:style w:type="character" w:customStyle="1" w:styleId="72">
    <w:name w:val="Char Char16"/>
    <w:qFormat/>
    <w:uiPriority w:val="0"/>
    <w:rPr>
      <w:rFonts w:ascii="Calibri" w:hAnsi="Calibri" w:eastAsia="宋体" w:cs="Times New Roman"/>
      <w:b/>
      <w:bCs/>
      <w:sz w:val="24"/>
      <w:szCs w:val="24"/>
    </w:rPr>
  </w:style>
  <w:style w:type="character" w:customStyle="1" w:styleId="73">
    <w:name w:val="标题 7 Char"/>
    <w:link w:val="9"/>
    <w:qFormat/>
    <w:uiPriority w:val="0"/>
    <w:rPr>
      <w:rFonts w:eastAsia="宋体"/>
      <w:b/>
      <w:kern w:val="2"/>
      <w:sz w:val="24"/>
      <w:szCs w:val="24"/>
      <w:lang w:val="en-US" w:eastAsia="zh-CN" w:bidi="ar-SA"/>
    </w:rPr>
  </w:style>
  <w:style w:type="character" w:customStyle="1" w:styleId="74">
    <w:name w:val="Char Char14"/>
    <w:qFormat/>
    <w:uiPriority w:val="0"/>
    <w:rPr>
      <w:rFonts w:ascii="Cambria" w:hAnsi="Cambria" w:eastAsia="宋体" w:cs="Times New Roman"/>
      <w:sz w:val="21"/>
      <w:szCs w:val="21"/>
    </w:rPr>
  </w:style>
  <w:style w:type="character" w:customStyle="1" w:styleId="75">
    <w:name w:val="Char Char171"/>
    <w:qFormat/>
    <w:uiPriority w:val="0"/>
    <w:rPr>
      <w:rFonts w:ascii="Cambria" w:hAnsi="Cambria" w:eastAsia="宋体" w:cs="Times New Roman"/>
      <w:b/>
      <w:bCs/>
      <w:sz w:val="24"/>
      <w:szCs w:val="24"/>
    </w:rPr>
  </w:style>
  <w:style w:type="character" w:customStyle="1" w:styleId="76">
    <w:name w:val="标题 6 Char"/>
    <w:link w:val="8"/>
    <w:qFormat/>
    <w:uiPriority w:val="0"/>
    <w:rPr>
      <w:rFonts w:ascii="Arial" w:hAnsi="Arial" w:eastAsia="黑体"/>
      <w:b/>
      <w:kern w:val="2"/>
      <w:sz w:val="24"/>
      <w:szCs w:val="24"/>
      <w:lang w:val="en-US" w:eastAsia="zh-CN" w:bidi="ar-SA"/>
    </w:rPr>
  </w:style>
  <w:style w:type="character" w:customStyle="1" w:styleId="77">
    <w:name w:val="正文文本缩进 2 Char"/>
    <w:link w:val="29"/>
    <w:qFormat/>
    <w:uiPriority w:val="0"/>
    <w:rPr>
      <w:rFonts w:eastAsia="宋体"/>
      <w:kern w:val="2"/>
      <w:sz w:val="32"/>
      <w:lang w:val="en-US" w:eastAsia="zh-CN" w:bidi="ar-SA"/>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3 Char"/>
    <w:link w:val="19"/>
    <w:qFormat/>
    <w:uiPriority w:val="0"/>
    <w:rPr>
      <w:rFonts w:eastAsia="宋体"/>
      <w:b/>
      <w:bCs/>
      <w:kern w:val="2"/>
      <w:sz w:val="24"/>
      <w:szCs w:val="24"/>
      <w:lang w:val="en-US" w:eastAsia="zh-CN" w:bidi="ar-SA"/>
    </w:rPr>
  </w:style>
  <w:style w:type="character" w:customStyle="1" w:styleId="80">
    <w:name w:val="日期 Char"/>
    <w:link w:val="28"/>
    <w:semiHidden/>
    <w:qFormat/>
    <w:uiPriority w:val="99"/>
    <w:rPr>
      <w:rFonts w:ascii="Times New Roman" w:hAnsi="Times New Roman"/>
      <w:kern w:val="2"/>
      <w:sz w:val="21"/>
      <w:szCs w:val="24"/>
    </w:rPr>
  </w:style>
  <w:style w:type="character" w:customStyle="1" w:styleId="81">
    <w:name w:val="五级标题 Char"/>
    <w:link w:val="82"/>
    <w:qFormat/>
    <w:uiPriority w:val="0"/>
    <w:rPr>
      <w:rFonts w:eastAsia="黑体"/>
      <w:b/>
      <w:kern w:val="2"/>
      <w:sz w:val="28"/>
      <w:lang w:bidi="ar-SA"/>
    </w:rPr>
  </w:style>
  <w:style w:type="paragraph" w:customStyle="1" w:styleId="82">
    <w:name w:val="五级标题"/>
    <w:basedOn w:val="1"/>
    <w:link w:val="81"/>
    <w:qFormat/>
    <w:uiPriority w:val="0"/>
    <w:pPr>
      <w:numPr>
        <w:ilvl w:val="0"/>
        <w:numId w:val="3"/>
      </w:numPr>
      <w:spacing w:line="360" w:lineRule="auto"/>
      <w:outlineLvl w:val="4"/>
    </w:pPr>
    <w:rPr>
      <w:rFonts w:eastAsia="黑体"/>
      <w:b/>
      <w:sz w:val="28"/>
      <w:szCs w:val="20"/>
    </w:rPr>
  </w:style>
  <w:style w:type="character" w:customStyle="1" w:styleId="83">
    <w:name w:val="纯文本 Char"/>
    <w:qFormat/>
    <w:uiPriority w:val="99"/>
    <w:rPr>
      <w:rFonts w:hint="eastAsia" w:ascii="宋体" w:hAnsi="Courier New" w:eastAsia="宋体" w:cs="Courier New"/>
      <w:szCs w:val="21"/>
    </w:rPr>
  </w:style>
  <w:style w:type="character" w:customStyle="1" w:styleId="84">
    <w:name w:val="apple-style-span"/>
    <w:basedOn w:val="53"/>
    <w:qFormat/>
    <w:uiPriority w:val="0"/>
  </w:style>
  <w:style w:type="character" w:customStyle="1" w:styleId="85">
    <w:name w:val="hr6"/>
    <w:basedOn w:val="53"/>
    <w:qFormat/>
    <w:uiPriority w:val="0"/>
  </w:style>
  <w:style w:type="character" w:customStyle="1" w:styleId="86">
    <w:name w:val="页眉 Char"/>
    <w:link w:val="33"/>
    <w:qFormat/>
    <w:uiPriority w:val="99"/>
    <w:rPr>
      <w:sz w:val="18"/>
      <w:szCs w:val="18"/>
    </w:rPr>
  </w:style>
  <w:style w:type="character" w:customStyle="1" w:styleId="87">
    <w:name w:val="标题 8 Char"/>
    <w:link w:val="10"/>
    <w:qFormat/>
    <w:uiPriority w:val="0"/>
    <w:rPr>
      <w:rFonts w:ascii="Arial" w:hAnsi="Arial" w:eastAsia="黑体"/>
      <w:kern w:val="2"/>
      <w:sz w:val="24"/>
      <w:szCs w:val="24"/>
      <w:lang w:val="en-US" w:eastAsia="zh-CN" w:bidi="ar-SA"/>
    </w:rPr>
  </w:style>
  <w:style w:type="character" w:customStyle="1" w:styleId="88">
    <w:name w:val="正文文本 Char"/>
    <w:link w:val="20"/>
    <w:qFormat/>
    <w:uiPriority w:val="99"/>
    <w:rPr>
      <w:rFonts w:ascii="Times New Roman" w:hAnsi="Times New Roman"/>
      <w:kern w:val="2"/>
      <w:sz w:val="21"/>
      <w:szCs w:val="24"/>
    </w:rPr>
  </w:style>
  <w:style w:type="character" w:customStyle="1" w:styleId="89">
    <w:name w:val="bz"/>
    <w:basedOn w:val="53"/>
    <w:qFormat/>
    <w:uiPriority w:val="0"/>
  </w:style>
  <w:style w:type="character" w:customStyle="1" w:styleId="90">
    <w:name w:val="apple-converted-space"/>
    <w:basedOn w:val="53"/>
    <w:qFormat/>
    <w:uiPriority w:val="0"/>
  </w:style>
  <w:style w:type="character" w:customStyle="1" w:styleId="91">
    <w:name w:val="Char Char13"/>
    <w:qFormat/>
    <w:uiPriority w:val="0"/>
    <w:rPr>
      <w:rFonts w:ascii="Times New Roman" w:hAnsi="Times New Roman" w:eastAsia="宋体" w:cs="Times New Roman"/>
      <w:kern w:val="2"/>
      <w:sz w:val="18"/>
      <w:szCs w:val="18"/>
    </w:rPr>
  </w:style>
  <w:style w:type="character" w:customStyle="1" w:styleId="92">
    <w:name w:val="纯文本 Char2"/>
    <w:link w:val="26"/>
    <w:qFormat/>
    <w:uiPriority w:val="99"/>
    <w:rPr>
      <w:rFonts w:ascii="宋体" w:hAnsi="Courier New" w:eastAsia="宋体" w:cs="Courier New"/>
      <w:szCs w:val="21"/>
    </w:rPr>
  </w:style>
  <w:style w:type="character" w:customStyle="1" w:styleId="93">
    <w:name w:val="Char Char12"/>
    <w:qFormat/>
    <w:uiPriority w:val="0"/>
    <w:rPr>
      <w:rFonts w:ascii="Times New Roman" w:hAnsi="Times New Roman" w:eastAsia="宋体" w:cs="Times New Roman"/>
      <w:kern w:val="2"/>
      <w:sz w:val="18"/>
      <w:szCs w:val="18"/>
    </w:rPr>
  </w:style>
  <w:style w:type="character" w:customStyle="1" w:styleId="94">
    <w:name w:val="textcontents"/>
    <w:basedOn w:val="53"/>
    <w:qFormat/>
    <w:uiPriority w:val="0"/>
  </w:style>
  <w:style w:type="character" w:customStyle="1" w:styleId="95">
    <w:name w:val="页脚 Char"/>
    <w:link w:val="32"/>
    <w:semiHidden/>
    <w:qFormat/>
    <w:uiPriority w:val="99"/>
    <w:rPr>
      <w:sz w:val="18"/>
      <w:szCs w:val="18"/>
    </w:rPr>
  </w:style>
  <w:style w:type="character" w:customStyle="1" w:styleId="96">
    <w:name w:val="标题 4 Char"/>
    <w:link w:val="2"/>
    <w:qFormat/>
    <w:uiPriority w:val="0"/>
    <w:rPr>
      <w:rFonts w:ascii="Arial" w:hAnsi="Arial" w:eastAsia="黑体"/>
      <w:b/>
      <w:bCs/>
      <w:kern w:val="2"/>
      <w:sz w:val="28"/>
      <w:szCs w:val="28"/>
      <w:lang w:val="en-US" w:eastAsia="zh-CN" w:bidi="ar-SA"/>
    </w:rPr>
  </w:style>
  <w:style w:type="character" w:customStyle="1" w:styleId="97">
    <w:name w:val="标题-3 Char"/>
    <w:link w:val="98"/>
    <w:qFormat/>
    <w:uiPriority w:val="0"/>
    <w:rPr>
      <w:rFonts w:ascii="宋体" w:hAnsi="宋体" w:eastAsia="宋体"/>
      <w:b/>
      <w:sz w:val="24"/>
      <w:szCs w:val="24"/>
      <w:lang w:bidi="ar-SA"/>
    </w:rPr>
  </w:style>
  <w:style w:type="paragraph" w:customStyle="1" w:styleId="98">
    <w:name w:val="标题-3"/>
    <w:basedOn w:val="1"/>
    <w:link w:val="97"/>
    <w:qFormat/>
    <w:uiPriority w:val="0"/>
    <w:pPr>
      <w:spacing w:beforeLines="50" w:afterLines="50"/>
      <w:outlineLvl w:val="2"/>
    </w:pPr>
    <w:rPr>
      <w:rFonts w:ascii="宋体" w:hAnsi="宋体"/>
      <w:b/>
      <w:kern w:val="0"/>
      <w:sz w:val="24"/>
    </w:rPr>
  </w:style>
  <w:style w:type="character" w:customStyle="1" w:styleId="99">
    <w:name w:val="current"/>
    <w:qFormat/>
    <w:uiPriority w:val="0"/>
    <w:rPr>
      <w:b/>
      <w:color w:val="99210B"/>
    </w:rPr>
  </w:style>
  <w:style w:type="character" w:customStyle="1" w:styleId="100">
    <w:name w:val="Char Char11"/>
    <w:qFormat/>
    <w:uiPriority w:val="0"/>
    <w:rPr>
      <w:rFonts w:ascii="Times New Roman" w:hAnsi="Times New Roman" w:eastAsia="宋体" w:cs="Times New Roman"/>
      <w:kern w:val="2"/>
      <w:sz w:val="21"/>
      <w:szCs w:val="20"/>
    </w:rPr>
  </w:style>
  <w:style w:type="character" w:customStyle="1" w:styleId="101">
    <w:name w:val="2nd level Char"/>
    <w:qFormat/>
    <w:uiPriority w:val="0"/>
    <w:rPr>
      <w:rFonts w:ascii="Arial" w:hAnsi="Arial" w:eastAsia="黑体" w:cs="Times New Roman"/>
      <w:b/>
      <w:bCs/>
      <w:kern w:val="2"/>
      <w:sz w:val="32"/>
      <w:szCs w:val="32"/>
    </w:rPr>
  </w:style>
  <w:style w:type="character" w:customStyle="1" w:styleId="102">
    <w:name w:val="short_text"/>
    <w:qFormat/>
    <w:uiPriority w:val="0"/>
    <w:rPr>
      <w:rFonts w:eastAsia="宋体"/>
      <w:kern w:val="2"/>
      <w:sz w:val="24"/>
      <w:szCs w:val="24"/>
      <w:lang w:val="en-US" w:eastAsia="zh-CN" w:bidi="ar-SA"/>
    </w:rPr>
  </w:style>
  <w:style w:type="character" w:customStyle="1" w:styleId="103">
    <w:name w:val="标题 2 Char"/>
    <w:qFormat/>
    <w:uiPriority w:val="0"/>
    <w:rPr>
      <w:rFonts w:ascii="Cambria" w:hAnsi="Cambria" w:eastAsia="宋体" w:cs="Times New Roman"/>
      <w:b/>
      <w:bCs/>
      <w:color w:val="4F81BD"/>
      <w:kern w:val="2"/>
      <w:sz w:val="26"/>
      <w:szCs w:val="26"/>
    </w:rPr>
  </w:style>
  <w:style w:type="character" w:customStyle="1" w:styleId="104">
    <w:name w:val="正文首行缩进 Char"/>
    <w:link w:val="49"/>
    <w:qFormat/>
    <w:uiPriority w:val="0"/>
    <w:rPr>
      <w:rFonts w:ascii="宋体" w:hAnsi="Courier New" w:eastAsia="宋体" w:cs="Courier New"/>
      <w:szCs w:val="21"/>
    </w:rPr>
  </w:style>
  <w:style w:type="character" w:customStyle="1" w:styleId="105">
    <w:name w:val="ca-12"/>
    <w:qFormat/>
    <w:uiPriority w:val="0"/>
    <w:rPr>
      <w:rFonts w:eastAsia="宋体" w:cs="Times New Roman"/>
      <w:kern w:val="2"/>
      <w:sz w:val="24"/>
      <w:szCs w:val="24"/>
      <w:lang w:val="en-US" w:eastAsia="zh-CN" w:bidi="ar-SA"/>
    </w:rPr>
  </w:style>
  <w:style w:type="character" w:customStyle="1" w:styleId="106">
    <w:name w:val="Char Char18"/>
    <w:qFormat/>
    <w:uiPriority w:val="0"/>
    <w:rPr>
      <w:rFonts w:ascii="Calibri" w:hAnsi="Calibri" w:eastAsia="宋体" w:cs="Times New Roman"/>
      <w:b/>
      <w:bCs/>
      <w:sz w:val="28"/>
      <w:szCs w:val="28"/>
    </w:rPr>
  </w:style>
  <w:style w:type="character" w:customStyle="1" w:styleId="107">
    <w:name w:val="Char Char15"/>
    <w:qFormat/>
    <w:uiPriority w:val="0"/>
    <w:rPr>
      <w:rFonts w:ascii="Cambria" w:hAnsi="Cambria" w:eastAsia="宋体" w:cs="Times New Roman"/>
      <w:sz w:val="24"/>
      <w:szCs w:val="24"/>
    </w:rPr>
  </w:style>
  <w:style w:type="character" w:customStyle="1" w:styleId="108">
    <w:name w:val="标题 2 Char1"/>
    <w:link w:val="4"/>
    <w:qFormat/>
    <w:uiPriority w:val="9"/>
    <w:rPr>
      <w:rFonts w:ascii="Cambria" w:hAnsi="Cambria" w:eastAsia="宋体" w:cs="Times New Roman"/>
      <w:b/>
      <w:bCs/>
      <w:kern w:val="2"/>
      <w:sz w:val="32"/>
      <w:szCs w:val="32"/>
    </w:rPr>
  </w:style>
  <w:style w:type="character" w:customStyle="1" w:styleId="109">
    <w:name w:val="正文缩进 Char"/>
    <w:link w:val="7"/>
    <w:qFormat/>
    <w:uiPriority w:val="0"/>
    <w:rPr>
      <w:rFonts w:eastAsia="宋体"/>
      <w:kern w:val="2"/>
      <w:sz w:val="21"/>
      <w:lang w:val="en-US" w:eastAsia="zh-CN" w:bidi="ar-SA"/>
    </w:rPr>
  </w:style>
  <w:style w:type="character" w:customStyle="1" w:styleId="110">
    <w:name w:val="正文小标题 Char Char"/>
    <w:qFormat/>
    <w:uiPriority w:val="0"/>
    <w:rPr>
      <w:rFonts w:ascii="仿宋_GB2312" w:hAnsi="Times New Roman" w:eastAsia="仿宋_GB2312" w:cs="Times New Roman"/>
      <w:kern w:val="2"/>
      <w:sz w:val="32"/>
      <w:szCs w:val="20"/>
    </w:rPr>
  </w:style>
  <w:style w:type="character" w:customStyle="1" w:styleId="111">
    <w:name w:val="批注文字 Char"/>
    <w:link w:val="18"/>
    <w:qFormat/>
    <w:uiPriority w:val="0"/>
    <w:rPr>
      <w:rFonts w:ascii="Times New Roman" w:hAnsi="Times New Roman"/>
      <w:kern w:val="2"/>
      <w:sz w:val="21"/>
      <w:szCs w:val="24"/>
    </w:rPr>
  </w:style>
  <w:style w:type="character" w:customStyle="1" w:styleId="112">
    <w:name w:val="四级标题 Char"/>
    <w:link w:val="113"/>
    <w:qFormat/>
    <w:uiPriority w:val="0"/>
    <w:rPr>
      <w:rFonts w:eastAsia="黑体"/>
      <w:b/>
      <w:kern w:val="2"/>
      <w:sz w:val="28"/>
      <w:lang w:bidi="ar-SA"/>
    </w:rPr>
  </w:style>
  <w:style w:type="paragraph" w:customStyle="1" w:styleId="113">
    <w:name w:val="四级标题"/>
    <w:basedOn w:val="1"/>
    <w:link w:val="112"/>
    <w:qFormat/>
    <w:uiPriority w:val="0"/>
    <w:pPr>
      <w:numPr>
        <w:ilvl w:val="0"/>
        <w:numId w:val="4"/>
      </w:numPr>
      <w:spacing w:line="360" w:lineRule="auto"/>
      <w:outlineLvl w:val="3"/>
    </w:pPr>
    <w:rPr>
      <w:rFonts w:eastAsia="黑体"/>
      <w:b/>
      <w:sz w:val="28"/>
      <w:szCs w:val="20"/>
    </w:rPr>
  </w:style>
  <w:style w:type="character" w:customStyle="1" w:styleId="114">
    <w:name w:val="Char Char9"/>
    <w:qFormat/>
    <w:uiPriority w:val="0"/>
    <w:rPr>
      <w:rFonts w:ascii="Calibri" w:hAnsi="Calibri" w:eastAsia="宋体" w:cs="Times New Roman"/>
      <w:kern w:val="2"/>
      <w:sz w:val="18"/>
      <w:szCs w:val="18"/>
      <w:lang w:val="en-US" w:eastAsia="zh-CN" w:bidi="ar-SA"/>
    </w:rPr>
  </w:style>
  <w:style w:type="character" w:customStyle="1" w:styleId="115">
    <w:name w:val="无缩进 Char"/>
    <w:qFormat/>
    <w:uiPriority w:val="0"/>
    <w:rPr>
      <w:rFonts w:ascii="Times New Roman" w:hAnsi="Times New Roman" w:eastAsia="宋体" w:cs="Times New Roman"/>
      <w:kern w:val="2"/>
      <w:sz w:val="21"/>
      <w:szCs w:val="20"/>
    </w:rPr>
  </w:style>
  <w:style w:type="character" w:customStyle="1" w:styleId="116">
    <w:name w:val="标题 9 Char"/>
    <w:link w:val="11"/>
    <w:qFormat/>
    <w:uiPriority w:val="0"/>
    <w:rPr>
      <w:rFonts w:ascii="Arial" w:hAnsi="Arial" w:eastAsia="黑体"/>
      <w:kern w:val="2"/>
      <w:sz w:val="21"/>
      <w:szCs w:val="24"/>
      <w:lang w:val="en-US" w:eastAsia="zh-CN" w:bidi="ar-SA"/>
    </w:rPr>
  </w:style>
  <w:style w:type="paragraph" w:customStyle="1" w:styleId="117">
    <w:name w:val="题注4"/>
    <w:basedOn w:val="1"/>
    <w:next w:val="16"/>
    <w:qFormat/>
    <w:uiPriority w:val="0"/>
    <w:pPr>
      <w:ind w:left="-132" w:leftChars="-64" w:right="-105" w:rightChars="-50" w:hanging="2"/>
      <w:jc w:val="center"/>
    </w:pPr>
    <w:rPr>
      <w:b/>
      <w:color w:val="FF0000"/>
      <w:szCs w:val="21"/>
      <w:lang w:val="en-GB"/>
    </w:rPr>
  </w:style>
  <w:style w:type="paragraph" w:customStyle="1" w:styleId="11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19">
    <w:name w:val="默认段落字体 Para Char"/>
    <w:basedOn w:val="1"/>
    <w:qFormat/>
    <w:uiPriority w:val="0"/>
    <w:rPr>
      <w:rFonts w:ascii="宋体" w:hAnsi="宋体"/>
      <w:b/>
      <w:sz w:val="28"/>
      <w:szCs w:val="28"/>
    </w:rPr>
  </w:style>
  <w:style w:type="paragraph" w:customStyle="1" w:styleId="120">
    <w:name w:val="Char Char Char"/>
    <w:basedOn w:val="1"/>
    <w:qFormat/>
    <w:uiPriority w:val="0"/>
    <w:rPr>
      <w:rFonts w:ascii="Tahoma" w:hAnsi="Tahoma"/>
      <w:sz w:val="24"/>
      <w:szCs w:val="20"/>
    </w:rPr>
  </w:style>
  <w:style w:type="paragraph" w:customStyle="1" w:styleId="12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22">
    <w:name w:val="Char Char Char Char Char Char Char"/>
    <w:basedOn w:val="1"/>
    <w:qFormat/>
    <w:uiPriority w:val="0"/>
    <w:pPr>
      <w:tabs>
        <w:tab w:val="left" w:pos="425"/>
      </w:tabs>
      <w:ind w:left="425" w:hanging="425"/>
    </w:pPr>
    <w:rPr>
      <w:rFonts w:eastAsia="仿宋_GB2312"/>
      <w:kern w:val="24"/>
      <w:sz w:val="24"/>
    </w:rPr>
  </w:style>
  <w:style w:type="paragraph" w:customStyle="1" w:styleId="123">
    <w:name w:val="招标文件样式2"/>
    <w:basedOn w:val="1"/>
    <w:qFormat/>
    <w:uiPriority w:val="0"/>
    <w:pPr>
      <w:jc w:val="center"/>
      <w:outlineLvl w:val="0"/>
    </w:pPr>
    <w:rPr>
      <w:rFonts w:ascii="宋体" w:hAnsi="宋体"/>
      <w:b/>
      <w:sz w:val="28"/>
      <w:szCs w:val="28"/>
    </w:rPr>
  </w:style>
  <w:style w:type="paragraph" w:customStyle="1" w:styleId="124">
    <w:name w:val="TOC 标题1"/>
    <w:basedOn w:val="3"/>
    <w:next w:val="1"/>
    <w:qFormat/>
    <w:uiPriority w:val="0"/>
    <w:pPr>
      <w:widowControl/>
      <w:numPr>
        <w:ilvl w:val="0"/>
        <w:numId w:val="5"/>
      </w:numPr>
      <w:spacing w:before="480" w:after="0" w:line="276" w:lineRule="auto"/>
      <w:jc w:val="left"/>
      <w:outlineLvl w:val="9"/>
    </w:pPr>
    <w:rPr>
      <w:rFonts w:ascii="Cambria" w:hAnsi="Cambria"/>
      <w:color w:val="365F91"/>
      <w:kern w:val="0"/>
      <w:sz w:val="28"/>
      <w:szCs w:val="28"/>
    </w:rPr>
  </w:style>
  <w:style w:type="paragraph" w:customStyle="1" w:styleId="125">
    <w:name w:val="正文首行缩进两字符"/>
    <w:basedOn w:val="1"/>
    <w:qFormat/>
    <w:uiPriority w:val="0"/>
    <w:pPr>
      <w:spacing w:line="360" w:lineRule="auto"/>
      <w:ind w:firstLine="200" w:firstLineChars="200"/>
    </w:pPr>
  </w:style>
  <w:style w:type="paragraph" w:customStyle="1" w:styleId="126">
    <w:name w:val="Char1"/>
    <w:basedOn w:val="1"/>
    <w:qFormat/>
    <w:uiPriority w:val="0"/>
    <w:rPr>
      <w:szCs w:val="21"/>
    </w:rPr>
  </w:style>
  <w:style w:type="paragraph" w:customStyle="1" w:styleId="127">
    <w:name w:val="Char Char2 Char"/>
    <w:basedOn w:val="1"/>
    <w:qFormat/>
    <w:uiPriority w:val="0"/>
    <w:rPr>
      <w:rFonts w:ascii="宋体" w:hAnsi="宋体"/>
      <w:b/>
      <w:sz w:val="28"/>
      <w:szCs w:val="28"/>
    </w:rPr>
  </w:style>
  <w:style w:type="paragraph" w:customStyle="1" w:styleId="128">
    <w:name w:val="办公自动化专用标题"/>
    <w:basedOn w:val="47"/>
    <w:qFormat/>
    <w:uiPriority w:val="0"/>
    <w:pPr>
      <w:spacing w:line="560" w:lineRule="atLeast"/>
    </w:pPr>
    <w:rPr>
      <w:rFonts w:ascii="宋体" w:hAnsi="Arial"/>
      <w:bCs w:val="0"/>
      <w:sz w:val="44"/>
      <w:szCs w:val="20"/>
    </w:rPr>
  </w:style>
  <w:style w:type="paragraph" w:customStyle="1" w:styleId="129">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30">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31">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2">
    <w:name w:val="Zchn Zchn"/>
    <w:basedOn w:val="1"/>
    <w:qFormat/>
    <w:uiPriority w:val="0"/>
    <w:rPr>
      <w:rFonts w:ascii="Tahoma" w:hAnsi="Tahoma"/>
      <w:sz w:val="24"/>
      <w:szCs w:val="20"/>
    </w:rPr>
  </w:style>
  <w:style w:type="paragraph" w:customStyle="1" w:styleId="133">
    <w:name w:val="List Paragraph1"/>
    <w:basedOn w:val="1"/>
    <w:qFormat/>
    <w:uiPriority w:val="0"/>
    <w:pPr>
      <w:widowControl/>
      <w:spacing w:after="200" w:line="276" w:lineRule="auto"/>
      <w:ind w:left="720"/>
      <w:jc w:val="left"/>
    </w:pPr>
    <w:rPr>
      <w:rFonts w:ascii="Calibri" w:hAnsi="Calibri"/>
      <w:kern w:val="0"/>
      <w:sz w:val="22"/>
      <w:szCs w:val="22"/>
    </w:rPr>
  </w:style>
  <w:style w:type="paragraph" w:customStyle="1" w:styleId="134">
    <w:name w:val="默认段落字体 Para Char Char Char Char Char Char Char Char Char1 Char Char Char Char"/>
    <w:basedOn w:val="1"/>
    <w:qFormat/>
    <w:uiPriority w:val="0"/>
    <w:rPr>
      <w:rFonts w:ascii="Tahoma" w:hAnsi="Tahoma"/>
      <w:sz w:val="24"/>
      <w:szCs w:val="20"/>
    </w:rPr>
  </w:style>
  <w:style w:type="paragraph" w:customStyle="1" w:styleId="135">
    <w:name w:val="缩进正文"/>
    <w:basedOn w:val="1"/>
    <w:qFormat/>
    <w:uiPriority w:val="0"/>
    <w:pPr>
      <w:adjustRightInd w:val="0"/>
      <w:ind w:right="238" w:firstLine="200" w:firstLineChars="200"/>
    </w:pPr>
    <w:rPr>
      <w:rFonts w:cs="宋体"/>
    </w:rPr>
  </w:style>
  <w:style w:type="paragraph" w:customStyle="1" w:styleId="136">
    <w:name w:val="_Style 2"/>
    <w:basedOn w:val="1"/>
    <w:qFormat/>
    <w:uiPriority w:val="99"/>
    <w:pPr>
      <w:ind w:firstLine="420" w:firstLineChars="200"/>
    </w:pPr>
  </w:style>
  <w:style w:type="paragraph" w:customStyle="1" w:styleId="137">
    <w:name w:val="题注5"/>
    <w:basedOn w:val="1"/>
    <w:next w:val="16"/>
    <w:qFormat/>
    <w:uiPriority w:val="0"/>
    <w:pPr>
      <w:jc w:val="center"/>
    </w:pPr>
    <w:rPr>
      <w:b/>
      <w:color w:val="000000"/>
      <w:sz w:val="24"/>
      <w:szCs w:val="21"/>
    </w:rPr>
  </w:style>
  <w:style w:type="paragraph" w:customStyle="1" w:styleId="138">
    <w:name w:val="2"/>
    <w:basedOn w:val="1"/>
    <w:next w:val="26"/>
    <w:qFormat/>
    <w:uiPriority w:val="0"/>
    <w:rPr>
      <w:rFonts w:ascii="宋体" w:hAnsi="Courier New"/>
      <w:szCs w:val="20"/>
    </w:rPr>
  </w:style>
  <w:style w:type="paragraph" w:customStyle="1" w:styleId="139">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40">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4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142">
    <w:name w:val="Char2"/>
    <w:basedOn w:val="17"/>
    <w:semiHidden/>
    <w:qFormat/>
    <w:uiPriority w:val="0"/>
    <w:rPr>
      <w:rFonts w:ascii="Tahoma" w:hAnsi="Tahoma" w:cs="Tahoma"/>
      <w:kern w:val="0"/>
      <w:sz w:val="18"/>
    </w:rPr>
  </w:style>
  <w:style w:type="paragraph" w:customStyle="1" w:styleId="143">
    <w:name w:val="Char Char Char Char Char Char"/>
    <w:basedOn w:val="1"/>
    <w:qFormat/>
    <w:uiPriority w:val="0"/>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14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46">
    <w:name w:val="正文列表"/>
    <w:basedOn w:val="1"/>
    <w:qFormat/>
    <w:uiPriority w:val="0"/>
    <w:pPr>
      <w:autoSpaceDE w:val="0"/>
      <w:autoSpaceDN w:val="0"/>
      <w:adjustRightInd w:val="0"/>
      <w:jc w:val="center"/>
      <w:textAlignment w:val="baseline"/>
    </w:pPr>
    <w:rPr>
      <w:rFonts w:ascii="宋体" w:hAnsi="宋体"/>
      <w:kern w:val="0"/>
      <w:sz w:val="24"/>
      <w:szCs w:val="20"/>
    </w:rPr>
  </w:style>
  <w:style w:type="paragraph" w:customStyle="1" w:styleId="147">
    <w:name w:val="表格文字"/>
    <w:basedOn w:val="1"/>
    <w:qFormat/>
    <w:uiPriority w:val="0"/>
    <w:pPr>
      <w:spacing w:before="25" w:after="25"/>
      <w:jc w:val="left"/>
    </w:pPr>
    <w:rPr>
      <w:bCs/>
      <w:spacing w:val="10"/>
      <w:kern w:val="0"/>
      <w:sz w:val="24"/>
      <w:szCs w:val="20"/>
    </w:rPr>
  </w:style>
  <w:style w:type="paragraph" w:customStyle="1" w:styleId="14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9">
    <w:name w:val="Char Char2 Char Char Char Char Char"/>
    <w:basedOn w:val="1"/>
    <w:qFormat/>
    <w:uiPriority w:val="0"/>
    <w:pPr>
      <w:numPr>
        <w:ilvl w:val="0"/>
        <w:numId w:val="6"/>
      </w:numPr>
    </w:pPr>
    <w:rPr>
      <w:sz w:val="24"/>
    </w:rPr>
  </w:style>
  <w:style w:type="paragraph" w:customStyle="1" w:styleId="150">
    <w:name w:val="样式 标题 2 + 宋体"/>
    <w:basedOn w:val="4"/>
    <w:qFormat/>
    <w:uiPriority w:val="99"/>
    <w:pPr>
      <w:tabs>
        <w:tab w:val="left" w:pos="1021"/>
      </w:tabs>
    </w:pPr>
    <w:rPr>
      <w:rFonts w:ascii="宋体" w:hAnsi="宋体"/>
      <w:sz w:val="30"/>
    </w:rPr>
  </w:style>
  <w:style w:type="paragraph" w:customStyle="1" w:styleId="151">
    <w:name w:val="Copyright"/>
    <w:basedOn w:val="1"/>
    <w:qFormat/>
    <w:uiPriority w:val="0"/>
    <w:pPr>
      <w:widowControl/>
      <w:spacing w:before="480" w:after="60"/>
      <w:jc w:val="center"/>
    </w:pPr>
    <w:rPr>
      <w:rFonts w:ascii="Trebuchet MS" w:hAnsi="Trebuchet MS" w:cs="Trebuchet MS"/>
      <w:b/>
      <w:color w:val="042D56"/>
      <w:kern w:val="0"/>
      <w:sz w:val="20"/>
      <w:lang w:val="en-AU" w:eastAsia="en-AU"/>
    </w:rPr>
  </w:style>
  <w:style w:type="paragraph" w:customStyle="1" w:styleId="152">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3">
    <w:name w:val="样式 首行缩进:  2 字符"/>
    <w:basedOn w:val="1"/>
    <w:qFormat/>
    <w:uiPriority w:val="0"/>
    <w:pPr>
      <w:spacing w:line="400" w:lineRule="exact"/>
      <w:ind w:firstLine="200" w:firstLineChars="200"/>
    </w:pPr>
    <w:rPr>
      <w:rFonts w:cs="宋体"/>
      <w:sz w:val="24"/>
    </w:rPr>
  </w:style>
  <w:style w:type="paragraph" w:customStyle="1" w:styleId="154">
    <w:name w:val="表格"/>
    <w:basedOn w:val="1"/>
    <w:qFormat/>
    <w:uiPriority w:val="0"/>
    <w:pPr>
      <w:spacing w:line="400" w:lineRule="exact"/>
    </w:pPr>
    <w:rPr>
      <w:sz w:val="24"/>
    </w:rPr>
  </w:style>
  <w:style w:type="paragraph" w:customStyle="1" w:styleId="155">
    <w:name w:val="正文 A"/>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customStyle="1" w:styleId="156">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157">
    <w:name w:val="正文段"/>
    <w:basedOn w:val="1"/>
    <w:qFormat/>
    <w:uiPriority w:val="0"/>
    <w:pPr>
      <w:widowControl/>
      <w:snapToGrid w:val="0"/>
      <w:spacing w:afterLines="50"/>
      <w:ind w:firstLine="200" w:firstLineChars="200"/>
    </w:pPr>
    <w:rPr>
      <w:kern w:val="0"/>
      <w:sz w:val="24"/>
      <w:szCs w:val="20"/>
    </w:rPr>
  </w:style>
  <w:style w:type="paragraph" w:styleId="158">
    <w:name w:val="List Paragraph"/>
    <w:basedOn w:val="1"/>
    <w:qFormat/>
    <w:uiPriority w:val="0"/>
    <w:pPr>
      <w:ind w:firstLine="420" w:firstLineChars="200"/>
    </w:pPr>
  </w:style>
  <w:style w:type="paragraph" w:customStyle="1" w:styleId="159">
    <w:name w:val="Char Char Char Char"/>
    <w:basedOn w:val="1"/>
    <w:qFormat/>
    <w:uiPriority w:val="0"/>
    <w:pPr>
      <w:tabs>
        <w:tab w:val="left" w:pos="780"/>
      </w:tabs>
      <w:ind w:left="780" w:hanging="360"/>
    </w:pPr>
    <w:rPr>
      <w:sz w:val="24"/>
    </w:rPr>
  </w:style>
  <w:style w:type="paragraph" w:customStyle="1" w:styleId="160">
    <w:name w:val="正文1"/>
    <w:qFormat/>
    <w:uiPriority w:val="0"/>
    <w:rPr>
      <w:rFonts w:ascii="Times New Roman" w:hAnsi="Times New Roman" w:eastAsia="Times New Roman" w:cs="Times New Roman"/>
      <w:sz w:val="24"/>
      <w:szCs w:val="24"/>
      <w:lang w:val="en-US" w:eastAsia="zh-CN" w:bidi="ar-SA"/>
    </w:rPr>
  </w:style>
  <w:style w:type="paragraph" w:customStyle="1" w:styleId="161">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4D444-789E-4083-85CB-B9E9BA29ADB9}">
  <ds:schemaRefs/>
</ds:datastoreItem>
</file>

<file path=docProps/app.xml><?xml version="1.0" encoding="utf-8"?>
<Properties xmlns="http://schemas.openxmlformats.org/officeDocument/2006/extended-properties" xmlns:vt="http://schemas.openxmlformats.org/officeDocument/2006/docPropsVTypes">
  <Template>Normal</Template>
  <Company>广西云龙招标有限公司</Company>
  <Pages>53</Pages>
  <Words>5845</Words>
  <Characters>33323</Characters>
  <Lines>277</Lines>
  <Paragraphs>78</Paragraphs>
  <TotalTime>145</TotalTime>
  <ScaleCrop>false</ScaleCrop>
  <LinksUpToDate>false</LinksUpToDate>
  <CharactersWithSpaces>39090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2020-01-14T08:01:00Z</dcterms:created>
  <dc:creator>韦明剑</dc:creator>
  <dc:description>韦明剑</dc:description>
  <cp:keywords>韦明剑</cp:keywords>
  <cp:lastModifiedBy>NTKO</cp:lastModifiedBy>
  <cp:lastPrinted>2018-05-11T08:47:00Z</cp:lastPrinted>
  <dcterms:modified xsi:type="dcterms:W3CDTF">2020-11-12T10:07:32Z</dcterms:modified>
  <dc:subject>磋商文件</dc:subject>
  <dc:title>竞争性磋商文件规范</dc:title>
  <cp:revision>439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