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shd w:val="clear" w:color="auto" w:fill="auto"/>
        <w:outlineLvl w:val="9"/>
        <w:rPr>
          <w:rFonts w:hint="eastAsia" w:ascii="宋体" w:hAnsi="宋体" w:eastAsia="宋体" w:cs="宋体"/>
          <w:color w:val="auto"/>
          <w:spacing w:val="116"/>
          <w:sz w:val="18"/>
          <w:szCs w:val="18"/>
          <w:highlight w:val="none"/>
        </w:rPr>
      </w:pPr>
      <w:r>
        <w:rPr>
          <w:rFonts w:hint="eastAsia" w:ascii="宋体" w:hAnsi="宋体" w:eastAsia="宋体" w:cs="宋体"/>
          <w:b/>
          <w:bCs/>
          <w:color w:val="auto"/>
          <w:sz w:val="72"/>
          <w:szCs w:val="72"/>
          <w:highlight w:val="none"/>
          <w:lang w:eastAsia="zh-CN"/>
        </w:rPr>
        <w:drawing>
          <wp:anchor distT="0" distB="0" distL="114300" distR="114300" simplePos="0" relativeHeight="251659264" behindDoc="1" locked="0" layoutInCell="1" allowOverlap="1">
            <wp:simplePos x="0" y="0"/>
            <wp:positionH relativeFrom="column">
              <wp:posOffset>-347345</wp:posOffset>
            </wp:positionH>
            <wp:positionV relativeFrom="paragraph">
              <wp:posOffset>-2540</wp:posOffset>
            </wp:positionV>
            <wp:extent cx="2450465" cy="2450465"/>
            <wp:effectExtent l="0" t="0" r="3175" b="3175"/>
            <wp:wrapNone/>
            <wp:docPr id="3" name="图片 12" descr="微信图片_2020102016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微信图片_20201020160120"/>
                    <pic:cNvPicPr>
                      <a:picLocks noChangeAspect="1"/>
                    </pic:cNvPicPr>
                  </pic:nvPicPr>
                  <pic:blipFill>
                    <a:blip r:embed="rId5"/>
                    <a:stretch>
                      <a:fillRect/>
                    </a:stretch>
                  </pic:blipFill>
                  <pic:spPr>
                    <a:xfrm>
                      <a:off x="0" y="0"/>
                      <a:ext cx="2450465" cy="2450465"/>
                    </a:xfrm>
                    <a:prstGeom prst="rect">
                      <a:avLst/>
                    </a:prstGeom>
                    <a:noFill/>
                    <a:ln>
                      <a:noFill/>
                    </a:ln>
                  </pic:spPr>
                </pic:pic>
              </a:graphicData>
            </a:graphic>
          </wp:anchor>
        </w:drawing>
      </w:r>
    </w:p>
    <w:p>
      <w:pPr>
        <w:shd w:val="clear" w:color="auto" w:fill="auto"/>
        <w:jc w:val="center"/>
        <w:outlineLvl w:val="9"/>
        <w:rPr>
          <w:rFonts w:hint="eastAsia" w:ascii="宋体" w:hAnsi="宋体" w:eastAsia="宋体" w:cs="宋体"/>
          <w:b/>
          <w:color w:val="auto"/>
          <w:sz w:val="52"/>
          <w:szCs w:val="52"/>
          <w:highlight w:val="none"/>
          <w:u w:val="single"/>
          <w:lang w:eastAsia="zh-CN"/>
        </w:rPr>
      </w:pPr>
    </w:p>
    <w:p>
      <w:pPr>
        <w:shd w:val="clear" w:color="auto" w:fill="auto"/>
        <w:jc w:val="center"/>
        <w:outlineLvl w:val="9"/>
        <w:rPr>
          <w:rFonts w:hint="eastAsia" w:ascii="宋体" w:hAnsi="宋体" w:eastAsia="宋体" w:cs="宋体"/>
          <w:b/>
          <w:color w:val="auto"/>
          <w:sz w:val="52"/>
          <w:szCs w:val="52"/>
          <w:highlight w:val="none"/>
          <w:u w:val="single"/>
          <w:lang w:eastAsia="zh-CN"/>
        </w:rPr>
      </w:pPr>
    </w:p>
    <w:p>
      <w:pPr>
        <w:shd w:val="clear" w:color="auto" w:fill="auto"/>
        <w:jc w:val="center"/>
        <w:outlineLvl w:val="9"/>
        <w:rPr>
          <w:rFonts w:hint="eastAsia" w:ascii="宋体" w:hAnsi="宋体" w:eastAsia="宋体" w:cs="宋体"/>
          <w:b/>
          <w:color w:val="auto"/>
          <w:spacing w:val="116"/>
          <w:sz w:val="52"/>
          <w:szCs w:val="52"/>
          <w:highlight w:val="none"/>
          <w:u w:val="none"/>
        </w:rPr>
      </w:pPr>
      <w:r>
        <w:rPr>
          <w:rFonts w:hint="eastAsia" w:ascii="宋体" w:hAnsi="宋体" w:eastAsia="宋体" w:cs="宋体"/>
          <w:b/>
          <w:color w:val="auto"/>
          <w:sz w:val="52"/>
          <w:szCs w:val="52"/>
          <w:highlight w:val="none"/>
          <w:u w:val="none"/>
          <w:lang w:val="en-US" w:eastAsia="zh-CN"/>
        </w:rPr>
        <w:t xml:space="preserve">   </w:t>
      </w:r>
      <w:r>
        <w:rPr>
          <w:rFonts w:hint="eastAsia" w:ascii="宋体" w:hAnsi="宋体" w:eastAsia="宋体" w:cs="宋体"/>
          <w:b/>
          <w:color w:val="auto"/>
          <w:sz w:val="52"/>
          <w:szCs w:val="52"/>
          <w:highlight w:val="none"/>
          <w:u w:val="none"/>
          <w:lang w:eastAsia="zh-CN"/>
        </w:rPr>
        <w:t>广西冠宝工程咨询有限公司</w:t>
      </w:r>
      <w:r>
        <w:rPr>
          <w:rFonts w:hint="eastAsia" w:ascii="宋体" w:hAnsi="宋体" w:eastAsia="宋体" w:cs="宋体"/>
          <w:b/>
          <w:color w:val="auto"/>
          <w:sz w:val="52"/>
          <w:szCs w:val="52"/>
          <w:highlight w:val="none"/>
          <w:u w:val="none"/>
        </w:rPr>
        <w:cr/>
      </w:r>
    </w:p>
    <w:p>
      <w:pPr>
        <w:shd w:val="clear" w:color="auto" w:fill="auto"/>
        <w:jc w:val="center"/>
        <w:outlineLvl w:val="9"/>
        <w:rPr>
          <w:rFonts w:hint="eastAsia" w:ascii="宋体" w:hAnsi="宋体" w:eastAsia="宋体" w:cs="宋体"/>
          <w:color w:val="auto"/>
          <w:spacing w:val="116"/>
          <w:sz w:val="18"/>
          <w:szCs w:val="18"/>
          <w:highlight w:val="none"/>
        </w:rPr>
      </w:pPr>
    </w:p>
    <w:p>
      <w:pPr>
        <w:shd w:val="clear" w:color="auto" w:fill="auto"/>
        <w:jc w:val="center"/>
        <w:outlineLvl w:val="9"/>
        <w:rPr>
          <w:rFonts w:hint="eastAsia" w:ascii="宋体" w:hAnsi="宋体" w:eastAsia="宋体" w:cs="宋体"/>
          <w:color w:val="auto"/>
          <w:spacing w:val="116"/>
          <w:sz w:val="18"/>
          <w:szCs w:val="18"/>
          <w:highlight w:val="none"/>
        </w:rPr>
      </w:pPr>
    </w:p>
    <w:p>
      <w:pPr>
        <w:shd w:val="clear" w:color="auto" w:fill="auto"/>
        <w:jc w:val="center"/>
        <w:outlineLvl w:val="9"/>
        <w:rPr>
          <w:rFonts w:hint="eastAsia" w:ascii="宋体" w:hAnsi="宋体" w:eastAsia="宋体" w:cs="宋体"/>
          <w:color w:val="auto"/>
          <w:spacing w:val="116"/>
          <w:sz w:val="18"/>
          <w:szCs w:val="18"/>
          <w:highlight w:val="none"/>
        </w:rPr>
      </w:pPr>
    </w:p>
    <w:p>
      <w:pPr>
        <w:shd w:val="clear" w:color="auto" w:fill="auto"/>
        <w:jc w:val="center"/>
        <w:outlineLvl w:val="9"/>
        <w:rPr>
          <w:rFonts w:hint="eastAsia" w:ascii="宋体" w:hAnsi="宋体" w:eastAsia="宋体" w:cs="宋体"/>
          <w:color w:val="auto"/>
          <w:spacing w:val="116"/>
          <w:sz w:val="18"/>
          <w:szCs w:val="18"/>
          <w:highlight w:val="none"/>
        </w:rPr>
      </w:pPr>
    </w:p>
    <w:p>
      <w:pPr>
        <w:shd w:val="clear" w:color="auto" w:fill="auto"/>
        <w:jc w:val="center"/>
        <w:outlineLvl w:val="9"/>
        <w:rPr>
          <w:rFonts w:hint="eastAsia" w:ascii="宋体" w:hAnsi="宋体" w:eastAsia="宋体" w:cs="宋体"/>
          <w:color w:val="auto"/>
          <w:spacing w:val="116"/>
          <w:sz w:val="18"/>
          <w:szCs w:val="18"/>
          <w:highlight w:val="none"/>
        </w:rPr>
      </w:pPr>
    </w:p>
    <w:p>
      <w:pPr>
        <w:shd w:val="clear" w:color="auto" w:fill="auto"/>
        <w:jc w:val="center"/>
        <w:outlineLvl w:val="9"/>
        <w:rPr>
          <w:rFonts w:hint="eastAsia" w:ascii="宋体" w:hAnsi="宋体" w:eastAsia="宋体" w:cs="宋体"/>
          <w:color w:val="auto"/>
          <w:spacing w:val="116"/>
          <w:sz w:val="18"/>
          <w:szCs w:val="18"/>
          <w:highlight w:val="none"/>
        </w:rPr>
      </w:pPr>
    </w:p>
    <w:p>
      <w:pPr>
        <w:shd w:val="clear" w:color="auto" w:fill="auto"/>
        <w:outlineLvl w:val="9"/>
        <w:rPr>
          <w:rFonts w:hint="eastAsia" w:ascii="宋体" w:hAnsi="宋体" w:eastAsia="宋体" w:cs="宋体"/>
          <w:color w:val="auto"/>
          <w:highlight w:val="none"/>
        </w:rPr>
      </w:pPr>
    </w:p>
    <w:p>
      <w:pPr>
        <w:shd w:val="clear" w:color="auto" w:fill="auto"/>
        <w:jc w:val="center"/>
        <w:outlineLvl w:val="9"/>
        <w:rPr>
          <w:rFonts w:hint="eastAsia" w:ascii="宋体" w:hAnsi="宋体" w:eastAsia="宋体" w:cs="宋体"/>
          <w:color w:val="auto"/>
          <w:sz w:val="52"/>
          <w:szCs w:val="52"/>
          <w:highlight w:val="none"/>
        </w:rPr>
      </w:pPr>
      <w:r>
        <w:rPr>
          <w:rFonts w:hint="eastAsia" w:ascii="宋体" w:hAnsi="宋体" w:eastAsia="宋体" w:cs="宋体"/>
          <w:b/>
          <w:bCs/>
          <w:color w:val="auto"/>
          <w:sz w:val="52"/>
          <w:szCs w:val="52"/>
          <w:highlight w:val="none"/>
          <w14:shadow w14:blurRad="50800" w14:dist="38100" w14:dir="2700000" w14:sx="100000" w14:sy="100000" w14:kx="0" w14:ky="0" w14:algn="tl">
            <w14:srgbClr w14:val="000000">
              <w14:alpha w14:val="60000"/>
            </w14:srgbClr>
          </w14:shadow>
        </w:rPr>
        <w:t>竞争性磋商文件</w:t>
      </w:r>
    </w:p>
    <w:p>
      <w:pPr>
        <w:shd w:val="clear" w:color="auto" w:fil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hd w:val="clear" w:color="auto" w:fill="auto"/>
        <w:outlineLvl w:val="9"/>
        <w:rPr>
          <w:rFonts w:hint="eastAsia" w:ascii="宋体" w:hAnsi="宋体" w:eastAsia="宋体" w:cs="宋体"/>
          <w:color w:val="auto"/>
          <w:highlight w:val="none"/>
        </w:rPr>
      </w:pPr>
    </w:p>
    <w:p>
      <w:pPr>
        <w:shd w:val="clear" w:color="auto" w:fill="auto"/>
        <w:outlineLvl w:val="9"/>
        <w:rPr>
          <w:rFonts w:hint="eastAsia" w:ascii="宋体" w:hAnsi="宋体" w:eastAsia="宋体" w:cs="宋体"/>
          <w:color w:val="auto"/>
          <w:highlight w:val="none"/>
        </w:rPr>
      </w:pPr>
    </w:p>
    <w:p>
      <w:pPr>
        <w:shd w:val="clear" w:color="auto" w:fill="auto"/>
        <w:outlineLvl w:val="9"/>
        <w:rPr>
          <w:rFonts w:hint="eastAsia" w:ascii="宋体" w:hAnsi="宋体" w:eastAsia="宋体" w:cs="宋体"/>
          <w:color w:val="auto"/>
          <w:highlight w:val="none"/>
        </w:rPr>
      </w:pPr>
    </w:p>
    <w:p>
      <w:pPr>
        <w:shd w:val="clear" w:color="auto" w:fill="auto"/>
        <w:outlineLvl w:val="9"/>
        <w:rPr>
          <w:rFonts w:hint="eastAsia" w:ascii="宋体" w:hAnsi="宋体" w:eastAsia="宋体" w:cs="宋体"/>
          <w:color w:val="auto"/>
          <w:highlight w:val="none"/>
        </w:rPr>
      </w:pPr>
    </w:p>
    <w:p>
      <w:pPr>
        <w:shd w:val="clear" w:color="auto" w:fill="auto"/>
        <w:outlineLvl w:val="9"/>
        <w:rPr>
          <w:rFonts w:hint="eastAsia" w:ascii="宋体" w:hAnsi="宋体" w:eastAsia="宋体" w:cs="宋体"/>
          <w:color w:val="auto"/>
          <w:highlight w:val="none"/>
        </w:rPr>
      </w:pPr>
    </w:p>
    <w:p>
      <w:pPr>
        <w:shd w:val="clear" w:color="auto" w:fill="auto"/>
        <w:outlineLvl w:val="9"/>
        <w:rPr>
          <w:rFonts w:hint="eastAsia" w:ascii="宋体" w:hAnsi="宋体" w:eastAsia="宋体" w:cs="宋体"/>
          <w:color w:val="auto"/>
          <w:highlight w:val="none"/>
        </w:rPr>
      </w:pPr>
    </w:p>
    <w:p>
      <w:pPr>
        <w:shd w:val="clear" w:color="auto" w:fil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shd w:val="clear" w:color="auto" w:fill="auto"/>
        <w:spacing w:line="440" w:lineRule="exact"/>
        <w:ind w:left="2401" w:leftChars="426" w:hanging="1506" w:hangingChars="500"/>
        <w:jc w:val="left"/>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eastAsia="zh-CN"/>
        </w:rPr>
        <w:t>思旺镇双上村上陶屯桂中支队第十大队集训旧址提升改造工程（第三批）</w:t>
      </w:r>
      <w:r>
        <w:rPr>
          <w:rFonts w:hint="eastAsia" w:ascii="宋体" w:hAnsi="宋体" w:eastAsia="宋体" w:cs="宋体"/>
          <w:b/>
          <w:bCs/>
          <w:color w:val="auto"/>
          <w:sz w:val="30"/>
          <w:szCs w:val="30"/>
          <w:highlight w:val="none"/>
        </w:rPr>
        <w:t xml:space="preserve">  </w:t>
      </w:r>
    </w:p>
    <w:p>
      <w:pPr>
        <w:shd w:val="clear" w:color="auto" w:fill="auto"/>
        <w:spacing w:line="440" w:lineRule="exact"/>
        <w:ind w:firstLine="904" w:firstLineChars="300"/>
        <w:jc w:val="left"/>
        <w:outlineLvl w:val="9"/>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cs="宋体"/>
          <w:b/>
          <w:color w:val="auto"/>
          <w:sz w:val="30"/>
          <w:szCs w:val="30"/>
          <w:highlight w:val="none"/>
          <w:lang w:eastAsia="zh-CN"/>
        </w:rPr>
        <w:t>GGZC2023-C2-62524-GXGB</w:t>
      </w:r>
      <w:r>
        <w:rPr>
          <w:rFonts w:hint="eastAsia" w:ascii="宋体" w:hAnsi="宋体" w:eastAsia="宋体" w:cs="宋体"/>
          <w:b/>
          <w:color w:val="auto"/>
          <w:sz w:val="30"/>
          <w:szCs w:val="30"/>
          <w:highlight w:val="none"/>
        </w:rPr>
        <w:t xml:space="preserve"> </w:t>
      </w:r>
    </w:p>
    <w:p>
      <w:pPr>
        <w:shd w:val="clear" w:color="auto" w:fill="auto"/>
        <w:spacing w:line="440" w:lineRule="exact"/>
        <w:jc w:val="center"/>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pPr>
        <w:shd w:val="clear" w:color="auto" w:fill="auto"/>
        <w:spacing w:line="440" w:lineRule="exact"/>
        <w:ind w:left="-2" w:leftChars="-1" w:firstLine="2"/>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hd w:val="clear" w:color="auto" w:fill="auto"/>
        <w:spacing w:line="440" w:lineRule="exact"/>
        <w:outlineLvl w:val="9"/>
        <w:rPr>
          <w:rFonts w:hint="eastAsia" w:ascii="宋体" w:hAnsi="宋体" w:eastAsia="宋体" w:cs="宋体"/>
          <w:color w:val="auto"/>
          <w:highlight w:val="none"/>
        </w:rPr>
      </w:pPr>
    </w:p>
    <w:p>
      <w:pPr>
        <w:shd w:val="clear" w:color="auto" w:fill="auto"/>
        <w:spacing w:line="440" w:lineRule="exact"/>
        <w:ind w:left="-2" w:leftChars="-1" w:firstLine="2"/>
        <w:outlineLvl w:val="9"/>
        <w:rPr>
          <w:rFonts w:hint="eastAsia" w:ascii="宋体" w:hAnsi="宋体" w:eastAsia="宋体" w:cs="宋体"/>
          <w:b/>
          <w:bCs/>
          <w:color w:val="auto"/>
          <w:sz w:val="30"/>
          <w:szCs w:val="24"/>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sz w:val="30"/>
          <w:szCs w:val="24"/>
          <w:highlight w:val="none"/>
        </w:rPr>
        <w:t xml:space="preserve">      </w:t>
      </w:r>
    </w:p>
    <w:p>
      <w:pPr>
        <w:pStyle w:val="30"/>
        <w:shd w:val="clear" w:color="auto" w:fill="auto"/>
        <w:outlineLvl w:val="9"/>
        <w:rPr>
          <w:rFonts w:hint="eastAsia" w:ascii="宋体" w:hAnsi="宋体" w:eastAsia="宋体" w:cs="宋体"/>
          <w:b/>
          <w:bCs/>
          <w:color w:val="auto"/>
          <w:sz w:val="30"/>
          <w:szCs w:val="24"/>
          <w:highlight w:val="none"/>
        </w:rPr>
      </w:pPr>
    </w:p>
    <w:p>
      <w:pPr>
        <w:pStyle w:val="30"/>
        <w:shd w:val="clear" w:color="auto" w:fill="auto"/>
        <w:outlineLvl w:val="9"/>
        <w:rPr>
          <w:rFonts w:hint="eastAsia" w:ascii="宋体" w:hAnsi="宋体" w:eastAsia="宋体" w:cs="宋体"/>
          <w:b/>
          <w:bCs/>
          <w:color w:val="auto"/>
          <w:sz w:val="30"/>
          <w:szCs w:val="24"/>
          <w:highlight w:val="none"/>
        </w:rPr>
      </w:pPr>
    </w:p>
    <w:p>
      <w:pPr>
        <w:pStyle w:val="25"/>
        <w:shd w:val="clear" w:color="auto" w:fill="auto"/>
        <w:spacing w:line="440" w:lineRule="exact"/>
        <w:jc w:val="center"/>
        <w:outlineLvl w:val="9"/>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采购单位：</w:t>
      </w:r>
      <w:r>
        <w:rPr>
          <w:rFonts w:hint="eastAsia" w:hAnsi="宋体" w:cs="宋体"/>
          <w:b/>
          <w:bCs/>
          <w:color w:val="auto"/>
          <w:sz w:val="30"/>
          <w:szCs w:val="24"/>
          <w:highlight w:val="none"/>
          <w:lang w:eastAsia="zh-CN"/>
        </w:rPr>
        <w:t>平南县思旺镇财政所</w:t>
      </w:r>
    </w:p>
    <w:p>
      <w:pPr>
        <w:pStyle w:val="25"/>
        <w:shd w:val="clear" w:color="auto" w:fill="auto"/>
        <w:spacing w:line="440" w:lineRule="exact"/>
        <w:jc w:val="center"/>
        <w:outlineLvl w:val="9"/>
        <w:rPr>
          <w:rFonts w:hint="eastAsia" w:ascii="宋体" w:hAnsi="宋体" w:eastAsia="宋体" w:cs="宋体"/>
          <w:b/>
          <w:bCs/>
          <w:color w:val="auto"/>
          <w:sz w:val="30"/>
          <w:szCs w:val="24"/>
          <w:highlight w:val="none"/>
          <w:lang w:eastAsia="zh-CN"/>
        </w:rPr>
      </w:pPr>
      <w:r>
        <w:rPr>
          <w:rFonts w:hint="eastAsia" w:ascii="宋体" w:hAnsi="宋体" w:eastAsia="宋体" w:cs="宋体"/>
          <w:b/>
          <w:bCs/>
          <w:color w:val="auto"/>
          <w:sz w:val="30"/>
          <w:szCs w:val="24"/>
          <w:highlight w:val="none"/>
        </w:rPr>
        <w:t>采购代理机构：</w:t>
      </w:r>
      <w:r>
        <w:rPr>
          <w:rFonts w:hint="eastAsia" w:ascii="宋体" w:hAnsi="宋体" w:eastAsia="宋体" w:cs="宋体"/>
          <w:b/>
          <w:bCs/>
          <w:color w:val="auto"/>
          <w:sz w:val="30"/>
          <w:szCs w:val="24"/>
          <w:highlight w:val="none"/>
          <w:lang w:eastAsia="zh-CN"/>
        </w:rPr>
        <w:t>广西冠宝工程咨询有限公司</w:t>
      </w:r>
    </w:p>
    <w:p>
      <w:pPr>
        <w:pStyle w:val="25"/>
        <w:shd w:val="clear" w:color="auto" w:fill="auto"/>
        <w:jc w:val="center"/>
        <w:outlineLvl w:val="9"/>
        <w:rPr>
          <w:rFonts w:hint="eastAsia" w:ascii="宋体" w:hAnsi="宋体" w:eastAsia="宋体" w:cs="宋体"/>
          <w:b/>
          <w:color w:val="auto"/>
          <w:sz w:val="44"/>
          <w:szCs w:val="44"/>
          <w:highlight w:val="none"/>
        </w:rPr>
      </w:pPr>
      <w:r>
        <w:rPr>
          <w:rFonts w:hint="eastAsia" w:ascii="宋体" w:hAnsi="宋体" w:eastAsia="宋体" w:cs="宋体"/>
          <w:b/>
          <w:bCs/>
          <w:color w:val="auto"/>
          <w:sz w:val="30"/>
          <w:szCs w:val="24"/>
          <w:highlight w:val="none"/>
        </w:rPr>
        <w:t>202</w:t>
      </w:r>
      <w:r>
        <w:rPr>
          <w:rFonts w:hint="eastAsia" w:hAnsi="宋体" w:cs="宋体"/>
          <w:b/>
          <w:bCs/>
          <w:color w:val="auto"/>
          <w:sz w:val="30"/>
          <w:szCs w:val="24"/>
          <w:highlight w:val="none"/>
          <w:lang w:val="en-US" w:eastAsia="zh-CN"/>
        </w:rPr>
        <w:t>3</w:t>
      </w:r>
      <w:r>
        <w:rPr>
          <w:rFonts w:hint="eastAsia" w:ascii="宋体" w:hAnsi="宋体" w:eastAsia="宋体" w:cs="宋体"/>
          <w:b/>
          <w:bCs/>
          <w:color w:val="auto"/>
          <w:sz w:val="30"/>
          <w:szCs w:val="24"/>
          <w:highlight w:val="none"/>
        </w:rPr>
        <w:t>年</w:t>
      </w:r>
      <w:r>
        <w:rPr>
          <w:rFonts w:hint="eastAsia" w:hAnsi="宋体" w:cs="宋体"/>
          <w:b/>
          <w:bCs/>
          <w:color w:val="auto"/>
          <w:sz w:val="30"/>
          <w:szCs w:val="24"/>
          <w:highlight w:val="none"/>
          <w:lang w:val="en-US" w:eastAsia="zh-CN"/>
        </w:rPr>
        <w:t>12</w:t>
      </w:r>
      <w:r>
        <w:rPr>
          <w:rFonts w:hint="eastAsia" w:ascii="宋体" w:hAnsi="宋体" w:eastAsia="宋体" w:cs="宋体"/>
          <w:b/>
          <w:bCs/>
          <w:color w:val="auto"/>
          <w:sz w:val="30"/>
          <w:szCs w:val="24"/>
          <w:highlight w:val="none"/>
        </w:rPr>
        <w:t>月</w:t>
      </w:r>
    </w:p>
    <w:p>
      <w:pPr>
        <w:jc w:val="center"/>
        <w:outlineLvl w:val="9"/>
        <w:rPr>
          <w:rFonts w:asciiTheme="minorEastAsia" w:hAnsiTheme="minorEastAsia" w:eastAsiaTheme="minorEastAsia" w:cstheme="minorEastAsia"/>
          <w:color w:val="auto"/>
          <w:sz w:val="52"/>
          <w:szCs w:val="52"/>
        </w:rPr>
        <w:sectPr>
          <w:pgSz w:w="11907" w:h="16840"/>
          <w:pgMar w:top="1440" w:right="1080" w:bottom="1440" w:left="1080" w:header="851" w:footer="851" w:gutter="0"/>
          <w:cols w:space="720" w:num="1"/>
        </w:sectPr>
      </w:pPr>
    </w:p>
    <w:p>
      <w:pPr>
        <w:jc w:val="center"/>
        <w:outlineLvl w:val="9"/>
        <w:rPr>
          <w:rFonts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color w:val="auto"/>
          <w:sz w:val="30"/>
          <w:szCs w:val="30"/>
        </w:rPr>
        <w:t>目 录</w:t>
      </w:r>
    </w:p>
    <w:p>
      <w:pPr>
        <w:pStyle w:val="138"/>
        <w:tabs>
          <w:tab w:val="right" w:leader="dot" w:pos="9240"/>
        </w:tabs>
        <w:ind w:right="-132" w:rightChars="-63" w:firstLine="585" w:firstLineChars="209"/>
        <w:outlineLvl w:val="9"/>
        <w:rPr>
          <w:rFonts w:asciiTheme="minorEastAsia" w:hAnsiTheme="minorEastAsia" w:eastAsiaTheme="minorEastAsia" w:cstheme="minorEastAsia"/>
          <w:color w:val="auto"/>
          <w:sz w:val="28"/>
          <w:szCs w:val="28"/>
        </w:rPr>
      </w:pPr>
    </w:p>
    <w:p>
      <w:pPr>
        <w:outlineLvl w:val="9"/>
        <w:rPr>
          <w:rFonts w:hint="eastAsia" w:asciiTheme="minorEastAsia" w:hAnsiTheme="minorEastAsia" w:eastAsiaTheme="minorEastAsia" w:cstheme="minorEastAsia"/>
          <w:color w:val="auto"/>
          <w:lang w:eastAsia="zh-CN"/>
        </w:rPr>
      </w:pPr>
    </w:p>
    <w:p>
      <w:pPr>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pStyle w:val="32"/>
        <w:tabs>
          <w:tab w:val="right" w:leader="dot" w:pos="9747"/>
        </w:tabs>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_Toc26642 </w:instrText>
      </w:r>
      <w:r>
        <w:rPr>
          <w:color w:val="auto"/>
        </w:rPr>
        <w:fldChar w:fldCharType="separate"/>
      </w:r>
      <w:r>
        <w:rPr>
          <w:rFonts w:hint="eastAsia" w:ascii="宋体" w:hAnsi="宋体" w:eastAsia="宋体" w:cs="宋体"/>
          <w:bCs/>
          <w:color w:val="auto"/>
          <w:szCs w:val="30"/>
          <w:highlight w:val="none"/>
        </w:rPr>
        <w:t xml:space="preserve">第一章  </w:t>
      </w:r>
      <w:r>
        <w:rPr>
          <w:rFonts w:hint="eastAsia" w:ascii="宋体" w:hAnsi="宋体" w:cs="宋体"/>
          <w:bCs/>
          <w:color w:val="auto"/>
          <w:szCs w:val="30"/>
          <w:highlight w:val="none"/>
          <w:lang w:val="en-US" w:eastAsia="zh-CN"/>
        </w:rPr>
        <w:t xml:space="preserve"> </w:t>
      </w:r>
      <w:r>
        <w:rPr>
          <w:rFonts w:hint="eastAsia" w:ascii="宋体" w:hAnsi="宋体" w:eastAsia="宋体" w:cs="宋体"/>
          <w:bCs/>
          <w:color w:val="auto"/>
          <w:szCs w:val="30"/>
          <w:highlight w:val="none"/>
        </w:rPr>
        <w:t>竞争性磋商公告</w:t>
      </w:r>
      <w:r>
        <w:rPr>
          <w:color w:val="auto"/>
        </w:rPr>
        <w:tab/>
      </w:r>
      <w:r>
        <w:rPr>
          <w:color w:val="auto"/>
        </w:rPr>
        <w:fldChar w:fldCharType="begin"/>
      </w:r>
      <w:r>
        <w:rPr>
          <w:color w:val="auto"/>
        </w:rPr>
        <w:instrText xml:space="preserve"> PAGEREF _Toc26642 \h </w:instrText>
      </w:r>
      <w:r>
        <w:rPr>
          <w:color w:val="auto"/>
        </w:rPr>
        <w:fldChar w:fldCharType="separate"/>
      </w:r>
      <w:r>
        <w:rPr>
          <w:color w:val="auto"/>
        </w:rPr>
        <w:t>3</w:t>
      </w:r>
      <w:r>
        <w:rPr>
          <w:color w:val="auto"/>
        </w:rPr>
        <w:fldChar w:fldCharType="end"/>
      </w:r>
      <w:r>
        <w:rPr>
          <w:color w:val="auto"/>
        </w:rPr>
        <w:fldChar w:fldCharType="end"/>
      </w:r>
    </w:p>
    <w:p>
      <w:pPr>
        <w:pStyle w:val="32"/>
        <w:tabs>
          <w:tab w:val="right" w:leader="dot" w:pos="9747"/>
        </w:tabs>
        <w:rPr>
          <w:color w:val="auto"/>
        </w:rPr>
      </w:pPr>
      <w:r>
        <w:rPr>
          <w:color w:val="auto"/>
        </w:rPr>
        <w:fldChar w:fldCharType="begin"/>
      </w:r>
      <w:r>
        <w:rPr>
          <w:color w:val="auto"/>
        </w:rPr>
        <w:instrText xml:space="preserve"> HYPERLINK \l _Toc1269 </w:instrText>
      </w:r>
      <w:r>
        <w:rPr>
          <w:color w:val="auto"/>
        </w:rPr>
        <w:fldChar w:fldCharType="separate"/>
      </w:r>
      <w:r>
        <w:rPr>
          <w:rFonts w:hint="eastAsia" w:asciiTheme="minorEastAsia" w:hAnsiTheme="minorEastAsia" w:eastAsiaTheme="minorEastAsia" w:cstheme="minorEastAsia"/>
          <w:color w:val="auto"/>
          <w:szCs w:val="30"/>
        </w:rPr>
        <w:t xml:space="preserve">第二章   </w:t>
      </w:r>
      <w:r>
        <w:rPr>
          <w:rFonts w:hint="eastAsia" w:asciiTheme="minorEastAsia" w:hAnsiTheme="minorEastAsia" w:eastAsiaTheme="minorEastAsia" w:cstheme="minorEastAsia"/>
          <w:color w:val="auto"/>
          <w:szCs w:val="30"/>
          <w:lang w:eastAsia="zh-CN"/>
        </w:rPr>
        <w:t>供应商</w:t>
      </w:r>
      <w:r>
        <w:rPr>
          <w:rFonts w:hint="eastAsia" w:asciiTheme="minorEastAsia" w:hAnsiTheme="minorEastAsia" w:eastAsiaTheme="minorEastAsia" w:cstheme="minorEastAsia"/>
          <w:color w:val="auto"/>
          <w:szCs w:val="30"/>
        </w:rPr>
        <w:t>须知</w:t>
      </w:r>
      <w:r>
        <w:rPr>
          <w:color w:val="auto"/>
        </w:rPr>
        <w:tab/>
      </w:r>
      <w:r>
        <w:rPr>
          <w:color w:val="auto"/>
        </w:rPr>
        <w:fldChar w:fldCharType="begin"/>
      </w:r>
      <w:r>
        <w:rPr>
          <w:color w:val="auto"/>
        </w:rPr>
        <w:instrText xml:space="preserve"> PAGEREF _Toc1269 \h </w:instrText>
      </w:r>
      <w:r>
        <w:rPr>
          <w:color w:val="auto"/>
        </w:rPr>
        <w:fldChar w:fldCharType="separate"/>
      </w:r>
      <w:r>
        <w:rPr>
          <w:color w:val="auto"/>
        </w:rPr>
        <w:t>7</w:t>
      </w:r>
      <w:r>
        <w:rPr>
          <w:color w:val="auto"/>
        </w:rPr>
        <w:fldChar w:fldCharType="end"/>
      </w:r>
      <w:r>
        <w:rPr>
          <w:color w:val="auto"/>
        </w:rPr>
        <w:fldChar w:fldCharType="end"/>
      </w:r>
    </w:p>
    <w:p>
      <w:pPr>
        <w:pStyle w:val="32"/>
        <w:tabs>
          <w:tab w:val="right" w:leader="dot" w:pos="9747"/>
        </w:tabs>
        <w:rPr>
          <w:color w:val="auto"/>
        </w:rPr>
      </w:pPr>
      <w:r>
        <w:rPr>
          <w:color w:val="auto"/>
        </w:rPr>
        <w:fldChar w:fldCharType="begin"/>
      </w:r>
      <w:r>
        <w:rPr>
          <w:color w:val="auto"/>
        </w:rPr>
        <w:instrText xml:space="preserve"> HYPERLINK \l _Toc30868 </w:instrText>
      </w:r>
      <w:r>
        <w:rPr>
          <w:color w:val="auto"/>
        </w:rPr>
        <w:fldChar w:fldCharType="separate"/>
      </w:r>
      <w:r>
        <w:rPr>
          <w:rFonts w:hint="eastAsia" w:asciiTheme="minorEastAsia" w:hAnsiTheme="minorEastAsia" w:eastAsiaTheme="minorEastAsia" w:cstheme="minorEastAsia"/>
          <w:color w:val="auto"/>
          <w:szCs w:val="36"/>
        </w:rPr>
        <w:t>第三章</w:t>
      </w:r>
      <w:r>
        <w:rPr>
          <w:rFonts w:hint="eastAsia" w:asciiTheme="minorEastAsia" w:hAnsiTheme="minorEastAsia" w:eastAsiaTheme="minorEastAsia" w:cstheme="minorEastAsia"/>
          <w:color w:val="auto"/>
          <w:szCs w:val="36"/>
          <w:lang w:val="en-US" w:eastAsia="zh-CN"/>
        </w:rPr>
        <w:t xml:space="preserve">  </w:t>
      </w:r>
      <w:r>
        <w:rPr>
          <w:rFonts w:hint="eastAsia" w:asciiTheme="minorEastAsia" w:hAnsiTheme="minorEastAsia" w:eastAsiaTheme="minorEastAsia" w:cstheme="minorEastAsia"/>
          <w:color w:val="auto"/>
          <w:szCs w:val="36"/>
        </w:rPr>
        <w:t xml:space="preserve"> </w:t>
      </w:r>
      <w:r>
        <w:rPr>
          <w:rFonts w:hint="eastAsia" w:asciiTheme="minorEastAsia" w:hAnsiTheme="minorEastAsia" w:eastAsiaTheme="minorEastAsia" w:cstheme="minorEastAsia"/>
          <w:color w:val="auto"/>
          <w:szCs w:val="36"/>
          <w:lang w:eastAsia="zh-CN"/>
        </w:rPr>
        <w:t>采购需求</w:t>
      </w:r>
      <w:r>
        <w:rPr>
          <w:color w:val="auto"/>
        </w:rPr>
        <w:tab/>
      </w:r>
      <w:r>
        <w:rPr>
          <w:color w:val="auto"/>
        </w:rPr>
        <w:fldChar w:fldCharType="begin"/>
      </w:r>
      <w:r>
        <w:rPr>
          <w:color w:val="auto"/>
        </w:rPr>
        <w:instrText xml:space="preserve"> PAGEREF _Toc30868 \h </w:instrText>
      </w:r>
      <w:r>
        <w:rPr>
          <w:color w:val="auto"/>
        </w:rPr>
        <w:fldChar w:fldCharType="separate"/>
      </w:r>
      <w:r>
        <w:rPr>
          <w:color w:val="auto"/>
        </w:rPr>
        <w:t>22</w:t>
      </w:r>
      <w:r>
        <w:rPr>
          <w:color w:val="auto"/>
        </w:rPr>
        <w:fldChar w:fldCharType="end"/>
      </w:r>
      <w:r>
        <w:rPr>
          <w:color w:val="auto"/>
        </w:rPr>
        <w:fldChar w:fldCharType="end"/>
      </w:r>
    </w:p>
    <w:p>
      <w:pPr>
        <w:pStyle w:val="32"/>
        <w:tabs>
          <w:tab w:val="right" w:leader="dot" w:pos="9747"/>
        </w:tabs>
        <w:rPr>
          <w:color w:val="auto"/>
        </w:rPr>
      </w:pPr>
      <w:r>
        <w:rPr>
          <w:color w:val="auto"/>
        </w:rPr>
        <w:fldChar w:fldCharType="begin"/>
      </w:r>
      <w:r>
        <w:rPr>
          <w:color w:val="auto"/>
        </w:rPr>
        <w:instrText xml:space="preserve"> HYPERLINK \l _Toc26959 </w:instrText>
      </w:r>
      <w:r>
        <w:rPr>
          <w:color w:val="auto"/>
        </w:rPr>
        <w:fldChar w:fldCharType="separate"/>
      </w:r>
      <w:r>
        <w:rPr>
          <w:rFonts w:hint="eastAsia" w:asciiTheme="minorEastAsia" w:hAnsiTheme="minorEastAsia" w:eastAsiaTheme="minorEastAsia" w:cstheme="minorEastAsia"/>
          <w:color w:val="auto"/>
          <w:szCs w:val="32"/>
        </w:rPr>
        <w:t xml:space="preserve">第四章  </w:t>
      </w:r>
      <w:r>
        <w:rPr>
          <w:rFonts w:hint="eastAsia" w:asciiTheme="minorEastAsia" w:hAnsiTheme="minorEastAsia" w:eastAsiaTheme="minorEastAsia" w:cstheme="minorEastAsia"/>
          <w:color w:val="auto"/>
          <w:szCs w:val="32"/>
          <w:lang w:val="en-US" w:eastAsia="zh-CN"/>
        </w:rPr>
        <w:t xml:space="preserve"> </w:t>
      </w:r>
      <w:r>
        <w:rPr>
          <w:rFonts w:hint="eastAsia" w:asciiTheme="minorEastAsia" w:hAnsiTheme="minorEastAsia" w:eastAsiaTheme="minorEastAsia" w:cstheme="minorEastAsia"/>
          <w:color w:val="auto"/>
          <w:szCs w:val="32"/>
        </w:rPr>
        <w:t>评标办法及评审标准</w:t>
      </w:r>
      <w:r>
        <w:rPr>
          <w:color w:val="auto"/>
        </w:rPr>
        <w:tab/>
      </w:r>
      <w:r>
        <w:rPr>
          <w:color w:val="auto"/>
        </w:rPr>
        <w:fldChar w:fldCharType="begin"/>
      </w:r>
      <w:r>
        <w:rPr>
          <w:color w:val="auto"/>
        </w:rPr>
        <w:instrText xml:space="preserve"> PAGEREF _Toc26959 \h </w:instrText>
      </w:r>
      <w:r>
        <w:rPr>
          <w:color w:val="auto"/>
        </w:rPr>
        <w:fldChar w:fldCharType="separate"/>
      </w:r>
      <w:r>
        <w:rPr>
          <w:color w:val="auto"/>
        </w:rPr>
        <w:t>23</w:t>
      </w:r>
      <w:r>
        <w:rPr>
          <w:color w:val="auto"/>
        </w:rPr>
        <w:fldChar w:fldCharType="end"/>
      </w:r>
      <w:r>
        <w:rPr>
          <w:color w:val="auto"/>
        </w:rPr>
        <w:fldChar w:fldCharType="end"/>
      </w:r>
    </w:p>
    <w:p>
      <w:pPr>
        <w:pStyle w:val="32"/>
        <w:tabs>
          <w:tab w:val="right" w:leader="dot" w:pos="9747"/>
        </w:tabs>
        <w:rPr>
          <w:color w:val="auto"/>
        </w:rPr>
      </w:pPr>
      <w:r>
        <w:rPr>
          <w:color w:val="auto"/>
        </w:rPr>
        <w:fldChar w:fldCharType="begin"/>
      </w:r>
      <w:r>
        <w:rPr>
          <w:color w:val="auto"/>
        </w:rPr>
        <w:instrText xml:space="preserve"> HYPERLINK \l _Toc29958 </w:instrText>
      </w:r>
      <w:r>
        <w:rPr>
          <w:color w:val="auto"/>
        </w:rPr>
        <w:fldChar w:fldCharType="separate"/>
      </w:r>
      <w:r>
        <w:rPr>
          <w:rFonts w:hint="eastAsia" w:asciiTheme="minorEastAsia" w:hAnsiTheme="minorEastAsia" w:eastAsiaTheme="minorEastAsia" w:cstheme="minorEastAsia"/>
          <w:color w:val="auto"/>
        </w:rPr>
        <w:t xml:space="preserve">第五章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竞争性磋商响应文件（格式）</w:t>
      </w:r>
      <w:r>
        <w:rPr>
          <w:color w:val="auto"/>
        </w:rPr>
        <w:tab/>
      </w:r>
      <w:r>
        <w:rPr>
          <w:color w:val="auto"/>
        </w:rPr>
        <w:fldChar w:fldCharType="begin"/>
      </w:r>
      <w:r>
        <w:rPr>
          <w:color w:val="auto"/>
        </w:rPr>
        <w:instrText xml:space="preserve"> PAGEREF _Toc29958 \h </w:instrText>
      </w:r>
      <w:r>
        <w:rPr>
          <w:color w:val="auto"/>
        </w:rPr>
        <w:fldChar w:fldCharType="separate"/>
      </w:r>
      <w:r>
        <w:rPr>
          <w:color w:val="auto"/>
        </w:rPr>
        <w:t>32</w:t>
      </w:r>
      <w:r>
        <w:rPr>
          <w:color w:val="auto"/>
        </w:rPr>
        <w:fldChar w:fldCharType="end"/>
      </w:r>
      <w:r>
        <w:rPr>
          <w:color w:val="auto"/>
        </w:rPr>
        <w:fldChar w:fldCharType="end"/>
      </w:r>
    </w:p>
    <w:p>
      <w:pPr>
        <w:pStyle w:val="32"/>
        <w:tabs>
          <w:tab w:val="right" w:leader="dot" w:pos="9747"/>
        </w:tabs>
        <w:rPr>
          <w:color w:val="auto"/>
        </w:rPr>
      </w:pPr>
      <w:r>
        <w:rPr>
          <w:color w:val="auto"/>
        </w:rPr>
        <w:fldChar w:fldCharType="begin"/>
      </w:r>
      <w:r>
        <w:rPr>
          <w:color w:val="auto"/>
        </w:rPr>
        <w:instrText xml:space="preserve"> HYPERLINK \l _Toc13852 </w:instrText>
      </w:r>
      <w:r>
        <w:rPr>
          <w:color w:val="auto"/>
        </w:rPr>
        <w:fldChar w:fldCharType="separate"/>
      </w:r>
      <w:r>
        <w:rPr>
          <w:rFonts w:hint="eastAsia" w:asciiTheme="minorEastAsia" w:hAnsiTheme="minorEastAsia" w:eastAsiaTheme="minorEastAsia" w:cstheme="minorEastAsia"/>
          <w:color w:val="auto"/>
          <w:szCs w:val="36"/>
          <w:lang w:eastAsia="zh-CN"/>
        </w:rPr>
        <w:t>第六章</w:t>
      </w:r>
      <w:r>
        <w:rPr>
          <w:rFonts w:hint="eastAsia" w:asciiTheme="minorEastAsia" w:hAnsiTheme="minorEastAsia" w:eastAsiaTheme="minorEastAsia" w:cstheme="minorEastAsia"/>
          <w:color w:val="auto"/>
          <w:szCs w:val="36"/>
          <w:lang w:val="en-US" w:eastAsia="zh-CN"/>
        </w:rPr>
        <w:t xml:space="preserve">   </w:t>
      </w:r>
      <w:r>
        <w:rPr>
          <w:rFonts w:hint="eastAsia" w:asciiTheme="minorEastAsia" w:hAnsiTheme="minorEastAsia" w:eastAsiaTheme="minorEastAsia" w:cstheme="minorEastAsia"/>
          <w:color w:val="auto"/>
          <w:szCs w:val="36"/>
        </w:rPr>
        <w:t>合同书格式</w:t>
      </w:r>
      <w:r>
        <w:rPr>
          <w:color w:val="auto"/>
        </w:rPr>
        <w:tab/>
      </w:r>
      <w:r>
        <w:rPr>
          <w:color w:val="auto"/>
        </w:rPr>
        <w:fldChar w:fldCharType="begin"/>
      </w:r>
      <w:r>
        <w:rPr>
          <w:color w:val="auto"/>
        </w:rPr>
        <w:instrText xml:space="preserve"> PAGEREF _Toc13852 \h </w:instrText>
      </w:r>
      <w:r>
        <w:rPr>
          <w:color w:val="auto"/>
        </w:rPr>
        <w:fldChar w:fldCharType="separate"/>
      </w:r>
      <w:r>
        <w:rPr>
          <w:color w:val="auto"/>
        </w:rPr>
        <w:t>47</w:t>
      </w:r>
      <w:r>
        <w:rPr>
          <w:color w:val="auto"/>
        </w:rPr>
        <w:fldChar w:fldCharType="end"/>
      </w:r>
      <w:r>
        <w:rPr>
          <w:color w:val="auto"/>
        </w:rPr>
        <w:fldChar w:fldCharType="end"/>
      </w:r>
    </w:p>
    <w:p>
      <w:pPr>
        <w:pStyle w:val="3"/>
        <w:rPr>
          <w:color w:val="auto"/>
        </w:rPr>
      </w:pPr>
      <w:r>
        <w:rPr>
          <w:color w:val="auto"/>
        </w:rPr>
        <w:fldChar w:fldCharType="end"/>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pageBreakBefore w:val="0"/>
        <w:widowControl w:val="0"/>
        <w:shd w:val="clear" w:color="auto" w:fill="auto"/>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cs="宋体"/>
          <w:b/>
          <w:bCs/>
          <w:color w:val="auto"/>
          <w:sz w:val="30"/>
          <w:szCs w:val="30"/>
          <w:highlight w:val="none"/>
        </w:rPr>
      </w:pPr>
      <w:bookmarkStart w:id="0" w:name="_Toc9128"/>
      <w:r>
        <w:rPr>
          <w:rFonts w:hint="eastAsia" w:asciiTheme="minorEastAsia" w:hAnsiTheme="minorEastAsia" w:eastAsiaTheme="minorEastAsia" w:cstheme="minorEastAsia"/>
          <w:color w:val="auto"/>
        </w:rPr>
        <w:br w:type="page"/>
      </w:r>
      <w:bookmarkEnd w:id="0"/>
      <w:bookmarkStart w:id="1" w:name="_Toc26642"/>
      <w:bookmarkStart w:id="2" w:name="_Toc6566"/>
      <w:bookmarkStart w:id="3" w:name="_Toc22939"/>
      <w:r>
        <w:rPr>
          <w:rFonts w:hint="eastAsia" w:ascii="宋体" w:hAnsi="宋体" w:eastAsia="宋体" w:cs="宋体"/>
          <w:b/>
          <w:bCs/>
          <w:color w:val="auto"/>
          <w:sz w:val="30"/>
          <w:szCs w:val="30"/>
          <w:highlight w:val="none"/>
        </w:rPr>
        <w:t xml:space="preserve">第一章  </w:t>
      </w:r>
      <w:r>
        <w:rPr>
          <w:rFonts w:hint="eastAsia" w:ascii="宋体"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竞争性磋商公告</w:t>
      </w:r>
      <w:bookmarkEnd w:id="1"/>
      <w:bookmarkEnd w:id="2"/>
    </w:p>
    <w:p>
      <w:pPr>
        <w:keepNext w:val="0"/>
        <w:keepLines w:val="0"/>
        <w:pageBreakBefore w:val="0"/>
        <w:widowControl w:val="0"/>
        <w:shd w:val="clear" w:color="auto" w:fill="auto"/>
        <w:kinsoku/>
        <w:wordWrap w:val="0"/>
        <w:overflowPunct/>
        <w:topLinePunct w:val="0"/>
        <w:autoSpaceDE/>
        <w:autoSpaceDN/>
        <w:bidi w:val="0"/>
        <w:adjustRightInd/>
        <w:snapToGrid/>
        <w:spacing w:line="500" w:lineRule="exact"/>
        <w:ind w:left="0" w:hanging="241" w:hangingChars="10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lang w:eastAsia="zh-CN"/>
        </w:rPr>
        <w:t>广西冠宝工程咨询有限公司</w:t>
      </w:r>
      <w:r>
        <w:rPr>
          <w:rFonts w:hint="eastAsia" w:ascii="宋体" w:hAnsi="宋体" w:cs="宋体"/>
          <w:b/>
          <w:bCs/>
          <w:color w:val="auto"/>
          <w:sz w:val="24"/>
          <w:szCs w:val="24"/>
          <w:highlight w:val="none"/>
          <w:lang w:eastAsia="zh-CN"/>
        </w:rPr>
        <w:t>思旺镇双上村上陶屯桂中支队第十大队集训旧址提升改造工程（第三批）</w:t>
      </w:r>
      <w:r>
        <w:rPr>
          <w:rFonts w:hint="eastAsia" w:ascii="宋体" w:hAnsi="宋体" w:eastAsia="宋体" w:cs="宋体"/>
          <w:b/>
          <w:bCs/>
          <w:color w:val="auto"/>
          <w:sz w:val="24"/>
          <w:szCs w:val="24"/>
          <w:highlight w:val="none"/>
          <w:lang w:eastAsia="zh-CN"/>
        </w:rPr>
        <w:t>(项目编号：</w:t>
      </w:r>
      <w:r>
        <w:rPr>
          <w:rFonts w:hint="eastAsia" w:ascii="宋体" w:hAnsi="宋体" w:cs="宋体"/>
          <w:b/>
          <w:bCs/>
          <w:color w:val="auto"/>
          <w:sz w:val="24"/>
          <w:szCs w:val="24"/>
          <w:highlight w:val="none"/>
          <w:lang w:eastAsia="zh-CN"/>
        </w:rPr>
        <w:t>GGZC2023-C2-62524-GXGB</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)竞争性磋商公告</w:t>
      </w:r>
    </w:p>
    <w:p>
      <w:pPr>
        <w:outlineLvl w:val="9"/>
        <w:rPr>
          <w:rFonts w:asciiTheme="minorEastAsia" w:hAnsiTheme="minorEastAsia" w:eastAsiaTheme="minorEastAsia" w:cstheme="minorEastAsia"/>
          <w:color w:val="auto"/>
          <w:sz w:val="24"/>
          <w:szCs w:val="24"/>
        </w:rPr>
      </w:pPr>
    </w:p>
    <w:p>
      <w:pPr>
        <w:pBdr>
          <w:top w:val="single" w:color="auto" w:sz="4" w:space="1"/>
          <w:left w:val="single" w:color="auto" w:sz="4" w:space="4"/>
          <w:bottom w:val="single" w:color="auto" w:sz="4" w:space="1"/>
          <w:right w:val="single" w:color="auto" w:sz="4" w:space="4"/>
        </w:pBd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思旺镇双上村上陶屯桂中支队第十大队集训旧址提升改造工程（第三批）</w:t>
      </w: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GGZC2023-C2-62524-GXGB</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rPr>
        <w:t>潜在供应商在</w:t>
      </w:r>
      <w:r>
        <w:rPr>
          <w:rFonts w:hint="eastAsia" w:asciiTheme="minorEastAsia" w:hAnsiTheme="minorEastAsia" w:eastAsiaTheme="minorEastAsia" w:cstheme="minorEastAsia"/>
          <w:color w:val="auto"/>
          <w:u w:val="single"/>
        </w:rPr>
        <w:t>政采云平台</w:t>
      </w:r>
      <w:r>
        <w:rPr>
          <w:rFonts w:hint="eastAsia" w:asciiTheme="minorEastAsia" w:hAnsiTheme="minorEastAsia" w:eastAsiaTheme="minorEastAsia" w:cstheme="minorEastAsia"/>
          <w:color w:val="auto"/>
          <w:lang w:eastAsia="zh-CN"/>
        </w:rPr>
        <w:t>免费获取</w:t>
      </w:r>
      <w:r>
        <w:rPr>
          <w:rFonts w:hint="eastAsia" w:asciiTheme="minorEastAsia" w:hAnsiTheme="minorEastAsia" w:eastAsiaTheme="minorEastAsia" w:cstheme="minorEastAsia"/>
          <w:color w:val="auto"/>
        </w:rPr>
        <w:t>采购文件，</w:t>
      </w:r>
      <w:r>
        <w:rPr>
          <w:rFonts w:hint="eastAsia" w:asciiTheme="minorEastAsia" w:hAnsiTheme="minorEastAsia" w:eastAsiaTheme="minorEastAsia" w:cstheme="minorEastAsia"/>
          <w:color w:val="auto"/>
          <w:highlight w:val="none"/>
        </w:rPr>
        <w:t>并于</w:t>
      </w:r>
      <w:r>
        <w:rPr>
          <w:rFonts w:hint="eastAsia" w:asciiTheme="minorEastAsia" w:hAnsiTheme="minorEastAsia" w:eastAsiaTheme="minorEastAsia" w:cstheme="minorEastAsia"/>
          <w:color w:val="auto"/>
          <w:highlight w:val="none"/>
          <w:u w:val="single"/>
        </w:rPr>
        <w:t>202</w:t>
      </w: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u w:val="single"/>
        </w:rPr>
        <w:t>年</w:t>
      </w:r>
      <w:r>
        <w:rPr>
          <w:rFonts w:hint="eastAsia" w:asciiTheme="minorEastAsia" w:hAnsiTheme="minorEastAsia" w:eastAsiaTheme="minorEastAsia" w:cstheme="minorEastAsia"/>
          <w:color w:val="auto"/>
          <w:highlight w:val="none"/>
          <w:u w:val="single"/>
          <w:lang w:val="en-US" w:eastAsia="zh-CN"/>
        </w:rPr>
        <w:t>12</w:t>
      </w:r>
      <w:r>
        <w:rPr>
          <w:rFonts w:hint="eastAsia" w:asciiTheme="minorEastAsia" w:hAnsiTheme="minorEastAsia" w:eastAsiaTheme="minorEastAsia" w:cstheme="minorEastAsia"/>
          <w:color w:val="auto"/>
          <w:highlight w:val="none"/>
          <w:u w:val="single"/>
        </w:rPr>
        <w:t>月</w:t>
      </w:r>
      <w:r>
        <w:rPr>
          <w:rFonts w:hint="eastAsia" w:asciiTheme="minorEastAsia" w:hAnsiTheme="minorEastAsia" w:eastAsiaTheme="minorEastAsia" w:cstheme="minorEastAsia"/>
          <w:color w:val="auto"/>
          <w:highlight w:val="none"/>
          <w:u w:val="single"/>
          <w:lang w:val="en-US" w:eastAsia="zh-CN"/>
        </w:rPr>
        <w:t xml:space="preserve"> 21</w:t>
      </w:r>
      <w:r>
        <w:rPr>
          <w:rFonts w:hint="eastAsia" w:asciiTheme="minorEastAsia" w:hAnsiTheme="minorEastAsia" w:eastAsiaTheme="minorEastAsia" w:cstheme="minorEastAsia"/>
          <w:color w:val="auto"/>
          <w:highlight w:val="none"/>
          <w:u w:val="single"/>
        </w:rPr>
        <w:t>日</w:t>
      </w:r>
      <w:r>
        <w:rPr>
          <w:rFonts w:hint="eastAsia" w:asciiTheme="minorEastAsia" w:hAnsiTheme="minorEastAsia" w:eastAsiaTheme="minorEastAsia" w:cstheme="minorEastAsia"/>
          <w:color w:val="auto"/>
          <w:highlight w:val="none"/>
          <w:u w:val="single"/>
        </w:rPr>
        <w:t>上午09时00分（北京时间</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前提交响应文件。</w:t>
      </w:r>
    </w:p>
    <w:p>
      <w:pPr>
        <w:spacing w:line="400" w:lineRule="exact"/>
        <w:ind w:firstLine="422" w:firstLineChars="200"/>
        <w:outlineLvl w:val="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rPr>
        <w:t>一、项目基本情况</w:t>
      </w:r>
    </w:p>
    <w:p>
      <w:pPr>
        <w:shd w:val="clear"/>
        <w:spacing w:line="400" w:lineRule="exact"/>
        <w:ind w:firstLine="420" w:firstLineChars="200"/>
        <w:outlineLvl w:val="9"/>
        <w:rPr>
          <w:rFonts w:hint="eastAsia" w:asciiTheme="minorEastAsia" w:hAnsiTheme="minorEastAsia" w:eastAsiaTheme="minorEastAsia" w:cstheme="minorEastAsia"/>
          <w:color w:val="auto"/>
          <w:highlight w:val="none"/>
          <w:u w:val="none"/>
          <w:lang w:eastAsia="zh-CN"/>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none"/>
          <w:lang w:eastAsia="zh-CN"/>
        </w:rPr>
        <w:t>GGZC2023-C2-62524-GXGB</w:t>
      </w:r>
    </w:p>
    <w:p>
      <w:pPr>
        <w:spacing w:line="400" w:lineRule="exact"/>
        <w:ind w:firstLine="420" w:firstLineChars="200"/>
        <w:outlineLvl w:val="9"/>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rPr>
        <w:t>项目名称：</w:t>
      </w:r>
      <w:r>
        <w:rPr>
          <w:rFonts w:hint="eastAsia" w:asciiTheme="minorEastAsia" w:hAnsiTheme="minorEastAsia" w:eastAsiaTheme="minorEastAsia" w:cstheme="minorEastAsia"/>
          <w:color w:val="auto"/>
          <w:u w:val="none"/>
          <w:lang w:eastAsia="zh-CN"/>
        </w:rPr>
        <w:t>思旺镇双上村上陶屯桂中支队第十大队集训旧址提升改造工程（第三批）</w:t>
      </w:r>
    </w:p>
    <w:p>
      <w:pPr>
        <w:spacing w:line="400" w:lineRule="exact"/>
        <w:ind w:firstLine="420" w:firstLineChars="200"/>
        <w:outlineLvl w:val="9"/>
        <w:rPr>
          <w:rFonts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采购方式：竞争性磋商</w:t>
      </w:r>
    </w:p>
    <w:p>
      <w:pPr>
        <w:spacing w:line="400" w:lineRule="exact"/>
        <w:ind w:firstLine="420" w:firstLineChars="200"/>
        <w:outlineLvl w:val="9"/>
        <w:rPr>
          <w:rFonts w:hint="eastAsia" w:asciiTheme="minorEastAsia" w:hAnsiTheme="minorEastAsia" w:eastAsiaTheme="minorEastAsia" w:cstheme="minorEastAsia"/>
          <w:color w:val="auto"/>
          <w:u w:val="none"/>
          <w:lang w:val="en-US" w:eastAsia="zh-CN"/>
        </w:rPr>
      </w:pPr>
      <w:r>
        <w:rPr>
          <w:rFonts w:hint="eastAsia" w:asciiTheme="minorEastAsia" w:hAnsiTheme="minorEastAsia" w:eastAsiaTheme="minorEastAsia" w:cstheme="minorEastAsia"/>
          <w:color w:val="auto"/>
          <w:kern w:val="2"/>
          <w:sz w:val="21"/>
          <w:szCs w:val="21"/>
          <w:lang w:val="en-US" w:eastAsia="zh-CN" w:bidi="ar-SA"/>
        </w:rPr>
        <w:t>预算金额：人民币柒拾贰万陆仟贰佰壹拾贰元捌角贰分</w:t>
      </w:r>
      <w:r>
        <w:rPr>
          <w:rFonts w:hint="eastAsia" w:asciiTheme="minorEastAsia" w:hAnsiTheme="minorEastAsia" w:eastAsiaTheme="minorEastAsia" w:cstheme="minorEastAsia"/>
          <w:color w:val="auto"/>
          <w:u w:val="none"/>
          <w:lang w:val="en-US" w:eastAsia="zh-CN"/>
        </w:rPr>
        <w:t>（￥ 726212.82）</w:t>
      </w:r>
    </w:p>
    <w:p>
      <w:pPr>
        <w:spacing w:line="400" w:lineRule="exact"/>
        <w:ind w:firstLine="420" w:firstLineChars="200"/>
        <w:outlineLvl w:val="9"/>
        <w:rPr>
          <w:rFonts w:hint="eastAsia" w:asciiTheme="minorEastAsia" w:hAnsiTheme="minorEastAsia" w:eastAsiaTheme="minorEastAsia" w:cstheme="minorEastAsia"/>
          <w:color w:val="auto"/>
          <w:u w:val="none"/>
          <w:lang w:val="en-US" w:eastAsia="zh-CN"/>
        </w:rPr>
      </w:pPr>
      <w:r>
        <w:rPr>
          <w:rFonts w:hint="eastAsia" w:asciiTheme="minorEastAsia" w:hAnsiTheme="minorEastAsia" w:eastAsiaTheme="minorEastAsia" w:cstheme="minorEastAsia"/>
          <w:color w:val="auto"/>
          <w:u w:val="none"/>
          <w:lang w:val="en-US" w:eastAsia="zh-CN"/>
        </w:rPr>
        <w:t>最高限价：</w:t>
      </w:r>
      <w:r>
        <w:rPr>
          <w:rFonts w:hint="eastAsia" w:asciiTheme="minorEastAsia" w:hAnsiTheme="minorEastAsia" w:eastAsiaTheme="minorEastAsia" w:cstheme="minorEastAsia"/>
          <w:color w:val="auto"/>
          <w:kern w:val="2"/>
          <w:sz w:val="21"/>
          <w:szCs w:val="21"/>
          <w:lang w:val="en-US" w:eastAsia="zh-CN" w:bidi="ar-SA"/>
        </w:rPr>
        <w:t>人民币柒拾贰万陆仟贰佰壹拾贰元捌角贰分</w:t>
      </w:r>
      <w:r>
        <w:rPr>
          <w:rFonts w:hint="eastAsia" w:asciiTheme="minorEastAsia" w:hAnsiTheme="minorEastAsia" w:eastAsiaTheme="minorEastAsia" w:cstheme="minorEastAsia"/>
          <w:color w:val="auto"/>
          <w:u w:val="none"/>
          <w:lang w:val="en-US" w:eastAsia="zh-CN"/>
        </w:rPr>
        <w:t>（￥ 726212.82）</w:t>
      </w:r>
    </w:p>
    <w:p>
      <w:pPr>
        <w:spacing w:line="400" w:lineRule="exact"/>
        <w:ind w:firstLine="420" w:firstLineChars="200"/>
        <w:outlineLvl w:val="9"/>
        <w:rPr>
          <w:rFonts w:hint="eastAsia" w:asciiTheme="minorEastAsia" w:hAnsiTheme="minorEastAsia" w:eastAsiaTheme="minorEastAsia" w:cstheme="minorEastAsia"/>
          <w:color w:val="auto"/>
          <w:u w:val="none"/>
          <w:lang w:val="en-US" w:eastAsia="zh-CN"/>
        </w:rPr>
      </w:pPr>
      <w:r>
        <w:rPr>
          <w:rFonts w:hint="eastAsia" w:asciiTheme="minorEastAsia" w:hAnsiTheme="minorEastAsia" w:eastAsiaTheme="minorEastAsia" w:cstheme="minorEastAsia"/>
          <w:color w:val="auto"/>
          <w:u w:val="none"/>
          <w:lang w:val="en-US" w:eastAsia="zh-CN"/>
        </w:rPr>
        <w:t>采购需求： 思旺镇双上村上陶屯桂中支队第十大队集训川旧址提升改造。具体详见图纸及工程量清单。</w:t>
      </w:r>
    </w:p>
    <w:p>
      <w:pPr>
        <w:spacing w:line="400" w:lineRule="exact"/>
        <w:ind w:firstLine="420" w:firstLineChars="200"/>
        <w:outlineLvl w:val="9"/>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u w:val="none"/>
          <w:lang w:val="en-US" w:eastAsia="zh-CN"/>
        </w:rPr>
        <w:t>工期：自签订合同</w:t>
      </w:r>
      <w:r>
        <w:rPr>
          <w:rFonts w:hint="eastAsia" w:asciiTheme="minorEastAsia" w:hAnsiTheme="minorEastAsia" w:eastAsiaTheme="minorEastAsia" w:cstheme="minorEastAsia"/>
          <w:color w:val="auto"/>
          <w:highlight w:val="none"/>
          <w:u w:val="none"/>
          <w:lang w:val="en-US" w:eastAsia="zh-CN"/>
        </w:rPr>
        <w:t>之日起30个日</w:t>
      </w:r>
      <w:r>
        <w:rPr>
          <w:rFonts w:hint="eastAsia" w:asciiTheme="minorEastAsia" w:hAnsiTheme="minorEastAsia" w:eastAsiaTheme="minorEastAsia" w:cstheme="minorEastAsia"/>
          <w:color w:val="auto"/>
          <w:highlight w:val="none"/>
          <w:u w:val="none"/>
          <w:lang w:val="en-US" w:eastAsia="zh-CN"/>
        </w:rPr>
        <w:t>历天。</w:t>
      </w:r>
    </w:p>
    <w:p>
      <w:pPr>
        <w:pStyle w:val="40"/>
        <w:keepNext w:val="0"/>
        <w:keepLines w:val="0"/>
        <w:pageBreakBefore w:val="0"/>
        <w:widowControl w:val="0"/>
        <w:shd w:val="clear" w:color="auto" w:fill="auto"/>
        <w:kinsoku/>
        <w:overflowPunct/>
        <w:topLinePunct w:val="0"/>
        <w:autoSpaceDE/>
        <w:autoSpaceDN/>
        <w:bidi w:val="0"/>
        <w:adjustRightInd/>
        <w:snapToGrid/>
        <w:spacing w:before="0" w:beforeAutospacing="0" w:after="0" w:afterAutospacing="0" w:line="400" w:lineRule="exact"/>
        <w:ind w:firstLine="420" w:firstLineChars="20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工程质量要求：达到国家施工验收规范合格标准要求。</w:t>
      </w:r>
    </w:p>
    <w:p>
      <w:pPr>
        <w:pStyle w:val="40"/>
        <w:keepNext w:val="0"/>
        <w:keepLines w:val="0"/>
        <w:pageBreakBefore w:val="0"/>
        <w:widowControl w:val="0"/>
        <w:shd w:val="clear" w:color="auto" w:fill="auto"/>
        <w:kinsoku/>
        <w:overflowPunct/>
        <w:topLinePunct w:val="0"/>
        <w:autoSpaceDE/>
        <w:autoSpaceDN/>
        <w:bidi w:val="0"/>
        <w:adjustRightInd/>
        <w:snapToGrid/>
        <w:spacing w:before="0" w:beforeAutospacing="0" w:after="0" w:afterAutospacing="0" w:line="400" w:lineRule="exact"/>
        <w:ind w:firstLine="420" w:firstLineChars="200"/>
        <w:jc w:val="both"/>
        <w:textAlignment w:val="auto"/>
        <w:outlineLvl w:val="9"/>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本项目不接受联合体。 </w:t>
      </w:r>
    </w:p>
    <w:p>
      <w:pPr>
        <w:spacing w:line="400" w:lineRule="exact"/>
        <w:ind w:firstLine="422" w:firstLineChars="200"/>
        <w:outlineLvl w:val="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二、申请人的资格要求：</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val="en-US" w:eastAsia="zh-CN"/>
        </w:rPr>
        <w:t>；</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val="en-US"/>
        </w:rPr>
        <w:t>本项目属于专门面向中小企业采购的项目，根据财库【2020】46号《政府采购促进中小企业发展管理办法》要求，供应商应为中小企业或监狱企业或残疾人福利性单位。</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val="en-US" w:eastAsia="zh-CN"/>
        </w:rPr>
        <w:t>供应商须具有</w:t>
      </w:r>
      <w:r>
        <w:rPr>
          <w:rFonts w:hint="eastAsia" w:cs="宋体"/>
          <w:color w:val="auto"/>
          <w:sz w:val="21"/>
          <w:szCs w:val="21"/>
          <w:highlight w:val="none"/>
          <w:lang w:val="en-US" w:eastAsia="zh-CN"/>
        </w:rPr>
        <w:t>建筑工程施工总承包</w:t>
      </w:r>
      <w:r>
        <w:rPr>
          <w:rFonts w:hint="eastAsia" w:ascii="宋体" w:hAnsi="宋体" w:eastAsia="宋体" w:cs="宋体"/>
          <w:color w:val="auto"/>
          <w:sz w:val="21"/>
          <w:szCs w:val="21"/>
          <w:highlight w:val="none"/>
          <w:lang w:val="en-US" w:eastAsia="zh-CN"/>
        </w:rPr>
        <w:t>叁级（含叁级）</w:t>
      </w:r>
      <w:r>
        <w:rPr>
          <w:rFonts w:hint="eastAsia" w:ascii="宋体" w:hAnsi="宋体" w:eastAsia="宋体" w:cs="宋体"/>
          <w:color w:val="auto"/>
          <w:sz w:val="21"/>
          <w:szCs w:val="21"/>
          <w:highlight w:val="none"/>
          <w:lang w:val="en-US" w:eastAsia="zh-CN"/>
        </w:rPr>
        <w:t>以上资质</w:t>
      </w:r>
      <w:r>
        <w:rPr>
          <w:rFonts w:hint="eastAsia" w:ascii="宋体" w:hAnsi="宋体" w:eastAsia="宋体" w:cs="宋体"/>
          <w:color w:val="auto"/>
          <w:sz w:val="21"/>
          <w:szCs w:val="21"/>
          <w:highlight w:val="none"/>
          <w:lang w:eastAsia="zh-CN"/>
        </w:rPr>
        <w:t>的施工企业，</w:t>
      </w:r>
      <w:r>
        <w:rPr>
          <w:rFonts w:hint="eastAsia" w:ascii="宋体" w:hAnsi="宋体" w:eastAsia="宋体" w:cs="宋体"/>
          <w:color w:val="auto"/>
          <w:sz w:val="21"/>
          <w:szCs w:val="21"/>
          <w:highlight w:val="none"/>
          <w:lang w:val="en-US" w:eastAsia="zh-CN"/>
        </w:rPr>
        <w:t>有</w:t>
      </w:r>
      <w:r>
        <w:rPr>
          <w:rFonts w:hint="eastAsia" w:cs="宋体"/>
          <w:color w:val="auto"/>
          <w:sz w:val="21"/>
          <w:szCs w:val="21"/>
          <w:highlight w:val="none"/>
          <w:lang w:val="en-US" w:eastAsia="zh-CN"/>
        </w:rPr>
        <w:t>效</w:t>
      </w:r>
      <w:r>
        <w:rPr>
          <w:rFonts w:hint="eastAsia" w:ascii="宋体" w:hAnsi="宋体" w:eastAsia="宋体" w:cs="宋体"/>
          <w:color w:val="auto"/>
          <w:sz w:val="21"/>
          <w:szCs w:val="21"/>
          <w:highlight w:val="none"/>
          <w:lang w:val="en-US" w:eastAsia="zh-CN"/>
        </w:rPr>
        <w:t>的安全生产许可证，并在人员、设备、资金等方面具有相应的施工能力的施工企业；拟派项目经理须具备</w:t>
      </w:r>
      <w:r>
        <w:rPr>
          <w:rFonts w:hint="eastAsia" w:cs="宋体"/>
          <w:color w:val="auto"/>
          <w:sz w:val="21"/>
          <w:szCs w:val="21"/>
          <w:highlight w:val="none"/>
          <w:lang w:val="en-US" w:eastAsia="zh-CN"/>
        </w:rPr>
        <w:t>建筑</w:t>
      </w:r>
      <w:r>
        <w:rPr>
          <w:rFonts w:hint="eastAsia" w:ascii="宋体" w:hAnsi="宋体" w:eastAsia="宋体" w:cs="宋体"/>
          <w:color w:val="auto"/>
          <w:sz w:val="21"/>
          <w:szCs w:val="21"/>
          <w:highlight w:val="none"/>
          <w:lang w:val="en-US" w:eastAsia="zh-CN"/>
        </w:rPr>
        <w:t>工程专业贰级以上</w:t>
      </w:r>
      <w:r>
        <w:rPr>
          <w:rFonts w:hint="eastAsia" w:ascii="宋体" w:hAnsi="宋体" w:eastAsia="宋体" w:cs="宋体"/>
          <w:color w:val="auto"/>
          <w:sz w:val="21"/>
          <w:szCs w:val="21"/>
          <w:highlight w:val="none"/>
          <w:lang w:val="en-US" w:eastAsia="zh-CN"/>
        </w:rPr>
        <w:t>（含贰级）注册建造师执业资格，并具备有效的安全生产考核合格证书（B 类）。</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shd w:val="clear" w:color="auto" w:fill="auto"/>
        <w:kinsoku/>
        <w:overflowPunct/>
        <w:topLinePunct w:val="0"/>
        <w:autoSpaceDE/>
        <w:autoSpaceDN/>
        <w:bidi w:val="0"/>
        <w:adjustRightInd/>
        <w:spacing w:line="46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本项目不接受未按本公告规定的方式获取本竞争性磋商文件的供应商参与磋商。</w:t>
      </w:r>
    </w:p>
    <w:p>
      <w:pPr>
        <w:spacing w:line="400" w:lineRule="exact"/>
        <w:ind w:firstLine="422"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eastAsia="zh-CN"/>
        </w:rPr>
        <w:t>三</w:t>
      </w:r>
      <w:r>
        <w:rPr>
          <w:rFonts w:hint="eastAsia" w:asciiTheme="minorEastAsia" w:hAnsiTheme="minorEastAsia" w:eastAsiaTheme="minorEastAsia" w:cstheme="minorEastAsia"/>
          <w:b/>
          <w:bCs/>
          <w:color w:val="auto"/>
          <w:highlight w:val="none"/>
        </w:rPr>
        <w:t>、获取采购文件</w:t>
      </w:r>
    </w:p>
    <w:p>
      <w:pPr>
        <w:spacing w:line="400" w:lineRule="exact"/>
        <w:ind w:firstLine="420"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时间：202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 xml:space="preserve"> 08</w:t>
      </w:r>
      <w:r>
        <w:rPr>
          <w:rFonts w:hint="eastAsia" w:asciiTheme="minorEastAsia" w:hAnsiTheme="minorEastAsia" w:eastAsiaTheme="minorEastAsia" w:cstheme="minorEastAsia"/>
          <w:color w:val="auto"/>
          <w:highlight w:val="none"/>
        </w:rPr>
        <w:t>日至</w:t>
      </w:r>
      <w:r>
        <w:rPr>
          <w:rFonts w:hint="eastAsia" w:asciiTheme="minorEastAsia" w:hAnsiTheme="minorEastAsia" w:eastAsiaTheme="minorEastAsia" w:cstheme="minorEastAsia"/>
          <w:color w:val="auto"/>
          <w:highlight w:val="none"/>
        </w:rPr>
        <w:t>供应商投标文件递交的截止时间止</w:t>
      </w:r>
    </w:p>
    <w:p>
      <w:pPr>
        <w:spacing w:line="400" w:lineRule="exact"/>
        <w:ind w:firstLine="420" w:firstLineChars="200"/>
        <w:outlineLvl w:val="9"/>
        <w:rPr>
          <w:rFonts w:hint="eastAsia" w:eastAsia="宋体" w:asciiTheme="minorEastAsia" w:hAnsi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地点：</w:t>
      </w:r>
      <w:r>
        <w:rPr>
          <w:rFonts w:hint="eastAsia" w:ascii="宋体" w:hAnsi="宋体" w:cs="宋体"/>
          <w:color w:val="auto"/>
          <w:szCs w:val="21"/>
          <w:highlight w:val="none"/>
          <w:u w:val="none"/>
        </w:rPr>
        <w:t>政采云平台（www.zcygov.cn）</w:t>
      </w:r>
      <w:r>
        <w:rPr>
          <w:rFonts w:hint="eastAsia" w:ascii="宋体" w:hAnsi="宋体" w:cs="宋体"/>
          <w:color w:val="auto"/>
          <w:szCs w:val="21"/>
          <w:highlight w:val="none"/>
          <w:u w:val="none"/>
          <w:lang w:eastAsia="zh-CN"/>
        </w:rPr>
        <w:t>。</w:t>
      </w:r>
    </w:p>
    <w:p>
      <w:pPr>
        <w:spacing w:line="400" w:lineRule="exact"/>
        <w:ind w:firstLine="420"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方式：供应商通过贵港市政府采购网“供应商注册入口”完成账号注册后，登录政采云平台“项目采购—获取采购文件”模块自行下载采购文件；未在政采云注册的供应商可在获取</w:t>
      </w:r>
      <w:r>
        <w:rPr>
          <w:rFonts w:hint="eastAsia" w:asciiTheme="minorEastAsia" w:hAnsiTheme="minorEastAsia" w:eastAsiaTheme="minorEastAsia" w:cstheme="minorEastAsia"/>
          <w:color w:val="auto"/>
          <w:highlight w:val="none"/>
          <w:lang w:eastAsia="zh-CN"/>
        </w:rPr>
        <w:t>竞争性磋商</w:t>
      </w:r>
      <w:r>
        <w:rPr>
          <w:rFonts w:hint="eastAsia" w:asciiTheme="minorEastAsia" w:hAnsiTheme="minorEastAsia" w:eastAsiaTheme="minorEastAsia" w:cstheme="minorEastAsia"/>
          <w:color w:val="auto"/>
          <w:highlight w:val="none"/>
        </w:rPr>
        <w:t>文件前登录政采云（https://www.zcygov.cn/）进行注册。如在操作过程中遇到问题或需技术支持，请致电政采云客服热线：</w:t>
      </w:r>
      <w:r>
        <w:rPr>
          <w:rFonts w:hint="eastAsia" w:asciiTheme="minorEastAsia" w:hAnsiTheme="minorEastAsia" w:eastAsiaTheme="minorEastAsia" w:cstheme="minorEastAsia"/>
          <w:color w:val="auto"/>
          <w:highlight w:val="none"/>
          <w:lang w:eastAsia="zh-CN"/>
        </w:rPr>
        <w:t>95763</w:t>
      </w:r>
      <w:r>
        <w:rPr>
          <w:rFonts w:hint="eastAsia" w:asciiTheme="minorEastAsia" w:hAnsiTheme="minorEastAsia" w:eastAsiaTheme="minorEastAsia" w:cstheme="minorEastAsia"/>
          <w:color w:val="auto"/>
          <w:highlight w:val="none"/>
        </w:rPr>
        <w:t xml:space="preserve">。售价：0元 </w:t>
      </w:r>
    </w:p>
    <w:p>
      <w:pPr>
        <w:spacing w:line="400" w:lineRule="exact"/>
        <w:ind w:firstLine="422"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eastAsia="zh-CN"/>
        </w:rPr>
        <w:t>四</w:t>
      </w:r>
      <w:r>
        <w:rPr>
          <w:rFonts w:hint="eastAsia" w:asciiTheme="minorEastAsia" w:hAnsiTheme="minorEastAsia" w:eastAsiaTheme="minorEastAsia" w:cstheme="minorEastAsia"/>
          <w:b/>
          <w:bCs/>
          <w:color w:val="auto"/>
          <w:highlight w:val="none"/>
        </w:rPr>
        <w:t>、响应文件提交</w:t>
      </w:r>
    </w:p>
    <w:p>
      <w:pPr>
        <w:spacing w:line="400" w:lineRule="exact"/>
        <w:ind w:firstLine="420"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截止时间：202</w:t>
      </w:r>
      <w:r>
        <w:rPr>
          <w:rFonts w:hint="eastAsia" w:asciiTheme="minorEastAsia" w:hAnsiTheme="minorEastAsia" w:eastAsiaTheme="minorEastAsia" w:cstheme="minorEastAsia"/>
          <w:color w:val="auto"/>
          <w:highlight w:val="none"/>
          <w:lang w:val="en-US" w:eastAsia="zh-CN"/>
        </w:rPr>
        <w:t xml:space="preserve">3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 xml:space="preserve"> 12</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 xml:space="preserve"> 21 </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rPr>
        <w:t>上午09时00分（北京时间）。</w:t>
      </w:r>
    </w:p>
    <w:p>
      <w:pPr>
        <w:spacing w:line="400" w:lineRule="exact"/>
        <w:ind w:firstLine="420"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地点：通过政采云平台实行在线投标响应。</w:t>
      </w:r>
    </w:p>
    <w:p>
      <w:pPr>
        <w:spacing w:line="400" w:lineRule="exact"/>
        <w:ind w:firstLine="422"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eastAsia="zh-CN"/>
        </w:rPr>
        <w:t>五</w:t>
      </w:r>
      <w:r>
        <w:rPr>
          <w:rFonts w:hint="eastAsia" w:asciiTheme="minorEastAsia" w:hAnsiTheme="minorEastAsia" w:eastAsiaTheme="minorEastAsia" w:cstheme="minorEastAsia"/>
          <w:b/>
          <w:bCs/>
          <w:color w:val="auto"/>
          <w:highlight w:val="none"/>
        </w:rPr>
        <w:t>、开启</w:t>
      </w:r>
    </w:p>
    <w:p>
      <w:pPr>
        <w:spacing w:line="400" w:lineRule="exact"/>
        <w:ind w:firstLine="420" w:firstLineChars="200"/>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时间：202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 xml:space="preserve"> 12</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 xml:space="preserve"> 21  </w:t>
      </w:r>
      <w:r>
        <w:rPr>
          <w:rFonts w:hint="eastAsia" w:asciiTheme="minorEastAsia" w:hAnsiTheme="minorEastAsia" w:eastAsiaTheme="minorEastAsia" w:cstheme="minorEastAsia"/>
          <w:color w:val="auto"/>
          <w:highlight w:val="none"/>
        </w:rPr>
        <w:t>日上午09时00分（北京时间）</w:t>
      </w:r>
      <w:r>
        <w:rPr>
          <w:rFonts w:hint="eastAsia" w:asciiTheme="minorEastAsia" w:hAnsiTheme="minorEastAsia" w:eastAsiaTheme="minorEastAsia" w:cstheme="minorEastAsia"/>
          <w:color w:val="auto"/>
          <w:highlight w:val="none"/>
          <w:lang w:eastAsia="zh-CN"/>
        </w:rPr>
        <w:t>后。</w:t>
      </w:r>
    </w:p>
    <w:p>
      <w:pPr>
        <w:spacing w:line="400" w:lineRule="exact"/>
        <w:ind w:firstLine="420"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地点：通过政采云平台实行</w:t>
      </w:r>
      <w:r>
        <w:rPr>
          <w:rFonts w:hint="eastAsia" w:asciiTheme="minorEastAsia" w:hAnsiTheme="minorEastAsia" w:eastAsiaTheme="minorEastAsia" w:cstheme="minorEastAsia"/>
          <w:color w:val="auto"/>
          <w:highlight w:val="none"/>
        </w:rPr>
        <w:t>在线解密开启。</w:t>
      </w:r>
    </w:p>
    <w:p>
      <w:pPr>
        <w:spacing w:line="400" w:lineRule="exact"/>
        <w:ind w:firstLine="422"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eastAsia="zh-CN"/>
        </w:rPr>
        <w:t>六</w:t>
      </w:r>
      <w:r>
        <w:rPr>
          <w:rFonts w:hint="eastAsia" w:asciiTheme="minorEastAsia" w:hAnsiTheme="minorEastAsia" w:eastAsiaTheme="minorEastAsia" w:cstheme="minorEastAsia"/>
          <w:b/>
          <w:bCs/>
          <w:color w:val="auto"/>
          <w:highlight w:val="none"/>
        </w:rPr>
        <w:t>、公告期限</w:t>
      </w:r>
    </w:p>
    <w:p>
      <w:pPr>
        <w:spacing w:line="400" w:lineRule="exact"/>
        <w:ind w:firstLine="420"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自本公告发布之日起5个工作日。</w:t>
      </w:r>
    </w:p>
    <w:p>
      <w:pPr>
        <w:pStyle w:val="40"/>
        <w:shd w:val="clear" w:color="auto" w:fill="auto"/>
        <w:spacing w:before="0" w:beforeAutospacing="0" w:after="0" w:afterAutospacing="0" w:line="400" w:lineRule="exact"/>
        <w:ind w:firstLine="422"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p>
    <w:p>
      <w:pPr>
        <w:keepNext w:val="0"/>
        <w:keepLines w:val="0"/>
        <w:pageBreakBefore w:val="0"/>
        <w:shd w:val="clear" w:color="auto" w:fill="auto"/>
        <w:kinsoku/>
        <w:overflowPunct/>
        <w:topLinePunct w:val="0"/>
        <w:autoSpaceDE/>
        <w:autoSpaceDN/>
        <w:bidi w:val="0"/>
        <w:adjustRightInd/>
        <w:snapToGrid w:val="0"/>
        <w:spacing w:line="460" w:lineRule="exact"/>
        <w:ind w:firstLine="422" w:firstLineChars="200"/>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1.磋商保证金：无。</w:t>
      </w:r>
    </w:p>
    <w:p>
      <w:pPr>
        <w:keepNext w:val="0"/>
        <w:keepLines w:val="0"/>
        <w:pageBreakBefore w:val="0"/>
        <w:shd w:val="clear" w:color="auto" w:fill="auto"/>
        <w:kinsoku/>
        <w:overflowPunct/>
        <w:topLinePunct w:val="0"/>
        <w:autoSpaceDE/>
        <w:autoSpaceDN/>
        <w:bidi w:val="0"/>
        <w:adjustRightInd/>
        <w:snapToGrid w:val="0"/>
        <w:spacing w:line="46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本项目需要落实的政府采购政策：</w:t>
      </w:r>
    </w:p>
    <w:p>
      <w:pPr>
        <w:pStyle w:val="25"/>
        <w:spacing w:line="440" w:lineRule="exact"/>
        <w:ind w:firstLine="525" w:firstLineChars="25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是否专门面向中小企业采购：是。《政府采购促进中小企业发展管理办法》（财库[2020]46号）；中小企业划分标准属于行业为：“建筑行业”；</w:t>
      </w:r>
    </w:p>
    <w:p>
      <w:pPr>
        <w:keepNext w:val="0"/>
        <w:keepLines w:val="0"/>
        <w:pageBreakBefore w:val="0"/>
        <w:shd w:val="clear" w:color="auto" w:fill="auto"/>
        <w:kinsoku/>
        <w:overflowPunct/>
        <w:topLinePunct w:val="0"/>
        <w:autoSpaceDE/>
        <w:autoSpaceDN/>
        <w:bidi w:val="0"/>
        <w:adjustRightInd/>
        <w:snapToGrid w:val="0"/>
        <w:spacing w:line="4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政府采购促进中小企业发展。</w:t>
      </w:r>
    </w:p>
    <w:p>
      <w:pPr>
        <w:keepNext w:val="0"/>
        <w:keepLines w:val="0"/>
        <w:pageBreakBefore w:val="0"/>
        <w:shd w:val="clear" w:color="auto" w:fill="auto"/>
        <w:kinsoku/>
        <w:overflowPunct/>
        <w:topLinePunct w:val="0"/>
        <w:autoSpaceDE/>
        <w:autoSpaceDN/>
        <w:bidi w:val="0"/>
        <w:adjustRightInd/>
        <w:snapToGrid w:val="0"/>
        <w:spacing w:line="4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政府采购支持采用本国产品的政策。</w:t>
      </w:r>
    </w:p>
    <w:p>
      <w:pPr>
        <w:keepNext w:val="0"/>
        <w:keepLines w:val="0"/>
        <w:pageBreakBefore w:val="0"/>
        <w:shd w:val="clear" w:color="auto" w:fill="auto"/>
        <w:kinsoku/>
        <w:overflowPunct/>
        <w:topLinePunct w:val="0"/>
        <w:autoSpaceDE/>
        <w:autoSpaceDN/>
        <w:bidi w:val="0"/>
        <w:adjustRightInd/>
        <w:snapToGrid w:val="0"/>
        <w:spacing w:line="4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强制采购节能产品；优先采购节能产品、环境标志产品。</w:t>
      </w:r>
    </w:p>
    <w:p>
      <w:pPr>
        <w:keepNext w:val="0"/>
        <w:keepLines w:val="0"/>
        <w:pageBreakBefore w:val="0"/>
        <w:shd w:val="clear" w:color="auto" w:fill="auto"/>
        <w:kinsoku/>
        <w:overflowPunct/>
        <w:topLinePunct w:val="0"/>
        <w:autoSpaceDE/>
        <w:autoSpaceDN/>
        <w:bidi w:val="0"/>
        <w:adjustRightInd/>
        <w:snapToGrid w:val="0"/>
        <w:spacing w:line="4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政府采购促进残疾人就业政策。</w:t>
      </w:r>
    </w:p>
    <w:p>
      <w:pPr>
        <w:keepNext w:val="0"/>
        <w:keepLines w:val="0"/>
        <w:pageBreakBefore w:val="0"/>
        <w:shd w:val="clear" w:color="auto" w:fill="auto"/>
        <w:kinsoku/>
        <w:overflowPunct/>
        <w:topLinePunct w:val="0"/>
        <w:autoSpaceDE/>
        <w:autoSpaceDN/>
        <w:bidi w:val="0"/>
        <w:adjustRightInd/>
        <w:snapToGrid w:val="0"/>
        <w:spacing w:line="460" w:lineRule="exact"/>
        <w:ind w:firstLine="420" w:firstLineChars="200"/>
        <w:textAlignment w:val="auto"/>
        <w:outlineLvl w:val="9"/>
        <w:rPr>
          <w:rFonts w:hint="eastAsia" w:asciiTheme="minorEastAsia" w:hAnsiTheme="minorEastAsia" w:eastAsiaTheme="minorEastAsia" w:cstheme="minorEastAsia"/>
          <w:b/>
          <w:bCs/>
          <w:color w:val="auto"/>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政府采购支持监狱企业发展。</w:t>
      </w:r>
    </w:p>
    <w:p>
      <w:pPr>
        <w:spacing w:line="400" w:lineRule="exact"/>
        <w:ind w:firstLine="422"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八、在线投标响应（电子投标）说明</w:t>
      </w:r>
    </w:p>
    <w:p>
      <w:pPr>
        <w:spacing w:line="40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项目通过政采云平台实行在线投标响应（电子投标），供应商需要先安装“政采云电子交易客户端”，并按照本采购文件和政采云平台的要求，通过“政采云电子交易客户端”编制并加密响应文件。供应商未按规定编制并加密的响应文件，政采云平台将予以拒收。</w:t>
      </w:r>
    </w:p>
    <w:p>
      <w:pPr>
        <w:spacing w:line="40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w:t>
      </w:r>
      <w:r>
        <w:rPr>
          <w:rFonts w:hint="eastAsia" w:asciiTheme="minorEastAsia" w:hAnsiTheme="minorEastAsia" w:eastAsiaTheme="minorEastAsia" w:cstheme="minorEastAsia"/>
          <w:color w:val="auto"/>
          <w:lang w:eastAsia="zh-CN"/>
        </w:rPr>
        <w:t>95763</w:t>
      </w:r>
      <w:r>
        <w:rPr>
          <w:rFonts w:hint="eastAsia" w:asciiTheme="minorEastAsia" w:hAnsiTheme="minorEastAsia" w:eastAsiaTheme="minorEastAsia" w:cstheme="minorEastAsia"/>
          <w:color w:val="auto"/>
        </w:rPr>
        <w:t>。</w:t>
      </w:r>
    </w:p>
    <w:p>
      <w:pPr>
        <w:spacing w:line="40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为确保网上操作合法、有效和安全，供应商应当在响应文件递交截止时间前完成在“政府采购云平台”的身份认证，确保在电子投标过程中能够对相关数据电文进行加密和使用电子签章。使用“政采云电子交易客户端”需要提前申领CA数字证书，申领流程请自行前往相关网站进行查阅。（电子标需要完成CA数字证书办理，建议供应商获取采购文件后立即办理。）</w:t>
      </w:r>
    </w:p>
    <w:p>
      <w:pPr>
        <w:spacing w:line="40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供应商应当在响应文件递交截止时间前，将生成的“电子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p>
    <w:p>
      <w:pPr>
        <w:spacing w:line="40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4.如电子响应文件无法按时解密时，供应商可授权采购代理机构解密电子备份响应文件，需出示授权委托书并加盖公章。电子备份响应文件可以通过以下</w:t>
      </w:r>
      <w:r>
        <w:rPr>
          <w:rFonts w:hint="eastAsia" w:asciiTheme="minorEastAsia" w:hAnsiTheme="minorEastAsia" w:eastAsiaTheme="minorEastAsia" w:cstheme="minorEastAsia"/>
          <w:color w:val="auto"/>
          <w:lang w:val="en-US" w:eastAsia="zh-CN"/>
        </w:rPr>
        <w:t>三</w:t>
      </w:r>
      <w:r>
        <w:rPr>
          <w:rFonts w:hint="eastAsia" w:asciiTheme="minorEastAsia" w:hAnsiTheme="minorEastAsia" w:eastAsiaTheme="minorEastAsia" w:cstheme="minorEastAsia"/>
          <w:color w:val="auto"/>
        </w:rPr>
        <w:t>种方式递交：1.以邮寄方式在响应文件解密截止时间前寄到</w:t>
      </w:r>
      <w:r>
        <w:rPr>
          <w:rFonts w:hint="eastAsia" w:asciiTheme="minorEastAsia" w:hAnsiTheme="minorEastAsia" w:eastAsiaTheme="minorEastAsia" w:cstheme="minorEastAsia"/>
          <w:color w:val="auto"/>
          <w:lang w:val="en-US" w:eastAsia="zh-CN"/>
        </w:rPr>
        <w:t>广西平南县朝东二街79号</w:t>
      </w:r>
      <w:r>
        <w:rPr>
          <w:rFonts w:hint="eastAsia" w:asciiTheme="minorEastAsia" w:hAnsiTheme="minorEastAsia" w:eastAsiaTheme="minorEastAsia" w:cstheme="minorEastAsia"/>
          <w:color w:val="auto"/>
          <w:lang w:eastAsia="zh-CN"/>
        </w:rPr>
        <w:t>广西冠宝工程咨询有限公司</w:t>
      </w:r>
      <w:r>
        <w:rPr>
          <w:rFonts w:hint="eastAsia" w:asciiTheme="minorEastAsia" w:hAnsiTheme="minorEastAsia" w:eastAsiaTheme="minorEastAsia" w:cstheme="minorEastAsia"/>
          <w:color w:val="auto"/>
        </w:rPr>
        <w:t>（U盘）；2.在响应文件解密截止时间前按要求密封并送达</w:t>
      </w:r>
      <w:r>
        <w:rPr>
          <w:rFonts w:hint="eastAsia" w:asciiTheme="minorEastAsia" w:hAnsiTheme="minorEastAsia" w:eastAsiaTheme="minorEastAsia" w:cstheme="minorEastAsia"/>
          <w:color w:val="auto"/>
          <w:lang w:eastAsia="zh-CN"/>
        </w:rPr>
        <w:t>平南县公共资源交易中心</w:t>
      </w:r>
      <w:r>
        <w:rPr>
          <w:rFonts w:hint="eastAsia" w:asciiTheme="minorEastAsia" w:hAnsiTheme="minorEastAsia" w:eastAsiaTheme="minorEastAsia" w:cstheme="minorEastAsia"/>
          <w:color w:val="auto"/>
        </w:rPr>
        <w:t>[平南县平南街道工业大道（县交通运输局</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楼），逾期送达或未按要求密封将被拒收</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电子备份响应文件应当密封包装并在包装上标注投标项目名称、单位名称并加盖公章</w:t>
      </w:r>
      <w:r>
        <w:rPr>
          <w:rFonts w:hint="eastAsia" w:asciiTheme="minorEastAsia" w:hAnsiTheme="minorEastAsia" w:eastAsiaTheme="minorEastAsia" w:cstheme="minorEastAsia"/>
          <w:color w:val="auto"/>
          <w:lang w:val="en-US" w:eastAsia="zh-CN"/>
        </w:rPr>
        <w:t>；3.</w:t>
      </w:r>
      <w:r>
        <w:rPr>
          <w:rFonts w:cs="宋体"/>
          <w:color w:val="auto"/>
          <w:sz w:val="21"/>
          <w:szCs w:val="21"/>
        </w:rPr>
        <w:t>电子邮箱方式：</w:t>
      </w:r>
      <w:r>
        <w:rPr>
          <w:rFonts w:hint="eastAsia" w:cs="宋体"/>
          <w:color w:val="auto"/>
          <w:sz w:val="21"/>
          <w:szCs w:val="21"/>
        </w:rPr>
        <w:t>gxgb888888@163.com</w:t>
      </w:r>
      <w:r>
        <w:rPr>
          <w:rFonts w:hint="eastAsia" w:asciiTheme="minorEastAsia" w:hAnsiTheme="minorEastAsia" w:eastAsiaTheme="minorEastAsia" w:cstheme="minorEastAsia"/>
          <w:color w:val="auto"/>
        </w:rPr>
        <w:t>。</w:t>
      </w:r>
    </w:p>
    <w:p>
      <w:pPr>
        <w:spacing w:line="40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5.供应商可以参与现场开标（所需在线投标响应及解密开启设备自带）并提供以介质（U盘）存储的数据电文形成的电子备份响应文件。</w:t>
      </w:r>
    </w:p>
    <w:p>
      <w:pPr>
        <w:spacing w:line="40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6.供应商可以在截标前向我公司提供电子备份响应文件，通过政采云平台上传递交的电子加密响应文件无法按时解密且无法通过政采云“异常处理”端口处理的视为响应文件撤回。</w:t>
      </w:r>
    </w:p>
    <w:p>
      <w:pPr>
        <w:spacing w:line="400" w:lineRule="exact"/>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九、凡对本次采购提出询问，请按以下方式联系：</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cs="宋体"/>
          <w:color w:val="auto"/>
          <w:sz w:val="21"/>
          <w:szCs w:val="21"/>
          <w:highlight w:val="none"/>
          <w:lang w:eastAsia="zh-CN"/>
        </w:rPr>
        <w:t xml:space="preserve"> 平南县思旺镇财政所</w:t>
      </w:r>
      <w:r>
        <w:rPr>
          <w:rFonts w:hint="eastAsia" w:ascii="宋体" w:hAnsi="宋体" w:eastAsia="宋体" w:cs="宋体"/>
          <w:color w:val="auto"/>
          <w:sz w:val="21"/>
          <w:szCs w:val="21"/>
          <w:highlight w:val="none"/>
          <w:lang w:val="en-US" w:eastAsia="zh-CN"/>
        </w:rPr>
        <w:t xml:space="preserve">       </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cs="宋体"/>
          <w:color w:val="auto"/>
          <w:sz w:val="21"/>
          <w:szCs w:val="21"/>
          <w:highlight w:val="none"/>
          <w:lang w:eastAsia="zh-CN"/>
        </w:rPr>
        <w:t>平南县思旺镇思旺市场附近</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联系方式：</w:t>
      </w:r>
      <w:r>
        <w:rPr>
          <w:rFonts w:hint="eastAsia" w:cs="宋体"/>
          <w:color w:val="auto"/>
          <w:sz w:val="21"/>
          <w:szCs w:val="21"/>
          <w:highlight w:val="none"/>
          <w:lang w:val="en-US" w:eastAsia="zh-CN"/>
        </w:rPr>
        <w:t>覃</w:t>
      </w:r>
      <w:r>
        <w:rPr>
          <w:rFonts w:hint="eastAsia" w:cs="宋体"/>
          <w:color w:val="auto"/>
          <w:sz w:val="21"/>
          <w:szCs w:val="21"/>
          <w:highlight w:val="none"/>
          <w:lang w:eastAsia="zh-CN"/>
        </w:rPr>
        <w:t>工</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0775-7785431</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lang w:eastAsia="zh-CN"/>
        </w:rPr>
        <w:t>广西冠宝工程咨询有限公司</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贵港市平南县平南街道朝东二街79号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联系方式：0775-</w:t>
      </w:r>
      <w:r>
        <w:rPr>
          <w:rFonts w:hint="eastAsia" w:ascii="宋体" w:hAnsi="宋体" w:eastAsia="宋体" w:cs="宋体"/>
          <w:color w:val="auto"/>
          <w:sz w:val="21"/>
          <w:szCs w:val="21"/>
          <w:highlight w:val="none"/>
          <w:lang w:val="en-US" w:eastAsia="zh-CN"/>
        </w:rPr>
        <w:t>7825494</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w:t>
      </w:r>
      <w:r>
        <w:rPr>
          <w:rFonts w:hint="eastAsia" w:ascii="宋体" w:hAnsi="宋体" w:eastAsia="宋体" w:cs="宋体"/>
          <w:color w:val="auto"/>
          <w:sz w:val="21"/>
          <w:szCs w:val="21"/>
          <w:highlight w:val="none"/>
          <w:lang w:eastAsia="zh-CN"/>
        </w:rPr>
        <w:t>人：</w:t>
      </w:r>
      <w:r>
        <w:rPr>
          <w:rFonts w:hint="eastAsia" w:cs="宋体"/>
          <w:color w:val="auto"/>
          <w:sz w:val="21"/>
          <w:szCs w:val="21"/>
          <w:highlight w:val="none"/>
          <w:lang w:val="en-US" w:eastAsia="zh-CN"/>
        </w:rPr>
        <w:t>谢</w:t>
      </w:r>
      <w:r>
        <w:rPr>
          <w:rFonts w:hint="eastAsia" w:cs="宋体"/>
          <w:color w:val="auto"/>
          <w:sz w:val="21"/>
          <w:szCs w:val="21"/>
          <w:highlight w:val="none"/>
          <w:lang w:eastAsia="zh-CN"/>
        </w:rPr>
        <w:t>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电话：0775-</w:t>
      </w:r>
      <w:r>
        <w:rPr>
          <w:rFonts w:hint="eastAsia" w:ascii="宋体" w:hAnsi="宋体" w:eastAsia="宋体" w:cs="宋体"/>
          <w:color w:val="auto"/>
          <w:sz w:val="21"/>
          <w:szCs w:val="21"/>
          <w:highlight w:val="none"/>
          <w:lang w:val="en-US" w:eastAsia="zh-CN"/>
        </w:rPr>
        <w:t>7825494</w:t>
      </w:r>
    </w:p>
    <w:p>
      <w:pPr>
        <w:pStyle w:val="40"/>
        <w:shd w:val="clear" w:color="auto" w:fill="auto"/>
        <w:spacing w:before="0" w:beforeAutospacing="0" w:after="0" w:afterAutospacing="0" w:line="400" w:lineRule="exact"/>
        <w:ind w:firstLine="42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4.监督部门</w:t>
      </w:r>
    </w:p>
    <w:p>
      <w:pPr>
        <w:pStyle w:val="40"/>
        <w:shd w:val="clear" w:color="auto" w:fill="auto"/>
        <w:spacing w:before="0" w:beforeAutospacing="0" w:after="0" w:afterAutospacing="0" w:line="400" w:lineRule="exact"/>
        <w:ind w:firstLine="420"/>
        <w:jc w:val="both"/>
        <w:outlineLvl w:val="9"/>
        <w:rPr>
          <w:rFonts w:asciiTheme="minorEastAsia" w:hAnsiTheme="minorEastAsia" w:eastAsiaTheme="minorEastAsia" w:cstheme="minorEastAsia"/>
          <w:b/>
          <w:bCs/>
          <w:color w:val="auto"/>
        </w:rPr>
      </w:pPr>
      <w:r>
        <w:rPr>
          <w:rFonts w:hint="eastAsia" w:ascii="宋体" w:hAnsi="宋体" w:eastAsia="宋体" w:cs="宋体"/>
          <w:color w:val="auto"/>
          <w:sz w:val="21"/>
          <w:szCs w:val="21"/>
          <w:highlight w:val="none"/>
          <w:lang w:val="en-US" w:eastAsia="zh-CN"/>
        </w:rPr>
        <w:t>名 称：平南县财政局政府采购监督管理股          电 话：  0775-7820666 </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rPr>
        <w:t xml:space="preserve">   </w:t>
      </w:r>
    </w:p>
    <w:p>
      <w:pPr>
        <w:spacing w:line="400" w:lineRule="exact"/>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十、网上公告媒体查询：</w:t>
      </w:r>
    </w:p>
    <w:p>
      <w:pPr>
        <w:spacing w:line="40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1、公告网址：http://www.ccgp.gov.cn（中国政府采购网）、http://www.gxzfcg.gov.cn（广西壮族自治区政府采购网）、http://ggzy.jgswj.gxzf.gov.cn/ggggzy/全国公共资源交易平台（广西</w:t>
      </w:r>
      <w:r>
        <w:rPr>
          <w:rFonts w:hint="eastAsia" w:ascii="宋体" w:hAnsi="宋体" w:cs="宋体"/>
          <w:color w:val="auto"/>
          <w:spacing w:val="2"/>
        </w:rPr>
        <w:t>·</w:t>
      </w:r>
      <w:r>
        <w:rPr>
          <w:rFonts w:hint="eastAsia" w:asciiTheme="minorEastAsia" w:hAnsiTheme="minorEastAsia" w:eastAsiaTheme="minorEastAsia" w:cstheme="minorEastAsia"/>
          <w:color w:val="auto"/>
        </w:rPr>
        <w:t>贵港）、http://zfcg.czj.gxgg.gov.cn/（贵港市政府采购网）。</w:t>
      </w:r>
    </w:p>
    <w:p>
      <w:pPr>
        <w:spacing w:line="400" w:lineRule="exact"/>
        <w:ind w:firstLine="420" w:firstLineChars="200"/>
        <w:jc w:val="right"/>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p>
    <w:p>
      <w:pPr>
        <w:spacing w:line="400" w:lineRule="exact"/>
        <w:ind w:firstLine="630" w:firstLineChars="300"/>
        <w:jc w:val="left"/>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rPr>
        <w:t xml:space="preserve">   </w:t>
      </w:r>
      <w:r>
        <w:rPr>
          <w:rFonts w:hint="eastAsia" w:ascii="宋体" w:hAnsi="宋体" w:eastAsia="宋体" w:cs="宋体"/>
          <w:color w:val="auto"/>
          <w:kern w:val="0"/>
          <w:sz w:val="21"/>
          <w:szCs w:val="21"/>
          <w:highlight w:val="none"/>
          <w:lang w:val="en-US" w:eastAsia="zh-CN" w:bidi="ar-SA"/>
        </w:rPr>
        <w:t>采购代理机构：</w:t>
      </w:r>
      <w:r>
        <w:rPr>
          <w:rFonts w:hint="eastAsia" w:asciiTheme="minorEastAsia" w:hAnsiTheme="minorEastAsia" w:eastAsiaTheme="minorEastAsia" w:cstheme="minorEastAsia"/>
          <w:color w:val="auto"/>
          <w:lang w:eastAsia="zh-CN"/>
        </w:rPr>
        <w:t>广西冠宝工程咨询有限公司</w:t>
      </w:r>
    </w:p>
    <w:p>
      <w:pPr>
        <w:spacing w:line="400" w:lineRule="exact"/>
        <w:ind w:firstLine="420" w:firstLineChars="200"/>
        <w:jc w:val="center"/>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highlight w:val="none"/>
        </w:rPr>
        <w:t xml:space="preserve">  202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 xml:space="preserve">08 </w:t>
      </w:r>
      <w:r>
        <w:rPr>
          <w:rFonts w:hint="eastAsia" w:asciiTheme="minorEastAsia" w:hAnsiTheme="minorEastAsia" w:eastAsiaTheme="minorEastAsia" w:cstheme="minorEastAsia"/>
          <w:color w:val="auto"/>
          <w:highlight w:val="none"/>
        </w:rPr>
        <w:t>日</w:t>
      </w:r>
    </w:p>
    <w:p>
      <w:pPr>
        <w:pStyle w:val="41"/>
        <w:outlineLvl w:val="0"/>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24"/>
          <w:szCs w:val="24"/>
          <w:highlight w:val="none"/>
        </w:rPr>
        <w:br w:type="page"/>
      </w:r>
      <w:bookmarkStart w:id="4" w:name="_Toc1269"/>
      <w:r>
        <w:rPr>
          <w:rFonts w:hint="eastAsia" w:asciiTheme="minorEastAsia" w:hAnsiTheme="minorEastAsia" w:eastAsiaTheme="minorEastAsia" w:cstheme="minorEastAsia"/>
          <w:color w:val="auto"/>
          <w:sz w:val="30"/>
          <w:szCs w:val="30"/>
        </w:rPr>
        <w:t xml:space="preserve">第二章   </w:t>
      </w:r>
      <w:bookmarkEnd w:id="3"/>
      <w:r>
        <w:rPr>
          <w:rFonts w:hint="eastAsia" w:asciiTheme="minorEastAsia" w:hAnsiTheme="minorEastAsia" w:eastAsiaTheme="minorEastAsia" w:cstheme="minorEastAsia"/>
          <w:color w:val="auto"/>
          <w:sz w:val="30"/>
          <w:szCs w:val="30"/>
          <w:lang w:eastAsia="zh-CN"/>
        </w:rPr>
        <w:t>供应商</w:t>
      </w:r>
      <w:r>
        <w:rPr>
          <w:rFonts w:hint="eastAsia" w:asciiTheme="minorEastAsia" w:hAnsiTheme="minorEastAsia" w:eastAsiaTheme="minorEastAsia" w:cstheme="minorEastAsia"/>
          <w:color w:val="auto"/>
          <w:sz w:val="30"/>
          <w:szCs w:val="30"/>
        </w:rPr>
        <w:t>须知</w:t>
      </w:r>
      <w:bookmarkEnd w:id="4"/>
    </w:p>
    <w:p>
      <w:pPr>
        <w:jc w:val="center"/>
        <w:outlineLvl w:val="9"/>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磋商须知</w:t>
      </w:r>
      <w:r>
        <w:rPr>
          <w:rFonts w:hint="eastAsia" w:asciiTheme="minorEastAsia" w:hAnsiTheme="minorEastAsia" w:eastAsiaTheme="minorEastAsia" w:cstheme="minorEastAsia"/>
          <w:b/>
          <w:bCs/>
          <w:color w:val="auto"/>
          <w:sz w:val="28"/>
          <w:szCs w:val="28"/>
        </w:rPr>
        <w:t>前附表</w:t>
      </w:r>
    </w:p>
    <w:tbl>
      <w:tblPr>
        <w:tblStyle w:val="45"/>
        <w:tblW w:w="9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20" w:lineRule="exact"/>
              <w:jc w:val="center"/>
              <w:rPr>
                <w:rFonts w:hint="eastAsia" w:ascii="宋体" w:hAnsi="宋体" w:cs="宋体"/>
                <w:b/>
                <w:color w:val="auto"/>
                <w:szCs w:val="21"/>
                <w:highlight w:val="none"/>
              </w:rPr>
            </w:pPr>
            <w:bookmarkStart w:id="5" w:name="_Toc13906"/>
            <w:r>
              <w:rPr>
                <w:rFonts w:hint="eastAsia" w:ascii="宋体" w:hAnsi="宋体" w:cs="宋体"/>
                <w:b/>
                <w:color w:val="auto"/>
                <w:szCs w:val="21"/>
                <w:highlight w:val="none"/>
              </w:rPr>
              <w:t>条款号</w:t>
            </w:r>
          </w:p>
        </w:tc>
        <w:tc>
          <w:tcPr>
            <w:tcW w:w="8264" w:type="dxa"/>
            <w:noWrap w:val="0"/>
            <w:vAlign w:val="top"/>
          </w:tcPr>
          <w:p>
            <w:pPr>
              <w:spacing w:line="3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264" w:type="dxa"/>
            <w:noWrap w:val="0"/>
            <w:vAlign w:val="center"/>
          </w:tcPr>
          <w:p>
            <w:pPr>
              <w:spacing w:line="320" w:lineRule="exact"/>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8264" w:type="dxa"/>
            <w:noWrap w:val="0"/>
            <w:vAlign w:val="center"/>
          </w:tcPr>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8264" w:type="dxa"/>
            <w:noWrap w:val="0"/>
            <w:vAlign w:val="center"/>
          </w:tcPr>
          <w:p>
            <w:pPr>
              <w:pStyle w:val="17"/>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是否允许分包：☑不允许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8264" w:type="dxa"/>
            <w:noWrap w:val="0"/>
            <w:vAlign w:val="center"/>
          </w:tcPr>
          <w:p>
            <w:pPr>
              <w:snapToGrid w:val="0"/>
              <w:spacing w:line="3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pPr>
              <w:pStyle w:val="17"/>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1.法人或者其他组织的营业执照等证明文件（如营业执照或事业单位法人证书或执业许可证等），自然人的身份证复印件；（</w:t>
            </w:r>
            <w:r>
              <w:rPr>
                <w:rFonts w:hint="eastAsia" w:ascii="宋体" w:hAnsi="宋体" w:cs="宋体"/>
                <w:b/>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pPr>
              <w:snapToGrid w:val="0"/>
              <w:spacing w:line="320" w:lineRule="exact"/>
              <w:jc w:val="left"/>
              <w:rPr>
                <w:rFonts w:hint="eastAsia" w:ascii="宋体" w:hAnsi="宋体" w:cs="宋体"/>
                <w:b/>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《贵港市政府采购项目投标资格承诺函》（</w:t>
            </w:r>
            <w:r>
              <w:rPr>
                <w:rFonts w:hint="eastAsia" w:ascii="宋体" w:hAnsi="宋体"/>
                <w:color w:val="auto"/>
                <w:szCs w:val="21"/>
                <w:highlight w:val="none"/>
              </w:rPr>
              <w:t>格式后附</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（必须提供，否则响应文件作无效处理）</w:t>
            </w:r>
          </w:p>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bCs/>
                <w:color w:val="auto"/>
                <w:szCs w:val="21"/>
                <w:highlight w:val="none"/>
              </w:rPr>
              <w:t>（必须提供，否则响应文件按无效响应处理）</w:t>
            </w:r>
          </w:p>
          <w:p>
            <w:pPr>
              <w:pStyle w:val="17"/>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olor w:val="auto"/>
                <w:szCs w:val="21"/>
                <w:highlight w:val="none"/>
                <w:lang w:val="en-US" w:eastAsia="zh-CN"/>
              </w:rPr>
              <w:t>有效的资质证书副本、有效的企业安全生产许可证副本复印件；</w:t>
            </w:r>
            <w:r>
              <w:rPr>
                <w:rFonts w:hint="eastAsia" w:ascii="宋体" w:hAnsi="宋体" w:cs="宋体"/>
                <w:color w:val="auto"/>
                <w:szCs w:val="21"/>
                <w:highlight w:val="none"/>
                <w:lang w:val="en-US" w:eastAsia="zh-CN"/>
              </w:rPr>
              <w:t>（</w:t>
            </w:r>
            <w:r>
              <w:rPr>
                <w:rFonts w:hint="eastAsia" w:ascii="宋体" w:hAnsi="宋体" w:cs="宋体"/>
                <w:b/>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6.拟担任</w:t>
            </w:r>
            <w:r>
              <w:rPr>
                <w:rFonts w:hint="eastAsia" w:ascii="宋体" w:hAnsi="宋体" w:cs="宋体"/>
                <w:b/>
                <w:color w:val="auto"/>
                <w:szCs w:val="21"/>
                <w:highlight w:val="none"/>
              </w:rPr>
              <w:t>本项目</w:t>
            </w:r>
            <w:r>
              <w:rPr>
                <w:rFonts w:hint="eastAsia" w:ascii="宋体" w:hAnsi="宋体" w:cs="宋体"/>
                <w:color w:val="auto"/>
                <w:szCs w:val="21"/>
                <w:highlight w:val="none"/>
              </w:rPr>
              <w:t>工程项目经理（注册建造师）简历表；</w:t>
            </w:r>
          </w:p>
          <w:p>
            <w:pPr>
              <w:snapToGrid w:val="0"/>
              <w:spacing w:line="320" w:lineRule="exact"/>
              <w:ind w:left="315" w:leftChars="150"/>
              <w:jc w:val="left"/>
              <w:rPr>
                <w:rFonts w:ascii="宋体" w:hAnsi="宋体" w:cs="宋体"/>
                <w:color w:val="auto"/>
                <w:szCs w:val="21"/>
                <w:highlight w:val="none"/>
              </w:rPr>
            </w:pPr>
            <w:r>
              <w:rPr>
                <w:rFonts w:hint="eastAsia" w:ascii="宋体" w:hAnsi="宋体" w:cs="宋体"/>
                <w:color w:val="auto"/>
                <w:szCs w:val="21"/>
                <w:highlight w:val="none"/>
              </w:rPr>
              <w:t>附拟担任本工程项目经理有效的注册建造师资质证书、其安全生产考核合格证复印件及有效的身份证正反面复印件（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宋体" w:cs="宋体"/>
                <w:color w:val="auto"/>
                <w:szCs w:val="21"/>
                <w:highlight w:val="none"/>
                <w:lang w:eastAsia="zh-CN"/>
              </w:rPr>
              <w:t>本项目属于专门面向中小企业采购的项目，根据财库【2020】46号《政府采购促进中小企业发展管理办法》要求，供应商应为中小企业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本项目专门面向中小企业采购的</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，否则竞标无效</w:t>
            </w:r>
            <w:r>
              <w:rPr>
                <w:rFonts w:hint="eastAsia" w:ascii="宋体" w:hAnsi="宋体" w:eastAsia="宋体" w:cs="宋体"/>
                <w:b/>
                <w:bCs/>
                <w:color w:val="auto"/>
                <w:szCs w:val="21"/>
                <w:highlight w:val="none"/>
              </w:rPr>
              <w:t>）</w:t>
            </w:r>
          </w:p>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除竞争性磋商文件规定必须提供以外，供应商认为需要提供的其他证明材料；</w:t>
            </w:r>
          </w:p>
          <w:p>
            <w:pPr>
              <w:snapToGrid w:val="0"/>
              <w:spacing w:line="320" w:lineRule="exact"/>
              <w:jc w:val="left"/>
              <w:rPr>
                <w:rFonts w:hint="eastAsia" w:ascii="宋体" w:hAnsi="宋体" w:cs="宋体"/>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w:t>
            </w:r>
            <w:r>
              <w:rPr>
                <w:rFonts w:hint="eastAsia" w:ascii="宋体" w:hAnsi="宋体" w:cs="宋体"/>
                <w:color w:val="auto"/>
                <w:szCs w:val="21"/>
                <w:highlight w:val="none"/>
              </w:rPr>
              <w:t>其他资格证明文件（编制时应与公告的特定资格要求相对应）。</w:t>
            </w:r>
          </w:p>
          <w:p>
            <w:pPr>
              <w:snapToGrid w:val="0"/>
              <w:spacing w:line="3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pPr>
              <w:spacing w:line="32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1.以上标明“必须提供”材料复印件的，必须加盖供应商CA签章，否则电子响应文件作无效处理。</w:t>
            </w:r>
          </w:p>
          <w:p>
            <w:pPr>
              <w:spacing w:line="32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电子响应文件中所须加盖公章部分均采用CA签章。若竞争性磋商文件中有专门标注的某关联点，并要求供应商在电子投标系统中作出磋商响应的，如供应商未对关联点进行响应或者在电子响应文件其它内容进行描述，造成电子评审不能查询的责任由供应商自行承担。</w:t>
            </w:r>
          </w:p>
          <w:p>
            <w:pPr>
              <w:snapToGrid w:val="0"/>
              <w:spacing w:line="320" w:lineRule="exact"/>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8264" w:type="dxa"/>
            <w:noWrap w:val="0"/>
            <w:vAlign w:val="center"/>
          </w:tcPr>
          <w:p>
            <w:pPr>
              <w:spacing w:line="320" w:lineRule="exact"/>
              <w:rPr>
                <w:rFonts w:hint="eastAsia" w:ascii="宋体" w:hAnsi="宋体" w:cs="宋体"/>
                <w:b/>
                <w:bCs/>
                <w:color w:val="auto"/>
                <w:szCs w:val="21"/>
                <w:highlight w:val="none"/>
              </w:rPr>
            </w:pPr>
            <w:r>
              <w:rPr>
                <w:rFonts w:hint="eastAsia" w:ascii="宋体" w:hAnsi="宋体" w:cs="宋体"/>
                <w:b/>
                <w:bCs/>
                <w:color w:val="auto"/>
                <w:szCs w:val="21"/>
                <w:highlight w:val="none"/>
              </w:rPr>
              <w:t>报价商务技术文件</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2.磋商书（格式后附）；</w:t>
            </w:r>
            <w:r>
              <w:rPr>
                <w:rFonts w:hint="eastAsia" w:ascii="宋体" w:hAnsi="宋体" w:cs="宋体"/>
                <w:b/>
                <w:bCs/>
                <w:color w:val="auto"/>
                <w:szCs w:val="21"/>
                <w:highlight w:val="none"/>
              </w:rPr>
              <w:t>（必须提供，否则响应文件按无效响应处理）</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bCs/>
                <w:color w:val="auto"/>
                <w:szCs w:val="21"/>
                <w:highlight w:val="none"/>
              </w:rPr>
              <w:t>（必须提供，否则响应文件按无效响应处理）</w:t>
            </w:r>
          </w:p>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4.法定代表人身份证明书及法定代表人有效身份证正反面复印件（格式后附）；（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20" w:lineRule="exact"/>
              <w:rPr>
                <w:rFonts w:hint="eastAsia" w:ascii="宋体" w:hAnsi="宋体" w:cs="宋体"/>
                <w:b/>
                <w:color w:val="auto"/>
                <w:szCs w:val="21"/>
                <w:highlight w:val="none"/>
              </w:rPr>
            </w:pPr>
            <w:r>
              <w:rPr>
                <w:rFonts w:hint="eastAsia" w:ascii="宋体" w:hAnsi="宋体" w:cs="宋体"/>
                <w:color w:val="auto"/>
                <w:szCs w:val="21"/>
                <w:highlight w:val="none"/>
              </w:rPr>
              <w:t>5.法定代表人授权委托书及委托代理人有效身份证正反面复印件（格式后附）；（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20" w:lineRule="exact"/>
              <w:rPr>
                <w:rFonts w:hint="eastAsia" w:ascii="宋体" w:hAnsi="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农民工工资保证金的交纳与使用承诺书原件（按桂劳社发［2009］50号文件执行）；</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20" w:lineRule="exact"/>
              <w:rPr>
                <w:rFonts w:hint="eastAsia" w:ascii="宋体" w:hAnsi="宋体" w:cs="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8.项目管理机构配备情况表；</w:t>
            </w:r>
          </w:p>
          <w:p>
            <w:pPr>
              <w:spacing w:line="320" w:lineRule="exact"/>
              <w:ind w:left="315" w:leftChars="150"/>
              <w:rPr>
                <w:rFonts w:hint="eastAsia" w:ascii="宋体" w:hAnsi="宋体" w:cs="宋体"/>
                <w:color w:val="auto"/>
                <w:szCs w:val="21"/>
                <w:highlight w:val="none"/>
              </w:rPr>
            </w:pPr>
            <w:r>
              <w:rPr>
                <w:rFonts w:hint="eastAsia" w:ascii="宋体" w:hAnsi="宋体" w:cs="宋体"/>
                <w:color w:val="auto"/>
                <w:szCs w:val="21"/>
                <w:highlight w:val="none"/>
              </w:rPr>
              <w:t>附安全员、</w:t>
            </w:r>
            <w:r>
              <w:rPr>
                <w:color w:val="auto"/>
                <w:highlight w:val="none"/>
              </w:rPr>
              <w:t>质检员</w:t>
            </w:r>
            <w:r>
              <w:rPr>
                <w:rFonts w:hint="eastAsia" w:ascii="宋体" w:hAnsi="宋体" w:cs="宋体"/>
                <w:color w:val="auto"/>
                <w:szCs w:val="21"/>
                <w:highlight w:val="none"/>
              </w:rPr>
              <w:t>等其他相关人员的岗位考核合格证书</w:t>
            </w:r>
            <w:r>
              <w:rPr>
                <w:rFonts w:ascii="宋体" w:hAnsi="宋体" w:cs="宋体"/>
                <w:color w:val="auto"/>
                <w:szCs w:val="21"/>
                <w:highlight w:val="none"/>
              </w:rPr>
              <w:t>相</w:t>
            </w:r>
            <w:r>
              <w:rPr>
                <w:rFonts w:hint="eastAsia" w:ascii="宋体" w:hAnsi="宋体" w:cs="宋体"/>
                <w:color w:val="auto"/>
                <w:szCs w:val="21"/>
                <w:highlight w:val="none"/>
              </w:rPr>
              <w:t>及有效的身份证正反面复印件；（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r>
              <w:rPr>
                <w:rFonts w:hint="eastAsia" w:ascii="宋体" w:hAnsi="宋体" w:cs="宋体"/>
                <w:b/>
                <w:bCs/>
                <w:color w:val="auto"/>
                <w:szCs w:val="21"/>
                <w:highlight w:val="none"/>
              </w:rPr>
              <w:t xml:space="preserve">  </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9.对应采购需求的商务条款提供的其他文件资料；</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10.对应采购需求的技术需求提供的其他文件资料；</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11.供应商认为需要提供的有关资料。</w:t>
            </w:r>
          </w:p>
          <w:p>
            <w:pPr>
              <w:snapToGrid w:val="0"/>
              <w:spacing w:line="3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pPr>
              <w:spacing w:line="32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1.以上标明“必须提供”材料复印件的，必须加盖供应商CA签章，否则电子响应文件作无效处理。</w:t>
            </w:r>
          </w:p>
          <w:p>
            <w:pPr>
              <w:spacing w:line="32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电子响应文件中所须加盖公章部分均采用CA签章。若竞争性磋商文件中有专门标注的某关联点，并要求供应商在电子投标系统中作出磋商响应的，如供应商未对关联点进行响应或者在电子响应文件其它内容进行描述，造成电子评审不能查询的责任由供应商自行承担。</w:t>
            </w:r>
          </w:p>
          <w:p>
            <w:pPr>
              <w:spacing w:line="32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8264" w:type="dxa"/>
            <w:noWrap w:val="0"/>
            <w:vAlign w:val="center"/>
          </w:tcPr>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电子备份电子响应文件光盘（或U盘）密封方式：单独放入一个密封袋中，加贴封条，并在封套封口处加盖供应商单位公章，在封套上标记“电子响应文件”字样，在竞标截止时间前提交。（由供应商自行选择是否提交电子备份电子响应文件，但不提交电子备份电子响应文件的，不作为否决条件；若供应商在规定时间内无法解密或解密失败，供应商未在投标截止时间前递交电子备份电子响应文件的，自行承担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8264" w:type="dxa"/>
            <w:noWrap w:val="0"/>
            <w:vAlign w:val="center"/>
          </w:tcPr>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竞标报价应当包含满足本次竞标全部工程的所有费用。</w:t>
            </w:r>
          </w:p>
          <w:p>
            <w:pPr>
              <w:snapToGrid w:val="0"/>
              <w:rPr>
                <w:rFonts w:hint="eastAsia" w:ascii="宋体" w:hAnsi="宋体" w:cs="宋体"/>
                <w:color w:val="auto"/>
                <w:szCs w:val="21"/>
                <w:highlight w:val="none"/>
              </w:rPr>
            </w:pPr>
            <w:r>
              <w:rPr>
                <w:rFonts w:hint="eastAsia" w:ascii="宋体" w:hAnsi="宋体" w:cs="宋体"/>
                <w:b/>
                <w:color w:val="auto"/>
                <w:highlight w:val="none"/>
              </w:rPr>
              <w:t>☑竞标报价包含验收费用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8264" w:type="dxa"/>
            <w:noWrap w:val="0"/>
            <w:vAlign w:val="center"/>
          </w:tcPr>
          <w:p>
            <w:pPr>
              <w:pStyle w:val="13"/>
              <w:widowControl w:val="0"/>
              <w:tabs>
                <w:tab w:val="left" w:pos="720"/>
                <w:tab w:val="left" w:pos="840"/>
              </w:tabs>
              <w:snapToGrid w:val="0"/>
              <w:spacing w:afterLines="0" w:line="320" w:lineRule="exact"/>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lang w:val="en-US" w:eastAsia="zh-CN"/>
              </w:rPr>
              <w:t>90</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8264" w:type="dxa"/>
            <w:noWrap w:val="0"/>
            <w:vAlign w:val="center"/>
          </w:tcPr>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磋商保证金：无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8264" w:type="dxa"/>
            <w:noWrap w:val="0"/>
            <w:vAlign w:val="center"/>
          </w:tcPr>
          <w:p>
            <w:pPr>
              <w:snapToGrid w:val="0"/>
              <w:spacing w:line="32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首次响应文件提交起止时间：详见竞争性磋商公告。</w:t>
            </w:r>
          </w:p>
          <w:p>
            <w:pPr>
              <w:snapToGrid w:val="0"/>
              <w:spacing w:line="32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首次响应文件提交截止时间：详见竞争性磋商公告。</w:t>
            </w:r>
          </w:p>
          <w:p>
            <w:pPr>
              <w:snapToGrid w:val="0"/>
              <w:spacing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供应商应当在首次响应文件提交截止时间前，将响应文件密封送达首次响应文件提交地点。在首次响应文件提交截止时间后送达的响应文件为无效文件，采购代理机构应当拒收。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8264" w:type="dxa"/>
            <w:noWrap w:val="0"/>
            <w:vAlign w:val="center"/>
          </w:tcPr>
          <w:p>
            <w:pPr>
              <w:snapToGrid w:val="0"/>
              <w:spacing w:line="32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24.3</w:t>
            </w:r>
          </w:p>
        </w:tc>
        <w:tc>
          <w:tcPr>
            <w:tcW w:w="8264" w:type="dxa"/>
            <w:noWrap w:val="0"/>
            <w:vAlign w:val="center"/>
          </w:tcPr>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首次响应文件的开启：</w:t>
            </w:r>
          </w:p>
          <w:p>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通过政采云平台实行在线解密开启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25.1.1</w:t>
            </w:r>
          </w:p>
        </w:tc>
        <w:tc>
          <w:tcPr>
            <w:tcW w:w="8264" w:type="dxa"/>
            <w:noWrap w:val="0"/>
            <w:vAlign w:val="center"/>
          </w:tcPr>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采购人或者采购代理机构在资格审查结束前，对供应商进行信用查询。</w:t>
            </w:r>
          </w:p>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信用查询截止时点：资格审查结束前。</w:t>
            </w:r>
          </w:p>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25.2.1</w:t>
            </w:r>
          </w:p>
        </w:tc>
        <w:tc>
          <w:tcPr>
            <w:tcW w:w="8264" w:type="dxa"/>
            <w:noWrap w:val="0"/>
            <w:vAlign w:val="center"/>
          </w:tcPr>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26.1</w:t>
            </w:r>
          </w:p>
        </w:tc>
        <w:tc>
          <w:tcPr>
            <w:tcW w:w="8264" w:type="dxa"/>
            <w:noWrap w:val="0"/>
            <w:vAlign w:val="center"/>
          </w:tcPr>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磋商的顺序：</w:t>
            </w:r>
          </w:p>
          <w:p>
            <w:pPr>
              <w:pStyle w:val="17"/>
              <w:rPr>
                <w:rFonts w:hint="eastAsia" w:ascii="宋体" w:hAnsi="宋体" w:cs="宋体"/>
                <w:b/>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cs="宋体"/>
                <w:color w:val="auto"/>
                <w:highlight w:val="none"/>
                <w:lang w:val="en-US" w:eastAsia="zh-CN"/>
              </w:rPr>
              <w:t>按照</w:t>
            </w:r>
            <w:r>
              <w:rPr>
                <w:rFonts w:hint="eastAsia" w:ascii="宋体" w:hAnsi="宋体" w:cs="宋体"/>
                <w:color w:val="auto"/>
                <w:szCs w:val="21"/>
                <w:highlight w:val="none"/>
                <w:lang w:val="en-US" w:eastAsia="zh-CN"/>
              </w:rPr>
              <w:t>提交首次响应文件的顺序，</w:t>
            </w:r>
            <w:r>
              <w:rPr>
                <w:rFonts w:hint="eastAsia" w:ascii="宋体" w:hAnsi="宋体" w:cs="宋体"/>
                <w:color w:val="auto"/>
                <w:highlight w:val="none"/>
                <w:lang w:val="en-US" w:eastAsia="zh-CN"/>
              </w:rPr>
              <w:t>如出现某供应商不能按时参加磋商的情形，则该供应商的磋商次序往后延，具体由磋商小组确定</w:t>
            </w:r>
            <w:r>
              <w:rPr>
                <w:rFonts w:hint="eastAsia" w:ascii="宋体" w:hAnsi="宋体" w:cs="宋体"/>
                <w:color w:val="auto"/>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8264" w:type="dxa"/>
            <w:noWrap w:val="0"/>
            <w:vAlign w:val="center"/>
          </w:tcPr>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可能实质性变动的内容：</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采购需求中的技术、服务要求以及合同草案条款。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30.1</w:t>
            </w:r>
          </w:p>
        </w:tc>
        <w:tc>
          <w:tcPr>
            <w:tcW w:w="8264" w:type="dxa"/>
            <w:noWrap w:val="0"/>
            <w:vAlign w:val="center"/>
          </w:tcPr>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履约保证金：无</w:t>
            </w:r>
            <w:r>
              <w:rPr>
                <w:rFonts w:hint="eastAsia" w:ascii="宋体" w:hAnsi="宋体" w:cs="宋体"/>
                <w:b/>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8264" w:type="dxa"/>
            <w:noWrap w:val="0"/>
            <w:vAlign w:val="center"/>
          </w:tcPr>
          <w:p>
            <w:pPr>
              <w:snapToGrid w:val="0"/>
              <w:spacing w:line="320" w:lineRule="exact"/>
              <w:rPr>
                <w:rFonts w:hint="eastAsia"/>
                <w:color w:val="auto"/>
                <w:highlight w:val="none"/>
              </w:rPr>
            </w:pPr>
            <w:r>
              <w:rPr>
                <w:rFonts w:hint="eastAsia"/>
                <w:color w:val="auto"/>
                <w:highlight w:val="none"/>
              </w:rPr>
              <w:t>签订合同携带的证明材料：营业执照副本原件、法定代表人授权委托书及被授权人身份证原件等其它证明材料。</w:t>
            </w:r>
          </w:p>
          <w:p>
            <w:pPr>
              <w:pStyle w:val="30"/>
              <w:rPr>
                <w:color w:val="auto"/>
                <w:highlight w:val="none"/>
                <w:lang w:val="en-US" w:eastAsia="zh-CN"/>
              </w:rPr>
            </w:pPr>
            <w:r>
              <w:rPr>
                <w:rFonts w:hint="eastAsia"/>
                <w:b/>
                <w:bCs/>
                <w:color w:val="auto"/>
                <w:kern w:val="2"/>
                <w:sz w:val="21"/>
                <w:szCs w:val="24"/>
                <w:highlight w:val="none"/>
                <w:lang w:val="en-US" w:eastAsia="zh-CN"/>
              </w:rPr>
              <w:t>合同签订时间：自成交通知书发出之日起7个工作日内。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8264" w:type="dxa"/>
            <w:noWrap w:val="0"/>
            <w:vAlign w:val="center"/>
          </w:tcPr>
          <w:p>
            <w:pPr>
              <w:pStyle w:val="25"/>
              <w:snapToGrid w:val="0"/>
              <w:spacing w:line="32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1.采购代理费收取方式：</w:t>
            </w:r>
          </w:p>
          <w:p>
            <w:pPr>
              <w:pStyle w:val="25"/>
              <w:snapToGrid w:val="0"/>
              <w:spacing w:line="32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领取成交通知书前，向采购代理机构支付。</w:t>
            </w:r>
          </w:p>
          <w:p>
            <w:pPr>
              <w:pStyle w:val="25"/>
              <w:snapToGrid w:val="0"/>
              <w:spacing w:line="32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pPr>
              <w:pStyle w:val="25"/>
              <w:snapToGrid w:val="0"/>
              <w:spacing w:line="320" w:lineRule="exact"/>
              <w:rPr>
                <w:rFonts w:hint="eastAsia" w:hAnsi="宋体" w:cs="宋体"/>
                <w:color w:val="auto"/>
                <w:sz w:val="21"/>
                <w:highlight w:val="none"/>
                <w:lang w:val="en-US" w:eastAsia="zh-CN"/>
              </w:rPr>
            </w:pPr>
            <w:r>
              <w:rPr>
                <w:rFonts w:hint="eastAsia" w:hAnsi="宋体" w:cs="宋体"/>
                <w:color w:val="auto"/>
                <w:sz w:val="21"/>
                <w:highlight w:val="none"/>
                <w:u w:val="single"/>
                <w:lang w:val="en-US" w:eastAsia="zh-CN"/>
              </w:rPr>
              <w:t>按国家发展改革委《关于进一步放开建设项目专业服务价格的通知 》发改价格〔2015〕299号文执行。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8264" w:type="dxa"/>
            <w:noWrap w:val="0"/>
            <w:vAlign w:val="center"/>
          </w:tcPr>
          <w:p>
            <w:pPr>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pPr>
              <w:pStyle w:val="25"/>
              <w:snapToGrid w:val="0"/>
              <w:spacing w:line="320" w:lineRule="exact"/>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w:t>
            </w:r>
            <w:r>
              <w:rPr>
                <w:rFonts w:hint="eastAsia" w:hAnsi="宋体" w:cs="Courier New"/>
                <w:color w:val="auto"/>
                <w:kern w:val="2"/>
                <w:sz w:val="21"/>
                <w:highlight w:val="none"/>
                <w:lang w:val="en-US" w:eastAsia="zh-CN"/>
              </w:rPr>
              <w:t>广西冠宝工程咨询有限公司</w:t>
            </w:r>
            <w:r>
              <w:rPr>
                <w:rFonts w:hint="eastAsia" w:hAnsi="宋体" w:cs="宋体"/>
                <w:color w:val="auto"/>
                <w:kern w:val="2"/>
                <w:sz w:val="21"/>
                <w:highlight w:val="none"/>
                <w:lang w:val="en-US" w:eastAsia="zh-CN"/>
              </w:rPr>
              <w:t>，联系电话：0775-7825494，通讯地址：贵港市平南县朝东二街79号。</w:t>
            </w:r>
          </w:p>
          <w:p>
            <w:pPr>
              <w:pStyle w:val="25"/>
              <w:snapToGrid w:val="0"/>
              <w:spacing w:line="320" w:lineRule="exact"/>
              <w:rPr>
                <w:rFonts w:hint="eastAsia" w:hAnsi="宋体" w:cs="宋体"/>
                <w:color w:val="auto"/>
                <w:kern w:val="2"/>
                <w:sz w:val="21"/>
                <w:highlight w:val="none"/>
                <w:lang w:val="en-US" w:eastAsia="zh-CN"/>
              </w:rPr>
            </w:pPr>
            <w:r>
              <w:rPr>
                <w:rFonts w:hint="eastAsia" w:hAnsi="宋体" w:cs="宋体"/>
                <w:color w:val="auto"/>
                <w:sz w:val="21"/>
                <w:highlight w:val="none"/>
                <w:lang w:val="en-US" w:eastAsia="zh-CN"/>
              </w:rPr>
              <w:t>业务时间：上午8时00分到12时00分，下午3时00分到6时00分，双休日和法定节假日不办理业务。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36.1</w:t>
            </w:r>
          </w:p>
        </w:tc>
        <w:tc>
          <w:tcPr>
            <w:tcW w:w="8264" w:type="dxa"/>
            <w:noWrap w:val="0"/>
            <w:vAlign w:val="center"/>
          </w:tcPr>
          <w:p>
            <w:pPr>
              <w:pStyle w:val="25"/>
              <w:snapToGrid w:val="0"/>
              <w:spacing w:line="320" w:lineRule="exact"/>
              <w:rPr>
                <w:rFonts w:hint="eastAsia" w:hAnsi="宋体" w:cs="宋体"/>
                <w:color w:val="auto"/>
                <w:sz w:val="21"/>
                <w:highlight w:val="none"/>
                <w:lang w:val="en-US" w:eastAsia="zh-CN"/>
              </w:rPr>
            </w:pPr>
            <w:r>
              <w:rPr>
                <w:rFonts w:hint="eastAsia" w:hAnsi="宋体" w:eastAsia="宋体" w:cs="宋体"/>
                <w:color w:val="auto"/>
                <w:sz w:val="21"/>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36.2</w:t>
            </w:r>
          </w:p>
        </w:tc>
        <w:tc>
          <w:tcPr>
            <w:tcW w:w="8264" w:type="dxa"/>
            <w:noWrap w:val="0"/>
            <w:vAlign w:val="center"/>
          </w:tcPr>
          <w:p>
            <w:pPr>
              <w:pStyle w:val="25"/>
              <w:snapToGrid w:val="0"/>
              <w:spacing w:line="32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pPr>
              <w:pStyle w:val="25"/>
              <w:snapToGrid w:val="0"/>
              <w:spacing w:line="32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pPr>
              <w:pStyle w:val="25"/>
              <w:snapToGrid w:val="0"/>
              <w:spacing w:line="320" w:lineRule="exact"/>
              <w:rPr>
                <w:rFonts w:hAnsi="宋体" w:cs="宋体"/>
                <w:color w:val="auto"/>
                <w:sz w:val="21"/>
                <w:highlight w:val="none"/>
                <w:lang w:val="en-US" w:eastAsia="zh-CN"/>
              </w:rPr>
            </w:pPr>
            <w:r>
              <w:rPr>
                <w:rFonts w:hint="eastAsia" w:hAnsi="宋体" w:cs="宋体"/>
                <w:color w:val="auto"/>
                <w:sz w:val="21"/>
                <w:highlight w:val="none"/>
                <w:lang w:val="en-US" w:eastAsia="zh-CN"/>
              </w:rPr>
              <w:t>3.本竞争性磋商文件中描述供应商的“签字”是指供应商的法定代表人或被授权人亲自在竞争性磋商文件规定签字处亲笔写上个人名字的行为，私章、签字章、印鉴、影印等其它形式均不能代替亲笔签字。如竞争性磋商文件规定签字处不得以法人私章代替。</w:t>
            </w:r>
          </w:p>
          <w:p>
            <w:pPr>
              <w:pStyle w:val="25"/>
              <w:snapToGrid w:val="0"/>
              <w:spacing w:line="32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4</w:t>
            </w:r>
            <w:r>
              <w:rPr>
                <w:rFonts w:hAnsi="宋体" w:cs="宋体"/>
                <w:color w:val="auto"/>
                <w:sz w:val="21"/>
                <w:highlight w:val="none"/>
                <w:lang w:val="en-US" w:eastAsia="zh-CN"/>
              </w:rPr>
              <w:t>.</w:t>
            </w:r>
            <w:r>
              <w:rPr>
                <w:rFonts w:hint="eastAsia" w:hAnsi="宋体" w:cs="宋体"/>
                <w:color w:val="auto"/>
                <w:sz w:val="21"/>
                <w:highlight w:val="none"/>
                <w:lang w:val="en-US" w:eastAsia="zh-CN"/>
              </w:rPr>
              <w:t>本竞争性磋商文件所称的“以上”“以下”“以内”“届满”，包括本数；所称的“不满”“超过”“以外”，不包括本数。</w:t>
            </w:r>
          </w:p>
        </w:tc>
      </w:tr>
    </w:tbl>
    <w:p>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400" w:lineRule="exact"/>
        <w:jc w:val="center"/>
        <w:rPr>
          <w:rFonts w:hint="eastAsia" w:ascii="宋体" w:hAnsi="宋体" w:cs="宋体"/>
          <w:b/>
          <w:color w:val="auto"/>
          <w:sz w:val="32"/>
          <w:szCs w:val="32"/>
          <w:highlight w:val="none"/>
        </w:rPr>
      </w:pPr>
    </w:p>
    <w:p>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一、总则</w:t>
      </w:r>
    </w:p>
    <w:p>
      <w:pPr>
        <w:spacing w:line="400" w:lineRule="exact"/>
        <w:rPr>
          <w:rFonts w:hint="eastAsia" w:ascii="宋体" w:hAnsi="宋体" w:cs="宋体"/>
          <w:color w:val="auto"/>
          <w:szCs w:val="21"/>
          <w:highlight w:val="none"/>
        </w:rPr>
      </w:pP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1.适用范围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本竞争性磋商文件适用于本项目的所有采购程序和环节（法律、法规另有规定的，从其规定）。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2.定义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w:t>
      </w:r>
      <w:r>
        <w:rPr>
          <w:rFonts w:hint="eastAsia" w:ascii="宋体" w:hAnsi="宋体" w:cs="宋体"/>
          <w:color w:val="auto"/>
          <w:szCs w:val="21"/>
          <w:highlight w:val="none"/>
          <w:lang w:eastAsia="zh-CN"/>
        </w:rPr>
        <w:t>广西冠宝工程咨询有限公司</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是指：供应商根据本竞争性磋商文件要求，编制包含资格证明、报价商务技术等所有内容的文件。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供应商获取竞争性磋商文件、所有与编制和提交响应文件有关的费用（竞争性磋商文件有相关规定的除外），不论竞标结果如何，均应自行承担。</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pPr>
        <w:spacing w:line="400" w:lineRule="exact"/>
        <w:ind w:left="418" w:leftChars="199"/>
        <w:rPr>
          <w:rFonts w:hint="eastAsia" w:ascii="宋体" w:hAnsi="宋体" w:cs="宋体"/>
          <w:color w:val="auto"/>
          <w:szCs w:val="21"/>
          <w:highlight w:val="none"/>
        </w:rPr>
      </w:pPr>
      <w:r>
        <w:rPr>
          <w:rFonts w:hint="eastAsia" w:ascii="宋体" w:hAnsi="宋体" w:cs="宋体"/>
          <w:color w:val="auto"/>
          <w:szCs w:val="21"/>
          <w:highlight w:val="none"/>
        </w:rPr>
        <w:t xml:space="preserve">6.转包与分包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pPr>
        <w:spacing w:line="400" w:lineRule="exact"/>
        <w:ind w:left="418" w:leftChars="199"/>
        <w:rPr>
          <w:rFonts w:hint="eastAsia" w:ascii="宋体" w:hAnsi="宋体" w:cs="宋体"/>
          <w:color w:val="auto"/>
          <w:szCs w:val="21"/>
          <w:highlight w:val="none"/>
        </w:rPr>
      </w:pPr>
      <w:bookmarkStart w:id="6" w:name="_Toc254970532"/>
      <w:bookmarkStart w:id="7" w:name="_Toc254970673"/>
      <w:r>
        <w:rPr>
          <w:rFonts w:hint="eastAsia" w:ascii="宋体" w:hAnsi="宋体" w:cs="宋体"/>
          <w:color w:val="auto"/>
          <w:szCs w:val="21"/>
          <w:highlight w:val="none"/>
        </w:rPr>
        <w:t>7.特别说明</w:t>
      </w:r>
      <w:bookmarkEnd w:id="6"/>
      <w:bookmarkEnd w:id="7"/>
    </w:p>
    <w:p>
      <w:pPr>
        <w:spacing w:line="400" w:lineRule="exact"/>
        <w:ind w:firstLine="420" w:firstLineChars="200"/>
        <w:rPr>
          <w:rFonts w:hint="eastAsia" w:ascii="宋体" w:hAnsi="宋体" w:cs="宋体"/>
          <w:color w:val="auto"/>
          <w:szCs w:val="21"/>
          <w:highlight w:val="none"/>
        </w:rPr>
      </w:pPr>
      <w:bookmarkStart w:id="8" w:name="_8.1提供相同品牌产品且通过资格审查、符合性审查的不同投标人参加同一合"/>
      <w:bookmarkEnd w:id="8"/>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7.2服务类项目不设置核心产品，不执行本须知正文第7.1条的规定。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7.3供应商竞标所使用的资格、信誉、荣誉、业绩与企业认证必须为该供应商所拥有。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7.4供应商应仔细阅读竞争性磋商文件的所有内容，按照竞争性磋商文件的要求提交响应文件，并对所提供的全部资料的真实性承担法律责任。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7.6在政府采购活动中，采购人员及相关人员与供应商有下列利害关系之一的，应当回避：</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7.7有下列情形之一的视为供应商相互串通竞标，响应文件将被视为无效：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（4）不同供应商的响应文件异常一致或报价呈规律性差异；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7.8供应商有下列情形之一的，属于恶意串通行为：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7.9关联供应商不得参加同一合同项下政府采购活动，否则响应文件将被视为无效：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（2）生产厂商授权给供应商后自己不得参加同一合同项下的政府采购活动；生产厂商对同一品牌同一型号的货物，仅能委托一个代理商参加竞标。</w:t>
      </w:r>
    </w:p>
    <w:p>
      <w:pPr>
        <w:spacing w:line="400" w:lineRule="exact"/>
        <w:ind w:left="1" w:firstLine="417" w:firstLineChars="199"/>
        <w:jc w:val="center"/>
        <w:rPr>
          <w:rFonts w:hint="eastAsia" w:ascii="宋体" w:hAnsi="宋体" w:cs="宋体"/>
          <w:color w:val="auto"/>
          <w:highlight w:val="none"/>
        </w:rPr>
      </w:pPr>
      <w:bookmarkStart w:id="9" w:name="_Toc254970534"/>
      <w:bookmarkStart w:id="10" w:name="_Toc254970675"/>
    </w:p>
    <w:p>
      <w:pPr>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二、竞争性磋商文件</w:t>
      </w:r>
      <w:bookmarkEnd w:id="9"/>
      <w:bookmarkEnd w:id="10"/>
    </w:p>
    <w:p>
      <w:pPr>
        <w:spacing w:line="400" w:lineRule="exact"/>
        <w:jc w:val="center"/>
        <w:rPr>
          <w:rFonts w:hint="eastAsia" w:ascii="宋体" w:hAnsi="宋体" w:cs="宋体"/>
          <w:color w:val="auto"/>
          <w:szCs w:val="21"/>
          <w:highlight w:val="none"/>
        </w:rPr>
      </w:pP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8.竞争性磋商文件的构成</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（1）竞争性磋商公告；</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（2）供应商须知； </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（4）评审程序、评审方法和评审标准；</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（5）响应文件格式；</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（6）合同文本。</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9.供应商的询问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供应商应认真阅读竞争性磋商文件的采购需求，如供应商对竞争性磋商文件有疑问的，如要求采购人作出澄清或修改的，供应商尽可能在提交首次响应文件截止之日前，以书面形式向采购人、采购代理机构提出。</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10.竞争性磋商文件的澄清和修改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spacing w:line="400" w:lineRule="exact"/>
        <w:rPr>
          <w:rFonts w:hint="eastAsia" w:ascii="宋体" w:hAnsi="宋体" w:cs="宋体"/>
          <w:color w:val="auto"/>
          <w:szCs w:val="21"/>
          <w:highlight w:val="none"/>
        </w:rPr>
      </w:pPr>
    </w:p>
    <w:p>
      <w:pPr>
        <w:spacing w:line="400" w:lineRule="exact"/>
        <w:jc w:val="center"/>
        <w:rPr>
          <w:rFonts w:hint="eastAsia"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pPr>
        <w:spacing w:line="400" w:lineRule="exact"/>
        <w:rPr>
          <w:rFonts w:hint="eastAsia" w:ascii="宋体" w:hAnsi="宋体" w:cs="宋体"/>
          <w:color w:val="auto"/>
          <w:szCs w:val="21"/>
          <w:highlight w:val="none"/>
        </w:rPr>
      </w:pPr>
    </w:p>
    <w:p>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11.</w:t>
      </w:r>
      <w:r>
        <w:rPr>
          <w:rFonts w:hint="eastAsia" w:ascii="宋体" w:hAnsi="宋体" w:cs="宋体"/>
          <w:color w:val="auto"/>
          <w:highlight w:val="none"/>
        </w:rPr>
        <w:t>响应文件的编制原则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供应商应当按照竞争性磋商文件的要求编制响应文件，并对其提交的响应文件的真实性、合法性承担法律责任。响应文件应当对竞争性磋商文件作出实质性响应。</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12.响应文件的组成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400" w:lineRule="exact"/>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pPr>
        <w:spacing w:line="400" w:lineRule="exact"/>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pPr>
        <w:spacing w:line="400" w:lineRule="exact"/>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13.计量单位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竞争性磋商文件已有明确规定的，使用竞争性磋商文件规定的计量单位；竞争性磋商文件没有规定的，应采用中华人民共和国法定计量单位，货币种类为人民币，否则视同未响应。</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14.竞标的风险</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供应商没有按照竞争性磋商文件要求提供全部资料，或者供应商没有对竞争性磋商文件在各方面作出实质性响应可能导致其响应无效，是供应商应当考虑的风险。</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15.竞标报价要求和构成</w:t>
      </w:r>
    </w:p>
    <w:p>
      <w:pPr>
        <w:tabs>
          <w:tab w:val="left" w:pos="2492"/>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15.1竞标报价应按竞争性磋商文件中“竞标报价表”格式填写。</w:t>
      </w:r>
    </w:p>
    <w:p>
      <w:pPr>
        <w:tabs>
          <w:tab w:val="left" w:pos="2492"/>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pPr>
        <w:spacing w:line="400" w:lineRule="exact"/>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（1）供应商应当就“采购需求”中所竞标的全部内容分别作完整唯一总价报价，</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不得存在漏项报价；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（2）供应商应当就所竞标的内容作唯一报价。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15.3.2竞标报价（包含首次报价、最后报价）超过所竞标内容规定的采购预算金额或者最高限价的（如本项目公布了最高限价），其响应文件将作无效处理。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11" w:name="_Hlk42592874"/>
      <w:r>
        <w:rPr>
          <w:rFonts w:hint="eastAsia" w:ascii="宋体" w:hAnsi="宋体" w:cs="宋体"/>
          <w:color w:val="auto"/>
          <w:szCs w:val="21"/>
          <w:highlight w:val="none"/>
        </w:rPr>
        <w:t>竞标报价（包含首次报价、最后报价）超过分项采购预算金额或者最高限价的（如本项目公布了最高限价），其响应文件将作无效处理。</w:t>
      </w:r>
    </w:p>
    <w:bookmarkEnd w:id="11"/>
    <w:p>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16.竞标有效期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17.磋商保证金</w:t>
      </w:r>
    </w:p>
    <w:p>
      <w:pPr>
        <w:spacing w:line="400" w:lineRule="exact"/>
        <w:ind w:left="420" w:leftChars="200"/>
        <w:rPr>
          <w:rFonts w:hint="eastAsia" w:ascii="宋体" w:hAnsi="宋体" w:cs="宋体"/>
          <w:color w:val="auto"/>
          <w:szCs w:val="21"/>
          <w:highlight w:val="none"/>
        </w:rPr>
      </w:pPr>
      <w:r>
        <w:rPr>
          <w:rFonts w:hint="eastAsia" w:ascii="宋体" w:hAnsi="宋体" w:cs="宋体"/>
          <w:color w:val="auto"/>
          <w:szCs w:val="21"/>
          <w:highlight w:val="none"/>
        </w:rPr>
        <w:t>磋商保证金：无。</w:t>
      </w:r>
    </w:p>
    <w:p>
      <w:pPr>
        <w:spacing w:line="400" w:lineRule="exact"/>
        <w:ind w:firstLine="420" w:firstLineChars="200"/>
        <w:rPr>
          <w:rFonts w:hint="eastAsia"/>
          <w:color w:val="auto"/>
          <w:highlight w:val="none"/>
        </w:rPr>
      </w:pPr>
      <w:r>
        <w:rPr>
          <w:rFonts w:hint="eastAsia" w:ascii="宋体" w:hAnsi="宋体" w:cs="宋体"/>
          <w:color w:val="auto"/>
          <w:szCs w:val="21"/>
          <w:highlight w:val="none"/>
        </w:rPr>
        <w:t>18.响应文件编制的要求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18.1电子响应文件中须加盖供应商公章部分均采用 CA 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电子响应文件被误读、 漏读，或者在按采购文件规定的部位查找不到相关内容的，由供应商自行承担。</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 CA 签章上目前没有法人（负责人）或授权代表签字信息，供应商在响应文件中涉及到签字的位置线下签好字然后扫描或者拍照做成PDF的格式即可。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18.3电子响应文件中标注的供应商名称应与主体资格证明（如营业执照、事业单位法人证书、执业许可证、个体工商户营业执照、自然人身份证等）和公章一致，否则其电子响应文件作无效处理。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电子响应文件应尽量避免涂改、行间插字或删除。如果出现上述情况，改动之处应由供应商的法定代表人（负责人或自然人）或其委托代理人签字或盖章。电子响应文件因字迹潦草或表达不清所引起的后果由供应商承担。</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19.响应文件的递交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19.1供应商必须在“供应商须知前附表”规定的时间和地点提交响应文件。</w:t>
      </w:r>
    </w:p>
    <w:p>
      <w:pPr>
        <w:spacing w:line="400" w:lineRule="exact"/>
        <w:ind w:firstLine="420" w:firstLineChars="200"/>
        <w:rPr>
          <w:rFonts w:hint="eastAsia" w:ascii="宋体" w:hAnsi="宋体" w:cs="宋体"/>
          <w:color w:val="auto"/>
          <w:szCs w:val="21"/>
          <w:highlight w:val="none"/>
        </w:rPr>
      </w:pPr>
      <w:bookmarkStart w:id="12" w:name="_Hlk45702405"/>
      <w:r>
        <w:rPr>
          <w:rFonts w:hint="eastAsia" w:ascii="宋体" w:hAnsi="宋体" w:cs="宋体"/>
          <w:color w:val="auto"/>
          <w:szCs w:val="21"/>
          <w:highlight w:val="none"/>
        </w:rPr>
        <w:t>20.</w:t>
      </w:r>
      <w:r>
        <w:rPr>
          <w:rFonts w:hint="eastAsia" w:ascii="宋体" w:hAnsi="宋体" w:cs="宋体"/>
          <w:color w:val="auto"/>
          <w:highlight w:val="none"/>
        </w:rPr>
        <w:t>首次</w:t>
      </w:r>
      <w:r>
        <w:rPr>
          <w:rFonts w:hint="eastAsia" w:ascii="宋体" w:hAnsi="宋体" w:cs="宋体"/>
          <w:color w:val="auto"/>
          <w:szCs w:val="21"/>
          <w:highlight w:val="none"/>
        </w:rPr>
        <w:t>响应文件的补充、修改与撤回</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（2）如有特殊情况，采购代理机构延长截止时间和开标时间，采购代理机构和供应商的权利和义务将受到新的截止时间和开标时间的约束。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21. 采购人和采购代理机构对所接收的电子响应文件除“第四章 评审程序和评定成交的标准”8.6条规定的情形外，在首次电子响应文件提交截止时间止提交电子响应文件的供应商不足3家的，应当退回供应商电子响应文件</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 供应商在首次电子响应文件提交截止时间后向采购人、采购代理机构书面申请撤回电子响应文件的，除此之外采购人和采购代理机构对已开启的电子响应文件概不退回。</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23.网上开标、电子评标：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供应商根据竞争性磋商文件要求，登录“政采云”平台，在指定时间内将电子响应文件通过 CA 加密后上传完成投标。开标实行网上不见面开标。到达开标时间后，采购代理机构工作人员在“政采云”平台开始网上开标，供应商在竞争性磋商文件指定解密时间内各自远程登录“政采云”平台进行响应文件解密，供应商全部解密完成或解密时间结束后由采购代理机构工作人员开启唱标及评标程序，供应商可在个人电脑上查看到唱标信息，并等待专家评委评审，评审结束后系统中将显示评标结果。</w:t>
      </w:r>
    </w:p>
    <w:bookmarkEnd w:id="12"/>
    <w:p>
      <w:pPr>
        <w:spacing w:line="400" w:lineRule="exact"/>
        <w:rPr>
          <w:rFonts w:hint="eastAsia" w:ascii="宋体" w:hAnsi="宋体" w:cs="宋体"/>
          <w:color w:val="auto"/>
          <w:szCs w:val="21"/>
          <w:highlight w:val="none"/>
        </w:rPr>
      </w:pPr>
    </w:p>
    <w:p>
      <w:pPr>
        <w:spacing w:line="400" w:lineRule="exact"/>
        <w:ind w:left="420" w:firstLine="42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pPr>
        <w:spacing w:line="400" w:lineRule="exact"/>
        <w:ind w:left="420" w:firstLine="420"/>
        <w:rPr>
          <w:rFonts w:hint="eastAsia" w:ascii="宋体" w:hAnsi="宋体" w:cs="宋体"/>
          <w:color w:val="auto"/>
          <w:szCs w:val="21"/>
          <w:highlight w:val="none"/>
        </w:rPr>
      </w:pP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24.磋商小组成立及响应文件的开启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24.3响应文件的开启：具体详见“供应商须知前附表”。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25.响应文件评审程序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25.1资格审查</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25.1.1响应文件开启后，由磋商小组依法对供应商的资格证明文件进行审查，详见第四章“评审程序、评审方法和评审标准”第4条“资格审查”，其中信用查询详见“供应商须知前附表”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25.1.2通过资格审查的合格供应商不足3家的，不得进入符合性审查环节，</w:t>
      </w:r>
      <w:bookmarkStart w:id="13" w:name="_Hlk42528660"/>
      <w:r>
        <w:rPr>
          <w:rFonts w:hint="eastAsia" w:ascii="宋体" w:hAnsi="宋体" w:cs="宋体"/>
          <w:color w:val="auto"/>
          <w:szCs w:val="21"/>
          <w:highlight w:val="none"/>
        </w:rPr>
        <w:t>采购人或采购代理机构应当重新开展采购活动。</w:t>
      </w:r>
    </w:p>
    <w:bookmarkEnd w:id="13"/>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25.2符合性审查</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25.2.1由磋商小组通过资格审查的合格供应商的响应文件的竞标报价、商务、技术等实质性要求进行符合性审查，以确定其是否满足竞争性磋商文件的实质性要求。详见第四章“评审程序、评审方法和评审标准”第5条“符合性审查”，其中商务条款评审和技术需求评审中允许负偏离的条款数详见“供应商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25.2.4首次响应文件中报价出现前后不一致的，按照下列规定修正：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25.2.6通过符合性审查的合格供应商不足3家的，不得进入磋商环节，采购人或采购代理机构应当重新开展采购活动。</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26.磋商</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26.1磋商小组按照“供应商须知前附表”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供应商应当在采购人或采购代理机构发出磋商通知后30分钟内到达磋商地点，否则视同放弃参加磋商权利，其响应文件按无效响应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26.3对竞争性磋商文件作出的实质性变动是竞争性磋商文件的有效组成部分，由磋商小组及时以书面形式同时通知所有参加磋商的供应商。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26.4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26.6采购代理机构对磋商过程和重要磋商内容进行记录，磋商双方应在记录上签字确认。</w:t>
      </w:r>
    </w:p>
    <w:p>
      <w:pPr>
        <w:widowControl/>
        <w:tabs>
          <w:tab w:val="left" w:pos="540"/>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26.7磋商过程中重新提交的响应文件，供应商可以在开启前补充、修改。</w:t>
      </w:r>
    </w:p>
    <w:p>
      <w:pPr>
        <w:widowControl/>
        <w:tabs>
          <w:tab w:val="left" w:pos="540"/>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tabs>
          <w:tab w:val="left" w:pos="540"/>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26.9对磋商过程提交的响应文件进行有效性、完整性和响应程度审查，通过审查的合格供应商不足3家的，除本须知正文第26.8条的情形外，采购人或采购代理机构应当重新开展采购活动。</w:t>
      </w:r>
    </w:p>
    <w:p>
      <w:pPr>
        <w:widowControl/>
        <w:tabs>
          <w:tab w:val="left" w:pos="540"/>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27.最后报价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 竞争性磋商文件能够详细列明采购标的的技术、服务要求的，磋商结束后，由磋商小组要求所有继续参加磋商的供应商在规定时间内密封提交最后报价，提交最后报价的供应商不得少于3家。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争性磋商文件不能详细列明采购标的的技术、服务要求，需经磋商由供应商提供最后设计方案或解决方案的，磋商结束后，由磋商小组按照少数服从多数的原则投票推荐3家以上供应商的设计方案或者解决方案，并要求其在规定时间内密封提交最后报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最后报价是供应商响应文件的有效组成部分。符合《政府采购竞争性磋商采购方式管理暂行办法》（财库〔2014〕214号）第三条第四项“市场竞争不充分的科研项目，以及需要扶持的科技成果转化项目”和本须知正文第26.8条情形的，提交最后报价的供应商可以为2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已经提交响应文件的供应商，在提交最后报价之前，可以根据磋商情况退出磋商，退出磋商的供应商的响应文件按无效响应处理。采购人、采购代理机构将退还退出磋商的供应商的保证金。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27.4供应商未在规定时间内提交最后报价的，视同退出磋商。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27.5磋商小组收齐最后报价后统一开启。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27.6响应文件最后报价出现前后不一致的，按照本正文第25.2.4条的规定修正。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27.7修正后的报价出现下列情形的，按无效响应处理：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（2）经供应商确认修正后的竞标报价（包含首次报价、最后报价）超过所竞标项目规定的采购预算金额或者最高限价的（如本项目公布了最高限价）；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27.8经供应商确认修正后的最后报价作为评审及签订合同的依据。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27.9最后报价结束后，磋商小组不得再与供应商进行任何形式的商谈。</w:t>
      </w:r>
    </w:p>
    <w:p>
      <w:pPr>
        <w:pStyle w:val="25"/>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28.比较与评价</w:t>
      </w:r>
    </w:p>
    <w:p>
      <w:pPr>
        <w:pStyle w:val="14"/>
        <w:spacing w:line="400" w:lineRule="exact"/>
        <w:rPr>
          <w:rFonts w:hint="eastAsia" w:ascii="宋体" w:hAnsi="宋体" w:cs="宋体"/>
          <w:color w:val="auto"/>
          <w:highlight w:val="none"/>
        </w:rPr>
      </w:pPr>
      <w:r>
        <w:rPr>
          <w:rFonts w:hint="eastAsia" w:ascii="宋体" w:hAnsi="宋体" w:cs="宋体"/>
          <w:color w:val="auto"/>
          <w:kern w:val="0"/>
          <w:szCs w:val="21"/>
          <w:highlight w:val="none"/>
        </w:rPr>
        <w:t>28.1</w:t>
      </w:r>
      <w:r>
        <w:rPr>
          <w:rFonts w:hint="eastAsia" w:ascii="宋体" w:hAnsi="宋体" w:cs="宋体"/>
          <w:color w:val="auto"/>
          <w:highlight w:val="none"/>
        </w:rPr>
        <w:t>评审方法：综合评分法。</w:t>
      </w:r>
    </w:p>
    <w:p>
      <w:pPr>
        <w:pStyle w:val="25"/>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28.2经磋商确定最终采购需求和提交最后报价的供应商后，由磋商小组采用综合评分法对提交最后报价的供应商的响应文件和最后报价进行综合评分。详见第四章“评审程序、评审方法和评审标准”。</w:t>
      </w:r>
    </w:p>
    <w:p>
      <w:pPr>
        <w:pStyle w:val="25"/>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28.3评审时，磋商小组各成员应当独立对每个有效的响应文件进行评价、打分，然后汇总每个供应商每项评分因素的得分。</w:t>
      </w:r>
    </w:p>
    <w:p>
      <w:pPr>
        <w:pStyle w:val="25"/>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（1）磋商小组按照竞争性磋商文件中规定的评审标准计算各供应商的报价得分。项目评审过程中，不得去掉最后报价中的最高报价和最低报价。</w:t>
      </w:r>
    </w:p>
    <w:p>
      <w:pPr>
        <w:pStyle w:val="25"/>
        <w:snapToGrid w:val="0"/>
        <w:spacing w:line="400" w:lineRule="exact"/>
        <w:ind w:firstLine="420" w:firstLineChars="200"/>
        <w:rPr>
          <w:rFonts w:hint="eastAsia" w:hAnsi="宋体" w:cs="宋体"/>
          <w:color w:val="auto"/>
          <w:sz w:val="21"/>
          <w:highlight w:val="none"/>
        </w:rPr>
      </w:pPr>
      <w:r>
        <w:rPr>
          <w:rFonts w:hint="eastAsia" w:hAnsi="宋体" w:cs="宋体"/>
          <w:color w:val="auto"/>
          <w:sz w:val="21"/>
          <w:highlight w:val="none"/>
        </w:rPr>
        <w:t>（2）各供应商的得分为磋商小组所有成员的有效评分的算术平均数。</w:t>
      </w:r>
    </w:p>
    <w:p>
      <w:pPr>
        <w:pStyle w:val="14"/>
        <w:spacing w:line="400" w:lineRule="exact"/>
        <w:ind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28.4由磋商小组根据综合评分情况，按照评审得分由高到低顺序推荐3名以上成交候选供应商，并编写评审报告。符合本须知正文第27.2条情形的，可以推荐2家成交候选供应商。评审得分相同的，按照最后报价由低到高的顺序推荐。评审得分且最后报价相同的，按照技术指标优劣顺序推荐。</w:t>
      </w:r>
    </w:p>
    <w:p>
      <w:pPr>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28.5评审报告应当由磋商小组全体人员签字认可。磋商小组成员对评审报告有异议</w:t>
      </w:r>
      <w:r>
        <w:rPr>
          <w:rFonts w:hint="eastAsia" w:ascii="宋体" w:hAnsi="宋体" w:cs="宋体"/>
          <w:color w:val="auto"/>
          <w:kern w:val="0"/>
          <w:szCs w:val="21"/>
          <w:highlight w:val="none"/>
        </w:rPr>
        <w:t>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29.确定成交供应商及结果公告</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spacing w:line="400" w:lineRule="exact"/>
        <w:ind w:firstLine="420" w:firstLineChars="200"/>
        <w:rPr>
          <w:rFonts w:hint="eastAsia" w:ascii="宋体" w:hAnsi="宋体" w:cs="宋体"/>
          <w:b/>
          <w:color w:val="auto"/>
          <w:highlight w:val="none"/>
        </w:rPr>
      </w:pPr>
      <w:r>
        <w:rPr>
          <w:rFonts w:hint="eastAsia" w:ascii="宋体" w:hAnsi="宋体" w:cs="宋体"/>
          <w:color w:val="auto"/>
          <w:szCs w:val="21"/>
          <w:highlight w:val="none"/>
        </w:rPr>
        <w:t>29.3</w:t>
      </w:r>
      <w:r>
        <w:rPr>
          <w:rFonts w:hint="eastAsia" w:ascii="宋体" w:hAnsi="宋体" w:cs="宋体"/>
          <w:b/>
          <w:color w:val="auto"/>
          <w:highlight w:val="none"/>
        </w:rPr>
        <w:t xml:space="preserve"> </w:t>
      </w:r>
      <w:r>
        <w:rPr>
          <w:rFonts w:hint="eastAsia" w:ascii="宋体" w:hAnsi="宋体" w:cs="宋体"/>
          <w:color w:val="auto"/>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30.履约保证金：无。</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31.签订合同</w:t>
      </w:r>
    </w:p>
    <w:p>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31.1成交供应商在收到成交通知书后，应当在签订合同时向采购人出示相关证明材料，具体内容详见 “供应商须知前附表”，经采购人核验合格后方可签订合同。</w:t>
      </w:r>
    </w:p>
    <w:p>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31.2 签订合同时间：按成交通知书规定的时间与采购人签订政府采购合同。</w:t>
      </w:r>
    </w:p>
    <w:p>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31.3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32.政府采购合同公告</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33.适用法律</w:t>
      </w:r>
    </w:p>
    <w:p>
      <w:pPr>
        <w:tabs>
          <w:tab w:val="left" w:pos="28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34.其它内容</w:t>
      </w:r>
    </w:p>
    <w:p>
      <w:pPr>
        <w:tabs>
          <w:tab w:val="left" w:pos="28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34.1代理服务收费标准及缴费账户详见“供应商须知前附表”。</w:t>
      </w:r>
    </w:p>
    <w:p>
      <w:pPr>
        <w:tabs>
          <w:tab w:val="left" w:pos="28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34.2代理服务费收费计算标准：详见“供应商须知前附表”。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35. 询问、质疑和投诉</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35.1供应商对政府采购活动事项有疑问的，可以向采购人、采购代理机构提出询问，采购人或者采购代理机构应当在3个工作日内对供应商依法提出的询问作出答复。</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35.2供应商认为竞争性磋商文件、采购过程或成交结果使自己的合法权益受到损害的，应当在知道或者应知其权益受到损害之日起七个工作日内，以书面形式向采购人、采购代理机构提出质疑，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（1）对可以质疑的竞争性磋商文件提出质疑的，为收到竞争性磋商文件之日或竞争性磋商公告期限届满之日；</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供应商对采购人或采购代理机构的质疑答复不满意或者采购人或采购代理机构未在规定时间内作出答复的，可以在答复期满后十五个工作日内向同级采购监管部门投诉。</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35.3供应商提出的询问或者质疑超出采购人对采购代理机构委托授权范围的，采购代理机构应当告知供应商向采购人提出。政府采购评审专家应当配合采购人或者采购代理机构答复供应商的询问和质疑。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35.4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35.5采购人、采购代理机构认为供应商质疑不成立，或者成立但未对成交结果构成影响的，继续开展采购活动；认为供应商质疑成立且影响或者可能影响成交结果的，按照下列情况处理：</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（1）对竞争性磋商文件提出的质疑，依法通过澄清或者修改可以继续开展采购活动的，澄清或者修改竞争性磋商文件后继续开展采购活动；否则应当在修改竞争性磋商文件后重新开展采购活动。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（2）对采购过程、成交结果提出的质疑，合格供应商符合法定数量时，可以从合格的成交候选人中另行确定成交供应商的，应当依法另行确定成交供应商；否则应当重新开展采购活动。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35.6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.需要补充的其他内容</w:t>
      </w:r>
    </w:p>
    <w:p>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6</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pPr>
        <w:pStyle w:val="25"/>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w:t>
      </w:r>
      <w:r>
        <w:rPr>
          <w:rFonts w:hint="eastAsia" w:hAnsi="宋体" w:cs="宋体"/>
          <w:color w:val="auto"/>
          <w:kern w:val="2"/>
          <w:sz w:val="21"/>
          <w:highlight w:val="none"/>
          <w:lang w:val="en-US" w:eastAsia="zh-CN"/>
        </w:rPr>
        <w:t>6</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6</w:t>
      </w:r>
      <w:r>
        <w:rPr>
          <w:rFonts w:hAnsi="宋体" w:cs="宋体"/>
          <w:color w:val="auto"/>
          <w:kern w:val="2"/>
          <w:sz w:val="21"/>
          <w:highlight w:val="none"/>
        </w:rPr>
        <w:t>.3</w:t>
      </w:r>
      <w:r>
        <w:rPr>
          <w:rFonts w:hint="eastAsia" w:hAnsi="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2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pPr>
        <w:outlineLvl w:val="9"/>
        <w:rPr>
          <w:rStyle w:val="61"/>
          <w:rFonts w:hint="eastAsia" w:asciiTheme="minorEastAsia" w:hAnsiTheme="minorEastAsia" w:eastAsiaTheme="minorEastAsia" w:cstheme="minorEastAsia"/>
          <w:color w:val="auto"/>
          <w:sz w:val="36"/>
          <w:szCs w:val="36"/>
        </w:rPr>
      </w:pPr>
      <w:r>
        <w:rPr>
          <w:rStyle w:val="61"/>
          <w:rFonts w:hint="eastAsia" w:asciiTheme="minorEastAsia" w:hAnsiTheme="minorEastAsia" w:eastAsiaTheme="minorEastAsia" w:cstheme="minorEastAsia"/>
          <w:color w:val="auto"/>
          <w:sz w:val="36"/>
          <w:szCs w:val="36"/>
        </w:rPr>
        <w:br w:type="page"/>
      </w:r>
    </w:p>
    <w:p>
      <w:pPr>
        <w:jc w:val="center"/>
        <w:outlineLvl w:val="0"/>
        <w:rPr>
          <w:rStyle w:val="61"/>
          <w:rFonts w:hint="eastAsia" w:asciiTheme="minorEastAsia" w:hAnsiTheme="minorEastAsia" w:eastAsiaTheme="minorEastAsia" w:cstheme="minorEastAsia"/>
          <w:color w:val="auto"/>
          <w:sz w:val="36"/>
          <w:szCs w:val="36"/>
          <w:lang w:eastAsia="zh-CN"/>
        </w:rPr>
      </w:pPr>
      <w:bookmarkStart w:id="14" w:name="_Toc30868"/>
      <w:r>
        <w:rPr>
          <w:rStyle w:val="61"/>
          <w:rFonts w:hint="eastAsia" w:asciiTheme="minorEastAsia" w:hAnsiTheme="minorEastAsia" w:eastAsiaTheme="minorEastAsia" w:cstheme="minorEastAsia"/>
          <w:color w:val="auto"/>
          <w:sz w:val="36"/>
          <w:szCs w:val="36"/>
        </w:rPr>
        <w:t>第三章</w:t>
      </w:r>
      <w:r>
        <w:rPr>
          <w:rStyle w:val="61"/>
          <w:rFonts w:hint="eastAsia" w:asciiTheme="minorEastAsia" w:hAnsiTheme="minorEastAsia" w:eastAsiaTheme="minorEastAsia" w:cstheme="minorEastAsia"/>
          <w:color w:val="auto"/>
          <w:sz w:val="36"/>
          <w:szCs w:val="36"/>
          <w:lang w:val="en-US" w:eastAsia="zh-CN"/>
        </w:rPr>
        <w:t xml:space="preserve">  </w:t>
      </w:r>
      <w:r>
        <w:rPr>
          <w:rStyle w:val="61"/>
          <w:rFonts w:hint="eastAsia" w:asciiTheme="minorEastAsia" w:hAnsiTheme="minorEastAsia" w:eastAsiaTheme="minorEastAsia" w:cstheme="minorEastAsia"/>
          <w:color w:val="auto"/>
          <w:sz w:val="36"/>
          <w:szCs w:val="36"/>
        </w:rPr>
        <w:t xml:space="preserve"> </w:t>
      </w:r>
      <w:r>
        <w:rPr>
          <w:rStyle w:val="61"/>
          <w:rFonts w:hint="eastAsia" w:asciiTheme="minorEastAsia" w:hAnsiTheme="minorEastAsia" w:eastAsiaTheme="minorEastAsia" w:cstheme="minorEastAsia"/>
          <w:color w:val="auto"/>
          <w:sz w:val="36"/>
          <w:szCs w:val="36"/>
          <w:lang w:eastAsia="zh-CN"/>
        </w:rPr>
        <w:t>采购需求</w:t>
      </w:r>
      <w:bookmarkEnd w:id="5"/>
      <w:bookmarkEnd w:id="14"/>
    </w:p>
    <w:p>
      <w:pPr>
        <w:pStyle w:val="40"/>
        <w:keepNext w:val="0"/>
        <w:keepLines w:val="0"/>
        <w:pageBreakBefore w:val="0"/>
        <w:widowControl w:val="0"/>
        <w:shd w:val="clear" w:color="auto" w:fill="auto"/>
        <w:kinsoku/>
        <w:overflowPunct/>
        <w:topLinePunct w:val="0"/>
        <w:autoSpaceDE/>
        <w:autoSpaceDN/>
        <w:bidi w:val="0"/>
        <w:adjustRightInd/>
        <w:snapToGrid/>
        <w:spacing w:before="0" w:beforeAutospacing="0" w:after="0" w:afterAutospacing="0" w:line="400" w:lineRule="exact"/>
        <w:ind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p>
    <w:p>
      <w:pPr>
        <w:pStyle w:val="4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60" w:lineRule="exact"/>
        <w:ind w:firstLine="482" w:firstLineChars="200"/>
        <w:jc w:val="both"/>
        <w:textAlignment w:val="auto"/>
        <w:outlineLvl w:val="9"/>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一、</w:t>
      </w:r>
      <w:r>
        <w:rPr>
          <w:rFonts w:hint="eastAsia" w:asciiTheme="minorEastAsia" w:hAnsiTheme="minorEastAsia" w:eastAsiaTheme="minorEastAsia" w:cstheme="minorEastAsia"/>
          <w:b/>
          <w:bCs/>
          <w:color w:val="auto"/>
          <w:kern w:val="2"/>
          <w:sz w:val="21"/>
          <w:szCs w:val="21"/>
          <w:lang w:val="en-US" w:eastAsia="zh-CN" w:bidi="ar-SA"/>
        </w:rPr>
        <w:t>项目概况</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60" w:lineRule="exact"/>
        <w:ind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1.本项目建设规模及主要建设内容：思旺镇双上村上陶屯桂中支队第十大认集圳日址提升改造。具体详见图纸及工程量清单。</w:t>
      </w:r>
    </w:p>
    <w:p>
      <w:pPr>
        <w:pStyle w:val="19"/>
        <w:keepNext w:val="0"/>
        <w:keepLines w:val="0"/>
        <w:pageBreakBefore w:val="0"/>
        <w:widowControl w:val="0"/>
        <w:kinsoku/>
        <w:wordWrap/>
        <w:overflowPunct/>
        <w:topLinePunct w:val="0"/>
        <w:autoSpaceDE/>
        <w:autoSpaceDN/>
        <w:bidi w:val="0"/>
        <w:adjustRightInd w:val="0"/>
        <w:snapToGrid/>
        <w:spacing w:line="460" w:lineRule="exact"/>
        <w:ind w:left="0" w:right="0" w:firstLine="396" w:firstLineChars="213"/>
        <w:jc w:val="left"/>
        <w:textAlignment w:val="baseline"/>
        <w:rPr>
          <w:rFonts w:hint="eastAsia" w:ascii="宋体" w:hAnsi="宋体" w:eastAsia="宋体" w:cs="宋体"/>
          <w:b w:val="0"/>
          <w:bCs w:val="0"/>
          <w:color w:val="auto"/>
          <w:spacing w:val="-12"/>
          <w:sz w:val="21"/>
          <w:szCs w:val="21"/>
          <w:highlight w:val="none"/>
          <w:lang w:val="en-US"/>
        </w:rPr>
      </w:pPr>
      <w:bookmarkStart w:id="15" w:name="工期要求：80日历天"/>
      <w:bookmarkEnd w:id="15"/>
      <w:bookmarkStart w:id="16" w:name="建设地点：桂平市江北新区。"/>
      <w:bookmarkEnd w:id="16"/>
      <w:r>
        <w:rPr>
          <w:rFonts w:hint="eastAsia" w:ascii="宋体" w:hAnsi="宋体" w:eastAsia="宋体" w:cs="宋体"/>
          <w:b w:val="0"/>
          <w:bCs w:val="0"/>
          <w:color w:val="auto"/>
          <w:spacing w:val="-12"/>
          <w:sz w:val="21"/>
          <w:szCs w:val="21"/>
          <w:highlight w:val="none"/>
          <w:lang w:val="en-US"/>
        </w:rPr>
        <w:t>2.工程量清单及施工图纸等资料（自行下载）。</w:t>
      </w:r>
    </w:p>
    <w:p>
      <w:pPr>
        <w:pStyle w:val="19"/>
        <w:keepNext w:val="0"/>
        <w:keepLines w:val="0"/>
        <w:pageBreakBefore w:val="0"/>
        <w:widowControl w:val="0"/>
        <w:kinsoku/>
        <w:wordWrap/>
        <w:overflowPunct/>
        <w:topLinePunct w:val="0"/>
        <w:autoSpaceDE/>
        <w:autoSpaceDN/>
        <w:bidi w:val="0"/>
        <w:adjustRightInd w:val="0"/>
        <w:snapToGrid/>
        <w:spacing w:line="460" w:lineRule="exact"/>
        <w:ind w:left="0" w:right="0" w:firstLine="398" w:firstLineChars="213"/>
        <w:jc w:val="left"/>
        <w:textAlignment w:val="baseline"/>
        <w:rPr>
          <w:rFonts w:hint="eastAsia" w:ascii="宋体" w:hAnsi="宋体" w:eastAsia="宋体" w:cs="宋体"/>
          <w:b/>
          <w:bCs/>
          <w:color w:val="auto"/>
          <w:spacing w:val="-12"/>
          <w:sz w:val="21"/>
          <w:szCs w:val="21"/>
          <w:highlight w:val="none"/>
          <w:lang w:val="en-US" w:eastAsia="zh-CN"/>
        </w:rPr>
      </w:pPr>
      <w:r>
        <w:rPr>
          <w:rFonts w:hint="eastAsia" w:ascii="宋体" w:hAnsi="宋体" w:eastAsia="宋体" w:cs="宋体"/>
          <w:b/>
          <w:bCs/>
          <w:color w:val="auto"/>
          <w:spacing w:val="-12"/>
          <w:sz w:val="21"/>
          <w:szCs w:val="21"/>
          <w:highlight w:val="none"/>
          <w:lang w:val="en-US" w:eastAsia="zh-CN"/>
        </w:rPr>
        <w:t>二、商务条款</w:t>
      </w:r>
    </w:p>
    <w:p>
      <w:pPr>
        <w:pStyle w:val="19"/>
        <w:keepNext w:val="0"/>
        <w:keepLines w:val="0"/>
        <w:pageBreakBefore w:val="0"/>
        <w:widowControl w:val="0"/>
        <w:kinsoku/>
        <w:wordWrap/>
        <w:overflowPunct/>
        <w:topLinePunct w:val="0"/>
        <w:autoSpaceDE/>
        <w:autoSpaceDN/>
        <w:bidi w:val="0"/>
        <w:adjustRightInd w:val="0"/>
        <w:snapToGrid/>
        <w:spacing w:line="460" w:lineRule="exact"/>
        <w:ind w:left="0" w:right="0" w:firstLine="416" w:firstLineChars="224"/>
        <w:jc w:val="left"/>
        <w:textAlignment w:val="baseline"/>
        <w:rPr>
          <w:rFonts w:hint="eastAsia" w:ascii="宋体" w:hAnsi="宋体" w:eastAsia="宋体" w:cs="宋体"/>
          <w:b w:val="0"/>
          <w:bCs w:val="0"/>
          <w:color w:val="auto"/>
          <w:spacing w:val="-12"/>
          <w:sz w:val="21"/>
          <w:szCs w:val="21"/>
          <w:highlight w:val="none"/>
          <w:lang w:val="en-US" w:eastAsia="zh-CN"/>
        </w:rPr>
      </w:pPr>
      <w:r>
        <w:rPr>
          <w:rFonts w:hint="eastAsia" w:ascii="宋体" w:hAnsi="宋体" w:eastAsia="宋体" w:cs="宋体"/>
          <w:b w:val="0"/>
          <w:bCs w:val="0"/>
          <w:color w:val="auto"/>
          <w:spacing w:val="-12"/>
          <w:sz w:val="21"/>
          <w:szCs w:val="21"/>
          <w:highlight w:val="none"/>
          <w:lang w:val="en-US" w:eastAsia="zh-CN"/>
        </w:rPr>
        <w:t>1.合同履行期限：</w:t>
      </w:r>
      <w:r>
        <w:rPr>
          <w:rFonts w:hint="eastAsia" w:ascii="宋体" w:hAnsi="宋体" w:eastAsia="宋体" w:cs="宋体"/>
          <w:b w:val="0"/>
          <w:bCs w:val="0"/>
          <w:color w:val="auto"/>
          <w:kern w:val="0"/>
          <w:sz w:val="21"/>
          <w:szCs w:val="21"/>
          <w:highlight w:val="none"/>
          <w:lang w:val="en-US" w:eastAsia="zh-CN" w:bidi="ar"/>
        </w:rPr>
        <w:t>自签订合同之日起30个日历天</w:t>
      </w:r>
      <w:r>
        <w:rPr>
          <w:rFonts w:hint="eastAsia" w:ascii="宋体" w:hAnsi="宋体" w:eastAsia="宋体" w:cs="宋体"/>
          <w:b w:val="0"/>
          <w:bCs w:val="0"/>
          <w:color w:val="auto"/>
          <w:spacing w:val="-12"/>
          <w:sz w:val="21"/>
          <w:szCs w:val="21"/>
          <w:highlight w:val="none"/>
          <w:lang w:val="en-US" w:eastAsia="zh-CN"/>
        </w:rPr>
        <w:t>；</w:t>
      </w:r>
    </w:p>
    <w:p>
      <w:pPr>
        <w:pStyle w:val="19"/>
        <w:keepNext w:val="0"/>
        <w:keepLines w:val="0"/>
        <w:pageBreakBefore w:val="0"/>
        <w:widowControl w:val="0"/>
        <w:kinsoku/>
        <w:wordWrap/>
        <w:overflowPunct/>
        <w:topLinePunct w:val="0"/>
        <w:autoSpaceDE/>
        <w:autoSpaceDN/>
        <w:bidi w:val="0"/>
        <w:adjustRightInd w:val="0"/>
        <w:snapToGrid/>
        <w:spacing w:line="460" w:lineRule="exact"/>
        <w:ind w:left="0" w:right="0" w:firstLine="416" w:firstLineChars="224"/>
        <w:jc w:val="left"/>
        <w:textAlignment w:val="baseline"/>
        <w:rPr>
          <w:rFonts w:hint="default" w:ascii="宋体" w:hAnsi="宋体" w:eastAsia="宋体" w:cs="宋体"/>
          <w:b w:val="0"/>
          <w:bCs w:val="0"/>
          <w:color w:val="auto"/>
          <w:spacing w:val="-12"/>
          <w:sz w:val="21"/>
          <w:szCs w:val="21"/>
          <w:highlight w:val="none"/>
          <w:lang w:val="en-US" w:eastAsia="zh-CN"/>
        </w:rPr>
      </w:pPr>
      <w:r>
        <w:rPr>
          <w:rFonts w:hint="eastAsia" w:ascii="宋体" w:hAnsi="宋体" w:eastAsia="宋体" w:cs="宋体"/>
          <w:b w:val="0"/>
          <w:bCs w:val="0"/>
          <w:color w:val="auto"/>
          <w:spacing w:val="-12"/>
          <w:sz w:val="21"/>
          <w:szCs w:val="21"/>
          <w:highlight w:val="none"/>
          <w:lang w:val="en-US" w:eastAsia="zh-CN"/>
        </w:rPr>
        <w:t>2.交付地点：采购人指定地点</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60" w:lineRule="exact"/>
        <w:ind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预付款和进度款支付方式：合同签订后，施工单位进场开工支付至合同总价的30%；进度款支付方式：工程款原则上按月支付，在安全、质量、进度、资料进行完善后方可申请进度款（当月无进度的，不可申请），合同内进度款支付限额为已完成工程量的85%，项目竣工验收达到质量要求并完善资料后，支付合同总价的90%，工程变更部分进度款支付</w:t>
      </w:r>
      <w:r>
        <w:rPr>
          <w:rFonts w:hint="eastAsia" w:asciiTheme="minorEastAsia" w:hAnsiTheme="minorEastAsia" w:eastAsiaTheme="minorEastAsia" w:cstheme="minorEastAsia"/>
          <w:color w:val="auto"/>
          <w:kern w:val="2"/>
          <w:sz w:val="21"/>
          <w:szCs w:val="21"/>
          <w:lang w:val="en-US" w:eastAsia="zh-CN" w:bidi="ar-SA"/>
        </w:rPr>
        <w:t>限额为已完；工程完工验收达到质量要求，结算经审计部门审定后，工程款支付至结算总价的97%，发包人按工程价款结算总额的3%预留工程质量保修金（采用扣留质量保修金时适用），待工程质量保修期满后无息返还。（注：本付款方式</w:t>
      </w:r>
      <w:bookmarkStart w:id="31" w:name="_GoBack"/>
      <w:bookmarkEnd w:id="31"/>
      <w:r>
        <w:rPr>
          <w:rFonts w:hint="eastAsia" w:asciiTheme="minorEastAsia" w:hAnsiTheme="minorEastAsia" w:eastAsiaTheme="minorEastAsia" w:cstheme="minorEastAsia"/>
          <w:color w:val="auto"/>
          <w:kern w:val="2"/>
          <w:sz w:val="21"/>
          <w:szCs w:val="21"/>
          <w:lang w:val="en-US" w:eastAsia="zh-CN" w:bidi="ar-SA"/>
        </w:rPr>
        <w:t>双方在签订合同时可协商适当修改）。</w:t>
      </w:r>
    </w:p>
    <w:p>
      <w:pPr>
        <w:pStyle w:val="40"/>
        <w:keepNext w:val="0"/>
        <w:keepLines w:val="0"/>
        <w:pageBreakBefore w:val="0"/>
        <w:widowControl w:val="0"/>
        <w:shd w:val="clear" w:color="auto" w:fill="auto"/>
        <w:kinsoku/>
        <w:overflowPunct/>
        <w:topLinePunct w:val="0"/>
        <w:autoSpaceDE/>
        <w:autoSpaceDN/>
        <w:bidi w:val="0"/>
        <w:adjustRightInd/>
        <w:snapToGrid/>
        <w:spacing w:before="0" w:beforeAutospacing="0" w:after="0" w:afterAutospacing="0" w:line="400" w:lineRule="exact"/>
        <w:ind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br w:type="page"/>
      </w:r>
    </w:p>
    <w:p>
      <w:pPr>
        <w:pStyle w:val="41"/>
        <w:outlineLvl w:val="0"/>
        <w:rPr>
          <w:rFonts w:asciiTheme="minorEastAsia" w:hAnsiTheme="minorEastAsia" w:eastAsiaTheme="minorEastAsia" w:cstheme="minorEastAsia"/>
          <w:color w:val="auto"/>
          <w:sz w:val="32"/>
          <w:szCs w:val="32"/>
        </w:rPr>
      </w:pPr>
      <w:bookmarkStart w:id="17" w:name="_Toc26959"/>
      <w:bookmarkStart w:id="18" w:name="_Toc23660"/>
      <w:r>
        <w:rPr>
          <w:rFonts w:hint="eastAsia" w:asciiTheme="minorEastAsia" w:hAnsiTheme="minorEastAsia" w:eastAsiaTheme="minorEastAsia" w:cstheme="minorEastAsia"/>
          <w:color w:val="auto"/>
          <w:sz w:val="32"/>
          <w:szCs w:val="32"/>
        </w:rPr>
        <w:t xml:space="preserve">第四章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评标办法及评审标准</w:t>
      </w:r>
      <w:bookmarkEnd w:id="17"/>
      <w:bookmarkEnd w:id="18"/>
    </w:p>
    <w:p>
      <w:pPr>
        <w:widowControl/>
        <w:jc w:val="center"/>
        <w:outlineLvl w:val="9"/>
        <w:rPr>
          <w:color w:val="auto"/>
        </w:rPr>
      </w:pPr>
      <w:bookmarkStart w:id="19" w:name="_Toc32321"/>
      <w:r>
        <w:rPr>
          <w:rFonts w:hint="eastAsia" w:ascii="宋体" w:hAnsi="宋体" w:cs="宋体"/>
          <w:b/>
          <w:color w:val="auto"/>
          <w:kern w:val="0"/>
          <w:sz w:val="32"/>
          <w:szCs w:val="32"/>
          <w:lang w:bidi="ar"/>
        </w:rPr>
        <w:t>评标办法及评审标准</w:t>
      </w:r>
    </w:p>
    <w:p>
      <w:pPr>
        <w:spacing w:line="400" w:lineRule="exact"/>
        <w:rPr>
          <w:rFonts w:hint="eastAsia" w:ascii="宋体" w:hAnsi="宋体" w:cs="宋体"/>
          <w:b/>
          <w:bCs/>
          <w:color w:val="auto"/>
          <w:szCs w:val="21"/>
        </w:rPr>
      </w:pPr>
      <w:r>
        <w:rPr>
          <w:rFonts w:hint="eastAsia" w:ascii="宋体" w:hAnsi="宋体" w:cs="宋体"/>
          <w:b/>
          <w:bCs/>
          <w:color w:val="auto"/>
          <w:szCs w:val="21"/>
        </w:rPr>
        <w:t xml:space="preserve">一、评审原则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一、评审程序和评审方法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（一）磋商小组成立</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3.响应文件的开启：具体详见“供应商须知前附表”。</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（二）响应文件评审程序</w:t>
      </w:r>
    </w:p>
    <w:p>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4.资格审查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4.1响应文件开启后，磋商小组依法对供应商的资格证明文件进行审查。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4.2资格审查标准为本竞争性磋商文件中载明对供应商资格要求的条件。资格审查采用合格制，凡符合竞争性磋商文件规定的供应商资格要求的响应文件均通过资格审查。</w:t>
      </w:r>
    </w:p>
    <w:p>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4.3供应商有下列情形之一的，资格审查不通过，其响应文件按无效响应处理：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（1）未按竞争性磋商文件规定的方式获取本竞争性磋商文件的供应商；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（2）不具备竞争性磋商文件中规定的资格要求的；（注：其中信用查询规则见“供应商须知前附表”）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（3）响应文件未提供任一项“供应商须知前附表”资格证明文件规定的“必须提供”的文件资料的；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（4）响应文件提供的资格证明文件出现任一项不符合“供应商须知前附表”资格证明文件规定的“必须提供”的文件资料要求或者无效的。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4.4通过资格审查的合格供应商不足3家的，不得进入符合性审查环节，采购人或采购代理机构应当重新开展采购活动。</w:t>
      </w:r>
    </w:p>
    <w:p>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5.符合性审查</w:t>
      </w:r>
    </w:p>
    <w:p>
      <w:pPr>
        <w:spacing w:line="400" w:lineRule="exact"/>
        <w:ind w:firstLine="420" w:firstLineChars="200"/>
        <w:rPr>
          <w:rFonts w:hint="eastAsia" w:ascii="宋体" w:hAnsi="宋体" w:cs="宋体"/>
          <w:color w:val="auto"/>
          <w:szCs w:val="21"/>
        </w:rPr>
      </w:pPr>
      <w:bookmarkStart w:id="20" w:name="_Hlk42528882"/>
      <w:r>
        <w:rPr>
          <w:rFonts w:hint="eastAsia" w:ascii="宋体" w:hAnsi="宋体" w:cs="宋体"/>
          <w:color w:val="auto"/>
          <w:szCs w:val="21"/>
        </w:rPr>
        <w:t>5.1由磋商小组对通过资格审查的合格供应商的响应文件的竞标报价、商务、技术等实质性要求进行符合性审查，以确定其是否满足竞争性磋商文件的实质性要求。</w:t>
      </w:r>
    </w:p>
    <w:bookmarkEnd w:id="20"/>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hint="eastAsia" w:ascii="宋体" w:hAnsi="宋体" w:cs="宋体"/>
          <w:color w:val="auto"/>
          <w:spacing w:val="-6"/>
          <w:szCs w:val="21"/>
        </w:rPr>
      </w:pPr>
      <w:r>
        <w:rPr>
          <w:rFonts w:hint="eastAsia" w:ascii="宋体" w:hAnsi="宋体" w:cs="宋体"/>
          <w:color w:val="auto"/>
          <w:szCs w:val="21"/>
        </w:rPr>
        <w:t>5.3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w:t>
      </w:r>
      <w:r>
        <w:rPr>
          <w:rFonts w:hint="eastAsia" w:ascii="宋体" w:hAnsi="宋体" w:cs="宋体"/>
          <w:color w:val="auto"/>
        </w:rPr>
        <w:t>有利于采购人</w:t>
      </w:r>
      <w:r>
        <w:rPr>
          <w:rFonts w:hint="eastAsia" w:ascii="宋体" w:hAnsi="宋体" w:cs="宋体"/>
          <w:color w:val="auto"/>
          <w:szCs w:val="21"/>
        </w:rPr>
        <w:t>的原则由磋商小组进行判定。供应商的澄清、说明或者更正应当由法定代表人或其授权代表签字或者加盖公章。由授权代表签字的，</w:t>
      </w:r>
      <w:r>
        <w:rPr>
          <w:rFonts w:hint="eastAsia" w:ascii="宋体" w:hAnsi="宋体" w:cs="宋体"/>
          <w:color w:val="auto"/>
          <w:spacing w:val="-6"/>
          <w:szCs w:val="21"/>
        </w:rPr>
        <w:t>应当附法定代表人授权书</w:t>
      </w:r>
      <w:r>
        <w:rPr>
          <w:rFonts w:hint="eastAsia" w:ascii="宋体" w:hAnsi="宋体" w:cs="宋体"/>
          <w:color w:val="auto"/>
          <w:szCs w:val="21"/>
        </w:rPr>
        <w:t>（若委托代理人为响应文件中承诺的授权委托代理人的，无须出示法定代表人授权委托书）</w:t>
      </w:r>
      <w:r>
        <w:rPr>
          <w:rFonts w:hint="eastAsia" w:ascii="宋体" w:hAnsi="宋体" w:cs="宋体"/>
          <w:color w:val="auto"/>
          <w:spacing w:val="-6"/>
          <w:szCs w:val="21"/>
        </w:rPr>
        <w:t>。供应商为自然人的，应当由本人签字并附身份证明。</w:t>
      </w:r>
    </w:p>
    <w:p>
      <w:pPr>
        <w:spacing w:line="400" w:lineRule="exact"/>
        <w:ind w:firstLine="396" w:firstLineChars="200"/>
        <w:rPr>
          <w:rFonts w:hint="eastAsia" w:ascii="宋体" w:hAnsi="宋体" w:cs="宋体"/>
          <w:color w:val="auto"/>
          <w:szCs w:val="21"/>
        </w:rPr>
      </w:pPr>
      <w:r>
        <w:rPr>
          <w:rFonts w:hint="eastAsia" w:ascii="宋体" w:hAnsi="宋体" w:cs="宋体"/>
          <w:color w:val="auto"/>
          <w:spacing w:val="-6"/>
          <w:szCs w:val="21"/>
        </w:rPr>
        <w:t>5.4</w:t>
      </w:r>
      <w:r>
        <w:rPr>
          <w:rFonts w:hint="eastAsia" w:ascii="宋体" w:hAnsi="宋体" w:cs="宋体"/>
          <w:color w:val="auto"/>
          <w:szCs w:val="21"/>
        </w:rPr>
        <w:t xml:space="preserve">首次响应文件报价出现前后不一致的，按照下列规定修正：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5.5商务技术报价评审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在评审时，如发现下列情形之一的，将被视为响应文件无效处理：</w:t>
      </w:r>
    </w:p>
    <w:p>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（1）商务技术评审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1）提供响应文件正、副本数量不足的；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2）响应文件未按竞争性磋商文件要求签署、盖章的；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3）委托代理人未能出具有效身份证明或出具的身份证明与授权委托书中的信息不符的；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响应文件未提供任一项“供应商须知前附表”第12.2条规定的“必须提供”或者“委托时必须提供”的文件资料的；响应文件提供的报价商务技术文件出现任一项不符合“供应商须知前附表”第12.2条规定的“必须提供”或者“委托时必须提供”的文件资料要求或者无效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5）商务条款中标“▲”的条款发生负偏离的或允许负偏离的条款数超过“供应商须知前附表”规定项数的或标明实质性的要求发生负偏离的；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6）未对竞标有效期作出响应或响应文件承诺的竞标有效期不满足竞争性磋商文件要求的；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7）响应文件的实质性内容未使用中文表述、使用计量单位不符合竞争性磋商文件要求的；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8）响应文件中的文件资料因填写不齐全或者内容虚假或者出现其他情形而导致被磋商小组认定无效的；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9）响应文件含有采购人不能接受的附加条件的；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10）属于“供应商须知正文”第7.7条和第7.9条（2）的情形的；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11）明显不满足竞争性磋商文件要求的技术规格、安全、质量标准，或者与竞争性磋商文件中标“▲”的技术需求或标明实质性的要求发生负偏离的；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12）技术需求允许负偏离的条款数超过“供应商须知前附表”规定项数的；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13）虚假竞标，或者出现其他情形而导致被磋商小组认定无效的；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14）竞标技术方案不明确，竞争性磋商文件未允许</w:t>
      </w:r>
      <w:r>
        <w:rPr>
          <w:rFonts w:hint="eastAsia" w:ascii="宋体" w:hAnsi="宋体" w:cs="宋体"/>
          <w:color w:val="auto"/>
        </w:rPr>
        <w:t>但响应文件中</w:t>
      </w:r>
      <w:r>
        <w:rPr>
          <w:rFonts w:hint="eastAsia" w:ascii="宋体" w:hAnsi="宋体" w:cs="宋体"/>
          <w:color w:val="auto"/>
          <w:szCs w:val="21"/>
        </w:rPr>
        <w:t>存在一个或一个以上备选（替代）竞标方案的；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15）未响应竞争性磋商文件实质性要求的；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16）法律、法规和竞争性磋商文件规定的其他无效情形。</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（2）报价评审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 响应文件未提供“供应商须知前附表”第12.2条规定中的“竞标报价表”的；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2）未采用人民币报价或者未按照竞争性磋商文件标明的币种报价的；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供应商未就所竞标分标进行报价或存在漏项报价；供应商未就所竞标分标的单项内容作唯一报价；供应商未就所竞标分标的全部内容作唯一总价报价；供应商响应文件中存在有选择、有条件报价的（竞争性磋商文件允许有备选方案或其他约定的除外）；</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4）竞标报价（包含首次报价、最后报价）超过所竞标分标规定的采购预算金额或者最高限价的（如本项目公布了最高限价）；</w:t>
      </w:r>
      <w:bookmarkStart w:id="21" w:name="_Hlk42596405"/>
      <w:r>
        <w:rPr>
          <w:rFonts w:hint="eastAsia" w:ascii="宋体" w:hAnsi="宋体" w:cs="宋体"/>
          <w:color w:val="auto"/>
          <w:szCs w:val="21"/>
        </w:rPr>
        <w:t>竞标报价（包含首次报价、最后报价）</w:t>
      </w:r>
      <w:bookmarkEnd w:id="21"/>
      <w:bookmarkStart w:id="22" w:name="_Hlk42596276"/>
      <w:r>
        <w:rPr>
          <w:rFonts w:hint="eastAsia" w:ascii="宋体" w:hAnsi="宋体" w:cs="宋体"/>
          <w:color w:val="auto"/>
          <w:szCs w:val="21"/>
        </w:rPr>
        <w:t>超过竞争性磋商文件分项采购预算金额或者最高限价的</w:t>
      </w:r>
      <w:bookmarkEnd w:id="22"/>
      <w:r>
        <w:rPr>
          <w:rFonts w:hint="eastAsia" w:ascii="宋体" w:hAnsi="宋体" w:cs="宋体"/>
          <w:color w:val="auto"/>
          <w:szCs w:val="21"/>
        </w:rPr>
        <w:t>（如本项目公布了最高限价）；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修正后的报价，供应商不确认的；或经供应商确认修正后的竞标报价（包含首次报价、最后报价）超过所竞标分标规定的采购预算金额或者最高限价的（如本项目公布了最高限价）；或经供应商确认修正后竞标报价（包含首次、最后报价）超过竞争性磋商文件分项采购预算金额或者最高限价的（如本项目公布了最高限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5.6磋商小组对响应文件进行评审，未实质性响应竞争性磋商文件的响应文件按无效处理，由磋商小组告知有关供应商。磋商小组从符合竞争性磋商文件规定的相应资格条件的供应商名单中确定不少于3家的供应商参加磋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5.7通过符合性审查的合格供应商不足3家的，不得进入磋商环节，采购人或采购代理机构应当重新开展采购活动。</w:t>
      </w:r>
    </w:p>
    <w:p>
      <w:pPr>
        <w:spacing w:line="400" w:lineRule="exact"/>
        <w:ind w:firstLine="422" w:firstLineChars="200"/>
        <w:rPr>
          <w:rFonts w:hint="eastAsia" w:ascii="宋体" w:hAnsi="宋体" w:cs="宋体"/>
          <w:b/>
          <w:color w:val="auto"/>
          <w:kern w:val="0"/>
          <w:szCs w:val="21"/>
        </w:rPr>
      </w:pPr>
      <w:r>
        <w:rPr>
          <w:rFonts w:hint="eastAsia" w:ascii="宋体" w:hAnsi="宋体" w:cs="宋体"/>
          <w:b/>
          <w:color w:val="auto"/>
          <w:kern w:val="0"/>
          <w:szCs w:val="21"/>
        </w:rPr>
        <w:t>（三）磋商</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应当在接到磋商通知后规定时间内参加磋商，未在规定时间内参加磋商的视同放弃参加磋商权利，其响应文件按无效响应处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7.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8.对竞争性磋商文件作出的实质性变动是竞争性磋商文件的有效组成部分，由磋商小组及时以书面形式同时通知所有参加磋商的供应商。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9. 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10.磋商中，</w:t>
      </w:r>
      <w:r>
        <w:rPr>
          <w:rFonts w:hint="eastAsia" w:ascii="宋体" w:hAnsi="宋体" w:cs="宋体"/>
          <w:color w:val="auto"/>
          <w:spacing w:val="-6"/>
          <w:szCs w:val="21"/>
        </w:rPr>
        <w:t>磋商的任何一方不得透露与磋商有关的其他供应商的技术资料、价格和其他信息。</w:t>
      </w:r>
    </w:p>
    <w:p>
      <w:pPr>
        <w:widowControl/>
        <w:tabs>
          <w:tab w:val="left" w:pos="540"/>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11.采购代理机构对磋商过程和重要磋商内容进行记录，磋商双方在记录上签字确认。</w:t>
      </w:r>
    </w:p>
    <w:p>
      <w:pPr>
        <w:widowControl/>
        <w:tabs>
          <w:tab w:val="left" w:pos="540"/>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12.磋商过程中重新提交的响应文件，供应商可以在开启前补充、修改。</w:t>
      </w:r>
    </w:p>
    <w:p>
      <w:pPr>
        <w:widowControl/>
        <w:tabs>
          <w:tab w:val="left" w:pos="540"/>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13.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 对磋商过程提交的响应文件进行有效性、完整性和响应程度审查，通过审查的合格供应商不足3家的，除本章第13条的情形外，采购人或采购代理机构应当重新开展采购活动。</w:t>
      </w:r>
    </w:p>
    <w:p>
      <w:pPr>
        <w:widowControl/>
        <w:tabs>
          <w:tab w:val="left" w:pos="540"/>
        </w:tabs>
        <w:spacing w:line="400" w:lineRule="exact"/>
        <w:ind w:firstLine="422" w:firstLineChars="200"/>
        <w:jc w:val="left"/>
        <w:rPr>
          <w:rFonts w:hint="eastAsia" w:ascii="宋体" w:hAnsi="宋体" w:cs="宋体"/>
          <w:b/>
          <w:color w:val="auto"/>
          <w:szCs w:val="21"/>
        </w:rPr>
      </w:pPr>
      <w:r>
        <w:rPr>
          <w:rFonts w:hint="eastAsia" w:ascii="宋体" w:hAnsi="宋体" w:cs="宋体"/>
          <w:b/>
          <w:color w:val="auto"/>
          <w:szCs w:val="21"/>
        </w:rPr>
        <w:t>（四）最后报价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15.竞争性磋商文件能够详细列明采购标的的技术、服务要求的，磋商结束后，由磋商小组要求所有继续参加磋商的供应商在规定时间内密封提交最后报价，提交最后报价的供应商不得少于3家。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竞争性磋商文件不能详细列明采购标的的技术、服务要求，需经磋商由供应商提供最后设计方案或解决方案的，磋商结束后，由磋商小组按照少数服从多数的原则投票推荐3家以上供应商的设计方案或者解决方案，并要求其在规定时间内密封提交最后报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16. 最后报价是供应商响应文件的有效组成部分。符合《政府采购竞争性磋商采购方式管理暂行办法》（财库〔2014〕214号）第三条第四项“市场竞争不充分的科研项目，以及需要扶持的科技成果转化项目”和本章第13条情形的，提交最后报价的供应商可以为2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17.已经提交响应文件的供应商，在提交最后报价之前，可以根据磋商情况退出磋商，退出磋商的供应商的响应文件按无效响应处理。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18.供应商未在规定时间内提交最后报价的，视同退出磋商。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19.磋商小组收齐某一分标最后报价后统一开启，磋商小组对最后报价进行有效性、完整性和响应程度的审查。</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20.响应文件最后报价出现前后不一致的，按照本章第5.4条的规定修正。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21.修正后的报价出现下列情形的，按无效响应处理：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（1）供应商不确认的；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22.经供应商确认修正后的最后报价作为评审及签订合同的依据。</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23.最后报价结束后，磋商小组不得再与供应商进行任何形式的商谈。</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（五）比较与评价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24.评审方法：综合评分法。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25.经磋商确定最终采购需求和提交最后报价的供应商后，由磋商小组采用综合评分法对提交最后报价的供应商的响应文件和最后报价进行综合评分。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26.评审时，磋商小组各成员应当独立对每个有效响应的文件进行评价、打分，然后汇总每个供应商每项评分因素的得分。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（1）磋商小组按照竞争性磋商文件中规定的评审标准计算各供应商的报价得分。项目评审过程中，不得去掉最后报价中的最高报价和最低报价。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27.评审价为供应商的最后报价进行政策性扣除后的价格，评审价只是作为评审时使用。最终成交供应商的成交金额等于最后报价（如有修正，以确认修正后的最后报价为准）。</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二、评审标准</w:t>
      </w:r>
    </w:p>
    <w:p>
      <w:pPr>
        <w:spacing w:line="400" w:lineRule="exact"/>
        <w:ind w:firstLine="420" w:firstLineChars="200"/>
        <w:rPr>
          <w:rFonts w:hint="eastAsia" w:ascii="宋体" w:hAnsi="宋体" w:cs="宋体"/>
          <w:bCs/>
          <w:color w:val="auto"/>
        </w:rPr>
      </w:pPr>
      <w:r>
        <w:rPr>
          <w:rFonts w:hint="eastAsia" w:ascii="宋体" w:hAnsi="宋体" w:cs="宋体"/>
          <w:bCs/>
          <w:color w:val="auto"/>
        </w:rPr>
        <w:t>评审依据：磋商小组将以磋商响应文件为评审依据，对供应商的报价、技术、商务等方面内容按百分制打分。（计分方法按四舍五入取至百分位）</w:t>
      </w:r>
    </w:p>
    <w:p>
      <w:pPr>
        <w:pStyle w:val="30"/>
        <w:rPr>
          <w:rFonts w:hAnsi="宋体"/>
          <w:b/>
          <w:bCs/>
          <w:color w:val="auto"/>
          <w:sz w:val="21"/>
        </w:rPr>
      </w:pPr>
    </w:p>
    <w:p>
      <w:pPr>
        <w:pStyle w:val="30"/>
        <w:rPr>
          <w:rFonts w:hAnsi="宋体"/>
          <w:b/>
          <w:bCs/>
          <w:color w:val="auto"/>
          <w:sz w:val="21"/>
        </w:rPr>
      </w:pPr>
    </w:p>
    <w:tbl>
      <w:tblPr>
        <w:tblStyle w:val="45"/>
        <w:tblW w:w="831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973"/>
        <w:gridCol w:w="536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条款内容</w:t>
            </w: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分值构成</w:t>
            </w:r>
          </w:p>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（总分100分）</w:t>
            </w: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技术标</w:t>
            </w:r>
            <w:r>
              <w:rPr>
                <w:rFonts w:hint="eastAsia" w:ascii="宋体" w:hAnsi="宋体" w:eastAsia="宋体" w:cs="宋体"/>
                <w:b/>
                <w:bCs/>
                <w:color w:val="auto"/>
                <w:sz w:val="21"/>
                <w:szCs w:val="21"/>
              </w:rPr>
              <w:t>部分：</w:t>
            </w:r>
            <w:r>
              <w:rPr>
                <w:rFonts w:hint="eastAsia" w:ascii="宋体" w:hAnsi="宋体" w:eastAsia="宋体" w:cs="宋体"/>
                <w:b/>
                <w:bCs/>
                <w:color w:val="auto"/>
                <w:sz w:val="21"/>
                <w:szCs w:val="21"/>
                <w:lang w:val="en-US" w:eastAsia="zh-CN"/>
              </w:rPr>
              <w:t>65</w:t>
            </w:r>
            <w:r>
              <w:rPr>
                <w:rFonts w:hint="eastAsia" w:ascii="宋体" w:hAnsi="宋体" w:eastAsia="宋体" w:cs="宋体"/>
                <w:b/>
                <w:bCs/>
                <w:color w:val="auto"/>
                <w:sz w:val="21"/>
                <w:szCs w:val="21"/>
              </w:rPr>
              <w:t>分</w:t>
            </w:r>
          </w:p>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企业信誉</w:t>
            </w:r>
            <w:r>
              <w:rPr>
                <w:rFonts w:hint="eastAsia" w:ascii="宋体" w:hAnsi="宋体" w:eastAsia="宋体" w:cs="宋体"/>
                <w:b/>
                <w:bCs/>
                <w:color w:val="auto"/>
                <w:sz w:val="21"/>
                <w:szCs w:val="21"/>
                <w:lang w:eastAsia="zh-CN"/>
              </w:rPr>
              <w:t>部分：</w:t>
            </w:r>
            <w:r>
              <w:rPr>
                <w:rFonts w:hint="eastAsia" w:ascii="宋体" w:hAnsi="宋体" w:eastAsia="宋体" w:cs="宋体"/>
                <w:b/>
                <w:bCs/>
                <w:color w:val="auto"/>
                <w:sz w:val="21"/>
                <w:szCs w:val="21"/>
                <w:lang w:val="en-US" w:eastAsia="zh-CN"/>
              </w:rPr>
              <w:t>5分</w:t>
            </w:r>
          </w:p>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投标报价</w:t>
            </w:r>
            <w:r>
              <w:rPr>
                <w:rFonts w:hint="eastAsia" w:ascii="宋体" w:hAnsi="宋体" w:eastAsia="宋体" w:cs="宋体"/>
                <w:b/>
                <w:bCs/>
                <w:color w:val="auto"/>
                <w:sz w:val="21"/>
                <w:szCs w:val="21"/>
                <w:lang w:eastAsia="zh-CN"/>
              </w:rPr>
              <w:t>部分</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rPr>
              <w:t xml:space="preserve"> 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734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详细评审标准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投标报价部分（满分</w:t>
            </w:r>
            <w:r>
              <w:rPr>
                <w:rFonts w:hint="eastAsia" w:ascii="宋体" w:hAnsi="宋体" w:eastAsia="宋体" w:cs="宋体"/>
                <w:color w:val="auto"/>
                <w:sz w:val="21"/>
                <w:szCs w:val="21"/>
                <w:lang w:val="en-US" w:eastAsia="zh-CN"/>
              </w:rPr>
              <w:t>30分</w:t>
            </w:r>
            <w:r>
              <w:rPr>
                <w:rFonts w:hint="eastAsia" w:ascii="宋体" w:hAnsi="宋体" w:eastAsia="宋体" w:cs="宋体"/>
                <w:color w:val="auto"/>
                <w:sz w:val="21"/>
                <w:szCs w:val="21"/>
                <w:lang w:eastAsia="zh-CN"/>
              </w:rPr>
              <w:t>）</w:t>
            </w:r>
          </w:p>
        </w:tc>
        <w:tc>
          <w:tcPr>
            <w:tcW w:w="5368" w:type="dxa"/>
            <w:noWrap w:val="0"/>
            <w:vAlign w:val="center"/>
          </w:tcPr>
          <w:p>
            <w:pPr>
              <w:keepNext w:val="0"/>
              <w:keepLines w:val="0"/>
              <w:pageBreakBefore w:val="0"/>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评标基准价的确定方法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采用低价优先法计算，即满足磋商文件要求且最后报价最低的供应商的价格为磋商基准价，其价格分为满分。</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exact"/>
              <w:ind w:firstLine="1890" w:firstLineChars="9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磋商基准价</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rPr>
              <mc:AlternateContent>
                <mc:Choice Requires="wps">
                  <w:drawing>
                    <wp:anchor distT="0" distB="0" distL="114300" distR="114300" simplePos="0" relativeHeight="251661312" behindDoc="0" locked="0" layoutInCell="1" allowOverlap="1">
                      <wp:simplePos x="0" y="0"/>
                      <wp:positionH relativeFrom="column">
                        <wp:posOffset>1082675</wp:posOffset>
                      </wp:positionH>
                      <wp:positionV relativeFrom="paragraph">
                        <wp:posOffset>111125</wp:posOffset>
                      </wp:positionV>
                      <wp:extent cx="1047750" cy="9525"/>
                      <wp:effectExtent l="0" t="0" r="0" b="0"/>
                      <wp:wrapNone/>
                      <wp:docPr id="2" name="直接连接符 2"/>
                      <wp:cNvGraphicFramePr/>
                      <a:graphic xmlns:a="http://schemas.openxmlformats.org/drawingml/2006/main">
                        <a:graphicData uri="http://schemas.microsoft.com/office/word/2010/wordprocessingShape">
                          <wps:wsp>
                            <wps:cNvCnPr/>
                            <wps:spPr>
                              <a:xfrm>
                                <a:off x="3886835" y="8417560"/>
                                <a:ext cx="1047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5.25pt;margin-top:8.75pt;height:0.75pt;width:82.5pt;z-index:251661312;mso-width-relative:page;mso-height-relative:page;" filled="f" stroked="t" coordsize="21600,21600" o:gfxdata="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MEpn9QAAAAJAQAADwAAAAAAAAABACAAAAAiAAAAZHJzL2Rvd25yZXYu&#10;eG1sUEsBAhQAFAAAAAgAh07iQBWl0Jf/AQAA4gMAAA4AAAAAAAAAAQAgAAAAIwEAAGRycy9lMm9E&#10;b2MueG1sUEsFBgAAAAAGAAYAWQEAAJQFAAAAAA==&#10;">
                      <v:fill on="f" focussize="0,0"/>
                      <v:stroke color="#000000 [3200]" joinstyle="round"/>
                      <v:imagedata o:title=""/>
                      <o:lock v:ext="edit" aspectratio="f"/>
                    </v:line>
                  </w:pict>
                </mc:Fallback>
              </mc:AlternateContent>
            </w:r>
            <w:r>
              <w:rPr>
                <w:rFonts w:hint="eastAsia" w:ascii="宋体" w:hAnsi="宋体" w:eastAsia="宋体" w:cs="宋体"/>
                <w:b w:val="0"/>
                <w:bCs w:val="0"/>
                <w:color w:val="auto"/>
                <w:sz w:val="21"/>
                <w:szCs w:val="21"/>
              </w:rPr>
              <w:t>磋商</w:t>
            </w:r>
            <w:r>
              <w:rPr>
                <w:rFonts w:hint="eastAsia" w:ascii="宋体" w:hAnsi="宋体" w:eastAsia="宋体" w:cs="宋体"/>
                <w:b w:val="0"/>
                <w:bCs w:val="0"/>
                <w:color w:val="auto"/>
                <w:sz w:val="21"/>
                <w:szCs w:val="21"/>
                <w:highlight w:val="none"/>
              </w:rPr>
              <w:t xml:space="preserve">报价得分＝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×30</w:t>
            </w:r>
            <w:r>
              <w:rPr>
                <w:rFonts w:hint="eastAsia" w:ascii="宋体" w:hAnsi="宋体" w:eastAsia="宋体" w:cs="宋体"/>
                <w:b w:val="0"/>
                <w:bCs w:val="0"/>
                <w:color w:val="auto"/>
                <w:sz w:val="21"/>
                <w:szCs w:val="21"/>
                <w:highlight w:val="none"/>
                <w:lang w:eastAsia="zh-CN"/>
              </w:rPr>
              <w:t>分</w:t>
            </w:r>
            <w:r>
              <w:rPr>
                <w:rFonts w:hint="eastAsia" w:ascii="宋体" w:hAnsi="宋体" w:eastAsia="宋体" w:cs="宋体"/>
                <w:b w:val="0"/>
                <w:bCs w:val="0"/>
                <w:color w:val="auto"/>
                <w:sz w:val="21"/>
                <w:szCs w:val="21"/>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360" w:lineRule="exact"/>
              <w:ind w:firstLine="1890" w:firstLineChars="9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最后磋商报价</w:t>
            </w:r>
          </w:p>
          <w:p>
            <w:pPr>
              <w:pStyle w:val="30"/>
              <w:shd w:val="clear"/>
              <w:rPr>
                <w:rFonts w:hint="eastAsia" w:ascii="宋体" w:hAnsi="宋体" w:eastAsia="宋体" w:cs="宋体"/>
                <w:color w:va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eastAsia="zh-CN"/>
              </w:rPr>
              <w:t>技术标部分</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eastAsia="zh-CN"/>
              </w:rPr>
              <w:t>（满分</w:t>
            </w:r>
            <w:r>
              <w:rPr>
                <w:rFonts w:hint="eastAsia" w:ascii="宋体" w:hAnsi="宋体" w:eastAsia="宋体" w:cs="宋体"/>
                <w:color w:val="auto"/>
                <w:sz w:val="21"/>
                <w:szCs w:val="21"/>
                <w:lang w:val="en-US" w:eastAsia="zh-CN"/>
              </w:rPr>
              <w:t>65分）</w:t>
            </w: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lang w:eastAsia="zh-CN"/>
              </w:rPr>
            </w:pPr>
            <w:r>
              <w:rPr>
                <w:rFonts w:hint="eastAsia" w:ascii="宋体" w:hAnsi="宋体" w:eastAsia="宋体" w:cs="宋体"/>
                <w:b/>
                <w:bCs/>
                <w:color w:val="auto"/>
                <w:lang w:val="en-US" w:eastAsia="zh-CN"/>
              </w:rPr>
              <w:t>1、</w:t>
            </w:r>
            <w:r>
              <w:rPr>
                <w:rFonts w:hint="eastAsia" w:ascii="宋体" w:hAnsi="宋体" w:eastAsia="宋体" w:cs="宋体"/>
                <w:b/>
                <w:bCs/>
                <w:color w:val="auto"/>
                <w:lang w:eastAsia="zh-CN"/>
              </w:rPr>
              <w:t>项目管理机构（满分</w:t>
            </w:r>
            <w:r>
              <w:rPr>
                <w:rFonts w:hint="eastAsia" w:ascii="宋体" w:hAnsi="宋体" w:eastAsia="宋体" w:cs="宋体"/>
                <w:b/>
                <w:bCs/>
                <w:color w:val="auto"/>
                <w:lang w:val="en-US" w:eastAsia="zh-CN"/>
              </w:rPr>
              <w:t>15分</w:t>
            </w:r>
            <w:r>
              <w:rPr>
                <w:rFonts w:hint="eastAsia" w:ascii="宋体" w:hAnsi="宋体" w:eastAsia="宋体" w:cs="宋体"/>
                <w:b/>
                <w:bCs/>
                <w:color w:val="auto"/>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lang w:eastAsia="zh-CN"/>
              </w:rPr>
              <w:t>项目经理</w:t>
            </w:r>
            <w:r>
              <w:rPr>
                <w:rFonts w:hint="eastAsia" w:ascii="宋体" w:hAnsi="宋体" w:cs="宋体"/>
                <w:color w:val="auto"/>
                <w:lang w:val="en-US" w:eastAsia="zh-CN"/>
              </w:rPr>
              <w:t>职称：具备中级职称</w:t>
            </w:r>
            <w:r>
              <w:rPr>
                <w:rFonts w:hint="eastAsia" w:ascii="宋体" w:hAnsi="宋体" w:eastAsia="宋体" w:cs="宋体"/>
                <w:color w:val="auto"/>
                <w:lang w:eastAsia="zh-CN"/>
              </w:rPr>
              <w:t>的</w:t>
            </w:r>
            <w:r>
              <w:rPr>
                <w:rFonts w:hint="eastAsia" w:ascii="宋体" w:hAnsi="宋体" w:cs="宋体"/>
                <w:color w:val="auto"/>
                <w:lang w:val="en-US" w:eastAsia="zh-CN"/>
              </w:rPr>
              <w:t>得</w:t>
            </w:r>
            <w:r>
              <w:rPr>
                <w:rFonts w:hint="eastAsia" w:ascii="宋体" w:hAnsi="宋体" w:eastAsia="宋体" w:cs="宋体"/>
                <w:color w:val="auto"/>
                <w:lang w:val="en-US" w:eastAsia="zh-CN"/>
              </w:rPr>
              <w:t>3</w:t>
            </w:r>
            <w:r>
              <w:rPr>
                <w:rFonts w:hint="eastAsia" w:ascii="宋体" w:hAnsi="宋体" w:eastAsia="宋体" w:cs="宋体"/>
                <w:color w:val="auto"/>
                <w:lang w:eastAsia="zh-CN"/>
              </w:rPr>
              <w:t>分。</w:t>
            </w:r>
          </w:p>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项目经理学历：</w:t>
            </w:r>
            <w:r>
              <w:rPr>
                <w:rFonts w:hint="eastAsia" w:ascii="宋体" w:hAnsi="宋体" w:eastAsia="宋体" w:cs="宋体"/>
                <w:color w:val="auto"/>
              </w:rPr>
              <w:t>具有大专及以上学历的</w:t>
            </w:r>
            <w:r>
              <w:rPr>
                <w:rFonts w:hint="eastAsia" w:ascii="宋体" w:hAnsi="宋体" w:eastAsia="宋体" w:cs="宋体"/>
                <w:color w:val="auto"/>
                <w:lang w:eastAsia="zh-CN"/>
              </w:rPr>
              <w:t>得</w:t>
            </w:r>
            <w:r>
              <w:rPr>
                <w:rFonts w:hint="eastAsia" w:ascii="宋体" w:hAnsi="宋体" w:eastAsia="宋体" w:cs="宋体"/>
                <w:color w:val="auto"/>
                <w:lang w:val="en-US" w:eastAsia="zh-CN"/>
              </w:rPr>
              <w:t>2</w:t>
            </w:r>
            <w:r>
              <w:rPr>
                <w:rFonts w:hint="eastAsia" w:ascii="宋体" w:hAnsi="宋体" w:eastAsia="宋体" w:cs="宋体"/>
                <w:color w:val="auto"/>
                <w:lang w:eastAsia="zh-CN"/>
              </w:rPr>
              <w:t>分。</w:t>
            </w:r>
          </w:p>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eastAsia="宋体" w:cs="宋体"/>
                <w:b/>
                <w:bCs/>
                <w:color w:val="auto"/>
                <w:lang w:val="en-US" w:eastAsia="zh-CN"/>
              </w:rPr>
              <w:t>其他主要人员（此项10分）</w:t>
            </w:r>
          </w:p>
          <w:p>
            <w:pPr>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优（</w:t>
            </w:r>
            <w:r>
              <w:rPr>
                <w:rFonts w:hint="eastAsia" w:ascii="宋体" w:hAnsi="宋体" w:eastAsia="宋体" w:cs="宋体"/>
                <w:color w:val="auto"/>
                <w:lang w:val="en-US" w:eastAsia="zh-CN"/>
              </w:rPr>
              <w:t>10</w:t>
            </w:r>
            <w:r>
              <w:rPr>
                <w:rFonts w:hint="eastAsia" w:ascii="宋体" w:hAnsi="宋体" w:eastAsia="宋体" w:cs="宋体"/>
                <w:color w:val="auto"/>
                <w:lang w:eastAsia="zh-CN"/>
              </w:rPr>
              <w:t>分）：技术负责人有中级职称；持证安全员满足项目要求，其他项目班子人员人数达</w:t>
            </w:r>
            <w:r>
              <w:rPr>
                <w:rFonts w:hint="eastAsia" w:ascii="宋体" w:hAnsi="宋体" w:eastAsia="宋体" w:cs="宋体"/>
                <w:color w:val="auto"/>
                <w:lang w:val="en-US" w:eastAsia="zh-CN"/>
              </w:rPr>
              <w:t>6</w:t>
            </w:r>
            <w:r>
              <w:rPr>
                <w:rFonts w:hint="eastAsia" w:ascii="宋体" w:hAnsi="宋体" w:eastAsia="宋体" w:cs="宋体"/>
                <w:color w:val="auto"/>
                <w:lang w:eastAsia="zh-CN"/>
              </w:rPr>
              <w:t>人（含</w:t>
            </w:r>
            <w:r>
              <w:rPr>
                <w:rFonts w:hint="eastAsia" w:ascii="宋体" w:hAnsi="宋体" w:eastAsia="宋体" w:cs="宋体"/>
                <w:color w:val="auto"/>
                <w:lang w:val="en-US" w:eastAsia="zh-CN"/>
              </w:rPr>
              <w:t>6</w:t>
            </w:r>
            <w:r>
              <w:rPr>
                <w:rFonts w:hint="eastAsia" w:ascii="宋体" w:hAnsi="宋体" w:eastAsia="宋体" w:cs="宋体"/>
                <w:color w:val="auto"/>
                <w:lang w:eastAsia="zh-CN"/>
              </w:rPr>
              <w:t>人）以上，都有岗位证书。</w:t>
            </w:r>
          </w:p>
          <w:p>
            <w:pPr>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良（</w:t>
            </w:r>
            <w:r>
              <w:rPr>
                <w:rFonts w:hint="eastAsia" w:ascii="宋体" w:hAnsi="宋体" w:eastAsia="宋体" w:cs="宋体"/>
                <w:color w:val="auto"/>
                <w:lang w:val="en-US" w:eastAsia="zh-CN"/>
              </w:rPr>
              <w:t>6分</w:t>
            </w:r>
            <w:r>
              <w:rPr>
                <w:rFonts w:hint="eastAsia" w:ascii="宋体" w:hAnsi="宋体" w:eastAsia="宋体" w:cs="宋体"/>
                <w:color w:val="auto"/>
                <w:lang w:eastAsia="zh-CN"/>
              </w:rPr>
              <w:t>）：技术负责人有中级职称；持证安全员满足项目要求，其他项目班子人员人数达</w:t>
            </w:r>
            <w:r>
              <w:rPr>
                <w:rFonts w:hint="eastAsia" w:ascii="宋体" w:hAnsi="宋体" w:eastAsia="宋体" w:cs="宋体"/>
                <w:color w:val="auto"/>
                <w:lang w:val="en-US" w:eastAsia="zh-CN"/>
              </w:rPr>
              <w:t>5</w:t>
            </w:r>
            <w:r>
              <w:rPr>
                <w:rFonts w:hint="eastAsia" w:ascii="宋体" w:hAnsi="宋体" w:eastAsia="宋体" w:cs="宋体"/>
                <w:color w:val="auto"/>
                <w:lang w:eastAsia="zh-CN"/>
              </w:rPr>
              <w:t>人（含</w:t>
            </w:r>
            <w:r>
              <w:rPr>
                <w:rFonts w:hint="eastAsia" w:ascii="宋体" w:hAnsi="宋体" w:eastAsia="宋体" w:cs="宋体"/>
                <w:color w:val="auto"/>
                <w:lang w:val="en-US" w:eastAsia="zh-CN"/>
              </w:rPr>
              <w:t>5</w:t>
            </w:r>
            <w:r>
              <w:rPr>
                <w:rFonts w:hint="eastAsia" w:ascii="宋体" w:hAnsi="宋体" w:eastAsia="宋体" w:cs="宋体"/>
                <w:color w:val="auto"/>
                <w:lang w:eastAsia="zh-CN"/>
              </w:rPr>
              <w:t>人）以下，都有岗位证书。</w:t>
            </w:r>
          </w:p>
          <w:p>
            <w:pPr>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差</w:t>
            </w:r>
            <w:r>
              <w:rPr>
                <w:rFonts w:hint="eastAsia" w:ascii="宋体" w:hAnsi="宋体" w:eastAsia="宋体" w:cs="宋体"/>
                <w:color w:val="auto"/>
                <w:lang w:val="en-US" w:eastAsia="zh-CN"/>
              </w:rPr>
              <w:t>(3</w:t>
            </w:r>
            <w:r>
              <w:rPr>
                <w:rFonts w:hint="eastAsia" w:ascii="宋体" w:hAnsi="宋体" w:eastAsia="宋体" w:cs="宋体"/>
                <w:color w:val="auto"/>
                <w:lang w:eastAsia="zh-CN"/>
              </w:rPr>
              <w:t>分）：持证安全员满足项目要求，其他项目班子人员满足招标文件要求。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主要施工方法</w:t>
            </w:r>
            <w:r>
              <w:rPr>
                <w:rFonts w:hint="eastAsia" w:ascii="宋体" w:hAnsi="宋体" w:eastAsia="宋体" w:cs="宋体"/>
                <w:b/>
                <w:bCs/>
                <w:color w:val="auto"/>
                <w:sz w:val="21"/>
                <w:szCs w:val="21"/>
                <w:lang w:eastAsia="zh-CN"/>
              </w:rPr>
              <w:t>（满分</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优（</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各主要分部施工方法针对性强，施工技术方案详尽周密，工艺先进、方法科学、可行，能很好的指导具体施工并确保安全。</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良（</w:t>
            </w:r>
            <w:r>
              <w:rPr>
                <w:rFonts w:hint="eastAsia" w:ascii="宋体" w:hAnsi="宋体" w:eastAsia="宋体" w:cs="宋体"/>
                <w:b/>
                <w:bCs/>
                <w:color w:val="auto"/>
                <w:sz w:val="21"/>
                <w:szCs w:val="21"/>
                <w:lang w:val="en-US" w:eastAsia="zh-CN"/>
              </w:rPr>
              <w:t>3分</w:t>
            </w:r>
            <w:r>
              <w:rPr>
                <w:rFonts w:hint="eastAsia" w:ascii="宋体" w:hAnsi="宋体" w:eastAsia="宋体" w:cs="宋体"/>
                <w:b/>
                <w:bCs/>
                <w:color w:val="auto"/>
                <w:sz w:val="21"/>
                <w:szCs w:val="21"/>
              </w:rPr>
              <w:t>）：</w:t>
            </w:r>
            <w:r>
              <w:rPr>
                <w:rFonts w:hint="eastAsia" w:ascii="宋体" w:hAnsi="宋体" w:eastAsia="宋体" w:cs="宋体"/>
                <w:color w:val="auto"/>
                <w:sz w:val="21"/>
                <w:szCs w:val="21"/>
              </w:rPr>
              <w:t>各主要分部施工方法符合项目实际，施工技术方案齐全，工艺成熟、方法合理、可行，能指导具体施工并确保安全。</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差</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各主要分部施工方法基本符合项目实际，施工技术方案基本齐全，方法基本合理、基本可行，基本能指导具体施工并确保安全。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拟投入的主要物资计划</w:t>
            </w:r>
            <w:r>
              <w:rPr>
                <w:rFonts w:hint="eastAsia" w:ascii="宋体" w:hAnsi="宋体" w:eastAsia="宋体" w:cs="宋体"/>
                <w:b/>
                <w:bCs/>
                <w:color w:val="auto"/>
                <w:sz w:val="21"/>
                <w:szCs w:val="21"/>
                <w:lang w:eastAsia="zh-CN"/>
              </w:rPr>
              <w:t>（满分</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优（</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投入的施工材料有详细的组织计划且计划周密，投入计划与进度计划呼应，较好满足施工需要，调配投入计划合理、准确。</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良（</w:t>
            </w:r>
            <w:r>
              <w:rPr>
                <w:rFonts w:hint="eastAsia" w:ascii="宋体" w:hAnsi="宋体" w:eastAsia="宋体" w:cs="宋体"/>
                <w:b/>
                <w:bCs/>
                <w:color w:val="auto"/>
                <w:sz w:val="21"/>
                <w:szCs w:val="21"/>
                <w:lang w:val="en-US" w:eastAsia="zh-CN"/>
              </w:rPr>
              <w:t>3分</w:t>
            </w:r>
            <w:r>
              <w:rPr>
                <w:rFonts w:hint="eastAsia" w:ascii="宋体" w:hAnsi="宋体" w:eastAsia="宋体" w:cs="宋体"/>
                <w:b/>
                <w:bCs/>
                <w:color w:val="auto"/>
                <w:sz w:val="21"/>
                <w:szCs w:val="21"/>
              </w:rPr>
              <w:t>）：</w:t>
            </w:r>
            <w:r>
              <w:rPr>
                <w:rFonts w:hint="eastAsia" w:ascii="宋体" w:hAnsi="宋体" w:eastAsia="宋体" w:cs="宋体"/>
                <w:color w:val="auto"/>
                <w:sz w:val="21"/>
                <w:szCs w:val="21"/>
              </w:rPr>
              <w:t xml:space="preserve">投入的施工材料有详细的组织计划，投入计划与进度计划呼应，基本满足施工需要，调配投入计划基本合理、准确。  </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差</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投入的施工材料有详细的组织计划，投入计划与进度计划呼应，基本满足施工需要，调配投入计划基本合理。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拟投入的主要施工机械、设备计划</w:t>
            </w:r>
            <w:r>
              <w:rPr>
                <w:rFonts w:hint="eastAsia" w:ascii="宋体" w:hAnsi="宋体" w:eastAsia="宋体" w:cs="宋体"/>
                <w:b/>
                <w:bCs/>
                <w:color w:val="auto"/>
                <w:sz w:val="21"/>
                <w:szCs w:val="21"/>
                <w:lang w:eastAsia="zh-CN"/>
              </w:rPr>
              <w:t>（满分</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优（5分）：</w:t>
            </w:r>
            <w:r>
              <w:rPr>
                <w:rFonts w:hint="eastAsia" w:ascii="宋体" w:hAnsi="宋体" w:eastAsia="宋体" w:cs="宋体"/>
                <w:color w:val="auto"/>
                <w:sz w:val="21"/>
                <w:szCs w:val="21"/>
              </w:rPr>
              <w:t>投入的施工机械、设备、机具有详细的组织计划且计划周密，设备数量、选型配置、进场时间安排合理，满足施工需要。</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良（</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投入的施工机械、设备、机具有详细的组织计划，设备数量、选型配置、进场投入计划与进度计划呼应，满足施工需要。</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差</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投入的施工机械、设备、机具有组织计划，设备数量、选型配置、进场投入计划与进度计划呼应，基本满足施工需要。</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劳动力安排计划</w:t>
            </w:r>
            <w:r>
              <w:rPr>
                <w:rFonts w:hint="eastAsia" w:ascii="宋体" w:hAnsi="宋体" w:eastAsia="宋体" w:cs="宋体"/>
                <w:b/>
                <w:bCs/>
                <w:color w:val="auto"/>
                <w:sz w:val="21"/>
                <w:szCs w:val="21"/>
                <w:lang w:eastAsia="zh-CN"/>
              </w:rPr>
              <w:t>（满分</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优（5分）：</w:t>
            </w:r>
            <w:r>
              <w:rPr>
                <w:rFonts w:hint="eastAsia" w:ascii="宋体" w:hAnsi="宋体" w:eastAsia="宋体" w:cs="宋体"/>
                <w:color w:val="auto"/>
                <w:sz w:val="21"/>
                <w:szCs w:val="21"/>
              </w:rPr>
              <w:t>各主要施工工序有详细周密的劳动力安排计划，各工种劳动力安排计划齐全，劳动力投入与进度计划呼应合理，满足施工需要。</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良（</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各主要施工工序有详细的劳动力安排计划，有各工种劳动力安排计划，劳动力投入合理，满足施工需要。</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差</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各主要施工工序应有劳动力安排计划，有各工种劳动力安排计划，劳动力投入基本合理，基本满足施工需要。</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确保工程质量的技术组织措施</w:t>
            </w:r>
            <w:r>
              <w:rPr>
                <w:rFonts w:hint="eastAsia" w:ascii="宋体" w:hAnsi="宋体" w:eastAsia="宋体" w:cs="宋体"/>
                <w:b/>
                <w:bCs/>
                <w:color w:val="auto"/>
                <w:sz w:val="21"/>
                <w:szCs w:val="21"/>
                <w:lang w:eastAsia="zh-CN"/>
              </w:rPr>
              <w:t>（满分</w:t>
            </w:r>
            <w:r>
              <w:rPr>
                <w:rFonts w:hint="eastAsia" w:ascii="宋体" w:hAnsi="宋体" w:eastAsia="宋体" w:cs="宋体"/>
                <w:b/>
                <w:bCs/>
                <w:color w:val="auto"/>
                <w:sz w:val="21"/>
                <w:szCs w:val="21"/>
                <w:lang w:val="en-US" w:eastAsia="zh-CN"/>
              </w:rPr>
              <w:t>10分</w:t>
            </w:r>
            <w:r>
              <w:rPr>
                <w:rFonts w:hint="eastAsia" w:ascii="宋体" w:hAnsi="宋体" w:eastAsia="宋体" w:cs="宋体"/>
                <w:b/>
                <w:bCs/>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优（</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有专门的质量技术管理班子和制度，且人员配备合理，制度健全。主要工序有质量技术保证措施和手段，且先进、可行、具体，高于招标文件的质量要求及施工验收规范要求，达到承诺的质量标准。</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良（</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有专门的质量技术管理班子和制度，且人员配备合理，制度健全。主要工序有质量技术保证措施和手段，自控体系完整，能有效保证技术质量，达到承诺的质量标准。</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差</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质量技术管理班子人员配备基本合理，制度基本健全。主要工序有质量技术保证措施和手段，能有效保证技术质量，满足招标文件的质量要求。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确保安全生产的技术组织措施</w:t>
            </w:r>
            <w:r>
              <w:rPr>
                <w:rFonts w:hint="eastAsia" w:ascii="宋体" w:hAnsi="宋体" w:eastAsia="宋体" w:cs="宋体"/>
                <w:b/>
                <w:bCs/>
                <w:color w:val="auto"/>
                <w:sz w:val="21"/>
                <w:szCs w:val="21"/>
                <w:lang w:eastAsia="zh-CN"/>
              </w:rPr>
              <w:t>（满分</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优（</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安全人员配备合理；有健全的安全管理制度，各道工序安全技术措施针对性强，符合实际且高于国家有关安全技术标准要求。现场防火、应急救援、社会治安安全措施得力。</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良（</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安全人员配备合理；有健全的安全管理制度，各道工序安全技术措施符合实际且满足有关安全技术标准要求。现场防火、应急救援、社会治安安全措施合理。</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差</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安全人员配备基本合理，安全管理制度基本健全，各道工序安全技术措施基本符合实际，基本满足有关安全技术标准要求。现场防火、应急救援、社会治安安全措施基本合理</w:t>
            </w:r>
            <w:r>
              <w:rPr>
                <w:rFonts w:hint="eastAsia" w:ascii="宋体" w:hAnsi="宋体" w:eastAsia="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确保工期的技术组织措施</w:t>
            </w:r>
            <w:r>
              <w:rPr>
                <w:rFonts w:hint="eastAsia" w:ascii="宋体" w:hAnsi="宋体" w:eastAsia="宋体" w:cs="宋体"/>
                <w:b/>
                <w:bCs/>
                <w:color w:val="auto"/>
                <w:sz w:val="21"/>
                <w:szCs w:val="21"/>
                <w:lang w:eastAsia="zh-CN"/>
              </w:rPr>
              <w:t>（满分</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优（</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有保证工期的具体措施且措施得力。各项计划图表编制详尽周密，安排科学合理，符合本项目施工实际要求。</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良（</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有保证工期的具体措施且措施得当。各项计划图表编制完善，安排较合理，符合本项目施工实际要求。</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差</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有保证工期的具体措施，措施基本得当。各项计划图表编制基本齐全，安排基本合理，基本符合本项目施工实际要求。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确保文明施工的技术组织措施</w:t>
            </w:r>
            <w:r>
              <w:rPr>
                <w:rFonts w:hint="eastAsia" w:ascii="宋体" w:hAnsi="宋体" w:eastAsia="宋体" w:cs="宋体"/>
                <w:b/>
                <w:bCs/>
                <w:color w:val="auto"/>
                <w:sz w:val="21"/>
                <w:szCs w:val="21"/>
                <w:lang w:eastAsia="zh-CN"/>
              </w:rPr>
              <w:t>（满分</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优（</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现场文明施工、环境保护措施和内容达到且高于《建筑施工安全生产检查标准》、《广西壮族自治区建筑工程文明施工导则》要求；有具体实现现场文明施工目标的承诺，而且各项措施科学、具体、得力的。</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良（</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现场文明施工、环境保护措施和内容达到《建筑施工安全生产检查标准》、《广西壮族自治区建筑工程文明施工导则》；有具体实现现场文明施工目标的承诺，而且各项措施周全、具体、有效的。</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差</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现场文明施工、环境保护措施和内容基本达到《建筑施工安全生产检查标准》、《广西壮族自治区建筑工程文明施工导则》；有具体实现现场文明施工目标的承诺，而且各项措施基本全面、具体、有效的。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工程施工的重点和难点及保证措施</w:t>
            </w:r>
            <w:r>
              <w:rPr>
                <w:rFonts w:hint="eastAsia" w:ascii="宋体" w:hAnsi="宋体" w:eastAsia="宋体" w:cs="宋体"/>
                <w:b/>
                <w:bCs/>
                <w:color w:val="auto"/>
                <w:sz w:val="21"/>
                <w:szCs w:val="21"/>
                <w:lang w:eastAsia="zh-CN"/>
              </w:rPr>
              <w:t>（满分</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优（</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 xml:space="preserve">对项目关键技术、工艺有深入的表述。对重点、难点有先进合理的施工措施并有可行的安全措施，解决方案完整、经济、安全、切实可行，措施得力。   </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良（</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 xml:space="preserve">对项目关键技术、工艺有深入的表述，对重点、难点有合理的建议，解决方案经济、安全、基本可行。   </w:t>
            </w:r>
          </w:p>
          <w:p>
            <w:pPr>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差</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分）：</w:t>
            </w:r>
            <w:r>
              <w:rPr>
                <w:rFonts w:hint="eastAsia" w:ascii="宋体" w:hAnsi="宋体" w:eastAsia="宋体" w:cs="宋体"/>
                <w:color w:val="auto"/>
                <w:sz w:val="21"/>
                <w:szCs w:val="21"/>
              </w:rPr>
              <w:t xml:space="preserve">对项目关键技术有一定了解，对重点、难点有建议，解决方案基本可行。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rPr>
              <w:t>企业信誉</w:t>
            </w:r>
            <w:r>
              <w:rPr>
                <w:rFonts w:hint="eastAsia" w:ascii="宋体" w:hAnsi="宋体" w:eastAsia="宋体" w:cs="宋体"/>
                <w:b w:val="0"/>
                <w:bCs w:val="0"/>
                <w:color w:val="auto"/>
                <w:sz w:val="21"/>
                <w:szCs w:val="21"/>
                <w:lang w:eastAsia="zh-CN"/>
              </w:rPr>
              <w:t>部分（满分</w:t>
            </w:r>
            <w:r>
              <w:rPr>
                <w:rFonts w:hint="eastAsia" w:ascii="宋体" w:hAnsi="宋体" w:eastAsia="宋体" w:cs="宋体"/>
                <w:b w:val="0"/>
                <w:bCs w:val="0"/>
                <w:color w:val="auto"/>
                <w:sz w:val="21"/>
                <w:szCs w:val="21"/>
                <w:lang w:val="en-US" w:eastAsia="zh-CN"/>
              </w:rPr>
              <w:t>5分</w:t>
            </w:r>
            <w:r>
              <w:rPr>
                <w:rFonts w:hint="eastAsia" w:ascii="宋体" w:hAnsi="宋体" w:eastAsia="宋体" w:cs="宋体"/>
                <w:b w:val="0"/>
                <w:bCs w:val="0"/>
                <w:color w:val="auto"/>
                <w:sz w:val="21"/>
                <w:szCs w:val="21"/>
                <w:lang w:eastAsia="zh-CN"/>
              </w:rPr>
              <w:t>）</w:t>
            </w: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从20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eastAsia="zh-CN"/>
              </w:rPr>
              <w:t>年1月1日至投标截止时间止完成过</w:t>
            </w:r>
            <w:r>
              <w:rPr>
                <w:rFonts w:hint="eastAsia" w:ascii="宋体" w:hAnsi="宋体" w:eastAsia="宋体" w:cs="宋体"/>
                <w:color w:val="auto"/>
                <w:sz w:val="21"/>
                <w:szCs w:val="21"/>
                <w:lang w:val="en-US" w:eastAsia="zh-CN"/>
              </w:rPr>
              <w:t>类</w:t>
            </w:r>
            <w:r>
              <w:rPr>
                <w:rFonts w:hint="eastAsia" w:ascii="宋体" w:hAnsi="宋体" w:cs="宋体"/>
                <w:color w:val="auto"/>
                <w:sz w:val="21"/>
                <w:szCs w:val="21"/>
                <w:lang w:val="en-US" w:eastAsia="zh-CN"/>
              </w:rPr>
              <w:t>似</w:t>
            </w:r>
            <w:r>
              <w:rPr>
                <w:rFonts w:hint="eastAsia" w:ascii="宋体" w:hAnsi="宋体" w:eastAsia="宋体" w:cs="宋体"/>
                <w:color w:val="auto"/>
                <w:sz w:val="21"/>
                <w:szCs w:val="21"/>
                <w:lang w:val="en-US" w:eastAsia="zh-CN"/>
              </w:rPr>
              <w:t>业绩</w:t>
            </w:r>
            <w:r>
              <w:rPr>
                <w:rFonts w:hint="eastAsia" w:ascii="宋体" w:hAnsi="宋体" w:eastAsia="宋体" w:cs="宋体"/>
                <w:color w:val="auto"/>
                <w:sz w:val="21"/>
                <w:szCs w:val="21"/>
                <w:lang w:eastAsia="zh-CN"/>
              </w:rPr>
              <w:t>的，每提供1个有效业绩得</w:t>
            </w:r>
            <w:r>
              <w:rPr>
                <w:rFonts w:hint="eastAsia" w:ascii="宋体" w:hAnsi="宋体" w:cs="宋体"/>
                <w:color w:val="auto"/>
                <w:sz w:val="21"/>
                <w:szCs w:val="21"/>
                <w:lang w:val="en-US" w:eastAsia="zh-CN"/>
              </w:rPr>
              <w:t>2.5</w:t>
            </w:r>
            <w:r>
              <w:rPr>
                <w:rFonts w:hint="eastAsia" w:ascii="宋体" w:hAnsi="宋体" w:eastAsia="宋体" w:cs="宋体"/>
                <w:color w:val="auto"/>
                <w:sz w:val="21"/>
                <w:szCs w:val="21"/>
                <w:lang w:eastAsia="zh-CN"/>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满分5分</w:t>
            </w:r>
            <w:r>
              <w:rPr>
                <w:rFonts w:hint="eastAsia" w:ascii="宋体" w:hAnsi="宋体" w:eastAsia="宋体" w:cs="宋体"/>
                <w:color w:val="auto"/>
                <w:sz w:val="21"/>
                <w:szCs w:val="21"/>
                <w:lang w:eastAsia="zh-CN"/>
              </w:rPr>
              <w:t>。必须提供相关证明材料。</w:t>
            </w:r>
          </w:p>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证明材料：合同（协议）或中标通知书复印件。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p>
        </w:tc>
        <w:tc>
          <w:tcPr>
            <w:tcW w:w="1973"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lang w:eastAsia="zh-CN"/>
              </w:rPr>
            </w:pP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rPr>
              <w:t>按四舍五入取至小数点后二位</w:t>
            </w:r>
            <w:r>
              <w:rPr>
                <w:rFonts w:hint="eastAsia" w:ascii="宋体" w:hAnsi="宋体" w:eastAsia="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3.2.2</w:t>
            </w: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评分分值计算原则</w:t>
            </w:r>
          </w:p>
        </w:tc>
        <w:tc>
          <w:tcPr>
            <w:tcW w:w="53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7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3.4</w:t>
            </w:r>
          </w:p>
        </w:tc>
        <w:tc>
          <w:tcPr>
            <w:tcW w:w="7341" w:type="dxa"/>
            <w:gridSpan w:val="2"/>
            <w:noWrap w:val="0"/>
            <w:vAlign w:val="top"/>
          </w:tcPr>
          <w:p>
            <w:pPr>
              <w:keepNext w:val="0"/>
              <w:keepLines w:val="0"/>
              <w:pageBreakBefore w:val="0"/>
              <w:widowControl w:val="0"/>
              <w:shd w:val="clea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本次评标采用综合评</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tc>
      </w:tr>
    </w:tbl>
    <w:p>
      <w:pPr>
        <w:rPr>
          <w:color w:val="auto"/>
        </w:rPr>
      </w:pPr>
    </w:p>
    <w:p>
      <w:pPr>
        <w:pStyle w:val="25"/>
        <w:spacing w:line="320" w:lineRule="exact"/>
        <w:ind w:firstLine="422" w:firstLineChars="200"/>
        <w:outlineLvl w:val="9"/>
        <w:rPr>
          <w:rFonts w:hAnsi="宋体"/>
          <w:b/>
          <w:bCs/>
          <w:color w:val="auto"/>
          <w:sz w:val="21"/>
        </w:rPr>
      </w:pPr>
      <w:r>
        <w:rPr>
          <w:rFonts w:hint="eastAsia" w:hAnsi="宋体"/>
          <w:b/>
          <w:bCs/>
          <w:color w:val="auto"/>
          <w:sz w:val="21"/>
        </w:rPr>
        <w:t>三、成交候选人推荐原则</w:t>
      </w:r>
    </w:p>
    <w:p>
      <w:pPr>
        <w:spacing w:before="120" w:beforeLines="50" w:after="120" w:afterLines="50" w:line="360" w:lineRule="auto"/>
        <w:ind w:firstLine="420" w:firstLineChars="200"/>
        <w:outlineLvl w:val="9"/>
        <w:rPr>
          <w:rFonts w:ascii="宋体" w:hAnsi="宋体"/>
          <w:color w:val="auto"/>
        </w:rPr>
      </w:pPr>
      <w:r>
        <w:rPr>
          <w:rFonts w:hint="eastAsia" w:ascii="宋体" w:hAnsi="宋体"/>
          <w:color w:val="auto"/>
        </w:rPr>
        <w:t>磋商小组应当根据</w:t>
      </w:r>
      <w:r>
        <w:rPr>
          <w:rFonts w:hint="eastAsia" w:ascii="宋体" w:hAnsi="宋体"/>
          <w:bCs/>
          <w:color w:val="auto"/>
        </w:rPr>
        <w:t>综合</w:t>
      </w:r>
      <w:r>
        <w:rPr>
          <w:rFonts w:hint="eastAsia" w:ascii="宋体" w:hAnsi="宋体"/>
          <w:color w:val="auto"/>
        </w:rPr>
        <w:t>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pPr>
        <w:spacing w:before="120" w:beforeLines="50" w:after="120" w:afterLines="50" w:line="360" w:lineRule="auto"/>
        <w:ind w:firstLine="420" w:firstLineChars="200"/>
        <w:outlineLvl w:val="9"/>
        <w:rPr>
          <w:rFonts w:hint="eastAsia" w:ascii="宋体" w:hAnsi="宋体"/>
          <w:color w:val="auto"/>
        </w:rPr>
      </w:pPr>
      <w:r>
        <w:rPr>
          <w:rFonts w:hint="eastAsia" w:ascii="宋体" w:hAnsi="宋体"/>
          <w:color w:val="auto"/>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r>
        <w:rPr>
          <w:rFonts w:hint="eastAsia" w:ascii="宋体" w:hAnsi="宋体"/>
          <w:color w:val="auto"/>
        </w:rPr>
        <w:br w:type="page"/>
      </w:r>
    </w:p>
    <w:p>
      <w:pPr>
        <w:pStyle w:val="41"/>
        <w:spacing w:before="0" w:after="0" w:line="500" w:lineRule="exact"/>
        <w:outlineLvl w:val="9"/>
        <w:rPr>
          <w:rFonts w:asciiTheme="minorEastAsia" w:hAnsiTheme="minorEastAsia" w:eastAsiaTheme="minorEastAsia" w:cstheme="minorEastAsia"/>
          <w:color w:val="auto"/>
        </w:rPr>
      </w:pPr>
    </w:p>
    <w:p>
      <w:pPr>
        <w:pStyle w:val="41"/>
        <w:spacing w:before="0" w:after="0" w:line="500" w:lineRule="exact"/>
        <w:outlineLvl w:val="0"/>
        <w:rPr>
          <w:rFonts w:asciiTheme="minorEastAsia" w:hAnsiTheme="minorEastAsia" w:eastAsiaTheme="minorEastAsia" w:cstheme="minorEastAsia"/>
          <w:color w:val="auto"/>
        </w:rPr>
      </w:pPr>
      <w:bookmarkStart w:id="23" w:name="_Toc29958"/>
      <w:r>
        <w:rPr>
          <w:rFonts w:hint="eastAsia" w:asciiTheme="minorEastAsia" w:hAnsiTheme="minorEastAsia" w:eastAsiaTheme="minorEastAsia" w:cstheme="minorEastAsia"/>
          <w:color w:val="auto"/>
        </w:rPr>
        <w:t xml:space="preserve">第五章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竞争性磋商响应文件（格式）</w:t>
      </w:r>
      <w:bookmarkEnd w:id="19"/>
      <w:bookmarkEnd w:id="23"/>
    </w:p>
    <w:p>
      <w:pP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pStyle w:val="14"/>
        <w:ind w:firstLine="640" w:firstLineChars="200"/>
        <w:jc w:val="both"/>
        <w:outlineLvl w:val="9"/>
        <w:rPr>
          <w:rFonts w:asciiTheme="minorEastAsia" w:hAnsiTheme="minorEastAsia" w:eastAsiaTheme="minorEastAsia" w:cstheme="minorEastAsia"/>
          <w:bCs/>
          <w:color w:val="auto"/>
          <w:sz w:val="32"/>
          <w:szCs w:val="28"/>
          <w:u w:val="single"/>
        </w:rPr>
      </w:pPr>
    </w:p>
    <w:p>
      <w:pPr>
        <w:pStyle w:val="14"/>
        <w:ind w:firstLine="640" w:firstLineChars="200"/>
        <w:jc w:val="both"/>
        <w:outlineLvl w:val="9"/>
        <w:rPr>
          <w:rFonts w:asciiTheme="minorEastAsia" w:hAnsiTheme="minorEastAsia" w:eastAsiaTheme="minorEastAsia" w:cstheme="minorEastAsia"/>
          <w:bCs/>
          <w:color w:val="auto"/>
          <w:sz w:val="32"/>
          <w:szCs w:val="28"/>
          <w:u w:val="single"/>
        </w:rPr>
      </w:pPr>
    </w:p>
    <w:p>
      <w:pPr>
        <w:pStyle w:val="14"/>
        <w:ind w:firstLine="734" w:firstLineChars="167"/>
        <w:jc w:val="center"/>
        <w:outlineLvl w:val="9"/>
        <w:rPr>
          <w:rFonts w:asciiTheme="minorEastAsia" w:hAnsiTheme="minorEastAsia" w:eastAsiaTheme="minorEastAsia" w:cstheme="minorEastAsia"/>
          <w:color w:val="auto"/>
          <w:sz w:val="44"/>
        </w:rPr>
      </w:pPr>
    </w:p>
    <w:p>
      <w:pPr>
        <w:spacing w:line="240" w:lineRule="atLeast"/>
        <w:rPr>
          <w:rFonts w:hint="eastAsia" w:ascii="宋体" w:hAnsi="宋体" w:cs="宋体"/>
          <w:bCs/>
          <w:color w:val="auto"/>
          <w:sz w:val="32"/>
          <w:szCs w:val="32"/>
          <w:highlight w:val="none"/>
        </w:rPr>
      </w:pPr>
      <w:r>
        <w:rPr>
          <w:rFonts w:hint="eastAsia" w:ascii="宋体" w:hAnsi="宋体" w:cs="宋体"/>
          <w:b/>
          <w:bCs/>
          <w:color w:val="auto"/>
          <w:sz w:val="32"/>
          <w:szCs w:val="32"/>
          <w:highlight w:val="none"/>
        </w:rPr>
        <w:t>（响应文件封面格式）</w:t>
      </w:r>
    </w:p>
    <w:p>
      <w:pPr>
        <w:spacing w:line="240" w:lineRule="atLeast"/>
        <w:jc w:val="center"/>
        <w:rPr>
          <w:rFonts w:hint="eastAsia" w:ascii="宋体" w:hAnsi="宋体" w:cs="宋体"/>
          <w:bCs/>
          <w:color w:val="auto"/>
          <w:sz w:val="24"/>
          <w:highlight w:val="none"/>
        </w:rPr>
      </w:pPr>
    </w:p>
    <w:p>
      <w:pPr>
        <w:spacing w:line="240" w:lineRule="atLeast"/>
        <w:jc w:val="center"/>
        <w:rPr>
          <w:rFonts w:hint="eastAsia" w:ascii="宋体" w:hAnsi="宋体" w:cs="宋体"/>
          <w:bCs/>
          <w:color w:val="auto"/>
          <w:sz w:val="24"/>
          <w:highlight w:val="none"/>
        </w:rPr>
      </w:pPr>
    </w:p>
    <w:p>
      <w:pPr>
        <w:spacing w:line="240" w:lineRule="atLeast"/>
        <w:jc w:val="center"/>
        <w:rPr>
          <w:rFonts w:hint="eastAsia" w:ascii="宋体" w:hAnsi="宋体" w:cs="宋体"/>
          <w:bCs/>
          <w:color w:val="auto"/>
          <w:sz w:val="24"/>
          <w:highlight w:val="none"/>
        </w:rPr>
      </w:pPr>
    </w:p>
    <w:p>
      <w:pPr>
        <w:spacing w:line="240" w:lineRule="atLeast"/>
        <w:jc w:val="center"/>
        <w:rPr>
          <w:rFonts w:hint="eastAsia" w:ascii="宋体" w:hAnsi="宋体" w:cs="宋体"/>
          <w:bCs/>
          <w:color w:val="auto"/>
          <w:sz w:val="44"/>
          <w:szCs w:val="44"/>
          <w:highlight w:val="none"/>
        </w:rPr>
      </w:pPr>
    </w:p>
    <w:p>
      <w:pPr>
        <w:spacing w:line="240" w:lineRule="atLeast"/>
        <w:jc w:val="center"/>
        <w:rPr>
          <w:rFonts w:hint="eastAsia" w:ascii="宋体" w:hAnsi="宋体" w:cs="宋体"/>
          <w:bCs/>
          <w:color w:val="auto"/>
          <w:sz w:val="44"/>
          <w:szCs w:val="44"/>
          <w:highlight w:val="none"/>
        </w:rPr>
      </w:pPr>
    </w:p>
    <w:p>
      <w:pPr>
        <w:spacing w:line="240" w:lineRule="atLeast"/>
        <w:jc w:val="center"/>
        <w:rPr>
          <w:rFonts w:hint="eastAsia" w:ascii="宋体" w:hAnsi="宋体" w:cs="宋体"/>
          <w:b/>
          <w:color w:val="auto"/>
          <w:sz w:val="32"/>
          <w:szCs w:val="32"/>
          <w:highlight w:val="none"/>
        </w:rPr>
      </w:pPr>
      <w:r>
        <w:rPr>
          <w:rFonts w:hint="eastAsia" w:ascii="宋体" w:hAnsi="宋体" w:cs="宋体"/>
          <w:bCs/>
          <w:color w:val="auto"/>
          <w:sz w:val="44"/>
          <w:szCs w:val="44"/>
          <w:highlight w:val="none"/>
        </w:rPr>
        <w:t>响  应  文  件</w:t>
      </w:r>
      <w:r>
        <w:rPr>
          <w:rFonts w:hint="eastAsia" w:ascii="宋体" w:hAnsi="宋体" w:cs="宋体"/>
          <w:b/>
          <w:color w:val="auto"/>
          <w:sz w:val="32"/>
          <w:szCs w:val="32"/>
          <w:highlight w:val="none"/>
        </w:rPr>
        <w:t xml:space="preserve"> </w:t>
      </w:r>
      <w:r>
        <w:rPr>
          <w:rFonts w:hint="eastAsia" w:ascii="宋体" w:hAnsi="宋体" w:cs="宋体"/>
          <w:color w:val="auto"/>
          <w:szCs w:val="21"/>
          <w:highlight w:val="none"/>
        </w:rPr>
        <w:t>(封面)</w:t>
      </w: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jc w:val="left"/>
        <w:rPr>
          <w:rFonts w:hint="eastAsia" w:ascii="宋体" w:hAnsi="宋体" w:cs="宋体"/>
          <w:color w:val="auto"/>
          <w:sz w:val="32"/>
          <w:szCs w:val="32"/>
          <w:highlight w:val="none"/>
        </w:rPr>
      </w:pPr>
    </w:p>
    <w:p>
      <w:pPr>
        <w:spacing w:line="360" w:lineRule="auto"/>
        <w:ind w:firstLine="640" w:firstLineChars="200"/>
        <w:jc w:val="left"/>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项目编号：</w:t>
      </w:r>
    </w:p>
    <w:p>
      <w:pPr>
        <w:tabs>
          <w:tab w:val="left" w:pos="3240"/>
        </w:tabs>
        <w:spacing w:line="360" w:lineRule="auto"/>
        <w:ind w:firstLine="640" w:firstLineChars="200"/>
        <w:jc w:val="left"/>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项目名称：</w:t>
      </w:r>
    </w:p>
    <w:p>
      <w:pPr>
        <w:spacing w:line="360" w:lineRule="auto"/>
        <w:ind w:firstLine="640" w:firstLineChars="200"/>
        <w:jc w:val="left"/>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所竞分标</w:t>
      </w:r>
      <w:r>
        <w:rPr>
          <w:rFonts w:hint="eastAsia" w:ascii="宋体" w:hAnsi="宋体" w:cs="宋体"/>
          <w:bCs/>
          <w:color w:val="auto"/>
          <w:sz w:val="32"/>
          <w:szCs w:val="32"/>
          <w:highlight w:val="none"/>
        </w:rPr>
        <w:t>（如有则填写，无分标时填写“无”或留空）</w:t>
      </w:r>
      <w:r>
        <w:rPr>
          <w:rFonts w:hint="eastAsia" w:ascii="宋体" w:hAnsi="宋体" w:cs="宋体"/>
          <w:color w:val="auto"/>
          <w:sz w:val="32"/>
          <w:szCs w:val="32"/>
          <w:highlight w:val="none"/>
        </w:rPr>
        <w:t>：</w:t>
      </w:r>
    </w:p>
    <w:p>
      <w:pPr>
        <w:spacing w:line="360" w:lineRule="auto"/>
        <w:ind w:firstLine="640" w:firstLineChars="200"/>
        <w:jc w:val="left"/>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供应商名称：</w:t>
      </w:r>
    </w:p>
    <w:p>
      <w:pPr>
        <w:snapToGrid w:val="0"/>
        <w:spacing w:before="120" w:beforeLines="50" w:after="50"/>
        <w:rPr>
          <w:rFonts w:hint="eastAsia" w:ascii="宋体" w:hAnsi="宋体" w:cs="宋体"/>
          <w:color w:val="auto"/>
          <w:sz w:val="32"/>
          <w:szCs w:val="32"/>
          <w:highlight w:val="none"/>
        </w:rPr>
      </w:pPr>
    </w:p>
    <w:p>
      <w:pPr>
        <w:snapToGrid w:val="0"/>
        <w:spacing w:before="120" w:beforeLines="50" w:after="50"/>
        <w:rPr>
          <w:rFonts w:hint="eastAsia" w:ascii="宋体" w:hAnsi="宋体" w:cs="宋体"/>
          <w:color w:val="auto"/>
          <w:sz w:val="32"/>
          <w:szCs w:val="32"/>
          <w:highlight w:val="none"/>
        </w:rPr>
      </w:pPr>
    </w:p>
    <w:p>
      <w:pPr>
        <w:snapToGrid w:val="0"/>
        <w:spacing w:before="120" w:beforeLines="50" w:after="50"/>
        <w:rPr>
          <w:rFonts w:hint="eastAsia" w:ascii="宋体" w:hAnsi="宋体" w:cs="宋体"/>
          <w:color w:val="auto"/>
          <w:sz w:val="32"/>
          <w:szCs w:val="32"/>
          <w:highlight w:val="none"/>
        </w:rPr>
      </w:pPr>
    </w:p>
    <w:p>
      <w:pPr>
        <w:snapToGrid w:val="0"/>
        <w:spacing w:before="120" w:beforeLines="50" w:after="50"/>
        <w:jc w:val="center"/>
        <w:rPr>
          <w:rFonts w:hint="eastAsia" w:ascii="宋体" w:hAnsi="宋体" w:cs="宋体"/>
          <w:bCs/>
          <w:color w:val="auto"/>
          <w:sz w:val="32"/>
          <w:szCs w:val="32"/>
          <w:highlight w:val="none"/>
        </w:rPr>
      </w:pPr>
      <w:r>
        <w:rPr>
          <w:rFonts w:hint="eastAsia" w:ascii="宋体" w:hAnsi="宋体" w:cs="宋体"/>
          <w:color w:val="auto"/>
          <w:sz w:val="32"/>
          <w:szCs w:val="32"/>
          <w:highlight w:val="none"/>
        </w:rPr>
        <w:t>年    月    日</w:t>
      </w:r>
    </w:p>
    <w:p>
      <w:pPr>
        <w:spacing w:line="300" w:lineRule="auto"/>
        <w:rPr>
          <w:rFonts w:hint="eastAsia" w:ascii="宋体" w:hAnsi="宋体" w:cs="宋体"/>
          <w:color w:val="auto"/>
          <w:szCs w:val="21"/>
          <w:highlight w:val="none"/>
        </w:rPr>
      </w:pPr>
    </w:p>
    <w:p>
      <w:pPr>
        <w:snapToGrid w:val="0"/>
        <w:spacing w:before="120" w:beforeLines="50" w:after="50"/>
        <w:outlineLvl w:val="9"/>
        <w:rPr>
          <w:rFonts w:hint="eastAsia" w:ascii="宋体" w:hAnsi="宋体" w:cs="宋体"/>
          <w:b/>
          <w:bCs/>
          <w:color w:val="auto"/>
          <w:sz w:val="32"/>
          <w:szCs w:val="32"/>
          <w:highlight w:val="none"/>
        </w:rPr>
      </w:pPr>
      <w:bookmarkStart w:id="24" w:name="_Toc1039"/>
      <w:bookmarkStart w:id="25" w:name="_Toc31723070"/>
      <w:bookmarkStart w:id="26" w:name="_Toc35611438"/>
      <w:bookmarkStart w:id="27" w:name="_Toc31728084"/>
      <w:bookmarkStart w:id="28" w:name="_Toc35611516"/>
      <w:bookmarkStart w:id="29" w:name="_Toc44229899"/>
      <w:r>
        <w:rPr>
          <w:rFonts w:hint="eastAsia" w:ascii="宋体" w:hAnsi="宋体" w:cs="宋体"/>
          <w:b/>
          <w:bCs/>
          <w:color w:val="auto"/>
          <w:sz w:val="32"/>
          <w:szCs w:val="32"/>
          <w:highlight w:val="none"/>
        </w:rPr>
        <w:t>一、资格证明文件格式</w:t>
      </w:r>
      <w:bookmarkEnd w:id="24"/>
      <w:bookmarkEnd w:id="25"/>
      <w:bookmarkEnd w:id="26"/>
      <w:bookmarkEnd w:id="27"/>
      <w:bookmarkEnd w:id="28"/>
      <w:bookmarkEnd w:id="29"/>
    </w:p>
    <w:p>
      <w:pPr>
        <w:snapToGrid w:val="0"/>
        <w:spacing w:before="120" w:beforeLines="50" w:after="50"/>
        <w:jc w:val="left"/>
        <w:outlineLvl w:val="9"/>
        <w:rPr>
          <w:rFonts w:hint="eastAsia"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pPr>
        <w:snapToGrid w:val="0"/>
        <w:spacing w:before="120" w:beforeLines="50" w:after="50"/>
        <w:outlineLvl w:val="9"/>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120" w:beforeLines="50" w:after="50"/>
        <w:outlineLvl w:val="9"/>
        <w:rPr>
          <w:rFonts w:hint="eastAsia" w:ascii="宋体" w:hAnsi="宋体" w:cs="宋体"/>
          <w:color w:val="auto"/>
          <w:sz w:val="24"/>
          <w:szCs w:val="20"/>
          <w:highlight w:val="none"/>
        </w:rPr>
      </w:pPr>
    </w:p>
    <w:p>
      <w:pPr>
        <w:snapToGrid w:val="0"/>
        <w:spacing w:before="120" w:beforeLines="50" w:after="50"/>
        <w:outlineLvl w:val="9"/>
        <w:rPr>
          <w:rFonts w:hint="eastAsia" w:ascii="宋体" w:hAnsi="宋体" w:cs="宋体"/>
          <w:color w:val="auto"/>
          <w:sz w:val="24"/>
          <w:szCs w:val="20"/>
          <w:highlight w:val="none"/>
        </w:rPr>
      </w:pPr>
    </w:p>
    <w:p>
      <w:pPr>
        <w:snapToGrid w:val="0"/>
        <w:spacing w:before="120" w:beforeLines="50" w:after="50"/>
        <w:jc w:val="center"/>
        <w:outlineLvl w:val="9"/>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120" w:beforeLines="50" w:after="50"/>
        <w:ind w:firstLine="720" w:firstLineChars="225"/>
        <w:rPr>
          <w:rFonts w:hint="eastAsia" w:ascii="宋体" w:hAnsi="宋体" w:cs="宋体"/>
          <w:bCs/>
          <w:color w:val="auto"/>
          <w:sz w:val="32"/>
          <w:szCs w:val="32"/>
          <w:highlight w:val="none"/>
        </w:rPr>
      </w:pPr>
    </w:p>
    <w:p>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所竞分标（如有则填写，无分标时填写“无”或留空）：</w:t>
      </w:r>
    </w:p>
    <w:p>
      <w:pPr>
        <w:snapToGrid w:val="0"/>
        <w:spacing w:before="120" w:beforeLines="50" w:after="50"/>
        <w:ind w:firstLine="720" w:firstLineChars="225"/>
        <w:rPr>
          <w:rFonts w:hint="eastAsia" w:ascii="宋体" w:hAnsi="宋体" w:cs="宋体"/>
          <w:bCs/>
          <w:color w:val="auto"/>
          <w:sz w:val="32"/>
          <w:szCs w:val="32"/>
          <w:highlight w:val="none"/>
        </w:rPr>
      </w:pPr>
    </w:p>
    <w:p>
      <w:pPr>
        <w:pStyle w:val="14"/>
        <w:snapToGrid w:val="0"/>
        <w:spacing w:before="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14"/>
        <w:snapToGrid w:val="0"/>
        <w:spacing w:before="50" w:after="50"/>
        <w:ind w:firstLine="720" w:firstLineChars="225"/>
        <w:rPr>
          <w:rFonts w:hint="eastAsia" w:ascii="宋体" w:hAnsi="宋体" w:cs="宋体"/>
          <w:bCs/>
          <w:color w:val="auto"/>
          <w:sz w:val="32"/>
          <w:szCs w:val="32"/>
          <w:highlight w:val="none"/>
        </w:rPr>
      </w:pPr>
    </w:p>
    <w:p>
      <w:pPr>
        <w:pStyle w:val="14"/>
        <w:snapToGrid w:val="0"/>
        <w:spacing w:before="50" w:after="50"/>
        <w:ind w:firstLine="720" w:firstLineChars="225"/>
        <w:rPr>
          <w:rFonts w:hint="eastAsia" w:ascii="宋体" w:hAnsi="宋体" w:cs="宋体"/>
          <w:bCs/>
          <w:color w:val="auto"/>
          <w:sz w:val="32"/>
          <w:szCs w:val="32"/>
          <w:highlight w:val="none"/>
        </w:rPr>
      </w:pPr>
    </w:p>
    <w:p>
      <w:pPr>
        <w:pStyle w:val="14"/>
        <w:snapToGrid w:val="0"/>
        <w:spacing w:before="50" w:after="50"/>
        <w:ind w:firstLine="720" w:firstLineChars="225"/>
        <w:rPr>
          <w:rFonts w:hint="eastAsia" w:ascii="宋体" w:hAnsi="宋体" w:cs="宋体"/>
          <w:bCs/>
          <w:color w:val="auto"/>
          <w:sz w:val="32"/>
          <w:szCs w:val="32"/>
          <w:highlight w:val="none"/>
        </w:rPr>
      </w:pPr>
    </w:p>
    <w:p>
      <w:pPr>
        <w:pStyle w:val="14"/>
        <w:snapToGrid w:val="0"/>
        <w:spacing w:before="50" w:after="50"/>
        <w:ind w:firstLine="1280" w:firstLineChars="400"/>
        <w:rPr>
          <w:rFonts w:hint="eastAsia" w:ascii="宋体" w:hAnsi="宋体" w:cs="宋体"/>
          <w:bCs/>
          <w:color w:val="auto"/>
          <w:sz w:val="32"/>
          <w:szCs w:val="32"/>
          <w:highlight w:val="none"/>
        </w:rPr>
      </w:pPr>
    </w:p>
    <w:p>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20" w:beforeLines="50" w:after="50"/>
        <w:ind w:left="142"/>
        <w:jc w:val="left"/>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pPr>
        <w:snapToGrid w:val="0"/>
        <w:spacing w:before="120" w:beforeLines="50" w:after="50"/>
        <w:ind w:firstLine="645"/>
        <w:rPr>
          <w:rFonts w:hint="eastAsia" w:ascii="宋体" w:hAnsi="宋体" w:cs="宋体"/>
          <w:color w:val="auto"/>
          <w:sz w:val="32"/>
          <w:szCs w:val="32"/>
          <w:highlight w:val="none"/>
        </w:rPr>
      </w:pPr>
      <w:r>
        <w:rPr>
          <w:rFonts w:hint="eastAsia" w:ascii="宋体" w:hAnsi="宋体" w:cs="宋体"/>
          <w:color w:val="auto"/>
          <w:sz w:val="32"/>
          <w:szCs w:val="32"/>
          <w:highlight w:val="none"/>
        </w:rPr>
        <w:t>根据竞争性磋商文件规定及供应商提供的材料自行编写目录（部分格式后附）。</w:t>
      </w:r>
    </w:p>
    <w:p>
      <w:pPr>
        <w:snapToGrid w:val="0"/>
        <w:spacing w:before="120" w:beforeLines="50" w:after="5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00" w:lineRule="auto"/>
        <w:rPr>
          <w:rFonts w:hint="eastAsia" w:ascii="宋体" w:hAnsi="宋体" w:cs="宋体"/>
          <w:color w:val="auto"/>
          <w:szCs w:val="21"/>
          <w:highlight w:val="none"/>
        </w:rPr>
      </w:pPr>
    </w:p>
    <w:p>
      <w:pPr>
        <w:spacing w:line="320" w:lineRule="exact"/>
        <w:jc w:val="left"/>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pStyle w:val="30"/>
        <w:rPr>
          <w:rFonts w:hint="eastAsia" w:ascii="宋体" w:hAnsi="宋体" w:cs="宋体"/>
          <w:color w:val="auto"/>
          <w:sz w:val="24"/>
          <w:szCs w:val="20"/>
          <w:highlight w:val="none"/>
        </w:rPr>
      </w:pPr>
    </w:p>
    <w:p>
      <w:pPr>
        <w:spacing w:line="3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竞标声明</w:t>
      </w:r>
    </w:p>
    <w:p>
      <w:pPr>
        <w:spacing w:line="320" w:lineRule="exact"/>
        <w:jc w:val="center"/>
        <w:rPr>
          <w:rFonts w:hint="eastAsia" w:ascii="宋体" w:hAnsi="宋体" w:cs="宋体"/>
          <w:color w:val="auto"/>
          <w:sz w:val="24"/>
          <w:szCs w:val="20"/>
          <w:highlight w:val="none"/>
        </w:rPr>
      </w:pPr>
    </w:p>
    <w:p>
      <w:pPr>
        <w:spacing w:before="120" w:beforeLines="50" w:after="50" w:line="32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广西冠宝工程咨询有限公司</w:t>
      </w:r>
      <w:r>
        <w:rPr>
          <w:rFonts w:hint="eastAsia" w:ascii="宋体" w:hAnsi="宋体" w:cs="宋体"/>
          <w:color w:val="auto"/>
          <w:szCs w:val="21"/>
          <w:highlight w:val="none"/>
        </w:rPr>
        <w:t>：</w:t>
      </w:r>
    </w:p>
    <w:p>
      <w:pPr>
        <w:spacing w:before="120" w:beforeLines="50" w:after="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的约定履行合同责任和义务；</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，包括补遗文件（如有）；</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有关的一切数据或资料；</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规定的竞标有效期。</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120"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spacing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25"/>
        <w:spacing w:line="320" w:lineRule="exact"/>
        <w:ind w:firstLine="420" w:firstLineChars="200"/>
        <w:contextualSpacing/>
        <w:rPr>
          <w:rFonts w:hint="eastAsia" w:hAnsi="宋体" w:cs="宋体"/>
          <w:color w:val="auto"/>
          <w:sz w:val="21"/>
          <w:highlight w:val="none"/>
          <w:u w:val="single"/>
        </w:rPr>
      </w:pPr>
      <w:r>
        <w:rPr>
          <w:rFonts w:hint="eastAsia" w:hAnsi="宋体" w:cs="宋体"/>
          <w:color w:val="auto"/>
          <w:sz w:val="21"/>
          <w:highlight w:val="none"/>
        </w:rPr>
        <w:t>7.与本</w:t>
      </w:r>
      <w:r>
        <w:rPr>
          <w:rFonts w:hint="eastAsia" w:hAnsi="宋体" w:cs="宋体"/>
          <w:color w:val="auto"/>
          <w:sz w:val="21"/>
          <w:highlight w:val="none"/>
          <w:lang w:val="en-US" w:eastAsia="zh-CN"/>
        </w:rPr>
        <w:t>磋商</w:t>
      </w:r>
      <w:r>
        <w:rPr>
          <w:rFonts w:hint="eastAsia" w:hAnsi="宋体" w:cs="宋体"/>
          <w:color w:val="auto"/>
          <w:sz w:val="21"/>
          <w:highlight w:val="none"/>
        </w:rPr>
        <w:t>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pPr>
        <w:pStyle w:val="25"/>
        <w:spacing w:line="32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pPr>
        <w:pStyle w:val="21"/>
        <w:tabs>
          <w:tab w:val="left" w:pos="939"/>
        </w:tabs>
        <w:spacing w:line="320" w:lineRule="exact"/>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pPr>
        <w:pStyle w:val="21"/>
        <w:tabs>
          <w:tab w:val="left" w:pos="939"/>
        </w:tabs>
        <w:spacing w:line="320" w:lineRule="exact"/>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8.以上事项如有虚假或隐瞒，我方愿意承担一切后果，并不再寻求任何旨在减轻或免除法律责任的辩解。</w:t>
      </w:r>
    </w:p>
    <w:p>
      <w:pPr>
        <w:pStyle w:val="21"/>
        <w:tabs>
          <w:tab w:val="left" w:pos="939"/>
        </w:tabs>
        <w:spacing w:line="320" w:lineRule="exact"/>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pPr>
        <w:spacing w:line="320" w:lineRule="exact"/>
        <w:ind w:firstLine="3780" w:firstLineChars="1800"/>
        <w:rPr>
          <w:rFonts w:hint="eastAsia" w:ascii="宋体" w:hAnsi="宋体" w:cs="宋体"/>
          <w:color w:val="auto"/>
          <w:highlight w:val="none"/>
        </w:rPr>
      </w:pPr>
      <w:r>
        <w:rPr>
          <w:rFonts w:hint="eastAsia" w:ascii="宋体" w:hAnsi="宋体" w:cs="宋体"/>
          <w:color w:val="auto"/>
          <w:highlight w:val="none"/>
        </w:rPr>
        <w:t>法定代表人（负责人或自然人）（签字）：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320" w:lineRule="exact"/>
        <w:ind w:firstLine="3780" w:firstLineChars="1800"/>
        <w:rPr>
          <w:rFonts w:hint="eastAsia" w:ascii="宋体" w:hAnsi="宋体" w:cs="宋体"/>
          <w:color w:val="auto"/>
          <w:szCs w:val="21"/>
          <w:highlight w:val="none"/>
          <w:u w:val="single"/>
        </w:rPr>
      </w:pPr>
      <w:r>
        <w:rPr>
          <w:rFonts w:hint="eastAsia" w:ascii="宋体" w:hAnsi="宋体" w:cs="宋体"/>
          <w:color w:val="auto"/>
          <w:highlight w:val="none"/>
        </w:rPr>
        <w:t>供应商（盖公章）：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szCs w:val="21"/>
          <w:highlight w:val="none"/>
        </w:rPr>
        <w:t xml:space="preserve">    </w:t>
      </w:r>
    </w:p>
    <w:p>
      <w:pPr>
        <w:wordWrap w:val="0"/>
        <w:spacing w:before="120" w:beforeLines="50" w:after="50" w:line="320" w:lineRule="exact"/>
        <w:ind w:right="482" w:firstLine="210" w:firstLineChars="100"/>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highlight w:val="none"/>
        </w:rPr>
        <w:t xml:space="preserve"> 年    月    日 </w:t>
      </w: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pPr>
        <w:snapToGrid w:val="0"/>
        <w:spacing w:before="50" w:after="120" w:afterLines="50"/>
        <w:jc w:val="center"/>
        <w:rPr>
          <w:rFonts w:hint="eastAsia" w:ascii="宋体" w:hAnsi="宋体" w:cs="宋体"/>
          <w:b/>
          <w:color w:val="auto"/>
          <w:sz w:val="32"/>
          <w:szCs w:val="32"/>
          <w:highlight w:val="none"/>
        </w:rPr>
      </w:pPr>
    </w:p>
    <w:tbl>
      <w:tblPr>
        <w:tblStyle w:val="4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r>
    </w:tbl>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snapToGrid w:val="0"/>
        <w:jc w:val="left"/>
        <w:rPr>
          <w:rFonts w:hint="eastAsia" w:ascii="宋体" w:hAnsi="宋体" w:cs="宋体"/>
          <w:color w:val="auto"/>
          <w:szCs w:val="21"/>
          <w:highlight w:val="none"/>
        </w:rPr>
      </w:pPr>
    </w:p>
    <w:p>
      <w:pPr>
        <w:snapToGrid w:val="0"/>
        <w:jc w:val="left"/>
        <w:rPr>
          <w:rFonts w:hint="eastAsia" w:ascii="宋体" w:hAnsi="宋体" w:cs="宋体"/>
          <w:color w:val="auto"/>
          <w:szCs w:val="21"/>
          <w:highlight w:val="none"/>
        </w:rPr>
      </w:pPr>
    </w:p>
    <w:p>
      <w:pPr>
        <w:snapToGrid w:val="0"/>
        <w:jc w:val="left"/>
        <w:rPr>
          <w:rFonts w:hint="eastAsia" w:ascii="宋体" w:hAnsi="宋体" w:cs="宋体"/>
          <w:color w:val="auto"/>
          <w:szCs w:val="21"/>
          <w:highlight w:val="none"/>
        </w:rPr>
      </w:pPr>
    </w:p>
    <w:p>
      <w:pPr>
        <w:snapToGrid w:val="0"/>
        <w:jc w:val="left"/>
        <w:rPr>
          <w:rFonts w:hint="eastAsia" w:ascii="宋体" w:hAnsi="宋体" w:cs="宋体"/>
          <w:color w:val="auto"/>
          <w:szCs w:val="21"/>
          <w:highlight w:val="none"/>
        </w:rPr>
      </w:pPr>
    </w:p>
    <w:p>
      <w:pPr>
        <w:snapToGrid w:val="0"/>
        <w:spacing w:before="120" w:beforeLines="50"/>
        <w:ind w:right="480" w:firstLine="1680" w:firstLineChars="800"/>
        <w:rPr>
          <w:rFonts w:hint="eastAsia" w:ascii="宋体" w:hAnsi="宋体" w:cs="宋体"/>
          <w:color w:val="auto"/>
          <w:szCs w:val="21"/>
          <w:highlight w:val="none"/>
          <w:u w:val="single"/>
        </w:rPr>
      </w:pPr>
      <w:r>
        <w:rPr>
          <w:rFonts w:hint="eastAsia" w:ascii="宋体" w:hAnsi="宋体" w:cs="宋体"/>
          <w:color w:val="auto"/>
          <w:szCs w:val="21"/>
          <w:highlight w:val="none"/>
        </w:rPr>
        <w:t>法定代表人或委托代理人签字：</w:t>
      </w:r>
      <w:r>
        <w:rPr>
          <w:rFonts w:hint="eastAsia" w:ascii="宋体" w:hAnsi="宋体" w:cs="宋体"/>
          <w:color w:val="auto"/>
          <w:szCs w:val="21"/>
          <w:highlight w:val="none"/>
          <w:u w:val="single"/>
        </w:rPr>
        <w:t xml:space="preserve">                </w:t>
      </w:r>
    </w:p>
    <w:p>
      <w:pPr>
        <w:snapToGrid w:val="0"/>
        <w:spacing w:before="120" w:beforeLines="50" w:after="50"/>
        <w:ind w:right="480" w:firstLine="2625" w:firstLineChars="1250"/>
        <w:rPr>
          <w:rFonts w:hint="eastAsia" w:ascii="宋体" w:hAnsi="宋体" w:cs="宋体"/>
          <w:color w:val="auto"/>
          <w:szCs w:val="21"/>
          <w:highlight w:val="none"/>
          <w:u w:val="single"/>
        </w:rPr>
      </w:pPr>
      <w:r>
        <w:rPr>
          <w:rFonts w:hint="eastAsia" w:ascii="宋体" w:hAnsi="宋体" w:cs="宋体"/>
          <w:color w:val="auto"/>
          <w:szCs w:val="21"/>
          <w:highlight w:val="none"/>
        </w:rPr>
        <w:t>供应商（盖公章 ）：</w:t>
      </w:r>
      <w:r>
        <w:rPr>
          <w:rFonts w:hint="eastAsia" w:ascii="宋体" w:hAnsi="宋体" w:cs="宋体"/>
          <w:color w:val="auto"/>
          <w:szCs w:val="21"/>
          <w:highlight w:val="none"/>
          <w:u w:val="single"/>
        </w:rPr>
        <w:t xml:space="preserve">                              </w:t>
      </w:r>
    </w:p>
    <w:p>
      <w:pPr>
        <w:snapToGrid w:val="0"/>
        <w:spacing w:before="120" w:beforeLines="50" w:after="50"/>
        <w:ind w:right="480"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年    月    日</w:t>
      </w:r>
    </w:p>
    <w:p>
      <w:pPr>
        <w:snapToGrid w:val="0"/>
        <w:jc w:val="center"/>
        <w:rPr>
          <w:rFonts w:hint="eastAsia" w:ascii="宋体" w:hAnsi="宋体" w:cs="宋体"/>
          <w:b/>
          <w:color w:val="auto"/>
          <w:sz w:val="28"/>
          <w:szCs w:val="28"/>
          <w:highlight w:val="none"/>
        </w:rPr>
      </w:pPr>
      <w:r>
        <w:rPr>
          <w:rFonts w:hint="eastAsia" w:ascii="宋体" w:hAnsi="宋体" w:cs="宋体"/>
          <w:b/>
          <w:color w:val="auto"/>
          <w:szCs w:val="21"/>
          <w:highlight w:val="none"/>
        </w:rPr>
        <w:br w:type="page"/>
      </w:r>
    </w:p>
    <w:p>
      <w:pPr>
        <w:snapToGrid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pPr>
        <w:snapToGrid w:val="0"/>
        <w:jc w:val="center"/>
        <w:rPr>
          <w:rFonts w:hint="eastAsia" w:ascii="宋体" w:hAnsi="宋体" w:cs="宋体"/>
          <w:b/>
          <w:color w:val="auto"/>
          <w:sz w:val="32"/>
          <w:szCs w:val="32"/>
          <w:highlight w:val="none"/>
        </w:rPr>
      </w:pPr>
    </w:p>
    <w:tbl>
      <w:tblPr>
        <w:tblStyle w:val="4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wordWrap w:val="0"/>
              <w:spacing w:line="200" w:lineRule="atLeast"/>
              <w:jc w:val="center"/>
              <w:rPr>
                <w:rFonts w:hint="eastAsia" w:ascii="宋体" w:hAnsi="宋体" w:cs="宋体"/>
                <w:color w:val="auto"/>
                <w:kern w:val="0"/>
                <w:szCs w:val="21"/>
                <w:highlight w:val="none"/>
              </w:rPr>
            </w:pPr>
          </w:p>
        </w:tc>
      </w:tr>
    </w:tbl>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pPr>
        <w:snapToGrid w:val="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pPr>
        <w:snapToGrid w:val="0"/>
        <w:jc w:val="left"/>
        <w:rPr>
          <w:rFonts w:hint="eastAsia" w:ascii="宋体" w:hAnsi="宋体" w:cs="宋体"/>
          <w:color w:val="auto"/>
          <w:szCs w:val="21"/>
          <w:highlight w:val="none"/>
        </w:rPr>
      </w:pPr>
    </w:p>
    <w:p>
      <w:pPr>
        <w:snapToGrid w:val="0"/>
        <w:jc w:val="left"/>
        <w:rPr>
          <w:rFonts w:hint="eastAsia" w:ascii="宋体" w:hAnsi="宋体" w:cs="宋体"/>
          <w:color w:val="auto"/>
          <w:szCs w:val="21"/>
          <w:highlight w:val="none"/>
        </w:rPr>
      </w:pPr>
    </w:p>
    <w:p>
      <w:pPr>
        <w:snapToGrid w:val="0"/>
        <w:jc w:val="left"/>
        <w:rPr>
          <w:rFonts w:hint="eastAsia" w:ascii="宋体" w:hAnsi="宋体" w:cs="宋体"/>
          <w:color w:val="auto"/>
          <w:szCs w:val="21"/>
          <w:highlight w:val="none"/>
        </w:rPr>
      </w:pPr>
    </w:p>
    <w:p>
      <w:pPr>
        <w:snapToGrid w:val="0"/>
        <w:jc w:val="left"/>
        <w:rPr>
          <w:rFonts w:hint="eastAsia" w:ascii="宋体" w:hAnsi="宋体" w:cs="宋体"/>
          <w:color w:val="auto"/>
          <w:szCs w:val="21"/>
          <w:highlight w:val="none"/>
        </w:rPr>
      </w:pPr>
    </w:p>
    <w:p>
      <w:pPr>
        <w:snapToGrid w:val="0"/>
        <w:jc w:val="left"/>
        <w:rPr>
          <w:rFonts w:hint="eastAsia" w:ascii="宋体" w:hAnsi="宋体" w:cs="宋体"/>
          <w:color w:val="auto"/>
          <w:szCs w:val="21"/>
          <w:highlight w:val="none"/>
        </w:rPr>
      </w:pPr>
    </w:p>
    <w:p>
      <w:pPr>
        <w:snapToGrid w:val="0"/>
        <w:jc w:val="left"/>
        <w:rPr>
          <w:rFonts w:hint="eastAsia" w:ascii="宋体" w:hAnsi="宋体" w:cs="宋体"/>
          <w:color w:val="auto"/>
          <w:szCs w:val="21"/>
          <w:highlight w:val="none"/>
        </w:rPr>
      </w:pPr>
    </w:p>
    <w:p>
      <w:pPr>
        <w:snapToGrid w:val="0"/>
        <w:spacing w:before="120" w:beforeLines="50"/>
        <w:ind w:right="480"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法定代表人或委托代理人签字：</w:t>
      </w:r>
      <w:r>
        <w:rPr>
          <w:rFonts w:hint="eastAsia" w:ascii="宋体" w:hAnsi="宋体" w:cs="宋体"/>
          <w:color w:val="auto"/>
          <w:szCs w:val="21"/>
          <w:highlight w:val="none"/>
          <w:u w:val="single"/>
        </w:rPr>
        <w:t xml:space="preserve">               </w:t>
      </w:r>
    </w:p>
    <w:p>
      <w:pPr>
        <w:snapToGrid w:val="0"/>
        <w:spacing w:before="120" w:beforeLines="50" w:after="50"/>
        <w:ind w:right="480" w:firstLine="2940" w:firstLineChars="1400"/>
        <w:rPr>
          <w:rFonts w:hint="eastAsia"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pPr>
        <w:snapToGrid w:val="0"/>
        <w:spacing w:before="120" w:beforeLines="50" w:after="50"/>
        <w:ind w:right="480"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before="120" w:beforeLines="50" w:after="50"/>
        <w:ind w:right="480" w:firstLine="280" w:firstLineChars="100"/>
        <w:rPr>
          <w:rFonts w:hint="eastAsia"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报价商务技术文件格式 </w:t>
      </w:r>
    </w:p>
    <w:p>
      <w:pPr>
        <w:snapToGrid w:val="0"/>
        <w:spacing w:before="120" w:beforeLines="50" w:after="5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p>
    <w:p>
      <w:pPr>
        <w:snapToGrid w:val="0"/>
        <w:spacing w:before="120" w:beforeLines="50" w:after="50"/>
        <w:rPr>
          <w:rFonts w:hint="eastAsia" w:ascii="宋体" w:hAnsi="宋体" w:cs="宋体"/>
          <w:color w:val="auto"/>
          <w:sz w:val="24"/>
          <w:szCs w:val="20"/>
          <w:highlight w:val="none"/>
        </w:rPr>
      </w:pPr>
    </w:p>
    <w:p>
      <w:pPr>
        <w:snapToGrid w:val="0"/>
        <w:spacing w:before="120" w:beforeLines="50" w:after="50"/>
        <w:rPr>
          <w:rFonts w:hint="eastAsia" w:ascii="宋体" w:hAnsi="宋体" w:cs="宋体"/>
          <w:color w:val="auto"/>
          <w:sz w:val="24"/>
          <w:szCs w:val="20"/>
          <w:highlight w:val="none"/>
        </w:rPr>
      </w:pPr>
    </w:p>
    <w:p>
      <w:pPr>
        <w:snapToGrid w:val="0"/>
        <w:spacing w:before="120" w:beforeLines="50" w:after="50"/>
        <w:rPr>
          <w:rFonts w:hint="eastAsia" w:ascii="宋体" w:hAnsi="宋体" w:cs="宋体"/>
          <w:color w:val="auto"/>
          <w:sz w:val="24"/>
          <w:szCs w:val="20"/>
          <w:highlight w:val="none"/>
        </w:rPr>
      </w:pPr>
    </w:p>
    <w:p>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报  价  商  务  技  术  文  件</w:t>
      </w: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rPr>
          <w:rFonts w:hint="eastAsia" w:ascii="宋体" w:hAnsi="宋体" w:cs="宋体"/>
          <w:bCs/>
          <w:color w:val="auto"/>
          <w:sz w:val="24"/>
          <w:szCs w:val="20"/>
          <w:highlight w:val="none"/>
        </w:rPr>
      </w:pPr>
    </w:p>
    <w:p>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120" w:beforeLines="50" w:after="50"/>
        <w:ind w:firstLine="720" w:firstLineChars="225"/>
        <w:rPr>
          <w:rFonts w:hint="eastAsia" w:ascii="宋体" w:hAnsi="宋体" w:cs="宋体"/>
          <w:bCs/>
          <w:color w:val="auto"/>
          <w:sz w:val="32"/>
          <w:szCs w:val="32"/>
          <w:highlight w:val="none"/>
        </w:rPr>
      </w:pPr>
    </w:p>
    <w:p>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所竞分标（如有则填写，无分标时填写“无”或留空）：</w:t>
      </w:r>
    </w:p>
    <w:p>
      <w:pPr>
        <w:snapToGrid w:val="0"/>
        <w:spacing w:before="120" w:beforeLines="50" w:after="50"/>
        <w:ind w:firstLine="720" w:firstLineChars="225"/>
        <w:rPr>
          <w:rFonts w:hint="eastAsia" w:ascii="宋体" w:hAnsi="宋体" w:cs="宋体"/>
          <w:bCs/>
          <w:color w:val="auto"/>
          <w:sz w:val="32"/>
          <w:szCs w:val="32"/>
          <w:highlight w:val="none"/>
        </w:rPr>
      </w:pPr>
    </w:p>
    <w:p>
      <w:pPr>
        <w:pStyle w:val="14"/>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14"/>
        <w:snapToGrid w:val="0"/>
        <w:spacing w:before="50" w:after="50"/>
        <w:ind w:firstLine="720" w:firstLineChars="225"/>
        <w:rPr>
          <w:rFonts w:hint="eastAsia" w:ascii="宋体" w:hAnsi="宋体" w:cs="宋体"/>
          <w:bCs/>
          <w:color w:val="auto"/>
          <w:sz w:val="32"/>
          <w:szCs w:val="32"/>
          <w:highlight w:val="none"/>
        </w:rPr>
      </w:pPr>
    </w:p>
    <w:p>
      <w:pPr>
        <w:pStyle w:val="14"/>
        <w:snapToGrid w:val="0"/>
        <w:spacing w:before="50" w:after="50"/>
        <w:ind w:firstLine="720" w:firstLineChars="225"/>
        <w:rPr>
          <w:rFonts w:hint="eastAsia" w:ascii="宋体" w:hAnsi="宋体" w:cs="宋体"/>
          <w:bCs/>
          <w:color w:val="auto"/>
          <w:sz w:val="32"/>
          <w:szCs w:val="32"/>
          <w:highlight w:val="none"/>
        </w:rPr>
      </w:pPr>
    </w:p>
    <w:p>
      <w:pPr>
        <w:pStyle w:val="14"/>
        <w:snapToGrid w:val="0"/>
        <w:spacing w:before="50" w:after="50"/>
        <w:ind w:firstLine="1280" w:firstLineChars="400"/>
        <w:rPr>
          <w:rFonts w:hint="eastAsia" w:ascii="宋体" w:hAnsi="宋体" w:cs="宋体"/>
          <w:bCs/>
          <w:color w:val="auto"/>
          <w:sz w:val="32"/>
          <w:szCs w:val="32"/>
          <w:highlight w:val="none"/>
        </w:rPr>
      </w:pPr>
    </w:p>
    <w:p>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20" w:beforeLines="50" w:after="50"/>
        <w:ind w:left="142"/>
        <w:jc w:val="left"/>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pPr>
        <w:snapToGrid w:val="0"/>
        <w:spacing w:before="120" w:beforeLines="50" w:after="50"/>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根据竞争性磋商文件规定及供应商提供的材料自行编写目录（部分格式后附）。</w:t>
      </w:r>
    </w:p>
    <w:p>
      <w:pPr>
        <w:spacing w:line="400" w:lineRule="exact"/>
        <w:rPr>
          <w:rFonts w:hint="eastAsia" w:ascii="宋体" w:hAnsi="宋体" w:cs="宋体"/>
          <w:color w:val="auto"/>
          <w:sz w:val="32"/>
          <w:szCs w:val="32"/>
          <w:highlight w:val="none"/>
        </w:rPr>
      </w:pPr>
    </w:p>
    <w:p>
      <w:pPr>
        <w:spacing w:line="520" w:lineRule="exact"/>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32"/>
          <w:szCs w:val="32"/>
          <w:highlight w:val="none"/>
        </w:rPr>
        <w:t>无串通竞标行为的承诺函</w:t>
      </w:r>
    </w:p>
    <w:p>
      <w:pPr>
        <w:spacing w:line="400" w:lineRule="exact"/>
        <w:ind w:firstLine="640" w:firstLineChars="200"/>
        <w:rPr>
          <w:rFonts w:hint="eastAsia" w:ascii="宋体" w:hAnsi="宋体" w:cs="宋体"/>
          <w:color w:val="auto"/>
          <w:sz w:val="32"/>
          <w:szCs w:val="32"/>
          <w:highlight w:val="none"/>
        </w:rPr>
      </w:pP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3.不同供应商的响应文件载明的项目管理员为同一个人；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同供应商的响应文件异常一致或竞标报价呈规律性差异；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pPr>
        <w:spacing w:line="400" w:lineRule="exact"/>
        <w:ind w:firstLine="420" w:firstLineChars="200"/>
        <w:rPr>
          <w:rFonts w:hint="eastAsia" w:ascii="宋体" w:hAnsi="宋体" w:cs="宋体"/>
          <w:color w:val="auto"/>
          <w:szCs w:val="21"/>
          <w:highlight w:val="none"/>
        </w:rPr>
      </w:pP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以上情形一经核查属实，我方愿意承担一切后果，并不再寻求任何旨在减轻或免除法律责任的辩解。</w:t>
      </w:r>
    </w:p>
    <w:p>
      <w:pPr>
        <w:spacing w:line="400" w:lineRule="exact"/>
        <w:ind w:firstLine="420" w:firstLineChars="200"/>
        <w:rPr>
          <w:rFonts w:hint="eastAsia" w:ascii="宋体" w:hAnsi="宋体" w:cs="宋体"/>
          <w:color w:val="auto"/>
          <w:szCs w:val="21"/>
          <w:highlight w:val="none"/>
        </w:rPr>
      </w:pPr>
    </w:p>
    <w:p>
      <w:pPr>
        <w:spacing w:line="400" w:lineRule="exact"/>
        <w:ind w:firstLine="420" w:firstLineChars="200"/>
        <w:rPr>
          <w:rFonts w:hint="eastAsia" w:ascii="宋体" w:hAnsi="宋体" w:cs="宋体"/>
          <w:color w:val="auto"/>
          <w:szCs w:val="21"/>
          <w:highlight w:val="none"/>
        </w:rPr>
      </w:pPr>
    </w:p>
    <w:p>
      <w:pPr>
        <w:spacing w:line="400" w:lineRule="exact"/>
        <w:ind w:firstLine="420" w:firstLineChars="200"/>
        <w:rPr>
          <w:rFonts w:hint="eastAsia" w:ascii="宋体" w:hAnsi="宋体" w:cs="宋体"/>
          <w:color w:val="auto"/>
          <w:szCs w:val="21"/>
          <w:highlight w:val="none"/>
        </w:rPr>
      </w:pPr>
    </w:p>
    <w:p>
      <w:pPr>
        <w:spacing w:line="400" w:lineRule="exact"/>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供应商（盖公章）：</w:t>
      </w:r>
    </w:p>
    <w:p>
      <w:pPr>
        <w:spacing w:line="5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20" w:lineRule="exact"/>
        <w:jc w:val="center"/>
        <w:rPr>
          <w:rFonts w:hint="eastAsia" w:ascii="宋体" w:hAnsi="宋体"/>
          <w:b/>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b/>
          <w:color w:val="auto"/>
          <w:sz w:val="32"/>
          <w:szCs w:val="32"/>
          <w:highlight w:val="none"/>
        </w:rPr>
        <w:t>磋   商  书</w:t>
      </w:r>
    </w:p>
    <w:p>
      <w:pPr>
        <w:spacing w:line="320" w:lineRule="exact"/>
        <w:jc w:val="center"/>
        <w:rPr>
          <w:rFonts w:hint="eastAsia" w:ascii="宋体" w:hAnsi="宋体"/>
          <w:b/>
          <w:color w:val="auto"/>
          <w:sz w:val="32"/>
          <w:szCs w:val="32"/>
          <w:highlight w:val="none"/>
        </w:rPr>
      </w:pPr>
    </w:p>
    <w:p>
      <w:pPr>
        <w:pStyle w:val="25"/>
        <w:spacing w:line="320" w:lineRule="exact"/>
        <w:rPr>
          <w:rFonts w:hint="eastAsia" w:hAnsi="宋体"/>
          <w:color w:val="auto"/>
          <w:highlight w:val="none"/>
        </w:rPr>
      </w:pPr>
      <w:r>
        <w:rPr>
          <w:rFonts w:hint="eastAsia" w:hAnsi="宋体"/>
          <w:color w:val="auto"/>
          <w:highlight w:val="none"/>
          <w:u w:val="single"/>
          <w:lang w:eastAsia="zh-CN"/>
        </w:rPr>
        <w:t>广西冠宝工程咨询有限公司</w:t>
      </w:r>
      <w:r>
        <w:rPr>
          <w:rFonts w:hint="eastAsia" w:hAnsi="宋体"/>
          <w:color w:val="auto"/>
          <w:highlight w:val="none"/>
        </w:rPr>
        <w:t>：</w:t>
      </w:r>
    </w:p>
    <w:p>
      <w:pPr>
        <w:pStyle w:val="25"/>
        <w:spacing w:line="320" w:lineRule="exact"/>
        <w:ind w:firstLine="480"/>
        <w:rPr>
          <w:rFonts w:hint="eastAsia"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项目采购的磋商邀请，我方</w:t>
      </w:r>
      <w:r>
        <w:rPr>
          <w:rFonts w:hint="eastAsia" w:hAnsi="宋体"/>
          <w:color w:val="auto"/>
          <w:highlight w:val="none"/>
          <w:u w:val="single"/>
        </w:rPr>
        <w:t>（姓名和职务）</w:t>
      </w:r>
      <w:r>
        <w:rPr>
          <w:rFonts w:hint="eastAsia" w:hAnsi="宋体"/>
          <w:color w:val="auto"/>
          <w:highlight w:val="none"/>
        </w:rPr>
        <w:t>经正式授权并代表供应商</w:t>
      </w:r>
      <w:r>
        <w:rPr>
          <w:rFonts w:hint="eastAsia" w:hAnsi="宋体"/>
          <w:color w:val="auto"/>
          <w:highlight w:val="none"/>
          <w:u w:val="single"/>
        </w:rPr>
        <w:t>（供应商名称、地址）</w:t>
      </w:r>
      <w:r>
        <w:rPr>
          <w:rFonts w:hint="eastAsia" w:hAnsi="宋体"/>
          <w:color w:val="auto"/>
          <w:highlight w:val="none"/>
        </w:rPr>
        <w:t>提交下述响应文件正本一份，副本</w:t>
      </w:r>
      <w:r>
        <w:rPr>
          <w:rFonts w:hint="eastAsia" w:hAnsi="宋体"/>
          <w:color w:val="auto"/>
          <w:highlight w:val="none"/>
          <w:u w:val="single"/>
        </w:rPr>
        <w:t xml:space="preserve">   </w:t>
      </w:r>
      <w:r>
        <w:rPr>
          <w:rFonts w:hint="eastAsia" w:hAnsi="宋体"/>
          <w:color w:val="auto"/>
          <w:highlight w:val="none"/>
        </w:rPr>
        <w:t>份，包含下列内容：</w:t>
      </w:r>
    </w:p>
    <w:p>
      <w:pPr>
        <w:pStyle w:val="25"/>
        <w:spacing w:line="320" w:lineRule="exact"/>
        <w:ind w:firstLine="480"/>
        <w:rPr>
          <w:rFonts w:hint="eastAsia" w:hAnsi="宋体"/>
          <w:color w:val="auto"/>
          <w:highlight w:val="none"/>
        </w:rPr>
      </w:pPr>
      <w:r>
        <w:rPr>
          <w:rFonts w:hint="eastAsia" w:hAnsi="宋体"/>
          <w:color w:val="auto"/>
          <w:highlight w:val="none"/>
          <w:lang w:eastAsia="zh-CN"/>
        </w:rPr>
        <w:t>1</w:t>
      </w:r>
      <w:r>
        <w:rPr>
          <w:rFonts w:hint="eastAsia" w:hAnsi="宋体"/>
          <w:color w:val="auto"/>
          <w:highlight w:val="none"/>
        </w:rPr>
        <w:t>. 工程量清单报价有关资料；</w:t>
      </w:r>
    </w:p>
    <w:p>
      <w:pPr>
        <w:pStyle w:val="25"/>
        <w:spacing w:line="320" w:lineRule="exact"/>
        <w:ind w:firstLine="480"/>
        <w:rPr>
          <w:rFonts w:hint="eastAsia" w:hAnsi="宋体"/>
          <w:color w:val="auto"/>
          <w:highlight w:val="none"/>
        </w:rPr>
      </w:pPr>
      <w:r>
        <w:rPr>
          <w:rFonts w:hint="eastAsia" w:hAnsi="宋体"/>
          <w:color w:val="auto"/>
          <w:highlight w:val="none"/>
          <w:lang w:eastAsia="zh-CN"/>
        </w:rPr>
        <w:t>2</w:t>
      </w:r>
      <w:r>
        <w:rPr>
          <w:rFonts w:hint="eastAsia" w:hAnsi="宋体"/>
          <w:color w:val="auto"/>
          <w:highlight w:val="none"/>
        </w:rPr>
        <w:t>. 按竞争性磋商文件磋商须知和技术规格要求提供的有关文件；</w:t>
      </w:r>
    </w:p>
    <w:p>
      <w:pPr>
        <w:pStyle w:val="25"/>
        <w:spacing w:line="320" w:lineRule="exact"/>
        <w:ind w:firstLine="480"/>
        <w:rPr>
          <w:rFonts w:hint="eastAsia" w:hAnsi="宋体"/>
          <w:color w:val="auto"/>
          <w:highlight w:val="none"/>
          <w:lang w:eastAsia="zh-CN"/>
        </w:rPr>
      </w:pPr>
      <w:r>
        <w:rPr>
          <w:rFonts w:hint="eastAsia" w:hAnsi="宋体"/>
          <w:color w:val="auto"/>
          <w:highlight w:val="none"/>
          <w:lang w:eastAsia="zh-CN"/>
        </w:rPr>
        <w:t>3</w:t>
      </w:r>
      <w:r>
        <w:rPr>
          <w:rFonts w:hint="eastAsia" w:hAnsi="宋体"/>
          <w:color w:val="auto"/>
          <w:highlight w:val="none"/>
        </w:rPr>
        <w:t>. 资格证明文件；</w:t>
      </w:r>
    </w:p>
    <w:p>
      <w:pPr>
        <w:pStyle w:val="25"/>
        <w:spacing w:line="320" w:lineRule="exact"/>
        <w:ind w:firstLine="400" w:firstLineChars="200"/>
        <w:rPr>
          <w:rFonts w:hint="eastAsia" w:hAnsi="宋体"/>
          <w:color w:val="auto"/>
          <w:highlight w:val="none"/>
        </w:rPr>
      </w:pPr>
      <w:r>
        <w:rPr>
          <w:rFonts w:hint="eastAsia" w:hAnsi="宋体"/>
          <w:color w:val="auto"/>
          <w:highlight w:val="none"/>
          <w:lang w:eastAsia="zh-CN"/>
        </w:rPr>
        <w:t>我方已仔细研究了</w:t>
      </w:r>
      <w:r>
        <w:rPr>
          <w:rFonts w:hint="eastAsia" w:hAnsi="宋体"/>
          <w:color w:val="auto"/>
          <w:highlight w:val="none"/>
          <w:u w:val="single"/>
          <w:lang w:eastAsia="zh-CN"/>
        </w:rPr>
        <w:t>（</w:t>
      </w:r>
      <w:r>
        <w:rPr>
          <w:rFonts w:hint="eastAsia" w:hAnsi="宋体"/>
          <w:color w:val="auto"/>
          <w:highlight w:val="none"/>
          <w:u w:val="single"/>
          <w:lang w:val="en-US" w:eastAsia="zh-CN"/>
        </w:rPr>
        <w:t>项目名称</w:t>
      </w:r>
      <w:r>
        <w:rPr>
          <w:rFonts w:hint="eastAsia" w:hAnsi="宋体"/>
          <w:color w:val="auto"/>
          <w:highlight w:val="none"/>
          <w:u w:val="single"/>
          <w:lang w:eastAsia="zh-CN"/>
        </w:rPr>
        <w:t>）</w:t>
      </w:r>
      <w:r>
        <w:rPr>
          <w:rFonts w:hint="eastAsia" w:hAnsi="宋体" w:cs="宋体"/>
          <w:color w:val="auto"/>
          <w:sz w:val="21"/>
          <w:highlight w:val="none"/>
          <w:u w:val="single"/>
          <w:lang w:val="en-US" w:eastAsia="zh-CN"/>
        </w:rPr>
        <w:t xml:space="preserve">                    </w:t>
      </w:r>
      <w:r>
        <w:rPr>
          <w:rFonts w:hint="eastAsia" w:hAnsi="宋体"/>
          <w:color w:val="auto"/>
          <w:highlight w:val="none"/>
          <w:lang w:eastAsia="zh-CN"/>
        </w:rPr>
        <w:t>竞争性磋商文件的全部内容，愿意以人民币(大写)</w:t>
      </w:r>
      <w:r>
        <w:rPr>
          <w:rFonts w:hint="eastAsia" w:hAnsi="宋体"/>
          <w:color w:val="auto"/>
          <w:highlight w:val="none"/>
          <w:u w:val="single"/>
          <w:lang w:eastAsia="zh-CN"/>
        </w:rPr>
        <w:t xml:space="preserve">          </w:t>
      </w:r>
      <w:r>
        <w:rPr>
          <w:rFonts w:hint="eastAsia" w:hAnsi="宋体"/>
          <w:color w:val="auto"/>
          <w:highlight w:val="none"/>
          <w:lang w:eastAsia="zh-CN"/>
        </w:rPr>
        <w:t>元（￥</w:t>
      </w:r>
      <w:r>
        <w:rPr>
          <w:rFonts w:hint="eastAsia" w:hAnsi="宋体"/>
          <w:color w:val="auto"/>
          <w:highlight w:val="none"/>
          <w:u w:val="single"/>
          <w:lang w:eastAsia="zh-CN"/>
        </w:rPr>
        <w:t xml:space="preserve">          </w:t>
      </w:r>
      <w:r>
        <w:rPr>
          <w:rFonts w:hint="eastAsia" w:hAnsi="宋体"/>
          <w:color w:val="auto"/>
          <w:highlight w:val="none"/>
          <w:lang w:eastAsia="zh-CN"/>
        </w:rPr>
        <w:t xml:space="preserve">）为磋商总报价，工期为 </w:t>
      </w:r>
      <w:r>
        <w:rPr>
          <w:rFonts w:hint="eastAsia" w:hAnsi="宋体"/>
          <w:color w:val="auto"/>
          <w:highlight w:val="none"/>
          <w:u w:val="single"/>
          <w:lang w:eastAsia="zh-CN"/>
        </w:rPr>
        <w:t xml:space="preserve">       </w:t>
      </w:r>
      <w:r>
        <w:rPr>
          <w:rFonts w:hint="eastAsia" w:hAnsi="宋体"/>
          <w:color w:val="auto"/>
          <w:highlight w:val="none"/>
          <w:lang w:eastAsia="zh-CN"/>
        </w:rPr>
        <w:t>日历天。按图纸、工程建设标准、合同约定实施和完成承包</w:t>
      </w:r>
      <w:r>
        <w:rPr>
          <w:rFonts w:hint="eastAsia" w:hAnsi="宋体"/>
          <w:color w:val="auto"/>
          <w:highlight w:val="none"/>
          <w:u w:val="single"/>
          <w:lang w:val="en-US" w:eastAsia="zh-CN"/>
        </w:rPr>
        <w:t xml:space="preserve"> </w:t>
      </w:r>
      <w:r>
        <w:rPr>
          <w:rFonts w:hint="eastAsia" w:hAnsi="宋体"/>
          <w:color w:val="auto"/>
          <w:highlight w:val="none"/>
          <w:u w:val="single"/>
          <w:lang w:eastAsia="zh-CN"/>
        </w:rPr>
        <w:t>（</w:t>
      </w:r>
      <w:r>
        <w:rPr>
          <w:rFonts w:hint="eastAsia" w:hAnsi="宋体"/>
          <w:color w:val="auto"/>
          <w:highlight w:val="none"/>
          <w:u w:val="single"/>
          <w:lang w:val="en-US" w:eastAsia="zh-CN"/>
        </w:rPr>
        <w:t>项目名称</w:t>
      </w:r>
      <w:r>
        <w:rPr>
          <w:rFonts w:hint="eastAsia" w:hAnsi="宋体"/>
          <w:color w:val="auto"/>
          <w:highlight w:val="none"/>
          <w:u w:val="single"/>
          <w:lang w:eastAsia="zh-CN"/>
        </w:rPr>
        <w:t>）</w:t>
      </w:r>
      <w:r>
        <w:rPr>
          <w:rFonts w:hint="eastAsia" w:hAnsi="宋体" w:cs="宋体"/>
          <w:color w:val="auto"/>
          <w:sz w:val="21"/>
          <w:highlight w:val="none"/>
          <w:u w:val="single"/>
          <w:lang w:val="en-US" w:eastAsia="zh-CN"/>
        </w:rPr>
        <w:t xml:space="preserve">      </w:t>
      </w:r>
      <w:r>
        <w:rPr>
          <w:rFonts w:hint="eastAsia" w:hAnsi="宋体"/>
          <w:color w:val="auto"/>
          <w:highlight w:val="none"/>
          <w:u w:val="single"/>
          <w:lang w:val="en-US" w:eastAsia="zh-CN"/>
        </w:rPr>
        <w:t xml:space="preserve">             </w:t>
      </w:r>
      <w:r>
        <w:rPr>
          <w:rFonts w:hint="eastAsia" w:hAnsi="宋体"/>
          <w:color w:val="auto"/>
          <w:highlight w:val="none"/>
          <w:lang w:eastAsia="zh-CN"/>
        </w:rPr>
        <w:t>，修补该工程中任何缺陷，工程质量达到</w:t>
      </w:r>
      <w:r>
        <w:rPr>
          <w:rFonts w:hint="eastAsia" w:hAnsi="宋体"/>
          <w:color w:val="auto"/>
          <w:highlight w:val="none"/>
          <w:u w:val="single"/>
          <w:lang w:eastAsia="zh-CN"/>
        </w:rPr>
        <w:t xml:space="preserve">            </w:t>
      </w:r>
      <w:r>
        <w:rPr>
          <w:rFonts w:hint="eastAsia" w:hAnsi="宋体"/>
          <w:color w:val="auto"/>
          <w:highlight w:val="none"/>
          <w:lang w:eastAsia="zh-CN"/>
        </w:rPr>
        <w:t>。</w:t>
      </w:r>
      <w:r>
        <w:rPr>
          <w:rFonts w:hint="eastAsia" w:hAnsi="宋体"/>
          <w:color w:val="auto"/>
          <w:highlight w:val="none"/>
        </w:rPr>
        <w:t>在此，授权代表宣布同意如下：</w:t>
      </w:r>
    </w:p>
    <w:p>
      <w:pPr>
        <w:pStyle w:val="25"/>
        <w:spacing w:line="320" w:lineRule="exact"/>
        <w:ind w:firstLine="480"/>
        <w:rPr>
          <w:rFonts w:hint="eastAsia" w:hAnsi="宋体"/>
          <w:color w:val="auto"/>
          <w:highlight w:val="none"/>
        </w:rPr>
      </w:pPr>
      <w:r>
        <w:rPr>
          <w:rFonts w:hint="eastAsia" w:hAnsi="宋体"/>
          <w:color w:val="auto"/>
          <w:highlight w:val="none"/>
        </w:rPr>
        <w:t>1. 将按竞争性磋商文件的约定履行合同责任和义务；</w:t>
      </w:r>
    </w:p>
    <w:p>
      <w:pPr>
        <w:pStyle w:val="25"/>
        <w:spacing w:line="320" w:lineRule="exact"/>
        <w:ind w:left="840" w:hanging="360"/>
        <w:rPr>
          <w:rFonts w:hint="eastAsia" w:hAnsi="宋体"/>
          <w:color w:val="auto"/>
          <w:highlight w:val="none"/>
        </w:rPr>
      </w:pPr>
      <w:r>
        <w:rPr>
          <w:rFonts w:hint="eastAsia" w:hAnsi="宋体"/>
          <w:color w:val="auto"/>
          <w:highlight w:val="none"/>
        </w:rPr>
        <w:t>2. 已详细审查全部竞争性磋商文件，包括</w:t>
      </w:r>
      <w:r>
        <w:rPr>
          <w:rFonts w:hint="eastAsia" w:hAnsi="宋体"/>
          <w:color w:val="auto"/>
          <w:highlight w:val="none"/>
          <w:u w:val="single"/>
        </w:rPr>
        <w:t>（补遗文件）（如果有的话）</w:t>
      </w:r>
      <w:r>
        <w:rPr>
          <w:rFonts w:hint="eastAsia" w:hAnsi="宋体"/>
          <w:color w:val="auto"/>
          <w:highlight w:val="none"/>
        </w:rPr>
        <w:t>；我们完全理解并同意放弃对这方面有不明及误解的权力；</w:t>
      </w:r>
    </w:p>
    <w:p>
      <w:pPr>
        <w:pStyle w:val="25"/>
        <w:spacing w:line="320" w:lineRule="exact"/>
        <w:ind w:left="840" w:hanging="360"/>
        <w:rPr>
          <w:rFonts w:hint="eastAsia" w:hAnsi="宋体"/>
          <w:color w:val="auto"/>
          <w:highlight w:val="none"/>
        </w:rPr>
      </w:pPr>
      <w:r>
        <w:rPr>
          <w:rFonts w:hint="eastAsia" w:hAnsi="宋体"/>
          <w:color w:val="auto"/>
          <w:highlight w:val="none"/>
        </w:rPr>
        <w:t>3. 同意提供按照贵方可能要求的与其磋商有关的一切数据或资料；</w:t>
      </w:r>
    </w:p>
    <w:p>
      <w:pPr>
        <w:pStyle w:val="25"/>
        <w:spacing w:line="320" w:lineRule="exact"/>
        <w:ind w:left="840" w:hanging="360"/>
        <w:rPr>
          <w:rFonts w:hint="eastAsia" w:hAnsi="宋体"/>
          <w:color w:val="auto"/>
          <w:highlight w:val="none"/>
        </w:rPr>
      </w:pPr>
      <w:r>
        <w:rPr>
          <w:rFonts w:hint="eastAsia" w:hAnsi="宋体"/>
          <w:color w:val="auto"/>
          <w:highlight w:val="none"/>
        </w:rPr>
        <w:t>4. 与本磋商有关的一切正式往来信函请寄：</w:t>
      </w:r>
      <w:r>
        <w:rPr>
          <w:rFonts w:hint="eastAsia" w:hAnsi="宋体"/>
          <w:color w:val="auto"/>
          <w:highlight w:val="none"/>
          <w:u w:val="single"/>
        </w:rPr>
        <w:t xml:space="preserve">                  </w:t>
      </w:r>
      <w:r>
        <w:rPr>
          <w:rFonts w:hint="eastAsia" w:hAnsi="宋体"/>
          <w:color w:val="auto"/>
          <w:highlight w:val="none"/>
        </w:rPr>
        <w:t>邮政编号：</w:t>
      </w:r>
      <w:r>
        <w:rPr>
          <w:rFonts w:hint="eastAsia" w:hAnsi="宋体"/>
          <w:color w:val="auto"/>
          <w:highlight w:val="none"/>
          <w:u w:val="single"/>
        </w:rPr>
        <w:t xml:space="preserve">    </w:t>
      </w:r>
    </w:p>
    <w:p>
      <w:pPr>
        <w:pStyle w:val="25"/>
        <w:spacing w:line="320" w:lineRule="exact"/>
        <w:ind w:firstLine="840"/>
        <w:rPr>
          <w:rFonts w:hint="eastAsia" w:hAnsi="宋体"/>
          <w:color w:val="auto"/>
          <w:highlight w:val="none"/>
        </w:rPr>
      </w:pPr>
      <w:r>
        <w:rPr>
          <w:rFonts w:hint="eastAsia" w:hAnsi="宋体"/>
          <w:color w:val="auto"/>
          <w:highlight w:val="none"/>
        </w:rPr>
        <w:t>电话/传真：</w:t>
      </w:r>
      <w:r>
        <w:rPr>
          <w:rFonts w:hint="eastAsia" w:hAnsi="宋体"/>
          <w:color w:val="auto"/>
          <w:highlight w:val="none"/>
          <w:u w:val="single"/>
        </w:rPr>
        <w:t xml:space="preserve">                        </w:t>
      </w:r>
      <w:r>
        <w:rPr>
          <w:rFonts w:hint="eastAsia" w:hAnsi="宋体"/>
          <w:color w:val="auto"/>
          <w:highlight w:val="none"/>
        </w:rPr>
        <w:t xml:space="preserve"> 电子函件：</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20" w:lineRule="exact"/>
        <w:ind w:firstLine="840"/>
        <w:rPr>
          <w:rFonts w:hint="eastAsia" w:hAnsi="宋体"/>
          <w:color w:val="auto"/>
          <w:highlight w:val="none"/>
        </w:rPr>
      </w:pPr>
    </w:p>
    <w:p>
      <w:pPr>
        <w:pStyle w:val="25"/>
        <w:spacing w:line="320" w:lineRule="exact"/>
        <w:ind w:firstLine="840"/>
        <w:rPr>
          <w:rFonts w:hint="eastAsia" w:hAnsi="宋体"/>
          <w:color w:val="auto"/>
          <w:highlight w:val="none"/>
          <w:u w:val="single"/>
        </w:rPr>
      </w:pPr>
      <w:r>
        <w:rPr>
          <w:rFonts w:hint="eastAsia" w:hAnsi="宋体"/>
          <w:color w:val="auto"/>
          <w:highlight w:val="none"/>
        </w:rPr>
        <w:t>法定代表人或被授权人签字：</w:t>
      </w:r>
      <w:r>
        <w:rPr>
          <w:rFonts w:hint="eastAsia" w:hAnsi="宋体"/>
          <w:color w:val="auto"/>
          <w:highlight w:val="none"/>
          <w:u w:val="single"/>
        </w:rPr>
        <w:t xml:space="preserve">                       </w:t>
      </w:r>
    </w:p>
    <w:p>
      <w:pPr>
        <w:pStyle w:val="25"/>
        <w:spacing w:line="320" w:lineRule="exact"/>
        <w:ind w:firstLine="840"/>
        <w:rPr>
          <w:rFonts w:hint="eastAsia" w:hAnsi="宋体"/>
          <w:color w:val="auto"/>
          <w:highlight w:val="none"/>
        </w:rPr>
      </w:pPr>
      <w:r>
        <w:rPr>
          <w:rFonts w:hint="eastAsia" w:hAnsi="宋体"/>
          <w:color w:val="auto"/>
          <w:highlight w:val="none"/>
        </w:rPr>
        <w:t>供应商名称（公章）：</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20" w:lineRule="exact"/>
        <w:ind w:firstLine="840"/>
        <w:rPr>
          <w:rFonts w:hint="eastAsia" w:hAnsi="宋体"/>
          <w:color w:val="auto"/>
          <w:highlight w:val="none"/>
          <w:u w:val="singl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pStyle w:val="25"/>
        <w:spacing w:line="320" w:lineRule="exact"/>
        <w:ind w:firstLine="840"/>
        <w:rPr>
          <w:rFonts w:hint="eastAsia" w:hAnsi="宋体"/>
          <w:color w:val="auto"/>
          <w:highlight w:val="none"/>
        </w:rPr>
      </w:pPr>
    </w:p>
    <w:p>
      <w:pPr>
        <w:snapToGrid w:val="0"/>
        <w:spacing w:before="50" w:after="50" w:line="440" w:lineRule="exact"/>
        <w:ind w:right="-817" w:rightChars="-389" w:firstLine="3570" w:firstLineChars="1700"/>
        <w:rPr>
          <w:rFonts w:hint="eastAsia" w:ascii="宋体" w:hAnsi="宋体" w:cs="宋体"/>
          <w:b/>
          <w:color w:val="auto"/>
          <w:szCs w:val="21"/>
          <w:highlight w:val="none"/>
        </w:rPr>
      </w:pPr>
      <w:r>
        <w:rPr>
          <w:rFonts w:hint="eastAsia" w:hAnsi="宋体"/>
          <w:color w:val="auto"/>
          <w:highlight w:val="none"/>
        </w:rPr>
        <w:t>开户银行：</w:t>
      </w:r>
      <w:r>
        <w:rPr>
          <w:rFonts w:hint="eastAsia" w:hAnsi="宋体"/>
          <w:color w:val="auto"/>
          <w:highlight w:val="none"/>
          <w:u w:val="single"/>
        </w:rPr>
        <w:t xml:space="preserve">                         </w:t>
      </w:r>
      <w:r>
        <w:rPr>
          <w:rFonts w:hint="eastAsia" w:hAnsi="宋体"/>
          <w:color w:val="auto"/>
          <w:highlight w:val="none"/>
        </w:rPr>
        <w:t xml:space="preserve">  帐号/行号：</w:t>
      </w:r>
      <w:r>
        <w:rPr>
          <w:rFonts w:hint="eastAsia" w:hAnsi="宋体"/>
          <w:color w:val="auto"/>
          <w:highlight w:val="none"/>
          <w:u w:val="single"/>
        </w:rPr>
        <w:t xml:space="preserve">           </w:t>
      </w:r>
      <w:r>
        <w:rPr>
          <w:rFonts w:hint="eastAsia" w:hAnsi="宋体"/>
          <w:color w:val="auto"/>
          <w:highlight w:val="none"/>
        </w:rPr>
        <w:t xml:space="preserve"> </w:t>
      </w:r>
    </w:p>
    <w:p>
      <w:pPr>
        <w:spacing w:before="240" w:beforeLines="100" w:after="120" w:afterLines="50" w:line="520" w:lineRule="exact"/>
        <w:ind w:left="540"/>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Cs/>
          <w:color w:val="auto"/>
          <w:sz w:val="32"/>
          <w:szCs w:val="32"/>
          <w:highlight w:val="none"/>
        </w:rPr>
        <w:t>法定代表人证明书</w:t>
      </w:r>
    </w:p>
    <w:p>
      <w:pPr>
        <w:spacing w:line="520" w:lineRule="exact"/>
        <w:ind w:left="540"/>
        <w:rPr>
          <w:rFonts w:hint="eastAsia" w:ascii="宋体" w:hAnsi="宋体" w:cs="宋体"/>
          <w:color w:val="auto"/>
          <w:sz w:val="32"/>
          <w:szCs w:val="32"/>
          <w:highlight w:val="none"/>
        </w:rPr>
      </w:pPr>
    </w:p>
    <w:p>
      <w:pPr>
        <w:spacing w:line="520" w:lineRule="exact"/>
        <w:ind w:left="540"/>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spacing w:line="520" w:lineRule="exact"/>
        <w:ind w:left="54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520" w:lineRule="exact"/>
        <w:ind w:left="540"/>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520" w:lineRule="exact"/>
        <w:ind w:left="540"/>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520" w:lineRule="exact"/>
        <w:ind w:left="54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pPr>
        <w:spacing w:line="520" w:lineRule="exact"/>
        <w:ind w:left="540"/>
        <w:rPr>
          <w:rFonts w:hint="eastAsia"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pacing w:line="520" w:lineRule="exact"/>
        <w:ind w:left="540"/>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520" w:lineRule="exact"/>
        <w:ind w:left="540"/>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w:t>
      </w:r>
    </w:p>
    <w:p>
      <w:pPr>
        <w:spacing w:line="520" w:lineRule="exact"/>
        <w:ind w:left="540"/>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520" w:lineRule="exact"/>
        <w:ind w:left="540"/>
        <w:rPr>
          <w:rFonts w:hint="eastAsia" w:ascii="宋体" w:hAnsi="宋体" w:cs="宋体"/>
          <w:color w:val="auto"/>
          <w:szCs w:val="21"/>
          <w:highlight w:val="none"/>
        </w:rPr>
      </w:pPr>
    </w:p>
    <w:p>
      <w:pPr>
        <w:spacing w:line="520" w:lineRule="exact"/>
        <w:ind w:left="540"/>
        <w:rPr>
          <w:rFonts w:hint="eastAsia" w:ascii="宋体" w:hAnsi="宋体" w:cs="宋体"/>
          <w:color w:val="auto"/>
          <w:szCs w:val="21"/>
          <w:highlight w:val="none"/>
        </w:rPr>
      </w:pPr>
    </w:p>
    <w:p>
      <w:pPr>
        <w:spacing w:line="520" w:lineRule="exact"/>
        <w:ind w:left="540"/>
        <w:rPr>
          <w:rFonts w:hint="eastAsia" w:ascii="宋体" w:hAnsi="宋体" w:cs="宋体"/>
          <w:color w:val="auto"/>
          <w:szCs w:val="21"/>
          <w:highlight w:val="none"/>
        </w:rPr>
      </w:pPr>
    </w:p>
    <w:p>
      <w:pPr>
        <w:spacing w:line="520" w:lineRule="exact"/>
        <w:ind w:left="540"/>
        <w:rPr>
          <w:rFonts w:hint="eastAsia"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pPr>
        <w:spacing w:line="520" w:lineRule="exact"/>
        <w:ind w:left="540"/>
        <w:rPr>
          <w:rFonts w:hint="eastAsia" w:ascii="宋体" w:hAnsi="宋体" w:cs="宋体"/>
          <w:color w:val="auto"/>
          <w:szCs w:val="21"/>
          <w:highlight w:val="none"/>
        </w:rPr>
      </w:pPr>
    </w:p>
    <w:p>
      <w:pPr>
        <w:wordWrap w:val="0"/>
        <w:spacing w:line="520" w:lineRule="exact"/>
        <w:ind w:left="540"/>
        <w:jc w:val="right"/>
        <w:rPr>
          <w:rFonts w:hint="eastAsia"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pPr>
        <w:snapToGrid w:val="0"/>
        <w:spacing w:before="120" w:beforeLines="50" w:after="50" w:line="52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before="120" w:beforeLines="50" w:after="50" w:line="520" w:lineRule="exact"/>
        <w:jc w:val="center"/>
        <w:rPr>
          <w:rFonts w:hint="eastAsia" w:ascii="宋体" w:hAnsi="宋体" w:cs="宋体"/>
          <w:b/>
          <w:color w:val="auto"/>
          <w:szCs w:val="21"/>
          <w:highlight w:val="none"/>
        </w:rPr>
      </w:pPr>
    </w:p>
    <w:p>
      <w:pPr>
        <w:snapToGrid w:val="0"/>
        <w:spacing w:before="120" w:beforeLines="50" w:after="50" w:line="360" w:lineRule="exact"/>
        <w:jc w:val="left"/>
        <w:rPr>
          <w:rFonts w:hint="eastAsia" w:ascii="宋体" w:hAnsi="宋体" w:cs="宋体"/>
          <w:color w:val="auto"/>
          <w:szCs w:val="21"/>
          <w:highlight w:val="none"/>
        </w:rPr>
      </w:pPr>
    </w:p>
    <w:p>
      <w:pPr>
        <w:snapToGrid w:val="0"/>
        <w:spacing w:before="120" w:beforeLines="50" w:after="50"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注：1.自然人竞标的无需提供，联合体竞标的只需牵头人出具。</w:t>
      </w:r>
    </w:p>
    <w:p>
      <w:pPr>
        <w:snapToGrid w:val="0"/>
        <w:spacing w:before="120" w:beforeLines="50" w:after="50" w:line="36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2.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adjustRightInd w:val="0"/>
        <w:snapToGrid w:val="0"/>
        <w:spacing w:line="300" w:lineRule="auto"/>
        <w:jc w:val="left"/>
        <w:rPr>
          <w:rFonts w:hint="eastAsia" w:ascii="宋体" w:hAnsi="宋体" w:cs="宋体"/>
          <w:b/>
          <w:color w:val="auto"/>
          <w:szCs w:val="21"/>
          <w:highlight w:val="none"/>
        </w:rPr>
      </w:pPr>
    </w:p>
    <w:p>
      <w:pPr>
        <w:spacing w:line="500" w:lineRule="exact"/>
        <w:jc w:val="both"/>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 </w:t>
      </w:r>
    </w:p>
    <w:p>
      <w:pPr>
        <w:spacing w:line="52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法定代表人授权委托书</w:t>
      </w:r>
    </w:p>
    <w:p>
      <w:pPr>
        <w:spacing w:line="520" w:lineRule="exact"/>
        <w:jc w:val="center"/>
        <w:rPr>
          <w:rFonts w:hint="eastAsia" w:ascii="宋体" w:hAnsi="宋体" w:cs="宋体"/>
          <w:color w:val="auto"/>
          <w:sz w:val="44"/>
          <w:szCs w:val="44"/>
          <w:highlight w:val="none"/>
        </w:rPr>
      </w:pPr>
      <w:r>
        <w:rPr>
          <w:rFonts w:hint="eastAsia" w:ascii="宋体" w:hAnsi="宋体" w:cs="宋体"/>
          <w:color w:val="auto"/>
          <w:sz w:val="32"/>
          <w:szCs w:val="32"/>
          <w:highlight w:val="none"/>
        </w:rPr>
        <w:t>（如有委托时）</w:t>
      </w:r>
    </w:p>
    <w:p>
      <w:pPr>
        <w:spacing w:line="520" w:lineRule="exact"/>
        <w:rPr>
          <w:rFonts w:hint="eastAsia" w:ascii="宋体" w:hAnsi="宋体" w:cs="宋体"/>
          <w:color w:val="auto"/>
          <w:sz w:val="32"/>
          <w:szCs w:val="32"/>
          <w:highlight w:val="none"/>
        </w:rPr>
      </w:pP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项目的竞标活动，并代表我方全权办理针对上述项目的所有采购程序和环节的具体事务和签署相关文件。</w:t>
      </w: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委托代理人无转委托权，特此委托。</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pPr>
        <w:spacing w:line="520" w:lineRule="exact"/>
        <w:rPr>
          <w:rFonts w:hint="eastAsia" w:ascii="宋体" w:hAnsi="宋体" w:cs="宋体"/>
          <w:color w:val="auto"/>
          <w:szCs w:val="21"/>
          <w:highlight w:val="none"/>
        </w:rPr>
      </w:pP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委托代理人（签字）：                        法定代表人（签字）：                    </w:t>
      </w: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委托代理人身份证号码：                              </w:t>
      </w: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供应商（盖公章）：                      </w:t>
      </w: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52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注：1.法定代表人和委托代理人必须在授权委托书上亲笔签名，不得使用印章、签名章或其他电子制版签名代替；</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pStyle w:val="30"/>
        <w:rPr>
          <w:rFonts w:hint="eastAsia"/>
          <w:color w:val="auto"/>
          <w:highlight w:val="none"/>
        </w:rPr>
      </w:pPr>
    </w:p>
    <w:p>
      <w:pPr>
        <w:adjustRightInd w:val="0"/>
        <w:snapToGrid w:val="0"/>
        <w:spacing w:line="520" w:lineRule="exact"/>
        <w:rPr>
          <w:rFonts w:hint="eastAsia" w:ascii="宋体" w:hAnsi="宋体" w:cs="宋体"/>
          <w:color w:val="auto"/>
          <w:szCs w:val="21"/>
          <w:highlight w:val="none"/>
          <w:u w:val="single"/>
        </w:rPr>
      </w:pPr>
    </w:p>
    <w:p>
      <w:pPr>
        <w:spacing w:line="300" w:lineRule="auto"/>
        <w:rPr>
          <w:rFonts w:hint="eastAsia" w:ascii="宋体" w:hAnsi="宋体" w:cs="宋体"/>
          <w:b/>
          <w:bCs/>
          <w:color w:val="auto"/>
          <w:sz w:val="24"/>
          <w:highlight w:val="none"/>
        </w:rPr>
      </w:pPr>
    </w:p>
    <w:p>
      <w:pPr>
        <w:spacing w:line="300" w:lineRule="auto"/>
        <w:rPr>
          <w:rFonts w:hint="eastAsia" w:ascii="宋体" w:hAnsi="宋体" w:cs="宋体"/>
          <w:color w:val="auto"/>
          <w:szCs w:val="21"/>
          <w:highlight w:val="none"/>
        </w:rPr>
      </w:pPr>
      <w:r>
        <w:rPr>
          <w:rFonts w:hint="eastAsia" w:ascii="宋体" w:hAnsi="宋体" w:cs="宋体"/>
          <w:b/>
          <w:bCs/>
          <w:color w:val="auto"/>
          <w:sz w:val="24"/>
          <w:highlight w:val="none"/>
        </w:rPr>
        <w:t>其他文书、文件格式</w:t>
      </w:r>
    </w:p>
    <w:p>
      <w:pPr>
        <w:spacing w:line="520" w:lineRule="exact"/>
        <w:ind w:firstLine="640" w:firstLineChars="200"/>
        <w:jc w:val="center"/>
        <w:rPr>
          <w:rFonts w:hint="eastAsia" w:ascii="宋体" w:hAnsi="宋体" w:cs="宋体"/>
          <w:b w:val="0"/>
          <w:bCs w:val="0"/>
          <w:color w:val="auto"/>
          <w:sz w:val="32"/>
          <w:szCs w:val="32"/>
          <w:highlight w:val="none"/>
        </w:rPr>
      </w:pPr>
      <w:r>
        <w:rPr>
          <w:rFonts w:hint="eastAsia" w:ascii="宋体" w:hAnsi="宋体" w:cs="宋体"/>
          <w:b w:val="0"/>
          <w:bCs w:val="0"/>
          <w:color w:val="auto"/>
          <w:sz w:val="32"/>
          <w:szCs w:val="32"/>
          <w:highlight w:val="none"/>
        </w:rPr>
        <w:t>中小企业声明函（工程）</w:t>
      </w:r>
    </w:p>
    <w:p>
      <w:pPr>
        <w:pStyle w:val="30"/>
        <w:rPr>
          <w:rFonts w:hint="eastAsia"/>
          <w:color w:val="auto"/>
          <w:highlight w:val="none"/>
          <w:lang w:val="en-US" w:eastAsia="zh-CN"/>
        </w:rPr>
      </w:pPr>
    </w:p>
    <w:p>
      <w:pPr>
        <w:spacing w:line="276" w:lineRule="auto"/>
        <w:ind w:firstLine="584" w:firstLineChars="200"/>
        <w:rPr>
          <w:rFonts w:hint="eastAsia"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本公司（联合体）郑重声明，根据《政府采购促进中小企业发展管理办法》（财库﹝2020﹞46 号）的规定，本公司 （联合体）参加（单位名称）的（项目名称）采购活动，工程的施工单位全部为符合政策要求的中小企业（或者：服务全部由符合政策要求的中小企业承接）。相关企业（含联合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spacing w:line="276" w:lineRule="auto"/>
        <w:ind w:firstLine="730" w:firstLineChars="250"/>
        <w:rPr>
          <w:rFonts w:hint="eastAsia"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 xml:space="preserve">1. </w:t>
      </w:r>
      <w:r>
        <w:rPr>
          <w:rFonts w:hint="eastAsia" w:ascii="仿宋_GB2312" w:eastAsia="仿宋_GB2312"/>
          <w:color w:val="auto"/>
          <w:spacing w:val="6"/>
          <w:sz w:val="28"/>
          <w:szCs w:val="28"/>
          <w:highlight w:val="none"/>
          <w:u w:val="single"/>
        </w:rPr>
        <w:t xml:space="preserve">（标的名称） </w:t>
      </w:r>
      <w:r>
        <w:rPr>
          <w:rFonts w:hint="eastAsia" w:ascii="仿宋_GB2312" w:eastAsia="仿宋_GB2312"/>
          <w:color w:val="auto"/>
          <w:spacing w:val="6"/>
          <w:sz w:val="28"/>
          <w:szCs w:val="28"/>
          <w:highlight w:val="none"/>
        </w:rPr>
        <w:t>，属于</w:t>
      </w:r>
      <w:r>
        <w:rPr>
          <w:rFonts w:hint="eastAsia" w:ascii="仿宋_GB2312" w:eastAsia="仿宋_GB2312"/>
          <w:color w:val="auto"/>
          <w:spacing w:val="6"/>
          <w:sz w:val="28"/>
          <w:szCs w:val="28"/>
          <w:highlight w:val="none"/>
          <w:u w:val="single"/>
        </w:rPr>
        <w:t>（采购文件中明确的所属行业）</w:t>
      </w:r>
      <w:r>
        <w:rPr>
          <w:rFonts w:hint="eastAsia" w:ascii="仿宋_GB2312" w:eastAsia="仿宋_GB2312"/>
          <w:color w:val="auto"/>
          <w:spacing w:val="6"/>
          <w:sz w:val="28"/>
          <w:szCs w:val="28"/>
          <w:highlight w:val="none"/>
        </w:rPr>
        <w:t>；承建（承接）企业为</w:t>
      </w:r>
      <w:r>
        <w:rPr>
          <w:rFonts w:hint="eastAsia" w:ascii="仿宋_GB2312" w:eastAsia="仿宋_GB2312"/>
          <w:color w:val="auto"/>
          <w:spacing w:val="6"/>
          <w:sz w:val="28"/>
          <w:szCs w:val="28"/>
          <w:highlight w:val="none"/>
          <w:u w:val="single"/>
        </w:rPr>
        <w:t>（企业名称）</w:t>
      </w:r>
      <w:r>
        <w:rPr>
          <w:rFonts w:hint="eastAsia" w:ascii="仿宋_GB2312" w:eastAsia="仿宋_GB2312"/>
          <w:color w:val="auto"/>
          <w:spacing w:val="6"/>
          <w:sz w:val="28"/>
          <w:szCs w:val="28"/>
          <w:highlight w:val="none"/>
        </w:rPr>
        <w:t>，从业人员</w:t>
      </w:r>
      <w:r>
        <w:rPr>
          <w:rFonts w:hint="eastAsia" w:ascii="仿宋_GB2312" w:eastAsia="仿宋_GB2312"/>
          <w:color w:val="auto"/>
          <w:spacing w:val="6"/>
          <w:sz w:val="28"/>
          <w:szCs w:val="28"/>
          <w:highlight w:val="none"/>
          <w:u w:val="single"/>
        </w:rPr>
        <w:t xml:space="preserve">    </w:t>
      </w:r>
      <w:r>
        <w:rPr>
          <w:rFonts w:hint="eastAsia" w:ascii="仿宋_GB2312" w:eastAsia="仿宋_GB2312"/>
          <w:color w:val="auto"/>
          <w:spacing w:val="6"/>
          <w:sz w:val="28"/>
          <w:szCs w:val="28"/>
          <w:highlight w:val="none"/>
        </w:rPr>
        <w:t xml:space="preserve">人，营业收入为 </w:t>
      </w:r>
      <w:r>
        <w:rPr>
          <w:rFonts w:hint="eastAsia" w:ascii="仿宋_GB2312" w:eastAsia="仿宋_GB2312"/>
          <w:color w:val="auto"/>
          <w:spacing w:val="6"/>
          <w:sz w:val="28"/>
          <w:szCs w:val="28"/>
          <w:highlight w:val="none"/>
          <w:u w:val="single"/>
        </w:rPr>
        <w:t xml:space="preserve">   万元</w:t>
      </w:r>
      <w:r>
        <w:rPr>
          <w:rFonts w:hint="eastAsia" w:ascii="仿宋_GB2312" w:eastAsia="仿宋_GB2312"/>
          <w:color w:val="auto"/>
          <w:spacing w:val="6"/>
          <w:sz w:val="28"/>
          <w:szCs w:val="28"/>
          <w:highlight w:val="none"/>
        </w:rPr>
        <w:t>，资产总额为</w:t>
      </w:r>
      <w:r>
        <w:rPr>
          <w:rFonts w:hint="eastAsia" w:ascii="仿宋_GB2312" w:eastAsia="仿宋_GB2312"/>
          <w:color w:val="auto"/>
          <w:spacing w:val="6"/>
          <w:sz w:val="28"/>
          <w:szCs w:val="28"/>
          <w:highlight w:val="none"/>
          <w:u w:val="single"/>
        </w:rPr>
        <w:t xml:space="preserve">     万元</w:t>
      </w:r>
      <w:r>
        <w:rPr>
          <w:rFonts w:hint="eastAsia" w:ascii="仿宋_GB2312" w:eastAsia="仿宋_GB2312"/>
          <w:color w:val="auto"/>
          <w:spacing w:val="6"/>
          <w:sz w:val="28"/>
          <w:szCs w:val="28"/>
          <w:highlight w:val="none"/>
        </w:rPr>
        <w:t>，属于</w:t>
      </w:r>
      <w:r>
        <w:rPr>
          <w:rFonts w:hint="eastAsia" w:ascii="仿宋_GB2312" w:eastAsia="仿宋_GB2312"/>
          <w:color w:val="auto"/>
          <w:spacing w:val="6"/>
          <w:sz w:val="28"/>
          <w:szCs w:val="28"/>
          <w:highlight w:val="none"/>
          <w:u w:val="single"/>
        </w:rPr>
        <w:t>（中型企业、小型企业、微型企业）</w:t>
      </w:r>
      <w:r>
        <w:rPr>
          <w:rFonts w:hint="eastAsia" w:ascii="仿宋_GB2312" w:eastAsia="仿宋_GB2312"/>
          <w:color w:val="auto"/>
          <w:spacing w:val="6"/>
          <w:sz w:val="28"/>
          <w:szCs w:val="28"/>
          <w:highlight w:val="none"/>
        </w:rPr>
        <w:t xml:space="preserve">； </w:t>
      </w:r>
    </w:p>
    <w:p>
      <w:pPr>
        <w:spacing w:line="276" w:lineRule="auto"/>
        <w:ind w:firstLine="584" w:firstLineChars="200"/>
        <w:rPr>
          <w:rFonts w:hint="eastAsia"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2.</w:t>
      </w:r>
      <w:r>
        <w:rPr>
          <w:rFonts w:hint="eastAsia" w:ascii="仿宋_GB2312" w:eastAsia="仿宋_GB2312"/>
          <w:color w:val="auto"/>
          <w:spacing w:val="6"/>
          <w:sz w:val="28"/>
          <w:szCs w:val="28"/>
          <w:highlight w:val="none"/>
          <w:u w:val="single"/>
        </w:rPr>
        <w:t xml:space="preserve"> （标的名称） </w:t>
      </w:r>
      <w:r>
        <w:rPr>
          <w:rFonts w:hint="eastAsia" w:ascii="仿宋_GB2312" w:eastAsia="仿宋_GB2312"/>
          <w:color w:val="auto"/>
          <w:spacing w:val="6"/>
          <w:sz w:val="28"/>
          <w:szCs w:val="28"/>
          <w:highlight w:val="none"/>
        </w:rPr>
        <w:t>，属于</w:t>
      </w:r>
      <w:r>
        <w:rPr>
          <w:rFonts w:hint="eastAsia" w:ascii="仿宋_GB2312" w:eastAsia="仿宋_GB2312"/>
          <w:color w:val="auto"/>
          <w:spacing w:val="6"/>
          <w:sz w:val="28"/>
          <w:szCs w:val="28"/>
          <w:highlight w:val="none"/>
          <w:u w:val="single"/>
        </w:rPr>
        <w:t>（采购文件中明确的所属行业）</w:t>
      </w:r>
      <w:r>
        <w:rPr>
          <w:rFonts w:hint="eastAsia" w:ascii="仿宋_GB2312" w:eastAsia="仿宋_GB2312"/>
          <w:color w:val="auto"/>
          <w:spacing w:val="6"/>
          <w:sz w:val="28"/>
          <w:szCs w:val="28"/>
          <w:highlight w:val="none"/>
        </w:rPr>
        <w:t>； 承建（承接）企业为</w:t>
      </w:r>
      <w:r>
        <w:rPr>
          <w:rFonts w:hint="eastAsia" w:ascii="仿宋_GB2312" w:eastAsia="仿宋_GB2312"/>
          <w:color w:val="auto"/>
          <w:spacing w:val="6"/>
          <w:sz w:val="28"/>
          <w:szCs w:val="28"/>
          <w:highlight w:val="none"/>
          <w:u w:val="single"/>
        </w:rPr>
        <w:t>（企业名称）</w:t>
      </w:r>
      <w:r>
        <w:rPr>
          <w:rFonts w:hint="eastAsia" w:ascii="仿宋_GB2312" w:eastAsia="仿宋_GB2312"/>
          <w:color w:val="auto"/>
          <w:spacing w:val="6"/>
          <w:sz w:val="28"/>
          <w:szCs w:val="28"/>
          <w:highlight w:val="none"/>
        </w:rPr>
        <w:t>，从业人员</w:t>
      </w:r>
      <w:r>
        <w:rPr>
          <w:rFonts w:hint="eastAsia" w:ascii="仿宋_GB2312" w:eastAsia="仿宋_GB2312"/>
          <w:color w:val="auto"/>
          <w:spacing w:val="6"/>
          <w:sz w:val="28"/>
          <w:szCs w:val="28"/>
          <w:highlight w:val="none"/>
          <w:u w:val="single"/>
        </w:rPr>
        <w:t xml:space="preserve">    </w:t>
      </w:r>
      <w:r>
        <w:rPr>
          <w:rFonts w:hint="eastAsia" w:ascii="仿宋_GB2312" w:eastAsia="仿宋_GB2312"/>
          <w:color w:val="auto"/>
          <w:spacing w:val="6"/>
          <w:sz w:val="28"/>
          <w:szCs w:val="28"/>
          <w:highlight w:val="none"/>
        </w:rPr>
        <w:t>人，营业收入为</w:t>
      </w:r>
      <w:r>
        <w:rPr>
          <w:rFonts w:hint="eastAsia" w:ascii="仿宋_GB2312" w:eastAsia="仿宋_GB2312"/>
          <w:color w:val="auto"/>
          <w:spacing w:val="6"/>
          <w:sz w:val="28"/>
          <w:szCs w:val="28"/>
          <w:highlight w:val="none"/>
          <w:u w:val="single"/>
        </w:rPr>
        <w:t xml:space="preserve">     </w:t>
      </w:r>
      <w:r>
        <w:rPr>
          <w:rFonts w:hint="eastAsia" w:ascii="仿宋_GB2312" w:eastAsia="仿宋_GB2312"/>
          <w:color w:val="auto"/>
          <w:spacing w:val="6"/>
          <w:sz w:val="28"/>
          <w:szCs w:val="28"/>
          <w:highlight w:val="none"/>
        </w:rPr>
        <w:t>万元，资产总额为</w:t>
      </w:r>
      <w:r>
        <w:rPr>
          <w:rFonts w:hint="eastAsia" w:ascii="仿宋_GB2312" w:eastAsia="仿宋_GB2312"/>
          <w:color w:val="auto"/>
          <w:spacing w:val="6"/>
          <w:sz w:val="28"/>
          <w:szCs w:val="28"/>
          <w:highlight w:val="none"/>
          <w:u w:val="single"/>
        </w:rPr>
        <w:t xml:space="preserve">     </w:t>
      </w:r>
      <w:r>
        <w:rPr>
          <w:rFonts w:hint="eastAsia" w:ascii="仿宋_GB2312" w:eastAsia="仿宋_GB2312"/>
          <w:color w:val="auto"/>
          <w:spacing w:val="6"/>
          <w:sz w:val="28"/>
          <w:szCs w:val="28"/>
          <w:highlight w:val="none"/>
        </w:rPr>
        <w:t>万元，属于</w:t>
      </w:r>
      <w:r>
        <w:rPr>
          <w:rFonts w:hint="eastAsia" w:ascii="仿宋_GB2312" w:eastAsia="仿宋_GB2312"/>
          <w:color w:val="auto"/>
          <w:spacing w:val="6"/>
          <w:sz w:val="28"/>
          <w:szCs w:val="28"/>
          <w:highlight w:val="none"/>
          <w:u w:val="single"/>
        </w:rPr>
        <w:t>（中型企业、 小型企业、微型企业）</w:t>
      </w:r>
      <w:r>
        <w:rPr>
          <w:rFonts w:hint="eastAsia" w:ascii="仿宋_GB2312" w:eastAsia="仿宋_GB2312"/>
          <w:color w:val="auto"/>
          <w:spacing w:val="6"/>
          <w:sz w:val="28"/>
          <w:szCs w:val="28"/>
          <w:highlight w:val="none"/>
        </w:rPr>
        <w:t xml:space="preserve">； </w:t>
      </w:r>
    </w:p>
    <w:p>
      <w:pPr>
        <w:spacing w:line="276" w:lineRule="auto"/>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w:t>
      </w:r>
    </w:p>
    <w:p>
      <w:pPr>
        <w:spacing w:line="276" w:lineRule="auto"/>
        <w:ind w:firstLine="584" w:firstLineChars="200"/>
        <w:rPr>
          <w:rFonts w:hint="eastAsia"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以上企业，不属于大企业的分支机构，不存在控股股东为大企业的情形，也不存在与大企业的负责人为同一人的情形。</w:t>
      </w:r>
    </w:p>
    <w:p>
      <w:pPr>
        <w:spacing w:line="276" w:lineRule="auto"/>
        <w:ind w:firstLine="584" w:firstLineChars="200"/>
        <w:rPr>
          <w:rFonts w:hint="eastAsia"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 xml:space="preserve">本企业对上述声明内容的真实性负责。如有虚假，将依法承担相应责任。 </w:t>
      </w:r>
    </w:p>
    <w:p>
      <w:pPr>
        <w:pStyle w:val="30"/>
        <w:rPr>
          <w:rFonts w:hint="eastAsia"/>
          <w:color w:val="auto"/>
          <w:sz w:val="28"/>
          <w:szCs w:val="28"/>
          <w:highlight w:val="none"/>
          <w:lang w:val="en-US" w:eastAsia="zh-CN"/>
        </w:rPr>
      </w:pPr>
    </w:p>
    <w:p>
      <w:pPr>
        <w:pStyle w:val="30"/>
        <w:rPr>
          <w:rFonts w:hint="eastAsia"/>
          <w:color w:val="auto"/>
          <w:sz w:val="28"/>
          <w:szCs w:val="28"/>
          <w:highlight w:val="none"/>
          <w:lang w:val="en-US" w:eastAsia="zh-CN"/>
        </w:rPr>
      </w:pPr>
    </w:p>
    <w:p>
      <w:pPr>
        <w:spacing w:line="276" w:lineRule="auto"/>
        <w:jc w:val="right"/>
        <w:rPr>
          <w:rFonts w:hint="eastAsia"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企业名称（盖章）：</w:t>
      </w:r>
    </w:p>
    <w:p>
      <w:pPr>
        <w:spacing w:line="276" w:lineRule="auto"/>
        <w:ind w:firstLine="584" w:firstLineChars="200"/>
        <w:jc w:val="right"/>
        <w:rPr>
          <w:rFonts w:hint="eastAsia" w:ascii="宋体" w:hAnsi="宋体" w:cs="宋体"/>
          <w:color w:val="auto"/>
          <w:sz w:val="24"/>
          <w:highlight w:val="none"/>
        </w:rPr>
      </w:pPr>
      <w:r>
        <w:rPr>
          <w:rFonts w:hint="eastAsia" w:ascii="仿宋_GB2312" w:eastAsia="仿宋_GB2312"/>
          <w:color w:val="auto"/>
          <w:spacing w:val="6"/>
          <w:sz w:val="28"/>
          <w:szCs w:val="28"/>
          <w:highlight w:val="none"/>
        </w:rPr>
        <w:t>日 期：</w:t>
      </w:r>
      <w:r>
        <w:rPr>
          <w:rFonts w:hint="eastAsia" w:ascii="仿宋_GB2312" w:eastAsia="仿宋_GB2312"/>
          <w:color w:val="auto"/>
          <w:spacing w:val="6"/>
          <w:sz w:val="30"/>
          <w:szCs w:val="30"/>
          <w:highlight w:val="none"/>
        </w:rPr>
        <w:t xml:space="preserve"> </w:t>
      </w:r>
      <w:r>
        <w:rPr>
          <w:rFonts w:hint="eastAsia" w:ascii="宋体" w:hAnsi="宋体" w:cs="宋体"/>
          <w:color w:val="auto"/>
          <w:sz w:val="24"/>
          <w:highlight w:val="none"/>
        </w:rPr>
        <w:t xml:space="preserve">        </w:t>
      </w:r>
    </w:p>
    <w:p>
      <w:pPr>
        <w:spacing w:line="520" w:lineRule="exact"/>
        <w:rPr>
          <w:rFonts w:hint="eastAsia" w:ascii="宋体" w:hAnsi="宋体" w:cs="宋体"/>
          <w:color w:val="auto"/>
          <w:szCs w:val="21"/>
          <w:highlight w:val="none"/>
        </w:rPr>
      </w:pPr>
      <w:r>
        <w:rPr>
          <w:rFonts w:hint="eastAsia" w:ascii="宋体" w:hAnsi="宋体" w:cs="宋体"/>
          <w:color w:val="auto"/>
          <w:sz w:val="24"/>
          <w:highlight w:val="none"/>
        </w:rPr>
        <w:t>注：请根据自己的真实情况出具《中小企业声明函》。依法享受中小企业优惠政策的，采购人或采购代理机构在公告中标结果时，同时公告其《中小企业声明函》，接受社会监督。</w:t>
      </w:r>
    </w:p>
    <w:p>
      <w:pPr>
        <w:spacing w:line="520" w:lineRule="exact"/>
        <w:jc w:val="center"/>
        <w:rPr>
          <w:rFonts w:hint="eastAsia"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32"/>
          <w:szCs w:val="32"/>
          <w:highlight w:val="none"/>
        </w:rPr>
        <w:t>残疾人福利性单位声明函</w:t>
      </w:r>
    </w:p>
    <w:p>
      <w:pPr>
        <w:spacing w:line="520" w:lineRule="exact"/>
        <w:rPr>
          <w:rFonts w:hint="eastAsia" w:ascii="宋体" w:hAnsi="宋体" w:cs="宋体"/>
          <w:color w:val="auto"/>
          <w:sz w:val="32"/>
          <w:szCs w:val="32"/>
          <w:highlight w:val="none"/>
        </w:rPr>
      </w:pP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520" w:lineRule="exact"/>
        <w:rPr>
          <w:rFonts w:hint="eastAsia" w:ascii="宋体" w:hAnsi="宋体" w:cs="宋体"/>
          <w:color w:val="auto"/>
          <w:szCs w:val="21"/>
          <w:highlight w:val="none"/>
        </w:rPr>
      </w:pPr>
    </w:p>
    <w:p>
      <w:pPr>
        <w:spacing w:line="520" w:lineRule="exact"/>
        <w:rPr>
          <w:rFonts w:hint="eastAsia" w:ascii="宋体" w:hAnsi="宋体" w:cs="宋体"/>
          <w:color w:val="auto"/>
          <w:szCs w:val="21"/>
          <w:highlight w:val="none"/>
        </w:rPr>
      </w:pPr>
    </w:p>
    <w:p>
      <w:pPr>
        <w:spacing w:line="520" w:lineRule="exact"/>
        <w:rPr>
          <w:rFonts w:hint="eastAsia" w:ascii="宋体" w:hAnsi="宋体" w:cs="宋体"/>
          <w:color w:val="auto"/>
          <w:szCs w:val="21"/>
          <w:highlight w:val="none"/>
        </w:rPr>
      </w:pPr>
    </w:p>
    <w:p>
      <w:pPr>
        <w:spacing w:line="520" w:lineRule="exact"/>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单位名称（盖章）：</w:t>
      </w:r>
    </w:p>
    <w:p>
      <w:pPr>
        <w:spacing w:line="520" w:lineRule="exact"/>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日  期：</w:t>
      </w:r>
    </w:p>
    <w:p>
      <w:pPr>
        <w:spacing w:line="520" w:lineRule="exact"/>
        <w:rPr>
          <w:rFonts w:hint="eastAsia" w:ascii="宋体" w:hAnsi="宋体" w:cs="宋体"/>
          <w:color w:val="auto"/>
          <w:szCs w:val="21"/>
          <w:highlight w:val="none"/>
        </w:rPr>
      </w:pPr>
    </w:p>
    <w:p>
      <w:pPr>
        <w:spacing w:line="520" w:lineRule="exact"/>
        <w:rPr>
          <w:rFonts w:hint="eastAsia" w:ascii="宋体" w:hAnsi="宋体" w:cs="宋体"/>
          <w:color w:val="auto"/>
          <w:szCs w:val="21"/>
          <w:highlight w:val="none"/>
        </w:rPr>
      </w:pPr>
    </w:p>
    <w:p>
      <w:pPr>
        <w:spacing w:line="520" w:lineRule="exact"/>
        <w:rPr>
          <w:rFonts w:hint="eastAsia" w:ascii="宋体" w:hAnsi="宋体" w:cs="宋体"/>
          <w:color w:val="auto"/>
          <w:szCs w:val="21"/>
          <w:highlight w:val="none"/>
        </w:rPr>
      </w:pPr>
    </w:p>
    <w:p>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注：请根据自己的真实情况出具《残疾人福利性单位声明函》。依法享受中小企业优惠政策的，采购人或采购代理机构在公告中标结果时，同时公告其《残疾人福利性单位声明函》，接受社会监督。</w:t>
      </w:r>
    </w:p>
    <w:p>
      <w:pPr>
        <w:spacing w:line="520" w:lineRule="exact"/>
        <w:rPr>
          <w:rFonts w:hint="eastAsia" w:ascii="宋体" w:hAnsi="宋体" w:cs="宋体"/>
          <w:color w:val="auto"/>
          <w:sz w:val="32"/>
          <w:szCs w:val="32"/>
          <w:highlight w:val="none"/>
        </w:rPr>
      </w:pPr>
    </w:p>
    <w:p>
      <w:pPr>
        <w:spacing w:line="520" w:lineRule="exact"/>
        <w:rPr>
          <w:rFonts w:hint="eastAsia" w:ascii="宋体" w:hAnsi="宋体" w:cs="宋体"/>
          <w:color w:val="auto"/>
          <w:sz w:val="32"/>
          <w:szCs w:val="32"/>
          <w:highlight w:val="none"/>
        </w:rPr>
      </w:pPr>
    </w:p>
    <w:p>
      <w:pPr>
        <w:spacing w:line="520" w:lineRule="exact"/>
        <w:rPr>
          <w:rFonts w:hint="eastAsia" w:ascii="宋体" w:hAnsi="宋体" w:cs="宋体"/>
          <w:color w:val="auto"/>
          <w:sz w:val="32"/>
          <w:szCs w:val="32"/>
          <w:highlight w:val="none"/>
        </w:rPr>
      </w:pPr>
    </w:p>
    <w:p>
      <w:pPr>
        <w:pStyle w:val="30"/>
        <w:rPr>
          <w:rFonts w:hint="eastAsia" w:ascii="宋体" w:hAnsi="宋体" w:cs="宋体"/>
          <w:color w:val="auto"/>
          <w:sz w:val="32"/>
          <w:szCs w:val="32"/>
          <w:highlight w:val="none"/>
        </w:rPr>
      </w:pPr>
    </w:p>
    <w:p>
      <w:pPr>
        <w:pStyle w:val="30"/>
        <w:rPr>
          <w:rFonts w:hint="eastAsia" w:ascii="宋体" w:hAnsi="宋体" w:cs="宋体"/>
          <w:color w:val="auto"/>
          <w:sz w:val="32"/>
          <w:szCs w:val="32"/>
          <w:highlight w:val="none"/>
        </w:rPr>
      </w:pPr>
    </w:p>
    <w:p>
      <w:pPr>
        <w:pStyle w:val="30"/>
        <w:rPr>
          <w:rFonts w:hint="eastAsia" w:ascii="宋体" w:hAnsi="宋体" w:cs="宋体"/>
          <w:color w:val="auto"/>
          <w:sz w:val="32"/>
          <w:szCs w:val="32"/>
          <w:highlight w:val="none"/>
        </w:rPr>
      </w:pPr>
    </w:p>
    <w:p>
      <w:pPr>
        <w:pStyle w:val="30"/>
        <w:rPr>
          <w:rFonts w:hint="eastAsia" w:ascii="宋体" w:hAnsi="宋体" w:cs="宋体"/>
          <w:color w:val="auto"/>
          <w:sz w:val="32"/>
          <w:szCs w:val="32"/>
          <w:highlight w:val="none"/>
        </w:rPr>
      </w:pPr>
    </w:p>
    <w:p>
      <w:pPr>
        <w:pStyle w:val="30"/>
        <w:rPr>
          <w:rFonts w:hint="eastAsia" w:ascii="宋体" w:hAnsi="宋体" w:cs="宋体"/>
          <w:color w:val="auto"/>
          <w:sz w:val="32"/>
          <w:szCs w:val="32"/>
          <w:highlight w:val="none"/>
        </w:rPr>
      </w:pPr>
    </w:p>
    <w:p>
      <w:pPr>
        <w:spacing w:line="520" w:lineRule="exact"/>
        <w:rPr>
          <w:rFonts w:hint="eastAsia" w:ascii="宋体" w:hAnsi="宋体" w:cs="宋体"/>
          <w:color w:val="auto"/>
          <w:sz w:val="32"/>
          <w:szCs w:val="32"/>
          <w:highlight w:val="none"/>
        </w:rPr>
      </w:pPr>
    </w:p>
    <w:p>
      <w:pPr>
        <w:spacing w:line="520" w:lineRule="exact"/>
        <w:rPr>
          <w:rFonts w:hint="eastAsia" w:ascii="宋体" w:hAnsi="宋体" w:cs="宋体"/>
          <w:color w:val="auto"/>
          <w:sz w:val="32"/>
          <w:szCs w:val="32"/>
          <w:highlight w:val="none"/>
        </w:rPr>
      </w:pPr>
    </w:p>
    <w:p>
      <w:pPr>
        <w:pStyle w:val="44"/>
        <w:ind w:firstLine="643"/>
        <w:jc w:val="center"/>
        <w:rPr>
          <w:rFonts w:hint="eastAsia" w:ascii="宋体" w:hAnsi="宋体" w:eastAsia="宋体" w:cs="宋体"/>
          <w:b/>
          <w:color w:val="auto"/>
          <w:szCs w:val="32"/>
          <w:highlight w:val="none"/>
        </w:rPr>
      </w:pPr>
    </w:p>
    <w:p>
      <w:pPr>
        <w:pStyle w:val="44"/>
        <w:ind w:firstLine="643"/>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贵港市政府采购项目投标资格承诺函</w:t>
      </w:r>
    </w:p>
    <w:p>
      <w:pPr>
        <w:pStyle w:val="44"/>
        <w:ind w:firstLine="0" w:firstLineChars="0"/>
        <w:rPr>
          <w:rFonts w:hint="eastAsia" w:ascii="宋体" w:hAnsi="宋体" w:eastAsia="宋体" w:cs="宋体"/>
          <w:bCs/>
          <w:color w:val="auto"/>
          <w:sz w:val="28"/>
          <w:szCs w:val="28"/>
          <w:highlight w:val="none"/>
        </w:rPr>
      </w:pPr>
    </w:p>
    <w:p>
      <w:pPr>
        <w:pStyle w:val="44"/>
        <w:spacing w:line="480" w:lineRule="auto"/>
        <w:ind w:firstLine="56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本公司郑重承诺，根据《中华人民共和国政府采购法》第二十二条的规定，本公司为参加政府采购活动的合格供应商。即本公司同时满足以下条件：</w:t>
      </w:r>
    </w:p>
    <w:p>
      <w:pPr>
        <w:pStyle w:val="44"/>
        <w:spacing w:line="480" w:lineRule="auto"/>
        <w:ind w:firstLine="56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1.具有独立承担民事责任的能力。</w:t>
      </w:r>
    </w:p>
    <w:p>
      <w:pPr>
        <w:pStyle w:val="44"/>
        <w:spacing w:line="480" w:lineRule="auto"/>
        <w:ind w:firstLine="56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2.具有良好的商业信誉和健全的财务会计制度。</w:t>
      </w:r>
    </w:p>
    <w:p>
      <w:pPr>
        <w:pStyle w:val="44"/>
        <w:spacing w:line="480" w:lineRule="auto"/>
        <w:ind w:firstLine="56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3.具有履行合同所必需的设备和专业技术能力。</w:t>
      </w:r>
    </w:p>
    <w:p>
      <w:pPr>
        <w:pStyle w:val="44"/>
        <w:spacing w:line="480" w:lineRule="auto"/>
        <w:ind w:firstLine="56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4.有依法缴纳税收和社会保障资金的良好记录。</w:t>
      </w:r>
    </w:p>
    <w:p>
      <w:pPr>
        <w:pStyle w:val="44"/>
        <w:spacing w:line="480" w:lineRule="auto"/>
        <w:ind w:firstLine="56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 提交投标文件截止日期前三年内，在经营活动中没有重大违法记录。</w:t>
      </w:r>
    </w:p>
    <w:p>
      <w:pPr>
        <w:pStyle w:val="44"/>
        <w:spacing w:line="480" w:lineRule="auto"/>
        <w:ind w:firstLine="56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本公司对上述承诺的真实性负责，并接受政府采购、税务、社会保障等监督管理部门、采购文件规定的资格审查机构、社会公众的监督和检查。如有虚假，将依法承担相应责任。</w:t>
      </w:r>
    </w:p>
    <w:p>
      <w:pPr>
        <w:pStyle w:val="44"/>
        <w:ind w:firstLine="560"/>
        <w:rPr>
          <w:rFonts w:hint="eastAsia" w:ascii="宋体" w:hAnsi="宋体" w:eastAsia="宋体" w:cs="宋体"/>
          <w:bCs/>
          <w:color w:val="auto"/>
          <w:sz w:val="21"/>
          <w:szCs w:val="21"/>
          <w:highlight w:val="none"/>
        </w:rPr>
      </w:pPr>
    </w:p>
    <w:p>
      <w:pPr>
        <w:pStyle w:val="44"/>
        <w:ind w:firstLine="56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企业名称（盖章）：</w:t>
      </w:r>
    </w:p>
    <w:p>
      <w:pPr>
        <w:pStyle w:val="44"/>
        <w:ind w:firstLine="560"/>
        <w:jc w:val="center"/>
        <w:rPr>
          <w:rFonts w:hint="eastAsia" w:ascii="宋体" w:hAnsi="宋体" w:eastAsia="宋体" w:cs="宋体"/>
          <w:bCs/>
          <w:color w:val="auto"/>
          <w:sz w:val="21"/>
          <w:szCs w:val="21"/>
          <w:highlight w:val="none"/>
        </w:rPr>
      </w:pPr>
    </w:p>
    <w:p>
      <w:pPr>
        <w:pStyle w:val="44"/>
        <w:ind w:firstLine="56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法定代表人（签名）：</w:t>
      </w:r>
    </w:p>
    <w:p>
      <w:pPr>
        <w:pStyle w:val="44"/>
        <w:ind w:firstLine="560"/>
        <w:jc w:val="center"/>
        <w:rPr>
          <w:rFonts w:hint="eastAsia" w:ascii="宋体" w:hAnsi="宋体" w:eastAsia="宋体" w:cs="宋体"/>
          <w:bCs/>
          <w:color w:val="auto"/>
          <w:sz w:val="21"/>
          <w:szCs w:val="21"/>
          <w:highlight w:val="none"/>
        </w:rPr>
      </w:pPr>
    </w:p>
    <w:p>
      <w:pPr>
        <w:pStyle w:val="44"/>
        <w:ind w:firstLine="56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日期： 年 月 日</w:t>
      </w:r>
    </w:p>
    <w:p>
      <w:pPr>
        <w:tabs>
          <w:tab w:val="left" w:pos="826"/>
        </w:tabs>
        <w:snapToGrid w:val="0"/>
        <w:ind w:firstLine="482" w:firstLineChars="200"/>
        <w:outlineLvl w:val="9"/>
        <w:rPr>
          <w:rFonts w:asciiTheme="minorEastAsia" w:hAnsiTheme="minorEastAsia" w:eastAsiaTheme="minorEastAsia" w:cstheme="minorEastAsia"/>
          <w:b/>
          <w:color w:val="auto"/>
          <w:sz w:val="24"/>
        </w:rPr>
      </w:pPr>
    </w:p>
    <w:p>
      <w:pPr>
        <w:spacing w:line="360" w:lineRule="auto"/>
        <w:ind w:firstLine="420" w:firstLineChars="200"/>
        <w:outlineLvl w:val="9"/>
        <w:rPr>
          <w:rFonts w:asciiTheme="minorEastAsia" w:hAnsiTheme="minorEastAsia" w:eastAsiaTheme="minorEastAsia" w:cstheme="minorEastAsia"/>
          <w:color w:val="auto"/>
        </w:rPr>
      </w:pPr>
    </w:p>
    <w:p>
      <w:pPr>
        <w:rPr>
          <w:rFonts w:asciiTheme="minorEastAsia" w:hAnsiTheme="minorEastAsia" w:eastAsiaTheme="minorEastAsia" w:cstheme="minorEastAsia"/>
          <w:b/>
          <w:bCs/>
          <w:color w:val="auto"/>
          <w:sz w:val="30"/>
          <w:szCs w:val="30"/>
        </w:rPr>
      </w:pPr>
      <w:r>
        <w:rPr>
          <w:rFonts w:asciiTheme="minorEastAsia" w:hAnsiTheme="minorEastAsia" w:eastAsiaTheme="minorEastAsia" w:cstheme="minorEastAsia"/>
          <w:b/>
          <w:bCs/>
          <w:color w:val="auto"/>
          <w:sz w:val="30"/>
          <w:szCs w:val="30"/>
        </w:rPr>
        <w:br w:type="page"/>
      </w:r>
    </w:p>
    <w:p>
      <w:pPr>
        <w:pStyle w:val="25"/>
        <w:spacing w:line="360" w:lineRule="auto"/>
        <w:jc w:val="center"/>
        <w:outlineLvl w:val="0"/>
        <w:rPr>
          <w:rFonts w:asciiTheme="minorEastAsia" w:hAnsiTheme="minorEastAsia" w:eastAsiaTheme="minorEastAsia" w:cstheme="minorEastAsia"/>
          <w:b/>
          <w:bCs/>
          <w:color w:val="auto"/>
          <w:sz w:val="44"/>
          <w:szCs w:val="44"/>
        </w:rPr>
      </w:pPr>
      <w:bookmarkStart w:id="30" w:name="_Toc13852"/>
      <w:r>
        <w:rPr>
          <w:rStyle w:val="61"/>
          <w:rFonts w:hint="eastAsia" w:asciiTheme="minorEastAsia" w:hAnsiTheme="minorEastAsia" w:eastAsiaTheme="minorEastAsia" w:cstheme="minorEastAsia"/>
          <w:color w:val="auto"/>
          <w:sz w:val="36"/>
          <w:szCs w:val="36"/>
          <w:lang w:eastAsia="zh-CN"/>
        </w:rPr>
        <w:t>第六章</w:t>
      </w:r>
      <w:r>
        <w:rPr>
          <w:rStyle w:val="61"/>
          <w:rFonts w:hint="eastAsia" w:asciiTheme="minorEastAsia" w:hAnsiTheme="minorEastAsia" w:eastAsiaTheme="minorEastAsia" w:cstheme="minorEastAsia"/>
          <w:color w:val="auto"/>
          <w:sz w:val="36"/>
          <w:szCs w:val="36"/>
          <w:lang w:val="en-US" w:eastAsia="zh-CN"/>
        </w:rPr>
        <w:t xml:space="preserve">   </w:t>
      </w:r>
      <w:r>
        <w:rPr>
          <w:rStyle w:val="61"/>
          <w:rFonts w:hint="eastAsia" w:asciiTheme="minorEastAsia" w:hAnsiTheme="minorEastAsia" w:eastAsiaTheme="minorEastAsia" w:cstheme="minorEastAsia"/>
          <w:color w:val="auto"/>
          <w:sz w:val="36"/>
          <w:szCs w:val="36"/>
        </w:rPr>
        <w:t>合同书格式</w:t>
      </w:r>
      <w:bookmarkEnd w:id="30"/>
    </w:p>
    <w:p>
      <w:pPr>
        <w:numPr>
          <w:ilvl w:val="0"/>
          <w:numId w:val="0"/>
        </w:numPr>
        <w:tabs>
          <w:tab w:val="left" w:pos="1080"/>
        </w:tabs>
        <w:jc w:val="center"/>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第一部分 合同协议书</w:t>
      </w:r>
    </w:p>
    <w:p>
      <w:pPr>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发包人(全称):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p>
    <w:p>
      <w:pPr>
        <w:spacing w:line="440" w:lineRule="exact"/>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承包人(全称):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spacing w:line="440" w:lineRule="exact"/>
        <w:ind w:firstLine="420" w:firstLineChars="200"/>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根据《中华人民共和合同法》、《中华人民共和国建筑法》及有关法律规定,遵循平等、自愿、公平和诚实信用的原则,双方就</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工程施工及有关事项协商一致,共同达成如下协议:</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一、工程概况</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1.工程名称:</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p>
    <w:p>
      <w:pPr>
        <w:spacing w:line="440" w:lineRule="exact"/>
        <w:ind w:firstLine="420" w:firstLineChars="200"/>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2.工程地点：</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p>
    <w:p>
      <w:pPr>
        <w:spacing w:line="440" w:lineRule="exact"/>
        <w:ind w:firstLine="420" w:firstLineChars="200"/>
        <w:outlineLvl w:val="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3.资金来源: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pPr>
        <w:spacing w:line="440" w:lineRule="exact"/>
        <w:ind w:firstLine="420" w:firstLineChars="200"/>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4.工程规模:</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p>
    <w:p>
      <w:pPr>
        <w:spacing w:line="440" w:lineRule="exact"/>
        <w:ind w:firstLine="420" w:firstLineChars="200"/>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5.工程承包范围:</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二、合同工期</w:t>
      </w:r>
      <w:r>
        <w:rPr>
          <w:rFonts w:asciiTheme="minorEastAsia" w:hAnsiTheme="minorEastAsia" w:eastAsiaTheme="minorEastAsia" w:cstheme="minorEastAsia"/>
          <w:b/>
          <w:bCs/>
          <w:color w:val="auto"/>
        </w:rPr>
        <w:t xml:space="preserve"> </w:t>
      </w:r>
    </w:p>
    <w:p>
      <w:pPr>
        <w:spacing w:line="440" w:lineRule="exact"/>
        <w:ind w:firstLine="630" w:firstLineChars="3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计划开工日期：</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pPr>
        <w:spacing w:line="440" w:lineRule="exact"/>
        <w:ind w:firstLine="630" w:firstLineChars="3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计划竣工日期：</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pPr>
        <w:spacing w:line="440" w:lineRule="exact"/>
        <w:ind w:firstLine="630" w:firstLineChars="3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工期总日历天数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天，工期总日历天数与根据前述计划开竣日期计算的工期天数不一致的,以工期总日历天数为准。</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三、质量标准</w:t>
      </w:r>
    </w:p>
    <w:p>
      <w:pPr>
        <w:spacing w:line="440" w:lineRule="exact"/>
        <w:ind w:firstLine="420" w:firstLineChars="200"/>
        <w:outlineLvl w:val="9"/>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工程质量符合</w:t>
      </w:r>
      <w:r>
        <w:rPr>
          <w:rFonts w:hint="eastAsia" w:asciiTheme="minorEastAsia" w:hAnsiTheme="minorEastAsia" w:eastAsiaTheme="minorEastAsia" w:cstheme="minorEastAsia"/>
          <w:color w:val="auto"/>
          <w:u w:val="single"/>
          <w:lang w:val="en-US" w:eastAsia="zh-CN"/>
        </w:rPr>
        <w:t xml:space="preserve">        </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四、签约合同价与合同价格形式</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1.签约合同价为:</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人民币(大写)</w:t>
      </w:r>
      <w:r>
        <w:rPr>
          <w:rFonts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合同总价包含安全文明施工费等费用）。</w:t>
      </w:r>
    </w:p>
    <w:p>
      <w:pPr>
        <w:spacing w:line="440" w:lineRule="exact"/>
        <w:ind w:firstLine="422"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五、合同文件构成</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本协议书与下列文件一起构成合向文件:</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(1)中标通知书(如果有)；</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(2)投标函及其附录(如果有)；</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(3)专用合同条款及其附件；</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(4)通用合同条款；</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(5)技术标准和要求；</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(6)已标价工程量清单或预算书；</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(7)图纸；</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(8)其他合同文件；</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在合同订立及履行过程中形成的与合同有关的文件均构成合同文件组成部分。</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上述各项合同文件包括合同当事人就该项合同文件所作出的补充和修改,属于同一类内容的文件,应以最新签署的为准。专用合同条款及其附件须经合同当事人签字或盖章。</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六、承诺</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1.发包人承诺按照法律规定履行项目审批手续、筹集工程建设资金并按照合同约定的期限和方式支付合同价款。</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3.发包人和承包人通过招投标形式签订合同的,双方理解并承诺不再就同一工程另行签订与合同实质性内容相背离的协议。</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七、词语含义</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本协议书中词语含义与第二部分通用合同条款中赋子的含义相同。</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八、签订时间</w:t>
      </w:r>
    </w:p>
    <w:p>
      <w:pPr>
        <w:spacing w:line="440" w:lineRule="exact"/>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本合同于</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日签订。</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九、签订地点</w:t>
      </w:r>
    </w:p>
    <w:p>
      <w:pPr>
        <w:spacing w:line="440" w:lineRule="exact"/>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本合同在</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签订。</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十、补充协议</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合同未尽事宜,合同当事人另行签订补充协议,补充协议是合同的组成部分。</w:t>
      </w:r>
    </w:p>
    <w:p>
      <w:pPr>
        <w:spacing w:line="440" w:lineRule="exact"/>
        <w:ind w:firstLine="422" w:firstLineChars="200"/>
        <w:outlineLvl w:val="9"/>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十一、合同生效</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本合同自</w:t>
      </w:r>
      <w:r>
        <w:rPr>
          <w:rFonts w:hint="eastAsia" w:asciiTheme="minorEastAsia" w:hAnsiTheme="minorEastAsia" w:eastAsiaTheme="minorEastAsia" w:cstheme="minorEastAsia"/>
          <w:color w:val="auto"/>
          <w:u w:val="single"/>
        </w:rPr>
        <w:t>双方法定代表人签字盖章后</w:t>
      </w:r>
      <w:r>
        <w:rPr>
          <w:rFonts w:hint="eastAsia" w:asciiTheme="minorEastAsia" w:hAnsiTheme="minorEastAsia" w:eastAsiaTheme="minorEastAsia" w:cstheme="minorEastAsia"/>
          <w:color w:val="auto"/>
        </w:rPr>
        <w:t>生效。</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十二、合同份数</w:t>
      </w:r>
    </w:p>
    <w:p>
      <w:pPr>
        <w:spacing w:line="440" w:lineRule="exact"/>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本合同一式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份,均具有同等法律效力,发包人执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份,承包人执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份。</w:t>
      </w:r>
    </w:p>
    <w:p>
      <w:pPr>
        <w:ind w:firstLine="735" w:firstLineChars="350"/>
        <w:outlineLvl w:val="9"/>
        <w:rPr>
          <w:rFonts w:asciiTheme="minorEastAsia" w:hAnsiTheme="minorEastAsia" w:eastAsiaTheme="minorEastAsia" w:cstheme="minorEastAsia"/>
          <w:color w:val="auto"/>
        </w:rPr>
      </w:pPr>
    </w:p>
    <w:p>
      <w:pPr>
        <w:ind w:firstLine="735" w:firstLineChars="3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 (公章)                  承包人:(公章）</w:t>
      </w:r>
    </w:p>
    <w:p>
      <w:pPr>
        <w:ind w:firstLine="735" w:firstLineChars="3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法定代表人或负责人              法定代表人或负责人:</w:t>
      </w:r>
    </w:p>
    <w:p>
      <w:pPr>
        <w:ind w:firstLine="735" w:firstLineChars="3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(签字)                            (签字)</w:t>
      </w:r>
    </w:p>
    <w:p>
      <w:pPr>
        <w:ind w:firstLine="735" w:firstLineChars="350"/>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t>地址:</w:t>
      </w:r>
      <w:r>
        <w:rPr>
          <w:rFonts w:hint="eastAsia" w:asciiTheme="minorEastAsia" w:hAnsiTheme="minorEastAsia" w:eastAsiaTheme="minorEastAsia" w:cstheme="minorEastAsia"/>
          <w:color w:val="auto"/>
          <w:u w:val="single"/>
        </w:rPr>
        <w:t xml:space="preserve">                            </w:t>
      </w:r>
    </w:p>
    <w:p>
      <w:pPr>
        <w:ind w:firstLine="735" w:firstLineChars="350"/>
        <w:outlineLvl w:val="9"/>
        <w:rPr>
          <w:rFonts w:asciiTheme="minorEastAsia" w:hAnsiTheme="minorEastAsia" w:eastAsiaTheme="minorEastAsia" w:cstheme="minorEastAsia"/>
          <w:color w:val="auto"/>
          <w:u w:val="single"/>
        </w:rPr>
      </w:pPr>
    </w:p>
    <w:p>
      <w:pPr>
        <w:ind w:firstLine="735" w:firstLineChars="350"/>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邮政编码：</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t>邮政编码:</w:t>
      </w:r>
      <w:r>
        <w:rPr>
          <w:rFonts w:hint="eastAsia" w:asciiTheme="minorEastAsia" w:hAnsiTheme="minorEastAsia" w:eastAsiaTheme="minorEastAsia" w:cstheme="minorEastAsia"/>
          <w:color w:val="auto"/>
          <w:u w:val="single"/>
        </w:rPr>
        <w:t xml:space="preserve">                       </w:t>
      </w:r>
    </w:p>
    <w:p>
      <w:pPr>
        <w:ind w:firstLine="735" w:firstLineChars="350"/>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电话:</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t>电话:</w:t>
      </w:r>
      <w:r>
        <w:rPr>
          <w:rFonts w:hint="eastAsia" w:asciiTheme="minorEastAsia" w:hAnsiTheme="minorEastAsia" w:eastAsiaTheme="minorEastAsia" w:cstheme="minorEastAsia"/>
          <w:color w:val="auto"/>
          <w:u w:val="single"/>
        </w:rPr>
        <w:t xml:space="preserve">                           </w:t>
      </w:r>
    </w:p>
    <w:p>
      <w:pPr>
        <w:ind w:firstLine="735" w:firstLineChars="350"/>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传真:</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t xml:space="preserve"> 传真:</w:t>
      </w:r>
      <w:r>
        <w:rPr>
          <w:rFonts w:hint="eastAsia" w:asciiTheme="minorEastAsia" w:hAnsiTheme="minorEastAsia" w:eastAsiaTheme="minorEastAsia" w:cstheme="minorEastAsia"/>
          <w:color w:val="auto"/>
          <w:u w:val="single"/>
        </w:rPr>
        <w:t xml:space="preserve">                            </w:t>
      </w:r>
    </w:p>
    <w:p>
      <w:pPr>
        <w:ind w:firstLine="735" w:firstLineChars="3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开户名称: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t>开户名称:</w:t>
      </w:r>
      <w:r>
        <w:rPr>
          <w:rFonts w:hint="eastAsia" w:asciiTheme="minorEastAsia" w:hAnsiTheme="minorEastAsia" w:eastAsiaTheme="minorEastAsia" w:cstheme="minorEastAsia"/>
          <w:color w:val="auto"/>
          <w:u w:val="single"/>
        </w:rPr>
        <w:t xml:space="preserve">                        </w:t>
      </w:r>
    </w:p>
    <w:p>
      <w:pPr>
        <w:ind w:firstLine="735" w:firstLineChars="350"/>
        <w:outlineLvl w:val="9"/>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开户银行:</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t>开户银行:</w:t>
      </w:r>
      <w:r>
        <w:rPr>
          <w:rFonts w:hint="eastAsia" w:asciiTheme="minorEastAsia" w:hAnsiTheme="minorEastAsia" w:eastAsiaTheme="minorEastAsia" w:cstheme="minorEastAsia"/>
          <w:color w:val="auto"/>
          <w:u w:val="single"/>
        </w:rPr>
        <w:t xml:space="preserve">                        </w:t>
      </w:r>
    </w:p>
    <w:p>
      <w:pPr>
        <w:ind w:firstLine="735" w:firstLineChars="350"/>
        <w:outlineLvl w:val="9"/>
        <w:rPr>
          <w:rFonts w:ascii="仿宋_GB2312" w:hAnsi="宋体" w:eastAsia="仿宋_GB2312" w:cs="宋体"/>
          <w:b/>
          <w:bCs/>
          <w:color w:val="auto"/>
          <w:sz w:val="32"/>
          <w:szCs w:val="32"/>
        </w:rPr>
      </w:pPr>
      <w:r>
        <w:rPr>
          <w:rFonts w:hint="eastAsia" w:asciiTheme="minorEastAsia" w:hAnsiTheme="minorEastAsia" w:eastAsiaTheme="minorEastAsia" w:cstheme="minorEastAsia"/>
          <w:color w:val="auto"/>
        </w:rPr>
        <w:t>账号: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t xml:space="preserve"> 账号:</w:t>
      </w:r>
      <w:r>
        <w:rPr>
          <w:rFonts w:hint="eastAsia" w:asciiTheme="minorEastAsia" w:hAnsiTheme="minorEastAsia" w:eastAsiaTheme="minorEastAsia" w:cstheme="minorEastAsia"/>
          <w:color w:val="auto"/>
          <w:u w:val="single"/>
        </w:rPr>
        <w:t xml:space="preserve">                            </w:t>
      </w:r>
    </w:p>
    <w:p>
      <w:pPr>
        <w:jc w:val="center"/>
        <w:outlineLvl w:val="9"/>
        <w:rPr>
          <w:rFonts w:ascii="仿宋_GB2312" w:hAnsi="宋体" w:eastAsia="仿宋_GB2312" w:cs="宋体"/>
          <w:b/>
          <w:bCs/>
          <w:color w:val="auto"/>
          <w:sz w:val="32"/>
          <w:szCs w:val="32"/>
        </w:rPr>
      </w:pPr>
    </w:p>
    <w:p>
      <w:pPr>
        <w:spacing w:line="360" w:lineRule="auto"/>
        <w:ind w:firstLine="420" w:firstLineChars="20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rPr>
        <w:t>第二部分 廉政合同（格式）</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以下简称“甲方”）与施工单位（全称）（以下简称“乙方”），特订立如下合同。</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１.甲乙双方的权利和义务</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严格遵守党的政策规定和国家有关法律法规及交通部的有关规定。</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 严格执行（项目名称）工程的合同文件，自觉按合同办事。</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双方的业务活动坚持公开、公正、诚信、透明的原则（法律认定的商业秘密和合同文件另有规定除外），不得损害国家和集体利益，违反工程建设管理规章制度。</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 建立健全廉政制度，开展廉政教育，设立廉政告示牌，公布举报电话，监督并认真查处违法违纪行为。</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 发现对方在业务活动中有违反廉政规定的行为，有及时提醒对方纠正的权利和义务。</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 发现对方严重违反本合同义务条款的行为，有向其上级有关部门举报，建议给予处理并要求告知处理结果的权利。</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２.甲方的义务</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甲方及其工作人员不得索要或接受乙方的礼金、有价证券和贵重物品，不得在乙方报销任何应由甲方或甲方工作人员个人支付的费用等。</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 甲方工作人员不得参加乙方安排的超标准宴请和娱乐活动；不得接受乙方提供的通讯工具、交通工具和高档办公用品等。</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甲方及其工作人员不得要求或者接受乙方为其住房装修、婚丧嫁娶活动、配偶子女的工作安排以及出国出境、旅游等提供方便等。</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 甲方工作人员及其配偶、子女不得从事与甲方工程有关的材料设备供应、工程分包、劳务等经济活动等。</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 甲方及其工作人员不得以任何理由向乙方推荐分包单位或推销材料，不得要求乙方购买合同规定外的材料和设备。</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 甲方工作人员要秉公办事，不准营私舞弊，不准利用职权从事各种个人有偿中介活动和安排个人施工队伍。</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３.乙方义务</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乙方不得以任何理由向甲方及其工作人员行贿或馈赠礼金、有价证券、贵重礼品。</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 乙方不得以任何名义为甲方及其工作人员报销应由甲方单位或个人支付的任何费用。</w:t>
      </w:r>
    </w:p>
    <w:p>
      <w:pPr>
        <w:spacing w:line="360" w:lineRule="auto"/>
        <w:ind w:firstLine="315" w:firstLineChars="150"/>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 乙方不得以任何理由安排甲方工作人员参加超标准宴请及娱乐活动。</w:t>
      </w:r>
    </w:p>
    <w:p>
      <w:pPr>
        <w:spacing w:line="360" w:lineRule="auto"/>
        <w:ind w:firstLine="315" w:firstLineChars="150"/>
        <w:outlineLvl w:val="9"/>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（4） 乙方不得为甲方单位和个人购置或提供通讯工作、交通工具和高档办公用品等。</w:t>
      </w:r>
    </w:p>
    <w:p>
      <w:pPr>
        <w:spacing w:line="360" w:lineRule="auto"/>
        <w:ind w:firstLine="315" w:firstLineChars="150"/>
        <w:outlineLvl w:val="9"/>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４.违约责任</w:t>
      </w:r>
    </w:p>
    <w:p>
      <w:pPr>
        <w:spacing w:line="360" w:lineRule="auto"/>
        <w:ind w:firstLine="315" w:firstLineChars="150"/>
        <w:outlineLvl w:val="9"/>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 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315" w:firstLineChars="150"/>
        <w:outlineLvl w:val="9"/>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 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spacing w:line="360" w:lineRule="auto"/>
        <w:ind w:firstLine="315" w:firstLineChars="150"/>
        <w:outlineLvl w:val="9"/>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５.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ind w:firstLine="315" w:firstLineChars="150"/>
        <w:outlineLvl w:val="9"/>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６.本合同有效期为甲乙双方签署之日起至该工程项目竣工验收后止。</w:t>
      </w:r>
    </w:p>
    <w:p>
      <w:pPr>
        <w:spacing w:line="360" w:lineRule="auto"/>
        <w:ind w:firstLine="315" w:firstLineChars="150"/>
        <w:outlineLvl w:val="9"/>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７.本合同作为（项目名称）工程施工合同的附件，与工程施工合同具有同等的法律效力，经合同双方签署立即生效。</w:t>
      </w:r>
    </w:p>
    <w:p>
      <w:pPr>
        <w:spacing w:line="360" w:lineRule="auto"/>
        <w:ind w:firstLine="315" w:firstLineChars="150"/>
        <w:outlineLvl w:val="9"/>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８.本合同一式四份，由甲乙双方各执一份，送交甲乙双方的监督单位各一份。</w:t>
      </w:r>
    </w:p>
    <w:p>
      <w:pPr>
        <w:spacing w:line="360" w:lineRule="auto"/>
        <w:outlineLvl w:val="9"/>
        <w:rPr>
          <w:rFonts w:asciiTheme="minorEastAsia" w:hAnsiTheme="minorEastAsia" w:eastAsiaTheme="minorEastAsia" w:cstheme="minorEastAsia"/>
          <w:color w:val="auto"/>
        </w:rPr>
      </w:pPr>
    </w:p>
    <w:p>
      <w:pPr>
        <w:spacing w:line="360" w:lineRule="auto"/>
        <w:outlineLvl w:val="9"/>
        <w:rPr>
          <w:rFonts w:asciiTheme="minorEastAsia" w:hAnsiTheme="minorEastAsia" w:eastAsiaTheme="minorEastAsia" w:cstheme="minorEastAsia"/>
          <w:color w:val="auto"/>
        </w:rPr>
      </w:pPr>
    </w:p>
    <w:p>
      <w:pPr>
        <w:spacing w:line="360" w:lineRule="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 方：（单位全称）（盖章）              乙 方：（单位全称）（盖章）</w:t>
      </w:r>
    </w:p>
    <w:p>
      <w:pPr>
        <w:spacing w:line="360" w:lineRule="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 定 代 表 人：                         法 定 代 表 人：</w:t>
      </w:r>
    </w:p>
    <w:p>
      <w:pPr>
        <w:spacing w:line="360" w:lineRule="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或其授权的代表人： （职务）              或其授权的代表人： （职务）</w:t>
      </w:r>
    </w:p>
    <w:p>
      <w:pPr>
        <w:spacing w:line="360" w:lineRule="auto"/>
        <w:outlineLvl w:val="9"/>
        <w:rPr>
          <w:rFonts w:asciiTheme="minorEastAsia" w:hAnsiTheme="minorEastAsia" w:eastAsiaTheme="minorEastAsia" w:cstheme="minorEastAsia"/>
          <w:color w:val="auto"/>
        </w:rPr>
      </w:pPr>
    </w:p>
    <w:p>
      <w:pPr>
        <w:spacing w:line="360" w:lineRule="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（姓名）                                 （姓名）</w:t>
      </w:r>
    </w:p>
    <w:p>
      <w:pPr>
        <w:spacing w:line="360" w:lineRule="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（签字）                                 （签字）</w:t>
      </w:r>
    </w:p>
    <w:p>
      <w:pPr>
        <w:spacing w:line="360" w:lineRule="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 址：                                      地 址：</w:t>
      </w:r>
    </w:p>
    <w:p>
      <w:pPr>
        <w:spacing w:line="360" w:lineRule="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 话：                                      电 话：</w:t>
      </w:r>
    </w:p>
    <w:p>
      <w:pPr>
        <w:spacing w:line="360" w:lineRule="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 期：                                      日 期：</w:t>
      </w:r>
    </w:p>
    <w:p>
      <w:pPr>
        <w:spacing w:line="360" w:lineRule="auto"/>
        <w:outlineLvl w:val="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甲方监督单位： （全称）（盖章）              甲方监督单位：（全称）（盖章）</w:t>
      </w: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pPr>
    </w:p>
    <w:p>
      <w:pPr>
        <w:outlineLvl w:val="9"/>
        <w:rPr>
          <w:rFonts w:asciiTheme="minorEastAsia" w:hAnsiTheme="minorEastAsia" w:eastAsiaTheme="minorEastAsia" w:cstheme="minorEastAsia"/>
          <w:color w:val="auto"/>
        </w:rPr>
        <w:sectPr>
          <w:footerReference r:id="rId3" w:type="default"/>
          <w:pgSz w:w="11907" w:h="16840"/>
          <w:pgMar w:top="1440" w:right="1080" w:bottom="1440" w:left="1080" w:header="851" w:footer="851" w:gutter="0"/>
          <w:cols w:space="720" w:num="1"/>
        </w:sectPr>
      </w:pPr>
    </w:p>
    <w:p>
      <w:pPr>
        <w:spacing w:line="360" w:lineRule="auto"/>
        <w:jc w:val="center"/>
        <w:outlineLvl w:val="9"/>
        <w:rPr>
          <w:rFonts w:ascii="宋体" w:hAnsi="宋体" w:cs="宋体"/>
          <w:b/>
          <w:bCs/>
          <w:color w:val="auto"/>
          <w:sz w:val="32"/>
          <w:szCs w:val="32"/>
        </w:rPr>
      </w:pPr>
      <w:r>
        <w:rPr>
          <w:rFonts w:hint="eastAsia" w:ascii="宋体" w:hAnsi="宋体" w:cs="宋体"/>
          <w:b/>
          <w:bCs/>
          <w:color w:val="auto"/>
          <w:sz w:val="32"/>
          <w:szCs w:val="32"/>
        </w:rPr>
        <w:t>工程质量保修书</w:t>
      </w:r>
    </w:p>
    <w:p>
      <w:pPr>
        <w:spacing w:line="380" w:lineRule="exact"/>
        <w:ind w:firstLine="420" w:firstLineChars="200"/>
        <w:outlineLvl w:val="9"/>
        <w:rPr>
          <w:rFonts w:ascii="宋体" w:hAnsi="宋体" w:cs="宋体"/>
          <w:color w:val="auto"/>
        </w:rPr>
      </w:pPr>
      <w:r>
        <w:rPr>
          <w:rFonts w:hint="eastAsia" w:ascii="宋体" w:hAnsi="宋体" w:cs="宋体"/>
          <w:color w:val="auto"/>
        </w:rPr>
        <w:t>发包人（全称）：</w:t>
      </w:r>
      <w:r>
        <w:rPr>
          <w:rFonts w:hint="eastAsia" w:ascii="宋体" w:hAnsi="宋体" w:cs="宋体"/>
          <w:color w:val="auto"/>
          <w:u w:val="single"/>
        </w:rPr>
        <w:t xml:space="preserve"> </w:t>
      </w:r>
      <w:r>
        <w:rPr>
          <w:rFonts w:hint="eastAsia" w:ascii="宋体" w:hAnsi="宋体" w:cs="宋体"/>
          <w:b/>
          <w:color w:val="auto"/>
          <w:u w:val="single"/>
        </w:rPr>
        <w:t xml:space="preserve">       </w:t>
      </w:r>
    </w:p>
    <w:p>
      <w:pPr>
        <w:spacing w:line="380" w:lineRule="exact"/>
        <w:outlineLvl w:val="9"/>
        <w:rPr>
          <w:rFonts w:ascii="宋体" w:hAnsi="宋体" w:cs="宋体"/>
          <w:color w:val="auto"/>
        </w:rPr>
      </w:pPr>
      <w:r>
        <w:rPr>
          <w:rFonts w:hint="eastAsia" w:ascii="宋体" w:hAnsi="宋体" w:cs="宋体"/>
          <w:color w:val="auto"/>
        </w:rPr>
        <w:t>　　承包人（全称）：</w:t>
      </w:r>
      <w:r>
        <w:rPr>
          <w:rFonts w:hint="eastAsia" w:ascii="宋体" w:hAnsi="宋体" w:cs="宋体"/>
          <w:color w:val="auto"/>
          <w:u w:val="single"/>
        </w:rPr>
        <w:t xml:space="preserve">                </w:t>
      </w:r>
      <w:r>
        <w:rPr>
          <w:rFonts w:hint="eastAsia" w:ascii="宋体" w:hAnsi="宋体" w:cs="宋体"/>
          <w:b/>
          <w:color w:val="auto"/>
          <w:u w:val="single"/>
        </w:rPr>
        <w:t xml:space="preserve"> </w:t>
      </w:r>
    </w:p>
    <w:p>
      <w:pPr>
        <w:spacing w:line="380" w:lineRule="exact"/>
        <w:outlineLvl w:val="9"/>
        <w:rPr>
          <w:rFonts w:ascii="宋体" w:hAnsi="宋体" w:cs="宋体"/>
          <w:color w:val="auto"/>
        </w:rPr>
      </w:pPr>
      <w:r>
        <w:rPr>
          <w:rFonts w:hint="eastAsia" w:ascii="宋体" w:hAnsi="宋体" w:cs="宋体"/>
          <w:color w:val="auto"/>
        </w:rPr>
        <w:t>　　发包人和承包人根据《中华人民共和国建筑法》和《建设工程质量管理条例》，经协商一致就</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rPr>
        <w:t>（工程全称）签订工程质量保修书。</w:t>
      </w:r>
    </w:p>
    <w:p>
      <w:pPr>
        <w:spacing w:line="380" w:lineRule="exact"/>
        <w:outlineLvl w:val="9"/>
        <w:rPr>
          <w:rFonts w:ascii="宋体" w:hAnsi="宋体" w:cs="宋体"/>
          <w:color w:val="auto"/>
        </w:rPr>
      </w:pPr>
      <w:r>
        <w:rPr>
          <w:rFonts w:hint="eastAsia" w:ascii="宋体" w:hAnsi="宋体" w:cs="宋体"/>
          <w:color w:val="auto"/>
        </w:rPr>
        <w:t>　　一、工程质量保修范围和内容</w:t>
      </w:r>
    </w:p>
    <w:p>
      <w:pPr>
        <w:spacing w:line="380" w:lineRule="exact"/>
        <w:outlineLvl w:val="9"/>
        <w:rPr>
          <w:rFonts w:ascii="宋体" w:hAnsi="宋体" w:cs="宋体"/>
          <w:color w:val="auto"/>
        </w:rPr>
      </w:pPr>
      <w:r>
        <w:rPr>
          <w:rFonts w:hint="eastAsia" w:ascii="宋体" w:hAnsi="宋体" w:cs="宋体"/>
          <w:color w:val="auto"/>
        </w:rPr>
        <w:t>　　承包人在质量保修期内，按照有关法律规定和合同约定，承担工程质量保修责任。</w:t>
      </w:r>
    </w:p>
    <w:p>
      <w:pPr>
        <w:spacing w:line="380" w:lineRule="exact"/>
        <w:outlineLvl w:val="9"/>
        <w:rPr>
          <w:rFonts w:ascii="宋体" w:hAnsi="宋体" w:cs="宋体"/>
          <w:color w:val="auto"/>
        </w:rPr>
      </w:pPr>
      <w:r>
        <w:rPr>
          <w:rFonts w:hint="eastAsia" w:ascii="宋体" w:hAnsi="宋体" w:cs="宋体"/>
          <w:color w:val="auto"/>
        </w:rPr>
        <w:t>　　质量保修范围包括</w:t>
      </w:r>
      <w:r>
        <w:rPr>
          <w:rFonts w:hint="eastAsia" w:ascii="宋体" w:hAnsi="宋体" w:cs="宋体"/>
          <w:color w:val="auto"/>
          <w:lang w:val="en-US" w:eastAsia="zh-CN"/>
        </w:rPr>
        <w:t xml:space="preserve">                </w:t>
      </w:r>
      <w:r>
        <w:rPr>
          <w:rFonts w:hint="eastAsia" w:ascii="宋体" w:hAnsi="宋体" w:cs="宋体"/>
          <w:color w:val="auto"/>
        </w:rPr>
        <w:t>，以及双方约定的其他项目。具体保修的内容，双方约定如下：</w:t>
      </w:r>
    </w:p>
    <w:p>
      <w:pPr>
        <w:spacing w:line="380" w:lineRule="exact"/>
        <w:outlineLvl w:val="9"/>
        <w:rPr>
          <w:rFonts w:ascii="宋体" w:hAnsi="宋体" w:cs="宋体"/>
          <w:color w:val="auto"/>
        </w:rPr>
      </w:pPr>
      <w:r>
        <w:rPr>
          <w:rFonts w:hint="eastAsia" w:ascii="宋体" w:hAnsi="宋体" w:cs="宋体"/>
          <w:color w:val="auto"/>
        </w:rPr>
        <w:t>　　</w:t>
      </w:r>
      <w:r>
        <w:rPr>
          <w:rFonts w:hint="eastAsia" w:ascii="宋体" w:hAnsi="宋体" w:cs="宋体"/>
          <w:color w:val="auto"/>
          <w:u w:val="single"/>
        </w:rPr>
        <w:t xml:space="preserve">                                                                    </w:t>
      </w:r>
      <w:r>
        <w:rPr>
          <w:rFonts w:hint="eastAsia" w:ascii="宋体" w:hAnsi="宋体" w:cs="宋体"/>
          <w:color w:val="auto"/>
        </w:rPr>
        <w:t>。</w:t>
      </w:r>
    </w:p>
    <w:p>
      <w:pPr>
        <w:spacing w:line="380" w:lineRule="exact"/>
        <w:outlineLvl w:val="9"/>
        <w:rPr>
          <w:rFonts w:ascii="宋体" w:hAnsi="宋体" w:cs="宋体"/>
          <w:color w:val="auto"/>
        </w:rPr>
      </w:pPr>
      <w:r>
        <w:rPr>
          <w:rFonts w:hint="eastAsia" w:ascii="宋体" w:hAnsi="宋体" w:cs="宋体"/>
          <w:b/>
          <w:color w:val="auto"/>
        </w:rPr>
        <w:t>　　</w:t>
      </w:r>
      <w:r>
        <w:rPr>
          <w:rFonts w:hint="eastAsia" w:ascii="宋体" w:hAnsi="宋体" w:cs="宋体"/>
          <w:color w:val="auto"/>
        </w:rPr>
        <w:t>二、质量保修期</w:t>
      </w:r>
    </w:p>
    <w:p>
      <w:pPr>
        <w:spacing w:line="380" w:lineRule="exact"/>
        <w:ind w:firstLine="420" w:firstLineChars="200"/>
        <w:outlineLvl w:val="9"/>
        <w:rPr>
          <w:rFonts w:hint="eastAsia" w:ascii="宋体" w:hAnsi="宋体" w:cs="宋体"/>
          <w:color w:val="auto"/>
        </w:rPr>
      </w:pPr>
      <w:r>
        <w:rPr>
          <w:rFonts w:hint="eastAsia" w:ascii="宋体" w:hAnsi="宋体" w:cs="宋体"/>
          <w:color w:val="auto"/>
        </w:rPr>
        <w:t>根据《建设工程质量管理条例》及有关规定，工程的质量保修期如下：</w:t>
      </w:r>
    </w:p>
    <w:p>
      <w:pPr>
        <w:spacing w:line="380" w:lineRule="exact"/>
        <w:outlineLvl w:val="9"/>
        <w:rPr>
          <w:rFonts w:ascii="宋体" w:hAnsi="宋体" w:cs="宋体"/>
          <w:color w:val="auto"/>
        </w:rPr>
      </w:pPr>
      <w:r>
        <w:rPr>
          <w:rFonts w:hint="eastAsia" w:ascii="宋体" w:hAnsi="宋体" w:cs="宋体"/>
          <w:color w:val="auto"/>
        </w:rPr>
        <w:t xml:space="preserve">    </w:t>
      </w:r>
      <w:r>
        <w:rPr>
          <w:rFonts w:hint="eastAsia" w:ascii="宋体" w:hAnsi="宋体" w:cs="宋体"/>
          <w:color w:val="auto"/>
          <w:u w:val="single"/>
        </w:rPr>
        <w:t xml:space="preserve">按相关法律法规执行 </w:t>
      </w:r>
      <w:r>
        <w:rPr>
          <w:rFonts w:hint="eastAsia" w:ascii="宋体" w:hAnsi="宋体" w:cs="宋体"/>
          <w:color w:val="auto"/>
        </w:rPr>
        <w:t>。</w:t>
      </w:r>
    </w:p>
    <w:p>
      <w:pPr>
        <w:spacing w:line="380" w:lineRule="exact"/>
        <w:outlineLvl w:val="9"/>
        <w:rPr>
          <w:rFonts w:ascii="宋体" w:hAnsi="宋体" w:cs="宋体"/>
          <w:color w:val="auto"/>
        </w:rPr>
      </w:pPr>
      <w:r>
        <w:rPr>
          <w:rFonts w:hint="eastAsia" w:ascii="宋体" w:hAnsi="宋体" w:cs="宋体"/>
          <w:color w:val="auto"/>
        </w:rPr>
        <w:t>　　质量保修期自工程竣工验收合格之日起计算。</w:t>
      </w:r>
    </w:p>
    <w:p>
      <w:pPr>
        <w:spacing w:line="380" w:lineRule="exact"/>
        <w:ind w:firstLine="420" w:firstLineChars="200"/>
        <w:outlineLvl w:val="9"/>
        <w:rPr>
          <w:rFonts w:ascii="宋体" w:hAnsi="宋体" w:cs="宋体"/>
          <w:color w:val="auto"/>
        </w:rPr>
      </w:pPr>
      <w:r>
        <w:rPr>
          <w:rFonts w:hint="eastAsia" w:ascii="宋体" w:hAnsi="宋体" w:cs="宋体"/>
          <w:color w:val="auto"/>
        </w:rPr>
        <w:t>三、缺陷责任期</w:t>
      </w:r>
    </w:p>
    <w:p>
      <w:pPr>
        <w:spacing w:line="380" w:lineRule="exact"/>
        <w:ind w:firstLine="420" w:firstLineChars="200"/>
        <w:outlineLvl w:val="9"/>
        <w:rPr>
          <w:rFonts w:ascii="宋体" w:hAnsi="宋体" w:cs="宋体"/>
          <w:color w:val="auto"/>
        </w:rPr>
      </w:pPr>
      <w:r>
        <w:rPr>
          <w:rFonts w:hint="eastAsia" w:ascii="宋体" w:hAnsi="宋体" w:cs="宋体"/>
          <w:color w:val="auto"/>
        </w:rPr>
        <w:t>工程缺陷责任期为</w:t>
      </w:r>
      <w:r>
        <w:rPr>
          <w:rFonts w:hint="eastAsia" w:ascii="宋体" w:hAnsi="宋体" w:cs="宋体"/>
          <w:color w:val="auto"/>
          <w:u w:val="single"/>
          <w:lang w:val="en-US" w:eastAsia="zh-CN"/>
        </w:rPr>
        <w:t xml:space="preserve">    </w:t>
      </w:r>
      <w:r>
        <w:rPr>
          <w:rFonts w:hint="eastAsia" w:ascii="宋体" w:hAnsi="宋体" w:cs="宋体"/>
          <w:color w:val="auto"/>
        </w:rPr>
        <w:t>个月，缺陷责任期自工程实际竣工之日起计算。单位工程先于全部工程进行验收，单位工程缺陷责任期自单位工程验收合格之日起算。</w:t>
      </w:r>
    </w:p>
    <w:p>
      <w:pPr>
        <w:spacing w:line="380" w:lineRule="exact"/>
        <w:ind w:firstLine="420" w:firstLineChars="200"/>
        <w:outlineLvl w:val="9"/>
        <w:rPr>
          <w:rFonts w:ascii="宋体" w:hAnsi="宋体" w:cs="宋体"/>
          <w:color w:val="auto"/>
        </w:rPr>
      </w:pPr>
      <w:r>
        <w:rPr>
          <w:rFonts w:hint="eastAsia" w:ascii="宋体" w:hAnsi="宋体" w:cs="宋体"/>
          <w:color w:val="auto"/>
        </w:rPr>
        <w:t>缺陷责任期终止后，发包人应退还剩余的质量保证金。</w:t>
      </w:r>
    </w:p>
    <w:p>
      <w:pPr>
        <w:spacing w:line="380" w:lineRule="exact"/>
        <w:outlineLvl w:val="9"/>
        <w:rPr>
          <w:rFonts w:ascii="宋体" w:hAnsi="宋体" w:cs="宋体"/>
          <w:color w:val="auto"/>
        </w:rPr>
      </w:pPr>
      <w:r>
        <w:rPr>
          <w:rFonts w:hint="eastAsia" w:ascii="宋体" w:hAnsi="宋体" w:cs="宋体"/>
          <w:color w:val="auto"/>
        </w:rPr>
        <w:t xml:space="preserve">    四、质量保修责任</w:t>
      </w:r>
    </w:p>
    <w:p>
      <w:pPr>
        <w:spacing w:line="380" w:lineRule="exact"/>
        <w:ind w:left="105" w:leftChars="50" w:firstLine="430" w:firstLineChars="205"/>
        <w:outlineLvl w:val="9"/>
        <w:rPr>
          <w:rFonts w:ascii="宋体" w:hAnsi="宋体" w:cs="宋体"/>
          <w:color w:val="auto"/>
        </w:rPr>
      </w:pPr>
      <w:r>
        <w:rPr>
          <w:rFonts w:hint="eastAsia" w:ascii="宋体" w:hAnsi="宋体" w:cs="宋体"/>
          <w:color w:val="auto"/>
        </w:rPr>
        <w:t>1．属于保修范围、内容的项目，承包人应当在接到保修通知之日起7天内派人保修。承包人不在约定期限内派人保修的，发包人可以委托他人修理。</w:t>
      </w:r>
    </w:p>
    <w:p>
      <w:pPr>
        <w:spacing w:line="380" w:lineRule="exact"/>
        <w:ind w:left="105" w:leftChars="50" w:firstLine="430" w:firstLineChars="205"/>
        <w:outlineLvl w:val="9"/>
        <w:rPr>
          <w:rFonts w:ascii="宋体" w:hAnsi="宋体" w:cs="宋体"/>
          <w:color w:val="auto"/>
        </w:rPr>
      </w:pPr>
      <w:r>
        <w:rPr>
          <w:rFonts w:hint="eastAsia" w:ascii="宋体" w:hAnsi="宋体" w:cs="宋体"/>
          <w:color w:val="auto"/>
        </w:rPr>
        <w:t>2．发生紧急事故需抢修的，承包人在接到事故通知后，应当立即到达事故现场抢修。</w:t>
      </w:r>
    </w:p>
    <w:p>
      <w:pPr>
        <w:spacing w:line="380" w:lineRule="exact"/>
        <w:ind w:left="105" w:leftChars="50" w:firstLine="430" w:firstLineChars="205"/>
        <w:outlineLvl w:val="9"/>
        <w:rPr>
          <w:rFonts w:ascii="宋体" w:hAnsi="宋体" w:cs="宋体"/>
          <w:color w:val="auto"/>
        </w:rPr>
      </w:pPr>
      <w:r>
        <w:rPr>
          <w:rFonts w:hint="eastAsia" w:ascii="宋体" w:hAnsi="宋体" w:cs="宋体"/>
          <w:color w:va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80" w:lineRule="exact"/>
        <w:ind w:left="420" w:leftChars="200" w:firstLine="105" w:firstLineChars="50"/>
        <w:outlineLvl w:val="9"/>
        <w:rPr>
          <w:rFonts w:ascii="宋体" w:hAnsi="宋体" w:cs="宋体"/>
          <w:color w:val="auto"/>
        </w:rPr>
      </w:pPr>
      <w:r>
        <w:rPr>
          <w:rFonts w:hint="eastAsia" w:ascii="宋体" w:hAnsi="宋体" w:cs="宋体"/>
          <w:color w:val="auto"/>
        </w:rPr>
        <w:t>4．质量保修完成后，由发包人组织验收。</w:t>
      </w:r>
    </w:p>
    <w:p>
      <w:pPr>
        <w:spacing w:line="380" w:lineRule="exact"/>
        <w:outlineLvl w:val="9"/>
        <w:rPr>
          <w:rFonts w:ascii="宋体" w:hAnsi="宋体" w:cs="宋体"/>
          <w:color w:val="auto"/>
        </w:rPr>
      </w:pPr>
      <w:r>
        <w:rPr>
          <w:rFonts w:hint="eastAsia" w:ascii="宋体" w:hAnsi="宋体" w:cs="宋体"/>
          <w:color w:val="auto"/>
        </w:rPr>
        <w:t>　　五、保修费用</w:t>
      </w:r>
    </w:p>
    <w:p>
      <w:pPr>
        <w:spacing w:line="380" w:lineRule="exact"/>
        <w:outlineLvl w:val="9"/>
        <w:rPr>
          <w:rFonts w:ascii="宋体" w:hAnsi="宋体" w:cs="宋体"/>
          <w:color w:val="auto"/>
        </w:rPr>
      </w:pPr>
      <w:r>
        <w:rPr>
          <w:rFonts w:hint="eastAsia" w:ascii="宋体" w:hAnsi="宋体" w:cs="宋体"/>
          <w:color w:val="auto"/>
        </w:rPr>
        <w:t>　　保修费用由造成质量缺陷的责任方承担。</w:t>
      </w:r>
    </w:p>
    <w:p>
      <w:pPr>
        <w:spacing w:line="380" w:lineRule="exact"/>
        <w:jc w:val="left"/>
        <w:outlineLvl w:val="9"/>
        <w:rPr>
          <w:rFonts w:ascii="宋体" w:hAnsi="宋体" w:cs="宋体"/>
          <w:color w:val="auto"/>
        </w:rPr>
      </w:pPr>
      <w:r>
        <w:rPr>
          <w:rFonts w:hint="eastAsia" w:ascii="宋体" w:hAnsi="宋体" w:cs="宋体"/>
          <w:b/>
          <w:color w:val="auto"/>
        </w:rPr>
        <w:t xml:space="preserve">    六</w:t>
      </w:r>
      <w:r>
        <w:rPr>
          <w:rFonts w:hint="eastAsia" w:ascii="宋体" w:hAnsi="宋体" w:cs="宋体"/>
          <w:color w:val="auto"/>
        </w:rPr>
        <w:t>、双方约定的其他工程质量保修事项：</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rPr>
        <w:t>。</w:t>
      </w:r>
    </w:p>
    <w:p>
      <w:pPr>
        <w:spacing w:line="380" w:lineRule="exact"/>
        <w:ind w:firstLine="399" w:firstLineChars="190"/>
        <w:outlineLvl w:val="9"/>
        <w:rPr>
          <w:rFonts w:ascii="宋体" w:hAnsi="宋体" w:cs="宋体"/>
          <w:color w:val="auto"/>
        </w:rPr>
      </w:pPr>
      <w:r>
        <w:rPr>
          <w:rFonts w:hint="eastAsia" w:ascii="宋体" w:hAnsi="宋体" w:cs="宋体"/>
          <w:color w:val="auto"/>
        </w:rPr>
        <w:t>工程质量保修书由发包人、承包人在工程竣工验收前共同签署，作为施工合同附件，其有效期限至保修期满。</w:t>
      </w:r>
    </w:p>
    <w:tbl>
      <w:tblPr>
        <w:tblStyle w:val="45"/>
        <w:tblpPr w:leftFromText="180" w:rightFromText="180" w:vertAnchor="text" w:horzAnchor="page" w:tblpX="1772" w:tblpY="577"/>
        <w:tblOverlap w:val="never"/>
        <w:tblW w:w="0" w:type="auto"/>
        <w:tblInd w:w="0" w:type="dxa"/>
        <w:tblLayout w:type="fixed"/>
        <w:tblCellMar>
          <w:top w:w="0" w:type="dxa"/>
          <w:left w:w="108" w:type="dxa"/>
          <w:bottom w:w="0" w:type="dxa"/>
          <w:right w:w="108" w:type="dxa"/>
        </w:tblCellMar>
      </w:tblPr>
      <w:tblGrid>
        <w:gridCol w:w="4372"/>
        <w:gridCol w:w="4468"/>
      </w:tblGrid>
      <w:tr>
        <w:tblPrEx>
          <w:tblCellMar>
            <w:top w:w="0" w:type="dxa"/>
            <w:left w:w="108" w:type="dxa"/>
            <w:bottom w:w="0" w:type="dxa"/>
            <w:right w:w="108" w:type="dxa"/>
          </w:tblCellMar>
        </w:tblPrEx>
        <w:trPr>
          <w:trHeight w:val="894"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 xml:space="preserve">发包人：  （公章）   </w:t>
            </w:r>
          </w:p>
        </w:tc>
        <w:tc>
          <w:tcPr>
            <w:tcW w:w="4468" w:type="dxa"/>
          </w:tcPr>
          <w:p>
            <w:pPr>
              <w:spacing w:line="360" w:lineRule="auto"/>
              <w:outlineLvl w:val="9"/>
              <w:rPr>
                <w:rFonts w:ascii="宋体" w:hAnsi="宋体" w:cs="宋体"/>
                <w:bCs/>
                <w:color w:val="auto"/>
              </w:rPr>
            </w:pPr>
            <w:r>
              <w:rPr>
                <w:rFonts w:hint="eastAsia" w:ascii="宋体" w:hAnsi="宋体" w:cs="宋体"/>
                <w:color w:val="auto"/>
              </w:rPr>
              <w:t>承包人：  （公章）</w:t>
            </w:r>
          </w:p>
        </w:tc>
      </w:tr>
      <w:tr>
        <w:tblPrEx>
          <w:tblCellMar>
            <w:top w:w="0" w:type="dxa"/>
            <w:left w:w="108" w:type="dxa"/>
            <w:bottom w:w="0" w:type="dxa"/>
            <w:right w:w="108" w:type="dxa"/>
          </w:tblCellMar>
        </w:tblPrEx>
        <w:trPr>
          <w:trHeight w:val="797"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法定代表人或其委托代理人：</w:t>
            </w:r>
          </w:p>
        </w:tc>
        <w:tc>
          <w:tcPr>
            <w:tcW w:w="4468" w:type="dxa"/>
          </w:tcPr>
          <w:p>
            <w:pPr>
              <w:spacing w:line="360" w:lineRule="auto"/>
              <w:outlineLvl w:val="9"/>
              <w:rPr>
                <w:rFonts w:ascii="宋体" w:hAnsi="宋体" w:cs="宋体"/>
                <w:bCs/>
                <w:color w:val="auto"/>
              </w:rPr>
            </w:pPr>
            <w:r>
              <w:rPr>
                <w:rFonts w:hint="eastAsia" w:ascii="宋体" w:hAnsi="宋体" w:cs="宋体"/>
                <w:color w:val="auto"/>
              </w:rPr>
              <w:t>法定代表人或其委托代理人：</w:t>
            </w:r>
          </w:p>
        </w:tc>
      </w:tr>
      <w:tr>
        <w:tblPrEx>
          <w:tblCellMar>
            <w:top w:w="0" w:type="dxa"/>
            <w:left w:w="108" w:type="dxa"/>
            <w:bottom w:w="0" w:type="dxa"/>
            <w:right w:w="108" w:type="dxa"/>
          </w:tblCellMar>
        </w:tblPrEx>
        <w:trPr>
          <w:trHeight w:val="806"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组织机构代码：</w:t>
            </w:r>
            <w:r>
              <w:rPr>
                <w:rFonts w:hint="eastAsia" w:ascii="宋体" w:hAnsi="宋体" w:cs="宋体"/>
                <w:color w:val="auto"/>
                <w:u w:val="single"/>
              </w:rPr>
              <w:t xml:space="preserve">            </w:t>
            </w:r>
          </w:p>
        </w:tc>
        <w:tc>
          <w:tcPr>
            <w:tcW w:w="4468" w:type="dxa"/>
          </w:tcPr>
          <w:p>
            <w:pPr>
              <w:tabs>
                <w:tab w:val="left" w:pos="4410"/>
              </w:tabs>
              <w:outlineLvl w:val="9"/>
              <w:rPr>
                <w:rFonts w:ascii="宋体" w:hAnsi="宋体" w:cs="宋体"/>
                <w:bCs/>
                <w:color w:val="auto"/>
              </w:rPr>
            </w:pPr>
            <w:r>
              <w:rPr>
                <w:rFonts w:hint="eastAsia" w:ascii="宋体" w:hAnsi="宋体" w:cs="宋体"/>
                <w:color w:val="auto"/>
              </w:rPr>
              <w:t>组织机构代码：</w:t>
            </w:r>
            <w:r>
              <w:rPr>
                <w:rFonts w:hint="eastAsia" w:ascii="宋体" w:hAnsi="宋体" w:cs="宋体"/>
                <w:color w:val="auto"/>
                <w:u w:val="single"/>
              </w:rPr>
              <w:t xml:space="preserve">       </w:t>
            </w:r>
          </w:p>
        </w:tc>
      </w:tr>
      <w:tr>
        <w:tblPrEx>
          <w:tblCellMar>
            <w:top w:w="0" w:type="dxa"/>
            <w:left w:w="108" w:type="dxa"/>
            <w:bottom w:w="0" w:type="dxa"/>
            <w:right w:w="108" w:type="dxa"/>
          </w:tblCellMar>
        </w:tblPrEx>
        <w:trPr>
          <w:trHeight w:val="536"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地  址：</w:t>
            </w:r>
            <w:r>
              <w:rPr>
                <w:rFonts w:hint="eastAsia" w:ascii="宋体" w:hAnsi="宋体" w:cs="宋体"/>
                <w:color w:val="auto"/>
                <w:u w:val="single"/>
              </w:rPr>
              <w:t xml:space="preserve">                   </w:t>
            </w:r>
            <w:r>
              <w:rPr>
                <w:rFonts w:hint="eastAsia" w:ascii="宋体" w:hAnsi="宋体" w:cs="宋体"/>
                <w:color w:val="auto"/>
              </w:rPr>
              <w:t xml:space="preserve">  </w:t>
            </w:r>
          </w:p>
        </w:tc>
        <w:tc>
          <w:tcPr>
            <w:tcW w:w="4468" w:type="dxa"/>
          </w:tcPr>
          <w:p>
            <w:pPr>
              <w:spacing w:after="120"/>
              <w:outlineLvl w:val="9"/>
              <w:rPr>
                <w:rFonts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w:t>
            </w:r>
          </w:p>
        </w:tc>
      </w:tr>
      <w:tr>
        <w:tblPrEx>
          <w:tblCellMar>
            <w:top w:w="0" w:type="dxa"/>
            <w:left w:w="108" w:type="dxa"/>
            <w:bottom w:w="0" w:type="dxa"/>
            <w:right w:w="108" w:type="dxa"/>
          </w:tblCellMar>
        </w:tblPrEx>
        <w:trPr>
          <w:trHeight w:val="455"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邮政编码：</w:t>
            </w:r>
            <w:r>
              <w:rPr>
                <w:rFonts w:hint="eastAsia" w:ascii="宋体" w:hAnsi="宋体" w:cs="宋体"/>
                <w:color w:val="auto"/>
                <w:u w:val="single"/>
              </w:rPr>
              <w:t xml:space="preserve">               </w:t>
            </w:r>
            <w:r>
              <w:rPr>
                <w:rFonts w:hint="eastAsia" w:ascii="宋体" w:hAnsi="宋体" w:cs="宋体"/>
                <w:color w:val="auto"/>
              </w:rPr>
              <w:t xml:space="preserve"> </w:t>
            </w:r>
          </w:p>
        </w:tc>
        <w:tc>
          <w:tcPr>
            <w:tcW w:w="4468" w:type="dxa"/>
          </w:tcPr>
          <w:p>
            <w:pPr>
              <w:spacing w:line="360" w:lineRule="auto"/>
              <w:outlineLvl w:val="9"/>
              <w:rPr>
                <w:rFonts w:ascii="宋体" w:hAnsi="宋体" w:cs="宋体"/>
                <w:bCs/>
                <w:color w:val="auto"/>
              </w:rPr>
            </w:pPr>
            <w:r>
              <w:rPr>
                <w:rFonts w:hint="eastAsia" w:ascii="宋体" w:hAnsi="宋体" w:cs="宋体"/>
                <w:color w:val="auto"/>
              </w:rPr>
              <w:t>邮政编码：</w:t>
            </w:r>
            <w:r>
              <w:rPr>
                <w:rFonts w:hint="eastAsia" w:ascii="宋体" w:hAnsi="宋体" w:cs="宋体"/>
                <w:color w:val="auto"/>
                <w:u w:val="single"/>
              </w:rPr>
              <w:t xml:space="preserve">   </w:t>
            </w:r>
          </w:p>
        </w:tc>
      </w:tr>
      <w:tr>
        <w:tblPrEx>
          <w:tblCellMar>
            <w:top w:w="0" w:type="dxa"/>
            <w:left w:w="108" w:type="dxa"/>
            <w:bottom w:w="0" w:type="dxa"/>
            <w:right w:w="108" w:type="dxa"/>
          </w:tblCellMar>
        </w:tblPrEx>
        <w:trPr>
          <w:trHeight w:val="455"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电  话：</w:t>
            </w:r>
            <w:r>
              <w:rPr>
                <w:rFonts w:hint="eastAsia" w:ascii="宋体" w:hAnsi="宋体" w:cs="宋体"/>
                <w:color w:val="auto"/>
                <w:u w:val="single"/>
              </w:rPr>
              <w:t xml:space="preserve">                   </w:t>
            </w:r>
            <w:r>
              <w:rPr>
                <w:rFonts w:hint="eastAsia" w:ascii="宋体" w:hAnsi="宋体" w:cs="宋体"/>
                <w:color w:val="auto"/>
              </w:rPr>
              <w:t xml:space="preserve"> </w:t>
            </w:r>
          </w:p>
        </w:tc>
        <w:tc>
          <w:tcPr>
            <w:tcW w:w="4468" w:type="dxa"/>
          </w:tcPr>
          <w:p>
            <w:pPr>
              <w:spacing w:line="360" w:lineRule="auto"/>
              <w:outlineLvl w:val="9"/>
              <w:rPr>
                <w:rFonts w:ascii="宋体" w:hAnsi="宋体" w:cs="宋体"/>
                <w:bCs/>
                <w:color w:val="auto"/>
              </w:rPr>
            </w:pPr>
            <w:r>
              <w:rPr>
                <w:rFonts w:hint="eastAsia" w:ascii="宋体" w:hAnsi="宋体" w:cs="宋体"/>
                <w:color w:val="auto"/>
              </w:rPr>
              <w:t>电  话：</w:t>
            </w:r>
            <w:r>
              <w:rPr>
                <w:rFonts w:hint="eastAsia" w:ascii="宋体" w:hAnsi="宋体" w:cs="宋体"/>
                <w:color w:val="auto"/>
                <w:u w:val="single"/>
              </w:rPr>
              <w:t xml:space="preserve">      </w:t>
            </w:r>
          </w:p>
        </w:tc>
      </w:tr>
      <w:tr>
        <w:tblPrEx>
          <w:tblCellMar>
            <w:top w:w="0" w:type="dxa"/>
            <w:left w:w="108" w:type="dxa"/>
            <w:bottom w:w="0" w:type="dxa"/>
            <w:right w:w="108" w:type="dxa"/>
          </w:tblCellMar>
        </w:tblPrEx>
        <w:trPr>
          <w:trHeight w:val="470"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传  真：</w:t>
            </w:r>
            <w:r>
              <w:rPr>
                <w:rFonts w:hint="eastAsia" w:ascii="宋体" w:hAnsi="宋体" w:cs="宋体"/>
                <w:color w:val="auto"/>
                <w:u w:val="single"/>
              </w:rPr>
              <w:t xml:space="preserve">                   </w:t>
            </w:r>
          </w:p>
        </w:tc>
        <w:tc>
          <w:tcPr>
            <w:tcW w:w="4468" w:type="dxa"/>
          </w:tcPr>
          <w:p>
            <w:pPr>
              <w:spacing w:line="360" w:lineRule="auto"/>
              <w:outlineLvl w:val="9"/>
              <w:rPr>
                <w:rFonts w:ascii="宋体" w:hAnsi="宋体" w:cs="宋体"/>
                <w:bCs/>
                <w:color w:val="auto"/>
              </w:rPr>
            </w:pPr>
            <w:r>
              <w:rPr>
                <w:rFonts w:hint="eastAsia" w:ascii="宋体" w:hAnsi="宋体" w:cs="宋体"/>
                <w:color w:val="auto"/>
              </w:rPr>
              <w:t>传  真：</w:t>
            </w:r>
            <w:r>
              <w:rPr>
                <w:rFonts w:hint="eastAsia" w:ascii="宋体" w:hAnsi="宋体" w:cs="宋体"/>
                <w:color w:val="auto"/>
                <w:u w:val="single"/>
              </w:rPr>
              <w:t xml:space="preserve">           </w:t>
            </w:r>
          </w:p>
        </w:tc>
      </w:tr>
      <w:tr>
        <w:tblPrEx>
          <w:tblCellMar>
            <w:top w:w="0" w:type="dxa"/>
            <w:left w:w="108" w:type="dxa"/>
            <w:bottom w:w="0" w:type="dxa"/>
            <w:right w:w="108" w:type="dxa"/>
          </w:tblCellMar>
        </w:tblPrEx>
        <w:trPr>
          <w:trHeight w:val="440"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电子信箱：</w:t>
            </w:r>
            <w:r>
              <w:rPr>
                <w:rFonts w:hint="eastAsia" w:ascii="宋体" w:hAnsi="宋体" w:cs="宋体"/>
                <w:color w:val="auto"/>
                <w:u w:val="single"/>
              </w:rPr>
              <w:t xml:space="preserve">                 </w:t>
            </w:r>
          </w:p>
        </w:tc>
        <w:tc>
          <w:tcPr>
            <w:tcW w:w="4468" w:type="dxa"/>
          </w:tcPr>
          <w:p>
            <w:pPr>
              <w:spacing w:line="360" w:lineRule="auto"/>
              <w:outlineLvl w:val="9"/>
              <w:rPr>
                <w:rFonts w:ascii="宋体" w:hAnsi="宋体" w:cs="宋体"/>
                <w:bCs/>
                <w:color w:val="auto"/>
              </w:rPr>
            </w:pPr>
            <w:r>
              <w:rPr>
                <w:rFonts w:hint="eastAsia" w:ascii="宋体" w:hAnsi="宋体" w:cs="宋体"/>
                <w:color w:val="auto"/>
              </w:rPr>
              <w:t>电子信箱：</w:t>
            </w:r>
            <w:r>
              <w:rPr>
                <w:rFonts w:hint="eastAsia" w:ascii="宋体" w:hAnsi="宋体" w:cs="宋体"/>
                <w:color w:val="auto"/>
                <w:u w:val="single"/>
              </w:rPr>
              <w:t xml:space="preserve">     </w:t>
            </w:r>
          </w:p>
        </w:tc>
      </w:tr>
      <w:tr>
        <w:tblPrEx>
          <w:tblCellMar>
            <w:top w:w="0" w:type="dxa"/>
            <w:left w:w="108" w:type="dxa"/>
            <w:bottom w:w="0" w:type="dxa"/>
            <w:right w:w="108" w:type="dxa"/>
          </w:tblCellMar>
        </w:tblPrEx>
        <w:trPr>
          <w:trHeight w:val="455"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开户银行：</w:t>
            </w:r>
            <w:r>
              <w:rPr>
                <w:rFonts w:hint="eastAsia" w:ascii="宋体" w:hAnsi="宋体" w:cs="宋体"/>
                <w:color w:val="auto"/>
                <w:u w:val="single"/>
              </w:rPr>
              <w:t xml:space="preserve">                 </w:t>
            </w:r>
            <w:r>
              <w:rPr>
                <w:rFonts w:hint="eastAsia" w:ascii="宋体" w:hAnsi="宋体" w:cs="宋体"/>
                <w:color w:val="auto"/>
              </w:rPr>
              <w:t xml:space="preserve"> </w:t>
            </w:r>
          </w:p>
        </w:tc>
        <w:tc>
          <w:tcPr>
            <w:tcW w:w="4468" w:type="dxa"/>
          </w:tcPr>
          <w:p>
            <w:pPr>
              <w:spacing w:after="120"/>
              <w:outlineLvl w:val="9"/>
              <w:rPr>
                <w:rFonts w:ascii="宋体" w:hAnsi="宋体" w:cs="宋体"/>
                <w:color w:val="auto"/>
              </w:rPr>
            </w:pPr>
            <w:r>
              <w:rPr>
                <w:rFonts w:hint="eastAsia" w:ascii="宋体" w:hAnsi="宋体" w:cs="宋体"/>
                <w:color w:val="auto"/>
              </w:rPr>
              <w:t>开户银行：</w:t>
            </w:r>
            <w:r>
              <w:rPr>
                <w:rFonts w:hint="eastAsia" w:ascii="宋体" w:hAnsi="宋体" w:cs="宋体"/>
                <w:color w:val="auto"/>
                <w:u w:val="single"/>
              </w:rPr>
              <w:t xml:space="preserve">            </w:t>
            </w:r>
          </w:p>
        </w:tc>
      </w:tr>
      <w:tr>
        <w:tblPrEx>
          <w:tblCellMar>
            <w:top w:w="0" w:type="dxa"/>
            <w:left w:w="108" w:type="dxa"/>
            <w:bottom w:w="0" w:type="dxa"/>
            <w:right w:w="108" w:type="dxa"/>
          </w:tblCellMar>
        </w:tblPrEx>
        <w:trPr>
          <w:trHeight w:val="395" w:hRule="atLeast"/>
        </w:trPr>
        <w:tc>
          <w:tcPr>
            <w:tcW w:w="4372" w:type="dxa"/>
          </w:tcPr>
          <w:p>
            <w:pPr>
              <w:spacing w:line="360" w:lineRule="auto"/>
              <w:outlineLvl w:val="9"/>
              <w:rPr>
                <w:rFonts w:ascii="宋体" w:hAnsi="宋体" w:cs="宋体"/>
                <w:bCs/>
                <w:color w:val="auto"/>
              </w:rPr>
            </w:pPr>
            <w:r>
              <w:rPr>
                <w:rFonts w:hint="eastAsia" w:ascii="宋体" w:hAnsi="宋体" w:cs="宋体"/>
                <w:color w:val="auto"/>
              </w:rPr>
              <w:t>户    名：</w:t>
            </w:r>
            <w:r>
              <w:rPr>
                <w:rFonts w:hint="eastAsia" w:ascii="宋体" w:hAnsi="宋体" w:cs="宋体"/>
                <w:color w:val="auto"/>
                <w:u w:val="single"/>
              </w:rPr>
              <w:t xml:space="preserve">                 </w:t>
            </w:r>
          </w:p>
        </w:tc>
        <w:tc>
          <w:tcPr>
            <w:tcW w:w="4468" w:type="dxa"/>
          </w:tcPr>
          <w:p>
            <w:pPr>
              <w:spacing w:after="120"/>
              <w:outlineLvl w:val="9"/>
              <w:rPr>
                <w:rFonts w:ascii="宋体" w:hAnsi="宋体" w:cs="宋体"/>
                <w:color w:val="auto"/>
              </w:rPr>
            </w:pPr>
            <w:r>
              <w:rPr>
                <w:rFonts w:hint="eastAsia" w:ascii="宋体" w:hAnsi="宋体" w:cs="宋体"/>
                <w:color w:val="auto"/>
              </w:rPr>
              <w:t>户   名：</w:t>
            </w:r>
            <w:r>
              <w:rPr>
                <w:rFonts w:hint="eastAsia" w:ascii="宋体" w:hAnsi="宋体" w:cs="宋体"/>
                <w:color w:val="auto"/>
                <w:u w:val="single"/>
              </w:rPr>
              <w:t xml:space="preserve">               </w:t>
            </w:r>
          </w:p>
        </w:tc>
      </w:tr>
      <w:tr>
        <w:tblPrEx>
          <w:tblCellMar>
            <w:top w:w="0" w:type="dxa"/>
            <w:left w:w="108" w:type="dxa"/>
            <w:bottom w:w="0" w:type="dxa"/>
            <w:right w:w="108" w:type="dxa"/>
          </w:tblCellMar>
        </w:tblPrEx>
        <w:trPr>
          <w:trHeight w:val="605" w:hRule="atLeast"/>
        </w:trPr>
        <w:tc>
          <w:tcPr>
            <w:tcW w:w="4372" w:type="dxa"/>
          </w:tcPr>
          <w:p>
            <w:pPr>
              <w:spacing w:line="360" w:lineRule="auto"/>
              <w:outlineLvl w:val="9"/>
              <w:rPr>
                <w:rFonts w:ascii="宋体" w:hAnsi="宋体" w:cs="宋体"/>
                <w:color w:val="auto"/>
              </w:rPr>
            </w:pPr>
            <w:r>
              <w:rPr>
                <w:rFonts w:hint="eastAsia" w:ascii="宋体" w:hAnsi="宋体" w:cs="宋体"/>
                <w:color w:val="auto"/>
              </w:rPr>
              <w:t>账    号：</w:t>
            </w:r>
            <w:r>
              <w:rPr>
                <w:rFonts w:hint="eastAsia" w:ascii="宋体" w:hAnsi="宋体" w:cs="宋体"/>
                <w:color w:val="auto"/>
                <w:u w:val="single"/>
              </w:rPr>
              <w:t xml:space="preserve">                 </w:t>
            </w:r>
          </w:p>
        </w:tc>
        <w:tc>
          <w:tcPr>
            <w:tcW w:w="4468" w:type="dxa"/>
          </w:tcPr>
          <w:p>
            <w:pPr>
              <w:spacing w:line="360" w:lineRule="auto"/>
              <w:outlineLvl w:val="9"/>
              <w:rPr>
                <w:rFonts w:ascii="宋体" w:hAnsi="宋体" w:cs="宋体"/>
                <w:bCs/>
                <w:color w:val="auto"/>
              </w:rPr>
            </w:pPr>
            <w:r>
              <w:rPr>
                <w:rFonts w:hint="eastAsia" w:ascii="宋体" w:hAnsi="宋体" w:cs="宋体"/>
                <w:color w:val="auto"/>
              </w:rPr>
              <w:t>账  号：</w:t>
            </w:r>
            <w:r>
              <w:rPr>
                <w:rFonts w:hint="eastAsia" w:ascii="宋体" w:hAnsi="宋体" w:cs="宋体"/>
                <w:color w:val="auto"/>
                <w:u w:val="single"/>
              </w:rPr>
              <w:t xml:space="preserve">           </w:t>
            </w:r>
          </w:p>
        </w:tc>
      </w:tr>
    </w:tbl>
    <w:p>
      <w:pPr>
        <w:spacing w:line="360" w:lineRule="auto"/>
        <w:outlineLvl w:val="9"/>
        <w:rPr>
          <w:rFonts w:ascii="宋体" w:hAnsi="宋体" w:cs="宋体"/>
          <w:color w:val="auto"/>
        </w:rPr>
      </w:pPr>
    </w:p>
    <w:p>
      <w:pPr>
        <w:outlineLvl w:val="9"/>
        <w:rPr>
          <w:rFonts w:ascii="宋体" w:hAnsi="宋体" w:cs="宋体"/>
          <w:color w:val="auto"/>
        </w:rPr>
      </w:pPr>
    </w:p>
    <w:p>
      <w:pPr>
        <w:outlineLvl w:val="9"/>
        <w:rPr>
          <w:color w:val="auto"/>
        </w:rPr>
        <w:sectPr>
          <w:pgSz w:w="11907" w:h="16840"/>
          <w:pgMar w:top="1440" w:right="1080" w:bottom="1440" w:left="1080" w:header="851" w:footer="851" w:gutter="0"/>
          <w:cols w:space="720" w:num="1"/>
        </w:sectPr>
      </w:pPr>
    </w:p>
    <w:p>
      <w:pPr>
        <w:pStyle w:val="25"/>
        <w:shd w:val="clear"/>
        <w:snapToGrid w:val="0"/>
        <w:ind w:firstLine="640" w:firstLineChars="200"/>
        <w:jc w:val="center"/>
        <w:outlineLvl w:val="9"/>
        <w:rPr>
          <w:rFonts w:ascii="仿宋" w:hAnsi="仿宋" w:eastAsia="仿宋"/>
          <w:color w:val="auto"/>
          <w:sz w:val="32"/>
          <w:szCs w:val="32"/>
        </w:rPr>
      </w:pPr>
      <w:r>
        <w:rPr>
          <w:rFonts w:hint="eastAsia" w:ascii="黑体" w:hAnsi="黑体" w:eastAsia="黑体" w:cs="黑体"/>
          <w:color w:val="auto"/>
          <w:sz w:val="32"/>
          <w:szCs w:val="32"/>
        </w:rPr>
        <w:t>广西壮族自治区政府采购项目合同验收书</w:t>
      </w:r>
      <w:r>
        <w:rPr>
          <w:rFonts w:hint="eastAsia" w:ascii="仿宋" w:hAnsi="仿宋" w:eastAsia="仿宋"/>
          <w:color w:val="auto"/>
          <w:sz w:val="32"/>
          <w:szCs w:val="32"/>
        </w:rPr>
        <w:t>（格式）</w:t>
      </w:r>
    </w:p>
    <w:p>
      <w:pPr>
        <w:widowControl/>
        <w:shd w:val="clear" w:color="auto"/>
        <w:spacing w:line="480" w:lineRule="atLeast"/>
        <w:jc w:val="center"/>
        <w:outlineLvl w:val="9"/>
        <w:rPr>
          <w:rFonts w:ascii="仿宋" w:hAnsi="仿宋" w:eastAsia="仿宋" w:cs="宋体"/>
          <w:color w:val="auto"/>
          <w:kern w:val="0"/>
          <w:sz w:val="32"/>
          <w:szCs w:val="32"/>
        </w:rPr>
      </w:pPr>
    </w:p>
    <w:p>
      <w:pPr>
        <w:widowControl/>
        <w:shd w:val="clear" w:color="auto"/>
        <w:snapToGrid w:val="0"/>
        <w:spacing w:line="320" w:lineRule="atLeast"/>
        <w:ind w:firstLine="480"/>
        <w:jc w:val="left"/>
        <w:outlineLvl w:val="9"/>
        <w:rPr>
          <w:rFonts w:ascii="仿宋" w:hAnsi="仿宋" w:eastAsia="仿宋" w:cs="宋体"/>
          <w:color w:val="auto"/>
          <w:kern w:val="0"/>
        </w:rPr>
      </w:pPr>
      <w:r>
        <w:rPr>
          <w:rFonts w:hint="eastAsia" w:ascii="仿宋" w:hAnsi="仿宋" w:eastAsia="仿宋" w:cs="宋体"/>
          <w:color w:val="auto"/>
          <w:kern w:val="0"/>
        </w:rPr>
        <w:t>根据政府采购项目（</w:t>
      </w:r>
      <w:r>
        <w:rPr>
          <w:rFonts w:hint="eastAsia" w:ascii="仿宋" w:hAnsi="仿宋" w:eastAsia="仿宋" w:cs="宋体"/>
          <w:color w:val="auto"/>
          <w:kern w:val="0"/>
          <w:u w:val="single"/>
        </w:rPr>
        <w:t>采购合同编号：</w:t>
      </w:r>
      <w:r>
        <w:rPr>
          <w:rFonts w:hint="eastAsia" w:ascii="仿宋" w:hAnsi="仿宋" w:eastAsia="仿宋" w:cs="宋体"/>
          <w:color w:val="auto"/>
          <w:kern w:val="0"/>
          <w:u w:val="single"/>
        </w:rPr>
        <w:softHyphen/>
      </w:r>
      <w:r>
        <w:rPr>
          <w:rFonts w:hint="eastAsia" w:ascii="仿宋" w:hAnsi="仿宋" w:eastAsia="仿宋" w:cs="宋体"/>
          <w:color w:val="auto"/>
          <w:kern w:val="0"/>
          <w:u w:val="single"/>
        </w:rPr>
        <w:t xml:space="preserve"> </w:t>
      </w:r>
      <w:r>
        <w:rPr>
          <w:rFonts w:hint="eastAsia" w:ascii="仿宋" w:hAnsi="仿宋" w:eastAsia="仿宋" w:cs="宋体"/>
          <w:color w:val="auto"/>
          <w:kern w:val="0"/>
        </w:rPr>
        <w:t>）的约定，我单位对（</w:t>
      </w:r>
      <w:r>
        <w:rPr>
          <w:rFonts w:hint="eastAsia" w:ascii="仿宋" w:hAnsi="仿宋" w:eastAsia="仿宋" w:cs="宋体"/>
          <w:color w:val="auto"/>
          <w:kern w:val="0"/>
          <w:u w:val="single"/>
        </w:rPr>
        <w:t xml:space="preserve"> 项目名称 </w:t>
      </w:r>
      <w:r>
        <w:rPr>
          <w:rFonts w:hint="eastAsia" w:ascii="仿宋" w:hAnsi="仿宋" w:eastAsia="仿宋" w:cs="宋体"/>
          <w:color w:val="auto"/>
          <w:kern w:val="0"/>
        </w:rPr>
        <w:t>） 政府采购项目中标（或成交）供应商（</w:t>
      </w:r>
      <w:r>
        <w:rPr>
          <w:rFonts w:hint="eastAsia" w:ascii="仿宋" w:hAnsi="仿宋" w:eastAsia="仿宋" w:cs="宋体"/>
          <w:color w:val="auto"/>
          <w:kern w:val="0"/>
          <w:u w:val="single"/>
        </w:rPr>
        <w:t xml:space="preserve"> 公司名称 </w:t>
      </w:r>
      <w:r>
        <w:rPr>
          <w:rFonts w:hint="eastAsia" w:ascii="仿宋" w:hAnsi="仿宋" w:eastAsia="仿宋" w:cs="宋体"/>
          <w:color w:val="auto"/>
          <w:kern w:val="0"/>
        </w:rPr>
        <w:t>） 提供的货物（或工程、服务）进行了验收，验收情况如下：</w:t>
      </w:r>
    </w:p>
    <w:tbl>
      <w:tblPr>
        <w:tblStyle w:val="4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hd w:val="clear"/>
              <w:snapToGrid w:val="0"/>
              <w:spacing w:before="100" w:beforeAutospacing="1" w:after="100" w:afterAutospacing="1" w:line="320" w:lineRule="atLeast"/>
              <w:ind w:firstLine="5"/>
              <w:jc w:val="center"/>
              <w:outlineLvl w:val="9"/>
              <w:rPr>
                <w:rFonts w:ascii="Verdana" w:hAnsi="Verdana" w:cs="宋体"/>
                <w:color w:val="auto"/>
                <w:kern w:val="0"/>
              </w:rPr>
            </w:pPr>
            <w:r>
              <w:rPr>
                <w:rFonts w:ascii="Verdana" w:hAnsi="Verdana" w:cs="宋体"/>
                <w:color w:val="auto"/>
                <w:kern w:val="0"/>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hd w:val="clear"/>
              <w:snapToGrid w:val="0"/>
              <w:spacing w:before="100" w:beforeAutospacing="1" w:after="100" w:afterAutospacing="1" w:line="320" w:lineRule="atLeast"/>
              <w:ind w:firstLine="480"/>
              <w:jc w:val="center"/>
              <w:outlineLvl w:val="9"/>
              <w:rPr>
                <w:rFonts w:ascii="Verdana" w:hAnsi="Verdana" w:cs="宋体"/>
                <w:color w:val="auto"/>
                <w:kern w:val="0"/>
              </w:rPr>
            </w:pPr>
            <w:r>
              <w:rPr>
                <w:rFonts w:ascii="Verdana" w:hAnsi="Verdana" w:cs="宋体"/>
                <w:color w:val="auto"/>
                <w:kern w:val="0"/>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hd w:val="clear"/>
              <w:snapToGrid w:val="0"/>
              <w:spacing w:before="100" w:beforeAutospacing="1" w:after="100" w:afterAutospacing="1" w:line="320" w:lineRule="atLeast"/>
              <w:ind w:firstLine="2"/>
              <w:jc w:val="center"/>
              <w:outlineLvl w:val="9"/>
              <w:rPr>
                <w:rFonts w:ascii="Verdana" w:hAnsi="Verdana" w:cs="宋体"/>
                <w:color w:val="auto"/>
                <w:kern w:val="0"/>
              </w:rPr>
            </w:pPr>
            <w:r>
              <w:rPr>
                <w:rFonts w:ascii="Verdana" w:hAnsi="Verdana" w:cs="宋体"/>
                <w:color w:val="auto"/>
                <w:kern w:val="0"/>
              </w:rPr>
              <w:t>序号</w:t>
            </w:r>
          </w:p>
        </w:tc>
        <w:tc>
          <w:tcPr>
            <w:tcW w:w="1921" w:type="dxa"/>
            <w:tcBorders>
              <w:top w:val="nil"/>
              <w:left w:val="nil"/>
              <w:bottom w:val="single" w:color="auto" w:sz="8" w:space="0"/>
              <w:right w:val="single" w:color="auto" w:sz="8" w:space="0"/>
            </w:tcBorders>
            <w:vAlign w:val="center"/>
          </w:tcPr>
          <w:p>
            <w:pPr>
              <w:widowControl/>
              <w:shd w:val="clear"/>
              <w:snapToGrid w:val="0"/>
              <w:spacing w:before="100" w:beforeAutospacing="1" w:after="100" w:afterAutospacing="1" w:line="320" w:lineRule="atLeast"/>
              <w:ind w:firstLine="2"/>
              <w:jc w:val="center"/>
              <w:outlineLvl w:val="9"/>
              <w:rPr>
                <w:rFonts w:ascii="Verdana" w:hAnsi="Verdana" w:cs="宋体"/>
                <w:color w:val="auto"/>
                <w:kern w:val="0"/>
              </w:rPr>
            </w:pPr>
            <w:r>
              <w:rPr>
                <w:rFonts w:ascii="Verdana" w:hAnsi="Verdana" w:cs="宋体"/>
                <w:color w:val="auto"/>
                <w:kern w:val="0"/>
              </w:rPr>
              <w:t>名 称</w:t>
            </w:r>
          </w:p>
        </w:tc>
        <w:tc>
          <w:tcPr>
            <w:tcW w:w="2902" w:type="dxa"/>
            <w:gridSpan w:val="3"/>
            <w:tcBorders>
              <w:top w:val="nil"/>
              <w:left w:val="nil"/>
              <w:bottom w:val="single" w:color="auto" w:sz="8" w:space="0"/>
              <w:right w:val="single" w:color="auto" w:sz="8" w:space="0"/>
            </w:tcBorders>
            <w:vAlign w:val="center"/>
          </w:tcPr>
          <w:p>
            <w:pPr>
              <w:widowControl/>
              <w:shd w:val="clear"/>
              <w:snapToGrid w:val="0"/>
              <w:spacing w:before="100" w:beforeAutospacing="1" w:after="100" w:afterAutospacing="1" w:line="320" w:lineRule="atLeast"/>
              <w:ind w:firstLine="2"/>
              <w:jc w:val="center"/>
              <w:outlineLvl w:val="9"/>
              <w:rPr>
                <w:rFonts w:ascii="Verdana" w:hAnsi="Verdana" w:cs="宋体"/>
                <w:color w:val="auto"/>
                <w:kern w:val="0"/>
              </w:rPr>
            </w:pPr>
            <w:r>
              <w:rPr>
                <w:rFonts w:ascii="Verdana" w:hAnsi="Verdana" w:cs="宋体"/>
                <w:color w:val="auto"/>
                <w:kern w:val="0"/>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hd w:val="clear"/>
              <w:snapToGrid w:val="0"/>
              <w:spacing w:before="100" w:beforeAutospacing="1" w:after="100" w:afterAutospacing="1" w:line="320" w:lineRule="atLeast"/>
              <w:jc w:val="center"/>
              <w:outlineLvl w:val="9"/>
              <w:rPr>
                <w:rFonts w:ascii="Verdana" w:hAnsi="Verdana" w:cs="宋体"/>
                <w:color w:val="auto"/>
                <w:kern w:val="0"/>
              </w:rPr>
            </w:pPr>
            <w:r>
              <w:rPr>
                <w:rFonts w:ascii="Verdana" w:hAnsi="Verdana" w:cs="宋体"/>
                <w:color w:val="auto"/>
                <w:kern w:val="0"/>
              </w:rPr>
              <w:t>数量</w:t>
            </w:r>
          </w:p>
        </w:tc>
        <w:tc>
          <w:tcPr>
            <w:tcW w:w="1428" w:type="dxa"/>
            <w:tcBorders>
              <w:top w:val="nil"/>
              <w:left w:val="nil"/>
              <w:bottom w:val="single" w:color="auto" w:sz="8" w:space="0"/>
              <w:right w:val="single" w:color="auto" w:sz="8" w:space="0"/>
            </w:tcBorders>
            <w:vAlign w:val="center"/>
          </w:tcPr>
          <w:p>
            <w:pPr>
              <w:widowControl/>
              <w:shd w:val="clear"/>
              <w:snapToGrid w:val="0"/>
              <w:spacing w:before="100" w:beforeAutospacing="1" w:after="100" w:afterAutospacing="1" w:line="320" w:lineRule="atLeast"/>
              <w:ind w:firstLine="2"/>
              <w:jc w:val="center"/>
              <w:outlineLvl w:val="9"/>
              <w:rPr>
                <w:rFonts w:ascii="Verdana" w:hAnsi="Verdana" w:cs="宋体"/>
                <w:color w:val="auto"/>
                <w:kern w:val="0"/>
              </w:rPr>
            </w:pPr>
            <w:r>
              <w:rPr>
                <w:rFonts w:ascii="Verdana" w:hAnsi="Verdana" w:cs="宋体"/>
                <w:color w:val="auto"/>
                <w:kern w:val="0"/>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1921" w:type="dxa"/>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2902" w:type="dxa"/>
            <w:gridSpan w:val="3"/>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863" w:type="dxa"/>
            <w:gridSpan w:val="2"/>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1428" w:type="dxa"/>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1921" w:type="dxa"/>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2902" w:type="dxa"/>
            <w:gridSpan w:val="3"/>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863" w:type="dxa"/>
            <w:gridSpan w:val="2"/>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1428" w:type="dxa"/>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1921" w:type="dxa"/>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2902" w:type="dxa"/>
            <w:gridSpan w:val="3"/>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863" w:type="dxa"/>
            <w:gridSpan w:val="2"/>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1428" w:type="dxa"/>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hd w:val="clear"/>
              <w:snapToGrid w:val="0"/>
              <w:spacing w:before="100" w:beforeAutospacing="1" w:after="100" w:afterAutospacing="1" w:line="320" w:lineRule="atLeast"/>
              <w:ind w:firstLine="5"/>
              <w:jc w:val="center"/>
              <w:outlineLvl w:val="9"/>
              <w:rPr>
                <w:rFonts w:ascii="Verdana" w:hAnsi="Verdana" w:cs="宋体"/>
                <w:color w:val="auto"/>
                <w:kern w:val="0"/>
              </w:rPr>
            </w:pPr>
            <w:r>
              <w:rPr>
                <w:rFonts w:ascii="Verdana" w:hAnsi="Verdana" w:cs="宋体"/>
                <w:color w:val="auto"/>
                <w:kern w:val="0"/>
              </w:rPr>
              <w:t>合 计</w:t>
            </w:r>
          </w:p>
        </w:tc>
        <w:tc>
          <w:tcPr>
            <w:tcW w:w="863" w:type="dxa"/>
            <w:gridSpan w:val="2"/>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c>
          <w:tcPr>
            <w:tcW w:w="1428" w:type="dxa"/>
            <w:tcBorders>
              <w:top w:val="nil"/>
              <w:left w:val="nil"/>
              <w:bottom w:val="single" w:color="auto" w:sz="8" w:space="0"/>
              <w:right w:val="single" w:color="auto" w:sz="8" w:space="0"/>
            </w:tcBorders>
            <w:vAlign w:val="center"/>
          </w:tcPr>
          <w:p>
            <w:pPr>
              <w:widowControl/>
              <w:shd w:val="clear"/>
              <w:spacing w:before="100" w:beforeAutospacing="1" w:after="100" w:afterAutospacing="1" w:line="240" w:lineRule="atLeast"/>
              <w:jc w:val="center"/>
              <w:outlineLvl w:val="9"/>
              <w:rPr>
                <w:rFonts w:ascii="Verdana" w:hAnsi="Verdana" w:cs="宋体"/>
                <w:color w:val="auto"/>
                <w:kern w:val="0"/>
              </w:rPr>
            </w:pPr>
          </w:p>
        </w:tc>
      </w:tr>
      <w:tr>
        <w:tblPrEx>
          <w:tblCellMar>
            <w:top w:w="0" w:type="dxa"/>
            <w:left w:w="0" w:type="dxa"/>
            <w:bottom w:w="0" w:type="dxa"/>
            <w:right w:w="0" w:type="dxa"/>
          </w:tblCellMar>
        </w:tblPrEx>
        <w:trPr>
          <w:trHeight w:val="641" w:hRule="atLeast"/>
          <w:jc w:val="center"/>
        </w:trPr>
        <w:tc>
          <w:tcPr>
            <w:tcW w:w="8445"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outlineLvl w:val="9"/>
              <w:rPr>
                <w:rFonts w:ascii="Verdana" w:hAnsi="Verdana" w:cs="宋体"/>
                <w:color w:val="auto"/>
                <w:kern w:val="0"/>
              </w:rPr>
            </w:pPr>
            <w:r>
              <w:rPr>
                <w:rFonts w:ascii="Verdana" w:hAnsi="Verdana" w:cs="宋体"/>
                <w:color w:val="auto"/>
                <w:kern w:val="0"/>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outlineLvl w:val="9"/>
              <w:rPr>
                <w:rFonts w:ascii="Verdana" w:hAnsi="Verdana" w:cs="宋体"/>
                <w:color w:val="auto"/>
                <w:kern w:val="0"/>
              </w:rPr>
            </w:pPr>
            <w:r>
              <w:rPr>
                <w:rFonts w:ascii="Verdana" w:hAnsi="Verdana" w:cs="宋体"/>
                <w:color w:val="auto"/>
                <w:kern w:val="0"/>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outlineLvl w:val="9"/>
              <w:rPr>
                <w:rFonts w:ascii="Verdana" w:hAnsi="Verdana" w:cs="宋体"/>
                <w:color w:val="auto"/>
                <w:kern w:val="0"/>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outlineLvl w:val="9"/>
              <w:rPr>
                <w:rFonts w:ascii="Verdana" w:hAnsi="Verdana" w:cs="宋体"/>
                <w:color w:val="auto"/>
                <w:kern w:val="0"/>
              </w:rPr>
            </w:pPr>
            <w:r>
              <w:rPr>
                <w:rFonts w:ascii="Verdana" w:hAnsi="Verdana" w:cs="宋体"/>
                <w:color w:val="auto"/>
                <w:kern w:val="0"/>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outlineLvl w:val="9"/>
              <w:rPr>
                <w:rFonts w:ascii="Verdana" w:hAnsi="Verdana" w:cs="宋体"/>
                <w:color w:val="auto"/>
                <w:kern w:val="0"/>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outlineLvl w:val="9"/>
              <w:rPr>
                <w:rFonts w:ascii="Verdana" w:hAnsi="Verdana" w:cs="宋体"/>
                <w:color w:val="auto"/>
                <w:kern w:val="0"/>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outlineLvl w:val="9"/>
              <w:rPr>
                <w:rFonts w:ascii="Verdana" w:hAnsi="Verdana" w:cs="宋体"/>
                <w:color w:val="auto"/>
                <w:kern w:val="0"/>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outlineLvl w:val="9"/>
              <w:rPr>
                <w:rFonts w:ascii="Verdana" w:hAnsi="Verdana" w:cs="宋体"/>
                <w:color w:val="auto"/>
                <w:kern w:val="0"/>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outlineLvl w:val="9"/>
              <w:rPr>
                <w:rFonts w:ascii="Verdana" w:hAnsi="Verdana" w:cs="宋体"/>
                <w:color w:val="auto"/>
                <w:kern w:val="0"/>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验收具体内容</w:t>
            </w:r>
          </w:p>
        </w:tc>
        <w:tc>
          <w:tcPr>
            <w:tcW w:w="711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验收小组意见</w:t>
            </w: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outlineLvl w:val="9"/>
              <w:rPr>
                <w:rFonts w:ascii="Verdana" w:hAnsi="Verdana" w:cs="宋体"/>
                <w:color w:val="auto"/>
                <w:kern w:val="0"/>
              </w:rPr>
            </w:pPr>
          </w:p>
        </w:tc>
        <w:tc>
          <w:tcPr>
            <w:tcW w:w="7114"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outlineLvl w:val="9"/>
              <w:rPr>
                <w:rFonts w:ascii="Verdana" w:hAnsi="Verdana" w:cs="宋体"/>
                <w:color w:val="auto"/>
                <w:kern w:val="0"/>
              </w:rPr>
            </w:pPr>
            <w:r>
              <w:rPr>
                <w:rFonts w:ascii="Verdana" w:hAnsi="Verdana" w:cs="宋体"/>
                <w:color w:val="auto"/>
                <w:kern w:val="0"/>
              </w:rPr>
              <w:t>有异议的意见和说明理由：</w:t>
            </w:r>
          </w:p>
          <w:p>
            <w:pPr>
              <w:widowControl/>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签字：</w:t>
            </w:r>
          </w:p>
        </w:tc>
      </w:tr>
      <w:tr>
        <w:tblPrEx>
          <w:tblCellMar>
            <w:top w:w="0" w:type="dxa"/>
            <w:left w:w="0" w:type="dxa"/>
            <w:bottom w:w="0" w:type="dxa"/>
            <w:right w:w="0" w:type="dxa"/>
          </w:tblCellMar>
        </w:tblPrEx>
        <w:trPr>
          <w:trHeight w:val="507"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验收小组成员签字：</w:t>
            </w:r>
          </w:p>
        </w:tc>
      </w:tr>
      <w:tr>
        <w:tblPrEx>
          <w:tblCellMar>
            <w:top w:w="0" w:type="dxa"/>
            <w:left w:w="0" w:type="dxa"/>
            <w:bottom w:w="0" w:type="dxa"/>
            <w:right w:w="0" w:type="dxa"/>
          </w:tblCellMar>
        </w:tblPrEx>
        <w:trPr>
          <w:trHeight w:val="736"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监督人员或其他相关人员签字：</w:t>
            </w:r>
          </w:p>
          <w:p>
            <w:pPr>
              <w:widowControl/>
              <w:spacing w:before="100" w:beforeAutospacing="1" w:after="100" w:afterAutospacing="1" w:line="320" w:lineRule="atLeast"/>
              <w:ind w:firstLine="74"/>
              <w:jc w:val="left"/>
              <w:outlineLvl w:val="9"/>
              <w:rPr>
                <w:rFonts w:ascii="Verdana" w:hAnsi="Verdana" w:cs="宋体"/>
                <w:color w:val="auto"/>
                <w:kern w:val="0"/>
              </w:rPr>
            </w:pPr>
            <w:r>
              <w:rPr>
                <w:rFonts w:ascii="Verdana" w:hAnsi="Verdana" w:cs="宋体"/>
                <w:color w:val="auto"/>
                <w:kern w:val="0"/>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outlineLvl w:val="9"/>
              <w:rPr>
                <w:rFonts w:ascii="Verdana" w:hAnsi="Verdana" w:cs="宋体"/>
                <w:color w:val="auto"/>
                <w:kern w:val="0"/>
              </w:rPr>
            </w:pPr>
            <w:r>
              <w:rPr>
                <w:rFonts w:ascii="Verdana" w:hAnsi="Verdana" w:cs="宋体"/>
                <w:color w:val="auto"/>
                <w:kern w:val="0"/>
              </w:rPr>
              <w:t>中标或者成交供应商负责人签字或盖章：</w:t>
            </w:r>
          </w:p>
          <w:p>
            <w:pPr>
              <w:widowControl/>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采购人或受托机构的意见（盖章）：</w:t>
            </w:r>
          </w:p>
          <w:p>
            <w:pPr>
              <w:widowControl/>
              <w:spacing w:before="100" w:beforeAutospacing="1" w:after="100" w:afterAutospacing="1" w:line="320" w:lineRule="atLeast"/>
              <w:jc w:val="left"/>
              <w:outlineLvl w:val="9"/>
              <w:rPr>
                <w:rFonts w:ascii="Verdana" w:hAnsi="Verdana" w:cs="宋体"/>
                <w:color w:val="auto"/>
                <w:kern w:val="0"/>
              </w:rPr>
            </w:pPr>
            <w:r>
              <w:rPr>
                <w:rFonts w:ascii="Verdana" w:hAnsi="Verdana" w:cs="宋体"/>
                <w:color w:val="auto"/>
                <w:kern w:val="0"/>
              </w:rPr>
              <w:t>联系电话： 年 月 日</w:t>
            </w:r>
          </w:p>
        </w:tc>
      </w:tr>
    </w:tbl>
    <w:p>
      <w:pPr>
        <w:rPr>
          <w:color w:val="auto"/>
        </w:rPr>
      </w:pPr>
      <w:r>
        <w:rPr>
          <w:color w:val="auto"/>
        </w:rPr>
        <w:br w:type="page"/>
      </w:r>
    </w:p>
    <w:p>
      <w:pPr>
        <w:rPr>
          <w:rFonts w:hint="eastAsia"/>
          <w:color w:val="auto"/>
          <w:lang w:val="en-US" w:eastAsia="zh-CN"/>
        </w:rPr>
      </w:pPr>
      <w:r>
        <w:rPr>
          <w:rFonts w:hint="eastAsia"/>
          <w:color w:val="auto"/>
          <w:lang w:val="en-US" w:eastAsia="zh-CN"/>
        </w:rPr>
        <w:t>其他附件：</w:t>
      </w:r>
    </w:p>
    <w:p>
      <w:pPr>
        <w:spacing w:line="428" w:lineRule="exact"/>
        <w:ind w:left="119"/>
        <w:rPr>
          <w:rFonts w:ascii="Arial Unicode MS" w:hAnsi="Arial Unicode MS" w:eastAsia="Arial Unicode MS" w:cs="Arial Unicode MS"/>
          <w:color w:val="auto"/>
          <w:sz w:val="32"/>
          <w:szCs w:val="32"/>
          <w:highlight w:val="none"/>
        </w:rPr>
      </w:pPr>
    </w:p>
    <w:p>
      <w:pPr>
        <w:spacing w:line="528" w:lineRule="exact"/>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45"/>
        <w:tblW w:w="9639" w:type="dxa"/>
        <w:jc w:val="center"/>
        <w:tblLayout w:type="fixed"/>
        <w:tblCellMar>
          <w:top w:w="0" w:type="dxa"/>
          <w:left w:w="108" w:type="dxa"/>
          <w:bottom w:w="0" w:type="dxa"/>
          <w:right w:w="108" w:type="dxa"/>
        </w:tblCellMar>
      </w:tblPr>
      <w:tblGrid>
        <w:gridCol w:w="1949"/>
        <w:gridCol w:w="1586"/>
        <w:gridCol w:w="1285"/>
        <w:gridCol w:w="1842"/>
        <w:gridCol w:w="1701"/>
        <w:gridCol w:w="1276"/>
      </w:tblGrid>
      <w:tr>
        <w:tblPrEx>
          <w:tblCellMar>
            <w:top w:w="0" w:type="dxa"/>
            <w:left w:w="108" w:type="dxa"/>
            <w:bottom w:w="0" w:type="dxa"/>
            <w:right w:w="108" w:type="dxa"/>
          </w:tblCellMar>
        </w:tblPrEx>
        <w:trPr>
          <w:trHeight w:val="487"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5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微型</w:t>
            </w:r>
          </w:p>
        </w:tc>
      </w:tr>
      <w:tr>
        <w:tblPrEx>
          <w:tblCellMar>
            <w:top w:w="0" w:type="dxa"/>
            <w:left w:w="108" w:type="dxa"/>
            <w:bottom w:w="0" w:type="dxa"/>
            <w:right w:w="108" w:type="dxa"/>
          </w:tblCellMar>
        </w:tblPrEx>
        <w:trPr>
          <w:trHeight w:val="226" w:hRule="atLeast"/>
          <w:jc w:val="center"/>
        </w:trPr>
        <w:tc>
          <w:tcPr>
            <w:tcW w:w="194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Y＜2000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tblPrEx>
          <w:tblCellMar>
            <w:top w:w="0" w:type="dxa"/>
            <w:left w:w="108" w:type="dxa"/>
            <w:bottom w:w="0" w:type="dxa"/>
            <w:right w:w="108" w:type="dxa"/>
          </w:tblCellMar>
        </w:tblPrEx>
        <w:trPr>
          <w:trHeight w:val="226" w:hRule="atLeast"/>
          <w:jc w:val="center"/>
        </w:trPr>
        <w:tc>
          <w:tcPr>
            <w:tcW w:w="19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租赁和商务服务业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226" w:hRule="atLeast"/>
          <w:jc w:val="center"/>
        </w:trPr>
        <w:tc>
          <w:tcPr>
            <w:tcW w:w="194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226" w:hRule="atLeast"/>
          <w:jc w:val="center"/>
        </w:trPr>
        <w:tc>
          <w:tcPr>
            <w:tcW w:w="194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5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pPr>
        <w:spacing w:line="360" w:lineRule="auto"/>
        <w:ind w:firstLine="525" w:firstLineChars="250"/>
        <w:rPr>
          <w:rFonts w:hint="default"/>
          <w:color w:val="auto"/>
          <w:lang w:val="en-US" w:eastAsia="zh-CN"/>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rPr>
          <w:rFonts w:hint="default"/>
          <w:color w:val="auto"/>
          <w:lang w:val="en-US" w:eastAsia="zh-CN"/>
        </w:rPr>
      </w:pPr>
    </w:p>
    <w:p>
      <w:pPr>
        <w:pStyle w:val="19"/>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87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E55D1"/>
    <w:multiLevelType w:val="multilevel"/>
    <w:tmpl w:val="049E55D1"/>
    <w:lvl w:ilvl="0" w:tentative="0">
      <w:start w:val="1"/>
      <w:numFmt w:val="decimal"/>
      <w:pStyle w:val="126"/>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48"/>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5"/>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31"/>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30"/>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36"/>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37"/>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27"/>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1">
    <w:nsid w:val="0C48645C"/>
    <w:multiLevelType w:val="multilevel"/>
    <w:tmpl w:val="0C48645C"/>
    <w:lvl w:ilvl="0" w:tentative="0">
      <w:start w:val="1"/>
      <w:numFmt w:val="decimal"/>
      <w:pStyle w:val="129"/>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4EF5680"/>
    <w:multiLevelType w:val="singleLevel"/>
    <w:tmpl w:val="14EF5680"/>
    <w:lvl w:ilvl="0" w:tentative="0">
      <w:start w:val="1"/>
      <w:numFmt w:val="decimal"/>
      <w:pStyle w:val="139"/>
      <w:lvlText w:val="%1."/>
      <w:lvlJc w:val="left"/>
      <w:pPr>
        <w:tabs>
          <w:tab w:val="left" w:pos="480"/>
        </w:tabs>
        <w:ind w:left="480" w:hanging="480"/>
      </w:pPr>
      <w:rPr>
        <w:rFonts w:hint="default"/>
        <w:sz w:val="23"/>
        <w:szCs w:val="23"/>
      </w:rPr>
    </w:lvl>
  </w:abstractNum>
  <w:abstractNum w:abstractNumId="3">
    <w:nsid w:val="39C28194"/>
    <w:multiLevelType w:val="singleLevel"/>
    <w:tmpl w:val="39C28194"/>
    <w:lvl w:ilvl="0" w:tentative="0">
      <w:start w:val="1"/>
      <w:numFmt w:val="decimal"/>
      <w:pStyle w:val="13"/>
      <w:lvlText w:val="%1."/>
      <w:lvlJc w:val="left"/>
      <w:pPr>
        <w:tabs>
          <w:tab w:val="left" w:pos="360"/>
        </w:tabs>
        <w:ind w:left="360" w:hanging="360"/>
      </w:pPr>
    </w:lvl>
  </w:abstractNum>
  <w:abstractNum w:abstractNumId="4">
    <w:nsid w:val="57EC4BDC"/>
    <w:multiLevelType w:val="multilevel"/>
    <w:tmpl w:val="57EC4BDC"/>
    <w:lvl w:ilvl="0" w:tentative="0">
      <w:start w:val="1"/>
      <w:numFmt w:val="chineseCountingThousand"/>
      <w:pStyle w:val="2"/>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vanish w:val="0"/>
        <w:sz w:val="24"/>
        <w:szCs w:val="24"/>
        <w:vertAlign w:val="baseline"/>
        <w14:shadow w14:blurRad="0" w14:dist="0" w14:dir="0" w14:sx="0" w14:sy="0" w14:kx="0" w14:ky="0" w14:algn="none">
          <w14:srgbClr w14:val="000000"/>
        </w14:shadow>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B5030ED"/>
    <w:multiLevelType w:val="singleLevel"/>
    <w:tmpl w:val="6B5030ED"/>
    <w:lvl w:ilvl="0" w:tentative="0">
      <w:start w:val="1"/>
      <w:numFmt w:val="decimal"/>
      <w:pStyle w:val="142"/>
      <w:lvlText w:val="(%1)"/>
      <w:lvlJc w:val="left"/>
      <w:pPr>
        <w:tabs>
          <w:tab w:val="left" w:pos="567"/>
        </w:tabs>
        <w:ind w:left="567" w:hanging="567"/>
      </w:pPr>
      <w:rPr>
        <w:rFonts w:hint="eastAsia"/>
        <w:b/>
        <w:bCs/>
        <w:i w:val="0"/>
        <w:iCs w:val="0"/>
        <w:sz w:val="23"/>
        <w:szCs w:val="23"/>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ZjZjZDBhYzgzMThjOTI3YzdmN2EzNzhkNzdjMjkifQ=="/>
  </w:docVars>
  <w:rsids>
    <w:rsidRoot w:val="00172A27"/>
    <w:rsid w:val="00023AB5"/>
    <w:rsid w:val="00024C49"/>
    <w:rsid w:val="00065D5A"/>
    <w:rsid w:val="0007799F"/>
    <w:rsid w:val="000D0C9B"/>
    <w:rsid w:val="000E54DB"/>
    <w:rsid w:val="001104B7"/>
    <w:rsid w:val="00136896"/>
    <w:rsid w:val="00137881"/>
    <w:rsid w:val="001570A4"/>
    <w:rsid w:val="001820E4"/>
    <w:rsid w:val="00197EC4"/>
    <w:rsid w:val="001A10A0"/>
    <w:rsid w:val="001A208E"/>
    <w:rsid w:val="001C30E0"/>
    <w:rsid w:val="001C315D"/>
    <w:rsid w:val="001D4F53"/>
    <w:rsid w:val="001F238E"/>
    <w:rsid w:val="002418ED"/>
    <w:rsid w:val="002472F6"/>
    <w:rsid w:val="00250BF0"/>
    <w:rsid w:val="00256659"/>
    <w:rsid w:val="00273957"/>
    <w:rsid w:val="002914F2"/>
    <w:rsid w:val="002A4CB1"/>
    <w:rsid w:val="002B2944"/>
    <w:rsid w:val="002D5F2A"/>
    <w:rsid w:val="00320356"/>
    <w:rsid w:val="003366CF"/>
    <w:rsid w:val="00346547"/>
    <w:rsid w:val="00376C37"/>
    <w:rsid w:val="00395214"/>
    <w:rsid w:val="003B3FC0"/>
    <w:rsid w:val="003B7696"/>
    <w:rsid w:val="003C4C7D"/>
    <w:rsid w:val="003D6A75"/>
    <w:rsid w:val="003E7C9C"/>
    <w:rsid w:val="00407E53"/>
    <w:rsid w:val="00460FCD"/>
    <w:rsid w:val="00491366"/>
    <w:rsid w:val="004A4166"/>
    <w:rsid w:val="004B604B"/>
    <w:rsid w:val="004E49D5"/>
    <w:rsid w:val="005228CA"/>
    <w:rsid w:val="0052705D"/>
    <w:rsid w:val="00543553"/>
    <w:rsid w:val="005518BE"/>
    <w:rsid w:val="00560684"/>
    <w:rsid w:val="005B1167"/>
    <w:rsid w:val="005C115F"/>
    <w:rsid w:val="005F1F68"/>
    <w:rsid w:val="005F447F"/>
    <w:rsid w:val="005F5881"/>
    <w:rsid w:val="006058D3"/>
    <w:rsid w:val="00652ABA"/>
    <w:rsid w:val="00652F80"/>
    <w:rsid w:val="006635C9"/>
    <w:rsid w:val="006A436E"/>
    <w:rsid w:val="006B03BA"/>
    <w:rsid w:val="006F1267"/>
    <w:rsid w:val="006F5836"/>
    <w:rsid w:val="0072738E"/>
    <w:rsid w:val="00743C85"/>
    <w:rsid w:val="0075003A"/>
    <w:rsid w:val="00751256"/>
    <w:rsid w:val="00753809"/>
    <w:rsid w:val="007615EE"/>
    <w:rsid w:val="007A140A"/>
    <w:rsid w:val="007E64F6"/>
    <w:rsid w:val="0080091A"/>
    <w:rsid w:val="00820E2E"/>
    <w:rsid w:val="00834A26"/>
    <w:rsid w:val="00840967"/>
    <w:rsid w:val="008431F4"/>
    <w:rsid w:val="00860D24"/>
    <w:rsid w:val="0086353C"/>
    <w:rsid w:val="00866F92"/>
    <w:rsid w:val="008716B9"/>
    <w:rsid w:val="00876637"/>
    <w:rsid w:val="0088518E"/>
    <w:rsid w:val="0089756E"/>
    <w:rsid w:val="008B349F"/>
    <w:rsid w:val="008D0BA6"/>
    <w:rsid w:val="008E7C49"/>
    <w:rsid w:val="009029B3"/>
    <w:rsid w:val="0091575E"/>
    <w:rsid w:val="009335C6"/>
    <w:rsid w:val="00935851"/>
    <w:rsid w:val="0095169E"/>
    <w:rsid w:val="00966C54"/>
    <w:rsid w:val="009737F6"/>
    <w:rsid w:val="00977609"/>
    <w:rsid w:val="009A149D"/>
    <w:rsid w:val="009B0695"/>
    <w:rsid w:val="009E2495"/>
    <w:rsid w:val="009F6ACD"/>
    <w:rsid w:val="00A30EE6"/>
    <w:rsid w:val="00A61A13"/>
    <w:rsid w:val="00A70478"/>
    <w:rsid w:val="00A85F5F"/>
    <w:rsid w:val="00A868C8"/>
    <w:rsid w:val="00A96842"/>
    <w:rsid w:val="00A97810"/>
    <w:rsid w:val="00AB474E"/>
    <w:rsid w:val="00AB5084"/>
    <w:rsid w:val="00AD42E3"/>
    <w:rsid w:val="00AD484B"/>
    <w:rsid w:val="00AD5794"/>
    <w:rsid w:val="00AF2A5F"/>
    <w:rsid w:val="00B338F4"/>
    <w:rsid w:val="00B56EC4"/>
    <w:rsid w:val="00B65930"/>
    <w:rsid w:val="00B87D3E"/>
    <w:rsid w:val="00BB57D2"/>
    <w:rsid w:val="00BC2F68"/>
    <w:rsid w:val="00BC5CA7"/>
    <w:rsid w:val="00BE7250"/>
    <w:rsid w:val="00C27508"/>
    <w:rsid w:val="00C373E9"/>
    <w:rsid w:val="00C4570F"/>
    <w:rsid w:val="00C5149B"/>
    <w:rsid w:val="00C53BA4"/>
    <w:rsid w:val="00C637D5"/>
    <w:rsid w:val="00C679A7"/>
    <w:rsid w:val="00C75F23"/>
    <w:rsid w:val="00C82081"/>
    <w:rsid w:val="00C84926"/>
    <w:rsid w:val="00CB3531"/>
    <w:rsid w:val="00D02750"/>
    <w:rsid w:val="00D201D6"/>
    <w:rsid w:val="00D4142A"/>
    <w:rsid w:val="00D4339C"/>
    <w:rsid w:val="00D56432"/>
    <w:rsid w:val="00D865C8"/>
    <w:rsid w:val="00D977C1"/>
    <w:rsid w:val="00DD2337"/>
    <w:rsid w:val="00DF2D8B"/>
    <w:rsid w:val="00DF6FDB"/>
    <w:rsid w:val="00E0024B"/>
    <w:rsid w:val="00E23A8D"/>
    <w:rsid w:val="00E501BB"/>
    <w:rsid w:val="00E56710"/>
    <w:rsid w:val="00E628A6"/>
    <w:rsid w:val="00E66BAF"/>
    <w:rsid w:val="00E92114"/>
    <w:rsid w:val="00EE2B69"/>
    <w:rsid w:val="00EE7999"/>
    <w:rsid w:val="00EF0908"/>
    <w:rsid w:val="00EF3F80"/>
    <w:rsid w:val="00F031E6"/>
    <w:rsid w:val="00F16F62"/>
    <w:rsid w:val="00F24E46"/>
    <w:rsid w:val="00F30444"/>
    <w:rsid w:val="00F409AE"/>
    <w:rsid w:val="00F52AEE"/>
    <w:rsid w:val="00F72B7F"/>
    <w:rsid w:val="00F85C8C"/>
    <w:rsid w:val="00FB07AC"/>
    <w:rsid w:val="00FC699B"/>
    <w:rsid w:val="00FD283A"/>
    <w:rsid w:val="00FE0856"/>
    <w:rsid w:val="01175BCB"/>
    <w:rsid w:val="012704DB"/>
    <w:rsid w:val="01382BBC"/>
    <w:rsid w:val="015F2C67"/>
    <w:rsid w:val="01912C7E"/>
    <w:rsid w:val="01B82A98"/>
    <w:rsid w:val="01C64722"/>
    <w:rsid w:val="021822CA"/>
    <w:rsid w:val="02331BC1"/>
    <w:rsid w:val="027B5769"/>
    <w:rsid w:val="02942239"/>
    <w:rsid w:val="02F632E5"/>
    <w:rsid w:val="032B09E8"/>
    <w:rsid w:val="038C793B"/>
    <w:rsid w:val="03A23D72"/>
    <w:rsid w:val="0467661D"/>
    <w:rsid w:val="04C11DAF"/>
    <w:rsid w:val="05952D7D"/>
    <w:rsid w:val="05BE5EDB"/>
    <w:rsid w:val="06712922"/>
    <w:rsid w:val="06931366"/>
    <w:rsid w:val="069E7B08"/>
    <w:rsid w:val="06C75D86"/>
    <w:rsid w:val="06F56226"/>
    <w:rsid w:val="07311744"/>
    <w:rsid w:val="073B11D3"/>
    <w:rsid w:val="07F20CD1"/>
    <w:rsid w:val="082E72A2"/>
    <w:rsid w:val="08946407"/>
    <w:rsid w:val="091F15F9"/>
    <w:rsid w:val="092A6E15"/>
    <w:rsid w:val="096C01EF"/>
    <w:rsid w:val="097F19A1"/>
    <w:rsid w:val="09814270"/>
    <w:rsid w:val="098707BD"/>
    <w:rsid w:val="098B07D2"/>
    <w:rsid w:val="09A456FA"/>
    <w:rsid w:val="09E201D2"/>
    <w:rsid w:val="0A11609A"/>
    <w:rsid w:val="0A552A4D"/>
    <w:rsid w:val="0A5871E9"/>
    <w:rsid w:val="0A8C0EDD"/>
    <w:rsid w:val="0AB00910"/>
    <w:rsid w:val="0ACD22CC"/>
    <w:rsid w:val="0C2A23F3"/>
    <w:rsid w:val="0C342609"/>
    <w:rsid w:val="0CCC31A1"/>
    <w:rsid w:val="0DB05F76"/>
    <w:rsid w:val="0DE63B13"/>
    <w:rsid w:val="0DFE1370"/>
    <w:rsid w:val="0E311E54"/>
    <w:rsid w:val="0E704B72"/>
    <w:rsid w:val="0EAF6A38"/>
    <w:rsid w:val="0EC042B5"/>
    <w:rsid w:val="0ED45C66"/>
    <w:rsid w:val="0ED64306"/>
    <w:rsid w:val="0F276495"/>
    <w:rsid w:val="0F3D0F1E"/>
    <w:rsid w:val="0F3E5D3C"/>
    <w:rsid w:val="0F995C92"/>
    <w:rsid w:val="0FDA7A1E"/>
    <w:rsid w:val="11273C7A"/>
    <w:rsid w:val="115D34F8"/>
    <w:rsid w:val="11615F19"/>
    <w:rsid w:val="1186305E"/>
    <w:rsid w:val="120342EE"/>
    <w:rsid w:val="12396C23"/>
    <w:rsid w:val="124E7809"/>
    <w:rsid w:val="124F64A1"/>
    <w:rsid w:val="12AF277F"/>
    <w:rsid w:val="131613DB"/>
    <w:rsid w:val="13222F51"/>
    <w:rsid w:val="134B6BA7"/>
    <w:rsid w:val="13761093"/>
    <w:rsid w:val="13B97FBA"/>
    <w:rsid w:val="1420672E"/>
    <w:rsid w:val="149D3865"/>
    <w:rsid w:val="15085AE4"/>
    <w:rsid w:val="15665530"/>
    <w:rsid w:val="15966C02"/>
    <w:rsid w:val="16257519"/>
    <w:rsid w:val="162B0E36"/>
    <w:rsid w:val="16572BA1"/>
    <w:rsid w:val="167232D9"/>
    <w:rsid w:val="16DF1E34"/>
    <w:rsid w:val="177314DB"/>
    <w:rsid w:val="17F10E40"/>
    <w:rsid w:val="17FC48F2"/>
    <w:rsid w:val="1874237E"/>
    <w:rsid w:val="198C11E1"/>
    <w:rsid w:val="19A9778D"/>
    <w:rsid w:val="19FA7135"/>
    <w:rsid w:val="1A72516B"/>
    <w:rsid w:val="1A947E2C"/>
    <w:rsid w:val="1AD90F1F"/>
    <w:rsid w:val="1AFA1194"/>
    <w:rsid w:val="1AFF6991"/>
    <w:rsid w:val="1B3F2925"/>
    <w:rsid w:val="1B8608C6"/>
    <w:rsid w:val="1B883914"/>
    <w:rsid w:val="1B9054B2"/>
    <w:rsid w:val="1B9E2A22"/>
    <w:rsid w:val="1BB83E58"/>
    <w:rsid w:val="1BE543CE"/>
    <w:rsid w:val="1C2E26D3"/>
    <w:rsid w:val="1C5D337B"/>
    <w:rsid w:val="1CA170E3"/>
    <w:rsid w:val="1CFC5F5C"/>
    <w:rsid w:val="1D8B0FF2"/>
    <w:rsid w:val="1DB624A7"/>
    <w:rsid w:val="1DBC657F"/>
    <w:rsid w:val="1DD677BD"/>
    <w:rsid w:val="1DF23CCF"/>
    <w:rsid w:val="1E46352B"/>
    <w:rsid w:val="1EB94CA2"/>
    <w:rsid w:val="1F3063B5"/>
    <w:rsid w:val="1F6B252D"/>
    <w:rsid w:val="1F6D7F66"/>
    <w:rsid w:val="1FAF67D1"/>
    <w:rsid w:val="20061553"/>
    <w:rsid w:val="203942EC"/>
    <w:rsid w:val="207D33CF"/>
    <w:rsid w:val="209B4FA7"/>
    <w:rsid w:val="20CF15F8"/>
    <w:rsid w:val="21357D6F"/>
    <w:rsid w:val="217726A5"/>
    <w:rsid w:val="219A2294"/>
    <w:rsid w:val="21C21C74"/>
    <w:rsid w:val="22436A29"/>
    <w:rsid w:val="226E3D8A"/>
    <w:rsid w:val="22E93444"/>
    <w:rsid w:val="2350754B"/>
    <w:rsid w:val="238D6ED9"/>
    <w:rsid w:val="239A3A5C"/>
    <w:rsid w:val="23DE19FA"/>
    <w:rsid w:val="24423C1E"/>
    <w:rsid w:val="24FE2F03"/>
    <w:rsid w:val="25095948"/>
    <w:rsid w:val="253700BF"/>
    <w:rsid w:val="254C35EC"/>
    <w:rsid w:val="25A51464"/>
    <w:rsid w:val="270F1EFD"/>
    <w:rsid w:val="27662E86"/>
    <w:rsid w:val="27E634DC"/>
    <w:rsid w:val="28116D6C"/>
    <w:rsid w:val="2832268C"/>
    <w:rsid w:val="28357391"/>
    <w:rsid w:val="286C3B49"/>
    <w:rsid w:val="28932FED"/>
    <w:rsid w:val="289F5075"/>
    <w:rsid w:val="28B024B0"/>
    <w:rsid w:val="28B3117F"/>
    <w:rsid w:val="28DA4003"/>
    <w:rsid w:val="292B00E6"/>
    <w:rsid w:val="2930367A"/>
    <w:rsid w:val="293161DA"/>
    <w:rsid w:val="29AC604D"/>
    <w:rsid w:val="29D7610E"/>
    <w:rsid w:val="29EB62D0"/>
    <w:rsid w:val="29F23B96"/>
    <w:rsid w:val="29F536D8"/>
    <w:rsid w:val="2A0E5216"/>
    <w:rsid w:val="2A933DC4"/>
    <w:rsid w:val="2A9B766E"/>
    <w:rsid w:val="2AAF33B0"/>
    <w:rsid w:val="2B257C36"/>
    <w:rsid w:val="2B2F29A0"/>
    <w:rsid w:val="2B7B7787"/>
    <w:rsid w:val="2C187CC6"/>
    <w:rsid w:val="2C8F222E"/>
    <w:rsid w:val="2D031F0A"/>
    <w:rsid w:val="2D6E741E"/>
    <w:rsid w:val="2E0D3E8E"/>
    <w:rsid w:val="2E667683"/>
    <w:rsid w:val="2E9D337D"/>
    <w:rsid w:val="2EC44A28"/>
    <w:rsid w:val="2F1A43C9"/>
    <w:rsid w:val="2F543264"/>
    <w:rsid w:val="2FA200F5"/>
    <w:rsid w:val="2FA86D99"/>
    <w:rsid w:val="2FF762B7"/>
    <w:rsid w:val="3023482F"/>
    <w:rsid w:val="304160DF"/>
    <w:rsid w:val="30BD5A4F"/>
    <w:rsid w:val="30F37830"/>
    <w:rsid w:val="315840B2"/>
    <w:rsid w:val="318B18EE"/>
    <w:rsid w:val="32870140"/>
    <w:rsid w:val="32B34592"/>
    <w:rsid w:val="32CD524A"/>
    <w:rsid w:val="33871CC3"/>
    <w:rsid w:val="338E34A8"/>
    <w:rsid w:val="33B072F2"/>
    <w:rsid w:val="33B342A6"/>
    <w:rsid w:val="33CB44B1"/>
    <w:rsid w:val="34135560"/>
    <w:rsid w:val="348A76E8"/>
    <w:rsid w:val="34E358C9"/>
    <w:rsid w:val="350C09E0"/>
    <w:rsid w:val="35202BA4"/>
    <w:rsid w:val="352525E4"/>
    <w:rsid w:val="35783CF9"/>
    <w:rsid w:val="358E6188"/>
    <w:rsid w:val="35987D28"/>
    <w:rsid w:val="36063E9A"/>
    <w:rsid w:val="36203281"/>
    <w:rsid w:val="36211EDA"/>
    <w:rsid w:val="36233036"/>
    <w:rsid w:val="368B3B0A"/>
    <w:rsid w:val="36B97918"/>
    <w:rsid w:val="377A5D71"/>
    <w:rsid w:val="378676F6"/>
    <w:rsid w:val="37AF6086"/>
    <w:rsid w:val="37FA2D45"/>
    <w:rsid w:val="3882414D"/>
    <w:rsid w:val="38A4662A"/>
    <w:rsid w:val="38AF2BBC"/>
    <w:rsid w:val="38EC3546"/>
    <w:rsid w:val="391D7E0B"/>
    <w:rsid w:val="39460A64"/>
    <w:rsid w:val="394624A7"/>
    <w:rsid w:val="39660497"/>
    <w:rsid w:val="39BB5D97"/>
    <w:rsid w:val="3A123F8F"/>
    <w:rsid w:val="3A1738C4"/>
    <w:rsid w:val="3AEC683B"/>
    <w:rsid w:val="3B0E38A7"/>
    <w:rsid w:val="3B1D47DF"/>
    <w:rsid w:val="3BA76847"/>
    <w:rsid w:val="3BE53167"/>
    <w:rsid w:val="3BF040FF"/>
    <w:rsid w:val="3C3263F5"/>
    <w:rsid w:val="3C4D3B52"/>
    <w:rsid w:val="3C6D639F"/>
    <w:rsid w:val="3CC10F71"/>
    <w:rsid w:val="3CC33E72"/>
    <w:rsid w:val="3D716F95"/>
    <w:rsid w:val="3D841FF4"/>
    <w:rsid w:val="3DAC1C9D"/>
    <w:rsid w:val="3DDE6EF4"/>
    <w:rsid w:val="3E834C59"/>
    <w:rsid w:val="3EBC67A3"/>
    <w:rsid w:val="3ECD2927"/>
    <w:rsid w:val="3ED62C34"/>
    <w:rsid w:val="3F0C02D1"/>
    <w:rsid w:val="3F131C8D"/>
    <w:rsid w:val="3F194038"/>
    <w:rsid w:val="3F5D102F"/>
    <w:rsid w:val="3F6A5356"/>
    <w:rsid w:val="3FBB5466"/>
    <w:rsid w:val="3FC24DBD"/>
    <w:rsid w:val="40157C88"/>
    <w:rsid w:val="402A2267"/>
    <w:rsid w:val="404B38D4"/>
    <w:rsid w:val="419D2D01"/>
    <w:rsid w:val="41A84947"/>
    <w:rsid w:val="41BA1BF0"/>
    <w:rsid w:val="41E77E27"/>
    <w:rsid w:val="42335445"/>
    <w:rsid w:val="423558AD"/>
    <w:rsid w:val="430B364B"/>
    <w:rsid w:val="43320581"/>
    <w:rsid w:val="43687983"/>
    <w:rsid w:val="437D5D66"/>
    <w:rsid w:val="43AB3F53"/>
    <w:rsid w:val="43AC70E5"/>
    <w:rsid w:val="43AD7D73"/>
    <w:rsid w:val="43BE4985"/>
    <w:rsid w:val="4406358E"/>
    <w:rsid w:val="442B0444"/>
    <w:rsid w:val="44304265"/>
    <w:rsid w:val="449C3E2A"/>
    <w:rsid w:val="452C5ACC"/>
    <w:rsid w:val="45434DFE"/>
    <w:rsid w:val="45E97C1C"/>
    <w:rsid w:val="45F147B5"/>
    <w:rsid w:val="46187956"/>
    <w:rsid w:val="46502178"/>
    <w:rsid w:val="468334EF"/>
    <w:rsid w:val="46F757A2"/>
    <w:rsid w:val="474C0240"/>
    <w:rsid w:val="47B9016C"/>
    <w:rsid w:val="47FD2A3E"/>
    <w:rsid w:val="47FD4A05"/>
    <w:rsid w:val="481257DB"/>
    <w:rsid w:val="48402A51"/>
    <w:rsid w:val="487123E0"/>
    <w:rsid w:val="48CB6925"/>
    <w:rsid w:val="495A7EC9"/>
    <w:rsid w:val="49656870"/>
    <w:rsid w:val="49A10856"/>
    <w:rsid w:val="49B76F65"/>
    <w:rsid w:val="4A113515"/>
    <w:rsid w:val="4A161679"/>
    <w:rsid w:val="4A210409"/>
    <w:rsid w:val="4A363068"/>
    <w:rsid w:val="4A6966EC"/>
    <w:rsid w:val="4A736BF8"/>
    <w:rsid w:val="4A8218F9"/>
    <w:rsid w:val="4B1352A9"/>
    <w:rsid w:val="4B31495A"/>
    <w:rsid w:val="4B3D74C1"/>
    <w:rsid w:val="4BBD5EB4"/>
    <w:rsid w:val="4BE9028E"/>
    <w:rsid w:val="4BE94B06"/>
    <w:rsid w:val="4C357668"/>
    <w:rsid w:val="4C503513"/>
    <w:rsid w:val="4C596654"/>
    <w:rsid w:val="4C6009A0"/>
    <w:rsid w:val="4CAB21E0"/>
    <w:rsid w:val="4D1678EF"/>
    <w:rsid w:val="4D894988"/>
    <w:rsid w:val="4DF6521C"/>
    <w:rsid w:val="4EBC3EF5"/>
    <w:rsid w:val="4EE328D0"/>
    <w:rsid w:val="4EEC68B2"/>
    <w:rsid w:val="4EF609E4"/>
    <w:rsid w:val="4F392B9B"/>
    <w:rsid w:val="4F994A0F"/>
    <w:rsid w:val="4FC05FD1"/>
    <w:rsid w:val="4FF03193"/>
    <w:rsid w:val="4FF97D5B"/>
    <w:rsid w:val="501640EF"/>
    <w:rsid w:val="50406510"/>
    <w:rsid w:val="50DD109D"/>
    <w:rsid w:val="510F6FF3"/>
    <w:rsid w:val="51417324"/>
    <w:rsid w:val="517428D4"/>
    <w:rsid w:val="521468B3"/>
    <w:rsid w:val="521C3F67"/>
    <w:rsid w:val="52D723B2"/>
    <w:rsid w:val="53612DE6"/>
    <w:rsid w:val="539D4C3D"/>
    <w:rsid w:val="54153B2A"/>
    <w:rsid w:val="54185DE3"/>
    <w:rsid w:val="541D77BD"/>
    <w:rsid w:val="54434E54"/>
    <w:rsid w:val="54444C5E"/>
    <w:rsid w:val="54B61914"/>
    <w:rsid w:val="54B71354"/>
    <w:rsid w:val="54E447C7"/>
    <w:rsid w:val="54FD1371"/>
    <w:rsid w:val="559D2D4D"/>
    <w:rsid w:val="56312035"/>
    <w:rsid w:val="567E7EB5"/>
    <w:rsid w:val="56897873"/>
    <w:rsid w:val="56C431DB"/>
    <w:rsid w:val="56D653C3"/>
    <w:rsid w:val="57276637"/>
    <w:rsid w:val="57333B02"/>
    <w:rsid w:val="574A01DA"/>
    <w:rsid w:val="575C1FA6"/>
    <w:rsid w:val="57AA2216"/>
    <w:rsid w:val="57D84F42"/>
    <w:rsid w:val="57DB1B08"/>
    <w:rsid w:val="57DE6F4C"/>
    <w:rsid w:val="57DF708B"/>
    <w:rsid w:val="57F56196"/>
    <w:rsid w:val="580806C2"/>
    <w:rsid w:val="581E0235"/>
    <w:rsid w:val="583D784D"/>
    <w:rsid w:val="58430452"/>
    <w:rsid w:val="5913345A"/>
    <w:rsid w:val="593504B0"/>
    <w:rsid w:val="59F669D2"/>
    <w:rsid w:val="5A3623BF"/>
    <w:rsid w:val="5A4027AA"/>
    <w:rsid w:val="5A407735"/>
    <w:rsid w:val="5A4420E9"/>
    <w:rsid w:val="5A8D6BFD"/>
    <w:rsid w:val="5AEA6513"/>
    <w:rsid w:val="5B2045A9"/>
    <w:rsid w:val="5B754EAE"/>
    <w:rsid w:val="5BC92FE2"/>
    <w:rsid w:val="5C187F3C"/>
    <w:rsid w:val="5C1B12E8"/>
    <w:rsid w:val="5D772B57"/>
    <w:rsid w:val="5DB864EC"/>
    <w:rsid w:val="5E033A59"/>
    <w:rsid w:val="5E77279F"/>
    <w:rsid w:val="5F8A08C7"/>
    <w:rsid w:val="5FC947AC"/>
    <w:rsid w:val="5FD9027D"/>
    <w:rsid w:val="5FF81911"/>
    <w:rsid w:val="603622AE"/>
    <w:rsid w:val="60892EBD"/>
    <w:rsid w:val="609965FC"/>
    <w:rsid w:val="60C11ADB"/>
    <w:rsid w:val="60DC0432"/>
    <w:rsid w:val="60F26278"/>
    <w:rsid w:val="60FA77A8"/>
    <w:rsid w:val="616425BD"/>
    <w:rsid w:val="617E5D5F"/>
    <w:rsid w:val="61815B25"/>
    <w:rsid w:val="61D4758A"/>
    <w:rsid w:val="620A32A0"/>
    <w:rsid w:val="625B0771"/>
    <w:rsid w:val="62D91D86"/>
    <w:rsid w:val="633E564D"/>
    <w:rsid w:val="635C558B"/>
    <w:rsid w:val="63C20E42"/>
    <w:rsid w:val="646C6FCE"/>
    <w:rsid w:val="64BF7A64"/>
    <w:rsid w:val="64C02546"/>
    <w:rsid w:val="64E268AD"/>
    <w:rsid w:val="65194AE2"/>
    <w:rsid w:val="6577337E"/>
    <w:rsid w:val="65914422"/>
    <w:rsid w:val="659E7E60"/>
    <w:rsid w:val="65E15826"/>
    <w:rsid w:val="66020763"/>
    <w:rsid w:val="66121A21"/>
    <w:rsid w:val="666C7DEF"/>
    <w:rsid w:val="66933741"/>
    <w:rsid w:val="66B477F6"/>
    <w:rsid w:val="66CD6C16"/>
    <w:rsid w:val="66D93A20"/>
    <w:rsid w:val="67152740"/>
    <w:rsid w:val="672F1572"/>
    <w:rsid w:val="67550DBE"/>
    <w:rsid w:val="68241258"/>
    <w:rsid w:val="683E1872"/>
    <w:rsid w:val="68654188"/>
    <w:rsid w:val="686B0B8D"/>
    <w:rsid w:val="68A87585"/>
    <w:rsid w:val="6A670EBA"/>
    <w:rsid w:val="6A905372"/>
    <w:rsid w:val="6AAA66BD"/>
    <w:rsid w:val="6B227368"/>
    <w:rsid w:val="6B324D89"/>
    <w:rsid w:val="6B561170"/>
    <w:rsid w:val="6B7B10D1"/>
    <w:rsid w:val="6BAF589F"/>
    <w:rsid w:val="6C2D5C19"/>
    <w:rsid w:val="6C5B408D"/>
    <w:rsid w:val="6D293AB8"/>
    <w:rsid w:val="6D55777B"/>
    <w:rsid w:val="6D641E22"/>
    <w:rsid w:val="6D6A027D"/>
    <w:rsid w:val="6D732E5A"/>
    <w:rsid w:val="6D83651F"/>
    <w:rsid w:val="6D9B441B"/>
    <w:rsid w:val="6DBE538E"/>
    <w:rsid w:val="6DF8446C"/>
    <w:rsid w:val="6E553249"/>
    <w:rsid w:val="6E5E0F7F"/>
    <w:rsid w:val="6EAC575D"/>
    <w:rsid w:val="6EE97134"/>
    <w:rsid w:val="6F2E1C04"/>
    <w:rsid w:val="6F3B2C38"/>
    <w:rsid w:val="6F6F075E"/>
    <w:rsid w:val="6FF04672"/>
    <w:rsid w:val="6FFF58CF"/>
    <w:rsid w:val="701B3AAA"/>
    <w:rsid w:val="70382AFE"/>
    <w:rsid w:val="705D7638"/>
    <w:rsid w:val="706F2B70"/>
    <w:rsid w:val="719D17EC"/>
    <w:rsid w:val="71C00BCE"/>
    <w:rsid w:val="71C5500F"/>
    <w:rsid w:val="723E400B"/>
    <w:rsid w:val="72580F09"/>
    <w:rsid w:val="7276287E"/>
    <w:rsid w:val="72821225"/>
    <w:rsid w:val="72A14B92"/>
    <w:rsid w:val="72AE160F"/>
    <w:rsid w:val="72B5273C"/>
    <w:rsid w:val="72D75E82"/>
    <w:rsid w:val="736330B4"/>
    <w:rsid w:val="73695E9E"/>
    <w:rsid w:val="74221C9A"/>
    <w:rsid w:val="74604020"/>
    <w:rsid w:val="74846C36"/>
    <w:rsid w:val="752B00EB"/>
    <w:rsid w:val="753F2264"/>
    <w:rsid w:val="7542223F"/>
    <w:rsid w:val="75493EEF"/>
    <w:rsid w:val="75541671"/>
    <w:rsid w:val="75EB4BA5"/>
    <w:rsid w:val="762E4504"/>
    <w:rsid w:val="76316D8C"/>
    <w:rsid w:val="764E542E"/>
    <w:rsid w:val="766525AC"/>
    <w:rsid w:val="76A12B58"/>
    <w:rsid w:val="76C17980"/>
    <w:rsid w:val="76CB0669"/>
    <w:rsid w:val="76CC7942"/>
    <w:rsid w:val="775F396E"/>
    <w:rsid w:val="776C5A44"/>
    <w:rsid w:val="779B402E"/>
    <w:rsid w:val="77A16947"/>
    <w:rsid w:val="77D724A8"/>
    <w:rsid w:val="7816082B"/>
    <w:rsid w:val="7885526B"/>
    <w:rsid w:val="792D15E4"/>
    <w:rsid w:val="79645594"/>
    <w:rsid w:val="797B18FD"/>
    <w:rsid w:val="7A1C7560"/>
    <w:rsid w:val="7A6C46FD"/>
    <w:rsid w:val="7A784FAA"/>
    <w:rsid w:val="7A7D5F38"/>
    <w:rsid w:val="7AB83B7D"/>
    <w:rsid w:val="7B0703E4"/>
    <w:rsid w:val="7B296605"/>
    <w:rsid w:val="7B2A5CF7"/>
    <w:rsid w:val="7B5000A9"/>
    <w:rsid w:val="7B7C688E"/>
    <w:rsid w:val="7BC50A86"/>
    <w:rsid w:val="7C653ED3"/>
    <w:rsid w:val="7C981F95"/>
    <w:rsid w:val="7CC7057A"/>
    <w:rsid w:val="7CD417CC"/>
    <w:rsid w:val="7D291FA0"/>
    <w:rsid w:val="7D334242"/>
    <w:rsid w:val="7DD20CD6"/>
    <w:rsid w:val="7E9F72B9"/>
    <w:rsid w:val="7EB03566"/>
    <w:rsid w:val="7EE21C55"/>
    <w:rsid w:val="7F1A56DC"/>
    <w:rsid w:val="7F207F6A"/>
    <w:rsid w:val="7F273959"/>
    <w:rsid w:val="7F85704F"/>
    <w:rsid w:val="7FA610B1"/>
    <w:rsid w:val="7FCF73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iPriority="99" w:name="List Number" w:locked="1"/>
    <w:lsdException w:qFormat="1"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1"/>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3">
    <w:name w:val="heading 2"/>
    <w:basedOn w:val="1"/>
    <w:next w:val="1"/>
    <w:link w:val="62"/>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63"/>
    <w:qFormat/>
    <w:uiPriority w:val="99"/>
    <w:pPr>
      <w:keepNext/>
      <w:keepLines/>
      <w:spacing w:before="260" w:after="260" w:line="416" w:lineRule="auto"/>
      <w:outlineLvl w:val="2"/>
    </w:pPr>
    <w:rPr>
      <w:b/>
      <w:bCs/>
      <w:sz w:val="32"/>
      <w:szCs w:val="32"/>
    </w:rPr>
  </w:style>
  <w:style w:type="paragraph" w:styleId="5">
    <w:name w:val="heading 4"/>
    <w:basedOn w:val="1"/>
    <w:next w:val="1"/>
    <w:link w:val="64"/>
    <w:qFormat/>
    <w:uiPriority w:val="99"/>
    <w:pPr>
      <w:keepNext/>
      <w:keepLines/>
      <w:spacing w:line="360" w:lineRule="auto"/>
      <w:jc w:val="center"/>
      <w:outlineLvl w:val="3"/>
    </w:pPr>
    <w:rPr>
      <w:rFonts w:ascii="Cambria" w:hAnsi="Cambria" w:cs="Cambria"/>
      <w:b/>
      <w:bCs/>
      <w:sz w:val="28"/>
      <w:szCs w:val="28"/>
    </w:rPr>
  </w:style>
  <w:style w:type="paragraph" w:styleId="6">
    <w:name w:val="heading 5"/>
    <w:basedOn w:val="1"/>
    <w:next w:val="1"/>
    <w:link w:val="65"/>
    <w:qFormat/>
    <w:uiPriority w:val="99"/>
    <w:pPr>
      <w:keepNext/>
      <w:keepLines/>
      <w:spacing w:before="280" w:after="290" w:line="376" w:lineRule="auto"/>
      <w:outlineLvl w:val="4"/>
    </w:pPr>
    <w:rPr>
      <w:b/>
      <w:bCs/>
      <w:sz w:val="28"/>
      <w:szCs w:val="28"/>
    </w:rPr>
  </w:style>
  <w:style w:type="paragraph" w:styleId="7">
    <w:name w:val="heading 6"/>
    <w:basedOn w:val="1"/>
    <w:next w:val="1"/>
    <w:link w:val="66"/>
    <w:qFormat/>
    <w:uiPriority w:val="99"/>
    <w:pPr>
      <w:keepNext/>
      <w:keepLines/>
      <w:spacing w:before="240" w:after="64" w:line="316" w:lineRule="auto"/>
      <w:outlineLvl w:val="5"/>
    </w:pPr>
    <w:rPr>
      <w:rFonts w:ascii="Cambria" w:hAnsi="Cambria" w:cs="Cambria"/>
      <w:b/>
      <w:bCs/>
      <w:sz w:val="24"/>
      <w:szCs w:val="24"/>
    </w:rPr>
  </w:style>
  <w:style w:type="paragraph" w:styleId="8">
    <w:name w:val="heading 7"/>
    <w:basedOn w:val="1"/>
    <w:next w:val="1"/>
    <w:link w:val="67"/>
    <w:qFormat/>
    <w:uiPriority w:val="99"/>
    <w:pPr>
      <w:keepNext/>
      <w:keepLines/>
      <w:spacing w:before="240" w:after="64" w:line="316" w:lineRule="auto"/>
      <w:outlineLvl w:val="6"/>
    </w:pPr>
    <w:rPr>
      <w:rFonts w:ascii="Calibri" w:hAnsi="Calibri" w:cs="Calibri"/>
      <w:b/>
      <w:bCs/>
      <w:sz w:val="24"/>
      <w:szCs w:val="24"/>
    </w:rPr>
  </w:style>
  <w:style w:type="paragraph" w:styleId="9">
    <w:name w:val="heading 8"/>
    <w:basedOn w:val="1"/>
    <w:next w:val="1"/>
    <w:link w:val="68"/>
    <w:qFormat/>
    <w:uiPriority w:val="99"/>
    <w:pPr>
      <w:keepNext/>
      <w:keepLines/>
      <w:spacing w:before="240" w:after="64" w:line="316" w:lineRule="auto"/>
      <w:outlineLvl w:val="7"/>
    </w:pPr>
    <w:rPr>
      <w:rFonts w:ascii="Cambria" w:hAnsi="Cambria" w:cs="Cambria"/>
      <w:sz w:val="24"/>
      <w:szCs w:val="24"/>
    </w:rPr>
  </w:style>
  <w:style w:type="paragraph" w:styleId="10">
    <w:name w:val="heading 9"/>
    <w:basedOn w:val="1"/>
    <w:next w:val="1"/>
    <w:link w:val="69"/>
    <w:qFormat/>
    <w:uiPriority w:val="99"/>
    <w:pPr>
      <w:keepNext/>
      <w:keepLines/>
      <w:spacing w:before="240" w:after="64" w:line="316" w:lineRule="auto"/>
      <w:outlineLvl w:val="8"/>
    </w:pPr>
    <w:rPr>
      <w:rFonts w:ascii="Cambria" w:hAnsi="Cambria" w:cs="Cambria"/>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adjustRightInd w:val="0"/>
      <w:spacing w:line="312" w:lineRule="atLeast"/>
      <w:ind w:left="1260"/>
      <w:jc w:val="left"/>
      <w:textAlignment w:val="baseline"/>
    </w:pPr>
    <w:rPr>
      <w:kern w:val="0"/>
      <w:sz w:val="18"/>
      <w:szCs w:val="18"/>
    </w:rPr>
  </w:style>
  <w:style w:type="paragraph" w:styleId="12">
    <w:name w:val="Note Heading"/>
    <w:basedOn w:val="1"/>
    <w:next w:val="1"/>
    <w:link w:val="70"/>
    <w:semiHidden/>
    <w:qFormat/>
    <w:uiPriority w:val="99"/>
    <w:pPr>
      <w:spacing w:beforeLines="20" w:afterLines="50"/>
      <w:jc w:val="center"/>
    </w:pPr>
    <w:rPr>
      <w:rFonts w:ascii="Calibri" w:hAnsi="Calibri" w:cs="Calibri"/>
      <w:kern w:val="0"/>
      <w:sz w:val="24"/>
      <w:szCs w:val="24"/>
    </w:rPr>
  </w:style>
  <w:style w:type="paragraph" w:styleId="13">
    <w:name w:val="List Number"/>
    <w:basedOn w:val="1"/>
    <w:semiHidden/>
    <w:unhideWhenUsed/>
    <w:qFormat/>
    <w:locked/>
    <w:uiPriority w:val="99"/>
    <w:pPr>
      <w:numPr>
        <w:ilvl w:val="0"/>
        <w:numId w:val="2"/>
      </w:numPr>
    </w:pPr>
  </w:style>
  <w:style w:type="paragraph" w:styleId="14">
    <w:name w:val="Normal Indent"/>
    <w:basedOn w:val="1"/>
    <w:qFormat/>
    <w:uiPriority w:val="99"/>
    <w:pPr>
      <w:widowControl/>
      <w:ind w:firstLine="420"/>
      <w:jc w:val="left"/>
    </w:pPr>
    <w:rPr>
      <w:sz w:val="20"/>
      <w:szCs w:val="20"/>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71"/>
    <w:semiHidden/>
    <w:qFormat/>
    <w:uiPriority w:val="99"/>
    <w:pPr>
      <w:adjustRightInd w:val="0"/>
      <w:spacing w:line="312" w:lineRule="atLeast"/>
      <w:textAlignment w:val="baseline"/>
    </w:pPr>
    <w:rPr>
      <w:rFonts w:ascii="宋体" w:hAnsi="Calibri" w:cs="宋体"/>
      <w:kern w:val="0"/>
      <w:sz w:val="18"/>
      <w:szCs w:val="18"/>
    </w:rPr>
  </w:style>
  <w:style w:type="paragraph" w:styleId="17">
    <w:name w:val="annotation text"/>
    <w:basedOn w:val="1"/>
    <w:link w:val="72"/>
    <w:semiHidden/>
    <w:qFormat/>
    <w:uiPriority w:val="99"/>
    <w:pPr>
      <w:adjustRightInd w:val="0"/>
      <w:spacing w:line="312" w:lineRule="atLeast"/>
      <w:jc w:val="left"/>
      <w:textAlignment w:val="baseline"/>
    </w:pPr>
    <w:rPr>
      <w:rFonts w:ascii="Calibri" w:hAnsi="Calibri" w:cs="Calibri"/>
    </w:rPr>
  </w:style>
  <w:style w:type="paragraph" w:styleId="18">
    <w:name w:val="Salutation"/>
    <w:basedOn w:val="1"/>
    <w:next w:val="1"/>
    <w:link w:val="73"/>
    <w:semiHidden/>
    <w:qFormat/>
    <w:uiPriority w:val="99"/>
    <w:rPr>
      <w:rFonts w:ascii="Calibri" w:hAnsi="Calibri" w:cs="Calibri"/>
      <w:kern w:val="0"/>
      <w:sz w:val="24"/>
      <w:szCs w:val="24"/>
    </w:rPr>
  </w:style>
  <w:style w:type="paragraph" w:styleId="19">
    <w:name w:val="Body Text"/>
    <w:basedOn w:val="1"/>
    <w:next w:val="1"/>
    <w:link w:val="74"/>
    <w:qFormat/>
    <w:uiPriority w:val="99"/>
    <w:pPr>
      <w:adjustRightInd w:val="0"/>
      <w:spacing w:line="312" w:lineRule="atLeast"/>
      <w:jc w:val="center"/>
      <w:textAlignment w:val="baseline"/>
    </w:pPr>
    <w:rPr>
      <w:rFonts w:ascii="楷体_GB2312" w:hAnsi="Calibri" w:eastAsia="楷体_GB2312" w:cs="楷体_GB2312"/>
      <w:b/>
      <w:bCs/>
      <w:kern w:val="0"/>
      <w:sz w:val="48"/>
      <w:szCs w:val="48"/>
    </w:rPr>
  </w:style>
  <w:style w:type="paragraph" w:styleId="20">
    <w:name w:val="Body Text Indent"/>
    <w:basedOn w:val="1"/>
    <w:next w:val="1"/>
    <w:link w:val="75"/>
    <w:qFormat/>
    <w:uiPriority w:val="99"/>
    <w:pPr>
      <w:ind w:left="420" w:leftChars="200"/>
      <w:jc w:val="left"/>
    </w:pPr>
    <w:rPr>
      <w:rFonts w:ascii="Calibri" w:hAnsi="Calibri" w:cs="Calibri"/>
      <w:kern w:val="0"/>
      <w:sz w:val="24"/>
      <w:szCs w:val="24"/>
    </w:rPr>
  </w:style>
  <w:style w:type="paragraph" w:styleId="21">
    <w:name w:val="List 2"/>
    <w:basedOn w:val="1"/>
    <w:unhideWhenUsed/>
    <w:qFormat/>
    <w:locked/>
    <w:uiPriority w:val="99"/>
    <w:pPr>
      <w:ind w:left="100" w:leftChars="200" w:hanging="200" w:hangingChars="200"/>
      <w:contextualSpacing/>
    </w:p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adjustRightInd w:val="0"/>
      <w:spacing w:line="312" w:lineRule="atLeast"/>
      <w:ind w:left="840"/>
      <w:jc w:val="left"/>
      <w:textAlignment w:val="baseline"/>
    </w:pPr>
    <w:rPr>
      <w:kern w:val="0"/>
      <w:sz w:val="18"/>
      <w:szCs w:val="18"/>
    </w:rPr>
  </w:style>
  <w:style w:type="paragraph" w:styleId="24">
    <w:name w:val="toc 3"/>
    <w:basedOn w:val="1"/>
    <w:next w:val="1"/>
    <w:semiHidden/>
    <w:qFormat/>
    <w:uiPriority w:val="99"/>
    <w:pPr>
      <w:adjustRightInd w:val="0"/>
      <w:spacing w:line="312" w:lineRule="atLeast"/>
      <w:ind w:left="420"/>
      <w:jc w:val="left"/>
      <w:textAlignment w:val="baseline"/>
    </w:pPr>
    <w:rPr>
      <w:i/>
      <w:iCs/>
      <w:kern w:val="0"/>
      <w:sz w:val="20"/>
      <w:szCs w:val="20"/>
    </w:rPr>
  </w:style>
  <w:style w:type="paragraph" w:styleId="25">
    <w:name w:val="Plain Text"/>
    <w:basedOn w:val="1"/>
    <w:next w:val="5"/>
    <w:link w:val="76"/>
    <w:qFormat/>
    <w:uiPriority w:val="0"/>
    <w:rPr>
      <w:rFonts w:ascii="宋体" w:hAnsi="Courier New" w:cs="宋体"/>
      <w:kern w:val="0"/>
      <w:sz w:val="20"/>
      <w:szCs w:val="20"/>
    </w:rPr>
  </w:style>
  <w:style w:type="paragraph" w:styleId="26">
    <w:name w:val="toc 8"/>
    <w:basedOn w:val="1"/>
    <w:next w:val="1"/>
    <w:semiHidden/>
    <w:qFormat/>
    <w:uiPriority w:val="99"/>
    <w:pPr>
      <w:adjustRightInd w:val="0"/>
      <w:spacing w:line="312" w:lineRule="atLeast"/>
      <w:ind w:left="1470"/>
      <w:jc w:val="left"/>
      <w:textAlignment w:val="baseline"/>
    </w:pPr>
    <w:rPr>
      <w:kern w:val="0"/>
      <w:sz w:val="18"/>
      <w:szCs w:val="18"/>
    </w:rPr>
  </w:style>
  <w:style w:type="paragraph" w:styleId="27">
    <w:name w:val="Date"/>
    <w:basedOn w:val="1"/>
    <w:next w:val="1"/>
    <w:link w:val="103"/>
    <w:qFormat/>
    <w:uiPriority w:val="99"/>
    <w:pPr>
      <w:ind w:left="100" w:leftChars="2500"/>
    </w:pPr>
    <w:rPr>
      <w:rFonts w:ascii="Calibri" w:hAnsi="Calibri" w:cs="Calibri"/>
    </w:rPr>
  </w:style>
  <w:style w:type="paragraph" w:styleId="28">
    <w:name w:val="Body Text Indent 2"/>
    <w:basedOn w:val="1"/>
    <w:link w:val="97"/>
    <w:qFormat/>
    <w:uiPriority w:val="99"/>
    <w:pPr>
      <w:spacing w:after="120" w:line="480" w:lineRule="auto"/>
      <w:ind w:left="420" w:leftChars="200"/>
    </w:pPr>
    <w:rPr>
      <w:rFonts w:ascii="Calibri" w:hAnsi="Calibri" w:cs="Calibri"/>
    </w:rPr>
  </w:style>
  <w:style w:type="paragraph" w:styleId="29">
    <w:name w:val="Balloon Text"/>
    <w:basedOn w:val="1"/>
    <w:link w:val="79"/>
    <w:semiHidden/>
    <w:qFormat/>
    <w:uiPriority w:val="99"/>
    <w:rPr>
      <w:rFonts w:ascii="Calibri" w:hAnsi="Calibri" w:cs="Calibri"/>
      <w:kern w:val="0"/>
      <w:sz w:val="18"/>
      <w:szCs w:val="18"/>
    </w:rPr>
  </w:style>
  <w:style w:type="paragraph" w:styleId="30">
    <w:name w:val="footer"/>
    <w:basedOn w:val="1"/>
    <w:link w:val="80"/>
    <w:qFormat/>
    <w:uiPriority w:val="99"/>
    <w:pPr>
      <w:tabs>
        <w:tab w:val="center" w:pos="4153"/>
        <w:tab w:val="right" w:pos="8306"/>
      </w:tabs>
      <w:snapToGrid w:val="0"/>
      <w:jc w:val="left"/>
    </w:pPr>
    <w:rPr>
      <w:rFonts w:ascii="Calibri" w:hAnsi="Calibri" w:cs="Calibri"/>
      <w:kern w:val="0"/>
      <w:sz w:val="18"/>
      <w:szCs w:val="18"/>
    </w:rPr>
  </w:style>
  <w:style w:type="paragraph" w:styleId="31">
    <w:name w:val="header"/>
    <w:basedOn w:val="1"/>
    <w:link w:val="81"/>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2">
    <w:name w:val="toc 1"/>
    <w:basedOn w:val="1"/>
    <w:next w:val="1"/>
    <w:semiHidden/>
    <w:qFormat/>
    <w:uiPriority w:val="99"/>
    <w:pPr>
      <w:adjustRightInd w:val="0"/>
      <w:spacing w:before="120" w:after="120" w:line="312" w:lineRule="atLeast"/>
      <w:jc w:val="left"/>
      <w:textAlignment w:val="baseline"/>
    </w:pPr>
    <w:rPr>
      <w:b/>
      <w:bCs/>
      <w:caps/>
      <w:kern w:val="0"/>
      <w:sz w:val="20"/>
      <w:szCs w:val="20"/>
    </w:rPr>
  </w:style>
  <w:style w:type="paragraph" w:styleId="33">
    <w:name w:val="toc 4"/>
    <w:basedOn w:val="1"/>
    <w:next w:val="1"/>
    <w:semiHidden/>
    <w:qFormat/>
    <w:uiPriority w:val="99"/>
    <w:pPr>
      <w:adjustRightInd w:val="0"/>
      <w:spacing w:line="312" w:lineRule="atLeast"/>
      <w:ind w:left="630"/>
      <w:jc w:val="left"/>
      <w:textAlignment w:val="baseline"/>
    </w:pPr>
    <w:rPr>
      <w:kern w:val="0"/>
      <w:sz w:val="18"/>
      <w:szCs w:val="18"/>
    </w:rPr>
  </w:style>
  <w:style w:type="paragraph" w:styleId="34">
    <w:name w:val="Subtitle"/>
    <w:basedOn w:val="1"/>
    <w:next w:val="1"/>
    <w:link w:val="109"/>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8"/>
    <w:semiHidden/>
    <w:qFormat/>
    <w:uiPriority w:val="99"/>
    <w:pPr>
      <w:adjustRightInd w:val="0"/>
      <w:spacing w:line="312" w:lineRule="atLeast"/>
      <w:jc w:val="left"/>
    </w:pPr>
    <w:rPr>
      <w:rFonts w:ascii="Calibri" w:hAnsi="Calibri" w:cs="Calibri"/>
      <w:sz w:val="18"/>
      <w:szCs w:val="18"/>
    </w:rPr>
  </w:style>
  <w:style w:type="paragraph" w:styleId="36">
    <w:name w:val="toc 6"/>
    <w:basedOn w:val="1"/>
    <w:next w:val="1"/>
    <w:semiHidden/>
    <w:qFormat/>
    <w:uiPriority w:val="99"/>
    <w:pPr>
      <w:adjustRightInd w:val="0"/>
      <w:spacing w:line="312" w:lineRule="atLeast"/>
      <w:ind w:left="1050"/>
      <w:jc w:val="left"/>
      <w:textAlignment w:val="baseline"/>
    </w:pPr>
    <w:rPr>
      <w:kern w:val="0"/>
      <w:sz w:val="18"/>
      <w:szCs w:val="18"/>
    </w:rPr>
  </w:style>
  <w:style w:type="paragraph" w:styleId="37">
    <w:name w:val="Body Text Indent 3"/>
    <w:basedOn w:val="1"/>
    <w:link w:val="84"/>
    <w:qFormat/>
    <w:uiPriority w:val="99"/>
    <w:pPr>
      <w:adjustRightInd w:val="0"/>
      <w:spacing w:line="360" w:lineRule="auto"/>
      <w:ind w:firstLine="480"/>
      <w:textAlignment w:val="baseline"/>
    </w:pPr>
    <w:rPr>
      <w:rFonts w:ascii="宋体" w:hAnsi="Calibri" w:cs="宋体"/>
      <w:kern w:val="0"/>
      <w:sz w:val="28"/>
      <w:szCs w:val="28"/>
    </w:rPr>
  </w:style>
  <w:style w:type="paragraph" w:styleId="38">
    <w:name w:val="toc 2"/>
    <w:basedOn w:val="1"/>
    <w:next w:val="1"/>
    <w:semiHidden/>
    <w:qFormat/>
    <w:uiPriority w:val="99"/>
    <w:pPr>
      <w:adjustRightInd w:val="0"/>
      <w:spacing w:line="312" w:lineRule="atLeast"/>
      <w:ind w:left="210"/>
      <w:jc w:val="left"/>
      <w:textAlignment w:val="baseline"/>
    </w:pPr>
    <w:rPr>
      <w:smallCaps/>
      <w:kern w:val="0"/>
      <w:sz w:val="20"/>
      <w:szCs w:val="20"/>
    </w:rPr>
  </w:style>
  <w:style w:type="paragraph" w:styleId="39">
    <w:name w:val="toc 9"/>
    <w:basedOn w:val="1"/>
    <w:next w:val="1"/>
    <w:semiHidden/>
    <w:qFormat/>
    <w:uiPriority w:val="99"/>
    <w:pPr>
      <w:adjustRightInd w:val="0"/>
      <w:spacing w:line="312" w:lineRule="atLeast"/>
      <w:ind w:left="1680"/>
      <w:jc w:val="left"/>
      <w:textAlignment w:val="baseline"/>
    </w:pPr>
    <w:rPr>
      <w:kern w:val="0"/>
      <w:sz w:val="18"/>
      <w:szCs w:val="18"/>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link w:val="85"/>
    <w:qFormat/>
    <w:uiPriority w:val="99"/>
    <w:pPr>
      <w:spacing w:before="240" w:after="60"/>
      <w:jc w:val="center"/>
      <w:outlineLvl w:val="0"/>
    </w:pPr>
    <w:rPr>
      <w:rFonts w:ascii="Arial" w:hAnsi="Arial" w:cs="Arial"/>
      <w:b/>
      <w:bCs/>
      <w:kern w:val="0"/>
      <w:sz w:val="44"/>
      <w:szCs w:val="44"/>
    </w:rPr>
  </w:style>
  <w:style w:type="paragraph" w:styleId="42">
    <w:name w:val="annotation subject"/>
    <w:basedOn w:val="17"/>
    <w:next w:val="17"/>
    <w:link w:val="86"/>
    <w:semiHidden/>
    <w:qFormat/>
    <w:uiPriority w:val="99"/>
    <w:rPr>
      <w:b/>
      <w:bCs/>
      <w:kern w:val="0"/>
      <w:sz w:val="20"/>
      <w:szCs w:val="20"/>
    </w:rPr>
  </w:style>
  <w:style w:type="paragraph" w:styleId="43">
    <w:name w:val="Body Text First Indent"/>
    <w:basedOn w:val="19"/>
    <w:qFormat/>
    <w:locked/>
    <w:uiPriority w:val="0"/>
    <w:pPr>
      <w:adjustRightInd/>
      <w:spacing w:after="120" w:line="240" w:lineRule="auto"/>
      <w:ind w:firstLine="420" w:firstLineChars="100"/>
      <w:jc w:val="both"/>
    </w:pPr>
    <w:rPr>
      <w:rFonts w:ascii="Times New Roman"/>
      <w:szCs w:val="24"/>
    </w:rPr>
  </w:style>
  <w:style w:type="paragraph" w:styleId="44">
    <w:name w:val="Body Text First Indent 2"/>
    <w:basedOn w:val="20"/>
    <w:qFormat/>
    <w:locked/>
    <w:uiPriority w:val="0"/>
    <w:pPr>
      <w:widowControl w:val="0"/>
      <w:ind w:firstLine="420" w:firstLineChars="200"/>
      <w:jc w:val="both"/>
    </w:pPr>
    <w:rPr>
      <w:rFonts w:ascii="Calibri" w:hAnsi="Calibri"/>
      <w:kern w:val="2"/>
    </w:rPr>
  </w:style>
  <w:style w:type="table" w:styleId="46">
    <w:name w:val="Table Grid"/>
    <w:basedOn w:val="4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99"/>
    <w:rPr>
      <w:b/>
      <w:bCs/>
    </w:rPr>
  </w:style>
  <w:style w:type="character" w:styleId="49">
    <w:name w:val="page number"/>
    <w:basedOn w:val="47"/>
    <w:qFormat/>
    <w:uiPriority w:val="99"/>
  </w:style>
  <w:style w:type="character" w:styleId="50">
    <w:name w:val="FollowedHyperlink"/>
    <w:basedOn w:val="47"/>
    <w:qFormat/>
    <w:uiPriority w:val="99"/>
    <w:rPr>
      <w:color w:val="auto"/>
      <w:u w:val="none"/>
    </w:rPr>
  </w:style>
  <w:style w:type="character" w:styleId="51">
    <w:name w:val="HTML Definition"/>
    <w:basedOn w:val="47"/>
    <w:qFormat/>
    <w:uiPriority w:val="99"/>
  </w:style>
  <w:style w:type="character" w:styleId="52">
    <w:name w:val="HTML Typewriter"/>
    <w:basedOn w:val="47"/>
    <w:qFormat/>
    <w:uiPriority w:val="99"/>
    <w:rPr>
      <w:rFonts w:ascii="monospace" w:hAnsi="monospace" w:eastAsia="Times New Roman" w:cs="monospace"/>
      <w:sz w:val="20"/>
      <w:szCs w:val="20"/>
    </w:rPr>
  </w:style>
  <w:style w:type="character" w:styleId="53">
    <w:name w:val="HTML Acronym"/>
    <w:basedOn w:val="47"/>
    <w:qFormat/>
    <w:uiPriority w:val="99"/>
  </w:style>
  <w:style w:type="character" w:styleId="54">
    <w:name w:val="HTML Variable"/>
    <w:basedOn w:val="47"/>
    <w:qFormat/>
    <w:uiPriority w:val="99"/>
  </w:style>
  <w:style w:type="character" w:styleId="55">
    <w:name w:val="Hyperlink"/>
    <w:basedOn w:val="47"/>
    <w:qFormat/>
    <w:uiPriority w:val="99"/>
    <w:rPr>
      <w:color w:val="auto"/>
      <w:u w:val="none"/>
    </w:rPr>
  </w:style>
  <w:style w:type="character" w:styleId="56">
    <w:name w:val="HTML Code"/>
    <w:basedOn w:val="47"/>
    <w:qFormat/>
    <w:uiPriority w:val="99"/>
    <w:rPr>
      <w:rFonts w:ascii="monospace" w:hAnsi="monospace" w:eastAsia="Times New Roman" w:cs="monospace"/>
      <w:sz w:val="20"/>
      <w:szCs w:val="20"/>
    </w:rPr>
  </w:style>
  <w:style w:type="character" w:styleId="57">
    <w:name w:val="annotation reference"/>
    <w:basedOn w:val="47"/>
    <w:semiHidden/>
    <w:qFormat/>
    <w:uiPriority w:val="99"/>
    <w:rPr>
      <w:sz w:val="21"/>
      <w:szCs w:val="21"/>
    </w:rPr>
  </w:style>
  <w:style w:type="character" w:styleId="58">
    <w:name w:val="HTML Cite"/>
    <w:basedOn w:val="47"/>
    <w:qFormat/>
    <w:uiPriority w:val="99"/>
  </w:style>
  <w:style w:type="character" w:styleId="59">
    <w:name w:val="HTML Keyboard"/>
    <w:basedOn w:val="47"/>
    <w:qFormat/>
    <w:uiPriority w:val="99"/>
    <w:rPr>
      <w:rFonts w:ascii="monospace" w:hAnsi="monospace" w:eastAsia="Times New Roman" w:cs="monospace"/>
      <w:sz w:val="20"/>
      <w:szCs w:val="20"/>
    </w:rPr>
  </w:style>
  <w:style w:type="character" w:styleId="60">
    <w:name w:val="HTML Sample"/>
    <w:basedOn w:val="47"/>
    <w:qFormat/>
    <w:uiPriority w:val="99"/>
    <w:rPr>
      <w:rFonts w:ascii="monospace" w:hAnsi="monospace" w:eastAsia="Times New Roman" w:cs="monospace"/>
    </w:rPr>
  </w:style>
  <w:style w:type="character" w:customStyle="1" w:styleId="61">
    <w:name w:val="标题 1 字符"/>
    <w:basedOn w:val="47"/>
    <w:link w:val="2"/>
    <w:qFormat/>
    <w:locked/>
    <w:uiPriority w:val="99"/>
    <w:rPr>
      <w:rFonts w:ascii="Times New Roman" w:hAnsi="Times New Roman" w:eastAsia="理德小标宋简" w:cs="Times New Roman"/>
      <w:b/>
      <w:bCs/>
      <w:kern w:val="44"/>
      <w:sz w:val="44"/>
      <w:szCs w:val="44"/>
    </w:rPr>
  </w:style>
  <w:style w:type="character" w:customStyle="1" w:styleId="62">
    <w:name w:val="标题 2 字符"/>
    <w:basedOn w:val="47"/>
    <w:link w:val="3"/>
    <w:qFormat/>
    <w:locked/>
    <w:uiPriority w:val="99"/>
    <w:rPr>
      <w:rFonts w:ascii="Cambria" w:hAnsi="Cambria" w:eastAsia="宋体" w:cs="Cambria"/>
      <w:b/>
      <w:bCs/>
      <w:sz w:val="32"/>
      <w:szCs w:val="32"/>
    </w:rPr>
  </w:style>
  <w:style w:type="character" w:customStyle="1" w:styleId="63">
    <w:name w:val="标题 3 字符"/>
    <w:basedOn w:val="47"/>
    <w:link w:val="4"/>
    <w:qFormat/>
    <w:locked/>
    <w:uiPriority w:val="99"/>
    <w:rPr>
      <w:rFonts w:ascii="Times New Roman" w:hAnsi="Times New Roman" w:eastAsia="宋体" w:cs="Times New Roman"/>
      <w:b/>
      <w:bCs/>
      <w:sz w:val="32"/>
      <w:szCs w:val="32"/>
    </w:rPr>
  </w:style>
  <w:style w:type="character" w:customStyle="1" w:styleId="64">
    <w:name w:val="标题 4 字符"/>
    <w:basedOn w:val="47"/>
    <w:link w:val="5"/>
    <w:qFormat/>
    <w:locked/>
    <w:uiPriority w:val="99"/>
    <w:rPr>
      <w:rFonts w:ascii="Cambria" w:hAnsi="Cambria" w:eastAsia="宋体" w:cs="Cambria"/>
      <w:b/>
      <w:bCs/>
      <w:sz w:val="36"/>
      <w:szCs w:val="36"/>
    </w:rPr>
  </w:style>
  <w:style w:type="character" w:customStyle="1" w:styleId="65">
    <w:name w:val="标题 5 字符"/>
    <w:basedOn w:val="47"/>
    <w:link w:val="6"/>
    <w:qFormat/>
    <w:locked/>
    <w:uiPriority w:val="99"/>
    <w:rPr>
      <w:rFonts w:ascii="Times New Roman" w:hAnsi="Times New Roman" w:eastAsia="宋体" w:cs="Times New Roman"/>
      <w:b/>
      <w:bCs/>
      <w:sz w:val="28"/>
      <w:szCs w:val="28"/>
    </w:rPr>
  </w:style>
  <w:style w:type="character" w:customStyle="1" w:styleId="66">
    <w:name w:val="标题 6 字符"/>
    <w:basedOn w:val="47"/>
    <w:link w:val="7"/>
    <w:qFormat/>
    <w:locked/>
    <w:uiPriority w:val="99"/>
    <w:rPr>
      <w:rFonts w:ascii="Cambria" w:hAnsi="Cambria" w:eastAsia="宋体" w:cs="Cambria"/>
      <w:b/>
      <w:bCs/>
      <w:sz w:val="24"/>
      <w:szCs w:val="24"/>
    </w:rPr>
  </w:style>
  <w:style w:type="character" w:customStyle="1" w:styleId="67">
    <w:name w:val="标题 7 字符"/>
    <w:basedOn w:val="47"/>
    <w:link w:val="8"/>
    <w:qFormat/>
    <w:locked/>
    <w:uiPriority w:val="99"/>
    <w:rPr>
      <w:rFonts w:ascii="Calibri" w:hAnsi="Calibri" w:eastAsia="宋体" w:cs="Calibri"/>
      <w:b/>
      <w:bCs/>
      <w:sz w:val="24"/>
      <w:szCs w:val="24"/>
    </w:rPr>
  </w:style>
  <w:style w:type="character" w:customStyle="1" w:styleId="68">
    <w:name w:val="标题 8 字符"/>
    <w:basedOn w:val="47"/>
    <w:link w:val="9"/>
    <w:qFormat/>
    <w:locked/>
    <w:uiPriority w:val="99"/>
    <w:rPr>
      <w:rFonts w:ascii="Cambria" w:hAnsi="Cambria" w:eastAsia="宋体" w:cs="Cambria"/>
      <w:sz w:val="24"/>
      <w:szCs w:val="24"/>
    </w:rPr>
  </w:style>
  <w:style w:type="character" w:customStyle="1" w:styleId="69">
    <w:name w:val="标题 9 字符"/>
    <w:basedOn w:val="47"/>
    <w:link w:val="10"/>
    <w:qFormat/>
    <w:locked/>
    <w:uiPriority w:val="99"/>
    <w:rPr>
      <w:rFonts w:ascii="Cambria" w:hAnsi="Cambria" w:eastAsia="宋体" w:cs="Cambria"/>
      <w:sz w:val="21"/>
      <w:szCs w:val="21"/>
    </w:rPr>
  </w:style>
  <w:style w:type="character" w:customStyle="1" w:styleId="70">
    <w:name w:val="注释标题 字符"/>
    <w:basedOn w:val="47"/>
    <w:link w:val="12"/>
    <w:semiHidden/>
    <w:qFormat/>
    <w:locked/>
    <w:uiPriority w:val="99"/>
    <w:rPr>
      <w:rFonts w:ascii="Times New Roman" w:hAnsi="Times New Roman" w:eastAsia="宋体" w:cs="Times New Roman"/>
    </w:rPr>
  </w:style>
  <w:style w:type="character" w:customStyle="1" w:styleId="71">
    <w:name w:val="文档结构图 字符"/>
    <w:basedOn w:val="47"/>
    <w:link w:val="16"/>
    <w:semiHidden/>
    <w:qFormat/>
    <w:locked/>
    <w:uiPriority w:val="99"/>
    <w:rPr>
      <w:rFonts w:ascii="宋体" w:hAnsi="Times New Roman" w:eastAsia="宋体" w:cs="宋体"/>
      <w:sz w:val="18"/>
      <w:szCs w:val="18"/>
    </w:rPr>
  </w:style>
  <w:style w:type="character" w:customStyle="1" w:styleId="72">
    <w:name w:val="批注文字 字符"/>
    <w:basedOn w:val="47"/>
    <w:link w:val="17"/>
    <w:semiHidden/>
    <w:qFormat/>
    <w:locked/>
    <w:uiPriority w:val="99"/>
    <w:rPr>
      <w:rFonts w:ascii="Times New Roman" w:hAnsi="Times New Roman" w:eastAsia="宋体" w:cs="Times New Roman"/>
    </w:rPr>
  </w:style>
  <w:style w:type="character" w:customStyle="1" w:styleId="73">
    <w:name w:val="称呼 字符"/>
    <w:basedOn w:val="47"/>
    <w:link w:val="18"/>
    <w:semiHidden/>
    <w:qFormat/>
    <w:locked/>
    <w:uiPriority w:val="99"/>
    <w:rPr>
      <w:rFonts w:ascii="Times New Roman" w:hAnsi="Times New Roman" w:eastAsia="宋体" w:cs="Times New Roman"/>
    </w:rPr>
  </w:style>
  <w:style w:type="character" w:customStyle="1" w:styleId="74">
    <w:name w:val="正文文本 字符"/>
    <w:basedOn w:val="47"/>
    <w:link w:val="19"/>
    <w:semiHidden/>
    <w:qFormat/>
    <w:locked/>
    <w:uiPriority w:val="99"/>
    <w:rPr>
      <w:rFonts w:ascii="Times New Roman" w:hAnsi="Times New Roman" w:eastAsia="宋体" w:cs="Times New Roman"/>
    </w:rPr>
  </w:style>
  <w:style w:type="character" w:customStyle="1" w:styleId="75">
    <w:name w:val="正文文本缩进 字符"/>
    <w:basedOn w:val="47"/>
    <w:link w:val="20"/>
    <w:semiHidden/>
    <w:qFormat/>
    <w:locked/>
    <w:uiPriority w:val="99"/>
    <w:rPr>
      <w:rFonts w:ascii="Times New Roman" w:hAnsi="Times New Roman" w:eastAsia="宋体" w:cs="Times New Roman"/>
    </w:rPr>
  </w:style>
  <w:style w:type="character" w:customStyle="1" w:styleId="76">
    <w:name w:val="纯文本 字符"/>
    <w:basedOn w:val="47"/>
    <w:link w:val="25"/>
    <w:qFormat/>
    <w:locked/>
    <w:uiPriority w:val="0"/>
    <w:rPr>
      <w:rFonts w:ascii="宋体" w:hAnsi="Courier New" w:eastAsia="宋体" w:cs="宋体"/>
      <w:sz w:val="21"/>
      <w:szCs w:val="21"/>
    </w:rPr>
  </w:style>
  <w:style w:type="character" w:customStyle="1" w:styleId="77">
    <w:name w:val="Date Char"/>
    <w:basedOn w:val="47"/>
    <w:semiHidden/>
    <w:qFormat/>
    <w:locked/>
    <w:uiPriority w:val="99"/>
    <w:rPr>
      <w:rFonts w:ascii="Times New Roman" w:hAnsi="Times New Roman" w:eastAsia="宋体" w:cs="Times New Roman"/>
    </w:rPr>
  </w:style>
  <w:style w:type="character" w:customStyle="1" w:styleId="78">
    <w:name w:val="Body Text Indent 2 Char"/>
    <w:basedOn w:val="47"/>
    <w:semiHidden/>
    <w:qFormat/>
    <w:locked/>
    <w:uiPriority w:val="99"/>
    <w:rPr>
      <w:rFonts w:ascii="Times New Roman" w:hAnsi="Times New Roman" w:eastAsia="宋体" w:cs="Times New Roman"/>
    </w:rPr>
  </w:style>
  <w:style w:type="character" w:customStyle="1" w:styleId="79">
    <w:name w:val="批注框文本 字符"/>
    <w:basedOn w:val="47"/>
    <w:link w:val="29"/>
    <w:semiHidden/>
    <w:qFormat/>
    <w:locked/>
    <w:uiPriority w:val="99"/>
    <w:rPr>
      <w:rFonts w:ascii="Times New Roman" w:hAnsi="Times New Roman" w:eastAsia="宋体" w:cs="Times New Roman"/>
      <w:sz w:val="18"/>
      <w:szCs w:val="18"/>
    </w:rPr>
  </w:style>
  <w:style w:type="character" w:customStyle="1" w:styleId="80">
    <w:name w:val="页脚 字符"/>
    <w:basedOn w:val="47"/>
    <w:link w:val="30"/>
    <w:semiHidden/>
    <w:qFormat/>
    <w:locked/>
    <w:uiPriority w:val="99"/>
    <w:rPr>
      <w:rFonts w:ascii="Times New Roman" w:hAnsi="Times New Roman" w:eastAsia="宋体" w:cs="Times New Roman"/>
      <w:sz w:val="18"/>
      <w:szCs w:val="18"/>
    </w:rPr>
  </w:style>
  <w:style w:type="character" w:customStyle="1" w:styleId="81">
    <w:name w:val="页眉 字符"/>
    <w:basedOn w:val="47"/>
    <w:link w:val="31"/>
    <w:semiHidden/>
    <w:qFormat/>
    <w:locked/>
    <w:uiPriority w:val="99"/>
    <w:rPr>
      <w:rFonts w:ascii="Times New Roman" w:hAnsi="Times New Roman" w:eastAsia="宋体" w:cs="Times New Roman"/>
      <w:sz w:val="18"/>
      <w:szCs w:val="18"/>
    </w:rPr>
  </w:style>
  <w:style w:type="character" w:customStyle="1" w:styleId="82">
    <w:name w:val="Subtitle Char"/>
    <w:basedOn w:val="47"/>
    <w:qFormat/>
    <w:locked/>
    <w:uiPriority w:val="99"/>
    <w:rPr>
      <w:rFonts w:ascii="Cambria" w:hAnsi="Cambria" w:eastAsia="宋体" w:cs="Cambria"/>
      <w:b/>
      <w:bCs/>
      <w:kern w:val="28"/>
      <w:sz w:val="32"/>
      <w:szCs w:val="32"/>
    </w:rPr>
  </w:style>
  <w:style w:type="character" w:customStyle="1" w:styleId="83">
    <w:name w:val="Footnote Text Char"/>
    <w:basedOn w:val="47"/>
    <w:semiHidden/>
    <w:qFormat/>
    <w:locked/>
    <w:uiPriority w:val="99"/>
    <w:rPr>
      <w:rFonts w:ascii="Times New Roman" w:hAnsi="Times New Roman" w:eastAsia="宋体" w:cs="Times New Roman"/>
      <w:sz w:val="18"/>
      <w:szCs w:val="18"/>
    </w:rPr>
  </w:style>
  <w:style w:type="character" w:customStyle="1" w:styleId="84">
    <w:name w:val="正文文本缩进 3 字符"/>
    <w:basedOn w:val="47"/>
    <w:link w:val="37"/>
    <w:semiHidden/>
    <w:qFormat/>
    <w:locked/>
    <w:uiPriority w:val="99"/>
    <w:rPr>
      <w:rFonts w:ascii="Times New Roman" w:hAnsi="Times New Roman" w:eastAsia="宋体" w:cs="Times New Roman"/>
      <w:sz w:val="16"/>
      <w:szCs w:val="16"/>
    </w:rPr>
  </w:style>
  <w:style w:type="character" w:customStyle="1" w:styleId="85">
    <w:name w:val="标题 字符"/>
    <w:basedOn w:val="47"/>
    <w:link w:val="41"/>
    <w:qFormat/>
    <w:locked/>
    <w:uiPriority w:val="99"/>
    <w:rPr>
      <w:rFonts w:ascii="Cambria" w:hAnsi="Cambria" w:eastAsia="宋体" w:cs="Cambria"/>
      <w:b/>
      <w:bCs/>
      <w:sz w:val="32"/>
      <w:szCs w:val="32"/>
    </w:rPr>
  </w:style>
  <w:style w:type="character" w:customStyle="1" w:styleId="86">
    <w:name w:val="批注主题 字符"/>
    <w:basedOn w:val="72"/>
    <w:link w:val="42"/>
    <w:semiHidden/>
    <w:qFormat/>
    <w:locked/>
    <w:uiPriority w:val="99"/>
    <w:rPr>
      <w:rFonts w:ascii="Times New Roman" w:hAnsi="Times New Roman" w:eastAsia="宋体" w:cs="Times New Roman"/>
      <w:b/>
      <w:bCs/>
    </w:rPr>
  </w:style>
  <w:style w:type="character" w:customStyle="1" w:styleId="87">
    <w:name w:val="正文文本 Char"/>
    <w:qFormat/>
    <w:uiPriority w:val="99"/>
    <w:rPr>
      <w:rFonts w:ascii="楷体_GB2312" w:eastAsia="楷体_GB2312" w:cs="楷体_GB2312"/>
      <w:b/>
      <w:bCs/>
      <w:sz w:val="48"/>
      <w:szCs w:val="48"/>
    </w:rPr>
  </w:style>
  <w:style w:type="character" w:customStyle="1" w:styleId="88">
    <w:name w:val="脚注文本 字符"/>
    <w:basedOn w:val="47"/>
    <w:link w:val="35"/>
    <w:qFormat/>
    <w:locked/>
    <w:uiPriority w:val="99"/>
    <w:rPr>
      <w:sz w:val="18"/>
      <w:szCs w:val="18"/>
    </w:rPr>
  </w:style>
  <w:style w:type="character" w:customStyle="1" w:styleId="89">
    <w:name w:val="明显引用 Char1"/>
    <w:basedOn w:val="47"/>
    <w:qFormat/>
    <w:locked/>
    <w:uiPriority w:val="99"/>
    <w:rPr>
      <w:b/>
      <w:bCs/>
      <w:i/>
      <w:iCs/>
      <w:color w:val="4F81BD"/>
    </w:rPr>
  </w:style>
  <w:style w:type="paragraph" w:styleId="90">
    <w:name w:val="Intense Quote"/>
    <w:basedOn w:val="1"/>
    <w:next w:val="1"/>
    <w:link w:val="91"/>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91">
    <w:name w:val="明显引用 字符"/>
    <w:basedOn w:val="47"/>
    <w:link w:val="90"/>
    <w:qFormat/>
    <w:locked/>
    <w:uiPriority w:val="99"/>
    <w:rPr>
      <w:rFonts w:ascii="Times New Roman" w:hAnsi="Times New Roman" w:eastAsia="宋体" w:cs="Times New Roman"/>
      <w:b/>
      <w:bCs/>
      <w:i/>
      <w:iCs/>
      <w:color w:val="4F81BD"/>
    </w:rPr>
  </w:style>
  <w:style w:type="character" w:customStyle="1" w:styleId="92">
    <w:name w:val="页眉 Char"/>
    <w:qFormat/>
    <w:uiPriority w:val="99"/>
    <w:rPr>
      <w:sz w:val="18"/>
      <w:szCs w:val="18"/>
    </w:rPr>
  </w:style>
  <w:style w:type="character" w:customStyle="1" w:styleId="93">
    <w:name w:val="批注框文本 Char"/>
    <w:qFormat/>
    <w:uiPriority w:val="99"/>
    <w:rPr>
      <w:sz w:val="18"/>
      <w:szCs w:val="18"/>
    </w:rPr>
  </w:style>
  <w:style w:type="character" w:customStyle="1" w:styleId="94">
    <w:name w:val="l2"/>
    <w:basedOn w:val="47"/>
    <w:qFormat/>
    <w:uiPriority w:val="99"/>
  </w:style>
  <w:style w:type="character" w:customStyle="1" w:styleId="95">
    <w:name w:val="文档结构图 Char"/>
    <w:qFormat/>
    <w:uiPriority w:val="99"/>
    <w:rPr>
      <w:rFonts w:ascii="宋体" w:cs="宋体"/>
      <w:sz w:val="18"/>
      <w:szCs w:val="18"/>
    </w:rPr>
  </w:style>
  <w:style w:type="character" w:customStyle="1" w:styleId="96">
    <w:name w:val="正文文本 Char1"/>
    <w:basedOn w:val="47"/>
    <w:qFormat/>
    <w:locked/>
    <w:uiPriority w:val="99"/>
    <w:rPr>
      <w:kern w:val="2"/>
      <w:sz w:val="22"/>
      <w:szCs w:val="22"/>
    </w:rPr>
  </w:style>
  <w:style w:type="character" w:customStyle="1" w:styleId="97">
    <w:name w:val="正文文本缩进 2 字符"/>
    <w:basedOn w:val="47"/>
    <w:link w:val="28"/>
    <w:qFormat/>
    <w:locked/>
    <w:uiPriority w:val="99"/>
    <w:rPr>
      <w:sz w:val="24"/>
      <w:szCs w:val="24"/>
    </w:rPr>
  </w:style>
  <w:style w:type="character" w:customStyle="1" w:styleId="98">
    <w:name w:val="正文文本缩进 2 Char"/>
    <w:basedOn w:val="47"/>
    <w:semiHidden/>
    <w:qFormat/>
    <w:uiPriority w:val="99"/>
    <w:rPr>
      <w:kern w:val="2"/>
      <w:sz w:val="22"/>
      <w:szCs w:val="22"/>
    </w:rPr>
  </w:style>
  <w:style w:type="character" w:customStyle="1" w:styleId="99">
    <w:name w:val="r2"/>
    <w:basedOn w:val="47"/>
    <w:qFormat/>
    <w:uiPriority w:val="99"/>
  </w:style>
  <w:style w:type="character" w:customStyle="1" w:styleId="100">
    <w:name w:val="批注主题 Char"/>
    <w:qFormat/>
    <w:uiPriority w:val="99"/>
    <w:rPr>
      <w:b/>
      <w:bCs/>
    </w:rPr>
  </w:style>
  <w:style w:type="character" w:customStyle="1" w:styleId="101">
    <w:name w:val="副标题 Char"/>
    <w:basedOn w:val="47"/>
    <w:qFormat/>
    <w:uiPriority w:val="99"/>
    <w:rPr>
      <w:rFonts w:ascii="Cambria" w:hAnsi="Cambria" w:cs="Cambria"/>
      <w:b/>
      <w:bCs/>
      <w:kern w:val="28"/>
      <w:sz w:val="32"/>
      <w:szCs w:val="32"/>
    </w:rPr>
  </w:style>
  <w:style w:type="character" w:customStyle="1" w:styleId="102">
    <w:name w:val="明显引用 Char"/>
    <w:basedOn w:val="47"/>
    <w:qFormat/>
    <w:uiPriority w:val="99"/>
    <w:rPr>
      <w:b/>
      <w:bCs/>
      <w:i/>
      <w:iCs/>
      <w:color w:val="4F81BD"/>
      <w:kern w:val="2"/>
      <w:sz w:val="22"/>
      <w:szCs w:val="22"/>
    </w:rPr>
  </w:style>
  <w:style w:type="character" w:customStyle="1" w:styleId="103">
    <w:name w:val="日期 字符"/>
    <w:basedOn w:val="47"/>
    <w:link w:val="27"/>
    <w:qFormat/>
    <w:locked/>
    <w:uiPriority w:val="99"/>
  </w:style>
  <w:style w:type="character" w:customStyle="1" w:styleId="104">
    <w:name w:val="引用 Char1"/>
    <w:basedOn w:val="47"/>
    <w:qFormat/>
    <w:locked/>
    <w:uiPriority w:val="99"/>
    <w:rPr>
      <w:i/>
      <w:iCs/>
      <w:color w:val="000000"/>
    </w:rPr>
  </w:style>
  <w:style w:type="paragraph" w:styleId="105">
    <w:name w:val="Quote"/>
    <w:basedOn w:val="1"/>
    <w:next w:val="1"/>
    <w:link w:val="106"/>
    <w:qFormat/>
    <w:uiPriority w:val="99"/>
    <w:rPr>
      <w:rFonts w:ascii="Calibri" w:hAnsi="Calibri" w:cs="Calibri"/>
      <w:i/>
      <w:iCs/>
      <w:color w:val="000000"/>
    </w:rPr>
  </w:style>
  <w:style w:type="character" w:customStyle="1" w:styleId="106">
    <w:name w:val="引用 字符"/>
    <w:basedOn w:val="47"/>
    <w:link w:val="105"/>
    <w:qFormat/>
    <w:locked/>
    <w:uiPriority w:val="99"/>
    <w:rPr>
      <w:rFonts w:ascii="Times New Roman" w:hAnsi="Times New Roman" w:eastAsia="宋体" w:cs="Times New Roman"/>
      <w:i/>
      <w:iCs/>
      <w:color w:val="000000"/>
    </w:rPr>
  </w:style>
  <w:style w:type="character" w:customStyle="1" w:styleId="107">
    <w:name w:val="注释标题 Char"/>
    <w:semiHidden/>
    <w:qFormat/>
    <w:uiPriority w:val="99"/>
    <w:rPr>
      <w:sz w:val="24"/>
      <w:szCs w:val="24"/>
    </w:rPr>
  </w:style>
  <w:style w:type="character" w:customStyle="1" w:styleId="108">
    <w:name w:val="正文文本缩进 3 Char"/>
    <w:qFormat/>
    <w:uiPriority w:val="99"/>
    <w:rPr>
      <w:rFonts w:ascii="宋体" w:cs="宋体"/>
      <w:sz w:val="28"/>
      <w:szCs w:val="28"/>
    </w:rPr>
  </w:style>
  <w:style w:type="character" w:customStyle="1" w:styleId="109">
    <w:name w:val="副标题 字符"/>
    <w:basedOn w:val="47"/>
    <w:link w:val="34"/>
    <w:qFormat/>
    <w:locked/>
    <w:uiPriority w:val="99"/>
    <w:rPr>
      <w:rFonts w:ascii="Cambria" w:hAnsi="Cambria" w:cs="Cambria"/>
      <w:b/>
      <w:bCs/>
      <w:kern w:val="28"/>
      <w:sz w:val="32"/>
      <w:szCs w:val="32"/>
    </w:rPr>
  </w:style>
  <w:style w:type="character" w:customStyle="1" w:styleId="110">
    <w:name w:val="称呼 Char"/>
    <w:semiHidden/>
    <w:qFormat/>
    <w:uiPriority w:val="99"/>
    <w:rPr>
      <w:sz w:val="24"/>
      <w:szCs w:val="24"/>
    </w:rPr>
  </w:style>
  <w:style w:type="character" w:customStyle="1" w:styleId="111">
    <w:name w:val="批注文字 Char"/>
    <w:qFormat/>
    <w:uiPriority w:val="99"/>
  </w:style>
  <w:style w:type="character" w:customStyle="1" w:styleId="112">
    <w:name w:val="纯文本 Char2"/>
    <w:qFormat/>
    <w:uiPriority w:val="99"/>
    <w:rPr>
      <w:rFonts w:ascii="宋体" w:hAnsi="Courier New" w:cs="宋体"/>
      <w:kern w:val="2"/>
      <w:sz w:val="21"/>
      <w:szCs w:val="21"/>
    </w:rPr>
  </w:style>
  <w:style w:type="character" w:customStyle="1" w:styleId="113">
    <w:name w:val="标题4 Char Char"/>
    <w:link w:val="114"/>
    <w:qFormat/>
    <w:locked/>
    <w:uiPriority w:val="99"/>
    <w:rPr>
      <w:rFonts w:ascii="Arial" w:hAnsi="Arial" w:cs="Arial"/>
      <w:b/>
      <w:bCs/>
      <w:sz w:val="32"/>
      <w:szCs w:val="32"/>
    </w:rPr>
  </w:style>
  <w:style w:type="paragraph" w:customStyle="1" w:styleId="114">
    <w:name w:val="标题4"/>
    <w:basedOn w:val="3"/>
    <w:next w:val="22"/>
    <w:link w:val="113"/>
    <w:qFormat/>
    <w:uiPriority w:val="99"/>
    <w:pPr>
      <w:spacing w:before="60" w:after="60" w:line="412" w:lineRule="auto"/>
    </w:pPr>
    <w:rPr>
      <w:rFonts w:ascii="Arial" w:hAnsi="Arial" w:cs="Arial"/>
      <w:kern w:val="0"/>
      <w:sz w:val="24"/>
      <w:szCs w:val="24"/>
    </w:rPr>
  </w:style>
  <w:style w:type="character" w:customStyle="1" w:styleId="115">
    <w:name w:val="标题5 Char Char"/>
    <w:link w:val="116"/>
    <w:qFormat/>
    <w:locked/>
    <w:uiPriority w:val="99"/>
    <w:rPr>
      <w:rFonts w:ascii="Arial" w:hAnsi="Arial" w:cs="Arial"/>
      <w:b/>
      <w:bCs/>
      <w:sz w:val="32"/>
      <w:szCs w:val="32"/>
    </w:rPr>
  </w:style>
  <w:style w:type="paragraph" w:customStyle="1" w:styleId="116">
    <w:name w:val="标题5"/>
    <w:basedOn w:val="4"/>
    <w:link w:val="115"/>
    <w:qFormat/>
    <w:uiPriority w:val="99"/>
    <w:pPr>
      <w:spacing w:line="412" w:lineRule="auto"/>
    </w:pPr>
    <w:rPr>
      <w:rFonts w:ascii="Arial" w:hAnsi="Arial" w:cs="Arial"/>
      <w:kern w:val="0"/>
      <w:sz w:val="24"/>
      <w:szCs w:val="24"/>
    </w:rPr>
  </w:style>
  <w:style w:type="character" w:customStyle="1" w:styleId="117">
    <w:name w:val="纯文本 Char"/>
    <w:qFormat/>
    <w:uiPriority w:val="99"/>
    <w:rPr>
      <w:rFonts w:ascii="宋体" w:hAnsi="Courier New" w:cs="宋体"/>
      <w:sz w:val="21"/>
      <w:szCs w:val="21"/>
    </w:rPr>
  </w:style>
  <w:style w:type="character" w:customStyle="1" w:styleId="118">
    <w:name w:val="页脚 Char"/>
    <w:qFormat/>
    <w:uiPriority w:val="99"/>
    <w:rPr>
      <w:sz w:val="18"/>
      <w:szCs w:val="18"/>
    </w:rPr>
  </w:style>
  <w:style w:type="character" w:customStyle="1" w:styleId="119">
    <w:name w:val="标题 Char"/>
    <w:qFormat/>
    <w:uiPriority w:val="99"/>
    <w:rPr>
      <w:rFonts w:ascii="Arial" w:hAnsi="Arial" w:cs="Arial"/>
      <w:b/>
      <w:bCs/>
      <w:sz w:val="32"/>
      <w:szCs w:val="32"/>
    </w:rPr>
  </w:style>
  <w:style w:type="character" w:customStyle="1" w:styleId="120">
    <w:name w:val="脚注文本 Char"/>
    <w:basedOn w:val="47"/>
    <w:semiHidden/>
    <w:qFormat/>
    <w:uiPriority w:val="99"/>
    <w:rPr>
      <w:kern w:val="2"/>
      <w:sz w:val="18"/>
      <w:szCs w:val="18"/>
    </w:rPr>
  </w:style>
  <w:style w:type="character" w:customStyle="1" w:styleId="121">
    <w:name w:val="正文文本缩进 Char"/>
    <w:qFormat/>
    <w:uiPriority w:val="99"/>
    <w:rPr>
      <w:sz w:val="24"/>
      <w:szCs w:val="24"/>
    </w:rPr>
  </w:style>
  <w:style w:type="character" w:customStyle="1" w:styleId="122">
    <w:name w:val="纯文本 Char1"/>
    <w:qFormat/>
    <w:uiPriority w:val="99"/>
    <w:rPr>
      <w:rFonts w:ascii="宋体" w:hAnsi="Courier New" w:eastAsia="宋体" w:cs="宋体"/>
      <w:sz w:val="20"/>
      <w:szCs w:val="20"/>
    </w:rPr>
  </w:style>
  <w:style w:type="character" w:customStyle="1" w:styleId="123">
    <w:name w:val="引用 Char"/>
    <w:basedOn w:val="47"/>
    <w:qFormat/>
    <w:uiPriority w:val="99"/>
    <w:rPr>
      <w:i/>
      <w:iCs/>
      <w:color w:val="000000"/>
      <w:kern w:val="2"/>
      <w:sz w:val="22"/>
      <w:szCs w:val="22"/>
    </w:rPr>
  </w:style>
  <w:style w:type="character" w:customStyle="1" w:styleId="124">
    <w:name w:val="普通文字 Char Char2"/>
    <w:qFormat/>
    <w:uiPriority w:val="99"/>
    <w:rPr>
      <w:rFonts w:ascii="宋体" w:hAnsi="Courier New" w:eastAsia="宋体" w:cs="宋体"/>
      <w:kern w:val="2"/>
      <w:sz w:val="21"/>
      <w:szCs w:val="21"/>
      <w:lang w:val="en-US" w:eastAsia="zh-CN"/>
    </w:rPr>
  </w:style>
  <w:style w:type="paragraph" w:customStyle="1" w:styleId="125">
    <w:name w:val="Table Paragraph"/>
    <w:basedOn w:val="1"/>
    <w:qFormat/>
    <w:uiPriority w:val="99"/>
    <w:pPr>
      <w:autoSpaceDE w:val="0"/>
      <w:autoSpaceDN w:val="0"/>
      <w:adjustRightInd w:val="0"/>
      <w:jc w:val="left"/>
    </w:pPr>
    <w:rPr>
      <w:rFonts w:ascii="黑体" w:eastAsia="黑体" w:cs="黑体"/>
      <w:kern w:val="0"/>
      <w:sz w:val="24"/>
      <w:szCs w:val="24"/>
    </w:rPr>
  </w:style>
  <w:style w:type="paragraph" w:customStyle="1" w:styleId="126">
    <w:name w:val="Level 1"/>
    <w:basedOn w:val="1"/>
    <w:next w:val="1"/>
    <w:qFormat/>
    <w:uiPriority w:val="99"/>
    <w:pPr>
      <w:keepNext/>
      <w:widowControl/>
      <w:numPr>
        <w:ilvl w:val="0"/>
        <w:numId w:val="3"/>
      </w:numPr>
      <w:spacing w:line="360" w:lineRule="auto"/>
      <w:outlineLvl w:val="0"/>
    </w:pPr>
    <w:rPr>
      <w:rFonts w:ascii="Arial" w:hAnsi="Arial" w:eastAsia="黑体" w:cs="Arial"/>
      <w:b/>
      <w:bCs/>
      <w:caps/>
      <w:w w:val="105"/>
      <w:kern w:val="20"/>
      <w:sz w:val="24"/>
      <w:szCs w:val="24"/>
      <w:lang w:val="en-GB" w:eastAsia="en-US"/>
    </w:rPr>
  </w:style>
  <w:style w:type="paragraph" w:customStyle="1" w:styleId="127">
    <w:name w:val="Level 8"/>
    <w:basedOn w:val="1"/>
    <w:qFormat/>
    <w:uiPriority w:val="99"/>
    <w:pPr>
      <w:widowControl/>
      <w:numPr>
        <w:ilvl w:val="7"/>
        <w:numId w:val="3"/>
      </w:numPr>
      <w:spacing w:after="120" w:line="336" w:lineRule="auto"/>
      <w:outlineLvl w:val="7"/>
    </w:pPr>
    <w:rPr>
      <w:rFonts w:ascii="Arial" w:hAnsi="Arial" w:cs="Arial"/>
      <w:w w:val="105"/>
      <w:kern w:val="20"/>
      <w:sz w:val="24"/>
      <w:szCs w:val="24"/>
      <w:lang w:val="en-GB" w:eastAsia="en-US"/>
    </w:rPr>
  </w:style>
  <w:style w:type="paragraph" w:customStyle="1" w:styleId="128">
    <w:name w:val="05 Body"/>
    <w:basedOn w:val="1"/>
    <w:qFormat/>
    <w:uiPriority w:val="99"/>
    <w:pPr>
      <w:widowControl/>
      <w:spacing w:line="290" w:lineRule="auto"/>
    </w:pPr>
    <w:rPr>
      <w:rFonts w:ascii="Arial" w:hAnsi="Arial" w:cs="Arial"/>
      <w:kern w:val="20"/>
      <w:sz w:val="24"/>
      <w:szCs w:val="24"/>
      <w:lang w:val="en-GB" w:eastAsia="en-US"/>
    </w:rPr>
  </w:style>
  <w:style w:type="paragraph" w:customStyle="1" w:styleId="129">
    <w:name w:val="Parties"/>
    <w:basedOn w:val="1"/>
    <w:qFormat/>
    <w:uiPriority w:val="99"/>
    <w:pPr>
      <w:widowControl/>
      <w:numPr>
        <w:ilvl w:val="0"/>
        <w:numId w:val="4"/>
      </w:numPr>
      <w:spacing w:after="140" w:line="290" w:lineRule="auto"/>
    </w:pPr>
    <w:rPr>
      <w:rFonts w:ascii="Arial" w:hAnsi="Arial" w:cs="Arial"/>
      <w:kern w:val="20"/>
      <w:sz w:val="20"/>
      <w:szCs w:val="20"/>
      <w:lang w:val="en-GB" w:eastAsia="en-US"/>
    </w:rPr>
  </w:style>
  <w:style w:type="paragraph" w:customStyle="1" w:styleId="130">
    <w:name w:val="Level 5"/>
    <w:basedOn w:val="131"/>
    <w:qFormat/>
    <w:uiPriority w:val="99"/>
    <w:pPr>
      <w:numPr>
        <w:ilvl w:val="4"/>
      </w:numPr>
      <w:tabs>
        <w:tab w:val="left" w:pos="1361"/>
      </w:tabs>
      <w:outlineLvl w:val="4"/>
    </w:pPr>
  </w:style>
  <w:style w:type="paragraph" w:customStyle="1" w:styleId="131">
    <w:name w:val="Level 4"/>
    <w:basedOn w:val="1"/>
    <w:qFormat/>
    <w:uiPriority w:val="99"/>
    <w:pPr>
      <w:numPr>
        <w:ilvl w:val="3"/>
        <w:numId w:val="3"/>
      </w:numPr>
      <w:spacing w:after="120" w:line="336" w:lineRule="auto"/>
      <w:outlineLvl w:val="3"/>
    </w:pPr>
    <w:rPr>
      <w:rFonts w:ascii="Arial" w:hAnsi="Arial" w:cs="Arial"/>
      <w:w w:val="105"/>
      <w:kern w:val="20"/>
      <w:sz w:val="24"/>
      <w:szCs w:val="24"/>
      <w:lang w:val="en-GB" w:eastAsia="en-US"/>
    </w:rPr>
  </w:style>
  <w:style w:type="paragraph" w:customStyle="1" w:styleId="132">
    <w:name w:val="Body"/>
    <w:basedOn w:val="1"/>
    <w:qFormat/>
    <w:uiPriority w:val="99"/>
    <w:pPr>
      <w:widowControl/>
      <w:spacing w:after="140" w:line="290" w:lineRule="auto"/>
    </w:pPr>
    <w:rPr>
      <w:rFonts w:ascii="Arial" w:hAnsi="Arial" w:cs="Arial"/>
      <w:kern w:val="20"/>
      <w:sz w:val="20"/>
      <w:szCs w:val="20"/>
      <w:lang w:val="en-GB" w:eastAsia="en-US"/>
    </w:rPr>
  </w:style>
  <w:style w:type="paragraph" w:customStyle="1" w:styleId="133">
    <w:name w:val="Char"/>
    <w:basedOn w:val="1"/>
    <w:qFormat/>
    <w:uiPriority w:val="99"/>
    <w:pPr>
      <w:snapToGrid w:val="0"/>
      <w:spacing w:line="440" w:lineRule="atLeast"/>
    </w:pPr>
    <w:rPr>
      <w:rFonts w:ascii="宋体" w:cs="宋体"/>
      <w:sz w:val="24"/>
      <w:szCs w:val="24"/>
    </w:rPr>
  </w:style>
  <w:style w:type="paragraph" w:customStyle="1" w:styleId="134">
    <w:name w:val="样式 标题 2 + Times New Roman 四号 非加粗 段前: 5 磅 段后: 0 磅 行距: 固定值 20..."/>
    <w:basedOn w:val="3"/>
    <w:next w:val="1"/>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5">
    <w:name w:val="03 Wheras"/>
    <w:basedOn w:val="1"/>
    <w:qFormat/>
    <w:uiPriority w:val="99"/>
    <w:pPr>
      <w:widowControl/>
      <w:spacing w:line="290" w:lineRule="auto"/>
    </w:pPr>
    <w:rPr>
      <w:rFonts w:ascii="Arial" w:hAnsi="Arial" w:eastAsia="黑体" w:cs="Arial"/>
      <w:b/>
      <w:bCs/>
      <w:kern w:val="20"/>
      <w:sz w:val="24"/>
      <w:szCs w:val="24"/>
      <w:lang w:val="en-GB" w:eastAsia="en-US"/>
    </w:rPr>
  </w:style>
  <w:style w:type="paragraph" w:customStyle="1" w:styleId="136">
    <w:name w:val="Level 6"/>
    <w:basedOn w:val="130"/>
    <w:qFormat/>
    <w:uiPriority w:val="99"/>
    <w:pPr>
      <w:numPr>
        <w:ilvl w:val="5"/>
      </w:numPr>
      <w:outlineLvl w:val="5"/>
    </w:pPr>
  </w:style>
  <w:style w:type="paragraph" w:customStyle="1" w:styleId="137">
    <w:name w:val="Level 7"/>
    <w:basedOn w:val="1"/>
    <w:qFormat/>
    <w:uiPriority w:val="99"/>
    <w:pPr>
      <w:widowControl/>
      <w:numPr>
        <w:ilvl w:val="6"/>
        <w:numId w:val="3"/>
      </w:numPr>
      <w:spacing w:after="120" w:line="336" w:lineRule="auto"/>
      <w:outlineLvl w:val="6"/>
    </w:pPr>
    <w:rPr>
      <w:rFonts w:ascii="Arial" w:hAnsi="Arial" w:cs="Arial"/>
      <w:w w:val="105"/>
      <w:kern w:val="20"/>
      <w:sz w:val="24"/>
      <w:szCs w:val="24"/>
      <w:lang w:val="en-GB" w:eastAsia="en-US"/>
    </w:rPr>
  </w:style>
  <w:style w:type="paragraph" w:customStyle="1" w:styleId="138">
    <w:name w:val="WPSOffice手动目录 1"/>
    <w:qFormat/>
    <w:uiPriority w:val="99"/>
    <w:rPr>
      <w:rFonts w:ascii="Times New Roman" w:hAnsi="Times New Roman" w:eastAsia="宋体" w:cs="Times New Roman"/>
      <w:lang w:val="en-US" w:eastAsia="zh-CN" w:bidi="ar-SA"/>
    </w:rPr>
  </w:style>
  <w:style w:type="paragraph" w:customStyle="1" w:styleId="139">
    <w:name w:val="04 Recitals"/>
    <w:basedOn w:val="128"/>
    <w:qFormat/>
    <w:uiPriority w:val="99"/>
    <w:pPr>
      <w:numPr>
        <w:ilvl w:val="0"/>
        <w:numId w:val="5"/>
      </w:numPr>
    </w:pPr>
  </w:style>
  <w:style w:type="paragraph" w:customStyle="1" w:styleId="140">
    <w:name w:val="zFSNarrative"/>
    <w:basedOn w:val="1"/>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4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2">
    <w:name w:val="02 Parties"/>
    <w:basedOn w:val="1"/>
    <w:qFormat/>
    <w:uiPriority w:val="99"/>
    <w:pPr>
      <w:widowControl/>
      <w:numPr>
        <w:ilvl w:val="0"/>
        <w:numId w:val="6"/>
      </w:numPr>
      <w:spacing w:line="290" w:lineRule="auto"/>
    </w:pPr>
    <w:rPr>
      <w:rFonts w:ascii="Arial" w:hAnsi="Arial" w:cs="Arial"/>
      <w:kern w:val="20"/>
      <w:sz w:val="24"/>
      <w:szCs w:val="24"/>
      <w:lang w:val="en-GB" w:eastAsia="en-US"/>
    </w:rPr>
  </w:style>
  <w:style w:type="paragraph" w:customStyle="1" w:styleId="143">
    <w:name w:val="修订1"/>
    <w:qFormat/>
    <w:uiPriority w:val="99"/>
    <w:rPr>
      <w:rFonts w:ascii="Times New Roman" w:hAnsi="Times New Roman" w:eastAsia="宋体" w:cs="Times New Roman"/>
      <w:kern w:val="2"/>
      <w:sz w:val="21"/>
      <w:szCs w:val="21"/>
      <w:lang w:val="en-US" w:eastAsia="zh-CN" w:bidi="ar-SA"/>
    </w:rPr>
  </w:style>
  <w:style w:type="paragraph" w:customStyle="1" w:styleId="144">
    <w:name w:val="Char Char Char Char Char Char Char"/>
    <w:basedOn w:val="1"/>
    <w:qFormat/>
    <w:uiPriority w:val="99"/>
    <w:rPr>
      <w:rFonts w:ascii="仿宋_GB2312" w:eastAsia="仿宋_GB2312" w:cs="仿宋_GB2312"/>
      <w:spacing w:val="-4"/>
      <w:sz w:val="32"/>
      <w:szCs w:val="32"/>
    </w:rPr>
  </w:style>
  <w:style w:type="paragraph" w:customStyle="1" w:styleId="145">
    <w:name w:val="Level 3"/>
    <w:basedOn w:val="1"/>
    <w:qFormat/>
    <w:uiPriority w:val="99"/>
    <w:pPr>
      <w:numPr>
        <w:ilvl w:val="2"/>
        <w:numId w:val="3"/>
      </w:numPr>
      <w:spacing w:after="120" w:line="336" w:lineRule="auto"/>
      <w:outlineLvl w:val="2"/>
    </w:pPr>
    <w:rPr>
      <w:rFonts w:ascii="Arial" w:hAnsi="Arial" w:cs="Arial"/>
      <w:w w:val="105"/>
      <w:kern w:val="20"/>
      <w:sz w:val="24"/>
      <w:szCs w:val="24"/>
      <w:lang w:val="en-GB" w:eastAsia="en-US"/>
    </w:rPr>
  </w:style>
  <w:style w:type="paragraph" w:styleId="146">
    <w:name w:val="List Paragraph"/>
    <w:basedOn w:val="1"/>
    <w:qFormat/>
    <w:uiPriority w:val="99"/>
    <w:pPr>
      <w:ind w:firstLine="420" w:firstLineChars="200"/>
    </w:pPr>
  </w:style>
  <w:style w:type="paragraph" w:customStyle="1" w:styleId="147">
    <w:name w:val="zFSco-names"/>
    <w:basedOn w:val="1"/>
    <w:next w:val="1"/>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48">
    <w:name w:val="Level 2"/>
    <w:basedOn w:val="1"/>
    <w:next w:val="1"/>
    <w:qFormat/>
    <w:uiPriority w:val="99"/>
    <w:pPr>
      <w:numPr>
        <w:ilvl w:val="1"/>
        <w:numId w:val="3"/>
      </w:numPr>
      <w:spacing w:line="360" w:lineRule="auto"/>
      <w:outlineLvl w:val="1"/>
    </w:pPr>
    <w:rPr>
      <w:rFonts w:ascii="Arial" w:hAnsi="Arial" w:cs="Arial"/>
      <w:w w:val="105"/>
      <w:kern w:val="20"/>
      <w:sz w:val="24"/>
      <w:szCs w:val="24"/>
      <w:lang w:val="en-GB" w:eastAsia="en-US"/>
    </w:rPr>
  </w:style>
  <w:style w:type="paragraph" w:customStyle="1" w:styleId="149">
    <w:name w:val="PT-WZ"/>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0">
    <w:name w:val="Heading 81"/>
    <w:basedOn w:val="1"/>
    <w:qFormat/>
    <w:uiPriority w:val="99"/>
    <w:pPr>
      <w:autoSpaceDE w:val="0"/>
      <w:autoSpaceDN w:val="0"/>
      <w:ind w:left="765"/>
      <w:jc w:val="left"/>
      <w:outlineLvl w:val="8"/>
    </w:pPr>
    <w:rPr>
      <w:rFonts w:ascii="宋体" w:hAnsi="宋体" w:cs="宋体"/>
      <w:b/>
      <w:bCs/>
      <w:kern w:val="0"/>
      <w:lang w:val="zh-CN"/>
    </w:rPr>
  </w:style>
  <w:style w:type="paragraph" w:customStyle="1" w:styleId="151">
    <w:name w:val="标题 81"/>
    <w:basedOn w:val="1"/>
    <w:qFormat/>
    <w:uiPriority w:val="1"/>
    <w:pPr>
      <w:autoSpaceDE w:val="0"/>
      <w:autoSpaceDN w:val="0"/>
      <w:ind w:left="765"/>
      <w:jc w:val="left"/>
      <w:outlineLvl w:val="8"/>
    </w:pPr>
    <w:rPr>
      <w:rFonts w:ascii="宋体" w:hAnsi="宋体" w:cs="宋体"/>
      <w:b/>
      <w:bCs/>
      <w:kern w:val="0"/>
      <w:lang w:val="zh-CN" w:bidi="zh-CN"/>
    </w:rPr>
  </w:style>
  <w:style w:type="character" w:customStyle="1" w:styleId="152">
    <w:name w:val="fontstyle01"/>
    <w:qFormat/>
    <w:uiPriority w:val="0"/>
    <w:rPr>
      <w:rFonts w:hint="default" w:ascii="Times New Roman" w:hAnsi="Times New Roman" w:eastAsia="宋体" w:cs="Times New Roman"/>
      <w:color w:val="000000"/>
      <w:sz w:val="22"/>
      <w:szCs w:val="22"/>
    </w:rPr>
  </w:style>
  <w:style w:type="paragraph" w:customStyle="1" w:styleId="153">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1"/>
    <w:basedOn w:val="1"/>
    <w:next w:val="25"/>
    <w:qFormat/>
    <w:uiPriority w:val="0"/>
    <w:rPr>
      <w:rFonts w:ascii="宋体" w:hAnsi="Courier New"/>
      <w:szCs w:val="20"/>
    </w:rPr>
  </w:style>
  <w:style w:type="paragraph" w:customStyle="1" w:styleId="155">
    <w:name w:val="2"/>
    <w:basedOn w:val="1"/>
    <w:next w:val="25"/>
    <w:qFormat/>
    <w:uiPriority w:val="0"/>
    <w:rPr>
      <w:rFonts w:ascii="宋体" w:hAnsi="Courier New"/>
      <w:szCs w:val="20"/>
    </w:rPr>
  </w:style>
  <w:style w:type="paragraph" w:customStyle="1" w:styleId="156">
    <w:name w:val="标题 1_0"/>
    <w:basedOn w:val="157"/>
    <w:next w:val="157"/>
    <w:qFormat/>
    <w:uiPriority w:val="0"/>
    <w:pPr>
      <w:keepNext/>
      <w:keepLines/>
      <w:spacing w:line="360" w:lineRule="auto"/>
      <w:outlineLvl w:val="0"/>
    </w:pPr>
    <w:rPr>
      <w:rFonts w:ascii="Times New Roman" w:hAnsi="Times New Roman" w:eastAsia="黑体" w:cs="Times New Roman"/>
      <w:b/>
      <w:bCs/>
      <w:kern w:val="44"/>
      <w:sz w:val="32"/>
      <w:szCs w:val="32"/>
    </w:rPr>
  </w:style>
  <w:style w:type="paragraph" w:customStyle="1" w:styleId="157">
    <w:name w:val="正文_2_0"/>
    <w:basedOn w:val="158"/>
    <w:qFormat/>
    <w:uiPriority w:val="0"/>
  </w:style>
  <w:style w:type="paragraph" w:customStyle="1" w:styleId="158">
    <w:name w:val="正文_3"/>
    <w:basedOn w:val="159"/>
    <w:qFormat/>
    <w:uiPriority w:val="0"/>
    <w:rPr>
      <w:rFonts w:cs="宋体"/>
      <w:szCs w:val="21"/>
    </w:rPr>
  </w:style>
  <w:style w:type="paragraph" w:customStyle="1" w:styleId="15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标题 4_0"/>
    <w:basedOn w:val="161"/>
    <w:next w:val="162"/>
    <w:qFormat/>
    <w:uiPriority w:val="0"/>
    <w:pPr>
      <w:keepNext/>
      <w:keepLines/>
      <w:spacing w:line="360" w:lineRule="auto"/>
      <w:outlineLvl w:val="3"/>
    </w:pPr>
    <w:rPr>
      <w:rFonts w:ascii="Arial" w:hAnsi="Arial"/>
      <w:b/>
      <w:bCs/>
      <w:szCs w:val="28"/>
    </w:rPr>
  </w:style>
  <w:style w:type="paragraph" w:customStyle="1" w:styleId="16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2">
    <w:name w:val="正文_2"/>
    <w:basedOn w:val="158"/>
    <w:next w:val="160"/>
    <w:qFormat/>
    <w:uiPriority w:val="0"/>
    <w:rPr>
      <w:szCs w:val="22"/>
    </w:rPr>
  </w:style>
  <w:style w:type="paragraph" w:customStyle="1" w:styleId="163">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6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6">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67">
    <w:name w:val="NormalCharacter"/>
    <w:qFormat/>
    <w:uiPriority w:val="0"/>
  </w:style>
  <w:style w:type="paragraph" w:customStyle="1" w:styleId="168">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自定义 1">
      <a:dk1>
        <a:sysClr val="windowText" lastClr="000000"/>
      </a:dk1>
      <a:lt1>
        <a:sysClr val="window" lastClr="CCE8CF"/>
      </a:lt1>
      <a:dk2>
        <a:srgbClr val="1F497D"/>
      </a:dk2>
      <a:lt2>
        <a:srgbClr val="EEECE1"/>
      </a:lt2>
      <a:accent1>
        <a:srgbClr val="4F81BD"/>
      </a:accent1>
      <a:accent2>
        <a:srgbClr val="C0504D"/>
      </a:accent2>
      <a:accent3>
        <a:srgbClr val="76923C"/>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11EDC-7F33-48A8-8EE3-0005BDF62A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34780</Words>
  <Characters>36741</Characters>
  <Lines>287</Lines>
  <Paragraphs>81</Paragraphs>
  <TotalTime>23</TotalTime>
  <ScaleCrop>false</ScaleCrop>
  <LinksUpToDate>false</LinksUpToDate>
  <CharactersWithSpaces>40727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2020-12-01T08:04:00Z</dcterms:created>
  <dc:creator>NTKO</dc:creator>
  <cp:lastModifiedBy>NINGMEI</cp:lastModifiedBy>
  <cp:lastPrinted>2021-08-02T09:00:00Z</cp:lastPrinted>
  <dcterms:modified xsi:type="dcterms:W3CDTF">2023-12-08T02:04:21Z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B14956EAADF94506BF7321EA26D95214</vt:lpwstr>
  </property>
</Properties>
</file>