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heme="minorEastAsia" w:hAnsiTheme="minorEastAsia" w:eastAsiaTheme="minorEastAsia"/>
        </w:rPr>
      </w:pPr>
      <w:bookmarkStart w:id="0" w:name="_Toc7937"/>
      <w:bookmarkStart w:id="1" w:name="_Toc429727818"/>
      <w:bookmarkStart w:id="2" w:name="_Toc12008"/>
      <w:r>
        <w:rPr>
          <w:rFonts w:asciiTheme="minorEastAsia" w:hAnsiTheme="minorEastAsia" w:eastAsiaTheme="minorEastAsia"/>
        </w:rPr>
        <w:drawing>
          <wp:inline distT="0" distB="0" distL="0" distR="0">
            <wp:extent cx="1333500" cy="1226820"/>
            <wp:effectExtent l="0" t="0" r="0" b="0"/>
            <wp:docPr id="2" name="图片 2" descr="众鼎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众鼎标志"/>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333500" cy="1226820"/>
                    </a:xfrm>
                    <a:prstGeom prst="rect">
                      <a:avLst/>
                    </a:prstGeom>
                    <a:noFill/>
                    <a:ln>
                      <a:noFill/>
                    </a:ln>
                  </pic:spPr>
                </pic:pic>
              </a:graphicData>
            </a:graphic>
          </wp:inline>
        </w:drawing>
      </w:r>
    </w:p>
    <w:p>
      <w:pPr>
        <w:jc w:val="center"/>
        <w:rPr>
          <w:rFonts w:cs="宋体" w:asciiTheme="minorEastAsia" w:hAnsiTheme="minorEastAsia" w:eastAsiaTheme="minorEastAsia"/>
          <w:b/>
          <w:bCs/>
          <w:kern w:val="0"/>
          <w:sz w:val="72"/>
          <w:szCs w:val="72"/>
          <w:lang w:val="zh-CN"/>
        </w:rPr>
      </w:pPr>
      <w:r>
        <w:rPr>
          <w:rFonts w:hint="eastAsia" w:cs="宋体" w:asciiTheme="minorEastAsia" w:hAnsiTheme="minorEastAsia" w:eastAsiaTheme="minorEastAsia"/>
          <w:b/>
          <w:bCs/>
          <w:kern w:val="0"/>
          <w:sz w:val="56"/>
          <w:szCs w:val="72"/>
          <w:lang w:val="zh-CN"/>
        </w:rPr>
        <w:t>广西众鼎建设工程咨询有限公司</w:t>
      </w:r>
    </w:p>
    <w:p>
      <w:pPr>
        <w:rPr>
          <w:rFonts w:asciiTheme="minorEastAsia" w:hAnsiTheme="minorEastAsia" w:eastAsiaTheme="minorEastAsia"/>
          <w:b/>
          <w:bCs/>
          <w:kern w:val="0"/>
          <w:sz w:val="32"/>
          <w:szCs w:val="32"/>
          <w:lang w:val="zh-CN"/>
        </w:rPr>
      </w:pPr>
    </w:p>
    <w:p>
      <w:pPr>
        <w:rPr>
          <w:rFonts w:asciiTheme="minorEastAsia" w:hAnsiTheme="minorEastAsia" w:eastAsiaTheme="minorEastAsia"/>
          <w:b/>
          <w:bCs/>
          <w:kern w:val="0"/>
          <w:sz w:val="32"/>
          <w:szCs w:val="32"/>
          <w:lang w:val="zh-CN"/>
        </w:rPr>
      </w:pPr>
    </w:p>
    <w:p>
      <w:pPr>
        <w:jc w:val="center"/>
        <w:rPr>
          <w:rFonts w:asciiTheme="minorEastAsia" w:hAnsiTheme="minorEastAsia" w:eastAsiaTheme="minorEastAsia"/>
          <w:b/>
          <w:bCs/>
          <w:kern w:val="0"/>
          <w:sz w:val="72"/>
          <w:szCs w:val="72"/>
          <w:lang w:val="zh-CN"/>
        </w:rPr>
      </w:pPr>
      <w:bookmarkStart w:id="3" w:name="_Toc460926404"/>
      <w:bookmarkStart w:id="4" w:name="_Toc460926101"/>
      <w:bookmarkStart w:id="5" w:name="_Toc460926446"/>
      <w:bookmarkStart w:id="6" w:name="_Toc461032397"/>
      <w:bookmarkStart w:id="7" w:name="_Toc460926358"/>
      <w:r>
        <w:rPr>
          <w:rFonts w:hint="eastAsia" w:cs="宋体" w:asciiTheme="minorEastAsia" w:hAnsiTheme="minorEastAsia" w:eastAsiaTheme="minorEastAsia"/>
          <w:b/>
          <w:bCs/>
          <w:kern w:val="0"/>
          <w:sz w:val="72"/>
          <w:szCs w:val="72"/>
          <w:lang w:val="zh-CN"/>
        </w:rPr>
        <w:t>公开招标文件</w:t>
      </w:r>
      <w:bookmarkEnd w:id="3"/>
      <w:bookmarkEnd w:id="4"/>
      <w:bookmarkEnd w:id="5"/>
      <w:bookmarkEnd w:id="6"/>
      <w:bookmarkEnd w:id="7"/>
    </w:p>
    <w:p>
      <w:pPr>
        <w:jc w:val="center"/>
        <w:rPr>
          <w:rFonts w:asciiTheme="minorEastAsia" w:hAnsiTheme="minorEastAsia" w:eastAsiaTheme="minorEastAsia"/>
          <w:b/>
          <w:bCs/>
          <w:kern w:val="0"/>
          <w:sz w:val="52"/>
          <w:szCs w:val="52"/>
          <w:lang w:val="zh-CN"/>
        </w:rPr>
      </w:pPr>
    </w:p>
    <w:p>
      <w:pPr>
        <w:jc w:val="center"/>
        <w:rPr>
          <w:rFonts w:asciiTheme="minorEastAsia" w:hAnsiTheme="minorEastAsia" w:eastAsiaTheme="minorEastAsia"/>
          <w:b/>
          <w:bCs/>
          <w:kern w:val="0"/>
          <w:sz w:val="52"/>
          <w:szCs w:val="52"/>
          <w:lang w:val="zh-CN"/>
        </w:rPr>
      </w:pPr>
    </w:p>
    <w:p>
      <w:pPr>
        <w:spacing w:line="360" w:lineRule="auto"/>
        <w:ind w:left="2228" w:leftChars="304" w:hanging="1590" w:hangingChars="495"/>
        <w:jc w:val="left"/>
        <w:rPr>
          <w:rFonts w:cs="宋体" w:asciiTheme="minorEastAsia" w:hAnsiTheme="minorEastAsia" w:eastAsiaTheme="minorEastAsia"/>
          <w:b/>
          <w:bCs/>
          <w:kern w:val="0"/>
          <w:sz w:val="32"/>
          <w:szCs w:val="32"/>
          <w:lang w:val="zh-CN"/>
        </w:rPr>
      </w:pPr>
      <w:r>
        <w:rPr>
          <w:rFonts w:hint="eastAsia" w:cs="宋体" w:asciiTheme="minorEastAsia" w:hAnsiTheme="minorEastAsia" w:eastAsiaTheme="minorEastAsia"/>
          <w:b/>
          <w:bCs/>
          <w:kern w:val="0"/>
          <w:sz w:val="32"/>
          <w:szCs w:val="32"/>
          <w:lang w:val="zh-CN"/>
        </w:rPr>
        <w:t>项目名称：贵港市产业园（粤桂园）给水厂和污水处理厂供排一体化PPP项目</w:t>
      </w:r>
    </w:p>
    <w:p>
      <w:pPr>
        <w:spacing w:line="360" w:lineRule="auto"/>
        <w:ind w:firstLine="643" w:firstLineChars="200"/>
        <w:jc w:val="left"/>
        <w:rPr>
          <w:rFonts w:cs="宋体" w:asciiTheme="minorEastAsia" w:hAnsiTheme="minorEastAsia" w:eastAsiaTheme="minorEastAsia"/>
          <w:b/>
          <w:bCs/>
          <w:kern w:val="0"/>
          <w:sz w:val="32"/>
          <w:szCs w:val="32"/>
        </w:rPr>
      </w:pPr>
      <w:bookmarkStart w:id="8" w:name="_Toc460926360"/>
      <w:bookmarkStart w:id="9" w:name="_Toc461032399"/>
      <w:bookmarkStart w:id="10" w:name="_Toc460926406"/>
      <w:bookmarkStart w:id="11" w:name="_Toc460926103"/>
      <w:bookmarkStart w:id="12" w:name="_Toc460926448"/>
      <w:r>
        <w:rPr>
          <w:rFonts w:hint="eastAsia" w:cs="宋体" w:asciiTheme="minorEastAsia" w:hAnsiTheme="minorEastAsia" w:eastAsiaTheme="minorEastAsia"/>
          <w:b/>
          <w:bCs/>
          <w:kern w:val="0"/>
          <w:sz w:val="32"/>
          <w:szCs w:val="32"/>
          <w:lang w:val="zh-CN"/>
        </w:rPr>
        <w:t>项目编号：</w:t>
      </w:r>
      <w:bookmarkEnd w:id="8"/>
      <w:bookmarkEnd w:id="9"/>
      <w:bookmarkEnd w:id="10"/>
      <w:bookmarkEnd w:id="11"/>
      <w:bookmarkEnd w:id="12"/>
      <w:r>
        <w:rPr>
          <w:rFonts w:hint="eastAsia" w:cs="宋体" w:asciiTheme="minorEastAsia" w:hAnsiTheme="minorEastAsia" w:eastAsiaTheme="minorEastAsia"/>
          <w:b/>
          <w:bCs/>
          <w:kern w:val="0"/>
          <w:sz w:val="32"/>
          <w:szCs w:val="32"/>
        </w:rPr>
        <w:t>GGZC2020-G3-02460-GXZD</w:t>
      </w:r>
    </w:p>
    <w:p>
      <w:pPr>
        <w:rPr>
          <w:rFonts w:asciiTheme="minorEastAsia" w:hAnsiTheme="minorEastAsia" w:eastAsiaTheme="minorEastAsia"/>
          <w:b/>
          <w:bCs/>
          <w:kern w:val="0"/>
          <w:sz w:val="28"/>
          <w:szCs w:val="28"/>
          <w:lang w:val="zh-CN"/>
        </w:rPr>
      </w:pPr>
    </w:p>
    <w:p>
      <w:pPr>
        <w:rPr>
          <w:rFonts w:asciiTheme="minorEastAsia" w:hAnsiTheme="minorEastAsia" w:eastAsiaTheme="minorEastAsia"/>
          <w:b/>
          <w:bCs/>
          <w:kern w:val="0"/>
          <w:sz w:val="28"/>
          <w:szCs w:val="28"/>
          <w:lang w:val="zh-CN"/>
        </w:rPr>
      </w:pPr>
    </w:p>
    <w:p>
      <w:pPr>
        <w:rPr>
          <w:rFonts w:asciiTheme="minorEastAsia" w:hAnsiTheme="minorEastAsia" w:eastAsiaTheme="minorEastAsia"/>
          <w:b/>
          <w:bCs/>
          <w:kern w:val="0"/>
          <w:sz w:val="28"/>
          <w:szCs w:val="28"/>
          <w:lang w:val="zh-CN"/>
        </w:rPr>
      </w:pPr>
    </w:p>
    <w:p>
      <w:pPr>
        <w:ind w:firstLine="630" w:firstLineChars="196"/>
        <w:rPr>
          <w:rFonts w:cs="宋体" w:asciiTheme="minorEastAsia" w:hAnsiTheme="minorEastAsia" w:eastAsiaTheme="minorEastAsia"/>
          <w:b/>
          <w:bCs/>
          <w:kern w:val="0"/>
          <w:sz w:val="32"/>
          <w:szCs w:val="32"/>
          <w:lang w:val="zh-CN"/>
        </w:rPr>
      </w:pPr>
      <w:bookmarkStart w:id="13" w:name="_Toc460926450"/>
      <w:bookmarkStart w:id="14" w:name="_Toc460926408"/>
      <w:bookmarkStart w:id="15" w:name="_Toc460926105"/>
      <w:bookmarkStart w:id="16" w:name="_Toc461032401"/>
      <w:bookmarkStart w:id="17" w:name="_Toc460926362"/>
      <w:r>
        <w:rPr>
          <w:rFonts w:hint="eastAsia" w:cs="宋体" w:asciiTheme="minorEastAsia" w:hAnsiTheme="minorEastAsia" w:eastAsiaTheme="minorEastAsia"/>
          <w:b/>
          <w:bCs/>
          <w:kern w:val="0"/>
          <w:sz w:val="32"/>
          <w:szCs w:val="32"/>
          <w:lang w:val="zh-CN"/>
        </w:rPr>
        <w:t>采</w:t>
      </w:r>
      <w:r>
        <w:rPr>
          <w:rFonts w:hint="eastAsia" w:cs="宋体" w:asciiTheme="minorEastAsia" w:hAnsiTheme="minorEastAsia" w:eastAsiaTheme="minorEastAsia"/>
          <w:b/>
          <w:bCs/>
          <w:kern w:val="0"/>
          <w:sz w:val="32"/>
          <w:szCs w:val="32"/>
        </w:rPr>
        <w:t xml:space="preserve"> </w:t>
      </w:r>
      <w:r>
        <w:rPr>
          <w:rFonts w:hint="eastAsia" w:cs="宋体" w:asciiTheme="minorEastAsia" w:hAnsiTheme="minorEastAsia" w:eastAsiaTheme="minorEastAsia"/>
          <w:b/>
          <w:bCs/>
          <w:kern w:val="0"/>
          <w:sz w:val="32"/>
          <w:szCs w:val="32"/>
          <w:lang w:val="zh-CN"/>
        </w:rPr>
        <w:t>购</w:t>
      </w:r>
      <w:r>
        <w:rPr>
          <w:rFonts w:hint="eastAsia" w:cs="宋体" w:asciiTheme="minorEastAsia" w:hAnsiTheme="minorEastAsia" w:eastAsiaTheme="minorEastAsia"/>
          <w:b/>
          <w:bCs/>
          <w:kern w:val="0"/>
          <w:sz w:val="32"/>
          <w:szCs w:val="32"/>
        </w:rPr>
        <w:t xml:space="preserve"> </w:t>
      </w:r>
      <w:r>
        <w:rPr>
          <w:rFonts w:hint="eastAsia" w:cs="宋体" w:asciiTheme="minorEastAsia" w:hAnsiTheme="minorEastAsia" w:eastAsiaTheme="minorEastAsia"/>
          <w:b/>
          <w:bCs/>
          <w:kern w:val="0"/>
          <w:sz w:val="32"/>
          <w:szCs w:val="32"/>
          <w:lang w:val="zh-CN"/>
        </w:rPr>
        <w:t>单</w:t>
      </w:r>
      <w:r>
        <w:rPr>
          <w:rFonts w:hint="eastAsia" w:cs="宋体" w:asciiTheme="minorEastAsia" w:hAnsiTheme="minorEastAsia" w:eastAsiaTheme="minorEastAsia"/>
          <w:b/>
          <w:bCs/>
          <w:kern w:val="0"/>
          <w:sz w:val="32"/>
          <w:szCs w:val="32"/>
        </w:rPr>
        <w:t xml:space="preserve"> </w:t>
      </w:r>
      <w:r>
        <w:rPr>
          <w:rFonts w:hint="eastAsia" w:cs="宋体" w:asciiTheme="minorEastAsia" w:hAnsiTheme="minorEastAsia" w:eastAsiaTheme="minorEastAsia"/>
          <w:b/>
          <w:bCs/>
          <w:kern w:val="0"/>
          <w:sz w:val="32"/>
          <w:szCs w:val="32"/>
          <w:lang w:val="zh-CN"/>
        </w:rPr>
        <w:t>位：</w:t>
      </w:r>
      <w:bookmarkEnd w:id="13"/>
      <w:bookmarkEnd w:id="14"/>
      <w:bookmarkEnd w:id="15"/>
      <w:bookmarkEnd w:id="16"/>
      <w:bookmarkEnd w:id="17"/>
      <w:r>
        <w:rPr>
          <w:rFonts w:hint="eastAsia" w:cs="宋体" w:asciiTheme="minorEastAsia" w:hAnsiTheme="minorEastAsia" w:eastAsiaTheme="minorEastAsia"/>
          <w:b/>
          <w:bCs/>
          <w:kern w:val="0"/>
          <w:sz w:val="32"/>
          <w:szCs w:val="32"/>
          <w:lang w:val="zh-CN"/>
        </w:rPr>
        <w:t xml:space="preserve"> 贵港市产业园区管理委员会（盖章）</w:t>
      </w:r>
    </w:p>
    <w:p>
      <w:pPr>
        <w:ind w:firstLine="630" w:firstLineChars="196"/>
        <w:rPr>
          <w:rFonts w:cs="宋体" w:asciiTheme="minorEastAsia" w:hAnsiTheme="minorEastAsia" w:eastAsiaTheme="minorEastAsia"/>
          <w:b/>
          <w:bCs/>
          <w:kern w:val="0"/>
          <w:sz w:val="32"/>
          <w:szCs w:val="32"/>
          <w:lang w:val="zh-CN"/>
        </w:rPr>
      </w:pPr>
      <w:r>
        <w:rPr>
          <w:rFonts w:hint="eastAsia" w:cs="宋体" w:asciiTheme="minorEastAsia" w:hAnsiTheme="minorEastAsia" w:eastAsiaTheme="minorEastAsia"/>
          <w:b/>
          <w:bCs/>
          <w:kern w:val="0"/>
          <w:sz w:val="32"/>
          <w:szCs w:val="32"/>
          <w:lang w:val="zh-CN"/>
        </w:rPr>
        <w:t>采购代理机构：广西众鼎建设工程咨询有限公司（盖章）</w:t>
      </w:r>
    </w:p>
    <w:p>
      <w:pPr>
        <w:jc w:val="center"/>
        <w:rPr>
          <w:rFonts w:cs="宋体" w:asciiTheme="minorEastAsia" w:hAnsiTheme="minorEastAsia" w:eastAsiaTheme="minorEastAsia"/>
          <w:b/>
          <w:bCs/>
          <w:kern w:val="0"/>
          <w:sz w:val="32"/>
          <w:szCs w:val="32"/>
          <w:lang w:val="zh-CN"/>
        </w:rPr>
      </w:pPr>
      <w:r>
        <w:rPr>
          <w:rFonts w:hint="eastAsia" w:cs="宋体" w:asciiTheme="minorEastAsia" w:hAnsiTheme="minorEastAsia" w:eastAsiaTheme="minorEastAsia"/>
          <w:b/>
          <w:bCs/>
          <w:kern w:val="0"/>
          <w:sz w:val="32"/>
          <w:szCs w:val="32"/>
        </w:rPr>
        <w:t>2020年9月</w:t>
      </w:r>
    </w:p>
    <w:p>
      <w:pPr>
        <w:pStyle w:val="28"/>
        <w:jc w:val="center"/>
        <w:rPr>
          <w:rFonts w:asciiTheme="minorEastAsia" w:hAnsiTheme="minorEastAsia" w:eastAsiaTheme="minorEastAsia"/>
          <w:b/>
          <w:sz w:val="32"/>
          <w:szCs w:val="32"/>
        </w:rPr>
      </w:pPr>
    </w:p>
    <w:p>
      <w:pPr>
        <w:pStyle w:val="28"/>
        <w:spacing w:before="120" w:after="120" w:line="360" w:lineRule="auto"/>
        <w:jc w:val="center"/>
        <w:rPr>
          <w:rFonts w:asciiTheme="minorEastAsia" w:hAnsiTheme="minorEastAsia" w:eastAsiaTheme="minorEastAsia"/>
          <w:sz w:val="44"/>
          <w:szCs w:val="44"/>
        </w:rPr>
        <w:sectPr>
          <w:headerReference r:id="rId3" w:type="default"/>
          <w:footerReference r:id="rId4" w:type="even"/>
          <w:type w:val="continuous"/>
          <w:pgSz w:w="11906" w:h="16838"/>
          <w:pgMar w:top="1418" w:right="1418" w:bottom="1418" w:left="1418" w:header="720" w:footer="720" w:gutter="0"/>
          <w:cols w:space="720" w:num="1"/>
          <w:docGrid w:type="lines" w:linePitch="312" w:charSpace="0"/>
        </w:sectPr>
      </w:pPr>
    </w:p>
    <w:p>
      <w:pPr>
        <w:widowControl/>
        <w:jc w:val="left"/>
        <w:rPr>
          <w:rFonts w:asciiTheme="minorEastAsia" w:hAnsiTheme="minorEastAsia" w:eastAsiaTheme="minorEastAsia"/>
          <w:b/>
          <w:kern w:val="0"/>
          <w:sz w:val="44"/>
          <w:szCs w:val="44"/>
          <w:lang w:val="zh-CN"/>
        </w:rPr>
      </w:pPr>
      <w:r>
        <w:rPr>
          <w:rFonts w:asciiTheme="minorEastAsia" w:hAnsiTheme="minorEastAsia" w:eastAsiaTheme="minorEastAsia"/>
          <w:sz w:val="44"/>
          <w:szCs w:val="44"/>
          <w:lang w:val="zh-CN"/>
        </w:rPr>
        <w:br w:type="page"/>
      </w:r>
    </w:p>
    <w:p>
      <w:pPr>
        <w:pStyle w:val="1098"/>
        <w:ind w:left="0" w:leftChars="0" w:right="210" w:firstLine="0"/>
        <w:jc w:val="center"/>
        <w:rPr>
          <w:rFonts w:asciiTheme="minorEastAsia" w:hAnsiTheme="minorEastAsia" w:eastAsiaTheme="minorEastAsia"/>
          <w:color w:val="auto"/>
          <w:sz w:val="44"/>
          <w:szCs w:val="44"/>
        </w:rPr>
      </w:pPr>
      <w:r>
        <w:rPr>
          <w:rFonts w:hint="eastAsia" w:asciiTheme="minorEastAsia" w:hAnsiTheme="minorEastAsia" w:eastAsiaTheme="minorEastAsia"/>
          <w:color w:val="auto"/>
          <w:sz w:val="44"/>
          <w:szCs w:val="44"/>
          <w:lang w:val="zh-CN"/>
        </w:rPr>
        <w:t>目录</w:t>
      </w:r>
      <w:bookmarkEnd w:id="0"/>
    </w:p>
    <w:p>
      <w:pPr>
        <w:pStyle w:val="36"/>
        <w:tabs>
          <w:tab w:val="right" w:leader="dot" w:pos="9060"/>
        </w:tabs>
        <w:spacing w:line="400" w:lineRule="exact"/>
        <w:rPr>
          <w:rFonts w:asciiTheme="minorEastAsia" w:hAnsiTheme="minorEastAsia" w:eastAsiaTheme="minorEastAsia" w:cstheme="minorBidi"/>
          <w:sz w:val="24"/>
        </w:rPr>
      </w:pPr>
      <w:r>
        <w:rPr>
          <w:rFonts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TOC \o "1-2" \h \z \u</w:instrText>
      </w:r>
      <w:r>
        <w:rPr>
          <w:rFonts w:asciiTheme="minorEastAsia" w:hAnsiTheme="minorEastAsia" w:eastAsiaTheme="minorEastAsia" w:cstheme="minorEastAsia"/>
          <w:sz w:val="24"/>
        </w:rPr>
        <w:fldChar w:fldCharType="separate"/>
      </w:r>
      <w:r>
        <w:fldChar w:fldCharType="begin"/>
      </w:r>
      <w:r>
        <w:instrText xml:space="preserve"> HYPERLINK \l "_Toc50993380" </w:instrText>
      </w:r>
      <w:r>
        <w:fldChar w:fldCharType="separate"/>
      </w:r>
      <w:r>
        <w:rPr>
          <w:rStyle w:val="73"/>
          <w:rFonts w:hint="eastAsia" w:cs="宋体" w:asciiTheme="minorEastAsia" w:hAnsiTheme="minorEastAsia" w:eastAsiaTheme="minorEastAsia"/>
          <w:b/>
          <w:sz w:val="24"/>
          <w:lang w:val="zh-CN"/>
        </w:rPr>
        <w:t>第一章</w:t>
      </w:r>
      <w:r>
        <w:rPr>
          <w:rStyle w:val="73"/>
          <w:rFonts w:hint="eastAsia" w:cs="宋体" w:asciiTheme="minorEastAsia" w:hAnsiTheme="minorEastAsia" w:eastAsiaTheme="minorEastAsia"/>
          <w:b/>
          <w:sz w:val="24"/>
        </w:rPr>
        <w:t xml:space="preserve"> 招标公告</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_Toc50993380 \h </w:instrText>
      </w:r>
      <w:r>
        <w:rPr>
          <w:rFonts w:asciiTheme="minorEastAsia" w:hAnsiTheme="minorEastAsia" w:eastAsiaTheme="minorEastAsia"/>
          <w:sz w:val="24"/>
        </w:rPr>
        <w:fldChar w:fldCharType="separate"/>
      </w:r>
      <w:r>
        <w:rPr>
          <w:rFonts w:asciiTheme="minorEastAsia" w:hAnsiTheme="minorEastAsia" w:eastAsiaTheme="minorEastAsia"/>
          <w:sz w:val="24"/>
        </w:rPr>
        <w:t>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"_Toc50993381" </w:instrText>
      </w:r>
      <w:r>
        <w:fldChar w:fldCharType="separate"/>
      </w:r>
      <w:r>
        <w:rPr>
          <w:rStyle w:val="73"/>
          <w:rFonts w:hint="eastAsia" w:cs="黑体" w:asciiTheme="minorEastAsia" w:hAnsiTheme="minorEastAsia" w:eastAsiaTheme="minorEastAsia"/>
          <w:sz w:val="24"/>
        </w:rPr>
        <w:t>一、项目基本情况</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_Toc50993381 \h </w:instrText>
      </w:r>
      <w:r>
        <w:rPr>
          <w:rFonts w:asciiTheme="minorEastAsia" w:hAnsiTheme="minorEastAsia" w:eastAsiaTheme="minorEastAsia"/>
          <w:sz w:val="24"/>
        </w:rPr>
        <w:fldChar w:fldCharType="separate"/>
      </w:r>
      <w:r>
        <w:rPr>
          <w:rFonts w:asciiTheme="minorEastAsia" w:hAnsiTheme="minorEastAsia" w:eastAsiaTheme="minorEastAsia"/>
          <w:sz w:val="24"/>
        </w:rPr>
        <w:t>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"_Toc50993382" </w:instrText>
      </w:r>
      <w:r>
        <w:fldChar w:fldCharType="separate"/>
      </w:r>
      <w:r>
        <w:rPr>
          <w:rStyle w:val="73"/>
          <w:rFonts w:hint="eastAsia" w:cs="黑体" w:asciiTheme="minorEastAsia" w:hAnsiTheme="minorEastAsia" w:eastAsiaTheme="minorEastAsia"/>
          <w:sz w:val="24"/>
        </w:rPr>
        <w:t>二、申请人的资格要求</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_Toc50993382 \h </w:instrText>
      </w:r>
      <w:r>
        <w:rPr>
          <w:rFonts w:asciiTheme="minorEastAsia" w:hAnsiTheme="minorEastAsia" w:eastAsiaTheme="minorEastAsia"/>
          <w:sz w:val="24"/>
        </w:rPr>
        <w:fldChar w:fldCharType="separate"/>
      </w:r>
      <w:r>
        <w:rPr>
          <w:rFonts w:asciiTheme="minorEastAsia" w:hAnsiTheme="minorEastAsia" w:eastAsiaTheme="minorEastAsia"/>
          <w:sz w:val="24"/>
        </w:rPr>
        <w:t>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"_Toc50993383" </w:instrText>
      </w:r>
      <w:r>
        <w:fldChar w:fldCharType="separate"/>
      </w:r>
      <w:r>
        <w:rPr>
          <w:rStyle w:val="73"/>
          <w:rFonts w:hint="eastAsia" w:cs="黑体" w:asciiTheme="minorEastAsia" w:hAnsiTheme="minorEastAsia" w:eastAsiaTheme="minorEastAsia"/>
          <w:sz w:val="24"/>
        </w:rPr>
        <w:t>三、获取招标文件</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_Toc50993383 \h </w:instrText>
      </w:r>
      <w:r>
        <w:rPr>
          <w:rFonts w:asciiTheme="minorEastAsia" w:hAnsiTheme="minorEastAsia" w:eastAsiaTheme="minorEastAsia"/>
          <w:sz w:val="24"/>
        </w:rPr>
        <w:fldChar w:fldCharType="separate"/>
      </w:r>
      <w:r>
        <w:rPr>
          <w:rFonts w:asciiTheme="minorEastAsia" w:hAnsiTheme="minorEastAsia" w:eastAsiaTheme="minorEastAsia"/>
          <w:sz w:val="24"/>
        </w:rPr>
        <w:t>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"_Toc50993384" </w:instrText>
      </w:r>
      <w:r>
        <w:fldChar w:fldCharType="separate"/>
      </w:r>
      <w:r>
        <w:rPr>
          <w:rStyle w:val="73"/>
          <w:rFonts w:hint="eastAsia" w:cs="黑体" w:asciiTheme="minorEastAsia" w:hAnsiTheme="minorEastAsia" w:eastAsiaTheme="minorEastAsia"/>
          <w:sz w:val="24"/>
        </w:rPr>
        <w:t>四、提交投标文件截止时间、开标时间和地点</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_Toc50993384 \h </w:instrText>
      </w:r>
      <w:r>
        <w:rPr>
          <w:rFonts w:asciiTheme="minorEastAsia" w:hAnsiTheme="minorEastAsia" w:eastAsiaTheme="minorEastAsia"/>
          <w:sz w:val="24"/>
        </w:rPr>
        <w:fldChar w:fldCharType="separate"/>
      </w:r>
      <w:r>
        <w:rPr>
          <w:rFonts w:asciiTheme="minorEastAsia" w:hAnsiTheme="minorEastAsia" w:eastAsiaTheme="minorEastAsia"/>
          <w:sz w:val="24"/>
        </w:rPr>
        <w:t>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"_Toc50993385" </w:instrText>
      </w:r>
      <w:r>
        <w:fldChar w:fldCharType="separate"/>
      </w:r>
      <w:r>
        <w:rPr>
          <w:rStyle w:val="73"/>
          <w:rFonts w:hint="eastAsia" w:cs="黑体" w:asciiTheme="minorEastAsia" w:hAnsiTheme="minorEastAsia" w:eastAsiaTheme="minorEastAsia"/>
          <w:sz w:val="24"/>
        </w:rPr>
        <w:t>五、公告期限</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_Toc50993385 \h </w:instrText>
      </w:r>
      <w:r>
        <w:rPr>
          <w:rFonts w:asciiTheme="minorEastAsia" w:hAnsiTheme="minorEastAsia" w:eastAsiaTheme="minorEastAsia"/>
          <w:sz w:val="24"/>
        </w:rPr>
        <w:fldChar w:fldCharType="separate"/>
      </w:r>
      <w:r>
        <w:rPr>
          <w:rFonts w:asciiTheme="minorEastAsia" w:hAnsiTheme="minorEastAsia" w:eastAsiaTheme="minorEastAsia"/>
          <w:sz w:val="24"/>
        </w:rPr>
        <w:t>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"_Toc50993386" </w:instrText>
      </w:r>
      <w:r>
        <w:fldChar w:fldCharType="separate"/>
      </w:r>
      <w:r>
        <w:rPr>
          <w:rStyle w:val="73"/>
          <w:rFonts w:hint="eastAsia" w:cs="黑体" w:asciiTheme="minorEastAsia" w:hAnsiTheme="minorEastAsia" w:eastAsiaTheme="minorEastAsia"/>
          <w:sz w:val="24"/>
        </w:rPr>
        <w:t>六、其他补充事宜</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_Toc50993386 \h </w:instrText>
      </w:r>
      <w:r>
        <w:rPr>
          <w:rFonts w:asciiTheme="minorEastAsia" w:hAnsiTheme="minorEastAsia" w:eastAsiaTheme="minorEastAsia"/>
          <w:sz w:val="24"/>
        </w:rPr>
        <w:fldChar w:fldCharType="separate"/>
      </w:r>
      <w:r>
        <w:rPr>
          <w:rFonts w:asciiTheme="minorEastAsia" w:hAnsiTheme="minorEastAsia" w:eastAsiaTheme="minorEastAsia"/>
          <w:sz w:val="24"/>
        </w:rPr>
        <w:t>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"_Toc50993387" </w:instrText>
      </w:r>
      <w:r>
        <w:fldChar w:fldCharType="separate"/>
      </w:r>
      <w:r>
        <w:rPr>
          <w:rStyle w:val="73"/>
          <w:rFonts w:hint="eastAsia" w:cs="黑体" w:asciiTheme="minorEastAsia" w:hAnsiTheme="minorEastAsia" w:eastAsiaTheme="minorEastAsia"/>
          <w:sz w:val="24"/>
        </w:rPr>
        <w:t>七、对本次招标提出询问，请按以下方式联系</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_Toc50993387 \h </w:instrText>
      </w:r>
      <w:r>
        <w:rPr>
          <w:rFonts w:asciiTheme="minorEastAsia" w:hAnsiTheme="minorEastAsia" w:eastAsiaTheme="minorEastAsia"/>
          <w:sz w:val="24"/>
        </w:rPr>
        <w:fldChar w:fldCharType="separate"/>
      </w:r>
      <w:r>
        <w:rPr>
          <w:rFonts w:asciiTheme="minorEastAsia" w:hAnsiTheme="minorEastAsia" w:eastAsiaTheme="minorEastAsia"/>
          <w:sz w:val="24"/>
        </w:rPr>
        <w:t>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tabs>
          <w:tab w:val="right" w:leader="dot" w:pos="9060"/>
        </w:tabs>
        <w:spacing w:line="400" w:lineRule="exact"/>
        <w:rPr>
          <w:rFonts w:asciiTheme="minorEastAsia" w:hAnsiTheme="minorEastAsia" w:eastAsiaTheme="minorEastAsia" w:cstheme="minorBidi"/>
          <w:b/>
          <w:sz w:val="24"/>
        </w:rPr>
      </w:pPr>
      <w:r>
        <w:fldChar w:fldCharType="begin"/>
      </w:r>
      <w:r>
        <w:instrText xml:space="preserve"> HYPERLINK \l "_Toc50993388" </w:instrText>
      </w:r>
      <w:r>
        <w:fldChar w:fldCharType="separate"/>
      </w:r>
      <w:r>
        <w:rPr>
          <w:rStyle w:val="73"/>
          <w:rFonts w:hint="eastAsia" w:cs="宋体" w:asciiTheme="minorEastAsia" w:hAnsiTheme="minorEastAsia" w:eastAsiaTheme="minorEastAsia"/>
          <w:b/>
          <w:sz w:val="24"/>
        </w:rPr>
        <w:t>第二章</w:t>
      </w:r>
      <w:r>
        <w:rPr>
          <w:rStyle w:val="73"/>
          <w:rFonts w:cs="宋体" w:asciiTheme="minorEastAsia" w:hAnsiTheme="minorEastAsia" w:eastAsiaTheme="minorEastAsia"/>
          <w:b/>
          <w:sz w:val="24"/>
        </w:rPr>
        <w:t xml:space="preserve">  </w:t>
      </w:r>
      <w:r>
        <w:rPr>
          <w:rStyle w:val="73"/>
          <w:rFonts w:hint="eastAsia" w:cs="宋体" w:asciiTheme="minorEastAsia" w:hAnsiTheme="minorEastAsia" w:eastAsiaTheme="minorEastAsia"/>
          <w:b/>
          <w:sz w:val="24"/>
        </w:rPr>
        <w:t>采购需求</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_Toc50993388 \h </w:instrText>
      </w:r>
      <w:r>
        <w:rPr>
          <w:rFonts w:asciiTheme="minorEastAsia" w:hAnsiTheme="minorEastAsia" w:eastAsiaTheme="minorEastAsia"/>
          <w:b/>
          <w:sz w:val="24"/>
        </w:rPr>
        <w:fldChar w:fldCharType="separate"/>
      </w:r>
      <w:r>
        <w:rPr>
          <w:rFonts w:asciiTheme="minorEastAsia" w:hAnsiTheme="minorEastAsia" w:eastAsiaTheme="minorEastAsia"/>
          <w:b/>
          <w:sz w:val="24"/>
        </w:rPr>
        <w:t>5</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"_Toc50993389" </w:instrText>
      </w:r>
      <w:r>
        <w:fldChar w:fldCharType="separate"/>
      </w:r>
      <w:r>
        <w:rPr>
          <w:rStyle w:val="73"/>
          <w:rFonts w:hint="eastAsia" w:asciiTheme="minorEastAsia" w:hAnsiTheme="minorEastAsia" w:eastAsiaTheme="minorEastAsia"/>
          <w:sz w:val="24"/>
        </w:rPr>
        <w:t>一、项目概况</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_Toc50993389 \h </w:instrText>
      </w:r>
      <w:r>
        <w:rPr>
          <w:rFonts w:asciiTheme="minorEastAsia" w:hAnsiTheme="minorEastAsia" w:eastAsiaTheme="minorEastAsia"/>
          <w:sz w:val="24"/>
        </w:rPr>
        <w:fldChar w:fldCharType="separate"/>
      </w:r>
      <w:r>
        <w:rPr>
          <w:rFonts w:asciiTheme="minorEastAsia" w:hAnsiTheme="minorEastAsia" w:eastAsiaTheme="minorEastAsia"/>
          <w:sz w:val="24"/>
        </w:rPr>
        <w:t>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"_Toc50993390" </w:instrText>
      </w:r>
      <w:r>
        <w:fldChar w:fldCharType="separate"/>
      </w:r>
      <w:r>
        <w:rPr>
          <w:rStyle w:val="73"/>
          <w:rFonts w:hint="eastAsia" w:asciiTheme="minorEastAsia" w:hAnsiTheme="minorEastAsia" w:eastAsiaTheme="minorEastAsia"/>
          <w:sz w:val="24"/>
        </w:rPr>
        <w:t>二、主要商务条件</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_Toc50993390 \h </w:instrText>
      </w:r>
      <w:r>
        <w:rPr>
          <w:rFonts w:asciiTheme="minorEastAsia" w:hAnsiTheme="minorEastAsia" w:eastAsiaTheme="minorEastAsia"/>
          <w:sz w:val="24"/>
        </w:rPr>
        <w:fldChar w:fldCharType="separate"/>
      </w:r>
      <w:r>
        <w:rPr>
          <w:rFonts w:asciiTheme="minorEastAsia" w:hAnsiTheme="minorEastAsia" w:eastAsiaTheme="minorEastAsia"/>
          <w:sz w:val="24"/>
        </w:rPr>
        <w:t>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tabs>
          <w:tab w:val="right" w:leader="dot" w:pos="9060"/>
        </w:tabs>
        <w:spacing w:line="400" w:lineRule="exact"/>
        <w:rPr>
          <w:rFonts w:asciiTheme="minorEastAsia" w:hAnsiTheme="minorEastAsia" w:eastAsiaTheme="minorEastAsia" w:cstheme="minorBidi"/>
          <w:b/>
          <w:sz w:val="24"/>
        </w:rPr>
      </w:pPr>
      <w:r>
        <w:fldChar w:fldCharType="begin"/>
      </w:r>
      <w:r>
        <w:instrText xml:space="preserve"> HYPERLINK \l "_Toc50993391" </w:instrText>
      </w:r>
      <w:r>
        <w:fldChar w:fldCharType="separate"/>
      </w:r>
      <w:r>
        <w:rPr>
          <w:rStyle w:val="73"/>
          <w:rFonts w:hint="eastAsia" w:asciiTheme="minorEastAsia" w:hAnsiTheme="minorEastAsia" w:eastAsiaTheme="minorEastAsia"/>
          <w:b/>
          <w:sz w:val="24"/>
        </w:rPr>
        <w:t>第三章</w:t>
      </w:r>
      <w:r>
        <w:rPr>
          <w:rStyle w:val="73"/>
          <w:rFonts w:asciiTheme="minorEastAsia" w:hAnsiTheme="minorEastAsia" w:eastAsiaTheme="minorEastAsia"/>
          <w:b/>
          <w:sz w:val="24"/>
        </w:rPr>
        <w:t xml:space="preserve">  </w:t>
      </w:r>
      <w:r>
        <w:rPr>
          <w:rStyle w:val="73"/>
          <w:rFonts w:hint="eastAsia" w:asciiTheme="minorEastAsia" w:hAnsiTheme="minorEastAsia" w:eastAsiaTheme="minorEastAsia"/>
          <w:b/>
          <w:sz w:val="24"/>
        </w:rPr>
        <w:t>投标人须知</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_Toc50993391 \h </w:instrText>
      </w:r>
      <w:r>
        <w:rPr>
          <w:rFonts w:asciiTheme="minorEastAsia" w:hAnsiTheme="minorEastAsia" w:eastAsiaTheme="minorEastAsia"/>
          <w:b/>
          <w:sz w:val="24"/>
        </w:rPr>
        <w:fldChar w:fldCharType="separate"/>
      </w:r>
      <w:r>
        <w:rPr>
          <w:rFonts w:asciiTheme="minorEastAsia" w:hAnsiTheme="minorEastAsia" w:eastAsiaTheme="minorEastAsia"/>
          <w:b/>
          <w:sz w:val="24"/>
        </w:rPr>
        <w:t>10</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"_Toc50993392" </w:instrText>
      </w:r>
      <w:r>
        <w:fldChar w:fldCharType="separate"/>
      </w:r>
      <w:r>
        <w:rPr>
          <w:rStyle w:val="73"/>
          <w:rFonts w:hint="eastAsia" w:asciiTheme="minorEastAsia" w:hAnsiTheme="minorEastAsia" w:eastAsiaTheme="minorEastAsia"/>
          <w:sz w:val="24"/>
        </w:rPr>
        <w:t>一、总则</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_Toc50993392 \h </w:instrText>
      </w:r>
      <w:r>
        <w:rPr>
          <w:rFonts w:asciiTheme="minorEastAsia" w:hAnsiTheme="minorEastAsia" w:eastAsiaTheme="minorEastAsia"/>
          <w:sz w:val="24"/>
        </w:rPr>
        <w:fldChar w:fldCharType="separate"/>
      </w:r>
      <w:r>
        <w:rPr>
          <w:rFonts w:asciiTheme="minorEastAsia" w:hAnsiTheme="minorEastAsia" w:eastAsiaTheme="minorEastAsia"/>
          <w:sz w:val="24"/>
        </w:rPr>
        <w:t>16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"_Toc50993393" </w:instrText>
      </w:r>
      <w:r>
        <w:fldChar w:fldCharType="separate"/>
      </w:r>
      <w:r>
        <w:rPr>
          <w:rStyle w:val="73"/>
          <w:rFonts w:hint="eastAsia" w:asciiTheme="minorEastAsia" w:hAnsiTheme="minorEastAsia" w:eastAsiaTheme="minorEastAsia"/>
          <w:sz w:val="24"/>
        </w:rPr>
        <w:t>二、采购文件</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_Toc50993393 \h </w:instrText>
      </w:r>
      <w:r>
        <w:rPr>
          <w:rFonts w:asciiTheme="minorEastAsia" w:hAnsiTheme="minorEastAsia" w:eastAsiaTheme="minorEastAsia"/>
          <w:sz w:val="24"/>
        </w:rPr>
        <w:fldChar w:fldCharType="separate"/>
      </w:r>
      <w:r>
        <w:rPr>
          <w:rFonts w:asciiTheme="minorEastAsia" w:hAnsiTheme="minorEastAsia" w:eastAsiaTheme="minorEastAsia"/>
          <w:sz w:val="24"/>
        </w:rPr>
        <w:t>19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"_Toc50993394" </w:instrText>
      </w:r>
      <w:r>
        <w:fldChar w:fldCharType="separate"/>
      </w:r>
      <w:r>
        <w:rPr>
          <w:rStyle w:val="73"/>
          <w:rFonts w:hint="eastAsia" w:asciiTheme="minorEastAsia" w:hAnsiTheme="minorEastAsia" w:eastAsiaTheme="minorEastAsia"/>
          <w:sz w:val="24"/>
        </w:rPr>
        <w:t>三、投标文件</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_Toc50993394 \h </w:instrText>
      </w:r>
      <w:r>
        <w:rPr>
          <w:rFonts w:asciiTheme="minorEastAsia" w:hAnsiTheme="minorEastAsia" w:eastAsiaTheme="minorEastAsia"/>
          <w:sz w:val="24"/>
        </w:rPr>
        <w:fldChar w:fldCharType="separate"/>
      </w:r>
      <w:r>
        <w:rPr>
          <w:rFonts w:asciiTheme="minorEastAsia" w:hAnsiTheme="minorEastAsia" w:eastAsiaTheme="minorEastAsia"/>
          <w:sz w:val="24"/>
        </w:rPr>
        <w:t>20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"_Toc50993395" </w:instrText>
      </w:r>
      <w:r>
        <w:fldChar w:fldCharType="separate"/>
      </w:r>
      <w:r>
        <w:rPr>
          <w:rStyle w:val="73"/>
          <w:rFonts w:hint="eastAsia" w:asciiTheme="minorEastAsia" w:hAnsiTheme="minorEastAsia" w:eastAsiaTheme="minorEastAsia"/>
          <w:sz w:val="24"/>
        </w:rPr>
        <w:t>四、投标</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_Toc50993395 \h </w:instrText>
      </w:r>
      <w:r>
        <w:rPr>
          <w:rFonts w:asciiTheme="minorEastAsia" w:hAnsiTheme="minorEastAsia" w:eastAsiaTheme="minorEastAsia"/>
          <w:sz w:val="24"/>
        </w:rPr>
        <w:fldChar w:fldCharType="separate"/>
      </w:r>
      <w:r>
        <w:rPr>
          <w:rFonts w:asciiTheme="minorEastAsia" w:hAnsiTheme="minorEastAsia" w:eastAsiaTheme="minorEastAsia"/>
          <w:sz w:val="24"/>
        </w:rPr>
        <w:t>23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"_Toc50993396" </w:instrText>
      </w:r>
      <w:r>
        <w:fldChar w:fldCharType="separate"/>
      </w:r>
      <w:r>
        <w:rPr>
          <w:rStyle w:val="73"/>
          <w:rFonts w:hint="eastAsia" w:asciiTheme="minorEastAsia" w:hAnsiTheme="minorEastAsia" w:eastAsiaTheme="minorEastAsia"/>
          <w:sz w:val="24"/>
        </w:rPr>
        <w:t>五、开标与评标</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_Toc50993396 \h </w:instrText>
      </w:r>
      <w:r>
        <w:rPr>
          <w:rFonts w:asciiTheme="minorEastAsia" w:hAnsiTheme="minorEastAsia" w:eastAsiaTheme="minorEastAsia"/>
          <w:sz w:val="24"/>
        </w:rPr>
        <w:fldChar w:fldCharType="separate"/>
      </w:r>
      <w:r>
        <w:rPr>
          <w:rFonts w:asciiTheme="minorEastAsia" w:hAnsiTheme="minorEastAsia" w:eastAsiaTheme="minorEastAsia"/>
          <w:sz w:val="24"/>
        </w:rPr>
        <w:t>24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"_Toc50993397" </w:instrText>
      </w:r>
      <w:r>
        <w:fldChar w:fldCharType="separate"/>
      </w:r>
      <w:r>
        <w:rPr>
          <w:rStyle w:val="73"/>
          <w:rFonts w:hint="eastAsia" w:asciiTheme="minorEastAsia" w:hAnsiTheme="minorEastAsia" w:eastAsiaTheme="minorEastAsia"/>
          <w:sz w:val="24"/>
        </w:rPr>
        <w:t>六、</w:t>
      </w:r>
      <w:r>
        <w:rPr>
          <w:rStyle w:val="73"/>
          <w:rFonts w:asciiTheme="minorEastAsia" w:hAnsiTheme="minorEastAsia" w:eastAsiaTheme="minorEastAsia"/>
          <w:sz w:val="24"/>
        </w:rPr>
        <w:t>PPP</w:t>
      </w:r>
      <w:r>
        <w:rPr>
          <w:rStyle w:val="73"/>
          <w:rFonts w:hint="eastAsia" w:asciiTheme="minorEastAsia" w:hAnsiTheme="minorEastAsia" w:eastAsiaTheme="minorEastAsia"/>
          <w:sz w:val="24"/>
        </w:rPr>
        <w:t>项目合同授予</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_Toc50993397 \h </w:instrText>
      </w:r>
      <w:r>
        <w:rPr>
          <w:rFonts w:asciiTheme="minorEastAsia" w:hAnsiTheme="minorEastAsia" w:eastAsiaTheme="minorEastAsia"/>
          <w:sz w:val="24"/>
        </w:rPr>
        <w:fldChar w:fldCharType="separate"/>
      </w:r>
      <w:r>
        <w:rPr>
          <w:rFonts w:asciiTheme="minorEastAsia" w:hAnsiTheme="minorEastAsia" w:eastAsiaTheme="minorEastAsia"/>
          <w:sz w:val="24"/>
        </w:rPr>
        <w:t>27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"_Toc50993398" </w:instrText>
      </w:r>
      <w:r>
        <w:fldChar w:fldCharType="separate"/>
      </w:r>
      <w:r>
        <w:rPr>
          <w:rStyle w:val="73"/>
          <w:rFonts w:hint="eastAsia" w:asciiTheme="minorEastAsia" w:hAnsiTheme="minorEastAsia" w:eastAsiaTheme="minorEastAsia"/>
          <w:sz w:val="24"/>
        </w:rPr>
        <w:t>七、其他事项</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_Toc50993398 \h </w:instrText>
      </w:r>
      <w:r>
        <w:rPr>
          <w:rFonts w:asciiTheme="minorEastAsia" w:hAnsiTheme="minorEastAsia" w:eastAsiaTheme="minorEastAsia"/>
          <w:sz w:val="24"/>
        </w:rPr>
        <w:fldChar w:fldCharType="separate"/>
      </w:r>
      <w:r>
        <w:rPr>
          <w:rFonts w:asciiTheme="minorEastAsia" w:hAnsiTheme="minorEastAsia" w:eastAsiaTheme="minorEastAsia"/>
          <w:sz w:val="24"/>
        </w:rPr>
        <w:t>29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"_Toc50993399" </w:instrText>
      </w:r>
      <w:r>
        <w:fldChar w:fldCharType="separate"/>
      </w:r>
      <w:r>
        <w:rPr>
          <w:rStyle w:val="73"/>
          <w:rFonts w:hint="eastAsia" w:cs="仿宋" w:asciiTheme="minorEastAsia" w:hAnsiTheme="minorEastAsia" w:eastAsiaTheme="minorEastAsia"/>
          <w:b/>
          <w:sz w:val="24"/>
        </w:rPr>
        <w:t>第四章</w:t>
      </w:r>
      <w:r>
        <w:rPr>
          <w:rStyle w:val="73"/>
          <w:rFonts w:cs="仿宋" w:asciiTheme="minorEastAsia" w:hAnsiTheme="minorEastAsia" w:eastAsiaTheme="minorEastAsia"/>
          <w:b/>
          <w:sz w:val="24"/>
        </w:rPr>
        <w:t xml:space="preserve">  </w:t>
      </w:r>
      <w:r>
        <w:rPr>
          <w:rStyle w:val="73"/>
          <w:rFonts w:hint="eastAsia" w:cs="仿宋" w:asciiTheme="minorEastAsia" w:hAnsiTheme="minorEastAsia" w:eastAsiaTheme="minorEastAsia"/>
          <w:b/>
          <w:sz w:val="24"/>
        </w:rPr>
        <w:t>评标办法</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_Toc50993399 \h </w:instrText>
      </w:r>
      <w:r>
        <w:rPr>
          <w:rFonts w:asciiTheme="minorEastAsia" w:hAnsiTheme="minorEastAsia" w:eastAsiaTheme="minorEastAsia"/>
          <w:sz w:val="24"/>
        </w:rPr>
        <w:fldChar w:fldCharType="separate"/>
      </w:r>
      <w:r>
        <w:rPr>
          <w:rFonts w:asciiTheme="minorEastAsia" w:hAnsiTheme="minorEastAsia" w:eastAsiaTheme="minorEastAsia"/>
          <w:sz w:val="24"/>
        </w:rPr>
        <w:t>30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"_Toc50993400" </w:instrText>
      </w:r>
      <w:r>
        <w:fldChar w:fldCharType="separate"/>
      </w:r>
      <w:r>
        <w:rPr>
          <w:rStyle w:val="73"/>
          <w:rFonts w:hint="eastAsia" w:asciiTheme="minorEastAsia" w:hAnsiTheme="minorEastAsia" w:eastAsiaTheme="minorEastAsia"/>
          <w:sz w:val="24"/>
        </w:rPr>
        <w:t>一、评标纪律</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_Toc50993400 \h </w:instrText>
      </w:r>
      <w:r>
        <w:rPr>
          <w:rFonts w:asciiTheme="minorEastAsia" w:hAnsiTheme="minorEastAsia" w:eastAsiaTheme="minorEastAsia"/>
          <w:sz w:val="24"/>
        </w:rPr>
        <w:fldChar w:fldCharType="separate"/>
      </w:r>
      <w:r>
        <w:rPr>
          <w:rFonts w:asciiTheme="minorEastAsia" w:hAnsiTheme="minorEastAsia" w:eastAsiaTheme="minorEastAsia"/>
          <w:sz w:val="24"/>
        </w:rPr>
        <w:t>30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"_Toc50993401" </w:instrText>
      </w:r>
      <w:r>
        <w:fldChar w:fldCharType="separate"/>
      </w:r>
      <w:r>
        <w:rPr>
          <w:rStyle w:val="73"/>
          <w:rFonts w:hint="eastAsia" w:asciiTheme="minorEastAsia" w:hAnsiTheme="minorEastAsia" w:eastAsiaTheme="minorEastAsia"/>
          <w:sz w:val="24"/>
        </w:rPr>
        <w:t>二、评分方法</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_Toc50993401 \h </w:instrText>
      </w:r>
      <w:r>
        <w:rPr>
          <w:rFonts w:asciiTheme="minorEastAsia" w:hAnsiTheme="minorEastAsia" w:eastAsiaTheme="minorEastAsia"/>
          <w:sz w:val="24"/>
        </w:rPr>
        <w:fldChar w:fldCharType="separate"/>
      </w:r>
      <w:r>
        <w:rPr>
          <w:rFonts w:asciiTheme="minorEastAsia" w:hAnsiTheme="minorEastAsia" w:eastAsiaTheme="minorEastAsia"/>
          <w:sz w:val="24"/>
        </w:rPr>
        <w:t>30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"_Toc50993402" </w:instrText>
      </w:r>
      <w:r>
        <w:fldChar w:fldCharType="separate"/>
      </w:r>
      <w:r>
        <w:rPr>
          <w:rStyle w:val="73"/>
          <w:rFonts w:hint="eastAsia" w:asciiTheme="minorEastAsia" w:hAnsiTheme="minorEastAsia" w:eastAsiaTheme="minorEastAsia"/>
          <w:sz w:val="24"/>
        </w:rPr>
        <w:t>三、评分细则</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_Toc50993402 \h </w:instrText>
      </w:r>
      <w:r>
        <w:rPr>
          <w:rFonts w:asciiTheme="minorEastAsia" w:hAnsiTheme="minorEastAsia" w:eastAsiaTheme="minorEastAsia"/>
          <w:sz w:val="24"/>
        </w:rPr>
        <w:fldChar w:fldCharType="separate"/>
      </w:r>
      <w:r>
        <w:rPr>
          <w:rFonts w:asciiTheme="minorEastAsia" w:hAnsiTheme="minorEastAsia" w:eastAsiaTheme="minorEastAsia"/>
          <w:sz w:val="24"/>
        </w:rPr>
        <w:t>32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"_Toc50993403" </w:instrText>
      </w:r>
      <w:r>
        <w:fldChar w:fldCharType="separate"/>
      </w:r>
      <w:r>
        <w:rPr>
          <w:rStyle w:val="73"/>
          <w:rFonts w:hint="eastAsia" w:cs="仿宋" w:asciiTheme="minorEastAsia" w:hAnsiTheme="minorEastAsia" w:eastAsiaTheme="minorEastAsia"/>
          <w:b/>
          <w:bCs/>
          <w:sz w:val="24"/>
        </w:rPr>
        <w:t>第五章</w:t>
      </w:r>
      <w:r>
        <w:rPr>
          <w:rStyle w:val="73"/>
          <w:rFonts w:cs="仿宋" w:asciiTheme="minorEastAsia" w:hAnsiTheme="minorEastAsia" w:eastAsiaTheme="minorEastAsia"/>
          <w:b/>
          <w:bCs/>
          <w:sz w:val="24"/>
        </w:rPr>
        <w:t xml:space="preserve">  </w:t>
      </w:r>
      <w:r>
        <w:rPr>
          <w:rStyle w:val="73"/>
          <w:rFonts w:hint="eastAsia" w:cs="仿宋" w:asciiTheme="minorEastAsia" w:hAnsiTheme="minorEastAsia" w:eastAsiaTheme="minorEastAsia"/>
          <w:b/>
          <w:bCs/>
          <w:sz w:val="24"/>
        </w:rPr>
        <w:t>投标文件格式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_Toc50993403 \h </w:instrText>
      </w:r>
      <w:r>
        <w:rPr>
          <w:rFonts w:asciiTheme="minorEastAsia" w:hAnsiTheme="minorEastAsia" w:eastAsiaTheme="minorEastAsia"/>
          <w:sz w:val="24"/>
        </w:rPr>
        <w:fldChar w:fldCharType="separate"/>
      </w:r>
      <w:r>
        <w:rPr>
          <w:rFonts w:asciiTheme="minorEastAsia" w:hAnsiTheme="minorEastAsia" w:eastAsiaTheme="minorEastAsia"/>
          <w:sz w:val="24"/>
        </w:rPr>
        <w:t>38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tabs>
          <w:tab w:val="right" w:leader="dot" w:pos="9060"/>
        </w:tabs>
        <w:spacing w:line="400" w:lineRule="exact"/>
        <w:rPr>
          <w:rFonts w:asciiTheme="minorEastAsia" w:hAnsiTheme="minorEastAsia" w:eastAsiaTheme="minorEastAsia" w:cstheme="minorBidi"/>
          <w:b/>
          <w:sz w:val="24"/>
        </w:rPr>
      </w:pPr>
      <w:r>
        <w:fldChar w:fldCharType="begin"/>
      </w:r>
      <w:r>
        <w:instrText xml:space="preserve"> HYPERLINK \l "_Toc50993419" </w:instrText>
      </w:r>
      <w:r>
        <w:fldChar w:fldCharType="separate"/>
      </w:r>
      <w:r>
        <w:rPr>
          <w:rStyle w:val="73"/>
          <w:rFonts w:hint="eastAsia" w:asciiTheme="minorEastAsia" w:hAnsiTheme="minorEastAsia" w:eastAsiaTheme="minorEastAsia"/>
          <w:b/>
          <w:sz w:val="24"/>
        </w:rPr>
        <w:t>第六章</w:t>
      </w:r>
      <w:r>
        <w:rPr>
          <w:rStyle w:val="73"/>
          <w:rFonts w:asciiTheme="minorEastAsia" w:hAnsiTheme="minorEastAsia" w:eastAsiaTheme="minorEastAsia"/>
          <w:b/>
          <w:sz w:val="24"/>
        </w:rPr>
        <w:t xml:space="preserve">  </w:t>
      </w:r>
      <w:r>
        <w:rPr>
          <w:rStyle w:val="73"/>
          <w:rFonts w:hint="eastAsia" w:asciiTheme="minorEastAsia" w:hAnsiTheme="minorEastAsia" w:eastAsiaTheme="minorEastAsia"/>
          <w:b/>
          <w:sz w:val="24"/>
        </w:rPr>
        <w:t>附件</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_Toc50993419 \h </w:instrText>
      </w:r>
      <w:r>
        <w:rPr>
          <w:rFonts w:asciiTheme="minorEastAsia" w:hAnsiTheme="minorEastAsia" w:eastAsiaTheme="minorEastAsia"/>
          <w:b/>
          <w:sz w:val="24"/>
        </w:rPr>
        <w:fldChar w:fldCharType="separate"/>
      </w:r>
      <w:r>
        <w:rPr>
          <w:rFonts w:asciiTheme="minorEastAsia" w:hAnsiTheme="minorEastAsia" w:eastAsiaTheme="minorEastAsia"/>
          <w:b/>
          <w:sz w:val="24"/>
        </w:rPr>
        <w:t>55</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"_Toc50993420" </w:instrText>
      </w:r>
      <w:r>
        <w:fldChar w:fldCharType="separate"/>
      </w:r>
      <w:r>
        <w:rPr>
          <w:rStyle w:val="73"/>
          <w:rFonts w:hint="eastAsia" w:asciiTheme="minorEastAsia" w:hAnsiTheme="minorEastAsia" w:eastAsiaTheme="minorEastAsia"/>
          <w:sz w:val="24"/>
        </w:rPr>
        <w:t>附件一</w:t>
      </w:r>
      <w:r>
        <w:rPr>
          <w:rStyle w:val="73"/>
          <w:rFonts w:asciiTheme="minorEastAsia" w:hAnsiTheme="minorEastAsia" w:eastAsiaTheme="minorEastAsia"/>
          <w:sz w:val="24"/>
        </w:rPr>
        <w:t>PPP</w:t>
      </w:r>
      <w:r>
        <w:rPr>
          <w:rStyle w:val="73"/>
          <w:rFonts w:hint="eastAsia" w:asciiTheme="minorEastAsia" w:hAnsiTheme="minorEastAsia" w:eastAsiaTheme="minorEastAsia"/>
          <w:sz w:val="24"/>
        </w:rPr>
        <w:t>项目投资合作协议</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_Toc50993420 \h </w:instrText>
      </w:r>
      <w:r>
        <w:rPr>
          <w:rFonts w:asciiTheme="minorEastAsia" w:hAnsiTheme="minorEastAsia" w:eastAsiaTheme="minorEastAsia"/>
          <w:sz w:val="24"/>
        </w:rPr>
        <w:fldChar w:fldCharType="separate"/>
      </w:r>
      <w:r>
        <w:rPr>
          <w:rFonts w:asciiTheme="minorEastAsia" w:hAnsiTheme="minorEastAsia" w:eastAsiaTheme="minorEastAsia"/>
          <w:sz w:val="24"/>
        </w:rPr>
        <w:t>55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9060"/>
        </w:tabs>
        <w:spacing w:line="400" w:lineRule="exact"/>
        <w:rPr>
          <w:rFonts w:asciiTheme="minorEastAsia" w:hAnsiTheme="minorEastAsia" w:eastAsiaTheme="minorEastAsia" w:cstheme="minorBidi"/>
          <w:sz w:val="24"/>
        </w:rPr>
      </w:pPr>
      <w:r>
        <w:fldChar w:fldCharType="begin"/>
      </w:r>
      <w:r>
        <w:instrText xml:space="preserve"> HYPERLINK \l "_Toc50993458" </w:instrText>
      </w:r>
      <w:r>
        <w:fldChar w:fldCharType="separate"/>
      </w:r>
      <w:r>
        <w:rPr>
          <w:rStyle w:val="73"/>
          <w:rFonts w:hint="eastAsia" w:asciiTheme="minorEastAsia" w:hAnsiTheme="minorEastAsia" w:eastAsiaTheme="minorEastAsia"/>
          <w:sz w:val="24"/>
        </w:rPr>
        <w:t>附件二</w:t>
      </w:r>
      <w:r>
        <w:rPr>
          <w:rStyle w:val="73"/>
          <w:rFonts w:asciiTheme="minorEastAsia" w:hAnsiTheme="minorEastAsia" w:eastAsiaTheme="minorEastAsia"/>
          <w:sz w:val="24"/>
        </w:rPr>
        <w:t xml:space="preserve">  PPP</w:t>
      </w:r>
      <w:r>
        <w:rPr>
          <w:rStyle w:val="73"/>
          <w:rFonts w:hint="eastAsia" w:asciiTheme="minorEastAsia" w:hAnsiTheme="minorEastAsia" w:eastAsiaTheme="minorEastAsia"/>
          <w:sz w:val="24"/>
        </w:rPr>
        <w:t>项目合同</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_Toc50993458 \h </w:instrText>
      </w:r>
      <w:r>
        <w:rPr>
          <w:rFonts w:asciiTheme="minorEastAsia" w:hAnsiTheme="minorEastAsia" w:eastAsiaTheme="minorEastAsia"/>
          <w:sz w:val="24"/>
        </w:rPr>
        <w:fldChar w:fldCharType="separate"/>
      </w:r>
      <w:r>
        <w:rPr>
          <w:rFonts w:asciiTheme="minorEastAsia" w:hAnsiTheme="minorEastAsia" w:eastAsiaTheme="minorEastAsia"/>
          <w:sz w:val="24"/>
        </w:rPr>
        <w:t>68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9070"/>
        </w:tabs>
        <w:spacing w:line="400" w:lineRule="exact"/>
        <w:ind w:left="0" w:leftChars="0"/>
        <w:jc w:val="distribute"/>
        <w:rPr>
          <w:rFonts w:asciiTheme="minorEastAsia" w:hAnsiTheme="minorEastAsia" w:eastAsiaTheme="minorEastAsia"/>
          <w:sz w:val="24"/>
        </w:rPr>
        <w:sectPr>
          <w:footerReference r:id="rId5" w:type="default"/>
          <w:type w:val="continuous"/>
          <w:pgSz w:w="11906" w:h="16838"/>
          <w:pgMar w:top="1134" w:right="1418" w:bottom="1134" w:left="1418" w:header="851" w:footer="992" w:gutter="0"/>
          <w:cols w:space="720" w:num="1"/>
          <w:docGrid w:linePitch="312" w:charSpace="0"/>
        </w:sectPr>
      </w:pPr>
      <w:r>
        <w:rPr>
          <w:rFonts w:asciiTheme="minorEastAsia" w:hAnsiTheme="minorEastAsia" w:eastAsiaTheme="minorEastAsia" w:cstheme="minorEastAsia"/>
          <w:sz w:val="24"/>
        </w:rPr>
        <w:fldChar w:fldCharType="end"/>
      </w:r>
    </w:p>
    <w:bookmarkEnd w:id="1"/>
    <w:bookmarkEnd w:id="2"/>
    <w:p>
      <w:pPr>
        <w:widowControl/>
        <w:jc w:val="left"/>
        <w:rPr>
          <w:rFonts w:cs="宋体" w:asciiTheme="minorEastAsia" w:hAnsiTheme="minorEastAsia" w:eastAsiaTheme="minorEastAsia"/>
          <w:b/>
          <w:sz w:val="32"/>
          <w:szCs w:val="32"/>
        </w:rPr>
      </w:pPr>
      <w:bookmarkStart w:id="18" w:name="_Toc442095428"/>
      <w:bookmarkEnd w:id="18"/>
      <w:bookmarkStart w:id="19" w:name="_Toc396778054"/>
      <w:bookmarkEnd w:id="19"/>
      <w:bookmarkStart w:id="20" w:name="_Toc23496"/>
      <w:bookmarkEnd w:id="20"/>
      <w:bookmarkStart w:id="21" w:name="_Toc462955427"/>
      <w:bookmarkEnd w:id="21"/>
      <w:bookmarkStart w:id="22" w:name="_Toc7926"/>
      <w:bookmarkEnd w:id="22"/>
      <w:bookmarkStart w:id="23" w:name="_Toc390874895"/>
      <w:bookmarkEnd w:id="23"/>
      <w:bookmarkStart w:id="24" w:name="_Toc24407"/>
      <w:bookmarkEnd w:id="24"/>
      <w:r>
        <w:rPr>
          <w:rFonts w:cs="宋体" w:asciiTheme="minorEastAsia" w:hAnsiTheme="minorEastAsia" w:eastAsiaTheme="minorEastAsia"/>
          <w:b/>
          <w:sz w:val="32"/>
          <w:szCs w:val="32"/>
        </w:rPr>
        <w:br w:type="page"/>
      </w:r>
    </w:p>
    <w:p>
      <w:pPr>
        <w:numPr>
          <w:ilvl w:val="0"/>
          <w:numId w:val="5"/>
        </w:numPr>
        <w:spacing w:before="326" w:beforeLines="100" w:after="326" w:afterLines="100" w:line="500" w:lineRule="exact"/>
        <w:jc w:val="center"/>
        <w:outlineLvl w:val="0"/>
        <w:rPr>
          <w:rFonts w:cs="宋体" w:asciiTheme="minorEastAsia" w:hAnsiTheme="minorEastAsia" w:eastAsiaTheme="minorEastAsia"/>
          <w:b/>
          <w:sz w:val="32"/>
          <w:szCs w:val="32"/>
          <w:lang w:val="zh-CN"/>
        </w:rPr>
      </w:pPr>
      <w:bookmarkStart w:id="25" w:name="_Toc50993380"/>
      <w:r>
        <w:rPr>
          <w:rFonts w:hint="eastAsia" w:cs="宋体" w:asciiTheme="minorEastAsia" w:hAnsiTheme="minorEastAsia" w:eastAsiaTheme="minorEastAsia"/>
          <w:b/>
          <w:sz w:val="32"/>
          <w:szCs w:val="32"/>
        </w:rPr>
        <w:t>招标公告</w:t>
      </w:r>
      <w:bookmarkEnd w:id="25"/>
    </w:p>
    <w:p>
      <w:pPr>
        <w:jc w:val="center"/>
        <w:rPr>
          <w:rFonts w:asciiTheme="minorEastAsia" w:hAnsiTheme="minorEastAsia" w:eastAsiaTheme="minorEastAsia"/>
          <w:b/>
          <w:sz w:val="29"/>
        </w:rPr>
      </w:pPr>
      <w:r>
        <w:rPr>
          <w:rFonts w:hint="eastAsia" w:asciiTheme="minorEastAsia" w:hAnsiTheme="minorEastAsia" w:eastAsiaTheme="minorEastAsia"/>
          <w:b/>
          <w:sz w:val="29"/>
        </w:rPr>
        <w:t>广西众鼎建设工程咨询有限公司</w:t>
      </w:r>
    </w:p>
    <w:p>
      <w:pPr>
        <w:jc w:val="center"/>
        <w:rPr>
          <w:rFonts w:asciiTheme="minorEastAsia" w:hAnsiTheme="minorEastAsia" w:eastAsiaTheme="minorEastAsia"/>
          <w:b/>
          <w:sz w:val="29"/>
        </w:rPr>
      </w:pPr>
      <w:r>
        <w:rPr>
          <w:rFonts w:hint="eastAsia" w:asciiTheme="minorEastAsia" w:hAnsiTheme="minorEastAsia" w:eastAsiaTheme="minorEastAsia"/>
          <w:b/>
          <w:sz w:val="29"/>
        </w:rPr>
        <w:t>贵港市产业园（粤桂园）给水厂和污水处理厂供排一体化PPP项目（GGZC2020-G3-02460-GXZD）招标公告</w:t>
      </w:r>
    </w:p>
    <w:p>
      <w:pPr>
        <w:rPr>
          <w:rFonts w:asciiTheme="minorEastAsia" w:hAnsiTheme="minorEastAsia" w:eastAsiaTheme="minorEastAsia"/>
        </w:rPr>
      </w:pPr>
    </w:p>
    <w:p>
      <w:pPr>
        <w:pBdr>
          <w:top w:val="single" w:color="auto" w:sz="4" w:space="1"/>
          <w:left w:val="single" w:color="auto" w:sz="4" w:space="4"/>
          <w:bottom w:val="single" w:color="auto" w:sz="4" w:space="1"/>
          <w:right w:val="single" w:color="auto" w:sz="4" w:space="0"/>
        </w:pBdr>
        <w:spacing w:line="400" w:lineRule="exact"/>
        <w:jc w:val="center"/>
        <w:rPr>
          <w:rFonts w:asciiTheme="minorEastAsia" w:hAnsiTheme="minorEastAsia" w:eastAsiaTheme="minorEastAsia"/>
          <w:szCs w:val="21"/>
        </w:rPr>
      </w:pPr>
      <w:r>
        <w:rPr>
          <w:rFonts w:hint="eastAsia" w:cs="仿宋" w:asciiTheme="minorEastAsia" w:hAnsiTheme="minorEastAsia" w:eastAsiaTheme="minorEastAsia"/>
          <w:szCs w:val="21"/>
        </w:rPr>
        <w:t>项目概况</w:t>
      </w:r>
    </w:p>
    <w:p>
      <w:pPr>
        <w:pBdr>
          <w:top w:val="single" w:color="auto" w:sz="4" w:space="1"/>
          <w:left w:val="single" w:color="auto" w:sz="4" w:space="4"/>
          <w:bottom w:val="single" w:color="auto" w:sz="4" w:space="1"/>
          <w:right w:val="single" w:color="auto" w:sz="4" w:space="0"/>
        </w:pBdr>
        <w:spacing w:line="400" w:lineRule="exact"/>
        <w:ind w:firstLine="420" w:firstLineChars="200"/>
        <w:rPr>
          <w:rFonts w:asciiTheme="minorEastAsia" w:hAnsiTheme="minorEastAsia" w:eastAsiaTheme="minorEastAsia"/>
          <w:szCs w:val="21"/>
        </w:rPr>
      </w:pPr>
      <w:r>
        <w:rPr>
          <w:rFonts w:hint="eastAsia" w:cs="仿宋" w:asciiTheme="minorEastAsia" w:hAnsiTheme="minorEastAsia" w:eastAsiaTheme="minorEastAsia"/>
          <w:szCs w:val="21"/>
          <w:u w:val="single"/>
        </w:rPr>
        <w:t>贵港市产业园（粤桂园）给水厂和污水处理厂供排一体化PPP项目</w:t>
      </w:r>
      <w:r>
        <w:rPr>
          <w:rFonts w:hint="eastAsia" w:cs="仿宋" w:asciiTheme="minorEastAsia" w:hAnsiTheme="minorEastAsia" w:eastAsiaTheme="minorEastAsia"/>
          <w:szCs w:val="21"/>
        </w:rPr>
        <w:t>招标项目的潜在投标人应在</w:t>
      </w:r>
      <w:r>
        <w:rPr>
          <w:rFonts w:hint="eastAsia" w:cs="仿宋" w:asciiTheme="minorEastAsia" w:hAnsiTheme="minorEastAsia" w:eastAsiaTheme="minorEastAsia"/>
          <w:szCs w:val="21"/>
          <w:u w:val="single"/>
        </w:rPr>
        <w:t>贵港市政府采购网（http://zfcg.czj.gxgg.gov.cn/home.html）“供应商注册入口”完 成账号注册后，登录政采云平台“项目采购—获取采购文件”模块自行下载采购文件</w:t>
      </w:r>
      <w:r>
        <w:rPr>
          <w:rFonts w:hint="eastAsia" w:cs="仿宋" w:asciiTheme="minorEastAsia" w:hAnsiTheme="minorEastAsia" w:eastAsiaTheme="minorEastAsia"/>
          <w:szCs w:val="21"/>
        </w:rPr>
        <w:t>，并于</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rPr>
        <w:t>2020年10月12日9时00分（</w:t>
      </w:r>
      <w:r>
        <w:rPr>
          <w:rFonts w:hint="eastAsia" w:cs="仿宋" w:asciiTheme="minorEastAsia" w:hAnsiTheme="minorEastAsia" w:eastAsiaTheme="minorEastAsia"/>
          <w:szCs w:val="21"/>
        </w:rPr>
        <w:t>北京时间）前递交投标文件。</w:t>
      </w:r>
    </w:p>
    <w:p>
      <w:pPr>
        <w:spacing w:line="400" w:lineRule="exact"/>
        <w:ind w:firstLine="200"/>
        <w:rPr>
          <w:rFonts w:asciiTheme="minorEastAsia" w:hAnsiTheme="minorEastAsia" w:eastAsiaTheme="minorEastAsia"/>
          <w:szCs w:val="21"/>
        </w:rPr>
      </w:pPr>
    </w:p>
    <w:p>
      <w:pPr>
        <w:pStyle w:val="3"/>
        <w:spacing w:before="0" w:after="0" w:line="400" w:lineRule="exact"/>
        <w:ind w:firstLine="200"/>
        <w:rPr>
          <w:rFonts w:asciiTheme="minorEastAsia" w:hAnsiTheme="minorEastAsia"/>
          <w:bCs w:val="0"/>
          <w:szCs w:val="21"/>
        </w:rPr>
      </w:pPr>
      <w:bookmarkStart w:id="26" w:name="_Toc35393790"/>
      <w:bookmarkStart w:id="27" w:name="_Toc50993381"/>
      <w:bookmarkStart w:id="28" w:name="_Toc35393621"/>
      <w:bookmarkStart w:id="29" w:name="_Toc28359002"/>
      <w:bookmarkStart w:id="30" w:name="_Toc28359079"/>
      <w:bookmarkStart w:id="31" w:name="_Hlk24379207"/>
      <w:r>
        <w:rPr>
          <w:rFonts w:hint="eastAsia" w:cs="黑体" w:asciiTheme="minorEastAsia" w:hAnsiTheme="minorEastAsia"/>
          <w:bCs w:val="0"/>
          <w:szCs w:val="21"/>
        </w:rPr>
        <w:t>一、项目基本情况</w:t>
      </w:r>
      <w:bookmarkEnd w:id="26"/>
      <w:bookmarkEnd w:id="27"/>
      <w:bookmarkEnd w:id="28"/>
      <w:bookmarkEnd w:id="29"/>
      <w:bookmarkEnd w:id="30"/>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项目编号：</w:t>
      </w:r>
      <w:r>
        <w:rPr>
          <w:rFonts w:cs="仿宋" w:asciiTheme="minorEastAsia" w:hAnsiTheme="minorEastAsia" w:eastAsiaTheme="minorEastAsia"/>
          <w:szCs w:val="21"/>
        </w:rPr>
        <w:t>GGZC2020-G3-02460-GXZD</w:t>
      </w:r>
    </w:p>
    <w:p>
      <w:pPr>
        <w:spacing w:line="400" w:lineRule="exact"/>
        <w:ind w:firstLine="420" w:firstLineChars="200"/>
        <w:rPr>
          <w:rFonts w:asciiTheme="minorEastAsia" w:hAnsiTheme="minorEastAsia" w:eastAsiaTheme="minorEastAsia"/>
          <w:szCs w:val="21"/>
        </w:rPr>
      </w:pPr>
      <w:r>
        <w:rPr>
          <w:rFonts w:hint="eastAsia" w:cs="仿宋" w:asciiTheme="minorEastAsia" w:hAnsiTheme="minorEastAsia" w:eastAsiaTheme="minorEastAsia"/>
          <w:iCs/>
          <w:szCs w:val="21"/>
        </w:rPr>
        <w:t>采购计划备案文号：GGZC[2020]2460号-001</w:t>
      </w:r>
    </w:p>
    <w:p>
      <w:pPr>
        <w:spacing w:line="400" w:lineRule="exact"/>
        <w:ind w:firstLine="420" w:firstLineChars="200"/>
        <w:rPr>
          <w:rFonts w:asciiTheme="minorEastAsia" w:hAnsiTheme="minorEastAsia" w:eastAsiaTheme="minorEastAsia"/>
          <w:szCs w:val="21"/>
        </w:rPr>
      </w:pPr>
      <w:r>
        <w:rPr>
          <w:rFonts w:hint="eastAsia" w:cs="仿宋" w:asciiTheme="minorEastAsia" w:hAnsiTheme="minorEastAsia" w:eastAsiaTheme="minorEastAsia"/>
          <w:szCs w:val="21"/>
        </w:rPr>
        <w:t>项目名称：贵港市产业园（粤桂园）给水厂和污水处理厂供排一体化PPP项目</w:t>
      </w:r>
    </w:p>
    <w:bookmarkEnd w:id="31"/>
    <w:p>
      <w:pPr>
        <w:spacing w:line="400" w:lineRule="exact"/>
        <w:ind w:firstLine="420" w:firstLineChars="200"/>
        <w:rPr>
          <w:rFonts w:asciiTheme="minorEastAsia" w:hAnsiTheme="minorEastAsia" w:eastAsiaTheme="minorEastAsia"/>
          <w:szCs w:val="21"/>
        </w:rPr>
      </w:pPr>
      <w:r>
        <w:rPr>
          <w:rFonts w:hint="eastAsia" w:cs="仿宋" w:asciiTheme="minorEastAsia" w:hAnsiTheme="minorEastAsia" w:eastAsiaTheme="minorEastAsia"/>
          <w:szCs w:val="21"/>
        </w:rPr>
        <w:t>预算金额：人民币叁亿伍仟柒佰肆拾叁万零陆佰元整（¥357430600.00元）</w:t>
      </w:r>
    </w:p>
    <w:p>
      <w:pPr>
        <w:spacing w:line="400" w:lineRule="exact"/>
        <w:ind w:firstLine="420" w:firstLineChars="200"/>
        <w:rPr>
          <w:rFonts w:asciiTheme="minorEastAsia" w:hAnsiTheme="minorEastAsia" w:eastAsiaTheme="minorEastAsia"/>
          <w:szCs w:val="21"/>
        </w:rPr>
      </w:pPr>
      <w:r>
        <w:rPr>
          <w:rFonts w:hint="eastAsia" w:cs="仿宋" w:asciiTheme="minorEastAsia" w:hAnsiTheme="minorEastAsia" w:eastAsiaTheme="minorEastAsia"/>
          <w:szCs w:val="21"/>
        </w:rPr>
        <w:t>最高限价（如有）：无。</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采购需求：</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项目概况：拟采购社会资本方，合作期限20年（含建设1年）。由贵港市人民政府指定政府出资方与中选社会资本方共同成立项目公司，由政府出资方代表与中选的社会资本方按10%：90%出资共同在广西贵港市成立项目公司，项目公司在授权范围内承担贵港市产业园（粤桂园）给水厂和污水处理厂供排一体化PPP项目的设计、融资、投资、建设、运营、维护及移交等职责。</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项目规模：新建给水厂1座，近期（2025年）供水规模5.35万m3/d（其中工业供水5万m3/d，生活饮用水供水0.35万m3/d），主体工艺为地表水取水+混凝+沉淀+过滤+消毒+送水加压工艺。新建污水处理厂1座，近期（2025年）处理规模2万m3/d，主体工艺为A/O+填料工艺，执行《城镇污水处理厂污染物排放标准》（GB18918-2002）中一级A排放标准。</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2、项目公司股权结构设计</w:t>
      </w:r>
    </w:p>
    <w:p>
      <w:pPr>
        <w:wordWrap w:val="0"/>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项目公司在贵港市注册，其中政府方持股比例为10%，社会资本方持股比例为90%。</w:t>
      </w:r>
    </w:p>
    <w:p>
      <w:pPr>
        <w:wordWrap w:val="0"/>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3、项目总投资估算为本项目总投资35743.06万元，其中第一部分工程费用27697.73万元，第二部分其他费用4647.29万元，预备费2587.60万元，建设期贷款利息810.44万元。</w:t>
      </w:r>
    </w:p>
    <w:p>
      <w:pPr>
        <w:wordWrap w:val="0"/>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本项目总投资为35743.06万元。根据《国务院关于加强固定资产投资项目资本金管理的通知》（国发〔2019〕26号）中规定：“适当调整基础设施项目最低资本金比例：其他基础设施项目维持20%不变。其中，公路（含政府收费公路）、铁路、城建、物流、生态环保、社会民生等领域的补短板基础设施项目，在投资回报机制明确、收益可靠、风险可控的前提下，可以适当降低项目最低资本金比例，但下调不得超过5个百分点。”)规定，确定资本金比例为15%。取整后，项目资本金为5500万元（资本金比例15.39%），即为5500万元，其中政府方按10%的股权比例，社会资本方按90%的股权比例。除资本金之外，项目所需的其他资金30243.06万元由中标社会资本通过银行贷款、股东借款、基金、信托等方式融资。</w:t>
      </w:r>
    </w:p>
    <w:p>
      <w:pPr>
        <w:wordWrap w:val="0"/>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合作范围：由项目公司负责（1）本项目的投融资、设计、建设；（2）建设完成后对项目资产进行运营和维护管理；（3）合作期满后，将项目所有资产及相关权益无偿移交给政府方或其指定的机构；政府方负责对该项目实施监管并进行项目评估。</w:t>
      </w:r>
    </w:p>
    <w:p>
      <w:pPr>
        <w:wordWrap w:val="0"/>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5、政府和社会资本合作模式的运作方式：采用建设-运营-移交（Build-Operate-Transfer，BOT）的方式实施。</w:t>
      </w:r>
    </w:p>
    <w:p>
      <w:pPr>
        <w:wordWrap w:val="0"/>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6、回报机制：本项目的回报机制为使用者付费和可行性缺口补助。</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合同履行期限：20年。</w:t>
      </w:r>
    </w:p>
    <w:p>
      <w:pPr>
        <w:spacing w:line="400" w:lineRule="exact"/>
        <w:ind w:firstLine="420" w:firstLineChars="200"/>
        <w:rPr>
          <w:rFonts w:asciiTheme="minorEastAsia" w:hAnsiTheme="minorEastAsia" w:eastAsiaTheme="minorEastAsia"/>
          <w:szCs w:val="21"/>
        </w:rPr>
      </w:pPr>
      <w:r>
        <w:rPr>
          <w:rFonts w:hint="eastAsia" w:cs="仿宋" w:asciiTheme="minorEastAsia" w:hAnsiTheme="minorEastAsia" w:eastAsiaTheme="minorEastAsia"/>
          <w:szCs w:val="21"/>
        </w:rPr>
        <w:t>本项目接受联合体投标。</w:t>
      </w:r>
    </w:p>
    <w:p>
      <w:pPr>
        <w:pStyle w:val="3"/>
        <w:spacing w:before="0" w:after="0" w:line="400" w:lineRule="exact"/>
        <w:ind w:firstLine="200"/>
        <w:rPr>
          <w:rFonts w:asciiTheme="minorEastAsia" w:hAnsiTheme="minorEastAsia"/>
          <w:bCs w:val="0"/>
          <w:szCs w:val="21"/>
        </w:rPr>
      </w:pPr>
      <w:bookmarkStart w:id="32" w:name="_Toc35393791"/>
      <w:bookmarkStart w:id="33" w:name="_Toc35393622"/>
      <w:bookmarkStart w:id="34" w:name="_Toc28359003"/>
      <w:bookmarkStart w:id="35" w:name="_Toc50993382"/>
      <w:bookmarkStart w:id="36" w:name="_Toc28359080"/>
      <w:r>
        <w:rPr>
          <w:rFonts w:hint="eastAsia" w:cs="黑体" w:asciiTheme="minorEastAsia" w:hAnsiTheme="minorEastAsia"/>
          <w:bCs w:val="0"/>
          <w:szCs w:val="21"/>
        </w:rPr>
        <w:t>二、申请人的资格要求</w:t>
      </w:r>
      <w:bookmarkEnd w:id="32"/>
      <w:bookmarkEnd w:id="33"/>
      <w:bookmarkEnd w:id="34"/>
      <w:bookmarkEnd w:id="35"/>
      <w:bookmarkEnd w:id="36"/>
    </w:p>
    <w:p>
      <w:pPr>
        <w:spacing w:line="400" w:lineRule="exact"/>
        <w:ind w:firstLine="420" w:firstLineChars="200"/>
        <w:rPr>
          <w:rFonts w:cs="仿宋" w:asciiTheme="minorEastAsia" w:hAnsiTheme="minorEastAsia" w:eastAsiaTheme="minorEastAsia"/>
          <w:szCs w:val="21"/>
        </w:rPr>
      </w:pPr>
      <w:bookmarkStart w:id="37" w:name="_Toc28359081"/>
      <w:bookmarkStart w:id="38" w:name="_Toc28359004"/>
      <w:r>
        <w:rPr>
          <w:rFonts w:hint="eastAsia" w:cs="仿宋" w:asciiTheme="minorEastAsia" w:hAnsiTheme="minorEastAsia" w:eastAsiaTheme="minorEastAsia"/>
          <w:szCs w:val="21"/>
        </w:rPr>
        <w:t>（一）满足《中华人民共和国政府采购法》第二十二条规定；</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（二）落实政府采购政策需满足的资格要求：如属于专门面向中小企业采购的项目，供应商应为中小微企业、监狱企业、残疾人福利性单位。</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（三）本项目的特定资格要求：</w:t>
      </w:r>
    </w:p>
    <w:p>
      <w:pPr>
        <w:spacing w:line="400" w:lineRule="exact"/>
        <w:ind w:firstLine="420" w:firstLineChars="200"/>
        <w:rPr>
          <w:rFonts w:cs="仿宋" w:asciiTheme="minorEastAsia" w:hAnsiTheme="minorEastAsia" w:eastAsiaTheme="minorEastAsia"/>
          <w:iCs/>
          <w:szCs w:val="21"/>
          <w:u w:val="single"/>
        </w:rPr>
      </w:pPr>
      <w:r>
        <w:rPr>
          <w:rFonts w:hint="eastAsia" w:cs="仿宋" w:asciiTheme="minorEastAsia" w:hAnsiTheme="minorEastAsia" w:eastAsiaTheme="minorEastAsia"/>
          <w:szCs w:val="21"/>
        </w:rPr>
        <w:t>本项目于2020年7月14日公开发布贵港市产业园（粤桂园）给水厂和污水处理厂供排一体化PPP项目社会资本方公开招标（PPP模式）的《资格预审公告》，并于2020年8月5日对投标人进行资格审查工作。于2020年8月 日发布了资格预审结果公告，通过资格预审的申请人为合格投标人。现邀请合格投标人参与本次公开招标采购（PPP模式）活动，不接受未通过资格预审的投标人参加本次公开招标采购活动。</w:t>
      </w:r>
    </w:p>
    <w:p>
      <w:pPr>
        <w:pStyle w:val="3"/>
        <w:spacing w:before="0" w:after="0" w:line="400" w:lineRule="exact"/>
        <w:ind w:firstLine="200"/>
        <w:rPr>
          <w:rFonts w:asciiTheme="minorEastAsia" w:hAnsiTheme="minorEastAsia"/>
          <w:bCs w:val="0"/>
          <w:szCs w:val="21"/>
        </w:rPr>
      </w:pPr>
      <w:bookmarkStart w:id="39" w:name="_Toc50993383"/>
      <w:bookmarkStart w:id="40" w:name="_Toc35393623"/>
      <w:bookmarkStart w:id="41" w:name="_Toc35393792"/>
      <w:r>
        <w:rPr>
          <w:rFonts w:hint="eastAsia" w:cs="黑体" w:asciiTheme="minorEastAsia" w:hAnsiTheme="minorEastAsia"/>
          <w:bCs w:val="0"/>
          <w:szCs w:val="21"/>
        </w:rPr>
        <w:t>三、获取招标文件</w:t>
      </w:r>
      <w:bookmarkEnd w:id="37"/>
      <w:bookmarkEnd w:id="38"/>
      <w:bookmarkEnd w:id="39"/>
      <w:bookmarkEnd w:id="40"/>
      <w:bookmarkEnd w:id="41"/>
    </w:p>
    <w:p>
      <w:pPr>
        <w:spacing w:line="400" w:lineRule="exact"/>
        <w:ind w:firstLine="200"/>
        <w:rPr>
          <w:rFonts w:asciiTheme="minorEastAsia" w:hAnsiTheme="minorEastAsia" w:eastAsiaTheme="minorEastAsia"/>
          <w:szCs w:val="21"/>
        </w:rPr>
      </w:pPr>
      <w:r>
        <w:rPr>
          <w:rFonts w:hint="eastAsia" w:cs="仿宋" w:asciiTheme="minorEastAsia" w:hAnsiTheme="minorEastAsia" w:eastAsiaTheme="minorEastAsia"/>
          <w:szCs w:val="21"/>
        </w:rPr>
        <w:t>时间：</w:t>
      </w:r>
      <w:r>
        <w:rPr>
          <w:rFonts w:hint="eastAsia" w:cs="仿宋" w:asciiTheme="minorEastAsia" w:hAnsiTheme="minorEastAsia" w:eastAsiaTheme="minorEastAsia"/>
          <w:szCs w:val="21"/>
          <w:u w:val="single"/>
        </w:rPr>
        <w:t>2020年9月18日</w:t>
      </w:r>
      <w:r>
        <w:rPr>
          <w:rFonts w:hint="eastAsia" w:cs="仿宋" w:asciiTheme="minorEastAsia" w:hAnsiTheme="minorEastAsia" w:eastAsiaTheme="minorEastAsia"/>
          <w:szCs w:val="21"/>
        </w:rPr>
        <w:t>至</w:t>
      </w:r>
      <w:r>
        <w:rPr>
          <w:rFonts w:hint="eastAsia" w:cs="仿宋" w:asciiTheme="minorEastAsia" w:hAnsiTheme="minorEastAsia" w:eastAsiaTheme="minorEastAsia"/>
          <w:szCs w:val="21"/>
          <w:u w:val="single"/>
        </w:rPr>
        <w:t>2020年10月12日（投标截止时间前）</w:t>
      </w:r>
    </w:p>
    <w:p>
      <w:pPr>
        <w:spacing w:line="400" w:lineRule="exact"/>
        <w:ind w:firstLine="200"/>
        <w:rPr>
          <w:rFonts w:cs="仿宋" w:asciiTheme="minorEastAsia" w:hAnsiTheme="minorEastAsia" w:eastAsiaTheme="minorEastAsia"/>
          <w:szCs w:val="21"/>
        </w:rPr>
      </w:pPr>
      <w:r>
        <w:rPr>
          <w:rFonts w:hint="eastAsia" w:cs="仿宋" w:asciiTheme="minorEastAsia" w:hAnsiTheme="minorEastAsia" w:eastAsiaTheme="minorEastAsia"/>
          <w:szCs w:val="21"/>
        </w:rPr>
        <w:t>地点：http://zfcg.czj.gxgg.gov.cn（贵港市政府采购网）；</w:t>
      </w:r>
    </w:p>
    <w:p>
      <w:pPr>
        <w:spacing w:line="400" w:lineRule="exact"/>
        <w:ind w:firstLine="200"/>
        <w:rPr>
          <w:rFonts w:cs="仿宋" w:asciiTheme="minorEastAsia" w:hAnsiTheme="minorEastAsia" w:eastAsiaTheme="minorEastAsia"/>
          <w:szCs w:val="21"/>
        </w:rPr>
      </w:pPr>
      <w:r>
        <w:rPr>
          <w:rFonts w:hint="eastAsia" w:cs="仿宋" w:asciiTheme="minorEastAsia" w:hAnsiTheme="minorEastAsia" w:eastAsiaTheme="minorEastAsia"/>
          <w:szCs w:val="21"/>
        </w:rPr>
        <w:t>方式：供应商通过贵港市政府采购网“供应商注册入口”完成账号注册后，登录政采云平台“项目采购—获取采购文件”模块自行下载采购文件；潜在投标人在截标现场签到报名，便认定为本项目的报名人。投标人在签到后即可递交投标文件。</w:t>
      </w:r>
    </w:p>
    <w:p>
      <w:pPr>
        <w:spacing w:line="400" w:lineRule="exact"/>
        <w:ind w:firstLine="200"/>
        <w:rPr>
          <w:rFonts w:asciiTheme="minorEastAsia" w:hAnsiTheme="minorEastAsia" w:eastAsiaTheme="minorEastAsia"/>
          <w:szCs w:val="21"/>
        </w:rPr>
      </w:pPr>
      <w:r>
        <w:rPr>
          <w:rFonts w:hint="eastAsia" w:cs="仿宋" w:asciiTheme="minorEastAsia" w:hAnsiTheme="minorEastAsia" w:eastAsiaTheme="minorEastAsia"/>
          <w:szCs w:val="21"/>
        </w:rPr>
        <w:t>售价：每本0元。</w:t>
      </w:r>
    </w:p>
    <w:p>
      <w:pPr>
        <w:pStyle w:val="3"/>
        <w:spacing w:before="0" w:after="0" w:line="400" w:lineRule="exact"/>
        <w:ind w:firstLine="200"/>
        <w:rPr>
          <w:rFonts w:asciiTheme="minorEastAsia" w:hAnsiTheme="minorEastAsia"/>
          <w:bCs w:val="0"/>
          <w:szCs w:val="21"/>
        </w:rPr>
      </w:pPr>
      <w:bookmarkStart w:id="42" w:name="_Toc28359005"/>
      <w:bookmarkStart w:id="43" w:name="_Toc28359082"/>
      <w:bookmarkStart w:id="44" w:name="_Toc50993384"/>
      <w:bookmarkStart w:id="45" w:name="_Toc35393793"/>
      <w:bookmarkStart w:id="46" w:name="_Toc35393624"/>
      <w:r>
        <w:rPr>
          <w:rFonts w:hint="eastAsia" w:cs="黑体" w:asciiTheme="minorEastAsia" w:hAnsiTheme="minorEastAsia"/>
          <w:bCs w:val="0"/>
          <w:szCs w:val="21"/>
        </w:rPr>
        <w:t>四、提交投标文件</w:t>
      </w:r>
      <w:bookmarkEnd w:id="42"/>
      <w:bookmarkEnd w:id="43"/>
      <w:r>
        <w:rPr>
          <w:rFonts w:hint="eastAsia" w:cs="黑体" w:asciiTheme="minorEastAsia" w:hAnsiTheme="minorEastAsia"/>
          <w:bCs w:val="0"/>
          <w:szCs w:val="21"/>
        </w:rPr>
        <w:t>截止时间、开标时间和地点</w:t>
      </w:r>
      <w:bookmarkEnd w:id="44"/>
      <w:bookmarkEnd w:id="45"/>
      <w:bookmarkEnd w:id="46"/>
    </w:p>
    <w:p>
      <w:pPr>
        <w:spacing w:line="400" w:lineRule="exact"/>
        <w:ind w:firstLine="420" w:firstLineChars="200"/>
        <w:rPr>
          <w:rFonts w:asciiTheme="minorEastAsia" w:hAnsiTheme="minorEastAsia" w:eastAsiaTheme="minorEastAsia"/>
          <w:szCs w:val="21"/>
          <w:u w:val="single"/>
        </w:rPr>
      </w:pPr>
      <w:r>
        <w:rPr>
          <w:rFonts w:hint="eastAsia" w:cs="仿宋" w:asciiTheme="minorEastAsia" w:hAnsiTheme="minorEastAsia" w:eastAsiaTheme="minorEastAsia"/>
          <w:szCs w:val="21"/>
          <w:u w:val="single"/>
        </w:rPr>
        <w:t>2020年10月12日9时00分</w:t>
      </w:r>
      <w:r>
        <w:rPr>
          <w:rFonts w:hint="eastAsia" w:cs="仿宋" w:asciiTheme="minorEastAsia" w:hAnsiTheme="minorEastAsia" w:eastAsiaTheme="minorEastAsia"/>
          <w:szCs w:val="21"/>
        </w:rPr>
        <w:t>（北京时间）</w:t>
      </w:r>
    </w:p>
    <w:p>
      <w:pPr>
        <w:spacing w:line="400" w:lineRule="exact"/>
        <w:ind w:firstLine="420" w:firstLineChars="200"/>
        <w:rPr>
          <w:rFonts w:asciiTheme="minorEastAsia" w:hAnsiTheme="minorEastAsia" w:eastAsiaTheme="minorEastAsia"/>
          <w:szCs w:val="21"/>
          <w:u w:val="single"/>
        </w:rPr>
      </w:pPr>
      <w:r>
        <w:rPr>
          <w:rFonts w:hint="eastAsia" w:cs="仿宋" w:asciiTheme="minorEastAsia" w:hAnsiTheme="minorEastAsia" w:eastAsiaTheme="minorEastAsia"/>
          <w:szCs w:val="21"/>
        </w:rPr>
        <w:t>地点：贵港市公共资源交易中心二楼交易厅（贵港市港北区金城商业步行街与金田路交叉口东南150米水利大厦）</w:t>
      </w:r>
    </w:p>
    <w:p>
      <w:pPr>
        <w:pStyle w:val="3"/>
        <w:spacing w:before="0" w:after="0" w:line="400" w:lineRule="exact"/>
        <w:ind w:firstLine="200"/>
        <w:rPr>
          <w:rFonts w:asciiTheme="minorEastAsia" w:hAnsiTheme="minorEastAsia"/>
          <w:bCs w:val="0"/>
          <w:szCs w:val="21"/>
        </w:rPr>
      </w:pPr>
      <w:bookmarkStart w:id="47" w:name="_Toc28359084"/>
      <w:bookmarkStart w:id="48" w:name="_Toc35393625"/>
      <w:bookmarkStart w:id="49" w:name="_Toc35393794"/>
      <w:bookmarkStart w:id="50" w:name="_Toc28359007"/>
      <w:bookmarkStart w:id="51" w:name="_Toc50993385"/>
      <w:r>
        <w:rPr>
          <w:rFonts w:hint="eastAsia" w:cs="黑体" w:asciiTheme="minorEastAsia" w:hAnsiTheme="minorEastAsia"/>
          <w:bCs w:val="0"/>
          <w:szCs w:val="21"/>
        </w:rPr>
        <w:t>五、公告期限</w:t>
      </w:r>
      <w:bookmarkEnd w:id="47"/>
      <w:bookmarkEnd w:id="48"/>
      <w:bookmarkEnd w:id="49"/>
      <w:bookmarkEnd w:id="50"/>
      <w:bookmarkEnd w:id="51"/>
    </w:p>
    <w:p>
      <w:pPr>
        <w:spacing w:line="400" w:lineRule="exact"/>
        <w:ind w:firstLine="420" w:firstLineChars="200"/>
        <w:rPr>
          <w:rFonts w:asciiTheme="minorEastAsia" w:hAnsiTheme="minorEastAsia" w:eastAsiaTheme="minorEastAsia"/>
          <w:szCs w:val="21"/>
        </w:rPr>
      </w:pPr>
      <w:r>
        <w:rPr>
          <w:rFonts w:hint="eastAsia" w:cs="仿宋" w:asciiTheme="minorEastAsia" w:hAnsiTheme="minorEastAsia" w:eastAsiaTheme="minorEastAsia"/>
          <w:szCs w:val="21"/>
        </w:rPr>
        <w:t>自本公告发布之日起</w:t>
      </w:r>
      <w:r>
        <w:rPr>
          <w:rFonts w:cs="仿宋" w:asciiTheme="minorEastAsia" w:hAnsiTheme="minorEastAsia" w:eastAsiaTheme="minorEastAsia"/>
          <w:szCs w:val="21"/>
        </w:rPr>
        <w:t>5</w:t>
      </w:r>
      <w:r>
        <w:rPr>
          <w:rFonts w:hint="eastAsia" w:cs="仿宋" w:asciiTheme="minorEastAsia" w:hAnsiTheme="minorEastAsia" w:eastAsiaTheme="minorEastAsia"/>
          <w:szCs w:val="21"/>
        </w:rPr>
        <w:t>个工作日。</w:t>
      </w:r>
    </w:p>
    <w:p>
      <w:pPr>
        <w:pStyle w:val="3"/>
        <w:spacing w:before="0" w:after="0" w:line="400" w:lineRule="exact"/>
        <w:ind w:firstLine="200"/>
        <w:rPr>
          <w:rFonts w:asciiTheme="minorEastAsia" w:hAnsiTheme="minorEastAsia"/>
          <w:bCs w:val="0"/>
          <w:szCs w:val="21"/>
        </w:rPr>
      </w:pPr>
      <w:bookmarkStart w:id="52" w:name="_Toc35393626"/>
      <w:bookmarkStart w:id="53" w:name="_Toc35393795"/>
      <w:bookmarkStart w:id="54" w:name="_Toc50993386"/>
      <w:r>
        <w:rPr>
          <w:rFonts w:hint="eastAsia" w:cs="黑体" w:asciiTheme="minorEastAsia" w:hAnsiTheme="minorEastAsia"/>
          <w:bCs w:val="0"/>
          <w:szCs w:val="21"/>
        </w:rPr>
        <w:t>六、其他补充事宜</w:t>
      </w:r>
      <w:bookmarkEnd w:id="52"/>
      <w:bookmarkEnd w:id="53"/>
      <w:bookmarkEnd w:id="54"/>
    </w:p>
    <w:p>
      <w:pPr>
        <w:pStyle w:val="521"/>
        <w:spacing w:line="400" w:lineRule="exact"/>
        <w:rPr>
          <w:rFonts w:asciiTheme="minorEastAsia" w:hAnsiTheme="minorEastAsia" w:eastAsiaTheme="minorEastAsia"/>
          <w:szCs w:val="21"/>
        </w:rPr>
      </w:pPr>
      <w:r>
        <w:rPr>
          <w:rFonts w:hint="eastAsia" w:asciiTheme="minorEastAsia" w:hAnsiTheme="minorEastAsia" w:eastAsiaTheme="minorEastAsia"/>
          <w:szCs w:val="21"/>
        </w:rPr>
        <w:t>公告查询地址：</w:t>
      </w:r>
    </w:p>
    <w:p>
      <w:pPr>
        <w:pStyle w:val="521"/>
        <w:spacing w:line="400" w:lineRule="exact"/>
        <w:ind w:firstLine="200" w:firstLineChars="0"/>
        <w:rPr>
          <w:rFonts w:asciiTheme="minorEastAsia" w:hAnsiTheme="minorEastAsia" w:eastAsiaTheme="minorEastAsia"/>
          <w:szCs w:val="21"/>
        </w:rPr>
      </w:pPr>
      <w:r>
        <w:rPr>
          <w:rFonts w:hint="eastAsia" w:asciiTheme="minorEastAsia" w:hAnsiTheme="minorEastAsia" w:eastAsiaTheme="minorEastAsia"/>
          <w:szCs w:val="21"/>
        </w:rPr>
        <w:t>http://www.ccgp.gov.cn（中国政府采购网）、http://www.gxzfcg.gov.cn（广西壮族自治区政府采购网）、http://ggggjy.gxgg.gov.cn:9005/（贵港市公共资源交易中心网）、</w:t>
      </w:r>
      <w:r>
        <w:fldChar w:fldCharType="begin"/>
      </w:r>
      <w:r>
        <w:instrText xml:space="preserve"> HYPERLINK "http://zfcg.czj.gxgg.gov.cn/（贵港市政府采购网" </w:instrText>
      </w:r>
      <w:r>
        <w:fldChar w:fldCharType="separate"/>
      </w:r>
      <w:r>
        <w:rPr>
          <w:rStyle w:val="73"/>
          <w:rFonts w:hint="eastAsia" w:asciiTheme="minorEastAsia" w:hAnsiTheme="minorEastAsia" w:eastAsiaTheme="minorEastAsia"/>
          <w:color w:val="auto"/>
          <w:szCs w:val="21"/>
          <w:u w:val="none"/>
        </w:rPr>
        <w:t>http://zfcg.czj.gxgg.gov.cn/（贵港市政府采购网</w:t>
      </w:r>
      <w:r>
        <w:rPr>
          <w:rStyle w:val="73"/>
          <w:rFonts w:hint="eastAsia" w:asciiTheme="minorEastAsia" w:hAnsiTheme="minorEastAsia" w:eastAsiaTheme="minorEastAsia"/>
          <w:color w:val="auto"/>
          <w:szCs w:val="21"/>
          <w:u w:val="none"/>
        </w:rPr>
        <w:fldChar w:fldCharType="end"/>
      </w:r>
      <w:r>
        <w:rPr>
          <w:rFonts w:hint="eastAsia" w:asciiTheme="minorEastAsia" w:hAnsiTheme="minorEastAsia" w:eastAsiaTheme="minorEastAsia"/>
          <w:szCs w:val="21"/>
        </w:rPr>
        <w:t>）。</w:t>
      </w:r>
    </w:p>
    <w:p>
      <w:pPr>
        <w:pStyle w:val="3"/>
        <w:spacing w:before="0" w:after="0" w:line="400" w:lineRule="exact"/>
        <w:ind w:firstLine="200"/>
        <w:rPr>
          <w:rFonts w:asciiTheme="minorEastAsia" w:hAnsiTheme="minorEastAsia"/>
          <w:bCs w:val="0"/>
          <w:szCs w:val="21"/>
        </w:rPr>
      </w:pPr>
      <w:bookmarkStart w:id="55" w:name="_Toc50993387"/>
      <w:bookmarkStart w:id="56" w:name="_Toc28359008"/>
      <w:bookmarkStart w:id="57" w:name="_Toc28359085"/>
      <w:bookmarkStart w:id="58" w:name="_Toc35393796"/>
      <w:bookmarkStart w:id="59" w:name="_Toc35393627"/>
      <w:r>
        <w:rPr>
          <w:rFonts w:hint="eastAsia" w:cs="黑体" w:asciiTheme="minorEastAsia" w:hAnsiTheme="minorEastAsia"/>
          <w:bCs w:val="0"/>
          <w:szCs w:val="21"/>
        </w:rPr>
        <w:t>七、对本次招标提出询问，请按以下方式联系</w:t>
      </w:r>
      <w:bookmarkEnd w:id="55"/>
      <w:bookmarkEnd w:id="56"/>
      <w:bookmarkEnd w:id="57"/>
      <w:bookmarkEnd w:id="58"/>
      <w:bookmarkEnd w:id="59"/>
    </w:p>
    <w:p>
      <w:pPr>
        <w:spacing w:line="500" w:lineRule="exact"/>
        <w:ind w:firstLine="420" w:firstLineChars="200"/>
        <w:rPr>
          <w:rFonts w:asciiTheme="minorEastAsia" w:hAnsiTheme="minorEastAsia" w:eastAsiaTheme="minorEastAsia"/>
        </w:rPr>
      </w:pPr>
      <w:bookmarkStart w:id="60" w:name="_Toc28358998"/>
      <w:bookmarkStart w:id="61" w:name="_Toc28359075"/>
      <w:bookmarkStart w:id="62" w:name="_Toc35393617"/>
      <w:bookmarkStart w:id="63" w:name="_Toc35393786"/>
      <w:r>
        <w:rPr>
          <w:rFonts w:asciiTheme="minorEastAsia" w:hAnsiTheme="minorEastAsia" w:eastAsiaTheme="minorEastAsia"/>
        </w:rPr>
        <w:t>1.</w:t>
      </w:r>
      <w:r>
        <w:rPr>
          <w:rFonts w:hint="eastAsia" w:asciiTheme="minorEastAsia" w:hAnsiTheme="minorEastAsia" w:eastAsiaTheme="minorEastAsia"/>
        </w:rPr>
        <w:t>采购人信息</w:t>
      </w:r>
      <w:bookmarkEnd w:id="60"/>
      <w:bookmarkEnd w:id="61"/>
      <w:bookmarkEnd w:id="62"/>
      <w:bookmarkEnd w:id="63"/>
    </w:p>
    <w:p>
      <w:pPr>
        <w:spacing w:line="500" w:lineRule="exact"/>
        <w:ind w:firstLine="420" w:firstLineChars="200"/>
        <w:jc w:val="left"/>
        <w:rPr>
          <w:rFonts w:asciiTheme="minorEastAsia" w:hAnsiTheme="minorEastAsia" w:eastAsiaTheme="minorEastAsia"/>
          <w:szCs w:val="21"/>
        </w:rPr>
      </w:pPr>
      <w:r>
        <w:rPr>
          <w:rFonts w:hint="eastAsia" w:cs="仿宋" w:asciiTheme="minorEastAsia" w:hAnsiTheme="minorEastAsia" w:eastAsiaTheme="minorEastAsia"/>
          <w:szCs w:val="21"/>
        </w:rPr>
        <w:t>名</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称：</w:t>
      </w:r>
      <w:r>
        <w:rPr>
          <w:rFonts w:hint="eastAsia" w:cs="仿宋" w:asciiTheme="minorEastAsia" w:hAnsiTheme="minorEastAsia" w:eastAsiaTheme="minorEastAsia"/>
          <w:u w:val="single"/>
        </w:rPr>
        <w:t>贵港市产业园区管理委员会</w:t>
      </w:r>
    </w:p>
    <w:p>
      <w:pPr>
        <w:spacing w:line="500" w:lineRule="exact"/>
        <w:ind w:firstLine="420" w:firstLineChars="200"/>
        <w:jc w:val="left"/>
        <w:rPr>
          <w:rFonts w:asciiTheme="minorEastAsia" w:hAnsiTheme="minorEastAsia" w:eastAsiaTheme="minorEastAsia"/>
          <w:szCs w:val="21"/>
        </w:rPr>
      </w:pPr>
      <w:r>
        <w:rPr>
          <w:rFonts w:hint="eastAsia" w:cs="仿宋" w:asciiTheme="minorEastAsia" w:hAnsiTheme="minorEastAsia" w:eastAsiaTheme="minorEastAsia"/>
          <w:szCs w:val="21"/>
        </w:rPr>
        <w:t>地</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址：</w:t>
      </w:r>
      <w:r>
        <w:rPr>
          <w:rFonts w:hint="eastAsia" w:cs="仿宋" w:asciiTheme="minorEastAsia" w:hAnsiTheme="minorEastAsia" w:eastAsiaTheme="minorEastAsia"/>
          <w:u w:val="single"/>
        </w:rPr>
        <w:t>贵港市港北区金田路市交通运输大厦二楼</w:t>
      </w:r>
    </w:p>
    <w:p>
      <w:pPr>
        <w:spacing w:line="500" w:lineRule="exact"/>
        <w:ind w:firstLine="420" w:firstLineChars="200"/>
        <w:jc w:val="left"/>
        <w:rPr>
          <w:rFonts w:asciiTheme="minorEastAsia" w:hAnsiTheme="minorEastAsia" w:eastAsiaTheme="minorEastAsia"/>
          <w:szCs w:val="21"/>
        </w:rPr>
      </w:pPr>
      <w:r>
        <w:rPr>
          <w:rFonts w:hint="eastAsia" w:cs="仿宋" w:asciiTheme="minorEastAsia" w:hAnsiTheme="minorEastAsia" w:eastAsiaTheme="minorEastAsia"/>
          <w:szCs w:val="21"/>
        </w:rPr>
        <w:t>联系方式：</w:t>
      </w:r>
      <w:r>
        <w:rPr>
          <w:rFonts w:hint="eastAsia" w:cs="仿宋" w:asciiTheme="minorEastAsia" w:hAnsiTheme="minorEastAsia" w:eastAsiaTheme="minorEastAsia"/>
          <w:szCs w:val="21"/>
          <w:u w:val="single"/>
        </w:rPr>
        <w:t>刘兮翾，</w:t>
      </w:r>
      <w:r>
        <w:rPr>
          <w:rFonts w:cs="仿宋" w:asciiTheme="minorEastAsia" w:hAnsiTheme="minorEastAsia" w:eastAsiaTheme="minorEastAsia"/>
          <w:szCs w:val="21"/>
          <w:u w:val="single"/>
        </w:rPr>
        <w:t>0775-4565215</w:t>
      </w:r>
    </w:p>
    <w:p>
      <w:pPr>
        <w:spacing w:line="500" w:lineRule="exact"/>
        <w:ind w:firstLine="420" w:firstLineChars="200"/>
        <w:rPr>
          <w:rFonts w:asciiTheme="minorEastAsia" w:hAnsiTheme="minorEastAsia" w:eastAsiaTheme="minorEastAsia"/>
        </w:rPr>
      </w:pPr>
      <w:bookmarkStart w:id="64" w:name="_Toc28359076"/>
      <w:bookmarkStart w:id="65" w:name="_Toc35393787"/>
      <w:bookmarkStart w:id="66" w:name="_Toc28358999"/>
      <w:bookmarkStart w:id="67" w:name="_Toc35393618"/>
      <w:r>
        <w:rPr>
          <w:rFonts w:asciiTheme="minorEastAsia" w:hAnsiTheme="minorEastAsia" w:eastAsiaTheme="minorEastAsia"/>
        </w:rPr>
        <w:t>2.</w:t>
      </w:r>
      <w:r>
        <w:rPr>
          <w:rFonts w:hint="eastAsia" w:asciiTheme="minorEastAsia" w:hAnsiTheme="minorEastAsia" w:eastAsiaTheme="minorEastAsia"/>
        </w:rPr>
        <w:t>采购代理机构信息</w:t>
      </w:r>
      <w:bookmarkEnd w:id="64"/>
      <w:bookmarkEnd w:id="65"/>
      <w:bookmarkEnd w:id="66"/>
      <w:bookmarkEnd w:id="67"/>
    </w:p>
    <w:p>
      <w:pPr>
        <w:spacing w:line="500" w:lineRule="exact"/>
        <w:ind w:firstLine="420" w:firstLineChars="200"/>
        <w:rPr>
          <w:rFonts w:asciiTheme="minorEastAsia" w:hAnsiTheme="minorEastAsia" w:eastAsiaTheme="minorEastAsia"/>
          <w:szCs w:val="21"/>
        </w:rPr>
      </w:pPr>
      <w:r>
        <w:rPr>
          <w:rFonts w:hint="eastAsia" w:cs="仿宋" w:asciiTheme="minorEastAsia" w:hAnsiTheme="minorEastAsia" w:eastAsiaTheme="minorEastAsia"/>
          <w:szCs w:val="21"/>
        </w:rPr>
        <w:t>名</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称：</w:t>
      </w:r>
      <w:r>
        <w:rPr>
          <w:rFonts w:hint="eastAsia" w:cs="仿宋" w:asciiTheme="minorEastAsia" w:hAnsiTheme="minorEastAsia" w:eastAsiaTheme="minorEastAsia"/>
          <w:u w:val="single"/>
        </w:rPr>
        <w:t>广西众鼎建设工程咨询有限公司</w:t>
      </w:r>
    </w:p>
    <w:p>
      <w:pPr>
        <w:spacing w:line="500" w:lineRule="exact"/>
        <w:ind w:firstLine="420" w:firstLineChars="200"/>
        <w:rPr>
          <w:rFonts w:asciiTheme="minorEastAsia" w:hAnsiTheme="minorEastAsia" w:eastAsiaTheme="minorEastAsia"/>
          <w:szCs w:val="21"/>
        </w:rPr>
      </w:pPr>
      <w:r>
        <w:rPr>
          <w:rFonts w:hint="eastAsia" w:cs="仿宋" w:asciiTheme="minorEastAsia" w:hAnsiTheme="minorEastAsia" w:eastAsiaTheme="minorEastAsia"/>
          <w:szCs w:val="21"/>
        </w:rPr>
        <w:t>地　址：</w:t>
      </w:r>
      <w:r>
        <w:rPr>
          <w:rFonts w:hint="eastAsia" w:cs="仿宋" w:asciiTheme="minorEastAsia" w:hAnsiTheme="minorEastAsia" w:eastAsiaTheme="minorEastAsia"/>
          <w:u w:val="single"/>
        </w:rPr>
        <w:t>贵港市港北区民生路地产小区81号</w:t>
      </w:r>
    </w:p>
    <w:p>
      <w:pPr>
        <w:spacing w:line="500" w:lineRule="exact"/>
        <w:ind w:firstLine="420" w:firstLineChars="200"/>
        <w:rPr>
          <w:rFonts w:asciiTheme="minorEastAsia" w:hAnsiTheme="minorEastAsia" w:eastAsiaTheme="minorEastAsia"/>
          <w:szCs w:val="21"/>
          <w:u w:val="single"/>
        </w:rPr>
      </w:pPr>
      <w:r>
        <w:rPr>
          <w:rFonts w:hint="eastAsia" w:cs="仿宋" w:asciiTheme="minorEastAsia" w:hAnsiTheme="minorEastAsia" w:eastAsiaTheme="minorEastAsia"/>
          <w:szCs w:val="21"/>
        </w:rPr>
        <w:t>联系方式：</w:t>
      </w:r>
      <w:r>
        <w:rPr>
          <w:rFonts w:hint="eastAsia" w:cs="仿宋" w:asciiTheme="minorEastAsia" w:hAnsiTheme="minorEastAsia" w:eastAsiaTheme="minorEastAsia"/>
          <w:u w:val="single"/>
        </w:rPr>
        <w:t>孔彬蓓，0775-4364841</w:t>
      </w:r>
    </w:p>
    <w:p>
      <w:pPr>
        <w:spacing w:line="500" w:lineRule="exact"/>
        <w:ind w:firstLine="420" w:firstLineChars="200"/>
        <w:rPr>
          <w:rFonts w:asciiTheme="minorEastAsia" w:hAnsiTheme="minorEastAsia" w:eastAsiaTheme="minorEastAsia"/>
        </w:rPr>
      </w:pPr>
      <w:bookmarkStart w:id="68" w:name="_Toc28359077"/>
      <w:bookmarkStart w:id="69" w:name="_Toc35393619"/>
      <w:bookmarkStart w:id="70" w:name="_Toc35393788"/>
      <w:bookmarkStart w:id="71" w:name="_Toc28359000"/>
      <w:r>
        <w:rPr>
          <w:rFonts w:asciiTheme="minorEastAsia" w:hAnsiTheme="minorEastAsia" w:eastAsiaTheme="minorEastAsia"/>
        </w:rPr>
        <w:t>3.</w:t>
      </w:r>
      <w:r>
        <w:rPr>
          <w:rFonts w:hint="eastAsia" w:asciiTheme="minorEastAsia" w:hAnsiTheme="minorEastAsia" w:eastAsiaTheme="minorEastAsia"/>
        </w:rPr>
        <w:t>项目联系方式</w:t>
      </w:r>
      <w:bookmarkEnd w:id="68"/>
      <w:bookmarkEnd w:id="69"/>
      <w:bookmarkEnd w:id="70"/>
      <w:bookmarkEnd w:id="71"/>
    </w:p>
    <w:p>
      <w:pPr>
        <w:pStyle w:val="28"/>
        <w:spacing w:line="500" w:lineRule="exact"/>
        <w:ind w:firstLine="420" w:firstLineChars="200"/>
        <w:rPr>
          <w:rFonts w:asciiTheme="minorEastAsia" w:hAnsiTheme="minorEastAsia" w:eastAsiaTheme="minorEastAsia"/>
        </w:rPr>
      </w:pPr>
      <w:r>
        <w:rPr>
          <w:rFonts w:cs="仿宋" w:asciiTheme="minorEastAsia" w:hAnsiTheme="minorEastAsia" w:eastAsiaTheme="minorEastAsia"/>
        </w:rPr>
        <w:t>项目联系人：</w:t>
      </w:r>
      <w:r>
        <w:rPr>
          <w:rFonts w:cs="仿宋" w:asciiTheme="minorEastAsia" w:hAnsiTheme="minorEastAsia" w:eastAsiaTheme="minorEastAsia"/>
          <w:u w:val="single"/>
        </w:rPr>
        <w:t>孔彬蓓</w:t>
      </w:r>
    </w:p>
    <w:p>
      <w:pPr>
        <w:spacing w:line="500" w:lineRule="exact"/>
        <w:ind w:firstLine="420" w:firstLineChars="200"/>
        <w:rPr>
          <w:rFonts w:asciiTheme="minorEastAsia" w:hAnsiTheme="minorEastAsia" w:eastAsiaTheme="minorEastAsia"/>
          <w:szCs w:val="21"/>
          <w:u w:val="single"/>
        </w:rPr>
      </w:pPr>
      <w:r>
        <w:rPr>
          <w:rFonts w:hint="eastAsia" w:cs="仿宋" w:asciiTheme="minorEastAsia" w:hAnsiTheme="minorEastAsia" w:eastAsiaTheme="minorEastAsia"/>
          <w:szCs w:val="21"/>
        </w:rPr>
        <w:t>电　话：</w:t>
      </w:r>
      <w:r>
        <w:rPr>
          <w:rFonts w:hint="eastAsia" w:cs="仿宋" w:asciiTheme="minorEastAsia" w:hAnsiTheme="minorEastAsia" w:eastAsiaTheme="minorEastAsia"/>
          <w:u w:val="single"/>
        </w:rPr>
        <w:t xml:space="preserve"> 0775-4364841</w:t>
      </w:r>
    </w:p>
    <w:p>
      <w:pPr>
        <w:autoSpaceDE w:val="0"/>
        <w:autoSpaceDN w:val="0"/>
        <w:spacing w:line="500" w:lineRule="exact"/>
        <w:ind w:firstLine="4993" w:firstLineChars="2378"/>
        <w:jc w:val="left"/>
        <w:rPr>
          <w:rFonts w:cs="宋体" w:asciiTheme="minorEastAsia" w:hAnsiTheme="minorEastAsia" w:eastAsiaTheme="minorEastAsia"/>
          <w:szCs w:val="21"/>
          <w:shd w:val="clear" w:color="auto" w:fill="FFFFFF"/>
        </w:rPr>
      </w:pPr>
      <w:r>
        <w:rPr>
          <w:rFonts w:hint="eastAsia" w:asciiTheme="minorEastAsia" w:hAnsiTheme="minorEastAsia" w:eastAsiaTheme="minorEastAsia"/>
        </w:rPr>
        <w:t>2020年9月18日</w:t>
      </w:r>
    </w:p>
    <w:p>
      <w:pPr>
        <w:widowControl/>
        <w:jc w:val="left"/>
        <w:rPr>
          <w:rFonts w:cs="宋体" w:asciiTheme="minorEastAsia" w:hAnsiTheme="minorEastAsia" w:eastAsiaTheme="minorEastAsia"/>
          <w:b/>
          <w:sz w:val="32"/>
          <w:szCs w:val="32"/>
        </w:rPr>
      </w:pPr>
      <w:bookmarkStart w:id="72" w:name="_Toc16387"/>
      <w:bookmarkStart w:id="73" w:name="_Toc462955428"/>
      <w:bookmarkStart w:id="74" w:name="_Toc409958953"/>
      <w:bookmarkStart w:id="75" w:name="_Toc18181"/>
      <w:bookmarkStart w:id="76" w:name="_Toc409960347"/>
      <w:bookmarkStart w:id="77" w:name="_Toc7940"/>
      <w:bookmarkStart w:id="78" w:name="_Toc409957989"/>
      <w:bookmarkStart w:id="79" w:name="_Toc28524"/>
      <w:bookmarkStart w:id="80" w:name="_Toc435106771"/>
      <w:r>
        <w:rPr>
          <w:rFonts w:cs="宋体" w:asciiTheme="minorEastAsia" w:hAnsiTheme="minorEastAsia" w:eastAsiaTheme="minorEastAsia"/>
          <w:sz w:val="32"/>
        </w:rPr>
        <w:br w:type="page"/>
      </w:r>
    </w:p>
    <w:p>
      <w:pPr>
        <w:pStyle w:val="2"/>
        <w:ind w:left="0" w:leftChars="0" w:right="210" w:firstLine="0"/>
        <w:jc w:val="center"/>
        <w:rPr>
          <w:rFonts w:cs="宋体" w:asciiTheme="minorEastAsia" w:hAnsiTheme="minorEastAsia"/>
          <w:kern w:val="2"/>
          <w:sz w:val="32"/>
        </w:rPr>
      </w:pPr>
      <w:bookmarkStart w:id="81" w:name="_Toc50993388"/>
      <w:r>
        <w:rPr>
          <w:rFonts w:hint="eastAsia" w:cs="宋体" w:asciiTheme="minorEastAsia" w:hAnsiTheme="minorEastAsia"/>
          <w:kern w:val="2"/>
          <w:sz w:val="32"/>
        </w:rPr>
        <w:t>第二章  采购需求</w:t>
      </w:r>
      <w:bookmarkEnd w:id="72"/>
      <w:bookmarkEnd w:id="73"/>
      <w:bookmarkEnd w:id="74"/>
      <w:bookmarkEnd w:id="75"/>
      <w:bookmarkEnd w:id="76"/>
      <w:bookmarkEnd w:id="77"/>
      <w:bookmarkEnd w:id="78"/>
      <w:bookmarkEnd w:id="79"/>
      <w:bookmarkEnd w:id="80"/>
      <w:bookmarkEnd w:id="81"/>
    </w:p>
    <w:p>
      <w:pPr>
        <w:pStyle w:val="3"/>
        <w:rPr>
          <w:rFonts w:asciiTheme="minorEastAsia" w:hAnsiTheme="minorEastAsia"/>
          <w:sz w:val="28"/>
        </w:rPr>
      </w:pPr>
      <w:bookmarkStart w:id="82" w:name="_Toc18788"/>
      <w:bookmarkStart w:id="83" w:name="_Toc435106772"/>
      <w:bookmarkStart w:id="84" w:name="_Toc27971"/>
      <w:bookmarkStart w:id="85" w:name="_Toc462955429"/>
      <w:bookmarkStart w:id="86" w:name="_Toc50993389"/>
      <w:bookmarkStart w:id="87" w:name="_Toc435106775"/>
      <w:bookmarkStart w:id="88" w:name="_Toc32312"/>
      <w:r>
        <w:rPr>
          <w:rFonts w:hint="eastAsia" w:asciiTheme="minorEastAsia" w:hAnsiTheme="minorEastAsia"/>
          <w:sz w:val="28"/>
        </w:rPr>
        <w:t>一、项目</w:t>
      </w:r>
      <w:bookmarkEnd w:id="82"/>
      <w:bookmarkEnd w:id="83"/>
      <w:bookmarkEnd w:id="84"/>
      <w:bookmarkEnd w:id="85"/>
      <w:r>
        <w:rPr>
          <w:rFonts w:hint="eastAsia" w:asciiTheme="minorEastAsia" w:hAnsiTheme="minorEastAsia"/>
          <w:sz w:val="28"/>
        </w:rPr>
        <w:t>概况</w:t>
      </w:r>
      <w:bookmarkEnd w:id="86"/>
    </w:p>
    <w:p>
      <w:pPr>
        <w:pStyle w:val="4"/>
        <w:spacing w:line="360" w:lineRule="auto"/>
        <w:rPr>
          <w:rFonts w:cs="宋体" w:asciiTheme="minorEastAsia" w:hAnsiTheme="minorEastAsia" w:eastAsiaTheme="minorEastAsia"/>
          <w:kern w:val="0"/>
          <w:sz w:val="36"/>
          <w:szCs w:val="21"/>
        </w:rPr>
      </w:pPr>
      <w:bookmarkStart w:id="89" w:name="_Toc462955432"/>
      <w:r>
        <w:rPr>
          <w:rFonts w:hint="eastAsia" w:asciiTheme="minorEastAsia" w:hAnsiTheme="minorEastAsia" w:eastAsiaTheme="minorEastAsia"/>
          <w:sz w:val="24"/>
          <w:szCs w:val="21"/>
        </w:rPr>
        <w:t>1、</w:t>
      </w:r>
      <w:r>
        <w:rPr>
          <w:rFonts w:hint="eastAsia" w:asciiTheme="minorEastAsia" w:hAnsiTheme="minorEastAsia" w:eastAsiaTheme="minorEastAsia"/>
          <w:bCs/>
          <w:sz w:val="24"/>
          <w:szCs w:val="21"/>
        </w:rPr>
        <w:t>建设场址</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（1）给水厂：华电四路与港区大道交叉口东侧以北约 300 米处。</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（2）污水处理厂：港区大道与华电四路交叉口东北侧。</w:t>
      </w:r>
    </w:p>
    <w:p>
      <w:pPr>
        <w:spacing w:line="360" w:lineRule="auto"/>
        <w:ind w:firstLine="420" w:firstLineChars="200"/>
        <w:rPr>
          <w:rFonts w:cs="宋体" w:asciiTheme="minorEastAsia" w:hAnsiTheme="minorEastAsia" w:eastAsiaTheme="minorEastAsia"/>
          <w:b/>
          <w:kern w:val="0"/>
          <w:szCs w:val="21"/>
        </w:rPr>
      </w:pPr>
      <w:r>
        <w:rPr>
          <w:rFonts w:hint="eastAsia" w:cs="宋体" w:asciiTheme="minorEastAsia" w:hAnsiTheme="minorEastAsia" w:eastAsiaTheme="minorEastAsia"/>
          <w:kern w:val="0"/>
          <w:szCs w:val="21"/>
        </w:rPr>
        <w:t>（3）工业取水泵站：郁江北岸，距离华电取水泵房上游 1.8km 处。</w:t>
      </w:r>
    </w:p>
    <w:p>
      <w:pPr>
        <w:pStyle w:val="4"/>
        <w:spacing w:line="360" w:lineRule="auto"/>
        <w:rPr>
          <w:rFonts w:asciiTheme="minorEastAsia" w:hAnsiTheme="minorEastAsia" w:eastAsiaTheme="minorEastAsia"/>
          <w:bCs/>
          <w:sz w:val="24"/>
          <w:szCs w:val="21"/>
        </w:rPr>
      </w:pPr>
      <w:r>
        <w:rPr>
          <w:rFonts w:hint="eastAsia" w:asciiTheme="minorEastAsia" w:hAnsiTheme="minorEastAsia" w:eastAsiaTheme="minorEastAsia"/>
          <w:bCs/>
          <w:sz w:val="24"/>
          <w:szCs w:val="21"/>
        </w:rPr>
        <w:t>2、项目建设规模</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建给水厂1座，近期（2025年）供水规模5.35万m3/d（其中工业供水5万m3/d，生活饮用水供水0.35万m3/d），主体工艺为地表水取水+混凝+沉淀+过滤+消毒+送水加压工艺。新建污水处理厂1座，近期（2025年）处理规模2万m3/d，主体工艺为A/O+填料工艺，执行《城镇污水处理厂污染物排放标准》（GB18918-2002）中一级A排放标准。</w:t>
      </w:r>
    </w:p>
    <w:p>
      <w:pPr>
        <w:pStyle w:val="4"/>
        <w:spacing w:line="360" w:lineRule="auto"/>
        <w:rPr>
          <w:rFonts w:asciiTheme="minorEastAsia" w:hAnsiTheme="minorEastAsia" w:eastAsiaTheme="minorEastAsia"/>
          <w:sz w:val="24"/>
          <w:szCs w:val="21"/>
        </w:rPr>
      </w:pPr>
      <w:r>
        <w:rPr>
          <w:rFonts w:hint="eastAsia" w:asciiTheme="minorEastAsia" w:hAnsiTheme="minorEastAsia" w:eastAsiaTheme="minorEastAsia"/>
          <w:sz w:val="24"/>
          <w:szCs w:val="21"/>
        </w:rPr>
        <w:t>3、总投资及资金筹措</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（1）项目总投资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项目总投资估算为本项目总投资35743.06万元，其中第一部分工程费用27697.73万元，第二部分其他费用4647.29万元，预备费2587.60万元，建设期贷款利息810.44万元。</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（2）资金筹措</w:t>
      </w:r>
    </w:p>
    <w:p>
      <w:pPr>
        <w:spacing w:line="5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本项目总投资为35743.06万元。根据《国务院关于加强固定资产投资项目资本金管理的通知》（国发〔2019〕26号）中规定：“适当调整基础设施项目最低资本金比例：其他基础设施项目维持20%不变。其中，公路（含政府收费公路）、铁路、城建、物流、生态环保、社会民生等领域的补短板基础设施项目，在投资回报机制明确、收益可靠、风险可控的前提下，可以适当降低项目最低资本金比例，但下调不得超过5个百分点。”)规定，确定资本金比例为15%。取整后，项目资本金为5500万元（资本金比例15.39%），即为5500万元，其中政府方按10%的股权比例，社会资本方按90%的股权比例。除资本金之外，项目所需的其他资金30243.06万元由中标社会资本通过银行贷款、股东借款、基金、信托等方式融资。</w:t>
      </w:r>
    </w:p>
    <w:p>
      <w:pPr>
        <w:pStyle w:val="4"/>
        <w:spacing w:line="360" w:lineRule="auto"/>
        <w:rPr>
          <w:rFonts w:asciiTheme="minorEastAsia" w:hAnsiTheme="minorEastAsia" w:eastAsiaTheme="minorEastAsia"/>
          <w:sz w:val="24"/>
          <w:szCs w:val="21"/>
        </w:rPr>
      </w:pPr>
      <w:r>
        <w:rPr>
          <w:rFonts w:hint="eastAsia" w:asciiTheme="minorEastAsia" w:hAnsiTheme="minorEastAsia" w:eastAsiaTheme="minorEastAsia"/>
          <w:sz w:val="24"/>
          <w:szCs w:val="21"/>
        </w:rPr>
        <w:t>4、合作期</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本项目合作期为 20 年，其中建设期 1 年（12 个月），运营期 19 年（228 个月）。项目竣工验收合格后次日，项目进入运营期。若项目提前或延迟完工，在不涉及提前终止等情况下，运营期长度仍保持 19 年不变，合作期总年限对应调整。</w:t>
      </w:r>
    </w:p>
    <w:p>
      <w:pPr>
        <w:pStyle w:val="4"/>
        <w:spacing w:line="360" w:lineRule="auto"/>
        <w:rPr>
          <w:rFonts w:asciiTheme="minorEastAsia" w:hAnsiTheme="minorEastAsia" w:eastAsiaTheme="minorEastAsia"/>
          <w:sz w:val="24"/>
          <w:szCs w:val="21"/>
        </w:rPr>
      </w:pPr>
      <w:r>
        <w:rPr>
          <w:rFonts w:hint="eastAsia" w:asciiTheme="minorEastAsia" w:hAnsiTheme="minorEastAsia" w:eastAsiaTheme="minorEastAsia"/>
          <w:sz w:val="24"/>
          <w:szCs w:val="21"/>
        </w:rPr>
        <w:t>5、主要技术经济指标</w:t>
      </w:r>
    </w:p>
    <w:p>
      <w:pPr>
        <w:rPr>
          <w:rFonts w:asciiTheme="minorEastAsia" w:hAnsiTheme="minorEastAsia" w:eastAsiaTheme="minorEastAsia"/>
          <w:szCs w:val="28"/>
        </w:rPr>
      </w:pPr>
      <w:r>
        <w:rPr>
          <w:rFonts w:hint="eastAsia" w:asciiTheme="minorEastAsia" w:hAnsiTheme="minorEastAsia" w:eastAsiaTheme="minorEastAsia"/>
          <w:szCs w:val="28"/>
        </w:rPr>
        <w:t>主要技术经济指标详见表1</w:t>
      </w:r>
      <w:r>
        <w:rPr>
          <w:rFonts w:asciiTheme="minorEastAsia" w:hAnsiTheme="minorEastAsia" w:eastAsiaTheme="minorEastAsia"/>
          <w:szCs w:val="28"/>
        </w:rPr>
        <w:t>-</w:t>
      </w:r>
      <w:r>
        <w:rPr>
          <w:rFonts w:hint="eastAsia" w:asciiTheme="minorEastAsia" w:hAnsiTheme="minorEastAsia" w:eastAsiaTheme="minorEastAsia"/>
          <w:szCs w:val="28"/>
        </w:rPr>
        <w:t>1。</w:t>
      </w:r>
    </w:p>
    <w:p>
      <w:pPr>
        <w:jc w:val="center"/>
        <w:rPr>
          <w:rFonts w:asciiTheme="minorEastAsia" w:hAnsiTheme="minorEastAsia" w:eastAsiaTheme="minorEastAsia"/>
          <w:b/>
          <w:szCs w:val="28"/>
        </w:rPr>
      </w:pPr>
      <w:r>
        <w:rPr>
          <w:rFonts w:hint="eastAsia" w:asciiTheme="minorEastAsia" w:hAnsiTheme="minorEastAsia" w:eastAsiaTheme="minorEastAsia"/>
          <w:b/>
          <w:sz w:val="24"/>
          <w:szCs w:val="28"/>
        </w:rPr>
        <w:t>表1-1 PPP总投资一览表</w:t>
      </w:r>
    </w:p>
    <w:tbl>
      <w:tblPr>
        <w:tblStyle w:val="55"/>
        <w:tblW w:w="5000" w:type="pct"/>
        <w:tblInd w:w="0" w:type="dxa"/>
        <w:tblLayout w:type="autofit"/>
        <w:tblCellMar>
          <w:top w:w="0" w:type="dxa"/>
          <w:left w:w="108" w:type="dxa"/>
          <w:bottom w:w="0" w:type="dxa"/>
          <w:right w:w="108" w:type="dxa"/>
        </w:tblCellMar>
      </w:tblPr>
      <w:tblGrid>
        <w:gridCol w:w="849"/>
        <w:gridCol w:w="3371"/>
        <w:gridCol w:w="1970"/>
        <w:gridCol w:w="1293"/>
        <w:gridCol w:w="1803"/>
      </w:tblGrid>
      <w:tr>
        <w:tblPrEx>
          <w:tblCellMar>
            <w:top w:w="0" w:type="dxa"/>
            <w:left w:w="108" w:type="dxa"/>
            <w:bottom w:w="0" w:type="dxa"/>
            <w:right w:w="108" w:type="dxa"/>
          </w:tblCellMar>
        </w:tblPrEx>
        <w:trPr>
          <w:trHeight w:val="360" w:hRule="atLeast"/>
          <w:tblHeader/>
        </w:trPr>
        <w:tc>
          <w:tcPr>
            <w:tcW w:w="457" w:type="pct"/>
            <w:tcBorders>
              <w:top w:val="single" w:color="auto" w:sz="4" w:space="0"/>
              <w:left w:val="single" w:color="auto" w:sz="4" w:space="0"/>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序号</w:t>
            </w:r>
          </w:p>
        </w:tc>
        <w:tc>
          <w:tcPr>
            <w:tcW w:w="1815" w:type="pct"/>
            <w:tcBorders>
              <w:top w:val="single" w:color="auto" w:sz="4" w:space="0"/>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费用名称</w:t>
            </w:r>
          </w:p>
        </w:tc>
        <w:tc>
          <w:tcPr>
            <w:tcW w:w="1061" w:type="pct"/>
            <w:tcBorders>
              <w:top w:val="single" w:color="auto" w:sz="4" w:space="0"/>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金额（万元）</w:t>
            </w:r>
          </w:p>
        </w:tc>
        <w:tc>
          <w:tcPr>
            <w:tcW w:w="696" w:type="pct"/>
            <w:tcBorders>
              <w:top w:val="single" w:color="auto" w:sz="4" w:space="0"/>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比例</w:t>
            </w:r>
          </w:p>
        </w:tc>
        <w:tc>
          <w:tcPr>
            <w:tcW w:w="971" w:type="pct"/>
            <w:tcBorders>
              <w:top w:val="single" w:color="auto" w:sz="4" w:space="0"/>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备注</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一</w:t>
            </w:r>
          </w:p>
        </w:tc>
        <w:tc>
          <w:tcPr>
            <w:tcW w:w="1815"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工程费用</w:t>
            </w:r>
          </w:p>
        </w:tc>
        <w:tc>
          <w:tcPr>
            <w:tcW w:w="1061"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27697.73</w:t>
            </w:r>
          </w:p>
        </w:tc>
        <w:tc>
          <w:tcPr>
            <w:tcW w:w="696"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77.49%</w:t>
            </w:r>
          </w:p>
        </w:tc>
        <w:tc>
          <w:tcPr>
            <w:tcW w:w="971"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工业供水厂区及附属工程</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11776.24</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32.95%</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1.1</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建筑/市政工程</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9079.99</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1.2</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设备及工器具购置</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1977.65</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1.3</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安装工程</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718.60</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生活供水厂区及附属工程</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1437.17</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4.02%</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2.1</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建筑/市政工程</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1399.49</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2.2</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设备及工器具购置</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4.80</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2.3</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安装工程</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32.88</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3</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污水处理厂及附属工程</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14484.32</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40.52%</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3.1</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建筑/市政工程</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5746.71</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3.2</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设备及工器具购置</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8071.92</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3.3</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安装工程</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665.69</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1815"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工程建设其他费用</w:t>
            </w:r>
          </w:p>
        </w:tc>
        <w:tc>
          <w:tcPr>
            <w:tcW w:w="1061"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4647.29</w:t>
            </w:r>
          </w:p>
        </w:tc>
        <w:tc>
          <w:tcPr>
            <w:tcW w:w="696"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13.00%</w:t>
            </w:r>
          </w:p>
        </w:tc>
        <w:tc>
          <w:tcPr>
            <w:tcW w:w="971"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建设用地费</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1838.84</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1.1</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工业供水厂区及附属工程</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854.94</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1.1.1</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征地补偿及青苗补偿费</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557.96</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厂区用地</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529.10</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40.7</w:t>
            </w:r>
            <w:r>
              <w:rPr>
                <w:rFonts w:hint="eastAsia" w:asciiTheme="minorEastAsia" w:hAnsiTheme="minorEastAsia" w:eastAsiaTheme="minorEastAsia"/>
                <w:kern w:val="0"/>
                <w:sz w:val="16"/>
                <w:szCs w:val="16"/>
              </w:rPr>
              <w:t>亩</w:t>
            </w:r>
            <w:r>
              <w:rPr>
                <w:rFonts w:asciiTheme="minorEastAsia" w:hAnsiTheme="minorEastAsia" w:eastAsiaTheme="minorEastAsia"/>
                <w:kern w:val="0"/>
                <w:sz w:val="16"/>
                <w:szCs w:val="16"/>
              </w:rPr>
              <w:t>×13</w:t>
            </w:r>
            <w:r>
              <w:rPr>
                <w:rFonts w:hint="eastAsia" w:asciiTheme="minorEastAsia" w:hAnsiTheme="minorEastAsia" w:eastAsiaTheme="minorEastAsia"/>
                <w:kern w:val="0"/>
                <w:sz w:val="16"/>
                <w:szCs w:val="16"/>
              </w:rPr>
              <w:t>万</w:t>
            </w:r>
            <w:r>
              <w:rPr>
                <w:rFonts w:asciiTheme="minorEastAsia" w:hAnsiTheme="minorEastAsia" w:eastAsiaTheme="minorEastAsia"/>
                <w:kern w:val="0"/>
                <w:sz w:val="16"/>
                <w:szCs w:val="16"/>
              </w:rPr>
              <w:t>/</w:t>
            </w:r>
            <w:r>
              <w:rPr>
                <w:rFonts w:hint="eastAsia" w:asciiTheme="minorEastAsia" w:hAnsiTheme="minorEastAsia" w:eastAsiaTheme="minorEastAsia"/>
                <w:kern w:val="0"/>
                <w:sz w:val="16"/>
                <w:szCs w:val="16"/>
              </w:rPr>
              <w:t>亩</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工业取水泵站</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28.86</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2.22</w:t>
            </w:r>
            <w:r>
              <w:rPr>
                <w:rFonts w:hint="eastAsia" w:asciiTheme="minorEastAsia" w:hAnsiTheme="minorEastAsia" w:eastAsiaTheme="minorEastAsia"/>
                <w:kern w:val="0"/>
                <w:sz w:val="16"/>
                <w:szCs w:val="16"/>
              </w:rPr>
              <w:t>亩</w:t>
            </w:r>
            <w:r>
              <w:rPr>
                <w:rFonts w:asciiTheme="minorEastAsia" w:hAnsiTheme="minorEastAsia" w:eastAsiaTheme="minorEastAsia"/>
                <w:kern w:val="0"/>
                <w:sz w:val="16"/>
                <w:szCs w:val="16"/>
              </w:rPr>
              <w:t>×13</w:t>
            </w:r>
            <w:r>
              <w:rPr>
                <w:rFonts w:hint="eastAsia" w:asciiTheme="minorEastAsia" w:hAnsiTheme="minorEastAsia" w:eastAsiaTheme="minorEastAsia"/>
                <w:kern w:val="0"/>
                <w:sz w:val="16"/>
                <w:szCs w:val="16"/>
              </w:rPr>
              <w:t>万</w:t>
            </w:r>
            <w:r>
              <w:rPr>
                <w:rFonts w:asciiTheme="minorEastAsia" w:hAnsiTheme="minorEastAsia" w:eastAsiaTheme="minorEastAsia"/>
                <w:kern w:val="0"/>
                <w:sz w:val="16"/>
                <w:szCs w:val="16"/>
              </w:rPr>
              <w:t>/</w:t>
            </w:r>
            <w:r>
              <w:rPr>
                <w:rFonts w:hint="eastAsia" w:asciiTheme="minorEastAsia" w:hAnsiTheme="minorEastAsia" w:eastAsiaTheme="minorEastAsia"/>
                <w:kern w:val="0"/>
                <w:sz w:val="16"/>
                <w:szCs w:val="16"/>
              </w:rPr>
              <w:t>亩</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1.1.2</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临时用地费</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20.08</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1.1.3</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拆迁补偿费</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276.90</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1.2</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生活供水厂区及附属工程</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43.30</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1.2.1</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征地补偿及青苗补偿费</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2.34</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大圩镇转输泵站</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2.34</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0.18</w:t>
            </w:r>
            <w:r>
              <w:rPr>
                <w:rFonts w:hint="eastAsia" w:asciiTheme="minorEastAsia" w:hAnsiTheme="minorEastAsia" w:eastAsiaTheme="minorEastAsia"/>
                <w:kern w:val="0"/>
                <w:sz w:val="16"/>
                <w:szCs w:val="16"/>
              </w:rPr>
              <w:t>亩</w:t>
            </w:r>
            <w:r>
              <w:rPr>
                <w:rFonts w:asciiTheme="minorEastAsia" w:hAnsiTheme="minorEastAsia" w:eastAsiaTheme="minorEastAsia"/>
                <w:kern w:val="0"/>
                <w:sz w:val="16"/>
                <w:szCs w:val="16"/>
              </w:rPr>
              <w:t>×13</w:t>
            </w:r>
            <w:r>
              <w:rPr>
                <w:rFonts w:hint="eastAsia" w:asciiTheme="minorEastAsia" w:hAnsiTheme="minorEastAsia" w:eastAsiaTheme="minorEastAsia"/>
                <w:kern w:val="0"/>
                <w:sz w:val="16"/>
                <w:szCs w:val="16"/>
              </w:rPr>
              <w:t>万</w:t>
            </w:r>
            <w:r>
              <w:rPr>
                <w:rFonts w:asciiTheme="minorEastAsia" w:hAnsiTheme="minorEastAsia" w:eastAsiaTheme="minorEastAsia"/>
                <w:kern w:val="0"/>
                <w:sz w:val="16"/>
                <w:szCs w:val="16"/>
              </w:rPr>
              <w:t>/</w:t>
            </w:r>
            <w:r>
              <w:rPr>
                <w:rFonts w:hint="eastAsia" w:asciiTheme="minorEastAsia" w:hAnsiTheme="minorEastAsia" w:eastAsiaTheme="minorEastAsia"/>
                <w:kern w:val="0"/>
                <w:sz w:val="16"/>
                <w:szCs w:val="16"/>
              </w:rPr>
              <w:t>亩</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1.2.2</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临时用地费</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40.96</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1.3</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污水处理厂及附属工程</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940.60</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1.3.1</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征地补偿及青苗补偿费</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617.50</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厂区用地</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617.50</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47.5</w:t>
            </w:r>
            <w:r>
              <w:rPr>
                <w:rFonts w:hint="eastAsia" w:asciiTheme="minorEastAsia" w:hAnsiTheme="minorEastAsia" w:eastAsiaTheme="minorEastAsia"/>
                <w:kern w:val="0"/>
                <w:sz w:val="16"/>
                <w:szCs w:val="16"/>
              </w:rPr>
              <w:t>亩</w:t>
            </w:r>
            <w:r>
              <w:rPr>
                <w:rFonts w:asciiTheme="minorEastAsia" w:hAnsiTheme="minorEastAsia" w:eastAsiaTheme="minorEastAsia"/>
                <w:kern w:val="0"/>
                <w:sz w:val="16"/>
                <w:szCs w:val="16"/>
              </w:rPr>
              <w:t>×13</w:t>
            </w:r>
            <w:r>
              <w:rPr>
                <w:rFonts w:hint="eastAsia" w:asciiTheme="minorEastAsia" w:hAnsiTheme="minorEastAsia" w:eastAsiaTheme="minorEastAsia"/>
                <w:kern w:val="0"/>
                <w:sz w:val="16"/>
                <w:szCs w:val="16"/>
              </w:rPr>
              <w:t>万</w:t>
            </w:r>
            <w:r>
              <w:rPr>
                <w:rFonts w:asciiTheme="minorEastAsia" w:hAnsiTheme="minorEastAsia" w:eastAsiaTheme="minorEastAsia"/>
                <w:kern w:val="0"/>
                <w:sz w:val="16"/>
                <w:szCs w:val="16"/>
              </w:rPr>
              <w:t>/</w:t>
            </w:r>
            <w:r>
              <w:rPr>
                <w:rFonts w:hint="eastAsia" w:asciiTheme="minorEastAsia" w:hAnsiTheme="minorEastAsia" w:eastAsiaTheme="minorEastAsia"/>
                <w:kern w:val="0"/>
                <w:sz w:val="16"/>
                <w:szCs w:val="16"/>
              </w:rPr>
              <w:t>亩</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1.3.2</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拆迁补偿费</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323.10</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1815"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除建设用地费外</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2808.45</w:t>
            </w:r>
          </w:p>
        </w:tc>
        <w:tc>
          <w:tcPr>
            <w:tcW w:w="69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　</w:t>
            </w:r>
          </w:p>
        </w:tc>
        <w:tc>
          <w:tcPr>
            <w:tcW w:w="97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6"/>
                <w:szCs w:val="16"/>
              </w:rPr>
            </w:pPr>
            <w:r>
              <w:rPr>
                <w:rFonts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3</w:t>
            </w:r>
          </w:p>
        </w:tc>
        <w:tc>
          <w:tcPr>
            <w:tcW w:w="1815"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基本预备费</w:t>
            </w:r>
          </w:p>
        </w:tc>
        <w:tc>
          <w:tcPr>
            <w:tcW w:w="1061"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2587.60</w:t>
            </w:r>
          </w:p>
        </w:tc>
        <w:tc>
          <w:tcPr>
            <w:tcW w:w="696"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7.24%</w:t>
            </w:r>
          </w:p>
        </w:tc>
        <w:tc>
          <w:tcPr>
            <w:tcW w:w="971" w:type="pct"/>
            <w:tcBorders>
              <w:top w:val="nil"/>
              <w:left w:val="nil"/>
              <w:bottom w:val="single" w:color="auto" w:sz="4" w:space="0"/>
              <w:right w:val="single" w:color="auto" w:sz="4" w:space="0"/>
            </w:tcBorders>
            <w:shd w:val="clear" w:color="000000" w:fill="F2F2F2"/>
            <w:noWrap/>
            <w:vAlign w:val="center"/>
          </w:tcPr>
          <w:p>
            <w:pPr>
              <w:widowControl/>
              <w:jc w:val="center"/>
              <w:rPr>
                <w:rFonts w:cs="宋体" w:asciiTheme="minorEastAsia" w:hAnsiTheme="minorEastAsia" w:eastAsiaTheme="minorEastAsia"/>
                <w:kern w:val="0"/>
                <w:sz w:val="16"/>
                <w:szCs w:val="16"/>
              </w:rPr>
            </w:pPr>
            <w:r>
              <w:rPr>
                <w:rFonts w:hint="eastAsia" w:cs="宋体"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4</w:t>
            </w:r>
          </w:p>
        </w:tc>
        <w:tc>
          <w:tcPr>
            <w:tcW w:w="1815"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建设期贷款利息</w:t>
            </w:r>
          </w:p>
        </w:tc>
        <w:tc>
          <w:tcPr>
            <w:tcW w:w="1061"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810.44</w:t>
            </w:r>
          </w:p>
        </w:tc>
        <w:tc>
          <w:tcPr>
            <w:tcW w:w="696"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2.27%</w:t>
            </w:r>
          </w:p>
        </w:tc>
        <w:tc>
          <w:tcPr>
            <w:tcW w:w="971" w:type="pct"/>
            <w:tcBorders>
              <w:top w:val="nil"/>
              <w:left w:val="nil"/>
              <w:bottom w:val="single" w:color="auto" w:sz="4" w:space="0"/>
              <w:right w:val="single" w:color="auto" w:sz="4" w:space="0"/>
            </w:tcBorders>
            <w:shd w:val="clear" w:color="000000" w:fill="F2F2F2"/>
            <w:noWrap/>
            <w:vAlign w:val="center"/>
          </w:tcPr>
          <w:p>
            <w:pPr>
              <w:widowControl/>
              <w:jc w:val="center"/>
              <w:rPr>
                <w:rFonts w:cs="宋体" w:asciiTheme="minorEastAsia" w:hAnsiTheme="minorEastAsia" w:eastAsiaTheme="minorEastAsia"/>
                <w:kern w:val="0"/>
                <w:sz w:val="16"/>
                <w:szCs w:val="16"/>
              </w:rPr>
            </w:pPr>
            <w:r>
              <w:rPr>
                <w:rFonts w:hint="eastAsia" w:cs="宋体" w:asciiTheme="minorEastAsia" w:hAnsiTheme="minorEastAsia" w:eastAsiaTheme="minorEastAsia"/>
                <w:kern w:val="0"/>
                <w:sz w:val="16"/>
                <w:szCs w:val="16"/>
              </w:rPr>
              <w:t>　</w:t>
            </w:r>
          </w:p>
        </w:tc>
      </w:tr>
      <w:tr>
        <w:tblPrEx>
          <w:tblCellMar>
            <w:top w:w="0" w:type="dxa"/>
            <w:left w:w="108" w:type="dxa"/>
            <w:bottom w:w="0" w:type="dxa"/>
            <w:right w:w="108" w:type="dxa"/>
          </w:tblCellMar>
        </w:tblPrEx>
        <w:trPr>
          <w:trHeight w:val="360" w:hRule="atLeast"/>
        </w:trPr>
        <w:tc>
          <w:tcPr>
            <w:tcW w:w="457" w:type="pct"/>
            <w:tcBorders>
              <w:top w:val="nil"/>
              <w:left w:val="single" w:color="auto" w:sz="4" w:space="0"/>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5</w:t>
            </w:r>
          </w:p>
        </w:tc>
        <w:tc>
          <w:tcPr>
            <w:tcW w:w="1815"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PPP</w:t>
            </w:r>
            <w:r>
              <w:rPr>
                <w:rFonts w:hint="eastAsia" w:asciiTheme="minorEastAsia" w:hAnsiTheme="minorEastAsia" w:eastAsiaTheme="minorEastAsia"/>
                <w:kern w:val="0"/>
                <w:szCs w:val="21"/>
              </w:rPr>
              <w:t>总投资</w:t>
            </w:r>
          </w:p>
        </w:tc>
        <w:tc>
          <w:tcPr>
            <w:tcW w:w="1061"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35743.06</w:t>
            </w:r>
          </w:p>
        </w:tc>
        <w:tc>
          <w:tcPr>
            <w:tcW w:w="696" w:type="pct"/>
            <w:tcBorders>
              <w:top w:val="nil"/>
              <w:left w:val="nil"/>
              <w:bottom w:val="single" w:color="auto" w:sz="4" w:space="0"/>
              <w:right w:val="single" w:color="auto" w:sz="4" w:space="0"/>
            </w:tcBorders>
            <w:shd w:val="clear" w:color="000000" w:fill="F2F2F2"/>
            <w:noWrap/>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100.00%</w:t>
            </w:r>
          </w:p>
        </w:tc>
        <w:tc>
          <w:tcPr>
            <w:tcW w:w="971" w:type="pct"/>
            <w:tcBorders>
              <w:top w:val="nil"/>
              <w:left w:val="nil"/>
              <w:bottom w:val="single" w:color="auto" w:sz="4" w:space="0"/>
              <w:right w:val="single" w:color="auto" w:sz="4" w:space="0"/>
            </w:tcBorders>
            <w:shd w:val="clear" w:color="000000" w:fill="F2F2F2"/>
            <w:noWrap/>
            <w:vAlign w:val="center"/>
          </w:tcPr>
          <w:p>
            <w:pPr>
              <w:widowControl/>
              <w:jc w:val="center"/>
              <w:rPr>
                <w:rFonts w:cs="宋体" w:asciiTheme="minorEastAsia" w:hAnsiTheme="minorEastAsia" w:eastAsiaTheme="minorEastAsia"/>
                <w:kern w:val="0"/>
                <w:sz w:val="16"/>
                <w:szCs w:val="16"/>
              </w:rPr>
            </w:pPr>
            <w:r>
              <w:rPr>
                <w:rFonts w:hint="eastAsia" w:cs="宋体" w:asciiTheme="minorEastAsia" w:hAnsiTheme="minorEastAsia" w:eastAsiaTheme="minorEastAsia"/>
                <w:kern w:val="0"/>
                <w:sz w:val="16"/>
                <w:szCs w:val="16"/>
              </w:rPr>
              <w:t>　</w:t>
            </w:r>
          </w:p>
        </w:tc>
      </w:tr>
    </w:tbl>
    <w:p>
      <w:pPr>
        <w:ind w:firstLine="562"/>
        <w:jc w:val="center"/>
        <w:rPr>
          <w:rFonts w:asciiTheme="minorEastAsia" w:hAnsiTheme="minorEastAsia" w:eastAsiaTheme="minorEastAsia"/>
          <w:b/>
          <w:szCs w:val="28"/>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6.项目运营维护服务内容</w:t>
      </w:r>
    </w:p>
    <w:bookmarkEnd w:id="89"/>
    <w:p>
      <w:pPr>
        <w:spacing w:line="500" w:lineRule="exact"/>
        <w:ind w:firstLine="525" w:firstLineChars="250"/>
        <w:rPr>
          <w:rFonts w:asciiTheme="minorEastAsia" w:hAnsiTheme="minorEastAsia" w:eastAsiaTheme="minorEastAsia"/>
        </w:rPr>
      </w:pPr>
      <w:bookmarkStart w:id="90" w:name="_Toc435106774"/>
      <w:bookmarkStart w:id="91" w:name="_Toc14765"/>
      <w:bookmarkStart w:id="92" w:name="_Toc21820"/>
      <w:bookmarkStart w:id="93" w:name="_Toc462955435"/>
      <w:r>
        <w:rPr>
          <w:rFonts w:hint="eastAsia" w:asciiTheme="minorEastAsia" w:hAnsiTheme="minorEastAsia" w:eastAsiaTheme="minorEastAsia"/>
        </w:rPr>
        <w:t>项目完成竣工验收后进入运营期，项目公司负责本项目的运营维护工作。运营维护工作的内容包括：</w:t>
      </w:r>
    </w:p>
    <w:p>
      <w:pPr>
        <w:spacing w:line="500" w:lineRule="exact"/>
        <w:ind w:firstLine="525" w:firstLineChars="250"/>
        <w:rPr>
          <w:rFonts w:asciiTheme="minorEastAsia" w:hAnsiTheme="minorEastAsia" w:eastAsiaTheme="minorEastAsia"/>
        </w:rPr>
      </w:pPr>
      <w:r>
        <w:rPr>
          <w:rFonts w:hint="eastAsia" w:asciiTheme="minorEastAsia" w:hAnsiTheme="minorEastAsia" w:eastAsiaTheme="minorEastAsia"/>
        </w:rPr>
        <w:t>（1）给水厂（近期）范围内的土建、设备及其他附属工程的运营维护；工业取水泵站及配套取水管、生活转输取水泵站及配套取水管的运营维护。</w:t>
      </w:r>
    </w:p>
    <w:p>
      <w:pPr>
        <w:spacing w:line="500" w:lineRule="exact"/>
        <w:ind w:firstLine="525" w:firstLineChars="250"/>
        <w:rPr>
          <w:rFonts w:asciiTheme="minorEastAsia" w:hAnsiTheme="minorEastAsia" w:eastAsiaTheme="minorEastAsia"/>
        </w:rPr>
      </w:pPr>
      <w:r>
        <w:rPr>
          <w:rFonts w:hint="eastAsia" w:asciiTheme="minorEastAsia" w:hAnsiTheme="minorEastAsia" w:eastAsiaTheme="minorEastAsia"/>
        </w:rPr>
        <w:t>（2）污水处理厂（近期）范围内的土建、设备及其他附属工程的运营维护；本项目建设范围内尾水输送管的运营维护。</w:t>
      </w:r>
    </w:p>
    <w:p>
      <w:pPr>
        <w:spacing w:line="500" w:lineRule="exact"/>
        <w:ind w:firstLine="525" w:firstLineChars="250"/>
        <w:rPr>
          <w:rFonts w:asciiTheme="minorEastAsia" w:hAnsiTheme="minorEastAsia" w:eastAsiaTheme="minorEastAsia"/>
          <w:b/>
        </w:rPr>
      </w:pPr>
      <w:r>
        <w:rPr>
          <w:rFonts w:hint="eastAsia" w:asciiTheme="minorEastAsia" w:hAnsiTheme="minorEastAsia" w:eastAsiaTheme="minorEastAsia"/>
        </w:rPr>
        <w:t>（3）如政府方要求将非本项目建设范围内的管网（或其他内容）纳入本项目运营维护范围的，维护范围、标准和相关费用另行约定。</w:t>
      </w:r>
    </w:p>
    <w:p>
      <w:pPr>
        <w:pStyle w:val="3"/>
        <w:rPr>
          <w:rFonts w:asciiTheme="minorEastAsia" w:hAnsiTheme="minorEastAsia"/>
          <w:sz w:val="28"/>
        </w:rPr>
      </w:pPr>
      <w:bookmarkStart w:id="94" w:name="_Toc50993390"/>
      <w:r>
        <w:rPr>
          <w:rFonts w:hint="eastAsia" w:asciiTheme="minorEastAsia" w:hAnsiTheme="minorEastAsia"/>
          <w:sz w:val="28"/>
        </w:rPr>
        <w:t>二、主要商务条件</w:t>
      </w:r>
      <w:bookmarkEnd w:id="90"/>
      <w:bookmarkEnd w:id="91"/>
      <w:bookmarkEnd w:id="92"/>
      <w:bookmarkEnd w:id="93"/>
      <w:bookmarkEnd w:id="94"/>
    </w:p>
    <w:p>
      <w:pPr>
        <w:pStyle w:val="4"/>
        <w:rPr>
          <w:rFonts w:asciiTheme="minorEastAsia" w:hAnsiTheme="minorEastAsia" w:eastAsiaTheme="minorEastAsia"/>
          <w:sz w:val="24"/>
        </w:rPr>
      </w:pPr>
      <w:bookmarkStart w:id="95" w:name="_Toc487788555"/>
      <w:bookmarkStart w:id="96" w:name="_Toc434433179"/>
      <w:r>
        <w:rPr>
          <w:rFonts w:hint="eastAsia" w:asciiTheme="minorEastAsia" w:hAnsiTheme="minorEastAsia" w:eastAsiaTheme="minorEastAsia"/>
          <w:sz w:val="24"/>
        </w:rPr>
        <w:t>1、项目运作模式</w:t>
      </w:r>
    </w:p>
    <w:p>
      <w:pPr>
        <w:tabs>
          <w:tab w:val="left" w:pos="0"/>
        </w:tabs>
        <w:spacing w:line="500" w:lineRule="exact"/>
        <w:ind w:firstLine="315" w:firstLineChars="150"/>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采用“BOT”（建设-运营-移交）模式运作该项目，由项目公司负责项目的投资、融资、设计、建设、运营维护，在合作期满后，无偿移交给政府或政府指定的其他机构。</w:t>
      </w:r>
    </w:p>
    <w:p>
      <w:pPr>
        <w:pStyle w:val="4"/>
        <w:rPr>
          <w:rFonts w:asciiTheme="minorEastAsia" w:hAnsiTheme="minorEastAsia" w:eastAsiaTheme="minorEastAsia"/>
          <w:sz w:val="24"/>
        </w:rPr>
      </w:pPr>
      <w:r>
        <w:rPr>
          <w:rFonts w:hint="eastAsia" w:asciiTheme="minorEastAsia" w:hAnsiTheme="minorEastAsia" w:eastAsiaTheme="minorEastAsia"/>
          <w:sz w:val="24"/>
        </w:rPr>
        <w:t>2、投融资结构</w:t>
      </w:r>
    </w:p>
    <w:p>
      <w:pPr>
        <w:tabs>
          <w:tab w:val="left" w:pos="0"/>
        </w:tabs>
        <w:spacing w:line="500" w:lineRule="exact"/>
        <w:ind w:firstLine="315" w:firstLineChars="150"/>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本项目项目总投资估算为本项目总投资35743.06万元，其中第一部分工程费用27697.73万元，第二部分其他费用4647.29万元，预备费2587.60万元，建设期贷款利息810.44万元。</w:t>
      </w:r>
    </w:p>
    <w:p>
      <w:pPr>
        <w:tabs>
          <w:tab w:val="left" w:pos="0"/>
        </w:tabs>
        <w:spacing w:line="500" w:lineRule="exact"/>
        <w:ind w:firstLine="315" w:firstLineChars="150"/>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本项目由广西贵港市工业投资发展集团有限公司作为政府出资方代表，与经采购确定的社会资本方依法在贵港市共同组建项目公司。政府出资方代表持有项目公司10%的股权，社会资本方持有项目公司90%的股权。</w:t>
      </w:r>
    </w:p>
    <w:p>
      <w:pPr>
        <w:pStyle w:val="4"/>
        <w:rPr>
          <w:rFonts w:asciiTheme="minorEastAsia" w:hAnsiTheme="minorEastAsia" w:eastAsiaTheme="minorEastAsia"/>
          <w:sz w:val="24"/>
        </w:rPr>
      </w:pPr>
      <w:r>
        <w:rPr>
          <w:rFonts w:hint="eastAsia" w:asciiTheme="minorEastAsia" w:hAnsiTheme="minorEastAsia" w:eastAsiaTheme="minorEastAsia"/>
          <w:sz w:val="24"/>
        </w:rPr>
        <w:t>3、政府方出资代表</w:t>
      </w:r>
    </w:p>
    <w:p>
      <w:pPr>
        <w:rPr>
          <w:rFonts w:asciiTheme="minorEastAsia" w:hAnsiTheme="minorEastAsia" w:eastAsiaTheme="minorEastAsia"/>
          <w:bCs/>
          <w:kern w:val="0"/>
          <w:szCs w:val="21"/>
        </w:rPr>
      </w:pPr>
      <w:r>
        <w:rPr>
          <w:rFonts w:hint="eastAsia" w:asciiTheme="minorEastAsia" w:hAnsiTheme="minorEastAsia" w:eastAsiaTheme="minorEastAsia"/>
          <w:bCs/>
          <w:kern w:val="0"/>
          <w:szCs w:val="21"/>
        </w:rPr>
        <w:t>广西贵港市工业投资发展集团有限公司</w:t>
      </w:r>
    </w:p>
    <w:p>
      <w:pPr>
        <w:pStyle w:val="4"/>
        <w:rPr>
          <w:rFonts w:asciiTheme="minorEastAsia" w:hAnsiTheme="minorEastAsia" w:eastAsiaTheme="minorEastAsia"/>
          <w:sz w:val="24"/>
        </w:rPr>
      </w:pPr>
      <w:r>
        <w:rPr>
          <w:rFonts w:hint="eastAsia" w:asciiTheme="minorEastAsia" w:hAnsiTheme="minorEastAsia" w:eastAsiaTheme="minorEastAsia"/>
          <w:sz w:val="24"/>
        </w:rPr>
        <w:t>4、项目合作PPP期限</w:t>
      </w:r>
    </w:p>
    <w:p>
      <w:pPr>
        <w:tabs>
          <w:tab w:val="left" w:pos="0"/>
        </w:tabs>
        <w:spacing w:line="500" w:lineRule="exact"/>
        <w:ind w:firstLine="315" w:firstLineChars="150"/>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本项目合作期为20年，自PPP项目合同生效之日起算，建设期1年，经营期19年。</w:t>
      </w:r>
    </w:p>
    <w:p>
      <w:pPr>
        <w:pStyle w:val="4"/>
        <w:rPr>
          <w:rFonts w:asciiTheme="minorEastAsia" w:hAnsiTheme="minorEastAsia" w:eastAsiaTheme="minorEastAsia"/>
          <w:sz w:val="24"/>
        </w:rPr>
      </w:pPr>
      <w:r>
        <w:rPr>
          <w:rFonts w:hint="eastAsia" w:asciiTheme="minorEastAsia" w:hAnsiTheme="minorEastAsia" w:eastAsiaTheme="minorEastAsia"/>
          <w:sz w:val="24"/>
        </w:rPr>
        <w:t>5、项目内部收益率</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全投资内部收益率建议取值上限为6.8%（所得税后）。</w:t>
      </w:r>
    </w:p>
    <w:bookmarkEnd w:id="95"/>
    <w:p>
      <w:pPr>
        <w:pStyle w:val="4"/>
        <w:rPr>
          <w:rFonts w:asciiTheme="minorEastAsia" w:hAnsiTheme="minorEastAsia" w:eastAsiaTheme="minorEastAsia"/>
          <w:sz w:val="24"/>
        </w:rPr>
      </w:pPr>
      <w:bookmarkStart w:id="97" w:name="_Toc487788556"/>
      <w:r>
        <w:rPr>
          <w:rFonts w:hint="eastAsia" w:asciiTheme="minorEastAsia" w:hAnsiTheme="minorEastAsia" w:eastAsiaTheme="minorEastAsia"/>
          <w:sz w:val="24"/>
        </w:rPr>
        <w:t>6、项目公司回报机制</w:t>
      </w:r>
      <w:bookmarkEnd w:id="97"/>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自项目正式运营之日起，实施机构根据项目绩效考核结果，以“按效付费”的原则，向项目公司支付水费、污水处理费及可行性缺口补助，实施机构将应支付的可行性缺口补助纳入经人大审议的贵港市中长期财政预算及每年部门年度财政预算体系。</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其中：</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（1）工业供水：暂定按1.67元/m³。</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（2）生活供水：暂定按2.05元/m³。</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（3）污水处理费：暂定按 1.4元/m³。</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（4）可行性缺口补助</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所得税后全投资内部收益率的计算公式如下：</w:t>
      </w:r>
    </w:p>
    <w:p>
      <w:pPr>
        <w:jc w:val="center"/>
        <w:rPr>
          <w:rFonts w:asciiTheme="minorEastAsia" w:hAnsiTheme="minorEastAsia" w:eastAsiaTheme="minorEastAsia"/>
          <w:bCs/>
          <w:szCs w:val="28"/>
        </w:rPr>
      </w:pPr>
      <w:r>
        <w:rPr>
          <w:rFonts w:asciiTheme="minorEastAsia" w:hAnsiTheme="minorEastAsia" w:eastAsiaTheme="minorEastAsia"/>
        </w:rPr>
        <w:drawing>
          <wp:inline distT="0" distB="0" distL="0" distR="0">
            <wp:extent cx="2042160" cy="6934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6"/>
                    <a:stretch>
                      <a:fillRect/>
                    </a:stretch>
                  </pic:blipFill>
                  <pic:spPr>
                    <a:xfrm>
                      <a:off x="0" y="0"/>
                      <a:ext cx="2042160" cy="693420"/>
                    </a:xfrm>
                    <a:prstGeom prst="rect">
                      <a:avLst/>
                    </a:prstGeom>
                  </pic:spPr>
                </pic:pic>
              </a:graphicData>
            </a:graphic>
          </wp:inline>
        </w:drawing>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式中：</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CI 为现金流入量，即项目公司第 t 年总收入；</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现金流入＝水费（工业供水+生活供水）+污水处理费＋可行性缺口补助。</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CO 为现金流出量，即项目公司第 t 年总支出；</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现金流出＝社会资本建设投资＋年度运营成本＋增值税＋城市维护建设税＋教育费附加＋地方教育附加＋所得税。</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n 为项目计算期。</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以所得税后全投资内部收益率计算方法为基础，计算可行性缺口补助金额。使现金流入现值之和等于未来现金流出现值之和。</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式中：</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★社会资本建设投资＝PPP 总投资－政府方出资代表股权支出－其他投入项目建设的财政性资金。</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★年度运营成本按照各年基本水量设置，其中各年基本水量为：</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2021年（半年）：工业用水基本水量50%，生活用水基本水量50%，污水基本水量25%；</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2022年：工业用水基本水量60%，生活用水基本水量60%，污水基本水量50%；</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2023年：工业用水和生活用水基本水量均为80%，污水基本水量50%；</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2024年：污水基本水量50%，工业用水和生活用水基本水量80%；</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2025-2026年：污水基本水量60%，工业用水和生活用水基本水量80%；</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2027年及后续年份：污水基本水量70%，工业用水和生活用水基本水量80%。</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★n：合作期，20 年（240 个月），涉及 21 个自然年，第1年和第21年为半年。</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★i：所得税后全投资内部收益率（折现率），本项目取 6.8%作为财务测算的上限值，所得税后全投资内部收益率（折现率）以社会资本投标报价为准。每个自然年，折现时点为年末。</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★t：第 t 年</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★可行性缺口补助：根据《财政部办公厅关于印发污水处理和垃圾处理领域 PPP 项目合同示范文本的通知》（财办金〔2020〕10 号）的文件精神，根据工业供水、生活供水、污水处理投资占 PPP 总投资的比例，将可行性缺口补助按水量折算。</w:t>
      </w:r>
    </w:p>
    <w:p>
      <w:pPr>
        <w:tabs>
          <w:tab w:val="left" w:pos="0"/>
        </w:tabs>
        <w:spacing w:line="500" w:lineRule="exact"/>
        <w:ind w:firstLine="420" w:firstLineChars="200"/>
        <w:jc w:val="left"/>
        <w:rPr>
          <w:rFonts w:asciiTheme="minorEastAsia" w:hAnsiTheme="minorEastAsia" w:eastAsiaTheme="minorEastAsia"/>
          <w:bCs/>
          <w:szCs w:val="28"/>
        </w:rPr>
      </w:pPr>
      <w:r>
        <w:rPr>
          <w:rFonts w:hint="eastAsia" w:asciiTheme="minorEastAsia" w:hAnsiTheme="minorEastAsia" w:eastAsiaTheme="minorEastAsia"/>
          <w:bCs/>
          <w:szCs w:val="28"/>
        </w:rPr>
        <w:t>政府方按照绩效考核结果、水量、以及社会资本的中标报价，向项目公司支付水费、污水处理费、可行性缺口补助。竣工决算前，可行性缺口补助按社会资本中标报价的 80%支付。竣工决算后，根据竣工决算重新计算可行性缺口补助，多退少补。</w:t>
      </w:r>
    </w:p>
    <w:p>
      <w:pPr>
        <w:pStyle w:val="4"/>
        <w:rPr>
          <w:rFonts w:asciiTheme="minorEastAsia" w:hAnsiTheme="minorEastAsia" w:eastAsiaTheme="minorEastAsia"/>
        </w:rPr>
      </w:pPr>
      <w:r>
        <w:rPr>
          <w:rFonts w:hint="eastAsia" w:asciiTheme="minorEastAsia" w:hAnsiTheme="minorEastAsia" w:eastAsiaTheme="minorEastAsia"/>
        </w:rPr>
        <w:t>7、履约保证金</w:t>
      </w:r>
    </w:p>
    <w:p>
      <w:pPr>
        <w:ind w:firstLine="420" w:firstLineChars="200"/>
        <w:rPr>
          <w:rFonts w:asciiTheme="minorEastAsia" w:hAnsiTheme="minorEastAsia" w:eastAsiaTheme="minorEastAsia"/>
        </w:rPr>
      </w:pPr>
      <w:r>
        <w:rPr>
          <w:rFonts w:hint="eastAsia" w:asciiTheme="minorEastAsia" w:hAnsiTheme="minorEastAsia" w:eastAsiaTheme="minorEastAsia"/>
        </w:rPr>
        <w:t>履约保证金提交方式、实际金额及具体支付周期由社会资本中标后与业主协商确定。</w:t>
      </w:r>
      <w:bookmarkEnd w:id="87"/>
      <w:bookmarkEnd w:id="88"/>
      <w:bookmarkEnd w:id="96"/>
      <w:bookmarkStart w:id="98" w:name="_Toc8716"/>
      <w:bookmarkStart w:id="99" w:name="_Toc26001"/>
    </w:p>
    <w:p>
      <w:pPr>
        <w:widowControl/>
        <w:jc w:val="left"/>
        <w:rPr>
          <w:rFonts w:asciiTheme="minorEastAsia" w:hAnsiTheme="minorEastAsia" w:eastAsiaTheme="minorEastAsia"/>
          <w:b/>
          <w:sz w:val="36"/>
          <w:szCs w:val="36"/>
        </w:rPr>
      </w:pPr>
      <w:r>
        <w:rPr>
          <w:rFonts w:asciiTheme="minorEastAsia" w:hAnsiTheme="minorEastAsia"/>
          <w:sz w:val="36"/>
          <w:szCs w:val="36"/>
        </w:rPr>
        <w:br w:type="page"/>
      </w:r>
    </w:p>
    <w:p>
      <w:pPr>
        <w:pStyle w:val="2"/>
        <w:ind w:left="0" w:leftChars="0" w:right="210" w:firstLine="0"/>
        <w:jc w:val="center"/>
        <w:rPr>
          <w:rFonts w:asciiTheme="minorEastAsia" w:hAnsiTheme="minorEastAsia"/>
          <w:szCs w:val="30"/>
        </w:rPr>
      </w:pPr>
      <w:bookmarkStart w:id="100" w:name="_Toc50993391"/>
      <w:r>
        <w:rPr>
          <w:rFonts w:hint="eastAsia" w:asciiTheme="minorEastAsia" w:hAnsiTheme="minorEastAsia"/>
          <w:kern w:val="2"/>
          <w:sz w:val="36"/>
          <w:szCs w:val="36"/>
        </w:rPr>
        <w:t>第三章  投标人须知</w:t>
      </w:r>
      <w:bookmarkEnd w:id="100"/>
    </w:p>
    <w:p>
      <w:pPr>
        <w:pStyle w:val="28"/>
        <w:spacing w:line="500" w:lineRule="exact"/>
        <w:jc w:val="center"/>
        <w:rPr>
          <w:rFonts w:asciiTheme="minorEastAsia" w:hAnsiTheme="minorEastAsia" w:eastAsiaTheme="minorEastAsia"/>
          <w:b/>
          <w:sz w:val="24"/>
        </w:rPr>
      </w:pPr>
      <w:r>
        <w:rPr>
          <w:rFonts w:hint="eastAsia" w:asciiTheme="minorEastAsia" w:hAnsiTheme="minorEastAsia" w:eastAsiaTheme="minorEastAsia"/>
          <w:b/>
          <w:sz w:val="30"/>
          <w:szCs w:val="30"/>
        </w:rPr>
        <w:t>投标人须知前附表</w:t>
      </w:r>
      <w:bookmarkEnd w:id="98"/>
      <w:bookmarkEnd w:id="99"/>
    </w:p>
    <w:tbl>
      <w:tblPr>
        <w:tblStyle w:val="55"/>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722"/>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85" w:type="dxa"/>
            <w:shd w:val="clear" w:color="auto" w:fill="D9D9D9"/>
            <w:vAlign w:val="center"/>
          </w:tcPr>
          <w:p>
            <w:pPr>
              <w:pStyle w:val="28"/>
              <w:adjustRightInd w:val="0"/>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条款号</w:t>
            </w:r>
          </w:p>
        </w:tc>
        <w:tc>
          <w:tcPr>
            <w:tcW w:w="1722" w:type="dxa"/>
            <w:shd w:val="clear" w:color="auto" w:fill="D9D9D9"/>
            <w:vAlign w:val="center"/>
          </w:tcPr>
          <w:p>
            <w:pPr>
              <w:pStyle w:val="28"/>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条款名称</w:t>
            </w:r>
          </w:p>
        </w:tc>
        <w:tc>
          <w:tcPr>
            <w:tcW w:w="6689" w:type="dxa"/>
            <w:shd w:val="clear" w:color="auto" w:fill="D9D9D9"/>
          </w:tcPr>
          <w:p>
            <w:pPr>
              <w:pStyle w:val="28"/>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1.1</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采购人</w:t>
            </w:r>
          </w:p>
        </w:tc>
        <w:tc>
          <w:tcPr>
            <w:tcW w:w="6689" w:type="dxa"/>
            <w:vAlign w:val="center"/>
          </w:tcPr>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名称：贵港市产业园区管理委员会</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地址：贵港市港北区金田路市交通运输大厦二楼</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联系人：刘兮翾</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电话：</w:t>
            </w:r>
            <w:r>
              <w:rPr>
                <w:rFonts w:asciiTheme="minorEastAsia" w:hAnsiTheme="minorEastAsia" w:eastAsiaTheme="minorEastAsia"/>
                <w:szCs w:val="21"/>
              </w:rPr>
              <w:t>0775-4565215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1.2</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采购代理机构</w:t>
            </w:r>
          </w:p>
        </w:tc>
        <w:tc>
          <w:tcPr>
            <w:tcW w:w="6689" w:type="dxa"/>
            <w:vAlign w:val="center"/>
          </w:tcPr>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名称：广西众鼎建设工程咨询有限公司</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地  址：贵港市港北区民生路地产小区81号</w:t>
            </w:r>
          </w:p>
          <w:p>
            <w:pPr>
              <w:spacing w:line="420" w:lineRule="exact"/>
              <w:rPr>
                <w:rFonts w:asciiTheme="minorEastAsia" w:hAnsiTheme="minorEastAsia" w:eastAsiaTheme="minorEastAsia"/>
                <w:szCs w:val="21"/>
                <w:u w:val="single"/>
              </w:rPr>
            </w:pPr>
            <w:r>
              <w:rPr>
                <w:rFonts w:hint="eastAsia" w:asciiTheme="minorEastAsia" w:hAnsiTheme="minorEastAsia" w:eastAsiaTheme="minorEastAsia"/>
                <w:szCs w:val="21"/>
              </w:rPr>
              <w:t>联 系 人：孔彬蓓      联系电话：</w:t>
            </w:r>
            <w:r>
              <w:rPr>
                <w:rFonts w:asciiTheme="minorEastAsia" w:hAnsiTheme="minorEastAsia" w:eastAsiaTheme="minorEastAsia"/>
                <w:szCs w:val="21"/>
              </w:rPr>
              <w:t>0775-4364841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1.3</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6689" w:type="dxa"/>
            <w:vAlign w:val="center"/>
          </w:tcPr>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lang w:val="zh-CN"/>
              </w:rPr>
              <w:t>贵港市产业园（粤桂园）给水厂和污水处理厂供排一体化PPP项目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1.4</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项目编号</w:t>
            </w:r>
          </w:p>
        </w:tc>
        <w:tc>
          <w:tcPr>
            <w:tcW w:w="6689" w:type="dxa"/>
            <w:vAlign w:val="bottom"/>
          </w:tcPr>
          <w:p>
            <w:pPr>
              <w:autoSpaceDE w:val="0"/>
              <w:autoSpaceDN w:val="0"/>
              <w:spacing w:line="360" w:lineRule="auto"/>
              <w:jc w:val="left"/>
              <w:rPr>
                <w:rFonts w:asciiTheme="minorEastAsia" w:hAnsiTheme="minorEastAsia" w:eastAsiaTheme="minorEastAsia"/>
                <w:szCs w:val="21"/>
              </w:rPr>
            </w:pPr>
            <w:r>
              <w:rPr>
                <w:rFonts w:asciiTheme="minorEastAsia" w:hAnsiTheme="minorEastAsia" w:eastAsiaTheme="minorEastAsia"/>
                <w:szCs w:val="21"/>
              </w:rPr>
              <w:t>GGZC2020-G3-02460-GXZD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1.5</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采购预算</w:t>
            </w:r>
          </w:p>
        </w:tc>
        <w:tc>
          <w:tcPr>
            <w:tcW w:w="6689" w:type="dxa"/>
            <w:vAlign w:val="center"/>
          </w:tcPr>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kern w:val="0"/>
                <w:szCs w:val="21"/>
              </w:rPr>
              <w:t>项目总投资估算为本项目总投资35743.06万元，其中第一部分工程费用27697.73万元，第二部分其他费用4647.29万元，预备费2587.60万元，建设期贷款利息810.44万元。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1.6</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资金来源</w:t>
            </w:r>
          </w:p>
        </w:tc>
        <w:tc>
          <w:tcPr>
            <w:tcW w:w="6689" w:type="dxa"/>
            <w:vAlign w:val="center"/>
          </w:tcPr>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rPr>
              <w:t>根据《国务院关于加强固定资产投资项目资本金管理的通知》（国发〔2019〕26号）中规定：“适当调整基础设施项目最低资本金比例：其他基础设施项目维持20%不变。其中，公路（含政府收费公路）、铁路、城建、物流、生态环保、社会民生等领域的补短板基础设施项目，在投资回报机制明确、收益可靠、风险可控的前提下，可以适当降低项目最低资本金比例，但下调不得超过5个百分点。”)规定，确定资本金比例为15%。取整后，项目资本金为5500万元（资本金比例15.39%），即为5500万元，其中政府方按10%的股权比例，社会资本方按90%的股权比例。除资本金之外，项目所需的其他资金30243.06万元由中标社会资本通过银行贷款、股东借款、基金、信托等方式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85" w:type="dxa"/>
            <w:vAlign w:val="center"/>
          </w:tcPr>
          <w:p>
            <w:pPr>
              <w:pStyle w:val="28"/>
              <w:spacing w:line="480" w:lineRule="exact"/>
              <w:jc w:val="center"/>
              <w:rPr>
                <w:rFonts w:asciiTheme="minorEastAsia" w:hAnsiTheme="minorEastAsia" w:eastAsiaTheme="minorEastAsia"/>
                <w:szCs w:val="21"/>
              </w:rPr>
            </w:pPr>
            <w:r>
              <w:rPr>
                <w:rFonts w:asciiTheme="minorEastAsia" w:hAnsiTheme="minorEastAsia" w:eastAsiaTheme="minorEastAsia"/>
                <w:szCs w:val="21"/>
              </w:rPr>
              <w:t>1.7</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招标范围</w:t>
            </w:r>
          </w:p>
        </w:tc>
        <w:tc>
          <w:tcPr>
            <w:tcW w:w="6689" w:type="dxa"/>
            <w:vAlign w:val="center"/>
          </w:tcPr>
          <w:p>
            <w:pPr>
              <w:pStyle w:val="28"/>
              <w:spacing w:line="480" w:lineRule="exact"/>
              <w:ind w:left="25" w:hanging="25" w:hangingChars="12"/>
              <w:rPr>
                <w:rFonts w:asciiTheme="minorEastAsia" w:hAnsiTheme="minorEastAsia" w:eastAsiaTheme="minorEastAsia"/>
                <w:szCs w:val="21"/>
              </w:rPr>
            </w:pPr>
            <w:r>
              <w:rPr>
                <w:rFonts w:hint="eastAsia" w:asciiTheme="minorEastAsia" w:hAnsiTheme="minorEastAsia" w:eastAsiaTheme="minorEastAsia"/>
                <w:szCs w:val="21"/>
              </w:rPr>
              <w:t>拟采购社会资本方，在合作期限20年（含建设1年）。由贵港市人民政府指定政府出资方与中选社会资本方共同成立项目公司，由政府出资方代表与中选的社会资本方按10%：90%出资共同在广西贵港市成立项目公司，项目公司在授权范围内承担贵港市产业园（粤桂园）给水厂和污水处理厂供排一体化PPP项目的设计、融资、投资、建设、运营、维护及移交等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5" w:type="dxa"/>
            <w:vAlign w:val="center"/>
          </w:tcPr>
          <w:p>
            <w:pPr>
              <w:pStyle w:val="28"/>
              <w:spacing w:line="480" w:lineRule="exact"/>
              <w:jc w:val="center"/>
              <w:rPr>
                <w:rFonts w:asciiTheme="minorEastAsia" w:hAnsiTheme="minorEastAsia" w:eastAsiaTheme="minorEastAsia"/>
                <w:szCs w:val="21"/>
              </w:rPr>
            </w:pPr>
            <w:r>
              <w:rPr>
                <w:rFonts w:asciiTheme="minorEastAsia" w:hAnsiTheme="minorEastAsia" w:eastAsiaTheme="minorEastAsia"/>
                <w:szCs w:val="21"/>
              </w:rPr>
              <w:t>1.8</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采购目的</w:t>
            </w:r>
          </w:p>
        </w:tc>
        <w:tc>
          <w:tcPr>
            <w:tcW w:w="6689" w:type="dxa"/>
            <w:vAlign w:val="center"/>
          </w:tcPr>
          <w:p>
            <w:pPr>
              <w:pStyle w:val="28"/>
              <w:spacing w:line="480" w:lineRule="exact"/>
              <w:ind w:left="25" w:hanging="25" w:hangingChars="12"/>
              <w:rPr>
                <w:rFonts w:asciiTheme="minorEastAsia" w:hAnsiTheme="minorEastAsia" w:eastAsiaTheme="minorEastAsia"/>
                <w:bCs/>
                <w:szCs w:val="21"/>
              </w:rPr>
            </w:pPr>
            <w:r>
              <w:rPr>
                <w:rFonts w:hint="eastAsia" w:asciiTheme="minorEastAsia" w:hAnsiTheme="minorEastAsia" w:eastAsiaTheme="minorEastAsia"/>
                <w:bCs/>
                <w:szCs w:val="21"/>
              </w:rPr>
              <w:t>为项目的顺利实施，拟通过公开招标方式，引进合适的社会资本方，在合作期内负责本项目的投融资、设计、建设、运营维护、移交工作。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85"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1.11</w:t>
            </w:r>
          </w:p>
        </w:tc>
        <w:tc>
          <w:tcPr>
            <w:tcW w:w="1722" w:type="dxa"/>
            <w:vAlign w:val="center"/>
          </w:tcPr>
          <w:p>
            <w:pPr>
              <w:adjustRightInd w:val="0"/>
              <w:spacing w:line="440" w:lineRule="exact"/>
              <w:jc w:val="center"/>
              <w:textAlignment w:val="baseline"/>
              <w:rPr>
                <w:rFonts w:cs="Arial" w:asciiTheme="minorEastAsia" w:hAnsiTheme="minorEastAsia" w:eastAsiaTheme="minorEastAsia"/>
                <w:szCs w:val="21"/>
              </w:rPr>
            </w:pPr>
            <w:r>
              <w:rPr>
                <w:rFonts w:hint="eastAsia" w:asciiTheme="minorEastAsia" w:hAnsiTheme="minorEastAsia" w:eastAsiaTheme="minorEastAsia"/>
                <w:szCs w:val="21"/>
              </w:rPr>
              <w:t>质量要求</w:t>
            </w:r>
          </w:p>
        </w:tc>
        <w:tc>
          <w:tcPr>
            <w:tcW w:w="6689" w:type="dxa"/>
            <w:vAlign w:val="center"/>
          </w:tcPr>
          <w:p>
            <w:pPr>
              <w:spacing w:line="440" w:lineRule="exact"/>
              <w:rPr>
                <w:rFonts w:cs="Arial" w:asciiTheme="minorEastAsia" w:hAnsiTheme="minorEastAsia" w:eastAsiaTheme="minorEastAsia"/>
                <w:szCs w:val="21"/>
              </w:rPr>
            </w:pPr>
            <w:r>
              <w:rPr>
                <w:rFonts w:hint="eastAsia" w:asciiTheme="minorEastAsia" w:hAnsiTheme="minorEastAsia" w:eastAsiaTheme="minorEastAsia"/>
                <w:szCs w:val="21"/>
              </w:rPr>
              <w:t>符合国家有关质量验收规范合格标准。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1722" w:type="dxa"/>
            <w:vAlign w:val="center"/>
          </w:tcPr>
          <w:p>
            <w:pPr>
              <w:pStyle w:val="28"/>
              <w:spacing w:line="48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投标人应具备</w:t>
            </w:r>
          </w:p>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bCs/>
                <w:szCs w:val="21"/>
              </w:rPr>
              <w:t>的资格条件</w:t>
            </w:r>
          </w:p>
        </w:tc>
        <w:tc>
          <w:tcPr>
            <w:tcW w:w="6689" w:type="dxa"/>
            <w:vAlign w:val="center"/>
          </w:tcPr>
          <w:p>
            <w:pPr>
              <w:snapToGrid w:val="0"/>
              <w:spacing w:line="480" w:lineRule="exact"/>
              <w:jc w:val="left"/>
              <w:rPr>
                <w:rFonts w:asciiTheme="minorEastAsia" w:hAnsiTheme="minorEastAsia" w:eastAsiaTheme="minorEastAsia"/>
                <w:szCs w:val="21"/>
              </w:rPr>
            </w:pPr>
            <w:r>
              <w:rPr>
                <w:rFonts w:hint="eastAsia" w:asciiTheme="minorEastAsia" w:hAnsiTheme="minorEastAsia" w:eastAsiaTheme="minorEastAsia"/>
                <w:szCs w:val="21"/>
              </w:rPr>
              <w:t>已参加本项目资格预审并获得通过。</w:t>
            </w:r>
          </w:p>
          <w:p>
            <w:pPr>
              <w:snapToGrid w:val="0"/>
              <w:spacing w:line="480" w:lineRule="exact"/>
              <w:jc w:val="left"/>
              <w:rPr>
                <w:rFonts w:asciiTheme="minorEastAsia" w:hAnsiTheme="minorEastAsia" w:eastAsiaTheme="minorEastAsia"/>
                <w:szCs w:val="21"/>
              </w:rPr>
            </w:pPr>
            <w:r>
              <w:rPr>
                <w:rFonts w:hint="eastAsia" w:asciiTheme="minorEastAsia" w:hAnsiTheme="minorEastAsia" w:eastAsiaTheme="minorEastAsia"/>
                <w:szCs w:val="21"/>
              </w:rPr>
              <w:t>本次采购不接受未参加资格预审或资格预审未通过的供应商投标。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3.3</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是否接受</w:t>
            </w:r>
          </w:p>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联合体投标</w:t>
            </w:r>
          </w:p>
        </w:tc>
        <w:tc>
          <w:tcPr>
            <w:tcW w:w="6689" w:type="dxa"/>
            <w:vAlign w:val="center"/>
          </w:tcPr>
          <w:p>
            <w:pPr>
              <w:pStyle w:val="28"/>
              <w:spacing w:line="480" w:lineRule="exact"/>
              <w:rPr>
                <w:rFonts w:asciiTheme="minorEastAsia" w:hAnsiTheme="minorEastAsia" w:eastAsiaTheme="minorEastAsia"/>
                <w:szCs w:val="21"/>
              </w:rPr>
            </w:pPr>
            <w:r>
              <w:rPr>
                <w:rFonts w:hint="eastAsia" w:cs="Arial" w:asciiTheme="minorEastAsia" w:hAnsiTheme="minorEastAsia" w:eastAsiaTheme="minorEastAsia"/>
                <w:szCs w:val="21"/>
              </w:rPr>
              <w:t>本项目接受联合体投标。</w:t>
            </w:r>
          </w:p>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rPr>
              <w:t>要求与通过资格预审的投标人的组织形式一致。投标人为联合体的成员单位名称需全部写上。</w:t>
            </w:r>
          </w:p>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rPr>
              <w:t>若联合体成员方数量或法人代表发生变更，或者其他与资格预审申请文件中的条件发生重大变化时，投标人须按照财金〔</w:t>
            </w:r>
            <w:r>
              <w:rPr>
                <w:rFonts w:asciiTheme="minorEastAsia" w:hAnsiTheme="minorEastAsia" w:eastAsiaTheme="minorEastAsia"/>
                <w:szCs w:val="21"/>
              </w:rPr>
              <w:t>2014</w:t>
            </w:r>
            <w:r>
              <w:rPr>
                <w:rFonts w:hint="eastAsia" w:asciiTheme="minorEastAsia" w:hAnsiTheme="minorEastAsia" w:eastAsiaTheme="minorEastAsia"/>
                <w:szCs w:val="21"/>
              </w:rPr>
              <w:t>〕</w:t>
            </w:r>
            <w:r>
              <w:rPr>
                <w:rFonts w:asciiTheme="minorEastAsia" w:hAnsiTheme="minorEastAsia" w:eastAsiaTheme="minorEastAsia"/>
                <w:szCs w:val="21"/>
              </w:rPr>
              <w:t>113</w:t>
            </w:r>
            <w:r>
              <w:rPr>
                <w:rFonts w:hint="eastAsia" w:asciiTheme="minorEastAsia" w:hAnsiTheme="minorEastAsia" w:eastAsiaTheme="minorEastAsia"/>
                <w:szCs w:val="21"/>
              </w:rPr>
              <w:t>号与财库〔</w:t>
            </w:r>
            <w:r>
              <w:rPr>
                <w:rFonts w:asciiTheme="minorEastAsia" w:hAnsiTheme="minorEastAsia" w:eastAsiaTheme="minorEastAsia"/>
                <w:szCs w:val="21"/>
              </w:rPr>
              <w:t>2014</w:t>
            </w:r>
            <w:r>
              <w:rPr>
                <w:rFonts w:hint="eastAsia" w:asciiTheme="minorEastAsia" w:hAnsiTheme="minorEastAsia" w:eastAsiaTheme="minorEastAsia"/>
                <w:szCs w:val="21"/>
              </w:rPr>
              <w:t>〕</w:t>
            </w:r>
            <w:r>
              <w:rPr>
                <w:rFonts w:asciiTheme="minorEastAsia" w:hAnsiTheme="minorEastAsia" w:eastAsiaTheme="minorEastAsia"/>
                <w:szCs w:val="21"/>
              </w:rPr>
              <w:t>215</w:t>
            </w:r>
            <w:r>
              <w:rPr>
                <w:rFonts w:hint="eastAsia" w:asciiTheme="minorEastAsia" w:hAnsiTheme="minorEastAsia" w:eastAsiaTheme="minorEastAsia"/>
                <w:szCs w:val="21"/>
              </w:rPr>
              <w:t>号等相关法律法规规定，明确更改情况，附有关材料并及时通知项目实施机构。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5" w:type="dxa"/>
            <w:vMerge w:val="restart"/>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4.1</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招标文件质疑提交</w:t>
            </w:r>
            <w:r>
              <w:rPr>
                <w:rFonts w:hint="eastAsia" w:asciiTheme="minorEastAsia" w:hAnsiTheme="minorEastAsia" w:eastAsiaTheme="minorEastAsia"/>
                <w:kern w:val="0"/>
                <w:szCs w:val="21"/>
              </w:rPr>
              <w:t>的截止时间</w:t>
            </w:r>
          </w:p>
        </w:tc>
        <w:tc>
          <w:tcPr>
            <w:tcW w:w="6689" w:type="dxa"/>
            <w:vAlign w:val="center"/>
          </w:tcPr>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rPr>
              <w:t>招标公告期限满截止之日起</w:t>
            </w:r>
            <w:r>
              <w:rPr>
                <w:rFonts w:asciiTheme="minorEastAsia" w:hAnsiTheme="minorEastAsia" w:eastAsiaTheme="minorEastAsia"/>
                <w:szCs w:val="21"/>
              </w:rPr>
              <w:t>7</w:t>
            </w:r>
            <w:r>
              <w:rPr>
                <w:rFonts w:hint="eastAsia" w:asciiTheme="minorEastAsia" w:hAnsiTheme="minorEastAsia" w:eastAsiaTheme="minorEastAsia"/>
                <w:szCs w:val="21"/>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185" w:type="dxa"/>
            <w:vMerge w:val="continue"/>
            <w:vAlign w:val="center"/>
          </w:tcPr>
          <w:p>
            <w:pPr>
              <w:pStyle w:val="28"/>
              <w:adjustRightInd w:val="0"/>
              <w:spacing w:line="480" w:lineRule="exact"/>
              <w:jc w:val="center"/>
              <w:rPr>
                <w:rFonts w:asciiTheme="minorEastAsia" w:hAnsiTheme="minorEastAsia" w:eastAsiaTheme="minorEastAsia"/>
                <w:szCs w:val="21"/>
              </w:rPr>
            </w:pP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质疑提交地点、电话</w:t>
            </w:r>
          </w:p>
        </w:tc>
        <w:tc>
          <w:tcPr>
            <w:tcW w:w="6689" w:type="dxa"/>
            <w:vAlign w:val="center"/>
          </w:tcPr>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rPr>
              <w:t>广西众鼎建设工程咨询有限公司（贵港市港北区民生路地产小区81号）</w:t>
            </w:r>
          </w:p>
          <w:p>
            <w:pPr>
              <w:pStyle w:val="28"/>
              <w:spacing w:line="480" w:lineRule="exact"/>
              <w:rPr>
                <w:rFonts w:asciiTheme="minorEastAsia" w:hAnsiTheme="minorEastAsia" w:eastAsiaTheme="minorEastAsia"/>
                <w:szCs w:val="21"/>
                <w:u w:val="single"/>
              </w:rPr>
            </w:pPr>
            <w:r>
              <w:rPr>
                <w:rFonts w:hint="eastAsia" w:asciiTheme="minorEastAsia" w:hAnsiTheme="minorEastAsia" w:eastAsiaTheme="minorEastAsia"/>
                <w:szCs w:val="21"/>
              </w:rPr>
              <w:t>联 系 人：孔彬蓓      联系电话：</w:t>
            </w:r>
            <w:r>
              <w:rPr>
                <w:rFonts w:asciiTheme="minorEastAsia" w:hAnsiTheme="minorEastAsia" w:eastAsiaTheme="minorEastAsia"/>
                <w:szCs w:val="21"/>
              </w:rPr>
              <w:t>0775-4364841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7.1</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kern w:val="0"/>
                <w:szCs w:val="21"/>
              </w:rPr>
              <w:t>投标人要求澄清的截止时间</w:t>
            </w:r>
          </w:p>
        </w:tc>
        <w:tc>
          <w:tcPr>
            <w:tcW w:w="6689" w:type="dxa"/>
            <w:vAlign w:val="center"/>
          </w:tcPr>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rPr>
              <w:t>招标文件发售截止之日起</w:t>
            </w:r>
            <w:r>
              <w:rPr>
                <w:rFonts w:asciiTheme="minorEastAsia" w:hAnsiTheme="minorEastAsia" w:eastAsiaTheme="minorEastAsia"/>
                <w:szCs w:val="21"/>
              </w:rPr>
              <w:t>7</w:t>
            </w:r>
            <w:r>
              <w:rPr>
                <w:rFonts w:hint="eastAsia" w:asciiTheme="minorEastAsia" w:hAnsiTheme="minorEastAsia" w:eastAsiaTheme="minorEastAsia"/>
                <w:szCs w:val="21"/>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8.5</w:t>
            </w:r>
          </w:p>
        </w:tc>
        <w:tc>
          <w:tcPr>
            <w:tcW w:w="1722" w:type="dxa"/>
            <w:vAlign w:val="center"/>
          </w:tcPr>
          <w:p>
            <w:pPr>
              <w:pStyle w:val="28"/>
              <w:spacing w:line="480" w:lineRule="exact"/>
              <w:jc w:val="center"/>
              <w:rPr>
                <w:rFonts w:asciiTheme="minorEastAsia" w:hAnsiTheme="minorEastAsia" w:eastAsiaTheme="minorEastAsia"/>
                <w:szCs w:val="21"/>
              </w:rPr>
            </w:pPr>
            <w:r>
              <w:rPr>
                <w:rFonts w:cs="Arial" w:asciiTheme="minorEastAsia" w:hAnsiTheme="minorEastAsia" w:eastAsiaTheme="minorEastAsia"/>
                <w:szCs w:val="21"/>
              </w:rPr>
              <w:t>签字、盖章要求</w:t>
            </w:r>
          </w:p>
        </w:tc>
        <w:tc>
          <w:tcPr>
            <w:tcW w:w="6689" w:type="dxa"/>
            <w:vAlign w:val="center"/>
          </w:tcPr>
          <w:p>
            <w:pPr>
              <w:pStyle w:val="28"/>
              <w:spacing w:line="480" w:lineRule="exact"/>
              <w:rPr>
                <w:rFonts w:cs="宋体" w:asciiTheme="minorEastAsia" w:hAnsiTheme="minorEastAsia" w:eastAsiaTheme="minorEastAsia"/>
                <w:szCs w:val="21"/>
                <w:shd w:val="clear" w:color="auto" w:fill="FFFFFF"/>
              </w:rPr>
            </w:pPr>
            <w:r>
              <w:rPr>
                <w:rFonts w:hint="eastAsia" w:asciiTheme="minorEastAsia" w:hAnsiTheme="minorEastAsia" w:eastAsiaTheme="minorEastAsia"/>
                <w:szCs w:val="21"/>
              </w:rPr>
              <w:t>在对应的“盖单位公章”处加盖单位公章，在法定代表人或其委托代理人“签字或盖章”处签字或盖法人章</w:t>
            </w:r>
            <w:r>
              <w:rPr>
                <w:rFonts w:hint="eastAsia" w:cs="宋体" w:asciiTheme="minorEastAsia" w:hAnsiTheme="minorEastAsia" w:eastAsiaTheme="minorEastAsia"/>
                <w:szCs w:val="21"/>
                <w:shd w:val="clear" w:color="auto" w:fill="FFFFFF"/>
              </w:rPr>
              <w:t>。否则，按投标文件不合格处理。</w:t>
            </w:r>
          </w:p>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b/>
                <w:bCs/>
                <w:szCs w:val="21"/>
                <w:u w:val="single"/>
              </w:rPr>
              <w:t>以联合体名义参与的，除联合体协议、法人证明书、授权委托书要求联合体各方均需盖章外，其余最终均以牵头人盖章为准。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8.7</w:t>
            </w:r>
          </w:p>
        </w:tc>
        <w:tc>
          <w:tcPr>
            <w:tcW w:w="1722" w:type="dxa"/>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投标文件份数</w:t>
            </w:r>
          </w:p>
        </w:tc>
        <w:tc>
          <w:tcPr>
            <w:tcW w:w="6689" w:type="dxa"/>
            <w:vAlign w:val="center"/>
          </w:tcPr>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rPr>
              <w:t>报价及商务文件：正本1份，副本6份</w:t>
            </w:r>
          </w:p>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rPr>
              <w:t>技术文件：正本1份，副本6份</w:t>
            </w:r>
          </w:p>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rPr>
              <w:t>以上整套文件提供2份word可编辑电子版（以U盘形式）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12.1</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投标有效期</w:t>
            </w:r>
          </w:p>
        </w:tc>
        <w:tc>
          <w:tcPr>
            <w:tcW w:w="6689" w:type="dxa"/>
            <w:vAlign w:val="center"/>
          </w:tcPr>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rPr>
              <w:t>自投标截止时间起90天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13</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投标保证金</w:t>
            </w:r>
          </w:p>
        </w:tc>
        <w:tc>
          <w:tcPr>
            <w:tcW w:w="6689" w:type="dxa"/>
            <w:vAlign w:val="center"/>
          </w:tcPr>
          <w:p>
            <w:pPr>
              <w:spacing w:line="480" w:lineRule="exact"/>
              <w:ind w:right="69" w:rightChars="33"/>
              <w:jc w:val="left"/>
              <w:rPr>
                <w:rFonts w:asciiTheme="minorEastAsia" w:hAnsiTheme="minorEastAsia" w:eastAsiaTheme="minorEastAsia"/>
                <w:kern w:val="0"/>
                <w:szCs w:val="21"/>
                <w:u w:val="single"/>
              </w:rPr>
            </w:pPr>
            <w:r>
              <w:rPr>
                <w:rFonts w:hint="eastAsia" w:asciiTheme="minorEastAsia" w:hAnsiTheme="minorEastAsia" w:eastAsiaTheme="minorEastAsia"/>
                <w:b/>
                <w:kern w:val="0"/>
                <w:szCs w:val="21"/>
              </w:rPr>
              <w:t>1、投标保证金的金额：</w:t>
            </w:r>
            <w:r>
              <w:rPr>
                <w:rFonts w:hint="eastAsia" w:cs="宋体" w:asciiTheme="minorEastAsia" w:hAnsiTheme="minorEastAsia" w:eastAsiaTheme="minorEastAsia"/>
                <w:b/>
                <w:bCs/>
                <w:szCs w:val="21"/>
                <w:u w:val="single"/>
              </w:rPr>
              <w:t>伍</w:t>
            </w:r>
            <w:r>
              <w:rPr>
                <w:rFonts w:hint="eastAsia" w:cs="宋体" w:asciiTheme="minorEastAsia" w:hAnsiTheme="minorEastAsia" w:eastAsiaTheme="minorEastAsia"/>
                <w:b/>
                <w:bCs/>
                <w:spacing w:val="-4"/>
                <w:szCs w:val="21"/>
                <w:u w:val="single"/>
              </w:rPr>
              <w:t>万元整</w:t>
            </w:r>
            <w:r>
              <w:rPr>
                <w:rFonts w:hint="eastAsia" w:cs="宋体" w:asciiTheme="minorEastAsia" w:hAnsiTheme="minorEastAsia" w:eastAsiaTheme="minorEastAsia"/>
                <w:b/>
                <w:bCs/>
                <w:szCs w:val="21"/>
                <w:u w:val="single"/>
              </w:rPr>
              <w:t>（￥50000.00）</w:t>
            </w:r>
            <w:r>
              <w:rPr>
                <w:rFonts w:hint="eastAsia" w:asciiTheme="minorEastAsia" w:hAnsiTheme="minorEastAsia" w:eastAsiaTheme="minorEastAsia"/>
                <w:bCs/>
                <w:kern w:val="0"/>
                <w:szCs w:val="21"/>
              </w:rPr>
              <w:t>；</w:t>
            </w:r>
          </w:p>
          <w:p>
            <w:pPr>
              <w:pStyle w:val="49"/>
              <w:shd w:val="clear" w:color="auto" w:fill="FFFFFF"/>
              <w:autoSpaceDE w:val="0"/>
              <w:spacing w:before="0" w:beforeAutospacing="0" w:after="0" w:afterAutospacing="0" w:line="36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b/>
                <w:szCs w:val="21"/>
              </w:rPr>
              <w:t>2、</w:t>
            </w:r>
            <w:r>
              <w:rPr>
                <w:rFonts w:hint="eastAsia" w:asciiTheme="minorEastAsia" w:hAnsiTheme="minorEastAsia" w:eastAsiaTheme="minorEastAsia"/>
                <w:b/>
                <w:sz w:val="21"/>
                <w:szCs w:val="21"/>
                <w:shd w:val="clear" w:color="auto" w:fill="FFFFFF"/>
              </w:rPr>
              <w:t>投</w:t>
            </w:r>
            <w:r>
              <w:rPr>
                <w:rFonts w:hint="eastAsia" w:cs="Times New Roman" w:asciiTheme="minorEastAsia" w:hAnsiTheme="minorEastAsia" w:eastAsiaTheme="minorEastAsia"/>
                <w:b/>
                <w:sz w:val="21"/>
                <w:szCs w:val="21"/>
              </w:rPr>
              <w:t>标保证金的形式</w:t>
            </w:r>
            <w:r>
              <w:rPr>
                <w:rFonts w:hint="eastAsia" w:cs="Times New Roman" w:asciiTheme="minorEastAsia" w:hAnsiTheme="minorEastAsia" w:eastAsiaTheme="minorEastAsia"/>
                <w:sz w:val="21"/>
                <w:szCs w:val="21"/>
              </w:rPr>
              <w:t>：可以银行保函、银行转账、电汇、工程担保、工程保证保险等方式提交至以下账户。【备注：严禁要求投标人只能以现金方式提交保证金的行为</w:t>
            </w:r>
            <w:r>
              <w:rPr>
                <w:rFonts w:hint="eastAsia" w:asciiTheme="minorEastAsia" w:hAnsiTheme="minorEastAsia" w:eastAsiaTheme="minorEastAsia"/>
                <w:sz w:val="21"/>
                <w:szCs w:val="21"/>
                <w:shd w:val="clear" w:color="auto" w:fill="FFFFFF"/>
              </w:rPr>
              <w:t>】。</w:t>
            </w:r>
          </w:p>
          <w:p>
            <w:pPr>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b/>
                <w:bCs/>
                <w:szCs w:val="21"/>
                <w:shd w:val="clear" w:color="auto" w:fill="FFFFFF"/>
              </w:rPr>
              <w:t>3、递交方式：</w:t>
            </w:r>
            <w:r>
              <w:rPr>
                <w:rFonts w:hint="eastAsia" w:cs="宋体" w:asciiTheme="minorEastAsia" w:hAnsiTheme="minorEastAsia" w:eastAsiaTheme="minorEastAsia"/>
                <w:szCs w:val="21"/>
                <w:shd w:val="clear" w:color="auto" w:fill="FFFFFF"/>
              </w:rPr>
              <w:t>投标人应于投标截止时间前采用银行保函方式的，保函有效期不得低于投标有效期【备注：在投标截止时间前于开标现场将银行开具的无条件银行保函原件递交给招标人，复印件加盖投标人单位公章装入投标文件中】，否则做否决投标处理；采用银行转账、电汇方式的，必须从投标人的基本账户转账或电汇到以下指定的投标保证金专用账户【备注：在投标截止时间前于开标现场查验银行转帐原件（</w:t>
            </w:r>
            <w:r>
              <w:rPr>
                <w:rFonts w:hint="eastAsia" w:cs="宋体" w:asciiTheme="minorEastAsia" w:hAnsiTheme="minorEastAsia" w:eastAsiaTheme="minorEastAsia"/>
                <w:szCs w:val="21"/>
              </w:rPr>
              <w:t>电子转账的底单原件可采用彩色打印加盖转账单位公章），复印件加盖投标人单位公章装入投标文件】，否则做否决投标处理（如为联合体投标的，由联合体任一成员提交即可）。</w:t>
            </w:r>
          </w:p>
          <w:p>
            <w:pPr>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4、从投标人基本帐户转出。</w:t>
            </w:r>
          </w:p>
          <w:p>
            <w:pPr>
              <w:snapToGrid w:val="0"/>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（1）帐  号：</w:t>
            </w:r>
            <w:r>
              <w:rPr>
                <w:rFonts w:asciiTheme="minorEastAsia" w:hAnsiTheme="minorEastAsia" w:eastAsiaTheme="minorEastAsia"/>
                <w:szCs w:val="21"/>
                <w:shd w:val="clear" w:color="auto" w:fill="FFFFFF"/>
              </w:rPr>
              <w:t>8000975025898995259600</w:t>
            </w:r>
          </w:p>
          <w:p>
            <w:pPr>
              <w:snapToGrid w:val="0"/>
              <w:spacing w:line="360" w:lineRule="auto"/>
              <w:ind w:firstLine="525" w:firstLineChars="250"/>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帐户名称：贵港市公共资源交易中心</w:t>
            </w:r>
          </w:p>
          <w:p>
            <w:pPr>
              <w:snapToGrid w:val="0"/>
              <w:spacing w:line="360" w:lineRule="auto"/>
              <w:ind w:firstLine="525" w:firstLineChars="250"/>
              <w:rPr>
                <w:rFonts w:hint="eastAsia"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开户银行：广西北部湾银行</w:t>
            </w:r>
          </w:p>
          <w:p>
            <w:pPr>
              <w:snapToGrid w:val="0"/>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（5）帐  号：</w:t>
            </w:r>
            <w:r>
              <w:rPr>
                <w:rFonts w:asciiTheme="minorEastAsia" w:hAnsiTheme="minorEastAsia" w:eastAsiaTheme="minorEastAsia"/>
                <w:szCs w:val="21"/>
                <w:shd w:val="clear" w:color="auto" w:fill="FFFFFF"/>
              </w:rPr>
              <w:t>9558832116000280988</w:t>
            </w:r>
          </w:p>
          <w:p>
            <w:pPr>
              <w:snapToGrid w:val="0"/>
              <w:spacing w:line="360" w:lineRule="auto"/>
              <w:ind w:firstLine="525" w:firstLineChars="250"/>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帐户名称：贵港市公共资源交易中心</w:t>
            </w:r>
          </w:p>
          <w:p>
            <w:pPr>
              <w:snapToGrid w:val="0"/>
              <w:spacing w:line="360" w:lineRule="auto"/>
              <w:ind w:firstLine="525" w:firstLineChars="250"/>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开户银行：中国工商银行</w:t>
            </w:r>
          </w:p>
          <w:p>
            <w:pPr>
              <w:snapToGrid w:val="0"/>
              <w:spacing w:line="360" w:lineRule="auto"/>
              <w:ind w:firstLine="315" w:firstLineChars="150"/>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转账单附言注明项目名称或项目编号。</w:t>
            </w:r>
          </w:p>
          <w:p>
            <w:pPr>
              <w:snapToGrid w:val="0"/>
              <w:spacing w:line="360" w:lineRule="auto"/>
              <w:ind w:firstLine="315" w:firstLineChars="150"/>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注：保证金退还方式：</w:t>
            </w:r>
          </w:p>
          <w:p>
            <w:pPr>
              <w:snapToGrid w:val="0"/>
              <w:spacing w:line="360" w:lineRule="auto"/>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所有投标人在递交投标文件时，同时提交保证金银行转帐底单复印件、开户许可证复印件（复印件须清晰可辨认，且加盖投标单位公章）给招标代理机构；（2）除招标文件规定不予退还保证金的情形外，未成交投标人的投标保证金在中标通知书发出后，由采购代理机构前往贵港市公共资源交易中心办理退还保证金手续， 五个工作日内退还；（3）中标人的投标保证金在中标人与采购人签订合同，将合同副本原件一份送达代理机构处存档后，由采购代理机构前往贵港市公共资源交易中心办理退还保证金手续， 五个工作日内退</w:t>
            </w:r>
            <w:r>
              <w:rPr>
                <w:rFonts w:hint="eastAsia" w:asciiTheme="minorEastAsia" w:hAnsiTheme="minorEastAsia" w:eastAsiaTheme="minorEastAsia"/>
                <w:szCs w:val="21"/>
                <w:shd w:val="clear" w:color="auto" w:fill="FFFFFF"/>
              </w:rPr>
              <w:t>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14.3</w:t>
            </w:r>
          </w:p>
        </w:tc>
        <w:tc>
          <w:tcPr>
            <w:tcW w:w="1722" w:type="dxa"/>
            <w:vAlign w:val="center"/>
          </w:tcPr>
          <w:p>
            <w:pPr>
              <w:pStyle w:val="28"/>
              <w:spacing w:line="480" w:lineRule="exact"/>
              <w:jc w:val="center"/>
              <w:rPr>
                <w:rFonts w:asciiTheme="minorEastAsia" w:hAnsiTheme="minorEastAsia" w:eastAsiaTheme="minorEastAsia"/>
                <w:szCs w:val="21"/>
              </w:rPr>
            </w:pPr>
            <w:r>
              <w:rPr>
                <w:rFonts w:cs="Arial" w:asciiTheme="minorEastAsia" w:hAnsiTheme="minorEastAsia" w:eastAsiaTheme="minorEastAsia"/>
                <w:szCs w:val="21"/>
              </w:rPr>
              <w:t>封套上写明</w:t>
            </w:r>
          </w:p>
        </w:tc>
        <w:tc>
          <w:tcPr>
            <w:tcW w:w="6689" w:type="dxa"/>
            <w:vAlign w:val="center"/>
          </w:tcPr>
          <w:p>
            <w:pPr>
              <w:adjustRightInd w:val="0"/>
              <w:spacing w:line="440" w:lineRule="exact"/>
              <w:textAlignment w:val="baseline"/>
              <w:rPr>
                <w:rFonts w:cs="Arial" w:asciiTheme="minorEastAsia" w:hAnsiTheme="minorEastAsia" w:eastAsiaTheme="minorEastAsia"/>
                <w:szCs w:val="21"/>
              </w:rPr>
            </w:pPr>
            <w:r>
              <w:rPr>
                <w:rFonts w:cs="Arial" w:asciiTheme="minorEastAsia" w:hAnsiTheme="minorEastAsia" w:eastAsiaTheme="minorEastAsia"/>
                <w:szCs w:val="21"/>
              </w:rPr>
              <w:t>采购人的地址：</w:t>
            </w:r>
          </w:p>
          <w:p>
            <w:pPr>
              <w:adjustRightInd w:val="0"/>
              <w:spacing w:line="440" w:lineRule="exact"/>
              <w:textAlignment w:val="baseline"/>
              <w:rPr>
                <w:rFonts w:cs="Arial" w:asciiTheme="minorEastAsia" w:hAnsiTheme="minorEastAsia" w:eastAsiaTheme="minorEastAsia"/>
                <w:szCs w:val="21"/>
              </w:rPr>
            </w:pPr>
            <w:r>
              <w:rPr>
                <w:rFonts w:cs="Arial" w:asciiTheme="minorEastAsia" w:hAnsiTheme="minorEastAsia" w:eastAsiaTheme="minorEastAsia"/>
                <w:szCs w:val="21"/>
              </w:rPr>
              <w:t>采购人名称：</w:t>
            </w:r>
          </w:p>
          <w:p>
            <w:pPr>
              <w:adjustRightInd w:val="0"/>
              <w:spacing w:line="440" w:lineRule="exact"/>
              <w:textAlignment w:val="baseline"/>
              <w:rPr>
                <w:rFonts w:cs="Arial" w:asciiTheme="minorEastAsia" w:hAnsiTheme="minorEastAsia" w:eastAsiaTheme="minorEastAsia"/>
                <w:szCs w:val="21"/>
              </w:rPr>
            </w:pPr>
            <w:r>
              <w:rPr>
                <w:rFonts w:cs="Arial" w:asciiTheme="minorEastAsia" w:hAnsiTheme="minorEastAsia" w:eastAsiaTheme="minorEastAsia"/>
                <w:szCs w:val="21"/>
              </w:rPr>
              <w:t>（项目名称）投标文件</w:t>
            </w:r>
          </w:p>
          <w:p>
            <w:pPr>
              <w:pStyle w:val="28"/>
              <w:spacing w:line="480" w:lineRule="exact"/>
              <w:rPr>
                <w:rFonts w:asciiTheme="minorEastAsia" w:hAnsiTheme="minorEastAsia" w:eastAsiaTheme="minorEastAsia"/>
                <w:szCs w:val="21"/>
              </w:rPr>
            </w:pPr>
            <w:r>
              <w:rPr>
                <w:rFonts w:cs="Arial" w:asciiTheme="minorEastAsia" w:hAnsiTheme="minorEastAsia" w:eastAsiaTheme="minorEastAsia"/>
                <w:szCs w:val="21"/>
              </w:rPr>
              <w:t>在</w:t>
            </w:r>
            <w:r>
              <w:rPr>
                <w:rFonts w:hint="eastAsia" w:cs="Arial" w:asciiTheme="minorEastAsia" w:hAnsiTheme="minorEastAsia" w:eastAsiaTheme="minorEastAsia"/>
                <w:szCs w:val="21"/>
              </w:rPr>
              <w:t xml:space="preserve">投标截止时间     </w:t>
            </w:r>
            <w:r>
              <w:rPr>
                <w:rFonts w:cs="Arial" w:asciiTheme="minorEastAsia" w:hAnsiTheme="minorEastAsia" w:eastAsiaTheme="minorEastAsia"/>
                <w:szCs w:val="21"/>
              </w:rPr>
              <w:t>年</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月</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日</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时</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15.1</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投标截止时间</w:t>
            </w:r>
          </w:p>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（开标时间）</w:t>
            </w:r>
          </w:p>
        </w:tc>
        <w:tc>
          <w:tcPr>
            <w:tcW w:w="6689" w:type="dxa"/>
            <w:vAlign w:val="center"/>
          </w:tcPr>
          <w:p>
            <w:pPr>
              <w:pStyle w:val="28"/>
              <w:spacing w:line="480" w:lineRule="exact"/>
              <w:rPr>
                <w:rFonts w:cs="Arial" w:asciiTheme="minorEastAsia" w:hAnsiTheme="minorEastAsia" w:eastAsiaTheme="minorEastAsia"/>
                <w:szCs w:val="21"/>
                <w:u w:val="single"/>
              </w:rPr>
            </w:pPr>
            <w:r>
              <w:rPr>
                <w:rFonts w:hint="eastAsia" w:cs="Arial" w:asciiTheme="minorEastAsia" w:hAnsiTheme="minorEastAsia" w:eastAsiaTheme="minorEastAsia"/>
                <w:szCs w:val="21"/>
              </w:rPr>
              <w:t>2020</w:t>
            </w:r>
            <w:r>
              <w:rPr>
                <w:rFonts w:cs="Arial" w:asciiTheme="minorEastAsia" w:hAnsiTheme="minorEastAsia" w:eastAsiaTheme="minorEastAsia"/>
                <w:szCs w:val="21"/>
              </w:rPr>
              <w:t>年</w:t>
            </w:r>
            <w:r>
              <w:rPr>
                <w:rFonts w:hint="eastAsia" w:cs="Arial" w:asciiTheme="minorEastAsia" w:hAnsiTheme="minorEastAsia" w:eastAsiaTheme="minorEastAsia"/>
                <w:szCs w:val="21"/>
              </w:rPr>
              <w:t>10</w:t>
            </w:r>
            <w:r>
              <w:rPr>
                <w:rFonts w:cs="Arial" w:asciiTheme="minorEastAsia" w:hAnsiTheme="minorEastAsia" w:eastAsiaTheme="minorEastAsia"/>
                <w:szCs w:val="21"/>
              </w:rPr>
              <w:t>月</w:t>
            </w:r>
            <w:r>
              <w:rPr>
                <w:rFonts w:hint="eastAsia" w:cs="Arial" w:asciiTheme="minorEastAsia" w:hAnsiTheme="minorEastAsia" w:eastAsiaTheme="minorEastAsia"/>
                <w:szCs w:val="21"/>
              </w:rPr>
              <w:t>12</w:t>
            </w:r>
            <w:r>
              <w:rPr>
                <w:rFonts w:cs="Arial" w:asciiTheme="minorEastAsia" w:hAnsiTheme="minorEastAsia" w:eastAsiaTheme="minorEastAsia"/>
                <w:szCs w:val="21"/>
              </w:rPr>
              <w:t>日</w:t>
            </w:r>
            <w:r>
              <w:rPr>
                <w:rFonts w:hint="eastAsia" w:cs="Arial" w:asciiTheme="minorEastAsia" w:hAnsiTheme="minorEastAsia" w:eastAsiaTheme="minorEastAsia"/>
                <w:szCs w:val="21"/>
              </w:rPr>
              <w:t>9</w:t>
            </w:r>
            <w:r>
              <w:rPr>
                <w:rFonts w:cs="Arial" w:asciiTheme="minorEastAsia" w:hAnsiTheme="minorEastAsia" w:eastAsiaTheme="minorEastAsia"/>
                <w:szCs w:val="21"/>
              </w:rPr>
              <w:t>时</w:t>
            </w:r>
            <w:r>
              <w:rPr>
                <w:rFonts w:hint="eastAsia" w:cs="Arial" w:asciiTheme="minorEastAsia" w:hAnsiTheme="minorEastAsia" w:eastAsiaTheme="minorEastAsia"/>
                <w:szCs w:val="21"/>
              </w:rPr>
              <w:t>00</w:t>
            </w:r>
            <w:r>
              <w:rPr>
                <w:rFonts w:cs="Arial" w:asciiTheme="minorEastAsia" w:hAnsiTheme="minorEastAsia" w:eastAsiaTheme="minorEastAsia"/>
                <w:szCs w:val="21"/>
              </w:rPr>
              <w:t>分</w:t>
            </w:r>
            <w:r>
              <w:rPr>
                <w:rFonts w:hint="eastAsia" w:cs="Arial" w:asciiTheme="minorEastAsia" w:hAnsiTheme="minorEastAsia" w:eastAsiaTheme="minorEastAsia"/>
                <w:szCs w:val="21"/>
              </w:rPr>
              <w:t>（北京时间）</w:t>
            </w:r>
            <w:r>
              <w:rPr>
                <w:rFonts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15.2</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递交投标文件地点</w:t>
            </w:r>
          </w:p>
        </w:tc>
        <w:tc>
          <w:tcPr>
            <w:tcW w:w="6689" w:type="dxa"/>
            <w:vAlign w:val="center"/>
          </w:tcPr>
          <w:p>
            <w:pPr>
              <w:spacing w:line="480" w:lineRule="exact"/>
              <w:rPr>
                <w:rFonts w:cs="Arial" w:asciiTheme="minorEastAsia" w:hAnsiTheme="minorEastAsia" w:eastAsiaTheme="minorEastAsia"/>
                <w:szCs w:val="21"/>
              </w:rPr>
            </w:pPr>
            <w:r>
              <w:rPr>
                <w:rFonts w:hint="eastAsia" w:cs="Arial" w:asciiTheme="minorEastAsia" w:hAnsiTheme="minorEastAsia" w:eastAsiaTheme="minorEastAsia"/>
                <w:szCs w:val="21"/>
              </w:rPr>
              <w:t>贵港市公共资源交易中心（贵港市港北区金城商业步行街与金田路交叉口东南150米水利大厦）二楼开标厅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16.1</w:t>
            </w:r>
          </w:p>
        </w:tc>
        <w:tc>
          <w:tcPr>
            <w:tcW w:w="1722" w:type="dxa"/>
            <w:vAlign w:val="center"/>
          </w:tcPr>
          <w:p>
            <w:pPr>
              <w:adjustRightInd w:val="0"/>
              <w:spacing w:line="44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开标地点</w:t>
            </w:r>
          </w:p>
        </w:tc>
        <w:tc>
          <w:tcPr>
            <w:tcW w:w="6689" w:type="dxa"/>
            <w:vAlign w:val="center"/>
          </w:tcPr>
          <w:p>
            <w:pPr>
              <w:adjustRightInd w:val="0"/>
              <w:spacing w:line="440" w:lineRule="exact"/>
              <w:textAlignment w:val="baseline"/>
              <w:rPr>
                <w:rFonts w:cs="Arial" w:asciiTheme="minorEastAsia" w:hAnsiTheme="minorEastAsia" w:eastAsiaTheme="minorEastAsia"/>
                <w:szCs w:val="21"/>
              </w:rPr>
            </w:pPr>
            <w:r>
              <w:rPr>
                <w:rFonts w:hint="eastAsia" w:cs="Arial" w:asciiTheme="minorEastAsia" w:hAnsiTheme="minorEastAsia" w:eastAsiaTheme="minorEastAsia"/>
                <w:szCs w:val="21"/>
              </w:rPr>
              <w:t>贵港市公共资源交易中心（贵港市港北区金城商业步行街与金田路交叉口东南150米水利大厦）二楼开标厅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16.</w:t>
            </w:r>
            <w:r>
              <w:rPr>
                <w:rFonts w:hint="eastAsia" w:asciiTheme="minorEastAsia" w:hAnsiTheme="minorEastAsia" w:eastAsiaTheme="minorEastAsia"/>
                <w:szCs w:val="21"/>
              </w:rPr>
              <w:t>2</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cs="Arial" w:asciiTheme="minorEastAsia" w:hAnsiTheme="minorEastAsia" w:eastAsiaTheme="minorEastAsia"/>
                <w:szCs w:val="21"/>
              </w:rPr>
              <w:t>开标程序</w:t>
            </w:r>
          </w:p>
        </w:tc>
        <w:tc>
          <w:tcPr>
            <w:tcW w:w="6689" w:type="dxa"/>
            <w:vAlign w:val="center"/>
          </w:tcPr>
          <w:p>
            <w:pPr>
              <w:pStyle w:val="1003"/>
              <w:tabs>
                <w:tab w:val="left" w:pos="728"/>
              </w:tabs>
              <w:spacing w:before="165"/>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密封情况检查：采购人代表、投标人代表检查投标文件的密封情况。</w:t>
            </w:r>
          </w:p>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rPr>
              <w:t>开标顺序：按照递交投标文件时间顺序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17.1</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评标委员会</w:t>
            </w:r>
          </w:p>
        </w:tc>
        <w:tc>
          <w:tcPr>
            <w:tcW w:w="6689" w:type="dxa"/>
            <w:vAlign w:val="center"/>
          </w:tcPr>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rPr>
              <w:t>评标由依法组建的评标委员会负责。评标委员会由采购人代表和有关技术、财务、法律等方面的专家共</w:t>
            </w:r>
            <w:r>
              <w:rPr>
                <w:rFonts w:asciiTheme="minorEastAsia" w:hAnsiTheme="minorEastAsia" w:eastAsiaTheme="minorEastAsia"/>
                <w:szCs w:val="21"/>
              </w:rPr>
              <w:t>7</w:t>
            </w:r>
            <w:r>
              <w:rPr>
                <w:rFonts w:hint="eastAsia" w:asciiTheme="minorEastAsia" w:hAnsiTheme="minorEastAsia" w:eastAsiaTheme="minorEastAsia"/>
                <w:szCs w:val="21"/>
              </w:rPr>
              <w:t>人组成，其中评标专家人数不得少于评标委员会成员总数的</w:t>
            </w:r>
            <w:r>
              <w:rPr>
                <w:rFonts w:asciiTheme="minorEastAsia" w:hAnsiTheme="minorEastAsia" w:eastAsiaTheme="minorEastAsia"/>
                <w:szCs w:val="21"/>
              </w:rPr>
              <w:t>2/3</w:t>
            </w:r>
            <w:r>
              <w:rPr>
                <w:rFonts w:hint="eastAsia" w:asciiTheme="minorEastAsia" w:hAnsiTheme="minorEastAsia" w:eastAsiaTheme="minorEastAsia"/>
                <w:szCs w:val="21"/>
              </w:rPr>
              <w:t>。采购人或采购代理机构根据本项目的特点，可以从财政部门设立的政府采购评审专家库中，通过随机方式抽取专家。包含</w:t>
            </w:r>
            <w:r>
              <w:rPr>
                <w:rFonts w:asciiTheme="minorEastAsia" w:hAnsiTheme="minorEastAsia" w:eastAsiaTheme="minorEastAsia"/>
                <w:szCs w:val="21"/>
              </w:rPr>
              <w:t>2</w:t>
            </w:r>
            <w:r>
              <w:rPr>
                <w:rFonts w:hint="eastAsia" w:asciiTheme="minorEastAsia" w:hAnsiTheme="minorEastAsia" w:eastAsiaTheme="minorEastAsia"/>
                <w:szCs w:val="21"/>
              </w:rPr>
              <w:t>名采购人代表、</w:t>
            </w:r>
            <w:r>
              <w:rPr>
                <w:rFonts w:asciiTheme="minorEastAsia" w:hAnsiTheme="minorEastAsia" w:eastAsiaTheme="minorEastAsia"/>
                <w:szCs w:val="21"/>
              </w:rPr>
              <w:t>3</w:t>
            </w:r>
            <w:r>
              <w:rPr>
                <w:rFonts w:hint="eastAsia" w:asciiTheme="minorEastAsia" w:hAnsiTheme="minorEastAsia" w:eastAsiaTheme="minorEastAsia"/>
                <w:szCs w:val="21"/>
              </w:rPr>
              <w:t>名技术专家、</w:t>
            </w:r>
            <w:r>
              <w:rPr>
                <w:rFonts w:asciiTheme="minorEastAsia" w:hAnsiTheme="minorEastAsia" w:eastAsiaTheme="minorEastAsia"/>
                <w:szCs w:val="21"/>
              </w:rPr>
              <w:t>1</w:t>
            </w:r>
            <w:r>
              <w:rPr>
                <w:rFonts w:hint="eastAsia" w:asciiTheme="minorEastAsia" w:hAnsiTheme="minorEastAsia" w:eastAsiaTheme="minorEastAsia"/>
                <w:szCs w:val="21"/>
              </w:rPr>
              <w:t>名财务专家和</w:t>
            </w:r>
            <w:r>
              <w:rPr>
                <w:rFonts w:asciiTheme="minorEastAsia" w:hAnsiTheme="minorEastAsia" w:eastAsiaTheme="minorEastAsia"/>
                <w:szCs w:val="21"/>
              </w:rPr>
              <w:t>1</w:t>
            </w:r>
            <w:r>
              <w:rPr>
                <w:rFonts w:hint="eastAsia" w:asciiTheme="minorEastAsia" w:hAnsiTheme="minorEastAsia" w:eastAsiaTheme="minorEastAsia"/>
                <w:szCs w:val="21"/>
              </w:rPr>
              <w:t>名法律专家。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17.4</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评标方法</w:t>
            </w:r>
          </w:p>
        </w:tc>
        <w:tc>
          <w:tcPr>
            <w:tcW w:w="6689" w:type="dxa"/>
            <w:vAlign w:val="center"/>
          </w:tcPr>
          <w:p>
            <w:pPr>
              <w:pStyle w:val="28"/>
              <w:spacing w:line="480" w:lineRule="exact"/>
              <w:rPr>
                <w:rFonts w:asciiTheme="minorEastAsia" w:hAnsiTheme="minorEastAsia" w:eastAsiaTheme="minorEastAsia"/>
                <w:szCs w:val="21"/>
              </w:rPr>
            </w:pPr>
            <w:r>
              <w:rPr>
                <w:rFonts w:hint="eastAsia" w:asciiTheme="minorEastAsia" w:hAnsiTheme="minorEastAsia" w:eastAsiaTheme="minor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23.1</w:t>
            </w:r>
          </w:p>
        </w:tc>
        <w:tc>
          <w:tcPr>
            <w:tcW w:w="1722" w:type="dxa"/>
            <w:vAlign w:val="center"/>
          </w:tcPr>
          <w:p>
            <w:pPr>
              <w:pStyle w:val="28"/>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中标通知书的发放</w:t>
            </w:r>
          </w:p>
        </w:tc>
        <w:tc>
          <w:tcPr>
            <w:tcW w:w="6689" w:type="dxa"/>
            <w:vAlign w:val="center"/>
          </w:tcPr>
          <w:p>
            <w:pPr>
              <w:pStyle w:val="28"/>
              <w:spacing w:line="4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PPP</w:t>
            </w:r>
            <w:r>
              <w:rPr>
                <w:rFonts w:hint="eastAsia" w:asciiTheme="minorEastAsia" w:hAnsiTheme="minorEastAsia" w:eastAsiaTheme="minorEastAsia"/>
                <w:szCs w:val="21"/>
              </w:rPr>
              <w:t>项目采购评审结束后，贵港市产业园区管理委员会成立专门的采购结果确认谈判工作组，负责采购结果确认前的谈判和最终的采购结果确认工作。采购结果确认谈判工作组成员及数量由贵港市产业园区管理委员会确定。采购结果确认谈判工作组应当按照评审报告推荐的中标候选供应商排名，依次与中标候选供应商就</w:t>
            </w:r>
            <w:r>
              <w:rPr>
                <w:rFonts w:asciiTheme="minorEastAsia" w:hAnsiTheme="minorEastAsia" w:eastAsiaTheme="minorEastAsia"/>
                <w:szCs w:val="21"/>
              </w:rPr>
              <w:t>PPP</w:t>
            </w:r>
            <w:r>
              <w:rPr>
                <w:rFonts w:hint="eastAsia" w:asciiTheme="minorEastAsia" w:hAnsiTheme="minorEastAsia" w:eastAsiaTheme="minorEastAsia"/>
                <w:szCs w:val="21"/>
              </w:rPr>
              <w:t>项目合同中可变的问题进行</w:t>
            </w:r>
            <w:r>
              <w:rPr>
                <w:rFonts w:asciiTheme="minorEastAsia" w:hAnsiTheme="minorEastAsia" w:eastAsiaTheme="minorEastAsia"/>
                <w:szCs w:val="21"/>
              </w:rPr>
              <w:t>PPP</w:t>
            </w:r>
            <w:r>
              <w:rPr>
                <w:rFonts w:hint="eastAsia" w:asciiTheme="minorEastAsia" w:hAnsiTheme="minorEastAsia" w:eastAsiaTheme="minorEastAsia"/>
                <w:szCs w:val="21"/>
              </w:rPr>
              <w:t>项目合同签署前的确认谈判，率先达成一致的中标候选供应商即为中标供应商。贵港市产业园区管理委员会应当在中标供应商确定后</w:t>
            </w:r>
            <w:r>
              <w:rPr>
                <w:rFonts w:asciiTheme="minorEastAsia" w:hAnsiTheme="minorEastAsia" w:eastAsiaTheme="minorEastAsia"/>
                <w:szCs w:val="21"/>
              </w:rPr>
              <w:t>10</w:t>
            </w:r>
            <w:r>
              <w:rPr>
                <w:rFonts w:hint="eastAsia" w:asciiTheme="minorEastAsia" w:hAnsiTheme="minorEastAsia" w:eastAsiaTheme="minorEastAsia"/>
                <w:szCs w:val="21"/>
              </w:rPr>
              <w:t>个工作日内，与中标供应商签署确认谈判备忘录，并将预中标结果和根据采购文件、投标文件及有关补遗文件和确认谈判备忘录拟定的</w:t>
            </w:r>
            <w:r>
              <w:rPr>
                <w:rFonts w:asciiTheme="minorEastAsia" w:hAnsiTheme="minorEastAsia" w:eastAsiaTheme="minorEastAsia"/>
                <w:szCs w:val="21"/>
              </w:rPr>
              <w:t>PPP</w:t>
            </w:r>
            <w:r>
              <w:rPr>
                <w:rFonts w:hint="eastAsia" w:asciiTheme="minorEastAsia" w:hAnsiTheme="minorEastAsia" w:eastAsiaTheme="minorEastAsia"/>
                <w:szCs w:val="21"/>
              </w:rPr>
              <w:t>项目合同文本在本章第</w:t>
            </w:r>
            <w:r>
              <w:rPr>
                <w:rFonts w:asciiTheme="minorEastAsia" w:hAnsiTheme="minorEastAsia" w:eastAsiaTheme="minorEastAsia"/>
                <w:szCs w:val="21"/>
              </w:rPr>
              <w:t>2</w:t>
            </w:r>
            <w:r>
              <w:rPr>
                <w:rFonts w:hint="eastAsia" w:asciiTheme="minorEastAsia" w:hAnsiTheme="minorEastAsia" w:eastAsiaTheme="minorEastAsia"/>
                <w:szCs w:val="21"/>
              </w:rPr>
              <w:t>项规定的政府采购信息发布媒体上进行公示，公示期为</w:t>
            </w:r>
            <w:r>
              <w:rPr>
                <w:rFonts w:asciiTheme="minorEastAsia" w:hAnsiTheme="minorEastAsia" w:eastAsiaTheme="minorEastAsia"/>
                <w:szCs w:val="21"/>
              </w:rPr>
              <w:t>5</w:t>
            </w:r>
            <w:r>
              <w:rPr>
                <w:rFonts w:hint="eastAsia" w:asciiTheme="minorEastAsia" w:hAnsiTheme="minorEastAsia" w:eastAsiaTheme="minorEastAsia"/>
                <w:szCs w:val="21"/>
              </w:rPr>
              <w:t>个工作日。贵港市产业园区管理委员会应当在公示期满无异议后</w:t>
            </w:r>
            <w:r>
              <w:rPr>
                <w:rFonts w:asciiTheme="minorEastAsia" w:hAnsiTheme="minorEastAsia" w:eastAsiaTheme="minorEastAsia"/>
                <w:szCs w:val="21"/>
              </w:rPr>
              <w:t>2</w:t>
            </w:r>
            <w:r>
              <w:rPr>
                <w:rFonts w:hint="eastAsia" w:asciiTheme="minorEastAsia" w:hAnsiTheme="minorEastAsia" w:eastAsiaTheme="minorEastAsia"/>
                <w:szCs w:val="21"/>
              </w:rPr>
              <w:t>个工作日内，将中标结果在本章第</w:t>
            </w:r>
            <w:r>
              <w:rPr>
                <w:rFonts w:asciiTheme="minorEastAsia" w:hAnsiTheme="minorEastAsia" w:eastAsiaTheme="minorEastAsia"/>
                <w:szCs w:val="21"/>
              </w:rPr>
              <w:t>2</w:t>
            </w:r>
            <w:r>
              <w:rPr>
                <w:rFonts w:hint="eastAsia" w:asciiTheme="minorEastAsia" w:hAnsiTheme="minorEastAsia" w:eastAsiaTheme="minorEastAsia"/>
                <w:szCs w:val="21"/>
              </w:rPr>
              <w:t>项规定的政府采购信息发布媒体上进行公告，同时发出中标通知书。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r>
              <w:rPr>
                <w:rFonts w:asciiTheme="minorEastAsia" w:hAnsiTheme="minorEastAsia" w:eastAsiaTheme="minorEastAsia"/>
                <w:szCs w:val="21"/>
              </w:rPr>
              <w:t>28.1</w:t>
            </w:r>
          </w:p>
        </w:tc>
        <w:tc>
          <w:tcPr>
            <w:tcW w:w="1722" w:type="dxa"/>
            <w:vAlign w:val="center"/>
          </w:tcPr>
          <w:p>
            <w:pPr>
              <w:autoSpaceDE w:val="0"/>
              <w:autoSpaceDN w:val="0"/>
              <w:adjustRightInd w:val="0"/>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需要补充</w:t>
            </w:r>
          </w:p>
          <w:p>
            <w:pPr>
              <w:autoSpaceDE w:val="0"/>
              <w:autoSpaceDN w:val="0"/>
              <w:adjustRightInd w:val="0"/>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的其他内容</w:t>
            </w:r>
          </w:p>
        </w:tc>
        <w:tc>
          <w:tcPr>
            <w:tcW w:w="6689" w:type="dxa"/>
            <w:vAlign w:val="center"/>
          </w:tcPr>
          <w:p>
            <w:pPr>
              <w:pStyle w:val="28"/>
              <w:tabs>
                <w:tab w:val="left" w:pos="1026"/>
              </w:tabs>
              <w:spacing w:line="480" w:lineRule="exact"/>
              <w:ind w:firstLine="316" w:firstLineChars="150"/>
              <w:rPr>
                <w:rFonts w:asciiTheme="minorEastAsia" w:hAnsiTheme="minorEastAsia" w:eastAsiaTheme="minorEastAsia"/>
                <w:b/>
                <w:bCs/>
                <w:szCs w:val="21"/>
              </w:rPr>
            </w:pPr>
            <w:r>
              <w:rPr>
                <w:rFonts w:hint="eastAsia" w:asciiTheme="minorEastAsia" w:hAnsiTheme="minorEastAsia" w:eastAsiaTheme="minorEastAsia"/>
                <w:b/>
                <w:bCs/>
                <w:szCs w:val="21"/>
              </w:rPr>
              <w:t>28.1.1本采购文件所用的术语具有本条所指定的特定意义：</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）采购方：采购人和采购代理机构的合称；</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）投标人：指按照本采购文件的要求提交投标文件参与本次招标竞争活动的单个公司或联合体；</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）联合体：指两家及以上的法人按照报名的规定组成一个整体参加招标竞争活动的投标人；本项目接受联合体投标；</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）采购文件：指发售给投标人，包含本次招标活动的程序、要求、条件等内容的正式文件；</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）投标文件：指投标人根据采购文件的要求制作并提交的要约性文件；</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）投标：指投标人为争取成为中标社会资本方而进行的活动，包括但不限于参加招标项目的前期调查、制作并提交投标文件等活动；</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7</w:t>
            </w:r>
            <w:r>
              <w:rPr>
                <w:rFonts w:hint="eastAsia" w:asciiTheme="minorEastAsia" w:hAnsiTheme="minorEastAsia" w:eastAsiaTheme="minorEastAsia"/>
                <w:szCs w:val="21"/>
              </w:rPr>
              <w:t>）评标委员会：指采购方为评审投标人的投标文件而组建的评审机构；</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8</w:t>
            </w:r>
            <w:r>
              <w:rPr>
                <w:rFonts w:hint="eastAsia" w:asciiTheme="minorEastAsia" w:hAnsiTheme="minorEastAsia" w:eastAsiaTheme="minorEastAsia"/>
                <w:szCs w:val="21"/>
              </w:rPr>
              <w:t>）中标供应商：指通过评标委员会的评审和采购方的确定，确定为</w:t>
            </w:r>
            <w:r>
              <w:rPr>
                <w:rFonts w:hint="eastAsia" w:asciiTheme="minorEastAsia" w:hAnsiTheme="minorEastAsia" w:eastAsiaTheme="minorEastAsia"/>
                <w:szCs w:val="21"/>
                <w:lang w:val="zh-CN"/>
              </w:rPr>
              <w:t>贵港市产业园（粤桂园）给水厂和污水处理厂供排一体化PPP项目</w:t>
            </w:r>
            <w:r>
              <w:rPr>
                <w:rFonts w:hint="eastAsia" w:asciiTheme="minorEastAsia" w:hAnsiTheme="minorEastAsia" w:eastAsiaTheme="minorEastAsia"/>
                <w:szCs w:val="21"/>
              </w:rPr>
              <w:t>投资人的投标人；</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9</w:t>
            </w:r>
            <w:r>
              <w:rPr>
                <w:rFonts w:hint="eastAsia" w:asciiTheme="minorEastAsia" w:hAnsiTheme="minorEastAsia" w:eastAsiaTheme="minorEastAsia"/>
                <w:szCs w:val="21"/>
              </w:rPr>
              <w:t>）法律文件：指中标供应商及其组建的项目公司与采购人就本招标项目所达成的一系列合同和协议，包括投标文件中就本项目的承诺和保证、《</w:t>
            </w:r>
            <w:r>
              <w:rPr>
                <w:rFonts w:asciiTheme="minorEastAsia" w:hAnsiTheme="minorEastAsia" w:eastAsiaTheme="minorEastAsia"/>
                <w:szCs w:val="21"/>
              </w:rPr>
              <w:t>PPP</w:t>
            </w:r>
            <w:r>
              <w:rPr>
                <w:rFonts w:hint="eastAsia" w:asciiTheme="minorEastAsia" w:hAnsiTheme="minorEastAsia" w:eastAsiaTheme="minorEastAsia"/>
                <w:szCs w:val="21"/>
              </w:rPr>
              <w:t>项目合同》等；</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10</w:t>
            </w:r>
            <w:r>
              <w:rPr>
                <w:rFonts w:hint="eastAsia" w:asciiTheme="minorEastAsia" w:hAnsiTheme="minorEastAsia" w:eastAsiaTheme="minorEastAsia"/>
                <w:szCs w:val="21"/>
              </w:rPr>
              <w:t>）项目公司：指中标供应商为运营本项目而成立的新公司，该公司系独立法人；</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11</w:t>
            </w:r>
            <w:r>
              <w:rPr>
                <w:rFonts w:hint="eastAsia" w:asciiTheme="minorEastAsia" w:hAnsiTheme="minorEastAsia" w:eastAsiaTheme="minorEastAsia"/>
                <w:szCs w:val="21"/>
              </w:rPr>
              <w:t>）日历日：指公历日，采购文件中提到天数若未作特别说明，均指日历日；</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12</w:t>
            </w:r>
            <w:r>
              <w:rPr>
                <w:rFonts w:hint="eastAsia" w:asciiTheme="minorEastAsia" w:hAnsiTheme="minorEastAsia" w:eastAsiaTheme="minorEastAsia"/>
                <w:szCs w:val="21"/>
              </w:rPr>
              <w:t>）工作日：指日历日中除法定节假日以外的公历日；</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13</w:t>
            </w:r>
            <w:r>
              <w:rPr>
                <w:rFonts w:hint="eastAsia" w:asciiTheme="minorEastAsia" w:hAnsiTheme="minorEastAsia" w:eastAsiaTheme="minorEastAsia"/>
                <w:szCs w:val="21"/>
              </w:rPr>
              <w:t>）不可抗力：指不能合理预见、不能克服和不能避免的事件或情形；</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14</w:t>
            </w:r>
            <w:r>
              <w:rPr>
                <w:rFonts w:hint="eastAsia" w:asciiTheme="minorEastAsia" w:hAnsiTheme="minorEastAsia" w:eastAsiaTheme="minorEastAsia"/>
                <w:szCs w:val="21"/>
              </w:rPr>
              <w:t>）中国法律：指中国各级立法机关和其它主管机关正式颁布的法律、法规、规章、标准、规范和司法解释及其不时之修订或修改；为本协议的目的，不包括香港特别行政区、澳门特别行政区和台湾地区的法律。</w:t>
            </w:r>
          </w:p>
          <w:p>
            <w:pPr>
              <w:pStyle w:val="28"/>
              <w:tabs>
                <w:tab w:val="left" w:pos="1026"/>
              </w:tabs>
              <w:spacing w:line="480" w:lineRule="exact"/>
              <w:ind w:firstLine="316" w:firstLineChars="150"/>
              <w:rPr>
                <w:rFonts w:asciiTheme="minorEastAsia" w:hAnsiTheme="minorEastAsia" w:eastAsiaTheme="minorEastAsia"/>
                <w:b/>
                <w:szCs w:val="21"/>
              </w:rPr>
            </w:pPr>
            <w:r>
              <w:rPr>
                <w:rFonts w:asciiTheme="minorEastAsia" w:hAnsiTheme="minorEastAsia" w:eastAsiaTheme="minorEastAsia"/>
                <w:b/>
                <w:szCs w:val="21"/>
              </w:rPr>
              <w:t>28.1.2</w:t>
            </w:r>
            <w:r>
              <w:rPr>
                <w:rFonts w:hint="eastAsia" w:asciiTheme="minorEastAsia" w:hAnsiTheme="minorEastAsia" w:eastAsiaTheme="minorEastAsia"/>
                <w:b/>
                <w:szCs w:val="21"/>
              </w:rPr>
              <w:t>解释</w:t>
            </w:r>
          </w:p>
          <w:p>
            <w:pPr>
              <w:pStyle w:val="28"/>
              <w:tabs>
                <w:tab w:val="left" w:pos="1026"/>
              </w:tabs>
              <w:spacing w:line="480" w:lineRule="exact"/>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对本采购文件的解释应依照以下原则进行：</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）除非本采购文件另有规定或明示，其中提到的条款和附件均指本采购文件的条款和附件。</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）除非本采购文件另有明确规定，当使用词组“包括”时，无论其是否包含“但不限于”字样，仍应视为包括本采购文件全部其它相关条款。</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）本采购文件任何章、条或款的小标题不应视为对采购文件的当然解释，本采购文件的各个组成部分都具有同样的法律效力和同等的重要性。</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）在本采购文件中，无论何处及由任何人发出或颁发任何通知、同意、批准、证明或决定，除另有说明外，均指其书面形式。</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提及本采购文件时应包括以任何方式修改、补充和替代的本采购文件及其附件。本采购文件的附件为采购文件不可分割的组成部分。如采购文件的条款与本采购文件的修改、补充条款、采购文件附件条款有抵触之处，以形成时间在后的文件条款为准。</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）如本采购文件的条款存在矛盾或模糊之处，以采购方的书面解释为准。</w:t>
            </w:r>
          </w:p>
          <w:p>
            <w:pPr>
              <w:pStyle w:val="28"/>
              <w:tabs>
                <w:tab w:val="left" w:pos="1026"/>
              </w:tabs>
              <w:spacing w:line="480" w:lineRule="exac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7</w:t>
            </w:r>
            <w:r>
              <w:rPr>
                <w:rFonts w:hint="eastAsia" w:asciiTheme="minorEastAsia" w:hAnsiTheme="minorEastAsia" w:eastAsiaTheme="minorEastAsia"/>
                <w:szCs w:val="21"/>
              </w:rPr>
              <w:t>）本项目</w:t>
            </w:r>
            <w:r>
              <w:rPr>
                <w:rFonts w:asciiTheme="minorEastAsia" w:hAnsiTheme="minorEastAsia" w:eastAsiaTheme="minorEastAsia"/>
                <w:szCs w:val="21"/>
              </w:rPr>
              <w:t>PPP</w:t>
            </w:r>
            <w:r>
              <w:rPr>
                <w:rFonts w:hint="eastAsia" w:asciiTheme="minorEastAsia" w:hAnsiTheme="minorEastAsia" w:eastAsiaTheme="minorEastAsia"/>
                <w:szCs w:val="21"/>
              </w:rPr>
              <w:t>合同及绩效考核方案以最终签订的版本为准。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85" w:type="dxa"/>
            <w:vAlign w:val="center"/>
          </w:tcPr>
          <w:p>
            <w:pPr>
              <w:pStyle w:val="28"/>
              <w:adjustRightInd w:val="0"/>
              <w:spacing w:line="480" w:lineRule="exact"/>
              <w:jc w:val="center"/>
              <w:rPr>
                <w:rFonts w:asciiTheme="minorEastAsia" w:hAnsiTheme="minorEastAsia" w:eastAsiaTheme="minorEastAsia"/>
                <w:szCs w:val="21"/>
              </w:rPr>
            </w:pPr>
          </w:p>
        </w:tc>
        <w:tc>
          <w:tcPr>
            <w:tcW w:w="1722" w:type="dxa"/>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相关费用</w:t>
            </w:r>
          </w:p>
        </w:tc>
        <w:tc>
          <w:tcPr>
            <w:tcW w:w="6689" w:type="dxa"/>
            <w:vAlign w:val="center"/>
          </w:tcPr>
          <w:p>
            <w:pPr>
              <w:spacing w:line="480" w:lineRule="exact"/>
              <w:rPr>
                <w:rFonts w:asciiTheme="minorEastAsia" w:hAnsiTheme="minorEastAsia" w:eastAsiaTheme="minorEastAsia"/>
                <w:szCs w:val="21"/>
              </w:rPr>
            </w:pPr>
            <w:r>
              <w:rPr>
                <w:rFonts w:hint="eastAsia" w:asciiTheme="minorEastAsia" w:hAnsiTheme="minorEastAsia" w:eastAsiaTheme="minorEastAsia"/>
                <w:szCs w:val="21"/>
              </w:rPr>
              <w:t>招标代理费：由中标人支付。</w:t>
            </w:r>
            <w:r>
              <w:rPr>
                <w:rFonts w:hint="eastAsia" w:asciiTheme="minorEastAsia" w:hAnsiTheme="minorEastAsia" w:eastAsiaTheme="minorEastAsia"/>
                <w:kern w:val="0"/>
                <w:szCs w:val="21"/>
              </w:rPr>
              <w:t>根据2018年《广西壮族自治区工程建设其他费用定额》的通知（桂建标〔2018〕37号）等有关收费标准计费后8折计取，即本次招标代理服务费为</w:t>
            </w:r>
            <w:r>
              <w:rPr>
                <w:rFonts w:hint="eastAsia" w:asciiTheme="minorEastAsia" w:hAnsiTheme="minorEastAsia" w:eastAsiaTheme="minorEastAsia"/>
                <w:kern w:val="0"/>
                <w:szCs w:val="21"/>
                <w:u w:val="single"/>
              </w:rPr>
              <w:t>人民币壹拾柒万伍仟伍佰元整（¥175500.00）</w:t>
            </w:r>
            <w:r>
              <w:rPr>
                <w:rFonts w:hint="eastAsia" w:asciiTheme="minorEastAsia" w:hAnsiTheme="minorEastAsia" w:eastAsiaTheme="minorEastAsia"/>
                <w:kern w:val="0"/>
                <w:szCs w:val="21"/>
              </w:rPr>
              <w:t>，由中标人在领取中标通知书前向招标代理机构一次性支付。</w:t>
            </w:r>
          </w:p>
        </w:tc>
      </w:tr>
    </w:tbl>
    <w:p>
      <w:pPr>
        <w:pStyle w:val="28"/>
        <w:spacing w:before="163" w:beforeLines="50" w:after="163" w:afterLines="50" w:line="500" w:lineRule="exact"/>
        <w:jc w:val="center"/>
        <w:outlineLvl w:val="1"/>
        <w:rPr>
          <w:rFonts w:asciiTheme="minorEastAsia" w:hAnsiTheme="minorEastAsia" w:eastAsiaTheme="minorEastAsia"/>
          <w:b/>
          <w:sz w:val="28"/>
          <w:szCs w:val="28"/>
        </w:rPr>
      </w:pPr>
      <w:r>
        <w:rPr>
          <w:rFonts w:asciiTheme="minorEastAsia" w:hAnsiTheme="minorEastAsia" w:eastAsiaTheme="minorEastAsia"/>
          <w:sz w:val="28"/>
          <w:szCs w:val="28"/>
        </w:rPr>
        <w:br w:type="page"/>
      </w:r>
      <w:bookmarkStart w:id="101" w:name="_Toc213326416"/>
      <w:bookmarkStart w:id="102" w:name="_Toc462955437"/>
      <w:bookmarkStart w:id="103" w:name="_Toc429727822"/>
      <w:bookmarkStart w:id="104" w:name="_Toc21829"/>
      <w:bookmarkStart w:id="105" w:name="_Toc13267"/>
      <w:bookmarkStart w:id="106" w:name="_Toc435106780"/>
      <w:bookmarkStart w:id="107" w:name="_Toc50993392"/>
      <w:r>
        <w:rPr>
          <w:rFonts w:hint="eastAsia" w:asciiTheme="minorEastAsia" w:hAnsiTheme="minorEastAsia" w:eastAsiaTheme="minorEastAsia"/>
          <w:b/>
          <w:sz w:val="30"/>
          <w:szCs w:val="30"/>
        </w:rPr>
        <w:t>一、总则</w:t>
      </w:r>
      <w:bookmarkEnd w:id="101"/>
      <w:bookmarkEnd w:id="102"/>
      <w:bookmarkEnd w:id="103"/>
      <w:bookmarkEnd w:id="104"/>
      <w:bookmarkEnd w:id="105"/>
      <w:bookmarkEnd w:id="106"/>
      <w:bookmarkEnd w:id="107"/>
    </w:p>
    <w:p>
      <w:pPr>
        <w:pStyle w:val="28"/>
        <w:spacing w:line="500" w:lineRule="exact"/>
        <w:ind w:left="1"/>
        <w:jc w:val="left"/>
        <w:rPr>
          <w:rFonts w:asciiTheme="minorEastAsia" w:hAnsiTheme="minorEastAsia" w:eastAsiaTheme="minorEastAsia"/>
          <w:b/>
          <w:bCs/>
          <w:szCs w:val="21"/>
        </w:rPr>
      </w:pPr>
      <w:r>
        <w:rPr>
          <w:rFonts w:asciiTheme="minorEastAsia" w:hAnsiTheme="minorEastAsia" w:eastAsiaTheme="minorEastAsia"/>
          <w:b/>
          <w:bCs/>
          <w:szCs w:val="21"/>
        </w:rPr>
        <w:t>1.</w:t>
      </w:r>
      <w:r>
        <w:rPr>
          <w:rFonts w:hint="eastAsia" w:asciiTheme="minorEastAsia" w:hAnsiTheme="minorEastAsia" w:eastAsiaTheme="minorEastAsia"/>
          <w:b/>
          <w:bCs/>
          <w:szCs w:val="21"/>
        </w:rPr>
        <w:t>项目概况</w:t>
      </w:r>
    </w:p>
    <w:p>
      <w:pPr>
        <w:pStyle w:val="28"/>
        <w:spacing w:line="500" w:lineRule="exact"/>
        <w:ind w:firstLine="420" w:firstLineChars="200"/>
        <w:jc w:val="left"/>
        <w:rPr>
          <w:rFonts w:asciiTheme="minorEastAsia" w:hAnsiTheme="minorEastAsia" w:eastAsiaTheme="minorEastAsia"/>
          <w:bCs/>
          <w:szCs w:val="21"/>
        </w:rPr>
      </w:pPr>
      <w:r>
        <w:rPr>
          <w:rFonts w:asciiTheme="minorEastAsia" w:hAnsiTheme="minorEastAsia" w:eastAsiaTheme="minorEastAsia"/>
          <w:szCs w:val="21"/>
        </w:rPr>
        <w:t xml:space="preserve">1.1  </w:t>
      </w:r>
      <w:r>
        <w:rPr>
          <w:rFonts w:hint="eastAsia" w:asciiTheme="minorEastAsia" w:hAnsiTheme="minorEastAsia" w:eastAsiaTheme="minorEastAsia"/>
          <w:szCs w:val="21"/>
        </w:rPr>
        <w:t>采购人：</w:t>
      </w:r>
      <w:r>
        <w:rPr>
          <w:rFonts w:hint="eastAsia" w:asciiTheme="minorEastAsia" w:hAnsiTheme="minorEastAsia" w:eastAsiaTheme="minorEastAsia"/>
          <w:bCs/>
          <w:szCs w:val="21"/>
        </w:rPr>
        <w:t>见投标人须知前附表。</w:t>
      </w:r>
    </w:p>
    <w:p>
      <w:pPr>
        <w:pStyle w:val="28"/>
        <w:spacing w:line="500" w:lineRule="exact"/>
        <w:ind w:firstLine="420" w:firstLineChars="200"/>
        <w:jc w:val="left"/>
        <w:rPr>
          <w:rFonts w:asciiTheme="minorEastAsia" w:hAnsiTheme="minorEastAsia" w:eastAsiaTheme="minorEastAsia"/>
          <w:bCs/>
          <w:szCs w:val="21"/>
        </w:rPr>
      </w:pPr>
      <w:r>
        <w:rPr>
          <w:rFonts w:asciiTheme="minorEastAsia" w:hAnsiTheme="minorEastAsia" w:eastAsiaTheme="minorEastAsia"/>
          <w:szCs w:val="21"/>
        </w:rPr>
        <w:t xml:space="preserve">1.2  </w:t>
      </w:r>
      <w:r>
        <w:rPr>
          <w:rFonts w:hint="eastAsia" w:asciiTheme="minorEastAsia" w:hAnsiTheme="minorEastAsia" w:eastAsiaTheme="minorEastAsia"/>
          <w:szCs w:val="21"/>
        </w:rPr>
        <w:t>采购代理机构：</w:t>
      </w:r>
      <w:r>
        <w:rPr>
          <w:rFonts w:hint="eastAsia" w:asciiTheme="minorEastAsia" w:hAnsiTheme="minorEastAsia" w:eastAsiaTheme="minorEastAsia"/>
          <w:bCs/>
          <w:szCs w:val="21"/>
        </w:rPr>
        <w:t>见投标人须知前附表。</w:t>
      </w:r>
    </w:p>
    <w:p>
      <w:pPr>
        <w:pStyle w:val="28"/>
        <w:spacing w:line="500" w:lineRule="exact"/>
        <w:ind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 xml:space="preserve">1.3  </w:t>
      </w:r>
      <w:r>
        <w:rPr>
          <w:rFonts w:hint="eastAsia" w:asciiTheme="minorEastAsia" w:hAnsiTheme="minorEastAsia" w:eastAsiaTheme="minorEastAsia"/>
          <w:bCs/>
          <w:szCs w:val="21"/>
        </w:rPr>
        <w:t>项目名称：见投标人须知前附表。</w:t>
      </w:r>
    </w:p>
    <w:p>
      <w:pPr>
        <w:pStyle w:val="28"/>
        <w:spacing w:line="500" w:lineRule="exact"/>
        <w:ind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 xml:space="preserve">1.4  </w:t>
      </w:r>
      <w:r>
        <w:rPr>
          <w:rFonts w:hint="eastAsia" w:asciiTheme="minorEastAsia" w:hAnsiTheme="minorEastAsia" w:eastAsiaTheme="minorEastAsia"/>
          <w:bCs/>
          <w:szCs w:val="21"/>
        </w:rPr>
        <w:t>项目编号：见投标人须知前附表</w:t>
      </w:r>
    </w:p>
    <w:p>
      <w:pPr>
        <w:pStyle w:val="28"/>
        <w:spacing w:line="500" w:lineRule="exact"/>
        <w:ind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 xml:space="preserve">1.5  </w:t>
      </w:r>
      <w:r>
        <w:rPr>
          <w:rFonts w:hint="eastAsia" w:asciiTheme="minorEastAsia" w:hAnsiTheme="minorEastAsia" w:eastAsiaTheme="minorEastAsia"/>
          <w:bCs/>
          <w:szCs w:val="21"/>
        </w:rPr>
        <w:t>采购预算：见投标人须知前附表。</w:t>
      </w:r>
    </w:p>
    <w:p>
      <w:pPr>
        <w:pStyle w:val="28"/>
        <w:spacing w:line="500" w:lineRule="exact"/>
        <w:ind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 xml:space="preserve">1.6  </w:t>
      </w:r>
      <w:r>
        <w:rPr>
          <w:rFonts w:hint="eastAsia" w:asciiTheme="minorEastAsia" w:hAnsiTheme="minorEastAsia" w:eastAsiaTheme="minorEastAsia"/>
          <w:bCs/>
          <w:szCs w:val="21"/>
        </w:rPr>
        <w:t>资金来源：见投标人须知前附表。</w:t>
      </w:r>
    </w:p>
    <w:p>
      <w:pPr>
        <w:pStyle w:val="28"/>
        <w:spacing w:line="500" w:lineRule="exact"/>
        <w:ind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 xml:space="preserve">1.7 </w:t>
      </w:r>
      <w:r>
        <w:rPr>
          <w:rFonts w:hint="eastAsia" w:asciiTheme="minorEastAsia" w:hAnsiTheme="minorEastAsia" w:eastAsiaTheme="minorEastAsia"/>
          <w:bCs/>
          <w:szCs w:val="21"/>
        </w:rPr>
        <w:t>招标范围：见投标人须知前附表。</w:t>
      </w:r>
    </w:p>
    <w:p>
      <w:pPr>
        <w:pStyle w:val="28"/>
        <w:spacing w:line="500" w:lineRule="exact"/>
        <w:ind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 xml:space="preserve">1.8 </w:t>
      </w:r>
      <w:r>
        <w:rPr>
          <w:rFonts w:hint="eastAsia" w:asciiTheme="minorEastAsia" w:hAnsiTheme="minorEastAsia" w:eastAsiaTheme="minorEastAsia"/>
          <w:bCs/>
          <w:szCs w:val="21"/>
        </w:rPr>
        <w:t>采购目的：见投标人须知前附表。</w:t>
      </w:r>
    </w:p>
    <w:p>
      <w:pPr>
        <w:pStyle w:val="28"/>
        <w:spacing w:line="500" w:lineRule="exact"/>
        <w:ind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 xml:space="preserve">1.9 </w:t>
      </w:r>
      <w:r>
        <w:rPr>
          <w:rFonts w:hint="eastAsia" w:asciiTheme="minorEastAsia" w:hAnsiTheme="minorEastAsia" w:eastAsiaTheme="minorEastAsia"/>
          <w:bCs/>
          <w:szCs w:val="21"/>
        </w:rPr>
        <w:t>采购内容：</w:t>
      </w:r>
      <w:r>
        <w:rPr>
          <w:rFonts w:hint="eastAsia" w:asciiTheme="minorEastAsia" w:hAnsiTheme="minorEastAsia" w:eastAsiaTheme="minorEastAsia"/>
          <w:szCs w:val="21"/>
        </w:rPr>
        <w:t>详见第二章“采购需求”</w:t>
      </w:r>
    </w:p>
    <w:p>
      <w:pPr>
        <w:pStyle w:val="28"/>
        <w:spacing w:line="500" w:lineRule="exact"/>
        <w:ind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1.10</w:t>
      </w:r>
      <w:r>
        <w:rPr>
          <w:rFonts w:hint="eastAsia" w:asciiTheme="minorEastAsia" w:hAnsiTheme="minorEastAsia" w:eastAsiaTheme="minorEastAsia"/>
          <w:bCs/>
          <w:szCs w:val="21"/>
        </w:rPr>
        <w:t>采购原则：</w:t>
      </w:r>
    </w:p>
    <w:p>
      <w:pPr>
        <w:pStyle w:val="28"/>
        <w:spacing w:line="500" w:lineRule="exact"/>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w:t>
      </w:r>
      <w:r>
        <w:rPr>
          <w:rFonts w:asciiTheme="minorEastAsia" w:hAnsiTheme="minorEastAsia" w:eastAsiaTheme="minorEastAsia"/>
          <w:bCs/>
          <w:szCs w:val="21"/>
        </w:rPr>
        <w:t>1</w:t>
      </w:r>
      <w:r>
        <w:rPr>
          <w:rFonts w:hint="eastAsia" w:asciiTheme="minorEastAsia" w:hAnsiTheme="minorEastAsia" w:eastAsiaTheme="minorEastAsia"/>
          <w:bCs/>
          <w:szCs w:val="21"/>
        </w:rPr>
        <w:t>）无差别待遇。采购方将以无差别待遇、公开和公正的态度确保招标工作规范有序。采购方不向任何投标人提供可导致限制竞争的任何信息。</w:t>
      </w:r>
    </w:p>
    <w:p>
      <w:pPr>
        <w:pStyle w:val="28"/>
        <w:spacing w:line="500" w:lineRule="exact"/>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w:t>
      </w:r>
      <w:r>
        <w:rPr>
          <w:rFonts w:asciiTheme="minorEastAsia" w:hAnsiTheme="minorEastAsia" w:eastAsiaTheme="minorEastAsia"/>
          <w:bCs/>
          <w:szCs w:val="21"/>
        </w:rPr>
        <w:t>2</w:t>
      </w:r>
      <w:r>
        <w:rPr>
          <w:rFonts w:hint="eastAsia" w:asciiTheme="minorEastAsia" w:hAnsiTheme="minorEastAsia" w:eastAsiaTheme="minorEastAsia"/>
          <w:bCs/>
          <w:szCs w:val="21"/>
        </w:rPr>
        <w:t>）禁止串通。每一个投标人应保证其投标文件内容是独立完成的，任何含有出于限制竞争目的而与其他投标人商议、串通，或取得他方理解的投标文件将被拒绝。</w:t>
      </w:r>
    </w:p>
    <w:p>
      <w:pPr>
        <w:pStyle w:val="28"/>
        <w:spacing w:line="500" w:lineRule="exact"/>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w:t>
      </w:r>
      <w:r>
        <w:rPr>
          <w:rFonts w:asciiTheme="minorEastAsia" w:hAnsiTheme="minorEastAsia" w:eastAsiaTheme="minorEastAsia"/>
          <w:bCs/>
          <w:szCs w:val="21"/>
        </w:rPr>
        <w:t>3</w:t>
      </w:r>
      <w:r>
        <w:rPr>
          <w:rFonts w:hint="eastAsia" w:asciiTheme="minorEastAsia" w:hAnsiTheme="minorEastAsia" w:eastAsiaTheme="minorEastAsia"/>
          <w:bCs/>
          <w:szCs w:val="21"/>
        </w:rPr>
        <w:t>）禁止行贿。如果投标人对采购人或采购代理机构行贿或采取其他不正当的竞争手段，则投标人的投标文件将被拒绝。</w:t>
      </w:r>
    </w:p>
    <w:p>
      <w:pPr>
        <w:pStyle w:val="28"/>
        <w:spacing w:line="500" w:lineRule="exact"/>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1.11质量要求：</w:t>
      </w:r>
      <w:r>
        <w:rPr>
          <w:rFonts w:hint="eastAsia" w:asciiTheme="minorEastAsia" w:hAnsiTheme="minorEastAsia" w:eastAsiaTheme="minorEastAsia"/>
          <w:bCs/>
          <w:szCs w:val="21"/>
        </w:rPr>
        <w:t>见投标人须知前附表。</w:t>
      </w:r>
    </w:p>
    <w:p>
      <w:pPr>
        <w:pStyle w:val="28"/>
        <w:spacing w:line="500" w:lineRule="exact"/>
        <w:jc w:val="left"/>
        <w:rPr>
          <w:rFonts w:asciiTheme="minorEastAsia" w:hAnsiTheme="minorEastAsia" w:eastAsiaTheme="minorEastAsia"/>
          <w:b/>
          <w:bCs/>
          <w:szCs w:val="21"/>
        </w:rPr>
      </w:pPr>
      <w:r>
        <w:rPr>
          <w:rFonts w:asciiTheme="minorEastAsia" w:hAnsiTheme="minorEastAsia" w:eastAsiaTheme="minorEastAsia"/>
          <w:b/>
          <w:bCs/>
          <w:szCs w:val="21"/>
        </w:rPr>
        <w:t>2.</w:t>
      </w:r>
      <w:r>
        <w:rPr>
          <w:rFonts w:hint="eastAsia" w:asciiTheme="minorEastAsia" w:hAnsiTheme="minorEastAsia" w:eastAsiaTheme="minorEastAsia"/>
          <w:b/>
          <w:bCs/>
          <w:szCs w:val="21"/>
        </w:rPr>
        <w:t>政府采购信息发布媒体：</w:t>
      </w:r>
    </w:p>
    <w:p>
      <w:pPr>
        <w:pStyle w:val="49"/>
        <w:adjustRightInd w:val="0"/>
        <w:snapToGrid w:val="0"/>
        <w:spacing w:before="0" w:beforeAutospacing="0" w:after="0" w:afterAutospacing="0" w:line="500" w:lineRule="exact"/>
        <w:ind w:firstLine="420" w:firstLineChars="200"/>
        <w:rPr>
          <w:rFonts w:cs="Times New Roman" w:asciiTheme="minorEastAsia" w:hAnsiTheme="minorEastAsia" w:eastAsiaTheme="minorEastAsia"/>
          <w:bCs/>
          <w:kern w:val="2"/>
          <w:sz w:val="21"/>
          <w:szCs w:val="21"/>
        </w:rPr>
      </w:pPr>
      <w:r>
        <w:rPr>
          <w:rFonts w:hint="eastAsia" w:cs="Times New Roman" w:asciiTheme="minorEastAsia" w:hAnsiTheme="minorEastAsia" w:eastAsiaTheme="minorEastAsia"/>
          <w:bCs/>
          <w:kern w:val="2"/>
          <w:sz w:val="21"/>
          <w:szCs w:val="21"/>
        </w:rPr>
        <w:t>与本项目相关的政府采购业务信息将在以下媒体上发布：http://www.ccgp.gov.cn（中国政府采购网）、http://www.gxzfcg.gov.cn（广西壮族自治区政府采购网）、http://ggggjy.gxgg.gov.cn:9005/（贵港市公共资源交易中心网）、http://zfcg.czj.gxgg.gov.cn/（贵港市政府采购网）上发布。</w:t>
      </w:r>
    </w:p>
    <w:p>
      <w:pPr>
        <w:pStyle w:val="28"/>
        <w:spacing w:line="500" w:lineRule="exact"/>
        <w:ind w:firstLine="422" w:firstLineChars="200"/>
        <w:jc w:val="left"/>
        <w:rPr>
          <w:rFonts w:asciiTheme="minorEastAsia" w:hAnsiTheme="minorEastAsia" w:eastAsiaTheme="minorEastAsia"/>
          <w:b/>
          <w:bCs/>
          <w:szCs w:val="21"/>
        </w:rPr>
      </w:pPr>
      <w:r>
        <w:rPr>
          <w:rFonts w:asciiTheme="minorEastAsia" w:hAnsiTheme="minorEastAsia" w:eastAsiaTheme="minorEastAsia"/>
          <w:b/>
          <w:bCs/>
          <w:szCs w:val="21"/>
        </w:rPr>
        <w:t>3.</w:t>
      </w:r>
      <w:r>
        <w:rPr>
          <w:rFonts w:hint="eastAsia" w:asciiTheme="minorEastAsia" w:hAnsiTheme="minorEastAsia" w:eastAsiaTheme="minorEastAsia"/>
          <w:b/>
          <w:bCs/>
          <w:szCs w:val="21"/>
        </w:rPr>
        <w:t>投标人资格要求：</w:t>
      </w:r>
    </w:p>
    <w:p>
      <w:pPr>
        <w:pStyle w:val="28"/>
        <w:spacing w:line="500" w:lineRule="exact"/>
        <w:ind w:firstLine="420" w:firstLineChars="200"/>
        <w:rPr>
          <w:rFonts w:asciiTheme="minorEastAsia" w:hAnsiTheme="minorEastAsia" w:eastAsiaTheme="minorEastAsia"/>
          <w:bCs/>
          <w:szCs w:val="21"/>
        </w:rPr>
      </w:pPr>
      <w:r>
        <w:rPr>
          <w:rFonts w:asciiTheme="minorEastAsia" w:hAnsiTheme="minorEastAsia" w:eastAsiaTheme="minorEastAsia"/>
          <w:bCs/>
          <w:szCs w:val="21"/>
        </w:rPr>
        <w:t xml:space="preserve">3.1  </w:t>
      </w:r>
      <w:r>
        <w:rPr>
          <w:rFonts w:hint="eastAsia" w:asciiTheme="minorEastAsia" w:hAnsiTheme="minorEastAsia" w:eastAsiaTheme="minorEastAsia"/>
          <w:bCs/>
          <w:szCs w:val="21"/>
        </w:rPr>
        <w:t>已通过资格预审的社会资本。</w:t>
      </w:r>
    </w:p>
    <w:p>
      <w:pPr>
        <w:pStyle w:val="28"/>
        <w:spacing w:line="500" w:lineRule="exact"/>
        <w:ind w:firstLine="420" w:firstLineChars="200"/>
        <w:rPr>
          <w:rFonts w:asciiTheme="minorEastAsia" w:hAnsiTheme="minorEastAsia" w:eastAsiaTheme="minorEastAsia"/>
          <w:bCs/>
          <w:szCs w:val="21"/>
        </w:rPr>
      </w:pPr>
      <w:r>
        <w:rPr>
          <w:rFonts w:asciiTheme="minorEastAsia" w:hAnsiTheme="minorEastAsia" w:eastAsiaTheme="minorEastAsia"/>
          <w:bCs/>
          <w:szCs w:val="21"/>
        </w:rPr>
        <w:t xml:space="preserve">3.2  </w:t>
      </w:r>
      <w:r>
        <w:rPr>
          <w:rFonts w:hint="eastAsia" w:asciiTheme="minorEastAsia" w:hAnsiTheme="minorEastAsia" w:eastAsiaTheme="minorEastAsia"/>
          <w:bCs/>
          <w:szCs w:val="21"/>
        </w:rPr>
        <w:t>针对本项目，投标人应具备的特定条件：见投标人须知前附表。</w:t>
      </w:r>
    </w:p>
    <w:p>
      <w:pPr>
        <w:pStyle w:val="28"/>
        <w:spacing w:line="500" w:lineRule="exact"/>
        <w:ind w:firstLine="420" w:firstLineChars="200"/>
        <w:rPr>
          <w:rFonts w:asciiTheme="minorEastAsia" w:hAnsiTheme="minorEastAsia" w:eastAsiaTheme="minorEastAsia"/>
          <w:bCs/>
          <w:szCs w:val="21"/>
        </w:rPr>
      </w:pPr>
      <w:r>
        <w:rPr>
          <w:rFonts w:asciiTheme="minorEastAsia" w:hAnsiTheme="minorEastAsia" w:eastAsiaTheme="minorEastAsia"/>
          <w:bCs/>
          <w:szCs w:val="21"/>
        </w:rPr>
        <w:t xml:space="preserve">3.3  </w:t>
      </w:r>
      <w:r>
        <w:rPr>
          <w:rFonts w:hint="eastAsia" w:asciiTheme="minorEastAsia" w:hAnsiTheme="minorEastAsia" w:eastAsiaTheme="minorEastAsia"/>
          <w:bCs/>
          <w:szCs w:val="21"/>
        </w:rPr>
        <w:t>投标人须知前附表规定接受联合体投标的，两个及以上投标人可以组成一个投标联合体，</w:t>
      </w:r>
      <w:r>
        <w:rPr>
          <w:rFonts w:hint="eastAsia" w:asciiTheme="minorEastAsia" w:hAnsiTheme="minorEastAsia" w:eastAsiaTheme="minorEastAsia"/>
          <w:szCs w:val="21"/>
        </w:rPr>
        <w:t>以一个投标人的身份共同参加投标</w:t>
      </w:r>
      <w:r>
        <w:rPr>
          <w:rFonts w:hint="eastAsia" w:asciiTheme="minorEastAsia" w:hAnsiTheme="minorEastAsia" w:eastAsiaTheme="minorEastAsia"/>
          <w:bCs/>
          <w:szCs w:val="21"/>
        </w:rPr>
        <w:t>。以联合体形式参加投标的，联合体各方均应当符合本章第</w:t>
      </w:r>
      <w:r>
        <w:rPr>
          <w:rFonts w:asciiTheme="minorEastAsia" w:hAnsiTheme="minorEastAsia" w:eastAsiaTheme="minorEastAsia"/>
          <w:bCs/>
          <w:szCs w:val="21"/>
        </w:rPr>
        <w:t>3.1</w:t>
      </w:r>
      <w:r>
        <w:rPr>
          <w:rFonts w:hint="eastAsia" w:asciiTheme="minorEastAsia" w:hAnsiTheme="minorEastAsia" w:eastAsiaTheme="minorEastAsia"/>
          <w:bCs/>
          <w:szCs w:val="21"/>
        </w:rPr>
        <w:t>项的要求，联合体各方中至少应当有一方符合本章第</w:t>
      </w:r>
      <w:r>
        <w:rPr>
          <w:rFonts w:asciiTheme="minorEastAsia" w:hAnsiTheme="minorEastAsia" w:eastAsiaTheme="minorEastAsia"/>
          <w:bCs/>
          <w:szCs w:val="21"/>
        </w:rPr>
        <w:t>3.2</w:t>
      </w:r>
      <w:r>
        <w:rPr>
          <w:rFonts w:hint="eastAsia" w:asciiTheme="minorEastAsia" w:hAnsiTheme="minorEastAsia" w:eastAsiaTheme="minorEastAsia"/>
          <w:bCs/>
          <w:szCs w:val="21"/>
        </w:rPr>
        <w:t>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w:t>
      </w:r>
      <w:r>
        <w:rPr>
          <w:rFonts w:asciiTheme="minorEastAsia" w:hAnsiTheme="minorEastAsia" w:eastAsiaTheme="minorEastAsia"/>
          <w:bCs/>
          <w:szCs w:val="21"/>
        </w:rPr>
        <w:t>，</w:t>
      </w:r>
      <w:r>
        <w:rPr>
          <w:rFonts w:hint="eastAsia" w:asciiTheme="minorEastAsia" w:hAnsiTheme="minorEastAsia" w:eastAsiaTheme="minorEastAsia"/>
          <w:bCs/>
          <w:szCs w:val="21"/>
        </w:rPr>
        <w:t>否则与之相关的投标文件作废。</w:t>
      </w:r>
    </w:p>
    <w:p>
      <w:pPr>
        <w:pStyle w:val="28"/>
        <w:spacing w:line="500" w:lineRule="exact"/>
        <w:ind w:left="1"/>
        <w:jc w:val="left"/>
        <w:rPr>
          <w:rFonts w:asciiTheme="minorEastAsia" w:hAnsiTheme="minorEastAsia" w:eastAsiaTheme="minorEastAsia"/>
          <w:b/>
          <w:bCs/>
          <w:szCs w:val="21"/>
        </w:rPr>
      </w:pPr>
      <w:r>
        <w:rPr>
          <w:rFonts w:asciiTheme="minorEastAsia" w:hAnsiTheme="minorEastAsia" w:eastAsiaTheme="minorEastAsia"/>
          <w:b/>
          <w:bCs/>
          <w:szCs w:val="21"/>
        </w:rPr>
        <w:t>4.</w:t>
      </w:r>
      <w:r>
        <w:rPr>
          <w:rFonts w:hint="eastAsia" w:asciiTheme="minorEastAsia" w:hAnsiTheme="minorEastAsia" w:eastAsiaTheme="minorEastAsia"/>
          <w:b/>
          <w:bCs/>
          <w:szCs w:val="21"/>
        </w:rPr>
        <w:t>质疑</w:t>
      </w:r>
    </w:p>
    <w:p>
      <w:pPr>
        <w:pStyle w:val="28"/>
        <w:spacing w:line="500" w:lineRule="exact"/>
        <w:ind w:left="2" w:leftChars="1"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 xml:space="preserve">4.1  </w:t>
      </w:r>
      <w:r>
        <w:rPr>
          <w:rFonts w:hint="eastAsia" w:asciiTheme="minorEastAsia" w:hAnsiTheme="minorEastAsia" w:eastAsiaTheme="minorEastAsia"/>
          <w:bCs/>
          <w:szCs w:val="21"/>
        </w:rPr>
        <w:t>投标人</w:t>
      </w:r>
      <w:r>
        <w:rPr>
          <w:rFonts w:hint="eastAsia" w:asciiTheme="minorEastAsia" w:hAnsiTheme="minorEastAsia" w:eastAsiaTheme="minorEastAsia"/>
          <w:szCs w:val="21"/>
        </w:rPr>
        <w:t>对政府采购活动事项有疑问的，可以向采购人或</w:t>
      </w:r>
      <w:r>
        <w:rPr>
          <w:rFonts w:hint="eastAsia" w:asciiTheme="minorEastAsia" w:hAnsiTheme="minorEastAsia" w:eastAsiaTheme="minorEastAsia"/>
          <w:bCs/>
          <w:szCs w:val="21"/>
        </w:rPr>
        <w:t>采购代理机构提出询问</w:t>
      </w:r>
      <w:r>
        <w:rPr>
          <w:rFonts w:hint="eastAsia" w:asciiTheme="minorEastAsia" w:hAnsiTheme="minorEastAsia" w:eastAsiaTheme="minorEastAsia"/>
          <w:szCs w:val="21"/>
        </w:rPr>
        <w:t>；</w:t>
      </w:r>
      <w:r>
        <w:rPr>
          <w:rFonts w:hint="eastAsia" w:asciiTheme="minorEastAsia" w:hAnsiTheme="minorEastAsia" w:eastAsiaTheme="minorEastAsia"/>
          <w:bCs/>
          <w:szCs w:val="21"/>
        </w:rPr>
        <w:t>投标人如认为采购文件使自己的权益受到损</w:t>
      </w:r>
      <w:r>
        <w:rPr>
          <w:rFonts w:hint="eastAsia" w:asciiTheme="minorEastAsia" w:hAnsiTheme="minorEastAsia" w:eastAsiaTheme="minorEastAsia"/>
          <w:szCs w:val="21"/>
        </w:rPr>
        <w:t>害的，可以在自采购文件发布之日起七个工作日内</w:t>
      </w:r>
      <w:r>
        <w:rPr>
          <w:rFonts w:hint="eastAsia" w:asciiTheme="minorEastAsia" w:hAnsiTheme="minorEastAsia" w:eastAsiaTheme="minorEastAsia"/>
          <w:bCs/>
          <w:szCs w:val="21"/>
        </w:rPr>
        <w:t>以书面形式向采购代理机构提出质疑；投标截止时间后，采购代理机构不再受理对采购文件的询问或质疑。投标人认为</w:t>
      </w:r>
      <w:r>
        <w:rPr>
          <w:rFonts w:hint="eastAsia" w:asciiTheme="minorEastAsia" w:hAnsiTheme="minorEastAsia" w:eastAsiaTheme="minorEastAsia"/>
          <w:szCs w:val="21"/>
        </w:rPr>
        <w:t>采购过程和中标结果使自己的权益受到损害的，可</w:t>
      </w:r>
      <w:r>
        <w:rPr>
          <w:rFonts w:hint="eastAsia" w:asciiTheme="minorEastAsia" w:hAnsiTheme="minorEastAsia" w:eastAsiaTheme="minorEastAsia"/>
          <w:bCs/>
          <w:szCs w:val="21"/>
        </w:rPr>
        <w:t>以</w:t>
      </w:r>
      <w:r>
        <w:rPr>
          <w:rFonts w:hint="eastAsia" w:asciiTheme="minorEastAsia" w:hAnsiTheme="minorEastAsia" w:eastAsiaTheme="minorEastAsia"/>
          <w:szCs w:val="21"/>
        </w:rPr>
        <w:t>在</w:t>
      </w:r>
      <w:r>
        <w:rPr>
          <w:rFonts w:hint="eastAsia" w:asciiTheme="minorEastAsia" w:hAnsiTheme="minorEastAsia" w:eastAsiaTheme="minorEastAsia"/>
          <w:kern w:val="0"/>
          <w:szCs w:val="21"/>
        </w:rPr>
        <w:t>中标结果公示</w:t>
      </w:r>
      <w:r>
        <w:rPr>
          <w:rFonts w:hint="eastAsia" w:asciiTheme="minorEastAsia" w:hAnsiTheme="minorEastAsia" w:eastAsiaTheme="minorEastAsia"/>
          <w:szCs w:val="21"/>
        </w:rPr>
        <w:t>之日起七个工作日内，以书面形式向采购人委托的采购代理机构质疑。质疑书的提交地点和质疑受理电话见投标人须知前附表。</w:t>
      </w:r>
    </w:p>
    <w:p>
      <w:pPr>
        <w:pStyle w:val="28"/>
        <w:spacing w:line="500" w:lineRule="exact"/>
        <w:ind w:left="2" w:leftChars="1"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 xml:space="preserve">4.2  </w:t>
      </w:r>
      <w:r>
        <w:rPr>
          <w:rFonts w:hint="eastAsia" w:asciiTheme="minorEastAsia" w:hAnsiTheme="minorEastAsia" w:eastAsiaTheme="minorEastAsia"/>
          <w:bCs/>
          <w:szCs w:val="21"/>
        </w:rPr>
        <w:t>投标人质疑实行实名制，其质疑应当有具体的质疑事项及事实根据，不得进行虚假、恶意质疑。</w:t>
      </w:r>
    </w:p>
    <w:p>
      <w:pPr>
        <w:pStyle w:val="28"/>
        <w:spacing w:line="500" w:lineRule="exact"/>
        <w:ind w:left="2" w:leftChars="1"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 xml:space="preserve">4.3  </w:t>
      </w:r>
      <w:r>
        <w:rPr>
          <w:rFonts w:hint="eastAsia" w:asciiTheme="minorEastAsia" w:hAnsiTheme="minorEastAsia" w:eastAsiaTheme="minorEastAsia"/>
          <w:bCs/>
          <w:szCs w:val="21"/>
        </w:rPr>
        <w:t>投标人质疑时，应当提交质疑书原件，质疑书应当包括下列主要内容：</w:t>
      </w:r>
    </w:p>
    <w:p>
      <w:pPr>
        <w:pStyle w:val="28"/>
        <w:spacing w:line="500" w:lineRule="exact"/>
        <w:ind w:left="2" w:firstLine="418"/>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）质疑投标人和被质疑的采购人或采购人委托的采购代理机构名称、地址、电话、邮编等；</w:t>
      </w:r>
    </w:p>
    <w:p>
      <w:pPr>
        <w:pStyle w:val="28"/>
        <w:spacing w:line="500" w:lineRule="exact"/>
        <w:ind w:left="2" w:firstLine="418"/>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）质疑项目的名称、编号；</w:t>
      </w:r>
    </w:p>
    <w:p>
      <w:pPr>
        <w:pStyle w:val="28"/>
        <w:spacing w:line="500" w:lineRule="exact"/>
        <w:ind w:left="2" w:firstLine="418"/>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）权益受到损害的事实和理由；</w:t>
      </w:r>
    </w:p>
    <w:p>
      <w:pPr>
        <w:pStyle w:val="28"/>
        <w:spacing w:line="500" w:lineRule="exact"/>
        <w:ind w:left="2" w:firstLine="418"/>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）相关证明材料；</w:t>
      </w:r>
    </w:p>
    <w:p>
      <w:pPr>
        <w:pStyle w:val="28"/>
        <w:spacing w:line="500" w:lineRule="exact"/>
        <w:ind w:left="2" w:firstLine="418"/>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）提起质疑的日期；</w:t>
      </w:r>
    </w:p>
    <w:p>
      <w:pPr>
        <w:pStyle w:val="28"/>
        <w:spacing w:line="500" w:lineRule="exact"/>
        <w:ind w:left="2" w:firstLine="418"/>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）附件材料：营业执照副本内页复印件（要求证件有效并清晰反映企业法人经营范围）。</w:t>
      </w:r>
    </w:p>
    <w:p>
      <w:pPr>
        <w:pStyle w:val="28"/>
        <w:spacing w:line="5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质疑书应当署名。质疑投标人为法人或者其他组织的，应当由法定代表人或者主要负责人签字并加盖公章。</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 xml:space="preserve">4.4  </w:t>
      </w:r>
      <w:r>
        <w:rPr>
          <w:rFonts w:hint="eastAsia" w:asciiTheme="minorEastAsia" w:hAnsiTheme="minorEastAsia" w:eastAsiaTheme="minorEastAsia"/>
          <w:bCs/>
          <w:szCs w:val="21"/>
        </w:rPr>
        <w:t>质疑投标人可以委托代理人办理质疑事务。委托代理人应为质疑投标人的正式员工并熟悉相关业务情况。代理人办理质疑事务时，除提交质疑书外，还应当提交质疑投标人的授权委托书，授权委托书应当载明委托代理的具体权限和事项；提交</w:t>
      </w:r>
      <w:r>
        <w:rPr>
          <w:rFonts w:hint="eastAsia" w:asciiTheme="minorEastAsia" w:hAnsiTheme="minorEastAsia" w:eastAsiaTheme="minorEastAsia"/>
          <w:szCs w:val="21"/>
        </w:rPr>
        <w:t>委托代理人身份证明复印件和近期三个月社保缴费证明复印件。</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 xml:space="preserve">4.5  </w:t>
      </w:r>
      <w:r>
        <w:rPr>
          <w:rFonts w:hint="eastAsia" w:asciiTheme="minorEastAsia" w:hAnsiTheme="minorEastAsia" w:eastAsiaTheme="minorEastAsia"/>
          <w:bCs/>
          <w:szCs w:val="21"/>
        </w:rPr>
        <w:t>质疑投标人提起质疑应当符合下列条件：</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）质疑投标人是参与所质疑政府采购活动的投标人；</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）质疑书内容符合本章第</w:t>
      </w:r>
      <w:r>
        <w:rPr>
          <w:rFonts w:asciiTheme="minorEastAsia" w:hAnsiTheme="minorEastAsia" w:eastAsiaTheme="minorEastAsia"/>
          <w:szCs w:val="21"/>
        </w:rPr>
        <w:t>4.3</w:t>
      </w:r>
      <w:r>
        <w:rPr>
          <w:rFonts w:hint="eastAsia" w:asciiTheme="minorEastAsia" w:hAnsiTheme="minorEastAsia" w:eastAsiaTheme="minorEastAsia"/>
          <w:szCs w:val="21"/>
        </w:rPr>
        <w:t>项的规定；</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）在质疑有效期限内提起质疑；</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）属于所质疑的采购人或采购人委托的采购代理机构组织的采购活动；</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）同一质疑事项未经采购人或采购人委托的采购代理机构质疑处理；</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）财政部门规定的其他条件。</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4.6  </w:t>
      </w:r>
      <w:r>
        <w:rPr>
          <w:rFonts w:hint="eastAsia" w:asciiTheme="minorEastAsia" w:hAnsiTheme="minorEastAsia" w:eastAsiaTheme="minorEastAsia"/>
          <w:szCs w:val="21"/>
        </w:rPr>
        <w:t>采购人或采购人委托的采购代理机构自受理质疑之日起七个工作日内，对质疑事项作出答复，并以书面形式通知质疑投标人及其他有关投标人。</w:t>
      </w:r>
    </w:p>
    <w:p>
      <w:pPr>
        <w:pStyle w:val="28"/>
        <w:spacing w:line="500" w:lineRule="exact"/>
        <w:ind w:left="1"/>
        <w:jc w:val="left"/>
        <w:rPr>
          <w:rFonts w:asciiTheme="minorEastAsia" w:hAnsiTheme="minorEastAsia" w:eastAsiaTheme="minorEastAsia"/>
          <w:b/>
          <w:bCs/>
          <w:szCs w:val="21"/>
        </w:rPr>
      </w:pPr>
      <w:r>
        <w:rPr>
          <w:rFonts w:asciiTheme="minorEastAsia" w:hAnsiTheme="minorEastAsia" w:eastAsiaTheme="minorEastAsia"/>
          <w:b/>
          <w:bCs/>
          <w:szCs w:val="21"/>
        </w:rPr>
        <w:t>5.</w:t>
      </w:r>
      <w:r>
        <w:rPr>
          <w:rFonts w:hint="eastAsia" w:asciiTheme="minorEastAsia" w:hAnsiTheme="minorEastAsia" w:eastAsiaTheme="minorEastAsia"/>
          <w:b/>
          <w:bCs/>
          <w:szCs w:val="21"/>
        </w:rPr>
        <w:t>投诉</w:t>
      </w:r>
    </w:p>
    <w:p>
      <w:pPr>
        <w:pStyle w:val="28"/>
        <w:spacing w:line="500" w:lineRule="exact"/>
        <w:ind w:left="2" w:leftChars="1"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 xml:space="preserve">5.1  </w:t>
      </w:r>
      <w:r>
        <w:rPr>
          <w:rFonts w:hint="eastAsia" w:asciiTheme="minorEastAsia" w:hAnsiTheme="minorEastAsia" w:eastAsiaTheme="minorEastAsia"/>
          <w:bCs/>
          <w:szCs w:val="21"/>
        </w:rPr>
        <w:t>投标人认为采购文件、采购过程、中标结果使自己的合法权益受到损害的，应当首先依法向采购人或采购人委托的</w:t>
      </w:r>
      <w:r>
        <w:rPr>
          <w:rFonts w:hint="eastAsia" w:asciiTheme="minorEastAsia" w:hAnsiTheme="minorEastAsia" w:eastAsiaTheme="minorEastAsia"/>
          <w:szCs w:val="21"/>
        </w:rPr>
        <w:t>采购代理机构</w:t>
      </w:r>
      <w:r>
        <w:rPr>
          <w:rFonts w:hint="eastAsia" w:asciiTheme="minorEastAsia" w:hAnsiTheme="minorEastAsia" w:eastAsiaTheme="minorEastAsia"/>
          <w:bCs/>
          <w:szCs w:val="21"/>
        </w:rPr>
        <w:t>提出质疑。对采购人、</w:t>
      </w:r>
      <w:r>
        <w:rPr>
          <w:rFonts w:hint="eastAsia" w:asciiTheme="minorEastAsia" w:hAnsiTheme="minorEastAsia" w:eastAsiaTheme="minorEastAsia"/>
          <w:szCs w:val="21"/>
        </w:rPr>
        <w:t>采购代理机构</w:t>
      </w:r>
      <w:r>
        <w:rPr>
          <w:rFonts w:hint="eastAsia" w:asciiTheme="minorEastAsia" w:hAnsiTheme="minorEastAsia" w:eastAsiaTheme="minorEastAsia"/>
          <w:bCs/>
          <w:szCs w:val="21"/>
        </w:rPr>
        <w:t>的答复不满意，或者采购人、</w:t>
      </w:r>
      <w:r>
        <w:rPr>
          <w:rFonts w:hint="eastAsia" w:asciiTheme="minorEastAsia" w:hAnsiTheme="minorEastAsia" w:eastAsiaTheme="minorEastAsia"/>
          <w:szCs w:val="21"/>
        </w:rPr>
        <w:t>采购代理机构</w:t>
      </w:r>
      <w:r>
        <w:rPr>
          <w:rFonts w:hint="eastAsia" w:asciiTheme="minorEastAsia" w:hAnsiTheme="minorEastAsia" w:eastAsiaTheme="minorEastAsia"/>
          <w:bCs/>
          <w:szCs w:val="21"/>
        </w:rPr>
        <w:t>未在规定期限内做出答复的，投标人可以在答复期满后十五个工作日内向贺州市政府采购监督管理部门提起投诉。</w:t>
      </w:r>
    </w:p>
    <w:p>
      <w:pPr>
        <w:pStyle w:val="28"/>
        <w:spacing w:line="500" w:lineRule="exact"/>
        <w:ind w:left="2" w:leftChars="1" w:firstLine="420" w:firstLineChars="200"/>
        <w:jc w:val="left"/>
        <w:rPr>
          <w:rFonts w:asciiTheme="minorEastAsia" w:hAnsiTheme="minorEastAsia" w:eastAsiaTheme="minorEastAsia"/>
          <w:bCs/>
          <w:szCs w:val="21"/>
        </w:rPr>
      </w:pPr>
      <w:r>
        <w:rPr>
          <w:rFonts w:asciiTheme="minorEastAsia" w:hAnsiTheme="minorEastAsia" w:eastAsiaTheme="minorEastAsia"/>
          <w:szCs w:val="21"/>
        </w:rPr>
        <w:t xml:space="preserve">5.2  </w:t>
      </w:r>
      <w:r>
        <w:rPr>
          <w:rFonts w:hint="eastAsia" w:asciiTheme="minorEastAsia" w:hAnsiTheme="minorEastAsia" w:eastAsiaTheme="minorEastAsia"/>
          <w:szCs w:val="21"/>
        </w:rPr>
        <w:t>投诉人投诉时，应当提交投诉书，并按照被投诉采购人、采购代理机构和与投诉事项有关的投标人数量提供投诉书的副本。投诉书应当包括下列主要内容（如材料中有外文资料应同时附上对应的中文译本）：</w:t>
      </w:r>
    </w:p>
    <w:p>
      <w:pPr>
        <w:pStyle w:val="28"/>
        <w:spacing w:line="500" w:lineRule="exact"/>
        <w:ind w:left="2" w:firstLine="417" w:firstLineChars="199"/>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）投诉人和被投诉人的名称、地址、电话等；</w:t>
      </w:r>
    </w:p>
    <w:p>
      <w:pPr>
        <w:pStyle w:val="28"/>
        <w:spacing w:line="500" w:lineRule="exact"/>
        <w:ind w:left="2" w:firstLine="417" w:firstLineChars="199"/>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）具体的投诉事项及事实依据；</w:t>
      </w:r>
    </w:p>
    <w:p>
      <w:pPr>
        <w:pStyle w:val="28"/>
        <w:spacing w:line="500" w:lineRule="exact"/>
        <w:ind w:left="2" w:firstLine="417" w:firstLineChars="199"/>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）质疑和质疑答复情况及相关证明材料；</w:t>
      </w:r>
    </w:p>
    <w:p>
      <w:pPr>
        <w:pStyle w:val="28"/>
        <w:tabs>
          <w:tab w:val="right" w:pos="9638"/>
        </w:tabs>
        <w:spacing w:line="500" w:lineRule="exact"/>
        <w:ind w:left="2" w:firstLine="417" w:firstLineChars="199"/>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）提起投诉的日期。</w:t>
      </w:r>
    </w:p>
    <w:p>
      <w:pPr>
        <w:pStyle w:val="28"/>
        <w:tabs>
          <w:tab w:val="right" w:pos="9638"/>
        </w:tabs>
        <w:spacing w:line="500" w:lineRule="exact"/>
        <w:ind w:left="2" w:firstLine="417" w:firstLineChars="199"/>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）附件材料：营业执照副本内页复印件（要求证件有效并清晰反映企业法人经营范围）。投诉书应当署名。投诉人为法人或者其他组织的，应当由法定代表人或者主要负责人签字盖章并加盖公章。</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5.3  </w:t>
      </w:r>
      <w:r>
        <w:rPr>
          <w:rFonts w:hint="eastAsia" w:asciiTheme="minorEastAsia" w:hAnsiTheme="minorEastAsia" w:eastAsiaTheme="minorEastAsia"/>
          <w:szCs w:val="21"/>
        </w:rPr>
        <w:t>投诉人可以委托代理人办理投诉事务。</w:t>
      </w:r>
      <w:r>
        <w:rPr>
          <w:rFonts w:hint="eastAsia" w:asciiTheme="minorEastAsia" w:hAnsiTheme="minorEastAsia" w:eastAsiaTheme="minorEastAsia"/>
          <w:bCs/>
          <w:szCs w:val="21"/>
        </w:rPr>
        <w:t>委托代理人应为投诉投标人的正式员工并熟悉相关业务情况。</w:t>
      </w:r>
      <w:r>
        <w:rPr>
          <w:rFonts w:hint="eastAsia" w:asciiTheme="minorEastAsia" w:hAnsiTheme="minorEastAsia" w:eastAsiaTheme="minorEastAsia"/>
          <w:szCs w:val="21"/>
        </w:rPr>
        <w:t>代理人办理投诉事务时，除提交投诉书外，还应当提交投诉人的授权委托书，授权委托书应当载明委托代理的具体权限和事项；</w:t>
      </w:r>
      <w:r>
        <w:rPr>
          <w:rFonts w:hint="eastAsia" w:asciiTheme="minorEastAsia" w:hAnsiTheme="minorEastAsia" w:eastAsiaTheme="minorEastAsia"/>
          <w:bCs/>
          <w:szCs w:val="21"/>
        </w:rPr>
        <w:t>提交</w:t>
      </w:r>
      <w:r>
        <w:rPr>
          <w:rFonts w:hint="eastAsia" w:asciiTheme="minorEastAsia" w:hAnsiTheme="minorEastAsia" w:eastAsiaTheme="minorEastAsia"/>
          <w:szCs w:val="21"/>
        </w:rPr>
        <w:t>委托代理人身份证明复印件和近期三个月社保缴费证复印件。</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5.4  </w:t>
      </w:r>
      <w:r>
        <w:rPr>
          <w:rFonts w:hint="eastAsia" w:asciiTheme="minorEastAsia" w:hAnsiTheme="minorEastAsia" w:eastAsiaTheme="minorEastAsia"/>
          <w:szCs w:val="21"/>
        </w:rPr>
        <w:t>投诉人提起投诉应当符合下列条件：</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）投诉人是参与所投诉政府采购活动的投标人；</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）提起投诉前已依法进行质疑；</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）投诉书内容符合本章第</w:t>
      </w:r>
      <w:r>
        <w:rPr>
          <w:rFonts w:asciiTheme="minorEastAsia" w:hAnsiTheme="minorEastAsia" w:eastAsiaTheme="minorEastAsia"/>
          <w:szCs w:val="21"/>
        </w:rPr>
        <w:t>5.2</w:t>
      </w:r>
      <w:r>
        <w:rPr>
          <w:rFonts w:hint="eastAsia" w:asciiTheme="minorEastAsia" w:hAnsiTheme="minorEastAsia" w:eastAsiaTheme="minorEastAsia"/>
          <w:szCs w:val="21"/>
        </w:rPr>
        <w:t>项的规定；</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）在投诉有效期限内提起投诉；</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）属于贵港市政府采购监督管理部门管辖；</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）同一投诉事项未经</w:t>
      </w:r>
      <w:r>
        <w:rPr>
          <w:rFonts w:hint="eastAsia" w:asciiTheme="minorEastAsia" w:hAnsiTheme="minorEastAsia" w:eastAsiaTheme="minorEastAsia"/>
          <w:bCs/>
          <w:szCs w:val="21"/>
        </w:rPr>
        <w:t>贵港市政府采购监督管理部门</w:t>
      </w:r>
      <w:r>
        <w:rPr>
          <w:rFonts w:hint="eastAsia" w:asciiTheme="minorEastAsia" w:hAnsiTheme="minorEastAsia" w:eastAsiaTheme="minorEastAsia"/>
          <w:szCs w:val="21"/>
        </w:rPr>
        <w:t>投诉处理；</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7</w:t>
      </w:r>
      <w:r>
        <w:rPr>
          <w:rFonts w:hint="eastAsia" w:asciiTheme="minorEastAsia" w:hAnsiTheme="minorEastAsia" w:eastAsiaTheme="minorEastAsia"/>
          <w:szCs w:val="21"/>
        </w:rPr>
        <w:t>）国务院财政部门规定的其他条件。</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5.5  </w:t>
      </w:r>
      <w:r>
        <w:rPr>
          <w:rFonts w:hint="eastAsia" w:asciiTheme="minorEastAsia" w:hAnsiTheme="minorEastAsia" w:eastAsiaTheme="minorEastAsia"/>
          <w:szCs w:val="21"/>
        </w:rPr>
        <w:t>贵港市政府采购监督管理部门自受理投诉之日起三十个工作日内，对投诉事项作出处理决定，并以书面形式通知投诉人、被投诉人及其他与投诉处理结果有利害关系的政府采购当事人。</w:t>
      </w:r>
    </w:p>
    <w:p>
      <w:pPr>
        <w:spacing w:line="500" w:lineRule="exact"/>
        <w:ind w:firstLine="420" w:firstLineChars="200"/>
        <w:rPr>
          <w:rFonts w:asciiTheme="minorEastAsia" w:hAnsiTheme="minorEastAsia" w:eastAsiaTheme="minorEastAsia"/>
          <w:bCs/>
        </w:rPr>
      </w:pPr>
      <w:r>
        <w:rPr>
          <w:rFonts w:asciiTheme="minorEastAsia" w:hAnsiTheme="minorEastAsia" w:eastAsiaTheme="minorEastAsia"/>
          <w:szCs w:val="21"/>
        </w:rPr>
        <w:t xml:space="preserve">5.6  </w:t>
      </w:r>
      <w:r>
        <w:rPr>
          <w:rFonts w:hint="eastAsia" w:asciiTheme="minorEastAsia" w:hAnsiTheme="minorEastAsia" w:eastAsiaTheme="minorEastAsia"/>
          <w:szCs w:val="21"/>
        </w:rPr>
        <w:t>贵港市政府采购监督管理部门在处理投诉事项期间，可以视具体情况暂停采购活动。</w:t>
      </w:r>
    </w:p>
    <w:p>
      <w:pPr>
        <w:pStyle w:val="28"/>
        <w:spacing w:before="163" w:beforeLines="50" w:after="163" w:afterLines="50" w:line="500" w:lineRule="exact"/>
        <w:jc w:val="center"/>
        <w:outlineLvl w:val="1"/>
        <w:rPr>
          <w:rFonts w:asciiTheme="minorEastAsia" w:hAnsiTheme="minorEastAsia" w:eastAsiaTheme="minorEastAsia"/>
          <w:b/>
          <w:sz w:val="36"/>
          <w:szCs w:val="36"/>
        </w:rPr>
      </w:pPr>
      <w:bookmarkStart w:id="108" w:name="_Toc213326417"/>
      <w:bookmarkStart w:id="109" w:name="_Toc14807"/>
      <w:bookmarkStart w:id="110" w:name="_Toc13156"/>
      <w:bookmarkStart w:id="111" w:name="_Toc462955438"/>
      <w:bookmarkStart w:id="112" w:name="_Toc429727823"/>
      <w:bookmarkStart w:id="113" w:name="_Toc435106781"/>
      <w:bookmarkStart w:id="114" w:name="_Toc50993393"/>
      <w:r>
        <w:rPr>
          <w:rFonts w:hint="eastAsia" w:asciiTheme="minorEastAsia" w:hAnsiTheme="minorEastAsia" w:eastAsiaTheme="minorEastAsia"/>
          <w:b/>
          <w:sz w:val="36"/>
          <w:szCs w:val="36"/>
        </w:rPr>
        <w:t>二、采购文件</w:t>
      </w:r>
      <w:bookmarkEnd w:id="108"/>
      <w:bookmarkEnd w:id="109"/>
      <w:bookmarkEnd w:id="110"/>
      <w:bookmarkEnd w:id="111"/>
      <w:bookmarkEnd w:id="112"/>
      <w:bookmarkEnd w:id="113"/>
      <w:bookmarkEnd w:id="114"/>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6.</w:t>
      </w:r>
      <w:r>
        <w:rPr>
          <w:rFonts w:hint="eastAsia" w:asciiTheme="minorEastAsia" w:hAnsiTheme="minorEastAsia" w:eastAsiaTheme="minorEastAsia"/>
          <w:b/>
          <w:bCs/>
          <w:szCs w:val="21"/>
        </w:rPr>
        <w:t>采购文件的组成</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6.1  </w:t>
      </w:r>
      <w:r>
        <w:rPr>
          <w:rFonts w:hint="eastAsia" w:asciiTheme="minorEastAsia" w:hAnsiTheme="minorEastAsia" w:eastAsiaTheme="minorEastAsia"/>
          <w:szCs w:val="21"/>
        </w:rPr>
        <w:t>本</w:t>
      </w:r>
      <w:r>
        <w:rPr>
          <w:rFonts w:hint="eastAsia" w:asciiTheme="minorEastAsia" w:hAnsiTheme="minorEastAsia" w:eastAsiaTheme="minorEastAsia"/>
          <w:bCs/>
          <w:szCs w:val="21"/>
        </w:rPr>
        <w:t>采购文件</w:t>
      </w:r>
      <w:r>
        <w:rPr>
          <w:rFonts w:hint="eastAsia" w:asciiTheme="minorEastAsia" w:hAnsiTheme="minorEastAsia" w:eastAsiaTheme="minorEastAsia"/>
          <w:szCs w:val="21"/>
        </w:rPr>
        <w:t>包括六个章节，各章的内容如下：</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第一章 招标公告</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第二章 采购需求</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第三章 投标人须知</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第四章 评标办法</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第五章 投标文件格式</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第六章 附件</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6.2  </w:t>
      </w:r>
      <w:r>
        <w:rPr>
          <w:rFonts w:hint="eastAsia" w:asciiTheme="minorEastAsia" w:hAnsiTheme="minorEastAsia" w:eastAsiaTheme="minorEastAsia"/>
          <w:szCs w:val="21"/>
        </w:rPr>
        <w:t>根据本章第</w:t>
      </w:r>
      <w:r>
        <w:rPr>
          <w:rFonts w:asciiTheme="minorEastAsia" w:hAnsiTheme="minorEastAsia" w:eastAsiaTheme="minorEastAsia"/>
          <w:szCs w:val="21"/>
        </w:rPr>
        <w:t>7.1</w:t>
      </w:r>
      <w:r>
        <w:rPr>
          <w:rFonts w:hint="eastAsia" w:asciiTheme="minorEastAsia" w:hAnsiTheme="minorEastAsia" w:eastAsiaTheme="minorEastAsia"/>
          <w:szCs w:val="21"/>
        </w:rPr>
        <w:t>项的规定对采购文件所做的澄清、修改，构成采购文件的组成部分。当采购文件与采购文件的澄清和修改就同一内容的表述不一致时，以最后发出的书面文件为准。</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7.</w:t>
      </w:r>
      <w:r>
        <w:rPr>
          <w:rFonts w:hint="eastAsia" w:asciiTheme="minorEastAsia" w:hAnsiTheme="minorEastAsia" w:eastAsiaTheme="minorEastAsia"/>
          <w:b/>
          <w:bCs/>
          <w:szCs w:val="21"/>
        </w:rPr>
        <w:t>采购文件的澄清和修改</w:t>
      </w:r>
    </w:p>
    <w:p>
      <w:pPr>
        <w:pStyle w:val="28"/>
        <w:spacing w:line="500" w:lineRule="exact"/>
        <w:ind w:left="2" w:leftChars="1" w:firstLine="420" w:firstLineChars="200"/>
        <w:rPr>
          <w:rFonts w:asciiTheme="minorEastAsia" w:hAnsiTheme="minorEastAsia" w:eastAsiaTheme="minorEastAsia"/>
          <w:szCs w:val="21"/>
        </w:rPr>
      </w:pPr>
      <w:r>
        <w:rPr>
          <w:rFonts w:asciiTheme="minorEastAsia" w:hAnsiTheme="minorEastAsia" w:eastAsiaTheme="minorEastAsia"/>
          <w:szCs w:val="21"/>
        </w:rPr>
        <w:t xml:space="preserve">7.1  </w:t>
      </w:r>
      <w:r>
        <w:rPr>
          <w:rFonts w:hint="eastAsia" w:asciiTheme="minorEastAsia" w:hAnsiTheme="minorEastAsia" w:eastAsiaTheme="minorEastAsia"/>
          <w:szCs w:val="21"/>
        </w:rPr>
        <w:t>采购人或采购代理机构对已发出的采购文件进行必要澄清或修改的，应在投标截止时间十五日前，以书面形式通知所有采购文件收受人；同时，采购代理机构在</w:t>
      </w:r>
      <w:r>
        <w:rPr>
          <w:rFonts w:hint="eastAsia" w:asciiTheme="minorEastAsia" w:hAnsiTheme="minorEastAsia" w:eastAsiaTheme="minorEastAsia"/>
          <w:kern w:val="0"/>
          <w:szCs w:val="21"/>
        </w:rPr>
        <w:t>本章第</w:t>
      </w:r>
      <w:r>
        <w:rPr>
          <w:rFonts w:asciiTheme="minorEastAsia" w:hAnsiTheme="minorEastAsia" w:eastAsiaTheme="minorEastAsia"/>
          <w:kern w:val="0"/>
          <w:szCs w:val="21"/>
        </w:rPr>
        <w:t>2.1</w:t>
      </w:r>
      <w:r>
        <w:rPr>
          <w:rFonts w:hint="eastAsia" w:asciiTheme="minorEastAsia" w:hAnsiTheme="minorEastAsia" w:eastAsiaTheme="minorEastAsia"/>
          <w:kern w:val="0"/>
          <w:szCs w:val="21"/>
        </w:rPr>
        <w:t>项规定的政府采购信息发布媒体上</w:t>
      </w:r>
      <w:r>
        <w:rPr>
          <w:rFonts w:hint="eastAsia" w:asciiTheme="minorEastAsia" w:hAnsiTheme="minorEastAsia" w:eastAsiaTheme="minorEastAsia"/>
          <w:szCs w:val="21"/>
        </w:rPr>
        <w:t>发布更正公告。如果修改采购文件的时间距投标截止时间不足十五日，则相应延长投标截止时间。</w:t>
      </w:r>
    </w:p>
    <w:p>
      <w:pPr>
        <w:pStyle w:val="28"/>
        <w:spacing w:line="500" w:lineRule="exact"/>
        <w:ind w:left="2" w:leftChars="1" w:firstLine="420" w:firstLineChars="200"/>
        <w:rPr>
          <w:rFonts w:asciiTheme="minorEastAsia" w:hAnsiTheme="minorEastAsia" w:eastAsiaTheme="minorEastAsia"/>
          <w:szCs w:val="21"/>
        </w:rPr>
      </w:pPr>
      <w:r>
        <w:rPr>
          <w:rFonts w:asciiTheme="minorEastAsia" w:hAnsiTheme="minorEastAsia" w:eastAsiaTheme="minorEastAsia"/>
          <w:szCs w:val="21"/>
        </w:rPr>
        <w:t xml:space="preserve">7.2  </w:t>
      </w:r>
      <w:r>
        <w:rPr>
          <w:rFonts w:hint="eastAsia" w:asciiTheme="minorEastAsia" w:hAnsiTheme="minorEastAsia" w:eastAsiaTheme="minorEastAsia"/>
          <w:szCs w:val="21"/>
        </w:rPr>
        <w:t>采购人和采购代理机构可以视采购具体情况，延长投标截止时间和开标时间，但至少应当在投标截止时间三日前，将变更时间书面通知所有采购文件收受人。</w:t>
      </w:r>
      <w:r>
        <w:rPr>
          <w:rFonts w:hint="eastAsia" w:asciiTheme="minorEastAsia" w:hAnsiTheme="minorEastAsia" w:eastAsiaTheme="minorEastAsia"/>
          <w:kern w:val="0"/>
          <w:szCs w:val="21"/>
        </w:rPr>
        <w:t>同时，采购代理机构</w:t>
      </w:r>
      <w:r>
        <w:rPr>
          <w:rFonts w:hint="eastAsia" w:asciiTheme="minorEastAsia" w:hAnsiTheme="minorEastAsia" w:eastAsiaTheme="minorEastAsia"/>
          <w:szCs w:val="21"/>
        </w:rPr>
        <w:t>在</w:t>
      </w:r>
      <w:r>
        <w:rPr>
          <w:rFonts w:hint="eastAsia" w:asciiTheme="minorEastAsia" w:hAnsiTheme="minorEastAsia" w:eastAsiaTheme="minorEastAsia"/>
          <w:kern w:val="0"/>
          <w:szCs w:val="21"/>
        </w:rPr>
        <w:t>本章第</w:t>
      </w:r>
      <w:r>
        <w:rPr>
          <w:rFonts w:asciiTheme="minorEastAsia" w:hAnsiTheme="minorEastAsia" w:eastAsiaTheme="minorEastAsia"/>
          <w:kern w:val="0"/>
          <w:szCs w:val="21"/>
        </w:rPr>
        <w:t>2.1</w:t>
      </w:r>
      <w:r>
        <w:rPr>
          <w:rFonts w:hint="eastAsia" w:asciiTheme="minorEastAsia" w:hAnsiTheme="minorEastAsia" w:eastAsiaTheme="minorEastAsia"/>
          <w:kern w:val="0"/>
          <w:szCs w:val="21"/>
        </w:rPr>
        <w:t>项规定的政府采购信息发布媒体上</w:t>
      </w:r>
      <w:r>
        <w:rPr>
          <w:rFonts w:hint="eastAsia" w:asciiTheme="minorEastAsia" w:hAnsiTheme="minorEastAsia" w:eastAsiaTheme="minorEastAsia"/>
          <w:szCs w:val="21"/>
        </w:rPr>
        <w:t>发布变更公告。</w:t>
      </w:r>
    </w:p>
    <w:p>
      <w:pPr>
        <w:pStyle w:val="28"/>
        <w:spacing w:before="163" w:beforeLines="50" w:after="163" w:afterLines="50" w:line="500" w:lineRule="exact"/>
        <w:ind w:left="2" w:firstLine="360"/>
        <w:rPr>
          <w:rFonts w:asciiTheme="minorEastAsia" w:hAnsiTheme="minorEastAsia" w:eastAsiaTheme="minorEastAsia"/>
          <w:b/>
          <w:bCs/>
          <w:sz w:val="24"/>
        </w:rPr>
      </w:pPr>
    </w:p>
    <w:p>
      <w:pPr>
        <w:pStyle w:val="28"/>
        <w:spacing w:before="163" w:beforeLines="50" w:after="163" w:afterLines="50" w:line="500" w:lineRule="exact"/>
        <w:jc w:val="center"/>
        <w:outlineLvl w:val="1"/>
        <w:rPr>
          <w:rFonts w:asciiTheme="minorEastAsia" w:hAnsiTheme="minorEastAsia" w:eastAsiaTheme="minorEastAsia"/>
          <w:b/>
          <w:sz w:val="36"/>
          <w:szCs w:val="36"/>
        </w:rPr>
      </w:pPr>
      <w:bookmarkStart w:id="115" w:name="_Toc462955439"/>
      <w:bookmarkStart w:id="116" w:name="_Toc435106782"/>
      <w:bookmarkStart w:id="117" w:name="_Toc50993394"/>
      <w:bookmarkStart w:id="118" w:name="_Toc9028"/>
      <w:bookmarkStart w:id="119" w:name="_Toc213326418"/>
      <w:bookmarkStart w:id="120" w:name="_Toc3891"/>
      <w:bookmarkStart w:id="121" w:name="_Toc429727824"/>
      <w:r>
        <w:rPr>
          <w:rFonts w:hint="eastAsia" w:asciiTheme="minorEastAsia" w:hAnsiTheme="minorEastAsia" w:eastAsiaTheme="minorEastAsia"/>
          <w:b/>
          <w:sz w:val="36"/>
          <w:szCs w:val="36"/>
        </w:rPr>
        <w:t>三、投标文件</w:t>
      </w:r>
      <w:bookmarkEnd w:id="115"/>
      <w:bookmarkEnd w:id="116"/>
      <w:bookmarkEnd w:id="117"/>
      <w:bookmarkEnd w:id="118"/>
      <w:bookmarkEnd w:id="119"/>
      <w:bookmarkEnd w:id="120"/>
      <w:bookmarkEnd w:id="121"/>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8.</w:t>
      </w:r>
      <w:r>
        <w:rPr>
          <w:rFonts w:hint="eastAsia" w:asciiTheme="minorEastAsia" w:hAnsiTheme="minorEastAsia" w:eastAsiaTheme="minorEastAsia"/>
          <w:b/>
          <w:bCs/>
          <w:szCs w:val="21"/>
        </w:rPr>
        <w:t>投标文件的编制</w:t>
      </w:r>
    </w:p>
    <w:p>
      <w:pPr>
        <w:pStyle w:val="28"/>
        <w:spacing w:line="500" w:lineRule="exact"/>
        <w:ind w:left="2" w:leftChars="1" w:firstLine="420" w:firstLineChars="200"/>
        <w:rPr>
          <w:rFonts w:asciiTheme="minorEastAsia" w:hAnsiTheme="minorEastAsia" w:eastAsiaTheme="minorEastAsia"/>
          <w:szCs w:val="21"/>
        </w:rPr>
      </w:pPr>
      <w:r>
        <w:rPr>
          <w:rFonts w:asciiTheme="minorEastAsia" w:hAnsiTheme="minorEastAsia" w:eastAsiaTheme="minorEastAsia"/>
          <w:szCs w:val="21"/>
        </w:rPr>
        <w:t xml:space="preserve">8.1  </w:t>
      </w:r>
      <w:r>
        <w:rPr>
          <w:rFonts w:hint="eastAsia" w:asciiTheme="minorEastAsia" w:hAnsiTheme="minorEastAsia" w:eastAsiaTheme="minorEastAsia"/>
          <w:szCs w:val="21"/>
        </w:rPr>
        <w:t>投标人应仔细阅读采购文件，在充分了解招标的内容、技术参数要求和商务条款以及实质性要求和条件后，编写投标文件。</w:t>
      </w:r>
    </w:p>
    <w:p>
      <w:pPr>
        <w:pStyle w:val="28"/>
        <w:spacing w:line="500" w:lineRule="exact"/>
        <w:ind w:left="2" w:leftChars="1" w:firstLine="420" w:firstLineChars="200"/>
        <w:rPr>
          <w:rFonts w:asciiTheme="minorEastAsia" w:hAnsiTheme="minorEastAsia" w:eastAsiaTheme="minorEastAsia"/>
          <w:szCs w:val="21"/>
        </w:rPr>
      </w:pPr>
      <w:r>
        <w:rPr>
          <w:rFonts w:asciiTheme="minorEastAsia" w:hAnsiTheme="minorEastAsia" w:eastAsiaTheme="minorEastAsia"/>
          <w:szCs w:val="21"/>
        </w:rPr>
        <w:t xml:space="preserve">8.2  </w:t>
      </w:r>
      <w:r>
        <w:rPr>
          <w:rFonts w:hint="eastAsia" w:asciiTheme="minorEastAsia" w:hAnsiTheme="minorEastAsia" w:eastAsiaTheme="minorEastAsia"/>
          <w:szCs w:val="21"/>
        </w:rPr>
        <w:t>对采购文件的实质性要求和条件作出响应是指投标人必须对采购文件中标注为实质性要求和条件的技术参数要求、商务条款及其它内容作出满足或者优于原要求和条件的承诺。</w:t>
      </w:r>
    </w:p>
    <w:p>
      <w:pPr>
        <w:pStyle w:val="28"/>
        <w:spacing w:line="500" w:lineRule="exact"/>
        <w:ind w:left="2" w:leftChars="1" w:firstLine="420" w:firstLineChars="200"/>
        <w:rPr>
          <w:rFonts w:asciiTheme="minorEastAsia" w:hAnsiTheme="minorEastAsia" w:eastAsiaTheme="minorEastAsia"/>
          <w:szCs w:val="21"/>
        </w:rPr>
      </w:pPr>
      <w:r>
        <w:rPr>
          <w:rFonts w:asciiTheme="minorEastAsia" w:hAnsiTheme="minorEastAsia" w:eastAsiaTheme="minorEastAsia"/>
          <w:szCs w:val="21"/>
        </w:rPr>
        <w:t xml:space="preserve">8.3  </w:t>
      </w:r>
      <w:r>
        <w:rPr>
          <w:rFonts w:hint="eastAsia" w:asciiTheme="minorEastAsia" w:hAnsiTheme="minorEastAsia" w:eastAsiaTheme="minorEastAsia"/>
          <w:szCs w:val="21"/>
        </w:rPr>
        <w:t>投标文件应用不褪色的墨水书或打印，保证其清楚、工整，相关材料的复印件应清晰可辨认。投标文件字迹潦草、表达不清、模糊无法辨认而导致非唯一理解是投标人的风险，很可能导致该投标无效。</w:t>
      </w:r>
    </w:p>
    <w:p>
      <w:pPr>
        <w:pStyle w:val="28"/>
        <w:spacing w:line="500" w:lineRule="exact"/>
        <w:ind w:left="2" w:leftChars="1" w:firstLine="420" w:firstLineChars="200"/>
        <w:rPr>
          <w:rFonts w:asciiTheme="minorEastAsia" w:hAnsiTheme="minorEastAsia" w:eastAsiaTheme="minorEastAsia"/>
          <w:szCs w:val="21"/>
        </w:rPr>
      </w:pPr>
      <w:r>
        <w:rPr>
          <w:rFonts w:asciiTheme="minorEastAsia" w:hAnsiTheme="minorEastAsia" w:eastAsiaTheme="minorEastAsia"/>
          <w:szCs w:val="21"/>
        </w:rPr>
        <w:t xml:space="preserve">8.4  </w:t>
      </w:r>
      <w:r>
        <w:rPr>
          <w:rFonts w:hint="eastAsia" w:asciiTheme="minorEastAsia" w:hAnsiTheme="minorEastAsia" w:eastAsiaTheme="minorEastAsia"/>
          <w:szCs w:val="21"/>
        </w:rPr>
        <w:t>第五章“投标文件格式”中规定了投标文件格式的，应按相应格式要求编写。</w:t>
      </w:r>
    </w:p>
    <w:p>
      <w:pPr>
        <w:pStyle w:val="28"/>
        <w:spacing w:line="500" w:lineRule="exact"/>
        <w:ind w:left="2" w:leftChars="1" w:firstLine="420" w:firstLineChars="200"/>
        <w:rPr>
          <w:rFonts w:asciiTheme="minorEastAsia" w:hAnsiTheme="minorEastAsia" w:eastAsiaTheme="minorEastAsia"/>
          <w:szCs w:val="21"/>
        </w:rPr>
      </w:pPr>
      <w:r>
        <w:rPr>
          <w:rFonts w:asciiTheme="minorEastAsia" w:hAnsiTheme="minorEastAsia" w:eastAsiaTheme="minorEastAsia"/>
          <w:szCs w:val="21"/>
        </w:rPr>
        <w:t xml:space="preserve">8.5  </w:t>
      </w:r>
      <w:r>
        <w:rPr>
          <w:rFonts w:hint="eastAsia" w:asciiTheme="minorEastAsia" w:hAnsiTheme="minorEastAsia" w:eastAsiaTheme="minorEastAsia"/>
          <w:szCs w:val="21"/>
        </w:rPr>
        <w:t>投标文件应按提供招标文件提供的格式要求，在对应的“盖单位公章”处加盖单位公章，在法定代表人或其委托代理人“签字或盖章”处签字或盖法人章。投标文件应尽量避免涂改、行间插字或删除。如果出现上述情况，改动之处应加盖单位公章或由投标人的法定代表人或其委托代理人签字或盖章确认（如为联合体投标，则加盖牵头人单位公章）。</w:t>
      </w:r>
    </w:p>
    <w:p>
      <w:pPr>
        <w:pStyle w:val="28"/>
        <w:spacing w:line="500" w:lineRule="exact"/>
        <w:ind w:left="2" w:leftChars="1" w:firstLine="420" w:firstLineChars="200"/>
        <w:rPr>
          <w:rFonts w:asciiTheme="minorEastAsia" w:hAnsiTheme="minorEastAsia" w:eastAsiaTheme="minorEastAsia"/>
          <w:szCs w:val="21"/>
        </w:rPr>
      </w:pPr>
      <w:r>
        <w:rPr>
          <w:rFonts w:asciiTheme="minorEastAsia" w:hAnsiTheme="minorEastAsia" w:eastAsiaTheme="minorEastAsia"/>
          <w:szCs w:val="21"/>
        </w:rPr>
        <w:t xml:space="preserve">8.6  </w:t>
      </w:r>
      <w:r>
        <w:rPr>
          <w:rFonts w:hint="eastAsia" w:asciiTheme="minorEastAsia" w:hAnsiTheme="minorEastAsia" w:eastAsiaTheme="minorEastAsia"/>
          <w:szCs w:val="21"/>
        </w:rPr>
        <w:t>投标文件应编制目录，且页码清晰准确。</w:t>
      </w:r>
    </w:p>
    <w:p>
      <w:pPr>
        <w:pStyle w:val="28"/>
        <w:spacing w:line="500" w:lineRule="exact"/>
        <w:ind w:left="2" w:leftChars="1" w:firstLine="420" w:firstLineChars="200"/>
        <w:rPr>
          <w:rFonts w:asciiTheme="minorEastAsia" w:hAnsiTheme="minorEastAsia" w:eastAsiaTheme="minorEastAsia"/>
          <w:szCs w:val="21"/>
        </w:rPr>
      </w:pPr>
      <w:r>
        <w:rPr>
          <w:rFonts w:asciiTheme="minorEastAsia" w:hAnsiTheme="minorEastAsia" w:eastAsiaTheme="minorEastAsia"/>
          <w:szCs w:val="21"/>
        </w:rPr>
        <w:t xml:space="preserve">8.7  </w:t>
      </w:r>
      <w:r>
        <w:rPr>
          <w:rFonts w:hint="eastAsia" w:asciiTheme="minorEastAsia" w:hAnsiTheme="minorEastAsia" w:eastAsiaTheme="minorEastAsia"/>
          <w:szCs w:val="21"/>
        </w:rPr>
        <w:t>投标文件的正本和副本应分别装订成册，封面上应清楚地标记“正本”或“副本”字样，并标明项目名称、项目编号、投标人名称等内容，</w:t>
      </w:r>
      <w:r>
        <w:rPr>
          <w:rFonts w:hint="eastAsia" w:asciiTheme="minorEastAsia" w:hAnsiTheme="minorEastAsia" w:eastAsiaTheme="minorEastAsia"/>
          <w:szCs w:val="21"/>
          <w:lang w:val="zh-CN"/>
        </w:rPr>
        <w:t>首页和文件骑缝处须加盖投标人公章</w:t>
      </w:r>
      <w:r>
        <w:rPr>
          <w:rFonts w:hint="eastAsia" w:asciiTheme="minorEastAsia" w:hAnsiTheme="minorEastAsia" w:eastAsiaTheme="minorEastAsia"/>
          <w:szCs w:val="21"/>
        </w:rPr>
        <w:t>。副本可以采用正本的复印件，当副本采用正本的复印件时，</w:t>
      </w:r>
      <w:r>
        <w:rPr>
          <w:rFonts w:hint="eastAsia" w:asciiTheme="minorEastAsia" w:hAnsiTheme="minorEastAsia" w:eastAsiaTheme="minorEastAsia"/>
          <w:szCs w:val="21"/>
          <w:lang w:val="zh-CN"/>
        </w:rPr>
        <w:t>首页和文件骑缝处须加盖投标人公章，</w:t>
      </w:r>
      <w:r>
        <w:rPr>
          <w:rFonts w:hint="eastAsia" w:asciiTheme="minorEastAsia" w:hAnsiTheme="minorEastAsia" w:eastAsiaTheme="minorEastAsia"/>
          <w:szCs w:val="21"/>
        </w:rPr>
        <w:t>当副本和正本不一致时，以正本为准（如为联合体投标，则加盖牵头人单位公章）。投标人应准备报价文件及商务文件、技术文件正本、副本份数见投标人须知前附表，以上整套文件提供</w:t>
      </w:r>
      <w:r>
        <w:rPr>
          <w:rFonts w:asciiTheme="minorEastAsia" w:hAnsiTheme="minorEastAsia" w:eastAsiaTheme="minorEastAsia"/>
          <w:szCs w:val="21"/>
        </w:rPr>
        <w:t>2</w:t>
      </w:r>
      <w:r>
        <w:rPr>
          <w:rFonts w:hint="eastAsia" w:asciiTheme="minorEastAsia" w:hAnsiTheme="minorEastAsia" w:eastAsiaTheme="minorEastAsia"/>
          <w:szCs w:val="21"/>
        </w:rPr>
        <w:t>份word可编辑电子版（</w:t>
      </w:r>
      <w:r>
        <w:rPr>
          <w:rFonts w:asciiTheme="minorEastAsia" w:hAnsiTheme="minorEastAsia" w:eastAsiaTheme="minorEastAsia"/>
          <w:szCs w:val="21"/>
        </w:rPr>
        <w:t>U</w:t>
      </w:r>
      <w:r>
        <w:rPr>
          <w:rFonts w:hint="eastAsia" w:asciiTheme="minorEastAsia" w:hAnsiTheme="minorEastAsia" w:eastAsiaTheme="minorEastAsia"/>
          <w:szCs w:val="21"/>
        </w:rPr>
        <w:t>盘形式）。</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9.</w:t>
      </w:r>
      <w:r>
        <w:rPr>
          <w:rFonts w:hint="eastAsia" w:asciiTheme="minorEastAsia" w:hAnsiTheme="minorEastAsia" w:eastAsiaTheme="minorEastAsia"/>
          <w:b/>
          <w:bCs/>
          <w:szCs w:val="21"/>
        </w:rPr>
        <w:t>投标语言文字及计量单位</w:t>
      </w:r>
    </w:p>
    <w:p>
      <w:pPr>
        <w:pStyle w:val="28"/>
        <w:spacing w:line="500" w:lineRule="exact"/>
        <w:ind w:firstLine="420" w:firstLineChars="200"/>
        <w:rPr>
          <w:rFonts w:asciiTheme="minorEastAsia" w:hAnsiTheme="minorEastAsia" w:eastAsiaTheme="minorEastAsia"/>
          <w:bCs/>
          <w:szCs w:val="21"/>
        </w:rPr>
      </w:pPr>
      <w:r>
        <w:rPr>
          <w:rFonts w:asciiTheme="minorEastAsia" w:hAnsiTheme="minorEastAsia" w:eastAsiaTheme="minorEastAsia"/>
          <w:szCs w:val="21"/>
        </w:rPr>
        <w:t xml:space="preserve">9.1  </w:t>
      </w:r>
      <w:r>
        <w:rPr>
          <w:rFonts w:hint="eastAsia" w:asciiTheme="minorEastAsia" w:hAnsiTheme="minorEastAsia" w:eastAsiaTheme="minorEastAsia"/>
          <w:szCs w:val="21"/>
        </w:rPr>
        <w:t>投标人的投标文件以及投标人与采购人、采购代理机构就有关投标的所有往来函电统一使用中文（特别规定除外）。</w:t>
      </w:r>
    </w:p>
    <w:p>
      <w:pPr>
        <w:pStyle w:val="28"/>
        <w:spacing w:line="500" w:lineRule="exact"/>
        <w:ind w:firstLine="420" w:firstLineChars="200"/>
        <w:rPr>
          <w:rFonts w:asciiTheme="minorEastAsia" w:hAnsiTheme="minorEastAsia" w:eastAsiaTheme="minorEastAsia"/>
          <w:bCs/>
          <w:szCs w:val="21"/>
        </w:rPr>
      </w:pPr>
      <w:r>
        <w:rPr>
          <w:rFonts w:asciiTheme="minorEastAsia" w:hAnsiTheme="minorEastAsia" w:eastAsiaTheme="minorEastAsia"/>
          <w:szCs w:val="21"/>
        </w:rPr>
        <w:t xml:space="preserve">9.2  </w:t>
      </w:r>
      <w:r>
        <w:rPr>
          <w:rFonts w:hint="eastAsia" w:asciiTheme="minorEastAsia" w:hAnsiTheme="minorEastAsia" w:eastAsiaTheme="minorEastAsia"/>
          <w:szCs w:val="21"/>
        </w:rPr>
        <w:t>对不同文字文本投标文件的解释发生异议的，以中文文本为准。</w:t>
      </w:r>
    </w:p>
    <w:p>
      <w:pPr>
        <w:pStyle w:val="28"/>
        <w:spacing w:line="500" w:lineRule="exact"/>
        <w:ind w:firstLine="420" w:firstLineChars="200"/>
        <w:rPr>
          <w:rFonts w:asciiTheme="minorEastAsia" w:hAnsiTheme="minorEastAsia" w:eastAsiaTheme="minorEastAsia"/>
          <w:bCs/>
          <w:szCs w:val="21"/>
        </w:rPr>
      </w:pPr>
      <w:r>
        <w:rPr>
          <w:rFonts w:asciiTheme="minorEastAsia" w:hAnsiTheme="minorEastAsia" w:eastAsiaTheme="minorEastAsia"/>
          <w:szCs w:val="21"/>
        </w:rPr>
        <w:t xml:space="preserve">9.3  </w:t>
      </w:r>
      <w:r>
        <w:rPr>
          <w:rFonts w:hint="eastAsia" w:asciiTheme="minorEastAsia" w:hAnsiTheme="minorEastAsia" w:eastAsiaTheme="minorEastAsia"/>
          <w:szCs w:val="21"/>
        </w:rPr>
        <w:t>投标文件使用的计量单位除采购文件中有特殊规定外，一律使用中华人民共和国法定计量单位。</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10.</w:t>
      </w:r>
      <w:r>
        <w:rPr>
          <w:rFonts w:hint="eastAsia" w:asciiTheme="minorEastAsia" w:hAnsiTheme="minorEastAsia" w:eastAsiaTheme="minorEastAsia"/>
          <w:b/>
          <w:bCs/>
          <w:szCs w:val="21"/>
        </w:rPr>
        <w:t>投标文件的组成</w:t>
      </w:r>
    </w:p>
    <w:p>
      <w:pPr>
        <w:pStyle w:val="28"/>
        <w:spacing w:line="500" w:lineRule="exact"/>
        <w:ind w:firstLine="420"/>
        <w:rPr>
          <w:rFonts w:asciiTheme="minorEastAsia" w:hAnsiTheme="minorEastAsia" w:eastAsiaTheme="minorEastAsia"/>
          <w:b/>
          <w:szCs w:val="21"/>
        </w:rPr>
      </w:pPr>
      <w:r>
        <w:rPr>
          <w:rFonts w:asciiTheme="minorEastAsia" w:hAnsiTheme="minorEastAsia" w:eastAsiaTheme="minorEastAsia"/>
          <w:szCs w:val="21"/>
        </w:rPr>
        <w:t>10</w:t>
      </w:r>
      <w:r>
        <w:rPr>
          <w:rFonts w:hint="eastAsia" w:asciiTheme="minorEastAsia" w:hAnsiTheme="minorEastAsia" w:eastAsiaTheme="minorEastAsia"/>
          <w:szCs w:val="21"/>
        </w:rPr>
        <w:t>．</w:t>
      </w:r>
      <w:r>
        <w:rPr>
          <w:rFonts w:asciiTheme="minorEastAsia" w:hAnsiTheme="minorEastAsia" w:eastAsiaTheme="minorEastAsia"/>
          <w:szCs w:val="21"/>
        </w:rPr>
        <w:t xml:space="preserve">1 </w:t>
      </w:r>
      <w:r>
        <w:rPr>
          <w:rFonts w:hint="eastAsia" w:asciiTheme="minorEastAsia" w:hAnsiTheme="minorEastAsia" w:eastAsiaTheme="minorEastAsia"/>
          <w:szCs w:val="21"/>
        </w:rPr>
        <w:t>投标人编写的投标文件应至少包括下列各部分，各部分的具体要求详见本须知第</w:t>
      </w:r>
      <w:r>
        <w:rPr>
          <w:rFonts w:asciiTheme="minorEastAsia" w:hAnsiTheme="minorEastAsia" w:eastAsiaTheme="minorEastAsia"/>
          <w:szCs w:val="21"/>
        </w:rPr>
        <w:t>10.2</w:t>
      </w:r>
      <w:r>
        <w:rPr>
          <w:rFonts w:hint="eastAsia" w:asciiTheme="minorEastAsia" w:hAnsiTheme="minorEastAsia" w:eastAsiaTheme="minorEastAsia"/>
          <w:szCs w:val="21"/>
        </w:rPr>
        <w:t>条至第</w:t>
      </w:r>
      <w:r>
        <w:rPr>
          <w:rFonts w:asciiTheme="minorEastAsia" w:hAnsiTheme="minorEastAsia" w:eastAsiaTheme="minorEastAsia"/>
          <w:szCs w:val="21"/>
        </w:rPr>
        <w:t>10.6</w:t>
      </w:r>
      <w:r>
        <w:rPr>
          <w:rFonts w:hint="eastAsia" w:asciiTheme="minorEastAsia" w:hAnsiTheme="minorEastAsia" w:eastAsiaTheme="minorEastAsia"/>
          <w:szCs w:val="21"/>
        </w:rPr>
        <w:t>条：</w:t>
      </w:r>
      <w:r>
        <w:rPr>
          <w:rFonts w:asciiTheme="minorEastAsia" w:hAnsiTheme="minorEastAsia" w:eastAsiaTheme="minorEastAsia"/>
          <w:b/>
          <w:szCs w:val="21"/>
        </w:rPr>
        <w:t xml:space="preserve"> </w:t>
      </w:r>
    </w:p>
    <w:p>
      <w:pPr>
        <w:pStyle w:val="28"/>
        <w:spacing w:line="500" w:lineRule="exact"/>
        <w:ind w:firstLine="420"/>
        <w:rPr>
          <w:rFonts w:asciiTheme="minorEastAsia" w:hAnsiTheme="minorEastAsia" w:eastAsiaTheme="minorEastAsia"/>
          <w:b/>
          <w:szCs w:val="21"/>
        </w:rPr>
      </w:pPr>
      <w:r>
        <w:rPr>
          <w:rFonts w:asciiTheme="minorEastAsia" w:hAnsiTheme="minorEastAsia" w:eastAsiaTheme="minorEastAsia"/>
          <w:b/>
          <w:szCs w:val="21"/>
        </w:rPr>
        <w:t>10.1.</w:t>
      </w:r>
      <w:r>
        <w:rPr>
          <w:rFonts w:hint="eastAsia" w:asciiTheme="minorEastAsia" w:hAnsiTheme="minorEastAsia" w:eastAsiaTheme="minorEastAsia"/>
          <w:b/>
          <w:szCs w:val="21"/>
        </w:rPr>
        <w:t>1</w:t>
      </w:r>
      <w:r>
        <w:rPr>
          <w:rFonts w:asciiTheme="minorEastAsia" w:hAnsiTheme="minorEastAsia" w:eastAsiaTheme="minorEastAsia"/>
          <w:b/>
          <w:szCs w:val="21"/>
        </w:rPr>
        <w:t xml:space="preserve"> </w:t>
      </w:r>
      <w:r>
        <w:rPr>
          <w:rFonts w:hint="eastAsia" w:asciiTheme="minorEastAsia" w:hAnsiTheme="minorEastAsia" w:eastAsiaTheme="minorEastAsia"/>
          <w:b/>
          <w:szCs w:val="21"/>
        </w:rPr>
        <w:t>报价及商务标文件</w:t>
      </w:r>
    </w:p>
    <w:p>
      <w:pPr>
        <w:pStyle w:val="28"/>
        <w:tabs>
          <w:tab w:val="left" w:pos="1380"/>
        </w:tabs>
        <w:spacing w:line="50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（1）报价表；</w:t>
      </w:r>
    </w:p>
    <w:p>
      <w:pPr>
        <w:pStyle w:val="28"/>
        <w:tabs>
          <w:tab w:val="left" w:pos="1380"/>
        </w:tabs>
        <w:spacing w:line="50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ab/>
      </w:r>
      <w:r>
        <w:rPr>
          <w:rFonts w:hint="eastAsia" w:asciiTheme="minorEastAsia" w:hAnsiTheme="minorEastAsia" w:eastAsiaTheme="minorEastAsia"/>
          <w:szCs w:val="21"/>
        </w:rPr>
        <w:t>投标函；</w:t>
      </w:r>
    </w:p>
    <w:p>
      <w:pPr>
        <w:pStyle w:val="28"/>
        <w:tabs>
          <w:tab w:val="left" w:pos="1701"/>
        </w:tabs>
        <w:spacing w:line="500" w:lineRule="exact"/>
        <w:ind w:firstLine="840" w:firstLineChars="400"/>
        <w:rPr>
          <w:rFonts w:asciiTheme="minorEastAsia" w:hAnsiTheme="minorEastAsia" w:eastAsiaTheme="minorEastAsia"/>
          <w:szCs w:val="21"/>
          <w:lang w:val="zh-CN"/>
        </w:rPr>
      </w:pPr>
      <w:bookmarkStart w:id="122" w:name="_Hlk482039483"/>
      <w:r>
        <w:rPr>
          <w:rFonts w:hint="eastAsia" w:asciiTheme="minorEastAsia" w:hAnsiTheme="minorEastAsia" w:eastAsiaTheme="minorEastAsia"/>
          <w:szCs w:val="21"/>
          <w:lang w:val="zh-CN"/>
        </w:rPr>
        <w:t>（</w:t>
      </w:r>
      <w:r>
        <w:rPr>
          <w:rFonts w:hint="eastAsia" w:asciiTheme="minorEastAsia" w:hAnsiTheme="minorEastAsia" w:eastAsiaTheme="minorEastAsia"/>
          <w:szCs w:val="21"/>
        </w:rPr>
        <w:t>3</w:t>
      </w:r>
      <w:r>
        <w:rPr>
          <w:rFonts w:hint="eastAsia" w:asciiTheme="minorEastAsia" w:hAnsiTheme="minorEastAsia" w:eastAsiaTheme="minorEastAsia"/>
          <w:szCs w:val="21"/>
          <w:lang w:val="zh-CN"/>
        </w:rPr>
        <w:t>）法定代表人身份证明；</w:t>
      </w:r>
    </w:p>
    <w:p>
      <w:pPr>
        <w:pStyle w:val="28"/>
        <w:tabs>
          <w:tab w:val="left" w:pos="1701"/>
        </w:tabs>
        <w:spacing w:line="500" w:lineRule="exact"/>
        <w:ind w:firstLine="840" w:firstLineChars="400"/>
        <w:rPr>
          <w:rFonts w:asciiTheme="minorEastAsia" w:hAnsiTheme="minorEastAsia" w:eastAsiaTheme="minorEastAsia"/>
          <w:szCs w:val="21"/>
          <w:lang w:val="zh-CN"/>
        </w:rPr>
      </w:pPr>
      <w:r>
        <w:rPr>
          <w:rFonts w:hint="eastAsia" w:asciiTheme="minorEastAsia" w:hAnsiTheme="minorEastAsia" w:eastAsiaTheme="minorEastAsia"/>
          <w:szCs w:val="21"/>
          <w:lang w:val="zh-CN"/>
        </w:rPr>
        <w:t>（</w:t>
      </w:r>
      <w:r>
        <w:rPr>
          <w:rFonts w:hint="eastAsia" w:asciiTheme="minorEastAsia" w:hAnsiTheme="minorEastAsia" w:eastAsiaTheme="minorEastAsia"/>
          <w:szCs w:val="21"/>
        </w:rPr>
        <w:t>4</w:t>
      </w:r>
      <w:r>
        <w:rPr>
          <w:rFonts w:hint="eastAsia" w:asciiTheme="minorEastAsia" w:hAnsiTheme="minorEastAsia" w:eastAsiaTheme="minorEastAsia"/>
          <w:szCs w:val="21"/>
          <w:lang w:val="zh-CN"/>
        </w:rPr>
        <w:t>）法定代表人授权委托书（如为代理人参加投标，则需提供）；</w:t>
      </w:r>
    </w:p>
    <w:p>
      <w:pPr>
        <w:pStyle w:val="28"/>
        <w:tabs>
          <w:tab w:val="left" w:pos="1701"/>
        </w:tabs>
        <w:spacing w:line="500" w:lineRule="exact"/>
        <w:ind w:firstLine="840" w:firstLineChars="400"/>
        <w:rPr>
          <w:rFonts w:asciiTheme="minorEastAsia" w:hAnsiTheme="minorEastAsia" w:eastAsiaTheme="minorEastAsia"/>
          <w:szCs w:val="21"/>
          <w:lang w:val="zh-CN"/>
        </w:rPr>
      </w:pPr>
      <w:r>
        <w:rPr>
          <w:rFonts w:hint="eastAsia" w:asciiTheme="minorEastAsia" w:hAnsiTheme="minorEastAsia" w:eastAsiaTheme="minorEastAsia"/>
          <w:szCs w:val="21"/>
          <w:lang w:val="zh-CN"/>
        </w:rPr>
        <w:t>（</w:t>
      </w:r>
      <w:r>
        <w:rPr>
          <w:rFonts w:hint="eastAsia" w:asciiTheme="minorEastAsia" w:hAnsiTheme="minorEastAsia" w:eastAsiaTheme="minorEastAsia"/>
          <w:szCs w:val="21"/>
        </w:rPr>
        <w:t>5</w:t>
      </w:r>
      <w:r>
        <w:rPr>
          <w:rFonts w:hint="eastAsia" w:asciiTheme="minorEastAsia" w:hAnsiTheme="minorEastAsia" w:eastAsiaTheme="minorEastAsia"/>
          <w:szCs w:val="21"/>
          <w:lang w:val="zh-CN"/>
        </w:rPr>
        <w:t>）联合体协议书（如为联合体投标，则需提供）；</w:t>
      </w:r>
    </w:p>
    <w:p>
      <w:pPr>
        <w:pStyle w:val="28"/>
        <w:tabs>
          <w:tab w:val="left" w:pos="1701"/>
        </w:tabs>
        <w:spacing w:line="500" w:lineRule="exact"/>
        <w:ind w:firstLine="840" w:firstLineChars="400"/>
        <w:rPr>
          <w:rFonts w:asciiTheme="minorEastAsia" w:hAnsiTheme="minorEastAsia" w:eastAsiaTheme="minorEastAsia"/>
          <w:szCs w:val="21"/>
          <w:lang w:val="zh-CN"/>
        </w:rPr>
      </w:pPr>
      <w:r>
        <w:rPr>
          <w:rFonts w:hint="eastAsia" w:asciiTheme="minorEastAsia" w:hAnsiTheme="minorEastAsia" w:eastAsiaTheme="minorEastAsia"/>
          <w:szCs w:val="21"/>
          <w:lang w:val="zh-CN"/>
        </w:rPr>
        <w:t>（</w:t>
      </w:r>
      <w:r>
        <w:rPr>
          <w:rFonts w:hint="eastAsia" w:asciiTheme="minorEastAsia" w:hAnsiTheme="minorEastAsia" w:eastAsiaTheme="minorEastAsia"/>
          <w:szCs w:val="21"/>
        </w:rPr>
        <w:t>6</w:t>
      </w:r>
      <w:r>
        <w:rPr>
          <w:rFonts w:hint="eastAsia" w:asciiTheme="minorEastAsia" w:hAnsiTheme="minorEastAsia" w:eastAsiaTheme="minorEastAsia"/>
          <w:szCs w:val="21"/>
          <w:lang w:val="zh-CN"/>
        </w:rPr>
        <w:t>）资格条件确认函；</w:t>
      </w:r>
    </w:p>
    <w:p>
      <w:pPr>
        <w:pStyle w:val="28"/>
        <w:tabs>
          <w:tab w:val="left" w:pos="1701"/>
        </w:tabs>
        <w:spacing w:line="500" w:lineRule="exact"/>
        <w:ind w:firstLine="840" w:firstLineChars="400"/>
        <w:rPr>
          <w:rFonts w:asciiTheme="minorEastAsia" w:hAnsiTheme="minorEastAsia" w:eastAsiaTheme="minorEastAsia"/>
          <w:szCs w:val="21"/>
          <w:lang w:val="zh-CN"/>
        </w:rPr>
      </w:pPr>
      <w:r>
        <w:rPr>
          <w:rFonts w:hint="eastAsia" w:asciiTheme="minorEastAsia" w:hAnsiTheme="minorEastAsia" w:eastAsiaTheme="minorEastAsia"/>
          <w:szCs w:val="21"/>
          <w:lang w:val="zh-CN"/>
        </w:rPr>
        <w:t>（</w:t>
      </w:r>
      <w:r>
        <w:rPr>
          <w:rFonts w:hint="eastAsia" w:asciiTheme="minorEastAsia" w:hAnsiTheme="minorEastAsia" w:eastAsiaTheme="minorEastAsia"/>
          <w:szCs w:val="21"/>
        </w:rPr>
        <w:t>7</w:t>
      </w:r>
      <w:r>
        <w:rPr>
          <w:rFonts w:hint="eastAsia" w:asciiTheme="minorEastAsia" w:hAnsiTheme="minorEastAsia" w:eastAsiaTheme="minorEastAsia"/>
          <w:szCs w:val="21"/>
          <w:lang w:val="zh-CN"/>
        </w:rPr>
        <w:t>）</w:t>
      </w:r>
      <w:r>
        <w:rPr>
          <w:rFonts w:hint="eastAsia" w:asciiTheme="minorEastAsia" w:hAnsiTheme="minorEastAsia" w:eastAsiaTheme="minorEastAsia"/>
          <w:szCs w:val="21"/>
        </w:rPr>
        <w:t>投标保证金；</w:t>
      </w:r>
    </w:p>
    <w:p>
      <w:pPr>
        <w:pStyle w:val="28"/>
        <w:tabs>
          <w:tab w:val="left" w:pos="1701"/>
        </w:tabs>
        <w:spacing w:line="500" w:lineRule="exact"/>
        <w:ind w:firstLine="840" w:firstLineChars="400"/>
        <w:rPr>
          <w:rFonts w:asciiTheme="minorEastAsia" w:hAnsiTheme="minorEastAsia" w:eastAsiaTheme="minorEastAsia"/>
          <w:szCs w:val="21"/>
          <w:lang w:val="zh-CN"/>
        </w:rPr>
      </w:pPr>
      <w:r>
        <w:rPr>
          <w:rFonts w:hint="eastAsia" w:asciiTheme="minorEastAsia" w:hAnsiTheme="minorEastAsia" w:eastAsiaTheme="minorEastAsia"/>
          <w:szCs w:val="21"/>
          <w:lang w:val="zh-CN"/>
        </w:rPr>
        <w:t>（</w:t>
      </w:r>
      <w:r>
        <w:rPr>
          <w:rFonts w:hint="eastAsia" w:asciiTheme="minorEastAsia" w:hAnsiTheme="minorEastAsia" w:eastAsiaTheme="minorEastAsia"/>
          <w:szCs w:val="21"/>
        </w:rPr>
        <w:t>8</w:t>
      </w:r>
      <w:r>
        <w:rPr>
          <w:rFonts w:hint="eastAsia" w:asciiTheme="minorEastAsia" w:hAnsiTheme="minorEastAsia" w:eastAsiaTheme="minorEastAsia"/>
          <w:szCs w:val="21"/>
          <w:lang w:val="zh-CN"/>
        </w:rPr>
        <w:t>）承诺书；</w:t>
      </w:r>
    </w:p>
    <w:p>
      <w:pPr>
        <w:pStyle w:val="28"/>
        <w:tabs>
          <w:tab w:val="left" w:pos="1701"/>
        </w:tabs>
        <w:spacing w:line="500" w:lineRule="exact"/>
        <w:ind w:firstLine="840" w:firstLineChars="400"/>
        <w:rPr>
          <w:rFonts w:asciiTheme="minorEastAsia" w:hAnsiTheme="minorEastAsia" w:eastAsiaTheme="minorEastAsia"/>
          <w:szCs w:val="21"/>
          <w:lang w:val="zh-CN"/>
        </w:rPr>
      </w:pPr>
      <w:r>
        <w:rPr>
          <w:rFonts w:hint="eastAsia" w:asciiTheme="minorEastAsia" w:hAnsiTheme="minorEastAsia" w:eastAsiaTheme="minorEastAsia"/>
          <w:szCs w:val="21"/>
          <w:lang w:val="zh-CN"/>
        </w:rPr>
        <w:t>（</w:t>
      </w:r>
      <w:r>
        <w:rPr>
          <w:rFonts w:hint="eastAsia" w:asciiTheme="minorEastAsia" w:hAnsiTheme="minorEastAsia" w:eastAsiaTheme="minorEastAsia"/>
          <w:szCs w:val="21"/>
        </w:rPr>
        <w:t>9</w:t>
      </w:r>
      <w:r>
        <w:rPr>
          <w:rFonts w:hint="eastAsia" w:asciiTheme="minorEastAsia" w:hAnsiTheme="minorEastAsia" w:eastAsiaTheme="minorEastAsia"/>
          <w:szCs w:val="21"/>
          <w:lang w:val="zh-CN"/>
        </w:rPr>
        <w:t>）企业信誉；</w:t>
      </w:r>
    </w:p>
    <w:p>
      <w:pPr>
        <w:pStyle w:val="28"/>
        <w:tabs>
          <w:tab w:val="left" w:pos="1701"/>
        </w:tabs>
        <w:spacing w:line="500" w:lineRule="exact"/>
        <w:ind w:firstLine="840" w:firstLineChars="400"/>
        <w:rPr>
          <w:rFonts w:asciiTheme="minorEastAsia" w:hAnsiTheme="minorEastAsia" w:eastAsiaTheme="minorEastAsia"/>
          <w:szCs w:val="21"/>
          <w:lang w:val="zh-CN"/>
        </w:rPr>
      </w:pPr>
      <w:r>
        <w:rPr>
          <w:rFonts w:hint="eastAsia" w:asciiTheme="minorEastAsia" w:hAnsiTheme="minorEastAsia" w:eastAsiaTheme="minorEastAsia"/>
          <w:szCs w:val="21"/>
          <w:lang w:val="zh-CN"/>
        </w:rPr>
        <w:t>（</w:t>
      </w:r>
      <w:r>
        <w:rPr>
          <w:rFonts w:hint="eastAsia" w:asciiTheme="minorEastAsia" w:hAnsiTheme="minorEastAsia" w:eastAsiaTheme="minorEastAsia"/>
          <w:szCs w:val="21"/>
        </w:rPr>
        <w:t>10</w:t>
      </w:r>
      <w:r>
        <w:rPr>
          <w:rFonts w:hint="eastAsia" w:asciiTheme="minorEastAsia" w:hAnsiTheme="minorEastAsia" w:eastAsiaTheme="minorEastAsia"/>
          <w:szCs w:val="21"/>
          <w:lang w:val="zh-CN"/>
        </w:rPr>
        <w:t>）企业业绩；</w:t>
      </w:r>
    </w:p>
    <w:p>
      <w:pPr>
        <w:pStyle w:val="28"/>
        <w:tabs>
          <w:tab w:val="left" w:pos="1701"/>
        </w:tabs>
        <w:spacing w:line="500" w:lineRule="exact"/>
        <w:ind w:firstLine="840" w:firstLineChars="400"/>
        <w:rPr>
          <w:rFonts w:asciiTheme="minorEastAsia" w:hAnsiTheme="minorEastAsia" w:eastAsiaTheme="minorEastAsia"/>
          <w:szCs w:val="21"/>
          <w:lang w:val="zh-CN"/>
        </w:rPr>
      </w:pPr>
      <w:r>
        <w:rPr>
          <w:rFonts w:hint="eastAsia" w:asciiTheme="minorEastAsia" w:hAnsiTheme="minorEastAsia" w:eastAsiaTheme="minorEastAsia"/>
          <w:szCs w:val="21"/>
          <w:lang w:val="zh-CN"/>
        </w:rPr>
        <w:t>（</w:t>
      </w:r>
      <w:r>
        <w:rPr>
          <w:rFonts w:hint="eastAsia" w:asciiTheme="minorEastAsia" w:hAnsiTheme="minorEastAsia" w:eastAsiaTheme="minorEastAsia"/>
          <w:szCs w:val="21"/>
        </w:rPr>
        <w:t>11</w:t>
      </w:r>
      <w:r>
        <w:rPr>
          <w:rFonts w:hint="eastAsia" w:asciiTheme="minorEastAsia" w:hAnsiTheme="minorEastAsia" w:eastAsiaTheme="minorEastAsia"/>
          <w:szCs w:val="21"/>
          <w:lang w:val="zh-CN"/>
        </w:rPr>
        <w:t>）企业财务状况；</w:t>
      </w:r>
    </w:p>
    <w:p>
      <w:pPr>
        <w:pStyle w:val="28"/>
        <w:tabs>
          <w:tab w:val="left" w:pos="1701"/>
        </w:tabs>
        <w:spacing w:line="50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lang w:val="zh-CN"/>
        </w:rPr>
        <w:t>（</w:t>
      </w:r>
      <w:r>
        <w:rPr>
          <w:rFonts w:hint="eastAsia" w:asciiTheme="minorEastAsia" w:hAnsiTheme="minorEastAsia" w:eastAsiaTheme="minorEastAsia"/>
          <w:szCs w:val="21"/>
        </w:rPr>
        <w:t>12</w:t>
      </w:r>
      <w:r>
        <w:rPr>
          <w:rFonts w:hint="eastAsia" w:asciiTheme="minorEastAsia" w:hAnsiTheme="minorEastAsia" w:eastAsiaTheme="minorEastAsia"/>
          <w:szCs w:val="21"/>
          <w:lang w:val="zh-CN"/>
        </w:rPr>
        <w:t>）投标人认为需要提供的其他资料</w:t>
      </w:r>
      <w:bookmarkEnd w:id="122"/>
      <w:r>
        <w:rPr>
          <w:rFonts w:hint="eastAsia" w:asciiTheme="minorEastAsia" w:hAnsiTheme="minorEastAsia" w:eastAsiaTheme="minorEastAsia"/>
          <w:szCs w:val="21"/>
          <w:lang w:val="zh-CN"/>
        </w:rPr>
        <w:t>。</w:t>
      </w:r>
    </w:p>
    <w:p>
      <w:pPr>
        <w:pStyle w:val="28"/>
        <w:spacing w:line="500" w:lineRule="exact"/>
        <w:ind w:firstLine="420"/>
        <w:rPr>
          <w:rFonts w:asciiTheme="minorEastAsia" w:hAnsiTheme="minorEastAsia" w:eastAsiaTheme="minorEastAsia"/>
          <w:b/>
          <w:szCs w:val="21"/>
        </w:rPr>
      </w:pPr>
      <w:r>
        <w:rPr>
          <w:rFonts w:asciiTheme="minorEastAsia" w:hAnsiTheme="minorEastAsia" w:eastAsiaTheme="minorEastAsia"/>
          <w:b/>
          <w:szCs w:val="21"/>
        </w:rPr>
        <w:t>10.1.</w:t>
      </w:r>
      <w:r>
        <w:rPr>
          <w:rFonts w:hint="eastAsia" w:asciiTheme="minorEastAsia" w:hAnsiTheme="minorEastAsia" w:eastAsiaTheme="minorEastAsia"/>
          <w:b/>
          <w:szCs w:val="21"/>
        </w:rPr>
        <w:t>2</w:t>
      </w:r>
      <w:r>
        <w:rPr>
          <w:rFonts w:asciiTheme="minorEastAsia" w:hAnsiTheme="minorEastAsia" w:eastAsiaTheme="minorEastAsia"/>
          <w:b/>
          <w:szCs w:val="21"/>
        </w:rPr>
        <w:t xml:space="preserve">  </w:t>
      </w:r>
      <w:r>
        <w:rPr>
          <w:rFonts w:hint="eastAsia" w:asciiTheme="minorEastAsia" w:hAnsiTheme="minorEastAsia" w:eastAsiaTheme="minorEastAsia"/>
          <w:b/>
          <w:szCs w:val="21"/>
        </w:rPr>
        <w:t>技术标文件</w:t>
      </w:r>
    </w:p>
    <w:p>
      <w:pPr>
        <w:pStyle w:val="28"/>
        <w:tabs>
          <w:tab w:val="left" w:pos="1701"/>
        </w:tabs>
        <w:spacing w:line="50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）建设方案；</w:t>
      </w:r>
    </w:p>
    <w:p>
      <w:pPr>
        <w:pStyle w:val="28"/>
        <w:tabs>
          <w:tab w:val="left" w:pos="1701"/>
        </w:tabs>
        <w:spacing w:line="50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（2）投融资方案；</w:t>
      </w:r>
    </w:p>
    <w:p>
      <w:pPr>
        <w:pStyle w:val="28"/>
        <w:tabs>
          <w:tab w:val="left" w:pos="1701"/>
        </w:tabs>
        <w:spacing w:line="50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（3）运营维护方案；</w:t>
      </w:r>
    </w:p>
    <w:p>
      <w:pPr>
        <w:pStyle w:val="28"/>
        <w:tabs>
          <w:tab w:val="left" w:pos="1701"/>
        </w:tabs>
        <w:spacing w:line="50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（4）移交方案；</w:t>
      </w:r>
    </w:p>
    <w:p>
      <w:pPr>
        <w:pStyle w:val="28"/>
        <w:tabs>
          <w:tab w:val="left" w:pos="1701"/>
        </w:tabs>
        <w:spacing w:line="50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（5）工程质量、安全承诺书。</w:t>
      </w:r>
    </w:p>
    <w:p>
      <w:pPr>
        <w:pStyle w:val="28"/>
        <w:spacing w:line="500" w:lineRule="exact"/>
        <w:ind w:firstLine="420"/>
        <w:rPr>
          <w:rFonts w:asciiTheme="minorEastAsia" w:hAnsiTheme="minorEastAsia" w:eastAsiaTheme="minorEastAsia"/>
          <w:b/>
          <w:szCs w:val="21"/>
        </w:rPr>
      </w:pPr>
      <w:r>
        <w:rPr>
          <w:rFonts w:asciiTheme="minorEastAsia" w:hAnsiTheme="minorEastAsia" w:eastAsiaTheme="minorEastAsia"/>
          <w:b/>
          <w:szCs w:val="21"/>
        </w:rPr>
        <w:t xml:space="preserve">10.2 </w:t>
      </w:r>
      <w:r>
        <w:rPr>
          <w:rFonts w:hint="eastAsia" w:asciiTheme="minorEastAsia" w:hAnsiTheme="minorEastAsia" w:eastAsiaTheme="minorEastAsia"/>
          <w:b/>
          <w:szCs w:val="21"/>
        </w:rPr>
        <w:t>投标函</w:t>
      </w:r>
    </w:p>
    <w:p>
      <w:pPr>
        <w:pStyle w:val="28"/>
        <w:spacing w:line="500" w:lineRule="exact"/>
        <w:ind w:firstLine="420"/>
        <w:rPr>
          <w:rFonts w:asciiTheme="minorEastAsia" w:hAnsiTheme="minorEastAsia" w:eastAsiaTheme="minorEastAsia"/>
          <w:szCs w:val="21"/>
        </w:rPr>
      </w:pPr>
      <w:r>
        <w:rPr>
          <w:rFonts w:asciiTheme="minorEastAsia" w:hAnsiTheme="minorEastAsia" w:eastAsiaTheme="minorEastAsia"/>
          <w:szCs w:val="21"/>
        </w:rPr>
        <w:t xml:space="preserve">10.2.1 </w:t>
      </w:r>
      <w:r>
        <w:rPr>
          <w:rFonts w:hint="eastAsia" w:asciiTheme="minorEastAsia" w:hAnsiTheme="minorEastAsia" w:eastAsiaTheme="minorEastAsia"/>
          <w:szCs w:val="21"/>
        </w:rPr>
        <w:t>投标人应按照本采购文件第五章“投标文件格式”提供的投标书格式制作投标函，明确表达投标的意愿以及有关承诺。</w:t>
      </w:r>
    </w:p>
    <w:p>
      <w:pPr>
        <w:pStyle w:val="28"/>
        <w:spacing w:line="500" w:lineRule="exact"/>
        <w:ind w:firstLine="420"/>
        <w:rPr>
          <w:rFonts w:asciiTheme="minorEastAsia" w:hAnsiTheme="minorEastAsia" w:eastAsiaTheme="minorEastAsia"/>
          <w:b/>
          <w:szCs w:val="21"/>
        </w:rPr>
      </w:pPr>
      <w:r>
        <w:rPr>
          <w:rFonts w:asciiTheme="minorEastAsia" w:hAnsiTheme="minorEastAsia" w:eastAsiaTheme="minorEastAsia"/>
          <w:b/>
          <w:szCs w:val="21"/>
        </w:rPr>
        <w:t>10.3</w:t>
      </w:r>
      <w:r>
        <w:rPr>
          <w:rFonts w:hint="eastAsia" w:asciiTheme="minorEastAsia" w:hAnsiTheme="minorEastAsia" w:eastAsiaTheme="minorEastAsia"/>
          <w:b/>
          <w:szCs w:val="21"/>
        </w:rPr>
        <w:t>法人代表资格证明及授权委托书</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投标人应按照本采购文件第五章“投标文件格式”提供的授权委托书格式制作授权委托书，确定授权代表及其权限。</w:t>
      </w:r>
    </w:p>
    <w:p>
      <w:pPr>
        <w:pStyle w:val="28"/>
        <w:spacing w:line="500" w:lineRule="exact"/>
        <w:ind w:firstLine="420"/>
        <w:rPr>
          <w:rFonts w:asciiTheme="minorEastAsia" w:hAnsiTheme="minorEastAsia" w:eastAsiaTheme="minorEastAsia"/>
          <w:b/>
          <w:szCs w:val="21"/>
        </w:rPr>
      </w:pPr>
      <w:r>
        <w:rPr>
          <w:rFonts w:asciiTheme="minorEastAsia" w:hAnsiTheme="minorEastAsia" w:eastAsiaTheme="minorEastAsia"/>
          <w:b/>
          <w:szCs w:val="21"/>
        </w:rPr>
        <w:t>10.4</w:t>
      </w:r>
      <w:r>
        <w:rPr>
          <w:rFonts w:hint="eastAsia" w:asciiTheme="minorEastAsia" w:hAnsiTheme="minorEastAsia" w:eastAsiaTheme="minorEastAsia"/>
          <w:b/>
          <w:szCs w:val="21"/>
        </w:rPr>
        <w:t>联合体协议书</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投标人组成联合体参加本项目投标的，应提供联合体协议书，明确各方分工。</w:t>
      </w:r>
    </w:p>
    <w:p>
      <w:pPr>
        <w:pStyle w:val="28"/>
        <w:spacing w:line="500" w:lineRule="exact"/>
        <w:ind w:firstLine="422" w:firstLineChars="200"/>
        <w:rPr>
          <w:rFonts w:asciiTheme="minorEastAsia" w:hAnsiTheme="minorEastAsia" w:eastAsiaTheme="minorEastAsia"/>
          <w:b/>
          <w:bCs/>
          <w:szCs w:val="21"/>
        </w:rPr>
      </w:pPr>
      <w:r>
        <w:rPr>
          <w:rFonts w:asciiTheme="minorEastAsia" w:hAnsiTheme="minorEastAsia" w:eastAsiaTheme="minorEastAsia"/>
          <w:b/>
          <w:bCs/>
          <w:szCs w:val="21"/>
        </w:rPr>
        <w:t>10.5</w:t>
      </w:r>
      <w:r>
        <w:rPr>
          <w:rFonts w:hint="eastAsia" w:asciiTheme="minorEastAsia" w:hAnsiTheme="minorEastAsia" w:eastAsiaTheme="minorEastAsia"/>
          <w:b/>
          <w:bCs/>
          <w:szCs w:val="21"/>
        </w:rPr>
        <w:t>技术方案</w:t>
      </w:r>
    </w:p>
    <w:p>
      <w:pPr>
        <w:pStyle w:val="28"/>
        <w:spacing w:line="500" w:lineRule="exact"/>
        <w:ind w:firstLine="420"/>
        <w:rPr>
          <w:rFonts w:asciiTheme="minorEastAsia" w:hAnsiTheme="minorEastAsia" w:eastAsiaTheme="minorEastAsia"/>
          <w:bCs/>
          <w:szCs w:val="21"/>
        </w:rPr>
      </w:pPr>
      <w:r>
        <w:rPr>
          <w:rFonts w:asciiTheme="minorEastAsia" w:hAnsiTheme="minorEastAsia" w:eastAsiaTheme="minorEastAsia"/>
          <w:bCs/>
          <w:szCs w:val="21"/>
        </w:rPr>
        <w:t>10.5.1</w:t>
      </w:r>
      <w:r>
        <w:rPr>
          <w:rFonts w:hint="eastAsia" w:asciiTheme="minorEastAsia" w:hAnsiTheme="minorEastAsia" w:eastAsiaTheme="minorEastAsia"/>
          <w:bCs/>
          <w:szCs w:val="21"/>
        </w:rPr>
        <w:t>投标人编制的项目技术方案包括建设期项目建设方案、特许经营期内的运营维护方案和投融资方案，应内容全面详尽，并满足技术方案评审的内容要求。</w:t>
      </w:r>
    </w:p>
    <w:p>
      <w:pPr>
        <w:pStyle w:val="28"/>
        <w:spacing w:line="500" w:lineRule="exact"/>
        <w:ind w:firstLine="420"/>
        <w:rPr>
          <w:rFonts w:asciiTheme="minorEastAsia" w:hAnsiTheme="minorEastAsia" w:eastAsiaTheme="minorEastAsia"/>
          <w:bCs/>
          <w:szCs w:val="21"/>
        </w:rPr>
      </w:pPr>
      <w:r>
        <w:rPr>
          <w:rFonts w:asciiTheme="minorEastAsia" w:hAnsiTheme="minorEastAsia" w:eastAsiaTheme="minorEastAsia"/>
          <w:bCs/>
          <w:szCs w:val="21"/>
        </w:rPr>
        <w:t>10.5.</w:t>
      </w:r>
      <w:r>
        <w:rPr>
          <w:rFonts w:hint="eastAsia" w:asciiTheme="minorEastAsia" w:hAnsiTheme="minorEastAsia" w:eastAsiaTheme="minorEastAsia"/>
          <w:bCs/>
          <w:szCs w:val="21"/>
        </w:rPr>
        <w:t>2建设管理方案应包括投融资、施工、监理等项目建设内容的工作方案和内容。</w:t>
      </w:r>
    </w:p>
    <w:p>
      <w:pPr>
        <w:pStyle w:val="28"/>
        <w:spacing w:line="500" w:lineRule="exact"/>
        <w:ind w:firstLine="420"/>
        <w:rPr>
          <w:rFonts w:asciiTheme="minorEastAsia" w:hAnsiTheme="minorEastAsia" w:eastAsiaTheme="minorEastAsia"/>
          <w:bCs/>
          <w:szCs w:val="21"/>
        </w:rPr>
      </w:pPr>
      <w:r>
        <w:rPr>
          <w:rFonts w:asciiTheme="minorEastAsia" w:hAnsiTheme="minorEastAsia" w:eastAsiaTheme="minorEastAsia"/>
          <w:bCs/>
          <w:szCs w:val="21"/>
        </w:rPr>
        <w:t>10.5.</w:t>
      </w:r>
      <w:r>
        <w:rPr>
          <w:rFonts w:hint="eastAsia" w:asciiTheme="minorEastAsia" w:hAnsiTheme="minorEastAsia" w:eastAsiaTheme="minorEastAsia"/>
          <w:bCs/>
          <w:szCs w:val="21"/>
        </w:rPr>
        <w:t>3特许经营期内的运营维护方案应包括特许经营期内的运营和维护制度和措施。</w:t>
      </w:r>
    </w:p>
    <w:p>
      <w:pPr>
        <w:pStyle w:val="28"/>
        <w:spacing w:line="500" w:lineRule="exact"/>
        <w:ind w:firstLine="420"/>
        <w:rPr>
          <w:rFonts w:asciiTheme="minorEastAsia" w:hAnsiTheme="minorEastAsia" w:eastAsiaTheme="minorEastAsia"/>
          <w:bCs/>
          <w:szCs w:val="21"/>
        </w:rPr>
      </w:pPr>
      <w:r>
        <w:rPr>
          <w:rFonts w:asciiTheme="minorEastAsia" w:hAnsiTheme="minorEastAsia" w:eastAsiaTheme="minorEastAsia"/>
          <w:bCs/>
          <w:szCs w:val="21"/>
        </w:rPr>
        <w:t>10.5.</w:t>
      </w:r>
      <w:r>
        <w:rPr>
          <w:rFonts w:hint="eastAsia" w:asciiTheme="minorEastAsia" w:hAnsiTheme="minorEastAsia" w:eastAsiaTheme="minorEastAsia"/>
          <w:bCs/>
          <w:szCs w:val="21"/>
        </w:rPr>
        <w:t>4投融资方案应包括</w:t>
      </w:r>
      <w:r>
        <w:rPr>
          <w:rFonts w:hint="eastAsia" w:asciiTheme="minorEastAsia" w:hAnsiTheme="minorEastAsia" w:eastAsiaTheme="minorEastAsia"/>
          <w:bCs/>
          <w:szCs w:val="21"/>
          <w:lang w:val="zh-CN"/>
        </w:rPr>
        <w:t>包括投标人的财务状况、投（融）资方案及其他证明文件</w:t>
      </w:r>
      <w:r>
        <w:rPr>
          <w:rFonts w:hint="eastAsia" w:asciiTheme="minorEastAsia" w:hAnsiTheme="minorEastAsia" w:eastAsiaTheme="minorEastAsia"/>
          <w:bCs/>
          <w:szCs w:val="21"/>
        </w:rPr>
        <w:t>等。</w:t>
      </w:r>
    </w:p>
    <w:p>
      <w:pPr>
        <w:pStyle w:val="28"/>
        <w:spacing w:line="500" w:lineRule="exact"/>
        <w:ind w:firstLine="411" w:firstLineChars="196"/>
        <w:rPr>
          <w:rFonts w:asciiTheme="minorEastAsia" w:hAnsiTheme="minorEastAsia" w:eastAsiaTheme="minorEastAsia"/>
          <w:bCs/>
          <w:szCs w:val="21"/>
        </w:rPr>
      </w:pPr>
      <w:r>
        <w:rPr>
          <w:rFonts w:asciiTheme="minorEastAsia" w:hAnsiTheme="minorEastAsia" w:eastAsiaTheme="minorEastAsia"/>
          <w:szCs w:val="21"/>
        </w:rPr>
        <w:t>10.6</w:t>
      </w:r>
      <w:r>
        <w:rPr>
          <w:rFonts w:hint="eastAsia" w:asciiTheme="minorEastAsia" w:hAnsiTheme="minorEastAsia" w:eastAsiaTheme="minorEastAsia"/>
          <w:bCs/>
          <w:szCs w:val="21"/>
        </w:rPr>
        <w:t>投标人应按上述顺序将报价文件及商务文件、技术方案文件分别装订成册。</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11.</w:t>
      </w:r>
      <w:r>
        <w:rPr>
          <w:rFonts w:hint="eastAsia" w:asciiTheme="minorEastAsia" w:hAnsiTheme="minorEastAsia" w:eastAsiaTheme="minorEastAsia"/>
          <w:b/>
          <w:bCs/>
          <w:szCs w:val="21"/>
        </w:rPr>
        <w:t>投标报价</w:t>
      </w:r>
    </w:p>
    <w:p>
      <w:pPr>
        <w:pStyle w:val="28"/>
        <w:spacing w:line="500" w:lineRule="exact"/>
        <w:ind w:firstLine="420" w:firstLineChars="200"/>
        <w:rPr>
          <w:rFonts w:asciiTheme="minorEastAsia" w:hAnsiTheme="minorEastAsia" w:eastAsiaTheme="minorEastAsia"/>
          <w:bCs/>
          <w:szCs w:val="21"/>
        </w:rPr>
      </w:pPr>
      <w:r>
        <w:rPr>
          <w:rFonts w:asciiTheme="minorEastAsia" w:hAnsiTheme="minorEastAsia" w:eastAsiaTheme="minorEastAsia"/>
          <w:bCs/>
          <w:szCs w:val="21"/>
        </w:rPr>
        <w:t xml:space="preserve">11.1  </w:t>
      </w:r>
      <w:r>
        <w:rPr>
          <w:rFonts w:hint="eastAsia" w:asciiTheme="minorEastAsia" w:hAnsiTheme="minorEastAsia" w:eastAsiaTheme="minorEastAsia"/>
          <w:bCs/>
          <w:szCs w:val="21"/>
        </w:rPr>
        <w:t>投标人可按第五章“投标文件格式”中的“投标函”要求，报出完整且唯一报价，附带有条件的报价将不予接受。</w:t>
      </w:r>
    </w:p>
    <w:p>
      <w:pPr>
        <w:tabs>
          <w:tab w:val="left" w:pos="0"/>
        </w:tabs>
        <w:spacing w:line="500" w:lineRule="exact"/>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 xml:space="preserve">11.2 </w:t>
      </w:r>
      <w:r>
        <w:rPr>
          <w:rFonts w:hint="eastAsia" w:asciiTheme="minorEastAsia" w:hAnsiTheme="minorEastAsia" w:eastAsiaTheme="minorEastAsia"/>
          <w:szCs w:val="28"/>
        </w:rPr>
        <w:t>本项目全投资内部收益率建议取值上限为6.8%（所得税后）</w:t>
      </w:r>
      <w:r>
        <w:rPr>
          <w:rFonts w:hint="eastAsia" w:asciiTheme="minorEastAsia" w:hAnsiTheme="minorEastAsia" w:eastAsiaTheme="minorEastAsia"/>
          <w:szCs w:val="21"/>
        </w:rPr>
        <w:t>；超过最高限价的投标文件将被拒绝。</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11.3 </w:t>
      </w:r>
      <w:r>
        <w:rPr>
          <w:rFonts w:hint="eastAsia" w:asciiTheme="minorEastAsia" w:hAnsiTheme="minorEastAsia" w:eastAsiaTheme="minorEastAsia"/>
          <w:szCs w:val="21"/>
        </w:rPr>
        <w:t>投标报价为在采购人指定地点提交服务成果所需的全部费用，其组成部分详见第二章“采购需求”。采购人不再向中标供应商支付其投标报价之外的任何费用。</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11.4 </w:t>
      </w:r>
      <w:r>
        <w:rPr>
          <w:rFonts w:hint="eastAsia" w:asciiTheme="minorEastAsia" w:hAnsiTheme="minorEastAsia" w:eastAsiaTheme="minorEastAsia"/>
          <w:szCs w:val="21"/>
        </w:rPr>
        <w:t>不论投标结果如何，投标人均应自行承担与编制和递交投标文件有关的全部费用。</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12.</w:t>
      </w:r>
      <w:r>
        <w:rPr>
          <w:rFonts w:hint="eastAsia" w:asciiTheme="minorEastAsia" w:hAnsiTheme="minorEastAsia" w:eastAsiaTheme="minorEastAsia"/>
          <w:b/>
          <w:bCs/>
          <w:szCs w:val="21"/>
        </w:rPr>
        <w:t>投标有效期</w:t>
      </w:r>
    </w:p>
    <w:p>
      <w:pPr>
        <w:pStyle w:val="28"/>
        <w:spacing w:line="500" w:lineRule="exact"/>
        <w:ind w:firstLine="420" w:firstLineChars="200"/>
        <w:rPr>
          <w:rFonts w:asciiTheme="minorEastAsia" w:hAnsiTheme="minorEastAsia" w:eastAsiaTheme="minorEastAsia"/>
          <w:bCs/>
          <w:szCs w:val="21"/>
        </w:rPr>
      </w:pPr>
      <w:r>
        <w:rPr>
          <w:rFonts w:asciiTheme="minorEastAsia" w:hAnsiTheme="minorEastAsia" w:eastAsiaTheme="minorEastAsia"/>
          <w:szCs w:val="21"/>
        </w:rPr>
        <w:t xml:space="preserve">12.1  </w:t>
      </w:r>
      <w:r>
        <w:rPr>
          <w:rFonts w:hint="eastAsia" w:asciiTheme="minorEastAsia" w:hAnsiTheme="minorEastAsia" w:eastAsiaTheme="minorEastAsia"/>
          <w:szCs w:val="21"/>
        </w:rPr>
        <w:t>在投标人须知前附表规定的投标有效期内，投标人不得要求撤销或修改其投标文件。</w:t>
      </w:r>
    </w:p>
    <w:p>
      <w:pPr>
        <w:pStyle w:val="28"/>
        <w:spacing w:line="500" w:lineRule="exact"/>
        <w:ind w:firstLine="420" w:firstLineChars="200"/>
        <w:rPr>
          <w:rFonts w:asciiTheme="minorEastAsia" w:hAnsiTheme="minorEastAsia" w:eastAsiaTheme="minorEastAsia"/>
          <w:bCs/>
          <w:szCs w:val="21"/>
        </w:rPr>
      </w:pPr>
      <w:r>
        <w:rPr>
          <w:rFonts w:asciiTheme="minorEastAsia" w:hAnsiTheme="minorEastAsia" w:eastAsiaTheme="minorEastAsia"/>
          <w:szCs w:val="21"/>
        </w:rPr>
        <w:t xml:space="preserve">12.2  </w:t>
      </w:r>
      <w:r>
        <w:rPr>
          <w:rFonts w:hint="eastAsia" w:asciiTheme="minorEastAsia" w:hAnsiTheme="minorEastAsia" w:eastAsiaTheme="minorEastAsia"/>
          <w:szCs w:val="21"/>
        </w:rPr>
        <w:t>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被退回。</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13.</w:t>
      </w:r>
      <w:r>
        <w:rPr>
          <w:rFonts w:hint="eastAsia" w:asciiTheme="minorEastAsia" w:hAnsiTheme="minorEastAsia" w:eastAsiaTheme="minorEastAsia"/>
          <w:b/>
          <w:bCs/>
          <w:szCs w:val="21"/>
        </w:rPr>
        <w:t>投标保证金</w:t>
      </w:r>
    </w:p>
    <w:p>
      <w:pPr>
        <w:pStyle w:val="28"/>
        <w:tabs>
          <w:tab w:val="left" w:pos="0"/>
        </w:tabs>
        <w:spacing w:line="500" w:lineRule="exact"/>
        <w:ind w:firstLine="359" w:firstLineChars="171"/>
        <w:rPr>
          <w:rFonts w:asciiTheme="minorEastAsia" w:hAnsiTheme="minorEastAsia" w:eastAsiaTheme="minorEastAsia"/>
          <w:szCs w:val="21"/>
        </w:rPr>
      </w:pPr>
      <w:r>
        <w:rPr>
          <w:rFonts w:asciiTheme="minorEastAsia" w:hAnsiTheme="minorEastAsia" w:eastAsiaTheme="minorEastAsia"/>
          <w:szCs w:val="21"/>
        </w:rPr>
        <w:t xml:space="preserve">13.1  </w:t>
      </w:r>
      <w:r>
        <w:rPr>
          <w:rFonts w:hint="eastAsia" w:asciiTheme="minorEastAsia" w:hAnsiTheme="minorEastAsia" w:eastAsiaTheme="minorEastAsia"/>
          <w:szCs w:val="21"/>
        </w:rPr>
        <w:t>投标保证金具体金额：见投标人须知前附表。</w:t>
      </w:r>
    </w:p>
    <w:p>
      <w:pPr>
        <w:pStyle w:val="28"/>
        <w:tabs>
          <w:tab w:val="left" w:pos="0"/>
        </w:tabs>
        <w:spacing w:line="500" w:lineRule="exact"/>
        <w:ind w:firstLine="359" w:firstLineChars="171"/>
        <w:rPr>
          <w:rFonts w:asciiTheme="minorEastAsia" w:hAnsiTheme="minorEastAsia" w:eastAsiaTheme="minorEastAsia"/>
          <w:szCs w:val="21"/>
        </w:rPr>
      </w:pPr>
      <w:r>
        <w:rPr>
          <w:rFonts w:asciiTheme="minorEastAsia" w:hAnsiTheme="minorEastAsia" w:eastAsiaTheme="minorEastAsia"/>
          <w:szCs w:val="21"/>
        </w:rPr>
        <w:t xml:space="preserve">13.2  </w:t>
      </w:r>
      <w:r>
        <w:rPr>
          <w:rFonts w:hint="eastAsia" w:asciiTheme="minorEastAsia" w:hAnsiTheme="minorEastAsia" w:eastAsiaTheme="minorEastAsia"/>
          <w:szCs w:val="21"/>
        </w:rPr>
        <w:t>投标保证金缴纳方式：</w:t>
      </w:r>
      <w:r>
        <w:rPr>
          <w:rFonts w:hint="eastAsia" w:asciiTheme="minorEastAsia" w:hAnsiTheme="minorEastAsia" w:eastAsiaTheme="minorEastAsia"/>
          <w:bCs/>
          <w:szCs w:val="21"/>
        </w:rPr>
        <w:t>见投标人须知前附表。</w:t>
      </w:r>
    </w:p>
    <w:p>
      <w:pPr>
        <w:pStyle w:val="28"/>
        <w:tabs>
          <w:tab w:val="left" w:pos="0"/>
        </w:tabs>
        <w:spacing w:line="500" w:lineRule="exact"/>
        <w:ind w:firstLine="359" w:firstLineChars="171"/>
        <w:rPr>
          <w:rFonts w:asciiTheme="minorEastAsia" w:hAnsiTheme="minorEastAsia" w:eastAsiaTheme="minorEastAsia"/>
          <w:szCs w:val="21"/>
        </w:rPr>
      </w:pPr>
      <w:r>
        <w:rPr>
          <w:rFonts w:asciiTheme="minorEastAsia" w:hAnsiTheme="minorEastAsia" w:eastAsiaTheme="minorEastAsia"/>
          <w:szCs w:val="21"/>
        </w:rPr>
        <w:t>13.3</w:t>
      </w:r>
      <w:r>
        <w:rPr>
          <w:rFonts w:hint="eastAsia" w:asciiTheme="minorEastAsia" w:hAnsiTheme="minorEastAsia" w:eastAsiaTheme="minorEastAsia"/>
          <w:szCs w:val="21"/>
        </w:rPr>
        <w:t>未中标投标人的投标保证金，除本章第</w:t>
      </w:r>
      <w:r>
        <w:rPr>
          <w:rFonts w:asciiTheme="minorEastAsia" w:hAnsiTheme="minorEastAsia" w:eastAsiaTheme="minorEastAsia"/>
          <w:szCs w:val="21"/>
        </w:rPr>
        <w:t>13.5</w:t>
      </w:r>
      <w:r>
        <w:rPr>
          <w:rFonts w:hint="eastAsia" w:asciiTheme="minorEastAsia" w:hAnsiTheme="minorEastAsia" w:eastAsiaTheme="minorEastAsia"/>
          <w:szCs w:val="21"/>
        </w:rPr>
        <w:t>项规定的不予退还的情形外，将无息退还至未中标投标人的账号。中标供应商在与采购人草签《</w:t>
      </w:r>
      <w:r>
        <w:rPr>
          <w:rFonts w:asciiTheme="minorEastAsia" w:hAnsiTheme="minorEastAsia" w:eastAsiaTheme="minorEastAsia"/>
          <w:szCs w:val="21"/>
        </w:rPr>
        <w:t>PPP</w:t>
      </w:r>
      <w:r>
        <w:rPr>
          <w:rFonts w:hint="eastAsia" w:asciiTheme="minorEastAsia" w:hAnsiTheme="minorEastAsia" w:eastAsiaTheme="minorEastAsia"/>
          <w:szCs w:val="21"/>
        </w:rPr>
        <w:t>项目合同》后向采购代理机构请办理投标保证金退还手续，中标供应商的投标保证金在采购合同签订后，递交两份《</w:t>
      </w:r>
      <w:r>
        <w:rPr>
          <w:rFonts w:asciiTheme="minorEastAsia" w:hAnsiTheme="minorEastAsia" w:eastAsiaTheme="minorEastAsia"/>
          <w:szCs w:val="21"/>
        </w:rPr>
        <w:t>PPP</w:t>
      </w:r>
      <w:r>
        <w:rPr>
          <w:rFonts w:hint="eastAsia" w:asciiTheme="minorEastAsia" w:hAnsiTheme="minorEastAsia" w:eastAsiaTheme="minorEastAsia"/>
          <w:szCs w:val="21"/>
        </w:rPr>
        <w:t>项目合同》到采购代理机构后五个工作日内退还，投标保证金不计息。</w:t>
      </w:r>
    </w:p>
    <w:p>
      <w:pPr>
        <w:pStyle w:val="28"/>
        <w:tabs>
          <w:tab w:val="left" w:pos="0"/>
        </w:tabs>
        <w:spacing w:line="500" w:lineRule="exact"/>
        <w:ind w:firstLine="359" w:firstLineChars="171"/>
        <w:rPr>
          <w:rFonts w:asciiTheme="minorEastAsia" w:hAnsiTheme="minorEastAsia" w:eastAsiaTheme="minorEastAsia"/>
          <w:szCs w:val="21"/>
        </w:rPr>
      </w:pPr>
      <w:r>
        <w:rPr>
          <w:rFonts w:asciiTheme="minorEastAsia" w:hAnsiTheme="minorEastAsia" w:eastAsiaTheme="minorEastAsia"/>
          <w:szCs w:val="21"/>
        </w:rPr>
        <w:t xml:space="preserve">13.4  </w:t>
      </w:r>
      <w:r>
        <w:rPr>
          <w:rFonts w:hint="eastAsia" w:asciiTheme="minorEastAsia" w:hAnsiTheme="minorEastAsia" w:eastAsiaTheme="minorEastAsia"/>
          <w:szCs w:val="21"/>
        </w:rPr>
        <w:t>涉及质疑和投诉的投标人，在质疑和投诉调查处理结束前其投标保证金暂不退还。</w:t>
      </w:r>
    </w:p>
    <w:p>
      <w:pPr>
        <w:pStyle w:val="28"/>
        <w:tabs>
          <w:tab w:val="left" w:pos="0"/>
        </w:tabs>
        <w:spacing w:line="500" w:lineRule="exact"/>
        <w:ind w:firstLine="359" w:firstLineChars="171"/>
        <w:rPr>
          <w:rFonts w:asciiTheme="minorEastAsia" w:hAnsiTheme="minorEastAsia" w:eastAsiaTheme="minorEastAsia"/>
          <w:szCs w:val="21"/>
        </w:rPr>
      </w:pPr>
      <w:r>
        <w:rPr>
          <w:rFonts w:asciiTheme="minorEastAsia" w:hAnsiTheme="minorEastAsia" w:eastAsiaTheme="minorEastAsia"/>
          <w:szCs w:val="21"/>
        </w:rPr>
        <w:t xml:space="preserve">13.5  </w:t>
      </w:r>
      <w:r>
        <w:rPr>
          <w:rFonts w:hint="eastAsia" w:asciiTheme="minorEastAsia" w:hAnsiTheme="minorEastAsia" w:eastAsiaTheme="minorEastAsia"/>
          <w:szCs w:val="21"/>
        </w:rPr>
        <w:t>投标人有下列情形之一的，不予退还其交纳的投标保证金：</w:t>
      </w:r>
    </w:p>
    <w:p>
      <w:pPr>
        <w:pStyle w:val="28"/>
        <w:spacing w:line="500" w:lineRule="exact"/>
        <w:ind w:left="2" w:firstLine="422" w:firstLineChars="201"/>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）在投标有效期内撤回投标文件的；</w:t>
      </w:r>
    </w:p>
    <w:p>
      <w:pPr>
        <w:pStyle w:val="28"/>
        <w:spacing w:line="500" w:lineRule="exact"/>
        <w:ind w:left="2" w:firstLine="422" w:firstLineChars="201"/>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）属本章第</w:t>
      </w:r>
      <w:r>
        <w:rPr>
          <w:rFonts w:asciiTheme="minorEastAsia" w:hAnsiTheme="minorEastAsia" w:eastAsiaTheme="minorEastAsia"/>
          <w:szCs w:val="21"/>
        </w:rPr>
        <w:t>18.2</w:t>
      </w:r>
      <w:r>
        <w:rPr>
          <w:rFonts w:hint="eastAsia" w:asciiTheme="minorEastAsia" w:hAnsiTheme="minorEastAsia" w:eastAsiaTheme="minorEastAsia"/>
          <w:szCs w:val="21"/>
        </w:rPr>
        <w:t>项所述情形的；</w:t>
      </w:r>
    </w:p>
    <w:p>
      <w:pPr>
        <w:pStyle w:val="28"/>
        <w:spacing w:line="500" w:lineRule="exact"/>
        <w:ind w:left="2" w:firstLine="422" w:firstLineChars="201"/>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）中标后未按规定缴纳履约保证金的；</w:t>
      </w:r>
    </w:p>
    <w:p>
      <w:pPr>
        <w:pStyle w:val="28"/>
        <w:spacing w:line="500" w:lineRule="exact"/>
        <w:ind w:left="2" w:firstLine="422" w:firstLineChars="201"/>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）中标后无正当理由不与采购人按规定的时间、地点签订《</w:t>
      </w:r>
      <w:r>
        <w:rPr>
          <w:rFonts w:asciiTheme="minorEastAsia" w:hAnsiTheme="minorEastAsia" w:eastAsiaTheme="minorEastAsia"/>
          <w:szCs w:val="21"/>
        </w:rPr>
        <w:t>PPP</w:t>
      </w:r>
      <w:r>
        <w:rPr>
          <w:rFonts w:hint="eastAsia" w:asciiTheme="minorEastAsia" w:hAnsiTheme="minorEastAsia" w:eastAsiaTheme="minorEastAsia"/>
          <w:szCs w:val="21"/>
        </w:rPr>
        <w:t>项目合同》的；</w:t>
      </w:r>
    </w:p>
    <w:p>
      <w:pPr>
        <w:pStyle w:val="28"/>
        <w:spacing w:line="500" w:lineRule="exact"/>
        <w:ind w:left="2" w:firstLine="422" w:firstLineChars="201"/>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）中标后与采购人签订对采购文件和投标文件作了实质性修改的《</w:t>
      </w:r>
      <w:r>
        <w:rPr>
          <w:rFonts w:asciiTheme="minorEastAsia" w:hAnsiTheme="minorEastAsia" w:eastAsiaTheme="minorEastAsia"/>
          <w:szCs w:val="21"/>
        </w:rPr>
        <w:t>PPP</w:t>
      </w:r>
      <w:r>
        <w:rPr>
          <w:rFonts w:hint="eastAsia" w:asciiTheme="minorEastAsia" w:hAnsiTheme="minorEastAsia" w:eastAsiaTheme="minorEastAsia"/>
          <w:szCs w:val="21"/>
        </w:rPr>
        <w:t>项目合同》，或与采购人私下订立背离《</w:t>
      </w:r>
      <w:r>
        <w:rPr>
          <w:rFonts w:asciiTheme="minorEastAsia" w:hAnsiTheme="minorEastAsia" w:eastAsiaTheme="minorEastAsia"/>
          <w:szCs w:val="21"/>
        </w:rPr>
        <w:t>PPP</w:t>
      </w:r>
      <w:r>
        <w:rPr>
          <w:rFonts w:hint="eastAsia" w:asciiTheme="minorEastAsia" w:hAnsiTheme="minorEastAsia" w:eastAsiaTheme="minorEastAsia"/>
          <w:szCs w:val="21"/>
        </w:rPr>
        <w:t>项目合同》实质性内容的协议的；</w:t>
      </w:r>
    </w:p>
    <w:p>
      <w:pPr>
        <w:pStyle w:val="28"/>
        <w:spacing w:line="500" w:lineRule="exact"/>
        <w:ind w:left="2" w:firstLine="417" w:firstLineChars="199"/>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）将中标项目转让给他人，或者在投标文件中未说明，且未经采购人同意，将中标项目分包给他人的。</w:t>
      </w:r>
    </w:p>
    <w:p>
      <w:pPr>
        <w:pStyle w:val="28"/>
        <w:spacing w:before="163" w:beforeLines="50" w:after="163" w:afterLines="50" w:line="500" w:lineRule="exact"/>
        <w:jc w:val="center"/>
        <w:outlineLvl w:val="1"/>
        <w:rPr>
          <w:rFonts w:asciiTheme="minorEastAsia" w:hAnsiTheme="minorEastAsia" w:eastAsiaTheme="minorEastAsia"/>
          <w:b/>
          <w:sz w:val="36"/>
          <w:szCs w:val="36"/>
        </w:rPr>
      </w:pPr>
      <w:bookmarkStart w:id="123" w:name="_Toc213326419"/>
      <w:bookmarkStart w:id="124" w:name="_Toc16158"/>
      <w:bookmarkStart w:id="125" w:name="_Toc435106783"/>
      <w:bookmarkStart w:id="126" w:name="_Toc429727825"/>
      <w:bookmarkStart w:id="127" w:name="_Toc462955440"/>
      <w:bookmarkStart w:id="128" w:name="_Toc19605"/>
      <w:bookmarkStart w:id="129" w:name="_Toc50993395"/>
      <w:r>
        <w:rPr>
          <w:rFonts w:hint="eastAsia" w:asciiTheme="minorEastAsia" w:hAnsiTheme="minorEastAsia" w:eastAsiaTheme="minorEastAsia"/>
          <w:b/>
          <w:sz w:val="36"/>
          <w:szCs w:val="36"/>
        </w:rPr>
        <w:t>四、投标</w:t>
      </w:r>
      <w:bookmarkEnd w:id="123"/>
      <w:bookmarkEnd w:id="124"/>
      <w:bookmarkEnd w:id="125"/>
      <w:bookmarkEnd w:id="126"/>
      <w:bookmarkEnd w:id="127"/>
      <w:bookmarkEnd w:id="128"/>
      <w:bookmarkEnd w:id="129"/>
    </w:p>
    <w:p>
      <w:pPr>
        <w:pStyle w:val="28"/>
        <w:spacing w:before="163" w:beforeLines="50" w:after="163" w:afterLines="50" w:line="500" w:lineRule="exact"/>
        <w:rPr>
          <w:rFonts w:asciiTheme="minorEastAsia" w:hAnsiTheme="minorEastAsia" w:eastAsiaTheme="minorEastAsia"/>
          <w:b/>
          <w:bCs/>
          <w:szCs w:val="21"/>
        </w:rPr>
      </w:pPr>
      <w:r>
        <w:rPr>
          <w:rFonts w:asciiTheme="minorEastAsia" w:hAnsiTheme="minorEastAsia" w:eastAsiaTheme="minorEastAsia"/>
          <w:b/>
          <w:bCs/>
          <w:szCs w:val="21"/>
        </w:rPr>
        <w:t>14.</w:t>
      </w:r>
      <w:r>
        <w:rPr>
          <w:rFonts w:hint="eastAsia" w:asciiTheme="minorEastAsia" w:hAnsiTheme="minorEastAsia" w:eastAsiaTheme="minorEastAsia"/>
          <w:b/>
          <w:bCs/>
          <w:szCs w:val="21"/>
        </w:rPr>
        <w:t>投标文件的密封和标识</w:t>
      </w:r>
    </w:p>
    <w:p>
      <w:pPr>
        <w:pStyle w:val="28"/>
        <w:spacing w:before="163" w:beforeLines="50" w:after="163" w:afterLines="50"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4.1投标人应该将所有投标文件的“报价及商务文件”、“技术文件”、“电子版文件”正本及副本分别装在三个投标文件密封袋中，其中，每册的正本和副本统一装在一个密封袋中，密封袋上清楚地表明“报价及商务文件”或“技术文件”或“电子版文件”。提交投标文件时应为三个独立包封的密封袋。为避免投标文件内容被泄露，投标文件外层包封必须密封完好无破损并加盖公章，否则采购代理机构将拒收（如为联合体投标，则加盖牵头人单位公章）。</w:t>
      </w:r>
    </w:p>
    <w:p>
      <w:pPr>
        <w:pStyle w:val="28"/>
        <w:spacing w:before="163" w:beforeLines="50" w:after="163" w:after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14.2投标文件的封套上应写明的内容见“投标人须知前附表”。</w:t>
      </w:r>
    </w:p>
    <w:p>
      <w:pPr>
        <w:pStyle w:val="28"/>
        <w:spacing w:before="163" w:beforeLines="50" w:after="163"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14.3未按本章第 14.1 项和第 14.2 项要求对封套进行密封和加写标记的投标文件，招标人不予受理。</w:t>
      </w:r>
    </w:p>
    <w:p>
      <w:pPr>
        <w:pStyle w:val="28"/>
        <w:spacing w:before="163" w:beforeLines="50" w:after="163" w:afterLines="50" w:line="360" w:lineRule="auto"/>
        <w:rPr>
          <w:rFonts w:asciiTheme="minorEastAsia" w:hAnsiTheme="minorEastAsia" w:eastAsiaTheme="minorEastAsia"/>
          <w:b/>
          <w:bCs/>
          <w:szCs w:val="21"/>
        </w:rPr>
      </w:pPr>
      <w:r>
        <w:rPr>
          <w:rFonts w:asciiTheme="minorEastAsia" w:hAnsiTheme="minorEastAsia" w:eastAsiaTheme="minorEastAsia"/>
          <w:b/>
          <w:bCs/>
          <w:szCs w:val="21"/>
        </w:rPr>
        <w:t>15.</w:t>
      </w:r>
      <w:r>
        <w:rPr>
          <w:rFonts w:hint="eastAsia" w:asciiTheme="minorEastAsia" w:hAnsiTheme="minorEastAsia" w:eastAsiaTheme="minorEastAsia"/>
          <w:b/>
          <w:bCs/>
          <w:szCs w:val="21"/>
        </w:rPr>
        <w:t>投标文件的递交</w:t>
      </w:r>
    </w:p>
    <w:p>
      <w:pPr>
        <w:pStyle w:val="28"/>
        <w:spacing w:before="163" w:beforeLines="50" w:after="163" w:afterLines="50"/>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15.1  </w:t>
      </w:r>
      <w:r>
        <w:rPr>
          <w:rFonts w:hint="eastAsia" w:asciiTheme="minorEastAsia" w:hAnsiTheme="minorEastAsia" w:eastAsiaTheme="minorEastAsia"/>
          <w:szCs w:val="21"/>
        </w:rPr>
        <w:t>投标人投标截止时间：见投标人须知前附表。</w:t>
      </w:r>
    </w:p>
    <w:p>
      <w:pPr>
        <w:pStyle w:val="28"/>
        <w:spacing w:before="163" w:beforeLines="50" w:after="163" w:afterLines="50"/>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15.2  </w:t>
      </w:r>
      <w:r>
        <w:rPr>
          <w:rFonts w:hint="eastAsia" w:asciiTheme="minorEastAsia" w:hAnsiTheme="minorEastAsia" w:eastAsiaTheme="minorEastAsia"/>
          <w:szCs w:val="21"/>
        </w:rPr>
        <w:t>投标人递交投标文件地点：见投标人须知前附表。</w:t>
      </w:r>
    </w:p>
    <w:p>
      <w:pPr>
        <w:pStyle w:val="521"/>
        <w:tabs>
          <w:tab w:val="left" w:pos="1723"/>
        </w:tabs>
        <w:ind w:right="788"/>
        <w:jc w:val="left"/>
        <w:rPr>
          <w:rFonts w:asciiTheme="minorEastAsia" w:hAnsiTheme="minorEastAsia" w:eastAsiaTheme="minorEastAsia"/>
          <w:szCs w:val="21"/>
        </w:rPr>
      </w:pPr>
      <w:r>
        <w:rPr>
          <w:rFonts w:hint="eastAsia" w:asciiTheme="minorEastAsia" w:hAnsiTheme="minorEastAsia" w:eastAsiaTheme="minorEastAsia"/>
          <w:szCs w:val="21"/>
        </w:rPr>
        <w:t>15.3  投标人所递交的投标文件不予退还。</w:t>
      </w:r>
    </w:p>
    <w:p>
      <w:pPr>
        <w:pStyle w:val="28"/>
        <w:spacing w:before="163" w:beforeLines="50" w:after="163"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15.4  招标人收到投标文件后，向投标人出具签收凭证。</w:t>
      </w:r>
    </w:p>
    <w:p>
      <w:pPr>
        <w:pStyle w:val="28"/>
        <w:spacing w:before="163" w:beforeLines="50" w:after="163"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15.5  逾期送达的或未送达指定地点的投标文件，招标人不予受理。</w:t>
      </w:r>
    </w:p>
    <w:p>
      <w:pPr>
        <w:pStyle w:val="28"/>
        <w:spacing w:before="163" w:beforeLines="50" w:after="163"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15.6 在特殊情况下，招标人如果决定延后投标截止时间，应在“投标人须知前附表”规定的时间前，以书面形式通知所有投标人延后投标的截止时间。在此情况下招标人和投标人的权利和义务相应延后至新的投标截止时间。</w:t>
      </w:r>
    </w:p>
    <w:p>
      <w:pPr>
        <w:pStyle w:val="28"/>
        <w:spacing w:before="163" w:beforeLines="50" w:after="163" w:afterLines="50" w:line="500" w:lineRule="exact"/>
        <w:jc w:val="center"/>
        <w:outlineLvl w:val="1"/>
        <w:rPr>
          <w:rFonts w:asciiTheme="minorEastAsia" w:hAnsiTheme="minorEastAsia" w:eastAsiaTheme="minorEastAsia"/>
          <w:b/>
          <w:sz w:val="36"/>
          <w:szCs w:val="36"/>
        </w:rPr>
      </w:pPr>
      <w:bookmarkStart w:id="130" w:name="_Toc50993396"/>
      <w:bookmarkStart w:id="131" w:name="_Toc429727826"/>
      <w:bookmarkStart w:id="132" w:name="_Toc462955441"/>
      <w:bookmarkStart w:id="133" w:name="_Toc19092"/>
      <w:bookmarkStart w:id="134" w:name="_Toc435106784"/>
      <w:bookmarkStart w:id="135" w:name="_Toc213326420"/>
      <w:bookmarkStart w:id="136" w:name="_Toc16641"/>
      <w:r>
        <w:rPr>
          <w:rFonts w:hint="eastAsia" w:asciiTheme="minorEastAsia" w:hAnsiTheme="minorEastAsia" w:eastAsiaTheme="minorEastAsia"/>
          <w:b/>
          <w:sz w:val="36"/>
          <w:szCs w:val="36"/>
        </w:rPr>
        <w:t>五、开标与评标</w:t>
      </w:r>
      <w:bookmarkEnd w:id="130"/>
      <w:bookmarkEnd w:id="131"/>
      <w:bookmarkEnd w:id="132"/>
      <w:bookmarkEnd w:id="133"/>
      <w:bookmarkEnd w:id="134"/>
      <w:bookmarkEnd w:id="135"/>
      <w:bookmarkEnd w:id="136"/>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16.</w:t>
      </w:r>
      <w:r>
        <w:rPr>
          <w:rFonts w:hint="eastAsia" w:asciiTheme="minorEastAsia" w:hAnsiTheme="minorEastAsia" w:eastAsiaTheme="minorEastAsia"/>
          <w:b/>
          <w:bCs/>
          <w:szCs w:val="21"/>
        </w:rPr>
        <w:t>开标</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16.1  </w:t>
      </w:r>
      <w:r>
        <w:rPr>
          <w:rFonts w:hint="eastAsia" w:asciiTheme="minorEastAsia" w:hAnsiTheme="minorEastAsia" w:eastAsiaTheme="minorEastAsia"/>
          <w:szCs w:val="21"/>
        </w:rPr>
        <w:t>采购代理机构将在本章第</w:t>
      </w:r>
      <w:r>
        <w:rPr>
          <w:rFonts w:asciiTheme="minorEastAsia" w:hAnsiTheme="minorEastAsia" w:eastAsiaTheme="minorEastAsia"/>
          <w:szCs w:val="21"/>
        </w:rPr>
        <w:t>15.1</w:t>
      </w:r>
      <w:r>
        <w:rPr>
          <w:rFonts w:hint="eastAsia" w:asciiTheme="minorEastAsia" w:hAnsiTheme="minorEastAsia" w:eastAsiaTheme="minorEastAsia"/>
          <w:szCs w:val="21"/>
        </w:rPr>
        <w:t>项规定的投标截止时间（即开标时间）和投标人须知前附表规定的地点公开开标，投标人的法定代表人或其委托代理人应准时参加并签到，并由采购人代表和监标人按照“投标人须知前附表”规定检查投标人的资格证件，包括①法定代表人身份证明原件及本人二代身份证原件或授权委托代理人的授权委托书、委托代理人身份证原件（若法定代表人出席开标会，则提交法定代表人证明书及本人身份证原件及复印件；若为联合体投标时，法人授权委托书原件由联合体成员中牵头人出具）、②加盖投标人单位公章的投标保证金银行转账（电汇）底单复印件或无条件银行保函原件、③联合体协议书原件（如有，要求与通过资格预审的投标人的组织形式一致）。如未按时签到，由此产生的后果由投标人自行负责。</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16.2  </w:t>
      </w:r>
      <w:r>
        <w:rPr>
          <w:rFonts w:hint="eastAsia" w:asciiTheme="minorEastAsia" w:hAnsiTheme="minorEastAsia" w:eastAsiaTheme="minorEastAsia"/>
          <w:szCs w:val="21"/>
        </w:rPr>
        <w:t>开标程序：</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）开标会由采购代理机构主持，主持人宣布开标会议开始；</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）公布在投标截止时间前递交投标文件的投标人名称，并点名确认投标人是否派人到场；</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）宣布开标人、唱标人、记录人、监标人（由第三方监督单位担任）等有关人员姓名；</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）由采购人代表和监标人按照“投标人须知前附表”规定检查投标人的资格证件，再由通过检查的投标人代表按本章第</w:t>
      </w:r>
      <w:r>
        <w:rPr>
          <w:rFonts w:asciiTheme="minorEastAsia" w:hAnsiTheme="minorEastAsia" w:eastAsiaTheme="minorEastAsia"/>
          <w:szCs w:val="21"/>
        </w:rPr>
        <w:t>14.1</w:t>
      </w:r>
      <w:r>
        <w:rPr>
          <w:rFonts w:hint="eastAsia" w:asciiTheme="minorEastAsia" w:hAnsiTheme="minorEastAsia" w:eastAsiaTheme="minorEastAsia"/>
          <w:szCs w:val="21"/>
        </w:rPr>
        <w:t>项的规定交叉检查投标文件的密封情况，并签字确认；</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按各投标人递交投标文件时间的先后顺序当众拆封投标文件，由唱标人宣读投标人名称、投标报价、合作期限等以及采购代理机构认为有必要宣读的其他内容，并检验投标人的投标保证金交纳证明，记录人负责做开标记录；</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）相关人员在开标记录上签字确认；</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7</w:t>
      </w:r>
      <w:r>
        <w:rPr>
          <w:rFonts w:hint="eastAsia" w:asciiTheme="minorEastAsia" w:hAnsiTheme="minorEastAsia" w:eastAsiaTheme="minorEastAsia"/>
          <w:szCs w:val="21"/>
        </w:rPr>
        <w:t>）宣布评标期间的有关事项；</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8</w:t>
      </w:r>
      <w:r>
        <w:rPr>
          <w:rFonts w:hint="eastAsia" w:asciiTheme="minorEastAsia" w:hAnsiTheme="minorEastAsia" w:eastAsiaTheme="minorEastAsia"/>
          <w:szCs w:val="21"/>
        </w:rPr>
        <w:t>）开标结束。</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17.</w:t>
      </w:r>
      <w:r>
        <w:rPr>
          <w:rFonts w:hint="eastAsia" w:asciiTheme="minorEastAsia" w:hAnsiTheme="minorEastAsia" w:eastAsiaTheme="minorEastAsia"/>
          <w:b/>
          <w:bCs/>
          <w:szCs w:val="21"/>
        </w:rPr>
        <w:t>评标</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17.1  </w:t>
      </w:r>
      <w:r>
        <w:rPr>
          <w:rFonts w:hint="eastAsia" w:asciiTheme="minorEastAsia" w:hAnsiTheme="minorEastAsia" w:eastAsiaTheme="minorEastAsia"/>
          <w:szCs w:val="21"/>
        </w:rPr>
        <w:t>评标委员会：评标由依法组建的评标委员会负责。评标委员会由采购人代表和有关技术、财务、法律等方面的专家共</w:t>
      </w:r>
      <w:r>
        <w:rPr>
          <w:rFonts w:asciiTheme="minorEastAsia" w:hAnsiTheme="minorEastAsia" w:eastAsiaTheme="minorEastAsia"/>
          <w:szCs w:val="21"/>
        </w:rPr>
        <w:t>7</w:t>
      </w:r>
      <w:r>
        <w:rPr>
          <w:rFonts w:hint="eastAsia" w:asciiTheme="minorEastAsia" w:hAnsiTheme="minorEastAsia" w:eastAsiaTheme="minorEastAsia"/>
          <w:szCs w:val="21"/>
        </w:rPr>
        <w:t>人组成，其中评标专家人数不得少于评标委员会成员总数的</w:t>
      </w:r>
      <w:r>
        <w:rPr>
          <w:rFonts w:asciiTheme="minorEastAsia" w:hAnsiTheme="minorEastAsia" w:eastAsiaTheme="minorEastAsia"/>
          <w:szCs w:val="21"/>
        </w:rPr>
        <w:t>2/3</w:t>
      </w:r>
      <w:r>
        <w:rPr>
          <w:rFonts w:hint="eastAsia" w:asciiTheme="minorEastAsia" w:hAnsiTheme="minorEastAsia" w:eastAsiaTheme="minorEastAsia"/>
          <w:szCs w:val="21"/>
        </w:rPr>
        <w:t>。采购人或采购代理机构根据本项目的特点，可以从财政部门设立的政府采购评审专家库中，通过随机方式抽取专家。包含</w:t>
      </w:r>
      <w:r>
        <w:rPr>
          <w:rFonts w:asciiTheme="minorEastAsia" w:hAnsiTheme="minorEastAsia" w:eastAsiaTheme="minorEastAsia"/>
          <w:szCs w:val="21"/>
        </w:rPr>
        <w:t>2</w:t>
      </w:r>
      <w:r>
        <w:rPr>
          <w:rFonts w:hint="eastAsia" w:asciiTheme="minorEastAsia" w:hAnsiTheme="minorEastAsia" w:eastAsiaTheme="minorEastAsia"/>
          <w:szCs w:val="21"/>
        </w:rPr>
        <w:t>名采购人代表、</w:t>
      </w:r>
      <w:r>
        <w:rPr>
          <w:rFonts w:asciiTheme="minorEastAsia" w:hAnsiTheme="minorEastAsia" w:eastAsiaTheme="minorEastAsia"/>
          <w:szCs w:val="21"/>
        </w:rPr>
        <w:t>3</w:t>
      </w:r>
      <w:r>
        <w:rPr>
          <w:rFonts w:hint="eastAsia" w:asciiTheme="minorEastAsia" w:hAnsiTheme="minorEastAsia" w:eastAsiaTheme="minorEastAsia"/>
          <w:szCs w:val="21"/>
        </w:rPr>
        <w:t>名技术专家、</w:t>
      </w:r>
      <w:r>
        <w:rPr>
          <w:rFonts w:asciiTheme="minorEastAsia" w:hAnsiTheme="minorEastAsia" w:eastAsiaTheme="minorEastAsia"/>
          <w:szCs w:val="21"/>
        </w:rPr>
        <w:t>1</w:t>
      </w:r>
      <w:r>
        <w:rPr>
          <w:rFonts w:hint="eastAsia" w:asciiTheme="minorEastAsia" w:hAnsiTheme="minorEastAsia" w:eastAsiaTheme="minorEastAsia"/>
          <w:szCs w:val="21"/>
        </w:rPr>
        <w:t>名财务专家和</w:t>
      </w:r>
      <w:r>
        <w:rPr>
          <w:rFonts w:asciiTheme="minorEastAsia" w:hAnsiTheme="minorEastAsia" w:eastAsiaTheme="minorEastAsia"/>
          <w:szCs w:val="21"/>
        </w:rPr>
        <w:t>1</w:t>
      </w:r>
      <w:r>
        <w:rPr>
          <w:rFonts w:hint="eastAsia" w:asciiTheme="minorEastAsia" w:hAnsiTheme="minorEastAsia" w:eastAsiaTheme="minorEastAsia"/>
          <w:szCs w:val="21"/>
        </w:rPr>
        <w:t>名法律专家。</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17.2  </w:t>
      </w:r>
      <w:r>
        <w:rPr>
          <w:rFonts w:hint="eastAsia" w:asciiTheme="minorEastAsia" w:hAnsiTheme="minorEastAsia" w:eastAsiaTheme="minorEastAsia"/>
          <w:szCs w:val="21"/>
        </w:rPr>
        <w:t>评标原则：评标活动遵循公平、公正、科学和择优的原则。</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17.3  </w:t>
      </w:r>
      <w:r>
        <w:rPr>
          <w:rFonts w:hint="eastAsia" w:asciiTheme="minorEastAsia" w:hAnsiTheme="minorEastAsia" w:eastAsiaTheme="minorEastAsia"/>
          <w:szCs w:val="21"/>
        </w:rPr>
        <w:t>评标方法：采用综合评标，评标委员会按照投标人须知前附表和第四章“评标办法”规定的方法、评审因素和标准对投标文件进行评审。在评标中，不得改变第四章“评标办法”规定的方法、评审因素和标准；第四章“评标办法”没有规定的方法、评审因素和标准，不作为评标依据。</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17.4  </w:t>
      </w:r>
      <w:r>
        <w:rPr>
          <w:rFonts w:hint="eastAsia" w:asciiTheme="minorEastAsia" w:hAnsiTheme="minorEastAsia" w:eastAsiaTheme="minorEastAsia"/>
          <w:bCs/>
          <w:szCs w:val="21"/>
        </w:rPr>
        <w:t>评标程序：</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 xml:space="preserve">17.4.1  </w:t>
      </w:r>
      <w:r>
        <w:rPr>
          <w:rFonts w:hint="eastAsia" w:asciiTheme="minorEastAsia" w:hAnsiTheme="minorEastAsia" w:eastAsiaTheme="minorEastAsia"/>
          <w:bCs/>
          <w:szCs w:val="21"/>
        </w:rPr>
        <w:t>采购代理机构项目负责人宣读评标现场纪律要求，集中管理通讯工具，询问在场人员是否申请回避；</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 xml:space="preserve">17.4.2  </w:t>
      </w:r>
      <w:r>
        <w:rPr>
          <w:rFonts w:hint="eastAsia" w:asciiTheme="minorEastAsia" w:hAnsiTheme="minorEastAsia" w:eastAsiaTheme="minorEastAsia"/>
          <w:bCs/>
          <w:szCs w:val="21"/>
        </w:rPr>
        <w:t>采购代理机构项目负责人介绍项目概况及评标委员会组成情况（但不得发表影响评审的倾向性、歧视性言论），推选评标组长（原则上采购人不得担任评标组长）；</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 xml:space="preserve">17.4.3  </w:t>
      </w:r>
      <w:r>
        <w:rPr>
          <w:rFonts w:hint="eastAsia" w:asciiTheme="minorEastAsia" w:hAnsiTheme="minorEastAsia" w:eastAsiaTheme="minorEastAsia"/>
          <w:bCs/>
          <w:szCs w:val="21"/>
        </w:rPr>
        <w:t>评标委员会按分工开展评标工作：</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）投标文件初步评审。初步评审分为形式评审和响应性评审。</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评标委员会依据第四章评标办法初步评审规定的评审标准对投标文件进行初步评审。有一项不符合评审标准的，作否决投标处理。</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）比较与评价。按采购文件中规定的评标方法和标准，对形式评审和响应性评审合格的投标文件进行商务和技术评估，综合比较与评价。</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）按顺序排列中标候选供应商，并编写评标报告。</w:t>
      </w:r>
    </w:p>
    <w:p>
      <w:pPr>
        <w:pStyle w:val="28"/>
        <w:spacing w:line="500" w:lineRule="exact"/>
        <w:ind w:firstLine="420" w:firstLineChars="200"/>
        <w:rPr>
          <w:rFonts w:asciiTheme="minorEastAsia" w:hAnsiTheme="minorEastAsia" w:eastAsiaTheme="minorEastAsia"/>
          <w:bCs/>
          <w:szCs w:val="21"/>
        </w:rPr>
      </w:pPr>
      <w:r>
        <w:rPr>
          <w:rFonts w:asciiTheme="minorEastAsia" w:hAnsiTheme="minorEastAsia" w:eastAsiaTheme="minorEastAsia"/>
          <w:szCs w:val="21"/>
        </w:rPr>
        <w:t xml:space="preserve">17.4.4  </w:t>
      </w:r>
      <w:r>
        <w:rPr>
          <w:rFonts w:hint="eastAsia" w:asciiTheme="minorEastAsia" w:hAnsiTheme="minorEastAsia" w:eastAsiaTheme="minorEastAsia"/>
          <w:szCs w:val="21"/>
        </w:rPr>
        <w:t>采购代理机构对评标过程和评分、评标结论进行核对和复核，如有错漏，请当事评委进行校正，按校正后的结果确定中标候选供应商排序。</w:t>
      </w:r>
    </w:p>
    <w:p>
      <w:pPr>
        <w:pStyle w:val="28"/>
        <w:spacing w:line="500" w:lineRule="exact"/>
        <w:ind w:firstLine="420" w:firstLineChars="200"/>
        <w:rPr>
          <w:rFonts w:asciiTheme="minorEastAsia" w:hAnsiTheme="minorEastAsia" w:eastAsiaTheme="minorEastAsia"/>
          <w:bCs/>
          <w:szCs w:val="21"/>
        </w:rPr>
      </w:pPr>
      <w:r>
        <w:rPr>
          <w:rFonts w:asciiTheme="minorEastAsia" w:hAnsiTheme="minorEastAsia" w:eastAsiaTheme="minorEastAsia"/>
          <w:szCs w:val="21"/>
        </w:rPr>
        <w:t xml:space="preserve">17.5  </w:t>
      </w:r>
      <w:r>
        <w:rPr>
          <w:rFonts w:hint="eastAsia" w:asciiTheme="minorEastAsia" w:hAnsiTheme="minorEastAsia" w:eastAsiaTheme="minorEastAsia"/>
          <w:szCs w:val="21"/>
        </w:rPr>
        <w:t>在确定中标供应商前，采购人或采购代理机构不得与投标人就投标价格、投标方案等实质性内容进行谈判。</w:t>
      </w:r>
    </w:p>
    <w:p>
      <w:pPr>
        <w:pStyle w:val="28"/>
        <w:spacing w:line="500" w:lineRule="exact"/>
        <w:ind w:firstLine="420" w:firstLineChars="200"/>
        <w:rPr>
          <w:rFonts w:asciiTheme="minorEastAsia" w:hAnsiTheme="minorEastAsia" w:eastAsiaTheme="minorEastAsia"/>
          <w:bCs/>
          <w:szCs w:val="21"/>
        </w:rPr>
      </w:pPr>
      <w:r>
        <w:rPr>
          <w:rFonts w:asciiTheme="minorEastAsia" w:hAnsiTheme="minorEastAsia" w:eastAsiaTheme="minorEastAsia"/>
          <w:szCs w:val="21"/>
        </w:rPr>
        <w:t xml:space="preserve">17.6  </w:t>
      </w:r>
      <w:r>
        <w:rPr>
          <w:rFonts w:hint="eastAsia" w:asciiTheme="minorEastAsia" w:hAnsiTheme="minorEastAsia" w:eastAsiaTheme="minorEastAsia"/>
          <w:szCs w:val="21"/>
        </w:rPr>
        <w:t>评标过程的保密。评标在严格保密的情况下进行，任何单位和个人不得非法干预、影响评标办法的确定，以及评标过程和结果。评标委员会成员和参与评标的有关工作人员不得透露对投标文件的评审和比较、中标候选供应商排序的推荐情况以及与评标有关的其他情况。</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18.</w:t>
      </w:r>
      <w:r>
        <w:rPr>
          <w:rFonts w:hint="eastAsia" w:asciiTheme="minorEastAsia" w:hAnsiTheme="minorEastAsia" w:eastAsiaTheme="minorEastAsia"/>
          <w:b/>
          <w:bCs/>
          <w:szCs w:val="21"/>
        </w:rPr>
        <w:t>投标文件的修正</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18.1  </w:t>
      </w:r>
      <w:r>
        <w:rPr>
          <w:rFonts w:hint="eastAsia" w:asciiTheme="minorEastAsia" w:hAnsiTheme="minorEastAsia" w:eastAsiaTheme="minorEastAsia"/>
          <w:szCs w:val="21"/>
        </w:rPr>
        <w:t>如果出现计算或表达上的错误，修正的原则如下：</w:t>
      </w:r>
    </w:p>
    <w:p>
      <w:pPr>
        <w:pStyle w:val="28"/>
        <w:spacing w:line="500" w:lineRule="exact"/>
        <w:ind w:firstLine="420"/>
        <w:rPr>
          <w:rFonts w:asciiTheme="minorEastAsia" w:hAnsiTheme="minorEastAsia" w:eastAsiaTheme="minorEastAsia"/>
          <w:bCs/>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）开标时，投标文件中投标函内容与投标报价表内容不一致的，以投标函为准；</w:t>
      </w:r>
    </w:p>
    <w:p>
      <w:pPr>
        <w:pStyle w:val="28"/>
        <w:spacing w:line="500" w:lineRule="exact"/>
        <w:ind w:firstLine="420"/>
        <w:rPr>
          <w:rFonts w:asciiTheme="minorEastAsia" w:hAnsiTheme="minorEastAsia" w:eastAsiaTheme="minorEastAsia"/>
          <w:bCs/>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）投标文件的大写金额和小写金额不一致的，以大写金额为准；</w:t>
      </w:r>
    </w:p>
    <w:p>
      <w:pPr>
        <w:pStyle w:val="28"/>
        <w:spacing w:line="500" w:lineRule="exact"/>
        <w:ind w:firstLine="420"/>
        <w:rPr>
          <w:rFonts w:asciiTheme="minorEastAsia" w:hAnsiTheme="minorEastAsia" w:eastAsiaTheme="minorEastAsia"/>
          <w:bCs/>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）总价金额与按单价汇总金额不一致的，以单价金额计算结果为准；</w:t>
      </w:r>
    </w:p>
    <w:p>
      <w:pPr>
        <w:pStyle w:val="28"/>
        <w:spacing w:line="500" w:lineRule="exact"/>
        <w:ind w:firstLine="420"/>
        <w:rPr>
          <w:rFonts w:asciiTheme="minorEastAsia" w:hAnsiTheme="minorEastAsia" w:eastAsiaTheme="minorEastAsia"/>
          <w:bCs/>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）单价金额小数点有明显错位的，应以总价为准，并修改单价。</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18.2  </w:t>
      </w:r>
      <w:r>
        <w:rPr>
          <w:rFonts w:hint="eastAsia" w:asciiTheme="minorEastAsia" w:hAnsiTheme="minorEastAsia" w:eastAsiaTheme="minorEastAsia"/>
          <w:szCs w:val="21"/>
        </w:rPr>
        <w:t>按上述修正原则修正后的投标报价经投标人书面确认后对投标人具有约束力。如果投标人不接受修正后的投标报价，则其投标无效且其投标保证金不予退回。</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19.</w:t>
      </w:r>
      <w:r>
        <w:rPr>
          <w:rFonts w:hint="eastAsia" w:asciiTheme="minorEastAsia" w:hAnsiTheme="minorEastAsia" w:eastAsiaTheme="minorEastAsia"/>
          <w:b/>
          <w:bCs/>
          <w:szCs w:val="21"/>
        </w:rPr>
        <w:t>拒绝接收</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19.1  </w:t>
      </w:r>
      <w:r>
        <w:rPr>
          <w:rFonts w:hint="eastAsia" w:asciiTheme="minorEastAsia" w:hAnsiTheme="minorEastAsia" w:eastAsiaTheme="minorEastAsia"/>
          <w:szCs w:val="21"/>
        </w:rPr>
        <w:t>投标人未能按本章第</w:t>
      </w:r>
      <w:r>
        <w:rPr>
          <w:rFonts w:asciiTheme="minorEastAsia" w:hAnsiTheme="minorEastAsia" w:eastAsiaTheme="minorEastAsia"/>
          <w:szCs w:val="21"/>
        </w:rPr>
        <w:t>13.1</w:t>
      </w:r>
      <w:r>
        <w:rPr>
          <w:rFonts w:hint="eastAsia" w:asciiTheme="minorEastAsia" w:hAnsiTheme="minorEastAsia" w:eastAsiaTheme="minorEastAsia"/>
          <w:szCs w:val="21"/>
        </w:rPr>
        <w:t>项、第</w:t>
      </w:r>
      <w:r>
        <w:rPr>
          <w:rFonts w:asciiTheme="minorEastAsia" w:hAnsiTheme="minorEastAsia" w:eastAsiaTheme="minorEastAsia"/>
          <w:szCs w:val="21"/>
        </w:rPr>
        <w:t>13.2</w:t>
      </w:r>
      <w:r>
        <w:rPr>
          <w:rFonts w:hint="eastAsia" w:asciiTheme="minorEastAsia" w:hAnsiTheme="minorEastAsia" w:eastAsiaTheme="minorEastAsia"/>
          <w:szCs w:val="21"/>
        </w:rPr>
        <w:t>项的要求交纳投标保证金的，采购代理机构应当拒绝接收该投标人的投标文件。</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19.2  </w:t>
      </w:r>
      <w:r>
        <w:rPr>
          <w:rFonts w:hint="eastAsia" w:asciiTheme="minorEastAsia" w:hAnsiTheme="minorEastAsia" w:eastAsiaTheme="minorEastAsia"/>
          <w:szCs w:val="21"/>
        </w:rPr>
        <w:t>投标人未在本章第</w:t>
      </w:r>
      <w:r>
        <w:rPr>
          <w:rFonts w:asciiTheme="minorEastAsia" w:hAnsiTheme="minorEastAsia" w:eastAsiaTheme="minorEastAsia"/>
          <w:szCs w:val="21"/>
        </w:rPr>
        <w:t>15.1</w:t>
      </w:r>
      <w:r>
        <w:rPr>
          <w:rFonts w:hint="eastAsia" w:asciiTheme="minorEastAsia" w:hAnsiTheme="minorEastAsia" w:eastAsiaTheme="minorEastAsia"/>
          <w:szCs w:val="21"/>
        </w:rPr>
        <w:t>项规定的时间之前将投标文件送达至本章第</w:t>
      </w:r>
      <w:r>
        <w:rPr>
          <w:rFonts w:asciiTheme="minorEastAsia" w:hAnsiTheme="minorEastAsia" w:eastAsiaTheme="minorEastAsia"/>
          <w:szCs w:val="21"/>
        </w:rPr>
        <w:t>15.2</w:t>
      </w:r>
      <w:r>
        <w:rPr>
          <w:rFonts w:hint="eastAsia" w:asciiTheme="minorEastAsia" w:hAnsiTheme="minorEastAsia" w:eastAsiaTheme="minorEastAsia"/>
          <w:szCs w:val="21"/>
        </w:rPr>
        <w:t>项指定地点的，采购代理机构应当拒绝接收该投标人的投标文件。</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20.</w:t>
      </w:r>
      <w:r>
        <w:rPr>
          <w:rFonts w:hint="eastAsia" w:asciiTheme="minorEastAsia" w:hAnsiTheme="minorEastAsia" w:eastAsiaTheme="minorEastAsia"/>
          <w:b/>
          <w:bCs/>
          <w:szCs w:val="21"/>
        </w:rPr>
        <w:t>无效投标</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20.1  </w:t>
      </w:r>
      <w:r>
        <w:rPr>
          <w:rFonts w:hint="eastAsia" w:asciiTheme="minorEastAsia" w:hAnsiTheme="minorEastAsia" w:eastAsiaTheme="minorEastAsia"/>
          <w:szCs w:val="21"/>
        </w:rPr>
        <w:t>属下列情形之一的，投标人的投标无效：</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）投标人不具备本章第</w:t>
      </w:r>
      <w:r>
        <w:rPr>
          <w:rFonts w:asciiTheme="minorEastAsia" w:hAnsiTheme="minorEastAsia" w:eastAsiaTheme="minorEastAsia"/>
          <w:szCs w:val="21"/>
        </w:rPr>
        <w:t>3</w:t>
      </w:r>
      <w:r>
        <w:rPr>
          <w:rFonts w:hint="eastAsia" w:asciiTheme="minorEastAsia" w:hAnsiTheme="minorEastAsia" w:eastAsiaTheme="minorEastAsia"/>
          <w:szCs w:val="21"/>
        </w:rPr>
        <w:t>项规定的投标人资格要求的；</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）投标文件未按本章第</w:t>
      </w:r>
      <w:r>
        <w:rPr>
          <w:rFonts w:asciiTheme="minorEastAsia" w:hAnsiTheme="minorEastAsia" w:eastAsiaTheme="minorEastAsia"/>
          <w:szCs w:val="21"/>
        </w:rPr>
        <w:t>8.7</w:t>
      </w:r>
      <w:r>
        <w:rPr>
          <w:rFonts w:hint="eastAsia" w:asciiTheme="minorEastAsia" w:hAnsiTheme="minorEastAsia" w:eastAsiaTheme="minorEastAsia"/>
          <w:szCs w:val="21"/>
        </w:rPr>
        <w:t>项的规定标识或未按规定的正、副本数量递交的；</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）投标文件未按本章第</w:t>
      </w:r>
      <w:r>
        <w:rPr>
          <w:rFonts w:asciiTheme="minorEastAsia" w:hAnsiTheme="minorEastAsia" w:eastAsiaTheme="minorEastAsia"/>
          <w:szCs w:val="21"/>
        </w:rPr>
        <w:t>10.1</w:t>
      </w:r>
      <w:r>
        <w:rPr>
          <w:rFonts w:hint="eastAsia" w:asciiTheme="minorEastAsia" w:hAnsiTheme="minorEastAsia" w:eastAsiaTheme="minorEastAsia"/>
          <w:szCs w:val="21"/>
        </w:rPr>
        <w:t>项的规定编写和提交的（包括缺少应提交的文件或格式不符合第四章“投标文件格式”的要求）；</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）投标文件不符合本章第</w:t>
      </w:r>
      <w:r>
        <w:rPr>
          <w:rFonts w:asciiTheme="minorEastAsia" w:hAnsiTheme="minorEastAsia" w:eastAsiaTheme="minorEastAsia"/>
          <w:szCs w:val="21"/>
        </w:rPr>
        <w:t>10.2</w:t>
      </w:r>
      <w:r>
        <w:rPr>
          <w:rFonts w:hint="eastAsia" w:asciiTheme="minorEastAsia" w:hAnsiTheme="minorEastAsia" w:eastAsiaTheme="minorEastAsia"/>
          <w:szCs w:val="21"/>
        </w:rPr>
        <w:t>项规定的；</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）投标报价不符合本章第</w:t>
      </w:r>
      <w:r>
        <w:rPr>
          <w:rFonts w:asciiTheme="minorEastAsia" w:hAnsiTheme="minorEastAsia" w:eastAsiaTheme="minorEastAsia"/>
          <w:szCs w:val="21"/>
        </w:rPr>
        <w:t>11</w:t>
      </w:r>
      <w:r>
        <w:rPr>
          <w:rFonts w:hint="eastAsia" w:asciiTheme="minorEastAsia" w:hAnsiTheme="minorEastAsia" w:eastAsiaTheme="minorEastAsia"/>
          <w:szCs w:val="21"/>
        </w:rPr>
        <w:t>项规定的或超过采购预算的；</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）投标文件不符合本章第</w:t>
      </w:r>
      <w:r>
        <w:rPr>
          <w:rFonts w:asciiTheme="minorEastAsia" w:hAnsiTheme="minorEastAsia" w:eastAsiaTheme="minorEastAsia"/>
          <w:szCs w:val="21"/>
        </w:rPr>
        <w:t>14.1</w:t>
      </w:r>
      <w:r>
        <w:rPr>
          <w:rFonts w:hint="eastAsia" w:asciiTheme="minorEastAsia" w:hAnsiTheme="minorEastAsia" w:eastAsiaTheme="minorEastAsia"/>
          <w:szCs w:val="21"/>
        </w:rPr>
        <w:t>项规定的；</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7</w:t>
      </w:r>
      <w:r>
        <w:rPr>
          <w:rFonts w:hint="eastAsia" w:asciiTheme="minorEastAsia" w:hAnsiTheme="minorEastAsia" w:eastAsiaTheme="minorEastAsia"/>
          <w:szCs w:val="21"/>
        </w:rPr>
        <w:t>）投标人出现本章第</w:t>
      </w:r>
      <w:r>
        <w:rPr>
          <w:rFonts w:asciiTheme="minorEastAsia" w:hAnsiTheme="minorEastAsia" w:eastAsiaTheme="minorEastAsia"/>
          <w:szCs w:val="21"/>
        </w:rPr>
        <w:t>18.2</w:t>
      </w:r>
      <w:r>
        <w:rPr>
          <w:rFonts w:hint="eastAsia" w:asciiTheme="minorEastAsia" w:hAnsiTheme="minorEastAsia" w:eastAsiaTheme="minorEastAsia"/>
          <w:szCs w:val="21"/>
        </w:rPr>
        <w:t>项所述情形的；</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8</w:t>
      </w:r>
      <w:r>
        <w:rPr>
          <w:rFonts w:hint="eastAsia" w:asciiTheme="minorEastAsia" w:hAnsiTheme="minorEastAsia" w:eastAsiaTheme="minorEastAsia"/>
          <w:szCs w:val="21"/>
        </w:rPr>
        <w:t>）投标文件未对采购文件提出的要求和条件作出实质性响应的；</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9</w:t>
      </w:r>
      <w:r>
        <w:rPr>
          <w:rFonts w:hint="eastAsia" w:asciiTheme="minorEastAsia" w:hAnsiTheme="minorEastAsia" w:eastAsiaTheme="minorEastAsia"/>
          <w:szCs w:val="21"/>
        </w:rPr>
        <w:t>）投标文件附有采购需求以外的条件使评标委员会认为不能接受的；</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10</w:t>
      </w:r>
      <w:r>
        <w:rPr>
          <w:rFonts w:hint="eastAsia" w:asciiTheme="minorEastAsia" w:hAnsiTheme="minorEastAsia" w:eastAsiaTheme="minorEastAsia"/>
          <w:szCs w:val="21"/>
        </w:rPr>
        <w:t>）投标人在投标过程中提供虚假材料的；</w:t>
      </w:r>
    </w:p>
    <w:p>
      <w:pPr>
        <w:pStyle w:val="28"/>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11</w:t>
      </w:r>
      <w:r>
        <w:rPr>
          <w:rFonts w:hint="eastAsia" w:asciiTheme="minorEastAsia" w:hAnsiTheme="minorEastAsia" w:eastAsiaTheme="minorEastAsia"/>
          <w:szCs w:val="21"/>
        </w:rPr>
        <w:t>）投标文件含有违反国家法律、法规的内容。</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21.</w:t>
      </w:r>
      <w:r>
        <w:rPr>
          <w:rFonts w:hint="eastAsia" w:asciiTheme="minorEastAsia" w:hAnsiTheme="minorEastAsia" w:eastAsiaTheme="minorEastAsia"/>
          <w:b/>
          <w:bCs/>
          <w:szCs w:val="21"/>
        </w:rPr>
        <w:t>废标</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21.1  </w:t>
      </w:r>
      <w:r>
        <w:rPr>
          <w:rFonts w:hint="eastAsia" w:asciiTheme="minorEastAsia" w:hAnsiTheme="minorEastAsia" w:eastAsiaTheme="minorEastAsia"/>
          <w:szCs w:val="21"/>
        </w:rPr>
        <w:t>在招标过程中，出现下列情形之一的，予以废标：</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）符合专业条件的投标人或者对采购文件作实质响应的投标人不足三家的，</w:t>
      </w:r>
    </w:p>
    <w:p>
      <w:pPr>
        <w:pStyle w:val="28"/>
        <w:spacing w:line="500" w:lineRule="exact"/>
        <w:ind w:firstLine="420"/>
        <w:rPr>
          <w:rFonts w:asciiTheme="minorEastAsia" w:hAnsiTheme="minorEastAsia" w:eastAsiaTheme="minorEastAsia"/>
          <w:bCs/>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）出现影响采购公正的违法、违规行为的；</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）投标人的报价均超过了采购预算，采购人不能支付的；</w:t>
      </w:r>
    </w:p>
    <w:p>
      <w:pPr>
        <w:pStyle w:val="28"/>
        <w:spacing w:line="500" w:lineRule="exact"/>
        <w:ind w:firstLine="42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）因重大变故，采购任务取消的。</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21.2  </w:t>
      </w:r>
      <w:r>
        <w:rPr>
          <w:rFonts w:hint="eastAsia" w:asciiTheme="minorEastAsia" w:hAnsiTheme="minorEastAsia" w:eastAsiaTheme="minorEastAsia"/>
          <w:szCs w:val="21"/>
        </w:rPr>
        <w:t>废标后，采购代理机构将在本章第</w:t>
      </w:r>
      <w:r>
        <w:rPr>
          <w:rFonts w:asciiTheme="minorEastAsia" w:hAnsiTheme="minorEastAsia" w:eastAsiaTheme="minorEastAsia"/>
          <w:szCs w:val="21"/>
        </w:rPr>
        <w:t>2</w:t>
      </w:r>
      <w:r>
        <w:rPr>
          <w:rFonts w:hint="eastAsia" w:asciiTheme="minorEastAsia" w:hAnsiTheme="minorEastAsia" w:eastAsiaTheme="minorEastAsia"/>
          <w:szCs w:val="21"/>
        </w:rPr>
        <w:t>项规定的政府采购信息发布媒体上公告废标理由，不再另行通知。</w:t>
      </w:r>
    </w:p>
    <w:p>
      <w:pPr>
        <w:pStyle w:val="28"/>
        <w:spacing w:before="163" w:beforeLines="50" w:after="163" w:afterLines="50" w:line="500" w:lineRule="exact"/>
        <w:jc w:val="center"/>
        <w:outlineLvl w:val="1"/>
        <w:rPr>
          <w:rFonts w:asciiTheme="minorEastAsia" w:hAnsiTheme="minorEastAsia" w:eastAsiaTheme="minorEastAsia"/>
          <w:b/>
          <w:sz w:val="36"/>
          <w:szCs w:val="36"/>
        </w:rPr>
      </w:pPr>
      <w:bookmarkStart w:id="137" w:name="_Toc213326421"/>
      <w:bookmarkStart w:id="138" w:name="_Toc28468"/>
      <w:bookmarkStart w:id="139" w:name="_Toc462955442"/>
      <w:bookmarkStart w:id="140" w:name="_Toc435106785"/>
      <w:bookmarkStart w:id="141" w:name="_Toc26328"/>
      <w:bookmarkStart w:id="142" w:name="_Toc429727827"/>
      <w:bookmarkStart w:id="143" w:name="_Toc50993397"/>
      <w:r>
        <w:rPr>
          <w:rFonts w:hint="eastAsia" w:asciiTheme="minorEastAsia" w:hAnsiTheme="minorEastAsia" w:eastAsiaTheme="minorEastAsia"/>
          <w:b/>
          <w:sz w:val="36"/>
          <w:szCs w:val="36"/>
        </w:rPr>
        <w:t>六、</w:t>
      </w:r>
      <w:r>
        <w:rPr>
          <w:rFonts w:asciiTheme="minorEastAsia" w:hAnsiTheme="minorEastAsia" w:eastAsiaTheme="minorEastAsia"/>
          <w:b/>
          <w:sz w:val="36"/>
          <w:szCs w:val="36"/>
        </w:rPr>
        <w:t>PPP</w:t>
      </w:r>
      <w:r>
        <w:rPr>
          <w:rFonts w:hint="eastAsia" w:asciiTheme="minorEastAsia" w:hAnsiTheme="minorEastAsia" w:eastAsiaTheme="minorEastAsia"/>
          <w:b/>
          <w:sz w:val="36"/>
          <w:szCs w:val="36"/>
        </w:rPr>
        <w:t>项目合同授予</w:t>
      </w:r>
      <w:bookmarkEnd w:id="137"/>
      <w:bookmarkEnd w:id="138"/>
      <w:bookmarkEnd w:id="139"/>
      <w:bookmarkEnd w:id="140"/>
      <w:bookmarkEnd w:id="141"/>
      <w:bookmarkEnd w:id="142"/>
      <w:bookmarkEnd w:id="143"/>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 xml:space="preserve">22.  </w:t>
      </w:r>
      <w:r>
        <w:rPr>
          <w:rFonts w:hint="eastAsia" w:asciiTheme="minorEastAsia" w:hAnsiTheme="minorEastAsia" w:eastAsiaTheme="minorEastAsia"/>
          <w:b/>
          <w:bCs/>
          <w:szCs w:val="21"/>
        </w:rPr>
        <w:t>中标候选供应商的顺序确定</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22.1  </w:t>
      </w:r>
      <w:r>
        <w:rPr>
          <w:rFonts w:hint="eastAsia" w:asciiTheme="minorEastAsia" w:hAnsiTheme="minorEastAsia" w:eastAsiaTheme="minorEastAsia"/>
          <w:szCs w:val="21"/>
        </w:rPr>
        <w:t>评标委员会按第四章“评标办法”的规定排列中标候选供应商顺序。依照本章第</w:t>
      </w:r>
      <w:r>
        <w:rPr>
          <w:rFonts w:asciiTheme="minorEastAsia" w:hAnsiTheme="minorEastAsia" w:eastAsiaTheme="minorEastAsia"/>
          <w:szCs w:val="21"/>
        </w:rPr>
        <w:t>23</w:t>
      </w:r>
      <w:r>
        <w:rPr>
          <w:rFonts w:hint="eastAsia" w:asciiTheme="minorEastAsia" w:hAnsiTheme="minorEastAsia" w:eastAsiaTheme="minorEastAsia"/>
          <w:szCs w:val="21"/>
        </w:rPr>
        <w:t>项确定中标供应商。</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 xml:space="preserve">23.  </w:t>
      </w:r>
      <w:r>
        <w:rPr>
          <w:rFonts w:hint="eastAsia" w:asciiTheme="minorEastAsia" w:hAnsiTheme="minorEastAsia" w:eastAsiaTheme="minorEastAsia"/>
          <w:b/>
          <w:bCs/>
          <w:szCs w:val="21"/>
        </w:rPr>
        <w:t>中标公告及中标通知书</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23.1 PPP</w:t>
      </w:r>
      <w:r>
        <w:rPr>
          <w:rFonts w:hint="eastAsia" w:asciiTheme="minorEastAsia" w:hAnsiTheme="minorEastAsia" w:eastAsiaTheme="minorEastAsia"/>
          <w:szCs w:val="21"/>
        </w:rPr>
        <w:t>项目采购评审结束后，贵港市产业园区管理委员会成立专门的采购结果确认谈判工作组，负责采购结果确认前的谈判和最终的采购结果确认工作。采购结果确认谈判工作组成员及数量由贵港市产业园区管理委员会确定。采购结果确认谈判工作组应当按照评审报告推荐的中标候选</w:t>
      </w:r>
      <w:r>
        <w:rPr>
          <w:rFonts w:hint="eastAsia" w:asciiTheme="minorEastAsia" w:hAnsiTheme="minorEastAsia" w:eastAsiaTheme="minorEastAsia"/>
          <w:szCs w:val="22"/>
        </w:rPr>
        <w:t>社会资本方</w:t>
      </w:r>
      <w:r>
        <w:rPr>
          <w:rFonts w:hint="eastAsia" w:asciiTheme="minorEastAsia" w:hAnsiTheme="minorEastAsia" w:eastAsiaTheme="minorEastAsia"/>
          <w:szCs w:val="21"/>
        </w:rPr>
        <w:t>排名，依次与</w:t>
      </w:r>
      <w:r>
        <w:rPr>
          <w:rFonts w:hint="eastAsia" w:asciiTheme="minorEastAsia" w:hAnsiTheme="minorEastAsia" w:eastAsiaTheme="minorEastAsia"/>
          <w:szCs w:val="22"/>
        </w:rPr>
        <w:t>中标社会资本方</w:t>
      </w:r>
      <w:r>
        <w:rPr>
          <w:rFonts w:hint="eastAsia" w:asciiTheme="minorEastAsia" w:hAnsiTheme="minorEastAsia" w:eastAsiaTheme="minorEastAsia"/>
          <w:szCs w:val="21"/>
        </w:rPr>
        <w:t>就</w:t>
      </w:r>
      <w:r>
        <w:rPr>
          <w:rFonts w:asciiTheme="minorEastAsia" w:hAnsiTheme="minorEastAsia" w:eastAsiaTheme="minorEastAsia"/>
          <w:szCs w:val="21"/>
        </w:rPr>
        <w:t>PPP</w:t>
      </w:r>
      <w:r>
        <w:rPr>
          <w:rFonts w:hint="eastAsia" w:asciiTheme="minorEastAsia" w:hAnsiTheme="minorEastAsia" w:eastAsiaTheme="minorEastAsia"/>
          <w:szCs w:val="21"/>
        </w:rPr>
        <w:t>项目合同中可变的细节问题进行</w:t>
      </w:r>
      <w:r>
        <w:rPr>
          <w:rFonts w:asciiTheme="minorEastAsia" w:hAnsiTheme="minorEastAsia" w:eastAsiaTheme="minorEastAsia"/>
          <w:szCs w:val="21"/>
        </w:rPr>
        <w:t>PPP</w:t>
      </w:r>
      <w:r>
        <w:rPr>
          <w:rFonts w:hint="eastAsia" w:asciiTheme="minorEastAsia" w:hAnsiTheme="minorEastAsia" w:eastAsiaTheme="minorEastAsia"/>
          <w:szCs w:val="21"/>
        </w:rPr>
        <w:t>项目合同签署前的确认谈判，率先达成一致的中标候选供应商即为中标供应商。贵港市产业园区管理委员会应当在</w:t>
      </w:r>
      <w:r>
        <w:rPr>
          <w:rFonts w:hint="eastAsia" w:asciiTheme="minorEastAsia" w:hAnsiTheme="minorEastAsia" w:eastAsiaTheme="minorEastAsia"/>
          <w:szCs w:val="22"/>
        </w:rPr>
        <w:t>中标社会资本方</w:t>
      </w:r>
      <w:r>
        <w:rPr>
          <w:rFonts w:hint="eastAsia" w:asciiTheme="minorEastAsia" w:hAnsiTheme="minorEastAsia" w:eastAsiaTheme="minorEastAsia"/>
          <w:szCs w:val="21"/>
        </w:rPr>
        <w:t>确定后</w:t>
      </w:r>
      <w:r>
        <w:rPr>
          <w:rFonts w:asciiTheme="minorEastAsia" w:hAnsiTheme="minorEastAsia" w:eastAsiaTheme="minorEastAsia"/>
          <w:szCs w:val="21"/>
        </w:rPr>
        <w:t>10</w:t>
      </w:r>
      <w:r>
        <w:rPr>
          <w:rFonts w:hint="eastAsia" w:asciiTheme="minorEastAsia" w:hAnsiTheme="minorEastAsia" w:eastAsiaTheme="minorEastAsia"/>
          <w:szCs w:val="21"/>
        </w:rPr>
        <w:t>个工作日内，与</w:t>
      </w:r>
      <w:r>
        <w:rPr>
          <w:rFonts w:hint="eastAsia" w:asciiTheme="minorEastAsia" w:hAnsiTheme="minorEastAsia" w:eastAsiaTheme="minorEastAsia"/>
          <w:szCs w:val="22"/>
        </w:rPr>
        <w:t>中标社会资本方</w:t>
      </w:r>
      <w:r>
        <w:rPr>
          <w:rFonts w:hint="eastAsia" w:asciiTheme="minorEastAsia" w:hAnsiTheme="minorEastAsia" w:eastAsiaTheme="minorEastAsia"/>
          <w:szCs w:val="21"/>
        </w:rPr>
        <w:t>签署确认谈判备忘录，并将预中标结果和根据采购文件、投标文件及有关补遗文件和确认谈判备忘录拟定的</w:t>
      </w:r>
      <w:r>
        <w:rPr>
          <w:rFonts w:asciiTheme="minorEastAsia" w:hAnsiTheme="minorEastAsia" w:eastAsiaTheme="minorEastAsia"/>
          <w:szCs w:val="21"/>
        </w:rPr>
        <w:t>PPP</w:t>
      </w:r>
      <w:r>
        <w:rPr>
          <w:rFonts w:hint="eastAsia" w:asciiTheme="minorEastAsia" w:hAnsiTheme="minorEastAsia" w:eastAsiaTheme="minorEastAsia"/>
          <w:szCs w:val="21"/>
        </w:rPr>
        <w:t>项目合同文本在本章第</w:t>
      </w:r>
      <w:r>
        <w:rPr>
          <w:rFonts w:asciiTheme="minorEastAsia" w:hAnsiTheme="minorEastAsia" w:eastAsiaTheme="minorEastAsia"/>
          <w:szCs w:val="21"/>
        </w:rPr>
        <w:t>2</w:t>
      </w:r>
      <w:r>
        <w:rPr>
          <w:rFonts w:hint="eastAsia" w:asciiTheme="minorEastAsia" w:hAnsiTheme="minorEastAsia" w:eastAsiaTheme="minorEastAsia"/>
          <w:szCs w:val="21"/>
        </w:rPr>
        <w:t>项规定的政府采购信息发布媒体上进行公示，公示期为</w:t>
      </w:r>
      <w:r>
        <w:rPr>
          <w:rFonts w:asciiTheme="minorEastAsia" w:hAnsiTheme="minorEastAsia" w:eastAsiaTheme="minorEastAsia"/>
          <w:szCs w:val="21"/>
        </w:rPr>
        <w:t>5</w:t>
      </w:r>
      <w:r>
        <w:rPr>
          <w:rFonts w:hint="eastAsia" w:asciiTheme="minorEastAsia" w:hAnsiTheme="minorEastAsia" w:eastAsiaTheme="minorEastAsia"/>
          <w:szCs w:val="21"/>
        </w:rPr>
        <w:t>个工作日。贵港市产业园区管理委员会应当在公示期满无异议后</w:t>
      </w:r>
      <w:r>
        <w:rPr>
          <w:rFonts w:asciiTheme="minorEastAsia" w:hAnsiTheme="minorEastAsia" w:eastAsiaTheme="minorEastAsia"/>
          <w:szCs w:val="21"/>
        </w:rPr>
        <w:t>2</w:t>
      </w:r>
      <w:r>
        <w:rPr>
          <w:rFonts w:hint="eastAsia" w:asciiTheme="minorEastAsia" w:hAnsiTheme="minorEastAsia" w:eastAsiaTheme="minorEastAsia"/>
          <w:szCs w:val="21"/>
        </w:rPr>
        <w:t>个工作日内，将中标结果在本章第</w:t>
      </w:r>
      <w:r>
        <w:rPr>
          <w:rFonts w:asciiTheme="minorEastAsia" w:hAnsiTheme="minorEastAsia" w:eastAsiaTheme="minorEastAsia"/>
          <w:szCs w:val="21"/>
        </w:rPr>
        <w:t>2</w:t>
      </w:r>
      <w:r>
        <w:rPr>
          <w:rFonts w:hint="eastAsia" w:asciiTheme="minorEastAsia" w:hAnsiTheme="minorEastAsia" w:eastAsiaTheme="minorEastAsia"/>
          <w:szCs w:val="21"/>
        </w:rPr>
        <w:t>项规定的政府采购信息发布媒体上进行公告，同时发出中标通知书。</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23.2  </w:t>
      </w:r>
      <w:r>
        <w:rPr>
          <w:rFonts w:hint="eastAsia" w:asciiTheme="minorEastAsia" w:hAnsiTheme="minorEastAsia" w:eastAsiaTheme="minorEastAsia"/>
          <w:szCs w:val="21"/>
        </w:rPr>
        <w:t>中标通知书对采购人和</w:t>
      </w:r>
      <w:r>
        <w:rPr>
          <w:rFonts w:hint="eastAsia" w:asciiTheme="minorEastAsia" w:hAnsiTheme="minorEastAsia" w:eastAsiaTheme="minorEastAsia"/>
          <w:szCs w:val="22"/>
        </w:rPr>
        <w:t>中标社会资本方</w:t>
      </w:r>
      <w:r>
        <w:rPr>
          <w:rFonts w:hint="eastAsia" w:asciiTheme="minorEastAsia" w:hAnsiTheme="minorEastAsia" w:eastAsiaTheme="minorEastAsia"/>
          <w:szCs w:val="21"/>
        </w:rPr>
        <w:t>具有同等法律效力。中标通知书发出后，采购人改变中标结果，或者中标供应商放弃中标，应当承担相应的法律责任。</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 xml:space="preserve">24.  </w:t>
      </w:r>
      <w:r>
        <w:rPr>
          <w:rFonts w:hint="eastAsia" w:asciiTheme="minorEastAsia" w:hAnsiTheme="minorEastAsia" w:eastAsiaTheme="minorEastAsia"/>
          <w:b/>
          <w:bCs/>
          <w:szCs w:val="21"/>
        </w:rPr>
        <w:t>投标文件的退回</w:t>
      </w:r>
    </w:p>
    <w:p>
      <w:pPr>
        <w:pStyle w:val="28"/>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24.1  </w:t>
      </w:r>
      <w:r>
        <w:rPr>
          <w:rFonts w:hint="eastAsia" w:asciiTheme="minorEastAsia" w:hAnsiTheme="minorEastAsia" w:eastAsiaTheme="minorEastAsia"/>
          <w:szCs w:val="21"/>
        </w:rPr>
        <w:t>采购人及采购代理机构无义务向未中标供应商解释其未中标原因和退回投标文件。</w:t>
      </w:r>
    </w:p>
    <w:p>
      <w:pPr>
        <w:pStyle w:val="28"/>
        <w:tabs>
          <w:tab w:val="left" w:pos="630"/>
        </w:tabs>
        <w:spacing w:line="500" w:lineRule="exact"/>
        <w:rPr>
          <w:rFonts w:asciiTheme="minorEastAsia" w:hAnsiTheme="minorEastAsia" w:eastAsiaTheme="minorEastAsia"/>
          <w:b/>
          <w:bCs/>
          <w:szCs w:val="21"/>
        </w:rPr>
      </w:pPr>
      <w:r>
        <w:rPr>
          <w:rFonts w:asciiTheme="minorEastAsia" w:hAnsiTheme="minorEastAsia" w:eastAsiaTheme="minorEastAsia"/>
          <w:b/>
          <w:bCs/>
          <w:szCs w:val="21"/>
        </w:rPr>
        <w:t xml:space="preserve">25.  </w:t>
      </w:r>
      <w:r>
        <w:rPr>
          <w:rFonts w:hint="eastAsia" w:asciiTheme="minorEastAsia" w:hAnsiTheme="minorEastAsia" w:eastAsiaTheme="minorEastAsia"/>
          <w:b/>
          <w:bCs/>
          <w:szCs w:val="21"/>
        </w:rPr>
        <w:t>签订《</w:t>
      </w:r>
      <w:r>
        <w:rPr>
          <w:rFonts w:asciiTheme="minorEastAsia" w:hAnsiTheme="minorEastAsia" w:eastAsiaTheme="minorEastAsia"/>
          <w:b/>
          <w:bCs/>
          <w:szCs w:val="21"/>
        </w:rPr>
        <w:t>PPP</w:t>
      </w:r>
      <w:r>
        <w:rPr>
          <w:rFonts w:hint="eastAsia" w:asciiTheme="minorEastAsia" w:hAnsiTheme="minorEastAsia" w:eastAsiaTheme="minorEastAsia"/>
          <w:b/>
          <w:bCs/>
          <w:szCs w:val="21"/>
        </w:rPr>
        <w:t>项目合同》</w:t>
      </w:r>
    </w:p>
    <w:p>
      <w:pPr>
        <w:pStyle w:val="49"/>
        <w:spacing w:before="0" w:beforeAutospacing="0" w:after="0" w:afterAutospacing="0" w:line="50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25.1  </w:t>
      </w:r>
      <w:r>
        <w:rPr>
          <w:rFonts w:hint="eastAsia" w:asciiTheme="minorEastAsia" w:hAnsiTheme="minorEastAsia" w:eastAsiaTheme="minorEastAsia"/>
          <w:sz w:val="21"/>
          <w:szCs w:val="21"/>
        </w:rPr>
        <w:t>采购人和中标社会资本方收到中标通知书发出后20日内，实施机构与社会资本签订投资合作协议，约定由广西贵港市工业投资发展集团有限公司与中标社会资本方在签订投资合作协议之日起30日内成立项目公司，并约定项目公司的双方出资额、项目融资、违约责任、违约补偿金等相关事宜。</w:t>
      </w:r>
    </w:p>
    <w:p>
      <w:pPr>
        <w:pStyle w:val="49"/>
        <w:spacing w:before="0" w:beforeAutospacing="0" w:after="0" w:afterAutospacing="0" w:line="50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sz w:val="21"/>
          <w:szCs w:val="21"/>
        </w:rPr>
        <w:t>项目公司成立30个工作日内，由贵港市产业园区管理委员会、项目公司、广西贵港市工业投资发展集团有限公司、中标社会资本方四方签署经本级人民政府审核同意的《</w:t>
      </w:r>
      <w:r>
        <w:rPr>
          <w:rFonts w:asciiTheme="minorEastAsia" w:hAnsiTheme="minorEastAsia" w:eastAsiaTheme="minorEastAsia"/>
          <w:sz w:val="21"/>
          <w:szCs w:val="21"/>
        </w:rPr>
        <w:t>PPP</w:t>
      </w:r>
      <w:r>
        <w:rPr>
          <w:rFonts w:hint="eastAsia" w:asciiTheme="minorEastAsia" w:hAnsiTheme="minorEastAsia" w:eastAsiaTheme="minorEastAsia"/>
          <w:sz w:val="21"/>
          <w:szCs w:val="21"/>
        </w:rPr>
        <w:t>项目合同》。包括各方权利和义务、合同期限、项目融资、项目建设、项目运营维护、付费机制、项目移交、违约责任等内容，在各方之间合理分配项目风险，明确各方权利义务关系，保障各方能够依据合同约定合理主张权利，妥善履行义务，确保项目全生命周期内的顺利实施。</w:t>
      </w:r>
    </w:p>
    <w:p>
      <w:pPr>
        <w:pStyle w:val="28"/>
        <w:spacing w:line="50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 xml:space="preserve">25.2  </w:t>
      </w:r>
      <w:r>
        <w:rPr>
          <w:rFonts w:hint="eastAsia" w:asciiTheme="minorEastAsia" w:hAnsiTheme="minorEastAsia" w:eastAsiaTheme="minorEastAsia"/>
          <w:kern w:val="0"/>
          <w:szCs w:val="21"/>
        </w:rPr>
        <w:t>《</w:t>
      </w:r>
      <w:r>
        <w:rPr>
          <w:rFonts w:asciiTheme="minorEastAsia" w:hAnsiTheme="minorEastAsia" w:eastAsiaTheme="minorEastAsia"/>
          <w:kern w:val="0"/>
          <w:szCs w:val="21"/>
        </w:rPr>
        <w:t>PPP</w:t>
      </w:r>
      <w:r>
        <w:rPr>
          <w:rFonts w:hint="eastAsia" w:asciiTheme="minorEastAsia" w:hAnsiTheme="minorEastAsia" w:eastAsiaTheme="minorEastAsia"/>
          <w:kern w:val="0"/>
          <w:szCs w:val="21"/>
        </w:rPr>
        <w:t>项目合同》签订应当采用《</w:t>
      </w:r>
      <w:r>
        <w:rPr>
          <w:rFonts w:asciiTheme="minorEastAsia" w:hAnsiTheme="minorEastAsia" w:eastAsiaTheme="minorEastAsia"/>
          <w:kern w:val="0"/>
          <w:szCs w:val="21"/>
        </w:rPr>
        <w:t>PPP</w:t>
      </w:r>
      <w:r>
        <w:rPr>
          <w:rFonts w:hint="eastAsia" w:asciiTheme="minorEastAsia" w:hAnsiTheme="minorEastAsia" w:eastAsiaTheme="minorEastAsia"/>
          <w:kern w:val="0"/>
          <w:szCs w:val="21"/>
        </w:rPr>
        <w:t>项目合同》格式文本，《</w:t>
      </w:r>
      <w:r>
        <w:rPr>
          <w:rFonts w:asciiTheme="minorEastAsia" w:hAnsiTheme="minorEastAsia" w:eastAsiaTheme="minorEastAsia"/>
          <w:kern w:val="0"/>
          <w:szCs w:val="21"/>
        </w:rPr>
        <w:t>PPP</w:t>
      </w:r>
      <w:r>
        <w:rPr>
          <w:rFonts w:hint="eastAsia" w:asciiTheme="minorEastAsia" w:hAnsiTheme="minorEastAsia" w:eastAsiaTheme="minorEastAsia"/>
          <w:kern w:val="0"/>
          <w:szCs w:val="21"/>
        </w:rPr>
        <w:t>项目合同》应内容完整、盖章齐全；项目《</w:t>
      </w:r>
      <w:r>
        <w:rPr>
          <w:rFonts w:asciiTheme="minorEastAsia" w:hAnsiTheme="minorEastAsia" w:eastAsiaTheme="minorEastAsia"/>
          <w:kern w:val="0"/>
          <w:szCs w:val="21"/>
        </w:rPr>
        <w:t>PPP</w:t>
      </w:r>
      <w:r>
        <w:rPr>
          <w:rFonts w:hint="eastAsia" w:asciiTheme="minorEastAsia" w:hAnsiTheme="minorEastAsia" w:eastAsiaTheme="minorEastAsia"/>
          <w:kern w:val="0"/>
          <w:szCs w:val="21"/>
        </w:rPr>
        <w:t>项目合同》的各要素和内容应与采购文件、中标社会资本方的承诺、中标通知书等的内容一致；《</w:t>
      </w:r>
      <w:r>
        <w:rPr>
          <w:rFonts w:asciiTheme="minorEastAsia" w:hAnsiTheme="minorEastAsia" w:eastAsiaTheme="minorEastAsia"/>
          <w:kern w:val="0"/>
          <w:szCs w:val="21"/>
        </w:rPr>
        <w:t>PPP</w:t>
      </w:r>
      <w:r>
        <w:rPr>
          <w:rFonts w:hint="eastAsia" w:asciiTheme="minorEastAsia" w:hAnsiTheme="minorEastAsia" w:eastAsiaTheme="minorEastAsia"/>
          <w:kern w:val="0"/>
          <w:szCs w:val="21"/>
        </w:rPr>
        <w:t>项目合同》附件齐全；多页《</w:t>
      </w:r>
      <w:r>
        <w:rPr>
          <w:rFonts w:asciiTheme="minorEastAsia" w:hAnsiTheme="minorEastAsia" w:eastAsiaTheme="minorEastAsia"/>
          <w:kern w:val="0"/>
          <w:szCs w:val="21"/>
        </w:rPr>
        <w:t>PPP</w:t>
      </w:r>
      <w:r>
        <w:rPr>
          <w:rFonts w:hint="eastAsia" w:asciiTheme="minorEastAsia" w:hAnsiTheme="minorEastAsia" w:eastAsiaTheme="minorEastAsia"/>
          <w:kern w:val="0"/>
          <w:szCs w:val="21"/>
        </w:rPr>
        <w:t>项目合同》每页应顺序标出页码并盖骑缝章。</w:t>
      </w:r>
    </w:p>
    <w:p>
      <w:pPr>
        <w:pStyle w:val="28"/>
        <w:spacing w:line="500" w:lineRule="exact"/>
        <w:ind w:firstLine="360"/>
        <w:rPr>
          <w:rFonts w:asciiTheme="minorEastAsia" w:hAnsiTheme="minorEastAsia" w:eastAsiaTheme="minorEastAsia"/>
          <w:kern w:val="0"/>
          <w:szCs w:val="21"/>
        </w:rPr>
      </w:pPr>
      <w:r>
        <w:rPr>
          <w:rFonts w:asciiTheme="minorEastAsia" w:hAnsiTheme="minorEastAsia" w:eastAsiaTheme="minorEastAsia"/>
          <w:kern w:val="0"/>
          <w:szCs w:val="21"/>
        </w:rPr>
        <w:t xml:space="preserve">25.3  </w:t>
      </w:r>
      <w:r>
        <w:rPr>
          <w:rFonts w:hint="eastAsia" w:asciiTheme="minorEastAsia" w:hAnsiTheme="minorEastAsia" w:eastAsiaTheme="minorEastAsia"/>
          <w:kern w:val="0"/>
          <w:szCs w:val="21"/>
        </w:rPr>
        <w:t>《</w:t>
      </w:r>
      <w:r>
        <w:rPr>
          <w:rFonts w:asciiTheme="minorEastAsia" w:hAnsiTheme="minorEastAsia" w:eastAsiaTheme="minorEastAsia"/>
          <w:kern w:val="0"/>
          <w:szCs w:val="21"/>
        </w:rPr>
        <w:t>PPP</w:t>
      </w:r>
      <w:r>
        <w:rPr>
          <w:rFonts w:hint="eastAsia" w:asciiTheme="minorEastAsia" w:hAnsiTheme="minorEastAsia" w:eastAsiaTheme="minorEastAsia"/>
          <w:kern w:val="0"/>
          <w:szCs w:val="21"/>
        </w:rPr>
        <w:t>项目合同》（正本、副本）自签订之日起2个工作日内，将副本原件送贵港市财政局备案。</w:t>
      </w:r>
    </w:p>
    <w:p>
      <w:pPr>
        <w:pStyle w:val="28"/>
        <w:spacing w:line="500" w:lineRule="exact"/>
        <w:ind w:firstLine="360"/>
        <w:rPr>
          <w:rFonts w:asciiTheme="minorEastAsia" w:hAnsiTheme="minorEastAsia" w:eastAsiaTheme="minorEastAsia"/>
          <w:szCs w:val="21"/>
        </w:rPr>
      </w:pPr>
      <w:r>
        <w:rPr>
          <w:rFonts w:asciiTheme="minorEastAsia" w:hAnsiTheme="minorEastAsia" w:eastAsiaTheme="minorEastAsia"/>
          <w:szCs w:val="21"/>
        </w:rPr>
        <w:t xml:space="preserve">25.4  </w:t>
      </w:r>
      <w:r>
        <w:rPr>
          <w:rFonts w:hint="eastAsia" w:asciiTheme="minorEastAsia" w:hAnsiTheme="minorEastAsia" w:eastAsiaTheme="minorEastAsia"/>
          <w:szCs w:val="21"/>
        </w:rPr>
        <w:t>中标通知书发出后，中标人有本章第</w:t>
      </w:r>
      <w:r>
        <w:rPr>
          <w:rFonts w:asciiTheme="minorEastAsia" w:hAnsiTheme="minorEastAsia" w:eastAsiaTheme="minorEastAsia"/>
          <w:szCs w:val="21"/>
        </w:rPr>
        <w:t>13.5</w:t>
      </w:r>
      <w:r>
        <w:rPr>
          <w:rFonts w:hint="eastAsia" w:asciiTheme="minorEastAsia" w:hAnsiTheme="minorEastAsia" w:eastAsiaTheme="minorEastAsia"/>
          <w:szCs w:val="21"/>
        </w:rPr>
        <w:t>项中所列情形之一的，中标无效，不予退还其交纳的投标保函，采购人可追究中标人承担相应的法律责任。</w:t>
      </w:r>
    </w:p>
    <w:p>
      <w:pPr>
        <w:pStyle w:val="28"/>
        <w:spacing w:line="500" w:lineRule="exact"/>
        <w:ind w:firstLine="360"/>
        <w:rPr>
          <w:rFonts w:asciiTheme="minorEastAsia" w:hAnsiTheme="minorEastAsia" w:eastAsiaTheme="minorEastAsia"/>
          <w:szCs w:val="21"/>
        </w:rPr>
      </w:pPr>
      <w:r>
        <w:rPr>
          <w:rFonts w:hint="eastAsia" w:asciiTheme="minorEastAsia" w:hAnsiTheme="minorEastAsia" w:eastAsiaTheme="minorEastAsia"/>
          <w:szCs w:val="21"/>
        </w:rPr>
        <w:t>如采购人无正当理由拒绝签署《</w:t>
      </w:r>
      <w:r>
        <w:rPr>
          <w:rFonts w:asciiTheme="minorEastAsia" w:hAnsiTheme="minorEastAsia" w:eastAsiaTheme="minorEastAsia"/>
          <w:szCs w:val="21"/>
        </w:rPr>
        <w:t>PPP</w:t>
      </w:r>
      <w:r>
        <w:rPr>
          <w:rFonts w:hint="eastAsia" w:asciiTheme="minorEastAsia" w:hAnsiTheme="minorEastAsia" w:eastAsiaTheme="minorEastAsia"/>
          <w:szCs w:val="21"/>
        </w:rPr>
        <w:t>项目合同》的，退还中标人的投标保函；采购人给中标人造成损失的，中标人可追究采购人承担相应的法律责任。</w:t>
      </w:r>
    </w:p>
    <w:p>
      <w:pPr>
        <w:pStyle w:val="28"/>
        <w:spacing w:line="500" w:lineRule="exact"/>
        <w:ind w:firstLine="360"/>
        <w:rPr>
          <w:rFonts w:asciiTheme="minorEastAsia" w:hAnsiTheme="minorEastAsia" w:eastAsiaTheme="minorEastAsia"/>
          <w:szCs w:val="21"/>
        </w:rPr>
      </w:pPr>
      <w:r>
        <w:rPr>
          <w:rFonts w:asciiTheme="minorEastAsia" w:hAnsiTheme="minorEastAsia" w:eastAsiaTheme="minorEastAsia"/>
          <w:szCs w:val="21"/>
        </w:rPr>
        <w:t xml:space="preserve">25.5  </w:t>
      </w:r>
      <w:r>
        <w:rPr>
          <w:rFonts w:hint="eastAsia" w:asciiTheme="minorEastAsia" w:hAnsiTheme="minorEastAsia" w:eastAsiaTheme="minorEastAsia"/>
          <w:szCs w:val="21"/>
        </w:rPr>
        <w:t>采购人在签订《</w:t>
      </w:r>
      <w:r>
        <w:rPr>
          <w:rFonts w:asciiTheme="minorEastAsia" w:hAnsiTheme="minorEastAsia" w:eastAsiaTheme="minorEastAsia"/>
          <w:szCs w:val="21"/>
        </w:rPr>
        <w:t>PPP</w:t>
      </w:r>
      <w:r>
        <w:rPr>
          <w:rFonts w:hint="eastAsia" w:asciiTheme="minorEastAsia" w:hAnsiTheme="minorEastAsia" w:eastAsiaTheme="minorEastAsia"/>
          <w:szCs w:val="21"/>
        </w:rPr>
        <w:t>项目合同》之前有权要求中标人提供本项目必需的相关资料原件进行核查，中标人不得拒绝。如中标人拒绝提供，则自行承担由此产生的后果。</w:t>
      </w:r>
    </w:p>
    <w:p>
      <w:pPr>
        <w:pStyle w:val="28"/>
        <w:spacing w:line="500" w:lineRule="exact"/>
        <w:ind w:firstLine="360"/>
        <w:rPr>
          <w:rFonts w:asciiTheme="minorEastAsia" w:hAnsiTheme="minorEastAsia" w:eastAsiaTheme="minorEastAsia"/>
          <w:szCs w:val="21"/>
        </w:rPr>
      </w:pPr>
      <w:r>
        <w:rPr>
          <w:rFonts w:asciiTheme="minorEastAsia" w:hAnsiTheme="minorEastAsia" w:eastAsiaTheme="minorEastAsia"/>
          <w:szCs w:val="21"/>
        </w:rPr>
        <w:t xml:space="preserve">25.6  </w:t>
      </w:r>
      <w:r>
        <w:rPr>
          <w:rFonts w:hint="eastAsia" w:asciiTheme="minorEastAsia" w:hAnsiTheme="minorEastAsia" w:eastAsiaTheme="minorEastAsia"/>
          <w:szCs w:val="21"/>
        </w:rPr>
        <w:t>中标人因不可抗力或者自身原因不能履行《</w:t>
      </w:r>
      <w:r>
        <w:rPr>
          <w:rFonts w:asciiTheme="minorEastAsia" w:hAnsiTheme="minorEastAsia" w:eastAsiaTheme="minorEastAsia"/>
          <w:szCs w:val="21"/>
        </w:rPr>
        <w:t>PPP</w:t>
      </w:r>
      <w:r>
        <w:rPr>
          <w:rFonts w:hint="eastAsia" w:asciiTheme="minorEastAsia" w:hAnsiTheme="minorEastAsia" w:eastAsiaTheme="minorEastAsia"/>
          <w:szCs w:val="21"/>
        </w:rPr>
        <w:t>项目合同》的，如仍在投标有效期内，招标代理机构和采购人应及时报贵港市政府采购监督管理部门，经同意后，可以与排位在中标人之后第一位的中标候选投标人签订《</w:t>
      </w:r>
      <w:r>
        <w:rPr>
          <w:rFonts w:asciiTheme="minorEastAsia" w:hAnsiTheme="minorEastAsia" w:eastAsiaTheme="minorEastAsia"/>
          <w:szCs w:val="21"/>
        </w:rPr>
        <w:t>PPP</w:t>
      </w:r>
      <w:r>
        <w:rPr>
          <w:rFonts w:hint="eastAsia" w:asciiTheme="minorEastAsia" w:hAnsiTheme="minorEastAsia" w:eastAsiaTheme="minorEastAsia"/>
          <w:szCs w:val="21"/>
        </w:rPr>
        <w:t>项目合同》，以此类推。</w:t>
      </w:r>
    </w:p>
    <w:p>
      <w:pPr>
        <w:pStyle w:val="28"/>
        <w:spacing w:line="500" w:lineRule="exact"/>
        <w:ind w:firstLine="360"/>
        <w:rPr>
          <w:rFonts w:asciiTheme="minorEastAsia" w:hAnsiTheme="minorEastAsia" w:eastAsiaTheme="minorEastAsia"/>
          <w:szCs w:val="21"/>
        </w:rPr>
      </w:pPr>
      <w:r>
        <w:rPr>
          <w:rFonts w:asciiTheme="minorEastAsia" w:hAnsiTheme="minorEastAsia" w:eastAsiaTheme="minorEastAsia"/>
          <w:szCs w:val="21"/>
        </w:rPr>
        <w:t>25.7</w:t>
      </w:r>
      <w:r>
        <w:rPr>
          <w:rFonts w:hint="eastAsia" w:asciiTheme="minorEastAsia" w:hAnsiTheme="minorEastAsia" w:eastAsiaTheme="minorEastAsia"/>
          <w:szCs w:val="21"/>
        </w:rPr>
        <w:t>采购人或中标人不得单方面向《</w:t>
      </w:r>
      <w:r>
        <w:rPr>
          <w:rFonts w:asciiTheme="minorEastAsia" w:hAnsiTheme="minorEastAsia" w:eastAsiaTheme="minorEastAsia"/>
          <w:szCs w:val="21"/>
        </w:rPr>
        <w:t>PPP</w:t>
      </w:r>
      <w:r>
        <w:rPr>
          <w:rFonts w:hint="eastAsia" w:asciiTheme="minorEastAsia" w:hAnsiTheme="minorEastAsia" w:eastAsiaTheme="minorEastAsia"/>
          <w:szCs w:val="21"/>
        </w:rPr>
        <w:t>项目合同》另一方提出任何采购文件没有约定的条件或不合理的要求，作为签订《</w:t>
      </w:r>
      <w:r>
        <w:rPr>
          <w:rFonts w:asciiTheme="minorEastAsia" w:hAnsiTheme="minorEastAsia" w:eastAsiaTheme="minorEastAsia"/>
          <w:szCs w:val="21"/>
        </w:rPr>
        <w:t>PPP</w:t>
      </w:r>
      <w:r>
        <w:rPr>
          <w:rFonts w:hint="eastAsia" w:asciiTheme="minorEastAsia" w:hAnsiTheme="minorEastAsia" w:eastAsiaTheme="minorEastAsia"/>
          <w:szCs w:val="21"/>
        </w:rPr>
        <w:t>项目合同》的条件，也不得协商另行订立背离采购文件和《</w:t>
      </w:r>
      <w:r>
        <w:rPr>
          <w:rFonts w:asciiTheme="minorEastAsia" w:hAnsiTheme="minorEastAsia" w:eastAsiaTheme="minorEastAsia"/>
          <w:szCs w:val="21"/>
        </w:rPr>
        <w:t>PPP</w:t>
      </w:r>
      <w:r>
        <w:rPr>
          <w:rFonts w:hint="eastAsia" w:asciiTheme="minorEastAsia" w:hAnsiTheme="minorEastAsia" w:eastAsiaTheme="minorEastAsia"/>
          <w:szCs w:val="21"/>
        </w:rPr>
        <w:t>项目合同》实质性内容的协议。</w:t>
      </w:r>
    </w:p>
    <w:p>
      <w:pPr>
        <w:pStyle w:val="28"/>
        <w:spacing w:line="500" w:lineRule="exact"/>
        <w:ind w:firstLine="360"/>
        <w:rPr>
          <w:rFonts w:asciiTheme="minorEastAsia" w:hAnsiTheme="minorEastAsia" w:eastAsiaTheme="minorEastAsia"/>
          <w:szCs w:val="21"/>
        </w:rPr>
      </w:pPr>
      <w:r>
        <w:rPr>
          <w:rFonts w:asciiTheme="minorEastAsia" w:hAnsiTheme="minorEastAsia" w:eastAsiaTheme="minorEastAsia"/>
          <w:szCs w:val="21"/>
        </w:rPr>
        <w:t>25.8</w:t>
      </w:r>
      <w:r>
        <w:rPr>
          <w:rFonts w:hint="eastAsia" w:asciiTheme="minorEastAsia" w:hAnsiTheme="minorEastAsia" w:eastAsiaTheme="minorEastAsia"/>
          <w:szCs w:val="21"/>
        </w:rPr>
        <w:t>中标人和采购人应当按照《</w:t>
      </w:r>
      <w:r>
        <w:rPr>
          <w:rFonts w:asciiTheme="minorEastAsia" w:hAnsiTheme="minorEastAsia" w:eastAsiaTheme="minorEastAsia"/>
          <w:szCs w:val="21"/>
        </w:rPr>
        <w:t>PPP</w:t>
      </w:r>
      <w:r>
        <w:rPr>
          <w:rFonts w:hint="eastAsia" w:asciiTheme="minorEastAsia" w:hAnsiTheme="minorEastAsia" w:eastAsiaTheme="minorEastAsia"/>
          <w:szCs w:val="21"/>
        </w:rPr>
        <w:t>项目合同》约定的各自的权利和义务全面履行《</w:t>
      </w:r>
      <w:r>
        <w:rPr>
          <w:rFonts w:asciiTheme="minorEastAsia" w:hAnsiTheme="minorEastAsia" w:eastAsiaTheme="minorEastAsia"/>
          <w:szCs w:val="21"/>
        </w:rPr>
        <w:t>PPP</w:t>
      </w:r>
      <w:r>
        <w:rPr>
          <w:rFonts w:hint="eastAsia" w:asciiTheme="minorEastAsia" w:hAnsiTheme="minorEastAsia" w:eastAsiaTheme="minorEastAsia"/>
          <w:szCs w:val="21"/>
        </w:rPr>
        <w:t>项目合同》。任何一方当事人在履行《</w:t>
      </w:r>
      <w:r>
        <w:rPr>
          <w:rFonts w:asciiTheme="minorEastAsia" w:hAnsiTheme="minorEastAsia" w:eastAsiaTheme="minorEastAsia"/>
          <w:szCs w:val="21"/>
        </w:rPr>
        <w:t>PPP</w:t>
      </w:r>
      <w:r>
        <w:rPr>
          <w:rFonts w:hint="eastAsia" w:asciiTheme="minorEastAsia" w:hAnsiTheme="minorEastAsia" w:eastAsiaTheme="minorEastAsia"/>
          <w:szCs w:val="21"/>
        </w:rPr>
        <w:t>项目合同》过程中均不得擅自变更、中止或终止《</w:t>
      </w:r>
      <w:r>
        <w:rPr>
          <w:rFonts w:asciiTheme="minorEastAsia" w:hAnsiTheme="minorEastAsia" w:eastAsiaTheme="minorEastAsia"/>
          <w:szCs w:val="21"/>
        </w:rPr>
        <w:t>PPP</w:t>
      </w:r>
      <w:r>
        <w:rPr>
          <w:rFonts w:hint="eastAsia" w:asciiTheme="minorEastAsia" w:hAnsiTheme="minorEastAsia" w:eastAsiaTheme="minorEastAsia"/>
          <w:szCs w:val="21"/>
        </w:rPr>
        <w:t>项目合同》。《</w:t>
      </w:r>
      <w:r>
        <w:rPr>
          <w:rFonts w:asciiTheme="minorEastAsia" w:hAnsiTheme="minorEastAsia" w:eastAsiaTheme="minorEastAsia"/>
          <w:szCs w:val="21"/>
        </w:rPr>
        <w:t>PPP</w:t>
      </w:r>
      <w:r>
        <w:rPr>
          <w:rFonts w:hint="eastAsia" w:asciiTheme="minorEastAsia" w:hAnsiTheme="minorEastAsia" w:eastAsiaTheme="minorEastAsia"/>
          <w:szCs w:val="21"/>
        </w:rPr>
        <w:t>项目合同》继续履行将损害国家利益和社会公共利益的，双方当事人应当变更、中止或终止《</w:t>
      </w:r>
      <w:r>
        <w:rPr>
          <w:rFonts w:asciiTheme="minorEastAsia" w:hAnsiTheme="minorEastAsia" w:eastAsiaTheme="minorEastAsia"/>
          <w:szCs w:val="21"/>
        </w:rPr>
        <w:t>PPP</w:t>
      </w:r>
      <w:r>
        <w:rPr>
          <w:rFonts w:hint="eastAsia" w:asciiTheme="minorEastAsia" w:hAnsiTheme="minorEastAsia" w:eastAsiaTheme="minorEastAsia"/>
          <w:szCs w:val="21"/>
        </w:rPr>
        <w:t>项目合同》。有过错的一方应当承担赔偿责任，双方都有过错的，各自承担相应的责任。</w:t>
      </w:r>
    </w:p>
    <w:p>
      <w:pPr>
        <w:pStyle w:val="28"/>
        <w:spacing w:line="500" w:lineRule="exact"/>
        <w:ind w:firstLine="360"/>
        <w:rPr>
          <w:rFonts w:asciiTheme="minorEastAsia" w:hAnsiTheme="minorEastAsia" w:eastAsiaTheme="minorEastAsia"/>
          <w:szCs w:val="21"/>
        </w:rPr>
      </w:pPr>
      <w:r>
        <w:rPr>
          <w:rFonts w:asciiTheme="minorEastAsia" w:hAnsiTheme="minorEastAsia" w:eastAsiaTheme="minorEastAsia"/>
          <w:szCs w:val="21"/>
        </w:rPr>
        <w:t>25.9</w:t>
      </w:r>
      <w:r>
        <w:rPr>
          <w:rFonts w:hint="eastAsia" w:asciiTheme="minorEastAsia" w:hAnsiTheme="minorEastAsia" w:eastAsiaTheme="minorEastAsia"/>
          <w:szCs w:val="21"/>
        </w:rPr>
        <w:t>　采购人或中标人在《</w:t>
      </w:r>
      <w:r>
        <w:rPr>
          <w:rFonts w:asciiTheme="minorEastAsia" w:hAnsiTheme="minorEastAsia" w:eastAsiaTheme="minorEastAsia"/>
          <w:szCs w:val="21"/>
        </w:rPr>
        <w:t>PPP</w:t>
      </w:r>
      <w:r>
        <w:rPr>
          <w:rFonts w:hint="eastAsia" w:asciiTheme="minorEastAsia" w:hAnsiTheme="minorEastAsia" w:eastAsiaTheme="minorEastAsia"/>
          <w:szCs w:val="21"/>
        </w:rPr>
        <w:t>项目合同》履行过程中存在违反《</w:t>
      </w:r>
      <w:r>
        <w:rPr>
          <w:rFonts w:asciiTheme="minorEastAsia" w:hAnsiTheme="minorEastAsia" w:eastAsiaTheme="minorEastAsia"/>
          <w:szCs w:val="21"/>
        </w:rPr>
        <w:t>PPP</w:t>
      </w:r>
      <w:r>
        <w:rPr>
          <w:rFonts w:hint="eastAsia" w:asciiTheme="minorEastAsia" w:hAnsiTheme="minorEastAsia" w:eastAsiaTheme="minorEastAsia"/>
          <w:szCs w:val="21"/>
        </w:rPr>
        <w:t>项目合同》行为的，权益受损当事人应当将有关违约的情况以及拟采取的措施，及时书面报告。</w:t>
      </w:r>
    </w:p>
    <w:p>
      <w:pPr>
        <w:pStyle w:val="28"/>
        <w:spacing w:line="500" w:lineRule="exact"/>
        <w:rPr>
          <w:rFonts w:asciiTheme="minorEastAsia" w:hAnsiTheme="minorEastAsia" w:eastAsiaTheme="minorEastAsia"/>
          <w:b/>
          <w:bCs/>
          <w:szCs w:val="21"/>
        </w:rPr>
      </w:pPr>
      <w:r>
        <w:rPr>
          <w:rFonts w:asciiTheme="minorEastAsia" w:hAnsiTheme="minorEastAsia" w:eastAsiaTheme="minorEastAsia"/>
          <w:b/>
          <w:bCs/>
          <w:szCs w:val="21"/>
        </w:rPr>
        <w:t xml:space="preserve">26.  </w:t>
      </w:r>
      <w:r>
        <w:rPr>
          <w:rFonts w:hint="eastAsia" w:asciiTheme="minorEastAsia" w:hAnsiTheme="minorEastAsia" w:eastAsiaTheme="minorEastAsia"/>
          <w:b/>
          <w:bCs/>
          <w:szCs w:val="21"/>
        </w:rPr>
        <w:t>履约保证</w:t>
      </w:r>
    </w:p>
    <w:p>
      <w:pPr>
        <w:pStyle w:val="28"/>
        <w:spacing w:line="500" w:lineRule="exact"/>
        <w:ind w:firstLine="420" w:firstLineChars="200"/>
        <w:rPr>
          <w:rFonts w:asciiTheme="minorEastAsia" w:hAnsiTheme="minorEastAsia" w:eastAsiaTheme="minorEastAsia"/>
        </w:rPr>
      </w:pPr>
      <w:r>
        <w:rPr>
          <w:rFonts w:hint="eastAsia" w:asciiTheme="minorEastAsia" w:hAnsiTheme="minorEastAsia" w:eastAsiaTheme="minorEastAsia"/>
          <w:szCs w:val="21"/>
        </w:rPr>
        <w:t>详见附件《</w:t>
      </w:r>
      <w:r>
        <w:rPr>
          <w:rFonts w:asciiTheme="minorEastAsia" w:hAnsiTheme="minorEastAsia" w:eastAsiaTheme="minorEastAsia"/>
          <w:szCs w:val="21"/>
        </w:rPr>
        <w:t>PPP</w:t>
      </w:r>
      <w:r>
        <w:rPr>
          <w:rFonts w:hint="eastAsia" w:asciiTheme="minorEastAsia" w:hAnsiTheme="minorEastAsia" w:eastAsiaTheme="minorEastAsia"/>
          <w:szCs w:val="21"/>
        </w:rPr>
        <w:t>项目合同》。</w:t>
      </w:r>
    </w:p>
    <w:p>
      <w:pPr>
        <w:pStyle w:val="28"/>
        <w:spacing w:before="163" w:beforeLines="50" w:after="163" w:afterLines="50" w:line="500" w:lineRule="exact"/>
        <w:jc w:val="center"/>
        <w:outlineLvl w:val="1"/>
        <w:rPr>
          <w:rFonts w:asciiTheme="minorEastAsia" w:hAnsiTheme="minorEastAsia" w:eastAsiaTheme="minorEastAsia"/>
          <w:b/>
          <w:sz w:val="36"/>
          <w:szCs w:val="36"/>
        </w:rPr>
      </w:pPr>
      <w:bookmarkStart w:id="144" w:name="_Toc429727828"/>
      <w:bookmarkStart w:id="145" w:name="_Toc20130"/>
      <w:bookmarkStart w:id="146" w:name="_Toc435106786"/>
      <w:bookmarkStart w:id="147" w:name="_Toc50993398"/>
      <w:bookmarkStart w:id="148" w:name="_Toc462955443"/>
      <w:bookmarkStart w:id="149" w:name="_Toc213326422"/>
      <w:bookmarkStart w:id="150" w:name="_Toc776"/>
      <w:r>
        <w:rPr>
          <w:rFonts w:hint="eastAsia" w:asciiTheme="minorEastAsia" w:hAnsiTheme="minorEastAsia" w:eastAsiaTheme="minorEastAsia"/>
          <w:b/>
          <w:sz w:val="36"/>
          <w:szCs w:val="36"/>
        </w:rPr>
        <w:t>七、其他事项</w:t>
      </w:r>
      <w:bookmarkEnd w:id="144"/>
      <w:bookmarkEnd w:id="145"/>
      <w:bookmarkEnd w:id="146"/>
      <w:bookmarkEnd w:id="147"/>
      <w:bookmarkEnd w:id="148"/>
      <w:bookmarkEnd w:id="149"/>
      <w:bookmarkEnd w:id="150"/>
    </w:p>
    <w:p>
      <w:pPr>
        <w:pStyle w:val="28"/>
        <w:spacing w:before="163" w:beforeLines="50" w:after="163" w:afterLines="50" w:line="500" w:lineRule="exact"/>
        <w:rPr>
          <w:rFonts w:asciiTheme="minorEastAsia" w:hAnsiTheme="minorEastAsia" w:eastAsiaTheme="minorEastAsia"/>
          <w:b/>
          <w:bCs/>
          <w:szCs w:val="21"/>
        </w:rPr>
      </w:pPr>
      <w:r>
        <w:rPr>
          <w:rFonts w:asciiTheme="minorEastAsia" w:hAnsiTheme="minorEastAsia" w:eastAsiaTheme="minorEastAsia"/>
          <w:b/>
          <w:bCs/>
          <w:szCs w:val="21"/>
        </w:rPr>
        <w:t xml:space="preserve">27.  </w:t>
      </w:r>
      <w:r>
        <w:rPr>
          <w:rFonts w:hint="eastAsia" w:asciiTheme="minorEastAsia" w:hAnsiTheme="minorEastAsia" w:eastAsiaTheme="minorEastAsia"/>
          <w:b/>
          <w:bCs/>
          <w:szCs w:val="21"/>
        </w:rPr>
        <w:t>解释权</w:t>
      </w:r>
    </w:p>
    <w:p>
      <w:pPr>
        <w:pStyle w:val="28"/>
        <w:spacing w:before="163" w:beforeLines="50" w:after="163" w:afterLines="50" w:line="500" w:lineRule="exact"/>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 xml:space="preserve">27.1 </w:t>
      </w:r>
      <w:r>
        <w:rPr>
          <w:rFonts w:hint="eastAsia" w:asciiTheme="minorEastAsia" w:hAnsiTheme="minorEastAsia" w:eastAsiaTheme="minorEastAsia"/>
          <w:szCs w:val="21"/>
        </w:rPr>
        <w:t>本采购文件根据</w:t>
      </w:r>
      <w:r>
        <w:rPr>
          <w:rFonts w:hint="eastAsia" w:asciiTheme="minorEastAsia" w:hAnsiTheme="minorEastAsia" w:eastAsiaTheme="minorEastAsia"/>
          <w:bCs/>
          <w:szCs w:val="21"/>
        </w:rPr>
        <w:t>《中华人民共和国政府采购法》、《中华人民共和国政府采购法实施条例》、《基础设施和公用事业特许经营管理办法》（六部委</w:t>
      </w:r>
      <w:r>
        <w:rPr>
          <w:rFonts w:asciiTheme="minorEastAsia" w:hAnsiTheme="minorEastAsia" w:eastAsiaTheme="minorEastAsia"/>
          <w:bCs/>
          <w:szCs w:val="21"/>
        </w:rPr>
        <w:t>2015</w:t>
      </w:r>
      <w:r>
        <w:rPr>
          <w:rFonts w:hint="eastAsia" w:asciiTheme="minorEastAsia" w:hAnsiTheme="minorEastAsia" w:eastAsiaTheme="minorEastAsia"/>
          <w:bCs/>
          <w:szCs w:val="21"/>
        </w:rPr>
        <w:t>年</w:t>
      </w:r>
      <w:r>
        <w:rPr>
          <w:rFonts w:asciiTheme="minorEastAsia" w:hAnsiTheme="minorEastAsia" w:eastAsiaTheme="minorEastAsia"/>
          <w:bCs/>
          <w:szCs w:val="21"/>
        </w:rPr>
        <w:t>25</w:t>
      </w:r>
      <w:r>
        <w:rPr>
          <w:rFonts w:hint="eastAsia" w:asciiTheme="minorEastAsia" w:hAnsiTheme="minorEastAsia" w:eastAsiaTheme="minorEastAsia"/>
          <w:bCs/>
          <w:szCs w:val="21"/>
        </w:rPr>
        <w:t>号令）、《国务院办公厅转发财政部发展改革委人民银行关于在公共服务领域推广政府和社会资本合作模式指导意见的通知》（国办发〔</w:t>
      </w:r>
      <w:r>
        <w:rPr>
          <w:rFonts w:asciiTheme="minorEastAsia" w:hAnsiTheme="minorEastAsia" w:eastAsiaTheme="minorEastAsia"/>
          <w:bCs/>
          <w:szCs w:val="21"/>
        </w:rPr>
        <w:t>2015</w:t>
      </w:r>
      <w:r>
        <w:rPr>
          <w:rFonts w:hint="eastAsia" w:asciiTheme="minorEastAsia" w:hAnsiTheme="minorEastAsia" w:eastAsiaTheme="minorEastAsia"/>
          <w:bCs/>
          <w:szCs w:val="21"/>
        </w:rPr>
        <w:t>〕</w:t>
      </w:r>
      <w:r>
        <w:rPr>
          <w:rFonts w:asciiTheme="minorEastAsia" w:hAnsiTheme="minorEastAsia" w:eastAsiaTheme="minorEastAsia"/>
          <w:bCs/>
          <w:szCs w:val="21"/>
        </w:rPr>
        <w:t>42</w:t>
      </w:r>
      <w:r>
        <w:rPr>
          <w:rFonts w:hint="eastAsia" w:asciiTheme="minorEastAsia" w:hAnsiTheme="minorEastAsia" w:eastAsiaTheme="minorEastAsia"/>
          <w:bCs/>
          <w:szCs w:val="21"/>
        </w:rPr>
        <w:t>号、《政府和社会资本合作模式操作指南》（财金〔</w:t>
      </w:r>
      <w:r>
        <w:rPr>
          <w:rFonts w:asciiTheme="minorEastAsia" w:hAnsiTheme="minorEastAsia" w:eastAsiaTheme="minorEastAsia"/>
          <w:bCs/>
          <w:szCs w:val="21"/>
        </w:rPr>
        <w:t>2014</w:t>
      </w:r>
      <w:r>
        <w:rPr>
          <w:rFonts w:hint="eastAsia" w:asciiTheme="minorEastAsia" w:hAnsiTheme="minorEastAsia" w:eastAsiaTheme="minorEastAsia"/>
          <w:bCs/>
          <w:szCs w:val="21"/>
        </w:rPr>
        <w:t>〕</w:t>
      </w:r>
      <w:r>
        <w:rPr>
          <w:rFonts w:asciiTheme="minorEastAsia" w:hAnsiTheme="minorEastAsia" w:eastAsiaTheme="minorEastAsia"/>
          <w:bCs/>
          <w:szCs w:val="21"/>
        </w:rPr>
        <w:t>113</w:t>
      </w:r>
      <w:r>
        <w:rPr>
          <w:rFonts w:hint="eastAsia" w:asciiTheme="minorEastAsia" w:hAnsiTheme="minorEastAsia" w:eastAsiaTheme="minorEastAsia"/>
          <w:bCs/>
          <w:szCs w:val="21"/>
        </w:rPr>
        <w:t>号）等有关法律、法规</w:t>
      </w:r>
      <w:r>
        <w:rPr>
          <w:rFonts w:hint="eastAsia" w:asciiTheme="minorEastAsia" w:hAnsiTheme="minorEastAsia" w:eastAsiaTheme="minorEastAsia"/>
          <w:szCs w:val="21"/>
        </w:rPr>
        <w:t>编制，解释权属采购人及采购代理机构。</w:t>
      </w:r>
    </w:p>
    <w:p>
      <w:pPr>
        <w:pStyle w:val="28"/>
        <w:spacing w:before="163" w:beforeLines="50" w:after="163" w:afterLines="50" w:line="500" w:lineRule="exact"/>
        <w:jc w:val="left"/>
        <w:rPr>
          <w:rFonts w:asciiTheme="minorEastAsia" w:hAnsiTheme="minorEastAsia" w:eastAsiaTheme="minorEastAsia"/>
          <w:b/>
          <w:szCs w:val="21"/>
        </w:rPr>
      </w:pPr>
      <w:r>
        <w:rPr>
          <w:rFonts w:asciiTheme="minorEastAsia" w:hAnsiTheme="minorEastAsia" w:eastAsiaTheme="minorEastAsia"/>
          <w:b/>
          <w:szCs w:val="21"/>
        </w:rPr>
        <w:t xml:space="preserve">28.  </w:t>
      </w:r>
      <w:r>
        <w:rPr>
          <w:rFonts w:hint="eastAsia" w:asciiTheme="minorEastAsia" w:hAnsiTheme="minorEastAsia" w:eastAsiaTheme="minorEastAsia"/>
          <w:b/>
          <w:szCs w:val="21"/>
        </w:rPr>
        <w:t>需要补充的其他内容</w:t>
      </w:r>
    </w:p>
    <w:p>
      <w:pPr>
        <w:pStyle w:val="28"/>
        <w:spacing w:before="163" w:beforeLines="50" w:after="163" w:afterLines="50" w:line="500" w:lineRule="exact"/>
        <w:ind w:firstLine="420" w:firstLineChars="200"/>
        <w:jc w:val="left"/>
        <w:rPr>
          <w:rFonts w:asciiTheme="minorEastAsia" w:hAnsiTheme="minorEastAsia" w:eastAsiaTheme="minorEastAsia"/>
          <w:sz w:val="24"/>
        </w:rPr>
      </w:pPr>
      <w:r>
        <w:rPr>
          <w:rFonts w:asciiTheme="minorEastAsia" w:hAnsiTheme="minorEastAsia" w:eastAsiaTheme="minorEastAsia"/>
          <w:szCs w:val="21"/>
        </w:rPr>
        <w:t xml:space="preserve">28.1  </w:t>
      </w:r>
      <w:r>
        <w:rPr>
          <w:rFonts w:hint="eastAsia" w:asciiTheme="minorEastAsia" w:hAnsiTheme="minorEastAsia" w:eastAsiaTheme="minorEastAsia"/>
          <w:szCs w:val="21"/>
        </w:rPr>
        <w:t>需要补充的其他内容：见投标人须知前附表</w:t>
      </w:r>
      <w:r>
        <w:rPr>
          <w:rFonts w:hint="eastAsia" w:asciiTheme="minorEastAsia" w:hAnsiTheme="minorEastAsia" w:eastAsiaTheme="minorEastAsia"/>
          <w:sz w:val="24"/>
        </w:rPr>
        <w:t>。</w:t>
      </w:r>
    </w:p>
    <w:p>
      <w:pPr>
        <w:spacing w:line="500" w:lineRule="exact"/>
        <w:jc w:val="center"/>
        <w:outlineLvl w:val="0"/>
        <w:rPr>
          <w:rFonts w:cs="仿宋" w:asciiTheme="minorEastAsia" w:hAnsiTheme="minorEastAsia" w:eastAsiaTheme="minorEastAsia"/>
          <w:b/>
          <w:sz w:val="32"/>
          <w:szCs w:val="32"/>
        </w:rPr>
      </w:pPr>
      <w:r>
        <w:rPr>
          <w:rFonts w:cs="仿宋" w:asciiTheme="minorEastAsia" w:hAnsiTheme="minorEastAsia" w:eastAsiaTheme="minorEastAsia"/>
          <w:sz w:val="28"/>
          <w:szCs w:val="28"/>
        </w:rPr>
        <w:br w:type="page"/>
      </w:r>
      <w:bookmarkStart w:id="151" w:name="_Toc3316"/>
      <w:bookmarkStart w:id="152" w:name="_Toc50993399"/>
      <w:bookmarkStart w:id="153" w:name="_Toc5298"/>
      <w:bookmarkStart w:id="154" w:name="_Toc462955444"/>
      <w:bookmarkStart w:id="155" w:name="_Toc6068"/>
      <w:bookmarkStart w:id="156" w:name="_Toc435106787"/>
      <w:bookmarkStart w:id="157" w:name="_Toc429727829"/>
      <w:bookmarkStart w:id="158" w:name="_Toc213326423"/>
      <w:bookmarkStart w:id="159" w:name="_Toc14001"/>
      <w:r>
        <w:rPr>
          <w:rFonts w:hint="eastAsia" w:cs="仿宋" w:asciiTheme="minorEastAsia" w:hAnsiTheme="minorEastAsia" w:eastAsiaTheme="minorEastAsia"/>
          <w:b/>
          <w:sz w:val="32"/>
          <w:szCs w:val="32"/>
        </w:rPr>
        <w:t>第四章  评标办法</w:t>
      </w:r>
      <w:bookmarkEnd w:id="151"/>
      <w:bookmarkEnd w:id="152"/>
      <w:bookmarkEnd w:id="153"/>
      <w:bookmarkEnd w:id="154"/>
      <w:bookmarkEnd w:id="155"/>
    </w:p>
    <w:p>
      <w:pPr>
        <w:pStyle w:val="3"/>
        <w:rPr>
          <w:rFonts w:asciiTheme="minorEastAsia" w:hAnsiTheme="minorEastAsia"/>
          <w:sz w:val="27"/>
        </w:rPr>
      </w:pPr>
      <w:bookmarkStart w:id="160" w:name="_Toc462955445"/>
      <w:bookmarkStart w:id="161" w:name="_Toc435106776"/>
      <w:bookmarkStart w:id="162" w:name="_Toc16757"/>
      <w:bookmarkStart w:id="163" w:name="_Toc434433172"/>
      <w:bookmarkStart w:id="164" w:name="_Toc11291"/>
      <w:bookmarkStart w:id="165" w:name="_Toc50993400"/>
      <w:r>
        <w:rPr>
          <w:rFonts w:hint="eastAsia" w:asciiTheme="minorEastAsia" w:hAnsiTheme="minorEastAsia"/>
          <w:sz w:val="27"/>
        </w:rPr>
        <w:t>一、评标纪律</w:t>
      </w:r>
      <w:bookmarkEnd w:id="160"/>
      <w:bookmarkEnd w:id="161"/>
      <w:bookmarkEnd w:id="162"/>
      <w:bookmarkEnd w:id="163"/>
      <w:bookmarkEnd w:id="164"/>
      <w:bookmarkEnd w:id="165"/>
    </w:p>
    <w:p>
      <w:pPr>
        <w:pStyle w:val="28"/>
        <w:spacing w:line="500" w:lineRule="exact"/>
        <w:ind w:firstLine="420" w:firstLineChars="200"/>
        <w:rPr>
          <w:rFonts w:cs="仿宋" w:asciiTheme="minorEastAsia" w:hAnsiTheme="minorEastAsia" w:eastAsiaTheme="minorEastAsia"/>
          <w:bCs/>
          <w:szCs w:val="21"/>
        </w:rPr>
      </w:pPr>
      <w:r>
        <w:rPr>
          <w:rFonts w:cs="仿宋" w:asciiTheme="minorEastAsia" w:hAnsiTheme="minorEastAsia" w:eastAsiaTheme="minorEastAsia"/>
          <w:bCs/>
          <w:szCs w:val="21"/>
        </w:rPr>
        <w:t>1</w:t>
      </w:r>
      <w:r>
        <w:rPr>
          <w:rFonts w:hint="eastAsia" w:cs="仿宋" w:asciiTheme="minorEastAsia" w:hAnsiTheme="minorEastAsia" w:eastAsiaTheme="minorEastAsia"/>
          <w:bCs/>
          <w:szCs w:val="21"/>
        </w:rPr>
        <w:t>、评标由依法组建的评标委员会负责。评标委员会由采购人代表和有关技术、财务、法律等方面的专家共</w:t>
      </w:r>
      <w:r>
        <w:rPr>
          <w:rFonts w:cs="仿宋" w:asciiTheme="minorEastAsia" w:hAnsiTheme="minorEastAsia" w:eastAsiaTheme="minorEastAsia"/>
          <w:bCs/>
          <w:szCs w:val="21"/>
        </w:rPr>
        <w:t>7</w:t>
      </w:r>
      <w:r>
        <w:rPr>
          <w:rFonts w:hint="eastAsia" w:cs="仿宋" w:asciiTheme="minorEastAsia" w:hAnsiTheme="minorEastAsia" w:eastAsiaTheme="minorEastAsia"/>
          <w:bCs/>
          <w:szCs w:val="21"/>
        </w:rPr>
        <w:t>人组成，其中评标专家人数不得少于评标委员会成员总数的</w:t>
      </w:r>
      <w:r>
        <w:rPr>
          <w:rFonts w:cs="仿宋" w:asciiTheme="minorEastAsia" w:hAnsiTheme="minorEastAsia" w:eastAsiaTheme="minorEastAsia"/>
          <w:bCs/>
          <w:szCs w:val="21"/>
        </w:rPr>
        <w:t>2/3</w:t>
      </w:r>
      <w:r>
        <w:rPr>
          <w:rFonts w:hint="eastAsia" w:cs="仿宋" w:asciiTheme="minorEastAsia" w:hAnsiTheme="minorEastAsia" w:eastAsiaTheme="minorEastAsia"/>
          <w:bCs/>
          <w:szCs w:val="21"/>
        </w:rPr>
        <w:t>。采购人或采购代理机构根据本项目的特点，可以从财政部门设立的政府采购评审专家库中，通过随机方式抽取专家。包含</w:t>
      </w:r>
      <w:r>
        <w:rPr>
          <w:rFonts w:cs="仿宋" w:asciiTheme="minorEastAsia" w:hAnsiTheme="minorEastAsia" w:eastAsiaTheme="minorEastAsia"/>
          <w:bCs/>
          <w:szCs w:val="21"/>
        </w:rPr>
        <w:t>2</w:t>
      </w:r>
      <w:r>
        <w:rPr>
          <w:rFonts w:hint="eastAsia" w:cs="仿宋" w:asciiTheme="minorEastAsia" w:hAnsiTheme="minorEastAsia" w:eastAsiaTheme="minorEastAsia"/>
          <w:bCs/>
          <w:szCs w:val="21"/>
        </w:rPr>
        <w:t>名采购人代表、</w:t>
      </w:r>
      <w:r>
        <w:rPr>
          <w:rFonts w:cs="仿宋" w:asciiTheme="minorEastAsia" w:hAnsiTheme="minorEastAsia" w:eastAsiaTheme="minorEastAsia"/>
          <w:bCs/>
          <w:szCs w:val="21"/>
        </w:rPr>
        <w:t>3</w:t>
      </w:r>
      <w:r>
        <w:rPr>
          <w:rFonts w:hint="eastAsia" w:cs="仿宋" w:asciiTheme="minorEastAsia" w:hAnsiTheme="minorEastAsia" w:eastAsiaTheme="minorEastAsia"/>
          <w:bCs/>
          <w:szCs w:val="21"/>
        </w:rPr>
        <w:t>名技术专家、</w:t>
      </w:r>
      <w:r>
        <w:rPr>
          <w:rFonts w:cs="仿宋" w:asciiTheme="minorEastAsia" w:hAnsiTheme="minorEastAsia" w:eastAsiaTheme="minorEastAsia"/>
          <w:bCs/>
          <w:szCs w:val="21"/>
        </w:rPr>
        <w:t>1</w:t>
      </w:r>
      <w:r>
        <w:rPr>
          <w:rFonts w:hint="eastAsia" w:cs="仿宋" w:asciiTheme="minorEastAsia" w:hAnsiTheme="minorEastAsia" w:eastAsiaTheme="minorEastAsia"/>
          <w:bCs/>
          <w:szCs w:val="21"/>
        </w:rPr>
        <w:t>名财务专家和</w:t>
      </w:r>
      <w:r>
        <w:rPr>
          <w:rFonts w:cs="仿宋" w:asciiTheme="minorEastAsia" w:hAnsiTheme="minorEastAsia" w:eastAsiaTheme="minorEastAsia"/>
          <w:bCs/>
          <w:szCs w:val="21"/>
        </w:rPr>
        <w:t>1</w:t>
      </w:r>
      <w:r>
        <w:rPr>
          <w:rFonts w:hint="eastAsia" w:cs="仿宋" w:asciiTheme="minorEastAsia" w:hAnsiTheme="minorEastAsia" w:eastAsiaTheme="minorEastAsia"/>
          <w:bCs/>
          <w:szCs w:val="21"/>
        </w:rPr>
        <w:t>名法律专家。</w:t>
      </w:r>
    </w:p>
    <w:p>
      <w:pPr>
        <w:pStyle w:val="28"/>
        <w:spacing w:line="500" w:lineRule="exact"/>
        <w:ind w:firstLine="420" w:firstLineChars="200"/>
        <w:rPr>
          <w:rFonts w:cs="仿宋" w:asciiTheme="minorEastAsia" w:hAnsiTheme="minorEastAsia" w:eastAsiaTheme="minorEastAsia"/>
          <w:bCs/>
          <w:szCs w:val="21"/>
        </w:rPr>
      </w:pPr>
      <w:r>
        <w:rPr>
          <w:rFonts w:cs="仿宋" w:asciiTheme="minorEastAsia" w:hAnsiTheme="minorEastAsia" w:eastAsiaTheme="minorEastAsia"/>
          <w:bCs/>
          <w:szCs w:val="21"/>
        </w:rPr>
        <w:t>2</w:t>
      </w:r>
      <w:r>
        <w:rPr>
          <w:rFonts w:hint="eastAsia" w:cs="仿宋" w:asciiTheme="minorEastAsia" w:hAnsiTheme="minorEastAsia" w:eastAsiaTheme="minorEastAsia"/>
          <w:bCs/>
          <w:szCs w:val="21"/>
        </w:rPr>
        <w:t>、评标委员会应当严谨、客观、公正地履行职责，遵守职业道德，对所提出的评标意见承担个人责任。</w:t>
      </w:r>
    </w:p>
    <w:p>
      <w:pPr>
        <w:pStyle w:val="28"/>
        <w:spacing w:line="500" w:lineRule="exact"/>
        <w:ind w:firstLine="420" w:firstLineChars="200"/>
        <w:rPr>
          <w:rFonts w:cs="仿宋" w:asciiTheme="minorEastAsia" w:hAnsiTheme="minorEastAsia" w:eastAsiaTheme="minorEastAsia"/>
          <w:bCs/>
          <w:szCs w:val="21"/>
        </w:rPr>
      </w:pPr>
      <w:r>
        <w:rPr>
          <w:rFonts w:cs="仿宋" w:asciiTheme="minorEastAsia" w:hAnsiTheme="minorEastAsia" w:eastAsiaTheme="minorEastAsia"/>
          <w:bCs/>
          <w:szCs w:val="21"/>
        </w:rPr>
        <w:t>3</w:t>
      </w:r>
      <w:r>
        <w:rPr>
          <w:rFonts w:hint="eastAsia" w:cs="仿宋" w:asciiTheme="minorEastAsia" w:hAnsiTheme="minorEastAsia" w:eastAsiaTheme="minorEastAsia"/>
          <w:bCs/>
          <w:szCs w:val="21"/>
        </w:rPr>
        <w:t>、评标期间，任何人不允许把评标文件及其汇总材料带出评标地点。</w:t>
      </w:r>
    </w:p>
    <w:p>
      <w:pPr>
        <w:pStyle w:val="28"/>
        <w:spacing w:line="500" w:lineRule="exact"/>
        <w:ind w:firstLine="420" w:firstLineChars="200"/>
        <w:rPr>
          <w:rFonts w:cs="仿宋" w:asciiTheme="minorEastAsia" w:hAnsiTheme="minorEastAsia" w:eastAsiaTheme="minorEastAsia"/>
          <w:bCs/>
          <w:szCs w:val="21"/>
        </w:rPr>
      </w:pPr>
      <w:r>
        <w:rPr>
          <w:rFonts w:cs="仿宋" w:asciiTheme="minorEastAsia" w:hAnsiTheme="minorEastAsia" w:eastAsiaTheme="minorEastAsia"/>
          <w:bCs/>
          <w:szCs w:val="21"/>
        </w:rPr>
        <w:t>4</w:t>
      </w:r>
      <w:r>
        <w:rPr>
          <w:rFonts w:hint="eastAsia" w:cs="仿宋" w:asciiTheme="minorEastAsia" w:hAnsiTheme="minorEastAsia" w:eastAsiaTheme="minorEastAsia"/>
          <w:bCs/>
          <w:szCs w:val="21"/>
        </w:rPr>
        <w:t>、评标委员会以采购文件为依据，对投标文件进行评审，投标人提供的投标文件作为唯一评标文件，对投标人的投标文件内容进行量化打分，投标文件以外提供文件不作为评标依据。</w:t>
      </w:r>
    </w:p>
    <w:p>
      <w:pPr>
        <w:pStyle w:val="28"/>
        <w:spacing w:line="500" w:lineRule="exact"/>
        <w:ind w:firstLine="420" w:firstLineChars="200"/>
        <w:rPr>
          <w:rFonts w:cs="仿宋" w:asciiTheme="minorEastAsia" w:hAnsiTheme="minorEastAsia" w:eastAsiaTheme="minorEastAsia"/>
          <w:bCs/>
          <w:szCs w:val="21"/>
        </w:rPr>
      </w:pPr>
      <w:r>
        <w:rPr>
          <w:rFonts w:hint="eastAsia" w:cs="仿宋" w:asciiTheme="minorEastAsia" w:hAnsiTheme="minorEastAsia" w:eastAsiaTheme="minorEastAsia"/>
          <w:bCs/>
          <w:szCs w:val="21"/>
        </w:rPr>
        <w:t>5、评标专家和其他参加评标活动的人员不得与任何投标人，或者与投标人有利害关系的人进行私下接触，不得收受投标人和其他与本项目竞争有利害关系的人的财物或者其它好处。</w:t>
      </w:r>
    </w:p>
    <w:p>
      <w:pPr>
        <w:pStyle w:val="28"/>
        <w:spacing w:line="500" w:lineRule="exact"/>
        <w:ind w:firstLine="420" w:firstLineChars="200"/>
        <w:rPr>
          <w:rFonts w:cs="仿宋" w:asciiTheme="minorEastAsia" w:hAnsiTheme="minorEastAsia" w:eastAsiaTheme="minorEastAsia"/>
          <w:bCs/>
          <w:szCs w:val="21"/>
        </w:rPr>
      </w:pPr>
      <w:r>
        <w:rPr>
          <w:rFonts w:hint="eastAsia" w:cs="仿宋" w:asciiTheme="minorEastAsia" w:hAnsiTheme="minorEastAsia" w:eastAsiaTheme="minorEastAsia"/>
          <w:bCs/>
          <w:szCs w:val="21"/>
        </w:rPr>
        <w:t>6、评标专家不代表各自单位，没有向各自单位汇报评标情况的权利和义务，不得泄露评标情况和评标中获悉的商业秘密。</w:t>
      </w:r>
    </w:p>
    <w:p>
      <w:pPr>
        <w:pStyle w:val="28"/>
        <w:spacing w:line="500" w:lineRule="exact"/>
        <w:ind w:firstLine="420" w:firstLineChars="200"/>
        <w:rPr>
          <w:rFonts w:cs="仿宋" w:asciiTheme="minorEastAsia" w:hAnsiTheme="minorEastAsia" w:eastAsiaTheme="minorEastAsia"/>
          <w:bCs/>
          <w:szCs w:val="21"/>
        </w:rPr>
      </w:pPr>
      <w:r>
        <w:rPr>
          <w:rFonts w:hint="eastAsia" w:cs="仿宋" w:asciiTheme="minorEastAsia" w:hAnsiTheme="minorEastAsia" w:eastAsiaTheme="minorEastAsia"/>
          <w:bCs/>
          <w:szCs w:val="21"/>
        </w:rPr>
        <w:t>7、评标结束后，评标委员会将自动解散。</w:t>
      </w:r>
    </w:p>
    <w:p>
      <w:pPr>
        <w:pStyle w:val="3"/>
        <w:rPr>
          <w:rFonts w:asciiTheme="minorEastAsia" w:hAnsiTheme="minorEastAsia"/>
          <w:sz w:val="27"/>
        </w:rPr>
      </w:pPr>
      <w:bookmarkStart w:id="166" w:name="_Toc12412"/>
      <w:bookmarkStart w:id="167" w:name="_Toc434433173"/>
      <w:bookmarkStart w:id="168" w:name="_Toc409958003"/>
      <w:bookmarkStart w:id="169" w:name="_Toc462955446"/>
      <w:bookmarkStart w:id="170" w:name="_Toc409958967"/>
      <w:bookmarkStart w:id="171" w:name="_Toc6296"/>
      <w:bookmarkStart w:id="172" w:name="_Toc409960361"/>
      <w:bookmarkStart w:id="173" w:name="_Toc50993401"/>
      <w:bookmarkStart w:id="174" w:name="_Toc435106777"/>
      <w:r>
        <w:rPr>
          <w:rFonts w:hint="eastAsia" w:asciiTheme="minorEastAsia" w:hAnsiTheme="minorEastAsia"/>
          <w:sz w:val="27"/>
        </w:rPr>
        <w:t>二、评分方法</w:t>
      </w:r>
      <w:bookmarkEnd w:id="166"/>
      <w:bookmarkEnd w:id="167"/>
      <w:bookmarkEnd w:id="168"/>
      <w:bookmarkEnd w:id="169"/>
      <w:bookmarkEnd w:id="170"/>
      <w:bookmarkEnd w:id="171"/>
      <w:bookmarkEnd w:id="172"/>
      <w:bookmarkEnd w:id="173"/>
      <w:bookmarkEnd w:id="174"/>
    </w:p>
    <w:p>
      <w:pPr>
        <w:pStyle w:val="28"/>
        <w:spacing w:line="500" w:lineRule="exact"/>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本次评标采用综合评分法。评标委员会对满足采购文件实质性要求的投标人提交的投标文件，按照本章评分细则进行打分，对于采购文件中有量化标准的评审因素，以采购文件中规定的标准为准，技术部分由评委进行独立打分；对于采购文件中无量化标准的评审因素，由评标委员会各成员酌情打分。如遇到采购文件中没有约定的特殊情况，将以该项所涉及的法律、法规的规定为准；如无相关法律法规规定，则以评标委员会半数以上成员通过的意见为准。</w:t>
      </w:r>
    </w:p>
    <w:p>
      <w:pPr>
        <w:pStyle w:val="28"/>
        <w:spacing w:line="500" w:lineRule="exact"/>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评标委员会成员评分过程和计算结果均保留小数点后两位；计算各评标委员会成员打分的平均分时，保留小数点后两位，小数点后第三位四舍五入。</w:t>
      </w:r>
    </w:p>
    <w:p>
      <w:pPr>
        <w:pStyle w:val="28"/>
        <w:spacing w:line="500" w:lineRule="exact"/>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评标委员会成员采用记名打分方式，在打分表中的任何改写处，均必须由该成员签字确认。并按得分由高到低排序，推荐综合排名前</w:t>
      </w:r>
      <w:r>
        <w:rPr>
          <w:rFonts w:cs="仿宋" w:asciiTheme="minorEastAsia" w:hAnsiTheme="minorEastAsia" w:eastAsiaTheme="minorEastAsia"/>
          <w:bCs/>
          <w:szCs w:val="21"/>
        </w:rPr>
        <w:t>3</w:t>
      </w:r>
      <w:r>
        <w:rPr>
          <w:rFonts w:hint="eastAsia" w:cs="仿宋" w:asciiTheme="minorEastAsia" w:hAnsiTheme="minorEastAsia" w:eastAsiaTheme="minorEastAsia"/>
          <w:bCs/>
          <w:szCs w:val="21"/>
        </w:rPr>
        <w:t>的为中标候选人。如果投标文件综合得分相同，报价较低的投标文件排名在前，如果报价也相等的，以技术标得分高的投标文件排名在前，如果依然相同，以商务标得分高低决定排名顺序。</w:t>
      </w:r>
    </w:p>
    <w:p>
      <w:pPr>
        <w:pStyle w:val="28"/>
        <w:spacing w:line="500" w:lineRule="exact"/>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投标要求：</w:t>
      </w:r>
    </w:p>
    <w:p>
      <w:pPr>
        <w:pStyle w:val="28"/>
        <w:spacing w:line="500" w:lineRule="exact"/>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w:t>
      </w:r>
      <w:r>
        <w:rPr>
          <w:rFonts w:cs="仿宋" w:asciiTheme="minorEastAsia" w:hAnsiTheme="minorEastAsia" w:eastAsiaTheme="minorEastAsia"/>
          <w:bCs/>
          <w:szCs w:val="21"/>
        </w:rPr>
        <w:t>1</w:t>
      </w:r>
      <w:r>
        <w:rPr>
          <w:rFonts w:hint="eastAsia" w:cs="仿宋" w:asciiTheme="minorEastAsia" w:hAnsiTheme="minorEastAsia" w:eastAsiaTheme="minorEastAsia"/>
          <w:bCs/>
          <w:szCs w:val="21"/>
        </w:rPr>
        <w:t>）如所有投标人的报价均超过有效报价范围，则本次招标失败，采购人依法重新招标。</w:t>
      </w:r>
    </w:p>
    <w:p>
      <w:pPr>
        <w:pStyle w:val="28"/>
        <w:spacing w:line="500" w:lineRule="exact"/>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w:t>
      </w:r>
      <w:r>
        <w:rPr>
          <w:rFonts w:cs="仿宋" w:asciiTheme="minorEastAsia" w:hAnsiTheme="minorEastAsia" w:eastAsiaTheme="minorEastAsia"/>
          <w:bCs/>
          <w:szCs w:val="21"/>
        </w:rPr>
        <w:t>2</w:t>
      </w:r>
      <w:r>
        <w:rPr>
          <w:rFonts w:hint="eastAsia" w:cs="仿宋" w:asciiTheme="minorEastAsia" w:hAnsiTheme="minorEastAsia" w:eastAsiaTheme="minorEastAsia"/>
          <w:bCs/>
          <w:szCs w:val="21"/>
        </w:rPr>
        <w:t>）投标人提供的资料和证件有弄虚作假行为的，取消其投标资格。</w:t>
      </w:r>
    </w:p>
    <w:p>
      <w:pPr>
        <w:pStyle w:val="28"/>
        <w:spacing w:line="500" w:lineRule="exact"/>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w:t>
      </w:r>
      <w:r>
        <w:rPr>
          <w:rFonts w:cs="仿宋" w:asciiTheme="minorEastAsia" w:hAnsiTheme="minorEastAsia" w:eastAsiaTheme="minorEastAsia"/>
          <w:bCs/>
          <w:szCs w:val="21"/>
        </w:rPr>
        <w:t>3</w:t>
      </w:r>
      <w:r>
        <w:rPr>
          <w:rFonts w:hint="eastAsia" w:cs="仿宋" w:asciiTheme="minorEastAsia" w:hAnsiTheme="minorEastAsia" w:eastAsiaTheme="minorEastAsia"/>
          <w:bCs/>
          <w:szCs w:val="21"/>
        </w:rPr>
        <w:t>）中标候选人推荐原则：排名第一的中标候选人放弃中标、因不可抗力提出不能履行合同，采购人可以与排名第二的中标候选人签订合同。排名第二的中标候选人因前款规定的同样原因不能签订合同的，可以与排名第三的中标候选人签订合同。排名第三的中标候选人因前款规定的同样原因仍旧不能签订合同的，采购人可重新组织招标或采取其他合法形式进行采购。</w:t>
      </w:r>
    </w:p>
    <w:p>
      <w:pPr>
        <w:pStyle w:val="3"/>
        <w:jc w:val="center"/>
        <w:rPr>
          <w:rFonts w:asciiTheme="minorEastAsia" w:hAnsiTheme="minorEastAsia"/>
          <w:sz w:val="35"/>
        </w:rPr>
      </w:pPr>
      <w:bookmarkStart w:id="175" w:name="_Toc434433176"/>
      <w:bookmarkStart w:id="176" w:name="_Toc409960364"/>
      <w:bookmarkStart w:id="177" w:name="_Toc409958006"/>
      <w:bookmarkStart w:id="178" w:name="_Toc409958970"/>
      <w:bookmarkStart w:id="179" w:name="_Toc462955447"/>
      <w:bookmarkStart w:id="180" w:name="_Toc13017"/>
      <w:bookmarkStart w:id="181" w:name="_Toc435106778"/>
      <w:bookmarkStart w:id="182" w:name="_Toc27979"/>
      <w:r>
        <w:rPr>
          <w:rFonts w:asciiTheme="minorEastAsia" w:hAnsiTheme="minorEastAsia"/>
          <w:szCs w:val="21"/>
        </w:rPr>
        <w:br w:type="page"/>
      </w:r>
      <w:bookmarkStart w:id="183" w:name="_Toc50993402"/>
      <w:r>
        <w:rPr>
          <w:rFonts w:hint="eastAsia" w:asciiTheme="minorEastAsia" w:hAnsiTheme="minorEastAsia"/>
          <w:sz w:val="35"/>
        </w:rPr>
        <w:t>三、评分细则</w:t>
      </w:r>
      <w:bookmarkEnd w:id="175"/>
      <w:bookmarkEnd w:id="176"/>
      <w:bookmarkEnd w:id="177"/>
      <w:bookmarkEnd w:id="178"/>
      <w:bookmarkEnd w:id="179"/>
      <w:bookmarkEnd w:id="180"/>
      <w:bookmarkEnd w:id="181"/>
      <w:bookmarkEnd w:id="182"/>
      <w:bookmarkEnd w:id="183"/>
    </w:p>
    <w:p>
      <w:pPr>
        <w:pStyle w:val="4"/>
        <w:rPr>
          <w:rFonts w:asciiTheme="minorEastAsia" w:hAnsiTheme="minorEastAsia" w:eastAsiaTheme="minorEastAsia"/>
        </w:rPr>
      </w:pPr>
      <w:bookmarkStart w:id="184" w:name="_Toc462955448"/>
      <w:r>
        <w:rPr>
          <w:rFonts w:hint="eastAsia" w:asciiTheme="minorEastAsia" w:hAnsiTheme="minorEastAsia" w:eastAsiaTheme="minorEastAsia"/>
        </w:rPr>
        <w:t>初步评审</w:t>
      </w:r>
      <w:bookmarkEnd w:id="184"/>
    </w:p>
    <w:tbl>
      <w:tblPr>
        <w:tblStyle w:val="55"/>
        <w:tblW w:w="9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863"/>
        <w:gridCol w:w="2160"/>
        <w:gridCol w:w="4867"/>
      </w:tblGrid>
      <w:tr>
        <w:tblPrEx>
          <w:tblCellMar>
            <w:top w:w="0" w:type="dxa"/>
            <w:left w:w="108" w:type="dxa"/>
            <w:bottom w:w="0" w:type="dxa"/>
            <w:right w:w="108" w:type="dxa"/>
          </w:tblCellMar>
        </w:tblPrEx>
        <w:trPr>
          <w:cantSplit/>
          <w:trHeight w:val="705" w:hRule="atLeast"/>
          <w:jc w:val="center"/>
        </w:trPr>
        <w:tc>
          <w:tcPr>
            <w:tcW w:w="847" w:type="dxa"/>
            <w:shd w:val="clear" w:color="auto" w:fill="D9D9D9"/>
            <w:vAlign w:val="center"/>
          </w:tcPr>
          <w:p>
            <w:pPr>
              <w:spacing w:before="163" w:beforeLines="50" w:after="163" w:afterLines="50" w:line="500" w:lineRule="exact"/>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序号</w:t>
            </w:r>
          </w:p>
        </w:tc>
        <w:tc>
          <w:tcPr>
            <w:tcW w:w="1863" w:type="dxa"/>
            <w:shd w:val="clear" w:color="auto" w:fill="D9D9D9"/>
            <w:vAlign w:val="center"/>
          </w:tcPr>
          <w:p>
            <w:pPr>
              <w:spacing w:before="163" w:beforeLines="50" w:after="163" w:afterLines="50" w:line="500" w:lineRule="exact"/>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初步评审内容</w:t>
            </w:r>
          </w:p>
        </w:tc>
        <w:tc>
          <w:tcPr>
            <w:tcW w:w="2160" w:type="dxa"/>
            <w:shd w:val="clear" w:color="auto" w:fill="D9D9D9"/>
            <w:vAlign w:val="center"/>
          </w:tcPr>
          <w:p>
            <w:pPr>
              <w:spacing w:before="163" w:beforeLines="50" w:after="163" w:afterLines="50" w:line="500" w:lineRule="exact"/>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评审因素</w:t>
            </w:r>
          </w:p>
        </w:tc>
        <w:tc>
          <w:tcPr>
            <w:tcW w:w="4867" w:type="dxa"/>
            <w:shd w:val="clear" w:color="auto" w:fill="D9D9D9"/>
            <w:vAlign w:val="center"/>
          </w:tcPr>
          <w:p>
            <w:pPr>
              <w:spacing w:before="163" w:beforeLines="50" w:after="163" w:afterLines="50" w:line="500" w:lineRule="exact"/>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4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3.1</w:t>
            </w:r>
          </w:p>
        </w:tc>
        <w:tc>
          <w:tcPr>
            <w:tcW w:w="1863"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资格性检查评审标准</w:t>
            </w:r>
          </w:p>
        </w:tc>
        <w:tc>
          <w:tcPr>
            <w:tcW w:w="2160" w:type="dxa"/>
            <w:vAlign w:val="center"/>
          </w:tcPr>
          <w:p>
            <w:pPr>
              <w:spacing w:line="500" w:lineRule="exact"/>
              <w:jc w:val="center"/>
              <w:rPr>
                <w:rFonts w:asciiTheme="minorEastAsia" w:hAnsiTheme="minorEastAsia" w:eastAsiaTheme="minorEastAsia"/>
                <w:sz w:val="24"/>
              </w:rPr>
            </w:pPr>
            <w:r>
              <w:rPr>
                <w:rFonts w:hint="eastAsia" w:cs="Arial" w:asciiTheme="minorEastAsia" w:hAnsiTheme="minorEastAsia" w:eastAsiaTheme="minorEastAsia"/>
                <w:sz w:val="24"/>
              </w:rPr>
              <w:t>资格审查</w:t>
            </w:r>
          </w:p>
        </w:tc>
        <w:tc>
          <w:tcPr>
            <w:tcW w:w="4867" w:type="dxa"/>
            <w:vAlign w:val="center"/>
          </w:tcPr>
          <w:p>
            <w:pPr>
              <w:spacing w:line="500" w:lineRule="exact"/>
              <w:jc w:val="center"/>
              <w:rPr>
                <w:rFonts w:asciiTheme="minorEastAsia" w:hAnsiTheme="minorEastAsia" w:eastAsiaTheme="minorEastAsia"/>
                <w:sz w:val="24"/>
              </w:rPr>
            </w:pPr>
            <w:r>
              <w:rPr>
                <w:rFonts w:hint="eastAsia" w:cs="Arial" w:asciiTheme="minorEastAsia" w:hAnsiTheme="minorEastAsia" w:eastAsiaTheme="minorEastAsia"/>
                <w:sz w:val="24"/>
              </w:rPr>
              <w:t>持有本项目资格预审合格邀请函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847" w:type="dxa"/>
            <w:vMerge w:val="restart"/>
            <w:vAlign w:val="center"/>
          </w:tcPr>
          <w:p>
            <w:pPr>
              <w:spacing w:line="500" w:lineRule="exact"/>
              <w:jc w:val="center"/>
              <w:rPr>
                <w:rFonts w:asciiTheme="minorEastAsia" w:hAnsiTheme="minorEastAsia" w:eastAsiaTheme="minorEastAsia"/>
                <w:sz w:val="24"/>
              </w:rPr>
            </w:pPr>
            <w:r>
              <w:rPr>
                <w:rFonts w:asciiTheme="minorEastAsia" w:hAnsiTheme="minorEastAsia" w:eastAsiaTheme="minorEastAsia"/>
                <w:sz w:val="24"/>
              </w:rPr>
              <w:t>1</w:t>
            </w:r>
          </w:p>
        </w:tc>
        <w:tc>
          <w:tcPr>
            <w:tcW w:w="1863" w:type="dxa"/>
            <w:vMerge w:val="restart"/>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形式评审标准</w:t>
            </w:r>
          </w:p>
        </w:tc>
        <w:tc>
          <w:tcPr>
            <w:tcW w:w="2160"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投标人名称</w:t>
            </w:r>
          </w:p>
        </w:tc>
        <w:tc>
          <w:tcPr>
            <w:tcW w:w="486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847" w:type="dxa"/>
            <w:vMerge w:val="continue"/>
            <w:vAlign w:val="center"/>
          </w:tcPr>
          <w:p>
            <w:pPr>
              <w:spacing w:line="500" w:lineRule="exact"/>
              <w:jc w:val="center"/>
              <w:rPr>
                <w:rFonts w:asciiTheme="minorEastAsia" w:hAnsiTheme="minorEastAsia" w:eastAsiaTheme="minorEastAsia"/>
                <w:sz w:val="24"/>
              </w:rPr>
            </w:pPr>
          </w:p>
        </w:tc>
        <w:tc>
          <w:tcPr>
            <w:tcW w:w="1863" w:type="dxa"/>
            <w:vMerge w:val="continue"/>
            <w:vAlign w:val="center"/>
          </w:tcPr>
          <w:p>
            <w:pPr>
              <w:spacing w:line="500" w:lineRule="exact"/>
              <w:rPr>
                <w:rFonts w:asciiTheme="minorEastAsia" w:hAnsiTheme="minorEastAsia" w:eastAsiaTheme="minorEastAsia"/>
                <w:sz w:val="24"/>
              </w:rPr>
            </w:pPr>
          </w:p>
        </w:tc>
        <w:tc>
          <w:tcPr>
            <w:tcW w:w="2160"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投标文件签字盖章</w:t>
            </w:r>
          </w:p>
        </w:tc>
        <w:tc>
          <w:tcPr>
            <w:tcW w:w="486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符合第三章投标人须知第</w:t>
            </w:r>
            <w:r>
              <w:rPr>
                <w:rFonts w:asciiTheme="minorEastAsia" w:hAnsiTheme="minorEastAsia" w:eastAsiaTheme="minorEastAsia"/>
                <w:sz w:val="24"/>
              </w:rPr>
              <w:t>8.5</w:t>
            </w:r>
            <w:r>
              <w:rPr>
                <w:rFonts w:hint="eastAsia" w:asciiTheme="minorEastAsia" w:hAnsiTheme="minorEastAsia" w:eastAsiaTheme="minorEastAsia"/>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47" w:type="dxa"/>
            <w:vMerge w:val="continue"/>
            <w:vAlign w:val="center"/>
          </w:tcPr>
          <w:p>
            <w:pPr>
              <w:spacing w:line="500" w:lineRule="exact"/>
              <w:jc w:val="center"/>
              <w:rPr>
                <w:rFonts w:asciiTheme="minorEastAsia" w:hAnsiTheme="minorEastAsia" w:eastAsiaTheme="minorEastAsia"/>
                <w:sz w:val="24"/>
              </w:rPr>
            </w:pPr>
          </w:p>
        </w:tc>
        <w:tc>
          <w:tcPr>
            <w:tcW w:w="1863" w:type="dxa"/>
            <w:vMerge w:val="continue"/>
            <w:vAlign w:val="center"/>
          </w:tcPr>
          <w:p>
            <w:pPr>
              <w:spacing w:line="500" w:lineRule="exact"/>
              <w:rPr>
                <w:rFonts w:asciiTheme="minorEastAsia" w:hAnsiTheme="minorEastAsia" w:eastAsiaTheme="minorEastAsia"/>
                <w:sz w:val="24"/>
              </w:rPr>
            </w:pPr>
          </w:p>
        </w:tc>
        <w:tc>
          <w:tcPr>
            <w:tcW w:w="2160"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投标文件格式</w:t>
            </w:r>
          </w:p>
        </w:tc>
        <w:tc>
          <w:tcPr>
            <w:tcW w:w="486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jc w:val="center"/>
        </w:trPr>
        <w:tc>
          <w:tcPr>
            <w:tcW w:w="847" w:type="dxa"/>
            <w:vMerge w:val="continue"/>
            <w:vAlign w:val="center"/>
          </w:tcPr>
          <w:p>
            <w:pPr>
              <w:spacing w:line="500" w:lineRule="exact"/>
              <w:jc w:val="center"/>
              <w:rPr>
                <w:rFonts w:asciiTheme="minorEastAsia" w:hAnsiTheme="minorEastAsia" w:eastAsiaTheme="minorEastAsia"/>
                <w:sz w:val="24"/>
              </w:rPr>
            </w:pPr>
          </w:p>
        </w:tc>
        <w:tc>
          <w:tcPr>
            <w:tcW w:w="1863" w:type="dxa"/>
            <w:vMerge w:val="continue"/>
            <w:vAlign w:val="center"/>
          </w:tcPr>
          <w:p>
            <w:pPr>
              <w:spacing w:line="500" w:lineRule="exact"/>
              <w:rPr>
                <w:rFonts w:asciiTheme="minorEastAsia" w:hAnsiTheme="minorEastAsia" w:eastAsiaTheme="minorEastAsia"/>
                <w:sz w:val="24"/>
              </w:rPr>
            </w:pPr>
          </w:p>
        </w:tc>
        <w:tc>
          <w:tcPr>
            <w:tcW w:w="2160"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联合体协议书</w:t>
            </w:r>
          </w:p>
        </w:tc>
        <w:tc>
          <w:tcPr>
            <w:tcW w:w="486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联合体投标人应按照采购文件提供的格式提交有效的联合体协议书，并明确联合体牵头人。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847" w:type="dxa"/>
            <w:vMerge w:val="continue"/>
            <w:vAlign w:val="center"/>
          </w:tcPr>
          <w:p>
            <w:pPr>
              <w:spacing w:line="500" w:lineRule="exact"/>
              <w:jc w:val="center"/>
              <w:rPr>
                <w:rFonts w:asciiTheme="minorEastAsia" w:hAnsiTheme="minorEastAsia" w:eastAsiaTheme="minorEastAsia"/>
                <w:sz w:val="24"/>
              </w:rPr>
            </w:pPr>
          </w:p>
        </w:tc>
        <w:tc>
          <w:tcPr>
            <w:tcW w:w="1863" w:type="dxa"/>
            <w:vMerge w:val="continue"/>
            <w:vAlign w:val="center"/>
          </w:tcPr>
          <w:p>
            <w:pPr>
              <w:spacing w:line="500" w:lineRule="exact"/>
              <w:rPr>
                <w:rFonts w:asciiTheme="minorEastAsia" w:hAnsiTheme="minorEastAsia" w:eastAsiaTheme="minorEastAsia"/>
                <w:sz w:val="24"/>
              </w:rPr>
            </w:pPr>
          </w:p>
        </w:tc>
        <w:tc>
          <w:tcPr>
            <w:tcW w:w="2160"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报价有效性</w:t>
            </w:r>
          </w:p>
        </w:tc>
        <w:tc>
          <w:tcPr>
            <w:tcW w:w="486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只能有一个有效报价，且投标总报价不超过采购人发布的最高限价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7" w:type="dxa"/>
            <w:vMerge w:val="continue"/>
            <w:vAlign w:val="center"/>
          </w:tcPr>
          <w:p>
            <w:pPr>
              <w:spacing w:line="500" w:lineRule="exact"/>
              <w:jc w:val="center"/>
              <w:rPr>
                <w:rFonts w:asciiTheme="minorEastAsia" w:hAnsiTheme="minorEastAsia" w:eastAsiaTheme="minorEastAsia"/>
                <w:sz w:val="24"/>
              </w:rPr>
            </w:pPr>
          </w:p>
        </w:tc>
        <w:tc>
          <w:tcPr>
            <w:tcW w:w="1863" w:type="dxa"/>
            <w:vMerge w:val="continue"/>
            <w:vAlign w:val="center"/>
          </w:tcPr>
          <w:p>
            <w:pPr>
              <w:spacing w:line="500" w:lineRule="exact"/>
              <w:rPr>
                <w:rFonts w:asciiTheme="minorEastAsia" w:hAnsiTheme="minorEastAsia" w:eastAsiaTheme="minorEastAsia"/>
                <w:sz w:val="24"/>
              </w:rPr>
            </w:pPr>
          </w:p>
        </w:tc>
        <w:tc>
          <w:tcPr>
            <w:tcW w:w="2160"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投标文件的正本、副本数量</w:t>
            </w:r>
          </w:p>
        </w:tc>
        <w:tc>
          <w:tcPr>
            <w:tcW w:w="486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符合投标人须知前附表第</w:t>
            </w:r>
            <w:r>
              <w:rPr>
                <w:rFonts w:asciiTheme="minorEastAsia" w:hAnsiTheme="minorEastAsia" w:eastAsiaTheme="minorEastAsia"/>
                <w:sz w:val="24"/>
              </w:rPr>
              <w:t>8.7</w:t>
            </w:r>
            <w:r>
              <w:rPr>
                <w:rFonts w:hint="eastAsia" w:asciiTheme="minorEastAsia" w:hAnsiTheme="minorEastAsia" w:eastAsiaTheme="minorEastAsia"/>
                <w:sz w:val="24"/>
              </w:rPr>
              <w:t>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47" w:type="dxa"/>
            <w:vMerge w:val="continue"/>
            <w:vAlign w:val="center"/>
          </w:tcPr>
          <w:p>
            <w:pPr>
              <w:spacing w:line="500" w:lineRule="exact"/>
              <w:jc w:val="center"/>
              <w:rPr>
                <w:rFonts w:asciiTheme="minorEastAsia" w:hAnsiTheme="minorEastAsia" w:eastAsiaTheme="minorEastAsia"/>
                <w:sz w:val="24"/>
              </w:rPr>
            </w:pPr>
          </w:p>
        </w:tc>
        <w:tc>
          <w:tcPr>
            <w:tcW w:w="1863" w:type="dxa"/>
            <w:vMerge w:val="continue"/>
            <w:vAlign w:val="center"/>
          </w:tcPr>
          <w:p>
            <w:pPr>
              <w:spacing w:line="500" w:lineRule="exact"/>
              <w:rPr>
                <w:rFonts w:asciiTheme="minorEastAsia" w:hAnsiTheme="minorEastAsia" w:eastAsiaTheme="minorEastAsia"/>
                <w:sz w:val="24"/>
              </w:rPr>
            </w:pPr>
          </w:p>
        </w:tc>
        <w:tc>
          <w:tcPr>
            <w:tcW w:w="2160"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投标文件的印刷与装订</w:t>
            </w:r>
          </w:p>
        </w:tc>
        <w:tc>
          <w:tcPr>
            <w:tcW w:w="486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符合投标人须知第</w:t>
            </w:r>
            <w:r>
              <w:rPr>
                <w:rFonts w:asciiTheme="minorEastAsia" w:hAnsiTheme="minorEastAsia" w:eastAsiaTheme="minorEastAsia"/>
                <w:sz w:val="24"/>
              </w:rPr>
              <w:t>8</w:t>
            </w:r>
            <w:r>
              <w:rPr>
                <w:rFonts w:hint="eastAsia" w:asciiTheme="minorEastAsia" w:hAnsiTheme="minorEastAsia" w:eastAsiaTheme="minorEastAsia"/>
                <w:sz w:val="24"/>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847" w:type="dxa"/>
            <w:vMerge w:val="restart"/>
            <w:vAlign w:val="center"/>
          </w:tcPr>
          <w:p>
            <w:pPr>
              <w:spacing w:line="500" w:lineRule="exact"/>
              <w:jc w:val="center"/>
              <w:rPr>
                <w:rFonts w:asciiTheme="minorEastAsia" w:hAnsiTheme="minorEastAsia" w:eastAsiaTheme="minorEastAsia"/>
                <w:sz w:val="24"/>
              </w:rPr>
            </w:pPr>
            <w:r>
              <w:rPr>
                <w:rFonts w:asciiTheme="minorEastAsia" w:hAnsiTheme="minorEastAsia" w:eastAsiaTheme="minorEastAsia"/>
                <w:sz w:val="24"/>
              </w:rPr>
              <w:t>2</w:t>
            </w:r>
          </w:p>
        </w:tc>
        <w:tc>
          <w:tcPr>
            <w:tcW w:w="1863" w:type="dxa"/>
            <w:vMerge w:val="restart"/>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响应性评审标准</w:t>
            </w:r>
          </w:p>
        </w:tc>
        <w:tc>
          <w:tcPr>
            <w:tcW w:w="2160"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投标内容</w:t>
            </w:r>
          </w:p>
        </w:tc>
        <w:tc>
          <w:tcPr>
            <w:tcW w:w="486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符合第二章“投标人须知”第</w:t>
            </w:r>
            <w:r>
              <w:rPr>
                <w:rFonts w:asciiTheme="minorEastAsia" w:hAnsiTheme="minorEastAsia" w:eastAsiaTheme="minorEastAsia"/>
                <w:sz w:val="24"/>
              </w:rPr>
              <w:t>1.9</w:t>
            </w:r>
            <w:r>
              <w:rPr>
                <w:rFonts w:hint="eastAsia" w:asciiTheme="minorEastAsia" w:hAnsiTheme="minorEastAsia" w:eastAsiaTheme="minorEastAsia"/>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7" w:type="dxa"/>
            <w:vMerge w:val="continue"/>
          </w:tcPr>
          <w:p>
            <w:pPr>
              <w:spacing w:line="500" w:lineRule="exact"/>
              <w:rPr>
                <w:rFonts w:asciiTheme="minorEastAsia" w:hAnsiTheme="minorEastAsia" w:eastAsiaTheme="minorEastAsia"/>
                <w:sz w:val="24"/>
              </w:rPr>
            </w:pPr>
          </w:p>
        </w:tc>
        <w:tc>
          <w:tcPr>
            <w:tcW w:w="1863" w:type="dxa"/>
            <w:vMerge w:val="continue"/>
            <w:vAlign w:val="center"/>
          </w:tcPr>
          <w:p>
            <w:pPr>
              <w:spacing w:line="500" w:lineRule="exact"/>
              <w:rPr>
                <w:rFonts w:asciiTheme="minorEastAsia" w:hAnsiTheme="minorEastAsia" w:eastAsiaTheme="minorEastAsia"/>
                <w:sz w:val="24"/>
              </w:rPr>
            </w:pPr>
          </w:p>
        </w:tc>
        <w:tc>
          <w:tcPr>
            <w:tcW w:w="2160"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投标有效期</w:t>
            </w:r>
          </w:p>
        </w:tc>
        <w:tc>
          <w:tcPr>
            <w:tcW w:w="486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符合第二章“投标人须知”第</w:t>
            </w:r>
            <w:r>
              <w:rPr>
                <w:rFonts w:asciiTheme="minorEastAsia" w:hAnsiTheme="minorEastAsia" w:eastAsiaTheme="minorEastAsia"/>
                <w:sz w:val="24"/>
              </w:rPr>
              <w:t>12.1</w:t>
            </w:r>
            <w:r>
              <w:rPr>
                <w:rFonts w:hint="eastAsia" w:asciiTheme="minorEastAsia" w:hAnsiTheme="minorEastAsia" w:eastAsiaTheme="minorEastAsia"/>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7" w:type="dxa"/>
            <w:vMerge w:val="continue"/>
          </w:tcPr>
          <w:p>
            <w:pPr>
              <w:spacing w:line="500" w:lineRule="exact"/>
              <w:rPr>
                <w:rFonts w:asciiTheme="minorEastAsia" w:hAnsiTheme="minorEastAsia" w:eastAsiaTheme="minorEastAsia"/>
                <w:sz w:val="24"/>
              </w:rPr>
            </w:pPr>
          </w:p>
        </w:tc>
        <w:tc>
          <w:tcPr>
            <w:tcW w:w="1863" w:type="dxa"/>
            <w:vMerge w:val="continue"/>
            <w:vAlign w:val="center"/>
          </w:tcPr>
          <w:p>
            <w:pPr>
              <w:spacing w:line="500" w:lineRule="exact"/>
              <w:rPr>
                <w:rFonts w:asciiTheme="minorEastAsia" w:hAnsiTheme="minorEastAsia" w:eastAsiaTheme="minorEastAsia"/>
                <w:sz w:val="24"/>
              </w:rPr>
            </w:pPr>
          </w:p>
        </w:tc>
        <w:tc>
          <w:tcPr>
            <w:tcW w:w="2160"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投标保证金</w:t>
            </w:r>
          </w:p>
        </w:tc>
        <w:tc>
          <w:tcPr>
            <w:tcW w:w="486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符合第二章“投标人须知”第</w:t>
            </w:r>
            <w:r>
              <w:rPr>
                <w:rFonts w:asciiTheme="minorEastAsia" w:hAnsiTheme="minorEastAsia" w:eastAsiaTheme="minorEastAsia"/>
                <w:sz w:val="24"/>
              </w:rPr>
              <w:t>13</w:t>
            </w:r>
            <w:r>
              <w:rPr>
                <w:rFonts w:hint="eastAsia" w:asciiTheme="minorEastAsia" w:hAnsiTheme="minorEastAsia" w:eastAsiaTheme="minorEastAsia"/>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7" w:type="dxa"/>
            <w:vMerge w:val="continue"/>
          </w:tcPr>
          <w:p>
            <w:pPr>
              <w:spacing w:line="500" w:lineRule="exact"/>
              <w:rPr>
                <w:rFonts w:asciiTheme="minorEastAsia" w:hAnsiTheme="minorEastAsia" w:eastAsiaTheme="minorEastAsia"/>
                <w:sz w:val="24"/>
              </w:rPr>
            </w:pPr>
          </w:p>
        </w:tc>
        <w:tc>
          <w:tcPr>
            <w:tcW w:w="1863" w:type="dxa"/>
            <w:vMerge w:val="continue"/>
            <w:vAlign w:val="center"/>
          </w:tcPr>
          <w:p>
            <w:pPr>
              <w:spacing w:line="500" w:lineRule="exact"/>
              <w:rPr>
                <w:rFonts w:asciiTheme="minorEastAsia" w:hAnsiTheme="minorEastAsia" w:eastAsiaTheme="minorEastAsia"/>
                <w:sz w:val="24"/>
              </w:rPr>
            </w:pPr>
          </w:p>
        </w:tc>
        <w:tc>
          <w:tcPr>
            <w:tcW w:w="2160"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权利义务</w:t>
            </w:r>
          </w:p>
        </w:tc>
        <w:tc>
          <w:tcPr>
            <w:tcW w:w="486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符合第六章“</w:t>
            </w:r>
            <w:r>
              <w:rPr>
                <w:rFonts w:asciiTheme="minorEastAsia" w:hAnsiTheme="minorEastAsia" w:eastAsiaTheme="minorEastAsia"/>
                <w:sz w:val="24"/>
              </w:rPr>
              <w:t>PPP</w:t>
            </w:r>
            <w:r>
              <w:rPr>
                <w:rFonts w:hint="eastAsia" w:asciiTheme="minorEastAsia" w:hAnsiTheme="minorEastAsia" w:eastAsiaTheme="minorEastAsia"/>
                <w:sz w:val="24"/>
              </w:rPr>
              <w:t>项目合同”规定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847" w:type="dxa"/>
            <w:vMerge w:val="continue"/>
          </w:tcPr>
          <w:p>
            <w:pPr>
              <w:spacing w:line="500" w:lineRule="exact"/>
              <w:rPr>
                <w:rFonts w:asciiTheme="minorEastAsia" w:hAnsiTheme="minorEastAsia" w:eastAsiaTheme="minorEastAsia"/>
                <w:sz w:val="24"/>
              </w:rPr>
            </w:pPr>
          </w:p>
        </w:tc>
        <w:tc>
          <w:tcPr>
            <w:tcW w:w="1863" w:type="dxa"/>
            <w:vMerge w:val="continue"/>
            <w:vAlign w:val="center"/>
          </w:tcPr>
          <w:p>
            <w:pPr>
              <w:spacing w:line="500" w:lineRule="exact"/>
              <w:rPr>
                <w:rFonts w:asciiTheme="minorEastAsia" w:hAnsiTheme="minorEastAsia" w:eastAsiaTheme="minorEastAsia"/>
                <w:sz w:val="24"/>
              </w:rPr>
            </w:pPr>
          </w:p>
        </w:tc>
        <w:tc>
          <w:tcPr>
            <w:tcW w:w="2160"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联合体投标</w:t>
            </w:r>
          </w:p>
        </w:tc>
        <w:tc>
          <w:tcPr>
            <w:tcW w:w="486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投标人组成联合体投标的，须符合第</w:t>
            </w:r>
            <w:r>
              <w:rPr>
                <w:rFonts w:asciiTheme="minorEastAsia" w:hAnsiTheme="minorEastAsia" w:eastAsiaTheme="minorEastAsia"/>
                <w:sz w:val="24"/>
              </w:rPr>
              <w:t>3</w:t>
            </w:r>
            <w:r>
              <w:rPr>
                <w:rFonts w:hint="eastAsia" w:asciiTheme="minorEastAsia" w:hAnsiTheme="minorEastAsia" w:eastAsiaTheme="minorEastAsia"/>
                <w:sz w:val="24"/>
              </w:rPr>
              <w:t>章投标人须知前附表第</w:t>
            </w:r>
            <w:r>
              <w:rPr>
                <w:rFonts w:asciiTheme="minorEastAsia" w:hAnsiTheme="minorEastAsia" w:eastAsiaTheme="minorEastAsia"/>
                <w:sz w:val="24"/>
              </w:rPr>
              <w:t>3.3</w:t>
            </w:r>
            <w:r>
              <w:rPr>
                <w:rFonts w:hint="eastAsia" w:asciiTheme="minorEastAsia" w:hAnsiTheme="minorEastAsia" w:eastAsiaTheme="minorEastAsia"/>
                <w:sz w:val="24"/>
              </w:rPr>
              <w:t>款规定。</w:t>
            </w:r>
          </w:p>
        </w:tc>
      </w:tr>
    </w:tbl>
    <w:p>
      <w:pPr>
        <w:pStyle w:val="4"/>
        <w:spacing w:before="0" w:after="0" w:line="440" w:lineRule="exact"/>
        <w:rPr>
          <w:rFonts w:asciiTheme="minorEastAsia" w:hAnsiTheme="minorEastAsia" w:eastAsiaTheme="minorEastAsia"/>
          <w:sz w:val="24"/>
        </w:rPr>
      </w:pPr>
      <w:r>
        <w:rPr>
          <w:rFonts w:asciiTheme="minorEastAsia" w:hAnsiTheme="minorEastAsia" w:eastAsiaTheme="minorEastAsia"/>
        </w:rPr>
        <w:br w:type="page"/>
      </w:r>
      <w:bookmarkStart w:id="185" w:name="_Toc462955449"/>
      <w:r>
        <w:rPr>
          <w:rFonts w:hint="eastAsia" w:asciiTheme="minorEastAsia" w:hAnsiTheme="minorEastAsia" w:eastAsiaTheme="minorEastAsia"/>
          <w:sz w:val="24"/>
        </w:rPr>
        <w:t>详细评审</w:t>
      </w:r>
      <w:bookmarkEnd w:id="185"/>
    </w:p>
    <w:p>
      <w:pPr>
        <w:spacing w:line="440" w:lineRule="exact"/>
        <w:ind w:firstLine="420" w:firstLineChars="200"/>
        <w:rPr>
          <w:rFonts w:cs="仿宋" w:asciiTheme="minorEastAsia" w:hAnsiTheme="minorEastAsia" w:eastAsiaTheme="minorEastAsia"/>
          <w:bCs/>
          <w:szCs w:val="21"/>
        </w:rPr>
      </w:pPr>
      <w:r>
        <w:rPr>
          <w:rFonts w:hint="eastAsia" w:cs="仿宋" w:asciiTheme="minorEastAsia" w:hAnsiTheme="minorEastAsia" w:eastAsiaTheme="minorEastAsia"/>
          <w:szCs w:val="21"/>
        </w:rPr>
        <w:t>评标委员会以采购文件为依据，对投标文件进行评审，对投标人的投标文件内容进行量化打分，其中报价分（</w:t>
      </w:r>
      <w:r>
        <w:rPr>
          <w:rFonts w:cs="仿宋" w:asciiTheme="minorEastAsia" w:hAnsiTheme="minorEastAsia" w:eastAsiaTheme="minorEastAsia"/>
          <w:szCs w:val="21"/>
        </w:rPr>
        <w:t>A</w:t>
      </w:r>
      <w:r>
        <w:rPr>
          <w:rFonts w:hint="eastAsia" w:cs="仿宋" w:asciiTheme="minorEastAsia" w:hAnsiTheme="minorEastAsia" w:eastAsiaTheme="minorEastAsia"/>
          <w:szCs w:val="21"/>
        </w:rPr>
        <w:t>）2</w:t>
      </w:r>
      <w:r>
        <w:rPr>
          <w:rFonts w:cs="仿宋" w:asciiTheme="minorEastAsia" w:hAnsiTheme="minorEastAsia" w:eastAsiaTheme="minorEastAsia"/>
          <w:szCs w:val="21"/>
        </w:rPr>
        <w:t>0</w:t>
      </w:r>
      <w:r>
        <w:rPr>
          <w:rFonts w:hint="eastAsia" w:cs="仿宋" w:asciiTheme="minorEastAsia" w:hAnsiTheme="minorEastAsia" w:eastAsiaTheme="minorEastAsia"/>
          <w:szCs w:val="21"/>
        </w:rPr>
        <w:t>分，技术分（</w:t>
      </w:r>
      <w:r>
        <w:rPr>
          <w:rFonts w:cs="仿宋" w:asciiTheme="minorEastAsia" w:hAnsiTheme="minorEastAsia" w:eastAsiaTheme="minorEastAsia"/>
          <w:szCs w:val="21"/>
        </w:rPr>
        <w:t>B</w:t>
      </w:r>
      <w:r>
        <w:rPr>
          <w:rFonts w:hint="eastAsia" w:cs="仿宋" w:asciiTheme="minorEastAsia" w:hAnsiTheme="minorEastAsia" w:eastAsiaTheme="minorEastAsia"/>
          <w:szCs w:val="21"/>
        </w:rPr>
        <w:t>）60分，商务方案（C）20分。</w:t>
      </w:r>
    </w:p>
    <w:p>
      <w:pPr>
        <w:pStyle w:val="4"/>
        <w:spacing w:before="0" w:after="0" w:line="440" w:lineRule="exact"/>
        <w:rPr>
          <w:rFonts w:asciiTheme="minorEastAsia" w:hAnsiTheme="minorEastAsia" w:eastAsiaTheme="minorEastAsia"/>
          <w:sz w:val="24"/>
        </w:rPr>
      </w:pPr>
      <w:r>
        <w:rPr>
          <w:rFonts w:hint="eastAsia" w:asciiTheme="minorEastAsia" w:hAnsiTheme="minorEastAsia" w:eastAsiaTheme="minorEastAsia"/>
          <w:sz w:val="24"/>
        </w:rPr>
        <w:t>报价评分细则（代号</w:t>
      </w:r>
      <w:r>
        <w:rPr>
          <w:rFonts w:asciiTheme="minorEastAsia" w:hAnsiTheme="minorEastAsia" w:eastAsiaTheme="minorEastAsia"/>
          <w:sz w:val="24"/>
        </w:rPr>
        <w:t>A</w:t>
      </w:r>
      <w:r>
        <w:rPr>
          <w:rFonts w:hint="eastAsia" w:asciiTheme="minorEastAsia" w:hAnsiTheme="minorEastAsia" w:eastAsiaTheme="minorEastAsia"/>
          <w:sz w:val="24"/>
        </w:rPr>
        <w:t>，满分2</w:t>
      </w:r>
      <w:r>
        <w:rPr>
          <w:rFonts w:asciiTheme="minorEastAsia" w:hAnsiTheme="minorEastAsia" w:eastAsiaTheme="minorEastAsia"/>
          <w:sz w:val="24"/>
        </w:rPr>
        <w:t>0</w:t>
      </w:r>
      <w:r>
        <w:rPr>
          <w:rFonts w:hint="eastAsia" w:asciiTheme="minorEastAsia" w:hAnsiTheme="minorEastAsia" w:eastAsiaTheme="minorEastAsia"/>
          <w:sz w:val="24"/>
        </w:rPr>
        <w:t>分）</w:t>
      </w:r>
    </w:p>
    <w:tbl>
      <w:tblPr>
        <w:tblStyle w:val="55"/>
        <w:tblW w:w="989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1"/>
        <w:gridCol w:w="1820"/>
        <w:gridCol w:w="840"/>
        <w:gridCol w:w="62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8" w:hRule="atLeast"/>
          <w:jc w:val="center"/>
        </w:trPr>
        <w:tc>
          <w:tcPr>
            <w:tcW w:w="971" w:type="dxa"/>
            <w:tcBorders>
              <w:top w:val="single" w:color="auto" w:sz="4" w:space="0"/>
            </w:tcBorders>
            <w:shd w:val="clear" w:color="auto" w:fill="D9D9D9"/>
            <w:vAlign w:val="center"/>
          </w:tcPr>
          <w:p>
            <w:pPr>
              <w:spacing w:line="400" w:lineRule="exact"/>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序号</w:t>
            </w:r>
          </w:p>
        </w:tc>
        <w:tc>
          <w:tcPr>
            <w:tcW w:w="1820" w:type="dxa"/>
            <w:tcBorders>
              <w:top w:val="single" w:color="auto" w:sz="4" w:space="0"/>
            </w:tcBorders>
            <w:shd w:val="clear" w:color="auto" w:fill="D9D9D9"/>
            <w:vAlign w:val="center"/>
          </w:tcPr>
          <w:p>
            <w:pPr>
              <w:spacing w:line="400" w:lineRule="exact"/>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评分项目</w:t>
            </w:r>
          </w:p>
        </w:tc>
        <w:tc>
          <w:tcPr>
            <w:tcW w:w="840" w:type="dxa"/>
            <w:tcBorders>
              <w:top w:val="single" w:color="auto" w:sz="4" w:space="0"/>
            </w:tcBorders>
            <w:shd w:val="clear" w:color="auto" w:fill="D9D9D9"/>
            <w:vAlign w:val="center"/>
          </w:tcPr>
          <w:p>
            <w:pPr>
              <w:spacing w:line="400" w:lineRule="exact"/>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满分</w:t>
            </w:r>
          </w:p>
        </w:tc>
        <w:tc>
          <w:tcPr>
            <w:tcW w:w="6264" w:type="dxa"/>
            <w:tcBorders>
              <w:top w:val="single" w:color="auto" w:sz="4" w:space="0"/>
            </w:tcBorders>
            <w:shd w:val="clear" w:color="auto" w:fill="D9D9D9"/>
            <w:vAlign w:val="center"/>
          </w:tcPr>
          <w:p>
            <w:pPr>
              <w:spacing w:line="400" w:lineRule="exact"/>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评分因素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90" w:hRule="atLeast"/>
          <w:jc w:val="center"/>
        </w:trPr>
        <w:tc>
          <w:tcPr>
            <w:tcW w:w="971" w:type="dxa"/>
            <w:tcBorders>
              <w:bottom w:val="single" w:color="auto" w:sz="4" w:space="0"/>
            </w:tcBorders>
            <w:vAlign w:val="center"/>
          </w:tcPr>
          <w:p>
            <w:pPr>
              <w:spacing w:line="400" w:lineRule="exact"/>
              <w:jc w:val="center"/>
              <w:rPr>
                <w:rFonts w:cs="仿宋" w:asciiTheme="minorEastAsia" w:hAnsiTheme="minorEastAsia" w:eastAsiaTheme="minorEastAsia"/>
                <w:sz w:val="24"/>
              </w:rPr>
            </w:pPr>
            <w:r>
              <w:rPr>
                <w:rFonts w:cs="仿宋" w:asciiTheme="minorEastAsia" w:hAnsiTheme="minorEastAsia" w:eastAsiaTheme="minorEastAsia"/>
                <w:sz w:val="24"/>
              </w:rPr>
              <w:t>1</w:t>
            </w:r>
          </w:p>
        </w:tc>
        <w:tc>
          <w:tcPr>
            <w:tcW w:w="1820" w:type="dxa"/>
            <w:tcBorders>
              <w:bottom w:val="single" w:color="auto" w:sz="4" w:space="0"/>
            </w:tcBorders>
            <w:vAlign w:val="center"/>
          </w:tcPr>
          <w:p>
            <w:pPr>
              <w:numPr>
                <w:ilvl w:val="1"/>
                <w:numId w:val="6"/>
              </w:numPr>
              <w:spacing w:line="4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社会资本方全投资内部收益率（税后）报价，</w:t>
            </w:r>
          </w:p>
          <w:p>
            <w:pPr>
              <w:numPr>
                <w:ilvl w:val="1"/>
                <w:numId w:val="6"/>
              </w:numPr>
              <w:spacing w:line="400" w:lineRule="exact"/>
              <w:jc w:val="center"/>
              <w:rPr>
                <w:rFonts w:cs="仿宋" w:asciiTheme="minorEastAsia" w:hAnsiTheme="minorEastAsia" w:eastAsiaTheme="minorEastAsia"/>
                <w:szCs w:val="21"/>
              </w:rPr>
            </w:pPr>
            <w:r>
              <w:rPr>
                <w:rFonts w:asciiTheme="minorEastAsia" w:hAnsiTheme="minorEastAsia" w:eastAsiaTheme="minorEastAsia"/>
                <w:kern w:val="0"/>
              </w:rPr>
              <w:t>工业供水初始运营成本</w:t>
            </w:r>
            <w:r>
              <w:rPr>
                <w:rFonts w:hint="eastAsia" w:asciiTheme="minorEastAsia" w:hAnsiTheme="minorEastAsia" w:eastAsiaTheme="minorEastAsia"/>
                <w:kern w:val="0"/>
              </w:rPr>
              <w:t>，</w:t>
            </w:r>
          </w:p>
          <w:p>
            <w:pPr>
              <w:numPr>
                <w:ilvl w:val="1"/>
                <w:numId w:val="6"/>
              </w:numPr>
              <w:spacing w:line="400" w:lineRule="exact"/>
              <w:jc w:val="center"/>
              <w:rPr>
                <w:rFonts w:cs="仿宋" w:asciiTheme="minorEastAsia" w:hAnsiTheme="minorEastAsia" w:eastAsiaTheme="minorEastAsia"/>
                <w:szCs w:val="21"/>
              </w:rPr>
            </w:pPr>
            <w:r>
              <w:rPr>
                <w:rFonts w:asciiTheme="minorEastAsia" w:hAnsiTheme="minorEastAsia" w:eastAsiaTheme="minorEastAsia"/>
                <w:kern w:val="0"/>
              </w:rPr>
              <w:t>生活供水初始运营成本</w:t>
            </w:r>
            <w:r>
              <w:rPr>
                <w:rFonts w:hint="eastAsia" w:asciiTheme="minorEastAsia" w:hAnsiTheme="minorEastAsia" w:eastAsiaTheme="minorEastAsia"/>
                <w:kern w:val="0"/>
              </w:rPr>
              <w:t>，</w:t>
            </w:r>
          </w:p>
          <w:p>
            <w:pPr>
              <w:numPr>
                <w:ilvl w:val="1"/>
                <w:numId w:val="6"/>
              </w:numPr>
              <w:spacing w:line="400" w:lineRule="exact"/>
              <w:jc w:val="center"/>
              <w:rPr>
                <w:rFonts w:cs="仿宋" w:asciiTheme="minorEastAsia" w:hAnsiTheme="minorEastAsia" w:eastAsiaTheme="minorEastAsia"/>
                <w:szCs w:val="21"/>
              </w:rPr>
            </w:pPr>
            <w:r>
              <w:rPr>
                <w:rFonts w:asciiTheme="minorEastAsia" w:hAnsiTheme="minorEastAsia" w:eastAsiaTheme="minorEastAsia"/>
                <w:kern w:val="0"/>
              </w:rPr>
              <w:t>污水初始运营成本</w:t>
            </w:r>
            <w:r>
              <w:rPr>
                <w:rFonts w:hint="eastAsia" w:asciiTheme="minorEastAsia" w:hAnsiTheme="minorEastAsia" w:eastAsiaTheme="minorEastAsia"/>
                <w:kern w:val="0"/>
              </w:rPr>
              <w:t>。</w:t>
            </w:r>
          </w:p>
        </w:tc>
        <w:tc>
          <w:tcPr>
            <w:tcW w:w="840" w:type="dxa"/>
            <w:tcBorders>
              <w:bottom w:val="single" w:color="auto" w:sz="4" w:space="0"/>
            </w:tcBorders>
            <w:vAlign w:val="center"/>
          </w:tcPr>
          <w:p>
            <w:pPr>
              <w:spacing w:line="4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r>
              <w:rPr>
                <w:rFonts w:cs="仿宋" w:asciiTheme="minorEastAsia" w:hAnsiTheme="minorEastAsia" w:eastAsiaTheme="minorEastAsia"/>
                <w:szCs w:val="21"/>
              </w:rPr>
              <w:t>0</w:t>
            </w:r>
            <w:r>
              <w:rPr>
                <w:rFonts w:hint="eastAsia" w:cs="仿宋" w:asciiTheme="minorEastAsia" w:hAnsiTheme="minorEastAsia" w:eastAsiaTheme="minorEastAsia"/>
                <w:szCs w:val="21"/>
              </w:rPr>
              <w:t>分</w:t>
            </w:r>
          </w:p>
        </w:tc>
        <w:tc>
          <w:tcPr>
            <w:tcW w:w="6264" w:type="dxa"/>
            <w:tcBorders>
              <w:bottom w:val="single" w:color="auto" w:sz="4" w:space="0"/>
            </w:tcBorders>
            <w:vAlign w:val="center"/>
          </w:tcPr>
          <w:p>
            <w:pPr>
              <w:pStyle w:val="1003"/>
              <w:spacing w:line="400" w:lineRule="exact"/>
              <w:jc w:val="both"/>
              <w:rPr>
                <w:rFonts w:asciiTheme="minorEastAsia" w:hAnsiTheme="minorEastAsia" w:eastAsiaTheme="minorEastAsia"/>
                <w:sz w:val="21"/>
              </w:rPr>
            </w:pPr>
            <w:r>
              <w:rPr>
                <w:rFonts w:hint="eastAsia" w:cs="仿宋" w:asciiTheme="minorEastAsia" w:hAnsiTheme="minorEastAsia" w:eastAsiaTheme="minorEastAsia"/>
                <w:szCs w:val="21"/>
              </w:rPr>
              <w:t>（1）</w:t>
            </w:r>
            <w:r>
              <w:rPr>
                <w:rFonts w:hint="eastAsia" w:asciiTheme="minorEastAsia" w:hAnsiTheme="minorEastAsia" w:eastAsiaTheme="minorEastAsia"/>
                <w:sz w:val="21"/>
              </w:rPr>
              <w:t>评标基准价取所有通过初步评审和详细评审的投标人报价的平均值</w:t>
            </w:r>
            <w:r>
              <w:rPr>
                <w:rFonts w:asciiTheme="minorEastAsia" w:hAnsiTheme="minorEastAsia" w:eastAsiaTheme="minorEastAsia"/>
                <w:sz w:val="21"/>
              </w:rPr>
              <w:t>，其中</w:t>
            </w:r>
            <w:r>
              <w:rPr>
                <w:rFonts w:hint="eastAsia" w:asciiTheme="minorEastAsia" w:hAnsiTheme="minorEastAsia" w:eastAsiaTheme="minorEastAsia"/>
                <w:sz w:val="21"/>
              </w:rPr>
              <w:t>社会资本方全投资内部收益率（税后）最高分11</w:t>
            </w:r>
            <w:r>
              <w:rPr>
                <w:rFonts w:asciiTheme="minorEastAsia" w:hAnsiTheme="minorEastAsia" w:eastAsiaTheme="minorEastAsia"/>
                <w:sz w:val="21"/>
              </w:rPr>
              <w:t>分（1.1项），</w:t>
            </w:r>
            <w:r>
              <w:rPr>
                <w:rFonts w:hint="eastAsia" w:asciiTheme="minorEastAsia" w:hAnsiTheme="minorEastAsia" w:eastAsiaTheme="minorEastAsia"/>
                <w:sz w:val="21"/>
              </w:rPr>
              <w:t>1.2，1.3，1.4项最高各3分；</w:t>
            </w:r>
          </w:p>
          <w:p>
            <w:pPr>
              <w:pStyle w:val="1003"/>
              <w:spacing w:line="400" w:lineRule="exact"/>
              <w:jc w:val="both"/>
              <w:rPr>
                <w:rFonts w:asciiTheme="minorEastAsia" w:hAnsiTheme="minorEastAsia" w:eastAsiaTheme="minorEastAsia"/>
                <w:sz w:val="21"/>
              </w:rPr>
            </w:pPr>
            <w:r>
              <w:rPr>
                <w:rFonts w:hint="eastAsia" w:asciiTheme="minorEastAsia" w:hAnsiTheme="minorEastAsia" w:eastAsiaTheme="minorEastAsia"/>
                <w:sz w:val="21"/>
              </w:rPr>
              <w:fldChar w:fldCharType="begin"/>
            </w:r>
            <w:r>
              <w:rPr>
                <w:rFonts w:hint="eastAsia" w:asciiTheme="minorEastAsia" w:hAnsiTheme="minorEastAsia" w:eastAsiaTheme="minorEastAsia"/>
                <w:sz w:val="21"/>
              </w:rPr>
              <w:instrText xml:space="preserve"> = 1 \* GB3 \* MERGEFORMAT </w:instrText>
            </w:r>
            <w:r>
              <w:rPr>
                <w:rFonts w:hint="eastAsia" w:asciiTheme="minorEastAsia" w:hAnsiTheme="minorEastAsia" w:eastAsiaTheme="minorEastAsia"/>
                <w:sz w:val="21"/>
              </w:rPr>
              <w:fldChar w:fldCharType="separate"/>
            </w:r>
            <w:r>
              <w:rPr>
                <w:rFonts w:asciiTheme="minorEastAsia" w:hAnsiTheme="minorEastAsia" w:eastAsiaTheme="minorEastAsia"/>
              </w:rPr>
              <w:t>①</w:t>
            </w:r>
            <w:r>
              <w:rPr>
                <w:rFonts w:hint="eastAsia" w:asciiTheme="minorEastAsia" w:hAnsiTheme="minorEastAsia" w:eastAsiaTheme="minorEastAsia"/>
                <w:sz w:val="21"/>
              </w:rPr>
              <w:fldChar w:fldCharType="end"/>
            </w:r>
            <w:r>
              <w:rPr>
                <w:rFonts w:hint="eastAsia" w:cs="仿宋" w:asciiTheme="minorEastAsia" w:hAnsiTheme="minorEastAsia" w:eastAsiaTheme="minorEastAsia"/>
                <w:kern w:val="2"/>
                <w:sz w:val="21"/>
                <w:szCs w:val="21"/>
              </w:rPr>
              <w:t>计算偏差率：偏差率=100%×（投标人报价－评标基准价）/评标基准价</w:t>
            </w:r>
            <w:r>
              <w:rPr>
                <w:rFonts w:hint="eastAsia" w:asciiTheme="minorEastAsia" w:hAnsiTheme="minorEastAsia" w:eastAsiaTheme="minorEastAsia"/>
                <w:sz w:val="21"/>
              </w:rPr>
              <w:t>；</w:t>
            </w:r>
          </w:p>
          <w:p>
            <w:pPr>
              <w:pStyle w:val="1003"/>
              <w:spacing w:line="400" w:lineRule="exact"/>
              <w:jc w:val="both"/>
              <w:rPr>
                <w:rFonts w:asciiTheme="minorEastAsia" w:hAnsiTheme="minorEastAsia" w:eastAsiaTheme="minorEastAsia"/>
                <w:sz w:val="21"/>
              </w:rPr>
            </w:pPr>
            <w:r>
              <w:rPr>
                <w:rFonts w:hint="eastAsia" w:asciiTheme="minorEastAsia" w:hAnsiTheme="minorEastAsia" w:eastAsiaTheme="minorEastAsia"/>
                <w:sz w:val="21"/>
              </w:rPr>
              <w:fldChar w:fldCharType="begin"/>
            </w:r>
            <w:r>
              <w:rPr>
                <w:rFonts w:asciiTheme="minorEastAsia" w:hAnsiTheme="minorEastAsia" w:eastAsiaTheme="minorEastAsia"/>
                <w:sz w:val="21"/>
              </w:rPr>
              <w:instrText xml:space="preserve"> = 2 \* GB3 \* MERGEFORMAT </w:instrText>
            </w:r>
            <w:r>
              <w:rPr>
                <w:rFonts w:hint="eastAsia" w:asciiTheme="minorEastAsia" w:hAnsiTheme="minorEastAsia" w:eastAsiaTheme="minorEastAsia"/>
                <w:sz w:val="21"/>
              </w:rPr>
              <w:fldChar w:fldCharType="separate"/>
            </w:r>
            <w:r>
              <w:rPr>
                <w:rFonts w:hint="eastAsia" w:asciiTheme="minorEastAsia" w:hAnsiTheme="minorEastAsia" w:eastAsiaTheme="minorEastAsia"/>
                <w:sz w:val="21"/>
              </w:rPr>
              <w:t>②</w:t>
            </w:r>
            <w:r>
              <w:rPr>
                <w:rFonts w:hint="eastAsia" w:asciiTheme="minorEastAsia" w:hAnsiTheme="minorEastAsia" w:eastAsiaTheme="minorEastAsia"/>
                <w:sz w:val="21"/>
              </w:rPr>
              <w:fldChar w:fldCharType="end"/>
            </w:r>
            <w:r>
              <w:rPr>
                <w:rFonts w:hint="eastAsia" w:asciiTheme="minorEastAsia" w:hAnsiTheme="minorEastAsia" w:eastAsiaTheme="minorEastAsia"/>
                <w:sz w:val="21"/>
              </w:rPr>
              <w:t>计算得分：如果投标人的投标报价＞评标基准价，则评标价得分=最高分-偏差率×最高分×1.5；如果投标人的投标报价＜评标基准价，则评标价得分=最高分+偏差率×最高分×1；</w:t>
            </w:r>
          </w:p>
          <w:p>
            <w:pPr>
              <w:pStyle w:val="1003"/>
              <w:spacing w:line="400" w:lineRule="exact"/>
              <w:jc w:val="both"/>
              <w:textAlignment w:val="center"/>
              <w:rPr>
                <w:rFonts w:asciiTheme="minorEastAsia" w:hAnsiTheme="minorEastAsia" w:eastAsiaTheme="minorEastAsia"/>
              </w:rPr>
            </w:pPr>
            <w:r>
              <w:rPr>
                <w:rFonts w:asciiTheme="minorEastAsia" w:hAnsiTheme="minorEastAsia" w:eastAsiaTheme="minorEastAsia"/>
                <w:sz w:val="21"/>
              </w:rPr>
              <w:fldChar w:fldCharType="begin"/>
            </w:r>
            <w:r>
              <w:rPr>
                <w:rFonts w:asciiTheme="minorEastAsia" w:hAnsiTheme="minorEastAsia" w:eastAsiaTheme="minorEastAsia"/>
                <w:sz w:val="21"/>
              </w:rPr>
              <w:instrText xml:space="preserve"> = 3 \* GB3 \* MERGEFORMAT </w:instrText>
            </w:r>
            <w:r>
              <w:rPr>
                <w:rFonts w:asciiTheme="minorEastAsia" w:hAnsiTheme="minorEastAsia" w:eastAsiaTheme="minorEastAsia"/>
                <w:sz w:val="21"/>
              </w:rPr>
              <w:fldChar w:fldCharType="separate"/>
            </w:r>
            <w:r>
              <w:rPr>
                <w:rFonts w:hint="eastAsia" w:asciiTheme="minorEastAsia" w:hAnsiTheme="minorEastAsia" w:eastAsiaTheme="minorEastAsia"/>
                <w:sz w:val="21"/>
              </w:rPr>
              <w:t>③</w:t>
            </w:r>
            <w:r>
              <w:rPr>
                <w:rFonts w:asciiTheme="minorEastAsia" w:hAnsiTheme="minorEastAsia" w:eastAsiaTheme="minorEastAsia"/>
                <w:sz w:val="21"/>
              </w:rPr>
              <w:fldChar w:fldCharType="end"/>
            </w:r>
            <w:r>
              <w:rPr>
                <w:rFonts w:hint="eastAsia" w:asciiTheme="minorEastAsia" w:hAnsiTheme="minorEastAsia" w:eastAsiaTheme="minorEastAsia"/>
                <w:sz w:val="21"/>
              </w:rPr>
              <w:t>某</w:t>
            </w:r>
            <w:r>
              <w:rPr>
                <w:rFonts w:asciiTheme="minorEastAsia" w:hAnsiTheme="minorEastAsia" w:eastAsiaTheme="minorEastAsia"/>
                <w:sz w:val="21"/>
              </w:rPr>
              <w:t>投标人</w:t>
            </w:r>
            <w:r>
              <w:rPr>
                <w:rFonts w:hint="eastAsia" w:asciiTheme="minorEastAsia" w:hAnsiTheme="minorEastAsia" w:eastAsiaTheme="minorEastAsia"/>
                <w:sz w:val="21"/>
              </w:rPr>
              <w:t>价格分</w:t>
            </w:r>
            <w:r>
              <w:rPr>
                <w:rFonts w:asciiTheme="minorEastAsia" w:hAnsiTheme="minorEastAsia" w:eastAsiaTheme="minorEastAsia"/>
                <w:sz w:val="21"/>
              </w:rPr>
              <w:t xml:space="preserve"> = </w:t>
            </w:r>
            <w:r>
              <w:rPr>
                <w:rFonts w:hint="eastAsia" w:asciiTheme="minorEastAsia" w:hAnsiTheme="minorEastAsia" w:eastAsiaTheme="minorEastAsia"/>
                <w:sz w:val="21"/>
              </w:rPr>
              <w:t>投标人(1.1项)得分 + 投标人(1.2项)得分</w:t>
            </w:r>
            <w:r>
              <w:rPr>
                <w:rFonts w:asciiTheme="minorEastAsia" w:hAnsiTheme="minorEastAsia" w:eastAsiaTheme="minorEastAsia"/>
                <w:sz w:val="21"/>
              </w:rPr>
              <w:t xml:space="preserve"> + </w:t>
            </w:r>
            <w:r>
              <w:rPr>
                <w:rFonts w:hint="eastAsia" w:asciiTheme="minorEastAsia" w:hAnsiTheme="minorEastAsia" w:eastAsiaTheme="minorEastAsia"/>
                <w:sz w:val="21"/>
              </w:rPr>
              <w:t>投标人(1.</w:t>
            </w:r>
            <w:r>
              <w:rPr>
                <w:rFonts w:asciiTheme="minorEastAsia" w:hAnsiTheme="minorEastAsia" w:eastAsiaTheme="minorEastAsia"/>
                <w:sz w:val="21"/>
              </w:rPr>
              <w:t>3</w:t>
            </w:r>
            <w:r>
              <w:rPr>
                <w:rFonts w:hint="eastAsia" w:asciiTheme="minorEastAsia" w:hAnsiTheme="minorEastAsia" w:eastAsiaTheme="minorEastAsia"/>
                <w:sz w:val="21"/>
              </w:rPr>
              <w:t>项)得分</w:t>
            </w:r>
            <w:r>
              <w:rPr>
                <w:rFonts w:asciiTheme="minorEastAsia" w:hAnsiTheme="minorEastAsia" w:eastAsiaTheme="minorEastAsia"/>
                <w:sz w:val="21"/>
              </w:rPr>
              <w:t xml:space="preserve"> + </w:t>
            </w:r>
            <w:r>
              <w:rPr>
                <w:rFonts w:hint="eastAsia" w:asciiTheme="minorEastAsia" w:hAnsiTheme="minorEastAsia" w:eastAsiaTheme="minorEastAsia"/>
                <w:sz w:val="21"/>
              </w:rPr>
              <w:t>投标人(1.</w:t>
            </w:r>
            <w:r>
              <w:rPr>
                <w:rFonts w:asciiTheme="minorEastAsia" w:hAnsiTheme="minorEastAsia" w:eastAsiaTheme="minorEastAsia"/>
                <w:sz w:val="21"/>
              </w:rPr>
              <w:t>4</w:t>
            </w:r>
            <w:r>
              <w:rPr>
                <w:rFonts w:hint="eastAsia" w:asciiTheme="minorEastAsia" w:hAnsiTheme="minorEastAsia" w:eastAsiaTheme="minorEastAsia"/>
                <w:sz w:val="21"/>
              </w:rPr>
              <w:t>项)得分。</w:t>
            </w:r>
          </w:p>
          <w:p>
            <w:pPr>
              <w:pStyle w:val="1003"/>
              <w:spacing w:line="400" w:lineRule="exact"/>
              <w:jc w:val="both"/>
              <w:rPr>
                <w:rFonts w:asciiTheme="minorEastAsia" w:hAnsiTheme="minorEastAsia" w:eastAsiaTheme="minorEastAsia"/>
                <w:sz w:val="21"/>
              </w:rPr>
            </w:pPr>
            <w:r>
              <w:rPr>
                <w:rFonts w:hint="eastAsia" w:asciiTheme="minorEastAsia" w:hAnsiTheme="minorEastAsia" w:eastAsiaTheme="minorEastAsia"/>
                <w:sz w:val="21"/>
              </w:rPr>
              <w:t>（2）社会资本方全投资内部收益率（税后）</w:t>
            </w:r>
            <w:r>
              <w:rPr>
                <w:rFonts w:asciiTheme="minorEastAsia" w:hAnsiTheme="minorEastAsia" w:eastAsiaTheme="minorEastAsia"/>
                <w:sz w:val="21"/>
              </w:rPr>
              <w:t>在不高于招标控制价上限</w:t>
            </w:r>
            <w:r>
              <w:rPr>
                <w:rFonts w:hint="eastAsia" w:asciiTheme="minorEastAsia" w:hAnsiTheme="minorEastAsia" w:eastAsiaTheme="minorEastAsia"/>
                <w:sz w:val="21"/>
              </w:rPr>
              <w:t>6.</w:t>
            </w:r>
            <w:r>
              <w:rPr>
                <w:rFonts w:asciiTheme="minorEastAsia" w:hAnsiTheme="minorEastAsia" w:eastAsiaTheme="minorEastAsia"/>
                <w:sz w:val="21"/>
              </w:rPr>
              <w:t>8%的范围内为有效报价，报价最小单位为0.01%。</w:t>
            </w:r>
          </w:p>
          <w:p>
            <w:pPr>
              <w:pStyle w:val="1003"/>
              <w:spacing w:line="400" w:lineRule="exact"/>
              <w:jc w:val="both"/>
              <w:rPr>
                <w:rFonts w:asciiTheme="minorEastAsia" w:hAnsiTheme="minorEastAsia" w:eastAsiaTheme="minorEastAsia"/>
                <w:sz w:val="21"/>
              </w:rPr>
            </w:pPr>
            <w:r>
              <w:rPr>
                <w:rFonts w:asciiTheme="minorEastAsia" w:hAnsiTheme="minorEastAsia" w:eastAsiaTheme="minorEastAsia"/>
                <w:sz w:val="21"/>
              </w:rPr>
              <w:t>（</w:t>
            </w:r>
            <w:r>
              <w:rPr>
                <w:rFonts w:hint="eastAsia" w:asciiTheme="minorEastAsia" w:hAnsiTheme="minorEastAsia" w:eastAsiaTheme="minorEastAsia"/>
                <w:sz w:val="21"/>
              </w:rPr>
              <w:t>3</w:t>
            </w:r>
            <w:r>
              <w:rPr>
                <w:rFonts w:asciiTheme="minorEastAsia" w:hAnsiTheme="minorEastAsia" w:eastAsiaTheme="minorEastAsia"/>
                <w:sz w:val="21"/>
              </w:rPr>
              <w:t>）项目</w:t>
            </w:r>
            <w:r>
              <w:rPr>
                <w:rFonts w:hint="eastAsia" w:asciiTheme="minorEastAsia" w:hAnsiTheme="minorEastAsia" w:eastAsiaTheme="minorEastAsia"/>
                <w:sz w:val="21"/>
              </w:rPr>
              <w:t>初始运营成本为19年运营合计成本，报价暂不考虑调价因素，报价为基本水量下包干成本，其中：</w:t>
            </w:r>
          </w:p>
          <w:p>
            <w:pPr>
              <w:pStyle w:val="1003"/>
              <w:spacing w:line="400" w:lineRule="exact"/>
              <w:jc w:val="both"/>
              <w:rPr>
                <w:rFonts w:asciiTheme="minorEastAsia" w:hAnsiTheme="minorEastAsia" w:eastAsiaTheme="minorEastAsia"/>
                <w:sz w:val="21"/>
              </w:rPr>
            </w:pPr>
            <w:r>
              <w:rPr>
                <w:rFonts w:hint="eastAsia" w:asciiTheme="minorEastAsia" w:hAnsiTheme="minorEastAsia" w:eastAsiaTheme="minorEastAsia"/>
                <w:sz w:val="21"/>
              </w:rPr>
              <w:t>项目工业供水初始运营成本在不高于招标控制价上限36071.49万元的范围内为有效报价，报价最小单位为0.01万元；</w:t>
            </w:r>
          </w:p>
          <w:p>
            <w:pPr>
              <w:pStyle w:val="1003"/>
              <w:spacing w:line="400" w:lineRule="exact"/>
              <w:jc w:val="both"/>
              <w:rPr>
                <w:rFonts w:asciiTheme="minorEastAsia" w:hAnsiTheme="minorEastAsia" w:eastAsiaTheme="minorEastAsia"/>
                <w:sz w:val="21"/>
              </w:rPr>
            </w:pPr>
            <w:r>
              <w:rPr>
                <w:rFonts w:hint="eastAsia" w:asciiTheme="minorEastAsia" w:hAnsiTheme="minorEastAsia" w:eastAsiaTheme="minorEastAsia"/>
                <w:sz w:val="21"/>
              </w:rPr>
              <w:t>项目生活供水初始运营成本在不高于招标控制价上限4673.70万元的范围内为有效报价，报价最小单位为0.01万元；</w:t>
            </w:r>
          </w:p>
          <w:p>
            <w:pPr>
              <w:pStyle w:val="1003"/>
              <w:spacing w:line="400" w:lineRule="exact"/>
              <w:jc w:val="both"/>
              <w:rPr>
                <w:rFonts w:asciiTheme="minorEastAsia" w:hAnsiTheme="minorEastAsia" w:eastAsiaTheme="minorEastAsia"/>
                <w:sz w:val="21"/>
              </w:rPr>
            </w:pPr>
            <w:r>
              <w:rPr>
                <w:rFonts w:hint="eastAsia" w:asciiTheme="minorEastAsia" w:hAnsiTheme="minorEastAsia" w:eastAsiaTheme="minorEastAsia"/>
                <w:sz w:val="21"/>
              </w:rPr>
              <w:t>项目污水初始运营成本在不高于招标控制价上限28899.81万元的范围内为有效报价，报价最小单位为0.01万元。</w:t>
            </w:r>
          </w:p>
          <w:p>
            <w:pPr>
              <w:numPr>
                <w:ilvl w:val="0"/>
                <w:numId w:val="7"/>
              </w:numPr>
              <w:spacing w:line="400" w:lineRule="exact"/>
              <w:textAlignment w:val="center"/>
              <w:rPr>
                <w:rFonts w:asciiTheme="minorEastAsia" w:hAnsiTheme="minorEastAsia" w:eastAsiaTheme="minorEastAsia"/>
              </w:rPr>
            </w:pPr>
            <w:r>
              <w:rPr>
                <w:rFonts w:hint="eastAsia" w:asciiTheme="minorEastAsia" w:hAnsiTheme="minorEastAsia" w:eastAsiaTheme="minorEastAsia"/>
              </w:rPr>
              <w:t>初始运营成本包括：人员工资及福利、电费、水费、水资源费、药剂费、污泥处理及外运费、项目范围内管网维护费、修理费、大修费、管理费、生活供水进水水费（暂估）、栅渣和沉砂处理费。</w:t>
            </w:r>
          </w:p>
          <w:p>
            <w:pPr>
              <w:tabs>
                <w:tab w:val="left" w:pos="220"/>
              </w:tabs>
              <w:spacing w:line="400" w:lineRule="exact"/>
              <w:jc w:val="left"/>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（5）具体测算过程可附附件。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791" w:type="dxa"/>
            <w:gridSpan w:val="2"/>
            <w:vAlign w:val="center"/>
          </w:tcPr>
          <w:p>
            <w:pPr>
              <w:snapToGrid w:val="0"/>
              <w:spacing w:line="400" w:lineRule="exac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合计</w:t>
            </w:r>
          </w:p>
        </w:tc>
        <w:tc>
          <w:tcPr>
            <w:tcW w:w="7104" w:type="dxa"/>
            <w:gridSpan w:val="2"/>
            <w:vAlign w:val="center"/>
          </w:tcPr>
          <w:p>
            <w:pPr>
              <w:snapToGrid w:val="0"/>
              <w:spacing w:line="400" w:lineRule="exac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2</w:t>
            </w:r>
            <w:r>
              <w:rPr>
                <w:rFonts w:cs="仿宋" w:asciiTheme="minorEastAsia" w:hAnsiTheme="minorEastAsia" w:eastAsiaTheme="minorEastAsia"/>
                <w:b/>
                <w:sz w:val="24"/>
              </w:rPr>
              <w:t>0</w:t>
            </w:r>
            <w:r>
              <w:rPr>
                <w:rFonts w:hint="eastAsia" w:cs="仿宋" w:asciiTheme="minorEastAsia" w:hAnsiTheme="minorEastAsia" w:eastAsiaTheme="minorEastAsia"/>
                <w:b/>
                <w:sz w:val="24"/>
              </w:rPr>
              <w:t>分</w:t>
            </w:r>
          </w:p>
        </w:tc>
      </w:tr>
    </w:tbl>
    <w:p>
      <w:pPr>
        <w:pStyle w:val="200"/>
        <w:ind w:firstLine="480"/>
        <w:rPr>
          <w:rFonts w:asciiTheme="minorEastAsia" w:hAnsiTheme="minorEastAsia" w:eastAsiaTheme="minorEastAsia"/>
        </w:rPr>
      </w:pPr>
    </w:p>
    <w:p>
      <w:pPr>
        <w:widowControl/>
        <w:jc w:val="left"/>
        <w:rPr>
          <w:rFonts w:asciiTheme="minorEastAsia" w:hAnsiTheme="minorEastAsia" w:eastAsiaTheme="minorEastAsia"/>
          <w:b/>
          <w:sz w:val="28"/>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rPr>
        <w:t>技术方案评分细则（代号</w:t>
      </w:r>
      <w:r>
        <w:rPr>
          <w:rFonts w:asciiTheme="minorEastAsia" w:hAnsiTheme="minorEastAsia" w:eastAsiaTheme="minorEastAsia"/>
        </w:rPr>
        <w:t>B</w:t>
      </w:r>
      <w:r>
        <w:rPr>
          <w:rFonts w:hint="eastAsia" w:asciiTheme="minorEastAsia" w:hAnsiTheme="minorEastAsia" w:eastAsiaTheme="minorEastAsia"/>
        </w:rPr>
        <w:t>，满分60分）</w:t>
      </w:r>
    </w:p>
    <w:tbl>
      <w:tblPr>
        <w:tblStyle w:val="55"/>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38"/>
        <w:gridCol w:w="918"/>
        <w:gridCol w:w="15"/>
        <w:gridCol w:w="6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BEBEBE" w:themeFill="background1" w:themeFillShade="BF"/>
            <w:vAlign w:val="center"/>
          </w:tcPr>
          <w:p>
            <w:pPr>
              <w:pStyle w:val="200"/>
              <w:ind w:firstLine="0" w:firstLineChars="0"/>
              <w:jc w:val="center"/>
              <w:rPr>
                <w:rFonts w:asciiTheme="minorEastAsia" w:hAnsiTheme="minorEastAsia" w:eastAsiaTheme="minorEastAsia"/>
              </w:rPr>
            </w:pPr>
            <w:r>
              <w:rPr>
                <w:rFonts w:hint="eastAsia" w:asciiTheme="minorEastAsia" w:hAnsiTheme="minorEastAsia" w:eastAsiaTheme="minorEastAsia"/>
              </w:rPr>
              <w:t>序号</w:t>
            </w:r>
          </w:p>
        </w:tc>
        <w:tc>
          <w:tcPr>
            <w:tcW w:w="938" w:type="dxa"/>
            <w:shd w:val="clear" w:color="auto" w:fill="BEBEBE" w:themeFill="background1" w:themeFillShade="BF"/>
            <w:vAlign w:val="center"/>
          </w:tcPr>
          <w:p>
            <w:pPr>
              <w:pStyle w:val="200"/>
              <w:ind w:firstLine="0" w:firstLineChars="0"/>
              <w:jc w:val="center"/>
              <w:rPr>
                <w:rFonts w:asciiTheme="minorEastAsia" w:hAnsiTheme="minorEastAsia" w:eastAsiaTheme="minorEastAsia"/>
              </w:rPr>
            </w:pPr>
            <w:r>
              <w:rPr>
                <w:rFonts w:hint="eastAsia" w:asciiTheme="minorEastAsia" w:hAnsiTheme="minorEastAsia" w:eastAsiaTheme="minorEastAsia"/>
              </w:rPr>
              <w:t>评分</w:t>
            </w:r>
          </w:p>
          <w:p>
            <w:pPr>
              <w:pStyle w:val="200"/>
              <w:ind w:firstLine="0" w:firstLineChars="0"/>
              <w:jc w:val="center"/>
              <w:rPr>
                <w:rFonts w:asciiTheme="minorEastAsia" w:hAnsiTheme="minorEastAsia" w:eastAsiaTheme="minorEastAsia"/>
              </w:rPr>
            </w:pPr>
            <w:r>
              <w:rPr>
                <w:rFonts w:hint="eastAsia" w:asciiTheme="minorEastAsia" w:hAnsiTheme="minorEastAsia" w:eastAsiaTheme="minorEastAsia"/>
              </w:rPr>
              <w:t>项目</w:t>
            </w:r>
          </w:p>
        </w:tc>
        <w:tc>
          <w:tcPr>
            <w:tcW w:w="918" w:type="dxa"/>
            <w:shd w:val="clear" w:color="auto" w:fill="BEBEBE" w:themeFill="background1" w:themeFillShade="BF"/>
            <w:vAlign w:val="center"/>
          </w:tcPr>
          <w:p>
            <w:pPr>
              <w:pStyle w:val="200"/>
              <w:ind w:firstLine="0" w:firstLineChars="0"/>
              <w:jc w:val="center"/>
              <w:rPr>
                <w:rFonts w:asciiTheme="minorEastAsia" w:hAnsiTheme="minorEastAsia" w:eastAsiaTheme="minorEastAsia"/>
              </w:rPr>
            </w:pPr>
            <w:r>
              <w:rPr>
                <w:rFonts w:hint="eastAsia" w:asciiTheme="minorEastAsia" w:hAnsiTheme="minorEastAsia" w:eastAsiaTheme="minorEastAsia"/>
              </w:rPr>
              <w:t>满分</w:t>
            </w:r>
          </w:p>
        </w:tc>
        <w:tc>
          <w:tcPr>
            <w:tcW w:w="6982" w:type="dxa"/>
            <w:gridSpan w:val="2"/>
            <w:shd w:val="clear" w:color="auto" w:fill="BEBEBE" w:themeFill="background1" w:themeFillShade="BF"/>
            <w:vAlign w:val="center"/>
          </w:tcPr>
          <w:p>
            <w:pPr>
              <w:pStyle w:val="200"/>
              <w:ind w:firstLine="0" w:firstLineChars="0"/>
              <w:jc w:val="center"/>
              <w:rPr>
                <w:rFonts w:asciiTheme="minorEastAsia" w:hAnsiTheme="minorEastAsia" w:eastAsiaTheme="minorEastAsia"/>
              </w:rPr>
            </w:pPr>
            <w:r>
              <w:rPr>
                <w:rFonts w:hint="eastAsia" w:asciiTheme="minorEastAsia" w:hAnsiTheme="minorEastAsia" w:eastAsiaTheme="minorEastAsia"/>
              </w:rPr>
              <w:t>评分标准及说明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00"/>
              <w:ind w:firstLine="0" w:firstLineChars="0"/>
              <w:jc w:val="center"/>
              <w:rPr>
                <w:rFonts w:asciiTheme="minorEastAsia" w:hAnsiTheme="minorEastAsia" w:eastAsiaTheme="minorEastAsia"/>
                <w:szCs w:val="21"/>
              </w:rPr>
            </w:pPr>
            <w:r>
              <w:rPr>
                <w:rFonts w:asciiTheme="minorEastAsia" w:hAnsiTheme="minorEastAsia" w:eastAsiaTheme="minorEastAsia"/>
                <w:szCs w:val="21"/>
              </w:rPr>
              <w:t>1</w:t>
            </w:r>
          </w:p>
        </w:tc>
        <w:tc>
          <w:tcPr>
            <w:tcW w:w="938" w:type="dxa"/>
            <w:vAlign w:val="center"/>
          </w:tcPr>
          <w:p>
            <w:pPr>
              <w:pStyle w:val="200"/>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建设方案</w:t>
            </w:r>
          </w:p>
        </w:tc>
        <w:tc>
          <w:tcPr>
            <w:tcW w:w="933" w:type="dxa"/>
            <w:gridSpan w:val="2"/>
            <w:vAlign w:val="center"/>
          </w:tcPr>
          <w:p>
            <w:pPr>
              <w:pStyle w:val="200"/>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18分</w:t>
            </w:r>
          </w:p>
        </w:tc>
        <w:tc>
          <w:tcPr>
            <w:tcW w:w="6967" w:type="dxa"/>
            <w:vAlign w:val="center"/>
          </w:tcPr>
          <w:p>
            <w:pPr>
              <w:pStyle w:val="200"/>
              <w:ind w:firstLine="0" w:firstLineChars="0"/>
              <w:jc w:val="left"/>
              <w:rPr>
                <w:rFonts w:asciiTheme="minorEastAsia" w:hAnsiTheme="minorEastAsia" w:eastAsiaTheme="minorEastAsia"/>
                <w:szCs w:val="21"/>
              </w:rPr>
            </w:pPr>
            <w:r>
              <w:rPr>
                <w:rFonts w:hint="eastAsia" w:asciiTheme="minorEastAsia" w:hAnsiTheme="minorEastAsia" w:eastAsiaTheme="minorEastAsia"/>
                <w:szCs w:val="21"/>
              </w:rPr>
              <w:t>一档（3分）：建立的工期计划、质量措施及安全文明措施，基本符合项目实际要求。从项目建设管理方面制定工期、质量、安全保证措施，措施一般、不合理。</w:t>
            </w:r>
          </w:p>
          <w:p>
            <w:pPr>
              <w:pStyle w:val="200"/>
              <w:ind w:firstLine="0" w:firstLineChars="0"/>
              <w:jc w:val="left"/>
              <w:rPr>
                <w:rFonts w:asciiTheme="minorEastAsia" w:hAnsiTheme="minorEastAsia" w:eastAsiaTheme="minorEastAsia"/>
                <w:szCs w:val="21"/>
              </w:rPr>
            </w:pPr>
            <w:r>
              <w:rPr>
                <w:rFonts w:hint="eastAsia" w:asciiTheme="minorEastAsia" w:hAnsiTheme="minorEastAsia" w:eastAsiaTheme="minorEastAsia"/>
                <w:szCs w:val="21"/>
              </w:rPr>
              <w:t>二档（7分）：建立较详细的工期计划、质量措施及安全文明措施，基本符合项目实际要求。从项目建设管理方面制定工期保证、质量保证及安全保证措施，且措施基本可行，能控制工期、质量、安全按计划进行。</w:t>
            </w:r>
          </w:p>
          <w:p>
            <w:pPr>
              <w:pStyle w:val="200"/>
              <w:ind w:firstLine="0" w:firstLineChars="0"/>
              <w:jc w:val="left"/>
              <w:rPr>
                <w:rFonts w:asciiTheme="minorEastAsia" w:hAnsiTheme="minorEastAsia" w:eastAsiaTheme="minorEastAsia"/>
                <w:szCs w:val="21"/>
              </w:rPr>
            </w:pPr>
            <w:r>
              <w:rPr>
                <w:rFonts w:hint="eastAsia" w:asciiTheme="minorEastAsia" w:hAnsiTheme="minorEastAsia" w:eastAsiaTheme="minorEastAsia"/>
                <w:szCs w:val="21"/>
              </w:rPr>
              <w:t>三档（9分）：建立较详细的工期计划、质量措施及安全文明措施，较为符合项目实际要求。从项目建设管理方面制定工期保证、质量保证及安全保证措施，且措施比较可行，能较好控制工期、质量、安全按计划进行，基本满足施工需要。</w:t>
            </w:r>
          </w:p>
          <w:p>
            <w:pPr>
              <w:pStyle w:val="200"/>
              <w:ind w:firstLine="0" w:firstLineChars="0"/>
              <w:jc w:val="left"/>
              <w:rPr>
                <w:rFonts w:asciiTheme="minorEastAsia" w:hAnsiTheme="minorEastAsia" w:eastAsiaTheme="minorEastAsia"/>
                <w:szCs w:val="21"/>
              </w:rPr>
            </w:pPr>
            <w:r>
              <w:rPr>
                <w:rFonts w:hint="eastAsia" w:asciiTheme="minorEastAsia" w:hAnsiTheme="minorEastAsia" w:eastAsiaTheme="minorEastAsia"/>
                <w:szCs w:val="21"/>
              </w:rPr>
              <w:t>四档（14分）：建立详细的工期计划、质量措施及安全文明措施，符合项目实际要求。从项目建设管理方面制定工期保证、质量保证及安全保证措施，且措施科学、可行，有效控制工期、质量、安全按计划进行较好满足施工需要。</w:t>
            </w:r>
          </w:p>
          <w:p>
            <w:pPr>
              <w:pStyle w:val="200"/>
              <w:ind w:firstLine="0" w:firstLineChars="0"/>
              <w:jc w:val="left"/>
              <w:rPr>
                <w:rFonts w:asciiTheme="minorEastAsia" w:hAnsiTheme="minorEastAsia" w:eastAsiaTheme="minorEastAsia"/>
                <w:szCs w:val="21"/>
              </w:rPr>
            </w:pPr>
            <w:r>
              <w:rPr>
                <w:rFonts w:hint="eastAsia" w:asciiTheme="minorEastAsia" w:hAnsiTheme="minorEastAsia" w:eastAsiaTheme="minorEastAsia"/>
                <w:szCs w:val="21"/>
              </w:rPr>
              <w:t>五档（18分）：建立详细的工期计划、质量措施及安全文明措施，完全符合或优于项目实际要求。从项目建设管理方面制定工期保证、质量保证及安全保证措施，且措施详尽周密、先进、对性强、切实可行，有效控制工期、质量、安全按计划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00"/>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938" w:type="dxa"/>
            <w:vAlign w:val="center"/>
          </w:tcPr>
          <w:p>
            <w:pPr>
              <w:pStyle w:val="200"/>
              <w:ind w:firstLine="0" w:firstLineChars="0"/>
              <w:jc w:val="center"/>
              <w:rPr>
                <w:rFonts w:asciiTheme="minorEastAsia" w:hAnsiTheme="minorEastAsia" w:eastAsiaTheme="minorEastAsia"/>
                <w:szCs w:val="21"/>
              </w:rPr>
            </w:pPr>
            <w:r>
              <w:rPr>
                <w:rFonts w:hint="eastAsia" w:cs="仿宋" w:asciiTheme="minorEastAsia" w:hAnsiTheme="minorEastAsia" w:eastAsiaTheme="minorEastAsia"/>
                <w:szCs w:val="21"/>
              </w:rPr>
              <w:t>投融资方案</w:t>
            </w:r>
          </w:p>
        </w:tc>
        <w:tc>
          <w:tcPr>
            <w:tcW w:w="933" w:type="dxa"/>
            <w:gridSpan w:val="2"/>
            <w:vAlign w:val="center"/>
          </w:tcPr>
          <w:p>
            <w:pPr>
              <w:pStyle w:val="200"/>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15分</w:t>
            </w:r>
          </w:p>
        </w:tc>
        <w:tc>
          <w:tcPr>
            <w:tcW w:w="6967" w:type="dxa"/>
            <w:vAlign w:val="center"/>
          </w:tcPr>
          <w:p>
            <w:pPr>
              <w:pStyle w:val="200"/>
              <w:ind w:firstLine="0" w:firstLineChars="0"/>
              <w:jc w:val="left"/>
              <w:rPr>
                <w:rFonts w:asciiTheme="minorEastAsia" w:hAnsiTheme="minorEastAsia" w:eastAsiaTheme="minorEastAsia"/>
              </w:rPr>
            </w:pPr>
            <w:r>
              <w:rPr>
                <w:rFonts w:hint="eastAsia" w:asciiTheme="minorEastAsia" w:hAnsiTheme="minorEastAsia" w:eastAsiaTheme="minorEastAsia"/>
                <w:szCs w:val="21"/>
              </w:rPr>
              <w:t>一档（4分）：</w:t>
            </w:r>
            <w:r>
              <w:rPr>
                <w:rFonts w:hint="eastAsia" w:cs="宋体" w:asciiTheme="minorEastAsia" w:hAnsiTheme="minorEastAsia" w:eastAsiaTheme="minorEastAsia"/>
                <w:szCs w:val="21"/>
              </w:rPr>
              <w:t>融资方案符合项目要求，同时方案中有融资方式、融资途径、风险防控、成本分析、财务管理等内容的基本描述，方案可行性较低。</w:t>
            </w:r>
          </w:p>
          <w:p>
            <w:pPr>
              <w:pStyle w:val="200"/>
              <w:ind w:firstLine="0" w:firstLineChars="0"/>
              <w:jc w:val="left"/>
              <w:rPr>
                <w:rFonts w:asciiTheme="minorEastAsia" w:hAnsiTheme="minorEastAsia" w:eastAsiaTheme="minorEastAsia"/>
                <w:szCs w:val="21"/>
              </w:rPr>
            </w:pPr>
            <w:r>
              <w:rPr>
                <w:rFonts w:hint="eastAsia" w:asciiTheme="minorEastAsia" w:hAnsiTheme="minorEastAsia" w:eastAsiaTheme="minorEastAsia"/>
                <w:szCs w:val="21"/>
              </w:rPr>
              <w:t>二档（9分）：</w:t>
            </w:r>
            <w:r>
              <w:rPr>
                <w:rFonts w:hint="eastAsia" w:cs="宋体" w:asciiTheme="minorEastAsia" w:hAnsiTheme="minorEastAsia" w:eastAsiaTheme="minorEastAsia"/>
                <w:szCs w:val="21"/>
              </w:rPr>
              <w:t>融资方案符合项目要求，同时方案中有融资方式、融资途径、风险防控、成本分析、财务管理等内容的描述，方案可行性较高。</w:t>
            </w:r>
          </w:p>
          <w:p>
            <w:pPr>
              <w:pStyle w:val="200"/>
              <w:ind w:firstLine="0" w:firstLineChars="0"/>
              <w:jc w:val="left"/>
              <w:rPr>
                <w:rFonts w:asciiTheme="minorEastAsia" w:hAnsiTheme="minorEastAsia" w:eastAsiaTheme="minorEastAsia"/>
                <w:szCs w:val="21"/>
              </w:rPr>
            </w:pPr>
            <w:r>
              <w:rPr>
                <w:rFonts w:hint="eastAsia" w:asciiTheme="minorEastAsia" w:hAnsiTheme="minorEastAsia" w:eastAsiaTheme="minorEastAsia"/>
                <w:szCs w:val="21"/>
              </w:rPr>
              <w:t>三档（15分）：</w:t>
            </w:r>
            <w:r>
              <w:rPr>
                <w:rFonts w:hint="eastAsia" w:cs="宋体" w:asciiTheme="minorEastAsia" w:hAnsiTheme="minorEastAsia" w:eastAsiaTheme="minorEastAsia"/>
                <w:szCs w:val="21"/>
              </w:rPr>
              <w:t>融资方案符合项目要求，同时方案中有融资方式、融资途径、风险防控、成本分析、财务管理等内容的详细描述，方案可行性极高。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00"/>
              <w:ind w:firstLine="0" w:firstLineChars="0"/>
              <w:jc w:val="center"/>
              <w:rPr>
                <w:rFonts w:asciiTheme="minorEastAsia" w:hAnsiTheme="minorEastAsia" w:eastAsiaTheme="minorEastAsia"/>
                <w:szCs w:val="21"/>
              </w:rPr>
            </w:pPr>
            <w:r>
              <w:rPr>
                <w:rFonts w:asciiTheme="minorEastAsia" w:hAnsiTheme="minorEastAsia" w:eastAsiaTheme="minorEastAsia"/>
                <w:szCs w:val="21"/>
              </w:rPr>
              <w:t>3</w:t>
            </w:r>
          </w:p>
        </w:tc>
        <w:tc>
          <w:tcPr>
            <w:tcW w:w="938" w:type="dxa"/>
            <w:vAlign w:val="center"/>
          </w:tcPr>
          <w:p>
            <w:pPr>
              <w:pStyle w:val="200"/>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运营维护方案</w:t>
            </w:r>
          </w:p>
        </w:tc>
        <w:tc>
          <w:tcPr>
            <w:tcW w:w="933" w:type="dxa"/>
            <w:gridSpan w:val="2"/>
            <w:vAlign w:val="center"/>
          </w:tcPr>
          <w:p>
            <w:pPr>
              <w:pStyle w:val="200"/>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15分</w:t>
            </w:r>
          </w:p>
        </w:tc>
        <w:tc>
          <w:tcPr>
            <w:tcW w:w="6967" w:type="dxa"/>
            <w:vAlign w:val="center"/>
          </w:tcPr>
          <w:p>
            <w:pPr>
              <w:pStyle w:val="200"/>
              <w:ind w:firstLine="0" w:firstLineChars="0"/>
              <w:jc w:val="left"/>
              <w:rPr>
                <w:rFonts w:cs="仿宋" w:asciiTheme="minorEastAsia" w:hAnsiTheme="minorEastAsia" w:eastAsiaTheme="minorEastAsia"/>
                <w:szCs w:val="21"/>
              </w:rPr>
            </w:pPr>
            <w:r>
              <w:rPr>
                <w:rFonts w:hint="eastAsia" w:asciiTheme="minorEastAsia" w:hAnsiTheme="minorEastAsia" w:eastAsiaTheme="minorEastAsia"/>
                <w:szCs w:val="21"/>
              </w:rPr>
              <w:t>一档（4分）：</w:t>
            </w:r>
            <w:r>
              <w:rPr>
                <w:rFonts w:hint="eastAsia" w:cs="宋体" w:asciiTheme="minorEastAsia" w:hAnsiTheme="minorEastAsia" w:eastAsiaTheme="minorEastAsia"/>
                <w:szCs w:val="21"/>
              </w:rPr>
              <w:t>对给水厂及污水厂处理运行管理基本了解，运行维护方式基本合理、设备发生异常应对措施等描述</w:t>
            </w:r>
            <w:r>
              <w:rPr>
                <w:rFonts w:hint="eastAsia" w:cs="仿宋" w:asciiTheme="minorEastAsia" w:hAnsiTheme="minorEastAsia" w:eastAsiaTheme="minorEastAsia"/>
                <w:szCs w:val="21"/>
              </w:rPr>
              <w:t>充实可行、项目</w:t>
            </w:r>
            <w:r>
              <w:rPr>
                <w:rFonts w:hint="eastAsia" w:asciiTheme="minorEastAsia" w:hAnsiTheme="minorEastAsia" w:eastAsiaTheme="minorEastAsia"/>
                <w:szCs w:val="21"/>
              </w:rPr>
              <w:t>基本齐全、措施一般、可操作性一般。</w:t>
            </w:r>
          </w:p>
          <w:p>
            <w:pPr>
              <w:pStyle w:val="200"/>
              <w:ind w:firstLine="0" w:firstLineChars="0"/>
              <w:jc w:val="left"/>
              <w:rPr>
                <w:rFonts w:cs="仿宋" w:asciiTheme="minorEastAsia" w:hAnsiTheme="minorEastAsia" w:eastAsiaTheme="minorEastAsia"/>
                <w:szCs w:val="21"/>
              </w:rPr>
            </w:pPr>
            <w:r>
              <w:rPr>
                <w:rFonts w:hint="eastAsia" w:asciiTheme="minorEastAsia" w:hAnsiTheme="minorEastAsia" w:eastAsiaTheme="minorEastAsia"/>
                <w:szCs w:val="21"/>
              </w:rPr>
              <w:t>二档（7分）：</w:t>
            </w:r>
            <w:r>
              <w:rPr>
                <w:rFonts w:hint="eastAsia" w:cs="宋体" w:asciiTheme="minorEastAsia" w:hAnsiTheme="minorEastAsia" w:eastAsiaTheme="minorEastAsia"/>
                <w:szCs w:val="21"/>
              </w:rPr>
              <w:t>对给水厂及污水厂处理运行管理较为熟悉，运行维护方式合理、设备发生异常应对措施有一定针对性，</w:t>
            </w:r>
            <w:r>
              <w:rPr>
                <w:rFonts w:hint="eastAsia" w:cs="仿宋" w:asciiTheme="minorEastAsia" w:hAnsiTheme="minorEastAsia" w:eastAsiaTheme="minorEastAsia"/>
                <w:szCs w:val="21"/>
              </w:rPr>
              <w:t>方案充实可行、项目齐全、措施基本合理、具备可操作性，人员配备满足运营需要，岗位职责明确的，且基本符合项目运营标准要求的。</w:t>
            </w:r>
          </w:p>
          <w:p>
            <w:pPr>
              <w:pStyle w:val="200"/>
              <w:ind w:firstLine="0" w:firstLineChars="0"/>
              <w:jc w:val="left"/>
              <w:rPr>
                <w:rFonts w:asciiTheme="minorEastAsia" w:hAnsiTheme="minorEastAsia" w:eastAsiaTheme="minorEastAsia"/>
                <w:szCs w:val="21"/>
              </w:rPr>
            </w:pPr>
            <w:r>
              <w:rPr>
                <w:rFonts w:hint="eastAsia" w:asciiTheme="minorEastAsia" w:hAnsiTheme="minorEastAsia" w:eastAsiaTheme="minorEastAsia"/>
                <w:szCs w:val="21"/>
              </w:rPr>
              <w:t>三档（10分）：</w:t>
            </w:r>
            <w:r>
              <w:rPr>
                <w:rFonts w:hint="eastAsia" w:cs="宋体" w:asciiTheme="minorEastAsia" w:hAnsiTheme="minorEastAsia" w:eastAsiaTheme="minorEastAsia"/>
                <w:szCs w:val="21"/>
              </w:rPr>
              <w:t>对给水厂及污水厂处理运行管理熟悉，运行维护方式合理、设备发生异常应对措施有针对性，</w:t>
            </w:r>
            <w:r>
              <w:rPr>
                <w:rFonts w:hint="eastAsia" w:cs="仿宋" w:asciiTheme="minorEastAsia" w:hAnsiTheme="minorEastAsia" w:eastAsiaTheme="minorEastAsia"/>
                <w:szCs w:val="21"/>
              </w:rPr>
              <w:t>方案充实可行、项目齐全、措施合理、具备可操作性，人员配备满足运营需要，岗位职责明确分明。且符合项目运营标准要求的。</w:t>
            </w:r>
          </w:p>
          <w:p>
            <w:pPr>
              <w:pStyle w:val="200"/>
              <w:ind w:firstLine="0" w:firstLineChars="0"/>
              <w:jc w:val="left"/>
              <w:rPr>
                <w:rFonts w:asciiTheme="minorEastAsia" w:hAnsiTheme="minorEastAsia" w:eastAsiaTheme="minorEastAsia"/>
                <w:szCs w:val="21"/>
              </w:rPr>
            </w:pPr>
            <w:r>
              <w:rPr>
                <w:rFonts w:hint="eastAsia" w:asciiTheme="minorEastAsia" w:hAnsiTheme="minorEastAsia" w:eastAsiaTheme="minorEastAsia"/>
                <w:szCs w:val="21"/>
              </w:rPr>
              <w:t>四档（15分）：</w:t>
            </w:r>
            <w:r>
              <w:rPr>
                <w:rFonts w:hint="eastAsia" w:cs="宋体" w:asciiTheme="minorEastAsia" w:hAnsiTheme="minorEastAsia" w:eastAsiaTheme="minorEastAsia"/>
                <w:szCs w:val="21"/>
              </w:rPr>
              <w:t>对给水厂及污水厂处理运行管理非常熟悉，运行维护方式详细且合理，设备管理内容、维护内容明晰，</w:t>
            </w:r>
            <w:r>
              <w:rPr>
                <w:rFonts w:hint="eastAsia" w:cs="仿宋" w:asciiTheme="minorEastAsia" w:hAnsiTheme="minorEastAsia" w:eastAsiaTheme="minorEastAsia"/>
                <w:szCs w:val="21"/>
              </w:rPr>
              <w:t>方案充实可行、项目齐全、措施详尽周密、可操作性及针对性强，人员配备满足或优于运营需要，岗位职责明确分明、安排科学合理，且符合或优于项目运营标准要求的。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00"/>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938" w:type="dxa"/>
            <w:vAlign w:val="center"/>
          </w:tcPr>
          <w:p>
            <w:pPr>
              <w:pStyle w:val="200"/>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移交方案</w:t>
            </w:r>
          </w:p>
        </w:tc>
        <w:tc>
          <w:tcPr>
            <w:tcW w:w="933" w:type="dxa"/>
            <w:gridSpan w:val="2"/>
            <w:vAlign w:val="center"/>
          </w:tcPr>
          <w:p>
            <w:pPr>
              <w:pStyle w:val="200"/>
              <w:ind w:firstLine="0" w:firstLineChars="0"/>
              <w:jc w:val="center"/>
              <w:rPr>
                <w:rFonts w:asciiTheme="minorEastAsia" w:hAnsiTheme="minorEastAsia" w:eastAsiaTheme="minorEastAsia"/>
                <w:szCs w:val="21"/>
              </w:rPr>
            </w:pPr>
            <w:r>
              <w:rPr>
                <w:rFonts w:hint="eastAsia" w:cs="仿宋" w:asciiTheme="minorEastAsia" w:hAnsiTheme="minorEastAsia" w:eastAsiaTheme="minorEastAsia"/>
                <w:szCs w:val="21"/>
              </w:rPr>
              <w:t>12分</w:t>
            </w:r>
          </w:p>
        </w:tc>
        <w:tc>
          <w:tcPr>
            <w:tcW w:w="6967" w:type="dxa"/>
            <w:vAlign w:val="center"/>
          </w:tcPr>
          <w:p>
            <w:pPr>
              <w:pStyle w:val="200"/>
              <w:ind w:firstLine="0" w:firstLineChars="0"/>
              <w:jc w:val="left"/>
              <w:rPr>
                <w:rFonts w:asciiTheme="minorEastAsia" w:hAnsiTheme="minorEastAsia" w:eastAsiaTheme="minorEastAsia"/>
                <w:szCs w:val="21"/>
              </w:rPr>
            </w:pPr>
            <w:r>
              <w:rPr>
                <w:rFonts w:hint="eastAsia" w:asciiTheme="minorEastAsia" w:hAnsiTheme="minorEastAsia" w:eastAsiaTheme="minorEastAsia"/>
                <w:szCs w:val="21"/>
              </w:rPr>
              <w:t>一档（4分）：</w:t>
            </w:r>
            <w:r>
              <w:rPr>
                <w:rFonts w:asciiTheme="minorEastAsia" w:hAnsiTheme="minorEastAsia" w:eastAsiaTheme="minorEastAsia"/>
                <w:sz w:val="21"/>
                <w:szCs w:val="21"/>
              </w:rPr>
              <w:t>移交方案基本满足。</w:t>
            </w:r>
            <w:r>
              <w:rPr>
                <w:rFonts w:hint="eastAsia" w:asciiTheme="minorEastAsia" w:hAnsiTheme="minorEastAsia" w:eastAsiaTheme="minorEastAsia"/>
                <w:szCs w:val="21"/>
              </w:rPr>
              <w:t>。</w:t>
            </w:r>
          </w:p>
          <w:p>
            <w:pPr>
              <w:pStyle w:val="200"/>
              <w:ind w:firstLine="0" w:firstLineChars="0"/>
              <w:jc w:val="left"/>
              <w:rPr>
                <w:rFonts w:asciiTheme="minorEastAsia" w:hAnsiTheme="minorEastAsia" w:eastAsiaTheme="minorEastAsia"/>
                <w:szCs w:val="21"/>
              </w:rPr>
            </w:pPr>
            <w:r>
              <w:rPr>
                <w:rFonts w:hint="eastAsia" w:asciiTheme="minorEastAsia" w:hAnsiTheme="minorEastAsia" w:eastAsiaTheme="minorEastAsia"/>
                <w:szCs w:val="21"/>
              </w:rPr>
              <w:t>二档（8分）：</w:t>
            </w:r>
            <w:r>
              <w:rPr>
                <w:rFonts w:asciiTheme="minorEastAsia" w:hAnsiTheme="minorEastAsia" w:eastAsiaTheme="minorEastAsia"/>
                <w:sz w:val="21"/>
                <w:szCs w:val="21"/>
              </w:rPr>
              <w:t>移交方案全面、合理、科学、先进，恢复性大修方案能持续良好运行满足需求</w:t>
            </w:r>
            <w:r>
              <w:rPr>
                <w:rFonts w:hint="eastAsia" w:asciiTheme="minorEastAsia" w:hAnsiTheme="minorEastAsia" w:eastAsiaTheme="minorEastAsia"/>
                <w:szCs w:val="21"/>
              </w:rPr>
              <w:t>。</w:t>
            </w:r>
          </w:p>
          <w:p>
            <w:pPr>
              <w:pStyle w:val="200"/>
              <w:ind w:firstLine="0" w:firstLineChars="0"/>
              <w:jc w:val="left"/>
              <w:rPr>
                <w:rFonts w:asciiTheme="minorEastAsia" w:hAnsiTheme="minorEastAsia" w:eastAsiaTheme="minorEastAsia"/>
                <w:szCs w:val="21"/>
              </w:rPr>
            </w:pPr>
            <w:r>
              <w:rPr>
                <w:rFonts w:hint="eastAsia" w:asciiTheme="minorEastAsia" w:hAnsiTheme="minorEastAsia" w:eastAsiaTheme="minorEastAsia"/>
                <w:szCs w:val="21"/>
              </w:rPr>
              <w:t>三档（12分）：</w:t>
            </w:r>
            <w:r>
              <w:rPr>
                <w:rFonts w:asciiTheme="minorEastAsia" w:hAnsiTheme="minorEastAsia" w:eastAsiaTheme="minorEastAsia"/>
                <w:sz w:val="21"/>
                <w:szCs w:val="21"/>
              </w:rPr>
              <w:t>移交方案全面、合理、科学、先进，恢复性大修方案能持续良好运行、移交资产范围全面满足、移交验收程序符合项目需求的</w:t>
            </w:r>
            <w:r>
              <w:rPr>
                <w:rFonts w:hint="eastAsia" w:asciiTheme="minorEastAsia" w:hAnsiTheme="minorEastAsia" w:eastAsiaTheme="minorEastAsia"/>
                <w:spacing w:val="-2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vAlign w:val="center"/>
          </w:tcPr>
          <w:p>
            <w:pPr>
              <w:pStyle w:val="200"/>
              <w:ind w:firstLine="0" w:firstLineChars="0"/>
              <w:jc w:val="center"/>
              <w:rPr>
                <w:rFonts w:cs="仿宋" w:asciiTheme="minorEastAsia" w:hAnsiTheme="minorEastAsia" w:eastAsiaTheme="minorEastAsia"/>
              </w:rPr>
            </w:pPr>
            <w:r>
              <w:rPr>
                <w:rFonts w:hint="eastAsia" w:cs="仿宋" w:asciiTheme="minorEastAsia" w:hAnsiTheme="minorEastAsia" w:eastAsiaTheme="minorEastAsia"/>
              </w:rPr>
              <w:t>合计</w:t>
            </w:r>
          </w:p>
        </w:tc>
        <w:tc>
          <w:tcPr>
            <w:tcW w:w="7900" w:type="dxa"/>
            <w:gridSpan w:val="3"/>
            <w:vAlign w:val="center"/>
          </w:tcPr>
          <w:p>
            <w:pPr>
              <w:pStyle w:val="200"/>
              <w:ind w:firstLine="0" w:firstLineChars="0"/>
              <w:jc w:val="center"/>
              <w:rPr>
                <w:rFonts w:asciiTheme="minorEastAsia" w:hAnsiTheme="minorEastAsia" w:eastAsiaTheme="minorEastAsia"/>
              </w:rPr>
            </w:pPr>
            <w:r>
              <w:rPr>
                <w:rFonts w:hint="eastAsia" w:asciiTheme="minorEastAsia" w:hAnsiTheme="minorEastAsia" w:eastAsiaTheme="minorEastAsia"/>
              </w:rPr>
              <w:t>60分</w:t>
            </w:r>
          </w:p>
        </w:tc>
      </w:tr>
    </w:tbl>
    <w:p>
      <w:pPr>
        <w:spacing w:line="360" w:lineRule="auto"/>
        <w:rPr>
          <w:rFonts w:cs="宋体" w:asciiTheme="minorEastAsia" w:hAnsiTheme="minorEastAsia" w:eastAsiaTheme="minorEastAsia"/>
          <w:bCs/>
          <w:szCs w:val="21"/>
        </w:rPr>
      </w:pPr>
      <w:r>
        <w:rPr>
          <w:rFonts w:hint="eastAsia" w:cs="宋体" w:asciiTheme="minorEastAsia" w:hAnsiTheme="minorEastAsia" w:eastAsiaTheme="minorEastAsia"/>
          <w:bCs/>
          <w:szCs w:val="21"/>
        </w:rPr>
        <w:t>（本项评分由评标委员会讨论进档，各评委独立进行打分）</w:t>
      </w:r>
    </w:p>
    <w:p>
      <w:pPr>
        <w:spacing w:line="360" w:lineRule="auto"/>
        <w:rPr>
          <w:rFonts w:cs="宋体" w:asciiTheme="minorEastAsia" w:hAnsiTheme="minorEastAsia" w:eastAsiaTheme="minorEastAsia"/>
          <w:bCs/>
          <w:szCs w:val="21"/>
        </w:rPr>
      </w:pPr>
    </w:p>
    <w:p>
      <w:pPr>
        <w:pStyle w:val="4"/>
        <w:rPr>
          <w:rFonts w:asciiTheme="minorEastAsia" w:hAnsiTheme="minorEastAsia" w:eastAsiaTheme="minorEastAsia"/>
          <w:szCs w:val="22"/>
        </w:rPr>
      </w:pPr>
      <w:r>
        <w:rPr>
          <w:rFonts w:asciiTheme="minorEastAsia" w:hAnsiTheme="minorEastAsia" w:eastAsiaTheme="minorEastAsia"/>
          <w:szCs w:val="22"/>
        </w:rPr>
        <w:br w:type="page"/>
      </w:r>
      <w:r>
        <w:rPr>
          <w:rFonts w:hint="eastAsia" w:asciiTheme="minorEastAsia" w:hAnsiTheme="minorEastAsia" w:eastAsiaTheme="minorEastAsia"/>
        </w:rPr>
        <w:t>商务方案评分细则（代号</w:t>
      </w:r>
      <w:r>
        <w:rPr>
          <w:rFonts w:asciiTheme="minorEastAsia" w:hAnsiTheme="minorEastAsia" w:eastAsiaTheme="minorEastAsia"/>
        </w:rPr>
        <w:t>C</w:t>
      </w:r>
      <w:r>
        <w:rPr>
          <w:rFonts w:hint="eastAsia" w:asciiTheme="minorEastAsia" w:hAnsiTheme="minorEastAsia" w:eastAsiaTheme="minorEastAsia"/>
        </w:rPr>
        <w:t>，满分20分）</w:t>
      </w:r>
    </w:p>
    <w:tbl>
      <w:tblPr>
        <w:tblStyle w:val="55"/>
        <w:tblW w:w="98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7"/>
        <w:gridCol w:w="1559"/>
        <w:gridCol w:w="850"/>
        <w:gridCol w:w="66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exact"/>
          <w:jc w:val="center"/>
        </w:trPr>
        <w:tc>
          <w:tcPr>
            <w:tcW w:w="797" w:type="dxa"/>
            <w:tcBorders>
              <w:top w:val="single" w:color="auto" w:sz="12" w:space="0"/>
            </w:tcBorders>
            <w:shd w:val="clear" w:color="auto" w:fill="D9D9D9"/>
            <w:vAlign w:val="center"/>
          </w:tcPr>
          <w:p>
            <w:pPr>
              <w:pStyle w:val="23"/>
              <w:snapToGrid w:val="0"/>
              <w:spacing w:line="500" w:lineRule="exact"/>
              <w:jc w:val="center"/>
              <w:rPr>
                <w:rFonts w:cs="仿宋" w:asciiTheme="minorEastAsia" w:hAnsiTheme="minorEastAsia" w:eastAsiaTheme="minorEastAsia"/>
                <w:b/>
                <w:spacing w:val="-6"/>
                <w:sz w:val="24"/>
              </w:rPr>
            </w:pPr>
            <w:r>
              <w:rPr>
                <w:rFonts w:hint="eastAsia" w:cs="仿宋" w:asciiTheme="minorEastAsia" w:hAnsiTheme="minorEastAsia" w:eastAsiaTheme="minorEastAsia"/>
                <w:b/>
                <w:spacing w:val="-6"/>
                <w:sz w:val="24"/>
              </w:rPr>
              <w:t>序号</w:t>
            </w:r>
          </w:p>
        </w:tc>
        <w:tc>
          <w:tcPr>
            <w:tcW w:w="1559" w:type="dxa"/>
            <w:tcBorders>
              <w:top w:val="single" w:color="auto" w:sz="12" w:space="0"/>
            </w:tcBorders>
            <w:shd w:val="clear" w:color="auto" w:fill="D9D9D9"/>
            <w:vAlign w:val="center"/>
          </w:tcPr>
          <w:p>
            <w:pPr>
              <w:pStyle w:val="23"/>
              <w:snapToGrid w:val="0"/>
              <w:spacing w:line="500" w:lineRule="exac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评标因素</w:t>
            </w:r>
          </w:p>
        </w:tc>
        <w:tc>
          <w:tcPr>
            <w:tcW w:w="850" w:type="dxa"/>
            <w:tcBorders>
              <w:top w:val="single" w:color="auto" w:sz="12" w:space="0"/>
            </w:tcBorders>
            <w:shd w:val="clear" w:color="auto" w:fill="D9D9D9"/>
            <w:vAlign w:val="center"/>
          </w:tcPr>
          <w:p>
            <w:pPr>
              <w:pStyle w:val="23"/>
              <w:snapToGrid w:val="0"/>
              <w:spacing w:line="500" w:lineRule="exact"/>
              <w:jc w:val="center"/>
              <w:rPr>
                <w:rFonts w:cs="仿宋" w:asciiTheme="minorEastAsia" w:hAnsiTheme="minorEastAsia" w:eastAsiaTheme="minorEastAsia"/>
                <w:b/>
                <w:sz w:val="24"/>
              </w:rPr>
            </w:pPr>
            <w:r>
              <w:rPr>
                <w:rFonts w:hint="eastAsia" w:cs="仿宋" w:asciiTheme="minorEastAsia" w:hAnsiTheme="minorEastAsia" w:eastAsiaTheme="minorEastAsia"/>
                <w:b/>
                <w:spacing w:val="-6"/>
                <w:sz w:val="24"/>
              </w:rPr>
              <w:t>满分</w:t>
            </w:r>
          </w:p>
        </w:tc>
        <w:tc>
          <w:tcPr>
            <w:tcW w:w="6605" w:type="dxa"/>
            <w:tcBorders>
              <w:top w:val="single" w:color="auto" w:sz="12" w:space="0"/>
            </w:tcBorders>
            <w:shd w:val="clear" w:color="auto" w:fill="D9D9D9"/>
            <w:vAlign w:val="center"/>
          </w:tcPr>
          <w:p>
            <w:pPr>
              <w:pStyle w:val="23"/>
              <w:snapToGrid w:val="0"/>
              <w:spacing w:line="500" w:lineRule="exac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评分标准说明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97" w:type="dxa"/>
            <w:vAlign w:val="center"/>
          </w:tcPr>
          <w:p>
            <w:pPr>
              <w:pStyle w:val="23"/>
              <w:snapToGrid w:val="0"/>
              <w:spacing w:before="163" w:beforeLines="50" w:after="163" w:afterLines="50"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1</w:t>
            </w:r>
          </w:p>
        </w:tc>
        <w:tc>
          <w:tcPr>
            <w:tcW w:w="1559" w:type="dxa"/>
            <w:vAlign w:val="center"/>
          </w:tcPr>
          <w:p>
            <w:pPr>
              <w:pStyle w:val="23"/>
              <w:snapToGrid w:val="0"/>
              <w:spacing w:before="163" w:beforeLines="50" w:after="163" w:afterLines="50"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3、企业荣誉及业绩</w:t>
            </w:r>
          </w:p>
        </w:tc>
        <w:tc>
          <w:tcPr>
            <w:tcW w:w="850" w:type="dxa"/>
            <w:vAlign w:val="center"/>
          </w:tcPr>
          <w:p>
            <w:pPr>
              <w:pStyle w:val="23"/>
              <w:snapToGrid w:val="0"/>
              <w:spacing w:before="163" w:beforeLines="50" w:after="163" w:afterLines="50"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10分</w:t>
            </w:r>
          </w:p>
        </w:tc>
        <w:tc>
          <w:tcPr>
            <w:tcW w:w="6605" w:type="dxa"/>
            <w:vAlign w:val="center"/>
          </w:tcPr>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1、企业荣誉（满分8分）</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（1）近三年内（从获奖证书颁发之日起至投标截止之日止，下同）投标人获得“市政金杯示范工程奖、詹天佑土木工程大奖、国家优质工程奖、建设工程项目施工安全生产标准化建设工地”的每个得1.5分。</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（2）近二年内（从获奖证书颁发之日起至投标截止之日止，下同）投标人获得省级工程质量或安全文明工地奖（建筑施工安全文明标准化工地）的每项得1分。</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（3）近一年内（从标准发布之日起至投标截止之日止，下同）投标人主编或主持完成省级建设工法、国家或行业标准的，每项得0.5分。</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注：以上（1-3）项所有奖项同一项目获多个奖项，按最高得分计算，同一项目不重复计分，奖项须提供获奖证书及颁奖文件的复印件加盖公章，并以提供获奖信息政府部门官方网站查询网址为准，未提供的不予计分。</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2、项目业绩（满分2分）</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2015年1月1日至今在中国境内承建完成单项合同额不低于人民币2亿（含）元的市政类项目施工业绩的每提供一项得1分，在投标文件中提供①中标通知书或合同复印件、②竣工验收意见书或政府行业主管部门出具的证明或付费凭证等有关业绩证明资料并加盖投标人单位公章。</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（2）2017年1月1日至今在中国境内承揽单项合同额不低于人民币2亿（含）元的市政类PPP项目的每提供一项得1分（含在建项目），在投标文件中提供中标通知书或合同复印件并加盖投标人单位公章。</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注：采用联合体投标的，其中任何一家成员单位满足以上的要求即可得分。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0" w:hRule="atLeast"/>
          <w:jc w:val="center"/>
        </w:trPr>
        <w:tc>
          <w:tcPr>
            <w:tcW w:w="797" w:type="dxa"/>
            <w:tcBorders>
              <w:bottom w:val="single" w:color="auto" w:sz="4" w:space="0"/>
            </w:tcBorders>
            <w:vAlign w:val="center"/>
          </w:tcPr>
          <w:p>
            <w:pPr>
              <w:pStyle w:val="23"/>
              <w:snapToGrid w:val="0"/>
              <w:spacing w:before="163" w:beforeLines="50" w:after="163" w:afterLines="50"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2</w:t>
            </w:r>
          </w:p>
        </w:tc>
        <w:tc>
          <w:tcPr>
            <w:tcW w:w="1559" w:type="dxa"/>
            <w:tcBorders>
              <w:top w:val="single" w:color="auto" w:sz="4" w:space="0"/>
              <w:bottom w:val="single" w:color="auto" w:sz="4" w:space="0"/>
            </w:tcBorders>
            <w:vAlign w:val="center"/>
          </w:tcPr>
          <w:p>
            <w:pPr>
              <w:pStyle w:val="23"/>
              <w:snapToGrid w:val="0"/>
              <w:spacing w:before="163" w:beforeLines="50" w:after="163" w:afterLines="50"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企业财务状况</w:t>
            </w:r>
          </w:p>
        </w:tc>
        <w:tc>
          <w:tcPr>
            <w:tcW w:w="850" w:type="dxa"/>
            <w:tcBorders>
              <w:top w:val="single" w:color="auto" w:sz="4" w:space="0"/>
              <w:bottom w:val="single" w:color="auto" w:sz="4" w:space="0"/>
            </w:tcBorders>
            <w:vAlign w:val="center"/>
          </w:tcPr>
          <w:p>
            <w:pPr>
              <w:pStyle w:val="23"/>
              <w:snapToGrid w:val="0"/>
              <w:spacing w:before="163" w:beforeLines="50" w:after="163" w:afterLines="50"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7分</w:t>
            </w:r>
          </w:p>
        </w:tc>
        <w:tc>
          <w:tcPr>
            <w:tcW w:w="6605" w:type="dxa"/>
            <w:tcBorders>
              <w:top w:val="single" w:color="auto" w:sz="4" w:space="0"/>
              <w:bottom w:val="single" w:color="auto" w:sz="4" w:space="0"/>
            </w:tcBorders>
            <w:vAlign w:val="center"/>
          </w:tcPr>
          <w:p>
            <w:pPr>
              <w:pStyle w:val="19"/>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银行授信额度和企业现有现金：</w:t>
            </w:r>
          </w:p>
          <w:p>
            <w:pPr>
              <w:pStyle w:val="19"/>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银行存款余额或者银行授信额度（银行存款余额指投标截止之日前三个月内，任何一天的银行存款余额均可，若有多个账户则同一天各账户存款余额之和计）不得低于人民币1亿元存款证明或者银行授信额度证明材料的得7分。</w:t>
            </w:r>
          </w:p>
          <w:p>
            <w:pPr>
              <w:pStyle w:val="19"/>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注：若为联合体投标，则以联合体其中一方满足为准。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8" w:hRule="atLeast"/>
          <w:jc w:val="center"/>
        </w:trPr>
        <w:tc>
          <w:tcPr>
            <w:tcW w:w="797" w:type="dxa"/>
            <w:tcBorders>
              <w:top w:val="single" w:color="auto" w:sz="4" w:space="0"/>
            </w:tcBorders>
            <w:vAlign w:val="center"/>
          </w:tcPr>
          <w:p>
            <w:pPr>
              <w:pStyle w:val="23"/>
              <w:snapToGrid w:val="0"/>
              <w:spacing w:before="163" w:beforeLines="50" w:after="163" w:afterLines="50"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3</w:t>
            </w:r>
          </w:p>
        </w:tc>
        <w:tc>
          <w:tcPr>
            <w:tcW w:w="1559" w:type="dxa"/>
            <w:tcBorders>
              <w:top w:val="single" w:color="auto" w:sz="4" w:space="0"/>
            </w:tcBorders>
            <w:vAlign w:val="center"/>
          </w:tcPr>
          <w:p>
            <w:pPr>
              <w:pStyle w:val="23"/>
              <w:snapToGrid w:val="0"/>
              <w:spacing w:before="163" w:beforeLines="50" w:after="163" w:afterLines="50"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认证体系</w:t>
            </w:r>
          </w:p>
        </w:tc>
        <w:tc>
          <w:tcPr>
            <w:tcW w:w="850" w:type="dxa"/>
            <w:tcBorders>
              <w:top w:val="single" w:color="auto" w:sz="4" w:space="0"/>
            </w:tcBorders>
            <w:vAlign w:val="center"/>
          </w:tcPr>
          <w:p>
            <w:pPr>
              <w:pStyle w:val="23"/>
              <w:snapToGrid w:val="0"/>
              <w:spacing w:before="163" w:beforeLines="50" w:after="163" w:afterLines="50"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3分</w:t>
            </w:r>
          </w:p>
        </w:tc>
        <w:tc>
          <w:tcPr>
            <w:tcW w:w="6605" w:type="dxa"/>
            <w:tcBorders>
              <w:top w:val="single" w:color="auto" w:sz="4" w:space="0"/>
            </w:tcBorders>
            <w:vAlign w:val="center"/>
          </w:tcPr>
          <w:p>
            <w:pPr>
              <w:widowControl/>
              <w:numPr>
                <w:ilvl w:val="0"/>
                <w:numId w:val="8"/>
              </w:numPr>
              <w:spacing w:line="360" w:lineRule="auto"/>
              <w:jc w:val="left"/>
              <w:rPr>
                <w:rFonts w:cs="Arial" w:asciiTheme="minorEastAsia" w:hAnsiTheme="minorEastAsia" w:eastAsiaTheme="minorEastAsia"/>
                <w:sz w:val="24"/>
              </w:rPr>
            </w:pPr>
            <w:r>
              <w:rPr>
                <w:rFonts w:hint="eastAsia" w:cs="Arial" w:asciiTheme="minorEastAsia" w:hAnsiTheme="minorEastAsia" w:eastAsiaTheme="minorEastAsia"/>
                <w:sz w:val="24"/>
              </w:rPr>
              <w:t>企业通过质量管理体系认证得 1 分；</w:t>
            </w:r>
          </w:p>
          <w:p>
            <w:pPr>
              <w:widowControl/>
              <w:numPr>
                <w:ilvl w:val="0"/>
                <w:numId w:val="8"/>
              </w:numPr>
              <w:spacing w:line="360" w:lineRule="auto"/>
              <w:jc w:val="left"/>
              <w:rPr>
                <w:rFonts w:cs="Arial" w:asciiTheme="minorEastAsia" w:hAnsiTheme="minorEastAsia" w:eastAsiaTheme="minorEastAsia"/>
                <w:sz w:val="24"/>
              </w:rPr>
            </w:pPr>
            <w:r>
              <w:rPr>
                <w:rFonts w:hint="eastAsia" w:cs="Arial" w:asciiTheme="minorEastAsia" w:hAnsiTheme="minorEastAsia" w:eastAsiaTheme="minorEastAsia"/>
                <w:sz w:val="24"/>
              </w:rPr>
              <w:t>通过环境管理体系认证得 1 分；</w:t>
            </w:r>
          </w:p>
          <w:p>
            <w:pPr>
              <w:widowControl/>
              <w:numPr>
                <w:ilvl w:val="0"/>
                <w:numId w:val="8"/>
              </w:numPr>
              <w:spacing w:line="360" w:lineRule="auto"/>
              <w:jc w:val="left"/>
              <w:rPr>
                <w:rFonts w:cs="Arial" w:asciiTheme="minorEastAsia" w:hAnsiTheme="minorEastAsia" w:eastAsiaTheme="minorEastAsia"/>
                <w:sz w:val="24"/>
              </w:rPr>
            </w:pPr>
            <w:r>
              <w:rPr>
                <w:rFonts w:hint="eastAsia" w:cs="Arial" w:asciiTheme="minorEastAsia" w:hAnsiTheme="minorEastAsia" w:eastAsiaTheme="minorEastAsia"/>
                <w:sz w:val="24"/>
              </w:rPr>
              <w:t>通过职业健康安全管理体系认证得 1 分。</w:t>
            </w:r>
          </w:p>
          <w:p>
            <w:pPr>
              <w:widowControl/>
              <w:spacing w:line="360" w:lineRule="auto"/>
              <w:jc w:val="left"/>
              <w:rPr>
                <w:rFonts w:cs="Arial" w:asciiTheme="minorEastAsia" w:hAnsiTheme="minorEastAsia" w:eastAsiaTheme="minorEastAsia"/>
                <w:sz w:val="24"/>
              </w:rPr>
            </w:pPr>
            <w:r>
              <w:rPr>
                <w:rFonts w:hint="eastAsia" w:cs="Arial" w:asciiTheme="minorEastAsia" w:hAnsiTheme="minorEastAsia" w:eastAsiaTheme="minorEastAsia"/>
                <w:sz w:val="24"/>
              </w:rPr>
              <w:t>注：若为联合体投标，则以联合体其中一方或共同满足的为准。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356" w:type="dxa"/>
            <w:gridSpan w:val="2"/>
            <w:tcBorders>
              <w:bottom w:val="single" w:color="auto" w:sz="12" w:space="0"/>
            </w:tcBorders>
            <w:vAlign w:val="center"/>
          </w:tcPr>
          <w:p>
            <w:pPr>
              <w:pStyle w:val="23"/>
              <w:snapToGrid w:val="0"/>
              <w:spacing w:line="5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合计</w:t>
            </w:r>
          </w:p>
        </w:tc>
        <w:tc>
          <w:tcPr>
            <w:tcW w:w="7455" w:type="dxa"/>
            <w:gridSpan w:val="2"/>
            <w:tcBorders>
              <w:bottom w:val="single" w:color="auto" w:sz="12" w:space="0"/>
            </w:tcBorders>
            <w:vAlign w:val="center"/>
          </w:tcPr>
          <w:p>
            <w:pPr>
              <w:pStyle w:val="23"/>
              <w:snapToGrid w:val="0"/>
              <w:spacing w:line="5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20</w:t>
            </w:r>
            <w:r>
              <w:rPr>
                <w:rFonts w:hint="eastAsia" w:asciiTheme="minorEastAsia" w:hAnsiTheme="minorEastAsia" w:eastAsiaTheme="minorEastAsia"/>
                <w:b/>
                <w:sz w:val="24"/>
              </w:rPr>
              <w:t>分</w:t>
            </w:r>
          </w:p>
        </w:tc>
      </w:tr>
    </w:tbl>
    <w:p>
      <w:pPr>
        <w:pStyle w:val="4"/>
        <w:ind w:firstLine="562" w:firstLineChars="200"/>
        <w:rPr>
          <w:rFonts w:asciiTheme="minorEastAsia" w:hAnsiTheme="minorEastAsia" w:eastAsiaTheme="minorEastAsia"/>
        </w:rPr>
      </w:pPr>
      <w:r>
        <w:rPr>
          <w:rFonts w:hint="eastAsia" w:asciiTheme="minorEastAsia" w:hAnsiTheme="minorEastAsia" w:eastAsiaTheme="minorEastAsia"/>
        </w:rPr>
        <w:t>投标人最终得分</w:t>
      </w:r>
      <w:r>
        <w:rPr>
          <w:rFonts w:asciiTheme="minorEastAsia" w:hAnsiTheme="minorEastAsia" w:eastAsiaTheme="minorEastAsia"/>
        </w:rPr>
        <w:t>=A+B+C</w:t>
      </w:r>
      <w:r>
        <w:rPr>
          <w:rFonts w:hint="eastAsia" w:asciiTheme="minorEastAsia" w:hAnsiTheme="minorEastAsia" w:eastAsiaTheme="minorEastAsia"/>
        </w:rPr>
        <w:t>。</w:t>
      </w:r>
    </w:p>
    <w:p>
      <w:pPr>
        <w:jc w:val="center"/>
        <w:outlineLvl w:val="0"/>
        <w:rPr>
          <w:rFonts w:cs="仿宋" w:asciiTheme="minorEastAsia" w:hAnsiTheme="minorEastAsia" w:eastAsiaTheme="minorEastAsia"/>
          <w:sz w:val="28"/>
          <w:szCs w:val="28"/>
        </w:rPr>
      </w:pPr>
      <w:r>
        <w:rPr>
          <w:rFonts w:cs="仿宋" w:asciiTheme="minorEastAsia" w:hAnsiTheme="minorEastAsia" w:eastAsiaTheme="minorEastAsia"/>
          <w:sz w:val="28"/>
          <w:szCs w:val="28"/>
        </w:rPr>
        <w:br w:type="page"/>
      </w:r>
      <w:bookmarkStart w:id="186" w:name="_Toc6768"/>
      <w:bookmarkStart w:id="187" w:name="_Toc7500"/>
      <w:bookmarkStart w:id="188" w:name="_Toc462955450"/>
      <w:bookmarkStart w:id="189" w:name="_Toc19132"/>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jc w:val="center"/>
        <w:outlineLvl w:val="0"/>
        <w:rPr>
          <w:rFonts w:cs="仿宋" w:asciiTheme="minorEastAsia" w:hAnsiTheme="minorEastAsia" w:eastAsiaTheme="minorEastAsia"/>
          <w:b/>
          <w:bCs/>
          <w:sz w:val="44"/>
          <w:szCs w:val="44"/>
        </w:rPr>
      </w:pPr>
      <w:bookmarkStart w:id="190" w:name="_Toc50993403"/>
      <w:r>
        <w:rPr>
          <w:rFonts w:hint="eastAsia" w:cs="仿宋" w:asciiTheme="minorEastAsia" w:hAnsiTheme="minorEastAsia" w:eastAsiaTheme="minorEastAsia"/>
          <w:b/>
          <w:bCs/>
          <w:sz w:val="44"/>
          <w:szCs w:val="44"/>
        </w:rPr>
        <w:t>第五章  投标文件格式</w:t>
      </w:r>
      <w:bookmarkEnd w:id="156"/>
      <w:bookmarkEnd w:id="157"/>
      <w:bookmarkEnd w:id="158"/>
      <w:bookmarkEnd w:id="159"/>
      <w:bookmarkEnd w:id="186"/>
      <w:bookmarkEnd w:id="187"/>
      <w:bookmarkEnd w:id="188"/>
      <w:bookmarkEnd w:id="189"/>
      <w:bookmarkEnd w:id="190"/>
    </w:p>
    <w:p>
      <w:pPr>
        <w:widowControl/>
        <w:jc w:val="left"/>
        <w:rPr>
          <w:rFonts w:cs="仿宋" w:asciiTheme="minorEastAsia" w:hAnsiTheme="minorEastAsia" w:eastAsiaTheme="minorEastAsia"/>
          <w:b/>
          <w:bCs/>
          <w:sz w:val="44"/>
          <w:szCs w:val="44"/>
        </w:rPr>
      </w:pPr>
      <w:bookmarkStart w:id="191" w:name="_Toc25023"/>
      <w:bookmarkStart w:id="192" w:name="_Toc10685"/>
      <w:r>
        <w:rPr>
          <w:rFonts w:cs="仿宋" w:asciiTheme="minorEastAsia" w:hAnsiTheme="minorEastAsia" w:eastAsiaTheme="minorEastAsia"/>
          <w:b/>
          <w:bCs/>
          <w:sz w:val="44"/>
          <w:szCs w:val="44"/>
        </w:rPr>
        <w:br w:type="page"/>
      </w:r>
    </w:p>
    <w:p>
      <w:pPr>
        <w:snapToGrid w:val="0"/>
        <w:spacing w:line="360" w:lineRule="auto"/>
        <w:jc w:val="center"/>
        <w:rPr>
          <w:rFonts w:cs="仿宋" w:asciiTheme="minorEastAsia" w:hAnsiTheme="minorEastAsia" w:eastAsiaTheme="minorEastAsia"/>
          <w:b/>
          <w:bCs/>
          <w:sz w:val="44"/>
          <w:szCs w:val="44"/>
        </w:rPr>
      </w:pPr>
      <w:r>
        <w:rPr>
          <w:rFonts w:hint="eastAsia" w:cs="仿宋" w:asciiTheme="minorEastAsia" w:hAnsiTheme="minorEastAsia" w:eastAsiaTheme="minorEastAsia"/>
          <w:b/>
          <w:bCs/>
          <w:sz w:val="44"/>
          <w:szCs w:val="44"/>
        </w:rPr>
        <w:t>封面格式</w:t>
      </w:r>
      <w:bookmarkEnd w:id="191"/>
      <w:bookmarkEnd w:id="192"/>
    </w:p>
    <w:p>
      <w:pPr>
        <w:pStyle w:val="1116"/>
        <w:jc w:val="center"/>
        <w:rPr>
          <w:rFonts w:asciiTheme="minorEastAsia" w:hAnsiTheme="minorEastAsia" w:eastAsiaTheme="minorEastAsia"/>
          <w:sz w:val="32"/>
          <w:szCs w:val="32"/>
        </w:rPr>
      </w:pPr>
    </w:p>
    <w:p>
      <w:pPr>
        <w:pStyle w:val="1116"/>
        <w:spacing w:before="326" w:beforeLines="100"/>
        <w:jc w:val="center"/>
        <w:rPr>
          <w:rFonts w:asciiTheme="minorEastAsia" w:hAnsiTheme="minorEastAsia" w:eastAsiaTheme="minorEastAsia"/>
          <w:sz w:val="52"/>
          <w:szCs w:val="52"/>
        </w:rPr>
      </w:pPr>
    </w:p>
    <w:p>
      <w:pPr>
        <w:pStyle w:val="1116"/>
        <w:spacing w:before="326" w:beforeLines="100"/>
        <w:jc w:val="center"/>
        <w:rPr>
          <w:rFonts w:asciiTheme="minorEastAsia" w:hAnsiTheme="minorEastAsia" w:eastAsiaTheme="minorEastAsia"/>
          <w:b/>
          <w:sz w:val="72"/>
          <w:szCs w:val="52"/>
        </w:rPr>
      </w:pPr>
      <w:r>
        <w:rPr>
          <w:rFonts w:hint="eastAsia" w:asciiTheme="minorEastAsia" w:hAnsiTheme="minorEastAsia" w:eastAsiaTheme="minorEastAsia"/>
          <w:b/>
          <w:sz w:val="72"/>
          <w:szCs w:val="52"/>
        </w:rPr>
        <w:t>投标文件</w:t>
      </w:r>
    </w:p>
    <w:p>
      <w:pPr>
        <w:pStyle w:val="1116"/>
        <w:jc w:val="center"/>
        <w:rPr>
          <w:rFonts w:asciiTheme="minorEastAsia" w:hAnsiTheme="minorEastAsia" w:eastAsiaTheme="minorEastAsia"/>
          <w:sz w:val="32"/>
          <w:szCs w:val="32"/>
        </w:rPr>
      </w:pPr>
    </w:p>
    <w:p>
      <w:pPr>
        <w:pStyle w:val="1116"/>
        <w:jc w:val="center"/>
        <w:rPr>
          <w:rFonts w:asciiTheme="minorEastAsia" w:hAnsiTheme="minorEastAsia" w:eastAsiaTheme="minorEastAsia"/>
          <w:sz w:val="32"/>
          <w:szCs w:val="32"/>
        </w:rPr>
      </w:pPr>
    </w:p>
    <w:p>
      <w:pPr>
        <w:pStyle w:val="1116"/>
        <w:spacing w:line="360" w:lineRule="auto"/>
        <w:ind w:firstLine="2380" w:firstLineChars="850"/>
        <w:rPr>
          <w:rFonts w:asciiTheme="minorEastAsia" w:hAnsiTheme="minorEastAsia" w:eastAsiaTheme="minorEastAsia"/>
          <w:sz w:val="28"/>
          <w:szCs w:val="28"/>
        </w:rPr>
      </w:pPr>
      <w:r>
        <w:rPr>
          <w:rFonts w:hint="eastAsia" w:asciiTheme="minorEastAsia" w:hAnsiTheme="minorEastAsia" w:eastAsiaTheme="minorEastAsia"/>
          <w:sz w:val="28"/>
          <w:szCs w:val="28"/>
        </w:rPr>
        <w:t>项目名称：</w:t>
      </w:r>
    </w:p>
    <w:p>
      <w:pPr>
        <w:pStyle w:val="1116"/>
        <w:spacing w:line="360" w:lineRule="auto"/>
        <w:ind w:firstLine="2380" w:firstLineChars="850"/>
        <w:rPr>
          <w:rFonts w:asciiTheme="minorEastAsia" w:hAnsiTheme="minorEastAsia" w:eastAsiaTheme="minorEastAsia"/>
          <w:sz w:val="28"/>
          <w:szCs w:val="28"/>
        </w:rPr>
      </w:pPr>
      <w:r>
        <w:rPr>
          <w:rFonts w:hint="eastAsia" w:asciiTheme="minorEastAsia" w:hAnsiTheme="minorEastAsia" w:eastAsiaTheme="minorEastAsia"/>
          <w:sz w:val="28"/>
          <w:szCs w:val="28"/>
        </w:rPr>
        <w:t>项目编号：</w:t>
      </w:r>
    </w:p>
    <w:p>
      <w:pPr>
        <w:pStyle w:val="1116"/>
        <w:spacing w:line="360" w:lineRule="auto"/>
        <w:ind w:firstLine="2720" w:firstLineChars="850"/>
        <w:rPr>
          <w:rFonts w:asciiTheme="minorEastAsia" w:hAnsiTheme="minorEastAsia" w:eastAsiaTheme="minorEastAsia"/>
          <w:sz w:val="32"/>
          <w:szCs w:val="32"/>
        </w:rPr>
      </w:pPr>
    </w:p>
    <w:p>
      <w:pPr>
        <w:pStyle w:val="1116"/>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（正本</w:t>
      </w:r>
      <w:r>
        <w:rPr>
          <w:rFonts w:asciiTheme="minorEastAsia" w:hAnsiTheme="minorEastAsia" w:eastAsiaTheme="minorEastAsia"/>
          <w:sz w:val="32"/>
          <w:szCs w:val="32"/>
        </w:rPr>
        <w:t>/</w:t>
      </w:r>
      <w:r>
        <w:rPr>
          <w:rFonts w:hint="eastAsia" w:asciiTheme="minorEastAsia" w:hAnsiTheme="minorEastAsia" w:eastAsiaTheme="minorEastAsia"/>
          <w:sz w:val="32"/>
          <w:szCs w:val="32"/>
        </w:rPr>
        <w:t>副本）</w:t>
      </w:r>
    </w:p>
    <w:p>
      <w:pPr>
        <w:pStyle w:val="1116"/>
        <w:spacing w:line="360" w:lineRule="auto"/>
        <w:rPr>
          <w:rFonts w:asciiTheme="minorEastAsia" w:hAnsiTheme="minorEastAsia" w:eastAsiaTheme="minorEastAsia"/>
          <w:sz w:val="28"/>
          <w:szCs w:val="28"/>
        </w:rPr>
      </w:pPr>
    </w:p>
    <w:p>
      <w:pPr>
        <w:pStyle w:val="1116"/>
        <w:spacing w:line="360" w:lineRule="auto"/>
        <w:ind w:firstLine="1260" w:firstLineChars="450"/>
        <w:rPr>
          <w:rFonts w:asciiTheme="minorEastAsia" w:hAnsiTheme="minorEastAsia" w:eastAsiaTheme="minorEastAsia"/>
          <w:sz w:val="28"/>
          <w:szCs w:val="28"/>
        </w:rPr>
      </w:pPr>
    </w:p>
    <w:p>
      <w:pPr>
        <w:pStyle w:val="1116"/>
        <w:spacing w:line="360" w:lineRule="auto"/>
        <w:ind w:firstLine="1260" w:firstLineChars="450"/>
        <w:rPr>
          <w:rFonts w:asciiTheme="minorEastAsia" w:hAnsiTheme="minorEastAsia" w:eastAsiaTheme="minorEastAsia"/>
          <w:sz w:val="28"/>
          <w:szCs w:val="28"/>
        </w:rPr>
      </w:pPr>
    </w:p>
    <w:p>
      <w:pPr>
        <w:pStyle w:val="1116"/>
        <w:spacing w:line="360" w:lineRule="auto"/>
        <w:ind w:firstLine="1058" w:firstLineChars="378"/>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投标内容：</w:t>
      </w:r>
      <w:r>
        <w:rPr>
          <w:rFonts w:hint="eastAsia" w:asciiTheme="minorEastAsia" w:hAnsiTheme="minorEastAsia" w:eastAsiaTheme="minorEastAsia"/>
          <w:sz w:val="28"/>
          <w:szCs w:val="28"/>
          <w:u w:val="single"/>
        </w:rPr>
        <w:t>报价及商务文件</w:t>
      </w:r>
    </w:p>
    <w:p>
      <w:pPr>
        <w:pStyle w:val="1116"/>
        <w:spacing w:line="360" w:lineRule="auto"/>
        <w:ind w:firstLine="1058" w:firstLineChars="378"/>
        <w:rPr>
          <w:rFonts w:asciiTheme="minorEastAsia" w:hAnsiTheme="minorEastAsia" w:eastAsiaTheme="minorEastAsia"/>
          <w:sz w:val="28"/>
          <w:szCs w:val="28"/>
        </w:rPr>
      </w:pPr>
      <w:r>
        <w:rPr>
          <w:rFonts w:hint="eastAsia" w:asciiTheme="minorEastAsia" w:hAnsiTheme="minorEastAsia" w:eastAsiaTheme="minorEastAsia"/>
          <w:sz w:val="28"/>
          <w:szCs w:val="28"/>
        </w:rPr>
        <w:t>投标人：（盖单位公章）</w:t>
      </w:r>
    </w:p>
    <w:p>
      <w:pPr>
        <w:pStyle w:val="1116"/>
        <w:spacing w:line="360" w:lineRule="auto"/>
        <w:ind w:firstLine="1058" w:firstLineChars="378"/>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法定代表人或其委托代理人：（签字或盖章）</w:t>
      </w:r>
    </w:p>
    <w:p>
      <w:pPr>
        <w:pStyle w:val="1116"/>
        <w:jc w:val="center"/>
        <w:rPr>
          <w:rFonts w:asciiTheme="minorEastAsia" w:hAnsiTheme="minorEastAsia" w:eastAsiaTheme="minorEastAsia"/>
          <w:sz w:val="28"/>
          <w:szCs w:val="28"/>
          <w:u w:val="single"/>
        </w:rPr>
      </w:pPr>
    </w:p>
    <w:p>
      <w:pPr>
        <w:pStyle w:val="1116"/>
        <w:jc w:val="center"/>
        <w:rPr>
          <w:rFonts w:asciiTheme="minorEastAsia" w:hAnsiTheme="minorEastAsia" w:eastAsiaTheme="minorEastAsia"/>
          <w:sz w:val="28"/>
          <w:szCs w:val="28"/>
        </w:rPr>
      </w:pPr>
      <w:bookmarkStart w:id="193" w:name="_Toc30814"/>
      <w:bookmarkStart w:id="194" w:name="_Toc22467"/>
      <w:r>
        <w:rPr>
          <w:rFonts w:hint="eastAsia" w:asciiTheme="minorEastAsia" w:hAnsiTheme="minorEastAsia" w:eastAsiaTheme="minorEastAsia"/>
          <w:sz w:val="28"/>
          <w:szCs w:val="28"/>
        </w:rPr>
        <w:t>年   月   日</w:t>
      </w:r>
      <w:bookmarkEnd w:id="193"/>
      <w:bookmarkEnd w:id="194"/>
    </w:p>
    <w:p>
      <w:pPr>
        <w:pStyle w:val="3"/>
        <w:jc w:val="center"/>
        <w:rPr>
          <w:rFonts w:asciiTheme="minorEastAsia" w:hAnsiTheme="minorEastAsia"/>
          <w:sz w:val="20"/>
        </w:rPr>
      </w:pPr>
      <w:r>
        <w:rPr>
          <w:rFonts w:asciiTheme="minorEastAsia" w:hAnsiTheme="minorEastAsia"/>
          <w:sz w:val="30"/>
          <w:szCs w:val="30"/>
        </w:rPr>
        <w:br w:type="page"/>
      </w:r>
      <w:bookmarkStart w:id="195" w:name="_Toc50993404"/>
      <w:bookmarkStart w:id="196" w:name="_Toc30680"/>
      <w:bookmarkStart w:id="197" w:name="_Toc462955451"/>
      <w:bookmarkStart w:id="198" w:name="_Toc25834"/>
      <w:bookmarkStart w:id="199" w:name="_Toc435106788"/>
      <w:r>
        <w:rPr>
          <w:rFonts w:hint="eastAsia" w:asciiTheme="minorEastAsia" w:hAnsiTheme="minorEastAsia"/>
          <w:sz w:val="32"/>
        </w:rPr>
        <w:t>一、报价一览表（格式）</w:t>
      </w:r>
      <w:bookmarkEnd w:id="195"/>
    </w:p>
    <w:tbl>
      <w:tblPr>
        <w:tblStyle w:val="55"/>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732"/>
        <w:gridCol w:w="494"/>
        <w:gridCol w:w="3530"/>
        <w:gridCol w:w="3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08" w:type="dxa"/>
            <w:shd w:val="clear" w:color="auto" w:fill="C0C0C0"/>
            <w:vAlign w:val="center"/>
          </w:tcPr>
          <w:p>
            <w:pPr>
              <w:widowControl/>
              <w:jc w:val="center"/>
              <w:rPr>
                <w:rFonts w:asciiTheme="minorEastAsia" w:hAnsiTheme="minorEastAsia" w:eastAsiaTheme="minorEastAsia"/>
                <w:b/>
                <w:bCs/>
                <w:kern w:val="0"/>
              </w:rPr>
            </w:pPr>
            <w:r>
              <w:rPr>
                <w:rFonts w:asciiTheme="minorEastAsia" w:hAnsiTheme="minorEastAsia" w:eastAsiaTheme="minorEastAsia"/>
                <w:b/>
                <w:bCs/>
                <w:kern w:val="0"/>
              </w:rPr>
              <w:t>项号</w:t>
            </w:r>
          </w:p>
        </w:tc>
        <w:tc>
          <w:tcPr>
            <w:tcW w:w="1681" w:type="dxa"/>
            <w:shd w:val="clear" w:color="auto" w:fill="C0C0C0"/>
            <w:vAlign w:val="center"/>
          </w:tcPr>
          <w:p>
            <w:pPr>
              <w:widowControl/>
              <w:jc w:val="center"/>
              <w:rPr>
                <w:rFonts w:asciiTheme="minorEastAsia" w:hAnsiTheme="minorEastAsia" w:eastAsiaTheme="minorEastAsia"/>
                <w:b/>
                <w:bCs/>
                <w:kern w:val="0"/>
              </w:rPr>
            </w:pPr>
            <w:r>
              <w:rPr>
                <w:rFonts w:asciiTheme="minorEastAsia" w:hAnsiTheme="minorEastAsia" w:eastAsiaTheme="minorEastAsia"/>
                <w:b/>
                <w:bCs/>
                <w:kern w:val="0"/>
              </w:rPr>
              <w:t>名称</w:t>
            </w:r>
          </w:p>
        </w:tc>
        <w:tc>
          <w:tcPr>
            <w:tcW w:w="479" w:type="dxa"/>
            <w:shd w:val="clear" w:color="auto" w:fill="C0C0C0"/>
            <w:vAlign w:val="center"/>
          </w:tcPr>
          <w:p>
            <w:pPr>
              <w:widowControl/>
              <w:jc w:val="center"/>
              <w:rPr>
                <w:rFonts w:asciiTheme="minorEastAsia" w:hAnsiTheme="minorEastAsia" w:eastAsiaTheme="minorEastAsia"/>
                <w:b/>
                <w:bCs/>
                <w:kern w:val="0"/>
              </w:rPr>
            </w:pPr>
            <w:r>
              <w:rPr>
                <w:rFonts w:asciiTheme="minorEastAsia" w:hAnsiTheme="minorEastAsia" w:eastAsiaTheme="minorEastAsia"/>
                <w:b/>
                <w:bCs/>
                <w:kern w:val="0"/>
              </w:rPr>
              <w:t>单位</w:t>
            </w:r>
          </w:p>
        </w:tc>
        <w:tc>
          <w:tcPr>
            <w:tcW w:w="3426" w:type="dxa"/>
            <w:shd w:val="clear" w:color="auto" w:fill="C0C0C0"/>
            <w:vAlign w:val="center"/>
          </w:tcPr>
          <w:p>
            <w:pPr>
              <w:widowControl/>
              <w:jc w:val="center"/>
              <w:rPr>
                <w:rFonts w:asciiTheme="minorEastAsia" w:hAnsiTheme="minorEastAsia" w:eastAsiaTheme="minorEastAsia"/>
                <w:b/>
                <w:bCs/>
                <w:kern w:val="0"/>
              </w:rPr>
            </w:pPr>
            <w:r>
              <w:rPr>
                <w:rFonts w:asciiTheme="minorEastAsia" w:hAnsiTheme="minorEastAsia" w:eastAsiaTheme="minorEastAsia"/>
                <w:b/>
                <w:bCs/>
                <w:kern w:val="0"/>
              </w:rPr>
              <w:t>报价</w:t>
            </w:r>
          </w:p>
        </w:tc>
        <w:tc>
          <w:tcPr>
            <w:tcW w:w="2993" w:type="dxa"/>
            <w:shd w:val="clear" w:color="auto" w:fill="C0C0C0"/>
            <w:vAlign w:val="center"/>
          </w:tcPr>
          <w:p>
            <w:pPr>
              <w:widowControl/>
              <w:jc w:val="center"/>
              <w:rPr>
                <w:rFonts w:asciiTheme="minorEastAsia" w:hAnsiTheme="minorEastAsia" w:eastAsiaTheme="minorEastAsia"/>
                <w:b/>
                <w:bCs/>
                <w:kern w:val="0"/>
              </w:rPr>
            </w:pPr>
            <w:r>
              <w:rPr>
                <w:rFonts w:asciiTheme="minorEastAsia" w:hAnsiTheme="minorEastAsia" w:eastAsiaTheme="minorEastAsia"/>
                <w:b/>
                <w:bCs/>
                <w:kern w:val="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08" w:type="dxa"/>
            <w:vAlign w:val="center"/>
          </w:tcPr>
          <w:p>
            <w:pPr>
              <w:widowControl/>
              <w:jc w:val="center"/>
              <w:rPr>
                <w:rFonts w:asciiTheme="minorEastAsia" w:hAnsiTheme="minorEastAsia" w:eastAsiaTheme="minorEastAsia"/>
                <w:kern w:val="0"/>
              </w:rPr>
            </w:pPr>
            <w:r>
              <w:rPr>
                <w:rFonts w:asciiTheme="minorEastAsia" w:hAnsiTheme="minorEastAsia" w:eastAsiaTheme="minorEastAsia"/>
                <w:kern w:val="0"/>
              </w:rPr>
              <w:t>1.1</w:t>
            </w:r>
          </w:p>
        </w:tc>
        <w:tc>
          <w:tcPr>
            <w:tcW w:w="1681" w:type="dxa"/>
            <w:vAlign w:val="center"/>
          </w:tcPr>
          <w:p>
            <w:pPr>
              <w:widowControl/>
              <w:jc w:val="left"/>
              <w:rPr>
                <w:rFonts w:asciiTheme="minorEastAsia" w:hAnsiTheme="minorEastAsia" w:eastAsiaTheme="minorEastAsia"/>
                <w:kern w:val="0"/>
              </w:rPr>
            </w:pPr>
            <w:r>
              <w:rPr>
                <w:rFonts w:asciiTheme="minorEastAsia" w:hAnsiTheme="minorEastAsia" w:eastAsiaTheme="minorEastAsia"/>
                <w:kern w:val="0"/>
              </w:rPr>
              <w:t>全投资内部收益率（税后）</w:t>
            </w:r>
          </w:p>
        </w:tc>
        <w:tc>
          <w:tcPr>
            <w:tcW w:w="479" w:type="dxa"/>
            <w:vAlign w:val="center"/>
          </w:tcPr>
          <w:p>
            <w:pPr>
              <w:widowControl/>
              <w:jc w:val="left"/>
              <w:rPr>
                <w:rFonts w:asciiTheme="minorEastAsia" w:hAnsiTheme="minorEastAsia" w:eastAsiaTheme="minorEastAsia"/>
                <w:kern w:val="0"/>
              </w:rPr>
            </w:pPr>
            <w:r>
              <w:rPr>
                <w:rFonts w:asciiTheme="minorEastAsia" w:hAnsiTheme="minorEastAsia" w:eastAsiaTheme="minorEastAsia"/>
                <w:kern w:val="0"/>
              </w:rPr>
              <w:t>%</w:t>
            </w:r>
          </w:p>
        </w:tc>
        <w:tc>
          <w:tcPr>
            <w:tcW w:w="3426" w:type="dxa"/>
            <w:vAlign w:val="center"/>
          </w:tcPr>
          <w:p>
            <w:pPr>
              <w:widowControl/>
              <w:jc w:val="left"/>
              <w:rPr>
                <w:rFonts w:asciiTheme="minorEastAsia" w:hAnsiTheme="minorEastAsia" w:eastAsiaTheme="minorEastAsia"/>
                <w:kern w:val="0"/>
              </w:rPr>
            </w:pPr>
            <w:r>
              <w:rPr>
                <w:rFonts w:asciiTheme="minorEastAsia" w:hAnsiTheme="minorEastAsia" w:eastAsiaTheme="minorEastAsia"/>
                <w:kern w:val="0"/>
              </w:rPr>
              <w:t>全投资收益率（税后）</w:t>
            </w:r>
            <w:r>
              <w:rPr>
                <w:rFonts w:asciiTheme="minorEastAsia" w:hAnsiTheme="minorEastAsia" w:eastAsiaTheme="minorEastAsia"/>
                <w:b/>
                <w:bCs/>
                <w:kern w:val="0"/>
                <w:u w:val="single"/>
              </w:rPr>
              <w:t>：</w:t>
            </w:r>
            <w:r>
              <w:rPr>
                <w:rFonts w:hint="eastAsia" w:asciiTheme="minorEastAsia" w:hAnsiTheme="minorEastAsia" w:eastAsiaTheme="minorEastAsia"/>
                <w:b/>
                <w:bCs/>
                <w:kern w:val="0"/>
                <w:u w:val="single"/>
              </w:rPr>
              <w:t xml:space="preserve">   </w:t>
            </w:r>
            <w:r>
              <w:rPr>
                <w:rFonts w:asciiTheme="minorEastAsia" w:hAnsiTheme="minorEastAsia" w:eastAsiaTheme="minorEastAsia"/>
                <w:b/>
                <w:bCs/>
                <w:kern w:val="0"/>
                <w:u w:val="single"/>
              </w:rPr>
              <w:t>%</w:t>
            </w:r>
            <w:r>
              <w:rPr>
                <w:rFonts w:asciiTheme="minorEastAsia" w:hAnsiTheme="minorEastAsia" w:eastAsiaTheme="minorEastAsia"/>
                <w:kern w:val="0"/>
              </w:rPr>
              <w:t>（项目全投资收益率在不高于招标控制价上限6.8%的范围内为有效报价，报价最小单位为0.01%。）</w:t>
            </w:r>
          </w:p>
        </w:tc>
        <w:tc>
          <w:tcPr>
            <w:tcW w:w="2993" w:type="dxa"/>
            <w:vAlign w:val="center"/>
          </w:tcPr>
          <w:p>
            <w:pPr>
              <w:widowControl/>
              <w:jc w:val="left"/>
              <w:rPr>
                <w:rFonts w:asciiTheme="minorEastAsia" w:hAnsiTheme="minorEastAsia" w:eastAsiaTheme="minorEastAsia"/>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08" w:type="dxa"/>
            <w:vAlign w:val="center"/>
          </w:tcPr>
          <w:p>
            <w:pPr>
              <w:widowControl/>
              <w:jc w:val="center"/>
              <w:rPr>
                <w:rFonts w:asciiTheme="minorEastAsia" w:hAnsiTheme="minorEastAsia" w:eastAsiaTheme="minorEastAsia"/>
                <w:kern w:val="0"/>
              </w:rPr>
            </w:pPr>
            <w:r>
              <w:rPr>
                <w:rFonts w:asciiTheme="minorEastAsia" w:hAnsiTheme="minorEastAsia" w:eastAsiaTheme="minorEastAsia"/>
                <w:kern w:val="0"/>
              </w:rPr>
              <w:t>1.2</w:t>
            </w:r>
          </w:p>
        </w:tc>
        <w:tc>
          <w:tcPr>
            <w:tcW w:w="1681" w:type="dxa"/>
            <w:vAlign w:val="center"/>
          </w:tcPr>
          <w:p>
            <w:pPr>
              <w:widowControl/>
              <w:jc w:val="left"/>
              <w:rPr>
                <w:rFonts w:asciiTheme="minorEastAsia" w:hAnsiTheme="minorEastAsia" w:eastAsiaTheme="minorEastAsia"/>
                <w:kern w:val="0"/>
              </w:rPr>
            </w:pPr>
            <w:r>
              <w:rPr>
                <w:rFonts w:asciiTheme="minorEastAsia" w:hAnsiTheme="minorEastAsia" w:eastAsiaTheme="minorEastAsia"/>
                <w:kern w:val="0"/>
              </w:rPr>
              <w:t>工业供水初始运营成本</w:t>
            </w:r>
          </w:p>
        </w:tc>
        <w:tc>
          <w:tcPr>
            <w:tcW w:w="479" w:type="dxa"/>
            <w:vAlign w:val="center"/>
          </w:tcPr>
          <w:p>
            <w:pPr>
              <w:widowControl/>
              <w:jc w:val="left"/>
              <w:rPr>
                <w:rFonts w:asciiTheme="minorEastAsia" w:hAnsiTheme="minorEastAsia" w:eastAsiaTheme="minorEastAsia"/>
                <w:kern w:val="0"/>
              </w:rPr>
            </w:pPr>
            <w:r>
              <w:rPr>
                <w:rFonts w:asciiTheme="minorEastAsia" w:hAnsiTheme="minorEastAsia" w:eastAsiaTheme="minorEastAsia"/>
                <w:kern w:val="0"/>
              </w:rPr>
              <w:t>万元</w:t>
            </w:r>
          </w:p>
        </w:tc>
        <w:tc>
          <w:tcPr>
            <w:tcW w:w="3426" w:type="dxa"/>
            <w:vAlign w:val="center"/>
          </w:tcPr>
          <w:p>
            <w:pPr>
              <w:widowControl/>
              <w:jc w:val="left"/>
              <w:rPr>
                <w:rFonts w:asciiTheme="minorEastAsia" w:hAnsiTheme="minorEastAsia" w:eastAsiaTheme="minorEastAsia"/>
                <w:kern w:val="0"/>
              </w:rPr>
            </w:pPr>
            <w:r>
              <w:rPr>
                <w:rFonts w:asciiTheme="minorEastAsia" w:hAnsiTheme="minorEastAsia" w:eastAsiaTheme="minorEastAsia"/>
                <w:kern w:val="0"/>
              </w:rPr>
              <w:t>19年运营成本合计：</w:t>
            </w:r>
            <w:r>
              <w:rPr>
                <w:rFonts w:hint="eastAsia" w:asciiTheme="minorEastAsia" w:hAnsiTheme="minorEastAsia" w:eastAsiaTheme="minorEastAsia"/>
                <w:kern w:val="0"/>
                <w:u w:val="single"/>
              </w:rPr>
              <w:t xml:space="preserve">      </w:t>
            </w:r>
            <w:r>
              <w:rPr>
                <w:rFonts w:asciiTheme="minorEastAsia" w:hAnsiTheme="minorEastAsia" w:eastAsiaTheme="minorEastAsia"/>
                <w:kern w:val="0"/>
              </w:rPr>
              <w:t>万元（项目工业供水初始运营成本在不高于招标控制价上限</w:t>
            </w:r>
            <w:r>
              <w:rPr>
                <w:rFonts w:asciiTheme="minorEastAsia" w:hAnsiTheme="minorEastAsia" w:eastAsiaTheme="minorEastAsia"/>
                <w:kern w:val="0"/>
                <w:u w:val="single"/>
              </w:rPr>
              <w:t>36071.49万元</w:t>
            </w:r>
            <w:r>
              <w:rPr>
                <w:rFonts w:asciiTheme="minorEastAsia" w:hAnsiTheme="minorEastAsia" w:eastAsiaTheme="minorEastAsia"/>
                <w:kern w:val="0"/>
              </w:rPr>
              <w:t>的范围内为有效报价，报价最小单位为</w:t>
            </w:r>
            <w:r>
              <w:rPr>
                <w:rFonts w:hint="eastAsia" w:asciiTheme="minorEastAsia" w:hAnsiTheme="minorEastAsia" w:eastAsiaTheme="minorEastAsia"/>
                <w:kern w:val="0"/>
              </w:rPr>
              <w:t>0.01</w:t>
            </w:r>
            <w:r>
              <w:rPr>
                <w:rFonts w:asciiTheme="minorEastAsia" w:hAnsiTheme="minorEastAsia" w:eastAsiaTheme="minorEastAsia"/>
                <w:kern w:val="0"/>
              </w:rPr>
              <w:t>万元。）</w:t>
            </w:r>
          </w:p>
        </w:tc>
        <w:tc>
          <w:tcPr>
            <w:tcW w:w="2993" w:type="dxa"/>
            <w:vAlign w:val="center"/>
          </w:tcPr>
          <w:p>
            <w:pPr>
              <w:widowControl/>
              <w:jc w:val="left"/>
              <w:rPr>
                <w:rFonts w:asciiTheme="minorEastAsia" w:hAnsiTheme="minorEastAsia" w:eastAsiaTheme="minorEastAsia"/>
                <w:kern w:val="0"/>
              </w:rPr>
            </w:pPr>
            <w:r>
              <w:rPr>
                <w:rFonts w:hint="eastAsia" w:asciiTheme="minorEastAsia" w:hAnsiTheme="minorEastAsia" w:eastAsiaTheme="minorEastAsia"/>
              </w:rPr>
              <w:t>初始运营成本包括：人员工资及福利、电费、水费、水资源费（暂按0.1元/t）、药剂费、污泥处理及外运费、项目范围内管网维护费、修理费、大修费、管理费；</w:t>
            </w:r>
          </w:p>
          <w:p>
            <w:pPr>
              <w:widowControl/>
              <w:jc w:val="left"/>
              <w:rPr>
                <w:rFonts w:asciiTheme="minorEastAsia" w:hAnsiTheme="minorEastAsia" w:eastAsiaTheme="minorEastAsia"/>
                <w:kern w:val="0"/>
              </w:rPr>
            </w:pPr>
            <w:r>
              <w:rPr>
                <w:rFonts w:asciiTheme="minorEastAsia" w:hAnsiTheme="minorEastAsia" w:eastAsiaTheme="minorEastAsia"/>
                <w:kern w:val="0"/>
              </w:rPr>
              <w:t>报价暂不考虑调价因素</w:t>
            </w:r>
            <w:r>
              <w:rPr>
                <w:rFonts w:hint="eastAsia" w:asciiTheme="minorEastAsia" w:hAnsiTheme="minorEastAsia" w:eastAsiaTheme="minorEastAsia"/>
                <w:kern w:val="0"/>
              </w:rPr>
              <w:t>，报价为基本水量下包干成本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708" w:type="dxa"/>
            <w:vAlign w:val="center"/>
          </w:tcPr>
          <w:p>
            <w:pPr>
              <w:widowControl/>
              <w:jc w:val="center"/>
              <w:rPr>
                <w:rFonts w:asciiTheme="minorEastAsia" w:hAnsiTheme="minorEastAsia" w:eastAsiaTheme="minorEastAsia"/>
                <w:kern w:val="0"/>
              </w:rPr>
            </w:pPr>
            <w:r>
              <w:rPr>
                <w:rFonts w:asciiTheme="minorEastAsia" w:hAnsiTheme="minorEastAsia" w:eastAsiaTheme="minorEastAsia"/>
                <w:kern w:val="0"/>
              </w:rPr>
              <w:t>1.3</w:t>
            </w:r>
          </w:p>
        </w:tc>
        <w:tc>
          <w:tcPr>
            <w:tcW w:w="1681" w:type="dxa"/>
            <w:vAlign w:val="center"/>
          </w:tcPr>
          <w:p>
            <w:pPr>
              <w:widowControl/>
              <w:jc w:val="left"/>
              <w:rPr>
                <w:rFonts w:asciiTheme="minorEastAsia" w:hAnsiTheme="minorEastAsia" w:eastAsiaTheme="minorEastAsia"/>
                <w:kern w:val="0"/>
              </w:rPr>
            </w:pPr>
            <w:r>
              <w:rPr>
                <w:rFonts w:asciiTheme="minorEastAsia" w:hAnsiTheme="minorEastAsia" w:eastAsiaTheme="minorEastAsia"/>
                <w:kern w:val="0"/>
              </w:rPr>
              <w:t>生活供水初始运营成本</w:t>
            </w:r>
          </w:p>
        </w:tc>
        <w:tc>
          <w:tcPr>
            <w:tcW w:w="479" w:type="dxa"/>
            <w:vAlign w:val="center"/>
          </w:tcPr>
          <w:p>
            <w:pPr>
              <w:widowControl/>
              <w:jc w:val="left"/>
              <w:rPr>
                <w:rFonts w:asciiTheme="minorEastAsia" w:hAnsiTheme="minorEastAsia" w:eastAsiaTheme="minorEastAsia"/>
                <w:kern w:val="0"/>
              </w:rPr>
            </w:pPr>
            <w:r>
              <w:rPr>
                <w:rFonts w:asciiTheme="minorEastAsia" w:hAnsiTheme="minorEastAsia" w:eastAsiaTheme="minorEastAsia"/>
                <w:kern w:val="0"/>
              </w:rPr>
              <w:t>万元</w:t>
            </w:r>
          </w:p>
        </w:tc>
        <w:tc>
          <w:tcPr>
            <w:tcW w:w="3426" w:type="dxa"/>
            <w:vAlign w:val="center"/>
          </w:tcPr>
          <w:p>
            <w:pPr>
              <w:widowControl/>
              <w:jc w:val="left"/>
              <w:rPr>
                <w:rFonts w:asciiTheme="minorEastAsia" w:hAnsiTheme="minorEastAsia" w:eastAsiaTheme="minorEastAsia"/>
                <w:kern w:val="0"/>
              </w:rPr>
            </w:pPr>
            <w:r>
              <w:rPr>
                <w:rFonts w:asciiTheme="minorEastAsia" w:hAnsiTheme="minorEastAsia" w:eastAsiaTheme="minorEastAsia"/>
                <w:kern w:val="0"/>
              </w:rPr>
              <w:t>19年运营成本合计：</w:t>
            </w:r>
            <w:r>
              <w:rPr>
                <w:rFonts w:hint="eastAsia" w:asciiTheme="minorEastAsia" w:hAnsiTheme="minorEastAsia" w:eastAsiaTheme="minorEastAsia"/>
                <w:kern w:val="0"/>
                <w:u w:val="single"/>
              </w:rPr>
              <w:t xml:space="preserve">      </w:t>
            </w:r>
            <w:r>
              <w:rPr>
                <w:rFonts w:asciiTheme="minorEastAsia" w:hAnsiTheme="minorEastAsia" w:eastAsiaTheme="minorEastAsia"/>
                <w:kern w:val="0"/>
              </w:rPr>
              <w:t>万元（项目生活供水初始运营成本在不高于招标控制价上限</w:t>
            </w:r>
            <w:r>
              <w:rPr>
                <w:rFonts w:asciiTheme="minorEastAsia" w:hAnsiTheme="minorEastAsia" w:eastAsiaTheme="minorEastAsia"/>
                <w:kern w:val="0"/>
                <w:u w:val="single"/>
              </w:rPr>
              <w:t>4673.70万元</w:t>
            </w:r>
            <w:r>
              <w:rPr>
                <w:rFonts w:asciiTheme="minorEastAsia" w:hAnsiTheme="minorEastAsia" w:eastAsiaTheme="minorEastAsia"/>
                <w:kern w:val="0"/>
              </w:rPr>
              <w:t>的范围内为有效报价，报价最小单位为</w:t>
            </w:r>
            <w:r>
              <w:rPr>
                <w:rFonts w:hint="eastAsia" w:asciiTheme="minorEastAsia" w:hAnsiTheme="minorEastAsia" w:eastAsiaTheme="minorEastAsia"/>
                <w:kern w:val="0"/>
              </w:rPr>
              <w:t>0.01</w:t>
            </w:r>
            <w:r>
              <w:rPr>
                <w:rFonts w:asciiTheme="minorEastAsia" w:hAnsiTheme="minorEastAsia" w:eastAsiaTheme="minorEastAsia"/>
                <w:kern w:val="0"/>
              </w:rPr>
              <w:t>万元。）</w:t>
            </w:r>
          </w:p>
        </w:tc>
        <w:tc>
          <w:tcPr>
            <w:tcW w:w="2993" w:type="dxa"/>
            <w:vAlign w:val="center"/>
          </w:tcPr>
          <w:p>
            <w:pPr>
              <w:widowControl/>
              <w:jc w:val="left"/>
              <w:rPr>
                <w:rFonts w:asciiTheme="minorEastAsia" w:hAnsiTheme="minorEastAsia" w:eastAsiaTheme="minorEastAsia"/>
                <w:kern w:val="0"/>
              </w:rPr>
            </w:pPr>
            <w:r>
              <w:rPr>
                <w:rFonts w:hint="eastAsia" w:asciiTheme="minorEastAsia" w:hAnsiTheme="minorEastAsia" w:eastAsiaTheme="minorEastAsia"/>
              </w:rPr>
              <w:t>初始运营成本包括：人员工资及福利、电费、水费、活供水进水水费（暂估1元/t）、药剂费、项目范围内管网维护费、修理费、大修费、管理费；</w:t>
            </w:r>
          </w:p>
          <w:p>
            <w:pPr>
              <w:widowControl/>
              <w:jc w:val="left"/>
              <w:rPr>
                <w:rFonts w:asciiTheme="minorEastAsia" w:hAnsiTheme="minorEastAsia" w:eastAsiaTheme="minorEastAsia"/>
                <w:kern w:val="0"/>
              </w:rPr>
            </w:pPr>
            <w:r>
              <w:rPr>
                <w:rFonts w:asciiTheme="minorEastAsia" w:hAnsiTheme="minorEastAsia" w:eastAsiaTheme="minorEastAsia"/>
                <w:kern w:val="0"/>
              </w:rPr>
              <w:t>报价暂不考虑调价因素</w:t>
            </w:r>
            <w:r>
              <w:rPr>
                <w:rFonts w:hint="eastAsia" w:asciiTheme="minorEastAsia" w:hAnsiTheme="minorEastAsia" w:eastAsiaTheme="minorEastAsia"/>
                <w:kern w:val="0"/>
              </w:rPr>
              <w:t>，报价为基本水量下包干成本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08" w:type="dxa"/>
            <w:vAlign w:val="center"/>
          </w:tcPr>
          <w:p>
            <w:pPr>
              <w:widowControl/>
              <w:jc w:val="center"/>
              <w:rPr>
                <w:rFonts w:asciiTheme="minorEastAsia" w:hAnsiTheme="minorEastAsia" w:eastAsiaTheme="minorEastAsia"/>
                <w:kern w:val="0"/>
              </w:rPr>
            </w:pPr>
            <w:r>
              <w:rPr>
                <w:rFonts w:asciiTheme="minorEastAsia" w:hAnsiTheme="minorEastAsia" w:eastAsiaTheme="minorEastAsia"/>
                <w:kern w:val="0"/>
              </w:rPr>
              <w:t>1.4</w:t>
            </w:r>
          </w:p>
        </w:tc>
        <w:tc>
          <w:tcPr>
            <w:tcW w:w="1681" w:type="dxa"/>
            <w:vAlign w:val="center"/>
          </w:tcPr>
          <w:p>
            <w:pPr>
              <w:widowControl/>
              <w:jc w:val="left"/>
              <w:rPr>
                <w:rFonts w:asciiTheme="minorEastAsia" w:hAnsiTheme="minorEastAsia" w:eastAsiaTheme="minorEastAsia"/>
                <w:kern w:val="0"/>
              </w:rPr>
            </w:pPr>
            <w:r>
              <w:rPr>
                <w:rFonts w:asciiTheme="minorEastAsia" w:hAnsiTheme="minorEastAsia" w:eastAsiaTheme="minorEastAsia"/>
                <w:kern w:val="0"/>
              </w:rPr>
              <w:t>污水初始运营成本</w:t>
            </w:r>
          </w:p>
        </w:tc>
        <w:tc>
          <w:tcPr>
            <w:tcW w:w="479" w:type="dxa"/>
            <w:vAlign w:val="center"/>
          </w:tcPr>
          <w:p>
            <w:pPr>
              <w:widowControl/>
              <w:jc w:val="left"/>
              <w:rPr>
                <w:rFonts w:asciiTheme="minorEastAsia" w:hAnsiTheme="minorEastAsia" w:eastAsiaTheme="minorEastAsia"/>
                <w:kern w:val="0"/>
              </w:rPr>
            </w:pPr>
            <w:r>
              <w:rPr>
                <w:rFonts w:asciiTheme="minorEastAsia" w:hAnsiTheme="minorEastAsia" w:eastAsiaTheme="minorEastAsia"/>
                <w:kern w:val="0"/>
              </w:rPr>
              <w:t>万元</w:t>
            </w:r>
          </w:p>
        </w:tc>
        <w:tc>
          <w:tcPr>
            <w:tcW w:w="3426" w:type="dxa"/>
            <w:vAlign w:val="center"/>
          </w:tcPr>
          <w:p>
            <w:pPr>
              <w:widowControl/>
              <w:jc w:val="left"/>
              <w:rPr>
                <w:rFonts w:asciiTheme="minorEastAsia" w:hAnsiTheme="minorEastAsia" w:eastAsiaTheme="minorEastAsia"/>
                <w:kern w:val="0"/>
              </w:rPr>
            </w:pPr>
            <w:r>
              <w:rPr>
                <w:rFonts w:asciiTheme="minorEastAsia" w:hAnsiTheme="minorEastAsia" w:eastAsiaTheme="minorEastAsia"/>
                <w:kern w:val="0"/>
              </w:rPr>
              <w:t>19年运营成本合计：</w:t>
            </w:r>
            <w:r>
              <w:rPr>
                <w:rFonts w:hint="eastAsia" w:asciiTheme="minorEastAsia" w:hAnsiTheme="minorEastAsia" w:eastAsiaTheme="minorEastAsia"/>
                <w:kern w:val="0"/>
                <w:u w:val="single"/>
              </w:rPr>
              <w:t xml:space="preserve">      </w:t>
            </w:r>
            <w:r>
              <w:rPr>
                <w:rFonts w:asciiTheme="minorEastAsia" w:hAnsiTheme="minorEastAsia" w:eastAsiaTheme="minorEastAsia"/>
                <w:kern w:val="0"/>
              </w:rPr>
              <w:t>万元（项目污水初始运营成本在不高于招标控制价上限</w:t>
            </w:r>
            <w:r>
              <w:rPr>
                <w:rFonts w:asciiTheme="minorEastAsia" w:hAnsiTheme="minorEastAsia" w:eastAsiaTheme="minorEastAsia"/>
                <w:kern w:val="0"/>
                <w:u w:val="single"/>
              </w:rPr>
              <w:t>28899.81万元</w:t>
            </w:r>
            <w:r>
              <w:rPr>
                <w:rFonts w:asciiTheme="minorEastAsia" w:hAnsiTheme="minorEastAsia" w:eastAsiaTheme="minorEastAsia"/>
                <w:kern w:val="0"/>
              </w:rPr>
              <w:t>的范围内为有效报价，报价最小单位为</w:t>
            </w:r>
            <w:r>
              <w:rPr>
                <w:rFonts w:hint="eastAsia" w:asciiTheme="minorEastAsia" w:hAnsiTheme="minorEastAsia" w:eastAsiaTheme="minorEastAsia"/>
                <w:kern w:val="0"/>
              </w:rPr>
              <w:t>0.01</w:t>
            </w:r>
            <w:r>
              <w:rPr>
                <w:rFonts w:asciiTheme="minorEastAsia" w:hAnsiTheme="minorEastAsia" w:eastAsiaTheme="minorEastAsia"/>
                <w:kern w:val="0"/>
              </w:rPr>
              <w:t>万元。）</w:t>
            </w:r>
          </w:p>
        </w:tc>
        <w:tc>
          <w:tcPr>
            <w:tcW w:w="2993" w:type="dxa"/>
            <w:vAlign w:val="center"/>
          </w:tcPr>
          <w:p>
            <w:pPr>
              <w:widowControl/>
              <w:jc w:val="left"/>
              <w:rPr>
                <w:rFonts w:asciiTheme="minorEastAsia" w:hAnsiTheme="minorEastAsia" w:eastAsiaTheme="minorEastAsia"/>
                <w:kern w:val="0"/>
              </w:rPr>
            </w:pPr>
            <w:r>
              <w:rPr>
                <w:rFonts w:hint="eastAsia" w:asciiTheme="minorEastAsia" w:hAnsiTheme="minorEastAsia" w:eastAsiaTheme="minorEastAsia"/>
              </w:rPr>
              <w:t>初始运营成本包括：人员工资及福利、电费、水费、药剂费、污泥处理及外运费、项目范围内管网维护费、修理费、大修费、管理费、栅渣和沉砂处理费。</w:t>
            </w:r>
          </w:p>
          <w:p>
            <w:pPr>
              <w:widowControl/>
              <w:jc w:val="left"/>
              <w:rPr>
                <w:rFonts w:asciiTheme="minorEastAsia" w:hAnsiTheme="minorEastAsia" w:eastAsiaTheme="minorEastAsia"/>
                <w:kern w:val="0"/>
              </w:rPr>
            </w:pPr>
            <w:r>
              <w:rPr>
                <w:rFonts w:asciiTheme="minorEastAsia" w:hAnsiTheme="minorEastAsia" w:eastAsiaTheme="minorEastAsia"/>
                <w:kern w:val="0"/>
              </w:rPr>
              <w:t>报价暂不考虑调价因素</w:t>
            </w:r>
            <w:r>
              <w:rPr>
                <w:rFonts w:hint="eastAsia" w:asciiTheme="minorEastAsia" w:hAnsiTheme="minorEastAsia" w:eastAsiaTheme="minorEastAsia"/>
                <w:kern w:val="0"/>
              </w:rPr>
              <w:t>，报价为基本水量下包干成本</w:t>
            </w:r>
          </w:p>
        </w:tc>
      </w:tr>
    </w:tbl>
    <w:p>
      <w:pPr>
        <w:pStyle w:val="23"/>
        <w:spacing w:before="4"/>
        <w:rPr>
          <w:rFonts w:asciiTheme="minorEastAsia" w:hAnsiTheme="minorEastAsia" w:eastAsiaTheme="minorEastAsia"/>
          <w:b/>
          <w:sz w:val="10"/>
        </w:rPr>
      </w:pPr>
    </w:p>
    <w:p>
      <w:pPr>
        <w:pStyle w:val="23"/>
        <w:rPr>
          <w:rFonts w:asciiTheme="minorEastAsia" w:hAnsiTheme="minorEastAsia" w:eastAsiaTheme="minorEastAsia"/>
          <w:b/>
          <w:sz w:val="20"/>
        </w:rPr>
      </w:pPr>
    </w:p>
    <w:p>
      <w:pPr>
        <w:pStyle w:val="23"/>
        <w:jc w:val="center"/>
        <w:rPr>
          <w:rFonts w:asciiTheme="minorEastAsia" w:hAnsiTheme="minorEastAsia" w:eastAsiaTheme="minorEastAsia"/>
          <w:sz w:val="24"/>
        </w:rPr>
      </w:pPr>
      <w:r>
        <w:rPr>
          <w:rFonts w:hint="eastAsia" w:asciiTheme="minorEastAsia" w:hAnsiTheme="minorEastAsia" w:eastAsiaTheme="minorEastAsia"/>
          <w:sz w:val="24"/>
        </w:rPr>
        <w:t>投标人名称：（盖单位公章）</w:t>
      </w:r>
    </w:p>
    <w:p>
      <w:pPr>
        <w:pStyle w:val="23"/>
        <w:jc w:val="center"/>
        <w:rPr>
          <w:rFonts w:asciiTheme="minorEastAsia" w:hAnsiTheme="minorEastAsia" w:eastAsiaTheme="minorEastAsia"/>
          <w:sz w:val="20"/>
        </w:rPr>
      </w:pPr>
      <w:r>
        <w:rPr>
          <w:rFonts w:hint="eastAsia" w:asciiTheme="minorEastAsia" w:hAnsiTheme="minorEastAsia" w:eastAsiaTheme="minorEastAsia"/>
          <w:sz w:val="24"/>
        </w:rPr>
        <w:t xml:space="preserve">      法定代表人或委托代理人：（签字或盖章）</w:t>
      </w:r>
    </w:p>
    <w:p>
      <w:pPr>
        <w:pStyle w:val="23"/>
        <w:tabs>
          <w:tab w:val="left" w:pos="8942"/>
          <w:tab w:val="left" w:pos="9547"/>
          <w:tab w:val="left" w:pos="10103"/>
        </w:tabs>
        <w:spacing w:before="231"/>
        <w:jc w:val="center"/>
        <w:rPr>
          <w:rFonts w:asciiTheme="minorEastAsia" w:hAnsiTheme="minorEastAsia" w:eastAsiaTheme="minorEastAsia"/>
          <w:sz w:val="17"/>
        </w:rPr>
      </w:pPr>
      <w:r>
        <w:rPr>
          <w:rFonts w:asciiTheme="minorEastAsia" w:hAnsiTheme="minorEastAsia" w:eastAsiaTheme="minorEastAsia"/>
          <w:sz w:val="24"/>
        </w:rPr>
        <w:t>日 期：</w:t>
      </w:r>
      <w:r>
        <w:rPr>
          <w:rFonts w:hint="eastAsia" w:asciiTheme="minorEastAsia" w:hAnsiTheme="minorEastAsia" w:eastAsiaTheme="minorEastAsia"/>
          <w:sz w:val="24"/>
        </w:rPr>
        <w:t xml:space="preserve"> </w:t>
      </w:r>
      <w:r>
        <w:rPr>
          <w:rFonts w:asciiTheme="minorEastAsia" w:hAnsiTheme="minorEastAsia" w:eastAsiaTheme="minorEastAsia"/>
          <w:sz w:val="24"/>
        </w:rPr>
        <w:t>年</w:t>
      </w:r>
      <w:r>
        <w:rPr>
          <w:rFonts w:hint="eastAsia" w:asciiTheme="minorEastAsia" w:hAnsiTheme="minorEastAsia" w:eastAsiaTheme="minorEastAsia"/>
          <w:sz w:val="24"/>
        </w:rPr>
        <w:t xml:space="preserve"> </w:t>
      </w:r>
      <w:r>
        <w:rPr>
          <w:rFonts w:asciiTheme="minorEastAsia" w:hAnsiTheme="minorEastAsia" w:eastAsiaTheme="minorEastAsia"/>
          <w:sz w:val="24"/>
        </w:rPr>
        <w:t>月</w:t>
      </w:r>
      <w:r>
        <w:rPr>
          <w:rFonts w:hint="eastAsia" w:asciiTheme="minorEastAsia" w:hAnsiTheme="minorEastAsia" w:eastAsiaTheme="minorEastAsia"/>
          <w:sz w:val="24"/>
        </w:rPr>
        <w:t xml:space="preserve"> </w:t>
      </w:r>
      <w:r>
        <w:rPr>
          <w:rFonts w:asciiTheme="minorEastAsia" w:hAnsiTheme="minorEastAsia" w:eastAsiaTheme="minorEastAsia"/>
          <w:sz w:val="24"/>
        </w:rPr>
        <w:t>日</w:t>
      </w:r>
    </w:p>
    <w:p>
      <w:pPr>
        <w:pStyle w:val="200"/>
        <w:ind w:firstLine="480"/>
        <w:rPr>
          <w:rFonts w:asciiTheme="minorEastAsia" w:hAnsiTheme="minorEastAsia" w:eastAsiaTheme="minorEastAsia"/>
        </w:rPr>
      </w:pPr>
      <w:r>
        <w:rPr>
          <w:rFonts w:asciiTheme="minorEastAsia" w:hAnsiTheme="minorEastAsia" w:eastAsiaTheme="minorEastAsia"/>
        </w:rPr>
        <w:t>注：若为联合体投标的仅需联合体牵头人提交并加盖联合体牵头人公章。</w:t>
      </w:r>
    </w:p>
    <w:p>
      <w:pPr>
        <w:widowControl/>
        <w:jc w:val="left"/>
        <w:rPr>
          <w:rFonts w:asciiTheme="minorEastAsia" w:hAnsiTheme="minorEastAsia" w:eastAsiaTheme="minorEastAsia"/>
          <w:b/>
          <w:bCs/>
          <w:sz w:val="30"/>
          <w:szCs w:val="30"/>
        </w:rPr>
      </w:pPr>
      <w:r>
        <w:rPr>
          <w:rFonts w:asciiTheme="minorEastAsia" w:hAnsiTheme="minorEastAsia" w:eastAsiaTheme="minorEastAsia"/>
          <w:b/>
          <w:bCs/>
          <w:sz w:val="30"/>
          <w:szCs w:val="30"/>
        </w:rPr>
        <w:br w:type="page"/>
      </w:r>
      <w:bookmarkStart w:id="632" w:name="_GoBack"/>
      <w:bookmarkEnd w:id="632"/>
    </w:p>
    <w:p>
      <w:pPr>
        <w:pStyle w:val="28"/>
        <w:spacing w:line="500" w:lineRule="exact"/>
        <w:jc w:val="center"/>
        <w:outlineLvl w:val="1"/>
        <w:rPr>
          <w:rFonts w:asciiTheme="minorEastAsia" w:hAnsiTheme="minorEastAsia" w:eastAsiaTheme="minorEastAsia"/>
          <w:b/>
          <w:bCs/>
          <w:sz w:val="30"/>
          <w:szCs w:val="30"/>
        </w:rPr>
      </w:pPr>
      <w:bookmarkStart w:id="200" w:name="_Toc50993405"/>
      <w:r>
        <w:rPr>
          <w:rFonts w:hint="eastAsia" w:asciiTheme="minorEastAsia" w:hAnsiTheme="minorEastAsia" w:eastAsiaTheme="minorEastAsia"/>
          <w:b/>
          <w:bCs/>
          <w:sz w:val="30"/>
          <w:szCs w:val="30"/>
        </w:rPr>
        <w:t>二、投标函（格式）</w:t>
      </w:r>
      <w:bookmarkEnd w:id="196"/>
      <w:bookmarkEnd w:id="197"/>
      <w:bookmarkEnd w:id="198"/>
      <w:bookmarkEnd w:id="199"/>
      <w:bookmarkEnd w:id="200"/>
    </w:p>
    <w:p>
      <w:pPr>
        <w:pStyle w:val="28"/>
        <w:spacing w:line="500" w:lineRule="exact"/>
        <w:rPr>
          <w:rFonts w:asciiTheme="minorEastAsia" w:hAnsiTheme="minorEastAsia" w:eastAsiaTheme="minorEastAsia"/>
          <w:sz w:val="24"/>
        </w:rPr>
      </w:pPr>
      <w:r>
        <w:rPr>
          <w:rFonts w:hint="eastAsia" w:asciiTheme="minorEastAsia" w:hAnsiTheme="minorEastAsia" w:eastAsiaTheme="minorEastAsia"/>
          <w:sz w:val="24"/>
        </w:rPr>
        <w:t>致：（采购人）</w:t>
      </w:r>
    </w:p>
    <w:p>
      <w:pPr>
        <w:pStyle w:val="28"/>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我方已仔细阅读了贵方组织的</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项目</w:t>
      </w:r>
      <w:r>
        <w:rPr>
          <w:rFonts w:hint="eastAsia" w:asciiTheme="minorEastAsia" w:hAnsiTheme="minorEastAsia" w:eastAsiaTheme="minorEastAsia"/>
          <w:sz w:val="24"/>
          <w:u w:val="single"/>
        </w:rPr>
        <w:t>（项目编号：  ）</w:t>
      </w:r>
      <w:r>
        <w:rPr>
          <w:rFonts w:hint="eastAsia" w:asciiTheme="minorEastAsia" w:hAnsiTheme="minorEastAsia" w:eastAsiaTheme="minorEastAsia"/>
          <w:sz w:val="24"/>
        </w:rPr>
        <w:t>的招标文件的全部内容，现正式递交下述文件参加贵方采购的本次公开活动：</w:t>
      </w:r>
    </w:p>
    <w:p>
      <w:pPr>
        <w:pStyle w:val="28"/>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报价文件及商务文件、技术文件正本一份，副本六份（包含按投标人须知第</w:t>
      </w:r>
      <w:r>
        <w:rPr>
          <w:rFonts w:asciiTheme="minorEastAsia" w:hAnsiTheme="minorEastAsia" w:eastAsiaTheme="minorEastAsia"/>
          <w:sz w:val="24"/>
        </w:rPr>
        <w:t>10.1.1</w:t>
      </w:r>
      <w:r>
        <w:rPr>
          <w:rFonts w:hint="eastAsia" w:asciiTheme="minorEastAsia" w:hAnsiTheme="minorEastAsia" w:eastAsiaTheme="minorEastAsia"/>
          <w:sz w:val="24"/>
        </w:rPr>
        <w:t>、</w:t>
      </w:r>
      <w:r>
        <w:rPr>
          <w:rFonts w:asciiTheme="minorEastAsia" w:hAnsiTheme="minorEastAsia" w:eastAsiaTheme="minorEastAsia"/>
          <w:sz w:val="24"/>
        </w:rPr>
        <w:t>10.1.2</w:t>
      </w:r>
      <w:r>
        <w:rPr>
          <w:rFonts w:hint="eastAsia" w:asciiTheme="minorEastAsia" w:hAnsiTheme="minorEastAsia" w:eastAsiaTheme="minorEastAsia"/>
          <w:sz w:val="24"/>
        </w:rPr>
        <w:t>、</w:t>
      </w:r>
      <w:r>
        <w:rPr>
          <w:rFonts w:asciiTheme="minorEastAsia" w:hAnsiTheme="minorEastAsia" w:eastAsiaTheme="minorEastAsia"/>
          <w:sz w:val="24"/>
        </w:rPr>
        <w:t>10.1.3</w:t>
      </w:r>
      <w:r>
        <w:rPr>
          <w:rFonts w:hint="eastAsia" w:asciiTheme="minorEastAsia" w:hAnsiTheme="minorEastAsia" w:eastAsiaTheme="minorEastAsia"/>
          <w:sz w:val="24"/>
        </w:rPr>
        <w:t>项要求提交的全部文件）；</w:t>
      </w:r>
    </w:p>
    <w:p>
      <w:pPr>
        <w:pStyle w:val="28"/>
        <w:spacing w:line="500" w:lineRule="exact"/>
        <w:ind w:firstLine="482"/>
        <w:rPr>
          <w:rFonts w:asciiTheme="minorEastAsia" w:hAnsiTheme="minorEastAsia" w:eastAsiaTheme="minorEastAsia"/>
          <w:sz w:val="24"/>
        </w:rPr>
      </w:pPr>
      <w:r>
        <w:rPr>
          <w:rFonts w:hint="eastAsia" w:asciiTheme="minorEastAsia" w:hAnsiTheme="minorEastAsia" w:eastAsiaTheme="minorEastAsia"/>
          <w:sz w:val="24"/>
        </w:rPr>
        <w:t>据此函，我方兹宣布：</w:t>
      </w:r>
    </w:p>
    <w:p>
      <w:pPr>
        <w:pStyle w:val="28"/>
        <w:spacing w:line="500" w:lineRule="exact"/>
        <w:ind w:firstLine="480" w:firstLineChars="200"/>
        <w:jc w:val="left"/>
        <w:rPr>
          <w:rFonts w:cs="仿宋" w:asciiTheme="minorEastAsia" w:hAnsiTheme="minorEastAsia" w:eastAsiaTheme="minorEastAsia"/>
          <w:sz w:val="24"/>
        </w:rPr>
      </w:pPr>
      <w:r>
        <w:rPr>
          <w:rFonts w:cs="仿宋" w:asciiTheme="minorEastAsia" w:hAnsiTheme="minorEastAsia" w:eastAsiaTheme="minorEastAsia"/>
          <w:sz w:val="24"/>
        </w:rPr>
        <w:t>1</w:t>
      </w:r>
      <w:r>
        <w:rPr>
          <w:rFonts w:hint="eastAsia" w:cs="仿宋" w:asciiTheme="minorEastAsia" w:hAnsiTheme="minorEastAsia" w:eastAsiaTheme="minorEastAsia"/>
          <w:sz w:val="24"/>
        </w:rPr>
        <w:t>、我方愿意以</w:t>
      </w:r>
      <w:r>
        <w:rPr>
          <w:rFonts w:hint="eastAsia" w:cs="仿宋" w:asciiTheme="minorEastAsia" w:hAnsiTheme="minorEastAsia" w:eastAsiaTheme="minorEastAsia"/>
          <w:b/>
          <w:bCs/>
          <w:sz w:val="24"/>
        </w:rPr>
        <w:t>全投资内部收益率（税后）（大写：百分之</w:t>
      </w:r>
      <w:r>
        <w:rPr>
          <w:rFonts w:hint="eastAsia" w:cs="仿宋" w:asciiTheme="minorEastAsia" w:hAnsiTheme="minorEastAsia" w:eastAsiaTheme="minorEastAsia"/>
          <w:b/>
          <w:bCs/>
          <w:sz w:val="24"/>
          <w:u w:val="single"/>
        </w:rPr>
        <w:t xml:space="preserve">     </w:t>
      </w:r>
      <w:r>
        <w:rPr>
          <w:rFonts w:hint="eastAsia" w:cs="仿宋" w:asciiTheme="minorEastAsia" w:hAnsiTheme="minorEastAsia" w:eastAsiaTheme="minorEastAsia"/>
          <w:b/>
          <w:bCs/>
          <w:sz w:val="24"/>
        </w:rPr>
        <w:t>）小写：</w:t>
      </w:r>
      <w:r>
        <w:rPr>
          <w:rFonts w:hint="eastAsia" w:cs="仿宋" w:asciiTheme="minorEastAsia" w:hAnsiTheme="minorEastAsia" w:eastAsiaTheme="minorEastAsia"/>
          <w:b/>
          <w:bCs/>
          <w:sz w:val="24"/>
          <w:u w:val="single"/>
        </w:rPr>
        <w:t xml:space="preserve">    </w:t>
      </w:r>
      <w:r>
        <w:rPr>
          <w:rFonts w:hint="eastAsia" w:cs="仿宋" w:asciiTheme="minorEastAsia" w:hAnsiTheme="minorEastAsia" w:eastAsiaTheme="minorEastAsia"/>
          <w:b/>
          <w:bCs/>
          <w:sz w:val="24"/>
        </w:rPr>
        <w:t>%，；工业供水初始运营成本（大写：</w:t>
      </w:r>
      <w:r>
        <w:rPr>
          <w:rFonts w:hint="eastAsia" w:cs="仿宋" w:asciiTheme="minorEastAsia" w:hAnsiTheme="minorEastAsia" w:eastAsiaTheme="minorEastAsia"/>
          <w:b/>
          <w:bCs/>
          <w:sz w:val="24"/>
          <w:u w:val="single"/>
        </w:rPr>
        <w:t xml:space="preserve">  万元</w:t>
      </w:r>
      <w:r>
        <w:rPr>
          <w:rFonts w:hint="eastAsia" w:cs="仿宋" w:asciiTheme="minorEastAsia" w:hAnsiTheme="minorEastAsia" w:eastAsiaTheme="minorEastAsia"/>
          <w:b/>
          <w:bCs/>
          <w:sz w:val="24"/>
        </w:rPr>
        <w:t>）小写：</w:t>
      </w:r>
      <w:r>
        <w:rPr>
          <w:rFonts w:hint="eastAsia" w:cs="仿宋" w:asciiTheme="minorEastAsia" w:hAnsiTheme="minorEastAsia" w:eastAsiaTheme="minorEastAsia"/>
          <w:b/>
          <w:bCs/>
          <w:sz w:val="24"/>
          <w:u w:val="single"/>
        </w:rPr>
        <w:t xml:space="preserve">    ；生活供水初始运营成本</w:t>
      </w:r>
      <w:r>
        <w:rPr>
          <w:rFonts w:hint="eastAsia" w:cs="仿宋" w:asciiTheme="minorEastAsia" w:hAnsiTheme="minorEastAsia" w:eastAsiaTheme="minorEastAsia"/>
          <w:b/>
          <w:bCs/>
          <w:sz w:val="24"/>
        </w:rPr>
        <w:t>（大写：</w:t>
      </w:r>
      <w:r>
        <w:rPr>
          <w:rFonts w:hint="eastAsia" w:cs="仿宋" w:asciiTheme="minorEastAsia" w:hAnsiTheme="minorEastAsia" w:eastAsiaTheme="minorEastAsia"/>
          <w:b/>
          <w:bCs/>
          <w:sz w:val="24"/>
          <w:u w:val="single"/>
        </w:rPr>
        <w:t xml:space="preserve">  万元</w:t>
      </w:r>
      <w:r>
        <w:rPr>
          <w:rFonts w:hint="eastAsia" w:cs="仿宋" w:asciiTheme="minorEastAsia" w:hAnsiTheme="minorEastAsia" w:eastAsiaTheme="minorEastAsia"/>
          <w:b/>
          <w:bCs/>
          <w:sz w:val="24"/>
        </w:rPr>
        <w:t>）小写：</w:t>
      </w:r>
      <w:r>
        <w:rPr>
          <w:rFonts w:hint="eastAsia" w:cs="仿宋" w:asciiTheme="minorEastAsia" w:hAnsiTheme="minorEastAsia" w:eastAsiaTheme="minorEastAsia"/>
          <w:b/>
          <w:bCs/>
          <w:sz w:val="24"/>
          <w:u w:val="single"/>
        </w:rPr>
        <w:t xml:space="preserve">    ；污水初始运营成本</w:t>
      </w:r>
      <w:r>
        <w:rPr>
          <w:rFonts w:hint="eastAsia" w:cs="仿宋" w:asciiTheme="minorEastAsia" w:hAnsiTheme="minorEastAsia" w:eastAsiaTheme="minorEastAsia"/>
          <w:b/>
          <w:bCs/>
          <w:sz w:val="24"/>
        </w:rPr>
        <w:t>（大写：</w:t>
      </w:r>
      <w:r>
        <w:rPr>
          <w:rFonts w:hint="eastAsia" w:cs="仿宋" w:asciiTheme="minorEastAsia" w:hAnsiTheme="minorEastAsia" w:eastAsiaTheme="minorEastAsia"/>
          <w:b/>
          <w:bCs/>
          <w:sz w:val="24"/>
          <w:u w:val="single"/>
        </w:rPr>
        <w:t xml:space="preserve">  万元</w:t>
      </w:r>
      <w:r>
        <w:rPr>
          <w:rFonts w:hint="eastAsia" w:cs="仿宋" w:asciiTheme="minorEastAsia" w:hAnsiTheme="minorEastAsia" w:eastAsiaTheme="minorEastAsia"/>
          <w:b/>
          <w:bCs/>
          <w:sz w:val="24"/>
        </w:rPr>
        <w:t>）小写：</w:t>
      </w:r>
      <w:r>
        <w:rPr>
          <w:rFonts w:hint="eastAsia" w:cs="仿宋" w:asciiTheme="minorEastAsia" w:hAnsiTheme="minorEastAsia" w:eastAsiaTheme="minorEastAsia"/>
          <w:b/>
          <w:bCs/>
          <w:sz w:val="24"/>
          <w:u w:val="single"/>
        </w:rPr>
        <w:t xml:space="preserve">    </w:t>
      </w:r>
      <w:r>
        <w:rPr>
          <w:rFonts w:hint="eastAsia" w:cs="仿宋" w:asciiTheme="minorEastAsia" w:hAnsiTheme="minorEastAsia" w:eastAsiaTheme="minorEastAsia"/>
          <w:sz w:val="24"/>
        </w:rPr>
        <w:t>的投标报价。提供本项目招标文件第二章“采购需求”中的相应的采购内容。</w:t>
      </w:r>
    </w:p>
    <w:p>
      <w:pPr>
        <w:pStyle w:val="28"/>
        <w:spacing w:line="500" w:lineRule="exact"/>
        <w:ind w:firstLine="480" w:firstLineChars="200"/>
        <w:jc w:val="left"/>
        <w:rPr>
          <w:rFonts w:cs="仿宋" w:asciiTheme="minorEastAsia" w:hAnsiTheme="minorEastAsia" w:eastAsiaTheme="minorEastAsia"/>
          <w:sz w:val="24"/>
        </w:rPr>
      </w:pPr>
      <w:r>
        <w:rPr>
          <w:rFonts w:cs="仿宋" w:asciiTheme="minorEastAsia" w:hAnsiTheme="minorEastAsia" w:eastAsiaTheme="minorEastAsia"/>
          <w:sz w:val="24"/>
        </w:rPr>
        <w:t>2</w:t>
      </w:r>
      <w:r>
        <w:rPr>
          <w:rFonts w:hint="eastAsia" w:cs="仿宋" w:asciiTheme="minorEastAsia" w:hAnsiTheme="minorEastAsia" w:eastAsiaTheme="minorEastAsia"/>
          <w:sz w:val="24"/>
        </w:rPr>
        <w:t>、</w:t>
      </w:r>
      <w:r>
        <w:rPr>
          <w:rFonts w:cs="仿宋" w:asciiTheme="minorEastAsia" w:hAnsiTheme="minorEastAsia" w:eastAsiaTheme="minorEastAsia"/>
          <w:sz w:val="24"/>
        </w:rPr>
        <w:t>我方同意本投标文件有效期自递交投标文件截止之日起</w:t>
      </w:r>
      <w:r>
        <w:rPr>
          <w:rFonts w:hint="eastAsia" w:cs="仿宋" w:asciiTheme="minorEastAsia" w:hAnsiTheme="minorEastAsia" w:eastAsiaTheme="minorEastAsia"/>
          <w:sz w:val="24"/>
        </w:rPr>
        <w:t>90</w:t>
      </w:r>
      <w:r>
        <w:rPr>
          <w:rFonts w:cs="仿宋" w:asciiTheme="minorEastAsia" w:hAnsiTheme="minorEastAsia" w:eastAsiaTheme="minorEastAsia"/>
          <w:sz w:val="24"/>
        </w:rPr>
        <w:t>日。在该有效期内的任</w:t>
      </w:r>
      <w:r>
        <w:rPr>
          <w:rFonts w:hint="eastAsia" w:cs="仿宋" w:asciiTheme="minorEastAsia" w:hAnsiTheme="minorEastAsia" w:eastAsiaTheme="minorEastAsia"/>
          <w:sz w:val="24"/>
        </w:rPr>
        <w:t>何时间，本投标文件对我方一直具有约束力，并可随时接受中标。</w:t>
      </w:r>
    </w:p>
    <w:p>
      <w:pPr>
        <w:pStyle w:val="28"/>
        <w:spacing w:line="500" w:lineRule="exact"/>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3、我方所递交的投标文件及有关资料都是内容完整、真实和准确的。</w:t>
      </w:r>
    </w:p>
    <w:p>
      <w:pPr>
        <w:pStyle w:val="28"/>
        <w:spacing w:line="500" w:lineRule="exact"/>
        <w:ind w:firstLine="480" w:firstLineChars="200"/>
        <w:jc w:val="left"/>
        <w:rPr>
          <w:rFonts w:asciiTheme="minorEastAsia" w:hAnsiTheme="minorEastAsia" w:eastAsiaTheme="minorEastAsia"/>
          <w:sz w:val="24"/>
          <w:u w:val="single"/>
        </w:rPr>
      </w:pPr>
      <w:r>
        <w:rPr>
          <w:rFonts w:hint="eastAsia" w:cs="仿宋" w:asciiTheme="minorEastAsia" w:hAnsiTheme="minorEastAsia" w:eastAsiaTheme="minorEastAsia"/>
          <w:sz w:val="24"/>
        </w:rPr>
        <w:t>4、我方承诺已经具备《中华人民共和国政府采购法》中规定的参加政府采购活动的供应商应当具备的</w:t>
      </w:r>
      <w:r>
        <w:rPr>
          <w:rFonts w:hint="eastAsia" w:asciiTheme="minorEastAsia" w:hAnsiTheme="minorEastAsia" w:eastAsiaTheme="minorEastAsia"/>
          <w:sz w:val="24"/>
        </w:rPr>
        <w:t>条件：</w:t>
      </w:r>
    </w:p>
    <w:p>
      <w:pPr>
        <w:pStyle w:val="28"/>
        <w:numPr>
          <w:ilvl w:val="0"/>
          <w:numId w:val="9"/>
        </w:numPr>
        <w:spacing w:line="500" w:lineRule="exact"/>
        <w:rPr>
          <w:rFonts w:asciiTheme="minorEastAsia" w:hAnsiTheme="minorEastAsia" w:eastAsiaTheme="minorEastAsia"/>
          <w:sz w:val="24"/>
        </w:rPr>
      </w:pPr>
      <w:r>
        <w:rPr>
          <w:rFonts w:hint="eastAsia" w:asciiTheme="minorEastAsia" w:hAnsiTheme="minorEastAsia" w:eastAsiaTheme="minorEastAsia"/>
          <w:sz w:val="24"/>
        </w:rPr>
        <w:t>具有独立承担民事责任的能力；</w:t>
      </w:r>
    </w:p>
    <w:p>
      <w:pPr>
        <w:pStyle w:val="28"/>
        <w:numPr>
          <w:ilvl w:val="0"/>
          <w:numId w:val="9"/>
        </w:numPr>
        <w:spacing w:line="500" w:lineRule="exact"/>
        <w:rPr>
          <w:rFonts w:asciiTheme="minorEastAsia" w:hAnsiTheme="minorEastAsia" w:eastAsiaTheme="minorEastAsia"/>
          <w:sz w:val="24"/>
        </w:rPr>
      </w:pPr>
      <w:r>
        <w:rPr>
          <w:rFonts w:hint="eastAsia" w:asciiTheme="minorEastAsia" w:hAnsiTheme="minorEastAsia" w:eastAsiaTheme="minorEastAsia"/>
          <w:sz w:val="24"/>
        </w:rPr>
        <w:t>具有良好的商业信誉和健全的财务会计制度；</w:t>
      </w:r>
    </w:p>
    <w:p>
      <w:pPr>
        <w:pStyle w:val="28"/>
        <w:numPr>
          <w:ilvl w:val="0"/>
          <w:numId w:val="9"/>
        </w:numPr>
        <w:spacing w:line="500" w:lineRule="exact"/>
        <w:rPr>
          <w:rFonts w:asciiTheme="minorEastAsia" w:hAnsiTheme="minorEastAsia" w:eastAsiaTheme="minorEastAsia"/>
          <w:sz w:val="24"/>
        </w:rPr>
      </w:pPr>
      <w:r>
        <w:rPr>
          <w:rFonts w:hint="eastAsia" w:asciiTheme="minorEastAsia" w:hAnsiTheme="minorEastAsia" w:eastAsiaTheme="minorEastAsia"/>
          <w:sz w:val="24"/>
        </w:rPr>
        <w:t>具有履行合同所必需的设备和专业技术能力；</w:t>
      </w:r>
    </w:p>
    <w:p>
      <w:pPr>
        <w:pStyle w:val="28"/>
        <w:numPr>
          <w:ilvl w:val="0"/>
          <w:numId w:val="9"/>
        </w:numPr>
        <w:spacing w:line="500" w:lineRule="exact"/>
        <w:rPr>
          <w:rFonts w:asciiTheme="minorEastAsia" w:hAnsiTheme="minorEastAsia" w:eastAsiaTheme="minorEastAsia"/>
          <w:sz w:val="24"/>
        </w:rPr>
      </w:pPr>
      <w:r>
        <w:rPr>
          <w:rFonts w:hint="eastAsia" w:asciiTheme="minorEastAsia" w:hAnsiTheme="minorEastAsia" w:eastAsiaTheme="minorEastAsia"/>
          <w:sz w:val="24"/>
        </w:rPr>
        <w:t>有依法缴纳税收和社会保障资金的良好记录；</w:t>
      </w:r>
    </w:p>
    <w:p>
      <w:pPr>
        <w:pStyle w:val="28"/>
        <w:numPr>
          <w:ilvl w:val="0"/>
          <w:numId w:val="9"/>
        </w:numPr>
        <w:spacing w:line="500" w:lineRule="exact"/>
        <w:rPr>
          <w:rFonts w:asciiTheme="minorEastAsia" w:hAnsiTheme="minorEastAsia" w:eastAsiaTheme="minorEastAsia"/>
          <w:sz w:val="24"/>
        </w:rPr>
      </w:pPr>
      <w:r>
        <w:rPr>
          <w:rFonts w:hint="eastAsia" w:asciiTheme="minorEastAsia" w:hAnsiTheme="minorEastAsia" w:eastAsiaTheme="minorEastAsia"/>
          <w:sz w:val="24"/>
        </w:rPr>
        <w:t>参加政府采购活动前三年内，在经营活动中没有重大违法记录；</w:t>
      </w:r>
    </w:p>
    <w:p>
      <w:pPr>
        <w:pStyle w:val="28"/>
        <w:numPr>
          <w:ilvl w:val="0"/>
          <w:numId w:val="9"/>
        </w:numPr>
        <w:spacing w:line="500" w:lineRule="exact"/>
        <w:rPr>
          <w:rFonts w:asciiTheme="minorEastAsia" w:hAnsiTheme="minorEastAsia" w:eastAsiaTheme="minorEastAsia"/>
          <w:sz w:val="24"/>
        </w:rPr>
      </w:pPr>
      <w:r>
        <w:rPr>
          <w:rFonts w:hint="eastAsia" w:asciiTheme="minorEastAsia" w:hAnsiTheme="minorEastAsia" w:eastAsiaTheme="minorEastAsia"/>
          <w:sz w:val="24"/>
        </w:rPr>
        <w:t>法律、行政法规规定的其他条件。</w:t>
      </w:r>
    </w:p>
    <w:p>
      <w:pPr>
        <w:pStyle w:val="28"/>
        <w:spacing w:line="500" w:lineRule="exact"/>
        <w:ind w:firstLine="482"/>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、如本项目采购内容涉及须符合国家强制规定的，我方承诺我方本次投标（包括资格条件和所投产品）均符合国家有关强制规定。</w:t>
      </w:r>
    </w:p>
    <w:p>
      <w:pPr>
        <w:pStyle w:val="28"/>
        <w:spacing w:line="5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w:t>
      </w:r>
      <w:r>
        <w:rPr>
          <w:rFonts w:hint="eastAsia" w:asciiTheme="minorEastAsia" w:hAnsiTheme="minorEastAsia" w:eastAsiaTheme="minorEastAsia"/>
          <w:sz w:val="24"/>
        </w:rPr>
        <w:t>、如我方中标，我方承诺在收到中标通知书后，在中标通知书规定的期限内，根据采购文件、我方的投标文件及有关澄清承诺书的要求按第六章“</w:t>
      </w:r>
      <w:r>
        <w:rPr>
          <w:rFonts w:asciiTheme="minorEastAsia" w:hAnsiTheme="minorEastAsia" w:eastAsiaTheme="minorEastAsia"/>
          <w:sz w:val="24"/>
        </w:rPr>
        <w:t>PPP</w:t>
      </w:r>
      <w:r>
        <w:rPr>
          <w:rFonts w:hint="eastAsia" w:asciiTheme="minorEastAsia" w:hAnsiTheme="minorEastAsia" w:eastAsiaTheme="minorEastAsia"/>
          <w:sz w:val="24"/>
        </w:rPr>
        <w:t>项目合同”与采购人订立书面合同，并按照合同约定承担完成合同的责任和义务。</w:t>
      </w:r>
    </w:p>
    <w:p>
      <w:pPr>
        <w:pStyle w:val="28"/>
        <w:spacing w:line="5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、我方已详细审核采购文件，我方知道必须放弃提出含糊不清或误解问题的权利。</w:t>
      </w:r>
    </w:p>
    <w:p>
      <w:pPr>
        <w:pStyle w:val="28"/>
        <w:spacing w:line="5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8</w:t>
      </w:r>
      <w:r>
        <w:rPr>
          <w:rFonts w:hint="eastAsia" w:asciiTheme="minorEastAsia" w:hAnsiTheme="minorEastAsia" w:eastAsiaTheme="minorEastAsia"/>
          <w:sz w:val="24"/>
        </w:rPr>
        <w:t>、如我方有本项目采购文件第四章“投标人须知”第</w:t>
      </w:r>
      <w:r>
        <w:rPr>
          <w:rFonts w:asciiTheme="minorEastAsia" w:hAnsiTheme="minorEastAsia" w:eastAsiaTheme="minorEastAsia"/>
          <w:sz w:val="24"/>
        </w:rPr>
        <w:t>13.5</w:t>
      </w:r>
      <w:r>
        <w:rPr>
          <w:rFonts w:hint="eastAsia" w:asciiTheme="minorEastAsia" w:hAnsiTheme="minorEastAsia" w:eastAsiaTheme="minorEastAsia"/>
          <w:sz w:val="24"/>
        </w:rPr>
        <w:t>项所述的情形之一的，贵方有权不予退回我方交纳的投标保证金。</w:t>
      </w:r>
    </w:p>
    <w:p>
      <w:pPr>
        <w:pStyle w:val="28"/>
        <w:spacing w:line="5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、我方同意应贵方要求提供与本投标有关的任何数据或资料。若贵方需要，我方愿意提供我方作出的一切承诺的证明材料。</w:t>
      </w:r>
    </w:p>
    <w:p>
      <w:pPr>
        <w:pStyle w:val="28"/>
        <w:spacing w:line="5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10</w:t>
      </w:r>
      <w:r>
        <w:rPr>
          <w:rFonts w:hint="eastAsia" w:asciiTheme="minorEastAsia" w:hAnsiTheme="minorEastAsia" w:eastAsiaTheme="minorEastAsia"/>
          <w:sz w:val="24"/>
        </w:rPr>
        <w:t>、我方完全理解贵方不一定接受投标报价最低的投标人为中标供应商的行为。</w:t>
      </w:r>
    </w:p>
    <w:p>
      <w:pPr>
        <w:pStyle w:val="28"/>
        <w:spacing w:line="5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w:t>
      </w:r>
      <w:r>
        <w:rPr>
          <w:rFonts w:hint="eastAsia" w:asciiTheme="minorEastAsia" w:hAnsiTheme="minorEastAsia" w:eastAsiaTheme="minorEastAsia"/>
          <w:sz w:val="24"/>
        </w:rPr>
        <w:t>、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8"/>
        <w:numPr>
          <w:ilvl w:val="0"/>
          <w:numId w:val="10"/>
        </w:num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提供虚假材料谋取中标、成交的；</w:t>
      </w:r>
    </w:p>
    <w:p>
      <w:pPr>
        <w:pStyle w:val="28"/>
        <w:numPr>
          <w:ilvl w:val="0"/>
          <w:numId w:val="10"/>
        </w:num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采取不正当手段诋毁、排挤其他供应商的；</w:t>
      </w:r>
    </w:p>
    <w:p>
      <w:pPr>
        <w:pStyle w:val="28"/>
        <w:numPr>
          <w:ilvl w:val="0"/>
          <w:numId w:val="10"/>
        </w:num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与采购人、其他供应商或者采购代理机构恶意串通的；</w:t>
      </w:r>
    </w:p>
    <w:p>
      <w:pPr>
        <w:pStyle w:val="28"/>
        <w:numPr>
          <w:ilvl w:val="0"/>
          <w:numId w:val="10"/>
        </w:num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向采购人、采购代理机构行贿或者提供其他不正当利益的；</w:t>
      </w:r>
    </w:p>
    <w:p>
      <w:pPr>
        <w:pStyle w:val="28"/>
        <w:numPr>
          <w:ilvl w:val="0"/>
          <w:numId w:val="10"/>
        </w:num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在招标采购过程中与采购人进行协商谈判的；</w:t>
      </w:r>
    </w:p>
    <w:p>
      <w:pPr>
        <w:pStyle w:val="28"/>
        <w:numPr>
          <w:ilvl w:val="0"/>
          <w:numId w:val="10"/>
        </w:num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拒绝有关部门监督检查或提供虚假情况的。</w:t>
      </w:r>
    </w:p>
    <w:p>
      <w:pPr>
        <w:pStyle w:val="23"/>
        <w:spacing w:line="364" w:lineRule="auto"/>
        <w:ind w:right="574"/>
        <w:rPr>
          <w:rFonts w:asciiTheme="minorEastAsia" w:hAnsiTheme="minorEastAsia" w:eastAsiaTheme="minorEastAsia"/>
          <w:sz w:val="24"/>
        </w:rPr>
      </w:pPr>
      <w:r>
        <w:rPr>
          <w:rFonts w:hint="eastAsia" w:asciiTheme="minorEastAsia" w:hAnsiTheme="minorEastAsia" w:eastAsiaTheme="minorEastAsia"/>
          <w:sz w:val="24"/>
        </w:rPr>
        <w:t>12、与本次采购有关的投标人正式联系方式如下</w:t>
      </w:r>
      <w:r>
        <w:rPr>
          <w:rFonts w:asciiTheme="minorEastAsia" w:hAnsiTheme="minorEastAsia" w:eastAsiaTheme="minorEastAsia"/>
        </w:rPr>
        <w:t>：</w:t>
      </w:r>
    </w:p>
    <w:p>
      <w:pPr>
        <w:pStyle w:val="28"/>
        <w:spacing w:line="500" w:lineRule="exact"/>
        <w:ind w:firstLine="420"/>
        <w:rPr>
          <w:rFonts w:asciiTheme="minorEastAsia" w:hAnsiTheme="minorEastAsia" w:eastAsiaTheme="minorEastAsia"/>
          <w:sz w:val="24"/>
        </w:rPr>
      </w:pPr>
      <w:r>
        <w:rPr>
          <w:rFonts w:hint="eastAsia" w:asciiTheme="minorEastAsia" w:hAnsiTheme="minorEastAsia" w:eastAsiaTheme="minorEastAsia"/>
          <w:sz w:val="24"/>
        </w:rPr>
        <w:t>地址：</w:t>
      </w:r>
    </w:p>
    <w:p>
      <w:pPr>
        <w:pStyle w:val="28"/>
        <w:spacing w:line="500" w:lineRule="exact"/>
        <w:ind w:firstLine="420"/>
        <w:rPr>
          <w:rFonts w:asciiTheme="minorEastAsia" w:hAnsiTheme="minorEastAsia" w:eastAsiaTheme="minorEastAsia"/>
          <w:sz w:val="24"/>
          <w:u w:val="single"/>
        </w:rPr>
      </w:pPr>
      <w:r>
        <w:rPr>
          <w:rFonts w:hint="eastAsia" w:asciiTheme="minorEastAsia" w:hAnsiTheme="minorEastAsia" w:eastAsiaTheme="minorEastAsia"/>
          <w:sz w:val="24"/>
        </w:rPr>
        <w:t>电话：</w:t>
      </w:r>
    </w:p>
    <w:p>
      <w:pPr>
        <w:pStyle w:val="28"/>
        <w:spacing w:line="500" w:lineRule="exact"/>
        <w:ind w:firstLine="420"/>
        <w:rPr>
          <w:rFonts w:asciiTheme="minorEastAsia" w:hAnsiTheme="minorEastAsia" w:eastAsiaTheme="minorEastAsia"/>
          <w:sz w:val="24"/>
        </w:rPr>
      </w:pPr>
      <w:r>
        <w:rPr>
          <w:rFonts w:hint="eastAsia" w:asciiTheme="minorEastAsia" w:hAnsiTheme="minorEastAsia" w:eastAsiaTheme="minorEastAsia"/>
          <w:sz w:val="24"/>
        </w:rPr>
        <w:t>传真：</w:t>
      </w:r>
      <w:r>
        <w:rPr>
          <w:rFonts w:asciiTheme="minorEastAsia" w:hAnsiTheme="minorEastAsia" w:eastAsiaTheme="minorEastAsia"/>
          <w:sz w:val="24"/>
        </w:rPr>
        <w:t xml:space="preserve"> </w:t>
      </w:r>
    </w:p>
    <w:p>
      <w:pPr>
        <w:pStyle w:val="28"/>
        <w:spacing w:line="500" w:lineRule="exact"/>
        <w:ind w:firstLine="420"/>
        <w:rPr>
          <w:rFonts w:asciiTheme="minorEastAsia" w:hAnsiTheme="minorEastAsia" w:eastAsiaTheme="minorEastAsia"/>
          <w:sz w:val="24"/>
          <w:u w:val="single"/>
        </w:rPr>
      </w:pPr>
      <w:r>
        <w:rPr>
          <w:rFonts w:hint="eastAsia" w:asciiTheme="minorEastAsia" w:hAnsiTheme="minorEastAsia" w:eastAsiaTheme="minorEastAsia"/>
          <w:sz w:val="24"/>
        </w:rPr>
        <w:t>邮政编码：</w:t>
      </w:r>
    </w:p>
    <w:p>
      <w:pPr>
        <w:pStyle w:val="28"/>
        <w:spacing w:line="500" w:lineRule="exact"/>
        <w:ind w:firstLine="420"/>
        <w:rPr>
          <w:rFonts w:asciiTheme="minorEastAsia" w:hAnsiTheme="minorEastAsia" w:eastAsiaTheme="minorEastAsia"/>
          <w:sz w:val="24"/>
          <w:u w:val="single"/>
        </w:rPr>
      </w:pPr>
      <w:r>
        <w:rPr>
          <w:rFonts w:hint="eastAsia" w:asciiTheme="minorEastAsia" w:hAnsiTheme="minorEastAsia" w:eastAsiaTheme="minorEastAsia"/>
          <w:sz w:val="24"/>
        </w:rPr>
        <w:t>开户名称：</w:t>
      </w:r>
    </w:p>
    <w:p>
      <w:pPr>
        <w:pStyle w:val="28"/>
        <w:spacing w:line="500" w:lineRule="exact"/>
        <w:ind w:firstLine="420"/>
        <w:rPr>
          <w:rFonts w:asciiTheme="minorEastAsia" w:hAnsiTheme="minorEastAsia" w:eastAsiaTheme="minorEastAsia"/>
          <w:sz w:val="24"/>
          <w:u w:val="single"/>
        </w:rPr>
      </w:pPr>
      <w:r>
        <w:rPr>
          <w:rFonts w:hint="eastAsia" w:asciiTheme="minorEastAsia" w:hAnsiTheme="minorEastAsia" w:eastAsiaTheme="minorEastAsia"/>
          <w:sz w:val="24"/>
        </w:rPr>
        <w:t>开户银行：</w:t>
      </w:r>
    </w:p>
    <w:p>
      <w:pPr>
        <w:pStyle w:val="28"/>
        <w:spacing w:line="500" w:lineRule="exact"/>
        <w:ind w:firstLine="420"/>
        <w:rPr>
          <w:rFonts w:asciiTheme="minorEastAsia" w:hAnsiTheme="minorEastAsia" w:eastAsiaTheme="minorEastAsia"/>
          <w:sz w:val="24"/>
          <w:u w:val="single"/>
        </w:rPr>
      </w:pPr>
      <w:r>
        <w:rPr>
          <w:rFonts w:hint="eastAsia" w:asciiTheme="minorEastAsia" w:hAnsiTheme="minorEastAsia" w:eastAsiaTheme="minorEastAsia"/>
          <w:sz w:val="24"/>
        </w:rPr>
        <w:t>银行账号：</w:t>
      </w:r>
    </w:p>
    <w:p>
      <w:pPr>
        <w:pStyle w:val="28"/>
        <w:spacing w:line="500" w:lineRule="exact"/>
        <w:ind w:firstLine="420"/>
        <w:rPr>
          <w:rFonts w:asciiTheme="minorEastAsia" w:hAnsiTheme="minorEastAsia" w:eastAsiaTheme="minorEastAsia"/>
          <w:sz w:val="24"/>
          <w:u w:val="single"/>
        </w:rPr>
      </w:pPr>
      <w:r>
        <w:rPr>
          <w:rFonts w:hint="eastAsia" w:asciiTheme="minorEastAsia" w:hAnsiTheme="minorEastAsia" w:eastAsiaTheme="minorEastAsia"/>
          <w:sz w:val="24"/>
        </w:rPr>
        <w:t>投标人：（盖单位公章）</w:t>
      </w:r>
    </w:p>
    <w:p>
      <w:pPr>
        <w:pStyle w:val="28"/>
        <w:spacing w:line="500" w:lineRule="exact"/>
        <w:ind w:firstLine="420"/>
        <w:rPr>
          <w:rFonts w:asciiTheme="minorEastAsia" w:hAnsiTheme="minorEastAsia" w:eastAsiaTheme="minorEastAsia"/>
          <w:sz w:val="24"/>
        </w:rPr>
      </w:pPr>
      <w:r>
        <w:rPr>
          <w:rFonts w:hint="eastAsia" w:asciiTheme="minorEastAsia" w:hAnsiTheme="minorEastAsia" w:eastAsiaTheme="minorEastAsia"/>
          <w:sz w:val="24"/>
        </w:rPr>
        <w:t>法定代表人或其委托代理人：（签字或盖章）</w:t>
      </w:r>
    </w:p>
    <w:p>
      <w:pPr>
        <w:pStyle w:val="28"/>
        <w:spacing w:line="500" w:lineRule="exact"/>
        <w:ind w:firstLine="420"/>
        <w:jc w:val="center"/>
        <w:rPr>
          <w:rFonts w:asciiTheme="minorEastAsia" w:hAnsiTheme="minorEastAsia" w:eastAsiaTheme="minorEastAsia"/>
          <w:bCs/>
          <w:sz w:val="24"/>
        </w:rPr>
      </w:pPr>
      <w:r>
        <w:rPr>
          <w:rFonts w:hint="eastAsia" w:asciiTheme="minorEastAsia" w:hAnsiTheme="minorEastAsia" w:eastAsiaTheme="minorEastAsia"/>
          <w:bCs/>
          <w:sz w:val="24"/>
        </w:rPr>
        <w:t>年  月  日</w:t>
      </w:r>
    </w:p>
    <w:p>
      <w:pPr>
        <w:pStyle w:val="28"/>
        <w:spacing w:line="500" w:lineRule="exact"/>
        <w:ind w:firstLine="420"/>
        <w:rPr>
          <w:rFonts w:asciiTheme="minorEastAsia" w:hAnsiTheme="minorEastAsia" w:eastAsiaTheme="minorEastAsia"/>
          <w:sz w:val="24"/>
          <w:u w:val="single"/>
        </w:rPr>
      </w:pPr>
      <w:bookmarkStart w:id="201" w:name="_Toc435106790"/>
      <w:r>
        <w:rPr>
          <w:rFonts w:asciiTheme="minorEastAsia" w:hAnsiTheme="minorEastAsia" w:eastAsiaTheme="minorEastAsia"/>
        </w:rPr>
        <w:t>注：投标人为联合体的，本表由联合体牵头人提供并加盖联合体牵头人的单位公章。</w:t>
      </w:r>
    </w:p>
    <w:p>
      <w:pPr>
        <w:pStyle w:val="1116"/>
        <w:rPr>
          <w:rFonts w:asciiTheme="minorEastAsia" w:hAnsiTheme="minorEastAsia" w:eastAsiaTheme="minorEastAsia"/>
          <w:sz w:val="24"/>
        </w:rPr>
      </w:pPr>
      <w:r>
        <w:rPr>
          <w:rFonts w:asciiTheme="minorEastAsia" w:hAnsiTheme="minorEastAsia" w:eastAsiaTheme="minorEastAsia"/>
          <w:sz w:val="24"/>
        </w:rPr>
        <w:br w:type="page"/>
      </w:r>
      <w:bookmarkStart w:id="202" w:name="_Toc24740"/>
      <w:bookmarkStart w:id="203" w:name="_Toc5247"/>
      <w:bookmarkStart w:id="204" w:name="_Toc462955453"/>
    </w:p>
    <w:p>
      <w:pPr>
        <w:pStyle w:val="1116"/>
        <w:jc w:val="center"/>
        <w:outlineLvl w:val="1"/>
        <w:rPr>
          <w:rFonts w:asciiTheme="minorEastAsia" w:hAnsiTheme="minorEastAsia" w:eastAsiaTheme="minorEastAsia"/>
        </w:rPr>
      </w:pPr>
      <w:bookmarkStart w:id="205" w:name="_Toc50993406"/>
      <w:r>
        <w:rPr>
          <w:rFonts w:hint="eastAsia" w:asciiTheme="minorEastAsia" w:hAnsiTheme="minorEastAsia" w:eastAsiaTheme="minorEastAsia"/>
          <w:b/>
          <w:bCs/>
          <w:sz w:val="30"/>
          <w:szCs w:val="30"/>
        </w:rPr>
        <w:t>三、</w:t>
      </w:r>
      <w:r>
        <w:rPr>
          <w:rFonts w:hint="eastAsia" w:asciiTheme="minorEastAsia" w:hAnsiTheme="minorEastAsia" w:eastAsiaTheme="minorEastAsia"/>
          <w:b/>
          <w:sz w:val="32"/>
        </w:rPr>
        <w:t>法定代表人资格证明书及法定代表人授权委托书（格式）</w:t>
      </w:r>
      <w:bookmarkEnd w:id="201"/>
      <w:bookmarkEnd w:id="202"/>
      <w:bookmarkEnd w:id="203"/>
      <w:bookmarkEnd w:id="204"/>
      <w:bookmarkEnd w:id="205"/>
    </w:p>
    <w:p>
      <w:pPr>
        <w:rPr>
          <w:rFonts w:asciiTheme="minorEastAsia" w:hAnsiTheme="minorEastAsia" w:eastAsiaTheme="minorEastAsia"/>
          <w:b/>
          <w:bCs/>
          <w:sz w:val="30"/>
          <w:szCs w:val="30"/>
        </w:rPr>
      </w:pPr>
      <w:bookmarkStart w:id="206" w:name="_Toc456775969"/>
      <w:bookmarkStart w:id="207" w:name="_Toc462955454"/>
    </w:p>
    <w:p>
      <w:pPr>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w:t>
      </w:r>
      <w:r>
        <w:rPr>
          <w:rFonts w:asciiTheme="minorEastAsia" w:hAnsiTheme="minorEastAsia" w:eastAsiaTheme="minorEastAsia"/>
          <w:b/>
          <w:bCs/>
          <w:sz w:val="30"/>
          <w:szCs w:val="30"/>
        </w:rPr>
        <w:t>1</w:t>
      </w:r>
      <w:r>
        <w:rPr>
          <w:rFonts w:hint="eastAsia" w:asciiTheme="minorEastAsia" w:hAnsiTheme="minorEastAsia" w:eastAsiaTheme="minorEastAsia"/>
          <w:b/>
          <w:bCs/>
          <w:sz w:val="30"/>
          <w:szCs w:val="30"/>
        </w:rPr>
        <w:t>）法定代表人身份证明</w:t>
      </w:r>
      <w:bookmarkEnd w:id="206"/>
      <w:bookmarkEnd w:id="207"/>
    </w:p>
    <w:p>
      <w:pPr>
        <w:spacing w:line="500" w:lineRule="exact"/>
        <w:ind w:firstLine="560" w:firstLineChars="200"/>
        <w:jc w:val="left"/>
        <w:rPr>
          <w:rFonts w:asciiTheme="minorEastAsia" w:hAnsiTheme="minorEastAsia" w:eastAsiaTheme="minorEastAsia"/>
          <w:sz w:val="28"/>
        </w:rPr>
      </w:pPr>
    </w:p>
    <w:p>
      <w:pPr>
        <w:topLinePunct/>
        <w:spacing w:line="500" w:lineRule="exact"/>
        <w:ind w:firstLine="560" w:firstLineChars="200"/>
        <w:jc w:val="left"/>
        <w:rPr>
          <w:rFonts w:asciiTheme="minorEastAsia" w:hAnsiTheme="minorEastAsia" w:eastAsiaTheme="minorEastAsia"/>
          <w:bCs/>
          <w:sz w:val="28"/>
          <w:szCs w:val="21"/>
          <w:u w:val="single"/>
        </w:rPr>
      </w:pPr>
      <w:r>
        <w:rPr>
          <w:rFonts w:hint="eastAsia" w:asciiTheme="minorEastAsia" w:hAnsiTheme="minorEastAsia" w:eastAsiaTheme="minorEastAsia"/>
          <w:bCs/>
          <w:sz w:val="28"/>
          <w:szCs w:val="21"/>
        </w:rPr>
        <w:t>投标人名称：</w:t>
      </w:r>
    </w:p>
    <w:p>
      <w:pPr>
        <w:topLinePunct/>
        <w:spacing w:line="500" w:lineRule="exact"/>
        <w:ind w:firstLine="560" w:firstLineChars="200"/>
        <w:jc w:val="left"/>
        <w:rPr>
          <w:rFonts w:asciiTheme="minorEastAsia" w:hAnsiTheme="minorEastAsia" w:eastAsiaTheme="minorEastAsia"/>
          <w:bCs/>
          <w:sz w:val="28"/>
          <w:szCs w:val="21"/>
        </w:rPr>
      </w:pPr>
      <w:r>
        <w:rPr>
          <w:rFonts w:hint="eastAsia" w:asciiTheme="minorEastAsia" w:hAnsiTheme="minorEastAsia" w:eastAsiaTheme="minorEastAsia"/>
          <w:bCs/>
          <w:sz w:val="28"/>
          <w:szCs w:val="21"/>
        </w:rPr>
        <w:t>单位性质：</w:t>
      </w:r>
    </w:p>
    <w:p>
      <w:pPr>
        <w:topLinePunct/>
        <w:spacing w:line="500" w:lineRule="exact"/>
        <w:ind w:firstLine="560" w:firstLineChars="200"/>
        <w:jc w:val="left"/>
        <w:rPr>
          <w:rFonts w:asciiTheme="minorEastAsia" w:hAnsiTheme="minorEastAsia" w:eastAsiaTheme="minorEastAsia"/>
          <w:bCs/>
          <w:sz w:val="28"/>
          <w:szCs w:val="21"/>
        </w:rPr>
      </w:pPr>
      <w:r>
        <w:rPr>
          <w:rFonts w:hint="eastAsia" w:asciiTheme="minorEastAsia" w:hAnsiTheme="minorEastAsia" w:eastAsiaTheme="minorEastAsia"/>
          <w:bCs/>
          <w:sz w:val="28"/>
          <w:szCs w:val="21"/>
        </w:rPr>
        <w:t>成立时间：</w:t>
      </w:r>
    </w:p>
    <w:p>
      <w:pPr>
        <w:topLinePunct/>
        <w:spacing w:line="500" w:lineRule="exact"/>
        <w:ind w:firstLine="560" w:firstLineChars="200"/>
        <w:jc w:val="left"/>
        <w:rPr>
          <w:rFonts w:asciiTheme="minorEastAsia" w:hAnsiTheme="minorEastAsia" w:eastAsiaTheme="minorEastAsia"/>
          <w:bCs/>
          <w:sz w:val="28"/>
          <w:szCs w:val="21"/>
        </w:rPr>
      </w:pPr>
      <w:r>
        <w:rPr>
          <w:rFonts w:hint="eastAsia" w:asciiTheme="minorEastAsia" w:hAnsiTheme="minorEastAsia" w:eastAsiaTheme="minorEastAsia"/>
          <w:bCs/>
          <w:sz w:val="28"/>
          <w:szCs w:val="21"/>
        </w:rPr>
        <w:t>经营期限：</w:t>
      </w:r>
    </w:p>
    <w:p>
      <w:pPr>
        <w:topLinePunct/>
        <w:spacing w:line="500" w:lineRule="exact"/>
        <w:ind w:firstLine="560" w:firstLineChars="200"/>
        <w:jc w:val="left"/>
        <w:rPr>
          <w:rFonts w:asciiTheme="minorEastAsia" w:hAnsiTheme="minorEastAsia" w:eastAsiaTheme="minorEastAsia"/>
          <w:bCs/>
          <w:sz w:val="28"/>
          <w:szCs w:val="21"/>
          <w:u w:val="single"/>
        </w:rPr>
      </w:pPr>
      <w:r>
        <w:rPr>
          <w:rFonts w:hint="eastAsia" w:asciiTheme="minorEastAsia" w:hAnsiTheme="minorEastAsia" w:eastAsiaTheme="minorEastAsia"/>
          <w:bCs/>
          <w:sz w:val="28"/>
          <w:szCs w:val="21"/>
        </w:rPr>
        <w:t>姓名：   性别：     年龄：      职务：</w:t>
      </w:r>
    </w:p>
    <w:p>
      <w:pPr>
        <w:topLinePunct/>
        <w:spacing w:line="500" w:lineRule="exact"/>
        <w:ind w:firstLine="560" w:firstLineChars="200"/>
        <w:jc w:val="left"/>
        <w:rPr>
          <w:rFonts w:asciiTheme="minorEastAsia" w:hAnsiTheme="minorEastAsia" w:eastAsiaTheme="minorEastAsia"/>
          <w:bCs/>
          <w:sz w:val="28"/>
          <w:szCs w:val="21"/>
        </w:rPr>
      </w:pPr>
      <w:r>
        <w:rPr>
          <w:rFonts w:hint="eastAsia" w:asciiTheme="minorEastAsia" w:hAnsiTheme="minorEastAsia" w:eastAsiaTheme="minorEastAsia"/>
          <w:bCs/>
          <w:sz w:val="28"/>
          <w:szCs w:val="21"/>
        </w:rPr>
        <w:t>系</w:t>
      </w:r>
      <w:r>
        <w:rPr>
          <w:rFonts w:hint="eastAsia" w:asciiTheme="minorEastAsia" w:hAnsiTheme="minorEastAsia" w:eastAsiaTheme="minorEastAsia"/>
          <w:bCs/>
          <w:sz w:val="28"/>
          <w:szCs w:val="21"/>
          <w:u w:val="single"/>
        </w:rPr>
        <w:t>（投标人名称）</w:t>
      </w:r>
      <w:r>
        <w:rPr>
          <w:rFonts w:hint="eastAsia" w:asciiTheme="minorEastAsia" w:hAnsiTheme="minorEastAsia" w:eastAsiaTheme="minorEastAsia"/>
          <w:bCs/>
          <w:sz w:val="28"/>
          <w:szCs w:val="21"/>
        </w:rPr>
        <w:t>的法定代表人。</w:t>
      </w:r>
    </w:p>
    <w:p>
      <w:pPr>
        <w:topLinePunct/>
        <w:spacing w:line="500" w:lineRule="exact"/>
        <w:ind w:firstLine="560" w:firstLineChars="200"/>
        <w:jc w:val="left"/>
        <w:rPr>
          <w:rFonts w:asciiTheme="minorEastAsia" w:hAnsiTheme="minorEastAsia" w:eastAsiaTheme="minorEastAsia"/>
          <w:bCs/>
          <w:sz w:val="28"/>
          <w:szCs w:val="21"/>
        </w:rPr>
      </w:pPr>
      <w:r>
        <w:rPr>
          <w:rFonts w:hint="eastAsia" w:asciiTheme="minorEastAsia" w:hAnsiTheme="minorEastAsia" w:eastAsiaTheme="minorEastAsia"/>
          <w:bCs/>
          <w:sz w:val="28"/>
          <w:szCs w:val="21"/>
        </w:rPr>
        <w:t>特此证明。</w:t>
      </w:r>
    </w:p>
    <w:p>
      <w:pPr>
        <w:topLinePunct/>
        <w:spacing w:line="500" w:lineRule="exact"/>
        <w:ind w:firstLine="560" w:firstLineChars="200"/>
        <w:jc w:val="left"/>
        <w:rPr>
          <w:rFonts w:asciiTheme="minorEastAsia" w:hAnsiTheme="minorEastAsia" w:eastAsiaTheme="minorEastAsia"/>
          <w:bCs/>
          <w:sz w:val="28"/>
          <w:szCs w:val="21"/>
        </w:rPr>
      </w:pPr>
    </w:p>
    <w:p>
      <w:pPr>
        <w:topLinePunct/>
        <w:spacing w:line="500" w:lineRule="exact"/>
        <w:ind w:firstLine="560" w:firstLineChars="200"/>
        <w:jc w:val="left"/>
        <w:rPr>
          <w:rFonts w:asciiTheme="minorEastAsia" w:hAnsiTheme="minorEastAsia" w:eastAsiaTheme="minorEastAsia"/>
          <w:bCs/>
          <w:sz w:val="28"/>
          <w:szCs w:val="21"/>
        </w:rPr>
      </w:pPr>
    </w:p>
    <w:p>
      <w:pPr>
        <w:topLinePunct/>
        <w:spacing w:line="500" w:lineRule="exact"/>
        <w:ind w:firstLine="560" w:firstLineChars="200"/>
        <w:jc w:val="left"/>
        <w:rPr>
          <w:rFonts w:asciiTheme="minorEastAsia" w:hAnsiTheme="minorEastAsia" w:eastAsiaTheme="minorEastAsia"/>
          <w:bCs/>
          <w:sz w:val="28"/>
          <w:szCs w:val="21"/>
        </w:rPr>
      </w:pPr>
      <w:r>
        <w:rPr>
          <w:rFonts w:hint="eastAsia" w:asciiTheme="minorEastAsia" w:hAnsiTheme="minorEastAsia" w:eastAsiaTheme="minorEastAsia"/>
          <w:bCs/>
          <w:sz w:val="28"/>
          <w:szCs w:val="21"/>
        </w:rPr>
        <w:t>投标人：（盖单位公章）</w:t>
      </w:r>
    </w:p>
    <w:p>
      <w:pPr>
        <w:topLinePunct/>
        <w:spacing w:line="500" w:lineRule="exact"/>
        <w:ind w:firstLine="560" w:firstLineChars="200"/>
        <w:jc w:val="left"/>
        <w:rPr>
          <w:rFonts w:asciiTheme="minorEastAsia" w:hAnsiTheme="minorEastAsia" w:eastAsiaTheme="minorEastAsia"/>
          <w:bCs/>
          <w:sz w:val="28"/>
          <w:szCs w:val="21"/>
        </w:rPr>
      </w:pPr>
      <w:r>
        <w:rPr>
          <w:rFonts w:hint="eastAsia" w:asciiTheme="minorEastAsia" w:hAnsiTheme="minorEastAsia" w:eastAsiaTheme="minorEastAsia"/>
          <w:bCs/>
          <w:sz w:val="28"/>
          <w:szCs w:val="21"/>
        </w:rPr>
        <w:t>年月日</w:t>
      </w:r>
    </w:p>
    <w:p>
      <w:pPr>
        <w:spacing w:line="500" w:lineRule="exact"/>
        <w:ind w:firstLine="560" w:firstLineChars="200"/>
        <w:jc w:val="left"/>
        <w:rPr>
          <w:rFonts w:asciiTheme="minorEastAsia" w:hAnsiTheme="minorEastAsia" w:eastAsiaTheme="minorEastAsia"/>
          <w:sz w:val="28"/>
        </w:rPr>
      </w:pPr>
    </w:p>
    <w:p>
      <w:pPr>
        <w:spacing w:line="500" w:lineRule="exact"/>
        <w:ind w:firstLine="560" w:firstLineChars="200"/>
        <w:jc w:val="left"/>
        <w:rPr>
          <w:rFonts w:asciiTheme="minorEastAsia" w:hAnsiTheme="minorEastAsia" w:eastAsiaTheme="minorEastAsia"/>
          <w:sz w:val="28"/>
        </w:rPr>
      </w:pPr>
    </w:p>
    <w:p>
      <w:pPr>
        <w:spacing w:line="500" w:lineRule="exact"/>
        <w:ind w:firstLine="560" w:firstLineChars="200"/>
        <w:jc w:val="left"/>
        <w:rPr>
          <w:rFonts w:asciiTheme="minorEastAsia" w:hAnsiTheme="minorEastAsia" w:eastAsiaTheme="minorEastAsia"/>
          <w:sz w:val="28"/>
        </w:rPr>
      </w:pPr>
      <w:r>
        <w:rPr>
          <w:rFonts w:hint="eastAsia" w:asciiTheme="minorEastAsia" w:hAnsiTheme="minorEastAsia" w:eastAsiaTheme="minorEastAsia"/>
          <w:sz w:val="28"/>
        </w:rPr>
        <w:t>附：法定代表人身份证正反面复印件</w:t>
      </w:r>
    </w:p>
    <w:p>
      <w:pPr>
        <w:spacing w:line="500" w:lineRule="exact"/>
        <w:ind w:firstLine="560" w:firstLineChars="200"/>
        <w:jc w:val="left"/>
        <w:rPr>
          <w:rFonts w:asciiTheme="minorEastAsia" w:hAnsiTheme="minorEastAsia" w:eastAsiaTheme="minorEastAsia"/>
          <w:sz w:val="28"/>
        </w:rPr>
      </w:pPr>
    </w:p>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jc w:val="center"/>
        <w:rPr>
          <w:rFonts w:cs="宋体" w:asciiTheme="minorEastAsia" w:hAnsiTheme="minorEastAsia" w:eastAsiaTheme="minorEastAsia"/>
          <w:b/>
          <w:sz w:val="30"/>
          <w:szCs w:val="30"/>
        </w:rPr>
      </w:pPr>
      <w:bookmarkStart w:id="208" w:name="第04章资格预审申请文件格式02授权委托书"/>
      <w:bookmarkEnd w:id="208"/>
      <w:bookmarkStart w:id="209" w:name="_Toc442054529"/>
      <w:bookmarkStart w:id="210" w:name="_Toc498354132"/>
      <w:bookmarkStart w:id="211" w:name="_Toc400650200"/>
      <w:bookmarkStart w:id="212" w:name="_Toc499135320"/>
      <w:r>
        <w:rPr>
          <w:rFonts w:hint="eastAsia" w:cs="宋体" w:asciiTheme="minorEastAsia" w:hAnsiTheme="minorEastAsia" w:eastAsiaTheme="minorEastAsia"/>
          <w:b/>
          <w:sz w:val="30"/>
          <w:szCs w:val="30"/>
        </w:rPr>
        <w:t>（</w:t>
      </w:r>
      <w:r>
        <w:rPr>
          <w:rFonts w:cs="宋体" w:asciiTheme="minorEastAsia" w:hAnsiTheme="minorEastAsia" w:eastAsiaTheme="minorEastAsia"/>
          <w:b/>
          <w:sz w:val="30"/>
          <w:szCs w:val="30"/>
        </w:rPr>
        <w:t>2</w:t>
      </w:r>
      <w:r>
        <w:rPr>
          <w:rFonts w:hint="eastAsia" w:cs="宋体" w:asciiTheme="minorEastAsia" w:hAnsiTheme="minorEastAsia" w:eastAsiaTheme="minorEastAsia"/>
          <w:b/>
          <w:sz w:val="30"/>
          <w:szCs w:val="30"/>
        </w:rPr>
        <w:t>）授权委托书</w:t>
      </w:r>
      <w:bookmarkEnd w:id="209"/>
      <w:bookmarkEnd w:id="210"/>
      <w:bookmarkEnd w:id="211"/>
      <w:bookmarkEnd w:id="212"/>
    </w:p>
    <w:p>
      <w:pPr>
        <w:spacing w:line="500" w:lineRule="exact"/>
        <w:rPr>
          <w:rFonts w:cs="宋体" w:asciiTheme="minorEastAsia" w:hAnsiTheme="minorEastAsia" w:eastAsiaTheme="minorEastAsia"/>
          <w:sz w:val="24"/>
        </w:rPr>
      </w:pPr>
    </w:p>
    <w:p>
      <w:pPr>
        <w:topLinePunct/>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本人</w:t>
      </w:r>
      <w:r>
        <w:rPr>
          <w:rFonts w:hint="eastAsia" w:cs="宋体" w:asciiTheme="minorEastAsia" w:hAnsiTheme="minorEastAsia" w:eastAsiaTheme="minorEastAsia"/>
          <w:sz w:val="24"/>
          <w:u w:val="single"/>
        </w:rPr>
        <w:t>（姓名）</w:t>
      </w:r>
      <w:r>
        <w:rPr>
          <w:rFonts w:hint="eastAsia" w:cs="宋体" w:asciiTheme="minorEastAsia" w:hAnsiTheme="minorEastAsia" w:eastAsiaTheme="minorEastAsia"/>
          <w:sz w:val="24"/>
        </w:rPr>
        <w:t>系</w:t>
      </w:r>
      <w:r>
        <w:rPr>
          <w:rFonts w:hint="eastAsia" w:cs="宋体" w:asciiTheme="minorEastAsia" w:hAnsiTheme="minorEastAsia" w:eastAsiaTheme="minorEastAsia"/>
          <w:sz w:val="24"/>
          <w:u w:val="single"/>
        </w:rPr>
        <w:t>（</w:t>
      </w:r>
      <w:r>
        <w:rPr>
          <w:rFonts w:hint="eastAsia" w:cs="宋体" w:asciiTheme="minorEastAsia" w:hAnsiTheme="minorEastAsia" w:eastAsiaTheme="minorEastAsia"/>
          <w:sz w:val="24"/>
          <w:u w:val="single"/>
          <w:lang w:val="zh-CN"/>
        </w:rPr>
        <w:t>投标</w:t>
      </w:r>
      <w:r>
        <w:rPr>
          <w:rFonts w:hint="eastAsia" w:cs="宋体" w:asciiTheme="minorEastAsia" w:hAnsiTheme="minorEastAsia" w:eastAsiaTheme="minorEastAsia"/>
          <w:sz w:val="24"/>
          <w:u w:val="single"/>
        </w:rPr>
        <w:t>人名称）</w:t>
      </w:r>
      <w:r>
        <w:rPr>
          <w:rFonts w:hint="eastAsia" w:cs="宋体" w:asciiTheme="minorEastAsia" w:hAnsiTheme="minorEastAsia" w:eastAsiaTheme="minorEastAsia"/>
          <w:sz w:val="24"/>
        </w:rPr>
        <w:t>的法定代表人，现委托</w:t>
      </w:r>
      <w:r>
        <w:rPr>
          <w:rFonts w:hint="eastAsia" w:cs="宋体" w:asciiTheme="minorEastAsia" w:hAnsiTheme="minorEastAsia" w:eastAsiaTheme="minorEastAsia"/>
          <w:sz w:val="24"/>
          <w:u w:val="single"/>
        </w:rPr>
        <w:t>（姓名）</w:t>
      </w:r>
      <w:r>
        <w:rPr>
          <w:rFonts w:hint="eastAsia" w:cs="宋体" w:asciiTheme="minorEastAsia" w:hAnsiTheme="minorEastAsia" w:eastAsiaTheme="minorEastAsia"/>
          <w:sz w:val="24"/>
        </w:rPr>
        <w:t>为我方代理人。代理人根据授权，以我方名义签署、澄清、递交、撤回、修改</w:t>
      </w:r>
      <w:r>
        <w:rPr>
          <w:rFonts w:hint="eastAsia" w:cs="宋体" w:asciiTheme="minorEastAsia" w:hAnsiTheme="minorEastAsia" w:eastAsiaTheme="minorEastAsia"/>
          <w:sz w:val="24"/>
          <w:u w:val="single"/>
        </w:rPr>
        <w:t>（项目名称）</w:t>
      </w:r>
      <w:r>
        <w:rPr>
          <w:rFonts w:hint="eastAsia" w:cs="宋体" w:asciiTheme="minorEastAsia" w:hAnsiTheme="minorEastAsia" w:eastAsiaTheme="minorEastAsia"/>
          <w:sz w:val="24"/>
        </w:rPr>
        <w:t>投标文件，其法律后果由我方承担。</w:t>
      </w:r>
    </w:p>
    <w:p>
      <w:pPr>
        <w:topLinePunct/>
        <w:spacing w:line="500" w:lineRule="exact"/>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委托期限：</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p>
    <w:p>
      <w:pPr>
        <w:topLinePunct/>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代理人无转委托权。</w:t>
      </w:r>
    </w:p>
    <w:p>
      <w:pPr>
        <w:topLinePunct/>
        <w:spacing w:line="500" w:lineRule="exact"/>
        <w:rPr>
          <w:rFonts w:cs="宋体" w:asciiTheme="minorEastAsia" w:hAnsiTheme="minorEastAsia" w:eastAsiaTheme="minorEastAsia"/>
          <w:sz w:val="24"/>
        </w:rPr>
      </w:pPr>
    </w:p>
    <w:p>
      <w:pPr>
        <w:topLinePunct/>
        <w:spacing w:line="500" w:lineRule="exact"/>
        <w:rPr>
          <w:rFonts w:cs="宋体" w:asciiTheme="minorEastAsia" w:hAnsiTheme="minorEastAsia" w:eastAsiaTheme="minorEastAsia"/>
          <w:bCs/>
          <w:sz w:val="24"/>
        </w:rPr>
      </w:pPr>
      <w:r>
        <w:rPr>
          <w:rFonts w:hint="eastAsia" w:cs="宋体" w:asciiTheme="minorEastAsia" w:hAnsiTheme="minorEastAsia" w:eastAsiaTheme="minorEastAsia"/>
          <w:bCs/>
          <w:sz w:val="24"/>
        </w:rPr>
        <w:t>附：代理人身份证复印件</w:t>
      </w:r>
    </w:p>
    <w:p>
      <w:pPr>
        <w:topLinePunct/>
        <w:spacing w:line="500" w:lineRule="exact"/>
        <w:ind w:firstLine="610"/>
        <w:rPr>
          <w:rFonts w:cs="宋体" w:asciiTheme="minorEastAsia" w:hAnsiTheme="minorEastAsia" w:eastAsiaTheme="minorEastAsia"/>
          <w:sz w:val="24"/>
        </w:rPr>
      </w:pPr>
    </w:p>
    <w:p>
      <w:pPr>
        <w:topLinePunct/>
        <w:spacing w:line="500" w:lineRule="exact"/>
        <w:ind w:firstLine="610"/>
        <w:rPr>
          <w:rFonts w:cs="宋体" w:asciiTheme="minorEastAsia" w:hAnsiTheme="minorEastAsia" w:eastAsiaTheme="minorEastAsia"/>
          <w:sz w:val="24"/>
        </w:rPr>
      </w:pPr>
    </w:p>
    <w:p>
      <w:pPr>
        <w:topLinePunct/>
        <w:spacing w:line="500" w:lineRule="exact"/>
        <w:ind w:right="-143" w:rightChars="-68" w:firstLine="3290" w:firstLineChars="1371"/>
        <w:rPr>
          <w:rFonts w:cs="宋体" w:asciiTheme="minorEastAsia" w:hAnsiTheme="minorEastAsia" w:eastAsiaTheme="minorEastAsia"/>
          <w:sz w:val="24"/>
        </w:rPr>
      </w:pPr>
      <w:r>
        <w:rPr>
          <w:rFonts w:hint="eastAsia" w:cs="宋体" w:asciiTheme="minorEastAsia" w:hAnsiTheme="minorEastAsia" w:eastAsiaTheme="minorEastAsia"/>
          <w:sz w:val="24"/>
          <w:lang w:val="zh-CN"/>
        </w:rPr>
        <w:t>投标</w:t>
      </w:r>
      <w:r>
        <w:rPr>
          <w:rFonts w:hint="eastAsia" w:cs="宋体" w:asciiTheme="minorEastAsia" w:hAnsiTheme="minorEastAsia" w:eastAsiaTheme="minorEastAsia"/>
          <w:sz w:val="24"/>
        </w:rPr>
        <w:t>人（联合体时为牵头人）：（盖单位公章）</w:t>
      </w:r>
    </w:p>
    <w:p>
      <w:pPr>
        <w:topLinePunct/>
        <w:spacing w:line="500" w:lineRule="exact"/>
        <w:ind w:firstLine="3290" w:firstLineChars="1371"/>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签字或盖章</w:t>
      </w:r>
      <w:r>
        <w:rPr>
          <w:rFonts w:cs="宋体" w:asciiTheme="minorEastAsia" w:hAnsiTheme="minorEastAsia" w:eastAsiaTheme="minorEastAsia"/>
          <w:kern w:val="0"/>
          <w:sz w:val="24"/>
        </w:rPr>
        <w:t>)</w:t>
      </w:r>
    </w:p>
    <w:p>
      <w:pPr>
        <w:topLinePunct/>
        <w:spacing w:line="500" w:lineRule="exact"/>
        <w:ind w:firstLine="3290" w:firstLineChars="1371"/>
        <w:rPr>
          <w:rFonts w:cs="宋体" w:asciiTheme="minorEastAsia" w:hAnsiTheme="minorEastAsia" w:eastAsiaTheme="minorEastAsia"/>
          <w:sz w:val="24"/>
        </w:rPr>
      </w:pPr>
      <w:r>
        <w:rPr>
          <w:rFonts w:hint="eastAsia" w:cs="宋体" w:asciiTheme="minorEastAsia" w:hAnsiTheme="minorEastAsia" w:eastAsiaTheme="minorEastAsia"/>
          <w:sz w:val="24"/>
        </w:rPr>
        <w:t>身份证号码：</w:t>
      </w:r>
    </w:p>
    <w:p>
      <w:pPr>
        <w:topLinePunct/>
        <w:spacing w:line="500" w:lineRule="exact"/>
        <w:ind w:firstLine="3290" w:firstLineChars="1371"/>
        <w:rPr>
          <w:rFonts w:cs="宋体" w:asciiTheme="minorEastAsia" w:hAnsiTheme="minorEastAsia" w:eastAsiaTheme="minorEastAsia"/>
          <w:sz w:val="24"/>
        </w:rPr>
      </w:pPr>
      <w:r>
        <w:rPr>
          <w:rFonts w:hint="eastAsia" w:cs="宋体" w:asciiTheme="minorEastAsia" w:hAnsiTheme="minorEastAsia" w:eastAsiaTheme="minorEastAsia"/>
          <w:sz w:val="24"/>
        </w:rPr>
        <w:t>委托代理人：</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签字或盖章</w:t>
      </w:r>
      <w:r>
        <w:rPr>
          <w:rFonts w:cs="宋体" w:asciiTheme="minorEastAsia" w:hAnsiTheme="minorEastAsia" w:eastAsiaTheme="minorEastAsia"/>
          <w:kern w:val="0"/>
          <w:sz w:val="24"/>
        </w:rPr>
        <w:t xml:space="preserve">)  </w:t>
      </w:r>
    </w:p>
    <w:p>
      <w:pPr>
        <w:topLinePunct/>
        <w:spacing w:line="500" w:lineRule="exact"/>
        <w:ind w:firstLine="3290" w:firstLineChars="1371"/>
        <w:rPr>
          <w:rFonts w:cs="宋体" w:asciiTheme="minorEastAsia" w:hAnsiTheme="minorEastAsia" w:eastAsiaTheme="minorEastAsia"/>
          <w:sz w:val="24"/>
          <w:u w:val="single"/>
        </w:rPr>
      </w:pPr>
      <w:r>
        <w:rPr>
          <w:rFonts w:hint="eastAsia" w:cs="宋体" w:asciiTheme="minorEastAsia" w:hAnsiTheme="minorEastAsia" w:eastAsiaTheme="minorEastAsia"/>
          <w:sz w:val="24"/>
        </w:rPr>
        <w:t>身份证号码：</w:t>
      </w:r>
    </w:p>
    <w:p>
      <w:pPr>
        <w:topLinePunct/>
        <w:spacing w:line="500" w:lineRule="exact"/>
        <w:ind w:firstLine="3290" w:firstLineChars="1371"/>
        <w:rPr>
          <w:rFonts w:cs="宋体" w:asciiTheme="minorEastAsia" w:hAnsiTheme="minorEastAsia" w:eastAsiaTheme="minorEastAsia"/>
          <w:sz w:val="24"/>
        </w:rPr>
      </w:pPr>
    </w:p>
    <w:p>
      <w:pPr>
        <w:topLinePunct/>
        <w:spacing w:line="500" w:lineRule="exact"/>
        <w:ind w:left="418" w:leftChars="199" w:firstLine="4440" w:firstLineChars="1850"/>
        <w:jc w:val="left"/>
        <w:rPr>
          <w:rFonts w:cs="宋体" w:asciiTheme="minorEastAsia" w:hAnsiTheme="minorEastAsia" w:eastAsiaTheme="minorEastAsia"/>
          <w:sz w:val="24"/>
        </w:rPr>
      </w:pPr>
      <w:r>
        <w:rPr>
          <w:rFonts w:hint="eastAsia" w:cs="宋体" w:asciiTheme="minorEastAsia" w:hAnsiTheme="minorEastAsia" w:eastAsiaTheme="minorEastAsia"/>
          <w:sz w:val="24"/>
        </w:rPr>
        <w:t>年    月     日</w:t>
      </w:r>
    </w:p>
    <w:p>
      <w:pPr>
        <w:spacing w:line="500" w:lineRule="exact"/>
        <w:rPr>
          <w:rFonts w:cs="宋体" w:asciiTheme="minorEastAsia" w:hAnsiTheme="minorEastAsia" w:eastAsiaTheme="minorEastAsia"/>
          <w:sz w:val="24"/>
        </w:rPr>
      </w:pPr>
    </w:p>
    <w:p>
      <w:pPr>
        <w:spacing w:line="500" w:lineRule="exact"/>
        <w:rPr>
          <w:rFonts w:cs="宋体" w:asciiTheme="minorEastAsia" w:hAnsiTheme="minorEastAsia" w:eastAsiaTheme="minorEastAsia"/>
          <w:sz w:val="24"/>
        </w:rPr>
      </w:pPr>
    </w:p>
    <w:p>
      <w:pPr>
        <w:spacing w:line="500" w:lineRule="exact"/>
        <w:rPr>
          <w:rFonts w:cs="宋体" w:asciiTheme="minorEastAsia" w:hAnsiTheme="minorEastAsia" w:eastAsiaTheme="minorEastAsia"/>
          <w:sz w:val="24"/>
        </w:rPr>
      </w:pPr>
    </w:p>
    <w:p>
      <w:pPr>
        <w:spacing w:line="500" w:lineRule="exact"/>
        <w:rPr>
          <w:rFonts w:cs="宋体" w:asciiTheme="minorEastAsia" w:hAnsiTheme="minorEastAsia" w:eastAsiaTheme="minorEastAsia"/>
          <w:sz w:val="24"/>
        </w:rPr>
      </w:pPr>
    </w:p>
    <w:p>
      <w:pPr>
        <w:spacing w:line="500" w:lineRule="exact"/>
        <w:ind w:firstLine="579" w:firstLineChars="276"/>
        <w:rPr>
          <w:rFonts w:cs="宋体" w:asciiTheme="minorEastAsia" w:hAnsiTheme="minorEastAsia" w:eastAsiaTheme="minorEastAsia"/>
          <w:szCs w:val="21"/>
        </w:rPr>
      </w:pPr>
      <w:r>
        <w:rPr>
          <w:rFonts w:hint="eastAsia" w:cs="宋体" w:asciiTheme="minorEastAsia" w:hAnsiTheme="minorEastAsia" w:eastAsiaTheme="minorEastAsia"/>
          <w:szCs w:val="21"/>
        </w:rPr>
        <w:t>附：委托代理人身份证正反面复印件。</w:t>
      </w:r>
    </w:p>
    <w:p>
      <w:pPr>
        <w:pStyle w:val="28"/>
        <w:spacing w:line="5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注：有授权委托时，需要此文件。如为联合体，该项资料由牵头方提供</w:t>
      </w:r>
      <w:bookmarkStart w:id="213" w:name="_Toc442054530"/>
      <w:bookmarkStart w:id="214" w:name="_Toc498354133"/>
      <w:bookmarkStart w:id="215" w:name="_Toc22379"/>
      <w:bookmarkStart w:id="216" w:name="_Toc499135321"/>
    </w:p>
    <w:p>
      <w:pPr>
        <w:widowControl/>
        <w:jc w:val="left"/>
        <w:rPr>
          <w:rFonts w:cs="宋体" w:asciiTheme="minorEastAsia" w:hAnsiTheme="minorEastAsia" w:eastAsiaTheme="minorEastAsia"/>
          <w:szCs w:val="21"/>
        </w:rPr>
      </w:pPr>
      <w:r>
        <w:rPr>
          <w:rFonts w:cs="宋体" w:asciiTheme="minorEastAsia" w:hAnsiTheme="minorEastAsia" w:eastAsiaTheme="minorEastAsia"/>
          <w:szCs w:val="21"/>
        </w:rPr>
        <w:br w:type="page"/>
      </w:r>
    </w:p>
    <w:p>
      <w:pPr>
        <w:pStyle w:val="28"/>
        <w:spacing w:line="500" w:lineRule="exact"/>
        <w:jc w:val="center"/>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（3）授权委托书（联合体投标格式）</w:t>
      </w:r>
    </w:p>
    <w:p>
      <w:pPr>
        <w:autoSpaceDE w:val="0"/>
        <w:autoSpaceDN w:val="0"/>
        <w:adjustRightInd w:val="0"/>
        <w:spacing w:line="360" w:lineRule="auto"/>
        <w:rPr>
          <w:rFonts w:cs="宋体" w:asciiTheme="minorEastAsia" w:hAnsiTheme="minorEastAsia" w:eastAsiaTheme="minorEastAsia"/>
          <w:kern w:val="0"/>
          <w:sz w:val="32"/>
          <w:szCs w:val="32"/>
          <w:lang w:val="zh-CN"/>
        </w:rPr>
      </w:pPr>
    </w:p>
    <w:p>
      <w:pPr>
        <w:autoSpaceDE w:val="0"/>
        <w:autoSpaceDN w:val="0"/>
        <w:adjustRightInd w:val="0"/>
        <w:spacing w:line="500" w:lineRule="exact"/>
        <w:rPr>
          <w:rFonts w:cs="宋体" w:asciiTheme="minorEastAsia" w:hAnsiTheme="minorEastAsia" w:eastAsiaTheme="minorEastAsia"/>
          <w:kern w:val="0"/>
          <w:szCs w:val="21"/>
          <w:lang w:val="zh-CN"/>
        </w:rPr>
      </w:pPr>
      <w:r>
        <w:rPr>
          <w:rFonts w:hint="eastAsia" w:cs="宋体" w:asciiTheme="minorEastAsia" w:hAnsiTheme="minorEastAsia" w:eastAsiaTheme="minorEastAsia"/>
          <w:kern w:val="0"/>
          <w:szCs w:val="21"/>
          <w:lang w:val="zh-CN"/>
        </w:rPr>
        <w:t>致：</w:t>
      </w:r>
      <w:r>
        <w:rPr>
          <w:rFonts w:hint="eastAsia" w:cs="宋体" w:asciiTheme="minorEastAsia" w:hAnsiTheme="minorEastAsia" w:eastAsiaTheme="minorEastAsia"/>
          <w:kern w:val="0"/>
          <w:szCs w:val="21"/>
          <w:u w:val="single"/>
          <w:lang w:val="zh-CN"/>
        </w:rPr>
        <w:t>（采购代理机构名称）</w:t>
      </w:r>
    </w:p>
    <w:p>
      <w:pPr>
        <w:autoSpaceDE w:val="0"/>
        <w:autoSpaceDN w:val="0"/>
        <w:adjustRightInd w:val="0"/>
        <w:spacing w:line="500" w:lineRule="exact"/>
        <w:ind w:firstLine="560"/>
        <w:rPr>
          <w:rFonts w:cs="宋体" w:asciiTheme="minorEastAsia" w:hAnsiTheme="minorEastAsia" w:eastAsiaTheme="minorEastAsia"/>
          <w:kern w:val="0"/>
          <w:szCs w:val="21"/>
          <w:lang w:val="zh-CN"/>
        </w:rPr>
      </w:pPr>
    </w:p>
    <w:p>
      <w:pPr>
        <w:autoSpaceDE w:val="0"/>
        <w:autoSpaceDN w:val="0"/>
        <w:adjustRightInd w:val="0"/>
        <w:spacing w:line="500" w:lineRule="exact"/>
        <w:ind w:firstLine="560"/>
        <w:rPr>
          <w:rFonts w:cs="宋体" w:asciiTheme="minorEastAsia" w:hAnsiTheme="minorEastAsia" w:eastAsiaTheme="minorEastAsia"/>
          <w:kern w:val="0"/>
          <w:szCs w:val="21"/>
          <w:lang w:val="zh-CN"/>
        </w:rPr>
      </w:pPr>
      <w:r>
        <w:rPr>
          <w:rFonts w:hint="eastAsia" w:cs="宋体" w:asciiTheme="minorEastAsia" w:hAnsiTheme="minorEastAsia" w:eastAsiaTheme="minorEastAsia"/>
          <w:kern w:val="0"/>
          <w:szCs w:val="21"/>
          <w:lang w:val="zh-CN"/>
        </w:rPr>
        <w:t>我</w:t>
      </w:r>
      <w:r>
        <w:rPr>
          <w:rFonts w:hint="eastAsia" w:cs="宋体" w:asciiTheme="minorEastAsia" w:hAnsiTheme="minorEastAsia" w:eastAsiaTheme="minorEastAsia"/>
          <w:kern w:val="0"/>
          <w:szCs w:val="21"/>
          <w:u w:val="single"/>
          <w:lang w:val="zh-CN"/>
        </w:rPr>
        <w:t xml:space="preserve">   （姓名）    </w:t>
      </w:r>
      <w:r>
        <w:rPr>
          <w:rFonts w:hint="eastAsia" w:cs="宋体" w:asciiTheme="minorEastAsia" w:hAnsiTheme="minorEastAsia" w:eastAsiaTheme="minorEastAsia"/>
          <w:kern w:val="0"/>
          <w:szCs w:val="21"/>
          <w:lang w:val="zh-CN"/>
        </w:rPr>
        <w:t>系</w:t>
      </w:r>
      <w:r>
        <w:rPr>
          <w:rFonts w:hint="eastAsia" w:cs="宋体" w:asciiTheme="minorEastAsia" w:hAnsiTheme="minorEastAsia" w:eastAsiaTheme="minorEastAsia"/>
          <w:kern w:val="0"/>
          <w:szCs w:val="21"/>
          <w:u w:val="single"/>
          <w:lang w:val="zh-CN"/>
        </w:rPr>
        <w:t xml:space="preserve">     （</w:t>
      </w:r>
      <w:r>
        <w:rPr>
          <w:rFonts w:hint="eastAsia" w:cs="宋体" w:asciiTheme="minorEastAsia" w:hAnsiTheme="minorEastAsia" w:eastAsiaTheme="minorEastAsia"/>
          <w:szCs w:val="21"/>
          <w:u w:val="single"/>
          <w:lang w:val="zh-CN"/>
        </w:rPr>
        <w:t>牵头人</w:t>
      </w:r>
      <w:r>
        <w:rPr>
          <w:rFonts w:hint="eastAsia" w:cs="宋体" w:asciiTheme="minorEastAsia" w:hAnsiTheme="minorEastAsia" w:eastAsiaTheme="minorEastAsia"/>
          <w:kern w:val="0"/>
          <w:szCs w:val="21"/>
          <w:u w:val="single"/>
          <w:lang w:val="zh-CN"/>
        </w:rPr>
        <w:t xml:space="preserve">名称）     </w:t>
      </w:r>
      <w:r>
        <w:rPr>
          <w:rFonts w:hint="eastAsia" w:cs="宋体" w:asciiTheme="minorEastAsia" w:hAnsiTheme="minorEastAsia" w:eastAsiaTheme="minorEastAsia"/>
          <w:kern w:val="0"/>
          <w:szCs w:val="21"/>
          <w:lang w:val="zh-CN"/>
        </w:rPr>
        <w:t>的法定代表人，我</w:t>
      </w:r>
      <w:r>
        <w:rPr>
          <w:rFonts w:hint="eastAsia" w:cs="宋体" w:asciiTheme="minorEastAsia" w:hAnsiTheme="minorEastAsia" w:eastAsiaTheme="minorEastAsia"/>
          <w:kern w:val="0"/>
          <w:szCs w:val="21"/>
          <w:u w:val="single"/>
          <w:lang w:val="zh-CN"/>
        </w:rPr>
        <w:t xml:space="preserve">   （姓名）    </w:t>
      </w:r>
      <w:r>
        <w:rPr>
          <w:rFonts w:hint="eastAsia" w:cs="宋体" w:asciiTheme="minorEastAsia" w:hAnsiTheme="minorEastAsia" w:eastAsiaTheme="minorEastAsia"/>
          <w:kern w:val="0"/>
          <w:szCs w:val="21"/>
          <w:lang w:val="zh-CN"/>
        </w:rPr>
        <w:t>系</w:t>
      </w:r>
      <w:r>
        <w:rPr>
          <w:rFonts w:hint="eastAsia" w:cs="宋体" w:asciiTheme="minorEastAsia" w:hAnsiTheme="minorEastAsia" w:eastAsiaTheme="minorEastAsia"/>
          <w:kern w:val="0"/>
          <w:szCs w:val="21"/>
          <w:u w:val="single"/>
          <w:lang w:val="zh-CN"/>
        </w:rPr>
        <w:t xml:space="preserve">     （</w:t>
      </w:r>
      <w:r>
        <w:rPr>
          <w:rFonts w:hint="eastAsia" w:cs="宋体" w:asciiTheme="minorEastAsia" w:hAnsiTheme="minorEastAsia" w:eastAsiaTheme="minorEastAsia"/>
          <w:szCs w:val="21"/>
          <w:u w:val="single"/>
          <w:lang w:val="zh-CN"/>
        </w:rPr>
        <w:t>联合体成员之一</w:t>
      </w:r>
      <w:r>
        <w:rPr>
          <w:rFonts w:hint="eastAsia" w:cs="宋体" w:asciiTheme="minorEastAsia" w:hAnsiTheme="minorEastAsia" w:eastAsiaTheme="minorEastAsia"/>
          <w:kern w:val="0"/>
          <w:szCs w:val="21"/>
          <w:u w:val="single"/>
          <w:lang w:val="zh-CN"/>
        </w:rPr>
        <w:t xml:space="preserve">）     </w:t>
      </w:r>
      <w:r>
        <w:rPr>
          <w:rFonts w:hint="eastAsia" w:cs="宋体" w:asciiTheme="minorEastAsia" w:hAnsiTheme="minorEastAsia" w:eastAsiaTheme="minorEastAsia"/>
          <w:kern w:val="0"/>
          <w:szCs w:val="21"/>
          <w:lang w:val="zh-CN"/>
        </w:rPr>
        <w:t>的法定代表人，我</w:t>
      </w:r>
      <w:r>
        <w:rPr>
          <w:rFonts w:hint="eastAsia" w:cs="宋体" w:asciiTheme="minorEastAsia" w:hAnsiTheme="minorEastAsia" w:eastAsiaTheme="minorEastAsia"/>
          <w:kern w:val="0"/>
          <w:szCs w:val="21"/>
          <w:u w:val="single"/>
          <w:lang w:val="zh-CN"/>
        </w:rPr>
        <w:t xml:space="preserve">   （姓名）    </w:t>
      </w:r>
      <w:r>
        <w:rPr>
          <w:rFonts w:hint="eastAsia" w:cs="宋体" w:asciiTheme="minorEastAsia" w:hAnsiTheme="minorEastAsia" w:eastAsiaTheme="minorEastAsia"/>
          <w:kern w:val="0"/>
          <w:szCs w:val="21"/>
          <w:lang w:val="zh-CN"/>
        </w:rPr>
        <w:t>系</w:t>
      </w:r>
      <w:r>
        <w:rPr>
          <w:rFonts w:hint="eastAsia" w:cs="宋体" w:asciiTheme="minorEastAsia" w:hAnsiTheme="minorEastAsia" w:eastAsiaTheme="minorEastAsia"/>
          <w:kern w:val="0"/>
          <w:szCs w:val="21"/>
          <w:u w:val="single"/>
          <w:lang w:val="zh-CN"/>
        </w:rPr>
        <w:t xml:space="preserve">     （</w:t>
      </w:r>
      <w:r>
        <w:rPr>
          <w:rFonts w:hint="eastAsia" w:cs="宋体" w:asciiTheme="minorEastAsia" w:hAnsiTheme="minorEastAsia" w:eastAsiaTheme="minorEastAsia"/>
          <w:szCs w:val="21"/>
          <w:u w:val="single"/>
          <w:lang w:val="zh-CN"/>
        </w:rPr>
        <w:t>联合体成员之二</w:t>
      </w:r>
      <w:r>
        <w:rPr>
          <w:rFonts w:hint="eastAsia" w:cs="宋体" w:asciiTheme="minorEastAsia" w:hAnsiTheme="minorEastAsia" w:eastAsiaTheme="minorEastAsia"/>
          <w:kern w:val="0"/>
          <w:szCs w:val="21"/>
          <w:u w:val="single"/>
          <w:lang w:val="zh-CN"/>
        </w:rPr>
        <w:t xml:space="preserve">）     </w:t>
      </w:r>
      <w:r>
        <w:rPr>
          <w:rFonts w:hint="eastAsia" w:cs="宋体" w:asciiTheme="minorEastAsia" w:hAnsiTheme="minorEastAsia" w:eastAsiaTheme="minorEastAsia"/>
          <w:kern w:val="0"/>
          <w:szCs w:val="21"/>
          <w:lang w:val="zh-CN"/>
        </w:rPr>
        <w:t>的法定代表人，现共同授权委托</w:t>
      </w:r>
      <w:r>
        <w:rPr>
          <w:rFonts w:hint="eastAsia" w:cs="宋体" w:asciiTheme="minorEastAsia" w:hAnsiTheme="minorEastAsia" w:eastAsiaTheme="minorEastAsia"/>
          <w:kern w:val="0"/>
          <w:szCs w:val="21"/>
          <w:u w:val="single"/>
          <w:lang w:val="zh-CN"/>
        </w:rPr>
        <w:t xml:space="preserve">  （</w:t>
      </w:r>
      <w:r>
        <w:rPr>
          <w:rFonts w:hint="eastAsia" w:cs="宋体" w:asciiTheme="minorEastAsia" w:hAnsiTheme="minorEastAsia" w:eastAsiaTheme="minorEastAsia"/>
          <w:szCs w:val="21"/>
          <w:u w:val="single"/>
          <w:lang w:val="zh-CN"/>
        </w:rPr>
        <w:t>联合体成员公司</w:t>
      </w:r>
      <w:r>
        <w:rPr>
          <w:rFonts w:hint="eastAsia" w:cs="宋体" w:asciiTheme="minorEastAsia" w:hAnsiTheme="minorEastAsia" w:eastAsiaTheme="minorEastAsia"/>
          <w:kern w:val="0"/>
          <w:szCs w:val="21"/>
          <w:u w:val="single"/>
          <w:lang w:val="zh-CN"/>
        </w:rPr>
        <w:t xml:space="preserve">名称） </w:t>
      </w:r>
      <w:r>
        <w:rPr>
          <w:rFonts w:hint="eastAsia" w:cs="宋体" w:asciiTheme="minorEastAsia" w:hAnsiTheme="minorEastAsia" w:eastAsiaTheme="minorEastAsia"/>
          <w:kern w:val="0"/>
          <w:szCs w:val="21"/>
          <w:lang w:val="zh-CN"/>
        </w:rPr>
        <w:t xml:space="preserve"> 的</w:t>
      </w:r>
      <w:r>
        <w:rPr>
          <w:rFonts w:hint="eastAsia" w:cs="宋体" w:asciiTheme="minorEastAsia" w:hAnsiTheme="minorEastAsia" w:eastAsiaTheme="minorEastAsia"/>
          <w:kern w:val="0"/>
          <w:szCs w:val="21"/>
          <w:u w:val="single"/>
          <w:lang w:val="zh-CN"/>
        </w:rPr>
        <w:t xml:space="preserve"> （姓名和职务）   </w:t>
      </w:r>
      <w:r>
        <w:rPr>
          <w:rFonts w:hint="eastAsia" w:cs="宋体" w:asciiTheme="minorEastAsia" w:hAnsiTheme="minorEastAsia" w:eastAsiaTheme="minorEastAsia"/>
          <w:kern w:val="0"/>
          <w:szCs w:val="21"/>
          <w:lang w:val="zh-CN"/>
        </w:rPr>
        <w:t>为我方代理人。代理人根据授权，以我方名义签署、澄清、说明、补正、递交、撤回、修改贵方组织的</w:t>
      </w:r>
      <w:r>
        <w:rPr>
          <w:rFonts w:hint="eastAsia" w:cs="宋体" w:asciiTheme="minorEastAsia" w:hAnsiTheme="minorEastAsia" w:eastAsiaTheme="minorEastAsia"/>
          <w:kern w:val="0"/>
          <w:szCs w:val="21"/>
          <w:u w:val="single"/>
          <w:lang w:val="zh-CN"/>
        </w:rPr>
        <w:t xml:space="preserve">   （项目名称）     </w:t>
      </w:r>
      <w:r>
        <w:rPr>
          <w:rFonts w:hint="eastAsia" w:cs="宋体" w:asciiTheme="minorEastAsia" w:hAnsiTheme="minorEastAsia" w:eastAsiaTheme="minorEastAsia"/>
          <w:kern w:val="0"/>
          <w:szCs w:val="21"/>
          <w:lang w:val="zh-CN"/>
        </w:rPr>
        <w:t>（项目编号：</w:t>
      </w:r>
      <w:r>
        <w:rPr>
          <w:rFonts w:hint="eastAsia" w:cs="宋体" w:asciiTheme="minorEastAsia" w:hAnsiTheme="minorEastAsia" w:eastAsiaTheme="minorEastAsia"/>
          <w:kern w:val="0"/>
          <w:szCs w:val="21"/>
          <w:u w:val="single"/>
          <w:lang w:val="zh-CN"/>
        </w:rPr>
        <w:t xml:space="preserve">     </w:t>
      </w:r>
      <w:r>
        <w:rPr>
          <w:rFonts w:hint="eastAsia" w:cs="宋体" w:asciiTheme="minorEastAsia" w:hAnsiTheme="minorEastAsia" w:eastAsiaTheme="minorEastAsia"/>
          <w:kern w:val="0"/>
          <w:szCs w:val="21"/>
          <w:lang w:val="zh-CN"/>
        </w:rPr>
        <w:t>）项目的</w:t>
      </w:r>
      <w:r>
        <w:rPr>
          <w:rFonts w:hint="eastAsia" w:cs="宋体" w:asciiTheme="minorEastAsia" w:hAnsiTheme="minorEastAsia" w:eastAsiaTheme="minorEastAsia"/>
          <w:szCs w:val="21"/>
          <w:lang w:val="zh-CN"/>
        </w:rPr>
        <w:t>投标</w:t>
      </w:r>
      <w:r>
        <w:rPr>
          <w:rFonts w:hint="eastAsia" w:cs="宋体" w:asciiTheme="minorEastAsia" w:hAnsiTheme="minorEastAsia" w:eastAsiaTheme="minorEastAsia"/>
          <w:kern w:val="0"/>
          <w:szCs w:val="21"/>
          <w:lang w:val="zh-CN"/>
        </w:rPr>
        <w:t>活动和处理一切有关事宜，其法律后果由我方承担。</w:t>
      </w:r>
    </w:p>
    <w:p>
      <w:pPr>
        <w:autoSpaceDE w:val="0"/>
        <w:autoSpaceDN w:val="0"/>
        <w:adjustRightInd w:val="0"/>
        <w:spacing w:line="500" w:lineRule="exact"/>
        <w:ind w:firstLine="560"/>
        <w:rPr>
          <w:rFonts w:cs="宋体" w:asciiTheme="minorEastAsia" w:hAnsiTheme="minorEastAsia" w:eastAsiaTheme="minorEastAsia"/>
          <w:kern w:val="0"/>
          <w:szCs w:val="21"/>
          <w:lang w:val="zh-CN"/>
        </w:rPr>
      </w:pPr>
      <w:r>
        <w:rPr>
          <w:rFonts w:hint="eastAsia" w:cs="宋体" w:asciiTheme="minorEastAsia" w:hAnsiTheme="minorEastAsia" w:eastAsiaTheme="minorEastAsia"/>
          <w:kern w:val="0"/>
          <w:szCs w:val="21"/>
          <w:lang w:val="zh-CN"/>
        </w:rPr>
        <w:t>本授权书于</w:t>
      </w:r>
      <w:r>
        <w:rPr>
          <w:rFonts w:hint="eastAsia" w:cs="宋体" w:asciiTheme="minorEastAsia" w:hAnsiTheme="minorEastAsia" w:eastAsiaTheme="minorEastAsia"/>
          <w:kern w:val="0"/>
          <w:szCs w:val="21"/>
          <w:u w:val="single"/>
          <w:lang w:val="zh-CN"/>
        </w:rPr>
        <w:t xml:space="preserve">    年   月   日</w:t>
      </w:r>
      <w:r>
        <w:rPr>
          <w:rFonts w:hint="eastAsia" w:cs="宋体" w:asciiTheme="minorEastAsia" w:hAnsiTheme="minorEastAsia" w:eastAsiaTheme="minorEastAsia"/>
          <w:kern w:val="0"/>
          <w:szCs w:val="21"/>
          <w:lang w:val="zh-CN"/>
        </w:rPr>
        <w:t>签字生效，委托期限：</w:t>
      </w:r>
      <w:r>
        <w:rPr>
          <w:rFonts w:hint="eastAsia" w:cs="宋体" w:asciiTheme="minorEastAsia" w:hAnsiTheme="minorEastAsia" w:eastAsiaTheme="minorEastAsia"/>
          <w:kern w:val="0"/>
          <w:szCs w:val="21"/>
          <w:u w:val="single"/>
          <w:lang w:val="zh-CN"/>
        </w:rPr>
        <w:t xml:space="preserve">              </w:t>
      </w:r>
      <w:r>
        <w:rPr>
          <w:rFonts w:hint="eastAsia" w:cs="宋体" w:asciiTheme="minorEastAsia" w:hAnsiTheme="minorEastAsia" w:eastAsiaTheme="minorEastAsia"/>
          <w:kern w:val="0"/>
          <w:szCs w:val="21"/>
          <w:lang w:val="zh-CN"/>
        </w:rPr>
        <w:t>。</w:t>
      </w:r>
    </w:p>
    <w:p>
      <w:pPr>
        <w:autoSpaceDE w:val="0"/>
        <w:autoSpaceDN w:val="0"/>
        <w:adjustRightInd w:val="0"/>
        <w:spacing w:line="500" w:lineRule="exact"/>
        <w:ind w:firstLine="560"/>
        <w:rPr>
          <w:rFonts w:cs="宋体" w:asciiTheme="minorEastAsia" w:hAnsiTheme="minorEastAsia" w:eastAsiaTheme="minorEastAsia"/>
          <w:kern w:val="0"/>
          <w:szCs w:val="21"/>
          <w:lang w:val="zh-CN"/>
        </w:rPr>
      </w:pPr>
      <w:r>
        <w:rPr>
          <w:rFonts w:hint="eastAsia" w:cs="宋体" w:asciiTheme="minorEastAsia" w:hAnsiTheme="minorEastAsia" w:eastAsiaTheme="minorEastAsia"/>
          <w:kern w:val="0"/>
          <w:szCs w:val="21"/>
          <w:lang w:val="zh-CN"/>
        </w:rPr>
        <w:t>代理人无转委托权。</w:t>
      </w:r>
    </w:p>
    <w:p>
      <w:pPr>
        <w:autoSpaceDE w:val="0"/>
        <w:autoSpaceDN w:val="0"/>
        <w:adjustRightInd w:val="0"/>
        <w:spacing w:line="500" w:lineRule="exact"/>
        <w:ind w:firstLine="56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lang w:val="zh-CN"/>
        </w:rPr>
        <w:t xml:space="preserve">代理人姓名：           </w:t>
      </w:r>
      <w:r>
        <w:rPr>
          <w:rFonts w:hint="eastAsia" w:cs="宋体" w:asciiTheme="minorEastAsia" w:hAnsiTheme="minorEastAsia" w:eastAsiaTheme="minorEastAsia"/>
          <w:kern w:val="0"/>
          <w:szCs w:val="21"/>
        </w:rPr>
        <w:t xml:space="preserve"> 性别：            年龄： </w:t>
      </w:r>
    </w:p>
    <w:p>
      <w:pPr>
        <w:autoSpaceDE w:val="0"/>
        <w:autoSpaceDN w:val="0"/>
        <w:adjustRightInd w:val="0"/>
        <w:spacing w:line="500" w:lineRule="exact"/>
        <w:ind w:firstLine="56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身份证号码：</w:t>
      </w:r>
    </w:p>
    <w:p>
      <w:pPr>
        <w:autoSpaceDE w:val="0"/>
        <w:autoSpaceDN w:val="0"/>
        <w:adjustRightInd w:val="0"/>
        <w:spacing w:line="500" w:lineRule="exact"/>
        <w:ind w:firstLine="420"/>
        <w:rPr>
          <w:rFonts w:cs="宋体" w:asciiTheme="minorEastAsia" w:hAnsiTheme="minorEastAsia" w:eastAsiaTheme="minorEastAsia"/>
          <w:kern w:val="0"/>
          <w:szCs w:val="21"/>
          <w:lang w:val="zh-CN"/>
        </w:rPr>
      </w:pPr>
    </w:p>
    <w:p>
      <w:pPr>
        <w:autoSpaceDE w:val="0"/>
        <w:autoSpaceDN w:val="0"/>
        <w:adjustRightInd w:val="0"/>
        <w:spacing w:line="500" w:lineRule="exact"/>
        <w:ind w:firstLine="420"/>
        <w:rPr>
          <w:rFonts w:cs="宋体" w:asciiTheme="minorEastAsia" w:hAnsiTheme="minorEastAsia" w:eastAsiaTheme="minorEastAsia"/>
          <w:kern w:val="0"/>
          <w:szCs w:val="21"/>
          <w:u w:val="single"/>
          <w:lang w:val="zh-CN"/>
        </w:rPr>
      </w:pPr>
      <w:r>
        <w:rPr>
          <w:rFonts w:hint="eastAsia" w:cs="宋体" w:asciiTheme="minorEastAsia" w:hAnsiTheme="minorEastAsia" w:eastAsiaTheme="minorEastAsia"/>
          <w:szCs w:val="21"/>
          <w:lang w:val="zh-CN"/>
        </w:rPr>
        <w:t>投标</w:t>
      </w:r>
      <w:r>
        <w:rPr>
          <w:rFonts w:hint="eastAsia" w:cs="宋体" w:asciiTheme="minorEastAsia" w:hAnsiTheme="minorEastAsia" w:eastAsiaTheme="minorEastAsia"/>
          <w:kern w:val="0"/>
          <w:szCs w:val="21"/>
          <w:lang w:val="zh-CN"/>
        </w:rPr>
        <w:t>人（牵头人）：（盖单位公章）</w:t>
      </w:r>
    </w:p>
    <w:p>
      <w:pPr>
        <w:autoSpaceDE w:val="0"/>
        <w:autoSpaceDN w:val="0"/>
        <w:adjustRightInd w:val="0"/>
        <w:spacing w:line="500" w:lineRule="exact"/>
        <w:ind w:firstLine="420"/>
        <w:rPr>
          <w:rFonts w:cs="宋体" w:asciiTheme="minorEastAsia" w:hAnsiTheme="minorEastAsia" w:eastAsiaTheme="minorEastAsia"/>
          <w:kern w:val="0"/>
          <w:szCs w:val="21"/>
          <w:u w:val="single"/>
          <w:lang w:val="zh-CN"/>
        </w:rPr>
      </w:pPr>
      <w:r>
        <w:rPr>
          <w:rFonts w:hint="eastAsia" w:cs="宋体" w:asciiTheme="minorEastAsia" w:hAnsiTheme="minorEastAsia" w:eastAsiaTheme="minorEastAsia"/>
          <w:kern w:val="0"/>
          <w:szCs w:val="21"/>
          <w:lang w:val="zh-CN"/>
        </w:rPr>
        <w:t>法定代表人（牵头人）：（签字或盖章）</w:t>
      </w:r>
    </w:p>
    <w:p>
      <w:pPr>
        <w:autoSpaceDE w:val="0"/>
        <w:autoSpaceDN w:val="0"/>
        <w:adjustRightInd w:val="0"/>
        <w:spacing w:line="500" w:lineRule="exact"/>
        <w:ind w:firstLine="420"/>
        <w:rPr>
          <w:rFonts w:cs="宋体" w:asciiTheme="minorEastAsia" w:hAnsiTheme="minorEastAsia" w:eastAsiaTheme="minorEastAsia"/>
          <w:kern w:val="0"/>
          <w:szCs w:val="21"/>
          <w:u w:val="single"/>
          <w:lang w:val="zh-CN"/>
        </w:rPr>
      </w:pPr>
      <w:r>
        <w:rPr>
          <w:rFonts w:hint="eastAsia" w:cs="宋体" w:asciiTheme="minorEastAsia" w:hAnsiTheme="minorEastAsia" w:eastAsiaTheme="minorEastAsia"/>
          <w:szCs w:val="21"/>
          <w:lang w:val="zh-CN"/>
        </w:rPr>
        <w:t>投标</w:t>
      </w:r>
      <w:r>
        <w:rPr>
          <w:rFonts w:hint="eastAsia" w:cs="宋体" w:asciiTheme="minorEastAsia" w:hAnsiTheme="minorEastAsia" w:eastAsiaTheme="minorEastAsia"/>
          <w:kern w:val="0"/>
          <w:szCs w:val="21"/>
          <w:lang w:val="zh-CN"/>
        </w:rPr>
        <w:t>人（联合体成员之一）：（盖单位公章）</w:t>
      </w:r>
    </w:p>
    <w:p>
      <w:pPr>
        <w:autoSpaceDE w:val="0"/>
        <w:autoSpaceDN w:val="0"/>
        <w:adjustRightInd w:val="0"/>
        <w:spacing w:line="500" w:lineRule="exact"/>
        <w:ind w:firstLine="420"/>
        <w:rPr>
          <w:rFonts w:cs="宋体" w:asciiTheme="minorEastAsia" w:hAnsiTheme="minorEastAsia" w:eastAsiaTheme="minorEastAsia"/>
          <w:kern w:val="0"/>
          <w:szCs w:val="21"/>
          <w:u w:val="single"/>
          <w:lang w:val="zh-CN"/>
        </w:rPr>
      </w:pPr>
      <w:r>
        <w:rPr>
          <w:rFonts w:hint="eastAsia" w:cs="宋体" w:asciiTheme="minorEastAsia" w:hAnsiTheme="minorEastAsia" w:eastAsiaTheme="minorEastAsia"/>
          <w:kern w:val="0"/>
          <w:szCs w:val="21"/>
          <w:lang w:val="zh-CN"/>
        </w:rPr>
        <w:t>法定代表人（联合体成员之一）：（签字或盖章）</w:t>
      </w:r>
    </w:p>
    <w:p>
      <w:pPr>
        <w:autoSpaceDE w:val="0"/>
        <w:autoSpaceDN w:val="0"/>
        <w:adjustRightInd w:val="0"/>
        <w:spacing w:line="500" w:lineRule="exact"/>
        <w:ind w:firstLine="420"/>
        <w:rPr>
          <w:rFonts w:cs="宋体" w:asciiTheme="minorEastAsia" w:hAnsiTheme="minorEastAsia" w:eastAsiaTheme="minorEastAsia"/>
          <w:kern w:val="0"/>
          <w:szCs w:val="21"/>
          <w:u w:val="single"/>
          <w:lang w:val="zh-CN"/>
        </w:rPr>
      </w:pPr>
      <w:r>
        <w:rPr>
          <w:rFonts w:hint="eastAsia" w:cs="宋体" w:asciiTheme="minorEastAsia" w:hAnsiTheme="minorEastAsia" w:eastAsiaTheme="minorEastAsia"/>
          <w:kern w:val="0"/>
          <w:szCs w:val="21"/>
          <w:lang w:val="zh-CN"/>
        </w:rPr>
        <w:t>投标人（联合体成员之二）：（盖单位公章）</w:t>
      </w:r>
    </w:p>
    <w:p>
      <w:pPr>
        <w:autoSpaceDE w:val="0"/>
        <w:autoSpaceDN w:val="0"/>
        <w:adjustRightInd w:val="0"/>
        <w:spacing w:line="500" w:lineRule="exact"/>
        <w:ind w:firstLine="420"/>
        <w:rPr>
          <w:rFonts w:cs="宋体" w:asciiTheme="minorEastAsia" w:hAnsiTheme="minorEastAsia" w:eastAsiaTheme="minorEastAsia"/>
          <w:kern w:val="0"/>
          <w:szCs w:val="21"/>
          <w:u w:val="single"/>
          <w:lang w:val="zh-CN"/>
        </w:rPr>
      </w:pPr>
      <w:r>
        <w:rPr>
          <w:rFonts w:hint="eastAsia" w:cs="宋体" w:asciiTheme="minorEastAsia" w:hAnsiTheme="minorEastAsia" w:eastAsiaTheme="minorEastAsia"/>
          <w:kern w:val="0"/>
          <w:szCs w:val="21"/>
          <w:lang w:val="zh-CN"/>
        </w:rPr>
        <w:t>法定代表人（联合体成员之二）：（签字或盖章）</w:t>
      </w:r>
    </w:p>
    <w:p>
      <w:pPr>
        <w:autoSpaceDE w:val="0"/>
        <w:autoSpaceDN w:val="0"/>
        <w:adjustRightInd w:val="0"/>
        <w:spacing w:line="500" w:lineRule="exact"/>
        <w:ind w:firstLine="420"/>
        <w:rPr>
          <w:rFonts w:cs="宋体" w:asciiTheme="minorEastAsia" w:hAnsiTheme="minorEastAsia" w:eastAsiaTheme="minorEastAsia"/>
          <w:kern w:val="0"/>
          <w:szCs w:val="21"/>
          <w:u w:val="single"/>
          <w:lang w:val="zh-CN"/>
        </w:rPr>
      </w:pPr>
    </w:p>
    <w:p>
      <w:pPr>
        <w:autoSpaceDE w:val="0"/>
        <w:autoSpaceDN w:val="0"/>
        <w:adjustRightInd w:val="0"/>
        <w:spacing w:line="500" w:lineRule="exact"/>
        <w:ind w:firstLine="420"/>
        <w:rPr>
          <w:rFonts w:cs="宋体" w:asciiTheme="minorEastAsia" w:hAnsiTheme="minorEastAsia" w:eastAsiaTheme="minorEastAsia"/>
          <w:kern w:val="0"/>
          <w:szCs w:val="21"/>
          <w:lang w:val="zh-CN"/>
        </w:rPr>
      </w:pPr>
      <w:r>
        <w:rPr>
          <w:rFonts w:hint="eastAsia" w:cs="宋体" w:asciiTheme="minorEastAsia" w:hAnsiTheme="minorEastAsia" w:eastAsiaTheme="minorEastAsia"/>
          <w:kern w:val="0"/>
          <w:szCs w:val="21"/>
          <w:lang w:val="zh-CN"/>
        </w:rPr>
        <w:t>授权委托时间：  年  月  日</w:t>
      </w:r>
    </w:p>
    <w:p>
      <w:pPr>
        <w:pStyle w:val="28"/>
        <w:spacing w:line="500" w:lineRule="exact"/>
        <w:ind w:firstLine="420" w:firstLineChars="200"/>
        <w:rPr>
          <w:rFonts w:cs="宋体" w:asciiTheme="minorEastAsia" w:hAnsiTheme="minorEastAsia" w:eastAsiaTheme="minorEastAsia"/>
          <w:szCs w:val="21"/>
        </w:rPr>
      </w:pPr>
    </w:p>
    <w:p>
      <w:pPr>
        <w:widowControl/>
        <w:jc w:val="left"/>
        <w:rPr>
          <w:rFonts w:asciiTheme="minorEastAsia" w:hAnsiTheme="minorEastAsia" w:eastAsiaTheme="minorEastAsia"/>
        </w:rPr>
      </w:pPr>
      <w:r>
        <w:rPr>
          <w:rFonts w:asciiTheme="minorEastAsia" w:hAnsiTheme="minorEastAsia" w:eastAsiaTheme="minorEastAsia"/>
        </w:rPr>
        <w:br w:type="page"/>
      </w:r>
    </w:p>
    <w:p>
      <w:pPr>
        <w:pStyle w:val="720"/>
        <w:spacing w:before="163" w:after="163"/>
        <w:jc w:val="center"/>
        <w:rPr>
          <w:rFonts w:cs="宋体" w:asciiTheme="minorEastAsia" w:hAnsiTheme="minorEastAsia" w:eastAsiaTheme="minorEastAsia"/>
          <w:sz w:val="24"/>
        </w:rPr>
      </w:pPr>
      <w:bookmarkStart w:id="217" w:name="_Toc50993407"/>
      <w:r>
        <w:rPr>
          <w:rFonts w:hint="eastAsia" w:asciiTheme="minorEastAsia" w:hAnsiTheme="minorEastAsia" w:eastAsiaTheme="minorEastAsia"/>
        </w:rPr>
        <w:t>四、联合体协议书</w:t>
      </w:r>
      <w:bookmarkEnd w:id="213"/>
      <w:r>
        <w:rPr>
          <w:rFonts w:hint="eastAsia" w:asciiTheme="minorEastAsia" w:hAnsiTheme="minorEastAsia" w:eastAsiaTheme="minorEastAsia"/>
        </w:rPr>
        <w:t>（如有）</w:t>
      </w:r>
      <w:bookmarkEnd w:id="214"/>
      <w:bookmarkEnd w:id="215"/>
      <w:bookmarkEnd w:id="216"/>
      <w:bookmarkEnd w:id="217"/>
    </w:p>
    <w:p>
      <w:pPr>
        <w:topLinePunct/>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u w:val="single"/>
        </w:rPr>
        <w:t>　　 　　　</w:t>
      </w:r>
      <w:r>
        <w:rPr>
          <w:rFonts w:cs="宋体" w:asciiTheme="minorEastAsia" w:hAnsiTheme="minorEastAsia" w:eastAsiaTheme="minorEastAsia"/>
          <w:sz w:val="24"/>
        </w:rPr>
        <w:t>(</w:t>
      </w:r>
      <w:r>
        <w:rPr>
          <w:rFonts w:hint="eastAsia" w:cs="宋体" w:asciiTheme="minorEastAsia" w:hAnsiTheme="minorEastAsia" w:eastAsiaTheme="minorEastAsia"/>
          <w:sz w:val="24"/>
        </w:rPr>
        <w:t>所有成员单位名称</w:t>
      </w:r>
      <w:r>
        <w:rPr>
          <w:rFonts w:cs="宋体" w:asciiTheme="minorEastAsia" w:hAnsiTheme="minorEastAsia" w:eastAsiaTheme="minorEastAsia"/>
          <w:sz w:val="24"/>
        </w:rPr>
        <w:t>)</w:t>
      </w:r>
      <w:r>
        <w:rPr>
          <w:rFonts w:hint="eastAsia" w:cs="宋体" w:asciiTheme="minorEastAsia" w:hAnsiTheme="minorEastAsia" w:eastAsiaTheme="minorEastAsia"/>
          <w:sz w:val="24"/>
        </w:rPr>
        <w:t>自愿组成</w:t>
      </w:r>
      <w:r>
        <w:rPr>
          <w:rFonts w:hint="eastAsia" w:cs="宋体" w:asciiTheme="minorEastAsia" w:hAnsiTheme="minorEastAsia" w:eastAsiaTheme="minorEastAsia"/>
          <w:sz w:val="24"/>
          <w:u w:val="single"/>
        </w:rPr>
        <w:t>　　　　　　</w:t>
      </w:r>
      <w:r>
        <w:rPr>
          <w:rFonts w:cs="宋体" w:asciiTheme="minorEastAsia" w:hAnsiTheme="minorEastAsia" w:eastAsiaTheme="minorEastAsia"/>
          <w:sz w:val="24"/>
        </w:rPr>
        <w:t>(</w:t>
      </w:r>
      <w:r>
        <w:rPr>
          <w:rFonts w:hint="eastAsia" w:cs="宋体" w:asciiTheme="minorEastAsia" w:hAnsiTheme="minorEastAsia" w:eastAsiaTheme="minorEastAsia"/>
          <w:sz w:val="24"/>
        </w:rPr>
        <w:t>联合体名称</w:t>
      </w:r>
      <w:r>
        <w:rPr>
          <w:rFonts w:cs="宋体" w:asciiTheme="minorEastAsia" w:hAnsiTheme="minorEastAsia" w:eastAsiaTheme="minorEastAsia"/>
          <w:sz w:val="24"/>
        </w:rPr>
        <w:t>)</w:t>
      </w:r>
      <w:r>
        <w:rPr>
          <w:rFonts w:hint="eastAsia" w:cs="宋体" w:asciiTheme="minorEastAsia" w:hAnsiTheme="minorEastAsia" w:eastAsiaTheme="minorEastAsia"/>
          <w:sz w:val="24"/>
        </w:rPr>
        <w:t>联合体，共同参加</w:t>
      </w:r>
      <w:r>
        <w:rPr>
          <w:rFonts w:hint="eastAsia" w:cs="宋体" w:asciiTheme="minorEastAsia" w:hAnsiTheme="minorEastAsia" w:eastAsiaTheme="minorEastAsia"/>
          <w:sz w:val="24"/>
          <w:u w:val="single"/>
        </w:rPr>
        <w:t>　　 　　　　</w:t>
      </w:r>
      <w:r>
        <w:rPr>
          <w:rFonts w:cs="宋体" w:asciiTheme="minorEastAsia" w:hAnsiTheme="minorEastAsia" w:eastAsiaTheme="minorEastAsia"/>
          <w:sz w:val="24"/>
        </w:rPr>
        <w:t>(</w:t>
      </w:r>
      <w:r>
        <w:rPr>
          <w:rFonts w:hint="eastAsia" w:cs="宋体" w:asciiTheme="minorEastAsia" w:hAnsiTheme="minorEastAsia" w:eastAsiaTheme="minorEastAsia"/>
          <w:sz w:val="24"/>
        </w:rPr>
        <w:t>项目名称</w:t>
      </w:r>
      <w:r>
        <w:rPr>
          <w:rFonts w:cs="宋体" w:asciiTheme="minorEastAsia" w:hAnsiTheme="minorEastAsia" w:eastAsiaTheme="minorEastAsia"/>
          <w:sz w:val="24"/>
        </w:rPr>
        <w:t>)</w:t>
      </w:r>
      <w:r>
        <w:rPr>
          <w:rFonts w:hint="eastAsia" w:cs="宋体" w:asciiTheme="minorEastAsia" w:hAnsiTheme="minorEastAsia" w:eastAsiaTheme="minorEastAsia"/>
          <w:sz w:val="24"/>
        </w:rPr>
        <w:t>资格预审和投标。现就联合体投标事宜订立如下协议：</w:t>
      </w:r>
    </w:p>
    <w:p>
      <w:pPr>
        <w:topLinePunct/>
        <w:spacing w:line="500" w:lineRule="exact"/>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w:t>
      </w:r>
      <w:r>
        <w:rPr>
          <w:rFonts w:cs="宋体" w:asciiTheme="minorEastAsia" w:hAnsiTheme="minorEastAsia" w:eastAsiaTheme="minorEastAsia"/>
          <w:sz w:val="24"/>
        </w:rPr>
        <w:t>(</w:t>
      </w:r>
      <w:r>
        <w:rPr>
          <w:rFonts w:hint="eastAsia" w:cs="宋体" w:asciiTheme="minorEastAsia" w:hAnsiTheme="minorEastAsia" w:eastAsiaTheme="minorEastAsia"/>
          <w:sz w:val="24"/>
        </w:rPr>
        <w:t>某成员单位名称</w:t>
      </w:r>
      <w:r>
        <w:rPr>
          <w:rFonts w:cs="宋体" w:asciiTheme="minorEastAsia" w:hAnsiTheme="minorEastAsia" w:eastAsiaTheme="minorEastAsia"/>
          <w:sz w:val="24"/>
        </w:rPr>
        <w:t>)</w:t>
      </w:r>
      <w:r>
        <w:rPr>
          <w:rFonts w:hint="eastAsia" w:cs="宋体" w:asciiTheme="minorEastAsia" w:hAnsiTheme="minorEastAsia" w:eastAsiaTheme="minorEastAsia"/>
          <w:sz w:val="24"/>
        </w:rPr>
        <w:t>为</w:t>
      </w:r>
      <w:r>
        <w:rPr>
          <w:rFonts w:hint="eastAsia" w:cs="宋体" w:asciiTheme="minorEastAsia" w:hAnsiTheme="minorEastAsia" w:eastAsiaTheme="minorEastAsia"/>
          <w:sz w:val="24"/>
          <w:u w:val="single"/>
        </w:rPr>
        <w:t>　　　　　　</w:t>
      </w:r>
      <w:r>
        <w:rPr>
          <w:rFonts w:cs="宋体" w:asciiTheme="minorEastAsia" w:hAnsiTheme="minorEastAsia" w:eastAsiaTheme="minorEastAsia"/>
          <w:sz w:val="24"/>
        </w:rPr>
        <w:t>(</w:t>
      </w:r>
      <w:r>
        <w:rPr>
          <w:rFonts w:hint="eastAsia" w:cs="宋体" w:asciiTheme="minorEastAsia" w:hAnsiTheme="minorEastAsia" w:eastAsiaTheme="minorEastAsia"/>
          <w:sz w:val="24"/>
        </w:rPr>
        <w:t>联合体名称</w:t>
      </w:r>
      <w:r>
        <w:rPr>
          <w:rFonts w:cs="宋体" w:asciiTheme="minorEastAsia" w:hAnsiTheme="minorEastAsia" w:eastAsiaTheme="minorEastAsia"/>
          <w:sz w:val="24"/>
        </w:rPr>
        <w:t>)</w:t>
      </w:r>
      <w:r>
        <w:rPr>
          <w:rFonts w:hint="eastAsia" w:cs="宋体" w:asciiTheme="minorEastAsia" w:hAnsiTheme="minorEastAsia" w:eastAsiaTheme="minorEastAsia"/>
          <w:sz w:val="24"/>
        </w:rPr>
        <w:t>牵头人。</w:t>
      </w:r>
    </w:p>
    <w:p>
      <w:pPr>
        <w:topLinePunct/>
        <w:spacing w:line="500" w:lineRule="exact"/>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联合体牵头人合法代表联合体各成员负责本项目资格预审申请文件、投标文件递交和合同谈判活动，代表联合体提交和接收相关的资料、信息及指示，处理与之有关的一切事务，并负责合同实施阶段的主办、组织和协调工作。</w:t>
      </w:r>
    </w:p>
    <w:p>
      <w:pPr>
        <w:topLinePunct/>
        <w:spacing w:line="500" w:lineRule="exact"/>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、联合体将严格按照资格预审文件和采购文件的各项要求，编制资格预审申请文件和投标文件，履行合同，并对外承担连带责任。</w:t>
      </w:r>
    </w:p>
    <w:p>
      <w:pPr>
        <w:topLinePunct/>
        <w:spacing w:line="500" w:lineRule="exact"/>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、联合体内部各成员单位的职责分工如下：</w:t>
      </w:r>
    </w:p>
    <w:p>
      <w:pPr>
        <w:topLinePunct/>
        <w:spacing w:line="500" w:lineRule="exact"/>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、本协议书自签署之日起生效，合同履行完毕后自动失效。</w:t>
      </w:r>
    </w:p>
    <w:p>
      <w:pPr>
        <w:topLinePunct/>
        <w:spacing w:line="500" w:lineRule="exact"/>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6</w:t>
      </w:r>
      <w:r>
        <w:rPr>
          <w:rFonts w:hint="eastAsia" w:cs="宋体" w:asciiTheme="minorEastAsia" w:hAnsiTheme="minorEastAsia" w:eastAsiaTheme="minorEastAsia"/>
          <w:sz w:val="24"/>
        </w:rPr>
        <w:t>、本协议书一式</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份，联合体成员和采购人各执一份。</w:t>
      </w:r>
    </w:p>
    <w:p>
      <w:pPr>
        <w:topLinePunct/>
        <w:spacing w:line="500" w:lineRule="exact"/>
        <w:rPr>
          <w:rFonts w:cs="宋体" w:asciiTheme="minorEastAsia" w:hAnsiTheme="minorEastAsia" w:eastAsiaTheme="minorEastAsia"/>
          <w:sz w:val="24"/>
        </w:rPr>
      </w:pPr>
    </w:p>
    <w:p>
      <w:pPr>
        <w:topLinePunct/>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牵头人名称：</w:t>
      </w:r>
      <w:r>
        <w:rPr>
          <w:rFonts w:hint="eastAsia" w:cs="宋体" w:asciiTheme="minorEastAsia" w:hAnsiTheme="minorEastAsia" w:eastAsiaTheme="minorEastAsia"/>
          <w:sz w:val="24"/>
          <w:u w:val="single"/>
        </w:rPr>
        <w:t>　　　　　　　　　　</w:t>
      </w:r>
      <w:r>
        <w:rPr>
          <w:rFonts w:cs="宋体" w:asciiTheme="minorEastAsia" w:hAnsiTheme="minorEastAsia" w:eastAsiaTheme="minorEastAsia"/>
          <w:sz w:val="24"/>
        </w:rPr>
        <w:t>(</w:t>
      </w:r>
      <w:r>
        <w:rPr>
          <w:rFonts w:hint="eastAsia" w:cs="宋体" w:asciiTheme="minorEastAsia" w:hAnsiTheme="minorEastAsia" w:eastAsiaTheme="minorEastAsia"/>
          <w:sz w:val="24"/>
        </w:rPr>
        <w:t>盖单位公章</w:t>
      </w:r>
      <w:r>
        <w:rPr>
          <w:rFonts w:cs="宋体" w:asciiTheme="minorEastAsia" w:hAnsiTheme="minorEastAsia" w:eastAsiaTheme="minorEastAsia"/>
          <w:sz w:val="24"/>
        </w:rPr>
        <w:t>)</w:t>
      </w:r>
    </w:p>
    <w:p>
      <w:pPr>
        <w:topLinePunct/>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法定代表人或其委托代理人：</w:t>
      </w:r>
      <w:r>
        <w:rPr>
          <w:rFonts w:hint="eastAsia" w:cs="宋体" w:asciiTheme="minorEastAsia" w:hAnsiTheme="minorEastAsia" w:eastAsiaTheme="minorEastAsia"/>
          <w:sz w:val="24"/>
          <w:u w:val="single"/>
        </w:rPr>
        <w:t>　　　　　</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签字或盖章</w:t>
      </w:r>
      <w:r>
        <w:rPr>
          <w:rFonts w:cs="宋体" w:asciiTheme="minorEastAsia" w:hAnsiTheme="minorEastAsia" w:eastAsiaTheme="minorEastAsia"/>
          <w:kern w:val="0"/>
          <w:sz w:val="24"/>
        </w:rPr>
        <w:t>)</w:t>
      </w:r>
    </w:p>
    <w:p>
      <w:pPr>
        <w:topLinePunct/>
        <w:spacing w:line="500" w:lineRule="exact"/>
        <w:ind w:firstLine="480" w:firstLineChars="200"/>
        <w:rPr>
          <w:rFonts w:cs="宋体" w:asciiTheme="minorEastAsia" w:hAnsiTheme="minorEastAsia" w:eastAsiaTheme="minorEastAsia"/>
          <w:sz w:val="24"/>
        </w:rPr>
      </w:pPr>
    </w:p>
    <w:p>
      <w:pPr>
        <w:topLinePunct/>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成员单位一名称：</w:t>
      </w:r>
      <w:r>
        <w:rPr>
          <w:rFonts w:hint="eastAsia" w:cs="宋体" w:asciiTheme="minorEastAsia" w:hAnsiTheme="minorEastAsia" w:eastAsiaTheme="minorEastAsia"/>
          <w:sz w:val="24"/>
          <w:u w:val="single"/>
        </w:rPr>
        <w:t>　　　　　　　　　</w:t>
      </w:r>
      <w:r>
        <w:rPr>
          <w:rFonts w:cs="宋体" w:asciiTheme="minorEastAsia" w:hAnsiTheme="minorEastAsia" w:eastAsiaTheme="minorEastAsia"/>
          <w:sz w:val="24"/>
        </w:rPr>
        <w:t>(</w:t>
      </w:r>
      <w:r>
        <w:rPr>
          <w:rFonts w:hint="eastAsia" w:cs="宋体" w:asciiTheme="minorEastAsia" w:hAnsiTheme="minorEastAsia" w:eastAsiaTheme="minorEastAsia"/>
          <w:sz w:val="24"/>
        </w:rPr>
        <w:t>盖单位公章</w:t>
      </w:r>
      <w:r>
        <w:rPr>
          <w:rFonts w:cs="宋体" w:asciiTheme="minorEastAsia" w:hAnsiTheme="minorEastAsia" w:eastAsiaTheme="minorEastAsia"/>
          <w:sz w:val="24"/>
        </w:rPr>
        <w:t>)</w:t>
      </w:r>
    </w:p>
    <w:p>
      <w:pPr>
        <w:topLinePunct/>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sz w:val="24"/>
        </w:rPr>
        <w:t>　　法定代表人或其委托代理人：</w:t>
      </w:r>
      <w:r>
        <w:rPr>
          <w:rFonts w:hint="eastAsia" w:cs="宋体" w:asciiTheme="minorEastAsia" w:hAnsiTheme="minorEastAsia" w:eastAsiaTheme="minorEastAsia"/>
          <w:sz w:val="24"/>
          <w:u w:val="single"/>
        </w:rPr>
        <w:t>　　　　　</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签字或盖章</w:t>
      </w:r>
      <w:r>
        <w:rPr>
          <w:rFonts w:cs="宋体" w:asciiTheme="minorEastAsia" w:hAnsiTheme="minorEastAsia" w:eastAsiaTheme="minorEastAsia"/>
          <w:kern w:val="0"/>
          <w:sz w:val="24"/>
        </w:rPr>
        <w:t>)</w:t>
      </w:r>
    </w:p>
    <w:p>
      <w:pPr>
        <w:topLinePunct/>
        <w:spacing w:line="500" w:lineRule="exact"/>
        <w:ind w:firstLine="960" w:firstLineChars="400"/>
        <w:rPr>
          <w:rFonts w:cs="宋体" w:asciiTheme="minorEastAsia" w:hAnsiTheme="minorEastAsia" w:eastAsiaTheme="minorEastAsia"/>
          <w:kern w:val="0"/>
          <w:sz w:val="24"/>
        </w:rPr>
      </w:pPr>
    </w:p>
    <w:p>
      <w:pPr>
        <w:topLinePunct/>
        <w:spacing w:line="500" w:lineRule="exact"/>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成员单位二名称：</w:t>
      </w:r>
      <w:r>
        <w:rPr>
          <w:rFonts w:hint="eastAsia" w:cs="宋体" w:asciiTheme="minorEastAsia" w:hAnsiTheme="minorEastAsia" w:eastAsiaTheme="minorEastAsia"/>
          <w:sz w:val="24"/>
          <w:u w:val="single"/>
        </w:rPr>
        <w:t>　　　　　　　　　</w:t>
      </w:r>
      <w:r>
        <w:rPr>
          <w:rFonts w:cs="宋体" w:asciiTheme="minorEastAsia" w:hAnsiTheme="minorEastAsia" w:eastAsiaTheme="minorEastAsia"/>
          <w:sz w:val="24"/>
        </w:rPr>
        <w:t>(</w:t>
      </w:r>
      <w:r>
        <w:rPr>
          <w:rFonts w:hint="eastAsia" w:cs="宋体" w:asciiTheme="minorEastAsia" w:hAnsiTheme="minorEastAsia" w:eastAsiaTheme="minorEastAsia"/>
          <w:sz w:val="24"/>
        </w:rPr>
        <w:t>盖单位公章</w:t>
      </w:r>
      <w:r>
        <w:rPr>
          <w:rFonts w:cs="宋体" w:asciiTheme="minorEastAsia" w:hAnsiTheme="minorEastAsia" w:eastAsiaTheme="minorEastAsia"/>
          <w:sz w:val="24"/>
        </w:rPr>
        <w:t>)</w:t>
      </w:r>
    </w:p>
    <w:p>
      <w:pPr>
        <w:topLinePunct/>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法定代表人或其委托代理人：</w:t>
      </w:r>
      <w:r>
        <w:rPr>
          <w:rFonts w:hint="eastAsia" w:cs="宋体" w:asciiTheme="minorEastAsia" w:hAnsiTheme="minorEastAsia" w:eastAsiaTheme="minorEastAsia"/>
          <w:sz w:val="24"/>
          <w:u w:val="single"/>
        </w:rPr>
        <w:t>　　　　　</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签字或盖章</w:t>
      </w:r>
      <w:r>
        <w:rPr>
          <w:rFonts w:cs="宋体" w:asciiTheme="minorEastAsia" w:hAnsiTheme="minorEastAsia" w:eastAsiaTheme="minorEastAsia"/>
          <w:kern w:val="0"/>
          <w:sz w:val="24"/>
        </w:rPr>
        <w:t>)</w:t>
      </w:r>
    </w:p>
    <w:p>
      <w:pPr>
        <w:topLinePunct/>
        <w:spacing w:line="500" w:lineRule="exact"/>
        <w:ind w:firstLine="480" w:firstLineChars="200"/>
        <w:rPr>
          <w:rFonts w:cs="宋体" w:asciiTheme="minorEastAsia" w:hAnsiTheme="minorEastAsia" w:eastAsiaTheme="minorEastAsia"/>
          <w:sz w:val="24"/>
        </w:rPr>
      </w:pPr>
    </w:p>
    <w:p>
      <w:pPr>
        <w:topLinePunct/>
        <w:spacing w:line="5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日</w:t>
      </w:r>
    </w:p>
    <w:p>
      <w:pPr>
        <w:topLinePunct/>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w:t>
      </w:r>
      <w:r>
        <w:rPr>
          <w:rFonts w:cs="宋体" w:asciiTheme="minorEastAsia" w:hAnsiTheme="minorEastAsia" w:eastAsiaTheme="minorEastAsia"/>
          <w:sz w:val="24"/>
        </w:rPr>
        <w:t>1.</w:t>
      </w:r>
      <w:r>
        <w:rPr>
          <w:rFonts w:hint="eastAsia" w:cs="宋体" w:asciiTheme="minorEastAsia" w:hAnsiTheme="minorEastAsia" w:eastAsiaTheme="minorEastAsia"/>
          <w:sz w:val="24"/>
        </w:rPr>
        <w:t>本协议书由委托代理人签字时，应附法定代表人签字的授权委托书。</w:t>
      </w:r>
    </w:p>
    <w:p>
      <w:pPr>
        <w:topLinePunct/>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w:t>
      </w:r>
      <w:r>
        <w:rPr>
          <w:rFonts w:cs="宋体" w:asciiTheme="minorEastAsia" w:hAnsiTheme="minorEastAsia" w:eastAsiaTheme="minorEastAsia"/>
          <w:sz w:val="24"/>
        </w:rPr>
        <w:t>2.</w:t>
      </w:r>
      <w:r>
        <w:rPr>
          <w:rFonts w:hint="eastAsia" w:cs="宋体" w:asciiTheme="minorEastAsia" w:hAnsiTheme="minorEastAsia" w:eastAsiaTheme="minorEastAsia"/>
          <w:sz w:val="24"/>
        </w:rPr>
        <w:t>有授权委托时，需要此文件。</w:t>
      </w:r>
    </w:p>
    <w:p>
      <w:pPr>
        <w:pStyle w:val="28"/>
        <w:spacing w:line="500" w:lineRule="exact"/>
        <w:ind w:firstLine="6000" w:firstLineChars="2500"/>
        <w:rPr>
          <w:rFonts w:asciiTheme="minorEastAsia" w:hAnsiTheme="minorEastAsia" w:eastAsiaTheme="minorEastAsia"/>
          <w:bCs/>
          <w:sz w:val="24"/>
        </w:rPr>
      </w:pPr>
    </w:p>
    <w:p>
      <w:pPr>
        <w:pStyle w:val="28"/>
        <w:spacing w:line="360" w:lineRule="auto"/>
        <w:ind w:firstLine="420"/>
        <w:jc w:val="right"/>
        <w:rPr>
          <w:rFonts w:asciiTheme="minorEastAsia" w:hAnsiTheme="minorEastAsia" w:eastAsiaTheme="minorEastAsia"/>
          <w:sz w:val="24"/>
          <w:u w:val="single"/>
        </w:rPr>
      </w:pPr>
      <w:r>
        <w:rPr>
          <w:rFonts w:asciiTheme="minorEastAsia" w:hAnsiTheme="minorEastAsia" w:eastAsiaTheme="minorEastAsia"/>
          <w:bCs/>
          <w:sz w:val="24"/>
        </w:rPr>
        <w:br w:type="page"/>
      </w:r>
    </w:p>
    <w:p>
      <w:pPr>
        <w:pStyle w:val="720"/>
        <w:spacing w:before="163" w:after="163"/>
        <w:jc w:val="center"/>
        <w:rPr>
          <w:rFonts w:asciiTheme="minorEastAsia" w:hAnsiTheme="minorEastAsia" w:eastAsiaTheme="minorEastAsia"/>
        </w:rPr>
      </w:pPr>
      <w:bookmarkStart w:id="218" w:name="_Toc478130852"/>
      <w:bookmarkStart w:id="219" w:name="_Toc427243341"/>
      <w:bookmarkStart w:id="220" w:name="_Toc485340717"/>
      <w:bookmarkStart w:id="221" w:name="_Toc460580432"/>
      <w:bookmarkStart w:id="222" w:name="_Toc50993408"/>
      <w:bookmarkStart w:id="223" w:name="_Toc27214"/>
      <w:bookmarkStart w:id="224" w:name="_Toc435106792"/>
      <w:bookmarkStart w:id="225" w:name="_Toc11194"/>
      <w:bookmarkStart w:id="226" w:name="_Toc462955457"/>
      <w:bookmarkStart w:id="227" w:name="_Toc14593"/>
      <w:bookmarkStart w:id="228" w:name="_Toc14431"/>
      <w:bookmarkStart w:id="229" w:name="_Toc434433198"/>
      <w:r>
        <w:rPr>
          <w:rFonts w:hint="eastAsia" w:asciiTheme="minorEastAsia" w:hAnsiTheme="minorEastAsia" w:eastAsiaTheme="minorEastAsia"/>
        </w:rPr>
        <w:t>五、资格条件确认函</w:t>
      </w:r>
      <w:bookmarkEnd w:id="218"/>
      <w:bookmarkEnd w:id="219"/>
      <w:bookmarkEnd w:id="220"/>
      <w:bookmarkEnd w:id="221"/>
      <w:bookmarkEnd w:id="222"/>
    </w:p>
    <w:p>
      <w:pPr>
        <w:spacing w:before="81" w:beforeLines="25"/>
        <w:jc w:val="left"/>
        <w:rPr>
          <w:rFonts w:asciiTheme="minorEastAsia" w:hAnsiTheme="minorEastAsia" w:eastAsiaTheme="minorEastAsia"/>
          <w:b/>
          <w:szCs w:val="21"/>
        </w:rPr>
      </w:pPr>
    </w:p>
    <w:p>
      <w:pPr>
        <w:pStyle w:val="418"/>
        <w:spacing w:line="500" w:lineRule="exact"/>
        <w:rPr>
          <w:rFonts w:asciiTheme="minorEastAsia" w:hAnsiTheme="minorEastAsia" w:eastAsiaTheme="minorEastAsia"/>
          <w:sz w:val="24"/>
          <w:szCs w:val="21"/>
          <w:u w:val="single"/>
        </w:rPr>
      </w:pPr>
      <w:r>
        <w:rPr>
          <w:rFonts w:hint="eastAsia" w:asciiTheme="minorEastAsia" w:hAnsiTheme="minorEastAsia" w:eastAsiaTheme="minorEastAsia"/>
          <w:sz w:val="24"/>
          <w:szCs w:val="21"/>
          <w:u w:val="single"/>
        </w:rPr>
        <w:t>贵港市产业园区管理委员会：</w:t>
      </w:r>
    </w:p>
    <w:p>
      <w:pPr>
        <w:pStyle w:val="418"/>
        <w:spacing w:line="500" w:lineRule="exact"/>
        <w:rPr>
          <w:rFonts w:asciiTheme="minorEastAsia" w:hAnsiTheme="minorEastAsia" w:eastAsiaTheme="minorEastAsia"/>
          <w:sz w:val="24"/>
          <w:szCs w:val="21"/>
        </w:rPr>
      </w:pPr>
    </w:p>
    <w:p>
      <w:pPr>
        <w:pStyle w:val="418"/>
        <w:spacing w:line="500" w:lineRule="exact"/>
        <w:ind w:firstLine="480" w:firstLineChars="200"/>
        <w:rPr>
          <w:rFonts w:asciiTheme="minorEastAsia" w:hAnsiTheme="minorEastAsia" w:eastAsiaTheme="minorEastAsia"/>
          <w:sz w:val="24"/>
          <w:szCs w:val="21"/>
        </w:rPr>
      </w:pPr>
      <w:r>
        <w:rPr>
          <w:rFonts w:hint="eastAsia" w:asciiTheme="minorEastAsia" w:hAnsiTheme="minorEastAsia" w:eastAsiaTheme="minorEastAsia"/>
          <w:sz w:val="24"/>
          <w:szCs w:val="21"/>
        </w:rPr>
        <w:t>自资格预审通过之日至投标截止日，我公司仍完全符合资格预审公告规定的所有资格条件要求，特此确认！如有不实，我公司愿意承担由此引起的一切后果。（如果投标人资格条件相比较资格预审通过之时有任何变化的，请在此一并说明）</w:t>
      </w:r>
    </w:p>
    <w:p>
      <w:pPr>
        <w:pStyle w:val="418"/>
        <w:spacing w:line="500" w:lineRule="exact"/>
        <w:rPr>
          <w:rFonts w:asciiTheme="minorEastAsia" w:hAnsiTheme="minorEastAsia" w:eastAsiaTheme="minorEastAsia"/>
          <w:sz w:val="24"/>
          <w:szCs w:val="21"/>
        </w:rPr>
      </w:pPr>
    </w:p>
    <w:p>
      <w:pPr>
        <w:pStyle w:val="418"/>
        <w:spacing w:line="500" w:lineRule="exact"/>
        <w:ind w:firstLine="3158" w:firstLineChars="1316"/>
        <w:rPr>
          <w:rFonts w:asciiTheme="minorEastAsia" w:hAnsiTheme="minorEastAsia" w:eastAsiaTheme="minorEastAsia"/>
          <w:sz w:val="24"/>
          <w:szCs w:val="21"/>
        </w:rPr>
      </w:pPr>
      <w:r>
        <w:rPr>
          <w:rFonts w:hint="eastAsia" w:asciiTheme="minorEastAsia" w:hAnsiTheme="minorEastAsia" w:eastAsiaTheme="minorEastAsia"/>
          <w:sz w:val="24"/>
          <w:szCs w:val="21"/>
        </w:rPr>
        <w:t>独立投标人</w:t>
      </w:r>
      <w:bookmarkStart w:id="230" w:name="_Hlk484767334"/>
      <w:r>
        <w:rPr>
          <w:rFonts w:hint="eastAsia" w:asciiTheme="minorEastAsia" w:hAnsiTheme="minorEastAsia" w:eastAsiaTheme="minorEastAsia"/>
          <w:sz w:val="24"/>
          <w:szCs w:val="21"/>
        </w:rPr>
        <w:t>或联合体成员方</w:t>
      </w:r>
      <w:bookmarkEnd w:id="230"/>
      <w:r>
        <w:rPr>
          <w:rFonts w:hint="eastAsia" w:asciiTheme="minorEastAsia" w:hAnsiTheme="minorEastAsia" w:eastAsiaTheme="minorEastAsia"/>
          <w:sz w:val="24"/>
          <w:szCs w:val="21"/>
        </w:rPr>
        <w:t>：（盖单位公章）</w:t>
      </w:r>
    </w:p>
    <w:p>
      <w:pPr>
        <w:pStyle w:val="418"/>
        <w:spacing w:line="500" w:lineRule="exact"/>
        <w:ind w:firstLine="3158" w:firstLineChars="1316"/>
        <w:rPr>
          <w:rFonts w:asciiTheme="minorEastAsia" w:hAnsiTheme="minorEastAsia" w:eastAsiaTheme="minorEastAsia"/>
          <w:sz w:val="24"/>
          <w:szCs w:val="21"/>
        </w:rPr>
      </w:pPr>
      <w:r>
        <w:rPr>
          <w:rFonts w:hint="eastAsia" w:asciiTheme="minorEastAsia" w:hAnsiTheme="minorEastAsia" w:eastAsiaTheme="minorEastAsia"/>
          <w:sz w:val="24"/>
          <w:szCs w:val="21"/>
        </w:rPr>
        <w:t>法定代表人：</w:t>
      </w:r>
      <w:r>
        <w:rPr>
          <w:rFonts w:hint="eastAsia" w:asciiTheme="minorEastAsia" w:hAnsiTheme="minorEastAsia" w:eastAsiaTheme="minorEastAsia"/>
        </w:rPr>
        <w:t>（签字或盖章）</w:t>
      </w:r>
    </w:p>
    <w:p>
      <w:pPr>
        <w:pStyle w:val="418"/>
        <w:spacing w:line="500" w:lineRule="exact"/>
        <w:ind w:firstLine="3158" w:firstLineChars="1316"/>
        <w:rPr>
          <w:rFonts w:asciiTheme="minorEastAsia" w:hAnsiTheme="minorEastAsia" w:eastAsiaTheme="minorEastAsia"/>
          <w:sz w:val="24"/>
          <w:szCs w:val="21"/>
        </w:rPr>
      </w:pPr>
      <w:r>
        <w:rPr>
          <w:rFonts w:hint="eastAsia" w:asciiTheme="minorEastAsia" w:hAnsiTheme="minorEastAsia" w:eastAsiaTheme="minorEastAsia"/>
          <w:sz w:val="24"/>
          <w:szCs w:val="21"/>
        </w:rPr>
        <w:t>日期：  年  月  日</w:t>
      </w:r>
    </w:p>
    <w:p>
      <w:pPr>
        <w:pStyle w:val="493"/>
        <w:spacing w:line="500" w:lineRule="exact"/>
        <w:rPr>
          <w:rFonts w:asciiTheme="minorEastAsia" w:hAnsiTheme="minorEastAsia" w:eastAsiaTheme="minorEastAsia"/>
          <w:sz w:val="24"/>
          <w:szCs w:val="21"/>
        </w:rPr>
      </w:pPr>
    </w:p>
    <w:p>
      <w:pPr>
        <w:pStyle w:val="28"/>
        <w:spacing w:line="500" w:lineRule="exact"/>
        <w:jc w:val="center"/>
        <w:rPr>
          <w:rFonts w:asciiTheme="minorEastAsia" w:hAnsiTheme="minorEastAsia" w:eastAsiaTheme="minorEastAsia"/>
          <w:szCs w:val="21"/>
        </w:rPr>
      </w:pPr>
      <w:r>
        <w:rPr>
          <w:rFonts w:hint="eastAsia" w:asciiTheme="minorEastAsia" w:hAnsiTheme="minorEastAsia" w:eastAsiaTheme="minorEastAsia"/>
          <w:sz w:val="24"/>
          <w:szCs w:val="21"/>
        </w:rPr>
        <w:t>注：若为联合体投标，则由联合体牵头单位出具该确认函，并在出具的确认函上签字或盖章并加盖公章。</w:t>
      </w:r>
    </w:p>
    <w:p>
      <w:pPr>
        <w:pStyle w:val="28"/>
        <w:spacing w:line="500" w:lineRule="exact"/>
        <w:jc w:val="center"/>
        <w:outlineLvl w:val="1"/>
        <w:rPr>
          <w:rFonts w:asciiTheme="minorEastAsia" w:hAnsiTheme="minorEastAsia" w:eastAsiaTheme="minorEastAsia"/>
          <w:b/>
          <w:bCs/>
          <w:szCs w:val="21"/>
        </w:rPr>
      </w:pPr>
      <w:r>
        <w:rPr>
          <w:rFonts w:asciiTheme="minorEastAsia" w:hAnsiTheme="minorEastAsia" w:eastAsiaTheme="minorEastAsia"/>
          <w:b/>
          <w:bCs/>
          <w:szCs w:val="21"/>
        </w:rPr>
        <w:br w:type="page"/>
      </w:r>
    </w:p>
    <w:p>
      <w:pPr>
        <w:rPr>
          <w:rFonts w:asciiTheme="minorEastAsia" w:hAnsiTheme="minorEastAsia" w:eastAsiaTheme="minorEastAsia"/>
        </w:rPr>
      </w:pPr>
    </w:p>
    <w:p>
      <w:pPr>
        <w:pStyle w:val="720"/>
        <w:spacing w:before="163" w:after="163"/>
        <w:jc w:val="center"/>
        <w:rPr>
          <w:rFonts w:asciiTheme="minorEastAsia" w:hAnsiTheme="minorEastAsia" w:eastAsiaTheme="minorEastAsia"/>
        </w:rPr>
      </w:pPr>
      <w:bookmarkStart w:id="231" w:name="_Toc50993409"/>
      <w:r>
        <w:rPr>
          <w:rFonts w:hint="eastAsia" w:asciiTheme="minorEastAsia" w:hAnsiTheme="minorEastAsia" w:eastAsiaTheme="minorEastAsia"/>
        </w:rPr>
        <w:t>六、投标保证金</w:t>
      </w:r>
      <w:bookmarkEnd w:id="223"/>
      <w:bookmarkEnd w:id="224"/>
      <w:bookmarkEnd w:id="225"/>
      <w:bookmarkEnd w:id="226"/>
      <w:bookmarkEnd w:id="227"/>
      <w:bookmarkEnd w:id="228"/>
      <w:bookmarkEnd w:id="229"/>
      <w:bookmarkEnd w:id="231"/>
    </w:p>
    <w:p>
      <w:pPr>
        <w:pStyle w:val="493"/>
        <w:spacing w:line="500" w:lineRule="exact"/>
        <w:jc w:val="center"/>
        <w:rPr>
          <w:rFonts w:asciiTheme="minorEastAsia" w:hAnsiTheme="minorEastAsia" w:eastAsiaTheme="minorEastAsia"/>
          <w:sz w:val="24"/>
        </w:rPr>
      </w:pPr>
      <w:r>
        <w:rPr>
          <w:rFonts w:hint="eastAsia" w:asciiTheme="minorEastAsia" w:hAnsiTheme="minorEastAsia" w:eastAsiaTheme="minorEastAsia"/>
          <w:szCs w:val="21"/>
        </w:rPr>
        <w:t>附投标保证金缴纳证明材料（转账底单或电汇底单或银行</w:t>
      </w:r>
      <w:r>
        <w:rPr>
          <w:rFonts w:hint="eastAsia" w:asciiTheme="minorEastAsia" w:hAnsiTheme="minorEastAsia" w:eastAsiaTheme="minorEastAsia"/>
          <w:sz w:val="24"/>
          <w:szCs w:val="21"/>
        </w:rPr>
        <w:t>保函</w:t>
      </w:r>
      <w:r>
        <w:rPr>
          <w:rFonts w:hint="eastAsia" w:asciiTheme="minorEastAsia" w:hAnsiTheme="minorEastAsia" w:eastAsiaTheme="minorEastAsia"/>
          <w:szCs w:val="21"/>
        </w:rPr>
        <w:t>复印件）</w:t>
      </w:r>
    </w:p>
    <w:p>
      <w:pPr>
        <w:widowControl/>
        <w:jc w:val="left"/>
        <w:rPr>
          <w:rFonts w:asciiTheme="minorEastAsia" w:hAnsiTheme="minorEastAsia" w:eastAsiaTheme="minorEastAsia"/>
          <w:b/>
          <w:bCs/>
          <w:sz w:val="32"/>
        </w:rPr>
      </w:pPr>
      <w:bookmarkStart w:id="232" w:name="_Toc493513995"/>
      <w:bookmarkStart w:id="233" w:name="_Toc481153612"/>
      <w:r>
        <w:rPr>
          <w:rFonts w:asciiTheme="minorEastAsia" w:hAnsiTheme="minorEastAsia" w:eastAsiaTheme="minorEastAsia"/>
          <w:b/>
          <w:bCs/>
          <w:sz w:val="32"/>
        </w:rPr>
        <w:br w:type="page"/>
      </w:r>
    </w:p>
    <w:p>
      <w:pPr>
        <w:pStyle w:val="720"/>
        <w:spacing w:before="163" w:after="163"/>
        <w:jc w:val="center"/>
        <w:rPr>
          <w:rFonts w:asciiTheme="minorEastAsia" w:hAnsiTheme="minorEastAsia" w:eastAsiaTheme="minorEastAsia"/>
          <w:b w:val="0"/>
          <w:bCs w:val="0"/>
          <w:sz w:val="32"/>
          <w:lang w:val="zh-CN"/>
        </w:rPr>
      </w:pPr>
      <w:bookmarkStart w:id="234" w:name="_Toc50993410"/>
      <w:r>
        <w:rPr>
          <w:rFonts w:hint="eastAsia" w:asciiTheme="minorEastAsia" w:hAnsiTheme="minorEastAsia" w:eastAsiaTheme="minorEastAsia"/>
        </w:rPr>
        <w:t>七</w:t>
      </w:r>
      <w:r>
        <w:rPr>
          <w:rFonts w:hint="eastAsia" w:asciiTheme="minorEastAsia" w:hAnsiTheme="minorEastAsia" w:eastAsiaTheme="minorEastAsia"/>
          <w:lang w:val="zh-CN"/>
        </w:rPr>
        <w:t>、承诺书</w:t>
      </w:r>
      <w:bookmarkEnd w:id="232"/>
      <w:bookmarkEnd w:id="233"/>
      <w:bookmarkEnd w:id="234"/>
    </w:p>
    <w:p>
      <w:pPr>
        <w:jc w:val="center"/>
        <w:rPr>
          <w:rFonts w:asciiTheme="minorEastAsia" w:hAnsiTheme="minorEastAsia" w:eastAsiaTheme="minorEastAsia"/>
          <w:b/>
          <w:bCs/>
          <w:sz w:val="32"/>
          <w:lang w:val="zh-CN"/>
        </w:rPr>
      </w:pPr>
    </w:p>
    <w:p>
      <w:pPr>
        <w:widowControl/>
        <w:spacing w:line="360" w:lineRule="auto"/>
        <w:jc w:val="left"/>
        <w:rPr>
          <w:rFonts w:asciiTheme="minorEastAsia" w:hAnsiTheme="minorEastAsia" w:eastAsiaTheme="minorEastAsia"/>
          <w:kern w:val="0"/>
          <w:sz w:val="24"/>
          <w:u w:val="single"/>
        </w:rPr>
      </w:pPr>
      <w:r>
        <w:rPr>
          <w:rFonts w:hint="eastAsia" w:asciiTheme="minorEastAsia" w:hAnsiTheme="minorEastAsia" w:eastAsiaTheme="minorEastAsia"/>
          <w:kern w:val="0"/>
          <w:sz w:val="24"/>
        </w:rPr>
        <w:t>致：</w:t>
      </w:r>
      <w:r>
        <w:rPr>
          <w:rFonts w:hint="eastAsia" w:asciiTheme="minorEastAsia" w:hAnsiTheme="minorEastAsia" w:eastAsiaTheme="minorEastAsia"/>
          <w:kern w:val="0"/>
          <w:sz w:val="24"/>
          <w:u w:val="single"/>
        </w:rPr>
        <w:t>贵港市产业园区管理委员会</w:t>
      </w:r>
    </w:p>
    <w:p>
      <w:pPr>
        <w:widowControl/>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项目由我方投融资、设计、建设、运营、移交工作，为确保项目保质保量的顺利进行，特作以下承诺：</w:t>
      </w:r>
    </w:p>
    <w:p>
      <w:pPr>
        <w:widowControl/>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一、质量保证：</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1</w:t>
      </w:r>
      <w:r>
        <w:rPr>
          <w:rFonts w:hint="eastAsia" w:asciiTheme="minorEastAsia" w:hAnsiTheme="minorEastAsia" w:eastAsiaTheme="minorEastAsia"/>
          <w:kern w:val="0"/>
          <w:sz w:val="24"/>
        </w:rPr>
        <w:t>、建立建全教育培训制度，加强职工的教育培训，未经教育培训和培训不合格的工人，不得安排上岗作业。</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2</w:t>
      </w:r>
      <w:r>
        <w:rPr>
          <w:rFonts w:hint="eastAsia" w:asciiTheme="minorEastAsia" w:hAnsiTheme="minorEastAsia" w:eastAsiaTheme="minorEastAsia"/>
          <w:kern w:val="0"/>
          <w:sz w:val="24"/>
        </w:rPr>
        <w:t>、凡是进入施工现场的材料，必须要有合格证和检验报告单，需经甲方和监理方检验确认，不合格、不符合设计和规范要求的不得使用于工程。</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3</w:t>
      </w:r>
      <w:r>
        <w:rPr>
          <w:rFonts w:hint="eastAsia" w:asciiTheme="minorEastAsia" w:hAnsiTheme="minorEastAsia" w:eastAsiaTheme="minorEastAsia"/>
          <w:kern w:val="0"/>
          <w:sz w:val="24"/>
        </w:rPr>
        <w:t>、为了保证施工质量，施工前向施工人员进行技术交底，直到每个工人熟悉操作工艺，施工中要求严格按操作工艺施工，对施工质量严格按三检制（自检、交接检、专业检）进行检查，每道工序不检查或检查不符合质量要求的，绝不进行下道工序施工，并建立健全质量管理体系和质量保证体系。</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4</w:t>
      </w:r>
      <w:r>
        <w:rPr>
          <w:rFonts w:hint="eastAsia" w:asciiTheme="minorEastAsia" w:hAnsiTheme="minorEastAsia" w:eastAsiaTheme="minorEastAsia"/>
          <w:kern w:val="0"/>
          <w:sz w:val="24"/>
        </w:rPr>
        <w:t>、严格按照工程设计图纸和施工技术标准施工，不得擅自修改工程设计，不得偷工减料。施工过程中发现施工设计文件或施工图有差错的，及时提出意见和建议。</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5</w:t>
      </w:r>
      <w:r>
        <w:rPr>
          <w:rFonts w:hint="eastAsia" w:asciiTheme="minorEastAsia" w:hAnsiTheme="minorEastAsia" w:eastAsiaTheme="minorEastAsia"/>
          <w:kern w:val="0"/>
          <w:sz w:val="24"/>
        </w:rPr>
        <w:t>、施工过程中对技术经验不足的技术人员、施工作业人员或工程出现返工、返修，造成质量事故的施工班组应及时进行更换。</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6</w:t>
      </w:r>
      <w:r>
        <w:rPr>
          <w:rFonts w:hint="eastAsia" w:asciiTheme="minorEastAsia" w:hAnsiTheme="minorEastAsia" w:eastAsiaTheme="minorEastAsia"/>
          <w:kern w:val="0"/>
          <w:sz w:val="24"/>
        </w:rPr>
        <w:t>、严格履行质量保修期内保修义务。</w:t>
      </w:r>
    </w:p>
    <w:p>
      <w:pPr>
        <w:widowControl/>
        <w:spacing w:line="360" w:lineRule="auto"/>
        <w:ind w:firstLine="480"/>
        <w:jc w:val="left"/>
        <w:rPr>
          <w:rFonts w:asciiTheme="minorEastAsia" w:hAnsiTheme="minorEastAsia" w:eastAsiaTheme="minorEastAsia"/>
          <w:kern w:val="0"/>
          <w:sz w:val="24"/>
        </w:rPr>
      </w:pPr>
      <w:r>
        <w:rPr>
          <w:rFonts w:hint="eastAsia" w:asciiTheme="minorEastAsia" w:hAnsiTheme="minorEastAsia" w:eastAsiaTheme="minorEastAsia"/>
          <w:kern w:val="0"/>
          <w:sz w:val="24"/>
        </w:rPr>
        <w:t>特此承诺</w:t>
      </w:r>
    </w:p>
    <w:p>
      <w:pPr>
        <w:widowControl/>
        <w:spacing w:line="360" w:lineRule="auto"/>
        <w:ind w:firstLine="3156" w:firstLineChars="1315"/>
        <w:jc w:val="left"/>
        <w:rPr>
          <w:rFonts w:asciiTheme="minorEastAsia" w:hAnsiTheme="minorEastAsia" w:eastAsiaTheme="minorEastAsia"/>
          <w:kern w:val="0"/>
          <w:sz w:val="24"/>
          <w:u w:val="single"/>
        </w:rPr>
      </w:pPr>
      <w:r>
        <w:rPr>
          <w:rFonts w:hint="eastAsia" w:asciiTheme="minorEastAsia" w:hAnsiTheme="minorEastAsia" w:eastAsiaTheme="minorEastAsia"/>
          <w:kern w:val="0"/>
          <w:sz w:val="24"/>
        </w:rPr>
        <w:t>独立投标人或联合体牵头方：（盖单位公章）</w:t>
      </w:r>
    </w:p>
    <w:p>
      <w:pPr>
        <w:widowControl/>
        <w:spacing w:line="360" w:lineRule="auto"/>
        <w:ind w:firstLine="3120" w:firstLineChars="1300"/>
        <w:jc w:val="left"/>
        <w:rPr>
          <w:rFonts w:asciiTheme="minorEastAsia" w:hAnsiTheme="minorEastAsia" w:eastAsiaTheme="minorEastAsia"/>
          <w:kern w:val="0"/>
          <w:sz w:val="24"/>
        </w:rPr>
      </w:pPr>
      <w:r>
        <w:rPr>
          <w:rFonts w:hint="eastAsia" w:asciiTheme="minorEastAsia" w:hAnsiTheme="minorEastAsia" w:eastAsiaTheme="minorEastAsia"/>
          <w:kern w:val="0"/>
          <w:sz w:val="24"/>
        </w:rPr>
        <w:t>法定代表人或委托代理人：（签字或盖章）</w:t>
      </w:r>
    </w:p>
    <w:p>
      <w:pPr>
        <w:pStyle w:val="28"/>
        <w:spacing w:line="500" w:lineRule="exact"/>
        <w:ind w:firstLine="3124" w:firstLineChars="1302"/>
        <w:jc w:val="left"/>
        <w:rPr>
          <w:rFonts w:asciiTheme="minorEastAsia" w:hAnsiTheme="minorEastAsia" w:eastAsiaTheme="minorEastAsia"/>
          <w:kern w:val="0"/>
          <w:sz w:val="24"/>
        </w:rPr>
      </w:pPr>
      <w:r>
        <w:rPr>
          <w:rFonts w:hint="eastAsia" w:asciiTheme="minorEastAsia" w:hAnsiTheme="minorEastAsia" w:eastAsiaTheme="minorEastAsia"/>
          <w:kern w:val="0"/>
          <w:sz w:val="24"/>
        </w:rPr>
        <w:t>日期：  年  月  日</w:t>
      </w:r>
    </w:p>
    <w:p>
      <w:pPr>
        <w:pStyle w:val="3"/>
        <w:jc w:val="center"/>
        <w:rPr>
          <w:rFonts w:asciiTheme="minorEastAsia" w:hAnsiTheme="minorEastAsia"/>
        </w:rPr>
      </w:pPr>
      <w:r>
        <w:rPr>
          <w:rFonts w:asciiTheme="minorEastAsia" w:hAnsiTheme="minorEastAsia"/>
          <w:sz w:val="28"/>
          <w:szCs w:val="28"/>
        </w:rPr>
        <w:br w:type="page"/>
      </w:r>
      <w:bookmarkStart w:id="235" w:name="_Toc50993411"/>
      <w:r>
        <w:rPr>
          <w:rFonts w:hint="eastAsia" w:asciiTheme="minorEastAsia" w:hAnsiTheme="minorEastAsia"/>
          <w:sz w:val="32"/>
        </w:rPr>
        <w:t>八、企业信誉</w:t>
      </w:r>
      <w:bookmarkEnd w:id="235"/>
    </w:p>
    <w:p>
      <w:pPr>
        <w:jc w:val="center"/>
        <w:rPr>
          <w:rFonts w:asciiTheme="minorEastAsia" w:hAnsiTheme="minorEastAsia" w:eastAsiaTheme="minorEastAsia"/>
        </w:rPr>
      </w:pPr>
      <w:r>
        <w:rPr>
          <w:rFonts w:hint="eastAsia" w:asciiTheme="minorEastAsia" w:hAnsiTheme="minorEastAsia" w:eastAsiaTheme="minorEastAsia"/>
        </w:rPr>
        <w:t>根据招标文件及评标办法提供，格式自拟，但文件须加盖投标人（联合体则为牵头方）单位公章。</w:t>
      </w:r>
    </w:p>
    <w:p>
      <w:pPr>
        <w:rPr>
          <w:rFonts w:asciiTheme="minorEastAsia" w:hAnsiTheme="minorEastAsia" w:eastAsiaTheme="minorEastAsia"/>
        </w:rPr>
      </w:pPr>
    </w:p>
    <w:p>
      <w:pPr>
        <w:jc w:val="center"/>
        <w:rPr>
          <w:rFonts w:asciiTheme="minorEastAsia" w:hAnsiTheme="minorEastAsia" w:eastAsiaTheme="minorEastAsia"/>
          <w:b/>
          <w:bCs/>
          <w:sz w:val="32"/>
        </w:rPr>
      </w:pPr>
    </w:p>
    <w:p>
      <w:pPr>
        <w:jc w:val="center"/>
        <w:rPr>
          <w:rFonts w:asciiTheme="minorEastAsia" w:hAnsiTheme="minorEastAsia" w:eastAsiaTheme="minorEastAsia"/>
          <w:b/>
          <w:bCs/>
          <w:sz w:val="32"/>
        </w:rPr>
      </w:pPr>
    </w:p>
    <w:p>
      <w:pPr>
        <w:pStyle w:val="720"/>
        <w:spacing w:before="163" w:after="163"/>
        <w:jc w:val="center"/>
        <w:rPr>
          <w:rFonts w:asciiTheme="minorEastAsia" w:hAnsiTheme="minorEastAsia" w:eastAsiaTheme="minorEastAsia"/>
        </w:rPr>
      </w:pPr>
      <w:bookmarkStart w:id="236" w:name="_Toc50993412"/>
      <w:r>
        <w:rPr>
          <w:rFonts w:hint="eastAsia" w:asciiTheme="minorEastAsia" w:hAnsiTheme="minorEastAsia" w:eastAsiaTheme="minorEastAsia"/>
        </w:rPr>
        <w:t>九、企业业绩</w:t>
      </w:r>
      <w:bookmarkEnd w:id="236"/>
    </w:p>
    <w:p>
      <w:pPr>
        <w:jc w:val="center"/>
        <w:rPr>
          <w:rFonts w:asciiTheme="minorEastAsia" w:hAnsiTheme="minorEastAsia" w:eastAsiaTheme="minorEastAsia"/>
        </w:rPr>
      </w:pPr>
      <w:r>
        <w:rPr>
          <w:rFonts w:hint="eastAsia" w:asciiTheme="minorEastAsia" w:hAnsiTheme="minorEastAsia" w:eastAsiaTheme="minorEastAsia"/>
        </w:rPr>
        <w:t>根据招标文件及评标办法提供，格式自拟，但文件须加盖投标人（联合体则为牵头方）单位公章。</w:t>
      </w:r>
    </w:p>
    <w:p>
      <w:pPr>
        <w:jc w:val="center"/>
        <w:rPr>
          <w:rFonts w:asciiTheme="minorEastAsia" w:hAnsiTheme="minorEastAsia" w:eastAsiaTheme="minorEastAsia"/>
          <w:b/>
        </w:rPr>
      </w:pPr>
    </w:p>
    <w:p>
      <w:pPr>
        <w:jc w:val="center"/>
        <w:rPr>
          <w:rFonts w:asciiTheme="minorEastAsia" w:hAnsiTheme="minorEastAsia" w:eastAsiaTheme="minorEastAsia"/>
          <w:b/>
        </w:rPr>
      </w:pPr>
    </w:p>
    <w:p>
      <w:pPr>
        <w:jc w:val="center"/>
        <w:rPr>
          <w:rFonts w:asciiTheme="minorEastAsia" w:hAnsiTheme="minorEastAsia" w:eastAsiaTheme="minorEastAsia"/>
          <w:b/>
        </w:rPr>
      </w:pPr>
    </w:p>
    <w:p>
      <w:pPr>
        <w:jc w:val="center"/>
        <w:rPr>
          <w:rFonts w:asciiTheme="minorEastAsia" w:hAnsiTheme="minorEastAsia" w:eastAsiaTheme="minorEastAsia"/>
          <w:b/>
        </w:rPr>
      </w:pPr>
    </w:p>
    <w:p>
      <w:pPr>
        <w:jc w:val="center"/>
        <w:rPr>
          <w:rFonts w:asciiTheme="minorEastAsia" w:hAnsiTheme="minorEastAsia" w:eastAsiaTheme="minorEastAsia"/>
          <w:b/>
        </w:rPr>
      </w:pPr>
    </w:p>
    <w:p>
      <w:pPr>
        <w:jc w:val="center"/>
        <w:rPr>
          <w:rFonts w:asciiTheme="minorEastAsia" w:hAnsiTheme="minorEastAsia" w:eastAsiaTheme="minorEastAsia"/>
          <w:b/>
        </w:rPr>
      </w:pPr>
    </w:p>
    <w:p>
      <w:pPr>
        <w:rPr>
          <w:rFonts w:asciiTheme="minorEastAsia" w:hAnsiTheme="minorEastAsia" w:eastAsiaTheme="minorEastAsia"/>
        </w:rPr>
      </w:pPr>
    </w:p>
    <w:p>
      <w:pPr>
        <w:pStyle w:val="3"/>
        <w:jc w:val="center"/>
        <w:rPr>
          <w:rFonts w:asciiTheme="minorEastAsia" w:hAnsiTheme="minorEastAsia"/>
          <w:sz w:val="30"/>
          <w:szCs w:val="30"/>
        </w:rPr>
      </w:pPr>
      <w:bookmarkStart w:id="237" w:name="_Toc50993413"/>
      <w:r>
        <w:rPr>
          <w:rFonts w:hint="eastAsia" w:asciiTheme="minorEastAsia" w:hAnsiTheme="minorEastAsia"/>
          <w:sz w:val="30"/>
          <w:szCs w:val="30"/>
        </w:rPr>
        <w:t>十、企业财务状况</w:t>
      </w:r>
      <w:bookmarkEnd w:id="237"/>
    </w:p>
    <w:p>
      <w:pP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根据招标文件及评标办法提供，格式自拟，但文件须加盖投标人（联合体则为牵头方）单位公章。</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3"/>
        <w:jc w:val="center"/>
        <w:rPr>
          <w:rFonts w:asciiTheme="minorEastAsia" w:hAnsiTheme="minorEastAsia"/>
          <w:sz w:val="30"/>
          <w:szCs w:val="30"/>
        </w:rPr>
      </w:pPr>
      <w:bookmarkStart w:id="238" w:name="_Toc50993414"/>
      <w:r>
        <w:rPr>
          <w:rFonts w:hint="eastAsia" w:asciiTheme="minorEastAsia" w:hAnsiTheme="minorEastAsia"/>
          <w:sz w:val="30"/>
          <w:szCs w:val="30"/>
        </w:rPr>
        <w:t>十一、投标人认为需要提供的其他资料</w:t>
      </w:r>
      <w:bookmarkEnd w:id="238"/>
    </w:p>
    <w:p>
      <w:pPr>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rPr>
        <w:t>注：其他材料格式自拟，但文件须加盖投标人（联合体则为牵头方）单位公章。</w:t>
      </w:r>
    </w:p>
    <w:p>
      <w:pPr>
        <w:pStyle w:val="28"/>
        <w:spacing w:line="500" w:lineRule="exact"/>
        <w:ind w:firstLine="565" w:firstLineChars="202"/>
        <w:jc w:val="center"/>
        <w:rPr>
          <w:rFonts w:asciiTheme="minorEastAsia" w:hAnsiTheme="minorEastAsia" w:eastAsiaTheme="minorEastAsia"/>
          <w:b/>
          <w:bCs/>
          <w:sz w:val="28"/>
          <w:szCs w:val="28"/>
        </w:rPr>
      </w:pPr>
      <w:r>
        <w:rPr>
          <w:rFonts w:cs="仿宋" w:asciiTheme="minorEastAsia" w:hAnsiTheme="minorEastAsia" w:eastAsiaTheme="minorEastAsia"/>
          <w:sz w:val="28"/>
          <w:szCs w:val="28"/>
        </w:rPr>
        <w:br w:type="page"/>
      </w:r>
    </w:p>
    <w:p>
      <w:pPr>
        <w:pStyle w:val="1116"/>
        <w:spacing w:before="326" w:beforeLines="100"/>
        <w:jc w:val="center"/>
        <w:rPr>
          <w:rFonts w:asciiTheme="minorEastAsia" w:hAnsiTheme="minorEastAsia" w:eastAsiaTheme="minorEastAsia"/>
          <w:sz w:val="52"/>
          <w:szCs w:val="52"/>
        </w:rPr>
      </w:pPr>
    </w:p>
    <w:p>
      <w:pPr>
        <w:pStyle w:val="1116"/>
        <w:spacing w:before="326" w:beforeLines="100"/>
        <w:jc w:val="center"/>
        <w:rPr>
          <w:rFonts w:asciiTheme="minorEastAsia" w:hAnsiTheme="minorEastAsia" w:eastAsiaTheme="minorEastAsia"/>
          <w:b/>
          <w:sz w:val="96"/>
          <w:szCs w:val="52"/>
        </w:rPr>
      </w:pPr>
      <w:r>
        <w:rPr>
          <w:rFonts w:hint="eastAsia" w:asciiTheme="minorEastAsia" w:hAnsiTheme="minorEastAsia" w:eastAsiaTheme="minorEastAsia"/>
          <w:b/>
          <w:sz w:val="96"/>
          <w:szCs w:val="52"/>
        </w:rPr>
        <w:t>投标文件</w:t>
      </w:r>
    </w:p>
    <w:p>
      <w:pPr>
        <w:pStyle w:val="1116"/>
        <w:jc w:val="center"/>
        <w:rPr>
          <w:rFonts w:asciiTheme="minorEastAsia" w:hAnsiTheme="minorEastAsia" w:eastAsiaTheme="minorEastAsia"/>
          <w:sz w:val="32"/>
          <w:szCs w:val="32"/>
        </w:rPr>
      </w:pPr>
    </w:p>
    <w:p>
      <w:pPr>
        <w:pStyle w:val="1116"/>
        <w:jc w:val="center"/>
        <w:rPr>
          <w:rFonts w:asciiTheme="minorEastAsia" w:hAnsiTheme="minorEastAsia" w:eastAsiaTheme="minorEastAsia"/>
          <w:sz w:val="32"/>
          <w:szCs w:val="32"/>
        </w:rPr>
      </w:pPr>
    </w:p>
    <w:p>
      <w:pPr>
        <w:pStyle w:val="1116"/>
        <w:jc w:val="center"/>
        <w:rPr>
          <w:rFonts w:asciiTheme="minorEastAsia" w:hAnsiTheme="minorEastAsia" w:eastAsiaTheme="minorEastAsia"/>
          <w:sz w:val="32"/>
          <w:szCs w:val="32"/>
        </w:rPr>
      </w:pPr>
    </w:p>
    <w:p>
      <w:pPr>
        <w:pStyle w:val="1116"/>
        <w:spacing w:line="360" w:lineRule="auto"/>
        <w:ind w:firstLine="2380" w:firstLineChars="850"/>
        <w:rPr>
          <w:rFonts w:asciiTheme="minorEastAsia" w:hAnsiTheme="minorEastAsia" w:eastAsiaTheme="minorEastAsia"/>
          <w:sz w:val="28"/>
          <w:szCs w:val="28"/>
        </w:rPr>
      </w:pPr>
      <w:r>
        <w:rPr>
          <w:rFonts w:hint="eastAsia" w:asciiTheme="minorEastAsia" w:hAnsiTheme="minorEastAsia" w:eastAsiaTheme="minorEastAsia"/>
          <w:sz w:val="28"/>
          <w:szCs w:val="28"/>
        </w:rPr>
        <w:t>项目名称：</w:t>
      </w:r>
    </w:p>
    <w:p>
      <w:pPr>
        <w:pStyle w:val="1116"/>
        <w:spacing w:line="360" w:lineRule="auto"/>
        <w:ind w:firstLine="2380" w:firstLineChars="850"/>
        <w:rPr>
          <w:rFonts w:asciiTheme="minorEastAsia" w:hAnsiTheme="minorEastAsia" w:eastAsiaTheme="minorEastAsia"/>
          <w:sz w:val="28"/>
          <w:szCs w:val="28"/>
        </w:rPr>
      </w:pPr>
      <w:r>
        <w:rPr>
          <w:rFonts w:hint="eastAsia" w:asciiTheme="minorEastAsia" w:hAnsiTheme="minorEastAsia" w:eastAsiaTheme="minorEastAsia"/>
          <w:sz w:val="28"/>
          <w:szCs w:val="28"/>
        </w:rPr>
        <w:t>项目编号：</w:t>
      </w:r>
    </w:p>
    <w:p>
      <w:pPr>
        <w:pStyle w:val="1116"/>
        <w:spacing w:line="360" w:lineRule="auto"/>
        <w:ind w:firstLine="2380" w:firstLineChars="850"/>
        <w:rPr>
          <w:rFonts w:asciiTheme="minorEastAsia" w:hAnsiTheme="minorEastAsia" w:eastAsiaTheme="minorEastAsia"/>
          <w:sz w:val="28"/>
          <w:szCs w:val="28"/>
          <w:u w:val="single"/>
        </w:rPr>
      </w:pPr>
    </w:p>
    <w:p>
      <w:pPr>
        <w:pStyle w:val="1116"/>
        <w:jc w:val="center"/>
        <w:rPr>
          <w:rFonts w:asciiTheme="minorEastAsia" w:hAnsiTheme="minorEastAsia" w:eastAsiaTheme="minorEastAsia"/>
          <w:sz w:val="32"/>
          <w:szCs w:val="32"/>
        </w:rPr>
      </w:pPr>
    </w:p>
    <w:p>
      <w:pPr>
        <w:pStyle w:val="1116"/>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（正本</w:t>
      </w:r>
      <w:r>
        <w:rPr>
          <w:rFonts w:asciiTheme="minorEastAsia" w:hAnsiTheme="minorEastAsia" w:eastAsiaTheme="minorEastAsia"/>
          <w:sz w:val="32"/>
          <w:szCs w:val="32"/>
        </w:rPr>
        <w:t>/</w:t>
      </w:r>
      <w:r>
        <w:rPr>
          <w:rFonts w:hint="eastAsia" w:asciiTheme="minorEastAsia" w:hAnsiTheme="minorEastAsia" w:eastAsiaTheme="minorEastAsia"/>
          <w:sz w:val="32"/>
          <w:szCs w:val="32"/>
        </w:rPr>
        <w:t>副本）</w:t>
      </w:r>
    </w:p>
    <w:p>
      <w:pPr>
        <w:pStyle w:val="1116"/>
        <w:spacing w:line="360" w:lineRule="auto"/>
        <w:ind w:firstLine="1260" w:firstLineChars="450"/>
        <w:rPr>
          <w:rFonts w:asciiTheme="minorEastAsia" w:hAnsiTheme="minorEastAsia" w:eastAsiaTheme="minorEastAsia"/>
          <w:sz w:val="28"/>
          <w:szCs w:val="28"/>
        </w:rPr>
      </w:pPr>
    </w:p>
    <w:p>
      <w:pPr>
        <w:pStyle w:val="1116"/>
        <w:spacing w:line="360" w:lineRule="auto"/>
        <w:ind w:firstLine="1260" w:firstLineChars="450"/>
        <w:rPr>
          <w:rFonts w:asciiTheme="minorEastAsia" w:hAnsiTheme="minorEastAsia" w:eastAsiaTheme="minorEastAsia"/>
          <w:sz w:val="28"/>
          <w:szCs w:val="28"/>
        </w:rPr>
      </w:pPr>
    </w:p>
    <w:p>
      <w:pPr>
        <w:pStyle w:val="1116"/>
        <w:spacing w:line="360" w:lineRule="auto"/>
        <w:ind w:firstLine="1260" w:firstLineChars="450"/>
        <w:rPr>
          <w:rFonts w:asciiTheme="minorEastAsia" w:hAnsiTheme="minorEastAsia" w:eastAsiaTheme="minorEastAsia"/>
          <w:sz w:val="28"/>
          <w:szCs w:val="28"/>
        </w:rPr>
      </w:pPr>
    </w:p>
    <w:p>
      <w:pPr>
        <w:pStyle w:val="1116"/>
        <w:spacing w:line="360" w:lineRule="auto"/>
        <w:ind w:firstLine="1120" w:firstLineChars="4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投标内容：</w:t>
      </w:r>
      <w:r>
        <w:rPr>
          <w:rFonts w:hint="eastAsia" w:asciiTheme="minorEastAsia" w:hAnsiTheme="minorEastAsia" w:eastAsiaTheme="minorEastAsia"/>
          <w:sz w:val="28"/>
          <w:szCs w:val="28"/>
          <w:u w:val="single"/>
        </w:rPr>
        <w:t>技术标文件</w:t>
      </w:r>
    </w:p>
    <w:p>
      <w:pPr>
        <w:pStyle w:val="1116"/>
        <w:spacing w:line="360" w:lineRule="auto"/>
        <w:ind w:firstLine="1120" w:firstLineChars="400"/>
        <w:rPr>
          <w:rFonts w:asciiTheme="minorEastAsia" w:hAnsiTheme="minorEastAsia" w:eastAsiaTheme="minorEastAsia"/>
          <w:sz w:val="28"/>
          <w:szCs w:val="28"/>
        </w:rPr>
      </w:pPr>
      <w:r>
        <w:rPr>
          <w:rFonts w:hint="eastAsia" w:asciiTheme="minorEastAsia" w:hAnsiTheme="minorEastAsia" w:eastAsiaTheme="minorEastAsia"/>
          <w:sz w:val="28"/>
          <w:szCs w:val="28"/>
        </w:rPr>
        <w:t>投标人：（盖单位公章）</w:t>
      </w:r>
    </w:p>
    <w:p>
      <w:pPr>
        <w:pStyle w:val="1116"/>
        <w:spacing w:line="360" w:lineRule="auto"/>
        <w:ind w:firstLine="1120" w:firstLineChars="400"/>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法定代表人或其委托代理人：（签字或盖章）</w:t>
      </w:r>
    </w:p>
    <w:p>
      <w:pPr>
        <w:pStyle w:val="1116"/>
        <w:ind w:firstLine="1120" w:firstLineChars="400"/>
        <w:rPr>
          <w:rFonts w:asciiTheme="minorEastAsia" w:hAnsiTheme="minorEastAsia" w:eastAsiaTheme="minorEastAsia"/>
          <w:sz w:val="28"/>
          <w:szCs w:val="28"/>
        </w:rPr>
      </w:pPr>
      <w:r>
        <w:rPr>
          <w:rFonts w:hint="eastAsia" w:asciiTheme="minorEastAsia" w:hAnsiTheme="minorEastAsia" w:eastAsiaTheme="minorEastAsia"/>
          <w:sz w:val="28"/>
          <w:szCs w:val="28"/>
        </w:rPr>
        <w:t>年  月  日</w:t>
      </w:r>
    </w:p>
    <w:p>
      <w:pPr>
        <w:pStyle w:val="3"/>
        <w:jc w:val="center"/>
        <w:rPr>
          <w:rFonts w:asciiTheme="minorEastAsia" w:hAnsiTheme="minorEastAsia"/>
          <w:sz w:val="28"/>
          <w:szCs w:val="28"/>
        </w:rPr>
      </w:pPr>
      <w:r>
        <w:rPr>
          <w:rFonts w:asciiTheme="minorEastAsia" w:hAnsiTheme="minorEastAsia"/>
          <w:sz w:val="28"/>
          <w:szCs w:val="28"/>
        </w:rPr>
        <w:br w:type="page"/>
      </w:r>
      <w:bookmarkStart w:id="239" w:name="_Toc50993415"/>
      <w:r>
        <w:rPr>
          <w:rFonts w:hint="eastAsia" w:asciiTheme="minorEastAsia" w:hAnsiTheme="minorEastAsia"/>
          <w:sz w:val="28"/>
          <w:szCs w:val="28"/>
        </w:rPr>
        <w:t>一、建设方案</w:t>
      </w:r>
      <w:bookmarkEnd w:id="239"/>
    </w:p>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根据招标文件及评标办法编制，格式自拟，但文件须加盖投标人（联合体则为牵头方）单位公章。</w:t>
      </w:r>
    </w:p>
    <w:p>
      <w:pPr>
        <w:jc w:val="center"/>
        <w:rPr>
          <w:rFonts w:cs="仿宋" w:asciiTheme="minorEastAsia" w:hAnsiTheme="minorEastAsia" w:eastAsiaTheme="minorEastAsia"/>
          <w:sz w:val="24"/>
        </w:rPr>
      </w:pPr>
    </w:p>
    <w:p>
      <w:pPr>
        <w:jc w:val="center"/>
        <w:rPr>
          <w:rFonts w:cs="仿宋" w:asciiTheme="minorEastAsia" w:hAnsiTheme="minorEastAsia" w:eastAsiaTheme="minorEastAsia"/>
          <w:sz w:val="24"/>
        </w:rPr>
      </w:pPr>
    </w:p>
    <w:p>
      <w:pPr>
        <w:pStyle w:val="3"/>
        <w:jc w:val="center"/>
        <w:rPr>
          <w:rFonts w:asciiTheme="minorEastAsia" w:hAnsiTheme="minorEastAsia"/>
          <w:sz w:val="28"/>
          <w:szCs w:val="28"/>
        </w:rPr>
      </w:pPr>
      <w:bookmarkStart w:id="240" w:name="_Toc50993416"/>
      <w:r>
        <w:rPr>
          <w:rFonts w:hint="eastAsia" w:asciiTheme="minorEastAsia" w:hAnsiTheme="minorEastAsia"/>
          <w:sz w:val="28"/>
          <w:szCs w:val="28"/>
        </w:rPr>
        <w:t>二、投融资方案</w:t>
      </w:r>
      <w:bookmarkEnd w:id="240"/>
    </w:p>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根据招标文件及评标办法编制，格式自拟，但文件须加盖投标人（联合体则为牵头方）单位公章。</w:t>
      </w:r>
    </w:p>
    <w:p>
      <w:pPr>
        <w:jc w:val="center"/>
        <w:rPr>
          <w:rFonts w:cs="仿宋" w:asciiTheme="minorEastAsia" w:hAnsiTheme="minorEastAsia" w:eastAsiaTheme="minorEastAsia"/>
          <w:sz w:val="24"/>
        </w:rPr>
      </w:pPr>
    </w:p>
    <w:p>
      <w:pPr>
        <w:jc w:val="center"/>
        <w:rPr>
          <w:rFonts w:cs="仿宋" w:asciiTheme="minorEastAsia" w:hAnsiTheme="minorEastAsia" w:eastAsiaTheme="minorEastAsia"/>
          <w:sz w:val="24"/>
        </w:rPr>
      </w:pPr>
    </w:p>
    <w:p>
      <w:pPr>
        <w:pStyle w:val="3"/>
        <w:jc w:val="center"/>
        <w:rPr>
          <w:rFonts w:asciiTheme="minorEastAsia" w:hAnsiTheme="minorEastAsia"/>
          <w:sz w:val="28"/>
          <w:szCs w:val="28"/>
        </w:rPr>
      </w:pPr>
      <w:bookmarkStart w:id="241" w:name="_Toc50993417"/>
      <w:r>
        <w:rPr>
          <w:rFonts w:hint="eastAsia" w:asciiTheme="minorEastAsia" w:hAnsiTheme="minorEastAsia"/>
          <w:sz w:val="28"/>
          <w:szCs w:val="28"/>
        </w:rPr>
        <w:t>三、运营维护方案</w:t>
      </w:r>
      <w:bookmarkEnd w:id="241"/>
    </w:p>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根据招标文件及评标办法编制，格式自拟，但文件须加盖投标人（联合体则为牵头方）单位公章。</w:t>
      </w:r>
    </w:p>
    <w:p>
      <w:pPr>
        <w:jc w:val="center"/>
        <w:rPr>
          <w:rFonts w:cs="仿宋" w:asciiTheme="minorEastAsia" w:hAnsiTheme="minorEastAsia" w:eastAsiaTheme="minorEastAsia"/>
          <w:sz w:val="24"/>
        </w:rPr>
      </w:pPr>
    </w:p>
    <w:p>
      <w:pPr>
        <w:jc w:val="center"/>
        <w:rPr>
          <w:rFonts w:cs="仿宋" w:asciiTheme="minorEastAsia" w:hAnsiTheme="minorEastAsia" w:eastAsiaTheme="minorEastAsia"/>
          <w:sz w:val="24"/>
        </w:rPr>
      </w:pPr>
    </w:p>
    <w:p>
      <w:pPr>
        <w:pStyle w:val="3"/>
        <w:jc w:val="center"/>
        <w:rPr>
          <w:rFonts w:asciiTheme="minorEastAsia" w:hAnsiTheme="minorEastAsia"/>
          <w:sz w:val="28"/>
          <w:szCs w:val="28"/>
        </w:rPr>
      </w:pPr>
      <w:bookmarkStart w:id="242" w:name="_Toc50993418"/>
      <w:r>
        <w:rPr>
          <w:rFonts w:hint="eastAsia" w:asciiTheme="minorEastAsia" w:hAnsiTheme="minorEastAsia"/>
          <w:sz w:val="28"/>
          <w:szCs w:val="28"/>
        </w:rPr>
        <w:t>四、移交方案</w:t>
      </w:r>
      <w:bookmarkEnd w:id="242"/>
    </w:p>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根据招标文件及评标办法编制，格式自拟，但文件须加盖投标人（联合体则为牵头方）单位公章。</w:t>
      </w:r>
    </w:p>
    <w:p>
      <w:pPr>
        <w:jc w:val="center"/>
        <w:rPr>
          <w:rFonts w:cs="仿宋" w:asciiTheme="minorEastAsia" w:hAnsiTheme="minorEastAsia" w:eastAsiaTheme="minorEastAsia"/>
          <w:sz w:val="24"/>
        </w:rPr>
      </w:pPr>
    </w:p>
    <w:p>
      <w:pPr>
        <w:widowControl/>
        <w:jc w:val="left"/>
        <w:rPr>
          <w:rFonts w:cs="仿宋" w:asciiTheme="minorEastAsia" w:hAnsiTheme="minorEastAsia" w:eastAsiaTheme="minorEastAsia"/>
          <w:sz w:val="24"/>
        </w:rPr>
      </w:pPr>
      <w:r>
        <w:rPr>
          <w:rFonts w:cs="仿宋" w:asciiTheme="minorEastAsia" w:hAnsiTheme="minorEastAsia" w:eastAsiaTheme="minorEastAsia"/>
          <w:sz w:val="24"/>
        </w:rPr>
        <w:br w:type="page"/>
      </w:r>
    </w:p>
    <w:p>
      <w:pPr>
        <w:jc w:val="center"/>
        <w:rPr>
          <w:rFonts w:cs="仿宋" w:asciiTheme="minorEastAsia" w:hAnsiTheme="minorEastAsia" w:eastAsiaTheme="minorEastAsia"/>
          <w:b/>
          <w:sz w:val="28"/>
        </w:rPr>
      </w:pPr>
      <w:r>
        <w:rPr>
          <w:rFonts w:hint="eastAsia" w:cs="仿宋" w:asciiTheme="minorEastAsia" w:hAnsiTheme="minorEastAsia" w:eastAsiaTheme="minorEastAsia"/>
          <w:b/>
          <w:sz w:val="28"/>
        </w:rPr>
        <w:t>五、工程质量、安全承诺书</w:t>
      </w:r>
    </w:p>
    <w:p>
      <w:pPr>
        <w:spacing w:line="440" w:lineRule="exact"/>
        <w:ind w:firstLine="480" w:firstLineChars="200"/>
        <w:rPr>
          <w:rFonts w:asciiTheme="minorEastAsia" w:hAnsiTheme="minorEastAsia"/>
          <w:sz w:val="24"/>
        </w:rPr>
      </w:pPr>
      <w:r>
        <w:rPr>
          <w:rFonts w:hint="eastAsia" w:asciiTheme="minorEastAsia" w:hAnsiTheme="minorEastAsia"/>
          <w:sz w:val="24"/>
        </w:rPr>
        <w:t>一、质量保证</w:t>
      </w:r>
    </w:p>
    <w:p>
      <w:pPr>
        <w:spacing w:line="440" w:lineRule="exact"/>
        <w:ind w:firstLine="480" w:firstLineChars="200"/>
        <w:rPr>
          <w:rFonts w:asciiTheme="minorEastAsia" w:hAnsiTheme="minorEastAsia"/>
          <w:sz w:val="24"/>
        </w:rPr>
      </w:pPr>
      <w:r>
        <w:rPr>
          <w:rFonts w:hint="eastAsia" w:asciiTheme="minorEastAsia" w:hAnsiTheme="minorEastAsia"/>
          <w:sz w:val="24"/>
        </w:rPr>
        <w:t>1、施工质量：为了保证施工质量，认真执行建设工程施工质量规范、标准（包括强制性标准）的相关规定，施工前向施工人员进行技术交底，直到每个工人熟悉操作工艺，施工中要求严格按操作工艺施工，对施工质量严格按“三检制”（自检、交接检、专业检）进行检查，每道工序不检查或检查不符合质量要求的，决不进行下道工序施工，并建立建全质量管理体系和质量保证体系，确保工程质量。</w:t>
      </w:r>
    </w:p>
    <w:p>
      <w:pPr>
        <w:spacing w:line="440" w:lineRule="exact"/>
        <w:ind w:firstLine="480" w:firstLineChars="200"/>
        <w:rPr>
          <w:rFonts w:asciiTheme="minorEastAsia" w:hAnsiTheme="minorEastAsia"/>
          <w:sz w:val="24"/>
        </w:rPr>
      </w:pPr>
      <w:r>
        <w:rPr>
          <w:rFonts w:hint="eastAsia" w:asciiTheme="minorEastAsia" w:hAnsiTheme="minorEastAsia"/>
          <w:sz w:val="24"/>
        </w:rPr>
        <w:t>2 材料：严格控制进场材料质量，履行材料报验程序，使用材料具有合格证和复检报告。</w:t>
      </w:r>
    </w:p>
    <w:p>
      <w:pPr>
        <w:spacing w:line="440" w:lineRule="exact"/>
        <w:ind w:firstLine="480" w:firstLineChars="200"/>
        <w:rPr>
          <w:rFonts w:asciiTheme="minorEastAsia" w:hAnsiTheme="minorEastAsia"/>
          <w:sz w:val="24"/>
        </w:rPr>
      </w:pPr>
      <w:r>
        <w:rPr>
          <w:rFonts w:hint="eastAsia" w:asciiTheme="minorEastAsia" w:hAnsiTheme="minorEastAsia"/>
          <w:sz w:val="24"/>
        </w:rPr>
        <w:t>二、工期保证</w:t>
      </w:r>
    </w:p>
    <w:p>
      <w:pPr>
        <w:spacing w:line="440" w:lineRule="exact"/>
        <w:ind w:firstLine="480" w:firstLineChars="200"/>
        <w:rPr>
          <w:rFonts w:asciiTheme="minorEastAsia" w:hAnsiTheme="minorEastAsia"/>
          <w:sz w:val="24"/>
        </w:rPr>
      </w:pPr>
      <w:r>
        <w:rPr>
          <w:rFonts w:hint="eastAsia" w:asciiTheme="minorEastAsia" w:hAnsiTheme="minorEastAsia"/>
          <w:sz w:val="24"/>
        </w:rPr>
        <w:t>1、组织合理措施：①由项目部统一调度管理。②及时落实材料、机具、劳力的进场和调度、管理。做好工序安排，提前做好工作面的准备工作。</w:t>
      </w:r>
    </w:p>
    <w:p>
      <w:pPr>
        <w:spacing w:line="440" w:lineRule="exact"/>
        <w:ind w:firstLine="480" w:firstLineChars="200"/>
        <w:rPr>
          <w:rFonts w:asciiTheme="minorEastAsia" w:hAnsiTheme="minorEastAsia"/>
          <w:sz w:val="24"/>
        </w:rPr>
      </w:pPr>
      <w:r>
        <w:rPr>
          <w:rFonts w:hint="eastAsia" w:asciiTheme="minorEastAsia" w:hAnsiTheme="minorEastAsia"/>
          <w:sz w:val="24"/>
        </w:rPr>
        <w:t>2、实施进度管理：①每周安排计划，下达班组和个人的定额和完成的工程量指标，明确责任。②每天班组对进度和质量实行自检，提出完成计划的具体措施。每周召开协调会，做好协调工序及施工进度工作，及时解决延误施工工期的因素。</w:t>
      </w:r>
    </w:p>
    <w:p>
      <w:pPr>
        <w:spacing w:line="440" w:lineRule="exact"/>
        <w:ind w:firstLine="480" w:firstLineChars="200"/>
        <w:rPr>
          <w:rFonts w:asciiTheme="minorEastAsia" w:hAnsiTheme="minorEastAsia"/>
          <w:sz w:val="24"/>
        </w:rPr>
      </w:pPr>
      <w:r>
        <w:rPr>
          <w:rFonts w:hint="eastAsia" w:asciiTheme="minorEastAsia" w:hAnsiTheme="minorEastAsia"/>
          <w:sz w:val="24"/>
        </w:rPr>
        <w:t>3、工期承诺：保证按合同工期按时完成。</w:t>
      </w:r>
    </w:p>
    <w:p>
      <w:pPr>
        <w:spacing w:line="440" w:lineRule="exact"/>
        <w:ind w:firstLine="480" w:firstLineChars="200"/>
        <w:rPr>
          <w:rFonts w:asciiTheme="minorEastAsia" w:hAnsiTheme="minorEastAsia"/>
          <w:sz w:val="24"/>
        </w:rPr>
      </w:pPr>
      <w:r>
        <w:rPr>
          <w:rFonts w:hint="eastAsia" w:asciiTheme="minorEastAsia" w:hAnsiTheme="minorEastAsia"/>
          <w:sz w:val="24"/>
        </w:rPr>
        <w:t>三、安全、文明施工</w:t>
      </w:r>
    </w:p>
    <w:p>
      <w:pPr>
        <w:spacing w:line="440" w:lineRule="exact"/>
        <w:ind w:firstLine="480" w:firstLineChars="200"/>
        <w:rPr>
          <w:rFonts w:asciiTheme="minorEastAsia" w:hAnsiTheme="minorEastAsia"/>
          <w:sz w:val="24"/>
        </w:rPr>
      </w:pPr>
      <w:r>
        <w:rPr>
          <w:rFonts w:hint="eastAsia" w:asciiTheme="minorEastAsia" w:hAnsiTheme="minorEastAsia"/>
          <w:sz w:val="24"/>
        </w:rPr>
        <w:t>施工队为安全直接负责人，并派专职安全员一名。除了遵守安全操作规程要求外，还应注意以下几点：</w:t>
      </w:r>
    </w:p>
    <w:p>
      <w:pPr>
        <w:spacing w:line="440" w:lineRule="exact"/>
        <w:ind w:firstLine="480" w:firstLineChars="200"/>
        <w:rPr>
          <w:rFonts w:asciiTheme="minorEastAsia" w:hAnsiTheme="minorEastAsia"/>
          <w:sz w:val="24"/>
        </w:rPr>
      </w:pPr>
      <w:r>
        <w:rPr>
          <w:rFonts w:hint="eastAsia" w:asciiTheme="minorEastAsia" w:hAnsiTheme="minorEastAsia"/>
          <w:sz w:val="24"/>
        </w:rPr>
        <w:t>（一）施工用电安全</w:t>
      </w:r>
    </w:p>
    <w:p>
      <w:pPr>
        <w:spacing w:line="440" w:lineRule="exact"/>
        <w:ind w:firstLine="480" w:firstLineChars="200"/>
        <w:rPr>
          <w:rFonts w:asciiTheme="minorEastAsia" w:hAnsiTheme="minorEastAsia"/>
          <w:sz w:val="24"/>
        </w:rPr>
      </w:pPr>
      <w:r>
        <w:rPr>
          <w:rFonts w:hint="eastAsia" w:asciiTheme="minorEastAsia" w:hAnsiTheme="minorEastAsia"/>
          <w:sz w:val="24"/>
        </w:rPr>
        <w:t>（二）安全措施</w:t>
      </w:r>
    </w:p>
    <w:p>
      <w:pPr>
        <w:spacing w:line="440" w:lineRule="exact"/>
        <w:ind w:firstLine="480" w:firstLineChars="200"/>
        <w:rPr>
          <w:rFonts w:asciiTheme="minorEastAsia" w:hAnsiTheme="minorEastAsia"/>
          <w:sz w:val="24"/>
        </w:rPr>
      </w:pPr>
      <w:r>
        <w:rPr>
          <w:rFonts w:hint="eastAsia" w:asciiTheme="minorEastAsia" w:hAnsiTheme="minorEastAsia"/>
          <w:sz w:val="24"/>
        </w:rPr>
        <w:t>1、贯彻执行“安全第一，预防为主”的方针，在整个施工过程中，必须认真遵守建筑安全工作规范和安全管理制度，努力做好安全生产、文明施工，杜绝恶性事故发生。</w:t>
      </w:r>
    </w:p>
    <w:p>
      <w:pPr>
        <w:spacing w:line="440" w:lineRule="exact"/>
        <w:ind w:firstLine="480" w:firstLineChars="200"/>
        <w:rPr>
          <w:rFonts w:asciiTheme="minorEastAsia" w:hAnsiTheme="minorEastAsia"/>
          <w:sz w:val="24"/>
        </w:rPr>
      </w:pPr>
      <w:r>
        <w:rPr>
          <w:rFonts w:hint="eastAsia" w:asciiTheme="minorEastAsia" w:hAnsiTheme="minorEastAsia"/>
          <w:sz w:val="24"/>
        </w:rPr>
        <w:t>2、执行安全规范。</w:t>
      </w:r>
    </w:p>
    <w:p>
      <w:pPr>
        <w:spacing w:line="440" w:lineRule="exact"/>
        <w:ind w:firstLine="480" w:firstLineChars="200"/>
        <w:rPr>
          <w:rFonts w:asciiTheme="minorEastAsia" w:hAnsiTheme="minorEastAsia"/>
          <w:sz w:val="24"/>
        </w:rPr>
      </w:pPr>
      <w:r>
        <w:rPr>
          <w:rFonts w:hint="eastAsia" w:asciiTheme="minorEastAsia" w:hAnsiTheme="minorEastAsia"/>
          <w:sz w:val="24"/>
        </w:rPr>
        <w:t>3、依法与工程施工人员签订劳动合同，按时支付工人工资，绝不拖欠农民工工资。</w:t>
      </w:r>
    </w:p>
    <w:p>
      <w:pPr>
        <w:spacing w:line="440" w:lineRule="exact"/>
        <w:ind w:firstLine="480" w:firstLineChars="200"/>
        <w:rPr>
          <w:rFonts w:asciiTheme="minorEastAsia" w:hAnsiTheme="minorEastAsia"/>
          <w:sz w:val="24"/>
        </w:rPr>
      </w:pPr>
      <w:r>
        <w:rPr>
          <w:rFonts w:hint="eastAsia" w:asciiTheme="minorEastAsia" w:hAnsiTheme="minorEastAsia"/>
          <w:sz w:val="24"/>
        </w:rPr>
        <w:t>4、自觉接受使用单位及其管理部门对建设工程质量、安全等的监督检查，及时整改检查中提出的问题。</w:t>
      </w:r>
    </w:p>
    <w:p>
      <w:pPr>
        <w:spacing w:line="440" w:lineRule="exact"/>
        <w:ind w:firstLine="480" w:firstLineChars="200"/>
        <w:rPr>
          <w:rFonts w:asciiTheme="minorEastAsia" w:hAnsiTheme="minorEastAsia"/>
          <w:sz w:val="24"/>
        </w:rPr>
      </w:pPr>
      <w:r>
        <w:rPr>
          <w:rFonts w:hint="eastAsia" w:asciiTheme="minorEastAsia" w:hAnsiTheme="minorEastAsia"/>
          <w:sz w:val="24"/>
        </w:rPr>
        <w:t>四、治安管理</w:t>
      </w:r>
    </w:p>
    <w:p>
      <w:pPr>
        <w:spacing w:line="440" w:lineRule="exact"/>
        <w:ind w:firstLine="480" w:firstLineChars="200"/>
        <w:rPr>
          <w:rFonts w:asciiTheme="minorEastAsia" w:hAnsiTheme="minorEastAsia"/>
          <w:sz w:val="24"/>
        </w:rPr>
      </w:pPr>
      <w:r>
        <w:rPr>
          <w:rFonts w:hint="eastAsia" w:asciiTheme="minorEastAsia" w:hAnsiTheme="minorEastAsia"/>
          <w:sz w:val="24"/>
        </w:rPr>
        <w:t>1、每周召开一次治安教育会，派专人负责治安管理工作，各项治安管理措施落实到各班组。</w:t>
      </w:r>
    </w:p>
    <w:p>
      <w:pPr>
        <w:spacing w:line="440" w:lineRule="exact"/>
        <w:ind w:firstLine="480" w:firstLineChars="200"/>
        <w:rPr>
          <w:rFonts w:asciiTheme="minorEastAsia" w:hAnsiTheme="minorEastAsia"/>
          <w:sz w:val="24"/>
        </w:rPr>
      </w:pPr>
      <w:r>
        <w:rPr>
          <w:rFonts w:hint="eastAsia" w:asciiTheme="minorEastAsia" w:hAnsiTheme="minorEastAsia"/>
          <w:sz w:val="24"/>
        </w:rPr>
        <w:t>2、不准各施工班组人员发生打架事件，严禁各施工人员超出规定的活动范围，影响工地管理人员的生活。</w:t>
      </w:r>
    </w:p>
    <w:p>
      <w:pPr>
        <w:spacing w:line="440" w:lineRule="exact"/>
        <w:ind w:firstLine="480" w:firstLineChars="200"/>
        <w:rPr>
          <w:rFonts w:asciiTheme="minorEastAsia" w:hAnsiTheme="minorEastAsia"/>
          <w:sz w:val="24"/>
        </w:rPr>
      </w:pPr>
      <w:r>
        <w:rPr>
          <w:rFonts w:hint="eastAsia" w:asciiTheme="minorEastAsia" w:hAnsiTheme="minorEastAsia"/>
          <w:sz w:val="24"/>
        </w:rPr>
        <w:t>3、不遵守工地各项治安管理规定者，一律给予开除处理。</w:t>
      </w:r>
    </w:p>
    <w:p>
      <w:pPr>
        <w:spacing w:line="440" w:lineRule="exact"/>
        <w:ind w:firstLine="480" w:firstLineChars="200"/>
        <w:rPr>
          <w:rFonts w:asciiTheme="minorEastAsia" w:hAnsiTheme="minorEastAsia"/>
          <w:sz w:val="24"/>
        </w:rPr>
      </w:pPr>
      <w:r>
        <w:rPr>
          <w:rFonts w:hint="eastAsia" w:asciiTheme="minorEastAsia" w:hAnsiTheme="minorEastAsia"/>
          <w:sz w:val="24"/>
        </w:rPr>
        <w:t>五、环境卫生</w:t>
      </w:r>
    </w:p>
    <w:p>
      <w:pPr>
        <w:spacing w:line="440" w:lineRule="exact"/>
        <w:ind w:firstLine="480" w:firstLineChars="200"/>
        <w:rPr>
          <w:rFonts w:asciiTheme="minorEastAsia" w:hAnsiTheme="minorEastAsia"/>
          <w:sz w:val="24"/>
        </w:rPr>
      </w:pPr>
      <w:r>
        <w:rPr>
          <w:rFonts w:hint="eastAsia" w:asciiTheme="minorEastAsia" w:hAnsiTheme="minorEastAsia"/>
          <w:sz w:val="24"/>
        </w:rPr>
        <w:t>1、工地每天及时整理生活垃圾，一定要保持生活居所整洁；</w:t>
      </w:r>
    </w:p>
    <w:p>
      <w:pPr>
        <w:spacing w:line="440" w:lineRule="exact"/>
        <w:ind w:firstLine="480" w:firstLineChars="200"/>
        <w:rPr>
          <w:rFonts w:asciiTheme="minorEastAsia" w:hAnsiTheme="minorEastAsia"/>
          <w:sz w:val="24"/>
        </w:rPr>
      </w:pPr>
      <w:r>
        <w:rPr>
          <w:rFonts w:hint="eastAsia" w:asciiTheme="minorEastAsia" w:hAnsiTheme="minorEastAsia"/>
          <w:sz w:val="24"/>
        </w:rPr>
        <w:t>2、工地废弃物必须每天清理，防止污染；</w:t>
      </w:r>
    </w:p>
    <w:p>
      <w:pPr>
        <w:spacing w:line="440" w:lineRule="exact"/>
        <w:ind w:firstLine="480" w:firstLineChars="200"/>
        <w:rPr>
          <w:rFonts w:asciiTheme="minorEastAsia" w:hAnsiTheme="minorEastAsia"/>
          <w:sz w:val="24"/>
        </w:rPr>
      </w:pPr>
      <w:r>
        <w:rPr>
          <w:rFonts w:hint="eastAsia" w:asciiTheme="minorEastAsia" w:hAnsiTheme="minorEastAsia"/>
          <w:sz w:val="24"/>
        </w:rPr>
        <w:t>3、所有垃圾必须弃放指定地方，不得擅自乱放乱弃。</w:t>
      </w:r>
    </w:p>
    <w:p>
      <w:pPr>
        <w:spacing w:line="440" w:lineRule="exact"/>
        <w:ind w:firstLine="480" w:firstLineChars="200"/>
        <w:rPr>
          <w:rFonts w:asciiTheme="minorEastAsia" w:hAnsiTheme="minorEastAsia"/>
          <w:sz w:val="24"/>
        </w:rPr>
      </w:pPr>
      <w:r>
        <w:rPr>
          <w:rFonts w:hint="eastAsia" w:asciiTheme="minorEastAsia" w:hAnsiTheme="minorEastAsia"/>
          <w:sz w:val="24"/>
        </w:rPr>
        <w:t>4、坚决执行场地清洁的施工行为，确保施工环境的整洁。</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spacing w:line="440" w:lineRule="exact"/>
        <w:ind w:firstLine="4440" w:firstLineChars="1850"/>
        <w:rPr>
          <w:rFonts w:asciiTheme="minorEastAsia" w:hAnsiTheme="minorEastAsia"/>
          <w:sz w:val="24"/>
        </w:rPr>
      </w:pPr>
      <w:r>
        <w:rPr>
          <w:rFonts w:hint="eastAsia" w:asciiTheme="minorEastAsia" w:hAnsiTheme="minorEastAsia"/>
          <w:sz w:val="24"/>
        </w:rPr>
        <w:t>投标人：（盖单位公章）</w:t>
      </w:r>
    </w:p>
    <w:p>
      <w:pPr>
        <w:spacing w:line="440" w:lineRule="exact"/>
        <w:ind w:firstLine="4440" w:firstLineChars="1850"/>
        <w:rPr>
          <w:rFonts w:asciiTheme="minorEastAsia" w:hAnsiTheme="minorEastAsia"/>
          <w:sz w:val="24"/>
        </w:rPr>
      </w:pPr>
      <w:r>
        <w:rPr>
          <w:rFonts w:hint="eastAsia" w:asciiTheme="minorEastAsia" w:hAnsiTheme="minorEastAsia"/>
          <w:sz w:val="24"/>
        </w:rPr>
        <w:t>法定代表人或其委托代理人：（签字或盖章）</w:t>
      </w:r>
    </w:p>
    <w:p>
      <w:pPr>
        <w:spacing w:line="440" w:lineRule="exact"/>
        <w:ind w:firstLine="4440" w:firstLineChars="1850"/>
        <w:rPr>
          <w:rFonts w:cs="仿宋" w:asciiTheme="minorEastAsia" w:hAnsiTheme="minorEastAsia" w:eastAsiaTheme="minorEastAsia"/>
          <w:sz w:val="24"/>
        </w:rPr>
      </w:pPr>
      <w:r>
        <w:rPr>
          <w:rFonts w:hint="eastAsia" w:asciiTheme="minorEastAsia" w:hAnsiTheme="minorEastAsia"/>
          <w:sz w:val="24"/>
        </w:rPr>
        <w:t>年  月  日</w:t>
      </w:r>
    </w:p>
    <w:p>
      <w:pPr>
        <w:widowControl/>
        <w:jc w:val="left"/>
        <w:rPr>
          <w:rFonts w:cs="宋体" w:asciiTheme="minorEastAsia" w:hAnsiTheme="minorEastAsia" w:eastAsiaTheme="minorEastAsia"/>
          <w:b/>
          <w:bCs/>
          <w:sz w:val="44"/>
          <w:szCs w:val="44"/>
        </w:rPr>
      </w:pPr>
      <w:bookmarkStart w:id="243" w:name="_Toc213326424"/>
      <w:bookmarkStart w:id="244" w:name="_Toc429727830"/>
      <w:bookmarkStart w:id="245" w:name="_Toc21237"/>
      <w:bookmarkStart w:id="246" w:name="_Toc2019"/>
    </w:p>
    <w:p>
      <w:pPr>
        <w:widowControl/>
        <w:jc w:val="left"/>
        <w:rPr>
          <w:rFonts w:cs="宋体" w:asciiTheme="minorEastAsia" w:hAnsiTheme="minorEastAsia" w:eastAsiaTheme="minorEastAsia"/>
          <w:b/>
          <w:bCs/>
          <w:sz w:val="44"/>
          <w:szCs w:val="44"/>
        </w:rPr>
      </w:pPr>
      <w:r>
        <w:rPr>
          <w:rFonts w:cs="宋体" w:asciiTheme="minorEastAsia" w:hAnsiTheme="minorEastAsia" w:eastAsiaTheme="minorEastAsia"/>
          <w:sz w:val="44"/>
          <w:szCs w:val="44"/>
        </w:rPr>
        <w:br w:type="page"/>
      </w:r>
    </w:p>
    <w:p>
      <w:pPr>
        <w:pStyle w:val="2"/>
        <w:ind w:left="494" w:right="210"/>
        <w:jc w:val="center"/>
        <w:rPr>
          <w:rFonts w:asciiTheme="minorEastAsia" w:hAnsiTheme="minorEastAsia"/>
          <w:sz w:val="36"/>
        </w:rPr>
      </w:pPr>
      <w:bookmarkStart w:id="247" w:name="_Toc50993419"/>
      <w:r>
        <w:rPr>
          <w:rFonts w:hint="eastAsia" w:asciiTheme="minorEastAsia" w:hAnsiTheme="minorEastAsia"/>
          <w:sz w:val="36"/>
        </w:rPr>
        <w:t>第六章  附件</w:t>
      </w:r>
      <w:bookmarkEnd w:id="243"/>
      <w:bookmarkEnd w:id="244"/>
      <w:bookmarkEnd w:id="247"/>
    </w:p>
    <w:bookmarkEnd w:id="245"/>
    <w:bookmarkEnd w:id="246"/>
    <w:p>
      <w:pPr>
        <w:pStyle w:val="3"/>
        <w:ind w:firstLine="367" w:firstLineChars="174"/>
        <w:rPr>
          <w:rFonts w:asciiTheme="minorEastAsia" w:hAnsiTheme="minorEastAsia"/>
        </w:rPr>
      </w:pPr>
      <w:bookmarkStart w:id="248" w:name="_Toc17682"/>
      <w:bookmarkStart w:id="249" w:name="_Toc531081464"/>
      <w:bookmarkStart w:id="250" w:name="_Toc13718"/>
      <w:bookmarkStart w:id="251" w:name="_Toc501007418"/>
      <w:bookmarkStart w:id="252" w:name="_Toc50993420"/>
      <w:r>
        <w:rPr>
          <w:rFonts w:hint="eastAsia" w:asciiTheme="minorEastAsia" w:hAnsiTheme="minorEastAsia"/>
        </w:rPr>
        <w:t>附件一</w:t>
      </w:r>
      <w:bookmarkEnd w:id="248"/>
      <w:bookmarkEnd w:id="249"/>
      <w:bookmarkEnd w:id="250"/>
      <w:bookmarkEnd w:id="251"/>
      <w:r>
        <w:rPr>
          <w:rFonts w:asciiTheme="minorEastAsia" w:hAnsiTheme="minorEastAsia"/>
        </w:rPr>
        <w:t>PPP</w:t>
      </w:r>
      <w:r>
        <w:rPr>
          <w:rFonts w:hint="eastAsia" w:asciiTheme="minorEastAsia" w:hAnsiTheme="minorEastAsia"/>
        </w:rPr>
        <w:t>项目投资合作协议</w:t>
      </w:r>
      <w:bookmarkEnd w:id="252"/>
    </w:p>
    <w:p>
      <w:pPr>
        <w:spacing w:before="80" w:after="80" w:line="360" w:lineRule="auto"/>
        <w:jc w:val="center"/>
        <w:rPr>
          <w:rFonts w:asciiTheme="minorEastAsia" w:hAnsiTheme="minorEastAsia" w:eastAsiaTheme="minorEastAsia"/>
          <w:b/>
          <w:sz w:val="44"/>
          <w:szCs w:val="28"/>
        </w:rPr>
      </w:pPr>
      <w:r>
        <w:rPr>
          <w:rFonts w:asciiTheme="minorEastAsia" w:hAnsiTheme="minorEastAsia" w:eastAsiaTheme="minorEastAsia"/>
          <w:b/>
          <w:sz w:val="44"/>
          <w:szCs w:val="28"/>
        </w:rPr>
        <w:t>贵港市产业园（粤桂园）给水厂和污水处理厂供排一体化PPP项目</w:t>
      </w:r>
    </w:p>
    <w:p>
      <w:pPr>
        <w:spacing w:before="80" w:after="80" w:line="360" w:lineRule="auto"/>
        <w:jc w:val="center"/>
        <w:rPr>
          <w:rFonts w:asciiTheme="minorEastAsia" w:hAnsiTheme="minorEastAsia" w:eastAsiaTheme="minorEastAsia"/>
          <w:b/>
          <w:sz w:val="44"/>
          <w:szCs w:val="28"/>
        </w:rPr>
      </w:pPr>
    </w:p>
    <w:p>
      <w:pPr>
        <w:spacing w:before="80" w:after="80" w:line="360" w:lineRule="auto"/>
        <w:jc w:val="center"/>
        <w:rPr>
          <w:rFonts w:asciiTheme="minorEastAsia" w:hAnsiTheme="minorEastAsia" w:eastAsiaTheme="minorEastAsia"/>
          <w:b/>
          <w:sz w:val="44"/>
          <w:szCs w:val="28"/>
        </w:rPr>
      </w:pPr>
      <w:r>
        <w:rPr>
          <w:rFonts w:asciiTheme="minorEastAsia" w:hAnsiTheme="minorEastAsia" w:eastAsiaTheme="minorEastAsia"/>
          <w:b/>
          <w:sz w:val="44"/>
          <w:szCs w:val="28"/>
        </w:rPr>
        <w:t>政府和社会资本合作（PPP）项目</w:t>
      </w:r>
    </w:p>
    <w:p>
      <w:pPr>
        <w:spacing w:before="80" w:after="80" w:line="360" w:lineRule="auto"/>
        <w:jc w:val="center"/>
        <w:rPr>
          <w:rFonts w:asciiTheme="minorEastAsia" w:hAnsiTheme="minorEastAsia" w:eastAsiaTheme="minorEastAsia"/>
          <w:b/>
          <w:sz w:val="48"/>
          <w:szCs w:val="28"/>
        </w:rPr>
      </w:pPr>
      <w:r>
        <w:rPr>
          <w:rFonts w:asciiTheme="minorEastAsia" w:hAnsiTheme="minorEastAsia" w:eastAsiaTheme="minorEastAsia"/>
          <w:b/>
          <w:sz w:val="48"/>
          <w:szCs w:val="28"/>
        </w:rPr>
        <w:t>合作协议</w:t>
      </w:r>
    </w:p>
    <w:p>
      <w:pPr>
        <w:spacing w:before="163" w:after="24" w:line="500" w:lineRule="exact"/>
        <w:rPr>
          <w:rFonts w:asciiTheme="minorEastAsia" w:hAnsiTheme="minorEastAsia" w:eastAsiaTheme="minorEastAsia"/>
          <w:sz w:val="28"/>
        </w:rPr>
      </w:pPr>
    </w:p>
    <w:p>
      <w:pPr>
        <w:spacing w:before="80" w:after="80" w:line="360" w:lineRule="auto"/>
        <w:jc w:val="center"/>
        <w:rPr>
          <w:rFonts w:asciiTheme="minorEastAsia" w:hAnsiTheme="minorEastAsia" w:eastAsiaTheme="minorEastAsia"/>
          <w:b/>
          <w:sz w:val="24"/>
          <w:szCs w:val="28"/>
        </w:rPr>
      </w:pPr>
    </w:p>
    <w:p>
      <w:pPr>
        <w:spacing w:before="163" w:after="24" w:line="500" w:lineRule="exact"/>
        <w:ind w:firstLine="1800" w:firstLineChars="600"/>
        <w:rPr>
          <w:rFonts w:asciiTheme="minorEastAsia" w:hAnsiTheme="minorEastAsia" w:eastAsiaTheme="minorEastAsia"/>
          <w:sz w:val="30"/>
        </w:rPr>
      </w:pPr>
    </w:p>
    <w:p>
      <w:pPr>
        <w:spacing w:before="163" w:after="24" w:line="500" w:lineRule="exact"/>
        <w:rPr>
          <w:rFonts w:asciiTheme="minorEastAsia" w:hAnsiTheme="minorEastAsia" w:eastAsiaTheme="minorEastAsia"/>
          <w:sz w:val="30"/>
        </w:rPr>
      </w:pPr>
    </w:p>
    <w:p>
      <w:pPr>
        <w:spacing w:before="163" w:after="24" w:line="500" w:lineRule="exact"/>
        <w:rPr>
          <w:rFonts w:asciiTheme="minorEastAsia" w:hAnsiTheme="minorEastAsia" w:eastAsiaTheme="minorEastAsia"/>
          <w:sz w:val="30"/>
        </w:rPr>
      </w:pPr>
    </w:p>
    <w:p>
      <w:pPr>
        <w:spacing w:before="163" w:after="24" w:line="500" w:lineRule="exact"/>
        <w:rPr>
          <w:rFonts w:asciiTheme="minorEastAsia" w:hAnsiTheme="minorEastAsia" w:eastAsiaTheme="minorEastAsia"/>
          <w:sz w:val="30"/>
        </w:rPr>
      </w:pPr>
    </w:p>
    <w:p>
      <w:pPr>
        <w:adjustRightInd w:val="0"/>
        <w:snapToGrid w:val="0"/>
        <w:spacing w:before="163" w:after="24" w:line="500" w:lineRule="exact"/>
        <w:ind w:left="2099" w:hanging="2099" w:hangingChars="697"/>
        <w:jc w:val="left"/>
        <w:rPr>
          <w:rFonts w:asciiTheme="minorEastAsia" w:hAnsiTheme="minorEastAsia" w:eastAsiaTheme="minorEastAsia"/>
          <w:b/>
          <w:sz w:val="30"/>
        </w:rPr>
      </w:pPr>
      <w:r>
        <w:rPr>
          <w:rFonts w:asciiTheme="minorEastAsia" w:hAnsiTheme="minorEastAsia" w:eastAsiaTheme="minorEastAsia"/>
          <w:b/>
          <w:sz w:val="30"/>
        </w:rPr>
        <w:t>甲方：</w:t>
      </w:r>
      <w:r>
        <w:rPr>
          <w:rFonts w:asciiTheme="minorEastAsia" w:hAnsiTheme="minorEastAsia" w:eastAsiaTheme="minorEastAsia"/>
          <w:b/>
          <w:sz w:val="30"/>
          <w:u w:val="single"/>
        </w:rPr>
        <w:t>贵港市产业园区管理委员会</w:t>
      </w:r>
    </w:p>
    <w:p>
      <w:pPr>
        <w:adjustRightInd w:val="0"/>
        <w:snapToGrid w:val="0"/>
        <w:spacing w:before="163" w:after="24" w:line="500" w:lineRule="exact"/>
        <w:ind w:left="753" w:hanging="753" w:hangingChars="250"/>
        <w:jc w:val="left"/>
        <w:rPr>
          <w:rFonts w:asciiTheme="minorEastAsia" w:hAnsiTheme="minorEastAsia" w:eastAsiaTheme="minorEastAsia"/>
          <w:b/>
          <w:sz w:val="30"/>
        </w:rPr>
      </w:pPr>
      <w:r>
        <w:rPr>
          <w:rFonts w:asciiTheme="minorEastAsia" w:hAnsiTheme="minorEastAsia" w:eastAsiaTheme="minorEastAsia"/>
          <w:b/>
          <w:sz w:val="30"/>
        </w:rPr>
        <w:t>乙方：</w:t>
      </w:r>
      <w:r>
        <w:rPr>
          <w:rFonts w:hint="eastAsia" w:asciiTheme="minorEastAsia" w:hAnsiTheme="minorEastAsia" w:eastAsiaTheme="minorEastAsia"/>
          <w:b/>
          <w:sz w:val="30"/>
          <w:u w:val="single"/>
        </w:rPr>
        <w:t xml:space="preserve">                        </w:t>
      </w:r>
    </w:p>
    <w:p>
      <w:pPr>
        <w:adjustRightInd w:val="0"/>
        <w:snapToGrid w:val="0"/>
        <w:spacing w:before="163" w:line="500" w:lineRule="exact"/>
        <w:ind w:left="2099" w:hanging="2099" w:hangingChars="697"/>
        <w:jc w:val="left"/>
        <w:rPr>
          <w:rFonts w:asciiTheme="minorEastAsia" w:hAnsiTheme="minorEastAsia" w:eastAsiaTheme="minorEastAsia"/>
          <w:b/>
          <w:sz w:val="30"/>
        </w:rPr>
      </w:pPr>
      <w:r>
        <w:rPr>
          <w:rFonts w:asciiTheme="minorEastAsia" w:hAnsiTheme="minorEastAsia" w:eastAsiaTheme="minorEastAsia"/>
          <w:b/>
          <w:sz w:val="30"/>
        </w:rPr>
        <w:t>签订日期：</w:t>
      </w:r>
      <w:r>
        <w:rPr>
          <w:rFonts w:asciiTheme="minorEastAsia" w:hAnsiTheme="minorEastAsia" w:eastAsiaTheme="minorEastAsia"/>
          <w:b/>
        </w:rPr>
        <w:t>_____</w:t>
      </w:r>
      <w:r>
        <w:rPr>
          <w:rFonts w:asciiTheme="minorEastAsia" w:hAnsiTheme="minorEastAsia" w:eastAsiaTheme="minorEastAsia"/>
          <w:b/>
          <w:sz w:val="30"/>
        </w:rPr>
        <w:t>年</w:t>
      </w:r>
      <w:r>
        <w:rPr>
          <w:rFonts w:asciiTheme="minorEastAsia" w:hAnsiTheme="minorEastAsia" w:eastAsiaTheme="minorEastAsia"/>
          <w:b/>
        </w:rPr>
        <w:t>_____</w:t>
      </w:r>
      <w:r>
        <w:rPr>
          <w:rFonts w:asciiTheme="minorEastAsia" w:hAnsiTheme="minorEastAsia" w:eastAsiaTheme="minorEastAsia"/>
          <w:b/>
          <w:sz w:val="30"/>
        </w:rPr>
        <w:t>月</w:t>
      </w:r>
      <w:r>
        <w:rPr>
          <w:rFonts w:asciiTheme="minorEastAsia" w:hAnsiTheme="minorEastAsia" w:eastAsiaTheme="minorEastAsia"/>
          <w:b/>
        </w:rPr>
        <w:t>_____</w:t>
      </w:r>
      <w:r>
        <w:rPr>
          <w:rFonts w:asciiTheme="minorEastAsia" w:hAnsiTheme="minorEastAsia" w:eastAsiaTheme="minorEastAsia"/>
          <w:b/>
          <w:sz w:val="30"/>
        </w:rPr>
        <w:t>日</w:t>
      </w:r>
    </w:p>
    <w:p>
      <w:pPr>
        <w:pStyle w:val="30"/>
        <w:spacing w:before="163" w:after="163" w:afterLines="50" w:line="500" w:lineRule="exact"/>
        <w:ind w:left="5250" w:firstLine="601" w:firstLineChars="187"/>
        <w:jc w:val="center"/>
        <w:rPr>
          <w:rFonts w:asciiTheme="minorEastAsia" w:hAnsiTheme="minorEastAsia" w:eastAsiaTheme="minorEastAsia"/>
          <w:b/>
          <w:sz w:val="32"/>
        </w:rPr>
        <w:sectPr>
          <w:footerReference r:id="rId7" w:type="first"/>
          <w:footerReference r:id="rId6" w:type="default"/>
          <w:type w:val="continuous"/>
          <w:pgSz w:w="11906" w:h="16838"/>
          <w:pgMar w:top="1418" w:right="1418" w:bottom="1418" w:left="1418" w:header="851" w:footer="992" w:gutter="0"/>
          <w:pgNumType w:start="1"/>
          <w:cols w:space="720" w:num="1"/>
          <w:titlePg/>
          <w:docGrid w:type="lines" w:linePitch="326" w:charSpace="0"/>
        </w:sectPr>
      </w:pPr>
    </w:p>
    <w:p>
      <w:pPr>
        <w:jc w:val="center"/>
        <w:rPr>
          <w:rFonts w:asciiTheme="minorEastAsia" w:hAnsiTheme="minorEastAsia" w:eastAsiaTheme="minorEastAsia"/>
          <w:sz w:val="30"/>
        </w:rPr>
      </w:pPr>
      <w:r>
        <w:rPr>
          <w:rFonts w:asciiTheme="minorEastAsia" w:hAnsiTheme="minorEastAsia" w:eastAsiaTheme="minorEastAsia"/>
          <w:sz w:val="30"/>
        </w:rPr>
        <w:t>目录</w:t>
      </w:r>
    </w:p>
    <w:p>
      <w:pPr>
        <w:rPr>
          <w:rFonts w:asciiTheme="minorEastAsia" w:hAnsiTheme="minorEastAsia" w:eastAsiaTheme="minorEastAsia"/>
        </w:rPr>
      </w:pPr>
    </w:p>
    <w:p>
      <w:pPr>
        <w:pStyle w:val="1428"/>
        <w:tabs>
          <w:tab w:val="clear" w:pos="1260"/>
        </w:tabs>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TOC \o "1-1" \h \z \u </w:instrText>
      </w:r>
      <w:r>
        <w:rPr>
          <w:rFonts w:asciiTheme="minorEastAsia" w:hAnsiTheme="minorEastAsia" w:eastAsiaTheme="minorEastAsia"/>
        </w:rPr>
        <w:fldChar w:fldCharType="separate"/>
      </w:r>
      <w:r>
        <w:fldChar w:fldCharType="begin"/>
      </w:r>
      <w:r>
        <w:instrText xml:space="preserve"> HYPERLINK \l "_Toc13844" </w:instrText>
      </w:r>
      <w:r>
        <w:fldChar w:fldCharType="separate"/>
      </w:r>
      <w:r>
        <w:rPr>
          <w:rFonts w:asciiTheme="minorEastAsia" w:hAnsiTheme="minorEastAsia" w:eastAsiaTheme="minorEastAsia"/>
        </w:rPr>
        <w:t>第1条 定义及解释</w:t>
      </w:r>
      <w:r>
        <w:rPr>
          <w:rFonts w:asciiTheme="minorEastAsia" w:hAnsiTheme="minorEastAsia" w:eastAsiaTheme="minorEastAsia"/>
        </w:rPr>
        <w:tab/>
      </w:r>
      <w:r>
        <w:rPr>
          <w:rFonts w:asciiTheme="minorEastAsia" w:hAnsiTheme="minorEastAsia" w:eastAsiaTheme="minorEastAsia"/>
        </w:rPr>
        <w:fldChar w:fldCharType="end"/>
      </w:r>
    </w:p>
    <w:p>
      <w:pPr>
        <w:pStyle w:val="1428"/>
        <w:tabs>
          <w:tab w:val="clear" w:pos="1260"/>
        </w:tabs>
        <w:rPr>
          <w:rFonts w:asciiTheme="minorEastAsia" w:hAnsiTheme="minorEastAsia" w:eastAsiaTheme="minorEastAsia"/>
        </w:rPr>
      </w:pPr>
      <w:r>
        <w:fldChar w:fldCharType="begin"/>
      </w:r>
      <w:r>
        <w:instrText xml:space="preserve"> HYPERLINK \l "_Toc2976" </w:instrText>
      </w:r>
      <w:r>
        <w:fldChar w:fldCharType="separate"/>
      </w:r>
      <w:r>
        <w:rPr>
          <w:rFonts w:asciiTheme="minorEastAsia" w:hAnsiTheme="minorEastAsia" w:eastAsiaTheme="minorEastAsia"/>
        </w:rPr>
        <w:t>第2条 合作关系建立</w:t>
      </w:r>
      <w:r>
        <w:rPr>
          <w:rFonts w:asciiTheme="minorEastAsia" w:hAnsiTheme="minorEastAsia" w:eastAsiaTheme="minorEastAsia"/>
        </w:rPr>
        <w:tab/>
      </w:r>
      <w:r>
        <w:rPr>
          <w:rFonts w:asciiTheme="minorEastAsia" w:hAnsiTheme="minorEastAsia" w:eastAsiaTheme="minorEastAsia"/>
        </w:rPr>
        <w:fldChar w:fldCharType="end"/>
      </w:r>
    </w:p>
    <w:p>
      <w:pPr>
        <w:pStyle w:val="1428"/>
        <w:tabs>
          <w:tab w:val="clear" w:pos="1260"/>
        </w:tabs>
        <w:rPr>
          <w:rFonts w:asciiTheme="minorEastAsia" w:hAnsiTheme="minorEastAsia" w:eastAsiaTheme="minorEastAsia"/>
        </w:rPr>
      </w:pPr>
      <w:r>
        <w:fldChar w:fldCharType="begin"/>
      </w:r>
      <w:r>
        <w:instrText xml:space="preserve"> HYPERLINK \l "_Toc27140" </w:instrText>
      </w:r>
      <w:r>
        <w:fldChar w:fldCharType="separate"/>
      </w:r>
      <w:r>
        <w:rPr>
          <w:rFonts w:asciiTheme="minorEastAsia" w:hAnsiTheme="minorEastAsia" w:eastAsiaTheme="minorEastAsia"/>
          <w:szCs w:val="28"/>
        </w:rPr>
        <w:t>第3条 项目公司组建</w:t>
      </w:r>
      <w:r>
        <w:rPr>
          <w:rFonts w:asciiTheme="minorEastAsia" w:hAnsiTheme="minorEastAsia" w:eastAsiaTheme="minorEastAsia"/>
        </w:rPr>
        <w:tab/>
      </w:r>
      <w:r>
        <w:rPr>
          <w:rFonts w:asciiTheme="minorEastAsia" w:hAnsiTheme="minorEastAsia" w:eastAsiaTheme="minorEastAsia"/>
        </w:rPr>
        <w:fldChar w:fldCharType="end"/>
      </w:r>
    </w:p>
    <w:p>
      <w:pPr>
        <w:pStyle w:val="1428"/>
        <w:tabs>
          <w:tab w:val="clear" w:pos="1260"/>
        </w:tabs>
        <w:rPr>
          <w:rFonts w:asciiTheme="minorEastAsia" w:hAnsiTheme="minorEastAsia" w:eastAsiaTheme="minorEastAsia"/>
        </w:rPr>
      </w:pPr>
      <w:r>
        <w:fldChar w:fldCharType="begin"/>
      </w:r>
      <w:r>
        <w:instrText xml:space="preserve"> HYPERLINK \l "_Toc32303" </w:instrText>
      </w:r>
      <w:r>
        <w:fldChar w:fldCharType="separate"/>
      </w:r>
      <w:r>
        <w:rPr>
          <w:rFonts w:asciiTheme="minorEastAsia" w:hAnsiTheme="minorEastAsia" w:eastAsiaTheme="minorEastAsia"/>
        </w:rPr>
        <w:t>第4条 股权变更</w:t>
      </w:r>
      <w:r>
        <w:rPr>
          <w:rFonts w:asciiTheme="minorEastAsia" w:hAnsiTheme="minorEastAsia" w:eastAsiaTheme="minorEastAsia"/>
        </w:rPr>
        <w:tab/>
      </w:r>
      <w:r>
        <w:rPr>
          <w:rFonts w:asciiTheme="minorEastAsia" w:hAnsiTheme="minorEastAsia" w:eastAsiaTheme="minorEastAsia"/>
        </w:rPr>
        <w:fldChar w:fldCharType="end"/>
      </w:r>
    </w:p>
    <w:p>
      <w:pPr>
        <w:pStyle w:val="1428"/>
        <w:tabs>
          <w:tab w:val="clear" w:pos="1260"/>
        </w:tabs>
        <w:rPr>
          <w:rFonts w:asciiTheme="minorEastAsia" w:hAnsiTheme="minorEastAsia" w:eastAsiaTheme="minorEastAsia"/>
        </w:rPr>
      </w:pPr>
      <w:r>
        <w:fldChar w:fldCharType="begin"/>
      </w:r>
      <w:r>
        <w:instrText xml:space="preserve"> HYPERLINK \l "_Toc3675" </w:instrText>
      </w:r>
      <w:r>
        <w:fldChar w:fldCharType="separate"/>
      </w:r>
      <w:r>
        <w:rPr>
          <w:rFonts w:asciiTheme="minorEastAsia" w:hAnsiTheme="minorEastAsia" w:eastAsiaTheme="minorEastAsia"/>
        </w:rPr>
        <w:t>第5条 权利和义务及双方承诺</w:t>
      </w:r>
      <w:r>
        <w:rPr>
          <w:rFonts w:asciiTheme="minorEastAsia" w:hAnsiTheme="minorEastAsia" w:eastAsiaTheme="minorEastAsia"/>
        </w:rPr>
        <w:tab/>
      </w:r>
      <w:r>
        <w:rPr>
          <w:rFonts w:asciiTheme="minorEastAsia" w:hAnsiTheme="minorEastAsia" w:eastAsiaTheme="minorEastAsia"/>
        </w:rPr>
        <w:fldChar w:fldCharType="end"/>
      </w:r>
    </w:p>
    <w:p>
      <w:pPr>
        <w:pStyle w:val="1428"/>
        <w:tabs>
          <w:tab w:val="clear" w:pos="1260"/>
        </w:tabs>
        <w:rPr>
          <w:rFonts w:asciiTheme="minorEastAsia" w:hAnsiTheme="minorEastAsia" w:eastAsiaTheme="minorEastAsia"/>
        </w:rPr>
      </w:pPr>
      <w:r>
        <w:fldChar w:fldCharType="begin"/>
      </w:r>
      <w:r>
        <w:instrText xml:space="preserve"> HYPERLINK \l "_Toc10180" </w:instrText>
      </w:r>
      <w:r>
        <w:fldChar w:fldCharType="separate"/>
      </w:r>
      <w:r>
        <w:rPr>
          <w:rFonts w:asciiTheme="minorEastAsia" w:hAnsiTheme="minorEastAsia" w:eastAsiaTheme="minorEastAsia"/>
        </w:rPr>
        <w:t>第6条 履约担保</w:t>
      </w:r>
      <w:r>
        <w:rPr>
          <w:rFonts w:asciiTheme="minorEastAsia" w:hAnsiTheme="minorEastAsia" w:eastAsiaTheme="minorEastAsia"/>
        </w:rPr>
        <w:tab/>
      </w:r>
      <w:r>
        <w:rPr>
          <w:rFonts w:asciiTheme="minorEastAsia" w:hAnsiTheme="minorEastAsia" w:eastAsiaTheme="minorEastAsia"/>
        </w:rPr>
        <w:fldChar w:fldCharType="end"/>
      </w:r>
    </w:p>
    <w:p>
      <w:pPr>
        <w:pStyle w:val="1428"/>
        <w:tabs>
          <w:tab w:val="clear" w:pos="1260"/>
        </w:tabs>
        <w:rPr>
          <w:rFonts w:asciiTheme="minorEastAsia" w:hAnsiTheme="minorEastAsia" w:eastAsiaTheme="minorEastAsia"/>
        </w:rPr>
      </w:pPr>
      <w:r>
        <w:fldChar w:fldCharType="begin"/>
      </w:r>
      <w:r>
        <w:instrText xml:space="preserve"> HYPERLINK \l "_Toc11756" </w:instrText>
      </w:r>
      <w:r>
        <w:fldChar w:fldCharType="separate"/>
      </w:r>
      <w:r>
        <w:rPr>
          <w:rFonts w:asciiTheme="minorEastAsia" w:hAnsiTheme="minorEastAsia" w:eastAsiaTheme="minorEastAsia"/>
        </w:rPr>
        <w:t>第7条 违约情形与责任</w:t>
      </w:r>
      <w:r>
        <w:rPr>
          <w:rFonts w:asciiTheme="minorEastAsia" w:hAnsiTheme="minorEastAsia" w:eastAsiaTheme="minorEastAsia"/>
        </w:rPr>
        <w:tab/>
      </w:r>
      <w:r>
        <w:rPr>
          <w:rFonts w:asciiTheme="minorEastAsia" w:hAnsiTheme="minorEastAsia" w:eastAsiaTheme="minorEastAsia"/>
        </w:rPr>
        <w:fldChar w:fldCharType="end"/>
      </w:r>
    </w:p>
    <w:p>
      <w:pPr>
        <w:pStyle w:val="1428"/>
        <w:tabs>
          <w:tab w:val="clear" w:pos="1260"/>
        </w:tabs>
        <w:rPr>
          <w:rFonts w:asciiTheme="minorEastAsia" w:hAnsiTheme="minorEastAsia" w:eastAsiaTheme="minorEastAsia"/>
        </w:rPr>
      </w:pPr>
      <w:r>
        <w:fldChar w:fldCharType="begin"/>
      </w:r>
      <w:r>
        <w:instrText xml:space="preserve"> HYPERLINK \l "_Toc21429" </w:instrText>
      </w:r>
      <w:r>
        <w:fldChar w:fldCharType="separate"/>
      </w:r>
      <w:r>
        <w:rPr>
          <w:rFonts w:asciiTheme="minorEastAsia" w:hAnsiTheme="minorEastAsia" w:eastAsiaTheme="minorEastAsia"/>
        </w:rPr>
        <w:t>第8条 不可抗力</w:t>
      </w:r>
      <w:r>
        <w:rPr>
          <w:rFonts w:asciiTheme="minorEastAsia" w:hAnsiTheme="minorEastAsia" w:eastAsiaTheme="minorEastAsia"/>
        </w:rPr>
        <w:tab/>
      </w:r>
      <w:r>
        <w:rPr>
          <w:rFonts w:asciiTheme="minorEastAsia" w:hAnsiTheme="minorEastAsia" w:eastAsiaTheme="minorEastAsia"/>
        </w:rPr>
        <w:fldChar w:fldCharType="end"/>
      </w:r>
    </w:p>
    <w:p>
      <w:pPr>
        <w:pStyle w:val="1428"/>
        <w:tabs>
          <w:tab w:val="clear" w:pos="1260"/>
        </w:tabs>
        <w:rPr>
          <w:rFonts w:asciiTheme="minorEastAsia" w:hAnsiTheme="minorEastAsia" w:eastAsiaTheme="minorEastAsia"/>
        </w:rPr>
      </w:pPr>
      <w:r>
        <w:fldChar w:fldCharType="begin"/>
      </w:r>
      <w:r>
        <w:instrText xml:space="preserve"> HYPERLINK \l "_Toc27464" </w:instrText>
      </w:r>
      <w:r>
        <w:fldChar w:fldCharType="separate"/>
      </w:r>
      <w:r>
        <w:rPr>
          <w:rFonts w:asciiTheme="minorEastAsia" w:hAnsiTheme="minorEastAsia" w:eastAsiaTheme="minorEastAsia"/>
        </w:rPr>
        <w:t>第9条 争议解决</w:t>
      </w:r>
      <w:r>
        <w:rPr>
          <w:rFonts w:asciiTheme="minorEastAsia" w:hAnsiTheme="minorEastAsia" w:eastAsiaTheme="minorEastAsia"/>
        </w:rPr>
        <w:tab/>
      </w:r>
      <w:r>
        <w:rPr>
          <w:rFonts w:asciiTheme="minorEastAsia" w:hAnsiTheme="minorEastAsia" w:eastAsiaTheme="minorEastAsia"/>
        </w:rPr>
        <w:fldChar w:fldCharType="end"/>
      </w:r>
    </w:p>
    <w:p>
      <w:pPr>
        <w:pStyle w:val="1428"/>
        <w:tabs>
          <w:tab w:val="clear" w:pos="1260"/>
        </w:tabs>
        <w:rPr>
          <w:rFonts w:asciiTheme="minorEastAsia" w:hAnsiTheme="minorEastAsia" w:eastAsiaTheme="minorEastAsia"/>
        </w:rPr>
      </w:pPr>
      <w:r>
        <w:fldChar w:fldCharType="begin"/>
      </w:r>
      <w:r>
        <w:instrText xml:space="preserve"> HYPERLINK \l "_Toc13494" </w:instrText>
      </w:r>
      <w:r>
        <w:fldChar w:fldCharType="separate"/>
      </w:r>
      <w:r>
        <w:rPr>
          <w:rFonts w:asciiTheme="minorEastAsia" w:hAnsiTheme="minorEastAsia" w:eastAsiaTheme="minorEastAsia"/>
        </w:rPr>
        <w:t>第10条 本协议的生效及终止</w:t>
      </w:r>
      <w:r>
        <w:rPr>
          <w:rFonts w:asciiTheme="minorEastAsia" w:hAnsiTheme="minorEastAsia" w:eastAsiaTheme="minorEastAsia"/>
        </w:rPr>
        <w:tab/>
      </w:r>
      <w:r>
        <w:rPr>
          <w:rFonts w:asciiTheme="minorEastAsia" w:hAnsiTheme="minorEastAsia" w:eastAsiaTheme="minorEastAsia"/>
        </w:rPr>
        <w:fldChar w:fldCharType="end"/>
      </w:r>
    </w:p>
    <w:p>
      <w:pPr>
        <w:pStyle w:val="1428"/>
        <w:tabs>
          <w:tab w:val="clear" w:pos="1260"/>
        </w:tabs>
        <w:rPr>
          <w:rFonts w:asciiTheme="minorEastAsia" w:hAnsiTheme="minorEastAsia" w:eastAsiaTheme="minorEastAsia"/>
        </w:rPr>
      </w:pPr>
      <w:r>
        <w:fldChar w:fldCharType="begin"/>
      </w:r>
      <w:r>
        <w:instrText xml:space="preserve"> HYPERLINK \l "_Toc26411" </w:instrText>
      </w:r>
      <w:r>
        <w:fldChar w:fldCharType="separate"/>
      </w:r>
      <w:r>
        <w:rPr>
          <w:rFonts w:asciiTheme="minorEastAsia" w:hAnsiTheme="minorEastAsia" w:eastAsiaTheme="minorEastAsia"/>
        </w:rPr>
        <w:t>第11条 其他事项</w:t>
      </w:r>
      <w:r>
        <w:rPr>
          <w:rFonts w:asciiTheme="minorEastAsia" w:hAnsiTheme="minorEastAsia" w:eastAsiaTheme="minorEastAsia"/>
        </w:rPr>
        <w:tab/>
      </w:r>
      <w:r>
        <w:rPr>
          <w:rFonts w:asciiTheme="minorEastAsia" w:hAnsiTheme="minorEastAsia" w:eastAsiaTheme="minorEastAsia"/>
        </w:rPr>
        <w:fldChar w:fldCharType="end"/>
      </w:r>
    </w:p>
    <w:p>
      <w:pPr>
        <w:spacing w:line="360" w:lineRule="auto"/>
        <w:rPr>
          <w:rFonts w:asciiTheme="minorEastAsia" w:hAnsiTheme="minorEastAsia" w:eastAsiaTheme="minorEastAsia"/>
        </w:rPr>
      </w:pPr>
      <w:r>
        <w:rPr>
          <w:rFonts w:asciiTheme="minorEastAsia" w:hAnsiTheme="minorEastAsia" w:eastAsiaTheme="minorEastAsia"/>
        </w:rPr>
        <w:fldChar w:fldCharType="end"/>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sectPr>
          <w:headerReference r:id="rId8" w:type="default"/>
          <w:footerReference r:id="rId9" w:type="default"/>
          <w:pgSz w:w="11906" w:h="16838"/>
          <w:pgMar w:top="1418" w:right="1418" w:bottom="1418" w:left="1418" w:header="851" w:footer="992" w:gutter="0"/>
          <w:cols w:space="720" w:num="1"/>
          <w:docGrid w:type="lines" w:linePitch="312" w:charSpace="0"/>
        </w:sectPr>
      </w:pPr>
    </w:p>
    <w:p>
      <w:pPr>
        <w:spacing w:before="120" w:after="156" w:afterLines="50" w:line="500" w:lineRule="exact"/>
        <w:rPr>
          <w:rFonts w:asciiTheme="minorEastAsia" w:hAnsiTheme="minorEastAsia" w:eastAsiaTheme="minorEastAsia"/>
          <w:sz w:val="24"/>
        </w:rPr>
      </w:pPr>
      <w:r>
        <w:rPr>
          <w:rFonts w:asciiTheme="minorEastAsia" w:hAnsiTheme="minorEastAsia" w:eastAsiaTheme="minorEastAsia"/>
          <w:sz w:val="24"/>
        </w:rPr>
        <w:t>本协议由以下双方于【】年【】月【】日在【签订地点】签订：</w:t>
      </w:r>
    </w:p>
    <w:p>
      <w:pPr>
        <w:pStyle w:val="1392"/>
        <w:spacing w:before="156" w:after="156" w:afterLines="50" w:line="500" w:lineRule="exact"/>
        <w:ind w:left="0"/>
        <w:rPr>
          <w:rFonts w:asciiTheme="minorEastAsia" w:hAnsiTheme="minorEastAsia" w:eastAsiaTheme="minorEastAsia"/>
        </w:rPr>
      </w:pPr>
      <w:r>
        <w:rPr>
          <w:rFonts w:asciiTheme="minorEastAsia" w:hAnsiTheme="minorEastAsia" w:eastAsiaTheme="minorEastAsia"/>
          <w:b/>
        </w:rPr>
        <w:t>甲方：【实施机构名称】</w:t>
      </w:r>
      <w:r>
        <w:rPr>
          <w:rFonts w:asciiTheme="minorEastAsia" w:hAnsiTheme="minorEastAsia" w:eastAsiaTheme="minorEastAsia"/>
          <w:b/>
          <w:u w:val="single"/>
        </w:rPr>
        <w:t xml:space="preserve">  贵港市产业园区管理委员会    </w:t>
      </w:r>
    </w:p>
    <w:p>
      <w:pPr>
        <w:pStyle w:val="1392"/>
        <w:spacing w:before="156" w:after="156" w:afterLines="50" w:line="500" w:lineRule="exact"/>
        <w:ind w:left="0"/>
        <w:rPr>
          <w:rFonts w:asciiTheme="minorEastAsia" w:hAnsiTheme="minorEastAsia" w:eastAsiaTheme="minorEastAsia"/>
        </w:rPr>
      </w:pPr>
      <w:r>
        <w:rPr>
          <w:rFonts w:asciiTheme="minorEastAsia" w:hAnsiTheme="minorEastAsia" w:eastAsiaTheme="minorEastAsia"/>
        </w:rPr>
        <w:t>和</w:t>
      </w:r>
    </w:p>
    <w:p>
      <w:pPr>
        <w:pStyle w:val="1392"/>
        <w:spacing w:before="156" w:after="156" w:afterLines="50" w:line="500" w:lineRule="exact"/>
        <w:ind w:left="0"/>
        <w:rPr>
          <w:rFonts w:asciiTheme="minorEastAsia" w:hAnsiTheme="minorEastAsia" w:eastAsiaTheme="minorEastAsia"/>
        </w:rPr>
      </w:pPr>
      <w:r>
        <w:rPr>
          <w:rFonts w:asciiTheme="minorEastAsia" w:hAnsiTheme="minorEastAsia" w:eastAsiaTheme="minorEastAsia"/>
          <w:b/>
        </w:rPr>
        <w:t>乙方：【中选社会资本名称】</w:t>
      </w:r>
      <w:r>
        <w:rPr>
          <w:rFonts w:asciiTheme="minorEastAsia" w:hAnsiTheme="minorEastAsia" w:eastAsiaTheme="minorEastAsia"/>
          <w:b/>
          <w:u w:val="single"/>
        </w:rPr>
        <w:t xml:space="preserve">  </w:t>
      </w:r>
      <w:r>
        <w:rPr>
          <w:rFonts w:hint="eastAsia" w:asciiTheme="minorEastAsia" w:hAnsiTheme="minorEastAsia" w:eastAsiaTheme="minorEastAsia"/>
          <w:b/>
          <w:u w:val="single"/>
        </w:rPr>
        <w:t xml:space="preserve">                       </w:t>
      </w:r>
      <w:r>
        <w:rPr>
          <w:rFonts w:asciiTheme="minorEastAsia" w:hAnsiTheme="minorEastAsia" w:eastAsiaTheme="minorEastAsia"/>
          <w:b/>
          <w:u w:val="single"/>
        </w:rPr>
        <w:t xml:space="preserve">  </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asciiTheme="minorEastAsia" w:hAnsiTheme="minorEastAsia" w:eastAsiaTheme="minorEastAsia"/>
          <w:sz w:val="24"/>
        </w:rPr>
        <w:t>鉴于：</w:t>
      </w:r>
    </w:p>
    <w:p>
      <w:pPr>
        <w:pStyle w:val="1426"/>
        <w:numPr>
          <w:ilvl w:val="0"/>
          <w:numId w:val="11"/>
        </w:numPr>
        <w:spacing w:line="360" w:lineRule="auto"/>
        <w:ind w:left="1276" w:hanging="850" w:firstLineChars="0"/>
        <w:rPr>
          <w:rFonts w:asciiTheme="minorEastAsia" w:hAnsiTheme="minorEastAsia" w:eastAsiaTheme="minorEastAsia"/>
          <w:sz w:val="24"/>
        </w:rPr>
      </w:pPr>
      <w:r>
        <w:rPr>
          <w:rFonts w:asciiTheme="minorEastAsia" w:hAnsiTheme="minorEastAsia" w:eastAsiaTheme="minorEastAsia"/>
          <w:sz w:val="24"/>
          <w:szCs w:val="24"/>
        </w:rPr>
        <w:t>【</w:t>
      </w:r>
      <w:r>
        <w:rPr>
          <w:rFonts w:asciiTheme="minorEastAsia" w:hAnsiTheme="minorEastAsia" w:eastAsiaTheme="minorEastAsia"/>
          <w:sz w:val="24"/>
          <w:szCs w:val="24"/>
          <w:u w:val="single"/>
        </w:rPr>
        <w:t>贵港市产业园（粤桂园）给水厂和污水处理厂供排一体化PPP项目</w:t>
      </w:r>
      <w:r>
        <w:rPr>
          <w:rFonts w:asciiTheme="minorEastAsia" w:hAnsiTheme="minorEastAsia" w:eastAsiaTheme="minorEastAsia"/>
          <w:sz w:val="24"/>
          <w:szCs w:val="24"/>
        </w:rPr>
        <w:t>】已经</w:t>
      </w:r>
      <w:r>
        <w:rPr>
          <w:rFonts w:asciiTheme="minorEastAsia" w:hAnsiTheme="minorEastAsia" w:eastAsiaTheme="minorEastAsia"/>
          <w:b/>
          <w:sz w:val="24"/>
          <w:szCs w:val="24"/>
        </w:rPr>
        <w:t>_贵港市_</w:t>
      </w:r>
      <w:r>
        <w:rPr>
          <w:rFonts w:asciiTheme="minorEastAsia" w:hAnsiTheme="minorEastAsia" w:eastAsiaTheme="minorEastAsia"/>
          <w:bCs/>
          <w:sz w:val="24"/>
          <w:szCs w:val="24"/>
        </w:rPr>
        <w:t>人民</w:t>
      </w:r>
      <w:r>
        <w:rPr>
          <w:rFonts w:asciiTheme="minorEastAsia" w:hAnsiTheme="minorEastAsia" w:eastAsiaTheme="minorEastAsia"/>
          <w:sz w:val="24"/>
          <w:szCs w:val="24"/>
        </w:rPr>
        <w:t>政</w:t>
      </w:r>
      <w:r>
        <w:rPr>
          <w:rFonts w:asciiTheme="minorEastAsia" w:hAnsiTheme="minorEastAsia" w:eastAsiaTheme="minorEastAsia"/>
          <w:sz w:val="24"/>
        </w:rPr>
        <w:t>府批准采用政府和社会资本合作（PPP）模式实施，并授权甲方作为本项目实施机构，具体负责项目准备、采购、监管和移交等工作，并</w:t>
      </w:r>
      <w:r>
        <w:rPr>
          <w:rFonts w:asciiTheme="minorEastAsia" w:hAnsiTheme="minorEastAsia" w:eastAsiaTheme="minorEastAsia"/>
          <w:sz w:val="24"/>
          <w:szCs w:val="24"/>
        </w:rPr>
        <w:t>代表</w:t>
      </w:r>
      <w:r>
        <w:rPr>
          <w:rFonts w:asciiTheme="minorEastAsia" w:hAnsiTheme="minorEastAsia" w:eastAsiaTheme="minorEastAsia"/>
          <w:b/>
          <w:sz w:val="24"/>
          <w:szCs w:val="24"/>
        </w:rPr>
        <w:t>__贵港市___</w:t>
      </w:r>
      <w:r>
        <w:rPr>
          <w:rFonts w:asciiTheme="minorEastAsia" w:hAnsiTheme="minorEastAsia" w:eastAsiaTheme="minorEastAsia"/>
          <w:bCs/>
          <w:sz w:val="24"/>
          <w:szCs w:val="24"/>
        </w:rPr>
        <w:t>人</w:t>
      </w:r>
      <w:r>
        <w:rPr>
          <w:rFonts w:asciiTheme="minorEastAsia" w:hAnsiTheme="minorEastAsia" w:eastAsiaTheme="minorEastAsia"/>
          <w:bCs/>
          <w:sz w:val="24"/>
          <w:szCs w:val="28"/>
        </w:rPr>
        <w:t>民</w:t>
      </w:r>
      <w:r>
        <w:rPr>
          <w:rFonts w:asciiTheme="minorEastAsia" w:hAnsiTheme="minorEastAsia" w:eastAsiaTheme="minorEastAsia"/>
          <w:sz w:val="24"/>
        </w:rPr>
        <w:t>政府与社会资本及项目公司签署相关合同文件；</w:t>
      </w:r>
    </w:p>
    <w:p>
      <w:pPr>
        <w:pStyle w:val="1426"/>
        <w:numPr>
          <w:ilvl w:val="0"/>
          <w:numId w:val="11"/>
        </w:numPr>
        <w:spacing w:line="360" w:lineRule="auto"/>
        <w:ind w:left="1276" w:hanging="796" w:firstLineChars="0"/>
        <w:rPr>
          <w:rFonts w:asciiTheme="minorEastAsia" w:hAnsiTheme="minorEastAsia" w:eastAsiaTheme="minorEastAsia"/>
          <w:sz w:val="24"/>
        </w:rPr>
      </w:pPr>
      <w:r>
        <w:rPr>
          <w:rFonts w:asciiTheme="minorEastAsia" w:hAnsiTheme="minorEastAsia" w:eastAsiaTheme="minorEastAsia"/>
          <w:sz w:val="24"/>
        </w:rPr>
        <w:t>甲方已通过</w:t>
      </w:r>
      <w:r>
        <w:rPr>
          <w:rFonts w:asciiTheme="minorEastAsia" w:hAnsiTheme="minorEastAsia" w:eastAsiaTheme="minorEastAsia"/>
        </w:rPr>
        <w:t>【</w:t>
      </w:r>
      <w:r>
        <w:rPr>
          <w:rFonts w:hint="eastAsia" w:asciiTheme="minorEastAsia" w:hAnsiTheme="minorEastAsia" w:eastAsiaTheme="minorEastAsia"/>
          <w:sz w:val="24"/>
        </w:rPr>
        <w:t>公开招标</w:t>
      </w:r>
      <w:r>
        <w:rPr>
          <w:rFonts w:asciiTheme="minorEastAsia" w:hAnsiTheme="minorEastAsia" w:eastAsiaTheme="minorEastAsia"/>
        </w:rPr>
        <w:t>】</w:t>
      </w:r>
      <w:r>
        <w:rPr>
          <w:rFonts w:asciiTheme="minorEastAsia" w:hAnsiTheme="minorEastAsia" w:eastAsiaTheme="minorEastAsia"/>
          <w:sz w:val="24"/>
        </w:rPr>
        <w:t>选定乙方作为本项目中选社会资本，乙方同意并认可本项目采购文件以及与甲方签署的《确认谈判备忘录》的全部内容；甲、</w:t>
      </w:r>
      <w:r>
        <w:rPr>
          <w:rFonts w:asciiTheme="minorEastAsia" w:hAnsiTheme="minorEastAsia" w:eastAsiaTheme="minorEastAsia"/>
          <w:sz w:val="24"/>
          <w:szCs w:val="24"/>
        </w:rPr>
        <w:t>乙双方确认并同意签订本《合作协议》</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bookmarkStart w:id="253" w:name="_Toc444420660"/>
      <w:r>
        <w:rPr>
          <w:rFonts w:asciiTheme="minorEastAsia" w:hAnsiTheme="minorEastAsia" w:eastAsiaTheme="minorEastAsia"/>
          <w:sz w:val="24"/>
        </w:rPr>
        <w:t>甲、乙双方遵循平等、合作、守信的原则，就本项目实施相关事项协商一致，并根据《中华人民共和国合同法》及有关适用法律规定，共同达成协议如下：</w:t>
      </w:r>
    </w:p>
    <w:p>
      <w:pPr>
        <w:rPr>
          <w:rFonts w:asciiTheme="minorEastAsia" w:hAnsiTheme="minorEastAsia" w:eastAsiaTheme="minorEastAsia"/>
        </w:rPr>
      </w:pPr>
      <w:bookmarkStart w:id="254" w:name="_Toc13844"/>
      <w:r>
        <w:rPr>
          <w:rFonts w:asciiTheme="minorEastAsia" w:hAnsiTheme="minorEastAsia" w:eastAsiaTheme="minorEastAsia"/>
        </w:rPr>
        <w:br w:type="page"/>
      </w:r>
    </w:p>
    <w:p>
      <w:pPr>
        <w:pStyle w:val="2"/>
        <w:keepNext w:val="0"/>
        <w:keepLines w:val="0"/>
        <w:widowControl/>
        <w:tabs>
          <w:tab w:val="left" w:pos="1134"/>
          <w:tab w:val="left" w:pos="4051"/>
          <w:tab w:val="clear" w:pos="360"/>
        </w:tabs>
        <w:autoSpaceDE w:val="0"/>
        <w:autoSpaceDN w:val="0"/>
        <w:spacing w:before="312" w:beforeLines="100"/>
        <w:ind w:left="0" w:leftChars="0" w:right="28" w:rightChars="0" w:firstLine="0"/>
        <w:rPr>
          <w:rFonts w:asciiTheme="minorEastAsia" w:hAnsiTheme="minorEastAsia"/>
        </w:rPr>
      </w:pPr>
      <w:bookmarkStart w:id="255" w:name="_Toc50993421"/>
      <w:r>
        <w:rPr>
          <w:rFonts w:asciiTheme="minorEastAsia" w:hAnsiTheme="minorEastAsia"/>
        </w:rPr>
        <w:t>第</w:t>
      </w:r>
      <w:r>
        <w:rPr>
          <w:rFonts w:hint="eastAsia" w:asciiTheme="minorEastAsia" w:hAnsiTheme="minorEastAsia"/>
        </w:rPr>
        <w:t xml:space="preserve">1条 </w:t>
      </w:r>
      <w:r>
        <w:rPr>
          <w:rFonts w:asciiTheme="minorEastAsia" w:hAnsiTheme="minorEastAsia"/>
        </w:rPr>
        <w:t>定义</w:t>
      </w:r>
      <w:bookmarkEnd w:id="253"/>
      <w:r>
        <w:rPr>
          <w:rFonts w:asciiTheme="minorEastAsia" w:hAnsiTheme="minorEastAsia"/>
        </w:rPr>
        <w:t>及解释</w:t>
      </w:r>
      <w:bookmarkEnd w:id="254"/>
      <w:bookmarkEnd w:id="255"/>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rPr>
      </w:pPr>
      <w:bookmarkStart w:id="256" w:name="_Toc444420661"/>
      <w:bookmarkStart w:id="257" w:name="_Toc50993422"/>
      <w:bookmarkStart w:id="258" w:name="_Toc475566561"/>
      <w:r>
        <w:rPr>
          <w:rFonts w:hint="eastAsia" w:asciiTheme="minorEastAsia" w:hAnsiTheme="minorEastAsia"/>
        </w:rPr>
        <w:t xml:space="preserve">1.1 </w:t>
      </w:r>
      <w:r>
        <w:rPr>
          <w:rFonts w:asciiTheme="minorEastAsia" w:hAnsiTheme="minorEastAsia"/>
        </w:rPr>
        <w:t>定义</w:t>
      </w:r>
      <w:bookmarkEnd w:id="256"/>
      <w:bookmarkEnd w:id="257"/>
      <w:bookmarkEnd w:id="258"/>
    </w:p>
    <w:p>
      <w:pPr>
        <w:pStyle w:val="15"/>
        <w:spacing w:before="156" w:beforeLines="50" w:line="360" w:lineRule="auto"/>
        <w:ind w:firstLine="480"/>
        <w:rPr>
          <w:rFonts w:asciiTheme="minorEastAsia" w:hAnsiTheme="minorEastAsia" w:eastAsiaTheme="minorEastAsia"/>
        </w:rPr>
      </w:pPr>
      <w:r>
        <w:rPr>
          <w:rFonts w:asciiTheme="minorEastAsia" w:hAnsiTheme="minorEastAsia" w:eastAsiaTheme="minorEastAsia"/>
        </w:rPr>
        <w:t>除非本协议另有约定，下述术语具有下列含义：</w:t>
      </w:r>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59" w:name="_Toc475566562"/>
      <w:r>
        <w:rPr>
          <w:rFonts w:hint="eastAsia" w:asciiTheme="minorEastAsia" w:hAnsiTheme="minorEastAsia" w:eastAsiaTheme="minorEastAsia"/>
          <w:b w:val="0"/>
          <w:sz w:val="24"/>
        </w:rPr>
        <w:t>1.1.1</w:t>
      </w:r>
      <w:r>
        <w:rPr>
          <w:rFonts w:asciiTheme="minorEastAsia" w:hAnsiTheme="minorEastAsia" w:eastAsiaTheme="minorEastAsia"/>
          <w:b w:val="0"/>
          <w:sz w:val="24"/>
        </w:rPr>
        <w:t>项目公司，指乙方为实施本项目而按照适用法律规定及采购文件要求组建的特殊目的公司。</w:t>
      </w:r>
      <w:bookmarkEnd w:id="259"/>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60" w:name="_Toc475566563"/>
      <w:r>
        <w:rPr>
          <w:rFonts w:hint="eastAsia" w:asciiTheme="minorEastAsia" w:hAnsiTheme="minorEastAsia" w:eastAsiaTheme="minorEastAsia"/>
          <w:b w:val="0"/>
          <w:sz w:val="24"/>
        </w:rPr>
        <w:t>1.1.2</w:t>
      </w:r>
      <w:r>
        <w:rPr>
          <w:rFonts w:asciiTheme="minorEastAsia" w:hAnsiTheme="minorEastAsia" w:eastAsiaTheme="minorEastAsia"/>
          <w:b w:val="0"/>
          <w:sz w:val="24"/>
        </w:rPr>
        <w:t>本项目，指</w:t>
      </w:r>
      <w:r>
        <w:rPr>
          <w:rFonts w:asciiTheme="minorEastAsia" w:hAnsiTheme="minorEastAsia" w:eastAsiaTheme="minorEastAsia"/>
          <w:b w:val="0"/>
          <w:sz w:val="24"/>
          <w:u w:val="single"/>
        </w:rPr>
        <w:t xml:space="preserve"> 贵港市产业园（粤桂园）给水厂和污水处理厂供排一体化PPP项目 </w:t>
      </w:r>
      <w:r>
        <w:rPr>
          <w:rFonts w:asciiTheme="minorEastAsia" w:hAnsiTheme="minorEastAsia" w:eastAsiaTheme="minorEastAsia"/>
          <w:b w:val="0"/>
          <w:sz w:val="24"/>
        </w:rPr>
        <w:t>。</w:t>
      </w:r>
    </w:p>
    <w:bookmarkEnd w:id="260"/>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61" w:name="_Toc475566564"/>
      <w:r>
        <w:rPr>
          <w:rFonts w:hint="eastAsia" w:asciiTheme="minorEastAsia" w:hAnsiTheme="minorEastAsia" w:eastAsiaTheme="minorEastAsia"/>
          <w:b w:val="0"/>
          <w:sz w:val="24"/>
        </w:rPr>
        <w:t>1.1.3</w:t>
      </w:r>
      <w:r>
        <w:rPr>
          <w:rFonts w:asciiTheme="minorEastAsia" w:hAnsiTheme="minorEastAsia" w:eastAsiaTheme="minorEastAsia"/>
          <w:b w:val="0"/>
          <w:sz w:val="24"/>
        </w:rPr>
        <w:t>本协议，指甲方与乙方就本项目而签订的本《合作协议》。</w:t>
      </w:r>
      <w:bookmarkEnd w:id="261"/>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62" w:name="_Toc475566565"/>
      <w:r>
        <w:rPr>
          <w:rFonts w:hint="eastAsia" w:asciiTheme="minorEastAsia" w:hAnsiTheme="minorEastAsia" w:eastAsiaTheme="minorEastAsia"/>
          <w:b w:val="0"/>
          <w:sz w:val="24"/>
        </w:rPr>
        <w:t>1.1.4</w:t>
      </w:r>
      <w:r>
        <w:rPr>
          <w:rFonts w:asciiTheme="minorEastAsia" w:hAnsiTheme="minorEastAsia" w:eastAsiaTheme="minorEastAsia"/>
          <w:b w:val="0"/>
          <w:sz w:val="24"/>
        </w:rPr>
        <w:t>《PPP项目合同》，指甲方和乙方签署的《贵港市产业园（粤桂园）给水厂和污水处理厂供排一体化PPP项目政府和社会资本合作（PPP）项目合同》。</w:t>
      </w:r>
      <w:bookmarkEnd w:id="262"/>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63" w:name="_Toc475566566"/>
      <w:r>
        <w:rPr>
          <w:rFonts w:hint="eastAsia" w:asciiTheme="minorEastAsia" w:hAnsiTheme="minorEastAsia" w:eastAsiaTheme="minorEastAsia"/>
          <w:b w:val="0"/>
          <w:sz w:val="24"/>
        </w:rPr>
        <w:t>1.1.5</w:t>
      </w:r>
      <w:r>
        <w:rPr>
          <w:rFonts w:asciiTheme="minorEastAsia" w:hAnsiTheme="minorEastAsia" w:eastAsiaTheme="minorEastAsia"/>
          <w:b w:val="0"/>
          <w:sz w:val="24"/>
        </w:rPr>
        <w:t>《股东协议》，指【广西贵港市工业投资发展集团有限公司（政府方出资代表）】和乙方签订的《贵港市产业园（粤桂园）给水厂和污水处理厂供排一体化PPP项目股东协议》（如有）。</w:t>
      </w:r>
      <w:bookmarkEnd w:id="263"/>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64" w:name="_Toc475566567"/>
      <w:r>
        <w:rPr>
          <w:rFonts w:hint="eastAsia" w:asciiTheme="minorEastAsia" w:hAnsiTheme="minorEastAsia" w:eastAsiaTheme="minorEastAsia"/>
          <w:b w:val="0"/>
          <w:sz w:val="24"/>
        </w:rPr>
        <w:t xml:space="preserve">1.1.6 </w:t>
      </w:r>
      <w:r>
        <w:rPr>
          <w:rFonts w:asciiTheme="minorEastAsia" w:hAnsiTheme="minorEastAsia" w:eastAsiaTheme="minorEastAsia"/>
          <w:b w:val="0"/>
          <w:sz w:val="24"/>
        </w:rPr>
        <w:t>政府方，指_贵港市_人民政府或其依法授权的实施机构，可指其中之一，也可统指人民政府和实施机构。</w:t>
      </w:r>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1.1.7 </w:t>
      </w:r>
      <w:r>
        <w:rPr>
          <w:rFonts w:asciiTheme="minorEastAsia" w:hAnsiTheme="minorEastAsia" w:eastAsiaTheme="minorEastAsia"/>
          <w:b w:val="0"/>
          <w:sz w:val="24"/>
        </w:rPr>
        <w:t>融资方，指融资文件中的贷款人或项目融资资金的提供人。</w:t>
      </w:r>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1.1.8 </w:t>
      </w:r>
      <w:r>
        <w:rPr>
          <w:rFonts w:asciiTheme="minorEastAsia" w:hAnsiTheme="minorEastAsia" w:eastAsiaTheme="minorEastAsia"/>
          <w:b w:val="0"/>
          <w:sz w:val="24"/>
        </w:rPr>
        <w:t>生效日，指本协议甲、乙双方法定代表人或授权代表签字并加盖公章之日。</w:t>
      </w:r>
    </w:p>
    <w:bookmarkEnd w:id="264"/>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1.1.9 </w:t>
      </w:r>
      <w:r>
        <w:rPr>
          <w:rFonts w:asciiTheme="minorEastAsia" w:hAnsiTheme="minorEastAsia" w:eastAsiaTheme="minorEastAsia"/>
          <w:b w:val="0"/>
          <w:sz w:val="24"/>
        </w:rPr>
        <w:t>项目设施，指与本项目建设和运营管理相关的设施，包括全部构筑物、建筑物、设施、设备等。</w:t>
      </w:r>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1.1.10</w:t>
      </w:r>
      <w:r>
        <w:rPr>
          <w:rFonts w:asciiTheme="minorEastAsia" w:hAnsiTheme="minorEastAsia" w:eastAsiaTheme="minorEastAsia"/>
          <w:b w:val="0"/>
          <w:sz w:val="24"/>
        </w:rPr>
        <w:t>批准，指为了使乙方能够履行其在本合同项下的义务和行使其在本合同项下的权利，乙方必须或希望从政府机关依法获得的所需要的任何许可、执照、同意、授权、批准、免除或相同及类似的文件。</w:t>
      </w:r>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1.1.11</w:t>
      </w:r>
      <w:r>
        <w:rPr>
          <w:rFonts w:asciiTheme="minorEastAsia" w:hAnsiTheme="minorEastAsia" w:eastAsiaTheme="minorEastAsia"/>
          <w:b w:val="0"/>
          <w:sz w:val="24"/>
        </w:rPr>
        <w:t>适用法律，指所有适用的中华人民共和国法律、法规、规章、地方性法规、司法解释、政府部门颁布的标准、规范或其他适用的强制性要求、有法律约束力的规范性文件等。为本协议目的，任何政府主管部门签发的对双方履行本协议有实质性影响的文件（包括批文、执照、许可、授权等）视为适用法律的一部分。</w:t>
      </w:r>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1.1.12 </w:t>
      </w:r>
      <w:r>
        <w:rPr>
          <w:rFonts w:asciiTheme="minorEastAsia" w:hAnsiTheme="minorEastAsia" w:eastAsiaTheme="minorEastAsia"/>
          <w:b w:val="0"/>
          <w:sz w:val="24"/>
        </w:rPr>
        <w:t>采购文件，指《贵港市产业园（粤桂园）给水厂和污水处理厂供排一体化PPP项目采购文件》。</w:t>
      </w:r>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rPr>
      </w:pPr>
      <w:bookmarkStart w:id="265" w:name="_Toc475566568"/>
      <w:bookmarkStart w:id="266" w:name="_Toc50993423"/>
      <w:r>
        <w:rPr>
          <w:rFonts w:hint="eastAsia" w:asciiTheme="minorEastAsia" w:hAnsiTheme="minorEastAsia"/>
        </w:rPr>
        <w:t xml:space="preserve">1.2 </w:t>
      </w:r>
      <w:r>
        <w:rPr>
          <w:rFonts w:asciiTheme="minorEastAsia" w:hAnsiTheme="minorEastAsia"/>
        </w:rPr>
        <w:t>解释</w:t>
      </w:r>
      <w:bookmarkEnd w:id="265"/>
      <w:bookmarkEnd w:id="266"/>
    </w:p>
    <w:p>
      <w:pPr>
        <w:pStyle w:val="4"/>
        <w:tabs>
          <w:tab w:val="left" w:pos="1418"/>
          <w:tab w:val="left" w:pos="1759"/>
        </w:tabs>
        <w:spacing w:before="156" w:after="156"/>
        <w:ind w:firstLine="424" w:firstLineChars="177"/>
        <w:rPr>
          <w:rFonts w:asciiTheme="minorEastAsia" w:hAnsiTheme="minorEastAsia" w:eastAsiaTheme="minorEastAsia"/>
          <w:b w:val="0"/>
          <w:sz w:val="24"/>
        </w:rPr>
      </w:pPr>
      <w:bookmarkStart w:id="267" w:name="_Toc475566569"/>
      <w:r>
        <w:rPr>
          <w:rFonts w:asciiTheme="minorEastAsia" w:hAnsiTheme="minorEastAsia" w:eastAsiaTheme="minorEastAsia"/>
          <w:b w:val="0"/>
          <w:sz w:val="24"/>
        </w:rPr>
        <w:t>本协议中的标题仅为参考所设，不应影响条文的解释。以下规定同样适用于对本协议进行解释，除非其上下文明确显示其不适用。在本协议中：</w:t>
      </w:r>
    </w:p>
    <w:p>
      <w:pPr>
        <w:pStyle w:val="4"/>
        <w:keepNext w:val="0"/>
        <w:keepLines w:val="0"/>
        <w:widowControl/>
        <w:numPr>
          <w:ilvl w:val="2"/>
          <w:numId w:val="0"/>
        </w:numPr>
        <w:tabs>
          <w:tab w:val="left" w:pos="1276"/>
          <w:tab w:val="left" w:pos="1418"/>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1.2.1 </w:t>
      </w:r>
      <w:r>
        <w:rPr>
          <w:rFonts w:asciiTheme="minorEastAsia" w:hAnsiTheme="minorEastAsia" w:eastAsiaTheme="minorEastAsia"/>
          <w:b w:val="0"/>
          <w:sz w:val="24"/>
        </w:rPr>
        <w:t>协议或文件，指包括经修订、更新、补充或替代后的该协议或文件；</w:t>
      </w:r>
    </w:p>
    <w:p>
      <w:pPr>
        <w:pStyle w:val="4"/>
        <w:keepNext w:val="0"/>
        <w:keepLines w:val="0"/>
        <w:widowControl/>
        <w:numPr>
          <w:ilvl w:val="2"/>
          <w:numId w:val="0"/>
        </w:numPr>
        <w:tabs>
          <w:tab w:val="left" w:pos="1276"/>
          <w:tab w:val="left" w:pos="1418"/>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1.2.2 </w:t>
      </w:r>
      <w:r>
        <w:rPr>
          <w:rFonts w:asciiTheme="minorEastAsia" w:hAnsiTheme="minorEastAsia" w:eastAsiaTheme="minorEastAsia"/>
          <w:b w:val="0"/>
          <w:sz w:val="24"/>
        </w:rPr>
        <w:t>“元”，指中国的法定货币单位“人民币”；</w:t>
      </w:r>
    </w:p>
    <w:p>
      <w:pPr>
        <w:pStyle w:val="4"/>
        <w:keepNext w:val="0"/>
        <w:keepLines w:val="0"/>
        <w:widowControl/>
        <w:numPr>
          <w:ilvl w:val="2"/>
          <w:numId w:val="0"/>
        </w:numPr>
        <w:tabs>
          <w:tab w:val="left" w:pos="1276"/>
          <w:tab w:val="left" w:pos="1418"/>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1.2.3 </w:t>
      </w:r>
      <w:r>
        <w:rPr>
          <w:rFonts w:asciiTheme="minorEastAsia" w:hAnsiTheme="minorEastAsia" w:eastAsiaTheme="minorEastAsia"/>
          <w:b w:val="0"/>
          <w:sz w:val="24"/>
        </w:rPr>
        <w:t>条款或附件，指本协议的条款或附件；</w:t>
      </w:r>
    </w:p>
    <w:p>
      <w:pPr>
        <w:pStyle w:val="4"/>
        <w:keepNext w:val="0"/>
        <w:keepLines w:val="0"/>
        <w:widowControl/>
        <w:numPr>
          <w:ilvl w:val="2"/>
          <w:numId w:val="0"/>
        </w:numPr>
        <w:tabs>
          <w:tab w:val="left" w:pos="1276"/>
          <w:tab w:val="left" w:pos="1418"/>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1.2.4 </w:t>
      </w:r>
      <w:r>
        <w:rPr>
          <w:rFonts w:asciiTheme="minorEastAsia" w:hAnsiTheme="minorEastAsia" w:eastAsiaTheme="minorEastAsia"/>
          <w:b w:val="0"/>
          <w:sz w:val="24"/>
        </w:rPr>
        <w:t>一方、双方，指本协议中的一方或双方，并且包括经允许的替代该方的主体或该方的受让人；</w:t>
      </w:r>
    </w:p>
    <w:p>
      <w:pPr>
        <w:pStyle w:val="4"/>
        <w:keepNext w:val="0"/>
        <w:keepLines w:val="0"/>
        <w:widowControl/>
        <w:numPr>
          <w:ilvl w:val="2"/>
          <w:numId w:val="0"/>
        </w:numPr>
        <w:tabs>
          <w:tab w:val="left" w:pos="1276"/>
          <w:tab w:val="left" w:pos="1418"/>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1.2.5 </w:t>
      </w:r>
      <w:r>
        <w:rPr>
          <w:rFonts w:asciiTheme="minorEastAsia" w:hAnsiTheme="minorEastAsia" w:eastAsiaTheme="minorEastAsia"/>
          <w:b w:val="0"/>
          <w:sz w:val="24"/>
        </w:rPr>
        <w:t>“包括”，指包括但不限于；</w:t>
      </w:r>
    </w:p>
    <w:p>
      <w:pPr>
        <w:pStyle w:val="4"/>
        <w:keepNext w:val="0"/>
        <w:keepLines w:val="0"/>
        <w:widowControl/>
        <w:numPr>
          <w:ilvl w:val="2"/>
          <w:numId w:val="0"/>
        </w:numPr>
        <w:tabs>
          <w:tab w:val="left" w:pos="1276"/>
          <w:tab w:val="left" w:pos="1418"/>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1.2.6 </w:t>
      </w:r>
      <w:r>
        <w:rPr>
          <w:rFonts w:asciiTheme="minorEastAsia" w:hAnsiTheme="minorEastAsia" w:eastAsiaTheme="minorEastAsia"/>
          <w:b w:val="0"/>
          <w:sz w:val="24"/>
        </w:rPr>
        <w:t>“以上”、“以下”、“以内”或“内”均含本数，“超过”、“以外”均不含本数；</w:t>
      </w:r>
    </w:p>
    <w:p>
      <w:pPr>
        <w:pStyle w:val="4"/>
        <w:keepNext w:val="0"/>
        <w:keepLines w:val="0"/>
        <w:widowControl/>
        <w:numPr>
          <w:ilvl w:val="2"/>
          <w:numId w:val="0"/>
        </w:numPr>
        <w:tabs>
          <w:tab w:val="left" w:pos="1276"/>
          <w:tab w:val="left" w:pos="1418"/>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1.2.7 </w:t>
      </w:r>
      <w:r>
        <w:rPr>
          <w:rFonts w:asciiTheme="minorEastAsia" w:hAnsiTheme="minorEastAsia" w:eastAsiaTheme="minorEastAsia"/>
          <w:b w:val="0"/>
          <w:sz w:val="24"/>
        </w:rPr>
        <w:t xml:space="preserve">日、月、季、年，指公历的日、月、季、年； </w:t>
      </w:r>
    </w:p>
    <w:p>
      <w:pPr>
        <w:pStyle w:val="4"/>
        <w:keepNext w:val="0"/>
        <w:keepLines w:val="0"/>
        <w:widowControl/>
        <w:numPr>
          <w:ilvl w:val="2"/>
          <w:numId w:val="0"/>
        </w:numPr>
        <w:tabs>
          <w:tab w:val="left" w:pos="1276"/>
          <w:tab w:val="left" w:pos="1418"/>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1.2.8 </w:t>
      </w:r>
      <w:r>
        <w:rPr>
          <w:rFonts w:asciiTheme="minorEastAsia" w:hAnsiTheme="minorEastAsia" w:eastAsiaTheme="minorEastAsia"/>
          <w:b w:val="0"/>
          <w:sz w:val="24"/>
        </w:rPr>
        <w:t>本协议并不限制或以其他方式影响甲方及其他政府主管部门行使其法定行政职权。</w:t>
      </w:r>
    </w:p>
    <w:bookmarkEnd w:id="267"/>
    <w:p>
      <w:pPr>
        <w:pStyle w:val="2"/>
        <w:keepNext w:val="0"/>
        <w:keepLines w:val="0"/>
        <w:widowControl/>
        <w:tabs>
          <w:tab w:val="left" w:pos="1134"/>
          <w:tab w:val="left" w:pos="4051"/>
          <w:tab w:val="clear" w:pos="360"/>
        </w:tabs>
        <w:autoSpaceDE w:val="0"/>
        <w:autoSpaceDN w:val="0"/>
        <w:spacing w:before="312" w:beforeLines="100"/>
        <w:ind w:left="0" w:leftChars="0" w:right="28" w:rightChars="0" w:firstLine="0"/>
        <w:rPr>
          <w:rFonts w:asciiTheme="minorEastAsia" w:hAnsiTheme="minorEastAsia"/>
          <w:sz w:val="24"/>
          <w:szCs w:val="24"/>
        </w:rPr>
      </w:pPr>
      <w:bookmarkStart w:id="268" w:name="_Toc50993424"/>
      <w:bookmarkStart w:id="269" w:name="_Toc2976"/>
      <w:r>
        <w:rPr>
          <w:rFonts w:asciiTheme="minorEastAsia" w:hAnsiTheme="minorEastAsia"/>
          <w:sz w:val="24"/>
          <w:szCs w:val="24"/>
        </w:rPr>
        <w:t>第</w:t>
      </w:r>
      <w:r>
        <w:rPr>
          <w:rFonts w:hint="eastAsia" w:asciiTheme="minorEastAsia" w:hAnsiTheme="minorEastAsia"/>
          <w:sz w:val="24"/>
          <w:szCs w:val="24"/>
        </w:rPr>
        <w:t xml:space="preserve">2条 </w:t>
      </w:r>
      <w:r>
        <w:rPr>
          <w:rFonts w:asciiTheme="minorEastAsia" w:hAnsiTheme="minorEastAsia"/>
          <w:sz w:val="24"/>
          <w:szCs w:val="24"/>
        </w:rPr>
        <w:t>合作关系建立</w:t>
      </w:r>
      <w:bookmarkEnd w:id="268"/>
      <w:bookmarkEnd w:id="269"/>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szCs w:val="24"/>
        </w:rPr>
      </w:pPr>
      <w:bookmarkStart w:id="270" w:name="_Toc50993425"/>
      <w:r>
        <w:rPr>
          <w:rFonts w:hint="eastAsia" w:asciiTheme="minorEastAsia" w:hAnsiTheme="minorEastAsia"/>
          <w:szCs w:val="24"/>
        </w:rPr>
        <w:t xml:space="preserve">2.1 </w:t>
      </w:r>
      <w:r>
        <w:rPr>
          <w:rFonts w:asciiTheme="minorEastAsia" w:hAnsiTheme="minorEastAsia"/>
          <w:szCs w:val="24"/>
        </w:rPr>
        <w:t>合作范围</w:t>
      </w:r>
      <w:bookmarkEnd w:id="270"/>
    </w:p>
    <w:p>
      <w:pPr>
        <w:spacing w:line="360" w:lineRule="auto"/>
        <w:ind w:firstLine="424" w:firstLineChars="177"/>
        <w:rPr>
          <w:rFonts w:asciiTheme="minorEastAsia" w:hAnsiTheme="minorEastAsia" w:eastAsiaTheme="minorEastAsia"/>
          <w:sz w:val="24"/>
          <w:szCs w:val="28"/>
        </w:rPr>
      </w:pPr>
      <w:r>
        <w:rPr>
          <w:rFonts w:asciiTheme="minorEastAsia" w:hAnsiTheme="minorEastAsia" w:eastAsiaTheme="minorEastAsia"/>
          <w:sz w:val="24"/>
          <w:szCs w:val="28"/>
        </w:rPr>
        <w:t>乙方作为本项目中选社会资本，按照采购文件要求出资组建项目公司，按照《PPP项目合同》等合同文件约定负责本项目合作范围内的项目设施的【</w:t>
      </w:r>
      <w:r>
        <w:rPr>
          <w:rFonts w:hint="eastAsia" w:ascii="MS Mincho" w:hAnsi="MS Mincho" w:eastAsia="MS Mincho" w:cs="MS Mincho"/>
          <w:sz w:val="24"/>
          <w:szCs w:val="28"/>
        </w:rPr>
        <w:t>☑</w:t>
      </w:r>
      <w:r>
        <w:rPr>
          <w:rFonts w:asciiTheme="minorEastAsia" w:hAnsiTheme="minorEastAsia" w:eastAsiaTheme="minorEastAsia"/>
          <w:sz w:val="24"/>
          <w:szCs w:val="28"/>
        </w:rPr>
        <w:t>投融资；</w:t>
      </w:r>
      <w:r>
        <w:rPr>
          <w:rFonts w:hint="eastAsia" w:ascii="MS Mincho" w:hAnsi="MS Mincho" w:eastAsia="MS Mincho" w:cs="MS Mincho"/>
          <w:sz w:val="24"/>
          <w:szCs w:val="28"/>
        </w:rPr>
        <w:t>☑</w:t>
      </w:r>
      <w:r>
        <w:rPr>
          <w:rFonts w:asciiTheme="minorEastAsia" w:hAnsiTheme="minorEastAsia" w:eastAsiaTheme="minorEastAsia"/>
          <w:sz w:val="24"/>
          <w:szCs w:val="28"/>
        </w:rPr>
        <w:t>建设；</w:t>
      </w:r>
      <w:r>
        <w:rPr>
          <w:rFonts w:hint="eastAsia" w:ascii="MS Mincho" w:hAnsi="MS Mincho" w:eastAsia="MS Mincho" w:cs="MS Mincho"/>
          <w:sz w:val="24"/>
          <w:szCs w:val="28"/>
        </w:rPr>
        <w:t>☑</w:t>
      </w:r>
      <w:r>
        <w:rPr>
          <w:rFonts w:asciiTheme="minorEastAsia" w:hAnsiTheme="minorEastAsia" w:eastAsiaTheme="minorEastAsia"/>
          <w:sz w:val="24"/>
          <w:szCs w:val="28"/>
        </w:rPr>
        <w:t>运营维护；</w:t>
      </w:r>
      <w:r>
        <w:rPr>
          <w:rFonts w:hint="eastAsia" w:ascii="MS Mincho" w:hAnsi="MS Mincho" w:eastAsia="MS Mincho" w:cs="MS Mincho"/>
          <w:sz w:val="24"/>
          <w:szCs w:val="28"/>
        </w:rPr>
        <w:t>☑</w:t>
      </w:r>
      <w:r>
        <w:rPr>
          <w:rFonts w:asciiTheme="minorEastAsia" w:hAnsiTheme="minorEastAsia" w:eastAsiaTheme="minorEastAsia"/>
          <w:sz w:val="24"/>
          <w:szCs w:val="28"/>
        </w:rPr>
        <w:t>移交】工作。</w:t>
      </w:r>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szCs w:val="24"/>
        </w:rPr>
      </w:pPr>
      <w:bookmarkStart w:id="271" w:name="_Toc50993426"/>
      <w:r>
        <w:rPr>
          <w:rFonts w:hint="eastAsia" w:asciiTheme="minorEastAsia" w:hAnsiTheme="minorEastAsia"/>
          <w:szCs w:val="24"/>
        </w:rPr>
        <w:t xml:space="preserve">2.2 </w:t>
      </w:r>
      <w:r>
        <w:rPr>
          <w:rFonts w:asciiTheme="minorEastAsia" w:hAnsiTheme="minorEastAsia"/>
          <w:szCs w:val="24"/>
        </w:rPr>
        <w:t>项目投融资规模</w:t>
      </w:r>
      <w:bookmarkEnd w:id="271"/>
    </w:p>
    <w:p>
      <w:pPr>
        <w:spacing w:line="360" w:lineRule="auto"/>
        <w:ind w:firstLine="424" w:firstLineChars="177"/>
        <w:rPr>
          <w:rFonts w:asciiTheme="minorEastAsia" w:hAnsiTheme="minorEastAsia" w:eastAsiaTheme="minorEastAsia"/>
          <w:sz w:val="24"/>
          <w:szCs w:val="28"/>
        </w:rPr>
      </w:pPr>
      <w:r>
        <w:rPr>
          <w:rFonts w:asciiTheme="minorEastAsia" w:hAnsiTheme="minorEastAsia" w:eastAsiaTheme="minorEastAsia"/>
          <w:sz w:val="24"/>
          <w:szCs w:val="28"/>
        </w:rPr>
        <w:t>本项目的总投资</w:t>
      </w:r>
      <w:r>
        <w:rPr>
          <w:rFonts w:hint="eastAsia" w:asciiTheme="minorEastAsia" w:hAnsiTheme="minorEastAsia" w:eastAsiaTheme="minorEastAsia"/>
          <w:sz w:val="24"/>
          <w:szCs w:val="28"/>
        </w:rPr>
        <w:t>暂定</w:t>
      </w:r>
      <w:r>
        <w:rPr>
          <w:rFonts w:asciiTheme="minorEastAsia" w:hAnsiTheme="minorEastAsia" w:eastAsiaTheme="minorEastAsia"/>
          <w:sz w:val="24"/>
          <w:szCs w:val="28"/>
        </w:rPr>
        <w:t>为</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35743.06</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万</w:t>
      </w:r>
      <w:r>
        <w:rPr>
          <w:rFonts w:asciiTheme="minorEastAsia" w:hAnsiTheme="minorEastAsia" w:eastAsiaTheme="minorEastAsia"/>
          <w:sz w:val="24"/>
          <w:szCs w:val="28"/>
        </w:rPr>
        <w:t>元，其中项目资本金为项目总投资的</w:t>
      </w:r>
      <w:r>
        <w:rPr>
          <w:rFonts w:asciiTheme="minorEastAsia" w:hAnsiTheme="minorEastAsia" w:eastAsiaTheme="minorEastAsia"/>
          <w:sz w:val="24"/>
          <w:szCs w:val="28"/>
          <w:u w:val="single"/>
        </w:rPr>
        <w:t xml:space="preserve"> 15.3</w:t>
      </w:r>
      <w:r>
        <w:rPr>
          <w:rFonts w:hint="eastAsia" w:asciiTheme="minorEastAsia" w:hAnsiTheme="minorEastAsia" w:eastAsiaTheme="minorEastAsia"/>
          <w:sz w:val="24"/>
          <w:szCs w:val="28"/>
          <w:u w:val="single"/>
        </w:rPr>
        <w:t>9</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％，即人民币</w:t>
      </w:r>
      <w:r>
        <w:rPr>
          <w:rFonts w:asciiTheme="minorEastAsia" w:hAnsiTheme="minorEastAsia" w:eastAsiaTheme="minorEastAsia"/>
          <w:sz w:val="24"/>
          <w:szCs w:val="28"/>
          <w:u w:val="single"/>
        </w:rPr>
        <w:t xml:space="preserve"> 5500 </w:t>
      </w:r>
      <w:r>
        <w:rPr>
          <w:rFonts w:hint="eastAsia" w:asciiTheme="minorEastAsia" w:hAnsiTheme="minorEastAsia" w:eastAsiaTheme="minorEastAsia"/>
          <w:sz w:val="24"/>
          <w:szCs w:val="28"/>
          <w:u w:val="single"/>
        </w:rPr>
        <w:t>万</w:t>
      </w:r>
      <w:r>
        <w:rPr>
          <w:rFonts w:asciiTheme="minorEastAsia" w:hAnsiTheme="minorEastAsia" w:eastAsiaTheme="minorEastAsia"/>
          <w:sz w:val="24"/>
          <w:szCs w:val="28"/>
        </w:rPr>
        <w:t>元；债务性资金为项目总投资的</w:t>
      </w:r>
      <w:r>
        <w:rPr>
          <w:rFonts w:asciiTheme="minorEastAsia" w:hAnsiTheme="minorEastAsia" w:eastAsiaTheme="minorEastAsia"/>
          <w:sz w:val="24"/>
          <w:szCs w:val="28"/>
          <w:u w:val="single"/>
        </w:rPr>
        <w:t xml:space="preserve"> 84.6</w:t>
      </w:r>
      <w:r>
        <w:rPr>
          <w:rFonts w:hint="eastAsia" w:asciiTheme="minorEastAsia" w:hAnsiTheme="minorEastAsia" w:eastAsiaTheme="minorEastAsia"/>
          <w:sz w:val="24"/>
          <w:szCs w:val="28"/>
          <w:u w:val="single"/>
        </w:rPr>
        <w:t>1</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％，即人民币</w:t>
      </w:r>
      <w:r>
        <w:rPr>
          <w:rFonts w:asciiTheme="minorEastAsia" w:hAnsiTheme="minorEastAsia" w:eastAsiaTheme="minorEastAsia"/>
          <w:sz w:val="24"/>
          <w:szCs w:val="28"/>
          <w:u w:val="single"/>
        </w:rPr>
        <w:t xml:space="preserve"> 302</w:t>
      </w:r>
      <w:r>
        <w:rPr>
          <w:rFonts w:hint="eastAsia" w:asciiTheme="minorEastAsia" w:hAnsiTheme="minorEastAsia" w:eastAsiaTheme="minorEastAsia"/>
          <w:sz w:val="24"/>
          <w:szCs w:val="28"/>
          <w:u w:val="single"/>
        </w:rPr>
        <w:t>43.06</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万</w:t>
      </w:r>
      <w:r>
        <w:rPr>
          <w:rFonts w:asciiTheme="minorEastAsia" w:hAnsiTheme="minorEastAsia" w:eastAsiaTheme="minorEastAsia"/>
          <w:sz w:val="24"/>
          <w:szCs w:val="28"/>
        </w:rPr>
        <w:t>元。</w:t>
      </w:r>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szCs w:val="24"/>
        </w:rPr>
      </w:pPr>
      <w:bookmarkStart w:id="272" w:name="_Toc50993427"/>
      <w:r>
        <w:rPr>
          <w:rFonts w:hint="eastAsia" w:asciiTheme="minorEastAsia" w:hAnsiTheme="minorEastAsia"/>
          <w:szCs w:val="24"/>
        </w:rPr>
        <w:t xml:space="preserve">2.3 </w:t>
      </w:r>
      <w:r>
        <w:rPr>
          <w:rFonts w:asciiTheme="minorEastAsia" w:hAnsiTheme="minorEastAsia"/>
          <w:szCs w:val="24"/>
        </w:rPr>
        <w:t>经营权授予</w:t>
      </w:r>
      <w:bookmarkEnd w:id="272"/>
    </w:p>
    <w:p>
      <w:pPr>
        <w:spacing w:line="360" w:lineRule="auto"/>
        <w:ind w:firstLine="424" w:firstLineChars="177"/>
        <w:rPr>
          <w:rFonts w:asciiTheme="minorEastAsia" w:hAnsiTheme="minorEastAsia" w:eastAsiaTheme="minorEastAsia"/>
          <w:sz w:val="24"/>
          <w:szCs w:val="28"/>
        </w:rPr>
      </w:pPr>
      <w:r>
        <w:rPr>
          <w:rFonts w:asciiTheme="minorEastAsia" w:hAnsiTheme="minorEastAsia" w:eastAsiaTheme="minorEastAsia"/>
          <w:sz w:val="24"/>
          <w:szCs w:val="28"/>
        </w:rPr>
        <w:t>甲方已获得本级人民政府的授权，通过与乙方签订《PPP项目合同》等合同文件的方式，将本项目的经营权授予乙方，即由乙方负责项目设施的【</w:t>
      </w:r>
      <w:r>
        <w:rPr>
          <w:rFonts w:hint="eastAsia" w:ascii="MS Mincho" w:hAnsi="MS Mincho" w:eastAsia="MS Mincho" w:cs="MS Mincho"/>
          <w:sz w:val="24"/>
          <w:szCs w:val="28"/>
        </w:rPr>
        <w:t>☑</w:t>
      </w:r>
      <w:r>
        <w:rPr>
          <w:rFonts w:asciiTheme="minorEastAsia" w:hAnsiTheme="minorEastAsia" w:eastAsiaTheme="minorEastAsia"/>
          <w:sz w:val="24"/>
          <w:szCs w:val="28"/>
        </w:rPr>
        <w:t>投融资；</w:t>
      </w:r>
      <w:r>
        <w:rPr>
          <w:rFonts w:hint="eastAsia" w:ascii="MS Mincho" w:hAnsi="MS Mincho" w:eastAsia="MS Mincho" w:cs="MS Mincho"/>
          <w:sz w:val="24"/>
          <w:szCs w:val="28"/>
        </w:rPr>
        <w:t>☑</w:t>
      </w:r>
      <w:r>
        <w:rPr>
          <w:rFonts w:asciiTheme="minorEastAsia" w:hAnsiTheme="minorEastAsia" w:eastAsiaTheme="minorEastAsia"/>
          <w:sz w:val="24"/>
          <w:szCs w:val="28"/>
        </w:rPr>
        <w:t>建设；</w:t>
      </w:r>
      <w:r>
        <w:rPr>
          <w:rFonts w:hint="eastAsia" w:ascii="MS Mincho" w:hAnsi="MS Mincho" w:eastAsia="MS Mincho" w:cs="MS Mincho"/>
          <w:sz w:val="24"/>
          <w:szCs w:val="28"/>
        </w:rPr>
        <w:t>☑</w:t>
      </w:r>
      <w:r>
        <w:rPr>
          <w:rFonts w:asciiTheme="minorEastAsia" w:hAnsiTheme="minorEastAsia" w:eastAsiaTheme="minorEastAsia"/>
          <w:sz w:val="24"/>
          <w:szCs w:val="28"/>
        </w:rPr>
        <w:t>运营维护；</w:t>
      </w:r>
      <w:r>
        <w:rPr>
          <w:rFonts w:hint="eastAsia" w:ascii="MS Mincho" w:hAnsi="MS Mincho" w:eastAsia="MS Mincho" w:cs="MS Mincho"/>
          <w:sz w:val="24"/>
          <w:szCs w:val="28"/>
        </w:rPr>
        <w:t>☑</w:t>
      </w:r>
      <w:r>
        <w:rPr>
          <w:rFonts w:asciiTheme="minorEastAsia" w:hAnsiTheme="minorEastAsia" w:eastAsiaTheme="minorEastAsia"/>
          <w:sz w:val="24"/>
          <w:szCs w:val="28"/>
        </w:rPr>
        <w:t>移交】，并享有获取相应合理回报的权利。</w:t>
      </w:r>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rPr>
      </w:pPr>
      <w:bookmarkStart w:id="273" w:name="_Toc50993428"/>
      <w:r>
        <w:rPr>
          <w:rFonts w:hint="eastAsia" w:asciiTheme="minorEastAsia" w:hAnsiTheme="minorEastAsia"/>
          <w:szCs w:val="24"/>
        </w:rPr>
        <w:t xml:space="preserve">2.4 </w:t>
      </w:r>
      <w:r>
        <w:rPr>
          <w:rFonts w:asciiTheme="minorEastAsia" w:hAnsiTheme="minorEastAsia"/>
          <w:szCs w:val="24"/>
        </w:rPr>
        <w:t>合作期限</w:t>
      </w:r>
      <w:bookmarkEnd w:id="273"/>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kern w:val="0"/>
          <w:sz w:val="24"/>
        </w:rPr>
        <w:t>本项目合作期限</w:t>
      </w:r>
      <w:r>
        <w:rPr>
          <w:rFonts w:asciiTheme="minorEastAsia" w:hAnsiTheme="minorEastAsia" w:eastAsiaTheme="minorEastAsia"/>
          <w:sz w:val="24"/>
        </w:rPr>
        <w:t>共</w:t>
      </w:r>
      <w:r>
        <w:rPr>
          <w:rFonts w:asciiTheme="minorEastAsia" w:hAnsiTheme="minorEastAsia" w:eastAsiaTheme="minorEastAsia"/>
          <w:b/>
          <w:sz w:val="24"/>
        </w:rPr>
        <w:t>_20_</w:t>
      </w:r>
      <w:r>
        <w:rPr>
          <w:rFonts w:asciiTheme="minorEastAsia" w:hAnsiTheme="minorEastAsia" w:eastAsiaTheme="minorEastAsia"/>
          <w:sz w:val="24"/>
        </w:rPr>
        <w:t>年，</w:t>
      </w:r>
      <w:r>
        <w:rPr>
          <w:rFonts w:asciiTheme="minorEastAsia" w:hAnsiTheme="minorEastAsia" w:eastAsiaTheme="minorEastAsia"/>
          <w:kern w:val="0"/>
          <w:sz w:val="24"/>
        </w:rPr>
        <w:t>自本协议生效日起至</w:t>
      </w:r>
      <w:r>
        <w:rPr>
          <w:rFonts w:asciiTheme="minorEastAsia" w:hAnsiTheme="minorEastAsia" w:eastAsiaTheme="minorEastAsia"/>
          <w:b/>
          <w:sz w:val="24"/>
        </w:rPr>
        <w:t>_____</w:t>
      </w:r>
      <w:r>
        <w:rPr>
          <w:rFonts w:asciiTheme="minorEastAsia" w:hAnsiTheme="minorEastAsia" w:eastAsiaTheme="minorEastAsia"/>
          <w:sz w:val="24"/>
        </w:rPr>
        <w:t>年</w:t>
      </w:r>
      <w:r>
        <w:rPr>
          <w:rFonts w:asciiTheme="minorEastAsia" w:hAnsiTheme="minorEastAsia" w:eastAsiaTheme="minorEastAsia"/>
          <w:b/>
          <w:sz w:val="24"/>
        </w:rPr>
        <w:t>_____</w:t>
      </w:r>
      <w:r>
        <w:rPr>
          <w:rFonts w:asciiTheme="minorEastAsia" w:hAnsiTheme="minorEastAsia" w:eastAsiaTheme="minorEastAsia"/>
          <w:sz w:val="24"/>
        </w:rPr>
        <w:t>月</w:t>
      </w:r>
      <w:r>
        <w:rPr>
          <w:rFonts w:asciiTheme="minorEastAsia" w:hAnsiTheme="minorEastAsia" w:eastAsiaTheme="minorEastAsia"/>
          <w:b/>
          <w:sz w:val="24"/>
        </w:rPr>
        <w:t>_____</w:t>
      </w:r>
      <w:r>
        <w:rPr>
          <w:rFonts w:asciiTheme="minorEastAsia" w:hAnsiTheme="minorEastAsia" w:eastAsiaTheme="minorEastAsia"/>
          <w:sz w:val="24"/>
        </w:rPr>
        <w:t>日</w:t>
      </w:r>
      <w:r>
        <w:rPr>
          <w:rFonts w:asciiTheme="minorEastAsia" w:hAnsiTheme="minorEastAsia" w:eastAsiaTheme="minorEastAsia"/>
          <w:b/>
          <w:sz w:val="24"/>
        </w:rPr>
        <w:t>_____</w:t>
      </w:r>
      <w:r>
        <w:rPr>
          <w:rFonts w:asciiTheme="minorEastAsia" w:hAnsiTheme="minorEastAsia" w:eastAsiaTheme="minorEastAsia"/>
          <w:sz w:val="24"/>
        </w:rPr>
        <w:t>时止，包括项目建设期和运营期。其中，建设期共</w:t>
      </w:r>
      <w:r>
        <w:rPr>
          <w:rFonts w:asciiTheme="minorEastAsia" w:hAnsiTheme="minorEastAsia" w:eastAsiaTheme="minorEastAsia"/>
          <w:b/>
          <w:sz w:val="24"/>
        </w:rPr>
        <w:t>_1_</w:t>
      </w:r>
      <w:r>
        <w:rPr>
          <w:rFonts w:asciiTheme="minorEastAsia" w:hAnsiTheme="minorEastAsia" w:eastAsiaTheme="minorEastAsia"/>
          <w:sz w:val="24"/>
        </w:rPr>
        <w:t>年，自</w:t>
      </w:r>
      <w:r>
        <w:rPr>
          <w:rFonts w:asciiTheme="minorEastAsia" w:hAnsiTheme="minorEastAsia" w:eastAsiaTheme="minorEastAsia"/>
          <w:b/>
          <w:sz w:val="24"/>
        </w:rPr>
        <w:t>_____</w:t>
      </w:r>
      <w:r>
        <w:rPr>
          <w:rFonts w:asciiTheme="minorEastAsia" w:hAnsiTheme="minorEastAsia" w:eastAsiaTheme="minorEastAsia"/>
          <w:sz w:val="24"/>
        </w:rPr>
        <w:t>年</w:t>
      </w:r>
      <w:r>
        <w:rPr>
          <w:rFonts w:asciiTheme="minorEastAsia" w:hAnsiTheme="minorEastAsia" w:eastAsiaTheme="minorEastAsia"/>
          <w:b/>
          <w:sz w:val="24"/>
        </w:rPr>
        <w:t>_____</w:t>
      </w:r>
      <w:r>
        <w:rPr>
          <w:rFonts w:asciiTheme="minorEastAsia" w:hAnsiTheme="minorEastAsia" w:eastAsiaTheme="minorEastAsia"/>
          <w:sz w:val="24"/>
        </w:rPr>
        <w:t>月</w:t>
      </w:r>
      <w:r>
        <w:rPr>
          <w:rFonts w:asciiTheme="minorEastAsia" w:hAnsiTheme="minorEastAsia" w:eastAsiaTheme="minorEastAsia"/>
          <w:b/>
          <w:sz w:val="24"/>
        </w:rPr>
        <w:t>_____</w:t>
      </w:r>
      <w:r>
        <w:rPr>
          <w:rFonts w:asciiTheme="minorEastAsia" w:hAnsiTheme="minorEastAsia" w:eastAsiaTheme="minorEastAsia"/>
          <w:sz w:val="24"/>
        </w:rPr>
        <w:t>日</w:t>
      </w:r>
      <w:r>
        <w:rPr>
          <w:rFonts w:asciiTheme="minorEastAsia" w:hAnsiTheme="minorEastAsia" w:eastAsiaTheme="minorEastAsia"/>
          <w:b/>
          <w:sz w:val="24"/>
        </w:rPr>
        <w:t>_____</w:t>
      </w:r>
      <w:r>
        <w:rPr>
          <w:rFonts w:asciiTheme="minorEastAsia" w:hAnsiTheme="minorEastAsia" w:eastAsiaTheme="minorEastAsia"/>
          <w:sz w:val="24"/>
        </w:rPr>
        <w:t>时起至</w:t>
      </w:r>
      <w:r>
        <w:rPr>
          <w:rFonts w:asciiTheme="minorEastAsia" w:hAnsiTheme="minorEastAsia" w:eastAsiaTheme="minorEastAsia"/>
          <w:b/>
          <w:sz w:val="24"/>
        </w:rPr>
        <w:t>_____</w:t>
      </w:r>
      <w:r>
        <w:rPr>
          <w:rFonts w:asciiTheme="minorEastAsia" w:hAnsiTheme="minorEastAsia" w:eastAsiaTheme="minorEastAsia"/>
          <w:sz w:val="24"/>
        </w:rPr>
        <w:t>年</w:t>
      </w:r>
      <w:r>
        <w:rPr>
          <w:rFonts w:asciiTheme="minorEastAsia" w:hAnsiTheme="minorEastAsia" w:eastAsiaTheme="minorEastAsia"/>
          <w:b/>
          <w:sz w:val="24"/>
        </w:rPr>
        <w:t>_____</w:t>
      </w:r>
      <w:r>
        <w:rPr>
          <w:rFonts w:asciiTheme="minorEastAsia" w:hAnsiTheme="minorEastAsia" w:eastAsiaTheme="minorEastAsia"/>
          <w:sz w:val="24"/>
        </w:rPr>
        <w:t>月</w:t>
      </w:r>
      <w:r>
        <w:rPr>
          <w:rFonts w:asciiTheme="minorEastAsia" w:hAnsiTheme="minorEastAsia" w:eastAsiaTheme="minorEastAsia"/>
          <w:b/>
          <w:sz w:val="24"/>
        </w:rPr>
        <w:t>_____</w:t>
      </w:r>
      <w:r>
        <w:rPr>
          <w:rFonts w:asciiTheme="minorEastAsia" w:hAnsiTheme="minorEastAsia" w:eastAsiaTheme="minorEastAsia"/>
          <w:sz w:val="24"/>
        </w:rPr>
        <w:t>日</w:t>
      </w:r>
      <w:r>
        <w:rPr>
          <w:rFonts w:asciiTheme="minorEastAsia" w:hAnsiTheme="minorEastAsia" w:eastAsiaTheme="minorEastAsia"/>
          <w:b/>
          <w:sz w:val="24"/>
        </w:rPr>
        <w:t>_____</w:t>
      </w:r>
      <w:r>
        <w:rPr>
          <w:rFonts w:asciiTheme="minorEastAsia" w:hAnsiTheme="minorEastAsia" w:eastAsiaTheme="minorEastAsia"/>
          <w:sz w:val="24"/>
        </w:rPr>
        <w:t>时止；运营期共</w:t>
      </w:r>
      <w:r>
        <w:rPr>
          <w:rFonts w:asciiTheme="minorEastAsia" w:hAnsiTheme="minorEastAsia" w:eastAsiaTheme="minorEastAsia"/>
          <w:b/>
          <w:sz w:val="24"/>
        </w:rPr>
        <w:t>_19_</w:t>
      </w:r>
      <w:r>
        <w:rPr>
          <w:rFonts w:asciiTheme="minorEastAsia" w:hAnsiTheme="minorEastAsia" w:eastAsiaTheme="minorEastAsia"/>
          <w:sz w:val="24"/>
        </w:rPr>
        <w:t>年，自</w:t>
      </w:r>
      <w:r>
        <w:rPr>
          <w:rFonts w:asciiTheme="minorEastAsia" w:hAnsiTheme="minorEastAsia" w:eastAsiaTheme="minorEastAsia"/>
          <w:b/>
          <w:sz w:val="24"/>
        </w:rPr>
        <w:t>_____</w:t>
      </w:r>
      <w:r>
        <w:rPr>
          <w:rFonts w:asciiTheme="minorEastAsia" w:hAnsiTheme="minorEastAsia" w:eastAsiaTheme="minorEastAsia"/>
          <w:sz w:val="24"/>
        </w:rPr>
        <w:t>年</w:t>
      </w:r>
      <w:r>
        <w:rPr>
          <w:rFonts w:asciiTheme="minorEastAsia" w:hAnsiTheme="minorEastAsia" w:eastAsiaTheme="minorEastAsia"/>
          <w:b/>
          <w:sz w:val="24"/>
        </w:rPr>
        <w:t>_____</w:t>
      </w:r>
      <w:r>
        <w:rPr>
          <w:rFonts w:asciiTheme="minorEastAsia" w:hAnsiTheme="minorEastAsia" w:eastAsiaTheme="minorEastAsia"/>
          <w:sz w:val="24"/>
        </w:rPr>
        <w:t>月</w:t>
      </w:r>
      <w:r>
        <w:rPr>
          <w:rFonts w:asciiTheme="minorEastAsia" w:hAnsiTheme="minorEastAsia" w:eastAsiaTheme="minorEastAsia"/>
          <w:b/>
          <w:sz w:val="24"/>
        </w:rPr>
        <w:t>_____</w:t>
      </w:r>
      <w:r>
        <w:rPr>
          <w:rFonts w:asciiTheme="minorEastAsia" w:hAnsiTheme="minorEastAsia" w:eastAsiaTheme="minorEastAsia"/>
          <w:sz w:val="24"/>
        </w:rPr>
        <w:t>日</w:t>
      </w:r>
      <w:r>
        <w:rPr>
          <w:rFonts w:asciiTheme="minorEastAsia" w:hAnsiTheme="minorEastAsia" w:eastAsiaTheme="minorEastAsia"/>
          <w:b/>
          <w:sz w:val="24"/>
        </w:rPr>
        <w:t>_____</w:t>
      </w:r>
      <w:r>
        <w:rPr>
          <w:rFonts w:asciiTheme="minorEastAsia" w:hAnsiTheme="minorEastAsia" w:eastAsiaTheme="minorEastAsia"/>
          <w:sz w:val="24"/>
        </w:rPr>
        <w:t>时起至</w:t>
      </w:r>
      <w:r>
        <w:rPr>
          <w:rFonts w:asciiTheme="minorEastAsia" w:hAnsiTheme="minorEastAsia" w:eastAsiaTheme="minorEastAsia"/>
          <w:b/>
          <w:sz w:val="24"/>
        </w:rPr>
        <w:t>_____</w:t>
      </w:r>
      <w:r>
        <w:rPr>
          <w:rFonts w:asciiTheme="minorEastAsia" w:hAnsiTheme="minorEastAsia" w:eastAsiaTheme="minorEastAsia"/>
          <w:sz w:val="24"/>
        </w:rPr>
        <w:t>年</w:t>
      </w:r>
      <w:r>
        <w:rPr>
          <w:rFonts w:asciiTheme="minorEastAsia" w:hAnsiTheme="minorEastAsia" w:eastAsiaTheme="minorEastAsia"/>
          <w:b/>
          <w:sz w:val="24"/>
        </w:rPr>
        <w:t>_____</w:t>
      </w:r>
      <w:r>
        <w:rPr>
          <w:rFonts w:asciiTheme="minorEastAsia" w:hAnsiTheme="minorEastAsia" w:eastAsiaTheme="minorEastAsia"/>
          <w:sz w:val="24"/>
        </w:rPr>
        <w:t>月</w:t>
      </w:r>
      <w:r>
        <w:rPr>
          <w:rFonts w:asciiTheme="minorEastAsia" w:hAnsiTheme="minorEastAsia" w:eastAsiaTheme="minorEastAsia"/>
          <w:b/>
          <w:sz w:val="24"/>
        </w:rPr>
        <w:t>_____</w:t>
      </w:r>
      <w:r>
        <w:rPr>
          <w:rFonts w:asciiTheme="minorEastAsia" w:hAnsiTheme="minorEastAsia" w:eastAsiaTheme="minorEastAsia"/>
          <w:sz w:val="24"/>
        </w:rPr>
        <w:t>日</w:t>
      </w:r>
      <w:r>
        <w:rPr>
          <w:rFonts w:asciiTheme="minorEastAsia" w:hAnsiTheme="minorEastAsia" w:eastAsiaTheme="minorEastAsia"/>
          <w:b/>
          <w:sz w:val="24"/>
        </w:rPr>
        <w:t>_____</w:t>
      </w:r>
      <w:r>
        <w:rPr>
          <w:rFonts w:asciiTheme="minorEastAsia" w:hAnsiTheme="minorEastAsia" w:eastAsiaTheme="minorEastAsia"/>
          <w:sz w:val="24"/>
        </w:rPr>
        <w:t>时止。</w:t>
      </w:r>
    </w:p>
    <w:p>
      <w:pPr>
        <w:pStyle w:val="1427"/>
        <w:spacing w:before="80" w:after="80" w:line="360" w:lineRule="auto"/>
        <w:ind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合作期限的其他约定：</w:t>
      </w:r>
      <w:r>
        <w:rPr>
          <w:rFonts w:asciiTheme="minorEastAsia" w:hAnsiTheme="minorEastAsia" w:eastAsiaTheme="minorEastAsia"/>
          <w:sz w:val="24"/>
          <w:szCs w:val="24"/>
          <w:u w:val="single"/>
        </w:rPr>
        <w:t xml:space="preserve">   项目竣工验收合格后次日，项目进入运营期。若项目提前或延迟完工，在不涉及提前终止等情况下，乙方运营期长度仍保持19年不变，合作期总年限对应调整。   </w:t>
      </w:r>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szCs w:val="24"/>
        </w:rPr>
      </w:pPr>
      <w:bookmarkStart w:id="274" w:name="_Toc50993429"/>
      <w:r>
        <w:rPr>
          <w:rFonts w:hint="eastAsia" w:asciiTheme="minorEastAsia" w:hAnsiTheme="minorEastAsia"/>
          <w:szCs w:val="24"/>
        </w:rPr>
        <w:t xml:space="preserve">2.5 </w:t>
      </w:r>
      <w:r>
        <w:rPr>
          <w:rFonts w:asciiTheme="minorEastAsia" w:hAnsiTheme="minorEastAsia"/>
          <w:szCs w:val="24"/>
        </w:rPr>
        <w:t>协议安排</w:t>
      </w:r>
      <w:bookmarkEnd w:id="274"/>
    </w:p>
    <w:p>
      <w:pPr>
        <w:spacing w:line="360" w:lineRule="auto"/>
        <w:ind w:firstLine="424" w:firstLineChars="177"/>
        <w:rPr>
          <w:rFonts w:asciiTheme="minorEastAsia" w:hAnsiTheme="minorEastAsia" w:eastAsiaTheme="minorEastAsia"/>
          <w:sz w:val="24"/>
          <w:szCs w:val="28"/>
        </w:rPr>
      </w:pPr>
      <w:r>
        <w:rPr>
          <w:rFonts w:asciiTheme="minorEastAsia" w:hAnsiTheme="minorEastAsia" w:eastAsiaTheme="minorEastAsia"/>
          <w:sz w:val="24"/>
          <w:szCs w:val="28"/>
        </w:rPr>
        <w:t>政府方参股的，本协议签署之时，乙方应当按本项目采购文件规定与政府方出资代表同步签署《股东协议》（如有）。</w:t>
      </w:r>
    </w:p>
    <w:p>
      <w:pPr>
        <w:pStyle w:val="2"/>
        <w:keepNext w:val="0"/>
        <w:keepLines w:val="0"/>
        <w:widowControl/>
        <w:tabs>
          <w:tab w:val="left" w:pos="1134"/>
          <w:tab w:val="left" w:pos="4051"/>
          <w:tab w:val="clear" w:pos="360"/>
        </w:tabs>
        <w:autoSpaceDE w:val="0"/>
        <w:autoSpaceDN w:val="0"/>
        <w:spacing w:before="312" w:beforeLines="100"/>
        <w:ind w:left="0" w:leftChars="0" w:right="28" w:rightChars="0" w:firstLine="0"/>
        <w:rPr>
          <w:rFonts w:asciiTheme="minorEastAsia" w:hAnsiTheme="minorEastAsia"/>
          <w:szCs w:val="28"/>
        </w:rPr>
      </w:pPr>
      <w:bookmarkStart w:id="275" w:name="_Toc50993430"/>
      <w:bookmarkStart w:id="276" w:name="_Toc27140"/>
      <w:r>
        <w:rPr>
          <w:rFonts w:asciiTheme="minorEastAsia" w:hAnsiTheme="minorEastAsia"/>
          <w:szCs w:val="28"/>
        </w:rPr>
        <w:t>第</w:t>
      </w:r>
      <w:r>
        <w:rPr>
          <w:rFonts w:hint="eastAsia" w:asciiTheme="minorEastAsia" w:hAnsiTheme="minorEastAsia"/>
          <w:szCs w:val="28"/>
        </w:rPr>
        <w:t xml:space="preserve">3条 </w:t>
      </w:r>
      <w:r>
        <w:rPr>
          <w:rFonts w:asciiTheme="minorEastAsia" w:hAnsiTheme="minorEastAsia"/>
          <w:szCs w:val="28"/>
        </w:rPr>
        <w:t>项目公司组建</w:t>
      </w:r>
      <w:bookmarkEnd w:id="275"/>
      <w:bookmarkEnd w:id="276"/>
    </w:p>
    <w:p>
      <w:pPr>
        <w:spacing w:line="360" w:lineRule="auto"/>
        <w:ind w:firstLine="424" w:firstLineChars="177"/>
        <w:rPr>
          <w:rFonts w:asciiTheme="minorEastAsia" w:hAnsiTheme="minorEastAsia" w:eastAsiaTheme="minorEastAsia"/>
          <w:sz w:val="24"/>
          <w:szCs w:val="28"/>
        </w:rPr>
      </w:pPr>
      <w:r>
        <w:rPr>
          <w:rFonts w:asciiTheme="minorEastAsia" w:hAnsiTheme="minorEastAsia" w:eastAsiaTheme="minorEastAsia"/>
          <w:sz w:val="24"/>
          <w:szCs w:val="28"/>
        </w:rPr>
        <w:t>乙方与【广西贵港市工业投资发展集团有限公司（政府方出资代表）】（如有）应于本协议签署后_30_日内完成项目公司的设立，并领取营业执照。</w:t>
      </w:r>
    </w:p>
    <w:p>
      <w:pPr>
        <w:spacing w:line="360" w:lineRule="auto"/>
        <w:ind w:firstLine="424" w:firstLineChars="177"/>
        <w:rPr>
          <w:rFonts w:asciiTheme="minorEastAsia" w:hAnsiTheme="minorEastAsia" w:eastAsiaTheme="minorEastAsia"/>
          <w:sz w:val="24"/>
          <w:szCs w:val="28"/>
        </w:rPr>
      </w:pPr>
      <w:r>
        <w:rPr>
          <w:rFonts w:asciiTheme="minorEastAsia" w:hAnsiTheme="minorEastAsia" w:eastAsiaTheme="minorEastAsia"/>
          <w:sz w:val="24"/>
          <w:szCs w:val="28"/>
        </w:rPr>
        <w:t>项目公司的注册资本、股东的出资额、出资方式和出资时间，具体约定如下：</w:t>
      </w:r>
    </w:p>
    <w:p>
      <w:pPr>
        <w:spacing w:line="360" w:lineRule="auto"/>
        <w:rPr>
          <w:rFonts w:asciiTheme="minorEastAsia" w:hAnsiTheme="minorEastAsia" w:eastAsiaTheme="minorEastAsia"/>
          <w:sz w:val="24"/>
          <w:szCs w:val="28"/>
          <w:u w:val="single"/>
        </w:rPr>
      </w:pPr>
      <w:r>
        <w:rPr>
          <w:rFonts w:asciiTheme="minorEastAsia" w:hAnsiTheme="minorEastAsia" w:eastAsiaTheme="minorEastAsia"/>
          <w:sz w:val="24"/>
          <w:szCs w:val="28"/>
          <w:u w:val="single"/>
        </w:rPr>
        <w:t>项目公司在贵港市注册，项目注册资本金金额550万元，政府方出资代表现金出资55万元，持股10%；乙方现金出资495万元，持股90%。在本项目公司成立后</w:t>
      </w:r>
      <w:r>
        <w:rPr>
          <w:rFonts w:hint="eastAsia" w:asciiTheme="minorEastAsia" w:hAnsiTheme="minorEastAsia" w:eastAsiaTheme="minorEastAsia"/>
          <w:sz w:val="24"/>
          <w:szCs w:val="28"/>
          <w:u w:val="single"/>
        </w:rPr>
        <w:t>3</w:t>
      </w:r>
      <w:r>
        <w:rPr>
          <w:rFonts w:asciiTheme="minorEastAsia" w:hAnsiTheme="minorEastAsia" w:eastAsiaTheme="minorEastAsia"/>
          <w:sz w:val="24"/>
          <w:szCs w:val="28"/>
          <w:u w:val="single"/>
        </w:rPr>
        <w:t>个月内注入。乙方资金注入后须向甲方提交汇款收据或其他的证明资料。</w:t>
      </w:r>
    </w:p>
    <w:p>
      <w:pPr>
        <w:spacing w:line="360" w:lineRule="auto"/>
        <w:ind w:firstLine="424" w:firstLineChars="177"/>
        <w:rPr>
          <w:rFonts w:asciiTheme="minorEastAsia" w:hAnsiTheme="minorEastAsia" w:eastAsiaTheme="minorEastAsia"/>
          <w:sz w:val="24"/>
          <w:szCs w:val="28"/>
        </w:rPr>
      </w:pPr>
      <w:r>
        <w:rPr>
          <w:rFonts w:asciiTheme="minorEastAsia" w:hAnsiTheme="minorEastAsia" w:eastAsiaTheme="minorEastAsia"/>
          <w:sz w:val="24"/>
          <w:szCs w:val="28"/>
        </w:rPr>
        <w:t>项目公司应保证其经营活动、运营范围和项目资产使用仅限于为了实施本项目建设、运营和移交之目的，未经甲方书面许可和政府部门批准，不得从事其他经营活动。</w:t>
      </w:r>
      <w:r>
        <w:rPr>
          <w:rFonts w:hint="eastAsia" w:asciiTheme="minorEastAsia" w:hAnsiTheme="minorEastAsia" w:eastAsiaTheme="minorEastAsia"/>
          <w:sz w:val="24"/>
          <w:szCs w:val="28"/>
        </w:rPr>
        <w:t>政府方只参与超额利润分配，但可将政府方出资代表1人的人员工资纳入年度运营成本。</w:t>
      </w:r>
    </w:p>
    <w:p>
      <w:pPr>
        <w:pStyle w:val="2"/>
        <w:keepNext w:val="0"/>
        <w:keepLines w:val="0"/>
        <w:widowControl/>
        <w:tabs>
          <w:tab w:val="left" w:pos="1134"/>
          <w:tab w:val="left" w:pos="4051"/>
          <w:tab w:val="clear" w:pos="360"/>
        </w:tabs>
        <w:autoSpaceDE w:val="0"/>
        <w:autoSpaceDN w:val="0"/>
        <w:spacing w:before="312" w:beforeLines="100"/>
        <w:ind w:left="0" w:leftChars="0" w:right="28" w:rightChars="0" w:firstLine="0"/>
        <w:rPr>
          <w:rFonts w:asciiTheme="minorEastAsia" w:hAnsiTheme="minorEastAsia"/>
        </w:rPr>
      </w:pPr>
      <w:bookmarkStart w:id="277" w:name="_Toc50993431"/>
      <w:bookmarkStart w:id="278" w:name="_Toc32303"/>
      <w:r>
        <w:rPr>
          <w:rFonts w:asciiTheme="minorEastAsia" w:hAnsiTheme="minorEastAsia"/>
        </w:rPr>
        <w:t>第</w:t>
      </w:r>
      <w:r>
        <w:rPr>
          <w:rFonts w:hint="eastAsia" w:asciiTheme="minorEastAsia" w:hAnsiTheme="minorEastAsia"/>
        </w:rPr>
        <w:t xml:space="preserve">4条 </w:t>
      </w:r>
      <w:r>
        <w:rPr>
          <w:rFonts w:asciiTheme="minorEastAsia" w:hAnsiTheme="minorEastAsia"/>
        </w:rPr>
        <w:t>股权变更</w:t>
      </w:r>
      <w:bookmarkEnd w:id="277"/>
      <w:bookmarkEnd w:id="278"/>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b w:val="0"/>
          <w:szCs w:val="24"/>
        </w:rPr>
      </w:pPr>
      <w:bookmarkStart w:id="279" w:name="_Toc50993432"/>
      <w:r>
        <w:rPr>
          <w:rFonts w:hint="eastAsia" w:asciiTheme="minorEastAsia" w:hAnsiTheme="minorEastAsia"/>
          <w:szCs w:val="24"/>
        </w:rPr>
        <w:t xml:space="preserve">4.1 </w:t>
      </w:r>
      <w:r>
        <w:rPr>
          <w:rFonts w:asciiTheme="minorEastAsia" w:hAnsiTheme="minorEastAsia"/>
          <w:szCs w:val="24"/>
        </w:rPr>
        <w:t>锁定期</w:t>
      </w:r>
      <w:bookmarkEnd w:id="279"/>
    </w:p>
    <w:p>
      <w:pPr>
        <w:pStyle w:val="1427"/>
        <w:spacing w:before="80" w:after="80" w:line="360" w:lineRule="auto"/>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锁定期是指自项目公司成立之日起，至项目进入运营期</w:t>
      </w:r>
      <w:r>
        <w:rPr>
          <w:rFonts w:asciiTheme="minorEastAsia" w:hAnsiTheme="minorEastAsia" w:eastAsiaTheme="minorEastAsia"/>
          <w:b/>
          <w:sz w:val="24"/>
          <w:szCs w:val="24"/>
        </w:rPr>
        <w:t>_2_</w:t>
      </w:r>
      <w:r>
        <w:rPr>
          <w:rFonts w:asciiTheme="minorEastAsia" w:hAnsiTheme="minorEastAsia" w:eastAsiaTheme="minorEastAsia"/>
          <w:sz w:val="24"/>
          <w:szCs w:val="24"/>
        </w:rPr>
        <w:t>年内，</w:t>
      </w:r>
      <w:r>
        <w:rPr>
          <w:rFonts w:hint="eastAsia" w:asciiTheme="minorEastAsia" w:hAnsiTheme="minorEastAsia" w:eastAsiaTheme="minorEastAsia"/>
          <w:sz w:val="24"/>
          <w:szCs w:val="24"/>
        </w:rPr>
        <w:t>除为本项目融资外，</w:t>
      </w:r>
      <w:r>
        <w:rPr>
          <w:rFonts w:asciiTheme="minorEastAsia" w:hAnsiTheme="minorEastAsia" w:eastAsiaTheme="minorEastAsia"/>
          <w:sz w:val="24"/>
          <w:szCs w:val="24"/>
        </w:rPr>
        <w:t>未经甲方书面同意，乙方持有的项目公司股权不得发生转让等变更。</w:t>
      </w:r>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b w:val="0"/>
          <w:szCs w:val="24"/>
        </w:rPr>
      </w:pPr>
      <w:bookmarkStart w:id="280" w:name="_Toc50993433"/>
      <w:r>
        <w:rPr>
          <w:rFonts w:hint="eastAsia" w:asciiTheme="minorEastAsia" w:hAnsiTheme="minorEastAsia"/>
          <w:szCs w:val="24"/>
        </w:rPr>
        <w:t xml:space="preserve">4.2 </w:t>
      </w:r>
      <w:r>
        <w:rPr>
          <w:rFonts w:asciiTheme="minorEastAsia" w:hAnsiTheme="minorEastAsia"/>
          <w:szCs w:val="24"/>
        </w:rPr>
        <w:t>锁定期的例外情形</w:t>
      </w:r>
      <w:bookmarkEnd w:id="280"/>
    </w:p>
    <w:p>
      <w:pPr>
        <w:pStyle w:val="1427"/>
        <w:spacing w:before="80" w:after="80" w:line="360" w:lineRule="auto"/>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锁定期内，如果发生以下特殊情形，经甲方书面同意，可以允许发生股权变更：</w:t>
      </w:r>
    </w:p>
    <w:p>
      <w:pPr>
        <w:pStyle w:val="1427"/>
        <w:spacing w:before="80" w:after="80" w:line="360" w:lineRule="auto"/>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（1）项目融资方为实现本项目融资项下的</w:t>
      </w:r>
      <w:r>
        <w:rPr>
          <w:rFonts w:hint="eastAsia" w:asciiTheme="minorEastAsia" w:hAnsiTheme="minorEastAsia" w:eastAsiaTheme="minorEastAsia"/>
          <w:sz w:val="24"/>
          <w:szCs w:val="24"/>
        </w:rPr>
        <w:t>担保</w:t>
      </w:r>
      <w:r>
        <w:rPr>
          <w:rFonts w:asciiTheme="minorEastAsia" w:hAnsiTheme="minorEastAsia" w:eastAsiaTheme="minorEastAsia"/>
          <w:sz w:val="24"/>
          <w:szCs w:val="24"/>
        </w:rPr>
        <w:t>权利而涉及的股权结构变更；</w:t>
      </w:r>
    </w:p>
    <w:p>
      <w:pPr>
        <w:pStyle w:val="1427"/>
        <w:spacing w:before="80" w:after="80" w:line="360" w:lineRule="auto"/>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（2）政府方参股的，则政府方出资代表转让其持有的项目公司股权不受上述股权变更限制；</w:t>
      </w:r>
    </w:p>
    <w:p>
      <w:pPr>
        <w:pStyle w:val="1427"/>
        <w:spacing w:before="80" w:after="80" w:line="360" w:lineRule="auto"/>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（3）</w:t>
      </w:r>
      <w:bookmarkStart w:id="281" w:name="_Hlk518307891"/>
      <w:r>
        <w:rPr>
          <w:rFonts w:asciiTheme="minorEastAsia" w:hAnsiTheme="minorEastAsia" w:eastAsiaTheme="minorEastAsia"/>
          <w:sz w:val="24"/>
          <w:szCs w:val="24"/>
        </w:rPr>
        <w:t>经甲方同意进行资产证券化等再融资活动，由此而导致股权变更的</w:t>
      </w:r>
      <w:bookmarkEnd w:id="281"/>
      <w:r>
        <w:rPr>
          <w:rFonts w:asciiTheme="minorEastAsia" w:hAnsiTheme="minorEastAsia" w:eastAsiaTheme="minorEastAsia"/>
          <w:sz w:val="24"/>
          <w:szCs w:val="24"/>
        </w:rPr>
        <w:t>；</w:t>
      </w:r>
    </w:p>
    <w:p>
      <w:pPr>
        <w:widowControl/>
        <w:spacing w:line="360" w:lineRule="auto"/>
        <w:ind w:firstLine="422" w:firstLineChars="176"/>
        <w:jc w:val="left"/>
        <w:rPr>
          <w:rFonts w:asciiTheme="minorEastAsia" w:hAnsiTheme="minorEastAsia" w:eastAsiaTheme="minorEastAsia"/>
          <w:sz w:val="20"/>
          <w:szCs w:val="20"/>
        </w:rPr>
      </w:pPr>
      <w:r>
        <w:rPr>
          <w:rFonts w:asciiTheme="minorEastAsia" w:hAnsiTheme="minorEastAsia" w:eastAsiaTheme="minorEastAsia"/>
          <w:sz w:val="24"/>
        </w:rPr>
        <w:t>（4）双方</w:t>
      </w:r>
      <w:r>
        <w:rPr>
          <w:rFonts w:hint="eastAsia" w:asciiTheme="minorEastAsia" w:hAnsiTheme="minorEastAsia" w:eastAsiaTheme="minorEastAsia"/>
          <w:sz w:val="24"/>
        </w:rPr>
        <w:t>协商一致</w:t>
      </w:r>
      <w:r>
        <w:rPr>
          <w:rFonts w:asciiTheme="minorEastAsia" w:hAnsiTheme="minorEastAsia" w:eastAsiaTheme="minorEastAsia"/>
          <w:sz w:val="24"/>
        </w:rPr>
        <w:t>的其他情形</w:t>
      </w:r>
      <w:r>
        <w:rPr>
          <w:rFonts w:hint="eastAsia" w:asciiTheme="minorEastAsia" w:hAnsiTheme="minorEastAsia" w:eastAsiaTheme="minorEastAsia"/>
          <w:sz w:val="24"/>
        </w:rPr>
        <w:t>。</w:t>
      </w:r>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b w:val="0"/>
          <w:szCs w:val="24"/>
        </w:rPr>
      </w:pPr>
      <w:bookmarkStart w:id="282" w:name="_Toc50993434"/>
      <w:r>
        <w:rPr>
          <w:rFonts w:hint="eastAsia" w:asciiTheme="minorEastAsia" w:hAnsiTheme="minorEastAsia"/>
          <w:szCs w:val="24"/>
        </w:rPr>
        <w:t xml:space="preserve">4.3 </w:t>
      </w:r>
      <w:r>
        <w:rPr>
          <w:rFonts w:asciiTheme="minorEastAsia" w:hAnsiTheme="minorEastAsia"/>
          <w:szCs w:val="24"/>
        </w:rPr>
        <w:t>锁定期满股权变更的限制</w:t>
      </w:r>
      <w:bookmarkEnd w:id="282"/>
    </w:p>
    <w:p>
      <w:pPr>
        <w:pStyle w:val="1427"/>
        <w:spacing w:before="80" w:after="80" w:line="360" w:lineRule="auto"/>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4.3.1锁定期满后，在符合第4.3.2款约定的前提下，经甲方事先书面同意，则任意一方股东可以依法转让其持有的项目公司股权。</w:t>
      </w:r>
    </w:p>
    <w:p>
      <w:pPr>
        <w:pStyle w:val="1427"/>
        <w:spacing w:before="80" w:after="80" w:line="360" w:lineRule="auto"/>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4.3.2股权受让方</w:t>
      </w:r>
      <w:r>
        <w:rPr>
          <w:rFonts w:hint="eastAsia" w:asciiTheme="minorEastAsia" w:hAnsiTheme="minorEastAsia" w:eastAsiaTheme="minorEastAsia"/>
          <w:sz w:val="24"/>
          <w:szCs w:val="24"/>
        </w:rPr>
        <w:t>（除项目融资目的外）</w:t>
      </w:r>
      <w:r>
        <w:rPr>
          <w:rFonts w:asciiTheme="minorEastAsia" w:hAnsiTheme="minorEastAsia" w:eastAsiaTheme="minorEastAsia"/>
          <w:sz w:val="24"/>
          <w:szCs w:val="24"/>
        </w:rPr>
        <w:t xml:space="preserve">应满足本项目采购文件规定或具备项目实施所必需的技术能力、财务实力、资格信用、运营经验等基本条件，并已经以书面形式明示，在其成为项目公司股东后，承继股权转让方（即本协议乙方）在本协议项下的义务（甲、乙双方另有约定的除外），同时督促并确保项目公司继续承担《PPP项目合同》等合同文件项下的义务。否则，甲方对相应股权转让有权予以否决。 </w:t>
      </w:r>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szCs w:val="24"/>
        </w:rPr>
      </w:pPr>
      <w:bookmarkStart w:id="283" w:name="_Toc50993435"/>
      <w:r>
        <w:rPr>
          <w:rFonts w:hint="eastAsia" w:asciiTheme="minorEastAsia" w:hAnsiTheme="minorEastAsia"/>
          <w:szCs w:val="24"/>
        </w:rPr>
        <w:t xml:space="preserve">4.4 </w:t>
      </w:r>
      <w:r>
        <w:rPr>
          <w:rFonts w:asciiTheme="minorEastAsia" w:hAnsiTheme="minorEastAsia"/>
          <w:szCs w:val="24"/>
        </w:rPr>
        <w:t>合作期满乙方股权的处分</w:t>
      </w:r>
      <w:bookmarkEnd w:id="283"/>
    </w:p>
    <w:p>
      <w:pPr>
        <w:pStyle w:val="1427"/>
        <w:spacing w:before="80" w:after="80" w:line="360" w:lineRule="auto"/>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本项目合作期满后，对于乙方持有项目公司的股权处分，双方约定如下：</w:t>
      </w:r>
    </w:p>
    <w:p>
      <w:pPr>
        <w:widowControl/>
        <w:spacing w:line="360" w:lineRule="auto"/>
        <w:rPr>
          <w:rFonts w:asciiTheme="minorEastAsia" w:hAnsiTheme="minorEastAsia" w:eastAsiaTheme="minorEastAsia"/>
          <w:sz w:val="20"/>
          <w:szCs w:val="20"/>
        </w:rPr>
      </w:pPr>
      <w:r>
        <w:rPr>
          <w:rFonts w:asciiTheme="minorEastAsia" w:hAnsiTheme="minorEastAsia" w:eastAsiaTheme="minorEastAsia"/>
          <w:sz w:val="24"/>
          <w:u w:val="single"/>
        </w:rPr>
        <w:t xml:space="preserve"> 乙方将其持有的PPP项目公司的股权全部无偿转让给政府方，由此产生的税费由</w:t>
      </w:r>
      <w:r>
        <w:rPr>
          <w:rFonts w:hint="eastAsia" w:asciiTheme="minorEastAsia" w:hAnsiTheme="minorEastAsia" w:eastAsiaTheme="minorEastAsia"/>
          <w:sz w:val="24"/>
          <w:u w:val="single"/>
        </w:rPr>
        <w:t>税费由纳税义务主体各自</w:t>
      </w:r>
      <w:r>
        <w:rPr>
          <w:rFonts w:asciiTheme="minorEastAsia" w:hAnsiTheme="minorEastAsia" w:eastAsiaTheme="minorEastAsia"/>
          <w:sz w:val="24"/>
          <w:u w:val="single"/>
        </w:rPr>
        <w:t>承担。</w:t>
      </w:r>
    </w:p>
    <w:p>
      <w:pPr>
        <w:pStyle w:val="2"/>
        <w:keepNext w:val="0"/>
        <w:keepLines w:val="0"/>
        <w:widowControl/>
        <w:tabs>
          <w:tab w:val="left" w:pos="1134"/>
          <w:tab w:val="left" w:pos="4051"/>
          <w:tab w:val="clear" w:pos="360"/>
        </w:tabs>
        <w:autoSpaceDE w:val="0"/>
        <w:autoSpaceDN w:val="0"/>
        <w:spacing w:before="312" w:beforeLines="100"/>
        <w:ind w:left="0" w:leftChars="0" w:right="28" w:rightChars="0" w:firstLine="0"/>
        <w:rPr>
          <w:rFonts w:asciiTheme="minorEastAsia" w:hAnsiTheme="minorEastAsia"/>
        </w:rPr>
      </w:pPr>
      <w:bookmarkStart w:id="284" w:name="_Toc50993436"/>
      <w:bookmarkStart w:id="285" w:name="_Toc3675"/>
      <w:r>
        <w:rPr>
          <w:rFonts w:asciiTheme="minorEastAsia" w:hAnsiTheme="minorEastAsia"/>
        </w:rPr>
        <w:t>第</w:t>
      </w:r>
      <w:r>
        <w:rPr>
          <w:rFonts w:hint="eastAsia" w:asciiTheme="minorEastAsia" w:hAnsiTheme="minorEastAsia"/>
        </w:rPr>
        <w:t xml:space="preserve">5条 </w:t>
      </w:r>
      <w:r>
        <w:rPr>
          <w:rFonts w:asciiTheme="minorEastAsia" w:hAnsiTheme="minorEastAsia"/>
        </w:rPr>
        <w:t>权利和义务及双方承诺</w:t>
      </w:r>
      <w:bookmarkEnd w:id="284"/>
      <w:bookmarkEnd w:id="285"/>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rPr>
      </w:pPr>
      <w:bookmarkStart w:id="286" w:name="_Toc475566579"/>
      <w:bookmarkStart w:id="287" w:name="_Toc50993437"/>
      <w:r>
        <w:rPr>
          <w:rFonts w:hint="eastAsia" w:asciiTheme="minorEastAsia" w:hAnsiTheme="minorEastAsia"/>
        </w:rPr>
        <w:t xml:space="preserve">5.1 </w:t>
      </w:r>
      <w:r>
        <w:rPr>
          <w:rFonts w:asciiTheme="minorEastAsia" w:hAnsiTheme="minorEastAsia"/>
        </w:rPr>
        <w:t>甲方的权利和义务</w:t>
      </w:r>
      <w:bookmarkEnd w:id="286"/>
      <w:bookmarkEnd w:id="287"/>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88" w:name="_Toc475566580"/>
      <w:r>
        <w:rPr>
          <w:rFonts w:hint="eastAsia" w:asciiTheme="minorEastAsia" w:hAnsiTheme="minorEastAsia" w:eastAsiaTheme="minorEastAsia"/>
          <w:b w:val="0"/>
          <w:sz w:val="24"/>
        </w:rPr>
        <w:t xml:space="preserve">5.1.1 </w:t>
      </w:r>
      <w:r>
        <w:rPr>
          <w:rFonts w:asciiTheme="minorEastAsia" w:hAnsiTheme="minorEastAsia" w:eastAsiaTheme="minorEastAsia"/>
          <w:b w:val="0"/>
          <w:sz w:val="24"/>
        </w:rPr>
        <w:t>甲方有权自行或委托第三方机构对乙方的出资、项目公司的设立，以及乙方和项目公司在合作范围内所有工作的开展情况进行监督管理和绩效评价。</w:t>
      </w:r>
      <w:bookmarkEnd w:id="288"/>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89" w:name="_Toc475566581"/>
      <w:r>
        <w:rPr>
          <w:rFonts w:hint="eastAsia" w:asciiTheme="minorEastAsia" w:hAnsiTheme="minorEastAsia" w:eastAsiaTheme="minorEastAsia"/>
          <w:b w:val="0"/>
          <w:sz w:val="24"/>
        </w:rPr>
        <w:t xml:space="preserve">5.1.2 </w:t>
      </w:r>
      <w:r>
        <w:rPr>
          <w:rFonts w:asciiTheme="minorEastAsia" w:hAnsiTheme="minorEastAsia" w:eastAsiaTheme="minorEastAsia"/>
          <w:b w:val="0"/>
          <w:sz w:val="24"/>
        </w:rPr>
        <w:t>甲方应当按照适用法律，在其权限和管辖范围内协助乙方获取项目公司设立以及项目公司开展合作范围内工作所必需的批准文件</w:t>
      </w:r>
      <w:bookmarkEnd w:id="289"/>
      <w:r>
        <w:rPr>
          <w:rFonts w:asciiTheme="minorEastAsia" w:hAnsiTheme="minorEastAsia" w:eastAsiaTheme="minorEastAsia"/>
          <w:b w:val="0"/>
          <w:sz w:val="24"/>
        </w:rPr>
        <w:t>。</w:t>
      </w:r>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90" w:name="_Toc475566582"/>
      <w:r>
        <w:rPr>
          <w:rFonts w:hint="eastAsia" w:asciiTheme="minorEastAsia" w:hAnsiTheme="minorEastAsia" w:eastAsiaTheme="minorEastAsia"/>
          <w:b w:val="0"/>
          <w:sz w:val="24"/>
        </w:rPr>
        <w:t xml:space="preserve">5.1.3 </w:t>
      </w:r>
      <w:r>
        <w:rPr>
          <w:rFonts w:asciiTheme="minorEastAsia" w:hAnsiTheme="minorEastAsia" w:eastAsiaTheme="minorEastAsia"/>
          <w:b w:val="0"/>
          <w:sz w:val="24"/>
        </w:rPr>
        <w:t>如政府方参股的，甲方应当督促【</w:t>
      </w:r>
      <w:r>
        <w:rPr>
          <w:rFonts w:hint="eastAsia" w:asciiTheme="minorEastAsia" w:hAnsiTheme="minorEastAsia" w:eastAsiaTheme="minorEastAsia"/>
          <w:b w:val="0"/>
          <w:sz w:val="24"/>
        </w:rPr>
        <w:t>广西贵港市工业投资发展集团有限公司（政府方出资代表）</w:t>
      </w:r>
      <w:r>
        <w:rPr>
          <w:rFonts w:asciiTheme="minorEastAsia" w:hAnsiTheme="minorEastAsia" w:eastAsiaTheme="minorEastAsia"/>
          <w:b w:val="0"/>
          <w:sz w:val="24"/>
        </w:rPr>
        <w:t>】依约履行出资等义务。</w:t>
      </w:r>
      <w:bookmarkEnd w:id="290"/>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5.1.4 </w:t>
      </w:r>
      <w:r>
        <w:rPr>
          <w:rFonts w:asciiTheme="minorEastAsia" w:hAnsiTheme="minorEastAsia" w:eastAsiaTheme="minorEastAsia"/>
          <w:b w:val="0"/>
          <w:sz w:val="24"/>
        </w:rPr>
        <w:t>甲方应当确保将本项目的财政支出</w:t>
      </w:r>
      <w:r>
        <w:rPr>
          <w:rFonts w:hint="eastAsia" w:asciiTheme="minorEastAsia" w:hAnsiTheme="minorEastAsia" w:eastAsiaTheme="minorEastAsia"/>
          <w:b w:val="0"/>
          <w:sz w:val="24"/>
        </w:rPr>
        <w:t>计划</w:t>
      </w:r>
      <w:r>
        <w:rPr>
          <w:rFonts w:asciiTheme="minorEastAsia" w:hAnsiTheme="minorEastAsia" w:eastAsiaTheme="minorEastAsia"/>
          <w:b w:val="0"/>
          <w:sz w:val="24"/>
        </w:rPr>
        <w:t>（如有）</w:t>
      </w:r>
      <w:r>
        <w:rPr>
          <w:rFonts w:hint="eastAsia" w:asciiTheme="minorEastAsia" w:hAnsiTheme="minorEastAsia" w:eastAsiaTheme="minorEastAsia"/>
          <w:b w:val="0"/>
          <w:sz w:val="24"/>
        </w:rPr>
        <w:t>向财政部门申请列入</w:t>
      </w:r>
      <w:r>
        <w:rPr>
          <w:rFonts w:asciiTheme="minorEastAsia" w:hAnsiTheme="minorEastAsia" w:eastAsiaTheme="minorEastAsia"/>
          <w:b w:val="0"/>
          <w:sz w:val="24"/>
        </w:rPr>
        <w:t>相应年度的财政预算和中期财政规划，</w:t>
      </w:r>
      <w:r>
        <w:rPr>
          <w:rFonts w:hint="eastAsia" w:asciiTheme="minorEastAsia" w:hAnsiTheme="minorEastAsia" w:eastAsiaTheme="minorEastAsia"/>
          <w:b w:val="0"/>
          <w:sz w:val="24"/>
        </w:rPr>
        <w:t>政府批准列入</w:t>
      </w:r>
      <w:r>
        <w:rPr>
          <w:rFonts w:asciiTheme="minorEastAsia" w:hAnsiTheme="minorEastAsia" w:eastAsiaTheme="minorEastAsia"/>
          <w:b w:val="0"/>
          <w:sz w:val="24"/>
        </w:rPr>
        <w:t>并按照《PPP项目合同》约定根据绩效评价结果足额支付相应费用。</w:t>
      </w:r>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rPr>
      </w:pPr>
      <w:bookmarkStart w:id="291" w:name="_Toc475566585"/>
      <w:bookmarkStart w:id="292" w:name="_Toc50993438"/>
      <w:r>
        <w:rPr>
          <w:rFonts w:hint="eastAsia" w:asciiTheme="minorEastAsia" w:hAnsiTheme="minorEastAsia"/>
        </w:rPr>
        <w:t xml:space="preserve">5.2 </w:t>
      </w:r>
      <w:r>
        <w:rPr>
          <w:rFonts w:asciiTheme="minorEastAsia" w:hAnsiTheme="minorEastAsia"/>
        </w:rPr>
        <w:t>乙方的权利和义务</w:t>
      </w:r>
      <w:bookmarkEnd w:id="291"/>
      <w:bookmarkEnd w:id="292"/>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93" w:name="_Toc475566586"/>
      <w:r>
        <w:rPr>
          <w:rFonts w:hint="eastAsia" w:asciiTheme="minorEastAsia" w:hAnsiTheme="minorEastAsia" w:eastAsiaTheme="minorEastAsia"/>
          <w:b w:val="0"/>
          <w:sz w:val="24"/>
        </w:rPr>
        <w:t xml:space="preserve">5.2.1 </w:t>
      </w:r>
      <w:r>
        <w:rPr>
          <w:rFonts w:asciiTheme="minorEastAsia" w:hAnsiTheme="minorEastAsia" w:eastAsiaTheme="minorEastAsia"/>
          <w:b w:val="0"/>
          <w:sz w:val="24"/>
        </w:rPr>
        <w:t>乙方有权根据合同文件约定享有合理的投资收益。</w:t>
      </w:r>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5.2.2 </w:t>
      </w:r>
      <w:r>
        <w:rPr>
          <w:rFonts w:asciiTheme="minorEastAsia" w:hAnsiTheme="minorEastAsia" w:eastAsiaTheme="minorEastAsia"/>
          <w:b w:val="0"/>
          <w:sz w:val="24"/>
        </w:rPr>
        <w:t>乙方确认并同意在项目公司成立前，按照《PPP项目合同》和《运营维护服务协议》（如有）等合同文件的约定，享有合同权利，履行合同义务。</w:t>
      </w:r>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5.2.3 </w:t>
      </w:r>
      <w:r>
        <w:rPr>
          <w:rFonts w:asciiTheme="minorEastAsia" w:hAnsiTheme="minorEastAsia" w:eastAsiaTheme="minorEastAsia"/>
          <w:b w:val="0"/>
          <w:sz w:val="24"/>
        </w:rPr>
        <w:t>乙方应当督促项目公司在成立之日起_30_日内与甲方及乙方签订关于《PPP项目合同》和《运营维护服务协议》（如有）等合同文件（本协议除外）的《承继协议》，由项目公司承继乙方在前述合同文件项下的权利和义务。</w:t>
      </w:r>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5.2.4 </w:t>
      </w:r>
      <w:r>
        <w:rPr>
          <w:rFonts w:asciiTheme="minorEastAsia" w:hAnsiTheme="minorEastAsia" w:eastAsiaTheme="minorEastAsia"/>
          <w:b w:val="0"/>
          <w:sz w:val="24"/>
        </w:rPr>
        <w:t>乙方应当</w:t>
      </w:r>
      <w:bookmarkEnd w:id="293"/>
      <w:bookmarkStart w:id="294" w:name="_Toc475566588"/>
      <w:r>
        <w:rPr>
          <w:rFonts w:asciiTheme="minorEastAsia" w:hAnsiTheme="minorEastAsia" w:eastAsiaTheme="minorEastAsia"/>
          <w:b w:val="0"/>
          <w:sz w:val="24"/>
        </w:rPr>
        <w:t>确保项目公司机构设置和技术、管理、财务人员素质符合约定的条件和要求并应满足项目建设和运营管理的需要，符合国家规定的市场准入条件。</w:t>
      </w:r>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5.2.5 </w:t>
      </w:r>
      <w:r>
        <w:rPr>
          <w:rFonts w:asciiTheme="minorEastAsia" w:hAnsiTheme="minorEastAsia" w:eastAsiaTheme="minorEastAsia"/>
          <w:b w:val="0"/>
          <w:sz w:val="24"/>
        </w:rPr>
        <w:t>乙方与【</w:t>
      </w:r>
      <w:r>
        <w:rPr>
          <w:rFonts w:hint="eastAsia" w:asciiTheme="minorEastAsia" w:hAnsiTheme="minorEastAsia" w:eastAsiaTheme="minorEastAsia"/>
          <w:b w:val="0"/>
          <w:sz w:val="24"/>
        </w:rPr>
        <w:t>广西贵港市工业投资发展集团有限公司（政府方出资代表）</w:t>
      </w:r>
      <w:r>
        <w:rPr>
          <w:rFonts w:asciiTheme="minorEastAsia" w:hAnsiTheme="minorEastAsia" w:eastAsiaTheme="minorEastAsia"/>
          <w:b w:val="0"/>
          <w:sz w:val="24"/>
        </w:rPr>
        <w:t>】（如有）签署《股东协议》、《公司章程》前应获得甲方认可，正式签署的《股东协议》（原件）、登记备案的《公司章程》（副本）及市场监督管理部门颁发的项目公司营业执照（副本）应交甲方存档一份。</w:t>
      </w:r>
      <w:bookmarkEnd w:id="294"/>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95" w:name="_Toc475566589"/>
      <w:r>
        <w:rPr>
          <w:rFonts w:hint="eastAsia" w:asciiTheme="minorEastAsia" w:hAnsiTheme="minorEastAsia" w:eastAsiaTheme="minorEastAsia"/>
          <w:b w:val="0"/>
          <w:sz w:val="24"/>
        </w:rPr>
        <w:t xml:space="preserve">5.2.6 </w:t>
      </w:r>
      <w:r>
        <w:rPr>
          <w:rFonts w:asciiTheme="minorEastAsia" w:hAnsiTheme="minorEastAsia" w:eastAsiaTheme="minorEastAsia"/>
          <w:b w:val="0"/>
          <w:sz w:val="24"/>
        </w:rPr>
        <w:t xml:space="preserve">乙方应出资的项目资本金为 4950 </w:t>
      </w:r>
      <w:r>
        <w:rPr>
          <w:rFonts w:hint="eastAsia" w:asciiTheme="minorEastAsia" w:hAnsiTheme="minorEastAsia" w:eastAsiaTheme="minorEastAsia"/>
          <w:b w:val="0"/>
          <w:sz w:val="24"/>
        </w:rPr>
        <w:t>万</w:t>
      </w:r>
      <w:r>
        <w:rPr>
          <w:rFonts w:asciiTheme="minorEastAsia" w:hAnsiTheme="minorEastAsia" w:eastAsiaTheme="minorEastAsia"/>
          <w:b w:val="0"/>
          <w:sz w:val="24"/>
        </w:rPr>
        <w:t>元，乙方应采取有效措施确保项目资本金按双方商定方案注入，不得以任何方式通过项目公司筹措应由乙方出资的项目资本金，不得以债务性资金充当项目资本金。</w:t>
      </w:r>
      <w:bookmarkEnd w:id="295"/>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96" w:name="_Toc475566592"/>
      <w:r>
        <w:rPr>
          <w:rFonts w:hint="eastAsia" w:asciiTheme="minorEastAsia" w:hAnsiTheme="minorEastAsia" w:eastAsiaTheme="minorEastAsia"/>
          <w:b w:val="0"/>
          <w:sz w:val="24"/>
        </w:rPr>
        <w:t xml:space="preserve">5.2.7 </w:t>
      </w:r>
      <w:r>
        <w:rPr>
          <w:rFonts w:asciiTheme="minorEastAsia" w:hAnsiTheme="minorEastAsia" w:eastAsiaTheme="minorEastAsia"/>
          <w:b w:val="0"/>
          <w:sz w:val="24"/>
        </w:rPr>
        <w:t>乙方应当确保项目公司采取多种渠道合法地筹集本项目资本金以外的其他资金。如项目公司无法在规定的期限内全额获得本项目债务性资金，乙方负有补充融资义务，乙方应在前述债务性融资期限届满日后的_15_日内向甲方提交补充融资方案，并经甲方批准后实施。乙方未按本协议约定向甲方提交补充融资方案，或提交的补充融资方案不能满足本项目融资需要的，乙方应承担相应责任。</w:t>
      </w:r>
    </w:p>
    <w:bookmarkEnd w:id="296"/>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r>
        <w:rPr>
          <w:rFonts w:hint="eastAsia" w:asciiTheme="minorEastAsia" w:hAnsiTheme="minorEastAsia" w:eastAsiaTheme="minorEastAsia"/>
          <w:b w:val="0"/>
          <w:sz w:val="24"/>
        </w:rPr>
        <w:t xml:space="preserve">5.2.8 </w:t>
      </w:r>
      <w:r>
        <w:rPr>
          <w:rFonts w:asciiTheme="minorEastAsia" w:hAnsiTheme="minorEastAsia" w:eastAsiaTheme="minorEastAsia"/>
          <w:b w:val="0"/>
          <w:sz w:val="24"/>
        </w:rPr>
        <w:t>乙方应促使项目公司在签署前述《承继协议》后全面履行《PPP项目合同》等合同文件项下的义务，乙方同时有义务采取必要的协助和保障措施，确保项目公司依照合同约定和绩效目标完成项目融资、项目建设及项目运营等义务。如项目公司在项目建设和运营过程中出现资金紧张、经营管理困难等导致无法继续实施项目建设和运营的，则乙方有义务采取有效措施限期恢复项目公司履约能力，确保项目的正常建设和运营管理。</w:t>
      </w:r>
    </w:p>
    <w:p>
      <w:pPr>
        <w:pStyle w:val="3"/>
        <w:keepNext w:val="0"/>
        <w:keepLines w:val="0"/>
        <w:widowControl/>
        <w:numPr>
          <w:ilvl w:val="1"/>
          <w:numId w:val="0"/>
        </w:numPr>
        <w:tabs>
          <w:tab w:val="left" w:pos="1276"/>
        </w:tabs>
        <w:autoSpaceDE w:val="0"/>
        <w:autoSpaceDN w:val="0"/>
        <w:adjustRightInd w:val="0"/>
        <w:spacing w:before="156" w:beforeLines="50" w:after="0" w:line="360" w:lineRule="auto"/>
        <w:ind w:left="907" w:hanging="482"/>
        <w:jc w:val="both"/>
        <w:rPr>
          <w:rFonts w:asciiTheme="minorEastAsia" w:hAnsiTheme="minorEastAsia"/>
        </w:rPr>
      </w:pPr>
      <w:bookmarkStart w:id="297" w:name="_Toc50993439"/>
      <w:r>
        <w:rPr>
          <w:rFonts w:hint="eastAsia" w:asciiTheme="minorEastAsia" w:hAnsiTheme="minorEastAsia"/>
        </w:rPr>
        <w:t xml:space="preserve">5.3 </w:t>
      </w:r>
      <w:r>
        <w:rPr>
          <w:rFonts w:asciiTheme="minorEastAsia" w:hAnsiTheme="minorEastAsia"/>
        </w:rPr>
        <w:t>双方承诺</w:t>
      </w:r>
      <w:bookmarkEnd w:id="297"/>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98" w:name="_Toc475566598"/>
      <w:r>
        <w:rPr>
          <w:rFonts w:hint="eastAsia" w:asciiTheme="minorEastAsia" w:hAnsiTheme="minorEastAsia" w:eastAsiaTheme="minorEastAsia"/>
          <w:b w:val="0"/>
          <w:sz w:val="24"/>
        </w:rPr>
        <w:t xml:space="preserve">5.3.1 </w:t>
      </w:r>
      <w:r>
        <w:rPr>
          <w:rFonts w:asciiTheme="minorEastAsia" w:hAnsiTheme="minorEastAsia" w:eastAsiaTheme="minorEastAsia"/>
          <w:b w:val="0"/>
          <w:sz w:val="24"/>
        </w:rPr>
        <w:t>截至本协议生效日止，不存在可能会构成违反有关法律或可能妨碍其履行在本协议项下义务的情况；不存在未披露的对其签署本协议或履行其在本协议项下义务可能产生严重不利影响的事件，包括但不限于可能要提起的诉讼、仲裁、已经或将要进行的政府调查或行政处罚程序及其他法律程序。</w:t>
      </w:r>
      <w:bookmarkEnd w:id="298"/>
    </w:p>
    <w:p>
      <w:pPr>
        <w:pStyle w:val="4"/>
        <w:keepNext w:val="0"/>
        <w:keepLines w:val="0"/>
        <w:widowControl/>
        <w:numPr>
          <w:ilvl w:val="2"/>
          <w:numId w:val="0"/>
        </w:numPr>
        <w:tabs>
          <w:tab w:val="left" w:pos="1276"/>
        </w:tabs>
        <w:autoSpaceDE w:val="0"/>
        <w:autoSpaceDN w:val="0"/>
        <w:adjustRightInd w:val="0"/>
        <w:spacing w:before="156" w:beforeLines="50" w:after="156" w:afterLines="50" w:line="360" w:lineRule="auto"/>
        <w:ind w:firstLine="426"/>
        <w:rPr>
          <w:rFonts w:asciiTheme="minorEastAsia" w:hAnsiTheme="minorEastAsia" w:eastAsiaTheme="minorEastAsia"/>
          <w:b w:val="0"/>
          <w:sz w:val="24"/>
        </w:rPr>
      </w:pPr>
      <w:bookmarkStart w:id="299" w:name="_Toc475566599"/>
      <w:r>
        <w:rPr>
          <w:rFonts w:hint="eastAsia" w:asciiTheme="minorEastAsia" w:hAnsiTheme="minorEastAsia" w:eastAsiaTheme="minorEastAsia"/>
          <w:b w:val="0"/>
          <w:sz w:val="24"/>
        </w:rPr>
        <w:t xml:space="preserve">5.3.2 </w:t>
      </w:r>
      <w:r>
        <w:rPr>
          <w:rFonts w:asciiTheme="minorEastAsia" w:hAnsiTheme="minorEastAsia" w:eastAsiaTheme="minorEastAsia"/>
          <w:b w:val="0"/>
          <w:sz w:val="24"/>
        </w:rPr>
        <w:t>无论是本协议的签署还是对本协议项下义务的履行，均不会抵触、违反或违背其营业执照、公司章程或任何适用法律或任何政府部门的批准，或其为签约一方的任何协议。</w:t>
      </w:r>
      <w:bookmarkEnd w:id="299"/>
    </w:p>
    <w:p>
      <w:pPr>
        <w:pStyle w:val="2"/>
        <w:keepNext w:val="0"/>
        <w:keepLines w:val="0"/>
        <w:widowControl/>
        <w:tabs>
          <w:tab w:val="left" w:pos="1134"/>
          <w:tab w:val="left" w:pos="4051"/>
          <w:tab w:val="clear" w:pos="360"/>
        </w:tabs>
        <w:autoSpaceDE w:val="0"/>
        <w:autoSpaceDN w:val="0"/>
        <w:spacing w:before="312" w:beforeLines="100"/>
        <w:ind w:left="0" w:leftChars="0" w:right="28" w:rightChars="0" w:firstLine="0"/>
        <w:rPr>
          <w:rFonts w:asciiTheme="minorEastAsia" w:hAnsiTheme="minorEastAsia"/>
        </w:rPr>
      </w:pPr>
      <w:bookmarkStart w:id="300" w:name="_Toc10180"/>
      <w:bookmarkStart w:id="301" w:name="_Toc50993440"/>
      <w:r>
        <w:rPr>
          <w:rFonts w:asciiTheme="minorEastAsia" w:hAnsiTheme="minorEastAsia"/>
        </w:rPr>
        <w:t>第</w:t>
      </w:r>
      <w:r>
        <w:rPr>
          <w:rFonts w:hint="eastAsia" w:asciiTheme="minorEastAsia" w:hAnsiTheme="minorEastAsia"/>
        </w:rPr>
        <w:t xml:space="preserve">6条 </w:t>
      </w:r>
      <w:r>
        <w:rPr>
          <w:rFonts w:asciiTheme="minorEastAsia" w:hAnsiTheme="minorEastAsia"/>
        </w:rPr>
        <w:t>履约担保</w:t>
      </w:r>
      <w:bookmarkEnd w:id="300"/>
      <w:bookmarkEnd w:id="301"/>
    </w:p>
    <w:p>
      <w:pPr>
        <w:pStyle w:val="3"/>
        <w:keepNext w:val="0"/>
        <w:spacing w:before="156" w:beforeLines="50" w:after="0"/>
        <w:ind w:firstLine="420" w:firstLineChars="200"/>
        <w:jc w:val="both"/>
        <w:rPr>
          <w:rFonts w:asciiTheme="minorEastAsia" w:hAnsiTheme="minorEastAsia"/>
          <w:b w:val="0"/>
        </w:rPr>
      </w:pPr>
      <w:bookmarkStart w:id="302" w:name="_Toc50993441"/>
      <w:r>
        <w:rPr>
          <w:rFonts w:asciiTheme="minorEastAsia" w:hAnsiTheme="minorEastAsia"/>
          <w:b w:val="0"/>
        </w:rPr>
        <w:t>乙方应当按照本项目采购文件规定自本协议签署后_60_日内向甲方递交履约担保，担保形式为：【□保证金；</w:t>
      </w:r>
      <w:r>
        <w:rPr>
          <w:rFonts w:hint="eastAsia" w:ascii="MS Mincho" w:hAnsi="MS Mincho" w:eastAsia="MS Mincho" w:cs="MS Mincho"/>
          <w:b w:val="0"/>
        </w:rPr>
        <w:t>☑</w:t>
      </w:r>
      <w:r>
        <w:rPr>
          <w:rFonts w:asciiTheme="minorEastAsia" w:hAnsiTheme="minorEastAsia"/>
          <w:b w:val="0"/>
        </w:rPr>
        <w:t>保函</w:t>
      </w:r>
      <w:r>
        <w:rPr>
          <w:rFonts w:hint="eastAsia" w:asciiTheme="minorEastAsia" w:hAnsiTheme="minorEastAsia"/>
          <w:b w:val="0"/>
        </w:rPr>
        <w:t>/保险</w:t>
      </w:r>
      <w:r>
        <w:rPr>
          <w:rFonts w:asciiTheme="minorEastAsia" w:hAnsiTheme="minorEastAsia"/>
          <w:b w:val="0"/>
        </w:rPr>
        <w:t>】，担保金额为_</w:t>
      </w:r>
      <w:r>
        <w:rPr>
          <w:rFonts w:hint="eastAsia" w:asciiTheme="minorEastAsia" w:hAnsiTheme="minorEastAsia"/>
          <w:b w:val="0"/>
        </w:rPr>
        <w:t>5</w:t>
      </w:r>
      <w:r>
        <w:rPr>
          <w:rFonts w:asciiTheme="minorEastAsia" w:hAnsiTheme="minorEastAsia"/>
          <w:b w:val="0"/>
        </w:rPr>
        <w:t>00_万元。履约担保在下列条件全部成就后的_5_日内由甲方向乙方退还：</w:t>
      </w:r>
      <w:bookmarkEnd w:id="302"/>
    </w:p>
    <w:p>
      <w:pPr>
        <w:pStyle w:val="5"/>
        <w:tabs>
          <w:tab w:val="left" w:pos="993"/>
        </w:tabs>
        <w:spacing w:before="152" w:after="152"/>
        <w:ind w:left="0" w:right="210" w:firstLine="480" w:firstLineChars="200"/>
        <w:jc w:val="left"/>
        <w:rPr>
          <w:rFonts w:asciiTheme="minorEastAsia" w:hAnsiTheme="minorEastAsia" w:eastAsiaTheme="minorEastAsia"/>
          <w:sz w:val="24"/>
        </w:rPr>
      </w:pPr>
      <w:r>
        <w:rPr>
          <w:rFonts w:asciiTheme="minorEastAsia" w:hAnsiTheme="minorEastAsia" w:eastAsiaTheme="minorEastAsia"/>
          <w:sz w:val="24"/>
        </w:rPr>
        <w:t xml:space="preserve">（1）项目公司已成立； </w:t>
      </w:r>
    </w:p>
    <w:p>
      <w:pPr>
        <w:pStyle w:val="5"/>
        <w:tabs>
          <w:tab w:val="left" w:pos="993"/>
        </w:tabs>
        <w:spacing w:before="152" w:after="152"/>
        <w:ind w:left="0" w:right="210" w:firstLine="480" w:firstLineChars="200"/>
        <w:jc w:val="left"/>
        <w:rPr>
          <w:rFonts w:asciiTheme="minorEastAsia" w:hAnsiTheme="minorEastAsia" w:eastAsiaTheme="minorEastAsia"/>
          <w:sz w:val="24"/>
        </w:rPr>
      </w:pPr>
      <w:r>
        <w:rPr>
          <w:rFonts w:asciiTheme="minorEastAsia" w:hAnsiTheme="minorEastAsia" w:eastAsiaTheme="minorEastAsia"/>
          <w:sz w:val="24"/>
        </w:rPr>
        <w:t>（2）项目公司已与甲方及乙方签订《承继协议》；</w:t>
      </w:r>
    </w:p>
    <w:p>
      <w:pPr>
        <w:pStyle w:val="5"/>
        <w:tabs>
          <w:tab w:val="left" w:pos="993"/>
        </w:tabs>
        <w:spacing w:before="152" w:after="152"/>
        <w:ind w:left="0" w:right="210" w:firstLine="480" w:firstLineChars="200"/>
        <w:jc w:val="left"/>
        <w:rPr>
          <w:rFonts w:asciiTheme="minorEastAsia" w:hAnsiTheme="minorEastAsia" w:eastAsiaTheme="minorEastAsia"/>
          <w:sz w:val="24"/>
        </w:rPr>
      </w:pPr>
      <w:r>
        <w:rPr>
          <w:rFonts w:asciiTheme="minorEastAsia" w:hAnsiTheme="minorEastAsia" w:eastAsiaTheme="minorEastAsia"/>
          <w:sz w:val="24"/>
        </w:rPr>
        <w:t>（3）建设履约担保（如有）已按约定向甲方递交；</w:t>
      </w:r>
    </w:p>
    <w:p>
      <w:pPr>
        <w:pStyle w:val="5"/>
        <w:tabs>
          <w:tab w:val="left" w:pos="993"/>
        </w:tabs>
        <w:spacing w:before="152" w:after="152"/>
        <w:ind w:left="0" w:right="210" w:firstLine="480" w:firstLineChars="200"/>
        <w:jc w:val="left"/>
        <w:rPr>
          <w:rFonts w:asciiTheme="minorEastAsia" w:hAnsiTheme="minorEastAsia" w:eastAsiaTheme="minorEastAsia"/>
          <w:sz w:val="24"/>
          <w:u w:val="single"/>
        </w:rPr>
      </w:pPr>
      <w:r>
        <w:rPr>
          <w:rFonts w:asciiTheme="minorEastAsia" w:hAnsiTheme="minorEastAsia" w:eastAsiaTheme="minorEastAsia"/>
          <w:sz w:val="24"/>
        </w:rPr>
        <w:t>（4）其他：</w:t>
      </w:r>
      <w:r>
        <w:rPr>
          <w:rFonts w:asciiTheme="minorEastAsia" w:hAnsiTheme="minorEastAsia" w:eastAsiaTheme="minorEastAsia"/>
          <w:sz w:val="24"/>
          <w:u w:val="single"/>
        </w:rPr>
        <w:t xml:space="preserve">                                                        </w:t>
      </w:r>
    </w:p>
    <w:p>
      <w:pPr>
        <w:widowControl/>
        <w:jc w:val="left"/>
        <w:rPr>
          <w:rFonts w:asciiTheme="minorEastAsia" w:hAnsiTheme="minorEastAsia" w:eastAsiaTheme="minorEastAsia"/>
          <w:sz w:val="20"/>
          <w:szCs w:val="20"/>
        </w:rPr>
      </w:pPr>
      <w:r>
        <w:rPr>
          <w:rFonts w:asciiTheme="minorEastAsia" w:hAnsiTheme="minorEastAsia" w:eastAsiaTheme="minorEastAsia"/>
          <w:sz w:val="24"/>
          <w:u w:val="single"/>
        </w:rPr>
        <w:t xml:space="preserve">                                                                     </w:t>
      </w:r>
    </w:p>
    <w:p>
      <w:pPr>
        <w:pStyle w:val="2"/>
        <w:keepNext w:val="0"/>
        <w:keepLines w:val="0"/>
        <w:widowControl/>
        <w:tabs>
          <w:tab w:val="left" w:pos="1134"/>
          <w:tab w:val="left" w:pos="4051"/>
          <w:tab w:val="clear" w:pos="360"/>
        </w:tabs>
        <w:autoSpaceDE w:val="0"/>
        <w:autoSpaceDN w:val="0"/>
        <w:spacing w:before="312" w:beforeLines="100" w:after="100" w:afterAutospacing="1"/>
        <w:ind w:left="0" w:leftChars="0" w:right="28" w:rightChars="0" w:firstLine="0"/>
        <w:rPr>
          <w:rFonts w:asciiTheme="minorEastAsia" w:hAnsiTheme="minorEastAsia"/>
        </w:rPr>
      </w:pPr>
      <w:bookmarkStart w:id="303" w:name="_Toc11756"/>
      <w:bookmarkStart w:id="304" w:name="_Toc50993442"/>
      <w:r>
        <w:rPr>
          <w:rFonts w:asciiTheme="minorEastAsia" w:hAnsiTheme="minorEastAsia"/>
        </w:rPr>
        <w:t>第</w:t>
      </w:r>
      <w:r>
        <w:rPr>
          <w:rFonts w:hint="eastAsia" w:asciiTheme="minorEastAsia" w:hAnsiTheme="minorEastAsia"/>
        </w:rPr>
        <w:t xml:space="preserve">7条 </w:t>
      </w:r>
      <w:r>
        <w:rPr>
          <w:rFonts w:asciiTheme="minorEastAsia" w:hAnsiTheme="minorEastAsia"/>
        </w:rPr>
        <w:t>违约情形与责任</w:t>
      </w:r>
      <w:bookmarkEnd w:id="303"/>
      <w:bookmarkEnd w:id="304"/>
    </w:p>
    <w:p>
      <w:pPr>
        <w:pStyle w:val="3"/>
        <w:keepNext w:val="0"/>
        <w:keepLines w:val="0"/>
        <w:widowControl/>
        <w:numPr>
          <w:ilvl w:val="1"/>
          <w:numId w:val="0"/>
        </w:numPr>
        <w:tabs>
          <w:tab w:val="left" w:pos="993"/>
        </w:tabs>
        <w:autoSpaceDE w:val="0"/>
        <w:autoSpaceDN w:val="0"/>
        <w:adjustRightInd w:val="0"/>
        <w:spacing w:before="156" w:beforeLines="50" w:after="0" w:line="360" w:lineRule="auto"/>
        <w:ind w:firstLine="425"/>
        <w:jc w:val="both"/>
        <w:rPr>
          <w:rFonts w:asciiTheme="minorEastAsia" w:hAnsiTheme="minorEastAsia"/>
          <w:b w:val="0"/>
        </w:rPr>
      </w:pPr>
      <w:bookmarkStart w:id="305" w:name="_Toc475566609"/>
      <w:bookmarkStart w:id="306" w:name="_Toc50993443"/>
      <w:r>
        <w:rPr>
          <w:rFonts w:hint="eastAsia" w:asciiTheme="minorEastAsia" w:hAnsiTheme="minorEastAsia"/>
          <w:b w:val="0"/>
        </w:rPr>
        <w:t xml:space="preserve">7.1 </w:t>
      </w:r>
      <w:r>
        <w:rPr>
          <w:rFonts w:asciiTheme="minorEastAsia" w:hAnsiTheme="minorEastAsia"/>
          <w:b w:val="0"/>
        </w:rPr>
        <w:t>甲方的违约情形与责任</w:t>
      </w:r>
      <w:bookmarkEnd w:id="305"/>
      <w:bookmarkEnd w:id="306"/>
    </w:p>
    <w:p>
      <w:pPr>
        <w:spacing w:line="360" w:lineRule="auto"/>
        <w:ind w:firstLine="480" w:firstLineChars="200"/>
        <w:rPr>
          <w:rFonts w:asciiTheme="minorEastAsia" w:hAnsiTheme="minorEastAsia" w:eastAsiaTheme="minorEastAsia"/>
          <w:sz w:val="24"/>
        </w:rPr>
      </w:pPr>
      <w:bookmarkStart w:id="307" w:name="_Toc475566610"/>
      <w:r>
        <w:rPr>
          <w:rFonts w:asciiTheme="minorEastAsia" w:hAnsiTheme="minorEastAsia" w:eastAsiaTheme="minorEastAsia"/>
          <w:sz w:val="24"/>
        </w:rPr>
        <w:t>7.1.1因甲方原因导致未能在本协议签署后</w:t>
      </w:r>
      <w:r>
        <w:rPr>
          <w:rFonts w:asciiTheme="minorEastAsia" w:hAnsiTheme="minorEastAsia" w:eastAsiaTheme="minorEastAsia"/>
          <w:b/>
          <w:sz w:val="24"/>
        </w:rPr>
        <w:t>_30_</w:t>
      </w:r>
      <w:r>
        <w:rPr>
          <w:rFonts w:asciiTheme="minorEastAsia" w:hAnsiTheme="minorEastAsia" w:eastAsiaTheme="minorEastAsia"/>
          <w:sz w:val="24"/>
        </w:rPr>
        <w:t>日内注册成立项目公司，且甲方未能在收到乙方要求甲方纠正其违约行为的书面通知后</w:t>
      </w:r>
      <w:r>
        <w:rPr>
          <w:rFonts w:asciiTheme="minorEastAsia" w:hAnsiTheme="minorEastAsia" w:eastAsiaTheme="minorEastAsia"/>
          <w:b/>
          <w:sz w:val="24"/>
        </w:rPr>
        <w:t>_15_</w:t>
      </w:r>
      <w:r>
        <w:rPr>
          <w:rFonts w:asciiTheme="minorEastAsia" w:hAnsiTheme="minorEastAsia" w:eastAsiaTheme="minorEastAsia"/>
          <w:sz w:val="24"/>
        </w:rPr>
        <w:t>日内改正此行为的，项目公司注册每延期一日，甲方应向乙方支付</w:t>
      </w:r>
      <w:r>
        <w:rPr>
          <w:rFonts w:asciiTheme="minorEastAsia" w:hAnsiTheme="minorEastAsia" w:eastAsiaTheme="minorEastAsia"/>
          <w:b/>
          <w:sz w:val="24"/>
        </w:rPr>
        <w:t>_1000</w:t>
      </w:r>
      <w:r>
        <w:rPr>
          <w:rFonts w:asciiTheme="minorEastAsia" w:hAnsiTheme="minorEastAsia" w:eastAsiaTheme="minorEastAsia"/>
          <w:sz w:val="24"/>
        </w:rPr>
        <w:t>元的违约金</w:t>
      </w:r>
      <w:r>
        <w:rPr>
          <w:rFonts w:hint="eastAsia" w:asciiTheme="minorEastAsia" w:hAnsiTheme="minorEastAsia" w:eastAsiaTheme="minorEastAsia"/>
          <w:sz w:val="24"/>
        </w:rPr>
        <w:t>，此类违约金上限为10万元</w:t>
      </w:r>
      <w:r>
        <w:rPr>
          <w:rFonts w:asciiTheme="minorEastAsia" w:hAnsiTheme="minorEastAsia" w:eastAsiaTheme="minorEastAsia"/>
          <w:sz w:val="24"/>
        </w:rPr>
        <w:t>。因甲方原因致使在本协议签署后</w:t>
      </w:r>
      <w:r>
        <w:rPr>
          <w:rFonts w:asciiTheme="minorEastAsia" w:hAnsiTheme="minorEastAsia" w:eastAsiaTheme="minorEastAsia"/>
          <w:b/>
          <w:sz w:val="24"/>
        </w:rPr>
        <w:t>_90_</w:t>
      </w:r>
      <w:r>
        <w:rPr>
          <w:rFonts w:asciiTheme="minorEastAsia" w:hAnsiTheme="minorEastAsia" w:eastAsiaTheme="minorEastAsia"/>
          <w:sz w:val="24"/>
        </w:rPr>
        <w:t>日内项目公司仍未能注册的，则乙方有权单方面发出解除本协议通知，与甲方解除本协议。</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7.1.2因甲方原因导致【</w:t>
      </w:r>
      <w:r>
        <w:rPr>
          <w:rFonts w:hint="eastAsia" w:asciiTheme="minorEastAsia" w:hAnsiTheme="minorEastAsia" w:eastAsiaTheme="minorEastAsia"/>
          <w:sz w:val="24"/>
        </w:rPr>
        <w:t>广西贵港市工业投资发展集团有限公司（政府方出资代表）</w:t>
      </w:r>
      <w:r>
        <w:rPr>
          <w:rFonts w:asciiTheme="minorEastAsia" w:hAnsiTheme="minorEastAsia" w:eastAsiaTheme="minorEastAsia"/>
          <w:sz w:val="24"/>
        </w:rPr>
        <w:t>】未能按照本协议及《股东协议》约定将项目资本金出资到位，且甲方未能在收到乙方要求甲方纠正其违约行为的书面通知后</w:t>
      </w:r>
      <w:r>
        <w:rPr>
          <w:rFonts w:asciiTheme="minorEastAsia" w:hAnsiTheme="minorEastAsia" w:eastAsiaTheme="minorEastAsia"/>
          <w:b/>
          <w:sz w:val="24"/>
        </w:rPr>
        <w:t>_30_</w:t>
      </w:r>
      <w:r>
        <w:rPr>
          <w:rFonts w:asciiTheme="minorEastAsia" w:hAnsiTheme="minorEastAsia" w:eastAsiaTheme="minorEastAsia"/>
          <w:sz w:val="24"/>
        </w:rPr>
        <w:t>日内改正此行为的，乙方有权单方面发出解除本协议通知，与甲方解除本协议，并且甲方应向乙方支付</w:t>
      </w:r>
      <w:r>
        <w:rPr>
          <w:rFonts w:asciiTheme="minorEastAsia" w:hAnsiTheme="minorEastAsia" w:eastAsiaTheme="minorEastAsia"/>
          <w:b/>
          <w:sz w:val="24"/>
        </w:rPr>
        <w:t>____</w:t>
      </w:r>
      <w:r>
        <w:rPr>
          <w:rFonts w:hint="eastAsia" w:asciiTheme="minorEastAsia" w:hAnsiTheme="minorEastAsia" w:eastAsiaTheme="minorEastAsia"/>
          <w:b/>
          <w:sz w:val="24"/>
        </w:rPr>
        <w:t>万</w:t>
      </w:r>
      <w:r>
        <w:rPr>
          <w:rFonts w:asciiTheme="minorEastAsia" w:hAnsiTheme="minorEastAsia" w:eastAsiaTheme="minorEastAsia"/>
          <w:sz w:val="24"/>
        </w:rPr>
        <w:t>元的违约金。</w:t>
      </w:r>
    </w:p>
    <w:p>
      <w:pPr>
        <w:pStyle w:val="15"/>
        <w:spacing w:line="360" w:lineRule="auto"/>
        <w:ind w:firstLine="480"/>
        <w:rPr>
          <w:rFonts w:asciiTheme="minorEastAsia" w:hAnsiTheme="minorEastAsia" w:eastAsiaTheme="minorEastAsia"/>
        </w:rPr>
      </w:pPr>
      <w:r>
        <w:rPr>
          <w:rFonts w:asciiTheme="minorEastAsia" w:hAnsiTheme="minorEastAsia" w:eastAsiaTheme="minorEastAsia"/>
        </w:rPr>
        <w:t>7.1.3因甲方原因致使本协议无法履行，且甲方未能在收到乙方要求甲方纠正其违约行为的书面通知后</w:t>
      </w:r>
      <w:r>
        <w:rPr>
          <w:rFonts w:asciiTheme="minorEastAsia" w:hAnsiTheme="minorEastAsia" w:eastAsiaTheme="minorEastAsia"/>
          <w:b/>
          <w:szCs w:val="24"/>
        </w:rPr>
        <w:t>__</w:t>
      </w:r>
      <w:r>
        <w:rPr>
          <w:rFonts w:hint="eastAsia" w:asciiTheme="minorEastAsia" w:hAnsiTheme="minorEastAsia" w:eastAsiaTheme="minorEastAsia"/>
          <w:b/>
          <w:szCs w:val="24"/>
        </w:rPr>
        <w:t>30</w:t>
      </w:r>
      <w:r>
        <w:rPr>
          <w:rFonts w:asciiTheme="minorEastAsia" w:hAnsiTheme="minorEastAsia" w:eastAsiaTheme="minorEastAsia"/>
          <w:b/>
          <w:szCs w:val="24"/>
        </w:rPr>
        <w:t>___</w:t>
      </w:r>
      <w:r>
        <w:rPr>
          <w:rFonts w:asciiTheme="minorEastAsia" w:hAnsiTheme="minorEastAsia" w:eastAsiaTheme="minorEastAsia"/>
        </w:rPr>
        <w:t>日内改正此行为的，乙方有权通过向甲方发出有效通知的方式，终止或解除本协议，甲方应当按照【</w:t>
      </w:r>
      <w:r>
        <w:rPr>
          <w:rFonts w:hint="eastAsia" w:asciiTheme="minorEastAsia" w:hAnsiTheme="minorEastAsia" w:eastAsiaTheme="minorEastAsia"/>
          <w:szCs w:val="24"/>
        </w:rPr>
        <w:t>□</w:t>
      </w:r>
      <w:r>
        <w:rPr>
          <w:rFonts w:asciiTheme="minorEastAsia" w:hAnsiTheme="minorEastAsia" w:eastAsiaTheme="minorEastAsia"/>
          <w:szCs w:val="24"/>
        </w:rPr>
        <w:t>约定补偿标准：</w:t>
      </w:r>
      <w:r>
        <w:rPr>
          <w:rFonts w:asciiTheme="minorEastAsia" w:hAnsiTheme="minorEastAsia" w:eastAsiaTheme="minorEastAsia"/>
          <w:szCs w:val="24"/>
          <w:u w:val="single"/>
        </w:rPr>
        <w:t xml:space="preserve">               </w:t>
      </w:r>
      <w:r>
        <w:rPr>
          <w:rFonts w:asciiTheme="minorEastAsia" w:hAnsiTheme="minorEastAsia" w:eastAsiaTheme="minorEastAsia"/>
          <w:szCs w:val="24"/>
        </w:rPr>
        <w:t>；</w:t>
      </w:r>
      <w:r>
        <w:rPr>
          <w:rFonts w:hint="eastAsia" w:ascii="MS Mincho" w:hAnsi="MS Mincho" w:eastAsia="MS Mincho" w:cs="MS Mincho"/>
          <w:szCs w:val="24"/>
        </w:rPr>
        <w:t>☑</w:t>
      </w:r>
      <w:r>
        <w:rPr>
          <w:rFonts w:asciiTheme="minorEastAsia" w:hAnsiTheme="minorEastAsia" w:eastAsiaTheme="minorEastAsia"/>
          <w:szCs w:val="24"/>
        </w:rPr>
        <w:t>遵循“恢复相同经济地位”原则另行商定补偿方案</w:t>
      </w:r>
      <w:r>
        <w:rPr>
          <w:rFonts w:asciiTheme="minorEastAsia" w:hAnsiTheme="minorEastAsia" w:eastAsiaTheme="minorEastAsia"/>
        </w:rPr>
        <w:t>】对乙方的损失给予补偿。</w:t>
      </w:r>
      <w:bookmarkEnd w:id="307"/>
    </w:p>
    <w:p>
      <w:pPr>
        <w:pStyle w:val="15"/>
        <w:spacing w:line="360" w:lineRule="auto"/>
        <w:ind w:firstLine="480"/>
        <w:rPr>
          <w:rFonts w:asciiTheme="minorEastAsia" w:hAnsiTheme="minorEastAsia" w:eastAsiaTheme="minorEastAsia"/>
        </w:rPr>
      </w:pPr>
      <w:r>
        <w:rPr>
          <w:rFonts w:hint="eastAsia" w:asciiTheme="minorEastAsia" w:hAnsiTheme="minorEastAsia" w:eastAsiaTheme="minorEastAsia"/>
        </w:rPr>
        <w:t>7.1.4因本项目管网、土地征租地等非乙方原因导致项目无法竣工或工程延期，造成乙方的融资成本增加的，乙方有权向甲方收取补偿金，补偿金额按乙方融资成本利息和实际确认的延误时间计算。</w:t>
      </w:r>
    </w:p>
    <w:p>
      <w:pPr>
        <w:pStyle w:val="3"/>
        <w:keepNext w:val="0"/>
        <w:keepLines w:val="0"/>
        <w:widowControl/>
        <w:numPr>
          <w:ilvl w:val="1"/>
          <w:numId w:val="0"/>
        </w:numPr>
        <w:tabs>
          <w:tab w:val="left" w:pos="993"/>
        </w:tabs>
        <w:autoSpaceDE w:val="0"/>
        <w:autoSpaceDN w:val="0"/>
        <w:adjustRightInd w:val="0"/>
        <w:spacing w:before="156" w:beforeLines="50" w:after="0" w:line="360" w:lineRule="auto"/>
        <w:ind w:firstLine="425"/>
        <w:jc w:val="both"/>
        <w:rPr>
          <w:rFonts w:asciiTheme="minorEastAsia" w:hAnsiTheme="minorEastAsia"/>
          <w:b w:val="0"/>
        </w:rPr>
      </w:pPr>
      <w:bookmarkStart w:id="308" w:name="_Toc50993444"/>
      <w:bookmarkStart w:id="309" w:name="_Toc475566611"/>
      <w:r>
        <w:rPr>
          <w:rFonts w:hint="eastAsia" w:asciiTheme="minorEastAsia" w:hAnsiTheme="minorEastAsia"/>
          <w:b w:val="0"/>
        </w:rPr>
        <w:t xml:space="preserve">7.2 </w:t>
      </w:r>
      <w:r>
        <w:rPr>
          <w:rFonts w:asciiTheme="minorEastAsia" w:hAnsiTheme="minorEastAsia"/>
          <w:b w:val="0"/>
        </w:rPr>
        <w:t>乙方的违约情形及责任</w:t>
      </w:r>
      <w:bookmarkEnd w:id="308"/>
      <w:bookmarkEnd w:id="309"/>
    </w:p>
    <w:p>
      <w:pPr>
        <w:spacing w:line="360" w:lineRule="auto"/>
        <w:ind w:firstLine="424" w:firstLineChars="177"/>
        <w:jc w:val="left"/>
        <w:rPr>
          <w:rFonts w:asciiTheme="minorEastAsia" w:hAnsiTheme="minorEastAsia" w:eastAsiaTheme="minorEastAsia"/>
          <w:sz w:val="24"/>
        </w:rPr>
      </w:pPr>
      <w:bookmarkStart w:id="310" w:name="_Toc475566612"/>
      <w:r>
        <w:rPr>
          <w:rFonts w:asciiTheme="minorEastAsia" w:hAnsiTheme="minorEastAsia" w:eastAsiaTheme="minorEastAsia"/>
          <w:sz w:val="24"/>
        </w:rPr>
        <w:t>7.2.1因乙方原因导致未能在本协议签署后_30_日内注册成立项目公司，或虽已遵守上述规定但甲方有合理理由认为其尚无实施本项目的足够能力时，乙方应按甲方的要求完善项目公司的机构设置、人员配备、资金筹措等方面的工作，直至甲方批准为止。项目公司注册每延期一日，乙方应向甲方支付</w:t>
      </w:r>
      <w:r>
        <w:rPr>
          <w:rFonts w:asciiTheme="minorEastAsia" w:hAnsiTheme="minorEastAsia" w:eastAsiaTheme="minorEastAsia"/>
          <w:sz w:val="24"/>
          <w:u w:val="single"/>
        </w:rPr>
        <w:t xml:space="preserve"> 1000 </w:t>
      </w:r>
      <w:r>
        <w:rPr>
          <w:rFonts w:asciiTheme="minorEastAsia" w:hAnsiTheme="minorEastAsia" w:eastAsiaTheme="minorEastAsia"/>
          <w:sz w:val="24"/>
        </w:rPr>
        <w:t>元的违约金。如因乙方原因致使在本协议签署后_90_日项目公司仍未能注册的，或虽已注册但不符合约定要求的，则甲方有权单方面发出解除本协议通知，与乙方解除本协议。</w:t>
      </w:r>
      <w:bookmarkEnd w:id="310"/>
    </w:p>
    <w:p>
      <w:pPr>
        <w:spacing w:line="360" w:lineRule="auto"/>
        <w:ind w:firstLine="424" w:firstLineChars="177"/>
        <w:rPr>
          <w:rFonts w:asciiTheme="minorEastAsia" w:hAnsiTheme="minorEastAsia" w:eastAsiaTheme="minorEastAsia"/>
          <w:sz w:val="24"/>
        </w:rPr>
      </w:pPr>
      <w:bookmarkStart w:id="311" w:name="_Toc475566613"/>
      <w:r>
        <w:rPr>
          <w:rFonts w:asciiTheme="minorEastAsia" w:hAnsiTheme="minorEastAsia" w:eastAsiaTheme="minorEastAsia"/>
          <w:sz w:val="24"/>
        </w:rPr>
        <w:t>7.2.2乙方未能按照本协议及《股东协议》约定将项目资本金</w:t>
      </w:r>
      <w:r>
        <w:rPr>
          <w:rFonts w:hint="eastAsia" w:asciiTheme="minorEastAsia" w:hAnsiTheme="minorEastAsia" w:eastAsiaTheme="minorEastAsia"/>
          <w:sz w:val="24"/>
        </w:rPr>
        <w:t>按项目进度</w:t>
      </w:r>
      <w:r>
        <w:rPr>
          <w:rFonts w:asciiTheme="minorEastAsia" w:hAnsiTheme="minorEastAsia" w:eastAsiaTheme="minorEastAsia"/>
          <w:sz w:val="24"/>
        </w:rPr>
        <w:t>出资到位，或者在项目建设期内抽回、侵占或挪用项目资本金及其他建设资金，经甲方责令限期改正后仍未改正的，甲方有权单方面发出解除本协议通知，与乙方解除本协议，并且乙方应向甲方支付__</w:t>
      </w:r>
      <w:r>
        <w:rPr>
          <w:rFonts w:hint="eastAsia" w:asciiTheme="minorEastAsia" w:hAnsiTheme="minorEastAsia" w:eastAsiaTheme="minorEastAsia"/>
          <w:sz w:val="24"/>
        </w:rPr>
        <w:t>万</w:t>
      </w:r>
      <w:r>
        <w:rPr>
          <w:rFonts w:asciiTheme="minorEastAsia" w:hAnsiTheme="minorEastAsia" w:eastAsiaTheme="minorEastAsia"/>
          <w:sz w:val="24"/>
        </w:rPr>
        <w:t>元的违约金。</w:t>
      </w:r>
      <w:bookmarkEnd w:id="311"/>
    </w:p>
    <w:p>
      <w:pPr>
        <w:spacing w:line="360" w:lineRule="auto"/>
        <w:ind w:firstLine="424" w:firstLineChars="177"/>
        <w:rPr>
          <w:rFonts w:asciiTheme="minorEastAsia" w:hAnsiTheme="minorEastAsia" w:eastAsiaTheme="minorEastAsia"/>
          <w:sz w:val="24"/>
        </w:rPr>
      </w:pPr>
      <w:bookmarkStart w:id="312" w:name="_Toc475566614"/>
      <w:r>
        <w:rPr>
          <w:rFonts w:asciiTheme="minorEastAsia" w:hAnsiTheme="minorEastAsia" w:eastAsiaTheme="minorEastAsia"/>
          <w:sz w:val="24"/>
        </w:rPr>
        <w:t>7.2.3乙方未能按照本协议约定提交履约担保的，经甲方责令限期提交后仍未改正的，甲方有权单方面发出解除本协议通知，与乙方解除本协议，并且乙方应向甲方支付__</w:t>
      </w:r>
      <w:r>
        <w:rPr>
          <w:rFonts w:hint="eastAsia" w:asciiTheme="minorEastAsia" w:hAnsiTheme="minorEastAsia" w:eastAsiaTheme="minorEastAsia"/>
          <w:sz w:val="24"/>
        </w:rPr>
        <w:t>万</w:t>
      </w:r>
      <w:r>
        <w:rPr>
          <w:rFonts w:asciiTheme="minorEastAsia" w:hAnsiTheme="minorEastAsia" w:eastAsiaTheme="minorEastAsia"/>
          <w:sz w:val="24"/>
        </w:rPr>
        <w:t>元的违约金。</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7.2.4因乙方原因导致项目公司未能按照本协议约定期限与甲方及乙方签订《承继协议》的，每延期一日，乙方应向甲方支付_1000_元的违约金</w:t>
      </w:r>
      <w:r>
        <w:rPr>
          <w:rFonts w:hint="eastAsia" w:asciiTheme="minorEastAsia" w:hAnsiTheme="minorEastAsia" w:eastAsiaTheme="minorEastAsia"/>
          <w:sz w:val="24"/>
        </w:rPr>
        <w:t>，此类违约金上限为10万元</w:t>
      </w:r>
      <w:r>
        <w:rPr>
          <w:rFonts w:asciiTheme="minorEastAsia" w:hAnsiTheme="minorEastAsia" w:eastAsiaTheme="minorEastAsia"/>
          <w:sz w:val="24"/>
        </w:rPr>
        <w:t>；如延期超过_90_日，则甲方有权单方解除本协议。</w:t>
      </w:r>
      <w:bookmarkEnd w:id="312"/>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7.2.5如项目公司无法在规定的期限内全额获得本项目债务性资金，且乙方未按本协议约定向甲方提交补充融资方案，或提交的补充融资方案未能满足本项目融资需要的，每延期一日，乙方应向甲方支付1000元的违约金。如延期时间超过_180_日，则甲方有权单方解除本协议，并且乙方应向甲方支付____</w:t>
      </w:r>
      <w:r>
        <w:rPr>
          <w:rFonts w:hint="eastAsia" w:asciiTheme="minorEastAsia" w:hAnsiTheme="minorEastAsia" w:eastAsiaTheme="minorEastAsia"/>
          <w:sz w:val="24"/>
        </w:rPr>
        <w:t>万</w:t>
      </w:r>
      <w:r>
        <w:rPr>
          <w:rFonts w:asciiTheme="minorEastAsia" w:hAnsiTheme="minorEastAsia" w:eastAsiaTheme="minorEastAsia"/>
          <w:sz w:val="24"/>
        </w:rPr>
        <w:t>元的违约金。</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7.2.6乙方违反本协议关于股权变更限制的要求，经甲方责令限期改正后仍未改正的，则甲方有权单方解除本协议，并且乙方应向甲方支付____</w:t>
      </w:r>
      <w:r>
        <w:rPr>
          <w:rFonts w:hint="eastAsia" w:asciiTheme="minorEastAsia" w:hAnsiTheme="minorEastAsia" w:eastAsiaTheme="minorEastAsia"/>
          <w:sz w:val="24"/>
        </w:rPr>
        <w:t>万</w:t>
      </w:r>
      <w:r>
        <w:rPr>
          <w:rFonts w:asciiTheme="minorEastAsia" w:hAnsiTheme="minorEastAsia" w:eastAsiaTheme="minorEastAsia"/>
          <w:sz w:val="24"/>
        </w:rPr>
        <w:t>元的违约金。</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7.2.7因乙方原因致使本协议无法履行，且乙方方未能在收到甲方要求乙方纠正其违约行为的书面通知后</w:t>
      </w:r>
      <w:r>
        <w:rPr>
          <w:rFonts w:asciiTheme="minorEastAsia" w:hAnsiTheme="minorEastAsia" w:eastAsiaTheme="minorEastAsia"/>
          <w:sz w:val="24"/>
          <w:u w:val="single"/>
        </w:rPr>
        <w:t>_90_</w:t>
      </w:r>
      <w:r>
        <w:rPr>
          <w:rFonts w:asciiTheme="minorEastAsia" w:hAnsiTheme="minorEastAsia" w:eastAsiaTheme="minorEastAsia"/>
          <w:sz w:val="24"/>
        </w:rPr>
        <w:t>日内改正此行为的，甲方有权通过向乙方发出有效通知的方式，终止或解除本协议。</w:t>
      </w:r>
    </w:p>
    <w:p>
      <w:pPr>
        <w:pStyle w:val="2"/>
        <w:keepNext w:val="0"/>
        <w:keepLines w:val="0"/>
        <w:widowControl/>
        <w:tabs>
          <w:tab w:val="left" w:pos="1134"/>
          <w:tab w:val="left" w:pos="4051"/>
          <w:tab w:val="clear" w:pos="360"/>
        </w:tabs>
        <w:autoSpaceDE w:val="0"/>
        <w:autoSpaceDN w:val="0"/>
        <w:spacing w:before="312" w:beforeLines="100" w:after="100" w:afterAutospacing="1"/>
        <w:ind w:left="0" w:leftChars="0" w:right="28" w:rightChars="0" w:firstLine="0"/>
        <w:rPr>
          <w:rFonts w:asciiTheme="minorEastAsia" w:hAnsiTheme="minorEastAsia"/>
        </w:rPr>
      </w:pPr>
      <w:bookmarkStart w:id="313" w:name="_Toc50993445"/>
      <w:bookmarkStart w:id="314" w:name="_Toc21429"/>
      <w:r>
        <w:rPr>
          <w:rFonts w:asciiTheme="minorEastAsia" w:hAnsiTheme="minorEastAsia"/>
        </w:rPr>
        <w:t>第</w:t>
      </w:r>
      <w:r>
        <w:rPr>
          <w:rFonts w:hint="eastAsia" w:asciiTheme="minorEastAsia" w:hAnsiTheme="minorEastAsia"/>
        </w:rPr>
        <w:t xml:space="preserve">8条 </w:t>
      </w:r>
      <w:r>
        <w:rPr>
          <w:rFonts w:asciiTheme="minorEastAsia" w:hAnsiTheme="minorEastAsia"/>
        </w:rPr>
        <w:t>不可抗力</w:t>
      </w:r>
      <w:bookmarkEnd w:id="313"/>
      <w:bookmarkEnd w:id="314"/>
    </w:p>
    <w:p>
      <w:pPr>
        <w:pStyle w:val="3"/>
        <w:keepNext w:val="0"/>
        <w:keepLines w:val="0"/>
        <w:widowControl/>
        <w:numPr>
          <w:ilvl w:val="1"/>
          <w:numId w:val="0"/>
        </w:numPr>
        <w:tabs>
          <w:tab w:val="left" w:pos="993"/>
        </w:tabs>
        <w:autoSpaceDE w:val="0"/>
        <w:autoSpaceDN w:val="0"/>
        <w:adjustRightInd w:val="0"/>
        <w:spacing w:before="156" w:beforeLines="50" w:after="0" w:line="360" w:lineRule="auto"/>
        <w:ind w:firstLine="425"/>
        <w:jc w:val="both"/>
        <w:rPr>
          <w:rFonts w:asciiTheme="minorEastAsia" w:hAnsiTheme="minorEastAsia"/>
        </w:rPr>
      </w:pPr>
      <w:bookmarkStart w:id="315" w:name="_Toc50993446"/>
      <w:bookmarkStart w:id="316" w:name="_Toc25762936"/>
      <w:bookmarkStart w:id="317" w:name="_Toc25914772"/>
      <w:bookmarkStart w:id="318" w:name="_Toc25661032"/>
      <w:r>
        <w:rPr>
          <w:rFonts w:hint="eastAsia" w:asciiTheme="minorEastAsia" w:hAnsiTheme="minorEastAsia"/>
        </w:rPr>
        <w:t xml:space="preserve">8.1 </w:t>
      </w:r>
      <w:r>
        <w:rPr>
          <w:rFonts w:asciiTheme="minorEastAsia" w:hAnsiTheme="minorEastAsia"/>
        </w:rPr>
        <w:t>不可抗力事件</w:t>
      </w:r>
      <w:bookmarkEnd w:id="315"/>
    </w:p>
    <w:bookmarkEnd w:id="316"/>
    <w:bookmarkEnd w:id="317"/>
    <w:bookmarkEnd w:id="318"/>
    <w:p>
      <w:pPr>
        <w:spacing w:before="80" w:after="80" w:line="360" w:lineRule="auto"/>
        <w:ind w:firstLine="424" w:firstLineChars="177"/>
        <w:rPr>
          <w:rFonts w:asciiTheme="minorEastAsia" w:hAnsiTheme="minorEastAsia" w:eastAsiaTheme="minorEastAsia"/>
          <w:sz w:val="24"/>
        </w:rPr>
      </w:pPr>
      <w:bookmarkStart w:id="319" w:name="_Toc475566624"/>
      <w:r>
        <w:rPr>
          <w:rFonts w:asciiTheme="minorEastAsia" w:hAnsiTheme="minorEastAsia" w:eastAsiaTheme="minorEastAsia"/>
          <w:sz w:val="24"/>
        </w:rPr>
        <w:t>任何一方由于出现不可抗力事件使该方无法全部或部分履行其本协议项下的义务时，该方应有权中止履行本协议项下的义务。不可抗力应包括但不限于下列事件：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（1）雷电、干旱、火灾、4级以上地震、火山爆发、山崩、滑坡、水灾、暴风雨、海啸、台风或龙卷风；</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（2）流行病、饥荒或疫情；</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（3）战争行为（无论是否宣战）、入侵、武装冲突或外敌行为、封锁或军事力量的使用、禁运、暴乱或民众骚乱、恐怖行为、军事演习或政变；</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（4）化学或放射性污染或核辐射；</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rPr>
        <w:t>（5）其他：</w:t>
      </w:r>
      <w:r>
        <w:rPr>
          <w:rFonts w:asciiTheme="minorEastAsia" w:hAnsiTheme="minorEastAsia" w:eastAsiaTheme="minorEastAsia"/>
          <w:sz w:val="24"/>
          <w:u w:val="single"/>
        </w:rPr>
        <w:t xml:space="preserve"> 日雨量50mm以上持续</w:t>
      </w:r>
      <w:r>
        <w:rPr>
          <w:rFonts w:hint="eastAsia" w:asciiTheme="minorEastAsia" w:hAnsiTheme="minorEastAsia" w:eastAsiaTheme="minorEastAsia"/>
          <w:sz w:val="24"/>
          <w:u w:val="single"/>
        </w:rPr>
        <w:t>3</w:t>
      </w:r>
      <w:r>
        <w:rPr>
          <w:rFonts w:asciiTheme="minorEastAsia" w:hAnsiTheme="minorEastAsia" w:eastAsiaTheme="minorEastAsia"/>
          <w:sz w:val="24"/>
          <w:u w:val="single"/>
        </w:rPr>
        <w:t>天的大雨、5级以上持续</w:t>
      </w:r>
      <w:r>
        <w:rPr>
          <w:rFonts w:hint="eastAsia" w:asciiTheme="minorEastAsia" w:hAnsiTheme="minorEastAsia" w:eastAsiaTheme="minorEastAsia"/>
          <w:sz w:val="24"/>
          <w:u w:val="single"/>
        </w:rPr>
        <w:t>3</w:t>
      </w:r>
      <w:r>
        <w:rPr>
          <w:rFonts w:asciiTheme="minorEastAsia" w:hAnsiTheme="minorEastAsia" w:eastAsiaTheme="minorEastAsia"/>
          <w:sz w:val="24"/>
          <w:u w:val="single"/>
        </w:rPr>
        <w:t>天的大风、10年以上未发生过且持续3天的38℃以上高温天气、10年以上未发生过且持续3天的0℃以下严寒天气、10年以上未发生过的洪水；全国性、地方性或行业性的罢工</w:t>
      </w:r>
      <w:r>
        <w:rPr>
          <w:rFonts w:hint="eastAsia" w:asciiTheme="minorEastAsia" w:hAnsiTheme="minorEastAsia" w:eastAsiaTheme="minorEastAsia"/>
          <w:sz w:val="24"/>
          <w:u w:val="single"/>
        </w:rPr>
        <w:t>，政府因社会公众利益实施的管控措施（如因流行性疾病进行的疫情防控等）</w:t>
      </w:r>
      <w:r>
        <w:rPr>
          <w:rFonts w:asciiTheme="minorEastAsia" w:hAnsiTheme="minorEastAsia" w:eastAsiaTheme="minorEastAsia"/>
          <w:sz w:val="24"/>
          <w:u w:val="single"/>
        </w:rPr>
        <w:t>。</w:t>
      </w:r>
    </w:p>
    <w:p>
      <w:pPr>
        <w:pStyle w:val="3"/>
        <w:keepNext w:val="0"/>
        <w:keepLines w:val="0"/>
        <w:widowControl/>
        <w:numPr>
          <w:ilvl w:val="1"/>
          <w:numId w:val="0"/>
        </w:numPr>
        <w:tabs>
          <w:tab w:val="left" w:pos="993"/>
        </w:tabs>
        <w:autoSpaceDE w:val="0"/>
        <w:autoSpaceDN w:val="0"/>
        <w:adjustRightInd w:val="0"/>
        <w:spacing w:before="156" w:beforeLines="50" w:after="0" w:line="360" w:lineRule="auto"/>
        <w:ind w:firstLine="425"/>
        <w:jc w:val="both"/>
        <w:rPr>
          <w:rFonts w:asciiTheme="minorEastAsia" w:hAnsiTheme="minorEastAsia"/>
          <w:b w:val="0"/>
        </w:rPr>
      </w:pPr>
      <w:bookmarkStart w:id="320" w:name="_Toc50993447"/>
      <w:r>
        <w:rPr>
          <w:rFonts w:hint="eastAsia" w:asciiTheme="minorEastAsia" w:hAnsiTheme="minorEastAsia"/>
          <w:b w:val="0"/>
          <w:szCs w:val="22"/>
        </w:rPr>
        <w:t xml:space="preserve">8.2 </w:t>
      </w:r>
      <w:r>
        <w:rPr>
          <w:rFonts w:asciiTheme="minorEastAsia" w:hAnsiTheme="minorEastAsia"/>
          <w:b w:val="0"/>
          <w:szCs w:val="22"/>
        </w:rPr>
        <w:t>因不可抗力致使一方不能履行本协议的，根据不可抗力的影响可全部或部分免除该方在本协议项下的相应义务，但该方应及时采取补救措施并通知对方，并在_60_日内向对方提供证明。一方未及时采取补救措施的，应就扩大的损失负赔偿责任</w:t>
      </w:r>
      <w:r>
        <w:rPr>
          <w:rFonts w:asciiTheme="minorEastAsia" w:hAnsiTheme="minorEastAsia"/>
          <w:b w:val="0"/>
        </w:rPr>
        <w:t>。</w:t>
      </w:r>
      <w:bookmarkEnd w:id="319"/>
      <w:bookmarkEnd w:id="320"/>
    </w:p>
    <w:p>
      <w:pPr>
        <w:pStyle w:val="3"/>
        <w:keepNext w:val="0"/>
        <w:keepLines w:val="0"/>
        <w:widowControl/>
        <w:numPr>
          <w:ilvl w:val="1"/>
          <w:numId w:val="0"/>
        </w:numPr>
        <w:tabs>
          <w:tab w:val="left" w:pos="993"/>
        </w:tabs>
        <w:autoSpaceDE w:val="0"/>
        <w:autoSpaceDN w:val="0"/>
        <w:adjustRightInd w:val="0"/>
        <w:spacing w:before="156" w:beforeLines="50" w:after="0" w:line="360" w:lineRule="auto"/>
        <w:ind w:firstLine="425"/>
        <w:jc w:val="both"/>
        <w:rPr>
          <w:rFonts w:asciiTheme="minorEastAsia" w:hAnsiTheme="minorEastAsia"/>
          <w:b w:val="0"/>
        </w:rPr>
      </w:pPr>
      <w:bookmarkStart w:id="321" w:name="_Toc50993448"/>
      <w:bookmarkStart w:id="322" w:name="_Toc475566625"/>
      <w:r>
        <w:rPr>
          <w:rFonts w:hint="eastAsia" w:asciiTheme="minorEastAsia" w:hAnsiTheme="minorEastAsia"/>
          <w:b w:val="0"/>
          <w:szCs w:val="22"/>
        </w:rPr>
        <w:t xml:space="preserve">8.3 </w:t>
      </w:r>
      <w:r>
        <w:rPr>
          <w:rFonts w:asciiTheme="minorEastAsia" w:hAnsiTheme="minorEastAsia"/>
          <w:b w:val="0"/>
          <w:szCs w:val="22"/>
        </w:rPr>
        <w:t>因不可抗力致使本协议无法按期履行或不能履行的，在不可抗力事件持续期间，受影响方无需为其中止履约或履约延误承担违约责任</w:t>
      </w:r>
      <w:r>
        <w:rPr>
          <w:rFonts w:asciiTheme="minorEastAsia" w:hAnsiTheme="minorEastAsia"/>
          <w:b w:val="0"/>
        </w:rPr>
        <w:t>。</w:t>
      </w:r>
      <w:bookmarkEnd w:id="321"/>
      <w:bookmarkEnd w:id="322"/>
    </w:p>
    <w:p>
      <w:pPr>
        <w:pStyle w:val="2"/>
        <w:keepLines w:val="0"/>
        <w:widowControl/>
        <w:tabs>
          <w:tab w:val="left" w:pos="1134"/>
          <w:tab w:val="left" w:pos="4051"/>
          <w:tab w:val="clear" w:pos="360"/>
        </w:tabs>
        <w:autoSpaceDE w:val="0"/>
        <w:autoSpaceDN w:val="0"/>
        <w:spacing w:before="312" w:beforeLines="100" w:after="100" w:afterAutospacing="1"/>
        <w:ind w:left="0" w:leftChars="0" w:right="28" w:rightChars="0" w:firstLine="0"/>
        <w:rPr>
          <w:rFonts w:asciiTheme="minorEastAsia" w:hAnsiTheme="minorEastAsia"/>
        </w:rPr>
      </w:pPr>
      <w:bookmarkStart w:id="323" w:name="_Toc27464"/>
      <w:bookmarkStart w:id="324" w:name="_Toc50993449"/>
      <w:r>
        <w:rPr>
          <w:rFonts w:asciiTheme="minorEastAsia" w:hAnsiTheme="minorEastAsia"/>
        </w:rPr>
        <w:t>第</w:t>
      </w:r>
      <w:r>
        <w:rPr>
          <w:rFonts w:hint="eastAsia" w:asciiTheme="minorEastAsia" w:hAnsiTheme="minorEastAsia"/>
        </w:rPr>
        <w:t xml:space="preserve">9条 </w:t>
      </w:r>
      <w:r>
        <w:rPr>
          <w:rFonts w:asciiTheme="minorEastAsia" w:hAnsiTheme="minorEastAsia"/>
        </w:rPr>
        <w:t>争议解决</w:t>
      </w:r>
      <w:bookmarkEnd w:id="323"/>
      <w:bookmarkEnd w:id="324"/>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本协议在履行过程中发生的争议，双方应本着友好、互利的原则协商解决或由有关部门调解解决;协商或调解不成的，双方应采取以下第</w:t>
      </w:r>
      <w:r>
        <w:rPr>
          <w:rFonts w:asciiTheme="minorEastAsia" w:hAnsiTheme="minorEastAsia" w:eastAsiaTheme="minorEastAsia"/>
          <w:b/>
          <w:sz w:val="24"/>
        </w:rPr>
        <w:t>_</w:t>
      </w:r>
      <w:r>
        <w:rPr>
          <w:rFonts w:hint="eastAsia" w:asciiTheme="minorEastAsia" w:hAnsiTheme="minorEastAsia" w:eastAsiaTheme="minorEastAsia"/>
          <w:b/>
          <w:sz w:val="24"/>
        </w:rPr>
        <w:t>2</w:t>
      </w:r>
      <w:r>
        <w:rPr>
          <w:rFonts w:asciiTheme="minorEastAsia" w:hAnsiTheme="minorEastAsia" w:eastAsiaTheme="minorEastAsia"/>
          <w:b/>
          <w:sz w:val="24"/>
        </w:rPr>
        <w:t>_</w:t>
      </w:r>
      <w:r>
        <w:rPr>
          <w:rFonts w:asciiTheme="minorEastAsia" w:hAnsiTheme="minorEastAsia" w:eastAsiaTheme="minorEastAsia"/>
          <w:sz w:val="24"/>
        </w:rPr>
        <w:t>种争议解决方式：</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（1）提交</w:t>
      </w:r>
      <w:r>
        <w:rPr>
          <w:rFonts w:hint="eastAsia" w:asciiTheme="minorEastAsia" w:hAnsiTheme="minorEastAsia" w:eastAsiaTheme="minorEastAsia"/>
          <w:sz w:val="24"/>
        </w:rPr>
        <w:t>项目所在地</w:t>
      </w:r>
      <w:r>
        <w:rPr>
          <w:rFonts w:asciiTheme="minorEastAsia" w:hAnsiTheme="minorEastAsia" w:eastAsiaTheme="minorEastAsia"/>
          <w:sz w:val="24"/>
        </w:rPr>
        <w:t>仲裁委员会申请仲裁；</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（2）向</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项目所在地的</w:t>
      </w:r>
      <w:r>
        <w:rPr>
          <w:rFonts w:asciiTheme="minorEastAsia" w:hAnsiTheme="minorEastAsia" w:eastAsiaTheme="minorEastAsia"/>
          <w:sz w:val="24"/>
        </w:rPr>
        <w:t>人民法院提起诉讼。</w:t>
      </w:r>
    </w:p>
    <w:p>
      <w:pPr>
        <w:pStyle w:val="2"/>
        <w:keepLines w:val="0"/>
        <w:widowControl/>
        <w:tabs>
          <w:tab w:val="left" w:pos="1134"/>
          <w:tab w:val="left" w:pos="4051"/>
          <w:tab w:val="clear" w:pos="360"/>
        </w:tabs>
        <w:autoSpaceDE w:val="0"/>
        <w:autoSpaceDN w:val="0"/>
        <w:spacing w:before="312" w:beforeLines="100" w:after="100" w:afterAutospacing="1"/>
        <w:ind w:left="0" w:leftChars="0" w:right="28" w:rightChars="0" w:firstLine="0"/>
        <w:rPr>
          <w:rFonts w:asciiTheme="minorEastAsia" w:hAnsiTheme="minorEastAsia"/>
        </w:rPr>
      </w:pPr>
      <w:bookmarkStart w:id="325" w:name="_Toc50993450"/>
      <w:bookmarkStart w:id="326" w:name="_Toc13494"/>
      <w:r>
        <w:rPr>
          <w:rFonts w:asciiTheme="minorEastAsia" w:hAnsiTheme="minorEastAsia"/>
        </w:rPr>
        <w:t>第</w:t>
      </w:r>
      <w:r>
        <w:rPr>
          <w:rFonts w:hint="eastAsia" w:asciiTheme="minorEastAsia" w:hAnsiTheme="minorEastAsia"/>
        </w:rPr>
        <w:t xml:space="preserve">10条 </w:t>
      </w:r>
      <w:r>
        <w:rPr>
          <w:rFonts w:asciiTheme="minorEastAsia" w:hAnsiTheme="minorEastAsia"/>
        </w:rPr>
        <w:t>本协议的生效及终止</w:t>
      </w:r>
      <w:bookmarkEnd w:id="325"/>
      <w:bookmarkEnd w:id="326"/>
      <w:bookmarkStart w:id="327" w:name="_Toc475566628"/>
    </w:p>
    <w:p>
      <w:pPr>
        <w:pStyle w:val="3"/>
        <w:keepNext w:val="0"/>
        <w:keepLines w:val="0"/>
        <w:widowControl/>
        <w:numPr>
          <w:ilvl w:val="1"/>
          <w:numId w:val="0"/>
        </w:numPr>
        <w:tabs>
          <w:tab w:val="left" w:pos="993"/>
        </w:tabs>
        <w:autoSpaceDE w:val="0"/>
        <w:autoSpaceDN w:val="0"/>
        <w:adjustRightInd w:val="0"/>
        <w:spacing w:before="156" w:beforeLines="50" w:after="0" w:line="360" w:lineRule="auto"/>
        <w:ind w:firstLine="425"/>
        <w:jc w:val="both"/>
        <w:rPr>
          <w:rFonts w:asciiTheme="minorEastAsia" w:hAnsiTheme="minorEastAsia"/>
          <w:b w:val="0"/>
        </w:rPr>
      </w:pPr>
      <w:bookmarkStart w:id="328" w:name="_Toc50993451"/>
      <w:r>
        <w:rPr>
          <w:rFonts w:hint="eastAsia" w:asciiTheme="minorEastAsia" w:hAnsiTheme="minorEastAsia"/>
          <w:b w:val="0"/>
        </w:rPr>
        <w:t xml:space="preserve">10.1 </w:t>
      </w:r>
      <w:r>
        <w:rPr>
          <w:rFonts w:asciiTheme="minorEastAsia" w:hAnsiTheme="minorEastAsia"/>
          <w:b w:val="0"/>
        </w:rPr>
        <w:t>本协议经甲、乙双方法定代表人或其授权代表签字，并加盖公章之日起生效。</w:t>
      </w:r>
      <w:bookmarkEnd w:id="327"/>
      <w:bookmarkEnd w:id="328"/>
    </w:p>
    <w:p>
      <w:pPr>
        <w:pStyle w:val="3"/>
        <w:keepNext w:val="0"/>
        <w:keepLines w:val="0"/>
        <w:widowControl/>
        <w:numPr>
          <w:ilvl w:val="1"/>
          <w:numId w:val="0"/>
        </w:numPr>
        <w:tabs>
          <w:tab w:val="left" w:pos="993"/>
        </w:tabs>
        <w:autoSpaceDE w:val="0"/>
        <w:autoSpaceDN w:val="0"/>
        <w:adjustRightInd w:val="0"/>
        <w:spacing w:before="156" w:beforeLines="50" w:after="0" w:line="360" w:lineRule="auto"/>
        <w:ind w:firstLine="425"/>
        <w:jc w:val="both"/>
        <w:rPr>
          <w:rFonts w:asciiTheme="minorEastAsia" w:hAnsiTheme="minorEastAsia"/>
          <w:b w:val="0"/>
        </w:rPr>
      </w:pPr>
      <w:bookmarkStart w:id="329" w:name="_Toc50993452"/>
      <w:bookmarkStart w:id="330" w:name="_Toc475566629"/>
      <w:r>
        <w:rPr>
          <w:rFonts w:hint="eastAsia" w:asciiTheme="minorEastAsia" w:hAnsiTheme="minorEastAsia"/>
          <w:b w:val="0"/>
        </w:rPr>
        <w:t xml:space="preserve">10.2 </w:t>
      </w:r>
      <w:r>
        <w:rPr>
          <w:rFonts w:asciiTheme="minorEastAsia" w:hAnsiTheme="minorEastAsia"/>
          <w:b w:val="0"/>
        </w:rPr>
        <w:t>除本协议另有约定外，本协议应在项目合作期届满后终止。</w:t>
      </w:r>
      <w:bookmarkEnd w:id="329"/>
      <w:bookmarkEnd w:id="330"/>
    </w:p>
    <w:p>
      <w:pPr>
        <w:pStyle w:val="3"/>
        <w:keepNext w:val="0"/>
        <w:keepLines w:val="0"/>
        <w:widowControl/>
        <w:numPr>
          <w:ilvl w:val="1"/>
          <w:numId w:val="0"/>
        </w:numPr>
        <w:tabs>
          <w:tab w:val="left" w:pos="993"/>
        </w:tabs>
        <w:autoSpaceDE w:val="0"/>
        <w:autoSpaceDN w:val="0"/>
        <w:adjustRightInd w:val="0"/>
        <w:spacing w:before="156" w:beforeLines="50" w:after="0" w:line="360" w:lineRule="auto"/>
        <w:ind w:firstLine="425"/>
        <w:jc w:val="both"/>
        <w:rPr>
          <w:rFonts w:asciiTheme="minorEastAsia" w:hAnsiTheme="minorEastAsia"/>
          <w:b w:val="0"/>
        </w:rPr>
      </w:pPr>
      <w:bookmarkStart w:id="331" w:name="_Toc50993453"/>
      <w:bookmarkStart w:id="332" w:name="_Hlk10721953"/>
      <w:r>
        <w:rPr>
          <w:rFonts w:hint="eastAsia" w:asciiTheme="minorEastAsia" w:hAnsiTheme="minorEastAsia"/>
          <w:b w:val="0"/>
        </w:rPr>
        <w:t xml:space="preserve">10.3 </w:t>
      </w:r>
      <w:r>
        <w:rPr>
          <w:rFonts w:asciiTheme="minorEastAsia" w:hAnsiTheme="minorEastAsia"/>
          <w:b w:val="0"/>
        </w:rPr>
        <w:t>若《PPP项目合同》提前终止的，除非双方另有约定，则本协议应在《PPP项目合同》签约各方已履行完成提前终止相关责任义务后，方可终止。</w:t>
      </w:r>
      <w:bookmarkEnd w:id="331"/>
    </w:p>
    <w:bookmarkEnd w:id="332"/>
    <w:p>
      <w:pPr>
        <w:pStyle w:val="2"/>
        <w:keepLines w:val="0"/>
        <w:widowControl/>
        <w:tabs>
          <w:tab w:val="left" w:pos="1134"/>
          <w:tab w:val="left" w:pos="4051"/>
          <w:tab w:val="clear" w:pos="360"/>
        </w:tabs>
        <w:autoSpaceDE w:val="0"/>
        <w:autoSpaceDN w:val="0"/>
        <w:spacing w:before="312" w:beforeLines="100" w:after="100" w:afterAutospacing="1"/>
        <w:ind w:left="0" w:leftChars="0" w:right="28" w:rightChars="0" w:firstLine="0"/>
        <w:rPr>
          <w:rFonts w:asciiTheme="minorEastAsia" w:hAnsiTheme="minorEastAsia"/>
        </w:rPr>
      </w:pPr>
      <w:bookmarkStart w:id="333" w:name="_Toc50993454"/>
      <w:bookmarkStart w:id="334" w:name="_Toc26411"/>
      <w:r>
        <w:rPr>
          <w:rFonts w:asciiTheme="minorEastAsia" w:hAnsiTheme="minorEastAsia"/>
        </w:rPr>
        <w:t>第</w:t>
      </w:r>
      <w:r>
        <w:rPr>
          <w:rFonts w:hint="eastAsia" w:asciiTheme="minorEastAsia" w:hAnsiTheme="minorEastAsia"/>
        </w:rPr>
        <w:t xml:space="preserve">11条 </w:t>
      </w:r>
      <w:r>
        <w:rPr>
          <w:rFonts w:asciiTheme="minorEastAsia" w:hAnsiTheme="minorEastAsia"/>
        </w:rPr>
        <w:t>其他事项</w:t>
      </w:r>
      <w:bookmarkEnd w:id="333"/>
      <w:bookmarkEnd w:id="334"/>
    </w:p>
    <w:p>
      <w:pPr>
        <w:pStyle w:val="3"/>
        <w:keepNext w:val="0"/>
        <w:keepLines w:val="0"/>
        <w:widowControl/>
        <w:numPr>
          <w:ilvl w:val="1"/>
          <w:numId w:val="0"/>
        </w:numPr>
        <w:tabs>
          <w:tab w:val="left" w:pos="993"/>
        </w:tabs>
        <w:autoSpaceDE w:val="0"/>
        <w:autoSpaceDN w:val="0"/>
        <w:adjustRightInd w:val="0"/>
        <w:spacing w:before="156" w:beforeLines="50" w:after="0" w:line="360" w:lineRule="auto"/>
        <w:ind w:firstLine="425"/>
        <w:jc w:val="both"/>
        <w:rPr>
          <w:rFonts w:asciiTheme="minorEastAsia" w:hAnsiTheme="minorEastAsia"/>
          <w:b w:val="0"/>
        </w:rPr>
      </w:pPr>
      <w:bookmarkStart w:id="335" w:name="_Toc50993455"/>
      <w:bookmarkStart w:id="336" w:name="_Toc475566631"/>
      <w:r>
        <w:rPr>
          <w:rFonts w:hint="eastAsia" w:asciiTheme="minorEastAsia" w:hAnsiTheme="minorEastAsia"/>
          <w:b w:val="0"/>
        </w:rPr>
        <w:t xml:space="preserve">11.1 </w:t>
      </w:r>
      <w:r>
        <w:rPr>
          <w:rFonts w:asciiTheme="minorEastAsia" w:hAnsiTheme="minorEastAsia"/>
          <w:b w:val="0"/>
        </w:rPr>
        <w:t>本协议一式</w:t>
      </w:r>
      <w:r>
        <w:rPr>
          <w:rFonts w:hint="eastAsia" w:asciiTheme="minorEastAsia" w:hAnsiTheme="minorEastAsia"/>
          <w:b w:val="0"/>
          <w:u w:val="single"/>
        </w:rPr>
        <w:t xml:space="preserve">     </w:t>
      </w:r>
      <w:r>
        <w:rPr>
          <w:rFonts w:asciiTheme="minorEastAsia" w:hAnsiTheme="minorEastAsia"/>
          <w:b w:val="0"/>
        </w:rPr>
        <w:t>份，甲方、广西贵港市工业投资发展集团有限公司（政府方出资代表）各执</w:t>
      </w:r>
      <w:r>
        <w:rPr>
          <w:rFonts w:hint="eastAsia" w:asciiTheme="minorEastAsia" w:hAnsiTheme="minorEastAsia"/>
          <w:b w:val="0"/>
          <w:u w:val="single"/>
        </w:rPr>
        <w:t xml:space="preserve">   </w:t>
      </w:r>
      <w:r>
        <w:rPr>
          <w:rFonts w:asciiTheme="minorEastAsia" w:hAnsiTheme="minorEastAsia"/>
          <w:b w:val="0"/>
        </w:rPr>
        <w:t>份，乙方执</w:t>
      </w:r>
      <w:r>
        <w:rPr>
          <w:rFonts w:hint="eastAsia" w:asciiTheme="minorEastAsia" w:hAnsiTheme="minorEastAsia"/>
          <w:b w:val="0"/>
          <w:u w:val="single"/>
        </w:rPr>
        <w:t xml:space="preserve">    </w:t>
      </w:r>
      <w:r>
        <w:rPr>
          <w:rFonts w:asciiTheme="minorEastAsia" w:hAnsiTheme="minorEastAsia"/>
          <w:b w:val="0"/>
        </w:rPr>
        <w:t>份，其余</w:t>
      </w:r>
      <w:r>
        <w:rPr>
          <w:rFonts w:hint="eastAsia" w:asciiTheme="minorEastAsia" w:hAnsiTheme="minorEastAsia"/>
          <w:b w:val="0"/>
          <w:u w:val="single"/>
        </w:rPr>
        <w:t xml:space="preserve">     </w:t>
      </w:r>
      <w:r>
        <w:rPr>
          <w:rFonts w:asciiTheme="minorEastAsia" w:hAnsiTheme="minorEastAsia"/>
          <w:b w:val="0"/>
        </w:rPr>
        <w:t>份交予有关部门登记备案。各份合同具有同等法律效力。</w:t>
      </w:r>
      <w:bookmarkEnd w:id="335"/>
      <w:bookmarkEnd w:id="336"/>
    </w:p>
    <w:p>
      <w:pPr>
        <w:pStyle w:val="3"/>
        <w:keepNext w:val="0"/>
        <w:keepLines w:val="0"/>
        <w:widowControl/>
        <w:numPr>
          <w:ilvl w:val="1"/>
          <w:numId w:val="0"/>
        </w:numPr>
        <w:tabs>
          <w:tab w:val="left" w:pos="993"/>
        </w:tabs>
        <w:autoSpaceDE w:val="0"/>
        <w:autoSpaceDN w:val="0"/>
        <w:adjustRightInd w:val="0"/>
        <w:spacing w:before="156" w:beforeLines="50" w:after="0" w:line="360" w:lineRule="auto"/>
        <w:ind w:firstLine="425"/>
        <w:jc w:val="both"/>
        <w:rPr>
          <w:rFonts w:asciiTheme="minorEastAsia" w:hAnsiTheme="minorEastAsia"/>
          <w:b w:val="0"/>
        </w:rPr>
      </w:pPr>
      <w:bookmarkStart w:id="337" w:name="_Toc50993456"/>
      <w:bookmarkStart w:id="338" w:name="_Toc475566632"/>
      <w:r>
        <w:rPr>
          <w:rFonts w:hint="eastAsia" w:asciiTheme="minorEastAsia" w:hAnsiTheme="minorEastAsia"/>
          <w:b w:val="0"/>
        </w:rPr>
        <w:t xml:space="preserve">11.2 </w:t>
      </w:r>
      <w:r>
        <w:rPr>
          <w:rFonts w:asciiTheme="minorEastAsia" w:hAnsiTheme="minorEastAsia"/>
          <w:b w:val="0"/>
        </w:rPr>
        <w:t>本协议未尽事宜，由甲、乙双方另行协商确定。</w:t>
      </w:r>
      <w:bookmarkEnd w:id="337"/>
      <w:bookmarkEnd w:id="338"/>
    </w:p>
    <w:p>
      <w:pPr>
        <w:pStyle w:val="3"/>
        <w:keepNext w:val="0"/>
        <w:keepLines w:val="0"/>
        <w:widowControl/>
        <w:numPr>
          <w:ilvl w:val="1"/>
          <w:numId w:val="0"/>
        </w:numPr>
        <w:tabs>
          <w:tab w:val="left" w:pos="993"/>
        </w:tabs>
        <w:autoSpaceDE w:val="0"/>
        <w:autoSpaceDN w:val="0"/>
        <w:adjustRightInd w:val="0"/>
        <w:spacing w:before="156" w:beforeLines="50" w:after="0" w:line="360" w:lineRule="auto"/>
        <w:ind w:firstLine="426"/>
        <w:jc w:val="both"/>
        <w:rPr>
          <w:rFonts w:asciiTheme="minorEastAsia" w:hAnsiTheme="minorEastAsia"/>
          <w:b w:val="0"/>
        </w:rPr>
      </w:pPr>
      <w:bookmarkStart w:id="339" w:name="_Toc475566633"/>
      <w:bookmarkStart w:id="340" w:name="_Toc50993457"/>
      <w:r>
        <w:rPr>
          <w:rFonts w:hint="eastAsia" w:asciiTheme="minorEastAsia" w:hAnsiTheme="minorEastAsia"/>
          <w:b w:val="0"/>
        </w:rPr>
        <w:t xml:space="preserve">11.3 </w:t>
      </w:r>
      <w:r>
        <w:rPr>
          <w:rFonts w:asciiTheme="minorEastAsia" w:hAnsiTheme="minorEastAsia"/>
          <w:b w:val="0"/>
        </w:rPr>
        <w:t>双方对本协议及合作过程中的所有商业机密资料承担保密义务，未经对方书面许可或依适用法律规定，不得对任何其他第三方泄露和传播。</w:t>
      </w:r>
      <w:bookmarkEnd w:id="339"/>
      <w:bookmarkEnd w:id="340"/>
    </w:p>
    <w:p>
      <w:pPr>
        <w:pStyle w:val="15"/>
        <w:ind w:firstLine="480"/>
        <w:rPr>
          <w:rFonts w:asciiTheme="minorEastAsia" w:hAnsiTheme="minorEastAsia" w:eastAsiaTheme="minorEastAsia"/>
        </w:rPr>
        <w:sectPr>
          <w:footerReference r:id="rId10" w:type="default"/>
          <w:pgSz w:w="11906" w:h="16838"/>
          <w:pgMar w:top="1418" w:right="1418" w:bottom="1418" w:left="1418" w:header="851" w:footer="992" w:gutter="0"/>
          <w:cols w:space="720" w:num="1"/>
          <w:docGrid w:type="lines" w:linePitch="312" w:charSpace="0"/>
        </w:sect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kern w:val="44"/>
          <w:sz w:val="24"/>
        </w:rPr>
      </w:pPr>
    </w:p>
    <w:p>
      <w:pPr>
        <w:rPr>
          <w:rFonts w:asciiTheme="minorEastAsia" w:hAnsiTheme="minorEastAsia" w:eastAsiaTheme="minorEastAsia"/>
          <w:sz w:val="24"/>
        </w:rPr>
      </w:pPr>
      <w:r>
        <w:rPr>
          <w:rFonts w:asciiTheme="minorEastAsia" w:hAnsiTheme="minorEastAsia" w:eastAsiaTheme="minorEastAsia"/>
          <w:kern w:val="44"/>
          <w:sz w:val="24"/>
        </w:rPr>
        <w:t>签署页</w:t>
      </w:r>
      <w:r>
        <w:rPr>
          <w:rFonts w:asciiTheme="minorEastAsia" w:hAnsiTheme="minorEastAsia" w:eastAsiaTheme="minorEastAsia"/>
          <w:sz w:val="24"/>
        </w:rPr>
        <w:t>（本页无正文）</w:t>
      </w: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tbl>
      <w:tblPr>
        <w:tblStyle w:val="55"/>
        <w:tblW w:w="0" w:type="auto"/>
        <w:tblInd w:w="0" w:type="dxa"/>
        <w:tblLayout w:type="fixed"/>
        <w:tblCellMar>
          <w:top w:w="0" w:type="dxa"/>
          <w:left w:w="108" w:type="dxa"/>
          <w:bottom w:w="0" w:type="dxa"/>
          <w:right w:w="108" w:type="dxa"/>
        </w:tblCellMar>
      </w:tblPr>
      <w:tblGrid>
        <w:gridCol w:w="8364"/>
      </w:tblGrid>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r>
              <w:rPr>
                <w:rFonts w:asciiTheme="minorEastAsia" w:hAnsiTheme="minorEastAsia" w:eastAsiaTheme="minorEastAsia"/>
                <w:sz w:val="24"/>
              </w:rPr>
              <w:t xml:space="preserve">甲方（盖章）： </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r>
              <w:rPr>
                <w:rFonts w:asciiTheme="minorEastAsia" w:hAnsiTheme="minorEastAsia" w:eastAsiaTheme="minorEastAsia"/>
                <w:sz w:val="24"/>
              </w:rPr>
              <w:t>法定代表人或其授权代表（签字）：</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日期：</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rPr>
                <w:rFonts w:asciiTheme="minorEastAsia" w:hAnsiTheme="minorEastAsia" w:eastAsiaTheme="minorEastAsia"/>
                <w:sz w:val="24"/>
              </w:rPr>
            </w:pPr>
          </w:p>
          <w:p>
            <w:pPr>
              <w:ind w:left="1560" w:hanging="1560" w:hangingChars="650"/>
              <w:rPr>
                <w:rFonts w:asciiTheme="minorEastAsia" w:hAnsiTheme="minorEastAsia" w:eastAsiaTheme="minorEastAsia"/>
                <w:sz w:val="24"/>
              </w:rPr>
            </w:pPr>
          </w:p>
          <w:p>
            <w:pPr>
              <w:ind w:left="1560" w:hanging="1560" w:hangingChars="650"/>
              <w:rPr>
                <w:rFonts w:asciiTheme="minorEastAsia" w:hAnsiTheme="minorEastAsia" w:eastAsiaTheme="minorEastAsia"/>
                <w:sz w:val="24"/>
              </w:rPr>
            </w:pPr>
            <w:r>
              <w:rPr>
                <w:rFonts w:asciiTheme="minorEastAsia" w:hAnsiTheme="minorEastAsia" w:eastAsiaTheme="minorEastAsia"/>
                <w:sz w:val="24"/>
              </w:rPr>
              <w:t xml:space="preserve">乙方（盖章）： </w:t>
            </w:r>
          </w:p>
          <w:p>
            <w:pPr>
              <w:rPr>
                <w:rFonts w:asciiTheme="minorEastAsia" w:hAnsiTheme="minorEastAsia" w:eastAsiaTheme="minorEastAsia"/>
                <w:sz w:val="24"/>
              </w:rPr>
            </w:pPr>
          </w:p>
          <w:p>
            <w:pPr>
              <w:rPr>
                <w:rFonts w:asciiTheme="minorEastAsia" w:hAnsiTheme="minorEastAsia" w:eastAsiaTheme="minorEastAsia"/>
                <w:sz w:val="24"/>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r>
              <w:rPr>
                <w:rFonts w:asciiTheme="minorEastAsia" w:hAnsiTheme="minorEastAsia" w:eastAsiaTheme="minorEastAsia"/>
                <w:sz w:val="24"/>
              </w:rPr>
              <w:t>法定代表人或其授权代表（签字）：</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日期：</w:t>
            </w:r>
          </w:p>
        </w:tc>
      </w:tr>
    </w:tbl>
    <w:p>
      <w:pPr>
        <w:pStyle w:val="200"/>
        <w:ind w:firstLine="480"/>
        <w:rPr>
          <w:rFonts w:asciiTheme="minorEastAsia" w:hAnsiTheme="minorEastAsia" w:eastAsiaTheme="minorEastAsia"/>
        </w:rPr>
      </w:pPr>
    </w:p>
    <w:p>
      <w:pPr>
        <w:spacing w:line="500" w:lineRule="exact"/>
        <w:ind w:firstLine="424" w:firstLineChars="202"/>
        <w:rPr>
          <w:rFonts w:asciiTheme="minorEastAsia" w:hAnsiTheme="minorEastAsia" w:eastAsiaTheme="minorEastAsia"/>
        </w:rPr>
        <w:sectPr>
          <w:type w:val="continuous"/>
          <w:pgSz w:w="11906" w:h="16838"/>
          <w:pgMar w:top="1418" w:right="1418" w:bottom="1418" w:left="1418" w:header="851" w:footer="737" w:gutter="0"/>
          <w:cols w:space="0" w:num="1"/>
          <w:docGrid w:linePitch="395" w:charSpace="0"/>
        </w:sectPr>
      </w:pPr>
    </w:p>
    <w:p>
      <w:pPr>
        <w:pStyle w:val="3"/>
        <w:ind w:firstLine="643"/>
        <w:rPr>
          <w:rFonts w:asciiTheme="minorEastAsia" w:hAnsiTheme="minorEastAsia"/>
        </w:rPr>
      </w:pPr>
      <w:bookmarkStart w:id="341" w:name="_Toc531086683"/>
      <w:bookmarkStart w:id="342" w:name="_Toc50993458"/>
      <w:bookmarkStart w:id="343" w:name="_Toc524199197"/>
      <w:bookmarkStart w:id="344" w:name="_Toc17751"/>
      <w:bookmarkStart w:id="345" w:name="_Toc26029"/>
      <w:bookmarkStart w:id="346" w:name="_Toc495947547"/>
      <w:r>
        <w:rPr>
          <w:rFonts w:hint="eastAsia" w:asciiTheme="minorEastAsia" w:hAnsiTheme="minorEastAsia"/>
        </w:rPr>
        <w:t xml:space="preserve">附件二  </w:t>
      </w:r>
      <w:r>
        <w:rPr>
          <w:rFonts w:asciiTheme="minorEastAsia" w:hAnsiTheme="minorEastAsia"/>
        </w:rPr>
        <w:t>PPP</w:t>
      </w:r>
      <w:r>
        <w:rPr>
          <w:rFonts w:hint="eastAsia" w:asciiTheme="minorEastAsia" w:hAnsiTheme="minorEastAsia"/>
        </w:rPr>
        <w:t>项目合同</w:t>
      </w:r>
      <w:bookmarkEnd w:id="341"/>
      <w:bookmarkEnd w:id="342"/>
      <w:bookmarkEnd w:id="343"/>
      <w:bookmarkEnd w:id="344"/>
    </w:p>
    <w:p>
      <w:pPr>
        <w:spacing w:before="80" w:after="80" w:line="360" w:lineRule="auto"/>
        <w:jc w:val="center"/>
        <w:rPr>
          <w:rFonts w:asciiTheme="minorEastAsia" w:hAnsiTheme="minorEastAsia" w:eastAsiaTheme="minorEastAsia"/>
          <w:b/>
          <w:sz w:val="44"/>
          <w:szCs w:val="28"/>
        </w:rPr>
      </w:pPr>
      <w:r>
        <w:rPr>
          <w:rFonts w:asciiTheme="minorEastAsia" w:hAnsiTheme="minorEastAsia" w:eastAsiaTheme="minorEastAsia"/>
          <w:b/>
          <w:sz w:val="44"/>
          <w:szCs w:val="28"/>
        </w:rPr>
        <w:t>贵港市产业园（粤桂园）给水厂和污水处理厂供排一体化PPP项目</w:t>
      </w:r>
    </w:p>
    <w:p>
      <w:pPr>
        <w:jc w:val="center"/>
        <w:rPr>
          <w:rFonts w:asciiTheme="minorEastAsia" w:hAnsiTheme="minorEastAsia" w:eastAsiaTheme="minorEastAsia"/>
        </w:rPr>
      </w:pPr>
    </w:p>
    <w:p>
      <w:pPr>
        <w:spacing w:before="80" w:after="80" w:line="360" w:lineRule="auto"/>
        <w:jc w:val="center"/>
        <w:rPr>
          <w:rFonts w:asciiTheme="minorEastAsia" w:hAnsiTheme="minorEastAsia" w:eastAsiaTheme="minorEastAsia"/>
          <w:b/>
          <w:sz w:val="48"/>
        </w:rPr>
      </w:pPr>
    </w:p>
    <w:p>
      <w:pPr>
        <w:widowControl/>
        <w:jc w:val="center"/>
        <w:rPr>
          <w:rFonts w:asciiTheme="minorEastAsia" w:hAnsiTheme="minorEastAsia" w:eastAsiaTheme="minorEastAsia"/>
        </w:rPr>
      </w:pPr>
    </w:p>
    <w:p>
      <w:pPr>
        <w:widowControl/>
        <w:jc w:val="center"/>
        <w:rPr>
          <w:rFonts w:asciiTheme="minorEastAsia" w:hAnsiTheme="minorEastAsia" w:eastAsiaTheme="minorEastAsia"/>
        </w:rPr>
      </w:pPr>
    </w:p>
    <w:p>
      <w:pPr>
        <w:spacing w:before="80" w:after="80" w:line="360" w:lineRule="auto"/>
        <w:jc w:val="center"/>
        <w:rPr>
          <w:rFonts w:asciiTheme="minorEastAsia" w:hAnsiTheme="minorEastAsia" w:eastAsiaTheme="minorEastAsia"/>
          <w:b/>
          <w:sz w:val="44"/>
          <w:szCs w:val="28"/>
        </w:rPr>
      </w:pPr>
      <w:r>
        <w:rPr>
          <w:rFonts w:asciiTheme="minorEastAsia" w:hAnsiTheme="minorEastAsia" w:eastAsiaTheme="minorEastAsia"/>
          <w:b/>
          <w:sz w:val="44"/>
          <w:szCs w:val="28"/>
        </w:rPr>
        <w:t>政府和社会资本合作（PPP）项目合同</w:t>
      </w:r>
    </w:p>
    <w:p>
      <w:pPr>
        <w:spacing w:before="80" w:after="80" w:line="360" w:lineRule="auto"/>
        <w:rPr>
          <w:rFonts w:asciiTheme="minorEastAsia" w:hAnsiTheme="minorEastAsia" w:eastAsiaTheme="minorEastAsia"/>
          <w:kern w:val="0"/>
          <w:sz w:val="20"/>
          <w:szCs w:val="20"/>
        </w:rPr>
      </w:pPr>
    </w:p>
    <w:p>
      <w:pPr>
        <w:spacing w:before="80" w:after="80" w:line="360" w:lineRule="auto"/>
        <w:rPr>
          <w:rFonts w:asciiTheme="minorEastAsia" w:hAnsiTheme="minorEastAsia" w:eastAsiaTheme="minorEastAsia"/>
          <w:b/>
          <w:sz w:val="48"/>
          <w:szCs w:val="28"/>
        </w:rPr>
      </w:pPr>
    </w:p>
    <w:p>
      <w:pPr>
        <w:spacing w:before="80" w:after="80" w:line="360" w:lineRule="auto"/>
        <w:rPr>
          <w:rFonts w:asciiTheme="minorEastAsia" w:hAnsiTheme="minorEastAsia" w:eastAsiaTheme="minorEastAsia"/>
          <w:b/>
          <w:sz w:val="28"/>
          <w:szCs w:val="28"/>
        </w:rPr>
      </w:pPr>
    </w:p>
    <w:p>
      <w:pPr>
        <w:spacing w:before="80" w:after="80" w:line="360" w:lineRule="auto"/>
        <w:ind w:firstLine="480" w:firstLineChars="200"/>
        <w:rPr>
          <w:rFonts w:asciiTheme="minorEastAsia" w:hAnsiTheme="minorEastAsia" w:eastAsiaTheme="minorEastAsia"/>
          <w:sz w:val="24"/>
        </w:rPr>
      </w:pPr>
    </w:p>
    <w:p>
      <w:pPr>
        <w:widowControl/>
        <w:rPr>
          <w:rFonts w:asciiTheme="minorEastAsia" w:hAnsiTheme="minorEastAsia" w:eastAsiaTheme="minorEastAsia"/>
          <w:kern w:val="0"/>
          <w:sz w:val="20"/>
          <w:szCs w:val="20"/>
        </w:rPr>
      </w:pPr>
    </w:p>
    <w:p>
      <w:pPr>
        <w:widowControl/>
        <w:rPr>
          <w:rFonts w:asciiTheme="minorEastAsia" w:hAnsiTheme="minorEastAsia" w:eastAsiaTheme="minorEastAsia"/>
          <w:kern w:val="0"/>
          <w:sz w:val="20"/>
          <w:szCs w:val="20"/>
        </w:rPr>
      </w:pPr>
    </w:p>
    <w:p>
      <w:pPr>
        <w:widowControl/>
        <w:rPr>
          <w:rFonts w:asciiTheme="minorEastAsia" w:hAnsiTheme="minorEastAsia" w:eastAsiaTheme="minorEastAsia"/>
          <w:kern w:val="0"/>
          <w:sz w:val="20"/>
          <w:szCs w:val="20"/>
        </w:rPr>
      </w:pPr>
    </w:p>
    <w:p>
      <w:pPr>
        <w:widowControl/>
        <w:rPr>
          <w:rFonts w:asciiTheme="minorEastAsia" w:hAnsiTheme="minorEastAsia" w:eastAsiaTheme="minorEastAsia"/>
          <w:kern w:val="0"/>
          <w:sz w:val="20"/>
          <w:szCs w:val="20"/>
        </w:rPr>
      </w:pPr>
    </w:p>
    <w:p>
      <w:pPr>
        <w:widowControl/>
        <w:rPr>
          <w:rFonts w:asciiTheme="minorEastAsia" w:hAnsiTheme="minorEastAsia" w:eastAsiaTheme="minorEastAsia"/>
          <w:kern w:val="0"/>
          <w:sz w:val="20"/>
          <w:szCs w:val="20"/>
        </w:rPr>
      </w:pPr>
    </w:p>
    <w:p>
      <w:pPr>
        <w:widowControl/>
        <w:rPr>
          <w:rFonts w:asciiTheme="minorEastAsia" w:hAnsiTheme="minorEastAsia" w:eastAsiaTheme="minorEastAsia"/>
          <w:kern w:val="0"/>
          <w:sz w:val="20"/>
          <w:szCs w:val="20"/>
        </w:rPr>
      </w:pPr>
    </w:p>
    <w:p>
      <w:pPr>
        <w:widowControl/>
        <w:rPr>
          <w:rFonts w:asciiTheme="minorEastAsia" w:hAnsiTheme="minorEastAsia" w:eastAsiaTheme="minorEastAsia"/>
          <w:kern w:val="0"/>
          <w:sz w:val="20"/>
          <w:szCs w:val="20"/>
        </w:rPr>
      </w:pPr>
    </w:p>
    <w:p>
      <w:pPr>
        <w:widowControl/>
        <w:rPr>
          <w:rFonts w:asciiTheme="minorEastAsia" w:hAnsiTheme="minorEastAsia" w:eastAsiaTheme="minorEastAsia"/>
          <w:kern w:val="0"/>
          <w:sz w:val="20"/>
          <w:szCs w:val="20"/>
        </w:rPr>
      </w:pPr>
    </w:p>
    <w:p>
      <w:pPr>
        <w:widowControl/>
        <w:rPr>
          <w:rFonts w:asciiTheme="minorEastAsia" w:hAnsiTheme="minorEastAsia" w:eastAsiaTheme="minorEastAsia"/>
          <w:kern w:val="0"/>
          <w:sz w:val="20"/>
          <w:szCs w:val="20"/>
        </w:rPr>
      </w:pPr>
    </w:p>
    <w:p>
      <w:pPr>
        <w:widowControl/>
        <w:rPr>
          <w:rFonts w:asciiTheme="minorEastAsia" w:hAnsiTheme="minorEastAsia" w:eastAsiaTheme="minorEastAsia"/>
          <w:kern w:val="0"/>
          <w:sz w:val="20"/>
          <w:szCs w:val="20"/>
        </w:rPr>
      </w:pPr>
    </w:p>
    <w:p>
      <w:pPr>
        <w:rPr>
          <w:rFonts w:asciiTheme="minorEastAsia" w:hAnsiTheme="minorEastAsia" w:eastAsiaTheme="minorEastAsia"/>
          <w:b/>
          <w:sz w:val="30"/>
          <w:szCs w:val="30"/>
        </w:rPr>
      </w:pPr>
      <w:r>
        <w:rPr>
          <w:rFonts w:asciiTheme="minorEastAsia" w:hAnsiTheme="minorEastAsia" w:eastAsiaTheme="minorEastAsia"/>
          <w:b/>
          <w:sz w:val="30"/>
          <w:szCs w:val="30"/>
        </w:rPr>
        <w:t>甲方：</w:t>
      </w:r>
      <w:r>
        <w:rPr>
          <w:rFonts w:asciiTheme="minorEastAsia" w:hAnsiTheme="minorEastAsia" w:eastAsiaTheme="minorEastAsia"/>
          <w:b/>
          <w:sz w:val="30"/>
          <w:szCs w:val="30"/>
          <w:u w:val="single"/>
        </w:rPr>
        <w:t xml:space="preserve"> 贵港市产业园区管理委员会 </w:t>
      </w:r>
    </w:p>
    <w:p>
      <w:pPr>
        <w:rPr>
          <w:rFonts w:asciiTheme="minorEastAsia" w:hAnsiTheme="minorEastAsia" w:eastAsiaTheme="minorEastAsia"/>
          <w:b/>
          <w:sz w:val="30"/>
          <w:szCs w:val="30"/>
        </w:rPr>
      </w:pPr>
      <w:r>
        <w:rPr>
          <w:rFonts w:asciiTheme="minorEastAsia" w:hAnsiTheme="minorEastAsia" w:eastAsiaTheme="minorEastAsia"/>
          <w:b/>
          <w:sz w:val="30"/>
          <w:szCs w:val="30"/>
        </w:rPr>
        <w:t>乙方：</w:t>
      </w:r>
      <w:r>
        <w:rPr>
          <w:rFonts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u w:val="single"/>
        </w:rPr>
        <w:t xml:space="preserve">                        </w:t>
      </w:r>
      <w:r>
        <w:rPr>
          <w:rFonts w:asciiTheme="minorEastAsia" w:hAnsiTheme="minorEastAsia" w:eastAsiaTheme="minorEastAsia"/>
          <w:b/>
          <w:sz w:val="30"/>
          <w:szCs w:val="30"/>
          <w:u w:val="single"/>
        </w:rPr>
        <w:t xml:space="preserve"> </w:t>
      </w:r>
    </w:p>
    <w:p>
      <w:pPr>
        <w:rPr>
          <w:rFonts w:asciiTheme="minorEastAsia" w:hAnsiTheme="minorEastAsia" w:eastAsiaTheme="minorEastAsia"/>
          <w:b/>
          <w:sz w:val="30"/>
          <w:szCs w:val="30"/>
        </w:rPr>
      </w:pPr>
      <w:r>
        <w:rPr>
          <w:rFonts w:asciiTheme="minorEastAsia" w:hAnsiTheme="minorEastAsia" w:eastAsiaTheme="minorEastAsia"/>
          <w:b/>
          <w:sz w:val="30"/>
          <w:szCs w:val="30"/>
        </w:rPr>
        <w:t>签订日期：</w:t>
      </w:r>
      <w:r>
        <w:rPr>
          <w:rFonts w:asciiTheme="minorEastAsia" w:hAnsiTheme="minorEastAsia" w:eastAsiaTheme="minorEastAsia"/>
          <w:b/>
          <w:sz w:val="30"/>
          <w:szCs w:val="30"/>
          <w:u w:val="single"/>
        </w:rPr>
        <w:t xml:space="preserve">    </w:t>
      </w:r>
      <w:r>
        <w:rPr>
          <w:rFonts w:asciiTheme="minorEastAsia" w:hAnsiTheme="minorEastAsia" w:eastAsiaTheme="minorEastAsia"/>
          <w:b/>
          <w:sz w:val="30"/>
          <w:szCs w:val="30"/>
        </w:rPr>
        <w:t>年</w:t>
      </w:r>
      <w:r>
        <w:rPr>
          <w:rFonts w:asciiTheme="minorEastAsia" w:hAnsiTheme="minorEastAsia" w:eastAsiaTheme="minorEastAsia"/>
          <w:b/>
          <w:sz w:val="30"/>
          <w:szCs w:val="30"/>
          <w:u w:val="single"/>
        </w:rPr>
        <w:t xml:space="preserve">    </w:t>
      </w:r>
      <w:r>
        <w:rPr>
          <w:rFonts w:asciiTheme="minorEastAsia" w:hAnsiTheme="minorEastAsia" w:eastAsiaTheme="minorEastAsia"/>
          <w:b/>
          <w:sz w:val="30"/>
          <w:szCs w:val="30"/>
        </w:rPr>
        <w:t>月</w:t>
      </w:r>
      <w:r>
        <w:rPr>
          <w:rFonts w:asciiTheme="minorEastAsia" w:hAnsiTheme="minorEastAsia" w:eastAsiaTheme="minorEastAsia"/>
          <w:b/>
          <w:sz w:val="30"/>
          <w:szCs w:val="30"/>
          <w:u w:val="single"/>
        </w:rPr>
        <w:t xml:space="preserve">    </w:t>
      </w:r>
      <w:r>
        <w:rPr>
          <w:rFonts w:asciiTheme="minorEastAsia" w:hAnsiTheme="minorEastAsia" w:eastAsiaTheme="minorEastAsia"/>
          <w:b/>
          <w:sz w:val="30"/>
          <w:szCs w:val="30"/>
        </w:rPr>
        <w:t xml:space="preserve">日 </w:t>
      </w:r>
    </w:p>
    <w:p>
      <w:pPr>
        <w:spacing w:before="80" w:after="80" w:line="360" w:lineRule="auto"/>
        <w:rPr>
          <w:rFonts w:asciiTheme="minorEastAsia" w:hAnsiTheme="minorEastAsia" w:eastAsiaTheme="minorEastAsia"/>
          <w:b/>
          <w:sz w:val="32"/>
          <w:lang w:val="zh-CN"/>
        </w:rPr>
        <w:sectPr>
          <w:headerReference r:id="rId11" w:type="default"/>
          <w:footerReference r:id="rId12" w:type="default"/>
          <w:pgSz w:w="11906" w:h="16838"/>
          <w:pgMar w:top="1440" w:right="1800" w:bottom="1440" w:left="1800" w:header="851" w:footer="992" w:gutter="0"/>
          <w:cols w:space="720" w:num="1"/>
          <w:docGrid w:type="lines" w:linePitch="312" w:charSpace="0"/>
        </w:sectPr>
      </w:pPr>
    </w:p>
    <w:p>
      <w:pPr>
        <w:tabs>
          <w:tab w:val="center" w:pos="4213"/>
          <w:tab w:val="left" w:pos="5145"/>
        </w:tabs>
        <w:spacing w:before="80" w:after="80" w:line="360" w:lineRule="auto"/>
        <w:jc w:val="center"/>
        <w:rPr>
          <w:rFonts w:asciiTheme="minorEastAsia" w:hAnsiTheme="minorEastAsia" w:eastAsiaTheme="minorEastAsia"/>
          <w:b/>
          <w:sz w:val="24"/>
        </w:rPr>
      </w:pPr>
      <w:r>
        <w:rPr>
          <w:rFonts w:asciiTheme="minorEastAsia" w:hAnsiTheme="minorEastAsia" w:eastAsiaTheme="minorEastAsia"/>
          <w:b/>
          <w:sz w:val="32"/>
          <w:lang w:val="zh-CN"/>
        </w:rPr>
        <w:t>目录</w:t>
      </w:r>
    </w:p>
    <w:p>
      <w:pPr>
        <w:pStyle w:val="36"/>
        <w:tabs>
          <w:tab w:val="right" w:leader="dot" w:pos="8306"/>
        </w:tabs>
        <w:rPr>
          <w:rFonts w:asciiTheme="minorEastAsia" w:hAnsiTheme="minorEastAsia" w:eastAsiaTheme="minorEastAsia"/>
          <w:sz w:val="24"/>
        </w:rPr>
      </w:pPr>
      <w:r>
        <w:rPr>
          <w:rFonts w:asciiTheme="minorEastAsia" w:hAnsiTheme="minorEastAsia" w:eastAsiaTheme="minorEastAsia"/>
          <w:kern w:val="0"/>
          <w:sz w:val="24"/>
          <w:lang w:eastAsia="en-US"/>
        </w:rPr>
        <w:fldChar w:fldCharType="begin"/>
      </w:r>
      <w:r>
        <w:rPr>
          <w:rFonts w:asciiTheme="minorEastAsia" w:hAnsiTheme="minorEastAsia" w:eastAsiaTheme="minorEastAsia"/>
          <w:sz w:val="24"/>
        </w:rPr>
        <w:instrText xml:space="preserve">TOC \o "1-2" \h \u </w:instrText>
      </w:r>
      <w:r>
        <w:rPr>
          <w:rFonts w:asciiTheme="minorEastAsia" w:hAnsiTheme="minorEastAsia" w:eastAsiaTheme="minorEastAsia"/>
          <w:kern w:val="0"/>
          <w:sz w:val="24"/>
          <w:lang w:eastAsia="en-US"/>
        </w:rPr>
        <w:fldChar w:fldCharType="separate"/>
      </w:r>
      <w:r>
        <w:fldChar w:fldCharType="begin"/>
      </w:r>
      <w:r>
        <w:instrText xml:space="preserve"> HYPERLINK \l "_Toc9269" </w:instrText>
      </w:r>
      <w:r>
        <w:fldChar w:fldCharType="separate"/>
      </w:r>
      <w:r>
        <w:rPr>
          <w:rFonts w:asciiTheme="minorEastAsia" w:hAnsiTheme="minorEastAsia" w:eastAsiaTheme="minorEastAsia"/>
          <w:sz w:val="24"/>
        </w:rPr>
        <w:t>厂网一体化PPP项目合同标准条款</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_Toc9269 </w:instrText>
      </w:r>
      <w:r>
        <w:rPr>
          <w:rFonts w:asciiTheme="minorEastAsia" w:hAnsiTheme="minorEastAsia" w:eastAsiaTheme="minorEastAsia"/>
          <w:sz w:val="24"/>
        </w:rPr>
        <w:fldChar w:fldCharType="separate"/>
      </w:r>
      <w:r>
        <w:rPr>
          <w:rFonts w:asciiTheme="minorEastAsia" w:hAnsiTheme="minorEastAsia" w:eastAsiaTheme="minorEastAsia"/>
          <w:sz w:val="24"/>
        </w:rPr>
        <w:t>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"_Toc6565" </w:instrText>
      </w:r>
      <w:r>
        <w:fldChar w:fldCharType="separate"/>
      </w:r>
      <w:r>
        <w:rPr>
          <w:rFonts w:asciiTheme="minorEastAsia" w:hAnsiTheme="minorEastAsia" w:eastAsiaTheme="minorEastAsia"/>
          <w:sz w:val="24"/>
        </w:rPr>
        <w:t>第1条  定义和解释</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_Toc6565 </w:instrText>
      </w:r>
      <w:r>
        <w:rPr>
          <w:rFonts w:asciiTheme="minorEastAsia" w:hAnsiTheme="minorEastAsia" w:eastAsiaTheme="minorEastAsia"/>
          <w:sz w:val="24"/>
        </w:rPr>
        <w:fldChar w:fldCharType="separate"/>
      </w:r>
      <w:r>
        <w:rPr>
          <w:rFonts w:asciiTheme="minorEastAsia" w:hAnsiTheme="minorEastAsia" w:eastAsiaTheme="minorEastAsia"/>
          <w:sz w:val="24"/>
        </w:rPr>
        <w:t>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"_Toc8816" </w:instrText>
      </w:r>
      <w:r>
        <w:fldChar w:fldCharType="separate"/>
      </w:r>
      <w:r>
        <w:rPr>
          <w:rFonts w:asciiTheme="minorEastAsia" w:hAnsiTheme="minorEastAsia" w:eastAsiaTheme="minorEastAsia"/>
          <w:sz w:val="24"/>
        </w:rPr>
        <w:t>第2条  声明与保证</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_Toc8816 </w:instrText>
      </w:r>
      <w:r>
        <w:rPr>
          <w:rFonts w:asciiTheme="minorEastAsia" w:hAnsiTheme="minorEastAsia" w:eastAsiaTheme="minorEastAsia"/>
          <w:sz w:val="24"/>
        </w:rPr>
        <w:fldChar w:fldCharType="separate"/>
      </w:r>
      <w:r>
        <w:rPr>
          <w:rFonts w:asciiTheme="minorEastAsia" w:hAnsiTheme="minorEastAsia" w:eastAsiaTheme="minorEastAsia"/>
          <w:sz w:val="24"/>
        </w:rPr>
        <w:t>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"_Toc10861" </w:instrText>
      </w:r>
      <w:r>
        <w:fldChar w:fldCharType="separate"/>
      </w:r>
      <w:r>
        <w:rPr>
          <w:rFonts w:asciiTheme="minorEastAsia" w:hAnsiTheme="minorEastAsia" w:eastAsiaTheme="minorEastAsia"/>
          <w:sz w:val="24"/>
        </w:rPr>
        <w:t>第3条  项目合作范围和合作期限</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_Toc10861 </w:instrText>
      </w:r>
      <w:r>
        <w:rPr>
          <w:rFonts w:asciiTheme="minorEastAsia" w:hAnsiTheme="minorEastAsia" w:eastAsiaTheme="minorEastAsia"/>
          <w:sz w:val="24"/>
        </w:rPr>
        <w:fldChar w:fldCharType="separate"/>
      </w:r>
      <w:r>
        <w:rPr>
          <w:rFonts w:asciiTheme="minorEastAsia" w:hAnsiTheme="minorEastAsia" w:eastAsiaTheme="minorEastAsia"/>
          <w:sz w:val="24"/>
        </w:rPr>
        <w:t>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"_Toc21070" </w:instrText>
      </w:r>
      <w:r>
        <w:fldChar w:fldCharType="separate"/>
      </w:r>
      <w:r>
        <w:rPr>
          <w:rFonts w:asciiTheme="minorEastAsia" w:hAnsiTheme="minorEastAsia" w:eastAsiaTheme="minorEastAsia"/>
          <w:sz w:val="24"/>
        </w:rPr>
        <w:t>第4条  项目融资与财务管理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_Toc21070 </w:instrText>
      </w:r>
      <w:r>
        <w:rPr>
          <w:rFonts w:asciiTheme="minorEastAsia" w:hAnsiTheme="minorEastAsia" w:eastAsiaTheme="minorEastAsia"/>
          <w:sz w:val="24"/>
        </w:rPr>
        <w:fldChar w:fldCharType="separate"/>
      </w:r>
      <w:r>
        <w:rPr>
          <w:rFonts w:asciiTheme="minorEastAsia" w:hAnsiTheme="minorEastAsia" w:eastAsiaTheme="minorEastAsia"/>
          <w:sz w:val="24"/>
        </w:rPr>
        <w:t>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"_Toc26191" </w:instrText>
      </w:r>
      <w:r>
        <w:fldChar w:fldCharType="separate"/>
      </w:r>
      <w:r>
        <w:rPr>
          <w:rFonts w:asciiTheme="minorEastAsia" w:hAnsiTheme="minorEastAsia" w:eastAsiaTheme="minorEastAsia"/>
          <w:sz w:val="24"/>
        </w:rPr>
        <w:t>第5条  双方的基本权利和义务</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_Toc26191 </w:instrText>
      </w:r>
      <w:r>
        <w:rPr>
          <w:rFonts w:asciiTheme="minorEastAsia" w:hAnsiTheme="minorEastAsia" w:eastAsiaTheme="minorEastAsia"/>
          <w:sz w:val="24"/>
        </w:rPr>
        <w:fldChar w:fldCharType="separate"/>
      </w:r>
      <w:r>
        <w:rPr>
          <w:rFonts w:asciiTheme="minorEastAsia" w:hAnsiTheme="minorEastAsia" w:eastAsiaTheme="minorEastAsia"/>
          <w:sz w:val="24"/>
        </w:rPr>
        <w:t>12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"_Toc26063" </w:instrText>
      </w:r>
      <w:r>
        <w:fldChar w:fldCharType="separate"/>
      </w:r>
      <w:r>
        <w:rPr>
          <w:rFonts w:asciiTheme="minorEastAsia" w:hAnsiTheme="minorEastAsia" w:eastAsiaTheme="minorEastAsia"/>
          <w:sz w:val="24"/>
        </w:rPr>
        <w:t>第6条  项目前期工作及费用承担</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_Toc26063 </w:instrText>
      </w:r>
      <w:r>
        <w:rPr>
          <w:rFonts w:asciiTheme="minorEastAsia" w:hAnsiTheme="minorEastAsia" w:eastAsiaTheme="minorEastAsia"/>
          <w:sz w:val="24"/>
        </w:rPr>
        <w:fldChar w:fldCharType="separate"/>
      </w:r>
      <w:r>
        <w:rPr>
          <w:rFonts w:asciiTheme="minorEastAsia" w:hAnsiTheme="minorEastAsia" w:eastAsiaTheme="minorEastAsia"/>
          <w:sz w:val="24"/>
        </w:rPr>
        <w:t>17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"_Toc22905" </w:instrText>
      </w:r>
      <w:r>
        <w:fldChar w:fldCharType="separate"/>
      </w:r>
      <w:r>
        <w:rPr>
          <w:rFonts w:asciiTheme="minorEastAsia" w:hAnsiTheme="minorEastAsia" w:eastAsiaTheme="minorEastAsia"/>
          <w:sz w:val="24"/>
        </w:rPr>
        <w:t>第7条  土地使用权及项目设施的权属</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_Toc22905 </w:instrText>
      </w:r>
      <w:r>
        <w:rPr>
          <w:rFonts w:asciiTheme="minorEastAsia" w:hAnsiTheme="minorEastAsia" w:eastAsiaTheme="minorEastAsia"/>
          <w:sz w:val="24"/>
        </w:rPr>
        <w:fldChar w:fldCharType="separate"/>
      </w:r>
      <w:r>
        <w:rPr>
          <w:rFonts w:asciiTheme="minorEastAsia" w:hAnsiTheme="minorEastAsia" w:eastAsiaTheme="minorEastAsia"/>
          <w:sz w:val="24"/>
        </w:rPr>
        <w:t>19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"_Toc31209" </w:instrText>
      </w:r>
      <w:r>
        <w:fldChar w:fldCharType="separate"/>
      </w:r>
      <w:r>
        <w:rPr>
          <w:rFonts w:asciiTheme="minorEastAsia" w:hAnsiTheme="minorEastAsia" w:eastAsiaTheme="minorEastAsia"/>
          <w:sz w:val="24"/>
        </w:rPr>
        <w:t>第8条  项目建设</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_Toc31209 </w:instrText>
      </w:r>
      <w:r>
        <w:rPr>
          <w:rFonts w:asciiTheme="minorEastAsia" w:hAnsiTheme="minorEastAsia" w:eastAsiaTheme="minorEastAsia"/>
          <w:sz w:val="24"/>
        </w:rPr>
        <w:fldChar w:fldCharType="separate"/>
      </w:r>
      <w:r>
        <w:rPr>
          <w:rFonts w:asciiTheme="minorEastAsia" w:hAnsiTheme="minorEastAsia" w:eastAsiaTheme="minorEastAsia"/>
          <w:sz w:val="24"/>
        </w:rPr>
        <w:t>20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"_Toc28802" </w:instrText>
      </w:r>
      <w:r>
        <w:fldChar w:fldCharType="separate"/>
      </w:r>
      <w:r>
        <w:rPr>
          <w:rFonts w:asciiTheme="minorEastAsia" w:hAnsiTheme="minorEastAsia" w:eastAsiaTheme="minorEastAsia"/>
          <w:sz w:val="24"/>
        </w:rPr>
        <w:t>第9条  项目的运营维护</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_Toc28802 </w:instrText>
      </w:r>
      <w:r>
        <w:rPr>
          <w:rFonts w:asciiTheme="minorEastAsia" w:hAnsiTheme="minorEastAsia" w:eastAsiaTheme="minorEastAsia"/>
          <w:sz w:val="24"/>
        </w:rPr>
        <w:fldChar w:fldCharType="separate"/>
      </w:r>
      <w:r>
        <w:rPr>
          <w:rFonts w:asciiTheme="minorEastAsia" w:hAnsiTheme="minorEastAsia" w:eastAsiaTheme="minorEastAsia"/>
          <w:sz w:val="24"/>
        </w:rPr>
        <w:t>40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"_Toc26219" </w:instrText>
      </w:r>
      <w:r>
        <w:fldChar w:fldCharType="separate"/>
      </w:r>
      <w:r>
        <w:rPr>
          <w:rFonts w:asciiTheme="minorEastAsia" w:hAnsiTheme="minorEastAsia" w:eastAsiaTheme="minorEastAsia"/>
          <w:sz w:val="24"/>
        </w:rPr>
        <w:t>第10条  股权变更限制</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_Toc26219 </w:instrText>
      </w:r>
      <w:r>
        <w:rPr>
          <w:rFonts w:asciiTheme="minorEastAsia" w:hAnsiTheme="minorEastAsia" w:eastAsiaTheme="minorEastAsia"/>
          <w:sz w:val="24"/>
        </w:rPr>
        <w:fldChar w:fldCharType="separate"/>
      </w:r>
      <w:r>
        <w:rPr>
          <w:rFonts w:asciiTheme="minorEastAsia" w:hAnsiTheme="minorEastAsia" w:eastAsiaTheme="minorEastAsia"/>
          <w:sz w:val="24"/>
        </w:rPr>
        <w:t>47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"_Toc4933" </w:instrText>
      </w:r>
      <w:r>
        <w:fldChar w:fldCharType="separate"/>
      </w:r>
      <w:r>
        <w:rPr>
          <w:rFonts w:asciiTheme="minorEastAsia" w:hAnsiTheme="minorEastAsia" w:eastAsiaTheme="minorEastAsia"/>
          <w:sz w:val="24"/>
        </w:rPr>
        <w:t>第11条  项目绩效评价与中期评估</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_Toc4933 </w:instrText>
      </w:r>
      <w:r>
        <w:rPr>
          <w:rFonts w:asciiTheme="minorEastAsia" w:hAnsiTheme="minorEastAsia" w:eastAsiaTheme="minorEastAsia"/>
          <w:sz w:val="24"/>
        </w:rPr>
        <w:fldChar w:fldCharType="separate"/>
      </w:r>
      <w:r>
        <w:rPr>
          <w:rFonts w:asciiTheme="minorEastAsia" w:hAnsiTheme="minorEastAsia" w:eastAsiaTheme="minorEastAsia"/>
          <w:sz w:val="24"/>
        </w:rPr>
        <w:t>47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"_Toc19939" </w:instrText>
      </w:r>
      <w:r>
        <w:fldChar w:fldCharType="separate"/>
      </w:r>
      <w:r>
        <w:rPr>
          <w:rFonts w:asciiTheme="minorEastAsia" w:hAnsiTheme="minorEastAsia" w:eastAsiaTheme="minorEastAsia"/>
          <w:sz w:val="24"/>
        </w:rPr>
        <w:t>第12条  定价与调价机制</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_Toc19939 </w:instrText>
      </w:r>
      <w:r>
        <w:rPr>
          <w:rFonts w:asciiTheme="minorEastAsia" w:hAnsiTheme="minorEastAsia" w:eastAsiaTheme="minorEastAsia"/>
          <w:sz w:val="24"/>
        </w:rPr>
        <w:fldChar w:fldCharType="separate"/>
      </w:r>
      <w:r>
        <w:rPr>
          <w:rFonts w:asciiTheme="minorEastAsia" w:hAnsiTheme="minorEastAsia" w:eastAsiaTheme="minorEastAsia"/>
          <w:sz w:val="24"/>
        </w:rPr>
        <w:t>50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"_Toc21429" </w:instrText>
      </w:r>
      <w:r>
        <w:fldChar w:fldCharType="separate"/>
      </w:r>
      <w:r>
        <w:rPr>
          <w:rFonts w:asciiTheme="minorEastAsia" w:hAnsiTheme="minorEastAsia" w:eastAsiaTheme="minorEastAsia"/>
          <w:sz w:val="24"/>
        </w:rPr>
        <w:t>第13条  计费与支付机制</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_Toc21429 </w:instrText>
      </w:r>
      <w:r>
        <w:rPr>
          <w:rFonts w:asciiTheme="minorEastAsia" w:hAnsiTheme="minorEastAsia" w:eastAsiaTheme="minorEastAsia"/>
          <w:sz w:val="24"/>
        </w:rPr>
        <w:fldChar w:fldCharType="separate"/>
      </w:r>
      <w:r>
        <w:rPr>
          <w:rFonts w:asciiTheme="minorEastAsia" w:hAnsiTheme="minorEastAsia" w:eastAsiaTheme="minorEastAsia"/>
          <w:sz w:val="24"/>
        </w:rPr>
        <w:t>54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"_Toc30127" </w:instrText>
      </w:r>
      <w:r>
        <w:fldChar w:fldCharType="separate"/>
      </w:r>
      <w:r>
        <w:rPr>
          <w:rFonts w:asciiTheme="minorEastAsia" w:hAnsiTheme="minorEastAsia" w:eastAsiaTheme="minorEastAsia"/>
          <w:sz w:val="24"/>
        </w:rPr>
        <w:t>第14条  项目的移交</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_Toc30127 </w:instrText>
      </w:r>
      <w:r>
        <w:rPr>
          <w:rFonts w:asciiTheme="minorEastAsia" w:hAnsiTheme="minorEastAsia" w:eastAsiaTheme="minorEastAsia"/>
          <w:sz w:val="24"/>
        </w:rPr>
        <w:fldChar w:fldCharType="separate"/>
      </w:r>
      <w:r>
        <w:rPr>
          <w:rFonts w:asciiTheme="minorEastAsia" w:hAnsiTheme="minorEastAsia" w:eastAsiaTheme="minorEastAsia"/>
          <w:sz w:val="24"/>
        </w:rPr>
        <w:t>60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"_Toc14367" </w:instrText>
      </w:r>
      <w:r>
        <w:fldChar w:fldCharType="separate"/>
      </w:r>
      <w:r>
        <w:rPr>
          <w:rFonts w:asciiTheme="minorEastAsia" w:hAnsiTheme="minorEastAsia" w:eastAsiaTheme="minorEastAsia"/>
          <w:sz w:val="24"/>
        </w:rPr>
        <w:t>第15条  履约担保和保障</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_Toc14367 </w:instrText>
      </w:r>
      <w:r>
        <w:rPr>
          <w:rFonts w:asciiTheme="minorEastAsia" w:hAnsiTheme="minorEastAsia" w:eastAsiaTheme="minorEastAsia"/>
          <w:sz w:val="24"/>
        </w:rPr>
        <w:fldChar w:fldCharType="separate"/>
      </w:r>
      <w:r>
        <w:rPr>
          <w:rFonts w:asciiTheme="minorEastAsia" w:hAnsiTheme="minorEastAsia" w:eastAsiaTheme="minorEastAsia"/>
          <w:sz w:val="24"/>
        </w:rPr>
        <w:t>66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"_Toc28582" </w:instrText>
      </w:r>
      <w:r>
        <w:fldChar w:fldCharType="separate"/>
      </w:r>
      <w:r>
        <w:rPr>
          <w:rFonts w:asciiTheme="minorEastAsia" w:hAnsiTheme="minorEastAsia" w:eastAsiaTheme="minorEastAsia"/>
          <w:sz w:val="24"/>
        </w:rPr>
        <w:t>第16条  公众监督</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_Toc28582 </w:instrText>
      </w:r>
      <w:r>
        <w:rPr>
          <w:rFonts w:asciiTheme="minorEastAsia" w:hAnsiTheme="minorEastAsia" w:eastAsiaTheme="minorEastAsia"/>
          <w:sz w:val="24"/>
        </w:rPr>
        <w:fldChar w:fldCharType="separate"/>
      </w:r>
      <w:r>
        <w:rPr>
          <w:rFonts w:asciiTheme="minorEastAsia" w:hAnsiTheme="minorEastAsia" w:eastAsiaTheme="minorEastAsia"/>
          <w:sz w:val="24"/>
        </w:rPr>
        <w:t>68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"_Toc9400" </w:instrText>
      </w:r>
      <w:r>
        <w:fldChar w:fldCharType="separate"/>
      </w:r>
      <w:r>
        <w:rPr>
          <w:rFonts w:asciiTheme="minorEastAsia" w:hAnsiTheme="minorEastAsia" w:eastAsiaTheme="minorEastAsia"/>
          <w:sz w:val="24"/>
        </w:rPr>
        <w:t>第17条  政府方介入权</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_Toc9400 </w:instrText>
      </w:r>
      <w:r>
        <w:rPr>
          <w:rFonts w:asciiTheme="minorEastAsia" w:hAnsiTheme="minorEastAsia" w:eastAsiaTheme="minorEastAsia"/>
          <w:sz w:val="24"/>
        </w:rPr>
        <w:fldChar w:fldCharType="separate"/>
      </w:r>
      <w:r>
        <w:rPr>
          <w:rFonts w:asciiTheme="minorEastAsia" w:hAnsiTheme="minorEastAsia" w:eastAsiaTheme="minorEastAsia"/>
          <w:sz w:val="24"/>
        </w:rPr>
        <w:t>69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"_Toc10750" </w:instrText>
      </w:r>
      <w:r>
        <w:fldChar w:fldCharType="separate"/>
      </w:r>
      <w:r>
        <w:rPr>
          <w:rFonts w:asciiTheme="minorEastAsia" w:hAnsiTheme="minorEastAsia" w:eastAsiaTheme="minorEastAsia"/>
          <w:sz w:val="24"/>
        </w:rPr>
        <w:t>第18条  保险</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_Toc10750 </w:instrText>
      </w:r>
      <w:r>
        <w:rPr>
          <w:rFonts w:asciiTheme="minorEastAsia" w:hAnsiTheme="minorEastAsia" w:eastAsiaTheme="minorEastAsia"/>
          <w:sz w:val="24"/>
        </w:rPr>
        <w:fldChar w:fldCharType="separate"/>
      </w:r>
      <w:r>
        <w:rPr>
          <w:rFonts w:asciiTheme="minorEastAsia" w:hAnsiTheme="minorEastAsia" w:eastAsiaTheme="minorEastAsia"/>
          <w:sz w:val="24"/>
        </w:rPr>
        <w:t>71</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"_Toc18029" </w:instrText>
      </w:r>
      <w:r>
        <w:fldChar w:fldCharType="separate"/>
      </w:r>
      <w:r>
        <w:rPr>
          <w:rFonts w:asciiTheme="minorEastAsia" w:hAnsiTheme="minorEastAsia" w:eastAsiaTheme="minorEastAsia"/>
          <w:sz w:val="24"/>
        </w:rPr>
        <w:t>第19条  再融资</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_Toc18029 </w:instrText>
      </w:r>
      <w:r>
        <w:rPr>
          <w:rFonts w:asciiTheme="minorEastAsia" w:hAnsiTheme="minorEastAsia" w:eastAsiaTheme="minorEastAsia"/>
          <w:sz w:val="24"/>
        </w:rPr>
        <w:fldChar w:fldCharType="separate"/>
      </w:r>
      <w:r>
        <w:rPr>
          <w:rFonts w:asciiTheme="minorEastAsia" w:hAnsiTheme="minorEastAsia" w:eastAsiaTheme="minorEastAsia"/>
          <w:sz w:val="24"/>
        </w:rPr>
        <w:t>72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"_Toc24400" </w:instrText>
      </w:r>
      <w:r>
        <w:fldChar w:fldCharType="separate"/>
      </w:r>
      <w:r>
        <w:rPr>
          <w:rFonts w:asciiTheme="minorEastAsia" w:hAnsiTheme="minorEastAsia" w:eastAsiaTheme="minorEastAsia"/>
          <w:sz w:val="24"/>
        </w:rPr>
        <w:t>第20条  不可抗力</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_Toc24400 </w:instrText>
      </w:r>
      <w:r>
        <w:rPr>
          <w:rFonts w:asciiTheme="minorEastAsia" w:hAnsiTheme="minorEastAsia" w:eastAsiaTheme="minorEastAsia"/>
          <w:sz w:val="24"/>
        </w:rPr>
        <w:fldChar w:fldCharType="separate"/>
      </w:r>
      <w:r>
        <w:rPr>
          <w:rFonts w:asciiTheme="minorEastAsia" w:hAnsiTheme="minorEastAsia" w:eastAsiaTheme="minorEastAsia"/>
          <w:sz w:val="24"/>
        </w:rPr>
        <w:t>73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"_Toc12613" </w:instrText>
      </w:r>
      <w:r>
        <w:fldChar w:fldCharType="separate"/>
      </w:r>
      <w:r>
        <w:rPr>
          <w:rFonts w:asciiTheme="minorEastAsia" w:hAnsiTheme="minorEastAsia" w:eastAsiaTheme="minorEastAsia"/>
          <w:sz w:val="24"/>
        </w:rPr>
        <w:t>第21条  政府行为</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_Toc12613 </w:instrText>
      </w:r>
      <w:r>
        <w:rPr>
          <w:rFonts w:asciiTheme="minorEastAsia" w:hAnsiTheme="minorEastAsia" w:eastAsiaTheme="minorEastAsia"/>
          <w:sz w:val="24"/>
        </w:rPr>
        <w:fldChar w:fldCharType="separate"/>
      </w:r>
      <w:r>
        <w:rPr>
          <w:rFonts w:asciiTheme="minorEastAsia" w:hAnsiTheme="minorEastAsia" w:eastAsiaTheme="minorEastAsia"/>
          <w:sz w:val="24"/>
        </w:rPr>
        <w:t>75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"_Toc28662" </w:instrText>
      </w:r>
      <w:r>
        <w:fldChar w:fldCharType="separate"/>
      </w:r>
      <w:r>
        <w:rPr>
          <w:rFonts w:asciiTheme="minorEastAsia" w:hAnsiTheme="minorEastAsia" w:eastAsiaTheme="minorEastAsia"/>
          <w:sz w:val="24"/>
        </w:rPr>
        <w:t>第22条  法律变更</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_Toc28662 </w:instrText>
      </w:r>
      <w:r>
        <w:rPr>
          <w:rFonts w:asciiTheme="minorEastAsia" w:hAnsiTheme="minorEastAsia" w:eastAsiaTheme="minorEastAsia"/>
          <w:sz w:val="24"/>
        </w:rPr>
        <w:fldChar w:fldCharType="separate"/>
      </w:r>
      <w:r>
        <w:rPr>
          <w:rFonts w:asciiTheme="minorEastAsia" w:hAnsiTheme="minorEastAsia" w:eastAsiaTheme="minorEastAsia"/>
          <w:sz w:val="24"/>
        </w:rPr>
        <w:t>75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"_Toc14050" </w:instrText>
      </w:r>
      <w:r>
        <w:fldChar w:fldCharType="separate"/>
      </w:r>
      <w:r>
        <w:rPr>
          <w:rFonts w:asciiTheme="minorEastAsia" w:hAnsiTheme="minorEastAsia" w:eastAsiaTheme="minorEastAsia"/>
          <w:sz w:val="24"/>
        </w:rPr>
        <w:t>第23条  补偿与违约赔偿</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_Toc14050 </w:instrText>
      </w:r>
      <w:r>
        <w:rPr>
          <w:rFonts w:asciiTheme="minorEastAsia" w:hAnsiTheme="minorEastAsia" w:eastAsiaTheme="minorEastAsia"/>
          <w:sz w:val="24"/>
        </w:rPr>
        <w:fldChar w:fldCharType="separate"/>
      </w:r>
      <w:r>
        <w:rPr>
          <w:rFonts w:asciiTheme="minorEastAsia" w:hAnsiTheme="minorEastAsia" w:eastAsiaTheme="minorEastAsia"/>
          <w:sz w:val="24"/>
        </w:rPr>
        <w:t>76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"_Toc14098" </w:instrText>
      </w:r>
      <w:r>
        <w:fldChar w:fldCharType="separate"/>
      </w:r>
      <w:r>
        <w:rPr>
          <w:rFonts w:asciiTheme="minorEastAsia" w:hAnsiTheme="minorEastAsia" w:eastAsiaTheme="minorEastAsia"/>
          <w:sz w:val="24"/>
        </w:rPr>
        <w:t>第24条  合同终止与补偿</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_Toc14098 </w:instrText>
      </w:r>
      <w:r>
        <w:rPr>
          <w:rFonts w:asciiTheme="minorEastAsia" w:hAnsiTheme="minorEastAsia" w:eastAsiaTheme="minorEastAsia"/>
          <w:sz w:val="24"/>
        </w:rPr>
        <w:fldChar w:fldCharType="separate"/>
      </w:r>
      <w:r>
        <w:rPr>
          <w:rFonts w:asciiTheme="minorEastAsia" w:hAnsiTheme="minorEastAsia" w:eastAsiaTheme="minorEastAsia"/>
          <w:sz w:val="24"/>
        </w:rPr>
        <w:t>79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"_Toc24025" </w:instrText>
      </w:r>
      <w:r>
        <w:fldChar w:fldCharType="separate"/>
      </w:r>
      <w:r>
        <w:rPr>
          <w:rFonts w:asciiTheme="minorEastAsia" w:hAnsiTheme="minorEastAsia" w:eastAsiaTheme="minorEastAsia"/>
          <w:sz w:val="24"/>
        </w:rPr>
        <w:t>第25条  合同变更和转让</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_Toc24025 </w:instrText>
      </w:r>
      <w:r>
        <w:rPr>
          <w:rFonts w:asciiTheme="minorEastAsia" w:hAnsiTheme="minorEastAsia" w:eastAsiaTheme="minorEastAsia"/>
          <w:sz w:val="24"/>
        </w:rPr>
        <w:fldChar w:fldCharType="separate"/>
      </w:r>
      <w:r>
        <w:rPr>
          <w:rFonts w:asciiTheme="minorEastAsia" w:hAnsiTheme="minorEastAsia" w:eastAsiaTheme="minorEastAsia"/>
          <w:sz w:val="24"/>
        </w:rPr>
        <w:t>83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"_Toc16630" </w:instrText>
      </w:r>
      <w:r>
        <w:fldChar w:fldCharType="separate"/>
      </w:r>
      <w:r>
        <w:rPr>
          <w:rFonts w:asciiTheme="minorEastAsia" w:hAnsiTheme="minorEastAsia" w:eastAsiaTheme="minorEastAsia"/>
          <w:sz w:val="24"/>
        </w:rPr>
        <w:t>第26条  争议解决</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_Toc16630 </w:instrText>
      </w:r>
      <w:r>
        <w:rPr>
          <w:rFonts w:asciiTheme="minorEastAsia" w:hAnsiTheme="minorEastAsia" w:eastAsiaTheme="minorEastAsia"/>
          <w:sz w:val="24"/>
        </w:rPr>
        <w:fldChar w:fldCharType="separate"/>
      </w:r>
      <w:r>
        <w:rPr>
          <w:rFonts w:asciiTheme="minorEastAsia" w:hAnsiTheme="minorEastAsia" w:eastAsiaTheme="minorEastAsia"/>
          <w:sz w:val="24"/>
        </w:rPr>
        <w:t>84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"_Toc26872" </w:instrText>
      </w:r>
      <w:r>
        <w:fldChar w:fldCharType="separate"/>
      </w:r>
      <w:r>
        <w:rPr>
          <w:rFonts w:asciiTheme="minorEastAsia" w:hAnsiTheme="minorEastAsia" w:eastAsiaTheme="minorEastAsia"/>
          <w:sz w:val="24"/>
        </w:rPr>
        <w:t>第27条  其他约定</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_Toc26872 </w:instrText>
      </w:r>
      <w:r>
        <w:rPr>
          <w:rFonts w:asciiTheme="minorEastAsia" w:hAnsiTheme="minorEastAsia" w:eastAsiaTheme="minorEastAsia"/>
          <w:sz w:val="24"/>
        </w:rPr>
        <w:fldChar w:fldCharType="separate"/>
      </w:r>
      <w:r>
        <w:rPr>
          <w:rFonts w:asciiTheme="minorEastAsia" w:hAnsiTheme="minorEastAsia" w:eastAsiaTheme="minorEastAsia"/>
          <w:sz w:val="24"/>
        </w:rPr>
        <w:t>86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p>
    <w:p>
      <w:pPr>
        <w:rPr>
          <w:rFonts w:asciiTheme="minorEastAsia" w:hAnsiTheme="minorEastAsia" w:eastAsiaTheme="minorEastAsia"/>
        </w:rPr>
      </w:pPr>
      <w:r>
        <w:rPr>
          <w:rFonts w:asciiTheme="minorEastAsia" w:hAnsiTheme="minorEastAsia" w:eastAsiaTheme="minorEastAsia"/>
          <w:sz w:val="24"/>
        </w:rPr>
        <w:fldChar w:fldCharType="end"/>
      </w:r>
    </w:p>
    <w:p>
      <w:pPr>
        <w:spacing w:before="80" w:after="80" w:line="360" w:lineRule="auto"/>
        <w:rPr>
          <w:rFonts w:asciiTheme="minorEastAsia" w:hAnsiTheme="minorEastAsia" w:eastAsiaTheme="minorEastAsia"/>
          <w:sz w:val="24"/>
        </w:rPr>
      </w:pPr>
    </w:p>
    <w:p>
      <w:pPr>
        <w:spacing w:before="120" w:after="120" w:line="360" w:lineRule="auto"/>
        <w:rPr>
          <w:rFonts w:asciiTheme="minorEastAsia" w:hAnsiTheme="minorEastAsia" w:eastAsiaTheme="minorEastAsia"/>
          <w:b/>
          <w:sz w:val="28"/>
          <w:szCs w:val="28"/>
        </w:rPr>
      </w:pPr>
    </w:p>
    <w:p>
      <w:pPr>
        <w:spacing w:line="360" w:lineRule="auto"/>
        <w:rPr>
          <w:rFonts w:asciiTheme="minorEastAsia" w:hAnsiTheme="minorEastAsia" w:eastAsiaTheme="minorEastAsia"/>
          <w:b/>
          <w:sz w:val="24"/>
        </w:rPr>
        <w:sectPr>
          <w:footerReference r:id="rId13" w:type="default"/>
          <w:pgSz w:w="11906" w:h="16838"/>
          <w:pgMar w:top="1440" w:right="1800" w:bottom="1440" w:left="1800" w:header="851" w:footer="992" w:gutter="0"/>
          <w:cols w:space="720" w:num="1"/>
          <w:docGrid w:type="lines" w:linePitch="312" w:charSpace="0"/>
        </w:sectPr>
      </w:pPr>
    </w:p>
    <w:p>
      <w:pPr>
        <w:spacing w:line="360" w:lineRule="auto"/>
        <w:rPr>
          <w:rFonts w:asciiTheme="minorEastAsia" w:hAnsiTheme="minorEastAsia" w:eastAsiaTheme="minorEastAsia"/>
          <w:b/>
          <w:sz w:val="24"/>
        </w:rPr>
      </w:pPr>
      <w:r>
        <w:rPr>
          <w:rFonts w:asciiTheme="minorEastAsia" w:hAnsiTheme="minorEastAsia" w:eastAsiaTheme="minorEastAsia"/>
          <w:b/>
          <w:sz w:val="24"/>
        </w:rPr>
        <w:t>本合同由以下双方于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rPr>
        <w:t>年</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rPr>
        <w:t>月</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rPr>
        <w:t>日在</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rPr>
        <w:t>签署：</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甲方</w:t>
      </w:r>
      <w:r>
        <w:rPr>
          <w:rFonts w:asciiTheme="minorEastAsia" w:hAnsiTheme="minorEastAsia" w:eastAsiaTheme="minorEastAsia"/>
          <w:sz w:val="24"/>
        </w:rPr>
        <w:t>：</w:t>
      </w:r>
      <w:r>
        <w:rPr>
          <w:rFonts w:asciiTheme="minorEastAsia" w:hAnsiTheme="minorEastAsia" w:eastAsiaTheme="minorEastAsia"/>
          <w:sz w:val="24"/>
          <w:u w:val="single"/>
        </w:rPr>
        <w:t xml:space="preserve"> 贵港市产业园区管理委员会  </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注册地址：</w:t>
      </w:r>
      <w:r>
        <w:rPr>
          <w:rFonts w:asciiTheme="minorEastAsia" w:hAnsiTheme="minorEastAsia" w:eastAsiaTheme="minorEastAsia"/>
          <w:sz w:val="24"/>
          <w:u w:val="single"/>
        </w:rPr>
        <w:t xml:space="preserve">                                             </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法定代表人：</w:t>
      </w:r>
      <w:r>
        <w:rPr>
          <w:rFonts w:asciiTheme="minorEastAsia" w:hAnsiTheme="minorEastAsia" w:eastAsiaTheme="minorEastAsia"/>
          <w:sz w:val="24"/>
          <w:u w:val="single"/>
        </w:rPr>
        <w:t xml:space="preserve">                                           </w:t>
      </w:r>
    </w:p>
    <w:p>
      <w:pPr>
        <w:spacing w:line="360" w:lineRule="auto"/>
        <w:rPr>
          <w:rFonts w:asciiTheme="minorEastAsia" w:hAnsiTheme="minorEastAsia" w:eastAsiaTheme="minorEastAsia"/>
          <w:sz w:val="24"/>
        </w:rPr>
      </w:pP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乙方</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注册地址：</w:t>
      </w:r>
      <w:r>
        <w:rPr>
          <w:rFonts w:asciiTheme="minorEastAsia" w:hAnsiTheme="minorEastAsia" w:eastAsiaTheme="minorEastAsia"/>
          <w:sz w:val="24"/>
          <w:u w:val="single"/>
        </w:rPr>
        <w:t xml:space="preserve">                                              </w:t>
      </w:r>
    </w:p>
    <w:p>
      <w:pPr>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法定代表人：</w:t>
      </w:r>
      <w:r>
        <w:rPr>
          <w:rFonts w:asciiTheme="minorEastAsia" w:hAnsiTheme="minorEastAsia" w:eastAsiaTheme="minorEastAsia"/>
          <w:sz w:val="24"/>
          <w:u w:val="single"/>
        </w:rPr>
        <w:t xml:space="preserve">                                            </w:t>
      </w:r>
    </w:p>
    <w:p>
      <w:pPr>
        <w:spacing w:line="360" w:lineRule="auto"/>
        <w:ind w:firstLine="480" w:firstLineChars="200"/>
        <w:rPr>
          <w:rFonts w:asciiTheme="minorEastAsia" w:hAnsiTheme="minorEastAsia" w:eastAsiaTheme="minorEastAsia"/>
          <w:sz w:val="24"/>
          <w:u w:val="single"/>
        </w:rPr>
      </w:pPr>
    </w:p>
    <w:p>
      <w:pPr>
        <w:spacing w:line="360" w:lineRule="auto"/>
        <w:rPr>
          <w:rFonts w:asciiTheme="minorEastAsia" w:hAnsiTheme="minorEastAsia" w:eastAsiaTheme="minorEastAsia"/>
          <w:b/>
          <w:sz w:val="24"/>
        </w:rPr>
      </w:pPr>
      <w:r>
        <w:rPr>
          <w:rFonts w:asciiTheme="minorEastAsia" w:hAnsiTheme="minorEastAsia" w:eastAsiaTheme="minorEastAsia"/>
          <w:b/>
          <w:sz w:val="24"/>
        </w:rPr>
        <w:t>鉴于：</w:t>
      </w:r>
    </w:p>
    <w:p>
      <w:pPr>
        <w:numPr>
          <w:ilvl w:val="255"/>
          <w:numId w:val="0"/>
        </w:num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bCs/>
          <w:sz w:val="24"/>
          <w:u w:val="single"/>
        </w:rPr>
        <w:t>1、贵港市产业园（粤桂园）给水厂和污水处理厂供排一体化PPP项目</w:t>
      </w:r>
      <w:r>
        <w:rPr>
          <w:rFonts w:asciiTheme="minorEastAsia" w:hAnsiTheme="minorEastAsia" w:eastAsiaTheme="minorEastAsia"/>
          <w:sz w:val="24"/>
        </w:rPr>
        <w:t>（以下简称“本项目”）已通过物有所值评价和财政承受能力论证，且本项目的《</w:t>
      </w:r>
      <w:r>
        <w:rPr>
          <w:rFonts w:asciiTheme="minorEastAsia" w:hAnsiTheme="minorEastAsia" w:eastAsiaTheme="minorEastAsia"/>
          <w:sz w:val="24"/>
          <w:u w:val="single"/>
        </w:rPr>
        <w:t>贵港市产业园（粤桂园）给水厂和污水处理厂供排一体化PPP项目</w:t>
      </w:r>
      <w:r>
        <w:rPr>
          <w:rFonts w:asciiTheme="minorEastAsia" w:hAnsiTheme="minorEastAsia" w:eastAsiaTheme="minorEastAsia"/>
          <w:sz w:val="24"/>
        </w:rPr>
        <w:t>PPP实施方案》（以下简称“《实施方案》”）已于</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2020</w:t>
      </w:r>
      <w:r>
        <w:rPr>
          <w:rFonts w:asciiTheme="minorEastAsia" w:hAnsiTheme="minorEastAsia" w:eastAsiaTheme="minorEastAsia"/>
          <w:sz w:val="24"/>
        </w:rPr>
        <w:t>年</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7</w:t>
      </w:r>
      <w:r>
        <w:rPr>
          <w:rFonts w:asciiTheme="minorEastAsia" w:hAnsiTheme="minorEastAsia" w:eastAsiaTheme="minorEastAsia"/>
          <w:sz w:val="24"/>
          <w:u w:val="single"/>
        </w:rPr>
        <w:t xml:space="preserve"> </w:t>
      </w:r>
      <w:r>
        <w:rPr>
          <w:rFonts w:asciiTheme="minorEastAsia" w:hAnsiTheme="minorEastAsia" w:eastAsiaTheme="minorEastAsia"/>
          <w:sz w:val="24"/>
        </w:rPr>
        <w:t>月</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2</w:t>
      </w:r>
      <w:r>
        <w:rPr>
          <w:rFonts w:asciiTheme="minorEastAsia" w:hAnsiTheme="minorEastAsia" w:eastAsiaTheme="minorEastAsia"/>
          <w:sz w:val="24"/>
          <w:u w:val="single"/>
        </w:rPr>
        <w:t xml:space="preserve"> </w:t>
      </w:r>
      <w:r>
        <w:rPr>
          <w:rFonts w:asciiTheme="minorEastAsia" w:hAnsiTheme="minorEastAsia" w:eastAsiaTheme="minorEastAsia"/>
          <w:sz w:val="24"/>
        </w:rPr>
        <w:t>日由</w:t>
      </w:r>
      <w:r>
        <w:rPr>
          <w:rFonts w:asciiTheme="minorEastAsia" w:hAnsiTheme="minorEastAsia" w:eastAsiaTheme="minorEastAsia"/>
          <w:sz w:val="30"/>
          <w:szCs w:val="30"/>
          <w:u w:val="single"/>
        </w:rPr>
        <w:t xml:space="preserve"> </w:t>
      </w:r>
      <w:r>
        <w:rPr>
          <w:rFonts w:asciiTheme="minorEastAsia" w:hAnsiTheme="minorEastAsia" w:eastAsiaTheme="minorEastAsia"/>
          <w:sz w:val="24"/>
          <w:u w:val="single"/>
        </w:rPr>
        <w:t>贵港市</w:t>
      </w:r>
      <w:r>
        <w:rPr>
          <w:rFonts w:asciiTheme="minorEastAsia" w:hAnsiTheme="minorEastAsia" w:eastAsiaTheme="minorEastAsia"/>
          <w:sz w:val="30"/>
          <w:szCs w:val="30"/>
          <w:u w:val="single"/>
        </w:rPr>
        <w:t xml:space="preserve"> </w:t>
      </w:r>
      <w:r>
        <w:rPr>
          <w:rFonts w:asciiTheme="minorEastAsia" w:hAnsiTheme="minorEastAsia" w:eastAsiaTheme="minorEastAsia"/>
          <w:sz w:val="24"/>
        </w:rPr>
        <w:t>人民政府批复同意，项目已纳入全国PPP综合信息平台项目管理库管理。</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2、根据本项目实施方案，</w:t>
      </w:r>
      <w:r>
        <w:rPr>
          <w:rFonts w:asciiTheme="minorEastAsia" w:hAnsiTheme="minorEastAsia" w:eastAsiaTheme="minorEastAsia"/>
          <w:sz w:val="30"/>
          <w:szCs w:val="30"/>
          <w:u w:val="single"/>
        </w:rPr>
        <w:t xml:space="preserve"> </w:t>
      </w:r>
      <w:r>
        <w:rPr>
          <w:rFonts w:asciiTheme="minorEastAsia" w:hAnsiTheme="minorEastAsia" w:eastAsiaTheme="minorEastAsia"/>
          <w:sz w:val="24"/>
          <w:u w:val="single"/>
        </w:rPr>
        <w:t>贵港市</w:t>
      </w:r>
      <w:r>
        <w:rPr>
          <w:rFonts w:asciiTheme="minorEastAsia" w:hAnsiTheme="minorEastAsia" w:eastAsiaTheme="minorEastAsia"/>
          <w:sz w:val="30"/>
          <w:szCs w:val="30"/>
          <w:u w:val="single"/>
        </w:rPr>
        <w:t xml:space="preserve"> </w:t>
      </w:r>
      <w:r>
        <w:rPr>
          <w:rFonts w:asciiTheme="minorEastAsia" w:hAnsiTheme="minorEastAsia" w:eastAsiaTheme="minorEastAsia"/>
          <w:sz w:val="24"/>
        </w:rPr>
        <w:t>人民政府授权甲方作为实施机构负责本项目的具体实施。甲方已通过【</w:t>
      </w:r>
      <w:r>
        <w:rPr>
          <w:rFonts w:hint="eastAsia" w:ascii="MS Mincho" w:hAnsi="MS Mincho" w:eastAsia="MS Mincho" w:cs="MS Mincho"/>
          <w:sz w:val="24"/>
        </w:rPr>
        <w:t>☑</w:t>
      </w:r>
      <w:r>
        <w:rPr>
          <w:rFonts w:asciiTheme="minorEastAsia" w:hAnsiTheme="minorEastAsia" w:eastAsiaTheme="minorEastAsia"/>
          <w:sz w:val="24"/>
        </w:rPr>
        <w:t>公开招标；</w:t>
      </w:r>
      <w:r>
        <w:rPr>
          <w:rFonts w:hint="eastAsia" w:ascii="MS Mincho" w:hAnsi="MS Mincho" w:eastAsia="MS Mincho" w:cs="MS Mincho"/>
          <w:sz w:val="24"/>
        </w:rPr>
        <w:t>☑</w:t>
      </w:r>
      <w:r>
        <w:rPr>
          <w:rFonts w:asciiTheme="minorEastAsia" w:hAnsiTheme="minorEastAsia" w:eastAsiaTheme="minorEastAsia"/>
          <w:sz w:val="24"/>
        </w:rPr>
        <w:t>其他采购方式：</w:t>
      </w:r>
      <w:r>
        <w:rPr>
          <w:rFonts w:asciiTheme="minorEastAsia" w:hAnsiTheme="minorEastAsia" w:eastAsiaTheme="minorEastAsia"/>
          <w:sz w:val="24"/>
          <w:u w:val="single"/>
        </w:rPr>
        <w:t xml:space="preserve">       </w:t>
      </w:r>
      <w:r>
        <w:rPr>
          <w:rFonts w:asciiTheme="minorEastAsia" w:hAnsiTheme="minorEastAsia" w:eastAsiaTheme="minorEastAsia"/>
          <w:sz w:val="24"/>
        </w:rPr>
        <w:t>】选定</w:t>
      </w:r>
      <w:r>
        <w:rPr>
          <w:rFonts w:hint="eastAsia" w:asciiTheme="minorEastAsia" w:hAnsiTheme="minorEastAsia" w:eastAsiaTheme="minorEastAsia"/>
          <w:sz w:val="24"/>
          <w:u w:val="single"/>
        </w:rPr>
        <w:t>【                】</w:t>
      </w:r>
      <w:r>
        <w:rPr>
          <w:rFonts w:asciiTheme="minorEastAsia" w:hAnsiTheme="minorEastAsia" w:eastAsiaTheme="minorEastAsia"/>
          <w:sz w:val="24"/>
        </w:rPr>
        <w:t>为本项目的中选社会资本，并已于</w:t>
      </w:r>
      <w:r>
        <w:rPr>
          <w:rFonts w:asciiTheme="minorEastAsia" w:hAnsiTheme="minorEastAsia" w:eastAsiaTheme="minorEastAsia"/>
          <w:sz w:val="30"/>
          <w:szCs w:val="30"/>
          <w:u w:val="single"/>
        </w:rPr>
        <w:t xml:space="preserve">    </w:t>
      </w:r>
      <w:r>
        <w:rPr>
          <w:rFonts w:asciiTheme="minorEastAsia" w:hAnsiTheme="minorEastAsia" w:eastAsiaTheme="minorEastAsia"/>
          <w:sz w:val="24"/>
        </w:rPr>
        <w:t>年</w:t>
      </w:r>
      <w:r>
        <w:rPr>
          <w:rFonts w:asciiTheme="minorEastAsia" w:hAnsiTheme="minorEastAsia" w:eastAsiaTheme="minorEastAsia"/>
          <w:sz w:val="30"/>
          <w:szCs w:val="30"/>
          <w:u w:val="single"/>
        </w:rPr>
        <w:t xml:space="preserve">    </w:t>
      </w:r>
      <w:r>
        <w:rPr>
          <w:rFonts w:asciiTheme="minorEastAsia" w:hAnsiTheme="minorEastAsia" w:eastAsiaTheme="minorEastAsia"/>
          <w:sz w:val="24"/>
        </w:rPr>
        <w:t>月</w:t>
      </w:r>
      <w:r>
        <w:rPr>
          <w:rFonts w:asciiTheme="minorEastAsia" w:hAnsiTheme="minorEastAsia" w:eastAsiaTheme="minorEastAsia"/>
          <w:sz w:val="30"/>
          <w:szCs w:val="30"/>
          <w:u w:val="single"/>
        </w:rPr>
        <w:t xml:space="preserve">    </w:t>
      </w:r>
      <w:r>
        <w:rPr>
          <w:rFonts w:asciiTheme="minorEastAsia" w:hAnsiTheme="minorEastAsia" w:eastAsiaTheme="minorEastAsia"/>
          <w:sz w:val="24"/>
        </w:rPr>
        <w:t>日发出【</w:t>
      </w:r>
      <w:r>
        <w:rPr>
          <w:rFonts w:hint="eastAsia" w:ascii="MS Mincho" w:hAnsi="MS Mincho" w:eastAsia="MS Mincho" w:cs="MS Mincho"/>
          <w:sz w:val="24"/>
        </w:rPr>
        <w:t>☑</w:t>
      </w:r>
      <w:r>
        <w:rPr>
          <w:rFonts w:asciiTheme="minorEastAsia" w:hAnsiTheme="minorEastAsia" w:eastAsiaTheme="minorEastAsia"/>
          <w:sz w:val="24"/>
        </w:rPr>
        <w:t>中标通知书；</w:t>
      </w:r>
      <w:r>
        <w:rPr>
          <w:rFonts w:hint="eastAsia" w:asciiTheme="minorEastAsia" w:hAnsiTheme="minorEastAsia" w:eastAsiaTheme="minorEastAsia"/>
          <w:sz w:val="24"/>
        </w:rPr>
        <w:t>□</w:t>
      </w:r>
      <w:r>
        <w:rPr>
          <w:rFonts w:asciiTheme="minorEastAsia" w:hAnsiTheme="minorEastAsia" w:eastAsiaTheme="minorEastAsia"/>
          <w:sz w:val="24"/>
        </w:rPr>
        <w:t>成交通知书】。</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asciiTheme="minorEastAsia" w:hAnsiTheme="minorEastAsia" w:eastAsiaTheme="minorEastAsia"/>
          <w:sz w:val="24"/>
          <w:u w:val="single"/>
        </w:rPr>
        <w:t>贵港市产业园（粤桂园）给水厂和污水处理厂供排一体化PPP项目</w:t>
      </w:r>
      <w:r>
        <w:rPr>
          <w:rFonts w:asciiTheme="minorEastAsia" w:hAnsiTheme="minorEastAsia" w:eastAsiaTheme="minorEastAsia"/>
          <w:sz w:val="24"/>
        </w:rPr>
        <w:t>_政府和社会资本合作（PPP）项目合同》已于</w:t>
      </w:r>
      <w:r>
        <w:rPr>
          <w:rFonts w:asciiTheme="minorEastAsia" w:hAnsiTheme="minorEastAsia" w:eastAsiaTheme="minorEastAsia"/>
          <w:sz w:val="30"/>
          <w:szCs w:val="30"/>
          <w:u w:val="single"/>
        </w:rPr>
        <w:t xml:space="preserve">    </w:t>
      </w:r>
      <w:r>
        <w:rPr>
          <w:rFonts w:asciiTheme="minorEastAsia" w:hAnsiTheme="minorEastAsia" w:eastAsiaTheme="minorEastAsia"/>
          <w:sz w:val="24"/>
        </w:rPr>
        <w:t>年</w:t>
      </w:r>
      <w:r>
        <w:rPr>
          <w:rFonts w:asciiTheme="minorEastAsia" w:hAnsiTheme="minorEastAsia" w:eastAsiaTheme="minorEastAsia"/>
          <w:sz w:val="30"/>
          <w:szCs w:val="30"/>
          <w:u w:val="single"/>
        </w:rPr>
        <w:t xml:space="preserve">    </w:t>
      </w:r>
      <w:r>
        <w:rPr>
          <w:rFonts w:asciiTheme="minorEastAsia" w:hAnsiTheme="minorEastAsia" w:eastAsiaTheme="minorEastAsia"/>
          <w:sz w:val="24"/>
        </w:rPr>
        <w:t>月</w:t>
      </w:r>
      <w:r>
        <w:rPr>
          <w:rFonts w:asciiTheme="minorEastAsia" w:hAnsiTheme="minorEastAsia" w:eastAsiaTheme="minorEastAsia"/>
          <w:sz w:val="30"/>
          <w:szCs w:val="30"/>
          <w:u w:val="single"/>
        </w:rPr>
        <w:t xml:space="preserve">    </w:t>
      </w:r>
      <w:r>
        <w:rPr>
          <w:rFonts w:asciiTheme="minorEastAsia" w:hAnsiTheme="minorEastAsia" w:eastAsiaTheme="minorEastAsia"/>
          <w:sz w:val="24"/>
        </w:rPr>
        <w:t>日经</w:t>
      </w:r>
      <w:r>
        <w:rPr>
          <w:rFonts w:asciiTheme="minorEastAsia" w:hAnsiTheme="minorEastAsia" w:eastAsiaTheme="minorEastAsia"/>
          <w:sz w:val="30"/>
          <w:szCs w:val="30"/>
          <w:u w:val="single"/>
        </w:rPr>
        <w:t xml:space="preserve"> </w:t>
      </w:r>
      <w:r>
        <w:rPr>
          <w:rFonts w:asciiTheme="minorEastAsia" w:hAnsiTheme="minorEastAsia" w:eastAsiaTheme="minorEastAsia"/>
          <w:sz w:val="24"/>
          <w:u w:val="single"/>
        </w:rPr>
        <w:t>贵港市</w:t>
      </w:r>
      <w:r>
        <w:rPr>
          <w:rFonts w:asciiTheme="minorEastAsia" w:hAnsiTheme="minorEastAsia" w:eastAsiaTheme="minorEastAsia"/>
          <w:sz w:val="30"/>
          <w:szCs w:val="30"/>
          <w:u w:val="single"/>
        </w:rPr>
        <w:t xml:space="preserve"> </w:t>
      </w:r>
      <w:r>
        <w:rPr>
          <w:rFonts w:asciiTheme="minorEastAsia" w:hAnsiTheme="minorEastAsia" w:eastAsiaTheme="minorEastAsia"/>
          <w:sz w:val="24"/>
        </w:rPr>
        <w:t>人民政府批准同意签署。</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甲、乙双方遵循平等、合作、守信的原则，就本项目实施相关事项协商一致，并根据《中华人民共和国合同法》及有关适用法律规定，共同达成协议如下：</w:t>
      </w:r>
    </w:p>
    <w:p>
      <w:pPr>
        <w:pStyle w:val="2"/>
        <w:ind w:left="494" w:right="210"/>
        <w:jc w:val="both"/>
        <w:rPr>
          <w:rFonts w:asciiTheme="minorEastAsia" w:hAnsiTheme="minorEastAsia"/>
          <w:b w:val="0"/>
        </w:rPr>
      </w:pPr>
      <w:r>
        <w:rPr>
          <w:rFonts w:asciiTheme="minorEastAsia" w:hAnsiTheme="minorEastAsia"/>
          <w:szCs w:val="28"/>
        </w:rPr>
        <w:br w:type="page"/>
      </w:r>
      <w:bookmarkStart w:id="347" w:name="_Toc9269"/>
      <w:bookmarkStart w:id="348" w:name="_Toc50993459"/>
      <w:bookmarkStart w:id="349" w:name="_Toc522897545"/>
      <w:r>
        <w:rPr>
          <w:rFonts w:asciiTheme="minorEastAsia" w:hAnsiTheme="minorEastAsia"/>
        </w:rPr>
        <w:t>厂网一体化PPP项目合同标准条款</w:t>
      </w:r>
      <w:bookmarkEnd w:id="347"/>
      <w:bookmarkEnd w:id="348"/>
      <w:bookmarkEnd w:id="349"/>
    </w:p>
    <w:p>
      <w:pPr>
        <w:pStyle w:val="3"/>
        <w:spacing w:line="360" w:lineRule="auto"/>
        <w:jc w:val="both"/>
        <w:rPr>
          <w:rFonts w:asciiTheme="minorEastAsia" w:hAnsiTheme="minorEastAsia"/>
        </w:rPr>
      </w:pPr>
      <w:bookmarkStart w:id="350" w:name="_Toc6565"/>
      <w:bookmarkStart w:id="351" w:name="_Toc522897546"/>
      <w:bookmarkStart w:id="352" w:name="_Toc50993460"/>
      <w:r>
        <w:rPr>
          <w:rFonts w:asciiTheme="minorEastAsia" w:hAnsiTheme="minorEastAsia"/>
        </w:rPr>
        <w:t>第1条  定义和解释</w:t>
      </w:r>
      <w:bookmarkEnd w:id="350"/>
      <w:bookmarkEnd w:id="351"/>
      <w:bookmarkEnd w:id="352"/>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1.1定义</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除本合同另有约定外，下列术语应具有本款所指的含义：</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1.1.1本合同，指由甲方与乙方就本项目签署的PPP项目合同，包括全部附件以及日后签署的本合同之补充协议和附件，均视为本合同的组成部分。</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1.1.2本项目，指</w:t>
      </w:r>
      <w:r>
        <w:rPr>
          <w:rFonts w:asciiTheme="minorEastAsia" w:hAnsiTheme="minorEastAsia" w:eastAsiaTheme="minorEastAsia"/>
          <w:sz w:val="24"/>
          <w:u w:val="single"/>
        </w:rPr>
        <w:t xml:space="preserve"> </w:t>
      </w:r>
      <w:r>
        <w:rPr>
          <w:rFonts w:asciiTheme="minorEastAsia" w:hAnsiTheme="minorEastAsia" w:eastAsiaTheme="minorEastAsia"/>
          <w:bCs/>
          <w:sz w:val="24"/>
          <w:u w:val="single"/>
        </w:rPr>
        <w:t>贵港市产业园（粤桂园）给水厂和污水处理厂供排一体化PPP项目</w:t>
      </w:r>
      <w:r>
        <w:rPr>
          <w:rFonts w:asciiTheme="minorEastAsia" w:hAnsiTheme="minorEastAsia" w:eastAsiaTheme="minorEastAsia"/>
          <w:sz w:val="24"/>
          <w:u w:val="single"/>
        </w:rPr>
        <w:t xml:space="preserve"> </w:t>
      </w:r>
      <w:r>
        <w:rPr>
          <w:rFonts w:asciiTheme="minorEastAsia" w:hAnsiTheme="minorEastAsia" w:eastAsiaTheme="minorEastAsia"/>
          <w:sz w:val="24"/>
        </w:rPr>
        <w:t>。</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1.1.3项目设施，指与本项目建设和运营管理相关的设施，包括但不限于污水处理厂、管网、泵站在内的全部构筑物、建筑物、设施、设备等财产。</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1.1.4甲方，指本项目中经</w:t>
      </w:r>
      <w:r>
        <w:rPr>
          <w:rFonts w:asciiTheme="minorEastAsia" w:hAnsiTheme="minorEastAsia" w:eastAsiaTheme="minorEastAsia"/>
          <w:bCs/>
          <w:sz w:val="30"/>
          <w:szCs w:val="30"/>
          <w:u w:val="single"/>
        </w:rPr>
        <w:t xml:space="preserve"> </w:t>
      </w:r>
      <w:r>
        <w:rPr>
          <w:rFonts w:asciiTheme="minorEastAsia" w:hAnsiTheme="minorEastAsia" w:eastAsiaTheme="minorEastAsia"/>
          <w:bCs/>
          <w:sz w:val="24"/>
          <w:u w:val="single"/>
        </w:rPr>
        <w:t>贵港市</w:t>
      </w:r>
      <w:r>
        <w:rPr>
          <w:rFonts w:asciiTheme="minorEastAsia" w:hAnsiTheme="minorEastAsia" w:eastAsiaTheme="minorEastAsia"/>
          <w:bCs/>
          <w:sz w:val="30"/>
          <w:szCs w:val="30"/>
          <w:u w:val="single"/>
        </w:rPr>
        <w:t xml:space="preserve"> </w:t>
      </w:r>
      <w:r>
        <w:rPr>
          <w:rFonts w:asciiTheme="minorEastAsia" w:hAnsiTheme="minorEastAsia" w:eastAsiaTheme="minorEastAsia"/>
          <w:sz w:val="24"/>
        </w:rPr>
        <w:t>人民政府授权确定的项目实施机构</w:t>
      </w:r>
      <w:r>
        <w:rPr>
          <w:rFonts w:asciiTheme="minorEastAsia" w:hAnsiTheme="minorEastAsia" w:eastAsiaTheme="minorEastAsia"/>
          <w:sz w:val="24"/>
          <w:u w:val="single"/>
        </w:rPr>
        <w:t>：贵港市产业园区管理委员会</w:t>
      </w:r>
      <w:r>
        <w:rPr>
          <w:rFonts w:asciiTheme="minorEastAsia" w:hAnsiTheme="minorEastAsia" w:eastAsiaTheme="minorEastAsia"/>
          <w:sz w:val="24"/>
        </w:rPr>
        <w:t>。政府出资方代表，指本项目中经</w:t>
      </w:r>
      <w:r>
        <w:rPr>
          <w:rFonts w:asciiTheme="minorEastAsia" w:hAnsiTheme="minorEastAsia" w:eastAsiaTheme="minorEastAsia"/>
          <w:sz w:val="30"/>
          <w:szCs w:val="30"/>
          <w:u w:val="single"/>
        </w:rPr>
        <w:t xml:space="preserve"> </w:t>
      </w:r>
      <w:r>
        <w:rPr>
          <w:rFonts w:asciiTheme="minorEastAsia" w:hAnsiTheme="minorEastAsia" w:eastAsiaTheme="minorEastAsia"/>
          <w:sz w:val="24"/>
          <w:u w:val="single"/>
        </w:rPr>
        <w:t>贵港市</w:t>
      </w:r>
      <w:r>
        <w:rPr>
          <w:rFonts w:asciiTheme="minorEastAsia" w:hAnsiTheme="minorEastAsia" w:eastAsiaTheme="minorEastAsia"/>
          <w:sz w:val="30"/>
          <w:szCs w:val="30"/>
          <w:u w:val="single"/>
        </w:rPr>
        <w:t xml:space="preserve"> </w:t>
      </w:r>
      <w:r>
        <w:rPr>
          <w:rFonts w:asciiTheme="minorEastAsia" w:hAnsiTheme="minorEastAsia" w:eastAsiaTheme="minorEastAsia"/>
          <w:sz w:val="24"/>
        </w:rPr>
        <w:t>人民政府授权确定的项目政府出资方代表：</w:t>
      </w:r>
      <w:r>
        <w:rPr>
          <w:rFonts w:asciiTheme="minorEastAsia" w:hAnsiTheme="minorEastAsia" w:eastAsiaTheme="minorEastAsia"/>
          <w:sz w:val="24"/>
          <w:u w:val="single"/>
        </w:rPr>
        <w:t>广西贵港市工业投资发展集团有限公司</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1.1.5乙方，</w:t>
      </w:r>
      <w:bookmarkStart w:id="353" w:name="_Hlk5198298"/>
      <w:r>
        <w:rPr>
          <w:rFonts w:asciiTheme="minorEastAsia" w:hAnsiTheme="minorEastAsia" w:eastAsiaTheme="minorEastAsia"/>
          <w:sz w:val="24"/>
        </w:rPr>
        <w:t>指政府方就本项目通过法定采购程序选定的中选社会资本，如中选社会资本为多个成员组成的联合体的，指联合体全体成员</w:t>
      </w:r>
      <w:r>
        <w:rPr>
          <w:rFonts w:asciiTheme="minorEastAsia" w:hAnsiTheme="minorEastAsia" w:eastAsiaTheme="minorEastAsia"/>
          <w:sz w:val="24"/>
          <w:u w:val="single"/>
        </w:rPr>
        <w:t>：</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组成的联合体。</w:t>
      </w:r>
      <w:bookmarkEnd w:id="353"/>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1.1.6政府方，指</w:t>
      </w:r>
      <w:r>
        <w:rPr>
          <w:rFonts w:asciiTheme="minorEastAsia" w:hAnsiTheme="minorEastAsia" w:eastAsiaTheme="minorEastAsia"/>
          <w:bCs/>
          <w:sz w:val="30"/>
          <w:szCs w:val="30"/>
          <w:u w:val="single"/>
        </w:rPr>
        <w:t xml:space="preserve"> </w:t>
      </w:r>
      <w:r>
        <w:rPr>
          <w:rFonts w:asciiTheme="minorEastAsia" w:hAnsiTheme="minorEastAsia" w:eastAsiaTheme="minorEastAsia"/>
          <w:bCs/>
          <w:sz w:val="24"/>
          <w:u w:val="single"/>
        </w:rPr>
        <w:t>贵港市</w:t>
      </w:r>
      <w:r>
        <w:rPr>
          <w:rFonts w:asciiTheme="minorEastAsia" w:hAnsiTheme="minorEastAsia" w:eastAsiaTheme="minorEastAsia"/>
          <w:bCs/>
          <w:sz w:val="30"/>
          <w:szCs w:val="30"/>
          <w:u w:val="single"/>
        </w:rPr>
        <w:t xml:space="preserve"> </w:t>
      </w:r>
      <w:r>
        <w:rPr>
          <w:rFonts w:asciiTheme="minorEastAsia" w:hAnsiTheme="minorEastAsia" w:eastAsiaTheme="minorEastAsia"/>
          <w:sz w:val="24"/>
        </w:rPr>
        <w:t>人民政府或其依法授权的实施机构，可指其中之一，也可统指政府和实施机构。</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1.1.7项目公司，指乙方和政府出资方代表为实施本项目而按照适用法律规定及采购文件要求组建的特殊目的公司。</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1.1.8采购文件，指《</w:t>
      </w:r>
      <w:r>
        <w:rPr>
          <w:rFonts w:asciiTheme="minorEastAsia" w:hAnsiTheme="minorEastAsia" w:eastAsiaTheme="minorEastAsia"/>
          <w:sz w:val="24"/>
          <w:u w:val="single"/>
        </w:rPr>
        <w:t xml:space="preserve"> </w:t>
      </w:r>
      <w:r>
        <w:rPr>
          <w:rFonts w:asciiTheme="minorEastAsia" w:hAnsiTheme="minorEastAsia" w:eastAsiaTheme="minorEastAsia"/>
          <w:bCs/>
          <w:sz w:val="24"/>
          <w:u w:val="single"/>
        </w:rPr>
        <w:t>贵港市产业园（粤桂园）给水厂和污水处理厂供排一体化PPP项目</w:t>
      </w:r>
      <w:r>
        <w:rPr>
          <w:rFonts w:asciiTheme="minorEastAsia" w:hAnsiTheme="minorEastAsia" w:eastAsiaTheme="minorEastAsia"/>
          <w:sz w:val="24"/>
        </w:rPr>
        <w:t>_政府和社会资本合作（PPP）项目采购文件》。</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1.1.9响应文件，指乙方按照采购文件要求编制，并对采购文件予以实质性响应的文件。</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1.1.10经营权，详见本合同第3.2款的约定。</w:t>
      </w:r>
    </w:p>
    <w:p>
      <w:pPr>
        <w:spacing w:before="80" w:after="80" w:line="360" w:lineRule="auto"/>
        <w:ind w:firstLine="477" w:firstLineChars="199"/>
        <w:rPr>
          <w:rFonts w:asciiTheme="minorEastAsia" w:hAnsiTheme="minorEastAsia" w:eastAsiaTheme="minorEastAsia"/>
        </w:rPr>
      </w:pPr>
      <w:r>
        <w:rPr>
          <w:rFonts w:asciiTheme="minorEastAsia" w:hAnsiTheme="minorEastAsia" w:eastAsiaTheme="minorEastAsia"/>
          <w:sz w:val="24"/>
        </w:rPr>
        <w:t>1.1.11土壤污染，是指因人为因素导致某种物质进入陆地表层土壤，引起土壤化学、物理、生物等方面特性的改变，影响土壤功能和有效利用，危害公众健康或者破坏生态环境的现象。</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1.1.12服务费，指工业/生活供水服务费、污水处理服务费、管网服务费的统称。其中：</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工业/生活供水服务费，指乙方为建设符合适用法律及协议规定的竣工验收标准的供水厂，并提供本项目供水服务而获得的服务收入。该服务费的实际支付数额与出水水质及绩效评价结果挂钩。</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污水处理服务费，指乙方为建设符合适用法律及协议规定的竣工验收标准的污水处理厂，并提供本项目污水处理服务而获得的服务收入。该服务费的实际支付数额与绩效评价结果挂钩。</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管网服务费，指乙方为建设符合适用法律及协议规定的竣工验收标准的管网，并提供管网运营维护服务而需要获得的服务收入。</w:t>
      </w:r>
      <w:bookmarkStart w:id="354" w:name="_Hlk5610824"/>
      <w:r>
        <w:rPr>
          <w:rFonts w:asciiTheme="minorEastAsia" w:hAnsiTheme="minorEastAsia" w:eastAsiaTheme="minorEastAsia"/>
          <w:sz w:val="24"/>
        </w:rPr>
        <w:t>该服务费的实际支付数额与相应绩效评价结果挂钩。</w:t>
      </w:r>
      <w:bookmarkEnd w:id="354"/>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1.1.13履约担保，指根据本项目采购文件规定的要求，履约担保系【</w:t>
      </w:r>
      <w:r>
        <w:rPr>
          <w:rFonts w:hint="eastAsia" w:ascii="MS Mincho" w:hAnsi="MS Mincho" w:eastAsia="MS Mincho" w:cs="MS Mincho"/>
          <w:sz w:val="24"/>
        </w:rPr>
        <w:t>☑</w:t>
      </w:r>
      <w:r>
        <w:rPr>
          <w:rFonts w:asciiTheme="minorEastAsia" w:hAnsiTheme="minorEastAsia" w:eastAsiaTheme="minorEastAsia"/>
          <w:sz w:val="24"/>
        </w:rPr>
        <w:t>建设履约保证金/保函/保险；</w:t>
      </w:r>
      <w:r>
        <w:rPr>
          <w:rFonts w:hint="eastAsia" w:ascii="MS Mincho" w:hAnsi="MS Mincho" w:eastAsia="MS Mincho" w:cs="MS Mincho"/>
          <w:sz w:val="24"/>
        </w:rPr>
        <w:t>☑</w:t>
      </w:r>
      <w:r>
        <w:rPr>
          <w:rFonts w:asciiTheme="minorEastAsia" w:hAnsiTheme="minorEastAsia" w:eastAsiaTheme="minorEastAsia"/>
          <w:sz w:val="24"/>
        </w:rPr>
        <w:t>运维履约保证金/保函/保险；</w:t>
      </w:r>
      <w:r>
        <w:rPr>
          <w:rFonts w:hint="eastAsia" w:ascii="MS Mincho" w:hAnsi="MS Mincho" w:eastAsia="MS Mincho" w:cs="MS Mincho"/>
          <w:sz w:val="24"/>
        </w:rPr>
        <w:t>☑</w:t>
      </w:r>
      <w:r>
        <w:rPr>
          <w:rFonts w:asciiTheme="minorEastAsia" w:hAnsiTheme="minorEastAsia" w:eastAsiaTheme="minorEastAsia"/>
          <w:sz w:val="24"/>
        </w:rPr>
        <w:t>移交履约保证金/保函/保险】的统称。其中：建设履约担保，指乙方按照第15.1款的约定提供的、为担保其履行在本合同项下的建设等义务的担保措施；运维履约担保，指乙方按照第15.2款的约定提交的、为担保其履行在本合同项下的运营维护等义务的担保措施；移交履约担保，指乙方按照第15.3款的约定提交的、为担保其履行在本合同项下移交、质量保证等义务的担保措施。</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1.1.14建设期，指自本合同生效日起至项目开始运营日前一日止的期间。</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1.1.15开工日，指开工令载明的日期或甲、乙双方书面认可的其他日期。</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1.1.16运营期，指开始运营日起至移交日止的期间。</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1.1.17开始运营日，指按照本合同第9.1.2款约定由甲方书面认可的日期或视为甲方认可的其他日期。</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1.1.18移交日，指本合同期满终止或提前终止时，乙方按照本合同约定向甲方移交项目设施的日期。</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1.1.19接收人，指在项目移交日负责接收乙方无偿、完整地移交资产和相关权益的政府方指定主体。</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1.1.20适用法律，指中华人民共和国境内（香港特别行政区、澳门特别行政区和台湾地区除外）所有适用的法律、行政法规、司法解释、地方性法规、规章、政府部门颁布的标准、规范或其他适用的强制性要求，以及有法律约束力的其他规范性文件等。</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1.1.21法律变更，指在生效日后颁布、修订、废止或重新解释的任何适用法律，导致甲方、乙方在本合同项下的权利义务发生实质性变化（如导致项目发生额外费用或工期延误，甚至导致合同无法继续履行）。</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1.1.22政府行为，指甲方及其任何上级政府部门（【</w:t>
      </w:r>
      <w:r>
        <w:rPr>
          <w:rFonts w:asciiTheme="minorEastAsia" w:hAnsiTheme="minorEastAsia" w:eastAsiaTheme="minorEastAsia"/>
          <w:sz w:val="24"/>
          <w:u w:val="single"/>
        </w:rPr>
        <w:t xml:space="preserve"> 市 </w:t>
      </w:r>
      <w:r>
        <w:rPr>
          <w:rFonts w:asciiTheme="minorEastAsia" w:hAnsiTheme="minorEastAsia" w:eastAsiaTheme="minorEastAsia"/>
          <w:sz w:val="24"/>
        </w:rPr>
        <w:t>】级及以上）的国有化、征收及征用等行为。</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1.1.23批准，指为了使乙方能够履行其在本合同项下的义务和行使其在本合同项下的权利，乙方必须或希望从政府机关依法获得的所需要的任何许可、执照、同意、授权、批准、免除或相同及类似的文件。</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1.1.24融资方，指融资文件中的贷款人或项目融资资金的提供人。</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1.1.25融资文件，指与项目或其任何一部分的建设、运营相关的长期、短期融资或再融资文件，包括但不限于贷款协议、担保协议和其他文件等，但本合同约定的履约担保、股东作出的出资承诺除外。</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1.1.26融资交割，指项目融资所需的有关资信、协议、担保或承诺等文件已签署并提交政府方，且融资文件要求获得首笔资金的前提条件已得到满足或被豁免。</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1.1.27再融资，指运营期内为维持项目正常运作和保障现金流，在初始融资完成后对融资条件和工具进行调整的融资活动。</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1.1.28 项目资产，指与项目有关的所有资产，包括但不限于：</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（1）工业/生活供水厂、污水处理厂、管网、泵站在内的全部建筑物、构筑物等不动产；</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（2）主辅设备、备品、备件、工具等动产；</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（3）本项目项下乙方拥有的知识产权；</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（4）合同文件项下的合同性权利；</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（5）运营和维护记录、质量保证计划等文件。</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1.1.29谨慎工程和运营惯例，指可以合理期望的对同一项业务在相同或类似情形下熟练和有经验的承包商或操作者的技能、勤勉、谨慎和预见能力的惯例标准。</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就本项目而言，谨慎工程和运营惯例应包括但不限于采取合理的步骤，以确使：</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（1）在满足正常条件下及合理预测的非正常条件下本项目拥有所需要的充足材料、资源和供应品；</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（2）拥有足够数量、充足经验并经过适当培训的工作人员，以恰当有效地按照相应的手册和技术规范运营本项目并能够处理紧急情况；</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（3）由有知识并受过培训和有经验的人员进行预防性日常和非日常维护和修理，以确使本项目长期、可靠和安全地运营。</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1.1.30争议解决程序，指本合同第26条中提及的解决争议的程序。</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1.1.31政府部门，指：</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（1）中国国务院及其下属的部、委、局、署、行，中国的任何立法、司法或军事当局，或具有中央政府行政管理功能的其他行政实体；</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（2）本项目所在区域的任何地方立法、行政、司法部门。</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1.1.32终止意向通知，指双方按照本合同第24.6.1款向对方发出的通知。</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1.1.33终止通知，指双方按照本合同第24.6.2款向对方发出的通知。</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1.1.34生效日，指本合同甲、乙双方法定代表人或授权代表签字并加盖公章之日。</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 xml:space="preserve">1.1.35运营日，指自开始运营日起算，每日从北京时间 9: 00 时开始至次日北京时间9: 00 时结束的二十四小时期间。 </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1.1.36运营月，指自开始运营日起算，运营期内任一个月的公历月份期间，但第一个运营月应在第一个运营日北京时间 9: 00 开始，最后一个运营月应在合作期的最后一日北京时间 9: 00 结束。</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1.1.37运营年，指自开始运营日起算，运营期内任一连续十二个月的公历年度期间，但第一个运营年应在第一个运营日北京时间 9:00 开始，最后一个运营年应在合作期的最后一日北京时间 9: 00 结束。</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1.2解释</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本合同中的标题仅为参考所设，不应影响条文的解释。以下规定同样适用于对本合同进行解释，除非其上下文明确显示其不适用。在本合同中：</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1.2.1协议或文件,指包括经修订、更新、补充或替代后的该协议或文件；</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1.2.2“元”，指中国的法定货币单位“人民币”；</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1.2.3条款或附件，指本合同的条款或附件；</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1.2.4一方、双方、各方，指本合同中的一方或双方或各方，并且包括经允许的替代该方的主体或该方的受让人；</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1.2.5 “包括”，指包括但不限于；</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1.2.6“以上”、“以下”、“以内”或“内”均含本数，“超过”、“以外”均不含本数；</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1.2.7日、月、季、年，均指公历的日、月、季、年；</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1.2.8本合同并不限制或以其他方式影响甲方及其他政府部门行使其法定行政职权；</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1.2.9在本合同订立及履约过程中形成的与合同有关的文件均构成合同文件组成部分，并根据其性质按照第1.2.10款确定优先解释顺序;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1.2.10本合同构成双方对项目的完全理解，属于本项目合同文件的重要组成部分。双方约定合同文件的地位和优先顺序如下：</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（1）《合作协议》；</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（2）本合同及附件（含《运营维护服务协议》）；</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（3）合同谈判备忘录；</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（4）中标通知书；</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（5）按合同约定确定的施工图预算和结算书、其他费用结算书；</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（6）采购文件及附件（含补充文件及澄清答疑文件，投资人在评标期间递交和确认并经招标人同意的对有关问题的补充资料和澄清文件等）；</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（7）中标社会资本方的响应文件等；</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（8）实施方案</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（9）标准、规范及有关技术文件；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（10）经审核的施工图纸及批准后的设计变更、设计文件、资料和图纸；</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（11）双方约定构成合同组成部分的其他文件。双方履约过程形成的双方授权代表签署的工程会议纪要、备忘录、补充文件、承诺书、变更和洽商等书面形式的文件均视为本合同的组成部分</w:t>
      </w:r>
    </w:p>
    <w:p>
      <w:pPr>
        <w:pStyle w:val="3"/>
        <w:spacing w:line="360" w:lineRule="auto"/>
        <w:jc w:val="both"/>
        <w:rPr>
          <w:rFonts w:asciiTheme="minorEastAsia" w:hAnsiTheme="minorEastAsia"/>
        </w:rPr>
      </w:pPr>
      <w:bookmarkStart w:id="355" w:name="_Toc522897547"/>
      <w:bookmarkStart w:id="356" w:name="_Toc50993461"/>
      <w:bookmarkStart w:id="357" w:name="_Toc8816"/>
      <w:r>
        <w:rPr>
          <w:rFonts w:asciiTheme="minorEastAsia" w:hAnsiTheme="minorEastAsia"/>
        </w:rPr>
        <w:t>第2条  声明与保证</w:t>
      </w:r>
      <w:bookmarkEnd w:id="355"/>
      <w:bookmarkEnd w:id="356"/>
      <w:bookmarkEnd w:id="357"/>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2.1甲方的声明与保证</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2.1.1甲方已获得签订本合同所必需的授权及批准，有权签署本合同；</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2.1.2如果甲方的承诺被证明在作出时存在不实或不能兑现，则乙方有权根据第23条要求甲方赔偿，并有权根据第24.2.1款的约定终止本合同。</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2.2乙方的声明与保证</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2.2.1乙方是依法正式成立的企业法人，具有签署和履行本合同条款和条件的法人资格、权利和能力；</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2.2.2签署本合同之前，乙方已为自身的利益进行了必要的调查及检查，包括但不限于对项目场地进行细致而全面的检查、评估，充分知悉项目的现状和风险；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2.2.3如果乙方的承诺被证明在作出时存在不实或不能兑现，则甲方有权根据第23条要求甲方赔偿，并有权根据本合同第24.1.1款的约定终止本合同。</w:t>
      </w:r>
    </w:p>
    <w:p>
      <w:pPr>
        <w:pStyle w:val="3"/>
        <w:spacing w:line="360" w:lineRule="auto"/>
        <w:jc w:val="both"/>
        <w:rPr>
          <w:rFonts w:asciiTheme="minorEastAsia" w:hAnsiTheme="minorEastAsia"/>
        </w:rPr>
      </w:pPr>
      <w:bookmarkStart w:id="358" w:name="_Toc10861"/>
      <w:bookmarkStart w:id="359" w:name="_Toc522897548"/>
      <w:bookmarkStart w:id="360" w:name="_Toc50993462"/>
      <w:r>
        <w:rPr>
          <w:rFonts w:asciiTheme="minorEastAsia" w:hAnsiTheme="minorEastAsia"/>
        </w:rPr>
        <w:t>第3条  项目合作范围和合作期限</w:t>
      </w:r>
      <w:bookmarkEnd w:id="358"/>
      <w:bookmarkEnd w:id="359"/>
      <w:bookmarkEnd w:id="360"/>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3.1项目合作范围</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自生效日起，由乙方按照本合同约定负责本项目合作范围内的新建项目设施的【</w:t>
      </w:r>
      <w:r>
        <w:rPr>
          <w:rFonts w:hint="eastAsia" w:ascii="MS Mincho" w:hAnsi="MS Mincho" w:eastAsia="MS Mincho" w:cs="MS Mincho"/>
          <w:kern w:val="0"/>
          <w:sz w:val="24"/>
        </w:rPr>
        <w:t>☑</w:t>
      </w:r>
      <w:r>
        <w:rPr>
          <w:rFonts w:asciiTheme="minorEastAsia" w:hAnsiTheme="minorEastAsia" w:eastAsiaTheme="minorEastAsia"/>
          <w:kern w:val="0"/>
          <w:sz w:val="24"/>
        </w:rPr>
        <w:t>投融资；</w:t>
      </w:r>
      <w:r>
        <w:rPr>
          <w:rFonts w:hint="eastAsia" w:ascii="MS Mincho" w:hAnsi="MS Mincho" w:eastAsia="MS Mincho" w:cs="MS Mincho"/>
          <w:kern w:val="0"/>
          <w:sz w:val="24"/>
        </w:rPr>
        <w:t>☑</w:t>
      </w:r>
      <w:r>
        <w:rPr>
          <w:rFonts w:asciiTheme="minorEastAsia" w:hAnsiTheme="minorEastAsia" w:eastAsiaTheme="minorEastAsia"/>
          <w:kern w:val="0"/>
          <w:sz w:val="24"/>
        </w:rPr>
        <w:t>建设；</w:t>
      </w:r>
      <w:r>
        <w:rPr>
          <w:rFonts w:hint="eastAsia" w:ascii="MS Mincho" w:hAnsi="MS Mincho" w:eastAsia="MS Mincho" w:cs="MS Mincho"/>
          <w:kern w:val="0"/>
          <w:sz w:val="24"/>
        </w:rPr>
        <w:t>☑</w:t>
      </w:r>
      <w:r>
        <w:rPr>
          <w:rFonts w:asciiTheme="minorEastAsia" w:hAnsiTheme="minorEastAsia" w:eastAsiaTheme="minorEastAsia"/>
          <w:kern w:val="0"/>
          <w:sz w:val="24"/>
        </w:rPr>
        <w:t>运营维护；</w:t>
      </w:r>
      <w:r>
        <w:rPr>
          <w:rFonts w:hint="eastAsia" w:ascii="MS Mincho" w:hAnsi="MS Mincho" w:eastAsia="MS Mincho" w:cs="MS Mincho"/>
          <w:kern w:val="0"/>
          <w:sz w:val="24"/>
        </w:rPr>
        <w:t>☑</w:t>
      </w:r>
      <w:r>
        <w:rPr>
          <w:rFonts w:asciiTheme="minorEastAsia" w:hAnsiTheme="minorEastAsia" w:eastAsiaTheme="minorEastAsia"/>
          <w:kern w:val="0"/>
          <w:sz w:val="24"/>
        </w:rPr>
        <w:t>移交】工作。具体项目设施如下：</w:t>
      </w:r>
    </w:p>
    <w:p>
      <w:pPr>
        <w:widowControl/>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3.1.1本项目新建污水处理厂：</w:t>
      </w:r>
      <w:r>
        <w:rPr>
          <w:rFonts w:asciiTheme="minorEastAsia" w:hAnsiTheme="minorEastAsia" w:eastAsiaTheme="minorEastAsia"/>
          <w:kern w:val="0"/>
          <w:sz w:val="24"/>
          <w:u w:val="single"/>
        </w:rPr>
        <w:t>建设污水处理厂1座，近期（2025年）处理规模2万m</w:t>
      </w:r>
      <w:r>
        <w:rPr>
          <w:rFonts w:asciiTheme="minorEastAsia" w:hAnsiTheme="minorEastAsia" w:eastAsiaTheme="minorEastAsia"/>
          <w:kern w:val="0"/>
          <w:sz w:val="24"/>
          <w:u w:val="single"/>
          <w:vertAlign w:val="superscript"/>
        </w:rPr>
        <w:t>3</w:t>
      </w:r>
      <w:r>
        <w:rPr>
          <w:rFonts w:asciiTheme="minorEastAsia" w:hAnsiTheme="minorEastAsia" w:eastAsiaTheme="minorEastAsia"/>
          <w:kern w:val="0"/>
          <w:sz w:val="24"/>
          <w:u w:val="single"/>
        </w:rPr>
        <w:t>/d</w:t>
      </w:r>
      <w:r>
        <w:rPr>
          <w:rFonts w:hint="eastAsia" w:asciiTheme="minorEastAsia" w:hAnsiTheme="minorEastAsia" w:eastAsiaTheme="minorEastAsia"/>
          <w:kern w:val="0"/>
          <w:sz w:val="24"/>
          <w:u w:val="single"/>
        </w:rPr>
        <w:t>；</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3.1.2本项目新建污水管网设施：</w:t>
      </w:r>
      <w:r>
        <w:rPr>
          <w:rFonts w:asciiTheme="minorEastAsia" w:hAnsiTheme="minorEastAsia" w:eastAsiaTheme="minorEastAsia"/>
          <w:kern w:val="0"/>
          <w:sz w:val="24"/>
          <w:u w:val="single"/>
        </w:rPr>
        <w:t>配套建设尾水输送管0.25km</w:t>
      </w:r>
      <w:r>
        <w:rPr>
          <w:rFonts w:hint="eastAsia" w:asciiTheme="minorEastAsia" w:hAnsiTheme="minorEastAsia" w:eastAsiaTheme="minorEastAsia"/>
          <w:kern w:val="0"/>
          <w:sz w:val="24"/>
          <w:u w:val="single"/>
        </w:rPr>
        <w:t>；</w:t>
      </w:r>
      <w:r>
        <w:rPr>
          <w:rFonts w:asciiTheme="minorEastAsia" w:hAnsiTheme="minorEastAsia" w:eastAsiaTheme="minorEastAsia"/>
          <w:kern w:val="0"/>
          <w:sz w:val="24"/>
          <w:u w:val="single"/>
        </w:rPr>
        <w:t xml:space="preserve">            </w:t>
      </w:r>
    </w:p>
    <w:p>
      <w:pPr>
        <w:widowControl/>
        <w:rPr>
          <w:rFonts w:asciiTheme="minorEastAsia" w:hAnsiTheme="minorEastAsia" w:eastAsiaTheme="minorEastAsia"/>
          <w:sz w:val="24"/>
          <w:u w:val="single"/>
        </w:rPr>
      </w:pPr>
      <w:r>
        <w:rPr>
          <w:rFonts w:asciiTheme="minorEastAsia" w:hAnsiTheme="minorEastAsia" w:eastAsiaTheme="minorEastAsia"/>
          <w:sz w:val="24"/>
          <w:u w:val="single"/>
        </w:rPr>
        <w:t xml:space="preserve">                                                                      </w:t>
      </w:r>
    </w:p>
    <w:p>
      <w:pPr>
        <w:spacing w:before="80" w:after="80" w:line="360" w:lineRule="auto"/>
        <w:ind w:firstLine="424" w:firstLineChars="177"/>
        <w:rPr>
          <w:rFonts w:asciiTheme="minorEastAsia" w:hAnsiTheme="minorEastAsia" w:eastAsiaTheme="minorEastAsia"/>
          <w:kern w:val="0"/>
          <w:sz w:val="24"/>
          <w:u w:val="single"/>
        </w:rPr>
      </w:pPr>
      <w:r>
        <w:rPr>
          <w:rFonts w:asciiTheme="minorEastAsia" w:hAnsiTheme="minorEastAsia" w:eastAsiaTheme="minorEastAsia"/>
          <w:kern w:val="0"/>
          <w:sz w:val="24"/>
        </w:rPr>
        <w:t>3.1.3本项目新建供水厂：</w:t>
      </w:r>
      <w:r>
        <w:rPr>
          <w:rFonts w:asciiTheme="minorEastAsia" w:hAnsiTheme="minorEastAsia" w:eastAsiaTheme="minorEastAsia"/>
          <w:kern w:val="0"/>
          <w:sz w:val="24"/>
          <w:u w:val="single"/>
        </w:rPr>
        <w:t>给水厂1座，近期（2025年）供水规模5.35万m</w:t>
      </w:r>
      <w:r>
        <w:rPr>
          <w:rFonts w:asciiTheme="minorEastAsia" w:hAnsiTheme="minorEastAsia" w:eastAsiaTheme="minorEastAsia"/>
          <w:kern w:val="0"/>
          <w:sz w:val="24"/>
          <w:u w:val="single"/>
          <w:vertAlign w:val="superscript"/>
        </w:rPr>
        <w:t>3</w:t>
      </w:r>
      <w:r>
        <w:rPr>
          <w:rFonts w:asciiTheme="minorEastAsia" w:hAnsiTheme="minorEastAsia" w:eastAsiaTheme="minorEastAsia"/>
          <w:kern w:val="0"/>
          <w:sz w:val="24"/>
          <w:u w:val="single"/>
        </w:rPr>
        <w:t>/d，其中工业供水5万m</w:t>
      </w:r>
      <w:r>
        <w:rPr>
          <w:rFonts w:asciiTheme="minorEastAsia" w:hAnsiTheme="minorEastAsia" w:eastAsiaTheme="minorEastAsia"/>
          <w:kern w:val="0"/>
          <w:sz w:val="24"/>
          <w:u w:val="single"/>
          <w:vertAlign w:val="superscript"/>
        </w:rPr>
        <w:t>3</w:t>
      </w:r>
      <w:r>
        <w:rPr>
          <w:rFonts w:asciiTheme="minorEastAsia" w:hAnsiTheme="minorEastAsia" w:eastAsiaTheme="minorEastAsia"/>
          <w:kern w:val="0"/>
          <w:sz w:val="24"/>
          <w:u w:val="single"/>
        </w:rPr>
        <w:t>/d，配套建设工业取水泵站1座；生活供水0.35万m</w:t>
      </w:r>
      <w:r>
        <w:rPr>
          <w:rFonts w:asciiTheme="minorEastAsia" w:hAnsiTheme="minorEastAsia" w:eastAsiaTheme="minorEastAsia"/>
          <w:kern w:val="0"/>
          <w:sz w:val="24"/>
          <w:u w:val="single"/>
          <w:vertAlign w:val="superscript"/>
        </w:rPr>
        <w:t>3</w:t>
      </w:r>
      <w:r>
        <w:rPr>
          <w:rFonts w:asciiTheme="minorEastAsia" w:hAnsiTheme="minorEastAsia" w:eastAsiaTheme="minorEastAsia"/>
          <w:kern w:val="0"/>
          <w:sz w:val="24"/>
          <w:u w:val="single"/>
        </w:rPr>
        <w:t xml:space="preserve">/d，配套建设生活转输泵站1座；                                         </w:t>
      </w:r>
    </w:p>
    <w:p>
      <w:pPr>
        <w:widowControl/>
        <w:rPr>
          <w:rFonts w:asciiTheme="minorEastAsia" w:hAnsiTheme="minorEastAsia" w:eastAsiaTheme="minorEastAsia"/>
          <w:sz w:val="24"/>
          <w:u w:val="single"/>
        </w:rPr>
      </w:pPr>
      <w:r>
        <w:rPr>
          <w:rFonts w:asciiTheme="minorEastAsia" w:hAnsiTheme="minorEastAsia" w:eastAsiaTheme="minorEastAsia"/>
          <w:sz w:val="24"/>
          <w:u w:val="single"/>
        </w:rPr>
        <w:t xml:space="preserve">                                                                      </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kern w:val="0"/>
          <w:sz w:val="24"/>
        </w:rPr>
        <w:t>3.1.4本项目新建供水管网设施：</w:t>
      </w:r>
      <w:r>
        <w:rPr>
          <w:rFonts w:asciiTheme="minorEastAsia" w:hAnsiTheme="minorEastAsia" w:eastAsiaTheme="minorEastAsia"/>
          <w:kern w:val="0"/>
          <w:sz w:val="24"/>
          <w:u w:val="single"/>
        </w:rPr>
        <w:t>工业</w:t>
      </w:r>
      <w:r>
        <w:rPr>
          <w:rFonts w:asciiTheme="minorEastAsia" w:hAnsiTheme="minorEastAsia" w:eastAsiaTheme="minorEastAsia"/>
          <w:kern w:val="0"/>
          <w:sz w:val="24"/>
          <w:u w:val="single"/>
          <w:lang w:val="en-GB"/>
        </w:rPr>
        <w:t>取水管</w:t>
      </w:r>
      <w:r>
        <w:rPr>
          <w:rFonts w:asciiTheme="minorEastAsia" w:hAnsiTheme="minorEastAsia" w:eastAsiaTheme="minorEastAsia"/>
          <w:kern w:val="0"/>
          <w:sz w:val="24"/>
          <w:u w:val="single"/>
        </w:rPr>
        <w:t>4.77km，生活取水管10.34km</w:t>
      </w:r>
      <w:r>
        <w:rPr>
          <w:rFonts w:hint="eastAsia" w:asciiTheme="minorEastAsia" w:hAnsiTheme="minorEastAsia" w:eastAsiaTheme="minorEastAsia"/>
          <w:kern w:val="0"/>
          <w:sz w:val="24"/>
          <w:u w:val="single"/>
        </w:rPr>
        <w:t>。超出上述设计范围的主、分支管网完善工作不包含在本PPP项目范围中。项目公司不需对污水处理厂的负荷率、进水COD浓度、管网覆盖率、污水收集率等指标承担责任。</w:t>
      </w:r>
      <w:r>
        <w:rPr>
          <w:rFonts w:asciiTheme="minorEastAsia" w:hAnsiTheme="minorEastAsia" w:eastAsiaTheme="minorEastAsia"/>
          <w:sz w:val="24"/>
          <w:u w:val="single"/>
        </w:rPr>
        <w:t xml:space="preserve"> </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3.2项目经营权</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甲方已获得本级人民政府的授权，通过与乙方签订本合同的方式，将本项目的经营权授予乙方，即由乙方负责新建给水厂、污水处理厂及新建管网项目设施的【</w:t>
      </w:r>
      <w:r>
        <w:rPr>
          <w:rFonts w:hint="eastAsia" w:ascii="MS Mincho" w:hAnsi="MS Mincho" w:eastAsia="MS Mincho" w:cs="MS Mincho"/>
          <w:kern w:val="0"/>
          <w:sz w:val="24"/>
        </w:rPr>
        <w:t>☑</w:t>
      </w:r>
      <w:r>
        <w:rPr>
          <w:rFonts w:asciiTheme="minorEastAsia" w:hAnsiTheme="minorEastAsia" w:eastAsiaTheme="minorEastAsia"/>
          <w:kern w:val="0"/>
          <w:sz w:val="24"/>
        </w:rPr>
        <w:t>投融资；</w:t>
      </w:r>
      <w:r>
        <w:rPr>
          <w:rFonts w:hint="eastAsia" w:ascii="MS Mincho" w:hAnsi="MS Mincho" w:eastAsia="MS Mincho" w:cs="MS Mincho"/>
          <w:kern w:val="0"/>
          <w:sz w:val="24"/>
        </w:rPr>
        <w:t>☑</w:t>
      </w:r>
      <w:r>
        <w:rPr>
          <w:rFonts w:asciiTheme="minorEastAsia" w:hAnsiTheme="minorEastAsia" w:eastAsiaTheme="minorEastAsia"/>
          <w:kern w:val="0"/>
          <w:sz w:val="24"/>
        </w:rPr>
        <w:t>建设；</w:t>
      </w:r>
      <w:r>
        <w:rPr>
          <w:rFonts w:hint="eastAsia" w:ascii="MS Mincho" w:hAnsi="MS Mincho" w:eastAsia="MS Mincho" w:cs="MS Mincho"/>
          <w:sz w:val="24"/>
        </w:rPr>
        <w:t>☑</w:t>
      </w:r>
      <w:r>
        <w:rPr>
          <w:rFonts w:asciiTheme="minorEastAsia" w:hAnsiTheme="minorEastAsia" w:eastAsiaTheme="minorEastAsia"/>
          <w:kern w:val="0"/>
          <w:sz w:val="24"/>
        </w:rPr>
        <w:t>运营维护；</w:t>
      </w:r>
      <w:r>
        <w:rPr>
          <w:rFonts w:hint="eastAsia" w:ascii="MS Mincho" w:hAnsi="MS Mincho" w:eastAsia="MS Mincho" w:cs="MS Mincho"/>
          <w:kern w:val="0"/>
          <w:sz w:val="24"/>
        </w:rPr>
        <w:t>☑</w:t>
      </w:r>
      <w:r>
        <w:rPr>
          <w:rFonts w:asciiTheme="minorEastAsia" w:hAnsiTheme="minorEastAsia" w:eastAsiaTheme="minorEastAsia"/>
          <w:kern w:val="0"/>
          <w:sz w:val="24"/>
        </w:rPr>
        <w:t>移交】，并享有获取供水服务费、污水处理服务费和管网服务费及相关收入的权利</w:t>
      </w:r>
      <w:r>
        <w:rPr>
          <w:rFonts w:hint="eastAsia" w:asciiTheme="minorEastAsia" w:hAnsiTheme="minorEastAsia" w:eastAsiaTheme="minorEastAsia"/>
          <w:kern w:val="0"/>
          <w:sz w:val="24"/>
        </w:rPr>
        <w:t>，该权利义务在项目公司设立后由项目公司承继</w:t>
      </w:r>
      <w:r>
        <w:rPr>
          <w:rFonts w:asciiTheme="minorEastAsia" w:hAnsiTheme="minorEastAsia" w:eastAsiaTheme="minorEastAsia"/>
          <w:kern w:val="0"/>
          <w:sz w:val="24"/>
        </w:rPr>
        <w:t>。</w:t>
      </w:r>
    </w:p>
    <w:p>
      <w:pPr>
        <w:spacing w:before="80" w:after="80" w:line="360" w:lineRule="auto"/>
        <w:ind w:firstLine="424" w:firstLineChars="177"/>
        <w:rPr>
          <w:rFonts w:asciiTheme="minorEastAsia" w:hAnsiTheme="minorEastAsia" w:eastAsiaTheme="minorEastAsia"/>
          <w:kern w:val="0"/>
          <w:sz w:val="24"/>
          <w:lang w:val="en-GB"/>
        </w:rPr>
      </w:pPr>
      <w:r>
        <w:rPr>
          <w:rFonts w:asciiTheme="minorEastAsia" w:hAnsiTheme="minorEastAsia" w:eastAsiaTheme="minorEastAsia"/>
          <w:kern w:val="0"/>
          <w:sz w:val="24"/>
          <w:lang w:val="en-GB"/>
        </w:rPr>
        <w:t>项目运营维护服务内容：</w:t>
      </w:r>
    </w:p>
    <w:p>
      <w:pPr>
        <w:spacing w:before="80" w:after="80" w:line="360" w:lineRule="auto"/>
        <w:ind w:firstLine="424" w:firstLineChars="177"/>
        <w:rPr>
          <w:rFonts w:asciiTheme="minorEastAsia" w:hAnsiTheme="minorEastAsia" w:eastAsiaTheme="minorEastAsia"/>
          <w:kern w:val="0"/>
          <w:sz w:val="24"/>
          <w:lang w:val="en-GB"/>
        </w:rPr>
      </w:pPr>
      <w:r>
        <w:rPr>
          <w:rFonts w:asciiTheme="minorEastAsia" w:hAnsiTheme="minorEastAsia" w:eastAsiaTheme="minorEastAsia"/>
          <w:kern w:val="0"/>
          <w:sz w:val="24"/>
          <w:lang w:val="en-GB"/>
        </w:rPr>
        <w:t>（1）给水厂（近期）范围内的土建、设备及其他附属工程的运营维护；工业取水泵站及配套取水管、生活转输泵站及配套取水管的运营维护。</w:t>
      </w:r>
    </w:p>
    <w:p>
      <w:pPr>
        <w:spacing w:before="80" w:after="80" w:line="360" w:lineRule="auto"/>
        <w:ind w:firstLine="424" w:firstLineChars="177"/>
        <w:rPr>
          <w:rFonts w:asciiTheme="minorEastAsia" w:hAnsiTheme="minorEastAsia" w:eastAsiaTheme="minorEastAsia"/>
          <w:kern w:val="0"/>
          <w:sz w:val="24"/>
          <w:lang w:val="en-GB"/>
        </w:rPr>
      </w:pPr>
      <w:r>
        <w:rPr>
          <w:rFonts w:asciiTheme="minorEastAsia" w:hAnsiTheme="minorEastAsia" w:eastAsiaTheme="minorEastAsia"/>
          <w:kern w:val="0"/>
          <w:sz w:val="24"/>
          <w:lang w:val="en-GB"/>
        </w:rPr>
        <w:t>（2）污水处理厂（近期）范围内的土建、设备及其他附属工程的运营维护；尾水输送管的运营维护。</w:t>
      </w:r>
    </w:p>
    <w:p>
      <w:pPr>
        <w:spacing w:before="80" w:after="80" w:line="360" w:lineRule="auto"/>
        <w:ind w:firstLine="424" w:firstLineChars="177"/>
        <w:rPr>
          <w:rFonts w:asciiTheme="minorEastAsia" w:hAnsiTheme="minorEastAsia" w:eastAsiaTheme="minorEastAsia"/>
          <w:kern w:val="0"/>
          <w:sz w:val="24"/>
          <w:lang w:val="en-GB"/>
        </w:rPr>
      </w:pPr>
      <w:r>
        <w:rPr>
          <w:rFonts w:asciiTheme="minorEastAsia" w:hAnsiTheme="minorEastAsia" w:eastAsiaTheme="minorEastAsia"/>
          <w:kern w:val="0"/>
          <w:sz w:val="24"/>
          <w:lang w:val="en-GB"/>
        </w:rPr>
        <w:t>（3）如政府方要求将非本项目建设范围内的管网（或其他内容）纳入本项目运营维护范围的，维护范围、标准和相关费用另行约定。</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3.3其他经营性业务</w:t>
      </w:r>
    </w:p>
    <w:p>
      <w:pPr>
        <w:pStyle w:val="1427"/>
        <w:spacing w:before="80" w:after="80" w:line="360" w:lineRule="auto"/>
        <w:ind w:firstLine="424" w:firstLineChars="177"/>
        <w:rPr>
          <w:rFonts w:asciiTheme="minorEastAsia" w:hAnsiTheme="minorEastAsia" w:eastAsiaTheme="minorEastAsia"/>
          <w:kern w:val="0"/>
          <w:sz w:val="24"/>
          <w:szCs w:val="24"/>
        </w:rPr>
      </w:pPr>
      <w:r>
        <w:rPr>
          <w:rFonts w:asciiTheme="minorEastAsia" w:hAnsiTheme="minorEastAsia" w:eastAsiaTheme="minorEastAsia"/>
          <w:kern w:val="0"/>
          <w:sz w:val="24"/>
          <w:szCs w:val="24"/>
        </w:rPr>
        <w:t>未经甲方事先书面同意，乙方不得开展其他经营性业务，否则甲方有权扣除或提取履约担保的全部金额。</w:t>
      </w:r>
    </w:p>
    <w:p>
      <w:pPr>
        <w:pStyle w:val="1427"/>
        <w:spacing w:before="80" w:after="80" w:line="360" w:lineRule="auto"/>
        <w:ind w:firstLine="424" w:firstLineChars="177"/>
        <w:rPr>
          <w:rFonts w:asciiTheme="minorEastAsia" w:hAnsiTheme="minorEastAsia" w:eastAsiaTheme="minorEastAsia"/>
          <w:kern w:val="0"/>
          <w:sz w:val="24"/>
          <w:szCs w:val="24"/>
        </w:rPr>
      </w:pPr>
      <w:r>
        <w:rPr>
          <w:rFonts w:asciiTheme="minorEastAsia" w:hAnsiTheme="minorEastAsia" w:eastAsiaTheme="minorEastAsia"/>
          <w:kern w:val="0"/>
          <w:sz w:val="24"/>
          <w:szCs w:val="24"/>
        </w:rPr>
        <w:t>如未来乙方根据适用法律、甲方要求拟利用本项目设施开展本合同约定内容以外的经营性业务的，必须事先报经甲方书面同意。未来收益分享等有关事宜由甲、乙双方届时协商确定，且乙方必须保证此等经营性业务不得影响本项目的实施，也不得有任何影响公共利益或公共安全的行为，否则甲方有权扣除或提取履约担保的全部金额。</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3.4项目合作期限及期满处理</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3.4.1合作期限的确定</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本项目合作期限共</w:t>
      </w:r>
      <w:r>
        <w:rPr>
          <w:rFonts w:asciiTheme="minorEastAsia" w:hAnsiTheme="minorEastAsia" w:eastAsiaTheme="minorEastAsia"/>
          <w:b/>
          <w:sz w:val="24"/>
          <w:u w:val="single"/>
        </w:rPr>
        <w:t xml:space="preserve"> 20 </w:t>
      </w:r>
      <w:r>
        <w:rPr>
          <w:rFonts w:asciiTheme="minorEastAsia" w:hAnsiTheme="minorEastAsia" w:eastAsiaTheme="minorEastAsia"/>
          <w:sz w:val="24"/>
        </w:rPr>
        <w:t>年，自《合作协议》生效日起至</w:t>
      </w:r>
      <w:r>
        <w:rPr>
          <w:rFonts w:asciiTheme="minorEastAsia" w:hAnsiTheme="minorEastAsia" w:eastAsiaTheme="minorEastAsia"/>
          <w:b/>
          <w:sz w:val="24"/>
          <w:u w:val="single"/>
        </w:rPr>
        <w:t xml:space="preserve">    </w:t>
      </w:r>
      <w:r>
        <w:rPr>
          <w:rFonts w:asciiTheme="minorEastAsia" w:hAnsiTheme="minorEastAsia" w:eastAsiaTheme="minorEastAsia"/>
          <w:sz w:val="24"/>
        </w:rPr>
        <w:t>年</w:t>
      </w:r>
      <w:r>
        <w:rPr>
          <w:rFonts w:asciiTheme="minorEastAsia" w:hAnsiTheme="minorEastAsia" w:eastAsiaTheme="minorEastAsia"/>
          <w:b/>
          <w:sz w:val="24"/>
          <w:u w:val="single"/>
        </w:rPr>
        <w:t xml:space="preserve">    </w:t>
      </w:r>
      <w:r>
        <w:rPr>
          <w:rFonts w:asciiTheme="minorEastAsia" w:hAnsiTheme="minorEastAsia" w:eastAsiaTheme="minorEastAsia"/>
          <w:sz w:val="24"/>
        </w:rPr>
        <w:t>月</w:t>
      </w:r>
      <w:r>
        <w:rPr>
          <w:rFonts w:asciiTheme="minorEastAsia" w:hAnsiTheme="minorEastAsia" w:eastAsiaTheme="minorEastAsia"/>
          <w:b/>
          <w:sz w:val="24"/>
          <w:u w:val="single"/>
        </w:rPr>
        <w:t xml:space="preserve">    </w:t>
      </w:r>
      <w:r>
        <w:rPr>
          <w:rFonts w:asciiTheme="minorEastAsia" w:hAnsiTheme="minorEastAsia" w:eastAsiaTheme="minorEastAsia"/>
          <w:sz w:val="24"/>
        </w:rPr>
        <w:t>日_____时止，包括项目建设期和运营期。其中，建设期共</w:t>
      </w:r>
      <w:r>
        <w:rPr>
          <w:rFonts w:asciiTheme="minorEastAsia" w:hAnsiTheme="minorEastAsia" w:eastAsiaTheme="minorEastAsia"/>
          <w:b/>
          <w:sz w:val="24"/>
          <w:u w:val="single"/>
        </w:rPr>
        <w:t xml:space="preserve"> 1 </w:t>
      </w:r>
      <w:r>
        <w:rPr>
          <w:rFonts w:asciiTheme="minorEastAsia" w:hAnsiTheme="minorEastAsia" w:eastAsiaTheme="minorEastAsia"/>
          <w:sz w:val="24"/>
        </w:rPr>
        <w:t>年，自</w:t>
      </w:r>
      <w:r>
        <w:rPr>
          <w:rFonts w:asciiTheme="minorEastAsia" w:hAnsiTheme="minorEastAsia" w:eastAsiaTheme="minorEastAsia"/>
          <w:b/>
          <w:sz w:val="24"/>
          <w:u w:val="single"/>
        </w:rPr>
        <w:t xml:space="preserve">    </w:t>
      </w:r>
      <w:r>
        <w:rPr>
          <w:rFonts w:asciiTheme="minorEastAsia" w:hAnsiTheme="minorEastAsia" w:eastAsiaTheme="minorEastAsia"/>
          <w:sz w:val="24"/>
        </w:rPr>
        <w:t>年</w:t>
      </w:r>
      <w:r>
        <w:rPr>
          <w:rFonts w:asciiTheme="minorEastAsia" w:hAnsiTheme="minorEastAsia" w:eastAsiaTheme="minorEastAsia"/>
          <w:b/>
          <w:sz w:val="24"/>
          <w:u w:val="single"/>
        </w:rPr>
        <w:t xml:space="preserve">    </w:t>
      </w:r>
      <w:r>
        <w:rPr>
          <w:rFonts w:asciiTheme="minorEastAsia" w:hAnsiTheme="minorEastAsia" w:eastAsiaTheme="minorEastAsia"/>
          <w:sz w:val="24"/>
        </w:rPr>
        <w:t>月_____日</w:t>
      </w:r>
      <w:r>
        <w:rPr>
          <w:rFonts w:asciiTheme="minorEastAsia" w:hAnsiTheme="minorEastAsia" w:eastAsiaTheme="minorEastAsia"/>
          <w:b/>
          <w:sz w:val="24"/>
          <w:u w:val="single"/>
        </w:rPr>
        <w:t xml:space="preserve">    </w:t>
      </w:r>
      <w:r>
        <w:rPr>
          <w:rFonts w:asciiTheme="minorEastAsia" w:hAnsiTheme="minorEastAsia" w:eastAsiaTheme="minorEastAsia"/>
          <w:sz w:val="24"/>
        </w:rPr>
        <w:t>时起至</w:t>
      </w:r>
      <w:r>
        <w:rPr>
          <w:rFonts w:asciiTheme="minorEastAsia" w:hAnsiTheme="minorEastAsia" w:eastAsiaTheme="minorEastAsia"/>
          <w:b/>
          <w:sz w:val="24"/>
          <w:u w:val="single"/>
        </w:rPr>
        <w:t xml:space="preserve">    </w:t>
      </w:r>
      <w:r>
        <w:rPr>
          <w:rFonts w:asciiTheme="minorEastAsia" w:hAnsiTheme="minorEastAsia" w:eastAsiaTheme="minorEastAsia"/>
          <w:sz w:val="24"/>
        </w:rPr>
        <w:t>年</w:t>
      </w:r>
      <w:r>
        <w:rPr>
          <w:rFonts w:asciiTheme="minorEastAsia" w:hAnsiTheme="minorEastAsia" w:eastAsiaTheme="minorEastAsia"/>
          <w:b/>
          <w:sz w:val="24"/>
          <w:u w:val="single"/>
        </w:rPr>
        <w:t xml:space="preserve">    </w:t>
      </w:r>
      <w:r>
        <w:rPr>
          <w:rFonts w:asciiTheme="minorEastAsia" w:hAnsiTheme="minorEastAsia" w:eastAsiaTheme="minorEastAsia"/>
          <w:sz w:val="24"/>
        </w:rPr>
        <w:t>月</w:t>
      </w:r>
      <w:r>
        <w:rPr>
          <w:rFonts w:asciiTheme="minorEastAsia" w:hAnsiTheme="minorEastAsia" w:eastAsiaTheme="minorEastAsia"/>
          <w:b/>
          <w:sz w:val="24"/>
          <w:u w:val="single"/>
        </w:rPr>
        <w:t xml:space="preserve">    </w:t>
      </w:r>
      <w:r>
        <w:rPr>
          <w:rFonts w:asciiTheme="minorEastAsia" w:hAnsiTheme="minorEastAsia" w:eastAsiaTheme="minorEastAsia"/>
          <w:sz w:val="24"/>
        </w:rPr>
        <w:t>日</w:t>
      </w:r>
      <w:r>
        <w:rPr>
          <w:rFonts w:asciiTheme="minorEastAsia" w:hAnsiTheme="minorEastAsia" w:eastAsiaTheme="minorEastAsia"/>
          <w:b/>
          <w:sz w:val="24"/>
          <w:u w:val="single"/>
        </w:rPr>
        <w:t xml:space="preserve">    </w:t>
      </w:r>
      <w:r>
        <w:rPr>
          <w:rFonts w:asciiTheme="minorEastAsia" w:hAnsiTheme="minorEastAsia" w:eastAsiaTheme="minorEastAsia"/>
          <w:sz w:val="24"/>
        </w:rPr>
        <w:t>时止；运营期共</w:t>
      </w:r>
      <w:r>
        <w:rPr>
          <w:rFonts w:asciiTheme="minorEastAsia" w:hAnsiTheme="minorEastAsia" w:eastAsiaTheme="minorEastAsia"/>
          <w:b/>
          <w:sz w:val="24"/>
          <w:u w:val="single"/>
        </w:rPr>
        <w:t xml:space="preserve"> 19 </w:t>
      </w:r>
      <w:r>
        <w:rPr>
          <w:rFonts w:asciiTheme="minorEastAsia" w:hAnsiTheme="minorEastAsia" w:eastAsiaTheme="minorEastAsia"/>
          <w:sz w:val="24"/>
        </w:rPr>
        <w:t>年，自</w:t>
      </w:r>
      <w:r>
        <w:rPr>
          <w:rFonts w:asciiTheme="minorEastAsia" w:hAnsiTheme="minorEastAsia" w:eastAsiaTheme="minorEastAsia"/>
          <w:b/>
          <w:sz w:val="24"/>
          <w:u w:val="single"/>
        </w:rPr>
        <w:t xml:space="preserve">    </w:t>
      </w:r>
      <w:r>
        <w:rPr>
          <w:rFonts w:asciiTheme="minorEastAsia" w:hAnsiTheme="minorEastAsia" w:eastAsiaTheme="minorEastAsia"/>
          <w:sz w:val="24"/>
        </w:rPr>
        <w:t>年</w:t>
      </w:r>
    </w:p>
    <w:p>
      <w:pPr>
        <w:spacing w:line="360" w:lineRule="auto"/>
        <w:rPr>
          <w:rFonts w:asciiTheme="minorEastAsia" w:hAnsiTheme="minorEastAsia" w:eastAsiaTheme="minorEastAsia"/>
          <w:sz w:val="24"/>
        </w:rPr>
      </w:pPr>
      <w:r>
        <w:rPr>
          <w:rFonts w:asciiTheme="minorEastAsia" w:hAnsiTheme="minorEastAsia" w:eastAsiaTheme="minorEastAsia"/>
          <w:b/>
          <w:sz w:val="24"/>
          <w:u w:val="single"/>
        </w:rPr>
        <w:t xml:space="preserve">    </w:t>
      </w:r>
      <w:r>
        <w:rPr>
          <w:rFonts w:asciiTheme="minorEastAsia" w:hAnsiTheme="minorEastAsia" w:eastAsiaTheme="minorEastAsia"/>
          <w:sz w:val="24"/>
        </w:rPr>
        <w:t>月</w:t>
      </w:r>
      <w:r>
        <w:rPr>
          <w:rFonts w:asciiTheme="minorEastAsia" w:hAnsiTheme="minorEastAsia" w:eastAsiaTheme="minorEastAsia"/>
          <w:b/>
          <w:sz w:val="24"/>
          <w:u w:val="single"/>
        </w:rPr>
        <w:t xml:space="preserve">    </w:t>
      </w:r>
      <w:r>
        <w:rPr>
          <w:rFonts w:asciiTheme="minorEastAsia" w:hAnsiTheme="minorEastAsia" w:eastAsiaTheme="minorEastAsia"/>
          <w:sz w:val="24"/>
        </w:rPr>
        <w:t>日</w:t>
      </w:r>
      <w:r>
        <w:rPr>
          <w:rFonts w:asciiTheme="minorEastAsia" w:hAnsiTheme="minorEastAsia" w:eastAsiaTheme="minorEastAsia"/>
          <w:b/>
          <w:sz w:val="24"/>
          <w:u w:val="single"/>
        </w:rPr>
        <w:t xml:space="preserve">    </w:t>
      </w:r>
      <w:r>
        <w:rPr>
          <w:rFonts w:asciiTheme="minorEastAsia" w:hAnsiTheme="minorEastAsia" w:eastAsiaTheme="minorEastAsia"/>
          <w:sz w:val="24"/>
        </w:rPr>
        <w:t>时起至</w:t>
      </w:r>
      <w:r>
        <w:rPr>
          <w:rFonts w:asciiTheme="minorEastAsia" w:hAnsiTheme="minorEastAsia" w:eastAsiaTheme="minorEastAsia"/>
          <w:b/>
          <w:sz w:val="24"/>
          <w:u w:val="single"/>
        </w:rPr>
        <w:t xml:space="preserve">    </w:t>
      </w:r>
      <w:r>
        <w:rPr>
          <w:rFonts w:asciiTheme="minorEastAsia" w:hAnsiTheme="minorEastAsia" w:eastAsiaTheme="minorEastAsia"/>
          <w:sz w:val="24"/>
        </w:rPr>
        <w:t>年</w:t>
      </w:r>
      <w:r>
        <w:rPr>
          <w:rFonts w:asciiTheme="minorEastAsia" w:hAnsiTheme="minorEastAsia" w:eastAsiaTheme="minorEastAsia"/>
          <w:b/>
          <w:sz w:val="24"/>
          <w:u w:val="single"/>
        </w:rPr>
        <w:t xml:space="preserve">    </w:t>
      </w:r>
      <w:r>
        <w:rPr>
          <w:rFonts w:asciiTheme="minorEastAsia" w:hAnsiTheme="minorEastAsia" w:eastAsiaTheme="minorEastAsia"/>
          <w:sz w:val="24"/>
        </w:rPr>
        <w:t>月</w:t>
      </w:r>
      <w:r>
        <w:rPr>
          <w:rFonts w:asciiTheme="minorEastAsia" w:hAnsiTheme="minorEastAsia" w:eastAsiaTheme="minorEastAsia"/>
          <w:b/>
          <w:sz w:val="24"/>
          <w:u w:val="single"/>
        </w:rPr>
        <w:t xml:space="preserve">    </w:t>
      </w:r>
      <w:r>
        <w:rPr>
          <w:rFonts w:asciiTheme="minorEastAsia" w:hAnsiTheme="minorEastAsia" w:eastAsiaTheme="minorEastAsia"/>
          <w:sz w:val="24"/>
        </w:rPr>
        <w:t>日</w:t>
      </w:r>
      <w:r>
        <w:rPr>
          <w:rFonts w:asciiTheme="minorEastAsia" w:hAnsiTheme="minorEastAsia" w:eastAsiaTheme="minorEastAsia"/>
          <w:b/>
          <w:sz w:val="24"/>
          <w:u w:val="single"/>
        </w:rPr>
        <w:t xml:space="preserve">    </w:t>
      </w:r>
      <w:r>
        <w:rPr>
          <w:rFonts w:asciiTheme="minorEastAsia" w:hAnsiTheme="minorEastAsia" w:eastAsiaTheme="minorEastAsia"/>
          <w:sz w:val="24"/>
        </w:rPr>
        <w:t>时止。</w:t>
      </w:r>
    </w:p>
    <w:p>
      <w:pPr>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合作期限的其他约定：</w:t>
      </w:r>
      <w:r>
        <w:rPr>
          <w:rFonts w:asciiTheme="minorEastAsia" w:hAnsiTheme="minorEastAsia" w:eastAsiaTheme="minorEastAsia"/>
          <w:sz w:val="24"/>
          <w:u w:val="single"/>
        </w:rPr>
        <w:t xml:space="preserve">  项目竣工验收合格后次日，项目进入运营期。若项目提前或延迟完工，在不涉及提前终止等情况下，乙方运营期长度仍保持19年不变，合作期总年限对应调整。  </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3.4.2合作期满的处理</w:t>
      </w:r>
    </w:p>
    <w:p>
      <w:pPr>
        <w:pStyle w:val="1427"/>
        <w:spacing w:before="80" w:after="80" w:line="360" w:lineRule="auto"/>
        <w:ind w:firstLine="424" w:firstLineChars="177"/>
        <w:rPr>
          <w:rFonts w:asciiTheme="minorEastAsia" w:hAnsiTheme="minorEastAsia" w:eastAsiaTheme="minorEastAsia"/>
          <w:kern w:val="0"/>
          <w:sz w:val="24"/>
          <w:szCs w:val="24"/>
        </w:rPr>
      </w:pPr>
      <w:r>
        <w:rPr>
          <w:rFonts w:asciiTheme="minorEastAsia" w:hAnsiTheme="minorEastAsia" w:eastAsiaTheme="minorEastAsia"/>
          <w:kern w:val="0"/>
          <w:sz w:val="24"/>
          <w:szCs w:val="24"/>
        </w:rPr>
        <w:t>本项目合作期限届满时，乙方应向甲方无偿移交所有项目设施及相关权利。甲方有权依照届时适用法律规定选择社会资本，如乙方在上述合作期限内履约记录良好，则在同等条件下可享有优先权。</w:t>
      </w:r>
    </w:p>
    <w:p>
      <w:pPr>
        <w:pStyle w:val="1427"/>
        <w:spacing w:before="80" w:after="80" w:line="360" w:lineRule="auto"/>
        <w:ind w:firstLine="424" w:firstLineChars="177"/>
        <w:rPr>
          <w:rFonts w:asciiTheme="minorEastAsia" w:hAnsiTheme="minorEastAsia" w:eastAsiaTheme="minorEastAsia"/>
          <w:kern w:val="0"/>
          <w:sz w:val="24"/>
          <w:szCs w:val="24"/>
        </w:rPr>
      </w:pPr>
      <w:r>
        <w:rPr>
          <w:rFonts w:asciiTheme="minorEastAsia" w:hAnsiTheme="minorEastAsia" w:eastAsiaTheme="minorEastAsia"/>
          <w:kern w:val="0"/>
          <w:sz w:val="24"/>
          <w:szCs w:val="24"/>
        </w:rPr>
        <w:t>乙方应保证在合作期满时清偿其所有债务，解除在项目设施及相关权益上设置的任何担保。在合作期满后不论是否继续经营本项目，其债权债务均由乙方享有和承担，与甲方无关。</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3.5经营权的排他性及其处分限制</w:t>
      </w:r>
    </w:p>
    <w:p>
      <w:pPr>
        <w:pStyle w:val="1427"/>
        <w:spacing w:before="80" w:after="80" w:line="360" w:lineRule="auto"/>
        <w:ind w:firstLine="424" w:firstLineChars="177"/>
        <w:rPr>
          <w:rFonts w:asciiTheme="minorEastAsia" w:hAnsiTheme="minorEastAsia" w:eastAsiaTheme="minorEastAsia"/>
          <w:kern w:val="0"/>
          <w:sz w:val="24"/>
          <w:szCs w:val="24"/>
        </w:rPr>
      </w:pPr>
      <w:r>
        <w:rPr>
          <w:rFonts w:asciiTheme="minorEastAsia" w:hAnsiTheme="minorEastAsia" w:eastAsiaTheme="minorEastAsia"/>
          <w:kern w:val="0"/>
          <w:sz w:val="24"/>
          <w:szCs w:val="24"/>
        </w:rPr>
        <w:t>3.5.1甲方承诺，除本合同另有约定外，在本项目合作期限及合作范围内，【□甲方授予乙方对项目设施的经营权系独家的、排他的权利；</w:t>
      </w:r>
      <w:r>
        <w:rPr>
          <w:rFonts w:hint="eastAsia" w:ascii="MS Mincho" w:hAnsi="MS Mincho" w:eastAsia="MS Mincho" w:cs="MS Mincho"/>
          <w:kern w:val="0"/>
          <w:sz w:val="24"/>
          <w:szCs w:val="24"/>
        </w:rPr>
        <w:t>☑</w:t>
      </w:r>
      <w:r>
        <w:rPr>
          <w:rFonts w:asciiTheme="minorEastAsia" w:hAnsiTheme="minorEastAsia" w:eastAsiaTheme="minorEastAsia"/>
          <w:kern w:val="0"/>
          <w:sz w:val="24"/>
          <w:szCs w:val="24"/>
        </w:rPr>
        <w:t>甲方授予乙方对合作区域的经营权系独家的、排他的权利】。除非依照本合同约定提前终止的，甲方承诺不擅自收回经营权、不减少经营权的内容、不再将经营权授予任何第三方。除本合同另有规定外，乙方在项目期限内合法拥有对本项目实施的权利，该权利不受干扰、始终保持有效。</w:t>
      </w:r>
    </w:p>
    <w:p>
      <w:pPr>
        <w:pStyle w:val="1427"/>
        <w:spacing w:before="80" w:after="80" w:line="360" w:lineRule="auto"/>
        <w:ind w:firstLine="424" w:firstLineChars="177"/>
        <w:rPr>
          <w:rFonts w:asciiTheme="minorEastAsia" w:hAnsiTheme="minorEastAsia" w:eastAsiaTheme="minorEastAsia"/>
          <w:kern w:val="0"/>
          <w:sz w:val="24"/>
          <w:szCs w:val="24"/>
        </w:rPr>
      </w:pPr>
      <w:r>
        <w:rPr>
          <w:rFonts w:asciiTheme="minorEastAsia" w:hAnsiTheme="minorEastAsia" w:eastAsiaTheme="minorEastAsia"/>
          <w:kern w:val="0"/>
          <w:sz w:val="24"/>
          <w:szCs w:val="24"/>
        </w:rPr>
        <w:t>3.5.2除本合同另有约定外，未经甲方事先书面同意，乙方在项目合作期内不得将经营权出租或以任何形式转让、承包给第三人。</w:t>
      </w:r>
    </w:p>
    <w:p>
      <w:pPr>
        <w:pStyle w:val="3"/>
        <w:spacing w:line="360" w:lineRule="auto"/>
        <w:jc w:val="both"/>
        <w:rPr>
          <w:rFonts w:asciiTheme="minorEastAsia" w:hAnsiTheme="minorEastAsia"/>
        </w:rPr>
      </w:pPr>
      <w:bookmarkStart w:id="361" w:name="_Toc21070"/>
      <w:bookmarkStart w:id="362" w:name="_Toc50993463"/>
      <w:bookmarkStart w:id="363" w:name="_Toc522897549"/>
      <w:r>
        <w:rPr>
          <w:rFonts w:asciiTheme="minorEastAsia" w:hAnsiTheme="minorEastAsia"/>
        </w:rPr>
        <w:t>第4条  项目融资与财务管理</w:t>
      </w:r>
      <w:bookmarkEnd w:id="361"/>
      <w:bookmarkEnd w:id="362"/>
      <w:bookmarkEnd w:id="363"/>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4.1</w:t>
      </w:r>
      <w:r>
        <w:rPr>
          <w:rFonts w:asciiTheme="minorEastAsia" w:hAnsiTheme="minorEastAsia" w:eastAsiaTheme="minorEastAsia"/>
          <w:b/>
          <w:sz w:val="24"/>
        </w:rPr>
        <w:tab/>
      </w:r>
      <w:r>
        <w:rPr>
          <w:rFonts w:asciiTheme="minorEastAsia" w:hAnsiTheme="minorEastAsia" w:eastAsiaTheme="minorEastAsia"/>
          <w:b/>
          <w:sz w:val="24"/>
        </w:rPr>
        <w:t>项目投融资结构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4.1.1本项目总投资</w:t>
      </w:r>
      <w:r>
        <w:rPr>
          <w:rFonts w:asciiTheme="minorEastAsia" w:hAnsiTheme="minorEastAsia" w:eastAsiaTheme="minorEastAsia"/>
          <w:b/>
          <w:sz w:val="30"/>
          <w:u w:val="single"/>
        </w:rPr>
        <w:t xml:space="preserve"> </w:t>
      </w:r>
      <w:r>
        <w:rPr>
          <w:rFonts w:asciiTheme="minorEastAsia" w:hAnsiTheme="minorEastAsia" w:eastAsiaTheme="minorEastAsia"/>
          <w:sz w:val="24"/>
          <w:u w:val="single"/>
        </w:rPr>
        <w:t>暂定为</w:t>
      </w:r>
      <w:r>
        <w:rPr>
          <w:rFonts w:hint="eastAsia" w:asciiTheme="minorEastAsia" w:hAnsiTheme="minorEastAsia" w:eastAsiaTheme="minorEastAsia"/>
          <w:sz w:val="24"/>
          <w:szCs w:val="28"/>
          <w:u w:val="single"/>
        </w:rPr>
        <w:t>35743.06</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万</w:t>
      </w:r>
      <w:r>
        <w:rPr>
          <w:rFonts w:asciiTheme="minorEastAsia" w:hAnsiTheme="minorEastAsia" w:eastAsiaTheme="minorEastAsia"/>
          <w:sz w:val="24"/>
        </w:rPr>
        <w:t>元；</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4.1.2本项目的项目资本金为</w:t>
      </w:r>
      <w:r>
        <w:rPr>
          <w:rFonts w:asciiTheme="minorEastAsia" w:hAnsiTheme="minorEastAsia" w:eastAsiaTheme="minorEastAsia"/>
          <w:b/>
          <w:sz w:val="24"/>
          <w:u w:val="single"/>
        </w:rPr>
        <w:t xml:space="preserve"> </w:t>
      </w:r>
      <w:r>
        <w:rPr>
          <w:rFonts w:asciiTheme="minorEastAsia" w:hAnsiTheme="minorEastAsia" w:eastAsiaTheme="minorEastAsia"/>
          <w:sz w:val="24"/>
          <w:u w:val="single"/>
        </w:rPr>
        <w:t>5500</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万</w:t>
      </w:r>
      <w:r>
        <w:rPr>
          <w:rFonts w:asciiTheme="minorEastAsia" w:hAnsiTheme="minorEastAsia" w:eastAsiaTheme="minorEastAsia"/>
          <w:sz w:val="24"/>
        </w:rPr>
        <w:t>元；</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4.1.3本项目总投资和项目资本金之间的差额由乙方通过银行贷款等方式予以解决，以满足项目建设资金需求。</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说明：</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（1）建设补助资金根据实际到位补助资金进行最终财务测算。</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（2）如在运营期内获得政府及上级补助资金，按补助资金使用规定专款专用</w:t>
      </w:r>
      <w:r>
        <w:rPr>
          <w:rFonts w:hint="eastAsia" w:asciiTheme="minorEastAsia" w:hAnsiTheme="minorEastAsia" w:eastAsiaTheme="minorEastAsia"/>
          <w:sz w:val="24"/>
        </w:rPr>
        <w:t>，上级补助资金列为可行性缺口补助范畴</w:t>
      </w:r>
      <w:r>
        <w:rPr>
          <w:rFonts w:asciiTheme="minorEastAsia" w:hAnsiTheme="minorEastAsia" w:eastAsiaTheme="minorEastAsia"/>
          <w:sz w:val="24"/>
        </w:rPr>
        <w:t>。上级补助资金到位前，项目公司不能因资金问题耽误工期</w:t>
      </w:r>
      <w:r>
        <w:rPr>
          <w:rFonts w:hint="eastAsia" w:asciiTheme="minorEastAsia" w:hAnsiTheme="minorEastAsia" w:eastAsiaTheme="minorEastAsia"/>
          <w:sz w:val="24"/>
        </w:rPr>
        <w:t>和项目运营</w:t>
      </w:r>
      <w:r>
        <w:rPr>
          <w:rFonts w:asciiTheme="minorEastAsia" w:hAnsiTheme="minorEastAsia" w:eastAsiaTheme="minorEastAsia"/>
          <w:sz w:val="24"/>
        </w:rPr>
        <w:t>。</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（3）PPP合作期限内的项目总投资具体以决算审计为准。</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4.2融资责任</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4.2.1乙方应按照本合同约定及双方确定的融资计划和方案要求自本合同生效日起</w:t>
      </w:r>
      <w:r>
        <w:rPr>
          <w:rFonts w:asciiTheme="minorEastAsia" w:hAnsiTheme="minorEastAsia" w:eastAsiaTheme="minorEastAsia"/>
          <w:bCs/>
          <w:sz w:val="30"/>
          <w:u w:val="single"/>
        </w:rPr>
        <w:t xml:space="preserve"> </w:t>
      </w:r>
      <w:r>
        <w:rPr>
          <w:rFonts w:hint="eastAsia" w:asciiTheme="minorEastAsia" w:hAnsiTheme="minorEastAsia" w:eastAsiaTheme="minorEastAsia"/>
          <w:bCs/>
          <w:sz w:val="24"/>
          <w:u w:val="single"/>
        </w:rPr>
        <w:t>200</w:t>
      </w:r>
      <w:r>
        <w:rPr>
          <w:rFonts w:asciiTheme="minorEastAsia" w:hAnsiTheme="minorEastAsia" w:eastAsiaTheme="minorEastAsia"/>
          <w:bCs/>
          <w:sz w:val="30"/>
          <w:u w:val="single"/>
        </w:rPr>
        <w:t xml:space="preserve"> </w:t>
      </w:r>
      <w:r>
        <w:rPr>
          <w:rFonts w:asciiTheme="minorEastAsia" w:hAnsiTheme="minorEastAsia" w:eastAsiaTheme="minorEastAsia"/>
          <w:sz w:val="24"/>
        </w:rPr>
        <w:t>日内完成融资交割，并负责项目资金的及时筹措;甲方应为乙方开展项目融资工作提供必要的协助，包括依法提供与项目融资有关的批复、证明、说明及相关文件等。</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4.2.2乙方未按照本合同的约定及双方确定的融资计划和方案要求在约定期限内完成融资交割或实现项目资金及时足额筹集到位的，</w:t>
      </w:r>
      <w:r>
        <w:rPr>
          <w:rFonts w:hint="eastAsia" w:asciiTheme="minorEastAsia" w:hAnsiTheme="minorEastAsia" w:eastAsiaTheme="minorEastAsia"/>
          <w:sz w:val="24"/>
        </w:rPr>
        <w:t>乙方</w:t>
      </w:r>
      <w:r>
        <w:rPr>
          <w:rFonts w:asciiTheme="minorEastAsia" w:hAnsiTheme="minorEastAsia" w:eastAsiaTheme="minorEastAsia"/>
          <w:sz w:val="24"/>
        </w:rPr>
        <w:t>应以自有资金</w:t>
      </w:r>
      <w:r>
        <w:rPr>
          <w:rFonts w:hint="eastAsia" w:asciiTheme="minorEastAsia" w:hAnsiTheme="minorEastAsia" w:eastAsiaTheme="minorEastAsia"/>
          <w:sz w:val="24"/>
        </w:rPr>
        <w:t>支持</w:t>
      </w:r>
      <w:r>
        <w:rPr>
          <w:rFonts w:asciiTheme="minorEastAsia" w:hAnsiTheme="minorEastAsia" w:eastAsiaTheme="minorEastAsia"/>
          <w:sz w:val="24"/>
        </w:rPr>
        <w:t>或提供融资担保等各种方式确保项目公司能够获得足额</w:t>
      </w:r>
      <w:r>
        <w:rPr>
          <w:rFonts w:hint="eastAsia" w:asciiTheme="minorEastAsia" w:hAnsiTheme="minorEastAsia" w:eastAsiaTheme="minorEastAsia"/>
          <w:sz w:val="24"/>
        </w:rPr>
        <w:t>资金</w:t>
      </w:r>
      <w:r>
        <w:rPr>
          <w:rFonts w:asciiTheme="minorEastAsia" w:hAnsiTheme="minorEastAsia" w:eastAsiaTheme="minorEastAsia"/>
          <w:sz w:val="24"/>
        </w:rPr>
        <w:t>，保证项目的顺利建设和后续的运营维护</w:t>
      </w:r>
      <w:r>
        <w:rPr>
          <w:rFonts w:hint="eastAsia" w:asciiTheme="minorEastAsia" w:hAnsiTheme="minorEastAsia" w:eastAsiaTheme="minorEastAsia"/>
          <w:sz w:val="24"/>
        </w:rPr>
        <w:t>，并</w:t>
      </w:r>
      <w:r>
        <w:rPr>
          <w:rFonts w:asciiTheme="minorEastAsia" w:hAnsiTheme="minorEastAsia" w:eastAsiaTheme="minorEastAsia"/>
          <w:sz w:val="24"/>
        </w:rPr>
        <w:t>应当按照本合同和《合作协议》的相关约定承担相应责任。非乙方原因</w:t>
      </w:r>
      <w:r>
        <w:rPr>
          <w:rFonts w:hint="eastAsia" w:asciiTheme="minorEastAsia" w:hAnsiTheme="minorEastAsia" w:eastAsiaTheme="minorEastAsia"/>
          <w:sz w:val="24"/>
        </w:rPr>
        <w:t>（含项目前期手续不全等）</w:t>
      </w:r>
      <w:r>
        <w:rPr>
          <w:rFonts w:asciiTheme="minorEastAsia" w:hAnsiTheme="minorEastAsia" w:eastAsiaTheme="minorEastAsia"/>
          <w:sz w:val="24"/>
        </w:rPr>
        <w:t>造成项目融资交割延误的，乙方不需承担违约责任。</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4.3融资担保</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4.3.1为本项目融资之目的，经甲方书面同意，乙方可在</w:t>
      </w:r>
      <w:bookmarkStart w:id="364" w:name="_Hlk5611076"/>
      <w:r>
        <w:rPr>
          <w:rFonts w:asciiTheme="minorEastAsia" w:hAnsiTheme="minorEastAsia" w:eastAsiaTheme="minorEastAsia"/>
          <w:sz w:val="24"/>
        </w:rPr>
        <w:t>其按约定享有所有权的</w:t>
      </w:r>
      <w:bookmarkEnd w:id="364"/>
      <w:r>
        <w:rPr>
          <w:rFonts w:asciiTheme="minorEastAsia" w:hAnsiTheme="minorEastAsia" w:eastAsiaTheme="minorEastAsia"/>
          <w:sz w:val="24"/>
        </w:rPr>
        <w:t>项目设施、项目收益权或其他权益上设置抵押、质押等方式进行融资，相关融资文件应及时提交甲方备案。</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4.3.2如经甲方书面同意乙方在合作期限内设置项目</w:t>
      </w:r>
      <w:bookmarkStart w:id="365" w:name="_Hlk5611089"/>
      <w:r>
        <w:rPr>
          <w:rFonts w:asciiTheme="minorEastAsia" w:hAnsiTheme="minorEastAsia" w:eastAsiaTheme="minorEastAsia"/>
          <w:sz w:val="24"/>
        </w:rPr>
        <w:t>设施抵押或项目</w:t>
      </w:r>
      <w:bookmarkEnd w:id="365"/>
      <w:r>
        <w:rPr>
          <w:rFonts w:asciiTheme="minorEastAsia" w:hAnsiTheme="minorEastAsia" w:eastAsiaTheme="minorEastAsia"/>
          <w:sz w:val="24"/>
        </w:rPr>
        <w:t>收益权等权利质押的，乙方应在移交日前解除全部</w:t>
      </w:r>
      <w:bookmarkStart w:id="366" w:name="_Hlk5611122"/>
      <w:r>
        <w:rPr>
          <w:rFonts w:asciiTheme="minorEastAsia" w:hAnsiTheme="minorEastAsia" w:eastAsiaTheme="minorEastAsia"/>
          <w:sz w:val="24"/>
        </w:rPr>
        <w:t>项目设施的抵押</w:t>
      </w:r>
      <w:bookmarkEnd w:id="366"/>
      <w:r>
        <w:rPr>
          <w:rFonts w:asciiTheme="minorEastAsia" w:hAnsiTheme="minorEastAsia" w:eastAsiaTheme="minorEastAsia"/>
          <w:sz w:val="24"/>
        </w:rPr>
        <w:t>和项目收益权等权利的质押或等担保措施</w:t>
      </w:r>
      <w:r>
        <w:rPr>
          <w:rFonts w:hint="eastAsia" w:asciiTheme="minorEastAsia" w:hAnsiTheme="minorEastAsia" w:eastAsiaTheme="minorEastAsia"/>
          <w:sz w:val="24"/>
        </w:rPr>
        <w:t>，即确保项目不存在债务、抵押、质押、留置、担保物权，由社会资本引起的与项目建设、运营和维护等相关的其他其他性质的请求权，以及环境问题、税收问题等。</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4.4融资及担保的限制</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4.4.1除因本项目设计、建设、运营维护所需之目的外，乙方不得以本项目进行融资，本合同19条约定的再融资情形除外。</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4.4.2除未经甲方书面同意外，乙方不得将项目设施或项目收益权进行抵押或质押、出售、转让、出租或以任何其他方式交由第三人使用或设定权利负担。</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4.4.3项目融资文件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乙方应在项目融资完成后，将签署的所有融资文件报经甲方备案。</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为保障本项目顺利实施，乙方应</w:t>
      </w:r>
      <w:bookmarkStart w:id="367" w:name="_Hlk518308909"/>
      <w:r>
        <w:rPr>
          <w:rFonts w:asciiTheme="minorEastAsia" w:hAnsiTheme="minorEastAsia" w:eastAsiaTheme="minorEastAsia"/>
          <w:sz w:val="24"/>
        </w:rPr>
        <w:t>确保融资文件中包含融资方承诺的下列条款</w:t>
      </w:r>
      <w:bookmarkEnd w:id="367"/>
      <w:r>
        <w:rPr>
          <w:rFonts w:hint="eastAsia" w:asciiTheme="minorEastAsia" w:hAnsiTheme="minorEastAsia" w:eastAsiaTheme="minorEastAsia"/>
          <w:sz w:val="24"/>
        </w:rPr>
        <w:t>或具有类似/同等效力的相关内容</w:t>
      </w:r>
      <w:r>
        <w:rPr>
          <w:rFonts w:asciiTheme="minorEastAsia" w:hAnsiTheme="minorEastAsia" w:eastAsiaTheme="minorEastAsia"/>
          <w:sz w:val="24"/>
        </w:rPr>
        <w:t>：</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如融资文件中包含了融资方介入权的约定，即当乙方违反融资文件或乙方出现重大经营或财务风险，威胁或侵害融资方利益时，融资方可以行使其作为债权人的权利，要求乙方改善管理、增加投入，或请求甲方认可的合格机构接管本项目，但融资方行使上述介入权时应按照如下程序进行：</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a．融资方通过书面方式将乙方在融资文件项下的违约事件通知甲方；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b．给予乙方在收到上述通知后</w:t>
      </w:r>
      <w:r>
        <w:rPr>
          <w:rFonts w:asciiTheme="minorEastAsia" w:hAnsiTheme="minorEastAsia" w:eastAsiaTheme="minorEastAsia"/>
          <w:b/>
          <w:sz w:val="24"/>
          <w:u w:val="single"/>
        </w:rPr>
        <w:t xml:space="preserve"> 30 </w:t>
      </w:r>
      <w:r>
        <w:rPr>
          <w:rFonts w:asciiTheme="minorEastAsia" w:hAnsiTheme="minorEastAsia" w:eastAsiaTheme="minorEastAsia"/>
          <w:sz w:val="24"/>
        </w:rPr>
        <w:t>日内纠正此类违约的权利；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c．纠正期满时，乙方违约事件持续的，融资方行使权利应以不妨害和损害甲方在本合同项下的权利和项目的正常运营为前提。如在纠正期内，触发融资方直接介入的重大风险解除或者乙方提供融资方能接受的补充担保措施后，融资方应停止介入。</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4.5项目资金使用管理</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4.5.1双方在此确认，在本合同生效日后，为确保项目资金专款专用，</w:t>
      </w:r>
      <w:r>
        <w:rPr>
          <w:rFonts w:asciiTheme="minorEastAsia" w:hAnsiTheme="minorEastAsia" w:eastAsiaTheme="minorEastAsia"/>
          <w:kern w:val="0"/>
          <w:sz w:val="24"/>
        </w:rPr>
        <w:t>乙方应按规定及时开设项目资金专用账户，在不影响项目建设和运营的前提下，甲方有权对专用账户中的项目资金使用情况进行监督和检查，乙方应予以配合</w:t>
      </w:r>
      <w:r>
        <w:rPr>
          <w:rFonts w:asciiTheme="minorEastAsia" w:hAnsiTheme="minorEastAsia" w:eastAsiaTheme="minorEastAsia"/>
          <w:sz w:val="24"/>
        </w:rPr>
        <w:t>。</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4.5.2乙方对工程相关单位的款项支付，须按相关合同的约定执行，不得违约拖欠。对支付情况，甲方有权核实。对不按时支付又无正当理由的，经甲方书面告知后仍不支付影响项目进度的，甲方有权从其履约担保中扣除相应金额并代乙方支付，不足部分将从应向乙方支付的服务费中扣除。</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4.5.3乙方应独立进行建设期和运营期的资金使用和财务核算，项目资金不得用于与本项目无关的经济活动。项目</w:t>
      </w:r>
      <w:r>
        <w:rPr>
          <w:rFonts w:hint="eastAsia" w:asciiTheme="minorEastAsia" w:hAnsiTheme="minorEastAsia" w:eastAsiaTheme="minorEastAsia"/>
          <w:sz w:val="24"/>
        </w:rPr>
        <w:t>公司根据项目可行性研究报告中明确可</w:t>
      </w:r>
      <w:r>
        <w:rPr>
          <w:rFonts w:asciiTheme="minorEastAsia" w:hAnsiTheme="minorEastAsia" w:eastAsiaTheme="minorEastAsia"/>
          <w:sz w:val="24"/>
        </w:rPr>
        <w:t>使用的运营专用车辆、污泥外运车辆分别在投资初期和运营初期配置到位，以保证PPP项目公司对项目的全过程管理和控制。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4.5.4财政性资金的使用</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政府方资金来源包括贵港市财政资金、上级补助或其他财政性资金。</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除项目公司注册资本及资本金外，如在项目合作期内贵港市人民政府或上级政府有财政性资金投入项目建设或运营，则优先使用财政性资金，采用以下方法调整：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1、社会资本建设投资＝PPP总投资－政府方出资代表股权及资本金支出－其他投入项目的财政性资金。</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2、建设期投入的财政性资金，直接在社会资本建设投资中扣减。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3、运营期投入的财政性资金，抵扣当年当季应付的PPP运营补贴可行性缺口补助，如当</w:t>
      </w:r>
      <w:r>
        <w:rPr>
          <w:rFonts w:hint="eastAsia" w:asciiTheme="minorEastAsia" w:hAnsiTheme="minorEastAsia" w:eastAsiaTheme="minorEastAsia"/>
          <w:sz w:val="24"/>
        </w:rPr>
        <w:t>季</w:t>
      </w:r>
      <w:r>
        <w:rPr>
          <w:rFonts w:asciiTheme="minorEastAsia" w:hAnsiTheme="minorEastAsia" w:eastAsiaTheme="minorEastAsia"/>
          <w:sz w:val="24"/>
        </w:rPr>
        <w:t>投入的财政性资金大于应付的可行性缺口补助的，则继续抵扣下一季可行性缺口补助，直至抵扣完毕为止。</w:t>
      </w:r>
    </w:p>
    <w:p>
      <w:pPr>
        <w:pStyle w:val="3"/>
        <w:spacing w:line="360" w:lineRule="auto"/>
        <w:jc w:val="both"/>
        <w:rPr>
          <w:rFonts w:asciiTheme="minorEastAsia" w:hAnsiTheme="minorEastAsia"/>
        </w:rPr>
      </w:pPr>
      <w:bookmarkStart w:id="368" w:name="_Toc522897550"/>
      <w:bookmarkStart w:id="369" w:name="_Toc26191"/>
      <w:bookmarkStart w:id="370" w:name="_Toc50993464"/>
      <w:r>
        <w:rPr>
          <w:rFonts w:asciiTheme="minorEastAsia" w:hAnsiTheme="minorEastAsia"/>
        </w:rPr>
        <w:t>第5条  双方的基本权利和义务</w:t>
      </w:r>
      <w:bookmarkEnd w:id="368"/>
      <w:bookmarkEnd w:id="369"/>
      <w:bookmarkEnd w:id="370"/>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5.1甲方的权利和义务</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5.1.1甲方在合作期内的权利：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（1）甲方有权对乙方在本合同项下的履约行为进行全程监管，如发现与本合同约定存在不相符合的情形，有权责成乙方限期整改，并根据合同约定扣除或提取相应金额的履约担保，追究乙方违约责任。</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在建设期内有权对乙方的建设管理情况及在运营期内有权对乙方的运营维护情况进行监督检查。甲方有对乙方及广西贵港市工业投资发展集团有限公司投资、建设、运营、维护及移交本项目进行全程实时监管的权利；甲方监督监理单位、造价咨询机构实施本项目的工程监理及全过程造价咨询。造价咨询机构实施本项目的全过程造价咨询，因此产生的费用计入项目总投资</w:t>
      </w:r>
      <w:r>
        <w:rPr>
          <w:rFonts w:hint="eastAsia" w:asciiTheme="minorEastAsia" w:hAnsiTheme="minorEastAsia" w:eastAsiaTheme="minorEastAsia"/>
          <w:sz w:val="24"/>
        </w:rPr>
        <w:t>，全过程造价咨询机构的招标工作由甲方负责，并在项目开工后两个月内完成</w:t>
      </w:r>
      <w:r>
        <w:rPr>
          <w:rFonts w:asciiTheme="minorEastAsia" w:hAnsiTheme="minorEastAsia" w:eastAsiaTheme="minorEastAsia"/>
          <w:sz w:val="24"/>
        </w:rPr>
        <w:t>；如发现与本合同存在不相符合的，甲方有权责成乙方及广西贵港市工业投资发展集团有限公司限期予以纠正。甲方在建设期内有对乙方及广西贵港市工业投资发展集团有限公司的建设施工情况进行监督检查的权利，包括但不限于在建设期内甲方可以聘请中介机构对项目进行专项审计检查，相应的费用由</w:t>
      </w:r>
      <w:r>
        <w:rPr>
          <w:rFonts w:hint="eastAsia" w:asciiTheme="minorEastAsia" w:hAnsiTheme="minorEastAsia" w:eastAsiaTheme="minorEastAsia"/>
          <w:sz w:val="24"/>
        </w:rPr>
        <w:t>甲</w:t>
      </w:r>
      <w:r>
        <w:rPr>
          <w:rFonts w:asciiTheme="minorEastAsia" w:hAnsiTheme="minorEastAsia" w:eastAsiaTheme="minorEastAsia"/>
          <w:sz w:val="24"/>
        </w:rPr>
        <w:t>方负担，检查周期由甲方合理确定，审计检查范围主要包括对乙方的注册资本的到位情况、资金使用情况、项目进度情况、项目质量情况、项目实施与本合同执行情况等方面，乙方有义务对审计检查工作给予充分配合，提供必要的完整的所需查看的各种文件资料，并对提供资料的真实性负责。在项目竣工验收完成后，甲方有委托审计机构对乙方的建设费用进行审计的权利，因此产生的费用由甲方自行承担。</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甲方或政府方指定机构或其委托的第三方机构，有权对乙方的投资、建设、经营、管理、安全、质量、服务状况等进行绩效评价及中期评估，并有权将评价结果和评估结果向社会公布，接受公众监督。相关委托产生的费用由甲方自行承担。</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w:t>
      </w:r>
      <w:r>
        <w:rPr>
          <w:rFonts w:asciiTheme="minorEastAsia" w:hAnsiTheme="minorEastAsia" w:eastAsiaTheme="minorEastAsia"/>
          <w:kern w:val="0"/>
          <w:sz w:val="24"/>
        </w:rPr>
        <w:t>除本合同另有约定外，出水的调度、使用以及经过处理后污泥或污泥产品的处置权应归属于甲方，严格按项目环评批复的处置方式进行处置，未经甲方书面同意，乙方不得擅自或委托第三方调度、使用出水以及处置经处理后的污泥或污泥产品。</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（5）甲方有对乙方是否遵守本合同的监督检查权，及在发生本合同约定的临时接管情况下行使对建设、运营维护的介入权。</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（6）遇紧急情况，在可能严重影响公众利益的情况下，甲方经市政府同意可依法对项目或项目公司进行临时接管。</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（7）广西贵港市工业投资发展集团有限公司根据本合同约定、项目公司组建合作协议和公司章程规定等，向项目公司出资/参股，并行使履行相应的股东权利、义务。</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5.1.2甲方在合作期内的义务：</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甲方负责按照本合同第6条约定完成前期工作，并按照双方约定的时间及方式向乙方移交项目前期工作文件。甲方负责与本项目有关的厂区建设用地及临时用地征地划拨及协调政府部门审批本项目前期工作，为本项目投（融）资、建设及运营维护等工作的开展提供有利条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（2）协助乙方及时获得相关的许可或批准文件，保持批准有效。</w:t>
      </w:r>
    </w:p>
    <w:p>
      <w:pPr>
        <w:spacing w:before="80" w:after="80" w:line="360" w:lineRule="auto"/>
        <w:ind w:firstLine="422" w:firstLineChars="176"/>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协调并保障生活水源的供给，</w:t>
      </w:r>
      <w:r>
        <w:rPr>
          <w:rFonts w:asciiTheme="minorEastAsia" w:hAnsiTheme="minorEastAsia" w:eastAsiaTheme="minorEastAsia"/>
          <w:sz w:val="24"/>
        </w:rPr>
        <w:t>协调合作范围内的排水户将符合纳管标准的污水纳入污水收集管网，协调合作范围内的用水户使用乙方提供供水；凡在合作范围内新纳入污水收集管网的排水户，协调其使用乙方提供供水。</w:t>
      </w:r>
      <w:r>
        <w:rPr>
          <w:rFonts w:hint="eastAsia" w:asciiTheme="minorEastAsia" w:hAnsiTheme="minorEastAsia" w:eastAsiaTheme="minorEastAsia"/>
          <w:sz w:val="24"/>
        </w:rPr>
        <w:t>配合执法部门</w:t>
      </w:r>
      <w:r>
        <w:rPr>
          <w:rFonts w:asciiTheme="minorEastAsia" w:hAnsiTheme="minorEastAsia" w:eastAsiaTheme="minorEastAsia"/>
          <w:sz w:val="24"/>
        </w:rPr>
        <w:t>禁止不应纳入污水收集管网的排水户纳管；</w:t>
      </w:r>
      <w:r>
        <w:rPr>
          <w:rFonts w:hint="eastAsia" w:asciiTheme="minorEastAsia" w:hAnsiTheme="minorEastAsia" w:eastAsiaTheme="minorEastAsia"/>
          <w:sz w:val="24"/>
        </w:rPr>
        <w:t>配合执法部门</w:t>
      </w:r>
      <w:r>
        <w:rPr>
          <w:rFonts w:asciiTheme="minorEastAsia" w:hAnsiTheme="minorEastAsia" w:eastAsiaTheme="minorEastAsia"/>
          <w:sz w:val="24"/>
        </w:rPr>
        <w:t>对排水户污水排放的达标情况进行严格执法，如因该等原因给乙方造成损失的，甲方应协助乙方向第三方进行追偿。</w:t>
      </w:r>
      <w:r>
        <w:rPr>
          <w:rFonts w:hint="eastAsia" w:asciiTheme="minorEastAsia" w:hAnsiTheme="minorEastAsia" w:eastAsiaTheme="minorEastAsia"/>
          <w:sz w:val="24"/>
        </w:rPr>
        <w:t>甲方负责征收</w:t>
      </w:r>
      <w:r>
        <w:rPr>
          <w:rFonts w:asciiTheme="minorEastAsia" w:hAnsiTheme="minorEastAsia" w:eastAsiaTheme="minorEastAsia"/>
          <w:sz w:val="24"/>
        </w:rPr>
        <w:t>工业/生活供水服务费</w:t>
      </w:r>
      <w:r>
        <w:rPr>
          <w:rFonts w:hint="eastAsia" w:asciiTheme="minorEastAsia" w:hAnsiTheme="minorEastAsia" w:eastAsiaTheme="minorEastAsia"/>
          <w:sz w:val="24"/>
        </w:rPr>
        <w:t>、</w:t>
      </w:r>
      <w:r>
        <w:rPr>
          <w:rFonts w:asciiTheme="minorEastAsia" w:hAnsiTheme="minorEastAsia" w:eastAsiaTheme="minorEastAsia"/>
          <w:sz w:val="24"/>
        </w:rPr>
        <w:t>污水处理服务费</w:t>
      </w:r>
      <w:r>
        <w:rPr>
          <w:rFonts w:hint="eastAsia" w:asciiTheme="minorEastAsia" w:hAnsiTheme="minorEastAsia" w:eastAsiaTheme="minorEastAsia"/>
          <w:sz w:val="24"/>
        </w:rPr>
        <w:t>。</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依据本合同约定按时向乙方支付相关费用，同时</w:t>
      </w:r>
      <w:r>
        <w:rPr>
          <w:rFonts w:asciiTheme="minorEastAsia" w:hAnsiTheme="minorEastAsia" w:eastAsiaTheme="minorEastAsia"/>
          <w:sz w:val="24"/>
        </w:rPr>
        <w:t>确保本项目的服务费纳入年度财政预算和中期财政规划，按照本合同约定开展绩效评价，并根据绩效评价结果及时、足额向乙方支付服务费。甲方委托第三方（如有）定期监测项目产出绩效指标，编制季报和年报报市财政局备案，所需费用由市财政列入年初预算。</w:t>
      </w:r>
    </w:p>
    <w:p>
      <w:pPr>
        <w:spacing w:before="80" w:after="80" w:line="360" w:lineRule="auto"/>
        <w:ind w:firstLine="424" w:firstLineChars="177"/>
        <w:rPr>
          <w:rFonts w:asciiTheme="minorEastAsia" w:hAnsiTheme="minorEastAsia" w:eastAsiaTheme="minorEastAsia"/>
          <w:sz w:val="24"/>
        </w:rPr>
      </w:pPr>
      <w:r>
        <w:rPr>
          <w:rFonts w:hint="eastAsia" w:asciiTheme="minorEastAsia" w:hAnsiTheme="minorEastAsia" w:eastAsiaTheme="minorEastAsia"/>
          <w:sz w:val="24"/>
        </w:rPr>
        <w:t>（5）当符合本协议约定的污水处理服务费价格标准调整条件时，对乙方提出的污水处理服务费价格标准调整申请进行审核后，按相关法律法规规定和本协议约定执行。</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6</w:t>
      </w:r>
      <w:r>
        <w:rPr>
          <w:rFonts w:asciiTheme="minorEastAsia" w:hAnsiTheme="minorEastAsia" w:eastAsiaTheme="minorEastAsia"/>
          <w:sz w:val="24"/>
        </w:rPr>
        <w:t>）甲方通过本合同授予项目公司对本项目的特许经营权。</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7</w:t>
      </w:r>
      <w:r>
        <w:rPr>
          <w:rFonts w:asciiTheme="minorEastAsia" w:hAnsiTheme="minorEastAsia" w:eastAsiaTheme="minorEastAsia"/>
          <w:sz w:val="24"/>
        </w:rPr>
        <w:t>）在不可预见的自然灾害等极端环境下，项目公司为了做好防灾减灾等相关工作影响到其绩效考核的，则甲方应按照项目公司已履行完毕对应的绩效指标来对待，且不应视为项目公司违约。</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8</w:t>
      </w:r>
      <w:r>
        <w:rPr>
          <w:rFonts w:asciiTheme="minorEastAsia" w:hAnsiTheme="minorEastAsia" w:eastAsiaTheme="minorEastAsia"/>
          <w:sz w:val="24"/>
        </w:rPr>
        <w:t>）做好项目宣传工作，动员当地村民支持项目建设，协助乙方或项目公司协调周边企业、民众关系，为项目顺利建设实施、正常运营提供有利条件。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9</w:t>
      </w:r>
      <w:r>
        <w:rPr>
          <w:rFonts w:asciiTheme="minorEastAsia" w:hAnsiTheme="minorEastAsia" w:eastAsiaTheme="minorEastAsia"/>
          <w:sz w:val="24"/>
        </w:rPr>
        <w:t>）甲方协助乙方协调相关部门给予乙方良好的投资环境及税收优惠政策支持。</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10</w:t>
      </w:r>
      <w:r>
        <w:rPr>
          <w:rFonts w:asciiTheme="minorEastAsia" w:hAnsiTheme="minorEastAsia" w:eastAsiaTheme="minorEastAsia"/>
          <w:sz w:val="24"/>
        </w:rPr>
        <w:t>）本项目运营电价争取按优惠电价标准收费，如遇供电部门收费标准调整，经甲乙双方协商同意后，按照本合同约定的调价机制进行调整。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）其他甲乙双方约定的权利和义务。</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5.2乙方的权利和义务</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5.2.1乙方在合作期内的权利：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（1）依约享有项目经营权，并获取相应服务费及相关收入的权利。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（2）要求甲方按照本合同的约定支付服务费的权利。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如因不可归责于乙方的原因导致乙方履约不能的，则乙方有权和甲方就有关事宜进行沟通，如经甲方确认确属不可归责于乙方的原因且乙方已为避免此种情形采取必要措施的，则甲方应根据上述原因造成的实际影响对乙方责任予以相应豁免，并对绩效评价指标的达成率进行相应调整。</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在合作期内，土地使用权在政府（政府出资方代表）名下，项目公司在合作期限内拥本项目所形成的地上附着物、设施设备等资产的使用权，并拥有项目的运营、管理、维护权和划拨土地使用权。合作期满后，项目公司将运营、管理和维护权益无偿移交给政府。在合作期内，项目公司不得改变土地使用性质，未经政府同意，项目公司不得对本项目其余资产进行任何处置。如有需要，须经上报市人民政府同意后，项目公司方可担保融资。</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（5）乙方有权开发以中水、污泥为资源的环保副产品，取得并支配合法收益</w:t>
      </w:r>
      <w:r>
        <w:rPr>
          <w:rFonts w:hint="eastAsia" w:asciiTheme="minorEastAsia" w:hAnsiTheme="minorEastAsia" w:eastAsiaTheme="minorEastAsia"/>
          <w:sz w:val="24"/>
        </w:rPr>
        <w:t>，收益分配由甲乙双方另行约定</w:t>
      </w:r>
      <w:r>
        <w:rPr>
          <w:rFonts w:asciiTheme="minorEastAsia" w:hAnsiTheme="minorEastAsia" w:eastAsiaTheme="minorEastAsia"/>
          <w:sz w:val="24"/>
        </w:rPr>
        <w:t>。</w:t>
      </w:r>
    </w:p>
    <w:p>
      <w:pPr>
        <w:widowControl/>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6）当出现进水水质和水量发生重大变化超过设计参数值可能导致出水水质超标，如污水处理项目有能力处理，则甲方应据实补偿给乙方因增加处理负荷造成的运行成本增加部分；如果污水处理项目没有能力处理，且持续时间超过3天的，由甲乙双方共同协商处理办法，乙方制定处理方案，经甲方同意后实施，费用应由甲方承担。在新的处理方案完成前，增加的费用由甲方承担，乙方豁免由此造成出水水质超标的责任。如果污水处理厂进水水质异常</w:t>
      </w:r>
      <w:r>
        <w:rPr>
          <w:rFonts w:asciiTheme="minorEastAsia" w:hAnsiTheme="minorEastAsia" w:eastAsiaTheme="minorEastAsia"/>
        </w:rPr>
        <w:t>，</w:t>
      </w:r>
      <w:r>
        <w:rPr>
          <w:rFonts w:asciiTheme="minorEastAsia" w:hAnsiTheme="minorEastAsia" w:eastAsiaTheme="minorEastAsia"/>
          <w:kern w:val="0"/>
          <w:sz w:val="24"/>
        </w:rPr>
        <w:t>需额外投加碳源或追加其他处理工艺造成成本大幅增加的，乙方有权提请甲方支付成本增加费用，甲方可聘请第三方机构进行审核确认，情况属实的应予以增补。</w:t>
      </w:r>
    </w:p>
    <w:p>
      <w:pPr>
        <w:widowControl/>
        <w:spacing w:before="80" w:after="8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（7）如因污水处理和排放标准调整、物价上涨等原因，导致乙方污水处理成本明显上涨，符合法律法规调整条件时，可以提出污水处理服务费价格标准调整申请。</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5.2.2乙方在合作期内的义务：</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（1）承担本合同约定的项目投融资、建设及运营等责任和风险。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（2）在合作范围内，按照经批准的相关规划以及合同约定负责实施本项目，确保项目设施建设和运营维护符合本合同约定的技术规范和技术要求。</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w:t>
      </w:r>
      <w:bookmarkStart w:id="371" w:name="_Hlk525820103"/>
      <w:r>
        <w:rPr>
          <w:rFonts w:asciiTheme="minorEastAsia" w:hAnsiTheme="minorEastAsia" w:eastAsiaTheme="minorEastAsia"/>
          <w:sz w:val="24"/>
        </w:rPr>
        <w:t>乙方应本着普遍和无歧视的原则，接受合作范围内依法应纳管的污水，提供合作范围内依法应供给的工业供水和生活污水。</w:t>
      </w:r>
      <w:bookmarkEnd w:id="371"/>
      <w:r>
        <w:rPr>
          <w:rFonts w:asciiTheme="minorEastAsia" w:hAnsiTheme="minorEastAsia" w:eastAsiaTheme="minorEastAsia"/>
          <w:sz w:val="24"/>
        </w:rPr>
        <w:t>如乙方发现排水户排放的污水不符合纳管标准，且经乙方合理判断纳管可能导致对本项目所涉污水收集管网或污水处理厂造成重大损害的，则乙方应立即采取相应的应急措施，并向甲方及有关部门报告。</w:t>
      </w:r>
      <w:r>
        <w:rPr>
          <w:rFonts w:asciiTheme="minorEastAsia" w:hAnsiTheme="minorEastAsia" w:eastAsiaTheme="minorEastAsia"/>
          <w:kern w:val="0"/>
          <w:sz w:val="24"/>
        </w:rPr>
        <w:t>当出现进水水质和水量发生重大变化可能导致出水水质超标，或者发生影响园区污水处理设施安全运行的突发情况时，乙方应当立即采取应急处理措施</w:t>
      </w:r>
      <w:r>
        <w:rPr>
          <w:rFonts w:hint="eastAsia" w:asciiTheme="minorEastAsia" w:hAnsiTheme="minorEastAsia" w:eastAsiaTheme="minorEastAsia"/>
          <w:kern w:val="0"/>
          <w:sz w:val="24"/>
        </w:rPr>
        <w:t>避免进水异常对污水处理设施造成进一步损坏</w:t>
      </w:r>
      <w:r>
        <w:rPr>
          <w:rFonts w:asciiTheme="minorEastAsia" w:hAnsiTheme="minorEastAsia" w:eastAsiaTheme="minorEastAsia"/>
          <w:kern w:val="0"/>
          <w:sz w:val="24"/>
        </w:rPr>
        <w:t>，并向城镇排水主管部门、环境保护主管部门报告。</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（4）在运营期内严格按适用法律及本合同约定对本项目进行运营维护，持续、安全、稳定地提供服务，并确保项目供水厂、污水处理厂出水水质、厂区运行质量及管网设施的运营维护达到本合同约定的标准</w:t>
      </w:r>
      <w:r>
        <w:rPr>
          <w:rFonts w:hint="eastAsia" w:asciiTheme="minorEastAsia" w:hAnsiTheme="minorEastAsia" w:eastAsiaTheme="minorEastAsia"/>
          <w:sz w:val="24"/>
        </w:rPr>
        <w:t>，因乙方造成的环境事故，由乙方承担相应责任</w:t>
      </w:r>
      <w:r>
        <w:rPr>
          <w:rFonts w:asciiTheme="minorEastAsia" w:hAnsiTheme="minorEastAsia" w:eastAsiaTheme="minorEastAsia"/>
          <w:sz w:val="24"/>
        </w:rPr>
        <w:t>。在本项目运营期内，乙方应确保根据本合同的相关约定，合理控制运营成本，提高运营效率，保证本项目的社会效益及经营效益。</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5）接受并有义务配合甲方在合作期内进行的监督管理。乙方按本合同规定承担除甲方出资以外的属于本项目总投资范围内的所有费用，乙方应接受甲方及其依法聘请的专业第三方机构在合作期限内对项目的监督管理和审计，并有义务配合监管的相关事宜，由此产生的专业第三方机构的服务费用由甲方承担。</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（6）按照本合同约定提交履约担保。</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（7）乙方应按本合同约定取得和保持项目建设和运营维护所要求的所有批准，并应督促项目建设承包商</w:t>
      </w:r>
      <w:bookmarkStart w:id="372" w:name="OLE_LINK1"/>
      <w:bookmarkStart w:id="373" w:name="OLE_LINK2"/>
      <w:r>
        <w:rPr>
          <w:rFonts w:asciiTheme="minorEastAsia" w:hAnsiTheme="minorEastAsia" w:eastAsiaTheme="minorEastAsia"/>
          <w:sz w:val="24"/>
        </w:rPr>
        <w:t>、运营</w:t>
      </w:r>
      <w:bookmarkEnd w:id="372"/>
      <w:bookmarkEnd w:id="373"/>
      <w:r>
        <w:rPr>
          <w:rFonts w:asciiTheme="minorEastAsia" w:hAnsiTheme="minorEastAsia" w:eastAsiaTheme="minorEastAsia"/>
          <w:sz w:val="24"/>
        </w:rPr>
        <w:t>维护商取得并保持所需的一切此类批准。乙方按照国家、广西壮族自治区及贵港市的相关规定履行相应的报建手续。报建手续的办理，甲方给予必要的协助和配合。</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8）为本项目之目的，乙方和项目公司应确保融资文件、本合同项下的保险单、施工协议、原材料或设备采购协议、承包协议以及其他由乙方签订的与项目有关的任何协议，符合本合同约定的要求，与本合同的约定相互协调，不得妨碍甲方行使本合同项下权利，不得妨碍乙方和项目公司履行本合同项下义务，不得将承包商、分包商、供应商的行为作为违约行为的抗辩理由。</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（9）</w:t>
      </w:r>
      <w:r>
        <w:rPr>
          <w:rFonts w:asciiTheme="minorEastAsia" w:hAnsiTheme="minorEastAsia" w:eastAsiaTheme="minorEastAsia"/>
          <w:kern w:val="0"/>
          <w:sz w:val="24"/>
        </w:rPr>
        <w:t>乙方拟利用本项目达标出水开展中水回用等经营性业务的或者对污泥进行资源化利用等处置行为的，必须报经甲方事先书面同意。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10）本项目供水厂、污水处理厂产生的污泥经脱水后，与栅渣和沉砂等固体废物一并送至甲方指定处置地点或采取其它环保有效的措施进行处置，污泥含水率等指标根据当地污泥处置去向，以污泥收纳方对于含水率等要求进行确定，其中污泥含水率不得大于80%。执行项目环评的批复。无论采取何种污泥、中水处置措施，均不能对环境造成二次污染。</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（11）根据《关于在公共服务领域深入推进政府和社会资本合作工作的通知》财金[2016]90号文，如乙方具备有本项目的</w:t>
      </w:r>
      <w:r>
        <w:rPr>
          <w:rFonts w:hint="eastAsia" w:asciiTheme="minorEastAsia" w:hAnsiTheme="minorEastAsia" w:eastAsiaTheme="minorEastAsia"/>
          <w:sz w:val="24"/>
        </w:rPr>
        <w:t>设计、</w:t>
      </w:r>
      <w:r>
        <w:rPr>
          <w:rFonts w:asciiTheme="minorEastAsia" w:hAnsiTheme="minorEastAsia" w:eastAsiaTheme="minorEastAsia"/>
          <w:sz w:val="24"/>
        </w:rPr>
        <w:t>施工资质的，可直接负责本项目的</w:t>
      </w:r>
      <w:r>
        <w:rPr>
          <w:rFonts w:hint="eastAsia" w:asciiTheme="minorEastAsia" w:hAnsiTheme="minorEastAsia" w:eastAsiaTheme="minorEastAsia"/>
          <w:sz w:val="24"/>
        </w:rPr>
        <w:t>设计、</w:t>
      </w:r>
      <w:r>
        <w:rPr>
          <w:rFonts w:asciiTheme="minorEastAsia" w:hAnsiTheme="minorEastAsia" w:eastAsiaTheme="minorEastAsia"/>
          <w:sz w:val="24"/>
        </w:rPr>
        <w:t>施工建设，不需二次招标。但如乙方不具备本项目</w:t>
      </w:r>
      <w:r>
        <w:rPr>
          <w:rFonts w:hint="eastAsia" w:asciiTheme="minorEastAsia" w:hAnsiTheme="minorEastAsia" w:eastAsiaTheme="minorEastAsia"/>
          <w:sz w:val="24"/>
        </w:rPr>
        <w:t>设计</w:t>
      </w:r>
      <w:r>
        <w:rPr>
          <w:rFonts w:asciiTheme="minorEastAsia" w:hAnsiTheme="minorEastAsia" w:eastAsiaTheme="minorEastAsia"/>
          <w:sz w:val="24"/>
        </w:rPr>
        <w:t>施工资质的，乙方及广西贵港市工业投资发展集团有限公司、项目公司必须根据现行国家、广西壮族自治区及贵港市基本建设有关政策程序规定，做好工程</w:t>
      </w:r>
      <w:r>
        <w:rPr>
          <w:rFonts w:hint="eastAsia" w:asciiTheme="minorEastAsia" w:hAnsiTheme="minorEastAsia" w:eastAsiaTheme="minorEastAsia"/>
          <w:sz w:val="24"/>
        </w:rPr>
        <w:t>设计、</w:t>
      </w:r>
      <w:r>
        <w:rPr>
          <w:rFonts w:asciiTheme="minorEastAsia" w:hAnsiTheme="minorEastAsia" w:eastAsiaTheme="minorEastAsia"/>
          <w:sz w:val="24"/>
        </w:rPr>
        <w:t>施工招标工作，并对因</w:t>
      </w:r>
      <w:r>
        <w:rPr>
          <w:rFonts w:hint="eastAsia" w:asciiTheme="minorEastAsia" w:hAnsiTheme="minorEastAsia" w:eastAsiaTheme="minorEastAsia"/>
          <w:sz w:val="24"/>
        </w:rPr>
        <w:t>设计、</w:t>
      </w:r>
      <w:r>
        <w:rPr>
          <w:rFonts w:asciiTheme="minorEastAsia" w:hAnsiTheme="minorEastAsia" w:eastAsiaTheme="minorEastAsia"/>
          <w:sz w:val="24"/>
        </w:rPr>
        <w:t>工程质量、文明施工、安全、进度、投资控制等方面出现的问题承担相应责任，同时确保本项目按时、按质完工并正常运营。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12）当本项目协议期满或提前终止时，乙方应对项目资产和设备进行恢复性大修/重置，确保移交设施的正常运行，并按照本合同约定的机制、流程和资产范围，将所有相关的资产和设备完好无偿地移交给政府，所发生的税费和支出，由政府方指定的接收人和社会资本各自依法承担。</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（13）在不可预见的自然灾害等极端环境下，乙方应积极做好项目范围内防灾减灾等工作，并及时向甲方汇报工作情况。</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如未来甲方利用本项目申请国家专项资金或其他补助资金，乙方应尽最大努力提供协助，该部分资金归政府方所有并使用于本项目。运营期若有中央、自治区或市级专项补助资金，属政府方资金，用来抵扣政府支付的乙方的运营补贴费用。</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（15）乙方、广西贵港市工业投资发展集团有限公司不得滥用股东权利，妨碍项目公司履行合同义务或者本项目的实施。</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（16）其他双方约定的权利和义务。</w:t>
      </w:r>
    </w:p>
    <w:p>
      <w:pPr>
        <w:pStyle w:val="3"/>
        <w:jc w:val="both"/>
        <w:rPr>
          <w:rFonts w:asciiTheme="minorEastAsia" w:hAnsiTheme="minorEastAsia"/>
        </w:rPr>
      </w:pPr>
      <w:bookmarkStart w:id="374" w:name="_Toc26063"/>
      <w:bookmarkStart w:id="375" w:name="_Toc522897551"/>
      <w:bookmarkStart w:id="376" w:name="_Toc50993465"/>
      <w:r>
        <w:rPr>
          <w:rFonts w:asciiTheme="minorEastAsia" w:hAnsiTheme="minorEastAsia"/>
        </w:rPr>
        <w:t>第6条  项目前期工作及费用承担</w:t>
      </w:r>
      <w:bookmarkEnd w:id="374"/>
      <w:bookmarkEnd w:id="375"/>
      <w:bookmarkEnd w:id="376"/>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6.1 项目前期工作</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6.1.1甲方负责开展的前期工作包括：</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（1）甲方已完成项目的前期工作：项目前期工程咨询、立项、可研等；</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（2）甲方对项目公司承担的项目前期工作提供支持，包括但不限于：</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1）协调相关部门和利益主体提供必要资料和文件。</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 xml:space="preserve">2）对项目公司的合理诉求提供支持。 </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3）组织召开项目协调会。</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4）甲方协助项目公司完成项目建设所必需的配套基础设施：甲方应当在移交施工现场前向乙方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按照法律规定确需在开工后方能提供的基础资料，甲方应尽其努力及时地在相应工程施工前的合理期限内提供，合理期限应以不影响乙方的正常施工为限。甲方提供施工场地内地下管线和地下设施等有关资料，如因乙方原因施工造成资料显示已知地下管线等破坏的，责任及费用由乙方承担。</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5）甲方应当协调处理施工现场周围地下管线和</w:t>
      </w:r>
      <w:r>
        <w:rPr>
          <w:rFonts w:hint="eastAsia" w:asciiTheme="minorEastAsia" w:hAnsiTheme="minorEastAsia" w:eastAsiaTheme="minorEastAsia"/>
          <w:sz w:val="24"/>
          <w:u w:val="single"/>
        </w:rPr>
        <w:t>项目用地内</w:t>
      </w:r>
      <w:r>
        <w:rPr>
          <w:rFonts w:asciiTheme="minorEastAsia" w:hAnsiTheme="minorEastAsia" w:eastAsiaTheme="minorEastAsia"/>
          <w:sz w:val="24"/>
          <w:u w:val="single"/>
        </w:rPr>
        <w:t>建筑物、构筑物、古树名木的保护工作，并承担相应费用。</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6）甲方应负责项目征地、拆迁和安置等工作</w:t>
      </w:r>
      <w:r>
        <w:rPr>
          <w:rFonts w:hint="eastAsia" w:asciiTheme="minorEastAsia" w:hAnsiTheme="minorEastAsia" w:eastAsiaTheme="minorEastAsia"/>
          <w:sz w:val="24"/>
          <w:u w:val="single"/>
        </w:rPr>
        <w:t>。因征地拆迁进度滞后、未探明地质条件、地质勘查工作未进行等原因致使项目建设投资额大幅增加的，经核实后，政府方应对投资额增加部分予以认可，如该新增部分费用计入总投资的，政府方应及时调整项目相关材料。</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6.1.2 前期工作的交接和相关责任约定：</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（1</w:t>
      </w:r>
      <w:r>
        <w:rPr>
          <w:rFonts w:hint="eastAsia" w:asciiTheme="minorEastAsia" w:hAnsiTheme="minorEastAsia" w:eastAsiaTheme="minorEastAsia"/>
          <w:sz w:val="24"/>
          <w:u w:val="single"/>
        </w:rPr>
        <w:t>）</w:t>
      </w:r>
      <w:r>
        <w:rPr>
          <w:rFonts w:asciiTheme="minorEastAsia" w:hAnsiTheme="minorEastAsia" w:eastAsiaTheme="minorEastAsia"/>
          <w:sz w:val="24"/>
          <w:u w:val="single"/>
        </w:rPr>
        <w:t>为了本项目的需要，甲方及相关政府部门已经开展了部分前期工作（如有），支付了费用；前期工作成果（如有）、费用在本合同签订后1个月内，由政府方向乙方移交，由乙方承担相应的管理权利及合同义务。甲方或委托方已支付的前期工作合同项下的费用，由乙方在本合同签订且该前期工作费用经政府相关部门审计确认后60日内支付给甲方或委托方。甲方或相关政府部门未支付的费用，采取甲方或相关政府部门、项目公司、前期工作服务单位三方以签订补充协议的形式，由甲方或相关政府部门委托乙方继续执行前期工作合同，并按前期工作合同约定按时向前期工作服务单位支付相关费用。本项目前期工作所产生的费用</w:t>
      </w:r>
      <w:r>
        <w:rPr>
          <w:rFonts w:hint="eastAsia" w:asciiTheme="minorEastAsia" w:hAnsiTheme="minorEastAsia" w:eastAsiaTheme="minorEastAsia"/>
          <w:sz w:val="24"/>
          <w:u w:val="single"/>
        </w:rPr>
        <w:t>经审计确认后</w:t>
      </w:r>
      <w:r>
        <w:rPr>
          <w:rFonts w:asciiTheme="minorEastAsia" w:hAnsiTheme="minorEastAsia" w:eastAsiaTheme="minorEastAsia"/>
          <w:sz w:val="24"/>
          <w:u w:val="single"/>
        </w:rPr>
        <w:t>计入项目总投资。</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（2）甲方对乙方负责的前期工作进行质量监督或由甲方委托第三方代理机构对乙方进行监督，委托代理费用由甲方承担。</w:t>
      </w:r>
    </w:p>
    <w:p>
      <w:pPr>
        <w:widowControl/>
        <w:spacing w:before="80" w:after="80" w:line="360" w:lineRule="auto"/>
        <w:ind w:firstLine="424" w:firstLineChars="177"/>
        <w:rPr>
          <w:rFonts w:asciiTheme="minorEastAsia" w:hAnsiTheme="minorEastAsia" w:eastAsiaTheme="minorEastAsia"/>
          <w:sz w:val="24"/>
          <w:u w:val="single"/>
        </w:rPr>
      </w:pPr>
      <w:bookmarkStart w:id="377" w:name="_Toc22463"/>
      <w:bookmarkStart w:id="378" w:name="_Toc16047"/>
      <w:bookmarkStart w:id="379" w:name="_Toc454460875"/>
      <w:bookmarkStart w:id="380" w:name="_Toc445329968"/>
      <w:bookmarkStart w:id="381" w:name="_Toc428949230"/>
      <w:bookmarkStart w:id="382" w:name="_Toc443254855"/>
      <w:bookmarkStart w:id="383" w:name="_Toc19311"/>
      <w:bookmarkStart w:id="384" w:name="_Toc495339341"/>
      <w:bookmarkStart w:id="385" w:name="_Toc12611"/>
      <w:bookmarkStart w:id="386" w:name="_Toc2754"/>
      <w:r>
        <w:rPr>
          <w:rFonts w:asciiTheme="minorEastAsia" w:hAnsiTheme="minorEastAsia" w:eastAsiaTheme="minorEastAsia"/>
          <w:sz w:val="24"/>
          <w:u w:val="single"/>
        </w:rPr>
        <w:t>（3）前期工作违约及处理</w:t>
      </w:r>
      <w:bookmarkEnd w:id="377"/>
      <w:bookmarkEnd w:id="378"/>
      <w:bookmarkEnd w:id="379"/>
      <w:bookmarkEnd w:id="380"/>
      <w:bookmarkEnd w:id="381"/>
      <w:bookmarkEnd w:id="382"/>
      <w:bookmarkEnd w:id="383"/>
      <w:bookmarkEnd w:id="384"/>
      <w:bookmarkEnd w:id="385"/>
      <w:bookmarkEnd w:id="386"/>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如因乙方的原因逾期成立项目公司，甲方有权向乙方收取违约金，每逾期一天按1000元/日向甲方支付违约金。</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甲方开展的前期工作未达到质量要求或直接影响到项目建设进度的，</w:t>
      </w:r>
      <w:r>
        <w:rPr>
          <w:rFonts w:hint="eastAsia" w:asciiTheme="minorEastAsia" w:hAnsiTheme="minorEastAsia" w:eastAsiaTheme="minorEastAsia"/>
          <w:sz w:val="24"/>
          <w:u w:val="single"/>
        </w:rPr>
        <w:t>导致</w:t>
      </w:r>
      <w:r>
        <w:rPr>
          <w:rFonts w:asciiTheme="minorEastAsia" w:hAnsiTheme="minorEastAsia" w:eastAsiaTheme="minorEastAsia"/>
          <w:sz w:val="24"/>
          <w:u w:val="single"/>
        </w:rPr>
        <w:t>项目公司</w:t>
      </w:r>
      <w:r>
        <w:rPr>
          <w:rFonts w:hint="eastAsia" w:asciiTheme="minorEastAsia" w:hAnsiTheme="minorEastAsia" w:eastAsiaTheme="minorEastAsia"/>
          <w:sz w:val="24"/>
          <w:u w:val="single"/>
        </w:rPr>
        <w:t>未能</w:t>
      </w:r>
      <w:r>
        <w:rPr>
          <w:rFonts w:asciiTheme="minorEastAsia" w:hAnsiTheme="minorEastAsia" w:eastAsiaTheme="minorEastAsia"/>
          <w:sz w:val="24"/>
          <w:u w:val="single"/>
        </w:rPr>
        <w:t>获得相关部门审批或审批延误的，项目公司可根据影响程度提出项目建设进度延误申请，甲方10日内就是否同意申请作出回复。项目公司的申请获得甲方同意后，可顺延项目完工的时间及合作期限，因工期顺延造成的投资增加，</w:t>
      </w:r>
      <w:r>
        <w:rPr>
          <w:rFonts w:hint="eastAsia" w:asciiTheme="minorEastAsia" w:hAnsiTheme="minorEastAsia" w:eastAsiaTheme="minorEastAsia"/>
          <w:sz w:val="24"/>
          <w:u w:val="single"/>
        </w:rPr>
        <w:t>经甲方确认后</w:t>
      </w:r>
      <w:r>
        <w:rPr>
          <w:rFonts w:asciiTheme="minorEastAsia" w:hAnsiTheme="minorEastAsia" w:eastAsiaTheme="minorEastAsia"/>
          <w:sz w:val="24"/>
          <w:u w:val="single"/>
        </w:rPr>
        <w:t>计入社会资本投资总额，运营补贴做相应调整。</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项目公司开展的前期工作未达到质量要求或直接影响到项目建设进度的，甲方可根据影响程度按照本合同要求责令乙方限期整改</w:t>
      </w:r>
      <w:r>
        <w:rPr>
          <w:rFonts w:hint="eastAsia" w:asciiTheme="minorEastAsia" w:hAnsiTheme="minorEastAsia" w:eastAsiaTheme="minorEastAsia"/>
          <w:sz w:val="24"/>
          <w:u w:val="single"/>
        </w:rPr>
        <w:t>，若造成损失，由乙方全额承担</w:t>
      </w:r>
      <w:r>
        <w:rPr>
          <w:rFonts w:asciiTheme="minorEastAsia" w:hAnsiTheme="minorEastAsia" w:eastAsiaTheme="minorEastAsia"/>
          <w:sz w:val="24"/>
          <w:u w:val="single"/>
        </w:rPr>
        <w:t>。</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6.2 前期工作费用的承担</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本项目前期工作费用，指政府方为开展本项目的前期工作所发生的费用</w:t>
      </w:r>
      <w:r>
        <w:rPr>
          <w:rFonts w:hint="eastAsia" w:asciiTheme="minorEastAsia" w:hAnsiTheme="minorEastAsia" w:eastAsiaTheme="minorEastAsia"/>
          <w:sz w:val="24"/>
        </w:rPr>
        <w:t>，即本项目开标前的前期工作</w:t>
      </w:r>
      <w:r>
        <w:rPr>
          <w:rFonts w:asciiTheme="minorEastAsia" w:hAnsiTheme="minorEastAsia" w:eastAsiaTheme="minorEastAsia"/>
          <w:sz w:val="24"/>
        </w:rPr>
        <w:t>所发生的费用。双方同意，本项目前期工作费用按以下第</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（2）</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种方式处理：</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（1）前期工作费用由政府方自行承担，并按照本合同约定完成相应工作内容。</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（2）前期工作费用由乙方承担，且该等费用计入项目总投资，但乙方承担前期工作费用的上限不超过人民币</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万</w:t>
      </w:r>
      <w:r>
        <w:rPr>
          <w:rFonts w:asciiTheme="minorEastAsia" w:hAnsiTheme="minorEastAsia" w:eastAsiaTheme="minorEastAsia"/>
          <w:bCs/>
          <w:sz w:val="24"/>
        </w:rPr>
        <w:t>元</w:t>
      </w:r>
      <w:r>
        <w:rPr>
          <w:rFonts w:asciiTheme="minorEastAsia" w:hAnsiTheme="minorEastAsia" w:eastAsiaTheme="minorEastAsia"/>
          <w:sz w:val="24"/>
        </w:rPr>
        <w:t>，其中，建设用地费上限不超过</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万</w:t>
      </w:r>
      <w:r>
        <w:rPr>
          <w:rFonts w:asciiTheme="minorEastAsia" w:hAnsiTheme="minorEastAsia" w:eastAsiaTheme="minorEastAsia"/>
          <w:sz w:val="24"/>
        </w:rPr>
        <w:t>元，超过部分由甲方承担。</w:t>
      </w:r>
    </w:p>
    <w:p>
      <w:pPr>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u w:val="single"/>
        </w:rPr>
        <w:t>为了本项目的需要，甲方及相关政府部门已经开展了部分前期工作，支付了费用。前期工作成果、费用在本合同签订后，可由政府方向乙方移交，由乙方承担相应的管理权利及合同义务。</w:t>
      </w:r>
    </w:p>
    <w:p>
      <w:pPr>
        <w:widowControl/>
        <w:spacing w:before="80" w:after="80" w:line="360" w:lineRule="auto"/>
        <w:ind w:firstLine="477" w:firstLineChars="199"/>
        <w:rPr>
          <w:rFonts w:asciiTheme="minorEastAsia" w:hAnsiTheme="minorEastAsia" w:eastAsiaTheme="minorEastAsia"/>
          <w:sz w:val="24"/>
        </w:rPr>
      </w:pPr>
      <w:r>
        <w:rPr>
          <w:rFonts w:asciiTheme="minorEastAsia" w:hAnsiTheme="minorEastAsia" w:eastAsiaTheme="minorEastAsia"/>
          <w:sz w:val="24"/>
        </w:rPr>
        <w:t>（3）其他方式：</w:t>
      </w:r>
      <w:r>
        <w:rPr>
          <w:rFonts w:asciiTheme="minorEastAsia" w:hAnsiTheme="minorEastAsia" w:eastAsiaTheme="minorEastAsia"/>
          <w:sz w:val="24"/>
          <w:u w:val="single"/>
        </w:rPr>
        <w:t>_________________________________________________</w:t>
      </w:r>
    </w:p>
    <w:p>
      <w:pPr>
        <w:pStyle w:val="3"/>
        <w:spacing w:line="360" w:lineRule="auto"/>
        <w:jc w:val="both"/>
        <w:rPr>
          <w:rFonts w:asciiTheme="minorEastAsia" w:hAnsiTheme="minorEastAsia"/>
        </w:rPr>
      </w:pPr>
      <w:bookmarkStart w:id="387" w:name="_Toc522897552"/>
      <w:bookmarkStart w:id="388" w:name="_Toc22905"/>
      <w:bookmarkStart w:id="389" w:name="_Toc50993466"/>
      <w:r>
        <w:rPr>
          <w:rFonts w:asciiTheme="minorEastAsia" w:hAnsiTheme="minorEastAsia"/>
        </w:rPr>
        <w:t>第7条  土地使用权及项目设施的权属</w:t>
      </w:r>
      <w:bookmarkEnd w:id="387"/>
      <w:bookmarkEnd w:id="388"/>
      <w:bookmarkEnd w:id="389"/>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7.1场地范围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甲方应依法提供本项目建设工程场地红线图，并以政府有关部门批准的测量数据为准。</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7.2土地使用的权利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本项目红线范围内土地使用权以【</w:t>
      </w:r>
      <w:r>
        <w:rPr>
          <w:rFonts w:hint="eastAsia" w:ascii="MS Mincho" w:hAnsi="MS Mincho" w:eastAsia="MS Mincho" w:cs="MS Mincho"/>
          <w:kern w:val="0"/>
          <w:sz w:val="24"/>
        </w:rPr>
        <w:t>☑</w:t>
      </w:r>
      <w:r>
        <w:rPr>
          <w:rFonts w:asciiTheme="minorEastAsia" w:hAnsiTheme="minorEastAsia" w:eastAsiaTheme="minorEastAsia"/>
          <w:sz w:val="24"/>
        </w:rPr>
        <w:t>划拨；</w:t>
      </w:r>
      <w:r>
        <w:rPr>
          <w:rFonts w:asciiTheme="minorEastAsia" w:hAnsiTheme="minorEastAsia" w:eastAsiaTheme="minorEastAsia"/>
          <w:kern w:val="0"/>
          <w:sz w:val="24"/>
        </w:rPr>
        <w:t>□</w:t>
      </w:r>
      <w:r>
        <w:rPr>
          <w:rFonts w:asciiTheme="minorEastAsia" w:hAnsiTheme="minorEastAsia" w:eastAsiaTheme="minorEastAsia"/>
          <w:sz w:val="24"/>
        </w:rPr>
        <w:t>出让；</w:t>
      </w:r>
      <w:r>
        <w:rPr>
          <w:rFonts w:asciiTheme="minorEastAsia" w:hAnsiTheme="minorEastAsia" w:eastAsiaTheme="minorEastAsia"/>
          <w:kern w:val="0"/>
          <w:sz w:val="24"/>
        </w:rPr>
        <w:t>□</w:t>
      </w:r>
      <w:r>
        <w:rPr>
          <w:rFonts w:asciiTheme="minorEastAsia" w:hAnsiTheme="minorEastAsia" w:eastAsiaTheme="minorEastAsia"/>
          <w:sz w:val="24"/>
        </w:rPr>
        <w:t>其他:</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】方式供应，乙方应根据适用法律规定和本合同约定在本项目合作期限内合理使用。</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7.3土地使用的限制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未经甲方书面同意，乙方不得将项目用地用于本项目之外的任何其他用途，且不得对该等土地使用权以出租、出让、转让、抵押、质押或其他方式设定权利负担。</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7.4土壤污染责任承担</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土地交付前，乙方有权对相应土地进行察看和检查。如确存在污染并需要治理修复的，由甲方负责组织实施修复并达到环保要求。土地交付后，乙方应按照环保标准和规范要求负责土壤污染风险管控和修复，并承担相应的土壤污染责任。项目实施过程中，因土壤污染责任发生争议的，由甲、乙双方按照本合同第26条约定执行。</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7.5甲方对项目场地的出入权</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甲方以及有关政府部门在下列情形下，经合理通知乙方后有权出入项目场地：</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7.5.1有权为了解建设进度、运营维护情况或检查乙方履行本合同项下其他义务的目的行使此项出入权；</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7.5.2本合同约定的其他出入的权利。</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7.6 新建项目设施的权属</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在合作期内，项目设施所有权归【</w:t>
      </w:r>
      <w:r>
        <w:rPr>
          <w:rFonts w:hint="eastAsia" w:ascii="MS Mincho" w:hAnsi="MS Mincho" w:eastAsia="MS Mincho" w:cs="MS Mincho"/>
          <w:kern w:val="0"/>
          <w:sz w:val="24"/>
        </w:rPr>
        <w:t>☑</w:t>
      </w:r>
      <w:r>
        <w:rPr>
          <w:rFonts w:asciiTheme="minorEastAsia" w:hAnsiTheme="minorEastAsia" w:eastAsiaTheme="minorEastAsia"/>
          <w:kern w:val="0"/>
          <w:sz w:val="24"/>
        </w:rPr>
        <w:t>政府方指定的机构贵港市产业园区管理委员会</w:t>
      </w:r>
      <w:r>
        <w:rPr>
          <w:rFonts w:asciiTheme="minorEastAsia" w:hAnsiTheme="minorEastAsia" w:eastAsiaTheme="minorEastAsia"/>
          <w:kern w:val="0"/>
          <w:sz w:val="24"/>
          <w:u w:val="single"/>
        </w:rPr>
        <w:t xml:space="preserve"> </w:t>
      </w:r>
      <w:r>
        <w:rPr>
          <w:rFonts w:asciiTheme="minorEastAsia" w:hAnsiTheme="minorEastAsia" w:eastAsiaTheme="minorEastAsia"/>
          <w:kern w:val="0"/>
          <w:sz w:val="24"/>
        </w:rPr>
        <w:t>；□乙方】所有。</w:t>
      </w:r>
      <w:r>
        <w:rPr>
          <w:rFonts w:asciiTheme="minorEastAsia" w:hAnsiTheme="minorEastAsia" w:eastAsiaTheme="minorEastAsia"/>
          <w:sz w:val="24"/>
        </w:rPr>
        <w:t>项目公司在合作期限内拥本项目所形成的地上附着物、设施设备等资产的使用权，并拥有项目的运营、管理、维护权和土地使用权。合作期满后，项目公司将运营、管理和维护权益无偿移交给政府。在合作期内，未经政府同意，项目公司不得对本项目其余资产进行任何处置。如有需要，须经上报市人民政府同意后，项目公司方可担保融资。</w:t>
      </w:r>
    </w:p>
    <w:p>
      <w:pPr>
        <w:pStyle w:val="3"/>
        <w:spacing w:line="360" w:lineRule="auto"/>
        <w:jc w:val="both"/>
        <w:rPr>
          <w:rFonts w:asciiTheme="minorEastAsia" w:hAnsiTheme="minorEastAsia"/>
        </w:rPr>
      </w:pPr>
      <w:bookmarkStart w:id="390" w:name="_Toc522897553"/>
      <w:bookmarkStart w:id="391" w:name="_Toc31209"/>
      <w:bookmarkStart w:id="392" w:name="_Toc50993467"/>
      <w:r>
        <w:rPr>
          <w:rFonts w:asciiTheme="minorEastAsia" w:hAnsiTheme="minorEastAsia"/>
        </w:rPr>
        <w:t>第8条  项目建设</w:t>
      </w:r>
      <w:bookmarkEnd w:id="390"/>
      <w:bookmarkEnd w:id="391"/>
      <w:bookmarkEnd w:id="392"/>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8.1项目设计</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8.1.1设计的范围</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纳入本项目合作范围的项目设计，包括：【</w:t>
      </w:r>
      <w:r>
        <w:rPr>
          <w:rFonts w:hint="eastAsia" w:ascii="MS Mincho" w:hAnsi="MS Mincho" w:eastAsia="MS Mincho" w:cs="MS Mincho"/>
          <w:kern w:val="0"/>
          <w:sz w:val="24"/>
        </w:rPr>
        <w:t>☑</w:t>
      </w:r>
      <w:r>
        <w:rPr>
          <w:rFonts w:asciiTheme="minorEastAsia" w:hAnsiTheme="minorEastAsia" w:eastAsiaTheme="minorEastAsia"/>
          <w:kern w:val="0"/>
          <w:sz w:val="24"/>
        </w:rPr>
        <w:t>初步设计；</w:t>
      </w:r>
      <w:r>
        <w:rPr>
          <w:rFonts w:hint="eastAsia" w:ascii="MS Mincho" w:hAnsi="MS Mincho" w:eastAsia="MS Mincho" w:cs="MS Mincho"/>
          <w:kern w:val="0"/>
          <w:sz w:val="24"/>
        </w:rPr>
        <w:t>☑</w:t>
      </w:r>
      <w:r>
        <w:rPr>
          <w:rFonts w:asciiTheme="minorEastAsia" w:hAnsiTheme="minorEastAsia" w:eastAsiaTheme="minorEastAsia"/>
          <w:kern w:val="0"/>
          <w:sz w:val="24"/>
        </w:rPr>
        <w:t>施工图设计】。</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8.1.2设计单位的选定</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本项目的设计单位通过以下第</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（3）</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种方式选定：</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sz w:val="24"/>
        </w:rPr>
        <w:t>（1）由甲方依法选定项目【□</w:t>
      </w:r>
      <w:r>
        <w:rPr>
          <w:rFonts w:asciiTheme="minorEastAsia" w:hAnsiTheme="minorEastAsia" w:eastAsiaTheme="minorEastAsia"/>
          <w:kern w:val="0"/>
          <w:sz w:val="24"/>
        </w:rPr>
        <w:t>初步设计；</w:t>
      </w:r>
      <w:r>
        <w:rPr>
          <w:rFonts w:asciiTheme="minorEastAsia" w:hAnsiTheme="minorEastAsia" w:eastAsiaTheme="minorEastAsia"/>
          <w:sz w:val="24"/>
        </w:rPr>
        <w:t>□</w:t>
      </w:r>
      <w:r>
        <w:rPr>
          <w:rFonts w:asciiTheme="minorEastAsia" w:hAnsiTheme="minorEastAsia" w:eastAsiaTheme="minorEastAsia"/>
          <w:kern w:val="0"/>
          <w:sz w:val="24"/>
        </w:rPr>
        <w:t>施工图】</w:t>
      </w:r>
      <w:r>
        <w:rPr>
          <w:rFonts w:asciiTheme="minorEastAsia" w:hAnsiTheme="minorEastAsia" w:eastAsiaTheme="minorEastAsia"/>
          <w:sz w:val="24"/>
        </w:rPr>
        <w:t>设计单位。</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sz w:val="24"/>
        </w:rPr>
        <w:t>（2）由乙方依法选定项目【□</w:t>
      </w:r>
      <w:r>
        <w:rPr>
          <w:rFonts w:asciiTheme="minorEastAsia" w:hAnsiTheme="minorEastAsia" w:eastAsiaTheme="minorEastAsia"/>
          <w:kern w:val="0"/>
          <w:sz w:val="24"/>
        </w:rPr>
        <w:t>初步设计；</w:t>
      </w:r>
      <w:r>
        <w:rPr>
          <w:rFonts w:asciiTheme="minorEastAsia" w:hAnsiTheme="minorEastAsia" w:eastAsiaTheme="minorEastAsia"/>
          <w:sz w:val="24"/>
        </w:rPr>
        <w:t>□</w:t>
      </w:r>
      <w:r>
        <w:rPr>
          <w:rFonts w:asciiTheme="minorEastAsia" w:hAnsiTheme="minorEastAsia" w:eastAsiaTheme="minorEastAsia"/>
          <w:kern w:val="0"/>
          <w:sz w:val="24"/>
        </w:rPr>
        <w:t>施工图】</w:t>
      </w:r>
      <w:r>
        <w:rPr>
          <w:rFonts w:asciiTheme="minorEastAsia" w:hAnsiTheme="minorEastAsia" w:eastAsiaTheme="minorEastAsia"/>
          <w:sz w:val="24"/>
        </w:rPr>
        <w:t>设计单位</w:t>
      </w:r>
      <w:r>
        <w:rPr>
          <w:rFonts w:asciiTheme="minorEastAsia" w:hAnsiTheme="minorEastAsia" w:eastAsiaTheme="minorEastAsia"/>
          <w:kern w:val="0"/>
          <w:sz w:val="24"/>
        </w:rPr>
        <w:t>。</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（3）由 中标社会投资人 依法选定项目【</w:t>
      </w:r>
      <w:r>
        <w:rPr>
          <w:rFonts w:hint="eastAsia" w:ascii="MS Mincho" w:hAnsi="MS Mincho" w:eastAsia="MS Mincho" w:cs="MS Mincho"/>
          <w:sz w:val="24"/>
        </w:rPr>
        <w:t>☑</w:t>
      </w:r>
      <w:r>
        <w:rPr>
          <w:rFonts w:asciiTheme="minorEastAsia" w:hAnsiTheme="minorEastAsia" w:eastAsiaTheme="minorEastAsia"/>
          <w:kern w:val="0"/>
          <w:sz w:val="24"/>
        </w:rPr>
        <w:t>初步设计；</w:t>
      </w:r>
      <w:r>
        <w:rPr>
          <w:rFonts w:hint="eastAsia" w:ascii="MS Mincho" w:hAnsi="MS Mincho" w:eastAsia="MS Mincho" w:cs="MS Mincho"/>
          <w:sz w:val="24"/>
        </w:rPr>
        <w:t>☑</w:t>
      </w:r>
      <w:r>
        <w:rPr>
          <w:rFonts w:asciiTheme="minorEastAsia" w:hAnsiTheme="minorEastAsia" w:eastAsiaTheme="minorEastAsia"/>
          <w:kern w:val="0"/>
          <w:sz w:val="24"/>
        </w:rPr>
        <w:t>施工图】设计单位</w:t>
      </w:r>
      <w:r>
        <w:rPr>
          <w:rFonts w:hint="eastAsia" w:asciiTheme="minorEastAsia" w:hAnsiTheme="minorEastAsia" w:eastAsiaTheme="minorEastAsia"/>
          <w:kern w:val="0"/>
          <w:sz w:val="24"/>
        </w:rPr>
        <w:t>，若中标单位具有设计资质，可自行开展</w:t>
      </w:r>
      <w:r>
        <w:rPr>
          <w:rFonts w:asciiTheme="minorEastAsia" w:hAnsiTheme="minorEastAsia" w:eastAsiaTheme="minorEastAsia"/>
          <w:kern w:val="0"/>
          <w:sz w:val="24"/>
        </w:rPr>
        <w:t>。</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8.1.3项目设计要求</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本项目的设计文件应当符合以下要求和标准：</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（1）经批复的可行性研究报告和项目产出说明；</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（2）项目所在地区和行业的强制性技术标准；</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（3）相关适用法律的规定；</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（4）双方约定的其他技术标准和规范：</w:t>
      </w:r>
      <w:r>
        <w:rPr>
          <w:rFonts w:asciiTheme="minorEastAsia" w:hAnsiTheme="minorEastAsia" w:eastAsiaTheme="minorEastAsia"/>
          <w:kern w:val="0"/>
          <w:sz w:val="24"/>
          <w:u w:val="single"/>
        </w:rPr>
        <w:t xml:space="preserve">                               </w:t>
      </w:r>
    </w:p>
    <w:p>
      <w:pPr>
        <w:widowControl/>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（5）本合同生效日前，如甲方已委托设计单位对工程进行设计，经甲乙双方评审确认后，乙方按照设计文件组织工程建设。</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（6）设计单位应开展限额设计，并承担限额设计的相关责任</w:t>
      </w:r>
      <w:r>
        <w:rPr>
          <w:rFonts w:hint="eastAsia" w:asciiTheme="minorEastAsia" w:hAnsiTheme="minorEastAsia" w:eastAsiaTheme="minorEastAsia"/>
          <w:sz w:val="24"/>
        </w:rPr>
        <w:t>。</w:t>
      </w:r>
      <w:r>
        <w:rPr>
          <w:rFonts w:asciiTheme="minorEastAsia" w:hAnsiTheme="minorEastAsia" w:eastAsiaTheme="minorEastAsia"/>
          <w:sz w:val="24"/>
        </w:rPr>
        <w:t>施工图设计不得突破概算</w:t>
      </w:r>
      <w:r>
        <w:rPr>
          <w:rFonts w:hint="eastAsia" w:asciiTheme="minorEastAsia" w:hAnsiTheme="minorEastAsia" w:eastAsiaTheme="minorEastAsia"/>
          <w:sz w:val="24"/>
        </w:rPr>
        <w:t>，</w:t>
      </w:r>
      <w:r>
        <w:rPr>
          <w:rFonts w:asciiTheme="minorEastAsia" w:hAnsiTheme="minorEastAsia" w:eastAsiaTheme="minorEastAsia"/>
          <w:sz w:val="24"/>
        </w:rPr>
        <w:t>非社会资本方原因</w:t>
      </w:r>
      <w:r>
        <w:rPr>
          <w:rFonts w:hint="eastAsia" w:asciiTheme="minorEastAsia" w:hAnsiTheme="minorEastAsia" w:eastAsiaTheme="minorEastAsia"/>
          <w:sz w:val="24"/>
        </w:rPr>
        <w:t>除外。</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8.1.4设计的审查及设计责任</w:t>
      </w:r>
    </w:p>
    <w:p>
      <w:pPr>
        <w:widowControl/>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（1）甲方或相关行政职能部门有权审查设计文件，并提出审查意见。未经甲方和市政府相关部门批准的设计文件，乙方不得组织工程建设。</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除本合同另有约定外，由乙方组织编制的设计文件，甲方或政府有关部门的审查不免除乙方应对本项目设计中出现的任何缺陷负全部责任，甲方未对设计文件或技术规范或其任何改动提出异议不应视为甲方放弃其本合同项下的权利；甲方不因进行审查而对本项目承担任何责任。若乙方未经甲方书面同意超过本合同约定的设计标准进行设计，导致建设或运营成本增加的，则该等增加的费用由乙方自行承担，且不得因此而调整本项目服务费。</w:t>
      </w:r>
    </w:p>
    <w:p>
      <w:pPr>
        <w:spacing w:before="80" w:after="80" w:line="360" w:lineRule="auto"/>
        <w:ind w:left="488" w:leftChars="202" w:hanging="64" w:hangingChars="27"/>
        <w:rPr>
          <w:rFonts w:asciiTheme="minorEastAsia" w:hAnsiTheme="minorEastAsia" w:eastAsiaTheme="minorEastAsia"/>
          <w:sz w:val="24"/>
        </w:rPr>
      </w:pPr>
      <w:r>
        <w:rPr>
          <w:rFonts w:asciiTheme="minorEastAsia" w:hAnsiTheme="minorEastAsia" w:eastAsiaTheme="minorEastAsia"/>
          <w:sz w:val="24"/>
        </w:rPr>
        <w:t>（3）其他约定：</w:t>
      </w:r>
      <w:r>
        <w:rPr>
          <w:rFonts w:asciiTheme="minorEastAsia" w:hAnsiTheme="minorEastAsia" w:eastAsiaTheme="minorEastAsia"/>
          <w:sz w:val="24"/>
          <w:u w:val="single"/>
        </w:rPr>
        <w:t xml:space="preserve">                                                   </w:t>
      </w:r>
    </w:p>
    <w:p>
      <w:pPr>
        <w:spacing w:before="80" w:after="80" w:line="360" w:lineRule="auto"/>
        <w:rPr>
          <w:rFonts w:asciiTheme="minorEastAsia" w:hAnsiTheme="minorEastAsia" w:eastAsiaTheme="minorEastAsia"/>
          <w:kern w:val="0"/>
          <w:sz w:val="24"/>
          <w:u w:val="single"/>
        </w:rPr>
      </w:pPr>
      <w:r>
        <w:rPr>
          <w:rFonts w:asciiTheme="minorEastAsia" w:hAnsiTheme="minorEastAsia" w:eastAsiaTheme="minorEastAsia"/>
          <w:kern w:val="0"/>
          <w:sz w:val="24"/>
          <w:u w:val="single"/>
        </w:rPr>
        <w:t xml:space="preserve">                                                                     </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8.1.5设计变更</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乙方可向甲方和有关政府部门提出对工程设计文件进行变更的书面申请，乙方应同时提交变更设计文件的所有必要的支持和证明文件。如果乙方提出的变更是必要的且合理的，则甲方应当同意上述变更并通知设计单位变更设计。在有关政府部门未批准乙方提出的设计文件变更申请前，乙方不得按设计变更申请文件内容组织施工。</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乙方提出的设计变更申请在未经批准的情况下按设计变更申请文件内容组织施工，导致风险（包括关键工期延误风险）增加和新建项目工程建设成本和资本性支出（包括为保证关键工期不受影响而发生的建设成本和资本性支出）增加，由乙方承担（因设计瑕疵而导致的设计变更除外</w:t>
      </w:r>
      <w:r>
        <w:rPr>
          <w:rFonts w:hint="eastAsia" w:asciiTheme="minorEastAsia" w:hAnsiTheme="minorEastAsia" w:eastAsiaTheme="minorEastAsia"/>
          <w:kern w:val="0"/>
          <w:sz w:val="24"/>
        </w:rPr>
        <w:t>，该责任由设计单位承担</w:t>
      </w:r>
      <w:r>
        <w:rPr>
          <w:rFonts w:asciiTheme="minorEastAsia" w:hAnsiTheme="minorEastAsia" w:eastAsiaTheme="minorEastAsia"/>
          <w:kern w:val="0"/>
          <w:sz w:val="24"/>
        </w:rPr>
        <w:t>）。</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设计变更无论由哪方提出，均由甲方、乙方、设计单位协商解决，经确认后由设计单位发出相应图纸或变更通知，由甲方批准并办理签发手续，下发有关单位付诸实施。设计变更审批时间应在5个工作日内完成。</w:t>
      </w:r>
    </w:p>
    <w:p>
      <w:pPr>
        <w:spacing w:before="80" w:after="80" w:line="360" w:lineRule="auto"/>
        <w:ind w:firstLine="424" w:firstLineChars="177"/>
        <w:rPr>
          <w:rFonts w:asciiTheme="minorEastAsia" w:hAnsiTheme="minorEastAsia" w:eastAsiaTheme="minorEastAsia"/>
          <w:kern w:val="0"/>
          <w:sz w:val="24"/>
        </w:rPr>
      </w:pPr>
      <w:bookmarkStart w:id="393" w:name="_Toc10179"/>
      <w:r>
        <w:rPr>
          <w:rFonts w:asciiTheme="minorEastAsia" w:hAnsiTheme="minorEastAsia" w:eastAsiaTheme="minorEastAsia"/>
          <w:kern w:val="0"/>
          <w:sz w:val="24"/>
        </w:rPr>
        <w:t>8.1.6设计费用</w:t>
      </w:r>
      <w:bookmarkEnd w:id="393"/>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在项目公司成立后30日内，如甲方已委托设计单位对工程进行设计的，政府方应向项目公司移交设计工作成果、费用，项目公司应继续执行设计工作合同，承担相应的管理权利及合同义务，并按合同约定按时向合同相对方支付相关费用。</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8.2项目监理</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若按规定需要委托项目监理单位的，双方约定如下：</w:t>
      </w:r>
    </w:p>
    <w:p>
      <w:pPr>
        <w:widowControl/>
        <w:spacing w:before="80" w:after="80" w:line="360" w:lineRule="auto"/>
        <w:ind w:firstLine="424" w:firstLineChars="177"/>
        <w:rPr>
          <w:rFonts w:asciiTheme="minorEastAsia" w:hAnsiTheme="minorEastAsia" w:eastAsiaTheme="minorEastAsia"/>
          <w:sz w:val="24"/>
        </w:rPr>
      </w:pPr>
      <w:bookmarkStart w:id="394" w:name="_Toc351203528"/>
      <w:bookmarkStart w:id="395" w:name="_Toc296503054"/>
      <w:bookmarkStart w:id="396" w:name="_Toc296346555"/>
      <w:bookmarkStart w:id="397" w:name="_Toc337558754"/>
      <w:r>
        <w:rPr>
          <w:rFonts w:asciiTheme="minorEastAsia" w:hAnsiTheme="minorEastAsia" w:eastAsiaTheme="minorEastAsia"/>
          <w:sz w:val="24"/>
        </w:rPr>
        <w:t>（1）监理人的一般规定</w:t>
      </w:r>
      <w:bookmarkEnd w:id="394"/>
    </w:p>
    <w:bookmarkEnd w:id="395"/>
    <w:bookmarkEnd w:id="396"/>
    <w:bookmarkEnd w:id="397"/>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工程实行监理的，甲方和承包人应在施工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除施工合同条款另有约定外，监理人在施工现场的办公场所、生活场所由承包人提供，所发生的费用由发包人承担。</w:t>
      </w:r>
    </w:p>
    <w:p>
      <w:pPr>
        <w:widowControl/>
        <w:spacing w:before="80" w:after="80" w:line="360" w:lineRule="auto"/>
        <w:ind w:firstLine="424" w:firstLineChars="177"/>
        <w:rPr>
          <w:rFonts w:asciiTheme="minorEastAsia" w:hAnsiTheme="minorEastAsia" w:eastAsiaTheme="minorEastAsia"/>
          <w:sz w:val="24"/>
        </w:rPr>
      </w:pPr>
      <w:bookmarkStart w:id="398" w:name="_Toc351203529"/>
      <w:bookmarkStart w:id="399" w:name="_Toc337558755"/>
      <w:r>
        <w:rPr>
          <w:rFonts w:asciiTheme="minorEastAsia" w:hAnsiTheme="minorEastAsia" w:eastAsiaTheme="minorEastAsia"/>
          <w:sz w:val="24"/>
        </w:rPr>
        <w:t>（2）监理人员</w:t>
      </w:r>
      <w:bookmarkEnd w:id="398"/>
    </w:p>
    <w:bookmarkEnd w:id="399"/>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widowControl/>
        <w:spacing w:before="80" w:after="80" w:line="360" w:lineRule="auto"/>
        <w:ind w:firstLine="424" w:firstLineChars="177"/>
        <w:rPr>
          <w:rFonts w:asciiTheme="minorEastAsia" w:hAnsiTheme="minorEastAsia" w:eastAsiaTheme="minorEastAsia"/>
          <w:sz w:val="24"/>
        </w:rPr>
      </w:pPr>
      <w:bookmarkStart w:id="400" w:name="_Toc337558756"/>
      <w:bookmarkStart w:id="401" w:name="_Toc351203530"/>
      <w:r>
        <w:rPr>
          <w:rFonts w:asciiTheme="minorEastAsia" w:hAnsiTheme="minorEastAsia" w:eastAsiaTheme="minorEastAsia"/>
          <w:sz w:val="24"/>
        </w:rPr>
        <w:t>（3）监理人的指</w:t>
      </w:r>
      <w:bookmarkEnd w:id="400"/>
      <w:r>
        <w:rPr>
          <w:rFonts w:asciiTheme="minorEastAsia" w:hAnsiTheme="minorEastAsia" w:eastAsiaTheme="minorEastAsia"/>
          <w:sz w:val="24"/>
        </w:rPr>
        <w:t>示</w:t>
      </w:r>
      <w:bookmarkEnd w:id="401"/>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8.2（4）款〔商定或确定〕约定应由总监理工程师作出确定的权力授权或委托给其他监理人员。</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承包人对监理人发出的指示有疑问的，应向监理人提出书面异议，监理人应在48小时内对该指示予以确认、更改或撤销，监理人逾期未回复的，承包人有权拒绝执行上述指示。</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监理人对承包人的任何工作、工程或其采用的材料和工程设备未在约定的或合理期限内提出意见的，视为批准，但不免除或减轻承包人对该工作、工程、材料、工程设备等应承担的责任和义务。</w:t>
      </w:r>
    </w:p>
    <w:p>
      <w:pPr>
        <w:widowControl/>
        <w:spacing w:before="80" w:after="80" w:line="360" w:lineRule="auto"/>
        <w:ind w:firstLine="424" w:firstLineChars="177"/>
        <w:rPr>
          <w:rFonts w:asciiTheme="minorEastAsia" w:hAnsiTheme="minorEastAsia" w:eastAsiaTheme="minorEastAsia"/>
          <w:sz w:val="24"/>
        </w:rPr>
      </w:pPr>
      <w:bookmarkStart w:id="402" w:name="_Toc351203531"/>
      <w:bookmarkStart w:id="403" w:name="_Toc296503057"/>
      <w:bookmarkStart w:id="404" w:name="_Toc337558757"/>
      <w:bookmarkStart w:id="405" w:name="_Toc296346558"/>
      <w:r>
        <w:rPr>
          <w:rFonts w:asciiTheme="minorEastAsia" w:hAnsiTheme="minorEastAsia" w:eastAsiaTheme="minorEastAsia"/>
          <w:sz w:val="24"/>
        </w:rPr>
        <w:t>（4）商定或确定</w:t>
      </w:r>
      <w:bookmarkEnd w:id="402"/>
    </w:p>
    <w:bookmarkEnd w:id="403"/>
    <w:bookmarkEnd w:id="404"/>
    <w:bookmarkEnd w:id="405"/>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合同当事人进行商定或确定时，总监理工程师应当会同合同当事人尽量通过协商达成一致，不能达成一致的，由总监理工程师按照合同约定审慎做出公正的确定。</w:t>
      </w:r>
    </w:p>
    <w:p>
      <w:pPr>
        <w:widowControl/>
        <w:spacing w:before="80" w:after="80" w:line="360" w:lineRule="auto"/>
        <w:ind w:firstLine="424" w:firstLineChars="177"/>
        <w:rPr>
          <w:rFonts w:asciiTheme="minorEastAsia" w:hAnsiTheme="minorEastAsia" w:eastAsiaTheme="minorEastAsia"/>
          <w:sz w:val="20"/>
          <w:szCs w:val="20"/>
        </w:rPr>
      </w:pPr>
      <w:r>
        <w:rPr>
          <w:rFonts w:asciiTheme="minorEastAsia" w:hAnsiTheme="minorEastAsia" w:eastAsiaTheme="minorEastAsia"/>
          <w:sz w:val="24"/>
        </w:rPr>
        <w:t>总监理工程师应将确定以书面形式通知发包人和承包人，并附详细依据。合同当事人对总监理工程师的确定没有异议的，按照总监理工程师的确定执行。任何一方合同当事人有异议，按照第26条〔争议解决〕约定处理。争议解决前，合同当事人暂按总监理工程师的确定执行；争议解决后，争议解决的结果与总监理工程师的确定不一致的，按照争议解决的结果执行，由此造成的损失由责任人承担。</w:t>
      </w:r>
      <w:r>
        <w:rPr>
          <w:rFonts w:asciiTheme="minorEastAsia" w:hAnsiTheme="minorEastAsia" w:eastAsiaTheme="minorEastAsia"/>
          <w:sz w:val="24"/>
          <w:u w:val="single"/>
        </w:rPr>
        <w:t xml:space="preserve"> </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8.3项目施工和设备采购</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8.3.1项目承包商的选择</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乙方应依法选择以下承包商：</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sz w:val="24"/>
        </w:rPr>
        <w:t>□</w:t>
      </w:r>
      <w:r>
        <w:rPr>
          <w:rFonts w:asciiTheme="minorEastAsia" w:hAnsiTheme="minorEastAsia" w:eastAsiaTheme="minorEastAsia"/>
          <w:kern w:val="0"/>
          <w:sz w:val="24"/>
        </w:rPr>
        <w:t>工程总承包商；</w:t>
      </w:r>
    </w:p>
    <w:p>
      <w:pPr>
        <w:spacing w:before="80" w:after="80" w:line="360" w:lineRule="auto"/>
        <w:ind w:firstLine="424" w:firstLineChars="177"/>
        <w:rPr>
          <w:rFonts w:asciiTheme="minorEastAsia" w:hAnsiTheme="minorEastAsia" w:eastAsiaTheme="minorEastAsia"/>
          <w:kern w:val="0"/>
          <w:sz w:val="24"/>
        </w:rPr>
      </w:pPr>
      <w:r>
        <w:rPr>
          <w:rFonts w:hint="eastAsia" w:ascii="MS Mincho" w:hAnsi="MS Mincho" w:eastAsia="MS Mincho" w:cs="MS Mincho"/>
          <w:sz w:val="24"/>
        </w:rPr>
        <w:t>☑</w:t>
      </w:r>
      <w:r>
        <w:rPr>
          <w:rFonts w:asciiTheme="minorEastAsia" w:hAnsiTheme="minorEastAsia" w:eastAsiaTheme="minorEastAsia"/>
          <w:kern w:val="0"/>
          <w:sz w:val="24"/>
        </w:rPr>
        <w:t>施工总承包商；</w:t>
      </w:r>
    </w:p>
    <w:p>
      <w:pPr>
        <w:spacing w:before="80" w:after="80" w:line="360" w:lineRule="auto"/>
        <w:ind w:firstLine="424" w:firstLineChars="177"/>
        <w:rPr>
          <w:rFonts w:asciiTheme="minorEastAsia" w:hAnsiTheme="minorEastAsia" w:eastAsiaTheme="minorEastAsia"/>
          <w:kern w:val="0"/>
          <w:sz w:val="24"/>
        </w:rPr>
      </w:pPr>
      <w:r>
        <w:rPr>
          <w:rFonts w:hint="eastAsia" w:ascii="MS Mincho" w:hAnsi="MS Mincho" w:eastAsia="MS Mincho" w:cs="MS Mincho"/>
          <w:sz w:val="24"/>
        </w:rPr>
        <w:t>☑</w:t>
      </w:r>
      <w:r>
        <w:rPr>
          <w:rFonts w:asciiTheme="minorEastAsia" w:hAnsiTheme="minorEastAsia" w:eastAsiaTheme="minorEastAsia"/>
          <w:kern w:val="0"/>
          <w:sz w:val="24"/>
        </w:rPr>
        <w:t>设备和材料供应商；</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sz w:val="24"/>
        </w:rPr>
        <w:t>□</w:t>
      </w:r>
      <w:r>
        <w:rPr>
          <w:rFonts w:asciiTheme="minorEastAsia" w:hAnsiTheme="minorEastAsia" w:eastAsiaTheme="minorEastAsia"/>
          <w:kern w:val="0"/>
          <w:sz w:val="24"/>
        </w:rPr>
        <w:t>其他承包商：</w:t>
      </w:r>
      <w:r>
        <w:rPr>
          <w:rFonts w:asciiTheme="minorEastAsia" w:hAnsiTheme="minorEastAsia" w:eastAsiaTheme="minorEastAsia"/>
          <w:kern w:val="0"/>
          <w:sz w:val="24"/>
          <w:u w:val="single"/>
        </w:rPr>
        <w:t xml:space="preserve">                                                   </w:t>
      </w:r>
    </w:p>
    <w:p>
      <w:pPr>
        <w:widowControl/>
        <w:rPr>
          <w:rFonts w:asciiTheme="minorEastAsia" w:hAnsiTheme="minorEastAsia" w:eastAsiaTheme="minorEastAsia"/>
          <w:kern w:val="0"/>
          <w:sz w:val="20"/>
          <w:szCs w:val="20"/>
        </w:rPr>
      </w:pPr>
      <w:r>
        <w:rPr>
          <w:rFonts w:asciiTheme="minorEastAsia" w:hAnsiTheme="minorEastAsia" w:eastAsiaTheme="minorEastAsia"/>
          <w:sz w:val="24"/>
          <w:u w:val="single"/>
        </w:rPr>
        <w:t xml:space="preserve">                                                                     </w:t>
      </w:r>
    </w:p>
    <w:p>
      <w:pPr>
        <w:widowControl/>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其中，本项目建设过程中所涉及的【</w:t>
      </w:r>
      <w:r>
        <w:rPr>
          <w:rFonts w:hint="eastAsia" w:ascii="MS Mincho" w:hAnsi="MS Mincho" w:eastAsia="MS Mincho" w:cs="MS Mincho"/>
          <w:sz w:val="24"/>
        </w:rPr>
        <w:t>☑</w:t>
      </w:r>
      <w:r>
        <w:rPr>
          <w:rFonts w:asciiTheme="minorEastAsia" w:hAnsiTheme="minorEastAsia" w:eastAsiaTheme="minorEastAsia"/>
          <w:sz w:val="24"/>
        </w:rPr>
        <w:t>工程建设；</w:t>
      </w:r>
      <w:r>
        <w:rPr>
          <w:rFonts w:hint="eastAsia" w:ascii="MS Mincho" w:hAnsi="MS Mincho" w:eastAsia="MS Mincho" w:cs="MS Mincho"/>
          <w:sz w:val="24"/>
        </w:rPr>
        <w:t>☑</w:t>
      </w:r>
      <w:r>
        <w:rPr>
          <w:rFonts w:asciiTheme="minorEastAsia" w:hAnsiTheme="minorEastAsia" w:eastAsiaTheme="minorEastAsia"/>
          <w:sz w:val="24"/>
        </w:rPr>
        <w:t>设备采购；□服务】外包的内容，如符合《招标投标法实施条例》第九条规定，中选社会资本依法能够自行【</w:t>
      </w:r>
      <w:r>
        <w:rPr>
          <w:rFonts w:hint="eastAsia" w:ascii="MS Mincho" w:hAnsi="MS Mincho" w:eastAsia="MS Mincho" w:cs="MS Mincho"/>
          <w:sz w:val="24"/>
        </w:rPr>
        <w:t>☑</w:t>
      </w:r>
      <w:r>
        <w:rPr>
          <w:rFonts w:asciiTheme="minorEastAsia" w:hAnsiTheme="minorEastAsia" w:eastAsiaTheme="minorEastAsia"/>
          <w:sz w:val="24"/>
        </w:rPr>
        <w:t>建设；□生产；□提供服务】的，可以不再进行招标。</w:t>
      </w:r>
    </w:p>
    <w:p>
      <w:pPr>
        <w:widowControl/>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项目工程建设所需要的一切临时性或永久性的设备、材料及其他物品均由乙方自行采购，但应符合相应的标准、规范及本合同的约定，由项目公司按照相关约定支付相应款项。在施工工程中安装的所有设备必须是全新的合格产品，使用的所有材料必须经检验是合格的。</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8.3.2工程建设费用的计价规则</w:t>
      </w:r>
    </w:p>
    <w:p>
      <w:pPr>
        <w:widowControl/>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sz w:val="24"/>
        </w:rPr>
        <w:t>双方就本项目所涉工程建设费用的计价规则，约定如下：</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（1）计量方式</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1、本工程经过双方确认的施工图、设计变更、图纸会审、会议纪要、工程联系函、工程签证单、现场确认单等及相关的标准、规范、技术资料。</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2、《建设工程工程量清单计价规范》GB50500-2013、《建设工程工程量计算规范（GB50854～50862—2013）广西壮族自治区实施细则》、《房屋建筑与装饰工程工程量计算规范》（GB50854—2013）、《广西壮族自治区建设工程造价管理办法》（广西壮族自治区人民政府令第43号）。</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（2）计价方式</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1、工程建安费用依据：①有定额可套的：套用2013年版《广西壮族自治区建筑装饰装修工程消耗量定额》、2016年版《广西壮族自治区建设工程费用定额》、2013年版《广西壮族自治区建筑装饰工程人工材料配合比机械台班基期价》、2015年版《广西壮族自治区安装工程消耗量定额》、2014年版《广西壮族自治区市政工程消耗量定额》、2013年版《广西壮族自治区园林绿化及仿古建筑工程消耗量定额》、《建设工程工程量清单计价规范》广西壮族自治区实施细则(GB50500-2013)、《建设工程工程量计价规范》广西壮族自治区实施细则(GB50854~GB50862-2013)(修订本)，上述定额的使用均与其配套的自治区及贵港市政府、行政主管部门等有关预（结）算文件规定计算。费用定额中属于有区间的费率均按中值计取，其余的费率均按费率定额及有关规定计取。无定额可套的，由甲方、乙方根据市场价格协商后确认计算。《建设工程工程量清单计价规范》（GB50500-2013）、《GB50500-2013&lt;建设工程工程量清单计价规范&gt;广西壮族自治区实施细则》、《（GB50854~50862-2013）&lt;建设工程工程量计算规范&gt;广西壮族自治区实施细则（修订版）》、2013年《广西壮族自治区建筑装饰装修工程消耗量定额》、2015年版《广西壮族自治区安装工程消耗量定额》、2014年《广西壮族自治区市政工程消耗量定额》及配套费用定额、《关于调整建设工程定额人工费及有关费率的通知》（桂建标[2018]19号）、《关于建筑业实施营业税改征增值税后广西壮族自治区建设工程计价依据调整的通知》（桂建标桂建标〔2018〕14号等有关规定及现行有关配套费率、人工和机械台班费调整规定。上述文件如有更新，按最新文件执行，最终按经市财政评审的竣工结算及投标报价的建安工程费下浮率进行调整。</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2、材料设备价格的取定：按每个独立单体工程施工期间《贵港市建设工程造价信息》算术平均值计算，若上述信息价均没有的材料、设备及特殊材料和构件根据市场询价甲、乙双方确认计算。</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3、合同履行期间如国家、自治区、工程所在地政府或行政主管部门调整人工、材料、机械台班等费用及其他调价文件的，按相关文件进行调整。</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4、施工过程中，因铺设管网需破除原有路面并恢复原状、管道铺设经过林地及村民房屋引起的额外施工及补偿费用、为确保场地满足施工要求而硬化的临时道路等与施工有关的措施费，根据现场实际发生的工程量，经甲乙双方确认，按本款计价方式进行确认。</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5、费用控制及调整</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（1）投资额的控制</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项目建设总投资以市发改</w:t>
      </w:r>
      <w:r>
        <w:rPr>
          <w:rFonts w:hint="eastAsia" w:asciiTheme="minorEastAsia" w:hAnsiTheme="minorEastAsia" w:eastAsiaTheme="minorEastAsia"/>
          <w:sz w:val="24"/>
          <w:u w:val="single"/>
        </w:rPr>
        <w:t>委</w:t>
      </w:r>
      <w:r>
        <w:rPr>
          <w:rFonts w:asciiTheme="minorEastAsia" w:hAnsiTheme="minorEastAsia" w:eastAsiaTheme="minorEastAsia"/>
          <w:sz w:val="24"/>
          <w:u w:val="single"/>
        </w:rPr>
        <w:t>审批的初步设计概算作为上限控制。建筑安装工程工程费用按市财政部门审核通过的施工图预算单价（即财审设备价或招标控制价）乘以投标报价下浮率计算（如有）；设备购置费按市财政部门依据市场询价审核通过的施工图预算设备单价（即财审设备价或招标控制价）乘以投标报价下浮率（如有）作为设备的最终结算价格。），数量按批复的施工图设计文件及经甲乙双方和本项目监理单位确认的实际工程数量为准。施工图预算交由市财政投资评审中心或第三方中介机构审核，应在工程设计出图后45天内完成。</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若投资控制价＜批复的竣工决算＜投资控制价×110%，按以下约定执行：</w:t>
      </w:r>
      <w:r>
        <w:rPr>
          <w:rFonts w:hint="eastAsia" w:asciiTheme="minorEastAsia" w:hAnsiTheme="minorEastAsia" w:eastAsiaTheme="minorEastAsia"/>
          <w:sz w:val="24"/>
          <w:u w:val="single"/>
        </w:rPr>
        <w:t xml:space="preserve"> </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1）超出部分是社会资本方原因造成的，超出部分由社会资本方自行承担，不纳入政府可行性缺口补助的计算依据；超出部分是</w:t>
      </w:r>
      <w:r>
        <w:rPr>
          <w:rFonts w:hint="eastAsia" w:asciiTheme="minorEastAsia" w:hAnsiTheme="minorEastAsia" w:eastAsiaTheme="minorEastAsia"/>
          <w:sz w:val="24"/>
          <w:u w:val="single"/>
        </w:rPr>
        <w:t>非由会资本方原因引起、</w:t>
      </w:r>
      <w:r>
        <w:rPr>
          <w:rFonts w:asciiTheme="minorEastAsia" w:hAnsiTheme="minorEastAsia" w:eastAsiaTheme="minorEastAsia"/>
          <w:sz w:val="24"/>
          <w:u w:val="single"/>
        </w:rPr>
        <w:t>由政府方提出的变更或由政府主导实施的前期工作费用及征地费用等超出可研编制范围，出现不可抗力风险、材料调差以及重大设计变更、未探明地质条件等导致项目投资额的变化，据实纳入竣工决算范围，超出部分金额由政府从其他渠道资金补足或调整可行性缺口补助金额解决。</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2）若批复的竣工决算＜投资控制价，以第三方全过程造价审计单位、项目公司、实施机构、出资方代表四方确定且审计监督的结果为准。</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工程费用结算、项目决算按贵港市政府投资工程结算、决算的有关规定执行，最终以经审定后，财政部门批复的竣工决算金额为准。</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工程建设其他费用包括但不限于建设用地费用、前期工作咨询服务费、可研、环评、水保、勘察设计费、建设管理费、PPP咨询费等费用，以经政府方批准的各项合同的金额为准，计入项目总投资。</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（2）投资额的调整</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1）调整因素</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①工程变更导致工程费用增减</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②主要材料调差</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③政府方违约导致的工程费增加</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④因法律、法规、国家、自治区出台政策及规定发生变化及不可抗力事件导致的工程费增减。</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⑤合同约定的其他调整因素。</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2）调整方法</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①工程量的确认和工程变更造成的造价调整必须取得甲方、监理单位审核确认，方可作为项目投资额调整依据。因项目公司原因引起的工程量增加，超出投资预算的成本费用由乙方自行承担。</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②主材价格变化在基准价5%以内（包括5%）不予调整，超出基准价5%可调整主材单价。基准价为施工图预算采用的当期《贵港市建设工程造价信息》、《广西壮族自治区建设工程造价信息》。</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③人工单价及各种费率发生政策性调整时，按照广西壮族自治区建设工程造价管理部门发布的工程有关最新文件进行调整。</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④若遇价格上涨时，因乙方原因造成施工进度滞后则不作调整；若遇价格下跌时，非乙方原因造成施工进度滞后则不作调整。</w:t>
      </w:r>
    </w:p>
    <w:p>
      <w:pPr>
        <w:spacing w:before="80" w:after="80" w:line="360" w:lineRule="auto"/>
        <w:ind w:firstLine="426" w:firstLineChars="177"/>
        <w:outlineLvl w:val="3"/>
        <w:rPr>
          <w:rFonts w:asciiTheme="minorEastAsia" w:hAnsiTheme="minorEastAsia" w:eastAsiaTheme="minorEastAsia"/>
          <w:kern w:val="0"/>
          <w:sz w:val="24"/>
        </w:rPr>
      </w:pPr>
      <w:r>
        <w:rPr>
          <w:rFonts w:asciiTheme="minorEastAsia" w:hAnsiTheme="minorEastAsia" w:eastAsiaTheme="minorEastAsia"/>
          <w:b/>
          <w:sz w:val="24"/>
        </w:rPr>
        <w:t>8.3.3项目设施的技术更新、改造或重置</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8.3.3.1 项目设施的技术更新、改造或重置费用及支付</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大修、重置前一年的8月，甲乙双方一同对厂区的设施、设备进行全面的调查、评估、检测，明确大修实施的事项、内容及范围等。根据适用法律规定或经甲、乙双方协商一致，如由甲方负责项目设施技术更新、改造或重置的，乙方配合甲方完成相关工作；如由乙方负责项目设施技术更新、改造或重置的，乙方应于大修、重置前一年的10月提交更新、改造或重置计划（含预算），报经甲方书面同意后，甲方根据财政核定后的大修/重置金额，支付大修/重置费用后乙方按方案要求实施大修/重置。</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（2）双方对于项目设施的技术更新、改造或重置费用的计算方式，具体约定如下：</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在合作期（暂按自然年21年计）第8、14、20年对本项目供水厂、污水处理厂、设施设备等进行3次大修/重置，大修费根据《给水排水设计手册》（第10册技术经济）取费：</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次大修费 = 固定资产原值×费率</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其中：</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供水厂工业供水：每次大修费按2.2%/年×6.33年＝13.93%的费率计算；</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供水厂生活供水：每次大修费按2.2%/年×6.33年＝13.93%的费率计算；</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污水厂：每次大修费按2.4%/年×6.33年＝15.20%的费率计算。</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大修费考虑调价因素，根据第12.3条的相关条款，参考同期累计调价系数进行调整。</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8.3.3.2 大修/重置范围</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（1）大修费仅包括厂区内设备、设施更新费用，不包括非本项目建设范围的厂外的管网设施（含提升泵站设施）、非本项目所配置的变压器等供电设施的维修更新等费用。</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（2）如政府方要求将非本项目建设范围内的管网（或其他内容）纳入本项目运营维护范围的，其大修工作，由社会资本方上报，由政府方指定相关部门或企业负责维修并支付相关费用。</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8.3.3.3 移交前大修/重置相关要求</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大修重置方案必须提交给贵港市城市管理监督局，并且经过双方共同确认大修重置方案后才能进行大修重置。大修/重置后，由甲方和项目公司聘请具有资质的中介机构对项目技术、设备状况进行检测，作为后续移交依据。</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时间要求：移交前大修/重置要求在移交日12个月前对本工程进行一次计划内的恢复性全面大修/重置，以确保项目设施在移交时能够良好的运转。此大修不迟于移交日之前6个月完成。</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大修/重置标准：大修/重置必须使所有设施、设备达到相关规范要求，所有基础、供水厂、污水处理厂、泵站、设备、排污体系等满足正常使用，所有设备工况良好，满足性能、工艺参数要求满足设计要求。所有建筑物外观整洁，设施完好，结构无损坏。经政府验收后，按项目设施清单移交。</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移交标准要求：甲方组建项目移交工作组，根据项目合同约定与项目公司确认移交情形和补偿方式，移交前半年，制定资产评估和性能测试方案。要求固定资产和设施完好、能正常运营、无债务、无设定抵押担保。甲方或甲乙双方联合聘请具有资质的中介机构对项目技术状况进行检测，并经工程质量监督机构认定后，设施设备正常运行率达到100%，方可作为移交依据。</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移交日前12个月由项目公司提出大修/重置方案，提交给甲方，并且经过双方共同确认大修/重置方案后才能进行大修/重置。项目公司按照大修/重置方案进行大修/重置，如能达到规定的标准或虽不能达到规定的标准，但由项目公司负责整改维修后能达到规定标准的，可支付剩余运营补贴。</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 xml:space="preserve">8.3.3.4 </w:t>
      </w:r>
      <w:bookmarkStart w:id="406" w:name="_Toc428949248"/>
      <w:bookmarkStart w:id="407" w:name="_Toc20302"/>
      <w:bookmarkStart w:id="408" w:name="_Toc21904"/>
      <w:bookmarkStart w:id="409" w:name="_Toc495339360"/>
      <w:bookmarkStart w:id="410" w:name="_Toc443254873"/>
      <w:bookmarkStart w:id="411" w:name="_Toc29293"/>
      <w:bookmarkStart w:id="412" w:name="_Toc445329986"/>
      <w:bookmarkStart w:id="413" w:name="_Toc10859"/>
      <w:bookmarkStart w:id="414" w:name="_Toc30458"/>
      <w:bookmarkStart w:id="415" w:name="_Toc454460896"/>
      <w:r>
        <w:rPr>
          <w:rFonts w:asciiTheme="minorEastAsia" w:hAnsiTheme="minorEastAsia" w:eastAsiaTheme="minorEastAsia"/>
          <w:kern w:val="0"/>
          <w:sz w:val="24"/>
        </w:rPr>
        <w:t>更新改造和追加投资</w:t>
      </w:r>
      <w:bookmarkEnd w:id="406"/>
      <w:bookmarkEnd w:id="407"/>
      <w:bookmarkEnd w:id="408"/>
      <w:bookmarkEnd w:id="409"/>
      <w:bookmarkEnd w:id="410"/>
      <w:bookmarkEnd w:id="411"/>
      <w:bookmarkEnd w:id="412"/>
      <w:bookmarkEnd w:id="413"/>
      <w:bookmarkEnd w:id="414"/>
      <w:bookmarkEnd w:id="415"/>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在本项目运营期内，若甲方根据国家及省市相关规定、规划或当地实际的运营情况，或非乙方原因造成污水处理厂进厂水质、水量超标或甲方根据国家、自治区及贵港市相关规定，要求项目公司就本合同项下所执行的产出标准进行相应调整或者项目需要进行扩建，项目公司应全力配合完成工程改造、设备购置等相关工作，要求项目公司就本合同所执行的产出标准或进水指标进行相应调整，项目公司应全力配合完成工程改造、设备购置等相关事项，但因此而增加的投资费用及运营成本，经市财政局审核后，项目公司有权选择如下方式获得补偿：</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（1）申请临时调整政府补贴的方式获得相应补偿；</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（2）投资支出由政府通过财政补贴的方式予以直接补偿；</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（3）双方认可的其他方式进行补偿。</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2、若运营期内，项目公司根据自身经营需要对项目改建或改造，应在甲方授权的基础上，按照相关政策规定进行，该部分投资由项目公司支付，不计入本项目总投资，甲方对该部分投资不负有补偿、补贴义务。</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施工投资控制主要由乙方负责，最终以审计结算为准。若因甲方提高设计等级或增减建设范畴、重大勘察失误、重大设计变更等原因造成投资增加的，将据实调整。由施工等乙方原因导致实际造价增加，由乙方负责。因不可抗力导致本项目总投资超支，由本合同双方协商达成一致，各自承担相应的责任。</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8.3.4项目建设内容及要求</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（1）项目建设内容</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由乙方负责建设的项目设施，具体如下：</w:t>
      </w:r>
    </w:p>
    <w:p>
      <w:pPr>
        <w:spacing w:before="80" w:after="80" w:line="360" w:lineRule="auto"/>
        <w:ind w:firstLine="424" w:firstLineChars="177"/>
        <w:rPr>
          <w:rFonts w:asciiTheme="minorEastAsia" w:hAnsiTheme="minorEastAsia" w:eastAsiaTheme="minorEastAsia"/>
          <w:kern w:val="0"/>
          <w:sz w:val="24"/>
          <w:u w:val="single"/>
        </w:rPr>
      </w:pPr>
      <w:r>
        <w:rPr>
          <w:rFonts w:asciiTheme="minorEastAsia" w:hAnsiTheme="minorEastAsia" w:eastAsiaTheme="minorEastAsia"/>
          <w:kern w:val="0"/>
          <w:sz w:val="24"/>
          <w:u w:val="single"/>
        </w:rPr>
        <w:t>（1）给水厂1座，近期（2025年）供水规模5.35万m</w:t>
      </w:r>
      <w:r>
        <w:rPr>
          <w:rFonts w:asciiTheme="minorEastAsia" w:hAnsiTheme="minorEastAsia" w:eastAsiaTheme="minorEastAsia"/>
          <w:kern w:val="0"/>
          <w:sz w:val="24"/>
          <w:u w:val="single"/>
          <w:vertAlign w:val="superscript"/>
        </w:rPr>
        <w:t>3</w:t>
      </w:r>
      <w:r>
        <w:rPr>
          <w:rFonts w:asciiTheme="minorEastAsia" w:hAnsiTheme="minorEastAsia" w:eastAsiaTheme="minorEastAsia"/>
          <w:kern w:val="0"/>
          <w:sz w:val="24"/>
          <w:u w:val="single"/>
        </w:rPr>
        <w:t>/d，其中工业供水5万m</w:t>
      </w:r>
      <w:r>
        <w:rPr>
          <w:rFonts w:asciiTheme="minorEastAsia" w:hAnsiTheme="minorEastAsia" w:eastAsiaTheme="minorEastAsia"/>
          <w:kern w:val="0"/>
          <w:sz w:val="24"/>
          <w:u w:val="single"/>
          <w:vertAlign w:val="superscript"/>
        </w:rPr>
        <w:t>3</w:t>
      </w:r>
      <w:r>
        <w:rPr>
          <w:rFonts w:asciiTheme="minorEastAsia" w:hAnsiTheme="minorEastAsia" w:eastAsiaTheme="minorEastAsia"/>
          <w:kern w:val="0"/>
          <w:sz w:val="24"/>
          <w:u w:val="single"/>
        </w:rPr>
        <w:t>/d，配套建设工业取水泵站1座、</w:t>
      </w:r>
      <w:r>
        <w:rPr>
          <w:rFonts w:asciiTheme="minorEastAsia" w:hAnsiTheme="minorEastAsia" w:eastAsiaTheme="minorEastAsia"/>
          <w:kern w:val="0"/>
          <w:sz w:val="24"/>
          <w:u w:val="single"/>
          <w:lang w:val="en-GB"/>
        </w:rPr>
        <w:t>取水管</w:t>
      </w:r>
      <w:r>
        <w:rPr>
          <w:rFonts w:asciiTheme="minorEastAsia" w:hAnsiTheme="minorEastAsia" w:eastAsiaTheme="minorEastAsia"/>
          <w:kern w:val="0"/>
          <w:sz w:val="24"/>
          <w:u w:val="single"/>
        </w:rPr>
        <w:t>4.77km；生活供水0.35万m</w:t>
      </w:r>
      <w:r>
        <w:rPr>
          <w:rFonts w:asciiTheme="minorEastAsia" w:hAnsiTheme="minorEastAsia" w:eastAsiaTheme="minorEastAsia"/>
          <w:kern w:val="0"/>
          <w:sz w:val="24"/>
          <w:u w:val="single"/>
          <w:vertAlign w:val="superscript"/>
        </w:rPr>
        <w:t>3</w:t>
      </w:r>
      <w:r>
        <w:rPr>
          <w:rFonts w:asciiTheme="minorEastAsia" w:hAnsiTheme="minorEastAsia" w:eastAsiaTheme="minorEastAsia"/>
          <w:kern w:val="0"/>
          <w:sz w:val="24"/>
          <w:u w:val="single"/>
        </w:rPr>
        <w:t>/d，配套建设生活转输泵站1座，取水管10.34km。</w:t>
      </w:r>
    </w:p>
    <w:p>
      <w:pPr>
        <w:spacing w:before="80" w:after="80" w:line="360" w:lineRule="auto"/>
        <w:ind w:firstLine="424" w:firstLineChars="177"/>
        <w:rPr>
          <w:rFonts w:asciiTheme="minorEastAsia" w:hAnsiTheme="minorEastAsia" w:eastAsiaTheme="minorEastAsia"/>
          <w:kern w:val="0"/>
          <w:sz w:val="24"/>
          <w:u w:val="single"/>
        </w:rPr>
      </w:pPr>
      <w:r>
        <w:rPr>
          <w:rFonts w:asciiTheme="minorEastAsia" w:hAnsiTheme="minorEastAsia" w:eastAsiaTheme="minorEastAsia"/>
          <w:kern w:val="0"/>
          <w:sz w:val="24"/>
          <w:u w:val="single"/>
        </w:rPr>
        <w:t>给水厂占地40.7亩（近期），远期用地为规划预留。大圩镇转输泵站占地0.18亩，工业取水泵站占地2.22亩。</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u w:val="single"/>
        </w:rPr>
        <w:t>（2）建设污水处理厂1座，近期（2025年）处理规模2万m</w:t>
      </w:r>
      <w:r>
        <w:rPr>
          <w:rFonts w:asciiTheme="minorEastAsia" w:hAnsiTheme="minorEastAsia" w:eastAsiaTheme="minorEastAsia"/>
          <w:kern w:val="0"/>
          <w:sz w:val="24"/>
          <w:u w:val="single"/>
          <w:vertAlign w:val="superscript"/>
        </w:rPr>
        <w:t>3</w:t>
      </w:r>
      <w:r>
        <w:rPr>
          <w:rFonts w:asciiTheme="minorEastAsia" w:hAnsiTheme="minorEastAsia" w:eastAsiaTheme="minorEastAsia"/>
          <w:kern w:val="0"/>
          <w:sz w:val="24"/>
          <w:u w:val="single"/>
        </w:rPr>
        <w:t>/d，配套建设尾水输送管0.25km。污水处理厂占地47.5亩（近期），远期用地规划预留。</w:t>
      </w:r>
      <w:r>
        <w:rPr>
          <w:rFonts w:asciiTheme="minorEastAsia" w:hAnsiTheme="minorEastAsia" w:eastAsiaTheme="minorEastAsia"/>
          <w:kern w:val="0"/>
          <w:sz w:val="24"/>
        </w:rPr>
        <w:t xml:space="preserve"> </w:t>
      </w:r>
    </w:p>
    <w:p>
      <w:pPr>
        <w:widowControl/>
        <w:rPr>
          <w:rFonts w:asciiTheme="minorEastAsia" w:hAnsiTheme="minorEastAsia" w:eastAsiaTheme="minorEastAsia"/>
          <w:kern w:val="0"/>
          <w:sz w:val="20"/>
          <w:szCs w:val="20"/>
        </w:rPr>
      </w:pPr>
      <w:r>
        <w:rPr>
          <w:rFonts w:asciiTheme="minorEastAsia" w:hAnsiTheme="minorEastAsia" w:eastAsiaTheme="minorEastAsia"/>
          <w:sz w:val="24"/>
          <w:u w:val="single"/>
        </w:rPr>
        <w:t xml:space="preserve">                                                                     </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（2）乙方应根据下列规定实施工程建设：</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a．适用法律；</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b．经批复的初步设计和施工图设计；</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c．甲、乙双方确认的工程质量保证和质量控制方案；</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d．本合同下对项目建设的其他所有要求。</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8.3.5建设期限</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（1）乙方应严格按照本合同约定的时间计划安排施工，并在建设期内向甲方提交每月建设工程进度报告，该报告应合理、详细的说明已完成的和进行中的工程建设情况以及甲方合理要求的其他相关事项。</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（2）</w:t>
      </w:r>
      <w:bookmarkStart w:id="416" w:name="_Hlk525535301"/>
      <w:r>
        <w:rPr>
          <w:rFonts w:asciiTheme="minorEastAsia" w:hAnsiTheme="minorEastAsia" w:eastAsiaTheme="minorEastAsia"/>
          <w:kern w:val="0"/>
          <w:sz w:val="24"/>
        </w:rPr>
        <w:t>工程进度如果因不可归责于乙方的下列情形受阻</w:t>
      </w:r>
      <w:bookmarkEnd w:id="416"/>
      <w:r>
        <w:rPr>
          <w:rFonts w:asciiTheme="minorEastAsia" w:hAnsiTheme="minorEastAsia" w:eastAsiaTheme="minorEastAsia"/>
          <w:kern w:val="0"/>
          <w:sz w:val="24"/>
        </w:rPr>
        <w:t>，建设期可相应顺延：</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a. 发生不可抗力事件；</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b. 因甲方原因导致的延期；</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c. 法律变更、政策性停工或其他政府部门原因导致的延误；</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kern w:val="0"/>
          <w:sz w:val="24"/>
        </w:rPr>
        <w:t>d. 由于前期建设手续未完成而造成的延误，及</w:t>
      </w:r>
      <w:r>
        <w:rPr>
          <w:rFonts w:asciiTheme="minorEastAsia" w:hAnsiTheme="minorEastAsia" w:eastAsiaTheme="minorEastAsia"/>
          <w:sz w:val="24"/>
        </w:rPr>
        <w:t>由于政府部门在受理乙方或甲方报批申请后审批迟延而造成延误；</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e.</w:t>
      </w:r>
      <w:r>
        <w:rPr>
          <w:rFonts w:asciiTheme="minorEastAsia" w:hAnsiTheme="minorEastAsia" w:eastAsiaTheme="minorEastAsia"/>
          <w:sz w:val="24"/>
        </w:rPr>
        <w:t xml:space="preserve"> </w:t>
      </w:r>
      <w:r>
        <w:rPr>
          <w:rFonts w:asciiTheme="minorEastAsia" w:hAnsiTheme="minorEastAsia" w:eastAsiaTheme="minorEastAsia"/>
          <w:kern w:val="0"/>
          <w:sz w:val="24"/>
        </w:rPr>
        <w:t>地质情况复杂的，如</w:t>
      </w:r>
      <w:r>
        <w:fldChar w:fldCharType="begin"/>
      </w:r>
      <w:r>
        <w:instrText xml:space="preserve"> HYPERLINK "http://www.so.com/s?q=%E5%9C%B0%E8%B4%A8%E7%81%BE%E5%AE%B3&amp;ie=utf-8&amp;src=wenda_link" \t "_blank" </w:instrText>
      </w:r>
      <w:r>
        <w:fldChar w:fldCharType="separate"/>
      </w:r>
      <w:r>
        <w:rPr>
          <w:rFonts w:asciiTheme="minorEastAsia" w:hAnsiTheme="minorEastAsia" w:eastAsiaTheme="minorEastAsia"/>
          <w:kern w:val="0"/>
          <w:sz w:val="24"/>
        </w:rPr>
        <w:t>地质灾害</w:t>
      </w:r>
      <w:r>
        <w:rPr>
          <w:rFonts w:asciiTheme="minorEastAsia" w:hAnsiTheme="minorEastAsia" w:eastAsiaTheme="minorEastAsia"/>
          <w:kern w:val="0"/>
          <w:sz w:val="24"/>
        </w:rPr>
        <w:fldChar w:fldCharType="end"/>
      </w:r>
      <w:r>
        <w:rPr>
          <w:rFonts w:asciiTheme="minorEastAsia" w:hAnsiTheme="minorEastAsia" w:eastAsiaTheme="minorEastAsia"/>
          <w:kern w:val="0"/>
          <w:sz w:val="24"/>
        </w:rPr>
        <w:t>发育强烈；地形与地貌类型复杂；</w:t>
      </w:r>
      <w:r>
        <w:fldChar w:fldCharType="begin"/>
      </w:r>
      <w:r>
        <w:instrText xml:space="preserve"> HYPERLINK "http://www.so.com/s?q=%E5%9C%B0%E8%B4%A8%E6%9E%84%E9%80%A0&amp;ie=utf-8&amp;src=wenda_link" \t "_blank" </w:instrText>
      </w:r>
      <w:r>
        <w:fldChar w:fldCharType="separate"/>
      </w:r>
      <w:r>
        <w:rPr>
          <w:rFonts w:asciiTheme="minorEastAsia" w:hAnsiTheme="minorEastAsia" w:eastAsiaTheme="minorEastAsia"/>
          <w:kern w:val="0"/>
          <w:sz w:val="24"/>
        </w:rPr>
        <w:t>地质构造</w:t>
      </w:r>
      <w:r>
        <w:rPr>
          <w:rFonts w:asciiTheme="minorEastAsia" w:hAnsiTheme="minorEastAsia" w:eastAsiaTheme="minorEastAsia"/>
          <w:kern w:val="0"/>
          <w:sz w:val="24"/>
        </w:rPr>
        <w:fldChar w:fldCharType="end"/>
      </w:r>
      <w:r>
        <w:rPr>
          <w:rFonts w:asciiTheme="minorEastAsia" w:hAnsiTheme="minorEastAsia" w:eastAsiaTheme="minorEastAsia"/>
          <w:kern w:val="0"/>
          <w:sz w:val="24"/>
        </w:rPr>
        <w:t>复杂，岩性岩相变化大，</w:t>
      </w:r>
      <w:r>
        <w:fldChar w:fldCharType="begin"/>
      </w:r>
      <w:r>
        <w:instrText xml:space="preserve"> HYPERLINK "http://www.so.com/s?q=%E5%B2%A9%E5%9C%9F&amp;ie=utf-8&amp;src=wenda_link" \t "_blank" </w:instrText>
      </w:r>
      <w:r>
        <w:fldChar w:fldCharType="separate"/>
      </w:r>
      <w:r>
        <w:rPr>
          <w:rFonts w:asciiTheme="minorEastAsia" w:hAnsiTheme="minorEastAsia" w:eastAsiaTheme="minorEastAsia"/>
          <w:kern w:val="0"/>
          <w:sz w:val="24"/>
        </w:rPr>
        <w:t>岩土</w:t>
      </w:r>
      <w:r>
        <w:rPr>
          <w:rFonts w:asciiTheme="minorEastAsia" w:hAnsiTheme="minorEastAsia" w:eastAsiaTheme="minorEastAsia"/>
          <w:kern w:val="0"/>
          <w:sz w:val="24"/>
        </w:rPr>
        <w:fldChar w:fldCharType="end"/>
      </w:r>
      <w:r>
        <w:rPr>
          <w:rFonts w:asciiTheme="minorEastAsia" w:hAnsiTheme="minorEastAsia" w:eastAsiaTheme="minorEastAsia"/>
          <w:kern w:val="0"/>
          <w:sz w:val="24"/>
        </w:rPr>
        <w:t>体工程地质性质不良；工程地质、</w:t>
      </w:r>
      <w:r>
        <w:fldChar w:fldCharType="begin"/>
      </w:r>
      <w:r>
        <w:instrText xml:space="preserve"> HYPERLINK "http://www.so.com/s?q=%E6%B0%B4%E6%96%87%E5%9C%B0%E8%B4%A8%E6%9D%A1%E4%BB%B6&amp;ie=utf-8&amp;src=wenda_link" \t "_blank" </w:instrText>
      </w:r>
      <w:r>
        <w:fldChar w:fldCharType="separate"/>
      </w:r>
      <w:r>
        <w:rPr>
          <w:rFonts w:asciiTheme="minorEastAsia" w:hAnsiTheme="minorEastAsia" w:eastAsiaTheme="minorEastAsia"/>
          <w:kern w:val="0"/>
          <w:sz w:val="24"/>
        </w:rPr>
        <w:t>水文地质条件</w:t>
      </w:r>
      <w:r>
        <w:rPr>
          <w:rFonts w:asciiTheme="minorEastAsia" w:hAnsiTheme="minorEastAsia" w:eastAsiaTheme="minorEastAsia"/>
          <w:kern w:val="0"/>
          <w:sz w:val="24"/>
        </w:rPr>
        <w:fldChar w:fldCharType="end"/>
      </w:r>
      <w:r>
        <w:rPr>
          <w:rFonts w:asciiTheme="minorEastAsia" w:hAnsiTheme="minorEastAsia" w:eastAsiaTheme="minorEastAsia"/>
          <w:kern w:val="0"/>
          <w:sz w:val="24"/>
        </w:rPr>
        <w:t>不良等；</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f. 在建设过程中发现文物、化石、古墓遗址以及具有考古学、地质学和历史学意义的任何其他物品的；</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g. 工程地质情况、埋地管线情况与政府提供的地勘报告、地下管线资料不符，影响施工推进的；</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kern w:val="0"/>
          <w:sz w:val="24"/>
        </w:rPr>
        <w:t xml:space="preserve">h. </w:t>
      </w:r>
      <w:r>
        <w:rPr>
          <w:rFonts w:asciiTheme="minorEastAsia" w:hAnsiTheme="minorEastAsia" w:eastAsiaTheme="minorEastAsia"/>
          <w:sz w:val="24"/>
        </w:rPr>
        <w:t>非乙方的原因，无法提供连续的施工面给乙方的情形；</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i. </w:t>
      </w:r>
      <w:r>
        <w:rPr>
          <w:rFonts w:asciiTheme="minorEastAsia" w:hAnsiTheme="minorEastAsia" w:eastAsiaTheme="minorEastAsia"/>
          <w:kern w:val="0"/>
          <w:sz w:val="24"/>
        </w:rPr>
        <w:t>未按合同规定的时期交付施工现场、道路、提供水电，</w:t>
      </w:r>
      <w:r>
        <w:rPr>
          <w:rFonts w:asciiTheme="minorEastAsia" w:hAnsiTheme="minorEastAsia" w:eastAsiaTheme="minorEastAsia"/>
          <w:sz w:val="24"/>
        </w:rPr>
        <w:t>因征地拆迁未协商妥善等非乙方原因影响乙方施工的情形；</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j. 因设计变更、增量增资小组审核等引起乙方暂停施工等待的情形；</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k. 一周内非承包人原因的停水、停电造成停工累计超过8h；</w:t>
      </w:r>
    </w:p>
    <w:p>
      <w:pPr>
        <w:spacing w:line="360" w:lineRule="auto"/>
        <w:ind w:firstLine="480" w:firstLineChars="200"/>
        <w:rPr>
          <w:rFonts w:asciiTheme="minorEastAsia" w:hAnsiTheme="minorEastAsia" w:eastAsiaTheme="minorEastAsia"/>
          <w:kern w:val="0"/>
          <w:sz w:val="24"/>
        </w:rPr>
      </w:pPr>
      <w:bookmarkStart w:id="417" w:name="_Toc373227729"/>
      <w:bookmarkStart w:id="418" w:name="_Toc12838"/>
      <w:bookmarkStart w:id="419" w:name="_Toc373478376"/>
      <w:bookmarkStart w:id="420" w:name="_Toc389065295"/>
      <w:bookmarkStart w:id="421" w:name="_Toc312678017"/>
      <w:bookmarkStart w:id="422" w:name="_Toc304295551"/>
      <w:bookmarkStart w:id="423" w:name="_Toc297216180"/>
      <w:bookmarkStart w:id="424" w:name="_Toc303539130"/>
      <w:bookmarkStart w:id="425" w:name="_Toc297123521"/>
      <w:bookmarkStart w:id="426" w:name="_Toc300934973"/>
      <w:r>
        <w:rPr>
          <w:rFonts w:asciiTheme="minorEastAsia" w:hAnsiTheme="minorEastAsia" w:eastAsiaTheme="minorEastAsia"/>
          <w:kern w:val="0"/>
          <w:sz w:val="24"/>
        </w:rPr>
        <w:t>l. 异常气候条件</w:t>
      </w:r>
      <w:bookmarkEnd w:id="417"/>
      <w:bookmarkEnd w:id="418"/>
      <w:bookmarkEnd w:id="419"/>
      <w:bookmarkEnd w:id="420"/>
      <w:r>
        <w:rPr>
          <w:rFonts w:asciiTheme="minorEastAsia" w:hAnsiTheme="minorEastAsia" w:eastAsiaTheme="minorEastAsia"/>
          <w:kern w:val="0"/>
          <w:sz w:val="24"/>
        </w:rPr>
        <w:t>影响施工推进的：</w:t>
      </w:r>
      <w:bookmarkEnd w:id="421"/>
      <w:bookmarkEnd w:id="422"/>
      <w:bookmarkEnd w:id="423"/>
      <w:bookmarkEnd w:id="424"/>
      <w:bookmarkEnd w:id="425"/>
      <w:bookmarkEnd w:id="426"/>
      <w:r>
        <w:rPr>
          <w:rFonts w:asciiTheme="minorEastAsia" w:hAnsiTheme="minorEastAsia" w:eastAsiaTheme="minorEastAsia"/>
          <w:kern w:val="0"/>
          <w:sz w:val="24"/>
        </w:rPr>
        <w:t>1）四级以上的地震，2）五级以上的大风，3）50mm以上的大雨，4）持续两天的0℃以下的严寒天气，5）十年一遇的洪水。</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m.</w:t>
      </w:r>
      <w:r>
        <w:rPr>
          <w:rFonts w:asciiTheme="minorEastAsia" w:hAnsiTheme="minorEastAsia" w:eastAsiaTheme="minorEastAsia"/>
          <w:sz w:val="24"/>
        </w:rPr>
        <w:t xml:space="preserve"> </w:t>
      </w:r>
      <w:r>
        <w:rPr>
          <w:rFonts w:asciiTheme="minorEastAsia" w:hAnsiTheme="minorEastAsia" w:eastAsiaTheme="minorEastAsia"/>
          <w:kern w:val="0"/>
          <w:sz w:val="24"/>
        </w:rPr>
        <w:t>其他非乙方原因造成的影响项目建设的情形；</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n. 双方约定的其他情形：</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（3）当本合同第8.3.5款第（2）项所述的事件发生后，乙方要求延长建设期的，应在前述事件发生后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28</w:t>
      </w:r>
      <w:r>
        <w:rPr>
          <w:rFonts w:hint="eastAsia" w:asciiTheme="minorEastAsia" w:hAnsiTheme="minorEastAsia" w:eastAsiaTheme="minorEastAsia"/>
          <w:b/>
          <w:sz w:val="24"/>
          <w:u w:val="single"/>
        </w:rPr>
        <w:t xml:space="preserve"> </w:t>
      </w:r>
      <w:r>
        <w:rPr>
          <w:rFonts w:asciiTheme="minorEastAsia" w:hAnsiTheme="minorEastAsia" w:eastAsiaTheme="minorEastAsia"/>
          <w:kern w:val="0"/>
          <w:sz w:val="24"/>
        </w:rPr>
        <w:t>日内向甲方提出书面报告；书面报告应包括以下内容：</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a. 事件的种类；</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b. 预计延误的日期；</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c. 乙方采取的减少延误的合理措施；</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d. 乙方要求延长的天数。</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甲方应在收到乙方书面报告后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10</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日内予以书面回复，同意延期的，则应回复包括批准的延期期限；不同意延期的，则应说明理由。如甲方逾期未提出书面意见的，视为同意乙方的延期要求。</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8.4甲方要求的变更</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8.4.1甲方的变更通知</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在开工日后，甲方认为需要对经批复的初步设计或施工图纸进行变更的，应书面通知乙方。</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8.4.2乙方对变更的回复</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乙方在收到甲方要求变更通知后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 xml:space="preserve">14 </w:t>
      </w:r>
      <w:r>
        <w:rPr>
          <w:rFonts w:asciiTheme="minorEastAsia" w:hAnsiTheme="minorEastAsia" w:eastAsiaTheme="minorEastAsia"/>
          <w:kern w:val="0"/>
          <w:sz w:val="24"/>
        </w:rPr>
        <w:t>日内，须就变更向甲方作出书面答复。如乙方逾期回复的，视为乙方已接受甲方提出的相应变更。</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8.4.3甲方的答复</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在收到乙方对变更的回复后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10</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日内，甲方须：</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（1）以书面方式确认乙方变更回复中所包含的事项，在此情况下，第8.4.5款将适用；或者</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（2）以书面形式表明不同意乙方对变更的回复，并列明不同意的具体事由，在此情况下，该变更将依照本合同第26.1款约定提交项目协调委员会解决。</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8.4.4甲方对变更通知的确认</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在项目协调委员会对变更的争议事项作出裁决后的</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10</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日内，甲方须依据裁决内容以书面方式：</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（1）要求乙方执行变更；或</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（2）撤回变更通知。</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8.4.5变更的实施</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在变更被确认之后：</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（1）本合同被视为在当日做出了修改，双方须遵守各自在修改后的本</w:t>
      </w:r>
      <w:r>
        <w:rPr>
          <w:rFonts w:asciiTheme="minorEastAsia" w:hAnsiTheme="minorEastAsia" w:eastAsiaTheme="minorEastAsia"/>
          <w:sz w:val="24"/>
        </w:rPr>
        <w:t>合同</w:t>
      </w:r>
      <w:r>
        <w:rPr>
          <w:rFonts w:asciiTheme="minorEastAsia" w:hAnsiTheme="minorEastAsia" w:eastAsiaTheme="minorEastAsia"/>
          <w:kern w:val="0"/>
          <w:sz w:val="24"/>
        </w:rPr>
        <w:t>项下的义务；</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（2）乙方须按甲方变更通知所要求的方式或前述争议解决结果，实施该项变更；</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（3）甲方要求的变更引起成本增加的，则由【</w:t>
      </w:r>
      <w:r>
        <w:rPr>
          <w:rFonts w:asciiTheme="minorEastAsia" w:hAnsiTheme="minorEastAsia" w:eastAsiaTheme="minorEastAsia"/>
          <w:sz w:val="24"/>
        </w:rPr>
        <w:t>□</w:t>
      </w:r>
      <w:r>
        <w:rPr>
          <w:rFonts w:asciiTheme="minorEastAsia" w:hAnsiTheme="minorEastAsia" w:eastAsiaTheme="minorEastAsia"/>
          <w:kern w:val="0"/>
          <w:sz w:val="24"/>
        </w:rPr>
        <w:t>甲方自行承担；</w:t>
      </w:r>
      <w:r>
        <w:rPr>
          <w:rFonts w:hint="eastAsia" w:ascii="MS Mincho" w:hAnsi="MS Mincho" w:eastAsia="MS Mincho" w:cs="MS Mincho"/>
          <w:sz w:val="24"/>
        </w:rPr>
        <w:t>☑</w:t>
      </w:r>
      <w:r>
        <w:rPr>
          <w:rFonts w:asciiTheme="minorEastAsia" w:hAnsiTheme="minorEastAsia" w:eastAsiaTheme="minorEastAsia"/>
          <w:sz w:val="24"/>
        </w:rPr>
        <w:t>乙方承担并计入项目总投资</w:t>
      </w:r>
      <w:r>
        <w:rPr>
          <w:rFonts w:asciiTheme="minorEastAsia" w:hAnsiTheme="minorEastAsia" w:eastAsiaTheme="minorEastAsia"/>
          <w:kern w:val="0"/>
          <w:sz w:val="24"/>
        </w:rPr>
        <w:t>；</w:t>
      </w:r>
      <w:r>
        <w:rPr>
          <w:rFonts w:asciiTheme="minorEastAsia" w:hAnsiTheme="minorEastAsia" w:eastAsiaTheme="minorEastAsia"/>
          <w:sz w:val="24"/>
        </w:rPr>
        <w:t>□其他约定：</w:t>
      </w:r>
      <w:r>
        <w:rPr>
          <w:rFonts w:asciiTheme="minorEastAsia" w:hAnsiTheme="minorEastAsia" w:eastAsiaTheme="minorEastAsia"/>
          <w:sz w:val="24"/>
          <w:u w:val="single"/>
        </w:rPr>
        <w:t xml:space="preserve">               </w:t>
      </w:r>
      <w:r>
        <w:rPr>
          <w:rFonts w:asciiTheme="minorEastAsia" w:hAnsiTheme="minorEastAsia" w:eastAsiaTheme="minorEastAsia"/>
          <w:sz w:val="24"/>
        </w:rPr>
        <w:t>】</w:t>
      </w:r>
      <w:r>
        <w:rPr>
          <w:rFonts w:asciiTheme="minorEastAsia" w:hAnsiTheme="minorEastAsia" w:eastAsiaTheme="minorEastAsia"/>
          <w:kern w:val="0"/>
          <w:sz w:val="24"/>
        </w:rPr>
        <w:t>；如甲方要求的变更使得本项目总成本降低的，则【</w:t>
      </w:r>
      <w:r>
        <w:rPr>
          <w:rFonts w:hint="eastAsia" w:ascii="MS Mincho" w:hAnsi="MS Mincho" w:eastAsia="MS Mincho" w:cs="MS Mincho"/>
          <w:sz w:val="24"/>
        </w:rPr>
        <w:t>☑</w:t>
      </w:r>
      <w:r>
        <w:rPr>
          <w:rFonts w:asciiTheme="minorEastAsia" w:hAnsiTheme="minorEastAsia" w:eastAsiaTheme="minorEastAsia"/>
          <w:kern w:val="0"/>
          <w:sz w:val="24"/>
        </w:rPr>
        <w:t>相应核减项目总投资；</w:t>
      </w:r>
      <w:r>
        <w:rPr>
          <w:rFonts w:asciiTheme="minorEastAsia" w:hAnsiTheme="minorEastAsia" w:eastAsiaTheme="minorEastAsia"/>
          <w:sz w:val="24"/>
        </w:rPr>
        <w:t>□其他约定：</w:t>
      </w:r>
      <w:r>
        <w:rPr>
          <w:rFonts w:asciiTheme="minorEastAsia" w:hAnsiTheme="minorEastAsia" w:eastAsiaTheme="minorEastAsia"/>
          <w:sz w:val="24"/>
          <w:u w:val="single"/>
        </w:rPr>
        <w:t xml:space="preserve">               </w:t>
      </w:r>
      <w:r>
        <w:rPr>
          <w:rFonts w:asciiTheme="minorEastAsia" w:hAnsiTheme="minorEastAsia" w:eastAsiaTheme="minorEastAsia"/>
          <w:sz w:val="24"/>
        </w:rPr>
        <w:t>】</w:t>
      </w:r>
      <w:r>
        <w:rPr>
          <w:rFonts w:asciiTheme="minorEastAsia" w:hAnsiTheme="minorEastAsia" w:eastAsiaTheme="minorEastAsia"/>
          <w:kern w:val="0"/>
          <w:sz w:val="24"/>
        </w:rPr>
        <w:t>。</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8.4.6批准</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（1）乙方应根据勤勉尽责的原则准备并向政府部门或其他有关机构提交适当的申请及其他相关文件，尽力获得实施变更所需的任何批准；</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（2）如果乙方遵守了第8.4.6款第（1）项所述的义务，但乙方的申请被政府有关部门拒绝，甲方要求变更的通知应视为已被放弃。</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8.4.7减轻损失的义务</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（1）乙方应始终尽一切合理的努力，以减轻或降低因变更而花费的支出和发生的损失；</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（2）因变更所致的延误。因甲方要求的变更而导致建设期迟延，乙方有权要求给予相应的宽限期，在合理宽限期内甲方不得行使其在本合同第17条中约定的政府方介入权。</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 xml:space="preserve">8.5乙方要求的变更 </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8.5.1乙方的变更通知</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乙方在开工日后，认为需要对项目建设进行变更的，应书面通知甲方并经其书面同意后方可实施，否则不得实施变更。乙方提出的工程变更要求，必须是出于优化设计、节省开支等合理或经济性考虑，且不得降低安全质量和建设标准。</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8.5.2甲方的回复</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甲方在收到乙方要求变更的通知后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10</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日内，须就变更向乙方作出书面回复，否则视为同意。</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8.5.3批准</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根据法律规定，变更应经过批准的，乙方应负责办理报批手续并自行承担所有的相关费用。</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8.5.4乙方要求的变更的实施</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（1）当甲方书面同意乙方要求的变更时，本合同应视为在当日作出了修改，双方须遵守其各自在修改后的本合同项下的义务；</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（2）乙方要求的变更引起成本增加的，则由乙方自行承担；如乙方要求的变更使得本项目总成本降低的，则【</w:t>
      </w:r>
      <w:r>
        <w:rPr>
          <w:rFonts w:hint="eastAsia" w:ascii="MS Mincho" w:hAnsi="MS Mincho" w:eastAsia="MS Mincho" w:cs="MS Mincho"/>
          <w:sz w:val="24"/>
        </w:rPr>
        <w:t>☑</w:t>
      </w:r>
      <w:r>
        <w:rPr>
          <w:rFonts w:asciiTheme="minorEastAsia" w:hAnsiTheme="minorEastAsia" w:eastAsiaTheme="minorEastAsia"/>
          <w:kern w:val="0"/>
          <w:sz w:val="24"/>
        </w:rPr>
        <w:t>相应核减项目总投资；</w:t>
      </w:r>
      <w:r>
        <w:rPr>
          <w:rFonts w:asciiTheme="minorEastAsia" w:hAnsiTheme="minorEastAsia" w:eastAsiaTheme="minorEastAsia"/>
          <w:sz w:val="24"/>
        </w:rPr>
        <w:t>□其他约定：</w:t>
      </w:r>
      <w:r>
        <w:rPr>
          <w:rFonts w:asciiTheme="minorEastAsia" w:hAnsiTheme="minorEastAsia" w:eastAsiaTheme="minorEastAsia"/>
          <w:sz w:val="24"/>
          <w:u w:val="single"/>
        </w:rPr>
        <w:t xml:space="preserve">               </w:t>
      </w:r>
      <w:r>
        <w:rPr>
          <w:rFonts w:asciiTheme="minorEastAsia" w:hAnsiTheme="minorEastAsia" w:eastAsiaTheme="minorEastAsia"/>
          <w:sz w:val="24"/>
        </w:rPr>
        <w:t>】</w:t>
      </w:r>
      <w:r>
        <w:rPr>
          <w:rFonts w:asciiTheme="minorEastAsia" w:hAnsiTheme="minorEastAsia" w:eastAsiaTheme="minorEastAsia"/>
          <w:kern w:val="0"/>
          <w:sz w:val="24"/>
        </w:rPr>
        <w:t>。</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8.6竣工验收</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8.6.1乙方应及时完成各单项验收，本项目具备相应的竣工验收条件后，乙方应在</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14</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日内根据适用法律以及本合同的约定组织本项目竣工验收，并提前</w:t>
      </w:r>
    </w:p>
    <w:p>
      <w:pPr>
        <w:spacing w:before="80" w:after="80" w:line="360" w:lineRule="auto"/>
        <w:rPr>
          <w:rFonts w:asciiTheme="minorEastAsia" w:hAnsiTheme="minorEastAsia" w:eastAsiaTheme="minorEastAsia"/>
          <w:kern w:val="0"/>
          <w:sz w:val="24"/>
        </w:rPr>
      </w:pPr>
      <w:r>
        <w:rPr>
          <w:rFonts w:asciiTheme="minorEastAsia" w:hAnsiTheme="minorEastAsia" w:eastAsiaTheme="minorEastAsia"/>
          <w:kern w:val="0"/>
          <w:sz w:val="24"/>
          <w:u w:val="single"/>
        </w:rPr>
        <w:t xml:space="preserve"> 7 </w:t>
      </w:r>
      <w:r>
        <w:rPr>
          <w:rFonts w:asciiTheme="minorEastAsia" w:hAnsiTheme="minorEastAsia" w:eastAsiaTheme="minorEastAsia"/>
          <w:kern w:val="0"/>
          <w:sz w:val="24"/>
        </w:rPr>
        <w:t>日通知甲方参加项目竣工验收；</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8.6.2因竣工验收不合格导致建设进度延误和建设投资增加的责任由乙方承担，经整改后仍未达到验收标准的，则甲方有权</w:t>
      </w:r>
      <w:r>
        <w:rPr>
          <w:rFonts w:asciiTheme="minorEastAsia" w:hAnsiTheme="minorEastAsia" w:eastAsiaTheme="minorEastAsia"/>
          <w:sz w:val="24"/>
        </w:rPr>
        <w:t>委托其他单位进行整改，由此产生的费用由乙方承担，如导致本合同目的无法实现的，甲方有权按照第24.1款约定</w:t>
      </w:r>
      <w:r>
        <w:rPr>
          <w:rFonts w:asciiTheme="minorEastAsia" w:hAnsiTheme="minorEastAsia" w:eastAsiaTheme="minorEastAsia"/>
          <w:kern w:val="0"/>
          <w:sz w:val="24"/>
        </w:rPr>
        <w:t>提前终止本</w:t>
      </w:r>
      <w:r>
        <w:rPr>
          <w:rFonts w:asciiTheme="minorEastAsia" w:hAnsiTheme="minorEastAsia" w:eastAsiaTheme="minorEastAsia"/>
          <w:sz w:val="24"/>
        </w:rPr>
        <w:t>合同</w:t>
      </w:r>
      <w:r>
        <w:rPr>
          <w:rFonts w:asciiTheme="minorEastAsia" w:hAnsiTheme="minorEastAsia" w:eastAsiaTheme="minorEastAsia"/>
          <w:kern w:val="0"/>
          <w:sz w:val="24"/>
        </w:rPr>
        <w:t>。</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8.6.3项目公司应按照适用法律及本合同的要求，组织本项目竣工验收，以及在竣工验收合格后完成竣工验收备案，项目公司应在竣工验收合格后2个月内提交项目备案资料。</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8.6.</w:t>
      </w:r>
      <w:r>
        <w:rPr>
          <w:rFonts w:hint="eastAsia" w:asciiTheme="minorEastAsia" w:hAnsiTheme="minorEastAsia" w:eastAsiaTheme="minorEastAsia"/>
          <w:kern w:val="0"/>
          <w:sz w:val="24"/>
        </w:rPr>
        <w:t>4由于配套管网建设未纳入本PPP项目，如因配套管网建设进度滞后导致供水厂、污水处理厂无法实现竣工验收的，乙方不需承担违约责任</w:t>
      </w:r>
      <w:r>
        <w:rPr>
          <w:rFonts w:asciiTheme="minorEastAsia" w:hAnsiTheme="minorEastAsia" w:eastAsiaTheme="minorEastAsia"/>
          <w:kern w:val="0"/>
          <w:sz w:val="24"/>
        </w:rPr>
        <w:t>。</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8.7工程建设投资费用结算</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若在本项目建设过程中发生因甲方或者乙方要求的变更等情形需对本项目工程建设投资费用进行结算的，在本项目通过竣工验收后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30</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w:t>
      </w:r>
      <w:r>
        <w:rPr>
          <w:rFonts w:asciiTheme="minorEastAsia" w:hAnsiTheme="minorEastAsia" w:eastAsiaTheme="minorEastAsia"/>
          <w:kern w:val="0"/>
          <w:sz w:val="24"/>
        </w:rPr>
        <w:t>内，双方应按约定对工程建设投资费用进行结算，由【</w:t>
      </w:r>
      <w:r>
        <w:rPr>
          <w:rFonts w:hint="eastAsia" w:ascii="MS Mincho" w:hAnsi="MS Mincho" w:cs="MS Mincho"/>
          <w:kern w:val="0"/>
          <w:sz w:val="24"/>
        </w:rPr>
        <w:t>□</w:t>
      </w:r>
      <w:r>
        <w:rPr>
          <w:rFonts w:asciiTheme="minorEastAsia" w:hAnsiTheme="minorEastAsia" w:eastAsiaTheme="minorEastAsia"/>
          <w:kern w:val="0"/>
          <w:sz w:val="24"/>
        </w:rPr>
        <w:t>双方共同委托；</w:t>
      </w:r>
      <w:r>
        <w:rPr>
          <w:rFonts w:hint="eastAsia" w:asciiTheme="minorEastAsia" w:hAnsiTheme="minorEastAsia" w:eastAsiaTheme="minorEastAsia"/>
          <w:kern w:val="0"/>
          <w:sz w:val="24"/>
        </w:rPr>
        <w:t>☑</w:t>
      </w:r>
      <w:r>
        <w:rPr>
          <w:rFonts w:asciiTheme="minorEastAsia" w:hAnsiTheme="minorEastAsia" w:eastAsiaTheme="minorEastAsia"/>
          <w:kern w:val="0"/>
          <w:sz w:val="24"/>
        </w:rPr>
        <w:t>政府方委托】的</w:t>
      </w:r>
      <w:r>
        <w:rPr>
          <w:rFonts w:asciiTheme="minorEastAsia" w:hAnsiTheme="minorEastAsia" w:eastAsiaTheme="minorEastAsia"/>
          <w:sz w:val="24"/>
        </w:rPr>
        <w:t>第三方审价机构对乙方的工程建设投资费用进行审核</w:t>
      </w:r>
      <w:r>
        <w:rPr>
          <w:rFonts w:asciiTheme="minorEastAsia" w:hAnsiTheme="minorEastAsia" w:eastAsiaTheme="minorEastAsia"/>
          <w:kern w:val="0"/>
          <w:sz w:val="24"/>
        </w:rPr>
        <w:t>。政府审计机构依法对本项目进行审计的，乙方应予以必要的配合。</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8.8建设的延迟、放弃</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8.8.1延迟</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延迟是指因乙方自身违约、甲方违约、不可抗力、法律变更或工程变更等事件导致建设工程不能如期开工或完工。</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（1）乙方在获悉可能导致项目在既定建设期满前不能完工的任何事件发生时，应于</w:t>
      </w:r>
      <w:r>
        <w:rPr>
          <w:rFonts w:asciiTheme="minorEastAsia" w:hAnsiTheme="minorEastAsia" w:eastAsiaTheme="minorEastAsia"/>
          <w:b/>
          <w:sz w:val="30"/>
          <w:szCs w:val="30"/>
          <w:u w:val="single"/>
        </w:rPr>
        <w:t xml:space="preserve"> </w:t>
      </w:r>
      <w:r>
        <w:rPr>
          <w:rFonts w:hint="eastAsia" w:asciiTheme="minorEastAsia" w:hAnsiTheme="minorEastAsia" w:eastAsiaTheme="minorEastAsia"/>
          <w:b/>
          <w:sz w:val="24"/>
          <w:u w:val="single"/>
        </w:rPr>
        <w:t>14</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日内以书面方式向甲方发出延迟通知，通知内容包括但不限于：</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a. 延迟事件发生的原因、时间、过程；</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b. 延迟或延迟事件的责任者；</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c. 预计延迟时间；</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d. 对本合同的任何违约或预期违约；</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e. 乙方关于减轻和纠正延迟或延迟事件影响的计划。</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（2）乙方在发出延迟通知后，应定期就相关情况向甲方提供事件的最新进展报告。</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除因甲方要求的变更、法律变更、不可抗力、非乙方原因和甲方违约明确规定的情况外，乙方无权从甲方获得因延迟而产生的任何责任的免除或补偿；如工程进度因不可归责于乙方的情形受阻的，按照本合同第8.3.5款第（3）项约定执行。</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（3）非项目公司原因导致的延迟，则相应顺延项目工程完工的期限和项目合作期限，若延误是由甲方造成的，则甲方还应赔偿乙方因此而遭受的损失，并支付乙方合理的利润。</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（4）乙方原因导致的延误，甲方有权要求乙方采取有效措施弥补，因此增加的费用和（或）延误的工期由乙方承担，甲方有权追究要求乙方赔偿因此而遭受的损失。</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（5）在建设期中出现下列情况之一，甲方有权单方面解除合同及接管项目，并兑取建设履约保函的保证金：</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乙方因管理不善，暂停施工3月及以上或导致工程进度滞后6月及以上；</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乙方因管理不善，发生特别重大质量、生产安全责任事故；</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乙方擅自转让、出租特许经营权，擅自处置或抵押本项目财产。</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8.8.2乙方放弃的情形</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乙方以书面形式表示放弃本项目建设或运营。</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8.8.3视为乙方放弃的情形</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除不可抗力或甲方违约的情形外，如果乙方出现下列情形，则本项目的建设应视为已被乙方放弃：</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（1）书面通知甲方其已终止全部建设工程，且不打算重新开始施工；</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（2）由于乙方原因未能在开工日之后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30</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日内开始项目的建设；</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（3）由于乙方原因未能在任何不可抗力事件的影响完全解除后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 xml:space="preserve"> 30 </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日内恢复建设工程施工；</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（4）乙方无正当理由在开始运营日前停止工程建设，撤走项目场地全部或大部分的工作人员累计超过</w:t>
      </w:r>
      <w:r>
        <w:rPr>
          <w:rFonts w:asciiTheme="minorEastAsia" w:hAnsiTheme="minorEastAsia" w:eastAsiaTheme="minorEastAsia"/>
          <w:b/>
          <w:sz w:val="30"/>
          <w:u w:val="single"/>
        </w:rPr>
        <w:t xml:space="preserve"> </w:t>
      </w:r>
      <w:r>
        <w:rPr>
          <w:rFonts w:asciiTheme="minorEastAsia" w:hAnsiTheme="minorEastAsia" w:eastAsiaTheme="minorEastAsia"/>
          <w:b/>
          <w:sz w:val="24"/>
          <w:u w:val="single"/>
        </w:rPr>
        <w:t xml:space="preserve"> 30 </w:t>
      </w:r>
      <w:r>
        <w:rPr>
          <w:rFonts w:asciiTheme="minorEastAsia" w:hAnsiTheme="minorEastAsia" w:eastAsiaTheme="minorEastAsia"/>
          <w:b/>
          <w:sz w:val="30"/>
          <w:u w:val="single"/>
        </w:rPr>
        <w:t xml:space="preserve"> </w:t>
      </w:r>
      <w:r>
        <w:rPr>
          <w:rFonts w:asciiTheme="minorEastAsia" w:hAnsiTheme="minorEastAsia" w:eastAsiaTheme="minorEastAsia"/>
          <w:kern w:val="0"/>
          <w:sz w:val="24"/>
        </w:rPr>
        <w:t>日以上的，</w:t>
      </w:r>
      <w:r>
        <w:rPr>
          <w:rFonts w:asciiTheme="minorEastAsia" w:hAnsiTheme="minorEastAsia" w:eastAsiaTheme="minorEastAsia"/>
          <w:sz w:val="24"/>
        </w:rPr>
        <w:t>经甲方书面催告没有复工的，则视为乙方放弃建设</w:t>
      </w:r>
      <w:r>
        <w:rPr>
          <w:rFonts w:asciiTheme="minorEastAsia" w:hAnsiTheme="minorEastAsia" w:eastAsiaTheme="minorEastAsia"/>
          <w:kern w:val="0"/>
          <w:sz w:val="24"/>
        </w:rPr>
        <w:t>。</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8.9建设期监管</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8.9.1甲方有权检查工程进度及工程质量履行情况。</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8.9.2甲方发现工程存在质量缺陷的，有权要求乙方整改，直至符合标准，由此造成建设进度延误的，延误期限和造成的损失由乙方承担。</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8.9.3甲方</w:t>
      </w:r>
      <w:r>
        <w:rPr>
          <w:rFonts w:asciiTheme="minorEastAsia" w:hAnsiTheme="minorEastAsia" w:eastAsiaTheme="minorEastAsia"/>
          <w:sz w:val="24"/>
        </w:rPr>
        <w:t>有权委托第三方机构对乙方的建设费用进行审核。政府审计机构依法对本项目进行审计的，乙方应给予必要的配合。</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8.9.4甲方对项目建设的监督和检查，不视为甲方放弃其在合同项下的任何权利，也不能免除乙方在本合同项下的任何义务。</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8.9.5（1）甲方有权随时检查项目公司的建设是否符合本合同的要求，包括但不限于在建设期内聘请中介机构对项目进行专项审计检查，相应的费用由甲方承担，检查日期、周期由甲方合理确定，审计检查范围主要包括项目公司的注册资本金的到位情况、项目资金使用情况、项目进度情况、项目质量情况、项目实施与本合同执行情况等方面。，乙方和项目公司有义务对审计检查工作给予充分配合，提供必要的完整的所需查看的各种文件资料，并对提供资料的真实性负责。</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（2）若发现任何部分不符合要求，甲方有权通知项目公司，指出缺陷或不符合规定之处，并要求改正。</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若项目公司对甲方根据上述第（2）款所发出的通知有异议，则须于接到甲方通知后的5个工作日内将其异议通知甲方，否则应提出整改方案和措施报甲方批准后对工程进行整改。甲方与项目公司须尽合理努力以求解决此项事宜。若在此后5个工作日内，该事宜不能得到解决，则依据争议解决程序就该事宜作出裁决。</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8.10安全保障</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乙方应遵守法律及本合同技术规范和要求及国家规定的所有健康和安全标准，建立、健全和完善安全生产制度及安全运行保障体系，确保项目设施安全运行，防止责任事故的发生。在合作期内，乙方应对其自身原因导致的安全事故承担全部责任，并应当在出现安全责任事故后按照有关规定向政府安全生产监督管理部门和负有安全监督管理职责的有关部门报告。</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乙方应针对自然灾害、重特大事故、环境公害及人为破坏等突发情况建立相应的应急预案（应急预案应在甲方合理要求的时间内完成，并根据甲方的合理建议进行修改完善，最终报经甲方同意后实施）和相应的组织、指挥、设备等保障体系，并保证在出现重大意外事件时其保障体系能够正常启动。</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如出现本项目合作范围内与本项目设施相关的超出经批准的设计能力的防汛、排涝等抢险需要的，甲方有权自行调派乙方的设备、人员等全力负责抢险，乙方不得拒绝。同时，乙方应听从甲方的指令和调配，由此导致乙方在本合同项下履约不能的，甲方免除乙方违约责任。</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安全文明施工达标目标：按照JGJ59-2011《建筑施工安全检查标准》及当地行政建设主管部门有关规定落实工地的安全文明施工管理。</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8.11建设期内的环境保护</w:t>
      </w:r>
    </w:p>
    <w:p>
      <w:pPr>
        <w:widowControl/>
        <w:spacing w:line="360" w:lineRule="auto"/>
        <w:ind w:firstLine="426"/>
        <w:rPr>
          <w:rFonts w:asciiTheme="minorEastAsia" w:hAnsiTheme="minorEastAsia" w:eastAsiaTheme="minorEastAsia"/>
          <w:kern w:val="0"/>
          <w:sz w:val="24"/>
        </w:rPr>
      </w:pPr>
      <w:r>
        <w:rPr>
          <w:rFonts w:asciiTheme="minorEastAsia" w:hAnsiTheme="minorEastAsia" w:eastAsiaTheme="minorEastAsia"/>
          <w:kern w:val="0"/>
          <w:sz w:val="24"/>
        </w:rPr>
        <w:t>8.11.1乙方不应在项目建设过程中造成环境污染。</w:t>
      </w:r>
    </w:p>
    <w:p>
      <w:pPr>
        <w:widowControl/>
        <w:spacing w:line="360" w:lineRule="auto"/>
        <w:ind w:firstLine="426"/>
        <w:rPr>
          <w:rFonts w:asciiTheme="minorEastAsia" w:hAnsiTheme="minorEastAsia" w:eastAsiaTheme="minorEastAsia"/>
          <w:kern w:val="0"/>
          <w:sz w:val="24"/>
        </w:rPr>
      </w:pPr>
      <w:r>
        <w:rPr>
          <w:rFonts w:asciiTheme="minorEastAsia" w:hAnsiTheme="minorEastAsia" w:eastAsiaTheme="minorEastAsia"/>
          <w:kern w:val="0"/>
          <w:sz w:val="24"/>
        </w:rPr>
        <w:t>8.11.2乙方应当执行适用法律规定、政府及相关部门的规定或要求，公布相应的环保信息。</w:t>
      </w:r>
    </w:p>
    <w:p>
      <w:pPr>
        <w:widowControl/>
        <w:spacing w:line="360" w:lineRule="auto"/>
        <w:ind w:firstLine="426"/>
        <w:rPr>
          <w:rFonts w:asciiTheme="minorEastAsia" w:hAnsiTheme="minorEastAsia" w:eastAsiaTheme="minorEastAsia"/>
          <w:kern w:val="0"/>
          <w:sz w:val="24"/>
        </w:rPr>
      </w:pPr>
      <w:r>
        <w:rPr>
          <w:rFonts w:asciiTheme="minorEastAsia" w:hAnsiTheme="minorEastAsia" w:eastAsiaTheme="minorEastAsia"/>
          <w:kern w:val="0"/>
          <w:sz w:val="24"/>
        </w:rPr>
        <w:t>8.11.3乙方应当建立健全本单位环境信息公开制度，报经甲方同意后执行。</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8.11.4乙方在项目设施的建设期间应根据本合同技术要求及国家的有关规定，采取一切合理措施来避免或尽量减少对项目周围设施、建筑物和居民区的干扰。</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8.12建设期违约及处理</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8.12.1甲方违约情形及处理</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建设期内发生下列情形的，视为甲方违约：</w:t>
      </w:r>
    </w:p>
    <w:p>
      <w:pPr>
        <w:numPr>
          <w:ilvl w:val="0"/>
          <w:numId w:val="12"/>
        </w:numPr>
        <w:spacing w:before="80" w:after="80" w:line="360" w:lineRule="auto"/>
        <w:rPr>
          <w:rFonts w:asciiTheme="minorEastAsia" w:hAnsiTheme="minorEastAsia" w:eastAsiaTheme="minorEastAsia"/>
          <w:kern w:val="0"/>
          <w:sz w:val="24"/>
        </w:rPr>
      </w:pPr>
      <w:r>
        <w:rPr>
          <w:rFonts w:asciiTheme="minorEastAsia" w:hAnsiTheme="minorEastAsia" w:eastAsiaTheme="minorEastAsia"/>
          <w:kern w:val="0"/>
          <w:sz w:val="24"/>
        </w:rPr>
        <w:t>甲方未按本合同第6条约定完成并向乙方移交</w:t>
      </w:r>
      <w:r>
        <w:rPr>
          <w:rFonts w:asciiTheme="minorEastAsia" w:hAnsiTheme="minorEastAsia" w:eastAsiaTheme="minorEastAsia"/>
          <w:sz w:val="24"/>
        </w:rPr>
        <w:t>前期工作成果</w:t>
      </w:r>
      <w:r>
        <w:rPr>
          <w:rFonts w:asciiTheme="minorEastAsia" w:hAnsiTheme="minorEastAsia" w:eastAsiaTheme="minorEastAsia"/>
          <w:kern w:val="0"/>
          <w:sz w:val="24"/>
        </w:rPr>
        <w:t>；</w:t>
      </w:r>
    </w:p>
    <w:p>
      <w:pPr>
        <w:numPr>
          <w:ilvl w:val="0"/>
          <w:numId w:val="12"/>
        </w:numPr>
        <w:spacing w:before="80" w:after="80" w:line="360" w:lineRule="auto"/>
        <w:rPr>
          <w:rFonts w:asciiTheme="minorEastAsia" w:hAnsiTheme="minorEastAsia" w:eastAsiaTheme="minorEastAsia"/>
          <w:kern w:val="0"/>
          <w:sz w:val="24"/>
        </w:rPr>
      </w:pPr>
      <w:r>
        <w:rPr>
          <w:rFonts w:asciiTheme="minorEastAsia" w:hAnsiTheme="minorEastAsia" w:eastAsiaTheme="minorEastAsia"/>
          <w:kern w:val="0"/>
          <w:sz w:val="24"/>
        </w:rPr>
        <w:t>甲方无正当理由要求停止建设；</w:t>
      </w:r>
    </w:p>
    <w:p>
      <w:pPr>
        <w:numPr>
          <w:ilvl w:val="0"/>
          <w:numId w:val="12"/>
        </w:numPr>
        <w:spacing w:before="80" w:after="80" w:line="360" w:lineRule="auto"/>
        <w:rPr>
          <w:rFonts w:asciiTheme="minorEastAsia" w:hAnsiTheme="minorEastAsia" w:eastAsiaTheme="minorEastAsia"/>
          <w:kern w:val="0"/>
          <w:sz w:val="24"/>
        </w:rPr>
      </w:pPr>
      <w:r>
        <w:rPr>
          <w:rFonts w:asciiTheme="minorEastAsia" w:hAnsiTheme="minorEastAsia" w:eastAsiaTheme="minorEastAsia"/>
          <w:kern w:val="0"/>
          <w:sz w:val="24"/>
        </w:rPr>
        <w:t>双方约定的其他情形：</w:t>
      </w:r>
    </w:p>
    <w:p>
      <w:pPr>
        <w:spacing w:before="80" w:after="80" w:line="360" w:lineRule="auto"/>
        <w:rPr>
          <w:rFonts w:asciiTheme="minorEastAsia" w:hAnsiTheme="minorEastAsia" w:eastAsiaTheme="minorEastAsia"/>
          <w:kern w:val="0"/>
          <w:sz w:val="24"/>
          <w:u w:val="single"/>
        </w:rPr>
      </w:pPr>
      <w:r>
        <w:rPr>
          <w:rFonts w:asciiTheme="minorEastAsia" w:hAnsiTheme="minorEastAsia" w:eastAsiaTheme="minorEastAsia"/>
          <w:kern w:val="0"/>
          <w:sz w:val="24"/>
          <w:u w:val="single"/>
        </w:rPr>
        <w:t xml:space="preserve">                                                                     </w:t>
      </w:r>
    </w:p>
    <w:p>
      <w:pPr>
        <w:widowControl/>
        <w:rPr>
          <w:rFonts w:asciiTheme="minorEastAsia" w:hAnsiTheme="minorEastAsia" w:eastAsiaTheme="minorEastAsia"/>
          <w:kern w:val="0"/>
          <w:sz w:val="20"/>
          <w:szCs w:val="20"/>
        </w:rPr>
      </w:pPr>
      <w:r>
        <w:rPr>
          <w:rFonts w:asciiTheme="minorEastAsia" w:hAnsiTheme="minorEastAsia" w:eastAsiaTheme="minorEastAsia"/>
          <w:sz w:val="24"/>
          <w:u w:val="single"/>
        </w:rPr>
        <w:t xml:space="preserve">                                                                     </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kern w:val="0"/>
          <w:sz w:val="24"/>
        </w:rPr>
        <w:t>甲方发生本条约定的违约情形的，乙方有权向甲方发出书面通知要求其改正，甲方未在规定期限内予以改正的，乙方有权要求甲方承担以下违约责任：</w:t>
      </w:r>
      <w:r>
        <w:rPr>
          <w:rFonts w:asciiTheme="minorEastAsia" w:hAnsiTheme="minorEastAsia" w:eastAsiaTheme="minorEastAsia"/>
          <w:kern w:val="0"/>
          <w:sz w:val="24"/>
          <w:u w:val="single"/>
        </w:rPr>
        <w:t xml:space="preserve"> 1000元/日的工期延误违约金</w:t>
      </w:r>
      <w:r>
        <w:rPr>
          <w:rFonts w:asciiTheme="minorEastAsia" w:hAnsiTheme="minorEastAsia" w:eastAsiaTheme="minorEastAsia"/>
          <w:sz w:val="24"/>
          <w:u w:val="single"/>
        </w:rPr>
        <w:t>，并补偿乙方由此遭受的直接经济损失</w:t>
      </w:r>
      <w:r>
        <w:rPr>
          <w:rFonts w:asciiTheme="minorEastAsia" w:hAnsiTheme="minorEastAsia" w:eastAsiaTheme="minorEastAsia"/>
          <w:kern w:val="0"/>
          <w:sz w:val="24"/>
          <w:u w:val="single"/>
        </w:rPr>
        <w:t xml:space="preserve">     </w:t>
      </w:r>
      <w:r>
        <w:rPr>
          <w:rFonts w:asciiTheme="minorEastAsia" w:hAnsiTheme="minorEastAsia" w:eastAsiaTheme="minorEastAsia"/>
          <w:kern w:val="0"/>
          <w:sz w:val="24"/>
        </w:rPr>
        <w:t>，并相应顺延项目合作期限。如甲方逾期改正超过</w:t>
      </w:r>
      <w:r>
        <w:rPr>
          <w:rFonts w:asciiTheme="minorEastAsia" w:hAnsiTheme="minorEastAsia" w:eastAsiaTheme="minorEastAsia"/>
          <w:b/>
          <w:sz w:val="24"/>
          <w:u w:val="single"/>
        </w:rPr>
        <w:t>60</w:t>
      </w:r>
      <w:r>
        <w:rPr>
          <w:rFonts w:asciiTheme="minorEastAsia" w:hAnsiTheme="minorEastAsia" w:eastAsiaTheme="minorEastAsia"/>
          <w:sz w:val="24"/>
        </w:rPr>
        <w:t>日，则乙方有权提出提前终止合同。</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8.12.2乙方违约情形及处理</w:t>
      </w:r>
    </w:p>
    <w:p>
      <w:pPr>
        <w:spacing w:before="80" w:after="8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建设期内发生下列情形的，视为乙方违约：</w:t>
      </w:r>
    </w:p>
    <w:p>
      <w:pPr>
        <w:spacing w:before="80" w:after="8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（1）乙方未按照本合同约定方式使用项目建设资金，严重影响项目建设进度或建设质量的；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kern w:val="0"/>
          <w:sz w:val="24"/>
        </w:rPr>
        <w:t>（2）</w:t>
      </w:r>
      <w:r>
        <w:rPr>
          <w:rFonts w:asciiTheme="minorEastAsia" w:hAnsiTheme="minorEastAsia" w:eastAsiaTheme="minorEastAsia"/>
          <w:sz w:val="24"/>
        </w:rPr>
        <w:t>因可归责于乙方的原因导致不能在开工日开工或在建设期满前完工的；</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（3）乙方未按照本合同约定要求以及谨慎工程和运营惯例对项目建设进行管理、监督和检测，导致建设进度严重延误、工程质量严重降低的；</w:t>
      </w:r>
    </w:p>
    <w:p>
      <w:pPr>
        <w:spacing w:before="80" w:after="8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（4）乙方未按照本合同约定要求开展安全保障和环境保护工作的，遭受投诉或处罚的；</w:t>
      </w:r>
    </w:p>
    <w:p>
      <w:pPr>
        <w:spacing w:before="80" w:after="8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（5）双方约定的其他情形：</w:t>
      </w:r>
    </w:p>
    <w:p>
      <w:pPr>
        <w:widowControl/>
        <w:spacing w:line="360" w:lineRule="auto"/>
        <w:ind w:firstLine="480" w:firstLineChars="200"/>
        <w:rPr>
          <w:rFonts w:asciiTheme="minorEastAsia" w:hAnsiTheme="minorEastAsia" w:eastAsiaTheme="minorEastAsia"/>
          <w:kern w:val="0"/>
          <w:sz w:val="20"/>
          <w:szCs w:val="20"/>
          <w:u w:val="single"/>
        </w:rPr>
      </w:pPr>
      <w:r>
        <w:rPr>
          <w:rFonts w:asciiTheme="minorEastAsia" w:hAnsiTheme="minorEastAsia" w:eastAsiaTheme="minorEastAsia"/>
          <w:kern w:val="0"/>
          <w:sz w:val="24"/>
          <w:u w:val="single"/>
        </w:rPr>
        <w:t xml:space="preserve">因施工单位的原因致使建设工程质量不符合约定的，甲方和项目公司有权要求施工单位在合理期限内无偿修理或者返工、改建。经过修理或者返工、改建后，造成逾期交付的，施工单位应当承担违约责任，项目全部或部分工程或设备材料的承包不能减轻乙方对本项目建设质量和进度的责任。                    </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kern w:val="0"/>
          <w:sz w:val="24"/>
        </w:rPr>
        <w:t>乙方发生本条约定的违约情形的，甲方有权向乙方发出书面通知要求其改正，乙方未在规定期限内予以改正的，甲方有权要求乙方承担违约金，</w:t>
      </w:r>
      <w:r>
        <w:rPr>
          <w:rFonts w:hint="eastAsia" w:asciiTheme="minorEastAsia" w:hAnsiTheme="minorEastAsia" w:eastAsiaTheme="minorEastAsia"/>
          <w:kern w:val="0"/>
          <w:sz w:val="24"/>
        </w:rPr>
        <w:t>违约金</w:t>
      </w:r>
      <w:r>
        <w:rPr>
          <w:rFonts w:asciiTheme="minorEastAsia" w:hAnsiTheme="minorEastAsia" w:eastAsiaTheme="minorEastAsia"/>
          <w:kern w:val="0"/>
          <w:sz w:val="24"/>
        </w:rPr>
        <w:t>按以下方式计算：</w:t>
      </w: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以绩效考核方式及标准对乙方进行扣减</w:t>
      </w:r>
      <w:r>
        <w:rPr>
          <w:rFonts w:asciiTheme="minorEastAsia" w:hAnsiTheme="minorEastAsia" w:eastAsiaTheme="minorEastAsia"/>
          <w:kern w:val="0"/>
          <w:sz w:val="24"/>
          <w:u w:val="single"/>
        </w:rPr>
        <w:t xml:space="preserve">     </w:t>
      </w:r>
      <w:r>
        <w:rPr>
          <w:rFonts w:asciiTheme="minorEastAsia" w:hAnsiTheme="minorEastAsia" w:eastAsiaTheme="minorEastAsia"/>
          <w:kern w:val="0"/>
          <w:sz w:val="24"/>
        </w:rPr>
        <w:t>,甲方有权扣除或</w:t>
      </w:r>
      <w:r>
        <w:rPr>
          <w:rFonts w:asciiTheme="minorEastAsia" w:hAnsiTheme="minorEastAsia" w:eastAsiaTheme="minorEastAsia"/>
          <w:sz w:val="24"/>
        </w:rPr>
        <w:t>提取建设履约担保项下的相应金额</w:t>
      </w:r>
      <w:r>
        <w:rPr>
          <w:rFonts w:asciiTheme="minorEastAsia" w:hAnsiTheme="minorEastAsia" w:eastAsiaTheme="minorEastAsia"/>
          <w:kern w:val="0"/>
          <w:sz w:val="24"/>
        </w:rPr>
        <w:t>。如乙方逾期改正超过</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60</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日，则甲方有权提出提前终止合同。</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8.13质量控制</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（1）工程的施工、质量管理、安全管理、竣工验收等应符合现行的国家相关法律、强制性标准、验收规范及设计的要求，且应符合本合同规定的所有要求；</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若甲方有足够的证据证明项目建设工程或其他任何部分与本合同所规定的或其他相关部门所规定的质量或安全要求严重不符，甲方有权立即通知责任单位，责任单位应按照要求进行整改。若责任单位在收到甲方通知后10个工作日内未进行整改，则甲方有权自己进行或委托第三方进行必要的纠正，一切风险与费用由责任单位承担。在这种情况下，责任单位须允许甲方或其委托的第三方为此目的而出入项目场地。</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（3）除本合同另有规定外，对项目公司提交的质量保证与质量控制方案，甲方的任何作为或不作为，均不会：</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①减轻或影响项目公司遵守本合同或法律所要求的与质量保证有关的义务或责任；</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②被视为甲方应对质量保证与质量控制方案承担任何责任。</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8.14甲方提供的建设条件</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甲方积极协调有关各方为建设提供项目建设用地、道路、通水、通电等前期建设的必备条件。如因现场施工未能提供水电接驳口，乙方需采用自发电施工的，自发电的费用由甲方承担，给予乙方按实签证确认。</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8.15建设期的审查和审批事项</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（1）项目公司在开工前应完善各项审批事项，甲方应予以提供协助。</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项目公司在开始建设工程之前，须建立一套完整的质量保证和质量控制方案交甲方审查确认后执行，并作为验收依据之一。甲方在收到该质量保证与质量控制方案后的10个工作日内，应提出审查意见；甲方在收到项目公司的方案后的10个工作日内没有提出审查意见则视为认可该方案。如甲方的审查意见要求项目公司进行修改的，则项目公司应当在收到甲方通知后的10个工作日内修正该方案并将其重新提交给甲方审查确认后方可执行；</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（3）在不影响项目公司履行本合同项下义务的情况下，甲方有权在施工时间内对项目公司或承包商履约情况进行检查，以保证项目公司工程的任何部分均符合本合同的要求，项目公司须对此项检查予以协助。</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8.16实际投资认定</w:t>
      </w:r>
    </w:p>
    <w:p>
      <w:pPr>
        <w:widowControl/>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建设期实际投资根据工程财务决算的土建费用、设备购置及安装费用、工程建设其它费等确定，最终以政府批复的竣工财务决算为准。</w:t>
      </w:r>
    </w:p>
    <w:p>
      <w:pPr>
        <w:pStyle w:val="3"/>
        <w:spacing w:line="360" w:lineRule="auto"/>
        <w:jc w:val="both"/>
        <w:rPr>
          <w:rFonts w:asciiTheme="minorEastAsia" w:hAnsiTheme="minorEastAsia"/>
        </w:rPr>
      </w:pPr>
      <w:bookmarkStart w:id="427" w:name="_Toc28802"/>
      <w:bookmarkStart w:id="428" w:name="_Toc522897554"/>
      <w:bookmarkStart w:id="429" w:name="_Toc50993468"/>
      <w:r>
        <w:rPr>
          <w:rFonts w:asciiTheme="minorEastAsia" w:hAnsiTheme="minorEastAsia"/>
        </w:rPr>
        <w:t>第9条  项目的运营维护</w:t>
      </w:r>
      <w:bookmarkEnd w:id="427"/>
      <w:bookmarkEnd w:id="428"/>
      <w:bookmarkEnd w:id="429"/>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 xml:space="preserve">9.1开始运营的条件、程序和内容 </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9.1.1开始运营的前提条件</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（1）供水厂/污水处理厂项目工程竣工验收合格；或</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（2）供水厂/污水处理厂处于连续稳定运行状态，且连续</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10</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日出水满足《</w:t>
      </w:r>
      <w:r>
        <w:rPr>
          <w:rFonts w:asciiTheme="minorEastAsia" w:hAnsiTheme="minorEastAsia" w:eastAsiaTheme="minorEastAsia"/>
          <w:sz w:val="24"/>
        </w:rPr>
        <w:t>运营维护服务协议</w:t>
      </w:r>
      <w:r>
        <w:rPr>
          <w:rFonts w:asciiTheme="minorEastAsia" w:hAnsiTheme="minorEastAsia" w:eastAsiaTheme="minorEastAsia"/>
          <w:kern w:val="0"/>
          <w:sz w:val="24"/>
        </w:rPr>
        <w:t>》约定的出水水质标准。</w:t>
      </w:r>
    </w:p>
    <w:p>
      <w:pPr>
        <w:widowControl/>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（3）其他约定</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1）甲方在合作期内提供土地给项目公司使用。</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2）甲方协调供水、供电、排水等相关部门，保证乙方能够正常运营。</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3）如项目范围内有企业污水必须并入本项目管网的，企业排污各个指标必须满足《污水排入城镇下水道水质标准》(GB/T 31962-2015)及相关行业标准，避免有毒有害的高浓度企业废水进入污水处理厂，防止因企业偷排造成的处理负荷的波动、处理生物的中毒等而导致污水处理厂系统瘫痪问题。如超高浓度废水、含毒废水排入污水处理厂，造成污水处理厂瘫痪，甲方应给予相应经济补偿。</w:t>
      </w:r>
    </w:p>
    <w:p>
      <w:pPr>
        <w:widowControl/>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由于征地等甲方原因无法按时完成施工，乙方给予宽限期6个月，若在宽限期到期后仍无法完成施工的，启动项目结（决）算审计程序，项目自宽限期到期的次日进入正式商业运营。</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9.1.2开始运营程序</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1）在满足第9.1.1款约定的前提条件下，乙方应在计划开始运营日前向甲方提出开始运营的书面申请并提交证明其满足第9.1.1款约定条件的证明文件（包括：供水厂、污水处理厂调试计划的实施情况，预计开始商业运营的日期，处理厂调试阶段内运行情况的日报表，以及其他能够说明其已具备运营条件的书面材料）。甲方自收到前款所述书面申请之日起</w:t>
      </w:r>
      <w:r>
        <w:rPr>
          <w:rFonts w:asciiTheme="minorEastAsia" w:hAnsiTheme="minorEastAsia" w:eastAsiaTheme="minorEastAsia"/>
          <w:b/>
          <w:sz w:val="24"/>
          <w:u w:val="single"/>
        </w:rPr>
        <w:t xml:space="preserve"> 7 </w:t>
      </w:r>
      <w:r>
        <w:rPr>
          <w:rFonts w:asciiTheme="minorEastAsia" w:hAnsiTheme="minorEastAsia" w:eastAsiaTheme="minorEastAsia"/>
          <w:kern w:val="0"/>
          <w:sz w:val="24"/>
        </w:rPr>
        <w:t>日内书面通知乙方是否同意其开始运营以及开始运营的确定日期，如果不同意须同时书面陈述理由及整改要求。如果甲方不同意乙方开始运营的申请，乙方在收到甲方不同意开始运营的书面通知后，应按照甲方的意见，尽快纠正其存在的问题，并按照前述约定重新申请开始运营。</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（2）如甲方未于前述</w:t>
      </w:r>
      <w:r>
        <w:rPr>
          <w:rFonts w:asciiTheme="minorEastAsia" w:hAnsiTheme="minorEastAsia" w:eastAsiaTheme="minorEastAsia"/>
          <w:b/>
          <w:sz w:val="24"/>
          <w:u w:val="single"/>
        </w:rPr>
        <w:t xml:space="preserve"> 7 </w:t>
      </w:r>
      <w:r>
        <w:rPr>
          <w:rFonts w:asciiTheme="minorEastAsia" w:hAnsiTheme="minorEastAsia" w:eastAsiaTheme="minorEastAsia"/>
          <w:kern w:val="0"/>
          <w:sz w:val="24"/>
        </w:rPr>
        <w:t>日内发出同意或不同意的书面通知、或未陈述不同意乙方商业运营的原因及整改要求，视为同意乙方开始运营，开始运营日为乙方申请文件提交给甲方后的次日。</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自商业运营日起，甲方按照第13条的约定及时、足额支付运营补贴。</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由于</w:t>
      </w:r>
      <w:r>
        <w:rPr>
          <w:rFonts w:hint="eastAsia" w:asciiTheme="minorEastAsia" w:hAnsiTheme="minorEastAsia" w:eastAsiaTheme="minorEastAsia"/>
          <w:kern w:val="0"/>
          <w:sz w:val="24"/>
        </w:rPr>
        <w:t>工业园区</w:t>
      </w:r>
      <w:r>
        <w:rPr>
          <w:rFonts w:asciiTheme="minorEastAsia" w:hAnsiTheme="minorEastAsia" w:eastAsiaTheme="minorEastAsia"/>
          <w:kern w:val="0"/>
          <w:sz w:val="24"/>
        </w:rPr>
        <w:t>配套管网建设未纳入本PPP项目，如因配套管网建设</w:t>
      </w:r>
      <w:r>
        <w:rPr>
          <w:rFonts w:hint="eastAsia" w:asciiTheme="minorEastAsia" w:hAnsiTheme="minorEastAsia" w:eastAsiaTheme="minorEastAsia"/>
          <w:kern w:val="0"/>
          <w:sz w:val="24"/>
        </w:rPr>
        <w:t>原因</w:t>
      </w:r>
      <w:r>
        <w:rPr>
          <w:rFonts w:asciiTheme="minorEastAsia" w:hAnsiTheme="minorEastAsia" w:eastAsiaTheme="minorEastAsia"/>
          <w:kern w:val="0"/>
          <w:sz w:val="24"/>
        </w:rPr>
        <w:t>导致供水厂、污水处理厂无法</w:t>
      </w:r>
      <w:r>
        <w:rPr>
          <w:rFonts w:hint="eastAsia" w:asciiTheme="minorEastAsia" w:hAnsiTheme="minorEastAsia" w:eastAsiaTheme="minorEastAsia"/>
          <w:kern w:val="0"/>
          <w:sz w:val="24"/>
        </w:rPr>
        <w:t>通过最终环保验收甚至不能通过竣工验收，</w:t>
      </w:r>
      <w:r>
        <w:rPr>
          <w:rFonts w:asciiTheme="minorEastAsia" w:hAnsiTheme="minorEastAsia" w:eastAsiaTheme="minorEastAsia"/>
          <w:kern w:val="0"/>
          <w:sz w:val="24"/>
        </w:rPr>
        <w:t>实现运行或稳定运行的（包括运营负荷无法满足设计或政策要求、水质波动超出设计范围等），乙方不需承担违约责任。甲方应在项目竣工验收之日起30日内协调解决上述问题。如得不到解决，自项目</w:t>
      </w:r>
      <w:r>
        <w:rPr>
          <w:rFonts w:hint="eastAsia" w:asciiTheme="minorEastAsia" w:hAnsiTheme="minorEastAsia" w:eastAsiaTheme="minorEastAsia"/>
          <w:kern w:val="0"/>
          <w:sz w:val="24"/>
        </w:rPr>
        <w:t>主体工程质量验收合格</w:t>
      </w:r>
      <w:r>
        <w:rPr>
          <w:rFonts w:asciiTheme="minorEastAsia" w:hAnsiTheme="minorEastAsia" w:eastAsiaTheme="minorEastAsia"/>
          <w:kern w:val="0"/>
          <w:sz w:val="24"/>
        </w:rPr>
        <w:t>后第31日起开始计算运营补贴（包括可行性缺口和使用者付费），其补贴金额按照《实施方案》中估算值支付。</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（3）环保验收</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乙方应在开始运营30日届满后的合理期限内向环保行政主管部门申请环保验收。环保验收应在竣工验收后一年内完成。</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非乙方原因造成供水需求、污水进水水量不足的，甲方有义务出面协调解决。项目公司向甲方提出书面协调申请，甲方在收到项目公司书面协调申请之日起30天内仍不能在接入点向项目公司提供足量的供水需求和污水进水而导致项目不能进行环保验收，责任由甲方承担，甲方应及时、足额支付运营补贴。</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9.1.3 项目运营内容</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由乙方负责本项目合作范围内的项目设施的运营维护，具体运营内容包括：</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（1）给水厂区（近期）范围内的土建、设备及其他附属工程的运营维护；工业取水泵站及配套取水管、生活转输泵站及配套取水管的运营维护。</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（2）污水处理厂区（近期）范围内的土建、设备及其他附属工程的运营维护；尾水输送管的运营维护。</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（3）如政府方要求将非本项目建设范围内的管网（或其他内容）纳入本项目运营维护范围的，维护范围、标准和相关费用另行约定。</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4）其中项目范围内厂区外管网维护，主要包括：管道巡视检查，人工清理边沟、截水沟、排水沟、检查井、雨水井周边垃圾，中小管道的日常疏通，阀门井及检查井盖、座调换，阀门养护及维修、管网故障上报等。乙方不可免除由于自身设计、施工等质量原因造成的管网损坏等责任。</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不包括：</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1）围墙拆除、室外机械破除砼、人工挖土、室外污水及供水水管拆除安装、检查井、阀门井拆除安装、广场砖及人行道路面砖修复等维修。</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2）检查井、雨水井，深入边沟、截水沟、排水沟管网等井下作业垃圾疏通。</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3）人为恶意破坏、施工或第三方破坏导致的管网及配套设施损坏，以及由此造成的人员伤亡等。</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9.2运营维护要求</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9.2.1乙方的主要责任</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（1）在整个运营期内，乙方应当承担运营费用和风险，负责管理、运营维护项目设施。</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（2）乙方应建立运营维护质量保证和质量控制的具体措施和制度交甲方确认后执行。</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（3）乙方应确保在整个合作期内，始终根据下列规定运营维护项目设施：</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a. 适用法律；</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b. 经甲方审核确定的运营维护方案；</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c. 运营维护手册以及与项目设施有关的设备制造商提供的一切有关手册、指导和建议；</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d. 谨慎工程和运营惯例;</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e. 本合同和《运营维护服务协议》下对项目运营的其他所有要求。</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（4）乙方应确保项目设施始终处于良好营运状态并能够以安全、连续和稳定的方式提供符合适用法律和本</w:t>
      </w:r>
      <w:r>
        <w:rPr>
          <w:rFonts w:asciiTheme="minorEastAsia" w:hAnsiTheme="minorEastAsia" w:eastAsiaTheme="minorEastAsia"/>
          <w:sz w:val="24"/>
        </w:rPr>
        <w:t>合同</w:t>
      </w:r>
      <w:r>
        <w:rPr>
          <w:rFonts w:asciiTheme="minorEastAsia" w:hAnsiTheme="minorEastAsia" w:eastAsiaTheme="minorEastAsia"/>
          <w:kern w:val="0"/>
          <w:sz w:val="24"/>
        </w:rPr>
        <w:t>要求的服务。</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（5）乙方应按照甲方要求提交运营成本资料以及甲方可合理要求提供的有关乙方财务状况的其他资料。</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6）本合同生效日后，项目开始运营前，乙方须向甲方提交运营维护方案，并经甲方审核同意后执行；乙方应当根据经审核确定的运营维护方案等要求编制运营维护手册（手册应包括进行定期和年度检查、日常运行维护、大修维护和年度维护的程序和计划，以及调整和改进检验及维护安排的程序和计划），并报甲方备案。</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9.2.2运营、维护和修理记录</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乙方应确保：</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（1）对项目运营、维护和修理的情况进行详细记录；</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（2）准许甲方在给予合理通知后在正常工作时间对其运营维护情况进行检查并查阅和复制上述记录。</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9.2.3监督与检查</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1）甲方有权派出监督员或者指定代表在任何时候进入项目场地，以监察项目设施的运营维护。但是，甲方监督员或其指定代表进入项目场地或乙方的办公场所不应不适当地干涉乙方对项目的正常运营维护工作。</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（2）应甲方的要求，乙方应提供下列文件：</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a．自开始运营日起，在每个季度结束后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7</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日内向甲方提交当季项目运营维护报告；</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b．甲方认为必要的任何其他运营维护资料和信息。</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9.2.4运营服务标准及要求</w:t>
      </w:r>
    </w:p>
    <w:p>
      <w:pPr>
        <w:spacing w:before="80" w:after="80" w:line="360" w:lineRule="auto"/>
        <w:ind w:firstLine="422" w:firstLineChars="176"/>
        <w:rPr>
          <w:rFonts w:asciiTheme="minorEastAsia" w:hAnsiTheme="minorEastAsia" w:eastAsiaTheme="minorEastAsia"/>
          <w:sz w:val="24"/>
        </w:rPr>
      </w:pPr>
      <w:r>
        <w:rPr>
          <w:rFonts w:asciiTheme="minorEastAsia" w:hAnsiTheme="minorEastAsia" w:eastAsiaTheme="minorEastAsia"/>
          <w:kern w:val="0"/>
          <w:sz w:val="24"/>
          <w:lang w:val="en-GB"/>
        </w:rPr>
        <w:t>（1）</w:t>
      </w:r>
      <w:r>
        <w:rPr>
          <w:rFonts w:asciiTheme="minorEastAsia" w:hAnsiTheme="minorEastAsia" w:eastAsiaTheme="minorEastAsia"/>
          <w:sz w:val="24"/>
        </w:rPr>
        <w:t>设计出水水质</w:t>
      </w:r>
    </w:p>
    <w:p>
      <w:pPr>
        <w:spacing w:before="80" w:after="80" w:line="360" w:lineRule="auto"/>
        <w:ind w:firstLine="422" w:firstLineChars="176"/>
        <w:rPr>
          <w:rFonts w:asciiTheme="minorEastAsia" w:hAnsiTheme="minorEastAsia" w:eastAsiaTheme="minorEastAsia"/>
          <w:kern w:val="0"/>
          <w:sz w:val="24"/>
          <w:lang w:val="en-GB"/>
        </w:rPr>
      </w:pPr>
      <w:r>
        <w:rPr>
          <w:rFonts w:asciiTheme="minorEastAsia" w:hAnsiTheme="minorEastAsia" w:eastAsiaTheme="minorEastAsia"/>
          <w:kern w:val="0"/>
          <w:sz w:val="24"/>
          <w:lang w:val="en-GB"/>
        </w:rPr>
        <w:t>1）工业供水出水水质：</w:t>
      </w:r>
    </w:p>
    <w:p>
      <w:pPr>
        <w:pStyle w:val="1424"/>
        <w:jc w:val="both"/>
        <w:rPr>
          <w:rFonts w:asciiTheme="minorEastAsia" w:hAnsiTheme="minorEastAsia"/>
          <w:b w:val="0"/>
          <w:bCs/>
          <w:lang w:val="en-GB"/>
        </w:rPr>
      </w:pPr>
      <w:r>
        <w:rPr>
          <w:rFonts w:asciiTheme="minorEastAsia" w:hAnsiTheme="minorEastAsia"/>
          <w:b w:val="0"/>
          <w:bCs/>
          <w:lang w:val="en-GB"/>
        </w:rPr>
        <w:t>表</w:t>
      </w:r>
      <w:r>
        <w:rPr>
          <w:rFonts w:hint="eastAsia" w:asciiTheme="minorEastAsia" w:hAnsiTheme="minorEastAsia"/>
          <w:b w:val="0"/>
          <w:bCs/>
        </w:rPr>
        <w:t>9.2</w:t>
      </w:r>
      <w:r>
        <w:rPr>
          <w:rFonts w:asciiTheme="minorEastAsia" w:hAnsiTheme="minorEastAsia"/>
          <w:b w:val="0"/>
          <w:bCs/>
          <w:lang w:val="en-GB"/>
        </w:rPr>
        <w:t>-1 工业供水水质要求</w:t>
      </w:r>
    </w:p>
    <w:tbl>
      <w:tblPr>
        <w:tblStyle w:val="55"/>
        <w:tblW w:w="5000" w:type="pct"/>
        <w:tblInd w:w="0" w:type="dxa"/>
        <w:tblLayout w:type="autofit"/>
        <w:tblCellMar>
          <w:top w:w="0" w:type="dxa"/>
          <w:left w:w="108" w:type="dxa"/>
          <w:bottom w:w="0" w:type="dxa"/>
          <w:right w:w="108" w:type="dxa"/>
        </w:tblCellMar>
      </w:tblPr>
      <w:tblGrid>
        <w:gridCol w:w="5580"/>
        <w:gridCol w:w="2942"/>
      </w:tblGrid>
      <w:tr>
        <w:tblPrEx>
          <w:tblCellMar>
            <w:top w:w="0" w:type="dxa"/>
            <w:left w:w="108" w:type="dxa"/>
            <w:bottom w:w="0" w:type="dxa"/>
            <w:right w:w="108" w:type="dxa"/>
          </w:tblCellMar>
        </w:tblPrEx>
        <w:trPr>
          <w:trHeight w:val="360" w:hRule="atLeast"/>
          <w:tblHeader/>
        </w:trPr>
        <w:tc>
          <w:tcPr>
            <w:tcW w:w="3274" w:type="pct"/>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 xml:space="preserve">指    标 </w:t>
            </w:r>
          </w:p>
        </w:tc>
        <w:tc>
          <w:tcPr>
            <w:tcW w:w="1726" w:type="pct"/>
            <w:tcBorders>
              <w:top w:val="single" w:color="auto" w:sz="4" w:space="0"/>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限    值</w:t>
            </w:r>
          </w:p>
        </w:tc>
      </w:tr>
      <w:tr>
        <w:tblPrEx>
          <w:tblCellMar>
            <w:top w:w="0" w:type="dxa"/>
            <w:left w:w="108" w:type="dxa"/>
            <w:bottom w:w="0" w:type="dxa"/>
            <w:right w:w="108" w:type="dxa"/>
          </w:tblCellMar>
        </w:tblPrEx>
        <w:trPr>
          <w:trHeight w:val="360"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1</w:t>
            </w:r>
            <w:r>
              <w:rPr>
                <w:rFonts w:asciiTheme="minorEastAsia" w:hAnsiTheme="minorEastAsia" w:eastAsiaTheme="minorEastAsia"/>
                <w:kern w:val="0"/>
                <w:szCs w:val="21"/>
              </w:rPr>
              <w:t>、微生物指标</w:t>
            </w:r>
            <w:r>
              <w:rPr>
                <w:rFonts w:asciiTheme="minorEastAsia" w:hAnsiTheme="minorEastAsia" w:eastAsiaTheme="minorEastAsia"/>
                <w:kern w:val="0"/>
                <w:szCs w:val="21"/>
                <w:vertAlign w:val="superscript"/>
              </w:rPr>
              <w:t>①</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总大肠菌群（MPN/100mL</w:t>
            </w:r>
            <w:r>
              <w:rPr>
                <w:rFonts w:asciiTheme="minorEastAsia" w:hAnsiTheme="minorEastAsia" w:eastAsiaTheme="minorEastAsia"/>
                <w:kern w:val="0"/>
                <w:szCs w:val="21"/>
              </w:rPr>
              <w:t>或</w:t>
            </w:r>
            <w:r>
              <w:rPr>
                <w:rFonts w:asciiTheme="minorEastAsia" w:hAnsiTheme="minorEastAsia" w:eastAsiaTheme="minorEastAsia"/>
                <w:kern w:val="0"/>
              </w:rPr>
              <w:t>CFU/100mL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不得检出</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耐热大肠菌群（MPN/100mL</w:t>
            </w:r>
            <w:r>
              <w:rPr>
                <w:rFonts w:asciiTheme="minorEastAsia" w:hAnsiTheme="minorEastAsia" w:eastAsiaTheme="minorEastAsia"/>
                <w:kern w:val="0"/>
                <w:szCs w:val="21"/>
              </w:rPr>
              <w:t>或</w:t>
            </w:r>
            <w:r>
              <w:rPr>
                <w:rFonts w:asciiTheme="minorEastAsia" w:hAnsiTheme="minorEastAsia" w:eastAsiaTheme="minorEastAsia"/>
                <w:kern w:val="0"/>
              </w:rPr>
              <w:t>CFU/100mL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不得检出</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大肠埃希氏菌（MPN/100mL</w:t>
            </w:r>
            <w:r>
              <w:rPr>
                <w:rFonts w:asciiTheme="minorEastAsia" w:hAnsiTheme="minorEastAsia" w:eastAsiaTheme="minorEastAsia"/>
                <w:kern w:val="0"/>
                <w:szCs w:val="21"/>
              </w:rPr>
              <w:t>或</w:t>
            </w:r>
            <w:r>
              <w:rPr>
                <w:rFonts w:asciiTheme="minorEastAsia" w:hAnsiTheme="minorEastAsia" w:eastAsiaTheme="minorEastAsia"/>
                <w:kern w:val="0"/>
              </w:rPr>
              <w:t>CFU/100mL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不得检出</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菌落总数（CFU/mL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100</w:t>
            </w:r>
          </w:p>
        </w:tc>
      </w:tr>
      <w:tr>
        <w:tblPrEx>
          <w:tblCellMar>
            <w:top w:w="0" w:type="dxa"/>
            <w:left w:w="108" w:type="dxa"/>
            <w:bottom w:w="0" w:type="dxa"/>
            <w:right w:w="108" w:type="dxa"/>
          </w:tblCellMar>
        </w:tblPrEx>
        <w:trPr>
          <w:trHeight w:val="360"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2</w:t>
            </w:r>
            <w:r>
              <w:rPr>
                <w:rFonts w:asciiTheme="minorEastAsia" w:hAnsiTheme="minorEastAsia" w:eastAsiaTheme="minorEastAsia"/>
                <w:kern w:val="0"/>
                <w:szCs w:val="21"/>
              </w:rPr>
              <w:t>、毒理指标</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砷（mg/L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0.01</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镉（mg/L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0.005</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铬（六价，mg/L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0.05</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铅（mg/L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0.01</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汞（mg/L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0.001</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硒（mg/L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0.01</w:t>
            </w:r>
          </w:p>
        </w:tc>
      </w:tr>
      <w:tr>
        <w:tblPrEx>
          <w:tblCellMar>
            <w:top w:w="0" w:type="dxa"/>
            <w:left w:w="108" w:type="dxa"/>
            <w:bottom w:w="0" w:type="dxa"/>
            <w:right w:w="108" w:type="dxa"/>
          </w:tblCellMar>
        </w:tblPrEx>
        <w:trPr>
          <w:trHeight w:val="360"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3</w:t>
            </w:r>
            <w:r>
              <w:rPr>
                <w:rFonts w:asciiTheme="minorEastAsia" w:hAnsiTheme="minorEastAsia" w:eastAsiaTheme="minorEastAsia"/>
                <w:kern w:val="0"/>
                <w:szCs w:val="21"/>
              </w:rPr>
              <w:t>、感官性状和一般化学指标</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色度（铂钴色度单位）</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15</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浑浊度（NTU</w:t>
            </w:r>
            <w:r>
              <w:rPr>
                <w:rFonts w:asciiTheme="minorEastAsia" w:hAnsiTheme="minorEastAsia" w:eastAsiaTheme="minorEastAsia"/>
                <w:kern w:val="0"/>
                <w:szCs w:val="21"/>
              </w:rPr>
              <w:t>－散射浊度单位）</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szCs w:val="21"/>
              </w:rPr>
            </w:pPr>
            <w:r>
              <w:rPr>
                <w:rFonts w:asciiTheme="minorEastAsia" w:hAnsiTheme="minorEastAsia" w:eastAsiaTheme="minorEastAsia"/>
                <w:kern w:val="0"/>
                <w:szCs w:val="21"/>
              </w:rPr>
              <w:t>1</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szCs w:val="21"/>
              </w:rPr>
            </w:pPr>
            <w:r>
              <w:rPr>
                <w:rFonts w:asciiTheme="minorEastAsia" w:hAnsiTheme="minorEastAsia" w:eastAsiaTheme="minorEastAsia"/>
                <w:kern w:val="0"/>
                <w:szCs w:val="21"/>
              </w:rPr>
              <w:t>臭和味</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无异臭、异味</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肉眼可见物</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无</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 xml:space="preserve">pH </w:t>
            </w:r>
            <w:r>
              <w:rPr>
                <w:rFonts w:asciiTheme="minorEastAsia" w:hAnsiTheme="minorEastAsia" w:eastAsiaTheme="minorEastAsia"/>
                <w:kern w:val="0"/>
                <w:szCs w:val="21"/>
              </w:rPr>
              <w:t>（</w:t>
            </w:r>
            <w:r>
              <w:rPr>
                <w:rFonts w:asciiTheme="minorEastAsia" w:hAnsiTheme="minorEastAsia" w:eastAsiaTheme="minorEastAsia"/>
                <w:kern w:val="0"/>
              </w:rPr>
              <w:t>pH</w:t>
            </w:r>
            <w:r>
              <w:rPr>
                <w:rFonts w:asciiTheme="minorEastAsia" w:hAnsiTheme="minorEastAsia" w:eastAsiaTheme="minorEastAsia"/>
                <w:kern w:val="0"/>
                <w:szCs w:val="21"/>
              </w:rPr>
              <w:t>单位）</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不小于6.5</w:t>
            </w:r>
            <w:r>
              <w:rPr>
                <w:rFonts w:asciiTheme="minorEastAsia" w:hAnsiTheme="minorEastAsia" w:eastAsiaTheme="minorEastAsia"/>
                <w:kern w:val="0"/>
                <w:szCs w:val="21"/>
              </w:rPr>
              <w:t>且不大于</w:t>
            </w:r>
            <w:r>
              <w:rPr>
                <w:rFonts w:asciiTheme="minorEastAsia" w:hAnsiTheme="minorEastAsia" w:eastAsiaTheme="minorEastAsia"/>
                <w:kern w:val="0"/>
              </w:rPr>
              <w:t>8.5</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铝（mg/L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0.2</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铁（mg/L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0.3</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锰（mg/L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0.1</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铜（mg/L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1</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锌（mg/L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1</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氯化物（mg/L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250</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硫酸盐（mg/L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250</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溶解性总固体（mg/L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1000</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总硬度（以CaCO</w:t>
            </w:r>
            <w:r>
              <w:rPr>
                <w:rFonts w:asciiTheme="minorEastAsia" w:hAnsiTheme="minorEastAsia" w:eastAsiaTheme="minorEastAsia"/>
                <w:kern w:val="0"/>
                <w:vertAlign w:val="subscript"/>
              </w:rPr>
              <w:t>3</w:t>
            </w:r>
            <w:r>
              <w:rPr>
                <w:rFonts w:asciiTheme="minorEastAsia" w:hAnsiTheme="minorEastAsia" w:eastAsiaTheme="minorEastAsia"/>
                <w:kern w:val="0"/>
              </w:rPr>
              <w:t>计，mg/L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450</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耗氧量（COD</w:t>
            </w:r>
            <w:r>
              <w:rPr>
                <w:rFonts w:asciiTheme="minorEastAsia" w:hAnsiTheme="minorEastAsia" w:eastAsiaTheme="minorEastAsia"/>
                <w:kern w:val="0"/>
                <w:vertAlign w:val="subscript"/>
              </w:rPr>
              <w:t>Mn</w:t>
            </w:r>
            <w:r>
              <w:rPr>
                <w:rFonts w:asciiTheme="minorEastAsia" w:hAnsiTheme="minorEastAsia" w:eastAsiaTheme="minorEastAsia"/>
                <w:kern w:val="0"/>
              </w:rPr>
              <w:t>法，以O</w:t>
            </w:r>
            <w:r>
              <w:rPr>
                <w:rFonts w:asciiTheme="minorEastAsia" w:hAnsiTheme="minorEastAsia" w:eastAsiaTheme="minorEastAsia"/>
                <w:kern w:val="0"/>
                <w:vertAlign w:val="subscript"/>
              </w:rPr>
              <w:t>2</w:t>
            </w:r>
            <w:r>
              <w:rPr>
                <w:rFonts w:asciiTheme="minorEastAsia" w:hAnsiTheme="minorEastAsia" w:eastAsiaTheme="minorEastAsia"/>
                <w:kern w:val="0"/>
              </w:rPr>
              <w:t>计，mg/L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3</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挥发酚类（以苯酚计，mg/L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0.002</w:t>
            </w:r>
          </w:p>
        </w:tc>
      </w:tr>
      <w:tr>
        <w:tblPrEx>
          <w:tblCellMar>
            <w:top w:w="0" w:type="dxa"/>
            <w:left w:w="108" w:type="dxa"/>
            <w:bottom w:w="0" w:type="dxa"/>
            <w:right w:w="108" w:type="dxa"/>
          </w:tblCellMar>
        </w:tblPrEx>
        <w:trPr>
          <w:trHeight w:val="360" w:hRule="atLeast"/>
        </w:trPr>
        <w:tc>
          <w:tcPr>
            <w:tcW w:w="3274" w:type="pct"/>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阴离子合成洗涤剂（mg/L</w:t>
            </w:r>
            <w:r>
              <w:rPr>
                <w:rFonts w:asciiTheme="minorEastAsia" w:hAnsiTheme="minorEastAsia" w:eastAsiaTheme="minorEastAsia"/>
                <w:kern w:val="0"/>
                <w:szCs w:val="21"/>
              </w:rPr>
              <w:t>）</w:t>
            </w:r>
          </w:p>
        </w:tc>
        <w:tc>
          <w:tcPr>
            <w:tcW w:w="1726" w:type="pct"/>
            <w:tcBorders>
              <w:top w:val="nil"/>
              <w:left w:val="nil"/>
              <w:bottom w:val="single" w:color="auto" w:sz="4" w:space="0"/>
              <w:right w:val="single" w:color="auto" w:sz="4" w:space="0"/>
            </w:tcBorders>
            <w:vAlign w:val="center"/>
          </w:tcPr>
          <w:p>
            <w:pPr>
              <w:widowControl/>
              <w:rPr>
                <w:rFonts w:asciiTheme="minorEastAsia" w:hAnsiTheme="minorEastAsia" w:eastAsiaTheme="minorEastAsia"/>
                <w:kern w:val="0"/>
              </w:rPr>
            </w:pPr>
            <w:r>
              <w:rPr>
                <w:rFonts w:asciiTheme="minorEastAsia" w:hAnsiTheme="minorEastAsia" w:eastAsiaTheme="minorEastAsia"/>
                <w:kern w:val="0"/>
              </w:rPr>
              <w:t>0.3</w:t>
            </w:r>
          </w:p>
        </w:tc>
      </w:tr>
      <w:tr>
        <w:tblPrEx>
          <w:tblCellMar>
            <w:top w:w="0" w:type="dxa"/>
            <w:left w:w="108" w:type="dxa"/>
            <w:bottom w:w="0" w:type="dxa"/>
            <w:right w:w="108" w:type="dxa"/>
          </w:tblCellMar>
        </w:tblPrEx>
        <w:trPr>
          <w:trHeight w:val="360"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sz w:val="16"/>
              </w:rPr>
            </w:pPr>
            <w:r>
              <w:rPr>
                <w:rFonts w:asciiTheme="minorEastAsia" w:hAnsiTheme="minorEastAsia" w:eastAsiaTheme="minorEastAsia"/>
                <w:kern w:val="0"/>
                <w:sz w:val="16"/>
                <w:szCs w:val="16"/>
              </w:rPr>
              <w:t>①</w:t>
            </w:r>
            <w:r>
              <w:rPr>
                <w:rFonts w:asciiTheme="minorEastAsia" w:hAnsiTheme="minorEastAsia" w:eastAsiaTheme="minorEastAsia"/>
                <w:kern w:val="0"/>
                <w:sz w:val="16"/>
              </w:rPr>
              <w:t xml:space="preserve"> MPN</w:t>
            </w:r>
            <w:r>
              <w:rPr>
                <w:rFonts w:asciiTheme="minorEastAsia" w:hAnsiTheme="minorEastAsia" w:eastAsiaTheme="minorEastAsia"/>
                <w:kern w:val="0"/>
                <w:sz w:val="16"/>
                <w:szCs w:val="16"/>
              </w:rPr>
              <w:t>表示最可能数；</w:t>
            </w:r>
            <w:r>
              <w:rPr>
                <w:rFonts w:asciiTheme="minorEastAsia" w:hAnsiTheme="minorEastAsia" w:eastAsiaTheme="minorEastAsia"/>
                <w:kern w:val="0"/>
                <w:sz w:val="16"/>
              </w:rPr>
              <w:t>CFU</w:t>
            </w:r>
            <w:r>
              <w:rPr>
                <w:rFonts w:asciiTheme="minorEastAsia" w:hAnsiTheme="minorEastAsia" w:eastAsiaTheme="minorEastAsia"/>
                <w:kern w:val="0"/>
                <w:sz w:val="16"/>
                <w:szCs w:val="16"/>
              </w:rPr>
              <w:t>表示菌落形成单位。当水样检出总大肠菌群时，应进一步检验大肠埃希氏菌或耐热大肠菌群；水样未检出总大肠菌群，不必检验大肠埃希氏菌或耐热大肠菌群。</w:t>
            </w:r>
          </w:p>
        </w:tc>
      </w:tr>
      <w:tr>
        <w:tblPrEx>
          <w:tblCellMar>
            <w:top w:w="0" w:type="dxa"/>
            <w:left w:w="108" w:type="dxa"/>
            <w:bottom w:w="0" w:type="dxa"/>
            <w:right w:w="108" w:type="dxa"/>
          </w:tblCellMar>
        </w:tblPrEx>
        <w:trPr>
          <w:trHeight w:val="360"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sz w:val="16"/>
              </w:rPr>
            </w:pPr>
            <w:r>
              <w:rPr>
                <w:rFonts w:asciiTheme="minorEastAsia" w:hAnsiTheme="minorEastAsia" w:eastAsiaTheme="minorEastAsia"/>
                <w:kern w:val="0"/>
                <w:sz w:val="16"/>
                <w:szCs w:val="16"/>
              </w:rPr>
              <w:t>②放射性指标超过指导值，应进行核素分析和评价，判定能否饮用。</w:t>
            </w:r>
          </w:p>
        </w:tc>
      </w:tr>
      <w:tr>
        <w:tblPrEx>
          <w:tblCellMar>
            <w:top w:w="0" w:type="dxa"/>
            <w:left w:w="108" w:type="dxa"/>
            <w:bottom w:w="0" w:type="dxa"/>
            <w:right w:w="108" w:type="dxa"/>
          </w:tblCellMar>
        </w:tblPrEx>
        <w:trPr>
          <w:trHeight w:val="360"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kern w:val="0"/>
                <w:sz w:val="16"/>
                <w:szCs w:val="16"/>
              </w:rPr>
            </w:pPr>
            <w:r>
              <w:rPr>
                <w:rFonts w:asciiTheme="minorEastAsia" w:hAnsiTheme="minorEastAsia" w:eastAsiaTheme="minorEastAsia"/>
                <w:kern w:val="0"/>
                <w:sz w:val="16"/>
                <w:szCs w:val="16"/>
              </w:rPr>
              <w:t>③常规考核指标包括：色度、浑浊度、臭和味、氯化物（或游离余氯</w:t>
            </w:r>
            <w:r>
              <w:rPr>
                <w:rFonts w:hint="eastAsia" w:asciiTheme="minorEastAsia" w:hAnsiTheme="minorEastAsia" w:eastAsiaTheme="minorEastAsia"/>
                <w:kern w:val="0"/>
                <w:sz w:val="16"/>
                <w:szCs w:val="16"/>
              </w:rPr>
              <w:t>）</w:t>
            </w:r>
            <w:r>
              <w:rPr>
                <w:rFonts w:asciiTheme="minorEastAsia" w:hAnsiTheme="minorEastAsia" w:eastAsiaTheme="minorEastAsia"/>
                <w:kern w:val="0"/>
                <w:sz w:val="16"/>
                <w:szCs w:val="16"/>
              </w:rPr>
              <w:t>、菌落总数、总大肠菌群。</w:t>
            </w:r>
          </w:p>
        </w:tc>
      </w:tr>
    </w:tbl>
    <w:p>
      <w:pPr>
        <w:spacing w:before="80" w:after="80" w:line="360" w:lineRule="auto"/>
        <w:ind w:firstLine="422" w:firstLineChars="176"/>
        <w:rPr>
          <w:rFonts w:asciiTheme="minorEastAsia" w:hAnsiTheme="minorEastAsia" w:eastAsiaTheme="minorEastAsia"/>
          <w:kern w:val="0"/>
          <w:sz w:val="24"/>
          <w:lang w:val="en-GB"/>
        </w:rPr>
      </w:pPr>
      <w:r>
        <w:rPr>
          <w:rFonts w:asciiTheme="minorEastAsia" w:hAnsiTheme="minorEastAsia" w:eastAsiaTheme="minorEastAsia"/>
          <w:kern w:val="0"/>
          <w:sz w:val="24"/>
          <w:lang w:val="en-GB"/>
        </w:rPr>
        <w:t>2）生活给水出水水质：符合《生活饮用水卫生标准》（GB5749-2006）的要求。</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lang w:val="en-GB"/>
        </w:rPr>
        <w:t>3）</w:t>
      </w:r>
      <w:r>
        <w:rPr>
          <w:rFonts w:asciiTheme="minorEastAsia" w:hAnsiTheme="minorEastAsia" w:eastAsiaTheme="minorEastAsia"/>
          <w:kern w:val="0"/>
          <w:sz w:val="24"/>
        </w:rPr>
        <w:t>污水处理厂出水水质：符合《城镇污水处理厂污染物排放标准》（GB50069-2002）中一级A排放标准。项目污水处理厂处理后的尾水达标后排入河道、沟渠等，不得损害公共利益和他人的合法权益。若发生造成水体污染事件的，项目公司承担相应责任。</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（2）项目公司应承诺如果在运营期间国家、省、市有新的规定出台，按“12条”进行调整。</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（3）项目公司必须遵守国家和地方的法律法规，无条件地接受并服从政府有关部门对服务质量、生产安全、公司财务、水质监测等的监管。</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（4）项目公司应保证提供的服务达到甲方和国家相关规范的要求，接受甲方或其授权的第三方机构及政府有关部门对项目公司进行打分考核，考核结果与运营补贴挂钩。</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5）进水水质浓度超标，如污水处理项目有能力处理，则甲方应据实补偿给乙方因增加处理负荷造成的运行成本增加部分；如果污水处理项目没有能力处理，且持续时间超过3天的，由甲乙双方共同协商处理办法，乙方制定处理方案，经甲方同意后实施，费用应由甲方承担。在新的处理方案完成前，增加的费用由甲方承担，乙方豁免由此造成出水水质超标的责任。</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6）如果污水处理厂进水水质异常（如高浓度养殖废水排放等）情况需额外投加碳源或追加其他处理工艺造成成本大幅增加的，乙方有权提请甲方支付成本增加费用，甲方可聘请第三方机构进行审核确认，情况属实的应予以增补。</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9.2.5运营服务要求变更</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若项目公司除了提供供水、污水处理厂设施运营及维护服务外，另设其他与本项目无关的服务，必须书面请示甲方，得到甲方书面答复并允许的方可增加其他服务。</w:t>
      </w:r>
    </w:p>
    <w:p>
      <w:pPr>
        <w:spacing w:before="80" w:after="80" w:line="360" w:lineRule="auto"/>
        <w:ind w:firstLine="479" w:firstLineChars="199"/>
        <w:outlineLvl w:val="2"/>
        <w:rPr>
          <w:rFonts w:asciiTheme="minorEastAsia" w:hAnsiTheme="minorEastAsia" w:eastAsiaTheme="minorEastAsia"/>
          <w:b/>
          <w:sz w:val="24"/>
        </w:rPr>
      </w:pPr>
      <w:bookmarkStart w:id="430" w:name="_Hlk518316438"/>
      <w:r>
        <w:rPr>
          <w:rFonts w:asciiTheme="minorEastAsia" w:hAnsiTheme="minorEastAsia" w:eastAsiaTheme="minorEastAsia"/>
          <w:b/>
          <w:sz w:val="24"/>
        </w:rPr>
        <w:t>9.3运营期内的环境保护</w:t>
      </w:r>
    </w:p>
    <w:p>
      <w:pPr>
        <w:widowControl/>
        <w:spacing w:line="360" w:lineRule="auto"/>
        <w:ind w:firstLine="480"/>
        <w:rPr>
          <w:rFonts w:asciiTheme="minorEastAsia" w:hAnsiTheme="minorEastAsia" w:eastAsiaTheme="minorEastAsia"/>
          <w:kern w:val="0"/>
          <w:sz w:val="24"/>
        </w:rPr>
      </w:pPr>
      <w:r>
        <w:rPr>
          <w:rFonts w:asciiTheme="minorEastAsia" w:hAnsiTheme="minorEastAsia" w:eastAsiaTheme="minorEastAsia"/>
          <w:kern w:val="0"/>
          <w:sz w:val="24"/>
        </w:rPr>
        <w:t>9.3.1乙方不应在项目的运营维护过程中造成环境污染。</w:t>
      </w:r>
    </w:p>
    <w:p>
      <w:pPr>
        <w:widowControl/>
        <w:spacing w:line="360" w:lineRule="auto"/>
        <w:ind w:firstLine="480"/>
        <w:rPr>
          <w:rFonts w:asciiTheme="minorEastAsia" w:hAnsiTheme="minorEastAsia" w:eastAsiaTheme="minorEastAsia"/>
          <w:kern w:val="0"/>
          <w:sz w:val="24"/>
        </w:rPr>
      </w:pPr>
      <w:r>
        <w:rPr>
          <w:rFonts w:asciiTheme="minorEastAsia" w:hAnsiTheme="minorEastAsia" w:eastAsiaTheme="minorEastAsia"/>
          <w:kern w:val="0"/>
          <w:sz w:val="24"/>
        </w:rPr>
        <w:t>9.3.2乙方应当执行适用法律规定、政府及相关部门的规定或要求，公布相应的环保信息。</w:t>
      </w:r>
    </w:p>
    <w:p>
      <w:pPr>
        <w:widowControl/>
        <w:spacing w:line="360" w:lineRule="auto"/>
        <w:ind w:firstLine="480"/>
        <w:rPr>
          <w:rFonts w:asciiTheme="minorEastAsia" w:hAnsiTheme="minorEastAsia" w:eastAsiaTheme="minorEastAsia"/>
          <w:kern w:val="0"/>
          <w:sz w:val="24"/>
        </w:rPr>
      </w:pPr>
      <w:r>
        <w:rPr>
          <w:rFonts w:asciiTheme="minorEastAsia" w:hAnsiTheme="minorEastAsia" w:eastAsiaTheme="minorEastAsia"/>
          <w:kern w:val="0"/>
          <w:sz w:val="24"/>
        </w:rPr>
        <w:t>9.3.3乙方应当建立健全本单位环境信息公开制度，报经甲方同意后执行。</w:t>
      </w:r>
    </w:p>
    <w:p>
      <w:pPr>
        <w:widowControl/>
        <w:spacing w:line="360" w:lineRule="auto"/>
        <w:ind w:firstLine="480"/>
        <w:rPr>
          <w:rFonts w:asciiTheme="minorEastAsia" w:hAnsiTheme="minorEastAsia" w:eastAsiaTheme="minorEastAsia"/>
          <w:kern w:val="0"/>
          <w:sz w:val="24"/>
        </w:rPr>
      </w:pPr>
      <w:r>
        <w:rPr>
          <w:rFonts w:asciiTheme="minorEastAsia" w:hAnsiTheme="minorEastAsia" w:eastAsiaTheme="minorEastAsia"/>
          <w:kern w:val="0"/>
          <w:sz w:val="24"/>
        </w:rPr>
        <w:t>9.3.4乙方在项目设施的运营维护期间应根据本合同技术要求及国家的有关规定，采取一切合理措施来避免或尽量减少对项目周围设施、建筑物和居民区的干扰。</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9.4运营期违约及处理</w:t>
      </w:r>
      <w:bookmarkEnd w:id="430"/>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9.4.1甲方违约情形及处理</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运营期内发生下列情形，视为甲方违约：</w:t>
      </w:r>
    </w:p>
    <w:p>
      <w:pPr>
        <w:numPr>
          <w:ilvl w:val="0"/>
          <w:numId w:val="13"/>
        </w:numPr>
        <w:spacing w:before="80" w:after="80" w:line="360" w:lineRule="auto"/>
        <w:rPr>
          <w:rFonts w:asciiTheme="minorEastAsia" w:hAnsiTheme="minorEastAsia" w:eastAsiaTheme="minorEastAsia"/>
          <w:kern w:val="0"/>
          <w:sz w:val="24"/>
        </w:rPr>
      </w:pPr>
      <w:r>
        <w:rPr>
          <w:rFonts w:asciiTheme="minorEastAsia" w:hAnsiTheme="minorEastAsia" w:eastAsiaTheme="minorEastAsia"/>
          <w:kern w:val="0"/>
          <w:sz w:val="24"/>
        </w:rPr>
        <w:t>因甲方原因导致项目未能按期开始运营的；</w:t>
      </w:r>
    </w:p>
    <w:p>
      <w:pPr>
        <w:numPr>
          <w:ilvl w:val="0"/>
          <w:numId w:val="13"/>
        </w:numPr>
        <w:spacing w:before="80" w:after="80" w:line="360" w:lineRule="auto"/>
        <w:rPr>
          <w:rFonts w:asciiTheme="minorEastAsia" w:hAnsiTheme="minorEastAsia" w:eastAsiaTheme="minorEastAsia"/>
          <w:kern w:val="0"/>
          <w:sz w:val="24"/>
        </w:rPr>
      </w:pPr>
      <w:r>
        <w:rPr>
          <w:rFonts w:asciiTheme="minorEastAsia" w:hAnsiTheme="minorEastAsia" w:eastAsiaTheme="minorEastAsia"/>
          <w:sz w:val="24"/>
        </w:rPr>
        <w:t>甲方未按照本合同约定支付服务费</w:t>
      </w:r>
      <w:r>
        <w:rPr>
          <w:rFonts w:hint="eastAsia" w:asciiTheme="minorEastAsia" w:hAnsiTheme="minorEastAsia" w:eastAsiaTheme="minorEastAsia"/>
          <w:sz w:val="24"/>
        </w:rPr>
        <w:t>或未能及时支付补偿</w:t>
      </w:r>
      <w:r>
        <w:rPr>
          <w:rFonts w:asciiTheme="minorEastAsia" w:hAnsiTheme="minorEastAsia" w:eastAsiaTheme="minorEastAsia"/>
          <w:sz w:val="24"/>
        </w:rPr>
        <w:t>的；</w:t>
      </w:r>
    </w:p>
    <w:p>
      <w:pPr>
        <w:numPr>
          <w:ilvl w:val="0"/>
          <w:numId w:val="13"/>
        </w:numPr>
        <w:spacing w:before="80" w:after="80" w:line="360" w:lineRule="auto"/>
        <w:rPr>
          <w:rFonts w:asciiTheme="minorEastAsia" w:hAnsiTheme="minorEastAsia" w:eastAsiaTheme="minorEastAsia"/>
          <w:kern w:val="0"/>
          <w:sz w:val="24"/>
        </w:rPr>
      </w:pPr>
      <w:r>
        <w:rPr>
          <w:rFonts w:asciiTheme="minorEastAsia" w:hAnsiTheme="minorEastAsia" w:eastAsiaTheme="minorEastAsia"/>
          <w:kern w:val="0"/>
          <w:sz w:val="24"/>
        </w:rPr>
        <w:t>其他情形：</w:t>
      </w:r>
    </w:p>
    <w:p>
      <w:pPr>
        <w:spacing w:before="80" w:after="80" w:line="360" w:lineRule="auto"/>
        <w:rPr>
          <w:rFonts w:asciiTheme="minorEastAsia" w:hAnsiTheme="minorEastAsia" w:eastAsiaTheme="minorEastAsia"/>
          <w:kern w:val="0"/>
          <w:sz w:val="24"/>
          <w:u w:val="single"/>
        </w:rPr>
      </w:pPr>
      <w:r>
        <w:rPr>
          <w:rFonts w:asciiTheme="minorEastAsia" w:hAnsiTheme="minorEastAsia" w:eastAsiaTheme="minorEastAsia"/>
          <w:kern w:val="0"/>
          <w:sz w:val="24"/>
          <w:u w:val="single"/>
        </w:rPr>
        <w:t xml:space="preserve">                                                                     </w:t>
      </w:r>
    </w:p>
    <w:p>
      <w:pPr>
        <w:widowControl/>
        <w:rPr>
          <w:rFonts w:asciiTheme="minorEastAsia" w:hAnsiTheme="minorEastAsia" w:eastAsiaTheme="minorEastAsia"/>
          <w:kern w:val="0"/>
          <w:sz w:val="20"/>
          <w:szCs w:val="20"/>
        </w:rPr>
      </w:pPr>
      <w:r>
        <w:rPr>
          <w:rFonts w:asciiTheme="minorEastAsia" w:hAnsiTheme="minorEastAsia" w:eastAsiaTheme="minorEastAsia"/>
          <w:sz w:val="24"/>
          <w:u w:val="single"/>
        </w:rPr>
        <w:t xml:space="preserve">                                                                     </w:t>
      </w:r>
    </w:p>
    <w:p>
      <w:pPr>
        <w:spacing w:before="80" w:after="8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甲方发生本条约定的违约情形的，乙方有权向甲方发出书面通知要求其改正，甲方未在规定期限内予以改正的，乙方有权要求甲方承担以下违约责任：</w:t>
      </w: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在产生运营费用后，</w:t>
      </w:r>
      <w:r>
        <w:rPr>
          <w:rFonts w:asciiTheme="minorEastAsia" w:hAnsiTheme="minorEastAsia" w:eastAsiaTheme="minorEastAsia"/>
          <w:kern w:val="0"/>
          <w:sz w:val="24"/>
          <w:u w:val="single"/>
        </w:rPr>
        <w:t>每逾期一天按应付而未付金额的万分之</w:t>
      </w:r>
      <w:r>
        <w:rPr>
          <w:rFonts w:hint="eastAsia" w:asciiTheme="minorEastAsia" w:hAnsiTheme="minorEastAsia" w:eastAsiaTheme="minorEastAsia"/>
          <w:kern w:val="0"/>
          <w:sz w:val="24"/>
          <w:u w:val="single"/>
        </w:rPr>
        <w:t>三</w:t>
      </w:r>
      <w:r>
        <w:rPr>
          <w:rFonts w:asciiTheme="minorEastAsia" w:hAnsiTheme="minorEastAsia" w:eastAsiaTheme="minorEastAsia"/>
          <w:kern w:val="0"/>
          <w:sz w:val="24"/>
          <w:u w:val="single"/>
        </w:rPr>
        <w:t>向项目公司支付</w:t>
      </w:r>
      <w:r>
        <w:rPr>
          <w:rFonts w:hint="eastAsia" w:asciiTheme="minorEastAsia" w:hAnsiTheme="minorEastAsia" w:eastAsiaTheme="minorEastAsia"/>
          <w:kern w:val="0"/>
          <w:sz w:val="24"/>
          <w:u w:val="single"/>
        </w:rPr>
        <w:t>违约金或应给予项目公司弥补融资成本的赔偿（二者以较低值计取）</w:t>
      </w:r>
      <w:r>
        <w:rPr>
          <w:rFonts w:asciiTheme="minorEastAsia" w:hAnsiTheme="minorEastAsia" w:eastAsiaTheme="minorEastAsia"/>
          <w:kern w:val="0"/>
          <w:sz w:val="24"/>
        </w:rPr>
        <w:t>，并相应顺延项目合作期限。如甲方逾期改正超过</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90</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日，则乙方有权提出提前终止合同。</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9.4.2乙方违约情形及处理</w:t>
      </w:r>
    </w:p>
    <w:p>
      <w:pPr>
        <w:spacing w:before="80" w:after="8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运营期内发生下列情形，视为乙方违约：</w:t>
      </w:r>
    </w:p>
    <w:p>
      <w:pPr>
        <w:spacing w:before="80" w:after="8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（1）因乙方原因导致项目未能按期开始运营的；</w:t>
      </w:r>
    </w:p>
    <w:p>
      <w:pPr>
        <w:spacing w:before="80" w:after="8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（2）乙方未按照本合同约定以及谨慎工程和运营惯例对项目运营进行管理、监督和检测，导致运营质量未达到合同约定标准的；</w:t>
      </w:r>
    </w:p>
    <w:p>
      <w:pPr>
        <w:spacing w:before="80" w:after="8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（3）其他情形：</w:t>
      </w:r>
    </w:p>
    <w:p>
      <w:pPr>
        <w:spacing w:before="80" w:after="80" w:line="360" w:lineRule="auto"/>
        <w:rPr>
          <w:rFonts w:asciiTheme="minorEastAsia" w:hAnsiTheme="minorEastAsia" w:eastAsiaTheme="minorEastAsia"/>
          <w:kern w:val="0"/>
          <w:sz w:val="24"/>
          <w:u w:val="single"/>
        </w:rPr>
      </w:pP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因进水超标导致出水超标的，不能作为甲方认定乙方违约的理由，因上述原因导致出水超标的，乙方不承担违约责任，且不影响乙方按照本合同收取相关费用。</w:t>
      </w:r>
      <w:r>
        <w:rPr>
          <w:rFonts w:asciiTheme="minorEastAsia" w:hAnsiTheme="minorEastAsia" w:eastAsiaTheme="minorEastAsia"/>
          <w:kern w:val="0"/>
          <w:sz w:val="24"/>
          <w:u w:val="single"/>
        </w:rPr>
        <w:t xml:space="preserve">                                                                </w:t>
      </w:r>
    </w:p>
    <w:p>
      <w:pPr>
        <w:widowControl/>
        <w:rPr>
          <w:rFonts w:asciiTheme="minorEastAsia" w:hAnsiTheme="minorEastAsia" w:eastAsiaTheme="minorEastAsia"/>
          <w:kern w:val="0"/>
          <w:sz w:val="20"/>
          <w:szCs w:val="20"/>
        </w:rPr>
      </w:pPr>
      <w:r>
        <w:rPr>
          <w:rFonts w:asciiTheme="minorEastAsia" w:hAnsiTheme="minorEastAsia" w:eastAsiaTheme="minorEastAsia"/>
          <w:sz w:val="24"/>
          <w:u w:val="single"/>
        </w:rPr>
        <w:t xml:space="preserve">                                                                     </w:t>
      </w:r>
    </w:p>
    <w:p>
      <w:pPr>
        <w:spacing w:before="80" w:after="8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乙方发生本条约定的违约情形的，甲方有权向乙方发出书面通知要求其改正，乙方未在规定期限内予以改正的，甲方有权要求乙方承担</w:t>
      </w:r>
      <w:bookmarkStart w:id="431" w:name="_Hlk519500000"/>
      <w:r>
        <w:rPr>
          <w:rFonts w:hint="eastAsia" w:asciiTheme="minorEastAsia" w:hAnsiTheme="minorEastAsia" w:eastAsiaTheme="minorEastAsia"/>
          <w:kern w:val="0"/>
          <w:sz w:val="24"/>
        </w:rPr>
        <w:t>违约金</w:t>
      </w:r>
      <w:r>
        <w:rPr>
          <w:rFonts w:asciiTheme="minorEastAsia" w:hAnsiTheme="minorEastAsia" w:eastAsiaTheme="minorEastAsia"/>
          <w:kern w:val="0"/>
          <w:sz w:val="24"/>
        </w:rPr>
        <w:t>，</w:t>
      </w:r>
      <w:r>
        <w:rPr>
          <w:rFonts w:hint="eastAsia" w:asciiTheme="minorEastAsia" w:hAnsiTheme="minorEastAsia" w:eastAsiaTheme="minorEastAsia"/>
          <w:kern w:val="0"/>
          <w:sz w:val="24"/>
        </w:rPr>
        <w:t>违约金</w:t>
      </w:r>
      <w:r>
        <w:rPr>
          <w:rFonts w:asciiTheme="minorEastAsia" w:hAnsiTheme="minorEastAsia" w:eastAsiaTheme="minorEastAsia"/>
          <w:kern w:val="0"/>
          <w:sz w:val="24"/>
        </w:rPr>
        <w:t>按以下标准计算：_</w:t>
      </w:r>
      <w:r>
        <w:rPr>
          <w:rFonts w:hint="eastAsia" w:asciiTheme="minorEastAsia" w:hAnsiTheme="minorEastAsia" w:eastAsiaTheme="minorEastAsia"/>
          <w:kern w:val="0"/>
          <w:sz w:val="24"/>
          <w:u w:val="single"/>
        </w:rPr>
        <w:t>甲方以绩效考核方式及标准对乙方进行扣减</w:t>
      </w:r>
      <w:r>
        <w:rPr>
          <w:rFonts w:asciiTheme="minorEastAsia" w:hAnsiTheme="minorEastAsia" w:eastAsiaTheme="minorEastAsia"/>
          <w:kern w:val="0"/>
          <w:sz w:val="24"/>
        </w:rPr>
        <w:t>,甲方有权</w:t>
      </w:r>
      <w:bookmarkEnd w:id="431"/>
      <w:r>
        <w:rPr>
          <w:rFonts w:asciiTheme="minorEastAsia" w:hAnsiTheme="minorEastAsia" w:eastAsiaTheme="minorEastAsia"/>
          <w:kern w:val="0"/>
          <w:sz w:val="24"/>
        </w:rPr>
        <w:t>扣除或</w:t>
      </w:r>
      <w:r>
        <w:rPr>
          <w:rFonts w:asciiTheme="minorEastAsia" w:hAnsiTheme="minorEastAsia" w:eastAsiaTheme="minorEastAsia"/>
          <w:sz w:val="24"/>
        </w:rPr>
        <w:t>提取运维履约担保项下的相应金额</w:t>
      </w:r>
      <w:r>
        <w:rPr>
          <w:rFonts w:asciiTheme="minorEastAsia" w:hAnsiTheme="minorEastAsia" w:eastAsiaTheme="minorEastAsia"/>
          <w:kern w:val="0"/>
          <w:sz w:val="24"/>
        </w:rPr>
        <w:t>。如乙方逾期改正超过</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90</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日，则甲方有权提出提前终止合同。</w:t>
      </w:r>
    </w:p>
    <w:p>
      <w:pPr>
        <w:spacing w:before="80" w:after="80" w:line="360" w:lineRule="auto"/>
        <w:ind w:firstLine="479" w:firstLineChars="199"/>
        <w:outlineLvl w:val="2"/>
        <w:rPr>
          <w:rFonts w:asciiTheme="minorEastAsia" w:hAnsiTheme="minorEastAsia" w:eastAsiaTheme="minorEastAsia"/>
          <w:b/>
          <w:sz w:val="24"/>
        </w:rPr>
      </w:pPr>
      <w:bookmarkStart w:id="432" w:name="_Hlk525647029"/>
      <w:r>
        <w:rPr>
          <w:rFonts w:asciiTheme="minorEastAsia" w:hAnsiTheme="minorEastAsia" w:eastAsiaTheme="minorEastAsia"/>
          <w:b/>
          <w:sz w:val="24"/>
        </w:rPr>
        <w:t>9.5其他约定</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本合同上述条款未尽事宜，详见《运营维护服务协议》约定。</w:t>
      </w:r>
    </w:p>
    <w:bookmarkEnd w:id="432"/>
    <w:p>
      <w:pPr>
        <w:pStyle w:val="3"/>
        <w:spacing w:line="360" w:lineRule="auto"/>
        <w:jc w:val="both"/>
        <w:rPr>
          <w:rFonts w:asciiTheme="minorEastAsia" w:hAnsiTheme="minorEastAsia"/>
          <w:sz w:val="24"/>
          <w:szCs w:val="24"/>
        </w:rPr>
      </w:pPr>
      <w:bookmarkStart w:id="433" w:name="_Toc522897555"/>
      <w:bookmarkStart w:id="434" w:name="_Toc26219"/>
      <w:bookmarkStart w:id="435" w:name="_Toc50993469"/>
      <w:r>
        <w:rPr>
          <w:rFonts w:asciiTheme="minorEastAsia" w:hAnsiTheme="minorEastAsia"/>
        </w:rPr>
        <w:t>第10条  股权变更限制</w:t>
      </w:r>
      <w:bookmarkEnd w:id="433"/>
      <w:bookmarkEnd w:id="434"/>
      <w:bookmarkEnd w:id="435"/>
    </w:p>
    <w:p>
      <w:pPr>
        <w:pStyle w:val="1427"/>
        <w:spacing w:before="80" w:after="80" w:line="360" w:lineRule="auto"/>
        <w:ind w:firstLine="424" w:firstLineChars="177"/>
        <w:rPr>
          <w:rFonts w:asciiTheme="minorEastAsia" w:hAnsiTheme="minorEastAsia" w:eastAsiaTheme="minorEastAsia"/>
          <w:sz w:val="24"/>
          <w:szCs w:val="24"/>
        </w:rPr>
      </w:pPr>
      <w:bookmarkStart w:id="436" w:name="_Hlk5266959"/>
      <w:r>
        <w:rPr>
          <w:rFonts w:asciiTheme="minorEastAsia" w:hAnsiTheme="minorEastAsia" w:eastAsiaTheme="minorEastAsia"/>
          <w:sz w:val="24"/>
          <w:szCs w:val="24"/>
        </w:rPr>
        <w:t>股权锁定期以及对于股权变更的限制事宜，按照甲方与乙方之间签署的《合作协议》相关约定执行。</w:t>
      </w:r>
    </w:p>
    <w:bookmarkEnd w:id="436"/>
    <w:p>
      <w:pPr>
        <w:pStyle w:val="3"/>
        <w:spacing w:line="360" w:lineRule="auto"/>
        <w:jc w:val="both"/>
        <w:rPr>
          <w:rFonts w:asciiTheme="minorEastAsia" w:hAnsiTheme="minorEastAsia"/>
        </w:rPr>
      </w:pPr>
      <w:bookmarkStart w:id="437" w:name="_Toc50993470"/>
      <w:bookmarkStart w:id="438" w:name="_Toc522897556"/>
      <w:bookmarkStart w:id="439" w:name="_Toc4933"/>
      <w:r>
        <w:rPr>
          <w:rFonts w:asciiTheme="minorEastAsia" w:hAnsiTheme="minorEastAsia"/>
        </w:rPr>
        <w:t>第11条  项目绩效评价与中期评估</w:t>
      </w:r>
      <w:bookmarkEnd w:id="437"/>
      <w:bookmarkEnd w:id="438"/>
      <w:bookmarkEnd w:id="439"/>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11.1绩效评价主体</w:t>
      </w:r>
    </w:p>
    <w:p>
      <w:pPr>
        <w:spacing w:before="80" w:after="80" w:line="360" w:lineRule="auto"/>
        <w:ind w:firstLine="424" w:firstLineChars="177"/>
        <w:rPr>
          <w:rFonts w:asciiTheme="minorEastAsia" w:hAnsiTheme="minorEastAsia" w:eastAsiaTheme="minorEastAsia"/>
          <w:sz w:val="24"/>
        </w:rPr>
      </w:pPr>
      <w:bookmarkStart w:id="440" w:name="_Hlk525821565"/>
      <w:r>
        <w:rPr>
          <w:rFonts w:asciiTheme="minorEastAsia" w:hAnsiTheme="minorEastAsia" w:eastAsiaTheme="minorEastAsia"/>
          <w:sz w:val="24"/>
        </w:rPr>
        <w:t>本项目由</w:t>
      </w:r>
      <w:bookmarkEnd w:id="440"/>
      <w:r>
        <w:rPr>
          <w:rFonts w:asciiTheme="minorEastAsia" w:hAnsiTheme="minorEastAsia" w:eastAsiaTheme="minorEastAsia"/>
          <w:sz w:val="24"/>
        </w:rPr>
        <w:t>【□</w:t>
      </w:r>
      <w:bookmarkStart w:id="441" w:name="_Hlk525821569"/>
      <w:r>
        <w:rPr>
          <w:rFonts w:asciiTheme="minorEastAsia" w:hAnsiTheme="minorEastAsia" w:eastAsiaTheme="minorEastAsia"/>
          <w:sz w:val="24"/>
        </w:rPr>
        <w:t>甲方</w:t>
      </w:r>
      <w:bookmarkEnd w:id="441"/>
      <w:r>
        <w:rPr>
          <w:rFonts w:asciiTheme="minorEastAsia" w:hAnsiTheme="minorEastAsia" w:eastAsiaTheme="minorEastAsia"/>
          <w:sz w:val="24"/>
        </w:rPr>
        <w:t>自行；□</w:t>
      </w:r>
      <w:bookmarkStart w:id="442" w:name="_Hlk525821573"/>
      <w:r>
        <w:rPr>
          <w:rFonts w:asciiTheme="minorEastAsia" w:hAnsiTheme="minorEastAsia" w:eastAsiaTheme="minorEastAsia"/>
          <w:sz w:val="24"/>
        </w:rPr>
        <w:t>甲、乙</w:t>
      </w:r>
      <w:bookmarkEnd w:id="442"/>
      <w:r>
        <w:rPr>
          <w:rFonts w:asciiTheme="minorEastAsia" w:hAnsiTheme="minorEastAsia" w:eastAsiaTheme="minorEastAsia"/>
          <w:sz w:val="24"/>
        </w:rPr>
        <w:t>双方共同选择第三方机构；</w:t>
      </w:r>
      <w:r>
        <w:rPr>
          <w:rFonts w:hint="eastAsia" w:ascii="MS Mincho" w:hAnsi="MS Mincho" w:eastAsia="MS Mincho" w:cs="MS Mincho"/>
          <w:sz w:val="24"/>
        </w:rPr>
        <w:t>☑</w:t>
      </w:r>
      <w:r>
        <w:rPr>
          <w:rFonts w:asciiTheme="minorEastAsia" w:hAnsiTheme="minorEastAsia" w:eastAsiaTheme="minorEastAsia"/>
          <w:sz w:val="24"/>
        </w:rPr>
        <w:t>其他：甲方自行或甲、乙双方共同选择第三方机构或甲方选择的第三方机构】对乙方进行绩效评价，乙方应予以协助配合。相关委托产生的费用由甲方自行承担。甲方应根据合同约定，监督社会资本或项目公司履行合同义务，定期检测项目产出绩效指标，编制年报，并报财政部门（政府和社会资本合作中心）备案。</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11.2绩效评价标准和方法</w:t>
      </w:r>
    </w:p>
    <w:p>
      <w:pPr>
        <w:pStyle w:val="1427"/>
        <w:spacing w:before="80" w:after="80" w:line="360" w:lineRule="auto"/>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w:t>本项目绩效评价标准及评价方法，</w:t>
      </w:r>
      <w:r>
        <w:rPr>
          <w:rFonts w:asciiTheme="minorEastAsia" w:hAnsiTheme="minorEastAsia" w:eastAsiaTheme="minorEastAsia"/>
          <w:sz w:val="24"/>
        </w:rPr>
        <w:t>按照本合同附件</w:t>
      </w:r>
      <w:r>
        <w:rPr>
          <w:rFonts w:asciiTheme="minorEastAsia" w:hAnsiTheme="minorEastAsia" w:eastAsiaTheme="minorEastAsia"/>
          <w:sz w:val="24"/>
          <w:szCs w:val="24"/>
        </w:rPr>
        <w:t>《绩效评价管理办法》（附件1）执行。双方一致同意，项目实施过程中，若国家相关主管部门对于项目管理出台相关国家标准或者行业标准的，项目需按届时新标准规定执行，及时进行更新改造，相关费用另行商定。</w:t>
      </w:r>
    </w:p>
    <w:p>
      <w:pPr>
        <w:spacing w:before="80" w:after="80" w:line="360" w:lineRule="auto"/>
        <w:ind w:firstLine="479" w:firstLineChars="199"/>
        <w:outlineLvl w:val="2"/>
        <w:rPr>
          <w:rFonts w:asciiTheme="minorEastAsia" w:hAnsiTheme="minorEastAsia" w:eastAsiaTheme="minorEastAsia"/>
          <w:u w:val="single"/>
        </w:rPr>
      </w:pPr>
      <w:r>
        <w:rPr>
          <w:rFonts w:asciiTheme="minorEastAsia" w:hAnsiTheme="minorEastAsia" w:eastAsiaTheme="minorEastAsia"/>
          <w:b/>
          <w:sz w:val="24"/>
        </w:rPr>
        <w:t>11.3绩效评价程序</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11.3.1绩效评价包括定期评价和不定期评价，其中定期评价的频次为：建设期考核为竣工考核；运营期考核为季度考核，原则上在每个季度结束后</w:t>
      </w:r>
      <w:r>
        <w:rPr>
          <w:rFonts w:hint="eastAsia" w:asciiTheme="minorEastAsia" w:hAnsiTheme="minorEastAsia" w:eastAsiaTheme="minorEastAsia"/>
          <w:sz w:val="24"/>
        </w:rPr>
        <w:t>20</w:t>
      </w:r>
      <w:r>
        <w:rPr>
          <w:rFonts w:asciiTheme="minorEastAsia" w:hAnsiTheme="minorEastAsia" w:eastAsiaTheme="minorEastAsia"/>
          <w:sz w:val="24"/>
        </w:rPr>
        <w:t>个</w:t>
      </w:r>
      <w:r>
        <w:rPr>
          <w:rFonts w:hint="eastAsia" w:asciiTheme="minorEastAsia" w:hAnsiTheme="minorEastAsia" w:eastAsiaTheme="minorEastAsia"/>
          <w:sz w:val="24"/>
        </w:rPr>
        <w:t>日历</w:t>
      </w:r>
      <w:r>
        <w:rPr>
          <w:rFonts w:asciiTheme="minorEastAsia" w:hAnsiTheme="minorEastAsia" w:eastAsiaTheme="minorEastAsia"/>
          <w:sz w:val="24"/>
        </w:rPr>
        <w:t>日内（第四季度于12月31日前）完成考核。</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11.3.2绩效评价主体开展绩效评价的程序主要包括：</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（1）确定评价对象并下达评价通知；</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（2）确定评价工作人员并制定评价工作方案；</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（3）收集评价相关资料并进行审查核实；</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（4）进行现场走访和实地访谈；</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（5）综合分析并编制评价报告；</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（6）下达评价结论并归档；</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（7）其他约定：</w:t>
      </w:r>
      <w:r>
        <w:rPr>
          <w:rFonts w:asciiTheme="minorEastAsia" w:hAnsiTheme="minorEastAsia" w:eastAsiaTheme="minorEastAsia"/>
          <w:sz w:val="24"/>
          <w:u w:val="single"/>
        </w:rPr>
        <w:t xml:space="preserve">                                                   </w:t>
      </w:r>
    </w:p>
    <w:p>
      <w:pPr>
        <w:widowControl/>
        <w:spacing w:line="360" w:lineRule="auto"/>
        <w:rPr>
          <w:rFonts w:asciiTheme="minorEastAsia" w:hAnsiTheme="minorEastAsia" w:eastAsiaTheme="minorEastAsia"/>
          <w:sz w:val="20"/>
        </w:rPr>
      </w:pPr>
      <w:r>
        <w:rPr>
          <w:rFonts w:asciiTheme="minorEastAsia" w:hAnsiTheme="minorEastAsia" w:eastAsiaTheme="minorEastAsia"/>
          <w:sz w:val="24"/>
          <w:u w:val="single"/>
        </w:rPr>
        <w:t xml:space="preserve">                                                                     </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11.3.3甲方应在绩效评价完成后按照相关规定进行信息公开。</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11.3.4对于绩效评价报告中指出的问题，乙方应在接到甲方书面通知后，在通知要求的期限内进行整改。</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11.4第三方原因影响考核评价</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因第三方原因影响绩效评价结果的，乙方有权向甲方和绩效评价主体就有关事宜提出书面报告，甲方和绩效评价主体应在收到书面报告后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7</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日内做出处理。如确属第三方原因造成的，且乙方已为避免此种情形尽到合理努力的，则甲方和绩效评价主体应及时对绩效评价结果予以调整。</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11.5中期评估</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11.5.1中期评估是甲方为了全面了解项目设施状况、乙方的经营管理、服务和履约情况而组织的全面评估。</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11.5.2评估内容及程序</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（1）甲方在实施中期评估或年度评估时，将考察以下全部或部分内容：</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a．实际服务质量及执行约定标准的情况；</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b．项目设施运行、维修养护情况；</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c．服务费的执行及调价申请情况；</w:t>
      </w:r>
    </w:p>
    <w:p>
      <w:pPr>
        <w:spacing w:before="80" w:after="80" w:line="360" w:lineRule="auto"/>
        <w:ind w:firstLine="422" w:firstLineChars="176"/>
        <w:rPr>
          <w:rFonts w:asciiTheme="minorEastAsia" w:hAnsiTheme="minorEastAsia" w:eastAsiaTheme="minorEastAsia"/>
          <w:sz w:val="24"/>
        </w:rPr>
      </w:pPr>
      <w:r>
        <w:rPr>
          <w:rFonts w:asciiTheme="minorEastAsia" w:hAnsiTheme="minorEastAsia" w:eastAsiaTheme="minorEastAsia"/>
          <w:kern w:val="0"/>
          <w:sz w:val="24"/>
        </w:rPr>
        <w:t>d．关于项目设施的年度投资、建设、运营计划是否满足合作范围内的供水、污水收集、处理及达标排放，以及对污水处理工程专项规划的响应情况；</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e．公益性义务的承担情况；</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f．利益相关方的投诉情况及其处理效果；</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g．是否发生由于乙方原因导致的临时接管；</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h．评估期限内履约担保的提取和扣除情况；</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i．质量保证和质量控制方案、运营维护方案、安全制度的执行情况，重大事故的发生情况；</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j．企业年度经营规划、年度经营计划的执行或完成情况；</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k．乙方财务会计制度是否健全，提供财务报表、成本分析和经营情况报告的及时、准确、完整情况；</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l.应急预案的日常演练情况；</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m.报告制度、信息公开制度的执行情况；</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n.甲方认为需要评估的其他事项。</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（2）评估委员会</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中期评估或特殊情形下的年度评估由甲方组织有关部门成员、利益相关方代表和专业人士组成评估委员会进行；评估委员会成员的专业知识结构应该包括财务、价格、供水厂、污水处理厂和管网工程技术、安全、规划与建设、法律等。</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（3）评估报告及其效力</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a.评估委员会将向甲方出具评估报告，该报告应包括各项评估内容的实际执行情况、乙方需要全面或单项整改的意见、甲方是否实施临时接管的意见、价格及项目绩效评价调整建议等内容。</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b.甲方应将评估报告送达乙方，乙方应在收到评估报告之日起</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7</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日内提出书面异议并附异议详细情况说明和证据，否则视同无异议。</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c．甲方根据评估报告的意见最终决定向乙方发出整改通知的，应在通知中明确提出整改意见和整改期限以及是否开展价格、绩效评价等调整工作；实施临时接管的遵守本合同第17.1款临时接管的约定。</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11.5.3评估周期及费用承担</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（1）项目合作期限内每</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5</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年实施一次中期评估；甲方通过中期评估全面掌握评估期限内乙方履行本合同的情况。</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（2）当乙方在某一年度发生导致需要调整服务费的事项、不可抗力事件、项目设施新建等重大投资、临时接管等重大事件时，甲方有权决定在该等重大事件发生之前或之后对乙方实施综合的或专项的年度评估。</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（3）因中期评估或特定情形下的年度评估发生的费用由甲方承担，乙方应积极配合甲方的检查和评估。</w:t>
      </w:r>
    </w:p>
    <w:p>
      <w:pPr>
        <w:spacing w:before="80" w:after="80" w:line="360" w:lineRule="auto"/>
        <w:ind w:firstLine="422" w:firstLineChars="176"/>
        <w:rPr>
          <w:rFonts w:asciiTheme="minorEastAsia" w:hAnsiTheme="minorEastAsia" w:eastAsiaTheme="minorEastAsia"/>
          <w:sz w:val="24"/>
        </w:rPr>
      </w:pPr>
      <w:r>
        <w:rPr>
          <w:rFonts w:asciiTheme="minorEastAsia" w:hAnsiTheme="minorEastAsia" w:eastAsiaTheme="minorEastAsia"/>
          <w:sz w:val="24"/>
        </w:rPr>
        <w:t>（4）有关中期评估的其他约定：</w:t>
      </w:r>
    </w:p>
    <w:p>
      <w:pPr>
        <w:widowControl/>
        <w:spacing w:line="360" w:lineRule="auto"/>
        <w:rPr>
          <w:rFonts w:asciiTheme="minorEastAsia" w:hAnsiTheme="minorEastAsia" w:eastAsiaTheme="minorEastAsia"/>
          <w:u w:val="single"/>
        </w:rPr>
      </w:pPr>
      <w:r>
        <w:rPr>
          <w:rFonts w:asciiTheme="minorEastAsia" w:hAnsiTheme="minorEastAsia" w:eastAsiaTheme="minorEastAsia"/>
          <w:u w:val="single"/>
        </w:rPr>
        <w:t xml:space="preserve">                                                                               </w:t>
      </w:r>
    </w:p>
    <w:p>
      <w:pPr>
        <w:widowControl/>
        <w:spacing w:line="360" w:lineRule="auto"/>
        <w:rPr>
          <w:rFonts w:asciiTheme="minorEastAsia" w:hAnsiTheme="minorEastAsia" w:eastAsiaTheme="minorEastAsia"/>
          <w:sz w:val="20"/>
          <w:szCs w:val="20"/>
        </w:rPr>
      </w:pPr>
      <w:r>
        <w:rPr>
          <w:rFonts w:asciiTheme="minorEastAsia" w:hAnsiTheme="minorEastAsia" w:eastAsiaTheme="minorEastAsia"/>
          <w:sz w:val="24"/>
          <w:u w:val="single"/>
        </w:rPr>
        <w:t xml:space="preserve">                                                                     </w:t>
      </w:r>
    </w:p>
    <w:p>
      <w:pPr>
        <w:pStyle w:val="3"/>
        <w:spacing w:line="360" w:lineRule="auto"/>
        <w:jc w:val="both"/>
        <w:rPr>
          <w:rFonts w:asciiTheme="minorEastAsia" w:hAnsiTheme="minorEastAsia"/>
          <w:szCs w:val="28"/>
        </w:rPr>
      </w:pPr>
      <w:bookmarkStart w:id="443" w:name="_Toc19939"/>
      <w:bookmarkStart w:id="444" w:name="_Toc50993471"/>
      <w:bookmarkStart w:id="445" w:name="_Toc522897557"/>
      <w:r>
        <w:rPr>
          <w:rFonts w:asciiTheme="minorEastAsia" w:hAnsiTheme="minorEastAsia"/>
          <w:szCs w:val="28"/>
        </w:rPr>
        <w:t>第12条  定价与调价机制</w:t>
      </w:r>
      <w:bookmarkEnd w:id="443"/>
      <w:bookmarkEnd w:id="444"/>
      <w:bookmarkEnd w:id="445"/>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12.1服务费定价</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本项目服务费的初始价格采用以下第</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 xml:space="preserve">12.1.2 </w:t>
      </w:r>
      <w:r>
        <w:rPr>
          <w:rFonts w:asciiTheme="minorEastAsia" w:hAnsiTheme="minorEastAsia" w:eastAsiaTheme="minorEastAsia"/>
          <w:sz w:val="24"/>
        </w:rPr>
        <w:t>款确定：</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12.1.1 独立报价模式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该模式适用于甲方在运营期就乙方提供的污水处理服务和管网服务分别支付污水处理服务费和管网服务费的情形，关于初始污水处理服务费基本单价和初始管网服务费的具体约定如下：</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（1）初始污水处理服务费基本单价</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本项目初始污水处理服务费基本单价</w:t>
      </w:r>
      <w:r>
        <w:rPr>
          <w:rFonts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u w:val="single"/>
        </w:rPr>
        <w:t>/</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元/立方米【□含增值税价格；□不含增值税价格】。运营期内</w:t>
      </w:r>
      <w:r>
        <w:rPr>
          <w:rFonts w:asciiTheme="minorEastAsia" w:hAnsiTheme="minorEastAsia" w:eastAsiaTheme="minorEastAsia"/>
          <w:kern w:val="0"/>
          <w:sz w:val="24"/>
        </w:rPr>
        <w:t>如涉及到</w:t>
      </w:r>
      <w:r>
        <w:rPr>
          <w:rFonts w:asciiTheme="minorEastAsia" w:hAnsiTheme="minorEastAsia" w:eastAsiaTheme="minorEastAsia"/>
          <w:sz w:val="24"/>
        </w:rPr>
        <w:t>污水处理服务费基本单价调整的，执行本合同第12.3款的约定。</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具体污水处理服务费的计算和支付，执行本合同第13条的约定。</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（2）初始管网服务费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本项目初始管网服务费计：</w:t>
      </w:r>
      <w:r>
        <w:rPr>
          <w:rFonts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u w:val="single"/>
        </w:rPr>
        <w:t>/</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元/年【□含增值税价格；□不含增值税价格】。运营期内如涉及到管网服务费调整的，执行本合同第12.3款的约定。</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具体管网服务费的计算和支付，执行本合同第13条的约定。</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12.1.2 合并报价模式</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该模式适用于甲方在运营期就乙方提供的工业供水和管网服务、生活供水和管网服务、污水处理服务和管网服务分别合并支付厂网一体服务费的情形，关于初始厂网一体服务费基本单价具体约定如下：</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rPr>
        <w:t>（1）甲方应当向乙方支付的工业供水初始厂网一体服务费基本单价为：</w:t>
      </w:r>
      <w:r>
        <w:rPr>
          <w:rFonts w:asciiTheme="minorEastAsia" w:hAnsiTheme="minorEastAsia" w:eastAsiaTheme="minorEastAsia"/>
          <w:b/>
          <w:sz w:val="24"/>
          <w:u w:val="single"/>
        </w:rPr>
        <w:t>3.01</w:t>
      </w:r>
      <w:r>
        <w:rPr>
          <w:rFonts w:asciiTheme="minorEastAsia" w:hAnsiTheme="minorEastAsia" w:eastAsiaTheme="minorEastAsia"/>
          <w:sz w:val="24"/>
        </w:rPr>
        <w:t>元/立方米【</w:t>
      </w:r>
      <w:r>
        <w:rPr>
          <w:rFonts w:hint="eastAsia" w:ascii="MS Mincho" w:hAnsi="MS Mincho" w:eastAsia="MS Mincho" w:cs="MS Mincho"/>
          <w:sz w:val="24"/>
        </w:rPr>
        <w:t>☑</w:t>
      </w:r>
      <w:r>
        <w:rPr>
          <w:rFonts w:asciiTheme="minorEastAsia" w:hAnsiTheme="minorEastAsia" w:eastAsiaTheme="minorEastAsia"/>
          <w:sz w:val="24"/>
        </w:rPr>
        <w:t>含增值税价格；□不含增值税价格】，其中使用者付费（处理服务费）</w:t>
      </w:r>
      <w:r>
        <w:rPr>
          <w:rFonts w:hint="eastAsia" w:asciiTheme="minorEastAsia" w:hAnsiTheme="minorEastAsia" w:eastAsiaTheme="minorEastAsia"/>
          <w:sz w:val="24"/>
        </w:rPr>
        <w:t>加权</w:t>
      </w:r>
      <w:r>
        <w:rPr>
          <w:rFonts w:asciiTheme="minorEastAsia" w:hAnsiTheme="minorEastAsia" w:eastAsiaTheme="minorEastAsia"/>
          <w:sz w:val="24"/>
        </w:rPr>
        <w:t>单价为1.67元/立方米，（≥1万立方米/d的1.5元/立方米、＜1万立方米/d的1.8元/立方米）</w:t>
      </w:r>
      <w:r>
        <w:rPr>
          <w:rFonts w:hint="eastAsia" w:asciiTheme="minorEastAsia" w:hAnsiTheme="minorEastAsia" w:eastAsiaTheme="minorEastAsia"/>
          <w:sz w:val="24"/>
        </w:rPr>
        <w:t>；</w:t>
      </w:r>
      <w:r>
        <w:rPr>
          <w:rFonts w:asciiTheme="minorEastAsia" w:hAnsiTheme="minorEastAsia" w:eastAsiaTheme="minorEastAsia"/>
          <w:sz w:val="24"/>
        </w:rPr>
        <w:t>可行性缺口补助单价为1.34元/立方米</w:t>
      </w:r>
      <w:r>
        <w:rPr>
          <w:rFonts w:hint="eastAsia" w:asciiTheme="minorEastAsia" w:hAnsiTheme="minorEastAsia" w:eastAsiaTheme="minorEastAsia"/>
          <w:sz w:val="24"/>
        </w:rPr>
        <w:t>（</w:t>
      </w:r>
      <w:r>
        <w:rPr>
          <w:rFonts w:hint="eastAsia" w:asciiTheme="minorEastAsia" w:hAnsiTheme="minorEastAsia" w:eastAsiaTheme="minorEastAsia"/>
          <w:sz w:val="24"/>
          <w:u w:val="single"/>
        </w:rPr>
        <w:t>基本水量：</w:t>
      </w:r>
      <w:r>
        <w:rPr>
          <w:rFonts w:asciiTheme="minorEastAsia" w:hAnsiTheme="minorEastAsia" w:eastAsiaTheme="minorEastAsia"/>
          <w:sz w:val="24"/>
          <w:u w:val="single"/>
        </w:rPr>
        <w:t>第1年50%，第2年60%，第3～19年80%</w:t>
      </w:r>
      <w:r>
        <w:rPr>
          <w:rFonts w:hint="eastAsia" w:asciiTheme="minorEastAsia" w:hAnsiTheme="minorEastAsia" w:eastAsiaTheme="minorEastAsia"/>
          <w:sz w:val="24"/>
          <w:u w:val="single"/>
        </w:rPr>
        <w:t>条件下）。</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（2）甲方应当向乙方支付的生活供水初始厂网一体服务费基本单价为：</w:t>
      </w:r>
      <w:r>
        <w:rPr>
          <w:rFonts w:asciiTheme="minorEastAsia" w:hAnsiTheme="minorEastAsia" w:eastAsiaTheme="minorEastAsia"/>
          <w:b/>
          <w:sz w:val="24"/>
          <w:u w:val="single"/>
        </w:rPr>
        <w:t>4.</w:t>
      </w:r>
      <w:r>
        <w:rPr>
          <w:rFonts w:hint="eastAsia" w:asciiTheme="minorEastAsia" w:hAnsiTheme="minorEastAsia" w:eastAsiaTheme="minorEastAsia"/>
          <w:b/>
          <w:sz w:val="24"/>
          <w:u w:val="single"/>
        </w:rPr>
        <w:t>29</w:t>
      </w:r>
      <w:r>
        <w:rPr>
          <w:rFonts w:asciiTheme="minorEastAsia" w:hAnsiTheme="minorEastAsia" w:eastAsiaTheme="minorEastAsia"/>
          <w:sz w:val="24"/>
        </w:rPr>
        <w:t>元/立方米【</w:t>
      </w:r>
      <w:r>
        <w:rPr>
          <w:rFonts w:hint="eastAsia" w:ascii="MS Mincho" w:hAnsi="MS Mincho" w:eastAsia="MS Mincho" w:cs="MS Mincho"/>
          <w:sz w:val="24"/>
        </w:rPr>
        <w:t>☑</w:t>
      </w:r>
      <w:r>
        <w:rPr>
          <w:rFonts w:asciiTheme="minorEastAsia" w:hAnsiTheme="minorEastAsia" w:eastAsiaTheme="minorEastAsia"/>
          <w:sz w:val="24"/>
        </w:rPr>
        <w:t>含增值税价格；□不含增值税价格】，其中使用者付费（处理服务费）</w:t>
      </w:r>
      <w:r>
        <w:rPr>
          <w:rFonts w:hint="eastAsia" w:asciiTheme="minorEastAsia" w:hAnsiTheme="minorEastAsia" w:eastAsiaTheme="minorEastAsia"/>
          <w:sz w:val="24"/>
        </w:rPr>
        <w:t>综合</w:t>
      </w:r>
      <w:r>
        <w:rPr>
          <w:rFonts w:asciiTheme="minorEastAsia" w:hAnsiTheme="minorEastAsia" w:eastAsiaTheme="minorEastAsia"/>
          <w:sz w:val="24"/>
        </w:rPr>
        <w:t>单价为2.05元/立方米，可行性缺口补助单价为2.2</w:t>
      </w:r>
      <w:r>
        <w:rPr>
          <w:rFonts w:hint="eastAsia" w:asciiTheme="minorEastAsia" w:hAnsiTheme="minorEastAsia" w:eastAsiaTheme="minorEastAsia"/>
          <w:sz w:val="24"/>
        </w:rPr>
        <w:t>4</w:t>
      </w:r>
      <w:r>
        <w:rPr>
          <w:rFonts w:asciiTheme="minorEastAsia" w:hAnsiTheme="minorEastAsia" w:eastAsiaTheme="minorEastAsia"/>
          <w:sz w:val="24"/>
        </w:rPr>
        <w:t>元/立方米。</w:t>
      </w:r>
      <w:r>
        <w:rPr>
          <w:rFonts w:hint="eastAsia" w:asciiTheme="minorEastAsia" w:hAnsiTheme="minorEastAsia" w:eastAsiaTheme="minorEastAsia"/>
          <w:sz w:val="24"/>
        </w:rPr>
        <w:t>（</w:t>
      </w:r>
      <w:r>
        <w:rPr>
          <w:rFonts w:hint="eastAsia" w:asciiTheme="minorEastAsia" w:hAnsiTheme="minorEastAsia" w:eastAsiaTheme="minorEastAsia"/>
          <w:sz w:val="24"/>
          <w:u w:val="single"/>
        </w:rPr>
        <w:t>基本水量：</w:t>
      </w:r>
      <w:r>
        <w:rPr>
          <w:rFonts w:asciiTheme="minorEastAsia" w:hAnsiTheme="minorEastAsia" w:eastAsiaTheme="minorEastAsia"/>
          <w:sz w:val="24"/>
          <w:u w:val="single"/>
        </w:rPr>
        <w:t>第1年50%，第2年60%，第3～19年80%</w:t>
      </w:r>
      <w:r>
        <w:rPr>
          <w:rFonts w:hint="eastAsia" w:asciiTheme="minorEastAsia" w:hAnsiTheme="minorEastAsia" w:eastAsiaTheme="minorEastAsia"/>
          <w:sz w:val="24"/>
          <w:u w:val="single"/>
        </w:rPr>
        <w:t>条件下）。</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（3）甲方应当向乙方支付的污水处理初始厂网一体服务费基本单价为：</w:t>
      </w:r>
      <w:r>
        <w:rPr>
          <w:rFonts w:asciiTheme="minorEastAsia" w:hAnsiTheme="minorEastAsia" w:eastAsiaTheme="minorEastAsia"/>
          <w:b/>
          <w:sz w:val="24"/>
          <w:u w:val="single"/>
        </w:rPr>
        <w:t>5.47</w:t>
      </w:r>
      <w:r>
        <w:rPr>
          <w:rFonts w:asciiTheme="minorEastAsia" w:hAnsiTheme="minorEastAsia" w:eastAsiaTheme="minorEastAsia"/>
          <w:sz w:val="24"/>
        </w:rPr>
        <w:t>元/立方米【</w:t>
      </w:r>
      <w:r>
        <w:rPr>
          <w:rFonts w:hint="eastAsia" w:ascii="MS Mincho" w:hAnsi="MS Mincho" w:eastAsia="MS Mincho" w:cs="MS Mincho"/>
          <w:sz w:val="24"/>
        </w:rPr>
        <w:t>☑</w:t>
      </w:r>
      <w:r>
        <w:rPr>
          <w:rFonts w:asciiTheme="minorEastAsia" w:hAnsiTheme="minorEastAsia" w:eastAsiaTheme="minorEastAsia"/>
          <w:sz w:val="24"/>
        </w:rPr>
        <w:t>含增值税价格；□不含增值税价格】，其中使用者付费（处理服务费）单价为1.40元/立方米，可行性缺口补助单价为4.07元/立方米</w:t>
      </w:r>
      <w:r>
        <w:rPr>
          <w:rFonts w:hint="eastAsia" w:asciiTheme="minorEastAsia" w:hAnsiTheme="minorEastAsia" w:eastAsiaTheme="minorEastAsia"/>
          <w:sz w:val="24"/>
        </w:rPr>
        <w:t>（基本水量：</w:t>
      </w:r>
      <w:r>
        <w:rPr>
          <w:rFonts w:asciiTheme="minorEastAsia" w:hAnsiTheme="minorEastAsia" w:eastAsiaTheme="minorEastAsia"/>
          <w:sz w:val="24"/>
          <w:u w:val="single"/>
        </w:rPr>
        <w:t>第1年25%，第2～4年50%，第5、6年60%，第7～19年70%</w:t>
      </w:r>
      <w:r>
        <w:rPr>
          <w:rFonts w:hint="eastAsia" w:asciiTheme="minorEastAsia" w:hAnsiTheme="minorEastAsia" w:eastAsiaTheme="minorEastAsia"/>
          <w:sz w:val="24"/>
          <w:u w:val="single"/>
        </w:rPr>
        <w:t>条件下</w:t>
      </w:r>
      <w:r>
        <w:rPr>
          <w:rFonts w:hint="eastAsia" w:asciiTheme="minorEastAsia" w:hAnsiTheme="minorEastAsia" w:eastAsiaTheme="minorEastAsia"/>
          <w:sz w:val="24"/>
        </w:rPr>
        <w:t>）。</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运营期内</w:t>
      </w:r>
      <w:r>
        <w:rPr>
          <w:rFonts w:asciiTheme="minorEastAsia" w:hAnsiTheme="minorEastAsia" w:eastAsiaTheme="minorEastAsia"/>
          <w:kern w:val="0"/>
          <w:sz w:val="24"/>
        </w:rPr>
        <w:t>如涉及到厂网一体</w:t>
      </w:r>
      <w:r>
        <w:rPr>
          <w:rFonts w:asciiTheme="minorEastAsia" w:hAnsiTheme="minorEastAsia" w:eastAsiaTheme="minorEastAsia"/>
          <w:sz w:val="24"/>
        </w:rPr>
        <w:t>服务费基本单价调整的，执行本合同第12.3款的约定。</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（4）项目社会资本方税后投资内部收益率6.8%</w:t>
      </w:r>
      <w:r>
        <w:rPr>
          <w:rFonts w:hint="eastAsia" w:asciiTheme="minorEastAsia" w:hAnsiTheme="minorEastAsia" w:eastAsiaTheme="minorEastAsia"/>
          <w:sz w:val="24"/>
        </w:rPr>
        <w:t>（上控价）。</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（5）初始运营成本</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运营成本包括：外购原材料、污泥外运、外购动力、工资及福利、维修费、管理费，水资源费，自建管网运维费。初始运营成本不含折旧、物联网的运营费及调价、第三方检验试验费。</w:t>
      </w:r>
      <w:r>
        <w:rPr>
          <w:rFonts w:hint="eastAsia" w:asciiTheme="minorEastAsia" w:hAnsiTheme="minorEastAsia" w:eastAsiaTheme="minorEastAsia"/>
          <w:sz w:val="24"/>
        </w:rPr>
        <w:t>其中污泥外运处理费按普通固废处置估算，若后期甲方聘请机构检测鉴定污泥为危废，则污泥鉴定、外运处理费进行相应调整。</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100%负荷时，工业供水初始运营成本1829.</w:t>
      </w:r>
      <w:r>
        <w:rPr>
          <w:rFonts w:hint="eastAsia" w:asciiTheme="minorEastAsia" w:hAnsiTheme="minorEastAsia" w:eastAsiaTheme="minorEastAsia"/>
          <w:sz w:val="24"/>
        </w:rPr>
        <w:t>21</w:t>
      </w:r>
      <w:r>
        <w:rPr>
          <w:rFonts w:asciiTheme="minorEastAsia" w:hAnsiTheme="minorEastAsia" w:eastAsiaTheme="minorEastAsia"/>
          <w:sz w:val="24"/>
        </w:rPr>
        <w:t>万元/年（折1.00元/吨），其中固定成本57</w:t>
      </w:r>
      <w:r>
        <w:rPr>
          <w:rFonts w:hint="eastAsia" w:asciiTheme="minorEastAsia" w:hAnsiTheme="minorEastAsia" w:eastAsiaTheme="minorEastAsia"/>
          <w:sz w:val="24"/>
        </w:rPr>
        <w:t>5.94</w:t>
      </w:r>
      <w:r>
        <w:rPr>
          <w:rFonts w:asciiTheme="minorEastAsia" w:hAnsiTheme="minorEastAsia" w:eastAsiaTheme="minorEastAsia"/>
          <w:sz w:val="24"/>
        </w:rPr>
        <w:t>万元，可变成本1253.26万元（折单价为0.69元/吨）；50%负荷时成本水价1.43元/t；60%负荷时成本水价1.21元/t；80%负荷时成本水价1.08元/t；基本水量下各年成本合计36071.49万元。</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100%负荷时，生活供水初始运营成本244.5</w:t>
      </w:r>
      <w:r>
        <w:rPr>
          <w:rFonts w:hint="eastAsia" w:asciiTheme="minorEastAsia" w:hAnsiTheme="minorEastAsia" w:eastAsiaTheme="minorEastAsia"/>
          <w:sz w:val="24"/>
        </w:rPr>
        <w:t>6</w:t>
      </w:r>
      <w:r>
        <w:rPr>
          <w:rFonts w:asciiTheme="minorEastAsia" w:hAnsiTheme="minorEastAsia" w:eastAsiaTheme="minorEastAsia"/>
          <w:sz w:val="24"/>
        </w:rPr>
        <w:t>万元/年（折1.91元/吨</w:t>
      </w:r>
      <w:r>
        <w:rPr>
          <w:rFonts w:hint="eastAsia" w:asciiTheme="minorEastAsia" w:hAnsiTheme="minorEastAsia" w:eastAsiaTheme="minorEastAsia"/>
          <w:sz w:val="24"/>
        </w:rPr>
        <w:t>，受到</w:t>
      </w:r>
      <w:r>
        <w:rPr>
          <w:rFonts w:hint="eastAsia" w:asciiTheme="minorEastAsia" w:hAnsiTheme="minorEastAsia" w:eastAsiaTheme="minorEastAsia"/>
          <w:kern w:val="0"/>
          <w:sz w:val="24"/>
        </w:rPr>
        <w:t>广西贵港北控水务有限公司供水水价影响，多退少补</w:t>
      </w:r>
      <w:r>
        <w:rPr>
          <w:rFonts w:asciiTheme="minorEastAsia" w:hAnsiTheme="minorEastAsia" w:eastAsiaTheme="minorEastAsia"/>
          <w:sz w:val="24"/>
        </w:rPr>
        <w:t>），其中固定成本69.5</w:t>
      </w:r>
      <w:r>
        <w:rPr>
          <w:rFonts w:hint="eastAsia" w:asciiTheme="minorEastAsia" w:hAnsiTheme="minorEastAsia" w:eastAsiaTheme="minorEastAsia"/>
          <w:sz w:val="24"/>
        </w:rPr>
        <w:t>5</w:t>
      </w:r>
      <w:r>
        <w:rPr>
          <w:rFonts w:asciiTheme="minorEastAsia" w:hAnsiTheme="minorEastAsia" w:eastAsiaTheme="minorEastAsia"/>
          <w:sz w:val="24"/>
        </w:rPr>
        <w:t>万元，可变成本175.01万元（折单价为1.37元/吨）；50%负荷时成本水价2.46元/t；60%负荷时成本水价2.28元/t；80%负荷时成本水价2.05元/t；基本水量下各年成本合计467</w:t>
      </w:r>
      <w:r>
        <w:rPr>
          <w:rFonts w:hint="eastAsia" w:asciiTheme="minorEastAsia" w:hAnsiTheme="minorEastAsia" w:eastAsiaTheme="minorEastAsia"/>
          <w:sz w:val="24"/>
        </w:rPr>
        <w:t>3.70</w:t>
      </w:r>
      <w:r>
        <w:rPr>
          <w:rFonts w:asciiTheme="minorEastAsia" w:hAnsiTheme="minorEastAsia" w:eastAsiaTheme="minorEastAsia"/>
          <w:sz w:val="24"/>
        </w:rPr>
        <w:t>万元；</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100%负荷时，污水初始运营成本1395.</w:t>
      </w:r>
      <w:r>
        <w:rPr>
          <w:rFonts w:hint="eastAsia" w:asciiTheme="minorEastAsia" w:hAnsiTheme="minorEastAsia" w:eastAsiaTheme="minorEastAsia"/>
          <w:sz w:val="24"/>
        </w:rPr>
        <w:t>14</w:t>
      </w:r>
      <w:r>
        <w:rPr>
          <w:rFonts w:asciiTheme="minorEastAsia" w:hAnsiTheme="minorEastAsia" w:eastAsiaTheme="minorEastAsia"/>
          <w:sz w:val="24"/>
        </w:rPr>
        <w:t>万元/年（折1.91元/吨），其中固定成本482.</w:t>
      </w:r>
      <w:r>
        <w:rPr>
          <w:rFonts w:hint="eastAsia" w:asciiTheme="minorEastAsia" w:hAnsiTheme="minorEastAsia" w:eastAsiaTheme="minorEastAsia"/>
          <w:sz w:val="24"/>
        </w:rPr>
        <w:t>60</w:t>
      </w:r>
      <w:r>
        <w:rPr>
          <w:rFonts w:asciiTheme="minorEastAsia" w:hAnsiTheme="minorEastAsia" w:eastAsiaTheme="minorEastAsia"/>
          <w:sz w:val="24"/>
        </w:rPr>
        <w:t>万元，可变成本912.54万元（折单价为1.25元/吨）；25%负荷时成本水价4.06元/t；50%负荷时成本水价2.57元/t；60%负荷时成本水价2.35元/t；70%负荷时成本水价2.</w:t>
      </w:r>
      <w:r>
        <w:rPr>
          <w:rFonts w:hint="eastAsia" w:asciiTheme="minorEastAsia" w:hAnsiTheme="minorEastAsia" w:eastAsiaTheme="minorEastAsia"/>
          <w:sz w:val="24"/>
        </w:rPr>
        <w:t>19</w:t>
      </w:r>
      <w:r>
        <w:rPr>
          <w:rFonts w:asciiTheme="minorEastAsia" w:hAnsiTheme="minorEastAsia" w:eastAsiaTheme="minorEastAsia"/>
          <w:sz w:val="24"/>
        </w:rPr>
        <w:t>元/t；基本水量下各年成本合计28</w:t>
      </w:r>
      <w:r>
        <w:rPr>
          <w:rFonts w:hint="eastAsia" w:asciiTheme="minorEastAsia" w:hAnsiTheme="minorEastAsia" w:eastAsiaTheme="minorEastAsia"/>
          <w:sz w:val="24"/>
        </w:rPr>
        <w:t>899.81</w:t>
      </w:r>
      <w:r>
        <w:rPr>
          <w:rFonts w:asciiTheme="minorEastAsia" w:hAnsiTheme="minorEastAsia" w:eastAsiaTheme="minorEastAsia"/>
          <w:sz w:val="24"/>
        </w:rPr>
        <w:t>万元。</w:t>
      </w:r>
    </w:p>
    <w:p>
      <w:pPr>
        <w:spacing w:before="80" w:after="8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上述成本数据为《实施方案》中数据摘录，初始运营成本以中标价为准。</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运营成本=固定成本+可变成本×水量负荷%，其中水量负荷为基本水量或实际水量中取高值；</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运营成本单价=（固定成本+可变成本×水量负荷%）/水量，其中水量为基本水量或实际水量中取高值。</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12.1.3 其他定价模式</w:t>
      </w:r>
    </w:p>
    <w:p>
      <w:pPr>
        <w:widowControl/>
        <w:spacing w:line="360" w:lineRule="auto"/>
        <w:rPr>
          <w:rFonts w:asciiTheme="minorEastAsia" w:hAnsiTheme="minorEastAsia" w:eastAsiaTheme="minorEastAsia"/>
        </w:rPr>
      </w:pPr>
      <w:r>
        <w:rPr>
          <w:rFonts w:asciiTheme="minorEastAsia" w:hAnsiTheme="minorEastAsia" w:eastAsiaTheme="minorEastAsia"/>
          <w:u w:val="single"/>
        </w:rPr>
        <w:t xml:space="preserve">                                                                              </w:t>
      </w:r>
    </w:p>
    <w:p>
      <w:pPr>
        <w:widowControl/>
        <w:spacing w:line="360" w:lineRule="auto"/>
        <w:rPr>
          <w:rFonts w:asciiTheme="minorEastAsia" w:hAnsiTheme="minorEastAsia" w:eastAsiaTheme="minorEastAsia"/>
          <w:sz w:val="20"/>
          <w:szCs w:val="20"/>
        </w:rPr>
      </w:pPr>
      <w:r>
        <w:rPr>
          <w:rFonts w:asciiTheme="minorEastAsia" w:hAnsiTheme="minorEastAsia" w:eastAsiaTheme="minorEastAsia"/>
          <w:sz w:val="24"/>
          <w:u w:val="single"/>
        </w:rPr>
        <w:t xml:space="preserve">                                                                     </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12.1.4 其他约定</w:t>
      </w:r>
    </w:p>
    <w:p>
      <w:pPr>
        <w:spacing w:before="80" w:after="80" w:line="360" w:lineRule="auto"/>
        <w:ind w:firstLine="424" w:firstLineChars="177"/>
        <w:rPr>
          <w:rFonts w:asciiTheme="minorEastAsia" w:hAnsiTheme="minorEastAsia" w:eastAsiaTheme="minorEastAsia"/>
          <w:sz w:val="20"/>
          <w:szCs w:val="20"/>
        </w:rPr>
      </w:pPr>
      <w:r>
        <w:rPr>
          <w:rFonts w:asciiTheme="minorEastAsia" w:hAnsiTheme="minorEastAsia" w:eastAsiaTheme="minorEastAsia"/>
          <w:sz w:val="24"/>
        </w:rPr>
        <w:t>双方一致同意，项目实施过程中，若国家相关主管部门对于项目管理出台相关国家标准或者行业标准的，按届时新标准规定执行，若是届时出台的新标准对于本合同相关约定包括但不限于报价模式等有实质性影响的，双方应本着友好协商的原则洽商具体变更调整方案，直至达成一致。</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12.2项目设施运维成本的核定</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在调价期间，甲方及物价等行政部门有权对项目设施（含供水厂、污水处理厂、管网的更新、改造及重置）的运营维护成本的变动情况进行核定。</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12.3服务费价格的调整</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12.3.1调价因素</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rPr>
        <w:t>本项目服务费价格的调整，可充分考虑项目总投资额的变动、物价指数、药剂价格、电费价格、劳动力成本、税率、基准利率及其他因素变化的影响。</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12.3.2调价方式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运营期内，本项目的服务费价格按照以下约定方式进行调整：</w:t>
      </w:r>
    </w:p>
    <w:p>
      <w:pPr>
        <w:numPr>
          <w:ilvl w:val="0"/>
          <w:numId w:val="14"/>
        </w:num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定期调价</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从运营期第3个自然年（暂定2023年）起，每2年双方核定一次年度运营成本，若当年年度运营成本相比基准年偏差超过5%时，则调整年度运营成本。</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1）初始基准年：社会资本中标报价中运营期第1年。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2）人员工资：以自治区统计局发布的《广西规模以上企业就业人员分岗位年平均工资情况》，对应企业类型及岗位的薪资（或变动幅度)作为调整依据。</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3）电费：以电力企业最新一期供电价格为调整依据。</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4）材料及劳务价格：以生产价格指数（PPI）为调整依据。</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5）若触发调价价值，该年年度运营成本调整后，以该年作为新的基准年。后续年份调价以新基准年作为比较基础。</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6）利率：以投标当年LPR为基准，变化在10个基点内不做调整。10个基点以上据实调整。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7）以新基准年运营成本、内部收益率、基本水量、审计后项目投资额</w:t>
      </w:r>
      <w:r>
        <w:rPr>
          <w:rFonts w:hint="eastAsia" w:asciiTheme="minorEastAsia" w:hAnsiTheme="minorEastAsia" w:eastAsiaTheme="minorEastAsia"/>
          <w:sz w:val="24"/>
        </w:rPr>
        <w:t>、当期核定后的使用者付费单价</w:t>
      </w:r>
      <w:r>
        <w:rPr>
          <w:rFonts w:asciiTheme="minorEastAsia" w:hAnsiTheme="minorEastAsia" w:eastAsiaTheme="minorEastAsia"/>
          <w:sz w:val="24"/>
        </w:rPr>
        <w:t>为参数，根据13.1.2条中的公式重新计算项目可行性缺口补助等指标。</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（2）临时调整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1）在运营期内如遇通货膨胀，能源、原材料、人员工资、物价上涨指数（CPI）的综合上涨幅度大于10%，可以启动临时调价机制，甲方应履行必要的审核、审批程序并在20日内给予答复。</w:t>
      </w:r>
    </w:p>
    <w:p>
      <w:pPr>
        <w:spacing w:before="80" w:after="80" w:line="360" w:lineRule="auto"/>
        <w:ind w:firstLine="424" w:firstLineChars="177"/>
        <w:rPr>
          <w:rFonts w:asciiTheme="minorEastAsia" w:hAnsiTheme="minorEastAsia" w:eastAsiaTheme="minorEastAsia"/>
          <w:sz w:val="24"/>
        </w:rPr>
      </w:pPr>
      <w:r>
        <w:rPr>
          <w:rFonts w:hint="eastAsia" w:asciiTheme="minorEastAsia" w:hAnsiTheme="minorEastAsia" w:eastAsiaTheme="minorEastAsia"/>
          <w:sz w:val="24"/>
        </w:rPr>
        <w:t>2）在运营期内如因污水处理行业重大技术突破，导致本项目运营成本大幅下降，甲方在保障乙方合理收益的前提下将适时启动调价程序。</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12.3.3调价原则及测算思路</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实际运营补贴金额调整原则为：乙方建设实际投资金额，以政府批复的竣工财务决算为准，甲方应在审计报告出具后10个自然日内作出批复，并按PPP项目合同中13.1.2条约定的回报方式和计算方法，对运营补贴作相应调整。本项目合作期共20年，项目若提前完工则增加运营期，甲方根据运营成本对增加的运营期给予相应的补贴；项目若因甲方原因延后完工，必须确保运营期达到19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项目运营补贴应根据不同情况进行调整：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（1）建设期内，由于非乙方原因造成实际工程投资金额增加或减少的，运营补贴值按乙方中标时的投资收益率、建安工程结算价下浮系数和实际投资金额调整。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（2）合作期限内，运营单价以乙方中标时的财务方案为准。若因税费政策调整导致增值税及附加税的增加或减少，运营单价可相应调整</w:t>
      </w:r>
      <w:r>
        <w:rPr>
          <w:rFonts w:hint="eastAsia" w:asciiTheme="minorEastAsia" w:hAnsiTheme="minorEastAsia" w:eastAsiaTheme="minorEastAsia"/>
          <w:sz w:val="24"/>
        </w:rPr>
        <w:t>。</w:t>
      </w:r>
    </w:p>
    <w:p>
      <w:pPr>
        <w:spacing w:before="80" w:after="80" w:line="360" w:lineRule="auto"/>
        <w:ind w:firstLine="424" w:firstLineChars="177"/>
        <w:rPr>
          <w:rFonts w:asciiTheme="minorEastAsia" w:hAnsiTheme="minorEastAsia" w:eastAsiaTheme="minorEastAsia"/>
          <w:sz w:val="24"/>
        </w:rPr>
      </w:pPr>
      <w:r>
        <w:rPr>
          <w:rFonts w:hint="eastAsia" w:asciiTheme="minorEastAsia" w:hAnsiTheme="minorEastAsia" w:eastAsiaTheme="minorEastAsia"/>
          <w:sz w:val="24"/>
        </w:rPr>
        <w:t>（3）合作期限内，因长期超标使乙方需采取增加药剂使用量、更改运营方案、改善处理工艺等措施的，相应的成本变化应调整运营单价</w:t>
      </w:r>
      <w:r>
        <w:rPr>
          <w:rFonts w:asciiTheme="minorEastAsia" w:hAnsiTheme="minorEastAsia" w:eastAsiaTheme="minorEastAsia"/>
          <w:sz w:val="24"/>
        </w:rPr>
        <w:t>。</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12.3.4调价程序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当调整运营水价的条件触发时，乙方可向甲方提出调价申请，甲方在收到申请之日起十（10）个工作日内核实，二十（20）个工作日内上报相关部门审核，乙方应配合甲方及相关部门完成对成本的审计工作。调价申请经审批通过后方可按调整后的运营水价执行。</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运营水价调整后，甲方应同时重新计算导致调价的事实发生之日所在季的运营补贴，并在调价完成后首次支付运营补贴时结算支付。</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12.4其他经营性收入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运营期内乙方有权依据本合同约定取得其他经营性收入，其他经营性收入的来源具体包括：</w:t>
      </w:r>
      <w:r>
        <w:rPr>
          <w:rFonts w:asciiTheme="minorEastAsia" w:hAnsiTheme="minorEastAsia" w:eastAsiaTheme="minorEastAsia"/>
          <w:sz w:val="24"/>
          <w:u w:val="single"/>
        </w:rPr>
        <w:t xml:space="preserve">                                                      </w:t>
      </w:r>
    </w:p>
    <w:p>
      <w:pPr>
        <w:widowControl/>
        <w:rPr>
          <w:rFonts w:asciiTheme="minorEastAsia" w:hAnsiTheme="minorEastAsia" w:eastAsiaTheme="minorEastAsia"/>
          <w:sz w:val="20"/>
          <w:szCs w:val="20"/>
        </w:rPr>
      </w:pPr>
      <w:r>
        <w:rPr>
          <w:rFonts w:asciiTheme="minorEastAsia" w:hAnsiTheme="minorEastAsia" w:eastAsiaTheme="minorEastAsia"/>
          <w:sz w:val="24"/>
          <w:u w:val="single"/>
        </w:rPr>
        <w:t xml:space="preserve">                                                                     </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关于其他经营性收入的分配按照以下第</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12.4.2</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款约定执行：</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12.4.1乙方在运营期内获得的所有其他经营性收入，全额冲抵甲方依据本合同应当支付的服务费。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12.4.2乙方在运营期内获得的其他经营性收入，存在税后利润的，按照</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股权</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的比例由甲方和乙方进行分配，甲方分配所得可用于冲抵依据本合同应当支付的服务费。</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rPr>
        <w:t>12.4.3 其他方式：/</w:t>
      </w:r>
      <w:r>
        <w:rPr>
          <w:rFonts w:asciiTheme="minorEastAsia" w:hAnsiTheme="minorEastAsia" w:eastAsiaTheme="minorEastAsia"/>
          <w:sz w:val="24"/>
          <w:u w:val="single"/>
        </w:rPr>
        <w:t xml:space="preserve">                                                 </w:t>
      </w:r>
    </w:p>
    <w:p>
      <w:pPr>
        <w:widowControl/>
        <w:rPr>
          <w:rFonts w:asciiTheme="minorEastAsia" w:hAnsiTheme="minorEastAsia" w:eastAsiaTheme="minorEastAsia"/>
          <w:sz w:val="20"/>
          <w:szCs w:val="20"/>
        </w:rPr>
      </w:pPr>
      <w:r>
        <w:rPr>
          <w:rFonts w:asciiTheme="minorEastAsia" w:hAnsiTheme="minorEastAsia" w:eastAsiaTheme="minorEastAsia"/>
          <w:sz w:val="24"/>
          <w:u w:val="single"/>
        </w:rPr>
        <w:t xml:space="preserve">                                                                     </w:t>
      </w:r>
    </w:p>
    <w:p>
      <w:pPr>
        <w:pStyle w:val="3"/>
        <w:spacing w:line="360" w:lineRule="auto"/>
        <w:jc w:val="both"/>
        <w:rPr>
          <w:rFonts w:asciiTheme="minorEastAsia" w:hAnsiTheme="minorEastAsia"/>
        </w:rPr>
      </w:pPr>
      <w:bookmarkStart w:id="446" w:name="_Toc50993472"/>
      <w:bookmarkStart w:id="447" w:name="_Toc522897558"/>
      <w:r>
        <w:rPr>
          <w:rFonts w:asciiTheme="minorEastAsia" w:hAnsiTheme="minorEastAsia"/>
        </w:rPr>
        <w:t>第13条  计费与支付机制</w:t>
      </w:r>
      <w:bookmarkEnd w:id="446"/>
      <w:bookmarkEnd w:id="447"/>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13.1服务费的计算</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本项目的服务费采用以下第</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13.1.2</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款计算：</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13.1.1 独立报价模式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（1）基本水量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自开始运营日起，运营期内各年度污水处理厂的基本水量约定如下：</w:t>
      </w:r>
    </w:p>
    <w:p>
      <w:pPr>
        <w:spacing w:before="80" w:after="80" w:line="360" w:lineRule="auto"/>
        <w:rPr>
          <w:rFonts w:asciiTheme="minorEastAsia" w:hAnsiTheme="minorEastAsia" w:eastAsiaTheme="minorEastAsia"/>
          <w:sz w:val="24"/>
          <w:u w:val="single"/>
        </w:rPr>
      </w:pPr>
      <w:r>
        <w:rPr>
          <w:rFonts w:asciiTheme="minorEastAsia" w:hAnsiTheme="minorEastAsia" w:eastAsiaTheme="minorEastAsia"/>
          <w:sz w:val="24"/>
          <w:u w:val="single"/>
        </w:rPr>
        <w:t xml:space="preserve">                                                                      </w:t>
      </w:r>
    </w:p>
    <w:p>
      <w:pPr>
        <w:spacing w:before="80" w:after="80" w:line="360" w:lineRule="auto"/>
        <w:rPr>
          <w:rFonts w:asciiTheme="minorEastAsia" w:hAnsiTheme="minorEastAsia" w:eastAsiaTheme="minorEastAsia"/>
          <w:sz w:val="24"/>
        </w:rPr>
      </w:pPr>
      <w:r>
        <w:rPr>
          <w:rFonts w:asciiTheme="minorEastAsia" w:hAnsiTheme="minorEastAsia" w:eastAsiaTheme="minorEastAsia"/>
          <w:kern w:val="0"/>
          <w:sz w:val="24"/>
          <w:u w:val="single"/>
        </w:rPr>
        <w:t xml:space="preserve">                                                                       </w:t>
      </w:r>
      <w:r>
        <w:rPr>
          <w:rFonts w:asciiTheme="minorEastAsia" w:hAnsiTheme="minorEastAsia" w:eastAsiaTheme="minorEastAsia"/>
          <w:sz w:val="24"/>
        </w:rPr>
        <w:t xml:space="preserve">  </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本项目如需提标改造，则双方另行约定各年度污水处理厂的基本水量，提标改造所产生的费用按照本合同第</w:t>
      </w:r>
      <w:r>
        <w:rPr>
          <w:rFonts w:asciiTheme="minorEastAsia" w:hAnsiTheme="minorEastAsia" w:eastAsiaTheme="minorEastAsia"/>
          <w:kern w:val="0"/>
          <w:sz w:val="24"/>
        </w:rPr>
        <w:t>8.3.3款</w:t>
      </w:r>
      <w:r>
        <w:rPr>
          <w:rFonts w:asciiTheme="minorEastAsia" w:hAnsiTheme="minorEastAsia" w:eastAsiaTheme="minorEastAsia"/>
          <w:sz w:val="24"/>
        </w:rPr>
        <w:t>的约定执行。</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（2）服务费的计算</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a.自污水处理厂开始运营日起，污水处理服务费按日计量，并按以下方式计算：</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①当日均实测水量低于基本水量时，按照以下公式计算污水处理服务费：</w:t>
      </w:r>
    </w:p>
    <w:p>
      <w:pPr>
        <w:spacing w:before="80" w:after="80" w:line="360" w:lineRule="auto"/>
        <w:rPr>
          <w:rFonts w:asciiTheme="minorEastAsia" w:hAnsiTheme="minorEastAsia" w:eastAsiaTheme="minorEastAsia"/>
          <w:sz w:val="24"/>
          <w:u w:val="single"/>
        </w:rPr>
      </w:pP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w:t>
      </w:r>
      <w:r>
        <w:rPr>
          <w:rFonts w:asciiTheme="minorEastAsia" w:hAnsiTheme="minorEastAsia" w:eastAsiaTheme="minorEastAsia"/>
          <w:sz w:val="24"/>
          <w:u w:val="single"/>
        </w:rPr>
        <w:t xml:space="preserve">                                        </w:t>
      </w:r>
    </w:p>
    <w:p>
      <w:pPr>
        <w:widowControl/>
        <w:rPr>
          <w:rFonts w:asciiTheme="minorEastAsia" w:hAnsiTheme="minorEastAsia" w:eastAsiaTheme="minorEastAsia"/>
          <w:sz w:val="20"/>
          <w:szCs w:val="20"/>
        </w:rPr>
      </w:pPr>
      <w:r>
        <w:rPr>
          <w:rFonts w:asciiTheme="minorEastAsia" w:hAnsiTheme="minorEastAsia" w:eastAsiaTheme="minorEastAsia"/>
          <w:sz w:val="24"/>
          <w:u w:val="single"/>
        </w:rPr>
        <w:t xml:space="preserve">                                                                     </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②当日均实测水量等于基本水量时，按照以下公式计算污水处理服务费：</w:t>
      </w:r>
    </w:p>
    <w:p>
      <w:pPr>
        <w:spacing w:before="80" w:after="80" w:line="360" w:lineRule="auto"/>
        <w:rPr>
          <w:rFonts w:asciiTheme="minorEastAsia" w:hAnsiTheme="minorEastAsia" w:eastAsiaTheme="minorEastAsia"/>
          <w:sz w:val="24"/>
          <w:u w:val="single"/>
        </w:rPr>
      </w:pP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w:t>
      </w:r>
      <w:r>
        <w:rPr>
          <w:rFonts w:asciiTheme="minorEastAsia" w:hAnsiTheme="minorEastAsia" w:eastAsiaTheme="minorEastAsia"/>
          <w:sz w:val="24"/>
          <w:u w:val="single"/>
        </w:rPr>
        <w:t xml:space="preserve">                                        </w:t>
      </w:r>
    </w:p>
    <w:p>
      <w:pPr>
        <w:widowControl/>
        <w:rPr>
          <w:rFonts w:asciiTheme="minorEastAsia" w:hAnsiTheme="minorEastAsia" w:eastAsiaTheme="minorEastAsia"/>
          <w:sz w:val="20"/>
          <w:szCs w:val="20"/>
        </w:rPr>
      </w:pPr>
      <w:r>
        <w:rPr>
          <w:rFonts w:asciiTheme="minorEastAsia" w:hAnsiTheme="minorEastAsia" w:eastAsiaTheme="minorEastAsia"/>
          <w:sz w:val="24"/>
          <w:u w:val="single"/>
        </w:rPr>
        <w:t xml:space="preserve">                                                                     </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③当日均实测水量大于基本水量时，按照以下公式计算污水处理服务费：</w:t>
      </w:r>
    </w:p>
    <w:p>
      <w:pPr>
        <w:spacing w:before="80" w:after="80" w:line="360" w:lineRule="auto"/>
        <w:rPr>
          <w:rFonts w:asciiTheme="minorEastAsia" w:hAnsiTheme="minorEastAsia" w:eastAsiaTheme="minorEastAsia"/>
          <w:sz w:val="24"/>
          <w:u w:val="single"/>
        </w:rPr>
      </w:pP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w:t>
      </w:r>
      <w:r>
        <w:rPr>
          <w:rFonts w:asciiTheme="minorEastAsia" w:hAnsiTheme="minorEastAsia" w:eastAsiaTheme="minorEastAsia"/>
          <w:sz w:val="24"/>
          <w:u w:val="single"/>
        </w:rPr>
        <w:t xml:space="preserve">                                        </w:t>
      </w:r>
    </w:p>
    <w:p>
      <w:pPr>
        <w:widowControl/>
        <w:rPr>
          <w:rFonts w:asciiTheme="minorEastAsia" w:hAnsiTheme="minorEastAsia" w:eastAsiaTheme="minorEastAsia"/>
          <w:sz w:val="20"/>
          <w:szCs w:val="20"/>
        </w:rPr>
      </w:pPr>
      <w:r>
        <w:rPr>
          <w:rFonts w:asciiTheme="minorEastAsia" w:hAnsiTheme="minorEastAsia" w:eastAsiaTheme="minorEastAsia"/>
          <w:sz w:val="24"/>
          <w:u w:val="single"/>
        </w:rPr>
        <w:t xml:space="preserve">                                                                     </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④污水处理厂</w:t>
      </w:r>
      <w:bookmarkStart w:id="448" w:name="OLE_LINK3"/>
      <w:bookmarkStart w:id="449" w:name="OLE_LINK4"/>
      <w:r>
        <w:rPr>
          <w:rFonts w:asciiTheme="minorEastAsia" w:hAnsiTheme="minorEastAsia" w:eastAsiaTheme="minorEastAsia"/>
          <w:sz w:val="24"/>
        </w:rPr>
        <w:t>因乙方原因</w:t>
      </w:r>
      <w:bookmarkEnd w:id="448"/>
      <w:bookmarkEnd w:id="449"/>
      <w:r>
        <w:rPr>
          <w:rFonts w:asciiTheme="minorEastAsia" w:hAnsiTheme="minorEastAsia" w:eastAsiaTheme="minorEastAsia"/>
          <w:sz w:val="24"/>
        </w:rPr>
        <w:t>暂停污水处理服务时，按照以下公式计算污水处理服务费：</w:t>
      </w:r>
    </w:p>
    <w:p>
      <w:pPr>
        <w:spacing w:before="80" w:after="80" w:line="360" w:lineRule="auto"/>
        <w:rPr>
          <w:rFonts w:asciiTheme="minorEastAsia" w:hAnsiTheme="minorEastAsia" w:eastAsiaTheme="minorEastAsia"/>
          <w:sz w:val="24"/>
          <w:u w:val="single"/>
        </w:rPr>
      </w:pP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w:t>
      </w:r>
      <w:r>
        <w:rPr>
          <w:rFonts w:asciiTheme="minorEastAsia" w:hAnsiTheme="minorEastAsia" w:eastAsiaTheme="minorEastAsia"/>
          <w:sz w:val="24"/>
          <w:u w:val="single"/>
        </w:rPr>
        <w:t xml:space="preserve">                                        </w:t>
      </w:r>
    </w:p>
    <w:p>
      <w:pPr>
        <w:widowControl/>
        <w:rPr>
          <w:rFonts w:asciiTheme="minorEastAsia" w:hAnsiTheme="minorEastAsia" w:eastAsiaTheme="minorEastAsia"/>
          <w:sz w:val="20"/>
          <w:szCs w:val="20"/>
        </w:rPr>
      </w:pPr>
      <w:r>
        <w:rPr>
          <w:rFonts w:asciiTheme="minorEastAsia" w:hAnsiTheme="minorEastAsia" w:eastAsiaTheme="minorEastAsia"/>
          <w:sz w:val="24"/>
          <w:u w:val="single"/>
        </w:rPr>
        <w:t xml:space="preserve">                                                                     </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 xml:space="preserve">b.管网服务费按以下约定计算： </w:t>
      </w:r>
    </w:p>
    <w:p>
      <w:pPr>
        <w:spacing w:before="80" w:after="80" w:line="360" w:lineRule="auto"/>
        <w:rPr>
          <w:rFonts w:asciiTheme="minorEastAsia" w:hAnsiTheme="minorEastAsia" w:eastAsiaTheme="minorEastAsia"/>
          <w:sz w:val="24"/>
          <w:u w:val="single"/>
        </w:rPr>
      </w:pP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w:t>
      </w:r>
      <w:r>
        <w:rPr>
          <w:rFonts w:asciiTheme="minorEastAsia" w:hAnsiTheme="minorEastAsia" w:eastAsiaTheme="minorEastAsia"/>
          <w:sz w:val="24"/>
          <w:u w:val="single"/>
        </w:rPr>
        <w:t xml:space="preserve">                                        </w:t>
      </w:r>
    </w:p>
    <w:p>
      <w:pPr>
        <w:spacing w:before="80" w:after="80" w:line="360" w:lineRule="auto"/>
        <w:rPr>
          <w:rFonts w:asciiTheme="minorEastAsia" w:hAnsiTheme="minorEastAsia" w:eastAsiaTheme="minorEastAsia"/>
          <w:sz w:val="24"/>
        </w:rPr>
      </w:pPr>
      <w:r>
        <w:rPr>
          <w:rFonts w:asciiTheme="minorEastAsia" w:hAnsiTheme="minorEastAsia" w:eastAsiaTheme="minorEastAsia"/>
          <w:kern w:val="0"/>
          <w:sz w:val="24"/>
          <w:u w:val="single"/>
        </w:rPr>
        <w:t xml:space="preserve">                                                                     </w:t>
      </w:r>
      <w:r>
        <w:rPr>
          <w:rFonts w:asciiTheme="minorEastAsia" w:hAnsiTheme="minorEastAsia" w:eastAsiaTheme="minorEastAsia"/>
          <w:sz w:val="24"/>
          <w:u w:val="single"/>
        </w:rPr>
        <w:t xml:space="preserve"> </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13.1.2 合并报价模式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（1）基本水量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自开始运营日起，运营期内各年度污水处理厂的基本水量约定如下：</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工业用水、生活用水：第1年50%，第2年60%，第3～19年80%；</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污水：第1年25%，第2～4年50%，第5、6年60%，第7～19年70%。</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本项目如需提标改造，则双方另行约定各年度污水处理厂的基本水量，提标改造所产生的费用按照本合同第</w:t>
      </w:r>
      <w:r>
        <w:rPr>
          <w:rFonts w:asciiTheme="minorEastAsia" w:hAnsiTheme="minorEastAsia" w:eastAsiaTheme="minorEastAsia"/>
          <w:kern w:val="0"/>
          <w:sz w:val="24"/>
        </w:rPr>
        <w:t>8.3.3款</w:t>
      </w:r>
      <w:r>
        <w:rPr>
          <w:rFonts w:asciiTheme="minorEastAsia" w:hAnsiTheme="minorEastAsia" w:eastAsiaTheme="minorEastAsia"/>
          <w:sz w:val="24"/>
        </w:rPr>
        <w:t>的约定执行。</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（2）服务费的计算</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自开始运营日起，厂网一体服务费按日计量，并按以下方式计算：</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①当日均实测水量低于基本水量时，按照以下公式计算厂网一体服务费：</w:t>
      </w:r>
    </w:p>
    <w:p>
      <w:pPr>
        <w:spacing w:before="80" w:after="80"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u w:val="single"/>
        </w:rPr>
        <w:t>根据全投资内部收益率的计算公式：</w:t>
      </w:r>
    </w:p>
    <w:p>
      <w:pPr>
        <w:widowControl/>
        <w:spacing w:line="360" w:lineRule="auto"/>
        <w:rPr>
          <w:rFonts w:asciiTheme="minorEastAsia" w:hAnsiTheme="minorEastAsia" w:eastAsiaTheme="minorEastAsia"/>
          <w:sz w:val="24"/>
          <w:u w:val="single"/>
        </w:rPr>
      </w:pPr>
      <m:oMathPara>
        <m:oMath>
          <m:nary>
            <m:naryPr>
              <m:chr m:val="∑"/>
              <m:limLoc m:val="undOvr"/>
              <m:ctrlPr>
                <w:rPr>
                  <w:rFonts w:ascii="Cambria Math" w:hAnsi="Cambria Math" w:eastAsiaTheme="minorEastAsia"/>
                </w:rPr>
              </m:ctrlPr>
            </m:naryPr>
            <m:sub>
              <m:r>
                <w:rPr>
                  <w:rFonts w:ascii="Cambria Math" w:hAnsi="Cambria Math" w:eastAsiaTheme="minorEastAsia"/>
                </w:rPr>
                <m:t>t=1</m:t>
              </m:r>
              <m:ctrlPr>
                <w:rPr>
                  <w:rFonts w:ascii="Cambria Math" w:hAnsi="Cambria Math" w:eastAsiaTheme="minorEastAsia"/>
                </w:rPr>
              </m:ctrlPr>
            </m:sub>
            <m:sup>
              <m:r>
                <w:rPr>
                  <w:rFonts w:ascii="Cambria Math" w:hAnsi="Cambria Math" w:eastAsiaTheme="minorEastAsia"/>
                </w:rPr>
                <m:t>n</m:t>
              </m:r>
              <m:ctrlPr>
                <w:rPr>
                  <w:rFonts w:ascii="Cambria Math" w:hAnsi="Cambria Math" w:eastAsiaTheme="minorEastAsia"/>
                </w:rPr>
              </m:ctrlPr>
            </m:sup>
            <m:e>
              <m:f>
                <m:fPr>
                  <m:ctrlPr>
                    <w:rPr>
                      <w:rFonts w:ascii="Cambria Math" w:hAnsi="Cambria Math" w:eastAsiaTheme="minorEastAsia"/>
                      <w:i/>
                    </w:rPr>
                  </m:ctrlPr>
                </m:fPr>
                <m:num>
                  <m:sSub>
                    <m:sSubPr>
                      <m:ctrlPr>
                        <w:rPr>
                          <w:rFonts w:ascii="Cambria Math" w:hAnsi="Cambria Math" w:eastAsiaTheme="minorEastAsia"/>
                          <w:i/>
                        </w:rPr>
                      </m:ctrlPr>
                    </m:sSubPr>
                    <m:e>
                      <m:r>
                        <m:rPr>
                          <m:sty m:val="p"/>
                        </m:rPr>
                        <w:rPr>
                          <w:rFonts w:ascii="Cambria Math" w:hAnsi="Cambria Math" w:eastAsiaTheme="minorEastAsia"/>
                        </w:rPr>
                        <m:t>（CI-CO）</m:t>
                      </m:r>
                      <m:ctrlPr>
                        <w:rPr>
                          <w:rFonts w:ascii="Cambria Math" w:hAnsi="Cambria Math" w:eastAsiaTheme="minorEastAsia"/>
                          <w:i/>
                        </w:rPr>
                      </m:ctrlPr>
                    </m:e>
                    <m:sub>
                      <m:r>
                        <w:rPr>
                          <w:rFonts w:ascii="Cambria Math" w:hAnsi="Cambria Math" w:eastAsiaTheme="minorEastAsia"/>
                        </w:rPr>
                        <m:t>t</m:t>
                      </m:r>
                      <m:ctrlPr>
                        <w:rPr>
                          <w:rFonts w:ascii="Cambria Math" w:hAnsi="Cambria Math" w:eastAsiaTheme="minorEastAsia"/>
                          <w:i/>
                        </w:rPr>
                      </m:ctrlPr>
                    </m:sub>
                  </m:sSub>
                  <m:ctrlPr>
                    <w:rPr>
                      <w:rFonts w:ascii="Cambria Math" w:hAnsi="Cambria Math" w:eastAsiaTheme="minorEastAsia"/>
                      <w:i/>
                    </w:rPr>
                  </m:ctrlPr>
                </m:num>
                <m:den>
                  <m:sSup>
                    <m:sSupPr>
                      <m:ctrlPr>
                        <w:rPr>
                          <w:rFonts w:ascii="Cambria Math" w:hAnsi="Cambria Math" w:eastAsiaTheme="minorEastAsia"/>
                          <w:i/>
                        </w:rPr>
                      </m:ctrlPr>
                    </m:sSupPr>
                    <m:e>
                      <m:r>
                        <m:rPr>
                          <m:sty m:val="p"/>
                        </m:rPr>
                        <w:rPr>
                          <w:rFonts w:ascii="Cambria Math" w:hAnsi="Cambria Math" w:eastAsiaTheme="minorEastAsia"/>
                        </w:rPr>
                        <m:t>（1+IRR）</m:t>
                      </m:r>
                      <m:ctrlPr>
                        <w:rPr>
                          <w:rFonts w:ascii="Cambria Math" w:hAnsi="Cambria Math" w:eastAsiaTheme="minorEastAsia"/>
                          <w:i/>
                        </w:rPr>
                      </m:ctrlPr>
                    </m:e>
                    <m:sup>
                      <m:r>
                        <w:rPr>
                          <w:rFonts w:ascii="Cambria Math" w:hAnsi="Cambria Math" w:eastAsiaTheme="minorEastAsia"/>
                        </w:rPr>
                        <m:t>t</m:t>
                      </m:r>
                      <m:ctrlPr>
                        <w:rPr>
                          <w:rFonts w:ascii="Cambria Math" w:hAnsi="Cambria Math" w:eastAsiaTheme="minorEastAsia"/>
                          <w:i/>
                        </w:rPr>
                      </m:ctrlPr>
                    </m:sup>
                  </m:sSup>
                  <m:ctrlPr>
                    <w:rPr>
                      <w:rFonts w:ascii="Cambria Math" w:hAnsi="Cambria Math" w:eastAsiaTheme="minorEastAsia"/>
                      <w:i/>
                    </w:rPr>
                  </m:ctrlPr>
                </m:den>
              </m:f>
              <m:ctrlPr>
                <w:rPr>
                  <w:rFonts w:ascii="Cambria Math" w:hAnsi="Cambria Math" w:eastAsiaTheme="minorEastAsia"/>
                </w:rPr>
              </m:ctrlPr>
            </m:e>
          </m:nary>
          <m:r>
            <w:rPr>
              <w:rFonts w:ascii="Cambria Math" w:hAnsi="Cambria Math" w:eastAsiaTheme="minorEastAsia"/>
            </w:rPr>
            <m:t>=0</m:t>
          </m:r>
        </m:oMath>
      </m:oMathPara>
    </w:p>
    <w:p>
      <w:pPr>
        <w:spacing w:before="80" w:after="80"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u w:val="single"/>
        </w:rPr>
        <w:t>重新核定的社会资本建设投资、增值税及附加、所得税、使用者付费，计算税后投资内部收益率为6.8%、基本水量条件下的现金流入额度。</w:t>
      </w:r>
    </w:p>
    <w:p>
      <w:pPr>
        <w:widowControl/>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u w:val="single"/>
        </w:rPr>
        <w:t>厂网一体服务费=以上条件下现金流入额度×P</w:t>
      </w:r>
      <w:r>
        <w:rPr>
          <w:rFonts w:hint="eastAsia" w:asciiTheme="minorEastAsia" w:hAnsiTheme="minorEastAsia" w:eastAsiaTheme="minorEastAsia"/>
          <w:sz w:val="24"/>
          <w:u w:val="single"/>
        </w:rPr>
        <w:t>=CI×P</w:t>
      </w:r>
      <w:r>
        <w:rPr>
          <w:rFonts w:asciiTheme="minorEastAsia" w:hAnsiTheme="minorEastAsia" w:eastAsiaTheme="minorEastAsia"/>
          <w:sz w:val="24"/>
          <w:u w:val="single"/>
        </w:rPr>
        <w:t>，其中P为绩效考核得分</w:t>
      </w:r>
      <w:r>
        <w:rPr>
          <w:rFonts w:hint="eastAsia" w:asciiTheme="minorEastAsia" w:hAnsiTheme="minorEastAsia" w:eastAsiaTheme="minorEastAsia"/>
          <w:sz w:val="24"/>
          <w:u w:val="single"/>
        </w:rPr>
        <w:t>，季度</w:t>
      </w:r>
      <w:r>
        <w:rPr>
          <w:rFonts w:asciiTheme="minorEastAsia" w:hAnsiTheme="minorEastAsia" w:eastAsiaTheme="minorEastAsia"/>
          <w:sz w:val="24"/>
          <w:u w:val="single"/>
        </w:rPr>
        <w:t>厂网一体服务费</w:t>
      </w:r>
      <w:r>
        <w:rPr>
          <w:rFonts w:hint="eastAsia" w:asciiTheme="minorEastAsia" w:hAnsiTheme="minorEastAsia" w:eastAsiaTheme="minorEastAsia"/>
          <w:sz w:val="24"/>
          <w:u w:val="single"/>
        </w:rPr>
        <w:t>=CI/4×P</w:t>
      </w:r>
      <w:r>
        <w:rPr>
          <w:rFonts w:hint="eastAsia" w:asciiTheme="minorEastAsia" w:hAnsiTheme="minorEastAsia" w:eastAsiaTheme="minorEastAsia"/>
          <w:sz w:val="24"/>
          <w:u w:val="single"/>
          <w:vertAlign w:val="subscript"/>
        </w:rPr>
        <w:t>m</w:t>
      </w:r>
      <w:r>
        <w:rPr>
          <w:rFonts w:hint="eastAsia" w:asciiTheme="minorEastAsia" w:hAnsiTheme="minorEastAsia" w:eastAsiaTheme="minorEastAsia"/>
          <w:sz w:val="24"/>
          <w:u w:val="single"/>
        </w:rPr>
        <w:t>，P</w:t>
      </w:r>
      <w:r>
        <w:rPr>
          <w:rFonts w:hint="eastAsia" w:asciiTheme="minorEastAsia" w:hAnsiTheme="minorEastAsia" w:eastAsiaTheme="minorEastAsia"/>
          <w:sz w:val="24"/>
          <w:u w:val="single"/>
          <w:vertAlign w:val="subscript"/>
        </w:rPr>
        <w:t>m</w:t>
      </w:r>
      <w:r>
        <w:rPr>
          <w:rFonts w:hint="eastAsia" w:asciiTheme="minorEastAsia" w:hAnsiTheme="minorEastAsia" w:eastAsiaTheme="minorEastAsia"/>
          <w:sz w:val="24"/>
          <w:u w:val="single"/>
        </w:rPr>
        <w:t>为该季度绩效考核得分</w:t>
      </w:r>
      <w:r>
        <w:rPr>
          <w:rFonts w:asciiTheme="minorEastAsia" w:hAnsiTheme="minorEastAsia" w:eastAsiaTheme="minorEastAsia"/>
          <w:sz w:val="24"/>
          <w:u w:val="single"/>
        </w:rPr>
        <w:t>。</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公式说明：</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CI为现金流入量，即项目公司第t年总收入；</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现金流入＝水费（工业供水+生活供水）+污水处理费＋可行性缺口补助。</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CO为现金流出量，即项目公司第t年总支出；</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现金流出＝社会资本建设投资＋年度运营成本＋增值税＋城市维护建设税＋教育费附加＋地方教育附加＋所得税。</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n为项目计算期。</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以全投资内部收益率计算方法为基础，计算可行性缺口补助金额。使现金流入现值之和等于未来现金流出现值之和。</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式中：</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★水费（工业供水）=工业供水</w:t>
      </w:r>
      <w:r>
        <w:rPr>
          <w:rFonts w:asciiTheme="minorEastAsia" w:hAnsiTheme="minorEastAsia" w:eastAsiaTheme="minorEastAsia"/>
          <w:sz w:val="24"/>
          <w:u w:val="single"/>
        </w:rPr>
        <w:t>基本水量×工业供水使用者付费单价，水费（</w:t>
      </w:r>
      <w:r>
        <w:rPr>
          <w:rFonts w:asciiTheme="minorEastAsia" w:hAnsiTheme="minorEastAsia" w:eastAsiaTheme="minorEastAsia"/>
          <w:sz w:val="24"/>
        </w:rPr>
        <w:t>生活供水</w:t>
      </w:r>
      <w:r>
        <w:rPr>
          <w:rFonts w:asciiTheme="minorEastAsia" w:hAnsiTheme="minorEastAsia" w:eastAsiaTheme="minorEastAsia"/>
          <w:sz w:val="24"/>
          <w:u w:val="single"/>
        </w:rPr>
        <w:t>）=生活供水基本水量×生活供水使用者付费单价，污水处理费=污水基本水量×污水使用者付费单价，各单价见第12.1.2</w:t>
      </w:r>
      <w:r>
        <w:rPr>
          <w:rFonts w:hint="eastAsia" w:asciiTheme="minorEastAsia" w:hAnsiTheme="minorEastAsia" w:eastAsiaTheme="minorEastAsia"/>
          <w:sz w:val="24"/>
          <w:u w:val="single"/>
        </w:rPr>
        <w:t>（1）（2）（3）</w:t>
      </w:r>
      <w:r>
        <w:rPr>
          <w:rFonts w:asciiTheme="minorEastAsia" w:hAnsiTheme="minorEastAsia" w:eastAsiaTheme="minorEastAsia"/>
          <w:sz w:val="24"/>
          <w:u w:val="single"/>
        </w:rPr>
        <w:t>。</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★社会资本建设投资＝PPP总投资－政府方出资代表股权支出－其他投入项目建设的财政性资金。</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★年度运营成本：见第</w:t>
      </w:r>
      <w:r>
        <w:rPr>
          <w:rFonts w:asciiTheme="minorEastAsia" w:hAnsiTheme="minorEastAsia" w:eastAsiaTheme="minorEastAsia"/>
          <w:b/>
          <w:sz w:val="24"/>
        </w:rPr>
        <w:t>12.1.2</w:t>
      </w:r>
      <w:r>
        <w:rPr>
          <w:rFonts w:asciiTheme="minorEastAsia" w:hAnsiTheme="minorEastAsia" w:eastAsiaTheme="minorEastAsia"/>
          <w:sz w:val="24"/>
        </w:rPr>
        <w:t>（5）点。</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★n：合作期，按20年（240个月），涉及21个自然年。</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★i：所得税后全投资内部收益率（折现率），本项目取6.8%作为财务测算的上限值，所得税后全投资内部收益率（折现率）以社会资本投标报价为准。每个自然年，折现时点为年末。</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★t：第t年</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★可行性缺口补助：根据《财政部办公厅关于印发污水处理和垃圾处理领域 PPP项目合同示范文本的通知》（财办金〔2020〕10号）的文件精神，根据工业供水、生活供水、污水处理投资占PPP总投资的比例，将可行性缺口补助按水量折算</w:t>
      </w:r>
      <w:r>
        <w:rPr>
          <w:rFonts w:hint="eastAsia" w:asciiTheme="minorEastAsia" w:hAnsiTheme="minorEastAsia" w:eastAsiaTheme="minorEastAsia"/>
          <w:sz w:val="24"/>
        </w:rPr>
        <w:t>（具体见</w:t>
      </w:r>
      <w:r>
        <w:rPr>
          <w:rFonts w:asciiTheme="minorEastAsia" w:hAnsiTheme="minorEastAsia" w:eastAsiaTheme="minorEastAsia"/>
          <w:sz w:val="24"/>
        </w:rPr>
        <w:t>12.1.2</w:t>
      </w:r>
      <w:r>
        <w:rPr>
          <w:rFonts w:hint="eastAsia" w:asciiTheme="minorEastAsia" w:hAnsiTheme="minorEastAsia" w:eastAsiaTheme="minorEastAsia"/>
          <w:sz w:val="24"/>
        </w:rPr>
        <w:t>条款），</w:t>
      </w:r>
      <w:r>
        <w:rPr>
          <w:rFonts w:asciiTheme="minorEastAsia" w:hAnsiTheme="minorEastAsia" w:eastAsiaTheme="minorEastAsia"/>
          <w:sz w:val="24"/>
        </w:rPr>
        <w:t>调整可行性缺口补助，使所得税后全投资内部收益率=6.8%。</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政府方按照绩效考核结果、核定的供水量或基本水量、核定的污水处理量或基本水量以及社会资本的中标报价，向项目公司支付水费、污水处理费、可行性缺口补助。竣工决算前，可行性缺口补助按《实施方案》中估算社会资本中标报价的80%支付。竣工决算后，根据竣工决算重新计算可行性缺口补助，多退少补。水厂和污水厂分开考核、分开支付，可行性缺口按上述补助系数来分摊。</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②当日均实测水量等于基本水量时，按照以下公式计算厂网一体服务费：</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同本条款第①条。</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③当日均实测水量大于基本水量时，按照以下公式计算厂网一体服务费：</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厂网一体服务费 = A+B；</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u w:val="single"/>
        </w:rPr>
        <w:t>其中：</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A为基本水量下收益，即当日均实测水量≤基本水量时：</w:t>
      </w:r>
      <w:r>
        <w:rPr>
          <w:rFonts w:asciiTheme="minorEastAsia" w:hAnsiTheme="minorEastAsia" w:eastAsiaTheme="minorEastAsia"/>
          <w:sz w:val="24"/>
        </w:rPr>
        <w:t>A=本条款第①条</w:t>
      </w:r>
      <w:r>
        <w:rPr>
          <w:rFonts w:hint="eastAsia" w:asciiTheme="minorEastAsia" w:hAnsiTheme="minorEastAsia" w:eastAsiaTheme="minorEastAsia"/>
          <w:sz w:val="24"/>
        </w:rPr>
        <w:t>=CI×P</w:t>
      </w:r>
      <w:r>
        <w:rPr>
          <w:rFonts w:asciiTheme="minorEastAsia" w:hAnsiTheme="minorEastAsia" w:eastAsiaTheme="minorEastAsia"/>
          <w:sz w:val="24"/>
        </w:rPr>
        <w:t>；</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B为基本水量以上超额收益的超额利润，即当日均实测水量＞基本水量时，且超额利润总额＞0：</w:t>
      </w:r>
      <w:r>
        <w:rPr>
          <w:rFonts w:asciiTheme="minorEastAsia" w:hAnsiTheme="minorEastAsia" w:eastAsiaTheme="minorEastAsia"/>
          <w:sz w:val="24"/>
        </w:rPr>
        <w:t>B=超额利润×乙方股比×</w:t>
      </w:r>
      <w:r>
        <w:rPr>
          <w:rFonts w:asciiTheme="minorEastAsia" w:hAnsiTheme="minorEastAsia" w:eastAsiaTheme="minorEastAsia"/>
          <w:sz w:val="24"/>
          <w:u w:val="single"/>
        </w:rPr>
        <w:t>P</w:t>
      </w:r>
      <w:r>
        <w:rPr>
          <w:rFonts w:asciiTheme="minorEastAsia" w:hAnsiTheme="minorEastAsia" w:eastAsiaTheme="minorEastAsia"/>
          <w:sz w:val="24"/>
        </w:rPr>
        <w:t>；</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超额利润按股权比例分配，政府方只参与超额利润分配。办法如下：</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1、超额利润以自然年为单位核算，如果当年任1项业务或以上超出基本水量，则进行当年超额利润核算。核算范围为当年超出保底/基本水量的业务。</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2、超额利润核算由项目公司编制，在次年1月15日前送政府方核定。</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3、超额利润计算公式如下：</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单项业务超额利润＝（实际水量－基本水量）×对应单价－（实际水量－</w:t>
      </w:r>
      <w:r>
        <w:rPr>
          <w:rFonts w:hint="eastAsia" w:asciiTheme="minorEastAsia" w:hAnsiTheme="minorEastAsia" w:eastAsiaTheme="minorEastAsia"/>
          <w:sz w:val="24"/>
          <w:u w:val="single"/>
        </w:rPr>
        <w:t>基本</w:t>
      </w:r>
      <w:r>
        <w:rPr>
          <w:rFonts w:asciiTheme="minorEastAsia" w:hAnsiTheme="minorEastAsia" w:eastAsiaTheme="minorEastAsia"/>
          <w:sz w:val="24"/>
          <w:u w:val="single"/>
        </w:rPr>
        <w:t>水量）×对应运营成本－对应增值税－对应城建税附加－对应所得税。</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当年超额利润总额＝工业供水超额利润＋生活供水超额利润＋污水处理超额利润。</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如果单项业务的水量低于基本水量的，该项业务超额利润＝0。</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若当年超额利润总额＞0，超额利润由政府方出资代表和社会资本按股权比例分配，相关税费各自承担。政府方出资代表应得的分配部分，也可以抵扣当年PPP运营补贴。</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若当年超额利润总额＜0，则不做分配，也不调整PPP可行性缺口补助的计算。</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④厂区因乙方原因暂停供水、污水处理服务时，按照以下公式计算厂网一体服务费：</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当暂停服务属于厂区年度及计划内维护修整或大修/重置，经乙方申请获得甲方同意的，或非乙方原因引起且不能避免的突发事件</w:t>
      </w:r>
      <w:r>
        <w:rPr>
          <w:rFonts w:hint="eastAsia" w:asciiTheme="minorEastAsia" w:hAnsiTheme="minorEastAsia" w:eastAsiaTheme="minorEastAsia"/>
          <w:sz w:val="24"/>
          <w:u w:val="single"/>
        </w:rPr>
        <w:t>，</w:t>
      </w:r>
      <w:r>
        <w:rPr>
          <w:rFonts w:asciiTheme="minorEastAsia" w:hAnsiTheme="minorEastAsia" w:eastAsiaTheme="minorEastAsia"/>
          <w:sz w:val="24"/>
          <w:u w:val="single"/>
        </w:rPr>
        <w:t>厂网一体服务费</w:t>
      </w:r>
      <w:r>
        <w:rPr>
          <w:rFonts w:hint="eastAsia" w:asciiTheme="minorEastAsia" w:hAnsiTheme="minorEastAsia" w:eastAsiaTheme="minorEastAsia"/>
          <w:sz w:val="24"/>
          <w:u w:val="single"/>
        </w:rPr>
        <w:t>照常支付</w:t>
      </w:r>
      <w:r>
        <w:rPr>
          <w:rFonts w:asciiTheme="minorEastAsia" w:hAnsiTheme="minorEastAsia" w:eastAsiaTheme="minorEastAsia"/>
          <w:sz w:val="24"/>
          <w:u w:val="single"/>
        </w:rPr>
        <w:t>，按照本条款的①②③条规定计费；</w:t>
      </w:r>
    </w:p>
    <w:p>
      <w:pPr>
        <w:widowControl/>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当暂停服务属于乙方自身原因、并未得到甲方同意的，</w:t>
      </w:r>
      <w:r>
        <w:rPr>
          <w:rFonts w:hint="eastAsia" w:asciiTheme="minorEastAsia" w:hAnsiTheme="minorEastAsia" w:eastAsiaTheme="minorEastAsia"/>
          <w:sz w:val="24"/>
          <w:u w:val="single"/>
        </w:rPr>
        <w:t>不支付暂停服务期间对应的使用者付费，当季</w:t>
      </w:r>
      <w:r>
        <w:rPr>
          <w:rFonts w:asciiTheme="minorEastAsia" w:hAnsiTheme="minorEastAsia" w:eastAsiaTheme="minorEastAsia"/>
          <w:sz w:val="24"/>
          <w:u w:val="single"/>
        </w:rPr>
        <w:t>厂网一体服务费</w:t>
      </w:r>
      <w:r>
        <w:rPr>
          <w:rFonts w:hint="eastAsia" w:asciiTheme="minorEastAsia" w:hAnsiTheme="minorEastAsia" w:eastAsiaTheme="minorEastAsia"/>
          <w:sz w:val="24"/>
          <w:u w:val="single"/>
        </w:rPr>
        <w:t>计算公式为：[CI/4（根据</w:t>
      </w:r>
      <w:r>
        <w:rPr>
          <w:rFonts w:asciiTheme="minorEastAsia" w:hAnsiTheme="minorEastAsia" w:eastAsiaTheme="minorEastAsia"/>
          <w:sz w:val="24"/>
          <w:u w:val="single"/>
        </w:rPr>
        <w:t>①条</w:t>
      </w:r>
      <w:r>
        <w:rPr>
          <w:rFonts w:hint="eastAsia" w:asciiTheme="minorEastAsia" w:hAnsiTheme="minorEastAsia" w:eastAsiaTheme="minorEastAsia"/>
          <w:sz w:val="24"/>
          <w:u w:val="single"/>
        </w:rPr>
        <w:t>公式）-暂停服务日对应水量（即：当月计量总水量/当月正常运营日）×暂停服务日数×使用者付费单价]×P</w:t>
      </w:r>
      <w:r>
        <w:rPr>
          <w:rFonts w:hint="eastAsia" w:asciiTheme="minorEastAsia" w:hAnsiTheme="minorEastAsia" w:eastAsiaTheme="minorEastAsia"/>
          <w:sz w:val="24"/>
          <w:u w:val="single"/>
          <w:vertAlign w:val="subscript"/>
        </w:rPr>
        <w:t>m</w:t>
      </w:r>
      <w:r>
        <w:rPr>
          <w:rFonts w:hint="eastAsia" w:asciiTheme="minorEastAsia" w:hAnsiTheme="minorEastAsia" w:eastAsiaTheme="minorEastAsia"/>
          <w:sz w:val="24"/>
          <w:u w:val="single"/>
        </w:rPr>
        <w:t>，当期不支付的使用者付费最大额度为：暂停服务日数×</w:t>
      </w:r>
      <w:r>
        <w:rPr>
          <w:rFonts w:asciiTheme="minorEastAsia" w:hAnsiTheme="minorEastAsia" w:eastAsiaTheme="minorEastAsia"/>
          <w:sz w:val="24"/>
        </w:rPr>
        <w:t>日均</w:t>
      </w:r>
      <w:r>
        <w:rPr>
          <w:rFonts w:hint="eastAsia" w:asciiTheme="minorEastAsia" w:hAnsiTheme="minorEastAsia" w:eastAsiaTheme="minorEastAsia"/>
          <w:sz w:val="24"/>
          <w:u w:val="single"/>
        </w:rPr>
        <w:t>基本</w:t>
      </w:r>
      <w:r>
        <w:rPr>
          <w:rFonts w:asciiTheme="minorEastAsia" w:hAnsiTheme="minorEastAsia" w:eastAsiaTheme="minorEastAsia"/>
          <w:sz w:val="24"/>
          <w:u w:val="single"/>
        </w:rPr>
        <w:t>水量×使用者付费单价</w:t>
      </w:r>
      <w:r>
        <w:rPr>
          <w:rFonts w:hint="eastAsia" w:asciiTheme="minorEastAsia" w:hAnsiTheme="minorEastAsia" w:eastAsiaTheme="minorEastAsia"/>
          <w:sz w:val="24"/>
          <w:u w:val="single"/>
        </w:rPr>
        <w:t>。</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13.1.3 其他计算方式</w:t>
      </w:r>
    </w:p>
    <w:p>
      <w:pPr>
        <w:spacing w:before="80" w:after="80" w:line="360" w:lineRule="auto"/>
        <w:ind w:left="1" w:hanging="1"/>
        <w:rPr>
          <w:rFonts w:asciiTheme="minorEastAsia" w:hAnsiTheme="minorEastAsia" w:eastAsiaTheme="minorEastAsia"/>
          <w:sz w:val="24"/>
          <w:u w:val="single"/>
        </w:rPr>
      </w:pP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w:t>
      </w:r>
      <w:r>
        <w:rPr>
          <w:rFonts w:asciiTheme="minorEastAsia" w:hAnsiTheme="minorEastAsia" w:eastAsiaTheme="minorEastAsia"/>
          <w:sz w:val="24"/>
          <w:u w:val="single"/>
        </w:rPr>
        <w:t xml:space="preserve">                                        </w:t>
      </w:r>
    </w:p>
    <w:p>
      <w:pPr>
        <w:spacing w:before="80" w:after="80" w:line="360" w:lineRule="auto"/>
        <w:ind w:left="1" w:hanging="1"/>
        <w:rPr>
          <w:rFonts w:asciiTheme="minorEastAsia" w:hAnsiTheme="minorEastAsia" w:eastAsiaTheme="minorEastAsia"/>
          <w:sz w:val="24"/>
        </w:rPr>
      </w:pPr>
      <w:r>
        <w:rPr>
          <w:rFonts w:asciiTheme="minorEastAsia" w:hAnsiTheme="minorEastAsia" w:eastAsiaTheme="minorEastAsia"/>
          <w:kern w:val="0"/>
          <w:sz w:val="24"/>
          <w:u w:val="single"/>
        </w:rPr>
        <w:t xml:space="preserve">                                                                     </w:t>
      </w:r>
      <w:r>
        <w:rPr>
          <w:rFonts w:asciiTheme="minorEastAsia" w:hAnsiTheme="minorEastAsia" w:eastAsiaTheme="minorEastAsia"/>
          <w:sz w:val="24"/>
        </w:rPr>
        <w:t xml:space="preserve">  </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13.2服务费的支付</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13.2.1服务费采用【□月付；</w:t>
      </w:r>
      <w:r>
        <w:rPr>
          <w:rFonts w:hint="eastAsia" w:ascii="MS Mincho" w:hAnsi="MS Mincho" w:cs="MS Mincho"/>
          <w:sz w:val="24"/>
        </w:rPr>
        <w:t>☑</w:t>
      </w:r>
      <w:r>
        <w:rPr>
          <w:rFonts w:asciiTheme="minorEastAsia" w:hAnsiTheme="minorEastAsia" w:eastAsiaTheme="minorEastAsia"/>
          <w:sz w:val="24"/>
        </w:rPr>
        <w:t>季付；□年付】。乙方应当在每个运营【</w:t>
      </w:r>
      <w:r>
        <w:rPr>
          <w:rFonts w:asciiTheme="minorEastAsia" w:hAnsiTheme="minorEastAsia" w:eastAsiaTheme="minorEastAsia"/>
          <w:kern w:val="0"/>
          <w:sz w:val="24"/>
        </w:rPr>
        <w:t>□月；</w:t>
      </w:r>
      <w:r>
        <w:rPr>
          <w:rFonts w:hint="eastAsia" w:ascii="MS Mincho" w:hAnsi="MS Mincho" w:eastAsia="MS Mincho" w:cs="MS Mincho"/>
          <w:kern w:val="0"/>
          <w:sz w:val="24"/>
        </w:rPr>
        <w:t>☑</w:t>
      </w:r>
      <w:r>
        <w:rPr>
          <w:rFonts w:asciiTheme="minorEastAsia" w:hAnsiTheme="minorEastAsia" w:eastAsiaTheme="minorEastAsia"/>
          <w:sz w:val="24"/>
        </w:rPr>
        <w:t>季；</w:t>
      </w:r>
      <w:r>
        <w:rPr>
          <w:rFonts w:asciiTheme="minorEastAsia" w:hAnsiTheme="minorEastAsia" w:eastAsiaTheme="minorEastAsia"/>
          <w:kern w:val="0"/>
          <w:sz w:val="24"/>
        </w:rPr>
        <w:t>□年】结束后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7</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日内，按照第13.1款约定计算服务费的金额，并提交付费申请及相应的证明资料，以便甲方能够核实上述计算结果。</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13.2.2甲方应在收到乙方提交的付费申请之日起</w:t>
      </w:r>
      <w:r>
        <w:rPr>
          <w:rFonts w:asciiTheme="minorEastAsia" w:hAnsiTheme="minorEastAsia" w:eastAsiaTheme="minorEastAsia"/>
          <w:b/>
          <w:sz w:val="30"/>
          <w:szCs w:val="30"/>
          <w:u w:val="single"/>
        </w:rPr>
        <w:t xml:space="preserve"> </w:t>
      </w:r>
      <w:r>
        <w:rPr>
          <w:rFonts w:hint="eastAsia" w:asciiTheme="minorEastAsia" w:hAnsiTheme="minorEastAsia" w:eastAsiaTheme="minorEastAsia"/>
          <w:b/>
          <w:sz w:val="24"/>
          <w:u w:val="single"/>
        </w:rPr>
        <w:t>3</w:t>
      </w:r>
      <w:r>
        <w:rPr>
          <w:rFonts w:asciiTheme="minorEastAsia" w:hAnsiTheme="minorEastAsia" w:eastAsiaTheme="minorEastAsia"/>
          <w:b/>
          <w:sz w:val="24"/>
          <w:u w:val="single"/>
        </w:rPr>
        <w:t>0</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日（或绩效考核完成日取后者）内完成对前述付费申请和相关资料计算结果的复核；逾期未完成复核，则视为无异议。如甲方对金额有争议，应在收到付费申请报告后</w:t>
      </w:r>
      <w:r>
        <w:rPr>
          <w:rFonts w:hint="eastAsia" w:asciiTheme="minorEastAsia" w:hAnsiTheme="minorEastAsia" w:eastAsiaTheme="minorEastAsia"/>
          <w:sz w:val="24"/>
        </w:rPr>
        <w:t>10</w:t>
      </w:r>
      <w:r>
        <w:rPr>
          <w:rFonts w:asciiTheme="minorEastAsia" w:hAnsiTheme="minorEastAsia" w:eastAsiaTheme="minorEastAsia"/>
          <w:sz w:val="24"/>
        </w:rPr>
        <w:t>个工作日内通知乙方，甲乙双方就争议部分进行协商，也可提请有资质的第三方进行确定。如甲乙双方未能协商解决，应依照第26下条解决。同时，由甲方或政府方指定机构依据本合同项目绩效评价等相关约定完成绩效评价评定工作，并根据绩效评价结果向乙方支付当期服务费。</w:t>
      </w:r>
    </w:p>
    <w:p>
      <w:pPr>
        <w:spacing w:line="360" w:lineRule="auto"/>
        <w:ind w:firstLine="561"/>
        <w:rPr>
          <w:rFonts w:asciiTheme="minorEastAsia" w:hAnsiTheme="minorEastAsia" w:eastAsiaTheme="minorEastAsia"/>
        </w:rPr>
      </w:pPr>
      <w:r>
        <w:rPr>
          <w:rFonts w:asciiTheme="minorEastAsia" w:hAnsiTheme="minorEastAsia" w:eastAsiaTheme="minorEastAsia"/>
          <w:sz w:val="24"/>
        </w:rPr>
        <w:t>在每年前3个季度于每个季度结束后20日内完成绩效考核，每个季度结束后45日内付款。最后一个季度于当年12月31日前完成绩效考核，在次年1月30日前付款。</w:t>
      </w:r>
    </w:p>
    <w:p>
      <w:pPr>
        <w:spacing w:line="360" w:lineRule="auto"/>
        <w:ind w:firstLine="561"/>
        <w:rPr>
          <w:rFonts w:asciiTheme="minorEastAsia" w:hAnsiTheme="minorEastAsia" w:eastAsiaTheme="minorEastAsia"/>
          <w:sz w:val="24"/>
        </w:rPr>
      </w:pPr>
      <w:r>
        <w:rPr>
          <w:rFonts w:hint="eastAsia" w:asciiTheme="minorEastAsia" w:hAnsiTheme="minorEastAsia" w:eastAsiaTheme="minorEastAsia"/>
          <w:sz w:val="24"/>
        </w:rPr>
        <w:t>每年前3个季度进行第三方绩效考核（打分），根据打分付费；第4季度组织各相关部门进行绩效考核，并对全年绩效资料进行复核，根据复核结果进行付费，多退少补。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13.2.3乙方在收到甲方确认金额的通知后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7</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日内开具发票并提供给甲方；</w:t>
      </w:r>
      <w:bookmarkStart w:id="450" w:name="_Hlk8840674"/>
      <w:r>
        <w:rPr>
          <w:rFonts w:asciiTheme="minorEastAsia" w:hAnsiTheme="minorEastAsia" w:eastAsiaTheme="minorEastAsia"/>
          <w:sz w:val="24"/>
        </w:rPr>
        <w:t>若乙方未按本合同第13.2.1款约定的时间提交付费申请，甲方将不承担本合同第13.2.5款约定的迟延付款责任</w:t>
      </w:r>
      <w:bookmarkEnd w:id="450"/>
      <w:r>
        <w:rPr>
          <w:rFonts w:asciiTheme="minorEastAsia" w:hAnsiTheme="minorEastAsia" w:eastAsiaTheme="minorEastAsia"/>
          <w:sz w:val="24"/>
        </w:rPr>
        <w:t>。</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13.2.4甲方应在收到发票后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7</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日内支付相应款项；</w:t>
      </w:r>
      <w:bookmarkStart w:id="451" w:name="_Hlk8841055"/>
      <w:r>
        <w:rPr>
          <w:rFonts w:asciiTheme="minorEastAsia" w:hAnsiTheme="minorEastAsia" w:eastAsiaTheme="minorEastAsia"/>
          <w:sz w:val="24"/>
        </w:rPr>
        <w:t>所有相关费用均应按照乙方通知的开户行、账户和付款方式，由甲方以人民币向乙方支付，银行手续费由各方自行承担</w:t>
      </w:r>
      <w:bookmarkEnd w:id="451"/>
      <w:r>
        <w:rPr>
          <w:rFonts w:asciiTheme="minorEastAsia" w:hAnsiTheme="minorEastAsia" w:eastAsiaTheme="minorEastAsia"/>
          <w:sz w:val="24"/>
        </w:rPr>
        <w:t>。</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13.2.5迟延付款的责任</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若甲方未按照本合同第13.2.2款的约定按时足额向乙方支付服务费，则乙方可向甲方发出催付款通知；若甲方在收到该催付通知送达</w:t>
      </w:r>
      <w:r>
        <w:rPr>
          <w:rFonts w:asciiTheme="minorEastAsia" w:hAnsiTheme="minorEastAsia" w:eastAsiaTheme="minorEastAsia"/>
          <w:b/>
          <w:sz w:val="24"/>
          <w:u w:val="single"/>
        </w:rPr>
        <w:t xml:space="preserve"> 14 </w:t>
      </w:r>
      <w:r>
        <w:rPr>
          <w:rFonts w:asciiTheme="minorEastAsia" w:hAnsiTheme="minorEastAsia" w:eastAsiaTheme="minorEastAsia"/>
          <w:sz w:val="24"/>
        </w:rPr>
        <w:t>日后仍未能支付，则甲方应在前述期限届满后</w:t>
      </w:r>
      <w:r>
        <w:rPr>
          <w:rFonts w:asciiTheme="minorEastAsia" w:hAnsiTheme="minorEastAsia" w:eastAsiaTheme="minorEastAsia"/>
          <w:b/>
          <w:sz w:val="24"/>
          <w:u w:val="single"/>
        </w:rPr>
        <w:t xml:space="preserve"> 14 </w:t>
      </w:r>
      <w:r>
        <w:rPr>
          <w:rFonts w:asciiTheme="minorEastAsia" w:hAnsiTheme="minorEastAsia" w:eastAsiaTheme="minorEastAsia"/>
          <w:sz w:val="24"/>
        </w:rPr>
        <w:t>日内与乙方协商签订延期付款协议后延期支付。若甲方和乙方未能在上述期限内达成延期付款协议，由甲方每日按</w:t>
      </w:r>
      <w:r>
        <w:rPr>
          <w:rFonts w:asciiTheme="minorEastAsia" w:hAnsiTheme="minorEastAsia" w:eastAsiaTheme="minorEastAsia"/>
          <w:b/>
          <w:sz w:val="24"/>
          <w:u w:val="single"/>
        </w:rPr>
        <w:t xml:space="preserve"> 每逾期一天按应付而未付金额的万分之</w:t>
      </w:r>
      <w:r>
        <w:rPr>
          <w:rFonts w:hint="eastAsia" w:asciiTheme="minorEastAsia" w:hAnsiTheme="minorEastAsia" w:eastAsiaTheme="minorEastAsia"/>
          <w:b/>
          <w:sz w:val="24"/>
          <w:u w:val="single"/>
        </w:rPr>
        <w:t>一</w:t>
      </w:r>
      <w:r>
        <w:rPr>
          <w:rFonts w:asciiTheme="minorEastAsia" w:hAnsiTheme="minorEastAsia" w:eastAsiaTheme="minorEastAsia"/>
          <w:b/>
          <w:sz w:val="24"/>
          <w:u w:val="single"/>
        </w:rPr>
        <w:t xml:space="preserve">  </w:t>
      </w:r>
      <w:r>
        <w:rPr>
          <w:rFonts w:asciiTheme="minorEastAsia" w:hAnsiTheme="minorEastAsia" w:eastAsiaTheme="minorEastAsia"/>
          <w:sz w:val="24"/>
        </w:rPr>
        <w:t>向乙方支付</w:t>
      </w:r>
      <w:r>
        <w:rPr>
          <w:rFonts w:hint="eastAsia" w:asciiTheme="minorEastAsia" w:hAnsiTheme="minorEastAsia" w:eastAsiaTheme="minorEastAsia"/>
          <w:sz w:val="24"/>
        </w:rPr>
        <w:t>违约金</w:t>
      </w:r>
      <w:r>
        <w:rPr>
          <w:rFonts w:asciiTheme="minorEastAsia" w:hAnsiTheme="minorEastAsia" w:eastAsiaTheme="minorEastAsia"/>
          <w:sz w:val="24"/>
        </w:rPr>
        <w:t>，并赔偿项目公司因此而遭受的损失。如甲方未按本合同第13.2.2款的约定向乙方支付服务费，且已逾期（自应付款日起计算）超过</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6</w:t>
      </w:r>
      <w:r>
        <w:rPr>
          <w:rFonts w:asciiTheme="minorEastAsia" w:hAnsiTheme="minorEastAsia" w:eastAsiaTheme="minorEastAsia"/>
          <w:sz w:val="24"/>
        </w:rPr>
        <w:t>个月的，乙方有权向甲方发出终止意向通知。</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13.2.6有争议金额的解决</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项目实施过程中，因服务费申请与支付发生争议的，由甲、乙双方按照本合同第26条约定执行。</w:t>
      </w:r>
    </w:p>
    <w:p>
      <w:pPr>
        <w:pStyle w:val="3"/>
        <w:spacing w:line="360" w:lineRule="auto"/>
        <w:jc w:val="both"/>
        <w:rPr>
          <w:rFonts w:asciiTheme="minorEastAsia" w:hAnsiTheme="minorEastAsia"/>
        </w:rPr>
      </w:pPr>
      <w:bookmarkStart w:id="452" w:name="_Toc30127"/>
      <w:bookmarkStart w:id="453" w:name="_Toc50993473"/>
      <w:bookmarkStart w:id="454" w:name="_Toc522897559"/>
      <w:r>
        <w:rPr>
          <w:rFonts w:asciiTheme="minorEastAsia" w:hAnsiTheme="minorEastAsia"/>
        </w:rPr>
        <w:t>第14条  项目的移交</w:t>
      </w:r>
      <w:bookmarkEnd w:id="452"/>
      <w:bookmarkEnd w:id="453"/>
      <w:bookmarkEnd w:id="454"/>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14.1移交委员会和移交程序</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14.1.1移交委员会</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合作期限届满</w:t>
      </w:r>
      <w:r>
        <w:rPr>
          <w:rFonts w:asciiTheme="minorEastAsia" w:hAnsiTheme="minorEastAsia" w:eastAsiaTheme="minorEastAsia"/>
          <w:b/>
          <w:sz w:val="24"/>
          <w:u w:val="single"/>
        </w:rPr>
        <w:t xml:space="preserve"> 12 </w:t>
      </w:r>
      <w:r>
        <w:rPr>
          <w:rFonts w:asciiTheme="minorEastAsia" w:hAnsiTheme="minorEastAsia" w:eastAsiaTheme="minorEastAsia"/>
          <w:sz w:val="24"/>
        </w:rPr>
        <w:t>个月前，甲方和乙方应成立移交委员会，由乙方</w:t>
      </w:r>
      <w:r>
        <w:rPr>
          <w:rFonts w:asciiTheme="minorEastAsia" w:hAnsiTheme="minorEastAsia" w:eastAsiaTheme="minorEastAsia"/>
          <w:b/>
          <w:sz w:val="24"/>
          <w:u w:val="single"/>
        </w:rPr>
        <w:t xml:space="preserve"> 3 </w:t>
      </w:r>
      <w:r>
        <w:rPr>
          <w:rFonts w:asciiTheme="minorEastAsia" w:hAnsiTheme="minorEastAsia" w:eastAsiaTheme="minorEastAsia"/>
          <w:sz w:val="24"/>
        </w:rPr>
        <w:t>名代表、甲方</w:t>
      </w:r>
      <w:r>
        <w:rPr>
          <w:rFonts w:asciiTheme="minorEastAsia" w:hAnsiTheme="minorEastAsia" w:eastAsiaTheme="minorEastAsia"/>
          <w:b/>
          <w:sz w:val="24"/>
          <w:u w:val="single"/>
        </w:rPr>
        <w:t xml:space="preserve"> 3 </w:t>
      </w:r>
      <w:r>
        <w:rPr>
          <w:rFonts w:asciiTheme="minorEastAsia" w:hAnsiTheme="minorEastAsia" w:eastAsiaTheme="minorEastAsia"/>
          <w:sz w:val="24"/>
        </w:rPr>
        <w:t>名代表（包括至少一名接收人的代表）、双方共同确定的其他机构或专家</w:t>
      </w:r>
      <w:r>
        <w:rPr>
          <w:rFonts w:asciiTheme="minorEastAsia" w:hAnsiTheme="minorEastAsia" w:eastAsiaTheme="minorEastAsia"/>
          <w:b/>
          <w:sz w:val="24"/>
          <w:u w:val="single"/>
        </w:rPr>
        <w:t xml:space="preserve"> 1 </w:t>
      </w:r>
      <w:r>
        <w:rPr>
          <w:rFonts w:asciiTheme="minorEastAsia" w:hAnsiTheme="minorEastAsia" w:eastAsiaTheme="minorEastAsia"/>
          <w:sz w:val="24"/>
        </w:rPr>
        <w:t>名代表组成。移交委员会应定期或不定期举行会议，商定具体移交方式、移交程序和移交要求。</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14.1.2移交程序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（1）移交委员会应在移交日</w:t>
      </w:r>
      <w:r>
        <w:rPr>
          <w:rFonts w:asciiTheme="minorEastAsia" w:hAnsiTheme="minorEastAsia" w:eastAsiaTheme="minorEastAsia"/>
          <w:b/>
          <w:sz w:val="24"/>
          <w:u w:val="single"/>
        </w:rPr>
        <w:t xml:space="preserve"> 6</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个月前会谈并商定移交项目设施清单（包括备品备件的详细清单）和移交程序。移交委员会应在移交之前至少3个月召开准备移交工作会。</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（2）乙方应根据移交委员会要求提供移交所需必要的文件、记录、报告等数据，作为移交时双方的参考。</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（3）除本合同另有约定外，双方在完成项目资产移交程序前，均应继续履行其本合同项下的义务。</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在约定移交日期之前至少12个月，项目公司应对本项目设施进行一次最后恢复性大修/重置，确保本项目设备的整体正常运行率达到100%。但此大修/重置应不迟于约定移交日期前6个月完成。大修/重置的具体时间和内容应于移交日期前12个月时由移交委员会核准。</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项目公司有义务将甲方合理提出的检修项目列入其最后恢复性大修/重置计划；如果项目公司不能进行最后恢复性大修/重置，甲方可以自行或委托第三方进行大修/重置，由项目公司承担费用和风险。甲方应有权提取移交维修保函，以补偿最后恢复性大修/重置的费用。在此情况下，甲方应向项目公司提供所发生的支出的详细记录。</w:t>
      </w:r>
    </w:p>
    <w:p>
      <w:pPr>
        <w:spacing w:before="80" w:after="80" w:line="360" w:lineRule="auto"/>
        <w:ind w:firstLine="424" w:firstLineChars="177"/>
        <w:rPr>
          <w:rFonts w:asciiTheme="minorEastAsia" w:hAnsiTheme="minorEastAsia" w:eastAsiaTheme="minorEastAsia"/>
        </w:rPr>
      </w:pPr>
      <w:r>
        <w:rPr>
          <w:rFonts w:asciiTheme="minorEastAsia" w:hAnsiTheme="minorEastAsia" w:eastAsiaTheme="minorEastAsia"/>
          <w:sz w:val="24"/>
        </w:rPr>
        <w:t>在最后恢复性大修/重置后并在移交日期之前，甲方应在接收人和项目公司代表在场时对本项目进行移交验收。如发现存在缺陷的，则项目公司应及时修复，如果项目公司不能自前次验收日起30日或双方同意的更长时间内修正任何上述缺陷，则甲方可以自行修正，由项目公司承担风险和费用。甲方应有权从移交维修保函中支取费用以补偿修正上述缺陷的支出，但是需将发生的支出详细记录提交给项目公司。</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14.2移交范围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在移交日，乙方应向接收人无偿、完整地移交项目资产和相关权益。移交的范围包括：</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14.2.1项目经营权及供水、污水处理厂、管网等项目设施，改扩建设施（如有）；</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14.2.2本项目土地的占用、使用及收益权；</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14.2.3甲方可以合理要求的，且此前乙方未按照本合同约定交付的投资、融资、设计、建设、验收、运营、维护、修理记录、移交记录和其他资料，以使其能够直接或通过其指定机构继续本项目的运营；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14.2.4与本项目设施使用相关的机器、装置、零部件、备品备件（药剂、试剂除外）以及其他动产；</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14.2.5运营维护本项目设施所要求的所有技术和技术诀窍、知识产权等无形资产（包括以任何许可方式取得的，乙方不拥有相应知识产权的除外），其中就知识产权移交问题，双方另有约定的除外；</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14.2.6正在使用的各类管理章程和运营手册，包括专有技术、生产档案、技术档案、文秘档案、图书资料、设计图纸、文件和其他资料，以使本项目能平稳正常地继续运营；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14.2.7所有尚未到期的质量和安全保证、保险和其他合同利益；</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14.2.8甲方合理要求的其他物品与资料。向接收人移交前述权利时，应解除和清偿完毕乙方设置的所有债务、抵押、质押、留置等担保物权，以及源自本项目的建设、运营维护的由乙方引起的环境污染及其他性质的请求权。</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 xml:space="preserve">14.2.9其他移交事项：合作期满后，乙方通过将所持的项目公司股权无偿转让给政府方出资代表的方式，将本项目所有资产和设施无偿移交给政府方。 </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14.3移交验收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14.3.1在移交日之前，甲方应在接收人和乙方代表在场时对本项目进行移交验收。移交验收标准为：</w:t>
      </w:r>
    </w:p>
    <w:p>
      <w:pPr>
        <w:numPr>
          <w:ilvl w:val="0"/>
          <w:numId w:val="15"/>
        </w:num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rPr>
        <w:t>厂区所有设施设备正常运行率达到100%；</w:t>
      </w:r>
    </w:p>
    <w:p>
      <w:pPr>
        <w:numPr>
          <w:ilvl w:val="0"/>
          <w:numId w:val="15"/>
        </w:num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 xml:space="preserve">符合本合同中所规定的移交标准。           </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14.3.2如发现存在缺陷的，乙方应及时修复，以满足约定的移交验收标准要求。如任一方对是否达到移交标准有异议的，则由移交委员会聘请第三方机构进行评定，第三方机构的聘请费用由提出异议的一方预付，最后根据第三方机构的评定结果，由主张未被支持的一方来承担。</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14.3.3如果未能达到验收标准，且乙方不能自前次验收日起</w:t>
      </w:r>
      <w:r>
        <w:rPr>
          <w:rFonts w:asciiTheme="minorEastAsia" w:hAnsiTheme="minorEastAsia" w:eastAsiaTheme="minorEastAsia"/>
          <w:b/>
          <w:sz w:val="24"/>
          <w:u w:val="single"/>
        </w:rPr>
        <w:t xml:space="preserve"> 30</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日或双方同意的更长时间内修正任何上述缺陷，则甲方可以自行修正，由乙方承担风险和费用。甲方应有权从移交履约担保中支取费用以补偿修正上述缺陷的支出，但是需将发生的支出详细记录提交给乙方。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14.3.4其他移交标准和要求：</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w:t>
      </w:r>
      <w:r>
        <w:rPr>
          <w:rFonts w:asciiTheme="minorEastAsia" w:hAnsiTheme="minorEastAsia" w:eastAsiaTheme="minorEastAsia"/>
          <w:sz w:val="24"/>
          <w:u w:val="single"/>
        </w:rPr>
        <w:t xml:space="preserve">       </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14.4备品备件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在移交日，乙方应向接收人无偿移交</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1</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个月内正常需要的消耗性备件和事故修理备品备件。</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14.5保证期</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14.5.1移交日本项目的状况</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在移交日，乙方应保证本项目：</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（1）处于良好的运营状况，无法律纠纷和瑕疵，得到良好维护，正常损耗除外；</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（2）移交的资产和权益未设置有任何抵押、质押等权利限制或产权限制，亦不存在任何种类的索赔；</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（3）符合本合同约定的安全和环境标准；和</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（4）符合本合同中约定的移交标准。</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14.5.2质量保证期</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乙方保证在移交日后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12</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个</w:t>
      </w:r>
      <w:r>
        <w:rPr>
          <w:rFonts w:asciiTheme="minorEastAsia" w:hAnsiTheme="minorEastAsia" w:eastAsiaTheme="minorEastAsia"/>
          <w:sz w:val="24"/>
        </w:rPr>
        <w:t>月届满日期间，承担由乙方提供的备品备件、工艺、施工或合作期内乙方的任何违约行为造成的项目设施任何部分出现的任何缺陷或损坏（正常磨损除外）及/或环境污染的修复责任。</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甲方发现任何上述缺陷或损坏及/或环境污染的发生后应及时通知乙方。在任何情况下，上述通知最迟应在上述</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12</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个</w:t>
      </w:r>
      <w:r>
        <w:rPr>
          <w:rFonts w:asciiTheme="minorEastAsia" w:hAnsiTheme="minorEastAsia" w:eastAsiaTheme="minorEastAsia"/>
          <w:sz w:val="24"/>
        </w:rPr>
        <w:t>月的质量保证期届满前发出。收到该通知后，乙方应尽快自费修正缺陷。如果乙方在收到甲方通知后</w:t>
      </w:r>
      <w:r>
        <w:rPr>
          <w:rFonts w:asciiTheme="minorEastAsia" w:hAnsiTheme="minorEastAsia" w:eastAsiaTheme="minorEastAsia"/>
          <w:b/>
          <w:sz w:val="24"/>
          <w:u w:val="single"/>
        </w:rPr>
        <w:t xml:space="preserve"> 30 </w:t>
      </w:r>
      <w:r>
        <w:rPr>
          <w:rFonts w:asciiTheme="minorEastAsia" w:hAnsiTheme="minorEastAsia" w:eastAsiaTheme="minorEastAsia"/>
          <w:sz w:val="24"/>
        </w:rPr>
        <w:t>日内不能或拒绝修正缺陷，甲方有权自行或聘请第三方修正上述缺陷。在该情形下，乙方应承担合理且必要的修理费用，甲方有权选择扣除或提取移交履约担保中的相应金额用以支付此项费用。</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14.5.3未能修复缺陷或损害的赔偿</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当乙方支付的修理费用不足额时甲方有权提取移交维修保函中相应金额以补偿此项费用。除非因乙方严重不当行为，根据第15.3.1款乙方对甲方的责任应限于移交维修保函项下的金额。</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如果为符合本合同约定的标准所需进行的对本项目设施缺陷或损害及/或环境污染责任的修复无法实施或不合理地增加负担或过于昂贵,则甲方有权因本项目的性能指标降低而获得补偿，并可选择扣除或提取移交履约担保的方式实现上述补偿。</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14.6相关担保、保证及保险凭证的转让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在移交时，乙方应将所有承包商和供应商提供的尚未期满的担保及保证无偿转让给接收人，并且将所有保险单、暂保单和保险单批单等与运营期届满移交资产有关的其他担保、保证及保险凭证，全部转让给接收人。接收人应承担上述移交日后保险期间的保险费，若乙方已提前支付的，接收人应予以相应退还。</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14.7技术转让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14.7.1乙方应在移交日将届时使用的运营维护本项目所必须的乙方享有所有权的所有技术和技术诀窍，无偿移交给甲方或政府方指定的接收人，并确保甲方或接收人不因此遭受损失。</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14.7.2如果该等技术和技术诀窍为第三方所有的，则乙方应当在第三方签署技术授权合同时即与第三方明确约定，同意在项目移交时将技术授权合同转让给甲方或者甲方指定的第三方。同时，乙方应当协助甲方或接收人按照实际使用费用取得这些技术和技术诀窍的使用权。双方另有约定的除外。</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14.7.3如果移交时项目运营所需的知识产权使用期限等已经届满或即将届满，乙方应当负责许可展期，或配合甲方办理完成相关知识产权的许可展期。</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14.8人员及培训</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乙方应在移交日</w:t>
      </w:r>
      <w:r>
        <w:rPr>
          <w:rFonts w:asciiTheme="minorEastAsia" w:hAnsiTheme="minorEastAsia" w:eastAsiaTheme="minorEastAsia"/>
          <w:b/>
          <w:sz w:val="24"/>
          <w:u w:val="single"/>
        </w:rPr>
        <w:t xml:space="preserve"> 6 </w:t>
      </w:r>
      <w:r>
        <w:rPr>
          <w:rFonts w:asciiTheme="minorEastAsia" w:hAnsiTheme="minorEastAsia" w:eastAsiaTheme="minorEastAsia"/>
          <w:sz w:val="24"/>
        </w:rPr>
        <w:t>个月前提交一份当时的乙方员工名单，包括每位员工的资格、职位和收入的细节。甲方有权选择在移交日后优先继续聘用全部或部分员工。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甲方或其指定机构需要在移交日前派驻人员到项目设施所在地进行培训或学习的，应在移交日</w:t>
      </w:r>
      <w:r>
        <w:rPr>
          <w:rFonts w:asciiTheme="minorEastAsia" w:hAnsiTheme="minorEastAsia" w:eastAsiaTheme="minorEastAsia"/>
          <w:b/>
          <w:sz w:val="24"/>
          <w:u w:val="single"/>
        </w:rPr>
        <w:t xml:space="preserve"> 6 </w:t>
      </w:r>
      <w:r>
        <w:rPr>
          <w:rFonts w:asciiTheme="minorEastAsia" w:hAnsiTheme="minorEastAsia" w:eastAsiaTheme="minorEastAsia"/>
          <w:sz w:val="24"/>
        </w:rPr>
        <w:t>个月前向乙方说明情况及拟派驻人员名单，乙方负责为上述人员提供培训，使之达到熟练操作和管理要求。作为移交的一部分，甲方和乙方应联合考试，以确定被指定人员经过培训合格，可以接管本项目的独立运营维护。对于前述派驻人员的培训费用承担方式，双方约定如下：</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□乙方免费负责为上述人员提供培训；</w:t>
      </w:r>
    </w:p>
    <w:p>
      <w:pPr>
        <w:spacing w:before="80" w:after="80" w:line="360" w:lineRule="auto"/>
        <w:ind w:firstLine="424" w:firstLineChars="177"/>
        <w:rPr>
          <w:rFonts w:asciiTheme="minorEastAsia" w:hAnsiTheme="minorEastAsia" w:eastAsiaTheme="minorEastAsia"/>
          <w:sz w:val="24"/>
          <w:u w:val="single"/>
        </w:rPr>
      </w:pPr>
      <w:r>
        <w:rPr>
          <w:rFonts w:hint="eastAsia" w:ascii="MS Mincho" w:hAnsi="MS Mincho" w:eastAsia="MS Mincho" w:cs="MS Mincho"/>
          <w:sz w:val="24"/>
        </w:rPr>
        <w:t>☑</w:t>
      </w:r>
      <w:r>
        <w:rPr>
          <w:rFonts w:asciiTheme="minorEastAsia" w:hAnsiTheme="minorEastAsia" w:eastAsiaTheme="minorEastAsia"/>
          <w:sz w:val="24"/>
        </w:rPr>
        <w:t>其他方式：</w:t>
      </w:r>
      <w:r>
        <w:rPr>
          <w:rFonts w:asciiTheme="minorEastAsia" w:hAnsiTheme="minorEastAsia" w:eastAsiaTheme="minorEastAsia"/>
          <w:sz w:val="24"/>
          <w:u w:val="single"/>
        </w:rPr>
        <w:t xml:space="preserve"> 乙方无偿提供不少于60学时的理论培训和不少于60学时的实操培训，培训考试合格；对于一次考试不合格人员提供另外10学时理论、10学时实操培训和补考机会一次；两次考试均不合格者认定为培训人员自身问题。不合格需继续培训的，需缴纳30元/(人·学时)的培训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移交后，乙方有义务免费提供不低于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6</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个月的技术支持。</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14.9相关合同期限及责任承担</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乙方在与第三方签订运营维护合同、设备合同及其他合同时，应使该等合同的有效期届满日不超过本项目合作期限届满日。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如在移交日前，乙方需签订运营维护合同、设备合同及其他合同且该等合同在本项目合作期届满后仍为有效的，则乙方应在该等合同签订前报经甲方同意。未经甲方同意的，由乙方承担相应责任。</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14.10移走乙方相关的物品</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除非双方另有约定，乙方应于移交日后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30</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内，自费从场地移走仅限于乙方员工的个人用品以及与本项目运营维护无关的物品，不包括移交清单所列的项目设备、备品备件、技术资料或者项目设施运营维护的必需物品。如果乙方在上述时间内没有移走这些物品，甲方在通知乙方后，可以移走并将物品转运至适当的地点以便安全保管。乙方应承担搬移、运输和保管的合理费用和风险。</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14.11风险转移</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乙方应承担移交日前项目设施的全部或部分损失或损坏的风险，除非损失或损坏是不可抗力或由甲方的违约所致。自移交日起，项目设施损失的风险由接收人承担。</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14.12移交费用和批准</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甲方及乙方应负责各自的因移交和转让发生的费用。甲方应自费获得所有的批准或使之生效，并采取其他可能为移交和转让所必需的行动，并且应支付与移交和转让有关的所有印花税、税收、收费和类似的费用。如果乙方未按本合同约定的范围和内容进行移交，甲方为此发生额外支出或遭受损失的，甲方有权从运维履约担保及移交履约担保中扣除相应的金额。由于政府方或项目公司原因造成的税收滞纳金与罚款，由责任方承担相关费用。</w:t>
      </w:r>
    </w:p>
    <w:p>
      <w:pPr>
        <w:widowControl/>
        <w:ind w:firstLine="424" w:firstLineChars="177"/>
        <w:rPr>
          <w:rFonts w:asciiTheme="minorEastAsia" w:hAnsiTheme="minorEastAsia" w:eastAsiaTheme="minorEastAsia"/>
          <w:sz w:val="24"/>
        </w:rPr>
      </w:pPr>
      <w:r>
        <w:rPr>
          <w:rFonts w:asciiTheme="minorEastAsia" w:hAnsiTheme="minorEastAsia" w:eastAsiaTheme="minorEastAsia"/>
          <w:sz w:val="24"/>
        </w:rPr>
        <w:t>与移交和转让有关的税收承担，双方约定如下：</w:t>
      </w:r>
    </w:p>
    <w:p>
      <w:pPr>
        <w:widowControl/>
        <w:spacing w:line="360" w:lineRule="auto"/>
        <w:rPr>
          <w:rFonts w:asciiTheme="minorEastAsia" w:hAnsiTheme="minorEastAsia" w:eastAsiaTheme="minorEastAsia"/>
          <w:kern w:val="0"/>
          <w:sz w:val="22"/>
          <w:szCs w:val="20"/>
          <w:u w:val="single"/>
        </w:rPr>
      </w:pPr>
      <w:r>
        <w:rPr>
          <w:rFonts w:asciiTheme="minorEastAsia" w:hAnsiTheme="minorEastAsia" w:eastAsiaTheme="minorEastAsia"/>
          <w:sz w:val="22"/>
          <w:u w:val="single"/>
        </w:rPr>
        <w:t xml:space="preserve">   </w:t>
      </w:r>
      <w:r>
        <w:rPr>
          <w:rFonts w:asciiTheme="minorEastAsia" w:hAnsiTheme="minorEastAsia" w:eastAsiaTheme="minorEastAsia"/>
          <w:sz w:val="24"/>
          <w:u w:val="single"/>
        </w:rPr>
        <w:t>与移交和转让有关的税收由政府承担</w:t>
      </w:r>
      <w:r>
        <w:rPr>
          <w:rFonts w:asciiTheme="minorEastAsia" w:hAnsiTheme="minorEastAsia" w:eastAsiaTheme="minorEastAsia"/>
          <w:sz w:val="22"/>
          <w:u w:val="single"/>
        </w:rPr>
        <w:t xml:space="preserve">                                      </w:t>
      </w:r>
    </w:p>
    <w:p>
      <w:pPr>
        <w:widowControl/>
        <w:spacing w:line="360" w:lineRule="auto"/>
        <w:rPr>
          <w:rFonts w:asciiTheme="minorEastAsia" w:hAnsiTheme="minorEastAsia" w:eastAsiaTheme="minorEastAsia"/>
          <w:sz w:val="20"/>
        </w:rPr>
      </w:pPr>
      <w:r>
        <w:rPr>
          <w:rFonts w:asciiTheme="minorEastAsia" w:hAnsiTheme="minorEastAsia" w:eastAsiaTheme="minorEastAsia"/>
          <w:sz w:val="22"/>
          <w:u w:val="single"/>
        </w:rPr>
        <w:t xml:space="preserve"> </w:t>
      </w:r>
      <w:r>
        <w:rPr>
          <w:rFonts w:asciiTheme="minorEastAsia" w:hAnsiTheme="minorEastAsia" w:eastAsiaTheme="minorEastAsia"/>
          <w:sz w:val="24"/>
          <w:u w:val="single"/>
        </w:rPr>
        <w:t xml:space="preserve">                                                                     </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14.13项目提前终止时的移交</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合作期届满前项目提前终止，乙方向接收人移交项目的，双方参照合作期届满时移交的相关约定确定项目移交方式、移交程序和移交要求。双方根据约定的提前终止补偿方式给予项目公司补偿。</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14.14本合同移交后的效力</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自移交日起，除本合同另有约定外，乙方在本合同项下的权利和义务即应终止，但双方于移交日前发生及未偿付的债务除外。</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14.15移交违约和处理</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14.15.1因甲方原因未完成移交的，构成甲方违约，由此增加的移交费用由甲方承担，如造成其他损失的甲方应当另行承担赔偿责任。</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14.15.2因乙方原因未按照本合同约定的时间和要求完成移交的，构成乙方违约，由此增加的移交费用由乙方承担，如造成其他损失的乙方应当另行承担赔偿责任。</w:t>
      </w:r>
    </w:p>
    <w:p>
      <w:pPr>
        <w:pStyle w:val="3"/>
        <w:spacing w:line="360" w:lineRule="auto"/>
        <w:jc w:val="both"/>
        <w:rPr>
          <w:rFonts w:asciiTheme="minorEastAsia" w:hAnsiTheme="minorEastAsia"/>
        </w:rPr>
      </w:pPr>
      <w:bookmarkStart w:id="455" w:name="_Toc14367"/>
      <w:bookmarkStart w:id="456" w:name="_Toc522897560"/>
      <w:bookmarkStart w:id="457" w:name="_Toc50993474"/>
      <w:r>
        <w:rPr>
          <w:rFonts w:asciiTheme="minorEastAsia" w:hAnsiTheme="minorEastAsia"/>
        </w:rPr>
        <w:t>第15条  履约担保和保障</w:t>
      </w:r>
      <w:bookmarkEnd w:id="455"/>
      <w:bookmarkEnd w:id="456"/>
      <w:bookmarkEnd w:id="457"/>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根据本项目采购文件规定的要求，履约担保是指【</w:t>
      </w:r>
      <w:r>
        <w:rPr>
          <w:rFonts w:hint="eastAsia" w:ascii="MS Mincho" w:hAnsi="MS Mincho" w:eastAsia="MS Mincho" w:cs="MS Mincho"/>
          <w:sz w:val="24"/>
        </w:rPr>
        <w:t>☑</w:t>
      </w:r>
      <w:r>
        <w:rPr>
          <w:rFonts w:asciiTheme="minorEastAsia" w:hAnsiTheme="minorEastAsia" w:eastAsiaTheme="minorEastAsia"/>
          <w:sz w:val="24"/>
        </w:rPr>
        <w:t>建设履约保证金/保函/保险；</w:t>
      </w:r>
      <w:r>
        <w:rPr>
          <w:rFonts w:hint="eastAsia" w:ascii="MS Mincho" w:hAnsi="MS Mincho" w:eastAsia="MS Mincho" w:cs="MS Mincho"/>
          <w:sz w:val="24"/>
        </w:rPr>
        <w:t>☑</w:t>
      </w:r>
      <w:r>
        <w:rPr>
          <w:rFonts w:asciiTheme="minorEastAsia" w:hAnsiTheme="minorEastAsia" w:eastAsiaTheme="minorEastAsia"/>
          <w:sz w:val="24"/>
        </w:rPr>
        <w:t>运维履约保证金/保函；</w:t>
      </w:r>
      <w:r>
        <w:rPr>
          <w:rFonts w:hint="eastAsia" w:ascii="MS Mincho" w:hAnsi="MS Mincho" w:eastAsia="MS Mincho" w:cs="MS Mincho"/>
          <w:sz w:val="24"/>
        </w:rPr>
        <w:t>☑</w:t>
      </w:r>
      <w:r>
        <w:rPr>
          <w:rFonts w:asciiTheme="minorEastAsia" w:hAnsiTheme="minorEastAsia" w:eastAsiaTheme="minorEastAsia"/>
          <w:sz w:val="24"/>
        </w:rPr>
        <w:t>移交履约保证金/保函】，具体约定如下：</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15.1建设履约担保</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乙方应于本合同生效日起</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90</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日内向甲方提交本项目的建设履约担保，担保形式为：【</w:t>
      </w:r>
      <w:r>
        <w:rPr>
          <w:rFonts w:asciiTheme="minorEastAsia" w:hAnsiTheme="minorEastAsia" w:eastAsiaTheme="minorEastAsia"/>
          <w:kern w:val="0"/>
          <w:sz w:val="24"/>
        </w:rPr>
        <w:t>□保证金；□</w:t>
      </w:r>
      <w:r>
        <w:rPr>
          <w:rFonts w:asciiTheme="minorEastAsia" w:hAnsiTheme="minorEastAsia" w:eastAsiaTheme="minorEastAsia"/>
          <w:sz w:val="24"/>
        </w:rPr>
        <w:t>保函</w:t>
      </w:r>
      <w:r>
        <w:rPr>
          <w:rFonts w:asciiTheme="minorEastAsia" w:hAnsiTheme="minorEastAsia" w:eastAsiaTheme="minorEastAsia"/>
          <w:kern w:val="0"/>
          <w:sz w:val="24"/>
        </w:rPr>
        <w:t>；</w:t>
      </w:r>
      <w:r>
        <w:rPr>
          <w:rFonts w:hint="eastAsia" w:ascii="MS Mincho" w:hAnsi="MS Mincho" w:eastAsia="MS Mincho" w:cs="MS Mincho"/>
          <w:kern w:val="0"/>
          <w:sz w:val="24"/>
        </w:rPr>
        <w:t>☑</w:t>
      </w:r>
      <w:r>
        <w:rPr>
          <w:rFonts w:asciiTheme="minorEastAsia" w:hAnsiTheme="minorEastAsia" w:eastAsiaTheme="minorEastAsia"/>
          <w:kern w:val="0"/>
          <w:sz w:val="24"/>
        </w:rPr>
        <w:t>保函/保证保险】</w:t>
      </w:r>
      <w:r>
        <w:rPr>
          <w:rFonts w:asciiTheme="minorEastAsia" w:hAnsiTheme="minorEastAsia" w:eastAsiaTheme="minorEastAsia"/>
          <w:sz w:val="24"/>
        </w:rPr>
        <w:t>，建设履约担保的金额为</w:t>
      </w:r>
      <w:r>
        <w:rPr>
          <w:rFonts w:hint="eastAsia" w:asciiTheme="minorEastAsia" w:hAnsiTheme="minorEastAsia" w:eastAsiaTheme="minorEastAsia"/>
          <w:b/>
          <w:sz w:val="24"/>
          <w:u w:val="single"/>
        </w:rPr>
        <w:t xml:space="preserve">   </w:t>
      </w:r>
      <w:r>
        <w:rPr>
          <w:rFonts w:asciiTheme="minorEastAsia" w:hAnsiTheme="minorEastAsia" w:eastAsiaTheme="minorEastAsia"/>
          <w:b/>
          <w:sz w:val="24"/>
          <w:u w:val="single"/>
        </w:rPr>
        <w:t xml:space="preserve"> 万</w:t>
      </w:r>
      <w:r>
        <w:rPr>
          <w:rFonts w:asciiTheme="minorEastAsia" w:hAnsiTheme="minorEastAsia" w:eastAsiaTheme="minorEastAsia"/>
          <w:sz w:val="24"/>
        </w:rPr>
        <w:t>元，担保期自建设履约担保提交之日至乙方提交运维履约担保之日。</w:t>
      </w:r>
      <w:bookmarkStart w:id="458" w:name="_Hlk496102772"/>
      <w:r>
        <w:rPr>
          <w:rFonts w:asciiTheme="minorEastAsia" w:hAnsiTheme="minorEastAsia" w:eastAsiaTheme="minorEastAsia"/>
          <w:sz w:val="24"/>
        </w:rPr>
        <w:t>甲方应在到期日后5个工作日内解除建设履约保函或建设期完工履约保证保险。</w:t>
      </w:r>
      <w:bookmarkEnd w:id="458"/>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15.2运维履约担保</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乙方应于本项目开始运营日前提交本项目的运维履约担保，担保形式为：【</w:t>
      </w:r>
      <w:r>
        <w:rPr>
          <w:rFonts w:asciiTheme="minorEastAsia" w:hAnsiTheme="minorEastAsia" w:eastAsiaTheme="minorEastAsia"/>
          <w:kern w:val="0"/>
          <w:sz w:val="24"/>
        </w:rPr>
        <w:t>□保证金；□</w:t>
      </w:r>
      <w:r>
        <w:rPr>
          <w:rFonts w:asciiTheme="minorEastAsia" w:hAnsiTheme="minorEastAsia" w:eastAsiaTheme="minorEastAsia"/>
          <w:sz w:val="24"/>
        </w:rPr>
        <w:t>保函</w:t>
      </w:r>
      <w:r>
        <w:rPr>
          <w:rFonts w:asciiTheme="minorEastAsia" w:hAnsiTheme="minorEastAsia" w:eastAsiaTheme="minorEastAsia"/>
        </w:rPr>
        <w:t>；</w:t>
      </w:r>
      <w:r>
        <w:rPr>
          <w:rFonts w:hint="eastAsia" w:ascii="MS Mincho" w:hAnsi="MS Mincho" w:eastAsia="MS Mincho" w:cs="MS Mincho"/>
          <w:kern w:val="0"/>
          <w:sz w:val="24"/>
        </w:rPr>
        <w:t>☑</w:t>
      </w:r>
      <w:r>
        <w:rPr>
          <w:rFonts w:asciiTheme="minorEastAsia" w:hAnsiTheme="minorEastAsia" w:eastAsiaTheme="minorEastAsia"/>
          <w:kern w:val="0"/>
          <w:sz w:val="24"/>
        </w:rPr>
        <w:t>保函/保证保险】</w:t>
      </w:r>
      <w:r>
        <w:rPr>
          <w:rFonts w:asciiTheme="minorEastAsia" w:hAnsiTheme="minorEastAsia" w:eastAsiaTheme="minorEastAsia"/>
          <w:sz w:val="24"/>
        </w:rPr>
        <w:t>，运维履约担保的金额为</w:t>
      </w:r>
      <w:r>
        <w:rPr>
          <w:rFonts w:asciiTheme="minorEastAsia" w:hAnsiTheme="minorEastAsia" w:eastAsiaTheme="minorEastAsia"/>
          <w:b/>
          <w:sz w:val="30"/>
          <w:szCs w:val="30"/>
          <w:u w:val="single"/>
        </w:rPr>
        <w:t xml:space="preserve"> </w:t>
      </w:r>
      <w:r>
        <w:rPr>
          <w:rFonts w:hint="eastAsia" w:asciiTheme="minorEastAsia" w:hAnsiTheme="minorEastAsia" w:eastAsiaTheme="minorEastAsia"/>
          <w:b/>
          <w:sz w:val="24"/>
          <w:u w:val="single"/>
        </w:rPr>
        <w:t xml:space="preserve">   </w:t>
      </w:r>
      <w:r>
        <w:rPr>
          <w:rFonts w:asciiTheme="minorEastAsia" w:hAnsiTheme="minorEastAsia" w:eastAsiaTheme="minorEastAsia"/>
          <w:b/>
          <w:sz w:val="24"/>
          <w:u w:val="single"/>
        </w:rPr>
        <w:t xml:space="preserve"> 万</w:t>
      </w:r>
      <w:r>
        <w:rPr>
          <w:rFonts w:asciiTheme="minorEastAsia" w:hAnsiTheme="minorEastAsia" w:eastAsiaTheme="minorEastAsia"/>
          <w:sz w:val="24"/>
        </w:rPr>
        <w:t>元，担保期自项目开始运营日至乙方提交移交履约担保之日。项目公司提交的运营维护保函应当是一份或多份有效期覆盖整个运营期的保函；提交多份保函的，其有效期应该连续，且在每份保函到期的30天之前，应当提交新的保函以使甲方作为保函受益人的相关权利得以延续或更换。</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15.3移交履约担保</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乙方应于移交日前</w:t>
      </w:r>
      <w:r>
        <w:rPr>
          <w:rFonts w:asciiTheme="minorEastAsia" w:hAnsiTheme="minorEastAsia" w:eastAsiaTheme="minorEastAsia"/>
          <w:b/>
          <w:sz w:val="24"/>
          <w:u w:val="single"/>
        </w:rPr>
        <w:t xml:space="preserve"> 12 </w:t>
      </w:r>
      <w:r>
        <w:rPr>
          <w:rFonts w:asciiTheme="minorEastAsia" w:hAnsiTheme="minorEastAsia" w:eastAsiaTheme="minorEastAsia"/>
          <w:sz w:val="24"/>
        </w:rPr>
        <w:t>个月提交本项目的移交履约担保。担保形式为：【</w:t>
      </w:r>
      <w:r>
        <w:rPr>
          <w:rFonts w:asciiTheme="minorEastAsia" w:hAnsiTheme="minorEastAsia" w:eastAsiaTheme="minorEastAsia"/>
          <w:kern w:val="0"/>
          <w:sz w:val="24"/>
        </w:rPr>
        <w:t>□保证金；□</w:t>
      </w:r>
      <w:r>
        <w:rPr>
          <w:rFonts w:asciiTheme="minorEastAsia" w:hAnsiTheme="minorEastAsia" w:eastAsiaTheme="minorEastAsia"/>
          <w:sz w:val="24"/>
        </w:rPr>
        <w:t>保函</w:t>
      </w:r>
      <w:r>
        <w:rPr>
          <w:rFonts w:asciiTheme="minorEastAsia" w:hAnsiTheme="minorEastAsia" w:eastAsiaTheme="minorEastAsia"/>
        </w:rPr>
        <w:t>；</w:t>
      </w:r>
      <w:r>
        <w:rPr>
          <w:rFonts w:hint="eastAsia" w:ascii="MS Mincho" w:hAnsi="MS Mincho" w:eastAsia="MS Mincho" w:cs="MS Mincho"/>
          <w:kern w:val="0"/>
          <w:sz w:val="24"/>
        </w:rPr>
        <w:t>☑</w:t>
      </w:r>
      <w:r>
        <w:rPr>
          <w:rFonts w:asciiTheme="minorEastAsia" w:hAnsiTheme="minorEastAsia" w:eastAsiaTheme="minorEastAsia"/>
          <w:kern w:val="0"/>
          <w:sz w:val="24"/>
        </w:rPr>
        <w:t>保函/保证保险】</w:t>
      </w:r>
      <w:r>
        <w:rPr>
          <w:rFonts w:asciiTheme="minorEastAsia" w:hAnsiTheme="minorEastAsia" w:eastAsiaTheme="minorEastAsia"/>
          <w:sz w:val="24"/>
        </w:rPr>
        <w:t>，移交履约担保的金额为</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 xml:space="preserve">   </w:t>
      </w:r>
      <w:r>
        <w:rPr>
          <w:rFonts w:asciiTheme="minorEastAsia" w:hAnsiTheme="minorEastAsia" w:eastAsiaTheme="minorEastAsia"/>
          <w:b/>
          <w:sz w:val="24"/>
          <w:u w:val="single"/>
        </w:rPr>
        <w:t xml:space="preserve"> 万</w:t>
      </w:r>
      <w:r>
        <w:rPr>
          <w:rFonts w:asciiTheme="minorEastAsia" w:hAnsiTheme="minorEastAsia" w:eastAsiaTheme="minorEastAsia"/>
          <w:sz w:val="24"/>
        </w:rPr>
        <w:t>元，担保期自项目移交日至项目移交日后</w:t>
      </w:r>
      <w:r>
        <w:rPr>
          <w:rFonts w:asciiTheme="minorEastAsia" w:hAnsiTheme="minorEastAsia" w:eastAsiaTheme="minorEastAsia"/>
          <w:b/>
          <w:sz w:val="24"/>
          <w:u w:val="single"/>
        </w:rPr>
        <w:t xml:space="preserve"> 12 </w:t>
      </w:r>
      <w:r>
        <w:rPr>
          <w:rFonts w:asciiTheme="minorEastAsia" w:hAnsiTheme="minorEastAsia" w:eastAsiaTheme="minorEastAsia"/>
          <w:sz w:val="24"/>
        </w:rPr>
        <w:t>个月届满之日。</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15.4履约保函基本要求</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如采用履约保函形式的，履约保函的格式应为不可撤销、见索即付的保函；且提交的时点、保函金额等应符合本条所述相关约定，保函受益人应为甲方。履约保函应当为甲方认可的银行或其他金融机构开出的保函。</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建设期履约担保应符合本合同附件《建设履约保函或建设期完工履约保证保险》规定的格式或甲方同意的其他格式。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本条款所约定的建设履约保函或建设期完工履约保证保险、运营维护保函和移交维修保函，均应为国家规定相应的银行保函、保证保险。</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15.5履约保证金的扣除/履约保函提取</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如乙方发生本合同约定的可以扣除履约保证金或提取履约保函的情形的，甲方有权按照合同约定扣除履约保证金或提取履约保函项下相应金额的款项。甲方提取履约保函的权利不影响甲方在本合同项下的其他权利，并且不应解除乙方不履行维护本项目义务而对甲方所负的任何进一步的责任和义务。</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15.6恢复履约担保能力</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如果甲方在项目合作期内根据本合同约定扣除履约保证金或提取履约保函项下的款项的，乙方应确保在甲方扣除或提取后</w:t>
      </w:r>
      <w:r>
        <w:rPr>
          <w:rFonts w:asciiTheme="minorEastAsia" w:hAnsiTheme="minorEastAsia" w:eastAsiaTheme="minorEastAsia"/>
          <w:b/>
          <w:sz w:val="24"/>
          <w:u w:val="single"/>
        </w:rPr>
        <w:t xml:space="preserve"> 45 </w:t>
      </w:r>
      <w:r>
        <w:rPr>
          <w:rFonts w:asciiTheme="minorEastAsia" w:hAnsiTheme="minorEastAsia" w:eastAsiaTheme="minorEastAsia"/>
          <w:sz w:val="24"/>
        </w:rPr>
        <w:t>日内，将履约保证金或履约保函数额恢复到本合同约定的数额，且应向甲方提供已足额恢复的相关证明。</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乙方未在前述期限内补足或恢复履约保证金或履约保函</w:t>
      </w:r>
      <w:r>
        <w:rPr>
          <w:rFonts w:asciiTheme="minorEastAsia" w:hAnsiTheme="minorEastAsia" w:eastAsiaTheme="minorEastAsia"/>
          <w:kern w:val="0"/>
          <w:sz w:val="24"/>
        </w:rPr>
        <w:t>项下</w:t>
      </w:r>
      <w:r>
        <w:rPr>
          <w:rFonts w:asciiTheme="minorEastAsia" w:hAnsiTheme="minorEastAsia" w:eastAsiaTheme="minorEastAsia"/>
          <w:sz w:val="24"/>
        </w:rPr>
        <w:t>相应金额的，甲方有权发出催告，乙方应在</w:t>
      </w:r>
      <w:r>
        <w:rPr>
          <w:rFonts w:asciiTheme="minorEastAsia" w:hAnsiTheme="minorEastAsia" w:eastAsiaTheme="minorEastAsia"/>
          <w:sz w:val="24"/>
          <w:u w:val="single"/>
        </w:rPr>
        <w:t xml:space="preserve"> 90 </w:t>
      </w:r>
      <w:r>
        <w:rPr>
          <w:rFonts w:asciiTheme="minorEastAsia" w:hAnsiTheme="minorEastAsia" w:eastAsiaTheme="minorEastAsia"/>
          <w:sz w:val="24"/>
        </w:rPr>
        <w:t>日内予以补足；乙方在前述期限内仍未补足的，则甲方有权：</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（1）扣除履约保证金或提取履约保函项下的余额。</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（2）扣留在本合同下由甲方或其指定机构应支付给项目公司的任何款项，直至项目公司完全履行其恢复、延续/更换的义务或直至所扣留的金额达到本合同规定的保函最高额为止。</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针对运营维护保函，甲方应保证提取或扣留的所有款项，用于承担保函担保的相同义务，并且应在下述两个日期中的较早的一个日期将该等款项未使用的余额交予乙方：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a、项目公司完全履行其其恢复、延续/更换的义务之日。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b、提交移交维修保函之次日，如果由于项目公司责任，本合同提前终止，则在终止日后的第3个月届满之日。</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15.7不当扣除履约保证金/不当提取保函</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如果甲方扣除履约保证金或提取履约保函中的相应金额之后确定甲方属不当扣除或提取，甲方应及时向乙方退还扣除或提取的款项，并支付该款项自提取之日至退还之日的利息，利息按中国人民银行公布的同期同类金融机构人民币贷款基准利率×1.1计算。</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15.8甲方提供的保障</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为确保项目顺利实施，甲方向乙方提供的保障措施，具体约定如下：</w:t>
      </w:r>
    </w:p>
    <w:p>
      <w:pPr>
        <w:spacing w:before="80" w:after="80" w:line="360" w:lineRule="auto"/>
        <w:rPr>
          <w:rFonts w:asciiTheme="minorEastAsia" w:hAnsiTheme="minorEastAsia" w:eastAsiaTheme="minorEastAsia"/>
          <w:sz w:val="24"/>
          <w:u w:val="single"/>
        </w:rPr>
      </w:pPr>
      <w:r>
        <w:rPr>
          <w:rFonts w:asciiTheme="minorEastAsia" w:hAnsiTheme="minorEastAsia" w:eastAsiaTheme="minorEastAsia"/>
          <w:sz w:val="24"/>
          <w:u w:val="single"/>
        </w:rPr>
        <w:t xml:space="preserve">                                                                     </w:t>
      </w:r>
    </w:p>
    <w:p>
      <w:pPr>
        <w:spacing w:before="80" w:after="80" w:line="360" w:lineRule="auto"/>
        <w:rPr>
          <w:rFonts w:asciiTheme="minorEastAsia" w:hAnsiTheme="minorEastAsia" w:eastAsiaTheme="minorEastAsia"/>
          <w:sz w:val="24"/>
        </w:rPr>
      </w:pPr>
      <w:r>
        <w:rPr>
          <w:rFonts w:asciiTheme="minorEastAsia" w:hAnsiTheme="minorEastAsia" w:eastAsiaTheme="minorEastAsia"/>
          <w:kern w:val="0"/>
          <w:sz w:val="24"/>
          <w:u w:val="single"/>
        </w:rPr>
        <w:t xml:space="preserve">                                                                     </w:t>
      </w:r>
    </w:p>
    <w:p>
      <w:pPr>
        <w:pStyle w:val="3"/>
        <w:spacing w:line="360" w:lineRule="auto"/>
        <w:jc w:val="both"/>
        <w:rPr>
          <w:rFonts w:asciiTheme="minorEastAsia" w:hAnsiTheme="minorEastAsia"/>
        </w:rPr>
      </w:pPr>
      <w:bookmarkStart w:id="459" w:name="_Toc28582"/>
      <w:bookmarkStart w:id="460" w:name="_Toc522897561"/>
      <w:bookmarkStart w:id="461" w:name="_Toc50993475"/>
      <w:r>
        <w:rPr>
          <w:rFonts w:asciiTheme="minorEastAsia" w:hAnsiTheme="minorEastAsia"/>
        </w:rPr>
        <w:t>第16条  公众监督</w:t>
      </w:r>
      <w:bookmarkEnd w:id="459"/>
      <w:bookmarkEnd w:id="460"/>
      <w:bookmarkEnd w:id="461"/>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16.1乙方应保障公众的知情权，接受社会监督，依法依规公开披露本项目相关信息，涉及国家安全和利益的国家秘密、影响公共安全和公共秩序的信息、应该保守的商业秘密除外。</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16.2公众监督的实现形式，包括但不限于聘请公众监督员、公众问卷调查以及举行环境影响听证会、邀请公众代表参加中期评估等。</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16.3社会公众及项目利益相关人发现项目存在违法、违约情形或公共产品和服务不达标准的，可向政府职能部门提请监督检查或向乙方提出投诉及意见；乙方应接受并妥善处理利益相关人的投诉和意见，利益相关人包括但不限于受本项目影响的组织或个人，并将对公众投诉的处理情况等相关信息予以公开。</w:t>
      </w:r>
    </w:p>
    <w:p>
      <w:pPr>
        <w:pStyle w:val="3"/>
        <w:spacing w:line="360" w:lineRule="auto"/>
        <w:jc w:val="both"/>
        <w:rPr>
          <w:rFonts w:asciiTheme="minorEastAsia" w:hAnsiTheme="minorEastAsia"/>
        </w:rPr>
      </w:pPr>
      <w:bookmarkStart w:id="462" w:name="_Toc50993476"/>
      <w:bookmarkStart w:id="463" w:name="_Toc522897562"/>
      <w:bookmarkStart w:id="464" w:name="_Toc9400"/>
      <w:r>
        <w:rPr>
          <w:rFonts w:asciiTheme="minorEastAsia" w:hAnsiTheme="minorEastAsia"/>
        </w:rPr>
        <w:t>第17条  政府方介入权</w:t>
      </w:r>
      <w:bookmarkEnd w:id="462"/>
      <w:bookmarkEnd w:id="463"/>
      <w:bookmarkEnd w:id="464"/>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17.1介入权的行使</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17.1.1甲方介入的条件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出现下列情况之一的，则甲方有权行使第17.1.2款所述介入权：</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（1）建设期内乙方书面表示放弃项目或被视为放弃项目建设；</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（2）乙方违反本合同约定建设、运营维护项目，且在本合同约定期限内，或收到甲方通知后的</w:t>
      </w:r>
      <w:r>
        <w:rPr>
          <w:rFonts w:asciiTheme="minorEastAsia" w:hAnsiTheme="minorEastAsia" w:eastAsiaTheme="minorEastAsia"/>
          <w:b/>
          <w:sz w:val="24"/>
          <w:u w:val="single"/>
        </w:rPr>
        <w:t xml:space="preserve"> 90 </w:t>
      </w:r>
      <w:r>
        <w:rPr>
          <w:rFonts w:asciiTheme="minorEastAsia" w:hAnsiTheme="minorEastAsia" w:eastAsiaTheme="minorEastAsia"/>
          <w:sz w:val="24"/>
        </w:rPr>
        <w:t>日内未能或无法纠正和改正，包括：</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a.因经营管理不善等原因，造成财务状况严重恶化，影响本项目正常运营的；</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b.因可归责于乙方的原因导致供水、污水处理厂和管网项目设计、施工等存在重大缺陷，影响本项目正常运营的；</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c.擅自转让、出租项目经营权的；</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d.擅自将所经营的项目设施或收益权进行处置或者设置抵押或质押的；</w:t>
      </w:r>
    </w:p>
    <w:p>
      <w:pPr>
        <w:spacing w:before="80" w:after="80" w:line="360" w:lineRule="auto"/>
        <w:ind w:firstLine="422" w:firstLineChars="176"/>
        <w:rPr>
          <w:rFonts w:asciiTheme="minorEastAsia" w:hAnsiTheme="minorEastAsia" w:eastAsiaTheme="minorEastAsia"/>
          <w:kern w:val="0"/>
          <w:sz w:val="24"/>
        </w:rPr>
      </w:pPr>
      <w:r>
        <w:rPr>
          <w:rFonts w:asciiTheme="minorEastAsia" w:hAnsiTheme="minorEastAsia" w:eastAsiaTheme="minorEastAsia"/>
          <w:kern w:val="0"/>
          <w:sz w:val="24"/>
        </w:rPr>
        <w:t>e.因管理不善，发生较大或重特大质量事故、安全事故的；</w:t>
      </w:r>
    </w:p>
    <w:p>
      <w:pPr>
        <w:widowControl/>
        <w:spacing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f.擅自停业、歇业；</w:t>
      </w:r>
    </w:p>
    <w:p>
      <w:pPr>
        <w:widowControl/>
        <w:spacing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g.连续或者持续合计</w:t>
      </w:r>
      <w:r>
        <w:rPr>
          <w:rFonts w:asciiTheme="minorEastAsia" w:hAnsiTheme="minorEastAsia" w:eastAsiaTheme="minorEastAsia"/>
          <w:kern w:val="0"/>
          <w:sz w:val="24"/>
          <w:u w:val="single"/>
        </w:rPr>
        <w:t xml:space="preserve"> 10 </w:t>
      </w:r>
      <w:r>
        <w:rPr>
          <w:rFonts w:asciiTheme="minorEastAsia" w:hAnsiTheme="minorEastAsia" w:eastAsiaTheme="minorEastAsia"/>
          <w:kern w:val="0"/>
          <w:sz w:val="24"/>
        </w:rPr>
        <w:t>日供水/</w:t>
      </w:r>
      <w:r>
        <w:rPr>
          <w:rFonts w:asciiTheme="minorEastAsia" w:hAnsiTheme="minorEastAsia" w:eastAsiaTheme="minorEastAsia"/>
          <w:kern w:val="0"/>
          <w:sz w:val="24"/>
          <w:u w:val="single"/>
        </w:rPr>
        <w:t xml:space="preserve"> 30 </w:t>
      </w:r>
      <w:r>
        <w:rPr>
          <w:rFonts w:asciiTheme="minorEastAsia" w:hAnsiTheme="minorEastAsia" w:eastAsiaTheme="minorEastAsia"/>
          <w:kern w:val="0"/>
          <w:sz w:val="24"/>
        </w:rPr>
        <w:t>日污水处理不达标的；</w:t>
      </w:r>
    </w:p>
    <w:p>
      <w:pPr>
        <w:widowControl/>
        <w:spacing w:line="360" w:lineRule="auto"/>
        <w:ind w:firstLine="484" w:firstLineChars="202"/>
        <w:rPr>
          <w:rFonts w:asciiTheme="minorEastAsia" w:hAnsiTheme="minorEastAsia" w:eastAsiaTheme="minorEastAsia"/>
          <w:kern w:val="0"/>
          <w:sz w:val="24"/>
        </w:rPr>
      </w:pPr>
      <w:r>
        <w:rPr>
          <w:rFonts w:asciiTheme="minorEastAsia" w:hAnsiTheme="minorEastAsia" w:eastAsiaTheme="minorEastAsia"/>
          <w:kern w:val="0"/>
          <w:sz w:val="24"/>
        </w:rPr>
        <w:t>h.被司法机关判定为污水处理不达标危害环境构成犯罪的;</w:t>
      </w:r>
    </w:p>
    <w:p>
      <w:pPr>
        <w:widowControl/>
        <w:spacing w:line="360" w:lineRule="auto"/>
        <w:ind w:firstLine="484" w:firstLineChars="202"/>
        <w:rPr>
          <w:rFonts w:asciiTheme="minorEastAsia" w:hAnsiTheme="minorEastAsia" w:eastAsiaTheme="minorEastAsia"/>
          <w:sz w:val="24"/>
          <w:u w:val="single"/>
        </w:rPr>
      </w:pPr>
      <w:r>
        <w:rPr>
          <w:rFonts w:asciiTheme="minorEastAsia" w:hAnsiTheme="minorEastAsia" w:eastAsiaTheme="minorEastAsia"/>
          <w:sz w:val="24"/>
        </w:rPr>
        <w:t>i.</w:t>
      </w:r>
      <w:r>
        <w:rPr>
          <w:rFonts w:asciiTheme="minorEastAsia" w:hAnsiTheme="minorEastAsia" w:eastAsiaTheme="minorEastAsia"/>
          <w:kern w:val="0"/>
          <w:sz w:val="24"/>
        </w:rPr>
        <w:t>其他违约行为</w:t>
      </w:r>
      <w:r>
        <w:rPr>
          <w:rFonts w:asciiTheme="minorEastAsia" w:hAnsiTheme="minorEastAsia" w:eastAsiaTheme="minorEastAsia"/>
          <w:sz w:val="24"/>
        </w:rPr>
        <w:t>：___________</w:t>
      </w:r>
      <w:r>
        <w:rPr>
          <w:rFonts w:asciiTheme="minorEastAsia" w:hAnsiTheme="minorEastAsia" w:eastAsiaTheme="minorEastAsia"/>
          <w:sz w:val="24"/>
          <w:u w:val="single"/>
        </w:rPr>
        <w:t xml:space="preserve">                                      </w:t>
      </w:r>
    </w:p>
    <w:p>
      <w:pPr>
        <w:widowControl/>
        <w:spacing w:line="360" w:lineRule="auto"/>
        <w:rPr>
          <w:rFonts w:asciiTheme="minorEastAsia" w:hAnsiTheme="minorEastAsia" w:eastAsiaTheme="minorEastAsia"/>
          <w:sz w:val="20"/>
          <w:szCs w:val="20"/>
        </w:rPr>
      </w:pPr>
      <w:r>
        <w:rPr>
          <w:rFonts w:asciiTheme="minorEastAsia" w:hAnsiTheme="minorEastAsia" w:eastAsiaTheme="minorEastAsia"/>
          <w:sz w:val="24"/>
          <w:u w:val="single"/>
        </w:rPr>
        <w:t xml:space="preserve">                                                                     </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（3）存在危及社会公众人身健康或安全、财产安全或环境安全的情形，且乙方不具备应对能力的；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（4）发生紧急情况或危机，且甲方有理由认为该紧急情况或危机将导致人员伤亡、严重财产损失或造成环境污染且乙方不具备应对能力的；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（5）</w:t>
      </w:r>
      <w:r>
        <w:rPr>
          <w:rFonts w:asciiTheme="minorEastAsia" w:hAnsiTheme="minorEastAsia" w:eastAsiaTheme="minorEastAsia"/>
          <w:sz w:val="24"/>
          <w:u w:val="single"/>
        </w:rPr>
        <w:t>介入项目以解除或行使政府的法定责任；</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17.1.2甲方介入的方式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甲方行使介入权的，有权采用增加监管方式、监管频次、替代部分履行、整顿或临时接管等方式，以保证项目顺利运行。甲方行使介入权，不应被视为根据本合同受让项目资产或承担乙方的义务。甲方行使介入权后，乙方应配合甲方及其指定第三方，并向其提供所有合理的协助。</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17.1.3介入权的限制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甲方无正当理由行使介入权，影响本合同正常履行且损害乙方利益的，乙方有权要求甲方赔偿相应损失。</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介入权包括项目公司未违约情形下的介入和项目公司违约情形下的介入两类。需要注意的是，上述介入权是甲方一项可以选择的权利，而非必须履行的义务；乙方保证与甲方或其指定机构合作，并应让贷款人在融资文件中作出具有同样内容的承诺；本合同尚未解除的情况下，甲方选择临时接管项目运营的，不应被视为所有权的转让或承担项目公司作为项目经营管理人的义务。</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17.2介入权的行使程序</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17.2.1通知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甲方根据本合同约定行使介入权之前，应提前</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10</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日以书面形式通知乙方，通知内容包括：</w:t>
      </w:r>
    </w:p>
    <w:p>
      <w:pPr>
        <w:numPr>
          <w:ilvl w:val="0"/>
          <w:numId w:val="16"/>
        </w:numPr>
        <w:spacing w:before="80" w:after="80" w:line="360" w:lineRule="auto"/>
        <w:rPr>
          <w:rFonts w:asciiTheme="minorEastAsia" w:hAnsiTheme="minorEastAsia" w:eastAsiaTheme="minorEastAsia"/>
          <w:sz w:val="24"/>
        </w:rPr>
      </w:pPr>
      <w:r>
        <w:rPr>
          <w:rFonts w:asciiTheme="minorEastAsia" w:hAnsiTheme="minorEastAsia" w:eastAsiaTheme="minorEastAsia"/>
          <w:sz w:val="24"/>
        </w:rPr>
        <w:t>介入原因；</w:t>
      </w:r>
    </w:p>
    <w:p>
      <w:pPr>
        <w:numPr>
          <w:ilvl w:val="0"/>
          <w:numId w:val="16"/>
        </w:numPr>
        <w:spacing w:before="80" w:after="80" w:line="360" w:lineRule="auto"/>
        <w:rPr>
          <w:rFonts w:asciiTheme="minorEastAsia" w:hAnsiTheme="minorEastAsia" w:eastAsiaTheme="minorEastAsia"/>
          <w:sz w:val="24"/>
        </w:rPr>
      </w:pPr>
      <w:r>
        <w:rPr>
          <w:rFonts w:asciiTheme="minorEastAsia" w:hAnsiTheme="minorEastAsia" w:eastAsiaTheme="minorEastAsia"/>
          <w:sz w:val="24"/>
        </w:rPr>
        <w:t>介入方式；</w:t>
      </w:r>
    </w:p>
    <w:p>
      <w:pPr>
        <w:numPr>
          <w:ilvl w:val="0"/>
          <w:numId w:val="16"/>
        </w:numPr>
        <w:spacing w:before="80" w:after="80" w:line="360" w:lineRule="auto"/>
        <w:rPr>
          <w:rFonts w:asciiTheme="minorEastAsia" w:hAnsiTheme="minorEastAsia" w:eastAsiaTheme="minorEastAsia"/>
          <w:sz w:val="24"/>
        </w:rPr>
      </w:pPr>
      <w:r>
        <w:rPr>
          <w:rFonts w:asciiTheme="minorEastAsia" w:hAnsiTheme="minorEastAsia" w:eastAsiaTheme="minorEastAsia"/>
          <w:sz w:val="24"/>
        </w:rPr>
        <w:t>介入的范围和程度；</w:t>
      </w:r>
    </w:p>
    <w:p>
      <w:pPr>
        <w:numPr>
          <w:ilvl w:val="0"/>
          <w:numId w:val="16"/>
        </w:numPr>
        <w:spacing w:before="80" w:after="80" w:line="360" w:lineRule="auto"/>
        <w:rPr>
          <w:rFonts w:asciiTheme="minorEastAsia" w:hAnsiTheme="minorEastAsia" w:eastAsiaTheme="minorEastAsia"/>
          <w:sz w:val="24"/>
        </w:rPr>
      </w:pPr>
      <w:r>
        <w:rPr>
          <w:rFonts w:asciiTheme="minorEastAsia" w:hAnsiTheme="minorEastAsia" w:eastAsiaTheme="minorEastAsia"/>
          <w:sz w:val="24"/>
        </w:rPr>
        <w:t>介入权行使主体；</w:t>
      </w:r>
    </w:p>
    <w:p>
      <w:pPr>
        <w:numPr>
          <w:ilvl w:val="0"/>
          <w:numId w:val="16"/>
        </w:numPr>
        <w:spacing w:before="80" w:after="80" w:line="360" w:lineRule="auto"/>
        <w:rPr>
          <w:rFonts w:asciiTheme="minorEastAsia" w:hAnsiTheme="minorEastAsia" w:eastAsiaTheme="minorEastAsia"/>
          <w:sz w:val="24"/>
        </w:rPr>
      </w:pPr>
      <w:r>
        <w:rPr>
          <w:rFonts w:asciiTheme="minorEastAsia" w:hAnsiTheme="minorEastAsia" w:eastAsiaTheme="minorEastAsia"/>
          <w:sz w:val="24"/>
        </w:rPr>
        <w:t>介入起始日期；</w:t>
      </w:r>
    </w:p>
    <w:p>
      <w:pPr>
        <w:numPr>
          <w:ilvl w:val="0"/>
          <w:numId w:val="16"/>
        </w:numPr>
        <w:spacing w:before="80" w:after="80" w:line="360" w:lineRule="auto"/>
        <w:rPr>
          <w:rFonts w:asciiTheme="minorEastAsia" w:hAnsiTheme="minorEastAsia" w:eastAsiaTheme="minorEastAsia"/>
          <w:sz w:val="24"/>
        </w:rPr>
      </w:pPr>
      <w:r>
        <w:rPr>
          <w:rFonts w:asciiTheme="minorEastAsia" w:hAnsiTheme="minorEastAsia" w:eastAsiaTheme="minorEastAsia"/>
          <w:sz w:val="24"/>
        </w:rPr>
        <w:t>介入持续期限；</w:t>
      </w:r>
    </w:p>
    <w:p>
      <w:pPr>
        <w:numPr>
          <w:ilvl w:val="0"/>
          <w:numId w:val="16"/>
        </w:numPr>
        <w:spacing w:before="80" w:after="80" w:line="360" w:lineRule="auto"/>
        <w:rPr>
          <w:rFonts w:asciiTheme="minorEastAsia" w:hAnsiTheme="minorEastAsia" w:eastAsiaTheme="minorEastAsia"/>
          <w:sz w:val="24"/>
        </w:rPr>
      </w:pPr>
      <w:r>
        <w:rPr>
          <w:rFonts w:asciiTheme="minorEastAsia" w:hAnsiTheme="minorEastAsia" w:eastAsiaTheme="minorEastAsia"/>
          <w:sz w:val="24"/>
        </w:rPr>
        <w:t>介入对乙方的影响和处理等。</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17.2.2乙方的异议</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乙方对甲方行使介入权有异议的，应自收到甲方发出的前述通知后</w:t>
      </w:r>
      <w:r>
        <w:rPr>
          <w:rFonts w:asciiTheme="minorEastAsia" w:hAnsiTheme="minorEastAsia" w:eastAsiaTheme="minorEastAsia"/>
          <w:b/>
          <w:sz w:val="24"/>
          <w:u w:val="single"/>
        </w:rPr>
        <w:t xml:space="preserve"> 5 </w:t>
      </w:r>
      <w:r>
        <w:rPr>
          <w:rFonts w:asciiTheme="minorEastAsia" w:hAnsiTheme="minorEastAsia" w:eastAsiaTheme="minorEastAsia"/>
          <w:sz w:val="24"/>
        </w:rPr>
        <w:t>日内提出异议，甲方收到异议后，应在</w:t>
      </w:r>
      <w:r>
        <w:rPr>
          <w:rFonts w:asciiTheme="minorEastAsia" w:hAnsiTheme="minorEastAsia" w:eastAsiaTheme="minorEastAsia"/>
          <w:b/>
          <w:sz w:val="24"/>
          <w:u w:val="single"/>
        </w:rPr>
        <w:t xml:space="preserve"> 5 </w:t>
      </w:r>
      <w:r>
        <w:rPr>
          <w:rFonts w:asciiTheme="minorEastAsia" w:hAnsiTheme="minorEastAsia" w:eastAsiaTheme="minorEastAsia"/>
          <w:sz w:val="24"/>
        </w:rPr>
        <w:t>日内给予回复。双方无法达成一致意见的，按照本合同第26条的约定执行，但争议解决期间内不影响甲方行使介入权。</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17.3介入持续时间和范围</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甲方介入的时间和范围不应超过足以使乙方改正或可以合理地被期望有能力改正导致介入的违约事件，或缓解紧急事件或使乙方具备应对能力解除紧急事件所必需的范围和程度。甲方根据第17.1.1款第（1）、（2）项约定进行的介入仍然无法补救乙方的违约行为，甲方有权根据第24条约定终止本合同。</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17.4介入期间的费用、收入和责任</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17.4.1 甲方根据第17.1.1款第（3）、（4）、（5）项约定进行的介入，甲方应承担由此引发的所有费用，介入期间的运营收入应归乙方所有。在甲方介入的范围内，如果乙方的任何义务或工作无法履行，这些义务或工作将被豁免。</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17.4.2 甲方根据第17.1.1款第（1）、（2）项约定进行的介入，乙方应承担因甲方介入所引发的所有费用，</w:t>
      </w:r>
      <w:bookmarkStart w:id="465" w:name="_Hlk525823237"/>
      <w:r>
        <w:rPr>
          <w:rFonts w:asciiTheme="minorEastAsia" w:hAnsiTheme="minorEastAsia" w:eastAsiaTheme="minorEastAsia"/>
          <w:sz w:val="24"/>
        </w:rPr>
        <w:t>该费用甲方有权从服务费中扣减或者要求乙方另行支付。</w:t>
      </w:r>
      <w:bookmarkEnd w:id="465"/>
      <w:r>
        <w:rPr>
          <w:rFonts w:asciiTheme="minorEastAsia" w:hAnsiTheme="minorEastAsia" w:eastAsiaTheme="minorEastAsia"/>
          <w:sz w:val="24"/>
        </w:rPr>
        <w:t>介入期间的运营收入应归乙方所有</w:t>
      </w:r>
      <w:bookmarkStart w:id="466" w:name="_Hlk525823243"/>
      <w:r>
        <w:rPr>
          <w:rFonts w:asciiTheme="minorEastAsia" w:hAnsiTheme="minorEastAsia" w:eastAsiaTheme="minorEastAsia"/>
          <w:sz w:val="24"/>
        </w:rPr>
        <w:t>，但是甲方按照合同约定仅就不受乙方违约影响部分支付服务费</w:t>
      </w:r>
      <w:bookmarkEnd w:id="466"/>
      <w:r>
        <w:rPr>
          <w:rFonts w:asciiTheme="minorEastAsia" w:hAnsiTheme="minorEastAsia" w:eastAsiaTheme="minorEastAsia"/>
          <w:sz w:val="24"/>
        </w:rPr>
        <w:t>。甲方或甲方指定第三人将代乙方履行其违约所涉及的部分义务，因甲方介入后产生的当期运营费用，由甲方自行承担，如果甲方的介入仍然无法补救乙方的违约，甲方仍有权根据提前终止机制终止项目合同。</w:t>
      </w:r>
    </w:p>
    <w:p>
      <w:pPr>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17.4.3甲方应在停止介入后</w:t>
      </w:r>
      <w:r>
        <w:rPr>
          <w:rFonts w:asciiTheme="minorEastAsia" w:hAnsiTheme="minorEastAsia" w:eastAsiaTheme="minorEastAsia"/>
          <w:b/>
          <w:sz w:val="24"/>
          <w:u w:val="single"/>
        </w:rPr>
        <w:t xml:space="preserve"> 30 </w:t>
      </w:r>
      <w:r>
        <w:rPr>
          <w:rFonts w:asciiTheme="minorEastAsia" w:hAnsiTheme="minorEastAsia" w:eastAsiaTheme="minorEastAsia"/>
          <w:sz w:val="24"/>
        </w:rPr>
        <w:t>日内将介入过程中发生的费用明细交予乙方。</w:t>
      </w:r>
    </w:p>
    <w:p>
      <w:pPr>
        <w:pStyle w:val="3"/>
        <w:spacing w:line="360" w:lineRule="auto"/>
        <w:jc w:val="both"/>
        <w:rPr>
          <w:rFonts w:asciiTheme="minorEastAsia" w:hAnsiTheme="minorEastAsia"/>
        </w:rPr>
      </w:pPr>
      <w:bookmarkStart w:id="467" w:name="_Toc10750"/>
      <w:bookmarkStart w:id="468" w:name="_Toc522897563"/>
      <w:bookmarkStart w:id="469" w:name="_Toc50993477"/>
      <w:r>
        <w:rPr>
          <w:rFonts w:asciiTheme="minorEastAsia" w:hAnsiTheme="minorEastAsia"/>
        </w:rPr>
        <w:t>第18条  保险</w:t>
      </w:r>
      <w:bookmarkEnd w:id="467"/>
      <w:bookmarkEnd w:id="468"/>
      <w:bookmarkEnd w:id="469"/>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18.1 应投保险种</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在充分评估项目投资和运营风险后，应根据中国的保险法等相关法律和行政法规的规定，并结合项目的实际情况，购买项目合作期限内的保险险种。在合理的商业条件下，乙方应遵照可保风险均应投保的原则进行投保，并应将保险合同复印件交甲方备案。</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乙方为本项目投保的险种应当包括但不限于：</w:t>
      </w:r>
    </w:p>
    <w:p>
      <w:pPr>
        <w:spacing w:before="80" w:after="80" w:line="360" w:lineRule="auto"/>
        <w:ind w:firstLine="424" w:firstLineChars="177"/>
        <w:rPr>
          <w:rFonts w:asciiTheme="minorEastAsia" w:hAnsiTheme="minorEastAsia" w:eastAsiaTheme="minorEastAsia"/>
          <w:sz w:val="24"/>
        </w:rPr>
      </w:pPr>
      <w:r>
        <w:rPr>
          <w:rFonts w:hint="eastAsia" w:ascii="MS Mincho" w:hAnsi="MS Mincho" w:eastAsia="MS Mincho" w:cs="MS Mincho"/>
          <w:sz w:val="24"/>
        </w:rPr>
        <w:t>☑</w:t>
      </w:r>
      <w:r>
        <w:rPr>
          <w:rFonts w:asciiTheme="minorEastAsia" w:hAnsiTheme="minorEastAsia" w:eastAsiaTheme="minorEastAsia"/>
          <w:sz w:val="24"/>
        </w:rPr>
        <w:t>建筑安装工程一切险；</w:t>
      </w:r>
    </w:p>
    <w:p>
      <w:pPr>
        <w:spacing w:before="80" w:after="80" w:line="360" w:lineRule="auto"/>
        <w:ind w:firstLine="424" w:firstLineChars="177"/>
        <w:rPr>
          <w:rFonts w:asciiTheme="minorEastAsia" w:hAnsiTheme="minorEastAsia" w:eastAsiaTheme="minorEastAsia"/>
          <w:sz w:val="24"/>
        </w:rPr>
      </w:pPr>
      <w:r>
        <w:rPr>
          <w:rFonts w:hint="eastAsia" w:ascii="MS Mincho" w:hAnsi="MS Mincho" w:eastAsia="MS Mincho" w:cs="MS Mincho"/>
          <w:sz w:val="24"/>
        </w:rPr>
        <w:t>☑</w:t>
      </w:r>
      <w:r>
        <w:rPr>
          <w:rFonts w:asciiTheme="minorEastAsia" w:hAnsiTheme="minorEastAsia" w:eastAsiaTheme="minorEastAsia"/>
          <w:sz w:val="24"/>
        </w:rPr>
        <w:t>财产险（设备、设施及附属建筑物）；</w:t>
      </w:r>
    </w:p>
    <w:p>
      <w:pPr>
        <w:spacing w:before="80" w:after="80" w:line="360" w:lineRule="auto"/>
        <w:ind w:firstLine="424" w:firstLineChars="177"/>
        <w:rPr>
          <w:rFonts w:asciiTheme="minorEastAsia" w:hAnsiTheme="minorEastAsia" w:eastAsiaTheme="minorEastAsia"/>
          <w:sz w:val="24"/>
        </w:rPr>
      </w:pPr>
      <w:r>
        <w:rPr>
          <w:rFonts w:hint="eastAsia" w:ascii="MS Mincho" w:hAnsi="MS Mincho" w:eastAsia="MS Mincho" w:cs="MS Mincho"/>
          <w:sz w:val="24"/>
        </w:rPr>
        <w:t>☑</w:t>
      </w:r>
      <w:r>
        <w:rPr>
          <w:rFonts w:asciiTheme="minorEastAsia" w:hAnsiTheme="minorEastAsia" w:eastAsiaTheme="minorEastAsia"/>
          <w:sz w:val="24"/>
        </w:rPr>
        <w:t>第三者责任险；</w:t>
      </w:r>
    </w:p>
    <w:p>
      <w:pPr>
        <w:spacing w:before="80" w:after="80" w:line="360" w:lineRule="auto"/>
        <w:ind w:firstLine="424" w:firstLineChars="177"/>
        <w:rPr>
          <w:rFonts w:asciiTheme="minorEastAsia" w:hAnsiTheme="minorEastAsia" w:eastAsiaTheme="minorEastAsia"/>
          <w:sz w:val="24"/>
          <w:u w:val="single"/>
        </w:rPr>
      </w:pPr>
      <w:r>
        <w:rPr>
          <w:rFonts w:hint="eastAsia" w:ascii="MS Mincho" w:hAnsi="MS Mincho" w:eastAsia="MS Mincho" w:cs="MS Mincho"/>
          <w:sz w:val="24"/>
        </w:rPr>
        <w:t>☑</w:t>
      </w:r>
      <w:r>
        <w:rPr>
          <w:rFonts w:asciiTheme="minorEastAsia" w:hAnsiTheme="minorEastAsia" w:eastAsiaTheme="minorEastAsia"/>
          <w:sz w:val="24"/>
        </w:rPr>
        <w:t>其他</w:t>
      </w:r>
      <w:r>
        <w:rPr>
          <w:rFonts w:asciiTheme="minorEastAsia" w:hAnsiTheme="minorEastAsia" w:eastAsiaTheme="minorEastAsia"/>
          <w:sz w:val="24"/>
          <w:u w:val="single"/>
        </w:rPr>
        <w:t xml:space="preserve"> 建筑施工人员团体意外伤害险，职业责任险、财产一切险、（财产一切险之）业务中断险，公众责任险                                       </w:t>
      </w:r>
    </w:p>
    <w:p>
      <w:pPr>
        <w:widowControl/>
        <w:spacing w:before="80" w:after="80" w:line="360" w:lineRule="auto"/>
        <w:rPr>
          <w:rFonts w:asciiTheme="minorEastAsia" w:hAnsiTheme="minorEastAsia" w:eastAsiaTheme="minorEastAsia"/>
          <w:b/>
          <w:sz w:val="24"/>
        </w:rPr>
      </w:pPr>
      <w:r>
        <w:rPr>
          <w:rFonts w:asciiTheme="minorEastAsia" w:hAnsiTheme="minorEastAsia" w:eastAsiaTheme="minorEastAsia"/>
          <w:b/>
          <w:sz w:val="24"/>
        </w:rPr>
        <w:t>18.2 乙方的投保义务</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18.2.1 乙方应按照第18.1款约定的各项险种足额投保。</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18.2.2 在合作期内，乙方应购买上述约定的保险，并始终使保险单保持有效，保险费用计入项目投资和成本。未经甲方书面同意，乙方投保的险种和数额不得随意变更。如果并非乙方的疏忽或故意行为，而无法投保某种特别险种，不视为乙方违约。</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18.2.3 在法律许可和承保人能提供的服务范围内，乙方有权在和保险公司之间签署的保险合同中，将融资方列为第一受益人，同时将甲方列为本项目保险合同的受益人。</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18.2.4 保险单的附加条款中必须规定：未提前</w:t>
      </w:r>
      <w:r>
        <w:rPr>
          <w:rFonts w:asciiTheme="minorEastAsia" w:hAnsiTheme="minorEastAsia" w:eastAsiaTheme="minorEastAsia"/>
          <w:b/>
          <w:sz w:val="24"/>
          <w:u w:val="single"/>
        </w:rPr>
        <w:t xml:space="preserve"> 30 </w:t>
      </w:r>
      <w:r>
        <w:rPr>
          <w:rFonts w:asciiTheme="minorEastAsia" w:hAnsiTheme="minorEastAsia" w:eastAsiaTheme="minorEastAsia"/>
          <w:sz w:val="24"/>
        </w:rPr>
        <w:t>日书面通知甲方，保险人不得取消、延展或对保险单作重大变更。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18.2.5 乙方应责成保险人向甲方提供保险证明书以证实其已获得上述所列保险单及附加条款。如果乙方未购买或维持上述保险始终有效，则甲方有权根据本合同约定从对乙方应付服务费中扣除其应付的保险金，或者直接扣除/提取履约担保相应金额。</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18.2.6 乙方应向甲方及时通报保险人的报告通知（如危险整改通知）并提交相应的副本，如果乙方未及时提供通知而造成保险单失效应承担违约责任。</w:t>
      </w:r>
    </w:p>
    <w:p>
      <w:pPr>
        <w:pStyle w:val="3"/>
        <w:spacing w:line="360" w:lineRule="auto"/>
        <w:jc w:val="both"/>
        <w:rPr>
          <w:rFonts w:asciiTheme="minorEastAsia" w:hAnsiTheme="minorEastAsia"/>
        </w:rPr>
      </w:pPr>
      <w:bookmarkStart w:id="470" w:name="_Toc18029"/>
      <w:bookmarkStart w:id="471" w:name="_Toc50993478"/>
      <w:bookmarkStart w:id="472" w:name="_Toc522897564"/>
      <w:r>
        <w:rPr>
          <w:rFonts w:asciiTheme="minorEastAsia" w:hAnsiTheme="minorEastAsia"/>
        </w:rPr>
        <w:t>第19条  再融资</w:t>
      </w:r>
      <w:bookmarkEnd w:id="470"/>
      <w:bookmarkEnd w:id="471"/>
      <w:bookmarkEnd w:id="472"/>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19.1再融资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经甲方书面同意，乙方可通过股权、债权、项目收益证券化等方式进行再融资。</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19.2再融资的条件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乙方进行再融资，应当同时满足以下条件：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19.2.1为本项目融资之目的，且所融资资金用于本项目；</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19.2.2应增加项目收益或者降低项目成本且不影响项目的实施及甲方的权益；</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19.2.3签署再融资协议前须取得甲方书面同意。</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 xml:space="preserve"> 19.3其他约定</w:t>
      </w:r>
    </w:p>
    <w:p>
      <w:pPr>
        <w:widowControl/>
        <w:spacing w:line="360" w:lineRule="auto"/>
        <w:ind w:firstLine="435"/>
        <w:rPr>
          <w:rFonts w:asciiTheme="minorEastAsia" w:hAnsiTheme="minorEastAsia" w:eastAsiaTheme="minorEastAsia"/>
          <w:sz w:val="24"/>
          <w:u w:val="single"/>
        </w:rPr>
      </w:pPr>
      <w:r>
        <w:rPr>
          <w:rFonts w:asciiTheme="minorEastAsia" w:hAnsiTheme="minorEastAsia" w:eastAsiaTheme="minorEastAsia"/>
          <w:sz w:val="24"/>
        </w:rPr>
        <w:t>双方关于再融资的其他约定：</w:t>
      </w:r>
      <w:r>
        <w:rPr>
          <w:rFonts w:asciiTheme="minorEastAsia" w:hAnsiTheme="minorEastAsia" w:eastAsiaTheme="minorEastAsia"/>
          <w:sz w:val="24"/>
          <w:u w:val="single"/>
        </w:rPr>
        <w:t xml:space="preserve">                                        </w:t>
      </w:r>
    </w:p>
    <w:p>
      <w:pPr>
        <w:widowControl/>
        <w:spacing w:line="360" w:lineRule="auto"/>
        <w:rPr>
          <w:rFonts w:asciiTheme="minorEastAsia" w:hAnsiTheme="minorEastAsia" w:eastAsiaTheme="minorEastAsia"/>
          <w:u w:val="single"/>
        </w:rPr>
      </w:pPr>
      <w:r>
        <w:rPr>
          <w:rFonts w:asciiTheme="minorEastAsia" w:hAnsiTheme="minorEastAsia" w:eastAsiaTheme="minorEastAsia"/>
          <w:kern w:val="0"/>
          <w:sz w:val="24"/>
          <w:u w:val="single"/>
        </w:rPr>
        <w:t xml:space="preserve">                                                                     </w:t>
      </w:r>
      <w:r>
        <w:rPr>
          <w:rFonts w:asciiTheme="minorEastAsia" w:hAnsiTheme="minorEastAsia" w:eastAsiaTheme="minorEastAsia"/>
          <w:sz w:val="24"/>
          <w:u w:val="single"/>
        </w:rPr>
        <w:t xml:space="preserve"> </w:t>
      </w:r>
    </w:p>
    <w:p>
      <w:pPr>
        <w:pStyle w:val="3"/>
        <w:spacing w:line="360" w:lineRule="auto"/>
        <w:jc w:val="both"/>
        <w:rPr>
          <w:rFonts w:asciiTheme="minorEastAsia" w:hAnsiTheme="minorEastAsia"/>
        </w:rPr>
      </w:pPr>
      <w:bookmarkStart w:id="473" w:name="_Toc522897565"/>
      <w:bookmarkStart w:id="474" w:name="_Toc50993479"/>
      <w:bookmarkStart w:id="475" w:name="_Toc24400"/>
      <w:r>
        <w:rPr>
          <w:rFonts w:asciiTheme="minorEastAsia" w:hAnsiTheme="minorEastAsia"/>
        </w:rPr>
        <w:t>第20条  不可抗力</w:t>
      </w:r>
      <w:bookmarkEnd w:id="473"/>
      <w:bookmarkEnd w:id="474"/>
      <w:bookmarkEnd w:id="475"/>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20.1不可抗力事件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不可抗力事件任何一方由于出现不可抗力事件使该方无法全部或部分履行其本合同项下的义务时，该方应有权中止履行本合同项下的义务。不可抗力应包括但不限于下列事件：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（1）雷电、干旱、火灾、4级以上地震、火山爆发、山崩、滑坡、水灾、暴风雨、海啸、台风或龙卷风；</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（2）流行病、饥荒或疫情；</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（3）战争行为（无论是否宣战）、入侵、武装冲突或外敌行为、封锁或军事力量的使用、禁运、暴乱或民众骚乱、恐怖行为、军事演习或政变；</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（4）化学或放射性污染或核辐射；</w:t>
      </w:r>
    </w:p>
    <w:p>
      <w:pPr>
        <w:widowControl/>
        <w:spacing w:before="80" w:after="80" w:line="360" w:lineRule="auto"/>
        <w:ind w:firstLine="424" w:firstLineChars="177"/>
        <w:rPr>
          <w:rFonts w:asciiTheme="minorEastAsia" w:hAnsiTheme="minorEastAsia" w:eastAsiaTheme="minorEastAsia"/>
          <w:sz w:val="24"/>
        </w:rPr>
      </w:pPr>
      <w:bookmarkStart w:id="476" w:name="_Hlk525247673"/>
      <w:bookmarkStart w:id="477" w:name="_Hlk524108773"/>
      <w:r>
        <w:rPr>
          <w:rFonts w:asciiTheme="minorEastAsia" w:hAnsiTheme="minorEastAsia" w:eastAsiaTheme="minorEastAsia"/>
          <w:sz w:val="24"/>
        </w:rPr>
        <w:t>（5）其他：</w:t>
      </w:r>
      <w:r>
        <w:rPr>
          <w:rFonts w:asciiTheme="minorEastAsia" w:hAnsiTheme="minorEastAsia" w:eastAsiaTheme="minorEastAsia"/>
          <w:sz w:val="24"/>
          <w:u w:val="single"/>
        </w:rPr>
        <w:t xml:space="preserve"> </w:t>
      </w:r>
      <w:r>
        <w:rPr>
          <w:rFonts w:asciiTheme="minorEastAsia" w:hAnsiTheme="minorEastAsia" w:eastAsiaTheme="minorEastAsia"/>
          <w:sz w:val="24"/>
        </w:rPr>
        <w:t>日雨量50mm以上持续3天的大雨、5级以上持续3天的大风、10年以上未发生过且持续3天的38℃以上高温天气、10年以上未发生过且持续3天的0℃以下严寒天气、10年以上未发生过的洪水；全国性、地方性或行业性的罢工。</w:t>
      </w:r>
      <w:bookmarkEnd w:id="476"/>
      <w:bookmarkEnd w:id="477"/>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（6）构成本合同的不可抗力事件，必须同时具备以下四个要件，缺一不可：</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1）不可预见性。甲乙双方在订立合同时，对这个事件是否会发生是不可能预见到的。</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2）不可避免性。合同生效后，甲乙双方对可能出现的意外情况尽管采取了及时合理的措施，但客观上并不能阻止这一意外情况的发生。</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3）不可克服性。双方对于意外发生的某一个事件所造成的损失不能克服。</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4）履行期间性。不可抗力的事件必须是在合同签订之后、终止以前，即合同的履行期间内发生的。</w:t>
      </w:r>
    </w:p>
    <w:p>
      <w:pPr>
        <w:widowControl/>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7）乙方无权将下述情况视作不可抗力事件而终止履行本合同或不完全履行本合同项下义务：①乙方的承包商或其他与乙方建立合同关系的第三方在履行合同方面发生延误；②项目设施的故障或正常磨损。甲方无权将下述情况视作不可抗力事件而终止履行或不完全履行本合同项下义务：①贵港市人民政府对项目设施或其任何部分实行的征收、充公或国有化。②法律变更或政府行为。</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20.2通知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声称受到不可抗力影响的一方应在知道不可抗力后</w:t>
      </w:r>
      <w:r>
        <w:rPr>
          <w:rFonts w:asciiTheme="minorEastAsia" w:hAnsiTheme="minorEastAsia" w:eastAsiaTheme="minorEastAsia"/>
          <w:b/>
          <w:sz w:val="24"/>
          <w:u w:val="single"/>
        </w:rPr>
        <w:t xml:space="preserve"> 30</w:t>
      </w:r>
      <w:r>
        <w:rPr>
          <w:rFonts w:asciiTheme="minorEastAsia" w:hAnsiTheme="minorEastAsia" w:eastAsiaTheme="minorEastAsia"/>
          <w:b/>
          <w:sz w:val="30"/>
          <w:szCs w:val="30"/>
          <w:u w:val="single"/>
        </w:rPr>
        <w:t xml:space="preserve"> </w:t>
      </w:r>
      <w:r>
        <w:rPr>
          <w:rFonts w:asciiTheme="minorEastAsia" w:hAnsiTheme="minorEastAsia" w:eastAsiaTheme="minorEastAsia"/>
          <w:sz w:val="24"/>
        </w:rPr>
        <w:t>日内书面通知另一方，详细描述不可抗力的发生情况和可能导致的后果，并根据对方要求提供证明。</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20.3损失承担原则</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发生不可抗力时，双方应各自承担由于不可抗力对其造成的费用损失。</w:t>
      </w:r>
      <w:bookmarkStart w:id="478" w:name="_Hlk525247687"/>
      <w:r>
        <w:rPr>
          <w:rFonts w:asciiTheme="minorEastAsia" w:hAnsiTheme="minorEastAsia" w:eastAsiaTheme="minorEastAsia"/>
          <w:sz w:val="24"/>
        </w:rPr>
        <w:t>如果不可抗力发生在建设期或运营期，则乙方有权根据该不可抗力的影响期间申请延长相应期间的建设期或运营期。</w:t>
      </w:r>
    </w:p>
    <w:bookmarkEnd w:id="478"/>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20.4减少损失的责任与补救义务</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受到不可抗力影响的一方应努力减少不可抗力的影响。双方应协商采取合理的补救措施尽量减少不可抗力给各方造成的损失。声称受到不可抗力影响的一方在不可抗力消除后应尽快恢复履行本合同项下的义务。</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20.5不可抗力情形下项目设施的运维义务</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发生不可抗力时，乙方仍应尽最大努力保证污水处理服务和管网等项目设施运营维护服务的持续。</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如果不可抗力已使合同债务人的履行成为不可能，则应解除双方当事人的合同，并免除债务人的违约责任；如果不可抗力只造成合同债务人的履行部分不能，则应变更合同内容，免除违约方的违约责任;如果不可抗力仅造成债务人履行债务的暂时困难，则可要求债务人迟延履行，但免除迟延履行的违约责任。</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20.6 不可抗力结束后的继续履行</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不可抗力事件结束后，合同尚具备继续履行条件的，双方应继续履行合同并就风险责任分担进行协商，协商不成或已不具备继续履行条件的，双方可依约终止本合同。</w:t>
      </w:r>
    </w:p>
    <w:p>
      <w:pPr>
        <w:pStyle w:val="3"/>
        <w:spacing w:line="360" w:lineRule="auto"/>
        <w:jc w:val="both"/>
        <w:rPr>
          <w:rFonts w:asciiTheme="minorEastAsia" w:hAnsiTheme="minorEastAsia"/>
        </w:rPr>
      </w:pPr>
      <w:bookmarkStart w:id="479" w:name="_Toc12613"/>
      <w:bookmarkStart w:id="480" w:name="_Toc522897566"/>
      <w:bookmarkStart w:id="481" w:name="_Toc50993480"/>
      <w:r>
        <w:rPr>
          <w:rFonts w:asciiTheme="minorEastAsia" w:hAnsiTheme="minorEastAsia"/>
        </w:rPr>
        <w:t>第21条  政府行为</w:t>
      </w:r>
      <w:bookmarkEnd w:id="479"/>
      <w:bookmarkEnd w:id="480"/>
      <w:bookmarkEnd w:id="481"/>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21.1为了公共利益的需要，甲方可以依法对本项目实行国有化、征收或者征用并给予补偿，乙方予以全力配合。</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21.2乙方应接受甲方或政府方指定机构依据适用法律规定和本合同约定，在紧急情况下接受政府征收或征用的义务，但是征收或征用的范围不应超过法律规定的范围。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21.3在紧急情况下，甲方有权按照适用法律征收或征用项目设施暂代乙方运营维护项目设施。</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21.4甲方因征收或征用所发生的费用由甲方自行负担，由于征收或征用而导致的乙方损失，甲方应当按照本合同第23.1款约定给予公平、合理的补偿；导致合同终止的，按照本合同第24.9款约定的终止补偿确定。</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21.5本合同生效日后，发生政府行为导致乙方不能按照本合同约定履行合同义务的，按照本合同第24.3款的约定处理。</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21.6本合同生效日后，由于政府行为导致乙方在项目合作期内受到影响并使乙方遭受实质性的损失的，甲乙双方应尽力就继续履行本合同进行协商，项目合作期可适当延长。</w:t>
      </w:r>
    </w:p>
    <w:p>
      <w:pPr>
        <w:pStyle w:val="3"/>
        <w:spacing w:line="360" w:lineRule="auto"/>
        <w:jc w:val="both"/>
        <w:rPr>
          <w:rFonts w:asciiTheme="minorEastAsia" w:hAnsiTheme="minorEastAsia"/>
        </w:rPr>
      </w:pPr>
      <w:bookmarkStart w:id="482" w:name="_Toc50993481"/>
      <w:bookmarkStart w:id="483" w:name="_Toc28662"/>
      <w:bookmarkStart w:id="484" w:name="_Toc522897567"/>
      <w:r>
        <w:rPr>
          <w:rFonts w:asciiTheme="minorEastAsia" w:hAnsiTheme="minorEastAsia"/>
        </w:rPr>
        <w:t>第22条  法律变更</w:t>
      </w:r>
      <w:bookmarkEnd w:id="482"/>
      <w:bookmarkEnd w:id="483"/>
      <w:bookmarkEnd w:id="484"/>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22.1法律变更导致的补偿</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22.1.1法律变更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除本合同另有明确约定外，在项目合作期内的任何连续</w:t>
      </w:r>
      <w:r>
        <w:rPr>
          <w:rFonts w:asciiTheme="minorEastAsia" w:hAnsiTheme="minorEastAsia" w:eastAsiaTheme="minorEastAsia"/>
          <w:b/>
          <w:sz w:val="24"/>
          <w:u w:val="single"/>
        </w:rPr>
        <w:t xml:space="preserve"> 3 </w:t>
      </w:r>
      <w:r>
        <w:rPr>
          <w:rFonts w:asciiTheme="minorEastAsia" w:hAnsiTheme="minorEastAsia" w:eastAsiaTheme="minorEastAsia"/>
          <w:sz w:val="24"/>
        </w:rPr>
        <w:t>年期间，由于一项或多项法律变更使乙方对项目的资本投资累计增加数额等于或超过</w:t>
      </w:r>
      <w:r>
        <w:rPr>
          <w:rFonts w:asciiTheme="minorEastAsia" w:hAnsiTheme="minorEastAsia" w:eastAsiaTheme="minorEastAsia"/>
          <w:b/>
          <w:sz w:val="24"/>
          <w:u w:val="single"/>
        </w:rPr>
        <w:t xml:space="preserve"> 5000元  </w:t>
      </w:r>
      <w:r>
        <w:rPr>
          <w:rFonts w:asciiTheme="minorEastAsia" w:hAnsiTheme="minorEastAsia" w:eastAsiaTheme="minorEastAsia"/>
          <w:sz w:val="24"/>
        </w:rPr>
        <w:t>，或在项目合作期内的任何一年期间，一项或多项法律变更造成乙方经常性支出（包括但不限于运营成本、税负等）的累计增加数额等于或超过</w:t>
      </w:r>
      <w:r>
        <w:rPr>
          <w:rFonts w:asciiTheme="minorEastAsia" w:hAnsiTheme="minorEastAsia" w:eastAsiaTheme="minorEastAsia"/>
          <w:b/>
          <w:sz w:val="24"/>
          <w:u w:val="single"/>
        </w:rPr>
        <w:t xml:space="preserve"> 10000元 </w:t>
      </w:r>
      <w:r>
        <w:rPr>
          <w:rFonts w:asciiTheme="minorEastAsia" w:hAnsiTheme="minorEastAsia" w:eastAsiaTheme="minorEastAsia"/>
          <w:sz w:val="24"/>
        </w:rPr>
        <w:t>，并且上述增加未因对乙方有利的其他法律变更而得到补偿，则本合同第22.1.3款取得补偿的权利规定可适用。</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22.1.2通知和减少影响</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如果乙方希望获得本合同第22.1.3款约定的补偿，乙方应在知道第22.1.1款约定的法律变更后书面通知甲方。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乙方应在进行资产投资或发生支出前给予甲方合理机会减少法律变更对其造成的影响。</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22.1.3取得补偿的权利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在发生第22.1.1款描述的情形时，乙方有权要求甲方给予补偿，具体补偿金额由双方根据实际情况另行协商确定。</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在发生第22.1.1款描述的情形时，项目合作期可适当延长。</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22.1.4法律变更影响履约</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如果因法律变更使乙方无法履行其本合同项下的义务，包括因法律变更使乙方履行其在本合同项下的重要义务按照适用法律被认定为不合规，乙方应有权按照法律变更规定的程序终止履行其在本合同项下的义务。</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22.2法律变更导致的调减</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22.2.1法律变更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除本合同另有明确约定外，在项目合作期内的任何连续</w:t>
      </w:r>
      <w:r>
        <w:rPr>
          <w:rFonts w:asciiTheme="minorEastAsia" w:hAnsiTheme="minorEastAsia" w:eastAsiaTheme="minorEastAsia"/>
          <w:b/>
          <w:sz w:val="24"/>
          <w:u w:val="single"/>
        </w:rPr>
        <w:t xml:space="preserve"> 3 </w:t>
      </w:r>
      <w:r>
        <w:rPr>
          <w:rFonts w:asciiTheme="minorEastAsia" w:hAnsiTheme="minorEastAsia" w:eastAsiaTheme="minorEastAsia"/>
          <w:sz w:val="24"/>
        </w:rPr>
        <w:t>年期间，由于一项或多项法律变更使乙方对项目的资本投资累计减少数额等于或超过</w:t>
      </w:r>
      <w:r>
        <w:rPr>
          <w:rFonts w:asciiTheme="minorEastAsia" w:hAnsiTheme="minorEastAsia" w:eastAsiaTheme="minorEastAsia"/>
          <w:b/>
          <w:sz w:val="24"/>
          <w:u w:val="single"/>
        </w:rPr>
        <w:t xml:space="preserve"> 5000元 </w:t>
      </w:r>
      <w:r>
        <w:rPr>
          <w:rFonts w:asciiTheme="minorEastAsia" w:hAnsiTheme="minorEastAsia" w:eastAsiaTheme="minorEastAsia"/>
          <w:sz w:val="24"/>
        </w:rPr>
        <w:t>，或在项目合作期内的任何一年期间，一项或多项法律变更造成乙方经常性支出（包括但不限于运营成本、税负等）的累计减少数额等于或超过</w:t>
      </w:r>
      <w:r>
        <w:rPr>
          <w:rFonts w:asciiTheme="minorEastAsia" w:hAnsiTheme="minorEastAsia" w:eastAsiaTheme="minorEastAsia"/>
          <w:b/>
          <w:sz w:val="24"/>
          <w:u w:val="single"/>
        </w:rPr>
        <w:t xml:space="preserve"> 10000元 </w:t>
      </w:r>
      <w:r>
        <w:rPr>
          <w:rFonts w:asciiTheme="minorEastAsia" w:hAnsiTheme="minorEastAsia" w:eastAsiaTheme="minorEastAsia"/>
          <w:sz w:val="24"/>
        </w:rPr>
        <w:t>，并且上述减少未因其他法律变更而相应抵消，则第22.2.2款法律变更的调整将适用。</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22.2.2法律变更的调整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在发生第22.2.1款描述的情形时，甲方有权采用调减服务费的形式抵消法律变更所带来的影响，具体调减数额由双方根据实际情况另行协商确定。</w:t>
      </w:r>
    </w:p>
    <w:p>
      <w:pPr>
        <w:pStyle w:val="3"/>
        <w:spacing w:line="360" w:lineRule="auto"/>
        <w:jc w:val="both"/>
        <w:rPr>
          <w:rFonts w:asciiTheme="minorEastAsia" w:hAnsiTheme="minorEastAsia"/>
        </w:rPr>
      </w:pPr>
      <w:bookmarkStart w:id="485" w:name="_Toc14050"/>
      <w:bookmarkStart w:id="486" w:name="_Toc522897568"/>
      <w:bookmarkStart w:id="487" w:name="_Toc50993482"/>
      <w:r>
        <w:rPr>
          <w:rFonts w:asciiTheme="minorEastAsia" w:hAnsiTheme="minorEastAsia"/>
        </w:rPr>
        <w:t>第23条  补偿与违约赔偿</w:t>
      </w:r>
      <w:bookmarkEnd w:id="485"/>
      <w:bookmarkEnd w:id="486"/>
      <w:bookmarkEnd w:id="487"/>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23.1补偿</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23.1.1获得补偿的情形</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在项目合作期限内，如发生下列事件（下称“补偿事件”），则乙方有权依照本条相关约定从甲方获得补偿：</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 xml:space="preserve">（1）由于法律变更，导致乙方对项目的资本投资或经常性支出增加； </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（2）应甲方要求进行的工程调整和设备改造，导致乙方对项目的资本投资或经常性支出增加；</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（3）根据规定或甲方要求导致供水、污水出水或排水设施运营标准提高，造成乙方对项目的资本投资或经常性支出增加；</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（4）为了维护公共利益的安全，甲方的介入造成乙方的损失、支出或费用增加；</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甲方作出行政行为，给乙方造成损失</w:t>
      </w:r>
      <w:r>
        <w:rPr>
          <w:rFonts w:asciiTheme="minorEastAsia" w:hAnsiTheme="minorEastAsia" w:eastAsiaTheme="minorEastAsia"/>
          <w:sz w:val="24"/>
        </w:rPr>
        <w:t>、支出或费用增加</w:t>
      </w:r>
      <w:r>
        <w:rPr>
          <w:rFonts w:hint="eastAsia" w:asciiTheme="minorEastAsia" w:hAnsiTheme="minorEastAsia" w:eastAsiaTheme="minorEastAsia"/>
          <w:sz w:val="24"/>
        </w:rPr>
        <w:t>；</w:t>
      </w:r>
    </w:p>
    <w:p>
      <w:pPr>
        <w:spacing w:before="80" w:after="80" w:line="360" w:lineRule="auto"/>
        <w:ind w:firstLine="424" w:firstLineChars="177"/>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双方协商一致的其他事项：</w:t>
      </w:r>
    </w:p>
    <w:p>
      <w:pPr>
        <w:spacing w:before="80" w:after="80" w:line="360" w:lineRule="auto"/>
        <w:rPr>
          <w:rFonts w:asciiTheme="minorEastAsia" w:hAnsiTheme="minorEastAsia" w:eastAsiaTheme="minorEastAsia"/>
          <w:sz w:val="24"/>
          <w:u w:val="single"/>
        </w:rPr>
      </w:pP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①因进水超标导致出水超标导致乙方受到行政处罚并被处以罚款或被要求缴纳环境保护税的，政府方应据实补偿。②若因进水超标导致出水超标而受到行政处罚，致使乙方无法享受相关税收优惠的，乙方本应享受的可退税额由甲方负责返还。</w:t>
      </w:r>
      <w:r>
        <w:rPr>
          <w:rFonts w:asciiTheme="minorEastAsia" w:hAnsiTheme="minorEastAsia" w:eastAsiaTheme="minorEastAsia"/>
          <w:sz w:val="24"/>
          <w:u w:val="single"/>
        </w:rPr>
        <w:t xml:space="preserve">                                                             </w:t>
      </w:r>
    </w:p>
    <w:p>
      <w:pPr>
        <w:widowControl/>
        <w:rPr>
          <w:rFonts w:asciiTheme="minorEastAsia" w:hAnsiTheme="minorEastAsia" w:eastAsiaTheme="minorEastAsia"/>
          <w:sz w:val="20"/>
          <w:szCs w:val="20"/>
        </w:rPr>
      </w:pPr>
      <w:r>
        <w:rPr>
          <w:rFonts w:asciiTheme="minorEastAsia" w:hAnsiTheme="minorEastAsia" w:eastAsiaTheme="minorEastAsia"/>
          <w:sz w:val="24"/>
          <w:u w:val="single"/>
        </w:rPr>
        <w:t xml:space="preserve">                                                                     </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23.1.2以其他方式已补偿的损失</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就乙方因上述补偿事件而发生的损失、支出或费用（包括对项目的资本投资或经常性支出增加）的金额，应在扣除从以下途径另行获取的补偿或抵销的损失后，确定是否需要补偿以及需补偿的金额：</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（1）乙方有权获得的保险赔款（包括认定保险赔款）；</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（2）甲方按照本合同其他约定或以其他方式提供补偿；</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（3）法律变更使乙方的投资或运营费用减少或以其他方式补偿了乙方；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（4）乙方已从其他途径获得补偿。</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23.1.3补偿的形式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一般情况下，甲、乙双方可以协商采取以下一种或多种方式进行补偿：</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（1）一次性现金补偿；</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（2）调整服务费；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（3）在符合适用法律规定的前提下延长运营期限。</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23.1.4补偿事件的通知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发生第23.1款约定的补偿事件时，乙方应书面通知甲方所发生的补偿事件及其产生的不利影响，包括有关损失的性质和估计数额（下称“补偿通知”）。</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23.1.5补偿的决定</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（1）补偿事件的协商处理</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甲方在收到乙方补偿通知后</w:t>
      </w:r>
      <w:r>
        <w:rPr>
          <w:rFonts w:asciiTheme="minorEastAsia" w:hAnsiTheme="minorEastAsia" w:eastAsiaTheme="minorEastAsia"/>
          <w:b/>
          <w:sz w:val="24"/>
          <w:u w:val="single"/>
        </w:rPr>
        <w:t xml:space="preserve"> 15 </w:t>
      </w:r>
      <w:r>
        <w:rPr>
          <w:rFonts w:asciiTheme="minorEastAsia" w:hAnsiTheme="minorEastAsia" w:eastAsiaTheme="minorEastAsia"/>
          <w:sz w:val="24"/>
        </w:rPr>
        <w:t>日内，应书面通知乙方建议采取的补偿方式、金额、时间等。若甲方不同意进行补偿或双方对补偿形式或金额有异议的，双方应及时进行友好协商，尽最大努力达成一致，协商期为自乙方发出补偿通知之日起</w:t>
      </w:r>
      <w:r>
        <w:rPr>
          <w:rFonts w:asciiTheme="minorEastAsia" w:hAnsiTheme="minorEastAsia" w:eastAsiaTheme="minorEastAsia"/>
          <w:b/>
          <w:sz w:val="24"/>
          <w:u w:val="single"/>
        </w:rPr>
        <w:t xml:space="preserve"> 2 </w:t>
      </w:r>
      <w:r>
        <w:rPr>
          <w:rFonts w:asciiTheme="minorEastAsia" w:hAnsiTheme="minorEastAsia" w:eastAsiaTheme="minorEastAsia"/>
          <w:sz w:val="24"/>
        </w:rPr>
        <w:t>个月。</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（2）协商不能达成一致意见的处理</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若在协商期限内，双方仍不能就补偿达成一致的，则按本合同争议条款约定解决；协商期间及争议解决期间，乙方不应中止项目设施的正常运营维护。</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23.2违约及赔偿</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23.2.1违约处理</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任何一方不履行本合同项下义务或履行义务不符合约定的，且不存在法律规定或合同约定免责事由的，均构成违约。任何一方发生违约行为而使守约方遭受任何损害、损失、增加支出或承担额外责任的，守约方有权要求违约方承担赔偿责任，但前述赔偿不应超过违约方在签订本合同时预见或应当预见的损害、损失、支出或责任。</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23.2.2违约通知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任何一方违约时，守约方有权向违约方发出书面改正通知，要求违约方在收到通知后</w:t>
      </w:r>
      <w:r>
        <w:rPr>
          <w:rFonts w:asciiTheme="minorEastAsia" w:hAnsiTheme="minorEastAsia" w:eastAsiaTheme="minorEastAsia"/>
          <w:b/>
          <w:sz w:val="24"/>
          <w:u w:val="single"/>
        </w:rPr>
        <w:t xml:space="preserve"> 30 </w:t>
      </w:r>
      <w:r>
        <w:rPr>
          <w:rFonts w:asciiTheme="minorEastAsia" w:hAnsiTheme="minorEastAsia" w:eastAsiaTheme="minorEastAsia"/>
          <w:sz w:val="24"/>
        </w:rPr>
        <w:t>日内改正其违约行为。</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23.2.3不减免和影响的事项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违约方对违约责任的承担并不能减免其在本合同下的其他任何义务。双方获得上述违约赔偿的权利不影响其在本合同项下的终止权。</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23.2.4减轻损失的措施</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由于另一方违约而遭受损失或可能会遭受损失的一方应采取合理措施防止损失扩大或减少损失。如果一方未能采取此类措施，违约方可以请求从赔偿金额中扣除应能减少的损失金额。受损害的一方应有权从另一方获得因试图减轻和减少损失而发生的任何费用，但不应超过未采取合理措施时造成的损失金额。</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23.2.5部分由于受损害方造成的损失</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如果损失部分是由于受损害方的作为或不作为造成的，或部分损失应由受损害方承担的，赔偿的数额中应扣除该部分损失。</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23.2.6本合同未明确约定违约责任的，按照如下规定执行：</w:t>
      </w:r>
    </w:p>
    <w:p>
      <w:pPr>
        <w:spacing w:before="80" w:after="80" w:line="360" w:lineRule="auto"/>
        <w:ind w:firstLine="424" w:firstLineChars="177"/>
        <w:rPr>
          <w:rFonts w:asciiTheme="minorEastAsia" w:hAnsiTheme="minorEastAsia" w:eastAsiaTheme="minorEastAsia"/>
          <w:sz w:val="24"/>
          <w:u w:val="single"/>
        </w:rPr>
      </w:pPr>
      <w:r>
        <w:rPr>
          <w:rFonts w:asciiTheme="minorEastAsia" w:hAnsiTheme="minorEastAsia" w:eastAsiaTheme="minorEastAsia"/>
          <w:sz w:val="24"/>
          <w:u w:val="single"/>
        </w:rPr>
        <w:t>除非本合同另有规定，各方均不应对由于或根据本协议产生的或与其相关的任何索赔为对方的任何间接、特殊损失或附带损失或惩罚性损害赔偿负责。</w:t>
      </w:r>
    </w:p>
    <w:p>
      <w:pPr>
        <w:pStyle w:val="3"/>
        <w:spacing w:line="360" w:lineRule="auto"/>
        <w:jc w:val="both"/>
        <w:rPr>
          <w:rFonts w:asciiTheme="minorEastAsia" w:hAnsiTheme="minorEastAsia"/>
        </w:rPr>
      </w:pPr>
      <w:bookmarkStart w:id="488" w:name="_Toc522897569"/>
      <w:bookmarkStart w:id="489" w:name="_Toc50993483"/>
      <w:bookmarkStart w:id="490" w:name="_Toc14098"/>
      <w:r>
        <w:rPr>
          <w:rFonts w:asciiTheme="minorEastAsia" w:hAnsiTheme="minorEastAsia"/>
        </w:rPr>
        <w:t>第24条  合同终止与补偿</w:t>
      </w:r>
      <w:bookmarkEnd w:id="488"/>
      <w:bookmarkEnd w:id="489"/>
      <w:bookmarkEnd w:id="490"/>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24.1甲方发出的终止</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下列任一事件发生时，甲方有权立即发出终止意向通知：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24.1.1乙方在本合同第2条所作出的声明与保证被证明在作出时存在虚假或未兑现，且严重影响其履约能力；</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24.1.2乙方未能根据本合同约定提交履约担保并保持其有效的；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24.1.3乙方出现本合同</w:t>
      </w:r>
      <w:bookmarkStart w:id="491" w:name="_Hlk525247789"/>
      <w:r>
        <w:rPr>
          <w:rFonts w:asciiTheme="minorEastAsia" w:hAnsiTheme="minorEastAsia" w:eastAsiaTheme="minorEastAsia"/>
          <w:sz w:val="24"/>
        </w:rPr>
        <w:t>第8.6.2款、</w:t>
      </w:r>
      <w:bookmarkEnd w:id="491"/>
      <w:r>
        <w:rPr>
          <w:rFonts w:asciiTheme="minorEastAsia" w:hAnsiTheme="minorEastAsia" w:eastAsiaTheme="minorEastAsia"/>
          <w:sz w:val="24"/>
        </w:rPr>
        <w:t>第8.8.2款、第8.8.3款、第8.12.2款及第9.4.2款约定的导致提前终止情形的；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24.1.4乙方被依法吊销营业执照、责令停业、清算或破产；</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24.1.5融资方开始行使其担保协议项下的担保权利，或融资方行使介入权未能有效补救乙方出现的重大经营或财务风险，或融资方选择不行使介入权进行补救，并可能造成项目无法正常运营；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24.1.6乙方出现《运营维护服务协议》约定的违约事项并导致合同目的无法实现的；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24.1.7乙方出现的其他严重违约事项导致合同目的无法实现的。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24.1.8除不可抗力、非乙方原因引起的停水停电、报经甲方同意的计划内维修或因政府或甲方延期支付运营补贴导致乙方无力维持项目正常运营外，未经甲方事先书面同意，乙方擅自停止对项目的运营的持续时间长达60日的（如属紧急情况的除外，但应在发生的同时口头告知甲方，并应在发生后1天内书面报告甲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24.1.9未经甲方同意，项目公司擅自出租、质押、转让项目运营权，乙方擅自进行转让项目公司股权，经甲方书面通知其纠正后仍拒绝纠正的。</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24.2乙方发出的终止</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下列任一事件发生时，乙方有权立即发出终止意向通知：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24.2.1甲方在本合同第2条的承诺及其他任何声明和保证被证明是虚假的或未兑现，使乙方履行本合同的能力受到严重不利影响或使实现本项目的商业目的之预期受到根本性不利影响的；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24.2.2甲方违反本合同的约定，在本项目合作期限和合作范围内，就本项目设施引入其他第三方负责实施本项目的；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24.2.3甲方出现第8.12.1款、第9.4.1款及第13.2.5款约定的导致提前终止情形的；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24.2.4甲方出现的其他严重违约事项导致合同目的无法实现的。</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24.3法律变更或政府行为导致的终止</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如果在本合同生效日后，因法律变更及上级政府行为导致乙方部分或全部不能履行本合同项下主要义务，而此种变化和影响又不以甲方的意志为转移，甲、乙双方应尽力就继续履行本合同进行协商。若不能达成一致，则一方可向另一方发出终止意向通知。</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24.4不可抗力造成的终止</w:t>
      </w:r>
    </w:p>
    <w:p>
      <w:pPr>
        <w:spacing w:before="80" w:after="80" w:line="360" w:lineRule="auto"/>
        <w:ind w:firstLine="424" w:firstLineChars="177"/>
        <w:rPr>
          <w:rFonts w:asciiTheme="minorEastAsia" w:hAnsiTheme="minorEastAsia" w:eastAsiaTheme="minorEastAsia"/>
          <w:b/>
          <w:sz w:val="24"/>
        </w:rPr>
      </w:pPr>
      <w:r>
        <w:rPr>
          <w:rFonts w:asciiTheme="minorEastAsia" w:hAnsiTheme="minorEastAsia" w:eastAsiaTheme="minorEastAsia"/>
          <w:sz w:val="24"/>
        </w:rPr>
        <w:t>当不可抗力事件阻止一方履行其义务的时间持续</w:t>
      </w:r>
      <w:r>
        <w:rPr>
          <w:rFonts w:asciiTheme="minorEastAsia" w:hAnsiTheme="minorEastAsia" w:eastAsiaTheme="minorEastAsia"/>
          <w:b/>
          <w:sz w:val="24"/>
          <w:u w:val="single"/>
        </w:rPr>
        <w:t xml:space="preserve"> 90 </w:t>
      </w:r>
      <w:r>
        <w:rPr>
          <w:rFonts w:asciiTheme="minorEastAsia" w:hAnsiTheme="minorEastAsia" w:eastAsiaTheme="minorEastAsia"/>
          <w:sz w:val="24"/>
        </w:rPr>
        <w:t>日以上时，双方应协商决定继续履行本合同的条件或者终止本合同。如果自不可抗力发生后</w:t>
      </w:r>
      <w:r>
        <w:rPr>
          <w:rFonts w:asciiTheme="minorEastAsia" w:hAnsiTheme="minorEastAsia" w:eastAsiaTheme="minorEastAsia"/>
          <w:b/>
          <w:sz w:val="24"/>
          <w:u w:val="single"/>
        </w:rPr>
        <w:t xml:space="preserve"> 180 </w:t>
      </w:r>
      <w:r>
        <w:rPr>
          <w:rFonts w:asciiTheme="minorEastAsia" w:hAnsiTheme="minorEastAsia" w:eastAsiaTheme="minorEastAsia"/>
          <w:sz w:val="24"/>
        </w:rPr>
        <w:t>日内双方不能就继续履行的条件或终止本合同达成一致意见，任何一方有权给予另一方书面通知后立即终止本合同。</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24.5协商一致终止</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在合作期内，经各方协商一致可提前终止本合同，此种情形下的解除及对应终止补偿金的计算问题等，由各方届时协商解决。。</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24.6终止意向通知和终止通知</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24.6.1终止意向通知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按照第24.1款甲方发出的终止或第24.2款乙方发出的终止或第24.3款法律变更或政府行为发出的任何终止意向通知均应同时向融资方发出一份复印件。在终止意向通知发出之后，双方应在</w:t>
      </w:r>
      <w:r>
        <w:rPr>
          <w:rFonts w:asciiTheme="minorEastAsia" w:hAnsiTheme="minorEastAsia" w:eastAsiaTheme="minorEastAsia"/>
          <w:b/>
          <w:sz w:val="24"/>
          <w:u w:val="single"/>
        </w:rPr>
        <w:t xml:space="preserve"> 30 </w:t>
      </w:r>
      <w:r>
        <w:rPr>
          <w:rFonts w:asciiTheme="minorEastAsia" w:hAnsiTheme="minorEastAsia" w:eastAsiaTheme="minorEastAsia"/>
          <w:sz w:val="24"/>
        </w:rPr>
        <w:t>日内协商避免本合同终止的措施。</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如果甲方和乙方就将要采取的措施达成一致意见，或者甲方或乙方（视情况而定）在相应的协商期或双方可能同意的更长时间内纠正了违约事件，终止意向通知即自动失效。</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24.6.2终止通知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在协商期届满之时，如果</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（1）双方未达成一致；或</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（2）导致发出终止意向通知的违约事件未得到纠正，则发出终止意向通知的一方可以向另一方和融资方就此发出终止通知，本合同在终止通知送达对方之日终止。</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24.7甲方的权利</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24.7.1经营项目设施的权利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在项目合作期内，如果乙方发生第24.1款甲方发出的终止所述事件，甲方发出终止意向通知后，甲方或其指定机构有权但无义务替代乙方接管项目设施的运营，以使项目设施继续运营或完成任何必要的修理以保证项目设施继续运营。乙方保证配合甲方或其指定机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（2）在甲方或其指定机构运营项目设施期间，乙方无义务支付甲方及其指定机构接管项目设施后发生的运营费用。甲方无义务向乙方支付任何服务费，直至乙方按照本合同接替或承担项目设施的运营。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（3）甲方应有权在任何时候退出项目设施的运营，在此情况下乙方应全面负责项目设施运营，直到任何一方发出终止通知。</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24.7.2终止本合同的权利</w:t>
      </w:r>
    </w:p>
    <w:p>
      <w:pPr>
        <w:spacing w:before="80" w:after="80" w:line="360" w:lineRule="auto"/>
        <w:ind w:firstLine="424" w:firstLineChars="177"/>
        <w:rPr>
          <w:rFonts w:asciiTheme="minorEastAsia" w:hAnsiTheme="minorEastAsia" w:eastAsiaTheme="minorEastAsia"/>
          <w:sz w:val="24"/>
        </w:rPr>
      </w:pPr>
      <w:bookmarkStart w:id="492" w:name="_Hlk520298007"/>
      <w:r>
        <w:rPr>
          <w:rFonts w:asciiTheme="minorEastAsia" w:hAnsiTheme="minorEastAsia" w:eastAsiaTheme="minorEastAsia"/>
          <w:sz w:val="24"/>
        </w:rPr>
        <w:t>如果在第24.1款甲方发出的终止所述事件发生之后，甲方已发出终止意向通知，并且乙方违约事件在协商期限届满日前未得以补救，则甲方应有权在上述日期之后的任何时间发出终止通知终止本合同。</w:t>
      </w:r>
    </w:p>
    <w:bookmarkEnd w:id="492"/>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24.8终止的后果</w:t>
      </w:r>
    </w:p>
    <w:p>
      <w:pPr>
        <w:spacing w:before="80" w:after="80" w:line="360" w:lineRule="auto"/>
        <w:ind w:firstLine="424" w:firstLineChars="177"/>
        <w:rPr>
          <w:rFonts w:asciiTheme="minorEastAsia" w:hAnsiTheme="minorEastAsia" w:eastAsiaTheme="minorEastAsia"/>
          <w:sz w:val="24"/>
        </w:rPr>
      </w:pPr>
      <w:bookmarkStart w:id="493" w:name="_Hlk520298024"/>
      <w:r>
        <w:rPr>
          <w:rFonts w:asciiTheme="minorEastAsia" w:hAnsiTheme="minorEastAsia" w:eastAsiaTheme="minorEastAsia"/>
          <w:sz w:val="24"/>
        </w:rPr>
        <w:t>本合同终止后，双方在本合同项下不再有进一步的义务，但到期应付的款项除外；本合同的终止不影响本合同中争议解决条款和任何在本合同终止后仍然有效的其他条款的效力。</w:t>
      </w:r>
    </w:p>
    <w:bookmarkEnd w:id="493"/>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24.9终止后的补偿</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若本合同提前终止，甲方将按照如下标准向乙方支付补偿金：</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 xml:space="preserve">表24.9-1 </w:t>
      </w:r>
      <w:r>
        <w:rPr>
          <w:rFonts w:asciiTheme="minorEastAsia" w:hAnsiTheme="minorEastAsia" w:eastAsiaTheme="minorEastAsia"/>
          <w:sz w:val="24"/>
        </w:rPr>
        <w:t>提前终止补偿情形及补偿表</w:t>
      </w:r>
    </w:p>
    <w:tbl>
      <w:tblPr>
        <w:tblStyle w:val="55"/>
        <w:tblW w:w="8522" w:type="dxa"/>
        <w:jc w:val="center"/>
        <w:tblLayout w:type="fixed"/>
        <w:tblCellMar>
          <w:top w:w="0" w:type="dxa"/>
          <w:left w:w="108" w:type="dxa"/>
          <w:bottom w:w="0" w:type="dxa"/>
          <w:right w:w="108" w:type="dxa"/>
        </w:tblCellMar>
      </w:tblPr>
      <w:tblGrid>
        <w:gridCol w:w="767"/>
        <w:gridCol w:w="3635"/>
        <w:gridCol w:w="4120"/>
      </w:tblGrid>
      <w:tr>
        <w:tblPrEx>
          <w:tblCellMar>
            <w:top w:w="0" w:type="dxa"/>
            <w:left w:w="108" w:type="dxa"/>
            <w:bottom w:w="0" w:type="dxa"/>
            <w:right w:w="108" w:type="dxa"/>
          </w:tblCellMar>
        </w:tblPrEx>
        <w:trPr>
          <w:jc w:val="center"/>
        </w:trPr>
        <w:tc>
          <w:tcPr>
            <w:tcW w:w="767" w:type="dxa"/>
            <w:vAlign w:val="center"/>
          </w:tcPr>
          <w:p>
            <w:pPr>
              <w:rPr>
                <w:rFonts w:asciiTheme="minorEastAsia" w:hAnsiTheme="minorEastAsia" w:eastAsiaTheme="minorEastAsia"/>
                <w:b/>
                <w:sz w:val="24"/>
              </w:rPr>
            </w:pPr>
            <w:r>
              <w:rPr>
                <w:rFonts w:asciiTheme="minorEastAsia" w:hAnsiTheme="minorEastAsia" w:eastAsiaTheme="minorEastAsia"/>
                <w:b/>
                <w:sz w:val="24"/>
              </w:rPr>
              <w:t>项次</w:t>
            </w:r>
          </w:p>
        </w:tc>
        <w:tc>
          <w:tcPr>
            <w:tcW w:w="3635" w:type="dxa"/>
            <w:vAlign w:val="center"/>
          </w:tcPr>
          <w:p>
            <w:pPr>
              <w:rPr>
                <w:rFonts w:asciiTheme="minorEastAsia" w:hAnsiTheme="minorEastAsia" w:eastAsiaTheme="minorEastAsia"/>
                <w:b/>
                <w:sz w:val="24"/>
              </w:rPr>
            </w:pPr>
            <w:r>
              <w:rPr>
                <w:rFonts w:asciiTheme="minorEastAsia" w:hAnsiTheme="minorEastAsia" w:eastAsiaTheme="minorEastAsia"/>
                <w:b/>
                <w:sz w:val="24"/>
              </w:rPr>
              <w:t>提前终止情形</w:t>
            </w:r>
          </w:p>
        </w:tc>
        <w:tc>
          <w:tcPr>
            <w:tcW w:w="4120" w:type="dxa"/>
            <w:vAlign w:val="center"/>
          </w:tcPr>
          <w:p>
            <w:pPr>
              <w:rPr>
                <w:rFonts w:asciiTheme="minorEastAsia" w:hAnsiTheme="minorEastAsia" w:eastAsiaTheme="minorEastAsia"/>
                <w:b/>
                <w:sz w:val="24"/>
              </w:rPr>
            </w:pPr>
            <w:r>
              <w:rPr>
                <w:rFonts w:asciiTheme="minorEastAsia" w:hAnsiTheme="minorEastAsia" w:eastAsiaTheme="minorEastAsia"/>
                <w:b/>
                <w:sz w:val="24"/>
              </w:rPr>
              <w:t>终止价款（万元）</w:t>
            </w:r>
          </w:p>
        </w:tc>
      </w:tr>
      <w:tr>
        <w:tblPrEx>
          <w:tblCellMar>
            <w:top w:w="0" w:type="dxa"/>
            <w:left w:w="108" w:type="dxa"/>
            <w:bottom w:w="0" w:type="dxa"/>
            <w:right w:w="108" w:type="dxa"/>
          </w:tblCellMar>
        </w:tblPrEx>
        <w:trPr>
          <w:jc w:val="center"/>
        </w:trPr>
        <w:tc>
          <w:tcPr>
            <w:tcW w:w="767" w:type="dxa"/>
            <w:vAlign w:val="center"/>
          </w:tcPr>
          <w:p>
            <w:pPr>
              <w:rPr>
                <w:rFonts w:asciiTheme="minorEastAsia" w:hAnsiTheme="minorEastAsia" w:eastAsiaTheme="minorEastAsia"/>
                <w:sz w:val="24"/>
              </w:rPr>
            </w:pPr>
            <w:r>
              <w:rPr>
                <w:rFonts w:asciiTheme="minorEastAsia" w:hAnsiTheme="minorEastAsia" w:eastAsiaTheme="minorEastAsia"/>
                <w:sz w:val="24"/>
              </w:rPr>
              <w:t>一</w:t>
            </w:r>
          </w:p>
        </w:tc>
        <w:tc>
          <w:tcPr>
            <w:tcW w:w="3635"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政府方</w:t>
            </w:r>
            <w:r>
              <w:rPr>
                <w:rFonts w:asciiTheme="minorEastAsia" w:hAnsiTheme="minorEastAsia" w:eastAsiaTheme="minorEastAsia"/>
                <w:sz w:val="24"/>
              </w:rPr>
              <w:t>违约事件导致的终止</w:t>
            </w:r>
          </w:p>
        </w:tc>
        <w:tc>
          <w:tcPr>
            <w:tcW w:w="4120" w:type="dxa"/>
            <w:vAlign w:val="center"/>
          </w:tcPr>
          <w:p>
            <w:pPr>
              <w:rPr>
                <w:rFonts w:asciiTheme="minorEastAsia" w:hAnsiTheme="minorEastAsia" w:eastAsiaTheme="minorEastAsia"/>
                <w:sz w:val="24"/>
              </w:rPr>
            </w:pPr>
            <w:r>
              <w:rPr>
                <w:rFonts w:asciiTheme="minorEastAsia" w:hAnsiTheme="minorEastAsia" w:eastAsiaTheme="minorEastAsia"/>
                <w:sz w:val="24"/>
              </w:rPr>
              <w:t>A</w:t>
            </w:r>
            <w:r>
              <w:rPr>
                <w:rFonts w:asciiTheme="minorEastAsia" w:hAnsiTheme="minorEastAsia" w:eastAsiaTheme="minorEastAsia"/>
                <w:sz w:val="24"/>
                <w:vertAlign w:val="subscript"/>
              </w:rPr>
              <w:t>1</w:t>
            </w:r>
            <w:r>
              <w:rPr>
                <w:rFonts w:asciiTheme="minorEastAsia" w:hAnsiTheme="minorEastAsia" w:eastAsiaTheme="minorEastAsia"/>
                <w:sz w:val="24"/>
              </w:rPr>
              <w:t>+B</w:t>
            </w:r>
          </w:p>
        </w:tc>
      </w:tr>
      <w:tr>
        <w:tblPrEx>
          <w:tblCellMar>
            <w:top w:w="0" w:type="dxa"/>
            <w:left w:w="108" w:type="dxa"/>
            <w:bottom w:w="0" w:type="dxa"/>
            <w:right w:w="108" w:type="dxa"/>
          </w:tblCellMar>
        </w:tblPrEx>
        <w:trPr>
          <w:jc w:val="center"/>
        </w:trPr>
        <w:tc>
          <w:tcPr>
            <w:tcW w:w="767" w:type="dxa"/>
            <w:vMerge w:val="restart"/>
            <w:vAlign w:val="center"/>
          </w:tcPr>
          <w:p>
            <w:pPr>
              <w:rPr>
                <w:rFonts w:asciiTheme="minorEastAsia" w:hAnsiTheme="minorEastAsia" w:eastAsiaTheme="minorEastAsia"/>
                <w:sz w:val="24"/>
              </w:rPr>
            </w:pPr>
            <w:r>
              <w:rPr>
                <w:rFonts w:asciiTheme="minorEastAsia" w:hAnsiTheme="minorEastAsia" w:eastAsiaTheme="minorEastAsia"/>
                <w:sz w:val="24"/>
              </w:rPr>
              <w:t>二</w:t>
            </w:r>
          </w:p>
        </w:tc>
        <w:tc>
          <w:tcPr>
            <w:tcW w:w="3635" w:type="dxa"/>
            <w:vMerge w:val="restart"/>
            <w:vAlign w:val="center"/>
          </w:tcPr>
          <w:p>
            <w:pPr>
              <w:rPr>
                <w:rFonts w:asciiTheme="minorEastAsia" w:hAnsiTheme="minorEastAsia" w:eastAsiaTheme="minorEastAsia"/>
                <w:sz w:val="24"/>
              </w:rPr>
            </w:pPr>
            <w:r>
              <w:rPr>
                <w:rFonts w:asciiTheme="minorEastAsia" w:hAnsiTheme="minorEastAsia" w:eastAsiaTheme="minorEastAsia"/>
                <w:sz w:val="24"/>
              </w:rPr>
              <w:t>项目公司违约事件导致的终止</w:t>
            </w:r>
          </w:p>
        </w:tc>
        <w:tc>
          <w:tcPr>
            <w:tcW w:w="4120" w:type="dxa"/>
            <w:vAlign w:val="center"/>
          </w:tcPr>
          <w:p>
            <w:pPr>
              <w:rPr>
                <w:rFonts w:asciiTheme="minorEastAsia" w:hAnsiTheme="minorEastAsia" w:eastAsiaTheme="minorEastAsia"/>
                <w:sz w:val="24"/>
              </w:rPr>
            </w:pPr>
            <w:r>
              <w:rPr>
                <w:rFonts w:asciiTheme="minorEastAsia" w:hAnsiTheme="minorEastAsia" w:eastAsiaTheme="minorEastAsia"/>
                <w:sz w:val="24"/>
              </w:rPr>
              <w:t>建设期：A</w:t>
            </w:r>
            <w:r>
              <w:rPr>
                <w:rFonts w:asciiTheme="minorEastAsia" w:hAnsiTheme="minorEastAsia" w:eastAsiaTheme="minorEastAsia"/>
                <w:sz w:val="24"/>
                <w:vertAlign w:val="subscript"/>
              </w:rPr>
              <w:t>2</w:t>
            </w:r>
            <w:r>
              <w:rPr>
                <w:rFonts w:asciiTheme="minorEastAsia" w:hAnsiTheme="minorEastAsia" w:eastAsiaTheme="minorEastAsia"/>
                <w:sz w:val="24"/>
              </w:rPr>
              <w:t>-B-</w:t>
            </w:r>
            <w:r>
              <w:rPr>
                <w:rFonts w:hint="eastAsia" w:asciiTheme="minorEastAsia" w:hAnsiTheme="minorEastAsia" w:eastAsiaTheme="minorEastAsia"/>
                <w:sz w:val="24"/>
              </w:rPr>
              <w:t>D</w:t>
            </w:r>
          </w:p>
        </w:tc>
      </w:tr>
      <w:tr>
        <w:tblPrEx>
          <w:tblCellMar>
            <w:top w:w="0" w:type="dxa"/>
            <w:left w:w="108" w:type="dxa"/>
            <w:bottom w:w="0" w:type="dxa"/>
            <w:right w:w="108" w:type="dxa"/>
          </w:tblCellMar>
        </w:tblPrEx>
        <w:trPr>
          <w:trHeight w:val="513" w:hRule="atLeast"/>
          <w:jc w:val="center"/>
        </w:trPr>
        <w:tc>
          <w:tcPr>
            <w:tcW w:w="767" w:type="dxa"/>
            <w:vMerge w:val="continue"/>
            <w:vAlign w:val="center"/>
          </w:tcPr>
          <w:p>
            <w:pPr>
              <w:rPr>
                <w:rFonts w:asciiTheme="minorEastAsia" w:hAnsiTheme="minorEastAsia" w:eastAsiaTheme="minorEastAsia"/>
                <w:sz w:val="24"/>
              </w:rPr>
            </w:pPr>
          </w:p>
        </w:tc>
        <w:tc>
          <w:tcPr>
            <w:tcW w:w="3635" w:type="dxa"/>
            <w:vMerge w:val="continue"/>
            <w:vAlign w:val="center"/>
          </w:tcPr>
          <w:p>
            <w:pPr>
              <w:rPr>
                <w:rFonts w:asciiTheme="minorEastAsia" w:hAnsiTheme="minorEastAsia" w:eastAsiaTheme="minorEastAsia"/>
                <w:sz w:val="24"/>
              </w:rPr>
            </w:pPr>
          </w:p>
        </w:tc>
        <w:tc>
          <w:tcPr>
            <w:tcW w:w="4120" w:type="dxa"/>
            <w:vAlign w:val="center"/>
          </w:tcPr>
          <w:p>
            <w:pPr>
              <w:rPr>
                <w:rFonts w:asciiTheme="minorEastAsia" w:hAnsiTheme="minorEastAsia" w:eastAsiaTheme="minorEastAsia"/>
                <w:sz w:val="24"/>
              </w:rPr>
            </w:pPr>
            <w:r>
              <w:rPr>
                <w:rFonts w:asciiTheme="minorEastAsia" w:hAnsiTheme="minorEastAsia" w:eastAsiaTheme="minorEastAsia"/>
                <w:sz w:val="24"/>
              </w:rPr>
              <w:t>运营期：A</w:t>
            </w:r>
            <w:r>
              <w:rPr>
                <w:rFonts w:asciiTheme="minorEastAsia" w:hAnsiTheme="minorEastAsia" w:eastAsiaTheme="minorEastAsia"/>
                <w:sz w:val="24"/>
                <w:vertAlign w:val="subscript"/>
              </w:rPr>
              <w:t>3</w:t>
            </w:r>
            <w:r>
              <w:rPr>
                <w:rFonts w:asciiTheme="minorEastAsia" w:hAnsiTheme="minorEastAsia" w:eastAsiaTheme="minorEastAsia"/>
                <w:sz w:val="24"/>
              </w:rPr>
              <w:t>-B-</w:t>
            </w:r>
            <w:r>
              <w:rPr>
                <w:rFonts w:hint="eastAsia" w:asciiTheme="minorEastAsia" w:hAnsiTheme="minorEastAsia" w:eastAsiaTheme="minorEastAsia"/>
                <w:sz w:val="24"/>
              </w:rPr>
              <w:t>D</w:t>
            </w:r>
          </w:p>
        </w:tc>
      </w:tr>
      <w:tr>
        <w:tblPrEx>
          <w:tblCellMar>
            <w:top w:w="0" w:type="dxa"/>
            <w:left w:w="108" w:type="dxa"/>
            <w:bottom w:w="0" w:type="dxa"/>
            <w:right w:w="108" w:type="dxa"/>
          </w:tblCellMar>
        </w:tblPrEx>
        <w:trPr>
          <w:jc w:val="center"/>
        </w:trPr>
        <w:tc>
          <w:tcPr>
            <w:tcW w:w="767" w:type="dxa"/>
            <w:vAlign w:val="center"/>
          </w:tcPr>
          <w:p>
            <w:pPr>
              <w:rPr>
                <w:rFonts w:asciiTheme="minorEastAsia" w:hAnsiTheme="minorEastAsia" w:eastAsiaTheme="minorEastAsia"/>
                <w:sz w:val="24"/>
              </w:rPr>
            </w:pPr>
            <w:r>
              <w:rPr>
                <w:rFonts w:asciiTheme="minorEastAsia" w:hAnsiTheme="minorEastAsia" w:eastAsiaTheme="minorEastAsia"/>
                <w:sz w:val="24"/>
              </w:rPr>
              <w:t>三</w:t>
            </w:r>
          </w:p>
        </w:tc>
        <w:tc>
          <w:tcPr>
            <w:tcW w:w="3635" w:type="dxa"/>
            <w:vAlign w:val="center"/>
          </w:tcPr>
          <w:p>
            <w:pPr>
              <w:rPr>
                <w:rFonts w:asciiTheme="minorEastAsia" w:hAnsiTheme="minorEastAsia" w:eastAsiaTheme="minorEastAsia"/>
                <w:sz w:val="24"/>
              </w:rPr>
            </w:pPr>
            <w:r>
              <w:rPr>
                <w:rFonts w:asciiTheme="minorEastAsia" w:hAnsiTheme="minorEastAsia" w:eastAsiaTheme="minorEastAsia"/>
                <w:sz w:val="24"/>
              </w:rPr>
              <w:t>法律变更导致的终止</w:t>
            </w:r>
          </w:p>
        </w:tc>
        <w:tc>
          <w:tcPr>
            <w:tcW w:w="4120" w:type="dxa"/>
            <w:vAlign w:val="center"/>
          </w:tcPr>
          <w:p>
            <w:pPr>
              <w:rPr>
                <w:rFonts w:asciiTheme="minorEastAsia" w:hAnsiTheme="minorEastAsia" w:eastAsiaTheme="minorEastAsia"/>
                <w:sz w:val="24"/>
              </w:rPr>
            </w:pPr>
            <w:r>
              <w:rPr>
                <w:rFonts w:asciiTheme="minorEastAsia" w:hAnsiTheme="minorEastAsia" w:eastAsiaTheme="minorEastAsia"/>
                <w:sz w:val="24"/>
              </w:rPr>
              <w:t>A</w:t>
            </w:r>
            <w:r>
              <w:rPr>
                <w:rFonts w:asciiTheme="minorEastAsia" w:hAnsiTheme="minorEastAsia" w:eastAsiaTheme="minorEastAsia"/>
                <w:sz w:val="24"/>
                <w:vertAlign w:val="subscript"/>
              </w:rPr>
              <w:t>1</w:t>
            </w:r>
          </w:p>
        </w:tc>
      </w:tr>
      <w:tr>
        <w:tblPrEx>
          <w:tblCellMar>
            <w:top w:w="0" w:type="dxa"/>
            <w:left w:w="108" w:type="dxa"/>
            <w:bottom w:w="0" w:type="dxa"/>
            <w:right w:w="108" w:type="dxa"/>
          </w:tblCellMar>
        </w:tblPrEx>
        <w:trPr>
          <w:jc w:val="center"/>
        </w:trPr>
        <w:tc>
          <w:tcPr>
            <w:tcW w:w="767" w:type="dxa"/>
            <w:vAlign w:val="center"/>
          </w:tcPr>
          <w:p>
            <w:pPr>
              <w:rPr>
                <w:rFonts w:asciiTheme="minorEastAsia" w:hAnsiTheme="minorEastAsia" w:eastAsiaTheme="minorEastAsia"/>
                <w:sz w:val="24"/>
              </w:rPr>
            </w:pPr>
            <w:r>
              <w:rPr>
                <w:rFonts w:asciiTheme="minorEastAsia" w:hAnsiTheme="minorEastAsia" w:eastAsiaTheme="minorEastAsia"/>
                <w:sz w:val="24"/>
              </w:rPr>
              <w:t>四</w:t>
            </w:r>
          </w:p>
        </w:tc>
        <w:tc>
          <w:tcPr>
            <w:tcW w:w="3635" w:type="dxa"/>
            <w:vAlign w:val="center"/>
          </w:tcPr>
          <w:p>
            <w:pPr>
              <w:rPr>
                <w:rFonts w:asciiTheme="minorEastAsia" w:hAnsiTheme="minorEastAsia" w:eastAsiaTheme="minorEastAsia"/>
                <w:sz w:val="24"/>
              </w:rPr>
            </w:pPr>
            <w:r>
              <w:rPr>
                <w:rFonts w:asciiTheme="minorEastAsia" w:hAnsiTheme="minorEastAsia" w:eastAsiaTheme="minorEastAsia"/>
                <w:sz w:val="24"/>
              </w:rPr>
              <w:t>不可抗力事件导致的终止</w:t>
            </w:r>
          </w:p>
        </w:tc>
        <w:tc>
          <w:tcPr>
            <w:tcW w:w="4120" w:type="dxa"/>
            <w:vAlign w:val="center"/>
          </w:tcPr>
          <w:p>
            <w:pPr>
              <w:rPr>
                <w:rFonts w:asciiTheme="minorEastAsia" w:hAnsiTheme="minorEastAsia" w:eastAsiaTheme="minorEastAsia"/>
                <w:sz w:val="24"/>
              </w:rPr>
            </w:pPr>
            <w:r>
              <w:rPr>
                <w:rFonts w:asciiTheme="minorEastAsia" w:hAnsiTheme="minorEastAsia" w:eastAsiaTheme="minorEastAsia"/>
                <w:sz w:val="24"/>
              </w:rPr>
              <w:t>A</w:t>
            </w:r>
            <w:r>
              <w:rPr>
                <w:rFonts w:asciiTheme="minorEastAsia" w:hAnsiTheme="minorEastAsia" w:eastAsiaTheme="minorEastAsia"/>
                <w:sz w:val="24"/>
                <w:vertAlign w:val="subscript"/>
              </w:rPr>
              <w:t>1-</w:t>
            </w:r>
            <w:r>
              <w:rPr>
                <w:rFonts w:hint="eastAsia" w:asciiTheme="minorEastAsia" w:hAnsiTheme="minorEastAsia" w:eastAsiaTheme="minorEastAsia"/>
                <w:sz w:val="24"/>
              </w:rPr>
              <w:t>C</w:t>
            </w:r>
            <w:r>
              <w:rPr>
                <w:rFonts w:asciiTheme="minorEastAsia" w:hAnsiTheme="minorEastAsia" w:eastAsiaTheme="minorEastAsia"/>
                <w:sz w:val="24"/>
              </w:rPr>
              <w:t>/2</w:t>
            </w:r>
            <w:r>
              <w:rPr>
                <w:rFonts w:hint="eastAsia" w:asciiTheme="minorEastAsia" w:hAnsiTheme="minorEastAsia" w:eastAsiaTheme="minorEastAsia"/>
                <w:sz w:val="24"/>
              </w:rPr>
              <w:t>+E</w:t>
            </w:r>
          </w:p>
        </w:tc>
      </w:tr>
    </w:tbl>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其中：A</w:t>
      </w:r>
      <w:r>
        <w:rPr>
          <w:rFonts w:asciiTheme="minorEastAsia" w:hAnsiTheme="minorEastAsia" w:eastAsiaTheme="minorEastAsia"/>
          <w:sz w:val="24"/>
          <w:vertAlign w:val="subscript"/>
        </w:rPr>
        <w:t>1</w:t>
      </w:r>
      <w:r>
        <w:rPr>
          <w:rFonts w:asciiTheme="minorEastAsia" w:hAnsiTheme="minorEastAsia" w:eastAsiaTheme="minorEastAsia"/>
          <w:sz w:val="24"/>
        </w:rPr>
        <w:t>：社会资本损失金额的评估值（综合考虑社会资本未回收的投资金额、资金占用成本、资产价值、采购/施工/劳动合同等增加的费用等），由双方共同认可的第三方评估机构进行评估；</w:t>
      </w:r>
    </w:p>
    <w:p>
      <w:pPr>
        <w:spacing w:line="360" w:lineRule="auto"/>
        <w:ind w:firstLine="424" w:firstLineChars="177"/>
        <w:rPr>
          <w:rFonts w:asciiTheme="minorEastAsia" w:hAnsiTheme="minorEastAsia" w:eastAsiaTheme="minorEastAsia"/>
          <w:sz w:val="24"/>
        </w:rPr>
      </w:pPr>
      <w:r>
        <w:rPr>
          <w:rFonts w:hint="eastAsia" w:asciiTheme="minorEastAsia" w:hAnsiTheme="minorEastAsia" w:eastAsiaTheme="minorEastAsia"/>
          <w:sz w:val="24"/>
        </w:rPr>
        <w:t>A</w:t>
      </w:r>
      <w:r>
        <w:rPr>
          <w:rFonts w:hint="eastAsia" w:asciiTheme="minorEastAsia" w:hAnsiTheme="minorEastAsia" w:eastAsiaTheme="minorEastAsia"/>
          <w:sz w:val="24"/>
          <w:vertAlign w:val="subscript"/>
        </w:rPr>
        <w:t>1</w:t>
      </w:r>
      <w:r>
        <w:rPr>
          <w:rFonts w:hint="eastAsia" w:asciiTheme="minorEastAsia" w:hAnsiTheme="minorEastAsia" w:eastAsiaTheme="minorEastAsia"/>
          <w:sz w:val="24"/>
        </w:rPr>
        <w:t>包括：（1）项目公司尚未偿还的所有贷款（其中可能包括剩余贷款本金和利息、逾期偿还的利息及罚息、提前还贷的违约金等）；（2）项目公司股东在项目终止之前投资项目的资金总和（需要进行审计）；（3）因项目提前终止所产生的第三方费用或其他费用（例如支付承包商的违约金、雇员的补偿金等）。</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A</w:t>
      </w:r>
      <w:r>
        <w:rPr>
          <w:rFonts w:asciiTheme="minorEastAsia" w:hAnsiTheme="minorEastAsia" w:eastAsiaTheme="minorEastAsia"/>
          <w:sz w:val="24"/>
          <w:vertAlign w:val="subscript"/>
        </w:rPr>
        <w:t>2</w:t>
      </w:r>
      <w:r>
        <w:rPr>
          <w:rFonts w:asciiTheme="minorEastAsia" w:hAnsiTheme="minorEastAsia" w:eastAsiaTheme="minorEastAsia"/>
          <w:sz w:val="24"/>
        </w:rPr>
        <w:t>：社会资本已完成工程建设投资额，以双方共同认可的第三方审计机构审计值为准；</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A</w:t>
      </w:r>
      <w:r>
        <w:rPr>
          <w:rFonts w:asciiTheme="minorEastAsia" w:hAnsiTheme="minorEastAsia" w:eastAsiaTheme="minorEastAsia"/>
          <w:sz w:val="24"/>
          <w:vertAlign w:val="subscript"/>
        </w:rPr>
        <w:t>3</w:t>
      </w:r>
      <w:r>
        <w:rPr>
          <w:rFonts w:asciiTheme="minorEastAsia" w:hAnsiTheme="minorEastAsia" w:eastAsiaTheme="minorEastAsia"/>
          <w:sz w:val="24"/>
        </w:rPr>
        <w:t>：社会资本未收回的投资额，以双方共同认可的第三方审计机构审计值为准；</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B：为违约方应支付的</w:t>
      </w:r>
      <w:r>
        <w:rPr>
          <w:rFonts w:hint="eastAsia" w:asciiTheme="minorEastAsia" w:hAnsiTheme="minorEastAsia" w:eastAsiaTheme="minorEastAsia"/>
          <w:sz w:val="24"/>
        </w:rPr>
        <w:t>违约金，B取值</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w:t>
      </w:r>
    </w:p>
    <w:p>
      <w:pPr>
        <w:spacing w:line="360" w:lineRule="auto"/>
        <w:ind w:firstLine="424" w:firstLineChars="177"/>
        <w:rPr>
          <w:rFonts w:asciiTheme="minorEastAsia" w:hAnsiTheme="minorEastAsia" w:eastAsiaTheme="minorEastAsia"/>
          <w:sz w:val="24"/>
        </w:rPr>
      </w:pPr>
      <w:r>
        <w:rPr>
          <w:rFonts w:hint="eastAsia" w:asciiTheme="minorEastAsia" w:hAnsiTheme="minorEastAsia" w:eastAsiaTheme="minorEastAsia"/>
          <w:sz w:val="24"/>
        </w:rPr>
        <w:t>C</w:t>
      </w:r>
      <w:r>
        <w:rPr>
          <w:rFonts w:asciiTheme="minorEastAsia" w:hAnsiTheme="minorEastAsia" w:eastAsiaTheme="minorEastAsia"/>
          <w:sz w:val="24"/>
        </w:rPr>
        <w:t>：发生不可抗力情形时，项目公司未按照PPP合同进行投保，投保不足的金额；</w:t>
      </w:r>
    </w:p>
    <w:p>
      <w:pPr>
        <w:spacing w:line="360" w:lineRule="auto"/>
        <w:ind w:firstLine="424" w:firstLineChars="177"/>
        <w:rPr>
          <w:rFonts w:asciiTheme="minorEastAsia" w:hAnsiTheme="minorEastAsia" w:eastAsiaTheme="minorEastAsia"/>
          <w:sz w:val="24"/>
        </w:rPr>
      </w:pPr>
      <w:r>
        <w:rPr>
          <w:rFonts w:hint="eastAsia" w:asciiTheme="minorEastAsia" w:hAnsiTheme="minorEastAsia" w:eastAsiaTheme="minorEastAsia"/>
          <w:sz w:val="24"/>
        </w:rPr>
        <w:t>D</w:t>
      </w:r>
      <w:r>
        <w:rPr>
          <w:rFonts w:asciiTheme="minorEastAsia" w:hAnsiTheme="minorEastAsia" w:eastAsiaTheme="minorEastAsia"/>
          <w:sz w:val="24"/>
        </w:rPr>
        <w:t>：实施机构因社会资本/项目公司违约导致的损失金额的评估值，由经双方共同认可的第三方评估机构进行评估；</w:t>
      </w:r>
    </w:p>
    <w:p>
      <w:pPr>
        <w:spacing w:line="360" w:lineRule="auto"/>
        <w:ind w:firstLine="424" w:firstLineChars="177"/>
        <w:rPr>
          <w:rFonts w:asciiTheme="minorEastAsia" w:hAnsiTheme="minorEastAsia" w:eastAsiaTheme="minorEastAsia"/>
          <w:sz w:val="24"/>
        </w:rPr>
      </w:pPr>
      <w:r>
        <w:rPr>
          <w:rFonts w:hint="eastAsia" w:asciiTheme="minorEastAsia" w:hAnsiTheme="minorEastAsia" w:eastAsiaTheme="minorEastAsia"/>
          <w:sz w:val="24"/>
        </w:rPr>
        <w:t>E：不可抗力发生至合同终止时，项目公司虽足额缴纳保险，但仍无渠道得到弥补的损失。</w:t>
      </w:r>
    </w:p>
    <w:p>
      <w:pPr>
        <w:spacing w:line="360" w:lineRule="auto"/>
        <w:ind w:firstLine="371" w:firstLineChars="177"/>
        <w:rPr>
          <w:rFonts w:asciiTheme="minorEastAsia" w:hAnsiTheme="minorEastAsia" w:eastAsiaTheme="minorEastAsia"/>
          <w:szCs w:val="21"/>
        </w:rPr>
      </w:pPr>
      <w:r>
        <w:rPr>
          <w:rFonts w:asciiTheme="minorEastAsia" w:hAnsiTheme="minorEastAsia" w:eastAsiaTheme="minorEastAsia"/>
          <w:szCs w:val="21"/>
        </w:rPr>
        <w:t>特别说明：</w:t>
      </w:r>
    </w:p>
    <w:p>
      <w:pPr>
        <w:spacing w:line="360" w:lineRule="auto"/>
        <w:ind w:firstLine="371" w:firstLineChars="177"/>
        <w:rPr>
          <w:rFonts w:asciiTheme="minorEastAsia" w:hAnsiTheme="minorEastAsia" w:eastAsiaTheme="minorEastAsia"/>
          <w:szCs w:val="21"/>
        </w:rPr>
      </w:pPr>
      <w:r>
        <w:rPr>
          <w:rFonts w:asciiTheme="minorEastAsia" w:hAnsiTheme="minorEastAsia" w:eastAsiaTheme="minorEastAsia"/>
          <w:szCs w:val="21"/>
        </w:rPr>
        <w:t>（1）若因项目公司违约导致协议提前终止，按照对应公式计算终止价款金额即“A2-B-E”以及“A3-B-E”的值为负数时，则项目公司应向实施机构支付本条所述负数的绝对值，项目公司须在三年内按季度等额分次</w:t>
      </w:r>
      <w:r>
        <w:rPr>
          <w:rFonts w:asciiTheme="minorEastAsia" w:hAnsiTheme="minorEastAsia" w:eastAsiaTheme="minorEastAsia"/>
        </w:rPr>
        <w:t>向实施机构支付提前终止价款</w:t>
      </w:r>
      <w:r>
        <w:rPr>
          <w:rFonts w:asciiTheme="minorEastAsia" w:hAnsiTheme="minorEastAsia" w:eastAsiaTheme="minorEastAsia"/>
          <w:szCs w:val="21"/>
        </w:rPr>
        <w:t>，分期支付部分按同期银行贷款利率1.1倍计算利息</w:t>
      </w:r>
      <w:r>
        <w:rPr>
          <w:rFonts w:asciiTheme="minorEastAsia" w:hAnsiTheme="minorEastAsia" w:eastAsiaTheme="minorEastAsia"/>
        </w:rPr>
        <w:t>。</w:t>
      </w:r>
    </w:p>
    <w:p>
      <w:pPr>
        <w:spacing w:line="360" w:lineRule="auto"/>
        <w:ind w:firstLine="371" w:firstLineChars="177"/>
        <w:rPr>
          <w:rFonts w:asciiTheme="minorEastAsia" w:hAnsiTheme="minorEastAsia" w:eastAsiaTheme="minorEastAsia"/>
          <w:szCs w:val="21"/>
        </w:rPr>
      </w:pPr>
      <w:r>
        <w:rPr>
          <w:rFonts w:asciiTheme="minorEastAsia" w:hAnsiTheme="minorEastAsia" w:eastAsiaTheme="minorEastAsia"/>
          <w:szCs w:val="21"/>
        </w:rPr>
        <w:t>（2）合同提前终止，实施机构在三年内按季度等额分次向项目公司支付提前终止价款，分期支付部分按同期银行贷款利率1.1倍计算利息。</w:t>
      </w:r>
    </w:p>
    <w:p>
      <w:pPr>
        <w:spacing w:line="360" w:lineRule="auto"/>
        <w:ind w:firstLine="371" w:firstLineChars="177"/>
        <w:rPr>
          <w:rFonts w:asciiTheme="minorEastAsia" w:hAnsiTheme="minorEastAsia" w:eastAsiaTheme="minorEastAsia"/>
          <w:szCs w:val="21"/>
        </w:rPr>
      </w:pPr>
      <w:r>
        <w:rPr>
          <w:rFonts w:asciiTheme="minorEastAsia" w:hAnsiTheme="minorEastAsia" w:eastAsiaTheme="minorEastAsia"/>
          <w:szCs w:val="21"/>
        </w:rPr>
        <w:t>（3）若因不可抗力事件导致协议提前终止，按照对应公式计算终止价款金额即“A1-C</w:t>
      </w:r>
      <w:r>
        <w:rPr>
          <w:rFonts w:hint="eastAsia" w:asciiTheme="minorEastAsia" w:hAnsiTheme="minorEastAsia" w:eastAsiaTheme="minorEastAsia"/>
          <w:szCs w:val="21"/>
        </w:rPr>
        <w:t>/2</w:t>
      </w:r>
      <w:r>
        <w:rPr>
          <w:rFonts w:asciiTheme="minorEastAsia" w:hAnsiTheme="minorEastAsia" w:eastAsiaTheme="minorEastAsia"/>
          <w:szCs w:val="21"/>
        </w:rPr>
        <w:t>”的值为负数，则项目公司应向实施机构支付本条所述负数的绝对值。</w:t>
      </w:r>
    </w:p>
    <w:p>
      <w:pPr>
        <w:spacing w:line="360" w:lineRule="auto"/>
        <w:ind w:firstLine="371" w:firstLineChars="177"/>
        <w:rPr>
          <w:rFonts w:asciiTheme="minorEastAsia" w:hAnsiTheme="minorEastAsia" w:eastAsiaTheme="minorEastAsia"/>
          <w:szCs w:val="21"/>
        </w:rPr>
      </w:pPr>
      <w:r>
        <w:rPr>
          <w:rFonts w:asciiTheme="minorEastAsia" w:hAnsiTheme="minorEastAsia" w:eastAsiaTheme="minorEastAsia"/>
          <w:szCs w:val="21"/>
        </w:rPr>
        <w:t>（4）若因项目公司违约导致提前终止并按以上公式计付提前终止价款，则实施机构不应再就同一违约事项提取履约保函。</w:t>
      </w:r>
    </w:p>
    <w:p>
      <w:pPr>
        <w:spacing w:line="360" w:lineRule="auto"/>
        <w:ind w:firstLine="371" w:firstLineChars="177"/>
        <w:rPr>
          <w:rFonts w:asciiTheme="minorEastAsia" w:hAnsiTheme="minorEastAsia" w:eastAsiaTheme="minorEastAsia"/>
          <w:sz w:val="24"/>
        </w:rPr>
      </w:pPr>
      <w:r>
        <w:rPr>
          <w:rFonts w:asciiTheme="minorEastAsia" w:hAnsiTheme="minorEastAsia" w:eastAsiaTheme="minorEastAsia"/>
          <w:szCs w:val="21"/>
        </w:rPr>
        <w:t>（5）由于社会资本方原因造成部分分部分项工程无法完成质量验收的工程内容，不算作有效投资。</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24.10继续有效</w:t>
      </w:r>
    </w:p>
    <w:p>
      <w:pPr>
        <w:spacing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本合同第24条终止和终止补偿的约定在合同终止后应仍然有效。</w:t>
      </w:r>
    </w:p>
    <w:p>
      <w:pPr>
        <w:pStyle w:val="3"/>
        <w:spacing w:line="360" w:lineRule="auto"/>
        <w:jc w:val="both"/>
        <w:rPr>
          <w:rFonts w:asciiTheme="minorEastAsia" w:hAnsiTheme="minorEastAsia"/>
        </w:rPr>
      </w:pPr>
      <w:bookmarkStart w:id="494" w:name="_Toc24025"/>
      <w:bookmarkStart w:id="495" w:name="_Toc50993484"/>
      <w:bookmarkStart w:id="496" w:name="_Toc522897570"/>
      <w:r>
        <w:rPr>
          <w:rFonts w:asciiTheme="minorEastAsia" w:hAnsiTheme="minorEastAsia"/>
        </w:rPr>
        <w:t>第25条  合同变更和转让</w:t>
      </w:r>
      <w:bookmarkEnd w:id="494"/>
      <w:bookmarkEnd w:id="495"/>
      <w:bookmarkEnd w:id="496"/>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25.1合同的变更</w:t>
      </w:r>
    </w:p>
    <w:p>
      <w:pPr>
        <w:spacing w:before="80" w:after="80" w:line="360" w:lineRule="auto"/>
        <w:ind w:firstLine="424" w:firstLineChars="177"/>
        <w:rPr>
          <w:rFonts w:asciiTheme="minorEastAsia" w:hAnsiTheme="minorEastAsia" w:eastAsiaTheme="minorEastAsia"/>
          <w:sz w:val="24"/>
        </w:rPr>
      </w:pPr>
      <w:bookmarkStart w:id="497" w:name="_Hlk520298074"/>
      <w:r>
        <w:rPr>
          <w:rFonts w:asciiTheme="minorEastAsia" w:hAnsiTheme="minorEastAsia" w:eastAsiaTheme="minorEastAsia"/>
          <w:sz w:val="24"/>
        </w:rPr>
        <w:t>25.1.1未经双方书面同意，任何一方不得对本合同进行单方修改或变更。</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25.1.2本合同任何修改、补充或变更必须经双方协商一致并签字盖章后方具有法律约束力。如果根据届时有效的适用法律的规定而需要政府有关部门审查批准的，则自政府有关部门审查批准之日起相应变更对甲、乙双方产生约束力。</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25.1.3本合同未尽事宜，由双方另行签署补充协议。双方可根据届时有效的相关法律或法规的规定，对本合同的某一部分进行修改、补充或变更；双方确认的对本合同的有效的修改、补充或变更的书面文件或书面材料，均与本合同具有同等法律效力。如其内容与本合同存在冲突或矛盾的部分，以修改、补充或变更的内容为准。</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25.1.4合作期内，如果本合同的任何条款不合法、无效或不能执行，则</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(1)并不影响其他条款的效力和执行；</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(2)双方应商定对不合法、无效或不能执行的条款进行修改，使之合法、有效、合理并可执行。</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25.2合同的转让</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25.2.1甲方的转让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（1）甲方可将本合同</w:t>
      </w:r>
      <w:bookmarkStart w:id="498" w:name="_Hlk5612455"/>
      <w:r>
        <w:rPr>
          <w:rFonts w:asciiTheme="minorEastAsia" w:hAnsiTheme="minorEastAsia" w:eastAsiaTheme="minorEastAsia"/>
          <w:sz w:val="24"/>
        </w:rPr>
        <w:t>或与本项目有关的其他协议项</w:t>
      </w:r>
      <w:bookmarkEnd w:id="498"/>
      <w:r>
        <w:rPr>
          <w:rFonts w:asciiTheme="minorEastAsia" w:hAnsiTheme="minorEastAsia" w:eastAsiaTheme="minorEastAsia"/>
          <w:sz w:val="24"/>
        </w:rPr>
        <w:t>下的全部或部分权利或义务转让给本级人民政府指定的政府机构或部门，但受让合同的政府机构或部门应当具备：</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a．</w:t>
      </w:r>
      <w:r>
        <w:rPr>
          <w:rFonts w:asciiTheme="minorEastAsia" w:hAnsiTheme="minorEastAsia" w:eastAsiaTheme="minorEastAsia"/>
          <w:sz w:val="24"/>
        </w:rPr>
        <w:tab/>
      </w:r>
      <w:r>
        <w:rPr>
          <w:rFonts w:asciiTheme="minorEastAsia" w:hAnsiTheme="minorEastAsia" w:eastAsiaTheme="minorEastAsia"/>
          <w:sz w:val="24"/>
        </w:rPr>
        <w:t>具有承担甲方在本合同</w:t>
      </w:r>
      <w:bookmarkStart w:id="499" w:name="_Hlk5612462"/>
      <w:r>
        <w:rPr>
          <w:rFonts w:asciiTheme="minorEastAsia" w:hAnsiTheme="minorEastAsia" w:eastAsiaTheme="minorEastAsia"/>
          <w:sz w:val="24"/>
        </w:rPr>
        <w:t>及其他相关协议</w:t>
      </w:r>
      <w:bookmarkEnd w:id="499"/>
      <w:r>
        <w:rPr>
          <w:rFonts w:asciiTheme="minorEastAsia" w:hAnsiTheme="minorEastAsia" w:eastAsiaTheme="minorEastAsia"/>
          <w:sz w:val="24"/>
        </w:rPr>
        <w:t>项下所承担的所有权利、义务和责任的能力和授权；以及</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b．</w:t>
      </w:r>
      <w:r>
        <w:rPr>
          <w:rFonts w:asciiTheme="minorEastAsia" w:hAnsiTheme="minorEastAsia" w:eastAsiaTheme="minorEastAsia"/>
          <w:sz w:val="24"/>
        </w:rPr>
        <w:tab/>
      </w:r>
      <w:r>
        <w:rPr>
          <w:rFonts w:asciiTheme="minorEastAsia" w:hAnsiTheme="minorEastAsia" w:eastAsiaTheme="minorEastAsia"/>
          <w:sz w:val="24"/>
        </w:rPr>
        <w:t>承继并继续履行甲方在本合同</w:t>
      </w:r>
      <w:bookmarkStart w:id="500" w:name="_Hlk5612470"/>
      <w:r>
        <w:rPr>
          <w:rFonts w:asciiTheme="minorEastAsia" w:hAnsiTheme="minorEastAsia" w:eastAsiaTheme="minorEastAsia"/>
          <w:sz w:val="24"/>
        </w:rPr>
        <w:t>及其他相关协议</w:t>
      </w:r>
      <w:bookmarkEnd w:id="500"/>
      <w:r>
        <w:rPr>
          <w:rFonts w:asciiTheme="minorEastAsia" w:hAnsiTheme="minorEastAsia" w:eastAsiaTheme="minorEastAsia"/>
          <w:sz w:val="24"/>
        </w:rPr>
        <w:t>项下的义务。</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（2）除第25.2.1款第（1）项甲方的转让外，未经乙方事先书面同意，甲方不得转让其在本合同</w:t>
      </w:r>
      <w:bookmarkStart w:id="501" w:name="_Hlk5612484"/>
      <w:r>
        <w:rPr>
          <w:rFonts w:asciiTheme="minorEastAsia" w:hAnsiTheme="minorEastAsia" w:eastAsiaTheme="minorEastAsia"/>
          <w:sz w:val="24"/>
        </w:rPr>
        <w:t>或与本项目有关的其他协议</w:t>
      </w:r>
      <w:bookmarkEnd w:id="501"/>
      <w:r>
        <w:rPr>
          <w:rFonts w:asciiTheme="minorEastAsia" w:hAnsiTheme="minorEastAsia" w:eastAsiaTheme="minorEastAsia"/>
          <w:sz w:val="24"/>
        </w:rPr>
        <w:t>项下全部或部分的权利或义务。</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25.2.2乙方的转让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未经甲方事先书面同意，乙方不得就其在本合同或与本项目有关的其他协议项下的全部或部分权利或义务进行转让。经甲方书面同意情形下，受让方应当具备：</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a．</w:t>
      </w:r>
      <w:r>
        <w:rPr>
          <w:rFonts w:asciiTheme="minorEastAsia" w:hAnsiTheme="minorEastAsia" w:eastAsiaTheme="minorEastAsia"/>
          <w:sz w:val="24"/>
        </w:rPr>
        <w:tab/>
      </w:r>
      <w:r>
        <w:rPr>
          <w:rFonts w:asciiTheme="minorEastAsia" w:hAnsiTheme="minorEastAsia" w:eastAsiaTheme="minorEastAsia"/>
          <w:sz w:val="24"/>
        </w:rPr>
        <w:t>具有承担乙方在本合同</w:t>
      </w:r>
      <w:bookmarkStart w:id="502" w:name="_Hlk5612507"/>
      <w:r>
        <w:rPr>
          <w:rFonts w:asciiTheme="minorEastAsia" w:hAnsiTheme="minorEastAsia" w:eastAsiaTheme="minorEastAsia"/>
          <w:sz w:val="24"/>
        </w:rPr>
        <w:t>及其他相关协议项下</w:t>
      </w:r>
      <w:bookmarkEnd w:id="502"/>
      <w:r>
        <w:rPr>
          <w:rFonts w:asciiTheme="minorEastAsia" w:hAnsiTheme="minorEastAsia" w:eastAsiaTheme="minorEastAsia"/>
          <w:sz w:val="24"/>
        </w:rPr>
        <w:t>所承担的所有权利、义务和责任的能力和授权；以及</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b．</w:t>
      </w:r>
      <w:r>
        <w:rPr>
          <w:rFonts w:asciiTheme="minorEastAsia" w:hAnsiTheme="minorEastAsia" w:eastAsiaTheme="minorEastAsia"/>
          <w:sz w:val="24"/>
        </w:rPr>
        <w:tab/>
      </w:r>
      <w:r>
        <w:rPr>
          <w:rFonts w:asciiTheme="minorEastAsia" w:hAnsiTheme="minorEastAsia" w:eastAsiaTheme="minorEastAsia"/>
          <w:sz w:val="24"/>
        </w:rPr>
        <w:t>承继并继续履行乙方</w:t>
      </w:r>
      <w:bookmarkStart w:id="503" w:name="_Hlk5612519"/>
      <w:r>
        <w:rPr>
          <w:rFonts w:asciiTheme="minorEastAsia" w:hAnsiTheme="minorEastAsia" w:eastAsiaTheme="minorEastAsia"/>
          <w:sz w:val="24"/>
        </w:rPr>
        <w:t>在本合同及其他相关协议项下</w:t>
      </w:r>
      <w:bookmarkEnd w:id="503"/>
      <w:r>
        <w:rPr>
          <w:rFonts w:asciiTheme="minorEastAsia" w:hAnsiTheme="minorEastAsia" w:eastAsiaTheme="minorEastAsia"/>
          <w:sz w:val="24"/>
        </w:rPr>
        <w:t>的义务。</w:t>
      </w:r>
    </w:p>
    <w:bookmarkEnd w:id="497"/>
    <w:p>
      <w:pPr>
        <w:pStyle w:val="3"/>
        <w:spacing w:line="360" w:lineRule="auto"/>
        <w:jc w:val="both"/>
        <w:rPr>
          <w:rFonts w:asciiTheme="minorEastAsia" w:hAnsiTheme="minorEastAsia"/>
        </w:rPr>
      </w:pPr>
      <w:bookmarkStart w:id="504" w:name="_Toc50993485"/>
      <w:bookmarkStart w:id="505" w:name="_Toc522897571"/>
      <w:bookmarkStart w:id="506" w:name="_Toc16630"/>
      <w:r>
        <w:rPr>
          <w:rFonts w:asciiTheme="minorEastAsia" w:hAnsiTheme="minorEastAsia"/>
        </w:rPr>
        <w:t>第26条  争议解决</w:t>
      </w:r>
      <w:bookmarkEnd w:id="504"/>
      <w:bookmarkEnd w:id="505"/>
      <w:bookmarkEnd w:id="506"/>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26.1项目协调委员会</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26.1.1</w:t>
      </w:r>
      <w:bookmarkStart w:id="507" w:name="_Hlk520298155"/>
      <w:r>
        <w:rPr>
          <w:rFonts w:asciiTheme="minorEastAsia" w:hAnsiTheme="minorEastAsia" w:eastAsiaTheme="minorEastAsia"/>
          <w:sz w:val="24"/>
        </w:rPr>
        <w:t>自本合同生效日后</w:t>
      </w:r>
      <w:r>
        <w:rPr>
          <w:rFonts w:asciiTheme="minorEastAsia" w:hAnsiTheme="minorEastAsia" w:eastAsiaTheme="minorEastAsia"/>
          <w:b/>
          <w:sz w:val="24"/>
          <w:u w:val="single"/>
        </w:rPr>
        <w:t xml:space="preserve"> 30 </w:t>
      </w:r>
      <w:r>
        <w:rPr>
          <w:rFonts w:asciiTheme="minorEastAsia" w:hAnsiTheme="minorEastAsia" w:eastAsiaTheme="minorEastAsia"/>
          <w:sz w:val="24"/>
        </w:rPr>
        <w:t>日内，双方应成立由</w:t>
      </w:r>
      <w:r>
        <w:rPr>
          <w:rFonts w:asciiTheme="minorEastAsia" w:hAnsiTheme="minorEastAsia" w:eastAsiaTheme="minorEastAsia"/>
          <w:b/>
          <w:sz w:val="24"/>
          <w:u w:val="single"/>
        </w:rPr>
        <w:t xml:space="preserve"> 3 </w:t>
      </w:r>
      <w:r>
        <w:rPr>
          <w:rFonts w:asciiTheme="minorEastAsia" w:hAnsiTheme="minorEastAsia" w:eastAsiaTheme="minorEastAsia"/>
          <w:sz w:val="24"/>
        </w:rPr>
        <w:t>名乙方代表、</w:t>
      </w:r>
      <w:r>
        <w:rPr>
          <w:rFonts w:asciiTheme="minorEastAsia" w:hAnsiTheme="minorEastAsia" w:eastAsiaTheme="minorEastAsia"/>
          <w:b/>
          <w:sz w:val="24"/>
          <w:u w:val="single"/>
        </w:rPr>
        <w:t xml:space="preserve"> 3 </w:t>
      </w:r>
      <w:r>
        <w:rPr>
          <w:rFonts w:asciiTheme="minorEastAsia" w:hAnsiTheme="minorEastAsia" w:eastAsiaTheme="minorEastAsia"/>
          <w:sz w:val="24"/>
        </w:rPr>
        <w:t>名甲方代表、双方共同推荐的其他代表</w:t>
      </w:r>
      <w:r>
        <w:rPr>
          <w:rFonts w:asciiTheme="minorEastAsia" w:hAnsiTheme="minorEastAsia" w:eastAsiaTheme="minorEastAsia"/>
          <w:b/>
          <w:sz w:val="24"/>
          <w:u w:val="single"/>
        </w:rPr>
        <w:t xml:space="preserve"> 1 </w:t>
      </w:r>
      <w:r>
        <w:rPr>
          <w:rFonts w:asciiTheme="minorEastAsia" w:hAnsiTheme="minorEastAsia" w:eastAsiaTheme="minorEastAsia"/>
          <w:sz w:val="24"/>
        </w:rPr>
        <w:t>名（若有）组成的项目协调委员会。任何一方均可在通知另一方后更换其指派的项目协调委员会成员代表。该委员会的所有决定均应得到委员会全体成员的一致通过。</w:t>
      </w:r>
      <w:bookmarkEnd w:id="507"/>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26.1.2协调事项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项目协调委员会应负责按照第26.1.3款约定解决本合同或与本合同有关的争议。协调事项包括但不限于：</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a．协调双方在项目设施的建设及运营方面的计划和程序；</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b．在发生不可抗力影响项目运营时讨论应采取的步骤；</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c．影响项目设施安全的事项；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d．为解决本合同项下的争议任命相关专家和专家小组；</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e．其他双方同意的事项。</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26.1.3协商</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因解释或履行本合同过程中产生的任何争议由项目协调委员会进行协商解决。项目协调委员会的一致决议对双方均有约束力。如项目协调委员会在争议发生之日起</w:t>
      </w:r>
      <w:r>
        <w:rPr>
          <w:rFonts w:asciiTheme="minorEastAsia" w:hAnsiTheme="minorEastAsia" w:eastAsiaTheme="minorEastAsia"/>
          <w:b/>
          <w:sz w:val="24"/>
          <w:u w:val="single"/>
        </w:rPr>
        <w:t xml:space="preserve"> 20 </w:t>
      </w:r>
      <w:r>
        <w:rPr>
          <w:rFonts w:asciiTheme="minorEastAsia" w:hAnsiTheme="minorEastAsia" w:eastAsiaTheme="minorEastAsia"/>
          <w:sz w:val="24"/>
        </w:rPr>
        <w:t>日内无法协商解决，则应适用第26.2款的约定。</w:t>
      </w:r>
    </w:p>
    <w:p>
      <w:pPr>
        <w:spacing w:before="80" w:after="80" w:line="360" w:lineRule="auto"/>
        <w:ind w:firstLine="479" w:firstLineChars="199"/>
        <w:outlineLvl w:val="2"/>
        <w:rPr>
          <w:rFonts w:asciiTheme="minorEastAsia" w:hAnsiTheme="minorEastAsia" w:eastAsiaTheme="minorEastAsia"/>
          <w:b/>
          <w:sz w:val="24"/>
        </w:rPr>
      </w:pPr>
      <w:bookmarkStart w:id="508" w:name="_Hlk520298225"/>
      <w:r>
        <w:rPr>
          <w:rFonts w:asciiTheme="minorEastAsia" w:hAnsiTheme="minorEastAsia" w:eastAsiaTheme="minorEastAsia"/>
          <w:b/>
          <w:sz w:val="24"/>
        </w:rPr>
        <w:t>26.2仲裁/诉讼</w:t>
      </w:r>
    </w:p>
    <w:p>
      <w:pPr>
        <w:spacing w:before="80" w:after="80" w:line="360" w:lineRule="auto"/>
        <w:ind w:left="1" w:firstLine="424" w:firstLineChars="177"/>
        <w:rPr>
          <w:rFonts w:asciiTheme="minorEastAsia" w:hAnsiTheme="minorEastAsia" w:eastAsiaTheme="minorEastAsia"/>
          <w:sz w:val="24"/>
        </w:rPr>
      </w:pPr>
      <w:r>
        <w:rPr>
          <w:rFonts w:asciiTheme="minorEastAsia" w:hAnsiTheme="minorEastAsia" w:eastAsiaTheme="minorEastAsia"/>
          <w:sz w:val="24"/>
        </w:rPr>
        <w:t>如果争议未能根据第26.1款解决的，双方应采取以下第</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1</w:t>
      </w:r>
      <w:r>
        <w:rPr>
          <w:rFonts w:asciiTheme="minorEastAsia" w:hAnsiTheme="minorEastAsia" w:eastAsiaTheme="minorEastAsia"/>
          <w:b/>
          <w:sz w:val="24"/>
          <w:u w:val="single"/>
        </w:rPr>
        <w:t xml:space="preserve">） </w:t>
      </w:r>
      <w:r>
        <w:rPr>
          <w:rFonts w:asciiTheme="minorEastAsia" w:hAnsiTheme="minorEastAsia" w:eastAsiaTheme="minorEastAsia"/>
          <w:sz w:val="24"/>
        </w:rPr>
        <w:t>种争议解决方式：</w:t>
      </w:r>
    </w:p>
    <w:p>
      <w:pPr>
        <w:spacing w:before="80" w:after="80" w:line="360" w:lineRule="auto"/>
        <w:ind w:left="664" w:leftChars="202" w:hanging="240" w:hangingChars="100"/>
        <w:rPr>
          <w:rFonts w:asciiTheme="minorEastAsia" w:hAnsiTheme="minorEastAsia" w:eastAsiaTheme="minorEastAsia"/>
          <w:sz w:val="24"/>
        </w:rPr>
      </w:pPr>
      <w:r>
        <w:rPr>
          <w:rFonts w:asciiTheme="minorEastAsia" w:hAnsiTheme="minorEastAsia" w:eastAsiaTheme="minorEastAsia"/>
          <w:sz w:val="24"/>
        </w:rPr>
        <w:t>（1）提交</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项目所在地 </w:t>
      </w:r>
      <w:r>
        <w:rPr>
          <w:rFonts w:asciiTheme="minorEastAsia" w:hAnsiTheme="minorEastAsia" w:eastAsiaTheme="minorEastAsia"/>
          <w:sz w:val="24"/>
        </w:rPr>
        <w:t>仲裁委员会申请仲裁；</w:t>
      </w:r>
    </w:p>
    <w:p>
      <w:pPr>
        <w:spacing w:before="80" w:after="80" w:line="360" w:lineRule="auto"/>
        <w:ind w:left="664" w:leftChars="202" w:hanging="240" w:hangingChars="100"/>
        <w:rPr>
          <w:rFonts w:asciiTheme="minorEastAsia" w:hAnsiTheme="minorEastAsia" w:eastAsiaTheme="minorEastAsia"/>
          <w:sz w:val="24"/>
        </w:rPr>
      </w:pPr>
      <w:r>
        <w:rPr>
          <w:rFonts w:asciiTheme="minorEastAsia" w:hAnsiTheme="minorEastAsia" w:eastAsiaTheme="minorEastAsia"/>
          <w:sz w:val="24"/>
        </w:rPr>
        <w:t xml:space="preserve">（2）向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项目所在地的</w:t>
      </w:r>
      <w:r>
        <w:rPr>
          <w:rFonts w:asciiTheme="minorEastAsia" w:hAnsiTheme="minorEastAsia" w:eastAsiaTheme="minorEastAsia"/>
          <w:sz w:val="24"/>
        </w:rPr>
        <w:t>人民法院提起诉讼。</w:t>
      </w:r>
    </w:p>
    <w:bookmarkEnd w:id="508"/>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26.3争议解决期间的继续履行</w:t>
      </w:r>
    </w:p>
    <w:p>
      <w:pPr>
        <w:spacing w:before="80" w:after="80" w:line="360" w:lineRule="auto"/>
        <w:ind w:firstLine="424" w:firstLineChars="177"/>
        <w:rPr>
          <w:rFonts w:asciiTheme="minorEastAsia" w:hAnsiTheme="minorEastAsia" w:eastAsiaTheme="minorEastAsia"/>
          <w:sz w:val="24"/>
        </w:rPr>
      </w:pPr>
      <w:bookmarkStart w:id="509" w:name="_Hlk520298267"/>
      <w:r>
        <w:rPr>
          <w:rFonts w:asciiTheme="minorEastAsia" w:hAnsiTheme="minorEastAsia" w:eastAsiaTheme="minorEastAsia"/>
          <w:sz w:val="24"/>
        </w:rPr>
        <w:t>在争议提交项目协调委员会或者仲裁、诉讼期间，各方应继续履行其在本合同项下的各项义务并继续享有其在本合同项下的所有权利，且不影响以后根据项目协调委员会做出的决定、仲裁委员会做出的裁决或法院做出的生效判决进行最终调整。</w:t>
      </w:r>
    </w:p>
    <w:bookmarkEnd w:id="509"/>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26.4继续有效</w:t>
      </w:r>
    </w:p>
    <w:p>
      <w:pPr>
        <w:spacing w:before="80" w:after="80" w:line="360" w:lineRule="auto"/>
        <w:ind w:firstLine="424" w:firstLineChars="177"/>
        <w:rPr>
          <w:rFonts w:asciiTheme="minorEastAsia" w:hAnsiTheme="minorEastAsia" w:eastAsiaTheme="minorEastAsia"/>
          <w:sz w:val="24"/>
        </w:rPr>
      </w:pPr>
      <w:bookmarkStart w:id="510" w:name="_Hlk520298283"/>
      <w:r>
        <w:rPr>
          <w:rFonts w:asciiTheme="minorEastAsia" w:hAnsiTheme="minorEastAsia" w:eastAsiaTheme="minorEastAsia"/>
          <w:sz w:val="24"/>
        </w:rPr>
        <w:t>本合同第26条的约定，在本合同终止后继续有效。</w:t>
      </w:r>
    </w:p>
    <w:bookmarkEnd w:id="510"/>
    <w:p>
      <w:pPr>
        <w:pStyle w:val="3"/>
        <w:spacing w:line="360" w:lineRule="auto"/>
        <w:jc w:val="both"/>
        <w:rPr>
          <w:rFonts w:asciiTheme="minorEastAsia" w:hAnsiTheme="minorEastAsia"/>
        </w:rPr>
      </w:pPr>
      <w:bookmarkStart w:id="511" w:name="_Toc522897572"/>
      <w:bookmarkStart w:id="512" w:name="_Toc50993486"/>
      <w:bookmarkStart w:id="513" w:name="_Toc26872"/>
      <w:r>
        <w:rPr>
          <w:rFonts w:asciiTheme="minorEastAsia" w:hAnsiTheme="minorEastAsia"/>
        </w:rPr>
        <w:t>第27条  其他约定</w:t>
      </w:r>
      <w:bookmarkEnd w:id="511"/>
      <w:bookmarkEnd w:id="512"/>
      <w:bookmarkEnd w:id="513"/>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27.1文件权利及保密</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27.1.1对文件的权利</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（1）甲方的文件</w:t>
      </w:r>
    </w:p>
    <w:p>
      <w:pPr>
        <w:spacing w:before="80" w:after="80" w:line="360" w:lineRule="auto"/>
        <w:ind w:firstLine="424" w:firstLineChars="177"/>
        <w:rPr>
          <w:rFonts w:asciiTheme="minorEastAsia" w:hAnsiTheme="minorEastAsia" w:eastAsiaTheme="minorEastAsia"/>
          <w:sz w:val="24"/>
        </w:rPr>
      </w:pPr>
      <w:bookmarkStart w:id="514" w:name="_Hlk520298314"/>
      <w:r>
        <w:rPr>
          <w:rFonts w:asciiTheme="minorEastAsia" w:hAnsiTheme="minorEastAsia" w:eastAsiaTheme="minorEastAsia"/>
          <w:sz w:val="24"/>
        </w:rPr>
        <w:t>由甲方向乙方提供的文件和计算机程序及其他一切文件，或者主要在这些文件和计算机程序的基础上制作的文件和程序，应属于甲方的财产。这一规定适用于上述文件和计算机的程序的所有复制件。这些文件、计算机程序或其复制件只能由乙方用于本项目之目的。除非甲方和乙方另有约定，否则这类文件、计算机程序或其复制件应在项目合作期结束之际移交给甲方。</w:t>
      </w:r>
    </w:p>
    <w:bookmarkEnd w:id="514"/>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（2）乙方的文件</w:t>
      </w:r>
    </w:p>
    <w:p>
      <w:pPr>
        <w:spacing w:before="80" w:after="80" w:line="360" w:lineRule="auto"/>
        <w:ind w:firstLine="424" w:firstLineChars="177"/>
        <w:rPr>
          <w:rFonts w:asciiTheme="minorEastAsia" w:hAnsiTheme="minorEastAsia" w:eastAsiaTheme="minorEastAsia"/>
          <w:sz w:val="24"/>
        </w:rPr>
      </w:pPr>
      <w:bookmarkStart w:id="515" w:name="_Hlk520298324"/>
      <w:r>
        <w:rPr>
          <w:rFonts w:asciiTheme="minorEastAsia" w:hAnsiTheme="minorEastAsia" w:eastAsiaTheme="minorEastAsia"/>
          <w:sz w:val="24"/>
        </w:rPr>
        <w:t>由乙方向甲方提供的文件和计算机程序及其他文件，应属于乙方的财产。这些文件、计算机程序或其复制件只能由甲方用于本项目之目的。除非甲方和乙方另有约定，否则这类文件、计算机程序或其复制件应在项目合作期结束之际移交给乙方。</w:t>
      </w:r>
    </w:p>
    <w:bookmarkEnd w:id="515"/>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（3）遵守规定</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双方应确保各自接触到这些文件、计算机程序及其复制件的有关人员遵守本条款对文件的权利和保密的约定。</w:t>
      </w:r>
    </w:p>
    <w:p>
      <w:pPr>
        <w:spacing w:before="80" w:after="80" w:line="360" w:lineRule="auto"/>
        <w:ind w:firstLine="482" w:firstLineChars="200"/>
        <w:outlineLvl w:val="3"/>
        <w:rPr>
          <w:rFonts w:asciiTheme="minorEastAsia" w:hAnsiTheme="minorEastAsia" w:eastAsiaTheme="minorEastAsia"/>
          <w:b/>
          <w:sz w:val="24"/>
        </w:rPr>
      </w:pPr>
      <w:r>
        <w:rPr>
          <w:rFonts w:asciiTheme="minorEastAsia" w:hAnsiTheme="minorEastAsia" w:eastAsiaTheme="minorEastAsia"/>
          <w:b/>
          <w:sz w:val="24"/>
        </w:rPr>
        <w:t>27.1.2保密</w:t>
      </w:r>
    </w:p>
    <w:p>
      <w:pPr>
        <w:spacing w:before="80" w:after="80" w:line="360" w:lineRule="auto"/>
        <w:ind w:firstLine="424" w:firstLineChars="177"/>
        <w:rPr>
          <w:rFonts w:asciiTheme="minorEastAsia" w:hAnsiTheme="minorEastAsia" w:eastAsiaTheme="minorEastAsia"/>
          <w:sz w:val="24"/>
        </w:rPr>
      </w:pPr>
      <w:bookmarkStart w:id="516" w:name="_Hlk520298345"/>
      <w:r>
        <w:rPr>
          <w:rFonts w:asciiTheme="minorEastAsia" w:hAnsiTheme="minorEastAsia" w:eastAsiaTheme="minorEastAsia"/>
          <w:sz w:val="24"/>
        </w:rPr>
        <w:t>任何一方或其员工、承包商、供应商、顾问获得的所有项目相关的材料和文件（不论是财务、技术或其他方面），未经另一方书面同意，在项目合作期内及合作期结束后的</w:t>
      </w:r>
      <w:r>
        <w:rPr>
          <w:rFonts w:asciiTheme="minorEastAsia" w:hAnsiTheme="minorEastAsia" w:eastAsiaTheme="minorEastAsia"/>
          <w:b/>
          <w:sz w:val="24"/>
          <w:u w:val="single"/>
        </w:rPr>
        <w:t xml:space="preserve"> 5 </w:t>
      </w:r>
      <w:r>
        <w:rPr>
          <w:rFonts w:asciiTheme="minorEastAsia" w:hAnsiTheme="minorEastAsia" w:eastAsiaTheme="minorEastAsia"/>
          <w:sz w:val="24"/>
        </w:rPr>
        <w:t>年内不得向第三方透露或公开，但下列情形除外：</w:t>
      </w:r>
    </w:p>
    <w:bookmarkEnd w:id="516"/>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（1）在签署本合同同时或之前，一方已经通过合法渠道获取的有关信息；</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（2）在一方披露之前，已经公开或能够从公开领域获取的有关信息；</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（3）一方事先取得另一方同意或经另一方授权而公开的信息；</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（4）为本项目实施需要，甲方向相关政府部门或监管主体或顾问机构等提供的相关文件和信息；</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（5）为本项目实施需要，乙方向金融机构进行融资时提供的相关文件和信息；</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（6）根据适用法律及相关监管要求必须披露的文件或信息。</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27.2日常事务代表</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27.2.1</w:t>
      </w:r>
      <w:bookmarkStart w:id="517" w:name="_Hlk520298402"/>
      <w:r>
        <w:rPr>
          <w:rFonts w:asciiTheme="minorEastAsia" w:hAnsiTheme="minorEastAsia" w:eastAsiaTheme="minorEastAsia"/>
          <w:sz w:val="24"/>
        </w:rPr>
        <w:t>在合作期内，双方应各自指派一名日常事务代表，代表各方与对方进行日常事务的联系和沟通。</w:t>
      </w:r>
      <w:bookmarkEnd w:id="517"/>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27.2.2各方应将自己的日常事务代表书面通知对方，若需变更，则应提前</w:t>
      </w:r>
    </w:p>
    <w:p>
      <w:pPr>
        <w:spacing w:before="80" w:after="80" w:line="360" w:lineRule="auto"/>
        <w:rPr>
          <w:rFonts w:asciiTheme="minorEastAsia" w:hAnsiTheme="minorEastAsia" w:eastAsiaTheme="minorEastAsia"/>
          <w:sz w:val="24"/>
        </w:rPr>
      </w:pPr>
      <w:r>
        <w:rPr>
          <w:rFonts w:asciiTheme="minorEastAsia" w:hAnsiTheme="minorEastAsia" w:eastAsiaTheme="minorEastAsia"/>
          <w:sz w:val="24"/>
          <w:u w:val="single"/>
        </w:rPr>
        <w:t xml:space="preserve"> 7 </w:t>
      </w:r>
      <w:r>
        <w:rPr>
          <w:rFonts w:asciiTheme="minorEastAsia" w:hAnsiTheme="minorEastAsia" w:eastAsiaTheme="minorEastAsia"/>
          <w:sz w:val="24"/>
        </w:rPr>
        <w:t>日将继任人书面通知对方，否则视为未变更。</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27.3通知</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27.3.1本合同项下的通知应以中文书写，并通过特快专递、邮寄或电子邮件等方式按下列地址送至或发至各方：</w:t>
      </w:r>
    </w:p>
    <w:p>
      <w:pPr>
        <w:spacing w:before="80" w:after="80" w:line="360" w:lineRule="auto"/>
        <w:ind w:firstLine="426" w:firstLineChars="177"/>
        <w:rPr>
          <w:rFonts w:asciiTheme="minorEastAsia" w:hAnsiTheme="minorEastAsia" w:eastAsiaTheme="minorEastAsia"/>
          <w:b/>
          <w:sz w:val="24"/>
        </w:rPr>
      </w:pPr>
      <w:r>
        <w:rPr>
          <w:rFonts w:asciiTheme="minorEastAsia" w:hAnsiTheme="minorEastAsia" w:eastAsiaTheme="minorEastAsia"/>
          <w:b/>
          <w:sz w:val="24"/>
        </w:rPr>
        <w:t>甲方：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地址：</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 xml:space="preserve">邮编： </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 xml:space="preserve">收件人： </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电子邮箱：</w:t>
      </w:r>
    </w:p>
    <w:p>
      <w:pPr>
        <w:spacing w:before="80" w:after="80" w:line="360" w:lineRule="auto"/>
        <w:ind w:firstLine="426" w:firstLineChars="177"/>
        <w:rPr>
          <w:rFonts w:asciiTheme="minorEastAsia" w:hAnsiTheme="minorEastAsia" w:eastAsiaTheme="minorEastAsia"/>
          <w:b/>
          <w:sz w:val="24"/>
        </w:rPr>
      </w:pPr>
      <w:r>
        <w:rPr>
          <w:rFonts w:asciiTheme="minorEastAsia" w:hAnsiTheme="minorEastAsia" w:eastAsiaTheme="minorEastAsia"/>
          <w:b/>
          <w:sz w:val="24"/>
        </w:rPr>
        <w:t>乙方：</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地址：</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 xml:space="preserve">邮编： </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 xml:space="preserve">收件人： </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电子邮箱：</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27.3.2下列情况应视为已送达：</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（1）若采用专人提交或邮寄方式（挂号、要求回执），在寄送至上述地址时；</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（2）如采用电子邮件形式，在准确发送至上述电子邮箱即为送达；</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27.3.3如果一方的地址或收件人或电子邮箱更改时，应在新地址或新收件人或新电子邮箱启用</w:t>
      </w:r>
      <w:r>
        <w:rPr>
          <w:rFonts w:asciiTheme="minorEastAsia" w:hAnsiTheme="minorEastAsia" w:eastAsiaTheme="minorEastAsia"/>
          <w:b/>
          <w:sz w:val="24"/>
          <w:u w:val="single"/>
        </w:rPr>
        <w:t xml:space="preserve"> 5 </w:t>
      </w:r>
      <w:r>
        <w:rPr>
          <w:rFonts w:asciiTheme="minorEastAsia" w:hAnsiTheme="minorEastAsia" w:eastAsiaTheme="minorEastAsia"/>
          <w:sz w:val="24"/>
        </w:rPr>
        <w:t>日前以上述通知方式通知另一方，否则应仍以原地址、原收件人和原电子邮箱为准。</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27.4适用法律</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本合同适用中国法律。</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27.5协议文字</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本合同一式</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 xml:space="preserve">  </w:t>
      </w:r>
      <w:r>
        <w:rPr>
          <w:rFonts w:asciiTheme="minorEastAsia" w:hAnsiTheme="minorEastAsia" w:eastAsiaTheme="minorEastAsia"/>
          <w:b/>
          <w:sz w:val="24"/>
          <w:u w:val="single"/>
        </w:rPr>
        <w:t xml:space="preserve"> </w:t>
      </w:r>
      <w:r>
        <w:rPr>
          <w:rFonts w:asciiTheme="minorEastAsia" w:hAnsiTheme="minorEastAsia" w:eastAsiaTheme="minorEastAsia"/>
          <w:sz w:val="24"/>
        </w:rPr>
        <w:t>份，甲方、广西贵港市工业投资发展集团有限公司（政府方出资代表）各执</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份，乙方执</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份，其余</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份交予有关部门登记备案。各份合同具有同等法律效力。</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27.6合同生效</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本合同自甲、乙双方法定代表人或授权代表签字，并加盖公章之日起正式生效。</w:t>
      </w:r>
      <w:bookmarkStart w:id="518" w:name="_Hlk525545339"/>
    </w:p>
    <w:bookmarkEnd w:id="518"/>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27.7信息披露</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为维护公共利益、促进依法行政、提高项目透明度，合同各方有义务按照法律法规和本合同约定，向对方或社会披露相关信息。</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27.8廉政和反腐</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合同各方按照国家法律、法规和政策应该履行的廉政行为。任何一方不得给予对方工作人员回扣、佣金、有价证券、实物或其它形式的利益，否则不论数额大小均视为其违约，每发现一次，违约方均应向对方支付贰万（20000.00）元</w:t>
      </w:r>
      <w:r>
        <w:rPr>
          <w:rFonts w:hint="eastAsia" w:asciiTheme="minorEastAsia" w:hAnsiTheme="minorEastAsia" w:eastAsiaTheme="minorEastAsia"/>
          <w:sz w:val="24"/>
        </w:rPr>
        <w:t>违约金</w:t>
      </w:r>
      <w:r>
        <w:rPr>
          <w:rFonts w:asciiTheme="minorEastAsia" w:hAnsiTheme="minorEastAsia" w:eastAsiaTheme="minorEastAsia"/>
          <w:sz w:val="24"/>
        </w:rPr>
        <w:t>。</w:t>
      </w:r>
    </w:p>
    <w:p>
      <w:pPr>
        <w:spacing w:before="80" w:after="80" w:line="360" w:lineRule="auto"/>
        <w:ind w:firstLine="479" w:firstLineChars="199"/>
        <w:outlineLvl w:val="2"/>
        <w:rPr>
          <w:rFonts w:asciiTheme="minorEastAsia" w:hAnsiTheme="minorEastAsia" w:eastAsiaTheme="minorEastAsia"/>
          <w:b/>
          <w:sz w:val="24"/>
        </w:rPr>
      </w:pPr>
      <w:r>
        <w:rPr>
          <w:rFonts w:asciiTheme="minorEastAsia" w:hAnsiTheme="minorEastAsia" w:eastAsiaTheme="minorEastAsia"/>
          <w:b/>
          <w:sz w:val="24"/>
        </w:rPr>
        <w:t>27.9不弃权</w:t>
      </w:r>
    </w:p>
    <w:p>
      <w:pPr>
        <w:spacing w:before="80" w:after="80" w:line="360" w:lineRule="auto"/>
        <w:ind w:firstLine="424" w:firstLineChars="177"/>
        <w:rPr>
          <w:rFonts w:asciiTheme="minorEastAsia" w:hAnsiTheme="minorEastAsia" w:eastAsiaTheme="minorEastAsia"/>
          <w:sz w:val="24"/>
        </w:rPr>
      </w:pPr>
      <w:r>
        <w:rPr>
          <w:rFonts w:asciiTheme="minorEastAsia" w:hAnsiTheme="minorEastAsia" w:eastAsiaTheme="minorEastAsia"/>
          <w:sz w:val="24"/>
        </w:rPr>
        <w:t>除非一方以书面形式作出放弃，合同任何一方均不被视为放弃本合同中的任何条款。任何一方未坚持要求对方严格履行本合同中的任何条款，或未行使其在本合同中规定的任何权利，均不应被视为对任何上述条款的放弃或对今后行使任何上述权利的放弃。</w:t>
      </w:r>
    </w:p>
    <w:p>
      <w:pPr>
        <w:spacing w:line="48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（以下无正文）</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tbl>
      <w:tblPr>
        <w:tblStyle w:val="55"/>
        <w:tblW w:w="0" w:type="auto"/>
        <w:tblInd w:w="0" w:type="dxa"/>
        <w:tblLayout w:type="fixed"/>
        <w:tblCellMar>
          <w:top w:w="0" w:type="dxa"/>
          <w:left w:w="108" w:type="dxa"/>
          <w:bottom w:w="0" w:type="dxa"/>
          <w:right w:w="108" w:type="dxa"/>
        </w:tblCellMar>
      </w:tblPr>
      <w:tblGrid>
        <w:gridCol w:w="8364"/>
      </w:tblGrid>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甲方（盖章）：</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r>
              <w:rPr>
                <w:rFonts w:asciiTheme="minorEastAsia" w:hAnsiTheme="minorEastAsia" w:eastAsiaTheme="minorEastAsia"/>
                <w:sz w:val="24"/>
              </w:rPr>
              <w:t>法定代表人或其授权代表（签字）：</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日期：</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rPr>
                <w:rFonts w:asciiTheme="minorEastAsia" w:hAnsiTheme="minorEastAsia" w:eastAsiaTheme="minorEastAsia"/>
                <w:sz w:val="24"/>
              </w:rPr>
            </w:pPr>
          </w:p>
          <w:p>
            <w:pPr>
              <w:ind w:left="1560" w:hanging="1560" w:hangingChars="650"/>
              <w:rPr>
                <w:rFonts w:asciiTheme="minorEastAsia" w:hAnsiTheme="minorEastAsia" w:eastAsiaTheme="minorEastAsia"/>
                <w:sz w:val="24"/>
              </w:rPr>
            </w:pPr>
          </w:p>
          <w:p>
            <w:pPr>
              <w:ind w:left="1560" w:hanging="1560" w:hangingChars="650"/>
              <w:rPr>
                <w:rFonts w:asciiTheme="minorEastAsia" w:hAnsiTheme="minorEastAsia" w:eastAsiaTheme="minorEastAsia"/>
                <w:sz w:val="24"/>
              </w:rPr>
            </w:pPr>
            <w:r>
              <w:rPr>
                <w:rFonts w:asciiTheme="minorEastAsia" w:hAnsiTheme="minorEastAsia" w:eastAsiaTheme="minorEastAsia"/>
                <w:sz w:val="24"/>
              </w:rPr>
              <w:t xml:space="preserve">乙方（盖章）： </w:t>
            </w:r>
          </w:p>
          <w:p>
            <w:pPr>
              <w:ind w:left="1560" w:hanging="1560" w:hangingChars="650"/>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r>
              <w:rPr>
                <w:rFonts w:asciiTheme="minorEastAsia" w:hAnsiTheme="minorEastAsia" w:eastAsiaTheme="minorEastAsia"/>
                <w:sz w:val="24"/>
              </w:rPr>
              <w:t>法定代表人或其授权代表（签字）：</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日期：</w:t>
            </w:r>
          </w:p>
        </w:tc>
      </w:tr>
    </w:tbl>
    <w:p>
      <w:pPr>
        <w:widowControl/>
        <w:spacing w:line="360" w:lineRule="auto"/>
        <w:rPr>
          <w:rFonts w:asciiTheme="minorEastAsia" w:hAnsiTheme="minorEastAsia" w:eastAsiaTheme="minorEastAsia"/>
          <w:sz w:val="24"/>
        </w:rPr>
      </w:pPr>
    </w:p>
    <w:p>
      <w:pPr>
        <w:widowControl/>
        <w:jc w:val="left"/>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rPr>
      </w:pPr>
      <w:r>
        <w:rPr>
          <w:rFonts w:asciiTheme="minorEastAsia" w:hAnsiTheme="minorEastAsia" w:eastAsiaTheme="minorEastAsia"/>
        </w:rPr>
        <w:t>附件三</w:t>
      </w:r>
      <w:r>
        <w:rPr>
          <w:rFonts w:hint="eastAsia" w:asciiTheme="minorEastAsia" w:hAnsiTheme="minorEastAsia" w:eastAsiaTheme="minorEastAsia"/>
        </w:rPr>
        <w:t>：</w:t>
      </w:r>
      <w:bookmarkEnd w:id="345"/>
      <w:bookmarkEnd w:id="346"/>
      <w:r>
        <w:rPr>
          <w:rFonts w:asciiTheme="minorEastAsia" w:hAnsiTheme="minorEastAsia" w:eastAsiaTheme="minorEastAsia"/>
        </w:rPr>
        <w:t>承继协议</w:t>
      </w:r>
    </w:p>
    <w:p>
      <w:pPr>
        <w:spacing w:before="80" w:after="80" w:line="360" w:lineRule="auto"/>
        <w:jc w:val="center"/>
        <w:rPr>
          <w:rFonts w:asciiTheme="minorEastAsia" w:hAnsiTheme="minorEastAsia" w:eastAsiaTheme="minorEastAsia"/>
          <w:b/>
          <w:sz w:val="44"/>
          <w:szCs w:val="28"/>
        </w:rPr>
      </w:pPr>
      <w:r>
        <w:rPr>
          <w:rFonts w:asciiTheme="minorEastAsia" w:hAnsiTheme="minorEastAsia" w:eastAsiaTheme="minorEastAsia"/>
          <w:b/>
          <w:sz w:val="44"/>
          <w:szCs w:val="28"/>
        </w:rPr>
        <w:t>贵港市产业园（粤桂园）给水厂和污水处理厂供排一体化PPP项目</w:t>
      </w:r>
    </w:p>
    <w:p>
      <w:pPr>
        <w:spacing w:before="163" w:line="500" w:lineRule="exact"/>
        <w:jc w:val="center"/>
        <w:rPr>
          <w:rFonts w:asciiTheme="minorEastAsia" w:hAnsiTheme="minorEastAsia" w:eastAsiaTheme="minorEastAsia"/>
          <w:sz w:val="48"/>
        </w:rPr>
      </w:pPr>
    </w:p>
    <w:p>
      <w:pPr>
        <w:spacing w:before="163" w:line="500" w:lineRule="exact"/>
        <w:jc w:val="center"/>
        <w:rPr>
          <w:rFonts w:asciiTheme="minorEastAsia" w:hAnsiTheme="minorEastAsia" w:eastAsiaTheme="minorEastAsia"/>
          <w:sz w:val="36"/>
        </w:rPr>
      </w:pPr>
    </w:p>
    <w:p>
      <w:pPr>
        <w:spacing w:before="80" w:after="80" w:line="360" w:lineRule="auto"/>
        <w:jc w:val="center"/>
        <w:rPr>
          <w:rFonts w:asciiTheme="minorEastAsia" w:hAnsiTheme="minorEastAsia" w:eastAsiaTheme="minorEastAsia"/>
          <w:b/>
          <w:sz w:val="44"/>
          <w:szCs w:val="28"/>
        </w:rPr>
      </w:pPr>
      <w:r>
        <w:rPr>
          <w:rFonts w:hint="eastAsia" w:asciiTheme="minorEastAsia" w:hAnsiTheme="minorEastAsia" w:eastAsiaTheme="minorEastAsia"/>
          <w:b/>
          <w:sz w:val="44"/>
          <w:szCs w:val="28"/>
        </w:rPr>
        <w:t>政府和社会资本合作（PPP）项目</w:t>
      </w:r>
    </w:p>
    <w:p>
      <w:pPr>
        <w:spacing w:before="80" w:after="80" w:line="360" w:lineRule="auto"/>
        <w:jc w:val="center"/>
        <w:rPr>
          <w:rFonts w:asciiTheme="minorEastAsia" w:hAnsiTheme="minorEastAsia" w:eastAsiaTheme="minorEastAsia"/>
          <w:b/>
          <w:sz w:val="48"/>
          <w:szCs w:val="28"/>
        </w:rPr>
      </w:pPr>
      <w:r>
        <w:rPr>
          <w:rFonts w:hint="eastAsia" w:asciiTheme="minorEastAsia" w:hAnsiTheme="minorEastAsia" w:eastAsiaTheme="minorEastAsia"/>
          <w:b/>
          <w:sz w:val="48"/>
          <w:szCs w:val="28"/>
        </w:rPr>
        <w:t>承继协议</w:t>
      </w:r>
    </w:p>
    <w:p>
      <w:pPr>
        <w:spacing w:before="163" w:after="24" w:line="500" w:lineRule="exact"/>
        <w:rPr>
          <w:rFonts w:asciiTheme="minorEastAsia" w:hAnsiTheme="minorEastAsia" w:eastAsiaTheme="minorEastAsia"/>
          <w:sz w:val="28"/>
        </w:rPr>
      </w:pPr>
    </w:p>
    <w:p>
      <w:pPr>
        <w:spacing w:before="80" w:after="80" w:line="360" w:lineRule="auto"/>
        <w:jc w:val="center"/>
        <w:rPr>
          <w:rFonts w:asciiTheme="minorEastAsia" w:hAnsiTheme="minorEastAsia" w:eastAsiaTheme="minorEastAsia"/>
          <w:b/>
          <w:sz w:val="24"/>
          <w:szCs w:val="28"/>
        </w:rPr>
      </w:pPr>
    </w:p>
    <w:p>
      <w:pPr>
        <w:spacing w:before="163" w:after="24" w:line="500" w:lineRule="exact"/>
        <w:ind w:firstLine="1800" w:firstLineChars="600"/>
        <w:rPr>
          <w:rFonts w:asciiTheme="minorEastAsia" w:hAnsiTheme="minorEastAsia" w:eastAsiaTheme="minorEastAsia"/>
          <w:sz w:val="30"/>
        </w:rPr>
      </w:pPr>
    </w:p>
    <w:p>
      <w:pPr>
        <w:spacing w:before="163" w:after="24" w:line="500" w:lineRule="exact"/>
        <w:rPr>
          <w:rFonts w:asciiTheme="minorEastAsia" w:hAnsiTheme="minorEastAsia" w:eastAsiaTheme="minorEastAsia"/>
          <w:sz w:val="30"/>
        </w:rPr>
      </w:pPr>
    </w:p>
    <w:p>
      <w:pPr>
        <w:spacing w:before="163" w:after="24" w:line="500" w:lineRule="exact"/>
        <w:rPr>
          <w:rFonts w:asciiTheme="minorEastAsia" w:hAnsiTheme="minorEastAsia" w:eastAsiaTheme="minorEastAsia"/>
          <w:sz w:val="30"/>
        </w:rPr>
      </w:pPr>
    </w:p>
    <w:p>
      <w:pPr>
        <w:spacing w:before="163" w:after="24" w:line="500" w:lineRule="exact"/>
        <w:rPr>
          <w:rFonts w:asciiTheme="minorEastAsia" w:hAnsiTheme="minorEastAsia" w:eastAsiaTheme="minorEastAsia"/>
          <w:sz w:val="30"/>
        </w:rPr>
      </w:pPr>
    </w:p>
    <w:p>
      <w:pPr>
        <w:adjustRightInd w:val="0"/>
        <w:snapToGrid w:val="0"/>
        <w:spacing w:before="163" w:after="24" w:line="500" w:lineRule="exact"/>
        <w:ind w:left="2099" w:hanging="2099" w:hangingChars="697"/>
        <w:jc w:val="left"/>
        <w:rPr>
          <w:rFonts w:asciiTheme="minorEastAsia" w:hAnsiTheme="minorEastAsia" w:eastAsiaTheme="minorEastAsia"/>
          <w:b/>
          <w:sz w:val="30"/>
        </w:rPr>
      </w:pPr>
      <w:r>
        <w:rPr>
          <w:rFonts w:hint="eastAsia" w:asciiTheme="minorEastAsia" w:hAnsiTheme="minorEastAsia" w:eastAsiaTheme="minorEastAsia"/>
          <w:b/>
          <w:sz w:val="30"/>
        </w:rPr>
        <w:t>甲方：</w:t>
      </w:r>
      <w:r>
        <w:rPr>
          <w:rFonts w:hint="eastAsia" w:asciiTheme="minorEastAsia" w:hAnsiTheme="minorEastAsia" w:eastAsiaTheme="minorEastAsia"/>
          <w:b/>
          <w:sz w:val="30"/>
          <w:u w:val="single"/>
        </w:rPr>
        <w:t>_贵港市产业园区管理委员会</w:t>
      </w:r>
      <w:r>
        <w:rPr>
          <w:rFonts w:asciiTheme="minorEastAsia" w:hAnsiTheme="minorEastAsia" w:eastAsiaTheme="minorEastAsia"/>
          <w:b/>
          <w:sz w:val="30"/>
          <w:u w:val="single"/>
        </w:rPr>
        <w:t>_</w:t>
      </w:r>
    </w:p>
    <w:p>
      <w:pPr>
        <w:adjustRightInd w:val="0"/>
        <w:snapToGrid w:val="0"/>
        <w:spacing w:before="163" w:after="24" w:line="500" w:lineRule="exact"/>
        <w:ind w:left="904" w:hanging="904" w:hangingChars="300"/>
        <w:jc w:val="left"/>
        <w:rPr>
          <w:rFonts w:asciiTheme="minorEastAsia" w:hAnsiTheme="minorEastAsia" w:eastAsiaTheme="minorEastAsia"/>
          <w:b/>
          <w:sz w:val="30"/>
        </w:rPr>
      </w:pPr>
      <w:r>
        <w:rPr>
          <w:rFonts w:hint="eastAsia" w:asciiTheme="minorEastAsia" w:hAnsiTheme="minorEastAsia" w:eastAsiaTheme="minorEastAsia"/>
          <w:b/>
          <w:sz w:val="30"/>
        </w:rPr>
        <w:t>乙方：</w:t>
      </w:r>
      <w:r>
        <w:rPr>
          <w:rFonts w:hint="eastAsia" w:asciiTheme="minorEastAsia" w:hAnsiTheme="minorEastAsia" w:eastAsiaTheme="minorEastAsia"/>
          <w:b/>
          <w:sz w:val="30"/>
          <w:u w:val="single"/>
        </w:rPr>
        <w:t xml:space="preserve">                         </w:t>
      </w:r>
      <w:r>
        <w:rPr>
          <w:rFonts w:asciiTheme="minorEastAsia" w:hAnsiTheme="minorEastAsia" w:eastAsiaTheme="minorEastAsia"/>
          <w:b/>
          <w:sz w:val="30"/>
          <w:u w:val="single"/>
        </w:rPr>
        <w:t>_</w:t>
      </w:r>
    </w:p>
    <w:p>
      <w:pPr>
        <w:adjustRightInd w:val="0"/>
        <w:snapToGrid w:val="0"/>
        <w:spacing w:before="163" w:after="24" w:line="500" w:lineRule="exact"/>
        <w:ind w:left="2099" w:hanging="2099" w:hangingChars="697"/>
        <w:jc w:val="left"/>
        <w:rPr>
          <w:rFonts w:asciiTheme="minorEastAsia" w:hAnsiTheme="minorEastAsia" w:eastAsiaTheme="minorEastAsia"/>
          <w:b/>
          <w:sz w:val="30"/>
        </w:rPr>
      </w:pPr>
      <w:r>
        <w:rPr>
          <w:rFonts w:hint="eastAsia" w:asciiTheme="minorEastAsia" w:hAnsiTheme="minorEastAsia" w:eastAsiaTheme="minorEastAsia"/>
          <w:b/>
          <w:sz w:val="30"/>
        </w:rPr>
        <w:t>丙方：</w:t>
      </w:r>
      <w:r>
        <w:rPr>
          <w:rFonts w:hint="eastAsia" w:asciiTheme="minorEastAsia" w:hAnsiTheme="minorEastAsia" w:eastAsiaTheme="minorEastAsia"/>
          <w:b/>
          <w:sz w:val="30"/>
          <w:u w:val="single"/>
        </w:rPr>
        <w:t>_</w:t>
      </w:r>
      <w:r>
        <w:rPr>
          <w:rFonts w:asciiTheme="minorEastAsia" w:hAnsiTheme="minorEastAsia" w:eastAsiaTheme="minorEastAsia"/>
          <w:b/>
          <w:sz w:val="30"/>
          <w:u w:val="single"/>
        </w:rPr>
        <w:t>_____</w:t>
      </w:r>
      <w:r>
        <w:rPr>
          <w:rFonts w:hint="eastAsia" w:asciiTheme="minorEastAsia" w:hAnsiTheme="minorEastAsia" w:eastAsiaTheme="minorEastAsia"/>
          <w:b/>
          <w:sz w:val="30"/>
          <w:u w:val="single"/>
        </w:rPr>
        <w:t xml:space="preserve">    </w:t>
      </w:r>
      <w:r>
        <w:rPr>
          <w:rFonts w:asciiTheme="minorEastAsia" w:hAnsiTheme="minorEastAsia" w:eastAsiaTheme="minorEastAsia"/>
          <w:b/>
          <w:sz w:val="30"/>
          <w:u w:val="single"/>
        </w:rPr>
        <w:t>________________</w:t>
      </w:r>
    </w:p>
    <w:p>
      <w:pPr>
        <w:adjustRightInd w:val="0"/>
        <w:snapToGrid w:val="0"/>
        <w:spacing w:before="163" w:after="24" w:line="500" w:lineRule="exact"/>
        <w:ind w:left="2099" w:hanging="2099" w:hangingChars="697"/>
        <w:jc w:val="left"/>
        <w:rPr>
          <w:rFonts w:asciiTheme="minorEastAsia" w:hAnsiTheme="minorEastAsia" w:eastAsiaTheme="minorEastAsia"/>
          <w:b/>
          <w:sz w:val="30"/>
        </w:rPr>
      </w:pPr>
      <w:r>
        <w:rPr>
          <w:rFonts w:hint="eastAsia" w:asciiTheme="minorEastAsia" w:hAnsiTheme="minorEastAsia" w:eastAsiaTheme="minorEastAsia"/>
          <w:b/>
          <w:sz w:val="30"/>
        </w:rPr>
        <w:t>丁方：</w:t>
      </w:r>
      <w:r>
        <w:rPr>
          <w:rFonts w:hint="eastAsia" w:asciiTheme="minorEastAsia" w:hAnsiTheme="minorEastAsia" w:eastAsiaTheme="minorEastAsia"/>
          <w:b/>
          <w:sz w:val="30"/>
          <w:u w:val="single"/>
        </w:rPr>
        <w:t>广西贵港市工业投资发展集团有限公司</w:t>
      </w:r>
    </w:p>
    <w:p>
      <w:pPr>
        <w:adjustRightInd w:val="0"/>
        <w:snapToGrid w:val="0"/>
        <w:spacing w:before="163" w:line="500" w:lineRule="exact"/>
        <w:ind w:left="2099" w:hanging="2099" w:hangingChars="697"/>
        <w:jc w:val="left"/>
        <w:rPr>
          <w:rFonts w:asciiTheme="minorEastAsia" w:hAnsiTheme="minorEastAsia" w:eastAsiaTheme="minorEastAsia"/>
          <w:b/>
          <w:sz w:val="30"/>
        </w:rPr>
      </w:pPr>
      <w:r>
        <w:rPr>
          <w:rFonts w:hint="eastAsia" w:asciiTheme="minorEastAsia" w:hAnsiTheme="minorEastAsia" w:eastAsiaTheme="minorEastAsia"/>
          <w:b/>
          <w:sz w:val="30"/>
        </w:rPr>
        <w:t>签订日期：</w:t>
      </w:r>
      <w:r>
        <w:rPr>
          <w:rFonts w:hint="eastAsia" w:asciiTheme="minorEastAsia" w:hAnsiTheme="minorEastAsia" w:eastAsiaTheme="minorEastAsia"/>
          <w:b/>
        </w:rPr>
        <w:t>_</w:t>
      </w:r>
      <w:r>
        <w:rPr>
          <w:rFonts w:asciiTheme="minorEastAsia" w:hAnsiTheme="minorEastAsia" w:eastAsiaTheme="minorEastAsia"/>
          <w:b/>
        </w:rPr>
        <w:t>____</w:t>
      </w:r>
      <w:r>
        <w:rPr>
          <w:rFonts w:hint="eastAsia" w:asciiTheme="minorEastAsia" w:hAnsiTheme="minorEastAsia" w:eastAsiaTheme="minorEastAsia"/>
          <w:b/>
          <w:sz w:val="30"/>
        </w:rPr>
        <w:t>年</w:t>
      </w:r>
      <w:r>
        <w:rPr>
          <w:rFonts w:hint="eastAsia" w:asciiTheme="minorEastAsia" w:hAnsiTheme="minorEastAsia" w:eastAsiaTheme="minorEastAsia"/>
          <w:b/>
        </w:rPr>
        <w:t>_</w:t>
      </w:r>
      <w:r>
        <w:rPr>
          <w:rFonts w:asciiTheme="minorEastAsia" w:hAnsiTheme="minorEastAsia" w:eastAsiaTheme="minorEastAsia"/>
          <w:b/>
        </w:rPr>
        <w:t>____</w:t>
      </w:r>
      <w:r>
        <w:rPr>
          <w:rFonts w:hint="eastAsia" w:asciiTheme="minorEastAsia" w:hAnsiTheme="minorEastAsia" w:eastAsiaTheme="minorEastAsia"/>
          <w:b/>
          <w:sz w:val="30"/>
        </w:rPr>
        <w:t>月</w:t>
      </w:r>
      <w:r>
        <w:rPr>
          <w:rFonts w:hint="eastAsia" w:asciiTheme="minorEastAsia" w:hAnsiTheme="minorEastAsia" w:eastAsiaTheme="minorEastAsia"/>
          <w:b/>
        </w:rPr>
        <w:t>_</w:t>
      </w:r>
      <w:r>
        <w:rPr>
          <w:rFonts w:asciiTheme="minorEastAsia" w:hAnsiTheme="minorEastAsia" w:eastAsiaTheme="minorEastAsia"/>
          <w:b/>
        </w:rPr>
        <w:t>____</w:t>
      </w:r>
      <w:r>
        <w:rPr>
          <w:rFonts w:hint="eastAsia" w:asciiTheme="minorEastAsia" w:hAnsiTheme="minorEastAsia" w:eastAsiaTheme="minorEastAsia"/>
          <w:b/>
          <w:sz w:val="30"/>
        </w:rPr>
        <w:t>日</w:t>
      </w:r>
    </w:p>
    <w:p>
      <w:pPr>
        <w:pStyle w:val="30"/>
        <w:spacing w:before="163" w:after="163" w:afterLines="50" w:line="500" w:lineRule="exact"/>
        <w:ind w:left="5250" w:firstLine="601" w:firstLineChars="187"/>
        <w:rPr>
          <w:rFonts w:asciiTheme="minorEastAsia" w:hAnsiTheme="minorEastAsia" w:eastAsiaTheme="minorEastAsia"/>
          <w:b/>
          <w:sz w:val="32"/>
        </w:rPr>
        <w:sectPr>
          <w:headerReference r:id="rId16" w:type="first"/>
          <w:footerReference r:id="rId19" w:type="first"/>
          <w:headerReference r:id="rId14" w:type="default"/>
          <w:footerReference r:id="rId17" w:type="default"/>
          <w:headerReference r:id="rId15" w:type="even"/>
          <w:footerReference r:id="rId18" w:type="even"/>
          <w:pgSz w:w="11906" w:h="16838"/>
          <w:pgMar w:top="1440" w:right="1800" w:bottom="1440" w:left="1800" w:header="851" w:footer="992" w:gutter="0"/>
          <w:cols w:space="720" w:num="1"/>
          <w:titlePg/>
          <w:docGrid w:type="lines" w:linePitch="326" w:charSpace="0"/>
        </w:sectPr>
      </w:pPr>
    </w:p>
    <w:p>
      <w:pPr>
        <w:spacing w:before="120" w:after="156" w:afterLines="50" w:line="500" w:lineRule="exact"/>
        <w:rPr>
          <w:rFonts w:asciiTheme="minorEastAsia" w:hAnsiTheme="minorEastAsia" w:eastAsiaTheme="minorEastAsia"/>
          <w:sz w:val="24"/>
        </w:rPr>
      </w:pPr>
      <w:r>
        <w:rPr>
          <w:rFonts w:hint="eastAsia" w:asciiTheme="minorEastAsia" w:hAnsiTheme="minorEastAsia" w:eastAsiaTheme="minorEastAsia"/>
          <w:sz w:val="24"/>
        </w:rPr>
        <w:t>本协议由以下各方于【】年【】月【】日在【签订地点】签订：</w:t>
      </w:r>
    </w:p>
    <w:p>
      <w:pPr>
        <w:pStyle w:val="1392"/>
        <w:spacing w:before="156" w:after="156" w:afterLines="50" w:line="500" w:lineRule="exact"/>
        <w:ind w:left="0"/>
        <w:rPr>
          <w:rFonts w:asciiTheme="minorEastAsia" w:hAnsiTheme="minorEastAsia" w:eastAsiaTheme="minorEastAsia"/>
        </w:rPr>
      </w:pPr>
      <w:r>
        <w:rPr>
          <w:rFonts w:hint="eastAsia" w:asciiTheme="minorEastAsia" w:hAnsiTheme="minorEastAsia" w:eastAsiaTheme="minorEastAsia"/>
          <w:b/>
        </w:rPr>
        <w:t>甲方：【实施机构名称】</w:t>
      </w:r>
      <w:r>
        <w:rPr>
          <w:rFonts w:hint="eastAsia" w:asciiTheme="minorEastAsia" w:hAnsiTheme="minorEastAsia" w:eastAsiaTheme="minorEastAsia"/>
          <w:szCs w:val="24"/>
          <w:u w:val="single"/>
        </w:rPr>
        <w:t xml:space="preserve"> 贵港市产业园区管理委员会   </w:t>
      </w:r>
    </w:p>
    <w:p>
      <w:pPr>
        <w:pStyle w:val="1392"/>
        <w:spacing w:before="156" w:after="156" w:afterLines="50" w:line="500" w:lineRule="exact"/>
        <w:ind w:left="0"/>
        <w:rPr>
          <w:rFonts w:asciiTheme="minorEastAsia" w:hAnsiTheme="minorEastAsia" w:eastAsiaTheme="minorEastAsia"/>
        </w:rPr>
      </w:pPr>
      <w:r>
        <w:rPr>
          <w:rFonts w:hint="eastAsia" w:asciiTheme="minorEastAsia" w:hAnsiTheme="minorEastAsia" w:eastAsiaTheme="minorEastAsia"/>
        </w:rPr>
        <w:t>和</w:t>
      </w:r>
    </w:p>
    <w:p>
      <w:pPr>
        <w:pStyle w:val="1392"/>
        <w:spacing w:before="156" w:after="156" w:afterLines="50" w:line="500" w:lineRule="exact"/>
        <w:ind w:left="0"/>
        <w:jc w:val="left"/>
        <w:rPr>
          <w:rFonts w:asciiTheme="minorEastAsia" w:hAnsiTheme="minorEastAsia" w:eastAsiaTheme="minorEastAsia"/>
        </w:rPr>
      </w:pPr>
      <w:r>
        <w:rPr>
          <w:rFonts w:hint="eastAsia" w:asciiTheme="minorEastAsia" w:hAnsiTheme="minorEastAsia" w:eastAsiaTheme="minorEastAsia"/>
          <w:b/>
        </w:rPr>
        <w:t>乙方：【中选社会资本名称】</w:t>
      </w:r>
      <w:r>
        <w:rPr>
          <w:rFonts w:hint="eastAsia" w:asciiTheme="minorEastAsia" w:hAnsiTheme="minorEastAsia" w:eastAsiaTheme="minorEastAsia"/>
          <w:szCs w:val="24"/>
          <w:u w:val="single"/>
        </w:rPr>
        <w:t xml:space="preserve">                </w:t>
      </w:r>
    </w:p>
    <w:p>
      <w:pPr>
        <w:pStyle w:val="1392"/>
        <w:spacing w:before="156" w:after="156" w:afterLines="50" w:line="500" w:lineRule="exact"/>
        <w:ind w:left="0"/>
        <w:rPr>
          <w:rFonts w:asciiTheme="minorEastAsia" w:hAnsiTheme="minorEastAsia" w:eastAsiaTheme="minorEastAsia"/>
        </w:rPr>
      </w:pPr>
    </w:p>
    <w:p>
      <w:pPr>
        <w:pStyle w:val="1392"/>
        <w:spacing w:before="156" w:after="156" w:afterLines="50" w:line="500" w:lineRule="exact"/>
        <w:ind w:left="0"/>
        <w:rPr>
          <w:rFonts w:asciiTheme="minorEastAsia" w:hAnsiTheme="minorEastAsia" w:eastAsiaTheme="minorEastAsia"/>
        </w:rPr>
      </w:pPr>
      <w:r>
        <w:rPr>
          <w:rFonts w:hint="eastAsia" w:asciiTheme="minorEastAsia" w:hAnsiTheme="minorEastAsia" w:eastAsiaTheme="minorEastAsia"/>
          <w:b/>
        </w:rPr>
        <w:t>丙方：【项目公司名称】</w:t>
      </w:r>
      <w:r>
        <w:rPr>
          <w:rFonts w:hint="eastAsia" w:asciiTheme="minorEastAsia" w:hAnsiTheme="minorEastAsia" w:eastAsiaTheme="minorEastAsia"/>
          <w:szCs w:val="24"/>
          <w:u w:val="single"/>
        </w:rPr>
        <w:t xml:space="preserve">              </w:t>
      </w:r>
    </w:p>
    <w:p>
      <w:pPr>
        <w:pStyle w:val="1392"/>
        <w:spacing w:before="156" w:after="156" w:afterLines="50" w:line="500" w:lineRule="exact"/>
        <w:ind w:left="0"/>
        <w:rPr>
          <w:rFonts w:asciiTheme="minorEastAsia" w:hAnsiTheme="minorEastAsia" w:eastAsiaTheme="minorEastAsia"/>
          <w:b/>
        </w:rPr>
      </w:pPr>
    </w:p>
    <w:p>
      <w:pPr>
        <w:pStyle w:val="1392"/>
        <w:spacing w:before="156" w:after="156" w:afterLines="50" w:line="500" w:lineRule="exact"/>
        <w:ind w:left="0"/>
        <w:rPr>
          <w:rFonts w:asciiTheme="minorEastAsia" w:hAnsiTheme="minorEastAsia" w:eastAsiaTheme="minorEastAsia"/>
        </w:rPr>
      </w:pPr>
      <w:r>
        <w:rPr>
          <w:rFonts w:hint="eastAsia" w:asciiTheme="minorEastAsia" w:hAnsiTheme="minorEastAsia" w:eastAsiaTheme="minorEastAsia"/>
          <w:b/>
        </w:rPr>
        <w:t>丁方：【政府出资方代表名称】</w:t>
      </w:r>
      <w:r>
        <w:rPr>
          <w:rFonts w:hint="eastAsia" w:asciiTheme="minorEastAsia" w:hAnsiTheme="minorEastAsia" w:eastAsiaTheme="minorEastAsia"/>
          <w:szCs w:val="24"/>
          <w:u w:val="single"/>
        </w:rPr>
        <w:t xml:space="preserve">  广西贵港市工业投资发展集团有限公司   </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鉴于：</w:t>
      </w:r>
    </w:p>
    <w:p>
      <w:pPr>
        <w:pStyle w:val="1426"/>
        <w:numPr>
          <w:ilvl w:val="0"/>
          <w:numId w:val="11"/>
        </w:numPr>
        <w:spacing w:line="360" w:lineRule="auto"/>
        <w:ind w:left="1276" w:hanging="850" w:firstLineChars="0"/>
        <w:rPr>
          <w:rFonts w:asciiTheme="minorEastAsia" w:hAnsiTheme="minorEastAsia" w:eastAsiaTheme="minorEastAsia"/>
          <w:sz w:val="24"/>
        </w:rPr>
      </w:pPr>
      <w:r>
        <w:rPr>
          <w:rFonts w:hint="eastAsia" w:asciiTheme="minorEastAsia" w:hAnsiTheme="minorEastAsia" w:eastAsiaTheme="minorEastAsia"/>
          <w:sz w:val="24"/>
        </w:rPr>
        <w:t>贵港市产业园（粤桂园）给水厂和污水处理厂供排一体化PPP项目已经</w:t>
      </w:r>
      <w:r>
        <w:rPr>
          <w:rFonts w:hint="eastAsia" w:asciiTheme="minorEastAsia" w:hAnsiTheme="minorEastAsia" w:eastAsiaTheme="minorEastAsia"/>
          <w:b/>
          <w:sz w:val="24"/>
          <w:szCs w:val="24"/>
        </w:rPr>
        <w:t>_贵港市</w:t>
      </w:r>
      <w:r>
        <w:rPr>
          <w:rFonts w:hint="eastAsia" w:asciiTheme="minorEastAsia" w:hAnsiTheme="minorEastAsia" w:eastAsiaTheme="minorEastAsia"/>
          <w:bCs/>
          <w:sz w:val="24"/>
          <w:szCs w:val="28"/>
        </w:rPr>
        <w:t>人民</w:t>
      </w:r>
      <w:r>
        <w:rPr>
          <w:rFonts w:hint="eastAsia" w:asciiTheme="minorEastAsia" w:hAnsiTheme="minorEastAsia" w:eastAsiaTheme="minorEastAsia"/>
          <w:sz w:val="24"/>
        </w:rPr>
        <w:t>政府批准采用政府和社会资本合作（PPP）模式实施，并授权甲方作为本项目实施机构，具体负责项目准备、采购、监管和移交等工作；</w:t>
      </w:r>
    </w:p>
    <w:p>
      <w:pPr>
        <w:pStyle w:val="1426"/>
        <w:numPr>
          <w:ilvl w:val="0"/>
          <w:numId w:val="11"/>
        </w:numPr>
        <w:spacing w:line="360" w:lineRule="auto"/>
        <w:ind w:left="1276" w:hanging="796" w:firstLineChars="0"/>
        <w:rPr>
          <w:rFonts w:asciiTheme="minorEastAsia" w:hAnsiTheme="minorEastAsia" w:eastAsiaTheme="minorEastAsia"/>
          <w:sz w:val="24"/>
        </w:rPr>
      </w:pPr>
      <w:r>
        <w:rPr>
          <w:rFonts w:hint="eastAsia" w:asciiTheme="minorEastAsia" w:hAnsiTheme="minorEastAsia" w:eastAsiaTheme="minorEastAsia"/>
          <w:sz w:val="24"/>
        </w:rPr>
        <w:t>甲方已通过</w:t>
      </w:r>
      <w:r>
        <w:rPr>
          <w:rFonts w:hint="eastAsia" w:asciiTheme="minorEastAsia" w:hAnsiTheme="minorEastAsia" w:eastAsiaTheme="minorEastAsia"/>
        </w:rPr>
        <w:t>【</w:t>
      </w:r>
      <w:r>
        <w:rPr>
          <w:rFonts w:hint="eastAsia" w:asciiTheme="minorEastAsia" w:hAnsiTheme="minorEastAsia" w:eastAsiaTheme="minorEastAsia"/>
          <w:sz w:val="24"/>
        </w:rPr>
        <w:t>采购方式</w:t>
      </w:r>
      <w:r>
        <w:rPr>
          <w:rFonts w:hint="eastAsia" w:asciiTheme="minorEastAsia" w:hAnsiTheme="minorEastAsia" w:eastAsiaTheme="minorEastAsia"/>
        </w:rPr>
        <w:t>】</w:t>
      </w:r>
      <w:r>
        <w:rPr>
          <w:rFonts w:hint="eastAsia" w:asciiTheme="minorEastAsia" w:hAnsiTheme="minorEastAsia" w:eastAsiaTheme="minorEastAsia"/>
          <w:sz w:val="24"/>
        </w:rPr>
        <w:t>选定乙方作为本项目中选社会资本，并于_</w:t>
      </w:r>
      <w:r>
        <w:rPr>
          <w:rFonts w:asciiTheme="minorEastAsia" w:hAnsiTheme="minorEastAsia" w:eastAsiaTheme="minorEastAsia"/>
          <w:sz w:val="24"/>
        </w:rPr>
        <w:t>____</w:t>
      </w:r>
      <w:r>
        <w:rPr>
          <w:rFonts w:hint="eastAsia" w:asciiTheme="minorEastAsia" w:hAnsiTheme="minorEastAsia" w:eastAsiaTheme="minorEastAsia"/>
          <w:sz w:val="24"/>
        </w:rPr>
        <w:t>年_</w:t>
      </w:r>
      <w:r>
        <w:rPr>
          <w:rFonts w:asciiTheme="minorEastAsia" w:hAnsiTheme="minorEastAsia" w:eastAsiaTheme="minorEastAsia"/>
          <w:sz w:val="24"/>
        </w:rPr>
        <w:t>____</w:t>
      </w:r>
      <w:r>
        <w:rPr>
          <w:rFonts w:hint="eastAsia" w:asciiTheme="minorEastAsia" w:hAnsiTheme="minorEastAsia" w:eastAsiaTheme="minorEastAsia"/>
          <w:sz w:val="24"/>
        </w:rPr>
        <w:t>月_</w:t>
      </w:r>
      <w:r>
        <w:rPr>
          <w:rFonts w:asciiTheme="minorEastAsia" w:hAnsiTheme="minorEastAsia" w:eastAsiaTheme="minorEastAsia"/>
          <w:sz w:val="24"/>
        </w:rPr>
        <w:t>____</w:t>
      </w:r>
      <w:r>
        <w:rPr>
          <w:rFonts w:hint="eastAsia" w:asciiTheme="minorEastAsia" w:hAnsiTheme="minorEastAsia" w:eastAsiaTheme="minorEastAsia"/>
          <w:sz w:val="24"/>
        </w:rPr>
        <w:t>日与乙方签署《</w:t>
      </w:r>
      <w:r>
        <w:rPr>
          <w:rFonts w:hint="eastAsia" w:asciiTheme="minorEastAsia" w:hAnsiTheme="minorEastAsia" w:eastAsiaTheme="minorEastAsia"/>
          <w:sz w:val="24"/>
          <w:szCs w:val="24"/>
        </w:rPr>
        <w:t>合作协议》、</w:t>
      </w:r>
      <w:r>
        <w:rPr>
          <w:rFonts w:hint="eastAsia" w:asciiTheme="minorEastAsia" w:hAnsiTheme="minorEastAsia" w:eastAsiaTheme="minorEastAsia"/>
          <w:sz w:val="24"/>
        </w:rPr>
        <w:t>《</w:t>
      </w:r>
      <w:r>
        <w:rPr>
          <w:rFonts w:asciiTheme="minorEastAsia" w:hAnsiTheme="minorEastAsia" w:eastAsiaTheme="minorEastAsia"/>
          <w:sz w:val="24"/>
        </w:rPr>
        <w:t>PPP</w:t>
      </w:r>
      <w:r>
        <w:rPr>
          <w:rFonts w:hint="eastAsia" w:asciiTheme="minorEastAsia" w:hAnsiTheme="minorEastAsia" w:eastAsiaTheme="minorEastAsia"/>
          <w:sz w:val="24"/>
          <w:szCs w:val="24"/>
        </w:rPr>
        <w:t>项目合同</w:t>
      </w:r>
      <w:r>
        <w:rPr>
          <w:rFonts w:hint="eastAsia" w:asciiTheme="minorEastAsia" w:hAnsiTheme="minorEastAsia" w:eastAsiaTheme="minorEastAsia"/>
          <w:sz w:val="24"/>
        </w:rPr>
        <w:t>》和《</w:t>
      </w:r>
      <w:r>
        <w:rPr>
          <w:rFonts w:hint="eastAsia" w:asciiTheme="minorEastAsia" w:hAnsiTheme="minorEastAsia" w:eastAsiaTheme="minorEastAsia"/>
          <w:sz w:val="24"/>
          <w:szCs w:val="24"/>
        </w:rPr>
        <w:t>运营维护服务协议》（如有）等合同文件</w:t>
      </w:r>
      <w:r>
        <w:rPr>
          <w:rFonts w:hint="eastAsia" w:asciiTheme="minorEastAsia" w:hAnsiTheme="minorEastAsia" w:eastAsiaTheme="minorEastAsia"/>
          <w:sz w:val="24"/>
        </w:rPr>
        <w:t>。</w:t>
      </w:r>
    </w:p>
    <w:p>
      <w:pPr>
        <w:pStyle w:val="1426"/>
        <w:numPr>
          <w:ilvl w:val="0"/>
          <w:numId w:val="11"/>
        </w:numPr>
        <w:spacing w:line="360" w:lineRule="auto"/>
        <w:ind w:left="1276" w:hanging="796" w:firstLineChars="0"/>
        <w:rPr>
          <w:rFonts w:asciiTheme="minorEastAsia" w:hAnsiTheme="minorEastAsia" w:eastAsiaTheme="minorEastAsia"/>
          <w:sz w:val="24"/>
        </w:rPr>
      </w:pPr>
      <w:r>
        <w:rPr>
          <w:rFonts w:hint="eastAsia" w:asciiTheme="minorEastAsia" w:hAnsiTheme="minorEastAsia" w:eastAsiaTheme="minorEastAsia"/>
          <w:sz w:val="24"/>
        </w:rPr>
        <w:t>根据《合作协议》的约定，乙方与丁方共同出资设立项目公司后，应当督促项目公司在成立之日起</w:t>
      </w:r>
      <w:r>
        <w:rPr>
          <w:rFonts w:asciiTheme="minorEastAsia" w:hAnsiTheme="minorEastAsia" w:eastAsiaTheme="minorEastAsia"/>
          <w:sz w:val="24"/>
        </w:rPr>
        <w:t>_</w:t>
      </w:r>
      <w:r>
        <w:rPr>
          <w:rFonts w:hint="eastAsia" w:asciiTheme="minorEastAsia" w:hAnsiTheme="minorEastAsia" w:eastAsiaTheme="minorEastAsia"/>
          <w:sz w:val="24"/>
        </w:rPr>
        <w:t>30</w:t>
      </w:r>
      <w:r>
        <w:rPr>
          <w:rFonts w:asciiTheme="minorEastAsia" w:hAnsiTheme="minorEastAsia" w:eastAsiaTheme="minorEastAsia"/>
          <w:sz w:val="24"/>
        </w:rPr>
        <w:t>_</w:t>
      </w:r>
      <w:r>
        <w:rPr>
          <w:rFonts w:hint="eastAsia" w:asciiTheme="minorEastAsia" w:hAnsiTheme="minorEastAsia" w:eastAsiaTheme="minorEastAsia"/>
          <w:sz w:val="24"/>
        </w:rPr>
        <w:t>日内与甲方及乙方签订关于《</w:t>
      </w:r>
      <w:r>
        <w:rPr>
          <w:rFonts w:asciiTheme="minorEastAsia" w:hAnsiTheme="minorEastAsia" w:eastAsiaTheme="minorEastAsia"/>
          <w:sz w:val="24"/>
        </w:rPr>
        <w:t>PPP</w:t>
      </w:r>
      <w:r>
        <w:rPr>
          <w:rFonts w:hint="eastAsia" w:asciiTheme="minorEastAsia" w:hAnsiTheme="minorEastAsia" w:eastAsiaTheme="minorEastAsia"/>
          <w:sz w:val="24"/>
          <w:szCs w:val="24"/>
        </w:rPr>
        <w:t>项目合同</w:t>
      </w:r>
      <w:r>
        <w:rPr>
          <w:rFonts w:hint="eastAsia" w:asciiTheme="minorEastAsia" w:hAnsiTheme="minorEastAsia" w:eastAsiaTheme="minorEastAsia"/>
          <w:sz w:val="24"/>
        </w:rPr>
        <w:t>》和《</w:t>
      </w:r>
      <w:r>
        <w:rPr>
          <w:rFonts w:hint="eastAsia" w:asciiTheme="minorEastAsia" w:hAnsiTheme="minorEastAsia" w:eastAsiaTheme="minorEastAsia"/>
          <w:sz w:val="24"/>
          <w:szCs w:val="24"/>
        </w:rPr>
        <w:t>运营维护服务协议》（如有）等合同文件（</w:t>
      </w:r>
      <w:r>
        <w:rPr>
          <w:rFonts w:hint="eastAsia" w:asciiTheme="minorEastAsia" w:hAnsiTheme="minorEastAsia" w:eastAsiaTheme="minorEastAsia"/>
          <w:sz w:val="24"/>
        </w:rPr>
        <w:t>《合作协议》除外</w:t>
      </w:r>
      <w:r>
        <w:rPr>
          <w:rFonts w:hint="eastAsia" w:asciiTheme="minorEastAsia" w:hAnsiTheme="minorEastAsia" w:eastAsiaTheme="minorEastAsia"/>
          <w:sz w:val="24"/>
          <w:szCs w:val="24"/>
        </w:rPr>
        <w:t>）的承继协议</w:t>
      </w:r>
      <w:r>
        <w:rPr>
          <w:rFonts w:hint="eastAsia" w:asciiTheme="minorEastAsia" w:hAnsiTheme="minorEastAsia" w:eastAsiaTheme="minorEastAsia"/>
          <w:sz w:val="24"/>
        </w:rPr>
        <w:t>，由项目公司承继乙方在前述合同文件项下的权利和义务。</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甲、乙、丙、丁四方遵循平等、合作、守信的原则，</w:t>
      </w:r>
      <w:r>
        <w:rPr>
          <w:rFonts w:asciiTheme="minorEastAsia" w:hAnsiTheme="minorEastAsia" w:eastAsiaTheme="minorEastAsia"/>
          <w:sz w:val="24"/>
        </w:rPr>
        <w:t>就本项目实施相关事项协商一致</w:t>
      </w:r>
      <w:r>
        <w:rPr>
          <w:rFonts w:hint="eastAsia" w:asciiTheme="minorEastAsia" w:hAnsiTheme="minorEastAsia" w:eastAsiaTheme="minorEastAsia"/>
          <w:sz w:val="24"/>
        </w:rPr>
        <w:t>，并根据《中华人民共和国合同法》及有关适用法律规定，共同达成协议如下：</w:t>
      </w:r>
    </w:p>
    <w:p>
      <w:pPr>
        <w:pStyle w:val="3"/>
        <w:keepLines w:val="0"/>
        <w:widowControl/>
        <w:numPr>
          <w:ilvl w:val="1"/>
          <w:numId w:val="0"/>
        </w:numPr>
        <w:tabs>
          <w:tab w:val="left" w:pos="284"/>
          <w:tab w:val="left" w:pos="426"/>
        </w:tabs>
        <w:autoSpaceDE w:val="0"/>
        <w:autoSpaceDN w:val="0"/>
        <w:adjustRightInd w:val="0"/>
        <w:spacing w:before="468" w:beforeLines="150" w:after="120" w:line="360" w:lineRule="auto"/>
        <w:ind w:left="284"/>
        <w:rPr>
          <w:rFonts w:asciiTheme="minorEastAsia" w:hAnsiTheme="minorEastAsia"/>
          <w:b w:val="0"/>
        </w:rPr>
      </w:pPr>
      <w:bookmarkStart w:id="519" w:name="_Toc50993487"/>
      <w:r>
        <w:rPr>
          <w:rFonts w:hint="eastAsia" w:asciiTheme="minorEastAsia" w:hAnsiTheme="minorEastAsia"/>
          <w:b w:val="0"/>
        </w:rPr>
        <w:t>甲方和乙方同意并认可，丙方确认并概括承继乙方在下列合同文件项下的权利和义务（但本协议和下列合同文件另有约定的除外）：</w:t>
      </w:r>
      <w:bookmarkEnd w:id="519"/>
    </w:p>
    <w:p>
      <w:pPr>
        <w:pStyle w:val="15"/>
        <w:spacing w:line="360" w:lineRule="auto"/>
        <w:ind w:firstLine="480"/>
        <w:rPr>
          <w:rFonts w:asciiTheme="minorEastAsia" w:hAnsiTheme="minorEastAsia" w:eastAsiaTheme="minorEastAsia"/>
          <w:kern w:val="0"/>
        </w:rPr>
      </w:pPr>
      <w:r>
        <w:rPr>
          <w:rFonts w:asciiTheme="minorEastAsia" w:hAnsiTheme="minorEastAsia" w:eastAsiaTheme="minorEastAsia"/>
          <w:kern w:val="0"/>
        </w:rPr>
        <w:t xml:space="preserve">   </w:t>
      </w:r>
      <w:r>
        <w:rPr>
          <w:rFonts w:hint="eastAsia" w:asciiTheme="minorEastAsia" w:hAnsiTheme="minorEastAsia" w:eastAsiaTheme="minorEastAsia"/>
          <w:kern w:val="0"/>
        </w:rPr>
        <w:t>（1）《</w:t>
      </w:r>
      <w:r>
        <w:rPr>
          <w:rFonts w:hint="eastAsia" w:asciiTheme="minorEastAsia" w:hAnsiTheme="minorEastAsia" w:eastAsiaTheme="minorEastAsia"/>
        </w:rPr>
        <w:t>贵港市产业园（粤桂园）给水厂和污水处理厂供排一体化</w:t>
      </w:r>
      <w:r>
        <w:rPr>
          <w:rFonts w:hint="eastAsia" w:asciiTheme="minorEastAsia" w:hAnsiTheme="minorEastAsia" w:eastAsiaTheme="minorEastAsia"/>
          <w:kern w:val="0"/>
        </w:rPr>
        <w:t>PPP项目政府和社会资本合作（PPP）项目合同》；</w:t>
      </w:r>
    </w:p>
    <w:p>
      <w:pPr>
        <w:pStyle w:val="15"/>
        <w:spacing w:line="360" w:lineRule="auto"/>
        <w:ind w:firstLine="480"/>
        <w:rPr>
          <w:rFonts w:asciiTheme="minorEastAsia" w:hAnsiTheme="minorEastAsia" w:eastAsiaTheme="minorEastAsia"/>
          <w:kern w:val="0"/>
        </w:rPr>
      </w:pPr>
      <w:r>
        <w:rPr>
          <w:rFonts w:hint="eastAsia" w:asciiTheme="minorEastAsia" w:hAnsiTheme="minorEastAsia" w:eastAsiaTheme="minorEastAsia"/>
          <w:kern w:val="0"/>
        </w:rPr>
        <w:t xml:space="preserve"> </w:t>
      </w:r>
      <w:r>
        <w:rPr>
          <w:rFonts w:asciiTheme="minorEastAsia" w:hAnsiTheme="minorEastAsia" w:eastAsiaTheme="minorEastAsia"/>
          <w:kern w:val="0"/>
        </w:rPr>
        <w:t xml:space="preserve">  </w:t>
      </w:r>
      <w:r>
        <w:rPr>
          <w:rFonts w:hint="eastAsia" w:asciiTheme="minorEastAsia" w:hAnsiTheme="minorEastAsia" w:eastAsiaTheme="minorEastAsia"/>
          <w:kern w:val="0"/>
        </w:rPr>
        <w:t>（2）《</w:t>
      </w:r>
      <w:r>
        <w:rPr>
          <w:rFonts w:hint="eastAsia" w:asciiTheme="minorEastAsia" w:hAnsiTheme="minorEastAsia" w:eastAsiaTheme="minorEastAsia"/>
        </w:rPr>
        <w:t>贵港市产业园（粤桂园）给水厂和污水处理厂供排一体化</w:t>
      </w:r>
      <w:r>
        <w:rPr>
          <w:rFonts w:hint="eastAsia" w:asciiTheme="minorEastAsia" w:hAnsiTheme="minorEastAsia" w:eastAsiaTheme="minorEastAsia"/>
          <w:kern w:val="0"/>
        </w:rPr>
        <w:t>PPP项目政府和社会资本合作（PPP）项目运营维护服务协议》（如有）；</w:t>
      </w:r>
    </w:p>
    <w:p>
      <w:pPr>
        <w:pStyle w:val="15"/>
        <w:spacing w:line="360" w:lineRule="auto"/>
        <w:ind w:firstLine="480"/>
        <w:rPr>
          <w:rFonts w:asciiTheme="minorEastAsia" w:hAnsiTheme="minorEastAsia" w:eastAsiaTheme="minorEastAsia"/>
          <w:kern w:val="0"/>
        </w:rPr>
      </w:pPr>
      <w:r>
        <w:rPr>
          <w:rFonts w:hint="eastAsia" w:asciiTheme="minorEastAsia" w:hAnsiTheme="minorEastAsia" w:eastAsiaTheme="minorEastAsia"/>
          <w:kern w:val="0"/>
        </w:rPr>
        <w:t xml:space="preserve"> </w:t>
      </w:r>
      <w:r>
        <w:rPr>
          <w:rFonts w:asciiTheme="minorEastAsia" w:hAnsiTheme="minorEastAsia" w:eastAsiaTheme="minorEastAsia"/>
          <w:kern w:val="0"/>
        </w:rPr>
        <w:t xml:space="preserve">  </w:t>
      </w:r>
      <w:r>
        <w:rPr>
          <w:rFonts w:hint="eastAsia" w:asciiTheme="minorEastAsia" w:hAnsiTheme="minorEastAsia" w:eastAsiaTheme="minorEastAsia"/>
          <w:kern w:val="0"/>
        </w:rPr>
        <w:t>（3）其他协议：_《贵港市产业园（粤桂园）给水厂和污水处理厂供排一体化PPP项目政府和社会资本合作（PPP）项目合作协议》</w:t>
      </w:r>
      <w:r>
        <w:rPr>
          <w:rFonts w:asciiTheme="minorEastAsia" w:hAnsiTheme="minorEastAsia" w:eastAsiaTheme="minorEastAsia"/>
          <w:kern w:val="0"/>
        </w:rPr>
        <w:t>_</w:t>
      </w:r>
      <w:r>
        <w:rPr>
          <w:rFonts w:hint="eastAsia" w:asciiTheme="minorEastAsia" w:hAnsiTheme="minorEastAsia" w:eastAsiaTheme="minorEastAsia"/>
          <w:kern w:val="0"/>
        </w:rPr>
        <w:t>。</w:t>
      </w:r>
    </w:p>
    <w:p>
      <w:pPr>
        <w:pStyle w:val="3"/>
        <w:keepLines w:val="0"/>
        <w:widowControl/>
        <w:numPr>
          <w:ilvl w:val="1"/>
          <w:numId w:val="0"/>
        </w:numPr>
        <w:tabs>
          <w:tab w:val="left" w:pos="284"/>
          <w:tab w:val="left" w:pos="426"/>
        </w:tabs>
        <w:autoSpaceDE w:val="0"/>
        <w:autoSpaceDN w:val="0"/>
        <w:adjustRightInd w:val="0"/>
        <w:spacing w:before="468" w:beforeLines="150" w:after="120" w:line="360" w:lineRule="auto"/>
        <w:ind w:left="284"/>
        <w:rPr>
          <w:rFonts w:asciiTheme="minorEastAsia" w:hAnsiTheme="minorEastAsia"/>
        </w:rPr>
      </w:pPr>
      <w:bookmarkStart w:id="520" w:name="_Toc50993488"/>
      <w:r>
        <w:rPr>
          <w:rFonts w:hint="eastAsia" w:asciiTheme="minorEastAsia" w:hAnsiTheme="minorEastAsia"/>
          <w:b w:val="0"/>
        </w:rPr>
        <w:t>虽有上述权利和义务概括承继的约定，但以下事项所涉及的权利和义务仍由本协议乙方享有和承担:</w:t>
      </w:r>
      <w:bookmarkEnd w:id="520"/>
    </w:p>
    <w:p>
      <w:pPr>
        <w:pStyle w:val="15"/>
        <w:numPr>
          <w:ilvl w:val="0"/>
          <w:numId w:val="17"/>
        </w:numPr>
        <w:spacing w:line="360" w:lineRule="auto"/>
        <w:ind w:firstLineChars="0"/>
        <w:rPr>
          <w:rFonts w:asciiTheme="minorEastAsia" w:hAnsiTheme="minorEastAsia" w:eastAsiaTheme="minorEastAsia"/>
          <w:kern w:val="0"/>
        </w:rPr>
      </w:pPr>
      <w:r>
        <w:rPr>
          <w:rFonts w:hint="eastAsia" w:asciiTheme="minorEastAsia" w:hAnsiTheme="minorEastAsia" w:eastAsiaTheme="minorEastAsia"/>
          <w:kern w:val="0"/>
        </w:rPr>
        <w:t>乙方所持丙方的股权变更限制；</w:t>
      </w:r>
    </w:p>
    <w:p>
      <w:pPr>
        <w:pStyle w:val="15"/>
        <w:numPr>
          <w:ilvl w:val="0"/>
          <w:numId w:val="17"/>
        </w:numPr>
        <w:spacing w:line="360" w:lineRule="auto"/>
        <w:ind w:firstLineChars="0"/>
        <w:rPr>
          <w:rFonts w:asciiTheme="minorEastAsia" w:hAnsiTheme="minorEastAsia" w:eastAsiaTheme="minorEastAsia"/>
          <w:kern w:val="0"/>
        </w:rPr>
      </w:pPr>
      <w:r>
        <w:rPr>
          <w:rFonts w:hint="eastAsia" w:asciiTheme="minorEastAsia" w:hAnsiTheme="minorEastAsia" w:eastAsiaTheme="minorEastAsia"/>
          <w:kern w:val="0"/>
        </w:rPr>
        <w:t>乙方对项目资本金的出资责任；</w:t>
      </w:r>
    </w:p>
    <w:p>
      <w:pPr>
        <w:pStyle w:val="15"/>
        <w:numPr>
          <w:ilvl w:val="0"/>
          <w:numId w:val="17"/>
        </w:numPr>
        <w:spacing w:line="360" w:lineRule="auto"/>
        <w:ind w:firstLineChars="0"/>
        <w:rPr>
          <w:rFonts w:asciiTheme="minorEastAsia" w:hAnsiTheme="minorEastAsia" w:eastAsiaTheme="minorEastAsia"/>
          <w:kern w:val="0"/>
        </w:rPr>
      </w:pPr>
      <w:r>
        <w:rPr>
          <w:rFonts w:hint="eastAsia" w:asciiTheme="minorEastAsia" w:hAnsiTheme="minorEastAsia" w:eastAsiaTheme="minorEastAsia"/>
          <w:kern w:val="0"/>
        </w:rPr>
        <w:t>乙方承担的补充融资责任；</w:t>
      </w:r>
    </w:p>
    <w:p>
      <w:pPr>
        <w:pStyle w:val="15"/>
        <w:numPr>
          <w:ilvl w:val="0"/>
          <w:numId w:val="17"/>
        </w:numPr>
        <w:spacing w:line="360" w:lineRule="auto"/>
        <w:ind w:firstLineChars="0"/>
        <w:rPr>
          <w:rFonts w:asciiTheme="minorEastAsia" w:hAnsiTheme="minorEastAsia" w:eastAsiaTheme="minorEastAsia"/>
          <w:kern w:val="0"/>
        </w:rPr>
      </w:pPr>
      <w:r>
        <w:rPr>
          <w:rFonts w:hint="eastAsia" w:asciiTheme="minorEastAsia" w:hAnsiTheme="minorEastAsia" w:eastAsiaTheme="minorEastAsia"/>
          <w:kern w:val="0"/>
        </w:rPr>
        <w:t>其他：_</w:t>
      </w:r>
      <w:r>
        <w:rPr>
          <w:rFonts w:asciiTheme="minorEastAsia" w:hAnsiTheme="minorEastAsia" w:eastAsiaTheme="minorEastAsia"/>
          <w:kern w:val="0"/>
        </w:rPr>
        <w:t>_______________________</w:t>
      </w:r>
      <w:r>
        <w:rPr>
          <w:rFonts w:hint="eastAsia" w:asciiTheme="minorEastAsia" w:hAnsiTheme="minorEastAsia" w:eastAsiaTheme="minorEastAsia"/>
          <w:kern w:val="0"/>
        </w:rPr>
        <w:t>。</w:t>
      </w:r>
    </w:p>
    <w:p>
      <w:pPr>
        <w:pStyle w:val="15"/>
        <w:spacing w:line="360" w:lineRule="auto"/>
        <w:ind w:firstLine="600" w:firstLineChars="250"/>
        <w:rPr>
          <w:rFonts w:asciiTheme="minorEastAsia" w:hAnsiTheme="minorEastAsia" w:eastAsiaTheme="minorEastAsia"/>
          <w:kern w:val="0"/>
        </w:rPr>
      </w:pPr>
      <w:r>
        <w:rPr>
          <w:rFonts w:hint="eastAsia" w:asciiTheme="minorEastAsia" w:hAnsiTheme="minorEastAsia" w:eastAsiaTheme="minorEastAsia"/>
          <w:kern w:val="0"/>
        </w:rPr>
        <w:t>上述事项具体以甲方与乙方之间签署的《合作协议》等相关约定为准。</w:t>
      </w:r>
    </w:p>
    <w:p>
      <w:pPr>
        <w:pStyle w:val="3"/>
        <w:keepLines w:val="0"/>
        <w:widowControl/>
        <w:numPr>
          <w:ilvl w:val="1"/>
          <w:numId w:val="0"/>
        </w:numPr>
        <w:tabs>
          <w:tab w:val="left" w:pos="284"/>
          <w:tab w:val="left" w:pos="426"/>
        </w:tabs>
        <w:autoSpaceDE w:val="0"/>
        <w:autoSpaceDN w:val="0"/>
        <w:adjustRightInd w:val="0"/>
        <w:spacing w:before="468" w:beforeLines="150" w:after="120" w:line="360" w:lineRule="auto"/>
        <w:ind w:left="284"/>
        <w:rPr>
          <w:rFonts w:asciiTheme="minorEastAsia" w:hAnsiTheme="minorEastAsia"/>
          <w:b w:val="0"/>
        </w:rPr>
      </w:pPr>
      <w:bookmarkStart w:id="521" w:name="_Toc50993489"/>
      <w:r>
        <w:rPr>
          <w:rFonts w:hint="eastAsia" w:asciiTheme="minorEastAsia" w:hAnsiTheme="minorEastAsia"/>
          <w:b w:val="0"/>
        </w:rPr>
        <w:t>如本协议与第一条所列合同文件的约定有冲突的，以本协议的约定为准。</w:t>
      </w:r>
      <w:bookmarkEnd w:id="521"/>
    </w:p>
    <w:p>
      <w:pPr>
        <w:pStyle w:val="3"/>
        <w:keepLines w:val="0"/>
        <w:widowControl/>
        <w:numPr>
          <w:ilvl w:val="1"/>
          <w:numId w:val="0"/>
        </w:numPr>
        <w:tabs>
          <w:tab w:val="left" w:pos="284"/>
          <w:tab w:val="left" w:pos="426"/>
        </w:tabs>
        <w:autoSpaceDE w:val="0"/>
        <w:autoSpaceDN w:val="0"/>
        <w:adjustRightInd w:val="0"/>
        <w:spacing w:before="468" w:beforeLines="150" w:after="120" w:line="360" w:lineRule="auto"/>
        <w:ind w:left="284"/>
        <w:rPr>
          <w:rFonts w:asciiTheme="minorEastAsia" w:hAnsiTheme="minorEastAsia"/>
          <w:b w:val="0"/>
        </w:rPr>
      </w:pPr>
      <w:bookmarkStart w:id="522" w:name="_Toc50993490"/>
      <w:r>
        <w:rPr>
          <w:rFonts w:hint="eastAsia" w:asciiTheme="minorEastAsia" w:hAnsiTheme="minorEastAsia"/>
          <w:b w:val="0"/>
        </w:rPr>
        <w:t>本协议经甲、乙、丙三方法定代表人或其授权代表签字，并加盖公章之日起生效。</w:t>
      </w:r>
      <w:bookmarkEnd w:id="522"/>
    </w:p>
    <w:p>
      <w:pPr>
        <w:pStyle w:val="15"/>
        <w:spacing w:line="360" w:lineRule="auto"/>
        <w:ind w:firstLine="602" w:firstLineChars="250"/>
        <w:rPr>
          <w:rFonts w:asciiTheme="minorEastAsia" w:hAnsiTheme="minorEastAsia" w:eastAsiaTheme="minorEastAsia"/>
          <w:b/>
          <w:bCs/>
          <w:kern w:val="0"/>
        </w:rPr>
      </w:pPr>
      <w:r>
        <w:rPr>
          <w:rFonts w:hint="eastAsia" w:asciiTheme="minorEastAsia" w:hAnsiTheme="minorEastAsia" w:eastAsiaTheme="minorEastAsia"/>
          <w:b/>
          <w:bCs/>
          <w:kern w:val="0"/>
        </w:rPr>
        <w:t>本协议一式</w:t>
      </w:r>
      <w:r>
        <w:rPr>
          <w:rFonts w:hint="eastAsia" w:asciiTheme="minorEastAsia" w:hAnsiTheme="minorEastAsia" w:eastAsiaTheme="minorEastAsia"/>
          <w:b/>
          <w:bCs/>
          <w:kern w:val="0"/>
          <w:u w:val="single"/>
        </w:rPr>
        <w:t>_   _</w:t>
      </w:r>
      <w:r>
        <w:rPr>
          <w:rFonts w:hint="eastAsia" w:asciiTheme="minorEastAsia" w:hAnsiTheme="minorEastAsia" w:eastAsiaTheme="minorEastAsia"/>
          <w:b/>
          <w:bCs/>
          <w:kern w:val="0"/>
        </w:rPr>
        <w:t>份，甲、乙、丙、丁</w:t>
      </w:r>
      <w:r>
        <w:rPr>
          <w:rFonts w:hint="eastAsia" w:asciiTheme="minorEastAsia" w:hAnsiTheme="minorEastAsia" w:eastAsiaTheme="minorEastAsia"/>
          <w:b/>
          <w:bCs/>
          <w:kern w:val="0"/>
          <w:u w:val="single"/>
        </w:rPr>
        <w:t>四</w:t>
      </w:r>
      <w:r>
        <w:rPr>
          <w:rFonts w:hint="eastAsia" w:asciiTheme="minorEastAsia" w:hAnsiTheme="minorEastAsia" w:eastAsiaTheme="minorEastAsia"/>
          <w:b/>
          <w:bCs/>
          <w:kern w:val="0"/>
        </w:rPr>
        <w:t>方各执</w:t>
      </w:r>
      <w:r>
        <w:rPr>
          <w:rFonts w:hint="eastAsia" w:asciiTheme="minorEastAsia" w:hAnsiTheme="minorEastAsia" w:eastAsiaTheme="minorEastAsia"/>
          <w:b/>
          <w:bCs/>
          <w:kern w:val="0"/>
          <w:u w:val="single"/>
        </w:rPr>
        <w:t xml:space="preserve">    </w:t>
      </w:r>
      <w:r>
        <w:rPr>
          <w:rFonts w:hint="eastAsia" w:asciiTheme="minorEastAsia" w:hAnsiTheme="minorEastAsia" w:eastAsiaTheme="minorEastAsia"/>
          <w:b/>
          <w:bCs/>
          <w:kern w:val="0"/>
        </w:rPr>
        <w:t>份，其余</w:t>
      </w:r>
      <w:r>
        <w:rPr>
          <w:rFonts w:hint="eastAsia" w:asciiTheme="minorEastAsia" w:hAnsiTheme="minorEastAsia" w:eastAsiaTheme="minorEastAsia"/>
          <w:b/>
          <w:bCs/>
          <w:kern w:val="0"/>
          <w:u w:val="single"/>
        </w:rPr>
        <w:t xml:space="preserve">    </w:t>
      </w:r>
      <w:r>
        <w:rPr>
          <w:rFonts w:hint="eastAsia" w:asciiTheme="minorEastAsia" w:hAnsiTheme="minorEastAsia" w:eastAsiaTheme="minorEastAsia"/>
          <w:b/>
          <w:bCs/>
          <w:kern w:val="0"/>
        </w:rPr>
        <w:t>份交予有关部门登记备案。各份合同具有同等法律效力。签署页（本页无正文）</w:t>
      </w:r>
    </w:p>
    <w:p>
      <w:pPr>
        <w:rPr>
          <w:rFonts w:asciiTheme="minorEastAsia" w:hAnsiTheme="minorEastAsia" w:eastAsiaTheme="minorEastAsia"/>
          <w:sz w:val="24"/>
        </w:rPr>
      </w:pPr>
    </w:p>
    <w:p>
      <w:pPr>
        <w:rPr>
          <w:rFonts w:asciiTheme="minorEastAsia" w:hAnsiTheme="minorEastAsia" w:eastAsiaTheme="minorEastAsia"/>
          <w:sz w:val="24"/>
        </w:rPr>
      </w:pPr>
    </w:p>
    <w:tbl>
      <w:tblPr>
        <w:tblStyle w:val="55"/>
        <w:tblW w:w="0" w:type="auto"/>
        <w:tblInd w:w="0" w:type="dxa"/>
        <w:tblLayout w:type="fixed"/>
        <w:tblCellMar>
          <w:top w:w="0" w:type="dxa"/>
          <w:left w:w="108" w:type="dxa"/>
          <w:bottom w:w="0" w:type="dxa"/>
          <w:right w:w="108" w:type="dxa"/>
        </w:tblCellMar>
      </w:tblPr>
      <w:tblGrid>
        <w:gridCol w:w="8364"/>
      </w:tblGrid>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甲方（盖章）：</w:t>
            </w:r>
            <w:r>
              <w:rPr>
                <w:rFonts w:asciiTheme="minorEastAsia" w:hAnsiTheme="minorEastAsia" w:eastAsiaTheme="minorEastAsia"/>
                <w:sz w:val="24"/>
              </w:rPr>
              <w:t xml:space="preserve"> </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r>
              <w:rPr>
                <w:rFonts w:hint="eastAsia" w:asciiTheme="minorEastAsia" w:hAnsiTheme="minorEastAsia" w:eastAsiaTheme="minorEastAsia"/>
                <w:sz w:val="24"/>
              </w:rPr>
              <w:t>法定代表人或其授权代表（签字）：</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日期：</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ind w:left="1560" w:hanging="1560" w:hangingChars="650"/>
              <w:rPr>
                <w:rFonts w:asciiTheme="minorEastAsia" w:hAnsiTheme="minorEastAsia" w:eastAsiaTheme="minorEastAsia"/>
                <w:sz w:val="24"/>
              </w:rPr>
            </w:pPr>
            <w:r>
              <w:rPr>
                <w:rFonts w:hint="eastAsia" w:asciiTheme="minorEastAsia" w:hAnsiTheme="minorEastAsia" w:eastAsiaTheme="minorEastAsia"/>
                <w:sz w:val="24"/>
              </w:rPr>
              <w:t>乙方（盖章）：</w:t>
            </w:r>
            <w:r>
              <w:rPr>
                <w:rFonts w:asciiTheme="minorEastAsia" w:hAnsiTheme="minorEastAsia" w:eastAsiaTheme="minorEastAsia"/>
                <w:sz w:val="24"/>
              </w:rPr>
              <w:t xml:space="preserve"> </w:t>
            </w:r>
          </w:p>
          <w:p>
            <w:pPr>
              <w:rPr>
                <w:rFonts w:asciiTheme="minorEastAsia" w:hAnsiTheme="minorEastAsia" w:eastAsiaTheme="minorEastAsia"/>
                <w:sz w:val="24"/>
              </w:rPr>
            </w:pPr>
          </w:p>
          <w:p>
            <w:pPr>
              <w:rPr>
                <w:rFonts w:asciiTheme="minorEastAsia" w:hAnsiTheme="minorEastAsia" w:eastAsiaTheme="minorEastAsia"/>
                <w:sz w:val="24"/>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r>
              <w:rPr>
                <w:rFonts w:hint="eastAsia" w:asciiTheme="minorEastAsia" w:hAnsiTheme="minorEastAsia" w:eastAsiaTheme="minorEastAsia"/>
                <w:sz w:val="24"/>
              </w:rPr>
              <w:t>法定代表人或其授权代表（签字）：</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日期：</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ind w:left="1560" w:hanging="1560" w:hangingChars="650"/>
              <w:rPr>
                <w:rFonts w:asciiTheme="minorEastAsia" w:hAnsiTheme="minorEastAsia" w:eastAsiaTheme="minorEastAsia"/>
                <w:sz w:val="24"/>
              </w:rPr>
            </w:pPr>
            <w:r>
              <w:rPr>
                <w:rFonts w:asciiTheme="minorEastAsia" w:hAnsiTheme="minorEastAsia" w:eastAsiaTheme="minorEastAsia"/>
                <w:sz w:val="24"/>
              </w:rPr>
              <w:t>丙</w:t>
            </w:r>
            <w:r>
              <w:rPr>
                <w:rFonts w:hint="eastAsia" w:asciiTheme="minorEastAsia" w:hAnsiTheme="minorEastAsia" w:eastAsiaTheme="minorEastAsia"/>
                <w:sz w:val="24"/>
              </w:rPr>
              <w:t>方（盖章）：</w:t>
            </w:r>
            <w:r>
              <w:rPr>
                <w:rFonts w:asciiTheme="minorEastAsia" w:hAnsiTheme="minorEastAsia" w:eastAsiaTheme="minorEastAsia"/>
                <w:sz w:val="24"/>
              </w:rPr>
              <w:t xml:space="preserve"> </w:t>
            </w: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r>
              <w:rPr>
                <w:rFonts w:hint="eastAsia" w:asciiTheme="minorEastAsia" w:hAnsiTheme="minorEastAsia" w:eastAsiaTheme="minorEastAsia"/>
                <w:sz w:val="24"/>
              </w:rPr>
              <w:t>法定代表人或其授权代表（签字）：</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日期：</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b/>
                <w:sz w:val="32"/>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ind w:left="1560" w:hanging="1560" w:hangingChars="650"/>
              <w:rPr>
                <w:rFonts w:asciiTheme="minorEastAsia" w:hAnsiTheme="minorEastAsia" w:eastAsiaTheme="minorEastAsia"/>
                <w:sz w:val="24"/>
              </w:rPr>
            </w:pPr>
            <w:r>
              <w:rPr>
                <w:rFonts w:hint="eastAsia" w:asciiTheme="minorEastAsia" w:hAnsiTheme="minorEastAsia" w:eastAsiaTheme="minorEastAsia"/>
                <w:sz w:val="24"/>
              </w:rPr>
              <w:t>丁方（盖章）：</w:t>
            </w:r>
            <w:r>
              <w:rPr>
                <w:rFonts w:asciiTheme="minorEastAsia" w:hAnsiTheme="minorEastAsia" w:eastAsiaTheme="minorEastAsia"/>
                <w:sz w:val="24"/>
              </w:rPr>
              <w:t xml:space="preserve"> </w:t>
            </w: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b/>
                <w:sz w:val="32"/>
              </w:rPr>
            </w:pPr>
          </w:p>
        </w:tc>
      </w:tr>
      <w:tr>
        <w:tblPrEx>
          <w:tblCellMar>
            <w:top w:w="0" w:type="dxa"/>
            <w:left w:w="108" w:type="dxa"/>
            <w:bottom w:w="0" w:type="dxa"/>
            <w:right w:w="108" w:type="dxa"/>
          </w:tblCellMar>
        </w:tblPrEx>
        <w:tc>
          <w:tcPr>
            <w:tcW w:w="8364" w:type="dxa"/>
          </w:tcPr>
          <w:p>
            <w:pPr>
              <w:rPr>
                <w:rFonts w:asciiTheme="minorEastAsia" w:hAnsiTheme="minorEastAsia" w:eastAsiaTheme="minorEastAsia"/>
                <w:b/>
                <w:sz w:val="32"/>
              </w:rPr>
            </w:pPr>
            <w:r>
              <w:rPr>
                <w:rFonts w:hint="eastAsia" w:asciiTheme="minorEastAsia" w:hAnsiTheme="minorEastAsia" w:eastAsiaTheme="minorEastAsia"/>
                <w:sz w:val="24"/>
              </w:rPr>
              <w:t>法定代表人或其授权代表（签字）：</w:t>
            </w:r>
          </w:p>
        </w:tc>
      </w:tr>
      <w:tr>
        <w:tblPrEx>
          <w:tblCellMar>
            <w:top w:w="0" w:type="dxa"/>
            <w:left w:w="108" w:type="dxa"/>
            <w:bottom w:w="0" w:type="dxa"/>
            <w:right w:w="108" w:type="dxa"/>
          </w:tblCellMar>
        </w:tblPrEx>
        <w:tc>
          <w:tcPr>
            <w:tcW w:w="8364" w:type="dxa"/>
          </w:tcPr>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b/>
                <w:sz w:val="32"/>
              </w:rPr>
            </w:pPr>
            <w:r>
              <w:rPr>
                <w:rFonts w:hint="eastAsia" w:asciiTheme="minorEastAsia" w:hAnsiTheme="minorEastAsia" w:eastAsiaTheme="minorEastAsia"/>
                <w:sz w:val="24"/>
              </w:rPr>
              <w:t>日期：</w:t>
            </w:r>
          </w:p>
        </w:tc>
      </w:tr>
    </w:tbl>
    <w:p>
      <w:pPr>
        <w:pStyle w:val="687"/>
        <w:rPr>
          <w:rFonts w:asciiTheme="minorEastAsia" w:hAnsiTheme="minorEastAsia" w:eastAsiaTheme="minorEastAsia"/>
        </w:rPr>
      </w:pPr>
    </w:p>
    <w:p>
      <w:pPr>
        <w:widowControl/>
        <w:jc w:val="left"/>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rPr>
      </w:pPr>
      <w:r>
        <w:rPr>
          <w:rFonts w:asciiTheme="minorEastAsia" w:hAnsiTheme="minorEastAsia" w:eastAsiaTheme="minorEastAsia"/>
        </w:rPr>
        <w:t>附件</w:t>
      </w:r>
      <w:r>
        <w:rPr>
          <w:rFonts w:hint="eastAsia" w:asciiTheme="minorEastAsia" w:hAnsiTheme="minorEastAsia" w:eastAsiaTheme="minorEastAsia"/>
        </w:rPr>
        <w:t>四：运营维护服务协议</w:t>
      </w:r>
    </w:p>
    <w:p>
      <w:pPr>
        <w:spacing w:before="80" w:after="80" w:line="360" w:lineRule="auto"/>
        <w:jc w:val="center"/>
        <w:rPr>
          <w:rFonts w:asciiTheme="minorEastAsia" w:hAnsiTheme="minorEastAsia" w:eastAsiaTheme="minorEastAsia"/>
          <w:b/>
          <w:sz w:val="44"/>
          <w:szCs w:val="28"/>
        </w:rPr>
      </w:pPr>
      <w:r>
        <w:rPr>
          <w:rFonts w:asciiTheme="minorEastAsia" w:hAnsiTheme="minorEastAsia" w:eastAsiaTheme="minorEastAsia"/>
          <w:b/>
          <w:sz w:val="44"/>
          <w:szCs w:val="28"/>
        </w:rPr>
        <w:t>贵港市产业园（粤桂园）给水厂和污水处理厂供排一体化PPP项目</w:t>
      </w:r>
    </w:p>
    <w:p>
      <w:pPr>
        <w:spacing w:before="80" w:after="80" w:line="360" w:lineRule="auto"/>
        <w:jc w:val="center"/>
        <w:rPr>
          <w:rFonts w:asciiTheme="minorEastAsia" w:hAnsiTheme="minorEastAsia" w:eastAsiaTheme="minorEastAsia"/>
          <w:b/>
          <w:sz w:val="44"/>
          <w:szCs w:val="28"/>
        </w:rPr>
      </w:pPr>
    </w:p>
    <w:p>
      <w:pPr>
        <w:pStyle w:val="23"/>
        <w:rPr>
          <w:rFonts w:asciiTheme="minorEastAsia" w:hAnsiTheme="minorEastAsia" w:eastAsiaTheme="minorEastAsia"/>
        </w:rPr>
      </w:pPr>
    </w:p>
    <w:p>
      <w:pPr>
        <w:spacing w:before="80" w:after="80" w:line="360" w:lineRule="auto"/>
        <w:jc w:val="center"/>
        <w:rPr>
          <w:rFonts w:asciiTheme="minorEastAsia" w:hAnsiTheme="minorEastAsia" w:eastAsiaTheme="minorEastAsia"/>
          <w:b/>
          <w:sz w:val="44"/>
          <w:szCs w:val="28"/>
        </w:rPr>
      </w:pPr>
      <w:r>
        <w:rPr>
          <w:rFonts w:asciiTheme="minorEastAsia" w:hAnsiTheme="minorEastAsia" w:eastAsiaTheme="minorEastAsia"/>
          <w:b/>
          <w:sz w:val="44"/>
          <w:szCs w:val="28"/>
        </w:rPr>
        <w:t>政府和社会资本合作（PPP）项目</w:t>
      </w:r>
    </w:p>
    <w:p>
      <w:pPr>
        <w:spacing w:before="80" w:after="80" w:line="360" w:lineRule="auto"/>
        <w:jc w:val="center"/>
        <w:rPr>
          <w:rFonts w:asciiTheme="minorEastAsia" w:hAnsiTheme="minorEastAsia" w:eastAsiaTheme="minorEastAsia"/>
          <w:b/>
          <w:sz w:val="44"/>
          <w:szCs w:val="28"/>
        </w:rPr>
      </w:pPr>
      <w:r>
        <w:rPr>
          <w:rFonts w:asciiTheme="minorEastAsia" w:hAnsiTheme="minorEastAsia" w:eastAsiaTheme="minorEastAsia"/>
          <w:b/>
          <w:sz w:val="44"/>
          <w:szCs w:val="28"/>
        </w:rPr>
        <w:t>运营维护服务协议</w:t>
      </w:r>
    </w:p>
    <w:p>
      <w:pPr>
        <w:spacing w:before="163" w:after="24" w:line="500" w:lineRule="exact"/>
        <w:ind w:firstLine="1800" w:firstLineChars="600"/>
        <w:rPr>
          <w:rFonts w:asciiTheme="minorEastAsia" w:hAnsiTheme="minorEastAsia" w:eastAsiaTheme="minorEastAsia"/>
          <w:sz w:val="30"/>
        </w:rPr>
      </w:pPr>
    </w:p>
    <w:p>
      <w:pPr>
        <w:spacing w:before="163" w:after="24" w:line="500" w:lineRule="exact"/>
        <w:ind w:firstLine="1800" w:firstLineChars="600"/>
        <w:rPr>
          <w:rFonts w:asciiTheme="minorEastAsia" w:hAnsiTheme="minorEastAsia" w:eastAsiaTheme="minorEastAsia"/>
          <w:sz w:val="30"/>
        </w:rPr>
      </w:pPr>
    </w:p>
    <w:p>
      <w:pPr>
        <w:spacing w:before="163" w:after="24" w:line="500" w:lineRule="exact"/>
        <w:ind w:firstLine="1800" w:firstLineChars="600"/>
        <w:rPr>
          <w:rFonts w:asciiTheme="minorEastAsia" w:hAnsiTheme="minorEastAsia" w:eastAsiaTheme="minorEastAsia"/>
          <w:sz w:val="30"/>
        </w:rPr>
      </w:pPr>
    </w:p>
    <w:p>
      <w:pPr>
        <w:spacing w:before="163" w:after="24" w:line="500" w:lineRule="exact"/>
        <w:rPr>
          <w:rFonts w:asciiTheme="minorEastAsia" w:hAnsiTheme="minorEastAsia" w:eastAsiaTheme="minorEastAsia"/>
          <w:sz w:val="30"/>
        </w:rPr>
      </w:pPr>
    </w:p>
    <w:p>
      <w:pPr>
        <w:spacing w:before="163" w:after="24" w:line="500" w:lineRule="exact"/>
        <w:rPr>
          <w:rFonts w:asciiTheme="minorEastAsia" w:hAnsiTheme="minorEastAsia" w:eastAsiaTheme="minorEastAsia"/>
          <w:sz w:val="30"/>
        </w:rPr>
      </w:pPr>
    </w:p>
    <w:p>
      <w:pPr>
        <w:adjustRightInd w:val="0"/>
        <w:snapToGrid w:val="0"/>
        <w:spacing w:before="163" w:after="24" w:line="500" w:lineRule="exact"/>
        <w:ind w:leftChars="-1" w:hanging="2"/>
        <w:jc w:val="left"/>
        <w:rPr>
          <w:rFonts w:asciiTheme="minorEastAsia" w:hAnsiTheme="minorEastAsia" w:eastAsiaTheme="minorEastAsia"/>
          <w:b/>
          <w:sz w:val="30"/>
        </w:rPr>
      </w:pPr>
      <w:r>
        <w:rPr>
          <w:rFonts w:asciiTheme="minorEastAsia" w:hAnsiTheme="minorEastAsia" w:eastAsiaTheme="minorEastAsia"/>
          <w:b/>
          <w:sz w:val="30"/>
        </w:rPr>
        <w:t>甲方：</w:t>
      </w:r>
      <w:r>
        <w:rPr>
          <w:rFonts w:asciiTheme="minorEastAsia" w:hAnsiTheme="minorEastAsia" w:eastAsiaTheme="minorEastAsia"/>
          <w:b/>
          <w:sz w:val="30"/>
          <w:u w:val="single"/>
        </w:rPr>
        <w:t xml:space="preserve">       贵港市产业园区管理委员会         </w:t>
      </w:r>
    </w:p>
    <w:p>
      <w:pPr>
        <w:adjustRightInd w:val="0"/>
        <w:snapToGrid w:val="0"/>
        <w:spacing w:before="163" w:after="24" w:line="500" w:lineRule="exact"/>
        <w:ind w:leftChars="-1" w:hanging="2"/>
        <w:jc w:val="left"/>
        <w:rPr>
          <w:rFonts w:asciiTheme="minorEastAsia" w:hAnsiTheme="minorEastAsia" w:eastAsiaTheme="minorEastAsia"/>
          <w:b/>
          <w:sz w:val="30"/>
        </w:rPr>
      </w:pPr>
      <w:r>
        <w:rPr>
          <w:rFonts w:asciiTheme="minorEastAsia" w:hAnsiTheme="minorEastAsia" w:eastAsiaTheme="minorEastAsia"/>
          <w:b/>
          <w:sz w:val="30"/>
        </w:rPr>
        <w:t>乙方：</w:t>
      </w:r>
      <w:r>
        <w:rPr>
          <w:rFonts w:asciiTheme="minorEastAsia" w:hAnsiTheme="minorEastAsia" w:eastAsiaTheme="minorEastAsia"/>
          <w:b/>
          <w:sz w:val="30"/>
          <w:u w:val="single"/>
        </w:rPr>
        <w:t xml:space="preserve">       </w:t>
      </w:r>
      <w:r>
        <w:rPr>
          <w:rFonts w:hint="eastAsia" w:asciiTheme="minorEastAsia" w:hAnsiTheme="minorEastAsia" w:eastAsiaTheme="minorEastAsia"/>
          <w:b/>
          <w:sz w:val="30"/>
          <w:u w:val="single"/>
        </w:rPr>
        <w:t xml:space="preserve">                            </w:t>
      </w:r>
      <w:r>
        <w:rPr>
          <w:rFonts w:asciiTheme="minorEastAsia" w:hAnsiTheme="minorEastAsia" w:eastAsiaTheme="minorEastAsia"/>
          <w:b/>
          <w:sz w:val="30"/>
          <w:u w:val="single"/>
        </w:rPr>
        <w:t xml:space="preserve">     </w:t>
      </w:r>
    </w:p>
    <w:p>
      <w:pPr>
        <w:adjustRightInd w:val="0"/>
        <w:snapToGrid w:val="0"/>
        <w:spacing w:before="163" w:line="500" w:lineRule="exact"/>
        <w:ind w:leftChars="-1" w:hanging="2"/>
        <w:jc w:val="left"/>
        <w:rPr>
          <w:rFonts w:asciiTheme="minorEastAsia" w:hAnsiTheme="minorEastAsia" w:eastAsiaTheme="minorEastAsia"/>
          <w:b/>
          <w:sz w:val="30"/>
        </w:rPr>
      </w:pPr>
      <w:r>
        <w:rPr>
          <w:rFonts w:asciiTheme="minorEastAsia" w:hAnsiTheme="minorEastAsia" w:eastAsiaTheme="minorEastAsia"/>
          <w:b/>
          <w:sz w:val="30"/>
        </w:rPr>
        <w:t>签订日期：</w:t>
      </w:r>
      <w:r>
        <w:rPr>
          <w:rFonts w:asciiTheme="minorEastAsia" w:hAnsiTheme="minorEastAsia" w:eastAsiaTheme="minorEastAsia"/>
          <w:b/>
          <w:sz w:val="30"/>
          <w:szCs w:val="30"/>
          <w:u w:val="single"/>
        </w:rPr>
        <w:t xml:space="preserve">    </w:t>
      </w:r>
      <w:r>
        <w:rPr>
          <w:rFonts w:asciiTheme="minorEastAsia" w:hAnsiTheme="minorEastAsia" w:eastAsiaTheme="minorEastAsia"/>
          <w:b/>
          <w:sz w:val="30"/>
        </w:rPr>
        <w:t>年</w:t>
      </w:r>
      <w:r>
        <w:rPr>
          <w:rFonts w:asciiTheme="minorEastAsia" w:hAnsiTheme="minorEastAsia" w:eastAsiaTheme="minorEastAsia"/>
          <w:b/>
          <w:sz w:val="30"/>
          <w:szCs w:val="30"/>
          <w:u w:val="single"/>
        </w:rPr>
        <w:t xml:space="preserve">    </w:t>
      </w:r>
      <w:r>
        <w:rPr>
          <w:rFonts w:asciiTheme="minorEastAsia" w:hAnsiTheme="minorEastAsia" w:eastAsiaTheme="minorEastAsia"/>
          <w:b/>
          <w:sz w:val="30"/>
        </w:rPr>
        <w:t>月</w:t>
      </w:r>
      <w:r>
        <w:rPr>
          <w:rFonts w:asciiTheme="minorEastAsia" w:hAnsiTheme="minorEastAsia" w:eastAsiaTheme="minorEastAsia"/>
          <w:b/>
          <w:sz w:val="30"/>
          <w:szCs w:val="30"/>
          <w:u w:val="single"/>
        </w:rPr>
        <w:t xml:space="preserve">    </w:t>
      </w:r>
      <w:r>
        <w:rPr>
          <w:rFonts w:asciiTheme="minorEastAsia" w:hAnsiTheme="minorEastAsia" w:eastAsiaTheme="minorEastAsia"/>
          <w:b/>
          <w:sz w:val="30"/>
        </w:rPr>
        <w:t>日</w:t>
      </w:r>
    </w:p>
    <w:p>
      <w:pPr>
        <w:spacing w:before="80" w:after="80" w:line="360" w:lineRule="auto"/>
        <w:jc w:val="center"/>
        <w:rPr>
          <w:rFonts w:asciiTheme="minorEastAsia" w:hAnsiTheme="minorEastAsia" w:eastAsiaTheme="minorEastAsia"/>
          <w:b/>
          <w:sz w:val="32"/>
          <w:szCs w:val="28"/>
        </w:rPr>
      </w:pPr>
    </w:p>
    <w:p>
      <w:pPr>
        <w:spacing w:before="80" w:after="80" w:line="276" w:lineRule="auto"/>
        <w:jc w:val="center"/>
        <w:rPr>
          <w:rFonts w:asciiTheme="minorEastAsia" w:hAnsiTheme="minorEastAsia" w:eastAsiaTheme="minorEastAsia"/>
          <w:sz w:val="32"/>
          <w:szCs w:val="28"/>
        </w:rPr>
        <w:sectPr>
          <w:headerReference r:id="rId20" w:type="default"/>
          <w:footerReference r:id="rId21" w:type="default"/>
          <w:pgSz w:w="11906" w:h="16838"/>
          <w:pgMar w:top="1418" w:right="1418" w:bottom="1418" w:left="1418" w:header="851" w:footer="992" w:gutter="0"/>
          <w:cols w:space="720" w:num="1"/>
          <w:docGrid w:type="lines" w:linePitch="312" w:charSpace="0"/>
        </w:sectPr>
      </w:pP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目 录</w:t>
      </w:r>
    </w:p>
    <w:p>
      <w:pPr>
        <w:pStyle w:val="36"/>
        <w:tabs>
          <w:tab w:val="right" w:leader="dot" w:pos="8306"/>
        </w:tabs>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TOC \o "1-3" \h \u </w:instrText>
      </w:r>
      <w:r>
        <w:rPr>
          <w:rFonts w:asciiTheme="minorEastAsia" w:hAnsiTheme="minorEastAsia" w:eastAsiaTheme="minorEastAsia"/>
          <w:sz w:val="24"/>
        </w:rPr>
        <w:fldChar w:fldCharType="separate"/>
      </w:r>
      <w:r>
        <w:fldChar w:fldCharType="begin"/>
      </w:r>
      <w:r>
        <w:instrText xml:space="preserve"> HYPERLINK \l "_Toc13334" </w:instrText>
      </w:r>
      <w:r>
        <w:fldChar w:fldCharType="separate"/>
      </w:r>
      <w:r>
        <w:rPr>
          <w:rFonts w:asciiTheme="minorEastAsia" w:hAnsiTheme="minorEastAsia" w:eastAsiaTheme="minorEastAsia"/>
          <w:sz w:val="24"/>
        </w:rPr>
        <w:t>第一章  定义与解释</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_Toc13334 </w:instrText>
      </w:r>
      <w:r>
        <w:rPr>
          <w:rFonts w:asciiTheme="minorEastAsia" w:hAnsiTheme="minorEastAsia" w:eastAsiaTheme="minorEastAsia"/>
          <w:sz w:val="24"/>
        </w:rPr>
        <w:fldChar w:fldCharType="separate"/>
      </w:r>
      <w:r>
        <w:rPr>
          <w:rFonts w:asciiTheme="minorEastAsia" w:hAnsiTheme="minorEastAsia" w:eastAsiaTheme="minorEastAsia"/>
          <w:sz w:val="24"/>
        </w:rPr>
        <w:t>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"_Toc26385" </w:instrText>
      </w:r>
      <w:r>
        <w:fldChar w:fldCharType="separate"/>
      </w:r>
      <w:r>
        <w:rPr>
          <w:rFonts w:asciiTheme="minorEastAsia" w:hAnsiTheme="minorEastAsia" w:eastAsiaTheme="minorEastAsia"/>
          <w:sz w:val="24"/>
        </w:rPr>
        <w:t>第1条 定义</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_Toc26385 </w:instrText>
      </w:r>
      <w:r>
        <w:rPr>
          <w:rFonts w:asciiTheme="minorEastAsia" w:hAnsiTheme="minorEastAsia" w:eastAsiaTheme="minorEastAsia"/>
          <w:sz w:val="24"/>
        </w:rPr>
        <w:fldChar w:fldCharType="separate"/>
      </w:r>
      <w:r>
        <w:rPr>
          <w:rFonts w:asciiTheme="minorEastAsia" w:hAnsiTheme="minorEastAsia" w:eastAsiaTheme="minorEastAsia"/>
          <w:sz w:val="24"/>
        </w:rPr>
        <w:t>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"_Toc21500" </w:instrText>
      </w:r>
      <w:r>
        <w:fldChar w:fldCharType="separate"/>
      </w:r>
      <w:r>
        <w:rPr>
          <w:rFonts w:asciiTheme="minorEastAsia" w:hAnsiTheme="minorEastAsia" w:eastAsiaTheme="minorEastAsia"/>
          <w:bCs/>
          <w:sz w:val="24"/>
        </w:rPr>
        <w:t xml:space="preserve">第2条 </w:t>
      </w:r>
      <w:r>
        <w:rPr>
          <w:rFonts w:asciiTheme="minorEastAsia" w:hAnsiTheme="minorEastAsia" w:eastAsiaTheme="minorEastAsia"/>
          <w:sz w:val="24"/>
        </w:rPr>
        <w:t>解释</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_Toc21500 </w:instrText>
      </w:r>
      <w:r>
        <w:rPr>
          <w:rFonts w:asciiTheme="minorEastAsia" w:hAnsiTheme="minorEastAsia" w:eastAsiaTheme="minorEastAsia"/>
          <w:sz w:val="24"/>
        </w:rPr>
        <w:fldChar w:fldCharType="separate"/>
      </w:r>
      <w:r>
        <w:rPr>
          <w:rFonts w:asciiTheme="minorEastAsia" w:hAnsiTheme="minorEastAsia" w:eastAsiaTheme="minorEastAsia"/>
          <w:sz w:val="24"/>
        </w:rPr>
        <w:t>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tabs>
          <w:tab w:val="right" w:leader="dot" w:pos="8306"/>
        </w:tabs>
        <w:rPr>
          <w:rFonts w:asciiTheme="minorEastAsia" w:hAnsiTheme="minorEastAsia" w:eastAsiaTheme="minorEastAsia"/>
          <w:sz w:val="24"/>
        </w:rPr>
      </w:pPr>
      <w:r>
        <w:fldChar w:fldCharType="begin"/>
      </w:r>
      <w:r>
        <w:instrText xml:space="preserve"> HYPERLINK \l "_Toc5466" </w:instrText>
      </w:r>
      <w:r>
        <w:fldChar w:fldCharType="separate"/>
      </w:r>
      <w:r>
        <w:rPr>
          <w:rFonts w:asciiTheme="minorEastAsia" w:hAnsiTheme="minorEastAsia" w:eastAsiaTheme="minorEastAsia"/>
          <w:sz w:val="24"/>
        </w:rPr>
        <w:t>第二章  协议的生效和有效期</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_Toc5466 </w:instrText>
      </w:r>
      <w:r>
        <w:rPr>
          <w:rFonts w:asciiTheme="minorEastAsia" w:hAnsiTheme="minorEastAsia" w:eastAsiaTheme="minorEastAsia"/>
          <w:sz w:val="24"/>
        </w:rPr>
        <w:fldChar w:fldCharType="separate"/>
      </w:r>
      <w:r>
        <w:rPr>
          <w:rFonts w:asciiTheme="minorEastAsia" w:hAnsiTheme="minorEastAsia" w:eastAsiaTheme="minorEastAsia"/>
          <w:sz w:val="24"/>
        </w:rPr>
        <w:t>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"_Toc11215" </w:instrText>
      </w:r>
      <w:r>
        <w:fldChar w:fldCharType="separate"/>
      </w:r>
      <w:r>
        <w:rPr>
          <w:rFonts w:asciiTheme="minorEastAsia" w:hAnsiTheme="minorEastAsia" w:eastAsiaTheme="minorEastAsia"/>
          <w:bCs/>
          <w:sz w:val="24"/>
        </w:rPr>
        <w:t>第3条 生效日</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_Toc11215 </w:instrText>
      </w:r>
      <w:r>
        <w:rPr>
          <w:rFonts w:asciiTheme="minorEastAsia" w:hAnsiTheme="minorEastAsia" w:eastAsiaTheme="minorEastAsia"/>
          <w:sz w:val="24"/>
        </w:rPr>
        <w:fldChar w:fldCharType="separate"/>
      </w:r>
      <w:r>
        <w:rPr>
          <w:rFonts w:asciiTheme="minorEastAsia" w:hAnsiTheme="minorEastAsia" w:eastAsiaTheme="minorEastAsia"/>
          <w:sz w:val="24"/>
        </w:rPr>
        <w:t>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"_Toc16369" </w:instrText>
      </w:r>
      <w:r>
        <w:fldChar w:fldCharType="separate"/>
      </w:r>
      <w:r>
        <w:rPr>
          <w:rFonts w:asciiTheme="minorEastAsia" w:hAnsiTheme="minorEastAsia" w:eastAsiaTheme="minorEastAsia"/>
          <w:bCs/>
          <w:sz w:val="24"/>
        </w:rPr>
        <w:t xml:space="preserve">第4条 </w:t>
      </w:r>
      <w:r>
        <w:rPr>
          <w:rFonts w:asciiTheme="minorEastAsia" w:hAnsiTheme="minorEastAsia" w:eastAsiaTheme="minorEastAsia"/>
          <w:sz w:val="24"/>
        </w:rPr>
        <w:t>有效期</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_Toc16369 </w:instrText>
      </w:r>
      <w:r>
        <w:rPr>
          <w:rFonts w:asciiTheme="minorEastAsia" w:hAnsiTheme="minorEastAsia" w:eastAsiaTheme="minorEastAsia"/>
          <w:sz w:val="24"/>
        </w:rPr>
        <w:fldChar w:fldCharType="separate"/>
      </w:r>
      <w:r>
        <w:rPr>
          <w:rFonts w:asciiTheme="minorEastAsia" w:hAnsiTheme="minorEastAsia" w:eastAsiaTheme="minorEastAsia"/>
          <w:sz w:val="24"/>
        </w:rPr>
        <w:t>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tabs>
          <w:tab w:val="right" w:leader="dot" w:pos="8306"/>
        </w:tabs>
        <w:rPr>
          <w:rFonts w:asciiTheme="minorEastAsia" w:hAnsiTheme="minorEastAsia" w:eastAsiaTheme="minorEastAsia"/>
          <w:sz w:val="24"/>
        </w:rPr>
      </w:pPr>
      <w:r>
        <w:fldChar w:fldCharType="begin"/>
      </w:r>
      <w:r>
        <w:instrText xml:space="preserve"> HYPERLINK \l "_Toc1916" </w:instrText>
      </w:r>
      <w:r>
        <w:fldChar w:fldCharType="separate"/>
      </w:r>
      <w:r>
        <w:rPr>
          <w:rFonts w:hint="eastAsia" w:asciiTheme="minorEastAsia" w:hAnsiTheme="minorEastAsia" w:eastAsiaTheme="minorEastAsia"/>
          <w:bCs/>
          <w:sz w:val="24"/>
        </w:rPr>
        <w:t>第三章  供水运营维护管理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_Toc1916 </w:instrText>
      </w:r>
      <w:r>
        <w:rPr>
          <w:rFonts w:asciiTheme="minorEastAsia" w:hAnsiTheme="minorEastAsia" w:eastAsiaTheme="minorEastAsia"/>
          <w:sz w:val="24"/>
        </w:rPr>
        <w:fldChar w:fldCharType="separate"/>
      </w:r>
      <w:r>
        <w:rPr>
          <w:rFonts w:asciiTheme="minorEastAsia" w:hAnsiTheme="minorEastAsia" w:eastAsiaTheme="minorEastAsia"/>
          <w:sz w:val="24"/>
        </w:rPr>
        <w:t>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"_Toc17848" </w:instrText>
      </w:r>
      <w:r>
        <w:fldChar w:fldCharType="separate"/>
      </w:r>
      <w:r>
        <w:rPr>
          <w:rFonts w:asciiTheme="minorEastAsia" w:hAnsiTheme="minorEastAsia" w:eastAsiaTheme="minorEastAsia"/>
          <w:bCs/>
          <w:sz w:val="24"/>
        </w:rPr>
        <w:t>第一节 供水水质、管网及标准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_Toc17848 </w:instrText>
      </w:r>
      <w:r>
        <w:rPr>
          <w:rFonts w:asciiTheme="minorEastAsia" w:hAnsiTheme="minorEastAsia" w:eastAsiaTheme="minorEastAsia"/>
          <w:sz w:val="24"/>
        </w:rPr>
        <w:fldChar w:fldCharType="separate"/>
      </w:r>
      <w:r>
        <w:rPr>
          <w:rFonts w:asciiTheme="minorEastAsia" w:hAnsiTheme="minorEastAsia" w:eastAsiaTheme="minorEastAsia"/>
          <w:sz w:val="24"/>
        </w:rPr>
        <w:t>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"_Toc10842" </w:instrText>
      </w:r>
      <w:r>
        <w:fldChar w:fldCharType="separate"/>
      </w:r>
      <w:r>
        <w:rPr>
          <w:rFonts w:hint="eastAsia" w:asciiTheme="minorEastAsia" w:hAnsiTheme="minorEastAsia" w:eastAsiaTheme="minorEastAsia"/>
          <w:sz w:val="24"/>
        </w:rPr>
        <w:t>第5条 进水及出水水质标准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_Toc10842 </w:instrText>
      </w:r>
      <w:r>
        <w:rPr>
          <w:rFonts w:asciiTheme="minorEastAsia" w:hAnsiTheme="minorEastAsia" w:eastAsiaTheme="minorEastAsia"/>
          <w:sz w:val="24"/>
        </w:rPr>
        <w:fldChar w:fldCharType="separate"/>
      </w:r>
      <w:r>
        <w:rPr>
          <w:rFonts w:asciiTheme="minorEastAsia" w:hAnsiTheme="minorEastAsia" w:eastAsiaTheme="minorEastAsia"/>
          <w:sz w:val="24"/>
        </w:rPr>
        <w:t>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"_Toc17576" </w:instrText>
      </w:r>
      <w:r>
        <w:fldChar w:fldCharType="separate"/>
      </w:r>
      <w:r>
        <w:rPr>
          <w:rFonts w:hint="eastAsia" w:asciiTheme="minorEastAsia" w:hAnsiTheme="minorEastAsia" w:eastAsiaTheme="minorEastAsia"/>
          <w:sz w:val="24"/>
        </w:rPr>
        <w:t>第6条 供水管网运营维护标准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_Toc17576 </w:instrText>
      </w:r>
      <w:r>
        <w:rPr>
          <w:rFonts w:asciiTheme="minorEastAsia" w:hAnsiTheme="minorEastAsia" w:eastAsiaTheme="minorEastAsia"/>
          <w:sz w:val="24"/>
        </w:rPr>
        <w:fldChar w:fldCharType="separate"/>
      </w:r>
      <w:r>
        <w:rPr>
          <w:rFonts w:asciiTheme="minorEastAsia" w:hAnsiTheme="minorEastAsia" w:eastAsiaTheme="minorEastAsia"/>
          <w:sz w:val="24"/>
        </w:rPr>
        <w:t>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"_Toc27278" </w:instrText>
      </w:r>
      <w:r>
        <w:fldChar w:fldCharType="separate"/>
      </w:r>
      <w:r>
        <w:rPr>
          <w:rFonts w:hint="eastAsia" w:asciiTheme="minorEastAsia" w:hAnsiTheme="minorEastAsia" w:eastAsiaTheme="minorEastAsia"/>
          <w:sz w:val="24"/>
        </w:rPr>
        <w:t>第7条 噪声标准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_Toc27278 </w:instrText>
      </w:r>
      <w:r>
        <w:rPr>
          <w:rFonts w:asciiTheme="minorEastAsia" w:hAnsiTheme="minorEastAsia" w:eastAsiaTheme="minorEastAsia"/>
          <w:sz w:val="24"/>
        </w:rPr>
        <w:fldChar w:fldCharType="separate"/>
      </w:r>
      <w:r>
        <w:rPr>
          <w:rFonts w:asciiTheme="minorEastAsia" w:hAnsiTheme="minorEastAsia" w:eastAsiaTheme="minorEastAsia"/>
          <w:sz w:val="24"/>
        </w:rPr>
        <w:t>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"_Toc29207" </w:instrText>
      </w:r>
      <w:r>
        <w:fldChar w:fldCharType="separate"/>
      </w:r>
      <w:r>
        <w:rPr>
          <w:rFonts w:hint="eastAsia" w:asciiTheme="minorEastAsia" w:hAnsiTheme="minorEastAsia" w:eastAsiaTheme="minorEastAsia"/>
          <w:sz w:val="24"/>
        </w:rPr>
        <w:t>第8条 对新标准的执行</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_Toc29207 </w:instrText>
      </w:r>
      <w:r>
        <w:rPr>
          <w:rFonts w:asciiTheme="minorEastAsia" w:hAnsiTheme="minorEastAsia" w:eastAsiaTheme="minorEastAsia"/>
          <w:sz w:val="24"/>
        </w:rPr>
        <w:fldChar w:fldCharType="separate"/>
      </w:r>
      <w:r>
        <w:rPr>
          <w:rFonts w:asciiTheme="minorEastAsia" w:hAnsiTheme="minorEastAsia" w:eastAsiaTheme="minorEastAsia"/>
          <w:sz w:val="24"/>
        </w:rPr>
        <w:t>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"_Toc10433" </w:instrText>
      </w:r>
      <w:r>
        <w:fldChar w:fldCharType="separate"/>
      </w:r>
      <w:r>
        <w:rPr>
          <w:rFonts w:hint="eastAsia" w:asciiTheme="minorEastAsia" w:hAnsiTheme="minorEastAsia" w:eastAsiaTheme="minorEastAsia"/>
          <w:bCs/>
          <w:sz w:val="24"/>
        </w:rPr>
        <w:t>第二节 检测、检查及处理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_Toc10433 </w:instrText>
      </w:r>
      <w:r>
        <w:rPr>
          <w:rFonts w:asciiTheme="minorEastAsia" w:hAnsiTheme="minorEastAsia" w:eastAsiaTheme="minorEastAsia"/>
          <w:sz w:val="24"/>
        </w:rPr>
        <w:fldChar w:fldCharType="separate"/>
      </w:r>
      <w:r>
        <w:rPr>
          <w:rFonts w:asciiTheme="minorEastAsia" w:hAnsiTheme="minorEastAsia" w:eastAsiaTheme="minorEastAsia"/>
          <w:sz w:val="24"/>
        </w:rPr>
        <w:t>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"_Toc12840" </w:instrText>
      </w:r>
      <w:r>
        <w:fldChar w:fldCharType="separate"/>
      </w:r>
      <w:r>
        <w:rPr>
          <w:rFonts w:hint="eastAsia" w:asciiTheme="minorEastAsia" w:hAnsiTheme="minorEastAsia" w:eastAsiaTheme="minorEastAsia"/>
          <w:sz w:val="24"/>
        </w:rPr>
        <w:t>第9条 乙方检测义务</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_Toc12840 </w:instrText>
      </w:r>
      <w:r>
        <w:rPr>
          <w:rFonts w:asciiTheme="minorEastAsia" w:hAnsiTheme="minorEastAsia" w:eastAsiaTheme="minorEastAsia"/>
          <w:sz w:val="24"/>
        </w:rPr>
        <w:fldChar w:fldCharType="separate"/>
      </w:r>
      <w:r>
        <w:rPr>
          <w:rFonts w:asciiTheme="minorEastAsia" w:hAnsiTheme="minorEastAsia" w:eastAsiaTheme="minorEastAsia"/>
          <w:sz w:val="24"/>
        </w:rPr>
        <w:t>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"_Toc3634" </w:instrText>
      </w:r>
      <w:r>
        <w:fldChar w:fldCharType="separate"/>
      </w:r>
      <w:r>
        <w:rPr>
          <w:rFonts w:hint="eastAsia" w:asciiTheme="minorEastAsia" w:hAnsiTheme="minorEastAsia" w:eastAsiaTheme="minorEastAsia"/>
          <w:sz w:val="24"/>
        </w:rPr>
        <w:t>第10条 检测依据</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_Toc3634 </w:instrText>
      </w:r>
      <w:r>
        <w:rPr>
          <w:rFonts w:asciiTheme="minorEastAsia" w:hAnsiTheme="minorEastAsia" w:eastAsiaTheme="minorEastAsia"/>
          <w:sz w:val="24"/>
        </w:rPr>
        <w:fldChar w:fldCharType="separate"/>
      </w:r>
      <w:r>
        <w:rPr>
          <w:rFonts w:asciiTheme="minorEastAsia" w:hAnsiTheme="minorEastAsia" w:eastAsiaTheme="minorEastAsia"/>
          <w:sz w:val="24"/>
        </w:rPr>
        <w:t>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"_Toc20484" </w:instrText>
      </w:r>
      <w:r>
        <w:fldChar w:fldCharType="separate"/>
      </w:r>
      <w:r>
        <w:rPr>
          <w:rFonts w:hint="eastAsia" w:asciiTheme="minorEastAsia" w:hAnsiTheme="minorEastAsia" w:eastAsiaTheme="minorEastAsia"/>
          <w:sz w:val="24"/>
        </w:rPr>
        <w:t>第11条 进水和出水水质的日常检测、定期检测和在线检测</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_Toc20484 </w:instrText>
      </w:r>
      <w:r>
        <w:rPr>
          <w:rFonts w:asciiTheme="minorEastAsia" w:hAnsiTheme="minorEastAsia" w:eastAsiaTheme="minorEastAsia"/>
          <w:sz w:val="24"/>
        </w:rPr>
        <w:fldChar w:fldCharType="separate"/>
      </w:r>
      <w:r>
        <w:rPr>
          <w:rFonts w:asciiTheme="minorEastAsia" w:hAnsiTheme="minorEastAsia" w:eastAsiaTheme="minorEastAsia"/>
          <w:sz w:val="24"/>
        </w:rPr>
        <w:t>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"_Toc3244" </w:instrText>
      </w:r>
      <w:r>
        <w:fldChar w:fldCharType="separate"/>
      </w:r>
      <w:r>
        <w:rPr>
          <w:rFonts w:hint="eastAsia" w:asciiTheme="minorEastAsia" w:hAnsiTheme="minorEastAsia" w:eastAsiaTheme="minorEastAsia"/>
          <w:sz w:val="24"/>
        </w:rPr>
        <w:t>第12条 检测结果的报告</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_Toc3244 </w:instrText>
      </w:r>
      <w:r>
        <w:rPr>
          <w:rFonts w:asciiTheme="minorEastAsia" w:hAnsiTheme="minorEastAsia" w:eastAsiaTheme="minorEastAsia"/>
          <w:sz w:val="24"/>
        </w:rPr>
        <w:fldChar w:fldCharType="separate"/>
      </w:r>
      <w:r>
        <w:rPr>
          <w:rFonts w:asciiTheme="minorEastAsia" w:hAnsiTheme="minorEastAsia" w:eastAsiaTheme="minorEastAsia"/>
          <w:sz w:val="24"/>
        </w:rPr>
        <w:t>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"_Toc1159" </w:instrText>
      </w:r>
      <w:r>
        <w:fldChar w:fldCharType="separate"/>
      </w:r>
      <w:r>
        <w:rPr>
          <w:rFonts w:hint="eastAsia" w:asciiTheme="minorEastAsia" w:hAnsiTheme="minorEastAsia" w:eastAsiaTheme="minorEastAsia"/>
          <w:sz w:val="24"/>
        </w:rPr>
        <w:t>第13条 检查及结果通知</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_Toc1159 </w:instrText>
      </w:r>
      <w:r>
        <w:rPr>
          <w:rFonts w:asciiTheme="minorEastAsia" w:hAnsiTheme="minorEastAsia" w:eastAsiaTheme="minorEastAsia"/>
          <w:sz w:val="24"/>
        </w:rPr>
        <w:fldChar w:fldCharType="separate"/>
      </w:r>
      <w:r>
        <w:rPr>
          <w:rFonts w:asciiTheme="minorEastAsia" w:hAnsiTheme="minorEastAsia" w:eastAsiaTheme="minorEastAsia"/>
          <w:sz w:val="24"/>
        </w:rPr>
        <w:t>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"_Toc14064" </w:instrText>
      </w:r>
      <w:r>
        <w:fldChar w:fldCharType="separate"/>
      </w:r>
      <w:r>
        <w:rPr>
          <w:rFonts w:hint="eastAsia" w:asciiTheme="minorEastAsia" w:hAnsiTheme="minorEastAsia" w:eastAsiaTheme="minorEastAsia"/>
          <w:sz w:val="24"/>
        </w:rPr>
        <w:t>第14条 出水水质不符合标准的处理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_Toc14064 </w:instrText>
      </w:r>
      <w:r>
        <w:rPr>
          <w:rFonts w:asciiTheme="minorEastAsia" w:hAnsiTheme="minorEastAsia" w:eastAsiaTheme="minorEastAsia"/>
          <w:sz w:val="24"/>
        </w:rPr>
        <w:fldChar w:fldCharType="separate"/>
      </w:r>
      <w:r>
        <w:rPr>
          <w:rFonts w:asciiTheme="minorEastAsia" w:hAnsiTheme="minorEastAsia" w:eastAsiaTheme="minorEastAsia"/>
          <w:sz w:val="24"/>
        </w:rPr>
        <w:t>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"_Toc10105" </w:instrText>
      </w:r>
      <w:r>
        <w:fldChar w:fldCharType="separate"/>
      </w:r>
      <w:r>
        <w:rPr>
          <w:rFonts w:hint="eastAsia" w:asciiTheme="minorEastAsia" w:hAnsiTheme="minorEastAsia" w:eastAsiaTheme="minorEastAsia"/>
          <w:sz w:val="24"/>
        </w:rPr>
        <w:t>第15条 进水水质不符合标准的处理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_Toc10105 </w:instrText>
      </w:r>
      <w:r>
        <w:rPr>
          <w:rFonts w:asciiTheme="minorEastAsia" w:hAnsiTheme="minorEastAsia" w:eastAsiaTheme="minorEastAsia"/>
          <w:sz w:val="24"/>
        </w:rPr>
        <w:fldChar w:fldCharType="separate"/>
      </w:r>
      <w:r>
        <w:rPr>
          <w:rFonts w:asciiTheme="minorEastAsia" w:hAnsiTheme="minorEastAsia" w:eastAsiaTheme="minorEastAsia"/>
          <w:sz w:val="24"/>
        </w:rPr>
        <w:t>10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"_Toc32133" </w:instrText>
      </w:r>
      <w:r>
        <w:fldChar w:fldCharType="separate"/>
      </w:r>
      <w:r>
        <w:rPr>
          <w:rFonts w:hint="eastAsia" w:asciiTheme="minorEastAsia" w:hAnsiTheme="minorEastAsia" w:eastAsiaTheme="minorEastAsia"/>
          <w:bCs/>
          <w:sz w:val="24"/>
        </w:rPr>
        <w:t>第三节 供水计量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_Toc32133 </w:instrText>
      </w:r>
      <w:r>
        <w:rPr>
          <w:rFonts w:asciiTheme="minorEastAsia" w:hAnsiTheme="minorEastAsia" w:eastAsiaTheme="minorEastAsia"/>
          <w:sz w:val="24"/>
        </w:rPr>
        <w:fldChar w:fldCharType="separate"/>
      </w:r>
      <w:r>
        <w:rPr>
          <w:rFonts w:asciiTheme="minorEastAsia" w:hAnsiTheme="minorEastAsia" w:eastAsiaTheme="minorEastAsia"/>
          <w:sz w:val="24"/>
        </w:rPr>
        <w:t>10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"_Toc1946" </w:instrText>
      </w:r>
      <w:r>
        <w:fldChar w:fldCharType="separate"/>
      </w:r>
      <w:r>
        <w:rPr>
          <w:rFonts w:hint="eastAsia" w:asciiTheme="minorEastAsia" w:hAnsiTheme="minorEastAsia" w:eastAsiaTheme="minorEastAsia"/>
          <w:sz w:val="24"/>
        </w:rPr>
        <w:t>第16条 进、出水流量计</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_Toc1946 </w:instrText>
      </w:r>
      <w:r>
        <w:rPr>
          <w:rFonts w:asciiTheme="minorEastAsia" w:hAnsiTheme="minorEastAsia" w:eastAsiaTheme="minorEastAsia"/>
          <w:sz w:val="24"/>
        </w:rPr>
        <w:fldChar w:fldCharType="separate"/>
      </w:r>
      <w:r>
        <w:rPr>
          <w:rFonts w:asciiTheme="minorEastAsia" w:hAnsiTheme="minorEastAsia" w:eastAsiaTheme="minorEastAsia"/>
          <w:sz w:val="24"/>
        </w:rPr>
        <w:t>10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"_Toc31515" </w:instrText>
      </w:r>
      <w:r>
        <w:fldChar w:fldCharType="separate"/>
      </w:r>
      <w:r>
        <w:rPr>
          <w:rFonts w:hint="eastAsia" w:asciiTheme="minorEastAsia" w:hAnsiTheme="minorEastAsia" w:eastAsiaTheme="minorEastAsia"/>
          <w:sz w:val="24"/>
        </w:rPr>
        <w:t>第17条 流量计计量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_Toc31515 </w:instrText>
      </w:r>
      <w:r>
        <w:rPr>
          <w:rFonts w:asciiTheme="minorEastAsia" w:hAnsiTheme="minorEastAsia" w:eastAsiaTheme="minorEastAsia"/>
          <w:sz w:val="24"/>
        </w:rPr>
        <w:fldChar w:fldCharType="separate"/>
      </w:r>
      <w:r>
        <w:rPr>
          <w:rFonts w:asciiTheme="minorEastAsia" w:hAnsiTheme="minorEastAsia" w:eastAsiaTheme="minorEastAsia"/>
          <w:sz w:val="24"/>
        </w:rPr>
        <w:t>11</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"_Toc2057" </w:instrText>
      </w:r>
      <w:r>
        <w:fldChar w:fldCharType="separate"/>
      </w:r>
      <w:r>
        <w:rPr>
          <w:rFonts w:hint="eastAsia" w:asciiTheme="minorEastAsia" w:hAnsiTheme="minorEastAsia" w:eastAsiaTheme="minorEastAsia"/>
          <w:bCs/>
          <w:sz w:val="24"/>
        </w:rPr>
        <w:t>第四节 仪表校准及管理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_Toc2057 </w:instrText>
      </w:r>
      <w:r>
        <w:rPr>
          <w:rFonts w:asciiTheme="minorEastAsia" w:hAnsiTheme="minorEastAsia" w:eastAsiaTheme="minorEastAsia"/>
          <w:sz w:val="24"/>
        </w:rPr>
        <w:fldChar w:fldCharType="separate"/>
      </w:r>
      <w:r>
        <w:rPr>
          <w:rFonts w:asciiTheme="minorEastAsia" w:hAnsiTheme="minorEastAsia" w:eastAsiaTheme="minorEastAsia"/>
          <w:sz w:val="24"/>
        </w:rPr>
        <w:t>12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"_Toc5339" </w:instrText>
      </w:r>
      <w:r>
        <w:fldChar w:fldCharType="separate"/>
      </w:r>
      <w:r>
        <w:rPr>
          <w:rFonts w:hint="eastAsia" w:asciiTheme="minorEastAsia" w:hAnsiTheme="minorEastAsia" w:eastAsiaTheme="minorEastAsia"/>
          <w:sz w:val="24"/>
        </w:rPr>
        <w:t>第18条 测量仪表校准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_Toc5339 </w:instrText>
      </w:r>
      <w:r>
        <w:rPr>
          <w:rFonts w:asciiTheme="minorEastAsia" w:hAnsiTheme="minorEastAsia" w:eastAsiaTheme="minorEastAsia"/>
          <w:sz w:val="24"/>
        </w:rPr>
        <w:fldChar w:fldCharType="separate"/>
      </w:r>
      <w:r>
        <w:rPr>
          <w:rFonts w:asciiTheme="minorEastAsia" w:hAnsiTheme="minorEastAsia" w:eastAsiaTheme="minorEastAsia"/>
          <w:sz w:val="24"/>
        </w:rPr>
        <w:t>12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"_Toc21957" </w:instrText>
      </w:r>
      <w:r>
        <w:fldChar w:fldCharType="separate"/>
      </w:r>
      <w:r>
        <w:rPr>
          <w:rFonts w:hint="eastAsia" w:asciiTheme="minorEastAsia" w:hAnsiTheme="minorEastAsia" w:eastAsiaTheme="minorEastAsia"/>
          <w:bCs/>
          <w:sz w:val="24"/>
        </w:rPr>
        <w:t>第五节 运营维护监管与报告</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_Toc21957 </w:instrText>
      </w:r>
      <w:r>
        <w:rPr>
          <w:rFonts w:asciiTheme="minorEastAsia" w:hAnsiTheme="minorEastAsia" w:eastAsiaTheme="minorEastAsia"/>
          <w:sz w:val="24"/>
        </w:rPr>
        <w:fldChar w:fldCharType="separate"/>
      </w:r>
      <w:r>
        <w:rPr>
          <w:rFonts w:asciiTheme="minorEastAsia" w:hAnsiTheme="minorEastAsia" w:eastAsiaTheme="minorEastAsia"/>
          <w:sz w:val="24"/>
        </w:rPr>
        <w:t>13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"_Toc5719" </w:instrText>
      </w:r>
      <w:r>
        <w:fldChar w:fldCharType="separate"/>
      </w:r>
      <w:r>
        <w:rPr>
          <w:rFonts w:hint="eastAsia" w:asciiTheme="minorEastAsia" w:hAnsiTheme="minorEastAsia" w:eastAsiaTheme="minorEastAsia"/>
          <w:sz w:val="24"/>
        </w:rPr>
        <w:t>第19条 监管</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_Toc5719 </w:instrText>
      </w:r>
      <w:r>
        <w:rPr>
          <w:rFonts w:asciiTheme="minorEastAsia" w:hAnsiTheme="minorEastAsia" w:eastAsiaTheme="minorEastAsia"/>
          <w:sz w:val="24"/>
        </w:rPr>
        <w:fldChar w:fldCharType="separate"/>
      </w:r>
      <w:r>
        <w:rPr>
          <w:rFonts w:asciiTheme="minorEastAsia" w:hAnsiTheme="minorEastAsia" w:eastAsiaTheme="minorEastAsia"/>
          <w:sz w:val="24"/>
        </w:rPr>
        <w:t>13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"_Toc24158" </w:instrText>
      </w:r>
      <w:r>
        <w:fldChar w:fldCharType="separate"/>
      </w:r>
      <w:r>
        <w:rPr>
          <w:rFonts w:hint="eastAsia" w:asciiTheme="minorEastAsia" w:hAnsiTheme="minorEastAsia" w:eastAsiaTheme="minorEastAsia"/>
          <w:sz w:val="24"/>
        </w:rPr>
        <w:t>第20条 运营维护手册</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_Toc24158 </w:instrText>
      </w:r>
      <w:r>
        <w:rPr>
          <w:rFonts w:asciiTheme="minorEastAsia" w:hAnsiTheme="minorEastAsia" w:eastAsiaTheme="minorEastAsia"/>
          <w:sz w:val="24"/>
        </w:rPr>
        <w:fldChar w:fldCharType="separate"/>
      </w:r>
      <w:r>
        <w:rPr>
          <w:rFonts w:asciiTheme="minorEastAsia" w:hAnsiTheme="minorEastAsia" w:eastAsiaTheme="minorEastAsia"/>
          <w:sz w:val="24"/>
        </w:rPr>
        <w:t>14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"_Toc28164" </w:instrText>
      </w:r>
      <w:r>
        <w:fldChar w:fldCharType="separate"/>
      </w:r>
      <w:r>
        <w:rPr>
          <w:rFonts w:hint="eastAsia" w:asciiTheme="minorEastAsia" w:hAnsiTheme="minorEastAsia" w:eastAsiaTheme="minorEastAsia"/>
          <w:sz w:val="24"/>
        </w:rPr>
        <w:t>第21条 报告</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_Toc28164 </w:instrText>
      </w:r>
      <w:r>
        <w:rPr>
          <w:rFonts w:asciiTheme="minorEastAsia" w:hAnsiTheme="minorEastAsia" w:eastAsiaTheme="minorEastAsia"/>
          <w:sz w:val="24"/>
        </w:rPr>
        <w:fldChar w:fldCharType="separate"/>
      </w:r>
      <w:r>
        <w:rPr>
          <w:rFonts w:asciiTheme="minorEastAsia" w:hAnsiTheme="minorEastAsia" w:eastAsiaTheme="minorEastAsia"/>
          <w:sz w:val="24"/>
        </w:rPr>
        <w:t>14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"_Toc14609" </w:instrText>
      </w:r>
      <w:r>
        <w:fldChar w:fldCharType="separate"/>
      </w:r>
      <w:r>
        <w:rPr>
          <w:rFonts w:hint="eastAsia" w:asciiTheme="minorEastAsia" w:hAnsiTheme="minorEastAsia" w:eastAsiaTheme="minorEastAsia"/>
          <w:bCs/>
          <w:sz w:val="24"/>
        </w:rPr>
        <w:t>第六节 暂停</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_Toc14609 </w:instrText>
      </w:r>
      <w:r>
        <w:rPr>
          <w:rFonts w:asciiTheme="minorEastAsia" w:hAnsiTheme="minorEastAsia" w:eastAsiaTheme="minorEastAsia"/>
          <w:sz w:val="24"/>
        </w:rPr>
        <w:fldChar w:fldCharType="separate"/>
      </w:r>
      <w:r>
        <w:rPr>
          <w:rFonts w:asciiTheme="minorEastAsia" w:hAnsiTheme="minorEastAsia" w:eastAsiaTheme="minorEastAsia"/>
          <w:sz w:val="24"/>
        </w:rPr>
        <w:t>15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"_Toc5721" </w:instrText>
      </w:r>
      <w:r>
        <w:fldChar w:fldCharType="separate"/>
      </w:r>
      <w:r>
        <w:rPr>
          <w:rFonts w:hint="eastAsia" w:asciiTheme="minorEastAsia" w:hAnsiTheme="minorEastAsia" w:eastAsiaTheme="minorEastAsia"/>
          <w:sz w:val="24"/>
        </w:rPr>
        <w:t>第22条 计划内暂停</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_Toc5721 </w:instrText>
      </w:r>
      <w:r>
        <w:rPr>
          <w:rFonts w:asciiTheme="minorEastAsia" w:hAnsiTheme="minorEastAsia" w:eastAsiaTheme="minorEastAsia"/>
          <w:sz w:val="24"/>
        </w:rPr>
        <w:fldChar w:fldCharType="separate"/>
      </w:r>
      <w:r>
        <w:rPr>
          <w:rFonts w:asciiTheme="minorEastAsia" w:hAnsiTheme="minorEastAsia" w:eastAsiaTheme="minorEastAsia"/>
          <w:sz w:val="24"/>
        </w:rPr>
        <w:t>15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"_Toc32229" </w:instrText>
      </w:r>
      <w:r>
        <w:fldChar w:fldCharType="separate"/>
      </w:r>
      <w:r>
        <w:rPr>
          <w:rFonts w:hint="eastAsia" w:asciiTheme="minorEastAsia" w:hAnsiTheme="minorEastAsia" w:eastAsiaTheme="minorEastAsia"/>
          <w:sz w:val="24"/>
        </w:rPr>
        <w:t>第23条 计划外暂停</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_Toc32229 </w:instrText>
      </w:r>
      <w:r>
        <w:rPr>
          <w:rFonts w:asciiTheme="minorEastAsia" w:hAnsiTheme="minorEastAsia" w:eastAsiaTheme="minorEastAsia"/>
          <w:sz w:val="24"/>
        </w:rPr>
        <w:fldChar w:fldCharType="separate"/>
      </w:r>
      <w:r>
        <w:rPr>
          <w:rFonts w:asciiTheme="minorEastAsia" w:hAnsiTheme="minorEastAsia" w:eastAsiaTheme="minorEastAsia"/>
          <w:sz w:val="24"/>
        </w:rPr>
        <w:t>16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"_Toc22791" </w:instrText>
      </w:r>
      <w:r>
        <w:fldChar w:fldCharType="separate"/>
      </w:r>
      <w:r>
        <w:rPr>
          <w:rFonts w:hint="eastAsia" w:asciiTheme="minorEastAsia" w:hAnsiTheme="minorEastAsia" w:eastAsiaTheme="minorEastAsia"/>
          <w:sz w:val="24"/>
        </w:rPr>
        <w:t>第24条 暂停服务的恢复</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_Toc22791 </w:instrText>
      </w:r>
      <w:r>
        <w:rPr>
          <w:rFonts w:asciiTheme="minorEastAsia" w:hAnsiTheme="minorEastAsia" w:eastAsiaTheme="minorEastAsia"/>
          <w:sz w:val="24"/>
        </w:rPr>
        <w:fldChar w:fldCharType="separate"/>
      </w:r>
      <w:r>
        <w:rPr>
          <w:rFonts w:asciiTheme="minorEastAsia" w:hAnsiTheme="minorEastAsia" w:eastAsiaTheme="minorEastAsia"/>
          <w:sz w:val="24"/>
        </w:rPr>
        <w:t>17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tabs>
          <w:tab w:val="right" w:leader="dot" w:pos="8306"/>
        </w:tabs>
        <w:rPr>
          <w:rFonts w:asciiTheme="minorEastAsia" w:hAnsiTheme="minorEastAsia" w:eastAsiaTheme="minorEastAsia"/>
          <w:sz w:val="24"/>
        </w:rPr>
      </w:pPr>
      <w:r>
        <w:fldChar w:fldCharType="begin"/>
      </w:r>
      <w:r>
        <w:instrText xml:space="preserve"> HYPERLINK \l "_Toc8831" </w:instrText>
      </w:r>
      <w:r>
        <w:fldChar w:fldCharType="separate"/>
      </w:r>
      <w:r>
        <w:rPr>
          <w:rFonts w:hint="eastAsia" w:asciiTheme="minorEastAsia" w:hAnsiTheme="minorEastAsia" w:eastAsiaTheme="minorEastAsia"/>
          <w:bCs/>
          <w:sz w:val="24"/>
        </w:rPr>
        <w:t>第四章  污水运营维护管理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_Toc8831 </w:instrText>
      </w:r>
      <w:r>
        <w:rPr>
          <w:rFonts w:asciiTheme="minorEastAsia" w:hAnsiTheme="minorEastAsia" w:eastAsiaTheme="minorEastAsia"/>
          <w:sz w:val="24"/>
        </w:rPr>
        <w:fldChar w:fldCharType="separate"/>
      </w:r>
      <w:r>
        <w:rPr>
          <w:rFonts w:asciiTheme="minorEastAsia" w:hAnsiTheme="minorEastAsia" w:eastAsiaTheme="minorEastAsia"/>
          <w:sz w:val="24"/>
        </w:rPr>
        <w:t>17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"_Toc17646" </w:instrText>
      </w:r>
      <w:r>
        <w:fldChar w:fldCharType="separate"/>
      </w:r>
      <w:r>
        <w:rPr>
          <w:rFonts w:hint="eastAsia" w:asciiTheme="minorEastAsia" w:hAnsiTheme="minorEastAsia" w:eastAsiaTheme="minorEastAsia"/>
          <w:bCs/>
          <w:sz w:val="24"/>
        </w:rPr>
        <w:t>第一节 污水水质、管网、污泥、噪声及臭气标准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_Toc17646 </w:instrText>
      </w:r>
      <w:r>
        <w:rPr>
          <w:rFonts w:asciiTheme="minorEastAsia" w:hAnsiTheme="minorEastAsia" w:eastAsiaTheme="minorEastAsia"/>
          <w:sz w:val="24"/>
        </w:rPr>
        <w:fldChar w:fldCharType="separate"/>
      </w:r>
      <w:r>
        <w:rPr>
          <w:rFonts w:asciiTheme="minorEastAsia" w:hAnsiTheme="minorEastAsia" w:eastAsiaTheme="minorEastAsia"/>
          <w:sz w:val="24"/>
        </w:rPr>
        <w:t>17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"_Toc29384" </w:instrText>
      </w:r>
      <w:r>
        <w:fldChar w:fldCharType="separate"/>
      </w:r>
      <w:r>
        <w:rPr>
          <w:rFonts w:hint="eastAsia" w:asciiTheme="minorEastAsia" w:hAnsiTheme="minorEastAsia" w:eastAsiaTheme="minorEastAsia"/>
          <w:sz w:val="24"/>
        </w:rPr>
        <w:t>第25条 进水及出水水质标准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_Toc29384 </w:instrText>
      </w:r>
      <w:r>
        <w:rPr>
          <w:rFonts w:asciiTheme="minorEastAsia" w:hAnsiTheme="minorEastAsia" w:eastAsiaTheme="minorEastAsia"/>
          <w:sz w:val="24"/>
        </w:rPr>
        <w:fldChar w:fldCharType="separate"/>
      </w:r>
      <w:r>
        <w:rPr>
          <w:rFonts w:asciiTheme="minorEastAsia" w:hAnsiTheme="minorEastAsia" w:eastAsiaTheme="minorEastAsia"/>
          <w:sz w:val="24"/>
        </w:rPr>
        <w:t>17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"_Toc13497" </w:instrText>
      </w:r>
      <w:r>
        <w:fldChar w:fldCharType="separate"/>
      </w:r>
      <w:r>
        <w:rPr>
          <w:rFonts w:hint="eastAsia" w:asciiTheme="minorEastAsia" w:hAnsiTheme="minorEastAsia" w:eastAsiaTheme="minorEastAsia"/>
          <w:sz w:val="24"/>
        </w:rPr>
        <w:t>第26条 污水管网运营维护标准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_Toc13497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"_Toc11165" </w:instrText>
      </w:r>
      <w:r>
        <w:fldChar w:fldCharType="separate"/>
      </w:r>
      <w:r>
        <w:rPr>
          <w:rFonts w:hint="eastAsia" w:asciiTheme="minorEastAsia" w:hAnsiTheme="minorEastAsia" w:eastAsiaTheme="minorEastAsia"/>
          <w:sz w:val="24"/>
        </w:rPr>
        <w:t>第27条 污泥出厂标准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_Toc11165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"_Toc29503" </w:instrText>
      </w:r>
      <w:r>
        <w:fldChar w:fldCharType="separate"/>
      </w:r>
      <w:r>
        <w:rPr>
          <w:rFonts w:hint="eastAsia" w:asciiTheme="minorEastAsia" w:hAnsiTheme="minorEastAsia" w:eastAsiaTheme="minorEastAsia"/>
          <w:sz w:val="24"/>
        </w:rPr>
        <w:t>第28条 噪声、臭气标准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_Toc29503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"_Toc12317" </w:instrText>
      </w:r>
      <w:r>
        <w:fldChar w:fldCharType="separate"/>
      </w:r>
      <w:r>
        <w:rPr>
          <w:rFonts w:hint="eastAsia" w:asciiTheme="minorEastAsia" w:hAnsiTheme="minorEastAsia" w:eastAsiaTheme="minorEastAsia"/>
          <w:sz w:val="24"/>
        </w:rPr>
        <w:t>第29条 对新标准的执行</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_Toc12317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"_Toc13349" </w:instrText>
      </w:r>
      <w:r>
        <w:fldChar w:fldCharType="separate"/>
      </w:r>
      <w:r>
        <w:rPr>
          <w:rFonts w:hint="eastAsia" w:asciiTheme="minorEastAsia" w:hAnsiTheme="minorEastAsia" w:eastAsiaTheme="minorEastAsia"/>
          <w:bCs/>
          <w:sz w:val="24"/>
        </w:rPr>
        <w:t>第二节 检测、检查及处理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_Toc13349 </w:instrText>
      </w:r>
      <w:r>
        <w:rPr>
          <w:rFonts w:asciiTheme="minorEastAsia" w:hAnsiTheme="minorEastAsia" w:eastAsiaTheme="minorEastAsia"/>
          <w:sz w:val="24"/>
        </w:rPr>
        <w:fldChar w:fldCharType="separate"/>
      </w:r>
      <w:r>
        <w:rPr>
          <w:rFonts w:asciiTheme="minorEastAsia" w:hAnsiTheme="minorEastAsia" w:eastAsiaTheme="minorEastAsia"/>
          <w:sz w:val="24"/>
        </w:rPr>
        <w:t>19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"_Toc22102" </w:instrText>
      </w:r>
      <w:r>
        <w:fldChar w:fldCharType="separate"/>
      </w:r>
      <w:r>
        <w:rPr>
          <w:rFonts w:hint="eastAsia" w:asciiTheme="minorEastAsia" w:hAnsiTheme="minorEastAsia" w:eastAsiaTheme="minorEastAsia"/>
          <w:sz w:val="24"/>
        </w:rPr>
        <w:t>第30条 乙方检测义务</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_Toc22102 </w:instrText>
      </w:r>
      <w:r>
        <w:rPr>
          <w:rFonts w:asciiTheme="minorEastAsia" w:hAnsiTheme="minorEastAsia" w:eastAsiaTheme="minorEastAsia"/>
          <w:sz w:val="24"/>
        </w:rPr>
        <w:fldChar w:fldCharType="separate"/>
      </w:r>
      <w:r>
        <w:rPr>
          <w:rFonts w:asciiTheme="minorEastAsia" w:hAnsiTheme="minorEastAsia" w:eastAsiaTheme="minorEastAsia"/>
          <w:sz w:val="24"/>
        </w:rPr>
        <w:t>19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"_Toc2643" </w:instrText>
      </w:r>
      <w:r>
        <w:fldChar w:fldCharType="separate"/>
      </w:r>
      <w:r>
        <w:rPr>
          <w:rFonts w:hint="eastAsia" w:asciiTheme="minorEastAsia" w:hAnsiTheme="minorEastAsia" w:eastAsiaTheme="minorEastAsia"/>
          <w:sz w:val="24"/>
        </w:rPr>
        <w:t>第31条 检测依据</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_Toc2643 </w:instrText>
      </w:r>
      <w:r>
        <w:rPr>
          <w:rFonts w:asciiTheme="minorEastAsia" w:hAnsiTheme="minorEastAsia" w:eastAsiaTheme="minorEastAsia"/>
          <w:sz w:val="24"/>
        </w:rPr>
        <w:fldChar w:fldCharType="separate"/>
      </w:r>
      <w:r>
        <w:rPr>
          <w:rFonts w:asciiTheme="minorEastAsia" w:hAnsiTheme="minorEastAsia" w:eastAsiaTheme="minorEastAsia"/>
          <w:sz w:val="24"/>
        </w:rPr>
        <w:t>19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"_Toc28253" </w:instrText>
      </w:r>
      <w:r>
        <w:fldChar w:fldCharType="separate"/>
      </w:r>
      <w:r>
        <w:rPr>
          <w:rFonts w:hint="eastAsia" w:asciiTheme="minorEastAsia" w:hAnsiTheme="minorEastAsia" w:eastAsiaTheme="minorEastAsia"/>
          <w:sz w:val="24"/>
        </w:rPr>
        <w:t>第32条 进水和出水水质的日常检测、定期检测和在线检测</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_Toc28253 </w:instrText>
      </w:r>
      <w:r>
        <w:rPr>
          <w:rFonts w:asciiTheme="minorEastAsia" w:hAnsiTheme="minorEastAsia" w:eastAsiaTheme="minorEastAsia"/>
          <w:sz w:val="24"/>
        </w:rPr>
        <w:fldChar w:fldCharType="separate"/>
      </w:r>
      <w:r>
        <w:rPr>
          <w:rFonts w:asciiTheme="minorEastAsia" w:hAnsiTheme="minorEastAsia" w:eastAsiaTheme="minorEastAsia"/>
          <w:sz w:val="24"/>
        </w:rPr>
        <w:t>19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"_Toc4913" </w:instrText>
      </w:r>
      <w:r>
        <w:fldChar w:fldCharType="separate"/>
      </w:r>
      <w:r>
        <w:rPr>
          <w:rFonts w:hint="eastAsia" w:asciiTheme="minorEastAsia" w:hAnsiTheme="minorEastAsia" w:eastAsiaTheme="minorEastAsia"/>
          <w:sz w:val="24"/>
        </w:rPr>
        <w:t xml:space="preserve">第33条 </w:t>
      </w:r>
      <w:r>
        <w:rPr>
          <w:rFonts w:asciiTheme="minorEastAsia" w:hAnsiTheme="minorEastAsia" w:eastAsiaTheme="minorEastAsia"/>
          <w:sz w:val="24"/>
        </w:rPr>
        <w:t>检测结果的报告</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_Toc4913 </w:instrText>
      </w:r>
      <w:r>
        <w:rPr>
          <w:rFonts w:asciiTheme="minorEastAsia" w:hAnsiTheme="minorEastAsia" w:eastAsiaTheme="minorEastAsia"/>
          <w:sz w:val="24"/>
        </w:rPr>
        <w:fldChar w:fldCharType="separate"/>
      </w:r>
      <w:r>
        <w:rPr>
          <w:rFonts w:asciiTheme="minorEastAsia" w:hAnsiTheme="minorEastAsia" w:eastAsiaTheme="minorEastAsia"/>
          <w:sz w:val="24"/>
        </w:rPr>
        <w:t>20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"_Toc32526" </w:instrText>
      </w:r>
      <w:r>
        <w:fldChar w:fldCharType="separate"/>
      </w:r>
      <w:r>
        <w:rPr>
          <w:rFonts w:hint="eastAsia" w:asciiTheme="minorEastAsia" w:hAnsiTheme="minorEastAsia" w:eastAsiaTheme="minorEastAsia"/>
          <w:sz w:val="24"/>
        </w:rPr>
        <w:t xml:space="preserve">第34条 </w:t>
      </w:r>
      <w:r>
        <w:rPr>
          <w:rFonts w:asciiTheme="minorEastAsia" w:hAnsiTheme="minorEastAsia" w:eastAsiaTheme="minorEastAsia"/>
          <w:sz w:val="24"/>
        </w:rPr>
        <w:t>检查及结果通知</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_Toc32526 </w:instrText>
      </w:r>
      <w:r>
        <w:rPr>
          <w:rFonts w:asciiTheme="minorEastAsia" w:hAnsiTheme="minorEastAsia" w:eastAsiaTheme="minorEastAsia"/>
          <w:sz w:val="24"/>
        </w:rPr>
        <w:fldChar w:fldCharType="separate"/>
      </w:r>
      <w:r>
        <w:rPr>
          <w:rFonts w:asciiTheme="minorEastAsia" w:hAnsiTheme="minorEastAsia" w:eastAsiaTheme="minorEastAsia"/>
          <w:sz w:val="24"/>
        </w:rPr>
        <w:t>21</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"_Toc1237" </w:instrText>
      </w:r>
      <w:r>
        <w:fldChar w:fldCharType="separate"/>
      </w:r>
      <w:r>
        <w:rPr>
          <w:rFonts w:hint="eastAsia" w:asciiTheme="minorEastAsia" w:hAnsiTheme="minorEastAsia" w:eastAsiaTheme="minorEastAsia"/>
          <w:sz w:val="24"/>
        </w:rPr>
        <w:t xml:space="preserve">第35条 </w:t>
      </w:r>
      <w:r>
        <w:rPr>
          <w:rFonts w:asciiTheme="minorEastAsia" w:hAnsiTheme="minorEastAsia" w:eastAsiaTheme="minorEastAsia"/>
          <w:sz w:val="24"/>
        </w:rPr>
        <w:t>出水水质不符合标准的处理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_Toc1237 </w:instrText>
      </w:r>
      <w:r>
        <w:rPr>
          <w:rFonts w:asciiTheme="minorEastAsia" w:hAnsiTheme="minorEastAsia" w:eastAsiaTheme="minorEastAsia"/>
          <w:sz w:val="24"/>
        </w:rPr>
        <w:fldChar w:fldCharType="separate"/>
      </w:r>
      <w:r>
        <w:rPr>
          <w:rFonts w:asciiTheme="minorEastAsia" w:hAnsiTheme="minorEastAsia" w:eastAsiaTheme="minorEastAsia"/>
          <w:sz w:val="24"/>
        </w:rPr>
        <w:t>22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"_Toc19991" </w:instrText>
      </w:r>
      <w:r>
        <w:fldChar w:fldCharType="separate"/>
      </w:r>
      <w:r>
        <w:rPr>
          <w:rFonts w:hint="eastAsia" w:asciiTheme="minorEastAsia" w:hAnsiTheme="minorEastAsia" w:eastAsiaTheme="minorEastAsia"/>
          <w:sz w:val="24"/>
        </w:rPr>
        <w:t xml:space="preserve">第36条 </w:t>
      </w:r>
      <w:r>
        <w:rPr>
          <w:rFonts w:asciiTheme="minorEastAsia" w:hAnsiTheme="minorEastAsia" w:eastAsiaTheme="minorEastAsia"/>
          <w:sz w:val="24"/>
        </w:rPr>
        <w:t>进水不符合标准的处理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_Toc19991 </w:instrText>
      </w:r>
      <w:r>
        <w:rPr>
          <w:rFonts w:asciiTheme="minorEastAsia" w:hAnsiTheme="minorEastAsia" w:eastAsiaTheme="minorEastAsia"/>
          <w:sz w:val="24"/>
        </w:rPr>
        <w:fldChar w:fldCharType="separate"/>
      </w:r>
      <w:r>
        <w:rPr>
          <w:rFonts w:asciiTheme="minorEastAsia" w:hAnsiTheme="minorEastAsia" w:eastAsiaTheme="minorEastAsia"/>
          <w:sz w:val="24"/>
        </w:rPr>
        <w:t>22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"_Toc32383" </w:instrText>
      </w:r>
      <w:r>
        <w:fldChar w:fldCharType="separate"/>
      </w:r>
      <w:r>
        <w:rPr>
          <w:rFonts w:hint="eastAsia" w:asciiTheme="minorEastAsia" w:hAnsiTheme="minorEastAsia" w:eastAsiaTheme="minorEastAsia"/>
          <w:bCs/>
          <w:sz w:val="24"/>
        </w:rPr>
        <w:t xml:space="preserve">第三节 </w:t>
      </w:r>
      <w:r>
        <w:rPr>
          <w:rFonts w:asciiTheme="minorEastAsia" w:hAnsiTheme="minorEastAsia" w:eastAsiaTheme="minorEastAsia"/>
          <w:bCs/>
          <w:sz w:val="24"/>
        </w:rPr>
        <w:t>污水计量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_Toc32383 </w:instrText>
      </w:r>
      <w:r>
        <w:rPr>
          <w:rFonts w:asciiTheme="minorEastAsia" w:hAnsiTheme="minorEastAsia" w:eastAsiaTheme="minorEastAsia"/>
          <w:sz w:val="24"/>
        </w:rPr>
        <w:fldChar w:fldCharType="separate"/>
      </w:r>
      <w:r>
        <w:rPr>
          <w:rFonts w:asciiTheme="minorEastAsia" w:hAnsiTheme="minorEastAsia" w:eastAsiaTheme="minorEastAsia"/>
          <w:sz w:val="24"/>
        </w:rPr>
        <w:t>23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"_Toc13551" </w:instrText>
      </w:r>
      <w:r>
        <w:fldChar w:fldCharType="separate"/>
      </w:r>
      <w:r>
        <w:rPr>
          <w:rFonts w:hint="eastAsia" w:asciiTheme="minorEastAsia" w:hAnsiTheme="minorEastAsia" w:eastAsiaTheme="minorEastAsia"/>
          <w:sz w:val="24"/>
        </w:rPr>
        <w:t xml:space="preserve">第37条 </w:t>
      </w:r>
      <w:r>
        <w:rPr>
          <w:rFonts w:asciiTheme="minorEastAsia" w:hAnsiTheme="minorEastAsia" w:eastAsiaTheme="minorEastAsia"/>
          <w:sz w:val="24"/>
        </w:rPr>
        <w:t>进、出水流量计</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_Toc13551 </w:instrText>
      </w:r>
      <w:r>
        <w:rPr>
          <w:rFonts w:asciiTheme="minorEastAsia" w:hAnsiTheme="minorEastAsia" w:eastAsiaTheme="minorEastAsia"/>
          <w:sz w:val="24"/>
        </w:rPr>
        <w:fldChar w:fldCharType="separate"/>
      </w:r>
      <w:r>
        <w:rPr>
          <w:rFonts w:asciiTheme="minorEastAsia" w:hAnsiTheme="minorEastAsia" w:eastAsiaTheme="minorEastAsia"/>
          <w:sz w:val="24"/>
        </w:rPr>
        <w:t>23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"_Toc13848" </w:instrText>
      </w:r>
      <w:r>
        <w:fldChar w:fldCharType="separate"/>
      </w:r>
      <w:r>
        <w:rPr>
          <w:rFonts w:hint="eastAsia" w:asciiTheme="minorEastAsia" w:hAnsiTheme="minorEastAsia" w:eastAsiaTheme="minorEastAsia"/>
          <w:sz w:val="24"/>
        </w:rPr>
        <w:t xml:space="preserve">第38条 </w:t>
      </w:r>
      <w:r>
        <w:rPr>
          <w:rFonts w:asciiTheme="minorEastAsia" w:hAnsiTheme="minorEastAsia" w:eastAsiaTheme="minorEastAsia"/>
          <w:sz w:val="24"/>
        </w:rPr>
        <w:t>液位计</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_Toc13848 </w:instrText>
      </w:r>
      <w:r>
        <w:rPr>
          <w:rFonts w:asciiTheme="minorEastAsia" w:hAnsiTheme="minorEastAsia" w:eastAsiaTheme="minorEastAsia"/>
          <w:sz w:val="24"/>
        </w:rPr>
        <w:fldChar w:fldCharType="separate"/>
      </w:r>
      <w:r>
        <w:rPr>
          <w:rFonts w:asciiTheme="minorEastAsia" w:hAnsiTheme="minorEastAsia" w:eastAsiaTheme="minorEastAsia"/>
          <w:sz w:val="24"/>
        </w:rPr>
        <w:t>24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"_Toc4837" </w:instrText>
      </w:r>
      <w:r>
        <w:fldChar w:fldCharType="separate"/>
      </w:r>
      <w:r>
        <w:rPr>
          <w:rFonts w:hint="eastAsia" w:asciiTheme="minorEastAsia" w:hAnsiTheme="minorEastAsia" w:eastAsiaTheme="minorEastAsia"/>
          <w:sz w:val="24"/>
        </w:rPr>
        <w:t xml:space="preserve">第39条 </w:t>
      </w:r>
      <w:r>
        <w:rPr>
          <w:rFonts w:asciiTheme="minorEastAsia" w:hAnsiTheme="minorEastAsia" w:eastAsiaTheme="minorEastAsia"/>
          <w:sz w:val="24"/>
        </w:rPr>
        <w:t>流量计计量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_Toc4837 </w:instrText>
      </w:r>
      <w:r>
        <w:rPr>
          <w:rFonts w:asciiTheme="minorEastAsia" w:hAnsiTheme="minorEastAsia" w:eastAsiaTheme="minorEastAsia"/>
          <w:sz w:val="24"/>
        </w:rPr>
        <w:fldChar w:fldCharType="separate"/>
      </w:r>
      <w:r>
        <w:rPr>
          <w:rFonts w:asciiTheme="minorEastAsia" w:hAnsiTheme="minorEastAsia" w:eastAsiaTheme="minorEastAsia"/>
          <w:sz w:val="24"/>
        </w:rPr>
        <w:t>25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"_Toc12946" </w:instrText>
      </w:r>
      <w:r>
        <w:fldChar w:fldCharType="separate"/>
      </w:r>
      <w:r>
        <w:rPr>
          <w:rFonts w:hint="eastAsia" w:asciiTheme="minorEastAsia" w:hAnsiTheme="minorEastAsia" w:eastAsiaTheme="minorEastAsia"/>
          <w:sz w:val="24"/>
        </w:rPr>
        <w:t xml:space="preserve">第40条 </w:t>
      </w:r>
      <w:r>
        <w:rPr>
          <w:rFonts w:asciiTheme="minorEastAsia" w:hAnsiTheme="minorEastAsia" w:eastAsiaTheme="minorEastAsia"/>
          <w:sz w:val="24"/>
        </w:rPr>
        <w:t>液位控制(以设计图纸为准)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_Toc12946 </w:instrText>
      </w:r>
      <w:r>
        <w:rPr>
          <w:rFonts w:asciiTheme="minorEastAsia" w:hAnsiTheme="minorEastAsia" w:eastAsiaTheme="minorEastAsia"/>
          <w:sz w:val="24"/>
        </w:rPr>
        <w:fldChar w:fldCharType="separate"/>
      </w:r>
      <w:r>
        <w:rPr>
          <w:rFonts w:asciiTheme="minorEastAsia" w:hAnsiTheme="minorEastAsia" w:eastAsiaTheme="minorEastAsia"/>
          <w:sz w:val="24"/>
        </w:rPr>
        <w:t>26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"_Toc27773" </w:instrText>
      </w:r>
      <w:r>
        <w:fldChar w:fldCharType="separate"/>
      </w:r>
      <w:r>
        <w:rPr>
          <w:rFonts w:hint="eastAsia" w:asciiTheme="minorEastAsia" w:hAnsiTheme="minorEastAsia" w:eastAsiaTheme="minorEastAsia"/>
          <w:bCs/>
          <w:sz w:val="24"/>
        </w:rPr>
        <w:t xml:space="preserve">第四节 </w:t>
      </w:r>
      <w:r>
        <w:rPr>
          <w:rFonts w:asciiTheme="minorEastAsia" w:hAnsiTheme="minorEastAsia" w:eastAsiaTheme="minorEastAsia"/>
          <w:bCs/>
          <w:sz w:val="24"/>
        </w:rPr>
        <w:t>仪表校准及管理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_Toc27773 </w:instrText>
      </w:r>
      <w:r>
        <w:rPr>
          <w:rFonts w:asciiTheme="minorEastAsia" w:hAnsiTheme="minorEastAsia" w:eastAsiaTheme="minorEastAsia"/>
          <w:sz w:val="24"/>
        </w:rPr>
        <w:fldChar w:fldCharType="separate"/>
      </w:r>
      <w:r>
        <w:rPr>
          <w:rFonts w:asciiTheme="minorEastAsia" w:hAnsiTheme="minorEastAsia" w:eastAsiaTheme="minorEastAsia"/>
          <w:sz w:val="24"/>
        </w:rPr>
        <w:t>27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"_Toc600" </w:instrText>
      </w:r>
      <w:r>
        <w:fldChar w:fldCharType="separate"/>
      </w:r>
      <w:r>
        <w:rPr>
          <w:rFonts w:hint="eastAsia" w:asciiTheme="minorEastAsia" w:hAnsiTheme="minorEastAsia" w:eastAsiaTheme="minorEastAsia"/>
          <w:sz w:val="24"/>
        </w:rPr>
        <w:t xml:space="preserve">第41条 </w:t>
      </w:r>
      <w:r>
        <w:rPr>
          <w:rFonts w:asciiTheme="minorEastAsia" w:hAnsiTheme="minorEastAsia" w:eastAsiaTheme="minorEastAsia"/>
          <w:sz w:val="24"/>
        </w:rPr>
        <w:t>测量仪表校准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_Toc600 </w:instrText>
      </w:r>
      <w:r>
        <w:rPr>
          <w:rFonts w:asciiTheme="minorEastAsia" w:hAnsiTheme="minorEastAsia" w:eastAsiaTheme="minorEastAsia"/>
          <w:sz w:val="24"/>
        </w:rPr>
        <w:fldChar w:fldCharType="separate"/>
      </w:r>
      <w:r>
        <w:rPr>
          <w:rFonts w:asciiTheme="minorEastAsia" w:hAnsiTheme="minorEastAsia" w:eastAsiaTheme="minorEastAsia"/>
          <w:sz w:val="24"/>
        </w:rPr>
        <w:t>27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"_Toc2720" </w:instrText>
      </w:r>
      <w:r>
        <w:fldChar w:fldCharType="separate"/>
      </w:r>
      <w:r>
        <w:rPr>
          <w:rFonts w:hint="eastAsia" w:asciiTheme="minorEastAsia" w:hAnsiTheme="minorEastAsia" w:eastAsiaTheme="minorEastAsia"/>
          <w:bCs/>
          <w:sz w:val="24"/>
        </w:rPr>
        <w:t xml:space="preserve">第五节 </w:t>
      </w:r>
      <w:r>
        <w:rPr>
          <w:rFonts w:asciiTheme="minorEastAsia" w:hAnsiTheme="minorEastAsia" w:eastAsiaTheme="minorEastAsia"/>
          <w:bCs/>
          <w:sz w:val="24"/>
        </w:rPr>
        <w:t>运营维护监管与报告</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_Toc2720 </w:instrText>
      </w:r>
      <w:r>
        <w:rPr>
          <w:rFonts w:asciiTheme="minorEastAsia" w:hAnsiTheme="minorEastAsia" w:eastAsiaTheme="minorEastAsia"/>
          <w:sz w:val="24"/>
        </w:rPr>
        <w:fldChar w:fldCharType="separate"/>
      </w:r>
      <w:r>
        <w:rPr>
          <w:rFonts w:asciiTheme="minorEastAsia" w:hAnsiTheme="minorEastAsia" w:eastAsiaTheme="minorEastAsia"/>
          <w:sz w:val="24"/>
        </w:rPr>
        <w:t>28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"_Toc5682" </w:instrText>
      </w:r>
      <w:r>
        <w:fldChar w:fldCharType="separate"/>
      </w:r>
      <w:r>
        <w:rPr>
          <w:rFonts w:hint="eastAsia" w:asciiTheme="minorEastAsia" w:hAnsiTheme="minorEastAsia" w:eastAsiaTheme="minorEastAsia"/>
          <w:sz w:val="24"/>
        </w:rPr>
        <w:t xml:space="preserve">第42条 </w:t>
      </w:r>
      <w:r>
        <w:rPr>
          <w:rFonts w:asciiTheme="minorEastAsia" w:hAnsiTheme="minorEastAsia" w:eastAsiaTheme="minorEastAsia"/>
          <w:sz w:val="24"/>
        </w:rPr>
        <w:t>监管</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_Toc5682 </w:instrText>
      </w:r>
      <w:r>
        <w:rPr>
          <w:rFonts w:asciiTheme="minorEastAsia" w:hAnsiTheme="minorEastAsia" w:eastAsiaTheme="minorEastAsia"/>
          <w:sz w:val="24"/>
        </w:rPr>
        <w:fldChar w:fldCharType="separate"/>
      </w:r>
      <w:r>
        <w:rPr>
          <w:rFonts w:asciiTheme="minorEastAsia" w:hAnsiTheme="minorEastAsia" w:eastAsiaTheme="minorEastAsia"/>
          <w:sz w:val="24"/>
        </w:rPr>
        <w:t>28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"_Toc16497" </w:instrText>
      </w:r>
      <w:r>
        <w:fldChar w:fldCharType="separate"/>
      </w:r>
      <w:r>
        <w:rPr>
          <w:rFonts w:hint="eastAsia" w:asciiTheme="minorEastAsia" w:hAnsiTheme="minorEastAsia" w:eastAsiaTheme="minorEastAsia"/>
          <w:sz w:val="24"/>
        </w:rPr>
        <w:t xml:space="preserve">第43条 </w:t>
      </w:r>
      <w:r>
        <w:rPr>
          <w:rFonts w:asciiTheme="minorEastAsia" w:hAnsiTheme="minorEastAsia" w:eastAsiaTheme="minorEastAsia"/>
          <w:sz w:val="24"/>
        </w:rPr>
        <w:t>运营维护手册</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_Toc16497 </w:instrText>
      </w:r>
      <w:r>
        <w:rPr>
          <w:rFonts w:asciiTheme="minorEastAsia" w:hAnsiTheme="minorEastAsia" w:eastAsiaTheme="minorEastAsia"/>
          <w:sz w:val="24"/>
        </w:rPr>
        <w:fldChar w:fldCharType="separate"/>
      </w:r>
      <w:r>
        <w:rPr>
          <w:rFonts w:asciiTheme="minorEastAsia" w:hAnsiTheme="minorEastAsia" w:eastAsiaTheme="minorEastAsia"/>
          <w:sz w:val="24"/>
        </w:rPr>
        <w:t>29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"_Toc27715" </w:instrText>
      </w:r>
      <w:r>
        <w:fldChar w:fldCharType="separate"/>
      </w:r>
      <w:r>
        <w:rPr>
          <w:rFonts w:hint="eastAsia" w:asciiTheme="minorEastAsia" w:hAnsiTheme="minorEastAsia" w:eastAsiaTheme="minorEastAsia"/>
          <w:sz w:val="24"/>
        </w:rPr>
        <w:t xml:space="preserve">第44条 </w:t>
      </w:r>
      <w:r>
        <w:rPr>
          <w:rFonts w:asciiTheme="minorEastAsia" w:hAnsiTheme="minorEastAsia" w:eastAsiaTheme="minorEastAsia"/>
          <w:sz w:val="24"/>
        </w:rPr>
        <w:t>报告</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_Toc27715 </w:instrText>
      </w:r>
      <w:r>
        <w:rPr>
          <w:rFonts w:asciiTheme="minorEastAsia" w:hAnsiTheme="minorEastAsia" w:eastAsiaTheme="minorEastAsia"/>
          <w:sz w:val="24"/>
        </w:rPr>
        <w:fldChar w:fldCharType="separate"/>
      </w:r>
      <w:r>
        <w:rPr>
          <w:rFonts w:asciiTheme="minorEastAsia" w:hAnsiTheme="minorEastAsia" w:eastAsiaTheme="minorEastAsia"/>
          <w:sz w:val="24"/>
        </w:rPr>
        <w:t>29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44"/>
        <w:tabs>
          <w:tab w:val="right" w:leader="dot" w:pos="8306"/>
        </w:tabs>
        <w:rPr>
          <w:rFonts w:asciiTheme="minorEastAsia" w:hAnsiTheme="minorEastAsia" w:eastAsiaTheme="minorEastAsia"/>
          <w:sz w:val="24"/>
        </w:rPr>
      </w:pPr>
      <w:r>
        <w:fldChar w:fldCharType="begin"/>
      </w:r>
      <w:r>
        <w:instrText xml:space="preserve"> HYPERLINK \l "_Toc29904" </w:instrText>
      </w:r>
      <w:r>
        <w:fldChar w:fldCharType="separate"/>
      </w:r>
      <w:r>
        <w:rPr>
          <w:rFonts w:hint="eastAsia" w:asciiTheme="minorEastAsia" w:hAnsiTheme="minorEastAsia" w:eastAsiaTheme="minorEastAsia"/>
          <w:bCs/>
          <w:sz w:val="24"/>
        </w:rPr>
        <w:t xml:space="preserve">第六节 </w:t>
      </w:r>
      <w:r>
        <w:rPr>
          <w:rFonts w:asciiTheme="minorEastAsia" w:hAnsiTheme="minorEastAsia" w:eastAsiaTheme="minorEastAsia"/>
          <w:bCs/>
          <w:sz w:val="24"/>
        </w:rPr>
        <w:t>暂停</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_Toc29904 </w:instrText>
      </w:r>
      <w:r>
        <w:rPr>
          <w:rFonts w:asciiTheme="minorEastAsia" w:hAnsiTheme="minorEastAsia" w:eastAsiaTheme="minorEastAsia"/>
          <w:sz w:val="24"/>
        </w:rPr>
        <w:fldChar w:fldCharType="separate"/>
      </w:r>
      <w:r>
        <w:rPr>
          <w:rFonts w:asciiTheme="minorEastAsia" w:hAnsiTheme="minorEastAsia" w:eastAsiaTheme="minorEastAsia"/>
          <w:sz w:val="24"/>
        </w:rPr>
        <w:t>30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"_Toc21521" </w:instrText>
      </w:r>
      <w:r>
        <w:fldChar w:fldCharType="separate"/>
      </w:r>
      <w:r>
        <w:rPr>
          <w:rFonts w:hint="eastAsia" w:asciiTheme="minorEastAsia" w:hAnsiTheme="minorEastAsia" w:eastAsiaTheme="minorEastAsia"/>
          <w:sz w:val="24"/>
        </w:rPr>
        <w:t xml:space="preserve">第45条 </w:t>
      </w:r>
      <w:r>
        <w:rPr>
          <w:rFonts w:asciiTheme="minorEastAsia" w:hAnsiTheme="minorEastAsia" w:eastAsiaTheme="minorEastAsia"/>
          <w:sz w:val="24"/>
        </w:rPr>
        <w:t>计划内暂停</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_Toc21521 </w:instrText>
      </w:r>
      <w:r>
        <w:rPr>
          <w:rFonts w:asciiTheme="minorEastAsia" w:hAnsiTheme="minorEastAsia" w:eastAsiaTheme="minorEastAsia"/>
          <w:sz w:val="24"/>
        </w:rPr>
        <w:fldChar w:fldCharType="separate"/>
      </w:r>
      <w:r>
        <w:rPr>
          <w:rFonts w:asciiTheme="minorEastAsia" w:hAnsiTheme="minorEastAsia" w:eastAsiaTheme="minorEastAsia"/>
          <w:sz w:val="24"/>
        </w:rPr>
        <w:t>30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"_Toc13508" </w:instrText>
      </w:r>
      <w:r>
        <w:fldChar w:fldCharType="separate"/>
      </w:r>
      <w:r>
        <w:rPr>
          <w:rFonts w:hint="eastAsia" w:asciiTheme="minorEastAsia" w:hAnsiTheme="minorEastAsia" w:eastAsiaTheme="minorEastAsia"/>
          <w:sz w:val="24"/>
        </w:rPr>
        <w:t xml:space="preserve">第46条 </w:t>
      </w:r>
      <w:r>
        <w:rPr>
          <w:rFonts w:asciiTheme="minorEastAsia" w:hAnsiTheme="minorEastAsia" w:eastAsiaTheme="minorEastAsia"/>
          <w:sz w:val="24"/>
        </w:rPr>
        <w:t>计划外暂停</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_Toc13508 </w:instrText>
      </w:r>
      <w:r>
        <w:rPr>
          <w:rFonts w:asciiTheme="minorEastAsia" w:hAnsiTheme="minorEastAsia" w:eastAsiaTheme="minorEastAsia"/>
          <w:sz w:val="24"/>
        </w:rPr>
        <w:fldChar w:fldCharType="separate"/>
      </w:r>
      <w:r>
        <w:rPr>
          <w:rFonts w:asciiTheme="minorEastAsia" w:hAnsiTheme="minorEastAsia" w:eastAsiaTheme="minorEastAsia"/>
          <w:sz w:val="24"/>
        </w:rPr>
        <w:t>31</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"_Toc7095" </w:instrText>
      </w:r>
      <w:r>
        <w:fldChar w:fldCharType="separate"/>
      </w:r>
      <w:r>
        <w:rPr>
          <w:rFonts w:hint="eastAsia" w:asciiTheme="minorEastAsia" w:hAnsiTheme="minorEastAsia" w:eastAsiaTheme="minorEastAsia"/>
          <w:sz w:val="24"/>
        </w:rPr>
        <w:t xml:space="preserve">第47条 </w:t>
      </w:r>
      <w:r>
        <w:rPr>
          <w:rFonts w:asciiTheme="minorEastAsia" w:hAnsiTheme="minorEastAsia" w:eastAsiaTheme="minorEastAsia"/>
          <w:sz w:val="24"/>
        </w:rPr>
        <w:t>暂停服务的恢复</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_Toc7095 </w:instrText>
      </w:r>
      <w:r>
        <w:rPr>
          <w:rFonts w:asciiTheme="minorEastAsia" w:hAnsiTheme="minorEastAsia" w:eastAsiaTheme="minorEastAsia"/>
          <w:sz w:val="24"/>
        </w:rPr>
        <w:fldChar w:fldCharType="separate"/>
      </w:r>
      <w:r>
        <w:rPr>
          <w:rFonts w:asciiTheme="minorEastAsia" w:hAnsiTheme="minorEastAsia" w:eastAsiaTheme="minorEastAsia"/>
          <w:sz w:val="24"/>
        </w:rPr>
        <w:t>32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tabs>
          <w:tab w:val="right" w:leader="dot" w:pos="8306"/>
        </w:tabs>
        <w:rPr>
          <w:rFonts w:asciiTheme="minorEastAsia" w:hAnsiTheme="minorEastAsia" w:eastAsiaTheme="minorEastAsia"/>
          <w:sz w:val="24"/>
        </w:rPr>
      </w:pPr>
      <w:r>
        <w:fldChar w:fldCharType="begin"/>
      </w:r>
      <w:r>
        <w:instrText xml:space="preserve"> HYPERLINK \l "_Toc32358" </w:instrText>
      </w:r>
      <w:r>
        <w:fldChar w:fldCharType="separate"/>
      </w:r>
      <w:r>
        <w:rPr>
          <w:rFonts w:asciiTheme="minorEastAsia" w:hAnsiTheme="minorEastAsia" w:eastAsiaTheme="minorEastAsia"/>
          <w:bCs/>
          <w:sz w:val="24"/>
        </w:rPr>
        <w:t>第</w:t>
      </w:r>
      <w:r>
        <w:rPr>
          <w:rFonts w:hint="eastAsia" w:asciiTheme="minorEastAsia" w:hAnsiTheme="minorEastAsia" w:eastAsiaTheme="minorEastAsia"/>
          <w:bCs/>
          <w:sz w:val="24"/>
        </w:rPr>
        <w:t>五</w:t>
      </w:r>
      <w:r>
        <w:rPr>
          <w:rFonts w:asciiTheme="minorEastAsia" w:hAnsiTheme="minorEastAsia" w:eastAsiaTheme="minorEastAsia"/>
          <w:bCs/>
          <w:sz w:val="24"/>
        </w:rPr>
        <w:t>章  违约责任</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_Toc32358 </w:instrText>
      </w:r>
      <w:r>
        <w:rPr>
          <w:rFonts w:asciiTheme="minorEastAsia" w:hAnsiTheme="minorEastAsia" w:eastAsiaTheme="minorEastAsia"/>
          <w:sz w:val="24"/>
        </w:rPr>
        <w:fldChar w:fldCharType="separate"/>
      </w:r>
      <w:r>
        <w:rPr>
          <w:rFonts w:asciiTheme="minorEastAsia" w:hAnsiTheme="minorEastAsia" w:eastAsiaTheme="minorEastAsia"/>
          <w:sz w:val="24"/>
        </w:rPr>
        <w:t>32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"_Toc14254" </w:instrText>
      </w:r>
      <w:r>
        <w:fldChar w:fldCharType="separate"/>
      </w:r>
      <w:r>
        <w:rPr>
          <w:rFonts w:asciiTheme="minorEastAsia" w:hAnsiTheme="minorEastAsia" w:eastAsiaTheme="minorEastAsia"/>
          <w:sz w:val="24"/>
        </w:rPr>
        <w:t>第</w:t>
      </w:r>
      <w:r>
        <w:rPr>
          <w:rFonts w:hint="eastAsia" w:asciiTheme="minorEastAsia" w:hAnsiTheme="minorEastAsia" w:eastAsiaTheme="minorEastAsia"/>
          <w:sz w:val="24"/>
        </w:rPr>
        <w:t>48</w:t>
      </w:r>
      <w:r>
        <w:rPr>
          <w:rFonts w:asciiTheme="minorEastAsia" w:hAnsiTheme="minorEastAsia" w:eastAsiaTheme="minorEastAsia"/>
          <w:sz w:val="24"/>
        </w:rPr>
        <w:t>条 违约责任</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_Toc14254 </w:instrText>
      </w:r>
      <w:r>
        <w:rPr>
          <w:rFonts w:asciiTheme="minorEastAsia" w:hAnsiTheme="minorEastAsia" w:eastAsiaTheme="minorEastAsia"/>
          <w:sz w:val="24"/>
        </w:rPr>
        <w:fldChar w:fldCharType="separate"/>
      </w:r>
      <w:r>
        <w:rPr>
          <w:rFonts w:asciiTheme="minorEastAsia" w:hAnsiTheme="minorEastAsia" w:eastAsiaTheme="minorEastAsia"/>
          <w:sz w:val="24"/>
        </w:rPr>
        <w:t>32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"_Toc12298" </w:instrText>
      </w:r>
      <w:r>
        <w:fldChar w:fldCharType="separate"/>
      </w:r>
      <w:r>
        <w:rPr>
          <w:rFonts w:asciiTheme="minorEastAsia" w:hAnsiTheme="minorEastAsia" w:eastAsiaTheme="minorEastAsia"/>
          <w:bCs/>
          <w:sz w:val="24"/>
        </w:rPr>
        <w:t>第</w:t>
      </w:r>
      <w:r>
        <w:rPr>
          <w:rFonts w:hint="eastAsia" w:asciiTheme="minorEastAsia" w:hAnsiTheme="minorEastAsia" w:eastAsiaTheme="minorEastAsia"/>
          <w:bCs/>
          <w:sz w:val="24"/>
        </w:rPr>
        <w:t>49</w:t>
      </w:r>
      <w:r>
        <w:rPr>
          <w:rFonts w:asciiTheme="minorEastAsia" w:hAnsiTheme="minorEastAsia" w:eastAsiaTheme="minorEastAsia"/>
          <w:bCs/>
          <w:sz w:val="24"/>
        </w:rPr>
        <w:t>条 违约金</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_Toc12298 </w:instrText>
      </w:r>
      <w:r>
        <w:rPr>
          <w:rFonts w:asciiTheme="minorEastAsia" w:hAnsiTheme="minorEastAsia" w:eastAsiaTheme="minorEastAsia"/>
          <w:sz w:val="24"/>
        </w:rPr>
        <w:fldChar w:fldCharType="separate"/>
      </w:r>
      <w:r>
        <w:rPr>
          <w:rFonts w:asciiTheme="minorEastAsia" w:hAnsiTheme="minorEastAsia" w:eastAsiaTheme="minorEastAsia"/>
          <w:sz w:val="24"/>
        </w:rPr>
        <w:t>33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tabs>
          <w:tab w:val="right" w:leader="dot" w:pos="8306"/>
        </w:tabs>
        <w:rPr>
          <w:rFonts w:asciiTheme="minorEastAsia" w:hAnsiTheme="minorEastAsia" w:eastAsiaTheme="minorEastAsia"/>
          <w:sz w:val="24"/>
        </w:rPr>
      </w:pPr>
      <w:r>
        <w:fldChar w:fldCharType="begin"/>
      </w:r>
      <w:r>
        <w:instrText xml:space="preserve"> HYPERLINK \l "_Toc16846" </w:instrText>
      </w:r>
      <w:r>
        <w:fldChar w:fldCharType="separate"/>
      </w:r>
      <w:r>
        <w:rPr>
          <w:rFonts w:asciiTheme="minorEastAsia" w:hAnsiTheme="minorEastAsia" w:eastAsiaTheme="minorEastAsia"/>
          <w:sz w:val="24"/>
        </w:rPr>
        <w:t>第</w:t>
      </w:r>
      <w:r>
        <w:rPr>
          <w:rFonts w:hint="eastAsia" w:asciiTheme="minorEastAsia" w:hAnsiTheme="minorEastAsia" w:eastAsiaTheme="minorEastAsia"/>
          <w:sz w:val="24"/>
        </w:rPr>
        <w:t>六</w:t>
      </w:r>
      <w:r>
        <w:rPr>
          <w:rFonts w:asciiTheme="minorEastAsia" w:hAnsiTheme="minorEastAsia" w:eastAsiaTheme="minorEastAsia"/>
          <w:sz w:val="24"/>
        </w:rPr>
        <w:t>章  协议的变更、终止</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_Toc16846 </w:instrText>
      </w:r>
      <w:r>
        <w:rPr>
          <w:rFonts w:asciiTheme="minorEastAsia" w:hAnsiTheme="minorEastAsia" w:eastAsiaTheme="minorEastAsia"/>
          <w:sz w:val="24"/>
        </w:rPr>
        <w:fldChar w:fldCharType="separate"/>
      </w:r>
      <w:r>
        <w:rPr>
          <w:rFonts w:asciiTheme="minorEastAsia" w:hAnsiTheme="minorEastAsia" w:eastAsiaTheme="minorEastAsia"/>
          <w:sz w:val="24"/>
        </w:rPr>
        <w:t>34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"_Toc9646" </w:instrText>
      </w:r>
      <w:r>
        <w:fldChar w:fldCharType="separate"/>
      </w:r>
      <w:r>
        <w:rPr>
          <w:rFonts w:asciiTheme="minorEastAsia" w:hAnsiTheme="minorEastAsia" w:eastAsiaTheme="minorEastAsia"/>
          <w:sz w:val="24"/>
        </w:rPr>
        <w:t>第</w:t>
      </w:r>
      <w:r>
        <w:rPr>
          <w:rFonts w:hint="eastAsia" w:asciiTheme="minorEastAsia" w:hAnsiTheme="minorEastAsia" w:eastAsiaTheme="minorEastAsia"/>
          <w:sz w:val="24"/>
        </w:rPr>
        <w:t>50</w:t>
      </w:r>
      <w:r>
        <w:rPr>
          <w:rFonts w:asciiTheme="minorEastAsia" w:hAnsiTheme="minorEastAsia" w:eastAsiaTheme="minorEastAsia"/>
          <w:sz w:val="24"/>
        </w:rPr>
        <w:t>条 协议的变更</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_Toc9646 </w:instrText>
      </w:r>
      <w:r>
        <w:rPr>
          <w:rFonts w:asciiTheme="minorEastAsia" w:hAnsiTheme="minorEastAsia" w:eastAsiaTheme="minorEastAsia"/>
          <w:sz w:val="24"/>
        </w:rPr>
        <w:fldChar w:fldCharType="separate"/>
      </w:r>
      <w:r>
        <w:rPr>
          <w:rFonts w:asciiTheme="minorEastAsia" w:hAnsiTheme="minorEastAsia" w:eastAsiaTheme="minorEastAsia"/>
          <w:sz w:val="24"/>
        </w:rPr>
        <w:t>34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"_Toc20858" </w:instrText>
      </w:r>
      <w:r>
        <w:fldChar w:fldCharType="separate"/>
      </w:r>
      <w:r>
        <w:rPr>
          <w:rFonts w:asciiTheme="minorEastAsia" w:hAnsiTheme="minorEastAsia" w:eastAsiaTheme="minorEastAsia"/>
          <w:sz w:val="24"/>
        </w:rPr>
        <w:t>第</w:t>
      </w:r>
      <w:r>
        <w:rPr>
          <w:rFonts w:hint="eastAsia" w:asciiTheme="minorEastAsia" w:hAnsiTheme="minorEastAsia" w:eastAsiaTheme="minorEastAsia"/>
          <w:sz w:val="24"/>
        </w:rPr>
        <w:t>51</w:t>
      </w:r>
      <w:r>
        <w:rPr>
          <w:rFonts w:asciiTheme="minorEastAsia" w:hAnsiTheme="minorEastAsia" w:eastAsiaTheme="minorEastAsia"/>
          <w:sz w:val="24"/>
        </w:rPr>
        <w:t>条 终止事件</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_Toc20858 </w:instrText>
      </w:r>
      <w:r>
        <w:rPr>
          <w:rFonts w:asciiTheme="minorEastAsia" w:hAnsiTheme="minorEastAsia" w:eastAsiaTheme="minorEastAsia"/>
          <w:sz w:val="24"/>
        </w:rPr>
        <w:fldChar w:fldCharType="separate"/>
      </w:r>
      <w:r>
        <w:rPr>
          <w:rFonts w:asciiTheme="minorEastAsia" w:hAnsiTheme="minorEastAsia" w:eastAsiaTheme="minorEastAsia"/>
          <w:sz w:val="24"/>
        </w:rPr>
        <w:t>35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"_Toc7937" </w:instrText>
      </w:r>
      <w:r>
        <w:fldChar w:fldCharType="separate"/>
      </w:r>
      <w:r>
        <w:rPr>
          <w:rFonts w:asciiTheme="minorEastAsia" w:hAnsiTheme="minorEastAsia" w:eastAsiaTheme="minorEastAsia"/>
          <w:sz w:val="24"/>
        </w:rPr>
        <w:t>第</w:t>
      </w:r>
      <w:r>
        <w:rPr>
          <w:rFonts w:hint="eastAsia" w:asciiTheme="minorEastAsia" w:hAnsiTheme="minorEastAsia" w:eastAsiaTheme="minorEastAsia"/>
          <w:sz w:val="24"/>
        </w:rPr>
        <w:t>52</w:t>
      </w:r>
      <w:r>
        <w:rPr>
          <w:rFonts w:asciiTheme="minorEastAsia" w:hAnsiTheme="minorEastAsia" w:eastAsiaTheme="minorEastAsia"/>
          <w:sz w:val="24"/>
        </w:rPr>
        <w:t>条 因甲方</w:t>
      </w:r>
      <w:r>
        <w:rPr>
          <w:rFonts w:asciiTheme="minorEastAsia" w:hAnsiTheme="minorEastAsia" w:eastAsiaTheme="minorEastAsia"/>
          <w:bCs/>
          <w:sz w:val="24"/>
        </w:rPr>
        <w:t>违约</w:t>
      </w:r>
      <w:r>
        <w:rPr>
          <w:rFonts w:asciiTheme="minorEastAsia" w:hAnsiTheme="minorEastAsia" w:eastAsiaTheme="minorEastAsia"/>
          <w:sz w:val="24"/>
        </w:rPr>
        <w:t>的终止</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_Toc7937 </w:instrText>
      </w:r>
      <w:r>
        <w:rPr>
          <w:rFonts w:asciiTheme="minorEastAsia" w:hAnsiTheme="minorEastAsia" w:eastAsiaTheme="minorEastAsia"/>
          <w:sz w:val="24"/>
        </w:rPr>
        <w:fldChar w:fldCharType="separate"/>
      </w:r>
      <w:r>
        <w:rPr>
          <w:rFonts w:asciiTheme="minorEastAsia" w:hAnsiTheme="minorEastAsia" w:eastAsiaTheme="minorEastAsia"/>
          <w:sz w:val="24"/>
        </w:rPr>
        <w:t>35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"_Toc32280" </w:instrText>
      </w:r>
      <w:r>
        <w:fldChar w:fldCharType="separate"/>
      </w:r>
      <w:r>
        <w:rPr>
          <w:rFonts w:asciiTheme="minorEastAsia" w:hAnsiTheme="minorEastAsia" w:eastAsiaTheme="minorEastAsia"/>
          <w:sz w:val="24"/>
        </w:rPr>
        <w:t>第</w:t>
      </w:r>
      <w:r>
        <w:rPr>
          <w:rFonts w:hint="eastAsia" w:asciiTheme="minorEastAsia" w:hAnsiTheme="minorEastAsia" w:eastAsiaTheme="minorEastAsia"/>
          <w:sz w:val="24"/>
        </w:rPr>
        <w:t>53</w:t>
      </w:r>
      <w:r>
        <w:rPr>
          <w:rFonts w:asciiTheme="minorEastAsia" w:hAnsiTheme="minorEastAsia" w:eastAsiaTheme="minorEastAsia"/>
          <w:sz w:val="24"/>
        </w:rPr>
        <w:t>条 因乙方违约的终止</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_Toc32280 </w:instrText>
      </w:r>
      <w:r>
        <w:rPr>
          <w:rFonts w:asciiTheme="minorEastAsia" w:hAnsiTheme="minorEastAsia" w:eastAsiaTheme="minorEastAsia"/>
          <w:sz w:val="24"/>
        </w:rPr>
        <w:fldChar w:fldCharType="separate"/>
      </w:r>
      <w:r>
        <w:rPr>
          <w:rFonts w:asciiTheme="minorEastAsia" w:hAnsiTheme="minorEastAsia" w:eastAsiaTheme="minorEastAsia"/>
          <w:sz w:val="24"/>
        </w:rPr>
        <w:t>35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"_Toc6783" </w:instrText>
      </w:r>
      <w:r>
        <w:fldChar w:fldCharType="separate"/>
      </w:r>
      <w:r>
        <w:rPr>
          <w:rFonts w:asciiTheme="minorEastAsia" w:hAnsiTheme="minorEastAsia" w:eastAsiaTheme="minorEastAsia"/>
          <w:sz w:val="24"/>
        </w:rPr>
        <w:t>第</w:t>
      </w:r>
      <w:r>
        <w:rPr>
          <w:rFonts w:hint="eastAsia" w:asciiTheme="minorEastAsia" w:hAnsiTheme="minorEastAsia" w:eastAsiaTheme="minorEastAsia"/>
          <w:sz w:val="24"/>
        </w:rPr>
        <w:t>54</w:t>
      </w:r>
      <w:r>
        <w:rPr>
          <w:rFonts w:asciiTheme="minorEastAsia" w:hAnsiTheme="minorEastAsia" w:eastAsiaTheme="minorEastAsia"/>
          <w:sz w:val="24"/>
        </w:rPr>
        <w:t>条 提前</w:t>
      </w:r>
      <w:r>
        <w:rPr>
          <w:rFonts w:asciiTheme="minorEastAsia" w:hAnsiTheme="minorEastAsia" w:eastAsiaTheme="minorEastAsia"/>
          <w:bCs/>
          <w:sz w:val="24"/>
        </w:rPr>
        <w:t>终止</w:t>
      </w:r>
      <w:r>
        <w:rPr>
          <w:rFonts w:asciiTheme="minorEastAsia" w:hAnsiTheme="minorEastAsia" w:eastAsiaTheme="minorEastAsia"/>
          <w:sz w:val="24"/>
        </w:rPr>
        <w:t>后续处理</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_Toc6783 </w:instrText>
      </w:r>
      <w:r>
        <w:rPr>
          <w:rFonts w:asciiTheme="minorEastAsia" w:hAnsiTheme="minorEastAsia" w:eastAsiaTheme="minorEastAsia"/>
          <w:sz w:val="24"/>
        </w:rPr>
        <w:fldChar w:fldCharType="separate"/>
      </w:r>
      <w:r>
        <w:rPr>
          <w:rFonts w:asciiTheme="minorEastAsia" w:hAnsiTheme="minorEastAsia" w:eastAsiaTheme="minorEastAsia"/>
          <w:sz w:val="24"/>
        </w:rPr>
        <w:t>36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"_Toc9786" </w:instrText>
      </w:r>
      <w:r>
        <w:fldChar w:fldCharType="separate"/>
      </w:r>
      <w:r>
        <w:rPr>
          <w:rFonts w:asciiTheme="minorEastAsia" w:hAnsiTheme="minorEastAsia" w:eastAsiaTheme="minorEastAsia"/>
          <w:sz w:val="24"/>
        </w:rPr>
        <w:t>第</w:t>
      </w:r>
      <w:r>
        <w:rPr>
          <w:rFonts w:hint="eastAsia" w:asciiTheme="minorEastAsia" w:hAnsiTheme="minorEastAsia" w:eastAsiaTheme="minorEastAsia"/>
          <w:sz w:val="24"/>
        </w:rPr>
        <w:t>55</w:t>
      </w:r>
      <w:r>
        <w:rPr>
          <w:rFonts w:asciiTheme="minorEastAsia" w:hAnsiTheme="minorEastAsia" w:eastAsiaTheme="minorEastAsia"/>
          <w:sz w:val="24"/>
        </w:rPr>
        <w:t>条 提前</w:t>
      </w:r>
      <w:r>
        <w:rPr>
          <w:rFonts w:asciiTheme="minorEastAsia" w:hAnsiTheme="minorEastAsia" w:eastAsiaTheme="minorEastAsia"/>
          <w:bCs/>
          <w:sz w:val="24"/>
        </w:rPr>
        <w:t>终止</w:t>
      </w:r>
      <w:r>
        <w:rPr>
          <w:rFonts w:asciiTheme="minorEastAsia" w:hAnsiTheme="minorEastAsia" w:eastAsiaTheme="minorEastAsia"/>
          <w:sz w:val="24"/>
        </w:rPr>
        <w:t>的补偿</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_Toc9786 </w:instrText>
      </w:r>
      <w:r>
        <w:rPr>
          <w:rFonts w:asciiTheme="minorEastAsia" w:hAnsiTheme="minorEastAsia" w:eastAsiaTheme="minorEastAsia"/>
          <w:sz w:val="24"/>
        </w:rPr>
        <w:fldChar w:fldCharType="separate"/>
      </w:r>
      <w:r>
        <w:rPr>
          <w:rFonts w:asciiTheme="minorEastAsia" w:hAnsiTheme="minorEastAsia" w:eastAsiaTheme="minorEastAsia"/>
          <w:sz w:val="24"/>
        </w:rPr>
        <w:t>36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7"/>
        <w:tabs>
          <w:tab w:val="right" w:leader="dot" w:pos="8306"/>
        </w:tabs>
        <w:rPr>
          <w:rFonts w:asciiTheme="minorEastAsia" w:hAnsiTheme="minorEastAsia" w:eastAsiaTheme="minorEastAsia"/>
          <w:sz w:val="24"/>
        </w:rPr>
      </w:pPr>
      <w:r>
        <w:fldChar w:fldCharType="begin"/>
      </w:r>
      <w:r>
        <w:instrText xml:space="preserve"> HYPERLINK \l "_Toc30314" </w:instrText>
      </w:r>
      <w:r>
        <w:fldChar w:fldCharType="separate"/>
      </w:r>
      <w:r>
        <w:rPr>
          <w:rFonts w:asciiTheme="minorEastAsia" w:hAnsiTheme="minorEastAsia" w:eastAsiaTheme="minorEastAsia"/>
          <w:sz w:val="24"/>
        </w:rPr>
        <w:t>第</w:t>
      </w:r>
      <w:r>
        <w:rPr>
          <w:rFonts w:hint="eastAsia" w:asciiTheme="minorEastAsia" w:hAnsiTheme="minorEastAsia" w:eastAsiaTheme="minorEastAsia"/>
          <w:sz w:val="24"/>
        </w:rPr>
        <w:t>56</w:t>
      </w:r>
      <w:r>
        <w:rPr>
          <w:rFonts w:asciiTheme="minorEastAsia" w:hAnsiTheme="minorEastAsia" w:eastAsiaTheme="minorEastAsia"/>
          <w:sz w:val="24"/>
        </w:rPr>
        <w:t>条 其他条款</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_Toc30314 </w:instrText>
      </w:r>
      <w:r>
        <w:rPr>
          <w:rFonts w:asciiTheme="minorEastAsia" w:hAnsiTheme="minorEastAsia" w:eastAsiaTheme="minorEastAsia"/>
          <w:sz w:val="24"/>
        </w:rPr>
        <w:fldChar w:fldCharType="separate"/>
      </w:r>
      <w:r>
        <w:rPr>
          <w:rFonts w:asciiTheme="minorEastAsia" w:hAnsiTheme="minorEastAsia" w:eastAsiaTheme="minorEastAsia"/>
          <w:sz w:val="24"/>
        </w:rPr>
        <w:t>36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spacing w:before="80" w:after="80" w:line="360" w:lineRule="auto"/>
        <w:jc w:val="center"/>
        <w:rPr>
          <w:rFonts w:asciiTheme="minorEastAsia" w:hAnsiTheme="minorEastAsia" w:eastAsiaTheme="minorEastAsia"/>
        </w:rPr>
        <w:sectPr>
          <w:footerReference r:id="rId22" w:type="default"/>
          <w:pgSz w:w="11906" w:h="16838"/>
          <w:pgMar w:top="1418" w:right="1418" w:bottom="1418" w:left="1418" w:header="851" w:footer="992" w:gutter="0"/>
          <w:cols w:space="720" w:num="1"/>
          <w:docGrid w:type="lines" w:linePitch="312" w:charSpace="0"/>
        </w:sectPr>
      </w:pPr>
      <w:r>
        <w:rPr>
          <w:rFonts w:asciiTheme="minorEastAsia" w:hAnsiTheme="minorEastAsia" w:eastAsiaTheme="minorEastAsia"/>
          <w:sz w:val="24"/>
        </w:rPr>
        <w:fldChar w:fldCharType="end"/>
      </w:r>
    </w:p>
    <w:p>
      <w:pPr>
        <w:spacing w:before="80" w:after="80" w:line="360" w:lineRule="auto"/>
        <w:rPr>
          <w:rFonts w:asciiTheme="minorEastAsia" w:hAnsiTheme="minorEastAsia" w:eastAsiaTheme="minorEastAsia"/>
          <w:b/>
          <w:kern w:val="0"/>
          <w:sz w:val="24"/>
        </w:rPr>
      </w:pPr>
    </w:p>
    <w:p>
      <w:pPr>
        <w:spacing w:before="80" w:after="80" w:line="360" w:lineRule="auto"/>
        <w:rPr>
          <w:rFonts w:asciiTheme="minorEastAsia" w:hAnsiTheme="minorEastAsia" w:eastAsiaTheme="minorEastAsia"/>
          <w:b/>
          <w:kern w:val="0"/>
          <w:sz w:val="24"/>
        </w:rPr>
      </w:pPr>
    </w:p>
    <w:p>
      <w:pPr>
        <w:spacing w:before="80" w:after="80" w:line="360" w:lineRule="auto"/>
        <w:rPr>
          <w:rFonts w:asciiTheme="minorEastAsia" w:hAnsiTheme="minorEastAsia" w:eastAsiaTheme="minorEastAsia"/>
          <w:b/>
          <w:kern w:val="0"/>
          <w:sz w:val="24"/>
        </w:rPr>
      </w:pPr>
    </w:p>
    <w:p>
      <w:pPr>
        <w:spacing w:before="80" w:after="80" w:line="360" w:lineRule="auto"/>
        <w:rPr>
          <w:rFonts w:asciiTheme="minorEastAsia" w:hAnsiTheme="minorEastAsia" w:eastAsiaTheme="minorEastAsia"/>
          <w:b/>
          <w:kern w:val="0"/>
          <w:sz w:val="24"/>
        </w:rPr>
      </w:pPr>
    </w:p>
    <w:p>
      <w:pPr>
        <w:spacing w:before="80" w:after="80" w:line="360" w:lineRule="auto"/>
        <w:rPr>
          <w:rFonts w:asciiTheme="minorEastAsia" w:hAnsiTheme="minorEastAsia" w:eastAsiaTheme="minorEastAsia"/>
          <w:b/>
          <w:kern w:val="0"/>
          <w:sz w:val="24"/>
        </w:rPr>
      </w:pPr>
    </w:p>
    <w:p>
      <w:pPr>
        <w:spacing w:before="80" w:after="80" w:line="360" w:lineRule="auto"/>
        <w:rPr>
          <w:rFonts w:asciiTheme="minorEastAsia" w:hAnsiTheme="minorEastAsia" w:eastAsiaTheme="minorEastAsia"/>
          <w:b/>
          <w:kern w:val="0"/>
          <w:sz w:val="24"/>
        </w:rPr>
      </w:pPr>
    </w:p>
    <w:p>
      <w:pPr>
        <w:spacing w:before="80" w:after="80" w:line="360" w:lineRule="auto"/>
        <w:rPr>
          <w:rFonts w:asciiTheme="minorEastAsia" w:hAnsiTheme="minorEastAsia" w:eastAsiaTheme="minorEastAsia"/>
          <w:b/>
          <w:kern w:val="0"/>
          <w:sz w:val="24"/>
        </w:rPr>
      </w:pPr>
    </w:p>
    <w:p>
      <w:pPr>
        <w:spacing w:before="80" w:after="80" w:line="360" w:lineRule="auto"/>
        <w:rPr>
          <w:rFonts w:asciiTheme="minorEastAsia" w:hAnsiTheme="minorEastAsia" w:eastAsiaTheme="minorEastAsia"/>
          <w:b/>
          <w:kern w:val="0"/>
          <w:sz w:val="24"/>
        </w:rPr>
      </w:pPr>
      <w:r>
        <w:rPr>
          <w:rFonts w:asciiTheme="minorEastAsia" w:hAnsiTheme="minorEastAsia" w:eastAsiaTheme="minorEastAsia"/>
          <w:b/>
          <w:kern w:val="0"/>
          <w:sz w:val="24"/>
        </w:rPr>
        <w:t>本协议由以下双方于</w:t>
      </w:r>
      <w:r>
        <w:rPr>
          <w:rFonts w:asciiTheme="minorEastAsia" w:hAnsiTheme="minorEastAsia" w:eastAsiaTheme="minorEastAsia"/>
          <w:b/>
          <w:sz w:val="30"/>
          <w:szCs w:val="30"/>
          <w:u w:val="single"/>
        </w:rPr>
        <w:t xml:space="preserve">    </w:t>
      </w:r>
      <w:r>
        <w:rPr>
          <w:rFonts w:asciiTheme="minorEastAsia" w:hAnsiTheme="minorEastAsia" w:eastAsiaTheme="minorEastAsia"/>
          <w:b/>
          <w:kern w:val="0"/>
          <w:sz w:val="24"/>
        </w:rPr>
        <w:t>年</w:t>
      </w:r>
      <w:r>
        <w:rPr>
          <w:rFonts w:asciiTheme="minorEastAsia" w:hAnsiTheme="minorEastAsia" w:eastAsiaTheme="minorEastAsia"/>
          <w:b/>
          <w:sz w:val="30"/>
          <w:szCs w:val="30"/>
          <w:u w:val="single"/>
        </w:rPr>
        <w:t xml:space="preserve">    </w:t>
      </w:r>
      <w:r>
        <w:rPr>
          <w:rFonts w:asciiTheme="minorEastAsia" w:hAnsiTheme="minorEastAsia" w:eastAsiaTheme="minorEastAsia"/>
          <w:b/>
          <w:kern w:val="0"/>
          <w:sz w:val="24"/>
        </w:rPr>
        <w:t>月</w:t>
      </w:r>
      <w:r>
        <w:rPr>
          <w:rFonts w:asciiTheme="minorEastAsia" w:hAnsiTheme="minorEastAsia" w:eastAsiaTheme="minorEastAsia"/>
          <w:b/>
          <w:sz w:val="30"/>
          <w:szCs w:val="30"/>
          <w:u w:val="single"/>
        </w:rPr>
        <w:t xml:space="preserve">    </w:t>
      </w:r>
      <w:r>
        <w:rPr>
          <w:rFonts w:asciiTheme="minorEastAsia" w:hAnsiTheme="minorEastAsia" w:eastAsiaTheme="minorEastAsia"/>
          <w:b/>
          <w:kern w:val="0"/>
          <w:sz w:val="24"/>
        </w:rPr>
        <w:t>日在</w:t>
      </w:r>
      <w:r>
        <w:rPr>
          <w:rFonts w:asciiTheme="minorEastAsia" w:hAnsiTheme="minorEastAsia" w:eastAsiaTheme="minorEastAsia"/>
          <w:b/>
          <w:sz w:val="30"/>
          <w:szCs w:val="30"/>
          <w:u w:val="single"/>
        </w:rPr>
        <w:t xml:space="preserve">    </w:t>
      </w:r>
      <w:r>
        <w:rPr>
          <w:rFonts w:asciiTheme="minorEastAsia" w:hAnsiTheme="minorEastAsia" w:eastAsiaTheme="minorEastAsia"/>
          <w:b/>
          <w:kern w:val="0"/>
          <w:sz w:val="24"/>
        </w:rPr>
        <w:t>签署：</w:t>
      </w:r>
    </w:p>
    <w:p>
      <w:pPr>
        <w:spacing w:line="480" w:lineRule="auto"/>
        <w:rPr>
          <w:rFonts w:asciiTheme="minorEastAsia" w:hAnsiTheme="minorEastAsia" w:eastAsiaTheme="minorEastAsia"/>
          <w:kern w:val="0"/>
          <w:sz w:val="24"/>
        </w:rPr>
      </w:pPr>
    </w:p>
    <w:p>
      <w:pPr>
        <w:spacing w:line="480" w:lineRule="auto"/>
        <w:rPr>
          <w:rFonts w:asciiTheme="minorEastAsia" w:hAnsiTheme="minorEastAsia" w:eastAsiaTheme="minorEastAsia"/>
          <w:b/>
          <w:kern w:val="0"/>
          <w:sz w:val="24"/>
        </w:rPr>
      </w:pPr>
      <w:r>
        <w:rPr>
          <w:rFonts w:asciiTheme="minorEastAsia" w:hAnsiTheme="minorEastAsia" w:eastAsiaTheme="minorEastAsia"/>
          <w:b/>
          <w:kern w:val="0"/>
          <w:sz w:val="24"/>
        </w:rPr>
        <w:t>甲方：</w:t>
      </w:r>
      <w:r>
        <w:rPr>
          <w:rFonts w:asciiTheme="minorEastAsia" w:hAnsiTheme="minorEastAsia" w:eastAsiaTheme="minorEastAsia"/>
          <w:b/>
          <w:kern w:val="0"/>
          <w:sz w:val="24"/>
          <w:u w:val="single"/>
        </w:rPr>
        <w:t xml:space="preserve"> 贵港市产业园区管理委员会 </w:t>
      </w:r>
    </w:p>
    <w:p>
      <w:pPr>
        <w:spacing w:line="48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注册地址：</w:t>
      </w:r>
      <w:r>
        <w:rPr>
          <w:rFonts w:asciiTheme="minorEastAsia" w:hAnsiTheme="minorEastAsia" w:eastAsiaTheme="minorEastAsia"/>
          <w:kern w:val="0"/>
          <w:sz w:val="24"/>
          <w:u w:val="single"/>
        </w:rPr>
        <w:t xml:space="preserve">                                             </w:t>
      </w:r>
    </w:p>
    <w:p>
      <w:pPr>
        <w:spacing w:line="48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法定代表人：</w:t>
      </w:r>
      <w:r>
        <w:rPr>
          <w:rFonts w:asciiTheme="minorEastAsia" w:hAnsiTheme="minorEastAsia" w:eastAsiaTheme="minorEastAsia"/>
          <w:kern w:val="0"/>
          <w:sz w:val="24"/>
          <w:u w:val="single"/>
        </w:rPr>
        <w:t xml:space="preserve">                                           </w:t>
      </w:r>
    </w:p>
    <w:p>
      <w:pPr>
        <w:spacing w:line="480" w:lineRule="auto"/>
        <w:rPr>
          <w:rFonts w:asciiTheme="minorEastAsia" w:hAnsiTheme="minorEastAsia" w:eastAsiaTheme="minorEastAsia"/>
          <w:b/>
          <w:kern w:val="0"/>
          <w:sz w:val="24"/>
        </w:rPr>
      </w:pPr>
      <w:r>
        <w:rPr>
          <w:rFonts w:asciiTheme="minorEastAsia" w:hAnsiTheme="minorEastAsia" w:eastAsiaTheme="minorEastAsia"/>
          <w:b/>
          <w:kern w:val="0"/>
          <w:sz w:val="24"/>
        </w:rPr>
        <w:t>乙方：</w:t>
      </w:r>
      <w:r>
        <w:rPr>
          <w:rFonts w:asciiTheme="minorEastAsia" w:hAnsiTheme="minorEastAsia" w:eastAsiaTheme="minorEastAsia"/>
          <w:b/>
          <w:kern w:val="0"/>
          <w:sz w:val="24"/>
          <w:u w:val="single"/>
        </w:rPr>
        <w:t xml:space="preserve">     </w:t>
      </w:r>
      <w:r>
        <w:rPr>
          <w:rFonts w:hint="eastAsia" w:asciiTheme="minorEastAsia" w:hAnsiTheme="minorEastAsia" w:eastAsiaTheme="minorEastAsia"/>
          <w:b/>
          <w:kern w:val="0"/>
          <w:sz w:val="24"/>
          <w:u w:val="single"/>
        </w:rPr>
        <w:t xml:space="preserve">                      </w:t>
      </w:r>
    </w:p>
    <w:p>
      <w:pPr>
        <w:spacing w:line="48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注册地址：</w:t>
      </w:r>
      <w:r>
        <w:rPr>
          <w:rFonts w:asciiTheme="minorEastAsia" w:hAnsiTheme="minorEastAsia" w:eastAsiaTheme="minorEastAsia"/>
          <w:kern w:val="0"/>
          <w:sz w:val="24"/>
          <w:u w:val="single"/>
        </w:rPr>
        <w:t xml:space="preserve">                                              </w:t>
      </w:r>
    </w:p>
    <w:p>
      <w:pPr>
        <w:spacing w:line="48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法定代表人：</w:t>
      </w:r>
      <w:r>
        <w:rPr>
          <w:rFonts w:asciiTheme="minorEastAsia" w:hAnsiTheme="minorEastAsia" w:eastAsiaTheme="minorEastAsia"/>
          <w:kern w:val="0"/>
          <w:sz w:val="24"/>
          <w:u w:val="single"/>
        </w:rPr>
        <w:t xml:space="preserve">                                            </w:t>
      </w:r>
    </w:p>
    <w:p>
      <w:pPr>
        <w:spacing w:line="480" w:lineRule="auto"/>
        <w:ind w:firstLine="424" w:firstLineChars="177"/>
        <w:rPr>
          <w:rFonts w:asciiTheme="minorEastAsia" w:hAnsiTheme="minorEastAsia" w:eastAsiaTheme="minorEastAsia"/>
          <w:kern w:val="0"/>
          <w:sz w:val="24"/>
        </w:rPr>
      </w:pPr>
    </w:p>
    <w:p>
      <w:pPr>
        <w:spacing w:line="48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甲、乙双方已于</w:t>
      </w:r>
      <w:r>
        <w:rPr>
          <w:rFonts w:asciiTheme="minorEastAsia" w:hAnsiTheme="minorEastAsia" w:eastAsiaTheme="minorEastAsia"/>
          <w:sz w:val="24"/>
          <w:u w:val="single"/>
        </w:rPr>
        <w:t xml:space="preserve">    </w:t>
      </w:r>
      <w:r>
        <w:rPr>
          <w:rFonts w:asciiTheme="minorEastAsia" w:hAnsiTheme="minorEastAsia" w:eastAsiaTheme="minorEastAsia"/>
          <w:kern w:val="0"/>
          <w:sz w:val="24"/>
        </w:rPr>
        <w:t>年</w:t>
      </w:r>
      <w:r>
        <w:rPr>
          <w:rFonts w:asciiTheme="minorEastAsia" w:hAnsiTheme="minorEastAsia" w:eastAsiaTheme="minorEastAsia"/>
          <w:sz w:val="24"/>
          <w:u w:val="single"/>
        </w:rPr>
        <w:t xml:space="preserve">    </w:t>
      </w:r>
      <w:r>
        <w:rPr>
          <w:rFonts w:asciiTheme="minorEastAsia" w:hAnsiTheme="minorEastAsia" w:eastAsiaTheme="minorEastAsia"/>
          <w:kern w:val="0"/>
          <w:sz w:val="24"/>
        </w:rPr>
        <w:t>月</w:t>
      </w:r>
      <w:r>
        <w:rPr>
          <w:rFonts w:asciiTheme="minorEastAsia" w:hAnsiTheme="minorEastAsia" w:eastAsiaTheme="minorEastAsia"/>
          <w:sz w:val="24"/>
          <w:u w:val="single"/>
        </w:rPr>
        <w:t xml:space="preserve">    </w:t>
      </w:r>
      <w:r>
        <w:rPr>
          <w:rFonts w:asciiTheme="minorEastAsia" w:hAnsiTheme="minorEastAsia" w:eastAsiaTheme="minorEastAsia"/>
          <w:kern w:val="0"/>
          <w:sz w:val="24"/>
        </w:rPr>
        <w:t>日签署《</w:t>
      </w:r>
      <w:r>
        <w:rPr>
          <w:rFonts w:asciiTheme="minorEastAsia" w:hAnsiTheme="minorEastAsia" w:eastAsiaTheme="minorEastAsia"/>
          <w:sz w:val="24"/>
          <w:u w:val="single"/>
        </w:rPr>
        <w:t xml:space="preserve"> 贵港市产业园（粤桂园）给水厂和污水处理厂供排一体化PPP项目政府和社会资本合作（PPP）项目合同</w:t>
      </w:r>
      <w:r>
        <w:rPr>
          <w:rFonts w:asciiTheme="minorEastAsia" w:hAnsiTheme="minorEastAsia" w:eastAsiaTheme="minorEastAsia"/>
          <w:kern w:val="0"/>
          <w:sz w:val="24"/>
        </w:rPr>
        <w:t>》（以下简称“《PPP项目合同》”）。为明确双方在项目运营维护过程中的权利义务关系，甲、乙双方根据《中华人民共和国合同法》等相关规定以及《PPP项目合同》约定，遵循平等、合作、守信的原则，就本项目运营维护相关事项协商一致，共同达成如下协议。</w:t>
      </w:r>
    </w:p>
    <w:p>
      <w:pPr>
        <w:widowControl/>
        <w:jc w:val="left"/>
        <w:rPr>
          <w:rFonts w:asciiTheme="minorEastAsia" w:hAnsiTheme="minorEastAsia" w:eastAsiaTheme="minorEastAsia"/>
          <w:kern w:val="0"/>
          <w:sz w:val="24"/>
        </w:rPr>
      </w:pPr>
    </w:p>
    <w:p>
      <w:pPr>
        <w:pStyle w:val="2"/>
        <w:ind w:left="494" w:right="210"/>
        <w:rPr>
          <w:rFonts w:asciiTheme="minorEastAsia" w:hAnsiTheme="minorEastAsia"/>
        </w:rPr>
      </w:pPr>
      <w:r>
        <w:rPr>
          <w:rFonts w:asciiTheme="minorEastAsia" w:hAnsiTheme="minorEastAsia"/>
        </w:rPr>
        <w:br w:type="page"/>
      </w:r>
      <w:bookmarkStart w:id="523" w:name="_Toc13334"/>
      <w:bookmarkStart w:id="524" w:name="_Toc50993491"/>
      <w:bookmarkStart w:id="525" w:name="_Toc6812"/>
      <w:r>
        <w:rPr>
          <w:rFonts w:asciiTheme="minorEastAsia" w:hAnsiTheme="minorEastAsia"/>
        </w:rPr>
        <w:t>第一章  定义与解释</w:t>
      </w:r>
      <w:bookmarkEnd w:id="523"/>
      <w:bookmarkEnd w:id="524"/>
      <w:bookmarkEnd w:id="525"/>
    </w:p>
    <w:p>
      <w:pPr>
        <w:pStyle w:val="4"/>
        <w:rPr>
          <w:rFonts w:asciiTheme="minorEastAsia" w:hAnsiTheme="minorEastAsia" w:eastAsiaTheme="minorEastAsia"/>
        </w:rPr>
      </w:pPr>
      <w:bookmarkStart w:id="526" w:name="_Toc21742"/>
      <w:bookmarkStart w:id="527" w:name="_Toc26385"/>
      <w:r>
        <w:rPr>
          <w:rFonts w:asciiTheme="minorEastAsia" w:hAnsiTheme="minorEastAsia" w:eastAsiaTheme="minorEastAsia"/>
        </w:rPr>
        <w:t>第1条 定义</w:t>
      </w:r>
      <w:bookmarkEnd w:id="526"/>
      <w:bookmarkEnd w:id="527"/>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除本协议另有约定外，下列术语应具有本款所指的含义；本协议未作特别定义的术语，与《PPP项目合同》中的术语具有相同的含义。</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809" w:type="dxa"/>
            <w:vAlign w:val="center"/>
          </w:tcPr>
          <w:p>
            <w:pPr>
              <w:jc w:val="center"/>
              <w:rPr>
                <w:rFonts w:asciiTheme="minorEastAsia" w:hAnsiTheme="minorEastAsia" w:eastAsiaTheme="minorEastAsia"/>
                <w:b/>
                <w:kern w:val="0"/>
                <w:sz w:val="24"/>
              </w:rPr>
            </w:pPr>
            <w:r>
              <w:rPr>
                <w:rFonts w:asciiTheme="minorEastAsia" w:hAnsiTheme="minorEastAsia" w:eastAsiaTheme="minorEastAsia"/>
                <w:b/>
                <w:kern w:val="0"/>
                <w:sz w:val="24"/>
              </w:rPr>
              <w:t>术语</w:t>
            </w:r>
          </w:p>
        </w:tc>
        <w:tc>
          <w:tcPr>
            <w:tcW w:w="6713" w:type="dxa"/>
            <w:vAlign w:val="center"/>
          </w:tcPr>
          <w:p>
            <w:pPr>
              <w:jc w:val="center"/>
              <w:rPr>
                <w:rFonts w:asciiTheme="minorEastAsia" w:hAnsiTheme="minorEastAsia" w:eastAsiaTheme="minorEastAsia"/>
                <w:b/>
                <w:kern w:val="0"/>
                <w:sz w:val="24"/>
              </w:rPr>
            </w:pPr>
            <w:r>
              <w:rPr>
                <w:rFonts w:asciiTheme="minorEastAsia" w:hAnsiTheme="minorEastAsia" w:eastAsiaTheme="minorEastAsia"/>
                <w:b/>
                <w:kern w:val="0"/>
                <w:sz w:val="24"/>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本协议</w:t>
            </w:r>
          </w:p>
        </w:tc>
        <w:tc>
          <w:tcPr>
            <w:tcW w:w="6713" w:type="dxa"/>
            <w:vAlign w:val="center"/>
          </w:tcPr>
          <w:p>
            <w:pPr>
              <w:rPr>
                <w:rFonts w:asciiTheme="minorEastAsia" w:hAnsiTheme="minorEastAsia" w:eastAsiaTheme="minorEastAsia"/>
                <w:kern w:val="0"/>
                <w:sz w:val="24"/>
              </w:rPr>
            </w:pPr>
            <w:r>
              <w:rPr>
                <w:rFonts w:asciiTheme="minorEastAsia" w:hAnsiTheme="minorEastAsia" w:eastAsiaTheme="minorEastAsia"/>
                <w:kern w:val="0"/>
                <w:sz w:val="24"/>
              </w:rPr>
              <w:t>指甲、乙双方共同签署的《贵港市产业园（粤桂园）给水厂和污水处理厂供排一体化PPP项目政府和社会资本合作（PPP）项目运营维护服务协议》，以及日后可能签署的任何前述协议之补充/修改协议和附件。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设计水量</w:t>
            </w:r>
          </w:p>
        </w:tc>
        <w:tc>
          <w:tcPr>
            <w:tcW w:w="6713" w:type="dxa"/>
            <w:vAlign w:val="center"/>
          </w:tcPr>
          <w:p>
            <w:pPr>
              <w:rPr>
                <w:rFonts w:asciiTheme="minorEastAsia" w:hAnsiTheme="minorEastAsia" w:eastAsiaTheme="minorEastAsia"/>
                <w:kern w:val="0"/>
                <w:sz w:val="24"/>
              </w:rPr>
            </w:pPr>
            <w:r>
              <w:rPr>
                <w:rFonts w:asciiTheme="minorEastAsia" w:hAnsiTheme="minorEastAsia" w:eastAsiaTheme="minorEastAsia"/>
                <w:kern w:val="0"/>
                <w:sz w:val="24"/>
              </w:rPr>
              <w:t>指经政府相关部门批复的本污水处理厂和给水厂日处理规模。</w:t>
            </w:r>
          </w:p>
          <w:p>
            <w:pPr>
              <w:rPr>
                <w:rFonts w:asciiTheme="minorEastAsia" w:hAnsiTheme="minorEastAsia" w:eastAsiaTheme="minorEastAsia"/>
                <w:kern w:val="0"/>
                <w:sz w:val="24"/>
              </w:rPr>
            </w:pPr>
            <w:r>
              <w:rPr>
                <w:rFonts w:asciiTheme="minorEastAsia" w:hAnsiTheme="minorEastAsia" w:eastAsiaTheme="minorEastAsia"/>
                <w:kern w:val="0"/>
                <w:sz w:val="24"/>
              </w:rPr>
              <w:t>本协议约定的贵港市产业园区（粤桂园）工业给水厂设计水量为设计日均处理规模水量</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u w:val="single"/>
              </w:rPr>
              <w:t>50000</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吨。</w:t>
            </w:r>
          </w:p>
          <w:p>
            <w:pPr>
              <w:rPr>
                <w:rFonts w:asciiTheme="minorEastAsia" w:hAnsiTheme="minorEastAsia" w:eastAsiaTheme="minorEastAsia"/>
                <w:kern w:val="0"/>
                <w:sz w:val="24"/>
              </w:rPr>
            </w:pPr>
            <w:r>
              <w:rPr>
                <w:rFonts w:asciiTheme="minorEastAsia" w:hAnsiTheme="minorEastAsia" w:eastAsiaTheme="minorEastAsia"/>
                <w:kern w:val="0"/>
                <w:sz w:val="24"/>
              </w:rPr>
              <w:t>本协议约定的贵港市产业园区（粤桂园）生活给水厂设计水量为设计日均处理规模水量</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u w:val="single"/>
              </w:rPr>
              <w:t>3500</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吨。</w:t>
            </w:r>
          </w:p>
          <w:p>
            <w:pPr>
              <w:rPr>
                <w:rFonts w:asciiTheme="minorEastAsia" w:hAnsiTheme="minorEastAsia" w:eastAsiaTheme="minorEastAsia"/>
                <w:kern w:val="0"/>
                <w:sz w:val="24"/>
              </w:rPr>
            </w:pPr>
            <w:r>
              <w:rPr>
                <w:rFonts w:asciiTheme="minorEastAsia" w:hAnsiTheme="minorEastAsia" w:eastAsiaTheme="minorEastAsia"/>
                <w:kern w:val="0"/>
                <w:sz w:val="24"/>
              </w:rPr>
              <w:t>本协议约定的贵港市产业园区（粤桂园）污水处理厂设计处理规模水量为日均</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u w:val="single"/>
              </w:rPr>
              <w:t xml:space="preserve">20000 </w:t>
            </w:r>
            <w:r>
              <w:rPr>
                <w:rFonts w:asciiTheme="minorEastAsia" w:hAnsiTheme="minorEastAsia" w:eastAsiaTheme="minorEastAsia"/>
                <w:kern w:val="0"/>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实测水量</w:t>
            </w:r>
          </w:p>
        </w:tc>
        <w:tc>
          <w:tcPr>
            <w:tcW w:w="6713" w:type="dxa"/>
            <w:vAlign w:val="center"/>
          </w:tcPr>
          <w:p>
            <w:pPr>
              <w:rPr>
                <w:rFonts w:asciiTheme="minorEastAsia" w:hAnsiTheme="minorEastAsia" w:eastAsiaTheme="minorEastAsia"/>
                <w:kern w:val="0"/>
                <w:sz w:val="24"/>
              </w:rPr>
            </w:pPr>
            <w:r>
              <w:rPr>
                <w:rFonts w:asciiTheme="minorEastAsia" w:hAnsiTheme="minorEastAsia" w:eastAsiaTheme="minorEastAsia"/>
                <w:kern w:val="0"/>
                <w:sz w:val="24"/>
              </w:rPr>
              <w:t>指在供水/污水处理厂出水流量计上测得的每日实际供水/污水处理量。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进水</w:t>
            </w:r>
          </w:p>
        </w:tc>
        <w:tc>
          <w:tcPr>
            <w:tcW w:w="6713" w:type="dxa"/>
            <w:vAlign w:val="center"/>
          </w:tcPr>
          <w:p>
            <w:pPr>
              <w:rPr>
                <w:rFonts w:asciiTheme="minorEastAsia" w:hAnsiTheme="minorEastAsia" w:eastAsiaTheme="minorEastAsia"/>
                <w:kern w:val="0"/>
                <w:sz w:val="24"/>
              </w:rPr>
            </w:pPr>
            <w:r>
              <w:rPr>
                <w:rFonts w:asciiTheme="minorEastAsia" w:hAnsiTheme="minorEastAsia" w:eastAsiaTheme="minorEastAsia"/>
                <w:kern w:val="0"/>
                <w:sz w:val="24"/>
              </w:rPr>
              <w:t>工业供水厂：取水点江水</w:t>
            </w:r>
          </w:p>
          <w:p>
            <w:pPr>
              <w:pStyle w:val="23"/>
              <w:rPr>
                <w:rFonts w:asciiTheme="minorEastAsia" w:hAnsiTheme="minorEastAsia" w:eastAsiaTheme="minorEastAsia"/>
              </w:rPr>
            </w:pPr>
            <w:r>
              <w:rPr>
                <w:rFonts w:asciiTheme="minorEastAsia" w:hAnsiTheme="minorEastAsia" w:eastAsiaTheme="minorEastAsia"/>
                <w:sz w:val="24"/>
              </w:rPr>
              <w:t>生活供水厂：广西贵港北控水务有限公司来水</w:t>
            </w:r>
          </w:p>
          <w:p>
            <w:pPr>
              <w:rPr>
                <w:rFonts w:asciiTheme="minorEastAsia" w:hAnsiTheme="minorEastAsia" w:eastAsiaTheme="minorEastAsia"/>
                <w:kern w:val="0"/>
                <w:sz w:val="24"/>
              </w:rPr>
            </w:pPr>
            <w:r>
              <w:rPr>
                <w:rFonts w:asciiTheme="minorEastAsia" w:hAnsiTheme="minorEastAsia" w:eastAsiaTheme="minorEastAsia"/>
                <w:kern w:val="0"/>
                <w:sz w:val="24"/>
              </w:rPr>
              <w:t>污水厂：指纳入本项目合作范围内的管网接收点引入的污水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接收点</w:t>
            </w:r>
          </w:p>
        </w:tc>
        <w:tc>
          <w:tcPr>
            <w:tcW w:w="6713" w:type="dxa"/>
            <w:vAlign w:val="center"/>
          </w:tcPr>
          <w:p>
            <w:pPr>
              <w:jc w:val="left"/>
              <w:rPr>
                <w:rFonts w:asciiTheme="minorEastAsia" w:hAnsiTheme="minorEastAsia" w:eastAsiaTheme="minorEastAsia"/>
                <w:kern w:val="0"/>
                <w:sz w:val="24"/>
              </w:rPr>
            </w:pPr>
            <w:r>
              <w:rPr>
                <w:rFonts w:asciiTheme="minorEastAsia" w:hAnsiTheme="minorEastAsia" w:eastAsiaTheme="minorEastAsia"/>
                <w:kern w:val="0"/>
                <w:sz w:val="24"/>
              </w:rPr>
              <w:t>指本协议约定纳入本项目进水管网的节点，具体指：</w:t>
            </w:r>
          </w:p>
          <w:p>
            <w:pPr>
              <w:jc w:val="left"/>
              <w:rPr>
                <w:rFonts w:asciiTheme="minorEastAsia" w:hAnsiTheme="minorEastAsia" w:eastAsiaTheme="minorEastAsia"/>
                <w:kern w:val="0"/>
                <w:sz w:val="24"/>
              </w:rPr>
            </w:pPr>
            <w:r>
              <w:rPr>
                <w:rFonts w:asciiTheme="minorEastAsia" w:hAnsiTheme="minorEastAsia" w:eastAsiaTheme="minorEastAsia"/>
                <w:kern w:val="0"/>
                <w:sz w:val="24"/>
              </w:rPr>
              <w:t>贵港市产业园区（粤桂园）工业给水厂：距离华电取水泵房上游 1.3km 处。</w:t>
            </w:r>
          </w:p>
          <w:p>
            <w:pPr>
              <w:jc w:val="left"/>
              <w:rPr>
                <w:rFonts w:asciiTheme="minorEastAsia" w:hAnsiTheme="minorEastAsia" w:eastAsiaTheme="minorEastAsia"/>
                <w:kern w:val="0"/>
                <w:sz w:val="24"/>
              </w:rPr>
            </w:pPr>
            <w:r>
              <w:rPr>
                <w:rFonts w:asciiTheme="minorEastAsia" w:hAnsiTheme="minorEastAsia" w:eastAsiaTheme="minorEastAsia"/>
                <w:kern w:val="0"/>
                <w:sz w:val="24"/>
              </w:rPr>
              <w:t>贵港市产业园区（粤桂园）生活给水厂：贵港市产业园区（粤桂园）生活给水厂转输泵站</w:t>
            </w:r>
          </w:p>
          <w:p>
            <w:pPr>
              <w:jc w:val="left"/>
              <w:rPr>
                <w:rFonts w:asciiTheme="minorEastAsia" w:hAnsiTheme="minorEastAsia" w:eastAsiaTheme="minorEastAsia"/>
                <w:kern w:val="0"/>
                <w:sz w:val="24"/>
              </w:rPr>
            </w:pPr>
            <w:r>
              <w:rPr>
                <w:rFonts w:asciiTheme="minorEastAsia" w:hAnsiTheme="minorEastAsia" w:eastAsiaTheme="minorEastAsia"/>
                <w:kern w:val="0"/>
                <w:sz w:val="24"/>
              </w:rPr>
              <w:t>贵港市产业园区（粤桂园）污水处理厂：粤桂园区生活污水干管沿港城三路、华粤四路、港区大道、粤桂一路等道路敷设，采用管径 dn600－dn800 的污水干管。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进水采样点</w:t>
            </w:r>
          </w:p>
        </w:tc>
        <w:tc>
          <w:tcPr>
            <w:tcW w:w="6713" w:type="dxa"/>
            <w:vAlign w:val="center"/>
          </w:tcPr>
          <w:p>
            <w:pPr>
              <w:jc w:val="left"/>
              <w:rPr>
                <w:rFonts w:asciiTheme="minorEastAsia" w:hAnsiTheme="minorEastAsia" w:eastAsiaTheme="minorEastAsia"/>
                <w:kern w:val="0"/>
                <w:sz w:val="24"/>
              </w:rPr>
            </w:pPr>
            <w:r>
              <w:rPr>
                <w:rFonts w:asciiTheme="minorEastAsia" w:hAnsiTheme="minorEastAsia" w:eastAsiaTheme="minorEastAsia"/>
                <w:kern w:val="0"/>
                <w:sz w:val="24"/>
              </w:rPr>
              <w:t>贵港市产业园区（粤桂园）工业给水厂：贵港市产业园区（粤桂园）工业给水厂取水泵房</w:t>
            </w:r>
          </w:p>
          <w:p>
            <w:pPr>
              <w:jc w:val="left"/>
              <w:rPr>
                <w:rFonts w:asciiTheme="minorEastAsia" w:hAnsiTheme="minorEastAsia" w:eastAsiaTheme="minorEastAsia"/>
                <w:kern w:val="0"/>
                <w:sz w:val="24"/>
              </w:rPr>
            </w:pPr>
            <w:r>
              <w:rPr>
                <w:rFonts w:asciiTheme="minorEastAsia" w:hAnsiTheme="minorEastAsia" w:eastAsiaTheme="minorEastAsia"/>
                <w:kern w:val="0"/>
                <w:sz w:val="24"/>
              </w:rPr>
              <w:t>贵港市产业园区（粤桂园）生活给水厂：贵港市产业园区（粤桂园）生活给水厂转输泵站</w:t>
            </w:r>
          </w:p>
          <w:p>
            <w:pPr>
              <w:jc w:val="left"/>
              <w:rPr>
                <w:rFonts w:asciiTheme="minorEastAsia" w:hAnsiTheme="minorEastAsia" w:eastAsiaTheme="minorEastAsia"/>
                <w:kern w:val="0"/>
                <w:sz w:val="24"/>
              </w:rPr>
            </w:pPr>
            <w:r>
              <w:rPr>
                <w:rFonts w:asciiTheme="minorEastAsia" w:hAnsiTheme="minorEastAsia" w:eastAsiaTheme="minorEastAsia"/>
                <w:kern w:val="0"/>
                <w:sz w:val="24"/>
              </w:rPr>
              <w:t>贵港市产业园区（粤桂园）污水处理厂：贵港市产业园区（粤桂园）污水处理厂粗格栅及提升泵房。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流量计</w:t>
            </w:r>
          </w:p>
        </w:tc>
        <w:tc>
          <w:tcPr>
            <w:tcW w:w="6713" w:type="dxa"/>
            <w:vAlign w:val="center"/>
          </w:tcPr>
          <w:p>
            <w:pPr>
              <w:rPr>
                <w:rFonts w:asciiTheme="minorEastAsia" w:hAnsiTheme="minorEastAsia" w:eastAsiaTheme="minorEastAsia"/>
                <w:kern w:val="0"/>
                <w:sz w:val="24"/>
              </w:rPr>
            </w:pPr>
            <w:r>
              <w:rPr>
                <w:rFonts w:asciiTheme="minorEastAsia" w:hAnsiTheme="minorEastAsia" w:eastAsiaTheme="minorEastAsia"/>
                <w:kern w:val="0"/>
                <w:sz w:val="24"/>
              </w:rPr>
              <w:t>指本协议第17</w:t>
            </w:r>
            <w:r>
              <w:rPr>
                <w:rFonts w:hint="eastAsia" w:asciiTheme="minorEastAsia" w:hAnsiTheme="minorEastAsia" w:eastAsiaTheme="minorEastAsia"/>
                <w:kern w:val="0"/>
                <w:sz w:val="24"/>
              </w:rPr>
              <w:t>/39</w:t>
            </w:r>
            <w:r>
              <w:rPr>
                <w:rFonts w:asciiTheme="minorEastAsia" w:hAnsiTheme="minorEastAsia" w:eastAsiaTheme="minorEastAsia"/>
                <w:kern w:val="0"/>
                <w:sz w:val="24"/>
              </w:rPr>
              <w:t>条所述的，用于测量进、出水流量的流量计。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进水水质标准</w:t>
            </w:r>
          </w:p>
        </w:tc>
        <w:tc>
          <w:tcPr>
            <w:tcW w:w="6713" w:type="dxa"/>
            <w:vAlign w:val="center"/>
          </w:tcPr>
          <w:p>
            <w:pPr>
              <w:tabs>
                <w:tab w:val="left" w:pos="1890"/>
              </w:tabs>
              <w:rPr>
                <w:rFonts w:asciiTheme="minorEastAsia" w:hAnsiTheme="minorEastAsia" w:eastAsiaTheme="minorEastAsia"/>
                <w:kern w:val="0"/>
                <w:sz w:val="24"/>
              </w:rPr>
            </w:pPr>
            <w:r>
              <w:rPr>
                <w:rFonts w:asciiTheme="minorEastAsia" w:hAnsiTheme="minorEastAsia" w:eastAsiaTheme="minorEastAsia"/>
                <w:kern w:val="0"/>
                <w:sz w:val="24"/>
              </w:rPr>
              <w:t>指本协议第5</w:t>
            </w:r>
            <w:r>
              <w:rPr>
                <w:rFonts w:hint="eastAsia" w:asciiTheme="minorEastAsia" w:hAnsiTheme="minorEastAsia" w:eastAsiaTheme="minorEastAsia"/>
                <w:kern w:val="0"/>
                <w:sz w:val="24"/>
              </w:rPr>
              <w:t>/25</w:t>
            </w:r>
            <w:r>
              <w:rPr>
                <w:rFonts w:asciiTheme="minorEastAsia" w:hAnsiTheme="minorEastAsia" w:eastAsiaTheme="minorEastAsia"/>
                <w:kern w:val="0"/>
                <w:sz w:val="24"/>
              </w:rPr>
              <w:t>条约定的进水水质应达到的标准。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出水点</w:t>
            </w:r>
          </w:p>
        </w:tc>
        <w:tc>
          <w:tcPr>
            <w:tcW w:w="6713" w:type="dxa"/>
            <w:vAlign w:val="center"/>
          </w:tcPr>
          <w:p>
            <w:pPr>
              <w:rPr>
                <w:rFonts w:asciiTheme="minorEastAsia" w:hAnsiTheme="minorEastAsia" w:eastAsiaTheme="minorEastAsia"/>
                <w:kern w:val="0"/>
                <w:sz w:val="24"/>
              </w:rPr>
            </w:pPr>
            <w:r>
              <w:rPr>
                <w:rFonts w:asciiTheme="minorEastAsia" w:hAnsiTheme="minorEastAsia" w:eastAsiaTheme="minorEastAsia"/>
                <w:kern w:val="0"/>
                <w:sz w:val="24"/>
              </w:rPr>
              <w:t>指按本协议约定经乙方处理并通过甲方指定排放口排放的出水处，具体指:</w:t>
            </w:r>
          </w:p>
          <w:p>
            <w:pPr>
              <w:jc w:val="left"/>
              <w:rPr>
                <w:rFonts w:asciiTheme="minorEastAsia" w:hAnsiTheme="minorEastAsia" w:eastAsiaTheme="minorEastAsia"/>
                <w:kern w:val="0"/>
                <w:sz w:val="24"/>
              </w:rPr>
            </w:pPr>
            <w:r>
              <w:rPr>
                <w:rFonts w:asciiTheme="minorEastAsia" w:hAnsiTheme="minorEastAsia" w:eastAsiaTheme="minorEastAsia"/>
                <w:kern w:val="0"/>
                <w:sz w:val="24"/>
              </w:rPr>
              <w:t>贵港市产业园区（粤桂园）工业给水厂：贵港市产业园区（粤桂园）工业给水厂供水泵房</w:t>
            </w:r>
          </w:p>
          <w:p>
            <w:pPr>
              <w:jc w:val="left"/>
              <w:rPr>
                <w:rFonts w:asciiTheme="minorEastAsia" w:hAnsiTheme="minorEastAsia" w:eastAsiaTheme="minorEastAsia"/>
                <w:kern w:val="0"/>
                <w:sz w:val="24"/>
              </w:rPr>
            </w:pPr>
            <w:r>
              <w:rPr>
                <w:rFonts w:asciiTheme="minorEastAsia" w:hAnsiTheme="minorEastAsia" w:eastAsiaTheme="minorEastAsia"/>
                <w:kern w:val="0"/>
                <w:sz w:val="24"/>
              </w:rPr>
              <w:t>贵港市产业园区（粤桂园）生活给水厂：贵港市产业园区（粤桂园）生活给水厂供水泵房</w:t>
            </w:r>
          </w:p>
          <w:p>
            <w:pPr>
              <w:rPr>
                <w:rFonts w:asciiTheme="minorEastAsia" w:hAnsiTheme="minorEastAsia" w:eastAsiaTheme="minorEastAsia"/>
                <w:kern w:val="0"/>
                <w:sz w:val="24"/>
              </w:rPr>
            </w:pPr>
            <w:r>
              <w:rPr>
                <w:rFonts w:asciiTheme="minorEastAsia" w:hAnsiTheme="minorEastAsia" w:eastAsiaTheme="minorEastAsia"/>
                <w:kern w:val="0"/>
                <w:sz w:val="24"/>
              </w:rPr>
              <w:t>贵港市产业园区（粤桂园）污水处理厂：贵港市产业园区（粤桂园）污水处理厂巴氏计量槽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出水采样点</w:t>
            </w:r>
          </w:p>
        </w:tc>
        <w:tc>
          <w:tcPr>
            <w:tcW w:w="6713" w:type="dxa"/>
            <w:vAlign w:val="center"/>
          </w:tcPr>
          <w:p>
            <w:pPr>
              <w:jc w:val="left"/>
              <w:rPr>
                <w:rFonts w:asciiTheme="minorEastAsia" w:hAnsiTheme="minorEastAsia" w:eastAsiaTheme="minorEastAsia"/>
                <w:kern w:val="0"/>
                <w:sz w:val="24"/>
              </w:rPr>
            </w:pPr>
            <w:r>
              <w:rPr>
                <w:rFonts w:asciiTheme="minorEastAsia" w:hAnsiTheme="minorEastAsia" w:eastAsiaTheme="minorEastAsia"/>
                <w:kern w:val="0"/>
                <w:sz w:val="24"/>
              </w:rPr>
              <w:t>指甲方指定的出水水质采样位置，具体指：_</w:t>
            </w:r>
          </w:p>
          <w:p>
            <w:pPr>
              <w:jc w:val="left"/>
              <w:rPr>
                <w:rFonts w:asciiTheme="minorEastAsia" w:hAnsiTheme="minorEastAsia" w:eastAsiaTheme="minorEastAsia"/>
                <w:kern w:val="0"/>
                <w:sz w:val="24"/>
              </w:rPr>
            </w:pPr>
            <w:r>
              <w:rPr>
                <w:rFonts w:asciiTheme="minorEastAsia" w:hAnsiTheme="minorEastAsia" w:eastAsiaTheme="minorEastAsia"/>
                <w:kern w:val="0"/>
                <w:sz w:val="24"/>
              </w:rPr>
              <w:t>贵港市产业园区（粤桂园）工业给水厂：贵港市产业园区（粤桂园）工业给水厂供水泵房</w:t>
            </w:r>
          </w:p>
          <w:p>
            <w:pPr>
              <w:jc w:val="left"/>
              <w:rPr>
                <w:rFonts w:asciiTheme="minorEastAsia" w:hAnsiTheme="minorEastAsia" w:eastAsiaTheme="minorEastAsia"/>
                <w:kern w:val="0"/>
                <w:sz w:val="24"/>
              </w:rPr>
            </w:pPr>
            <w:r>
              <w:rPr>
                <w:rFonts w:asciiTheme="minorEastAsia" w:hAnsiTheme="minorEastAsia" w:eastAsiaTheme="minorEastAsia"/>
                <w:kern w:val="0"/>
                <w:sz w:val="24"/>
              </w:rPr>
              <w:t>贵港市产业园区（粤桂园）生活给水厂：贵港市产业园区（粤桂园）生活给水厂供水泵房</w:t>
            </w:r>
          </w:p>
          <w:p>
            <w:pPr>
              <w:rPr>
                <w:rFonts w:asciiTheme="minorEastAsia" w:hAnsiTheme="minorEastAsia" w:eastAsiaTheme="minorEastAsia"/>
                <w:kern w:val="0"/>
                <w:sz w:val="24"/>
              </w:rPr>
            </w:pPr>
            <w:r>
              <w:rPr>
                <w:rFonts w:asciiTheme="minorEastAsia" w:hAnsiTheme="minorEastAsia" w:eastAsiaTheme="minorEastAsia"/>
                <w:kern w:val="0"/>
                <w:sz w:val="24"/>
              </w:rPr>
              <w:t>贵港市产业园区（粤桂园）污水处理厂：贵港市产业园区（粤桂园）污水处理厂巴氏计量槽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药剂</w:t>
            </w:r>
          </w:p>
        </w:tc>
        <w:tc>
          <w:tcPr>
            <w:tcW w:w="6713" w:type="dxa"/>
            <w:vAlign w:val="center"/>
          </w:tcPr>
          <w:p>
            <w:pPr>
              <w:rPr>
                <w:rFonts w:asciiTheme="minorEastAsia" w:hAnsiTheme="minorEastAsia" w:eastAsiaTheme="minorEastAsia"/>
                <w:kern w:val="0"/>
                <w:sz w:val="24"/>
              </w:rPr>
            </w:pPr>
            <w:r>
              <w:rPr>
                <w:rFonts w:asciiTheme="minorEastAsia" w:hAnsiTheme="minorEastAsia" w:eastAsiaTheme="minorEastAsia"/>
                <w:kern w:val="0"/>
                <w:sz w:val="24"/>
              </w:rPr>
              <w:t>指乙方在运营维护过程中用于处理贵港市产业园区（粤桂园）污水/给水/污泥的药剂或化学制剂。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污泥采样点</w:t>
            </w:r>
          </w:p>
        </w:tc>
        <w:tc>
          <w:tcPr>
            <w:tcW w:w="6713" w:type="dxa"/>
            <w:vAlign w:val="center"/>
          </w:tcPr>
          <w:p>
            <w:pPr>
              <w:rPr>
                <w:rFonts w:asciiTheme="minorEastAsia" w:hAnsiTheme="minorEastAsia" w:eastAsiaTheme="minorEastAsia"/>
                <w:kern w:val="0"/>
                <w:sz w:val="24"/>
              </w:rPr>
            </w:pPr>
            <w:r>
              <w:rPr>
                <w:rFonts w:asciiTheme="minorEastAsia" w:hAnsiTheme="minorEastAsia" w:eastAsiaTheme="minorEastAsia"/>
                <w:kern w:val="0"/>
                <w:sz w:val="24"/>
              </w:rPr>
              <w:t>指进行污泥检测采样的贵港市产业园区（粤桂园）污水处理厂/给水厂脱水设备的出料口。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污泥含水率</w:t>
            </w:r>
          </w:p>
        </w:tc>
        <w:tc>
          <w:tcPr>
            <w:tcW w:w="6713" w:type="dxa"/>
            <w:vAlign w:val="center"/>
          </w:tcPr>
          <w:p>
            <w:pPr>
              <w:rPr>
                <w:rFonts w:asciiTheme="minorEastAsia" w:hAnsiTheme="minorEastAsia" w:eastAsiaTheme="minorEastAsia"/>
                <w:kern w:val="0"/>
                <w:sz w:val="24"/>
              </w:rPr>
            </w:pPr>
            <w:r>
              <w:rPr>
                <w:rFonts w:asciiTheme="minorEastAsia" w:hAnsiTheme="minorEastAsia" w:eastAsiaTheme="minorEastAsia"/>
                <w:kern w:val="0"/>
                <w:sz w:val="24"/>
              </w:rPr>
              <w:t>指乙方应达到的在污泥采样点采集到的24小时连续采集的污 泥混合样的含水率。其中，24小时连续采集是指每周7天、一天24小时连续进行污泥取样，每个连续的24小时内取样间隔为8小时。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偷排行为</w:t>
            </w:r>
          </w:p>
        </w:tc>
        <w:tc>
          <w:tcPr>
            <w:tcW w:w="6713" w:type="dxa"/>
            <w:vAlign w:val="center"/>
          </w:tcPr>
          <w:p>
            <w:pPr>
              <w:rPr>
                <w:rFonts w:asciiTheme="minorEastAsia" w:hAnsiTheme="minorEastAsia" w:eastAsiaTheme="minorEastAsia"/>
                <w:kern w:val="0"/>
                <w:sz w:val="24"/>
              </w:rPr>
            </w:pPr>
            <w:r>
              <w:rPr>
                <w:rFonts w:asciiTheme="minorEastAsia" w:hAnsiTheme="minorEastAsia" w:eastAsiaTheme="minorEastAsia"/>
                <w:kern w:val="0"/>
                <w:sz w:val="24"/>
              </w:rPr>
              <w:t>指乙方未经甲方书面同意或未按甲方书面意见的要求，将进水或未经处理的或未达标处理的出水直接排放。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控制液位</w:t>
            </w:r>
          </w:p>
        </w:tc>
        <w:tc>
          <w:tcPr>
            <w:tcW w:w="6713" w:type="dxa"/>
            <w:vAlign w:val="center"/>
          </w:tcPr>
          <w:p>
            <w:pPr>
              <w:rPr>
                <w:rFonts w:asciiTheme="minorEastAsia" w:hAnsiTheme="minorEastAsia" w:eastAsiaTheme="minorEastAsia"/>
                <w:kern w:val="0"/>
                <w:sz w:val="24"/>
              </w:rPr>
            </w:pPr>
            <w:r>
              <w:rPr>
                <w:rFonts w:asciiTheme="minorEastAsia" w:hAnsiTheme="minorEastAsia" w:eastAsiaTheme="minorEastAsia"/>
                <w:kern w:val="0"/>
                <w:sz w:val="24"/>
              </w:rPr>
              <w:t>指粗格栅入流井液位的上限，为管顶标高以上1米，乙方必须保证在该水位之下运营，除非本协议另有约定。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Theme="minorEastAsia" w:hAnsiTheme="minorEastAsia" w:eastAsiaTheme="minorEastAsia"/>
                <w:kern w:val="0"/>
                <w:sz w:val="24"/>
              </w:rPr>
            </w:pPr>
            <w:r>
              <w:rPr>
                <w:rFonts w:asciiTheme="minorEastAsia" w:hAnsiTheme="minorEastAsia" w:eastAsiaTheme="minorEastAsia"/>
                <w:kern w:val="0"/>
                <w:sz w:val="24"/>
              </w:rPr>
              <w:t>生效日</w:t>
            </w:r>
          </w:p>
        </w:tc>
        <w:tc>
          <w:tcPr>
            <w:tcW w:w="6713" w:type="dxa"/>
            <w:vAlign w:val="center"/>
          </w:tcPr>
          <w:p>
            <w:pPr>
              <w:rPr>
                <w:rFonts w:asciiTheme="minorEastAsia" w:hAnsiTheme="minorEastAsia" w:eastAsiaTheme="minorEastAsia"/>
                <w:kern w:val="0"/>
                <w:sz w:val="24"/>
              </w:rPr>
            </w:pPr>
            <w:r>
              <w:rPr>
                <w:rFonts w:asciiTheme="minorEastAsia" w:hAnsiTheme="minorEastAsia" w:eastAsiaTheme="minorEastAsia"/>
                <w:kern w:val="0"/>
                <w:sz w:val="24"/>
              </w:rPr>
              <w:t>指依据本协议第3条的约定，满足本协议生效条件之日。</w:t>
            </w:r>
          </w:p>
        </w:tc>
      </w:tr>
    </w:tbl>
    <w:p>
      <w:pPr>
        <w:pStyle w:val="4"/>
        <w:rPr>
          <w:rFonts w:asciiTheme="minorEastAsia" w:hAnsiTheme="minorEastAsia" w:eastAsiaTheme="minorEastAsia"/>
          <w:bCs/>
        </w:rPr>
      </w:pPr>
      <w:bookmarkStart w:id="528" w:name="_Toc17415"/>
      <w:bookmarkStart w:id="529" w:name="_Toc21500"/>
      <w:r>
        <w:rPr>
          <w:rFonts w:asciiTheme="minorEastAsia" w:hAnsiTheme="minorEastAsia" w:eastAsiaTheme="minorEastAsia"/>
          <w:bCs/>
        </w:rPr>
        <w:t xml:space="preserve">第2条 </w:t>
      </w:r>
      <w:r>
        <w:rPr>
          <w:rFonts w:asciiTheme="minorEastAsia" w:hAnsiTheme="minorEastAsia" w:eastAsiaTheme="minorEastAsia"/>
        </w:rPr>
        <w:t>解释</w:t>
      </w:r>
      <w:bookmarkEnd w:id="528"/>
      <w:bookmarkEnd w:id="529"/>
    </w:p>
    <w:p>
      <w:pPr>
        <w:spacing w:before="80" w:after="80" w:line="360" w:lineRule="auto"/>
        <w:ind w:firstLine="477" w:firstLineChars="199"/>
        <w:rPr>
          <w:rFonts w:asciiTheme="minorEastAsia" w:hAnsiTheme="minorEastAsia" w:eastAsiaTheme="minorEastAsia"/>
          <w:kern w:val="0"/>
          <w:sz w:val="24"/>
        </w:rPr>
      </w:pPr>
      <w:r>
        <w:rPr>
          <w:rFonts w:asciiTheme="minorEastAsia" w:hAnsiTheme="minorEastAsia" w:eastAsiaTheme="minorEastAsia"/>
          <w:kern w:val="0"/>
          <w:sz w:val="24"/>
        </w:rPr>
        <w:t>本协议中的标题仅为参考所设，不应影响条文的解释。下列约定同样适用于对本协议进行解释，除非其上下文明确显示其不适用。在本协议中：</w:t>
      </w:r>
    </w:p>
    <w:p>
      <w:pPr>
        <w:spacing w:before="80" w:after="80" w:line="360" w:lineRule="auto"/>
        <w:ind w:firstLine="477" w:firstLineChars="199"/>
        <w:rPr>
          <w:rFonts w:asciiTheme="minorEastAsia" w:hAnsiTheme="minorEastAsia" w:eastAsiaTheme="minorEastAsia"/>
          <w:kern w:val="0"/>
          <w:sz w:val="24"/>
        </w:rPr>
      </w:pPr>
      <w:r>
        <w:rPr>
          <w:rFonts w:asciiTheme="minorEastAsia" w:hAnsiTheme="minorEastAsia" w:eastAsiaTheme="minorEastAsia"/>
          <w:kern w:val="0"/>
          <w:sz w:val="24"/>
        </w:rPr>
        <w:t>2.1协议或文件，指包括经修订、更新、补充或替代后的该协议或文件；</w:t>
      </w:r>
    </w:p>
    <w:p>
      <w:pPr>
        <w:spacing w:before="80" w:after="80" w:line="360" w:lineRule="auto"/>
        <w:ind w:firstLine="477" w:firstLineChars="199"/>
        <w:rPr>
          <w:rFonts w:asciiTheme="minorEastAsia" w:hAnsiTheme="minorEastAsia" w:eastAsiaTheme="minorEastAsia"/>
          <w:kern w:val="0"/>
          <w:sz w:val="24"/>
        </w:rPr>
      </w:pPr>
      <w:r>
        <w:rPr>
          <w:rFonts w:asciiTheme="minorEastAsia" w:hAnsiTheme="minorEastAsia" w:eastAsiaTheme="minorEastAsia"/>
          <w:kern w:val="0"/>
          <w:sz w:val="24"/>
        </w:rPr>
        <w:t>2.2“元”，指中国的法定货币单位“人民币”；</w:t>
      </w:r>
    </w:p>
    <w:p>
      <w:pPr>
        <w:spacing w:before="80" w:after="80" w:line="360" w:lineRule="auto"/>
        <w:ind w:firstLine="477" w:firstLineChars="199"/>
        <w:rPr>
          <w:rFonts w:asciiTheme="minorEastAsia" w:hAnsiTheme="minorEastAsia" w:eastAsiaTheme="minorEastAsia"/>
          <w:kern w:val="0"/>
          <w:sz w:val="24"/>
        </w:rPr>
      </w:pPr>
      <w:r>
        <w:rPr>
          <w:rFonts w:asciiTheme="minorEastAsia" w:hAnsiTheme="minorEastAsia" w:eastAsiaTheme="minorEastAsia"/>
          <w:kern w:val="0"/>
          <w:sz w:val="24"/>
        </w:rPr>
        <w:t>2.3条款或附件，指本协议的条款或附件；</w:t>
      </w:r>
    </w:p>
    <w:p>
      <w:pPr>
        <w:spacing w:before="80" w:after="80" w:line="360" w:lineRule="auto"/>
        <w:ind w:firstLine="477" w:firstLineChars="199"/>
        <w:rPr>
          <w:rFonts w:asciiTheme="minorEastAsia" w:hAnsiTheme="minorEastAsia" w:eastAsiaTheme="minorEastAsia"/>
          <w:kern w:val="0"/>
          <w:sz w:val="24"/>
        </w:rPr>
      </w:pPr>
      <w:r>
        <w:rPr>
          <w:rFonts w:asciiTheme="minorEastAsia" w:hAnsiTheme="minorEastAsia" w:eastAsiaTheme="minorEastAsia"/>
          <w:kern w:val="0"/>
          <w:sz w:val="24"/>
        </w:rPr>
        <w:t>2.4一方、双方、各方，指本协议中的一方或双方或各方，并且包括经允许的替代该方的主体或该方的受让人；</w:t>
      </w:r>
    </w:p>
    <w:p>
      <w:pPr>
        <w:spacing w:before="80" w:after="80" w:line="360" w:lineRule="auto"/>
        <w:ind w:firstLine="477" w:firstLineChars="199"/>
        <w:rPr>
          <w:rFonts w:asciiTheme="minorEastAsia" w:hAnsiTheme="minorEastAsia" w:eastAsiaTheme="minorEastAsia"/>
          <w:kern w:val="0"/>
          <w:sz w:val="24"/>
        </w:rPr>
      </w:pPr>
      <w:r>
        <w:rPr>
          <w:rFonts w:asciiTheme="minorEastAsia" w:hAnsiTheme="minorEastAsia" w:eastAsiaTheme="minorEastAsia"/>
          <w:kern w:val="0"/>
          <w:sz w:val="24"/>
        </w:rPr>
        <w:t>2.5 “包括”，指包括但不限于；</w:t>
      </w:r>
    </w:p>
    <w:p>
      <w:pPr>
        <w:spacing w:before="80" w:after="80" w:line="360" w:lineRule="auto"/>
        <w:ind w:firstLine="477" w:firstLineChars="199"/>
        <w:rPr>
          <w:rFonts w:asciiTheme="minorEastAsia" w:hAnsiTheme="minorEastAsia" w:eastAsiaTheme="minorEastAsia"/>
          <w:kern w:val="0"/>
          <w:sz w:val="24"/>
        </w:rPr>
      </w:pPr>
      <w:r>
        <w:rPr>
          <w:rFonts w:asciiTheme="minorEastAsia" w:hAnsiTheme="minorEastAsia" w:eastAsiaTheme="minorEastAsia"/>
          <w:kern w:val="0"/>
          <w:sz w:val="24"/>
        </w:rPr>
        <w:t>2.6“以上”、“以下”、“以内”或“内”均含本数，“超过”、“以外”均不含本数；</w:t>
      </w:r>
    </w:p>
    <w:p>
      <w:pPr>
        <w:spacing w:before="80" w:after="80" w:line="360" w:lineRule="auto"/>
        <w:ind w:firstLine="477" w:firstLineChars="199"/>
        <w:rPr>
          <w:rFonts w:asciiTheme="minorEastAsia" w:hAnsiTheme="minorEastAsia" w:eastAsiaTheme="minorEastAsia"/>
          <w:kern w:val="0"/>
          <w:sz w:val="24"/>
        </w:rPr>
      </w:pPr>
      <w:r>
        <w:rPr>
          <w:rFonts w:asciiTheme="minorEastAsia" w:hAnsiTheme="minorEastAsia" w:eastAsiaTheme="minorEastAsia"/>
          <w:kern w:val="0"/>
          <w:sz w:val="24"/>
        </w:rPr>
        <w:t>2.7日、月、季、年，均指公历的日、月、季、年；</w:t>
      </w:r>
    </w:p>
    <w:p>
      <w:pPr>
        <w:spacing w:before="80" w:after="80" w:line="360" w:lineRule="auto"/>
        <w:ind w:firstLine="477" w:firstLineChars="199"/>
        <w:rPr>
          <w:rFonts w:asciiTheme="minorEastAsia" w:hAnsiTheme="minorEastAsia" w:eastAsiaTheme="minorEastAsia"/>
          <w:kern w:val="0"/>
          <w:sz w:val="24"/>
        </w:rPr>
      </w:pPr>
      <w:r>
        <w:rPr>
          <w:rFonts w:asciiTheme="minorEastAsia" w:hAnsiTheme="minorEastAsia" w:eastAsiaTheme="minorEastAsia"/>
          <w:kern w:val="0"/>
          <w:sz w:val="24"/>
        </w:rPr>
        <w:t>2.8本协议并不限制或以其他方式影响甲方及其他政府部门行使其法定行政职权。</w:t>
      </w:r>
    </w:p>
    <w:p>
      <w:pPr>
        <w:pStyle w:val="2"/>
        <w:ind w:left="494" w:right="210"/>
        <w:rPr>
          <w:rFonts w:asciiTheme="minorEastAsia" w:hAnsiTheme="minorEastAsia"/>
        </w:rPr>
      </w:pPr>
      <w:bookmarkStart w:id="530" w:name="_Toc5466"/>
      <w:bookmarkStart w:id="531" w:name="_Toc32382"/>
      <w:bookmarkStart w:id="532" w:name="_Toc50993492"/>
      <w:r>
        <w:rPr>
          <w:rFonts w:asciiTheme="minorEastAsia" w:hAnsiTheme="minorEastAsia"/>
        </w:rPr>
        <w:t>第二章  协议的生效和有效期</w:t>
      </w:r>
      <w:bookmarkEnd w:id="530"/>
      <w:bookmarkEnd w:id="531"/>
      <w:bookmarkEnd w:id="532"/>
    </w:p>
    <w:p>
      <w:pPr>
        <w:pStyle w:val="4"/>
        <w:rPr>
          <w:rFonts w:asciiTheme="minorEastAsia" w:hAnsiTheme="minorEastAsia" w:eastAsiaTheme="minorEastAsia"/>
          <w:bCs/>
        </w:rPr>
      </w:pPr>
      <w:bookmarkStart w:id="533" w:name="_Toc11215"/>
      <w:bookmarkStart w:id="534" w:name="_Toc20998"/>
      <w:r>
        <w:rPr>
          <w:rFonts w:asciiTheme="minorEastAsia" w:hAnsiTheme="minorEastAsia" w:eastAsiaTheme="minorEastAsia"/>
          <w:bCs/>
        </w:rPr>
        <w:t>第3条 生效日</w:t>
      </w:r>
      <w:bookmarkEnd w:id="533"/>
      <w:bookmarkEnd w:id="534"/>
      <w:r>
        <w:rPr>
          <w:rFonts w:asciiTheme="minorEastAsia" w:hAnsiTheme="minorEastAsia" w:eastAsiaTheme="minorEastAsia"/>
          <w:bCs/>
        </w:rPr>
        <w:t xml:space="preserve"> </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本协议生效须满足下列条件：</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3.1本协议经双方法定代表人或授权代表签字，并加盖公章；</w:t>
      </w:r>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3.2《PPP项目合同》生效。</w:t>
      </w:r>
    </w:p>
    <w:p>
      <w:pPr>
        <w:pStyle w:val="4"/>
        <w:rPr>
          <w:rFonts w:asciiTheme="minorEastAsia" w:hAnsiTheme="minorEastAsia" w:eastAsiaTheme="minorEastAsia"/>
          <w:bCs/>
        </w:rPr>
      </w:pPr>
      <w:bookmarkStart w:id="535" w:name="_Toc16406"/>
      <w:bookmarkStart w:id="536" w:name="_Toc16369"/>
      <w:r>
        <w:rPr>
          <w:rFonts w:asciiTheme="minorEastAsia" w:hAnsiTheme="minorEastAsia" w:eastAsiaTheme="minorEastAsia"/>
          <w:bCs/>
        </w:rPr>
        <w:t xml:space="preserve">第4条 </w:t>
      </w:r>
      <w:r>
        <w:rPr>
          <w:rFonts w:asciiTheme="minorEastAsia" w:hAnsiTheme="minorEastAsia" w:eastAsiaTheme="minorEastAsia"/>
        </w:rPr>
        <w:t>有效期</w:t>
      </w:r>
      <w:bookmarkEnd w:id="535"/>
      <w:bookmarkEnd w:id="536"/>
    </w:p>
    <w:p>
      <w:pPr>
        <w:spacing w:before="80" w:after="8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除本协议另有约定外，本协议自生效日起至移交日前保持有效。</w:t>
      </w:r>
    </w:p>
    <w:p>
      <w:pPr>
        <w:pStyle w:val="2"/>
        <w:ind w:left="494" w:right="210"/>
        <w:rPr>
          <w:rFonts w:asciiTheme="minorEastAsia" w:hAnsiTheme="minorEastAsia"/>
        </w:rPr>
      </w:pPr>
      <w:bookmarkStart w:id="537" w:name="_Toc50993493"/>
      <w:bookmarkStart w:id="538" w:name="_Toc1916"/>
      <w:bookmarkStart w:id="539" w:name="_Toc10145"/>
      <w:r>
        <w:rPr>
          <w:rFonts w:hint="eastAsia" w:asciiTheme="minorEastAsia" w:hAnsiTheme="minorEastAsia"/>
        </w:rPr>
        <w:t>第三章  供水运营维护管理</w:t>
      </w:r>
      <w:bookmarkEnd w:id="537"/>
      <w:bookmarkEnd w:id="538"/>
    </w:p>
    <w:p>
      <w:pPr>
        <w:pStyle w:val="3"/>
        <w:spacing w:line="360" w:lineRule="auto"/>
        <w:rPr>
          <w:rFonts w:asciiTheme="minorEastAsia" w:hAnsiTheme="minorEastAsia"/>
          <w:b w:val="0"/>
        </w:rPr>
      </w:pPr>
      <w:bookmarkStart w:id="540" w:name="_Toc50993494"/>
      <w:bookmarkStart w:id="541" w:name="_Toc17848"/>
      <w:r>
        <w:rPr>
          <w:rFonts w:asciiTheme="minorEastAsia" w:hAnsiTheme="minorEastAsia"/>
          <w:b w:val="0"/>
        </w:rPr>
        <w:t>第一节 供水水质、管网及标准</w:t>
      </w:r>
      <w:bookmarkEnd w:id="540"/>
      <w:bookmarkEnd w:id="541"/>
    </w:p>
    <w:p>
      <w:pPr>
        <w:pStyle w:val="4"/>
        <w:rPr>
          <w:rFonts w:asciiTheme="minorEastAsia" w:hAnsiTheme="minorEastAsia" w:eastAsiaTheme="minorEastAsia"/>
        </w:rPr>
      </w:pPr>
      <w:bookmarkStart w:id="542" w:name="_Toc10842"/>
      <w:r>
        <w:rPr>
          <w:rFonts w:asciiTheme="minorEastAsia" w:hAnsiTheme="minorEastAsia" w:eastAsiaTheme="minorEastAsia"/>
        </w:rPr>
        <w:t>第5条 进水及出水水质标准</w:t>
      </w:r>
      <w:bookmarkEnd w:id="542"/>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5.1进水水质标准</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本项目供水进水水质应符合以下标准：</w:t>
      </w:r>
    </w:p>
    <w:p>
      <w:pPr>
        <w:spacing w:before="80" w:after="80" w:line="360" w:lineRule="auto"/>
        <w:ind w:firstLine="480" w:firstLineChars="200"/>
        <w:rPr>
          <w:rFonts w:asciiTheme="minorEastAsia" w:hAnsiTheme="minorEastAsia" w:eastAsiaTheme="minorEastAsia"/>
          <w:kern w:val="0"/>
          <w:sz w:val="24"/>
          <w:u w:val="single"/>
        </w:rPr>
      </w:pPr>
      <w:r>
        <w:rPr>
          <w:rFonts w:hint="eastAsia" w:asciiTheme="minorEastAsia" w:hAnsiTheme="minorEastAsia" w:eastAsiaTheme="minorEastAsia"/>
          <w:kern w:val="0"/>
          <w:sz w:val="24"/>
          <w:u w:val="single"/>
        </w:rPr>
        <w:t>（1）港市产业园区（粤桂园）工业供水进水水质：距离华电取水泵房上游 1.3km 处江水；</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u w:val="single"/>
        </w:rPr>
        <w:t>（2）贵港市产业园区（粤桂园）生活给水进水水质：浊度0.18NTU，余氯0.20mg/L（《关于征求&lt;贵港市产业园（粤桂园）给水厂和污水处理厂供排水一体化PPP项目生活用水方案&gt;意见的复函》（贵北水务函[2020]3号）），以最终广西贵港北控水务有限公司提供的进水水质为准；</w:t>
      </w:r>
    </w:p>
    <w:p>
      <w:pPr>
        <w:spacing w:before="80" w:after="80" w:line="360" w:lineRule="auto"/>
        <w:jc w:val="center"/>
        <w:rPr>
          <w:rFonts w:asciiTheme="minorEastAsia" w:hAnsiTheme="minorEastAsia" w:eastAsiaTheme="minorEastAsia"/>
          <w:b/>
          <w:bCs/>
        </w:rPr>
      </w:pPr>
      <w:r>
        <w:rPr>
          <w:rFonts w:asciiTheme="minorEastAsia" w:hAnsiTheme="minorEastAsia" w:eastAsiaTheme="minorEastAsia"/>
          <w:sz w:val="24"/>
        </w:rPr>
        <w:t>表5.1-1 本工程设计进水水质表（单位：mg/L，pH值除外）</w:t>
      </w:r>
    </w:p>
    <w:tbl>
      <w:tblPr>
        <w:tblStyle w:val="5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5"/>
        <w:gridCol w:w="1060"/>
        <w:gridCol w:w="936"/>
        <w:gridCol w:w="680"/>
        <w:gridCol w:w="633"/>
        <w:gridCol w:w="1224"/>
        <w:gridCol w:w="589"/>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45"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项 目</w:t>
            </w:r>
          </w:p>
        </w:tc>
        <w:tc>
          <w:tcPr>
            <w:tcW w:w="571"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CODcr</w:t>
            </w:r>
          </w:p>
        </w:tc>
        <w:tc>
          <w:tcPr>
            <w:tcW w:w="504"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BOD</w:t>
            </w:r>
            <w:r>
              <w:rPr>
                <w:rFonts w:asciiTheme="minorEastAsia" w:hAnsiTheme="minorEastAsia" w:eastAsiaTheme="minorEastAsia"/>
                <w:sz w:val="22"/>
                <w:vertAlign w:val="subscript"/>
              </w:rPr>
              <w:t>5</w:t>
            </w:r>
          </w:p>
        </w:tc>
        <w:tc>
          <w:tcPr>
            <w:tcW w:w="366"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SS</w:t>
            </w:r>
          </w:p>
        </w:tc>
        <w:tc>
          <w:tcPr>
            <w:tcW w:w="341"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TN</w:t>
            </w:r>
          </w:p>
        </w:tc>
        <w:tc>
          <w:tcPr>
            <w:tcW w:w="659"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NH</w:t>
            </w:r>
            <w:r>
              <w:rPr>
                <w:rFonts w:asciiTheme="minorEastAsia" w:hAnsiTheme="minorEastAsia" w:eastAsiaTheme="minorEastAsia"/>
                <w:sz w:val="22"/>
                <w:vertAlign w:val="subscript"/>
              </w:rPr>
              <w:t>3</w:t>
            </w:r>
            <w:r>
              <w:rPr>
                <w:rFonts w:asciiTheme="minorEastAsia" w:hAnsiTheme="minorEastAsia" w:eastAsiaTheme="minorEastAsia"/>
                <w:sz w:val="22"/>
              </w:rPr>
              <w:t>-N</w:t>
            </w:r>
          </w:p>
        </w:tc>
        <w:tc>
          <w:tcPr>
            <w:tcW w:w="317"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TP</w:t>
            </w:r>
          </w:p>
        </w:tc>
        <w:tc>
          <w:tcPr>
            <w:tcW w:w="594"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pH值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45"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设计进水水质（</w:t>
            </w:r>
            <w:r>
              <w:rPr>
                <w:rFonts w:asciiTheme="minorEastAsia" w:hAnsiTheme="minorEastAsia" w:eastAsiaTheme="minorEastAsia"/>
                <w:sz w:val="22"/>
                <w:lang w:val="de-DE"/>
              </w:rPr>
              <w:t>mg/L</w:t>
            </w:r>
            <w:r>
              <w:rPr>
                <w:rFonts w:asciiTheme="minorEastAsia" w:hAnsiTheme="minorEastAsia" w:eastAsiaTheme="minorEastAsia"/>
                <w:sz w:val="22"/>
              </w:rPr>
              <w:t>）</w:t>
            </w:r>
          </w:p>
        </w:tc>
        <w:tc>
          <w:tcPr>
            <w:tcW w:w="571"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500</w:t>
            </w:r>
          </w:p>
        </w:tc>
        <w:tc>
          <w:tcPr>
            <w:tcW w:w="504"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230</w:t>
            </w:r>
          </w:p>
        </w:tc>
        <w:tc>
          <w:tcPr>
            <w:tcW w:w="366"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400</w:t>
            </w:r>
          </w:p>
        </w:tc>
        <w:tc>
          <w:tcPr>
            <w:tcW w:w="341"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70</w:t>
            </w:r>
          </w:p>
        </w:tc>
        <w:tc>
          <w:tcPr>
            <w:tcW w:w="659"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45</w:t>
            </w:r>
          </w:p>
        </w:tc>
        <w:tc>
          <w:tcPr>
            <w:tcW w:w="317"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8</w:t>
            </w:r>
          </w:p>
        </w:tc>
        <w:tc>
          <w:tcPr>
            <w:tcW w:w="594" w:type="pct"/>
            <w:vAlign w:val="center"/>
          </w:tcPr>
          <w:p>
            <w:pPr>
              <w:pStyle w:val="493"/>
              <w:spacing w:before="120" w:after="120" w:line="360" w:lineRule="auto"/>
              <w:rPr>
                <w:rFonts w:asciiTheme="minorEastAsia" w:hAnsiTheme="minorEastAsia" w:eastAsiaTheme="minorEastAsia"/>
                <w:sz w:val="22"/>
              </w:rPr>
            </w:pPr>
            <w:r>
              <w:rPr>
                <w:rFonts w:asciiTheme="minorEastAsia" w:hAnsiTheme="minorEastAsia" w:eastAsiaTheme="minorEastAsia"/>
                <w:sz w:val="22"/>
              </w:rPr>
              <w:t>6.5~9.5</w:t>
            </w:r>
          </w:p>
        </w:tc>
      </w:tr>
    </w:tbl>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5.2出水水质标准</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贵港市产业园区（粤桂园）工业供水出水水质：</w:t>
      </w:r>
    </w:p>
    <w:p>
      <w:pPr>
        <w:spacing w:before="80" w:after="80" w:line="360" w:lineRule="auto"/>
        <w:ind w:firstLine="480" w:firstLineChars="200"/>
        <w:rPr>
          <w:rFonts w:asciiTheme="minorEastAsia" w:hAnsiTheme="minorEastAsia" w:eastAsiaTheme="minorEastAsia"/>
          <w:kern w:val="0"/>
          <w:sz w:val="24"/>
          <w:u w:val="single"/>
        </w:rPr>
      </w:pPr>
      <w:r>
        <w:rPr>
          <w:rFonts w:hint="eastAsia" w:asciiTheme="minorEastAsia" w:hAnsiTheme="minorEastAsia" w:eastAsiaTheme="minorEastAsia"/>
          <w:kern w:val="0"/>
          <w:sz w:val="24"/>
          <w:u w:val="single"/>
        </w:rPr>
        <w:t>工业供水应满足以下指标：</w:t>
      </w:r>
    </w:p>
    <w:p>
      <w:pPr>
        <w:pStyle w:val="1424"/>
        <w:rPr>
          <w:rFonts w:asciiTheme="minorEastAsia" w:hAnsiTheme="minorEastAsia"/>
          <w:b w:val="0"/>
          <w:bCs/>
          <w:lang w:val="en-GB"/>
        </w:rPr>
      </w:pPr>
      <w:r>
        <w:rPr>
          <w:rFonts w:asciiTheme="minorEastAsia" w:hAnsiTheme="minorEastAsia"/>
          <w:b w:val="0"/>
          <w:lang w:val="en-GB"/>
        </w:rPr>
        <w:t>表</w:t>
      </w:r>
      <w:r>
        <w:rPr>
          <w:rFonts w:asciiTheme="minorEastAsia" w:hAnsiTheme="minorEastAsia"/>
          <w:b w:val="0"/>
        </w:rPr>
        <w:t>5.2</w:t>
      </w:r>
      <w:r>
        <w:rPr>
          <w:rFonts w:asciiTheme="minorEastAsia" w:hAnsiTheme="minorEastAsia"/>
          <w:b w:val="0"/>
          <w:lang w:val="en-GB"/>
        </w:rPr>
        <w:t>-1 工业供水水质要求</w:t>
      </w:r>
    </w:p>
    <w:tbl>
      <w:tblPr>
        <w:tblStyle w:val="55"/>
        <w:tblW w:w="5000" w:type="pct"/>
        <w:tblInd w:w="0" w:type="dxa"/>
        <w:tblLayout w:type="autofit"/>
        <w:tblCellMar>
          <w:top w:w="0" w:type="dxa"/>
          <w:left w:w="108" w:type="dxa"/>
          <w:bottom w:w="0" w:type="dxa"/>
          <w:right w:w="108" w:type="dxa"/>
        </w:tblCellMar>
      </w:tblPr>
      <w:tblGrid>
        <w:gridCol w:w="6080"/>
        <w:gridCol w:w="3206"/>
      </w:tblGrid>
      <w:tr>
        <w:tblPrEx>
          <w:tblCellMar>
            <w:top w:w="0" w:type="dxa"/>
            <w:left w:w="108" w:type="dxa"/>
            <w:bottom w:w="0" w:type="dxa"/>
            <w:right w:w="108" w:type="dxa"/>
          </w:tblCellMar>
        </w:tblPrEx>
        <w:trPr>
          <w:trHeight w:val="363" w:hRule="atLeast"/>
          <w:tblHeader/>
        </w:trPr>
        <w:tc>
          <w:tcPr>
            <w:tcW w:w="3274" w:type="pct"/>
            <w:tcBorders>
              <w:top w:val="single" w:color="auto" w:sz="4" w:space="0"/>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指    标</w:t>
            </w:r>
          </w:p>
        </w:tc>
        <w:tc>
          <w:tcPr>
            <w:tcW w:w="1726" w:type="pct"/>
            <w:tcBorders>
              <w:top w:val="single" w:color="auto" w:sz="4" w:space="0"/>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限    值</w:t>
            </w:r>
          </w:p>
        </w:tc>
      </w:tr>
      <w:tr>
        <w:tblPrEx>
          <w:tblCellMar>
            <w:top w:w="0" w:type="dxa"/>
            <w:left w:w="108" w:type="dxa"/>
            <w:bottom w:w="0" w:type="dxa"/>
            <w:right w:w="108" w:type="dxa"/>
          </w:tblCellMar>
        </w:tblPrEx>
        <w:trPr>
          <w:trHeight w:val="363"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1、微生物指标①</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总大肠菌群（MPN/100mL或CFU/100mL）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不得检出</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耐热大肠菌群（MPN/100mL或CFU/100mL）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不得检出</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大肠埃希氏菌（MPN/100mL或CFU/100mL）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不得检出</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菌落总数（CFU/mL）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100</w:t>
            </w:r>
          </w:p>
        </w:tc>
      </w:tr>
      <w:tr>
        <w:tblPrEx>
          <w:tblCellMar>
            <w:top w:w="0" w:type="dxa"/>
            <w:left w:w="108" w:type="dxa"/>
            <w:bottom w:w="0" w:type="dxa"/>
            <w:right w:w="108" w:type="dxa"/>
          </w:tblCellMar>
        </w:tblPrEx>
        <w:trPr>
          <w:trHeight w:val="363"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2、毒理指标</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砷（mg/L）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0.01</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镉（mg/L）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0.005</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铬（六价，mg/L）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0.05</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铅（mg/L）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0.01</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汞（mg/L）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0.001</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硒（mg/L）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0.01</w:t>
            </w:r>
          </w:p>
        </w:tc>
      </w:tr>
      <w:tr>
        <w:tblPrEx>
          <w:tblCellMar>
            <w:top w:w="0" w:type="dxa"/>
            <w:left w:w="108" w:type="dxa"/>
            <w:bottom w:w="0" w:type="dxa"/>
            <w:right w:w="108" w:type="dxa"/>
          </w:tblCellMar>
        </w:tblPrEx>
        <w:trPr>
          <w:trHeight w:val="363"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3、感官性状和一般化学指标</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色度（铂钴色度单位）</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15</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浑浊度（NTU－散射浊度单位）</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1</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臭和味</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无异臭、异味</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肉眼可见物</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无</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pH （pH单位）</w:t>
            </w:r>
          </w:p>
        </w:tc>
        <w:tc>
          <w:tcPr>
            <w:tcW w:w="1726" w:type="pct"/>
            <w:tcBorders>
              <w:top w:val="nil"/>
              <w:left w:val="nil"/>
              <w:bottom w:val="single" w:color="auto" w:sz="4" w:space="0"/>
              <w:right w:val="single" w:color="auto" w:sz="4" w:space="0"/>
            </w:tcBorders>
            <w:vAlign w:val="center"/>
          </w:tcPr>
          <w:p>
            <w:pPr>
              <w:rPr>
                <w:rFonts w:asciiTheme="minorEastAsia" w:hAnsiTheme="minorEastAsia" w:eastAsiaTheme="minorEastAsia"/>
                <w:kern w:val="0"/>
                <w:szCs w:val="21"/>
              </w:rPr>
            </w:pPr>
            <w:r>
              <w:rPr>
                <w:rFonts w:asciiTheme="minorEastAsia" w:hAnsiTheme="minorEastAsia" w:eastAsiaTheme="minorEastAsia"/>
                <w:kern w:val="0"/>
                <w:szCs w:val="21"/>
              </w:rPr>
              <w:t>不小于6.5且不大于8.5</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铝（mg/L）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0.2</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铁（mg/L）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0.3</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锰（mg/L）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0.1</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铜（mg/L）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1</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锌（mg/L）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1</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氯化物（mg/L）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250</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硫酸盐（mg/L）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250</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溶解性总固体（mg/L）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1000</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总硬度（以CaCO</w:t>
            </w:r>
            <w:r>
              <w:rPr>
                <w:rFonts w:asciiTheme="minorEastAsia" w:hAnsiTheme="minorEastAsia" w:eastAsiaTheme="minorEastAsia"/>
                <w:kern w:val="0"/>
                <w:szCs w:val="21"/>
                <w:vertAlign w:val="subscript"/>
              </w:rPr>
              <w:t>3</w:t>
            </w:r>
            <w:r>
              <w:rPr>
                <w:rFonts w:asciiTheme="minorEastAsia" w:hAnsiTheme="minorEastAsia" w:eastAsiaTheme="minorEastAsia"/>
                <w:kern w:val="0"/>
                <w:szCs w:val="21"/>
              </w:rPr>
              <w:t>计，mg/L）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450</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耗氧量（COD</w:t>
            </w:r>
            <w:r>
              <w:rPr>
                <w:rFonts w:asciiTheme="minorEastAsia" w:hAnsiTheme="minorEastAsia" w:eastAsiaTheme="minorEastAsia"/>
                <w:kern w:val="0"/>
                <w:szCs w:val="21"/>
                <w:vertAlign w:val="subscript"/>
              </w:rPr>
              <w:t>Mn</w:t>
            </w:r>
            <w:r>
              <w:rPr>
                <w:rFonts w:asciiTheme="minorEastAsia" w:hAnsiTheme="minorEastAsia" w:eastAsiaTheme="minorEastAsia"/>
                <w:kern w:val="0"/>
                <w:szCs w:val="21"/>
              </w:rPr>
              <w:t>法，以O</w:t>
            </w:r>
            <w:r>
              <w:rPr>
                <w:rFonts w:asciiTheme="minorEastAsia" w:hAnsiTheme="minorEastAsia" w:eastAsiaTheme="minorEastAsia"/>
                <w:kern w:val="0"/>
                <w:szCs w:val="21"/>
                <w:vertAlign w:val="subscript"/>
              </w:rPr>
              <w:t>2</w:t>
            </w:r>
            <w:r>
              <w:rPr>
                <w:rFonts w:asciiTheme="minorEastAsia" w:hAnsiTheme="minorEastAsia" w:eastAsiaTheme="minorEastAsia"/>
                <w:kern w:val="0"/>
                <w:szCs w:val="21"/>
              </w:rPr>
              <w:t>计，mg/L）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3</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挥发酚类（以苯酚计，mg/L）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0.002</w:t>
            </w:r>
          </w:p>
        </w:tc>
      </w:tr>
      <w:tr>
        <w:tblPrEx>
          <w:tblCellMar>
            <w:top w:w="0" w:type="dxa"/>
            <w:left w:w="108" w:type="dxa"/>
            <w:bottom w:w="0" w:type="dxa"/>
            <w:right w:w="108" w:type="dxa"/>
          </w:tblCellMar>
        </w:tblPrEx>
        <w:trPr>
          <w:trHeight w:val="363" w:hRule="atLeast"/>
        </w:trPr>
        <w:tc>
          <w:tcPr>
            <w:tcW w:w="3274" w:type="pct"/>
            <w:tcBorders>
              <w:top w:val="nil"/>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阴离子合成洗涤剂（mg/L）</w:t>
            </w:r>
          </w:p>
        </w:tc>
        <w:tc>
          <w:tcPr>
            <w:tcW w:w="1726" w:type="pct"/>
            <w:tcBorders>
              <w:top w:val="nil"/>
              <w:left w:val="nil"/>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0.3</w:t>
            </w:r>
          </w:p>
        </w:tc>
      </w:tr>
      <w:tr>
        <w:tblPrEx>
          <w:tblCellMar>
            <w:top w:w="0" w:type="dxa"/>
            <w:left w:w="108" w:type="dxa"/>
            <w:bottom w:w="0" w:type="dxa"/>
            <w:right w:w="108" w:type="dxa"/>
          </w:tblCellMar>
        </w:tblPrEx>
        <w:trPr>
          <w:trHeight w:val="363"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① MPN表示最可能数；CFU表示菌落形成单位。当水样检出总大肠菌群时，应进一步检验大肠埃希氏菌或耐热大肠菌群；水样未检出总大肠菌群，不必检验大肠埃希氏菌或耐热大肠菌群。</w:t>
            </w:r>
          </w:p>
        </w:tc>
      </w:tr>
      <w:tr>
        <w:tblPrEx>
          <w:tblCellMar>
            <w:top w:w="0" w:type="dxa"/>
            <w:left w:w="108" w:type="dxa"/>
            <w:bottom w:w="0" w:type="dxa"/>
            <w:right w:w="108" w:type="dxa"/>
          </w:tblCellMar>
        </w:tblPrEx>
        <w:trPr>
          <w:trHeight w:val="363"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②放射性指标超过指导值，应进行核素分析和评价，判定能否饮用。</w:t>
            </w:r>
          </w:p>
        </w:tc>
      </w:tr>
      <w:tr>
        <w:tblPrEx>
          <w:tblCellMar>
            <w:top w:w="0" w:type="dxa"/>
            <w:left w:w="108" w:type="dxa"/>
            <w:bottom w:w="0" w:type="dxa"/>
            <w:right w:w="108" w:type="dxa"/>
          </w:tblCellMar>
        </w:tblPrEx>
        <w:trPr>
          <w:trHeight w:val="363"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ind w:firstLine="561"/>
              <w:rPr>
                <w:rFonts w:asciiTheme="minorEastAsia" w:hAnsiTheme="minorEastAsia" w:eastAsiaTheme="minorEastAsia"/>
                <w:kern w:val="0"/>
                <w:szCs w:val="21"/>
              </w:rPr>
            </w:pPr>
            <w:r>
              <w:rPr>
                <w:rFonts w:asciiTheme="minorEastAsia" w:hAnsiTheme="minorEastAsia" w:eastAsiaTheme="minorEastAsia"/>
                <w:kern w:val="0"/>
                <w:szCs w:val="21"/>
              </w:rPr>
              <w:t>③常规考核指标包括：色度、浑浊度、臭和味、氯化物（或游离余氯）、菌落总数、总大肠菌群。</w:t>
            </w:r>
          </w:p>
        </w:tc>
      </w:tr>
    </w:tbl>
    <w:p>
      <w:pPr>
        <w:spacing w:before="80" w:after="80" w:line="360" w:lineRule="auto"/>
        <w:ind w:firstLine="561"/>
        <w:rPr>
          <w:rFonts w:asciiTheme="minorEastAsia" w:hAnsiTheme="minorEastAsia" w:eastAsiaTheme="minorEastAsia"/>
          <w:kern w:val="0"/>
          <w:sz w:val="24"/>
          <w:u w:val="single"/>
          <w:lang w:val="en-GB"/>
        </w:rPr>
      </w:pPr>
      <w:r>
        <w:rPr>
          <w:rFonts w:asciiTheme="minorEastAsia" w:hAnsiTheme="minorEastAsia" w:eastAsiaTheme="minorEastAsia"/>
          <w:kern w:val="0"/>
          <w:sz w:val="24"/>
          <w:lang w:val="en-GB"/>
        </w:rPr>
        <w:t>（2）贵港市产业园区（粤桂园）生活给水出水水质：</w:t>
      </w:r>
      <w:r>
        <w:rPr>
          <w:rFonts w:asciiTheme="minorEastAsia" w:hAnsiTheme="minorEastAsia" w:eastAsiaTheme="minorEastAsia"/>
          <w:kern w:val="0"/>
          <w:sz w:val="24"/>
          <w:u w:val="single"/>
          <w:lang w:val="en-GB"/>
        </w:rPr>
        <w:t>符合《生活饮用水卫生标准》（GB5749-2006）的要求。</w:t>
      </w:r>
    </w:p>
    <w:p>
      <w:pPr>
        <w:pStyle w:val="4"/>
        <w:rPr>
          <w:rFonts w:asciiTheme="minorEastAsia" w:hAnsiTheme="minorEastAsia" w:eastAsiaTheme="minorEastAsia"/>
        </w:rPr>
      </w:pPr>
      <w:bookmarkStart w:id="543" w:name="_Toc17576"/>
      <w:r>
        <w:rPr>
          <w:rFonts w:asciiTheme="minorEastAsia" w:hAnsiTheme="minorEastAsia" w:eastAsiaTheme="minorEastAsia"/>
        </w:rPr>
        <w:t>第6条 供水管网运营维护标准</w:t>
      </w:r>
      <w:bookmarkEnd w:id="543"/>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在项目合作期内，由乙方负责项目范围内供水管网设施的运营和维护应达到《城镇供水管网运行、维护及安全技术规程》（CJJ207-2013）的要求。</w:t>
      </w:r>
    </w:p>
    <w:p>
      <w:pPr>
        <w:pStyle w:val="4"/>
        <w:rPr>
          <w:rFonts w:asciiTheme="minorEastAsia" w:hAnsiTheme="minorEastAsia" w:eastAsiaTheme="minorEastAsia"/>
        </w:rPr>
      </w:pPr>
      <w:bookmarkStart w:id="544" w:name="_Toc27278"/>
      <w:r>
        <w:rPr>
          <w:rFonts w:asciiTheme="minorEastAsia" w:hAnsiTheme="minorEastAsia" w:eastAsiaTheme="minorEastAsia"/>
        </w:rPr>
        <w:t>第7条 噪声标准</w:t>
      </w:r>
      <w:bookmarkEnd w:id="544"/>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本项目供水设施范围内噪声执行《工业企业厂界环境噪声排放标准》（GB12348-2008）；施工期间噪声执行《建筑施工场界环境噪声排放标准》（GB12523-2011），并应符合国家标准、行业标准、</w:t>
      </w:r>
      <w:r>
        <w:rPr>
          <w:rFonts w:hint="eastAsia" w:asciiTheme="minorEastAsia" w:hAnsiTheme="minorEastAsia" w:eastAsiaTheme="minorEastAsia"/>
          <w:kern w:val="0"/>
          <w:sz w:val="24"/>
          <w:u w:val="single"/>
        </w:rPr>
        <w:t>广西壮族自治区贵港市</w:t>
      </w:r>
      <w:r>
        <w:rPr>
          <w:rFonts w:hint="eastAsia" w:asciiTheme="minorEastAsia" w:hAnsiTheme="minorEastAsia" w:eastAsiaTheme="minorEastAsia"/>
          <w:kern w:val="0"/>
          <w:sz w:val="24"/>
        </w:rPr>
        <w:t>地方标准。</w:t>
      </w:r>
    </w:p>
    <w:p>
      <w:pPr>
        <w:pStyle w:val="4"/>
        <w:rPr>
          <w:rFonts w:asciiTheme="minorEastAsia" w:hAnsiTheme="minorEastAsia" w:eastAsiaTheme="minorEastAsia"/>
        </w:rPr>
      </w:pPr>
      <w:bookmarkStart w:id="545" w:name="_Toc29207"/>
      <w:r>
        <w:rPr>
          <w:rFonts w:asciiTheme="minorEastAsia" w:hAnsiTheme="minorEastAsia" w:eastAsiaTheme="minorEastAsia"/>
        </w:rPr>
        <w:t>第8条 对新标准的执行</w:t>
      </w:r>
      <w:bookmarkEnd w:id="545"/>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协议中约定的乙方应执行或达到的标准如遇国家标准或行业标准</w:t>
      </w:r>
      <w:r>
        <w:rPr>
          <w:rFonts w:hint="eastAsia" w:asciiTheme="minorEastAsia" w:hAnsiTheme="minorEastAsia" w:eastAsiaTheme="minorEastAsia"/>
          <w:kern w:val="0"/>
          <w:sz w:val="24"/>
          <w:u w:val="single"/>
        </w:rPr>
        <w:t>、广西壮族自治区、贵港 市</w:t>
      </w:r>
      <w:r>
        <w:rPr>
          <w:rFonts w:hint="eastAsia" w:asciiTheme="minorEastAsia" w:hAnsiTheme="minorEastAsia" w:eastAsiaTheme="minorEastAsia"/>
          <w:kern w:val="0"/>
          <w:sz w:val="24"/>
        </w:rPr>
        <w:t>地方标准对此有更新或补充或新颁布标准的，乙方应执行并达到该等新的标准。若由于执行新的标准需对项目设施进行技术更新或改造的，则执行《PPP项目合同》第8.3.3款的约定。</w:t>
      </w:r>
    </w:p>
    <w:p>
      <w:pPr>
        <w:pStyle w:val="3"/>
        <w:spacing w:line="360" w:lineRule="auto"/>
        <w:rPr>
          <w:rFonts w:asciiTheme="minorEastAsia" w:hAnsiTheme="minorEastAsia"/>
          <w:b w:val="0"/>
        </w:rPr>
      </w:pPr>
      <w:bookmarkStart w:id="546" w:name="_Toc10433"/>
      <w:bookmarkStart w:id="547" w:name="_Toc50993495"/>
      <w:r>
        <w:rPr>
          <w:rFonts w:hint="eastAsia" w:asciiTheme="minorEastAsia" w:hAnsiTheme="minorEastAsia"/>
          <w:b w:val="0"/>
        </w:rPr>
        <w:t>第二节 检测、检查及处理</w:t>
      </w:r>
      <w:bookmarkEnd w:id="546"/>
      <w:bookmarkEnd w:id="547"/>
    </w:p>
    <w:p>
      <w:pPr>
        <w:pStyle w:val="4"/>
        <w:rPr>
          <w:rFonts w:asciiTheme="minorEastAsia" w:hAnsiTheme="minorEastAsia" w:eastAsiaTheme="minorEastAsia"/>
        </w:rPr>
      </w:pPr>
      <w:bookmarkStart w:id="548" w:name="_Toc12840"/>
      <w:r>
        <w:rPr>
          <w:rFonts w:asciiTheme="minorEastAsia" w:hAnsiTheme="minorEastAsia" w:eastAsiaTheme="minorEastAsia"/>
        </w:rPr>
        <w:t>第9条 乙方检测义务</w:t>
      </w:r>
      <w:bookmarkEnd w:id="548"/>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9.1乙方应按适用法律对本项目水厂进行包括但不限于进水水质、出水水质等指标的检测。进水水质、出水水质应通过日常检测、在线检测确定，检测频次及相关要求应符合《城镇供水厂运行、维护及安全技术规程》（CJJ58-2009）要求。</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9.2双方约定的乙方其他检测义务：</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u w:val="single"/>
        </w:rPr>
        <w:t>按贵港市水利局/市卫生计生监督所/市生态环境局对项目的检测文件要求执行。</w:t>
      </w:r>
      <w:r>
        <w:rPr>
          <w:rFonts w:hint="eastAsia" w:asciiTheme="minorEastAsia" w:hAnsiTheme="minorEastAsia" w:eastAsiaTheme="minorEastAsia"/>
          <w:kern w:val="0"/>
          <w:sz w:val="24"/>
        </w:rPr>
        <w:t xml:space="preserve"> </w:t>
      </w:r>
    </w:p>
    <w:p>
      <w:pPr>
        <w:pStyle w:val="4"/>
        <w:rPr>
          <w:rFonts w:asciiTheme="minorEastAsia" w:hAnsiTheme="minorEastAsia" w:eastAsiaTheme="minorEastAsia"/>
        </w:rPr>
      </w:pPr>
      <w:bookmarkStart w:id="549" w:name="_Toc3634"/>
      <w:r>
        <w:rPr>
          <w:rFonts w:asciiTheme="minorEastAsia" w:hAnsiTheme="minorEastAsia" w:eastAsiaTheme="minorEastAsia"/>
        </w:rPr>
        <w:t>第10条 检测依据</w:t>
      </w:r>
      <w:bookmarkEnd w:id="549"/>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本协议所8你述检测指标种类及其检测方法、检测频次等应采用于本项目实施过程中适用的国家标准或行业标准、</w:t>
      </w:r>
      <w:r>
        <w:rPr>
          <w:rFonts w:hint="eastAsia" w:asciiTheme="minorEastAsia" w:hAnsiTheme="minorEastAsia" w:eastAsiaTheme="minorEastAsia"/>
          <w:kern w:val="0"/>
          <w:sz w:val="24"/>
          <w:u w:val="single"/>
        </w:rPr>
        <w:t>广西壮族自治区、贵港</w:t>
      </w:r>
      <w:r>
        <w:rPr>
          <w:rFonts w:hint="eastAsia" w:asciiTheme="minorEastAsia" w:hAnsiTheme="minorEastAsia" w:eastAsiaTheme="minorEastAsia"/>
          <w:kern w:val="0"/>
          <w:sz w:val="24"/>
        </w:rPr>
        <w:t>市地方标准中较严的要求，包括但不限于：《水质采样方案设计技术规定》（GB12997-1991）、《水质采样技术指导》（GB12998-1991）、《地表水环境质量标准》（GB3838-2002）、《水质采样样品的保存和管理技术规定》（GB12999-1991）、《中华人民共和国强制检定的工作计量器具检定管理办法》（国发〔1987〕31号）等。</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如遇国家标准或行业标准、</w:t>
      </w:r>
      <w:r>
        <w:rPr>
          <w:rFonts w:hint="eastAsia" w:asciiTheme="minorEastAsia" w:hAnsiTheme="minorEastAsia" w:eastAsiaTheme="minorEastAsia"/>
          <w:kern w:val="0"/>
          <w:sz w:val="24"/>
          <w:u w:val="single"/>
        </w:rPr>
        <w:t xml:space="preserve">广西壮族自治区、贵港 </w:t>
      </w:r>
      <w:r>
        <w:rPr>
          <w:rFonts w:hint="eastAsia" w:asciiTheme="minorEastAsia" w:hAnsiTheme="minorEastAsia" w:eastAsiaTheme="minorEastAsia"/>
          <w:kern w:val="0"/>
          <w:sz w:val="24"/>
        </w:rPr>
        <w:t>市地方标准对上述标准有更新或补充或新颁布标准的，乙方应执行并达到该等新的标准。</w:t>
      </w:r>
    </w:p>
    <w:p>
      <w:pPr>
        <w:pStyle w:val="4"/>
        <w:rPr>
          <w:rFonts w:asciiTheme="minorEastAsia" w:hAnsiTheme="minorEastAsia" w:eastAsiaTheme="minorEastAsia"/>
        </w:rPr>
      </w:pPr>
      <w:bookmarkStart w:id="550" w:name="_Toc20484"/>
      <w:r>
        <w:rPr>
          <w:rFonts w:asciiTheme="minorEastAsia" w:hAnsiTheme="minorEastAsia" w:eastAsiaTheme="minorEastAsia"/>
        </w:rPr>
        <w:t>第11条 进水和出水水质的日常检测、定期检测和在线检测</w:t>
      </w:r>
      <w:bookmarkEnd w:id="550"/>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乙方应根据本项目所有适用法律和本协议第三章第一节约定的标准及规范要求进行下列检测：</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11.1乙方应按本协议第9条、第10条的约定对进水和出水的水质进行检测；</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11.2检测指标和检测方法</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①乙方对于进水和出水水质进行日常检测的指标和方法：</w:t>
      </w:r>
    </w:p>
    <w:p>
      <w:pPr>
        <w:spacing w:before="80" w:after="80" w:line="360" w:lineRule="auto"/>
        <w:ind w:firstLine="480" w:firstLineChars="200"/>
        <w:rPr>
          <w:rFonts w:asciiTheme="minorEastAsia" w:hAnsiTheme="minorEastAsia" w:eastAsiaTheme="minorEastAsia"/>
          <w:kern w:val="0"/>
          <w:sz w:val="24"/>
          <w:u w:val="single"/>
        </w:rPr>
      </w:pPr>
      <w:r>
        <w:rPr>
          <w:rFonts w:hint="eastAsia" w:asciiTheme="minorEastAsia" w:hAnsiTheme="minorEastAsia" w:eastAsiaTheme="minorEastAsia"/>
          <w:kern w:val="0"/>
          <w:sz w:val="24"/>
          <w:u w:val="single"/>
        </w:rPr>
        <w:t>符合国家标准、行业标准、广西壮族自治区、贵港市地方标准。</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②乙方对于进水和出水水质进行定期检测的指标和方法：</w:t>
      </w:r>
    </w:p>
    <w:p>
      <w:pPr>
        <w:spacing w:before="80" w:after="80" w:line="360" w:lineRule="auto"/>
        <w:ind w:firstLine="480" w:firstLineChars="200"/>
        <w:rPr>
          <w:rFonts w:asciiTheme="minorEastAsia" w:hAnsiTheme="minorEastAsia" w:eastAsiaTheme="minorEastAsia"/>
          <w:kern w:val="0"/>
          <w:sz w:val="24"/>
          <w:u w:val="single"/>
        </w:rPr>
      </w:pPr>
      <w:r>
        <w:rPr>
          <w:rFonts w:hint="eastAsia" w:asciiTheme="minorEastAsia" w:hAnsiTheme="minorEastAsia" w:eastAsiaTheme="minorEastAsia"/>
          <w:kern w:val="0"/>
          <w:sz w:val="24"/>
          <w:u w:val="single"/>
        </w:rPr>
        <w:t>符合国家标准、行业标准、广西壮族自治区、贵港市地方标准。</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③乙方对于进水和出水水质进行在线检测的指标和方法：</w:t>
      </w:r>
    </w:p>
    <w:p>
      <w:pPr>
        <w:spacing w:before="80" w:after="80" w:line="360" w:lineRule="auto"/>
        <w:ind w:firstLine="480" w:firstLineChars="200"/>
        <w:rPr>
          <w:rFonts w:asciiTheme="minorEastAsia" w:hAnsiTheme="minorEastAsia" w:eastAsiaTheme="minorEastAsia"/>
          <w:kern w:val="0"/>
          <w:sz w:val="24"/>
          <w:u w:val="single"/>
        </w:rPr>
      </w:pPr>
      <w:r>
        <w:rPr>
          <w:rFonts w:hint="eastAsia" w:asciiTheme="minorEastAsia" w:hAnsiTheme="minorEastAsia" w:eastAsiaTheme="minorEastAsia"/>
          <w:kern w:val="0"/>
          <w:sz w:val="24"/>
          <w:u w:val="single"/>
        </w:rPr>
        <w:t>符合国家标准、行业标准、广西壮族自治区、贵港市地方标准。</w:t>
      </w:r>
    </w:p>
    <w:p>
      <w:pPr>
        <w:spacing w:before="80" w:after="80" w:line="360" w:lineRule="auto"/>
        <w:ind w:firstLine="480" w:firstLineChars="200"/>
        <w:rPr>
          <w:rFonts w:asciiTheme="minorEastAsia" w:hAnsiTheme="minorEastAsia" w:eastAsiaTheme="minorEastAsia"/>
        </w:rPr>
      </w:pPr>
      <w:r>
        <w:rPr>
          <w:rFonts w:hint="eastAsia" w:asciiTheme="minorEastAsia" w:hAnsiTheme="minorEastAsia" w:eastAsiaTheme="minorEastAsia"/>
          <w:kern w:val="0"/>
          <w:sz w:val="24"/>
        </w:rPr>
        <w:t>11.3其他约定：</w:t>
      </w:r>
      <w:r>
        <w:rPr>
          <w:rFonts w:hint="eastAsia" w:asciiTheme="minorEastAsia" w:hAnsiTheme="minorEastAsia" w:eastAsiaTheme="minorEastAsia"/>
          <w:kern w:val="0"/>
          <w:sz w:val="24"/>
          <w:u w:val="single"/>
        </w:rPr>
        <w:t>按贵港市水利局/卫监局/环保局对本水厂的检测文件要求执行。</w:t>
      </w:r>
    </w:p>
    <w:p>
      <w:pPr>
        <w:pStyle w:val="4"/>
        <w:rPr>
          <w:rFonts w:asciiTheme="minorEastAsia" w:hAnsiTheme="minorEastAsia" w:eastAsiaTheme="minorEastAsia"/>
        </w:rPr>
      </w:pPr>
      <w:bookmarkStart w:id="551" w:name="_Toc3244"/>
      <w:r>
        <w:rPr>
          <w:rFonts w:asciiTheme="minorEastAsia" w:hAnsiTheme="minorEastAsia" w:eastAsiaTheme="minorEastAsia"/>
        </w:rPr>
        <w:t>第12条 检测结果的报告</w:t>
      </w:r>
      <w:bookmarkEnd w:id="551"/>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12.1乙方应记录每次检测的所有结果，并在上述检测完成后在甲方要求的时限内将每日进水和出水的检测结果向甲方或政府相关部门报送。</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12.2在任何时候出现下列情形之一项或多项的，乙方应立即通知甲方，且该通知应包括所有有关测试结果以及此等不符合情况所作的其他有关调查结果的详情。通知还可以包括乙方对不符合情况可能持续的期限所作的预测，以及引起该等情况的原因，包括乙方声称任何有关不可抗力或甲方违约事件，或依据《PPP项目合同》约定甲方构成违约的情形和所采取的补救措施等：</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12.2.1出水采样点的出水水质不符合出水水质标准；</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12.2.2进水采样点的进水水质不符合进水水质标准，且乙方合理判断会导致出水水质超标的；</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12.2.3噪声不符合本协议约定标准；</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12.2.4 其他约定：</w:t>
      </w:r>
      <w:r>
        <w:rPr>
          <w:rFonts w:hint="eastAsia" w:asciiTheme="minorEastAsia" w:hAnsiTheme="minorEastAsia" w:eastAsiaTheme="minorEastAsia"/>
          <w:kern w:val="0"/>
          <w:sz w:val="24"/>
          <w:u w:val="single"/>
        </w:rPr>
        <w:t xml:space="preserve">/                                              </w:t>
      </w:r>
    </w:p>
    <w:p>
      <w:pPr>
        <w:pStyle w:val="4"/>
        <w:rPr>
          <w:rFonts w:asciiTheme="minorEastAsia" w:hAnsiTheme="minorEastAsia" w:eastAsiaTheme="minorEastAsia"/>
        </w:rPr>
      </w:pPr>
      <w:bookmarkStart w:id="552" w:name="_Toc1159"/>
      <w:r>
        <w:rPr>
          <w:rFonts w:asciiTheme="minorEastAsia" w:hAnsiTheme="minorEastAsia" w:eastAsiaTheme="minorEastAsia"/>
        </w:rPr>
        <w:t>第13条 检查及结果通知</w:t>
      </w:r>
      <w:bookmarkEnd w:id="552"/>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13.1 甲方有权对本协议约定的出水水质指标进行一项或多项抽检，抽检频率为：</w:t>
      </w:r>
      <w:r>
        <w:rPr>
          <w:rFonts w:hint="eastAsia" w:asciiTheme="minorEastAsia" w:hAnsiTheme="minorEastAsia" w:eastAsiaTheme="minorEastAsia"/>
          <w:kern w:val="0"/>
          <w:sz w:val="24"/>
          <w:u w:val="single"/>
        </w:rPr>
        <w:t xml:space="preserve">  /  </w:t>
      </w:r>
      <w:r>
        <w:rPr>
          <w:rFonts w:hint="eastAsia" w:asciiTheme="minorEastAsia" w:hAnsiTheme="minorEastAsia" w:eastAsiaTheme="minorEastAsia"/>
          <w:kern w:val="0"/>
          <w:sz w:val="24"/>
        </w:rPr>
        <w:t>，以核实乙方提供的结果。</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13.2 甲方自行采取水样时须有乙方人员在场。乙方人员未在甲方告知的采样时间到达现场的，不影响抽检结果的有效性。</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13.3甲方在现场取样前，应通知乙方人员陪同取样，乙方人员应在采样记录单上签字。甲方应在样品的所有应测指标测试完成且有出水水质超标情形下及时将检测结果通知乙方。</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13.4 甲方对出水水质指标抽检的结果与乙方自检结果不一致时，乙方对甲方抽检结果有异议的，双方可共同委托经国家认可的具备法定资质的检测机构进行检测并以该检测结果为准。</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此外，甲方有权独立委托具有相应资质的第三方检测机构对乙方出水水质予以抽检。如经第三方检测机构抽检乙方出水水质超标，且乙方认可该等抽检结果的，则第三方抽检的结果作为本项目评价依据；如乙方对第三方检测机构出具的不达标的检测结果有异议，则乙方可和第三方检测机构共同委托另外一家具备相应资质的检测机构对同一水样重新进行检测，如乙方和第三方检测机构共同聘请的检测机构的检测结果显示超标，则相应的检测费用由乙方承担，检测机构的检测结果作为本项目的评价依据。</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13.5甲方有权随时对本协议约定的噪声指标进行抽检，抽检频率为：</w:t>
      </w:r>
      <w:r>
        <w:rPr>
          <w:rFonts w:hint="eastAsia" w:asciiTheme="minorEastAsia" w:hAnsiTheme="minorEastAsia" w:eastAsiaTheme="minorEastAsia"/>
          <w:kern w:val="0"/>
          <w:sz w:val="24"/>
          <w:u w:val="single"/>
        </w:rPr>
        <w:t>每半年一次</w:t>
      </w:r>
      <w:r>
        <w:rPr>
          <w:rFonts w:hint="eastAsia" w:asciiTheme="minorEastAsia" w:hAnsiTheme="minorEastAsia" w:eastAsiaTheme="minorEastAsia"/>
          <w:kern w:val="0"/>
          <w:sz w:val="24"/>
        </w:rPr>
        <w:t>，以核实乙方提供的结果。</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13.6甲方对污泥、噪声及臭气抽检的结果与乙方自检结果不一致时，乙方对甲方的污泥抽检结果有异议的，双方可共同委托经国家认可的具备法定资质的检测机构进行检测并以该检测结果为准。如乙方未在甲方将该等检测结果通知送达后</w:t>
      </w:r>
      <w:r>
        <w:rPr>
          <w:rFonts w:hint="eastAsia" w:asciiTheme="minorEastAsia" w:hAnsiTheme="minorEastAsia" w:eastAsiaTheme="minorEastAsia"/>
          <w:kern w:val="0"/>
          <w:sz w:val="24"/>
          <w:u w:val="single"/>
        </w:rPr>
        <w:t xml:space="preserve"> 72 </w:t>
      </w:r>
      <w:r>
        <w:rPr>
          <w:rFonts w:hint="eastAsia" w:asciiTheme="minorEastAsia" w:hAnsiTheme="minorEastAsia" w:eastAsiaTheme="minorEastAsia"/>
          <w:kern w:val="0"/>
          <w:sz w:val="24"/>
        </w:rPr>
        <w:t>小时内提出异议，视为同意该检测结果。</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13.7 乙方根据本协议第13.4款和第13.6款约定的对甲方抽检结果有异议样品的委托检测，相应的检测费用应由乙方承担。如检测的结果表明乙方的检测程序不符合规定、检测设备超出允许误差或其检测结果显示不达标的，则乙方应按照甲方要求立即予以纠正。如检测的结果表明甲方抽检结果错误，检测费用应由甲方承担。</w:t>
      </w:r>
    </w:p>
    <w:p>
      <w:pPr>
        <w:pStyle w:val="4"/>
        <w:rPr>
          <w:rFonts w:asciiTheme="minorEastAsia" w:hAnsiTheme="minorEastAsia" w:eastAsiaTheme="minorEastAsia"/>
        </w:rPr>
      </w:pPr>
      <w:bookmarkStart w:id="553" w:name="_Toc14064"/>
      <w:r>
        <w:rPr>
          <w:rFonts w:asciiTheme="minorEastAsia" w:hAnsiTheme="minorEastAsia" w:eastAsiaTheme="minorEastAsia"/>
        </w:rPr>
        <w:t>第14条 出水水质不符合标准的处理</w:t>
      </w:r>
      <w:bookmarkEnd w:id="553"/>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14.1如因可归责于乙方的原因导致乙方经营的供水厂的出水水质有一项指标不达标的，即视为本次抽检表明乙方经营的该供水厂当日水质不符合出水水质标准，甲方有权要求乙方在规定时间内查找原因，并督促其采取合理的改进或保障措施，以避免二次抽检仍不合格。</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14.2如下一次抽检仍未达标的，则甲方有权向乙方收取违约金，违约金执行本协议第49条的约定。如每个付费周期内出现多次抽检不合格的，则违约金累计计算。甲方有权直接扣除或提取运维履约担保或移交履约担保项下的相应金额。如一个付费周期内，连续</w:t>
      </w:r>
      <w:r>
        <w:rPr>
          <w:rFonts w:hint="eastAsia" w:asciiTheme="minorEastAsia" w:hAnsiTheme="minorEastAsia" w:eastAsiaTheme="minorEastAsia"/>
          <w:kern w:val="0"/>
          <w:sz w:val="24"/>
          <w:u w:val="single"/>
        </w:rPr>
        <w:t xml:space="preserve"> 6 </w:t>
      </w:r>
      <w:r>
        <w:rPr>
          <w:rFonts w:hint="eastAsia" w:asciiTheme="minorEastAsia" w:hAnsiTheme="minorEastAsia" w:eastAsiaTheme="minorEastAsia"/>
          <w:kern w:val="0"/>
          <w:sz w:val="24"/>
        </w:rPr>
        <w:t>次或累计</w:t>
      </w:r>
      <w:r>
        <w:rPr>
          <w:rFonts w:hint="eastAsia" w:asciiTheme="minorEastAsia" w:hAnsiTheme="minorEastAsia" w:eastAsiaTheme="minorEastAsia"/>
          <w:kern w:val="0"/>
          <w:sz w:val="24"/>
          <w:u w:val="single"/>
        </w:rPr>
        <w:t xml:space="preserve"> 10 </w:t>
      </w:r>
      <w:r>
        <w:rPr>
          <w:rFonts w:hint="eastAsia" w:asciiTheme="minorEastAsia" w:hAnsiTheme="minorEastAsia" w:eastAsiaTheme="minorEastAsia"/>
          <w:kern w:val="0"/>
          <w:sz w:val="24"/>
        </w:rPr>
        <w:t>次未达标时，甲方有权按照《PPP项目合同》的约定介入该供水厂的运营维护，同时介入管网的运营维护。</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14.3 当发生出水水质不符合标准的情形时，除本协议另有约定外，乙方无权就其在该期间内所提供的供水服务取得供水服务费。</w:t>
      </w:r>
    </w:p>
    <w:p>
      <w:pPr>
        <w:pStyle w:val="4"/>
        <w:rPr>
          <w:rFonts w:asciiTheme="minorEastAsia" w:hAnsiTheme="minorEastAsia" w:eastAsiaTheme="minorEastAsia"/>
        </w:rPr>
      </w:pPr>
      <w:bookmarkStart w:id="554" w:name="_Toc10105"/>
      <w:r>
        <w:rPr>
          <w:rFonts w:asciiTheme="minorEastAsia" w:hAnsiTheme="minorEastAsia" w:eastAsiaTheme="minorEastAsia"/>
        </w:rPr>
        <w:t>第15条 进水水质不符合标准的处理</w:t>
      </w:r>
      <w:bookmarkEnd w:id="554"/>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15.1乙方发现进水水质超标的，应于当日及时将超标项目检测结果以书面形式向甲方及排水主管部门、环保部门进行报告。甲方应在接到乙方提交的书面报告</w:t>
      </w:r>
      <w:r>
        <w:rPr>
          <w:rFonts w:hint="eastAsia" w:asciiTheme="minorEastAsia" w:hAnsiTheme="minorEastAsia" w:eastAsiaTheme="minorEastAsia"/>
          <w:kern w:val="0"/>
          <w:sz w:val="24"/>
          <w:u w:val="single"/>
        </w:rPr>
        <w:t xml:space="preserve"> 24 </w:t>
      </w:r>
      <w:r>
        <w:rPr>
          <w:rFonts w:hint="eastAsia" w:asciiTheme="minorEastAsia" w:hAnsiTheme="minorEastAsia" w:eastAsiaTheme="minorEastAsia"/>
          <w:kern w:val="0"/>
          <w:sz w:val="24"/>
        </w:rPr>
        <w:t>小时内予以复检，甲方对进水水质检测的结果与乙方自检结果不一致时，乙方对此有异议的，由双方认可的具备法定资质的检测机构于甲方接到乙方前述报告后</w:t>
      </w:r>
      <w:r>
        <w:rPr>
          <w:rFonts w:hint="eastAsia" w:asciiTheme="minorEastAsia" w:hAnsiTheme="minorEastAsia" w:eastAsiaTheme="minorEastAsia"/>
          <w:kern w:val="0"/>
          <w:sz w:val="24"/>
          <w:u w:val="single"/>
        </w:rPr>
        <w:t xml:space="preserve"> 72 </w:t>
      </w:r>
      <w:r>
        <w:rPr>
          <w:rFonts w:hint="eastAsia" w:asciiTheme="minorEastAsia" w:hAnsiTheme="minorEastAsia" w:eastAsiaTheme="minorEastAsia"/>
          <w:kern w:val="0"/>
          <w:sz w:val="24"/>
        </w:rPr>
        <w:t>小时内进行检测，最终以该等检测结果为准。其中检测项目为乙方书面报告的超标项目，若复检或检测结果表明进水水质超标。</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15.2 水厂负责进行进水水质检测，发现问题及时报告公司及相关部门</w:t>
      </w:r>
    </w:p>
    <w:p>
      <w:pPr>
        <w:pStyle w:val="3"/>
        <w:spacing w:line="360" w:lineRule="auto"/>
        <w:rPr>
          <w:rFonts w:asciiTheme="minorEastAsia" w:hAnsiTheme="minorEastAsia"/>
          <w:b w:val="0"/>
        </w:rPr>
      </w:pPr>
      <w:bookmarkStart w:id="555" w:name="_Toc32133"/>
      <w:bookmarkStart w:id="556" w:name="_Toc50993496"/>
      <w:r>
        <w:rPr>
          <w:rFonts w:hint="eastAsia" w:asciiTheme="minorEastAsia" w:hAnsiTheme="minorEastAsia"/>
          <w:b w:val="0"/>
        </w:rPr>
        <w:t>第三节 供水计量</w:t>
      </w:r>
      <w:bookmarkEnd w:id="555"/>
      <w:bookmarkEnd w:id="556"/>
    </w:p>
    <w:p>
      <w:pPr>
        <w:pStyle w:val="4"/>
        <w:rPr>
          <w:rFonts w:asciiTheme="minorEastAsia" w:hAnsiTheme="minorEastAsia" w:eastAsiaTheme="minorEastAsia"/>
        </w:rPr>
      </w:pPr>
      <w:bookmarkStart w:id="557" w:name="_Toc1946"/>
      <w:r>
        <w:rPr>
          <w:rFonts w:asciiTheme="minorEastAsia" w:hAnsiTheme="minorEastAsia" w:eastAsiaTheme="minorEastAsia"/>
        </w:rPr>
        <w:t>第16条 进、出水流量计</w:t>
      </w:r>
      <w:bookmarkEnd w:id="557"/>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16.1流量计的选用</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乙方应在进水点和出水点连续测量、计算和记录提取的水量。流量计的型号、规格及技术指标应当符合有关计量器具的适用法律规定，并由乙方报甲方及相关行政职能部门批准后方可使用。</w:t>
      </w:r>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16.2流量计的首检</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当每一个进、出水流量计首次应用于本项目时，都应在乙方通知甲方参加的情况下，由具备法定资质的检测机构或仪表生产厂家对流量计进行检查、检定和校准，检验合格方能投入使用,产生的费用由乙方承担。</w:t>
      </w:r>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16.3流量计的安装</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乙方安装、更换、维修流量计时均需提前</w:t>
      </w:r>
      <w:r>
        <w:rPr>
          <w:rFonts w:hint="eastAsia" w:asciiTheme="minorEastAsia" w:hAnsiTheme="minorEastAsia" w:eastAsiaTheme="minorEastAsia"/>
          <w:kern w:val="0"/>
          <w:sz w:val="24"/>
          <w:u w:val="single"/>
        </w:rPr>
        <w:t xml:space="preserve"> 3 </w:t>
      </w:r>
      <w:r>
        <w:rPr>
          <w:rFonts w:hint="eastAsia" w:asciiTheme="minorEastAsia" w:hAnsiTheme="minorEastAsia" w:eastAsiaTheme="minorEastAsia"/>
          <w:kern w:val="0"/>
          <w:sz w:val="24"/>
        </w:rPr>
        <w:t>日内书面通知甲方，甲方有权指派代表监督安装、更换、维修流量计的全过程。</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本项目设施范围内的水厂的每个进、出水流量计均应被安装在甲方同意的密封、安全和透明的装置内，并按照甲方要求进行保护。</w:t>
      </w:r>
    </w:p>
    <w:p>
      <w:pPr>
        <w:pStyle w:val="4"/>
        <w:rPr>
          <w:rFonts w:asciiTheme="minorEastAsia" w:hAnsiTheme="minorEastAsia" w:eastAsiaTheme="minorEastAsia"/>
        </w:rPr>
      </w:pPr>
      <w:bookmarkStart w:id="558" w:name="_Toc31515"/>
      <w:r>
        <w:rPr>
          <w:rFonts w:asciiTheme="minorEastAsia" w:hAnsiTheme="minorEastAsia" w:eastAsiaTheme="minorEastAsia"/>
        </w:rPr>
        <w:t>第17条 流量计计量</w:t>
      </w:r>
      <w:bookmarkEnd w:id="558"/>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17.1乙方应对进、出水流量连续测量、计算和记录。</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17.2 本项目从第一个运营日起开始计量进、出水流量，每三个运营月届满期间累计流量为该季度的进、出水水量。</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17.3 除本协议另有约定外，流量计读数不得归零。若因技术原因必须归零时，乙方应至少提前</w:t>
      </w:r>
      <w:r>
        <w:rPr>
          <w:rFonts w:hint="eastAsia" w:asciiTheme="minorEastAsia" w:hAnsiTheme="minorEastAsia" w:eastAsiaTheme="minorEastAsia"/>
          <w:kern w:val="0"/>
          <w:sz w:val="24"/>
          <w:u w:val="single"/>
        </w:rPr>
        <w:t xml:space="preserve"> 3 </w:t>
      </w:r>
      <w:r>
        <w:rPr>
          <w:rFonts w:hint="eastAsia" w:asciiTheme="minorEastAsia" w:hAnsiTheme="minorEastAsia" w:eastAsiaTheme="minorEastAsia"/>
          <w:kern w:val="0"/>
          <w:sz w:val="24"/>
        </w:rPr>
        <w:t>日前书面通知甲方，流量计须在双方代表在场的情况下归零。</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17.4实测水量</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17.4.1实测水量以出水流量计读数为准。若进水流量计读数低于出水流量计读数，则实测水量以进水流量计读数为准。</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17.4.2若进水流量计读数和出水流量计读数存在明显差异，则尽快检修流量计，实测水量以前</w:t>
      </w:r>
      <w:r>
        <w:rPr>
          <w:rFonts w:hint="eastAsia" w:asciiTheme="minorEastAsia" w:hAnsiTheme="minorEastAsia" w:eastAsiaTheme="minorEastAsia"/>
          <w:kern w:val="0"/>
          <w:sz w:val="24"/>
          <w:u w:val="single"/>
        </w:rPr>
        <w:t xml:space="preserve"> 10 </w:t>
      </w:r>
      <w:r>
        <w:rPr>
          <w:rFonts w:hint="eastAsia" w:asciiTheme="minorEastAsia" w:hAnsiTheme="minorEastAsia" w:eastAsiaTheme="minorEastAsia"/>
          <w:kern w:val="0"/>
          <w:sz w:val="24"/>
        </w:rPr>
        <w:t>日的平均实测水量为准。</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17.4.3若出水流量计因不具备工作条件或发生故障等情况暂时不能正常工作时，实测水量以本条所述故障发生之日前</w:t>
      </w:r>
      <w:r>
        <w:rPr>
          <w:rFonts w:hint="eastAsia" w:asciiTheme="minorEastAsia" w:hAnsiTheme="minorEastAsia" w:eastAsiaTheme="minorEastAsia"/>
          <w:kern w:val="0"/>
          <w:sz w:val="24"/>
          <w:u w:val="single"/>
        </w:rPr>
        <w:t xml:space="preserve"> 10 </w:t>
      </w:r>
      <w:r>
        <w:rPr>
          <w:rFonts w:hint="eastAsia" w:asciiTheme="minorEastAsia" w:hAnsiTheme="minorEastAsia" w:eastAsiaTheme="minorEastAsia"/>
          <w:kern w:val="0"/>
          <w:sz w:val="24"/>
        </w:rPr>
        <w:t xml:space="preserve">个运营日内平均实测水量为准；乙方应尽量按本协议第18.5款约定的时间内完成出水流量计的修复，若因乙方原因未能按时完成修复的，则实测水量以 </w:t>
      </w:r>
      <w:r>
        <w:rPr>
          <w:rFonts w:hint="eastAsia" w:asciiTheme="minorEastAsia" w:hAnsiTheme="minorEastAsia" w:eastAsiaTheme="minorEastAsia"/>
          <w:kern w:val="0"/>
          <w:sz w:val="24"/>
          <w:u w:val="single"/>
        </w:rPr>
        <w:t>前20个运营日内平均实测平均数</w:t>
      </w:r>
      <w:r>
        <w:rPr>
          <w:rFonts w:hint="eastAsia" w:asciiTheme="minorEastAsia" w:hAnsiTheme="minorEastAsia" w:eastAsiaTheme="minorEastAsia"/>
          <w:kern w:val="0"/>
          <w:sz w:val="24"/>
        </w:rPr>
        <w:t>为准。</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17.5本协议生效后，甲方与乙方双方应于</w:t>
      </w:r>
      <w:r>
        <w:rPr>
          <w:rFonts w:hint="eastAsia" w:asciiTheme="minorEastAsia" w:hAnsiTheme="minorEastAsia" w:eastAsiaTheme="minorEastAsia"/>
          <w:kern w:val="0"/>
          <w:sz w:val="24"/>
          <w:u w:val="single"/>
        </w:rPr>
        <w:t xml:space="preserve"> 3 </w:t>
      </w:r>
      <w:r>
        <w:rPr>
          <w:rFonts w:hint="eastAsia" w:asciiTheme="minorEastAsia" w:hAnsiTheme="minorEastAsia" w:eastAsiaTheme="minorEastAsia"/>
          <w:kern w:val="0"/>
          <w:sz w:val="24"/>
        </w:rPr>
        <w:t>日内，联合在进、出水水量计量点对进、出水流量计的读数进行记录并经双方签字确认。如任何一方未参加上述日期的共同读数，另一方可单独读数，并在读数记录单上签字，如该读数未有相反证据证明明显不属实，该读数记录单被视为已得到未参加方的认可。</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17.6乙方应在发现进、出水流量计不能正常工作或接到甲方通知后立即委托有资质的机构进行维修及校准，并应在本协议第18.5款约定的时间内完成维修及校准工作。</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17.7在整个合作期内，以后重置或新增的进、出水流量计应按本协议第16条的约定操作。</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17.8 如甲方、乙方中的任何一方就水量记录数据存在分歧，双方应首先通过友好协商予以解决，若协商未达成一致则按照《PPP项目合同》第26条约定的争议解决机制予以解决。</w:t>
      </w:r>
    </w:p>
    <w:p>
      <w:pPr>
        <w:pStyle w:val="3"/>
        <w:spacing w:line="360" w:lineRule="auto"/>
        <w:rPr>
          <w:rFonts w:asciiTheme="minorEastAsia" w:hAnsiTheme="minorEastAsia"/>
          <w:b w:val="0"/>
        </w:rPr>
      </w:pPr>
      <w:bookmarkStart w:id="559" w:name="_Toc2057"/>
      <w:bookmarkStart w:id="560" w:name="_Toc50993497"/>
      <w:r>
        <w:rPr>
          <w:rFonts w:hint="eastAsia" w:asciiTheme="minorEastAsia" w:hAnsiTheme="minorEastAsia"/>
          <w:b w:val="0"/>
        </w:rPr>
        <w:t>第四节 仪表校准及管理</w:t>
      </w:r>
      <w:bookmarkEnd w:id="559"/>
      <w:bookmarkEnd w:id="560"/>
    </w:p>
    <w:p>
      <w:pPr>
        <w:pStyle w:val="4"/>
        <w:rPr>
          <w:rFonts w:asciiTheme="minorEastAsia" w:hAnsiTheme="minorEastAsia" w:eastAsiaTheme="minorEastAsia"/>
        </w:rPr>
      </w:pPr>
      <w:bookmarkStart w:id="561" w:name="_Toc5339"/>
      <w:r>
        <w:rPr>
          <w:rFonts w:asciiTheme="minorEastAsia" w:hAnsiTheme="minorEastAsia" w:eastAsiaTheme="minorEastAsia"/>
        </w:rPr>
        <w:t>第18条 测量仪表校准</w:t>
      </w:r>
      <w:bookmarkEnd w:id="561"/>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18.1乙方应按照《中华人民共和国强制检定的工作计量器具检定管理办法》（国发〔1987〕3l号）等规定对水质检测设备进行校验。</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18.2流量计、液位计和在线检测仪表应按国家规定周期委托具有法定资质的检测机构或仪表生产厂家进行核准，该等核准的费用应由乙方予以承担。</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18.3 任一方经书面通知对方后，可随时要求对任何流量计、液位计和水质监测仪表进行检查和校准。此等非定期的检查和校准费用由要求进行该等检查和校准的一方承担。但如检查和校准的结果显示有关流量计、液位计、水质监 测仪表不准确，则上述费用由乙方自行承担，不计入水价调整依据。</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18.4 乙方应记录对流量计、液位计和水质监测仪表每次定期和非定期的检查和校准结果并在收到检测报告后</w:t>
      </w:r>
      <w:r>
        <w:rPr>
          <w:rFonts w:hint="eastAsia" w:asciiTheme="minorEastAsia" w:hAnsiTheme="minorEastAsia" w:eastAsiaTheme="minorEastAsia"/>
          <w:kern w:val="0"/>
          <w:sz w:val="24"/>
          <w:u w:val="single"/>
        </w:rPr>
        <w:t xml:space="preserve"> 7 </w:t>
      </w:r>
      <w:r>
        <w:rPr>
          <w:rFonts w:hint="eastAsia" w:asciiTheme="minorEastAsia" w:hAnsiTheme="minorEastAsia" w:eastAsiaTheme="minorEastAsia"/>
          <w:kern w:val="0"/>
          <w:sz w:val="24"/>
        </w:rPr>
        <w:t>日内将该等结果的复印件提供给甲方。</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18.5 任何一方发现并证明任何流量计、液位计和水质监测仪表或其他仪表不准确的，乙方应委托具备法定资质的检测机构或仪表生产厂家对前述仪表进 行检测和校准。乙方应在发现前述仪表不能正常工作或接到甲方通知后立即委托前述机构进行维修及校准，承担相应费用，并应在以下较短时间内完成校准、维修或更换工作：</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18.5.1自乙方发现流量计、液位计和水质监测仪表或其他仪表不能正常工作后</w:t>
      </w:r>
      <w:r>
        <w:rPr>
          <w:rFonts w:hint="eastAsia" w:asciiTheme="minorEastAsia" w:hAnsiTheme="minorEastAsia" w:eastAsiaTheme="minorEastAsia"/>
          <w:kern w:val="0"/>
          <w:sz w:val="24"/>
          <w:u w:val="single"/>
        </w:rPr>
        <w:t xml:space="preserve"> 7 </w:t>
      </w:r>
      <w:r>
        <w:rPr>
          <w:rFonts w:hint="eastAsia" w:asciiTheme="minorEastAsia" w:hAnsiTheme="minorEastAsia" w:eastAsiaTheme="minorEastAsia"/>
          <w:kern w:val="0"/>
          <w:sz w:val="24"/>
        </w:rPr>
        <w:t>日内或双方书面同意的更长期间内；</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18.5.2自接到甲方通知后</w:t>
      </w:r>
      <w:r>
        <w:rPr>
          <w:rFonts w:hint="eastAsia" w:asciiTheme="minorEastAsia" w:hAnsiTheme="minorEastAsia" w:eastAsiaTheme="minorEastAsia"/>
          <w:kern w:val="0"/>
          <w:sz w:val="24"/>
          <w:u w:val="single"/>
        </w:rPr>
        <w:t xml:space="preserve"> 7 </w:t>
      </w:r>
      <w:r>
        <w:rPr>
          <w:rFonts w:hint="eastAsia" w:asciiTheme="minorEastAsia" w:hAnsiTheme="minorEastAsia" w:eastAsiaTheme="minorEastAsia"/>
          <w:kern w:val="0"/>
          <w:sz w:val="24"/>
        </w:rPr>
        <w:t>日内或接到前述通知后双方书面同意的更长的期间内。</w:t>
      </w:r>
    </w:p>
    <w:p>
      <w:pPr>
        <w:pStyle w:val="3"/>
        <w:spacing w:line="360" w:lineRule="auto"/>
        <w:rPr>
          <w:rFonts w:asciiTheme="minorEastAsia" w:hAnsiTheme="minorEastAsia"/>
          <w:b w:val="0"/>
        </w:rPr>
      </w:pPr>
      <w:bookmarkStart w:id="562" w:name="_Toc21957"/>
      <w:bookmarkStart w:id="563" w:name="_Toc50993498"/>
      <w:r>
        <w:rPr>
          <w:rFonts w:hint="eastAsia" w:asciiTheme="minorEastAsia" w:hAnsiTheme="minorEastAsia"/>
          <w:b w:val="0"/>
        </w:rPr>
        <w:t>第五节 运营维护监管与报告</w:t>
      </w:r>
      <w:bookmarkEnd w:id="562"/>
      <w:bookmarkEnd w:id="563"/>
    </w:p>
    <w:p>
      <w:pPr>
        <w:pStyle w:val="4"/>
        <w:rPr>
          <w:rFonts w:asciiTheme="minorEastAsia" w:hAnsiTheme="minorEastAsia" w:eastAsiaTheme="minorEastAsia"/>
        </w:rPr>
      </w:pPr>
      <w:bookmarkStart w:id="564" w:name="_Toc5719"/>
      <w:r>
        <w:rPr>
          <w:rFonts w:asciiTheme="minorEastAsia" w:hAnsiTheme="minorEastAsia" w:eastAsiaTheme="minorEastAsia"/>
        </w:rPr>
        <w:t>第19条 监管</w:t>
      </w:r>
      <w:bookmarkEnd w:id="564"/>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19.1政府部门或其授权机构按照适用法律规定对乙方或水厂、管网进行的监督、管理和检查以及行政处罚，不受本协议约束，亦不构成乙方在本协议项下义务的免除。其对乙方或污水处理厂、管网监管时所形成的数据、报告和决定，可以作为甲方执行本协议所用，除非本协议另有约定。</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19.2甲方有权依据所有适用法律以及本协议和《绩效评价管理办法》对乙方以及水厂、供水管网的运营进行监督、检验和评价，包括但不限于下列内容：</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19.2.1供水水量；</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19.2.2出水水质及噪声；</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19.2.3运行工况；</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19.2.4安全生产；</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19.2.5清洁生产；</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19.2.6管道维护质量；</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19.2.7加压站维护质量；</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19.2.8报告制度。</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19.3 乙方应按照相关规范，负责水厂、管网在线监测设施、设备的安装、运行及维护并承担相关费用，并应实现与甲方及相关政府职能部门的联网，以满足甲方及相关政府职能部门的监管需要。</w:t>
      </w:r>
    </w:p>
    <w:p>
      <w:pPr>
        <w:pStyle w:val="4"/>
        <w:rPr>
          <w:rFonts w:asciiTheme="minorEastAsia" w:hAnsiTheme="minorEastAsia" w:eastAsiaTheme="minorEastAsia"/>
        </w:rPr>
      </w:pPr>
      <w:bookmarkStart w:id="565" w:name="_Toc24158"/>
      <w:r>
        <w:rPr>
          <w:rFonts w:asciiTheme="minorEastAsia" w:hAnsiTheme="minorEastAsia" w:eastAsiaTheme="minorEastAsia"/>
        </w:rPr>
        <w:t>第20条 运营维护手册</w:t>
      </w:r>
      <w:bookmarkEnd w:id="565"/>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20.1运营维护手册的编制</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20.1.1在开始运营日之前，乙方应根据适用法律、标准规范和谨慎运营惯例并且按不低于初步设计的内容和要求预测主要设备进行更新或重置的时点、设置更新或重置的标准及经甲方审核确定的运营维护方案等，并编制供水厂工程、供水管网工程及泵站工程的运营维护手册；运营维护手册报甲方备案后遵照执行。</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20.1.2运营维护手册在合作期内应根据供水厂、供水设施运营维护的实际情况随时进行修改、补充和完善，并报甲方备案后遵照执行。</w:t>
      </w:r>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20.2运营维护手册的内容</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20.2.1运营维护手册应包括供水厂、供水管网及加压站进行定期和年度检查、日常运行维护、大修维护的程序和计划，以及调整和改进检验及维护安排的程序和计划，并制定应对突发事件的应急预案。</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20.2.2运营维护手册应列明供水厂、供水管网及加压站正常运营所需的消耗性备品备件和事故抢修的备品备件。</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20.2.3运营维护应符合本项目适用法律和中国国家行业规范、标准的要求，保障供水厂、供水管网及加压站正常运行的生产管理制度、安全生产制度、水质检验制度。</w:t>
      </w:r>
    </w:p>
    <w:p>
      <w:pPr>
        <w:pStyle w:val="4"/>
        <w:rPr>
          <w:rFonts w:asciiTheme="minorEastAsia" w:hAnsiTheme="minorEastAsia" w:eastAsiaTheme="minorEastAsia"/>
        </w:rPr>
      </w:pPr>
      <w:bookmarkStart w:id="566" w:name="_Toc28164"/>
      <w:r>
        <w:rPr>
          <w:rFonts w:asciiTheme="minorEastAsia" w:hAnsiTheme="minorEastAsia" w:eastAsiaTheme="minorEastAsia"/>
        </w:rPr>
        <w:t>第21条 报告</w:t>
      </w:r>
      <w:bookmarkEnd w:id="566"/>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21.1乙方应按照本协议的约定，按甲方的要求如实向其履行如下报告义务，包括但不限于以下内容：</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21.1.1日常运营报表，分为月报、季报、半年报和年报；</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21.1.2临时报告；</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21.1.3甲方合理要求的其他运营资料。</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以上报告具体内容、表式及上报时间由甲方根据监管的需要予以确定，由甲方驻厂代表负责签收，驻厂代表根据甲方的要求负责对乙方的履约监管。</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21.2日常运营报表的内容应包括：</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21.2.1运营成本；</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21.2.2运营维护手册中日常运行维护的内容。包括但不限于：供水厂及管网进水量、出水量、进出水质、设备运转率、设备完好率、设备检修情况、限停产记录、事故抢修等数据。</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21.3 乙方应于次月的前</w:t>
      </w:r>
      <w:r>
        <w:rPr>
          <w:rFonts w:hint="eastAsia" w:asciiTheme="minorEastAsia" w:hAnsiTheme="minorEastAsia" w:eastAsiaTheme="minorEastAsia"/>
          <w:kern w:val="0"/>
          <w:sz w:val="24"/>
          <w:u w:val="single"/>
        </w:rPr>
        <w:t xml:space="preserve"> 10 </w:t>
      </w:r>
      <w:r>
        <w:rPr>
          <w:rFonts w:hint="eastAsia" w:asciiTheme="minorEastAsia" w:hAnsiTheme="minorEastAsia" w:eastAsiaTheme="minorEastAsia"/>
          <w:kern w:val="0"/>
          <w:sz w:val="24"/>
        </w:rPr>
        <w:t>日内向甲方提交月报，季报应于每个季度结束后</w:t>
      </w:r>
      <w:r>
        <w:rPr>
          <w:rFonts w:hint="eastAsia" w:asciiTheme="minorEastAsia" w:hAnsiTheme="minorEastAsia" w:eastAsiaTheme="minorEastAsia"/>
          <w:kern w:val="0"/>
          <w:sz w:val="24"/>
          <w:u w:val="single"/>
        </w:rPr>
        <w:t xml:space="preserve">   10  </w:t>
      </w:r>
      <w:r>
        <w:rPr>
          <w:rFonts w:hint="eastAsia" w:asciiTheme="minorEastAsia" w:hAnsiTheme="minorEastAsia" w:eastAsiaTheme="minorEastAsia"/>
          <w:kern w:val="0"/>
          <w:sz w:val="24"/>
        </w:rPr>
        <w:t>日向甲方提交，半年报应于每个运营年的</w:t>
      </w:r>
      <w:r>
        <w:rPr>
          <w:rFonts w:hint="eastAsia" w:asciiTheme="minorEastAsia" w:hAnsiTheme="minorEastAsia" w:eastAsiaTheme="minorEastAsia"/>
          <w:kern w:val="0"/>
          <w:sz w:val="24"/>
          <w:u w:val="single"/>
        </w:rPr>
        <w:t xml:space="preserve"> 7 </w:t>
      </w:r>
      <w:r>
        <w:rPr>
          <w:rFonts w:hint="eastAsia" w:asciiTheme="minorEastAsia" w:hAnsiTheme="minorEastAsia" w:eastAsiaTheme="minorEastAsia"/>
          <w:kern w:val="0"/>
          <w:sz w:val="24"/>
        </w:rPr>
        <w:t>月</w:t>
      </w:r>
      <w:r>
        <w:rPr>
          <w:rFonts w:hint="eastAsia" w:asciiTheme="minorEastAsia" w:hAnsiTheme="minorEastAsia" w:eastAsiaTheme="minorEastAsia"/>
          <w:kern w:val="0"/>
          <w:sz w:val="24"/>
          <w:u w:val="single"/>
        </w:rPr>
        <w:t xml:space="preserve">  10 </w:t>
      </w:r>
      <w:r>
        <w:rPr>
          <w:rFonts w:hint="eastAsia" w:asciiTheme="minorEastAsia" w:hAnsiTheme="minorEastAsia" w:eastAsiaTheme="minorEastAsia"/>
          <w:kern w:val="0"/>
          <w:sz w:val="24"/>
        </w:rPr>
        <w:t>日之前和次年的</w:t>
      </w:r>
      <w:r>
        <w:rPr>
          <w:rFonts w:hint="eastAsia" w:asciiTheme="minorEastAsia" w:hAnsiTheme="minorEastAsia" w:eastAsiaTheme="minorEastAsia"/>
          <w:kern w:val="0"/>
          <w:sz w:val="24"/>
          <w:u w:val="single"/>
        </w:rPr>
        <w:t xml:space="preserve">  1  </w:t>
      </w:r>
      <w:r>
        <w:rPr>
          <w:rFonts w:hint="eastAsia" w:asciiTheme="minorEastAsia" w:hAnsiTheme="minorEastAsia" w:eastAsiaTheme="minorEastAsia"/>
          <w:kern w:val="0"/>
          <w:sz w:val="24"/>
        </w:rPr>
        <w:t>月</w:t>
      </w:r>
      <w:r>
        <w:rPr>
          <w:rFonts w:hint="eastAsia" w:asciiTheme="minorEastAsia" w:hAnsiTheme="minorEastAsia" w:eastAsiaTheme="minorEastAsia"/>
          <w:kern w:val="0"/>
          <w:sz w:val="24"/>
          <w:u w:val="single"/>
        </w:rPr>
        <w:t xml:space="preserve">   10 </w:t>
      </w:r>
      <w:r>
        <w:rPr>
          <w:rFonts w:hint="eastAsia" w:asciiTheme="minorEastAsia" w:hAnsiTheme="minorEastAsia" w:eastAsiaTheme="minorEastAsia"/>
          <w:kern w:val="0"/>
          <w:sz w:val="24"/>
        </w:rPr>
        <w:t>日之前提交给甲方，年报应于次年的</w:t>
      </w:r>
      <w:r>
        <w:rPr>
          <w:rFonts w:hint="eastAsia" w:asciiTheme="minorEastAsia" w:hAnsiTheme="minorEastAsia" w:eastAsiaTheme="minorEastAsia"/>
          <w:kern w:val="0"/>
          <w:sz w:val="24"/>
          <w:u w:val="single"/>
        </w:rPr>
        <w:t xml:space="preserve">   2 </w:t>
      </w:r>
      <w:r>
        <w:rPr>
          <w:rFonts w:hint="eastAsia" w:asciiTheme="minorEastAsia" w:hAnsiTheme="minorEastAsia" w:eastAsiaTheme="minorEastAsia"/>
          <w:kern w:val="0"/>
          <w:sz w:val="24"/>
        </w:rPr>
        <w:t>月</w:t>
      </w:r>
      <w:r>
        <w:rPr>
          <w:rFonts w:hint="eastAsia" w:asciiTheme="minorEastAsia" w:hAnsiTheme="minorEastAsia" w:eastAsiaTheme="minorEastAsia"/>
          <w:kern w:val="0"/>
          <w:sz w:val="24"/>
          <w:u w:val="single"/>
        </w:rPr>
        <w:t xml:space="preserve">   28</w:t>
      </w:r>
      <w:r>
        <w:rPr>
          <w:rFonts w:hint="eastAsia" w:asciiTheme="minorEastAsia" w:hAnsiTheme="minorEastAsia" w:eastAsiaTheme="minorEastAsia"/>
          <w:kern w:val="0"/>
          <w:sz w:val="24"/>
        </w:rPr>
        <w:t>日之前提交给甲方（最后一个运营年的半年报和年报是否需提交以及提交的时点由甲方视情形而定）。</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21.4 发生特殊或紧急情况（包括但不限于发生不可抗力、发生事故、水质超标、未能或将不能按批准的计划方案进行暂停）时，乙方应提交临时报告。</w:t>
      </w:r>
    </w:p>
    <w:p>
      <w:pPr>
        <w:pStyle w:val="3"/>
        <w:spacing w:line="360" w:lineRule="auto"/>
        <w:rPr>
          <w:rFonts w:asciiTheme="minorEastAsia" w:hAnsiTheme="minorEastAsia"/>
          <w:b w:val="0"/>
        </w:rPr>
      </w:pPr>
      <w:bookmarkStart w:id="567" w:name="_Toc50993499"/>
      <w:bookmarkStart w:id="568" w:name="_Toc14609"/>
      <w:r>
        <w:rPr>
          <w:rFonts w:hint="eastAsia" w:asciiTheme="minorEastAsia" w:hAnsiTheme="minorEastAsia"/>
          <w:b w:val="0"/>
        </w:rPr>
        <w:t>第六节 暂停</w:t>
      </w:r>
      <w:bookmarkEnd w:id="567"/>
      <w:bookmarkEnd w:id="568"/>
    </w:p>
    <w:p>
      <w:pPr>
        <w:pStyle w:val="4"/>
        <w:rPr>
          <w:rFonts w:asciiTheme="minorEastAsia" w:hAnsiTheme="minorEastAsia" w:eastAsiaTheme="minorEastAsia"/>
        </w:rPr>
      </w:pPr>
      <w:bookmarkStart w:id="569" w:name="_Toc5721"/>
      <w:r>
        <w:rPr>
          <w:rFonts w:asciiTheme="minorEastAsia" w:hAnsiTheme="minorEastAsia" w:eastAsiaTheme="minorEastAsia"/>
        </w:rPr>
        <w:t>第22条 计划内暂停</w:t>
      </w:r>
      <w:bookmarkEnd w:id="569"/>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22.1乙方应于每一运营年开始前一个月向甲方提交该运营年度的计划内暂停时间表。每一运营年计划内暂停服务不得超过</w:t>
      </w:r>
      <w:r>
        <w:rPr>
          <w:rFonts w:hint="eastAsia" w:asciiTheme="minorEastAsia" w:hAnsiTheme="minorEastAsia" w:eastAsiaTheme="minorEastAsia"/>
          <w:kern w:val="0"/>
          <w:sz w:val="24"/>
          <w:u w:val="single"/>
        </w:rPr>
        <w:t xml:space="preserve">  15  </w:t>
      </w:r>
      <w:r>
        <w:rPr>
          <w:rFonts w:hint="eastAsia" w:asciiTheme="minorEastAsia" w:hAnsiTheme="minorEastAsia" w:eastAsiaTheme="minorEastAsia"/>
          <w:kern w:val="0"/>
          <w:sz w:val="24"/>
        </w:rPr>
        <w:t>日（大修年除外）。甲方应在该运营年开始前</w:t>
      </w:r>
      <w:r>
        <w:rPr>
          <w:rFonts w:hint="eastAsia" w:asciiTheme="minorEastAsia" w:hAnsiTheme="minorEastAsia" w:eastAsiaTheme="minorEastAsia"/>
          <w:kern w:val="0"/>
          <w:sz w:val="24"/>
          <w:u w:val="single"/>
        </w:rPr>
        <w:t xml:space="preserve">  10  </w:t>
      </w:r>
      <w:r>
        <w:rPr>
          <w:rFonts w:hint="eastAsia" w:asciiTheme="minorEastAsia" w:hAnsiTheme="minorEastAsia" w:eastAsiaTheme="minorEastAsia"/>
          <w:kern w:val="0"/>
          <w:sz w:val="24"/>
        </w:rPr>
        <w:t>日就该时间表作出批准与否的决定，乙方应根据甲方对该时间表的意见作相应修改，直至取得甲方的批准。</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22.2乙方根据经甲方批准之时间表实施计划内暂停时，应至少提前</w:t>
      </w:r>
      <w:r>
        <w:rPr>
          <w:rFonts w:hint="eastAsia" w:asciiTheme="minorEastAsia" w:hAnsiTheme="minorEastAsia" w:eastAsiaTheme="minorEastAsia"/>
          <w:kern w:val="0"/>
          <w:sz w:val="24"/>
          <w:u w:val="single"/>
        </w:rPr>
        <w:t xml:space="preserve">  3 </w:t>
      </w:r>
      <w:r>
        <w:rPr>
          <w:rFonts w:hint="eastAsia" w:asciiTheme="minorEastAsia" w:hAnsiTheme="minorEastAsia" w:eastAsiaTheme="minorEastAsia"/>
          <w:kern w:val="0"/>
          <w:sz w:val="24"/>
        </w:rPr>
        <w:t>日书面通知甲方，该通知应包括如下内容：</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22.2.1计划内暂停服务的范围和理由；</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22.2.2计划内暂停服务的起止时间；</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22.2.3计划内暂停服务期间预计能够供应的水量；</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22.2.4恢复供应的预计时间。</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22.3乙方应尽最大努力确保计划内暂停的影响减到最小，项目设施在计划内暂停服务期间应至少保持日均供水量达到基本水量的</w:t>
      </w:r>
      <w:r>
        <w:rPr>
          <w:rFonts w:hint="eastAsia" w:asciiTheme="minorEastAsia" w:hAnsiTheme="minorEastAsia" w:eastAsiaTheme="minorEastAsia"/>
          <w:kern w:val="0"/>
          <w:sz w:val="24"/>
          <w:u w:val="single"/>
        </w:rPr>
        <w:t xml:space="preserve">  \  </w:t>
      </w:r>
      <w:r>
        <w:rPr>
          <w:rFonts w:hint="eastAsia" w:asciiTheme="minorEastAsia" w:hAnsiTheme="minorEastAsia" w:eastAsiaTheme="minorEastAsia"/>
          <w:kern w:val="0"/>
          <w:sz w:val="24"/>
        </w:rPr>
        <w:t>%的运营能力。</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22.4若乙方因项目设施维护之目的，需要修改经甲方批准的计划内暂停服务时间表，则应提前</w:t>
      </w:r>
      <w:r>
        <w:rPr>
          <w:rFonts w:hint="eastAsia" w:asciiTheme="minorEastAsia" w:hAnsiTheme="minorEastAsia" w:eastAsiaTheme="minorEastAsia"/>
          <w:kern w:val="0"/>
          <w:sz w:val="24"/>
          <w:u w:val="single"/>
        </w:rPr>
        <w:t xml:space="preserve"> 3  </w:t>
      </w:r>
      <w:r>
        <w:rPr>
          <w:rFonts w:hint="eastAsia" w:asciiTheme="minorEastAsia" w:hAnsiTheme="minorEastAsia" w:eastAsiaTheme="minorEastAsia"/>
          <w:kern w:val="0"/>
          <w:sz w:val="24"/>
        </w:rPr>
        <w:t>日向甲方提交暂停服务的书面申请，该申请应明确预定的暂停服务起止时间，并附维护期间维持部分运营的措施方案。若该等暂停服务不影响公共利益，则甲方应予以批准。</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如乙方计划内暂停的天数超出本协议第22.1款约定的上限的，则乙方应在预估暂停期间之前</w:t>
      </w:r>
      <w:r>
        <w:rPr>
          <w:rFonts w:hint="eastAsia" w:asciiTheme="minorEastAsia" w:hAnsiTheme="minorEastAsia" w:eastAsiaTheme="minorEastAsia"/>
          <w:kern w:val="0"/>
          <w:sz w:val="24"/>
          <w:u w:val="single"/>
        </w:rPr>
        <w:t xml:space="preserve">  3  </w:t>
      </w:r>
      <w:r>
        <w:rPr>
          <w:rFonts w:hint="eastAsia" w:asciiTheme="minorEastAsia" w:hAnsiTheme="minorEastAsia" w:eastAsiaTheme="minorEastAsia"/>
          <w:kern w:val="0"/>
          <w:sz w:val="24"/>
        </w:rPr>
        <w:t>日向甲方提交延长暂停期间的书面申请，该申请参照第22.2款的有关内容明确拟延长的暂停期间的有关事宜，该等延长暂停期间的申请方案在报经甲方批准后实施。如乙方计划内暂停天数超出第22.1款约定的上限，且未按照本款约定提前报经甲方批准的，则视作擅自停运，甲方有权按照本协议第49.7款的约定计收违约金。</w:t>
      </w:r>
    </w:p>
    <w:p>
      <w:pPr>
        <w:pStyle w:val="4"/>
        <w:rPr>
          <w:rFonts w:asciiTheme="minorEastAsia" w:hAnsiTheme="minorEastAsia" w:eastAsiaTheme="minorEastAsia"/>
        </w:rPr>
      </w:pPr>
      <w:bookmarkStart w:id="570" w:name="_Toc32229"/>
      <w:r>
        <w:rPr>
          <w:rFonts w:asciiTheme="minorEastAsia" w:hAnsiTheme="minorEastAsia" w:eastAsiaTheme="minorEastAsia"/>
        </w:rPr>
        <w:t>第23条 计划外暂停</w:t>
      </w:r>
      <w:bookmarkEnd w:id="570"/>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23.1甲方因重大公共利益和公共安全等原因要求乙方全部或部分暂停供水服务时，乙方应在接到甲方通知后立即全部或部分暂停。</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23.2由于不可抗力事件、进水水质超标以及未经通知之供电中断导致暂停服务时，乙方应在供水全部或部分暂停后立即书面通知甲方，该通知中应说明导致暂停的原因、暂停可能持续的时间以及乙方即将要采取的针对性补救措施，并尽快处理突发事件，使项目设施尽快恢复正常运行。甲方应在收到该等通知后及时予以回复。</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23.3由于乙方的原因，未经甲方同意，导致供水厂全部或部分暂停服务时，乙方应在</w:t>
      </w:r>
      <w:r>
        <w:rPr>
          <w:rFonts w:hint="eastAsia" w:asciiTheme="minorEastAsia" w:hAnsiTheme="minorEastAsia" w:eastAsiaTheme="minorEastAsia"/>
          <w:kern w:val="0"/>
          <w:sz w:val="24"/>
          <w:u w:val="single"/>
        </w:rPr>
        <w:t xml:space="preserve"> 24 </w:t>
      </w:r>
      <w:r>
        <w:rPr>
          <w:rFonts w:hint="eastAsia" w:asciiTheme="minorEastAsia" w:hAnsiTheme="minorEastAsia" w:eastAsiaTheme="minorEastAsia"/>
          <w:kern w:val="0"/>
          <w:sz w:val="24"/>
        </w:rPr>
        <w:t>小时内立即书面通知甲方（如该等全部或部分暂停发生在非工作时段，则乙方应在暂停发生后两小时内先行向甲方进行口头汇报，并应在此之后的第一个工作日第一时间内书面通知甲方），解释该等暂停服务的原因及提出恢复服务的建议。</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乙方应尽最大努力确保暂停发生后</w:t>
      </w:r>
      <w:r>
        <w:rPr>
          <w:rFonts w:hint="eastAsia" w:asciiTheme="minorEastAsia" w:hAnsiTheme="minorEastAsia" w:eastAsiaTheme="minorEastAsia"/>
          <w:kern w:val="0"/>
          <w:sz w:val="24"/>
          <w:u w:val="single"/>
        </w:rPr>
        <w:t xml:space="preserve"> 48 </w:t>
      </w:r>
      <w:r>
        <w:rPr>
          <w:rFonts w:hint="eastAsia" w:asciiTheme="minorEastAsia" w:hAnsiTheme="minorEastAsia" w:eastAsiaTheme="minorEastAsia"/>
          <w:kern w:val="0"/>
          <w:sz w:val="24"/>
        </w:rPr>
        <w:t>小时内恢复服务，若该等暂停超过上述时限，则乙方应书面通知甲方，并应尽最大努力使得该等影响减到最小。若某个运营日发生全部暂停且当日累计暂停超出</w:t>
      </w:r>
      <w:r>
        <w:rPr>
          <w:rFonts w:hint="eastAsia" w:asciiTheme="minorEastAsia" w:hAnsiTheme="minorEastAsia" w:eastAsiaTheme="minorEastAsia"/>
          <w:kern w:val="0"/>
          <w:sz w:val="24"/>
          <w:u w:val="single"/>
        </w:rPr>
        <w:t xml:space="preserve">  \  </w:t>
      </w:r>
      <w:r>
        <w:rPr>
          <w:rFonts w:hint="eastAsia" w:asciiTheme="minorEastAsia" w:hAnsiTheme="minorEastAsia" w:eastAsiaTheme="minorEastAsia"/>
          <w:kern w:val="0"/>
          <w:sz w:val="24"/>
        </w:rPr>
        <w:t>小时（含）的导致供水厂部分暂停服务时，甲方有权按照本协议第49.7款的约定计收违约金。</w:t>
      </w:r>
    </w:p>
    <w:p>
      <w:pPr>
        <w:pStyle w:val="4"/>
        <w:rPr>
          <w:rFonts w:asciiTheme="minorEastAsia" w:hAnsiTheme="minorEastAsia" w:eastAsiaTheme="minorEastAsia"/>
        </w:rPr>
      </w:pPr>
      <w:bookmarkStart w:id="571" w:name="_Toc22791"/>
      <w:r>
        <w:rPr>
          <w:rFonts w:asciiTheme="minorEastAsia" w:hAnsiTheme="minorEastAsia" w:eastAsiaTheme="minorEastAsia"/>
        </w:rPr>
        <w:t>第24条 暂停服务的恢复</w:t>
      </w:r>
      <w:bookmarkEnd w:id="571"/>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24.1除全部暂停外，乙方部分暂停期间仍负有供水水质符合出水水质标准的义务。</w:t>
      </w:r>
    </w:p>
    <w:p>
      <w:pPr>
        <w:spacing w:before="80" w:after="8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24.2本协议第22条约定的计划内暂停和本协议第23.1款和第23.2款约定的计划外暂停情形下，在甲方同意的合理期限内，甲方对乙方供水水质超标予以免责。</w:t>
      </w:r>
    </w:p>
    <w:p>
      <w:pPr>
        <w:pStyle w:val="2"/>
        <w:ind w:left="494" w:right="210"/>
        <w:rPr>
          <w:rFonts w:asciiTheme="minorEastAsia" w:hAnsiTheme="minorEastAsia"/>
        </w:rPr>
      </w:pPr>
      <w:bookmarkStart w:id="572" w:name="_Toc50993500"/>
      <w:bookmarkStart w:id="573" w:name="_Toc8831"/>
      <w:r>
        <w:rPr>
          <w:rFonts w:hint="eastAsia" w:asciiTheme="minorEastAsia" w:hAnsiTheme="minorEastAsia"/>
        </w:rPr>
        <w:t>第四章  污水运营维护管理</w:t>
      </w:r>
      <w:bookmarkEnd w:id="572"/>
      <w:bookmarkEnd w:id="573"/>
    </w:p>
    <w:p>
      <w:pPr>
        <w:pStyle w:val="3"/>
        <w:spacing w:line="360" w:lineRule="auto"/>
        <w:rPr>
          <w:rFonts w:asciiTheme="minorEastAsia" w:hAnsiTheme="minorEastAsia"/>
          <w:b w:val="0"/>
        </w:rPr>
      </w:pPr>
      <w:bookmarkStart w:id="574" w:name="_Toc50993501"/>
      <w:bookmarkStart w:id="575" w:name="_Toc17646"/>
      <w:r>
        <w:rPr>
          <w:rFonts w:hint="eastAsia" w:asciiTheme="minorEastAsia" w:hAnsiTheme="minorEastAsia"/>
          <w:b w:val="0"/>
        </w:rPr>
        <w:t>第一节 污水水质、管网、污泥、噪声及臭气标准</w:t>
      </w:r>
      <w:bookmarkEnd w:id="574"/>
      <w:bookmarkEnd w:id="575"/>
    </w:p>
    <w:p>
      <w:pPr>
        <w:pStyle w:val="4"/>
        <w:rPr>
          <w:rFonts w:asciiTheme="minorEastAsia" w:hAnsiTheme="minorEastAsia" w:eastAsiaTheme="minorEastAsia"/>
        </w:rPr>
      </w:pPr>
      <w:bookmarkStart w:id="576" w:name="_Toc29384"/>
      <w:r>
        <w:rPr>
          <w:rFonts w:asciiTheme="minorEastAsia" w:hAnsiTheme="minorEastAsia" w:eastAsiaTheme="minorEastAsia"/>
        </w:rPr>
        <w:t>第25条 进水及出水水质标准</w:t>
      </w:r>
      <w:bookmarkEnd w:id="576"/>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25.1 本项目污水进水水质标准</w:t>
      </w:r>
    </w:p>
    <w:p>
      <w:pPr>
        <w:widowControl/>
        <w:spacing w:before="80" w:after="80" w:line="360" w:lineRule="auto"/>
        <w:ind w:firstLine="480" w:firstLineChars="200"/>
        <w:rPr>
          <w:rFonts w:asciiTheme="minorEastAsia" w:hAnsiTheme="minorEastAsia" w:eastAsiaTheme="minorEastAsia"/>
          <w:sz w:val="24"/>
        </w:rPr>
      </w:pPr>
      <w:r>
        <w:rPr>
          <w:rFonts w:asciiTheme="minorEastAsia" w:hAnsiTheme="minorEastAsia" w:eastAsiaTheme="minorEastAsia"/>
          <w:kern w:val="0"/>
          <w:sz w:val="24"/>
          <w:lang w:val="en-GB"/>
        </w:rPr>
        <w:t>贵港市产业园区（粤桂园）污水处理</w:t>
      </w:r>
      <w:r>
        <w:rPr>
          <w:rFonts w:asciiTheme="minorEastAsia" w:hAnsiTheme="minorEastAsia" w:eastAsiaTheme="minorEastAsia"/>
          <w:kern w:val="0"/>
          <w:sz w:val="24"/>
        </w:rPr>
        <w:t>进</w:t>
      </w:r>
      <w:r>
        <w:rPr>
          <w:rFonts w:asciiTheme="minorEastAsia" w:hAnsiTheme="minorEastAsia" w:eastAsiaTheme="minorEastAsia"/>
          <w:kern w:val="0"/>
          <w:sz w:val="24"/>
          <w:lang w:val="en-GB"/>
        </w:rPr>
        <w:t>水水质：</w:t>
      </w:r>
    </w:p>
    <w:p>
      <w:pPr>
        <w:spacing w:before="80" w:after="80" w:line="360" w:lineRule="auto"/>
        <w:jc w:val="center"/>
        <w:rPr>
          <w:rFonts w:asciiTheme="minorEastAsia" w:hAnsiTheme="minorEastAsia" w:eastAsiaTheme="minorEastAsia"/>
          <w:b/>
          <w:bCs/>
        </w:rPr>
      </w:pPr>
      <w:r>
        <w:rPr>
          <w:rFonts w:asciiTheme="minorEastAsia" w:hAnsiTheme="minorEastAsia" w:eastAsiaTheme="minorEastAsia"/>
          <w:sz w:val="24"/>
        </w:rPr>
        <w:t>表</w:t>
      </w:r>
      <w:r>
        <w:rPr>
          <w:rFonts w:hint="eastAsia" w:asciiTheme="minorEastAsia" w:hAnsiTheme="minorEastAsia" w:eastAsiaTheme="minorEastAsia"/>
          <w:sz w:val="24"/>
        </w:rPr>
        <w:t>25.</w:t>
      </w:r>
      <w:r>
        <w:rPr>
          <w:rFonts w:asciiTheme="minorEastAsia" w:hAnsiTheme="minorEastAsia" w:eastAsiaTheme="minorEastAsia"/>
          <w:sz w:val="24"/>
        </w:rPr>
        <w:t>1-1 本工程设计进水水质表（单位：mg/L，pH值除外）</w:t>
      </w:r>
    </w:p>
    <w:tbl>
      <w:tblPr>
        <w:tblStyle w:val="5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5"/>
        <w:gridCol w:w="1060"/>
        <w:gridCol w:w="936"/>
        <w:gridCol w:w="680"/>
        <w:gridCol w:w="633"/>
        <w:gridCol w:w="1224"/>
        <w:gridCol w:w="589"/>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45"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项 目</w:t>
            </w:r>
          </w:p>
        </w:tc>
        <w:tc>
          <w:tcPr>
            <w:tcW w:w="571"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CODcr</w:t>
            </w:r>
          </w:p>
        </w:tc>
        <w:tc>
          <w:tcPr>
            <w:tcW w:w="504"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BOD</w:t>
            </w:r>
            <w:r>
              <w:rPr>
                <w:rFonts w:asciiTheme="minorEastAsia" w:hAnsiTheme="minorEastAsia" w:eastAsiaTheme="minorEastAsia"/>
                <w:sz w:val="22"/>
                <w:vertAlign w:val="subscript"/>
              </w:rPr>
              <w:t>5</w:t>
            </w:r>
          </w:p>
        </w:tc>
        <w:tc>
          <w:tcPr>
            <w:tcW w:w="366"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SS</w:t>
            </w:r>
          </w:p>
        </w:tc>
        <w:tc>
          <w:tcPr>
            <w:tcW w:w="341"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TN</w:t>
            </w:r>
          </w:p>
        </w:tc>
        <w:tc>
          <w:tcPr>
            <w:tcW w:w="659"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NH</w:t>
            </w:r>
            <w:r>
              <w:rPr>
                <w:rFonts w:asciiTheme="minorEastAsia" w:hAnsiTheme="minorEastAsia" w:eastAsiaTheme="minorEastAsia"/>
                <w:sz w:val="22"/>
                <w:vertAlign w:val="subscript"/>
              </w:rPr>
              <w:t>3</w:t>
            </w:r>
            <w:r>
              <w:rPr>
                <w:rFonts w:asciiTheme="minorEastAsia" w:hAnsiTheme="minorEastAsia" w:eastAsiaTheme="minorEastAsia"/>
                <w:sz w:val="22"/>
              </w:rPr>
              <w:t>-N</w:t>
            </w:r>
          </w:p>
        </w:tc>
        <w:tc>
          <w:tcPr>
            <w:tcW w:w="317"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TP</w:t>
            </w:r>
          </w:p>
        </w:tc>
        <w:tc>
          <w:tcPr>
            <w:tcW w:w="594"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pH值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45"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设计进水水质（</w:t>
            </w:r>
            <w:r>
              <w:rPr>
                <w:rFonts w:asciiTheme="minorEastAsia" w:hAnsiTheme="minorEastAsia" w:eastAsiaTheme="minorEastAsia"/>
                <w:sz w:val="22"/>
                <w:lang w:val="de-DE"/>
              </w:rPr>
              <w:t>mg/L</w:t>
            </w:r>
            <w:r>
              <w:rPr>
                <w:rFonts w:asciiTheme="minorEastAsia" w:hAnsiTheme="minorEastAsia" w:eastAsiaTheme="minorEastAsia"/>
                <w:sz w:val="22"/>
              </w:rPr>
              <w:t>）</w:t>
            </w:r>
          </w:p>
        </w:tc>
        <w:tc>
          <w:tcPr>
            <w:tcW w:w="571"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500</w:t>
            </w:r>
          </w:p>
        </w:tc>
        <w:tc>
          <w:tcPr>
            <w:tcW w:w="504"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230</w:t>
            </w:r>
          </w:p>
        </w:tc>
        <w:tc>
          <w:tcPr>
            <w:tcW w:w="366"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400</w:t>
            </w:r>
          </w:p>
        </w:tc>
        <w:tc>
          <w:tcPr>
            <w:tcW w:w="341"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70</w:t>
            </w:r>
          </w:p>
        </w:tc>
        <w:tc>
          <w:tcPr>
            <w:tcW w:w="659"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45</w:t>
            </w:r>
          </w:p>
        </w:tc>
        <w:tc>
          <w:tcPr>
            <w:tcW w:w="317"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8</w:t>
            </w:r>
          </w:p>
        </w:tc>
        <w:tc>
          <w:tcPr>
            <w:tcW w:w="594" w:type="pct"/>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sz w:val="22"/>
              </w:rPr>
              <w:t>6.5~9.5</w:t>
            </w:r>
          </w:p>
        </w:tc>
      </w:tr>
    </w:tbl>
    <w:p>
      <w:pPr>
        <w:spacing w:before="120" w:beforeLines="50" w:after="120" w:afterLines="50" w:line="360" w:lineRule="auto"/>
        <w:ind w:firstLine="424" w:firstLineChars="177"/>
        <w:outlineLvl w:val="3"/>
        <w:rPr>
          <w:rFonts w:asciiTheme="minorEastAsia" w:hAnsiTheme="minorEastAsia" w:eastAsiaTheme="minorEastAsia"/>
          <w:kern w:val="0"/>
          <w:sz w:val="24"/>
          <w:lang w:val="en-GB"/>
        </w:rPr>
      </w:pPr>
      <w:r>
        <w:rPr>
          <w:rFonts w:hint="eastAsia" w:asciiTheme="minorEastAsia" w:hAnsiTheme="minorEastAsia" w:eastAsiaTheme="minorEastAsia"/>
          <w:kern w:val="0"/>
          <w:sz w:val="24"/>
        </w:rPr>
        <w:t>25.2 污水出水水质标准</w:t>
      </w:r>
    </w:p>
    <w:p>
      <w:pPr>
        <w:spacing w:before="80" w:after="80" w:line="360" w:lineRule="auto"/>
        <w:ind w:firstLine="561"/>
        <w:rPr>
          <w:rFonts w:asciiTheme="minorEastAsia" w:hAnsiTheme="minorEastAsia" w:eastAsiaTheme="minorEastAsia"/>
          <w:kern w:val="0"/>
          <w:sz w:val="24"/>
        </w:rPr>
      </w:pPr>
      <w:r>
        <w:rPr>
          <w:rFonts w:asciiTheme="minorEastAsia" w:hAnsiTheme="minorEastAsia" w:eastAsiaTheme="minorEastAsia"/>
          <w:kern w:val="0"/>
          <w:sz w:val="24"/>
          <w:lang w:val="en-GB"/>
        </w:rPr>
        <w:t>贵港市产业园区（粤桂园）</w:t>
      </w:r>
      <w:r>
        <w:rPr>
          <w:rFonts w:asciiTheme="minorEastAsia" w:hAnsiTheme="minorEastAsia" w:eastAsiaTheme="minorEastAsia"/>
          <w:kern w:val="0"/>
          <w:sz w:val="24"/>
        </w:rPr>
        <w:t>污水处理厂出水水质：</w:t>
      </w:r>
      <w:r>
        <w:rPr>
          <w:rFonts w:asciiTheme="minorEastAsia" w:hAnsiTheme="minorEastAsia" w:eastAsiaTheme="minorEastAsia"/>
          <w:kern w:val="0"/>
          <w:sz w:val="24"/>
          <w:u w:val="single"/>
        </w:rPr>
        <w:t>符合《城镇污水处理厂污染物排放标准》（GB18918-2002）中一级A排放标准。</w:t>
      </w:r>
      <w:r>
        <w:rPr>
          <w:rFonts w:asciiTheme="minorEastAsia" w:hAnsiTheme="minorEastAsia" w:eastAsiaTheme="minorEastAsia"/>
          <w:kern w:val="0"/>
          <w:sz w:val="24"/>
        </w:rPr>
        <w:t>其主要控制指标应满足下列要求：</w:t>
      </w:r>
    </w:p>
    <w:p>
      <w:pPr>
        <w:spacing w:line="480" w:lineRule="auto"/>
        <w:jc w:val="center"/>
        <w:rPr>
          <w:rFonts w:asciiTheme="minorEastAsia" w:hAnsiTheme="minorEastAsia" w:eastAsiaTheme="minorEastAsia"/>
          <w:kern w:val="0"/>
          <w:sz w:val="24"/>
        </w:rPr>
      </w:pPr>
      <w:r>
        <w:rPr>
          <w:rFonts w:asciiTheme="minorEastAsia" w:hAnsiTheme="minorEastAsia" w:eastAsiaTheme="minorEastAsia"/>
          <w:bCs/>
          <w:sz w:val="24"/>
          <w:lang w:val="en-GB"/>
        </w:rPr>
        <w:t>表</w:t>
      </w:r>
      <w:r>
        <w:rPr>
          <w:rFonts w:hint="eastAsia" w:asciiTheme="minorEastAsia" w:hAnsiTheme="minorEastAsia" w:eastAsiaTheme="minorEastAsia"/>
          <w:bCs/>
          <w:sz w:val="24"/>
        </w:rPr>
        <w:t>25.2</w:t>
      </w:r>
      <w:r>
        <w:rPr>
          <w:rFonts w:asciiTheme="minorEastAsia" w:hAnsiTheme="minorEastAsia" w:eastAsiaTheme="minorEastAsia"/>
          <w:bCs/>
          <w:sz w:val="24"/>
          <w:lang w:val="en-GB"/>
        </w:rPr>
        <w:t>-</w:t>
      </w:r>
      <w:r>
        <w:rPr>
          <w:rFonts w:hint="eastAsia" w:asciiTheme="minorEastAsia" w:hAnsiTheme="minorEastAsia" w:eastAsiaTheme="minorEastAsia"/>
          <w:bCs/>
          <w:sz w:val="24"/>
        </w:rPr>
        <w:t>1</w:t>
      </w:r>
      <w:r>
        <w:rPr>
          <w:rFonts w:asciiTheme="minorEastAsia" w:hAnsiTheme="minorEastAsia" w:eastAsiaTheme="minorEastAsia"/>
          <w:bCs/>
          <w:sz w:val="24"/>
        </w:rPr>
        <w:t xml:space="preserve"> 污水</w:t>
      </w:r>
      <w:r>
        <w:rPr>
          <w:rFonts w:asciiTheme="minorEastAsia" w:hAnsiTheme="minorEastAsia" w:eastAsiaTheme="minorEastAsia"/>
          <w:kern w:val="0"/>
          <w:sz w:val="24"/>
        </w:rPr>
        <w:t>出水水质主要控制指标表</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056"/>
        <w:gridCol w:w="1056"/>
        <w:gridCol w:w="1056"/>
        <w:gridCol w:w="1056"/>
        <w:gridCol w:w="1056"/>
        <w:gridCol w:w="105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Align w:val="center"/>
          </w:tcPr>
          <w:p>
            <w:pPr>
              <w:jc w:val="center"/>
              <w:rPr>
                <w:rFonts w:asciiTheme="minorEastAsia" w:hAnsiTheme="minorEastAsia" w:eastAsiaTheme="minorEastAsia"/>
                <w:kern w:val="0"/>
                <w:szCs w:val="21"/>
                <w:vertAlign w:val="subscript"/>
              </w:rPr>
            </w:pPr>
            <w:r>
              <w:rPr>
                <w:rFonts w:asciiTheme="minorEastAsia" w:hAnsiTheme="minorEastAsia" w:eastAsiaTheme="minorEastAsia"/>
                <w:kern w:val="0"/>
                <w:szCs w:val="21"/>
              </w:rPr>
              <w:t>COD</w:t>
            </w:r>
            <w:r>
              <w:rPr>
                <w:rFonts w:asciiTheme="minorEastAsia" w:hAnsiTheme="minorEastAsia" w:eastAsiaTheme="minorEastAsia"/>
                <w:kern w:val="0"/>
                <w:szCs w:val="21"/>
                <w:vertAlign w:val="subscript"/>
              </w:rPr>
              <w:t>Cr</w:t>
            </w:r>
          </w:p>
          <w:p>
            <w:pPr>
              <w:jc w:val="center"/>
              <w:rPr>
                <w:rFonts w:asciiTheme="minorEastAsia" w:hAnsiTheme="minorEastAsia" w:eastAsiaTheme="minorEastAsia"/>
                <w:kern w:val="0"/>
                <w:szCs w:val="21"/>
              </w:rPr>
            </w:pPr>
            <w:r>
              <w:rPr>
                <w:rFonts w:asciiTheme="minorEastAsia" w:hAnsiTheme="minorEastAsia" w:eastAsiaTheme="minorEastAsia"/>
                <w:kern w:val="0"/>
                <w:szCs w:val="21"/>
              </w:rPr>
              <w:t>（mg/L）</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BOD</w:t>
            </w:r>
            <w:r>
              <w:rPr>
                <w:rFonts w:asciiTheme="minorEastAsia" w:hAnsiTheme="minorEastAsia" w:eastAsiaTheme="minorEastAsia"/>
                <w:kern w:val="0"/>
                <w:szCs w:val="21"/>
                <w:vertAlign w:val="subscript"/>
              </w:rPr>
              <w:t>5</w:t>
            </w:r>
          </w:p>
          <w:p>
            <w:pPr>
              <w:jc w:val="center"/>
              <w:rPr>
                <w:rFonts w:asciiTheme="minorEastAsia" w:hAnsiTheme="minorEastAsia" w:eastAsiaTheme="minorEastAsia"/>
                <w:kern w:val="0"/>
                <w:szCs w:val="21"/>
              </w:rPr>
            </w:pPr>
            <w:r>
              <w:rPr>
                <w:rFonts w:asciiTheme="minorEastAsia" w:hAnsiTheme="minorEastAsia" w:eastAsiaTheme="minorEastAsia"/>
                <w:kern w:val="0"/>
                <w:szCs w:val="21"/>
              </w:rPr>
              <w:t>（mg/L）</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SS</w:t>
            </w:r>
          </w:p>
          <w:p>
            <w:pPr>
              <w:jc w:val="center"/>
              <w:rPr>
                <w:rFonts w:asciiTheme="minorEastAsia" w:hAnsiTheme="minorEastAsia" w:eastAsiaTheme="minorEastAsia"/>
                <w:kern w:val="0"/>
                <w:szCs w:val="21"/>
              </w:rPr>
            </w:pPr>
            <w:r>
              <w:rPr>
                <w:rFonts w:asciiTheme="minorEastAsia" w:hAnsiTheme="minorEastAsia" w:eastAsiaTheme="minorEastAsia"/>
                <w:kern w:val="0"/>
                <w:szCs w:val="21"/>
              </w:rPr>
              <w:t>（mg/L）</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NH</w:t>
            </w:r>
            <w:r>
              <w:rPr>
                <w:rFonts w:asciiTheme="minorEastAsia" w:hAnsiTheme="minorEastAsia" w:eastAsiaTheme="minorEastAsia"/>
                <w:kern w:val="0"/>
                <w:szCs w:val="21"/>
                <w:vertAlign w:val="subscript"/>
              </w:rPr>
              <w:t>3</w:t>
            </w:r>
            <w:r>
              <w:rPr>
                <w:rFonts w:asciiTheme="minorEastAsia" w:hAnsiTheme="minorEastAsia" w:eastAsiaTheme="minorEastAsia"/>
                <w:kern w:val="0"/>
                <w:szCs w:val="21"/>
              </w:rPr>
              <w:t>-N</w:t>
            </w:r>
            <w:r>
              <w:rPr>
                <w:rFonts w:asciiTheme="minorEastAsia" w:hAnsiTheme="minorEastAsia" w:eastAsiaTheme="minorEastAsia"/>
                <w:kern w:val="0"/>
                <w:szCs w:val="21"/>
                <w:shd w:val="clear" w:color="auto" w:fill="FFFFFF"/>
                <w:vertAlign w:val="superscript"/>
              </w:rPr>
              <w:t>①</w:t>
            </w:r>
          </w:p>
          <w:p>
            <w:pPr>
              <w:jc w:val="center"/>
              <w:rPr>
                <w:rFonts w:asciiTheme="minorEastAsia" w:hAnsiTheme="minorEastAsia" w:eastAsiaTheme="minorEastAsia"/>
                <w:kern w:val="0"/>
                <w:szCs w:val="21"/>
              </w:rPr>
            </w:pPr>
            <w:r>
              <w:rPr>
                <w:rFonts w:asciiTheme="minorEastAsia" w:hAnsiTheme="minorEastAsia" w:eastAsiaTheme="minorEastAsia"/>
                <w:kern w:val="0"/>
                <w:szCs w:val="21"/>
              </w:rPr>
              <w:t>（mg/L）</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TP</w:t>
            </w:r>
          </w:p>
          <w:p>
            <w:pPr>
              <w:jc w:val="center"/>
              <w:rPr>
                <w:rFonts w:asciiTheme="minorEastAsia" w:hAnsiTheme="minorEastAsia" w:eastAsiaTheme="minorEastAsia"/>
                <w:kern w:val="0"/>
                <w:szCs w:val="21"/>
              </w:rPr>
            </w:pPr>
            <w:r>
              <w:rPr>
                <w:rFonts w:asciiTheme="minorEastAsia" w:hAnsiTheme="minorEastAsia" w:eastAsiaTheme="minorEastAsia"/>
                <w:kern w:val="0"/>
                <w:szCs w:val="21"/>
              </w:rPr>
              <w:t>（mg/L）</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TN</w:t>
            </w:r>
          </w:p>
          <w:p>
            <w:pPr>
              <w:jc w:val="center"/>
              <w:rPr>
                <w:rFonts w:asciiTheme="minorEastAsia" w:hAnsiTheme="minorEastAsia" w:eastAsiaTheme="minorEastAsia"/>
                <w:kern w:val="0"/>
                <w:szCs w:val="21"/>
              </w:rPr>
            </w:pPr>
            <w:r>
              <w:rPr>
                <w:rFonts w:asciiTheme="minorEastAsia" w:hAnsiTheme="minorEastAsia" w:eastAsiaTheme="minorEastAsia"/>
                <w:kern w:val="0"/>
                <w:szCs w:val="21"/>
              </w:rPr>
              <w:t>（mg/L）</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PH</w:t>
            </w:r>
          </w:p>
          <w:p>
            <w:pPr>
              <w:jc w:val="center"/>
              <w:rPr>
                <w:rFonts w:asciiTheme="minorEastAsia" w:hAnsiTheme="minorEastAsia" w:eastAsiaTheme="minorEastAsia"/>
                <w:kern w:val="0"/>
                <w:szCs w:val="21"/>
              </w:rPr>
            </w:pPr>
            <w:r>
              <w:rPr>
                <w:rFonts w:asciiTheme="minorEastAsia" w:hAnsiTheme="minorEastAsia" w:eastAsiaTheme="minorEastAsia"/>
                <w:kern w:val="0"/>
                <w:szCs w:val="21"/>
              </w:rPr>
              <w:t>（mg/L）</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粪大肠菌群数</w:t>
            </w:r>
          </w:p>
          <w:p>
            <w:pPr>
              <w:jc w:val="center"/>
              <w:rPr>
                <w:rFonts w:asciiTheme="minorEastAsia" w:hAnsiTheme="minorEastAsia" w:eastAsiaTheme="minorEastAsia"/>
                <w:kern w:val="0"/>
                <w:szCs w:val="21"/>
              </w:rPr>
            </w:pPr>
            <w:r>
              <w:rPr>
                <w:rFonts w:asciiTheme="minorEastAsia" w:hAnsiTheme="minorEastAsia" w:eastAsiaTheme="minorEastAsia"/>
                <w:kern w:val="0"/>
                <w:szCs w:val="21"/>
              </w:rPr>
              <w:t>（个/L）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50</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10</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10</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5（8）</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0.5</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15</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6~9</w:t>
            </w:r>
          </w:p>
        </w:tc>
        <w:tc>
          <w:tcPr>
            <w:tcW w:w="0" w:type="auto"/>
            <w:vAlign w:val="center"/>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1000</w:t>
            </w:r>
          </w:p>
        </w:tc>
      </w:tr>
    </w:tbl>
    <w:p>
      <w:pPr>
        <w:spacing w:line="360" w:lineRule="auto"/>
        <w:rPr>
          <w:rFonts w:asciiTheme="minorEastAsia" w:hAnsiTheme="minorEastAsia" w:eastAsiaTheme="minorEastAsia"/>
          <w:kern w:val="0"/>
          <w:szCs w:val="21"/>
          <w:lang w:val="en-GB"/>
        </w:rPr>
      </w:pPr>
      <w:r>
        <w:rPr>
          <w:rFonts w:asciiTheme="minorEastAsia" w:hAnsiTheme="minorEastAsia" w:eastAsiaTheme="minorEastAsia"/>
          <w:kern w:val="0"/>
          <w:szCs w:val="21"/>
        </w:rPr>
        <w:t>注：①括号外数值为水温&gt;12℃时的控制指标，括号内数值为水温≤12℃时的控制指标。</w:t>
      </w:r>
    </w:p>
    <w:p>
      <w:pPr>
        <w:pStyle w:val="4"/>
        <w:rPr>
          <w:rFonts w:asciiTheme="minorEastAsia" w:hAnsiTheme="minorEastAsia" w:eastAsiaTheme="minorEastAsia"/>
        </w:rPr>
      </w:pPr>
      <w:bookmarkStart w:id="577" w:name="_Toc13497"/>
      <w:r>
        <w:rPr>
          <w:rFonts w:asciiTheme="minorEastAsia" w:hAnsiTheme="minorEastAsia" w:eastAsiaTheme="minorEastAsia"/>
        </w:rPr>
        <w:t>第26条 污水管网运营维护标准</w:t>
      </w:r>
      <w:bookmarkEnd w:id="577"/>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在项目合作期内，由乙方负责项目范围内污水管网设施的运营维护，污水管网的运营和维护应达到《城镇排水管渠与泵站运行、维护及安全技术规程》（CJJ68-2016）、《城镇排水管道非开挖修复工程更新工程技术规程》（CJJ/T210-2014）、《城镇排水管道维护安全技术规程》（CJJ6-2009）的要求。</w:t>
      </w:r>
    </w:p>
    <w:p>
      <w:pPr>
        <w:pStyle w:val="4"/>
        <w:rPr>
          <w:rFonts w:asciiTheme="minorEastAsia" w:hAnsiTheme="minorEastAsia" w:eastAsiaTheme="minorEastAsia"/>
        </w:rPr>
      </w:pPr>
      <w:bookmarkStart w:id="578" w:name="_Toc11165"/>
      <w:r>
        <w:rPr>
          <w:rFonts w:asciiTheme="minorEastAsia" w:hAnsiTheme="minorEastAsia" w:eastAsiaTheme="minorEastAsia"/>
        </w:rPr>
        <w:t>第27条 污泥出厂标准</w:t>
      </w:r>
      <w:bookmarkEnd w:id="578"/>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乙方负责本项目范围内的污泥处理，根据环评要求按普通固废进行处置，同时按甲方的要求将相应污泥运输、弃置至指定位置。乙方应确保本项目出厂污泥或污泥制品（如有）符合以下标准：</w:t>
      </w:r>
      <w:r>
        <w:rPr>
          <w:rFonts w:hint="eastAsia" w:asciiTheme="minorEastAsia" w:hAnsiTheme="minorEastAsia" w:eastAsiaTheme="minorEastAsia"/>
          <w:kern w:val="0"/>
          <w:sz w:val="24"/>
          <w:u w:val="single"/>
        </w:rPr>
        <w:t>以项目环评批复为准</w:t>
      </w:r>
      <w:r>
        <w:rPr>
          <w:rFonts w:hint="eastAsia" w:asciiTheme="minorEastAsia" w:hAnsiTheme="minorEastAsia" w:eastAsiaTheme="minorEastAsia"/>
          <w:kern w:val="0"/>
          <w:sz w:val="24"/>
        </w:rPr>
        <w:t>。如园区引入新的重污染企业，由甲方聘请第三方机构污泥进行重新检测鉴定，如检测鉴定污泥含有危废物质，则对污泥外运处理费进行相应调整。</w:t>
      </w:r>
    </w:p>
    <w:p>
      <w:pPr>
        <w:pStyle w:val="4"/>
        <w:rPr>
          <w:rFonts w:asciiTheme="minorEastAsia" w:hAnsiTheme="minorEastAsia" w:eastAsiaTheme="minorEastAsia"/>
        </w:rPr>
      </w:pPr>
      <w:bookmarkStart w:id="579" w:name="_Toc29503"/>
      <w:r>
        <w:rPr>
          <w:rFonts w:asciiTheme="minorEastAsia" w:hAnsiTheme="minorEastAsia" w:eastAsiaTheme="minorEastAsia"/>
        </w:rPr>
        <w:t>第28条 噪声、臭气标准</w:t>
      </w:r>
      <w:bookmarkEnd w:id="579"/>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本项目污水设施范围内噪声执行《工业企业厂界环境噪声排放标准》（GB12348-2008）；施工期间噪声执行《建筑施工场界环境噪声排放标准》（GB12523-2011），并应符合国家标准、行业标准、</w:t>
      </w:r>
      <w:r>
        <w:rPr>
          <w:rFonts w:hint="eastAsia" w:asciiTheme="minorEastAsia" w:hAnsiTheme="minorEastAsia" w:eastAsiaTheme="minorEastAsia"/>
          <w:kern w:val="0"/>
          <w:sz w:val="24"/>
          <w:u w:val="single"/>
        </w:rPr>
        <w:t xml:space="preserve">广西壮族自治区、贵港 </w:t>
      </w:r>
      <w:r>
        <w:rPr>
          <w:rFonts w:hint="eastAsia" w:asciiTheme="minorEastAsia" w:hAnsiTheme="minorEastAsia" w:eastAsiaTheme="minorEastAsia"/>
          <w:kern w:val="0"/>
          <w:sz w:val="24"/>
        </w:rPr>
        <w:t>市地方标准。</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本项目污水厂臭气排放执行《城镇污水处理厂污染物排放标准》（GB18918-2002），并应符合国家标准、行业标准、</w:t>
      </w:r>
      <w:r>
        <w:rPr>
          <w:rFonts w:hint="eastAsia" w:asciiTheme="minorEastAsia" w:hAnsiTheme="minorEastAsia" w:eastAsiaTheme="minorEastAsia"/>
          <w:kern w:val="0"/>
          <w:sz w:val="24"/>
          <w:u w:val="single"/>
        </w:rPr>
        <w:t xml:space="preserve">广西壮族自治区、贵港 </w:t>
      </w:r>
      <w:r>
        <w:rPr>
          <w:rFonts w:hint="eastAsia" w:asciiTheme="minorEastAsia" w:hAnsiTheme="minorEastAsia" w:eastAsiaTheme="minorEastAsia"/>
          <w:kern w:val="0"/>
          <w:sz w:val="24"/>
        </w:rPr>
        <w:t>市地方标准。</w:t>
      </w:r>
    </w:p>
    <w:p>
      <w:pPr>
        <w:pStyle w:val="4"/>
        <w:rPr>
          <w:rFonts w:asciiTheme="minorEastAsia" w:hAnsiTheme="minorEastAsia" w:eastAsiaTheme="minorEastAsia"/>
        </w:rPr>
      </w:pPr>
      <w:bookmarkStart w:id="580" w:name="_Toc12317"/>
      <w:r>
        <w:rPr>
          <w:rFonts w:asciiTheme="minorEastAsia" w:hAnsiTheme="minorEastAsia" w:eastAsiaTheme="minorEastAsia"/>
        </w:rPr>
        <w:t>第29条 对新标准的执行</w:t>
      </w:r>
      <w:bookmarkEnd w:id="580"/>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协议中约定的乙方应执行或达到的标准如遇国家标准或行业标准、</w:t>
      </w:r>
      <w:r>
        <w:rPr>
          <w:rFonts w:hint="eastAsia" w:asciiTheme="minorEastAsia" w:hAnsiTheme="minorEastAsia" w:eastAsiaTheme="minorEastAsia"/>
          <w:kern w:val="0"/>
          <w:sz w:val="24"/>
          <w:u w:val="single"/>
        </w:rPr>
        <w:t>广西壮族自治区、贵港 市</w:t>
      </w:r>
      <w:r>
        <w:rPr>
          <w:rFonts w:hint="eastAsia" w:asciiTheme="minorEastAsia" w:hAnsiTheme="minorEastAsia" w:eastAsiaTheme="minorEastAsia"/>
          <w:kern w:val="0"/>
          <w:sz w:val="24"/>
        </w:rPr>
        <w:t>地方标准对此有更新或补充或新颁布标准的，乙方应执行并达到该等新的标准。若由于执行新的标准需对项目设施进行技术更新或改造的，则执行《PPP项目合同》第8.3.3款的约定。</w:t>
      </w:r>
    </w:p>
    <w:p>
      <w:pPr>
        <w:pStyle w:val="3"/>
        <w:spacing w:line="360" w:lineRule="auto"/>
        <w:rPr>
          <w:rFonts w:asciiTheme="minorEastAsia" w:hAnsiTheme="minorEastAsia"/>
          <w:b w:val="0"/>
        </w:rPr>
      </w:pPr>
      <w:bookmarkStart w:id="581" w:name="_Toc13349"/>
      <w:bookmarkStart w:id="582" w:name="_Toc50993502"/>
      <w:r>
        <w:rPr>
          <w:rFonts w:hint="eastAsia" w:asciiTheme="minorEastAsia" w:hAnsiTheme="minorEastAsia"/>
          <w:b w:val="0"/>
        </w:rPr>
        <w:t>第二节 检测、检查及处理</w:t>
      </w:r>
      <w:bookmarkEnd w:id="581"/>
      <w:bookmarkEnd w:id="582"/>
    </w:p>
    <w:p>
      <w:pPr>
        <w:pStyle w:val="4"/>
        <w:rPr>
          <w:rFonts w:asciiTheme="minorEastAsia" w:hAnsiTheme="minorEastAsia" w:eastAsiaTheme="minorEastAsia"/>
        </w:rPr>
      </w:pPr>
      <w:bookmarkStart w:id="583" w:name="_Toc22102"/>
      <w:r>
        <w:rPr>
          <w:rFonts w:asciiTheme="minorEastAsia" w:hAnsiTheme="minorEastAsia" w:eastAsiaTheme="minorEastAsia"/>
        </w:rPr>
        <w:t>第30条 乙方检测义务</w:t>
      </w:r>
      <w:bookmarkEnd w:id="583"/>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30.</w:t>
      </w:r>
      <w:r>
        <w:rPr>
          <w:rFonts w:asciiTheme="minorEastAsia" w:hAnsiTheme="minorEastAsia" w:eastAsiaTheme="minorEastAsia"/>
          <w:kern w:val="0"/>
          <w:sz w:val="24"/>
        </w:rPr>
        <w:t>1乙方应按适用法律对本项目污水处理厂进行包括但不限于进水水质、出水水质、污泥等指标的检测。其中污泥含水率通过日常检测确定，进水水质、出水水质应通过日常检测、在线检测确定，检测频次及相关要求应符合《城镇污水处理厂运行、维护及安全运行技术规程》（CJJ60-2011）要求。</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30.</w:t>
      </w:r>
      <w:r>
        <w:rPr>
          <w:rFonts w:asciiTheme="minorEastAsia" w:hAnsiTheme="minorEastAsia" w:eastAsiaTheme="minorEastAsia"/>
          <w:kern w:val="0"/>
          <w:sz w:val="24"/>
        </w:rPr>
        <w:t>2双方约定的乙方其他检测义务：</w:t>
      </w:r>
    </w:p>
    <w:p>
      <w:pPr>
        <w:spacing w:before="120" w:beforeLines="50" w:after="120" w:afterLines="50" w:line="360" w:lineRule="auto"/>
        <w:ind w:firstLine="480" w:firstLineChars="200"/>
        <w:rPr>
          <w:rFonts w:asciiTheme="minorEastAsia" w:hAnsiTheme="minorEastAsia" w:eastAsiaTheme="minorEastAsia"/>
          <w:kern w:val="0"/>
          <w:sz w:val="24"/>
          <w:u w:val="single"/>
        </w:rPr>
      </w:pPr>
      <w:r>
        <w:rPr>
          <w:rFonts w:asciiTheme="minorEastAsia" w:hAnsiTheme="minorEastAsia" w:eastAsiaTheme="minorEastAsia"/>
          <w:kern w:val="0"/>
          <w:sz w:val="24"/>
          <w:u w:val="single"/>
        </w:rPr>
        <w:t xml:space="preserve">按贵港市水利局/卫监局/环保局对项目的检测文件要求执行。 </w:t>
      </w:r>
    </w:p>
    <w:p>
      <w:pPr>
        <w:pStyle w:val="4"/>
        <w:rPr>
          <w:rFonts w:asciiTheme="minorEastAsia" w:hAnsiTheme="minorEastAsia" w:eastAsiaTheme="minorEastAsia"/>
        </w:rPr>
      </w:pPr>
      <w:bookmarkStart w:id="584" w:name="_Toc2643"/>
      <w:r>
        <w:rPr>
          <w:rFonts w:asciiTheme="minorEastAsia" w:hAnsiTheme="minorEastAsia" w:eastAsiaTheme="minorEastAsia"/>
        </w:rPr>
        <w:t>第31条 检测依据</w:t>
      </w:r>
      <w:bookmarkEnd w:id="584"/>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本协议所述检测指标种类及其检测方法、检测频次等应采用于本项目实施过程中适用的国家标准或行业标准、</w:t>
      </w:r>
      <w:r>
        <w:rPr>
          <w:rFonts w:hint="eastAsia" w:asciiTheme="minorEastAsia" w:hAnsiTheme="minorEastAsia" w:eastAsiaTheme="minorEastAsia"/>
          <w:kern w:val="0"/>
          <w:sz w:val="24"/>
          <w:u w:val="single"/>
        </w:rPr>
        <w:t>广西壮族自治区</w:t>
      </w:r>
      <w:r>
        <w:rPr>
          <w:rFonts w:asciiTheme="minorEastAsia" w:hAnsiTheme="minorEastAsia" w:eastAsiaTheme="minorEastAsia"/>
          <w:kern w:val="0"/>
          <w:sz w:val="24"/>
        </w:rPr>
        <w:t>、</w:t>
      </w:r>
      <w:r>
        <w:rPr>
          <w:rFonts w:asciiTheme="minorEastAsia" w:hAnsiTheme="minorEastAsia" w:eastAsiaTheme="minorEastAsia"/>
          <w:kern w:val="0"/>
          <w:sz w:val="24"/>
          <w:u w:val="single"/>
        </w:rPr>
        <w:t xml:space="preserve">贵港 </w:t>
      </w:r>
      <w:r>
        <w:rPr>
          <w:rFonts w:asciiTheme="minorEastAsia" w:hAnsiTheme="minorEastAsia" w:eastAsiaTheme="minorEastAsia"/>
          <w:kern w:val="0"/>
          <w:sz w:val="24"/>
        </w:rPr>
        <w:t>市地方标准中较严的要求，包括但不限于：《水质采样方案设计技术规定》（GB12997-1991）、《水质采样技术指导》（GB12998-1991）、《地表水和污水监测技术规范》（HJ/T91-2002）、《水质采样样品的保存和管理技术规定》（GB12999-1991）、《城镇污水处理厂污染物排放标准》（GB18918-2002）、《中华人民共和国强制检定的工作计量器具检定管理办法》（国发〔1987〕31号）等。</w:t>
      </w:r>
    </w:p>
    <w:p>
      <w:pPr>
        <w:spacing w:before="120" w:beforeLines="50" w:after="120" w:afterLines="50" w:line="360" w:lineRule="auto"/>
        <w:ind w:firstLine="424" w:firstLineChars="177"/>
        <w:rPr>
          <w:rFonts w:asciiTheme="minorEastAsia" w:hAnsiTheme="minorEastAsia" w:eastAsiaTheme="minorEastAsia"/>
        </w:rPr>
      </w:pPr>
      <w:r>
        <w:rPr>
          <w:rFonts w:asciiTheme="minorEastAsia" w:hAnsiTheme="minorEastAsia" w:eastAsiaTheme="minorEastAsia"/>
          <w:kern w:val="0"/>
          <w:sz w:val="24"/>
        </w:rPr>
        <w:t>如遇国家标准或行业标准、</w:t>
      </w:r>
      <w:r>
        <w:rPr>
          <w:rFonts w:hint="eastAsia" w:asciiTheme="minorEastAsia" w:hAnsiTheme="minorEastAsia" w:eastAsiaTheme="minorEastAsia"/>
          <w:kern w:val="0"/>
          <w:sz w:val="24"/>
          <w:u w:val="single"/>
        </w:rPr>
        <w:t>广西壮族自治区</w:t>
      </w:r>
      <w:r>
        <w:rPr>
          <w:rFonts w:asciiTheme="minorEastAsia" w:hAnsiTheme="minorEastAsia" w:eastAsiaTheme="minorEastAsia"/>
          <w:kern w:val="0"/>
          <w:sz w:val="24"/>
        </w:rPr>
        <w:t>、</w:t>
      </w:r>
      <w:r>
        <w:rPr>
          <w:rFonts w:asciiTheme="minorEastAsia" w:hAnsiTheme="minorEastAsia" w:eastAsiaTheme="minorEastAsia"/>
          <w:kern w:val="0"/>
          <w:sz w:val="24"/>
          <w:u w:val="single"/>
        </w:rPr>
        <w:t xml:space="preserve">贵港 </w:t>
      </w:r>
      <w:r>
        <w:rPr>
          <w:rFonts w:asciiTheme="minorEastAsia" w:hAnsiTheme="minorEastAsia" w:eastAsiaTheme="minorEastAsia"/>
          <w:kern w:val="0"/>
          <w:sz w:val="24"/>
        </w:rPr>
        <w:t>市地方标准对上述标准有更新或补充或新颁布标准的，乙方应执行并达到该等新的标准。</w:t>
      </w:r>
    </w:p>
    <w:p>
      <w:pPr>
        <w:pStyle w:val="4"/>
        <w:rPr>
          <w:rFonts w:asciiTheme="minorEastAsia" w:hAnsiTheme="minorEastAsia" w:eastAsiaTheme="minorEastAsia"/>
        </w:rPr>
      </w:pPr>
      <w:bookmarkStart w:id="585" w:name="_Toc28253"/>
      <w:r>
        <w:rPr>
          <w:rFonts w:asciiTheme="minorEastAsia" w:hAnsiTheme="minorEastAsia" w:eastAsiaTheme="minorEastAsia"/>
        </w:rPr>
        <w:t>第32条 进水和出水水质的日常检测、定期检测和在线检测</w:t>
      </w:r>
      <w:bookmarkEnd w:id="585"/>
    </w:p>
    <w:p>
      <w:pPr>
        <w:spacing w:before="120" w:beforeLines="50" w:after="120" w:afterLines="5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乙方应根据本项目所有适用法律和本协议第</w:t>
      </w:r>
      <w:r>
        <w:rPr>
          <w:rFonts w:hint="eastAsia" w:asciiTheme="minorEastAsia" w:hAnsiTheme="minorEastAsia" w:eastAsiaTheme="minorEastAsia"/>
          <w:kern w:val="0"/>
          <w:sz w:val="24"/>
        </w:rPr>
        <w:t>四</w:t>
      </w:r>
      <w:r>
        <w:rPr>
          <w:rFonts w:asciiTheme="minorEastAsia" w:hAnsiTheme="minorEastAsia" w:eastAsiaTheme="minorEastAsia"/>
          <w:kern w:val="0"/>
          <w:sz w:val="24"/>
        </w:rPr>
        <w:t>章约定的标准及规范要求进行下列检测：</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32.</w:t>
      </w:r>
      <w:r>
        <w:rPr>
          <w:rFonts w:asciiTheme="minorEastAsia" w:hAnsiTheme="minorEastAsia" w:eastAsiaTheme="minorEastAsia"/>
          <w:kern w:val="0"/>
          <w:sz w:val="24"/>
        </w:rPr>
        <w:t>1乙方应按本协议第</w:t>
      </w:r>
      <w:r>
        <w:rPr>
          <w:rFonts w:hint="eastAsia" w:asciiTheme="minorEastAsia" w:hAnsiTheme="minorEastAsia" w:eastAsiaTheme="minorEastAsia"/>
          <w:kern w:val="0"/>
          <w:sz w:val="24"/>
        </w:rPr>
        <w:t>25</w:t>
      </w:r>
      <w:r>
        <w:rPr>
          <w:rFonts w:asciiTheme="minorEastAsia" w:hAnsiTheme="minorEastAsia" w:eastAsiaTheme="minorEastAsia"/>
          <w:kern w:val="0"/>
          <w:sz w:val="24"/>
        </w:rPr>
        <w:t>条、第</w:t>
      </w:r>
      <w:r>
        <w:rPr>
          <w:rFonts w:hint="eastAsia" w:asciiTheme="minorEastAsia" w:hAnsiTheme="minorEastAsia" w:eastAsiaTheme="minorEastAsia"/>
          <w:kern w:val="0"/>
          <w:sz w:val="24"/>
        </w:rPr>
        <w:t>26</w:t>
      </w:r>
      <w:r>
        <w:rPr>
          <w:rFonts w:asciiTheme="minorEastAsia" w:hAnsiTheme="minorEastAsia" w:eastAsiaTheme="minorEastAsia"/>
          <w:kern w:val="0"/>
          <w:sz w:val="24"/>
        </w:rPr>
        <w:t>条的约定对进水和出水的水质进行检测；</w:t>
      </w:r>
    </w:p>
    <w:p>
      <w:pPr>
        <w:spacing w:before="120" w:beforeLines="50" w:after="120" w:afterLines="50" w:line="360" w:lineRule="auto"/>
        <w:ind w:firstLine="480" w:firstLineChars="200"/>
        <w:rPr>
          <w:rFonts w:asciiTheme="minorEastAsia" w:hAnsiTheme="minorEastAsia" w:eastAsiaTheme="minorEastAsia"/>
          <w:kern w:val="0"/>
          <w:sz w:val="24"/>
          <w:u w:val="single"/>
        </w:rPr>
      </w:pPr>
      <w:r>
        <w:rPr>
          <w:rFonts w:hint="eastAsia" w:asciiTheme="minorEastAsia" w:hAnsiTheme="minorEastAsia" w:eastAsiaTheme="minorEastAsia"/>
          <w:kern w:val="0"/>
          <w:sz w:val="24"/>
        </w:rPr>
        <w:t>32</w:t>
      </w:r>
      <w:r>
        <w:rPr>
          <w:rFonts w:asciiTheme="minorEastAsia" w:hAnsiTheme="minorEastAsia" w:eastAsiaTheme="minorEastAsia"/>
          <w:kern w:val="0"/>
          <w:sz w:val="24"/>
        </w:rPr>
        <w:t>.2检测指标和检测方法</w:t>
      </w:r>
    </w:p>
    <w:p>
      <w:pPr>
        <w:spacing w:before="120" w:beforeLines="50" w:after="120" w:afterLines="5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①乙方对于进水和出水水质进行日常检测的指标和方法：</w:t>
      </w:r>
    </w:p>
    <w:p>
      <w:pPr>
        <w:widowControl/>
        <w:spacing w:before="120" w:beforeLines="50" w:after="120" w:afterLines="50" w:line="360" w:lineRule="auto"/>
        <w:ind w:firstLine="480" w:firstLineChars="200"/>
        <w:rPr>
          <w:rFonts w:asciiTheme="minorEastAsia" w:hAnsiTheme="minorEastAsia" w:eastAsiaTheme="minorEastAsia"/>
          <w:sz w:val="20"/>
          <w:szCs w:val="20"/>
        </w:rPr>
      </w:pPr>
      <w:r>
        <w:rPr>
          <w:rFonts w:asciiTheme="minorEastAsia" w:hAnsiTheme="minorEastAsia" w:eastAsiaTheme="minorEastAsia"/>
          <w:kern w:val="0"/>
          <w:sz w:val="24"/>
          <w:u w:val="single"/>
        </w:rPr>
        <w:t xml:space="preserve">      COD\氨氮\总磷\总氮\pH\SS 检测方法按照符合国家标准、行业标准、</w:t>
      </w:r>
      <w:r>
        <w:rPr>
          <w:rFonts w:hint="eastAsia" w:asciiTheme="minorEastAsia" w:hAnsiTheme="minorEastAsia" w:eastAsiaTheme="minorEastAsia"/>
          <w:kern w:val="0"/>
          <w:sz w:val="24"/>
          <w:u w:val="single"/>
        </w:rPr>
        <w:t>广西壮族自治区</w:t>
      </w:r>
      <w:r>
        <w:rPr>
          <w:rFonts w:asciiTheme="minorEastAsia" w:hAnsiTheme="minorEastAsia" w:eastAsiaTheme="minorEastAsia"/>
          <w:kern w:val="0"/>
          <w:sz w:val="24"/>
          <w:u w:val="single"/>
        </w:rPr>
        <w:t xml:space="preserve">、贵港市地方标准                                               </w:t>
      </w:r>
    </w:p>
    <w:p>
      <w:pPr>
        <w:spacing w:before="120" w:beforeLines="50" w:after="120" w:afterLines="5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②乙方对于进水和出水水质进行定期检测的指标和方法：</w:t>
      </w:r>
    </w:p>
    <w:p>
      <w:pPr>
        <w:widowControl/>
        <w:spacing w:before="120" w:beforeLines="50" w:after="120" w:afterLines="50" w:line="360" w:lineRule="auto"/>
        <w:ind w:firstLine="480" w:firstLineChars="200"/>
        <w:rPr>
          <w:rFonts w:asciiTheme="minorEastAsia" w:hAnsiTheme="minorEastAsia" w:eastAsiaTheme="minorEastAsia"/>
          <w:sz w:val="20"/>
          <w:szCs w:val="20"/>
        </w:rPr>
      </w:pPr>
      <w:r>
        <w:rPr>
          <w:rFonts w:asciiTheme="minorEastAsia" w:hAnsiTheme="minorEastAsia" w:eastAsiaTheme="minorEastAsia"/>
          <w:kern w:val="0"/>
          <w:sz w:val="24"/>
          <w:u w:val="single"/>
        </w:rPr>
        <w:t xml:space="preserve">      COD\氨氮\总磷\总氮\pH\SS   检测方法按照符合国家标准、行业标准、</w:t>
      </w:r>
      <w:r>
        <w:rPr>
          <w:rFonts w:hint="eastAsia" w:asciiTheme="minorEastAsia" w:hAnsiTheme="minorEastAsia" w:eastAsiaTheme="minorEastAsia"/>
          <w:kern w:val="0"/>
          <w:sz w:val="24"/>
          <w:u w:val="single"/>
        </w:rPr>
        <w:t>广西壮族自治区</w:t>
      </w:r>
      <w:r>
        <w:rPr>
          <w:rFonts w:asciiTheme="minorEastAsia" w:hAnsiTheme="minorEastAsia" w:eastAsiaTheme="minorEastAsia"/>
          <w:kern w:val="0"/>
          <w:sz w:val="24"/>
          <w:u w:val="single"/>
        </w:rPr>
        <w:t xml:space="preserve">、贵港市地方标准                                           </w:t>
      </w:r>
    </w:p>
    <w:p>
      <w:pPr>
        <w:spacing w:before="120" w:beforeLines="50" w:after="120" w:afterLines="5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③乙方对于进水和出水水质进行在线检测的指标和方法：</w:t>
      </w:r>
    </w:p>
    <w:p>
      <w:pPr>
        <w:widowControl/>
        <w:spacing w:before="120" w:beforeLines="50" w:after="120" w:afterLines="50" w:line="360" w:lineRule="auto"/>
        <w:ind w:firstLine="480" w:firstLineChars="200"/>
        <w:rPr>
          <w:rFonts w:asciiTheme="minorEastAsia" w:hAnsiTheme="minorEastAsia" w:eastAsiaTheme="minorEastAsia"/>
          <w:sz w:val="20"/>
          <w:szCs w:val="20"/>
        </w:rPr>
      </w:pPr>
      <w:r>
        <w:rPr>
          <w:rFonts w:asciiTheme="minorEastAsia" w:hAnsiTheme="minorEastAsia" w:eastAsiaTheme="minorEastAsia"/>
          <w:kern w:val="0"/>
          <w:sz w:val="24"/>
          <w:u w:val="single"/>
        </w:rPr>
        <w:t xml:space="preserve">      COD\氨氮\总磷\总氮\pH\SS  检测方法按照符合国家标准、行业标准、</w:t>
      </w:r>
      <w:r>
        <w:rPr>
          <w:rFonts w:hint="eastAsia" w:asciiTheme="minorEastAsia" w:hAnsiTheme="minorEastAsia" w:eastAsiaTheme="minorEastAsia"/>
          <w:kern w:val="0"/>
          <w:sz w:val="24"/>
          <w:u w:val="single"/>
        </w:rPr>
        <w:t>广西壮族自治区</w:t>
      </w:r>
      <w:r>
        <w:rPr>
          <w:rFonts w:asciiTheme="minorEastAsia" w:hAnsiTheme="minorEastAsia" w:eastAsiaTheme="minorEastAsia"/>
          <w:kern w:val="0"/>
          <w:sz w:val="24"/>
          <w:u w:val="single"/>
        </w:rPr>
        <w:t xml:space="preserve">、贵港市地方标准                                           </w:t>
      </w:r>
    </w:p>
    <w:p>
      <w:pPr>
        <w:widowControl/>
        <w:spacing w:before="120" w:beforeLines="50" w:after="120" w:afterLines="50" w:line="360" w:lineRule="auto"/>
        <w:ind w:firstLine="480" w:firstLineChars="200"/>
        <w:rPr>
          <w:rFonts w:asciiTheme="minorEastAsia" w:hAnsiTheme="minorEastAsia" w:eastAsiaTheme="minorEastAsia"/>
          <w:sz w:val="20"/>
          <w:szCs w:val="20"/>
        </w:rPr>
      </w:pPr>
      <w:r>
        <w:rPr>
          <w:rFonts w:hint="eastAsia" w:asciiTheme="minorEastAsia" w:hAnsiTheme="minorEastAsia" w:eastAsiaTheme="minorEastAsia"/>
          <w:kern w:val="0"/>
          <w:sz w:val="24"/>
        </w:rPr>
        <w:t>32</w:t>
      </w:r>
      <w:r>
        <w:rPr>
          <w:rFonts w:asciiTheme="minorEastAsia" w:hAnsiTheme="minorEastAsia" w:eastAsiaTheme="minorEastAsia"/>
          <w:kern w:val="0"/>
          <w:sz w:val="24"/>
        </w:rPr>
        <w:t>.3其他约定：</w:t>
      </w:r>
      <w:r>
        <w:rPr>
          <w:rFonts w:asciiTheme="minorEastAsia" w:hAnsiTheme="minorEastAsia" w:eastAsiaTheme="minorEastAsia"/>
          <w:kern w:val="0"/>
          <w:sz w:val="24"/>
          <w:u w:val="single"/>
        </w:rPr>
        <w:t xml:space="preserve">按贵港市水利局/卫监局/环保局对本污水厂的检测文件要求执行                                              </w:t>
      </w:r>
    </w:p>
    <w:p>
      <w:pPr>
        <w:pStyle w:val="4"/>
        <w:rPr>
          <w:rFonts w:asciiTheme="minorEastAsia" w:hAnsiTheme="minorEastAsia" w:eastAsiaTheme="minorEastAsia"/>
        </w:rPr>
      </w:pPr>
      <w:bookmarkStart w:id="586" w:name="_Toc4913"/>
      <w:r>
        <w:rPr>
          <w:rFonts w:asciiTheme="minorEastAsia" w:hAnsiTheme="minorEastAsia" w:eastAsiaTheme="minorEastAsia"/>
        </w:rPr>
        <w:t>第33条 检测结果的报告</w:t>
      </w:r>
      <w:bookmarkEnd w:id="586"/>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33.</w:t>
      </w:r>
      <w:r>
        <w:rPr>
          <w:rFonts w:asciiTheme="minorEastAsia" w:hAnsiTheme="minorEastAsia" w:eastAsiaTheme="minorEastAsia"/>
          <w:kern w:val="0"/>
          <w:sz w:val="24"/>
        </w:rPr>
        <w:t>1乙方应记录每次检测的所有结果，并在上述检测完成后在甲方要求的时限内将每日进水和出水的检测结果向甲方或政府相关部门报送。</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33.</w:t>
      </w:r>
      <w:r>
        <w:rPr>
          <w:rFonts w:asciiTheme="minorEastAsia" w:hAnsiTheme="minorEastAsia" w:eastAsiaTheme="minorEastAsia"/>
          <w:kern w:val="0"/>
          <w:sz w:val="24"/>
        </w:rPr>
        <w:t>2在任何时候出现下列情形之一项或多项的，乙方应立即通知甲方，且该通知应包括所有有关测试结果以及此等不符合情况所作的其他有关调查结果的详情。通知还可以包括乙方对不符合情况可能持续的期限所作的预测，以及引起该等情况的原因，包括乙方声称任何有关不可抗力或甲方违约事件，或依据《PPP项目合同》约定甲方构成违约的情形和所采取的补救措施等：</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33.</w:t>
      </w:r>
      <w:r>
        <w:rPr>
          <w:rFonts w:asciiTheme="minorEastAsia" w:hAnsiTheme="minorEastAsia" w:eastAsiaTheme="minorEastAsia"/>
          <w:kern w:val="0"/>
          <w:sz w:val="24"/>
        </w:rPr>
        <w:t>2.1出水采样点的出水水质不符合出水水质标准；</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33.</w:t>
      </w:r>
      <w:r>
        <w:rPr>
          <w:rFonts w:asciiTheme="minorEastAsia" w:hAnsiTheme="minorEastAsia" w:eastAsiaTheme="minorEastAsia"/>
          <w:kern w:val="0"/>
          <w:sz w:val="24"/>
        </w:rPr>
        <w:t>2.2进水采样点的进水水质不符合进水水质标准，且乙方合理判断会导致出水水质超标的；</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33.</w:t>
      </w:r>
      <w:r>
        <w:rPr>
          <w:rFonts w:asciiTheme="minorEastAsia" w:hAnsiTheme="minorEastAsia" w:eastAsiaTheme="minorEastAsia"/>
          <w:kern w:val="0"/>
          <w:sz w:val="24"/>
        </w:rPr>
        <w:t>2.3污泥、噪声及臭气不符合本协议约定标准；</w:t>
      </w:r>
    </w:p>
    <w:p>
      <w:pPr>
        <w:spacing w:before="120" w:beforeLines="50" w:after="120" w:afterLines="50" w:line="360" w:lineRule="auto"/>
        <w:ind w:firstLine="480" w:firstLineChars="200"/>
        <w:rPr>
          <w:rFonts w:asciiTheme="minorEastAsia" w:hAnsiTheme="minorEastAsia" w:eastAsiaTheme="minorEastAsia"/>
          <w:kern w:val="0"/>
          <w:sz w:val="24"/>
          <w:u w:val="single"/>
        </w:rPr>
      </w:pPr>
      <w:r>
        <w:rPr>
          <w:rFonts w:hint="eastAsia" w:asciiTheme="minorEastAsia" w:hAnsiTheme="minorEastAsia" w:eastAsiaTheme="minorEastAsia"/>
          <w:kern w:val="0"/>
          <w:sz w:val="24"/>
        </w:rPr>
        <w:t>33.</w:t>
      </w:r>
      <w:r>
        <w:rPr>
          <w:rFonts w:asciiTheme="minorEastAsia" w:hAnsiTheme="minorEastAsia" w:eastAsiaTheme="minorEastAsia"/>
          <w:kern w:val="0"/>
          <w:sz w:val="24"/>
        </w:rPr>
        <w:t>2.4 其他约定：</w:t>
      </w:r>
      <w:r>
        <w:rPr>
          <w:rFonts w:hint="eastAsia" w:asciiTheme="minorEastAsia" w:hAnsiTheme="minorEastAsia" w:eastAsiaTheme="minorEastAsia"/>
          <w:kern w:val="0"/>
          <w:sz w:val="24"/>
          <w:u w:val="single"/>
        </w:rPr>
        <w:t>/</w:t>
      </w:r>
      <w:r>
        <w:rPr>
          <w:rFonts w:asciiTheme="minorEastAsia" w:hAnsiTheme="minorEastAsia" w:eastAsiaTheme="minorEastAsia"/>
          <w:kern w:val="0"/>
          <w:sz w:val="24"/>
          <w:u w:val="single"/>
        </w:rPr>
        <w:t xml:space="preserve">                                              </w:t>
      </w:r>
    </w:p>
    <w:p>
      <w:pPr>
        <w:pStyle w:val="4"/>
        <w:rPr>
          <w:rFonts w:asciiTheme="minorEastAsia" w:hAnsiTheme="minorEastAsia" w:eastAsiaTheme="minorEastAsia"/>
        </w:rPr>
      </w:pPr>
      <w:bookmarkStart w:id="587" w:name="_Toc32526"/>
      <w:r>
        <w:rPr>
          <w:rFonts w:asciiTheme="minorEastAsia" w:hAnsiTheme="minorEastAsia" w:eastAsiaTheme="minorEastAsia"/>
        </w:rPr>
        <w:t>第34条 检查及结果通知</w:t>
      </w:r>
      <w:bookmarkEnd w:id="587"/>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34.</w:t>
      </w:r>
      <w:r>
        <w:rPr>
          <w:rFonts w:asciiTheme="minorEastAsia" w:hAnsiTheme="minorEastAsia" w:eastAsiaTheme="minorEastAsia"/>
          <w:kern w:val="0"/>
          <w:sz w:val="24"/>
        </w:rPr>
        <w:t>1 甲方有权对本协议约定的出水水质指标进行一项或多项抽检，抽检频率为：</w:t>
      </w:r>
      <w:r>
        <w:rPr>
          <w:rFonts w:asciiTheme="minorEastAsia" w:hAnsiTheme="minorEastAsia" w:eastAsiaTheme="minorEastAsia"/>
          <w:kern w:val="0"/>
          <w:sz w:val="24"/>
          <w:u w:val="single"/>
        </w:rPr>
        <w:t>每季度一次</w:t>
      </w:r>
      <w:r>
        <w:rPr>
          <w:rFonts w:asciiTheme="minorEastAsia" w:hAnsiTheme="minorEastAsia" w:eastAsiaTheme="minorEastAsia"/>
          <w:kern w:val="0"/>
          <w:sz w:val="24"/>
        </w:rPr>
        <w:t>，以核实乙方提供的结果。</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34.</w:t>
      </w:r>
      <w:r>
        <w:rPr>
          <w:rFonts w:asciiTheme="minorEastAsia" w:hAnsiTheme="minorEastAsia" w:eastAsiaTheme="minorEastAsia"/>
          <w:kern w:val="0"/>
          <w:sz w:val="24"/>
        </w:rPr>
        <w:t>2 甲方自行采取水样时须有乙方人员在场。乙方人员未在甲方告知的采样时间到达现场的，不影响抽检结果的有效性。</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34.</w:t>
      </w:r>
      <w:r>
        <w:rPr>
          <w:rFonts w:asciiTheme="minorEastAsia" w:hAnsiTheme="minorEastAsia" w:eastAsiaTheme="minorEastAsia"/>
          <w:kern w:val="0"/>
          <w:sz w:val="24"/>
        </w:rPr>
        <w:t>3甲方在现场取样前，应通知乙方人员陪同取样，乙方人员应在采样记录单上签字。甲方应在样品的所有应测指标测试完成且有出水水质超标情形下及时将检测结果通知乙方。</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34.</w:t>
      </w:r>
      <w:r>
        <w:rPr>
          <w:rFonts w:asciiTheme="minorEastAsia" w:hAnsiTheme="minorEastAsia" w:eastAsiaTheme="minorEastAsia"/>
          <w:kern w:val="0"/>
          <w:sz w:val="24"/>
        </w:rPr>
        <w:t>4 甲方对出水水质指标抽检的结果与乙方自检结果不一致时，乙方对甲方抽检结果有异议的，双方可共同委托经国家认可的具备法定资质的检测机构进行检测并以该检测结果为准。</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此外，甲方有权独立委托具有相应资质的第三方检测机构对乙方出水水质予以抽检。如经第三方检测机构抽检乙方出水水质超标，且乙方认可该等抽检结果的，则第三方抽检的结果作为本项目评价依据；如乙方对第三方检测机构出具的不达标的检测结果有异议，则乙方可和第三方检测机构共同委托另外一家具备相应资质的检测机构对同一水样重新进行检测，如乙方和第三方检测机构共同聘请的检测机构的检测结果显示超标，则相应的检测费用由乙方承担，检测机构的检测结果作为本项目的评价依据。</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34.</w:t>
      </w:r>
      <w:r>
        <w:rPr>
          <w:rFonts w:asciiTheme="minorEastAsia" w:hAnsiTheme="minorEastAsia" w:eastAsiaTheme="minorEastAsia"/>
          <w:kern w:val="0"/>
          <w:sz w:val="24"/>
        </w:rPr>
        <w:t>5甲方有权随时对本协议约定的污泥、噪声及臭气指标进行一项或多项抽检，抽检频率为：</w:t>
      </w:r>
      <w:r>
        <w:rPr>
          <w:rFonts w:asciiTheme="minorEastAsia" w:hAnsiTheme="minorEastAsia" w:eastAsiaTheme="minorEastAsia"/>
          <w:kern w:val="0"/>
          <w:sz w:val="24"/>
          <w:u w:val="single"/>
        </w:rPr>
        <w:t>每半年一次</w:t>
      </w:r>
      <w:r>
        <w:rPr>
          <w:rFonts w:asciiTheme="minorEastAsia" w:hAnsiTheme="minorEastAsia" w:eastAsiaTheme="minorEastAsia"/>
          <w:kern w:val="0"/>
          <w:sz w:val="24"/>
        </w:rPr>
        <w:t>，以核实乙方提供的结果。</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34.</w:t>
      </w:r>
      <w:r>
        <w:rPr>
          <w:rFonts w:asciiTheme="minorEastAsia" w:hAnsiTheme="minorEastAsia" w:eastAsiaTheme="minorEastAsia"/>
          <w:kern w:val="0"/>
          <w:sz w:val="24"/>
        </w:rPr>
        <w:t>6甲方对污泥、噪声及臭气抽检的结果与乙方自检结果不一致时，乙方对甲方的污泥抽检结果有异议的，双方可共同委托经国家认可的具备法定资质的检测机构进行检测并以该检测结果为准。如乙方未在甲方将该等检测结果通知送达后</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72</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小时内提出异议，视为同意该检测结果。</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34.</w:t>
      </w:r>
      <w:r>
        <w:rPr>
          <w:rFonts w:asciiTheme="minorEastAsia" w:hAnsiTheme="minorEastAsia" w:eastAsiaTheme="minorEastAsia"/>
          <w:kern w:val="0"/>
          <w:sz w:val="24"/>
        </w:rPr>
        <w:t>7 乙方根据本协议第</w:t>
      </w:r>
      <w:r>
        <w:rPr>
          <w:rFonts w:hint="eastAsia" w:asciiTheme="minorEastAsia" w:hAnsiTheme="minorEastAsia" w:eastAsiaTheme="minorEastAsia"/>
          <w:kern w:val="0"/>
          <w:sz w:val="24"/>
        </w:rPr>
        <w:t>34.</w:t>
      </w:r>
      <w:r>
        <w:rPr>
          <w:rFonts w:asciiTheme="minorEastAsia" w:hAnsiTheme="minorEastAsia" w:eastAsiaTheme="minorEastAsia"/>
          <w:kern w:val="0"/>
          <w:sz w:val="24"/>
        </w:rPr>
        <w:t>4款和第</w:t>
      </w:r>
      <w:r>
        <w:rPr>
          <w:rFonts w:hint="eastAsia" w:asciiTheme="minorEastAsia" w:hAnsiTheme="minorEastAsia" w:eastAsiaTheme="minorEastAsia"/>
          <w:kern w:val="0"/>
          <w:sz w:val="24"/>
        </w:rPr>
        <w:t>34.</w:t>
      </w:r>
      <w:r>
        <w:rPr>
          <w:rFonts w:asciiTheme="minorEastAsia" w:hAnsiTheme="minorEastAsia" w:eastAsiaTheme="minorEastAsia"/>
          <w:kern w:val="0"/>
          <w:sz w:val="24"/>
        </w:rPr>
        <w:t>6款约定的对甲方抽检结果有异议样品的委托检测，相应的检测费用应由乙方承担。如检测的结果表明乙方的检测程序不符合规定、检测设备超出允许误差或其检测结果显示不达标的，则乙方应按照甲方要求立即予以纠正。如检测的结果表明甲方抽检结果错误，检测费用应由甲方承担。</w:t>
      </w:r>
    </w:p>
    <w:p>
      <w:pPr>
        <w:pStyle w:val="4"/>
        <w:rPr>
          <w:rFonts w:asciiTheme="minorEastAsia" w:hAnsiTheme="minorEastAsia" w:eastAsiaTheme="minorEastAsia"/>
        </w:rPr>
      </w:pPr>
      <w:bookmarkStart w:id="588" w:name="_Toc1237"/>
      <w:r>
        <w:rPr>
          <w:rFonts w:asciiTheme="minorEastAsia" w:hAnsiTheme="minorEastAsia" w:eastAsiaTheme="minorEastAsia"/>
        </w:rPr>
        <w:t>第35条 出水水质不符合标准的处理</w:t>
      </w:r>
      <w:bookmarkEnd w:id="588"/>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35.</w:t>
      </w:r>
      <w:r>
        <w:rPr>
          <w:rFonts w:asciiTheme="minorEastAsia" w:hAnsiTheme="minorEastAsia" w:eastAsiaTheme="minorEastAsia"/>
          <w:kern w:val="0"/>
          <w:sz w:val="24"/>
        </w:rPr>
        <w:t>1如因可归责于乙方的原因导致乙方经营的供水/污水处理厂的出水水质有一项指标不达标的，即视为本次抽检表明乙方经营的该供水/污水处理厂当日水质不符合出水水质标准，甲方有权要求乙方在规定时间内查找原因，并督促其采取合理的改进或保障措施，以避免二次抽检仍不合格。</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35.</w:t>
      </w:r>
      <w:r>
        <w:rPr>
          <w:rFonts w:asciiTheme="minorEastAsia" w:hAnsiTheme="minorEastAsia" w:eastAsiaTheme="minorEastAsia"/>
          <w:kern w:val="0"/>
          <w:sz w:val="24"/>
        </w:rPr>
        <w:t>2如下一次抽检仍未达标的，则甲方有权向乙方收取违约金，违约金执行本协议第</w:t>
      </w:r>
      <w:r>
        <w:rPr>
          <w:rFonts w:hint="eastAsia" w:asciiTheme="minorEastAsia" w:hAnsiTheme="minorEastAsia" w:eastAsiaTheme="minorEastAsia"/>
          <w:kern w:val="0"/>
          <w:sz w:val="24"/>
        </w:rPr>
        <w:t>49</w:t>
      </w:r>
      <w:r>
        <w:rPr>
          <w:rFonts w:asciiTheme="minorEastAsia" w:hAnsiTheme="minorEastAsia" w:eastAsiaTheme="minorEastAsia"/>
          <w:kern w:val="0"/>
          <w:sz w:val="24"/>
        </w:rPr>
        <w:t>条的约定。如每个付费周期内出现多次抽检不合格的，则违约金累计计算。甲方有权直接扣除或提取运维履约担保或移交履约担保项下的相应金额。如一个付费周期内，连续</w:t>
      </w:r>
      <w:r>
        <w:rPr>
          <w:rFonts w:asciiTheme="minorEastAsia" w:hAnsiTheme="minorEastAsia" w:eastAsiaTheme="minorEastAsia"/>
          <w:b/>
          <w:sz w:val="24"/>
          <w:u w:val="single"/>
        </w:rPr>
        <w:t xml:space="preserve"> 6 </w:t>
      </w:r>
      <w:r>
        <w:rPr>
          <w:rFonts w:asciiTheme="minorEastAsia" w:hAnsiTheme="minorEastAsia" w:eastAsiaTheme="minorEastAsia"/>
          <w:kern w:val="0"/>
          <w:sz w:val="24"/>
        </w:rPr>
        <w:t>次或累计</w:t>
      </w:r>
      <w:r>
        <w:rPr>
          <w:rFonts w:asciiTheme="minorEastAsia" w:hAnsiTheme="minorEastAsia" w:eastAsiaTheme="minorEastAsia"/>
          <w:b/>
          <w:sz w:val="24"/>
          <w:u w:val="single"/>
        </w:rPr>
        <w:t xml:space="preserve"> 10 </w:t>
      </w:r>
      <w:r>
        <w:rPr>
          <w:rFonts w:asciiTheme="minorEastAsia" w:hAnsiTheme="minorEastAsia" w:eastAsiaTheme="minorEastAsia"/>
          <w:kern w:val="0"/>
          <w:sz w:val="24"/>
        </w:rPr>
        <w:t>次未达标时，甲方有权按照《PPP项目合同》的约定介入该供水/污水处理厂的运营维护，同时介入管网的运营维护。</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35.</w:t>
      </w:r>
      <w:r>
        <w:rPr>
          <w:rFonts w:asciiTheme="minorEastAsia" w:hAnsiTheme="minorEastAsia" w:eastAsiaTheme="minorEastAsia"/>
          <w:kern w:val="0"/>
          <w:sz w:val="24"/>
        </w:rPr>
        <w:t>3 当发生出水水质不符合标准的情形时，除本协议另有约定外，乙方无权就其在该期间内所提供的供水/污水处理服务取得供水/污水处理服务费。</w:t>
      </w:r>
    </w:p>
    <w:p>
      <w:pPr>
        <w:pStyle w:val="4"/>
        <w:rPr>
          <w:rFonts w:asciiTheme="minorEastAsia" w:hAnsiTheme="minorEastAsia" w:eastAsiaTheme="minorEastAsia"/>
        </w:rPr>
      </w:pPr>
      <w:bookmarkStart w:id="589" w:name="_Toc19991"/>
      <w:r>
        <w:rPr>
          <w:rFonts w:asciiTheme="minorEastAsia" w:hAnsiTheme="minorEastAsia" w:eastAsiaTheme="minorEastAsia"/>
        </w:rPr>
        <w:t>第36条 进水不符合标准的处理</w:t>
      </w:r>
      <w:bookmarkEnd w:id="589"/>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36.</w:t>
      </w:r>
      <w:r>
        <w:rPr>
          <w:rFonts w:asciiTheme="minorEastAsia" w:hAnsiTheme="minorEastAsia" w:eastAsiaTheme="minorEastAsia"/>
          <w:kern w:val="0"/>
          <w:sz w:val="24"/>
        </w:rPr>
        <w:t>l乙方发现进水水质超标的，应于当日及时将超标项目检测结果以书面形式向甲方及排水主管部门、环保部门进行报告。甲方应在接到乙方提交的书面报告后</w:t>
      </w:r>
      <w:r>
        <w:rPr>
          <w:rFonts w:asciiTheme="minorEastAsia" w:hAnsiTheme="minorEastAsia" w:eastAsiaTheme="minorEastAsia"/>
          <w:b/>
          <w:sz w:val="24"/>
          <w:u w:val="single"/>
        </w:rPr>
        <w:t xml:space="preserve"> 24 </w:t>
      </w:r>
      <w:r>
        <w:rPr>
          <w:rFonts w:asciiTheme="minorEastAsia" w:hAnsiTheme="minorEastAsia" w:eastAsiaTheme="minorEastAsia"/>
          <w:kern w:val="0"/>
          <w:sz w:val="24"/>
        </w:rPr>
        <w:t>小时内予以复检，甲方对进水水质检测的结果与乙方自检结果不一致时，乙方对此有异议的，由双方认可的具备法定资质的检测机构于甲方接到乙方前述报告后</w:t>
      </w:r>
      <w:r>
        <w:rPr>
          <w:rFonts w:asciiTheme="minorEastAsia" w:hAnsiTheme="minorEastAsia" w:eastAsiaTheme="minorEastAsia"/>
          <w:b/>
          <w:sz w:val="24"/>
          <w:u w:val="single"/>
        </w:rPr>
        <w:t xml:space="preserve"> 72 </w:t>
      </w:r>
      <w:r>
        <w:rPr>
          <w:rFonts w:asciiTheme="minorEastAsia" w:hAnsiTheme="minorEastAsia" w:eastAsiaTheme="minorEastAsia"/>
          <w:kern w:val="0"/>
          <w:sz w:val="24"/>
        </w:rPr>
        <w:t>小时内进行检测，最终以该等检测结果为准。其中检测项目为乙方书面报告的超标项目，若复检或检测结果表明进水水质超标，则：</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36.</w:t>
      </w:r>
      <w:r>
        <w:rPr>
          <w:rFonts w:asciiTheme="minorEastAsia" w:hAnsiTheme="minorEastAsia" w:eastAsiaTheme="minorEastAsia"/>
          <w:kern w:val="0"/>
          <w:sz w:val="24"/>
        </w:rPr>
        <w:t>1.1若进水水质指标PH值小于6或大于9，或出现重金属等有毒有害物质含量过高等对污水处理厂生化系统可能产生破坏的严重污染情形时，乙方应立即通知甲方，经甲方同意可暂停污水处理服务，该等暂停视为本协议第</w:t>
      </w:r>
      <w:r>
        <w:rPr>
          <w:rFonts w:hint="eastAsia" w:asciiTheme="minorEastAsia" w:hAnsiTheme="minorEastAsia" w:eastAsiaTheme="minorEastAsia"/>
          <w:kern w:val="0"/>
          <w:sz w:val="24"/>
        </w:rPr>
        <w:t>24.</w:t>
      </w:r>
      <w:r>
        <w:rPr>
          <w:rFonts w:asciiTheme="minorEastAsia" w:hAnsiTheme="minorEastAsia" w:eastAsiaTheme="minorEastAsia"/>
          <w:kern w:val="0"/>
          <w:sz w:val="24"/>
        </w:rPr>
        <w:t>2款所述之计划外暂停；</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36.</w:t>
      </w:r>
      <w:r>
        <w:rPr>
          <w:rFonts w:asciiTheme="minorEastAsia" w:hAnsiTheme="minorEastAsia" w:eastAsiaTheme="minorEastAsia"/>
          <w:kern w:val="0"/>
          <w:sz w:val="24"/>
        </w:rPr>
        <w:t>1.2若</w:t>
      </w:r>
      <w:r>
        <w:rPr>
          <w:rFonts w:asciiTheme="minorEastAsia" w:hAnsiTheme="minorEastAsia" w:eastAsiaTheme="minorEastAsia"/>
          <w:b/>
          <w:sz w:val="24"/>
          <w:u w:val="single"/>
        </w:rPr>
        <w:t xml:space="preserve">  1  </w:t>
      </w:r>
      <w:r>
        <w:rPr>
          <w:rFonts w:asciiTheme="minorEastAsia" w:hAnsiTheme="minorEastAsia" w:eastAsiaTheme="minorEastAsia"/>
          <w:kern w:val="0"/>
          <w:sz w:val="24"/>
        </w:rPr>
        <w:t>＜（其他指标实测浓度值÷进水标准值）≤</w:t>
      </w:r>
      <w:r>
        <w:rPr>
          <w:rFonts w:asciiTheme="minorEastAsia" w:hAnsiTheme="minorEastAsia" w:eastAsiaTheme="minorEastAsia"/>
          <w:b/>
          <w:sz w:val="24"/>
          <w:u w:val="single"/>
        </w:rPr>
        <w:t xml:space="preserve">  1.1  </w:t>
      </w:r>
      <w:r>
        <w:rPr>
          <w:rFonts w:asciiTheme="minorEastAsia" w:hAnsiTheme="minorEastAsia" w:eastAsiaTheme="minorEastAsia"/>
          <w:kern w:val="0"/>
          <w:sz w:val="24"/>
        </w:rPr>
        <w:t>，在持续超标</w:t>
      </w:r>
      <w:r>
        <w:rPr>
          <w:rFonts w:asciiTheme="minorEastAsia" w:hAnsiTheme="minorEastAsia" w:eastAsiaTheme="minorEastAsia"/>
          <w:kern w:val="0"/>
          <w:sz w:val="24"/>
          <w:u w:val="single"/>
        </w:rPr>
        <w:t xml:space="preserve">  3  </w:t>
      </w:r>
      <w:r>
        <w:rPr>
          <w:rFonts w:asciiTheme="minorEastAsia" w:hAnsiTheme="minorEastAsia" w:eastAsiaTheme="minorEastAsia"/>
          <w:kern w:val="0"/>
          <w:sz w:val="24"/>
        </w:rPr>
        <w:t>日内乙方负有确保出水水质符合出水标准之义务；</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36.</w:t>
      </w:r>
      <w:r>
        <w:rPr>
          <w:rFonts w:asciiTheme="minorEastAsia" w:hAnsiTheme="minorEastAsia" w:eastAsiaTheme="minorEastAsia"/>
          <w:kern w:val="0"/>
          <w:sz w:val="24"/>
        </w:rPr>
        <w:t>1.3若</w:t>
      </w:r>
      <w:r>
        <w:rPr>
          <w:rFonts w:asciiTheme="minorEastAsia" w:hAnsiTheme="minorEastAsia" w:eastAsiaTheme="minorEastAsia"/>
          <w:b/>
          <w:sz w:val="24"/>
          <w:u w:val="single"/>
        </w:rPr>
        <w:t xml:space="preserve">  1  </w:t>
      </w:r>
      <w:r>
        <w:rPr>
          <w:rFonts w:asciiTheme="minorEastAsia" w:hAnsiTheme="minorEastAsia" w:eastAsiaTheme="minorEastAsia"/>
          <w:kern w:val="0"/>
          <w:sz w:val="24"/>
        </w:rPr>
        <w:t>＜（其他指标实测浓度值÷进水标准值）≤</w:t>
      </w:r>
      <w:r>
        <w:rPr>
          <w:rFonts w:asciiTheme="minorEastAsia" w:hAnsiTheme="minorEastAsia" w:eastAsiaTheme="minorEastAsia"/>
          <w:b/>
          <w:sz w:val="24"/>
          <w:u w:val="single"/>
        </w:rPr>
        <w:t xml:space="preserve">   1.1 </w:t>
      </w:r>
      <w:r>
        <w:rPr>
          <w:rFonts w:asciiTheme="minorEastAsia" w:hAnsiTheme="minorEastAsia" w:eastAsiaTheme="minorEastAsia"/>
          <w:kern w:val="0"/>
          <w:sz w:val="24"/>
        </w:rPr>
        <w:t>，则乙方在进水超标期间应保证出水指标达到经批复的初步设计文件约定的去除率；</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36.</w:t>
      </w:r>
      <w:r>
        <w:rPr>
          <w:rFonts w:asciiTheme="minorEastAsia" w:hAnsiTheme="minorEastAsia" w:eastAsiaTheme="minorEastAsia"/>
          <w:kern w:val="0"/>
          <w:sz w:val="24"/>
        </w:rPr>
        <w:t>1.4若（其他指标实测浓度值÷进水标准值）＞</w:t>
      </w:r>
      <w:r>
        <w:rPr>
          <w:rFonts w:asciiTheme="minorEastAsia" w:hAnsiTheme="minorEastAsia" w:eastAsiaTheme="minorEastAsia"/>
          <w:b/>
          <w:sz w:val="24"/>
          <w:u w:val="single"/>
        </w:rPr>
        <w:t xml:space="preserve"> 1.1   </w:t>
      </w:r>
      <w:r>
        <w:rPr>
          <w:rFonts w:asciiTheme="minorEastAsia" w:hAnsiTheme="minorEastAsia" w:eastAsiaTheme="minorEastAsia"/>
          <w:kern w:val="0"/>
          <w:sz w:val="24"/>
        </w:rPr>
        <w:t>，乙方仍应尽力处理，但对于出水超标情形免除乙方的违约责任。</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由于以上原因导致的出水水质超标，可作为乙方免责的依据，在乙方满足本协议约定的其他相关要求的前提下，甲方应按期足额支付乙方服务费并就乙方因因此受到行政处罚并处以罚款或被要求缴纳环境保护税的金额据实补偿。</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36.</w:t>
      </w:r>
      <w:r>
        <w:rPr>
          <w:rFonts w:asciiTheme="minorEastAsia" w:hAnsiTheme="minorEastAsia" w:eastAsiaTheme="minorEastAsia"/>
          <w:kern w:val="0"/>
          <w:sz w:val="24"/>
        </w:rPr>
        <w:t>2进水水质不符合进水标准时，乙方应采取应急处理措施，但仍应按谨慎运营惯例运营污水处理厂，以使污水处理厂发挥最大污水处理能力。</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36.</w:t>
      </w:r>
      <w:r>
        <w:rPr>
          <w:rFonts w:asciiTheme="minorEastAsia" w:hAnsiTheme="minorEastAsia" w:eastAsiaTheme="minorEastAsia"/>
          <w:kern w:val="0"/>
          <w:sz w:val="24"/>
        </w:rPr>
        <w:t>3进水水质长期超标</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对于除PH值和有毒有害物质含量之外的任一进水水质指标，若（实测浓度值÷进水标准值）＞</w:t>
      </w:r>
      <w:r>
        <w:rPr>
          <w:rFonts w:asciiTheme="minorEastAsia" w:hAnsiTheme="minorEastAsia" w:eastAsiaTheme="minorEastAsia"/>
          <w:b/>
          <w:sz w:val="24"/>
          <w:u w:val="single"/>
        </w:rPr>
        <w:t xml:space="preserve">  1  </w:t>
      </w:r>
      <w:r>
        <w:rPr>
          <w:rFonts w:asciiTheme="minorEastAsia" w:hAnsiTheme="minorEastAsia" w:eastAsiaTheme="minorEastAsia"/>
          <w:kern w:val="0"/>
          <w:sz w:val="24"/>
        </w:rPr>
        <w:t>之情形持续</w:t>
      </w:r>
      <w:r>
        <w:rPr>
          <w:rFonts w:asciiTheme="minorEastAsia" w:hAnsiTheme="minorEastAsia" w:eastAsiaTheme="minorEastAsia"/>
          <w:b/>
          <w:sz w:val="24"/>
          <w:u w:val="single"/>
        </w:rPr>
        <w:t xml:space="preserve"> 3 </w:t>
      </w:r>
      <w:r>
        <w:rPr>
          <w:rFonts w:asciiTheme="minorEastAsia" w:hAnsiTheme="minorEastAsia" w:eastAsiaTheme="minorEastAsia"/>
          <w:kern w:val="0"/>
          <w:sz w:val="24"/>
        </w:rPr>
        <w:t>日，乙方可向甲方提出申请，通过改变或增加污水处理设施、工艺及设备等方式，尽力与甲方共同寻求污水达标处理的解决方案</w:t>
      </w:r>
      <w:r>
        <w:rPr>
          <w:rFonts w:hint="eastAsia" w:asciiTheme="minorEastAsia" w:hAnsiTheme="minorEastAsia" w:eastAsiaTheme="minorEastAsia"/>
          <w:kern w:val="0"/>
          <w:sz w:val="24"/>
        </w:rPr>
        <w:t>，</w:t>
      </w:r>
      <w:r>
        <w:rPr>
          <w:rFonts w:asciiTheme="minorEastAsia" w:hAnsiTheme="minorEastAsia" w:eastAsiaTheme="minorEastAsia"/>
          <w:kern w:val="0"/>
          <w:sz w:val="24"/>
        </w:rPr>
        <w:t>相应的成本变化根据《PPP</w:t>
      </w:r>
      <w:r>
        <w:rPr>
          <w:rFonts w:hint="eastAsia" w:asciiTheme="minorEastAsia" w:hAnsiTheme="minorEastAsia" w:eastAsiaTheme="minorEastAsia"/>
          <w:kern w:val="0"/>
          <w:sz w:val="24"/>
        </w:rPr>
        <w:t>项目</w:t>
      </w:r>
      <w:r>
        <w:rPr>
          <w:rFonts w:asciiTheme="minorEastAsia" w:hAnsiTheme="minorEastAsia" w:eastAsiaTheme="minorEastAsia"/>
          <w:kern w:val="0"/>
          <w:sz w:val="24"/>
        </w:rPr>
        <w:t>合同》的相关约定执行。</w:t>
      </w:r>
    </w:p>
    <w:p>
      <w:pPr>
        <w:pStyle w:val="3"/>
        <w:spacing w:line="360" w:lineRule="auto"/>
        <w:rPr>
          <w:rFonts w:asciiTheme="minorEastAsia" w:hAnsiTheme="minorEastAsia"/>
          <w:b w:val="0"/>
        </w:rPr>
      </w:pPr>
      <w:bookmarkStart w:id="590" w:name="_Toc50993503"/>
      <w:bookmarkStart w:id="591" w:name="_Toc32383"/>
      <w:r>
        <w:rPr>
          <w:rFonts w:hint="eastAsia" w:asciiTheme="minorEastAsia" w:hAnsiTheme="minorEastAsia"/>
          <w:b w:val="0"/>
        </w:rPr>
        <w:t xml:space="preserve">第三节 </w:t>
      </w:r>
      <w:r>
        <w:rPr>
          <w:rFonts w:asciiTheme="minorEastAsia" w:hAnsiTheme="minorEastAsia"/>
          <w:b w:val="0"/>
        </w:rPr>
        <w:t>污水计量</w:t>
      </w:r>
      <w:bookmarkEnd w:id="590"/>
      <w:bookmarkEnd w:id="591"/>
    </w:p>
    <w:p>
      <w:pPr>
        <w:pStyle w:val="4"/>
        <w:rPr>
          <w:rFonts w:asciiTheme="minorEastAsia" w:hAnsiTheme="minorEastAsia" w:eastAsiaTheme="minorEastAsia"/>
        </w:rPr>
      </w:pPr>
      <w:bookmarkStart w:id="592" w:name="_Toc13551"/>
      <w:r>
        <w:rPr>
          <w:rFonts w:asciiTheme="minorEastAsia" w:hAnsiTheme="minorEastAsia" w:eastAsiaTheme="minorEastAsia"/>
        </w:rPr>
        <w:t>第37条 进、出水流量计</w:t>
      </w:r>
      <w:bookmarkEnd w:id="592"/>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37.</w:t>
      </w:r>
      <w:r>
        <w:rPr>
          <w:rFonts w:asciiTheme="minorEastAsia" w:hAnsiTheme="minorEastAsia" w:eastAsiaTheme="minorEastAsia"/>
          <w:kern w:val="0"/>
          <w:sz w:val="24"/>
        </w:rPr>
        <w:t>1流量计的选用</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sz w:val="24"/>
        </w:rPr>
        <w:t>乙方应在进水点和出水点连续测量、计算和记录提取的水量。流量计的型号、规格及技术指标应当符合有关计量器具的适用法律规定，并由</w:t>
      </w:r>
      <w:r>
        <w:rPr>
          <w:rFonts w:asciiTheme="minorEastAsia" w:hAnsiTheme="minorEastAsia" w:eastAsiaTheme="minorEastAsia"/>
          <w:kern w:val="0"/>
          <w:sz w:val="24"/>
        </w:rPr>
        <w:t>乙方报甲方及相关行政职能部门批准</w:t>
      </w:r>
      <w:r>
        <w:rPr>
          <w:rFonts w:asciiTheme="minorEastAsia" w:hAnsiTheme="minorEastAsia" w:eastAsiaTheme="minorEastAsia"/>
          <w:sz w:val="24"/>
        </w:rPr>
        <w:t>后方可使用</w:t>
      </w:r>
      <w:r>
        <w:rPr>
          <w:rFonts w:asciiTheme="minorEastAsia" w:hAnsiTheme="minorEastAsia" w:eastAsiaTheme="minorEastAsia"/>
          <w:kern w:val="0"/>
          <w:sz w:val="24"/>
        </w:rPr>
        <w:t>。</w:t>
      </w:r>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37.</w:t>
      </w:r>
      <w:r>
        <w:rPr>
          <w:rFonts w:asciiTheme="minorEastAsia" w:hAnsiTheme="minorEastAsia" w:eastAsiaTheme="minorEastAsia"/>
          <w:kern w:val="0"/>
          <w:sz w:val="24"/>
        </w:rPr>
        <w:t>2流量计的首检</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当每一个进、出水流量计首次应用于本项目时，都应在乙方通知甲方参加的情况下，由具备法定资质的检测机构或仪表生产厂家对流量计进行检查、检定和校准，检验合格方能投入使用,产生的费用由乙方承担。</w:t>
      </w:r>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37.</w:t>
      </w:r>
      <w:r>
        <w:rPr>
          <w:rFonts w:asciiTheme="minorEastAsia" w:hAnsiTheme="minorEastAsia" w:eastAsiaTheme="minorEastAsia"/>
          <w:kern w:val="0"/>
          <w:sz w:val="24"/>
        </w:rPr>
        <w:t>3流量计的安装</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乙方安装、更换、维修流量计时均需提前</w:t>
      </w:r>
      <w:r>
        <w:rPr>
          <w:rFonts w:asciiTheme="minorEastAsia" w:hAnsiTheme="minorEastAsia" w:eastAsiaTheme="minorEastAsia"/>
          <w:b/>
          <w:sz w:val="30"/>
          <w:szCs w:val="30"/>
          <w:u w:val="single"/>
        </w:rPr>
        <w:t xml:space="preserve">  </w:t>
      </w:r>
      <w:r>
        <w:rPr>
          <w:rFonts w:asciiTheme="minorEastAsia" w:hAnsiTheme="minorEastAsia" w:eastAsiaTheme="minorEastAsia"/>
          <w:b/>
          <w:sz w:val="24"/>
          <w:u w:val="single"/>
        </w:rPr>
        <w:t xml:space="preserve">3 </w:t>
      </w:r>
      <w:r>
        <w:rPr>
          <w:rFonts w:asciiTheme="minorEastAsia" w:hAnsiTheme="minorEastAsia" w:eastAsiaTheme="minorEastAsia"/>
          <w:b/>
          <w:sz w:val="30"/>
          <w:szCs w:val="30"/>
          <w:u w:val="single"/>
        </w:rPr>
        <w:t xml:space="preserve"> </w:t>
      </w:r>
      <w:r>
        <w:rPr>
          <w:rFonts w:asciiTheme="minorEastAsia" w:hAnsiTheme="minorEastAsia" w:eastAsiaTheme="minorEastAsia"/>
          <w:kern w:val="0"/>
          <w:sz w:val="24"/>
        </w:rPr>
        <w:t>日内书面通知甲方，甲方有权指派代表监督安装、更换、维修流量计的全过程。</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本项目设施范围内的污水处理厂的每个进、出水流量计均应被安装在甲方同意的密封、安全和透明的装置内，并按照甲方要求进行保护。</w:t>
      </w:r>
    </w:p>
    <w:p>
      <w:pPr>
        <w:pStyle w:val="4"/>
        <w:rPr>
          <w:rFonts w:asciiTheme="minorEastAsia" w:hAnsiTheme="minorEastAsia" w:eastAsiaTheme="minorEastAsia"/>
        </w:rPr>
      </w:pPr>
      <w:bookmarkStart w:id="593" w:name="_Toc13848"/>
      <w:r>
        <w:rPr>
          <w:rFonts w:asciiTheme="minorEastAsia" w:hAnsiTheme="minorEastAsia" w:eastAsiaTheme="minorEastAsia"/>
        </w:rPr>
        <w:t>第38条 液位计</w:t>
      </w:r>
      <w:bookmarkEnd w:id="593"/>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38.</w:t>
      </w:r>
      <w:r>
        <w:rPr>
          <w:rFonts w:asciiTheme="minorEastAsia" w:hAnsiTheme="minorEastAsia" w:eastAsiaTheme="minorEastAsia"/>
          <w:kern w:val="0"/>
          <w:sz w:val="24"/>
        </w:rPr>
        <w:t>1液位计的选用</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本项目粗格栅井前安装液位计。乙方选购液位计前，须将拟购买之品牌及型号书面报甲方批准，并按前述批准之品牌及型号予以采购。</w:t>
      </w:r>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38.</w:t>
      </w:r>
      <w:r>
        <w:rPr>
          <w:rFonts w:asciiTheme="minorEastAsia" w:hAnsiTheme="minorEastAsia" w:eastAsiaTheme="minorEastAsia"/>
          <w:kern w:val="0"/>
          <w:sz w:val="24"/>
        </w:rPr>
        <w:t>2液位计的首检</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每一个液位计首次应用于本项目时，都应在乙方通知甲方参加的情形下，由具备法定资质的检测机构或仪表生产厂家对液位计进行检查、检定和校准，检验合格后方能投入使用，费用由乙方承担。</w:t>
      </w:r>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38.</w:t>
      </w:r>
      <w:r>
        <w:rPr>
          <w:rFonts w:asciiTheme="minorEastAsia" w:hAnsiTheme="minorEastAsia" w:eastAsiaTheme="minorEastAsia"/>
          <w:kern w:val="0"/>
          <w:sz w:val="24"/>
        </w:rPr>
        <w:t>3液位计的密封</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液位计安装应用于本项目时，应提前</w:t>
      </w:r>
      <w:r>
        <w:rPr>
          <w:rFonts w:asciiTheme="minorEastAsia" w:hAnsiTheme="minorEastAsia" w:eastAsiaTheme="minorEastAsia"/>
          <w:b/>
          <w:sz w:val="24"/>
          <w:u w:val="single"/>
        </w:rPr>
        <w:t xml:space="preserve">  3  </w:t>
      </w:r>
      <w:r>
        <w:rPr>
          <w:rFonts w:asciiTheme="minorEastAsia" w:hAnsiTheme="minorEastAsia" w:eastAsiaTheme="minorEastAsia"/>
          <w:kern w:val="0"/>
          <w:sz w:val="24"/>
        </w:rPr>
        <w:t>日通知甲方代表参与安装实施过程；若届时甲方代表未能参加，则视为甲方已参加安装实施。液位计应被安装在密封、安全和透明的装置内，并按照甲方要求进行保护。</w:t>
      </w:r>
    </w:p>
    <w:p>
      <w:pPr>
        <w:spacing w:before="120" w:beforeLines="50" w:after="120" w:afterLines="50" w:line="360" w:lineRule="auto"/>
        <w:ind w:firstLine="424" w:firstLineChars="177"/>
        <w:outlineLvl w:val="3"/>
        <w:rPr>
          <w:rFonts w:asciiTheme="minorEastAsia" w:hAnsiTheme="minorEastAsia" w:eastAsiaTheme="minorEastAsia"/>
          <w:kern w:val="0"/>
          <w:sz w:val="24"/>
        </w:rPr>
      </w:pPr>
      <w:r>
        <w:rPr>
          <w:rFonts w:hint="eastAsia" w:asciiTheme="minorEastAsia" w:hAnsiTheme="minorEastAsia" w:eastAsiaTheme="minorEastAsia"/>
          <w:kern w:val="0"/>
          <w:sz w:val="24"/>
        </w:rPr>
        <w:t>38.</w:t>
      </w:r>
      <w:r>
        <w:rPr>
          <w:rFonts w:asciiTheme="minorEastAsia" w:hAnsiTheme="minorEastAsia" w:eastAsiaTheme="minorEastAsia"/>
          <w:kern w:val="0"/>
          <w:sz w:val="24"/>
        </w:rPr>
        <w:t>4 计量</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乙方应对粗格栅入流井液位连续测量、计算和记录。本项目自单体污水处理厂开始运营日当日，液位计将在双方代表在场情况下按本项目控制液位的要求决定基数。</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甲方通过在线液位计计量传感装置对液位进行实时监控。若液位计计量传感装置发生故障，则在故障未排除期间，甲方有权随时到液位计安装处对液位进行监控，乙方应给予相应的配合。</w:t>
      </w:r>
    </w:p>
    <w:p>
      <w:pPr>
        <w:pStyle w:val="4"/>
        <w:rPr>
          <w:rFonts w:asciiTheme="minorEastAsia" w:hAnsiTheme="minorEastAsia" w:eastAsiaTheme="minorEastAsia"/>
        </w:rPr>
      </w:pPr>
      <w:bookmarkStart w:id="594" w:name="_Toc4837"/>
      <w:r>
        <w:rPr>
          <w:rFonts w:asciiTheme="minorEastAsia" w:hAnsiTheme="minorEastAsia" w:eastAsiaTheme="minorEastAsia"/>
        </w:rPr>
        <w:t>第39条 流量计计量</w:t>
      </w:r>
      <w:bookmarkEnd w:id="594"/>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39.</w:t>
      </w:r>
      <w:r>
        <w:rPr>
          <w:rFonts w:asciiTheme="minorEastAsia" w:hAnsiTheme="minorEastAsia" w:eastAsiaTheme="minorEastAsia"/>
          <w:kern w:val="0"/>
          <w:sz w:val="24"/>
        </w:rPr>
        <w:t>1乙方应对进、出水流量连续测量、计算和记录。</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39.</w:t>
      </w:r>
      <w:r>
        <w:rPr>
          <w:rFonts w:asciiTheme="minorEastAsia" w:hAnsiTheme="minorEastAsia" w:eastAsiaTheme="minorEastAsia"/>
          <w:kern w:val="0"/>
          <w:sz w:val="24"/>
        </w:rPr>
        <w:t>2 本项目从第一个运营日起开始计量进、出水流量，每三个运营月届满期间累计流量为该季度的进、出水水量。</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39.</w:t>
      </w:r>
      <w:r>
        <w:rPr>
          <w:rFonts w:asciiTheme="minorEastAsia" w:hAnsiTheme="minorEastAsia" w:eastAsiaTheme="minorEastAsia"/>
          <w:kern w:val="0"/>
          <w:sz w:val="24"/>
        </w:rPr>
        <w:t>3 除本协议另有约定外，流量计读数不得归零。若因技术原因必须归零时，乙方应至少提前</w:t>
      </w:r>
      <w:r>
        <w:rPr>
          <w:rFonts w:asciiTheme="minorEastAsia" w:hAnsiTheme="minorEastAsia" w:eastAsiaTheme="minorEastAsia"/>
          <w:b/>
          <w:sz w:val="24"/>
          <w:u w:val="single"/>
        </w:rPr>
        <w:t xml:space="preserve"> 3 </w:t>
      </w:r>
      <w:r>
        <w:rPr>
          <w:rFonts w:asciiTheme="minorEastAsia" w:hAnsiTheme="minorEastAsia" w:eastAsiaTheme="minorEastAsia"/>
          <w:kern w:val="0"/>
          <w:sz w:val="24"/>
        </w:rPr>
        <w:t>日前书面通知甲方，流量计须在双方代表在场的情况下归零。</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39.</w:t>
      </w:r>
      <w:r>
        <w:rPr>
          <w:rFonts w:asciiTheme="minorEastAsia" w:hAnsiTheme="minorEastAsia" w:eastAsiaTheme="minorEastAsia"/>
          <w:kern w:val="0"/>
          <w:sz w:val="24"/>
        </w:rPr>
        <w:t>4实测水量</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39.</w:t>
      </w:r>
      <w:r>
        <w:rPr>
          <w:rFonts w:asciiTheme="minorEastAsia" w:hAnsiTheme="minorEastAsia" w:eastAsiaTheme="minorEastAsia"/>
          <w:kern w:val="0"/>
          <w:sz w:val="24"/>
        </w:rPr>
        <w:t>4.1实测水量以出水流量计读数为准。若进水流量计读数低于出水流量计读数，则实测水量以进水流量计读数为准。</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39.</w:t>
      </w:r>
      <w:r>
        <w:rPr>
          <w:rFonts w:asciiTheme="minorEastAsia" w:hAnsiTheme="minorEastAsia" w:eastAsiaTheme="minorEastAsia"/>
          <w:kern w:val="0"/>
          <w:sz w:val="24"/>
        </w:rPr>
        <w:t>4.2若进水流量计读数和出水流量计读数存在明显差异，则尽快检修流量计，实测水量以前</w:t>
      </w:r>
      <w:r>
        <w:rPr>
          <w:rFonts w:asciiTheme="minorEastAsia" w:hAnsiTheme="minorEastAsia" w:eastAsiaTheme="minorEastAsia"/>
          <w:b/>
          <w:sz w:val="24"/>
          <w:u w:val="single"/>
        </w:rPr>
        <w:t xml:space="preserve"> 10 </w:t>
      </w:r>
      <w:r>
        <w:rPr>
          <w:rFonts w:asciiTheme="minorEastAsia" w:hAnsiTheme="minorEastAsia" w:eastAsiaTheme="minorEastAsia"/>
          <w:kern w:val="0"/>
          <w:sz w:val="24"/>
        </w:rPr>
        <w:t>日的平均实测水量为准。</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39.</w:t>
      </w:r>
      <w:r>
        <w:rPr>
          <w:rFonts w:asciiTheme="minorEastAsia" w:hAnsiTheme="minorEastAsia" w:eastAsiaTheme="minorEastAsia"/>
          <w:kern w:val="0"/>
          <w:sz w:val="24"/>
        </w:rPr>
        <w:t>4.3若出水流量计因不具备工作条件或发生故障等情况暂时不能正常工作时，实测水量以本条所述故障发生之日前</w:t>
      </w:r>
      <w:r>
        <w:rPr>
          <w:rFonts w:asciiTheme="minorEastAsia" w:hAnsiTheme="minorEastAsia" w:eastAsiaTheme="minorEastAsia"/>
          <w:b/>
          <w:sz w:val="24"/>
          <w:u w:val="single"/>
        </w:rPr>
        <w:t xml:space="preserve"> 10 </w:t>
      </w:r>
      <w:r>
        <w:rPr>
          <w:rFonts w:asciiTheme="minorEastAsia" w:hAnsiTheme="minorEastAsia" w:eastAsiaTheme="minorEastAsia"/>
          <w:kern w:val="0"/>
          <w:sz w:val="24"/>
        </w:rPr>
        <w:t>个运营日内平均实测水量为准；乙方应尽量按本协议第</w:t>
      </w:r>
      <w:r>
        <w:rPr>
          <w:rFonts w:hint="eastAsia" w:asciiTheme="minorEastAsia" w:hAnsiTheme="minorEastAsia" w:eastAsiaTheme="minorEastAsia"/>
          <w:kern w:val="0"/>
          <w:sz w:val="24"/>
        </w:rPr>
        <w:t>41.</w:t>
      </w:r>
      <w:r>
        <w:rPr>
          <w:rFonts w:asciiTheme="minorEastAsia" w:hAnsiTheme="minorEastAsia" w:eastAsiaTheme="minorEastAsia"/>
          <w:kern w:val="0"/>
          <w:sz w:val="24"/>
        </w:rPr>
        <w:t>5款约定的时间内完成出水流量计的修复，若因乙方原因未能按时完成修复的，则实测水量以</w:t>
      </w:r>
      <w:r>
        <w:rPr>
          <w:rFonts w:asciiTheme="minorEastAsia" w:hAnsiTheme="minorEastAsia" w:eastAsiaTheme="minorEastAsia"/>
          <w:b/>
          <w:sz w:val="24"/>
          <w:u w:val="single"/>
        </w:rPr>
        <w:t xml:space="preserve"> </w:t>
      </w:r>
      <w:r>
        <w:rPr>
          <w:rFonts w:asciiTheme="minorEastAsia" w:hAnsiTheme="minorEastAsia" w:eastAsiaTheme="minorEastAsia"/>
          <w:kern w:val="0"/>
          <w:sz w:val="24"/>
          <w:u w:val="single"/>
        </w:rPr>
        <w:t>故障发生之日前</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2</w:t>
      </w:r>
      <w:r>
        <w:rPr>
          <w:rFonts w:asciiTheme="minorEastAsia" w:hAnsiTheme="minorEastAsia" w:eastAsiaTheme="minorEastAsia"/>
          <w:b/>
          <w:sz w:val="24"/>
          <w:u w:val="single"/>
        </w:rPr>
        <w:t xml:space="preserve">0 </w:t>
      </w:r>
      <w:r>
        <w:rPr>
          <w:rFonts w:asciiTheme="minorEastAsia" w:hAnsiTheme="minorEastAsia" w:eastAsiaTheme="minorEastAsia"/>
          <w:kern w:val="0"/>
          <w:sz w:val="24"/>
          <w:u w:val="single"/>
        </w:rPr>
        <w:t>个运营日内平均</w:t>
      </w:r>
      <w:r>
        <w:rPr>
          <w:rFonts w:hint="eastAsia" w:asciiTheme="minorEastAsia" w:hAnsiTheme="minorEastAsia" w:eastAsiaTheme="minorEastAsia"/>
          <w:kern w:val="0"/>
          <w:sz w:val="24"/>
          <w:u w:val="single"/>
        </w:rPr>
        <w:t>数</w:t>
      </w:r>
      <w:r>
        <w:rPr>
          <w:rFonts w:asciiTheme="minorEastAsia" w:hAnsiTheme="minorEastAsia" w:eastAsiaTheme="minorEastAsia"/>
          <w:kern w:val="0"/>
          <w:sz w:val="24"/>
        </w:rPr>
        <w:t>为准。</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39.</w:t>
      </w:r>
      <w:r>
        <w:rPr>
          <w:rFonts w:asciiTheme="minorEastAsia" w:hAnsiTheme="minorEastAsia" w:eastAsiaTheme="minorEastAsia"/>
          <w:kern w:val="0"/>
          <w:sz w:val="24"/>
        </w:rPr>
        <w:t>5本协议生效后，甲方与乙方双方应于</w:t>
      </w:r>
      <w:r>
        <w:rPr>
          <w:rFonts w:asciiTheme="minorEastAsia" w:hAnsiTheme="minorEastAsia" w:eastAsiaTheme="minorEastAsia"/>
          <w:b/>
          <w:sz w:val="24"/>
          <w:u w:val="single"/>
        </w:rPr>
        <w:t xml:space="preserve"> 3 </w:t>
      </w:r>
      <w:r>
        <w:rPr>
          <w:rFonts w:asciiTheme="minorEastAsia" w:hAnsiTheme="minorEastAsia" w:eastAsiaTheme="minorEastAsia"/>
          <w:kern w:val="0"/>
          <w:sz w:val="24"/>
        </w:rPr>
        <w:t>日内，联合在进、出水水量计量点对进、出水流量计的读数进行记录并经双方签字确认。如任何一方未参加上述日期的共同读数，另一方可单独读数，并在读数记录单上签字，如该读数未有相反证据证明明显不属实，该读数记录单被视为已得到未参加方的认可。</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39.</w:t>
      </w:r>
      <w:r>
        <w:rPr>
          <w:rFonts w:asciiTheme="minorEastAsia" w:hAnsiTheme="minorEastAsia" w:eastAsiaTheme="minorEastAsia"/>
          <w:kern w:val="0"/>
          <w:sz w:val="24"/>
        </w:rPr>
        <w:t>6乙方应在发现进、出水流量计不能正常工作或接到甲方通知后立即委托有资质的机构进行维修及校准，并应在本协议第</w:t>
      </w:r>
      <w:r>
        <w:rPr>
          <w:rFonts w:hint="eastAsia" w:asciiTheme="minorEastAsia" w:hAnsiTheme="minorEastAsia" w:eastAsiaTheme="minorEastAsia"/>
          <w:kern w:val="0"/>
          <w:sz w:val="24"/>
        </w:rPr>
        <w:t>41.</w:t>
      </w:r>
      <w:r>
        <w:rPr>
          <w:rFonts w:asciiTheme="minorEastAsia" w:hAnsiTheme="minorEastAsia" w:eastAsiaTheme="minorEastAsia"/>
          <w:kern w:val="0"/>
          <w:sz w:val="24"/>
        </w:rPr>
        <w:t>5款约定的时间内完成维修及校准工作。</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39.</w:t>
      </w:r>
      <w:r>
        <w:rPr>
          <w:rFonts w:asciiTheme="minorEastAsia" w:hAnsiTheme="minorEastAsia" w:eastAsiaTheme="minorEastAsia"/>
          <w:kern w:val="0"/>
          <w:sz w:val="24"/>
        </w:rPr>
        <w:t>7在整个合作期内，以后重置或新增的进、出水流量计应按本协议第</w:t>
      </w:r>
      <w:r>
        <w:rPr>
          <w:rFonts w:hint="eastAsia" w:asciiTheme="minorEastAsia" w:hAnsiTheme="minorEastAsia" w:eastAsiaTheme="minorEastAsia"/>
          <w:kern w:val="0"/>
          <w:sz w:val="24"/>
        </w:rPr>
        <w:t>37</w:t>
      </w:r>
      <w:r>
        <w:rPr>
          <w:rFonts w:asciiTheme="minorEastAsia" w:hAnsiTheme="minorEastAsia" w:eastAsiaTheme="minorEastAsia"/>
          <w:kern w:val="0"/>
          <w:sz w:val="24"/>
        </w:rPr>
        <w:t>条的约定操作。</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39.</w:t>
      </w:r>
      <w:r>
        <w:rPr>
          <w:rFonts w:asciiTheme="minorEastAsia" w:hAnsiTheme="minorEastAsia" w:eastAsiaTheme="minorEastAsia"/>
          <w:kern w:val="0"/>
          <w:sz w:val="24"/>
        </w:rPr>
        <w:t>8 如甲方、乙方中的任何一方就水量记录数据存在分歧，双方应首先通过友好协商予以解决，若协商未达成一致则按照《PPP项目合同》第26条约定的争议解决机制予以解决。</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39.</w:t>
      </w:r>
      <w:r>
        <w:rPr>
          <w:rFonts w:asciiTheme="minorEastAsia" w:hAnsiTheme="minorEastAsia" w:eastAsiaTheme="minorEastAsia"/>
          <w:kern w:val="0"/>
          <w:sz w:val="24"/>
        </w:rPr>
        <w:t>9</w:t>
      </w:r>
      <w:r>
        <w:rPr>
          <w:rFonts w:asciiTheme="minorEastAsia" w:hAnsiTheme="minorEastAsia" w:eastAsiaTheme="minorEastAsia"/>
          <w:sz w:val="24"/>
        </w:rPr>
        <w:t>若</w:t>
      </w:r>
      <w:r>
        <w:rPr>
          <w:rFonts w:asciiTheme="minorEastAsia" w:hAnsiTheme="minorEastAsia" w:eastAsiaTheme="minorEastAsia"/>
          <w:kern w:val="0"/>
          <w:sz w:val="24"/>
        </w:rPr>
        <w:t>进水流量</w:t>
      </w:r>
      <w:r>
        <w:rPr>
          <w:rFonts w:asciiTheme="minorEastAsia" w:hAnsiTheme="minorEastAsia" w:eastAsiaTheme="minorEastAsia"/>
          <w:sz w:val="24"/>
        </w:rPr>
        <w:t>超过设计能力，但不足设计能力的</w:t>
      </w:r>
      <w:r>
        <w:rPr>
          <w:rFonts w:asciiTheme="minorEastAsia" w:hAnsiTheme="minorEastAsia" w:eastAsiaTheme="minorEastAsia"/>
          <w:b/>
          <w:sz w:val="24"/>
          <w:u w:val="single"/>
        </w:rPr>
        <w:t xml:space="preserve"> 110 </w:t>
      </w:r>
      <w:r>
        <w:rPr>
          <w:rFonts w:asciiTheme="minorEastAsia" w:hAnsiTheme="minorEastAsia" w:eastAsiaTheme="minorEastAsia"/>
          <w:sz w:val="24"/>
        </w:rPr>
        <w:t>%时，乙方应按照污水排放标准进行污水处理，污水处理服务费按照正常情况下的计费方式计算；若进水流量超过设计能力的</w:t>
      </w:r>
      <w:r>
        <w:rPr>
          <w:rFonts w:asciiTheme="minorEastAsia" w:hAnsiTheme="minorEastAsia" w:eastAsiaTheme="minorEastAsia"/>
          <w:b/>
          <w:sz w:val="24"/>
          <w:u w:val="single"/>
        </w:rPr>
        <w:t xml:space="preserve">  110 </w:t>
      </w:r>
      <w:r>
        <w:rPr>
          <w:rFonts w:asciiTheme="minorEastAsia" w:hAnsiTheme="minorEastAsia" w:eastAsiaTheme="minorEastAsia"/>
          <w:sz w:val="24"/>
        </w:rPr>
        <w:t>%，乙方应尽最大能力处理超出部分后方可排放，对超出部分的污水处理付费事宜，届时由双方协商予以确定。</w:t>
      </w:r>
    </w:p>
    <w:p>
      <w:pPr>
        <w:pStyle w:val="4"/>
        <w:rPr>
          <w:rFonts w:asciiTheme="minorEastAsia" w:hAnsiTheme="minorEastAsia" w:eastAsiaTheme="minorEastAsia"/>
        </w:rPr>
      </w:pPr>
      <w:bookmarkStart w:id="595" w:name="_Toc12946"/>
      <w:r>
        <w:rPr>
          <w:rFonts w:asciiTheme="minorEastAsia" w:hAnsiTheme="minorEastAsia" w:eastAsiaTheme="minorEastAsia"/>
        </w:rPr>
        <w:t>第40条 液位控制(以设计图纸为准)</w:t>
      </w:r>
      <w:bookmarkEnd w:id="595"/>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40.</w:t>
      </w:r>
      <w:r>
        <w:rPr>
          <w:rFonts w:asciiTheme="minorEastAsia" w:hAnsiTheme="minorEastAsia" w:eastAsiaTheme="minorEastAsia"/>
          <w:kern w:val="0"/>
          <w:sz w:val="24"/>
        </w:rPr>
        <w:t>1乙方应按甲方的要求进行液位控制。项目运营期内每日粗格栅入流井液位低于控制液位累计时间不少于</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 xml:space="preserve"> </w:t>
      </w:r>
      <w:r>
        <w:rPr>
          <w:rFonts w:asciiTheme="minorEastAsia" w:hAnsiTheme="minorEastAsia" w:eastAsiaTheme="minorEastAsia"/>
          <w:b/>
          <w:sz w:val="24"/>
          <w:u w:val="single"/>
        </w:rPr>
        <w:t xml:space="preserve"> </w:t>
      </w:r>
      <w:r>
        <w:rPr>
          <w:rFonts w:asciiTheme="minorEastAsia" w:hAnsiTheme="minorEastAsia" w:eastAsiaTheme="minorEastAsia"/>
          <w:kern w:val="0"/>
          <w:sz w:val="24"/>
        </w:rPr>
        <w:t>小时。除非：</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40.</w:t>
      </w:r>
      <w:r>
        <w:rPr>
          <w:rFonts w:asciiTheme="minorEastAsia" w:hAnsiTheme="minorEastAsia" w:eastAsiaTheme="minorEastAsia"/>
          <w:kern w:val="0"/>
          <w:sz w:val="24"/>
        </w:rPr>
        <w:t>1.1实测水量达到设计水量；</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40.</w:t>
      </w:r>
      <w:r>
        <w:rPr>
          <w:rFonts w:asciiTheme="minorEastAsia" w:hAnsiTheme="minorEastAsia" w:eastAsiaTheme="minorEastAsia"/>
          <w:kern w:val="0"/>
          <w:sz w:val="24"/>
        </w:rPr>
        <w:t>1.2在发生计划内暂停以及本协议第</w:t>
      </w:r>
      <w:r>
        <w:rPr>
          <w:rFonts w:hint="eastAsia" w:asciiTheme="minorEastAsia" w:hAnsiTheme="minorEastAsia" w:eastAsiaTheme="minorEastAsia"/>
          <w:kern w:val="0"/>
          <w:sz w:val="24"/>
        </w:rPr>
        <w:t>46.</w:t>
      </w:r>
      <w:r>
        <w:rPr>
          <w:rFonts w:asciiTheme="minorEastAsia" w:hAnsiTheme="minorEastAsia" w:eastAsiaTheme="minorEastAsia"/>
          <w:kern w:val="0"/>
          <w:sz w:val="24"/>
        </w:rPr>
        <w:t>l款和第</w:t>
      </w:r>
      <w:r>
        <w:rPr>
          <w:rFonts w:hint="eastAsia" w:asciiTheme="minorEastAsia" w:hAnsiTheme="minorEastAsia" w:eastAsiaTheme="minorEastAsia"/>
          <w:kern w:val="0"/>
          <w:sz w:val="24"/>
        </w:rPr>
        <w:t>46.</w:t>
      </w:r>
      <w:r>
        <w:rPr>
          <w:rFonts w:asciiTheme="minorEastAsia" w:hAnsiTheme="minorEastAsia" w:eastAsiaTheme="minorEastAsia"/>
          <w:kern w:val="0"/>
          <w:sz w:val="24"/>
        </w:rPr>
        <w:t>2款约定之计划外暂停的部分暂停时，实测水量超过剩余设计水量；</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40.</w:t>
      </w:r>
      <w:r>
        <w:rPr>
          <w:rFonts w:asciiTheme="minorEastAsia" w:hAnsiTheme="minorEastAsia" w:eastAsiaTheme="minorEastAsia"/>
          <w:kern w:val="0"/>
          <w:sz w:val="24"/>
        </w:rPr>
        <w:t>1.3除本协议另有约定外，本款所述的实测水量及设计水量均为本项目中各单体污水处理厂相应水量。</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40.</w:t>
      </w:r>
      <w:r>
        <w:rPr>
          <w:rFonts w:asciiTheme="minorEastAsia" w:hAnsiTheme="minorEastAsia" w:eastAsiaTheme="minorEastAsia"/>
          <w:kern w:val="0"/>
          <w:sz w:val="24"/>
        </w:rPr>
        <w:t>2甲方确定的警戒液位为管顶标高以上</w:t>
      </w:r>
      <w:r>
        <w:rPr>
          <w:rFonts w:asciiTheme="minorEastAsia" w:hAnsiTheme="minorEastAsia" w:eastAsiaTheme="minorEastAsia"/>
          <w:b/>
          <w:sz w:val="24"/>
          <w:u w:val="single"/>
        </w:rPr>
        <w:t xml:space="preserve">  \  </w:t>
      </w:r>
      <w:r>
        <w:rPr>
          <w:rFonts w:asciiTheme="minorEastAsia" w:hAnsiTheme="minorEastAsia" w:eastAsiaTheme="minorEastAsia"/>
          <w:kern w:val="0"/>
          <w:sz w:val="24"/>
        </w:rPr>
        <w:t>米。当粗格栅入流井液位超越警戒液位时，乙方应于</w:t>
      </w:r>
      <w:r>
        <w:rPr>
          <w:rFonts w:asciiTheme="minorEastAsia" w:hAnsiTheme="minorEastAsia" w:eastAsiaTheme="minorEastAsia"/>
          <w:b/>
          <w:sz w:val="24"/>
          <w:u w:val="single"/>
        </w:rPr>
        <w:t xml:space="preserve">  \  </w:t>
      </w:r>
      <w:r>
        <w:rPr>
          <w:rFonts w:asciiTheme="minorEastAsia" w:hAnsiTheme="minorEastAsia" w:eastAsiaTheme="minorEastAsia"/>
          <w:kern w:val="0"/>
          <w:sz w:val="24"/>
        </w:rPr>
        <w:t>分钟内通知甲方。</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40.</w:t>
      </w:r>
      <w:r>
        <w:rPr>
          <w:rFonts w:asciiTheme="minorEastAsia" w:hAnsiTheme="minorEastAsia" w:eastAsiaTheme="minorEastAsia"/>
          <w:kern w:val="0"/>
          <w:sz w:val="24"/>
        </w:rPr>
        <w:t>3合作期内，甲方有权根据届时污水处理厂收集范围的变化和污水处理厂实际运行情况对控制液位和警戒液位做调整，并书面通知乙方。乙方在收到该书面通知后应立即参照本协议第</w:t>
      </w:r>
      <w:r>
        <w:rPr>
          <w:rFonts w:hint="eastAsia" w:asciiTheme="minorEastAsia" w:hAnsiTheme="minorEastAsia" w:eastAsiaTheme="minorEastAsia"/>
          <w:kern w:val="0"/>
          <w:sz w:val="24"/>
        </w:rPr>
        <w:t>40.</w:t>
      </w:r>
      <w:r>
        <w:rPr>
          <w:rFonts w:asciiTheme="minorEastAsia" w:hAnsiTheme="minorEastAsia" w:eastAsiaTheme="minorEastAsia"/>
          <w:kern w:val="0"/>
          <w:sz w:val="24"/>
        </w:rPr>
        <w:t>1款的约定来执行新的控制液位和警戒液位。</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40.</w:t>
      </w:r>
      <w:r>
        <w:rPr>
          <w:rFonts w:asciiTheme="minorEastAsia" w:hAnsiTheme="minorEastAsia" w:eastAsiaTheme="minorEastAsia"/>
          <w:kern w:val="0"/>
          <w:sz w:val="24"/>
        </w:rPr>
        <w:t>4考虑到整体管理的需要，当出现本协议第</w:t>
      </w:r>
      <w:r>
        <w:rPr>
          <w:rFonts w:hint="eastAsia" w:asciiTheme="minorEastAsia" w:hAnsiTheme="minorEastAsia" w:eastAsiaTheme="minorEastAsia"/>
          <w:kern w:val="0"/>
          <w:sz w:val="24"/>
        </w:rPr>
        <w:t>40.</w:t>
      </w:r>
      <w:r>
        <w:rPr>
          <w:rFonts w:asciiTheme="minorEastAsia" w:hAnsiTheme="minorEastAsia" w:eastAsiaTheme="minorEastAsia"/>
          <w:kern w:val="0"/>
          <w:sz w:val="24"/>
        </w:rPr>
        <w:t>1.1款、第</w:t>
      </w:r>
      <w:r>
        <w:rPr>
          <w:rFonts w:hint="eastAsia" w:asciiTheme="minorEastAsia" w:hAnsiTheme="minorEastAsia" w:eastAsiaTheme="minorEastAsia"/>
          <w:kern w:val="0"/>
          <w:sz w:val="24"/>
        </w:rPr>
        <w:t>40.</w:t>
      </w:r>
      <w:r>
        <w:rPr>
          <w:rFonts w:asciiTheme="minorEastAsia" w:hAnsiTheme="minorEastAsia" w:eastAsiaTheme="minorEastAsia"/>
          <w:kern w:val="0"/>
          <w:sz w:val="24"/>
        </w:rPr>
        <w:t>1.2款、第</w:t>
      </w:r>
      <w:r>
        <w:rPr>
          <w:rFonts w:hint="eastAsia" w:asciiTheme="minorEastAsia" w:hAnsiTheme="minorEastAsia" w:eastAsiaTheme="minorEastAsia"/>
          <w:kern w:val="0"/>
          <w:sz w:val="24"/>
        </w:rPr>
        <w:t>40.</w:t>
      </w:r>
      <w:r>
        <w:rPr>
          <w:rFonts w:asciiTheme="minorEastAsia" w:hAnsiTheme="minorEastAsia" w:eastAsiaTheme="minorEastAsia"/>
          <w:kern w:val="0"/>
          <w:sz w:val="24"/>
        </w:rPr>
        <w:t>1.3款约定之情形时，甲方仍然可要求乙方按照要求进行液位控制，乙方应及时执行。由此产生的相关问题及事项，届时由双方协商确定。</w:t>
      </w:r>
    </w:p>
    <w:p>
      <w:pPr>
        <w:spacing w:before="120" w:beforeLines="50" w:after="120" w:afterLines="50" w:line="360" w:lineRule="auto"/>
        <w:ind w:firstLine="480" w:firstLineChars="200"/>
        <w:rPr>
          <w:rFonts w:asciiTheme="minorEastAsia" w:hAnsiTheme="minorEastAsia" w:eastAsiaTheme="minorEastAsia"/>
        </w:rPr>
      </w:pPr>
      <w:r>
        <w:rPr>
          <w:rFonts w:hint="eastAsia" w:asciiTheme="minorEastAsia" w:hAnsiTheme="minorEastAsia" w:eastAsiaTheme="minorEastAsia"/>
          <w:kern w:val="0"/>
          <w:sz w:val="24"/>
        </w:rPr>
        <w:t>40.</w:t>
      </w:r>
      <w:r>
        <w:rPr>
          <w:rFonts w:asciiTheme="minorEastAsia" w:hAnsiTheme="minorEastAsia" w:eastAsiaTheme="minorEastAsia"/>
          <w:kern w:val="0"/>
          <w:sz w:val="24"/>
        </w:rPr>
        <w:t>5若乙方违反本协议第</w:t>
      </w:r>
      <w:r>
        <w:rPr>
          <w:rFonts w:hint="eastAsia" w:asciiTheme="minorEastAsia" w:hAnsiTheme="minorEastAsia" w:eastAsiaTheme="minorEastAsia"/>
          <w:kern w:val="0"/>
          <w:sz w:val="24"/>
        </w:rPr>
        <w:t>40.</w:t>
      </w:r>
      <w:r>
        <w:rPr>
          <w:rFonts w:asciiTheme="minorEastAsia" w:hAnsiTheme="minorEastAsia" w:eastAsiaTheme="minorEastAsia"/>
          <w:kern w:val="0"/>
          <w:sz w:val="24"/>
        </w:rPr>
        <w:t>1款的约定，乙方应当自甲方发出整改通知之时</w:t>
      </w:r>
      <w:r>
        <w:rPr>
          <w:rFonts w:asciiTheme="minorEastAsia" w:hAnsiTheme="minorEastAsia" w:eastAsiaTheme="minorEastAsia"/>
          <w:kern w:val="0"/>
          <w:sz w:val="24"/>
          <w:u w:val="single"/>
        </w:rPr>
        <w:t xml:space="preserve">   \   </w:t>
      </w:r>
      <w:r>
        <w:rPr>
          <w:rFonts w:asciiTheme="minorEastAsia" w:hAnsiTheme="minorEastAsia" w:eastAsiaTheme="minorEastAsia"/>
          <w:kern w:val="0"/>
          <w:sz w:val="24"/>
        </w:rPr>
        <w:t>小时内恢复到控制液位以下；若乙方违反本协议第</w:t>
      </w:r>
      <w:r>
        <w:rPr>
          <w:rFonts w:hint="eastAsia" w:asciiTheme="minorEastAsia" w:hAnsiTheme="minorEastAsia" w:eastAsiaTheme="minorEastAsia"/>
          <w:kern w:val="0"/>
          <w:sz w:val="24"/>
        </w:rPr>
        <w:t>40.</w:t>
      </w:r>
      <w:r>
        <w:rPr>
          <w:rFonts w:asciiTheme="minorEastAsia" w:hAnsiTheme="minorEastAsia" w:eastAsiaTheme="minorEastAsia"/>
          <w:kern w:val="0"/>
          <w:sz w:val="24"/>
        </w:rPr>
        <w:t>2 款的约定，乙方应当自甲方发出整改通知之时起</w:t>
      </w:r>
      <w:r>
        <w:rPr>
          <w:rFonts w:asciiTheme="minorEastAsia" w:hAnsiTheme="minorEastAsia" w:eastAsiaTheme="minorEastAsia"/>
          <w:kern w:val="0"/>
          <w:sz w:val="24"/>
          <w:u w:val="single"/>
        </w:rPr>
        <w:t xml:space="preserve">   \ </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小时内恢复到控制液位以下。</w:t>
      </w:r>
    </w:p>
    <w:p>
      <w:pPr>
        <w:pStyle w:val="3"/>
        <w:spacing w:line="360" w:lineRule="auto"/>
        <w:rPr>
          <w:rFonts w:asciiTheme="minorEastAsia" w:hAnsiTheme="minorEastAsia"/>
          <w:b w:val="0"/>
        </w:rPr>
      </w:pPr>
      <w:bookmarkStart w:id="596" w:name="_Toc50993504"/>
      <w:bookmarkStart w:id="597" w:name="_Toc27773"/>
      <w:r>
        <w:rPr>
          <w:rFonts w:hint="eastAsia" w:asciiTheme="minorEastAsia" w:hAnsiTheme="minorEastAsia"/>
          <w:b w:val="0"/>
        </w:rPr>
        <w:t xml:space="preserve">第四节 </w:t>
      </w:r>
      <w:r>
        <w:rPr>
          <w:rFonts w:asciiTheme="minorEastAsia" w:hAnsiTheme="minorEastAsia"/>
          <w:b w:val="0"/>
        </w:rPr>
        <w:t>仪表校准及管理</w:t>
      </w:r>
      <w:bookmarkEnd w:id="596"/>
      <w:bookmarkEnd w:id="597"/>
    </w:p>
    <w:p>
      <w:pPr>
        <w:pStyle w:val="4"/>
        <w:rPr>
          <w:rFonts w:asciiTheme="minorEastAsia" w:hAnsiTheme="minorEastAsia" w:eastAsiaTheme="minorEastAsia"/>
        </w:rPr>
      </w:pPr>
      <w:bookmarkStart w:id="598" w:name="_Toc600"/>
      <w:r>
        <w:rPr>
          <w:rFonts w:asciiTheme="minorEastAsia" w:hAnsiTheme="minorEastAsia" w:eastAsiaTheme="minorEastAsia"/>
        </w:rPr>
        <w:t>第41条 测量仪表校准</w:t>
      </w:r>
      <w:bookmarkEnd w:id="598"/>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41.</w:t>
      </w:r>
      <w:r>
        <w:rPr>
          <w:rFonts w:asciiTheme="minorEastAsia" w:hAnsiTheme="minorEastAsia" w:eastAsiaTheme="minorEastAsia"/>
          <w:kern w:val="0"/>
          <w:sz w:val="24"/>
        </w:rPr>
        <w:t>1乙方应按照《中华人民共和国强制检定的工作计量器具检定管理办法》（国发〔1987〕3l号）等规定对水质检测设备进行校验。</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41.</w:t>
      </w:r>
      <w:r>
        <w:rPr>
          <w:rFonts w:asciiTheme="minorEastAsia" w:hAnsiTheme="minorEastAsia" w:eastAsiaTheme="minorEastAsia"/>
          <w:kern w:val="0"/>
          <w:sz w:val="24"/>
        </w:rPr>
        <w:t>2流量计、液位计和在线检测仪表应按国家规定周期委托具有法定资质的检测机构或仪表生产厂家进行核准，该等核准的费用应由乙方予以承担。</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41.</w:t>
      </w:r>
      <w:r>
        <w:rPr>
          <w:rFonts w:asciiTheme="minorEastAsia" w:hAnsiTheme="minorEastAsia" w:eastAsiaTheme="minorEastAsia"/>
          <w:kern w:val="0"/>
          <w:sz w:val="24"/>
        </w:rPr>
        <w:t>3 任一方经书面通知对方后，可随时要求对任何流量计、液位计和水质监测仪表进行检查和校准。此等非定期的检查和校准费用由要求进行该等检查 和校准的一方承担。但如检查和校准的结果显示有关流量计、液位计、水质监 测仪表不准确，则上述费用由乙方自行承担，不计入水价调整依据。</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41.</w:t>
      </w:r>
      <w:r>
        <w:rPr>
          <w:rFonts w:asciiTheme="minorEastAsia" w:hAnsiTheme="minorEastAsia" w:eastAsiaTheme="minorEastAsia"/>
          <w:kern w:val="0"/>
          <w:sz w:val="24"/>
        </w:rPr>
        <w:t>4 乙方应记录对流量计、液位计和水质监测仪表每次定期和非定期的检查和校准结果并在收到检测报告后</w:t>
      </w:r>
      <w:r>
        <w:rPr>
          <w:rFonts w:asciiTheme="minorEastAsia" w:hAnsiTheme="minorEastAsia" w:eastAsiaTheme="minorEastAsia"/>
          <w:b/>
          <w:sz w:val="24"/>
          <w:u w:val="single"/>
        </w:rPr>
        <w:t xml:space="preserve"> 7 </w:t>
      </w:r>
      <w:r>
        <w:rPr>
          <w:rFonts w:asciiTheme="minorEastAsia" w:hAnsiTheme="minorEastAsia" w:eastAsiaTheme="minorEastAsia"/>
          <w:kern w:val="0"/>
          <w:sz w:val="24"/>
        </w:rPr>
        <w:t>日内将该等结果的复印件提供给甲方。</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41.</w:t>
      </w:r>
      <w:r>
        <w:rPr>
          <w:rFonts w:asciiTheme="minorEastAsia" w:hAnsiTheme="minorEastAsia" w:eastAsiaTheme="minorEastAsia"/>
          <w:kern w:val="0"/>
          <w:sz w:val="24"/>
        </w:rPr>
        <w:t>5 任何一方发现并证明任何流量计、液位计和水质监测仪表或其他仪表不准确的，乙方应委托具备法定资质的检测机构或仪表生产厂家对前述仪表进行检测和校准。乙方应在发现前述仪表不能正常工作或接到甲方通知后立即委托前述机构进行维修及校准，承担相应费用，并应在以下较短时间内完成校准、维修或更换工作：</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41.</w:t>
      </w:r>
      <w:r>
        <w:rPr>
          <w:rFonts w:asciiTheme="minorEastAsia" w:hAnsiTheme="minorEastAsia" w:eastAsiaTheme="minorEastAsia"/>
          <w:kern w:val="0"/>
          <w:sz w:val="24"/>
        </w:rPr>
        <w:t>5.1自乙方发现流量计、液位计和水质监测仪表或其他仪表不能正常工作后</w:t>
      </w:r>
      <w:r>
        <w:rPr>
          <w:rFonts w:asciiTheme="minorEastAsia" w:hAnsiTheme="minorEastAsia" w:eastAsiaTheme="minorEastAsia"/>
          <w:b/>
          <w:sz w:val="24"/>
          <w:u w:val="single"/>
        </w:rPr>
        <w:t xml:space="preserve">   7 </w:t>
      </w:r>
      <w:r>
        <w:rPr>
          <w:rFonts w:asciiTheme="minorEastAsia" w:hAnsiTheme="minorEastAsia" w:eastAsiaTheme="minorEastAsia"/>
          <w:kern w:val="0"/>
          <w:sz w:val="24"/>
        </w:rPr>
        <w:t>日内或双方书面同意的更长期间内；</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41.</w:t>
      </w:r>
      <w:r>
        <w:rPr>
          <w:rFonts w:asciiTheme="minorEastAsia" w:hAnsiTheme="minorEastAsia" w:eastAsiaTheme="minorEastAsia"/>
          <w:kern w:val="0"/>
          <w:sz w:val="24"/>
        </w:rPr>
        <w:t>5.2自接到甲方通知后</w:t>
      </w:r>
      <w:r>
        <w:rPr>
          <w:rFonts w:asciiTheme="minorEastAsia" w:hAnsiTheme="minorEastAsia" w:eastAsiaTheme="minorEastAsia"/>
          <w:b/>
          <w:sz w:val="24"/>
          <w:u w:val="single"/>
        </w:rPr>
        <w:t xml:space="preserve">  7 </w:t>
      </w:r>
      <w:r>
        <w:rPr>
          <w:rFonts w:asciiTheme="minorEastAsia" w:hAnsiTheme="minorEastAsia" w:eastAsiaTheme="minorEastAsia"/>
          <w:kern w:val="0"/>
          <w:sz w:val="24"/>
        </w:rPr>
        <w:t>日内或接到前述通知后双方书面同意的更长的期间内。</w:t>
      </w:r>
    </w:p>
    <w:p>
      <w:pPr>
        <w:pStyle w:val="3"/>
        <w:spacing w:line="360" w:lineRule="auto"/>
        <w:rPr>
          <w:rFonts w:asciiTheme="minorEastAsia" w:hAnsiTheme="minorEastAsia"/>
          <w:b w:val="0"/>
        </w:rPr>
      </w:pPr>
      <w:bookmarkStart w:id="599" w:name="_Toc50993505"/>
      <w:bookmarkStart w:id="600" w:name="_Toc2720"/>
      <w:r>
        <w:rPr>
          <w:rFonts w:hint="eastAsia" w:asciiTheme="minorEastAsia" w:hAnsiTheme="minorEastAsia"/>
          <w:b w:val="0"/>
        </w:rPr>
        <w:t xml:space="preserve">第五节 </w:t>
      </w:r>
      <w:r>
        <w:rPr>
          <w:rFonts w:asciiTheme="minorEastAsia" w:hAnsiTheme="minorEastAsia"/>
          <w:b w:val="0"/>
        </w:rPr>
        <w:t>运营维护监管与报告</w:t>
      </w:r>
      <w:bookmarkEnd w:id="599"/>
      <w:bookmarkEnd w:id="600"/>
      <w:r>
        <w:rPr>
          <w:rFonts w:asciiTheme="minorEastAsia" w:hAnsiTheme="minorEastAsia"/>
          <w:b w:val="0"/>
        </w:rPr>
        <w:tab/>
      </w:r>
    </w:p>
    <w:p>
      <w:pPr>
        <w:pStyle w:val="4"/>
        <w:rPr>
          <w:rFonts w:asciiTheme="minorEastAsia" w:hAnsiTheme="minorEastAsia" w:eastAsiaTheme="minorEastAsia"/>
        </w:rPr>
      </w:pPr>
      <w:bookmarkStart w:id="601" w:name="_Toc5682"/>
      <w:r>
        <w:rPr>
          <w:rFonts w:asciiTheme="minorEastAsia" w:hAnsiTheme="minorEastAsia" w:eastAsiaTheme="minorEastAsia"/>
        </w:rPr>
        <w:t>第42条 监管</w:t>
      </w:r>
      <w:bookmarkEnd w:id="601"/>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42.</w:t>
      </w:r>
      <w:r>
        <w:rPr>
          <w:rFonts w:asciiTheme="minorEastAsia" w:hAnsiTheme="minorEastAsia" w:eastAsiaTheme="minorEastAsia"/>
          <w:kern w:val="0"/>
          <w:sz w:val="24"/>
        </w:rPr>
        <w:t>1政府部门或其授权机构按照适用法律规定对乙方或污水处理厂、管网进行的监督、管理和检查以及行政处罚，不受本协议约束，亦不构成乙方在本协议项下义务的免除。其对乙方或污水处理厂、管网监管时所形成的数据、报告和决定，可以作为甲方执行本协议所用，除非本协议另有约定。</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42.</w:t>
      </w:r>
      <w:r>
        <w:rPr>
          <w:rFonts w:asciiTheme="minorEastAsia" w:hAnsiTheme="minorEastAsia" w:eastAsiaTheme="minorEastAsia"/>
          <w:kern w:val="0"/>
          <w:sz w:val="24"/>
        </w:rPr>
        <w:t>2甲方有权依据所有适用法律以及本协议和《绩效评价管理办法》对乙方以及污水处理厂、污水管网的运营进行监督、检验和评价，包括但不限于下列内容：</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42.</w:t>
      </w:r>
      <w:r>
        <w:rPr>
          <w:rFonts w:asciiTheme="minorEastAsia" w:hAnsiTheme="minorEastAsia" w:eastAsiaTheme="minorEastAsia"/>
          <w:kern w:val="0"/>
          <w:sz w:val="24"/>
        </w:rPr>
        <w:t>2.1处理水量；</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42.</w:t>
      </w:r>
      <w:r>
        <w:rPr>
          <w:rFonts w:asciiTheme="minorEastAsia" w:hAnsiTheme="minorEastAsia" w:eastAsiaTheme="minorEastAsia"/>
          <w:kern w:val="0"/>
          <w:sz w:val="24"/>
        </w:rPr>
        <w:t>2.2出水水质及污泥、噪声及臭气；</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42.</w:t>
      </w:r>
      <w:r>
        <w:rPr>
          <w:rFonts w:asciiTheme="minorEastAsia" w:hAnsiTheme="minorEastAsia" w:eastAsiaTheme="minorEastAsia"/>
          <w:kern w:val="0"/>
          <w:sz w:val="24"/>
        </w:rPr>
        <w:t>2.3运行工况；</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42.</w:t>
      </w:r>
      <w:r>
        <w:rPr>
          <w:rFonts w:asciiTheme="minorEastAsia" w:hAnsiTheme="minorEastAsia" w:eastAsiaTheme="minorEastAsia"/>
          <w:kern w:val="0"/>
          <w:sz w:val="24"/>
        </w:rPr>
        <w:t>2.4安全生产；</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42.</w:t>
      </w:r>
      <w:r>
        <w:rPr>
          <w:rFonts w:asciiTheme="minorEastAsia" w:hAnsiTheme="minorEastAsia" w:eastAsiaTheme="minorEastAsia"/>
          <w:kern w:val="0"/>
          <w:sz w:val="24"/>
        </w:rPr>
        <w:t>2.5清洁生产；</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42.</w:t>
      </w:r>
      <w:r>
        <w:rPr>
          <w:rFonts w:asciiTheme="minorEastAsia" w:hAnsiTheme="minorEastAsia" w:eastAsiaTheme="minorEastAsia"/>
          <w:kern w:val="0"/>
          <w:sz w:val="24"/>
        </w:rPr>
        <w:t>2.6管道维护质量；</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42.</w:t>
      </w:r>
      <w:r>
        <w:rPr>
          <w:rFonts w:asciiTheme="minorEastAsia" w:hAnsiTheme="minorEastAsia" w:eastAsiaTheme="minorEastAsia"/>
          <w:kern w:val="0"/>
          <w:sz w:val="24"/>
        </w:rPr>
        <w:t>2.7泵站维护质量；</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42.</w:t>
      </w:r>
      <w:r>
        <w:rPr>
          <w:rFonts w:asciiTheme="minorEastAsia" w:hAnsiTheme="minorEastAsia" w:eastAsiaTheme="minorEastAsia"/>
          <w:kern w:val="0"/>
          <w:sz w:val="24"/>
        </w:rPr>
        <w:t>2.8污泥运输和处置情况；</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42.</w:t>
      </w:r>
      <w:r>
        <w:rPr>
          <w:rFonts w:asciiTheme="minorEastAsia" w:hAnsiTheme="minorEastAsia" w:eastAsiaTheme="minorEastAsia"/>
          <w:kern w:val="0"/>
          <w:sz w:val="24"/>
        </w:rPr>
        <w:t>2.9报告制度。</w:t>
      </w:r>
    </w:p>
    <w:p>
      <w:pPr>
        <w:spacing w:before="120" w:beforeLines="50" w:after="120" w:afterLines="50" w:line="360" w:lineRule="auto"/>
        <w:ind w:firstLine="424" w:firstLineChars="177"/>
        <w:rPr>
          <w:rFonts w:asciiTheme="minorEastAsia" w:hAnsiTheme="minorEastAsia" w:eastAsiaTheme="minorEastAsia"/>
        </w:rPr>
      </w:pPr>
      <w:r>
        <w:rPr>
          <w:rFonts w:hint="eastAsia" w:asciiTheme="minorEastAsia" w:hAnsiTheme="minorEastAsia" w:eastAsiaTheme="minorEastAsia"/>
          <w:kern w:val="0"/>
          <w:sz w:val="24"/>
        </w:rPr>
        <w:t>42.</w:t>
      </w:r>
      <w:r>
        <w:rPr>
          <w:rFonts w:asciiTheme="minorEastAsia" w:hAnsiTheme="minorEastAsia" w:eastAsiaTheme="minorEastAsia"/>
          <w:kern w:val="0"/>
          <w:sz w:val="24"/>
        </w:rPr>
        <w:t>3 乙方应按照相关规范，负责污水处理厂、管网在线监测设施、设备的安装、运行及维护并承担相关费用，并应实现与甲方及相关政府职能部门的联网，以满足甲方及相关政府职能部门的监管需要。</w:t>
      </w:r>
    </w:p>
    <w:p>
      <w:pPr>
        <w:pStyle w:val="4"/>
        <w:rPr>
          <w:rFonts w:asciiTheme="minorEastAsia" w:hAnsiTheme="minorEastAsia" w:eastAsiaTheme="minorEastAsia"/>
        </w:rPr>
      </w:pPr>
      <w:bookmarkStart w:id="602" w:name="_Toc16497"/>
      <w:r>
        <w:rPr>
          <w:rFonts w:asciiTheme="minorEastAsia" w:hAnsiTheme="minorEastAsia" w:eastAsiaTheme="minorEastAsia"/>
        </w:rPr>
        <w:t>第43条 运营维护手册</w:t>
      </w:r>
      <w:bookmarkEnd w:id="602"/>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43.</w:t>
      </w:r>
      <w:r>
        <w:rPr>
          <w:rFonts w:asciiTheme="minorEastAsia" w:hAnsiTheme="minorEastAsia" w:eastAsiaTheme="minorEastAsia"/>
          <w:kern w:val="0"/>
          <w:sz w:val="24"/>
        </w:rPr>
        <w:t>1运营维护手册的编制</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43.</w:t>
      </w:r>
      <w:r>
        <w:rPr>
          <w:rFonts w:asciiTheme="minorEastAsia" w:hAnsiTheme="minorEastAsia" w:eastAsiaTheme="minorEastAsia"/>
          <w:kern w:val="0"/>
          <w:sz w:val="24"/>
        </w:rPr>
        <w:t>1.1在开始运营日之前，乙方应根据适用法律、标准规范和谨慎运营惯例并且按不低于初步设计的内容和要求预测主要设备进行更新或重置的时点、设置更新或重置的标准及经甲方审核确定的运营维护方案等，并编制污水处理厂工程、排水管网工程及泵站工程的运营维护手册；运营维护手册报甲方备案后遵照执行。</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43.</w:t>
      </w:r>
      <w:r>
        <w:rPr>
          <w:rFonts w:asciiTheme="minorEastAsia" w:hAnsiTheme="minorEastAsia" w:eastAsiaTheme="minorEastAsia"/>
          <w:kern w:val="0"/>
          <w:sz w:val="24"/>
        </w:rPr>
        <w:t>1.2运营维护手册在合作期内应根据污水处理厂、排水设施运营维护的实际情况随时进行修改、补充和完善，并报甲方备案后遵照执行。</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43.</w:t>
      </w:r>
      <w:r>
        <w:rPr>
          <w:rFonts w:asciiTheme="minorEastAsia" w:hAnsiTheme="minorEastAsia" w:eastAsiaTheme="minorEastAsia"/>
          <w:kern w:val="0"/>
          <w:sz w:val="24"/>
        </w:rPr>
        <w:t>2运营维护手册的内容</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43.</w:t>
      </w:r>
      <w:r>
        <w:rPr>
          <w:rFonts w:asciiTheme="minorEastAsia" w:hAnsiTheme="minorEastAsia" w:eastAsiaTheme="minorEastAsia"/>
          <w:kern w:val="0"/>
          <w:sz w:val="24"/>
        </w:rPr>
        <w:t>2.1运营维护手册应包括污水处理厂、排水管网及泵站进行定期和年度检查、日常运行维护、大修维护的程序和计划，以及调整和改进检验及维护安排的程序和计划，并制定应对突发事件的应急预案。</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43.</w:t>
      </w:r>
      <w:r>
        <w:rPr>
          <w:rFonts w:asciiTheme="minorEastAsia" w:hAnsiTheme="minorEastAsia" w:eastAsiaTheme="minorEastAsia"/>
          <w:kern w:val="0"/>
          <w:sz w:val="24"/>
        </w:rPr>
        <w:t>2.2运营维护手册应列明污水处理厂、排水管网及泵站正常运营所需的消耗性备品备件和事故抢修的备品备件。</w:t>
      </w:r>
    </w:p>
    <w:p>
      <w:pPr>
        <w:spacing w:before="120" w:beforeLines="50" w:after="120" w:afterLines="50" w:line="360" w:lineRule="auto"/>
        <w:ind w:firstLine="424" w:firstLineChars="177"/>
        <w:rPr>
          <w:rFonts w:asciiTheme="minorEastAsia" w:hAnsiTheme="minorEastAsia" w:eastAsiaTheme="minorEastAsia"/>
        </w:rPr>
      </w:pPr>
      <w:r>
        <w:rPr>
          <w:rFonts w:hint="eastAsia" w:asciiTheme="minorEastAsia" w:hAnsiTheme="minorEastAsia" w:eastAsiaTheme="minorEastAsia"/>
          <w:kern w:val="0"/>
          <w:sz w:val="24"/>
        </w:rPr>
        <w:t>43.</w:t>
      </w:r>
      <w:r>
        <w:rPr>
          <w:rFonts w:asciiTheme="minorEastAsia" w:hAnsiTheme="minorEastAsia" w:eastAsiaTheme="minorEastAsia"/>
          <w:kern w:val="0"/>
          <w:sz w:val="24"/>
        </w:rPr>
        <w:t>2.3运营维护应符合本项目适用法律和中国国家行业规范、标准的要求，保障污水处理厂、排水管网及泵站正常运行的生产管理制度、安全生产制度、水质检验制度。</w:t>
      </w:r>
    </w:p>
    <w:p>
      <w:pPr>
        <w:pStyle w:val="4"/>
        <w:rPr>
          <w:rFonts w:asciiTheme="minorEastAsia" w:hAnsiTheme="minorEastAsia" w:eastAsiaTheme="minorEastAsia"/>
        </w:rPr>
      </w:pPr>
      <w:bookmarkStart w:id="603" w:name="_Toc27715"/>
      <w:r>
        <w:rPr>
          <w:rFonts w:asciiTheme="minorEastAsia" w:hAnsiTheme="minorEastAsia" w:eastAsiaTheme="minorEastAsia"/>
        </w:rPr>
        <w:t>第44条 报告</w:t>
      </w:r>
      <w:bookmarkEnd w:id="603"/>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44.</w:t>
      </w:r>
      <w:r>
        <w:rPr>
          <w:rFonts w:asciiTheme="minorEastAsia" w:hAnsiTheme="minorEastAsia" w:eastAsiaTheme="minorEastAsia"/>
          <w:kern w:val="0"/>
          <w:sz w:val="24"/>
        </w:rPr>
        <w:t>1乙方应按照本协议的约定，按甲方的要求如实向其履行如下报告义务，包括但不限于以下内容：</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44.</w:t>
      </w:r>
      <w:r>
        <w:rPr>
          <w:rFonts w:asciiTheme="minorEastAsia" w:hAnsiTheme="minorEastAsia" w:eastAsiaTheme="minorEastAsia"/>
          <w:kern w:val="0"/>
          <w:sz w:val="24"/>
        </w:rPr>
        <w:t>1.1日常运营报表，分为月报、季报、半年报和年报；</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44.</w:t>
      </w:r>
      <w:r>
        <w:rPr>
          <w:rFonts w:asciiTheme="minorEastAsia" w:hAnsiTheme="minorEastAsia" w:eastAsiaTheme="minorEastAsia"/>
          <w:kern w:val="0"/>
          <w:sz w:val="24"/>
        </w:rPr>
        <w:t>1.2临时报告；</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44.</w:t>
      </w:r>
      <w:r>
        <w:rPr>
          <w:rFonts w:asciiTheme="minorEastAsia" w:hAnsiTheme="minorEastAsia" w:eastAsiaTheme="minorEastAsia"/>
          <w:kern w:val="0"/>
          <w:sz w:val="24"/>
        </w:rPr>
        <w:t>1.3甲方合理要求的其他运营资料。</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以上报告具体内容、表式及上报时间由甲方根据监管的需要予以确定，由甲 方驻厂代表负责签收，驻厂代表根据甲方的要求负责对乙方的履约监管。</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44.</w:t>
      </w:r>
      <w:r>
        <w:rPr>
          <w:rFonts w:asciiTheme="minorEastAsia" w:hAnsiTheme="minorEastAsia" w:eastAsiaTheme="minorEastAsia"/>
          <w:kern w:val="0"/>
          <w:sz w:val="24"/>
        </w:rPr>
        <w:t>2日常运营报表的内容应包括：</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44.</w:t>
      </w:r>
      <w:r>
        <w:rPr>
          <w:rFonts w:asciiTheme="minorEastAsia" w:hAnsiTheme="minorEastAsia" w:eastAsiaTheme="minorEastAsia"/>
          <w:kern w:val="0"/>
          <w:sz w:val="24"/>
        </w:rPr>
        <w:t>2.1运营成本；</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44.</w:t>
      </w:r>
      <w:r>
        <w:rPr>
          <w:rFonts w:asciiTheme="minorEastAsia" w:hAnsiTheme="minorEastAsia" w:eastAsiaTheme="minorEastAsia"/>
          <w:kern w:val="0"/>
          <w:sz w:val="24"/>
        </w:rPr>
        <w:t>2.2运营维护手册中日常运行维护的内容。包括但不限于：供水/污水处理厂及管网进水量、出水量、</w:t>
      </w:r>
      <w:r>
        <w:rPr>
          <w:rFonts w:hint="eastAsia" w:asciiTheme="minorEastAsia" w:hAnsiTheme="minorEastAsia" w:eastAsiaTheme="minorEastAsia"/>
          <w:kern w:val="0"/>
          <w:sz w:val="24"/>
        </w:rPr>
        <w:t>进</w:t>
      </w:r>
      <w:r>
        <w:rPr>
          <w:rFonts w:asciiTheme="minorEastAsia" w:hAnsiTheme="minorEastAsia" w:eastAsiaTheme="minorEastAsia"/>
          <w:kern w:val="0"/>
          <w:sz w:val="24"/>
        </w:rPr>
        <w:t>出水质、泥质及污泥量、污泥处理、设备运转率、设备完好率、设备检修情况、限停产记录、事故抢修等数据。</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44.</w:t>
      </w:r>
      <w:r>
        <w:rPr>
          <w:rFonts w:asciiTheme="minorEastAsia" w:hAnsiTheme="minorEastAsia" w:eastAsiaTheme="minorEastAsia"/>
          <w:kern w:val="0"/>
          <w:sz w:val="24"/>
        </w:rPr>
        <w:t>3 乙方应于次月的前</w:t>
      </w:r>
      <w:r>
        <w:rPr>
          <w:rFonts w:asciiTheme="minorEastAsia" w:hAnsiTheme="minorEastAsia" w:eastAsiaTheme="minorEastAsia"/>
          <w:b/>
          <w:sz w:val="24"/>
          <w:u w:val="single"/>
        </w:rPr>
        <w:t xml:space="preserve">  10 </w:t>
      </w:r>
      <w:r>
        <w:rPr>
          <w:rFonts w:asciiTheme="minorEastAsia" w:hAnsiTheme="minorEastAsia" w:eastAsiaTheme="minorEastAsia"/>
          <w:kern w:val="0"/>
          <w:sz w:val="24"/>
        </w:rPr>
        <w:t>日内向甲方提交月报，季报应于每个季度结束后</w:t>
      </w:r>
      <w:r>
        <w:rPr>
          <w:rFonts w:asciiTheme="minorEastAsia" w:hAnsiTheme="minorEastAsia" w:eastAsiaTheme="minorEastAsia"/>
          <w:sz w:val="24"/>
          <w:u w:val="single"/>
        </w:rPr>
        <w:t xml:space="preserve">   10  </w:t>
      </w:r>
      <w:r>
        <w:rPr>
          <w:rFonts w:asciiTheme="minorEastAsia" w:hAnsiTheme="minorEastAsia" w:eastAsiaTheme="minorEastAsia"/>
          <w:kern w:val="0"/>
          <w:sz w:val="24"/>
        </w:rPr>
        <w:t>日向甲方提交，半年报应于每个运营年的</w:t>
      </w:r>
      <w:r>
        <w:rPr>
          <w:rFonts w:asciiTheme="minorEastAsia" w:hAnsiTheme="minorEastAsia" w:eastAsiaTheme="minorEastAsia"/>
          <w:b/>
          <w:sz w:val="24"/>
          <w:u w:val="single"/>
        </w:rPr>
        <w:t xml:space="preserve">  7 </w:t>
      </w:r>
      <w:r>
        <w:rPr>
          <w:rFonts w:asciiTheme="minorEastAsia" w:hAnsiTheme="minorEastAsia" w:eastAsiaTheme="minorEastAsia"/>
          <w:kern w:val="0"/>
          <w:sz w:val="24"/>
        </w:rPr>
        <w:t>月</w:t>
      </w:r>
      <w:r>
        <w:rPr>
          <w:rFonts w:asciiTheme="minorEastAsia" w:hAnsiTheme="minorEastAsia" w:eastAsiaTheme="minorEastAsia"/>
          <w:b/>
          <w:sz w:val="24"/>
          <w:u w:val="single"/>
        </w:rPr>
        <w:t xml:space="preserve">  10 </w:t>
      </w:r>
      <w:r>
        <w:rPr>
          <w:rFonts w:asciiTheme="minorEastAsia" w:hAnsiTheme="minorEastAsia" w:eastAsiaTheme="minorEastAsia"/>
          <w:kern w:val="0"/>
          <w:sz w:val="24"/>
        </w:rPr>
        <w:t>日之前和次年的</w:t>
      </w:r>
      <w:r>
        <w:rPr>
          <w:rFonts w:asciiTheme="minorEastAsia" w:hAnsiTheme="minorEastAsia" w:eastAsiaTheme="minorEastAsia"/>
          <w:b/>
          <w:sz w:val="24"/>
          <w:u w:val="single"/>
        </w:rPr>
        <w:t xml:space="preserve">  1  </w:t>
      </w:r>
      <w:r>
        <w:rPr>
          <w:rFonts w:asciiTheme="minorEastAsia" w:hAnsiTheme="minorEastAsia" w:eastAsiaTheme="minorEastAsia"/>
          <w:kern w:val="0"/>
          <w:sz w:val="24"/>
        </w:rPr>
        <w:t>月</w:t>
      </w:r>
      <w:r>
        <w:rPr>
          <w:rFonts w:asciiTheme="minorEastAsia" w:hAnsiTheme="minorEastAsia" w:eastAsiaTheme="minorEastAsia"/>
          <w:b/>
          <w:sz w:val="24"/>
          <w:u w:val="single"/>
        </w:rPr>
        <w:t xml:space="preserve">   10 </w:t>
      </w:r>
      <w:r>
        <w:rPr>
          <w:rFonts w:asciiTheme="minorEastAsia" w:hAnsiTheme="minorEastAsia" w:eastAsiaTheme="minorEastAsia"/>
          <w:kern w:val="0"/>
          <w:sz w:val="24"/>
        </w:rPr>
        <w:t>日之前提交给甲方，年报应于次年的</w:t>
      </w:r>
      <w:r>
        <w:rPr>
          <w:rFonts w:asciiTheme="minorEastAsia" w:hAnsiTheme="minorEastAsia" w:eastAsiaTheme="minorEastAsia"/>
          <w:b/>
          <w:sz w:val="24"/>
          <w:u w:val="single"/>
        </w:rPr>
        <w:t xml:space="preserve">   2 </w:t>
      </w:r>
      <w:r>
        <w:rPr>
          <w:rFonts w:asciiTheme="minorEastAsia" w:hAnsiTheme="minorEastAsia" w:eastAsiaTheme="minorEastAsia"/>
          <w:kern w:val="0"/>
          <w:sz w:val="24"/>
        </w:rPr>
        <w:t>月</w:t>
      </w:r>
      <w:r>
        <w:rPr>
          <w:rFonts w:asciiTheme="minorEastAsia" w:hAnsiTheme="minorEastAsia" w:eastAsiaTheme="minorEastAsia"/>
          <w:b/>
          <w:sz w:val="24"/>
          <w:u w:val="single"/>
        </w:rPr>
        <w:t xml:space="preserve">   28</w:t>
      </w:r>
      <w:r>
        <w:rPr>
          <w:rFonts w:asciiTheme="minorEastAsia" w:hAnsiTheme="minorEastAsia" w:eastAsiaTheme="minorEastAsia"/>
          <w:kern w:val="0"/>
          <w:sz w:val="24"/>
        </w:rPr>
        <w:t>日之前提交给甲方（最后一个运营年的半年报和年报是否需提交以及提交的时点由甲方视情形而定）。</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44.</w:t>
      </w:r>
      <w:r>
        <w:rPr>
          <w:rFonts w:asciiTheme="minorEastAsia" w:hAnsiTheme="minorEastAsia" w:eastAsiaTheme="minorEastAsia"/>
          <w:kern w:val="0"/>
          <w:sz w:val="24"/>
        </w:rPr>
        <w:t>4 发生特殊或紧急情况（包括但不限于发生不可抗力、发生事故、水质/污泥超标、未能或将不能按批准的计划方案进行暂停）时，乙方应提交临时报告。</w:t>
      </w:r>
    </w:p>
    <w:p>
      <w:pPr>
        <w:pStyle w:val="3"/>
        <w:spacing w:line="360" w:lineRule="auto"/>
        <w:rPr>
          <w:rFonts w:asciiTheme="minorEastAsia" w:hAnsiTheme="minorEastAsia"/>
          <w:b w:val="0"/>
        </w:rPr>
      </w:pPr>
      <w:bookmarkStart w:id="604" w:name="_Toc50993506"/>
      <w:bookmarkStart w:id="605" w:name="_Toc29904"/>
      <w:r>
        <w:rPr>
          <w:rFonts w:hint="eastAsia" w:asciiTheme="minorEastAsia" w:hAnsiTheme="minorEastAsia"/>
          <w:b w:val="0"/>
        </w:rPr>
        <w:t xml:space="preserve">第六节 </w:t>
      </w:r>
      <w:r>
        <w:rPr>
          <w:rFonts w:asciiTheme="minorEastAsia" w:hAnsiTheme="minorEastAsia"/>
          <w:b w:val="0"/>
        </w:rPr>
        <w:t>暂停</w:t>
      </w:r>
      <w:bookmarkEnd w:id="604"/>
      <w:bookmarkEnd w:id="605"/>
    </w:p>
    <w:p>
      <w:pPr>
        <w:pStyle w:val="4"/>
        <w:rPr>
          <w:rFonts w:asciiTheme="minorEastAsia" w:hAnsiTheme="minorEastAsia" w:eastAsiaTheme="minorEastAsia"/>
        </w:rPr>
      </w:pPr>
      <w:bookmarkStart w:id="606" w:name="_Toc21521"/>
      <w:r>
        <w:rPr>
          <w:rFonts w:asciiTheme="minorEastAsia" w:hAnsiTheme="minorEastAsia" w:eastAsiaTheme="minorEastAsia"/>
        </w:rPr>
        <w:t>第45条 计划内暂停</w:t>
      </w:r>
      <w:bookmarkEnd w:id="606"/>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45.</w:t>
      </w:r>
      <w:r>
        <w:rPr>
          <w:rFonts w:asciiTheme="minorEastAsia" w:hAnsiTheme="minorEastAsia" w:eastAsiaTheme="minorEastAsia"/>
          <w:kern w:val="0"/>
          <w:sz w:val="24"/>
        </w:rPr>
        <w:t>1乙方应于每一运营年开始前一个月向甲方提交该运营年度的计划内暂停时间表。每一运营年计划内暂停服务不得超过</w:t>
      </w:r>
      <w:r>
        <w:rPr>
          <w:rFonts w:asciiTheme="minorEastAsia" w:hAnsiTheme="minorEastAsia" w:eastAsiaTheme="minorEastAsia"/>
          <w:b/>
          <w:sz w:val="24"/>
          <w:u w:val="single"/>
        </w:rPr>
        <w:t xml:space="preserve">  15  </w:t>
      </w:r>
      <w:r>
        <w:rPr>
          <w:rFonts w:asciiTheme="minorEastAsia" w:hAnsiTheme="minorEastAsia" w:eastAsiaTheme="minorEastAsia"/>
          <w:kern w:val="0"/>
          <w:sz w:val="24"/>
        </w:rPr>
        <w:t>日</w:t>
      </w:r>
      <w:r>
        <w:rPr>
          <w:rFonts w:hint="eastAsia" w:asciiTheme="minorEastAsia" w:hAnsiTheme="minorEastAsia" w:eastAsiaTheme="minorEastAsia"/>
          <w:kern w:val="0"/>
          <w:sz w:val="24"/>
        </w:rPr>
        <w:t>（大修年除外）</w:t>
      </w:r>
      <w:r>
        <w:rPr>
          <w:rFonts w:asciiTheme="minorEastAsia" w:hAnsiTheme="minorEastAsia" w:eastAsiaTheme="minorEastAsia"/>
          <w:kern w:val="0"/>
          <w:sz w:val="24"/>
        </w:rPr>
        <w:t>。甲方应在该运营年开始前</w:t>
      </w:r>
      <w:r>
        <w:rPr>
          <w:rFonts w:asciiTheme="minorEastAsia" w:hAnsiTheme="minorEastAsia" w:eastAsiaTheme="minorEastAsia"/>
          <w:b/>
          <w:sz w:val="24"/>
          <w:u w:val="single"/>
        </w:rPr>
        <w:t xml:space="preserve">  10  </w:t>
      </w:r>
      <w:r>
        <w:rPr>
          <w:rFonts w:asciiTheme="minorEastAsia" w:hAnsiTheme="minorEastAsia" w:eastAsiaTheme="minorEastAsia"/>
          <w:kern w:val="0"/>
          <w:sz w:val="24"/>
        </w:rPr>
        <w:t>日就该时间表作出批准与否的决定，乙方应根据甲方对该时间表的意见作相应修改，直至取得甲方的批准。</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45.</w:t>
      </w:r>
      <w:r>
        <w:rPr>
          <w:rFonts w:asciiTheme="minorEastAsia" w:hAnsiTheme="minorEastAsia" w:eastAsiaTheme="minorEastAsia"/>
          <w:kern w:val="0"/>
          <w:sz w:val="24"/>
        </w:rPr>
        <w:t>2乙方根据经甲方批准之时间表实施计划内暂停时，应至少提前</w:t>
      </w:r>
      <w:r>
        <w:rPr>
          <w:rFonts w:asciiTheme="minorEastAsia" w:hAnsiTheme="minorEastAsia" w:eastAsiaTheme="minorEastAsia"/>
          <w:b/>
          <w:sz w:val="24"/>
          <w:u w:val="single"/>
        </w:rPr>
        <w:t xml:space="preserve">  3 </w:t>
      </w:r>
      <w:r>
        <w:rPr>
          <w:rFonts w:asciiTheme="minorEastAsia" w:hAnsiTheme="minorEastAsia" w:eastAsiaTheme="minorEastAsia"/>
          <w:kern w:val="0"/>
          <w:sz w:val="24"/>
        </w:rPr>
        <w:t>日书面通知甲方，该通知应包括如下内容：</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45.</w:t>
      </w:r>
      <w:r>
        <w:rPr>
          <w:rFonts w:asciiTheme="minorEastAsia" w:hAnsiTheme="minorEastAsia" w:eastAsiaTheme="minorEastAsia"/>
          <w:kern w:val="0"/>
          <w:sz w:val="24"/>
        </w:rPr>
        <w:t>2.1计划内暂停服务的范围和理由；</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45.</w:t>
      </w:r>
      <w:r>
        <w:rPr>
          <w:rFonts w:asciiTheme="minorEastAsia" w:hAnsiTheme="minorEastAsia" w:eastAsiaTheme="minorEastAsia"/>
          <w:kern w:val="0"/>
          <w:sz w:val="24"/>
        </w:rPr>
        <w:t>2.2计划内暂停服务的起止时间；</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45.</w:t>
      </w:r>
      <w:r>
        <w:rPr>
          <w:rFonts w:asciiTheme="minorEastAsia" w:hAnsiTheme="minorEastAsia" w:eastAsiaTheme="minorEastAsia"/>
          <w:kern w:val="0"/>
          <w:sz w:val="24"/>
        </w:rPr>
        <w:t>2.3计划内暂停服务期间预计能够供应/处理达标的水量；</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45.</w:t>
      </w:r>
      <w:r>
        <w:rPr>
          <w:rFonts w:asciiTheme="minorEastAsia" w:hAnsiTheme="minorEastAsia" w:eastAsiaTheme="minorEastAsia"/>
          <w:kern w:val="0"/>
          <w:sz w:val="24"/>
        </w:rPr>
        <w:t>2.4恢复供应/污水处理服务的预计时间。</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45.</w:t>
      </w:r>
      <w:r>
        <w:rPr>
          <w:rFonts w:asciiTheme="minorEastAsia" w:hAnsiTheme="minorEastAsia" w:eastAsiaTheme="minorEastAsia"/>
          <w:kern w:val="0"/>
          <w:sz w:val="24"/>
        </w:rPr>
        <w:t>3乙方应尽最大努力确保计划内暂停的影响减到最小，项目设施在计划内暂停服务期间应至少保持日均供水/处理水量达到基本水量的</w:t>
      </w:r>
      <w:r>
        <w:rPr>
          <w:rFonts w:asciiTheme="minorEastAsia" w:hAnsiTheme="minorEastAsia" w:eastAsiaTheme="minorEastAsia"/>
          <w:b/>
          <w:sz w:val="24"/>
          <w:u w:val="single"/>
        </w:rPr>
        <w:t xml:space="preserve">  \ </w:t>
      </w:r>
      <w:r>
        <w:rPr>
          <w:rFonts w:asciiTheme="minorEastAsia" w:hAnsiTheme="minorEastAsia" w:eastAsiaTheme="minorEastAsia"/>
          <w:kern w:val="0"/>
          <w:sz w:val="24"/>
        </w:rPr>
        <w:t>%的运营能力。</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45.</w:t>
      </w:r>
      <w:r>
        <w:rPr>
          <w:rFonts w:asciiTheme="minorEastAsia" w:hAnsiTheme="minorEastAsia" w:eastAsiaTheme="minorEastAsia"/>
          <w:kern w:val="0"/>
          <w:sz w:val="24"/>
        </w:rPr>
        <w:t>4若乙方因项目设施维护之目的，需要修改经甲方批准的计划内暂停服务时间表，则应提前</w:t>
      </w:r>
      <w:r>
        <w:rPr>
          <w:rFonts w:asciiTheme="minorEastAsia" w:hAnsiTheme="minorEastAsia" w:eastAsiaTheme="minorEastAsia"/>
          <w:b/>
          <w:sz w:val="24"/>
          <w:u w:val="single"/>
        </w:rPr>
        <w:t xml:space="preserve"> 3  </w:t>
      </w:r>
      <w:r>
        <w:rPr>
          <w:rFonts w:asciiTheme="minorEastAsia" w:hAnsiTheme="minorEastAsia" w:eastAsiaTheme="minorEastAsia"/>
          <w:kern w:val="0"/>
          <w:sz w:val="24"/>
        </w:rPr>
        <w:t>日向甲方提交暂停服务的书面申请，该申请应明确预定的暂停服务起止时间，并附维护期间维持部分运营的措施方案。若该等暂停服务不影响公共利益，则甲方应予以批准。</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如乙方计划内暂停的天数超出本协议第</w:t>
      </w:r>
      <w:r>
        <w:rPr>
          <w:rFonts w:hint="eastAsia" w:asciiTheme="minorEastAsia" w:hAnsiTheme="minorEastAsia" w:eastAsiaTheme="minorEastAsia"/>
          <w:kern w:val="0"/>
          <w:sz w:val="24"/>
        </w:rPr>
        <w:t>45.</w:t>
      </w:r>
      <w:r>
        <w:rPr>
          <w:rFonts w:asciiTheme="minorEastAsia" w:hAnsiTheme="minorEastAsia" w:eastAsiaTheme="minorEastAsia"/>
          <w:kern w:val="0"/>
          <w:sz w:val="24"/>
        </w:rPr>
        <w:t>1款约定的上限的，则乙方应在预估暂停期间之前</w:t>
      </w:r>
      <w:r>
        <w:rPr>
          <w:rFonts w:asciiTheme="minorEastAsia" w:hAnsiTheme="minorEastAsia" w:eastAsiaTheme="minorEastAsia"/>
          <w:b/>
          <w:sz w:val="24"/>
          <w:u w:val="single"/>
        </w:rPr>
        <w:t xml:space="preserve">  3 </w:t>
      </w:r>
      <w:r>
        <w:rPr>
          <w:rFonts w:asciiTheme="minorEastAsia" w:hAnsiTheme="minorEastAsia" w:eastAsiaTheme="minorEastAsia"/>
          <w:kern w:val="0"/>
          <w:sz w:val="24"/>
        </w:rPr>
        <w:t>日向甲方提交延长暂停期间的书面申请，该申请参照第</w:t>
      </w:r>
      <w:r>
        <w:rPr>
          <w:rFonts w:hint="eastAsia" w:asciiTheme="minorEastAsia" w:hAnsiTheme="minorEastAsia" w:eastAsiaTheme="minorEastAsia"/>
          <w:kern w:val="0"/>
          <w:sz w:val="24"/>
        </w:rPr>
        <w:t>45.</w:t>
      </w:r>
      <w:r>
        <w:rPr>
          <w:rFonts w:asciiTheme="minorEastAsia" w:hAnsiTheme="minorEastAsia" w:eastAsiaTheme="minorEastAsia"/>
          <w:kern w:val="0"/>
          <w:sz w:val="24"/>
        </w:rPr>
        <w:t>2款的有关内容明确拟延长的暂停期间的有关事宜，该等延长暂停期间的申请方案在报经甲方批准后实施。如乙方计划内暂停天数超出第</w:t>
      </w:r>
      <w:r>
        <w:rPr>
          <w:rFonts w:hint="eastAsia" w:asciiTheme="minorEastAsia" w:hAnsiTheme="minorEastAsia" w:eastAsiaTheme="minorEastAsia"/>
          <w:kern w:val="0"/>
          <w:sz w:val="24"/>
        </w:rPr>
        <w:t>45.</w:t>
      </w:r>
      <w:r>
        <w:rPr>
          <w:rFonts w:asciiTheme="minorEastAsia" w:hAnsiTheme="minorEastAsia" w:eastAsiaTheme="minorEastAsia"/>
          <w:kern w:val="0"/>
          <w:sz w:val="24"/>
        </w:rPr>
        <w:t>1款约定的上限，且未按照本款约定提前报经甲方批准的，则视作擅自停运，甲方有权按照本协议第</w:t>
      </w:r>
      <w:r>
        <w:rPr>
          <w:rFonts w:hint="eastAsia" w:asciiTheme="minorEastAsia" w:hAnsiTheme="minorEastAsia" w:eastAsiaTheme="minorEastAsia"/>
          <w:kern w:val="0"/>
          <w:sz w:val="24"/>
        </w:rPr>
        <w:t>49</w:t>
      </w:r>
      <w:r>
        <w:rPr>
          <w:rFonts w:asciiTheme="minorEastAsia" w:hAnsiTheme="minorEastAsia" w:eastAsiaTheme="minorEastAsia"/>
          <w:kern w:val="0"/>
          <w:sz w:val="24"/>
        </w:rPr>
        <w:t>款的约定计收违约金。</w:t>
      </w:r>
    </w:p>
    <w:p>
      <w:pPr>
        <w:pStyle w:val="4"/>
        <w:rPr>
          <w:rFonts w:asciiTheme="minorEastAsia" w:hAnsiTheme="minorEastAsia" w:eastAsiaTheme="minorEastAsia"/>
        </w:rPr>
      </w:pPr>
      <w:bookmarkStart w:id="607" w:name="_Toc13508"/>
      <w:r>
        <w:rPr>
          <w:rFonts w:asciiTheme="minorEastAsia" w:hAnsiTheme="minorEastAsia" w:eastAsiaTheme="minorEastAsia"/>
        </w:rPr>
        <w:t>第46条 计划外暂停</w:t>
      </w:r>
      <w:bookmarkEnd w:id="607"/>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46.</w:t>
      </w:r>
      <w:r>
        <w:rPr>
          <w:rFonts w:asciiTheme="minorEastAsia" w:hAnsiTheme="minorEastAsia" w:eastAsiaTheme="minorEastAsia"/>
          <w:kern w:val="0"/>
          <w:sz w:val="24"/>
        </w:rPr>
        <w:t>l甲方因重大公共利益和公共安全等原因要求乙方全部或部分暂停供水/污水处理服务时，乙方应在接到甲方通知后立即全部或部分暂停。</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46.</w:t>
      </w:r>
      <w:r>
        <w:rPr>
          <w:rFonts w:asciiTheme="minorEastAsia" w:hAnsiTheme="minorEastAsia" w:eastAsiaTheme="minorEastAsia"/>
          <w:kern w:val="0"/>
          <w:sz w:val="24"/>
        </w:rPr>
        <w:t>2由于不可抗力事件、进水水质超标以及未经通知之供电中断导致暂停服务时，乙方应在供水/污水处理全部或部分暂停后立即书面通知甲方，该通知中应说明导致暂停的原因、暂停可能持续的时间以及乙方即将要采取的针对性补救措施，并尽快处理突发事件，使项目设施尽快恢复正常运行。甲方应在收到该等通知后及时予以回复。</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46.</w:t>
      </w:r>
      <w:r>
        <w:rPr>
          <w:rFonts w:asciiTheme="minorEastAsia" w:hAnsiTheme="minorEastAsia" w:eastAsiaTheme="minorEastAsia"/>
          <w:kern w:val="0"/>
          <w:sz w:val="24"/>
        </w:rPr>
        <w:t>3由于乙方的原因，未经甲方同意，导致污水处理厂全部或部分暂停服务时，乙方应在</w:t>
      </w:r>
      <w:r>
        <w:rPr>
          <w:rFonts w:asciiTheme="minorEastAsia" w:hAnsiTheme="minorEastAsia" w:eastAsiaTheme="minorEastAsia"/>
          <w:b/>
          <w:sz w:val="24"/>
          <w:u w:val="single"/>
        </w:rPr>
        <w:t xml:space="preserve"> 24 </w:t>
      </w:r>
      <w:r>
        <w:rPr>
          <w:rFonts w:asciiTheme="minorEastAsia" w:hAnsiTheme="minorEastAsia" w:eastAsiaTheme="minorEastAsia"/>
          <w:kern w:val="0"/>
          <w:sz w:val="24"/>
        </w:rPr>
        <w:t>小时内立即书面通知甲方（如该等全部或部分暂停发生在非工作时段，则乙方应在暂停发生后两小时内先行向甲方进行口头汇报，并应在此之后的第一个工作日第一时间内书面通知甲方），解释该等暂停服务的原因及提出恢复服务的建议。</w:t>
      </w:r>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乙方应尽最大努力确保暂停发生后</w:t>
      </w:r>
      <w:r>
        <w:rPr>
          <w:rFonts w:asciiTheme="minorEastAsia" w:hAnsiTheme="minorEastAsia" w:eastAsiaTheme="minorEastAsia"/>
          <w:b/>
          <w:sz w:val="24"/>
          <w:u w:val="single"/>
        </w:rPr>
        <w:t xml:space="preserve"> 48 </w:t>
      </w:r>
      <w:r>
        <w:rPr>
          <w:rFonts w:asciiTheme="minorEastAsia" w:hAnsiTheme="minorEastAsia" w:eastAsiaTheme="minorEastAsia"/>
          <w:kern w:val="0"/>
          <w:sz w:val="24"/>
        </w:rPr>
        <w:t>小时内恢复服务，若该等暂停超过上述时限，则乙方应书面通知甲方，并应尽最大努力使得该等影响减到最小。若某个运营日发生全部暂停且当日累计暂停超出</w:t>
      </w:r>
      <w:r>
        <w:rPr>
          <w:rFonts w:asciiTheme="minorEastAsia" w:hAnsiTheme="minorEastAsia" w:eastAsiaTheme="minorEastAsia"/>
          <w:b/>
          <w:sz w:val="24"/>
          <w:u w:val="single"/>
        </w:rPr>
        <w:t xml:space="preserve">  \  </w:t>
      </w:r>
      <w:r>
        <w:rPr>
          <w:rFonts w:asciiTheme="minorEastAsia" w:hAnsiTheme="minorEastAsia" w:eastAsiaTheme="minorEastAsia"/>
          <w:kern w:val="0"/>
          <w:sz w:val="24"/>
        </w:rPr>
        <w:t>小时（含）的导致污水处理厂部分暂停服务时，甲方有权按照本协议第</w:t>
      </w:r>
      <w:r>
        <w:rPr>
          <w:rFonts w:hint="eastAsia" w:asciiTheme="minorEastAsia" w:hAnsiTheme="minorEastAsia" w:eastAsiaTheme="minorEastAsia"/>
          <w:kern w:val="0"/>
          <w:sz w:val="24"/>
        </w:rPr>
        <w:t>49</w:t>
      </w:r>
      <w:r>
        <w:rPr>
          <w:rFonts w:asciiTheme="minorEastAsia" w:hAnsiTheme="minorEastAsia" w:eastAsiaTheme="minorEastAsia"/>
          <w:kern w:val="0"/>
          <w:sz w:val="24"/>
        </w:rPr>
        <w:t>款的约定计收违约金。</w:t>
      </w:r>
    </w:p>
    <w:p>
      <w:pPr>
        <w:pStyle w:val="4"/>
        <w:rPr>
          <w:rFonts w:asciiTheme="minorEastAsia" w:hAnsiTheme="minorEastAsia" w:eastAsiaTheme="minorEastAsia"/>
        </w:rPr>
      </w:pPr>
      <w:bookmarkStart w:id="608" w:name="_Toc7095"/>
      <w:r>
        <w:rPr>
          <w:rFonts w:asciiTheme="minorEastAsia" w:hAnsiTheme="minorEastAsia" w:eastAsiaTheme="minorEastAsia"/>
        </w:rPr>
        <w:t>第47条 暂停服务的恢复</w:t>
      </w:r>
      <w:bookmarkEnd w:id="608"/>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47.</w:t>
      </w:r>
      <w:r>
        <w:rPr>
          <w:rFonts w:asciiTheme="minorEastAsia" w:hAnsiTheme="minorEastAsia" w:eastAsiaTheme="minorEastAsia"/>
          <w:kern w:val="0"/>
          <w:sz w:val="24"/>
        </w:rPr>
        <w:t>l除全部暂停外，乙方部分暂停期间仍负有出水水质符合出水水质标准的义务。</w:t>
      </w:r>
    </w:p>
    <w:p>
      <w:pPr>
        <w:spacing w:before="120" w:beforeLines="50" w:after="120" w:afterLines="50" w:line="360" w:lineRule="auto"/>
        <w:ind w:firstLine="424" w:firstLineChars="177"/>
        <w:rPr>
          <w:rFonts w:asciiTheme="minorEastAsia" w:hAnsiTheme="minorEastAsia" w:eastAsiaTheme="minorEastAsia"/>
        </w:rPr>
      </w:pPr>
      <w:r>
        <w:rPr>
          <w:rFonts w:hint="eastAsia" w:asciiTheme="minorEastAsia" w:hAnsiTheme="minorEastAsia" w:eastAsiaTheme="minorEastAsia"/>
          <w:kern w:val="0"/>
          <w:sz w:val="24"/>
        </w:rPr>
        <w:t>47.</w:t>
      </w:r>
      <w:r>
        <w:rPr>
          <w:rFonts w:asciiTheme="minorEastAsia" w:hAnsiTheme="minorEastAsia" w:eastAsiaTheme="minorEastAsia"/>
          <w:kern w:val="0"/>
          <w:sz w:val="24"/>
        </w:rPr>
        <w:t>2本协议第</w:t>
      </w:r>
      <w:r>
        <w:rPr>
          <w:rFonts w:hint="eastAsia" w:asciiTheme="minorEastAsia" w:hAnsiTheme="minorEastAsia" w:eastAsiaTheme="minorEastAsia"/>
          <w:kern w:val="0"/>
          <w:sz w:val="24"/>
        </w:rPr>
        <w:t>45</w:t>
      </w:r>
      <w:r>
        <w:rPr>
          <w:rFonts w:asciiTheme="minorEastAsia" w:hAnsiTheme="minorEastAsia" w:eastAsiaTheme="minorEastAsia"/>
          <w:kern w:val="0"/>
          <w:sz w:val="24"/>
        </w:rPr>
        <w:t>条约定的计划内暂停和本协议第</w:t>
      </w:r>
      <w:r>
        <w:rPr>
          <w:rFonts w:hint="eastAsia" w:asciiTheme="minorEastAsia" w:hAnsiTheme="minorEastAsia" w:eastAsiaTheme="minorEastAsia"/>
          <w:kern w:val="0"/>
          <w:sz w:val="24"/>
        </w:rPr>
        <w:t>46.</w:t>
      </w:r>
      <w:r>
        <w:rPr>
          <w:rFonts w:asciiTheme="minorEastAsia" w:hAnsiTheme="minorEastAsia" w:eastAsiaTheme="minorEastAsia"/>
          <w:kern w:val="0"/>
          <w:sz w:val="24"/>
        </w:rPr>
        <w:t>l款和第</w:t>
      </w:r>
      <w:r>
        <w:rPr>
          <w:rFonts w:hint="eastAsia" w:asciiTheme="minorEastAsia" w:hAnsiTheme="minorEastAsia" w:eastAsiaTheme="minorEastAsia"/>
          <w:kern w:val="0"/>
          <w:sz w:val="24"/>
        </w:rPr>
        <w:t>46.</w:t>
      </w:r>
      <w:r>
        <w:rPr>
          <w:rFonts w:asciiTheme="minorEastAsia" w:hAnsiTheme="minorEastAsia" w:eastAsiaTheme="minorEastAsia"/>
          <w:kern w:val="0"/>
          <w:sz w:val="24"/>
        </w:rPr>
        <w:t>2款约定的计划外暂停情形下，在甲方同意的合理期限内，甲方对乙方出水水质超标予以免责。</w:t>
      </w:r>
    </w:p>
    <w:bookmarkEnd w:id="539"/>
    <w:p>
      <w:pPr>
        <w:pStyle w:val="2"/>
        <w:ind w:left="494" w:right="210"/>
        <w:rPr>
          <w:rFonts w:asciiTheme="minorEastAsia" w:hAnsiTheme="minorEastAsia"/>
        </w:rPr>
      </w:pPr>
      <w:bookmarkStart w:id="609" w:name="_Toc7008"/>
      <w:bookmarkStart w:id="610" w:name="_Toc50993507"/>
      <w:bookmarkStart w:id="611" w:name="_Toc32358"/>
      <w:r>
        <w:rPr>
          <w:rFonts w:asciiTheme="minorEastAsia" w:hAnsiTheme="minorEastAsia"/>
        </w:rPr>
        <w:t>第</w:t>
      </w:r>
      <w:r>
        <w:rPr>
          <w:rFonts w:hint="eastAsia" w:asciiTheme="minorEastAsia" w:hAnsiTheme="minorEastAsia"/>
        </w:rPr>
        <w:t>五</w:t>
      </w:r>
      <w:r>
        <w:rPr>
          <w:rFonts w:asciiTheme="minorEastAsia" w:hAnsiTheme="minorEastAsia"/>
        </w:rPr>
        <w:t>章  违约责任</w:t>
      </w:r>
      <w:bookmarkEnd w:id="609"/>
      <w:bookmarkEnd w:id="610"/>
      <w:bookmarkEnd w:id="611"/>
    </w:p>
    <w:p>
      <w:pPr>
        <w:pStyle w:val="4"/>
        <w:rPr>
          <w:rFonts w:asciiTheme="minorEastAsia" w:hAnsiTheme="minorEastAsia" w:eastAsiaTheme="minorEastAsia"/>
        </w:rPr>
      </w:pPr>
      <w:bookmarkStart w:id="612" w:name="_Toc2640"/>
      <w:bookmarkStart w:id="613" w:name="_Toc14254"/>
      <w:r>
        <w:rPr>
          <w:rFonts w:asciiTheme="minorEastAsia" w:hAnsiTheme="minorEastAsia" w:eastAsiaTheme="minorEastAsia"/>
        </w:rPr>
        <w:t>第48条 违约责任</w:t>
      </w:r>
      <w:bookmarkEnd w:id="612"/>
      <w:bookmarkEnd w:id="613"/>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48.</w:t>
      </w:r>
      <w:r>
        <w:rPr>
          <w:rFonts w:asciiTheme="minorEastAsia" w:hAnsiTheme="minorEastAsia" w:eastAsiaTheme="minorEastAsia"/>
          <w:kern w:val="0"/>
          <w:sz w:val="24"/>
        </w:rPr>
        <w:t>1除本协议与《PPP项目合同》另有约定外，当协议一方发生违反本协议的行为而使非违约方遭受任何损害、损失、增加支出或承担额外责任，非违约方有权获得赔偿，该项赔偿由违约方支付。</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48.</w:t>
      </w:r>
      <w:r>
        <w:rPr>
          <w:rFonts w:asciiTheme="minorEastAsia" w:hAnsiTheme="minorEastAsia" w:eastAsiaTheme="minorEastAsia"/>
          <w:kern w:val="0"/>
          <w:sz w:val="24"/>
        </w:rPr>
        <w:t>2非违约方必须采取合理措施减轻或最大程度地减少违反本协议引起的损失，并有权从违约方获得为谋求减轻和减少损失而发生的任何合理费用。如非违约方未能采取上款所述措施，违约方可以请求从赔偿金额中扣除本应能够减轻或减少的损失金额。</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48.</w:t>
      </w:r>
      <w:r>
        <w:rPr>
          <w:rFonts w:asciiTheme="minorEastAsia" w:hAnsiTheme="minorEastAsia" w:eastAsiaTheme="minorEastAsia"/>
          <w:kern w:val="0"/>
          <w:sz w:val="24"/>
        </w:rPr>
        <w:t>3如损失是部分由于非违约方的作为或不作为造成的，或产生于应由非违约方承担风险的另一事件，则应从赔偿的数额中扣除这些因素造成的损失。</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48.</w:t>
      </w:r>
      <w:r>
        <w:rPr>
          <w:rFonts w:asciiTheme="minorEastAsia" w:hAnsiTheme="minorEastAsia" w:eastAsiaTheme="minorEastAsia"/>
          <w:kern w:val="0"/>
          <w:sz w:val="24"/>
        </w:rPr>
        <w:t>4除非本协议</w:t>
      </w:r>
      <w:r>
        <w:rPr>
          <w:rFonts w:hint="eastAsia" w:asciiTheme="minorEastAsia" w:hAnsiTheme="minorEastAsia" w:eastAsiaTheme="minorEastAsia"/>
          <w:kern w:val="0"/>
          <w:sz w:val="24"/>
        </w:rPr>
        <w:t>与《PPP项目合同》</w:t>
      </w:r>
      <w:r>
        <w:rPr>
          <w:rFonts w:asciiTheme="minorEastAsia" w:hAnsiTheme="minorEastAsia" w:eastAsiaTheme="minorEastAsia"/>
          <w:kern w:val="0"/>
          <w:sz w:val="24"/>
        </w:rPr>
        <w:t>另有约定，各方均不应对另一方的任何间接损失负责。</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48.</w:t>
      </w:r>
      <w:r>
        <w:rPr>
          <w:rFonts w:asciiTheme="minorEastAsia" w:hAnsiTheme="minorEastAsia" w:eastAsiaTheme="minorEastAsia"/>
          <w:kern w:val="0"/>
          <w:sz w:val="24"/>
        </w:rPr>
        <w:t>5除非本协议与《PPP项目合同》另有约定，否则非因乙方原因导致乙方违约或履约不能的，应免除乙方的违约责任。</w:t>
      </w:r>
    </w:p>
    <w:p>
      <w:pPr>
        <w:pStyle w:val="4"/>
        <w:rPr>
          <w:rFonts w:asciiTheme="minorEastAsia" w:hAnsiTheme="minorEastAsia" w:eastAsiaTheme="minorEastAsia"/>
          <w:bCs/>
        </w:rPr>
      </w:pPr>
      <w:bookmarkStart w:id="614" w:name="_Toc19557"/>
      <w:bookmarkStart w:id="615" w:name="_Toc12298"/>
      <w:r>
        <w:rPr>
          <w:rFonts w:asciiTheme="minorEastAsia" w:hAnsiTheme="minorEastAsia" w:eastAsiaTheme="minorEastAsia"/>
          <w:bCs/>
        </w:rPr>
        <w:t>第49条 违约金</w:t>
      </w:r>
      <w:bookmarkEnd w:id="614"/>
      <w:bookmarkEnd w:id="615"/>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49.</w:t>
      </w:r>
      <w:r>
        <w:rPr>
          <w:rFonts w:asciiTheme="minorEastAsia" w:hAnsiTheme="minorEastAsia" w:eastAsiaTheme="minorEastAsia"/>
          <w:kern w:val="0"/>
          <w:sz w:val="24"/>
        </w:rPr>
        <w:t>1对于本项目中的单体供水厂/污水处理厂，根据其运维绩效评价结果：</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49.</w:t>
      </w:r>
      <w:r>
        <w:rPr>
          <w:rFonts w:asciiTheme="minorEastAsia" w:hAnsiTheme="minorEastAsia" w:eastAsiaTheme="minorEastAsia"/>
          <w:kern w:val="0"/>
          <w:sz w:val="24"/>
        </w:rPr>
        <w:t>1.1当连续</w:t>
      </w:r>
      <w:r>
        <w:rPr>
          <w:rFonts w:asciiTheme="minorEastAsia" w:hAnsiTheme="minorEastAsia" w:eastAsiaTheme="minorEastAsia"/>
          <w:b/>
          <w:sz w:val="24"/>
          <w:u w:val="single"/>
        </w:rPr>
        <w:t xml:space="preserve"> / </w:t>
      </w:r>
      <w:r>
        <w:rPr>
          <w:rFonts w:asciiTheme="minorEastAsia" w:hAnsiTheme="minorEastAsia" w:eastAsiaTheme="minorEastAsia"/>
          <w:kern w:val="0"/>
          <w:sz w:val="24"/>
        </w:rPr>
        <w:t>次得分在</w:t>
      </w:r>
      <w:r>
        <w:rPr>
          <w:rFonts w:asciiTheme="minorEastAsia" w:hAnsiTheme="minorEastAsia" w:eastAsiaTheme="minorEastAsia"/>
          <w:b/>
          <w:sz w:val="24"/>
          <w:u w:val="single"/>
        </w:rPr>
        <w:t xml:space="preserve"> / </w:t>
      </w:r>
      <w:r>
        <w:rPr>
          <w:rFonts w:asciiTheme="minorEastAsia" w:hAnsiTheme="minorEastAsia" w:eastAsiaTheme="minorEastAsia"/>
          <w:kern w:val="0"/>
          <w:sz w:val="24"/>
        </w:rPr>
        <w:t>分以下时，违约金按以下方式计算：</w:t>
      </w:r>
    </w:p>
    <w:p>
      <w:pPr>
        <w:spacing w:before="120" w:beforeLines="50" w:after="120" w:afterLines="50" w:line="360" w:lineRule="auto"/>
        <w:ind w:firstLine="480" w:firstLineChars="200"/>
        <w:rPr>
          <w:rFonts w:asciiTheme="minorEastAsia" w:hAnsiTheme="minorEastAsia" w:eastAsiaTheme="minorEastAsia"/>
          <w:kern w:val="0"/>
          <w:sz w:val="24"/>
          <w:u w:val="single"/>
        </w:rPr>
      </w:pPr>
      <w:r>
        <w:rPr>
          <w:rFonts w:asciiTheme="minorEastAsia" w:hAnsiTheme="minorEastAsia" w:eastAsiaTheme="minorEastAsia"/>
          <w:sz w:val="24"/>
          <w:u w:val="single"/>
        </w:rPr>
        <w:t>根据</w:t>
      </w:r>
      <w:r>
        <w:rPr>
          <w:rFonts w:asciiTheme="minorEastAsia" w:hAnsiTheme="minorEastAsia" w:eastAsiaTheme="minorEastAsia"/>
          <w:kern w:val="0"/>
          <w:sz w:val="24"/>
          <w:u w:val="single"/>
        </w:rPr>
        <w:t>《PPP项目合同》</w:t>
      </w:r>
      <w:r>
        <w:rPr>
          <w:rFonts w:hint="eastAsia" w:asciiTheme="minorEastAsia" w:hAnsiTheme="minorEastAsia" w:eastAsiaTheme="minorEastAsia"/>
          <w:kern w:val="0"/>
          <w:sz w:val="24"/>
          <w:u w:val="single"/>
        </w:rPr>
        <w:t>中</w:t>
      </w:r>
      <w:r>
        <w:rPr>
          <w:rFonts w:asciiTheme="minorEastAsia" w:hAnsiTheme="minorEastAsia" w:eastAsiaTheme="minorEastAsia"/>
          <w:sz w:val="24"/>
          <w:u w:val="single"/>
        </w:rPr>
        <w:t>《绩效评价管理办法》的打分规则和扣罚办法执行。</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49.</w:t>
      </w:r>
      <w:r>
        <w:rPr>
          <w:rFonts w:asciiTheme="minorEastAsia" w:hAnsiTheme="minorEastAsia" w:eastAsiaTheme="minorEastAsia"/>
          <w:kern w:val="0"/>
          <w:sz w:val="24"/>
        </w:rPr>
        <w:t>1.2当连续</w:t>
      </w:r>
      <w:r>
        <w:rPr>
          <w:rFonts w:asciiTheme="minorEastAsia" w:hAnsiTheme="minorEastAsia" w:eastAsiaTheme="minorEastAsia"/>
          <w:b/>
          <w:sz w:val="24"/>
          <w:u w:val="single"/>
        </w:rPr>
        <w:t xml:space="preserve"> 2 </w:t>
      </w:r>
      <w:r>
        <w:rPr>
          <w:rFonts w:asciiTheme="minorEastAsia" w:hAnsiTheme="minorEastAsia" w:eastAsiaTheme="minorEastAsia"/>
          <w:kern w:val="0"/>
          <w:sz w:val="24"/>
        </w:rPr>
        <w:t>次得分在</w:t>
      </w:r>
      <w:r>
        <w:rPr>
          <w:rFonts w:asciiTheme="minorEastAsia" w:hAnsiTheme="minorEastAsia" w:eastAsiaTheme="minorEastAsia"/>
          <w:b/>
          <w:sz w:val="24"/>
          <w:u w:val="single"/>
        </w:rPr>
        <w:t xml:space="preserve"> 60 </w:t>
      </w:r>
      <w:r>
        <w:rPr>
          <w:rFonts w:asciiTheme="minorEastAsia" w:hAnsiTheme="minorEastAsia" w:eastAsiaTheme="minorEastAsia"/>
          <w:kern w:val="0"/>
          <w:sz w:val="24"/>
        </w:rPr>
        <w:t>分以下时，甲方有权按照《PPP项目合同》的约定介入本项目的运营，并有权提前终止本协议。</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49.</w:t>
      </w:r>
      <w:r>
        <w:rPr>
          <w:rFonts w:asciiTheme="minorEastAsia" w:hAnsiTheme="minorEastAsia" w:eastAsiaTheme="minorEastAsia"/>
          <w:kern w:val="0"/>
          <w:sz w:val="24"/>
        </w:rPr>
        <w:t>2对于本项目中的管网，根据其运维绩效评价结果：</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49.</w:t>
      </w:r>
      <w:r>
        <w:rPr>
          <w:rFonts w:asciiTheme="minorEastAsia" w:hAnsiTheme="minorEastAsia" w:eastAsiaTheme="minorEastAsia"/>
          <w:kern w:val="0"/>
          <w:sz w:val="24"/>
        </w:rPr>
        <w:t>2.1当连续</w:t>
      </w:r>
      <w:r>
        <w:rPr>
          <w:rFonts w:asciiTheme="minorEastAsia" w:hAnsiTheme="minorEastAsia" w:eastAsiaTheme="minorEastAsia"/>
          <w:b/>
          <w:sz w:val="24"/>
          <w:u w:val="single"/>
        </w:rPr>
        <w:t xml:space="preserve"> / </w:t>
      </w:r>
      <w:r>
        <w:rPr>
          <w:rFonts w:asciiTheme="minorEastAsia" w:hAnsiTheme="minorEastAsia" w:eastAsiaTheme="minorEastAsia"/>
          <w:kern w:val="0"/>
          <w:sz w:val="24"/>
        </w:rPr>
        <w:t>次得分在</w:t>
      </w:r>
      <w:r>
        <w:rPr>
          <w:rFonts w:asciiTheme="minorEastAsia" w:hAnsiTheme="minorEastAsia" w:eastAsiaTheme="minorEastAsia"/>
          <w:b/>
          <w:sz w:val="24"/>
          <w:u w:val="single"/>
        </w:rPr>
        <w:t xml:space="preserve"> / </w:t>
      </w:r>
      <w:r>
        <w:rPr>
          <w:rFonts w:asciiTheme="minorEastAsia" w:hAnsiTheme="minorEastAsia" w:eastAsiaTheme="minorEastAsia"/>
          <w:kern w:val="0"/>
          <w:sz w:val="24"/>
        </w:rPr>
        <w:t>分以下时，违约金按以下方式计算：</w:t>
      </w:r>
      <w:r>
        <w:rPr>
          <w:rFonts w:asciiTheme="minorEastAsia" w:hAnsiTheme="minorEastAsia" w:eastAsiaTheme="minorEastAsia"/>
          <w:kern w:val="0"/>
          <w:sz w:val="24"/>
          <w:u w:val="single"/>
        </w:rPr>
        <w:t>/</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49.</w:t>
      </w:r>
      <w:r>
        <w:rPr>
          <w:rFonts w:asciiTheme="minorEastAsia" w:hAnsiTheme="minorEastAsia" w:eastAsiaTheme="minorEastAsia"/>
          <w:kern w:val="0"/>
          <w:sz w:val="24"/>
        </w:rPr>
        <w:t>2.2当连续</w:t>
      </w:r>
      <w:r>
        <w:rPr>
          <w:rFonts w:asciiTheme="minorEastAsia" w:hAnsiTheme="minorEastAsia" w:eastAsiaTheme="minorEastAsia"/>
          <w:b/>
          <w:sz w:val="24"/>
          <w:u w:val="single"/>
        </w:rPr>
        <w:t xml:space="preserve"> / </w:t>
      </w:r>
      <w:r>
        <w:rPr>
          <w:rFonts w:asciiTheme="minorEastAsia" w:hAnsiTheme="minorEastAsia" w:eastAsiaTheme="minorEastAsia"/>
          <w:kern w:val="0"/>
          <w:sz w:val="24"/>
        </w:rPr>
        <w:t>次得分在</w:t>
      </w:r>
      <w:r>
        <w:rPr>
          <w:rFonts w:asciiTheme="minorEastAsia" w:hAnsiTheme="minorEastAsia" w:eastAsiaTheme="minorEastAsia"/>
          <w:b/>
          <w:sz w:val="24"/>
          <w:u w:val="single"/>
        </w:rPr>
        <w:t xml:space="preserve"> / </w:t>
      </w:r>
      <w:r>
        <w:rPr>
          <w:rFonts w:asciiTheme="minorEastAsia" w:hAnsiTheme="minorEastAsia" w:eastAsiaTheme="minorEastAsia"/>
          <w:kern w:val="0"/>
          <w:sz w:val="24"/>
        </w:rPr>
        <w:t>分以下时，甲方有权按照《PPP项目合同》的约定介入本项目的运营，并有权提前终止本协议。</w:t>
      </w:r>
    </w:p>
    <w:p>
      <w:pPr>
        <w:spacing w:before="120" w:beforeLines="50" w:after="120" w:afterLines="50" w:line="360" w:lineRule="auto"/>
        <w:ind w:firstLine="480" w:firstLineChars="200"/>
        <w:rPr>
          <w:rFonts w:asciiTheme="minorEastAsia" w:hAnsiTheme="minorEastAsia" w:eastAsiaTheme="minorEastAsia"/>
          <w:kern w:val="0"/>
          <w:sz w:val="24"/>
          <w:u w:val="single"/>
        </w:rPr>
      </w:pPr>
      <w:r>
        <w:rPr>
          <w:rFonts w:hint="eastAsia" w:asciiTheme="minorEastAsia" w:hAnsiTheme="minorEastAsia" w:eastAsiaTheme="minorEastAsia"/>
          <w:kern w:val="0"/>
          <w:sz w:val="24"/>
        </w:rPr>
        <w:t>49.</w:t>
      </w:r>
      <w:r>
        <w:rPr>
          <w:rFonts w:asciiTheme="minorEastAsia" w:hAnsiTheme="minorEastAsia" w:eastAsiaTheme="minorEastAsia"/>
          <w:kern w:val="0"/>
          <w:sz w:val="24"/>
        </w:rPr>
        <w:t>3 如发生本协议第1</w:t>
      </w:r>
      <w:r>
        <w:rPr>
          <w:rFonts w:hint="eastAsia" w:asciiTheme="minorEastAsia" w:hAnsiTheme="minorEastAsia" w:eastAsiaTheme="minorEastAsia"/>
          <w:kern w:val="0"/>
          <w:sz w:val="24"/>
        </w:rPr>
        <w:t>4</w:t>
      </w:r>
      <w:r>
        <w:rPr>
          <w:rFonts w:asciiTheme="minorEastAsia" w:hAnsiTheme="minorEastAsia" w:eastAsiaTheme="minorEastAsia"/>
          <w:kern w:val="0"/>
          <w:sz w:val="24"/>
        </w:rPr>
        <w:t>.1</w:t>
      </w:r>
      <w:r>
        <w:rPr>
          <w:rFonts w:hint="eastAsia" w:asciiTheme="minorEastAsia" w:hAnsiTheme="minorEastAsia" w:eastAsiaTheme="minorEastAsia"/>
          <w:kern w:val="0"/>
          <w:sz w:val="24"/>
        </w:rPr>
        <w:t>/35.1</w:t>
      </w:r>
      <w:r>
        <w:rPr>
          <w:rFonts w:asciiTheme="minorEastAsia" w:hAnsiTheme="minorEastAsia" w:eastAsiaTheme="minorEastAsia"/>
          <w:kern w:val="0"/>
          <w:sz w:val="24"/>
        </w:rPr>
        <w:t>款约定的情形，甲方抽检表明乙方经营的该污水处理厂水质连续两次不符合出水水质标准的，甲方有权向乙方收取违约金，违约金按以下方式计算：</w:t>
      </w:r>
      <w:r>
        <w:rPr>
          <w:rFonts w:asciiTheme="minorEastAsia" w:hAnsiTheme="minorEastAsia" w:eastAsiaTheme="minorEastAsia"/>
          <w:kern w:val="0"/>
          <w:sz w:val="24"/>
          <w:u w:val="single"/>
        </w:rPr>
        <w:t xml:space="preserve"> 根据《PPP项目合同》</w:t>
      </w:r>
      <w:r>
        <w:rPr>
          <w:rFonts w:hint="eastAsia" w:asciiTheme="minorEastAsia" w:hAnsiTheme="minorEastAsia" w:eastAsiaTheme="minorEastAsia"/>
          <w:kern w:val="0"/>
          <w:sz w:val="24"/>
          <w:u w:val="single"/>
        </w:rPr>
        <w:t>中</w:t>
      </w:r>
      <w:r>
        <w:rPr>
          <w:rFonts w:asciiTheme="minorEastAsia" w:hAnsiTheme="minorEastAsia" w:eastAsiaTheme="minorEastAsia"/>
          <w:kern w:val="0"/>
          <w:sz w:val="24"/>
          <w:u w:val="single"/>
        </w:rPr>
        <w:t xml:space="preserve">《绩效评价管理办法》的打分规则和扣罚办法执行 </w:t>
      </w:r>
      <w:r>
        <w:rPr>
          <w:rFonts w:asciiTheme="minorEastAsia" w:hAnsiTheme="minorEastAsia" w:eastAsiaTheme="minorEastAsia"/>
          <w:kern w:val="0"/>
          <w:sz w:val="24"/>
        </w:rPr>
        <w:t>。该等情形下的违约金可累计计算。</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49.</w:t>
      </w:r>
      <w:r>
        <w:rPr>
          <w:rFonts w:asciiTheme="minorEastAsia" w:hAnsiTheme="minorEastAsia" w:eastAsiaTheme="minorEastAsia"/>
          <w:kern w:val="0"/>
          <w:sz w:val="24"/>
        </w:rPr>
        <w:t>4偷排的违约金</w:t>
      </w:r>
    </w:p>
    <w:p>
      <w:pPr>
        <w:spacing w:before="120" w:beforeLines="50" w:after="120" w:afterLines="5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若乙方发生偷排行为，甲方有权向乙方收取违约金，违约金按以下方式计算：</w:t>
      </w:r>
      <w:r>
        <w:rPr>
          <w:rFonts w:asciiTheme="minorEastAsia" w:hAnsiTheme="minorEastAsia" w:eastAsiaTheme="minorEastAsia"/>
          <w:kern w:val="0"/>
          <w:sz w:val="24"/>
          <w:u w:val="single"/>
        </w:rPr>
        <w:t xml:space="preserve"> 根据《PPP项目合同》</w:t>
      </w:r>
      <w:r>
        <w:rPr>
          <w:rFonts w:hint="eastAsia" w:asciiTheme="minorEastAsia" w:hAnsiTheme="minorEastAsia" w:eastAsiaTheme="minorEastAsia"/>
          <w:kern w:val="0"/>
          <w:sz w:val="24"/>
          <w:u w:val="single"/>
        </w:rPr>
        <w:t>中</w:t>
      </w:r>
      <w:r>
        <w:rPr>
          <w:rFonts w:asciiTheme="minorEastAsia" w:hAnsiTheme="minorEastAsia" w:eastAsiaTheme="minorEastAsia"/>
          <w:kern w:val="0"/>
          <w:sz w:val="24"/>
          <w:u w:val="single"/>
        </w:rPr>
        <w:t xml:space="preserve">《绩效评价管理办法》的打分规则和扣罚办法执行 </w:t>
      </w:r>
      <w:r>
        <w:rPr>
          <w:rFonts w:asciiTheme="minorEastAsia" w:hAnsiTheme="minorEastAsia" w:eastAsiaTheme="minorEastAsia"/>
          <w:kern w:val="0"/>
          <w:sz w:val="24"/>
        </w:rPr>
        <w:t>。该等情形下的违约金可累计计算。</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49.</w:t>
      </w:r>
      <w:r>
        <w:rPr>
          <w:rFonts w:asciiTheme="minorEastAsia" w:hAnsiTheme="minorEastAsia" w:eastAsiaTheme="minorEastAsia"/>
          <w:kern w:val="0"/>
          <w:sz w:val="24"/>
        </w:rPr>
        <w:t>5擅自调整流量计、液位计的违约金</w:t>
      </w:r>
    </w:p>
    <w:p>
      <w:pPr>
        <w:spacing w:before="120" w:beforeLines="50" w:after="120" w:afterLines="5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乙方擅自调整流量计或修改读数，甲方有权向乙方收取违约金，违约金按以下方式计算：</w:t>
      </w:r>
      <w:r>
        <w:rPr>
          <w:rFonts w:asciiTheme="minorEastAsia" w:hAnsiTheme="minorEastAsia" w:eastAsiaTheme="minorEastAsia"/>
          <w:kern w:val="0"/>
          <w:sz w:val="24"/>
          <w:u w:val="single"/>
        </w:rPr>
        <w:t xml:space="preserve"> 根据《PPP项目合同》</w:t>
      </w:r>
      <w:r>
        <w:rPr>
          <w:rFonts w:hint="eastAsia" w:asciiTheme="minorEastAsia" w:hAnsiTheme="minorEastAsia" w:eastAsiaTheme="minorEastAsia"/>
          <w:kern w:val="0"/>
          <w:sz w:val="24"/>
          <w:u w:val="single"/>
        </w:rPr>
        <w:t>中</w:t>
      </w:r>
      <w:r>
        <w:rPr>
          <w:rFonts w:asciiTheme="minorEastAsia" w:hAnsiTheme="minorEastAsia" w:eastAsiaTheme="minorEastAsia"/>
          <w:kern w:val="0"/>
          <w:sz w:val="24"/>
          <w:u w:val="single"/>
        </w:rPr>
        <w:t xml:space="preserve">《绩效评价管理办法》的打分规则和扣罚办法执行 </w:t>
      </w:r>
      <w:r>
        <w:rPr>
          <w:rFonts w:asciiTheme="minorEastAsia" w:hAnsiTheme="minorEastAsia" w:eastAsiaTheme="minorEastAsia"/>
          <w:kern w:val="0"/>
          <w:sz w:val="24"/>
        </w:rPr>
        <w:t>。乙方在合作期内每个运营年累计</w:t>
      </w: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3</w:t>
      </w:r>
      <w:r>
        <w:rPr>
          <w:rFonts w:asciiTheme="minorEastAsia" w:hAnsiTheme="minorEastAsia" w:eastAsiaTheme="minorEastAsia"/>
          <w:kern w:val="0"/>
          <w:sz w:val="24"/>
          <w:u w:val="single"/>
        </w:rPr>
        <w:t xml:space="preserve"> </w:t>
      </w:r>
      <w:r>
        <w:rPr>
          <w:rFonts w:asciiTheme="minorEastAsia" w:hAnsiTheme="minorEastAsia" w:eastAsiaTheme="minorEastAsia"/>
          <w:kern w:val="0"/>
          <w:sz w:val="24"/>
        </w:rPr>
        <w:t>次出现该等违约行为时，甲方有权提前终止本协议。</w:t>
      </w:r>
    </w:p>
    <w:p>
      <w:pPr>
        <w:spacing w:before="120" w:beforeLines="50" w:after="120" w:afterLines="5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乙方擅自调整液位计或修改读数，甲方有权向乙方收取违约金，违约金按以下方式计算：</w:t>
      </w:r>
      <w:r>
        <w:rPr>
          <w:rFonts w:asciiTheme="minorEastAsia" w:hAnsiTheme="minorEastAsia" w:eastAsiaTheme="minorEastAsia"/>
          <w:kern w:val="0"/>
          <w:sz w:val="24"/>
          <w:u w:val="single"/>
        </w:rPr>
        <w:t xml:space="preserve"> 根据《PPP项目合同》</w:t>
      </w:r>
      <w:r>
        <w:rPr>
          <w:rFonts w:hint="eastAsia" w:asciiTheme="minorEastAsia" w:hAnsiTheme="minorEastAsia" w:eastAsiaTheme="minorEastAsia"/>
          <w:kern w:val="0"/>
          <w:sz w:val="24"/>
          <w:u w:val="single"/>
        </w:rPr>
        <w:t>中</w:t>
      </w:r>
      <w:r>
        <w:rPr>
          <w:rFonts w:asciiTheme="minorEastAsia" w:hAnsiTheme="minorEastAsia" w:eastAsiaTheme="minorEastAsia"/>
          <w:kern w:val="0"/>
          <w:sz w:val="24"/>
          <w:u w:val="single"/>
        </w:rPr>
        <w:t xml:space="preserve">《绩效评价管理办法》的打分规则和扣罚办法执行 </w:t>
      </w:r>
      <w:r>
        <w:rPr>
          <w:rFonts w:asciiTheme="minorEastAsia" w:hAnsiTheme="minorEastAsia" w:eastAsiaTheme="minorEastAsia"/>
          <w:kern w:val="0"/>
          <w:sz w:val="24"/>
        </w:rPr>
        <w:t>。乙方在合作期每个运营年累计</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3</w:t>
      </w:r>
      <w:r>
        <w:rPr>
          <w:rFonts w:asciiTheme="minorEastAsia" w:hAnsiTheme="minorEastAsia" w:eastAsiaTheme="minorEastAsia"/>
          <w:b/>
          <w:sz w:val="24"/>
          <w:u w:val="single"/>
        </w:rPr>
        <w:t xml:space="preserve"> </w:t>
      </w:r>
      <w:r>
        <w:rPr>
          <w:rFonts w:asciiTheme="minorEastAsia" w:hAnsiTheme="minorEastAsia" w:eastAsiaTheme="minorEastAsia"/>
          <w:kern w:val="0"/>
          <w:sz w:val="24"/>
        </w:rPr>
        <w:t>次出现该等违约行为时，甲方有权提前终止本协议。</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49.</w:t>
      </w:r>
      <w:r>
        <w:rPr>
          <w:rFonts w:asciiTheme="minorEastAsia" w:hAnsiTheme="minorEastAsia" w:eastAsiaTheme="minorEastAsia"/>
          <w:kern w:val="0"/>
          <w:sz w:val="24"/>
        </w:rPr>
        <w:t>6乙方拒不将液位恢复至控制液位或警戒液位以下的违约金</w:t>
      </w:r>
    </w:p>
    <w:p>
      <w:pPr>
        <w:spacing w:before="120" w:beforeLines="50" w:after="120" w:afterLines="5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乙方违反本协议第</w:t>
      </w:r>
      <w:r>
        <w:rPr>
          <w:rFonts w:hint="eastAsia" w:asciiTheme="minorEastAsia" w:hAnsiTheme="minorEastAsia" w:eastAsiaTheme="minorEastAsia"/>
          <w:kern w:val="0"/>
          <w:sz w:val="24"/>
        </w:rPr>
        <w:t>40.1</w:t>
      </w:r>
      <w:r>
        <w:rPr>
          <w:rFonts w:asciiTheme="minorEastAsia" w:hAnsiTheme="minorEastAsia" w:eastAsiaTheme="minorEastAsia"/>
          <w:kern w:val="0"/>
          <w:sz w:val="24"/>
        </w:rPr>
        <w:t>款的约定，且拒不按照第</w:t>
      </w:r>
      <w:r>
        <w:rPr>
          <w:rFonts w:hint="eastAsia" w:asciiTheme="minorEastAsia" w:hAnsiTheme="minorEastAsia" w:eastAsiaTheme="minorEastAsia"/>
          <w:kern w:val="0"/>
          <w:sz w:val="24"/>
        </w:rPr>
        <w:t>40.5</w:t>
      </w:r>
      <w:r>
        <w:rPr>
          <w:rFonts w:asciiTheme="minorEastAsia" w:hAnsiTheme="minorEastAsia" w:eastAsiaTheme="minorEastAsia"/>
          <w:kern w:val="0"/>
          <w:sz w:val="24"/>
        </w:rPr>
        <w:t>款的约定将液位恢复至控制液位以下的，甲方有权向乙方收取违约金，违约金按以下方式计算：</w:t>
      </w:r>
      <w:r>
        <w:rPr>
          <w:rFonts w:asciiTheme="minorEastAsia" w:hAnsiTheme="minorEastAsia" w:eastAsiaTheme="minorEastAsia"/>
          <w:kern w:val="0"/>
          <w:sz w:val="24"/>
          <w:u w:val="single"/>
        </w:rPr>
        <w:t xml:space="preserve"> 根据《PPP项目合同》</w:t>
      </w:r>
      <w:r>
        <w:rPr>
          <w:rFonts w:hint="eastAsia" w:asciiTheme="minorEastAsia" w:hAnsiTheme="minorEastAsia" w:eastAsiaTheme="minorEastAsia"/>
          <w:kern w:val="0"/>
          <w:sz w:val="24"/>
          <w:u w:val="single"/>
        </w:rPr>
        <w:t>中</w:t>
      </w:r>
      <w:r>
        <w:rPr>
          <w:rFonts w:asciiTheme="minorEastAsia" w:hAnsiTheme="minorEastAsia" w:eastAsiaTheme="minorEastAsia"/>
          <w:kern w:val="0"/>
          <w:sz w:val="24"/>
          <w:u w:val="single"/>
        </w:rPr>
        <w:t xml:space="preserve">《绩效评价管理办法》的打分规则和扣罚办法执行 </w:t>
      </w:r>
      <w:r>
        <w:rPr>
          <w:rFonts w:asciiTheme="minorEastAsia" w:hAnsiTheme="minorEastAsia" w:eastAsiaTheme="minorEastAsia"/>
          <w:kern w:val="0"/>
          <w:sz w:val="24"/>
        </w:rPr>
        <w:t>。乙方违反本协议第</w:t>
      </w:r>
      <w:r>
        <w:rPr>
          <w:rFonts w:hint="eastAsia" w:asciiTheme="minorEastAsia" w:hAnsiTheme="minorEastAsia" w:eastAsiaTheme="minorEastAsia"/>
          <w:kern w:val="0"/>
          <w:sz w:val="24"/>
        </w:rPr>
        <w:t>40.2</w:t>
      </w:r>
      <w:r>
        <w:rPr>
          <w:rFonts w:asciiTheme="minorEastAsia" w:hAnsiTheme="minorEastAsia" w:eastAsiaTheme="minorEastAsia"/>
          <w:kern w:val="0"/>
          <w:sz w:val="24"/>
        </w:rPr>
        <w:t>款的约定，且拒不按照第</w:t>
      </w:r>
      <w:r>
        <w:rPr>
          <w:rFonts w:hint="eastAsia" w:asciiTheme="minorEastAsia" w:hAnsiTheme="minorEastAsia" w:eastAsiaTheme="minorEastAsia"/>
          <w:kern w:val="0"/>
          <w:sz w:val="24"/>
        </w:rPr>
        <w:t>40.5</w:t>
      </w:r>
      <w:r>
        <w:rPr>
          <w:rFonts w:asciiTheme="minorEastAsia" w:hAnsiTheme="minorEastAsia" w:eastAsiaTheme="minorEastAsia"/>
          <w:kern w:val="0"/>
          <w:sz w:val="24"/>
        </w:rPr>
        <w:t>款的约定将液位恢复至警戒液位以下的，甲方有权向乙方收取违约金，违约金按以下方式计算：</w:t>
      </w:r>
      <w:r>
        <w:rPr>
          <w:rFonts w:asciiTheme="minorEastAsia" w:hAnsiTheme="minorEastAsia" w:eastAsiaTheme="minorEastAsia"/>
          <w:kern w:val="0"/>
          <w:sz w:val="24"/>
          <w:u w:val="single"/>
        </w:rPr>
        <w:t xml:space="preserve">  根据《PPP项目合同》</w:t>
      </w:r>
      <w:r>
        <w:rPr>
          <w:rFonts w:hint="eastAsia" w:asciiTheme="minorEastAsia" w:hAnsiTheme="minorEastAsia" w:eastAsiaTheme="minorEastAsia"/>
          <w:kern w:val="0"/>
          <w:sz w:val="24"/>
          <w:u w:val="single"/>
        </w:rPr>
        <w:t>中</w:t>
      </w:r>
      <w:r>
        <w:rPr>
          <w:rFonts w:asciiTheme="minorEastAsia" w:hAnsiTheme="minorEastAsia" w:eastAsiaTheme="minorEastAsia"/>
          <w:kern w:val="0"/>
          <w:sz w:val="24"/>
          <w:u w:val="single"/>
        </w:rPr>
        <w:t xml:space="preserve">《绩效评价管理办法》的打分规则和扣罚办法执行 </w:t>
      </w:r>
      <w:r>
        <w:rPr>
          <w:rFonts w:asciiTheme="minorEastAsia" w:hAnsiTheme="minorEastAsia" w:eastAsiaTheme="minorEastAsia"/>
          <w:kern w:val="0"/>
          <w:sz w:val="24"/>
        </w:rPr>
        <w:t>。该等情形下的违约金累计计算。</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49.</w:t>
      </w:r>
      <w:r>
        <w:rPr>
          <w:rFonts w:asciiTheme="minorEastAsia" w:hAnsiTheme="minorEastAsia" w:eastAsiaTheme="minorEastAsia"/>
          <w:kern w:val="0"/>
          <w:sz w:val="24"/>
        </w:rPr>
        <w:t>7乙方擅自停运的违约金</w:t>
      </w:r>
    </w:p>
    <w:p>
      <w:pPr>
        <w:spacing w:before="120" w:beforeLines="50" w:after="120" w:afterLines="5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除乙方因进水异常可能会导致污水处理设施重大损坏</w:t>
      </w:r>
      <w:r>
        <w:rPr>
          <w:rFonts w:hint="eastAsia" w:asciiTheme="minorEastAsia" w:hAnsiTheme="minorEastAsia" w:eastAsiaTheme="minorEastAsia"/>
          <w:kern w:val="0"/>
          <w:sz w:val="24"/>
        </w:rPr>
        <w:t>而</w:t>
      </w:r>
      <w:r>
        <w:rPr>
          <w:rFonts w:asciiTheme="minorEastAsia" w:hAnsiTheme="minorEastAsia" w:eastAsiaTheme="minorEastAsia"/>
          <w:kern w:val="0"/>
          <w:sz w:val="24"/>
        </w:rPr>
        <w:t>启动应急措施进行停运的情形外，未经甲方事先书面同意，乙方擅自停运的，甲方有权向乙方收取违约金，违约金按以下方式计算：</w:t>
      </w:r>
      <w:r>
        <w:rPr>
          <w:rFonts w:asciiTheme="minorEastAsia" w:hAnsiTheme="minorEastAsia" w:eastAsiaTheme="minorEastAsia"/>
          <w:kern w:val="0"/>
          <w:sz w:val="24"/>
          <w:u w:val="single"/>
        </w:rPr>
        <w:t xml:space="preserve"> 根据《PPP项目合同》中第13.1.2的</w:t>
      </w:r>
      <w:r>
        <w:rPr>
          <w:rFonts w:asciiTheme="minorEastAsia" w:hAnsiTheme="minorEastAsia" w:eastAsiaTheme="minorEastAsia"/>
          <w:sz w:val="24"/>
        </w:rPr>
        <w:t>④条执行</w:t>
      </w:r>
      <w:r>
        <w:rPr>
          <w:rFonts w:asciiTheme="minorEastAsia" w:hAnsiTheme="minorEastAsia" w:eastAsiaTheme="minorEastAsia"/>
          <w:kern w:val="0"/>
          <w:sz w:val="24"/>
          <w:u w:val="single"/>
        </w:rPr>
        <w:t xml:space="preserve"> </w:t>
      </w:r>
      <w:r>
        <w:rPr>
          <w:rFonts w:asciiTheme="minorEastAsia" w:hAnsiTheme="minorEastAsia" w:eastAsiaTheme="minorEastAsia"/>
          <w:kern w:val="0"/>
          <w:sz w:val="24"/>
        </w:rPr>
        <w:t>。如一个运营年内出现本协议第</w:t>
      </w:r>
      <w:r>
        <w:rPr>
          <w:rFonts w:hint="eastAsia" w:asciiTheme="minorEastAsia" w:hAnsiTheme="minorEastAsia" w:eastAsiaTheme="minorEastAsia"/>
          <w:kern w:val="0"/>
          <w:sz w:val="24"/>
        </w:rPr>
        <w:t>46.</w:t>
      </w:r>
      <w:r>
        <w:rPr>
          <w:rFonts w:asciiTheme="minorEastAsia" w:hAnsiTheme="minorEastAsia" w:eastAsiaTheme="minorEastAsia"/>
          <w:kern w:val="0"/>
          <w:sz w:val="24"/>
        </w:rPr>
        <w:t>3款所述之暂停持续</w:t>
      </w:r>
      <w:r>
        <w:rPr>
          <w:rFonts w:asciiTheme="minorEastAsia" w:hAnsiTheme="minorEastAsia" w:eastAsiaTheme="minorEastAsia"/>
          <w:b/>
          <w:sz w:val="24"/>
          <w:u w:val="single"/>
        </w:rPr>
        <w:t xml:space="preserve"> 60 </w:t>
      </w:r>
      <w:r>
        <w:rPr>
          <w:rFonts w:asciiTheme="minorEastAsia" w:hAnsiTheme="minorEastAsia" w:eastAsiaTheme="minorEastAsia"/>
          <w:kern w:val="0"/>
          <w:sz w:val="24"/>
        </w:rPr>
        <w:t>日或累计达</w:t>
      </w:r>
      <w:r>
        <w:rPr>
          <w:rFonts w:asciiTheme="minorEastAsia" w:hAnsiTheme="minorEastAsia" w:eastAsiaTheme="minorEastAsia"/>
          <w:b/>
          <w:sz w:val="24"/>
          <w:u w:val="single"/>
        </w:rPr>
        <w:t xml:space="preserve"> 180 </w:t>
      </w:r>
      <w:r>
        <w:rPr>
          <w:rFonts w:asciiTheme="minorEastAsia" w:hAnsiTheme="minorEastAsia" w:eastAsiaTheme="minorEastAsia"/>
          <w:kern w:val="0"/>
          <w:sz w:val="24"/>
        </w:rPr>
        <w:t>日的，则甲方有权提前终止本协议。</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49.</w:t>
      </w:r>
      <w:r>
        <w:rPr>
          <w:rFonts w:asciiTheme="minorEastAsia" w:hAnsiTheme="minorEastAsia" w:eastAsiaTheme="minorEastAsia"/>
          <w:kern w:val="0"/>
          <w:sz w:val="24"/>
        </w:rPr>
        <w:t>8如发生本协议第</w:t>
      </w:r>
      <w:r>
        <w:rPr>
          <w:rFonts w:hint="eastAsia" w:asciiTheme="minorEastAsia" w:hAnsiTheme="minorEastAsia" w:eastAsiaTheme="minorEastAsia"/>
          <w:kern w:val="0"/>
          <w:sz w:val="24"/>
        </w:rPr>
        <w:t>49</w:t>
      </w:r>
      <w:r>
        <w:rPr>
          <w:rFonts w:asciiTheme="minorEastAsia" w:hAnsiTheme="minorEastAsia" w:eastAsiaTheme="minorEastAsia"/>
          <w:kern w:val="0"/>
          <w:sz w:val="24"/>
        </w:rPr>
        <w:t>条乙方应向甲方支付违约金的情形，则甲方有权直接扣除或提取运维履约担保或移交履约担保项下的相应金额。</w:t>
      </w:r>
    </w:p>
    <w:p>
      <w:pPr>
        <w:pStyle w:val="2"/>
        <w:ind w:left="494" w:right="210"/>
        <w:rPr>
          <w:rFonts w:asciiTheme="minorEastAsia" w:hAnsiTheme="minorEastAsia"/>
        </w:rPr>
      </w:pPr>
      <w:bookmarkStart w:id="616" w:name="_Toc16846"/>
      <w:bookmarkStart w:id="617" w:name="_Toc50993508"/>
      <w:bookmarkStart w:id="618" w:name="_Toc15656"/>
      <w:r>
        <w:rPr>
          <w:rFonts w:asciiTheme="minorEastAsia" w:hAnsiTheme="minorEastAsia"/>
        </w:rPr>
        <w:t>第</w:t>
      </w:r>
      <w:r>
        <w:rPr>
          <w:rFonts w:hint="eastAsia" w:asciiTheme="minorEastAsia" w:hAnsiTheme="minorEastAsia"/>
        </w:rPr>
        <w:t>六</w:t>
      </w:r>
      <w:r>
        <w:rPr>
          <w:rFonts w:asciiTheme="minorEastAsia" w:hAnsiTheme="minorEastAsia"/>
        </w:rPr>
        <w:t>章  协议的变更、终止</w:t>
      </w:r>
      <w:bookmarkEnd w:id="616"/>
      <w:bookmarkEnd w:id="617"/>
      <w:bookmarkEnd w:id="618"/>
    </w:p>
    <w:p>
      <w:pPr>
        <w:pStyle w:val="4"/>
        <w:rPr>
          <w:rFonts w:asciiTheme="minorEastAsia" w:hAnsiTheme="minorEastAsia" w:eastAsiaTheme="minorEastAsia"/>
        </w:rPr>
      </w:pPr>
      <w:bookmarkStart w:id="619" w:name="_Toc9646"/>
      <w:bookmarkStart w:id="620" w:name="_Toc23245"/>
      <w:r>
        <w:rPr>
          <w:rFonts w:asciiTheme="minorEastAsia" w:hAnsiTheme="minorEastAsia" w:eastAsiaTheme="minorEastAsia"/>
        </w:rPr>
        <w:t>第50条 协议的变更</w:t>
      </w:r>
      <w:bookmarkEnd w:id="619"/>
      <w:bookmarkEnd w:id="620"/>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50.</w:t>
      </w:r>
      <w:r>
        <w:rPr>
          <w:rFonts w:asciiTheme="minorEastAsia" w:hAnsiTheme="minorEastAsia" w:eastAsiaTheme="minorEastAsia"/>
          <w:kern w:val="0"/>
          <w:sz w:val="24"/>
        </w:rPr>
        <w:t>1本协议未尽事宜，双方可协商解决或另行签订补充协议，补充协议与本协议具有同等法律效力，为本协议不可分割的组成部分。</w:t>
      </w:r>
    </w:p>
    <w:p>
      <w:pPr>
        <w:spacing w:before="120" w:beforeLines="50" w:after="120"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sz w:val="24"/>
        </w:rPr>
        <w:t>50.</w:t>
      </w:r>
      <w:r>
        <w:rPr>
          <w:rFonts w:asciiTheme="minorEastAsia" w:hAnsiTheme="minorEastAsia" w:eastAsiaTheme="minorEastAsia"/>
          <w:sz w:val="24"/>
        </w:rPr>
        <w:t>2任何一方未经另一方书面同意不得转让其在本协议项下全部或部分的权利和义务。</w:t>
      </w:r>
    </w:p>
    <w:p>
      <w:pPr>
        <w:pStyle w:val="4"/>
        <w:rPr>
          <w:rFonts w:asciiTheme="minorEastAsia" w:hAnsiTheme="minorEastAsia" w:eastAsiaTheme="minorEastAsia"/>
        </w:rPr>
      </w:pPr>
      <w:bookmarkStart w:id="621" w:name="_Toc20858"/>
      <w:bookmarkStart w:id="622" w:name="_Toc13122"/>
      <w:r>
        <w:rPr>
          <w:rFonts w:asciiTheme="minorEastAsia" w:hAnsiTheme="minorEastAsia" w:eastAsiaTheme="minorEastAsia"/>
        </w:rPr>
        <w:t>第51条 终止事件</w:t>
      </w:r>
      <w:bookmarkEnd w:id="621"/>
      <w:bookmarkEnd w:id="622"/>
      <w:r>
        <w:rPr>
          <w:rFonts w:asciiTheme="minorEastAsia" w:hAnsiTheme="minorEastAsia" w:eastAsiaTheme="minorEastAsia"/>
        </w:rPr>
        <w:t xml:space="preserve"> </w:t>
      </w:r>
    </w:p>
    <w:p>
      <w:pPr>
        <w:spacing w:before="120" w:beforeLines="50" w:after="120" w:afterLines="5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下列任一事件发生时，本协议终止：</w:t>
      </w:r>
    </w:p>
    <w:p>
      <w:pPr>
        <w:spacing w:before="120" w:beforeLines="50" w:after="120" w:afterLines="5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51.</w:t>
      </w:r>
      <w:r>
        <w:rPr>
          <w:rFonts w:asciiTheme="minorEastAsia" w:hAnsiTheme="minorEastAsia" w:eastAsiaTheme="minorEastAsia"/>
          <w:sz w:val="24"/>
        </w:rPr>
        <w:t>1 《PPP项目合同》终止；</w:t>
      </w:r>
    </w:p>
    <w:p>
      <w:pPr>
        <w:spacing w:before="120" w:beforeLines="50" w:after="120" w:afterLines="5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51.</w:t>
      </w:r>
      <w:r>
        <w:rPr>
          <w:rFonts w:asciiTheme="minorEastAsia" w:hAnsiTheme="minorEastAsia" w:eastAsiaTheme="minorEastAsia"/>
          <w:sz w:val="24"/>
        </w:rPr>
        <w:t>2根据本协议第</w:t>
      </w:r>
      <w:r>
        <w:rPr>
          <w:rFonts w:hint="eastAsia" w:asciiTheme="minorEastAsia" w:hAnsiTheme="minorEastAsia" w:eastAsiaTheme="minorEastAsia"/>
          <w:sz w:val="24"/>
        </w:rPr>
        <w:t>52</w:t>
      </w:r>
      <w:r>
        <w:rPr>
          <w:rFonts w:asciiTheme="minorEastAsia" w:hAnsiTheme="minorEastAsia" w:eastAsiaTheme="minorEastAsia"/>
          <w:sz w:val="24"/>
        </w:rPr>
        <w:t>条因甲方违约的终止约定，在甲方违约事件后，乙方通知终止本协议；</w:t>
      </w:r>
    </w:p>
    <w:p>
      <w:pPr>
        <w:spacing w:before="120" w:beforeLines="50" w:after="120" w:afterLines="5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51.</w:t>
      </w:r>
      <w:r>
        <w:rPr>
          <w:rFonts w:asciiTheme="minorEastAsia" w:hAnsiTheme="minorEastAsia" w:eastAsiaTheme="minorEastAsia"/>
          <w:sz w:val="24"/>
        </w:rPr>
        <w:t>3根据本协议第</w:t>
      </w:r>
      <w:r>
        <w:rPr>
          <w:rFonts w:hint="eastAsia" w:asciiTheme="minorEastAsia" w:hAnsiTheme="minorEastAsia" w:eastAsiaTheme="minorEastAsia"/>
          <w:sz w:val="24"/>
        </w:rPr>
        <w:t>53</w:t>
      </w:r>
      <w:r>
        <w:rPr>
          <w:rFonts w:asciiTheme="minorEastAsia" w:hAnsiTheme="minorEastAsia" w:eastAsiaTheme="minorEastAsia"/>
          <w:sz w:val="24"/>
        </w:rPr>
        <w:t>条因乙方违约的终止约定，在乙方违约事件发生后，甲方通知终止本协议。</w:t>
      </w:r>
    </w:p>
    <w:p>
      <w:pPr>
        <w:pStyle w:val="4"/>
        <w:rPr>
          <w:rFonts w:asciiTheme="minorEastAsia" w:hAnsiTheme="minorEastAsia" w:eastAsiaTheme="minorEastAsia"/>
        </w:rPr>
      </w:pPr>
      <w:bookmarkStart w:id="623" w:name="_Toc21029"/>
      <w:r>
        <w:rPr>
          <w:rFonts w:asciiTheme="minorEastAsia" w:hAnsiTheme="minorEastAsia" w:eastAsiaTheme="minorEastAsia"/>
        </w:rPr>
        <w:t>第52条 因甲方</w:t>
      </w:r>
      <w:r>
        <w:rPr>
          <w:rFonts w:asciiTheme="minorEastAsia" w:hAnsiTheme="minorEastAsia" w:eastAsiaTheme="minorEastAsia"/>
          <w:bCs/>
        </w:rPr>
        <w:t>违约</w:t>
      </w:r>
      <w:r>
        <w:rPr>
          <w:rFonts w:asciiTheme="minorEastAsia" w:hAnsiTheme="minorEastAsia" w:eastAsiaTheme="minorEastAsia"/>
        </w:rPr>
        <w:t>的终止</w:t>
      </w:r>
      <w:bookmarkEnd w:id="623"/>
    </w:p>
    <w:p>
      <w:pPr>
        <w:spacing w:before="120" w:beforeLines="50" w:after="120" w:afterLines="5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下列事件若非因乙方原因或不可抗力事件所致，并且未在规定的时间内得 到改正，则应视为甲方违约事件，乙方有权因此向甲方发出终止意向通知：</w:t>
      </w:r>
    </w:p>
    <w:p>
      <w:pPr>
        <w:spacing w:before="120" w:beforeLines="50" w:after="120" w:afterLines="50"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甲方无正当理由未按《PPP项目合同》第13条的约定向乙方支付服务费，且逾期超过</w:t>
      </w:r>
      <w:r>
        <w:rPr>
          <w:rFonts w:asciiTheme="minorEastAsia" w:hAnsiTheme="minorEastAsia" w:eastAsiaTheme="minorEastAsia"/>
          <w:b/>
          <w:sz w:val="24"/>
          <w:u w:val="single"/>
        </w:rPr>
        <w:t xml:space="preserve">  90 </w:t>
      </w:r>
      <w:r>
        <w:rPr>
          <w:rFonts w:asciiTheme="minorEastAsia" w:hAnsiTheme="minorEastAsia" w:eastAsiaTheme="minorEastAsia"/>
          <w:kern w:val="0"/>
          <w:sz w:val="24"/>
        </w:rPr>
        <w:t>日。</w:t>
      </w:r>
    </w:p>
    <w:p>
      <w:pPr>
        <w:pStyle w:val="4"/>
        <w:rPr>
          <w:rFonts w:asciiTheme="minorEastAsia" w:hAnsiTheme="minorEastAsia" w:eastAsiaTheme="minorEastAsia"/>
        </w:rPr>
      </w:pPr>
      <w:bookmarkStart w:id="624" w:name="_Toc1893"/>
      <w:bookmarkStart w:id="625" w:name="_Toc32280"/>
      <w:r>
        <w:rPr>
          <w:rFonts w:asciiTheme="minorEastAsia" w:hAnsiTheme="minorEastAsia" w:eastAsiaTheme="minorEastAsia"/>
        </w:rPr>
        <w:t>第53条 因乙方违约的终止</w:t>
      </w:r>
      <w:bookmarkEnd w:id="624"/>
      <w:bookmarkEnd w:id="625"/>
    </w:p>
    <w:p>
      <w:pPr>
        <w:spacing w:before="120" w:beforeLines="50" w:after="120" w:afterLines="50" w:line="36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下列任一事件若非因甲方之原因或不可抗力事件所致，并且未在规定的时间内得到改正，则应视为乙方违约事件，甲方有权因此向乙方发出终止意向通知：</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53.</w:t>
      </w:r>
      <w:r>
        <w:rPr>
          <w:rFonts w:asciiTheme="minorEastAsia" w:hAnsiTheme="minorEastAsia" w:eastAsiaTheme="minorEastAsia"/>
          <w:kern w:val="0"/>
          <w:sz w:val="24"/>
        </w:rPr>
        <w:t>1依据本协议第</w:t>
      </w:r>
      <w:r>
        <w:rPr>
          <w:rFonts w:hint="eastAsia" w:asciiTheme="minorEastAsia" w:hAnsiTheme="minorEastAsia" w:eastAsiaTheme="minorEastAsia"/>
          <w:kern w:val="0"/>
          <w:sz w:val="24"/>
        </w:rPr>
        <w:t>49.</w:t>
      </w:r>
      <w:r>
        <w:rPr>
          <w:rFonts w:asciiTheme="minorEastAsia" w:hAnsiTheme="minorEastAsia" w:eastAsiaTheme="minorEastAsia"/>
          <w:kern w:val="0"/>
          <w:sz w:val="24"/>
        </w:rPr>
        <w:t>5款的约定，乙方未经甲方批准而擅自调整流量计、液位计的行为第</w:t>
      </w:r>
      <w:r>
        <w:rPr>
          <w:rFonts w:asciiTheme="minorEastAsia" w:hAnsiTheme="minorEastAsia" w:eastAsiaTheme="minorEastAsia"/>
          <w:b/>
          <w:sz w:val="24"/>
          <w:u w:val="single"/>
        </w:rPr>
        <w:t xml:space="preserve"> 10 </w:t>
      </w:r>
      <w:r>
        <w:rPr>
          <w:rFonts w:asciiTheme="minorEastAsia" w:hAnsiTheme="minorEastAsia" w:eastAsiaTheme="minorEastAsia"/>
          <w:kern w:val="0"/>
          <w:sz w:val="24"/>
        </w:rPr>
        <w:t>次发生；</w:t>
      </w:r>
    </w:p>
    <w:p>
      <w:pPr>
        <w:spacing w:before="120" w:beforeLines="50" w:after="120" w:afterLines="50" w:line="36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53.</w:t>
      </w:r>
      <w:r>
        <w:rPr>
          <w:rFonts w:asciiTheme="minorEastAsia" w:hAnsiTheme="minorEastAsia" w:eastAsiaTheme="minorEastAsia"/>
          <w:kern w:val="0"/>
          <w:sz w:val="24"/>
        </w:rPr>
        <w:t>2依据本协议第</w:t>
      </w:r>
      <w:r>
        <w:rPr>
          <w:rFonts w:hint="eastAsia" w:asciiTheme="minorEastAsia" w:hAnsiTheme="minorEastAsia" w:eastAsiaTheme="minorEastAsia"/>
          <w:kern w:val="0"/>
          <w:sz w:val="24"/>
        </w:rPr>
        <w:t>49.</w:t>
      </w:r>
      <w:r>
        <w:rPr>
          <w:rFonts w:asciiTheme="minorEastAsia" w:hAnsiTheme="minorEastAsia" w:eastAsiaTheme="minorEastAsia"/>
          <w:kern w:val="0"/>
          <w:sz w:val="24"/>
        </w:rPr>
        <w:t>1款的约定，供水厂/污水处理厂的绩效评价已连续</w:t>
      </w:r>
      <w:r>
        <w:rPr>
          <w:rFonts w:asciiTheme="minorEastAsia" w:hAnsiTheme="minorEastAsia" w:eastAsiaTheme="minorEastAsia"/>
          <w:b/>
          <w:sz w:val="24"/>
          <w:u w:val="single"/>
        </w:rPr>
        <w:t xml:space="preserve"> 2 </w:t>
      </w:r>
      <w:r>
        <w:rPr>
          <w:rFonts w:asciiTheme="minorEastAsia" w:hAnsiTheme="minorEastAsia" w:eastAsiaTheme="minorEastAsia"/>
          <w:kern w:val="0"/>
          <w:sz w:val="24"/>
        </w:rPr>
        <w:t>次均被判定为“不合格”，或者依据本协议第</w:t>
      </w:r>
      <w:r>
        <w:rPr>
          <w:rFonts w:hint="eastAsia" w:asciiTheme="minorEastAsia" w:hAnsiTheme="minorEastAsia" w:eastAsiaTheme="minorEastAsia"/>
          <w:kern w:val="0"/>
          <w:sz w:val="24"/>
        </w:rPr>
        <w:t>49.</w:t>
      </w:r>
      <w:r>
        <w:rPr>
          <w:rFonts w:asciiTheme="minorEastAsia" w:hAnsiTheme="minorEastAsia" w:eastAsiaTheme="minorEastAsia"/>
          <w:kern w:val="0"/>
          <w:sz w:val="24"/>
        </w:rPr>
        <w:t>2款的约定，管网的运维绩效评价已连续</w:t>
      </w:r>
      <w:r>
        <w:rPr>
          <w:rFonts w:asciiTheme="minorEastAsia" w:hAnsiTheme="minorEastAsia" w:eastAsiaTheme="minorEastAsia"/>
          <w:kern w:val="0"/>
          <w:sz w:val="24"/>
          <w:u w:val="single"/>
        </w:rPr>
        <w:t xml:space="preserve"> / </w:t>
      </w:r>
      <w:r>
        <w:rPr>
          <w:rFonts w:asciiTheme="minorEastAsia" w:hAnsiTheme="minorEastAsia" w:eastAsiaTheme="minorEastAsia"/>
          <w:kern w:val="0"/>
          <w:sz w:val="24"/>
        </w:rPr>
        <w:t>次得分均在</w:t>
      </w:r>
      <w:r>
        <w:rPr>
          <w:rFonts w:asciiTheme="minorEastAsia" w:hAnsiTheme="minorEastAsia" w:eastAsiaTheme="minorEastAsia"/>
          <w:b/>
          <w:sz w:val="24"/>
          <w:u w:val="single"/>
        </w:rPr>
        <w:t xml:space="preserve"> / </w:t>
      </w:r>
      <w:r>
        <w:rPr>
          <w:rFonts w:asciiTheme="minorEastAsia" w:hAnsiTheme="minorEastAsia" w:eastAsiaTheme="minorEastAsia"/>
          <w:kern w:val="0"/>
          <w:sz w:val="24"/>
        </w:rPr>
        <w:t>分以下的；</w:t>
      </w:r>
    </w:p>
    <w:p>
      <w:pPr>
        <w:spacing w:before="120" w:beforeLines="50" w:after="120" w:afterLines="50" w:line="360" w:lineRule="auto"/>
        <w:ind w:firstLine="424" w:firstLineChars="177"/>
        <w:jc w:val="left"/>
        <w:rPr>
          <w:rFonts w:asciiTheme="minorEastAsia" w:hAnsiTheme="minorEastAsia" w:eastAsiaTheme="minorEastAsia"/>
          <w:kern w:val="0"/>
          <w:sz w:val="24"/>
        </w:rPr>
      </w:pPr>
      <w:r>
        <w:rPr>
          <w:rFonts w:hint="eastAsia" w:asciiTheme="minorEastAsia" w:hAnsiTheme="minorEastAsia" w:eastAsiaTheme="minorEastAsia"/>
          <w:kern w:val="0"/>
          <w:sz w:val="24"/>
        </w:rPr>
        <w:t>53.</w:t>
      </w:r>
      <w:r>
        <w:rPr>
          <w:rFonts w:asciiTheme="minorEastAsia" w:hAnsiTheme="minorEastAsia" w:eastAsiaTheme="minorEastAsia"/>
          <w:kern w:val="0"/>
          <w:sz w:val="24"/>
        </w:rPr>
        <w:t>3一个运营年内出现本协议</w:t>
      </w:r>
      <w:r>
        <w:rPr>
          <w:rFonts w:hint="eastAsia" w:asciiTheme="minorEastAsia" w:hAnsiTheme="minorEastAsia" w:eastAsiaTheme="minorEastAsia"/>
          <w:kern w:val="0"/>
          <w:sz w:val="24"/>
        </w:rPr>
        <w:t>第46.3款</w:t>
      </w:r>
      <w:r>
        <w:rPr>
          <w:rFonts w:asciiTheme="minorEastAsia" w:hAnsiTheme="minorEastAsia" w:eastAsiaTheme="minorEastAsia"/>
          <w:kern w:val="0"/>
          <w:sz w:val="24"/>
        </w:rPr>
        <w:t>所述之暂停已持续</w:t>
      </w:r>
      <w:r>
        <w:rPr>
          <w:rFonts w:asciiTheme="minorEastAsia" w:hAnsiTheme="minorEastAsia" w:eastAsiaTheme="minorEastAsia"/>
          <w:b/>
          <w:sz w:val="24"/>
          <w:u w:val="single"/>
        </w:rPr>
        <w:t xml:space="preserve"> 60 </w:t>
      </w:r>
      <w:r>
        <w:rPr>
          <w:rFonts w:asciiTheme="minorEastAsia" w:hAnsiTheme="minorEastAsia" w:eastAsiaTheme="minorEastAsia"/>
          <w:kern w:val="0"/>
          <w:sz w:val="24"/>
        </w:rPr>
        <w:t>日或累计达</w:t>
      </w:r>
      <w:r>
        <w:rPr>
          <w:rFonts w:asciiTheme="minorEastAsia" w:hAnsiTheme="minorEastAsia" w:eastAsiaTheme="minorEastAsia"/>
          <w:kern w:val="0"/>
          <w:sz w:val="24"/>
          <w:u w:val="single"/>
        </w:rPr>
        <w:t xml:space="preserve">180 </w:t>
      </w:r>
      <w:r>
        <w:rPr>
          <w:rFonts w:asciiTheme="minorEastAsia" w:hAnsiTheme="minorEastAsia" w:eastAsiaTheme="minorEastAsia"/>
          <w:kern w:val="0"/>
          <w:sz w:val="24"/>
        </w:rPr>
        <w:t>日。</w:t>
      </w:r>
    </w:p>
    <w:p>
      <w:pPr>
        <w:pStyle w:val="4"/>
        <w:rPr>
          <w:rFonts w:asciiTheme="minorEastAsia" w:hAnsiTheme="minorEastAsia" w:eastAsiaTheme="minorEastAsia"/>
        </w:rPr>
      </w:pPr>
      <w:bookmarkStart w:id="626" w:name="_Toc6783"/>
      <w:bookmarkStart w:id="627" w:name="_Toc20960"/>
      <w:r>
        <w:rPr>
          <w:rFonts w:asciiTheme="minorEastAsia" w:hAnsiTheme="minorEastAsia" w:eastAsiaTheme="minorEastAsia"/>
        </w:rPr>
        <w:t>第54条 提前</w:t>
      </w:r>
      <w:r>
        <w:rPr>
          <w:rFonts w:asciiTheme="minorEastAsia" w:hAnsiTheme="minorEastAsia" w:eastAsiaTheme="minorEastAsia"/>
          <w:bCs/>
        </w:rPr>
        <w:t>终止</w:t>
      </w:r>
      <w:r>
        <w:rPr>
          <w:rFonts w:asciiTheme="minorEastAsia" w:hAnsiTheme="minorEastAsia" w:eastAsiaTheme="minorEastAsia"/>
        </w:rPr>
        <w:t>后续处理</w:t>
      </w:r>
      <w:bookmarkEnd w:id="626"/>
      <w:bookmarkEnd w:id="627"/>
    </w:p>
    <w:p>
      <w:pPr>
        <w:spacing w:line="48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54.</w:t>
      </w:r>
      <w:r>
        <w:rPr>
          <w:rFonts w:asciiTheme="minorEastAsia" w:hAnsiTheme="minorEastAsia" w:eastAsiaTheme="minorEastAsia"/>
          <w:kern w:val="0"/>
          <w:sz w:val="24"/>
        </w:rPr>
        <w:t>1如本协议提前终止，则按照《PPP项目合同》第24条的约定执行。</w:t>
      </w:r>
    </w:p>
    <w:p>
      <w:pPr>
        <w:spacing w:line="48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54.</w:t>
      </w:r>
      <w:r>
        <w:rPr>
          <w:rFonts w:asciiTheme="minorEastAsia" w:hAnsiTheme="minorEastAsia" w:eastAsiaTheme="minorEastAsia"/>
          <w:kern w:val="0"/>
          <w:sz w:val="24"/>
        </w:rPr>
        <w:t>2如本协议提前终止时，则《PPP项目合同》亦同时终止。</w:t>
      </w:r>
    </w:p>
    <w:p>
      <w:pPr>
        <w:pStyle w:val="4"/>
        <w:rPr>
          <w:rFonts w:asciiTheme="minorEastAsia" w:hAnsiTheme="minorEastAsia" w:eastAsiaTheme="minorEastAsia"/>
        </w:rPr>
      </w:pPr>
      <w:bookmarkStart w:id="628" w:name="_Toc9786"/>
      <w:bookmarkStart w:id="629" w:name="_Toc5104"/>
      <w:r>
        <w:rPr>
          <w:rFonts w:asciiTheme="minorEastAsia" w:hAnsiTheme="minorEastAsia" w:eastAsiaTheme="minorEastAsia"/>
        </w:rPr>
        <w:t>第55条 提前</w:t>
      </w:r>
      <w:r>
        <w:rPr>
          <w:rFonts w:asciiTheme="minorEastAsia" w:hAnsiTheme="minorEastAsia" w:eastAsiaTheme="minorEastAsia"/>
          <w:bCs/>
        </w:rPr>
        <w:t>终止</w:t>
      </w:r>
      <w:r>
        <w:rPr>
          <w:rFonts w:asciiTheme="minorEastAsia" w:hAnsiTheme="minorEastAsia" w:eastAsiaTheme="minorEastAsia"/>
        </w:rPr>
        <w:t>的补偿</w:t>
      </w:r>
      <w:bookmarkEnd w:id="628"/>
      <w:bookmarkEnd w:id="629"/>
    </w:p>
    <w:p>
      <w:pPr>
        <w:spacing w:line="48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如本协议提前终止的，不影响相应条款违约金的计算和提取。本协议提前终 止的，补偿标准按照《PPP项目合同》第24条的约定执行。</w:t>
      </w:r>
    </w:p>
    <w:p>
      <w:pPr>
        <w:pStyle w:val="4"/>
        <w:rPr>
          <w:rFonts w:asciiTheme="minorEastAsia" w:hAnsiTheme="minorEastAsia" w:eastAsiaTheme="minorEastAsia"/>
        </w:rPr>
      </w:pPr>
      <w:bookmarkStart w:id="630" w:name="_Toc2219"/>
      <w:bookmarkStart w:id="631" w:name="_Toc30314"/>
      <w:r>
        <w:rPr>
          <w:rFonts w:asciiTheme="minorEastAsia" w:hAnsiTheme="minorEastAsia" w:eastAsiaTheme="minorEastAsia"/>
        </w:rPr>
        <w:t>第56条 其他条款</w:t>
      </w:r>
      <w:bookmarkEnd w:id="630"/>
      <w:bookmarkEnd w:id="631"/>
    </w:p>
    <w:p>
      <w:pPr>
        <w:spacing w:line="48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56.</w:t>
      </w:r>
      <w:r>
        <w:rPr>
          <w:rFonts w:asciiTheme="minorEastAsia" w:hAnsiTheme="minorEastAsia" w:eastAsiaTheme="minorEastAsia"/>
          <w:kern w:val="0"/>
          <w:sz w:val="24"/>
        </w:rPr>
        <w:t>1本协议一式</w:t>
      </w:r>
      <w:r>
        <w:rPr>
          <w:rFonts w:asciiTheme="minorEastAsia" w:hAnsiTheme="minorEastAsia" w:eastAsiaTheme="minorEastAsia"/>
          <w:kern w:val="0"/>
          <w:sz w:val="24"/>
          <w:u w:val="single"/>
        </w:rPr>
        <w:t xml:space="preserve"> 10 </w:t>
      </w:r>
      <w:r>
        <w:rPr>
          <w:rFonts w:asciiTheme="minorEastAsia" w:hAnsiTheme="minorEastAsia" w:eastAsiaTheme="minorEastAsia"/>
          <w:kern w:val="0"/>
          <w:sz w:val="24"/>
        </w:rPr>
        <w:t>份，</w:t>
      </w:r>
      <w:r>
        <w:rPr>
          <w:rFonts w:asciiTheme="minorEastAsia" w:hAnsiTheme="minorEastAsia" w:eastAsiaTheme="minorEastAsia"/>
          <w:sz w:val="24"/>
        </w:rPr>
        <w:t>甲方执2份，乙方执4份，其余6份交予有关部门登记备案</w:t>
      </w:r>
      <w:r>
        <w:rPr>
          <w:rFonts w:asciiTheme="minorEastAsia" w:hAnsiTheme="minorEastAsia" w:eastAsiaTheme="minorEastAsia"/>
          <w:kern w:val="0"/>
          <w:sz w:val="24"/>
        </w:rPr>
        <w:t>，各份协议具有同等法律效力。</w:t>
      </w:r>
    </w:p>
    <w:p>
      <w:pPr>
        <w:spacing w:line="48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56.</w:t>
      </w:r>
      <w:r>
        <w:rPr>
          <w:rFonts w:asciiTheme="minorEastAsia" w:hAnsiTheme="minorEastAsia" w:eastAsiaTheme="minorEastAsia"/>
          <w:kern w:val="0"/>
          <w:sz w:val="24"/>
        </w:rPr>
        <w:t>2本协议所有附件（如有）均构成本协议不可分割的组成部分。</w:t>
      </w:r>
    </w:p>
    <w:p>
      <w:pPr>
        <w:spacing w:line="480" w:lineRule="auto"/>
        <w:ind w:firstLine="424" w:firstLineChars="177"/>
        <w:rPr>
          <w:rFonts w:asciiTheme="minorEastAsia" w:hAnsiTheme="minorEastAsia" w:eastAsiaTheme="minorEastAsia"/>
          <w:kern w:val="0"/>
          <w:sz w:val="24"/>
        </w:rPr>
      </w:pPr>
      <w:r>
        <w:rPr>
          <w:rFonts w:hint="eastAsia" w:asciiTheme="minorEastAsia" w:hAnsiTheme="minorEastAsia" w:eastAsiaTheme="minorEastAsia"/>
          <w:kern w:val="0"/>
          <w:sz w:val="24"/>
        </w:rPr>
        <w:t>56.</w:t>
      </w:r>
      <w:r>
        <w:rPr>
          <w:rFonts w:asciiTheme="minorEastAsia" w:hAnsiTheme="minorEastAsia" w:eastAsiaTheme="minorEastAsia"/>
          <w:kern w:val="0"/>
          <w:sz w:val="24"/>
        </w:rPr>
        <w:t>3</w:t>
      </w:r>
      <w:r>
        <w:rPr>
          <w:rFonts w:hint="eastAsia" w:asciiTheme="minorEastAsia" w:hAnsiTheme="minorEastAsia" w:eastAsiaTheme="minorEastAsia"/>
          <w:kern w:val="0"/>
          <w:sz w:val="24"/>
        </w:rPr>
        <w:t>本协议条款与《PPP项目合同》条款不一致的，以《PPP项目合同》相关约定为准。</w:t>
      </w:r>
      <w:r>
        <w:rPr>
          <w:rFonts w:asciiTheme="minorEastAsia" w:hAnsiTheme="minorEastAsia" w:eastAsiaTheme="minorEastAsia"/>
          <w:kern w:val="0"/>
          <w:sz w:val="24"/>
        </w:rPr>
        <w:t>本协议未约定事项，按照《PPP项目合同》第1.2.10款合同文件体系所确定的协议优先原则予以解释并执行。</w:t>
      </w:r>
    </w:p>
    <w:p>
      <w:pPr>
        <w:spacing w:line="480" w:lineRule="auto"/>
        <w:ind w:firstLine="424" w:firstLineChars="177"/>
        <w:rPr>
          <w:rFonts w:asciiTheme="minorEastAsia" w:hAnsiTheme="minorEastAsia" w:eastAsiaTheme="minorEastAsia"/>
          <w:kern w:val="0"/>
          <w:sz w:val="24"/>
        </w:rPr>
      </w:pPr>
    </w:p>
    <w:p>
      <w:pPr>
        <w:spacing w:line="48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（以下无正文）</w:t>
      </w:r>
    </w:p>
    <w:p>
      <w:pPr>
        <w:spacing w:line="480" w:lineRule="auto"/>
        <w:ind w:firstLine="424" w:firstLineChars="177"/>
        <w:rPr>
          <w:rFonts w:asciiTheme="minorEastAsia" w:hAnsiTheme="minorEastAsia" w:eastAsiaTheme="minorEastAsia"/>
          <w:kern w:val="0"/>
          <w:sz w:val="24"/>
        </w:rPr>
      </w:pPr>
    </w:p>
    <w:p>
      <w:pPr>
        <w:spacing w:line="480" w:lineRule="auto"/>
        <w:ind w:firstLine="426" w:firstLineChars="177"/>
        <w:rPr>
          <w:rFonts w:asciiTheme="minorEastAsia" w:hAnsiTheme="minorEastAsia" w:eastAsiaTheme="minorEastAsia"/>
          <w:b/>
          <w:kern w:val="0"/>
          <w:sz w:val="24"/>
        </w:rPr>
      </w:pPr>
      <w:r>
        <w:rPr>
          <w:rFonts w:asciiTheme="minorEastAsia" w:hAnsiTheme="minorEastAsia" w:eastAsiaTheme="minorEastAsia"/>
          <w:b/>
          <w:kern w:val="0"/>
          <w:sz w:val="24"/>
        </w:rPr>
        <w:t>甲方：</w:t>
      </w:r>
    </w:p>
    <w:p>
      <w:pPr>
        <w:spacing w:line="48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法定代表人：</w:t>
      </w:r>
    </w:p>
    <w:p>
      <w:pPr>
        <w:spacing w:line="48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授权签字代表：</w:t>
      </w:r>
    </w:p>
    <w:p>
      <w:pPr>
        <w:spacing w:line="480" w:lineRule="auto"/>
        <w:ind w:firstLine="424" w:firstLineChars="177"/>
        <w:rPr>
          <w:rFonts w:asciiTheme="minorEastAsia" w:hAnsiTheme="minorEastAsia" w:eastAsiaTheme="minorEastAsia"/>
          <w:kern w:val="0"/>
          <w:sz w:val="24"/>
        </w:rPr>
      </w:pPr>
    </w:p>
    <w:p>
      <w:pPr>
        <w:spacing w:line="480" w:lineRule="auto"/>
        <w:ind w:firstLine="426" w:firstLineChars="177"/>
        <w:rPr>
          <w:rFonts w:asciiTheme="minorEastAsia" w:hAnsiTheme="minorEastAsia" w:eastAsiaTheme="minorEastAsia"/>
          <w:b/>
          <w:kern w:val="0"/>
          <w:sz w:val="24"/>
        </w:rPr>
      </w:pPr>
      <w:r>
        <w:rPr>
          <w:rFonts w:asciiTheme="minorEastAsia" w:hAnsiTheme="minorEastAsia" w:eastAsiaTheme="minorEastAsia"/>
          <w:b/>
          <w:kern w:val="0"/>
          <w:sz w:val="24"/>
        </w:rPr>
        <w:t>乙方：</w:t>
      </w:r>
    </w:p>
    <w:p>
      <w:pPr>
        <w:spacing w:line="48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法定代表人：</w:t>
      </w:r>
    </w:p>
    <w:p>
      <w:pPr>
        <w:spacing w:line="480" w:lineRule="auto"/>
        <w:ind w:firstLine="424" w:firstLineChars="177"/>
        <w:rPr>
          <w:rFonts w:asciiTheme="minorEastAsia" w:hAnsiTheme="minorEastAsia" w:eastAsiaTheme="minorEastAsia"/>
          <w:kern w:val="0"/>
          <w:sz w:val="24"/>
        </w:rPr>
      </w:pPr>
      <w:r>
        <w:rPr>
          <w:rFonts w:asciiTheme="minorEastAsia" w:hAnsiTheme="minorEastAsia" w:eastAsiaTheme="minorEastAsia"/>
          <w:kern w:val="0"/>
          <w:sz w:val="24"/>
        </w:rPr>
        <w:t>授权签字代表：</w:t>
      </w:r>
    </w:p>
    <w:p>
      <w:pPr>
        <w:spacing w:line="480" w:lineRule="auto"/>
        <w:ind w:firstLine="424" w:firstLineChars="177"/>
        <w:rPr>
          <w:rFonts w:asciiTheme="minorEastAsia" w:hAnsiTheme="minorEastAsia" w:eastAsiaTheme="minorEastAsia"/>
          <w:kern w:val="0"/>
          <w:sz w:val="24"/>
        </w:rPr>
      </w:pPr>
    </w:p>
    <w:p>
      <w:pPr>
        <w:rPr>
          <w:rFonts w:asciiTheme="minorEastAsia" w:hAnsiTheme="minorEastAsia" w:eastAsiaTheme="minorEastAsia"/>
        </w:rPr>
      </w:pPr>
    </w:p>
    <w:p>
      <w:pPr>
        <w:pStyle w:val="687"/>
        <w:rPr>
          <w:rFonts w:asciiTheme="minorEastAsia" w:hAnsiTheme="minorEastAsia" w:eastAsiaTheme="minorEastAsia"/>
        </w:rPr>
      </w:pPr>
    </w:p>
    <w:sectPr>
      <w:footerReference r:id="rId23" w:type="default"/>
      <w:type w:val="continuous"/>
      <w:pgSz w:w="11906" w:h="16838"/>
      <w:pgMar w:top="1418" w:right="1418" w:bottom="1418" w:left="1418" w:header="851" w:footer="737" w:gutter="0"/>
      <w:cols w:space="0" w:num="1"/>
      <w:docGrid w:linePitch="3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MicrosoftYaHei">
    <w:altName w:val="Times New Roman"/>
    <w:panose1 w:val="00000000000000000000"/>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8CF3C50" w:usb2="00000016" w:usb3="00000000" w:csb0="0004001F"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YaHei-Bold">
    <w:altName w:val="宋体"/>
    <w:panose1 w:val="00000000000000000000"/>
    <w:charset w:val="86"/>
    <w:family w:val="auto"/>
    <w:pitch w:val="default"/>
    <w:sig w:usb0="00000000" w:usb1="00000000" w:usb2="00000010" w:usb3="00000000" w:csb0="00040000" w:csb1="00000000"/>
  </w:font>
  <w:font w:name="Adobe 宋体 Std L">
    <w:altName w:val="宋体"/>
    <w:panose1 w:val="00000000000000000000"/>
    <w:charset w:val="7A"/>
    <w:family w:val="roman"/>
    <w:pitch w:val="default"/>
    <w:sig w:usb0="00000000" w:usb1="00000000" w:usb2="00000016" w:usb3="00000000" w:csb0="00060007" w:csb1="00000000"/>
  </w:font>
  <w:font w:name="Arial Unicode MS">
    <w:altName w:val="宋体"/>
    <w:panose1 w:val="020B0604020202020204"/>
    <w:charset w:val="86"/>
    <w:family w:val="swiss"/>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准雅宋_GBK">
    <w:altName w:val="宋体"/>
    <w:panose1 w:val="00000000000000000000"/>
    <w:charset w:val="86"/>
    <w:family w:val="auto"/>
    <w:pitch w:val="default"/>
    <w:sig w:usb0="00000000" w:usb1="00000000" w:usb2="00000010" w:usb3="00000000" w:csb0="00040000" w:csb1="00000000"/>
  </w:font>
  <w:font w:name="¿¬Ìå">
    <w:altName w:val="Times New Roman"/>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方正宋三_GBK">
    <w:altName w:val="宋体"/>
    <w:panose1 w:val="00000000000000000000"/>
    <w:charset w:val="86"/>
    <w:family w:val="script"/>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Heiti SC Light">
    <w:altName w:val="Times New Roman"/>
    <w:panose1 w:val="00000000000000000000"/>
    <w:charset w:val="00"/>
    <w:family w:val="roman"/>
    <w:pitch w:val="default"/>
    <w:sig w:usb0="00000000" w:usb1="00000000" w:usb2="00000000"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MS Mincho">
    <w:altName w:val="Yu Gothic UI"/>
    <w:panose1 w:val="02020609040205080304"/>
    <w:charset w:val="80"/>
    <w:family w:val="modern"/>
    <w:pitch w:val="default"/>
    <w:sig w:usb0="00000000" w:usb1="00000000" w:usb2="00000012" w:usb3="00000000" w:csb0="0002009F" w:csb1="00000000"/>
  </w:font>
  <w:font w:name="CG Times">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7"/>
      </w:rPr>
    </w:pPr>
    <w:r>
      <w:fldChar w:fldCharType="begin"/>
    </w:r>
    <w:r>
      <w:rPr>
        <w:rStyle w:val="67"/>
      </w:rPr>
      <w:instrText xml:space="preserve">PAGE  </w:instrText>
    </w:r>
    <w:r>
      <w:fldChar w:fldCharType="separate"/>
    </w:r>
    <w:r>
      <w:rPr>
        <w:rStyle w:val="67"/>
      </w:rPr>
      <w:t>13</w:t>
    </w:r>
    <w:r>
      <w:fldChar w:fldCharType="end"/>
    </w:r>
  </w:p>
  <w:p>
    <w:pPr>
      <w:pStyle w:val="3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spacing w:before="120"/>
      <w:rPr>
        <w:rStyle w:val="67"/>
      </w:rPr>
    </w:pPr>
    <w:r>
      <w:fldChar w:fldCharType="begin"/>
    </w:r>
    <w:r>
      <w:rPr>
        <w:rStyle w:val="67"/>
      </w:rPr>
      <w:instrText xml:space="preserve">PAGE  </w:instrText>
    </w:r>
    <w:r>
      <w:fldChar w:fldCharType="end"/>
    </w:r>
  </w:p>
  <w:p>
    <w:pPr>
      <w:pStyle w:val="34"/>
      <w:spacing w:before="12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ascii="Arial" w:hAnsi="Arial" w:cs="Arial"/>
        <w:sz w:val="21"/>
        <w:szCs w:val="21"/>
      </w:rPr>
    </w:pPr>
    <w:r>
      <w:rPr>
        <w:sz w:val="21"/>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70</w:t>
                          </w:r>
                          <w:r>
                            <w:fldChar w:fldCharType="end"/>
                          </w: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azYbDa8BAABN&#10;AwAADgAAAAAAAAABACAAAAAeAQAAZHJzL2Uyb0RvYy54bWxQSwUGAAAAAAYABgBZAQAAPwU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70</w:t>
                    </w:r>
                    <w:r>
                      <w:fldChar w:fldCharType="end"/>
                    </w:r>
                  </w:p>
                </w:txbxContent>
              </v:textbox>
            </v:shape>
          </w:pict>
        </mc:Fallback>
      </mc:AlternateContent>
    </w:r>
  </w:p>
  <w:p>
    <w:pPr>
      <w:pStyle w:val="34"/>
      <w:spacing w:before="12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168</w:t>
                          </w:r>
                          <w:r>
                            <w:fldChar w:fldCharType="end"/>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F+ur8SwAQAA&#10;TQMAAA4AAAAAAAAAAQAgAAAAHgEAAGRycy9lMm9Eb2MueG1sUEsFBgAAAAAGAAYAWQEAAEAFAAAA&#10;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168</w:t>
                    </w:r>
                    <w:r>
                      <w:fldChar w:fldCharType="end"/>
                    </w:r>
                  </w:p>
                </w:txbxContent>
              </v:textbox>
            </v:shape>
          </w:pict>
        </mc:Fallback>
      </mc:AlternateContent>
    </w:r>
  </w:p>
  <w:p>
    <w:pPr>
      <w:pStyle w:val="3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both"/>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4"/>
                          </w:pPr>
                          <w:r>
                            <w:fldChar w:fldCharType="begin"/>
                          </w:r>
                          <w:r>
                            <w:instrText xml:space="preserve"> PAGE  \* MERGEFORMAT </w:instrText>
                          </w:r>
                          <w:r>
                            <w:fldChar w:fldCharType="separate"/>
                          </w:r>
                          <w:r>
                            <w:t>170</w:t>
                          </w:r>
                          <w:r>
                            <w:fldChar w:fldCharType="end"/>
                          </w:r>
                        </w:p>
                      </w:txbxContent>
                    </wps:txbx>
                    <wps:bodyPr vert="horz" wrap="none" lIns="0" tIns="0" rIns="0" bIns="0" anchor="t" anchorCtr="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3unWPwwEAAHUDAAAOAAAAAAAAAAEAIAAAAB4BAABkcnMvZTJvRG9jLnhtbFBL&#10;BQYAAAAABgAGAFkBAABTBQ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170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4099"/>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34"/>
                            <w:jc w:val="center"/>
                          </w:pPr>
                          <w:r>
                            <w:fldChar w:fldCharType="begin"/>
                          </w:r>
                          <w:r>
                            <w:instrText xml:space="preserve"> PAGE   \* MERGEFORMAT </w:instrText>
                          </w:r>
                          <w:r>
                            <w:fldChar w:fldCharType="separate"/>
                          </w:r>
                          <w:r>
                            <w:rPr>
                              <w:lang w:val="zh-CN"/>
                            </w:rPr>
                            <w:t>204</w:t>
                          </w:r>
                          <w:r>
                            <w:rPr>
                              <w:lang w:val="zh-CN"/>
                            </w:rPr>
                            <w:fldChar w:fldCharType="end"/>
                          </w:r>
                        </w:p>
                      </w:txbxContent>
                    </wps:txbx>
                    <wps:bodyPr wrap="none" lIns="0" tIns="0" rIns="0" bIns="0" upright="1">
                      <a:spAutoFit/>
                    </wps:bodyPr>
                  </wps:wsp>
                </a:graphicData>
              </a:graphic>
            </wp:anchor>
          </w:drawing>
        </mc:Choice>
        <mc:Fallback>
          <w:pict>
            <v:rect id="4099" o:spid="_x0000_s1026" o:spt="1"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DFNmDXpwEAAFIDAAAOAAAA&#10;AAAAAAEAIAAAAB8BAABkcnMvZTJvRG9jLnhtbFBLBQYAAAAABgAGAFkBAAA4BQAAAAA=&#10;">
              <v:fill on="f" focussize="0,0"/>
              <v:stroke on="f"/>
              <v:imagedata o:title=""/>
              <o:lock v:ext="edit" aspectratio="f"/>
              <v:textbox inset="0mm,0mm,0mm,0mm" style="mso-fit-shape-to-text:t;">
                <w:txbxContent>
                  <w:p>
                    <w:pPr>
                      <w:pStyle w:val="34"/>
                      <w:jc w:val="center"/>
                    </w:pPr>
                    <w:r>
                      <w:fldChar w:fldCharType="begin"/>
                    </w:r>
                    <w:r>
                      <w:instrText xml:space="preserve"> PAGE   \* MERGEFORMAT </w:instrText>
                    </w:r>
                    <w:r>
                      <w:fldChar w:fldCharType="separate"/>
                    </w:r>
                    <w:r>
                      <w:rPr>
                        <w:lang w:val="zh-CN"/>
                      </w:rPr>
                      <w:t>204</w:t>
                    </w:r>
                    <w:r>
                      <w:rPr>
                        <w:lang w:val="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rqpjkU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euqmORQCAAAXBAAADgAAAAAAAAAB&#10;ACAAAAAfAQAAZHJzL2Uyb0RvYy54bWxQSwUGAAAAAAYABgBZAQAApQ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4097"/>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34"/>
                          </w:pPr>
                        </w:p>
                      </w:txbxContent>
                    </wps:txbx>
                    <wps:bodyPr wrap="none" lIns="0" tIns="0" rIns="0" bIns="0" upright="1">
                      <a:spAutoFit/>
                    </wps:bodyPr>
                  </wps:wsp>
                </a:graphicData>
              </a:graphic>
            </wp:anchor>
          </w:drawing>
        </mc:Choice>
        <mc:Fallback>
          <w:pict>
            <v:rect id="4097"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CpnauqpwEAAFIDAAAOAAAA&#10;AAAAAAEAIAAAAB8BAABkcnMvZTJvRG9jLnhtbFBLBQYAAAAABgAGAFkBAAA4BQAAAAA=&#10;">
              <v:fill on="f" focussize="0,0"/>
              <v:stroke on="f"/>
              <v:imagedata o:title=""/>
              <o:lock v:ext="edit" aspectratio="f"/>
              <v:textbox inset="0mm,0mm,0mm,0mm" style="mso-fit-shape-to-text:t;">
                <w:txbxContent>
                  <w:p>
                    <w:pPr>
                      <w:pStyle w:val="34"/>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8280"/>
        <w:tab w:val="right" w:pos="8820"/>
        <w:tab w:val="clear" w:pos="8306"/>
      </w:tabs>
      <w:spacing w:before="120"/>
      <w:ind w:right="23" w:rightChars="11"/>
      <w:jc w:val="center"/>
      <w:rPr>
        <w:sz w:val="21"/>
      </w:rPr>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tabs>
                              <w:tab w:val="left" w:pos="8280"/>
                              <w:tab w:val="right" w:pos="8820"/>
                              <w:tab w:val="clear" w:pos="8306"/>
                            </w:tabs>
                            <w:spacing w:before="120"/>
                            <w:ind w:right="23" w:rightChars="11"/>
                            <w:jc w:val="center"/>
                          </w:pPr>
                          <w:r>
                            <w:fldChar w:fldCharType="begin"/>
                          </w:r>
                          <w:r>
                            <w:rPr>
                              <w:rStyle w:val="67"/>
                            </w:rPr>
                            <w:instrText xml:space="preserve"> PAGE </w:instrText>
                          </w:r>
                          <w:r>
                            <w:fldChar w:fldCharType="separate"/>
                          </w:r>
                          <w:r>
                            <w:rPr>
                              <w:rStyle w:val="67"/>
                            </w:rPr>
                            <w:t>34</w:t>
                          </w:r>
                          <w: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QxEh7ABAABMAwAADgAAAGRycy9lMm9Eb2MueG1srVPNahsxEL4H+g5C&#10;91prF4J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PPKXHc4oj2D3/2j8/7p99k+iX3pw+xxrTbgIlp+OYHnPPoj+jMsgcFNn9R&#10;EME4dnp36q4cEhH50Xw2n1cYEhgbL4jPXp8HiOm79JZko6GA4ytd5dubmA6pY0qu5vyVNqaM0Lh3&#10;DsTMHpa5HzhmKw2r4Sho5dsd6ulx8g11uJqUmGuHjc1LMhowGqvR2ATQ6w6pTQuvGL5uEpIo3HKF&#10;A+yxMI6sqDuuV96Jt/eS9foTL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KUMRIewAQAA&#10;TAMAAA4AAAAAAAAAAQAgAAAAHgEAAGRycy9lMm9Eb2MueG1sUEsFBgAAAAAGAAYAWQEAAEAFAAAA&#10;AA==&#10;">
              <v:fill on="f" focussize="0,0"/>
              <v:stroke on="f"/>
              <v:imagedata o:title=""/>
              <o:lock v:ext="edit" aspectratio="f"/>
              <v:textbox inset="0mm,0mm,0mm,0mm" style="mso-fit-shape-to-text:t;">
                <w:txbxContent>
                  <w:p>
                    <w:pPr>
                      <w:pStyle w:val="34"/>
                      <w:tabs>
                        <w:tab w:val="left" w:pos="8280"/>
                        <w:tab w:val="right" w:pos="8820"/>
                        <w:tab w:val="clear" w:pos="8306"/>
                      </w:tabs>
                      <w:spacing w:before="120"/>
                      <w:ind w:right="23" w:rightChars="11"/>
                      <w:jc w:val="center"/>
                    </w:pPr>
                    <w:r>
                      <w:fldChar w:fldCharType="begin"/>
                    </w:r>
                    <w:r>
                      <w:rPr>
                        <w:rStyle w:val="67"/>
                      </w:rPr>
                      <w:instrText xml:space="preserve"> PAGE </w:instrText>
                    </w:r>
                    <w:r>
                      <w:fldChar w:fldCharType="separate"/>
                    </w:r>
                    <w:r>
                      <w:rPr>
                        <w:rStyle w:val="67"/>
                      </w:rPr>
                      <w:t>34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ascii="Arial" w:hAnsi="Arial" w:cs="Arial"/>
        <w:sz w:val="21"/>
        <w:szCs w:val="21"/>
      </w:rPr>
    </w:pPr>
    <w:r>
      <w:rPr>
        <w:sz w:val="21"/>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YwvC68BAABM&#10;AwAADgAAAAAAAAABACAAAAAeAQAAZHJzL2Uyb0RvYy54bWxQSwUGAAAAAAYABgBZAQAAPwU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w:t>
                    </w:r>
                    <w:r>
                      <w:fldChar w:fldCharType="end"/>
                    </w:r>
                  </w:p>
                </w:txbxContent>
              </v:textbox>
            </v:shape>
          </w:pict>
        </mc:Fallback>
      </mc:AlternateContent>
    </w:r>
  </w:p>
  <w:p>
    <w:pPr>
      <w:pStyle w:val="34"/>
      <w:spacing w:before="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ascii="Arial" w:hAnsi="Arial" w:cs="Arial"/>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jc w:val="center"/>
                          </w:pPr>
                          <w:r>
                            <w:rPr>
                              <w:rFonts w:ascii="Arial" w:hAnsi="Arial" w:cs="Arial"/>
                            </w:rPr>
                            <w:fldChar w:fldCharType="begin"/>
                          </w:r>
                          <w:r>
                            <w:rPr>
                              <w:rFonts w:ascii="Arial" w:hAnsi="Arial" w:cs="Arial"/>
                            </w:rPr>
                            <w:instrText xml:space="preserve">PAGE   \* MERGEFORMAT</w:instrText>
                          </w:r>
                          <w:r>
                            <w:rPr>
                              <w:rFonts w:ascii="Arial" w:hAnsi="Arial" w:cs="Arial"/>
                            </w:rPr>
                            <w:fldChar w:fldCharType="separate"/>
                          </w:r>
                          <w:r>
                            <w:rPr>
                              <w:rFonts w:ascii="Arial" w:hAnsi="Arial" w:cs="Arial"/>
                              <w:lang w:val="zh-CN"/>
                            </w:rPr>
                            <w:t>56</w:t>
                          </w:r>
                          <w:r>
                            <w:rPr>
                              <w:rFonts w:ascii="Arial" w:hAnsi="Arial" w:cs="Arial"/>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Avxag2wAQAA&#10;TAMAAA4AAAAAAAAAAQAgAAAAHgEAAGRycy9lMm9Eb2MueG1sUEsFBgAAAAAGAAYAWQEAAEAFAAAA&#10;AA==&#10;">
              <v:fill on="f" focussize="0,0"/>
              <v:stroke on="f"/>
              <v:imagedata o:title=""/>
              <o:lock v:ext="edit" aspectratio="f"/>
              <v:textbox inset="0mm,0mm,0mm,0mm" style="mso-fit-shape-to-text:t;">
                <w:txbxContent>
                  <w:p>
                    <w:pPr>
                      <w:pStyle w:val="34"/>
                      <w:jc w:val="center"/>
                    </w:pPr>
                    <w:r>
                      <w:rPr>
                        <w:rFonts w:ascii="Arial" w:hAnsi="Arial" w:cs="Arial"/>
                      </w:rPr>
                      <w:fldChar w:fldCharType="begin"/>
                    </w:r>
                    <w:r>
                      <w:rPr>
                        <w:rFonts w:ascii="Arial" w:hAnsi="Arial" w:cs="Arial"/>
                      </w:rPr>
                      <w:instrText xml:space="preserve">PAGE   \* MERGEFORMAT</w:instrText>
                    </w:r>
                    <w:r>
                      <w:rPr>
                        <w:rFonts w:ascii="Arial" w:hAnsi="Arial" w:cs="Arial"/>
                      </w:rPr>
                      <w:fldChar w:fldCharType="separate"/>
                    </w:r>
                    <w:r>
                      <w:rPr>
                        <w:rFonts w:ascii="Arial" w:hAnsi="Arial" w:cs="Arial"/>
                        <w:lang w:val="zh-CN"/>
                      </w:rPr>
                      <w:t>56</w:t>
                    </w:r>
                    <w:r>
                      <w:rPr>
                        <w:rFonts w:ascii="Arial" w:hAnsi="Arial" w:cs="Arial"/>
                      </w:rPr>
                      <w:fldChar w:fldCharType="end"/>
                    </w:r>
                  </w:p>
                </w:txbxContent>
              </v:textbox>
            </v:shape>
          </w:pict>
        </mc:Fallback>
      </mc:AlternateContent>
    </w:r>
  </w:p>
  <w:p>
    <w:pPr>
      <w:pStyle w:val="3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8280"/>
        <w:tab w:val="right" w:pos="8820"/>
        <w:tab w:val="clear" w:pos="8306"/>
      </w:tabs>
      <w:spacing w:before="120"/>
      <w:ind w:right="26"/>
      <w:jc w:val="both"/>
      <w:rPr>
        <w:rFonts w:ascii="Arial" w:hAnsi="Arial" w:cs="Arial"/>
        <w:sz w:val="21"/>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both"/>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pPr>
                          <w:r>
                            <w:fldChar w:fldCharType="begin"/>
                          </w:r>
                          <w:r>
                            <w:instrText xml:space="preserve"> PAGE  \* MERGEFORMAT </w:instrText>
                          </w:r>
                          <w:r>
                            <w:fldChar w:fldCharType="separate"/>
                          </w:r>
                          <w:r>
                            <w:t>68</w:t>
                          </w:r>
                          <w:r>
                            <w:fldChar w:fldCharType="end"/>
                          </w:r>
                        </w:p>
                      </w:txbxContent>
                    </wps:txbx>
                    <wps:bodyPr wrap="none" lIns="0" tIns="0" rIns="0" bIns="0" upright="1">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d45k2a8BAABN&#10;AwAADgAAAAAAAAABACAAAAAeAQAAZHJzL2Uyb0RvYy54bWxQSwUGAAAAAAYABgBZAQAAPwU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68</w:t>
                    </w:r>
                    <w:r>
                      <w:fldChar w:fldCharType="end"/>
                    </w:r>
                  </w:p>
                </w:txbxContent>
              </v:textbox>
            </v:shape>
          </w:pict>
        </mc:Fallback>
      </mc:AlternateContent>
    </w:r>
  </w:p>
  <w:p>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both"/>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69</w:t>
                    </w:r>
                    <w:r>
                      <w:fldChar w:fldCharType="end"/>
                    </w:r>
                  </w:p>
                </w:txbxContent>
              </v:textbox>
            </v:shape>
          </w:pict>
        </mc:Fallback>
      </mc:AlternateContent>
    </w:r>
  </w:p>
  <w:p>
    <w:pPr>
      <w:spacing w:line="14" w:lineRule="auto"/>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8280"/>
        <w:tab w:val="right" w:pos="8820"/>
        <w:tab w:val="clear" w:pos="8306"/>
      </w:tabs>
      <w:spacing w:before="120"/>
      <w:ind w:right="23" w:rightChars="11"/>
      <w:jc w:val="center"/>
      <w:rPr>
        <w:sz w:val="21"/>
      </w:rPr>
    </w:pPr>
    <w:r>
      <w:rPr>
        <w:sz w:val="2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tabs>
                              <w:tab w:val="left" w:pos="8280"/>
                              <w:tab w:val="right" w:pos="8820"/>
                              <w:tab w:val="clear" w:pos="8306"/>
                            </w:tabs>
                            <w:spacing w:before="120"/>
                            <w:ind w:right="23" w:rightChars="11"/>
                            <w:jc w:val="center"/>
                          </w:pPr>
                          <w:r>
                            <w:fldChar w:fldCharType="begin"/>
                          </w:r>
                          <w:r>
                            <w:rPr>
                              <w:rStyle w:val="67"/>
                            </w:rPr>
                            <w:instrText xml:space="preserve"> PAGE </w:instrText>
                          </w:r>
                          <w:r>
                            <w:fldChar w:fldCharType="separate"/>
                          </w:r>
                          <w:r>
                            <w:rPr>
                              <w:rStyle w:val="67"/>
                            </w:rPr>
                            <w:t>164</w:t>
                          </w:r>
                          <w: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2VM7K8BAABMAwAADgAAAGRycy9lMm9Eb2MueG1srVPNahsxEL4X8g5C&#10;91hrQ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1AclOMWR7T/8bL/+Xv/65lML3J/+hBrTHsKmJiGaz/gnEd/RGeWPSiw+YuC&#10;CMax07tTd+WQiMiP5rP5vMKQwNh4QXz2+jxATHfSW5KNhgKOr3SVb7/EdEgdU3I152+1MWWExv3j&#10;QMzsYZn7gWO20rAajoJWvt2hnh4n31CHq0mJuXfY2LwkowGjsRqNTQC97pDatPCK4WqTkEThlisc&#10;YI+FcWRF3XG98k78fS9Zrz/B8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2VM7K8BAABM&#10;AwAADgAAAAAAAAABACAAAAAeAQAAZHJzL2Uyb0RvYy54bWxQSwUGAAAAAAYABgBZAQAAPwUAAAAA&#10;">
              <v:fill on="f" focussize="0,0"/>
              <v:stroke on="f"/>
              <v:imagedata o:title=""/>
              <o:lock v:ext="edit" aspectratio="f"/>
              <v:textbox inset="0mm,0mm,0mm,0mm" style="mso-fit-shape-to-text:t;">
                <w:txbxContent>
                  <w:p>
                    <w:pPr>
                      <w:pStyle w:val="34"/>
                      <w:tabs>
                        <w:tab w:val="left" w:pos="8280"/>
                        <w:tab w:val="right" w:pos="8820"/>
                        <w:tab w:val="clear" w:pos="8306"/>
                      </w:tabs>
                      <w:spacing w:before="120"/>
                      <w:ind w:right="23" w:rightChars="11"/>
                      <w:jc w:val="center"/>
                    </w:pPr>
                    <w:r>
                      <w:fldChar w:fldCharType="begin"/>
                    </w:r>
                    <w:r>
                      <w:rPr>
                        <w:rStyle w:val="67"/>
                      </w:rPr>
                      <w:instrText xml:space="preserve"> PAGE </w:instrText>
                    </w:r>
                    <w:r>
                      <w:fldChar w:fldCharType="separate"/>
                    </w:r>
                    <w:r>
                      <w:rPr>
                        <w:rStyle w:val="67"/>
                      </w:rPr>
                      <w:t>164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82848"/>
    <w:multiLevelType w:val="singleLevel"/>
    <w:tmpl w:val="8E582848"/>
    <w:lvl w:ilvl="0" w:tentative="0">
      <w:start w:val="1"/>
      <w:numFmt w:val="decimal"/>
      <w:suff w:val="nothing"/>
      <w:lvlText w:val="（%1）"/>
      <w:lvlJc w:val="left"/>
    </w:lvl>
  </w:abstractNum>
  <w:abstractNum w:abstractNumId="1">
    <w:nsid w:val="9618722B"/>
    <w:multiLevelType w:val="singleLevel"/>
    <w:tmpl w:val="9618722B"/>
    <w:lvl w:ilvl="0" w:tentative="0">
      <w:start w:val="1"/>
      <w:numFmt w:val="decimal"/>
      <w:suff w:val="nothing"/>
      <w:lvlText w:val="%1、"/>
      <w:lvlJc w:val="left"/>
    </w:lvl>
  </w:abstractNum>
  <w:abstractNum w:abstractNumId="2">
    <w:nsid w:val="9D35BB52"/>
    <w:multiLevelType w:val="singleLevel"/>
    <w:tmpl w:val="9D35BB52"/>
    <w:lvl w:ilvl="0" w:tentative="0">
      <w:start w:val="1"/>
      <w:numFmt w:val="chineseCounting"/>
      <w:suff w:val="space"/>
      <w:lvlText w:val="第%1章"/>
      <w:lvlJc w:val="left"/>
      <w:rPr>
        <w:rFonts w:hint="eastAsia"/>
      </w:rPr>
    </w:lvl>
  </w:abstractNum>
  <w:abstractNum w:abstractNumId="3">
    <w:nsid w:val="B6523C67"/>
    <w:multiLevelType w:val="multilevel"/>
    <w:tmpl w:val="B6523C67"/>
    <w:lvl w:ilvl="0" w:tentative="0">
      <w:start w:val="1"/>
      <w:numFmt w:val="decimal"/>
      <w:pStyle w:val="1435"/>
      <w:lvlText w:val="%1."/>
      <w:lvlJc w:val="left"/>
      <w:pPr>
        <w:tabs>
          <w:tab w:val="left" w:pos="993"/>
        </w:tabs>
        <w:ind w:left="993" w:hanging="851"/>
      </w:pPr>
      <w:rPr>
        <w:rFonts w:hint="eastAsia"/>
        <w:b w:val="0"/>
        <w:i w:val="0"/>
        <w:caps w:val="0"/>
        <w:smallCaps w:val="0"/>
        <w:strike w:val="0"/>
        <w:dstrike w:val="0"/>
        <w:outline w:val="0"/>
        <w:shadow w:val="0"/>
        <w:emboss w:val="0"/>
        <w:imprint w:val="0"/>
        <w:vanish w:val="0"/>
        <w:u w:val="none"/>
        <w:vertAlign w:val="baseline"/>
      </w:rPr>
    </w:lvl>
    <w:lvl w:ilvl="1" w:tentative="0">
      <w:start w:val="1"/>
      <w:numFmt w:val="decimal"/>
      <w:pStyle w:val="1433"/>
      <w:lvlText w:val="%1.%2"/>
      <w:lvlJc w:val="left"/>
      <w:pPr>
        <w:tabs>
          <w:tab w:val="left" w:pos="851"/>
        </w:tabs>
        <w:ind w:left="851" w:hanging="851"/>
      </w:pPr>
      <w:rPr>
        <w:rFonts w:hint="eastAsia"/>
        <w:b w:val="0"/>
        <w:i w:val="0"/>
        <w:caps w:val="0"/>
        <w:smallCaps w:val="0"/>
        <w:strike w:val="0"/>
        <w:dstrike w:val="0"/>
        <w:outline w:val="0"/>
        <w:shadow w:val="0"/>
        <w:emboss w:val="0"/>
        <w:imprint w:val="0"/>
        <w:vanish w:val="0"/>
        <w:u w:val="none"/>
        <w:vertAlign w:val="baseline"/>
      </w:rPr>
    </w:lvl>
    <w:lvl w:ilvl="2" w:tentative="0">
      <w:start w:val="1"/>
      <w:numFmt w:val="decimal"/>
      <w:pStyle w:val="1432"/>
      <w:lvlText w:val="%1.%2.%3"/>
      <w:lvlJc w:val="left"/>
      <w:pPr>
        <w:tabs>
          <w:tab w:val="left" w:pos="1561"/>
        </w:tabs>
        <w:ind w:left="1561" w:hanging="851"/>
      </w:pPr>
      <w:rPr>
        <w:rFonts w:hint="default" w:ascii="Arial" w:hAnsi="Arial" w:cs="Arial"/>
        <w:b w:val="0"/>
        <w:i w:val="0"/>
        <w:caps w:val="0"/>
        <w:smallCaps w:val="0"/>
        <w:strike w:val="0"/>
        <w:dstrike w:val="0"/>
        <w:outline w:val="0"/>
        <w:shadow w:val="0"/>
        <w:emboss w:val="0"/>
        <w:imprint w:val="0"/>
        <w:vanish w:val="0"/>
        <w:sz w:val="20"/>
        <w:u w:val="none"/>
        <w:vertAlign w:val="baseline"/>
      </w:rPr>
    </w:lvl>
    <w:lvl w:ilvl="3" w:tentative="0">
      <w:start w:val="1"/>
      <w:numFmt w:val="lowerLetter"/>
      <w:pStyle w:val="1434"/>
      <w:lvlText w:val="(%4)"/>
      <w:lvlJc w:val="left"/>
      <w:pPr>
        <w:tabs>
          <w:tab w:val="left" w:pos="2411"/>
        </w:tabs>
        <w:ind w:left="2411" w:hanging="851"/>
      </w:pPr>
      <w:rPr>
        <w:rFonts w:hint="eastAsia"/>
        <w:b w:val="0"/>
        <w:i w:val="0"/>
        <w:caps w:val="0"/>
        <w:smallCaps w:val="0"/>
        <w:strike w:val="0"/>
        <w:dstrike w:val="0"/>
        <w:outline w:val="0"/>
        <w:shadow w:val="0"/>
        <w:emboss w:val="0"/>
        <w:imprint w:val="0"/>
        <w:vanish w:val="0"/>
        <w:u w:val="none"/>
        <w:vertAlign w:val="baseline"/>
      </w:rPr>
    </w:lvl>
    <w:lvl w:ilvl="4" w:tentative="0">
      <w:start w:val="1"/>
      <w:numFmt w:val="lowerRoman"/>
      <w:pStyle w:val="1437"/>
      <w:lvlText w:val="(%5)"/>
      <w:lvlJc w:val="left"/>
      <w:pPr>
        <w:tabs>
          <w:tab w:val="left" w:pos="3404"/>
        </w:tabs>
        <w:ind w:left="3404" w:hanging="851"/>
      </w:pPr>
      <w:rPr>
        <w:rFonts w:hint="eastAsia"/>
        <w:b w:val="0"/>
        <w:i w:val="0"/>
        <w:caps w:val="0"/>
        <w:smallCaps w:val="0"/>
        <w:strike w:val="0"/>
        <w:dstrike w:val="0"/>
        <w:outline w:val="0"/>
        <w:shadow w:val="0"/>
        <w:emboss w:val="0"/>
        <w:imprint w:val="0"/>
        <w:vanish w:val="0"/>
        <w:u w:val="none"/>
        <w:vertAlign w:val="baseline"/>
      </w:rPr>
    </w:lvl>
    <w:lvl w:ilvl="5" w:tentative="0">
      <w:start w:val="1"/>
      <w:numFmt w:val="decimal"/>
      <w:pStyle w:val="1431"/>
      <w:lvlText w:val="(%6)"/>
      <w:lvlJc w:val="left"/>
      <w:pPr>
        <w:tabs>
          <w:tab w:val="left" w:pos="4255"/>
        </w:tabs>
        <w:ind w:left="4255" w:hanging="851"/>
      </w:pPr>
      <w:rPr>
        <w:rFonts w:hint="eastAsia"/>
        <w:b w:val="0"/>
        <w:i w:val="0"/>
        <w:caps w:val="0"/>
        <w:smallCaps w:val="0"/>
        <w:strike w:val="0"/>
        <w:dstrike w:val="0"/>
        <w:outline w:val="0"/>
        <w:shadow w:val="0"/>
        <w:emboss w:val="0"/>
        <w:imprint w:val="0"/>
        <w:vanish w:val="0"/>
        <w:u w:val="none"/>
        <w:vertAlign w:val="baseline"/>
      </w:rPr>
    </w:lvl>
    <w:lvl w:ilvl="6" w:tentative="0">
      <w:start w:val="1"/>
      <w:numFmt w:val="none"/>
      <w:suff w:val="nothing"/>
      <w:lvlText w:val="Not Defined"/>
      <w:lvlJc w:val="left"/>
      <w:pPr>
        <w:ind w:left="0" w:firstLine="0"/>
      </w:pPr>
      <w:rPr>
        <w:rFonts w:hint="eastAsia"/>
        <w:b w:val="0"/>
        <w:i w:val="0"/>
        <w:caps w:val="0"/>
        <w:smallCaps w:val="0"/>
        <w:strike w:val="0"/>
        <w:dstrike w:val="0"/>
        <w:outline w:val="0"/>
        <w:shadow w:val="0"/>
        <w:emboss w:val="0"/>
        <w:imprint w:val="0"/>
        <w:vanish w:val="0"/>
        <w:u w:val="none"/>
        <w:vertAlign w:val="baseline"/>
      </w:rPr>
    </w:lvl>
    <w:lvl w:ilvl="7" w:tentative="0">
      <w:start w:val="1"/>
      <w:numFmt w:val="none"/>
      <w:suff w:val="nothing"/>
      <w:lvlText w:val="Not Defined"/>
      <w:lvlJc w:val="left"/>
      <w:pPr>
        <w:ind w:left="0" w:firstLine="0"/>
      </w:pPr>
      <w:rPr>
        <w:rFonts w:hint="eastAsia"/>
        <w:b w:val="0"/>
        <w:i w:val="0"/>
        <w:caps w:val="0"/>
        <w:smallCaps w:val="0"/>
        <w:strike w:val="0"/>
        <w:dstrike w:val="0"/>
        <w:outline w:val="0"/>
        <w:shadow w:val="0"/>
        <w:emboss w:val="0"/>
        <w:imprint w:val="0"/>
        <w:vanish w:val="0"/>
        <w:u w:val="none"/>
        <w:vertAlign w:val="baseline"/>
      </w:rPr>
    </w:lvl>
    <w:lvl w:ilvl="8" w:tentative="0">
      <w:start w:val="1"/>
      <w:numFmt w:val="none"/>
      <w:suff w:val="nothing"/>
      <w:lvlText w:val="Not Defined"/>
      <w:lvlJc w:val="left"/>
      <w:pPr>
        <w:ind w:left="0" w:firstLine="0"/>
      </w:pPr>
      <w:rPr>
        <w:rFonts w:hint="eastAsia"/>
        <w:b w:val="0"/>
        <w:i w:val="0"/>
        <w:caps w:val="0"/>
        <w:smallCaps w:val="0"/>
        <w:strike w:val="0"/>
        <w:dstrike w:val="0"/>
        <w:outline w:val="0"/>
        <w:shadow w:val="0"/>
        <w:emboss w:val="0"/>
        <w:imprint w:val="0"/>
        <w:vanish w:val="0"/>
        <w:u w:val="none"/>
        <w:vertAlign w:val="baseline"/>
      </w:rPr>
    </w:lvl>
  </w:abstractNum>
  <w:abstractNum w:abstractNumId="4">
    <w:nsid w:val="C971E946"/>
    <w:multiLevelType w:val="multilevel"/>
    <w:tmpl w:val="C971E946"/>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5">
    <w:nsid w:val="CBFB3BE8"/>
    <w:multiLevelType w:val="singleLevel"/>
    <w:tmpl w:val="CBFB3BE8"/>
    <w:lvl w:ilvl="0" w:tentative="0">
      <w:start w:val="1"/>
      <w:numFmt w:val="decimal"/>
      <w:suff w:val="nothing"/>
      <w:lvlText w:val="（%1）"/>
      <w:lvlJc w:val="left"/>
    </w:lvl>
  </w:abstractNum>
  <w:abstractNum w:abstractNumId="6">
    <w:nsid w:val="D74109C1"/>
    <w:multiLevelType w:val="singleLevel"/>
    <w:tmpl w:val="D74109C1"/>
    <w:lvl w:ilvl="0" w:tentative="0">
      <w:start w:val="4"/>
      <w:numFmt w:val="decimal"/>
      <w:suff w:val="nothing"/>
      <w:lvlText w:val="（%1）"/>
      <w:lvlJc w:val="left"/>
    </w:lvl>
  </w:abstractNum>
  <w:abstractNum w:abstractNumId="7">
    <w:nsid w:val="00000002"/>
    <w:multiLevelType w:val="multilevel"/>
    <w:tmpl w:val="00000002"/>
    <w:lvl w:ilvl="0" w:tentative="0">
      <w:start w:val="1"/>
      <w:numFmt w:val="chineseCountingThousand"/>
      <w:pStyle w:val="641"/>
      <w:lvlText w:val="%1."/>
      <w:lvlJc w:val="left"/>
      <w:pPr>
        <w:tabs>
          <w:tab w:val="left" w:pos="665"/>
        </w:tabs>
        <w:ind w:left="665" w:hanging="425"/>
      </w:pPr>
      <w:rPr>
        <w:rFonts w:hint="eastAsia" w:ascii="黑体" w:eastAsia="黑体" w:cs="Times New Roman"/>
        <w:sz w:val="32"/>
        <w:szCs w:val="32"/>
      </w:rPr>
    </w:lvl>
    <w:lvl w:ilvl="1" w:tentative="0">
      <w:start w:val="1"/>
      <w:numFmt w:val="decimal"/>
      <w:pStyle w:val="379"/>
      <w:isLgl/>
      <w:lvlText w:val="%1.%2."/>
      <w:lvlJc w:val="left"/>
      <w:pPr>
        <w:tabs>
          <w:tab w:val="left" w:pos="567"/>
        </w:tabs>
        <w:ind w:left="567" w:hanging="567"/>
      </w:pPr>
      <w:rPr>
        <w:rFonts w:hint="eastAsia" w:cs="Times New Roman"/>
      </w:rPr>
    </w:lvl>
    <w:lvl w:ilvl="2" w:tentative="0">
      <w:start w:val="1"/>
      <w:numFmt w:val="decimal"/>
      <w:pStyle w:val="532"/>
      <w:isLgl/>
      <w:lvlText w:val="%1.%2.%3."/>
      <w:lvlJc w:val="left"/>
      <w:pPr>
        <w:tabs>
          <w:tab w:val="left" w:pos="709"/>
        </w:tabs>
        <w:ind w:left="709" w:hanging="709"/>
      </w:pPr>
      <w:rPr>
        <w:rFonts w:hint="eastAsia" w:cs="Times New Roman"/>
      </w:rPr>
    </w:lvl>
    <w:lvl w:ilvl="3" w:tentative="0">
      <w:start w:val="1"/>
      <w:numFmt w:val="decimal"/>
      <w:pStyle w:val="853"/>
      <w:isLg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8">
    <w:nsid w:val="00000003"/>
    <w:multiLevelType w:val="multilevel"/>
    <w:tmpl w:val="00000003"/>
    <w:lvl w:ilvl="0" w:tentative="0">
      <w:start w:val="1"/>
      <w:numFmt w:val="decimal"/>
      <w:lvlText w:val="（%1）"/>
      <w:lvlJc w:val="left"/>
      <w:pPr>
        <w:ind w:left="1145" w:hanging="720"/>
      </w:pPr>
      <w:rPr>
        <w:rFonts w:hint="default"/>
      </w:rPr>
    </w:lvl>
    <w:lvl w:ilvl="1" w:tentative="0">
      <w:start w:val="1"/>
      <w:numFmt w:val="lowerLetter"/>
      <w:lvlRestart w:val="0"/>
      <w:lvlText w:val="%2)"/>
      <w:lvlJc w:val="left"/>
      <w:pPr>
        <w:ind w:left="1265" w:hanging="420"/>
      </w:pPr>
    </w:lvl>
    <w:lvl w:ilvl="2" w:tentative="0">
      <w:start w:val="1"/>
      <w:numFmt w:val="lowerRoman"/>
      <w:lvlRestart w:val="0"/>
      <w:lvlText w:val="%3."/>
      <w:lvlJc w:val="right"/>
      <w:pPr>
        <w:ind w:left="1685" w:hanging="420"/>
      </w:pPr>
    </w:lvl>
    <w:lvl w:ilvl="3" w:tentative="0">
      <w:start w:val="1"/>
      <w:numFmt w:val="decimal"/>
      <w:lvlRestart w:val="0"/>
      <w:lvlText w:val="%4."/>
      <w:lvlJc w:val="left"/>
      <w:pPr>
        <w:ind w:left="2105" w:hanging="420"/>
      </w:pPr>
    </w:lvl>
    <w:lvl w:ilvl="4" w:tentative="0">
      <w:start w:val="1"/>
      <w:numFmt w:val="lowerLetter"/>
      <w:lvlRestart w:val="0"/>
      <w:lvlText w:val="%5)"/>
      <w:lvlJc w:val="left"/>
      <w:pPr>
        <w:ind w:left="2525" w:hanging="420"/>
      </w:pPr>
    </w:lvl>
    <w:lvl w:ilvl="5" w:tentative="0">
      <w:start w:val="1"/>
      <w:numFmt w:val="lowerRoman"/>
      <w:lvlRestart w:val="0"/>
      <w:lvlText w:val="%6."/>
      <w:lvlJc w:val="right"/>
      <w:pPr>
        <w:ind w:left="2945" w:hanging="420"/>
      </w:pPr>
    </w:lvl>
    <w:lvl w:ilvl="6" w:tentative="0">
      <w:start w:val="1"/>
      <w:numFmt w:val="decimal"/>
      <w:lvlRestart w:val="0"/>
      <w:lvlText w:val="%7."/>
      <w:lvlJc w:val="left"/>
      <w:pPr>
        <w:ind w:left="3365" w:hanging="420"/>
      </w:pPr>
    </w:lvl>
    <w:lvl w:ilvl="7" w:tentative="0">
      <w:start w:val="1"/>
      <w:numFmt w:val="lowerLetter"/>
      <w:lvlRestart w:val="0"/>
      <w:lvlText w:val="%8)"/>
      <w:lvlJc w:val="left"/>
      <w:pPr>
        <w:ind w:left="3785" w:hanging="420"/>
      </w:pPr>
    </w:lvl>
    <w:lvl w:ilvl="8" w:tentative="0">
      <w:start w:val="1"/>
      <w:numFmt w:val="lowerRoman"/>
      <w:lvlRestart w:val="0"/>
      <w:lvlText w:val="%9."/>
      <w:lvlJc w:val="right"/>
      <w:pPr>
        <w:ind w:left="4205" w:hanging="420"/>
      </w:pPr>
    </w:lvl>
  </w:abstractNum>
  <w:abstractNum w:abstractNumId="9">
    <w:nsid w:val="00000004"/>
    <w:multiLevelType w:val="multilevel"/>
    <w:tmpl w:val="00000004"/>
    <w:lvl w:ilvl="0" w:tentative="0">
      <w:start w:val="1"/>
      <w:numFmt w:val="decimal"/>
      <w:lvlText w:val="（%1）"/>
      <w:lvlJc w:val="left"/>
      <w:pPr>
        <w:tabs>
          <w:tab w:val="left" w:pos="1140"/>
        </w:tabs>
        <w:ind w:left="1140" w:hanging="7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0">
    <w:nsid w:val="00000006"/>
    <w:multiLevelType w:val="multilevel"/>
    <w:tmpl w:val="00000006"/>
    <w:lvl w:ilvl="0" w:tentative="0">
      <w:start w:val="1"/>
      <w:numFmt w:val="decimal"/>
      <w:pStyle w:val="934"/>
      <w:lvlText w:val="%1"/>
      <w:lvlJc w:val="left"/>
      <w:pPr>
        <w:tabs>
          <w:tab w:val="left" w:pos="992"/>
        </w:tabs>
        <w:ind w:left="992" w:hanging="425"/>
      </w:pPr>
      <w:rPr>
        <w:rFonts w:hint="eastAsia" w:cs="Times New Roman"/>
      </w:rPr>
    </w:lvl>
    <w:lvl w:ilvl="1" w:tentative="0">
      <w:start w:val="1"/>
      <w:numFmt w:val="decimal"/>
      <w:pStyle w:val="833"/>
      <w:lvlText w:val="%1.%2"/>
      <w:lvlJc w:val="left"/>
      <w:pPr>
        <w:tabs>
          <w:tab w:val="left" w:pos="1559"/>
        </w:tabs>
        <w:ind w:left="1559" w:hanging="567"/>
      </w:pPr>
      <w:rPr>
        <w:rFonts w:hint="eastAsia" w:cs="Times New Roman"/>
      </w:rPr>
    </w:lvl>
    <w:lvl w:ilvl="2" w:tentative="0">
      <w:start w:val="1"/>
      <w:numFmt w:val="decimal"/>
      <w:lvlText w:val="%1.%2.%3"/>
      <w:lvlJc w:val="left"/>
      <w:pPr>
        <w:tabs>
          <w:tab w:val="left" w:pos="900"/>
        </w:tabs>
        <w:ind w:left="747" w:hanging="567"/>
      </w:pPr>
      <w:rPr>
        <w:rFonts w:hint="eastAsia" w:cs="Times New Roman"/>
      </w:rPr>
    </w:lvl>
    <w:lvl w:ilvl="3" w:tentative="0">
      <w:start w:val="1"/>
      <w:numFmt w:val="decimal"/>
      <w:pStyle w:val="834"/>
      <w:lvlText w:val="%1.%2.%3.%4"/>
      <w:lvlJc w:val="left"/>
      <w:pPr>
        <w:tabs>
          <w:tab w:val="left" w:pos="3060"/>
        </w:tabs>
        <w:ind w:left="2688" w:hanging="708"/>
      </w:pPr>
      <w:rPr>
        <w:rFonts w:hint="eastAsia" w:cs="Times New Roman"/>
      </w:rPr>
    </w:lvl>
    <w:lvl w:ilvl="4" w:tentative="0">
      <w:start w:val="1"/>
      <w:numFmt w:val="decimal"/>
      <w:lvlText w:val="%1.%2.%3.%4.%5"/>
      <w:lvlJc w:val="left"/>
      <w:pPr>
        <w:tabs>
          <w:tab w:val="left" w:pos="3348"/>
        </w:tabs>
        <w:ind w:left="3118" w:hanging="850"/>
      </w:pPr>
      <w:rPr>
        <w:rFonts w:hint="eastAsia" w:cs="Times New Roman"/>
      </w:rPr>
    </w:lvl>
    <w:lvl w:ilvl="5" w:tentative="0">
      <w:start w:val="1"/>
      <w:numFmt w:val="decimal"/>
      <w:lvlText w:val="%1.%2.%3.%4.%5.%6"/>
      <w:lvlJc w:val="left"/>
      <w:pPr>
        <w:tabs>
          <w:tab w:val="left" w:pos="4133"/>
        </w:tabs>
        <w:ind w:left="3827" w:hanging="1134"/>
      </w:pPr>
      <w:rPr>
        <w:rFonts w:hint="eastAsia" w:cs="Times New Roman"/>
      </w:rPr>
    </w:lvl>
    <w:lvl w:ilvl="6" w:tentative="0">
      <w:start w:val="1"/>
      <w:numFmt w:val="decimal"/>
      <w:lvlText w:val="%1.%2.%3.%4.%5.%6.%7"/>
      <w:lvlJc w:val="left"/>
      <w:pPr>
        <w:tabs>
          <w:tab w:val="left" w:pos="4918"/>
        </w:tabs>
        <w:ind w:left="4394" w:hanging="1276"/>
      </w:pPr>
      <w:rPr>
        <w:rFonts w:hint="eastAsia" w:cs="Times New Roman"/>
      </w:rPr>
    </w:lvl>
    <w:lvl w:ilvl="7" w:tentative="0">
      <w:start w:val="1"/>
      <w:numFmt w:val="decimal"/>
      <w:lvlText w:val="%1.%2.%3.%4.%5.%6.%7.%8"/>
      <w:lvlJc w:val="left"/>
      <w:pPr>
        <w:tabs>
          <w:tab w:val="left" w:pos="5343"/>
        </w:tabs>
        <w:ind w:left="4961" w:hanging="1418"/>
      </w:pPr>
      <w:rPr>
        <w:rFonts w:hint="eastAsia" w:cs="Times New Roman"/>
      </w:rPr>
    </w:lvl>
    <w:lvl w:ilvl="8" w:tentative="0">
      <w:start w:val="1"/>
      <w:numFmt w:val="decimal"/>
      <w:lvlText w:val="%1.%2.%3.%4.%5.%6.%7.%8.%9"/>
      <w:lvlJc w:val="left"/>
      <w:pPr>
        <w:tabs>
          <w:tab w:val="left" w:pos="6129"/>
        </w:tabs>
        <w:ind w:left="5669" w:hanging="1700"/>
      </w:pPr>
      <w:rPr>
        <w:rFonts w:hint="eastAsia" w:cs="Times New Roman"/>
      </w:rPr>
    </w:lvl>
  </w:abstractNum>
  <w:abstractNum w:abstractNumId="11">
    <w:nsid w:val="00000007"/>
    <w:multiLevelType w:val="multilevel"/>
    <w:tmpl w:val="00000007"/>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2">
    <w:nsid w:val="00000008"/>
    <w:multiLevelType w:val="multilevel"/>
    <w:tmpl w:val="00000008"/>
    <w:lvl w:ilvl="0" w:tentative="0">
      <w:start w:val="1"/>
      <w:numFmt w:val="decimal"/>
      <w:lvlText w:val="（%1）"/>
      <w:lvlJc w:val="left"/>
      <w:pPr>
        <w:ind w:left="1145" w:hanging="720"/>
      </w:pPr>
      <w:rPr>
        <w:rFonts w:hint="default"/>
      </w:rPr>
    </w:lvl>
    <w:lvl w:ilvl="1" w:tentative="0">
      <w:start w:val="1"/>
      <w:numFmt w:val="lowerLetter"/>
      <w:lvlRestart w:val="0"/>
      <w:lvlText w:val="%2)"/>
      <w:lvlJc w:val="left"/>
      <w:pPr>
        <w:ind w:left="1265" w:hanging="420"/>
      </w:pPr>
    </w:lvl>
    <w:lvl w:ilvl="2" w:tentative="0">
      <w:start w:val="1"/>
      <w:numFmt w:val="lowerRoman"/>
      <w:lvlRestart w:val="0"/>
      <w:lvlText w:val="%3."/>
      <w:lvlJc w:val="right"/>
      <w:pPr>
        <w:ind w:left="1685" w:hanging="420"/>
      </w:pPr>
    </w:lvl>
    <w:lvl w:ilvl="3" w:tentative="0">
      <w:start w:val="1"/>
      <w:numFmt w:val="decimal"/>
      <w:lvlRestart w:val="0"/>
      <w:lvlText w:val="%4."/>
      <w:lvlJc w:val="left"/>
      <w:pPr>
        <w:ind w:left="2105" w:hanging="420"/>
      </w:pPr>
    </w:lvl>
    <w:lvl w:ilvl="4" w:tentative="0">
      <w:start w:val="1"/>
      <w:numFmt w:val="lowerLetter"/>
      <w:lvlRestart w:val="0"/>
      <w:lvlText w:val="%5)"/>
      <w:lvlJc w:val="left"/>
      <w:pPr>
        <w:ind w:left="2525" w:hanging="420"/>
      </w:pPr>
    </w:lvl>
    <w:lvl w:ilvl="5" w:tentative="0">
      <w:start w:val="1"/>
      <w:numFmt w:val="lowerRoman"/>
      <w:lvlRestart w:val="0"/>
      <w:lvlText w:val="%6."/>
      <w:lvlJc w:val="right"/>
      <w:pPr>
        <w:ind w:left="2945" w:hanging="420"/>
      </w:pPr>
    </w:lvl>
    <w:lvl w:ilvl="6" w:tentative="0">
      <w:start w:val="1"/>
      <w:numFmt w:val="decimal"/>
      <w:lvlRestart w:val="0"/>
      <w:lvlText w:val="%7."/>
      <w:lvlJc w:val="left"/>
      <w:pPr>
        <w:ind w:left="3365" w:hanging="420"/>
      </w:pPr>
    </w:lvl>
    <w:lvl w:ilvl="7" w:tentative="0">
      <w:start w:val="1"/>
      <w:numFmt w:val="lowerLetter"/>
      <w:lvlRestart w:val="0"/>
      <w:lvlText w:val="%8)"/>
      <w:lvlJc w:val="left"/>
      <w:pPr>
        <w:ind w:left="3785" w:hanging="420"/>
      </w:pPr>
    </w:lvl>
    <w:lvl w:ilvl="8" w:tentative="0">
      <w:start w:val="1"/>
      <w:numFmt w:val="lowerRoman"/>
      <w:lvlRestart w:val="0"/>
      <w:lvlText w:val="%9."/>
      <w:lvlJc w:val="right"/>
      <w:pPr>
        <w:ind w:left="4205" w:hanging="420"/>
      </w:pPr>
    </w:lvl>
  </w:abstractNum>
  <w:abstractNum w:abstractNumId="13">
    <w:nsid w:val="00000011"/>
    <w:multiLevelType w:val="multilevel"/>
    <w:tmpl w:val="00000011"/>
    <w:lvl w:ilvl="0" w:tentative="0">
      <w:start w:val="1"/>
      <w:numFmt w:val="decimal"/>
      <w:lvlText w:val="（%1）"/>
      <w:lvlJc w:val="left"/>
      <w:pPr>
        <w:ind w:left="1145" w:hanging="720"/>
      </w:pPr>
      <w:rPr>
        <w:rFonts w:hint="default"/>
      </w:rPr>
    </w:lvl>
    <w:lvl w:ilvl="1" w:tentative="0">
      <w:start w:val="1"/>
      <w:numFmt w:val="lowerLetter"/>
      <w:lvlRestart w:val="0"/>
      <w:lvlText w:val="%2)"/>
      <w:lvlJc w:val="left"/>
      <w:pPr>
        <w:ind w:left="1265" w:hanging="420"/>
      </w:pPr>
    </w:lvl>
    <w:lvl w:ilvl="2" w:tentative="0">
      <w:start w:val="1"/>
      <w:numFmt w:val="lowerRoman"/>
      <w:lvlRestart w:val="0"/>
      <w:lvlText w:val="%3."/>
      <w:lvlJc w:val="right"/>
      <w:pPr>
        <w:ind w:left="1685" w:hanging="420"/>
      </w:pPr>
    </w:lvl>
    <w:lvl w:ilvl="3" w:tentative="0">
      <w:start w:val="1"/>
      <w:numFmt w:val="decimal"/>
      <w:lvlRestart w:val="0"/>
      <w:lvlText w:val="%4."/>
      <w:lvlJc w:val="left"/>
      <w:pPr>
        <w:ind w:left="2105" w:hanging="420"/>
      </w:pPr>
    </w:lvl>
    <w:lvl w:ilvl="4" w:tentative="0">
      <w:start w:val="1"/>
      <w:numFmt w:val="lowerLetter"/>
      <w:lvlRestart w:val="0"/>
      <w:lvlText w:val="%5)"/>
      <w:lvlJc w:val="left"/>
      <w:pPr>
        <w:ind w:left="2525" w:hanging="420"/>
      </w:pPr>
    </w:lvl>
    <w:lvl w:ilvl="5" w:tentative="0">
      <w:start w:val="1"/>
      <w:numFmt w:val="lowerRoman"/>
      <w:lvlRestart w:val="0"/>
      <w:lvlText w:val="%6."/>
      <w:lvlJc w:val="right"/>
      <w:pPr>
        <w:ind w:left="2945" w:hanging="420"/>
      </w:pPr>
    </w:lvl>
    <w:lvl w:ilvl="6" w:tentative="0">
      <w:start w:val="1"/>
      <w:numFmt w:val="decimal"/>
      <w:lvlRestart w:val="0"/>
      <w:lvlText w:val="%7."/>
      <w:lvlJc w:val="left"/>
      <w:pPr>
        <w:ind w:left="3365" w:hanging="420"/>
      </w:pPr>
    </w:lvl>
    <w:lvl w:ilvl="7" w:tentative="0">
      <w:start w:val="1"/>
      <w:numFmt w:val="lowerLetter"/>
      <w:lvlRestart w:val="0"/>
      <w:lvlText w:val="%8)"/>
      <w:lvlJc w:val="left"/>
      <w:pPr>
        <w:ind w:left="3785" w:hanging="420"/>
      </w:pPr>
    </w:lvl>
    <w:lvl w:ilvl="8" w:tentative="0">
      <w:start w:val="1"/>
      <w:numFmt w:val="lowerRoman"/>
      <w:lvlRestart w:val="0"/>
      <w:lvlText w:val="%9."/>
      <w:lvlJc w:val="right"/>
      <w:pPr>
        <w:ind w:left="4205" w:hanging="420"/>
      </w:pPr>
    </w:lvl>
  </w:abstractNum>
  <w:abstractNum w:abstractNumId="14">
    <w:nsid w:val="0DF10FE2"/>
    <w:multiLevelType w:val="multilevel"/>
    <w:tmpl w:val="0DF10FE2"/>
    <w:lvl w:ilvl="0" w:tentative="0">
      <w:start w:val="1"/>
      <w:numFmt w:val="decimal"/>
      <w:lvlText w:val="（%1）"/>
      <w:lvlJc w:val="left"/>
      <w:pPr>
        <w:ind w:left="1680" w:hanging="72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5">
    <w:nsid w:val="41D667FB"/>
    <w:multiLevelType w:val="multilevel"/>
    <w:tmpl w:val="41D667FB"/>
    <w:lvl w:ilvl="0" w:tentative="0">
      <w:start w:val="1"/>
      <w:numFmt w:val="decimal"/>
      <w:lvlText w:val="（%1）"/>
      <w:lvlJc w:val="left"/>
      <w:pPr>
        <w:ind w:left="900" w:hanging="42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6">
    <w:nsid w:val="59C8A5FF"/>
    <w:multiLevelType w:val="singleLevel"/>
    <w:tmpl w:val="59C8A5FF"/>
    <w:lvl w:ilvl="0" w:tentative="0">
      <w:start w:val="1"/>
      <w:numFmt w:val="decimal"/>
      <w:pStyle w:val="1326"/>
      <w:suff w:val="nothing"/>
      <w:lvlText w:val="%1、"/>
      <w:lvlJc w:val="left"/>
    </w:lvl>
  </w:abstractNum>
  <w:num w:numId="1">
    <w:abstractNumId w:val="7"/>
  </w:num>
  <w:num w:numId="2">
    <w:abstractNumId w:val="10"/>
  </w:num>
  <w:num w:numId="3">
    <w:abstractNumId w:val="16"/>
  </w:num>
  <w:num w:numId="4">
    <w:abstractNumId w:val="3"/>
  </w:num>
  <w:num w:numId="5">
    <w:abstractNumId w:val="2"/>
  </w:num>
  <w:num w:numId="6">
    <w:abstractNumId w:val="4"/>
  </w:num>
  <w:num w:numId="7">
    <w:abstractNumId w:val="6"/>
  </w:num>
  <w:num w:numId="8">
    <w:abstractNumId w:val="1"/>
  </w:num>
  <w:num w:numId="9">
    <w:abstractNumId w:val="9"/>
    <w:lvlOverride w:ilvl="0">
      <w:startOverride w:val="1"/>
    </w:lvlOverride>
  </w:num>
  <w:num w:numId="10">
    <w:abstractNumId w:val="11"/>
    <w:lvlOverride w:ilvl="0">
      <w:startOverride w:val="1"/>
    </w:lvlOverride>
  </w:num>
  <w:num w:numId="11">
    <w:abstractNumId w:val="15"/>
  </w:num>
  <w:num w:numId="12">
    <w:abstractNumId w:val="13"/>
  </w:num>
  <w:num w:numId="13">
    <w:abstractNumId w:val="12"/>
  </w:num>
  <w:num w:numId="14">
    <w:abstractNumId w:val="0"/>
  </w:num>
  <w:num w:numId="15">
    <w:abstractNumId w:val="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hideSpellingErrors/>
  <w:documentProtection w:enforcement="0"/>
  <w:defaultTabStop w:val="0"/>
  <w:drawingGridHorizontalSpacing w:val="105"/>
  <w:drawingGridVerticalSpacing w:val="156"/>
  <w:displayHorizontalDrawingGridEvery w:val="2"/>
  <w:displayVerticalDrawingGridEvery w:val="2"/>
  <w:doNotShadeFormData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51"/>
    <w:rsid w:val="00007442"/>
    <w:rsid w:val="00011E1E"/>
    <w:rsid w:val="00013859"/>
    <w:rsid w:val="000231C0"/>
    <w:rsid w:val="00036B07"/>
    <w:rsid w:val="00041469"/>
    <w:rsid w:val="0005195D"/>
    <w:rsid w:val="000729C3"/>
    <w:rsid w:val="00076A89"/>
    <w:rsid w:val="00077F1F"/>
    <w:rsid w:val="0008537C"/>
    <w:rsid w:val="000864D3"/>
    <w:rsid w:val="000877E1"/>
    <w:rsid w:val="0009367C"/>
    <w:rsid w:val="000A5849"/>
    <w:rsid w:val="000A7DEF"/>
    <w:rsid w:val="000C0884"/>
    <w:rsid w:val="000D1109"/>
    <w:rsid w:val="000D5D35"/>
    <w:rsid w:val="000E5633"/>
    <w:rsid w:val="0010621D"/>
    <w:rsid w:val="00111690"/>
    <w:rsid w:val="00115E04"/>
    <w:rsid w:val="001206D7"/>
    <w:rsid w:val="00125683"/>
    <w:rsid w:val="00136145"/>
    <w:rsid w:val="00147919"/>
    <w:rsid w:val="00152B99"/>
    <w:rsid w:val="00163D22"/>
    <w:rsid w:val="00175C59"/>
    <w:rsid w:val="00176A2C"/>
    <w:rsid w:val="00181097"/>
    <w:rsid w:val="001812AA"/>
    <w:rsid w:val="001A1B51"/>
    <w:rsid w:val="001A5594"/>
    <w:rsid w:val="001A61A7"/>
    <w:rsid w:val="001B178D"/>
    <w:rsid w:val="001B6B2C"/>
    <w:rsid w:val="001C1FF1"/>
    <w:rsid w:val="001D3304"/>
    <w:rsid w:val="001E728C"/>
    <w:rsid w:val="001F388B"/>
    <w:rsid w:val="001F7358"/>
    <w:rsid w:val="00204A05"/>
    <w:rsid w:val="00206AF3"/>
    <w:rsid w:val="00227A58"/>
    <w:rsid w:val="00235BEF"/>
    <w:rsid w:val="00251911"/>
    <w:rsid w:val="00257763"/>
    <w:rsid w:val="00263E8B"/>
    <w:rsid w:val="00264E05"/>
    <w:rsid w:val="00265AD6"/>
    <w:rsid w:val="00274581"/>
    <w:rsid w:val="00277890"/>
    <w:rsid w:val="0029403F"/>
    <w:rsid w:val="002A6B69"/>
    <w:rsid w:val="002B22AF"/>
    <w:rsid w:val="002C0EC9"/>
    <w:rsid w:val="002C3E7D"/>
    <w:rsid w:val="002C556F"/>
    <w:rsid w:val="002E0DDE"/>
    <w:rsid w:val="002E778E"/>
    <w:rsid w:val="002F1871"/>
    <w:rsid w:val="003015D8"/>
    <w:rsid w:val="00312233"/>
    <w:rsid w:val="003132EC"/>
    <w:rsid w:val="0032296B"/>
    <w:rsid w:val="00326997"/>
    <w:rsid w:val="00335BA7"/>
    <w:rsid w:val="00337318"/>
    <w:rsid w:val="00350FE1"/>
    <w:rsid w:val="0036326E"/>
    <w:rsid w:val="003A6DE4"/>
    <w:rsid w:val="003B03DC"/>
    <w:rsid w:val="003B1E44"/>
    <w:rsid w:val="003B27A9"/>
    <w:rsid w:val="003B285F"/>
    <w:rsid w:val="003B2AD3"/>
    <w:rsid w:val="003D1CDE"/>
    <w:rsid w:val="003D4930"/>
    <w:rsid w:val="003F7AE4"/>
    <w:rsid w:val="004159ED"/>
    <w:rsid w:val="0041639B"/>
    <w:rsid w:val="00426B0F"/>
    <w:rsid w:val="00441F14"/>
    <w:rsid w:val="00442542"/>
    <w:rsid w:val="004446FC"/>
    <w:rsid w:val="004617BA"/>
    <w:rsid w:val="00472986"/>
    <w:rsid w:val="00474A46"/>
    <w:rsid w:val="004807D3"/>
    <w:rsid w:val="00480FAB"/>
    <w:rsid w:val="0048158B"/>
    <w:rsid w:val="00484D4A"/>
    <w:rsid w:val="00491874"/>
    <w:rsid w:val="004918BF"/>
    <w:rsid w:val="004C738E"/>
    <w:rsid w:val="004D32DA"/>
    <w:rsid w:val="004D5708"/>
    <w:rsid w:val="004D758E"/>
    <w:rsid w:val="004E418D"/>
    <w:rsid w:val="004F7AA3"/>
    <w:rsid w:val="005057C1"/>
    <w:rsid w:val="00506813"/>
    <w:rsid w:val="00520E29"/>
    <w:rsid w:val="00523AA5"/>
    <w:rsid w:val="005255D6"/>
    <w:rsid w:val="00537D02"/>
    <w:rsid w:val="00554C34"/>
    <w:rsid w:val="00562079"/>
    <w:rsid w:val="00571892"/>
    <w:rsid w:val="00573143"/>
    <w:rsid w:val="00575D43"/>
    <w:rsid w:val="0059244B"/>
    <w:rsid w:val="00594ABB"/>
    <w:rsid w:val="005A5EC6"/>
    <w:rsid w:val="005A6508"/>
    <w:rsid w:val="005B25F4"/>
    <w:rsid w:val="005C0A80"/>
    <w:rsid w:val="005C53DC"/>
    <w:rsid w:val="005C62CE"/>
    <w:rsid w:val="005C69DC"/>
    <w:rsid w:val="005D08B6"/>
    <w:rsid w:val="005D13FB"/>
    <w:rsid w:val="005D6CA6"/>
    <w:rsid w:val="005D6FD7"/>
    <w:rsid w:val="005D7041"/>
    <w:rsid w:val="005E13E3"/>
    <w:rsid w:val="005E397C"/>
    <w:rsid w:val="005F4CA5"/>
    <w:rsid w:val="005F708C"/>
    <w:rsid w:val="00603C39"/>
    <w:rsid w:val="006550F9"/>
    <w:rsid w:val="006622A1"/>
    <w:rsid w:val="00670303"/>
    <w:rsid w:val="00673507"/>
    <w:rsid w:val="00677E44"/>
    <w:rsid w:val="006812C9"/>
    <w:rsid w:val="00694389"/>
    <w:rsid w:val="006961B7"/>
    <w:rsid w:val="006B1FA8"/>
    <w:rsid w:val="006C3A9C"/>
    <w:rsid w:val="006C3E8A"/>
    <w:rsid w:val="006D784C"/>
    <w:rsid w:val="00703BEE"/>
    <w:rsid w:val="00711944"/>
    <w:rsid w:val="0071349A"/>
    <w:rsid w:val="007170F0"/>
    <w:rsid w:val="00721208"/>
    <w:rsid w:val="007410C3"/>
    <w:rsid w:val="00742AEE"/>
    <w:rsid w:val="0075040B"/>
    <w:rsid w:val="00757E55"/>
    <w:rsid w:val="0078150C"/>
    <w:rsid w:val="00786717"/>
    <w:rsid w:val="0079334C"/>
    <w:rsid w:val="00796008"/>
    <w:rsid w:val="007A0E6D"/>
    <w:rsid w:val="007A3F22"/>
    <w:rsid w:val="007B3961"/>
    <w:rsid w:val="007B535D"/>
    <w:rsid w:val="007B6B47"/>
    <w:rsid w:val="007C04E5"/>
    <w:rsid w:val="007D2604"/>
    <w:rsid w:val="007D2E2A"/>
    <w:rsid w:val="007D4B1A"/>
    <w:rsid w:val="007E1833"/>
    <w:rsid w:val="007E460D"/>
    <w:rsid w:val="007F6476"/>
    <w:rsid w:val="0080111F"/>
    <w:rsid w:val="0082111D"/>
    <w:rsid w:val="00821226"/>
    <w:rsid w:val="008339F3"/>
    <w:rsid w:val="00841A73"/>
    <w:rsid w:val="00841B16"/>
    <w:rsid w:val="008544A1"/>
    <w:rsid w:val="0086363B"/>
    <w:rsid w:val="008732E5"/>
    <w:rsid w:val="00882D2F"/>
    <w:rsid w:val="008862D8"/>
    <w:rsid w:val="00894865"/>
    <w:rsid w:val="008A1841"/>
    <w:rsid w:val="008A7A9D"/>
    <w:rsid w:val="008A7FF8"/>
    <w:rsid w:val="008E4BFF"/>
    <w:rsid w:val="008F61EA"/>
    <w:rsid w:val="008F6F1D"/>
    <w:rsid w:val="009036D6"/>
    <w:rsid w:val="00910F5F"/>
    <w:rsid w:val="00911DD2"/>
    <w:rsid w:val="00916AE7"/>
    <w:rsid w:val="00923CB1"/>
    <w:rsid w:val="00935339"/>
    <w:rsid w:val="0095159F"/>
    <w:rsid w:val="00954544"/>
    <w:rsid w:val="009663F6"/>
    <w:rsid w:val="00970C8A"/>
    <w:rsid w:val="0097708A"/>
    <w:rsid w:val="0098564B"/>
    <w:rsid w:val="009912C0"/>
    <w:rsid w:val="009966FB"/>
    <w:rsid w:val="009A00DD"/>
    <w:rsid w:val="009B046E"/>
    <w:rsid w:val="009B4DA7"/>
    <w:rsid w:val="009D1391"/>
    <w:rsid w:val="009D2DA6"/>
    <w:rsid w:val="009D6D40"/>
    <w:rsid w:val="009E3E47"/>
    <w:rsid w:val="009E5B2B"/>
    <w:rsid w:val="009F0A6A"/>
    <w:rsid w:val="009F27F8"/>
    <w:rsid w:val="009F4B4B"/>
    <w:rsid w:val="00A024FB"/>
    <w:rsid w:val="00A215AF"/>
    <w:rsid w:val="00A3457F"/>
    <w:rsid w:val="00A40AAA"/>
    <w:rsid w:val="00A427AC"/>
    <w:rsid w:val="00A4368B"/>
    <w:rsid w:val="00A50E24"/>
    <w:rsid w:val="00A51F37"/>
    <w:rsid w:val="00A568F5"/>
    <w:rsid w:val="00A70DB8"/>
    <w:rsid w:val="00A8185F"/>
    <w:rsid w:val="00A876CD"/>
    <w:rsid w:val="00A9179D"/>
    <w:rsid w:val="00A96309"/>
    <w:rsid w:val="00A974A7"/>
    <w:rsid w:val="00AA2EF8"/>
    <w:rsid w:val="00AA37C3"/>
    <w:rsid w:val="00AB0D01"/>
    <w:rsid w:val="00AB439D"/>
    <w:rsid w:val="00AC4F3C"/>
    <w:rsid w:val="00AC5311"/>
    <w:rsid w:val="00AC6341"/>
    <w:rsid w:val="00AD0ABF"/>
    <w:rsid w:val="00AD1219"/>
    <w:rsid w:val="00AD38FC"/>
    <w:rsid w:val="00AD40B8"/>
    <w:rsid w:val="00AD5672"/>
    <w:rsid w:val="00AE1C9C"/>
    <w:rsid w:val="00AE7510"/>
    <w:rsid w:val="00B03632"/>
    <w:rsid w:val="00B06B1B"/>
    <w:rsid w:val="00B11B28"/>
    <w:rsid w:val="00B164E6"/>
    <w:rsid w:val="00B25188"/>
    <w:rsid w:val="00B25D19"/>
    <w:rsid w:val="00B52F23"/>
    <w:rsid w:val="00B7498B"/>
    <w:rsid w:val="00B763A5"/>
    <w:rsid w:val="00B848BA"/>
    <w:rsid w:val="00B91B47"/>
    <w:rsid w:val="00BA6A96"/>
    <w:rsid w:val="00BB226D"/>
    <w:rsid w:val="00BB65EF"/>
    <w:rsid w:val="00BE15FB"/>
    <w:rsid w:val="00BE72AF"/>
    <w:rsid w:val="00BF2904"/>
    <w:rsid w:val="00C07CF6"/>
    <w:rsid w:val="00C07E13"/>
    <w:rsid w:val="00C10B61"/>
    <w:rsid w:val="00C17BE6"/>
    <w:rsid w:val="00C37998"/>
    <w:rsid w:val="00C43784"/>
    <w:rsid w:val="00C4514B"/>
    <w:rsid w:val="00C47857"/>
    <w:rsid w:val="00C50CE8"/>
    <w:rsid w:val="00C6315D"/>
    <w:rsid w:val="00C7450C"/>
    <w:rsid w:val="00C86148"/>
    <w:rsid w:val="00C86EA6"/>
    <w:rsid w:val="00C97F4B"/>
    <w:rsid w:val="00CB02FF"/>
    <w:rsid w:val="00CB16A0"/>
    <w:rsid w:val="00CB6439"/>
    <w:rsid w:val="00CC59D2"/>
    <w:rsid w:val="00CD26BB"/>
    <w:rsid w:val="00CE169E"/>
    <w:rsid w:val="00CF24C8"/>
    <w:rsid w:val="00CF4179"/>
    <w:rsid w:val="00D02FE2"/>
    <w:rsid w:val="00D064F1"/>
    <w:rsid w:val="00D26B27"/>
    <w:rsid w:val="00D3160A"/>
    <w:rsid w:val="00D401D8"/>
    <w:rsid w:val="00D60540"/>
    <w:rsid w:val="00D6239E"/>
    <w:rsid w:val="00D65ED1"/>
    <w:rsid w:val="00D6691A"/>
    <w:rsid w:val="00D669D1"/>
    <w:rsid w:val="00D715A5"/>
    <w:rsid w:val="00D72C3C"/>
    <w:rsid w:val="00D805B9"/>
    <w:rsid w:val="00D80D8B"/>
    <w:rsid w:val="00D8613E"/>
    <w:rsid w:val="00D967B0"/>
    <w:rsid w:val="00DA4D35"/>
    <w:rsid w:val="00DA4FE0"/>
    <w:rsid w:val="00DC1F6C"/>
    <w:rsid w:val="00DC7633"/>
    <w:rsid w:val="00DD1678"/>
    <w:rsid w:val="00DD1976"/>
    <w:rsid w:val="00DF302A"/>
    <w:rsid w:val="00DF448B"/>
    <w:rsid w:val="00DF79BE"/>
    <w:rsid w:val="00E023C7"/>
    <w:rsid w:val="00E07ED2"/>
    <w:rsid w:val="00E41C25"/>
    <w:rsid w:val="00E5505E"/>
    <w:rsid w:val="00E61BB9"/>
    <w:rsid w:val="00E84EB0"/>
    <w:rsid w:val="00E872AF"/>
    <w:rsid w:val="00E87E60"/>
    <w:rsid w:val="00E957B0"/>
    <w:rsid w:val="00EA4848"/>
    <w:rsid w:val="00EB4F3C"/>
    <w:rsid w:val="00EC2C4B"/>
    <w:rsid w:val="00EE32E1"/>
    <w:rsid w:val="00EE730B"/>
    <w:rsid w:val="00EF4C4A"/>
    <w:rsid w:val="00F00EFC"/>
    <w:rsid w:val="00F07593"/>
    <w:rsid w:val="00F112CF"/>
    <w:rsid w:val="00F20664"/>
    <w:rsid w:val="00F26985"/>
    <w:rsid w:val="00F3740D"/>
    <w:rsid w:val="00F44D90"/>
    <w:rsid w:val="00F60A1E"/>
    <w:rsid w:val="00F64468"/>
    <w:rsid w:val="00F6472F"/>
    <w:rsid w:val="00F71648"/>
    <w:rsid w:val="00F85E24"/>
    <w:rsid w:val="00F860A5"/>
    <w:rsid w:val="00FA1361"/>
    <w:rsid w:val="00FA2FF7"/>
    <w:rsid w:val="00FB2E7C"/>
    <w:rsid w:val="00FB39D8"/>
    <w:rsid w:val="00FB5661"/>
    <w:rsid w:val="00FD005A"/>
    <w:rsid w:val="00FE3114"/>
    <w:rsid w:val="02513E1B"/>
    <w:rsid w:val="025E1349"/>
    <w:rsid w:val="02E77C97"/>
    <w:rsid w:val="0381295C"/>
    <w:rsid w:val="03F7511B"/>
    <w:rsid w:val="04926A02"/>
    <w:rsid w:val="04AE0A6D"/>
    <w:rsid w:val="04EE6333"/>
    <w:rsid w:val="05242C73"/>
    <w:rsid w:val="054F5C10"/>
    <w:rsid w:val="059B39C3"/>
    <w:rsid w:val="063F3F2B"/>
    <w:rsid w:val="066B54CA"/>
    <w:rsid w:val="06AC6DFF"/>
    <w:rsid w:val="07E00205"/>
    <w:rsid w:val="09505443"/>
    <w:rsid w:val="09B7285A"/>
    <w:rsid w:val="0AC67DF7"/>
    <w:rsid w:val="0AF13D61"/>
    <w:rsid w:val="0BB61CDA"/>
    <w:rsid w:val="0C423FB5"/>
    <w:rsid w:val="0CB71514"/>
    <w:rsid w:val="0E92670A"/>
    <w:rsid w:val="0F1076A8"/>
    <w:rsid w:val="0F8A07C2"/>
    <w:rsid w:val="114B4E43"/>
    <w:rsid w:val="12864D6C"/>
    <w:rsid w:val="12AE255A"/>
    <w:rsid w:val="130B383D"/>
    <w:rsid w:val="14B74426"/>
    <w:rsid w:val="16855C4F"/>
    <w:rsid w:val="169F2B35"/>
    <w:rsid w:val="16B97486"/>
    <w:rsid w:val="16D36357"/>
    <w:rsid w:val="178D22E1"/>
    <w:rsid w:val="1796578E"/>
    <w:rsid w:val="179E0C3D"/>
    <w:rsid w:val="18261F5F"/>
    <w:rsid w:val="186E3EEB"/>
    <w:rsid w:val="1878198B"/>
    <w:rsid w:val="190806A5"/>
    <w:rsid w:val="192F5C51"/>
    <w:rsid w:val="197E6A97"/>
    <w:rsid w:val="1A341E84"/>
    <w:rsid w:val="1A7848A0"/>
    <w:rsid w:val="1AE57D19"/>
    <w:rsid w:val="1AF06C4B"/>
    <w:rsid w:val="1B6A4280"/>
    <w:rsid w:val="1C180021"/>
    <w:rsid w:val="1C914063"/>
    <w:rsid w:val="1E045600"/>
    <w:rsid w:val="1E962DB4"/>
    <w:rsid w:val="1F5D33A2"/>
    <w:rsid w:val="1F9212E5"/>
    <w:rsid w:val="1FDB7DEB"/>
    <w:rsid w:val="22387635"/>
    <w:rsid w:val="244A3A5C"/>
    <w:rsid w:val="24DD7BC2"/>
    <w:rsid w:val="252A0756"/>
    <w:rsid w:val="25552313"/>
    <w:rsid w:val="262E0D35"/>
    <w:rsid w:val="26E13A1D"/>
    <w:rsid w:val="280E38A6"/>
    <w:rsid w:val="299F2CE5"/>
    <w:rsid w:val="2A18058E"/>
    <w:rsid w:val="2AB454C8"/>
    <w:rsid w:val="2B4A1BB0"/>
    <w:rsid w:val="2B564C72"/>
    <w:rsid w:val="2BD53387"/>
    <w:rsid w:val="2C1F444C"/>
    <w:rsid w:val="2E5F2DFC"/>
    <w:rsid w:val="2EE4034D"/>
    <w:rsid w:val="2FDC556C"/>
    <w:rsid w:val="2FF674F9"/>
    <w:rsid w:val="30076B09"/>
    <w:rsid w:val="32537F2F"/>
    <w:rsid w:val="360133BF"/>
    <w:rsid w:val="36226331"/>
    <w:rsid w:val="362A3709"/>
    <w:rsid w:val="368E0401"/>
    <w:rsid w:val="36BE1E56"/>
    <w:rsid w:val="372C6F28"/>
    <w:rsid w:val="37E22064"/>
    <w:rsid w:val="3833483D"/>
    <w:rsid w:val="386B1713"/>
    <w:rsid w:val="3976638D"/>
    <w:rsid w:val="397A543F"/>
    <w:rsid w:val="39CD0B6C"/>
    <w:rsid w:val="3AD25EC6"/>
    <w:rsid w:val="3B194B0C"/>
    <w:rsid w:val="3B5C686D"/>
    <w:rsid w:val="3BE94C66"/>
    <w:rsid w:val="3CFD66A6"/>
    <w:rsid w:val="3EB57E2F"/>
    <w:rsid w:val="400E5FCA"/>
    <w:rsid w:val="41025223"/>
    <w:rsid w:val="41967B70"/>
    <w:rsid w:val="42D8082C"/>
    <w:rsid w:val="4407518F"/>
    <w:rsid w:val="440F1DF4"/>
    <w:rsid w:val="445F255F"/>
    <w:rsid w:val="45196C95"/>
    <w:rsid w:val="457A0C9E"/>
    <w:rsid w:val="467861A2"/>
    <w:rsid w:val="48015601"/>
    <w:rsid w:val="48704706"/>
    <w:rsid w:val="487072B3"/>
    <w:rsid w:val="48E4422E"/>
    <w:rsid w:val="49B03F83"/>
    <w:rsid w:val="4A7850E9"/>
    <w:rsid w:val="4B05621B"/>
    <w:rsid w:val="4B354869"/>
    <w:rsid w:val="4C463BB6"/>
    <w:rsid w:val="4C961965"/>
    <w:rsid w:val="4C977876"/>
    <w:rsid w:val="4D3F4215"/>
    <w:rsid w:val="4D540EB5"/>
    <w:rsid w:val="4D936590"/>
    <w:rsid w:val="4E076F0A"/>
    <w:rsid w:val="4E3F5CE4"/>
    <w:rsid w:val="4E7213BE"/>
    <w:rsid w:val="4E980CA6"/>
    <w:rsid w:val="4F9012CB"/>
    <w:rsid w:val="4FA157AB"/>
    <w:rsid w:val="4FE23A3F"/>
    <w:rsid w:val="50314340"/>
    <w:rsid w:val="50942B0B"/>
    <w:rsid w:val="512C2067"/>
    <w:rsid w:val="52A56910"/>
    <w:rsid w:val="53A54639"/>
    <w:rsid w:val="53CF2596"/>
    <w:rsid w:val="540E67B5"/>
    <w:rsid w:val="55292553"/>
    <w:rsid w:val="570A4DF4"/>
    <w:rsid w:val="573B7B8B"/>
    <w:rsid w:val="59702A6D"/>
    <w:rsid w:val="59D77449"/>
    <w:rsid w:val="5A117BFB"/>
    <w:rsid w:val="5A4F43C3"/>
    <w:rsid w:val="5B221882"/>
    <w:rsid w:val="5C7E3B39"/>
    <w:rsid w:val="5D0107C1"/>
    <w:rsid w:val="5D6E14EB"/>
    <w:rsid w:val="5E1F5B45"/>
    <w:rsid w:val="5E7943C5"/>
    <w:rsid w:val="5E8552B0"/>
    <w:rsid w:val="5F026EFD"/>
    <w:rsid w:val="5F880DC5"/>
    <w:rsid w:val="60D03EB6"/>
    <w:rsid w:val="616662EC"/>
    <w:rsid w:val="63962EE3"/>
    <w:rsid w:val="64020EC5"/>
    <w:rsid w:val="6403207A"/>
    <w:rsid w:val="6474698C"/>
    <w:rsid w:val="64BA7CAC"/>
    <w:rsid w:val="64E42D39"/>
    <w:rsid w:val="660C3272"/>
    <w:rsid w:val="662B354A"/>
    <w:rsid w:val="676E3EDB"/>
    <w:rsid w:val="68300EAD"/>
    <w:rsid w:val="69715480"/>
    <w:rsid w:val="69A45ADA"/>
    <w:rsid w:val="69FD2C5D"/>
    <w:rsid w:val="6A194AB8"/>
    <w:rsid w:val="6A680BF3"/>
    <w:rsid w:val="6A797F5A"/>
    <w:rsid w:val="6C560C60"/>
    <w:rsid w:val="6E3857D0"/>
    <w:rsid w:val="6E405EC8"/>
    <w:rsid w:val="6E91063D"/>
    <w:rsid w:val="6F4B31B1"/>
    <w:rsid w:val="6F607650"/>
    <w:rsid w:val="6F9035DB"/>
    <w:rsid w:val="703C513F"/>
    <w:rsid w:val="71D44132"/>
    <w:rsid w:val="71EB2C0B"/>
    <w:rsid w:val="720C111E"/>
    <w:rsid w:val="72B27FE7"/>
    <w:rsid w:val="72E45E65"/>
    <w:rsid w:val="72E519B5"/>
    <w:rsid w:val="75386A86"/>
    <w:rsid w:val="75F04001"/>
    <w:rsid w:val="769A508A"/>
    <w:rsid w:val="77D6230F"/>
    <w:rsid w:val="78271FEE"/>
    <w:rsid w:val="7844737B"/>
    <w:rsid w:val="7888507A"/>
    <w:rsid w:val="789223AD"/>
    <w:rsid w:val="78A26ABB"/>
    <w:rsid w:val="7A2B11F3"/>
    <w:rsid w:val="7B2E6508"/>
    <w:rsid w:val="7B9F613F"/>
    <w:rsid w:val="7BCE2EBE"/>
    <w:rsid w:val="7BE20E75"/>
    <w:rsid w:val="7EBC4F46"/>
    <w:rsid w:val="7FA7048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qFormat="1" w:unhideWhenUsed="0" w:uiPriority="0" w:semiHidden="0" w:name="index 8"/>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0" w:semiHidden="0" w:name="caption"/>
    <w:lsdException w:qFormat="1" w:unhideWhenUsed="0" w:uiPriority="0" w:semiHidden="0" w:name="table of figures"/>
    <w:lsdException w:uiPriority="99" w:name="envelope address" w:locked="1"/>
    <w:lsdException w:uiPriority="99" w:name="envelope return" w:locked="1"/>
    <w:lsdException w:qFormat="1" w:unhideWhenUsed="0" w:uiPriority="0"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qFormat="1" w:unhideWhenUsed="0" w:uiPriority="0" w:semiHidden="0" w:name="endnote reference"/>
    <w:lsdException w:qFormat="1" w:unhideWhenUsed="0" w:uiPriority="0" w:semiHidden="0" w:name="endnote text"/>
    <w:lsdException w:uiPriority="99" w:name="table of authorities" w:locked="1"/>
    <w:lsdException w:uiPriority="99" w:name="macro" w:locked="1"/>
    <w:lsdException w:uiPriority="99" w:name="toa heading" w:locked="1"/>
    <w:lsdException w:qFormat="1" w:unhideWhenUsed="0" w:uiPriority="0" w:semiHidden="0" w:name="List"/>
    <w:lsdException w:qFormat="1" w:unhideWhenUsed="0" w:uiPriority="0" w:semiHidden="0" w:name="List Bullet"/>
    <w:lsdException w:uiPriority="99" w:name="List Number" w:locked="1"/>
    <w:lsdException w:uiPriority="99" w:name="List 2" w:locked="1"/>
    <w:lsdException w:qFormat="1" w:unhideWhenUsed="0" w:uiPriority="0" w:semiHidden="0" w:name="List 3"/>
    <w:lsdException w:uiPriority="99" w:name="List 4" w:locked="1"/>
    <w:lsdException w:uiPriority="99" w:name="List 5" w:locked="1"/>
    <w:lsdException w:uiPriority="99" w:name="List Bullet 2" w:locked="1"/>
    <w:lsdException w:qFormat="1" w:unhideWhenUsed="0" w:uiPriority="0" w:semiHidden="0" w:name="List Bullet 3"/>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1" w:semiHidden="0" w:name="Body Text"/>
    <w:lsdException w:qFormat="1" w:unhideWhenUsed="0" w:uiPriority="0" w:semiHidden="0" w:name="Body Text Indent"/>
    <w:lsdException w:uiPriority="99" w:name="List Continue" w:locked="1"/>
    <w:lsdException w:qFormat="1" w:unhideWhenUsed="0" w:uiPriority="0" w:semiHidden="0"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0" w:semiHidden="0" w:name="HTML Acronym" w:locked="1"/>
    <w:lsdException w:uiPriority="99" w:name="HTML Address" w:locked="1"/>
    <w:lsdException w:qFormat="1" w:uiPriority="0" w:semiHidden="0" w:name="HTML Cite" w:locked="1"/>
    <w:lsdException w:qFormat="1" w:unhideWhenUsed="0" w:uiPriority="0" w:semiHidden="0" w:name="HTML Code" w:locked="1"/>
    <w:lsdException w:qFormat="1" w:unhideWhenUsed="0" w:uiPriority="0" w:semiHidden="0"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qFormat="1" w:unhideWhenUsed="0" w:uiPriority="0" w:semiHidden="0" w:name="HTML Variable" w:locked="1"/>
    <w:lsdException w:qFormat="1" w:uiPriority="99" w:name="Normal Table"/>
    <w:lsdException w:qFormat="1" w:unhideWhenUsed="0" w:uiPriority="99" w:semiHidden="0" w:name="annotation subject"/>
    <w:lsdException w:qFormat="1" w:unhideWhenUsed="0" w:uiPriority="99" w:semiHidden="0" w:name="Table Simple 1"/>
    <w:lsdException w:uiPriority="99" w:name="Table Simple 2" w:locked="1"/>
    <w:lsdException w:uiPriority="99" w:name="Table Simple 3" w:locked="1"/>
    <w:lsdException w:qFormat="1" w:unhideWhenUsed="0" w:uiPriority="99" w:semiHidden="0" w:name="Table Classic 1"/>
    <w:lsdException w:uiPriority="99" w:name="Table Classic 2" w:locked="1"/>
    <w:lsdException w:uiPriority="99" w:name="Table Classic 3" w:locked="1"/>
    <w:lsdException w:uiPriority="99" w:name="Table Classic 4" w:locked="1"/>
    <w:lsdException w:qFormat="1" w:unhideWhenUsed="0" w:uiPriority="99" w:semiHidden="0" w:name="Table Colorful 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qFormat="1" w:unhideWhenUsed="0" w:uiPriority="99" w:semiHidden="0" w:name="Table Grid 7"/>
    <w:lsdException w:uiPriority="99" w:name="Table Grid 8" w:locked="1"/>
    <w:lsdException w:uiPriority="99" w:name="Table List 1" w:locked="1"/>
    <w:lsdException w:qFormat="1" w:unhideWhenUsed="0" w:uiPriority="99" w:semiHidden="0" w:name="Table List 2"/>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nhideWhenUsed="0" w:uiPriority="99" w:semiHidden="0" w:name="Table Subtle 2" w:locked="1"/>
    <w:lsdException w:uiPriority="99" w:name="Table Web 1" w:locked="1"/>
    <w:lsdException w:uiPriority="99" w:name="Table Web 2" w:locked="1"/>
    <w:lsdException w:unhideWhenUsed="0" w:uiPriority="99" w:semiHidden="0" w:name="Table Web 3" w:locked="1"/>
    <w:lsdException w:qFormat="1" w:unhideWhenUsed="0" w:uiPriority="99" w:semiHidden="0" w:name="Balloon Text"/>
    <w:lsdException w:qFormat="1" w:unhideWhenUsed="0" w:uiPriority="5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8"/>
    <w:qFormat/>
    <w:uiPriority w:val="9"/>
    <w:pPr>
      <w:keepNext/>
      <w:keepLines/>
      <w:tabs>
        <w:tab w:val="left" w:pos="360"/>
      </w:tabs>
      <w:adjustRightInd w:val="0"/>
      <w:spacing w:before="120" w:line="360" w:lineRule="auto"/>
      <w:ind w:left="284" w:leftChars="100" w:right="100" w:rightChars="100" w:hanging="284"/>
      <w:jc w:val="left"/>
      <w:outlineLvl w:val="0"/>
    </w:pPr>
    <w:rPr>
      <w:rFonts w:eastAsiaTheme="minorEastAsia"/>
      <w:b/>
      <w:kern w:val="44"/>
      <w:sz w:val="28"/>
      <w:szCs w:val="32"/>
    </w:rPr>
  </w:style>
  <w:style w:type="paragraph" w:styleId="3">
    <w:name w:val="heading 2"/>
    <w:basedOn w:val="1"/>
    <w:next w:val="1"/>
    <w:link w:val="79"/>
    <w:qFormat/>
    <w:uiPriority w:val="9"/>
    <w:pPr>
      <w:keepNext/>
      <w:keepLines/>
      <w:spacing w:before="260" w:after="260" w:line="500" w:lineRule="exact"/>
      <w:jc w:val="left"/>
      <w:outlineLvl w:val="1"/>
    </w:pPr>
    <w:rPr>
      <w:rFonts w:ascii="Arial" w:hAnsi="Arial" w:eastAsiaTheme="minorEastAsia"/>
      <w:b/>
      <w:bCs/>
      <w:szCs w:val="32"/>
    </w:rPr>
  </w:style>
  <w:style w:type="paragraph" w:styleId="4">
    <w:name w:val="heading 3"/>
    <w:basedOn w:val="1"/>
    <w:next w:val="1"/>
    <w:link w:val="80"/>
    <w:qFormat/>
    <w:uiPriority w:val="9"/>
    <w:pPr>
      <w:keepNext/>
      <w:keepLines/>
      <w:spacing w:before="140" w:after="140" w:line="413" w:lineRule="auto"/>
      <w:outlineLvl w:val="2"/>
    </w:pPr>
    <w:rPr>
      <w:b/>
      <w:sz w:val="28"/>
    </w:rPr>
  </w:style>
  <w:style w:type="paragraph" w:styleId="5">
    <w:name w:val="heading 4"/>
    <w:basedOn w:val="1"/>
    <w:next w:val="1"/>
    <w:link w:val="81"/>
    <w:qFormat/>
    <w:uiPriority w:val="0"/>
    <w:pPr>
      <w:tabs>
        <w:tab w:val="left" w:pos="2155"/>
      </w:tabs>
      <w:adjustRightInd w:val="0"/>
      <w:spacing w:before="120" w:line="360" w:lineRule="auto"/>
      <w:ind w:left="2155" w:hanging="1078"/>
      <w:outlineLvl w:val="3"/>
    </w:pPr>
    <w:rPr>
      <w:rFonts w:ascii="Arial" w:eastAsia="黑体"/>
      <w:sz w:val="28"/>
    </w:rPr>
  </w:style>
  <w:style w:type="paragraph" w:styleId="6">
    <w:name w:val="heading 5"/>
    <w:basedOn w:val="1"/>
    <w:next w:val="1"/>
    <w:link w:val="82"/>
    <w:qFormat/>
    <w:uiPriority w:val="0"/>
    <w:pPr>
      <w:keepNext/>
      <w:keepLines/>
      <w:spacing w:before="280" w:after="290" w:line="360" w:lineRule="auto"/>
      <w:jc w:val="left"/>
      <w:outlineLvl w:val="4"/>
    </w:pPr>
    <w:rPr>
      <w:b/>
      <w:bCs/>
      <w:sz w:val="28"/>
      <w:szCs w:val="28"/>
    </w:rPr>
  </w:style>
  <w:style w:type="paragraph" w:styleId="7">
    <w:name w:val="heading 6"/>
    <w:basedOn w:val="1"/>
    <w:next w:val="1"/>
    <w:link w:val="83"/>
    <w:qFormat/>
    <w:uiPriority w:val="0"/>
    <w:pPr>
      <w:keepNext/>
      <w:keepLines/>
      <w:tabs>
        <w:tab w:val="left" w:pos="3926"/>
      </w:tabs>
      <w:adjustRightInd w:val="0"/>
      <w:spacing w:before="240" w:after="64" w:line="320" w:lineRule="atLeast"/>
      <w:outlineLvl w:val="5"/>
    </w:pPr>
    <w:rPr>
      <w:rFonts w:ascii="Arial" w:hAnsi="Arial" w:eastAsia="黑体"/>
      <w:b/>
      <w:kern w:val="0"/>
      <w:sz w:val="24"/>
      <w:szCs w:val="20"/>
    </w:rPr>
  </w:style>
  <w:style w:type="paragraph" w:styleId="8">
    <w:name w:val="heading 7"/>
    <w:basedOn w:val="1"/>
    <w:next w:val="1"/>
    <w:link w:val="84"/>
    <w:qFormat/>
    <w:uiPriority w:val="0"/>
    <w:pPr>
      <w:keepNext/>
      <w:keepLines/>
      <w:spacing w:before="240" w:after="64" w:line="320" w:lineRule="auto"/>
      <w:outlineLvl w:val="6"/>
    </w:pPr>
    <w:rPr>
      <w:b/>
      <w:bCs/>
      <w:kern w:val="0"/>
      <w:sz w:val="24"/>
    </w:rPr>
  </w:style>
  <w:style w:type="paragraph" w:styleId="9">
    <w:name w:val="heading 8"/>
    <w:basedOn w:val="1"/>
    <w:next w:val="1"/>
    <w:link w:val="85"/>
    <w:qFormat/>
    <w:uiPriority w:val="0"/>
    <w:pPr>
      <w:keepNext/>
      <w:keepLines/>
      <w:spacing w:before="240" w:after="64" w:line="320" w:lineRule="auto"/>
      <w:outlineLvl w:val="7"/>
    </w:pPr>
    <w:rPr>
      <w:rFonts w:ascii="Arial" w:hAnsi="Arial" w:eastAsia="黑体"/>
      <w:kern w:val="0"/>
      <w:sz w:val="24"/>
    </w:rPr>
  </w:style>
  <w:style w:type="paragraph" w:styleId="10">
    <w:name w:val="heading 9"/>
    <w:basedOn w:val="1"/>
    <w:next w:val="1"/>
    <w:link w:val="86"/>
    <w:qFormat/>
    <w:uiPriority w:val="0"/>
    <w:pPr>
      <w:keepNext/>
      <w:keepLines/>
      <w:spacing w:before="240" w:after="64" w:line="320" w:lineRule="auto"/>
      <w:outlineLvl w:val="8"/>
    </w:pPr>
    <w:rPr>
      <w:rFonts w:ascii="Arial" w:hAnsi="Arial" w:eastAsia="黑体"/>
      <w:kern w:val="0"/>
      <w:sz w:val="20"/>
      <w:szCs w:val="21"/>
    </w:rPr>
  </w:style>
  <w:style w:type="character" w:default="1" w:styleId="64">
    <w:name w:val="Default Paragraph Font"/>
    <w:semiHidden/>
    <w:unhideWhenUsed/>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260" w:hanging="420"/>
    </w:pPr>
    <w:rPr>
      <w:szCs w:val="20"/>
    </w:rPr>
  </w:style>
  <w:style w:type="paragraph" w:styleId="12">
    <w:name w:val="toc 7"/>
    <w:basedOn w:val="1"/>
    <w:next w:val="1"/>
    <w:qFormat/>
    <w:uiPriority w:val="39"/>
    <w:pPr>
      <w:ind w:left="2520" w:leftChars="1200"/>
    </w:pPr>
  </w:style>
  <w:style w:type="paragraph" w:styleId="13">
    <w:name w:val="Note Heading"/>
    <w:basedOn w:val="1"/>
    <w:next w:val="1"/>
    <w:link w:val="91"/>
    <w:qFormat/>
    <w:uiPriority w:val="0"/>
    <w:pPr>
      <w:jc w:val="center"/>
    </w:pPr>
    <w:rPr>
      <w:rFonts w:ascii="宋体"/>
      <w:sz w:val="28"/>
      <w:szCs w:val="20"/>
    </w:rPr>
  </w:style>
  <w:style w:type="paragraph" w:styleId="14">
    <w:name w:val="index 8"/>
    <w:basedOn w:val="1"/>
    <w:next w:val="1"/>
    <w:qFormat/>
    <w:uiPriority w:val="0"/>
    <w:pPr>
      <w:autoSpaceDE w:val="0"/>
      <w:autoSpaceDN w:val="0"/>
      <w:adjustRightInd w:val="0"/>
      <w:ind w:left="1400" w:leftChars="1400"/>
      <w:jc w:val="left"/>
      <w:textAlignment w:val="baseline"/>
    </w:pPr>
    <w:rPr>
      <w:rFonts w:ascii="宋体"/>
      <w:kern w:val="0"/>
      <w:sz w:val="34"/>
      <w:szCs w:val="20"/>
    </w:rPr>
  </w:style>
  <w:style w:type="paragraph" w:styleId="15">
    <w:name w:val="Normal Indent"/>
    <w:basedOn w:val="1"/>
    <w:link w:val="388"/>
    <w:qFormat/>
    <w:uiPriority w:val="99"/>
    <w:pPr>
      <w:ind w:firstLine="420" w:firstLineChars="200"/>
    </w:pPr>
    <w:rPr>
      <w:sz w:val="24"/>
      <w:szCs w:val="20"/>
    </w:rPr>
  </w:style>
  <w:style w:type="paragraph" w:styleId="16">
    <w:name w:val="caption"/>
    <w:basedOn w:val="1"/>
    <w:next w:val="1"/>
    <w:qFormat/>
    <w:uiPriority w:val="0"/>
    <w:pPr>
      <w:spacing w:line="360" w:lineRule="auto"/>
      <w:jc w:val="left"/>
    </w:pPr>
    <w:rPr>
      <w:rFonts w:ascii="Arial" w:hAnsi="Arial" w:eastAsia="黑体" w:cs="Arial"/>
      <w:sz w:val="20"/>
      <w:szCs w:val="20"/>
    </w:rPr>
  </w:style>
  <w:style w:type="paragraph" w:styleId="17">
    <w:name w:val="List Bullet"/>
    <w:basedOn w:val="1"/>
    <w:qFormat/>
    <w:uiPriority w:val="0"/>
    <w:pPr>
      <w:tabs>
        <w:tab w:val="left" w:pos="360"/>
      </w:tabs>
      <w:ind w:left="360" w:hanging="360" w:hangingChars="200"/>
    </w:pPr>
    <w:rPr>
      <w:rFonts w:ascii="宋体"/>
      <w:sz w:val="24"/>
    </w:rPr>
  </w:style>
  <w:style w:type="paragraph" w:styleId="18">
    <w:name w:val="Document Map"/>
    <w:basedOn w:val="1"/>
    <w:link w:val="92"/>
    <w:qFormat/>
    <w:uiPriority w:val="99"/>
    <w:pPr>
      <w:shd w:val="clear" w:color="auto" w:fill="000080"/>
    </w:pPr>
  </w:style>
  <w:style w:type="paragraph" w:styleId="19">
    <w:name w:val="annotation text"/>
    <w:basedOn w:val="1"/>
    <w:link w:val="87"/>
    <w:qFormat/>
    <w:uiPriority w:val="99"/>
    <w:pPr>
      <w:jc w:val="left"/>
    </w:pPr>
  </w:style>
  <w:style w:type="paragraph" w:styleId="20">
    <w:name w:val="Salutation"/>
    <w:basedOn w:val="1"/>
    <w:next w:val="1"/>
    <w:link w:val="93"/>
    <w:qFormat/>
    <w:uiPriority w:val="0"/>
    <w:rPr>
      <w:rFonts w:ascii="宋体" w:hAnsi="宋体"/>
      <w:sz w:val="28"/>
      <w:szCs w:val="28"/>
      <w:lang w:val="zh-CN"/>
    </w:rPr>
  </w:style>
  <w:style w:type="paragraph" w:styleId="21">
    <w:name w:val="Body Text 3"/>
    <w:basedOn w:val="1"/>
    <w:link w:val="94"/>
    <w:qFormat/>
    <w:uiPriority w:val="0"/>
    <w:pPr>
      <w:spacing w:after="120"/>
    </w:pPr>
    <w:rPr>
      <w:kern w:val="0"/>
      <w:sz w:val="16"/>
      <w:szCs w:val="20"/>
    </w:rPr>
  </w:style>
  <w:style w:type="paragraph" w:styleId="22">
    <w:name w:val="List Bullet 3"/>
    <w:basedOn w:val="1"/>
    <w:qFormat/>
    <w:uiPriority w:val="0"/>
    <w:pPr>
      <w:tabs>
        <w:tab w:val="left" w:pos="1202"/>
      </w:tabs>
      <w:ind w:left="1202" w:hanging="720"/>
    </w:pPr>
    <w:rPr>
      <w:sz w:val="24"/>
    </w:rPr>
  </w:style>
  <w:style w:type="paragraph" w:styleId="23">
    <w:name w:val="Body Text"/>
    <w:basedOn w:val="1"/>
    <w:link w:val="89"/>
    <w:qFormat/>
    <w:uiPriority w:val="1"/>
    <w:pPr>
      <w:spacing w:after="120"/>
    </w:pPr>
  </w:style>
  <w:style w:type="paragraph" w:styleId="24">
    <w:name w:val="Body Text Indent"/>
    <w:basedOn w:val="1"/>
    <w:link w:val="95"/>
    <w:qFormat/>
    <w:uiPriority w:val="0"/>
    <w:pPr>
      <w:spacing w:after="120" w:line="360" w:lineRule="auto"/>
      <w:ind w:left="420" w:leftChars="200"/>
      <w:jc w:val="left"/>
    </w:pPr>
    <w:rPr>
      <w:sz w:val="28"/>
    </w:rPr>
  </w:style>
  <w:style w:type="paragraph" w:styleId="25">
    <w:name w:val="Block Text"/>
    <w:basedOn w:val="1"/>
    <w:qFormat/>
    <w:uiPriority w:val="0"/>
    <w:pPr>
      <w:spacing w:line="300" w:lineRule="exact"/>
      <w:ind w:left="-109" w:leftChars="-52" w:right="-92" w:rightChars="-44" w:firstLine="1"/>
    </w:pPr>
    <w:rPr>
      <w:rFonts w:ascii="宋体" w:hAnsi="宋体"/>
      <w:bCs/>
      <w:w w:val="90"/>
      <w:sz w:val="24"/>
    </w:rPr>
  </w:style>
  <w:style w:type="paragraph" w:styleId="26">
    <w:name w:val="toc 5"/>
    <w:basedOn w:val="1"/>
    <w:next w:val="1"/>
    <w:qFormat/>
    <w:uiPriority w:val="39"/>
    <w:pPr>
      <w:ind w:left="1680" w:leftChars="800"/>
    </w:pPr>
  </w:style>
  <w:style w:type="paragraph" w:styleId="27">
    <w:name w:val="toc 3"/>
    <w:basedOn w:val="1"/>
    <w:next w:val="1"/>
    <w:qFormat/>
    <w:uiPriority w:val="39"/>
    <w:pPr>
      <w:ind w:left="840" w:leftChars="400"/>
    </w:pPr>
  </w:style>
  <w:style w:type="paragraph" w:styleId="28">
    <w:name w:val="Plain Text"/>
    <w:basedOn w:val="1"/>
    <w:link w:val="96"/>
    <w:qFormat/>
    <w:uiPriority w:val="99"/>
    <w:rPr>
      <w:rFonts w:ascii="宋体" w:hAnsi="Courier New"/>
    </w:rPr>
  </w:style>
  <w:style w:type="paragraph" w:styleId="29">
    <w:name w:val="toc 8"/>
    <w:basedOn w:val="1"/>
    <w:next w:val="1"/>
    <w:qFormat/>
    <w:uiPriority w:val="39"/>
    <w:pPr>
      <w:ind w:left="2940" w:leftChars="1400"/>
    </w:pPr>
  </w:style>
  <w:style w:type="paragraph" w:styleId="30">
    <w:name w:val="Date"/>
    <w:basedOn w:val="1"/>
    <w:next w:val="1"/>
    <w:link w:val="97"/>
    <w:qFormat/>
    <w:uiPriority w:val="99"/>
    <w:pPr>
      <w:ind w:left="100" w:leftChars="2500"/>
    </w:pPr>
  </w:style>
  <w:style w:type="paragraph" w:styleId="31">
    <w:name w:val="Body Text Indent 2"/>
    <w:basedOn w:val="1"/>
    <w:link w:val="98"/>
    <w:qFormat/>
    <w:uiPriority w:val="0"/>
    <w:pPr>
      <w:ind w:firstLine="538" w:firstLineChars="192"/>
    </w:pPr>
    <w:rPr>
      <w:rFonts w:ascii="Calibri" w:hAnsi="Calibri"/>
      <w:sz w:val="28"/>
      <w:szCs w:val="22"/>
    </w:rPr>
  </w:style>
  <w:style w:type="paragraph" w:styleId="32">
    <w:name w:val="endnote text"/>
    <w:basedOn w:val="1"/>
    <w:link w:val="99"/>
    <w:qFormat/>
    <w:uiPriority w:val="0"/>
    <w:pPr>
      <w:snapToGrid w:val="0"/>
      <w:jc w:val="left"/>
    </w:pPr>
  </w:style>
  <w:style w:type="paragraph" w:styleId="33">
    <w:name w:val="Balloon Text"/>
    <w:basedOn w:val="1"/>
    <w:link w:val="100"/>
    <w:qFormat/>
    <w:uiPriority w:val="99"/>
    <w:rPr>
      <w:rFonts w:ascii="宋体" w:hAnsi="宋体"/>
      <w:kern w:val="0"/>
      <w:sz w:val="18"/>
      <w:szCs w:val="18"/>
    </w:rPr>
  </w:style>
  <w:style w:type="paragraph" w:styleId="34">
    <w:name w:val="footer"/>
    <w:basedOn w:val="1"/>
    <w:link w:val="101"/>
    <w:qFormat/>
    <w:uiPriority w:val="99"/>
    <w:pPr>
      <w:tabs>
        <w:tab w:val="center" w:pos="4153"/>
        <w:tab w:val="right" w:pos="8306"/>
      </w:tabs>
      <w:snapToGrid w:val="0"/>
      <w:jc w:val="left"/>
    </w:pPr>
    <w:rPr>
      <w:sz w:val="18"/>
    </w:rPr>
  </w:style>
  <w:style w:type="paragraph" w:styleId="35">
    <w:name w:val="header"/>
    <w:basedOn w:val="1"/>
    <w:link w:val="10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6">
    <w:name w:val="toc 1"/>
    <w:basedOn w:val="1"/>
    <w:next w:val="1"/>
    <w:qFormat/>
    <w:uiPriority w:val="39"/>
  </w:style>
  <w:style w:type="paragraph" w:styleId="37">
    <w:name w:val="toc 4"/>
    <w:basedOn w:val="1"/>
    <w:next w:val="1"/>
    <w:qFormat/>
    <w:uiPriority w:val="39"/>
    <w:pPr>
      <w:ind w:left="1260" w:leftChars="600"/>
    </w:pPr>
  </w:style>
  <w:style w:type="paragraph" w:styleId="38">
    <w:name w:val="Subtitle"/>
    <w:basedOn w:val="1"/>
    <w:next w:val="1"/>
    <w:link w:val="104"/>
    <w:qFormat/>
    <w:uiPriority w:val="0"/>
    <w:pPr>
      <w:widowControl/>
      <w:spacing w:after="200" w:line="276" w:lineRule="auto"/>
      <w:jc w:val="left"/>
    </w:pPr>
    <w:rPr>
      <w:rFonts w:ascii="Cambria" w:hAnsi="Cambria"/>
      <w:i/>
      <w:iCs/>
      <w:color w:val="4F81BD"/>
      <w:spacing w:val="15"/>
      <w:kern w:val="0"/>
      <w:sz w:val="24"/>
      <w:lang w:eastAsia="en-US"/>
    </w:rPr>
  </w:style>
  <w:style w:type="paragraph" w:styleId="39">
    <w:name w:val="List"/>
    <w:basedOn w:val="1"/>
    <w:link w:val="309"/>
    <w:qFormat/>
    <w:uiPriority w:val="0"/>
    <w:pPr>
      <w:ind w:left="200" w:hanging="200" w:hangingChars="200"/>
    </w:pPr>
    <w:rPr>
      <w:rFonts w:ascii="宋体"/>
      <w:sz w:val="28"/>
      <w:szCs w:val="20"/>
    </w:rPr>
  </w:style>
  <w:style w:type="paragraph" w:styleId="40">
    <w:name w:val="footnote text"/>
    <w:basedOn w:val="1"/>
    <w:link w:val="105"/>
    <w:qFormat/>
    <w:uiPriority w:val="0"/>
    <w:pPr>
      <w:snapToGrid w:val="0"/>
      <w:jc w:val="left"/>
    </w:pPr>
    <w:rPr>
      <w:sz w:val="18"/>
      <w:szCs w:val="18"/>
    </w:rPr>
  </w:style>
  <w:style w:type="paragraph" w:styleId="41">
    <w:name w:val="toc 6"/>
    <w:basedOn w:val="1"/>
    <w:next w:val="1"/>
    <w:qFormat/>
    <w:uiPriority w:val="39"/>
    <w:pPr>
      <w:ind w:left="2100" w:leftChars="1000"/>
    </w:pPr>
  </w:style>
  <w:style w:type="paragraph" w:styleId="42">
    <w:name w:val="Body Text Indent 3"/>
    <w:basedOn w:val="1"/>
    <w:link w:val="106"/>
    <w:qFormat/>
    <w:uiPriority w:val="0"/>
    <w:pPr>
      <w:spacing w:after="120" w:line="360" w:lineRule="auto"/>
      <w:ind w:left="420" w:leftChars="200"/>
      <w:jc w:val="left"/>
    </w:pPr>
    <w:rPr>
      <w:sz w:val="16"/>
      <w:szCs w:val="16"/>
    </w:rPr>
  </w:style>
  <w:style w:type="paragraph" w:styleId="43">
    <w:name w:val="table of figures"/>
    <w:basedOn w:val="1"/>
    <w:next w:val="1"/>
    <w:qFormat/>
    <w:uiPriority w:val="0"/>
    <w:pPr>
      <w:ind w:left="840" w:hanging="420"/>
    </w:pPr>
  </w:style>
  <w:style w:type="paragraph" w:styleId="44">
    <w:name w:val="toc 2"/>
    <w:basedOn w:val="1"/>
    <w:next w:val="1"/>
    <w:qFormat/>
    <w:uiPriority w:val="39"/>
    <w:pPr>
      <w:ind w:left="420" w:leftChars="200"/>
    </w:pPr>
  </w:style>
  <w:style w:type="paragraph" w:styleId="45">
    <w:name w:val="toc 9"/>
    <w:basedOn w:val="1"/>
    <w:next w:val="1"/>
    <w:qFormat/>
    <w:uiPriority w:val="39"/>
    <w:pPr>
      <w:ind w:left="3360" w:leftChars="1600"/>
    </w:pPr>
  </w:style>
  <w:style w:type="paragraph" w:styleId="46">
    <w:name w:val="Body Text 2"/>
    <w:basedOn w:val="1"/>
    <w:link w:val="107"/>
    <w:qFormat/>
    <w:uiPriority w:val="0"/>
    <w:pPr>
      <w:spacing w:after="120" w:line="480" w:lineRule="auto"/>
    </w:pPr>
  </w:style>
  <w:style w:type="paragraph" w:styleId="47">
    <w:name w:val="List Continue 2"/>
    <w:basedOn w:val="1"/>
    <w:qFormat/>
    <w:locked/>
    <w:uiPriority w:val="0"/>
    <w:pPr>
      <w:spacing w:after="120"/>
      <w:ind w:left="840" w:leftChars="400"/>
    </w:pPr>
    <w:rPr>
      <w:color w:val="000000"/>
      <w:szCs w:val="20"/>
    </w:rPr>
  </w:style>
  <w:style w:type="paragraph" w:styleId="48">
    <w:name w:val="HTML Preformatted"/>
    <w:basedOn w:val="1"/>
    <w:link w:val="10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50">
    <w:name w:val="index 1"/>
    <w:basedOn w:val="1"/>
    <w:next w:val="1"/>
    <w:qFormat/>
    <w:uiPriority w:val="0"/>
    <w:pPr>
      <w:jc w:val="center"/>
    </w:pPr>
    <w:rPr>
      <w:color w:val="0000FF"/>
    </w:rPr>
  </w:style>
  <w:style w:type="paragraph" w:styleId="51">
    <w:name w:val="Title"/>
    <w:basedOn w:val="1"/>
    <w:next w:val="1"/>
    <w:link w:val="109"/>
    <w:qFormat/>
    <w:uiPriority w:val="0"/>
    <w:pPr>
      <w:spacing w:beforeLines="50" w:after="100" w:afterAutospacing="1" w:line="600" w:lineRule="exact"/>
      <w:jc w:val="center"/>
    </w:pPr>
    <w:rPr>
      <w:b/>
      <w:sz w:val="32"/>
      <w:szCs w:val="32"/>
    </w:rPr>
  </w:style>
  <w:style w:type="paragraph" w:styleId="52">
    <w:name w:val="annotation subject"/>
    <w:basedOn w:val="19"/>
    <w:next w:val="19"/>
    <w:link w:val="88"/>
    <w:qFormat/>
    <w:uiPriority w:val="99"/>
    <w:pPr>
      <w:spacing w:line="360" w:lineRule="auto"/>
    </w:pPr>
    <w:rPr>
      <w:rFonts w:ascii="Calibri" w:hAnsi="Calibri"/>
      <w:b/>
      <w:bCs/>
      <w:sz w:val="28"/>
      <w:szCs w:val="22"/>
    </w:rPr>
  </w:style>
  <w:style w:type="paragraph" w:styleId="53">
    <w:name w:val="Body Text First Indent"/>
    <w:basedOn w:val="23"/>
    <w:link w:val="90"/>
    <w:qFormat/>
    <w:uiPriority w:val="0"/>
    <w:pPr>
      <w:spacing w:after="0" w:line="540" w:lineRule="exact"/>
      <w:ind w:firstLine="420" w:firstLineChars="100"/>
      <w:jc w:val="left"/>
    </w:pPr>
    <w:rPr>
      <w:spacing w:val="6"/>
      <w:sz w:val="32"/>
    </w:rPr>
  </w:style>
  <w:style w:type="paragraph" w:styleId="54">
    <w:name w:val="Body Text First Indent 2"/>
    <w:basedOn w:val="24"/>
    <w:link w:val="102"/>
    <w:qFormat/>
    <w:uiPriority w:val="0"/>
    <w:pPr>
      <w:spacing w:before="120"/>
      <w:ind w:firstLine="420" w:firstLineChars="200"/>
      <w:jc w:val="both"/>
    </w:pPr>
    <w:rPr>
      <w:sz w:val="24"/>
      <w:szCs w:val="22"/>
    </w:rPr>
  </w:style>
  <w:style w:type="table" w:styleId="56">
    <w:name w:val="Table Grid"/>
    <w:basedOn w:val="5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7">
    <w:name w:val="Table Theme"/>
    <w:basedOn w:val="5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8">
    <w:name w:val="Table Colorful 1"/>
    <w:basedOn w:val="55"/>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blPr/>
      <w:tcPr>
        <w:tcBorders>
          <w:top w:val="nil"/>
          <w:left w:val="nil"/>
          <w:bottom w:val="nil"/>
          <w:right w:val="nil"/>
          <w:insideH w:val="nil"/>
          <w:insideV w:val="nil"/>
          <w:tl2br w:val="nil"/>
          <w:tr2bl w:val="nil"/>
        </w:tcBorders>
        <w:shd w:val="solid" w:color="000080" w:fill="FFFFFF"/>
      </w:tcPr>
    </w:tblStylePr>
    <w:tblStylePr w:type="nwCell">
      <w:rPr>
        <w:rFonts w:cs="Times New Roman"/>
      </w:rPr>
      <w:tbl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59">
    <w:name w:val="Table Elegant"/>
    <w:basedOn w:val="55"/>
    <w:qFormat/>
    <w:uiPriority w:val="99"/>
    <w:pPr>
      <w:widowControl w:val="0"/>
      <w:jc w:val="both"/>
    </w:pPr>
    <w:tblP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0">
    <w:name w:val="Table Classic 1"/>
    <w:basedOn w:val="55"/>
    <w:qFormat/>
    <w:uiPriority w:val="99"/>
    <w:pPr>
      <w:widowControl w:val="0"/>
      <w:jc w:val="both"/>
    </w:pPr>
    <w:tblPr>
      <w:tblBorders>
        <w:top w:val="single" w:color="auto" w:sz="12" w:space="0"/>
        <w:bottom w:val="single" w:color="auto" w:sz="12" w:space="0"/>
      </w:tblBorders>
      <w:tblCellMar>
        <w:top w:w="0" w:type="dxa"/>
        <w:left w:w="108" w:type="dxa"/>
        <w:bottom w:w="0" w:type="dxa"/>
        <w:right w:w="108" w:type="dxa"/>
      </w:tblCellMar>
    </w:tblPr>
    <w:tblStylePr w:type="firstRow">
      <w:rPr>
        <w:rFonts w:cs="Times New Roman"/>
        <w:i/>
        <w:iCs/>
      </w:rPr>
      <w:tblPr/>
      <w:tcPr>
        <w:tcBorders>
          <w:top w:val="nil"/>
          <w:left w:val="nil"/>
          <w:bottom w:val="single" w:color="auto" w:sz="6" w:space="0"/>
          <w:right w:val="nil"/>
          <w:insideH w:val="nil"/>
          <w:insideV w:val="nil"/>
          <w:tl2br w:val="nil"/>
          <w:tr2bl w:val="nil"/>
        </w:tcBorders>
      </w:tcPr>
    </w:tblStylePr>
    <w:tblStylePr w:type="lastRow">
      <w:rPr>
        <w:rFonts w:cs="Times New Roman"/>
        <w:color w:val="auto"/>
      </w:rPr>
      <w:tblPr/>
      <w:tcPr>
        <w:tcBorders>
          <w:top w:val="single" w:color="auto" w:sz="6" w:space="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auto" w:sz="6" w:space="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61">
    <w:name w:val="Table Simple 1"/>
    <w:basedOn w:val="55"/>
    <w:qFormat/>
    <w:uiPriority w:val="99"/>
    <w:pPr>
      <w:widowControl w:val="0"/>
      <w:jc w:val="both"/>
    </w:pPr>
    <w:tblPr>
      <w:tblBorders>
        <w:top w:val="single" w:color="008000" w:sz="12" w:space="0"/>
        <w:bottom w:val="single" w:color="008000" w:sz="12" w:space="0"/>
      </w:tblBorders>
      <w:tblCellMar>
        <w:top w:w="0" w:type="dxa"/>
        <w:left w:w="108" w:type="dxa"/>
        <w:bottom w:w="0" w:type="dxa"/>
        <w:right w:w="108" w:type="dxa"/>
      </w:tblCellMar>
    </w:tblPr>
    <w:tblStylePr w:type="firstRow">
      <w:rPr>
        <w:rFonts w:cs="Times New Roman"/>
      </w:rPr>
      <w:tblPr/>
      <w:tcPr>
        <w:tcBorders>
          <w:top w:val="nil"/>
          <w:left w:val="nil"/>
          <w:bottom w:val="single" w:color="008000" w:sz="6" w:space="0"/>
          <w:right w:val="nil"/>
          <w:insideH w:val="nil"/>
          <w:insideV w:val="nil"/>
          <w:tl2br w:val="nil"/>
          <w:tr2bl w:val="nil"/>
        </w:tcBorders>
      </w:tcPr>
    </w:tblStylePr>
    <w:tblStylePr w:type="lastRow">
      <w:rPr>
        <w:rFonts w:cs="Times New Roman"/>
      </w:rPr>
      <w:tblPr/>
      <w:tcPr>
        <w:tcBorders>
          <w:top w:val="single" w:color="008000" w:sz="6" w:space="0"/>
          <w:left w:val="nil"/>
          <w:bottom w:val="nil"/>
          <w:right w:val="nil"/>
          <w:insideH w:val="nil"/>
          <w:insideV w:val="nil"/>
          <w:tl2br w:val="nil"/>
          <w:tr2bl w:val="nil"/>
        </w:tcBorders>
      </w:tcPr>
    </w:tblStylePr>
  </w:style>
  <w:style w:type="table" w:styleId="62">
    <w:name w:val="Table List 2"/>
    <w:basedOn w:val="55"/>
    <w:qFormat/>
    <w:uiPriority w:val="99"/>
    <w:pPr>
      <w:widowControl w:val="0"/>
      <w:jc w:val="both"/>
    </w:pPr>
    <w:tblPr>
      <w:tblBorders>
        <w:bottom w:val="single" w:color="808080" w:sz="12"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color="auto" w:sz="6" w:space="0"/>
          <w:right w:val="nil"/>
          <w:insideH w:val="nil"/>
          <w:insideV w:val="nil"/>
          <w:tl2br w:val="nil"/>
          <w:tr2bl w:val="nil"/>
        </w:tcBorders>
        <w:shd w:val="pct75" w:color="008080" w:fill="008000"/>
      </w:tcPr>
    </w:tblStylePr>
    <w:tblStylePr w:type="lastRow">
      <w:rPr>
        <w:rFonts w:cs="Times New Roman"/>
      </w:rPr>
      <w:tblPr/>
      <w:tcPr>
        <w:tcBorders>
          <w:top w:val="single" w:color="auto" w:sz="6" w:space="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63">
    <w:name w:val="Table Grid 7"/>
    <w:basedOn w:val="55"/>
    <w:qFormat/>
    <w:uiPriority w:val="99"/>
    <w:pPr>
      <w:widowControl w:val="0"/>
      <w:jc w:val="both"/>
    </w:pPr>
    <w:rPr>
      <w:b/>
      <w:bCs/>
    </w:r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tblStylePr w:type="firstRow">
      <w:rPr>
        <w:rFonts w:cs="Times New Roman"/>
        <w:b w:val="0"/>
        <w:bCs w:val="0"/>
      </w:rPr>
      <w:tblPr/>
      <w:tcPr>
        <w:tcBorders>
          <w:top w:val="nil"/>
          <w:left w:val="nil"/>
          <w:bottom w:val="single" w:color="auto" w:sz="12" w:space="0"/>
          <w:right w:val="nil"/>
          <w:insideH w:val="nil"/>
          <w:insideV w:val="nil"/>
          <w:tl2br w:val="nil"/>
          <w:tr2bl w:val="nil"/>
        </w:tcBorders>
      </w:tcPr>
    </w:tblStylePr>
    <w:tblStylePr w:type="lastRow">
      <w:rPr>
        <w:rFonts w:cs="Times New Roman"/>
        <w:b w:val="0"/>
        <w:bCs w:val="0"/>
      </w:rPr>
      <w:tblPr/>
      <w:tcPr>
        <w:tcBorders>
          <w:top w:val="single" w:color="auto" w:sz="6" w:space="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auto" w:sz="6" w:space="0"/>
          <w:tr2bl w:val="nil"/>
        </w:tcBorders>
      </w:tcPr>
    </w:tblStylePr>
  </w:style>
  <w:style w:type="character" w:styleId="65">
    <w:name w:val="Strong"/>
    <w:basedOn w:val="64"/>
    <w:qFormat/>
    <w:uiPriority w:val="22"/>
    <w:rPr>
      <w:rFonts w:ascii="Times New Roman" w:hAnsi="Times New Roman" w:eastAsia="宋体" w:cs="Times New Roman"/>
      <w:b/>
    </w:rPr>
  </w:style>
  <w:style w:type="character" w:styleId="66">
    <w:name w:val="endnote reference"/>
    <w:basedOn w:val="64"/>
    <w:qFormat/>
    <w:uiPriority w:val="0"/>
    <w:rPr>
      <w:rFonts w:ascii="宋体" w:hAnsi="宋体" w:eastAsia="宋体" w:cs="Times New Roman"/>
      <w:kern w:val="2"/>
      <w:sz w:val="24"/>
      <w:vertAlign w:val="superscript"/>
      <w:lang w:val="en-US" w:eastAsia="zh-CN"/>
    </w:rPr>
  </w:style>
  <w:style w:type="character" w:styleId="67">
    <w:name w:val="page number"/>
    <w:basedOn w:val="64"/>
    <w:qFormat/>
    <w:uiPriority w:val="99"/>
    <w:rPr>
      <w:rFonts w:ascii="Times New Roman" w:hAnsi="Times New Roman" w:eastAsia="宋体" w:cs="Times New Roman"/>
    </w:rPr>
  </w:style>
  <w:style w:type="character" w:styleId="68">
    <w:name w:val="FollowedHyperlink"/>
    <w:basedOn w:val="64"/>
    <w:qFormat/>
    <w:uiPriority w:val="99"/>
    <w:rPr>
      <w:rFonts w:ascii="Times New Roman" w:hAnsi="Times New Roman" w:eastAsia="宋体" w:cs="Times New Roman"/>
      <w:color w:val="954F72"/>
      <w:u w:val="single"/>
    </w:rPr>
  </w:style>
  <w:style w:type="character" w:styleId="69">
    <w:name w:val="Emphasis"/>
    <w:basedOn w:val="64"/>
    <w:qFormat/>
    <w:uiPriority w:val="20"/>
    <w:rPr>
      <w:rFonts w:ascii="Times New Roman" w:hAnsi="Times New Roman" w:eastAsia="宋体" w:cs="Times New Roman"/>
      <w:i/>
    </w:rPr>
  </w:style>
  <w:style w:type="character" w:styleId="70">
    <w:name w:val="HTML Definition"/>
    <w:basedOn w:val="64"/>
    <w:qFormat/>
    <w:locked/>
    <w:uiPriority w:val="0"/>
  </w:style>
  <w:style w:type="character" w:styleId="71">
    <w:name w:val="HTML Acronym"/>
    <w:basedOn w:val="64"/>
    <w:qFormat/>
    <w:locked/>
    <w:uiPriority w:val="0"/>
  </w:style>
  <w:style w:type="character" w:styleId="72">
    <w:name w:val="HTML Variable"/>
    <w:basedOn w:val="64"/>
    <w:qFormat/>
    <w:locked/>
    <w:uiPriority w:val="0"/>
  </w:style>
  <w:style w:type="character" w:styleId="73">
    <w:name w:val="Hyperlink"/>
    <w:basedOn w:val="64"/>
    <w:qFormat/>
    <w:uiPriority w:val="99"/>
    <w:rPr>
      <w:rFonts w:ascii="Times New Roman" w:hAnsi="Times New Roman" w:eastAsia="宋体" w:cs="Times New Roman"/>
      <w:color w:val="0000FF"/>
      <w:u w:val="single"/>
    </w:rPr>
  </w:style>
  <w:style w:type="character" w:styleId="74">
    <w:name w:val="HTML Code"/>
    <w:basedOn w:val="64"/>
    <w:qFormat/>
    <w:locked/>
    <w:uiPriority w:val="0"/>
    <w:rPr>
      <w:rFonts w:ascii="Courier New" w:hAnsi="Courier New"/>
      <w:sz w:val="20"/>
    </w:rPr>
  </w:style>
  <w:style w:type="character" w:styleId="75">
    <w:name w:val="annotation reference"/>
    <w:basedOn w:val="64"/>
    <w:qFormat/>
    <w:uiPriority w:val="99"/>
    <w:rPr>
      <w:rFonts w:ascii="Times New Roman" w:hAnsi="Times New Roman" w:eastAsia="宋体" w:cs="Times New Roman"/>
      <w:sz w:val="21"/>
    </w:rPr>
  </w:style>
  <w:style w:type="character" w:styleId="76">
    <w:name w:val="HTML Cite"/>
    <w:basedOn w:val="64"/>
    <w:unhideWhenUsed/>
    <w:qFormat/>
    <w:locked/>
    <w:uiPriority w:val="0"/>
    <w:rPr>
      <w:i/>
    </w:rPr>
  </w:style>
  <w:style w:type="character" w:styleId="77">
    <w:name w:val="footnote reference"/>
    <w:basedOn w:val="64"/>
    <w:qFormat/>
    <w:uiPriority w:val="0"/>
    <w:rPr>
      <w:rFonts w:ascii="Times New Roman" w:hAnsi="Times New Roman" w:eastAsia="宋体" w:cs="Times New Roman"/>
      <w:vertAlign w:val="superscript"/>
    </w:rPr>
  </w:style>
  <w:style w:type="character" w:customStyle="1" w:styleId="78">
    <w:name w:val="标题 1 Char"/>
    <w:basedOn w:val="64"/>
    <w:link w:val="2"/>
    <w:qFormat/>
    <w:locked/>
    <w:uiPriority w:val="9"/>
    <w:rPr>
      <w:rFonts w:ascii="Times New Roman" w:hAnsi="Times New Roman" w:cs="Times New Roman"/>
      <w:b/>
      <w:kern w:val="44"/>
      <w:sz w:val="28"/>
      <w:szCs w:val="32"/>
    </w:rPr>
  </w:style>
  <w:style w:type="character" w:customStyle="1" w:styleId="79">
    <w:name w:val="标题 2 Char"/>
    <w:basedOn w:val="64"/>
    <w:link w:val="3"/>
    <w:qFormat/>
    <w:locked/>
    <w:uiPriority w:val="9"/>
    <w:rPr>
      <w:rFonts w:ascii="Arial" w:hAnsi="Arial" w:cs="Times New Roman"/>
      <w:b/>
      <w:bCs/>
      <w:kern w:val="2"/>
      <w:sz w:val="21"/>
      <w:szCs w:val="32"/>
    </w:rPr>
  </w:style>
  <w:style w:type="character" w:customStyle="1" w:styleId="80">
    <w:name w:val="标题 3 Char"/>
    <w:basedOn w:val="64"/>
    <w:link w:val="4"/>
    <w:qFormat/>
    <w:locked/>
    <w:uiPriority w:val="0"/>
    <w:rPr>
      <w:rFonts w:ascii="Times New Roman" w:hAnsi="Times New Roman" w:eastAsia="宋体" w:cs="Times New Roman"/>
      <w:b/>
      <w:kern w:val="2"/>
      <w:sz w:val="24"/>
    </w:rPr>
  </w:style>
  <w:style w:type="character" w:customStyle="1" w:styleId="81">
    <w:name w:val="标题 4 Char"/>
    <w:basedOn w:val="64"/>
    <w:link w:val="5"/>
    <w:qFormat/>
    <w:locked/>
    <w:uiPriority w:val="0"/>
    <w:rPr>
      <w:rFonts w:ascii="Arial" w:hAnsi="Times New Roman" w:eastAsia="黑体" w:cs="Times New Roman"/>
      <w:kern w:val="2"/>
      <w:sz w:val="24"/>
    </w:rPr>
  </w:style>
  <w:style w:type="character" w:customStyle="1" w:styleId="82">
    <w:name w:val="标题 5 Char"/>
    <w:basedOn w:val="64"/>
    <w:link w:val="6"/>
    <w:qFormat/>
    <w:locked/>
    <w:uiPriority w:val="0"/>
    <w:rPr>
      <w:rFonts w:ascii="Times New Roman" w:hAnsi="Times New Roman" w:eastAsia="宋体" w:cs="Times New Roman"/>
      <w:b/>
      <w:kern w:val="2"/>
      <w:sz w:val="28"/>
    </w:rPr>
  </w:style>
  <w:style w:type="character" w:customStyle="1" w:styleId="83">
    <w:name w:val="标题 6 Char"/>
    <w:basedOn w:val="64"/>
    <w:link w:val="7"/>
    <w:qFormat/>
    <w:locked/>
    <w:uiPriority w:val="0"/>
    <w:rPr>
      <w:rFonts w:ascii="Arial" w:hAnsi="Arial" w:eastAsia="黑体" w:cs="Times New Roman"/>
      <w:b/>
      <w:sz w:val="24"/>
    </w:rPr>
  </w:style>
  <w:style w:type="character" w:customStyle="1" w:styleId="84">
    <w:name w:val="标题 7 Char"/>
    <w:basedOn w:val="64"/>
    <w:link w:val="8"/>
    <w:qFormat/>
    <w:locked/>
    <w:uiPriority w:val="0"/>
    <w:rPr>
      <w:rFonts w:ascii="Times New Roman" w:hAnsi="Times New Roman" w:eastAsia="宋体" w:cs="Times New Roman"/>
      <w:b/>
      <w:sz w:val="24"/>
    </w:rPr>
  </w:style>
  <w:style w:type="character" w:customStyle="1" w:styleId="85">
    <w:name w:val="标题 8 Char"/>
    <w:basedOn w:val="64"/>
    <w:link w:val="9"/>
    <w:qFormat/>
    <w:locked/>
    <w:uiPriority w:val="0"/>
    <w:rPr>
      <w:rFonts w:ascii="Arial" w:hAnsi="Arial" w:eastAsia="黑体" w:cs="Times New Roman"/>
      <w:sz w:val="24"/>
    </w:rPr>
  </w:style>
  <w:style w:type="character" w:customStyle="1" w:styleId="86">
    <w:name w:val="标题 9 Char"/>
    <w:basedOn w:val="64"/>
    <w:link w:val="10"/>
    <w:qFormat/>
    <w:locked/>
    <w:uiPriority w:val="0"/>
    <w:rPr>
      <w:rFonts w:ascii="Arial" w:hAnsi="Arial" w:eastAsia="黑体" w:cs="Times New Roman"/>
      <w:sz w:val="21"/>
    </w:rPr>
  </w:style>
  <w:style w:type="character" w:customStyle="1" w:styleId="87">
    <w:name w:val="批注文字 Char"/>
    <w:basedOn w:val="64"/>
    <w:link w:val="19"/>
    <w:qFormat/>
    <w:locked/>
    <w:uiPriority w:val="99"/>
    <w:rPr>
      <w:rFonts w:ascii="Times New Roman" w:hAnsi="Times New Roman" w:eastAsia="宋体" w:cs="Times New Roman"/>
      <w:kern w:val="2"/>
      <w:sz w:val="24"/>
    </w:rPr>
  </w:style>
  <w:style w:type="character" w:customStyle="1" w:styleId="88">
    <w:name w:val="批注主题 Char"/>
    <w:basedOn w:val="87"/>
    <w:link w:val="52"/>
    <w:qFormat/>
    <w:locked/>
    <w:uiPriority w:val="99"/>
    <w:rPr>
      <w:rFonts w:ascii="Calibri" w:hAnsi="Calibri" w:eastAsia="宋体" w:cs="Times New Roman"/>
      <w:b/>
      <w:kern w:val="2"/>
      <w:sz w:val="22"/>
    </w:rPr>
  </w:style>
  <w:style w:type="character" w:customStyle="1" w:styleId="89">
    <w:name w:val="正文文本 Char"/>
    <w:basedOn w:val="64"/>
    <w:link w:val="23"/>
    <w:qFormat/>
    <w:locked/>
    <w:uiPriority w:val="1"/>
    <w:rPr>
      <w:rFonts w:ascii="Times New Roman" w:hAnsi="Times New Roman" w:eastAsia="宋体" w:cs="Times New Roman"/>
      <w:kern w:val="2"/>
      <w:sz w:val="24"/>
    </w:rPr>
  </w:style>
  <w:style w:type="character" w:customStyle="1" w:styleId="90">
    <w:name w:val="正文首行缩进 Char"/>
    <w:basedOn w:val="89"/>
    <w:link w:val="53"/>
    <w:qFormat/>
    <w:locked/>
    <w:uiPriority w:val="0"/>
    <w:rPr>
      <w:rFonts w:ascii="Times New Roman" w:hAnsi="Times New Roman" w:eastAsia="宋体" w:cs="Times New Roman"/>
      <w:spacing w:val="6"/>
      <w:kern w:val="2"/>
      <w:sz w:val="24"/>
    </w:rPr>
  </w:style>
  <w:style w:type="character" w:customStyle="1" w:styleId="91">
    <w:name w:val="注释标题 Char"/>
    <w:basedOn w:val="64"/>
    <w:link w:val="13"/>
    <w:qFormat/>
    <w:locked/>
    <w:uiPriority w:val="0"/>
    <w:rPr>
      <w:rFonts w:ascii="宋体" w:hAnsi="Times New Roman" w:eastAsia="宋体" w:cs="Times New Roman"/>
      <w:kern w:val="2"/>
      <w:sz w:val="28"/>
    </w:rPr>
  </w:style>
  <w:style w:type="character" w:customStyle="1" w:styleId="92">
    <w:name w:val="文档结构图 Char"/>
    <w:basedOn w:val="64"/>
    <w:link w:val="18"/>
    <w:qFormat/>
    <w:locked/>
    <w:uiPriority w:val="99"/>
    <w:rPr>
      <w:rFonts w:ascii="Times New Roman" w:hAnsi="Times New Roman" w:eastAsia="宋体" w:cs="Times New Roman"/>
      <w:kern w:val="2"/>
      <w:sz w:val="24"/>
      <w:shd w:val="clear" w:color="auto" w:fill="000080"/>
    </w:rPr>
  </w:style>
  <w:style w:type="character" w:customStyle="1" w:styleId="93">
    <w:name w:val="称呼 Char"/>
    <w:basedOn w:val="64"/>
    <w:link w:val="20"/>
    <w:qFormat/>
    <w:locked/>
    <w:uiPriority w:val="0"/>
    <w:rPr>
      <w:rFonts w:ascii="宋体" w:hAnsi="宋体" w:eastAsia="宋体" w:cs="Times New Roman"/>
      <w:kern w:val="2"/>
      <w:sz w:val="28"/>
      <w:lang w:val="zh-CN"/>
    </w:rPr>
  </w:style>
  <w:style w:type="character" w:customStyle="1" w:styleId="94">
    <w:name w:val="正文文本 3 Char3"/>
    <w:basedOn w:val="64"/>
    <w:link w:val="21"/>
    <w:qFormat/>
    <w:locked/>
    <w:uiPriority w:val="0"/>
    <w:rPr>
      <w:rFonts w:ascii="Times New Roman" w:hAnsi="Times New Roman" w:eastAsia="宋体" w:cs="Times New Roman"/>
      <w:sz w:val="16"/>
    </w:rPr>
  </w:style>
  <w:style w:type="character" w:customStyle="1" w:styleId="95">
    <w:name w:val="正文文本缩进 Char"/>
    <w:basedOn w:val="64"/>
    <w:link w:val="24"/>
    <w:qFormat/>
    <w:locked/>
    <w:uiPriority w:val="0"/>
    <w:rPr>
      <w:rFonts w:ascii="Times New Roman" w:hAnsi="Times New Roman" w:eastAsia="宋体" w:cs="Times New Roman"/>
      <w:kern w:val="2"/>
      <w:sz w:val="24"/>
    </w:rPr>
  </w:style>
  <w:style w:type="character" w:customStyle="1" w:styleId="96">
    <w:name w:val="纯文本 Char"/>
    <w:basedOn w:val="64"/>
    <w:link w:val="28"/>
    <w:qFormat/>
    <w:locked/>
    <w:uiPriority w:val="0"/>
    <w:rPr>
      <w:rFonts w:ascii="宋体" w:hAnsi="Courier New" w:eastAsia="宋体" w:cs="Times New Roman"/>
      <w:kern w:val="2"/>
      <w:sz w:val="24"/>
    </w:rPr>
  </w:style>
  <w:style w:type="character" w:customStyle="1" w:styleId="97">
    <w:name w:val="日期 Char"/>
    <w:basedOn w:val="64"/>
    <w:link w:val="30"/>
    <w:qFormat/>
    <w:locked/>
    <w:uiPriority w:val="0"/>
    <w:rPr>
      <w:rFonts w:ascii="Times New Roman" w:hAnsi="Times New Roman" w:eastAsia="宋体" w:cs="Times New Roman"/>
      <w:kern w:val="2"/>
      <w:sz w:val="24"/>
    </w:rPr>
  </w:style>
  <w:style w:type="character" w:customStyle="1" w:styleId="98">
    <w:name w:val="正文文本缩进 2 Char1"/>
    <w:basedOn w:val="64"/>
    <w:link w:val="31"/>
    <w:qFormat/>
    <w:locked/>
    <w:uiPriority w:val="99"/>
    <w:rPr>
      <w:rFonts w:ascii="Calibri" w:hAnsi="Calibri" w:eastAsia="宋体" w:cs="Times New Roman"/>
      <w:kern w:val="2"/>
      <w:sz w:val="22"/>
    </w:rPr>
  </w:style>
  <w:style w:type="character" w:customStyle="1" w:styleId="99">
    <w:name w:val="尾注文本 Char"/>
    <w:basedOn w:val="64"/>
    <w:link w:val="32"/>
    <w:qFormat/>
    <w:locked/>
    <w:uiPriority w:val="0"/>
    <w:rPr>
      <w:rFonts w:ascii="Times New Roman" w:hAnsi="Times New Roman" w:eastAsia="宋体" w:cs="Times New Roman"/>
      <w:kern w:val="2"/>
      <w:sz w:val="24"/>
    </w:rPr>
  </w:style>
  <w:style w:type="character" w:customStyle="1" w:styleId="100">
    <w:name w:val="批注框文本 Char"/>
    <w:basedOn w:val="64"/>
    <w:link w:val="33"/>
    <w:qFormat/>
    <w:locked/>
    <w:uiPriority w:val="99"/>
    <w:rPr>
      <w:rFonts w:ascii="宋体" w:hAnsi="宋体" w:eastAsia="宋体" w:cs="Times New Roman"/>
      <w:sz w:val="18"/>
    </w:rPr>
  </w:style>
  <w:style w:type="character" w:customStyle="1" w:styleId="101">
    <w:name w:val="页脚 Char"/>
    <w:basedOn w:val="64"/>
    <w:link w:val="34"/>
    <w:qFormat/>
    <w:locked/>
    <w:uiPriority w:val="99"/>
    <w:rPr>
      <w:rFonts w:ascii="Times New Roman" w:hAnsi="Times New Roman" w:eastAsia="宋体" w:cs="Times New Roman"/>
      <w:kern w:val="2"/>
      <w:sz w:val="24"/>
    </w:rPr>
  </w:style>
  <w:style w:type="character" w:customStyle="1" w:styleId="102">
    <w:name w:val="正文首行缩进 2 Char"/>
    <w:basedOn w:val="95"/>
    <w:link w:val="54"/>
    <w:qFormat/>
    <w:locked/>
    <w:uiPriority w:val="0"/>
    <w:rPr>
      <w:rFonts w:ascii="Times New Roman" w:hAnsi="Times New Roman" w:eastAsia="宋体" w:cs="Times New Roman"/>
      <w:kern w:val="2"/>
      <w:sz w:val="22"/>
    </w:rPr>
  </w:style>
  <w:style w:type="character" w:customStyle="1" w:styleId="103">
    <w:name w:val="页眉 Char"/>
    <w:basedOn w:val="64"/>
    <w:link w:val="35"/>
    <w:qFormat/>
    <w:locked/>
    <w:uiPriority w:val="99"/>
    <w:rPr>
      <w:rFonts w:ascii="Times New Roman" w:hAnsi="Times New Roman" w:eastAsia="宋体" w:cs="Times New Roman"/>
      <w:kern w:val="2"/>
      <w:sz w:val="24"/>
    </w:rPr>
  </w:style>
  <w:style w:type="character" w:customStyle="1" w:styleId="104">
    <w:name w:val="副标题 Char"/>
    <w:basedOn w:val="64"/>
    <w:link w:val="38"/>
    <w:qFormat/>
    <w:locked/>
    <w:uiPriority w:val="0"/>
    <w:rPr>
      <w:rFonts w:ascii="Cambria" w:hAnsi="Cambria" w:eastAsia="宋体" w:cs="Times New Roman"/>
      <w:i/>
      <w:color w:val="4F81BD"/>
      <w:spacing w:val="15"/>
      <w:sz w:val="24"/>
      <w:lang w:eastAsia="en-US"/>
    </w:rPr>
  </w:style>
  <w:style w:type="character" w:customStyle="1" w:styleId="105">
    <w:name w:val="脚注文本 Char"/>
    <w:basedOn w:val="64"/>
    <w:link w:val="40"/>
    <w:qFormat/>
    <w:locked/>
    <w:uiPriority w:val="0"/>
    <w:rPr>
      <w:rFonts w:ascii="Times New Roman" w:hAnsi="Times New Roman" w:eastAsia="宋体" w:cs="Times New Roman"/>
      <w:kern w:val="2"/>
      <w:sz w:val="18"/>
    </w:rPr>
  </w:style>
  <w:style w:type="character" w:customStyle="1" w:styleId="106">
    <w:name w:val="正文文本缩进 3 Char"/>
    <w:basedOn w:val="64"/>
    <w:link w:val="42"/>
    <w:qFormat/>
    <w:locked/>
    <w:uiPriority w:val="0"/>
    <w:rPr>
      <w:rFonts w:ascii="Times New Roman" w:hAnsi="Times New Roman" w:eastAsia="宋体" w:cs="Times New Roman"/>
      <w:kern w:val="2"/>
      <w:sz w:val="16"/>
    </w:rPr>
  </w:style>
  <w:style w:type="character" w:customStyle="1" w:styleId="107">
    <w:name w:val="正文文本 2 Char"/>
    <w:basedOn w:val="64"/>
    <w:link w:val="46"/>
    <w:qFormat/>
    <w:locked/>
    <w:uiPriority w:val="0"/>
    <w:rPr>
      <w:rFonts w:ascii="Times New Roman" w:hAnsi="Times New Roman" w:eastAsia="宋体" w:cs="Times New Roman"/>
      <w:kern w:val="2"/>
      <w:sz w:val="24"/>
    </w:rPr>
  </w:style>
  <w:style w:type="character" w:customStyle="1" w:styleId="108">
    <w:name w:val="HTML 预设格式 Char"/>
    <w:basedOn w:val="64"/>
    <w:link w:val="48"/>
    <w:qFormat/>
    <w:locked/>
    <w:uiPriority w:val="99"/>
    <w:rPr>
      <w:rFonts w:ascii="宋体" w:hAnsi="宋体" w:eastAsia="宋体" w:cs="Times New Roman"/>
      <w:sz w:val="24"/>
    </w:rPr>
  </w:style>
  <w:style w:type="character" w:customStyle="1" w:styleId="109">
    <w:name w:val="标题 Char"/>
    <w:basedOn w:val="64"/>
    <w:link w:val="51"/>
    <w:qFormat/>
    <w:locked/>
    <w:uiPriority w:val="0"/>
    <w:rPr>
      <w:rFonts w:ascii="Times New Roman" w:hAnsi="Times New Roman" w:eastAsia="宋体" w:cs="Times New Roman"/>
      <w:b/>
      <w:kern w:val="2"/>
      <w:sz w:val="32"/>
    </w:rPr>
  </w:style>
  <w:style w:type="character" w:customStyle="1" w:styleId="110">
    <w:name w:val="正文文本 2 Char4"/>
    <w:qFormat/>
    <w:uiPriority w:val="0"/>
    <w:rPr>
      <w:rFonts w:ascii="Times New Roman" w:hAnsi="Times New Roman" w:eastAsia="宋体"/>
      <w:kern w:val="0"/>
      <w:sz w:val="20"/>
    </w:rPr>
  </w:style>
  <w:style w:type="character" w:customStyle="1" w:styleId="111">
    <w:name w:val="正文文本 Char1"/>
    <w:qFormat/>
    <w:uiPriority w:val="0"/>
    <w:rPr>
      <w:rFonts w:ascii="Calibri" w:hAnsi="Calibri" w:eastAsia="宋体"/>
      <w:kern w:val="2"/>
      <w:sz w:val="24"/>
    </w:rPr>
  </w:style>
  <w:style w:type="character" w:customStyle="1" w:styleId="112">
    <w:name w:val="正文文本缩进 3 Char1"/>
    <w:qFormat/>
    <w:uiPriority w:val="99"/>
    <w:rPr>
      <w:rFonts w:ascii="Times New Roman" w:hAnsi="Times New Roman" w:eastAsia="宋体"/>
      <w:sz w:val="16"/>
    </w:rPr>
  </w:style>
  <w:style w:type="character" w:customStyle="1" w:styleId="113">
    <w:name w:val="HZZH正文 Char"/>
    <w:link w:val="114"/>
    <w:qFormat/>
    <w:locked/>
    <w:uiPriority w:val="0"/>
    <w:rPr>
      <w:rFonts w:ascii="宋体" w:hAnsi="宋体" w:eastAsia="宋体"/>
      <w:kern w:val="2"/>
      <w:sz w:val="21"/>
    </w:rPr>
  </w:style>
  <w:style w:type="paragraph" w:customStyle="1" w:styleId="114">
    <w:name w:val="HZZH正文"/>
    <w:basedOn w:val="1"/>
    <w:link w:val="113"/>
    <w:qFormat/>
    <w:uiPriority w:val="0"/>
    <w:pPr>
      <w:spacing w:line="360" w:lineRule="auto"/>
      <w:ind w:firstLine="480" w:firstLineChars="200"/>
    </w:pPr>
    <w:rPr>
      <w:rFonts w:ascii="宋体" w:hAnsi="宋体"/>
      <w:szCs w:val="20"/>
    </w:rPr>
  </w:style>
  <w:style w:type="character" w:customStyle="1" w:styleId="115">
    <w:name w:val="3dfont"/>
    <w:qFormat/>
    <w:uiPriority w:val="0"/>
    <w:rPr>
      <w:rFonts w:ascii="宋体" w:hAnsi="宋体" w:eastAsia="宋体"/>
      <w:kern w:val="2"/>
      <w:sz w:val="24"/>
      <w:lang w:val="en-US" w:eastAsia="zh-CN"/>
    </w:rPr>
  </w:style>
  <w:style w:type="character" w:customStyle="1" w:styleId="116">
    <w:name w:val="页眉 字符"/>
    <w:qFormat/>
    <w:uiPriority w:val="99"/>
    <w:rPr>
      <w:rFonts w:ascii="Calibri" w:hAnsi="Calibri" w:eastAsia="宋体"/>
      <w:sz w:val="18"/>
    </w:rPr>
  </w:style>
  <w:style w:type="character" w:customStyle="1" w:styleId="117">
    <w:name w:val="明显参考4"/>
    <w:qFormat/>
    <w:uiPriority w:val="32"/>
    <w:rPr>
      <w:rFonts w:ascii="Times New Roman" w:hAnsi="Times New Roman" w:eastAsia="宋体"/>
      <w:b/>
      <w:smallCaps/>
      <w:color w:val="C0504D"/>
      <w:spacing w:val="5"/>
      <w:u w:val="single"/>
    </w:rPr>
  </w:style>
  <w:style w:type="character" w:customStyle="1" w:styleId="118">
    <w:name w:val="正文（首行缩进两字） Char"/>
    <w:qFormat/>
    <w:uiPriority w:val="0"/>
    <w:rPr>
      <w:rFonts w:ascii="Times New Roman" w:hAnsi="Times New Roman" w:eastAsia="宋体"/>
      <w:kern w:val="2"/>
      <w:sz w:val="24"/>
      <w:lang w:val="en-US" w:eastAsia="zh-CN"/>
    </w:rPr>
  </w:style>
  <w:style w:type="character" w:customStyle="1" w:styleId="119">
    <w:name w:val="copy21"/>
    <w:qFormat/>
    <w:uiPriority w:val="0"/>
    <w:rPr>
      <w:rFonts w:ascii="??" w:hAnsi="??" w:eastAsia="宋体"/>
      <w:color w:val="525252"/>
      <w:sz w:val="18"/>
    </w:rPr>
  </w:style>
  <w:style w:type="character" w:customStyle="1" w:styleId="120">
    <w:name w:val="+1. Char Char Char"/>
    <w:link w:val="121"/>
    <w:qFormat/>
    <w:locked/>
    <w:uiPriority w:val="0"/>
    <w:rPr>
      <w:rFonts w:ascii="楷体_GB2312" w:hAnsi="Times New Roman" w:eastAsia="宋体"/>
      <w:sz w:val="24"/>
    </w:rPr>
  </w:style>
  <w:style w:type="paragraph" w:customStyle="1" w:styleId="121">
    <w:name w:val="+1. Char"/>
    <w:basedOn w:val="122"/>
    <w:link w:val="120"/>
    <w:qFormat/>
    <w:uiPriority w:val="0"/>
    <w:pPr>
      <w:ind w:firstLine="0" w:firstLineChars="0"/>
    </w:pPr>
  </w:style>
  <w:style w:type="paragraph" w:customStyle="1" w:styleId="122">
    <w:name w:val="+正文 Char Char Char"/>
    <w:basedOn w:val="1"/>
    <w:link w:val="373"/>
    <w:qFormat/>
    <w:uiPriority w:val="0"/>
    <w:pPr>
      <w:spacing w:line="360" w:lineRule="auto"/>
      <w:ind w:firstLine="200" w:firstLineChars="200"/>
    </w:pPr>
    <w:rPr>
      <w:rFonts w:ascii="楷体_GB2312"/>
      <w:kern w:val="0"/>
      <w:sz w:val="24"/>
      <w:szCs w:val="20"/>
    </w:rPr>
  </w:style>
  <w:style w:type="character" w:customStyle="1" w:styleId="123">
    <w:name w:val="纯文本 字符1"/>
    <w:qFormat/>
    <w:uiPriority w:val="99"/>
    <w:rPr>
      <w:rFonts w:ascii="宋体" w:hAnsi="Courier New" w:eastAsia="宋体"/>
      <w:sz w:val="28"/>
    </w:rPr>
  </w:style>
  <w:style w:type="character" w:customStyle="1" w:styleId="124">
    <w:name w:val="样式1 Char"/>
    <w:link w:val="125"/>
    <w:qFormat/>
    <w:locked/>
    <w:uiPriority w:val="0"/>
    <w:rPr>
      <w:rFonts w:ascii="等线" w:hAnsi="等线" w:eastAsia="等线"/>
      <w:b/>
      <w:smallCaps/>
      <w:kern w:val="2"/>
      <w:sz w:val="32"/>
    </w:rPr>
  </w:style>
  <w:style w:type="paragraph" w:customStyle="1" w:styleId="125">
    <w:name w:val="样式1"/>
    <w:basedOn w:val="44"/>
    <w:link w:val="124"/>
    <w:qFormat/>
    <w:uiPriority w:val="99"/>
    <w:pPr>
      <w:ind w:left="210" w:leftChars="0" w:firstLine="200" w:firstLineChars="200"/>
      <w:jc w:val="left"/>
    </w:pPr>
    <w:rPr>
      <w:rFonts w:ascii="等线" w:hAnsi="等线" w:eastAsia="等线"/>
      <w:b/>
      <w:smallCaps/>
      <w:sz w:val="32"/>
      <w:szCs w:val="20"/>
    </w:rPr>
  </w:style>
  <w:style w:type="character" w:customStyle="1" w:styleId="126">
    <w:name w:val="unnamed11"/>
    <w:qFormat/>
    <w:uiPriority w:val="0"/>
    <w:rPr>
      <w:rFonts w:ascii="宋体" w:hAnsi="宋体" w:eastAsia="宋体"/>
      <w:kern w:val="2"/>
      <w:sz w:val="21"/>
      <w:lang w:val="en-US" w:eastAsia="zh-CN"/>
    </w:rPr>
  </w:style>
  <w:style w:type="character" w:customStyle="1" w:styleId="127">
    <w:name w:val="+正文 Char Char3 Char Char Char Char"/>
    <w:link w:val="128"/>
    <w:qFormat/>
    <w:locked/>
    <w:uiPriority w:val="0"/>
    <w:rPr>
      <w:rFonts w:ascii="宋体" w:hAnsi="宋体" w:eastAsia="宋体"/>
      <w:sz w:val="24"/>
    </w:rPr>
  </w:style>
  <w:style w:type="paragraph" w:customStyle="1" w:styleId="128">
    <w:name w:val="+正文 Char Char3 Char Char"/>
    <w:basedOn w:val="1"/>
    <w:link w:val="127"/>
    <w:qFormat/>
    <w:uiPriority w:val="0"/>
    <w:pPr>
      <w:spacing w:line="360" w:lineRule="auto"/>
      <w:ind w:firstLine="200" w:firstLineChars="200"/>
    </w:pPr>
    <w:rPr>
      <w:rFonts w:ascii="宋体" w:hAnsi="宋体"/>
      <w:kern w:val="0"/>
      <w:sz w:val="24"/>
      <w:szCs w:val="20"/>
    </w:rPr>
  </w:style>
  <w:style w:type="character" w:customStyle="1" w:styleId="129">
    <w:name w:val="目录 1 Char"/>
    <w:link w:val="130"/>
    <w:qFormat/>
    <w:locked/>
    <w:uiPriority w:val="39"/>
    <w:rPr>
      <w:rFonts w:ascii="Calibri" w:hAnsi="Calibri" w:eastAsia="宋体"/>
      <w:b/>
      <w:caps/>
      <w:kern w:val="2"/>
    </w:rPr>
  </w:style>
  <w:style w:type="paragraph" w:customStyle="1" w:styleId="130">
    <w:name w:val="目录 11"/>
    <w:basedOn w:val="1"/>
    <w:next w:val="1"/>
    <w:link w:val="129"/>
    <w:qFormat/>
    <w:uiPriority w:val="39"/>
    <w:pPr>
      <w:spacing w:before="120" w:after="120" w:line="360" w:lineRule="auto"/>
      <w:ind w:firstLine="200" w:firstLineChars="200"/>
      <w:jc w:val="left"/>
    </w:pPr>
    <w:rPr>
      <w:rFonts w:ascii="Calibri" w:hAnsi="Calibri"/>
      <w:b/>
      <w:caps/>
      <w:sz w:val="20"/>
      <w:szCs w:val="20"/>
    </w:rPr>
  </w:style>
  <w:style w:type="character" w:customStyle="1" w:styleId="131">
    <w:name w:val="Char Char6"/>
    <w:qFormat/>
    <w:uiPriority w:val="0"/>
    <w:rPr>
      <w:rFonts w:ascii="宋体" w:hAnsi="Courier New" w:eastAsia="宋体"/>
      <w:kern w:val="2"/>
      <w:sz w:val="21"/>
      <w:lang w:val="en-US" w:eastAsia="zh-CN"/>
    </w:rPr>
  </w:style>
  <w:style w:type="character" w:customStyle="1" w:styleId="132">
    <w:name w:val="tit2"/>
    <w:qFormat/>
    <w:uiPriority w:val="0"/>
    <w:rPr>
      <w:rFonts w:ascii="宋体" w:hAnsi="宋体" w:eastAsia="宋体"/>
      <w:b/>
      <w:kern w:val="2"/>
      <w:sz w:val="48"/>
      <w:lang w:val="en-US" w:eastAsia="zh-CN"/>
    </w:rPr>
  </w:style>
  <w:style w:type="character" w:customStyle="1" w:styleId="133">
    <w:name w:val="样式 小五"/>
    <w:qFormat/>
    <w:uiPriority w:val="0"/>
    <w:rPr>
      <w:rFonts w:ascii="Times New Roman" w:hAnsi="Times New Roman" w:eastAsia="宋体"/>
      <w:sz w:val="18"/>
      <w:vertAlign w:val="baseline"/>
    </w:rPr>
  </w:style>
  <w:style w:type="character" w:customStyle="1" w:styleId="134">
    <w:name w:val="图表名 Char"/>
    <w:link w:val="135"/>
    <w:qFormat/>
    <w:locked/>
    <w:uiPriority w:val="0"/>
    <w:rPr>
      <w:rFonts w:ascii="黑体" w:hAnsi="Times New Roman" w:eastAsia="黑体"/>
      <w:kern w:val="2"/>
      <w:sz w:val="28"/>
    </w:rPr>
  </w:style>
  <w:style w:type="paragraph" w:customStyle="1" w:styleId="135">
    <w:name w:val="图表名"/>
    <w:basedOn w:val="1"/>
    <w:link w:val="134"/>
    <w:qFormat/>
    <w:uiPriority w:val="0"/>
    <w:pPr>
      <w:adjustRightInd w:val="0"/>
      <w:snapToGrid w:val="0"/>
      <w:spacing w:line="240" w:lineRule="atLeast"/>
    </w:pPr>
    <w:rPr>
      <w:rFonts w:ascii="黑体" w:eastAsia="黑体"/>
      <w:sz w:val="28"/>
      <w:szCs w:val="20"/>
    </w:rPr>
  </w:style>
  <w:style w:type="character" w:customStyle="1" w:styleId="136">
    <w:name w:val="03条前海一期 字符"/>
    <w:link w:val="137"/>
    <w:qFormat/>
    <w:locked/>
    <w:uiPriority w:val="99"/>
    <w:rPr>
      <w:rFonts w:ascii="宋体" w:hAnsi="Times New Roman" w:eastAsia="宋体"/>
      <w:sz w:val="30"/>
    </w:rPr>
  </w:style>
  <w:style w:type="paragraph" w:customStyle="1" w:styleId="137">
    <w:name w:val="03条前海一期"/>
    <w:basedOn w:val="4"/>
    <w:link w:val="136"/>
    <w:qFormat/>
    <w:uiPriority w:val="99"/>
    <w:pPr>
      <w:keepNext w:val="0"/>
      <w:keepLines w:val="0"/>
      <w:overflowPunct w:val="0"/>
      <w:spacing w:beforeLines="50" w:afterLines="50" w:line="360" w:lineRule="auto"/>
      <w:ind w:firstLine="200" w:firstLineChars="200"/>
    </w:pPr>
    <w:rPr>
      <w:rFonts w:ascii="宋体"/>
      <w:b w:val="0"/>
      <w:kern w:val="0"/>
      <w:sz w:val="30"/>
      <w:szCs w:val="20"/>
    </w:rPr>
  </w:style>
  <w:style w:type="character" w:customStyle="1" w:styleId="138">
    <w:name w:val="批注框文本 字符"/>
    <w:qFormat/>
    <w:uiPriority w:val="0"/>
    <w:rPr>
      <w:rFonts w:ascii="Times New Roman" w:hAnsi="Times New Roman" w:eastAsia="宋体"/>
      <w:color w:val="008000"/>
      <w:kern w:val="2"/>
      <w:sz w:val="18"/>
    </w:rPr>
  </w:style>
  <w:style w:type="character" w:customStyle="1" w:styleId="139">
    <w:name w:val="description"/>
    <w:qFormat/>
    <w:uiPriority w:val="0"/>
    <w:rPr>
      <w:rFonts w:ascii="Times New Roman" w:hAnsi="Times New Roman" w:eastAsia="宋体"/>
    </w:rPr>
  </w:style>
  <w:style w:type="character" w:customStyle="1" w:styleId="140">
    <w:name w:val="标题 3 Char1"/>
    <w:qFormat/>
    <w:uiPriority w:val="99"/>
    <w:rPr>
      <w:rFonts w:ascii="Times New Roman" w:hAnsi="Times New Roman" w:eastAsia="宋体"/>
      <w:b/>
      <w:kern w:val="2"/>
      <w:sz w:val="32"/>
    </w:rPr>
  </w:style>
  <w:style w:type="character" w:customStyle="1" w:styleId="141">
    <w:name w:val="样式 黑体 三号 加粗"/>
    <w:qFormat/>
    <w:uiPriority w:val="0"/>
    <w:rPr>
      <w:rFonts w:ascii="黑体" w:eastAsia="黑体"/>
      <w:b/>
      <w:kern w:val="44"/>
      <w:sz w:val="32"/>
    </w:rPr>
  </w:style>
  <w:style w:type="character" w:customStyle="1" w:styleId="142">
    <w:name w:val="标题 7 Char1"/>
    <w:qFormat/>
    <w:uiPriority w:val="99"/>
    <w:rPr>
      <w:rFonts w:ascii="Times New Roman" w:hAnsi="Times New Roman" w:eastAsia="宋体"/>
      <w:b/>
      <w:kern w:val="2"/>
      <w:sz w:val="24"/>
    </w:rPr>
  </w:style>
  <w:style w:type="character" w:customStyle="1" w:styleId="143">
    <w:name w:val="批注框文本 Char1"/>
    <w:qFormat/>
    <w:uiPriority w:val="99"/>
    <w:rPr>
      <w:rFonts w:ascii="Times New Roman" w:hAnsi="Times New Roman" w:eastAsia="宋体"/>
      <w:kern w:val="2"/>
      <w:sz w:val="18"/>
    </w:rPr>
  </w:style>
  <w:style w:type="character" w:customStyle="1" w:styleId="144">
    <w:name w:val="明显强调1"/>
    <w:qFormat/>
    <w:uiPriority w:val="21"/>
    <w:rPr>
      <w:rFonts w:ascii="Times New Roman" w:hAnsi="Times New Roman" w:eastAsia="宋体"/>
      <w:b/>
      <w:i/>
      <w:color w:val="4F81BD"/>
    </w:rPr>
  </w:style>
  <w:style w:type="character" w:customStyle="1" w:styleId="145">
    <w:name w:val="标题 5 Char1"/>
    <w:qFormat/>
    <w:uiPriority w:val="99"/>
    <w:rPr>
      <w:rFonts w:ascii="Times New Roman" w:hAnsi="Times New Roman" w:eastAsia="宋体"/>
      <w:b/>
      <w:kern w:val="2"/>
      <w:sz w:val="28"/>
    </w:rPr>
  </w:style>
  <w:style w:type="character" w:customStyle="1" w:styleId="146">
    <w:name w:val="2标题 2 Char"/>
    <w:qFormat/>
    <w:uiPriority w:val="0"/>
    <w:rPr>
      <w:rFonts w:ascii="Arial" w:hAnsi="Arial" w:eastAsia="黑体"/>
      <w:b/>
      <w:kern w:val="2"/>
      <w:sz w:val="32"/>
      <w:lang w:val="en-US" w:eastAsia="zh-CN"/>
    </w:rPr>
  </w:style>
  <w:style w:type="character" w:customStyle="1" w:styleId="147">
    <w:name w:val="标题 2 Char2"/>
    <w:qFormat/>
    <w:uiPriority w:val="0"/>
    <w:rPr>
      <w:rFonts w:ascii="Arial" w:hAnsi="Arial" w:eastAsia="黑体"/>
      <w:b/>
      <w:kern w:val="2"/>
      <w:sz w:val="24"/>
      <w:lang w:val="en-US" w:eastAsia="zh-CN"/>
    </w:rPr>
  </w:style>
  <w:style w:type="character" w:customStyle="1" w:styleId="148">
    <w:name w:val="样式8 Char Char"/>
    <w:qFormat/>
    <w:uiPriority w:val="0"/>
    <w:rPr>
      <w:rFonts w:ascii="Times New Roman" w:hAnsi="Times New Roman" w:eastAsia="宋体"/>
      <w:kern w:val="2"/>
      <w:sz w:val="24"/>
      <w:lang w:val="en-US" w:eastAsia="zh-CN"/>
    </w:rPr>
  </w:style>
  <w:style w:type="character" w:customStyle="1" w:styleId="149">
    <w:name w:val="正文文本 字符1"/>
    <w:qFormat/>
    <w:uiPriority w:val="99"/>
    <w:rPr>
      <w:rFonts w:ascii="Calibri" w:hAnsi="Calibri" w:eastAsia="宋体"/>
      <w:sz w:val="28"/>
    </w:rPr>
  </w:style>
  <w:style w:type="character" w:customStyle="1" w:styleId="150">
    <w:name w:val="头 Char Char"/>
    <w:qFormat/>
    <w:uiPriority w:val="0"/>
    <w:rPr>
      <w:rFonts w:ascii="Times New Roman" w:hAnsi="Times New Roman" w:eastAsia="宋体"/>
      <w:b/>
      <w:kern w:val="2"/>
      <w:sz w:val="32"/>
      <w:lang w:val="en-US" w:eastAsia="zh-CN"/>
    </w:rPr>
  </w:style>
  <w:style w:type="character" w:customStyle="1" w:styleId="151">
    <w:name w:val="标题9"/>
    <w:qFormat/>
    <w:uiPriority w:val="0"/>
    <w:rPr>
      <w:rFonts w:ascii="Times New Roman" w:hAnsi="Times New Roman" w:eastAsia="宋体"/>
    </w:rPr>
  </w:style>
  <w:style w:type="character" w:customStyle="1" w:styleId="152">
    <w:name w:val="正文首行缩进 Char2"/>
    <w:qFormat/>
    <w:uiPriority w:val="99"/>
    <w:rPr>
      <w:rFonts w:ascii="Times New Roman" w:hAnsi="Times New Roman" w:eastAsia="宋体"/>
      <w:b/>
      <w:kern w:val="0"/>
      <w:sz w:val="20"/>
    </w:rPr>
  </w:style>
  <w:style w:type="character" w:customStyle="1" w:styleId="153">
    <w:name w:val="标题4 Char"/>
    <w:link w:val="154"/>
    <w:qFormat/>
    <w:locked/>
    <w:uiPriority w:val="0"/>
    <w:rPr>
      <w:rFonts w:ascii="Times New Roman" w:hAnsi="Times New Roman" w:eastAsia="宋体"/>
      <w:b/>
      <w:kern w:val="2"/>
      <w:sz w:val="28"/>
    </w:rPr>
  </w:style>
  <w:style w:type="paragraph" w:customStyle="1" w:styleId="154">
    <w:name w:val="标题4"/>
    <w:basedOn w:val="1"/>
    <w:link w:val="153"/>
    <w:qFormat/>
    <w:uiPriority w:val="0"/>
    <w:pPr>
      <w:outlineLvl w:val="0"/>
    </w:pPr>
    <w:rPr>
      <w:b/>
      <w:sz w:val="28"/>
      <w:szCs w:val="20"/>
    </w:rPr>
  </w:style>
  <w:style w:type="character" w:customStyle="1" w:styleId="155">
    <w:name w:val="引用 Char"/>
    <w:link w:val="156"/>
    <w:qFormat/>
    <w:locked/>
    <w:uiPriority w:val="0"/>
    <w:rPr>
      <w:rFonts w:ascii="Calibri" w:hAnsi="Calibri" w:eastAsia="宋体"/>
      <w:i/>
      <w:color w:val="000000"/>
      <w:sz w:val="22"/>
      <w:lang w:eastAsia="en-US"/>
    </w:rPr>
  </w:style>
  <w:style w:type="paragraph" w:customStyle="1" w:styleId="156">
    <w:name w:val="引用1"/>
    <w:basedOn w:val="1"/>
    <w:next w:val="1"/>
    <w:link w:val="155"/>
    <w:qFormat/>
    <w:uiPriority w:val="0"/>
    <w:pPr>
      <w:widowControl/>
      <w:spacing w:after="200" w:line="276" w:lineRule="auto"/>
      <w:jc w:val="left"/>
    </w:pPr>
    <w:rPr>
      <w:rFonts w:ascii="Calibri" w:hAnsi="Calibri"/>
      <w:i/>
      <w:color w:val="000000"/>
      <w:kern w:val="0"/>
      <w:sz w:val="22"/>
      <w:szCs w:val="20"/>
      <w:lang w:eastAsia="en-US"/>
    </w:rPr>
  </w:style>
  <w:style w:type="character" w:customStyle="1" w:styleId="157">
    <w:name w:val="extraurl22"/>
    <w:qFormat/>
    <w:uiPriority w:val="0"/>
    <w:rPr>
      <w:rFonts w:ascii="Times New Roman" w:hAnsi="Times New Roman" w:eastAsia="宋体"/>
      <w:color w:val="AAAAAA"/>
      <w:sz w:val="14"/>
    </w:rPr>
  </w:style>
  <w:style w:type="character" w:customStyle="1" w:styleId="158">
    <w:name w:val="4444 Char"/>
    <w:qFormat/>
    <w:uiPriority w:val="99"/>
    <w:rPr>
      <w:rFonts w:ascii="宋体" w:hAnsi="宋体" w:eastAsia="宋体"/>
      <w:b/>
      <w:kern w:val="0"/>
      <w:sz w:val="28"/>
    </w:rPr>
  </w:style>
  <w:style w:type="character" w:customStyle="1" w:styleId="159">
    <w:name w:val="font01"/>
    <w:qFormat/>
    <w:uiPriority w:val="0"/>
    <w:rPr>
      <w:rFonts w:ascii="宋体" w:hAnsi="宋体" w:eastAsia="宋体"/>
      <w:color w:val="000000"/>
      <w:sz w:val="20"/>
      <w:u w:val="none"/>
    </w:rPr>
  </w:style>
  <w:style w:type="character" w:customStyle="1" w:styleId="160">
    <w:name w:val="标题 6 Char1"/>
    <w:qFormat/>
    <w:uiPriority w:val="99"/>
    <w:rPr>
      <w:rFonts w:ascii="Cambria" w:hAnsi="Cambria" w:eastAsia="宋体"/>
      <w:b/>
      <w:kern w:val="2"/>
      <w:sz w:val="24"/>
    </w:rPr>
  </w:style>
  <w:style w:type="character" w:customStyle="1" w:styleId="161">
    <w:name w:val="font11"/>
    <w:qFormat/>
    <w:uiPriority w:val="0"/>
    <w:rPr>
      <w:rFonts w:ascii="Arial" w:hAnsi="Arial" w:eastAsia="宋体"/>
      <w:color w:val="000000"/>
      <w:sz w:val="22"/>
      <w:u w:val="none"/>
    </w:rPr>
  </w:style>
  <w:style w:type="character" w:customStyle="1" w:styleId="162">
    <w:name w:val="ourfont2"/>
    <w:qFormat/>
    <w:uiPriority w:val="0"/>
    <w:rPr>
      <w:rFonts w:ascii="Times New Roman" w:hAnsi="Times New Roman" w:eastAsia="宋体"/>
    </w:rPr>
  </w:style>
  <w:style w:type="character" w:customStyle="1" w:styleId="163">
    <w:name w:val="font101"/>
    <w:qFormat/>
    <w:uiPriority w:val="0"/>
    <w:rPr>
      <w:rFonts w:ascii="Times New Roman" w:hAnsi="Times New Roman" w:eastAsia="宋体"/>
      <w:color w:val="FF0000"/>
      <w:sz w:val="21"/>
      <w:u w:val="none"/>
      <w:vertAlign w:val="superscript"/>
    </w:rPr>
  </w:style>
  <w:style w:type="character" w:customStyle="1" w:styleId="164">
    <w:name w:val="font3"/>
    <w:qFormat/>
    <w:uiPriority w:val="0"/>
    <w:rPr>
      <w:rFonts w:ascii="Times New Roman" w:hAnsi="Times New Roman" w:eastAsia="宋体"/>
    </w:rPr>
  </w:style>
  <w:style w:type="character" w:customStyle="1" w:styleId="165">
    <w:name w:val="明显强调2"/>
    <w:qFormat/>
    <w:uiPriority w:val="21"/>
    <w:rPr>
      <w:rFonts w:ascii="Times New Roman" w:hAnsi="Times New Roman" w:eastAsia="宋体"/>
      <w:b/>
      <w:i/>
      <w:color w:val="4F81BD"/>
    </w:rPr>
  </w:style>
  <w:style w:type="character" w:customStyle="1" w:styleId="166">
    <w:name w:val="正文文本 字符"/>
    <w:qFormat/>
    <w:uiPriority w:val="0"/>
    <w:rPr>
      <w:rFonts w:ascii="Times New Roman" w:hAnsi="Times New Roman" w:eastAsia="宋体"/>
      <w:sz w:val="24"/>
    </w:rPr>
  </w:style>
  <w:style w:type="character" w:customStyle="1" w:styleId="167">
    <w:name w:val="正文文本 2 Char3"/>
    <w:qFormat/>
    <w:uiPriority w:val="99"/>
    <w:rPr>
      <w:rFonts w:ascii="Times New Roman" w:hAnsi="Times New Roman" w:eastAsia="宋体"/>
      <w:sz w:val="28"/>
    </w:rPr>
  </w:style>
  <w:style w:type="character" w:customStyle="1" w:styleId="168">
    <w:name w:val="样式 表格 + 五号 Char Char"/>
    <w:link w:val="169"/>
    <w:qFormat/>
    <w:locked/>
    <w:uiPriority w:val="0"/>
    <w:rPr>
      <w:rFonts w:ascii="Times New Roman" w:hAnsi="Times New Roman" w:eastAsia="宋体"/>
      <w:sz w:val="18"/>
    </w:rPr>
  </w:style>
  <w:style w:type="paragraph" w:customStyle="1" w:styleId="169">
    <w:name w:val="样式 表格 + 五号"/>
    <w:basedOn w:val="1"/>
    <w:link w:val="168"/>
    <w:qFormat/>
    <w:uiPriority w:val="0"/>
    <w:pPr>
      <w:tabs>
        <w:tab w:val="left" w:pos="730"/>
        <w:tab w:val="left" w:pos="2180"/>
        <w:tab w:val="left" w:pos="3090"/>
        <w:tab w:val="left" w:pos="3820"/>
        <w:tab w:val="left" w:pos="4550"/>
        <w:tab w:val="left" w:pos="5010"/>
        <w:tab w:val="left" w:pos="5560"/>
        <w:tab w:val="left" w:pos="6375"/>
        <w:tab w:val="left" w:pos="7190"/>
        <w:tab w:val="left" w:pos="7740"/>
        <w:tab w:val="left" w:pos="8470"/>
        <w:tab w:val="left" w:pos="9200"/>
        <w:tab w:val="left" w:pos="9930"/>
      </w:tabs>
      <w:adjustRightInd w:val="0"/>
      <w:snapToGrid w:val="0"/>
      <w:jc w:val="left"/>
    </w:pPr>
    <w:rPr>
      <w:kern w:val="0"/>
      <w:sz w:val="18"/>
      <w:szCs w:val="20"/>
    </w:rPr>
  </w:style>
  <w:style w:type="character" w:customStyle="1" w:styleId="170">
    <w:name w:val="15"/>
    <w:qFormat/>
    <w:uiPriority w:val="0"/>
    <w:rPr>
      <w:rFonts w:ascii="Times New Roman" w:hAnsi="Times New Roman" w:eastAsia="宋体"/>
      <w:color w:val="0000FF"/>
      <w:sz w:val="20"/>
      <w:u w:val="single"/>
    </w:rPr>
  </w:style>
  <w:style w:type="character" w:customStyle="1" w:styleId="171">
    <w:name w:val="书籍标题1"/>
    <w:qFormat/>
    <w:uiPriority w:val="33"/>
    <w:rPr>
      <w:rFonts w:ascii="Times New Roman" w:hAnsi="Times New Roman" w:eastAsia="宋体"/>
      <w:b/>
      <w:smallCaps/>
      <w:spacing w:val="5"/>
    </w:rPr>
  </w:style>
  <w:style w:type="character" w:customStyle="1" w:styleId="172">
    <w:name w:val="表格样式 Char1"/>
    <w:link w:val="173"/>
    <w:qFormat/>
    <w:locked/>
    <w:uiPriority w:val="0"/>
    <w:rPr>
      <w:rFonts w:ascii="宋体" w:eastAsia="宋体"/>
      <w:sz w:val="24"/>
      <w:lang w:val="en-US" w:eastAsia="zh-CN"/>
    </w:rPr>
  </w:style>
  <w:style w:type="paragraph" w:customStyle="1" w:styleId="173">
    <w:name w:val="表格样式"/>
    <w:link w:val="172"/>
    <w:qFormat/>
    <w:uiPriority w:val="0"/>
    <w:pPr>
      <w:widowControl w:val="0"/>
      <w:ind w:right="105" w:rightChars="50"/>
      <w:jc w:val="center"/>
    </w:pPr>
    <w:rPr>
      <w:rFonts w:ascii="宋体" w:hAnsi="宋体" w:eastAsia="宋体" w:cs="Times New Roman"/>
      <w:sz w:val="24"/>
      <w:szCs w:val="24"/>
      <w:lang w:val="en-US" w:eastAsia="zh-CN" w:bidi="ar-SA"/>
    </w:rPr>
  </w:style>
  <w:style w:type="character" w:customStyle="1" w:styleId="174">
    <w:name w:val="3333 Char"/>
    <w:link w:val="175"/>
    <w:qFormat/>
    <w:locked/>
    <w:uiPriority w:val="0"/>
    <w:rPr>
      <w:rFonts w:ascii="宋体" w:hAnsi="宋体" w:eastAsia="宋体"/>
      <w:b/>
      <w:kern w:val="2"/>
      <w:sz w:val="30"/>
    </w:rPr>
  </w:style>
  <w:style w:type="paragraph" w:customStyle="1" w:styleId="175">
    <w:name w:val="3333"/>
    <w:basedOn w:val="4"/>
    <w:link w:val="174"/>
    <w:qFormat/>
    <w:uiPriority w:val="99"/>
    <w:pPr>
      <w:adjustRightInd w:val="0"/>
      <w:snapToGrid w:val="0"/>
    </w:pPr>
    <w:rPr>
      <w:rFonts w:ascii="宋体" w:hAnsi="宋体"/>
      <w:sz w:val="30"/>
      <w:szCs w:val="20"/>
    </w:rPr>
  </w:style>
  <w:style w:type="character" w:customStyle="1" w:styleId="176">
    <w:name w:val="font51"/>
    <w:qFormat/>
    <w:uiPriority w:val="0"/>
    <w:rPr>
      <w:rFonts w:ascii="宋体" w:hAnsi="宋体" w:eastAsia="宋体"/>
      <w:color w:val="FF0000"/>
      <w:sz w:val="21"/>
      <w:u w:val="none"/>
    </w:rPr>
  </w:style>
  <w:style w:type="character" w:customStyle="1" w:styleId="177">
    <w:name w:val="批注主题 Char2"/>
    <w:qFormat/>
    <w:uiPriority w:val="99"/>
    <w:rPr>
      <w:rFonts w:ascii="Calibri" w:hAnsi="Calibri" w:eastAsia="宋体"/>
      <w:b/>
      <w:sz w:val="22"/>
    </w:rPr>
  </w:style>
  <w:style w:type="character" w:customStyle="1" w:styleId="178">
    <w:name w:val="正文报告 Char Char"/>
    <w:link w:val="179"/>
    <w:qFormat/>
    <w:locked/>
    <w:uiPriority w:val="0"/>
    <w:rPr>
      <w:rFonts w:ascii="Times New Roman" w:hAnsi="Times New Roman" w:eastAsia="宋体"/>
      <w:kern w:val="2"/>
      <w:sz w:val="28"/>
    </w:rPr>
  </w:style>
  <w:style w:type="paragraph" w:customStyle="1" w:styleId="179">
    <w:name w:val="正文报告 Char"/>
    <w:basedOn w:val="1"/>
    <w:link w:val="178"/>
    <w:qFormat/>
    <w:uiPriority w:val="0"/>
    <w:pPr>
      <w:topLinePunct/>
      <w:snapToGrid w:val="0"/>
      <w:spacing w:line="480" w:lineRule="exact"/>
      <w:ind w:firstLine="567"/>
    </w:pPr>
    <w:rPr>
      <w:sz w:val="28"/>
      <w:szCs w:val="20"/>
    </w:rPr>
  </w:style>
  <w:style w:type="character" w:customStyle="1" w:styleId="180">
    <w:name w:val="标题 2 字符"/>
    <w:qFormat/>
    <w:uiPriority w:val="0"/>
    <w:rPr>
      <w:rFonts w:ascii="Arial" w:hAnsi="Arial" w:eastAsia="黑体"/>
      <w:b/>
      <w:kern w:val="2"/>
      <w:sz w:val="24"/>
      <w:lang w:val="en-US" w:eastAsia="zh-CN"/>
    </w:rPr>
  </w:style>
  <w:style w:type="character" w:customStyle="1" w:styleId="181">
    <w:name w:val="+正文 Char Char5 Char Char Char"/>
    <w:link w:val="182"/>
    <w:qFormat/>
    <w:locked/>
    <w:uiPriority w:val="0"/>
    <w:rPr>
      <w:rFonts w:ascii="宋体" w:hAnsi="宋体" w:eastAsia="宋体"/>
      <w:sz w:val="24"/>
    </w:rPr>
  </w:style>
  <w:style w:type="paragraph" w:customStyle="1" w:styleId="182">
    <w:name w:val="+正文 Char Char5 Char"/>
    <w:basedOn w:val="1"/>
    <w:link w:val="181"/>
    <w:qFormat/>
    <w:uiPriority w:val="0"/>
    <w:pPr>
      <w:spacing w:line="360" w:lineRule="auto"/>
      <w:ind w:firstLine="200" w:firstLineChars="200"/>
    </w:pPr>
    <w:rPr>
      <w:rFonts w:ascii="宋体" w:hAnsi="宋体"/>
      <w:kern w:val="0"/>
      <w:sz w:val="24"/>
      <w:szCs w:val="20"/>
    </w:rPr>
  </w:style>
  <w:style w:type="character" w:customStyle="1" w:styleId="183">
    <w:name w:val="Char Char Char Char1 Char1 Char1"/>
    <w:qFormat/>
    <w:uiPriority w:val="0"/>
    <w:rPr>
      <w:rFonts w:ascii="Times New Roman" w:hAnsi="Times New Roman" w:eastAsia="宋体"/>
      <w:kern w:val="2"/>
      <w:sz w:val="24"/>
      <w:lang w:val="en-US" w:eastAsia="zh-CN"/>
    </w:rPr>
  </w:style>
  <w:style w:type="character" w:customStyle="1" w:styleId="184">
    <w:name w:val="日期 Char1"/>
    <w:qFormat/>
    <w:uiPriority w:val="99"/>
    <w:rPr>
      <w:rFonts w:ascii="Calibri" w:hAnsi="Calibri" w:eastAsia="宋体"/>
      <w:kern w:val="2"/>
      <w:sz w:val="24"/>
    </w:rPr>
  </w:style>
  <w:style w:type="character" w:customStyle="1" w:styleId="185">
    <w:name w:val="尾注文本 Char1"/>
    <w:qFormat/>
    <w:uiPriority w:val="99"/>
    <w:rPr>
      <w:rFonts w:ascii="Times New Roman" w:hAnsi="Times New Roman" w:eastAsia="宋体"/>
      <w:sz w:val="24"/>
    </w:rPr>
  </w:style>
  <w:style w:type="character" w:customStyle="1" w:styleId="186">
    <w:name w:val="无间隔 Char"/>
    <w:link w:val="187"/>
    <w:qFormat/>
    <w:locked/>
    <w:uiPriority w:val="0"/>
    <w:rPr>
      <w:rFonts w:ascii="Calibri" w:hAnsi="Calibri"/>
      <w:sz w:val="22"/>
      <w:lang w:val="en-US" w:eastAsia="en-US"/>
    </w:rPr>
  </w:style>
  <w:style w:type="paragraph" w:customStyle="1" w:styleId="187">
    <w:name w:val="无间隔2"/>
    <w:link w:val="186"/>
    <w:qFormat/>
    <w:uiPriority w:val="1"/>
    <w:rPr>
      <w:rFonts w:ascii="Calibri" w:hAnsi="Calibri" w:eastAsia="宋体" w:cs="Times New Roman"/>
      <w:sz w:val="22"/>
      <w:szCs w:val="22"/>
      <w:lang w:val="en-US" w:eastAsia="en-US" w:bidi="ar-SA"/>
    </w:rPr>
  </w:style>
  <w:style w:type="character" w:customStyle="1" w:styleId="188">
    <w:name w:val="列出段落 Char"/>
    <w:link w:val="189"/>
    <w:qFormat/>
    <w:locked/>
    <w:uiPriority w:val="99"/>
    <w:rPr>
      <w:rFonts w:ascii="Calibri" w:hAnsi="Calibri" w:eastAsia="宋体"/>
      <w:kern w:val="2"/>
      <w:sz w:val="22"/>
    </w:rPr>
  </w:style>
  <w:style w:type="paragraph" w:customStyle="1" w:styleId="189">
    <w:name w:val="列出段落4"/>
    <w:basedOn w:val="1"/>
    <w:link w:val="188"/>
    <w:qFormat/>
    <w:uiPriority w:val="99"/>
    <w:pPr>
      <w:spacing w:line="360" w:lineRule="auto"/>
      <w:ind w:firstLine="420" w:firstLineChars="200"/>
    </w:pPr>
    <w:rPr>
      <w:rFonts w:ascii="Calibri" w:hAnsi="Calibri"/>
      <w:sz w:val="22"/>
      <w:szCs w:val="20"/>
    </w:rPr>
  </w:style>
  <w:style w:type="character" w:customStyle="1" w:styleId="190">
    <w:name w:val="样式 报告书正文 + 倾斜 居中 底端: (粗-细窄间隔 自动设置  3 磅 行宽) Char"/>
    <w:link w:val="191"/>
    <w:qFormat/>
    <w:locked/>
    <w:uiPriority w:val="0"/>
    <w:rPr>
      <w:rFonts w:ascii="Times New Roman" w:hAnsi="Times New Roman" w:eastAsia="宋体"/>
      <w:i/>
      <w:kern w:val="2"/>
      <w:sz w:val="24"/>
    </w:rPr>
  </w:style>
  <w:style w:type="paragraph" w:customStyle="1" w:styleId="191">
    <w:name w:val="样式 报告书正文 + 倾斜 居中 底端: (粗-细窄间隔 自动设置  3 磅 行宽)"/>
    <w:basedOn w:val="1"/>
    <w:link w:val="190"/>
    <w:qFormat/>
    <w:uiPriority w:val="0"/>
    <w:pPr>
      <w:adjustRightInd w:val="0"/>
      <w:snapToGrid w:val="0"/>
      <w:spacing w:line="400" w:lineRule="atLeast"/>
      <w:ind w:firstLine="567"/>
      <w:jc w:val="center"/>
    </w:pPr>
    <w:rPr>
      <w:i/>
      <w:sz w:val="24"/>
      <w:szCs w:val="20"/>
    </w:rPr>
  </w:style>
  <w:style w:type="character" w:customStyle="1" w:styleId="192">
    <w:name w:val="Char Char12"/>
    <w:qFormat/>
    <w:uiPriority w:val="0"/>
    <w:rPr>
      <w:rFonts w:ascii="宋体" w:hAnsi="Courier New" w:eastAsia="宋体"/>
      <w:kern w:val="2"/>
      <w:sz w:val="21"/>
      <w:lang w:val="en-US" w:eastAsia="zh-CN"/>
    </w:rPr>
  </w:style>
  <w:style w:type="character" w:customStyle="1" w:styleId="193">
    <w:name w:val="Char Char5"/>
    <w:link w:val="194"/>
    <w:qFormat/>
    <w:locked/>
    <w:uiPriority w:val="0"/>
    <w:rPr>
      <w:rFonts w:ascii="宋体" w:hAnsi="宋体" w:eastAsia="宋体"/>
      <w:sz w:val="24"/>
    </w:rPr>
  </w:style>
  <w:style w:type="paragraph" w:customStyle="1" w:styleId="194">
    <w:name w:val="Char"/>
    <w:basedOn w:val="1"/>
    <w:link w:val="193"/>
    <w:qFormat/>
    <w:uiPriority w:val="0"/>
    <w:pPr>
      <w:spacing w:line="360" w:lineRule="auto"/>
      <w:ind w:firstLine="200" w:firstLineChars="200"/>
    </w:pPr>
    <w:rPr>
      <w:rFonts w:ascii="宋体" w:hAnsi="宋体"/>
      <w:kern w:val="0"/>
      <w:sz w:val="24"/>
      <w:szCs w:val="20"/>
    </w:rPr>
  </w:style>
  <w:style w:type="character" w:customStyle="1" w:styleId="195">
    <w:name w:val="明显参考3"/>
    <w:qFormat/>
    <w:uiPriority w:val="32"/>
    <w:rPr>
      <w:rFonts w:ascii="Times New Roman" w:hAnsi="Times New Roman" w:eastAsia="宋体"/>
      <w:b/>
      <w:smallCaps/>
      <w:color w:val="C0504D"/>
      <w:spacing w:val="5"/>
      <w:u w:val="single"/>
    </w:rPr>
  </w:style>
  <w:style w:type="character" w:customStyle="1" w:styleId="196">
    <w:name w:val="页脚 Char2"/>
    <w:qFormat/>
    <w:uiPriority w:val="99"/>
    <w:rPr>
      <w:rFonts w:ascii="Times New Roman" w:hAnsi="Times New Roman" w:eastAsia="宋体"/>
      <w:sz w:val="18"/>
    </w:rPr>
  </w:style>
  <w:style w:type="character" w:customStyle="1" w:styleId="197">
    <w:name w:val="明显参考1"/>
    <w:qFormat/>
    <w:uiPriority w:val="32"/>
    <w:rPr>
      <w:rFonts w:ascii="Times New Roman" w:hAnsi="Times New Roman" w:eastAsia="宋体"/>
      <w:b/>
      <w:smallCaps/>
      <w:color w:val="C0504D"/>
      <w:spacing w:val="5"/>
      <w:u w:val="single"/>
    </w:rPr>
  </w:style>
  <w:style w:type="character" w:customStyle="1" w:styleId="198">
    <w:name w:val="段落 Char"/>
    <w:qFormat/>
    <w:uiPriority w:val="0"/>
    <w:rPr>
      <w:rFonts w:ascii="Times New Roman" w:hAnsi="Times New Roman" w:eastAsia="宋体"/>
      <w:kern w:val="2"/>
      <w:sz w:val="24"/>
      <w:lang w:val="en-US" w:eastAsia="zh-CN"/>
    </w:rPr>
  </w:style>
  <w:style w:type="character" w:customStyle="1" w:styleId="199">
    <w:name w:val="+正文 Char4"/>
    <w:link w:val="200"/>
    <w:qFormat/>
    <w:locked/>
    <w:uiPriority w:val="0"/>
    <w:rPr>
      <w:rFonts w:ascii="宋体" w:hAnsi="宋体" w:eastAsia="宋体"/>
      <w:sz w:val="24"/>
    </w:rPr>
  </w:style>
  <w:style w:type="paragraph" w:customStyle="1" w:styleId="200">
    <w:name w:val="+正文"/>
    <w:basedOn w:val="1"/>
    <w:link w:val="199"/>
    <w:qFormat/>
    <w:uiPriority w:val="0"/>
    <w:pPr>
      <w:spacing w:line="360" w:lineRule="auto"/>
      <w:ind w:firstLine="200" w:firstLineChars="200"/>
    </w:pPr>
    <w:rPr>
      <w:rFonts w:ascii="宋体" w:hAnsi="宋体"/>
      <w:kern w:val="0"/>
      <w:sz w:val="24"/>
      <w:szCs w:val="20"/>
    </w:rPr>
  </w:style>
  <w:style w:type="character" w:customStyle="1" w:styleId="201">
    <w:name w:val="font41"/>
    <w:qFormat/>
    <w:uiPriority w:val="0"/>
    <w:rPr>
      <w:rFonts w:ascii="Times New Roman" w:hAnsi="Times New Roman" w:eastAsia="宋体"/>
      <w:color w:val="000000"/>
      <w:sz w:val="18"/>
      <w:u w:val="none"/>
    </w:rPr>
  </w:style>
  <w:style w:type="character" w:customStyle="1" w:styleId="202">
    <w:name w:val="Char1 Char Char"/>
    <w:qFormat/>
    <w:uiPriority w:val="0"/>
    <w:rPr>
      <w:rFonts w:ascii="宋体" w:hAnsi="Times New Roman" w:eastAsia="宋体"/>
      <w:b/>
      <w:kern w:val="2"/>
      <w:sz w:val="28"/>
      <w:lang w:val="en-US" w:eastAsia="zh-CN"/>
    </w:rPr>
  </w:style>
  <w:style w:type="character" w:customStyle="1" w:styleId="203">
    <w:name w:val="zw Char"/>
    <w:link w:val="204"/>
    <w:qFormat/>
    <w:locked/>
    <w:uiPriority w:val="0"/>
    <w:rPr>
      <w:rFonts w:ascii="Times New Roman" w:hAnsi="Times New Roman" w:eastAsia="宋体"/>
      <w:color w:val="000000"/>
      <w:position w:val="2"/>
      <w:sz w:val="24"/>
    </w:rPr>
  </w:style>
  <w:style w:type="paragraph" w:customStyle="1" w:styleId="204">
    <w:name w:val="zw"/>
    <w:basedOn w:val="1"/>
    <w:link w:val="203"/>
    <w:qFormat/>
    <w:uiPriority w:val="0"/>
    <w:pPr>
      <w:tabs>
        <w:tab w:val="left" w:pos="900"/>
      </w:tabs>
      <w:adjustRightInd w:val="0"/>
      <w:snapToGrid w:val="0"/>
      <w:spacing w:line="360" w:lineRule="auto"/>
      <w:ind w:firstLine="480" w:firstLineChars="200"/>
    </w:pPr>
    <w:rPr>
      <w:color w:val="000000"/>
      <w:kern w:val="0"/>
      <w:position w:val="2"/>
      <w:sz w:val="24"/>
      <w:szCs w:val="20"/>
    </w:rPr>
  </w:style>
  <w:style w:type="character" w:customStyle="1" w:styleId="205">
    <w:name w:val="正文文本 3 Char2"/>
    <w:qFormat/>
    <w:uiPriority w:val="99"/>
    <w:rPr>
      <w:rFonts w:ascii="Times New Roman" w:hAnsi="Times New Roman" w:eastAsia="宋体"/>
      <w:sz w:val="16"/>
    </w:rPr>
  </w:style>
  <w:style w:type="character" w:customStyle="1" w:styleId="206">
    <w:name w:val="我的正文"/>
    <w:qFormat/>
    <w:uiPriority w:val="0"/>
    <w:rPr>
      <w:rFonts w:ascii="Times New Roman" w:hAnsi="Times New Roman" w:eastAsia="宋体"/>
      <w:sz w:val="28"/>
    </w:rPr>
  </w:style>
  <w:style w:type="character" w:customStyle="1" w:styleId="207">
    <w:name w:val="样式7-0.4 Char"/>
    <w:link w:val="208"/>
    <w:qFormat/>
    <w:locked/>
    <w:uiPriority w:val="0"/>
    <w:rPr>
      <w:rFonts w:ascii="Times New Roman" w:hAnsi="Times New Roman" w:eastAsia="仿宋_GB2312"/>
      <w:snapToGrid w:val="0"/>
      <w:color w:val="000000"/>
      <w:spacing w:val="-8"/>
      <w:sz w:val="30"/>
    </w:rPr>
  </w:style>
  <w:style w:type="paragraph" w:customStyle="1" w:styleId="208">
    <w:name w:val="样式7-0.4"/>
    <w:basedOn w:val="1"/>
    <w:link w:val="207"/>
    <w:qFormat/>
    <w:uiPriority w:val="0"/>
    <w:pPr>
      <w:adjustRightInd w:val="0"/>
      <w:snapToGrid w:val="0"/>
      <w:spacing w:line="600" w:lineRule="exact"/>
      <w:ind w:firstLine="607"/>
    </w:pPr>
    <w:rPr>
      <w:rFonts w:eastAsia="仿宋_GB2312"/>
      <w:color w:val="000000"/>
      <w:spacing w:val="-8"/>
      <w:kern w:val="0"/>
      <w:sz w:val="30"/>
      <w:szCs w:val="20"/>
    </w:rPr>
  </w:style>
  <w:style w:type="character" w:customStyle="1" w:styleId="209">
    <w:name w:val="Char Char15"/>
    <w:qFormat/>
    <w:uiPriority w:val="0"/>
    <w:rPr>
      <w:rFonts w:ascii="宋体" w:hAnsi="Courier New" w:eastAsia="宋体"/>
      <w:kern w:val="2"/>
      <w:sz w:val="21"/>
      <w:lang w:val="en-US" w:eastAsia="zh-CN"/>
    </w:rPr>
  </w:style>
  <w:style w:type="character" w:customStyle="1" w:styleId="210">
    <w:name w:val="样式 标题二 + (西文) 宋体 Char"/>
    <w:link w:val="211"/>
    <w:qFormat/>
    <w:locked/>
    <w:uiPriority w:val="0"/>
    <w:rPr>
      <w:rFonts w:ascii="宋体" w:hAnsi="宋体" w:eastAsia="黑体"/>
      <w:b/>
      <w:sz w:val="36"/>
    </w:rPr>
  </w:style>
  <w:style w:type="paragraph" w:customStyle="1" w:styleId="211">
    <w:name w:val="样式 标题二 + (西文) 宋体"/>
    <w:basedOn w:val="1"/>
    <w:link w:val="210"/>
    <w:qFormat/>
    <w:uiPriority w:val="0"/>
    <w:pPr>
      <w:spacing w:before="60" w:after="60"/>
      <w:jc w:val="left"/>
      <w:outlineLvl w:val="0"/>
    </w:pPr>
    <w:rPr>
      <w:rFonts w:ascii="宋体" w:hAnsi="宋体" w:eastAsia="黑体"/>
      <w:b/>
      <w:kern w:val="0"/>
      <w:sz w:val="36"/>
      <w:szCs w:val="20"/>
    </w:rPr>
  </w:style>
  <w:style w:type="character" w:customStyle="1" w:styleId="212">
    <w:name w:val="正文缩 Char"/>
    <w:link w:val="213"/>
    <w:qFormat/>
    <w:locked/>
    <w:uiPriority w:val="0"/>
    <w:rPr>
      <w:rFonts w:ascii="Times New Roman" w:hAnsi="Times New Roman" w:eastAsia="宋体"/>
      <w:sz w:val="24"/>
    </w:rPr>
  </w:style>
  <w:style w:type="paragraph" w:customStyle="1" w:styleId="213">
    <w:name w:val="正文缩"/>
    <w:basedOn w:val="1"/>
    <w:link w:val="212"/>
    <w:qFormat/>
    <w:uiPriority w:val="0"/>
    <w:pPr>
      <w:ind w:firstLine="200" w:firstLineChars="200"/>
    </w:pPr>
    <w:rPr>
      <w:kern w:val="0"/>
      <w:sz w:val="24"/>
      <w:szCs w:val="20"/>
    </w:rPr>
  </w:style>
  <w:style w:type="character" w:customStyle="1" w:styleId="214">
    <w:name w:val="Char Char3"/>
    <w:qFormat/>
    <w:uiPriority w:val="99"/>
    <w:rPr>
      <w:rFonts w:ascii="Times New Roman" w:hAnsi="Times New Roman" w:eastAsia="宋体"/>
      <w:kern w:val="2"/>
      <w:sz w:val="21"/>
      <w:lang w:val="en-US" w:eastAsia="zh-CN"/>
    </w:rPr>
  </w:style>
  <w:style w:type="character" w:customStyle="1" w:styleId="215">
    <w:name w:val="正文文本 3 Char"/>
    <w:qFormat/>
    <w:uiPriority w:val="0"/>
    <w:rPr>
      <w:rFonts w:ascii="Times New Roman" w:hAnsi="Times New Roman" w:eastAsia="宋体"/>
      <w:kern w:val="2"/>
      <w:sz w:val="16"/>
    </w:rPr>
  </w:style>
  <w:style w:type="character" w:customStyle="1" w:styleId="216">
    <w:name w:val="+正文 Char5 Char Char Char Char Char"/>
    <w:link w:val="217"/>
    <w:qFormat/>
    <w:locked/>
    <w:uiPriority w:val="0"/>
    <w:rPr>
      <w:rFonts w:ascii="宋体" w:hAnsi="宋体" w:eastAsia="宋体"/>
      <w:sz w:val="24"/>
    </w:rPr>
  </w:style>
  <w:style w:type="paragraph" w:customStyle="1" w:styleId="217">
    <w:name w:val="+正文 Char5 Char Char Char"/>
    <w:basedOn w:val="1"/>
    <w:link w:val="216"/>
    <w:qFormat/>
    <w:uiPriority w:val="0"/>
    <w:pPr>
      <w:spacing w:line="360" w:lineRule="auto"/>
      <w:ind w:firstLine="200" w:firstLineChars="200"/>
    </w:pPr>
    <w:rPr>
      <w:rFonts w:ascii="宋体" w:hAnsi="宋体"/>
      <w:kern w:val="0"/>
      <w:sz w:val="24"/>
      <w:szCs w:val="20"/>
    </w:rPr>
  </w:style>
  <w:style w:type="character" w:customStyle="1" w:styleId="218">
    <w:name w:val="文章 Char"/>
    <w:link w:val="219"/>
    <w:qFormat/>
    <w:locked/>
    <w:uiPriority w:val="0"/>
    <w:rPr>
      <w:rFonts w:ascii="Garamond" w:hAnsi="Garamond"/>
      <w:sz w:val="24"/>
      <w:lang w:val="en-US" w:eastAsia="zh-CN"/>
    </w:rPr>
  </w:style>
  <w:style w:type="paragraph" w:customStyle="1" w:styleId="219">
    <w:name w:val="文章"/>
    <w:link w:val="218"/>
    <w:qFormat/>
    <w:uiPriority w:val="0"/>
    <w:pPr>
      <w:adjustRightInd w:val="0"/>
      <w:snapToGrid w:val="0"/>
      <w:spacing w:line="360" w:lineRule="auto"/>
      <w:ind w:firstLine="520" w:firstLineChars="200"/>
    </w:pPr>
    <w:rPr>
      <w:rFonts w:ascii="Garamond" w:hAnsi="Garamond" w:eastAsia="宋体" w:cs="Times New Roman"/>
      <w:sz w:val="24"/>
      <w:szCs w:val="24"/>
      <w:lang w:val="en-US" w:eastAsia="zh-CN" w:bidi="ar-SA"/>
    </w:rPr>
  </w:style>
  <w:style w:type="character" w:customStyle="1" w:styleId="220">
    <w:name w:val="font61"/>
    <w:qFormat/>
    <w:uiPriority w:val="0"/>
    <w:rPr>
      <w:rFonts w:ascii="宋体" w:hAnsi="宋体" w:eastAsia="宋体"/>
      <w:color w:val="000000"/>
      <w:sz w:val="20"/>
      <w:u w:val="none"/>
    </w:rPr>
  </w:style>
  <w:style w:type="character" w:customStyle="1" w:styleId="221">
    <w:name w:val="目录 2 Char"/>
    <w:link w:val="222"/>
    <w:qFormat/>
    <w:locked/>
    <w:uiPriority w:val="39"/>
    <w:rPr>
      <w:rFonts w:ascii="Calibri" w:hAnsi="Calibri" w:eastAsia="宋体"/>
      <w:smallCaps/>
      <w:kern w:val="2"/>
    </w:rPr>
  </w:style>
  <w:style w:type="paragraph" w:customStyle="1" w:styleId="222">
    <w:name w:val="目录 21"/>
    <w:basedOn w:val="1"/>
    <w:next w:val="1"/>
    <w:link w:val="221"/>
    <w:qFormat/>
    <w:uiPriority w:val="39"/>
    <w:pPr>
      <w:spacing w:line="360" w:lineRule="auto"/>
      <w:ind w:left="280" w:firstLine="200" w:firstLineChars="200"/>
      <w:jc w:val="left"/>
    </w:pPr>
    <w:rPr>
      <w:rFonts w:ascii="Calibri" w:hAnsi="Calibri"/>
      <w:smallCaps/>
      <w:sz w:val="20"/>
      <w:szCs w:val="20"/>
    </w:rPr>
  </w:style>
  <w:style w:type="character" w:customStyle="1" w:styleId="223">
    <w:name w:val="表格内容 Char Char Char"/>
    <w:qFormat/>
    <w:uiPriority w:val="0"/>
    <w:rPr>
      <w:rFonts w:ascii="Times New Roman" w:hAnsi="Times New Roman" w:eastAsia="宋体"/>
      <w:color w:val="000000"/>
      <w:kern w:val="2"/>
      <w:sz w:val="16"/>
      <w:lang w:val="en-US" w:eastAsia="zh-CN"/>
    </w:rPr>
  </w:style>
  <w:style w:type="character" w:customStyle="1" w:styleId="224">
    <w:name w:val="font71"/>
    <w:qFormat/>
    <w:uiPriority w:val="0"/>
    <w:rPr>
      <w:rFonts w:ascii="宋体" w:hAnsi="宋体" w:eastAsia="宋体"/>
      <w:color w:val="000000"/>
      <w:sz w:val="18"/>
      <w:u w:val="none"/>
    </w:rPr>
  </w:style>
  <w:style w:type="character" w:customStyle="1" w:styleId="225">
    <w:name w:val="文档结构图 Char1"/>
    <w:qFormat/>
    <w:uiPriority w:val="99"/>
    <w:rPr>
      <w:rFonts w:ascii="宋体" w:hAnsi="Calibri" w:eastAsia="宋体"/>
      <w:kern w:val="2"/>
      <w:sz w:val="18"/>
    </w:rPr>
  </w:style>
  <w:style w:type="character" w:customStyle="1" w:styleId="226">
    <w:name w:val="正文文字 Char"/>
    <w:qFormat/>
    <w:uiPriority w:val="0"/>
    <w:rPr>
      <w:rFonts w:ascii="宋体" w:hAnsi="宋体" w:eastAsia="宋体"/>
      <w:kern w:val="2"/>
      <w:sz w:val="24"/>
      <w:lang w:val="en-US" w:eastAsia="zh-CN"/>
    </w:rPr>
  </w:style>
  <w:style w:type="character" w:customStyle="1" w:styleId="227">
    <w:name w:val="10"/>
    <w:qFormat/>
    <w:uiPriority w:val="0"/>
    <w:rPr>
      <w:rFonts w:ascii="Times New Roman" w:hAnsi="Times New Roman" w:eastAsia="宋体"/>
    </w:rPr>
  </w:style>
  <w:style w:type="character" w:customStyle="1" w:styleId="228">
    <w:name w:val="页脚 Char1"/>
    <w:qFormat/>
    <w:uiPriority w:val="0"/>
    <w:rPr>
      <w:rFonts w:ascii="Times New Roman" w:hAnsi="Times New Roman" w:eastAsia="宋体"/>
      <w:kern w:val="2"/>
      <w:sz w:val="18"/>
    </w:rPr>
  </w:style>
  <w:style w:type="character" w:customStyle="1" w:styleId="229">
    <w:name w:val="表头121212 Char"/>
    <w:link w:val="230"/>
    <w:qFormat/>
    <w:locked/>
    <w:uiPriority w:val="0"/>
    <w:rPr>
      <w:rFonts w:ascii="宋体" w:hAnsi="宋体" w:eastAsia="宋体"/>
      <w:b/>
      <w:sz w:val="24"/>
    </w:rPr>
  </w:style>
  <w:style w:type="paragraph" w:customStyle="1" w:styleId="230">
    <w:name w:val="表头121212"/>
    <w:basedOn w:val="231"/>
    <w:link w:val="229"/>
    <w:qFormat/>
    <w:uiPriority w:val="0"/>
    <w:pPr>
      <w:widowControl w:val="0"/>
      <w:spacing w:line="360" w:lineRule="auto"/>
      <w:ind w:left="1400"/>
      <w:jc w:val="left"/>
    </w:pPr>
    <w:rPr>
      <w:b/>
      <w:sz w:val="24"/>
      <w:szCs w:val="20"/>
    </w:rPr>
  </w:style>
  <w:style w:type="paragraph" w:customStyle="1" w:styleId="231">
    <w:name w:val="正文1111"/>
    <w:qFormat/>
    <w:uiPriority w:val="99"/>
    <w:pPr>
      <w:jc w:val="both"/>
    </w:pPr>
    <w:rPr>
      <w:rFonts w:ascii="宋体" w:hAnsi="宋体" w:eastAsia="宋体" w:cs="Times New Roman"/>
      <w:sz w:val="28"/>
      <w:szCs w:val="28"/>
      <w:lang w:val="en-US" w:eastAsia="zh-CN" w:bidi="ar-SA"/>
    </w:rPr>
  </w:style>
  <w:style w:type="character" w:customStyle="1" w:styleId="232">
    <w:name w:val="正文 Char"/>
    <w:link w:val="233"/>
    <w:qFormat/>
    <w:locked/>
    <w:uiPriority w:val="0"/>
    <w:rPr>
      <w:rFonts w:ascii="Times New Roman" w:hAnsi="Times New Roman" w:eastAsia="宋体"/>
      <w:color w:val="000000"/>
      <w:sz w:val="28"/>
    </w:rPr>
  </w:style>
  <w:style w:type="paragraph" w:customStyle="1" w:styleId="233">
    <w:name w:val="正文2"/>
    <w:basedOn w:val="53"/>
    <w:link w:val="232"/>
    <w:qFormat/>
    <w:uiPriority w:val="0"/>
    <w:pPr>
      <w:spacing w:line="240" w:lineRule="auto"/>
      <w:ind w:firstLine="200" w:firstLineChars="200"/>
      <w:jc w:val="both"/>
    </w:pPr>
    <w:rPr>
      <w:color w:val="000000"/>
      <w:spacing w:val="0"/>
      <w:kern w:val="0"/>
      <w:sz w:val="28"/>
      <w:szCs w:val="20"/>
    </w:rPr>
  </w:style>
  <w:style w:type="character" w:customStyle="1" w:styleId="234">
    <w:name w:val="Char Char Char Char2"/>
    <w:qFormat/>
    <w:uiPriority w:val="0"/>
    <w:rPr>
      <w:rFonts w:ascii="宋体" w:hAnsi="宋体" w:eastAsia="宋体"/>
      <w:kern w:val="2"/>
      <w:sz w:val="24"/>
      <w:lang w:val="en-US" w:eastAsia="zh-CN"/>
    </w:rPr>
  </w:style>
  <w:style w:type="character" w:customStyle="1" w:styleId="235">
    <w:name w:val="正文文本缩进 Char Char"/>
    <w:qFormat/>
    <w:uiPriority w:val="0"/>
    <w:rPr>
      <w:rFonts w:ascii="Times New Roman" w:hAnsi="Times New Roman" w:eastAsia="宋体"/>
      <w:kern w:val="2"/>
      <w:sz w:val="24"/>
      <w:lang w:val="en-US" w:eastAsia="zh-CN"/>
    </w:rPr>
  </w:style>
  <w:style w:type="character" w:customStyle="1" w:styleId="236">
    <w:name w:val="页眉 Char1"/>
    <w:qFormat/>
    <w:uiPriority w:val="0"/>
    <w:rPr>
      <w:rFonts w:ascii="Times New Roman" w:hAnsi="Times New Roman" w:eastAsia="宋体"/>
      <w:kern w:val="2"/>
      <w:sz w:val="18"/>
    </w:rPr>
  </w:style>
  <w:style w:type="character" w:customStyle="1" w:styleId="237">
    <w:name w:val="正文文本 2 Char2"/>
    <w:qFormat/>
    <w:uiPriority w:val="99"/>
    <w:rPr>
      <w:rFonts w:ascii="Times New Roman" w:hAnsi="Times New Roman" w:eastAsia="宋体"/>
      <w:sz w:val="28"/>
    </w:rPr>
  </w:style>
  <w:style w:type="character" w:customStyle="1" w:styleId="238">
    <w:name w:val="标题6 Char"/>
    <w:qFormat/>
    <w:uiPriority w:val="0"/>
    <w:rPr>
      <w:rFonts w:ascii="黑体" w:hAnsi="宋体" w:eastAsia="黑体"/>
      <w:sz w:val="24"/>
      <w:lang w:val="en-US" w:eastAsia="zh-CN"/>
    </w:rPr>
  </w:style>
  <w:style w:type="character" w:customStyle="1" w:styleId="239">
    <w:name w:val="报告书正文 Char Char"/>
    <w:link w:val="240"/>
    <w:qFormat/>
    <w:locked/>
    <w:uiPriority w:val="0"/>
    <w:rPr>
      <w:rFonts w:ascii="Times New Roman" w:hAnsi="Times New Roman" w:eastAsia="宋体"/>
      <w:kern w:val="2"/>
      <w:sz w:val="24"/>
    </w:rPr>
  </w:style>
  <w:style w:type="paragraph" w:customStyle="1" w:styleId="240">
    <w:name w:val="报告书正文 Char"/>
    <w:basedOn w:val="1"/>
    <w:link w:val="239"/>
    <w:qFormat/>
    <w:uiPriority w:val="0"/>
    <w:pPr>
      <w:adjustRightInd w:val="0"/>
      <w:snapToGrid w:val="0"/>
      <w:spacing w:line="400" w:lineRule="atLeast"/>
      <w:ind w:firstLine="567"/>
    </w:pPr>
    <w:rPr>
      <w:sz w:val="24"/>
      <w:szCs w:val="20"/>
    </w:rPr>
  </w:style>
  <w:style w:type="character" w:customStyle="1" w:styleId="241">
    <w:name w:val="fontstyle31"/>
    <w:qFormat/>
    <w:uiPriority w:val="0"/>
    <w:rPr>
      <w:rFonts w:ascii="MicrosoftYaHei" w:hAnsi="MicrosoftYaHei" w:eastAsia="宋体"/>
      <w:color w:val="000000"/>
      <w:sz w:val="32"/>
    </w:rPr>
  </w:style>
  <w:style w:type="character" w:customStyle="1" w:styleId="242">
    <w:name w:val="正文YHY Char"/>
    <w:link w:val="243"/>
    <w:qFormat/>
    <w:locked/>
    <w:uiPriority w:val="0"/>
    <w:rPr>
      <w:rFonts w:ascii="Times New Roman" w:hAnsi="Times New Roman" w:eastAsia="宋体"/>
      <w:kern w:val="2"/>
      <w:sz w:val="24"/>
    </w:rPr>
  </w:style>
  <w:style w:type="paragraph" w:customStyle="1" w:styleId="243">
    <w:name w:val="正文YHY"/>
    <w:basedOn w:val="1"/>
    <w:link w:val="242"/>
    <w:qFormat/>
    <w:uiPriority w:val="0"/>
    <w:pPr>
      <w:spacing w:beforeLines="50" w:afterLines="50" w:line="360" w:lineRule="auto"/>
      <w:ind w:firstLine="200" w:firstLineChars="200"/>
    </w:pPr>
    <w:rPr>
      <w:sz w:val="24"/>
      <w:szCs w:val="20"/>
    </w:rPr>
  </w:style>
  <w:style w:type="character" w:customStyle="1" w:styleId="244">
    <w:name w:val="font81"/>
    <w:qFormat/>
    <w:uiPriority w:val="0"/>
    <w:rPr>
      <w:rFonts w:ascii="宋体" w:hAnsi="宋体" w:eastAsia="宋体"/>
      <w:color w:val="000000"/>
      <w:sz w:val="20"/>
      <w:u w:val="none"/>
    </w:rPr>
  </w:style>
  <w:style w:type="character" w:customStyle="1" w:styleId="245">
    <w:name w:val="表号、图号 Char"/>
    <w:link w:val="246"/>
    <w:qFormat/>
    <w:locked/>
    <w:uiPriority w:val="0"/>
    <w:rPr>
      <w:rFonts w:ascii="黑体" w:hAnsi="黑体" w:eastAsia="黑体"/>
      <w:kern w:val="2"/>
      <w:sz w:val="24"/>
    </w:rPr>
  </w:style>
  <w:style w:type="paragraph" w:customStyle="1" w:styleId="246">
    <w:name w:val="表号、图号"/>
    <w:basedOn w:val="1"/>
    <w:link w:val="245"/>
    <w:qFormat/>
    <w:uiPriority w:val="0"/>
    <w:pPr>
      <w:spacing w:line="360" w:lineRule="auto"/>
      <w:jc w:val="center"/>
    </w:pPr>
    <w:rPr>
      <w:rFonts w:ascii="黑体" w:hAnsi="黑体" w:eastAsia="黑体"/>
      <w:sz w:val="24"/>
      <w:szCs w:val="20"/>
    </w:rPr>
  </w:style>
  <w:style w:type="character" w:customStyle="1" w:styleId="247">
    <w:name w:val="font21"/>
    <w:qFormat/>
    <w:uiPriority w:val="0"/>
    <w:rPr>
      <w:rFonts w:ascii="宋体" w:hAnsi="宋体" w:eastAsia="宋体"/>
      <w:color w:val="000000"/>
      <w:sz w:val="22"/>
      <w:u w:val="none"/>
    </w:rPr>
  </w:style>
  <w:style w:type="character" w:customStyle="1" w:styleId="248">
    <w:name w:val="目录-GPPP Char"/>
    <w:link w:val="249"/>
    <w:qFormat/>
    <w:locked/>
    <w:uiPriority w:val="0"/>
    <w:rPr>
      <w:rFonts w:ascii="Calibri" w:hAnsi="Calibri" w:eastAsia="宋体"/>
      <w:b/>
      <w:caps/>
      <w:kern w:val="2"/>
      <w:sz w:val="28"/>
    </w:rPr>
  </w:style>
  <w:style w:type="paragraph" w:customStyle="1" w:styleId="249">
    <w:name w:val="目录-GPPP"/>
    <w:basedOn w:val="36"/>
    <w:link w:val="248"/>
    <w:qFormat/>
    <w:uiPriority w:val="0"/>
    <w:pPr>
      <w:tabs>
        <w:tab w:val="right" w:leader="dot" w:pos="8296"/>
      </w:tabs>
      <w:spacing w:before="120" w:line="360" w:lineRule="auto"/>
      <w:ind w:firstLine="200" w:firstLineChars="200"/>
      <w:jc w:val="left"/>
    </w:pPr>
    <w:rPr>
      <w:rFonts w:ascii="Calibri" w:hAnsi="Calibri"/>
      <w:b/>
      <w:caps/>
      <w:sz w:val="28"/>
      <w:szCs w:val="20"/>
    </w:rPr>
  </w:style>
  <w:style w:type="character" w:customStyle="1" w:styleId="250">
    <w:name w:val="标题 1 字符"/>
    <w:qFormat/>
    <w:uiPriority w:val="0"/>
    <w:rPr>
      <w:rFonts w:ascii="黑体" w:hAnsi="黑体" w:eastAsia="黑体"/>
      <w:b/>
      <w:kern w:val="44"/>
      <w:sz w:val="24"/>
      <w:lang w:val="en-US" w:eastAsia="zh-CN"/>
    </w:rPr>
  </w:style>
  <w:style w:type="character" w:customStyle="1" w:styleId="251">
    <w:name w:val="正文段落 Char Char"/>
    <w:link w:val="252"/>
    <w:qFormat/>
    <w:locked/>
    <w:uiPriority w:val="99"/>
    <w:rPr>
      <w:rFonts w:ascii="Times New Roman" w:hAnsi="Times New Roman" w:eastAsia="宋体"/>
      <w:sz w:val="28"/>
    </w:rPr>
  </w:style>
  <w:style w:type="paragraph" w:customStyle="1" w:styleId="252">
    <w:name w:val="正文段落"/>
    <w:basedOn w:val="53"/>
    <w:link w:val="251"/>
    <w:qFormat/>
    <w:uiPriority w:val="0"/>
    <w:pPr>
      <w:topLinePunct/>
      <w:adjustRightInd w:val="0"/>
      <w:spacing w:line="360" w:lineRule="auto"/>
      <w:ind w:firstLine="525" w:firstLineChars="0"/>
      <w:textAlignment w:val="baseline"/>
    </w:pPr>
    <w:rPr>
      <w:spacing w:val="0"/>
      <w:kern w:val="0"/>
      <w:sz w:val="28"/>
      <w:szCs w:val="20"/>
    </w:rPr>
  </w:style>
  <w:style w:type="character" w:customStyle="1" w:styleId="253">
    <w:name w:val="count"/>
    <w:qFormat/>
    <w:uiPriority w:val="99"/>
    <w:rPr>
      <w:rFonts w:ascii="Times New Roman" w:hAnsi="Times New Roman" w:eastAsia="宋体"/>
    </w:rPr>
  </w:style>
  <w:style w:type="character" w:customStyle="1" w:styleId="254">
    <w:name w:val="标题5 Char"/>
    <w:link w:val="255"/>
    <w:qFormat/>
    <w:locked/>
    <w:uiPriority w:val="0"/>
    <w:rPr>
      <w:rFonts w:ascii="黑体" w:hAnsi="宋体" w:eastAsia="黑体"/>
      <w:b/>
      <w:sz w:val="28"/>
    </w:rPr>
  </w:style>
  <w:style w:type="paragraph" w:customStyle="1" w:styleId="255">
    <w:name w:val="标题5"/>
    <w:basedOn w:val="256"/>
    <w:link w:val="254"/>
    <w:qFormat/>
    <w:uiPriority w:val="0"/>
    <w:pPr>
      <w:spacing w:line="480" w:lineRule="exact"/>
      <w:ind w:firstLine="560" w:firstLineChars="200"/>
      <w:jc w:val="center"/>
    </w:pPr>
    <w:rPr>
      <w:rFonts w:ascii="黑体" w:hAnsi="宋体" w:eastAsia="黑体"/>
      <w:kern w:val="0"/>
      <w:sz w:val="28"/>
      <w:szCs w:val="20"/>
    </w:rPr>
  </w:style>
  <w:style w:type="paragraph" w:customStyle="1" w:styleId="256">
    <w:name w:val="正文文字"/>
    <w:basedOn w:val="1"/>
    <w:qFormat/>
    <w:uiPriority w:val="0"/>
    <w:pPr>
      <w:jc w:val="right"/>
    </w:pPr>
    <w:rPr>
      <w:b/>
      <w:sz w:val="24"/>
    </w:rPr>
  </w:style>
  <w:style w:type="character" w:customStyle="1" w:styleId="257">
    <w:name w:val="鲍伟 正文 Char"/>
    <w:link w:val="258"/>
    <w:qFormat/>
    <w:locked/>
    <w:uiPriority w:val="0"/>
    <w:rPr>
      <w:rFonts w:ascii="宋体" w:eastAsia="宋体"/>
      <w:kern w:val="2"/>
      <w:sz w:val="24"/>
      <w:lang w:val="en-US" w:eastAsia="zh-CN"/>
    </w:rPr>
  </w:style>
  <w:style w:type="paragraph" w:customStyle="1" w:styleId="258">
    <w:name w:val="鲍伟 正文"/>
    <w:link w:val="257"/>
    <w:qFormat/>
    <w:uiPriority w:val="0"/>
    <w:pPr>
      <w:spacing w:line="360" w:lineRule="auto"/>
      <w:ind w:left="-4" w:leftChars="-2" w:firstLine="480" w:firstLineChars="200"/>
      <w:jc w:val="both"/>
    </w:pPr>
    <w:rPr>
      <w:rFonts w:ascii="宋体" w:hAnsi="宋体" w:eastAsia="宋体" w:cs="Times New Roman"/>
      <w:kern w:val="2"/>
      <w:sz w:val="24"/>
      <w:lang w:val="en-US" w:eastAsia="zh-CN" w:bidi="ar-SA"/>
    </w:rPr>
  </w:style>
  <w:style w:type="character" w:customStyle="1" w:styleId="259">
    <w:name w:val="样式10排版正文 Char Char"/>
    <w:link w:val="260"/>
    <w:qFormat/>
    <w:locked/>
    <w:uiPriority w:val="0"/>
    <w:rPr>
      <w:rFonts w:ascii="Times New Roman" w:hAnsi="Times New Roman" w:eastAsia="仿宋_GB2312"/>
      <w:snapToGrid w:val="0"/>
      <w:color w:val="000000"/>
      <w:sz w:val="30"/>
    </w:rPr>
  </w:style>
  <w:style w:type="paragraph" w:customStyle="1" w:styleId="260">
    <w:name w:val="样式10排版正文 Char"/>
    <w:basedOn w:val="1"/>
    <w:link w:val="259"/>
    <w:qFormat/>
    <w:uiPriority w:val="0"/>
    <w:pPr>
      <w:adjustRightInd w:val="0"/>
      <w:snapToGrid w:val="0"/>
      <w:spacing w:line="600" w:lineRule="exact"/>
      <w:ind w:firstLine="607"/>
    </w:pPr>
    <w:rPr>
      <w:rFonts w:eastAsia="仿宋_GB2312"/>
      <w:color w:val="000000"/>
      <w:kern w:val="0"/>
      <w:sz w:val="30"/>
      <w:szCs w:val="20"/>
    </w:rPr>
  </w:style>
  <w:style w:type="character" w:customStyle="1" w:styleId="261">
    <w:name w:val="标题8"/>
    <w:qFormat/>
    <w:uiPriority w:val="0"/>
    <w:rPr>
      <w:rFonts w:ascii="Times New Roman" w:hAnsi="Times New Roman" w:eastAsia="宋体"/>
    </w:rPr>
  </w:style>
  <w:style w:type="character" w:customStyle="1" w:styleId="262">
    <w:name w:val="样式 样式 小四 首行缩进:  0.85 厘米 行距: 最小值 24 磅 + Char"/>
    <w:link w:val="263"/>
    <w:qFormat/>
    <w:locked/>
    <w:uiPriority w:val="0"/>
    <w:rPr>
      <w:rFonts w:ascii="Times New Roman" w:hAnsi="Times New Roman" w:eastAsia="宋体"/>
      <w:sz w:val="24"/>
    </w:rPr>
  </w:style>
  <w:style w:type="paragraph" w:customStyle="1" w:styleId="263">
    <w:name w:val="样式 样式 小四 首行缩进:  0.85 厘米 行距: 最小值 24 磅 +"/>
    <w:basedOn w:val="1"/>
    <w:link w:val="262"/>
    <w:qFormat/>
    <w:uiPriority w:val="0"/>
    <w:pPr>
      <w:spacing w:line="480" w:lineRule="atLeast"/>
      <w:ind w:firstLine="482"/>
    </w:pPr>
    <w:rPr>
      <w:kern w:val="0"/>
      <w:sz w:val="24"/>
      <w:szCs w:val="20"/>
    </w:rPr>
  </w:style>
  <w:style w:type="character" w:customStyle="1" w:styleId="264">
    <w:name w:val="text1"/>
    <w:qFormat/>
    <w:uiPriority w:val="0"/>
    <w:rPr>
      <w:rFonts w:ascii="宋体" w:hAnsi="宋体" w:eastAsia="宋体"/>
      <w:kern w:val="2"/>
      <w:sz w:val="18"/>
      <w:u w:val="none"/>
      <w:lang w:val="en-US" w:eastAsia="zh-CN"/>
    </w:rPr>
  </w:style>
  <w:style w:type="character" w:customStyle="1" w:styleId="265">
    <w:name w:val="标题 9 Char1"/>
    <w:qFormat/>
    <w:uiPriority w:val="9"/>
    <w:rPr>
      <w:rFonts w:ascii="Cambria" w:hAnsi="Cambria" w:eastAsia="宋体"/>
      <w:sz w:val="21"/>
    </w:rPr>
  </w:style>
  <w:style w:type="character" w:customStyle="1" w:styleId="266">
    <w:name w:val="style171"/>
    <w:qFormat/>
    <w:uiPriority w:val="0"/>
    <w:rPr>
      <w:rFonts w:ascii="宋体" w:hAnsi="宋体" w:eastAsia="宋体"/>
      <w:kern w:val="2"/>
      <w:sz w:val="21"/>
      <w:lang w:val="en-US" w:eastAsia="zh-CN"/>
    </w:rPr>
  </w:style>
  <w:style w:type="character" w:customStyle="1" w:styleId="267">
    <w:name w:val="表格居中 Char Char"/>
    <w:link w:val="268"/>
    <w:qFormat/>
    <w:locked/>
    <w:uiPriority w:val="99"/>
    <w:rPr>
      <w:rFonts w:eastAsia="仿宋_GB2312"/>
      <w:sz w:val="24"/>
      <w:lang w:val="en-US" w:eastAsia="zh-CN"/>
    </w:rPr>
  </w:style>
  <w:style w:type="paragraph" w:customStyle="1" w:styleId="268">
    <w:name w:val="表格居中"/>
    <w:link w:val="267"/>
    <w:qFormat/>
    <w:uiPriority w:val="99"/>
    <w:pPr>
      <w:adjustRightInd w:val="0"/>
      <w:ind w:left="-36" w:leftChars="-15" w:right="-36" w:rightChars="-15"/>
      <w:jc w:val="center"/>
    </w:pPr>
    <w:rPr>
      <w:rFonts w:ascii="Times New Roman" w:hAnsi="Times New Roman" w:eastAsia="仿宋_GB2312" w:cs="Times New Roman"/>
      <w:szCs w:val="24"/>
      <w:lang w:val="en-US" w:eastAsia="zh-CN" w:bidi="ar-SA"/>
    </w:rPr>
  </w:style>
  <w:style w:type="character" w:customStyle="1" w:styleId="269">
    <w:name w:val="纯文本 Char2"/>
    <w:qFormat/>
    <w:uiPriority w:val="0"/>
    <w:rPr>
      <w:rFonts w:ascii="宋体" w:hAnsi="Courier New" w:eastAsia="宋体"/>
      <w:sz w:val="21"/>
    </w:rPr>
  </w:style>
  <w:style w:type="character" w:customStyle="1" w:styleId="270">
    <w:name w:val="4444 Char Char"/>
    <w:link w:val="271"/>
    <w:qFormat/>
    <w:locked/>
    <w:uiPriority w:val="99"/>
    <w:rPr>
      <w:rFonts w:ascii="Calibri" w:hAnsi="Calibri" w:eastAsia="宋体"/>
      <w:kern w:val="2"/>
      <w:sz w:val="18"/>
    </w:rPr>
  </w:style>
  <w:style w:type="paragraph" w:customStyle="1" w:styleId="271">
    <w:name w:val="4444"/>
    <w:basedOn w:val="231"/>
    <w:link w:val="270"/>
    <w:qFormat/>
    <w:uiPriority w:val="99"/>
    <w:pPr>
      <w:widowControl w:val="0"/>
      <w:spacing w:line="360" w:lineRule="auto"/>
      <w:ind w:left="1400"/>
      <w:jc w:val="left"/>
    </w:pPr>
    <w:rPr>
      <w:rFonts w:ascii="Calibri" w:hAnsi="Calibri"/>
      <w:kern w:val="2"/>
      <w:sz w:val="18"/>
      <w:szCs w:val="20"/>
    </w:rPr>
  </w:style>
  <w:style w:type="character" w:customStyle="1" w:styleId="272">
    <w:name w:val="标题10"/>
    <w:qFormat/>
    <w:uiPriority w:val="99"/>
    <w:rPr>
      <w:rFonts w:ascii="Times New Roman" w:hAnsi="Times New Roman" w:eastAsia="宋体"/>
    </w:rPr>
  </w:style>
  <w:style w:type="character" w:customStyle="1" w:styleId="273">
    <w:name w:val="纯文本 Char4"/>
    <w:qFormat/>
    <w:uiPriority w:val="99"/>
    <w:rPr>
      <w:rFonts w:ascii="宋体" w:hAnsi="Courier New" w:eastAsia="宋体"/>
      <w:sz w:val="21"/>
    </w:rPr>
  </w:style>
  <w:style w:type="character" w:customStyle="1" w:styleId="274">
    <w:name w:val="标题 1 Char1"/>
    <w:qFormat/>
    <w:uiPriority w:val="0"/>
    <w:rPr>
      <w:rFonts w:ascii="Times New Roman" w:hAnsi="Times New Roman" w:eastAsia="宋体"/>
      <w:b/>
      <w:kern w:val="44"/>
      <w:sz w:val="44"/>
    </w:rPr>
  </w:style>
  <w:style w:type="character" w:customStyle="1" w:styleId="275">
    <w:name w:val="正文文本缩进 2 Char"/>
    <w:qFormat/>
    <w:uiPriority w:val="0"/>
    <w:rPr>
      <w:rFonts w:ascii="Times New Roman" w:hAnsi="Times New Roman" w:eastAsia="宋体"/>
      <w:kern w:val="2"/>
      <w:sz w:val="24"/>
    </w:rPr>
  </w:style>
  <w:style w:type="character" w:customStyle="1" w:styleId="276">
    <w:name w:val="纯文本 Char Char Char Char Char Char"/>
    <w:qFormat/>
    <w:uiPriority w:val="0"/>
    <w:rPr>
      <w:rFonts w:ascii="宋体" w:hAnsi="Courier New" w:eastAsia="宋体"/>
      <w:kern w:val="2"/>
      <w:sz w:val="24"/>
    </w:rPr>
  </w:style>
  <w:style w:type="character" w:customStyle="1" w:styleId="277">
    <w:name w:val="tt2"/>
    <w:qFormat/>
    <w:uiPriority w:val="0"/>
    <w:rPr>
      <w:rFonts w:ascii="宋体" w:hAnsi="宋体" w:eastAsia="宋体"/>
      <w:kern w:val="2"/>
      <w:sz w:val="24"/>
      <w:lang w:val="en-US" w:eastAsia="zh-CN"/>
    </w:rPr>
  </w:style>
  <w:style w:type="character" w:customStyle="1" w:styleId="278">
    <w:name w:val="Char Char20"/>
    <w:qFormat/>
    <w:uiPriority w:val="99"/>
    <w:rPr>
      <w:rFonts w:ascii="Times New Roman" w:hAnsi="Times New Roman" w:eastAsia="宋体"/>
      <w:b/>
      <w:sz w:val="32"/>
    </w:rPr>
  </w:style>
  <w:style w:type="character" w:customStyle="1" w:styleId="279">
    <w:name w:val="批注主题 Char1"/>
    <w:qFormat/>
    <w:uiPriority w:val="99"/>
    <w:rPr>
      <w:rFonts w:ascii="Times New Roman" w:hAnsi="Times New Roman" w:eastAsia="宋体"/>
      <w:b/>
      <w:sz w:val="24"/>
    </w:rPr>
  </w:style>
  <w:style w:type="character" w:customStyle="1" w:styleId="280">
    <w:name w:val="16"/>
    <w:qFormat/>
    <w:uiPriority w:val="99"/>
    <w:rPr>
      <w:rFonts w:ascii="Times New Roman" w:hAnsi="Times New Roman" w:eastAsia="宋体"/>
      <w:color w:val="0000FF"/>
      <w:sz w:val="20"/>
      <w:u w:val="single"/>
    </w:rPr>
  </w:style>
  <w:style w:type="character" w:customStyle="1" w:styleId="281">
    <w:name w:val="comment-text-w"/>
    <w:qFormat/>
    <w:uiPriority w:val="0"/>
    <w:rPr>
      <w:rFonts w:ascii="Times New Roman" w:hAnsi="Times New Roman" w:eastAsia="宋体"/>
      <w:color w:val="4398ED"/>
      <w:sz w:val="24"/>
    </w:rPr>
  </w:style>
  <w:style w:type="character" w:customStyle="1" w:styleId="282">
    <w:name w:val="正文文本缩进 23"/>
    <w:qFormat/>
    <w:uiPriority w:val="0"/>
    <w:rPr>
      <w:rFonts w:ascii="Times New Roman" w:hAnsi="Times New Roman" w:eastAsia="宋体"/>
      <w:kern w:val="2"/>
      <w:sz w:val="24"/>
      <w:lang w:val="en-US" w:eastAsia="zh-CN"/>
    </w:rPr>
  </w:style>
  <w:style w:type="character" w:customStyle="1" w:styleId="283">
    <w:name w:val="p201"/>
    <w:qFormat/>
    <w:uiPriority w:val="0"/>
    <w:rPr>
      <w:rFonts w:ascii="宋体" w:hAnsi="宋体" w:eastAsia="宋体"/>
      <w:b/>
      <w:color w:val="FF6600"/>
      <w:kern w:val="2"/>
      <w:sz w:val="32"/>
      <w:lang w:val="en-US" w:eastAsia="zh-CN"/>
    </w:rPr>
  </w:style>
  <w:style w:type="character" w:customStyle="1" w:styleId="284">
    <w:name w:val="+列表1 Char Char Char Char Char"/>
    <w:link w:val="285"/>
    <w:qFormat/>
    <w:locked/>
    <w:uiPriority w:val="0"/>
    <w:rPr>
      <w:rFonts w:ascii="宋体" w:hAnsi="宋体" w:eastAsia="宋体"/>
    </w:rPr>
  </w:style>
  <w:style w:type="paragraph" w:customStyle="1" w:styleId="285">
    <w:name w:val="+列表1 Char Char Char"/>
    <w:basedOn w:val="1"/>
    <w:link w:val="284"/>
    <w:qFormat/>
    <w:uiPriority w:val="0"/>
    <w:pPr>
      <w:jc w:val="center"/>
    </w:pPr>
    <w:rPr>
      <w:rFonts w:ascii="宋体" w:hAnsi="宋体"/>
      <w:kern w:val="0"/>
      <w:sz w:val="20"/>
      <w:szCs w:val="20"/>
    </w:rPr>
  </w:style>
  <w:style w:type="character" w:customStyle="1" w:styleId="286">
    <w:name w:val="批注文字 字符1"/>
    <w:qFormat/>
    <w:uiPriority w:val="99"/>
    <w:rPr>
      <w:rFonts w:ascii="Times New Roman" w:hAnsi="Times New Roman" w:eastAsia="宋体"/>
      <w:sz w:val="28"/>
    </w:rPr>
  </w:style>
  <w:style w:type="character" w:customStyle="1" w:styleId="287">
    <w:name w:val="纯文本 Char3"/>
    <w:qFormat/>
    <w:uiPriority w:val="99"/>
    <w:rPr>
      <w:rFonts w:ascii="宋体" w:hAnsi="Courier New" w:eastAsia="宋体"/>
      <w:sz w:val="21"/>
    </w:rPr>
  </w:style>
  <w:style w:type="character" w:customStyle="1" w:styleId="288">
    <w:name w:val="样式 宋体 四号 黑色3 Char Char"/>
    <w:link w:val="289"/>
    <w:qFormat/>
    <w:locked/>
    <w:uiPriority w:val="99"/>
    <w:rPr>
      <w:rFonts w:ascii="宋体" w:hAnsi="宋体" w:eastAsia="宋体"/>
      <w:color w:val="000000"/>
      <w:sz w:val="28"/>
    </w:rPr>
  </w:style>
  <w:style w:type="paragraph" w:customStyle="1" w:styleId="289">
    <w:name w:val="样式 宋体 四号 黑色3"/>
    <w:basedOn w:val="1"/>
    <w:link w:val="288"/>
    <w:qFormat/>
    <w:uiPriority w:val="99"/>
    <w:pPr>
      <w:spacing w:beforeLines="50" w:afterLines="50" w:line="560" w:lineRule="exact"/>
      <w:ind w:firstLine="200" w:firstLineChars="200"/>
      <w:jc w:val="left"/>
    </w:pPr>
    <w:rPr>
      <w:rFonts w:ascii="宋体" w:hAnsi="宋体"/>
      <w:color w:val="000000"/>
      <w:kern w:val="0"/>
      <w:sz w:val="28"/>
      <w:szCs w:val="20"/>
    </w:rPr>
  </w:style>
  <w:style w:type="character" w:customStyle="1" w:styleId="290">
    <w:name w:val="样式 四号 Char Char"/>
    <w:link w:val="291"/>
    <w:qFormat/>
    <w:locked/>
    <w:uiPriority w:val="99"/>
    <w:rPr>
      <w:rFonts w:ascii="Times New Roman" w:hAnsi="Times New Roman" w:eastAsia="宋体"/>
      <w:sz w:val="28"/>
    </w:rPr>
  </w:style>
  <w:style w:type="paragraph" w:customStyle="1" w:styleId="291">
    <w:name w:val="样式 四号"/>
    <w:basedOn w:val="1"/>
    <w:link w:val="290"/>
    <w:qFormat/>
    <w:uiPriority w:val="99"/>
    <w:pPr>
      <w:adjustRightInd w:val="0"/>
      <w:snapToGrid w:val="0"/>
      <w:spacing w:line="560" w:lineRule="exact"/>
      <w:ind w:firstLine="200" w:firstLineChars="200"/>
      <w:jc w:val="left"/>
    </w:pPr>
    <w:rPr>
      <w:kern w:val="0"/>
      <w:sz w:val="28"/>
      <w:szCs w:val="20"/>
    </w:rPr>
  </w:style>
  <w:style w:type="character" w:customStyle="1" w:styleId="292">
    <w:name w:val="hei141"/>
    <w:qFormat/>
    <w:uiPriority w:val="0"/>
    <w:rPr>
      <w:rFonts w:ascii="宋体" w:hAnsi="宋体" w:eastAsia="宋体"/>
      <w:color w:val="000000"/>
      <w:sz w:val="21"/>
      <w:u w:val="none"/>
    </w:rPr>
  </w:style>
  <w:style w:type="character" w:customStyle="1" w:styleId="293">
    <w:name w:val="12图片前海一期 Char"/>
    <w:link w:val="294"/>
    <w:qFormat/>
    <w:locked/>
    <w:uiPriority w:val="99"/>
    <w:rPr>
      <w:rFonts w:ascii="宋体" w:hAnsi="宋体" w:eastAsia="宋体"/>
      <w:color w:val="000000"/>
      <w:sz w:val="28"/>
    </w:rPr>
  </w:style>
  <w:style w:type="paragraph" w:customStyle="1" w:styleId="294">
    <w:name w:val="12图片前海一期"/>
    <w:basedOn w:val="295"/>
    <w:link w:val="293"/>
    <w:qFormat/>
    <w:uiPriority w:val="99"/>
    <w:pPr>
      <w:ind w:firstLine="0" w:firstLineChars="0"/>
      <w:jc w:val="center"/>
    </w:pPr>
  </w:style>
  <w:style w:type="paragraph" w:customStyle="1" w:styleId="295">
    <w:name w:val="07正文前海一期"/>
    <w:basedOn w:val="1"/>
    <w:link w:val="301"/>
    <w:qFormat/>
    <w:uiPriority w:val="99"/>
    <w:pPr>
      <w:overflowPunct w:val="0"/>
      <w:spacing w:line="360" w:lineRule="auto"/>
      <w:ind w:firstLine="200" w:firstLineChars="200"/>
      <w:jc w:val="left"/>
    </w:pPr>
    <w:rPr>
      <w:rFonts w:ascii="宋体" w:hAnsi="宋体"/>
      <w:color w:val="000000"/>
      <w:kern w:val="0"/>
      <w:sz w:val="28"/>
      <w:szCs w:val="20"/>
    </w:rPr>
  </w:style>
  <w:style w:type="character" w:customStyle="1" w:styleId="296">
    <w:name w:val="样式17 Char"/>
    <w:link w:val="297"/>
    <w:qFormat/>
    <w:locked/>
    <w:uiPriority w:val="0"/>
    <w:rPr>
      <w:rFonts w:ascii="Times New Roman" w:hAnsi="Times New Roman" w:eastAsia="宋体"/>
      <w:sz w:val="24"/>
    </w:rPr>
  </w:style>
  <w:style w:type="paragraph" w:customStyle="1" w:styleId="297">
    <w:name w:val="样式17"/>
    <w:basedOn w:val="298"/>
    <w:link w:val="296"/>
    <w:qFormat/>
    <w:uiPriority w:val="0"/>
    <w:pPr>
      <w:spacing w:before="120" w:after="120"/>
    </w:pPr>
    <w:rPr>
      <w:kern w:val="0"/>
    </w:rPr>
  </w:style>
  <w:style w:type="paragraph" w:customStyle="1" w:styleId="298">
    <w:name w:val="样式3"/>
    <w:basedOn w:val="1"/>
    <w:link w:val="314"/>
    <w:qFormat/>
    <w:uiPriority w:val="0"/>
    <w:pPr>
      <w:spacing w:beforeLines="50" w:afterLines="50" w:line="360" w:lineRule="auto"/>
      <w:ind w:firstLine="480" w:firstLineChars="200"/>
      <w:jc w:val="left"/>
    </w:pPr>
    <w:rPr>
      <w:sz w:val="24"/>
      <w:szCs w:val="20"/>
    </w:rPr>
  </w:style>
  <w:style w:type="character" w:customStyle="1" w:styleId="299">
    <w:name w:val="Char Char1 Char1"/>
    <w:link w:val="300"/>
    <w:qFormat/>
    <w:locked/>
    <w:uiPriority w:val="0"/>
    <w:rPr>
      <w:rFonts w:ascii="宋体" w:hAnsi="宋体" w:eastAsia="宋体"/>
      <w:sz w:val="24"/>
      <w:lang w:eastAsia="en-US"/>
    </w:rPr>
  </w:style>
  <w:style w:type="paragraph" w:customStyle="1" w:styleId="300">
    <w:name w:val="Char Char11"/>
    <w:basedOn w:val="1"/>
    <w:link w:val="299"/>
    <w:qFormat/>
    <w:uiPriority w:val="0"/>
    <w:pPr>
      <w:widowControl/>
      <w:spacing w:line="360" w:lineRule="auto"/>
      <w:ind w:firstLine="200" w:firstLineChars="200"/>
    </w:pPr>
    <w:rPr>
      <w:rFonts w:ascii="宋体" w:hAnsi="宋体"/>
      <w:kern w:val="0"/>
      <w:sz w:val="24"/>
      <w:szCs w:val="20"/>
      <w:lang w:eastAsia="en-US"/>
    </w:rPr>
  </w:style>
  <w:style w:type="character" w:customStyle="1" w:styleId="301">
    <w:name w:val="07正文前海一期 字符"/>
    <w:link w:val="295"/>
    <w:qFormat/>
    <w:locked/>
    <w:uiPriority w:val="99"/>
    <w:rPr>
      <w:rFonts w:ascii="宋体" w:hAnsi="宋体" w:eastAsia="宋体"/>
      <w:color w:val="000000"/>
      <w:sz w:val="28"/>
    </w:rPr>
  </w:style>
  <w:style w:type="character" w:customStyle="1" w:styleId="302">
    <w:name w:val="未处理的提及1"/>
    <w:qFormat/>
    <w:uiPriority w:val="99"/>
    <w:rPr>
      <w:rFonts w:ascii="Times New Roman" w:hAnsi="Times New Roman" w:eastAsia="宋体"/>
      <w:color w:val="808080"/>
      <w:shd w:val="clear" w:color="auto" w:fill="E6E6E6"/>
    </w:rPr>
  </w:style>
  <w:style w:type="character" w:customStyle="1" w:styleId="303">
    <w:name w:val="二环4级 Char"/>
    <w:link w:val="304"/>
    <w:qFormat/>
    <w:locked/>
    <w:uiPriority w:val="99"/>
    <w:rPr>
      <w:rFonts w:ascii="宋体" w:hAnsi="宋体" w:eastAsia="宋体"/>
      <w:sz w:val="24"/>
    </w:rPr>
  </w:style>
  <w:style w:type="paragraph" w:customStyle="1" w:styleId="304">
    <w:name w:val="二环4级"/>
    <w:basedOn w:val="1"/>
    <w:link w:val="303"/>
    <w:qFormat/>
    <w:uiPriority w:val="99"/>
    <w:pPr>
      <w:spacing w:line="360" w:lineRule="auto"/>
      <w:outlineLvl w:val="3"/>
    </w:pPr>
    <w:rPr>
      <w:rFonts w:ascii="宋体" w:hAnsi="宋体"/>
      <w:kern w:val="0"/>
      <w:sz w:val="24"/>
      <w:szCs w:val="20"/>
    </w:rPr>
  </w:style>
  <w:style w:type="character" w:customStyle="1" w:styleId="305">
    <w:name w:val="批注文字 Char1"/>
    <w:qFormat/>
    <w:uiPriority w:val="0"/>
    <w:rPr>
      <w:rFonts w:ascii="Times New Roman" w:hAnsi="Times New Roman" w:eastAsia="宋体"/>
      <w:sz w:val="24"/>
    </w:rPr>
  </w:style>
  <w:style w:type="character" w:customStyle="1" w:styleId="306">
    <w:name w:val="fontstyle01"/>
    <w:qFormat/>
    <w:uiPriority w:val="0"/>
    <w:rPr>
      <w:rFonts w:ascii="MicrosoftYaHei" w:hAnsi="MicrosoftYaHei" w:eastAsia="宋体"/>
      <w:color w:val="000000"/>
      <w:sz w:val="40"/>
    </w:rPr>
  </w:style>
  <w:style w:type="character" w:customStyle="1" w:styleId="307">
    <w:name w:val="11111 Char"/>
    <w:link w:val="308"/>
    <w:qFormat/>
    <w:locked/>
    <w:uiPriority w:val="0"/>
    <w:rPr>
      <w:rFonts w:ascii="黑体" w:hAnsi="黑体" w:eastAsia="黑体"/>
      <w:kern w:val="44"/>
      <w:sz w:val="36"/>
    </w:rPr>
  </w:style>
  <w:style w:type="paragraph" w:customStyle="1" w:styleId="308">
    <w:name w:val="11111"/>
    <w:basedOn w:val="2"/>
    <w:link w:val="307"/>
    <w:qFormat/>
    <w:uiPriority w:val="0"/>
    <w:pPr>
      <w:tabs>
        <w:tab w:val="clear" w:pos="360"/>
      </w:tabs>
      <w:snapToGrid w:val="0"/>
      <w:spacing w:before="0" w:line="880" w:lineRule="exact"/>
      <w:ind w:left="0" w:leftChars="0" w:right="0" w:rightChars="0" w:firstLine="0"/>
    </w:pPr>
    <w:rPr>
      <w:rFonts w:ascii="黑体" w:hAnsi="黑体"/>
      <w:b w:val="0"/>
      <w:sz w:val="36"/>
      <w:szCs w:val="20"/>
    </w:rPr>
  </w:style>
  <w:style w:type="character" w:customStyle="1" w:styleId="309">
    <w:name w:val="列表 Char"/>
    <w:link w:val="39"/>
    <w:qFormat/>
    <w:locked/>
    <w:uiPriority w:val="0"/>
    <w:rPr>
      <w:rFonts w:ascii="宋体" w:hAnsi="Times New Roman" w:eastAsia="宋体"/>
      <w:kern w:val="2"/>
      <w:sz w:val="28"/>
    </w:rPr>
  </w:style>
  <w:style w:type="character" w:customStyle="1" w:styleId="310">
    <w:name w:val="正文文本 3 字符"/>
    <w:qFormat/>
    <w:uiPriority w:val="99"/>
    <w:rPr>
      <w:rFonts w:ascii="Calibri" w:hAnsi="Calibri" w:eastAsia="宋体"/>
      <w:sz w:val="16"/>
    </w:rPr>
  </w:style>
  <w:style w:type="character" w:customStyle="1" w:styleId="311">
    <w:name w:val="样式 宋体 四号 黑色 Char Char"/>
    <w:link w:val="312"/>
    <w:qFormat/>
    <w:locked/>
    <w:uiPriority w:val="99"/>
    <w:rPr>
      <w:rFonts w:ascii="宋体" w:hAnsi="宋体" w:eastAsia="宋体"/>
      <w:color w:val="000000"/>
      <w:sz w:val="28"/>
    </w:rPr>
  </w:style>
  <w:style w:type="paragraph" w:customStyle="1" w:styleId="312">
    <w:name w:val="样式 宋体 四号 黑色"/>
    <w:basedOn w:val="1"/>
    <w:link w:val="311"/>
    <w:qFormat/>
    <w:uiPriority w:val="99"/>
    <w:pPr>
      <w:snapToGrid w:val="0"/>
      <w:spacing w:line="360" w:lineRule="auto"/>
      <w:ind w:firstLine="200" w:firstLineChars="200"/>
      <w:jc w:val="left"/>
    </w:pPr>
    <w:rPr>
      <w:rFonts w:ascii="宋体" w:hAnsi="宋体"/>
      <w:color w:val="000000"/>
      <w:kern w:val="0"/>
      <w:sz w:val="28"/>
      <w:szCs w:val="20"/>
    </w:rPr>
  </w:style>
  <w:style w:type="character" w:customStyle="1" w:styleId="313">
    <w:name w:val="Char Char Char Char7"/>
    <w:qFormat/>
    <w:uiPriority w:val="0"/>
    <w:rPr>
      <w:rFonts w:ascii="Times New Roman" w:hAnsi="Times New Roman" w:eastAsia="宋体"/>
      <w:kern w:val="2"/>
      <w:sz w:val="24"/>
      <w:lang w:val="en-US" w:eastAsia="zh-CN"/>
    </w:rPr>
  </w:style>
  <w:style w:type="character" w:customStyle="1" w:styleId="314">
    <w:name w:val="样式3 Char"/>
    <w:link w:val="298"/>
    <w:qFormat/>
    <w:locked/>
    <w:uiPriority w:val="0"/>
    <w:rPr>
      <w:rFonts w:ascii="Times New Roman" w:hAnsi="Times New Roman" w:eastAsia="宋体"/>
      <w:kern w:val="2"/>
      <w:sz w:val="24"/>
    </w:rPr>
  </w:style>
  <w:style w:type="character" w:customStyle="1" w:styleId="315">
    <w:name w:val="不明显参考1"/>
    <w:qFormat/>
    <w:uiPriority w:val="31"/>
    <w:rPr>
      <w:rFonts w:ascii="Times New Roman" w:hAnsi="Times New Roman" w:eastAsia="宋体"/>
      <w:smallCaps/>
      <w:color w:val="C0504D"/>
      <w:u w:val="single"/>
    </w:rPr>
  </w:style>
  <w:style w:type="character" w:customStyle="1" w:styleId="316">
    <w:name w:val="prop-span"/>
    <w:qFormat/>
    <w:uiPriority w:val="0"/>
    <w:rPr>
      <w:rFonts w:ascii="Times New Roman" w:hAnsi="Times New Roman" w:eastAsia="宋体"/>
    </w:rPr>
  </w:style>
  <w:style w:type="character" w:customStyle="1" w:styleId="317">
    <w:name w:val="不明显强调1"/>
    <w:qFormat/>
    <w:uiPriority w:val="19"/>
    <w:rPr>
      <w:rFonts w:ascii="Times New Roman" w:hAnsi="Times New Roman" w:eastAsia="宋体"/>
      <w:i/>
      <w:color w:val="808080"/>
    </w:rPr>
  </w:style>
  <w:style w:type="character" w:customStyle="1" w:styleId="318">
    <w:name w:val="th_text"/>
    <w:qFormat/>
    <w:uiPriority w:val="0"/>
    <w:rPr>
      <w:rFonts w:ascii="Times New Roman" w:hAnsi="Times New Roman" w:eastAsia="宋体"/>
    </w:rPr>
  </w:style>
  <w:style w:type="character" w:customStyle="1" w:styleId="319">
    <w:name w:val="WG标题2 Char Char"/>
    <w:link w:val="320"/>
    <w:qFormat/>
    <w:locked/>
    <w:uiPriority w:val="99"/>
    <w:rPr>
      <w:rFonts w:ascii="仿宋_GB2312" w:hAnsi="宋体" w:eastAsia="宋体"/>
      <w:b/>
      <w:color w:val="000000"/>
      <w:kern w:val="20"/>
      <w:sz w:val="24"/>
    </w:rPr>
  </w:style>
  <w:style w:type="paragraph" w:customStyle="1" w:styleId="320">
    <w:name w:val="WG标题2"/>
    <w:basedOn w:val="1"/>
    <w:link w:val="319"/>
    <w:qFormat/>
    <w:uiPriority w:val="99"/>
    <w:pPr>
      <w:autoSpaceDE w:val="0"/>
      <w:autoSpaceDN w:val="0"/>
      <w:adjustRightInd w:val="0"/>
      <w:textAlignment w:val="baseline"/>
      <w:outlineLvl w:val="1"/>
    </w:pPr>
    <w:rPr>
      <w:rFonts w:ascii="仿宋_GB2312" w:hAnsi="宋体"/>
      <w:b/>
      <w:color w:val="000000"/>
      <w:kern w:val="20"/>
      <w:sz w:val="24"/>
      <w:szCs w:val="20"/>
    </w:rPr>
  </w:style>
  <w:style w:type="character" w:customStyle="1" w:styleId="321">
    <w:name w:val="Char Char16"/>
    <w:qFormat/>
    <w:uiPriority w:val="0"/>
    <w:rPr>
      <w:rFonts w:ascii="Cambria" w:hAnsi="Cambria" w:eastAsia="宋体"/>
      <w:b/>
      <w:kern w:val="2"/>
      <w:sz w:val="28"/>
    </w:rPr>
  </w:style>
  <w:style w:type="character" w:customStyle="1" w:styleId="322">
    <w:name w:val="text"/>
    <w:qFormat/>
    <w:uiPriority w:val="0"/>
    <w:rPr>
      <w:rFonts w:ascii="Times New Roman" w:hAnsi="Times New Roman" w:eastAsia="宋体"/>
    </w:rPr>
  </w:style>
  <w:style w:type="character" w:customStyle="1" w:styleId="323">
    <w:name w:val="bg Char"/>
    <w:link w:val="324"/>
    <w:qFormat/>
    <w:locked/>
    <w:uiPriority w:val="0"/>
    <w:rPr>
      <w:rFonts w:ascii="Times New Roman" w:hAnsi="Times New Roman" w:eastAsia="宋体"/>
      <w:sz w:val="21"/>
    </w:rPr>
  </w:style>
  <w:style w:type="paragraph" w:customStyle="1" w:styleId="324">
    <w:name w:val="bg"/>
    <w:basedOn w:val="1"/>
    <w:link w:val="323"/>
    <w:qFormat/>
    <w:uiPriority w:val="0"/>
    <w:pPr>
      <w:adjustRightInd w:val="0"/>
      <w:snapToGrid w:val="0"/>
      <w:spacing w:beforeLines="50"/>
      <w:jc w:val="center"/>
    </w:pPr>
    <w:rPr>
      <w:kern w:val="0"/>
      <w:szCs w:val="20"/>
    </w:rPr>
  </w:style>
  <w:style w:type="character" w:customStyle="1" w:styleId="325">
    <w:name w:val="Char Char Char Char1 Char1 Char"/>
    <w:qFormat/>
    <w:uiPriority w:val="0"/>
    <w:rPr>
      <w:rFonts w:ascii="Times New Roman" w:hAnsi="Times New Roman" w:eastAsia="宋体"/>
      <w:kern w:val="2"/>
      <w:sz w:val="24"/>
      <w:lang w:val="en-US" w:eastAsia="zh-CN"/>
    </w:rPr>
  </w:style>
  <w:style w:type="character" w:customStyle="1" w:styleId="326">
    <w:name w:val="标题4-GP Char"/>
    <w:link w:val="327"/>
    <w:qFormat/>
    <w:locked/>
    <w:uiPriority w:val="0"/>
    <w:rPr>
      <w:rFonts w:ascii="Calibri" w:hAnsi="Calibri" w:eastAsia="宋体"/>
      <w:b/>
      <w:kern w:val="2"/>
      <w:sz w:val="22"/>
    </w:rPr>
  </w:style>
  <w:style w:type="paragraph" w:customStyle="1" w:styleId="327">
    <w:name w:val="标题4-GP"/>
    <w:basedOn w:val="1"/>
    <w:link w:val="326"/>
    <w:qFormat/>
    <w:uiPriority w:val="0"/>
    <w:pPr>
      <w:spacing w:line="360" w:lineRule="auto"/>
    </w:pPr>
    <w:rPr>
      <w:rFonts w:ascii="Calibri" w:hAnsi="Calibri"/>
      <w:b/>
      <w:sz w:val="22"/>
      <w:szCs w:val="20"/>
    </w:rPr>
  </w:style>
  <w:style w:type="character" w:customStyle="1" w:styleId="328">
    <w:name w:val="正文文本 Char3"/>
    <w:qFormat/>
    <w:uiPriority w:val="99"/>
    <w:rPr>
      <w:rFonts w:ascii="Times New Roman" w:hAnsi="Times New Roman" w:eastAsia="宋体"/>
      <w:sz w:val="28"/>
    </w:rPr>
  </w:style>
  <w:style w:type="character" w:customStyle="1" w:styleId="329">
    <w:name w:val="样式 宋体 四号 Char Char"/>
    <w:link w:val="330"/>
    <w:qFormat/>
    <w:locked/>
    <w:uiPriority w:val="99"/>
    <w:rPr>
      <w:rFonts w:ascii="宋体" w:hAnsi="宋体" w:eastAsia="宋体"/>
      <w:sz w:val="28"/>
    </w:rPr>
  </w:style>
  <w:style w:type="paragraph" w:customStyle="1" w:styleId="330">
    <w:name w:val="样式 宋体 四号"/>
    <w:basedOn w:val="1"/>
    <w:link w:val="329"/>
    <w:qFormat/>
    <w:uiPriority w:val="99"/>
    <w:pPr>
      <w:spacing w:line="560" w:lineRule="exact"/>
      <w:ind w:firstLine="482"/>
      <w:jc w:val="left"/>
    </w:pPr>
    <w:rPr>
      <w:rFonts w:ascii="宋体" w:hAnsi="宋体"/>
      <w:kern w:val="0"/>
      <w:sz w:val="28"/>
      <w:szCs w:val="20"/>
    </w:rPr>
  </w:style>
  <w:style w:type="character" w:customStyle="1" w:styleId="331">
    <w:name w:val="表头 Char1"/>
    <w:qFormat/>
    <w:uiPriority w:val="0"/>
    <w:rPr>
      <w:rFonts w:ascii="宋体" w:hAnsi="宋体" w:eastAsia="宋体"/>
      <w:b/>
      <w:color w:val="000000"/>
      <w:kern w:val="2"/>
      <w:sz w:val="21"/>
      <w:lang w:val="en-US" w:eastAsia="zh-CN"/>
    </w:rPr>
  </w:style>
  <w:style w:type="character" w:customStyle="1" w:styleId="332">
    <w:name w:val="标题 Char1"/>
    <w:qFormat/>
    <w:uiPriority w:val="10"/>
    <w:rPr>
      <w:rFonts w:ascii="Cambria" w:hAnsi="Cambria" w:eastAsia="宋体"/>
      <w:b/>
      <w:sz w:val="32"/>
    </w:rPr>
  </w:style>
  <w:style w:type="character" w:customStyle="1" w:styleId="333">
    <w:name w:val="font31"/>
    <w:qFormat/>
    <w:uiPriority w:val="0"/>
    <w:rPr>
      <w:rFonts w:ascii="宋体" w:hAnsi="宋体" w:eastAsia="宋体"/>
      <w:color w:val="000000"/>
      <w:sz w:val="18"/>
      <w:u w:val="none"/>
      <w:vertAlign w:val="superscript"/>
    </w:rPr>
  </w:style>
  <w:style w:type="character" w:customStyle="1" w:styleId="334">
    <w:name w:val="样式 样式 黑体 三号 加粗 + (中文) 黑体"/>
    <w:qFormat/>
    <w:uiPriority w:val="0"/>
    <w:rPr>
      <w:rFonts w:ascii="Times New Roman" w:hAnsi="Times New Roman" w:eastAsia="宋体"/>
      <w:b/>
      <w:kern w:val="44"/>
      <w:sz w:val="24"/>
    </w:rPr>
  </w:style>
  <w:style w:type="character" w:customStyle="1" w:styleId="335">
    <w:name w:val="标题 3 Char2"/>
    <w:qFormat/>
    <w:uiPriority w:val="0"/>
    <w:rPr>
      <w:rFonts w:ascii="Times New Roman" w:hAnsi="Times New Roman" w:eastAsia="宋体"/>
      <w:b/>
      <w:kern w:val="2"/>
      <w:sz w:val="32"/>
    </w:rPr>
  </w:style>
  <w:style w:type="character" w:customStyle="1" w:styleId="336">
    <w:name w:val="文章正文格式 Char1"/>
    <w:link w:val="337"/>
    <w:qFormat/>
    <w:locked/>
    <w:uiPriority w:val="0"/>
    <w:rPr>
      <w:rFonts w:ascii="宋体" w:hAnsi="Times New Roman" w:eastAsia="宋体"/>
      <w:spacing w:val="8"/>
      <w:kern w:val="2"/>
      <w:sz w:val="28"/>
    </w:rPr>
  </w:style>
  <w:style w:type="paragraph" w:customStyle="1" w:styleId="337">
    <w:name w:val="文章正文格式"/>
    <w:basedOn w:val="1"/>
    <w:link w:val="336"/>
    <w:qFormat/>
    <w:uiPriority w:val="0"/>
    <w:pPr>
      <w:snapToGrid w:val="0"/>
      <w:spacing w:line="360" w:lineRule="auto"/>
      <w:ind w:firstLine="510"/>
    </w:pPr>
    <w:rPr>
      <w:rFonts w:ascii="宋体"/>
      <w:spacing w:val="8"/>
      <w:sz w:val="28"/>
      <w:szCs w:val="20"/>
    </w:rPr>
  </w:style>
  <w:style w:type="character" w:customStyle="1" w:styleId="338">
    <w:name w:val="正文1111 Char"/>
    <w:qFormat/>
    <w:uiPriority w:val="99"/>
    <w:rPr>
      <w:rFonts w:ascii="宋体" w:hAnsi="宋体" w:eastAsia="宋体"/>
      <w:sz w:val="28"/>
      <w:lang w:val="en-US" w:eastAsia="zh-CN"/>
    </w:rPr>
  </w:style>
  <w:style w:type="character" w:customStyle="1" w:styleId="339">
    <w:name w:val="超级链接"/>
    <w:qFormat/>
    <w:uiPriority w:val="0"/>
    <w:rPr>
      <w:rFonts w:ascii="宋体" w:hAnsi="宋体" w:eastAsia="宋体"/>
      <w:color w:val="0000FF"/>
      <w:kern w:val="2"/>
      <w:sz w:val="24"/>
      <w:u w:val="single"/>
      <w:lang w:val="en-US" w:eastAsia="zh-CN"/>
    </w:rPr>
  </w:style>
  <w:style w:type="character" w:customStyle="1" w:styleId="340">
    <w:name w:val="样式 正文首行缩进 2 Char Char"/>
    <w:link w:val="341"/>
    <w:qFormat/>
    <w:locked/>
    <w:uiPriority w:val="0"/>
    <w:rPr>
      <w:rFonts w:ascii="Times New Roman" w:hAnsi="Times New Roman" w:eastAsia="宋体"/>
      <w:kern w:val="2"/>
      <w:sz w:val="28"/>
    </w:rPr>
  </w:style>
  <w:style w:type="paragraph" w:customStyle="1" w:styleId="341">
    <w:name w:val="样式 正文首行缩进 2"/>
    <w:basedOn w:val="54"/>
    <w:link w:val="340"/>
    <w:qFormat/>
    <w:uiPriority w:val="0"/>
    <w:pPr>
      <w:widowControl/>
      <w:spacing w:before="0" w:afterLines="50" w:line="500" w:lineRule="exact"/>
      <w:ind w:left="0" w:leftChars="0" w:firstLine="605" w:firstLineChars="216"/>
    </w:pPr>
    <w:rPr>
      <w:sz w:val="28"/>
      <w:szCs w:val="20"/>
    </w:rPr>
  </w:style>
  <w:style w:type="character" w:customStyle="1" w:styleId="342">
    <w:name w:val="songp1"/>
    <w:qFormat/>
    <w:uiPriority w:val="0"/>
    <w:rPr>
      <w:rFonts w:ascii="宋体" w:hAnsi="宋体" w:eastAsia="宋体"/>
      <w:kern w:val="2"/>
      <w:sz w:val="24"/>
      <w:lang w:val="en-US" w:eastAsia="zh-CN"/>
    </w:rPr>
  </w:style>
  <w:style w:type="character" w:customStyle="1" w:styleId="343">
    <w:name w:val="脚注文本 Char2"/>
    <w:qFormat/>
    <w:uiPriority w:val="99"/>
    <w:rPr>
      <w:rFonts w:ascii="Calibri" w:hAnsi="Calibri" w:eastAsia="宋体"/>
      <w:kern w:val="2"/>
      <w:sz w:val="18"/>
    </w:rPr>
  </w:style>
  <w:style w:type="character" w:customStyle="1" w:styleId="344">
    <w:name w:val="font9black"/>
    <w:qFormat/>
    <w:uiPriority w:val="0"/>
    <w:rPr>
      <w:rFonts w:ascii="Times New Roman" w:hAnsi="Times New Roman" w:eastAsia="宋体"/>
    </w:rPr>
  </w:style>
  <w:style w:type="character" w:customStyle="1" w:styleId="345">
    <w:name w:val="样式4 Char"/>
    <w:link w:val="346"/>
    <w:qFormat/>
    <w:locked/>
    <w:uiPriority w:val="0"/>
    <w:rPr>
      <w:rFonts w:ascii="Times New Roman" w:hAnsi="Times New Roman" w:eastAsia="宋体"/>
      <w:b/>
      <w:kern w:val="2"/>
      <w:sz w:val="21"/>
    </w:rPr>
  </w:style>
  <w:style w:type="paragraph" w:customStyle="1" w:styleId="346">
    <w:name w:val="样式4"/>
    <w:basedOn w:val="35"/>
    <w:link w:val="345"/>
    <w:qFormat/>
    <w:uiPriority w:val="0"/>
    <w:pPr>
      <w:pBdr>
        <w:top w:val="none" w:color="auto" w:sz="0" w:space="0"/>
        <w:left w:val="none" w:color="auto" w:sz="0" w:space="0"/>
        <w:bottom w:val="thinThickSmallGap" w:color="auto" w:sz="18" w:space="1"/>
        <w:right w:val="none" w:color="auto" w:sz="0" w:space="0"/>
      </w:pBdr>
      <w:snapToGrid/>
    </w:pPr>
    <w:rPr>
      <w:b/>
      <w:sz w:val="21"/>
      <w:szCs w:val="20"/>
    </w:rPr>
  </w:style>
  <w:style w:type="character" w:customStyle="1" w:styleId="347">
    <w:name w:val="Char Char Char1 Char Char1 Char Char"/>
    <w:qFormat/>
    <w:uiPriority w:val="0"/>
    <w:rPr>
      <w:rFonts w:ascii="Times New Roman" w:hAnsi="Times New Roman" w:eastAsia="宋体"/>
      <w:kern w:val="2"/>
      <w:sz w:val="24"/>
      <w:lang w:val="en-US" w:eastAsia="zh-CN"/>
    </w:rPr>
  </w:style>
  <w:style w:type="character" w:customStyle="1" w:styleId="348">
    <w:name w:val="标题 1 Char2"/>
    <w:qFormat/>
    <w:uiPriority w:val="0"/>
    <w:rPr>
      <w:rFonts w:ascii="黑体" w:hAnsi="黑体" w:eastAsia="黑体"/>
      <w:b/>
      <w:kern w:val="44"/>
      <w:sz w:val="24"/>
      <w:lang w:val="en-US" w:eastAsia="zh-CN"/>
    </w:rPr>
  </w:style>
  <w:style w:type="character" w:customStyle="1" w:styleId="349">
    <w:name w:val="文档结构图 字符1"/>
    <w:qFormat/>
    <w:uiPriority w:val="99"/>
    <w:rPr>
      <w:rFonts w:ascii="Microsoft YaHei UI" w:hAnsi="Calibri" w:eastAsia="Microsoft YaHei UI"/>
      <w:sz w:val="18"/>
    </w:rPr>
  </w:style>
  <w:style w:type="character" w:customStyle="1" w:styleId="350">
    <w:name w:val="样式 样式 (符号) 宋体 四号 首行缩进:  1.01 厘米 行距: 固定值 26 磅 + 首行缩进:  2 字符 段前: ... Char Char"/>
    <w:link w:val="351"/>
    <w:qFormat/>
    <w:locked/>
    <w:uiPriority w:val="99"/>
    <w:rPr>
      <w:rFonts w:ascii="Times New Roman" w:hAnsi="宋体" w:eastAsia="宋体"/>
      <w:sz w:val="24"/>
    </w:rPr>
  </w:style>
  <w:style w:type="paragraph" w:customStyle="1" w:styleId="351">
    <w:name w:val="样式 样式 (符号) 宋体 四号 首行缩进:  1.01 厘米 行距: 固定值 26 磅 + 首行缩进:  2 字符 段前: ..."/>
    <w:basedOn w:val="1"/>
    <w:link w:val="350"/>
    <w:qFormat/>
    <w:uiPriority w:val="0"/>
    <w:pPr>
      <w:spacing w:beforeLines="50" w:afterLines="50" w:line="320" w:lineRule="exact"/>
      <w:ind w:firstLine="200" w:firstLineChars="200"/>
      <w:jc w:val="left"/>
    </w:pPr>
    <w:rPr>
      <w:rFonts w:hAnsi="宋体"/>
      <w:kern w:val="0"/>
      <w:sz w:val="24"/>
      <w:szCs w:val="20"/>
    </w:rPr>
  </w:style>
  <w:style w:type="character" w:customStyle="1" w:styleId="352">
    <w:name w:val="正文文本缩进 22"/>
    <w:qFormat/>
    <w:uiPriority w:val="0"/>
    <w:rPr>
      <w:rFonts w:ascii="Times New Roman" w:hAnsi="Times New Roman" w:eastAsia="宋体"/>
      <w:kern w:val="2"/>
      <w:sz w:val="24"/>
      <w:lang w:val="en-US" w:eastAsia="zh-CN"/>
    </w:rPr>
  </w:style>
  <w:style w:type="character" w:customStyle="1" w:styleId="353">
    <w:name w:val="content-text1"/>
    <w:qFormat/>
    <w:uiPriority w:val="0"/>
    <w:rPr>
      <w:rFonts w:ascii="Verdana" w:hAnsi="Verdana" w:eastAsia="宋体"/>
      <w:kern w:val="2"/>
      <w:sz w:val="20"/>
      <w:lang w:val="en-US" w:eastAsia="zh-CN"/>
    </w:rPr>
  </w:style>
  <w:style w:type="character" w:customStyle="1" w:styleId="354">
    <w:name w:val="标题1"/>
    <w:qFormat/>
    <w:uiPriority w:val="99"/>
    <w:rPr>
      <w:rFonts w:ascii="Times New Roman" w:hAnsi="Times New Roman" w:eastAsia="宋体"/>
    </w:rPr>
  </w:style>
  <w:style w:type="character" w:customStyle="1" w:styleId="355">
    <w:name w:val="日期 字符"/>
    <w:qFormat/>
    <w:uiPriority w:val="99"/>
    <w:rPr>
      <w:rFonts w:ascii="Calibri" w:hAnsi="Calibri" w:eastAsia="宋体"/>
      <w:sz w:val="28"/>
    </w:rPr>
  </w:style>
  <w:style w:type="character" w:customStyle="1" w:styleId="356">
    <w:name w:val="mt5"/>
    <w:qFormat/>
    <w:uiPriority w:val="0"/>
    <w:rPr>
      <w:rFonts w:ascii="Times New Roman" w:hAnsi="Times New Roman" w:eastAsia="宋体"/>
    </w:rPr>
  </w:style>
  <w:style w:type="character" w:customStyle="1" w:styleId="357">
    <w:name w:val="正文文本缩进 Char2"/>
    <w:qFormat/>
    <w:uiPriority w:val="0"/>
    <w:rPr>
      <w:rFonts w:ascii="Times New Roman" w:hAnsi="Times New Roman" w:eastAsia="宋体"/>
      <w:kern w:val="0"/>
      <w:sz w:val="24"/>
    </w:rPr>
  </w:style>
  <w:style w:type="character" w:customStyle="1" w:styleId="358">
    <w:name w:val="文档结构图 字符"/>
    <w:qFormat/>
    <w:uiPriority w:val="0"/>
    <w:rPr>
      <w:rFonts w:ascii="Times New Roman" w:hAnsi="Times New Roman" w:eastAsia="宋体"/>
      <w:kern w:val="2"/>
      <w:sz w:val="24"/>
      <w:lang w:val="en-US" w:eastAsia="zh-CN"/>
    </w:rPr>
  </w:style>
  <w:style w:type="character" w:customStyle="1" w:styleId="359">
    <w:name w:val="标题 3 字符"/>
    <w:qFormat/>
    <w:uiPriority w:val="0"/>
    <w:rPr>
      <w:rFonts w:ascii="Times New Roman" w:hAnsi="Times New Roman" w:eastAsia="宋体"/>
      <w:b/>
      <w:color w:val="FF6600"/>
      <w:sz w:val="24"/>
    </w:rPr>
  </w:style>
  <w:style w:type="character" w:customStyle="1" w:styleId="360">
    <w:name w:val="rec-volume"/>
    <w:qFormat/>
    <w:uiPriority w:val="0"/>
    <w:rPr>
      <w:rFonts w:ascii="Times New Roman" w:hAnsi="Times New Roman" w:eastAsia="宋体"/>
    </w:rPr>
  </w:style>
  <w:style w:type="character" w:customStyle="1" w:styleId="361">
    <w:name w:val="批注文字 Char2"/>
    <w:qFormat/>
    <w:uiPriority w:val="99"/>
    <w:rPr>
      <w:rFonts w:ascii="Calibri" w:hAnsi="Calibri" w:eastAsia="宋体"/>
      <w:sz w:val="22"/>
    </w:rPr>
  </w:style>
  <w:style w:type="character" w:customStyle="1" w:styleId="362">
    <w:name w:val="表文字 Char Char"/>
    <w:link w:val="363"/>
    <w:qFormat/>
    <w:locked/>
    <w:uiPriority w:val="0"/>
    <w:rPr>
      <w:rFonts w:ascii="楷体_GB2312" w:hAnsi="宋体" w:eastAsia="楷体_GB2312"/>
      <w:spacing w:val="-8"/>
      <w:sz w:val="24"/>
      <w:lang w:val="zh-CN"/>
    </w:rPr>
  </w:style>
  <w:style w:type="paragraph" w:customStyle="1" w:styleId="363">
    <w:name w:val="表文字"/>
    <w:basedOn w:val="1"/>
    <w:link w:val="362"/>
    <w:qFormat/>
    <w:uiPriority w:val="0"/>
    <w:pPr>
      <w:adjustRightInd w:val="0"/>
      <w:snapToGrid w:val="0"/>
      <w:spacing w:line="320" w:lineRule="exact"/>
      <w:ind w:right="-31" w:rightChars="-31" w:firstLine="448" w:firstLineChars="200"/>
      <w:jc w:val="center"/>
    </w:pPr>
    <w:rPr>
      <w:rFonts w:ascii="楷体_GB2312" w:hAnsi="宋体" w:eastAsia="楷体_GB2312"/>
      <w:spacing w:val="-8"/>
      <w:kern w:val="0"/>
      <w:sz w:val="24"/>
      <w:szCs w:val="20"/>
      <w:lang w:val="zh-CN"/>
    </w:rPr>
  </w:style>
  <w:style w:type="character" w:customStyle="1" w:styleId="364">
    <w:name w:val="正文文本 3 Char1"/>
    <w:qFormat/>
    <w:uiPriority w:val="99"/>
    <w:rPr>
      <w:rFonts w:ascii="Times New Roman" w:hAnsi="Times New Roman" w:eastAsia="宋体"/>
      <w:sz w:val="16"/>
    </w:rPr>
  </w:style>
  <w:style w:type="character" w:customStyle="1" w:styleId="365">
    <w:name w:val="批注框文本 Char2"/>
    <w:qFormat/>
    <w:uiPriority w:val="99"/>
    <w:rPr>
      <w:rFonts w:ascii="Times New Roman" w:hAnsi="Times New Roman" w:eastAsia="宋体"/>
      <w:sz w:val="18"/>
    </w:rPr>
  </w:style>
  <w:style w:type="character" w:customStyle="1" w:styleId="366">
    <w:name w:val="称呼 Char1"/>
    <w:qFormat/>
    <w:uiPriority w:val="99"/>
    <w:rPr>
      <w:rFonts w:ascii="Times New Roman" w:hAnsi="Times New Roman" w:eastAsia="宋体"/>
      <w:sz w:val="24"/>
    </w:rPr>
  </w:style>
  <w:style w:type="character" w:customStyle="1" w:styleId="367">
    <w:name w:val="标题 2 Char1"/>
    <w:qFormat/>
    <w:uiPriority w:val="99"/>
    <w:rPr>
      <w:rFonts w:ascii="Cambria" w:hAnsi="Cambria" w:eastAsia="宋体"/>
      <w:b/>
      <w:kern w:val="2"/>
      <w:sz w:val="32"/>
    </w:rPr>
  </w:style>
  <w:style w:type="character" w:customStyle="1" w:styleId="368">
    <w:name w:val="正文文本 Char2"/>
    <w:qFormat/>
    <w:uiPriority w:val="99"/>
    <w:rPr>
      <w:rFonts w:ascii="Calibri" w:hAnsi="Calibri" w:eastAsia="宋体"/>
      <w:sz w:val="22"/>
    </w:rPr>
  </w:style>
  <w:style w:type="character" w:customStyle="1" w:styleId="369">
    <w:name w:val="22222 Char"/>
    <w:link w:val="370"/>
    <w:qFormat/>
    <w:locked/>
    <w:uiPriority w:val="0"/>
    <w:rPr>
      <w:rFonts w:ascii="宋体" w:hAnsi="宋体" w:eastAsia="宋体"/>
      <w:b/>
      <w:sz w:val="28"/>
    </w:rPr>
  </w:style>
  <w:style w:type="paragraph" w:customStyle="1" w:styleId="370">
    <w:name w:val="22222"/>
    <w:basedOn w:val="3"/>
    <w:link w:val="369"/>
    <w:qFormat/>
    <w:uiPriority w:val="0"/>
    <w:pPr>
      <w:adjustRightInd w:val="0"/>
      <w:snapToGrid w:val="0"/>
      <w:spacing w:before="0" w:after="0" w:line="520" w:lineRule="exact"/>
      <w:ind w:left="720" w:hanging="720" w:firstLineChars="200"/>
    </w:pPr>
    <w:rPr>
      <w:rFonts w:ascii="宋体" w:hAnsi="宋体" w:eastAsia="宋体"/>
      <w:bCs w:val="0"/>
      <w:kern w:val="0"/>
      <w:sz w:val="28"/>
      <w:szCs w:val="20"/>
    </w:rPr>
  </w:style>
  <w:style w:type="character" w:customStyle="1" w:styleId="371">
    <w:name w:val="批注文字 字符"/>
    <w:qFormat/>
    <w:uiPriority w:val="99"/>
    <w:rPr>
      <w:rFonts w:ascii="Times New Roman" w:hAnsi="Times New Roman" w:eastAsia="宋体"/>
      <w:sz w:val="24"/>
    </w:rPr>
  </w:style>
  <w:style w:type="character" w:customStyle="1" w:styleId="372">
    <w:name w:val="Char Char4"/>
    <w:qFormat/>
    <w:uiPriority w:val="99"/>
    <w:rPr>
      <w:rFonts w:ascii="Times New Roman" w:hAnsi="Times New Roman" w:eastAsia="宋体"/>
      <w:kern w:val="2"/>
      <w:sz w:val="21"/>
      <w:lang w:val="en-US" w:eastAsia="zh-CN"/>
    </w:rPr>
  </w:style>
  <w:style w:type="character" w:customStyle="1" w:styleId="373">
    <w:name w:val="+正文 Char Char"/>
    <w:link w:val="122"/>
    <w:qFormat/>
    <w:locked/>
    <w:uiPriority w:val="0"/>
    <w:rPr>
      <w:rFonts w:ascii="楷体_GB2312" w:hAnsi="Times New Roman" w:eastAsia="宋体"/>
      <w:sz w:val="24"/>
    </w:rPr>
  </w:style>
  <w:style w:type="character" w:customStyle="1" w:styleId="374">
    <w:name w:val="页眉 Char2"/>
    <w:qFormat/>
    <w:uiPriority w:val="99"/>
    <w:rPr>
      <w:rFonts w:ascii="Times New Roman" w:hAnsi="Times New Roman" w:eastAsia="宋体"/>
      <w:sz w:val="18"/>
    </w:rPr>
  </w:style>
  <w:style w:type="character" w:customStyle="1" w:styleId="375">
    <w:name w:val="样式2 Char Char Char Char Char Char"/>
    <w:link w:val="376"/>
    <w:qFormat/>
    <w:locked/>
    <w:uiPriority w:val="0"/>
    <w:rPr>
      <w:rFonts w:ascii="Times New Roman" w:hAnsi="Times New Roman" w:eastAsia="宋体"/>
      <w:kern w:val="2"/>
      <w:sz w:val="24"/>
    </w:rPr>
  </w:style>
  <w:style w:type="paragraph" w:customStyle="1" w:styleId="376">
    <w:name w:val="样式2 Char Char Char Char Char"/>
    <w:basedOn w:val="1"/>
    <w:link w:val="375"/>
    <w:qFormat/>
    <w:uiPriority w:val="0"/>
    <w:rPr>
      <w:sz w:val="24"/>
      <w:szCs w:val="20"/>
    </w:rPr>
  </w:style>
  <w:style w:type="character" w:customStyle="1" w:styleId="377">
    <w:name w:val="HTML 预设格式 Char1"/>
    <w:qFormat/>
    <w:uiPriority w:val="99"/>
    <w:rPr>
      <w:rFonts w:ascii="Courier New" w:hAnsi="Courier New" w:eastAsia="宋体"/>
      <w:sz w:val="20"/>
    </w:rPr>
  </w:style>
  <w:style w:type="character" w:customStyle="1" w:styleId="378">
    <w:name w:val="样式 节标题1 + 段前: 0.5 行 段后: 0.5 行 Char"/>
    <w:link w:val="379"/>
    <w:qFormat/>
    <w:locked/>
    <w:uiPriority w:val="0"/>
    <w:rPr>
      <w:rFonts w:ascii="Times New Roman" w:hAnsi="Times New Roman" w:eastAsia="宋体" w:cs="Times New Roman"/>
      <w:b/>
      <w:bCs/>
      <w:sz w:val="30"/>
    </w:rPr>
  </w:style>
  <w:style w:type="paragraph" w:customStyle="1" w:styleId="379">
    <w:name w:val="样式 节标题1 + 段前: 0.5 行 段后: 0.5 行"/>
    <w:basedOn w:val="1"/>
    <w:link w:val="378"/>
    <w:qFormat/>
    <w:uiPriority w:val="0"/>
    <w:pPr>
      <w:numPr>
        <w:ilvl w:val="1"/>
        <w:numId w:val="1"/>
      </w:numPr>
      <w:spacing w:beforeLines="50" w:afterLines="50"/>
      <w:ind w:firstLine="0"/>
    </w:pPr>
    <w:rPr>
      <w:b/>
      <w:bCs/>
      <w:kern w:val="0"/>
      <w:sz w:val="30"/>
      <w:szCs w:val="20"/>
    </w:rPr>
  </w:style>
  <w:style w:type="character" w:customStyle="1" w:styleId="380">
    <w:name w:val="明显参考2"/>
    <w:qFormat/>
    <w:uiPriority w:val="32"/>
    <w:rPr>
      <w:rFonts w:ascii="Times New Roman" w:hAnsi="Times New Roman" w:eastAsia="宋体"/>
      <w:b/>
      <w:smallCaps/>
      <w:color w:val="C0504D"/>
      <w:spacing w:val="5"/>
      <w:u w:val="single"/>
    </w:rPr>
  </w:style>
  <w:style w:type="character" w:customStyle="1" w:styleId="381">
    <w:name w:val="列出段落 Char1"/>
    <w:link w:val="382"/>
    <w:qFormat/>
    <w:locked/>
    <w:uiPriority w:val="99"/>
    <w:rPr>
      <w:rFonts w:ascii="Calibri" w:hAnsi="Calibri" w:eastAsia="宋体"/>
      <w:kern w:val="2"/>
      <w:sz w:val="22"/>
    </w:rPr>
  </w:style>
  <w:style w:type="paragraph" w:customStyle="1" w:styleId="382">
    <w:name w:val="列出段落2"/>
    <w:basedOn w:val="1"/>
    <w:link w:val="381"/>
    <w:qFormat/>
    <w:uiPriority w:val="34"/>
    <w:pPr>
      <w:spacing w:line="360" w:lineRule="auto"/>
      <w:ind w:firstLine="420" w:firstLineChars="200"/>
      <w:jc w:val="left"/>
    </w:pPr>
    <w:rPr>
      <w:rFonts w:ascii="Calibri" w:hAnsi="Calibri"/>
      <w:sz w:val="22"/>
      <w:szCs w:val="20"/>
    </w:rPr>
  </w:style>
  <w:style w:type="character" w:customStyle="1" w:styleId="383">
    <w:name w:val="正文文本 2 字符1"/>
    <w:qFormat/>
    <w:uiPriority w:val="99"/>
    <w:rPr>
      <w:rFonts w:ascii="Calibri" w:hAnsi="Calibri" w:eastAsia="宋体"/>
      <w:sz w:val="28"/>
    </w:rPr>
  </w:style>
  <w:style w:type="character" w:customStyle="1" w:styleId="384">
    <w:name w:val="文档结构图 Char2"/>
    <w:qFormat/>
    <w:uiPriority w:val="99"/>
    <w:rPr>
      <w:rFonts w:ascii="宋体" w:hAnsi="Times New Roman" w:eastAsia="宋体"/>
      <w:sz w:val="18"/>
    </w:rPr>
  </w:style>
  <w:style w:type="character" w:customStyle="1" w:styleId="385">
    <w:name w:val="正文1234 Char"/>
    <w:link w:val="386"/>
    <w:qFormat/>
    <w:locked/>
    <w:uiPriority w:val="0"/>
    <w:rPr>
      <w:rFonts w:ascii="宋体" w:hAnsi="宋体" w:eastAsia="宋体"/>
      <w:sz w:val="24"/>
    </w:rPr>
  </w:style>
  <w:style w:type="paragraph" w:customStyle="1" w:styleId="386">
    <w:name w:val="正文1234"/>
    <w:basedOn w:val="231"/>
    <w:link w:val="385"/>
    <w:qFormat/>
    <w:uiPriority w:val="99"/>
    <w:pPr>
      <w:spacing w:before="60" w:after="60" w:line="360" w:lineRule="auto"/>
      <w:ind w:firstLine="480" w:firstLineChars="200"/>
    </w:pPr>
    <w:rPr>
      <w:sz w:val="24"/>
      <w:szCs w:val="20"/>
    </w:rPr>
  </w:style>
  <w:style w:type="character" w:customStyle="1" w:styleId="387">
    <w:name w:val="正文文本缩进 21"/>
    <w:qFormat/>
    <w:uiPriority w:val="0"/>
    <w:rPr>
      <w:rFonts w:ascii="Times New Roman" w:hAnsi="Times New Roman" w:eastAsia="宋体"/>
      <w:kern w:val="2"/>
      <w:sz w:val="24"/>
      <w:lang w:val="en-US" w:eastAsia="zh-CN"/>
    </w:rPr>
  </w:style>
  <w:style w:type="character" w:customStyle="1" w:styleId="388">
    <w:name w:val="正文缩进 Char"/>
    <w:link w:val="15"/>
    <w:qFormat/>
    <w:locked/>
    <w:uiPriority w:val="0"/>
    <w:rPr>
      <w:rFonts w:ascii="Times New Roman" w:hAnsi="Times New Roman" w:eastAsia="宋体"/>
      <w:kern w:val="2"/>
      <w:sz w:val="24"/>
    </w:rPr>
  </w:style>
  <w:style w:type="character" w:customStyle="1" w:styleId="389">
    <w:name w:val="black121"/>
    <w:qFormat/>
    <w:uiPriority w:val="0"/>
    <w:rPr>
      <w:rFonts w:ascii="宋体" w:hAnsi="宋体" w:eastAsia="宋体"/>
      <w:color w:val="062158"/>
      <w:kern w:val="2"/>
      <w:sz w:val="18"/>
      <w:lang w:val="en-US" w:eastAsia="zh-CN"/>
    </w:rPr>
  </w:style>
  <w:style w:type="character" w:customStyle="1" w:styleId="390">
    <w:name w:val="批注主题 字符"/>
    <w:qFormat/>
    <w:uiPriority w:val="99"/>
    <w:rPr>
      <w:rFonts w:ascii="Calibri" w:hAnsi="Calibri" w:eastAsia="宋体"/>
      <w:b/>
      <w:sz w:val="22"/>
    </w:rPr>
  </w:style>
  <w:style w:type="character" w:customStyle="1" w:styleId="391">
    <w:name w:val="Char Char Char Char8"/>
    <w:qFormat/>
    <w:uiPriority w:val="0"/>
    <w:rPr>
      <w:rFonts w:ascii="Times New Roman" w:hAnsi="Times New Roman" w:eastAsia="宋体"/>
      <w:kern w:val="2"/>
      <w:sz w:val="24"/>
      <w:lang w:val="en-US" w:eastAsia="zh-CN"/>
    </w:rPr>
  </w:style>
  <w:style w:type="character" w:customStyle="1" w:styleId="392">
    <w:name w:val="black"/>
    <w:qFormat/>
    <w:uiPriority w:val="0"/>
    <w:rPr>
      <w:rFonts w:ascii="宋体" w:hAnsi="宋体" w:eastAsia="宋体"/>
      <w:kern w:val="2"/>
      <w:sz w:val="24"/>
      <w:lang w:val="en-US" w:eastAsia="zh-CN"/>
    </w:rPr>
  </w:style>
  <w:style w:type="character" w:customStyle="1" w:styleId="393">
    <w:name w:val="+正文 Char Char2 Char Char Char"/>
    <w:link w:val="394"/>
    <w:qFormat/>
    <w:locked/>
    <w:uiPriority w:val="0"/>
    <w:rPr>
      <w:rFonts w:ascii="宋体" w:hAnsi="宋体" w:eastAsia="宋体"/>
      <w:sz w:val="24"/>
    </w:rPr>
  </w:style>
  <w:style w:type="paragraph" w:customStyle="1" w:styleId="394">
    <w:name w:val="+正文 Char Char2 Char"/>
    <w:basedOn w:val="1"/>
    <w:link w:val="393"/>
    <w:qFormat/>
    <w:uiPriority w:val="0"/>
    <w:pPr>
      <w:spacing w:line="360" w:lineRule="auto"/>
      <w:ind w:firstLine="200" w:firstLineChars="200"/>
    </w:pPr>
    <w:rPr>
      <w:rFonts w:ascii="宋体" w:hAnsi="宋体"/>
      <w:kern w:val="0"/>
      <w:sz w:val="24"/>
      <w:szCs w:val="20"/>
    </w:rPr>
  </w:style>
  <w:style w:type="character" w:customStyle="1" w:styleId="395">
    <w:name w:val="默认段落 Char"/>
    <w:link w:val="396"/>
    <w:qFormat/>
    <w:locked/>
    <w:uiPriority w:val="0"/>
    <w:rPr>
      <w:rFonts w:ascii="Times New Roman" w:hAnsi="Times New Roman" w:eastAsia="宋体"/>
      <w:sz w:val="24"/>
    </w:rPr>
  </w:style>
  <w:style w:type="paragraph" w:customStyle="1" w:styleId="396">
    <w:name w:val="默认段落"/>
    <w:basedOn w:val="1"/>
    <w:link w:val="395"/>
    <w:qFormat/>
    <w:uiPriority w:val="0"/>
    <w:pPr>
      <w:spacing w:line="360" w:lineRule="auto"/>
      <w:ind w:firstLine="480" w:firstLineChars="200"/>
    </w:pPr>
    <w:rPr>
      <w:kern w:val="0"/>
      <w:sz w:val="24"/>
      <w:szCs w:val="20"/>
    </w:rPr>
  </w:style>
  <w:style w:type="character" w:customStyle="1" w:styleId="397">
    <w:name w:val="+正文 Char2 Char Char"/>
    <w:link w:val="398"/>
    <w:qFormat/>
    <w:locked/>
    <w:uiPriority w:val="0"/>
    <w:rPr>
      <w:rFonts w:ascii="宋体" w:hAnsi="宋体" w:eastAsia="宋体"/>
      <w:sz w:val="24"/>
    </w:rPr>
  </w:style>
  <w:style w:type="paragraph" w:customStyle="1" w:styleId="398">
    <w:name w:val="+正文 Char2"/>
    <w:basedOn w:val="1"/>
    <w:link w:val="397"/>
    <w:qFormat/>
    <w:uiPriority w:val="0"/>
    <w:pPr>
      <w:spacing w:line="360" w:lineRule="auto"/>
      <w:ind w:firstLine="200" w:firstLineChars="200"/>
    </w:pPr>
    <w:rPr>
      <w:rFonts w:ascii="宋体" w:hAnsi="宋体"/>
      <w:kern w:val="0"/>
      <w:sz w:val="24"/>
      <w:szCs w:val="20"/>
    </w:rPr>
  </w:style>
  <w:style w:type="character" w:customStyle="1" w:styleId="399">
    <w:name w:val="占位符文本1"/>
    <w:qFormat/>
    <w:uiPriority w:val="99"/>
    <w:rPr>
      <w:rFonts w:ascii="Times New Roman" w:hAnsi="Times New Roman" w:eastAsia="宋体"/>
      <w:color w:val="808080"/>
    </w:rPr>
  </w:style>
  <w:style w:type="character" w:customStyle="1" w:styleId="400">
    <w:name w:val="样式 样式 (符号) 宋体 四号 首行缩进:  1.01 厘米 行距: 固定值 26 磅 + 首行缩进:  2 字符 段前: ... Char"/>
    <w:qFormat/>
    <w:uiPriority w:val="0"/>
    <w:rPr>
      <w:rFonts w:ascii="Times New Roman" w:hAnsi="宋体" w:eastAsia="宋体"/>
      <w:sz w:val="24"/>
    </w:rPr>
  </w:style>
  <w:style w:type="character" w:customStyle="1" w:styleId="401">
    <w:name w:val="正文文本 3 字符1"/>
    <w:qFormat/>
    <w:uiPriority w:val="99"/>
    <w:rPr>
      <w:rFonts w:ascii="Times New Roman" w:hAnsi="Times New Roman" w:eastAsia="宋体"/>
      <w:sz w:val="16"/>
    </w:rPr>
  </w:style>
  <w:style w:type="character" w:customStyle="1" w:styleId="402">
    <w:name w:val="脚注文本 Char1"/>
    <w:qFormat/>
    <w:uiPriority w:val="0"/>
    <w:rPr>
      <w:rFonts w:ascii="Times New Roman" w:hAnsi="Times New Roman" w:eastAsia="宋体"/>
      <w:sz w:val="18"/>
    </w:rPr>
  </w:style>
  <w:style w:type="character" w:customStyle="1" w:styleId="403">
    <w:name w:val="标题 7 Char Char Char Char Char Char Char Char"/>
    <w:qFormat/>
    <w:uiPriority w:val="0"/>
    <w:rPr>
      <w:rFonts w:ascii="华文细黑" w:hAnsi="Times New Roman" w:eastAsia="华文细黑"/>
      <w:i/>
      <w:snapToGrid w:val="0"/>
      <w:spacing w:val="10"/>
      <w:kern w:val="28"/>
      <w:sz w:val="28"/>
      <w:lang w:val="en-US" w:eastAsia="zh-CN"/>
    </w:rPr>
  </w:style>
  <w:style w:type="character" w:customStyle="1" w:styleId="404">
    <w:name w:val="1级附件 Char"/>
    <w:link w:val="405"/>
    <w:qFormat/>
    <w:locked/>
    <w:uiPriority w:val="0"/>
    <w:rPr>
      <w:rFonts w:ascii="黑体" w:hAnsi="黑体" w:eastAsia="黑体"/>
      <w:sz w:val="36"/>
    </w:rPr>
  </w:style>
  <w:style w:type="paragraph" w:customStyle="1" w:styleId="405">
    <w:name w:val="1级附件"/>
    <w:basedOn w:val="1"/>
    <w:link w:val="404"/>
    <w:qFormat/>
    <w:uiPriority w:val="0"/>
    <w:pPr>
      <w:keepNext/>
      <w:keepLines/>
      <w:adjustRightInd w:val="0"/>
      <w:snapToGrid w:val="0"/>
      <w:spacing w:before="120" w:after="120" w:line="880" w:lineRule="exact"/>
      <w:jc w:val="center"/>
      <w:outlineLvl w:val="0"/>
    </w:pPr>
    <w:rPr>
      <w:rFonts w:ascii="黑体" w:hAnsi="黑体" w:eastAsia="黑体"/>
      <w:kern w:val="0"/>
      <w:sz w:val="36"/>
      <w:szCs w:val="20"/>
    </w:rPr>
  </w:style>
  <w:style w:type="character" w:customStyle="1" w:styleId="406">
    <w:name w:val="Char Char14"/>
    <w:qFormat/>
    <w:uiPriority w:val="0"/>
    <w:rPr>
      <w:rFonts w:ascii="宋体" w:hAnsi="Courier New" w:eastAsia="宋体"/>
      <w:kern w:val="2"/>
      <w:sz w:val="21"/>
      <w:lang w:val="en-US" w:eastAsia="zh-CN"/>
    </w:rPr>
  </w:style>
  <w:style w:type="character" w:customStyle="1" w:styleId="407">
    <w:name w:val="纯文本 Char1"/>
    <w:qFormat/>
    <w:uiPriority w:val="0"/>
    <w:rPr>
      <w:rFonts w:ascii="宋体" w:hAnsi="Courier New" w:eastAsia="宋体"/>
      <w:sz w:val="21"/>
    </w:rPr>
  </w:style>
  <w:style w:type="character" w:customStyle="1" w:styleId="408">
    <w:name w:val="副标题 Char1"/>
    <w:qFormat/>
    <w:uiPriority w:val="11"/>
    <w:rPr>
      <w:rFonts w:ascii="Cambria" w:hAnsi="Cambria" w:eastAsia="宋体"/>
      <w:b/>
      <w:kern w:val="28"/>
      <w:sz w:val="32"/>
    </w:rPr>
  </w:style>
  <w:style w:type="character" w:customStyle="1" w:styleId="409">
    <w:name w:val="超链接1"/>
    <w:qFormat/>
    <w:uiPriority w:val="99"/>
    <w:rPr>
      <w:rFonts w:ascii="Times New Roman" w:hAnsi="Times New Roman" w:eastAsia="宋体"/>
      <w:color w:val="0000FF"/>
      <w:u w:val="single"/>
    </w:rPr>
  </w:style>
  <w:style w:type="character" w:customStyle="1" w:styleId="410">
    <w:name w:val="Char Char Char Char3"/>
    <w:qFormat/>
    <w:uiPriority w:val="0"/>
    <w:rPr>
      <w:rFonts w:ascii="宋体" w:hAnsi="宋体" w:eastAsia="宋体"/>
      <w:kern w:val="2"/>
      <w:sz w:val="24"/>
      <w:lang w:val="en-US" w:eastAsia="zh-CN"/>
    </w:rPr>
  </w:style>
  <w:style w:type="character" w:customStyle="1" w:styleId="411">
    <w:name w:val="rec-status-desc"/>
    <w:qFormat/>
    <w:uiPriority w:val="0"/>
    <w:rPr>
      <w:rFonts w:ascii="Times New Roman" w:hAnsi="Times New Roman" w:eastAsia="宋体"/>
    </w:rPr>
  </w:style>
  <w:style w:type="character" w:customStyle="1" w:styleId="412">
    <w:name w:val="标题 4 Char1"/>
    <w:qFormat/>
    <w:uiPriority w:val="99"/>
    <w:rPr>
      <w:rFonts w:ascii="Cambria" w:hAnsi="Cambria" w:eastAsia="宋体"/>
      <w:b/>
      <w:kern w:val="2"/>
      <w:sz w:val="28"/>
    </w:rPr>
  </w:style>
  <w:style w:type="character" w:customStyle="1" w:styleId="413">
    <w:name w:val="标题 字符1"/>
    <w:qFormat/>
    <w:uiPriority w:val="10"/>
    <w:rPr>
      <w:rFonts w:ascii="Cambria" w:hAnsi="Cambria" w:eastAsia="宋体"/>
      <w:b/>
      <w:sz w:val="32"/>
    </w:rPr>
  </w:style>
  <w:style w:type="character" w:customStyle="1" w:styleId="414">
    <w:name w:val="1234 Char"/>
    <w:link w:val="415"/>
    <w:qFormat/>
    <w:locked/>
    <w:uiPriority w:val="0"/>
    <w:rPr>
      <w:rFonts w:ascii="宋体" w:hAnsi="宋体" w:eastAsia="宋体"/>
      <w:color w:val="000000"/>
      <w:kern w:val="1"/>
      <w:sz w:val="28"/>
    </w:rPr>
  </w:style>
  <w:style w:type="paragraph" w:customStyle="1" w:styleId="415">
    <w:name w:val="1234"/>
    <w:basedOn w:val="231"/>
    <w:link w:val="414"/>
    <w:qFormat/>
    <w:uiPriority w:val="0"/>
    <w:pPr>
      <w:spacing w:before="60" w:after="60"/>
    </w:pPr>
    <w:rPr>
      <w:color w:val="000000"/>
      <w:kern w:val="1"/>
      <w:szCs w:val="20"/>
    </w:rPr>
  </w:style>
  <w:style w:type="character" w:customStyle="1" w:styleId="416">
    <w:name w:val="正文1111 Char Char"/>
    <w:qFormat/>
    <w:uiPriority w:val="0"/>
    <w:rPr>
      <w:rFonts w:ascii="宋体" w:hAnsi="宋体" w:eastAsia="宋体"/>
      <w:sz w:val="28"/>
    </w:rPr>
  </w:style>
  <w:style w:type="character" w:customStyle="1" w:styleId="417">
    <w:name w:val="正文1 字符"/>
    <w:link w:val="418"/>
    <w:qFormat/>
    <w:locked/>
    <w:uiPriority w:val="99"/>
    <w:rPr>
      <w:rFonts w:ascii="Calibri" w:hAnsi="Calibri" w:eastAsia="宋体"/>
      <w:kern w:val="2"/>
      <w:sz w:val="22"/>
    </w:rPr>
  </w:style>
  <w:style w:type="paragraph" w:customStyle="1" w:styleId="418">
    <w:name w:val="正文1"/>
    <w:basedOn w:val="1"/>
    <w:link w:val="417"/>
    <w:qFormat/>
    <w:uiPriority w:val="0"/>
    <w:rPr>
      <w:rFonts w:ascii="Calibri" w:hAnsi="Calibri"/>
      <w:sz w:val="22"/>
      <w:szCs w:val="20"/>
    </w:rPr>
  </w:style>
  <w:style w:type="character" w:customStyle="1" w:styleId="419">
    <w:name w:val="正文文本 Char4"/>
    <w:qFormat/>
    <w:uiPriority w:val="0"/>
    <w:rPr>
      <w:rFonts w:ascii="Times New Roman" w:hAnsi="Times New Roman" w:eastAsia="隶书"/>
      <w:b/>
      <w:kern w:val="0"/>
      <w:sz w:val="20"/>
    </w:rPr>
  </w:style>
  <w:style w:type="character" w:customStyle="1" w:styleId="420">
    <w:name w:val="页脚 字符"/>
    <w:qFormat/>
    <w:uiPriority w:val="99"/>
    <w:rPr>
      <w:rFonts w:ascii="Calibri" w:hAnsi="Calibri" w:eastAsia="宋体"/>
      <w:sz w:val="18"/>
    </w:rPr>
  </w:style>
  <w:style w:type="character" w:customStyle="1" w:styleId="421">
    <w:name w:val="正文A 字符"/>
    <w:link w:val="422"/>
    <w:qFormat/>
    <w:locked/>
    <w:uiPriority w:val="0"/>
    <w:rPr>
      <w:rFonts w:ascii="Times New Roman" w:hAnsi="Times New Roman" w:eastAsia="宋体"/>
      <w:sz w:val="28"/>
    </w:rPr>
  </w:style>
  <w:style w:type="paragraph" w:customStyle="1" w:styleId="422">
    <w:name w:val="正文A"/>
    <w:basedOn w:val="423"/>
    <w:link w:val="421"/>
    <w:qFormat/>
    <w:uiPriority w:val="0"/>
    <w:pPr>
      <w:ind w:firstLine="200" w:firstLineChars="200"/>
    </w:pPr>
    <w:rPr>
      <w:rFonts w:ascii="Times New Roman" w:hAnsi="Times New Roman" w:eastAsia="宋体"/>
      <w:kern w:val="0"/>
      <w:szCs w:val="20"/>
    </w:rPr>
  </w:style>
  <w:style w:type="paragraph" w:customStyle="1" w:styleId="423">
    <w:name w:val="正文A无缩进"/>
    <w:basedOn w:val="1"/>
    <w:qFormat/>
    <w:uiPriority w:val="0"/>
    <w:pPr>
      <w:widowControl/>
      <w:spacing w:line="540" w:lineRule="exact"/>
    </w:pPr>
    <w:rPr>
      <w:rFonts w:ascii="Garamond" w:hAnsi="Garamond" w:eastAsia="仿宋"/>
      <w:sz w:val="28"/>
      <w:szCs w:val="22"/>
    </w:rPr>
  </w:style>
  <w:style w:type="character" w:customStyle="1" w:styleId="424">
    <w:name w:val="rec-time"/>
    <w:qFormat/>
    <w:uiPriority w:val="0"/>
    <w:rPr>
      <w:rFonts w:ascii="Times New Roman" w:hAnsi="Times New Roman" w:eastAsia="宋体"/>
    </w:rPr>
  </w:style>
  <w:style w:type="character" w:customStyle="1" w:styleId="425">
    <w:name w:val="正文文本缩进 2 Char2 Char11"/>
    <w:qFormat/>
    <w:uiPriority w:val="0"/>
    <w:rPr>
      <w:rFonts w:ascii="宋体" w:hAnsi="宋体" w:eastAsia="宋体"/>
      <w:kern w:val="2"/>
      <w:sz w:val="24"/>
      <w:lang w:val="en-US" w:eastAsia="zh-CN"/>
    </w:rPr>
  </w:style>
  <w:style w:type="character" w:customStyle="1" w:styleId="426">
    <w:name w:val="样式2 Char Char Char Char"/>
    <w:link w:val="427"/>
    <w:qFormat/>
    <w:locked/>
    <w:uiPriority w:val="0"/>
    <w:rPr>
      <w:rFonts w:ascii="Times New Roman" w:hAnsi="Times New Roman" w:eastAsia="宋体"/>
      <w:kern w:val="2"/>
      <w:sz w:val="24"/>
    </w:rPr>
  </w:style>
  <w:style w:type="paragraph" w:customStyle="1" w:styleId="427">
    <w:name w:val="样式2 Char Char Char"/>
    <w:basedOn w:val="1"/>
    <w:link w:val="426"/>
    <w:qFormat/>
    <w:uiPriority w:val="0"/>
    <w:rPr>
      <w:sz w:val="24"/>
      <w:szCs w:val="20"/>
    </w:rPr>
  </w:style>
  <w:style w:type="character" w:customStyle="1" w:styleId="428">
    <w:name w:val="正文文本 2 Char1"/>
    <w:qFormat/>
    <w:uiPriority w:val="99"/>
    <w:rPr>
      <w:rFonts w:ascii="Times New Roman" w:hAnsi="Times New Roman" w:eastAsia="宋体"/>
      <w:sz w:val="24"/>
    </w:rPr>
  </w:style>
  <w:style w:type="character" w:customStyle="1" w:styleId="429">
    <w:name w:val="明显引用 Char"/>
    <w:link w:val="430"/>
    <w:qFormat/>
    <w:locked/>
    <w:uiPriority w:val="0"/>
    <w:rPr>
      <w:rFonts w:ascii="Calibri" w:hAnsi="Calibri" w:eastAsia="宋体"/>
      <w:b/>
      <w:i/>
      <w:color w:val="4F81BD"/>
      <w:sz w:val="22"/>
      <w:lang w:eastAsia="en-US"/>
    </w:rPr>
  </w:style>
  <w:style w:type="paragraph" w:customStyle="1" w:styleId="430">
    <w:name w:val="明显引用1"/>
    <w:basedOn w:val="1"/>
    <w:next w:val="1"/>
    <w:link w:val="429"/>
    <w:qFormat/>
    <w:uiPriority w:val="0"/>
    <w:pPr>
      <w:widowControl/>
      <w:pBdr>
        <w:bottom w:val="single" w:color="4F81BD" w:sz="4" w:space="4"/>
      </w:pBdr>
      <w:spacing w:before="200" w:after="280" w:line="276" w:lineRule="auto"/>
      <w:ind w:left="936" w:right="936"/>
      <w:jc w:val="left"/>
    </w:pPr>
    <w:rPr>
      <w:rFonts w:ascii="Calibri" w:hAnsi="Calibri"/>
      <w:b/>
      <w:i/>
      <w:color w:val="4F81BD"/>
      <w:kern w:val="0"/>
      <w:sz w:val="22"/>
      <w:szCs w:val="20"/>
      <w:lang w:eastAsia="en-US"/>
    </w:rPr>
  </w:style>
  <w:style w:type="character" w:customStyle="1" w:styleId="431">
    <w:name w:val="占位符文本11"/>
    <w:qFormat/>
    <w:uiPriority w:val="99"/>
    <w:rPr>
      <w:rFonts w:ascii="Times New Roman" w:hAnsi="Times New Roman" w:eastAsia="宋体"/>
      <w:color w:val="808080"/>
    </w:rPr>
  </w:style>
  <w:style w:type="character" w:customStyle="1" w:styleId="432">
    <w:name w:val="apple-style-span"/>
    <w:qFormat/>
    <w:uiPriority w:val="0"/>
    <w:rPr>
      <w:rFonts w:ascii="Times New Roman" w:hAnsi="Times New Roman" w:eastAsia="宋体"/>
    </w:rPr>
  </w:style>
  <w:style w:type="character" w:customStyle="1" w:styleId="433">
    <w:name w:val="目录-GPP Char"/>
    <w:link w:val="434"/>
    <w:qFormat/>
    <w:locked/>
    <w:uiPriority w:val="0"/>
    <w:rPr>
      <w:rFonts w:ascii="宋体" w:hAnsi="宋体" w:eastAsia="宋体"/>
      <w:smallCaps/>
      <w:kern w:val="2"/>
      <w:sz w:val="28"/>
    </w:rPr>
  </w:style>
  <w:style w:type="paragraph" w:customStyle="1" w:styleId="434">
    <w:name w:val="目录-GPP"/>
    <w:basedOn w:val="44"/>
    <w:link w:val="433"/>
    <w:qFormat/>
    <w:uiPriority w:val="0"/>
    <w:pPr>
      <w:spacing w:line="360" w:lineRule="auto"/>
      <w:ind w:left="280" w:leftChars="0" w:firstLine="200" w:firstLineChars="200"/>
      <w:jc w:val="left"/>
    </w:pPr>
    <w:rPr>
      <w:rFonts w:ascii="宋体" w:hAnsi="宋体"/>
      <w:smallCaps/>
      <w:sz w:val="28"/>
      <w:szCs w:val="20"/>
    </w:rPr>
  </w:style>
  <w:style w:type="character" w:customStyle="1" w:styleId="435">
    <w:name w:val="正文文本缩进 Char1"/>
    <w:qFormat/>
    <w:uiPriority w:val="99"/>
    <w:rPr>
      <w:rFonts w:ascii="Times New Roman" w:hAnsi="Times New Roman" w:eastAsia="宋体"/>
      <w:sz w:val="24"/>
    </w:rPr>
  </w:style>
  <w:style w:type="character" w:customStyle="1" w:styleId="436">
    <w:name w:val="样式 宋体 四号 黑色1 Char Char"/>
    <w:link w:val="437"/>
    <w:qFormat/>
    <w:locked/>
    <w:uiPriority w:val="99"/>
    <w:rPr>
      <w:rFonts w:ascii="宋体" w:hAnsi="宋体" w:eastAsia="宋体"/>
      <w:color w:val="000000"/>
      <w:sz w:val="28"/>
    </w:rPr>
  </w:style>
  <w:style w:type="paragraph" w:customStyle="1" w:styleId="437">
    <w:name w:val="样式 宋体 四号 黑色1"/>
    <w:basedOn w:val="1"/>
    <w:link w:val="436"/>
    <w:qFormat/>
    <w:uiPriority w:val="99"/>
    <w:pPr>
      <w:spacing w:line="560" w:lineRule="exact"/>
      <w:ind w:firstLine="200" w:firstLineChars="200"/>
      <w:jc w:val="left"/>
    </w:pPr>
    <w:rPr>
      <w:rFonts w:ascii="宋体" w:hAnsi="宋体"/>
      <w:color w:val="000000"/>
      <w:kern w:val="0"/>
      <w:sz w:val="28"/>
      <w:szCs w:val="20"/>
    </w:rPr>
  </w:style>
  <w:style w:type="character" w:customStyle="1" w:styleId="438">
    <w:name w:val="grame"/>
    <w:qFormat/>
    <w:uiPriority w:val="0"/>
    <w:rPr>
      <w:rFonts w:ascii="宋体" w:hAnsi="宋体" w:eastAsia="宋体"/>
      <w:kern w:val="2"/>
      <w:sz w:val="24"/>
      <w:lang w:val="en-US" w:eastAsia="zh-CN"/>
    </w:rPr>
  </w:style>
  <w:style w:type="character" w:customStyle="1" w:styleId="439">
    <w:name w:val="fontstyle11"/>
    <w:qFormat/>
    <w:uiPriority w:val="0"/>
    <w:rPr>
      <w:rFonts w:ascii="MicrosoftYaHei-Bold" w:hAnsi="Times New Roman" w:eastAsia="MicrosoftYaHei-Bold"/>
      <w:b/>
      <w:color w:val="000000"/>
      <w:sz w:val="40"/>
    </w:rPr>
  </w:style>
  <w:style w:type="character" w:customStyle="1" w:styleId="440">
    <w:name w:val="apple-converted-space"/>
    <w:qFormat/>
    <w:uiPriority w:val="0"/>
    <w:rPr>
      <w:rFonts w:ascii="Times New Roman" w:hAnsi="Times New Roman" w:eastAsia="宋体"/>
    </w:rPr>
  </w:style>
  <w:style w:type="character" w:customStyle="1" w:styleId="441">
    <w:name w:val="脚注文本 Char3"/>
    <w:qFormat/>
    <w:uiPriority w:val="0"/>
    <w:rPr>
      <w:rFonts w:ascii="Times New Roman" w:hAnsi="Times New Roman" w:eastAsia="宋体"/>
      <w:sz w:val="18"/>
    </w:rPr>
  </w:style>
  <w:style w:type="character" w:customStyle="1" w:styleId="442">
    <w:name w:val="tpc_content1"/>
    <w:qFormat/>
    <w:uiPriority w:val="0"/>
    <w:rPr>
      <w:rFonts w:ascii="Times New Roman" w:hAnsi="Times New Roman" w:eastAsia="宋体"/>
      <w:sz w:val="20"/>
    </w:rPr>
  </w:style>
  <w:style w:type="character" w:customStyle="1" w:styleId="443">
    <w:name w:val="正文首行缩进 Char1"/>
    <w:qFormat/>
    <w:uiPriority w:val="99"/>
    <w:rPr>
      <w:rFonts w:ascii="Times New Roman" w:hAnsi="Times New Roman" w:eastAsia="宋体"/>
      <w:kern w:val="2"/>
      <w:sz w:val="24"/>
    </w:rPr>
  </w:style>
  <w:style w:type="character" w:customStyle="1" w:styleId="444">
    <w:name w:val="日期 Char2"/>
    <w:qFormat/>
    <w:uiPriority w:val="99"/>
    <w:rPr>
      <w:rFonts w:ascii="Times New Roman" w:hAnsi="Times New Roman" w:eastAsia="宋体"/>
      <w:sz w:val="24"/>
    </w:rPr>
  </w:style>
  <w:style w:type="character" w:customStyle="1" w:styleId="445">
    <w:name w:val="表头 Char"/>
    <w:link w:val="446"/>
    <w:qFormat/>
    <w:locked/>
    <w:uiPriority w:val="0"/>
    <w:rPr>
      <w:rFonts w:ascii="宋体" w:hAnsi="宋体" w:eastAsia="宋体"/>
      <w:b/>
      <w:sz w:val="28"/>
    </w:rPr>
  </w:style>
  <w:style w:type="paragraph" w:customStyle="1" w:styleId="446">
    <w:name w:val="表头"/>
    <w:basedOn w:val="231"/>
    <w:link w:val="445"/>
    <w:qFormat/>
    <w:uiPriority w:val="0"/>
    <w:pPr>
      <w:spacing w:before="60" w:after="60" w:line="560" w:lineRule="exact"/>
      <w:jc w:val="center"/>
    </w:pPr>
    <w:rPr>
      <w:b/>
      <w:szCs w:val="20"/>
    </w:rPr>
  </w:style>
  <w:style w:type="character" w:customStyle="1" w:styleId="447">
    <w:name w:val="ju1"/>
    <w:qFormat/>
    <w:uiPriority w:val="0"/>
    <w:rPr>
      <w:rFonts w:ascii="??" w:hAnsi="??" w:eastAsia="宋体"/>
      <w:color w:val="F06000"/>
      <w:sz w:val="20"/>
    </w:rPr>
  </w:style>
  <w:style w:type="paragraph" w:customStyle="1" w:styleId="448">
    <w:name w:val="font13"/>
    <w:basedOn w:val="1"/>
    <w:qFormat/>
    <w:uiPriority w:val="0"/>
    <w:pPr>
      <w:widowControl/>
      <w:spacing w:before="100" w:beforeAutospacing="1" w:after="100" w:afterAutospacing="1"/>
      <w:jc w:val="left"/>
    </w:pPr>
    <w:rPr>
      <w:color w:val="0000FF"/>
      <w:kern w:val="0"/>
      <w:sz w:val="19"/>
      <w:szCs w:val="19"/>
    </w:rPr>
  </w:style>
  <w:style w:type="paragraph" w:customStyle="1" w:styleId="449">
    <w:name w:val="Char53"/>
    <w:basedOn w:val="1"/>
    <w:qFormat/>
    <w:uiPriority w:val="0"/>
    <w:pPr>
      <w:spacing w:line="360" w:lineRule="auto"/>
      <w:ind w:firstLine="200" w:firstLineChars="200"/>
    </w:pPr>
    <w:rPr>
      <w:rFonts w:ascii="宋体" w:hAnsi="宋体" w:cs="宋体"/>
      <w:sz w:val="24"/>
    </w:rPr>
  </w:style>
  <w:style w:type="paragraph" w:customStyle="1" w:styleId="450">
    <w:name w:val="0"/>
    <w:basedOn w:val="1"/>
    <w:qFormat/>
    <w:uiPriority w:val="0"/>
    <w:pPr>
      <w:widowControl/>
      <w:snapToGrid w:val="0"/>
    </w:pPr>
    <w:rPr>
      <w:kern w:val="0"/>
      <w:sz w:val="20"/>
      <w:szCs w:val="20"/>
    </w:rPr>
  </w:style>
  <w:style w:type="paragraph" w:customStyle="1" w:styleId="451">
    <w:name w:val="08表前海一期"/>
    <w:basedOn w:val="452"/>
    <w:qFormat/>
    <w:uiPriority w:val="99"/>
    <w:pPr>
      <w:ind w:left="3507" w:hanging="420"/>
    </w:pPr>
    <w:rPr>
      <w:rFonts w:ascii="Times New Roman" w:hAnsi="Times New Roman"/>
    </w:rPr>
  </w:style>
  <w:style w:type="paragraph" w:customStyle="1" w:styleId="452">
    <w:name w:val="09图前海一期"/>
    <w:basedOn w:val="1"/>
    <w:qFormat/>
    <w:uiPriority w:val="99"/>
    <w:pPr>
      <w:overflowPunct w:val="0"/>
      <w:spacing w:line="360" w:lineRule="auto"/>
      <w:ind w:left="3927"/>
      <w:jc w:val="center"/>
    </w:pPr>
    <w:rPr>
      <w:rFonts w:ascii="黑体" w:hAnsi="黑体"/>
      <w:sz w:val="24"/>
      <w:szCs w:val="21"/>
    </w:rPr>
  </w:style>
  <w:style w:type="paragraph" w:customStyle="1" w:styleId="453">
    <w:name w:val="正文首行缩进1"/>
    <w:basedOn w:val="23"/>
    <w:next w:val="53"/>
    <w:qFormat/>
    <w:uiPriority w:val="0"/>
    <w:pPr>
      <w:ind w:firstLine="420" w:firstLineChars="100"/>
    </w:pPr>
    <w:rPr>
      <w:rFonts w:ascii="Calibri" w:hAnsi="Calibri" w:eastAsia="隶书"/>
      <w:b/>
      <w:lang w:eastAsia="en-US"/>
    </w:rPr>
  </w:style>
  <w:style w:type="paragraph" w:customStyle="1" w:styleId="454">
    <w:name w:val="样式 样式 倾斜 居中 底端: (粗-细窄间隔 自动设置  3 磅 行宽) + 非倾斜 底端: (粗-细窄间隔 自动设置 ..."/>
    <w:basedOn w:val="455"/>
    <w:qFormat/>
    <w:uiPriority w:val="0"/>
    <w:rPr>
      <w:rFonts w:cs="Times New Roman"/>
      <w:i w:val="0"/>
      <w:iCs w:val="0"/>
    </w:rPr>
  </w:style>
  <w:style w:type="paragraph" w:customStyle="1" w:styleId="455">
    <w:name w:val="样式 倾斜 居中 底端: (粗-细窄间隔 自动设置  3 磅 行宽)"/>
    <w:basedOn w:val="1"/>
    <w:qFormat/>
    <w:uiPriority w:val="0"/>
    <w:pPr>
      <w:jc w:val="center"/>
    </w:pPr>
    <w:rPr>
      <w:rFonts w:cs="宋体"/>
      <w:i/>
      <w:iCs/>
      <w:sz w:val="24"/>
      <w:szCs w:val="20"/>
    </w:rPr>
  </w:style>
  <w:style w:type="paragraph" w:customStyle="1" w:styleId="456">
    <w:name w:val="样式 首行缩进:  2 字符"/>
    <w:basedOn w:val="1"/>
    <w:link w:val="1361"/>
    <w:qFormat/>
    <w:uiPriority w:val="0"/>
    <w:pPr>
      <w:adjustRightInd w:val="0"/>
      <w:spacing w:line="460" w:lineRule="exact"/>
      <w:ind w:firstLine="200" w:firstLineChars="200"/>
      <w:jc w:val="left"/>
    </w:pPr>
    <w:rPr>
      <w:rFonts w:cs="宋体"/>
      <w:spacing w:val="8"/>
      <w:sz w:val="24"/>
    </w:rPr>
  </w:style>
  <w:style w:type="paragraph" w:customStyle="1" w:styleId="457">
    <w:name w:val="xl17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458">
    <w:name w:val="目录 81"/>
    <w:basedOn w:val="1"/>
    <w:next w:val="1"/>
    <w:qFormat/>
    <w:uiPriority w:val="39"/>
    <w:pPr>
      <w:spacing w:line="360" w:lineRule="auto"/>
      <w:ind w:left="1960" w:firstLine="200" w:firstLineChars="200"/>
      <w:jc w:val="left"/>
    </w:pPr>
    <w:rPr>
      <w:rFonts w:ascii="Calibri" w:hAnsi="Calibri" w:cs="Calibri"/>
      <w:sz w:val="18"/>
      <w:szCs w:val="18"/>
    </w:rPr>
  </w:style>
  <w:style w:type="paragraph" w:customStyle="1" w:styleId="459">
    <w:name w:val="样式 标题 3 + 宋体 四号 非加粗 段前: 0 磅 段后: 0 磅 行距: 固定值 24 磅1"/>
    <w:basedOn w:val="4"/>
    <w:qFormat/>
    <w:uiPriority w:val="0"/>
    <w:pPr>
      <w:spacing w:before="0" w:after="0" w:line="560" w:lineRule="exact"/>
    </w:pPr>
    <w:rPr>
      <w:rFonts w:ascii="黑体" w:hAnsi="宋体" w:eastAsia="黑体" w:cs="宋体"/>
      <w:b w:val="0"/>
      <w:kern w:val="0"/>
      <w:szCs w:val="20"/>
    </w:rPr>
  </w:style>
  <w:style w:type="paragraph" w:customStyle="1" w:styleId="460">
    <w:name w:val="列出段落12"/>
    <w:basedOn w:val="1"/>
    <w:qFormat/>
    <w:uiPriority w:val="0"/>
    <w:pPr>
      <w:ind w:firstLine="420"/>
    </w:pPr>
    <w:rPr>
      <w:rFonts w:ascii="Calibri" w:hAnsi="Calibri"/>
    </w:rPr>
  </w:style>
  <w:style w:type="paragraph" w:customStyle="1" w:styleId="461">
    <w:name w:val="[无段落样式]"/>
    <w:qFormat/>
    <w:uiPriority w:val="0"/>
    <w:pPr>
      <w:widowControl w:val="0"/>
      <w:autoSpaceDE w:val="0"/>
      <w:autoSpaceDN w:val="0"/>
      <w:adjustRightInd w:val="0"/>
      <w:spacing w:line="288" w:lineRule="auto"/>
      <w:jc w:val="both"/>
      <w:textAlignment w:val="center"/>
    </w:pPr>
    <w:rPr>
      <w:rFonts w:ascii="Adobe 宋体 Std L" w:hAnsi="Times New Roman" w:eastAsia="Times New Roman" w:cs="Adobe 宋体 Std L"/>
      <w:color w:val="000000"/>
      <w:sz w:val="24"/>
      <w:szCs w:val="24"/>
      <w:lang w:val="zh-CN" w:eastAsia="zh-CN" w:bidi="ar-SA"/>
    </w:rPr>
  </w:style>
  <w:style w:type="paragraph" w:customStyle="1" w:styleId="462">
    <w:name w:val="xl1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463">
    <w:name w:val="xl2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24"/>
    </w:rPr>
  </w:style>
  <w:style w:type="paragraph" w:customStyle="1" w:styleId="464">
    <w:name w:val="Char Char1 Char"/>
    <w:basedOn w:val="1"/>
    <w:qFormat/>
    <w:uiPriority w:val="0"/>
  </w:style>
  <w:style w:type="paragraph" w:customStyle="1" w:styleId="465">
    <w:name w:val="xl7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hAnsi="Arial Unicode MS" w:eastAsia="仿宋_GB2312" w:cs="Arial Unicode MS"/>
      <w:color w:val="000000"/>
      <w:kern w:val="0"/>
      <w:sz w:val="24"/>
    </w:rPr>
  </w:style>
  <w:style w:type="paragraph" w:customStyle="1" w:styleId="466">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18"/>
      <w:szCs w:val="18"/>
    </w:rPr>
  </w:style>
  <w:style w:type="paragraph" w:customStyle="1" w:styleId="467">
    <w:name w:val="Char32"/>
    <w:basedOn w:val="1"/>
    <w:qFormat/>
    <w:uiPriority w:val="0"/>
    <w:pPr>
      <w:spacing w:line="360" w:lineRule="auto"/>
      <w:ind w:firstLine="200" w:firstLineChars="200"/>
    </w:pPr>
    <w:rPr>
      <w:rFonts w:ascii="宋体" w:hAnsi="宋体" w:cs="宋体"/>
      <w:sz w:val="24"/>
    </w:rPr>
  </w:style>
  <w:style w:type="paragraph" w:customStyle="1" w:styleId="468">
    <w:name w:val="Char14"/>
    <w:basedOn w:val="1"/>
    <w:qFormat/>
    <w:uiPriority w:val="0"/>
    <w:pPr>
      <w:spacing w:line="360" w:lineRule="auto"/>
      <w:ind w:firstLine="200" w:firstLineChars="200"/>
    </w:pPr>
    <w:rPr>
      <w:rFonts w:ascii="宋体" w:hAnsi="宋体" w:cs="宋体"/>
      <w:sz w:val="24"/>
    </w:rPr>
  </w:style>
  <w:style w:type="paragraph" w:customStyle="1" w:styleId="469">
    <w:name w:val="样式15"/>
    <w:basedOn w:val="1"/>
    <w:qFormat/>
    <w:uiPriority w:val="0"/>
    <w:pPr>
      <w:adjustRightInd w:val="0"/>
      <w:snapToGrid w:val="0"/>
      <w:spacing w:before="50" w:after="50" w:line="360" w:lineRule="auto"/>
    </w:pPr>
    <w:rPr>
      <w:color w:val="000000"/>
      <w:sz w:val="24"/>
      <w:szCs w:val="21"/>
    </w:rPr>
  </w:style>
  <w:style w:type="paragraph" w:customStyle="1" w:styleId="47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71">
    <w:name w:val="xl10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Arial Narrow" w:hAnsi="Arial Narrow" w:cs="Arial Unicode MS"/>
      <w:b/>
      <w:bCs/>
      <w:kern w:val="0"/>
      <w:sz w:val="19"/>
      <w:szCs w:val="19"/>
    </w:rPr>
  </w:style>
  <w:style w:type="paragraph" w:customStyle="1" w:styleId="472">
    <w:name w:val="正式排版"/>
    <w:basedOn w:val="1"/>
    <w:qFormat/>
    <w:uiPriority w:val="0"/>
    <w:pPr>
      <w:snapToGrid w:val="0"/>
      <w:spacing w:line="600" w:lineRule="exact"/>
      <w:ind w:firstLine="607"/>
    </w:pPr>
    <w:rPr>
      <w:rFonts w:eastAsia="仿宋_GB2312"/>
      <w:kern w:val="0"/>
      <w:sz w:val="30"/>
      <w:szCs w:val="16"/>
    </w:rPr>
  </w:style>
  <w:style w:type="paragraph" w:customStyle="1" w:styleId="473">
    <w:name w:val="xl29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4">
    <w:name w:val="Char Char Char Char Char Char Char Char Char1 Char Char Char Char"/>
    <w:basedOn w:val="1"/>
    <w:qFormat/>
    <w:uiPriority w:val="0"/>
    <w:pPr>
      <w:spacing w:line="360" w:lineRule="auto"/>
      <w:ind w:firstLine="200" w:firstLineChars="200"/>
    </w:pPr>
    <w:rPr>
      <w:rFonts w:ascii="宋体" w:hAnsi="宋体"/>
      <w:sz w:val="24"/>
      <w:szCs w:val="26"/>
    </w:rPr>
  </w:style>
  <w:style w:type="paragraph" w:customStyle="1" w:styleId="475">
    <w:name w:val="xl10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476">
    <w:name w:val="样式 宋体 四号 段前: 0.5 行 段后: 0.5 行 行距: 固定值 28 磅"/>
    <w:basedOn w:val="1"/>
    <w:qFormat/>
    <w:uiPriority w:val="99"/>
    <w:pPr>
      <w:spacing w:beforeLines="50" w:afterLines="50" w:line="560" w:lineRule="exact"/>
      <w:ind w:firstLine="200" w:firstLineChars="200"/>
      <w:jc w:val="left"/>
    </w:pPr>
    <w:rPr>
      <w:rFonts w:ascii="宋体" w:hAnsi="宋体" w:cs="宋体"/>
      <w:sz w:val="28"/>
      <w:szCs w:val="20"/>
    </w:rPr>
  </w:style>
  <w:style w:type="paragraph" w:customStyle="1" w:styleId="477">
    <w:name w:val="Char Char1"/>
    <w:basedOn w:val="1"/>
    <w:qFormat/>
    <w:uiPriority w:val="0"/>
    <w:pPr>
      <w:spacing w:line="360" w:lineRule="auto"/>
      <w:ind w:firstLine="200" w:firstLineChars="200"/>
    </w:pPr>
    <w:rPr>
      <w:rFonts w:ascii="宋体" w:hAnsi="宋体" w:cs="宋体"/>
      <w:sz w:val="24"/>
    </w:rPr>
  </w:style>
  <w:style w:type="paragraph" w:customStyle="1" w:styleId="478">
    <w:name w:val="Char51"/>
    <w:basedOn w:val="1"/>
    <w:qFormat/>
    <w:uiPriority w:val="0"/>
    <w:pPr>
      <w:spacing w:line="360" w:lineRule="auto"/>
      <w:ind w:firstLine="200" w:firstLineChars="200"/>
    </w:pPr>
    <w:rPr>
      <w:rFonts w:ascii="宋体" w:hAnsi="宋体" w:cs="宋体"/>
      <w:sz w:val="24"/>
    </w:rPr>
  </w:style>
  <w:style w:type="paragraph" w:customStyle="1" w:styleId="479">
    <w:name w:val="xl68"/>
    <w:basedOn w:val="1"/>
    <w:qFormat/>
    <w:uiPriority w:val="0"/>
    <w:pPr>
      <w:widowControl/>
      <w:pBdr>
        <w:top w:val="single" w:color="auto" w:sz="4" w:space="0"/>
        <w:right w:val="single" w:color="auto" w:sz="8" w:space="0"/>
      </w:pBdr>
      <w:spacing w:before="100" w:beforeAutospacing="1" w:after="100" w:afterAutospacing="1"/>
      <w:jc w:val="left"/>
    </w:pPr>
    <w:rPr>
      <w:rFonts w:ascii="仿宋_GB2312" w:hAnsi="Arial Unicode MS" w:eastAsia="仿宋_GB2312" w:cs="Arial Unicode MS"/>
      <w:color w:val="000000"/>
      <w:kern w:val="0"/>
      <w:sz w:val="24"/>
    </w:rPr>
  </w:style>
  <w:style w:type="paragraph" w:customStyle="1" w:styleId="480">
    <w:name w:val="xl346"/>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481">
    <w:name w:val="xl6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仿宋_GB2312" w:hAnsi="Arial Unicode MS" w:eastAsia="仿宋_GB2312" w:cs="Arial Unicode MS"/>
      <w:color w:val="000000"/>
      <w:kern w:val="0"/>
      <w:sz w:val="24"/>
    </w:rPr>
  </w:style>
  <w:style w:type="paragraph" w:customStyle="1" w:styleId="482">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83">
    <w:name w:val="xl18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84">
    <w:name w:val="Char27"/>
    <w:basedOn w:val="1"/>
    <w:qFormat/>
    <w:uiPriority w:val="0"/>
    <w:pPr>
      <w:spacing w:line="360" w:lineRule="auto"/>
      <w:ind w:firstLine="200" w:firstLineChars="200"/>
    </w:pPr>
    <w:rPr>
      <w:rFonts w:ascii="宋体" w:hAnsi="宋体" w:cs="宋体"/>
      <w:sz w:val="24"/>
    </w:rPr>
  </w:style>
  <w:style w:type="paragraph" w:customStyle="1" w:styleId="485">
    <w:name w:val="Char13"/>
    <w:basedOn w:val="1"/>
    <w:qFormat/>
    <w:uiPriority w:val="0"/>
    <w:pPr>
      <w:spacing w:line="360" w:lineRule="auto"/>
      <w:ind w:firstLine="200" w:firstLineChars="200"/>
    </w:pPr>
    <w:rPr>
      <w:rFonts w:ascii="宋体" w:hAnsi="宋体" w:cs="宋体"/>
      <w:sz w:val="24"/>
    </w:rPr>
  </w:style>
  <w:style w:type="paragraph" w:customStyle="1" w:styleId="486">
    <w:name w:val="3级标题"/>
    <w:qFormat/>
    <w:uiPriority w:val="0"/>
    <w:pPr>
      <w:spacing w:line="360" w:lineRule="auto"/>
      <w:outlineLvl w:val="2"/>
    </w:pPr>
    <w:rPr>
      <w:rFonts w:ascii="Times New Roman" w:hAnsi="Times New Roman" w:eastAsia="黑体" w:cs="楷体_GB2312"/>
      <w:color w:val="000000"/>
      <w:kern w:val="44"/>
      <w:sz w:val="30"/>
      <w:szCs w:val="30"/>
      <w:lang w:val="en-US" w:eastAsia="zh-CN" w:bidi="ar-SA"/>
    </w:rPr>
  </w:style>
  <w:style w:type="paragraph" w:customStyle="1" w:styleId="487">
    <w:name w:val="Char9"/>
    <w:basedOn w:val="1"/>
    <w:qFormat/>
    <w:uiPriority w:val="0"/>
    <w:pPr>
      <w:spacing w:line="360" w:lineRule="auto"/>
      <w:ind w:firstLine="200" w:firstLineChars="200"/>
    </w:pPr>
    <w:rPr>
      <w:rFonts w:ascii="宋体" w:hAnsi="宋体" w:cs="宋体"/>
      <w:sz w:val="24"/>
    </w:rPr>
  </w:style>
  <w:style w:type="paragraph" w:customStyle="1" w:styleId="488">
    <w:name w:val="样式 标题 3 + 首行缩进:  2 字符"/>
    <w:basedOn w:val="4"/>
    <w:qFormat/>
    <w:uiPriority w:val="0"/>
    <w:pPr>
      <w:spacing w:before="0" w:after="0" w:line="240" w:lineRule="auto"/>
      <w:ind w:firstLine="602" w:firstLineChars="200"/>
    </w:pPr>
    <w:rPr>
      <w:rFonts w:eastAsia="黑体" w:cs="宋体"/>
      <w:bCs/>
      <w:szCs w:val="20"/>
    </w:rPr>
  </w:style>
  <w:style w:type="paragraph" w:customStyle="1" w:styleId="489">
    <w:name w:val="_Style 6"/>
    <w:basedOn w:val="1"/>
    <w:qFormat/>
    <w:uiPriority w:val="0"/>
    <w:pPr>
      <w:ind w:firstLine="200" w:firstLineChars="200"/>
    </w:pPr>
    <w:rPr>
      <w:rFonts w:ascii="Calibri" w:hAnsi="Calibri"/>
      <w:szCs w:val="22"/>
    </w:rPr>
  </w:style>
  <w:style w:type="paragraph" w:customStyle="1" w:styleId="490">
    <w:name w:val="TOC 标题111"/>
    <w:basedOn w:val="2"/>
    <w:next w:val="1"/>
    <w:qFormat/>
    <w:uiPriority w:val="99"/>
    <w:pPr>
      <w:widowControl/>
      <w:tabs>
        <w:tab w:val="clear" w:pos="360"/>
      </w:tabs>
      <w:adjustRightInd/>
      <w:spacing w:before="0" w:line="276" w:lineRule="auto"/>
      <w:ind w:left="0" w:leftChars="0" w:right="0" w:rightChars="0" w:firstLine="640"/>
      <w:outlineLvl w:val="9"/>
    </w:pPr>
    <w:rPr>
      <w:rFonts w:ascii="Cambria" w:hAnsi="Cambria" w:eastAsia="宋体"/>
      <w:bCs/>
      <w:color w:val="365F91"/>
      <w:kern w:val="0"/>
      <w:szCs w:val="28"/>
    </w:rPr>
  </w:style>
  <w:style w:type="paragraph" w:customStyle="1" w:styleId="491">
    <w:name w:val="xl9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color w:val="000000"/>
      <w:kern w:val="0"/>
      <w:sz w:val="24"/>
    </w:rPr>
  </w:style>
  <w:style w:type="paragraph" w:customStyle="1" w:styleId="49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b/>
      <w:bCs/>
      <w:color w:val="000000"/>
      <w:kern w:val="0"/>
      <w:sz w:val="24"/>
    </w:rPr>
  </w:style>
  <w:style w:type="paragraph" w:styleId="493">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94">
    <w:name w:val="Char Char Char Char Char Char Char Char Char Char3"/>
    <w:basedOn w:val="1"/>
    <w:qFormat/>
    <w:uiPriority w:val="0"/>
    <w:pPr>
      <w:spacing w:beforeLines="50" w:afterLines="50"/>
    </w:pPr>
    <w:rPr>
      <w:rFonts w:ascii="Tahoma" w:hAnsi="Tahoma"/>
      <w:sz w:val="24"/>
      <w:szCs w:val="20"/>
    </w:rPr>
  </w:style>
  <w:style w:type="paragraph" w:customStyle="1" w:styleId="495">
    <w:name w:val="Char Char Char Char Char Char Char3"/>
    <w:basedOn w:val="1"/>
    <w:qFormat/>
    <w:uiPriority w:val="0"/>
    <w:pPr>
      <w:spacing w:line="360" w:lineRule="auto"/>
      <w:ind w:firstLine="200" w:firstLineChars="200"/>
    </w:pPr>
    <w:rPr>
      <w:rFonts w:ascii="宋体" w:hAnsi="宋体" w:cs="宋体"/>
      <w:sz w:val="24"/>
    </w:rPr>
  </w:style>
  <w:style w:type="paragraph" w:customStyle="1" w:styleId="496">
    <w:name w:val="修订1"/>
    <w:qFormat/>
    <w:uiPriority w:val="0"/>
    <w:rPr>
      <w:rFonts w:ascii="Calibri" w:hAnsi="Calibri" w:eastAsia="宋体" w:cs="Times New Roman"/>
      <w:kern w:val="2"/>
      <w:sz w:val="21"/>
      <w:szCs w:val="22"/>
      <w:lang w:val="en-US" w:eastAsia="zh-CN" w:bidi="ar-SA"/>
    </w:rPr>
  </w:style>
  <w:style w:type="paragraph" w:customStyle="1" w:styleId="497">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8">
    <w:name w:val="xl171"/>
    <w:basedOn w:val="1"/>
    <w:qFormat/>
    <w:uiPriority w:val="0"/>
    <w:pPr>
      <w:widowControl/>
      <w:pBdr>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b/>
      <w:bCs/>
      <w:color w:val="000000"/>
      <w:kern w:val="0"/>
      <w:sz w:val="20"/>
      <w:szCs w:val="20"/>
    </w:rPr>
  </w:style>
  <w:style w:type="paragraph" w:customStyle="1" w:styleId="499">
    <w:name w:val="Char Char3 Char Char"/>
    <w:basedOn w:val="1"/>
    <w:qFormat/>
    <w:uiPriority w:val="0"/>
    <w:pPr>
      <w:spacing w:line="360" w:lineRule="auto"/>
      <w:ind w:firstLine="200" w:firstLineChars="200"/>
    </w:pPr>
    <w:rPr>
      <w:rFonts w:ascii="宋体" w:hAnsi="宋体" w:cs="宋体"/>
      <w:sz w:val="24"/>
    </w:rPr>
  </w:style>
  <w:style w:type="paragraph" w:customStyle="1" w:styleId="500">
    <w:name w:val="无间隔31"/>
    <w:qFormat/>
    <w:uiPriority w:val="1"/>
    <w:rPr>
      <w:rFonts w:ascii="Calibri" w:hAnsi="Calibri" w:eastAsia="宋体" w:cs="Times New Roman"/>
      <w:sz w:val="22"/>
      <w:szCs w:val="22"/>
      <w:lang w:val="en-US" w:eastAsia="zh-CN" w:bidi="ar-SA"/>
    </w:rPr>
  </w:style>
  <w:style w:type="paragraph" w:customStyle="1" w:styleId="501">
    <w:name w:val="Char Char Char Char1"/>
    <w:basedOn w:val="1"/>
    <w:qFormat/>
    <w:uiPriority w:val="0"/>
    <w:pPr>
      <w:ind w:firstLine="200" w:firstLineChars="200"/>
    </w:pPr>
    <w:rPr>
      <w:rFonts w:ascii="宋体" w:hAnsi="宋体" w:cs="宋体"/>
      <w:sz w:val="24"/>
    </w:rPr>
  </w:style>
  <w:style w:type="paragraph" w:customStyle="1" w:styleId="502">
    <w:name w:val="Char5"/>
    <w:basedOn w:val="1"/>
    <w:qFormat/>
    <w:uiPriority w:val="0"/>
    <w:pPr>
      <w:spacing w:line="360" w:lineRule="auto"/>
      <w:ind w:firstLine="200" w:firstLineChars="200"/>
    </w:pPr>
    <w:rPr>
      <w:rFonts w:ascii="宋体" w:hAnsi="宋体" w:cs="宋体"/>
      <w:sz w:val="24"/>
    </w:rPr>
  </w:style>
  <w:style w:type="paragraph" w:customStyle="1" w:styleId="503">
    <w:name w:val="02节前海一期"/>
    <w:basedOn w:val="3"/>
    <w:qFormat/>
    <w:uiPriority w:val="99"/>
    <w:pPr>
      <w:keepNext w:val="0"/>
      <w:keepLines w:val="0"/>
      <w:tabs>
        <w:tab w:val="left" w:pos="1440"/>
      </w:tabs>
      <w:overflowPunct w:val="0"/>
      <w:spacing w:beforeLines="50" w:afterLines="50" w:line="360" w:lineRule="auto"/>
      <w:ind w:left="1440" w:firstLine="200" w:firstLineChars="200"/>
    </w:pPr>
    <w:rPr>
      <w:rFonts w:ascii="宋体" w:hAnsi="Cambria" w:eastAsia="宋体"/>
      <w:b w:val="0"/>
      <w:kern w:val="0"/>
      <w:sz w:val="24"/>
      <w:szCs w:val="30"/>
    </w:rPr>
  </w:style>
  <w:style w:type="paragraph" w:customStyle="1" w:styleId="504">
    <w:name w:val="5"/>
    <w:qFormat/>
    <w:uiPriority w:val="99"/>
    <w:pPr>
      <w:widowControl w:val="0"/>
      <w:jc w:val="both"/>
    </w:pPr>
    <w:rPr>
      <w:rFonts w:ascii="Calibri" w:hAnsi="Calibri" w:eastAsia="宋体" w:cs="Times New Roman"/>
      <w:kern w:val="2"/>
      <w:sz w:val="21"/>
      <w:szCs w:val="24"/>
      <w:lang w:val="en-US" w:eastAsia="zh-CN" w:bidi="ar-SA"/>
    </w:rPr>
  </w:style>
  <w:style w:type="paragraph" w:customStyle="1" w:styleId="505">
    <w:name w:val="Char3"/>
    <w:basedOn w:val="1"/>
    <w:qFormat/>
    <w:uiPriority w:val="0"/>
    <w:pPr>
      <w:adjustRightInd w:val="0"/>
      <w:snapToGrid w:val="0"/>
      <w:ind w:firstLine="200" w:firstLineChars="200"/>
    </w:pPr>
    <w:rPr>
      <w:rFonts w:ascii="Tahoma" w:hAnsi="Tahoma" w:eastAsia="仿宋_GB2312"/>
      <w:kern w:val="0"/>
      <w:sz w:val="24"/>
      <w:szCs w:val="20"/>
    </w:rPr>
  </w:style>
  <w:style w:type="paragraph" w:customStyle="1" w:styleId="506">
    <w:name w:val="样式5"/>
    <w:basedOn w:val="34"/>
    <w:qFormat/>
    <w:uiPriority w:val="0"/>
    <w:pPr>
      <w:pBdr>
        <w:top w:val="thickThinSmallGap" w:color="auto" w:sz="18" w:space="1"/>
      </w:pBdr>
      <w:jc w:val="center"/>
    </w:pPr>
    <w:rPr>
      <w:b/>
      <w:sz w:val="24"/>
    </w:rPr>
  </w:style>
  <w:style w:type="paragraph" w:customStyle="1" w:styleId="507">
    <w:name w:val="样式 正文缩进首行缩进两字正文（首行缩进两字） Char文本正文11正文缩进 Char Char Char特点表正...3"/>
    <w:basedOn w:val="15"/>
    <w:qFormat/>
    <w:uiPriority w:val="0"/>
    <w:pPr>
      <w:spacing w:line="360" w:lineRule="auto"/>
      <w:ind w:firstLine="438"/>
    </w:pPr>
    <w:rPr>
      <w:rFonts w:cs="宋体"/>
      <w:sz w:val="28"/>
    </w:rPr>
  </w:style>
  <w:style w:type="paragraph" w:customStyle="1" w:styleId="508">
    <w:name w:val="xl28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509">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510">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11">
    <w:name w:val="font17"/>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512">
    <w:name w:val="样式 Trebuchet MS 小四 灰色-80% 行距: 1.5 倍行距"/>
    <w:basedOn w:val="1"/>
    <w:qFormat/>
    <w:uiPriority w:val="0"/>
    <w:pPr>
      <w:spacing w:line="360" w:lineRule="auto"/>
      <w:ind w:firstLine="480" w:firstLineChars="200"/>
    </w:pPr>
    <w:rPr>
      <w:rFonts w:ascii="Trebuchet MS" w:hAnsi="Trebuchet MS"/>
      <w:color w:val="333333"/>
      <w:sz w:val="28"/>
      <w:szCs w:val="20"/>
    </w:rPr>
  </w:style>
  <w:style w:type="paragraph" w:customStyle="1" w:styleId="513">
    <w:name w:val="Char Char Char Char Char Char Char Char Char Char Char Char Char Char Char Char Char Char Char Char Char Char Char Char Char Char Char Char Char Char Char Char Char Char Char Char Char Char Char Char Char Char Char Char Char Char10"/>
    <w:basedOn w:val="1"/>
    <w:next w:val="1"/>
    <w:qFormat/>
    <w:uiPriority w:val="0"/>
    <w:pPr>
      <w:pBdr>
        <w:right w:val="single" w:color="auto" w:sz="12" w:space="4"/>
      </w:pBdr>
      <w:spacing w:line="360" w:lineRule="auto"/>
      <w:ind w:firstLine="200" w:firstLineChars="200"/>
    </w:pPr>
    <w:rPr>
      <w:sz w:val="28"/>
      <w:szCs w:val="20"/>
    </w:rPr>
  </w:style>
  <w:style w:type="paragraph" w:customStyle="1" w:styleId="514">
    <w:name w:val="普通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15">
    <w:name w:val="正文文本 31"/>
    <w:basedOn w:val="1"/>
    <w:next w:val="21"/>
    <w:qFormat/>
    <w:uiPriority w:val="99"/>
    <w:pPr>
      <w:spacing w:beforeLines="50" w:afterLines="50" w:line="360" w:lineRule="auto"/>
      <w:ind w:firstLine="200" w:firstLineChars="200"/>
    </w:pPr>
    <w:rPr>
      <w:kern w:val="0"/>
      <w:sz w:val="16"/>
      <w:szCs w:val="16"/>
    </w:rPr>
  </w:style>
  <w:style w:type="paragraph" w:customStyle="1" w:styleId="516">
    <w:name w:val="et33"/>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517">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Arial Unicode MS" w:eastAsia="仿宋_GB2312" w:cs="Arial Unicode MS"/>
      <w:b/>
      <w:bCs/>
      <w:color w:val="000000"/>
      <w:kern w:val="0"/>
      <w:sz w:val="24"/>
    </w:rPr>
  </w:style>
  <w:style w:type="paragraph" w:customStyle="1" w:styleId="518">
    <w:name w:val="xl18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19">
    <w:name w:val="表芯"/>
    <w:basedOn w:val="1"/>
    <w:next w:val="1"/>
    <w:qFormat/>
    <w:uiPriority w:val="0"/>
    <w:pPr>
      <w:keepNext/>
      <w:adjustRightInd w:val="0"/>
      <w:spacing w:before="20" w:line="240" w:lineRule="atLeast"/>
      <w:jc w:val="center"/>
      <w:textAlignment w:val="baseline"/>
    </w:pPr>
    <w:rPr>
      <w:rFonts w:ascii="宋体" w:hAnsi="宋体"/>
      <w:bCs/>
      <w:kern w:val="21"/>
      <w:szCs w:val="20"/>
    </w:rPr>
  </w:style>
  <w:style w:type="paragraph" w:customStyle="1" w:styleId="520">
    <w:name w:val="xl6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仿宋_GB2312" w:hAnsi="Arial Unicode MS" w:eastAsia="仿宋_GB2312" w:cs="Arial Unicode MS"/>
      <w:color w:val="000000"/>
      <w:kern w:val="0"/>
      <w:sz w:val="24"/>
    </w:rPr>
  </w:style>
  <w:style w:type="paragraph" w:styleId="521">
    <w:name w:val="List Paragraph"/>
    <w:basedOn w:val="1"/>
    <w:qFormat/>
    <w:uiPriority w:val="34"/>
    <w:pPr>
      <w:ind w:firstLine="420" w:firstLineChars="200"/>
    </w:pPr>
  </w:style>
  <w:style w:type="paragraph" w:customStyle="1" w:styleId="522">
    <w:name w:val="_Style 127"/>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23">
    <w:name w:val="font12"/>
    <w:basedOn w:val="1"/>
    <w:qFormat/>
    <w:uiPriority w:val="0"/>
    <w:pPr>
      <w:widowControl/>
      <w:spacing w:before="100" w:beforeAutospacing="1" w:after="100" w:afterAutospacing="1"/>
      <w:jc w:val="left"/>
    </w:pPr>
    <w:rPr>
      <w:kern w:val="0"/>
      <w:sz w:val="19"/>
      <w:szCs w:val="19"/>
    </w:rPr>
  </w:style>
  <w:style w:type="paragraph" w:customStyle="1" w:styleId="524">
    <w:name w:val="样式2 Char"/>
    <w:basedOn w:val="1"/>
    <w:qFormat/>
    <w:uiPriority w:val="99"/>
    <w:rPr>
      <w:sz w:val="24"/>
    </w:rPr>
  </w:style>
  <w:style w:type="paragraph" w:customStyle="1" w:styleId="525">
    <w:name w:val="正文文本 21"/>
    <w:basedOn w:val="1"/>
    <w:next w:val="46"/>
    <w:qFormat/>
    <w:uiPriority w:val="99"/>
    <w:pPr>
      <w:spacing w:beforeLines="50" w:line="480" w:lineRule="auto"/>
      <w:ind w:firstLine="200" w:firstLineChars="200"/>
    </w:pPr>
    <w:rPr>
      <w:sz w:val="24"/>
    </w:rPr>
  </w:style>
  <w:style w:type="paragraph" w:customStyle="1" w:styleId="526">
    <w:name w:val="11"/>
    <w:basedOn w:val="2"/>
    <w:qFormat/>
    <w:uiPriority w:val="0"/>
    <w:pPr>
      <w:tabs>
        <w:tab w:val="clear" w:pos="360"/>
      </w:tabs>
      <w:adjustRightInd/>
      <w:spacing w:before="0" w:line="800" w:lineRule="exact"/>
      <w:ind w:left="0" w:leftChars="0" w:right="0" w:rightChars="0" w:firstLine="0"/>
    </w:pPr>
    <w:rPr>
      <w:rFonts w:ascii="宋体" w:hAnsi="宋体" w:eastAsia="宋体"/>
      <w:bCs/>
      <w:sz w:val="36"/>
    </w:rPr>
  </w:style>
  <w:style w:type="paragraph" w:customStyle="1" w:styleId="52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_GB2312" w:hAnsi="Arial Unicode MS" w:eastAsia="仿宋_GB2312" w:cs="Arial Unicode MS"/>
      <w:b/>
      <w:bCs/>
      <w:color w:val="000000"/>
      <w:kern w:val="0"/>
      <w:sz w:val="24"/>
    </w:rPr>
  </w:style>
  <w:style w:type="paragraph" w:customStyle="1" w:styleId="528">
    <w:name w:val="xl29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529">
    <w:name w:val="1.1.1.1"/>
    <w:basedOn w:val="530"/>
    <w:next w:val="418"/>
    <w:qFormat/>
    <w:uiPriority w:val="0"/>
    <w:rPr>
      <w:rFonts w:ascii="Times New Roman"/>
    </w:rPr>
  </w:style>
  <w:style w:type="paragraph" w:customStyle="1" w:styleId="530">
    <w:name w:val="1.1.1"/>
    <w:next w:val="1"/>
    <w:qFormat/>
    <w:uiPriority w:val="0"/>
    <w:pPr>
      <w:widowControl w:val="0"/>
      <w:adjustRightInd w:val="0"/>
      <w:snapToGrid w:val="0"/>
      <w:spacing w:beforeLines="50" w:afterLines="50" w:line="300" w:lineRule="auto"/>
      <w:jc w:val="both"/>
    </w:pPr>
    <w:rPr>
      <w:rFonts w:ascii="宋体" w:hAnsi="Times New Roman" w:eastAsia="宋体" w:cs="Times New Roman"/>
      <w:b/>
      <w:spacing w:val="10"/>
      <w:sz w:val="24"/>
      <w:lang w:val="en-US" w:eastAsia="zh-CN" w:bidi="ar-SA"/>
    </w:rPr>
  </w:style>
  <w:style w:type="paragraph" w:customStyle="1" w:styleId="531">
    <w:name w:val="et14"/>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532">
    <w:name w:val="样式 节标题2 + 段前: 0.5 行 段后: 0.5 行"/>
    <w:basedOn w:val="1"/>
    <w:qFormat/>
    <w:uiPriority w:val="0"/>
    <w:pPr>
      <w:numPr>
        <w:ilvl w:val="2"/>
        <w:numId w:val="1"/>
      </w:numPr>
      <w:spacing w:beforeLines="50" w:afterLines="50"/>
      <w:ind w:firstLine="0"/>
    </w:pPr>
    <w:rPr>
      <w:rFonts w:cs="宋体"/>
      <w:b/>
      <w:bCs/>
      <w:sz w:val="28"/>
      <w:szCs w:val="20"/>
    </w:rPr>
  </w:style>
  <w:style w:type="paragraph" w:customStyle="1" w:styleId="533">
    <w:name w:val="reader-word-layer reader-word-s6-6"/>
    <w:basedOn w:val="1"/>
    <w:qFormat/>
    <w:uiPriority w:val="99"/>
    <w:pPr>
      <w:widowControl/>
      <w:spacing w:before="100" w:beforeAutospacing="1" w:after="100" w:afterAutospacing="1" w:line="360" w:lineRule="auto"/>
      <w:jc w:val="left"/>
    </w:pPr>
    <w:rPr>
      <w:rFonts w:ascii="宋体" w:hAnsi="宋体" w:cs="宋体"/>
      <w:kern w:val="0"/>
      <w:sz w:val="24"/>
    </w:rPr>
  </w:style>
  <w:style w:type="paragraph" w:customStyle="1" w:styleId="534">
    <w:name w:val="xl121"/>
    <w:basedOn w:val="1"/>
    <w:qFormat/>
    <w:uiPriority w:val="0"/>
    <w:pPr>
      <w:widowControl/>
      <w:spacing w:before="100" w:beforeAutospacing="1" w:after="100" w:afterAutospacing="1"/>
      <w:jc w:val="center"/>
      <w:textAlignment w:val="center"/>
    </w:pPr>
    <w:rPr>
      <w:rFonts w:ascii="Arial Narrow" w:hAnsi="Arial Narrow" w:cs="Arial Unicode MS"/>
      <w:b/>
      <w:bCs/>
      <w:kern w:val="0"/>
      <w:sz w:val="19"/>
      <w:szCs w:val="19"/>
    </w:rPr>
  </w:style>
  <w:style w:type="paragraph" w:customStyle="1" w:styleId="535">
    <w:name w:val="Char Char Char Char Char Char Char Char Char Char Char Char Char Char Char Char Char Char Char Char Char Char Char Char Char Char Char Char Char"/>
    <w:basedOn w:val="1"/>
    <w:qFormat/>
    <w:uiPriority w:val="0"/>
    <w:pPr>
      <w:autoSpaceDE w:val="0"/>
      <w:autoSpaceDN w:val="0"/>
      <w:adjustRightInd w:val="0"/>
      <w:snapToGrid w:val="0"/>
      <w:spacing w:before="50" w:after="50" w:line="360" w:lineRule="auto"/>
      <w:ind w:firstLine="560" w:firstLineChars="200"/>
    </w:pPr>
    <w:rPr>
      <w:rFonts w:eastAsia="仿宋_GB2312"/>
      <w:color w:val="000000"/>
      <w:sz w:val="24"/>
    </w:rPr>
  </w:style>
  <w:style w:type="paragraph" w:customStyle="1" w:styleId="536">
    <w:name w:val="Char Char2"/>
    <w:basedOn w:val="1"/>
    <w:qFormat/>
    <w:uiPriority w:val="0"/>
    <w:pPr>
      <w:spacing w:line="360" w:lineRule="auto"/>
      <w:ind w:firstLine="200" w:firstLineChars="200"/>
    </w:pPr>
    <w:rPr>
      <w:sz w:val="24"/>
    </w:rPr>
  </w:style>
  <w:style w:type="paragraph" w:customStyle="1" w:styleId="537">
    <w:name w:val="列出段落21"/>
    <w:basedOn w:val="1"/>
    <w:qFormat/>
    <w:uiPriority w:val="99"/>
    <w:pPr>
      <w:spacing w:beforeLines="50" w:afterLines="50" w:line="360" w:lineRule="auto"/>
      <w:ind w:firstLine="420" w:firstLineChars="200"/>
    </w:pPr>
    <w:rPr>
      <w:sz w:val="24"/>
    </w:rPr>
  </w:style>
  <w:style w:type="paragraph" w:customStyle="1" w:styleId="538">
    <w:name w:val="目录 41"/>
    <w:basedOn w:val="1"/>
    <w:next w:val="1"/>
    <w:qFormat/>
    <w:uiPriority w:val="39"/>
    <w:pPr>
      <w:spacing w:line="360" w:lineRule="auto"/>
      <w:ind w:left="840" w:firstLine="200" w:firstLineChars="200"/>
      <w:jc w:val="left"/>
    </w:pPr>
    <w:rPr>
      <w:rFonts w:ascii="Calibri" w:hAnsi="Calibri" w:cs="Calibri"/>
      <w:sz w:val="18"/>
      <w:szCs w:val="18"/>
    </w:rPr>
  </w:style>
  <w:style w:type="paragraph" w:customStyle="1" w:styleId="539">
    <w:name w:val="xl58"/>
    <w:basedOn w:val="1"/>
    <w:qFormat/>
    <w:uiPriority w:val="0"/>
    <w:pPr>
      <w:widowControl/>
      <w:spacing w:before="100" w:beforeAutospacing="1" w:after="100" w:afterAutospacing="1"/>
      <w:jc w:val="center"/>
    </w:pPr>
    <w:rPr>
      <w:rFonts w:ascii="仿宋_GB2312" w:hAnsi="Arial Unicode MS" w:eastAsia="仿宋_GB2312" w:cs="Arial Unicode MS"/>
      <w:b/>
      <w:bCs/>
      <w:color w:val="000000"/>
      <w:kern w:val="0"/>
      <w:sz w:val="40"/>
      <w:szCs w:val="40"/>
    </w:rPr>
  </w:style>
  <w:style w:type="paragraph" w:customStyle="1" w:styleId="540">
    <w:name w:val="Char4"/>
    <w:basedOn w:val="1"/>
    <w:qFormat/>
    <w:uiPriority w:val="0"/>
    <w:pPr>
      <w:spacing w:line="360" w:lineRule="auto"/>
      <w:ind w:firstLine="200" w:firstLineChars="200"/>
    </w:pPr>
    <w:rPr>
      <w:rFonts w:ascii="宋体" w:hAnsi="宋体" w:cs="宋体"/>
      <w:sz w:val="24"/>
    </w:rPr>
  </w:style>
  <w:style w:type="paragraph" w:customStyle="1" w:styleId="541">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42">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3">
    <w:name w:val="1.1"/>
    <w:next w:val="1"/>
    <w:qFormat/>
    <w:uiPriority w:val="0"/>
    <w:pPr>
      <w:widowControl w:val="0"/>
      <w:adjustRightInd w:val="0"/>
      <w:snapToGrid w:val="0"/>
      <w:spacing w:beforeLines="100" w:afterLines="50" w:line="300" w:lineRule="auto"/>
      <w:jc w:val="both"/>
    </w:pPr>
    <w:rPr>
      <w:rFonts w:ascii="黑体" w:hAnsi="Times New Roman" w:eastAsia="黑体" w:cs="Times New Roman"/>
      <w:b/>
      <w:spacing w:val="10"/>
      <w:sz w:val="28"/>
      <w:lang w:val="en-US" w:eastAsia="zh-CN" w:bidi="ar-SA"/>
    </w:rPr>
  </w:style>
  <w:style w:type="paragraph" w:customStyle="1" w:styleId="544">
    <w:name w:val="xl7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_GB2312" w:hAnsi="Arial Unicode MS" w:eastAsia="仿宋_GB2312" w:cs="Arial Unicode MS"/>
      <w:color w:val="000000"/>
      <w:kern w:val="0"/>
      <w:sz w:val="24"/>
    </w:rPr>
  </w:style>
  <w:style w:type="paragraph" w:customStyle="1" w:styleId="545">
    <w:name w:val="xl10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546">
    <w:name w:val="Char49"/>
    <w:basedOn w:val="1"/>
    <w:qFormat/>
    <w:uiPriority w:val="0"/>
  </w:style>
  <w:style w:type="paragraph" w:customStyle="1" w:styleId="547">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Arial Unicode MS"/>
      <w:color w:val="0000FF"/>
      <w:kern w:val="0"/>
      <w:sz w:val="19"/>
      <w:szCs w:val="19"/>
    </w:rPr>
  </w:style>
  <w:style w:type="paragraph" w:customStyle="1" w:styleId="548">
    <w:name w:val="修订2"/>
    <w:qFormat/>
    <w:uiPriority w:val="0"/>
    <w:rPr>
      <w:rFonts w:ascii="Times New Roman" w:hAnsi="Times New Roman" w:eastAsia="宋体" w:cs="Times New Roman"/>
      <w:kern w:val="2"/>
      <w:sz w:val="24"/>
      <w:szCs w:val="24"/>
      <w:lang w:val="en-US" w:eastAsia="zh-CN" w:bidi="ar-SA"/>
    </w:rPr>
  </w:style>
  <w:style w:type="paragraph" w:customStyle="1" w:styleId="549">
    <w:name w:val="font6"/>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550">
    <w:name w:val="xl70"/>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top"/>
    </w:pPr>
    <w:rPr>
      <w:rFonts w:ascii="仿宋_GB2312" w:hAnsi="Arial Unicode MS" w:eastAsia="仿宋_GB2312" w:cs="Arial Unicode MS"/>
      <w:color w:val="000000"/>
      <w:kern w:val="0"/>
      <w:sz w:val="24"/>
    </w:rPr>
  </w:style>
  <w:style w:type="paragraph" w:customStyle="1" w:styleId="551">
    <w:name w:val="俺的正文样式"/>
    <w:basedOn w:val="1"/>
    <w:qFormat/>
    <w:uiPriority w:val="99"/>
    <w:pPr>
      <w:spacing w:line="500" w:lineRule="exact"/>
      <w:ind w:firstLine="560" w:firstLineChars="200"/>
      <w:jc w:val="left"/>
    </w:pPr>
    <w:rPr>
      <w:rFonts w:ascii="宋体"/>
      <w:sz w:val="28"/>
    </w:rPr>
  </w:style>
  <w:style w:type="paragraph" w:customStyle="1" w:styleId="552">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3">
    <w:name w:val="样式 样式 样式 标题 3标题 33 + 段前: 0.5 行 + 段前: 0.5 行 + 段前: 6 磅 段后: 6 磅"/>
    <w:basedOn w:val="554"/>
    <w:qFormat/>
    <w:uiPriority w:val="0"/>
    <w:rPr>
      <w:color w:val="auto"/>
    </w:rPr>
  </w:style>
  <w:style w:type="paragraph" w:customStyle="1" w:styleId="554">
    <w:name w:val="样式 样式 标题 3标题 33 + 段前: 0.5 行 + 段前: 0.5 行"/>
    <w:basedOn w:val="555"/>
    <w:qFormat/>
    <w:uiPriority w:val="0"/>
    <w:rPr>
      <w:rFonts w:ascii="Times New Roman" w:hAnsi="Times New Roman" w:eastAsia="宋体"/>
    </w:rPr>
  </w:style>
  <w:style w:type="paragraph" w:customStyle="1" w:styleId="555">
    <w:name w:val="样式 标题 3标题 33 + 段前: 0.5 行"/>
    <w:basedOn w:val="4"/>
    <w:qFormat/>
    <w:uiPriority w:val="0"/>
    <w:pPr>
      <w:spacing w:before="0" w:after="0" w:line="360" w:lineRule="auto"/>
    </w:pPr>
    <w:rPr>
      <w:rFonts w:ascii="黑体" w:hAnsi="宋体" w:eastAsia="黑体"/>
      <w:b w:val="0"/>
      <w:color w:val="008000"/>
      <w:kern w:val="0"/>
      <w:sz w:val="24"/>
      <w:szCs w:val="20"/>
    </w:rPr>
  </w:style>
  <w:style w:type="paragraph" w:customStyle="1" w:styleId="556">
    <w:name w:val="图表2"/>
    <w:basedOn w:val="1"/>
    <w:qFormat/>
    <w:uiPriority w:val="0"/>
    <w:pPr>
      <w:spacing w:line="500" w:lineRule="atLeast"/>
      <w:jc w:val="center"/>
    </w:pPr>
    <w:rPr>
      <w:b/>
      <w:sz w:val="28"/>
      <w:szCs w:val="20"/>
    </w:rPr>
  </w:style>
  <w:style w:type="paragraph" w:customStyle="1" w:styleId="557">
    <w:name w:val="xl6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仿宋_GB2312" w:hAnsi="Arial Unicode MS" w:eastAsia="仿宋_GB2312" w:cs="Arial Unicode MS"/>
      <w:color w:val="000000"/>
      <w:kern w:val="0"/>
      <w:sz w:val="24"/>
    </w:rPr>
  </w:style>
  <w:style w:type="paragraph" w:customStyle="1" w:styleId="558">
    <w:name w:val="Char Char Char Char1 Char Char Char Char Char Char Char Char Char"/>
    <w:basedOn w:val="1"/>
    <w:qFormat/>
    <w:uiPriority w:val="0"/>
    <w:pPr>
      <w:ind w:firstLine="200" w:firstLineChars="200"/>
    </w:pPr>
    <w:rPr>
      <w:rFonts w:ascii="宋体" w:hAnsi="宋体" w:cs="宋体"/>
      <w:sz w:val="24"/>
    </w:rPr>
  </w:style>
  <w:style w:type="paragraph" w:customStyle="1" w:styleId="559">
    <w:name w:val="Char Char Char Char Char Char Char Char Char Char Char Char Char Char Char Char Char Char Char Char Char Char Char Char Char Char Char Char Char Char Char Char Char Char Char Char Char Char Char Char Char Char Char Char Char Char5"/>
    <w:basedOn w:val="1"/>
    <w:next w:val="1"/>
    <w:qFormat/>
    <w:uiPriority w:val="0"/>
    <w:pPr>
      <w:pBdr>
        <w:right w:val="single" w:color="auto" w:sz="12" w:space="4"/>
      </w:pBdr>
      <w:spacing w:line="360" w:lineRule="auto"/>
      <w:ind w:firstLine="200" w:firstLineChars="200"/>
    </w:pPr>
    <w:rPr>
      <w:sz w:val="28"/>
      <w:szCs w:val="20"/>
    </w:rPr>
  </w:style>
  <w:style w:type="paragraph" w:customStyle="1" w:styleId="56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Arial Unicode MS" w:eastAsia="仿宋_GB2312" w:cs="Arial Unicode MS"/>
      <w:kern w:val="0"/>
      <w:sz w:val="24"/>
    </w:rPr>
  </w:style>
  <w:style w:type="paragraph" w:customStyle="1" w:styleId="561">
    <w:name w:val="reader-word-layer reader-word-s6-9"/>
    <w:basedOn w:val="1"/>
    <w:qFormat/>
    <w:uiPriority w:val="99"/>
    <w:pPr>
      <w:widowControl/>
      <w:spacing w:before="100" w:beforeAutospacing="1" w:after="100" w:afterAutospacing="1" w:line="360" w:lineRule="auto"/>
      <w:jc w:val="left"/>
    </w:pPr>
    <w:rPr>
      <w:rFonts w:ascii="宋体" w:hAnsi="宋体" w:cs="宋体"/>
      <w:kern w:val="0"/>
      <w:sz w:val="24"/>
    </w:rPr>
  </w:style>
  <w:style w:type="paragraph" w:customStyle="1" w:styleId="562">
    <w:name w:val="Char Char Char Char1 Char Char Char1 Char Char1 Char Char Char Char"/>
    <w:basedOn w:val="1"/>
    <w:qFormat/>
    <w:uiPriority w:val="0"/>
    <w:pPr>
      <w:ind w:firstLine="200" w:firstLineChars="200"/>
    </w:pPr>
    <w:rPr>
      <w:rFonts w:ascii="宋体" w:hAnsi="宋体" w:cs="宋体"/>
      <w:sz w:val="24"/>
    </w:rPr>
  </w:style>
  <w:style w:type="paragraph" w:customStyle="1" w:styleId="563">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64">
    <w:name w:val="xl10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565">
    <w:name w:val="修订111"/>
    <w:qFormat/>
    <w:uiPriority w:val="99"/>
    <w:rPr>
      <w:rFonts w:ascii="Calibri" w:hAnsi="Calibri" w:eastAsia="宋体" w:cs="Times New Roman"/>
      <w:kern w:val="2"/>
      <w:sz w:val="28"/>
      <w:szCs w:val="22"/>
      <w:lang w:val="en-US" w:eastAsia="zh-CN" w:bidi="ar-SA"/>
    </w:rPr>
  </w:style>
  <w:style w:type="paragraph" w:customStyle="1" w:styleId="566">
    <w:name w:val="Char Char Char Char Char Char Char Char Char Char Char Char Char Char Char Char Char Char Char Char Char Char Char Char Char Char Char Char Char Char Char Char Char Char Char Char Char Char Char Char Char Char Char Char Char Char9"/>
    <w:basedOn w:val="1"/>
    <w:next w:val="1"/>
    <w:qFormat/>
    <w:uiPriority w:val="0"/>
    <w:pPr>
      <w:pBdr>
        <w:right w:val="single" w:color="auto" w:sz="12" w:space="4"/>
      </w:pBdr>
      <w:spacing w:line="360" w:lineRule="auto"/>
      <w:ind w:firstLine="200" w:firstLineChars="200"/>
    </w:pPr>
    <w:rPr>
      <w:sz w:val="28"/>
      <w:szCs w:val="20"/>
    </w:rPr>
  </w:style>
  <w:style w:type="paragraph" w:customStyle="1" w:styleId="567">
    <w:name w:val="font10"/>
    <w:basedOn w:val="1"/>
    <w:qFormat/>
    <w:uiPriority w:val="0"/>
    <w:pPr>
      <w:widowControl/>
      <w:spacing w:before="100" w:beforeAutospacing="1" w:after="100" w:afterAutospacing="1"/>
      <w:jc w:val="left"/>
    </w:pPr>
    <w:rPr>
      <w:rFonts w:ascii="仿宋_GB2312" w:hAnsi="Arial Unicode MS" w:eastAsia="仿宋_GB2312" w:cs="Arial Unicode MS"/>
      <w:b/>
      <w:bCs/>
      <w:color w:val="000000"/>
      <w:kern w:val="0"/>
      <w:sz w:val="24"/>
    </w:rPr>
  </w:style>
  <w:style w:type="paragraph" w:customStyle="1" w:styleId="568">
    <w:name w:val="xl33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569">
    <w:name w:val="xl338"/>
    <w:basedOn w:val="1"/>
    <w:qFormat/>
    <w:uiPriority w:val="0"/>
    <w:pPr>
      <w:widowControl/>
      <w:pBdr>
        <w:bottom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570">
    <w:name w:val="Char47"/>
    <w:basedOn w:val="1"/>
    <w:qFormat/>
    <w:uiPriority w:val="0"/>
    <w:pPr>
      <w:spacing w:line="360" w:lineRule="auto"/>
      <w:ind w:firstLine="200" w:firstLineChars="200"/>
    </w:pPr>
    <w:rPr>
      <w:rFonts w:ascii="宋体" w:hAnsi="宋体" w:cs="宋体"/>
      <w:sz w:val="24"/>
    </w:rPr>
  </w:style>
  <w:style w:type="paragraph" w:customStyle="1" w:styleId="571">
    <w:name w:val="Char43"/>
    <w:basedOn w:val="1"/>
    <w:qFormat/>
    <w:uiPriority w:val="0"/>
    <w:pPr>
      <w:spacing w:line="360" w:lineRule="auto"/>
      <w:ind w:firstLine="200" w:firstLineChars="200"/>
    </w:pPr>
    <w:rPr>
      <w:rFonts w:ascii="宋体" w:hAnsi="宋体" w:cs="宋体"/>
      <w:sz w:val="24"/>
    </w:rPr>
  </w:style>
  <w:style w:type="paragraph" w:customStyle="1" w:styleId="572">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3">
    <w:name w:val="xl34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74">
    <w:name w:val="_Style 260"/>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5">
    <w:name w:val="表文YHY"/>
    <w:qFormat/>
    <w:uiPriority w:val="0"/>
    <w:pPr>
      <w:jc w:val="center"/>
    </w:pPr>
    <w:rPr>
      <w:rFonts w:ascii="Times New Roman" w:hAnsi="Times New Roman" w:eastAsia="宋体" w:cs="Times New Roman"/>
      <w:sz w:val="21"/>
      <w:szCs w:val="21"/>
      <w:lang w:val="en-US" w:eastAsia="zh-CN" w:bidi="ar-SA"/>
    </w:rPr>
  </w:style>
  <w:style w:type="paragraph" w:customStyle="1" w:styleId="576">
    <w:name w:val="reader-word-layer reader-word-s6-4"/>
    <w:basedOn w:val="1"/>
    <w:qFormat/>
    <w:uiPriority w:val="99"/>
    <w:pPr>
      <w:widowControl/>
      <w:spacing w:before="100" w:beforeAutospacing="1" w:after="100" w:afterAutospacing="1" w:line="360" w:lineRule="auto"/>
      <w:jc w:val="left"/>
    </w:pPr>
    <w:rPr>
      <w:rFonts w:ascii="宋体" w:hAnsi="宋体" w:cs="宋体"/>
      <w:kern w:val="0"/>
      <w:sz w:val="24"/>
    </w:rPr>
  </w:style>
  <w:style w:type="paragraph" w:customStyle="1" w:styleId="577">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78">
    <w:name w:val="xl288"/>
    <w:basedOn w:val="1"/>
    <w:qFormat/>
    <w:uiPriority w:val="0"/>
    <w:pPr>
      <w:widowControl/>
      <w:pBdr>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79">
    <w:name w:val="xl349"/>
    <w:basedOn w:val="1"/>
    <w:qFormat/>
    <w:uiPriority w:val="0"/>
    <w:pPr>
      <w:widowControl/>
      <w:pBdr>
        <w:top w:val="single" w:color="auto" w:sz="4" w:space="0"/>
        <w:left w:val="single" w:color="auto" w:sz="4" w:space="0"/>
        <w:bottom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580">
    <w:name w:val="表号"/>
    <w:next w:val="1"/>
    <w:qFormat/>
    <w:uiPriority w:val="0"/>
    <w:pPr>
      <w:snapToGrid w:val="0"/>
      <w:jc w:val="right"/>
    </w:pPr>
    <w:rPr>
      <w:rFonts w:ascii="宋体" w:hAnsi="Times New Roman" w:eastAsia="宋体" w:cs="Times New Roman"/>
      <w:spacing w:val="10"/>
      <w:sz w:val="21"/>
      <w:szCs w:val="24"/>
      <w:lang w:val="en-US" w:eastAsia="zh-CN" w:bidi="ar-SA"/>
    </w:rPr>
  </w:style>
  <w:style w:type="paragraph" w:customStyle="1" w:styleId="581">
    <w:name w:val="标题 Char Char"/>
    <w:basedOn w:val="1"/>
    <w:qFormat/>
    <w:uiPriority w:val="0"/>
    <w:pPr>
      <w:spacing w:before="240" w:after="60" w:line="360" w:lineRule="auto"/>
      <w:ind w:firstLine="720" w:firstLineChars="200"/>
      <w:jc w:val="center"/>
      <w:outlineLvl w:val="0"/>
    </w:pPr>
    <w:rPr>
      <w:rFonts w:ascii="Arial" w:hAnsi="Arial"/>
      <w:b/>
      <w:color w:val="008000"/>
      <w:sz w:val="32"/>
    </w:rPr>
  </w:style>
  <w:style w:type="paragraph" w:customStyle="1" w:styleId="582">
    <w:name w:val="et20"/>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583">
    <w:name w:val="xl17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84">
    <w:name w:val="xl342"/>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85">
    <w:name w:val="TOC 标题1"/>
    <w:basedOn w:val="2"/>
    <w:next w:val="1"/>
    <w:qFormat/>
    <w:uiPriority w:val="0"/>
    <w:pPr>
      <w:widowControl/>
      <w:tabs>
        <w:tab w:val="clear" w:pos="360"/>
      </w:tabs>
      <w:adjustRightInd/>
      <w:spacing w:before="480" w:line="276" w:lineRule="auto"/>
      <w:ind w:left="0" w:leftChars="0" w:right="0" w:rightChars="0" w:firstLine="0"/>
      <w:outlineLvl w:val="9"/>
    </w:pPr>
    <w:rPr>
      <w:rFonts w:ascii="Cambria" w:hAnsi="Cambria" w:eastAsia="宋体"/>
      <w:bCs/>
      <w:color w:val="365F91"/>
      <w:kern w:val="0"/>
      <w:szCs w:val="28"/>
    </w:rPr>
  </w:style>
  <w:style w:type="paragraph" w:customStyle="1" w:styleId="586">
    <w:name w:val="xl286"/>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b/>
      <w:bCs/>
      <w:kern w:val="0"/>
      <w:sz w:val="20"/>
      <w:szCs w:val="20"/>
    </w:rPr>
  </w:style>
  <w:style w:type="paragraph" w:customStyle="1" w:styleId="587">
    <w:name w:val="et34"/>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588">
    <w:name w:val="图片（有图名）"/>
    <w:basedOn w:val="1"/>
    <w:next w:val="15"/>
    <w:qFormat/>
    <w:uiPriority w:val="0"/>
    <w:pPr>
      <w:spacing w:before="60" w:after="60"/>
      <w:jc w:val="center"/>
    </w:pPr>
  </w:style>
  <w:style w:type="paragraph" w:customStyle="1" w:styleId="589">
    <w:name w:val="et9"/>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590">
    <w:name w:val="xl348"/>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91">
    <w:name w:val="xl299"/>
    <w:basedOn w:val="1"/>
    <w:qFormat/>
    <w:uiPriority w:val="0"/>
    <w:pPr>
      <w:widowControl/>
      <w:pBdr>
        <w:top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592">
    <w:name w:val="Char Char Char Char Char Char Char1"/>
    <w:basedOn w:val="1"/>
    <w:qFormat/>
    <w:uiPriority w:val="0"/>
    <w:pPr>
      <w:spacing w:line="360" w:lineRule="auto"/>
      <w:ind w:firstLine="200" w:firstLineChars="200"/>
    </w:pPr>
    <w:rPr>
      <w:rFonts w:ascii="宋体" w:hAnsi="宋体" w:cs="宋体"/>
      <w:sz w:val="24"/>
    </w:rPr>
  </w:style>
  <w:style w:type="paragraph" w:customStyle="1" w:styleId="593">
    <w:name w:val="Char310"/>
    <w:basedOn w:val="1"/>
    <w:qFormat/>
    <w:uiPriority w:val="0"/>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customStyle="1" w:styleId="594">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595">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24"/>
    </w:rPr>
  </w:style>
  <w:style w:type="paragraph" w:customStyle="1" w:styleId="596">
    <w:name w:val="图头"/>
    <w:next w:val="418"/>
    <w:qFormat/>
    <w:uiPriority w:val="0"/>
    <w:pPr>
      <w:tabs>
        <w:tab w:val="left" w:pos="1470"/>
      </w:tabs>
      <w:adjustRightInd w:val="0"/>
      <w:spacing w:beforeLines="50" w:afterLines="50"/>
      <w:jc w:val="center"/>
    </w:pPr>
    <w:rPr>
      <w:rFonts w:ascii="Times New Roman" w:hAnsi="Times New Roman" w:eastAsia="宋体" w:cs="Times New Roman"/>
      <w:spacing w:val="10"/>
      <w:sz w:val="24"/>
      <w:szCs w:val="24"/>
      <w:lang w:val="en-US" w:eastAsia="zh-CN" w:bidi="ar-SA"/>
    </w:rPr>
  </w:style>
  <w:style w:type="paragraph" w:customStyle="1" w:styleId="597">
    <w:name w:val="普通文字"/>
    <w:basedOn w:val="1"/>
    <w:qFormat/>
    <w:uiPriority w:val="0"/>
    <w:pPr>
      <w:adjustRightInd w:val="0"/>
      <w:spacing w:line="312" w:lineRule="atLeast"/>
      <w:textAlignment w:val="baseline"/>
    </w:pPr>
    <w:rPr>
      <w:rFonts w:ascii="宋体" w:hAnsi="Courier New" w:cs="宋体"/>
      <w:kern w:val="0"/>
      <w:szCs w:val="21"/>
    </w:rPr>
  </w:style>
  <w:style w:type="paragraph" w:customStyle="1" w:styleId="598">
    <w:name w:val="[基本段落]"/>
    <w:basedOn w:val="1"/>
    <w:qFormat/>
    <w:uiPriority w:val="0"/>
    <w:pPr>
      <w:autoSpaceDE w:val="0"/>
      <w:autoSpaceDN w:val="0"/>
      <w:adjustRightInd w:val="0"/>
      <w:spacing w:line="288" w:lineRule="auto"/>
      <w:textAlignment w:val="center"/>
    </w:pPr>
    <w:rPr>
      <w:rFonts w:ascii="Adobe 宋体 Std L" w:hAnsi="Adobe 宋体 Std L" w:cs="Adobe 宋体 Std L"/>
      <w:color w:val="000000"/>
      <w:kern w:val="0"/>
      <w:sz w:val="24"/>
      <w:lang w:val="zh-CN"/>
    </w:rPr>
  </w:style>
  <w:style w:type="paragraph" w:customStyle="1" w:styleId="599">
    <w:name w:val="font8"/>
    <w:basedOn w:val="1"/>
    <w:qFormat/>
    <w:uiPriority w:val="0"/>
    <w:pPr>
      <w:widowControl/>
      <w:spacing w:before="100" w:beforeAutospacing="1" w:after="100" w:afterAutospacing="1"/>
      <w:jc w:val="left"/>
    </w:pPr>
    <w:rPr>
      <w:kern w:val="0"/>
      <w:sz w:val="20"/>
      <w:szCs w:val="20"/>
    </w:rPr>
  </w:style>
  <w:style w:type="paragraph" w:customStyle="1" w:styleId="600">
    <w:name w:val="content"/>
    <w:basedOn w:val="1"/>
    <w:qFormat/>
    <w:uiPriority w:val="99"/>
    <w:pPr>
      <w:widowControl/>
      <w:spacing w:line="450" w:lineRule="atLeast"/>
      <w:ind w:firstLine="480" w:firstLineChars="200"/>
      <w:jc w:val="left"/>
    </w:pPr>
    <w:rPr>
      <w:rFonts w:ascii="宋体" w:hAnsi="宋体" w:cs="宋体"/>
      <w:color w:val="000000"/>
      <w:kern w:val="0"/>
      <w:sz w:val="24"/>
    </w:rPr>
  </w:style>
  <w:style w:type="paragraph" w:customStyle="1" w:styleId="601">
    <w:name w:val="xl7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仿宋_GB2312" w:hAnsi="Arial Unicode MS" w:eastAsia="仿宋_GB2312" w:cs="Arial Unicode MS"/>
      <w:color w:val="000000"/>
      <w:kern w:val="0"/>
      <w:sz w:val="24"/>
    </w:rPr>
  </w:style>
  <w:style w:type="paragraph" w:customStyle="1" w:styleId="602">
    <w:name w:val="正文缩进 Char Char Char"/>
    <w:basedOn w:val="1"/>
    <w:next w:val="28"/>
    <w:qFormat/>
    <w:uiPriority w:val="0"/>
    <w:rPr>
      <w:rFonts w:ascii="宋体" w:hAnsi="Courier New" w:cs="Courier New"/>
      <w:szCs w:val="21"/>
    </w:rPr>
  </w:style>
  <w:style w:type="paragraph" w:customStyle="1" w:styleId="603">
    <w:name w:val="xl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04">
    <w:name w:val="Char Char"/>
    <w:basedOn w:val="1"/>
    <w:qFormat/>
    <w:uiPriority w:val="99"/>
    <w:rPr>
      <w:kern w:val="0"/>
      <w:sz w:val="20"/>
      <w:szCs w:val="20"/>
      <w:lang w:val="en-GB"/>
    </w:rPr>
  </w:style>
  <w:style w:type="paragraph" w:customStyle="1" w:styleId="605">
    <w:name w:val="font18"/>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606">
    <w:name w:val="xl14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607">
    <w:name w:val="xl250"/>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608">
    <w:name w:val="Char Char Char Char Char Char Char Char"/>
    <w:basedOn w:val="1"/>
    <w:qFormat/>
    <w:uiPriority w:val="0"/>
    <w:pPr>
      <w:spacing w:before="120" w:after="120" w:line="360" w:lineRule="auto"/>
      <w:ind w:firstLine="200" w:firstLineChars="200"/>
    </w:pPr>
    <w:rPr>
      <w:rFonts w:ascii="宋体" w:hAnsi="宋体" w:cs="宋体"/>
      <w:sz w:val="24"/>
    </w:rPr>
  </w:style>
  <w:style w:type="paragraph" w:customStyle="1" w:styleId="609">
    <w:name w:val="Char48"/>
    <w:basedOn w:val="1"/>
    <w:qFormat/>
    <w:uiPriority w:val="0"/>
    <w:pPr>
      <w:spacing w:line="360" w:lineRule="auto"/>
      <w:ind w:firstLine="200" w:firstLineChars="200"/>
    </w:pPr>
    <w:rPr>
      <w:rFonts w:ascii="宋体" w:hAnsi="宋体" w:cs="宋体"/>
      <w:sz w:val="24"/>
    </w:rPr>
  </w:style>
  <w:style w:type="paragraph" w:customStyle="1" w:styleId="610">
    <w:name w:val="xl345"/>
    <w:basedOn w:val="1"/>
    <w:qFormat/>
    <w:uiPriority w:val="0"/>
    <w:pPr>
      <w:widowControl/>
      <w:pBdr>
        <w:right w:val="single" w:color="auto" w:sz="4" w:space="0"/>
      </w:pBdr>
      <w:spacing w:before="100" w:beforeAutospacing="1" w:after="100" w:afterAutospacing="1"/>
      <w:jc w:val="left"/>
    </w:pPr>
    <w:rPr>
      <w:rFonts w:ascii="宋体" w:hAnsi="宋体" w:cs="宋体"/>
      <w:kern w:val="0"/>
      <w:sz w:val="20"/>
      <w:szCs w:val="20"/>
    </w:rPr>
  </w:style>
  <w:style w:type="paragraph" w:customStyle="1" w:styleId="611">
    <w:name w:val="xl6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color w:val="000000"/>
      <w:kern w:val="0"/>
      <w:sz w:val="24"/>
    </w:rPr>
  </w:style>
  <w:style w:type="paragraph" w:customStyle="1" w:styleId="612">
    <w:name w:val="Char Char Char Char Char Char Char5"/>
    <w:basedOn w:val="1"/>
    <w:qFormat/>
    <w:uiPriority w:val="0"/>
    <w:pPr>
      <w:spacing w:line="360" w:lineRule="auto"/>
      <w:ind w:firstLine="200" w:firstLineChars="200"/>
    </w:pPr>
    <w:rPr>
      <w:rFonts w:ascii="宋体" w:hAnsi="宋体" w:cs="宋体"/>
      <w:sz w:val="24"/>
    </w:rPr>
  </w:style>
  <w:style w:type="paragraph" w:customStyle="1" w:styleId="613">
    <w:name w:val="xl339"/>
    <w:basedOn w:val="1"/>
    <w:qFormat/>
    <w:uiPriority w:val="0"/>
    <w:pPr>
      <w:widowControl/>
      <w:pBdr>
        <w:bottom w:val="single" w:color="auto" w:sz="4" w:space="0"/>
        <w:right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614">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rPr>
  </w:style>
  <w:style w:type="paragraph" w:customStyle="1" w:styleId="615">
    <w:name w:val="Char42"/>
    <w:basedOn w:val="1"/>
    <w:qFormat/>
    <w:uiPriority w:val="0"/>
    <w:pPr>
      <w:spacing w:line="360" w:lineRule="auto"/>
      <w:ind w:firstLine="200" w:firstLineChars="200"/>
    </w:pPr>
    <w:rPr>
      <w:rFonts w:ascii="宋体" w:hAnsi="宋体" w:cs="宋体"/>
      <w:sz w:val="24"/>
    </w:rPr>
  </w:style>
  <w:style w:type="paragraph" w:customStyle="1" w:styleId="616">
    <w:name w:val="表格内标题A"/>
    <w:basedOn w:val="1"/>
    <w:qFormat/>
    <w:uiPriority w:val="0"/>
    <w:pPr>
      <w:spacing w:line="288" w:lineRule="auto"/>
      <w:jc w:val="center"/>
    </w:pPr>
    <w:rPr>
      <w:rFonts w:ascii="Arial" w:hAnsi="Arial" w:eastAsia="黑体"/>
      <w:szCs w:val="22"/>
    </w:rPr>
  </w:style>
  <w:style w:type="paragraph" w:customStyle="1" w:styleId="617">
    <w:name w:val="标题3格式"/>
    <w:basedOn w:val="4"/>
    <w:next w:val="337"/>
    <w:qFormat/>
    <w:uiPriority w:val="0"/>
    <w:pPr>
      <w:snapToGrid w:val="0"/>
      <w:spacing w:before="0" w:after="0" w:line="416" w:lineRule="atLeast"/>
      <w:ind w:firstLine="578"/>
    </w:pPr>
    <w:rPr>
      <w:rFonts w:ascii="黑体" w:hAnsi="Cambria" w:cs="宋体"/>
      <w:bCs/>
      <w:spacing w:val="8"/>
      <w:szCs w:val="20"/>
    </w:rPr>
  </w:style>
  <w:style w:type="paragraph" w:customStyle="1" w:styleId="618">
    <w:name w:val="首页文本标题"/>
    <w:basedOn w:val="1"/>
    <w:next w:val="1"/>
    <w:qFormat/>
    <w:uiPriority w:val="0"/>
    <w:pPr>
      <w:jc w:val="right"/>
    </w:pPr>
    <w:rPr>
      <w:rFonts w:ascii="Arial" w:hAnsi="Arial" w:eastAsia="黑体"/>
      <w:sz w:val="84"/>
      <w:szCs w:val="22"/>
    </w:rPr>
  </w:style>
  <w:style w:type="paragraph" w:customStyle="1" w:styleId="619">
    <w:name w:val="Char33"/>
    <w:basedOn w:val="1"/>
    <w:qFormat/>
    <w:uiPriority w:val="0"/>
    <w:pPr>
      <w:spacing w:line="360" w:lineRule="auto"/>
      <w:ind w:firstLine="200" w:firstLineChars="200"/>
    </w:pPr>
    <w:rPr>
      <w:rFonts w:ascii="宋体" w:hAnsi="宋体" w:cs="宋体"/>
      <w:sz w:val="24"/>
    </w:rPr>
  </w:style>
  <w:style w:type="paragraph" w:customStyle="1" w:styleId="620">
    <w:name w:val="Char Char Char Char1 Char Char Char Char Char Char"/>
    <w:basedOn w:val="1"/>
    <w:qFormat/>
    <w:uiPriority w:val="0"/>
    <w:pPr>
      <w:ind w:firstLine="200" w:firstLineChars="200"/>
    </w:pPr>
    <w:rPr>
      <w:rFonts w:ascii="宋体" w:hAnsi="宋体" w:cs="宋体"/>
      <w:sz w:val="24"/>
    </w:rPr>
  </w:style>
  <w:style w:type="paragraph" w:customStyle="1" w:styleId="621">
    <w:name w:val="Char38"/>
    <w:basedOn w:val="1"/>
    <w:qFormat/>
    <w:uiPriority w:val="0"/>
    <w:pPr>
      <w:spacing w:line="360" w:lineRule="auto"/>
      <w:ind w:firstLine="200" w:firstLineChars="200"/>
    </w:pPr>
    <w:rPr>
      <w:rFonts w:ascii="宋体" w:hAnsi="宋体" w:cs="宋体"/>
      <w:sz w:val="24"/>
    </w:rPr>
  </w:style>
  <w:style w:type="paragraph" w:customStyle="1" w:styleId="622">
    <w:name w:val="xl35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23">
    <w:name w:val="xl176"/>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24">
    <w:name w:val="gh_xz"/>
    <w:basedOn w:val="1"/>
    <w:qFormat/>
    <w:uiPriority w:val="0"/>
    <w:pPr>
      <w:ind w:firstLine="200" w:firstLineChars="200"/>
    </w:pPr>
    <w:rPr>
      <w:sz w:val="28"/>
    </w:rPr>
  </w:style>
  <w:style w:type="paragraph" w:customStyle="1" w:styleId="625">
    <w:name w:val="et18"/>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626">
    <w:name w:val="正文-段落"/>
    <w:qFormat/>
    <w:uiPriority w:val="0"/>
    <w:pPr>
      <w:spacing w:line="360" w:lineRule="auto"/>
      <w:ind w:firstLine="200" w:firstLineChars="200"/>
    </w:pPr>
    <w:rPr>
      <w:rFonts w:ascii="Times New Roman" w:hAnsi="Times New Roman" w:eastAsia="宋体" w:cs="宋体"/>
      <w:sz w:val="24"/>
      <w:szCs w:val="24"/>
      <w:lang w:val="en-GB" w:eastAsia="zh-CN" w:bidi="ar-SA"/>
    </w:rPr>
  </w:style>
  <w:style w:type="paragraph" w:customStyle="1" w:styleId="627">
    <w:name w:val="xl272"/>
    <w:basedOn w:val="1"/>
    <w:qFormat/>
    <w:uiPriority w:val="0"/>
    <w:pPr>
      <w:widowControl/>
      <w:pBdr>
        <w:top w:val="single" w:color="auto" w:sz="4" w:space="0"/>
        <w:left w:val="single" w:color="auto" w:sz="4" w:space="0"/>
        <w:bottom w:val="single" w:color="auto" w:sz="4" w:space="0"/>
        <w:right w:val="single" w:color="auto" w:sz="4" w:space="0"/>
      </w:pBdr>
      <w:shd w:val="clear" w:color="000000" w:fill="DAEEF3"/>
      <w:spacing w:before="100" w:beforeAutospacing="1" w:after="100" w:afterAutospacing="1"/>
      <w:jc w:val="center"/>
    </w:pPr>
    <w:rPr>
      <w:rFonts w:ascii="宋体" w:hAnsi="宋体" w:cs="宋体"/>
      <w:b/>
      <w:bCs/>
      <w:kern w:val="0"/>
      <w:sz w:val="20"/>
      <w:szCs w:val="20"/>
    </w:rPr>
  </w:style>
  <w:style w:type="paragraph" w:customStyle="1" w:styleId="628">
    <w:name w:val="xl31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29">
    <w:name w:val="xl179"/>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30">
    <w:name w:val="样式 样式 样式 倾斜 居中 底端: (粗-细窄间隔 自动设置  3 磅 行宽) + 非倾斜 底端: (粗-细窄间隔 自动设置 ..."/>
    <w:basedOn w:val="454"/>
    <w:qFormat/>
    <w:uiPriority w:val="0"/>
    <w:pPr>
      <w:spacing w:line="240" w:lineRule="exact"/>
    </w:pPr>
    <w:rPr>
      <w:i/>
      <w:iCs/>
    </w:rPr>
  </w:style>
  <w:style w:type="paragraph" w:customStyle="1" w:styleId="631">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仿宋_GB2312" w:hAnsi="Arial Unicode MS" w:eastAsia="仿宋_GB2312" w:cs="Arial Unicode MS"/>
      <w:color w:val="000000"/>
      <w:kern w:val="0"/>
      <w:sz w:val="24"/>
    </w:rPr>
  </w:style>
  <w:style w:type="paragraph" w:customStyle="1" w:styleId="632">
    <w:name w:val="l_text"/>
    <w:basedOn w:val="1"/>
    <w:qFormat/>
    <w:uiPriority w:val="0"/>
    <w:pPr>
      <w:widowControl/>
      <w:overflowPunct w:val="0"/>
      <w:autoSpaceDE w:val="0"/>
      <w:autoSpaceDN w:val="0"/>
      <w:adjustRightInd w:val="0"/>
      <w:spacing w:line="360" w:lineRule="auto"/>
      <w:ind w:firstLine="561"/>
      <w:textAlignment w:val="baseline"/>
    </w:pPr>
    <w:rPr>
      <w:kern w:val="28"/>
      <w:sz w:val="28"/>
      <w:szCs w:val="20"/>
    </w:rPr>
  </w:style>
  <w:style w:type="paragraph" w:customStyle="1" w:styleId="633">
    <w:name w:val="xl10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63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color w:val="000000"/>
      <w:kern w:val="0"/>
      <w:sz w:val="24"/>
    </w:rPr>
  </w:style>
  <w:style w:type="paragraph" w:customStyle="1" w:styleId="635">
    <w:name w:val="et8"/>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636">
    <w:name w:val="xl17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37">
    <w:name w:val="xl17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38">
    <w:name w:val="首页底端"/>
    <w:basedOn w:val="1"/>
    <w:qFormat/>
    <w:uiPriority w:val="0"/>
    <w:pPr>
      <w:spacing w:line="540" w:lineRule="exact"/>
      <w:jc w:val="center"/>
    </w:pPr>
    <w:rPr>
      <w:rFonts w:ascii="Garamond" w:hAnsi="Garamond" w:eastAsia="方正准雅宋_GBK"/>
      <w:sz w:val="32"/>
      <w:szCs w:val="22"/>
    </w:rPr>
  </w:style>
  <w:style w:type="paragraph" w:customStyle="1" w:styleId="639">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640">
    <w:name w:val="xl98"/>
    <w:basedOn w:val="1"/>
    <w:qFormat/>
    <w:uiPriority w:val="0"/>
    <w:pPr>
      <w:widowControl/>
      <w:spacing w:before="100" w:beforeAutospacing="1" w:after="100" w:afterAutospacing="1"/>
      <w:jc w:val="center"/>
    </w:pPr>
    <w:rPr>
      <w:rFonts w:ascii="仿宋_GB2312" w:hAnsi="Arial Unicode MS" w:eastAsia="仿宋_GB2312" w:cs="Arial Unicode MS"/>
      <w:b/>
      <w:bCs/>
      <w:color w:val="000000"/>
      <w:kern w:val="0"/>
      <w:sz w:val="36"/>
      <w:szCs w:val="36"/>
    </w:rPr>
  </w:style>
  <w:style w:type="paragraph" w:customStyle="1" w:styleId="641">
    <w:name w:val="样式 篇章标题 + 段前: 0.5 行 段后: 0.5 行1"/>
    <w:basedOn w:val="1"/>
    <w:qFormat/>
    <w:uiPriority w:val="0"/>
    <w:pPr>
      <w:numPr>
        <w:ilvl w:val="0"/>
        <w:numId w:val="1"/>
      </w:numPr>
      <w:spacing w:beforeLines="50" w:afterLines="50"/>
      <w:ind w:firstLine="0"/>
      <w:jc w:val="left"/>
    </w:pPr>
    <w:rPr>
      <w:rFonts w:eastAsia="黑体" w:cs="宋体"/>
      <w:sz w:val="32"/>
      <w:szCs w:val="20"/>
    </w:rPr>
  </w:style>
  <w:style w:type="paragraph" w:customStyle="1" w:styleId="64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4"/>
    </w:rPr>
  </w:style>
  <w:style w:type="paragraph" w:customStyle="1" w:styleId="643">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644">
    <w:name w:val="目录 51"/>
    <w:basedOn w:val="1"/>
    <w:next w:val="1"/>
    <w:qFormat/>
    <w:uiPriority w:val="39"/>
    <w:pPr>
      <w:spacing w:line="360" w:lineRule="auto"/>
      <w:ind w:left="1120" w:firstLine="200" w:firstLineChars="200"/>
      <w:jc w:val="left"/>
    </w:pPr>
    <w:rPr>
      <w:rFonts w:ascii="Calibri" w:hAnsi="Calibri" w:cs="Calibri"/>
      <w:sz w:val="18"/>
      <w:szCs w:val="18"/>
    </w:rPr>
  </w:style>
  <w:style w:type="paragraph" w:customStyle="1" w:styleId="645">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6">
    <w:name w:val="xl259"/>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color w:val="000000"/>
      <w:kern w:val="0"/>
      <w:sz w:val="20"/>
      <w:szCs w:val="20"/>
    </w:rPr>
  </w:style>
  <w:style w:type="paragraph" w:customStyle="1" w:styleId="647">
    <w:name w:val="一级节标题"/>
    <w:basedOn w:val="28"/>
    <w:next w:val="1"/>
    <w:qFormat/>
    <w:uiPriority w:val="99"/>
    <w:pPr>
      <w:spacing w:before="360" w:after="360" w:line="400" w:lineRule="exact"/>
      <w:ind w:firstLine="200" w:firstLineChars="200"/>
      <w:jc w:val="left"/>
    </w:pPr>
    <w:rPr>
      <w:rFonts w:ascii="仿宋_GB2312" w:hAnsi="宋体" w:eastAsia="黑体" w:cs="Courier New"/>
      <w:bCs/>
      <w:kern w:val="0"/>
      <w:sz w:val="28"/>
      <w:szCs w:val="32"/>
      <w:lang w:val="zh-CN"/>
    </w:rPr>
  </w:style>
  <w:style w:type="paragraph" w:customStyle="1" w:styleId="648">
    <w:name w:val="默认段落字体 Para Char Char Char Char"/>
    <w:basedOn w:val="1"/>
    <w:qFormat/>
    <w:uiPriority w:val="0"/>
    <w:rPr>
      <w:sz w:val="24"/>
    </w:rPr>
  </w:style>
  <w:style w:type="paragraph" w:customStyle="1" w:styleId="649">
    <w:name w:val="样式 小四 居中 段前: 6 磅 段后: 6 磅 行距: 固定值 12 磅"/>
    <w:basedOn w:val="1"/>
    <w:qFormat/>
    <w:uiPriority w:val="99"/>
    <w:pPr>
      <w:spacing w:before="120" w:after="240" w:line="240" w:lineRule="exact"/>
      <w:jc w:val="center"/>
    </w:pPr>
    <w:rPr>
      <w:rFonts w:cs="宋体"/>
      <w:sz w:val="24"/>
      <w:szCs w:val="20"/>
    </w:rPr>
  </w:style>
  <w:style w:type="paragraph" w:customStyle="1" w:styleId="650">
    <w:name w:val="Char50"/>
    <w:basedOn w:val="1"/>
    <w:qFormat/>
    <w:uiPriority w:val="0"/>
    <w:pPr>
      <w:spacing w:line="360" w:lineRule="auto"/>
      <w:ind w:firstLine="200" w:firstLineChars="200"/>
    </w:pPr>
    <w:rPr>
      <w:rFonts w:ascii="宋体" w:hAnsi="宋体" w:cs="宋体"/>
      <w:sz w:val="24"/>
    </w:rPr>
  </w:style>
  <w:style w:type="paragraph" w:customStyle="1" w:styleId="651">
    <w:name w:val="Default"/>
    <w:qFormat/>
    <w:uiPriority w:val="0"/>
    <w:pPr>
      <w:widowControl w:val="0"/>
      <w:autoSpaceDE w:val="0"/>
      <w:autoSpaceDN w:val="0"/>
    </w:pPr>
    <w:rPr>
      <w:rFonts w:ascii="宋体" w:hAnsi="宋体" w:eastAsia="宋体" w:cs="Times New Roman"/>
      <w:color w:val="000000"/>
      <w:sz w:val="24"/>
      <w:lang w:val="en-US" w:eastAsia="zh-CN" w:bidi="ar-SA"/>
    </w:rPr>
  </w:style>
  <w:style w:type="paragraph" w:customStyle="1" w:styleId="652">
    <w:name w:val="4"/>
    <w:basedOn w:val="1"/>
    <w:next w:val="23"/>
    <w:qFormat/>
    <w:uiPriority w:val="0"/>
    <w:rPr>
      <w:sz w:val="24"/>
    </w:rPr>
  </w:style>
  <w:style w:type="paragraph" w:customStyle="1" w:styleId="653">
    <w:name w:val="xl31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4">
    <w:name w:val="xl351"/>
    <w:basedOn w:val="1"/>
    <w:qFormat/>
    <w:uiPriority w:val="0"/>
    <w:pPr>
      <w:widowControl/>
      <w:pBdr>
        <w:top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655">
    <w:name w:val="Char Char Char Char Char Char Char4"/>
    <w:basedOn w:val="1"/>
    <w:qFormat/>
    <w:uiPriority w:val="0"/>
    <w:pPr>
      <w:spacing w:line="360" w:lineRule="auto"/>
      <w:ind w:firstLine="200" w:firstLineChars="200"/>
    </w:pPr>
    <w:rPr>
      <w:rFonts w:ascii="宋体" w:hAnsi="宋体" w:cs="宋体"/>
      <w:sz w:val="24"/>
    </w:rPr>
  </w:style>
  <w:style w:type="paragraph" w:customStyle="1" w:styleId="656">
    <w:name w:val="xl350"/>
    <w:basedOn w:val="1"/>
    <w:qFormat/>
    <w:uiPriority w:val="0"/>
    <w:pPr>
      <w:widowControl/>
      <w:pBdr>
        <w:top w:val="single" w:color="auto" w:sz="4" w:space="0"/>
        <w:bottom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657">
    <w:name w:val="Char Char Char Char Char Char Char Char Char Char2"/>
    <w:basedOn w:val="1"/>
    <w:qFormat/>
    <w:uiPriority w:val="0"/>
    <w:pPr>
      <w:spacing w:beforeLines="50" w:afterLines="50"/>
    </w:pPr>
    <w:rPr>
      <w:rFonts w:ascii="Tahoma" w:hAnsi="Tahoma"/>
      <w:sz w:val="24"/>
      <w:szCs w:val="20"/>
    </w:rPr>
  </w:style>
  <w:style w:type="paragraph" w:customStyle="1" w:styleId="658">
    <w:name w:val="xl182"/>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59">
    <w:name w:val="xl11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Narrow" w:hAnsi="Arial Narrow" w:cs="Arial Unicode MS"/>
      <w:color w:val="0000FF"/>
      <w:kern w:val="0"/>
      <w:sz w:val="19"/>
      <w:szCs w:val="19"/>
    </w:rPr>
  </w:style>
  <w:style w:type="paragraph" w:customStyle="1" w:styleId="660">
    <w:name w:val="后标准正文"/>
    <w:basedOn w:val="1"/>
    <w:qFormat/>
    <w:uiPriority w:val="0"/>
    <w:pPr>
      <w:spacing w:line="500" w:lineRule="exact"/>
      <w:ind w:firstLine="560" w:firstLineChars="200"/>
    </w:pPr>
    <w:rPr>
      <w:rFonts w:ascii="宋体" w:hAnsi="宋体"/>
      <w:bCs/>
      <w:kern w:val="0"/>
      <w:sz w:val="28"/>
      <w:szCs w:val="28"/>
    </w:rPr>
  </w:style>
  <w:style w:type="paragraph" w:customStyle="1" w:styleId="661">
    <w:name w:val="2级标题"/>
    <w:basedOn w:val="1"/>
    <w:qFormat/>
    <w:uiPriority w:val="0"/>
    <w:pPr>
      <w:spacing w:line="480" w:lineRule="auto"/>
      <w:jc w:val="left"/>
      <w:outlineLvl w:val="1"/>
    </w:pPr>
    <w:rPr>
      <w:rFonts w:eastAsia="黑体"/>
      <w:b/>
      <w:color w:val="000000"/>
      <w:sz w:val="30"/>
      <w:szCs w:val="32"/>
    </w:rPr>
  </w:style>
  <w:style w:type="paragraph" w:customStyle="1" w:styleId="662">
    <w:name w:val="xl5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color w:val="000000"/>
      <w:kern w:val="0"/>
      <w:sz w:val="24"/>
    </w:rPr>
  </w:style>
  <w:style w:type="paragraph" w:customStyle="1" w:styleId="663">
    <w:name w:val="_Style 1"/>
    <w:basedOn w:val="1"/>
    <w:qFormat/>
    <w:uiPriority w:val="99"/>
    <w:pPr>
      <w:spacing w:line="360" w:lineRule="auto"/>
      <w:ind w:firstLine="420" w:firstLineChars="200"/>
      <w:jc w:val="left"/>
    </w:pPr>
    <w:rPr>
      <w:rFonts w:ascii="Calibri" w:hAnsi="Calibri"/>
      <w:sz w:val="28"/>
      <w:szCs w:val="22"/>
    </w:rPr>
  </w:style>
  <w:style w:type="paragraph" w:customStyle="1" w:styleId="664">
    <w:name w:val="xl17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665">
    <w:name w:val="封面1"/>
    <w:next w:val="1"/>
    <w:qFormat/>
    <w:uiPriority w:val="0"/>
    <w:pPr>
      <w:jc w:val="center"/>
    </w:pPr>
    <w:rPr>
      <w:rFonts w:ascii="Times New Roman" w:hAnsi="Times New Roman" w:eastAsia="宋体" w:cs="Times New Roman"/>
      <w:b/>
      <w:kern w:val="2"/>
      <w:sz w:val="44"/>
      <w:szCs w:val="24"/>
      <w:lang w:val="en-US" w:eastAsia="zh-CN" w:bidi="ar-SA"/>
    </w:rPr>
  </w:style>
  <w:style w:type="paragraph" w:customStyle="1" w:styleId="666">
    <w:name w:val="xl305"/>
    <w:basedOn w:val="1"/>
    <w:qFormat/>
    <w:uiPriority w:val="0"/>
    <w:pPr>
      <w:widowControl/>
      <w:pBdr>
        <w:right w:val="single" w:color="auto" w:sz="4" w:space="0"/>
      </w:pBdr>
      <w:spacing w:before="100" w:beforeAutospacing="1" w:after="100" w:afterAutospacing="1"/>
      <w:jc w:val="left"/>
    </w:pPr>
    <w:rPr>
      <w:rFonts w:ascii="宋体" w:hAnsi="宋体" w:cs="宋体"/>
      <w:kern w:val="0"/>
      <w:sz w:val="20"/>
      <w:szCs w:val="20"/>
    </w:rPr>
  </w:style>
  <w:style w:type="paragraph" w:customStyle="1" w:styleId="667">
    <w:name w:val="样式 标题 2 + 首行缩进:  2 字符"/>
    <w:basedOn w:val="3"/>
    <w:qFormat/>
    <w:uiPriority w:val="0"/>
    <w:pPr>
      <w:tabs>
        <w:tab w:val="left" w:pos="855"/>
      </w:tabs>
      <w:spacing w:before="0" w:after="0"/>
      <w:ind w:left="855" w:hanging="855"/>
      <w:jc w:val="both"/>
    </w:pPr>
    <w:rPr>
      <w:rFonts w:ascii="Times New Roman" w:hAnsi="Times New Roman" w:eastAsia="宋体" w:cs="宋体"/>
      <w:sz w:val="28"/>
    </w:rPr>
  </w:style>
  <w:style w:type="paragraph" w:customStyle="1" w:styleId="668">
    <w:name w:val="xl36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669">
    <w:name w:val="样式 标题 2 + 段前: 0.5 行 段后: 0.5 行"/>
    <w:basedOn w:val="3"/>
    <w:qFormat/>
    <w:uiPriority w:val="0"/>
    <w:pPr>
      <w:tabs>
        <w:tab w:val="left" w:pos="576"/>
      </w:tabs>
      <w:adjustRightInd w:val="0"/>
      <w:spacing w:beforeLines="50" w:after="0" w:line="400" w:lineRule="exact"/>
      <w:ind w:left="576" w:hanging="576"/>
      <w:textAlignment w:val="baseline"/>
    </w:pPr>
    <w:rPr>
      <w:rFonts w:ascii="Times New Roman" w:hAnsi="Times New Roman" w:eastAsia="宋体"/>
      <w:sz w:val="24"/>
      <w:szCs w:val="20"/>
    </w:rPr>
  </w:style>
  <w:style w:type="paragraph" w:customStyle="1" w:styleId="670">
    <w:name w:val="xl1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671">
    <w:name w:val="et11"/>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672">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73">
    <w:name w:val="xl57"/>
    <w:basedOn w:val="1"/>
    <w:qFormat/>
    <w:uiPriority w:val="0"/>
    <w:pPr>
      <w:widowControl/>
      <w:spacing w:before="100" w:beforeAutospacing="1" w:after="100" w:afterAutospacing="1"/>
      <w:jc w:val="center"/>
      <w:textAlignment w:val="top"/>
    </w:pPr>
    <w:rPr>
      <w:b/>
      <w:bCs/>
      <w:color w:val="000000"/>
      <w:kern w:val="0"/>
      <w:sz w:val="24"/>
    </w:rPr>
  </w:style>
  <w:style w:type="paragraph" w:customStyle="1" w:styleId="674">
    <w:name w:val="样式 左侧:  1.27 厘米 段前: 6 磅 段后: 7.8 磅"/>
    <w:basedOn w:val="1"/>
    <w:qFormat/>
    <w:uiPriority w:val="0"/>
    <w:pPr>
      <w:spacing w:before="120" w:after="156"/>
      <w:ind w:left="720"/>
    </w:pPr>
    <w:rPr>
      <w:rFonts w:cs="宋体"/>
      <w:sz w:val="24"/>
      <w:szCs w:val="20"/>
    </w:rPr>
  </w:style>
  <w:style w:type="paragraph" w:customStyle="1" w:styleId="675">
    <w:name w:val="默认段落字体 Para Char Char Char Char Char Char Char Char Char Char"/>
    <w:basedOn w:val="1"/>
    <w:qFormat/>
    <w:uiPriority w:val="0"/>
    <w:pPr>
      <w:adjustRightInd w:val="0"/>
      <w:spacing w:line="360" w:lineRule="atLeast"/>
      <w:textAlignment w:val="baseline"/>
    </w:pPr>
    <w:rPr>
      <w:rFonts w:ascii="Arial" w:hAnsi="Arial" w:cs="Arial"/>
      <w:sz w:val="20"/>
      <w:szCs w:val="20"/>
    </w:rPr>
  </w:style>
  <w:style w:type="paragraph" w:customStyle="1" w:styleId="676">
    <w:name w:val="样式 标题 3 + 宋体 小四 非加粗 段前: 0 磅 段后: 0 磅 行距: 固定值 24 磅"/>
    <w:basedOn w:val="4"/>
    <w:qFormat/>
    <w:uiPriority w:val="0"/>
    <w:pPr>
      <w:spacing w:before="0" w:after="0" w:line="480" w:lineRule="exact"/>
    </w:pPr>
    <w:rPr>
      <w:rFonts w:ascii="宋体" w:hAnsi="宋体" w:eastAsia="黑体" w:cs="宋体"/>
      <w:b w:val="0"/>
      <w:kern w:val="0"/>
      <w:sz w:val="24"/>
      <w:szCs w:val="20"/>
    </w:rPr>
  </w:style>
  <w:style w:type="paragraph" w:customStyle="1" w:styleId="677">
    <w:name w:val="正文文本缩进2"/>
    <w:qFormat/>
    <w:uiPriority w:val="0"/>
    <w:pPr>
      <w:ind w:firstLine="420"/>
    </w:pPr>
    <w:rPr>
      <w:rFonts w:ascii="Arial" w:hAnsi="Arial" w:eastAsia="宋体" w:cs="Times New Roman"/>
      <w:sz w:val="28"/>
      <w:szCs w:val="21"/>
      <w:lang w:val="en-US" w:eastAsia="zh-CN" w:bidi="ar-SA"/>
    </w:rPr>
  </w:style>
  <w:style w:type="paragraph" w:customStyle="1" w:styleId="678">
    <w:name w:val="xl261"/>
    <w:basedOn w:val="1"/>
    <w:qFormat/>
    <w:uiPriority w:val="0"/>
    <w:pPr>
      <w:widowControl/>
      <w:pBdr>
        <w:top w:val="single" w:color="auto" w:sz="4" w:space="0"/>
        <w:left w:val="single" w:color="auto" w:sz="4" w:space="0"/>
        <w:bottom w:val="single" w:color="auto" w:sz="4" w:space="0"/>
        <w:right w:val="single" w:color="auto" w:sz="4" w:space="0"/>
      </w:pBdr>
      <w:shd w:val="clear" w:color="000000" w:fill="DAEEF3"/>
      <w:spacing w:before="100" w:beforeAutospacing="1" w:after="100" w:afterAutospacing="1"/>
      <w:jc w:val="center"/>
    </w:pPr>
    <w:rPr>
      <w:rFonts w:ascii="宋体" w:hAnsi="宋体" w:cs="宋体"/>
      <w:b/>
      <w:bCs/>
      <w:kern w:val="0"/>
      <w:sz w:val="20"/>
      <w:szCs w:val="20"/>
    </w:rPr>
  </w:style>
  <w:style w:type="paragraph" w:customStyle="1" w:styleId="679">
    <w:name w:val="xl341"/>
    <w:basedOn w:val="1"/>
    <w:qFormat/>
    <w:uiPriority w:val="0"/>
    <w:pPr>
      <w:widowControl/>
      <w:pBdr>
        <w:top w:val="single" w:color="auto" w:sz="4" w:space="0"/>
      </w:pBdr>
      <w:spacing w:before="100" w:beforeAutospacing="1" w:after="100" w:afterAutospacing="1"/>
      <w:jc w:val="left"/>
    </w:pPr>
    <w:rPr>
      <w:rFonts w:ascii="宋体" w:hAnsi="宋体" w:cs="宋体"/>
      <w:kern w:val="0"/>
      <w:sz w:val="20"/>
      <w:szCs w:val="20"/>
    </w:rPr>
  </w:style>
  <w:style w:type="paragraph" w:customStyle="1" w:styleId="680">
    <w:name w:val="样式 宋体 四号 行距: 固定值 26 磅"/>
    <w:basedOn w:val="1"/>
    <w:qFormat/>
    <w:uiPriority w:val="0"/>
    <w:pPr>
      <w:spacing w:beforeLines="50" w:afterLines="50" w:line="320" w:lineRule="exact"/>
      <w:ind w:firstLine="200" w:firstLineChars="200"/>
    </w:pPr>
    <w:rPr>
      <w:rFonts w:ascii="宋体" w:hAnsi="宋体" w:cs="宋体"/>
      <w:sz w:val="24"/>
      <w:szCs w:val="20"/>
    </w:rPr>
  </w:style>
  <w:style w:type="paragraph" w:customStyle="1" w:styleId="681">
    <w:name w:val="Char23"/>
    <w:basedOn w:val="1"/>
    <w:qFormat/>
    <w:uiPriority w:val="0"/>
    <w:pPr>
      <w:spacing w:line="360" w:lineRule="auto"/>
      <w:ind w:firstLine="200" w:firstLineChars="200"/>
    </w:pPr>
    <w:rPr>
      <w:rFonts w:ascii="宋体" w:hAnsi="宋体" w:cs="宋体"/>
      <w:sz w:val="24"/>
    </w:rPr>
  </w:style>
  <w:style w:type="paragraph" w:customStyle="1" w:styleId="682">
    <w:name w:val="样式 正文缩进正文（首行缩进两字）首行缩进两字 + 首行缩进:  2 字符1"/>
    <w:basedOn w:val="15"/>
    <w:qFormat/>
    <w:uiPriority w:val="0"/>
    <w:pPr>
      <w:widowControl/>
      <w:spacing w:beforeLines="50" w:afterLines="50" w:line="500" w:lineRule="exact"/>
      <w:ind w:firstLine="880"/>
      <w:jc w:val="left"/>
    </w:pPr>
    <w:rPr>
      <w:color w:val="000000"/>
      <w:kern w:val="0"/>
      <w:sz w:val="28"/>
    </w:rPr>
  </w:style>
  <w:style w:type="paragraph" w:customStyle="1" w:styleId="683">
    <w:name w:val="Char1"/>
    <w:basedOn w:val="1"/>
    <w:qFormat/>
    <w:uiPriority w:val="0"/>
    <w:pPr>
      <w:tabs>
        <w:tab w:val="left" w:pos="360"/>
      </w:tabs>
      <w:spacing w:line="360" w:lineRule="auto"/>
      <w:ind w:firstLine="480" w:firstLineChars="200"/>
      <w:jc w:val="left"/>
    </w:pPr>
    <w:rPr>
      <w:rFonts w:ascii="宋体" w:hAnsi="宋体" w:cs="宋体"/>
      <w:sz w:val="24"/>
    </w:rPr>
  </w:style>
  <w:style w:type="paragraph" w:customStyle="1" w:styleId="684">
    <w:name w:val="xl262"/>
    <w:basedOn w:val="1"/>
    <w:qFormat/>
    <w:uiPriority w:val="0"/>
    <w:pPr>
      <w:widowControl/>
      <w:pBdr>
        <w:top w:val="single" w:color="auto" w:sz="4" w:space="0"/>
        <w:left w:val="single" w:color="auto" w:sz="4" w:space="0"/>
        <w:bottom w:val="single" w:color="auto" w:sz="4" w:space="0"/>
        <w:right w:val="single" w:color="auto" w:sz="4" w:space="0"/>
      </w:pBdr>
      <w:shd w:val="clear" w:color="000000" w:fill="DAEEF3"/>
      <w:spacing w:before="100" w:beforeAutospacing="1" w:after="100" w:afterAutospacing="1"/>
      <w:jc w:val="left"/>
    </w:pPr>
    <w:rPr>
      <w:rFonts w:ascii="宋体" w:hAnsi="宋体" w:cs="宋体"/>
      <w:b/>
      <w:bCs/>
      <w:kern w:val="0"/>
      <w:sz w:val="20"/>
      <w:szCs w:val="20"/>
    </w:rPr>
  </w:style>
  <w:style w:type="paragraph" w:customStyle="1" w:styleId="685">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86">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687">
    <w:name w:val="*正文"/>
    <w:basedOn w:val="1"/>
    <w:qFormat/>
    <w:uiPriority w:val="0"/>
    <w:pPr>
      <w:spacing w:line="360" w:lineRule="auto"/>
      <w:ind w:firstLine="480" w:firstLineChars="200"/>
    </w:pPr>
    <w:rPr>
      <w:sz w:val="24"/>
      <w:szCs w:val="20"/>
    </w:rPr>
  </w:style>
  <w:style w:type="paragraph" w:customStyle="1" w:styleId="688">
    <w:name w:val="目录 31"/>
    <w:basedOn w:val="1"/>
    <w:next w:val="1"/>
    <w:qFormat/>
    <w:uiPriority w:val="39"/>
    <w:pPr>
      <w:spacing w:line="360" w:lineRule="auto"/>
      <w:ind w:left="560" w:firstLine="200" w:firstLineChars="200"/>
      <w:jc w:val="left"/>
    </w:pPr>
    <w:rPr>
      <w:rFonts w:ascii="Calibri" w:hAnsi="Calibri" w:cs="Calibri"/>
      <w:i/>
      <w:iCs/>
      <w:sz w:val="20"/>
      <w:szCs w:val="20"/>
    </w:rPr>
  </w:style>
  <w:style w:type="paragraph" w:customStyle="1" w:styleId="689">
    <w:name w:val="图表头"/>
    <w:basedOn w:val="1"/>
    <w:qFormat/>
    <w:uiPriority w:val="0"/>
    <w:pPr>
      <w:adjustRightInd w:val="0"/>
      <w:snapToGrid w:val="0"/>
      <w:jc w:val="center"/>
      <w:textAlignment w:val="baseline"/>
    </w:pPr>
    <w:rPr>
      <w:rFonts w:ascii="黑体" w:eastAsia="黑体"/>
      <w:bCs/>
      <w:kern w:val="0"/>
      <w:sz w:val="24"/>
    </w:rPr>
  </w:style>
  <w:style w:type="paragraph" w:customStyle="1" w:styleId="690">
    <w:name w:val="xl36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6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692">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693">
    <w:name w:val="head1"/>
    <w:basedOn w:val="1"/>
    <w:qFormat/>
    <w:uiPriority w:val="0"/>
    <w:pPr>
      <w:widowControl/>
      <w:tabs>
        <w:tab w:val="left" w:pos="1853"/>
      </w:tabs>
      <w:overflowPunct w:val="0"/>
      <w:autoSpaceDE w:val="0"/>
      <w:autoSpaceDN w:val="0"/>
      <w:adjustRightInd w:val="0"/>
      <w:spacing w:before="60" w:after="60"/>
      <w:jc w:val="left"/>
      <w:textAlignment w:val="baseline"/>
      <w:outlineLvl w:val="0"/>
    </w:pPr>
    <w:rPr>
      <w:rFonts w:ascii="黑体" w:hAnsi="¿¬Ìå" w:eastAsia="黑体"/>
      <w:kern w:val="0"/>
      <w:sz w:val="30"/>
      <w:szCs w:val="30"/>
    </w:rPr>
  </w:style>
  <w:style w:type="paragraph" w:customStyle="1" w:styleId="694">
    <w:name w:val="xl302"/>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95">
    <w:name w:val="投标正文"/>
    <w:qFormat/>
    <w:uiPriority w:val="0"/>
    <w:pPr>
      <w:spacing w:line="480" w:lineRule="auto"/>
      <w:ind w:firstLine="600" w:firstLineChars="200"/>
    </w:pPr>
    <w:rPr>
      <w:rFonts w:ascii="Times New Roman" w:hAnsi="Times New Roman" w:eastAsia="宋体" w:cs="Times New Roman"/>
      <w:color w:val="000000"/>
      <w:sz w:val="24"/>
      <w:lang w:val="en-US" w:eastAsia="zh-CN" w:bidi="ar-SA"/>
    </w:rPr>
  </w:style>
  <w:style w:type="paragraph" w:customStyle="1" w:styleId="696">
    <w:name w:val="Char Char Char Char1 Char Char Char"/>
    <w:basedOn w:val="1"/>
    <w:qFormat/>
    <w:uiPriority w:val="0"/>
    <w:pPr>
      <w:ind w:firstLine="200" w:firstLineChars="200"/>
    </w:pPr>
    <w:rPr>
      <w:rFonts w:ascii="宋体" w:hAnsi="宋体" w:cs="宋体"/>
      <w:sz w:val="24"/>
    </w:rPr>
  </w:style>
  <w:style w:type="paragraph" w:customStyle="1" w:styleId="697">
    <w:name w:val="xl134"/>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Arial Narrow" w:hAnsi="Arial Narrow" w:cs="Arial Unicode MS"/>
      <w:kern w:val="0"/>
      <w:sz w:val="20"/>
      <w:szCs w:val="20"/>
    </w:rPr>
  </w:style>
  <w:style w:type="paragraph" w:customStyle="1" w:styleId="698">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Arial Unicode MS"/>
      <w:color w:val="003300"/>
      <w:kern w:val="0"/>
      <w:sz w:val="18"/>
      <w:szCs w:val="18"/>
    </w:rPr>
  </w:style>
  <w:style w:type="paragraph" w:customStyle="1" w:styleId="699">
    <w:name w:val="Char Char Char Char9"/>
    <w:basedOn w:val="1"/>
    <w:qFormat/>
    <w:uiPriority w:val="0"/>
    <w:pPr>
      <w:spacing w:line="360" w:lineRule="auto"/>
      <w:ind w:firstLine="200" w:firstLineChars="200"/>
    </w:pPr>
    <w:rPr>
      <w:rFonts w:ascii="宋体" w:hAnsi="宋体" w:cs="宋体"/>
      <w:sz w:val="24"/>
    </w:rPr>
  </w:style>
  <w:style w:type="paragraph" w:customStyle="1" w:styleId="700">
    <w:name w:val="et28"/>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01">
    <w:name w:val="et10"/>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02">
    <w:name w:val="p16"/>
    <w:basedOn w:val="1"/>
    <w:qFormat/>
    <w:uiPriority w:val="99"/>
    <w:pPr>
      <w:widowControl/>
      <w:spacing w:line="360" w:lineRule="auto"/>
      <w:jc w:val="left"/>
    </w:pPr>
    <w:rPr>
      <w:kern w:val="0"/>
      <w:sz w:val="28"/>
      <w:szCs w:val="21"/>
    </w:rPr>
  </w:style>
  <w:style w:type="paragraph" w:customStyle="1" w:styleId="703">
    <w:name w:val="Char Char Char Char Char Char Char Char Char Char Char Char Char Char Char 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704">
    <w:name w:val="Char Char Char1 Char Char Char Char Char Char Char Char Char Char Char Char Char Char Char Char Char Char Char Char Char Char Char Char"/>
    <w:basedOn w:val="1"/>
    <w:qFormat/>
    <w:uiPriority w:val="0"/>
    <w:pPr>
      <w:ind w:firstLine="200" w:firstLineChars="200"/>
    </w:pPr>
    <w:rPr>
      <w:rFonts w:ascii="宋体" w:hAnsi="宋体" w:cs="宋体"/>
      <w:sz w:val="24"/>
    </w:rPr>
  </w:style>
  <w:style w:type="paragraph" w:customStyle="1" w:styleId="70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4"/>
    </w:rPr>
  </w:style>
  <w:style w:type="paragraph" w:customStyle="1" w:styleId="706">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07">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8">
    <w:name w:val="表格001"/>
    <w:basedOn w:val="1"/>
    <w:qFormat/>
    <w:uiPriority w:val="0"/>
    <w:pPr>
      <w:tabs>
        <w:tab w:val="left" w:pos="2880"/>
        <w:tab w:val="left" w:pos="3120"/>
      </w:tabs>
      <w:spacing w:after="120" w:line="288" w:lineRule="auto"/>
      <w:jc w:val="center"/>
      <w:outlineLvl w:val="8"/>
    </w:pPr>
    <w:rPr>
      <w:rFonts w:ascii="宋体" w:hAnsi="宋体" w:cs="宋体"/>
      <w:kern w:val="0"/>
      <w:sz w:val="24"/>
      <w:szCs w:val="20"/>
    </w:rPr>
  </w:style>
  <w:style w:type="paragraph" w:customStyle="1" w:styleId="709">
    <w:name w:val="Char39"/>
    <w:basedOn w:val="1"/>
    <w:qFormat/>
    <w:uiPriority w:val="0"/>
    <w:pPr>
      <w:spacing w:line="360" w:lineRule="auto"/>
      <w:ind w:firstLine="200" w:firstLineChars="200"/>
    </w:pPr>
    <w:rPr>
      <w:rFonts w:ascii="宋体" w:hAnsi="宋体" w:cs="宋体"/>
      <w:sz w:val="24"/>
    </w:rPr>
  </w:style>
  <w:style w:type="paragraph" w:customStyle="1" w:styleId="710">
    <w:name w:val="Char Char Char1 Char1"/>
    <w:basedOn w:val="1"/>
    <w:next w:val="1"/>
    <w:qFormat/>
    <w:uiPriority w:val="0"/>
    <w:pPr>
      <w:spacing w:line="360" w:lineRule="auto"/>
      <w:ind w:firstLine="200" w:firstLineChars="200"/>
    </w:pPr>
    <w:rPr>
      <w:rFonts w:ascii="宋体" w:hAnsi="宋体" w:cs="宋体"/>
      <w:sz w:val="24"/>
    </w:rPr>
  </w:style>
  <w:style w:type="paragraph" w:customStyle="1" w:styleId="711">
    <w:name w:val="公式"/>
    <w:next w:val="1"/>
    <w:qFormat/>
    <w:uiPriority w:val="0"/>
    <w:pPr>
      <w:jc w:val="center"/>
    </w:pPr>
    <w:rPr>
      <w:rFonts w:ascii="Times New Roman" w:hAnsi="Times New Roman" w:eastAsia="宋体" w:cs="Times New Roman"/>
      <w:kern w:val="2"/>
      <w:position w:val="-24"/>
      <w:sz w:val="21"/>
      <w:szCs w:val="24"/>
      <w:lang w:val="en-US" w:eastAsia="zh-CN" w:bidi="ar-SA"/>
    </w:rPr>
  </w:style>
  <w:style w:type="paragraph" w:customStyle="1" w:styleId="712">
    <w:name w:val="1表格"/>
    <w:basedOn w:val="1"/>
    <w:qFormat/>
    <w:uiPriority w:val="0"/>
    <w:pPr>
      <w:snapToGrid w:val="0"/>
      <w:spacing w:before="120" w:after="120" w:line="160" w:lineRule="atLeast"/>
      <w:ind w:firstLine="200" w:firstLineChars="200"/>
      <w:jc w:val="center"/>
    </w:pPr>
    <w:rPr>
      <w:rFonts w:eastAsia="仿宋_GB2312"/>
      <w:szCs w:val="20"/>
    </w:rPr>
  </w:style>
  <w:style w:type="paragraph" w:customStyle="1" w:styleId="713">
    <w:name w:val="xl296"/>
    <w:basedOn w:val="1"/>
    <w:qFormat/>
    <w:uiPriority w:val="0"/>
    <w:pPr>
      <w:widowControl/>
      <w:pBdr>
        <w:top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714">
    <w:name w:val="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15">
    <w:name w:val="Char12"/>
    <w:basedOn w:val="1"/>
    <w:qFormat/>
    <w:uiPriority w:val="0"/>
    <w:pPr>
      <w:spacing w:line="360" w:lineRule="auto"/>
      <w:ind w:firstLine="200" w:firstLineChars="200"/>
    </w:pPr>
    <w:rPr>
      <w:rFonts w:ascii="宋体" w:hAnsi="宋体" w:cs="宋体"/>
      <w:sz w:val="24"/>
    </w:rPr>
  </w:style>
  <w:style w:type="paragraph" w:customStyle="1" w:styleId="716">
    <w:name w:val="xl14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717">
    <w:name w:val="Char Char Char Char Char Char Char Char Char Char1"/>
    <w:basedOn w:val="1"/>
    <w:qFormat/>
    <w:uiPriority w:val="0"/>
    <w:pPr>
      <w:spacing w:beforeLines="50" w:afterLines="50"/>
    </w:pPr>
    <w:rPr>
      <w:rFonts w:ascii="Tahoma" w:hAnsi="Tahoma"/>
      <w:sz w:val="24"/>
      <w:szCs w:val="20"/>
    </w:rPr>
  </w:style>
  <w:style w:type="paragraph" w:customStyle="1" w:styleId="718">
    <w:name w:val="xl7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Arial Unicode MS" w:eastAsia="仿宋_GB2312" w:cs="Arial Unicode MS"/>
      <w:color w:val="000000"/>
      <w:kern w:val="0"/>
      <w:sz w:val="24"/>
    </w:rPr>
  </w:style>
  <w:style w:type="paragraph" w:customStyle="1" w:styleId="719">
    <w:name w:val="Char Char Char Char Char Char Char Char Char Char Char Char Char Char Char Char Char Char Char Char Char Char1"/>
    <w:basedOn w:val="1"/>
    <w:next w:val="1"/>
    <w:qFormat/>
    <w:uiPriority w:val="0"/>
    <w:pPr>
      <w:spacing w:line="360" w:lineRule="auto"/>
      <w:ind w:firstLine="200" w:firstLineChars="200"/>
    </w:pPr>
    <w:rPr>
      <w:rFonts w:ascii="宋体" w:hAnsi="宋体" w:cs="宋体"/>
      <w:sz w:val="24"/>
    </w:rPr>
  </w:style>
  <w:style w:type="paragraph" w:customStyle="1" w:styleId="720">
    <w:name w:val="标题2"/>
    <w:basedOn w:val="1"/>
    <w:qFormat/>
    <w:uiPriority w:val="0"/>
    <w:pPr>
      <w:keepNext/>
      <w:keepLines/>
      <w:spacing w:beforeLines="50" w:afterLines="50" w:line="360" w:lineRule="auto"/>
      <w:outlineLvl w:val="1"/>
    </w:pPr>
    <w:rPr>
      <w:b/>
      <w:bCs/>
      <w:sz w:val="30"/>
      <w:szCs w:val="30"/>
    </w:rPr>
  </w:style>
  <w:style w:type="paragraph" w:customStyle="1" w:styleId="721">
    <w:name w:val="标题 4 *"/>
    <w:qFormat/>
    <w:uiPriority w:val="0"/>
    <w:pPr>
      <w:spacing w:before="240" w:line="360" w:lineRule="auto"/>
      <w:ind w:left="420"/>
      <w:jc w:val="both"/>
      <w:outlineLvl w:val="2"/>
    </w:pPr>
    <w:rPr>
      <w:rFonts w:ascii="Arial" w:hAnsi="Arial" w:eastAsia="宋体" w:cs="宋体"/>
      <w:b/>
      <w:bCs/>
      <w:kern w:val="2"/>
      <w:sz w:val="24"/>
      <w:lang w:val="en-US" w:eastAsia="zh-CN" w:bidi="ar-SA"/>
    </w:rPr>
  </w:style>
  <w:style w:type="paragraph" w:customStyle="1" w:styleId="722">
    <w:name w:val="Char Char Char Char Char Char1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723">
    <w:name w:val="表格内容"/>
    <w:next w:val="1"/>
    <w:qFormat/>
    <w:uiPriority w:val="0"/>
    <w:pPr>
      <w:widowControl w:val="0"/>
      <w:adjustRightInd w:val="0"/>
      <w:spacing w:before="40" w:line="240" w:lineRule="atLeast"/>
      <w:jc w:val="center"/>
      <w:textAlignment w:val="baseline"/>
    </w:pPr>
    <w:rPr>
      <w:rFonts w:ascii="宋体" w:hAnsi="宋体" w:eastAsia="宋体" w:cs="Times New Roman"/>
      <w:sz w:val="28"/>
      <w:lang w:val="en-US" w:eastAsia="zh-CN" w:bidi="ar-SA"/>
    </w:rPr>
  </w:style>
  <w:style w:type="paragraph" w:customStyle="1" w:styleId="724">
    <w:name w:val="xl287"/>
    <w:basedOn w:val="1"/>
    <w:qFormat/>
    <w:uiPriority w:val="0"/>
    <w:pPr>
      <w:widowControl/>
      <w:spacing w:before="100" w:beforeAutospacing="1" w:after="100" w:afterAutospacing="1"/>
      <w:jc w:val="center"/>
    </w:pPr>
    <w:rPr>
      <w:rFonts w:ascii="宋体" w:hAnsi="宋体" w:cs="宋体"/>
      <w:b/>
      <w:bCs/>
      <w:color w:val="000000"/>
      <w:kern w:val="0"/>
      <w:sz w:val="32"/>
      <w:szCs w:val="32"/>
    </w:rPr>
  </w:style>
  <w:style w:type="paragraph" w:customStyle="1" w:styleId="725">
    <w:name w:val="题目 2"/>
    <w:next w:val="418"/>
    <w:qFormat/>
    <w:uiPriority w:val="0"/>
    <w:pPr>
      <w:keepNext/>
      <w:outlineLvl w:val="1"/>
    </w:pPr>
    <w:rPr>
      <w:rFonts w:ascii="Helvetica" w:hAnsi="Helvetica" w:eastAsia="宋体" w:cs="Times New Roman"/>
      <w:b/>
      <w:color w:val="000000"/>
      <w:sz w:val="24"/>
      <w:lang w:val="en-US" w:eastAsia="zh-CN" w:bidi="ar-SA"/>
    </w:rPr>
  </w:style>
  <w:style w:type="paragraph" w:customStyle="1" w:styleId="726">
    <w:name w:val="xl7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Arial Unicode MS" w:eastAsia="仿宋_GB2312" w:cs="Arial Unicode MS"/>
      <w:color w:val="000000"/>
      <w:kern w:val="0"/>
      <w:sz w:val="24"/>
    </w:rPr>
  </w:style>
  <w:style w:type="paragraph" w:customStyle="1" w:styleId="727">
    <w:name w:val="List Paragraph1"/>
    <w:basedOn w:val="1"/>
    <w:qFormat/>
    <w:uiPriority w:val="99"/>
    <w:pPr>
      <w:ind w:firstLine="420" w:firstLineChars="200"/>
    </w:pPr>
    <w:rPr>
      <w:rFonts w:ascii="Calibri" w:hAnsi="Calibri"/>
      <w:szCs w:val="22"/>
    </w:rPr>
  </w:style>
  <w:style w:type="paragraph" w:customStyle="1" w:styleId="728">
    <w:name w:val="Char8"/>
    <w:basedOn w:val="1"/>
    <w:qFormat/>
    <w:uiPriority w:val="0"/>
    <w:pPr>
      <w:spacing w:line="360" w:lineRule="auto"/>
      <w:ind w:firstLine="200" w:firstLineChars="200"/>
    </w:pPr>
    <w:rPr>
      <w:rFonts w:ascii="宋体" w:hAnsi="宋体" w:cs="宋体"/>
      <w:sz w:val="24"/>
    </w:rPr>
  </w:style>
  <w:style w:type="paragraph" w:customStyle="1" w:styleId="729">
    <w:name w:val="xl6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b/>
      <w:bCs/>
      <w:color w:val="000000"/>
      <w:kern w:val="0"/>
      <w:sz w:val="24"/>
    </w:rPr>
  </w:style>
  <w:style w:type="paragraph" w:customStyle="1" w:styleId="730">
    <w:name w:val="xl174"/>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262626"/>
      <w:kern w:val="0"/>
      <w:sz w:val="24"/>
    </w:rPr>
  </w:style>
  <w:style w:type="paragraph" w:customStyle="1" w:styleId="731">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32">
    <w:name w:val="CM12"/>
    <w:basedOn w:val="651"/>
    <w:next w:val="651"/>
    <w:qFormat/>
    <w:uiPriority w:val="99"/>
    <w:pPr>
      <w:adjustRightInd w:val="0"/>
    </w:pPr>
    <w:rPr>
      <w:rFonts w:ascii="Calibri" w:hAnsi="Calibri"/>
      <w:color w:val="auto"/>
      <w:szCs w:val="24"/>
    </w:rPr>
  </w:style>
  <w:style w:type="paragraph" w:customStyle="1" w:styleId="733">
    <w:name w:val="et31"/>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34">
    <w:name w:val="et12"/>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35">
    <w:name w:val="Char2"/>
    <w:basedOn w:val="1"/>
    <w:qFormat/>
    <w:uiPriority w:val="0"/>
    <w:rPr>
      <w:szCs w:val="21"/>
    </w:rPr>
  </w:style>
  <w:style w:type="paragraph" w:customStyle="1" w:styleId="736">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3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仿宋_GB2312" w:hAnsi="Arial Unicode MS" w:eastAsia="仿宋_GB2312" w:cs="Arial Unicode MS"/>
      <w:color w:val="000000"/>
      <w:kern w:val="0"/>
      <w:sz w:val="24"/>
    </w:rPr>
  </w:style>
  <w:style w:type="paragraph" w:customStyle="1" w:styleId="738">
    <w:name w:val="样式"/>
    <w:basedOn w:val="1"/>
    <w:next w:val="46"/>
    <w:qFormat/>
    <w:uiPriority w:val="0"/>
    <w:pPr>
      <w:autoSpaceDE w:val="0"/>
      <w:autoSpaceDN w:val="0"/>
      <w:adjustRightInd w:val="0"/>
      <w:spacing w:line="560" w:lineRule="exact"/>
      <w:ind w:firstLine="560"/>
    </w:pPr>
    <w:rPr>
      <w:rFonts w:ascii="宋体"/>
      <w:sz w:val="28"/>
      <w:szCs w:val="28"/>
      <w:lang w:val="zh-CN"/>
    </w:rPr>
  </w:style>
  <w:style w:type="paragraph" w:customStyle="1" w:styleId="739">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740">
    <w:name w:val="表格文字1"/>
    <w:basedOn w:val="1"/>
    <w:qFormat/>
    <w:uiPriority w:val="0"/>
    <w:pPr>
      <w:spacing w:line="300" w:lineRule="auto"/>
      <w:jc w:val="center"/>
    </w:pPr>
    <w:rPr>
      <w:rFonts w:ascii="Arial" w:hAnsi="Arial"/>
      <w:color w:val="FF0000"/>
      <w:kern w:val="0"/>
      <w:szCs w:val="21"/>
    </w:rPr>
  </w:style>
  <w:style w:type="paragraph" w:customStyle="1" w:styleId="741">
    <w:name w:val="xl6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仿宋_GB2312" w:hAnsi="Arial Unicode MS" w:eastAsia="仿宋_GB2312" w:cs="Arial Unicode MS"/>
      <w:b/>
      <w:bCs/>
      <w:color w:val="000000"/>
      <w:kern w:val="0"/>
      <w:sz w:val="24"/>
    </w:rPr>
  </w:style>
  <w:style w:type="paragraph" w:customStyle="1" w:styleId="742">
    <w:name w:val="Char16"/>
    <w:basedOn w:val="1"/>
    <w:qFormat/>
    <w:uiPriority w:val="0"/>
    <w:pPr>
      <w:spacing w:line="360" w:lineRule="auto"/>
      <w:ind w:firstLine="200" w:firstLineChars="200"/>
    </w:pPr>
    <w:rPr>
      <w:rFonts w:ascii="宋体" w:hAnsi="宋体" w:cs="宋体"/>
      <w:sz w:val="24"/>
    </w:rPr>
  </w:style>
  <w:style w:type="paragraph" w:customStyle="1" w:styleId="743">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744">
    <w:name w:val="xl94"/>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color w:val="000000"/>
      <w:kern w:val="0"/>
      <w:sz w:val="24"/>
    </w:rPr>
  </w:style>
  <w:style w:type="paragraph" w:customStyle="1" w:styleId="745">
    <w:name w:val="et23"/>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46">
    <w:name w:val="Char Char Char Char Char Char Char Char Char Char7"/>
    <w:basedOn w:val="1"/>
    <w:qFormat/>
    <w:uiPriority w:val="0"/>
    <w:pPr>
      <w:spacing w:beforeLines="50" w:afterLines="50"/>
    </w:pPr>
    <w:rPr>
      <w:szCs w:val="20"/>
    </w:rPr>
  </w:style>
  <w:style w:type="paragraph" w:customStyle="1" w:styleId="747">
    <w:name w:val="样式 正文"/>
    <w:basedOn w:val="1"/>
    <w:qFormat/>
    <w:uiPriority w:val="99"/>
    <w:pPr>
      <w:spacing w:line="360" w:lineRule="auto"/>
      <w:ind w:firstLine="480" w:firstLineChars="200"/>
      <w:jc w:val="left"/>
    </w:pPr>
    <w:rPr>
      <w:rFonts w:ascii="Calibri" w:hAnsi="Calibri"/>
      <w:sz w:val="24"/>
      <w:szCs w:val="20"/>
    </w:rPr>
  </w:style>
  <w:style w:type="paragraph" w:customStyle="1" w:styleId="748">
    <w:name w:val="et4"/>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49">
    <w:name w:val="Char6"/>
    <w:basedOn w:val="1"/>
    <w:qFormat/>
    <w:uiPriority w:val="0"/>
    <w:pPr>
      <w:spacing w:line="360" w:lineRule="auto"/>
      <w:ind w:firstLine="200" w:firstLineChars="200"/>
    </w:pPr>
    <w:rPr>
      <w:rFonts w:ascii="宋体" w:hAnsi="宋体" w:cs="宋体"/>
      <w:sz w:val="24"/>
    </w:rPr>
  </w:style>
  <w:style w:type="paragraph" w:customStyle="1" w:styleId="750">
    <w:name w:val="表格（小）"/>
    <w:basedOn w:val="1"/>
    <w:qFormat/>
    <w:uiPriority w:val="0"/>
    <w:pPr>
      <w:adjustRightInd w:val="0"/>
      <w:snapToGrid w:val="0"/>
    </w:pPr>
    <w:rPr>
      <w:kern w:val="0"/>
      <w:szCs w:val="20"/>
    </w:rPr>
  </w:style>
  <w:style w:type="paragraph" w:customStyle="1" w:styleId="751">
    <w:name w:val="xl10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752">
    <w:name w:val="Char45"/>
    <w:basedOn w:val="1"/>
    <w:qFormat/>
    <w:uiPriority w:val="0"/>
  </w:style>
  <w:style w:type="paragraph" w:customStyle="1" w:styleId="753">
    <w:name w:val="Char18"/>
    <w:basedOn w:val="1"/>
    <w:qFormat/>
    <w:uiPriority w:val="0"/>
    <w:pPr>
      <w:spacing w:line="360" w:lineRule="auto"/>
      <w:ind w:firstLine="200" w:firstLineChars="200"/>
    </w:pPr>
    <w:rPr>
      <w:rFonts w:ascii="宋体" w:hAnsi="宋体" w:cs="宋体"/>
      <w:sz w:val="24"/>
    </w:rPr>
  </w:style>
  <w:style w:type="paragraph" w:customStyle="1" w:styleId="754">
    <w:name w:val="表格名称"/>
    <w:basedOn w:val="1"/>
    <w:qFormat/>
    <w:uiPriority w:val="0"/>
    <w:pPr>
      <w:jc w:val="center"/>
    </w:pPr>
    <w:rPr>
      <w:rFonts w:eastAsia="黑体"/>
      <w:szCs w:val="20"/>
    </w:rPr>
  </w:style>
  <w:style w:type="paragraph" w:customStyle="1" w:styleId="755">
    <w:name w:val="xl333"/>
    <w:basedOn w:val="1"/>
    <w:qFormat/>
    <w:uiPriority w:val="0"/>
    <w:pPr>
      <w:widowControl/>
      <w:pBdr>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756">
    <w:name w:val="xl15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757">
    <w:name w:val="font2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758">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59">
    <w:name w:val="xl156"/>
    <w:basedOn w:val="1"/>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760">
    <w:name w:val="font9"/>
    <w:basedOn w:val="1"/>
    <w:qFormat/>
    <w:uiPriority w:val="0"/>
    <w:pPr>
      <w:widowControl/>
      <w:spacing w:before="100" w:beforeAutospacing="1" w:after="100" w:afterAutospacing="1"/>
      <w:jc w:val="left"/>
    </w:pPr>
    <w:rPr>
      <w:rFonts w:ascii="宋体" w:hAnsi="宋体" w:cs="Arial Unicode MS"/>
      <w:color w:val="000000"/>
      <w:kern w:val="0"/>
      <w:sz w:val="24"/>
    </w:rPr>
  </w:style>
  <w:style w:type="paragraph" w:customStyle="1" w:styleId="761">
    <w:name w:val="列出段落211"/>
    <w:basedOn w:val="1"/>
    <w:qFormat/>
    <w:uiPriority w:val="99"/>
    <w:pPr>
      <w:spacing w:line="360" w:lineRule="auto"/>
      <w:ind w:firstLine="420" w:firstLineChars="200"/>
    </w:pPr>
    <w:rPr>
      <w:rFonts w:ascii="Calibri" w:hAnsi="Calibri"/>
      <w:sz w:val="28"/>
      <w:szCs w:val="22"/>
    </w:rPr>
  </w:style>
  <w:style w:type="paragraph" w:customStyle="1" w:styleId="76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4"/>
    </w:rPr>
  </w:style>
  <w:style w:type="paragraph" w:customStyle="1" w:styleId="763">
    <w:name w:val="Char Char Char Char4"/>
    <w:basedOn w:val="1"/>
    <w:qFormat/>
    <w:uiPriority w:val="0"/>
    <w:pPr>
      <w:ind w:firstLine="200" w:firstLineChars="200"/>
    </w:pPr>
    <w:rPr>
      <w:rFonts w:ascii="宋体" w:hAnsi="宋体" w:cs="宋体"/>
      <w:sz w:val="24"/>
    </w:rPr>
  </w:style>
  <w:style w:type="paragraph" w:customStyle="1" w:styleId="764">
    <w:name w:val="xl12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color w:val="008000"/>
      <w:kern w:val="0"/>
      <w:sz w:val="20"/>
      <w:szCs w:val="20"/>
    </w:rPr>
  </w:style>
  <w:style w:type="paragraph" w:customStyle="1" w:styleId="765">
    <w:name w:val="内标题"/>
    <w:basedOn w:val="1"/>
    <w:next w:val="1"/>
    <w:qFormat/>
    <w:uiPriority w:val="0"/>
    <w:pPr>
      <w:jc w:val="center"/>
    </w:pPr>
    <w:rPr>
      <w:rFonts w:ascii="Arial" w:hAnsi="Arial" w:eastAsia="黑体"/>
      <w:sz w:val="44"/>
      <w:szCs w:val="22"/>
    </w:rPr>
  </w:style>
  <w:style w:type="paragraph" w:customStyle="1" w:styleId="766">
    <w:name w:val="正文文字 3"/>
    <w:basedOn w:val="1"/>
    <w:qFormat/>
    <w:uiPriority w:val="0"/>
    <w:pPr>
      <w:spacing w:after="120"/>
    </w:pPr>
    <w:rPr>
      <w:sz w:val="16"/>
      <w:szCs w:val="16"/>
    </w:rPr>
  </w:style>
  <w:style w:type="paragraph" w:customStyle="1" w:styleId="767">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18"/>
      <w:szCs w:val="18"/>
    </w:rPr>
  </w:style>
  <w:style w:type="paragraph" w:customStyle="1" w:styleId="768">
    <w:name w:val="正文111"/>
    <w:basedOn w:val="1"/>
    <w:qFormat/>
    <w:uiPriority w:val="0"/>
    <w:pPr>
      <w:snapToGrid w:val="0"/>
      <w:spacing w:afterLines="50" w:line="360" w:lineRule="auto"/>
      <w:ind w:firstLine="561" w:firstLineChars="443"/>
    </w:pPr>
    <w:rPr>
      <w:rFonts w:ascii="宋体" w:hAnsi="宋体"/>
      <w:color w:val="000000"/>
      <w:kern w:val="0"/>
      <w:sz w:val="24"/>
    </w:rPr>
  </w:style>
  <w:style w:type="paragraph" w:customStyle="1" w:styleId="769">
    <w:name w:val="custom_unionstyle"/>
    <w:basedOn w:val="1"/>
    <w:qFormat/>
    <w:uiPriority w:val="99"/>
    <w:pPr>
      <w:widowControl/>
      <w:spacing w:before="100" w:beforeAutospacing="1" w:after="100" w:afterAutospacing="1" w:line="360" w:lineRule="auto"/>
      <w:jc w:val="left"/>
    </w:pPr>
    <w:rPr>
      <w:rFonts w:ascii="宋体" w:hAnsi="宋体" w:cs="宋体"/>
      <w:kern w:val="0"/>
      <w:sz w:val="24"/>
    </w:rPr>
  </w:style>
  <w:style w:type="paragraph" w:customStyle="1" w:styleId="770">
    <w:name w:val="Char Char Char Char Char Char Char Char Char Char Char Char Char Char Char Char Char Char Char Char Char Char Char Char Char Char Char Char Char Char Char Char Char Char Char Char Char Char Char Char Char Char Char Char Char Char1"/>
    <w:basedOn w:val="1"/>
    <w:next w:val="1"/>
    <w:qFormat/>
    <w:uiPriority w:val="0"/>
    <w:pPr>
      <w:pBdr>
        <w:right w:val="single" w:color="auto" w:sz="12" w:space="4"/>
      </w:pBdr>
      <w:spacing w:line="360" w:lineRule="auto"/>
      <w:ind w:firstLine="200" w:firstLineChars="200"/>
    </w:pPr>
    <w:rPr>
      <w:sz w:val="28"/>
      <w:szCs w:val="20"/>
    </w:rPr>
  </w:style>
  <w:style w:type="paragraph" w:customStyle="1" w:styleId="771">
    <w:name w:val="xl332"/>
    <w:basedOn w:val="1"/>
    <w:qFormat/>
    <w:uiPriority w:val="0"/>
    <w:pPr>
      <w:widowControl/>
      <w:spacing w:before="100" w:beforeAutospacing="1" w:after="100" w:afterAutospacing="1"/>
      <w:jc w:val="center"/>
    </w:pPr>
    <w:rPr>
      <w:rFonts w:ascii="宋体" w:hAnsi="宋体" w:cs="宋体"/>
      <w:b/>
      <w:bCs/>
      <w:color w:val="000000"/>
      <w:kern w:val="0"/>
      <w:sz w:val="32"/>
      <w:szCs w:val="32"/>
    </w:rPr>
  </w:style>
  <w:style w:type="paragraph" w:customStyle="1" w:styleId="772">
    <w:name w:val="et30"/>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73">
    <w:name w:val="样式10"/>
    <w:basedOn w:val="1"/>
    <w:qFormat/>
    <w:uiPriority w:val="0"/>
    <w:pPr>
      <w:framePr w:hSpace="181" w:vSpace="181" w:wrap="around" w:vAnchor="text" w:hAnchor="text" w:y="1"/>
      <w:jc w:val="center"/>
    </w:pPr>
    <w:rPr>
      <w:rFonts w:ascii="宋体" w:hAnsi="宋体" w:cs="宋体"/>
      <w:sz w:val="22"/>
      <w:szCs w:val="22"/>
    </w:rPr>
  </w:style>
  <w:style w:type="paragraph" w:customStyle="1" w:styleId="774">
    <w:name w:val="xl83"/>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仿宋_GB2312" w:hAnsi="Arial Unicode MS" w:eastAsia="仿宋_GB2312" w:cs="Arial Unicode MS"/>
      <w:color w:val="000000"/>
      <w:kern w:val="0"/>
      <w:sz w:val="24"/>
    </w:rPr>
  </w:style>
  <w:style w:type="paragraph" w:customStyle="1" w:styleId="775">
    <w:name w:val="reader-word-layer reader-word-s6-1"/>
    <w:basedOn w:val="1"/>
    <w:qFormat/>
    <w:uiPriority w:val="99"/>
    <w:pPr>
      <w:widowControl/>
      <w:spacing w:before="100" w:beforeAutospacing="1" w:after="100" w:afterAutospacing="1" w:line="360" w:lineRule="auto"/>
      <w:jc w:val="left"/>
    </w:pPr>
    <w:rPr>
      <w:rFonts w:ascii="宋体" w:hAnsi="宋体" w:cs="宋体"/>
      <w:kern w:val="0"/>
      <w:sz w:val="24"/>
    </w:rPr>
  </w:style>
  <w:style w:type="paragraph" w:customStyle="1" w:styleId="776">
    <w:name w:val="Char Char Char Char Char Char Char Char Char Char Char Char Char Char Char Char Char Char Char Char Char Char Char Char Char Char Char Char Char Char Char Char Char Char Char Char Char Char Char Char Char Char Char Char Char Char8"/>
    <w:basedOn w:val="1"/>
    <w:next w:val="1"/>
    <w:qFormat/>
    <w:uiPriority w:val="0"/>
    <w:pPr>
      <w:pBdr>
        <w:right w:val="single" w:color="auto" w:sz="12" w:space="4"/>
      </w:pBdr>
      <w:spacing w:line="360" w:lineRule="auto"/>
      <w:ind w:firstLine="200" w:firstLineChars="200"/>
    </w:pPr>
    <w:rPr>
      <w:sz w:val="28"/>
      <w:szCs w:val="20"/>
    </w:rPr>
  </w:style>
  <w:style w:type="paragraph" w:customStyle="1" w:styleId="777">
    <w:name w:val="xl295"/>
    <w:basedOn w:val="1"/>
    <w:qFormat/>
    <w:uiPriority w:val="0"/>
    <w:pPr>
      <w:widowControl/>
      <w:pBdr>
        <w:top w:val="single" w:color="auto" w:sz="4" w:space="0"/>
        <w:bottom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77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779">
    <w:name w:val="gh_zw"/>
    <w:qFormat/>
    <w:uiPriority w:val="0"/>
    <w:pPr>
      <w:spacing w:beforeLines="50" w:afterLines="50" w:line="360" w:lineRule="auto"/>
      <w:ind w:firstLine="560" w:firstLineChars="200"/>
    </w:pPr>
    <w:rPr>
      <w:rFonts w:ascii="Times New Roman" w:hAnsi="Times New Roman" w:eastAsia="宋体" w:cs="Times New Roman"/>
      <w:sz w:val="28"/>
      <w:szCs w:val="22"/>
      <w:lang w:val="en-US" w:eastAsia="zh-CN" w:bidi="ar-SA"/>
    </w:rPr>
  </w:style>
  <w:style w:type="paragraph" w:customStyle="1" w:styleId="780">
    <w:name w:val="bt"/>
    <w:basedOn w:val="1"/>
    <w:qFormat/>
    <w:uiPriority w:val="0"/>
    <w:pPr>
      <w:adjustRightInd w:val="0"/>
      <w:snapToGrid w:val="0"/>
      <w:spacing w:beforeLines="50"/>
      <w:jc w:val="center"/>
    </w:pPr>
    <w:rPr>
      <w:rFonts w:ascii="黑体" w:eastAsia="黑体" w:cs="宋体"/>
      <w:bCs/>
      <w:color w:val="000000"/>
      <w:kern w:val="0"/>
      <w:sz w:val="24"/>
    </w:rPr>
  </w:style>
  <w:style w:type="paragraph" w:customStyle="1" w:styleId="781">
    <w:name w:val="目录 61"/>
    <w:basedOn w:val="1"/>
    <w:next w:val="1"/>
    <w:qFormat/>
    <w:uiPriority w:val="39"/>
    <w:pPr>
      <w:spacing w:line="360" w:lineRule="auto"/>
      <w:ind w:left="1400" w:firstLine="200" w:firstLineChars="200"/>
      <w:jc w:val="left"/>
    </w:pPr>
    <w:rPr>
      <w:rFonts w:ascii="Calibri" w:hAnsi="Calibri" w:cs="Calibri"/>
      <w:sz w:val="18"/>
      <w:szCs w:val="18"/>
    </w:rPr>
  </w:style>
  <w:style w:type="paragraph" w:customStyle="1" w:styleId="782">
    <w:name w:val="xl9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color w:val="000000"/>
      <w:kern w:val="0"/>
      <w:sz w:val="24"/>
    </w:rPr>
  </w:style>
  <w:style w:type="paragraph" w:customStyle="1" w:styleId="783">
    <w:name w:val="Char40"/>
    <w:basedOn w:val="1"/>
    <w:qFormat/>
    <w:uiPriority w:val="0"/>
    <w:pPr>
      <w:spacing w:line="360" w:lineRule="auto"/>
      <w:ind w:firstLine="200" w:firstLineChars="200"/>
    </w:pPr>
    <w:rPr>
      <w:rFonts w:ascii="宋体" w:hAnsi="宋体" w:cs="宋体"/>
      <w:sz w:val="24"/>
    </w:rPr>
  </w:style>
  <w:style w:type="paragraph" w:customStyle="1" w:styleId="784">
    <w:name w:val="附件标题"/>
    <w:basedOn w:val="2"/>
    <w:next w:val="422"/>
    <w:qFormat/>
    <w:uiPriority w:val="0"/>
    <w:pPr>
      <w:tabs>
        <w:tab w:val="clear" w:pos="360"/>
      </w:tabs>
      <w:adjustRightInd/>
      <w:spacing w:before="0" w:line="480" w:lineRule="auto"/>
      <w:ind w:left="0" w:leftChars="0" w:right="0" w:rightChars="0" w:firstLine="640"/>
      <w:jc w:val="both"/>
    </w:pPr>
    <w:rPr>
      <w:rFonts w:ascii="Arial" w:hAnsi="Arial" w:eastAsia="宋体"/>
      <w:b w:val="0"/>
      <w:bCs/>
      <w:sz w:val="36"/>
      <w:szCs w:val="36"/>
    </w:rPr>
  </w:style>
  <w:style w:type="paragraph" w:customStyle="1" w:styleId="78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786">
    <w:name w:val="纯文本1"/>
    <w:basedOn w:val="1"/>
    <w:next w:val="28"/>
    <w:qFormat/>
    <w:uiPriority w:val="99"/>
    <w:pPr>
      <w:spacing w:beforeLines="50" w:afterLines="50" w:line="360" w:lineRule="auto"/>
      <w:ind w:firstLine="200" w:firstLineChars="200"/>
    </w:pPr>
    <w:rPr>
      <w:rFonts w:ascii="宋体" w:hAnsi="Courier New" w:cs="Courier New"/>
      <w:szCs w:val="21"/>
    </w:rPr>
  </w:style>
  <w:style w:type="paragraph" w:customStyle="1" w:styleId="787">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Arial Unicode MS" w:eastAsia="仿宋_GB2312" w:cs="Arial Unicode MS"/>
      <w:color w:val="000000"/>
      <w:kern w:val="0"/>
      <w:sz w:val="24"/>
    </w:rPr>
  </w:style>
  <w:style w:type="paragraph" w:customStyle="1" w:styleId="788">
    <w:name w:val="样式 首行缩进:  1.01 厘米"/>
    <w:basedOn w:val="1"/>
    <w:qFormat/>
    <w:uiPriority w:val="0"/>
    <w:pPr>
      <w:spacing w:line="360" w:lineRule="auto"/>
      <w:ind w:firstLine="1928" w:firstLineChars="800"/>
    </w:pPr>
    <w:rPr>
      <w:b/>
      <w:kern w:val="0"/>
      <w:sz w:val="24"/>
    </w:rPr>
  </w:style>
  <w:style w:type="paragraph" w:customStyle="1" w:styleId="789">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90">
    <w:name w:val="样式6"/>
    <w:basedOn w:val="3"/>
    <w:next w:val="3"/>
    <w:qFormat/>
    <w:uiPriority w:val="0"/>
    <w:pPr>
      <w:spacing w:before="0" w:after="0" w:line="360" w:lineRule="auto"/>
      <w:jc w:val="both"/>
    </w:pPr>
    <w:rPr>
      <w:rFonts w:ascii="Times New Roman" w:hAnsi="Times New Roman" w:eastAsia="宋体"/>
      <w:szCs w:val="30"/>
    </w:rPr>
  </w:style>
  <w:style w:type="paragraph" w:customStyle="1" w:styleId="791">
    <w:name w:val="样式 页眉 + 两端对齐 底端: (单实线 自动设置  0.75 磅 行宽 距正文:  2 磅 边框间距: )"/>
    <w:basedOn w:val="35"/>
    <w:qFormat/>
    <w:uiPriority w:val="0"/>
    <w:pPr>
      <w:pBdr>
        <w:top w:val="none" w:color="auto" w:sz="0" w:space="0"/>
        <w:left w:val="none" w:color="auto" w:sz="0" w:space="0"/>
        <w:bottom w:val="none" w:color="auto" w:sz="0" w:space="0"/>
        <w:right w:val="none" w:color="auto" w:sz="0" w:space="0"/>
      </w:pBdr>
    </w:pPr>
    <w:rPr>
      <w:rFonts w:cs="宋体"/>
      <w:szCs w:val="20"/>
    </w:rPr>
  </w:style>
  <w:style w:type="paragraph" w:customStyle="1" w:styleId="792">
    <w:name w:val="Char Char Char Char Char Char Char Char Char Char Char Char Char Char Char Char Char Char Char Char Char Char Char Char Char Char Char Char Char Char Char Char Char Char Char Char Char Char Char Char Char Char Char Char Char Char"/>
    <w:basedOn w:val="1"/>
    <w:next w:val="1"/>
    <w:qFormat/>
    <w:uiPriority w:val="0"/>
    <w:pPr>
      <w:pBdr>
        <w:right w:val="single" w:color="auto" w:sz="12" w:space="4"/>
      </w:pBdr>
      <w:spacing w:line="360" w:lineRule="auto"/>
      <w:ind w:firstLine="200" w:firstLineChars="200"/>
    </w:pPr>
    <w:rPr>
      <w:rFonts w:ascii="宋体" w:hAnsi="宋体" w:cs="宋体"/>
      <w:sz w:val="28"/>
    </w:rPr>
  </w:style>
  <w:style w:type="paragraph" w:customStyle="1" w:styleId="793">
    <w:name w:val="reader-word-layer"/>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4"/>
    </w:rPr>
  </w:style>
  <w:style w:type="paragraph" w:customStyle="1" w:styleId="794">
    <w:name w:val="题注1"/>
    <w:basedOn w:val="1"/>
    <w:next w:val="1"/>
    <w:qFormat/>
    <w:uiPriority w:val="35"/>
    <w:pPr>
      <w:spacing w:line="360" w:lineRule="auto"/>
      <w:ind w:firstLine="200" w:firstLineChars="200"/>
    </w:pPr>
    <w:rPr>
      <w:rFonts w:ascii="Cambria" w:hAnsi="Cambria" w:eastAsia="黑体"/>
      <w:sz w:val="20"/>
      <w:szCs w:val="20"/>
    </w:rPr>
  </w:style>
  <w:style w:type="paragraph" w:customStyle="1" w:styleId="795">
    <w:name w:val="样式 标题 3 + 宋体 小四 非加粗 段前: 0 磅 段后: 0 磅 行距: 固定值 24 磅1"/>
    <w:basedOn w:val="4"/>
    <w:qFormat/>
    <w:uiPriority w:val="0"/>
    <w:pPr>
      <w:spacing w:before="0" w:after="0" w:line="480" w:lineRule="exact"/>
    </w:pPr>
    <w:rPr>
      <w:rFonts w:ascii="宋体" w:hAnsi="宋体" w:eastAsia="黑体" w:cs="宋体"/>
      <w:b w:val="0"/>
      <w:kern w:val="0"/>
      <w:sz w:val="24"/>
      <w:szCs w:val="20"/>
    </w:rPr>
  </w:style>
  <w:style w:type="paragraph" w:customStyle="1" w:styleId="796">
    <w:name w:val="xl1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797">
    <w:name w:val="Char Char Char1 Char4"/>
    <w:basedOn w:val="1"/>
    <w:next w:val="1"/>
    <w:qFormat/>
    <w:uiPriority w:val="0"/>
    <w:pPr>
      <w:spacing w:line="360" w:lineRule="auto"/>
      <w:ind w:firstLine="200" w:firstLineChars="200"/>
    </w:pPr>
    <w:rPr>
      <w:rFonts w:ascii="宋体" w:hAnsi="宋体" w:cs="宋体"/>
      <w:sz w:val="24"/>
    </w:rPr>
  </w:style>
  <w:style w:type="paragraph" w:customStyle="1" w:styleId="798">
    <w:name w:val="01章前海一期"/>
    <w:basedOn w:val="1"/>
    <w:qFormat/>
    <w:uiPriority w:val="99"/>
    <w:pPr>
      <w:tabs>
        <w:tab w:val="left" w:pos="2160"/>
      </w:tabs>
      <w:overflowPunct w:val="0"/>
      <w:spacing w:beforeLines="50" w:afterLines="50" w:line="360" w:lineRule="auto"/>
      <w:ind w:left="2160"/>
      <w:jc w:val="center"/>
      <w:outlineLvl w:val="0"/>
    </w:pPr>
    <w:rPr>
      <w:rFonts w:ascii="宋体" w:hAnsi="黑体"/>
      <w:kern w:val="44"/>
      <w:sz w:val="24"/>
      <w:szCs w:val="32"/>
    </w:rPr>
  </w:style>
  <w:style w:type="paragraph" w:customStyle="1" w:styleId="799">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00">
    <w:name w:val="样式 样式 样式 标题 3标题 33 + 段前: 0.5 行 + 段前: 0.5 行 + 段前: 6 磅 段后: 0.5 行"/>
    <w:basedOn w:val="1"/>
    <w:qFormat/>
    <w:uiPriority w:val="0"/>
    <w:pPr>
      <w:keepNext/>
      <w:keepLines/>
      <w:adjustRightInd w:val="0"/>
      <w:snapToGrid w:val="0"/>
      <w:spacing w:line="360" w:lineRule="auto"/>
      <w:outlineLvl w:val="2"/>
    </w:pPr>
    <w:rPr>
      <w:rFonts w:ascii="黑体" w:hAnsi="宋体" w:eastAsia="黑体" w:cs="宋体"/>
      <w:kern w:val="0"/>
      <w:sz w:val="24"/>
      <w:szCs w:val="20"/>
    </w:rPr>
  </w:style>
  <w:style w:type="paragraph" w:customStyle="1" w:styleId="801">
    <w:name w:val="样式 宋体 四号 行距: 固定值 30 磅"/>
    <w:basedOn w:val="1"/>
    <w:qFormat/>
    <w:uiPriority w:val="99"/>
    <w:pPr>
      <w:spacing w:beforeLines="50" w:line="600" w:lineRule="exact"/>
      <w:ind w:firstLine="197" w:firstLineChars="197"/>
      <w:jc w:val="left"/>
    </w:pPr>
    <w:rPr>
      <w:rFonts w:ascii="宋体" w:hAnsi="宋体" w:cs="宋体"/>
      <w:sz w:val="28"/>
      <w:szCs w:val="20"/>
    </w:rPr>
  </w:style>
  <w:style w:type="paragraph" w:customStyle="1" w:styleId="802">
    <w:name w:val="黑宋体"/>
    <w:basedOn w:val="5"/>
    <w:qFormat/>
    <w:uiPriority w:val="0"/>
    <w:pPr>
      <w:keepNext/>
      <w:keepLines/>
      <w:tabs>
        <w:tab w:val="clear" w:pos="2155"/>
      </w:tabs>
      <w:adjustRightInd/>
      <w:spacing w:before="0"/>
      <w:ind w:left="0" w:firstLine="0"/>
      <w:textAlignment w:val="baseline"/>
      <w:outlineLvl w:val="9"/>
    </w:pPr>
    <w:rPr>
      <w:rFonts w:ascii="宋体" w:hAnsi="宋体" w:eastAsia="宋体"/>
      <w:bCs/>
      <w:color w:val="000000"/>
      <w:kern w:val="0"/>
      <w:sz w:val="24"/>
      <w:szCs w:val="28"/>
    </w:rPr>
  </w:style>
  <w:style w:type="paragraph" w:customStyle="1" w:styleId="803">
    <w:name w:val="et5"/>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804">
    <w:name w:val="font14"/>
    <w:basedOn w:val="1"/>
    <w:qFormat/>
    <w:uiPriority w:val="0"/>
    <w:pPr>
      <w:widowControl/>
      <w:spacing w:before="100" w:beforeAutospacing="1" w:after="100" w:afterAutospacing="1"/>
      <w:jc w:val="left"/>
    </w:pPr>
    <w:rPr>
      <w:rFonts w:ascii="宋体" w:hAnsi="宋体" w:cs="Arial Unicode MS"/>
      <w:color w:val="0000FF"/>
      <w:kern w:val="0"/>
      <w:sz w:val="19"/>
      <w:szCs w:val="19"/>
    </w:rPr>
  </w:style>
  <w:style w:type="paragraph" w:customStyle="1" w:styleId="805">
    <w:name w:val="xl7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Arial Unicode MS" w:eastAsia="仿宋_GB2312" w:cs="Arial Unicode MS"/>
      <w:color w:val="000000"/>
      <w:kern w:val="0"/>
      <w:sz w:val="24"/>
    </w:rPr>
  </w:style>
  <w:style w:type="paragraph" w:customStyle="1" w:styleId="806">
    <w:name w:val="p15"/>
    <w:basedOn w:val="1"/>
    <w:qFormat/>
    <w:uiPriority w:val="99"/>
    <w:pPr>
      <w:widowControl/>
      <w:spacing w:line="360" w:lineRule="auto"/>
      <w:jc w:val="left"/>
    </w:pPr>
    <w:rPr>
      <w:kern w:val="0"/>
      <w:sz w:val="28"/>
      <w:szCs w:val="21"/>
    </w:rPr>
  </w:style>
  <w:style w:type="paragraph" w:customStyle="1" w:styleId="807">
    <w:name w:val="xl90"/>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Unicode MS" w:hAnsi="Arial Unicode MS" w:cs="Arial Unicode MS"/>
      <w:kern w:val="0"/>
      <w:sz w:val="24"/>
    </w:rPr>
  </w:style>
  <w:style w:type="paragraph" w:customStyle="1" w:styleId="808">
    <w:name w:val="xl85"/>
    <w:basedOn w:val="1"/>
    <w:qFormat/>
    <w:uiPriority w:val="0"/>
    <w:pPr>
      <w:widowControl/>
      <w:pBdr>
        <w:top w:val="single" w:color="auto" w:sz="8" w:space="0"/>
        <w:bottom w:val="single" w:color="auto" w:sz="4" w:space="0"/>
        <w:right w:val="single" w:color="auto" w:sz="8" w:space="0"/>
      </w:pBdr>
      <w:spacing w:before="100" w:beforeAutospacing="1" w:after="100" w:afterAutospacing="1"/>
      <w:jc w:val="center"/>
      <w:textAlignment w:val="center"/>
    </w:pPr>
    <w:rPr>
      <w:rFonts w:ascii="仿宋_GB2312" w:hAnsi="Arial Unicode MS" w:eastAsia="仿宋_GB2312" w:cs="Arial Unicode MS"/>
      <w:color w:val="000000"/>
      <w:kern w:val="0"/>
      <w:sz w:val="24"/>
    </w:rPr>
  </w:style>
  <w:style w:type="paragraph" w:customStyle="1" w:styleId="809">
    <w:name w:val="WPSOffice手动目录 1"/>
    <w:qFormat/>
    <w:uiPriority w:val="0"/>
    <w:rPr>
      <w:rFonts w:ascii="Times New Roman" w:hAnsi="Times New Roman" w:eastAsia="宋体" w:cs="Times New Roman"/>
      <w:lang w:val="en-US" w:eastAsia="zh-CN" w:bidi="ar-SA"/>
    </w:rPr>
  </w:style>
  <w:style w:type="paragraph" w:customStyle="1" w:styleId="810">
    <w:name w:val="xl36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811">
    <w:name w:val="表中"/>
    <w:basedOn w:val="1"/>
    <w:qFormat/>
    <w:uiPriority w:val="0"/>
    <w:pPr>
      <w:adjustRightInd w:val="0"/>
      <w:spacing w:line="360" w:lineRule="atLeast"/>
      <w:jc w:val="center"/>
      <w:textAlignment w:val="baseline"/>
    </w:pPr>
    <w:rPr>
      <w:kern w:val="0"/>
      <w:szCs w:val="20"/>
    </w:rPr>
  </w:style>
  <w:style w:type="paragraph" w:customStyle="1" w:styleId="812">
    <w:name w:val="Char Char Char1 Char Char Char Char Char Char Char Char Char Char Char Char Char Char Char Char Char Char Char Char Char Char Char Char Char"/>
    <w:basedOn w:val="1"/>
    <w:qFormat/>
    <w:uiPriority w:val="0"/>
    <w:pPr>
      <w:ind w:firstLine="200" w:firstLineChars="200"/>
    </w:pPr>
    <w:rPr>
      <w:rFonts w:ascii="宋体" w:hAnsi="宋体" w:cs="宋体"/>
      <w:sz w:val="24"/>
    </w:rPr>
  </w:style>
  <w:style w:type="paragraph" w:customStyle="1" w:styleId="813">
    <w:name w:val="xl80"/>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仿宋_GB2312" w:hAnsi="Arial Unicode MS" w:eastAsia="仿宋_GB2312" w:cs="Arial Unicode MS"/>
      <w:color w:val="000000"/>
      <w:kern w:val="0"/>
      <w:sz w:val="24"/>
    </w:rPr>
  </w:style>
  <w:style w:type="paragraph" w:customStyle="1" w:styleId="814">
    <w:name w:val="表格文字1 五号 居中"/>
    <w:basedOn w:val="1"/>
    <w:qFormat/>
    <w:uiPriority w:val="99"/>
    <w:pPr>
      <w:jc w:val="center"/>
    </w:pPr>
    <w:rPr>
      <w:rFonts w:ascii="宋体" w:hAnsi="宋体"/>
      <w:szCs w:val="21"/>
    </w:rPr>
  </w:style>
  <w:style w:type="paragraph" w:customStyle="1" w:styleId="815">
    <w:name w:val="Char19"/>
    <w:basedOn w:val="1"/>
    <w:qFormat/>
    <w:uiPriority w:val="0"/>
    <w:pPr>
      <w:spacing w:line="360" w:lineRule="auto"/>
      <w:ind w:firstLine="200" w:firstLineChars="200"/>
    </w:pPr>
    <w:rPr>
      <w:rFonts w:ascii="宋体" w:hAnsi="宋体" w:cs="宋体"/>
      <w:sz w:val="24"/>
    </w:rPr>
  </w:style>
  <w:style w:type="paragraph" w:customStyle="1" w:styleId="816">
    <w:name w:val="et16"/>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817">
    <w:name w:val="正文文字缩进"/>
    <w:basedOn w:val="1"/>
    <w:qFormat/>
    <w:uiPriority w:val="0"/>
    <w:pPr>
      <w:spacing w:line="360" w:lineRule="auto"/>
      <w:ind w:firstLine="482"/>
    </w:pPr>
    <w:rPr>
      <w:rFonts w:ascii="宋体" w:hAnsi="宋体" w:cs="宋体"/>
      <w:sz w:val="24"/>
    </w:rPr>
  </w:style>
  <w:style w:type="paragraph" w:customStyle="1" w:styleId="818">
    <w:name w:val="xl33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819">
    <w:name w:val="TOC 标题112"/>
    <w:basedOn w:val="2"/>
    <w:next w:val="1"/>
    <w:qFormat/>
    <w:uiPriority w:val="99"/>
    <w:pPr>
      <w:widowControl/>
      <w:tabs>
        <w:tab w:val="clear" w:pos="360"/>
      </w:tabs>
      <w:adjustRightInd/>
      <w:spacing w:before="0" w:line="276" w:lineRule="auto"/>
      <w:ind w:left="0" w:leftChars="0" w:right="0" w:rightChars="0" w:firstLine="0"/>
      <w:outlineLvl w:val="9"/>
    </w:pPr>
    <w:rPr>
      <w:rFonts w:ascii="Cambria" w:hAnsi="Cambria" w:eastAsia="宋体"/>
      <w:bCs/>
      <w:color w:val="365F91"/>
      <w:kern w:val="0"/>
      <w:szCs w:val="28"/>
    </w:rPr>
  </w:style>
  <w:style w:type="paragraph" w:customStyle="1" w:styleId="820">
    <w:name w:val="xl359"/>
    <w:basedOn w:val="1"/>
    <w:qFormat/>
    <w:uiPriority w:val="0"/>
    <w:pPr>
      <w:widowControl/>
      <w:pBdr>
        <w:right w:val="single" w:color="auto" w:sz="4" w:space="0"/>
      </w:pBdr>
      <w:spacing w:before="100" w:beforeAutospacing="1" w:after="100" w:afterAutospacing="1"/>
      <w:jc w:val="left"/>
    </w:pPr>
    <w:rPr>
      <w:rFonts w:ascii="宋体" w:hAnsi="宋体" w:cs="宋体"/>
      <w:kern w:val="0"/>
      <w:sz w:val="20"/>
      <w:szCs w:val="20"/>
    </w:rPr>
  </w:style>
  <w:style w:type="paragraph" w:customStyle="1" w:styleId="821">
    <w:name w:val="xl361"/>
    <w:basedOn w:val="1"/>
    <w:qFormat/>
    <w:uiPriority w:val="0"/>
    <w:pPr>
      <w:widowControl/>
      <w:pBdr>
        <w:bottom w:val="single" w:color="auto" w:sz="4" w:space="0"/>
      </w:pBdr>
      <w:spacing w:before="100" w:beforeAutospacing="1" w:after="100" w:afterAutospacing="1"/>
      <w:jc w:val="left"/>
    </w:pPr>
    <w:rPr>
      <w:rFonts w:ascii="宋体" w:hAnsi="宋体" w:cs="宋体"/>
      <w:kern w:val="0"/>
      <w:sz w:val="20"/>
      <w:szCs w:val="20"/>
    </w:rPr>
  </w:style>
  <w:style w:type="paragraph" w:customStyle="1" w:styleId="822">
    <w:name w:val="xl300"/>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 w:val="20"/>
      <w:szCs w:val="20"/>
    </w:rPr>
  </w:style>
  <w:style w:type="paragraph" w:customStyle="1" w:styleId="82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18"/>
      <w:szCs w:val="18"/>
    </w:rPr>
  </w:style>
  <w:style w:type="paragraph" w:customStyle="1" w:styleId="824">
    <w:name w:val="Char44"/>
    <w:basedOn w:val="1"/>
    <w:qFormat/>
    <w:uiPriority w:val="0"/>
    <w:pPr>
      <w:spacing w:line="360" w:lineRule="auto"/>
      <w:ind w:firstLine="200" w:firstLineChars="200"/>
    </w:pPr>
    <w:rPr>
      <w:rFonts w:ascii="宋体" w:hAnsi="宋体" w:cs="宋体"/>
      <w:sz w:val="24"/>
    </w:rPr>
  </w:style>
  <w:style w:type="paragraph" w:customStyle="1" w:styleId="82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826">
    <w:name w:val="Char25"/>
    <w:basedOn w:val="1"/>
    <w:qFormat/>
    <w:uiPriority w:val="0"/>
    <w:pPr>
      <w:spacing w:line="360" w:lineRule="auto"/>
      <w:ind w:firstLine="200" w:firstLineChars="200"/>
    </w:pPr>
    <w:rPr>
      <w:rFonts w:ascii="宋体" w:hAnsi="宋体" w:cs="宋体"/>
      <w:sz w:val="24"/>
    </w:rPr>
  </w:style>
  <w:style w:type="paragraph" w:customStyle="1" w:styleId="827">
    <w:name w:val="Char Char Char"/>
    <w:basedOn w:val="1"/>
    <w:qFormat/>
    <w:uiPriority w:val="0"/>
    <w:pPr>
      <w:widowControl/>
      <w:tabs>
        <w:tab w:val="left" w:pos="3600"/>
      </w:tabs>
      <w:spacing w:after="160" w:line="520" w:lineRule="exact"/>
      <w:ind w:firstLine="640" w:firstLineChars="200"/>
    </w:pPr>
    <w:rPr>
      <w:rFonts w:ascii="Tahoma" w:hAnsi="Tahoma"/>
      <w:sz w:val="28"/>
      <w:szCs w:val="28"/>
    </w:rPr>
  </w:style>
  <w:style w:type="paragraph" w:customStyle="1" w:styleId="828">
    <w:name w:val="Char22"/>
    <w:basedOn w:val="1"/>
    <w:qFormat/>
    <w:uiPriority w:val="0"/>
  </w:style>
  <w:style w:type="paragraph" w:customStyle="1" w:styleId="829">
    <w:name w:val="Char36"/>
    <w:basedOn w:val="1"/>
    <w:qFormat/>
    <w:uiPriority w:val="0"/>
    <w:pPr>
      <w:spacing w:line="360" w:lineRule="auto"/>
      <w:ind w:firstLine="200" w:firstLineChars="200"/>
    </w:pPr>
    <w:rPr>
      <w:rFonts w:ascii="宋体" w:hAnsi="宋体" w:cs="宋体"/>
      <w:sz w:val="24"/>
    </w:rPr>
  </w:style>
  <w:style w:type="paragraph" w:customStyle="1" w:styleId="83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_GB2312" w:hAnsi="Arial Unicode MS" w:eastAsia="仿宋_GB2312" w:cs="Arial Unicode MS"/>
      <w:b/>
      <w:bCs/>
      <w:color w:val="000000"/>
      <w:kern w:val="0"/>
      <w:sz w:val="24"/>
    </w:rPr>
  </w:style>
  <w:style w:type="paragraph" w:customStyle="1" w:styleId="831">
    <w:name w:val="reader-word-layer reader-word-s6-5 reader-word-s6-7"/>
    <w:basedOn w:val="1"/>
    <w:qFormat/>
    <w:uiPriority w:val="99"/>
    <w:pPr>
      <w:widowControl/>
      <w:spacing w:before="100" w:beforeAutospacing="1" w:after="100" w:afterAutospacing="1" w:line="360" w:lineRule="auto"/>
      <w:jc w:val="left"/>
    </w:pPr>
    <w:rPr>
      <w:rFonts w:ascii="宋体" w:hAnsi="宋体" w:cs="宋体"/>
      <w:kern w:val="0"/>
      <w:sz w:val="24"/>
    </w:rPr>
  </w:style>
  <w:style w:type="paragraph" w:customStyle="1" w:styleId="832">
    <w:name w:val="Char Char Char1 Char Char Char Char1"/>
    <w:basedOn w:val="1"/>
    <w:next w:val="1"/>
    <w:qFormat/>
    <w:uiPriority w:val="0"/>
    <w:pPr>
      <w:spacing w:line="360" w:lineRule="auto"/>
      <w:ind w:firstLine="200" w:firstLineChars="200"/>
    </w:pPr>
    <w:rPr>
      <w:rFonts w:ascii="宋体" w:hAnsi="宋体" w:cs="宋体"/>
      <w:sz w:val="24"/>
    </w:rPr>
  </w:style>
  <w:style w:type="paragraph" w:customStyle="1" w:styleId="833">
    <w:name w:val="HZZH标题—2"/>
    <w:basedOn w:val="3"/>
    <w:next w:val="834"/>
    <w:qFormat/>
    <w:uiPriority w:val="0"/>
    <w:pPr>
      <w:numPr>
        <w:ilvl w:val="1"/>
        <w:numId w:val="2"/>
      </w:numPr>
      <w:tabs>
        <w:tab w:val="clear" w:pos="1559"/>
      </w:tabs>
      <w:spacing w:before="0" w:after="0" w:line="240" w:lineRule="auto"/>
      <w:ind w:left="0" w:firstLine="0"/>
    </w:pPr>
    <w:rPr>
      <w:rFonts w:ascii="黑体" w:hAnsi="黑体" w:eastAsia="宋体"/>
      <w:color w:val="000000"/>
    </w:rPr>
  </w:style>
  <w:style w:type="paragraph" w:customStyle="1" w:styleId="834">
    <w:name w:val="HZZH标题—3"/>
    <w:basedOn w:val="4"/>
    <w:next w:val="1"/>
    <w:qFormat/>
    <w:uiPriority w:val="0"/>
    <w:pPr>
      <w:numPr>
        <w:ilvl w:val="3"/>
        <w:numId w:val="2"/>
      </w:numPr>
      <w:tabs>
        <w:tab w:val="clear" w:pos="3060"/>
      </w:tabs>
      <w:spacing w:before="0" w:after="0" w:line="240" w:lineRule="auto"/>
      <w:ind w:left="747" w:hanging="747"/>
      <w:jc w:val="left"/>
    </w:pPr>
    <w:rPr>
      <w:rFonts w:ascii="黑体" w:eastAsia="黑体"/>
      <w:bCs/>
      <w:color w:val="000000"/>
      <w:kern w:val="0"/>
      <w:szCs w:val="28"/>
    </w:rPr>
  </w:style>
  <w:style w:type="paragraph" w:customStyle="1" w:styleId="835">
    <w:name w:val="xl82"/>
    <w:basedOn w:val="1"/>
    <w:qFormat/>
    <w:uiPriority w:val="0"/>
    <w:pPr>
      <w:widowControl/>
      <w:spacing w:before="100" w:beforeAutospacing="1" w:after="100" w:afterAutospacing="1"/>
      <w:jc w:val="center"/>
    </w:pPr>
    <w:rPr>
      <w:rFonts w:ascii="仿宋_GB2312" w:hAnsi="Arial Unicode MS" w:eastAsia="仿宋_GB2312" w:cs="Arial Unicode MS"/>
      <w:b/>
      <w:bCs/>
      <w:color w:val="000000"/>
      <w:kern w:val="0"/>
      <w:sz w:val="44"/>
      <w:szCs w:val="44"/>
    </w:rPr>
  </w:style>
  <w:style w:type="paragraph" w:customStyle="1" w:styleId="836">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cs="Arial Unicode MS"/>
      <w:color w:val="0000FF"/>
      <w:kern w:val="0"/>
      <w:sz w:val="20"/>
      <w:szCs w:val="20"/>
    </w:rPr>
  </w:style>
  <w:style w:type="paragraph" w:customStyle="1" w:styleId="837">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center"/>
      <w:textAlignment w:val="center"/>
    </w:pPr>
    <w:rPr>
      <w:rFonts w:ascii="Arial Narrow" w:hAnsi="Arial Narrow" w:cs="Arial Unicode MS"/>
      <w:b/>
      <w:bCs/>
      <w:kern w:val="0"/>
      <w:sz w:val="19"/>
      <w:szCs w:val="19"/>
    </w:rPr>
  </w:style>
  <w:style w:type="paragraph" w:customStyle="1" w:styleId="838">
    <w:name w:val="xl343"/>
    <w:basedOn w:val="1"/>
    <w:qFormat/>
    <w:uiPriority w:val="0"/>
    <w:pPr>
      <w:widowControl/>
      <w:pBdr>
        <w:left w:val="single" w:color="auto" w:sz="4" w:space="0"/>
      </w:pBdr>
      <w:spacing w:before="100" w:beforeAutospacing="1" w:after="100" w:afterAutospacing="1"/>
      <w:jc w:val="left"/>
    </w:pPr>
    <w:rPr>
      <w:rFonts w:ascii="宋体" w:hAnsi="宋体" w:cs="宋体"/>
      <w:kern w:val="0"/>
      <w:sz w:val="20"/>
      <w:szCs w:val="20"/>
    </w:rPr>
  </w:style>
  <w:style w:type="paragraph" w:customStyle="1" w:styleId="839">
    <w:name w:val="xl307"/>
    <w:basedOn w:val="1"/>
    <w:qFormat/>
    <w:uiPriority w:val="0"/>
    <w:pPr>
      <w:widowControl/>
      <w:pBdr>
        <w:bottom w:val="single" w:color="auto" w:sz="4" w:space="0"/>
      </w:pBdr>
      <w:spacing w:before="100" w:beforeAutospacing="1" w:after="100" w:afterAutospacing="1"/>
      <w:jc w:val="left"/>
    </w:pPr>
    <w:rPr>
      <w:rFonts w:ascii="宋体" w:hAnsi="宋体" w:cs="宋体"/>
      <w:kern w:val="0"/>
      <w:sz w:val="20"/>
      <w:szCs w:val="20"/>
    </w:rPr>
  </w:style>
  <w:style w:type="paragraph" w:customStyle="1" w:styleId="840">
    <w:name w:val="已有表格"/>
    <w:basedOn w:val="1"/>
    <w:qFormat/>
    <w:uiPriority w:val="0"/>
    <w:pPr>
      <w:adjustRightInd w:val="0"/>
      <w:spacing w:before="40" w:after="40"/>
      <w:jc w:val="center"/>
      <w:textAlignment w:val="baseline"/>
    </w:pPr>
    <w:rPr>
      <w:b/>
      <w:kern w:val="0"/>
      <w:sz w:val="24"/>
      <w:szCs w:val="20"/>
    </w:rPr>
  </w:style>
  <w:style w:type="paragraph" w:customStyle="1" w:styleId="841">
    <w:name w:val="3 Char Char Char Char Char Char Char Char Char Char"/>
    <w:basedOn w:val="1"/>
    <w:qFormat/>
    <w:uiPriority w:val="0"/>
    <w:pPr>
      <w:snapToGrid w:val="0"/>
      <w:spacing w:line="360" w:lineRule="auto"/>
      <w:ind w:firstLine="200" w:firstLineChars="200"/>
    </w:pPr>
    <w:rPr>
      <w:rFonts w:eastAsia="仿宋_GB2312"/>
      <w:sz w:val="24"/>
    </w:rPr>
  </w:style>
  <w:style w:type="paragraph" w:customStyle="1" w:styleId="842">
    <w:name w:val="目录 91"/>
    <w:basedOn w:val="1"/>
    <w:next w:val="1"/>
    <w:qFormat/>
    <w:uiPriority w:val="39"/>
    <w:pPr>
      <w:spacing w:line="360" w:lineRule="auto"/>
      <w:ind w:left="2240" w:firstLine="200" w:firstLineChars="200"/>
      <w:jc w:val="left"/>
    </w:pPr>
    <w:rPr>
      <w:rFonts w:ascii="Calibri" w:hAnsi="Calibri" w:cs="Calibri"/>
      <w:sz w:val="18"/>
      <w:szCs w:val="18"/>
    </w:rPr>
  </w:style>
  <w:style w:type="paragraph" w:customStyle="1" w:styleId="843">
    <w:name w:val="04款前海一期"/>
    <w:basedOn w:val="1"/>
    <w:qFormat/>
    <w:uiPriority w:val="99"/>
    <w:pPr>
      <w:spacing w:beforeLines="50" w:afterLines="50" w:line="360" w:lineRule="auto"/>
    </w:pPr>
    <w:rPr>
      <w:rFonts w:ascii="宋体"/>
      <w:sz w:val="24"/>
      <w:szCs w:val="30"/>
    </w:rPr>
  </w:style>
  <w:style w:type="paragraph" w:customStyle="1" w:styleId="844">
    <w:name w:val="Char21"/>
    <w:basedOn w:val="1"/>
    <w:qFormat/>
    <w:uiPriority w:val="0"/>
    <w:pPr>
      <w:spacing w:line="360" w:lineRule="auto"/>
      <w:ind w:firstLine="200" w:firstLineChars="200"/>
    </w:pPr>
    <w:rPr>
      <w:rFonts w:ascii="宋体" w:hAnsi="宋体" w:cs="宋体"/>
      <w:sz w:val="24"/>
    </w:rPr>
  </w:style>
  <w:style w:type="paragraph" w:customStyle="1" w:styleId="845">
    <w:name w:val="font2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46">
    <w:name w:val="Char Char2 Char Char Char"/>
    <w:basedOn w:val="1"/>
    <w:qFormat/>
    <w:uiPriority w:val="0"/>
    <w:rPr>
      <w:sz w:val="28"/>
    </w:rPr>
  </w:style>
  <w:style w:type="paragraph" w:customStyle="1" w:styleId="847">
    <w:name w:val="普通(Web)2"/>
    <w:basedOn w:val="1"/>
    <w:qFormat/>
    <w:uiPriority w:val="0"/>
    <w:pPr>
      <w:widowControl/>
      <w:spacing w:before="225" w:after="225" w:line="345" w:lineRule="atLeast"/>
      <w:jc w:val="left"/>
    </w:pPr>
    <w:rPr>
      <w:rFonts w:ascii="宋体" w:hAnsi="宋体" w:cs="宋体"/>
      <w:kern w:val="0"/>
      <w:szCs w:val="21"/>
    </w:rPr>
  </w:style>
  <w:style w:type="paragraph" w:customStyle="1" w:styleId="848">
    <w:name w:val="表格内容A-中"/>
    <w:basedOn w:val="1"/>
    <w:qFormat/>
    <w:uiPriority w:val="0"/>
    <w:pPr>
      <w:spacing w:line="264" w:lineRule="auto"/>
      <w:jc w:val="center"/>
    </w:pPr>
    <w:rPr>
      <w:rFonts w:ascii="Garamond" w:hAnsi="Garamond" w:eastAsia="仿宋"/>
      <w:szCs w:val="22"/>
    </w:rPr>
  </w:style>
  <w:style w:type="paragraph" w:customStyle="1" w:styleId="849">
    <w:name w:val="首页次标题"/>
    <w:basedOn w:val="1"/>
    <w:next w:val="1"/>
    <w:qFormat/>
    <w:uiPriority w:val="0"/>
    <w:pPr>
      <w:jc w:val="right"/>
    </w:pPr>
    <w:rPr>
      <w:rFonts w:ascii="Arial" w:hAnsi="Arial" w:eastAsia="黑体"/>
      <w:sz w:val="30"/>
      <w:szCs w:val="22"/>
    </w:rPr>
  </w:style>
  <w:style w:type="paragraph" w:customStyle="1" w:styleId="85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color w:val="008000"/>
      <w:kern w:val="0"/>
      <w:sz w:val="20"/>
      <w:szCs w:val="20"/>
    </w:rPr>
  </w:style>
  <w:style w:type="paragraph" w:customStyle="1" w:styleId="851">
    <w:name w:val="列出段落5"/>
    <w:basedOn w:val="1"/>
    <w:qFormat/>
    <w:uiPriority w:val="99"/>
    <w:pPr>
      <w:ind w:firstLine="420" w:firstLineChars="200"/>
    </w:pPr>
    <w:rPr>
      <w:rFonts w:ascii="Calibri" w:hAnsi="Calibri"/>
      <w:szCs w:val="22"/>
    </w:rPr>
  </w:style>
  <w:style w:type="paragraph" w:customStyle="1" w:styleId="852">
    <w:name w:val="Char Char Char1 Char Char Char Char"/>
    <w:basedOn w:val="1"/>
    <w:qFormat/>
    <w:uiPriority w:val="0"/>
    <w:pPr>
      <w:tabs>
        <w:tab w:val="left" w:pos="360"/>
      </w:tabs>
    </w:pPr>
    <w:rPr>
      <w:sz w:val="24"/>
    </w:rPr>
  </w:style>
  <w:style w:type="paragraph" w:customStyle="1" w:styleId="853">
    <w:name w:val="样式 节标题3 + 段前: 0.5 行 段后: 0.5 行"/>
    <w:basedOn w:val="1"/>
    <w:qFormat/>
    <w:uiPriority w:val="0"/>
    <w:pPr>
      <w:numPr>
        <w:ilvl w:val="3"/>
        <w:numId w:val="1"/>
      </w:numPr>
      <w:ind w:firstLine="0"/>
    </w:pPr>
    <w:rPr>
      <w:b/>
      <w:szCs w:val="20"/>
    </w:rPr>
  </w:style>
  <w:style w:type="paragraph" w:customStyle="1" w:styleId="854">
    <w:name w:val="应填表格"/>
    <w:basedOn w:val="840"/>
    <w:qFormat/>
    <w:uiPriority w:val="0"/>
    <w:pPr>
      <w:jc w:val="left"/>
    </w:pPr>
    <w:rPr>
      <w:b w:val="0"/>
    </w:rPr>
  </w:style>
  <w:style w:type="paragraph" w:customStyle="1" w:styleId="855">
    <w:name w:val="Char1 Char Char Char Char Char Char1"/>
    <w:basedOn w:val="1"/>
    <w:qFormat/>
    <w:uiPriority w:val="0"/>
    <w:pPr>
      <w:spacing w:line="360" w:lineRule="auto"/>
      <w:ind w:firstLine="720" w:firstLineChars="200"/>
    </w:pPr>
    <w:rPr>
      <w:color w:val="008000"/>
      <w:sz w:val="24"/>
    </w:rPr>
  </w:style>
  <w:style w:type="paragraph" w:customStyle="1" w:styleId="856">
    <w:name w:val="et17"/>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857">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858">
    <w:name w:val="1 Char Char Char Char Char Char Char Char Char Char Char Char1 Char"/>
    <w:basedOn w:val="1"/>
    <w:qFormat/>
    <w:uiPriority w:val="0"/>
    <w:rPr>
      <w:sz w:val="24"/>
    </w:rPr>
  </w:style>
  <w:style w:type="paragraph" w:customStyle="1" w:styleId="859">
    <w:name w:val="xl3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860">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861">
    <w:name w:val="reader-word-layer reader-word-s1-4"/>
    <w:basedOn w:val="1"/>
    <w:qFormat/>
    <w:uiPriority w:val="99"/>
    <w:pPr>
      <w:widowControl/>
      <w:spacing w:before="100" w:beforeAutospacing="1" w:after="100" w:afterAutospacing="1" w:line="360" w:lineRule="auto"/>
      <w:jc w:val="left"/>
    </w:pPr>
    <w:rPr>
      <w:rFonts w:ascii="宋体" w:hAnsi="宋体" w:cs="宋体"/>
      <w:kern w:val="0"/>
      <w:sz w:val="24"/>
    </w:rPr>
  </w:style>
  <w:style w:type="paragraph" w:customStyle="1" w:styleId="862">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63">
    <w:name w:val="Char Char Char1 Char2"/>
    <w:basedOn w:val="1"/>
    <w:next w:val="1"/>
    <w:qFormat/>
    <w:uiPriority w:val="0"/>
    <w:pPr>
      <w:spacing w:line="360" w:lineRule="auto"/>
      <w:ind w:firstLine="200" w:firstLineChars="200"/>
    </w:pPr>
    <w:rPr>
      <w:rFonts w:ascii="宋体" w:hAnsi="宋体" w:cs="宋体"/>
      <w:sz w:val="24"/>
    </w:rPr>
  </w:style>
  <w:style w:type="paragraph" w:customStyle="1" w:styleId="864">
    <w:name w:val="Char Char Char Char Char Char Char"/>
    <w:basedOn w:val="1"/>
    <w:qFormat/>
    <w:uiPriority w:val="0"/>
    <w:rPr>
      <w:szCs w:val="21"/>
    </w:rPr>
  </w:style>
  <w:style w:type="paragraph" w:customStyle="1" w:styleId="865">
    <w:name w:val="xl36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66">
    <w:name w:val="正文表格"/>
    <w:basedOn w:val="1"/>
    <w:qFormat/>
    <w:uiPriority w:val="0"/>
    <w:pPr>
      <w:keepNext/>
      <w:keepLines/>
      <w:tabs>
        <w:tab w:val="center" w:pos="6804"/>
      </w:tabs>
      <w:overflowPunct w:val="0"/>
      <w:adjustRightInd w:val="0"/>
      <w:spacing w:before="80"/>
      <w:jc w:val="center"/>
      <w:textAlignment w:val="bottom"/>
    </w:pPr>
    <w:rPr>
      <w:rFonts w:ascii="宋体" w:hAnsi="宋体"/>
      <w:kern w:val="0"/>
      <w:sz w:val="28"/>
      <w:szCs w:val="30"/>
    </w:rPr>
  </w:style>
  <w:style w:type="paragraph" w:customStyle="1" w:styleId="867">
    <w:name w:val="xl265"/>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b/>
      <w:bCs/>
      <w:kern w:val="0"/>
      <w:sz w:val="20"/>
      <w:szCs w:val="20"/>
    </w:rPr>
  </w:style>
  <w:style w:type="paragraph" w:customStyle="1" w:styleId="868">
    <w:name w:val="xl89"/>
    <w:basedOn w:val="1"/>
    <w:qFormat/>
    <w:uiPriority w:val="0"/>
    <w:pPr>
      <w:widowControl/>
      <w:pBdr>
        <w:left w:val="single" w:color="auto" w:sz="4" w:space="0"/>
      </w:pBdr>
      <w:spacing w:before="100" w:beforeAutospacing="1" w:after="100" w:afterAutospacing="1"/>
      <w:jc w:val="right"/>
      <w:textAlignment w:val="center"/>
    </w:pPr>
    <w:rPr>
      <w:rFonts w:ascii="Arial Unicode MS" w:hAnsi="Arial Unicode MS" w:cs="Arial Unicode MS"/>
      <w:kern w:val="0"/>
      <w:sz w:val="24"/>
    </w:rPr>
  </w:style>
  <w:style w:type="paragraph" w:customStyle="1" w:styleId="869">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870">
    <w:name w:val="无间隔111"/>
    <w:qFormat/>
    <w:uiPriority w:val="99"/>
    <w:pPr>
      <w:widowControl w:val="0"/>
      <w:jc w:val="both"/>
    </w:pPr>
    <w:rPr>
      <w:rFonts w:ascii="黑体" w:hAnsi="Times New Roman" w:eastAsia="黑体" w:cs="Times New Roman"/>
      <w:kern w:val="2"/>
      <w:sz w:val="48"/>
      <w:szCs w:val="48"/>
      <w:lang w:val="en-US" w:eastAsia="zh-CN" w:bidi="ar-SA"/>
    </w:rPr>
  </w:style>
  <w:style w:type="paragraph" w:customStyle="1" w:styleId="87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872">
    <w:name w:val="xl111"/>
    <w:basedOn w:val="1"/>
    <w:qFormat/>
    <w:uiPriority w:val="0"/>
    <w:pPr>
      <w:widowControl/>
      <w:pBdr>
        <w:left w:val="single" w:color="auto" w:sz="4" w:space="0"/>
      </w:pBdr>
      <w:spacing w:before="100" w:beforeAutospacing="1" w:after="100" w:afterAutospacing="1"/>
      <w:jc w:val="center"/>
      <w:textAlignment w:val="center"/>
    </w:pPr>
    <w:rPr>
      <w:rFonts w:ascii="Arial Narrow" w:hAnsi="Arial Narrow" w:cs="Arial Unicode MS"/>
      <w:kern w:val="0"/>
      <w:sz w:val="19"/>
      <w:szCs w:val="19"/>
    </w:rPr>
  </w:style>
  <w:style w:type="paragraph" w:customStyle="1" w:styleId="873">
    <w:name w:val="font2"/>
    <w:basedOn w:val="1"/>
    <w:qFormat/>
    <w:uiPriority w:val="0"/>
    <w:pPr>
      <w:widowControl/>
      <w:spacing w:before="100" w:beforeAutospacing="1" w:after="100" w:afterAutospacing="1"/>
      <w:jc w:val="left"/>
    </w:pPr>
    <w:rPr>
      <w:color w:val="000000"/>
      <w:kern w:val="0"/>
      <w:sz w:val="20"/>
      <w:szCs w:val="20"/>
    </w:rPr>
  </w:style>
  <w:style w:type="paragraph" w:customStyle="1" w:styleId="874">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75">
    <w:name w:val="标题 91"/>
    <w:basedOn w:val="1"/>
    <w:next w:val="1"/>
    <w:qFormat/>
    <w:uiPriority w:val="9"/>
    <w:pPr>
      <w:keepNext/>
      <w:keepLines/>
      <w:spacing w:before="240" w:after="64" w:line="320" w:lineRule="auto"/>
      <w:ind w:firstLine="200" w:firstLineChars="200"/>
      <w:outlineLvl w:val="8"/>
    </w:pPr>
    <w:rPr>
      <w:rFonts w:ascii="等线 Light" w:hAnsi="等线 Light" w:eastAsia="等线 Light"/>
      <w:szCs w:val="21"/>
    </w:rPr>
  </w:style>
  <w:style w:type="paragraph" w:customStyle="1" w:styleId="876">
    <w:name w:val="xl69"/>
    <w:basedOn w:val="1"/>
    <w:qFormat/>
    <w:uiPriority w:val="0"/>
    <w:pPr>
      <w:widowControl/>
      <w:pBdr>
        <w:bottom w:val="single" w:color="auto" w:sz="4" w:space="0"/>
        <w:right w:val="single" w:color="auto" w:sz="8" w:space="0"/>
      </w:pBdr>
      <w:spacing w:before="100" w:beforeAutospacing="1" w:after="100" w:afterAutospacing="1"/>
      <w:jc w:val="center"/>
      <w:textAlignment w:val="top"/>
    </w:pPr>
    <w:rPr>
      <w:rFonts w:ascii="仿宋_GB2312" w:hAnsi="Arial Unicode MS" w:eastAsia="仿宋_GB2312" w:cs="Arial Unicode MS"/>
      <w:color w:val="000000"/>
      <w:kern w:val="0"/>
      <w:sz w:val="24"/>
    </w:rPr>
  </w:style>
  <w:style w:type="paragraph" w:customStyle="1" w:styleId="877">
    <w:name w:val="表格文字"/>
    <w:basedOn w:val="1"/>
    <w:qFormat/>
    <w:uiPriority w:val="0"/>
    <w:pPr>
      <w:framePr w:hSpace="180" w:wrap="around" w:vAnchor="page" w:hAnchor="margin" w:y="4689"/>
      <w:spacing w:line="320" w:lineRule="exact"/>
      <w:jc w:val="center"/>
    </w:pPr>
    <w:rPr>
      <w:rFonts w:ascii="宋体" w:hAnsi="宋体" w:cs="宋体"/>
      <w:szCs w:val="21"/>
    </w:rPr>
  </w:style>
  <w:style w:type="paragraph" w:customStyle="1" w:styleId="87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rPr>
  </w:style>
  <w:style w:type="paragraph" w:customStyle="1" w:styleId="879">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80">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81">
    <w:name w:val="1"/>
    <w:qFormat/>
    <w:uiPriority w:val="0"/>
    <w:rPr>
      <w:rFonts w:ascii="宋体" w:hAnsi="Courier New" w:eastAsia="宋体" w:cs="Times New Roman"/>
      <w:lang w:val="en-US" w:eastAsia="zh-CN" w:bidi="ar-SA"/>
    </w:rPr>
  </w:style>
  <w:style w:type="paragraph" w:customStyle="1" w:styleId="882">
    <w:name w:val="xl2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883">
    <w:name w:val="首页项目名称"/>
    <w:basedOn w:val="1"/>
    <w:qFormat/>
    <w:uiPriority w:val="0"/>
    <w:pPr>
      <w:jc w:val="right"/>
    </w:pPr>
    <w:rPr>
      <w:rFonts w:ascii="Garamond" w:hAnsi="Garamond" w:eastAsia="方正宋三_GBK"/>
      <w:sz w:val="36"/>
      <w:szCs w:val="22"/>
    </w:rPr>
  </w:style>
  <w:style w:type="paragraph" w:customStyle="1" w:styleId="884">
    <w:name w:val="xl14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885">
    <w:name w:val="小表"/>
    <w:basedOn w:val="1"/>
    <w:qFormat/>
    <w:uiPriority w:val="0"/>
    <w:pPr>
      <w:overflowPunct w:val="0"/>
      <w:autoSpaceDE w:val="0"/>
      <w:autoSpaceDN w:val="0"/>
      <w:adjustRightInd w:val="0"/>
      <w:jc w:val="center"/>
      <w:textAlignment w:val="bottom"/>
    </w:pPr>
    <w:rPr>
      <w:kern w:val="0"/>
      <w:szCs w:val="21"/>
    </w:rPr>
  </w:style>
  <w:style w:type="paragraph" w:customStyle="1" w:styleId="886">
    <w:name w:val="xl13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kern w:val="0"/>
      <w:sz w:val="20"/>
      <w:szCs w:val="20"/>
    </w:rPr>
  </w:style>
  <w:style w:type="paragraph" w:customStyle="1" w:styleId="887">
    <w:name w:val="et38"/>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888">
    <w:name w:val="表格"/>
    <w:basedOn w:val="1"/>
    <w:link w:val="1282"/>
    <w:qFormat/>
    <w:uiPriority w:val="99"/>
    <w:pPr>
      <w:suppressLineNumbers/>
      <w:autoSpaceDE w:val="0"/>
      <w:autoSpaceDN w:val="0"/>
      <w:adjustRightInd w:val="0"/>
      <w:spacing w:line="20" w:lineRule="atLeast"/>
      <w:jc w:val="center"/>
      <w:textAlignment w:val="baseline"/>
    </w:pPr>
    <w:rPr>
      <w:color w:val="000000"/>
      <w:w w:val="90"/>
      <w:kern w:val="0"/>
      <w:sz w:val="24"/>
      <w:szCs w:val="20"/>
    </w:rPr>
  </w:style>
  <w:style w:type="paragraph" w:customStyle="1" w:styleId="889">
    <w:name w:val="Char Char4 Char Char"/>
    <w:basedOn w:val="1"/>
    <w:qFormat/>
    <w:uiPriority w:val="99"/>
    <w:pPr>
      <w:widowControl/>
      <w:spacing w:after="160" w:line="240" w:lineRule="exact"/>
      <w:jc w:val="left"/>
    </w:pPr>
    <w:rPr>
      <w:sz w:val="28"/>
    </w:rPr>
  </w:style>
  <w:style w:type="paragraph" w:customStyle="1" w:styleId="890">
    <w:name w:val="_Style 2"/>
    <w:basedOn w:val="1"/>
    <w:qFormat/>
    <w:uiPriority w:val="99"/>
    <w:pPr>
      <w:spacing w:before="120" w:after="120"/>
      <w:ind w:firstLine="420" w:firstLineChars="200"/>
    </w:pPr>
    <w:rPr>
      <w:rFonts w:ascii="Calibri" w:hAnsi="Calibri"/>
    </w:rPr>
  </w:style>
  <w:style w:type="paragraph" w:customStyle="1" w:styleId="891">
    <w:name w:val="xl118"/>
    <w:basedOn w:val="1"/>
    <w:qFormat/>
    <w:uiPriority w:val="0"/>
    <w:pPr>
      <w:widowControl/>
      <w:spacing w:before="100" w:beforeAutospacing="1" w:after="100" w:afterAutospacing="1"/>
      <w:jc w:val="center"/>
      <w:textAlignment w:val="center"/>
    </w:pPr>
    <w:rPr>
      <w:rFonts w:ascii="Arial Narrow" w:hAnsi="Arial Narrow" w:cs="Arial Unicode MS"/>
      <w:kern w:val="0"/>
      <w:sz w:val="19"/>
      <w:szCs w:val="19"/>
    </w:rPr>
  </w:style>
  <w:style w:type="paragraph" w:customStyle="1" w:styleId="892">
    <w:name w:val="Char24"/>
    <w:basedOn w:val="1"/>
    <w:qFormat/>
    <w:uiPriority w:val="0"/>
    <w:pPr>
      <w:spacing w:line="360" w:lineRule="auto"/>
      <w:ind w:firstLine="200" w:firstLineChars="200"/>
    </w:pPr>
    <w:rPr>
      <w:rFonts w:ascii="宋体" w:hAnsi="宋体" w:cs="宋体"/>
      <w:sz w:val="24"/>
    </w:rPr>
  </w:style>
  <w:style w:type="paragraph" w:customStyle="1" w:styleId="893">
    <w:name w:val="样式 样式 宋体 小四 段前: 5 磅 段后: 5 磅 行距: 1.5 倍行距 + 首行缩进:  2 字符"/>
    <w:basedOn w:val="1"/>
    <w:qFormat/>
    <w:uiPriority w:val="0"/>
    <w:pPr>
      <w:spacing w:line="360" w:lineRule="auto"/>
      <w:ind w:firstLine="200" w:firstLineChars="200"/>
    </w:pPr>
    <w:rPr>
      <w:rFonts w:ascii="宋体" w:hAnsi="宋体" w:cs="宋体"/>
      <w:sz w:val="24"/>
      <w:szCs w:val="20"/>
    </w:rPr>
  </w:style>
  <w:style w:type="paragraph" w:customStyle="1" w:styleId="894">
    <w:name w:val="Char Char Char Char Char Char Char Char Char Char6"/>
    <w:basedOn w:val="1"/>
    <w:qFormat/>
    <w:uiPriority w:val="0"/>
    <w:pPr>
      <w:spacing w:beforeLines="50" w:afterLines="50"/>
    </w:pPr>
    <w:rPr>
      <w:rFonts w:ascii="Tahoma" w:hAnsi="Tahoma"/>
      <w:sz w:val="24"/>
      <w:szCs w:val="20"/>
    </w:rPr>
  </w:style>
  <w:style w:type="paragraph" w:customStyle="1" w:styleId="89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96">
    <w:name w:val="Char Char Char Char Char Char Char Char Char Char Char Char Char Char Char Char Char Char Char Char Char Char Char Char Char Char Char Char Char Char Char Char Char Char Char Char Char Char Char Char Char Char Char Char Char Char7"/>
    <w:basedOn w:val="1"/>
    <w:next w:val="1"/>
    <w:qFormat/>
    <w:uiPriority w:val="0"/>
    <w:pPr>
      <w:pBdr>
        <w:right w:val="single" w:color="auto" w:sz="12" w:space="4"/>
      </w:pBdr>
      <w:spacing w:line="360" w:lineRule="auto"/>
      <w:ind w:firstLine="200" w:firstLineChars="200"/>
    </w:pPr>
    <w:rPr>
      <w:sz w:val="28"/>
      <w:szCs w:val="20"/>
    </w:rPr>
  </w:style>
  <w:style w:type="paragraph" w:customStyle="1" w:styleId="897">
    <w:name w:val="xl347"/>
    <w:basedOn w:val="1"/>
    <w:qFormat/>
    <w:uiPriority w:val="0"/>
    <w:pPr>
      <w:widowControl/>
      <w:pBdr>
        <w:bottom w:val="single" w:color="auto" w:sz="4" w:space="0"/>
      </w:pBdr>
      <w:spacing w:before="100" w:beforeAutospacing="1" w:after="100" w:afterAutospacing="1"/>
      <w:jc w:val="left"/>
    </w:pPr>
    <w:rPr>
      <w:rFonts w:ascii="宋体" w:hAnsi="宋体" w:cs="宋体"/>
      <w:kern w:val="0"/>
      <w:sz w:val="20"/>
      <w:szCs w:val="20"/>
    </w:rPr>
  </w:style>
  <w:style w:type="paragraph" w:customStyle="1" w:styleId="898">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99">
    <w:name w:val="xl36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900">
    <w:name w:val="HZZH表格内容"/>
    <w:basedOn w:val="1"/>
    <w:qFormat/>
    <w:uiPriority w:val="0"/>
    <w:pPr>
      <w:widowControl/>
      <w:jc w:val="center"/>
    </w:pPr>
    <w:rPr>
      <w:kern w:val="0"/>
      <w:sz w:val="20"/>
      <w:szCs w:val="20"/>
    </w:rPr>
  </w:style>
  <w:style w:type="paragraph" w:customStyle="1" w:styleId="901">
    <w:name w:val="Char28"/>
    <w:basedOn w:val="1"/>
    <w:qFormat/>
    <w:uiPriority w:val="0"/>
    <w:pPr>
      <w:spacing w:line="360" w:lineRule="auto"/>
      <w:ind w:firstLine="200" w:firstLineChars="200"/>
    </w:pPr>
    <w:rPr>
      <w:rFonts w:ascii="宋体" w:hAnsi="宋体" w:cs="宋体"/>
      <w:sz w:val="24"/>
    </w:rPr>
  </w:style>
  <w:style w:type="paragraph" w:customStyle="1" w:styleId="902">
    <w:name w:val="font15"/>
    <w:basedOn w:val="1"/>
    <w:qFormat/>
    <w:uiPriority w:val="0"/>
    <w:pPr>
      <w:widowControl/>
      <w:spacing w:before="100" w:beforeAutospacing="1" w:after="100" w:afterAutospacing="1"/>
      <w:jc w:val="left"/>
    </w:pPr>
    <w:rPr>
      <w:rFonts w:ascii="宋体" w:hAnsi="宋体" w:cs="Arial Unicode MS"/>
      <w:color w:val="0000FF"/>
      <w:kern w:val="0"/>
      <w:sz w:val="19"/>
      <w:szCs w:val="19"/>
    </w:rPr>
  </w:style>
  <w:style w:type="paragraph" w:customStyle="1" w:styleId="903">
    <w:name w:val="列出段落3"/>
    <w:basedOn w:val="1"/>
    <w:qFormat/>
    <w:uiPriority w:val="99"/>
    <w:pPr>
      <w:spacing w:line="360" w:lineRule="auto"/>
      <w:ind w:firstLine="420" w:firstLineChars="200"/>
    </w:pPr>
    <w:rPr>
      <w:rFonts w:ascii="Calibri" w:hAnsi="Calibri"/>
      <w:sz w:val="28"/>
      <w:szCs w:val="22"/>
    </w:rPr>
  </w:style>
  <w:style w:type="paragraph" w:customStyle="1" w:styleId="904">
    <w:name w:val="List Paragraph*"/>
    <w:basedOn w:val="1"/>
    <w:qFormat/>
    <w:uiPriority w:val="0"/>
    <w:pPr>
      <w:ind w:firstLine="420"/>
    </w:pPr>
    <w:rPr>
      <w:color w:val="000000"/>
    </w:rPr>
  </w:style>
  <w:style w:type="paragraph" w:customStyle="1" w:styleId="905">
    <w:name w:val="et21"/>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906">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07">
    <w:name w:val="封面单位名称"/>
    <w:basedOn w:val="1"/>
    <w:qFormat/>
    <w:uiPriority w:val="0"/>
    <w:pPr>
      <w:ind w:left="-4" w:leftChars="-1" w:hanging="1"/>
      <w:jc w:val="center"/>
    </w:pPr>
    <w:rPr>
      <w:rFonts w:ascii="宋体" w:hAnsi="宋体"/>
      <w:b/>
      <w:kern w:val="0"/>
      <w:sz w:val="28"/>
      <w:szCs w:val="28"/>
    </w:rPr>
  </w:style>
  <w:style w:type="paragraph" w:customStyle="1" w:styleId="908">
    <w:name w:val="Char Char Char Char Char Char Char Char Char Char Char Char Char Char Char Char Char Char Char Char Char Char Char Char Char Char Char Char Char Char Char Char Char Char Char Char Char Char Char Char Char Char Char Char Char Char3"/>
    <w:basedOn w:val="1"/>
    <w:next w:val="1"/>
    <w:qFormat/>
    <w:uiPriority w:val="0"/>
    <w:pPr>
      <w:pBdr>
        <w:right w:val="single" w:color="auto" w:sz="12" w:space="4"/>
      </w:pBdr>
      <w:spacing w:line="360" w:lineRule="auto"/>
      <w:ind w:firstLine="200" w:firstLineChars="200"/>
    </w:pPr>
    <w:rPr>
      <w:sz w:val="28"/>
      <w:szCs w:val="20"/>
    </w:rPr>
  </w:style>
  <w:style w:type="paragraph" w:customStyle="1" w:styleId="909">
    <w:name w:val="表格内容+"/>
    <w:basedOn w:val="1"/>
    <w:next w:val="1"/>
    <w:qFormat/>
    <w:uiPriority w:val="0"/>
    <w:pPr>
      <w:snapToGrid w:val="0"/>
      <w:jc w:val="center"/>
    </w:pPr>
    <w:rPr>
      <w:rFonts w:ascii="宋体" w:hAnsi="宋体"/>
      <w:sz w:val="24"/>
      <w:szCs w:val="28"/>
    </w:rPr>
  </w:style>
  <w:style w:type="paragraph" w:customStyle="1" w:styleId="910">
    <w:name w:val="xl2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911">
    <w:name w:val="小注"/>
    <w:basedOn w:val="418"/>
    <w:qFormat/>
    <w:uiPriority w:val="0"/>
    <w:pPr>
      <w:adjustRightInd w:val="0"/>
      <w:snapToGrid w:val="0"/>
      <w:spacing w:beforeLines="50" w:afterLines="100" w:line="240" w:lineRule="exact"/>
      <w:ind w:firstLine="200" w:firstLineChars="200"/>
      <w:jc w:val="center"/>
    </w:pPr>
    <w:rPr>
      <w:rFonts w:ascii="宋体" w:hAnsi="Times New Roman"/>
      <w:color w:val="000000"/>
      <w:spacing w:val="10"/>
      <w:kern w:val="0"/>
      <w:sz w:val="18"/>
    </w:rPr>
  </w:style>
  <w:style w:type="paragraph" w:customStyle="1" w:styleId="912">
    <w:name w:val="正文（首行缩近两字）"/>
    <w:basedOn w:val="1"/>
    <w:next w:val="1"/>
    <w:qFormat/>
    <w:uiPriority w:val="0"/>
    <w:pPr>
      <w:ind w:firstLine="420" w:firstLineChars="200"/>
    </w:pPr>
  </w:style>
  <w:style w:type="paragraph" w:customStyle="1" w:styleId="913">
    <w:name w:val="et24"/>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914">
    <w:name w:val="xl5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仿宋_GB2312" w:hAnsi="Arial Unicode MS" w:eastAsia="仿宋_GB2312" w:cs="Arial Unicode MS"/>
      <w:b/>
      <w:bCs/>
      <w:color w:val="000000"/>
      <w:kern w:val="0"/>
      <w:sz w:val="24"/>
    </w:rPr>
  </w:style>
  <w:style w:type="paragraph" w:customStyle="1" w:styleId="915">
    <w:name w:val="彩色列表1"/>
    <w:basedOn w:val="1"/>
    <w:qFormat/>
    <w:uiPriority w:val="0"/>
    <w:pPr>
      <w:ind w:firstLine="420"/>
    </w:pPr>
    <w:rPr>
      <w:rFonts w:ascii="Calibri" w:hAnsi="Calibri"/>
      <w:szCs w:val="22"/>
    </w:rPr>
  </w:style>
  <w:style w:type="paragraph" w:customStyle="1" w:styleId="916">
    <w:name w:val="3"/>
    <w:basedOn w:val="1"/>
    <w:qFormat/>
    <w:uiPriority w:val="0"/>
    <w:pPr>
      <w:widowControl/>
      <w:jc w:val="left"/>
    </w:pPr>
    <w:rPr>
      <w:rFonts w:ascii="宋体" w:hAnsi="宋体" w:cs="宋体"/>
      <w:kern w:val="0"/>
      <w:sz w:val="24"/>
    </w:rPr>
  </w:style>
  <w:style w:type="paragraph" w:customStyle="1" w:styleId="917">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18">
    <w:name w:val="第一章"/>
    <w:basedOn w:val="2"/>
    <w:qFormat/>
    <w:uiPriority w:val="0"/>
    <w:pPr>
      <w:tabs>
        <w:tab w:val="clear" w:pos="360"/>
      </w:tabs>
      <w:adjustRightInd/>
      <w:spacing w:before="0" w:line="720" w:lineRule="auto"/>
      <w:ind w:left="0" w:leftChars="0" w:right="0" w:rightChars="0" w:firstLine="0"/>
    </w:pPr>
    <w:rPr>
      <w:rFonts w:eastAsia="宋体"/>
      <w:bCs/>
      <w:sz w:val="36"/>
      <w:szCs w:val="36"/>
    </w:rPr>
  </w:style>
  <w:style w:type="paragraph" w:customStyle="1" w:styleId="919">
    <w:name w:val="22"/>
    <w:basedOn w:val="3"/>
    <w:qFormat/>
    <w:uiPriority w:val="0"/>
    <w:pPr>
      <w:spacing w:beforeLines="100" w:after="0" w:line="360" w:lineRule="auto"/>
      <w:ind w:firstLine="200" w:firstLineChars="200"/>
      <w:jc w:val="both"/>
    </w:pPr>
    <w:rPr>
      <w:rFonts w:ascii="Calibri" w:hAnsi="Calibri" w:eastAsia="宋体"/>
      <w:sz w:val="32"/>
      <w:szCs w:val="30"/>
    </w:rPr>
  </w:style>
  <w:style w:type="paragraph" w:customStyle="1" w:styleId="920">
    <w:name w:val="font1"/>
    <w:basedOn w:val="1"/>
    <w:qFormat/>
    <w:uiPriority w:val="0"/>
    <w:pPr>
      <w:widowControl/>
      <w:spacing w:before="100" w:beforeAutospacing="1" w:after="100" w:afterAutospacing="1"/>
      <w:jc w:val="left"/>
    </w:pPr>
    <w:rPr>
      <w:rFonts w:ascii="宋体" w:hAnsi="宋体"/>
      <w:kern w:val="0"/>
      <w:sz w:val="24"/>
    </w:rPr>
  </w:style>
  <w:style w:type="paragraph" w:customStyle="1" w:styleId="921">
    <w:name w:val="普通(网站)1"/>
    <w:basedOn w:val="1"/>
    <w:qFormat/>
    <w:uiPriority w:val="0"/>
    <w:pPr>
      <w:widowControl/>
      <w:spacing w:before="100" w:beforeAutospacing="1" w:after="100" w:afterAutospacing="1" w:line="360" w:lineRule="auto"/>
      <w:ind w:firstLine="720" w:firstLineChars="200"/>
      <w:jc w:val="left"/>
    </w:pPr>
    <w:rPr>
      <w:rFonts w:ascii="宋体" w:hAnsi="宋体"/>
      <w:color w:val="008000"/>
      <w:kern w:val="0"/>
      <w:sz w:val="24"/>
    </w:rPr>
  </w:style>
  <w:style w:type="paragraph" w:customStyle="1" w:styleId="922">
    <w:name w:val="xl24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923">
    <w:name w:val="表题"/>
    <w:basedOn w:val="1"/>
    <w:qFormat/>
    <w:uiPriority w:val="0"/>
    <w:pPr>
      <w:tabs>
        <w:tab w:val="left" w:pos="720"/>
      </w:tabs>
      <w:adjustRightInd w:val="0"/>
      <w:snapToGrid w:val="0"/>
      <w:spacing w:line="280" w:lineRule="exact"/>
      <w:ind w:left="-105" w:leftChars="-50" w:right="-105" w:rightChars="-50"/>
      <w:jc w:val="center"/>
    </w:pPr>
    <w:rPr>
      <w:color w:val="000000"/>
      <w:sz w:val="24"/>
    </w:rPr>
  </w:style>
  <w:style w:type="paragraph" w:customStyle="1" w:styleId="924">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25">
    <w:name w:val="xl260"/>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926">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927">
    <w:name w:val="xl28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928">
    <w:name w:val="reader-word-layer reader-word-s1-1"/>
    <w:basedOn w:val="1"/>
    <w:qFormat/>
    <w:uiPriority w:val="99"/>
    <w:pPr>
      <w:widowControl/>
      <w:spacing w:before="100" w:beforeAutospacing="1" w:after="100" w:afterAutospacing="1" w:line="360" w:lineRule="auto"/>
      <w:jc w:val="left"/>
    </w:pPr>
    <w:rPr>
      <w:rFonts w:ascii="宋体" w:hAnsi="宋体" w:cs="宋体"/>
      <w:kern w:val="0"/>
      <w:sz w:val="24"/>
    </w:rPr>
  </w:style>
  <w:style w:type="paragraph" w:customStyle="1" w:styleId="929">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930">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31">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932">
    <w:name w:val="33"/>
    <w:basedOn w:val="4"/>
    <w:qFormat/>
    <w:uiPriority w:val="0"/>
    <w:pPr>
      <w:spacing w:beforeLines="100" w:after="0" w:line="360" w:lineRule="auto"/>
      <w:ind w:firstLine="200" w:firstLineChars="200"/>
    </w:pPr>
    <w:rPr>
      <w:rFonts w:ascii="Calibri" w:hAnsi="Calibri" w:eastAsia="黑体"/>
      <w:bCs/>
      <w:sz w:val="30"/>
      <w:szCs w:val="30"/>
    </w:rPr>
  </w:style>
  <w:style w:type="paragraph" w:customStyle="1" w:styleId="933">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34">
    <w:name w:val="HZZH标题—1"/>
    <w:basedOn w:val="2"/>
    <w:next w:val="833"/>
    <w:qFormat/>
    <w:uiPriority w:val="0"/>
    <w:pPr>
      <w:numPr>
        <w:ilvl w:val="0"/>
        <w:numId w:val="2"/>
      </w:numPr>
      <w:tabs>
        <w:tab w:val="clear" w:pos="992"/>
      </w:tabs>
      <w:adjustRightInd/>
      <w:spacing w:before="0" w:line="240" w:lineRule="auto"/>
      <w:ind w:left="0" w:leftChars="0" w:right="0" w:rightChars="0" w:firstLine="0"/>
    </w:pPr>
    <w:rPr>
      <w:rFonts w:eastAsia="宋体"/>
      <w:bCs/>
      <w:color w:val="000000"/>
      <w:kern w:val="2"/>
      <w:sz w:val="36"/>
      <w:szCs w:val="24"/>
    </w:rPr>
  </w:style>
  <w:style w:type="paragraph" w:customStyle="1" w:styleId="935">
    <w:name w:val="xl137"/>
    <w:basedOn w:val="1"/>
    <w:qFormat/>
    <w:uiPriority w:val="0"/>
    <w:pPr>
      <w:widowControl/>
      <w:pBdr>
        <w:top w:val="single" w:color="auto" w:sz="4" w:space="0"/>
        <w:left w:val="single" w:color="auto" w:sz="4" w:space="0"/>
        <w:bottom w:val="single" w:color="auto" w:sz="4" w:space="0"/>
      </w:pBdr>
      <w:shd w:val="clear" w:color="auto" w:fill="CCFFFF"/>
      <w:spacing w:before="100" w:beforeAutospacing="1" w:after="100" w:afterAutospacing="1"/>
      <w:jc w:val="center"/>
      <w:textAlignment w:val="center"/>
    </w:pPr>
    <w:rPr>
      <w:rFonts w:ascii="Arial Narrow" w:hAnsi="Arial Narrow" w:cs="Arial Unicode MS"/>
      <w:b/>
      <w:bCs/>
      <w:kern w:val="0"/>
      <w:sz w:val="19"/>
      <w:szCs w:val="19"/>
    </w:rPr>
  </w:style>
  <w:style w:type="paragraph" w:customStyle="1" w:styleId="936">
    <w:name w:val="标题 22"/>
    <w:basedOn w:val="1"/>
    <w:next w:val="1"/>
    <w:qFormat/>
    <w:uiPriority w:val="0"/>
    <w:pPr>
      <w:keepNext/>
      <w:keepLines/>
      <w:spacing w:line="360" w:lineRule="auto"/>
      <w:outlineLvl w:val="1"/>
    </w:pPr>
    <w:rPr>
      <w:b/>
      <w:bCs/>
      <w:sz w:val="30"/>
      <w:szCs w:val="30"/>
    </w:rPr>
  </w:style>
  <w:style w:type="paragraph" w:customStyle="1" w:styleId="937">
    <w:name w:val="msolistparagraph"/>
    <w:basedOn w:val="1"/>
    <w:qFormat/>
    <w:uiPriority w:val="99"/>
    <w:pPr>
      <w:ind w:firstLine="420" w:firstLineChars="200"/>
    </w:pPr>
  </w:style>
  <w:style w:type="paragraph" w:customStyle="1" w:styleId="938">
    <w:name w:val="font4"/>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93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940">
    <w:name w:val="xl128"/>
    <w:basedOn w:val="1"/>
    <w:qFormat/>
    <w:uiPriority w:val="0"/>
    <w:pPr>
      <w:widowControl/>
      <w:pBdr>
        <w:top w:val="single" w:color="auto" w:sz="4" w:space="0"/>
        <w:left w:val="single" w:color="auto" w:sz="4" w:space="0"/>
        <w:bottom w:val="single" w:color="auto" w:sz="4" w:space="0"/>
      </w:pBdr>
      <w:shd w:val="clear" w:color="auto" w:fill="CCFFFF"/>
      <w:spacing w:before="100" w:beforeAutospacing="1" w:after="100" w:afterAutospacing="1"/>
      <w:jc w:val="center"/>
      <w:textAlignment w:val="center"/>
    </w:pPr>
    <w:rPr>
      <w:rFonts w:ascii="Arial Narrow" w:hAnsi="Arial Narrow" w:cs="Arial Unicode MS"/>
      <w:b/>
      <w:bCs/>
      <w:kern w:val="0"/>
      <w:sz w:val="19"/>
      <w:szCs w:val="19"/>
    </w:rPr>
  </w:style>
  <w:style w:type="paragraph" w:customStyle="1" w:styleId="941">
    <w:name w:val="Char1 Char Char Char Char Char Char"/>
    <w:basedOn w:val="1"/>
    <w:qFormat/>
    <w:uiPriority w:val="0"/>
    <w:rPr>
      <w:rFonts w:ascii="Tahoma" w:hAnsi="Tahoma"/>
      <w:sz w:val="24"/>
      <w:szCs w:val="20"/>
    </w:rPr>
  </w:style>
  <w:style w:type="paragraph" w:customStyle="1" w:styleId="942">
    <w:name w:val="_Style 3"/>
    <w:basedOn w:val="1"/>
    <w:qFormat/>
    <w:uiPriority w:val="0"/>
    <w:pPr>
      <w:ind w:firstLine="200" w:firstLineChars="200"/>
    </w:pPr>
    <w:rPr>
      <w:rFonts w:ascii="Calibri" w:hAnsi="Calibri"/>
      <w:szCs w:val="22"/>
    </w:rPr>
  </w:style>
  <w:style w:type="paragraph" w:customStyle="1" w:styleId="943">
    <w:name w:val="xl28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44">
    <w:name w:val="xl122"/>
    <w:basedOn w:val="1"/>
    <w:qFormat/>
    <w:uiPriority w:val="0"/>
    <w:pPr>
      <w:widowControl/>
      <w:spacing w:before="100" w:beforeAutospacing="1" w:after="100" w:afterAutospacing="1"/>
      <w:jc w:val="center"/>
      <w:textAlignment w:val="center"/>
    </w:pPr>
    <w:rPr>
      <w:rFonts w:ascii="Arial Narrow" w:hAnsi="Arial Narrow" w:cs="Arial Unicode MS"/>
      <w:b/>
      <w:bCs/>
      <w:kern w:val="0"/>
      <w:sz w:val="19"/>
      <w:szCs w:val="19"/>
    </w:rPr>
  </w:style>
  <w:style w:type="paragraph" w:customStyle="1" w:styleId="945">
    <w:name w:val="xl13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Narrow" w:hAnsi="Arial Narrow" w:cs="Arial Unicode MS"/>
      <w:kern w:val="0"/>
      <w:sz w:val="19"/>
      <w:szCs w:val="19"/>
    </w:rPr>
  </w:style>
  <w:style w:type="paragraph" w:customStyle="1" w:styleId="946">
    <w:name w:val="无间隔3"/>
    <w:qFormat/>
    <w:uiPriority w:val="1"/>
    <w:pPr>
      <w:widowControl w:val="0"/>
      <w:jc w:val="both"/>
    </w:pPr>
    <w:rPr>
      <w:rFonts w:ascii="Times New Roman" w:hAnsi="Times New Roman" w:eastAsia="宋体" w:cs="Times New Roman"/>
      <w:kern w:val="2"/>
      <w:sz w:val="24"/>
      <w:szCs w:val="24"/>
      <w:lang w:val="en-US" w:eastAsia="zh-CN" w:bidi="ar-SA"/>
    </w:rPr>
  </w:style>
  <w:style w:type="paragraph" w:customStyle="1" w:styleId="947">
    <w:name w:val="et29"/>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948">
    <w:name w:val="xl14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color w:val="0000FF"/>
      <w:kern w:val="0"/>
      <w:sz w:val="19"/>
      <w:szCs w:val="19"/>
    </w:rPr>
  </w:style>
  <w:style w:type="paragraph" w:customStyle="1" w:styleId="949">
    <w:name w:val="xl301"/>
    <w:basedOn w:val="1"/>
    <w:qFormat/>
    <w:uiPriority w:val="0"/>
    <w:pPr>
      <w:widowControl/>
      <w:pBdr>
        <w:top w:val="single" w:color="auto" w:sz="4" w:space="0"/>
      </w:pBdr>
      <w:spacing w:before="100" w:beforeAutospacing="1" w:after="100" w:afterAutospacing="1"/>
      <w:jc w:val="left"/>
    </w:pPr>
    <w:rPr>
      <w:rFonts w:ascii="宋体" w:hAnsi="宋体" w:cs="宋体"/>
      <w:kern w:val="0"/>
      <w:sz w:val="20"/>
      <w:szCs w:val="20"/>
    </w:rPr>
  </w:style>
  <w:style w:type="paragraph" w:customStyle="1" w:styleId="950">
    <w:name w:val="Char Char Char Char Char Char Char Char Char Char4"/>
    <w:basedOn w:val="1"/>
    <w:qFormat/>
    <w:uiPriority w:val="0"/>
    <w:pPr>
      <w:spacing w:beforeLines="50" w:afterLines="50"/>
    </w:pPr>
    <w:rPr>
      <w:rFonts w:ascii="Tahoma" w:hAnsi="Tahoma"/>
      <w:sz w:val="24"/>
      <w:szCs w:val="20"/>
    </w:rPr>
  </w:style>
  <w:style w:type="paragraph" w:customStyle="1" w:styleId="951">
    <w:name w:val="xl10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952">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953">
    <w:name w:val="xl13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Arial Narrow" w:hAnsi="Arial Narrow" w:cs="Arial Unicode MS"/>
      <w:kern w:val="0"/>
      <w:sz w:val="20"/>
      <w:szCs w:val="20"/>
    </w:rPr>
  </w:style>
  <w:style w:type="paragraph" w:customStyle="1" w:styleId="954">
    <w:name w:val="样式 标题 3 + 宋体 四号 非加粗 段前: 0 磅 段后: 0 磅 行距: 固定值 24 磅"/>
    <w:basedOn w:val="4"/>
    <w:qFormat/>
    <w:uiPriority w:val="0"/>
    <w:pPr>
      <w:spacing w:before="0" w:after="0" w:line="480" w:lineRule="exact"/>
    </w:pPr>
    <w:rPr>
      <w:rFonts w:ascii="宋体" w:hAnsi="宋体" w:eastAsia="黑体" w:cs="宋体"/>
      <w:b w:val="0"/>
      <w:kern w:val="0"/>
      <w:sz w:val="24"/>
      <w:szCs w:val="20"/>
    </w:rPr>
  </w:style>
  <w:style w:type="paragraph" w:customStyle="1" w:styleId="955">
    <w:name w:val="居中"/>
    <w:basedOn w:val="1"/>
    <w:qFormat/>
    <w:uiPriority w:val="0"/>
    <w:pPr>
      <w:spacing w:line="312" w:lineRule="auto"/>
      <w:jc w:val="center"/>
    </w:pPr>
    <w:rPr>
      <w:rFonts w:cs="宋体"/>
      <w:kern w:val="0"/>
      <w:sz w:val="24"/>
      <w:szCs w:val="20"/>
    </w:rPr>
  </w:style>
  <w:style w:type="paragraph" w:customStyle="1" w:styleId="956">
    <w:name w:val="样式 样式 样式 报告书正文 + 倾斜 居中 底端: (粗-细窄间隔 自动设置  3 磅 行宽) + 底端: (粗-细窄间隔 自..."/>
    <w:basedOn w:val="1"/>
    <w:qFormat/>
    <w:uiPriority w:val="0"/>
    <w:pPr>
      <w:pBdr>
        <w:bottom w:val="thickThinSmallGap" w:color="auto" w:sz="24" w:space="1"/>
      </w:pBdr>
      <w:tabs>
        <w:tab w:val="center" w:pos="4153"/>
        <w:tab w:val="right" w:pos="8306"/>
      </w:tabs>
      <w:adjustRightInd w:val="0"/>
      <w:snapToGrid w:val="0"/>
      <w:spacing w:line="400" w:lineRule="atLeast"/>
      <w:ind w:firstLine="567"/>
      <w:jc w:val="center"/>
    </w:pPr>
    <w:rPr>
      <w:iCs/>
      <w:sz w:val="24"/>
      <w:szCs w:val="20"/>
    </w:rPr>
  </w:style>
  <w:style w:type="paragraph" w:customStyle="1" w:styleId="957">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58">
    <w:name w:val="xl11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959">
    <w:name w:val="xl56"/>
    <w:basedOn w:val="1"/>
    <w:qFormat/>
    <w:uiPriority w:val="0"/>
    <w:pPr>
      <w:widowControl/>
      <w:pBdr>
        <w:bottom w:val="single" w:color="auto" w:sz="4" w:space="0"/>
      </w:pBdr>
      <w:spacing w:before="100" w:beforeAutospacing="1" w:after="100" w:afterAutospacing="1"/>
      <w:jc w:val="center"/>
      <w:textAlignment w:val="top"/>
    </w:pPr>
    <w:rPr>
      <w:rFonts w:ascii="仿宋_GB2312" w:hAnsi="Arial Unicode MS" w:eastAsia="仿宋_GB2312" w:cs="Arial Unicode MS"/>
      <w:color w:val="000000"/>
      <w:kern w:val="0"/>
      <w:sz w:val="24"/>
    </w:rPr>
  </w:style>
  <w:style w:type="paragraph" w:customStyle="1" w:styleId="960">
    <w:name w:val="font7"/>
    <w:basedOn w:val="1"/>
    <w:qFormat/>
    <w:uiPriority w:val="0"/>
    <w:pPr>
      <w:widowControl/>
      <w:spacing w:before="100" w:beforeAutospacing="1" w:after="100" w:afterAutospacing="1"/>
      <w:jc w:val="left"/>
    </w:pPr>
    <w:rPr>
      <w:kern w:val="0"/>
      <w:sz w:val="24"/>
    </w:rPr>
  </w:style>
  <w:style w:type="paragraph" w:customStyle="1" w:styleId="961">
    <w:name w:val="et36"/>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962">
    <w:name w:val="Char37"/>
    <w:basedOn w:val="1"/>
    <w:qFormat/>
    <w:uiPriority w:val="0"/>
    <w:pPr>
      <w:spacing w:line="360" w:lineRule="auto"/>
      <w:ind w:firstLine="200" w:firstLineChars="200"/>
    </w:pPr>
    <w:rPr>
      <w:rFonts w:ascii="宋体" w:hAnsi="宋体" w:cs="宋体"/>
      <w:sz w:val="24"/>
    </w:rPr>
  </w:style>
  <w:style w:type="paragraph" w:customStyle="1" w:styleId="963">
    <w:name w:val="表蕊居中"/>
    <w:qFormat/>
    <w:uiPriority w:val="0"/>
    <w:pPr>
      <w:spacing w:line="320" w:lineRule="exact"/>
      <w:jc w:val="center"/>
    </w:pPr>
    <w:rPr>
      <w:rFonts w:ascii="Times New Roman" w:hAnsi="Times New Roman" w:eastAsia="宋体" w:cs="宋体-18030"/>
      <w:sz w:val="21"/>
      <w:szCs w:val="28"/>
      <w:lang w:val="en-US" w:eastAsia="zh-CN" w:bidi="ar-SA"/>
    </w:rPr>
  </w:style>
  <w:style w:type="paragraph" w:customStyle="1" w:styleId="964">
    <w:name w:val="表式样"/>
    <w:basedOn w:val="1"/>
    <w:qFormat/>
    <w:uiPriority w:val="0"/>
    <w:pPr>
      <w:jc w:val="center"/>
    </w:pPr>
    <w:rPr>
      <w:kern w:val="0"/>
      <w:szCs w:val="20"/>
      <w:lang w:bidi="he-IL"/>
    </w:rPr>
  </w:style>
  <w:style w:type="paragraph" w:customStyle="1" w:styleId="965">
    <w:name w:val="普通(网站)2"/>
    <w:basedOn w:val="1"/>
    <w:qFormat/>
    <w:uiPriority w:val="0"/>
    <w:pPr>
      <w:widowControl/>
      <w:spacing w:before="100" w:beforeAutospacing="1" w:after="100" w:afterAutospacing="1" w:line="360" w:lineRule="auto"/>
      <w:ind w:firstLine="720" w:firstLineChars="200"/>
      <w:jc w:val="left"/>
    </w:pPr>
    <w:rPr>
      <w:rFonts w:ascii="宋体" w:hAnsi="宋体"/>
      <w:color w:val="008000"/>
      <w:kern w:val="0"/>
      <w:sz w:val="24"/>
    </w:rPr>
  </w:style>
  <w:style w:type="paragraph" w:customStyle="1" w:styleId="966">
    <w:name w:val="xl1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967">
    <w:name w:val="表样式"/>
    <w:qFormat/>
    <w:uiPriority w:val="0"/>
    <w:pPr>
      <w:spacing w:beforeLines="50" w:afterLines="50"/>
      <w:jc w:val="center"/>
    </w:pPr>
    <w:rPr>
      <w:rFonts w:ascii="Times New Roman" w:hAnsi="Times New Roman" w:eastAsia="宋体" w:cs="Times New Roman"/>
      <w:sz w:val="28"/>
      <w:lang w:val="en-US" w:eastAsia="zh-CN" w:bidi="ar-SA"/>
    </w:rPr>
  </w:style>
  <w:style w:type="paragraph" w:customStyle="1" w:styleId="968">
    <w:name w:val="xl84"/>
    <w:basedOn w:val="1"/>
    <w:qFormat/>
    <w:uiPriority w:val="0"/>
    <w:pPr>
      <w:widowControl/>
      <w:pBdr>
        <w:top w:val="single" w:color="auto" w:sz="8" w:space="0"/>
        <w:bottom w:val="single" w:color="auto" w:sz="4" w:space="0"/>
      </w:pBdr>
      <w:spacing w:before="100" w:beforeAutospacing="1" w:after="100" w:afterAutospacing="1"/>
      <w:jc w:val="center"/>
      <w:textAlignment w:val="center"/>
    </w:pPr>
    <w:rPr>
      <w:rFonts w:ascii="仿宋_GB2312" w:hAnsi="Arial Unicode MS" w:eastAsia="仿宋_GB2312" w:cs="Arial Unicode MS"/>
      <w:color w:val="000000"/>
      <w:kern w:val="0"/>
      <w:sz w:val="24"/>
    </w:rPr>
  </w:style>
  <w:style w:type="paragraph" w:customStyle="1" w:styleId="969">
    <w:name w:val="xl116"/>
    <w:basedOn w:val="1"/>
    <w:qFormat/>
    <w:uiPriority w:val="0"/>
    <w:pPr>
      <w:widowControl/>
      <w:pBdr>
        <w:left w:val="single" w:color="auto" w:sz="4" w:space="0"/>
      </w:pBdr>
      <w:spacing w:before="100" w:beforeAutospacing="1" w:after="100" w:afterAutospacing="1"/>
      <w:jc w:val="center"/>
      <w:textAlignment w:val="center"/>
    </w:pPr>
    <w:rPr>
      <w:rFonts w:ascii="Arial Narrow" w:hAnsi="Arial Narrow" w:cs="Arial Unicode MS"/>
      <w:kern w:val="0"/>
      <w:sz w:val="20"/>
      <w:szCs w:val="20"/>
    </w:rPr>
  </w:style>
  <w:style w:type="paragraph" w:customStyle="1" w:styleId="970">
    <w:name w:val="Char41"/>
    <w:basedOn w:val="1"/>
    <w:qFormat/>
    <w:uiPriority w:val="0"/>
    <w:pPr>
      <w:spacing w:line="360" w:lineRule="auto"/>
      <w:ind w:firstLine="200" w:firstLineChars="200"/>
    </w:pPr>
    <w:rPr>
      <w:rFonts w:ascii="宋体" w:hAnsi="宋体" w:cs="宋体"/>
      <w:sz w:val="24"/>
    </w:rPr>
  </w:style>
  <w:style w:type="paragraph" w:customStyle="1" w:styleId="971">
    <w:name w:val="修订4"/>
    <w:qFormat/>
    <w:uiPriority w:val="99"/>
    <w:rPr>
      <w:rFonts w:ascii="Times New Roman" w:hAnsi="Times New Roman" w:eastAsia="宋体" w:cs="Times New Roman"/>
      <w:kern w:val="2"/>
      <w:sz w:val="24"/>
      <w:szCs w:val="24"/>
      <w:lang w:val="en-US" w:eastAsia="zh-CN" w:bidi="ar-SA"/>
    </w:rPr>
  </w:style>
  <w:style w:type="paragraph" w:customStyle="1" w:styleId="972">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973">
    <w:name w:val="正文文本缩进1"/>
    <w:qFormat/>
    <w:uiPriority w:val="0"/>
    <w:pPr>
      <w:ind w:firstLine="420"/>
    </w:pPr>
    <w:rPr>
      <w:rFonts w:ascii="Arial" w:hAnsi="Arial" w:eastAsia="宋体" w:cs="Times New Roman"/>
      <w:sz w:val="28"/>
      <w:szCs w:val="21"/>
      <w:lang w:val="en-US" w:eastAsia="zh-CN" w:bidi="ar-SA"/>
    </w:rPr>
  </w:style>
  <w:style w:type="paragraph" w:customStyle="1" w:styleId="974">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4"/>
    </w:rPr>
  </w:style>
  <w:style w:type="paragraph" w:customStyle="1" w:styleId="975">
    <w:name w:val="表格标题1"/>
    <w:basedOn w:val="1"/>
    <w:qFormat/>
    <w:uiPriority w:val="0"/>
    <w:pPr>
      <w:jc w:val="center"/>
    </w:pPr>
    <w:rPr>
      <w:rFonts w:ascii="宋体" w:hAnsi="宋体"/>
      <w:b/>
      <w:sz w:val="24"/>
    </w:rPr>
  </w:style>
  <w:style w:type="paragraph" w:customStyle="1" w:styleId="976">
    <w:name w:val="Char Char Char Char1 Char Char"/>
    <w:basedOn w:val="1"/>
    <w:qFormat/>
    <w:uiPriority w:val="0"/>
    <w:pPr>
      <w:ind w:firstLine="200" w:firstLineChars="200"/>
    </w:pPr>
    <w:rPr>
      <w:rFonts w:ascii="宋体" w:hAnsi="宋体" w:cs="宋体"/>
      <w:sz w:val="24"/>
    </w:rPr>
  </w:style>
  <w:style w:type="paragraph" w:customStyle="1" w:styleId="977">
    <w:name w:val="xl12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Arial Narrow" w:hAnsi="Arial Narrow" w:cs="Arial Unicode MS"/>
      <w:b/>
      <w:bCs/>
      <w:kern w:val="0"/>
      <w:sz w:val="19"/>
      <w:szCs w:val="19"/>
    </w:rPr>
  </w:style>
  <w:style w:type="paragraph" w:customStyle="1" w:styleId="978">
    <w:name w:val="Char Char Char1 Char3"/>
    <w:basedOn w:val="1"/>
    <w:next w:val="1"/>
    <w:qFormat/>
    <w:uiPriority w:val="0"/>
    <w:pPr>
      <w:spacing w:line="360" w:lineRule="auto"/>
      <w:ind w:firstLine="200" w:firstLineChars="200"/>
    </w:pPr>
    <w:rPr>
      <w:rFonts w:ascii="宋体" w:hAnsi="宋体" w:cs="宋体"/>
      <w:sz w:val="24"/>
    </w:rPr>
  </w:style>
  <w:style w:type="paragraph" w:customStyle="1" w:styleId="979">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kern w:val="0"/>
      <w:sz w:val="19"/>
      <w:szCs w:val="19"/>
    </w:rPr>
  </w:style>
  <w:style w:type="paragraph" w:customStyle="1" w:styleId="980">
    <w:name w:val="Char Char Char1 Char"/>
    <w:basedOn w:val="1"/>
    <w:qFormat/>
    <w:uiPriority w:val="0"/>
  </w:style>
  <w:style w:type="paragraph" w:customStyle="1" w:styleId="981">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82">
    <w:name w:val="xl303"/>
    <w:basedOn w:val="1"/>
    <w:qFormat/>
    <w:uiPriority w:val="0"/>
    <w:pPr>
      <w:widowControl/>
      <w:pBdr>
        <w:left w:val="single" w:color="auto" w:sz="4" w:space="0"/>
      </w:pBdr>
      <w:spacing w:before="100" w:beforeAutospacing="1" w:after="100" w:afterAutospacing="1"/>
      <w:jc w:val="left"/>
    </w:pPr>
    <w:rPr>
      <w:rFonts w:ascii="宋体" w:hAnsi="宋体" w:cs="宋体"/>
      <w:kern w:val="0"/>
      <w:sz w:val="20"/>
      <w:szCs w:val="20"/>
    </w:rPr>
  </w:style>
  <w:style w:type="paragraph" w:customStyle="1" w:styleId="983">
    <w:name w:val="addcopyright1"/>
    <w:basedOn w:val="1"/>
    <w:qFormat/>
    <w:uiPriority w:val="0"/>
    <w:pPr>
      <w:widowControl/>
      <w:spacing w:beforeAutospacing="1" w:line="360" w:lineRule="atLeast"/>
      <w:ind w:firstLine="480"/>
      <w:jc w:val="left"/>
    </w:pPr>
    <w:rPr>
      <w:rFonts w:ascii="宋体" w:hAnsi="宋体" w:cs="宋体"/>
      <w:color w:val="FFFFFF"/>
      <w:kern w:val="0"/>
      <w:sz w:val="24"/>
    </w:rPr>
  </w:style>
  <w:style w:type="paragraph" w:customStyle="1" w:styleId="984">
    <w:name w:val="xl101"/>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center"/>
      <w:textAlignment w:val="center"/>
    </w:pPr>
    <w:rPr>
      <w:rFonts w:ascii="Arial Narrow" w:hAnsi="Arial Narrow" w:cs="Arial Unicode MS"/>
      <w:b/>
      <w:bCs/>
      <w:kern w:val="0"/>
      <w:sz w:val="19"/>
      <w:szCs w:val="19"/>
    </w:rPr>
  </w:style>
  <w:style w:type="paragraph" w:customStyle="1" w:styleId="98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98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color w:val="000000"/>
      <w:kern w:val="0"/>
      <w:sz w:val="24"/>
    </w:rPr>
  </w:style>
  <w:style w:type="paragraph" w:customStyle="1" w:styleId="987">
    <w:name w:val="TOC 标题2"/>
    <w:basedOn w:val="2"/>
    <w:next w:val="1"/>
    <w:qFormat/>
    <w:uiPriority w:val="0"/>
    <w:pPr>
      <w:widowControl/>
      <w:tabs>
        <w:tab w:val="clear" w:pos="360"/>
      </w:tabs>
      <w:adjustRightInd/>
      <w:spacing w:before="0" w:line="259" w:lineRule="auto"/>
      <w:ind w:left="0" w:leftChars="0" w:right="0" w:rightChars="0" w:firstLine="0"/>
      <w:outlineLvl w:val="9"/>
    </w:pPr>
    <w:rPr>
      <w:rFonts w:ascii="Cambria" w:hAnsi="Cambria" w:eastAsia="宋体"/>
      <w:b w:val="0"/>
      <w:color w:val="365F91"/>
      <w:kern w:val="0"/>
      <w:sz w:val="36"/>
    </w:rPr>
  </w:style>
  <w:style w:type="paragraph" w:customStyle="1" w:styleId="98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color w:val="000000"/>
      <w:kern w:val="0"/>
      <w:sz w:val="24"/>
    </w:rPr>
  </w:style>
  <w:style w:type="paragraph" w:customStyle="1" w:styleId="989">
    <w:name w:val="font5"/>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990">
    <w:name w:val="xl249"/>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b/>
      <w:bCs/>
      <w:kern w:val="0"/>
      <w:sz w:val="20"/>
      <w:szCs w:val="20"/>
    </w:rPr>
  </w:style>
  <w:style w:type="paragraph" w:customStyle="1" w:styleId="991">
    <w:name w:val="标题1q"/>
    <w:basedOn w:val="2"/>
    <w:qFormat/>
    <w:uiPriority w:val="0"/>
    <w:pPr>
      <w:tabs>
        <w:tab w:val="clear" w:pos="360"/>
      </w:tabs>
      <w:adjustRightInd/>
      <w:spacing w:before="0"/>
      <w:ind w:left="431" w:leftChars="0" w:right="0" w:rightChars="0" w:firstLine="0"/>
    </w:pPr>
    <w:rPr>
      <w:rFonts w:ascii="宋体" w:hAnsi="宋体" w:eastAsia="宋体" w:cs="宋体"/>
      <w:bCs/>
      <w:sz w:val="36"/>
    </w:rPr>
  </w:style>
  <w:style w:type="paragraph" w:customStyle="1" w:styleId="992">
    <w:name w:val="2"/>
    <w:basedOn w:val="1"/>
    <w:next w:val="49"/>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993">
    <w:name w:val="xl316"/>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994">
    <w:name w:val="样式 小四 行距: 多倍行距 1.25 字行"/>
    <w:basedOn w:val="1"/>
    <w:qFormat/>
    <w:uiPriority w:val="0"/>
    <w:pPr>
      <w:spacing w:before="100" w:beforeAutospacing="1" w:after="100" w:afterAutospacing="1" w:line="300" w:lineRule="auto"/>
      <w:ind w:firstLine="200" w:firstLineChars="200"/>
    </w:pPr>
    <w:rPr>
      <w:rFonts w:cs="宋体"/>
      <w:sz w:val="24"/>
      <w:szCs w:val="20"/>
    </w:rPr>
  </w:style>
  <w:style w:type="paragraph" w:customStyle="1" w:styleId="995">
    <w:name w:val="默认段落字体 Para Char Char Char Char Char Char Char Char Char1 Char Char Char Char Char Char Char"/>
    <w:basedOn w:val="1"/>
    <w:qFormat/>
    <w:uiPriority w:val="0"/>
    <w:rPr>
      <w:b/>
      <w:bCs/>
      <w:sz w:val="36"/>
      <w:szCs w:val="32"/>
    </w:rPr>
  </w:style>
  <w:style w:type="paragraph" w:customStyle="1" w:styleId="996">
    <w:name w:val="xl3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997">
    <w:name w:val="报告书正文"/>
    <w:basedOn w:val="1"/>
    <w:qFormat/>
    <w:uiPriority w:val="0"/>
    <w:pPr>
      <w:adjustRightInd w:val="0"/>
      <w:snapToGrid w:val="0"/>
      <w:spacing w:line="400" w:lineRule="atLeast"/>
      <w:ind w:firstLine="567"/>
    </w:pPr>
    <w:rPr>
      <w:sz w:val="24"/>
      <w:szCs w:val="20"/>
    </w:rPr>
  </w:style>
  <w:style w:type="paragraph" w:customStyle="1" w:styleId="998">
    <w:name w:val="Char Char Char Char Char Char1 Char Char Char1 Char Char Char Char Char Char Char Char Char Char Char Char Char Char Char1 Char Char Char1 Char Char Char Char"/>
    <w:basedOn w:val="1"/>
    <w:qFormat/>
    <w:uiPriority w:val="0"/>
    <w:pPr>
      <w:spacing w:line="360" w:lineRule="auto"/>
      <w:ind w:firstLine="200" w:firstLineChars="200"/>
    </w:pPr>
    <w:rPr>
      <w:rFonts w:ascii="宋体" w:hAnsi="宋体" w:cs="宋体"/>
      <w:sz w:val="24"/>
    </w:rPr>
  </w:style>
  <w:style w:type="paragraph" w:customStyle="1" w:styleId="999">
    <w:name w:val="xl123"/>
    <w:basedOn w:val="1"/>
    <w:qFormat/>
    <w:uiPriority w:val="0"/>
    <w:pPr>
      <w:widowControl/>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100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001">
    <w:name w:val="et32"/>
    <w:basedOn w:val="1"/>
    <w:qFormat/>
    <w:uiPriority w:val="99"/>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002">
    <w:name w:val="Char26"/>
    <w:basedOn w:val="1"/>
    <w:qFormat/>
    <w:uiPriority w:val="0"/>
    <w:pPr>
      <w:spacing w:line="360" w:lineRule="auto"/>
      <w:ind w:firstLine="200" w:firstLineChars="200"/>
    </w:pPr>
    <w:rPr>
      <w:rFonts w:ascii="宋体" w:hAnsi="宋体" w:cs="宋体"/>
      <w:sz w:val="24"/>
    </w:rPr>
  </w:style>
  <w:style w:type="paragraph" w:customStyle="1" w:styleId="1003">
    <w:name w:val="Table Paragraph"/>
    <w:basedOn w:val="1"/>
    <w:qFormat/>
    <w:uiPriority w:val="0"/>
    <w:pPr>
      <w:autoSpaceDE w:val="0"/>
      <w:autoSpaceDN w:val="0"/>
      <w:adjustRightInd w:val="0"/>
      <w:jc w:val="left"/>
    </w:pPr>
    <w:rPr>
      <w:kern w:val="0"/>
      <w:sz w:val="24"/>
    </w:rPr>
  </w:style>
  <w:style w:type="paragraph" w:customStyle="1" w:styleId="1004">
    <w:name w:val="xl35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005">
    <w:name w:val="xl6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top"/>
    </w:pPr>
    <w:rPr>
      <w:rFonts w:ascii="仿宋_GB2312" w:hAnsi="Arial Unicode MS" w:eastAsia="仿宋_GB2312" w:cs="Arial Unicode MS"/>
      <w:b/>
      <w:bCs/>
      <w:color w:val="000000"/>
      <w:kern w:val="0"/>
      <w:sz w:val="24"/>
    </w:rPr>
  </w:style>
  <w:style w:type="paragraph" w:customStyle="1" w:styleId="1006">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07">
    <w:name w:val="封面2"/>
    <w:next w:val="1"/>
    <w:qFormat/>
    <w:uiPriority w:val="0"/>
    <w:pPr>
      <w:jc w:val="center"/>
    </w:pPr>
    <w:rPr>
      <w:rFonts w:ascii="Times New Roman" w:hAnsi="Times New Roman" w:eastAsia="宋体" w:cs="Times New Roman"/>
      <w:kern w:val="2"/>
      <w:sz w:val="32"/>
      <w:szCs w:val="24"/>
      <w:lang w:val="en-US" w:eastAsia="zh-CN" w:bidi="ar-SA"/>
    </w:rPr>
  </w:style>
  <w:style w:type="paragraph" w:customStyle="1" w:styleId="1008">
    <w:name w:val="xl29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1009">
    <w:name w:val="表格1"/>
    <w:basedOn w:val="1"/>
    <w:qFormat/>
    <w:uiPriority w:val="0"/>
    <w:pPr>
      <w:autoSpaceDE w:val="0"/>
      <w:autoSpaceDN w:val="0"/>
      <w:adjustRightInd w:val="0"/>
      <w:snapToGrid w:val="0"/>
      <w:spacing w:line="400" w:lineRule="atLeast"/>
      <w:jc w:val="center"/>
    </w:pPr>
    <w:rPr>
      <w:rFonts w:ascii="黑体" w:hAnsi="Courier New" w:eastAsia="黑体" w:cs="Courier New"/>
      <w:color w:val="0000FF"/>
      <w:sz w:val="24"/>
      <w:szCs w:val="21"/>
    </w:rPr>
  </w:style>
  <w:style w:type="paragraph" w:customStyle="1" w:styleId="1010">
    <w:name w:val="xl33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11">
    <w:name w:val="Char Char Char1 Char Char Char Char Char Char Char"/>
    <w:basedOn w:val="1"/>
    <w:qFormat/>
    <w:uiPriority w:val="0"/>
    <w:pPr>
      <w:spacing w:line="360" w:lineRule="auto"/>
      <w:ind w:firstLine="200" w:firstLineChars="200"/>
    </w:pPr>
    <w:rPr>
      <w:rFonts w:ascii="宋体" w:hAnsi="宋体" w:cs="宋体"/>
      <w:sz w:val="24"/>
    </w:rPr>
  </w:style>
  <w:style w:type="paragraph" w:customStyle="1" w:styleId="1012">
    <w:name w:val="xl306"/>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1013">
    <w:name w:val="xl112"/>
    <w:basedOn w:val="1"/>
    <w:qFormat/>
    <w:uiPriority w:val="0"/>
    <w:pPr>
      <w:widowControl/>
      <w:pBdr>
        <w:left w:val="single" w:color="auto" w:sz="4" w:space="0"/>
      </w:pBdr>
      <w:spacing w:before="100" w:beforeAutospacing="1" w:after="100" w:afterAutospacing="1"/>
      <w:jc w:val="center"/>
      <w:textAlignment w:val="center"/>
    </w:pPr>
    <w:rPr>
      <w:rFonts w:ascii="Arial Narrow" w:hAnsi="Arial Narrow" w:cs="Arial Unicode MS"/>
      <w:b/>
      <w:bCs/>
      <w:color w:val="800000"/>
      <w:kern w:val="0"/>
      <w:sz w:val="19"/>
      <w:szCs w:val="19"/>
    </w:rPr>
  </w:style>
  <w:style w:type="paragraph" w:customStyle="1" w:styleId="1014">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015">
    <w:name w:val="Char Char Char Char Char Char Char Char Char Char Char Char Char Char Char Char Char Char Char Char Char Char Char Char Char Char Char Char Char Char Char Char Char Char Char Char Char Char Char Char Char Char Char Char Char Char4"/>
    <w:basedOn w:val="1"/>
    <w:next w:val="1"/>
    <w:qFormat/>
    <w:uiPriority w:val="0"/>
    <w:pPr>
      <w:pBdr>
        <w:right w:val="single" w:color="auto" w:sz="12" w:space="4"/>
      </w:pBdr>
      <w:spacing w:line="360" w:lineRule="auto"/>
      <w:ind w:firstLine="200" w:firstLineChars="200"/>
    </w:pPr>
    <w:rPr>
      <w:sz w:val="28"/>
      <w:szCs w:val="20"/>
    </w:rPr>
  </w:style>
  <w:style w:type="paragraph" w:customStyle="1" w:styleId="1016">
    <w:name w:val="Char Char Char Char Char Char Char Char Char Char"/>
    <w:basedOn w:val="1"/>
    <w:qFormat/>
    <w:uiPriority w:val="0"/>
    <w:pPr>
      <w:spacing w:beforeLines="100" w:afterLines="50" w:line="360" w:lineRule="auto"/>
      <w:jc w:val="left"/>
    </w:pPr>
    <w:rPr>
      <w:rFonts w:ascii="Tahoma" w:hAnsi="Tahoma"/>
      <w:sz w:val="24"/>
      <w:szCs w:val="20"/>
    </w:rPr>
  </w:style>
  <w:style w:type="paragraph" w:customStyle="1" w:styleId="1017">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18">
    <w:name w:val="Char Char Char Char6"/>
    <w:basedOn w:val="1"/>
    <w:qFormat/>
    <w:uiPriority w:val="0"/>
    <w:pPr>
      <w:spacing w:before="120" w:after="120" w:line="360" w:lineRule="auto"/>
      <w:ind w:firstLine="420"/>
    </w:pPr>
    <w:rPr>
      <w:rFonts w:ascii="Tahoma" w:hAnsi="Tahoma"/>
      <w:sz w:val="28"/>
      <w:szCs w:val="20"/>
    </w:rPr>
  </w:style>
  <w:style w:type="paragraph" w:customStyle="1" w:styleId="1019">
    <w:name w:val="样式2 Char Char"/>
    <w:basedOn w:val="1"/>
    <w:qFormat/>
    <w:uiPriority w:val="0"/>
    <w:rPr>
      <w:sz w:val="24"/>
    </w:rPr>
  </w:style>
  <w:style w:type="paragraph" w:customStyle="1" w:styleId="1020">
    <w:name w:val="xl35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21">
    <w:name w:val="xl7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仿宋_GB2312" w:hAnsi="Arial Unicode MS" w:eastAsia="仿宋_GB2312" w:cs="Arial Unicode MS"/>
      <w:color w:val="000000"/>
      <w:kern w:val="0"/>
      <w:sz w:val="24"/>
    </w:rPr>
  </w:style>
  <w:style w:type="paragraph" w:customStyle="1" w:styleId="1022">
    <w:name w:val="Char Char Char Char Char Char Char7"/>
    <w:basedOn w:val="1"/>
    <w:qFormat/>
    <w:uiPriority w:val="0"/>
    <w:pPr>
      <w:spacing w:line="360" w:lineRule="auto"/>
      <w:ind w:firstLine="200" w:firstLineChars="200"/>
    </w:pPr>
    <w:rPr>
      <w:rFonts w:ascii="宋体" w:hAnsi="宋体" w:cs="宋体"/>
      <w:sz w:val="24"/>
    </w:rPr>
  </w:style>
  <w:style w:type="paragraph" w:customStyle="1" w:styleId="102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024">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025">
    <w:name w:val="Char Char1 Char2"/>
    <w:basedOn w:val="1"/>
    <w:qFormat/>
    <w:uiPriority w:val="99"/>
  </w:style>
  <w:style w:type="paragraph" w:customStyle="1" w:styleId="1026">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02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028">
    <w:name w:val="xl35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29">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Arial Narrow" w:hAnsi="Arial Narrow" w:cs="Arial Unicode MS"/>
      <w:kern w:val="0"/>
      <w:sz w:val="19"/>
      <w:szCs w:val="19"/>
    </w:rPr>
  </w:style>
  <w:style w:type="paragraph" w:customStyle="1" w:styleId="1030">
    <w:name w:val="默认段落字体 Para Char"/>
    <w:basedOn w:val="1"/>
    <w:qFormat/>
    <w:uiPriority w:val="0"/>
    <w:pPr>
      <w:spacing w:line="360" w:lineRule="auto"/>
      <w:ind w:firstLine="200" w:firstLineChars="200"/>
    </w:pPr>
    <w:rPr>
      <w:rFonts w:ascii="宋体" w:hAnsi="宋体" w:cs="宋体"/>
      <w:sz w:val="24"/>
    </w:rPr>
  </w:style>
  <w:style w:type="paragraph" w:customStyle="1" w:styleId="1031">
    <w:name w:val="样式 标题 1 + 首行缩进:  0.99 厘米"/>
    <w:qFormat/>
    <w:uiPriority w:val="0"/>
    <w:rPr>
      <w:rFonts w:ascii="Times New Roman" w:hAnsi="Times New Roman" w:eastAsia="宋体" w:cs="宋体"/>
      <w:szCs w:val="32"/>
      <w:lang w:val="en-US" w:eastAsia="zh-CN" w:bidi="ar-SA"/>
    </w:rPr>
  </w:style>
  <w:style w:type="paragraph" w:customStyle="1" w:styleId="1032">
    <w:name w:val="标题11"/>
    <w:basedOn w:val="1"/>
    <w:qFormat/>
    <w:uiPriority w:val="0"/>
    <w:pPr>
      <w:tabs>
        <w:tab w:val="left" w:pos="1292"/>
      </w:tabs>
      <w:adjustRightInd w:val="0"/>
      <w:snapToGrid w:val="0"/>
      <w:spacing w:line="360" w:lineRule="auto"/>
      <w:ind w:left="1292" w:hanging="420"/>
    </w:pPr>
    <w:rPr>
      <w:sz w:val="28"/>
      <w:szCs w:val="20"/>
    </w:rPr>
  </w:style>
  <w:style w:type="paragraph" w:customStyle="1" w:styleId="1033">
    <w:name w:val="xl35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34">
    <w:name w:val="Char52"/>
    <w:basedOn w:val="1"/>
    <w:qFormat/>
    <w:uiPriority w:val="0"/>
    <w:pPr>
      <w:spacing w:line="360" w:lineRule="auto"/>
      <w:ind w:firstLine="200" w:firstLineChars="200"/>
    </w:pPr>
    <w:rPr>
      <w:rFonts w:ascii="宋体" w:hAnsi="宋体" w:cs="宋体"/>
      <w:sz w:val="24"/>
    </w:rPr>
  </w:style>
  <w:style w:type="paragraph" w:customStyle="1" w:styleId="1035">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036">
    <w:name w:val="Char Char Char Char"/>
    <w:basedOn w:val="1"/>
    <w:qFormat/>
    <w:uiPriority w:val="0"/>
    <w:pPr>
      <w:spacing w:line="360" w:lineRule="auto"/>
      <w:ind w:firstLine="420"/>
      <w:jc w:val="left"/>
    </w:pPr>
    <w:rPr>
      <w:sz w:val="28"/>
    </w:rPr>
  </w:style>
  <w:style w:type="paragraph" w:customStyle="1" w:styleId="103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38">
    <w:name w:val="列出段落11"/>
    <w:basedOn w:val="1"/>
    <w:qFormat/>
    <w:uiPriority w:val="99"/>
    <w:pPr>
      <w:ind w:firstLine="420" w:firstLineChars="200"/>
    </w:pPr>
  </w:style>
  <w:style w:type="paragraph" w:customStyle="1" w:styleId="1039">
    <w:name w:val="p0"/>
    <w:basedOn w:val="1"/>
    <w:qFormat/>
    <w:uiPriority w:val="0"/>
    <w:pPr>
      <w:widowControl/>
      <w:spacing w:line="360" w:lineRule="auto"/>
      <w:jc w:val="left"/>
    </w:pPr>
    <w:rPr>
      <w:kern w:val="0"/>
      <w:sz w:val="28"/>
      <w:szCs w:val="21"/>
    </w:rPr>
  </w:style>
  <w:style w:type="paragraph" w:customStyle="1" w:styleId="1040">
    <w:name w:val="xl13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041">
    <w:name w:val="章节"/>
    <w:next w:val="1"/>
    <w:qFormat/>
    <w:uiPriority w:val="0"/>
    <w:pPr>
      <w:adjustRightInd w:val="0"/>
      <w:snapToGrid w:val="0"/>
      <w:spacing w:beforeLines="300" w:afterLines="300"/>
    </w:pPr>
    <w:rPr>
      <w:rFonts w:ascii="黑体" w:hAnsi="Times New Roman" w:eastAsia="黑体" w:cs="Times New Roman"/>
      <w:b/>
      <w:spacing w:val="10"/>
      <w:sz w:val="28"/>
      <w:lang w:val="en-US" w:eastAsia="zh-CN" w:bidi="ar-SA"/>
    </w:rPr>
  </w:style>
  <w:style w:type="paragraph" w:customStyle="1" w:styleId="1042">
    <w:name w:val="Char Char Char Char1 Char Char Char Char Char Char Char Char1 Char Char Char"/>
    <w:basedOn w:val="1"/>
    <w:qFormat/>
    <w:uiPriority w:val="0"/>
    <w:pPr>
      <w:ind w:firstLine="200" w:firstLineChars="200"/>
    </w:pPr>
    <w:rPr>
      <w:rFonts w:ascii="宋体" w:hAnsi="宋体" w:cs="宋体"/>
      <w:sz w:val="24"/>
    </w:rPr>
  </w:style>
  <w:style w:type="paragraph" w:customStyle="1" w:styleId="1043">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kern w:val="0"/>
      <w:sz w:val="20"/>
      <w:szCs w:val="20"/>
    </w:rPr>
  </w:style>
  <w:style w:type="paragraph" w:customStyle="1" w:styleId="1044">
    <w:name w:val="font0"/>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1045">
    <w:name w:val="List Paragraph2"/>
    <w:basedOn w:val="1"/>
    <w:qFormat/>
    <w:uiPriority w:val="99"/>
    <w:pPr>
      <w:ind w:firstLine="420" w:firstLineChars="200"/>
    </w:pPr>
  </w:style>
  <w:style w:type="paragraph" w:customStyle="1" w:styleId="1046">
    <w:name w:val="xl67"/>
    <w:basedOn w:val="1"/>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仿宋_GB2312" w:hAnsi="Arial Unicode MS" w:eastAsia="仿宋_GB2312" w:cs="Arial Unicode MS"/>
      <w:color w:val="000000"/>
      <w:kern w:val="0"/>
      <w:sz w:val="24"/>
    </w:rPr>
  </w:style>
  <w:style w:type="paragraph" w:customStyle="1" w:styleId="1047">
    <w:name w:val="Char Char Char Char5"/>
    <w:basedOn w:val="1"/>
    <w:qFormat/>
    <w:uiPriority w:val="0"/>
    <w:pPr>
      <w:spacing w:before="120" w:after="120" w:line="360" w:lineRule="auto"/>
      <w:ind w:firstLine="420"/>
    </w:pPr>
    <w:rPr>
      <w:rFonts w:ascii="Tahoma" w:hAnsi="Tahoma"/>
      <w:sz w:val="28"/>
      <w:szCs w:val="20"/>
    </w:rPr>
  </w:style>
  <w:style w:type="paragraph" w:customStyle="1" w:styleId="1048">
    <w:name w:val="标题 + 小三"/>
    <w:basedOn w:val="1"/>
    <w:qFormat/>
    <w:uiPriority w:val="0"/>
    <w:pPr>
      <w:outlineLvl w:val="1"/>
    </w:pPr>
    <w:rPr>
      <w:b/>
      <w:sz w:val="30"/>
      <w:szCs w:val="30"/>
    </w:rPr>
  </w:style>
  <w:style w:type="paragraph" w:customStyle="1" w:styleId="1049">
    <w:name w:val="样式8 Char"/>
    <w:basedOn w:val="1"/>
    <w:next w:val="1"/>
    <w:qFormat/>
    <w:uiPriority w:val="0"/>
    <w:pPr>
      <w:adjustRightInd w:val="0"/>
      <w:snapToGrid w:val="0"/>
      <w:spacing w:line="360" w:lineRule="auto"/>
      <w:ind w:firstLine="200" w:firstLineChars="200"/>
    </w:pPr>
    <w:rPr>
      <w:sz w:val="24"/>
    </w:rPr>
  </w:style>
  <w:style w:type="paragraph" w:customStyle="1" w:styleId="1050">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1051">
    <w:name w:val="列表1"/>
    <w:basedOn w:val="1"/>
    <w:next w:val="39"/>
    <w:qFormat/>
    <w:uiPriority w:val="99"/>
    <w:pPr>
      <w:autoSpaceDE w:val="0"/>
      <w:autoSpaceDN w:val="0"/>
      <w:adjustRightInd w:val="0"/>
      <w:ind w:left="360" w:hanging="360"/>
      <w:jc w:val="left"/>
      <w:textAlignment w:val="baseline"/>
    </w:pPr>
    <w:rPr>
      <w:kern w:val="0"/>
      <w:sz w:val="20"/>
      <w:szCs w:val="20"/>
    </w:rPr>
  </w:style>
  <w:style w:type="paragraph" w:customStyle="1" w:styleId="1052">
    <w:name w:val="Char Char Char Char Char Char Char2"/>
    <w:basedOn w:val="1"/>
    <w:qFormat/>
    <w:uiPriority w:val="0"/>
    <w:pPr>
      <w:spacing w:line="360" w:lineRule="auto"/>
      <w:ind w:firstLine="200" w:firstLineChars="200"/>
    </w:pPr>
    <w:rPr>
      <w:rFonts w:ascii="宋体" w:hAnsi="宋体" w:cs="宋体"/>
      <w:sz w:val="24"/>
    </w:rPr>
  </w:style>
  <w:style w:type="paragraph" w:customStyle="1" w:styleId="1053">
    <w:name w:val="样式 标题 4 + 非加粗"/>
    <w:basedOn w:val="5"/>
    <w:qFormat/>
    <w:uiPriority w:val="0"/>
    <w:pPr>
      <w:keepNext/>
      <w:keepLines/>
      <w:tabs>
        <w:tab w:val="clear" w:pos="2155"/>
      </w:tabs>
      <w:adjustRightInd/>
      <w:spacing w:before="0" w:line="480" w:lineRule="exact"/>
      <w:ind w:left="0" w:firstLine="0"/>
    </w:pPr>
    <w:rPr>
      <w:rFonts w:ascii="Times New Roman" w:hAnsi="Arial" w:eastAsia="宋体"/>
      <w:szCs w:val="28"/>
    </w:rPr>
  </w:style>
  <w:style w:type="paragraph" w:customStyle="1" w:styleId="1054">
    <w:name w:val="字元 字元 Char Char 字元 字元 Char Char 字元 字元"/>
    <w:basedOn w:val="1"/>
    <w:qFormat/>
    <w:uiPriority w:val="0"/>
    <w:pPr>
      <w:spacing w:line="360" w:lineRule="auto"/>
      <w:ind w:firstLine="200" w:firstLineChars="200"/>
    </w:pPr>
    <w:rPr>
      <w:rFonts w:ascii="宋体" w:hAnsi="宋体" w:cs="宋体"/>
      <w:sz w:val="24"/>
    </w:rPr>
  </w:style>
  <w:style w:type="paragraph" w:customStyle="1" w:styleId="105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4"/>
    </w:rPr>
  </w:style>
  <w:style w:type="paragraph" w:customStyle="1" w:styleId="1056">
    <w:name w:val="xl284"/>
    <w:basedOn w:val="1"/>
    <w:qFormat/>
    <w:uiPriority w:val="0"/>
    <w:pPr>
      <w:widowControl/>
      <w:pBdr>
        <w:top w:val="single" w:color="auto" w:sz="4" w:space="0"/>
        <w:left w:val="single" w:color="auto" w:sz="4" w:space="0"/>
        <w:bottom w:val="single" w:color="auto" w:sz="4" w:space="0"/>
        <w:right w:val="single" w:color="auto" w:sz="4" w:space="0"/>
      </w:pBdr>
      <w:shd w:val="clear" w:color="000000" w:fill="DAEEF3"/>
      <w:spacing w:before="100" w:beforeAutospacing="1" w:after="100" w:afterAutospacing="1"/>
      <w:jc w:val="center"/>
    </w:pPr>
    <w:rPr>
      <w:rFonts w:ascii="宋体" w:hAnsi="宋体" w:cs="宋体"/>
      <w:b/>
      <w:bCs/>
      <w:kern w:val="0"/>
      <w:sz w:val="20"/>
      <w:szCs w:val="20"/>
    </w:rPr>
  </w:style>
  <w:style w:type="paragraph" w:customStyle="1" w:styleId="1057">
    <w:name w:val="et6"/>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1058">
    <w:name w:val="Char10"/>
    <w:basedOn w:val="1"/>
    <w:qFormat/>
    <w:uiPriority w:val="0"/>
    <w:pPr>
      <w:spacing w:line="360" w:lineRule="auto"/>
      <w:ind w:firstLine="200" w:firstLineChars="200"/>
    </w:pPr>
    <w:rPr>
      <w:rFonts w:ascii="宋体" w:hAnsi="宋体" w:cs="宋体"/>
      <w:sz w:val="24"/>
    </w:rPr>
  </w:style>
  <w:style w:type="paragraph" w:customStyle="1" w:styleId="1059">
    <w:name w:val="Char Char13"/>
    <w:basedOn w:val="1"/>
    <w:qFormat/>
    <w:uiPriority w:val="0"/>
    <w:pPr>
      <w:spacing w:line="360" w:lineRule="auto"/>
      <w:ind w:firstLine="200" w:firstLineChars="200"/>
    </w:pPr>
    <w:rPr>
      <w:rFonts w:ascii="宋体" w:hAnsi="宋体" w:cs="宋体"/>
      <w:sz w:val="24"/>
    </w:rPr>
  </w:style>
  <w:style w:type="paragraph" w:customStyle="1" w:styleId="1060">
    <w:name w:val="xl3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1">
    <w:name w:val="Char46"/>
    <w:basedOn w:val="1"/>
    <w:qFormat/>
    <w:uiPriority w:val="0"/>
    <w:pPr>
      <w:spacing w:line="360" w:lineRule="auto"/>
      <w:ind w:firstLine="200" w:firstLineChars="200"/>
    </w:pPr>
    <w:rPr>
      <w:rFonts w:ascii="宋体" w:hAnsi="宋体" w:cs="宋体"/>
      <w:sz w:val="24"/>
    </w:rPr>
  </w:style>
  <w:style w:type="paragraph" w:customStyle="1" w:styleId="1062">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63">
    <w:name w:val="样式 样式 标题 3 + 右侧:  0.34 厘米 + 段前: 0.5 行 段后: 0.5 行"/>
    <w:basedOn w:val="1"/>
    <w:qFormat/>
    <w:uiPriority w:val="0"/>
    <w:pPr>
      <w:keepNext/>
      <w:keepLines/>
      <w:tabs>
        <w:tab w:val="left" w:pos="1780"/>
      </w:tabs>
      <w:ind w:left="1780" w:hanging="420"/>
      <w:jc w:val="left"/>
      <w:outlineLvl w:val="2"/>
    </w:pPr>
    <w:rPr>
      <w:rFonts w:cs="宋体"/>
      <w:b/>
      <w:bCs/>
      <w:kern w:val="44"/>
      <w:sz w:val="24"/>
      <w:szCs w:val="20"/>
    </w:rPr>
  </w:style>
  <w:style w:type="paragraph" w:customStyle="1" w:styleId="1064">
    <w:name w:val="表格标题"/>
    <w:basedOn w:val="1"/>
    <w:qFormat/>
    <w:uiPriority w:val="0"/>
    <w:pPr>
      <w:spacing w:line="360" w:lineRule="auto"/>
      <w:jc w:val="center"/>
    </w:pPr>
    <w:rPr>
      <w:rFonts w:ascii="Calibri" w:hAnsi="Calibri"/>
      <w:b/>
      <w:color w:val="000000"/>
      <w:sz w:val="24"/>
    </w:rPr>
  </w:style>
  <w:style w:type="paragraph" w:customStyle="1" w:styleId="1065">
    <w:name w:val="et22"/>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066">
    <w:name w:val="表名"/>
    <w:basedOn w:val="28"/>
    <w:qFormat/>
    <w:uiPriority w:val="0"/>
    <w:pPr>
      <w:jc w:val="center"/>
    </w:pPr>
    <w:rPr>
      <w:rFonts w:ascii="Times New Roman" w:hAnsi="Times New Roman" w:eastAsia="仿宋_GB2312" w:cs="Courier New"/>
      <w:b/>
      <w:sz w:val="28"/>
      <w:szCs w:val="21"/>
    </w:rPr>
  </w:style>
  <w:style w:type="paragraph" w:customStyle="1" w:styleId="1067">
    <w:name w:val="xl337"/>
    <w:basedOn w:val="1"/>
    <w:qFormat/>
    <w:uiPriority w:val="0"/>
    <w:pPr>
      <w:widowControl/>
      <w:pBdr>
        <w:left w:val="single" w:color="auto" w:sz="4" w:space="0"/>
        <w:bottom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1068">
    <w:name w:val="xl7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仿宋_GB2312" w:hAnsi="Arial Unicode MS" w:eastAsia="仿宋_GB2312" w:cs="Arial Unicode MS"/>
      <w:color w:val="000000"/>
      <w:kern w:val="0"/>
      <w:sz w:val="24"/>
    </w:rPr>
  </w:style>
  <w:style w:type="paragraph" w:customStyle="1" w:styleId="1069">
    <w:name w:val="xl23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0">
    <w:name w:val="xl234"/>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1">
    <w:name w:val="et3"/>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1072">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073">
    <w:name w:val="TOC 标题11"/>
    <w:basedOn w:val="2"/>
    <w:next w:val="1"/>
    <w:qFormat/>
    <w:uiPriority w:val="99"/>
    <w:pPr>
      <w:widowControl/>
      <w:tabs>
        <w:tab w:val="clear" w:pos="360"/>
      </w:tabs>
      <w:adjustRightInd/>
      <w:spacing w:before="0" w:line="276" w:lineRule="auto"/>
      <w:ind w:left="0" w:leftChars="0" w:right="0" w:rightChars="0" w:firstLine="640"/>
      <w:outlineLvl w:val="9"/>
    </w:pPr>
    <w:rPr>
      <w:rFonts w:ascii="Cambria" w:hAnsi="Cambria" w:eastAsia="宋体"/>
      <w:bCs/>
      <w:color w:val="365F91"/>
      <w:kern w:val="0"/>
      <w:szCs w:val="28"/>
    </w:rPr>
  </w:style>
  <w:style w:type="paragraph" w:customStyle="1" w:styleId="1074">
    <w:name w:val="图片标题"/>
    <w:basedOn w:val="1"/>
    <w:next w:val="1"/>
    <w:qFormat/>
    <w:uiPriority w:val="0"/>
    <w:pPr>
      <w:spacing w:afterLines="50" w:line="312" w:lineRule="auto"/>
      <w:jc w:val="center"/>
    </w:pPr>
    <w:rPr>
      <w:rFonts w:ascii="Arial" w:hAnsi="Arial" w:eastAsia="黑体" w:cs="宋体"/>
      <w:szCs w:val="20"/>
    </w:rPr>
  </w:style>
  <w:style w:type="paragraph" w:customStyle="1" w:styleId="1075">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76">
    <w:name w:val="xl7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仿宋_GB2312" w:hAnsi="Arial Unicode MS" w:eastAsia="仿宋_GB2312" w:cs="Arial Unicode MS"/>
      <w:color w:val="000000"/>
      <w:kern w:val="0"/>
      <w:sz w:val="24"/>
    </w:rPr>
  </w:style>
  <w:style w:type="paragraph" w:customStyle="1" w:styleId="1077">
    <w:name w:val="xl10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1078">
    <w:name w:val="正文文字缩进 3"/>
    <w:basedOn w:val="1"/>
    <w:qFormat/>
    <w:uiPriority w:val="0"/>
    <w:pPr>
      <w:ind w:firstLine="555"/>
    </w:pPr>
    <w:rPr>
      <w:rFonts w:ascii="宋体" w:cs="宋体"/>
      <w:sz w:val="24"/>
    </w:rPr>
  </w:style>
  <w:style w:type="paragraph" w:customStyle="1" w:styleId="1079">
    <w:name w:val="xl88"/>
    <w:basedOn w:val="1"/>
    <w:qFormat/>
    <w:uiPriority w:val="0"/>
    <w:pPr>
      <w:widowControl/>
      <w:pBdr>
        <w:top w:val="single" w:color="auto" w:sz="4" w:space="0"/>
        <w:left w:val="single" w:color="auto" w:sz="4" w:space="0"/>
      </w:pBdr>
      <w:spacing w:before="100" w:beforeAutospacing="1" w:after="100" w:afterAutospacing="1"/>
      <w:jc w:val="right"/>
      <w:textAlignment w:val="center"/>
    </w:pPr>
    <w:rPr>
      <w:rFonts w:ascii="仿宋_GB2312" w:hAnsi="Arial Unicode MS" w:eastAsia="仿宋_GB2312" w:cs="Arial Unicode MS"/>
      <w:color w:val="000000"/>
      <w:kern w:val="0"/>
      <w:sz w:val="24"/>
    </w:rPr>
  </w:style>
  <w:style w:type="paragraph" w:customStyle="1" w:styleId="1080">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81">
    <w:name w:val="font2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08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083">
    <w:name w:val="Char Char Char1 Char5"/>
    <w:basedOn w:val="1"/>
    <w:qFormat/>
    <w:uiPriority w:val="0"/>
  </w:style>
  <w:style w:type="paragraph" w:customStyle="1" w:styleId="1084">
    <w:name w:val="et35"/>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085">
    <w:name w:val="Char Char Char Char Char Char Char Char Char Char Char Char Char Char Char Char Char Char Char Char Char Char Char Char Char Char Char Char Char Char Char Char Char Char Char Char Char Char Char Char Char Char Char Char Char Char2"/>
    <w:basedOn w:val="1"/>
    <w:next w:val="1"/>
    <w:qFormat/>
    <w:uiPriority w:val="0"/>
    <w:pPr>
      <w:pBdr>
        <w:right w:val="single" w:color="auto" w:sz="12" w:space="4"/>
      </w:pBdr>
      <w:spacing w:line="360" w:lineRule="auto"/>
      <w:ind w:firstLine="200" w:firstLineChars="200"/>
    </w:pPr>
    <w:rPr>
      <w:sz w:val="28"/>
      <w:szCs w:val="20"/>
    </w:rPr>
  </w:style>
  <w:style w:type="paragraph" w:customStyle="1" w:styleId="1086">
    <w:name w:val="xl99"/>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center"/>
      <w:textAlignment w:val="center"/>
    </w:pPr>
    <w:rPr>
      <w:rFonts w:ascii="Arial Narrow" w:hAnsi="Arial Narrow" w:cs="Arial Unicode MS"/>
      <w:color w:val="800000"/>
      <w:kern w:val="0"/>
      <w:sz w:val="19"/>
      <w:szCs w:val="19"/>
    </w:rPr>
  </w:style>
  <w:style w:type="paragraph" w:customStyle="1" w:styleId="1087">
    <w:name w:val="Char Char Char Char Char Char"/>
    <w:basedOn w:val="1"/>
    <w:qFormat/>
    <w:uiPriority w:val="0"/>
    <w:rPr>
      <w:sz w:val="24"/>
    </w:rPr>
  </w:style>
  <w:style w:type="paragraph" w:customStyle="1" w:styleId="108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1089">
    <w:name w:val="7"/>
    <w:basedOn w:val="1"/>
    <w:next w:val="23"/>
    <w:qFormat/>
    <w:uiPriority w:val="0"/>
    <w:pPr>
      <w:autoSpaceDE w:val="0"/>
      <w:autoSpaceDN w:val="0"/>
      <w:adjustRightInd w:val="0"/>
    </w:pPr>
    <w:rPr>
      <w:color w:val="000000"/>
      <w:sz w:val="18"/>
      <w:szCs w:val="18"/>
      <w:lang w:val="zh-CN"/>
    </w:rPr>
  </w:style>
  <w:style w:type="paragraph" w:customStyle="1" w:styleId="1090">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cs="宋体"/>
      <w:sz w:val="24"/>
    </w:rPr>
  </w:style>
  <w:style w:type="paragraph" w:customStyle="1" w:styleId="1091">
    <w:name w:val="yy"/>
    <w:basedOn w:val="1"/>
    <w:qFormat/>
    <w:uiPriority w:val="0"/>
    <w:pPr>
      <w:adjustRightInd w:val="0"/>
      <w:spacing w:after="60" w:line="269" w:lineRule="auto"/>
      <w:ind w:firstLine="510"/>
      <w:textAlignment w:val="baseline"/>
    </w:pPr>
    <w:rPr>
      <w:kern w:val="0"/>
      <w:sz w:val="24"/>
      <w:szCs w:val="20"/>
    </w:rPr>
  </w:style>
  <w:style w:type="paragraph" w:customStyle="1" w:styleId="1092">
    <w:name w:val="表格标题A"/>
    <w:basedOn w:val="1"/>
    <w:qFormat/>
    <w:uiPriority w:val="0"/>
    <w:pPr>
      <w:spacing w:line="288" w:lineRule="auto"/>
      <w:jc w:val="center"/>
    </w:pPr>
    <w:rPr>
      <w:rFonts w:ascii="Arial" w:hAnsi="Arial" w:eastAsia="黑体"/>
      <w:sz w:val="24"/>
      <w:szCs w:val="22"/>
    </w:rPr>
  </w:style>
  <w:style w:type="paragraph" w:customStyle="1" w:styleId="1093">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94">
    <w:name w:val="et26"/>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095">
    <w:name w:val="样式 样式 样式 报告书正文 + 倾斜 居中 底端: (粗-细窄间隔 自动设置  3 磅 行宽) + 底端: (粗-细窄间隔 自...1"/>
    <w:basedOn w:val="1"/>
    <w:qFormat/>
    <w:uiPriority w:val="0"/>
    <w:pPr>
      <w:pBdr>
        <w:bottom w:val="thickThinSmallGap" w:color="auto" w:sz="24" w:space="1"/>
      </w:pBdr>
      <w:tabs>
        <w:tab w:val="center" w:pos="4153"/>
        <w:tab w:val="right" w:pos="8306"/>
      </w:tabs>
      <w:adjustRightInd w:val="0"/>
      <w:snapToGrid w:val="0"/>
      <w:spacing w:line="400" w:lineRule="atLeast"/>
      <w:ind w:firstLine="567"/>
      <w:jc w:val="center"/>
    </w:pPr>
    <w:rPr>
      <w:i/>
      <w:sz w:val="24"/>
      <w:szCs w:val="20"/>
    </w:rPr>
  </w:style>
  <w:style w:type="paragraph" w:customStyle="1" w:styleId="1096">
    <w:name w:val="xl55"/>
    <w:basedOn w:val="1"/>
    <w:qFormat/>
    <w:uiPriority w:val="0"/>
    <w:pPr>
      <w:widowControl/>
      <w:pBdr>
        <w:top w:val="single" w:color="auto" w:sz="4" w:space="0"/>
      </w:pBdr>
      <w:spacing w:before="100" w:beforeAutospacing="1" w:after="100" w:afterAutospacing="1"/>
      <w:jc w:val="center"/>
      <w:textAlignment w:val="top"/>
    </w:pPr>
    <w:rPr>
      <w:rFonts w:ascii="仿宋_GB2312" w:hAnsi="Arial Unicode MS" w:eastAsia="仿宋_GB2312" w:cs="Arial Unicode MS"/>
      <w:color w:val="000000"/>
      <w:kern w:val="0"/>
      <w:sz w:val="24"/>
    </w:rPr>
  </w:style>
  <w:style w:type="paragraph" w:customStyle="1" w:styleId="1097">
    <w:name w:val="xl86"/>
    <w:basedOn w:val="1"/>
    <w:qFormat/>
    <w:uiPriority w:val="0"/>
    <w:pPr>
      <w:widowControl/>
      <w:spacing w:before="100" w:beforeAutospacing="1" w:after="100" w:afterAutospacing="1"/>
      <w:jc w:val="center"/>
    </w:pPr>
    <w:rPr>
      <w:b/>
      <w:bCs/>
      <w:color w:val="000000"/>
      <w:kern w:val="0"/>
      <w:sz w:val="24"/>
    </w:rPr>
  </w:style>
  <w:style w:type="paragraph" w:customStyle="1" w:styleId="1098">
    <w:name w:val="TOC Heading_41808bf4-4e55-4ed2-8e5e-fedf33a16223"/>
    <w:basedOn w:val="2"/>
    <w:next w:val="1"/>
    <w:qFormat/>
    <w:uiPriority w:val="99"/>
    <w:pPr>
      <w:widowControl/>
      <w:spacing w:before="480" w:line="276" w:lineRule="auto"/>
      <w:outlineLvl w:val="9"/>
    </w:pPr>
    <w:rPr>
      <w:rFonts w:ascii="Cambria" w:hAnsi="Cambria" w:eastAsia="宋体"/>
      <w:color w:val="365F91"/>
      <w:kern w:val="0"/>
      <w:szCs w:val="28"/>
    </w:rPr>
  </w:style>
  <w:style w:type="paragraph" w:customStyle="1" w:styleId="1099">
    <w:name w:val="xl136"/>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Arial Narrow" w:hAnsi="Arial Narrow" w:cs="Arial Unicode MS"/>
      <w:kern w:val="0"/>
      <w:sz w:val="20"/>
      <w:szCs w:val="20"/>
    </w:rPr>
  </w:style>
  <w:style w:type="paragraph" w:customStyle="1" w:styleId="1100">
    <w:name w:val="xl91"/>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color w:val="000000"/>
      <w:kern w:val="0"/>
      <w:sz w:val="24"/>
    </w:rPr>
  </w:style>
  <w:style w:type="paragraph" w:customStyle="1" w:styleId="1101">
    <w:name w:val="图标题"/>
    <w:basedOn w:val="1"/>
    <w:qFormat/>
    <w:uiPriority w:val="0"/>
    <w:pPr>
      <w:spacing w:line="540" w:lineRule="exact"/>
      <w:ind w:firstLine="560" w:firstLineChars="200"/>
      <w:jc w:val="center"/>
    </w:pPr>
    <w:rPr>
      <w:rFonts w:eastAsia="华文中宋"/>
      <w:sz w:val="24"/>
      <w:szCs w:val="28"/>
    </w:rPr>
  </w:style>
  <w:style w:type="paragraph" w:customStyle="1" w:styleId="1102">
    <w:name w:val="xl120"/>
    <w:basedOn w:val="1"/>
    <w:qFormat/>
    <w:uiPriority w:val="0"/>
    <w:pPr>
      <w:widowControl/>
      <w:spacing w:before="100" w:beforeAutospacing="1" w:after="100" w:afterAutospacing="1"/>
      <w:jc w:val="center"/>
      <w:textAlignment w:val="center"/>
    </w:pPr>
    <w:rPr>
      <w:rFonts w:ascii="Arial Narrow" w:hAnsi="Arial Narrow" w:cs="Arial Unicode MS"/>
      <w:b/>
      <w:bCs/>
      <w:kern w:val="0"/>
      <w:sz w:val="19"/>
      <w:szCs w:val="19"/>
    </w:rPr>
  </w:style>
  <w:style w:type="paragraph" w:customStyle="1" w:styleId="1103">
    <w:name w:val="目录 71"/>
    <w:basedOn w:val="1"/>
    <w:next w:val="1"/>
    <w:qFormat/>
    <w:uiPriority w:val="39"/>
    <w:pPr>
      <w:spacing w:line="360" w:lineRule="auto"/>
      <w:ind w:left="1680" w:firstLine="200" w:firstLineChars="200"/>
      <w:jc w:val="left"/>
    </w:pPr>
    <w:rPr>
      <w:rFonts w:ascii="Calibri" w:hAnsi="Calibri" w:cs="Calibri"/>
      <w:sz w:val="18"/>
      <w:szCs w:val="18"/>
    </w:rPr>
  </w:style>
  <w:style w:type="paragraph" w:customStyle="1" w:styleId="110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4"/>
    </w:rPr>
  </w:style>
  <w:style w:type="paragraph" w:customStyle="1" w:styleId="1105">
    <w:name w:val="Char15"/>
    <w:basedOn w:val="1"/>
    <w:qFormat/>
    <w:uiPriority w:val="0"/>
    <w:pPr>
      <w:spacing w:line="360" w:lineRule="auto"/>
      <w:ind w:firstLine="200" w:firstLineChars="200"/>
    </w:pPr>
    <w:rPr>
      <w:rFonts w:ascii="宋体" w:hAnsi="宋体" w:cs="宋体"/>
      <w:sz w:val="24"/>
    </w:rPr>
  </w:style>
  <w:style w:type="paragraph" w:customStyle="1" w:styleId="1106">
    <w:name w:val="正文报告"/>
    <w:basedOn w:val="1"/>
    <w:qFormat/>
    <w:uiPriority w:val="0"/>
    <w:pPr>
      <w:topLinePunct/>
      <w:snapToGrid w:val="0"/>
      <w:spacing w:line="480" w:lineRule="exact"/>
      <w:ind w:firstLine="567"/>
    </w:pPr>
    <w:rPr>
      <w:sz w:val="28"/>
      <w:szCs w:val="28"/>
    </w:rPr>
  </w:style>
  <w:style w:type="paragraph" w:customStyle="1" w:styleId="1107">
    <w:name w:val="xl14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1108">
    <w:name w:val="haydonli"/>
    <w:basedOn w:val="1"/>
    <w:qFormat/>
    <w:uiPriority w:val="0"/>
    <w:pPr>
      <w:snapToGrid w:val="0"/>
      <w:spacing w:line="360" w:lineRule="auto"/>
      <w:ind w:firstLine="200" w:firstLineChars="200"/>
    </w:pPr>
    <w:rPr>
      <w:sz w:val="24"/>
    </w:rPr>
  </w:style>
  <w:style w:type="paragraph" w:customStyle="1" w:styleId="1109">
    <w:name w:val="xl5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仿宋_GB2312" w:hAnsi="Arial Unicode MS" w:eastAsia="仿宋_GB2312" w:cs="Arial Unicode MS"/>
      <w:color w:val="000000"/>
      <w:kern w:val="0"/>
      <w:sz w:val="24"/>
    </w:rPr>
  </w:style>
  <w:style w:type="paragraph" w:customStyle="1" w:styleId="1110">
    <w:name w:val="正文文字 2"/>
    <w:basedOn w:val="1"/>
    <w:qFormat/>
    <w:uiPriority w:val="0"/>
    <w:rPr>
      <w:szCs w:val="21"/>
    </w:rPr>
  </w:style>
  <w:style w:type="paragraph" w:customStyle="1" w:styleId="1111">
    <w:name w:val="Char7"/>
    <w:basedOn w:val="1"/>
    <w:qFormat/>
    <w:uiPriority w:val="0"/>
    <w:pPr>
      <w:spacing w:line="360" w:lineRule="auto"/>
      <w:ind w:firstLine="200" w:firstLineChars="200"/>
    </w:pPr>
    <w:rPr>
      <w:rFonts w:ascii="宋体" w:hAnsi="宋体" w:cs="宋体"/>
      <w:sz w:val="24"/>
    </w:rPr>
  </w:style>
  <w:style w:type="paragraph" w:customStyle="1" w:styleId="1112">
    <w:name w:val="报告正文"/>
    <w:basedOn w:val="1"/>
    <w:qFormat/>
    <w:uiPriority w:val="0"/>
    <w:pPr>
      <w:autoSpaceDE w:val="0"/>
      <w:autoSpaceDN w:val="0"/>
      <w:adjustRightInd w:val="0"/>
      <w:spacing w:line="300" w:lineRule="auto"/>
      <w:ind w:firstLine="482"/>
      <w:textAlignment w:val="baseline"/>
    </w:pPr>
    <w:rPr>
      <w:rFonts w:ascii="宋体"/>
      <w:kern w:val="0"/>
      <w:sz w:val="24"/>
      <w:szCs w:val="20"/>
    </w:rPr>
  </w:style>
  <w:style w:type="paragraph" w:customStyle="1" w:styleId="1113">
    <w:name w:val="样式2"/>
    <w:basedOn w:val="4"/>
    <w:qFormat/>
    <w:uiPriority w:val="0"/>
    <w:pPr>
      <w:spacing w:before="0" w:after="0" w:line="240" w:lineRule="auto"/>
    </w:pPr>
    <w:rPr>
      <w:bCs/>
      <w:szCs w:val="32"/>
    </w:rPr>
  </w:style>
  <w:style w:type="paragraph" w:customStyle="1" w:styleId="1114">
    <w:name w:val="简单回函地址"/>
    <w:basedOn w:val="1"/>
    <w:qFormat/>
    <w:uiPriority w:val="0"/>
    <w:pPr>
      <w:adjustRightInd w:val="0"/>
      <w:spacing w:line="312" w:lineRule="atLeast"/>
      <w:jc w:val="center"/>
      <w:textAlignment w:val="baseline"/>
    </w:pPr>
    <w:rPr>
      <w:bCs/>
      <w:kern w:val="0"/>
      <w:sz w:val="28"/>
      <w:szCs w:val="20"/>
    </w:rPr>
  </w:style>
  <w:style w:type="paragraph" w:customStyle="1" w:styleId="1115">
    <w:name w:val="p17"/>
    <w:basedOn w:val="1"/>
    <w:qFormat/>
    <w:uiPriority w:val="99"/>
    <w:pPr>
      <w:widowControl/>
      <w:spacing w:after="120" w:line="480" w:lineRule="auto"/>
      <w:jc w:val="left"/>
    </w:pPr>
    <w:rPr>
      <w:kern w:val="0"/>
      <w:sz w:val="28"/>
      <w:szCs w:val="21"/>
    </w:rPr>
  </w:style>
  <w:style w:type="paragraph" w:customStyle="1" w:styleId="1116">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7">
    <w:name w:val="Char17"/>
    <w:basedOn w:val="1"/>
    <w:qFormat/>
    <w:uiPriority w:val="0"/>
    <w:pPr>
      <w:spacing w:line="360" w:lineRule="auto"/>
      <w:ind w:firstLine="200" w:firstLineChars="200"/>
    </w:pPr>
    <w:rPr>
      <w:rFonts w:ascii="宋体" w:hAnsi="宋体" w:cs="宋体"/>
      <w:sz w:val="24"/>
    </w:rPr>
  </w:style>
  <w:style w:type="paragraph" w:customStyle="1" w:styleId="1118">
    <w:name w:val="Char34"/>
    <w:basedOn w:val="1"/>
    <w:qFormat/>
    <w:uiPriority w:val="0"/>
    <w:pPr>
      <w:spacing w:line="360" w:lineRule="auto"/>
      <w:ind w:firstLine="200" w:firstLineChars="200"/>
    </w:pPr>
    <w:rPr>
      <w:rFonts w:ascii="宋体" w:hAnsi="宋体" w:cs="宋体"/>
      <w:sz w:val="24"/>
    </w:rPr>
  </w:style>
  <w:style w:type="paragraph" w:customStyle="1" w:styleId="1119">
    <w:name w:val="Char Char Char Char1 Char Char Char Char Char Char Char Char"/>
    <w:basedOn w:val="1"/>
    <w:qFormat/>
    <w:uiPriority w:val="0"/>
    <w:pPr>
      <w:ind w:firstLine="200" w:firstLineChars="200"/>
    </w:pPr>
    <w:rPr>
      <w:rFonts w:ascii="宋体" w:hAnsi="宋体" w:cs="宋体"/>
      <w:sz w:val="24"/>
    </w:rPr>
  </w:style>
  <w:style w:type="paragraph" w:customStyle="1" w:styleId="1120">
    <w:name w:val="xl11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Narrow" w:hAnsi="Arial Narrow" w:cs="Arial Unicode MS"/>
      <w:color w:val="800000"/>
      <w:kern w:val="0"/>
      <w:sz w:val="19"/>
      <w:szCs w:val="19"/>
    </w:rPr>
  </w:style>
  <w:style w:type="paragraph" w:customStyle="1" w:styleId="1121">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2">
    <w:name w:val="et1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123">
    <w:name w:val="自由格式"/>
    <w:qFormat/>
    <w:uiPriority w:val="0"/>
    <w:rPr>
      <w:rFonts w:ascii="Times New Roman" w:hAnsi="Times New Roman" w:eastAsia="宋体" w:cs="Times New Roman"/>
      <w:color w:val="000000"/>
      <w:lang w:val="en-US" w:eastAsia="zh-CN" w:bidi="ar-SA"/>
    </w:rPr>
  </w:style>
  <w:style w:type="paragraph" w:customStyle="1" w:styleId="1124">
    <w:name w:val="xl135"/>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Arial Narrow" w:hAnsi="Arial Narrow" w:cs="Arial Unicode MS"/>
      <w:kern w:val="0"/>
      <w:sz w:val="20"/>
      <w:szCs w:val="20"/>
    </w:rPr>
  </w:style>
  <w:style w:type="paragraph" w:customStyle="1" w:styleId="1125">
    <w:name w:val="无间隔1"/>
    <w:qFormat/>
    <w:uiPriority w:val="0"/>
    <w:pPr>
      <w:suppressLineNumbers/>
      <w:suppressAutoHyphens/>
      <w:wordWrap w:val="0"/>
      <w:topLinePunct/>
      <w:jc w:val="both"/>
    </w:pPr>
    <w:rPr>
      <w:rFonts w:ascii="Calibri" w:hAnsi="Calibri" w:eastAsia="宋体" w:cs="Times New Roman"/>
      <w:kern w:val="2"/>
      <w:sz w:val="21"/>
      <w:szCs w:val="22"/>
      <w:lang w:val="en-US" w:eastAsia="zh-CN" w:bidi="ar-SA"/>
    </w:rPr>
  </w:style>
  <w:style w:type="paragraph" w:customStyle="1" w:styleId="1126">
    <w:name w:val="无间隔11"/>
    <w:link w:val="1279"/>
    <w:qFormat/>
    <w:uiPriority w:val="1"/>
    <w:pPr>
      <w:widowControl w:val="0"/>
      <w:jc w:val="both"/>
    </w:pPr>
    <w:rPr>
      <w:rFonts w:ascii="黑体" w:hAnsi="Times New Roman" w:eastAsia="黑体" w:cs="Times New Roman"/>
      <w:kern w:val="2"/>
      <w:sz w:val="48"/>
      <w:szCs w:val="48"/>
      <w:lang w:val="en-US" w:eastAsia="zh-CN" w:bidi="ar-SA"/>
    </w:rPr>
  </w:style>
  <w:style w:type="paragraph" w:customStyle="1" w:styleId="1127">
    <w:name w:val="xl263"/>
    <w:basedOn w:val="1"/>
    <w:qFormat/>
    <w:uiPriority w:val="0"/>
    <w:pPr>
      <w:widowControl/>
      <w:pBdr>
        <w:top w:val="single" w:color="auto" w:sz="4" w:space="0"/>
        <w:left w:val="single" w:color="auto" w:sz="4" w:space="0"/>
        <w:bottom w:val="single" w:color="auto" w:sz="4" w:space="0"/>
        <w:right w:val="single" w:color="auto" w:sz="4" w:space="0"/>
      </w:pBdr>
      <w:shd w:val="clear" w:color="000000" w:fill="DAEEF3"/>
      <w:spacing w:before="100" w:beforeAutospacing="1" w:after="100" w:afterAutospacing="1"/>
      <w:jc w:val="center"/>
    </w:pPr>
    <w:rPr>
      <w:rFonts w:ascii="宋体" w:hAnsi="宋体" w:cs="宋体"/>
      <w:b/>
      <w:bCs/>
      <w:color w:val="000000"/>
      <w:kern w:val="0"/>
      <w:sz w:val="20"/>
      <w:szCs w:val="20"/>
    </w:rPr>
  </w:style>
  <w:style w:type="paragraph" w:customStyle="1" w:styleId="1128">
    <w:name w:val="Char Char Char Char Char Char Char8"/>
    <w:basedOn w:val="1"/>
    <w:qFormat/>
    <w:uiPriority w:val="0"/>
    <w:pPr>
      <w:spacing w:line="360" w:lineRule="auto"/>
      <w:ind w:firstLine="200" w:firstLineChars="200"/>
    </w:pPr>
    <w:rPr>
      <w:rFonts w:ascii="宋体" w:hAnsi="宋体" w:cs="宋体"/>
      <w:sz w:val="24"/>
    </w:rPr>
  </w:style>
  <w:style w:type="paragraph" w:customStyle="1" w:styleId="1129">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仿宋_GB2312" w:hAnsi="Arial Unicode MS" w:eastAsia="仿宋_GB2312" w:cs="Arial Unicode MS"/>
      <w:color w:val="000000"/>
      <w:kern w:val="0"/>
      <w:sz w:val="24"/>
    </w:rPr>
  </w:style>
  <w:style w:type="paragraph" w:customStyle="1" w:styleId="1130">
    <w:name w:val="reader-word-layer reader-word-s6-5"/>
    <w:basedOn w:val="1"/>
    <w:qFormat/>
    <w:uiPriority w:val="99"/>
    <w:pPr>
      <w:widowControl/>
      <w:spacing w:before="100" w:beforeAutospacing="1" w:after="100" w:afterAutospacing="1" w:line="360" w:lineRule="auto"/>
      <w:jc w:val="left"/>
    </w:pPr>
    <w:rPr>
      <w:rFonts w:ascii="宋体" w:hAnsi="宋体" w:cs="宋体"/>
      <w:kern w:val="0"/>
      <w:sz w:val="24"/>
    </w:rPr>
  </w:style>
  <w:style w:type="paragraph" w:customStyle="1" w:styleId="1131">
    <w:name w:val="样式8"/>
    <w:basedOn w:val="1"/>
    <w:next w:val="1"/>
    <w:qFormat/>
    <w:uiPriority w:val="0"/>
    <w:pPr>
      <w:adjustRightInd w:val="0"/>
      <w:snapToGrid w:val="0"/>
      <w:spacing w:line="360" w:lineRule="auto"/>
      <w:ind w:firstLine="200" w:firstLineChars="200"/>
    </w:pPr>
    <w:rPr>
      <w:sz w:val="24"/>
    </w:rPr>
  </w:style>
  <w:style w:type="paragraph" w:customStyle="1" w:styleId="1132">
    <w:name w:val="xl119"/>
    <w:basedOn w:val="1"/>
    <w:qFormat/>
    <w:uiPriority w:val="0"/>
    <w:pPr>
      <w:widowControl/>
      <w:spacing w:before="100" w:beforeAutospacing="1" w:after="100" w:afterAutospacing="1"/>
      <w:jc w:val="center"/>
      <w:textAlignment w:val="center"/>
    </w:pPr>
    <w:rPr>
      <w:kern w:val="0"/>
      <w:sz w:val="19"/>
      <w:szCs w:val="19"/>
    </w:rPr>
  </w:style>
  <w:style w:type="paragraph" w:customStyle="1" w:styleId="1133">
    <w:name w:val="xl28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1134">
    <w:name w:val="xl87"/>
    <w:basedOn w:val="1"/>
    <w:qFormat/>
    <w:uiPriority w:val="0"/>
    <w:pPr>
      <w:widowControl/>
      <w:pBdr>
        <w:right w:val="single" w:color="auto" w:sz="8" w:space="0"/>
      </w:pBdr>
      <w:spacing w:before="100" w:beforeAutospacing="1" w:after="100" w:afterAutospacing="1"/>
      <w:jc w:val="center"/>
    </w:pPr>
    <w:rPr>
      <w:b/>
      <w:bCs/>
      <w:color w:val="000000"/>
      <w:kern w:val="0"/>
      <w:sz w:val="24"/>
    </w:rPr>
  </w:style>
  <w:style w:type="paragraph" w:customStyle="1" w:styleId="1135">
    <w:name w:val="修订11"/>
    <w:qFormat/>
    <w:uiPriority w:val="99"/>
    <w:rPr>
      <w:rFonts w:ascii="Times New Roman" w:hAnsi="Times New Roman" w:eastAsia="宋体" w:cs="Times New Roman"/>
      <w:kern w:val="2"/>
      <w:sz w:val="24"/>
      <w:szCs w:val="24"/>
      <w:lang w:val="en-US" w:eastAsia="zh-CN" w:bidi="ar-SA"/>
    </w:rPr>
  </w:style>
  <w:style w:type="paragraph" w:customStyle="1" w:styleId="1136">
    <w:name w:val="文档结构图1"/>
    <w:basedOn w:val="1"/>
    <w:next w:val="18"/>
    <w:qFormat/>
    <w:uiPriority w:val="99"/>
    <w:pPr>
      <w:shd w:val="clear" w:color="auto" w:fill="000080"/>
      <w:spacing w:beforeLines="50" w:afterLines="50" w:line="360" w:lineRule="auto"/>
      <w:ind w:firstLine="200" w:firstLineChars="200"/>
    </w:pPr>
    <w:rPr>
      <w:kern w:val="0"/>
      <w:sz w:val="24"/>
    </w:rPr>
  </w:style>
  <w:style w:type="paragraph" w:customStyle="1" w:styleId="1137">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138">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Arial Unicode MS" w:eastAsia="黑体" w:cs="Arial Unicode MS"/>
      <w:kern w:val="0"/>
      <w:sz w:val="18"/>
      <w:szCs w:val="18"/>
    </w:rPr>
  </w:style>
  <w:style w:type="paragraph" w:customStyle="1" w:styleId="1139">
    <w:name w:val="et37"/>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140">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kern w:val="0"/>
      <w:sz w:val="20"/>
      <w:szCs w:val="20"/>
    </w:rPr>
  </w:style>
  <w:style w:type="paragraph" w:customStyle="1" w:styleId="1141">
    <w:name w:val="xl159"/>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142">
    <w:name w:val="表格内容 Char Char"/>
    <w:basedOn w:val="1"/>
    <w:qFormat/>
    <w:uiPriority w:val="0"/>
    <w:pPr>
      <w:tabs>
        <w:tab w:val="left" w:pos="1535"/>
        <w:tab w:val="left" w:pos="3105"/>
        <w:tab w:val="left" w:pos="4676"/>
        <w:tab w:val="left" w:pos="6247"/>
        <w:tab w:val="left" w:pos="7740"/>
        <w:tab w:val="left" w:pos="9288"/>
      </w:tabs>
      <w:adjustRightInd w:val="0"/>
      <w:snapToGrid w:val="0"/>
      <w:spacing w:line="240" w:lineRule="exact"/>
      <w:jc w:val="center"/>
      <w:textAlignment w:val="baseline"/>
    </w:pPr>
    <w:rPr>
      <w:color w:val="000000"/>
      <w:szCs w:val="16"/>
    </w:rPr>
  </w:style>
  <w:style w:type="paragraph" w:customStyle="1" w:styleId="1143">
    <w:name w:val="xl298"/>
    <w:basedOn w:val="1"/>
    <w:qFormat/>
    <w:uiPriority w:val="0"/>
    <w:pPr>
      <w:widowControl/>
      <w:pBdr>
        <w:top w:val="single" w:color="auto" w:sz="4" w:space="0"/>
        <w:bottom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1144">
    <w:name w:val="font1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45">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146">
    <w:name w:val="Char Char Char Char Char Char Char Char Char Char Char Char Char Char Char Char Char Char Char Char Char Char Char Char Char Char Char Char Char Char Char Char Char Char Char Char Char Char Char Char Char Char Char Char Char Char11"/>
    <w:basedOn w:val="1"/>
    <w:next w:val="1"/>
    <w:qFormat/>
    <w:uiPriority w:val="0"/>
    <w:pPr>
      <w:pBdr>
        <w:right w:val="single" w:color="auto" w:sz="12" w:space="4"/>
      </w:pBdr>
      <w:spacing w:line="360" w:lineRule="auto"/>
      <w:ind w:firstLine="200" w:firstLineChars="200"/>
    </w:pPr>
    <w:rPr>
      <w:sz w:val="28"/>
      <w:szCs w:val="20"/>
    </w:rPr>
  </w:style>
  <w:style w:type="paragraph" w:customStyle="1" w:styleId="1147">
    <w:name w:val="Char30"/>
    <w:basedOn w:val="1"/>
    <w:qFormat/>
    <w:uiPriority w:val="0"/>
    <w:pPr>
      <w:spacing w:line="360" w:lineRule="auto"/>
      <w:ind w:firstLine="200" w:firstLineChars="200"/>
    </w:pPr>
    <w:rPr>
      <w:rFonts w:ascii="宋体" w:hAnsi="宋体" w:cs="宋体"/>
      <w:sz w:val="24"/>
    </w:rPr>
  </w:style>
  <w:style w:type="paragraph" w:customStyle="1" w:styleId="1148">
    <w:name w:val="et27"/>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149">
    <w:name w:val="Char Char Char Char Char Char Char Char Char Char Char Char Char Char Char Char Char Char Char Char Char Char Char Char Char Char Char Char Char Char Char Char Char Char Char Char Char Char Char Char Char Char Char Char Char Char6"/>
    <w:basedOn w:val="1"/>
    <w:next w:val="1"/>
    <w:qFormat/>
    <w:uiPriority w:val="0"/>
    <w:pPr>
      <w:pBdr>
        <w:right w:val="single" w:color="auto" w:sz="12" w:space="4"/>
      </w:pBdr>
      <w:spacing w:line="360" w:lineRule="auto"/>
      <w:ind w:firstLine="200" w:firstLineChars="200"/>
    </w:pPr>
    <w:rPr>
      <w:sz w:val="28"/>
      <w:szCs w:val="20"/>
    </w:rPr>
  </w:style>
  <w:style w:type="paragraph" w:customStyle="1" w:styleId="1150">
    <w:name w:val="Char11"/>
    <w:basedOn w:val="1"/>
    <w:qFormat/>
    <w:uiPriority w:val="0"/>
    <w:pPr>
      <w:spacing w:line="360" w:lineRule="auto"/>
      <w:ind w:firstLine="200" w:firstLineChars="200"/>
    </w:pPr>
    <w:rPr>
      <w:rFonts w:ascii="宋体" w:hAnsi="宋体" w:cs="宋体"/>
      <w:sz w:val="24"/>
    </w:rPr>
  </w:style>
  <w:style w:type="paragraph" w:customStyle="1" w:styleId="1151">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Arial Unicode MS" w:eastAsia="黑体" w:cs="Arial Unicode MS"/>
      <w:kern w:val="0"/>
      <w:sz w:val="18"/>
      <w:szCs w:val="18"/>
    </w:rPr>
  </w:style>
  <w:style w:type="paragraph" w:customStyle="1" w:styleId="1152">
    <w:name w:val="xl294"/>
    <w:basedOn w:val="1"/>
    <w:qFormat/>
    <w:uiPriority w:val="0"/>
    <w:pPr>
      <w:widowControl/>
      <w:pBdr>
        <w:top w:val="single" w:color="auto" w:sz="4" w:space="0"/>
        <w:left w:val="single" w:color="auto" w:sz="4" w:space="0"/>
        <w:bottom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1153">
    <w:name w:val="样式 样式 样式 报告书正文 + 倾斜 居中 底端: (粗-细窄间隔 自动设置  3 磅 行宽) + 底端: (粗-细窄间隔 自...2"/>
    <w:basedOn w:val="1"/>
    <w:qFormat/>
    <w:uiPriority w:val="0"/>
    <w:pPr>
      <w:pBdr>
        <w:bottom w:val="thickThinSmallGap" w:color="auto" w:sz="24" w:space="1"/>
      </w:pBdr>
      <w:tabs>
        <w:tab w:val="center" w:pos="4153"/>
        <w:tab w:val="right" w:pos="8306"/>
      </w:tabs>
      <w:adjustRightInd w:val="0"/>
      <w:snapToGrid w:val="0"/>
      <w:spacing w:line="400" w:lineRule="atLeast"/>
      <w:ind w:firstLine="567"/>
      <w:jc w:val="center"/>
    </w:pPr>
    <w:rPr>
      <w:i/>
      <w:sz w:val="24"/>
      <w:szCs w:val="20"/>
    </w:rPr>
  </w:style>
  <w:style w:type="paragraph" w:customStyle="1" w:styleId="1154">
    <w:name w:val="正文（首行缩进两字）"/>
    <w:basedOn w:val="1"/>
    <w:qFormat/>
    <w:uiPriority w:val="0"/>
    <w:pPr>
      <w:overflowPunct w:val="0"/>
      <w:autoSpaceDE w:val="0"/>
      <w:autoSpaceDN w:val="0"/>
      <w:adjustRightInd w:val="0"/>
      <w:spacing w:line="312" w:lineRule="auto"/>
      <w:ind w:firstLine="567"/>
      <w:textAlignment w:val="bottom"/>
    </w:pPr>
    <w:rPr>
      <w:kern w:val="0"/>
      <w:sz w:val="28"/>
      <w:szCs w:val="28"/>
    </w:rPr>
  </w:style>
  <w:style w:type="paragraph" w:customStyle="1" w:styleId="1155">
    <w:name w:val="Char20"/>
    <w:basedOn w:val="1"/>
    <w:qFormat/>
    <w:uiPriority w:val="0"/>
    <w:pPr>
      <w:spacing w:line="360" w:lineRule="auto"/>
      <w:ind w:firstLine="200" w:firstLineChars="200"/>
    </w:pPr>
    <w:rPr>
      <w:rFonts w:ascii="宋体" w:hAnsi="宋体" w:cs="宋体"/>
      <w:sz w:val="24"/>
    </w:rPr>
  </w:style>
  <w:style w:type="paragraph" w:customStyle="1" w:styleId="1156">
    <w:name w:val="xl14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9"/>
      <w:szCs w:val="19"/>
    </w:rPr>
  </w:style>
  <w:style w:type="paragraph" w:customStyle="1" w:styleId="1157">
    <w:name w:val="xl264"/>
    <w:basedOn w:val="1"/>
    <w:qFormat/>
    <w:uiPriority w:val="0"/>
    <w:pPr>
      <w:widowControl/>
      <w:pBdr>
        <w:top w:val="single" w:color="auto" w:sz="4" w:space="0"/>
        <w:left w:val="single" w:color="auto" w:sz="4" w:space="0"/>
        <w:bottom w:val="single" w:color="auto" w:sz="4" w:space="0"/>
        <w:right w:val="single" w:color="auto" w:sz="4" w:space="0"/>
      </w:pBdr>
      <w:shd w:val="clear" w:color="000000" w:fill="DAEEF3"/>
      <w:spacing w:before="100" w:beforeAutospacing="1" w:after="100" w:afterAutospacing="1"/>
      <w:jc w:val="left"/>
    </w:pPr>
    <w:rPr>
      <w:rFonts w:ascii="宋体" w:hAnsi="宋体" w:cs="宋体"/>
      <w:b/>
      <w:bCs/>
      <w:kern w:val="0"/>
      <w:sz w:val="20"/>
      <w:szCs w:val="20"/>
    </w:rPr>
  </w:style>
  <w:style w:type="paragraph" w:customStyle="1" w:styleId="1158">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159">
    <w:name w:val="font16"/>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1160">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4"/>
    </w:rPr>
  </w:style>
  <w:style w:type="paragraph" w:customStyle="1" w:styleId="1161">
    <w:name w:val="修订3"/>
    <w:qFormat/>
    <w:uiPriority w:val="0"/>
    <w:rPr>
      <w:rFonts w:ascii="Times New Roman" w:hAnsi="Times New Roman" w:eastAsia="宋体" w:cs="Times New Roman"/>
      <w:kern w:val="2"/>
      <w:sz w:val="24"/>
      <w:szCs w:val="24"/>
      <w:lang w:val="en-US" w:eastAsia="zh-CN" w:bidi="ar-SA"/>
    </w:rPr>
  </w:style>
  <w:style w:type="paragraph" w:customStyle="1" w:styleId="1162">
    <w:name w:val="正文 A"/>
    <w:qFormat/>
    <w:uiPriority w:val="0"/>
    <w:pPr>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s>
      <w:jc w:val="both"/>
    </w:pPr>
    <w:rPr>
      <w:rFonts w:ascii="仿宋_GB2312" w:hAnsi="Heiti SC Light" w:eastAsia="仿宋_GB2312" w:cs="Times New Roman"/>
      <w:color w:val="000000"/>
      <w:kern w:val="2"/>
      <w:sz w:val="28"/>
      <w:szCs w:val="28"/>
      <w:u w:color="000000"/>
      <w:lang w:val="en-US" w:eastAsia="zh-CN" w:bidi="ar-SA"/>
    </w:rPr>
  </w:style>
  <w:style w:type="paragraph" w:customStyle="1" w:styleId="1163">
    <w:name w:val="xl1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164">
    <w:name w:val="xl9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Arial Unicode MS" w:eastAsia="仿宋_GB2312" w:cs="Arial Unicode MS"/>
      <w:color w:val="000000"/>
      <w:kern w:val="0"/>
      <w:sz w:val="24"/>
    </w:rPr>
  </w:style>
  <w:style w:type="paragraph" w:customStyle="1" w:styleId="1165">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66">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16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4"/>
    </w:rPr>
  </w:style>
  <w:style w:type="paragraph" w:customStyle="1" w:styleId="1168">
    <w:name w:val="xl340"/>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 w:val="20"/>
      <w:szCs w:val="20"/>
    </w:rPr>
  </w:style>
  <w:style w:type="paragraph" w:customStyle="1" w:styleId="1169">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70">
    <w:name w:val="xl270"/>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b/>
      <w:bCs/>
      <w:kern w:val="0"/>
      <w:sz w:val="20"/>
      <w:szCs w:val="20"/>
    </w:rPr>
  </w:style>
  <w:style w:type="paragraph" w:customStyle="1" w:styleId="1171">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172">
    <w:name w:val="xl308"/>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73">
    <w:name w:val="表格式"/>
    <w:basedOn w:val="39"/>
    <w:qFormat/>
    <w:uiPriority w:val="0"/>
    <w:pPr>
      <w:spacing w:line="340" w:lineRule="exact"/>
      <w:ind w:left="0" w:firstLine="0" w:firstLineChars="0"/>
      <w:jc w:val="center"/>
    </w:pPr>
    <w:rPr>
      <w:rFonts w:ascii="Times New Roman" w:hAnsi="宋体"/>
      <w:sz w:val="21"/>
      <w:szCs w:val="24"/>
    </w:rPr>
  </w:style>
  <w:style w:type="paragraph" w:customStyle="1" w:styleId="1174">
    <w:name w:val="标题6"/>
    <w:basedOn w:val="1"/>
    <w:qFormat/>
    <w:uiPriority w:val="0"/>
    <w:pPr>
      <w:autoSpaceDE w:val="0"/>
      <w:autoSpaceDN w:val="0"/>
      <w:adjustRightInd w:val="0"/>
      <w:snapToGrid w:val="0"/>
      <w:spacing w:line="480" w:lineRule="exact"/>
      <w:ind w:firstLine="200" w:firstLineChars="200"/>
    </w:pPr>
    <w:rPr>
      <w:rFonts w:ascii="黑体" w:hAnsi="宋体" w:eastAsia="黑体"/>
      <w:bCs/>
      <w:kern w:val="0"/>
      <w:sz w:val="24"/>
    </w:rPr>
  </w:style>
  <w:style w:type="paragraph" w:customStyle="1" w:styleId="1175">
    <w:name w:val="xl251"/>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b/>
      <w:bCs/>
      <w:color w:val="000000"/>
      <w:kern w:val="0"/>
      <w:sz w:val="20"/>
      <w:szCs w:val="20"/>
    </w:rPr>
  </w:style>
  <w:style w:type="paragraph" w:customStyle="1" w:styleId="1176">
    <w:name w:val="xl36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77">
    <w:name w:val="Char Char Char Char Char Char Char Char Char Char5"/>
    <w:basedOn w:val="1"/>
    <w:qFormat/>
    <w:uiPriority w:val="0"/>
    <w:pPr>
      <w:spacing w:beforeLines="50" w:afterLines="50"/>
    </w:pPr>
    <w:rPr>
      <w:rFonts w:ascii="Tahoma" w:hAnsi="Tahoma"/>
      <w:sz w:val="24"/>
      <w:szCs w:val="20"/>
    </w:rPr>
  </w:style>
  <w:style w:type="paragraph" w:customStyle="1" w:styleId="1178">
    <w:name w:val="表"/>
    <w:basedOn w:val="1"/>
    <w:qFormat/>
    <w:uiPriority w:val="0"/>
    <w:pPr>
      <w:adjustRightInd w:val="0"/>
      <w:spacing w:afterLines="50"/>
      <w:ind w:left="-62" w:leftChars="-24"/>
      <w:textAlignment w:val="baseline"/>
    </w:pPr>
    <w:rPr>
      <w:rFonts w:eastAsia="黑体"/>
      <w:kern w:val="10"/>
      <w:sz w:val="24"/>
    </w:rPr>
  </w:style>
  <w:style w:type="paragraph" w:customStyle="1" w:styleId="1179">
    <w:name w:val="Char29"/>
    <w:basedOn w:val="1"/>
    <w:qFormat/>
    <w:uiPriority w:val="0"/>
    <w:pPr>
      <w:spacing w:line="360" w:lineRule="auto"/>
      <w:ind w:firstLine="200" w:firstLineChars="200"/>
    </w:pPr>
    <w:rPr>
      <w:rFonts w:ascii="宋体" w:hAnsi="宋体" w:cs="宋体"/>
      <w:sz w:val="24"/>
    </w:rPr>
  </w:style>
  <w:style w:type="paragraph" w:customStyle="1" w:styleId="1180">
    <w:name w:val="Char Char Char Char Char Char1 Char Char Char1 Char Char Char Char Char Char Char Char Char Char Char Char Char Char Char1 Char Char Char Char"/>
    <w:basedOn w:val="1"/>
    <w:qFormat/>
    <w:uiPriority w:val="0"/>
    <w:pPr>
      <w:spacing w:line="360" w:lineRule="auto"/>
      <w:ind w:firstLine="200" w:firstLineChars="200"/>
    </w:pPr>
    <w:rPr>
      <w:rFonts w:ascii="宋体" w:hAnsi="宋体" w:cs="宋体"/>
      <w:sz w:val="24"/>
    </w:rPr>
  </w:style>
  <w:style w:type="paragraph" w:customStyle="1" w:styleId="118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82">
    <w:name w:val="Char31"/>
    <w:basedOn w:val="1"/>
    <w:qFormat/>
    <w:uiPriority w:val="0"/>
    <w:pPr>
      <w:spacing w:line="360" w:lineRule="auto"/>
      <w:ind w:firstLine="200" w:firstLineChars="200"/>
    </w:pPr>
    <w:rPr>
      <w:rFonts w:ascii="宋体" w:hAnsi="宋体" w:cs="宋体"/>
      <w:sz w:val="24"/>
    </w:rPr>
  </w:style>
  <w:style w:type="paragraph" w:customStyle="1" w:styleId="1183">
    <w:name w:val="xl30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184">
    <w:name w:val="列出段落1"/>
    <w:basedOn w:val="1"/>
    <w:qFormat/>
    <w:uiPriority w:val="0"/>
    <w:pPr>
      <w:ind w:firstLine="420" w:firstLineChars="200"/>
    </w:pPr>
  </w:style>
  <w:style w:type="paragraph" w:customStyle="1" w:styleId="1185">
    <w:name w:val="xl297"/>
    <w:basedOn w:val="1"/>
    <w:qFormat/>
    <w:uiPriority w:val="0"/>
    <w:pPr>
      <w:widowControl/>
      <w:pBdr>
        <w:top w:val="single" w:color="auto" w:sz="4" w:space="0"/>
        <w:left w:val="single" w:color="auto" w:sz="4" w:space="0"/>
        <w:bottom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1186">
    <w:name w:val="样式 样式 样式 标题 3标题 33 + 段前: 0.5 行 + 段前: 0.5 行 + 段前: 6 磅 段后: 6 磅1"/>
    <w:basedOn w:val="554"/>
    <w:qFormat/>
    <w:uiPriority w:val="0"/>
  </w:style>
  <w:style w:type="paragraph" w:customStyle="1" w:styleId="1187">
    <w:name w:val="Char35"/>
    <w:basedOn w:val="1"/>
    <w:qFormat/>
    <w:uiPriority w:val="0"/>
    <w:pPr>
      <w:spacing w:line="360" w:lineRule="auto"/>
      <w:ind w:firstLine="200" w:firstLineChars="200"/>
    </w:pPr>
    <w:rPr>
      <w:rFonts w:ascii="宋体" w:hAnsi="宋体" w:cs="宋体"/>
      <w:sz w:val="24"/>
    </w:rPr>
  </w:style>
  <w:style w:type="paragraph" w:customStyle="1" w:styleId="1188">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89">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190">
    <w:name w:val="标题 Char Char Char Char"/>
    <w:basedOn w:val="1"/>
    <w:qFormat/>
    <w:uiPriority w:val="0"/>
    <w:pPr>
      <w:spacing w:before="240" w:after="60" w:line="360" w:lineRule="auto"/>
      <w:ind w:firstLine="720" w:firstLineChars="200"/>
      <w:jc w:val="center"/>
      <w:outlineLvl w:val="0"/>
    </w:pPr>
    <w:rPr>
      <w:rFonts w:ascii="Arial" w:hAnsi="Arial"/>
      <w:b/>
      <w:color w:val="008000"/>
      <w:sz w:val="32"/>
    </w:rPr>
  </w:style>
  <w:style w:type="paragraph" w:customStyle="1" w:styleId="1191">
    <w:name w:val="正文文字缩进 2"/>
    <w:basedOn w:val="1"/>
    <w:qFormat/>
    <w:uiPriority w:val="0"/>
    <w:pPr>
      <w:spacing w:line="360" w:lineRule="auto"/>
      <w:ind w:firstLine="480"/>
    </w:pPr>
    <w:rPr>
      <w:rFonts w:ascii="宋体" w:hAnsi="宋体" w:cs="宋体"/>
      <w:sz w:val="24"/>
    </w:rPr>
  </w:style>
  <w:style w:type="paragraph" w:customStyle="1" w:styleId="1192">
    <w:name w:val="Char Char Char Char Char Char Char6"/>
    <w:basedOn w:val="1"/>
    <w:qFormat/>
    <w:uiPriority w:val="0"/>
    <w:pPr>
      <w:spacing w:line="360" w:lineRule="auto"/>
      <w:ind w:firstLine="200" w:firstLineChars="200"/>
    </w:pPr>
    <w:rPr>
      <w:rFonts w:ascii="宋体" w:hAnsi="宋体" w:cs="宋体"/>
      <w:sz w:val="24"/>
    </w:rPr>
  </w:style>
  <w:style w:type="paragraph" w:customStyle="1" w:styleId="119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table" w:customStyle="1" w:styleId="1194">
    <w:name w:val="表格主题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5">
    <w:name w:val="网格型1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6">
    <w:name w:val="网格型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7">
    <w:name w:val="网格型91"/>
    <w:qFormat/>
    <w:uiPriority w:val="99"/>
    <w:pPr>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8">
    <w:name w:val="典雅型1"/>
    <w:qFormat/>
    <w:uiPriority w:val="99"/>
    <w:pPr>
      <w:widowControl w:val="0"/>
      <w:jc w:val="both"/>
    </w:pPr>
    <w:tblP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
  </w:style>
  <w:style w:type="table" w:customStyle="1" w:styleId="1199">
    <w:name w:val="网格型4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0">
    <w:name w:val="样式1212"/>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01">
    <w:name w:val="样式12"/>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02">
    <w:name w:val="网格型 71"/>
    <w:qFormat/>
    <w:uiPriority w:val="99"/>
    <w:pPr>
      <w:widowControl w:val="0"/>
      <w:jc w:val="both"/>
    </w:pPr>
    <w:rPr>
      <w:b/>
      <w:bCs/>
    </w:r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style>
  <w:style w:type="table" w:customStyle="1" w:styleId="1203">
    <w:name w:val="嵌套表格"/>
    <w:qFormat/>
    <w:uiPriority w:val="99"/>
    <w:pPr>
      <w:keepLines/>
      <w:jc w:val="center"/>
    </w:pPr>
    <w:tblPr>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trPr>
      <w:jc w:val="center"/>
    </w:trPr>
  </w:style>
  <w:style w:type="table" w:customStyle="1" w:styleId="1204">
    <w:name w:val="样式132"/>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05">
    <w:name w:val="网格型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6">
    <w:name w:val="网格型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7">
    <w:name w:val="彩色型 11"/>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style>
  <w:style w:type="table" w:customStyle="1" w:styleId="1208">
    <w:name w:val="样式123"/>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09">
    <w:name w:val="网格型5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0">
    <w:name w:val="网格型51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1">
    <w:name w:val="hp"/>
    <w:basedOn w:val="5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2">
    <w:name w:val="网格型711"/>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3">
    <w:name w:val="网格型7"/>
    <w:qFormat/>
    <w:uiPriority w:val="59"/>
    <w:pPr>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4">
    <w:name w:val="网格型31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5">
    <w:name w:val="网格型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6">
    <w:name w:val="样式121"/>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17">
    <w:name w:val="样式1211"/>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18">
    <w:name w:val="网格型3"/>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9">
    <w:name w:val="表格样式2"/>
    <w:qFormat/>
    <w:uiPriority w:val="99"/>
    <w:pPr>
      <w:widowControl w:val="0"/>
      <w:jc w:val="both"/>
    </w:p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style>
  <w:style w:type="table" w:customStyle="1" w:styleId="1220">
    <w:name w:val="网格型101"/>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1">
    <w:name w:val="hh"/>
    <w:basedOn w:val="56"/>
    <w:qFormat/>
    <w:uiPriority w:val="99"/>
    <w:pPr>
      <w:spacing w:line="240" w:lineRule="exact"/>
    </w:pPr>
    <w:rPr>
      <w:sz w:val="21"/>
    </w:rPr>
    <w:tblPr>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
    <w:trPr>
      <w:jc w:val="center"/>
    </w:trPr>
  </w:style>
  <w:style w:type="table" w:customStyle="1" w:styleId="1222">
    <w:name w:val="表格样式21"/>
    <w:qFormat/>
    <w:uiPriority w:val="99"/>
    <w:pPr>
      <w:widowControl w:val="0"/>
      <w:jc w:val="both"/>
    </w:p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style>
  <w:style w:type="table" w:customStyle="1" w:styleId="1223">
    <w:name w:val="网格型61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4">
    <w:name w:val="网格型42"/>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5">
    <w:name w:val="网格型23"/>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6">
    <w:name w:val="网格型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7">
    <w:name w:val="网格型121"/>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8">
    <w:name w:val="网格型6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9">
    <w:name w:val="样式122"/>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30">
    <w:name w:val="网格型21"/>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1">
    <w:name w:val="网格型22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2">
    <w:name w:val="样式1112"/>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33">
    <w:name w:val="样式112"/>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34">
    <w:name w:val="网格型10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5">
    <w:name w:val="样式13"/>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36">
    <w:name w:val="网格型81"/>
    <w:qFormat/>
    <w:uiPriority w:val="99"/>
    <w:pPr>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7">
    <w:name w:val="杨11"/>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8">
    <w:name w:val="杨1"/>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9">
    <w:name w:val="网格型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0">
    <w:name w:val="样式111"/>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41">
    <w:name w:val="网格型71"/>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2">
    <w:name w:val="列表型 21"/>
    <w:qFormat/>
    <w:uiPriority w:val="99"/>
    <w:pPr>
      <w:widowControl w:val="0"/>
      <w:jc w:val="both"/>
    </w:pPr>
    <w:tblPr>
      <w:tblBorders>
        <w:bottom w:val="single" w:color="808080" w:sz="12" w:space="0"/>
      </w:tblBorders>
      <w:tblCellMar>
        <w:top w:w="0" w:type="dxa"/>
        <w:left w:w="108" w:type="dxa"/>
        <w:bottom w:w="0" w:type="dxa"/>
        <w:right w:w="108" w:type="dxa"/>
      </w:tblCellMar>
    </w:tblPr>
  </w:style>
  <w:style w:type="table" w:customStyle="1" w:styleId="1243">
    <w:name w:val="古典型 11"/>
    <w:qFormat/>
    <w:uiPriority w:val="99"/>
    <w:pPr>
      <w:widowControl w:val="0"/>
      <w:jc w:val="both"/>
    </w:pPr>
    <w:tblPr>
      <w:tblBorders>
        <w:top w:val="single" w:color="auto" w:sz="12" w:space="0"/>
        <w:bottom w:val="single" w:color="auto" w:sz="12" w:space="0"/>
      </w:tblBorders>
      <w:tblCellMar>
        <w:top w:w="0" w:type="dxa"/>
        <w:left w:w="108" w:type="dxa"/>
        <w:bottom w:w="0" w:type="dxa"/>
        <w:right w:w="108" w:type="dxa"/>
      </w:tblCellMar>
    </w:tblPr>
  </w:style>
  <w:style w:type="table" w:customStyle="1" w:styleId="1244">
    <w:name w:val="网格型1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5">
    <w:name w:val="网格型8"/>
    <w:qFormat/>
    <w:uiPriority w:val="59"/>
    <w:pPr>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6">
    <w:name w:val="嵌套表格1"/>
    <w:qFormat/>
    <w:uiPriority w:val="99"/>
    <w:pPr>
      <w:keepLines/>
      <w:jc w:val="center"/>
    </w:pPr>
    <w:tblPr>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trPr>
      <w:jc w:val="center"/>
    </w:trPr>
  </w:style>
  <w:style w:type="table" w:customStyle="1" w:styleId="1247">
    <w:name w:val="hp1"/>
    <w:basedOn w:val="56"/>
    <w:qFormat/>
    <w:uiPriority w:val="99"/>
    <w:pPr>
      <w:spacing w:line="240" w:lineRule="exact"/>
    </w:pPr>
    <w:rPr>
      <w:sz w:val="21"/>
      <w:szCs w:val="21"/>
    </w:rPr>
    <w:tblPr>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
    <w:trPr>
      <w:jc w:val="center"/>
    </w:trPr>
  </w:style>
  <w:style w:type="table" w:customStyle="1" w:styleId="1248">
    <w:name w:val="网格型4"/>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9">
    <w:name w:val="网格型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0">
    <w:name w:val="网格型5"/>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1">
    <w:name w:val="简明型 11"/>
    <w:qFormat/>
    <w:uiPriority w:val="99"/>
    <w:pPr>
      <w:widowControl w:val="0"/>
      <w:jc w:val="both"/>
    </w:pPr>
    <w:tblPr>
      <w:tblBorders>
        <w:top w:val="single" w:color="008000" w:sz="12" w:space="0"/>
        <w:bottom w:val="single" w:color="008000" w:sz="12" w:space="0"/>
      </w:tblBorders>
      <w:tblCellMar>
        <w:top w:w="0" w:type="dxa"/>
        <w:left w:w="108" w:type="dxa"/>
        <w:bottom w:w="0" w:type="dxa"/>
        <w:right w:w="108" w:type="dxa"/>
      </w:tblCellMar>
    </w:tblPr>
  </w:style>
  <w:style w:type="table" w:customStyle="1" w:styleId="1252">
    <w:name w:val="样式11"/>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53">
    <w:name w:val="网格型32"/>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4">
    <w:name w:val="网格型211"/>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5">
    <w:name w:val="网格型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6">
    <w:name w:val="样式131"/>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57">
    <w:name w:val="样式113"/>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58">
    <w:name w:val="网格型10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9">
    <w:name w:val="网格型6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0">
    <w:name w:val="网格型41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1">
    <w:name w:val="网格型72"/>
    <w:qFormat/>
    <w:uiPriority w:val="99"/>
    <w:pPr>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2">
    <w:name w:val="hh1"/>
    <w:basedOn w:val="56"/>
    <w:qFormat/>
    <w:uiPriority w:val="99"/>
    <w:pPr>
      <w:spacing w:line="240" w:lineRule="exact"/>
    </w:pPr>
    <w:rPr>
      <w:sz w:val="21"/>
    </w:rPr>
    <w:tblPr>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
    <w:trPr>
      <w:jc w:val="center"/>
    </w:trPr>
  </w:style>
  <w:style w:type="table" w:customStyle="1" w:styleId="1263">
    <w:name w:val="网格型101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4">
    <w:name w:val="网格型9"/>
    <w:qFormat/>
    <w:uiPriority w:val="59"/>
    <w:pPr>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5">
    <w:name w:val="样式1111"/>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1266">
    <w:name w:val="网格型5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7">
    <w:name w:val="网格型14"/>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8">
    <w:name w:val="网格型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69">
    <w:name w:val="列出段落6"/>
    <w:basedOn w:val="1"/>
    <w:qFormat/>
    <w:uiPriority w:val="0"/>
    <w:pPr>
      <w:ind w:firstLine="420" w:firstLineChars="200"/>
    </w:pPr>
    <w:rPr>
      <w:rFonts w:ascii="Calibri" w:hAnsi="Calibri"/>
      <w:szCs w:val="22"/>
    </w:rPr>
  </w:style>
  <w:style w:type="character" w:customStyle="1" w:styleId="1270">
    <w:name w:val="current"/>
    <w:basedOn w:val="64"/>
    <w:qFormat/>
    <w:uiPriority w:val="0"/>
    <w:rPr>
      <w:color w:val="FFFFFF"/>
      <w:shd w:val="clear" w:color="auto" w:fill="428BCA"/>
    </w:rPr>
  </w:style>
  <w:style w:type="paragraph" w:customStyle="1" w:styleId="1271">
    <w:name w:val="biaoge2"/>
    <w:basedOn w:val="1"/>
    <w:link w:val="1272"/>
    <w:qFormat/>
    <w:uiPriority w:val="0"/>
    <w:pPr>
      <w:adjustRightInd w:val="0"/>
      <w:snapToGrid w:val="0"/>
      <w:jc w:val="center"/>
    </w:pPr>
    <w:rPr>
      <w:rFonts w:ascii="宋体" w:hAnsi="宋体"/>
      <w:kern w:val="0"/>
      <w:sz w:val="24"/>
    </w:rPr>
  </w:style>
  <w:style w:type="character" w:customStyle="1" w:styleId="1272">
    <w:name w:val="biaoge2 Char"/>
    <w:basedOn w:val="64"/>
    <w:link w:val="1271"/>
    <w:qFormat/>
    <w:uiPriority w:val="0"/>
    <w:rPr>
      <w:rFonts w:ascii="宋体" w:hAnsi="宋体" w:eastAsia="宋体" w:cs="Times New Roman"/>
      <w:sz w:val="24"/>
      <w:szCs w:val="24"/>
    </w:rPr>
  </w:style>
  <w:style w:type="character" w:customStyle="1" w:styleId="1273">
    <w:name w:val="称呼 Char3"/>
    <w:basedOn w:val="64"/>
    <w:qFormat/>
    <w:uiPriority w:val="99"/>
    <w:rPr>
      <w:rFonts w:asciiTheme="minorHAnsi" w:hAnsiTheme="minorHAnsi" w:eastAsiaTheme="minorEastAsia" w:cstheme="minorBidi"/>
      <w:kern w:val="2"/>
      <w:sz w:val="28"/>
      <w:szCs w:val="22"/>
    </w:rPr>
  </w:style>
  <w:style w:type="character" w:customStyle="1" w:styleId="1274">
    <w:name w:val="尾注文本 Char3"/>
    <w:basedOn w:val="64"/>
    <w:qFormat/>
    <w:uiPriority w:val="99"/>
    <w:rPr>
      <w:rFonts w:asciiTheme="minorHAnsi" w:hAnsiTheme="minorHAnsi" w:eastAsiaTheme="minorEastAsia" w:cstheme="minorBidi"/>
      <w:kern w:val="2"/>
      <w:sz w:val="28"/>
      <w:szCs w:val="22"/>
    </w:rPr>
  </w:style>
  <w:style w:type="character" w:customStyle="1" w:styleId="1275">
    <w:name w:val="副标题 Char3"/>
    <w:basedOn w:val="64"/>
    <w:qFormat/>
    <w:uiPriority w:val="11"/>
    <w:rPr>
      <w:rFonts w:asciiTheme="majorHAnsi" w:hAnsiTheme="majorHAnsi" w:cstheme="majorBidi"/>
      <w:b/>
      <w:bCs/>
      <w:kern w:val="28"/>
      <w:sz w:val="32"/>
      <w:szCs w:val="32"/>
    </w:rPr>
  </w:style>
  <w:style w:type="character" w:customStyle="1" w:styleId="1276">
    <w:name w:val="正文文本 2 Char5"/>
    <w:basedOn w:val="64"/>
    <w:qFormat/>
    <w:uiPriority w:val="99"/>
    <w:rPr>
      <w:rFonts w:asciiTheme="minorHAnsi" w:hAnsiTheme="minorHAnsi" w:eastAsiaTheme="minorEastAsia" w:cstheme="minorBidi"/>
      <w:kern w:val="2"/>
      <w:sz w:val="28"/>
      <w:szCs w:val="22"/>
    </w:rPr>
  </w:style>
  <w:style w:type="character" w:customStyle="1" w:styleId="1277">
    <w:name w:val="HTML 预设格式 Char3"/>
    <w:basedOn w:val="64"/>
    <w:qFormat/>
    <w:uiPriority w:val="99"/>
    <w:rPr>
      <w:rFonts w:ascii="Courier New" w:hAnsi="Courier New" w:cs="Courier New" w:eastAsiaTheme="minorEastAsia"/>
      <w:kern w:val="2"/>
    </w:rPr>
  </w:style>
  <w:style w:type="paragraph" w:customStyle="1" w:styleId="1278">
    <w:name w:val="小五居中"/>
    <w:qFormat/>
    <w:uiPriority w:val="99"/>
    <w:pPr>
      <w:jc w:val="center"/>
    </w:pPr>
    <w:rPr>
      <w:rFonts w:ascii="宋体" w:hAnsi="宋体" w:eastAsiaTheme="minorEastAsia" w:cstheme="minorBidi"/>
      <w:kern w:val="2"/>
      <w:sz w:val="18"/>
      <w:szCs w:val="28"/>
      <w:lang w:val="en-US" w:eastAsia="zh-CN" w:bidi="ar-SA"/>
    </w:rPr>
  </w:style>
  <w:style w:type="character" w:customStyle="1" w:styleId="1279">
    <w:name w:val="无间隔11 Char"/>
    <w:basedOn w:val="64"/>
    <w:link w:val="1126"/>
    <w:qFormat/>
    <w:uiPriority w:val="1"/>
    <w:rPr>
      <w:rFonts w:ascii="黑体" w:hAnsi="Times New Roman" w:eastAsia="黑体" w:cs="Times New Roman"/>
      <w:kern w:val="2"/>
      <w:sz w:val="48"/>
      <w:szCs w:val="48"/>
    </w:rPr>
  </w:style>
  <w:style w:type="paragraph" w:customStyle="1" w:styleId="1280">
    <w:name w:val="_Style 4"/>
    <w:basedOn w:val="1"/>
    <w:qFormat/>
    <w:uiPriority w:val="99"/>
    <w:pPr>
      <w:spacing w:line="360" w:lineRule="auto"/>
      <w:ind w:firstLine="420" w:firstLineChars="200"/>
    </w:pPr>
    <w:rPr>
      <w:rFonts w:asciiTheme="minorHAnsi" w:hAnsiTheme="minorHAnsi" w:eastAsiaTheme="minorEastAsia"/>
      <w:sz w:val="28"/>
      <w:szCs w:val="22"/>
    </w:rPr>
  </w:style>
  <w:style w:type="paragraph" w:customStyle="1" w:styleId="1281">
    <w:name w:val="_Style 5"/>
    <w:basedOn w:val="1"/>
    <w:qFormat/>
    <w:uiPriority w:val="99"/>
    <w:pPr>
      <w:spacing w:line="360" w:lineRule="auto"/>
      <w:ind w:firstLine="420" w:firstLineChars="200"/>
    </w:pPr>
    <w:rPr>
      <w:rFonts w:asciiTheme="minorHAnsi" w:hAnsiTheme="minorHAnsi" w:eastAsiaTheme="minorEastAsia"/>
      <w:sz w:val="28"/>
      <w:szCs w:val="22"/>
    </w:rPr>
  </w:style>
  <w:style w:type="character" w:customStyle="1" w:styleId="1282">
    <w:name w:val="表格 Char"/>
    <w:basedOn w:val="64"/>
    <w:link w:val="888"/>
    <w:qFormat/>
    <w:uiPriority w:val="99"/>
    <w:rPr>
      <w:rFonts w:ascii="Times New Roman" w:hAnsi="Times New Roman" w:eastAsia="宋体" w:cs="Times New Roman"/>
      <w:color w:val="000000"/>
      <w:w w:val="90"/>
      <w:sz w:val="24"/>
    </w:rPr>
  </w:style>
  <w:style w:type="paragraph" w:customStyle="1" w:styleId="1283">
    <w:name w:val="列出段落31"/>
    <w:basedOn w:val="1"/>
    <w:unhideWhenUsed/>
    <w:qFormat/>
    <w:uiPriority w:val="99"/>
    <w:pPr>
      <w:ind w:firstLine="420" w:firstLineChars="200"/>
    </w:pPr>
    <w:rPr>
      <w:rFonts w:asciiTheme="minorHAnsi" w:hAnsiTheme="minorHAnsi" w:eastAsiaTheme="minorEastAsia"/>
    </w:rPr>
  </w:style>
  <w:style w:type="character" w:customStyle="1" w:styleId="1284">
    <w:name w:val="正文1 Char"/>
    <w:qFormat/>
    <w:uiPriority w:val="0"/>
    <w:rPr>
      <w:rFonts w:asciiTheme="minorHAnsi" w:hAnsiTheme="minorHAnsi" w:eastAsiaTheme="minorEastAsia" w:cstheme="minorBidi"/>
      <w:kern w:val="2"/>
      <w:sz w:val="28"/>
      <w:szCs w:val="22"/>
    </w:rPr>
  </w:style>
  <w:style w:type="character" w:customStyle="1" w:styleId="1285">
    <w:name w:val="selected"/>
    <w:basedOn w:val="64"/>
    <w:qFormat/>
    <w:uiPriority w:val="0"/>
  </w:style>
  <w:style w:type="character" w:customStyle="1" w:styleId="1286">
    <w:name w:val="disabled"/>
    <w:basedOn w:val="64"/>
    <w:qFormat/>
    <w:uiPriority w:val="0"/>
    <w:rPr>
      <w:vanish/>
    </w:rPr>
  </w:style>
  <w:style w:type="character" w:customStyle="1" w:styleId="1287">
    <w:name w:val="页眉或页脚_"/>
    <w:basedOn w:val="64"/>
    <w:qFormat/>
    <w:uiPriority w:val="0"/>
    <w:rPr>
      <w:rFonts w:hint="eastAsia" w:ascii="MingLiU" w:hAnsi="MingLiU" w:eastAsia="MingLiU" w:cs="MingLiU"/>
      <w:spacing w:val="10"/>
      <w:sz w:val="19"/>
      <w:szCs w:val="19"/>
      <w:lang w:bidi="ar-SA"/>
    </w:rPr>
  </w:style>
  <w:style w:type="character" w:customStyle="1" w:styleId="1288">
    <w:name w:val="t5"/>
    <w:basedOn w:val="64"/>
    <w:qFormat/>
    <w:uiPriority w:val="0"/>
  </w:style>
  <w:style w:type="character" w:customStyle="1" w:styleId="1289">
    <w:name w:val="正文文本_"/>
    <w:link w:val="1290"/>
    <w:qFormat/>
    <w:uiPriority w:val="0"/>
    <w:rPr>
      <w:rFonts w:ascii="MingLiU" w:hAnsi="MingLiU" w:eastAsia="MingLiU"/>
      <w:spacing w:val="10"/>
      <w:sz w:val="27"/>
      <w:szCs w:val="27"/>
      <w:shd w:val="clear" w:color="auto" w:fill="FFFFFF"/>
    </w:rPr>
  </w:style>
  <w:style w:type="paragraph" w:customStyle="1" w:styleId="1290">
    <w:name w:val="正文文本3"/>
    <w:basedOn w:val="1"/>
    <w:link w:val="1289"/>
    <w:qFormat/>
    <w:uiPriority w:val="0"/>
    <w:pPr>
      <w:shd w:val="clear" w:color="auto" w:fill="FFFFFF"/>
      <w:spacing w:before="360" w:after="240" w:line="0" w:lineRule="atLeast"/>
      <w:ind w:hanging="760"/>
      <w:jc w:val="distribute"/>
    </w:pPr>
    <w:rPr>
      <w:rFonts w:ascii="MingLiU" w:hAnsi="MingLiU" w:eastAsia="MingLiU" w:cstheme="minorBidi"/>
      <w:spacing w:val="10"/>
      <w:kern w:val="0"/>
      <w:sz w:val="27"/>
      <w:szCs w:val="27"/>
    </w:rPr>
  </w:style>
  <w:style w:type="character" w:customStyle="1" w:styleId="1291">
    <w:name w:val="slhstyle"/>
    <w:basedOn w:val="64"/>
    <w:qFormat/>
    <w:uiPriority w:val="0"/>
  </w:style>
  <w:style w:type="character" w:customStyle="1" w:styleId="1292">
    <w:name w:val="正文文本 + 10.5 pt"/>
    <w:basedOn w:val="64"/>
    <w:qFormat/>
    <w:uiPriority w:val="0"/>
    <w:rPr>
      <w:rFonts w:hint="eastAsia" w:ascii="MingLiU" w:hAnsi="MingLiU" w:eastAsia="MingLiU" w:cs="MingLiU"/>
      <w:color w:val="000000"/>
      <w:spacing w:val="10"/>
      <w:w w:val="100"/>
      <w:position w:val="0"/>
      <w:sz w:val="21"/>
      <w:szCs w:val="21"/>
      <w:u w:val="none"/>
      <w:lang w:val="zh-TW"/>
    </w:rPr>
  </w:style>
  <w:style w:type="character" w:customStyle="1" w:styleId="1293">
    <w:name w:val="articlelink"/>
    <w:basedOn w:val="64"/>
    <w:qFormat/>
    <w:uiPriority w:val="0"/>
  </w:style>
  <w:style w:type="character" w:customStyle="1" w:styleId="1294">
    <w:name w:val="hover43"/>
    <w:basedOn w:val="64"/>
    <w:qFormat/>
    <w:uiPriority w:val="0"/>
  </w:style>
  <w:style w:type="character" w:customStyle="1" w:styleId="1295">
    <w:name w:val="正文文本 (2) + 间距 6 pt"/>
    <w:qFormat/>
    <w:uiPriority w:val="0"/>
    <w:rPr>
      <w:rFonts w:hint="eastAsia" w:ascii="MingLiU" w:hAnsi="MingLiU" w:eastAsia="MingLiU" w:cs="MingLiU"/>
      <w:color w:val="000000"/>
      <w:spacing w:val="120"/>
      <w:w w:val="100"/>
      <w:position w:val="0"/>
      <w:sz w:val="27"/>
      <w:szCs w:val="27"/>
      <w:u w:val="none"/>
      <w:lang w:val="en-US"/>
    </w:rPr>
  </w:style>
  <w:style w:type="character" w:customStyle="1" w:styleId="1296">
    <w:name w:val="正文文本 (2) + 间距 0 pt"/>
    <w:qFormat/>
    <w:uiPriority w:val="0"/>
    <w:rPr>
      <w:rFonts w:ascii="MingLiU" w:hAnsi="MingLiU" w:eastAsia="MingLiU" w:cs="MingLiU"/>
      <w:color w:val="000000"/>
      <w:spacing w:val="10"/>
      <w:w w:val="100"/>
      <w:position w:val="0"/>
      <w:sz w:val="27"/>
      <w:szCs w:val="27"/>
      <w:u w:val="none"/>
      <w:lang w:val="zh-TW"/>
    </w:rPr>
  </w:style>
  <w:style w:type="character" w:customStyle="1" w:styleId="1297">
    <w:name w:val="rich_media_meta_nickname"/>
    <w:basedOn w:val="64"/>
    <w:qFormat/>
    <w:uiPriority w:val="0"/>
    <w:rPr>
      <w:vanish/>
    </w:rPr>
  </w:style>
  <w:style w:type="character" w:customStyle="1" w:styleId="1298">
    <w:name w:val="bds_nopic"/>
    <w:basedOn w:val="64"/>
    <w:qFormat/>
    <w:uiPriority w:val="0"/>
  </w:style>
  <w:style w:type="character" w:customStyle="1" w:styleId="1299">
    <w:name w:val="bds_nopic1"/>
    <w:basedOn w:val="64"/>
    <w:qFormat/>
    <w:uiPriority w:val="0"/>
  </w:style>
  <w:style w:type="character" w:customStyle="1" w:styleId="1300">
    <w:name w:val="font121"/>
    <w:basedOn w:val="64"/>
    <w:qFormat/>
    <w:uiPriority w:val="0"/>
    <w:rPr>
      <w:rFonts w:hint="eastAsia" w:ascii="黑体" w:hAnsi="宋体" w:eastAsia="黑体" w:cs="黑体"/>
      <w:color w:val="000000"/>
      <w:sz w:val="22"/>
      <w:szCs w:val="22"/>
      <w:u w:val="none"/>
      <w:vertAlign w:val="superscript"/>
    </w:rPr>
  </w:style>
  <w:style w:type="character" w:customStyle="1" w:styleId="1301">
    <w:name w:val="正文文本 + 11.5 pt"/>
    <w:qFormat/>
    <w:uiPriority w:val="0"/>
    <w:rPr>
      <w:rFonts w:ascii="MingLiU" w:hAnsi="MingLiU" w:eastAsia="MingLiU" w:cs="MingLiU"/>
      <w:color w:val="000000"/>
      <w:spacing w:val="100"/>
      <w:w w:val="100"/>
      <w:position w:val="0"/>
      <w:sz w:val="23"/>
      <w:szCs w:val="23"/>
      <w:u w:val="none"/>
      <w:lang w:val="zh-TW"/>
    </w:rPr>
  </w:style>
  <w:style w:type="character" w:customStyle="1" w:styleId="1302">
    <w:name w:val="tip"/>
    <w:basedOn w:val="64"/>
    <w:qFormat/>
    <w:uiPriority w:val="0"/>
  </w:style>
  <w:style w:type="character" w:customStyle="1" w:styleId="1303">
    <w:name w:val="one"/>
    <w:basedOn w:val="64"/>
    <w:qFormat/>
    <w:uiPriority w:val="0"/>
    <w:rPr>
      <w:color w:val="003366"/>
    </w:rPr>
  </w:style>
  <w:style w:type="character" w:customStyle="1" w:styleId="1304">
    <w:name w:val="正文文本 (2)_"/>
    <w:link w:val="1305"/>
    <w:qFormat/>
    <w:uiPriority w:val="0"/>
    <w:rPr>
      <w:rFonts w:ascii="MingLiU" w:hAnsi="MingLiU" w:eastAsia="MingLiU"/>
      <w:spacing w:val="50"/>
      <w:sz w:val="27"/>
      <w:szCs w:val="27"/>
      <w:shd w:val="clear" w:color="auto" w:fill="FFFFFF"/>
    </w:rPr>
  </w:style>
  <w:style w:type="paragraph" w:customStyle="1" w:styleId="1305">
    <w:name w:val="正文文本 (2)"/>
    <w:basedOn w:val="1"/>
    <w:link w:val="1304"/>
    <w:qFormat/>
    <w:uiPriority w:val="0"/>
    <w:pPr>
      <w:shd w:val="clear" w:color="auto" w:fill="FFFFFF"/>
      <w:spacing w:before="60" w:after="60" w:line="0" w:lineRule="atLeast"/>
      <w:ind w:hanging="600"/>
      <w:jc w:val="distribute"/>
    </w:pPr>
    <w:rPr>
      <w:rFonts w:ascii="MingLiU" w:hAnsi="MingLiU" w:eastAsia="MingLiU" w:cstheme="minorBidi"/>
      <w:spacing w:val="50"/>
      <w:kern w:val="0"/>
      <w:sz w:val="27"/>
      <w:szCs w:val="27"/>
    </w:rPr>
  </w:style>
  <w:style w:type="character" w:customStyle="1" w:styleId="1306">
    <w:name w:val="narend1"/>
    <w:basedOn w:val="64"/>
    <w:qFormat/>
    <w:uiPriority w:val="0"/>
    <w:rPr>
      <w:color w:val="333333"/>
    </w:rPr>
  </w:style>
  <w:style w:type="character" w:customStyle="1" w:styleId="1307">
    <w:name w:val="bds_nopic2"/>
    <w:basedOn w:val="64"/>
    <w:qFormat/>
    <w:uiPriority w:val="0"/>
  </w:style>
  <w:style w:type="character" w:customStyle="1" w:styleId="1308">
    <w:name w:val="正文文本 + 间距 2 pt"/>
    <w:qFormat/>
    <w:uiPriority w:val="0"/>
    <w:rPr>
      <w:rFonts w:ascii="MingLiU" w:hAnsi="MingLiU" w:eastAsia="MingLiU" w:cs="MingLiU"/>
      <w:color w:val="000000"/>
      <w:spacing w:val="50"/>
      <w:w w:val="100"/>
      <w:position w:val="0"/>
      <w:sz w:val="27"/>
      <w:szCs w:val="27"/>
      <w:u w:val="none"/>
      <w:lang w:val="zh-TW"/>
    </w:rPr>
  </w:style>
  <w:style w:type="character" w:customStyle="1" w:styleId="1309">
    <w:name w:val="t1"/>
    <w:basedOn w:val="64"/>
    <w:qFormat/>
    <w:uiPriority w:val="0"/>
  </w:style>
  <w:style w:type="character" w:customStyle="1" w:styleId="1310">
    <w:name w:val="bds_more1"/>
    <w:basedOn w:val="64"/>
    <w:qFormat/>
    <w:uiPriority w:val="0"/>
  </w:style>
  <w:style w:type="character" w:customStyle="1" w:styleId="1311">
    <w:name w:val="hover42"/>
    <w:basedOn w:val="64"/>
    <w:qFormat/>
    <w:uiPriority w:val="0"/>
    <w:rPr>
      <w:u w:val="none"/>
      <w:bdr w:val="single" w:color="000000" w:sz="6" w:space="0"/>
      <w:shd w:val="clear" w:color="auto" w:fill="CC0000"/>
    </w:rPr>
  </w:style>
  <w:style w:type="character" w:customStyle="1" w:styleId="1312">
    <w:name w:val="正文文本 + MS Mincho"/>
    <w:qFormat/>
    <w:uiPriority w:val="0"/>
    <w:rPr>
      <w:rFonts w:ascii="MS Mincho" w:hAnsi="MS Mincho" w:eastAsia="MS Mincho" w:cs="MS Mincho"/>
      <w:color w:val="000000"/>
      <w:spacing w:val="0"/>
      <w:w w:val="100"/>
      <w:position w:val="0"/>
      <w:sz w:val="29"/>
      <w:szCs w:val="29"/>
      <w:u w:val="none"/>
      <w:lang w:val="en-US"/>
    </w:rPr>
  </w:style>
  <w:style w:type="character" w:customStyle="1" w:styleId="1313">
    <w:name w:val="bds_more"/>
    <w:basedOn w:val="64"/>
    <w:qFormat/>
    <w:uiPriority w:val="0"/>
    <w:rPr>
      <w:rFonts w:hint="eastAsia" w:ascii="宋体" w:hAnsi="宋体" w:eastAsia="宋体" w:cs="宋体"/>
    </w:rPr>
  </w:style>
  <w:style w:type="character" w:customStyle="1" w:styleId="1314">
    <w:name w:val="t3"/>
    <w:basedOn w:val="64"/>
    <w:qFormat/>
    <w:uiPriority w:val="0"/>
  </w:style>
  <w:style w:type="character" w:customStyle="1" w:styleId="1315">
    <w:name w:val="t6"/>
    <w:basedOn w:val="64"/>
    <w:qFormat/>
    <w:uiPriority w:val="0"/>
  </w:style>
  <w:style w:type="character" w:customStyle="1" w:styleId="1316">
    <w:name w:val="t4"/>
    <w:basedOn w:val="64"/>
    <w:qFormat/>
    <w:uiPriority w:val="0"/>
  </w:style>
  <w:style w:type="character" w:customStyle="1" w:styleId="1317">
    <w:name w:val="t2"/>
    <w:basedOn w:val="64"/>
    <w:qFormat/>
    <w:uiPriority w:val="0"/>
  </w:style>
  <w:style w:type="character" w:customStyle="1" w:styleId="1318">
    <w:name w:val="bds_more2"/>
    <w:basedOn w:val="64"/>
    <w:qFormat/>
    <w:uiPriority w:val="0"/>
  </w:style>
  <w:style w:type="character" w:customStyle="1" w:styleId="1319">
    <w:name w:val="on"/>
    <w:basedOn w:val="64"/>
    <w:qFormat/>
    <w:uiPriority w:val="0"/>
    <w:rPr>
      <w:b/>
      <w:color w:val="399DEB"/>
    </w:rPr>
  </w:style>
  <w:style w:type="character" w:customStyle="1" w:styleId="1320">
    <w:name w:val="正文文本 (4)_"/>
    <w:link w:val="1321"/>
    <w:qFormat/>
    <w:locked/>
    <w:uiPriority w:val="0"/>
    <w:rPr>
      <w:rFonts w:ascii="MS Mincho" w:hAnsi="MS Mincho" w:eastAsia="MS Mincho"/>
      <w:sz w:val="29"/>
      <w:szCs w:val="29"/>
      <w:shd w:val="clear" w:color="auto" w:fill="FFFFFF"/>
    </w:rPr>
  </w:style>
  <w:style w:type="paragraph" w:customStyle="1" w:styleId="1321">
    <w:name w:val="正文文本 (4)"/>
    <w:basedOn w:val="1"/>
    <w:link w:val="1320"/>
    <w:qFormat/>
    <w:uiPriority w:val="0"/>
    <w:pPr>
      <w:shd w:val="clear" w:color="auto" w:fill="FFFFFF"/>
      <w:spacing w:before="300" w:line="629" w:lineRule="exact"/>
      <w:ind w:hanging="760"/>
      <w:jc w:val="left"/>
    </w:pPr>
    <w:rPr>
      <w:rFonts w:ascii="MS Mincho" w:hAnsi="MS Mincho" w:eastAsia="MS Mincho" w:cstheme="minorBidi"/>
      <w:kern w:val="0"/>
      <w:sz w:val="29"/>
      <w:szCs w:val="29"/>
    </w:rPr>
  </w:style>
  <w:style w:type="character" w:customStyle="1" w:styleId="1322">
    <w:name w:val="标题 4 Char Char"/>
    <w:qFormat/>
    <w:uiPriority w:val="0"/>
    <w:rPr>
      <w:rFonts w:eastAsia="宋体"/>
      <w:b/>
      <w:bCs/>
      <w:kern w:val="2"/>
      <w:sz w:val="28"/>
      <w:szCs w:val="28"/>
      <w:lang w:val="en-US" w:eastAsia="zh-CN" w:bidi="ar-SA"/>
    </w:rPr>
  </w:style>
  <w:style w:type="character" w:customStyle="1" w:styleId="1323">
    <w:name w:val="rich_media_meta_nickname1"/>
    <w:basedOn w:val="64"/>
    <w:qFormat/>
    <w:uiPriority w:val="0"/>
  </w:style>
  <w:style w:type="paragraph" w:customStyle="1" w:styleId="1324">
    <w:name w:val="样式正文首行缩进"/>
    <w:basedOn w:val="1"/>
    <w:qFormat/>
    <w:uiPriority w:val="0"/>
    <w:pPr>
      <w:ind w:firstLine="200" w:firstLineChars="200"/>
    </w:pPr>
    <w:rPr>
      <w:sz w:val="28"/>
      <w:szCs w:val="28"/>
    </w:rPr>
  </w:style>
  <w:style w:type="paragraph" w:customStyle="1" w:styleId="1325">
    <w:name w:val="列出段落41"/>
    <w:basedOn w:val="1"/>
    <w:qFormat/>
    <w:uiPriority w:val="0"/>
    <w:pPr>
      <w:ind w:firstLine="420" w:firstLineChars="200"/>
    </w:pPr>
    <w:rPr>
      <w:rFonts w:ascii="Calibri" w:hAnsi="Calibri"/>
      <w:szCs w:val="22"/>
    </w:rPr>
  </w:style>
  <w:style w:type="paragraph" w:customStyle="1" w:styleId="1326">
    <w:name w:val="样式 标题 1 +"/>
    <w:basedOn w:val="2"/>
    <w:qFormat/>
    <w:uiPriority w:val="0"/>
    <w:pPr>
      <w:numPr>
        <w:ilvl w:val="0"/>
        <w:numId w:val="3"/>
      </w:numPr>
      <w:tabs>
        <w:tab w:val="clear" w:pos="360"/>
      </w:tabs>
      <w:adjustRightInd/>
      <w:spacing w:beforeLines="50" w:afterLines="50" w:line="960" w:lineRule="exact"/>
      <w:ind w:left="0" w:leftChars="0" w:right="0" w:rightChars="0" w:firstLine="0"/>
      <w:jc w:val="center"/>
    </w:pPr>
    <w:rPr>
      <w:rFonts w:ascii="宋体" w:hAnsi="宋体" w:eastAsia="宋体"/>
      <w:bCs/>
      <w:color w:val="000000"/>
      <w:kern w:val="0"/>
      <w:sz w:val="36"/>
      <w:szCs w:val="36"/>
    </w:rPr>
  </w:style>
  <w:style w:type="paragraph" w:customStyle="1" w:styleId="1327">
    <w:name w:val="正文文本6"/>
    <w:basedOn w:val="1"/>
    <w:qFormat/>
    <w:uiPriority w:val="0"/>
    <w:pPr>
      <w:shd w:val="clear" w:color="auto" w:fill="FFFFFF"/>
      <w:spacing w:line="677" w:lineRule="exact"/>
      <w:ind w:hanging="600"/>
      <w:jc w:val="left"/>
    </w:pPr>
    <w:rPr>
      <w:rFonts w:ascii="MingLiU" w:hAnsi="MingLiU" w:eastAsia="MingLiU"/>
      <w:spacing w:val="10"/>
      <w:kern w:val="0"/>
      <w:sz w:val="26"/>
      <w:szCs w:val="26"/>
    </w:rPr>
  </w:style>
  <w:style w:type="paragraph" w:customStyle="1" w:styleId="1328">
    <w:name w:val="样式 样式 首行缩进:  2 字符 + 首行缩进:  2 字符"/>
    <w:basedOn w:val="1"/>
    <w:qFormat/>
    <w:uiPriority w:val="0"/>
    <w:pPr>
      <w:spacing w:line="360" w:lineRule="auto"/>
      <w:ind w:firstLine="200" w:firstLineChars="200"/>
      <w:textAlignment w:val="bottom"/>
    </w:pPr>
    <w:rPr>
      <w:rFonts w:cs="宋体"/>
      <w:color w:val="000000"/>
      <w:kern w:val="0"/>
      <w:sz w:val="28"/>
      <w:szCs w:val="20"/>
    </w:rPr>
  </w:style>
  <w:style w:type="paragraph" w:customStyle="1" w:styleId="1329">
    <w:name w:val="标题 21"/>
    <w:basedOn w:val="1"/>
    <w:qFormat/>
    <w:uiPriority w:val="1"/>
    <w:pPr>
      <w:ind w:left="117"/>
      <w:jc w:val="left"/>
      <w:outlineLvl w:val="2"/>
    </w:pPr>
    <w:rPr>
      <w:rFonts w:ascii="仿宋_GB2312" w:hAnsi="仿宋_GB2312" w:eastAsia="仿宋_GB2312" w:cs="黑体"/>
      <w:b/>
      <w:bCs/>
      <w:kern w:val="0"/>
      <w:sz w:val="28"/>
      <w:szCs w:val="28"/>
      <w:lang w:eastAsia="en-US"/>
    </w:rPr>
  </w:style>
  <w:style w:type="paragraph" w:customStyle="1" w:styleId="1330">
    <w:name w:val="Char Char Char Char Char Char Char Char Char Char Char Char Char Char Char Char"/>
    <w:basedOn w:val="1"/>
    <w:qFormat/>
    <w:uiPriority w:val="0"/>
    <w:pPr>
      <w:tabs>
        <w:tab w:val="left" w:pos="360"/>
      </w:tabs>
    </w:pPr>
    <w:rPr>
      <w:sz w:val="24"/>
    </w:rPr>
  </w:style>
  <w:style w:type="character" w:customStyle="1" w:styleId="1331">
    <w:name w:val="font91"/>
    <w:basedOn w:val="64"/>
    <w:qFormat/>
    <w:uiPriority w:val="0"/>
    <w:rPr>
      <w:rFonts w:hint="eastAsia" w:ascii="黑体" w:hAnsi="宋体" w:eastAsia="黑体" w:cs="黑体"/>
      <w:color w:val="000000"/>
      <w:sz w:val="22"/>
      <w:szCs w:val="22"/>
      <w:u w:val="none"/>
      <w:vertAlign w:val="superscript"/>
    </w:rPr>
  </w:style>
  <w:style w:type="paragraph" w:customStyle="1" w:styleId="1332">
    <w:name w:val="Char Char Char1 Char Char Char Char Char Char Char1"/>
    <w:basedOn w:val="1"/>
    <w:qFormat/>
    <w:uiPriority w:val="0"/>
    <w:pPr>
      <w:tabs>
        <w:tab w:val="left" w:pos="360"/>
      </w:tabs>
    </w:pPr>
    <w:rPr>
      <w:sz w:val="24"/>
    </w:rPr>
  </w:style>
  <w:style w:type="paragraph" w:customStyle="1" w:styleId="1333">
    <w:name w:val="纯文本2"/>
    <w:basedOn w:val="1"/>
    <w:qFormat/>
    <w:uiPriority w:val="0"/>
    <w:rPr>
      <w:rFonts w:ascii="宋体" w:hAnsi="Courier New"/>
      <w:szCs w:val="20"/>
    </w:rPr>
  </w:style>
  <w:style w:type="paragraph" w:customStyle="1" w:styleId="1334">
    <w:name w:val="Char Char Char2"/>
    <w:basedOn w:val="1"/>
    <w:qFormat/>
    <w:uiPriority w:val="0"/>
    <w:rPr>
      <w:sz w:val="24"/>
    </w:rPr>
  </w:style>
  <w:style w:type="paragraph" w:customStyle="1" w:styleId="1335">
    <w:name w:val="Char Char Char Char Char Char Char Char Char Char Char Char Char Char Char Char1"/>
    <w:basedOn w:val="1"/>
    <w:qFormat/>
    <w:uiPriority w:val="0"/>
    <w:pPr>
      <w:tabs>
        <w:tab w:val="left" w:pos="360"/>
      </w:tabs>
    </w:pPr>
    <w:rPr>
      <w:sz w:val="24"/>
    </w:rPr>
  </w:style>
  <w:style w:type="character" w:customStyle="1" w:styleId="1336">
    <w:name w:val="Body Text Char"/>
    <w:qFormat/>
    <w:locked/>
    <w:uiPriority w:val="99"/>
    <w:rPr>
      <w:lang w:val="en-US" w:eastAsia="zh-CN"/>
    </w:rPr>
  </w:style>
  <w:style w:type="character" w:customStyle="1" w:styleId="1337">
    <w:name w:val="Date Char"/>
    <w:qFormat/>
    <w:locked/>
    <w:uiPriority w:val="99"/>
    <w:rPr>
      <w:sz w:val="24"/>
      <w:szCs w:val="24"/>
    </w:rPr>
  </w:style>
  <w:style w:type="character" w:customStyle="1" w:styleId="1338">
    <w:name w:val="Footer Char"/>
    <w:qFormat/>
    <w:locked/>
    <w:uiPriority w:val="99"/>
    <w:rPr>
      <w:sz w:val="18"/>
      <w:szCs w:val="18"/>
    </w:rPr>
  </w:style>
  <w:style w:type="character" w:customStyle="1" w:styleId="1339">
    <w:name w:val="Body Text 2 Char"/>
    <w:qFormat/>
    <w:locked/>
    <w:uiPriority w:val="99"/>
    <w:rPr>
      <w:sz w:val="24"/>
      <w:szCs w:val="24"/>
    </w:rPr>
  </w:style>
  <w:style w:type="character" w:customStyle="1" w:styleId="1340">
    <w:name w:val="Body Text Indent 3 Char"/>
    <w:qFormat/>
    <w:locked/>
    <w:uiPriority w:val="99"/>
    <w:rPr>
      <w:rFonts w:ascii="仿宋_GB2312" w:eastAsia="仿宋_GB2312" w:cs="仿宋_GB2312"/>
      <w:sz w:val="24"/>
      <w:szCs w:val="24"/>
    </w:rPr>
  </w:style>
  <w:style w:type="character" w:customStyle="1" w:styleId="1341">
    <w:name w:val="访问过的超链接1"/>
    <w:unhideWhenUsed/>
    <w:qFormat/>
    <w:uiPriority w:val="99"/>
    <w:rPr>
      <w:color w:val="800080"/>
      <w:u w:val="single"/>
    </w:rPr>
  </w:style>
  <w:style w:type="character" w:customStyle="1" w:styleId="1342">
    <w:name w:val="Body Text Indent 2 Char"/>
    <w:qFormat/>
    <w:locked/>
    <w:uiPriority w:val="99"/>
    <w:rPr>
      <w:rFonts w:eastAsia="仿宋_GB2312"/>
      <w:color w:val="000080"/>
      <w:sz w:val="24"/>
      <w:szCs w:val="24"/>
    </w:rPr>
  </w:style>
  <w:style w:type="character" w:customStyle="1" w:styleId="1343">
    <w:name w:val="HTML 预设格式 Char2"/>
    <w:semiHidden/>
    <w:qFormat/>
    <w:uiPriority w:val="99"/>
    <w:rPr>
      <w:rFonts w:ascii="Courier New" w:hAnsi="Courier New" w:cs="Courier New"/>
      <w:sz w:val="20"/>
      <w:szCs w:val="20"/>
    </w:rPr>
  </w:style>
  <w:style w:type="character" w:customStyle="1" w:styleId="1344">
    <w:name w:val="页脚 Char3"/>
    <w:semiHidden/>
    <w:qFormat/>
    <w:uiPriority w:val="99"/>
    <w:rPr>
      <w:sz w:val="18"/>
      <w:szCs w:val="18"/>
    </w:rPr>
  </w:style>
  <w:style w:type="character" w:customStyle="1" w:styleId="1345">
    <w:name w:val="尾注文本 Char2"/>
    <w:basedOn w:val="64"/>
    <w:semiHidden/>
    <w:qFormat/>
    <w:uiPriority w:val="99"/>
  </w:style>
  <w:style w:type="character" w:customStyle="1" w:styleId="1346">
    <w:name w:val="文档结构图 Char3"/>
    <w:semiHidden/>
    <w:qFormat/>
    <w:uiPriority w:val="99"/>
    <w:rPr>
      <w:rFonts w:ascii="宋体" w:eastAsia="宋体"/>
      <w:sz w:val="18"/>
      <w:szCs w:val="18"/>
    </w:rPr>
  </w:style>
  <w:style w:type="character" w:customStyle="1" w:styleId="1347">
    <w:name w:val="my正文 Char"/>
    <w:link w:val="1348"/>
    <w:qFormat/>
    <w:uiPriority w:val="1"/>
    <w:rPr>
      <w:rFonts w:ascii="宋体" w:hAnsi="宋体"/>
      <w:sz w:val="24"/>
      <w:szCs w:val="30"/>
      <w:lang w:eastAsia="en-US"/>
    </w:rPr>
  </w:style>
  <w:style w:type="paragraph" w:customStyle="1" w:styleId="1348">
    <w:name w:val="my正文"/>
    <w:basedOn w:val="23"/>
    <w:link w:val="1347"/>
    <w:qFormat/>
    <w:uiPriority w:val="1"/>
    <w:pPr>
      <w:adjustRightInd w:val="0"/>
      <w:snapToGrid w:val="0"/>
      <w:spacing w:after="0" w:line="396" w:lineRule="auto"/>
      <w:ind w:firstLine="200" w:firstLineChars="200"/>
      <w:jc w:val="left"/>
    </w:pPr>
    <w:rPr>
      <w:rFonts w:ascii="宋体" w:hAnsi="宋体" w:eastAsiaTheme="minorEastAsia" w:cstheme="minorBidi"/>
      <w:kern w:val="0"/>
      <w:sz w:val="24"/>
      <w:szCs w:val="30"/>
      <w:lang w:eastAsia="en-US"/>
    </w:rPr>
  </w:style>
  <w:style w:type="character" w:customStyle="1" w:styleId="1349">
    <w:name w:val="副标题 Char2"/>
    <w:qFormat/>
    <w:uiPriority w:val="11"/>
    <w:rPr>
      <w:rFonts w:ascii="Cambria" w:hAnsi="Cambria" w:eastAsia="宋体" w:cs="Times New Roman"/>
      <w:b/>
      <w:bCs/>
      <w:kern w:val="28"/>
      <w:sz w:val="32"/>
      <w:szCs w:val="32"/>
    </w:rPr>
  </w:style>
  <w:style w:type="character" w:customStyle="1" w:styleId="1350">
    <w:name w:val="纯文本 Char5"/>
    <w:semiHidden/>
    <w:qFormat/>
    <w:uiPriority w:val="99"/>
    <w:rPr>
      <w:rFonts w:ascii="宋体" w:hAnsi="Courier New" w:eastAsia="宋体" w:cs="Courier New"/>
      <w:szCs w:val="21"/>
    </w:rPr>
  </w:style>
  <w:style w:type="character" w:customStyle="1" w:styleId="1351">
    <w:name w:val="正文文本缩进 2 Char2"/>
    <w:basedOn w:val="64"/>
    <w:semiHidden/>
    <w:qFormat/>
    <w:uiPriority w:val="99"/>
  </w:style>
  <w:style w:type="character" w:customStyle="1" w:styleId="1352">
    <w:name w:val="Plain Text Char"/>
    <w:qFormat/>
    <w:locked/>
    <w:uiPriority w:val="99"/>
    <w:rPr>
      <w:rFonts w:ascii="楷体_GB2312" w:hAnsi="Courier New" w:eastAsia="楷体_GB2312" w:cs="楷体_GB2312"/>
      <w:sz w:val="21"/>
      <w:szCs w:val="21"/>
    </w:rPr>
  </w:style>
  <w:style w:type="character" w:customStyle="1" w:styleId="1353">
    <w:name w:val="Header Char"/>
    <w:qFormat/>
    <w:locked/>
    <w:uiPriority w:val="99"/>
    <w:rPr>
      <w:sz w:val="18"/>
      <w:szCs w:val="18"/>
    </w:rPr>
  </w:style>
  <w:style w:type="character" w:customStyle="1" w:styleId="1354">
    <w:name w:val="lefter2"/>
    <w:qFormat/>
    <w:uiPriority w:val="99"/>
  </w:style>
  <w:style w:type="character" w:customStyle="1" w:styleId="1355">
    <w:name w:val="Comment Text Char"/>
    <w:qFormat/>
    <w:locked/>
    <w:uiPriority w:val="99"/>
    <w:rPr>
      <w:kern w:val="2"/>
      <w:sz w:val="22"/>
      <w:szCs w:val="22"/>
    </w:rPr>
  </w:style>
  <w:style w:type="character" w:customStyle="1" w:styleId="1356">
    <w:name w:val="font141"/>
    <w:qFormat/>
    <w:uiPriority w:val="0"/>
    <w:rPr>
      <w:rFonts w:hint="default" w:ascii="Times New Roman" w:hAnsi="Times New Roman" w:cs="Times New Roman"/>
      <w:color w:val="000000"/>
      <w:sz w:val="22"/>
      <w:szCs w:val="22"/>
      <w:u w:val="none"/>
    </w:rPr>
  </w:style>
  <w:style w:type="character" w:customStyle="1" w:styleId="1357">
    <w:name w:val="表格 Char Char"/>
    <w:qFormat/>
    <w:uiPriority w:val="0"/>
    <w:rPr>
      <w:kern w:val="2"/>
      <w:sz w:val="18"/>
    </w:rPr>
  </w:style>
  <w:style w:type="character" w:customStyle="1" w:styleId="1358">
    <w:name w:val="my3 Char"/>
    <w:link w:val="1359"/>
    <w:qFormat/>
    <w:uiPriority w:val="1"/>
    <w:rPr>
      <w:rFonts w:ascii="宋体" w:hAnsi="宋体"/>
      <w:b/>
      <w:spacing w:val="-4"/>
      <w:sz w:val="24"/>
      <w:szCs w:val="30"/>
      <w:lang w:eastAsia="en-US"/>
    </w:rPr>
  </w:style>
  <w:style w:type="paragraph" w:customStyle="1" w:styleId="1359">
    <w:name w:val="my3"/>
    <w:basedOn w:val="1"/>
    <w:link w:val="1358"/>
    <w:qFormat/>
    <w:uiPriority w:val="1"/>
    <w:pPr>
      <w:spacing w:beforeLines="50" w:line="360" w:lineRule="auto"/>
      <w:jc w:val="left"/>
      <w:outlineLvl w:val="2"/>
    </w:pPr>
    <w:rPr>
      <w:rFonts w:ascii="宋体" w:hAnsi="宋体" w:eastAsiaTheme="minorEastAsia" w:cstheme="minorBidi"/>
      <w:b/>
      <w:spacing w:val="-4"/>
      <w:kern w:val="0"/>
      <w:sz w:val="24"/>
      <w:szCs w:val="30"/>
      <w:lang w:eastAsia="en-US"/>
    </w:rPr>
  </w:style>
  <w:style w:type="character" w:customStyle="1" w:styleId="1360">
    <w:name w:val="font131"/>
    <w:qFormat/>
    <w:uiPriority w:val="0"/>
    <w:rPr>
      <w:rFonts w:hint="eastAsia" w:ascii="宋体" w:hAnsi="宋体" w:eastAsia="宋体" w:cs="宋体"/>
      <w:color w:val="000000"/>
      <w:sz w:val="22"/>
      <w:szCs w:val="22"/>
      <w:u w:val="none"/>
    </w:rPr>
  </w:style>
  <w:style w:type="character" w:customStyle="1" w:styleId="1361">
    <w:name w:val="样式 首行缩进:  2 字符 Char Char"/>
    <w:link w:val="456"/>
    <w:qFormat/>
    <w:uiPriority w:val="0"/>
    <w:rPr>
      <w:rFonts w:ascii="Times New Roman" w:hAnsi="Times New Roman" w:eastAsia="宋体" w:cs="宋体"/>
      <w:spacing w:val="8"/>
      <w:kern w:val="2"/>
      <w:sz w:val="24"/>
      <w:szCs w:val="24"/>
    </w:rPr>
  </w:style>
  <w:style w:type="character" w:customStyle="1" w:styleId="1362">
    <w:name w:val="称呼 Char2"/>
    <w:basedOn w:val="64"/>
    <w:semiHidden/>
    <w:qFormat/>
    <w:uiPriority w:val="99"/>
  </w:style>
  <w:style w:type="character" w:customStyle="1" w:styleId="1363">
    <w:name w:val="Salutation Char"/>
    <w:qFormat/>
    <w:locked/>
    <w:uiPriority w:val="99"/>
    <w:rPr>
      <w:sz w:val="24"/>
      <w:szCs w:val="24"/>
    </w:rPr>
  </w:style>
  <w:style w:type="character" w:customStyle="1" w:styleId="1364">
    <w:name w:val="displayarti"/>
    <w:qFormat/>
    <w:uiPriority w:val="0"/>
    <w:rPr>
      <w:color w:val="FFFFFF"/>
      <w:shd w:val="clear" w:color="auto" w:fill="A00000"/>
    </w:rPr>
  </w:style>
  <w:style w:type="character" w:customStyle="1" w:styleId="1365">
    <w:name w:val="批注文字 Char3"/>
    <w:basedOn w:val="64"/>
    <w:semiHidden/>
    <w:qFormat/>
    <w:uiPriority w:val="99"/>
  </w:style>
  <w:style w:type="character" w:customStyle="1" w:styleId="1366">
    <w:name w:val="gpa"/>
    <w:qFormat/>
    <w:uiPriority w:val="0"/>
    <w:rPr>
      <w:rFonts w:ascii="Arial" w:hAnsi="Arial" w:cs="Arial"/>
      <w:sz w:val="15"/>
      <w:szCs w:val="15"/>
    </w:rPr>
  </w:style>
  <w:style w:type="character" w:customStyle="1" w:styleId="1367">
    <w:name w:val="正文文本缩进 3 Char2"/>
    <w:semiHidden/>
    <w:qFormat/>
    <w:uiPriority w:val="99"/>
    <w:rPr>
      <w:sz w:val="16"/>
      <w:szCs w:val="16"/>
    </w:rPr>
  </w:style>
  <w:style w:type="character" w:customStyle="1" w:styleId="1368">
    <w:name w:val="Body Text Indent Char"/>
    <w:qFormat/>
    <w:locked/>
    <w:uiPriority w:val="99"/>
    <w:rPr>
      <w:rFonts w:eastAsia="仿宋_GB2312"/>
      <w:sz w:val="24"/>
      <w:szCs w:val="24"/>
    </w:rPr>
  </w:style>
  <w:style w:type="character" w:customStyle="1" w:styleId="1369">
    <w:name w:val="批注主题 Char3"/>
    <w:semiHidden/>
    <w:qFormat/>
    <w:uiPriority w:val="99"/>
    <w:rPr>
      <w:b/>
      <w:bCs/>
    </w:rPr>
  </w:style>
  <w:style w:type="character" w:customStyle="1" w:styleId="1370">
    <w:name w:val="标题 Char2"/>
    <w:qFormat/>
    <w:uiPriority w:val="10"/>
    <w:rPr>
      <w:rFonts w:ascii="Cambria" w:hAnsi="Cambria" w:eastAsia="宋体" w:cs="Times New Roman"/>
      <w:b/>
      <w:bCs/>
      <w:sz w:val="32"/>
      <w:szCs w:val="32"/>
    </w:rPr>
  </w:style>
  <w:style w:type="character" w:customStyle="1" w:styleId="1371">
    <w:name w:val="Comment Subject Char"/>
    <w:qFormat/>
    <w:locked/>
    <w:uiPriority w:val="99"/>
    <w:rPr>
      <w:b/>
      <w:bCs/>
      <w:sz w:val="24"/>
      <w:szCs w:val="24"/>
    </w:rPr>
  </w:style>
  <w:style w:type="character" w:customStyle="1" w:styleId="1372">
    <w:name w:val="Title Char"/>
    <w:qFormat/>
    <w:locked/>
    <w:uiPriority w:val="99"/>
    <w:rPr>
      <w:rFonts w:ascii="Arial" w:hAnsi="Arial" w:cs="Arial"/>
      <w:b/>
      <w:bCs/>
      <w:sz w:val="32"/>
      <w:szCs w:val="32"/>
    </w:rPr>
  </w:style>
  <w:style w:type="character" w:customStyle="1" w:styleId="1373">
    <w:name w:val="明显参考11"/>
    <w:qFormat/>
    <w:uiPriority w:val="32"/>
    <w:rPr>
      <w:b/>
      <w:bCs/>
      <w:smallCaps/>
      <w:color w:val="4472C4"/>
      <w:spacing w:val="5"/>
    </w:rPr>
  </w:style>
  <w:style w:type="character" w:customStyle="1" w:styleId="1374">
    <w:name w:val="Balloon Text Char"/>
    <w:qFormat/>
    <w:locked/>
    <w:uiPriority w:val="99"/>
    <w:rPr>
      <w:sz w:val="18"/>
      <w:szCs w:val="18"/>
    </w:rPr>
  </w:style>
  <w:style w:type="character" w:customStyle="1" w:styleId="1375">
    <w:name w:val="批注框文本 Char3"/>
    <w:basedOn w:val="64"/>
    <w:semiHidden/>
    <w:qFormat/>
    <w:uiPriority w:val="99"/>
    <w:rPr>
      <w:rFonts w:ascii="Calibri" w:hAnsi="Calibri" w:eastAsia="宋体" w:cs="宋体"/>
      <w:sz w:val="18"/>
      <w:szCs w:val="18"/>
    </w:rPr>
  </w:style>
  <w:style w:type="character" w:customStyle="1" w:styleId="1376">
    <w:name w:val="标题 Char3"/>
    <w:basedOn w:val="64"/>
    <w:qFormat/>
    <w:uiPriority w:val="10"/>
    <w:rPr>
      <w:rFonts w:eastAsia="宋体" w:asciiTheme="majorHAnsi" w:hAnsiTheme="majorHAnsi" w:cstheme="majorBidi"/>
      <w:b/>
      <w:bCs/>
      <w:sz w:val="32"/>
      <w:szCs w:val="32"/>
    </w:rPr>
  </w:style>
  <w:style w:type="character" w:customStyle="1" w:styleId="1377">
    <w:name w:val="正文文本 3 Char4"/>
    <w:basedOn w:val="64"/>
    <w:semiHidden/>
    <w:qFormat/>
    <w:uiPriority w:val="99"/>
    <w:rPr>
      <w:rFonts w:ascii="Calibri" w:hAnsi="Calibri" w:eastAsia="宋体" w:cs="宋体"/>
      <w:sz w:val="16"/>
      <w:szCs w:val="16"/>
    </w:rPr>
  </w:style>
  <w:style w:type="character" w:customStyle="1" w:styleId="1378">
    <w:name w:val="页眉 Char3"/>
    <w:basedOn w:val="64"/>
    <w:semiHidden/>
    <w:qFormat/>
    <w:uiPriority w:val="99"/>
    <w:rPr>
      <w:rFonts w:ascii="Calibri" w:hAnsi="Calibri" w:eastAsia="宋体" w:cs="宋体"/>
      <w:sz w:val="18"/>
      <w:szCs w:val="18"/>
    </w:rPr>
  </w:style>
  <w:style w:type="character" w:customStyle="1" w:styleId="1379">
    <w:name w:val="正文文本缩进 2 Char3"/>
    <w:basedOn w:val="64"/>
    <w:semiHidden/>
    <w:qFormat/>
    <w:uiPriority w:val="99"/>
    <w:rPr>
      <w:rFonts w:ascii="Calibri" w:hAnsi="Calibri" w:eastAsia="宋体" w:cs="宋体"/>
      <w:sz w:val="28"/>
    </w:rPr>
  </w:style>
  <w:style w:type="character" w:customStyle="1" w:styleId="1380">
    <w:name w:val="批注文字 Char4"/>
    <w:basedOn w:val="64"/>
    <w:qFormat/>
    <w:uiPriority w:val="99"/>
    <w:rPr>
      <w:rFonts w:ascii="Calibri" w:hAnsi="Calibri" w:eastAsia="宋体" w:cs="宋体"/>
      <w:sz w:val="28"/>
    </w:rPr>
  </w:style>
  <w:style w:type="character" w:customStyle="1" w:styleId="1381">
    <w:name w:val="批注主题 Char4"/>
    <w:basedOn w:val="1380"/>
    <w:semiHidden/>
    <w:qFormat/>
    <w:uiPriority w:val="99"/>
    <w:rPr>
      <w:rFonts w:ascii="Calibri" w:hAnsi="Calibri" w:eastAsia="宋体" w:cs="宋体"/>
      <w:b/>
      <w:bCs/>
      <w:sz w:val="28"/>
    </w:rPr>
  </w:style>
  <w:style w:type="character" w:customStyle="1" w:styleId="1382">
    <w:name w:val="文档结构图 Char4"/>
    <w:basedOn w:val="64"/>
    <w:semiHidden/>
    <w:qFormat/>
    <w:uiPriority w:val="99"/>
    <w:rPr>
      <w:rFonts w:ascii="宋体" w:hAnsi="Calibri" w:eastAsia="宋体" w:cs="宋体"/>
      <w:sz w:val="18"/>
      <w:szCs w:val="18"/>
    </w:rPr>
  </w:style>
  <w:style w:type="character" w:customStyle="1" w:styleId="1383">
    <w:name w:val="正文文本缩进 Char3"/>
    <w:basedOn w:val="64"/>
    <w:semiHidden/>
    <w:qFormat/>
    <w:uiPriority w:val="99"/>
    <w:rPr>
      <w:rFonts w:ascii="Calibri" w:hAnsi="Calibri" w:eastAsia="宋体" w:cs="宋体"/>
      <w:sz w:val="28"/>
    </w:rPr>
  </w:style>
  <w:style w:type="character" w:customStyle="1" w:styleId="1384">
    <w:name w:val="正文文本缩进 3 Char3"/>
    <w:basedOn w:val="64"/>
    <w:semiHidden/>
    <w:qFormat/>
    <w:uiPriority w:val="99"/>
    <w:rPr>
      <w:rFonts w:ascii="Calibri" w:hAnsi="Calibri" w:eastAsia="宋体" w:cs="宋体"/>
      <w:sz w:val="16"/>
      <w:szCs w:val="16"/>
    </w:rPr>
  </w:style>
  <w:style w:type="character" w:customStyle="1" w:styleId="1385">
    <w:name w:val="页脚 Char4"/>
    <w:basedOn w:val="64"/>
    <w:semiHidden/>
    <w:qFormat/>
    <w:uiPriority w:val="99"/>
    <w:rPr>
      <w:rFonts w:ascii="Calibri" w:hAnsi="Calibri" w:eastAsia="宋体" w:cs="宋体"/>
      <w:sz w:val="18"/>
      <w:szCs w:val="18"/>
    </w:rPr>
  </w:style>
  <w:style w:type="character" w:customStyle="1" w:styleId="1386">
    <w:name w:val="日期 Char3"/>
    <w:basedOn w:val="64"/>
    <w:semiHidden/>
    <w:qFormat/>
    <w:uiPriority w:val="99"/>
    <w:rPr>
      <w:rFonts w:ascii="Calibri" w:hAnsi="Calibri" w:eastAsia="宋体" w:cs="宋体"/>
      <w:sz w:val="28"/>
    </w:rPr>
  </w:style>
  <w:style w:type="character" w:customStyle="1" w:styleId="1387">
    <w:name w:val="纯文本 Char6"/>
    <w:basedOn w:val="64"/>
    <w:semiHidden/>
    <w:qFormat/>
    <w:uiPriority w:val="99"/>
    <w:rPr>
      <w:rFonts w:ascii="宋体" w:hAnsi="Courier New" w:eastAsia="宋体" w:cs="Courier New"/>
      <w:szCs w:val="21"/>
    </w:rPr>
  </w:style>
  <w:style w:type="character" w:customStyle="1" w:styleId="1388">
    <w:name w:val="正文文本 Char5"/>
    <w:basedOn w:val="64"/>
    <w:semiHidden/>
    <w:qFormat/>
    <w:uiPriority w:val="99"/>
    <w:rPr>
      <w:rFonts w:ascii="Calibri" w:hAnsi="Calibri" w:eastAsia="宋体" w:cs="宋体"/>
      <w:sz w:val="28"/>
    </w:rPr>
  </w:style>
  <w:style w:type="paragraph" w:customStyle="1" w:styleId="1389">
    <w:name w:val="Heading 21"/>
    <w:basedOn w:val="1"/>
    <w:qFormat/>
    <w:uiPriority w:val="99"/>
    <w:pPr>
      <w:ind w:left="679"/>
      <w:jc w:val="left"/>
      <w:outlineLvl w:val="2"/>
    </w:pPr>
    <w:rPr>
      <w:rFonts w:ascii="仿宋" w:hAnsi="仿宋" w:cs="仿宋"/>
      <w:b/>
      <w:bCs/>
      <w:kern w:val="0"/>
      <w:sz w:val="28"/>
      <w:szCs w:val="28"/>
      <w:lang w:eastAsia="en-US"/>
    </w:rPr>
  </w:style>
  <w:style w:type="paragraph" w:customStyle="1" w:styleId="1390">
    <w:name w:val="样式 标题 2 + 宋体 小四 段前: 6 磅 段后: 6 磅 行距: 单倍行距"/>
    <w:basedOn w:val="3"/>
    <w:qFormat/>
    <w:uiPriority w:val="99"/>
    <w:pPr>
      <w:spacing w:before="120" w:after="120" w:line="240" w:lineRule="auto"/>
      <w:ind w:firstLine="540" w:firstLineChars="224"/>
      <w:jc w:val="both"/>
    </w:pPr>
    <w:rPr>
      <w:rFonts w:ascii="宋体" w:hAnsi="宋体" w:eastAsia="宋体" w:cs="宋体"/>
      <w:kern w:val="0"/>
      <w:sz w:val="24"/>
      <w:szCs w:val="24"/>
      <w:lang w:val="zh-CN"/>
    </w:rPr>
  </w:style>
  <w:style w:type="paragraph" w:customStyle="1" w:styleId="1391">
    <w:name w:val="Char Char Char Char Char Char Char Char Char Char Char Char Char Char Char Char Char Char Char"/>
    <w:basedOn w:val="1"/>
    <w:qFormat/>
    <w:uiPriority w:val="99"/>
    <w:pPr>
      <w:tabs>
        <w:tab w:val="left" w:pos="360"/>
      </w:tabs>
    </w:pPr>
    <w:rPr>
      <w:sz w:val="24"/>
    </w:rPr>
  </w:style>
  <w:style w:type="paragraph" w:customStyle="1" w:styleId="1392">
    <w:name w:val="正文一级"/>
    <w:basedOn w:val="1"/>
    <w:qFormat/>
    <w:uiPriority w:val="99"/>
    <w:pPr>
      <w:widowControl/>
      <w:autoSpaceDE w:val="0"/>
      <w:autoSpaceDN w:val="0"/>
      <w:adjustRightInd w:val="0"/>
      <w:spacing w:before="120" w:after="120"/>
      <w:ind w:left="567" w:right="-11"/>
    </w:pPr>
    <w:rPr>
      <w:rFonts w:ascii="宋体" w:hAnsi="CG Times"/>
      <w:kern w:val="0"/>
      <w:szCs w:val="20"/>
    </w:rPr>
  </w:style>
  <w:style w:type="paragraph" w:customStyle="1" w:styleId="1393">
    <w:name w:val="正文23"/>
    <w:basedOn w:val="15"/>
    <w:qFormat/>
    <w:uiPriority w:val="0"/>
    <w:pPr>
      <w:spacing w:line="360" w:lineRule="auto"/>
      <w:ind w:firstLine="200"/>
      <w:jc w:val="left"/>
    </w:pPr>
    <w:rPr>
      <w:rFonts w:ascii="宋体" w:hAnsi="宋体" w:eastAsiaTheme="minorEastAsia" w:cstheme="minorBidi"/>
      <w:szCs w:val="28"/>
    </w:rPr>
  </w:style>
  <w:style w:type="paragraph" w:customStyle="1" w:styleId="1394">
    <w:name w:val="样式 标题 2 + 华文楷体 加粗"/>
    <w:basedOn w:val="3"/>
    <w:qFormat/>
    <w:uiPriority w:val="99"/>
    <w:pPr>
      <w:spacing w:before="0" w:after="0" w:line="300" w:lineRule="auto"/>
      <w:jc w:val="both"/>
    </w:pPr>
    <w:rPr>
      <w:rFonts w:ascii="宋体" w:hAnsi="宋体" w:eastAsia="宋体" w:cs="宋体"/>
      <w:kern w:val="0"/>
      <w:sz w:val="28"/>
      <w:szCs w:val="28"/>
      <w:lang w:val="zh-CN"/>
    </w:rPr>
  </w:style>
  <w:style w:type="paragraph" w:customStyle="1" w:styleId="1395">
    <w:name w:val="样式 纯文本普通文字 + 仿宋_GB2312 四号"/>
    <w:basedOn w:val="28"/>
    <w:semiHidden/>
    <w:qFormat/>
    <w:uiPriority w:val="0"/>
    <w:pPr>
      <w:snapToGrid w:val="0"/>
      <w:spacing w:line="360" w:lineRule="auto"/>
      <w:ind w:firstLine="560" w:firstLineChars="200"/>
    </w:pPr>
    <w:rPr>
      <w:rFonts w:ascii="仿宋_GB2312" w:eastAsia="仿宋_GB2312" w:cs="宋体"/>
      <w:sz w:val="28"/>
      <w:szCs w:val="20"/>
    </w:rPr>
  </w:style>
  <w:style w:type="paragraph" w:customStyle="1" w:styleId="1396">
    <w:name w:val="TOC 标题3"/>
    <w:basedOn w:val="2"/>
    <w:next w:val="1"/>
    <w:unhideWhenUsed/>
    <w:qFormat/>
    <w:uiPriority w:val="0"/>
    <w:pPr>
      <w:widowControl/>
      <w:tabs>
        <w:tab w:val="clear" w:pos="360"/>
      </w:tabs>
      <w:adjustRightInd/>
      <w:spacing w:before="240" w:line="259" w:lineRule="auto"/>
      <w:ind w:left="0" w:leftChars="0" w:right="0" w:rightChars="0" w:firstLine="0"/>
      <w:outlineLvl w:val="9"/>
    </w:pPr>
    <w:rPr>
      <w:rFonts w:ascii="Calibri Light" w:hAnsi="Calibri Light" w:eastAsia="宋体"/>
      <w:b w:val="0"/>
      <w:color w:val="2E74B5"/>
      <w:kern w:val="0"/>
      <w:sz w:val="32"/>
      <w:lang w:val="zh-CN"/>
    </w:rPr>
  </w:style>
  <w:style w:type="paragraph" w:customStyle="1" w:styleId="1397">
    <w:name w:val="样式 标题 3 + 四号"/>
    <w:basedOn w:val="4"/>
    <w:qFormat/>
    <w:uiPriority w:val="99"/>
    <w:pPr>
      <w:spacing w:before="0" w:after="0" w:line="360" w:lineRule="auto"/>
    </w:pPr>
    <w:rPr>
      <w:bCs/>
      <w:kern w:val="0"/>
      <w:szCs w:val="28"/>
      <w:lang w:val="zh-CN"/>
    </w:rPr>
  </w:style>
  <w:style w:type="paragraph" w:customStyle="1" w:styleId="1398">
    <w:name w:val="表头表名"/>
    <w:basedOn w:val="1"/>
    <w:qFormat/>
    <w:uiPriority w:val="99"/>
    <w:pPr>
      <w:tabs>
        <w:tab w:val="left" w:pos="0"/>
      </w:tabs>
      <w:jc w:val="center"/>
    </w:pPr>
    <w:rPr>
      <w:rFonts w:eastAsia="黑体" w:cs="宋体"/>
      <w:b/>
      <w:sz w:val="24"/>
      <w:szCs w:val="28"/>
    </w:rPr>
  </w:style>
  <w:style w:type="paragraph" w:customStyle="1" w:styleId="1399">
    <w:name w:val="Jumbo正文"/>
    <w:basedOn w:val="51"/>
    <w:qFormat/>
    <w:uiPriority w:val="99"/>
    <w:pPr>
      <w:snapToGrid w:val="0"/>
      <w:spacing w:before="240" w:after="50" w:afterAutospacing="0" w:line="300" w:lineRule="auto"/>
      <w:ind w:right="105" w:rightChars="50"/>
      <w:jc w:val="both"/>
    </w:pPr>
    <w:rPr>
      <w:rFonts w:ascii="ˎ̥" w:hAnsi="ˎ̥" w:eastAsia="楷体_GB2312" w:cs="Arial"/>
      <w:b w:val="0"/>
      <w:bCs/>
      <w:color w:val="000000"/>
      <w:sz w:val="24"/>
      <w:szCs w:val="18"/>
    </w:rPr>
  </w:style>
  <w:style w:type="paragraph" w:customStyle="1" w:styleId="1400">
    <w:name w:val="正文4"/>
    <w:basedOn w:val="1"/>
    <w:qFormat/>
    <w:uiPriority w:val="99"/>
    <w:pPr>
      <w:adjustRightInd w:val="0"/>
      <w:spacing w:line="288" w:lineRule="atLeast"/>
      <w:ind w:firstLine="480"/>
      <w:jc w:val="left"/>
      <w:textAlignment w:val="baseline"/>
    </w:pPr>
    <w:rPr>
      <w:rFonts w:eastAsia="仿宋_GB2312"/>
      <w:kern w:val="0"/>
      <w:sz w:val="28"/>
    </w:rPr>
  </w:style>
  <w:style w:type="paragraph" w:customStyle="1" w:styleId="1401">
    <w:name w:val="Char Char Char Char Char Char Char Char Char Char Char Char Char"/>
    <w:basedOn w:val="1"/>
    <w:qFormat/>
    <w:uiPriority w:val="99"/>
    <w:pPr>
      <w:tabs>
        <w:tab w:val="left" w:pos="360"/>
      </w:tabs>
    </w:pPr>
    <w:rPr>
      <w:sz w:val="24"/>
    </w:rPr>
  </w:style>
  <w:style w:type="paragraph" w:customStyle="1" w:styleId="1402">
    <w:name w:val="样式 标题 2 + 宋体 小四 段前: 12 磅 段后: 6 磅 行距: 固定值 24 磅"/>
    <w:basedOn w:val="3"/>
    <w:qFormat/>
    <w:uiPriority w:val="99"/>
    <w:pPr>
      <w:spacing w:before="240" w:after="120" w:line="480" w:lineRule="exact"/>
      <w:ind w:firstLine="540" w:firstLineChars="224"/>
      <w:jc w:val="both"/>
    </w:pPr>
    <w:rPr>
      <w:rFonts w:ascii="宋体" w:hAnsi="宋体" w:eastAsia="宋体" w:cs="宋体"/>
      <w:kern w:val="0"/>
      <w:sz w:val="24"/>
      <w:szCs w:val="24"/>
      <w:lang w:val="zh-CN"/>
    </w:rPr>
  </w:style>
  <w:style w:type="paragraph" w:customStyle="1" w:styleId="1403">
    <w:name w:val="样式 标题 2 + 宋体 小四 段前: 12 磅 段后: 6 磅 行距: 固定值 24 磅1"/>
    <w:basedOn w:val="3"/>
    <w:qFormat/>
    <w:uiPriority w:val="99"/>
    <w:pPr>
      <w:spacing w:before="240" w:after="120" w:line="480" w:lineRule="exact"/>
      <w:ind w:firstLine="224" w:firstLineChars="224"/>
      <w:jc w:val="both"/>
    </w:pPr>
    <w:rPr>
      <w:rFonts w:ascii="宋体" w:hAnsi="宋体" w:eastAsia="宋体" w:cs="宋体"/>
      <w:kern w:val="0"/>
      <w:sz w:val="24"/>
      <w:szCs w:val="24"/>
      <w:lang w:val="zh-CN"/>
    </w:rPr>
  </w:style>
  <w:style w:type="paragraph" w:customStyle="1" w:styleId="1404">
    <w:name w:val="Char Char1 Char Char Char Char1 Char Char"/>
    <w:basedOn w:val="1"/>
    <w:qFormat/>
    <w:uiPriority w:val="0"/>
    <w:pPr>
      <w:jc w:val="center"/>
    </w:pPr>
    <w:rPr>
      <w:rFonts w:ascii="Arial" w:hAnsi="Arial"/>
      <w:sz w:val="24"/>
    </w:rPr>
  </w:style>
  <w:style w:type="paragraph" w:customStyle="1" w:styleId="1405">
    <w:name w:val="修订5"/>
    <w:qFormat/>
    <w:uiPriority w:val="99"/>
    <w:rPr>
      <w:rFonts w:ascii="Times New Roman" w:hAnsi="Times New Roman" w:eastAsia="宋体" w:cs="Times New Roman"/>
      <w:kern w:val="2"/>
      <w:sz w:val="21"/>
      <w:szCs w:val="24"/>
      <w:lang w:val="en-US" w:eastAsia="zh-CN" w:bidi="ar-SA"/>
    </w:rPr>
  </w:style>
  <w:style w:type="paragraph" w:customStyle="1" w:styleId="1406">
    <w:name w:val="表中齐小"/>
    <w:basedOn w:val="1"/>
    <w:qFormat/>
    <w:uiPriority w:val="0"/>
    <w:pPr>
      <w:widowControl/>
      <w:adjustRightInd w:val="0"/>
      <w:jc w:val="center"/>
      <w:textAlignment w:val="baseline"/>
    </w:pPr>
    <w:rPr>
      <w:rFonts w:ascii="宋体" w:hAnsi="宋体"/>
      <w:kern w:val="0"/>
      <w:szCs w:val="21"/>
    </w:rPr>
  </w:style>
  <w:style w:type="paragraph" w:customStyle="1" w:styleId="1407">
    <w:name w:val="Char Char1 Char Char Char Char1 Char Char1"/>
    <w:basedOn w:val="1"/>
    <w:qFormat/>
    <w:uiPriority w:val="0"/>
    <w:pPr>
      <w:jc w:val="center"/>
    </w:pPr>
    <w:rPr>
      <w:rFonts w:ascii="Arial" w:hAnsi="Arial"/>
      <w:sz w:val="24"/>
    </w:rPr>
  </w:style>
  <w:style w:type="paragraph" w:customStyle="1" w:styleId="1408">
    <w:name w:val="TOC 标题4"/>
    <w:basedOn w:val="2"/>
    <w:next w:val="1"/>
    <w:qFormat/>
    <w:uiPriority w:val="39"/>
    <w:pPr>
      <w:widowControl/>
      <w:tabs>
        <w:tab w:val="clear" w:pos="360"/>
      </w:tabs>
      <w:adjustRightInd/>
      <w:spacing w:before="480" w:line="276" w:lineRule="auto"/>
      <w:ind w:left="0" w:leftChars="0" w:right="0" w:rightChars="0" w:firstLine="0"/>
      <w:outlineLvl w:val="9"/>
    </w:pPr>
    <w:rPr>
      <w:rFonts w:ascii="Cambria" w:hAnsi="Cambria" w:eastAsia="宋体"/>
      <w:bCs/>
      <w:color w:val="365F91"/>
      <w:kern w:val="0"/>
      <w:szCs w:val="28"/>
    </w:rPr>
  </w:style>
  <w:style w:type="paragraph" w:customStyle="1" w:styleId="1409">
    <w:name w:val="样式 标题 1 + 黑体"/>
    <w:basedOn w:val="2"/>
    <w:qFormat/>
    <w:uiPriority w:val="99"/>
    <w:pPr>
      <w:tabs>
        <w:tab w:val="left" w:pos="420"/>
        <w:tab w:val="clear" w:pos="360"/>
      </w:tabs>
      <w:snapToGrid w:val="0"/>
      <w:spacing w:before="340" w:after="330" w:line="576" w:lineRule="auto"/>
      <w:ind w:left="420" w:leftChars="0" w:right="0" w:rightChars="0" w:hanging="420"/>
      <w:jc w:val="center"/>
    </w:pPr>
    <w:rPr>
      <w:rFonts w:ascii="黑体" w:hAnsi="黑体" w:eastAsia="黑体"/>
      <w:bCs/>
      <w:sz w:val="32"/>
      <w:szCs w:val="44"/>
      <w:lang w:val="zh-CN"/>
    </w:rPr>
  </w:style>
  <w:style w:type="paragraph" w:customStyle="1" w:styleId="1410">
    <w:name w:val="样式 标题 1 + 左侧:  0 厘米 首行缩进:  0 厘米"/>
    <w:basedOn w:val="2"/>
    <w:qFormat/>
    <w:uiPriority w:val="99"/>
    <w:pPr>
      <w:widowControl/>
      <w:tabs>
        <w:tab w:val="left" w:pos="570"/>
        <w:tab w:val="clear" w:pos="360"/>
      </w:tabs>
      <w:adjustRightInd/>
      <w:spacing w:after="120" w:line="540" w:lineRule="auto"/>
      <w:ind w:left="570" w:leftChars="0" w:right="0" w:rightChars="0" w:hanging="570"/>
      <w:jc w:val="center"/>
    </w:pPr>
    <w:rPr>
      <w:rFonts w:eastAsia="宋体"/>
      <w:bCs/>
      <w:sz w:val="30"/>
      <w:szCs w:val="30"/>
      <w:lang w:val="zh-CN"/>
    </w:rPr>
  </w:style>
  <w:style w:type="paragraph" w:customStyle="1" w:styleId="1411">
    <w:name w:val="正文二级"/>
    <w:basedOn w:val="1"/>
    <w:qFormat/>
    <w:uiPriority w:val="99"/>
    <w:pPr>
      <w:spacing w:beforeLines="50" w:afterLines="50" w:line="360" w:lineRule="auto"/>
      <w:ind w:left="540" w:leftChars="257"/>
    </w:pPr>
    <w:rPr>
      <w:rFonts w:ascii="CG Times" w:hAnsi="CG Times"/>
      <w:sz w:val="24"/>
      <w:szCs w:val="20"/>
    </w:rPr>
  </w:style>
  <w:style w:type="paragraph" w:customStyle="1" w:styleId="1412">
    <w:name w:val="修订21"/>
    <w:unhideWhenUsed/>
    <w:qFormat/>
    <w:uiPriority w:val="99"/>
    <w:rPr>
      <w:rFonts w:ascii="Times New Roman" w:hAnsi="Times New Roman" w:eastAsia="宋体" w:cs="Times New Roman"/>
      <w:kern w:val="2"/>
      <w:sz w:val="24"/>
      <w:szCs w:val="24"/>
      <w:lang w:val="en-US" w:eastAsia="zh-CN" w:bidi="ar-SA"/>
    </w:rPr>
  </w:style>
  <w:style w:type="paragraph" w:customStyle="1" w:styleId="1413">
    <w:name w:val="正文文本1"/>
    <w:basedOn w:val="1"/>
    <w:next w:val="23"/>
    <w:qFormat/>
    <w:uiPriority w:val="99"/>
    <w:pPr>
      <w:spacing w:beforeLines="50" w:line="360" w:lineRule="auto"/>
      <w:ind w:firstLine="200" w:firstLineChars="200"/>
    </w:pPr>
    <w:rPr>
      <w:sz w:val="24"/>
    </w:rPr>
  </w:style>
  <w:style w:type="paragraph" w:customStyle="1" w:styleId="1414">
    <w:name w:val="无间隔21"/>
    <w:qFormat/>
    <w:uiPriority w:val="0"/>
    <w:rPr>
      <w:rFonts w:ascii="Calibri" w:hAnsi="Calibri" w:eastAsia="宋体" w:cs="Times New Roman"/>
      <w:sz w:val="22"/>
      <w:lang w:val="en-US" w:eastAsia="zh-CN" w:bidi="ar-SA"/>
    </w:rPr>
  </w:style>
  <w:style w:type="table" w:customStyle="1" w:styleId="1415">
    <w:name w:val="网格型16"/>
    <w:basedOn w:val="55"/>
    <w:qFormat/>
    <w:uiPriority w:val="59"/>
    <w:pPr>
      <w:jc w:val="both"/>
    </w:pPr>
    <w:rPr>
      <w:sz w:val="32"/>
      <w:szCs w:val="3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6">
    <w:name w:val="网格型43"/>
    <w:basedOn w:val="5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417">
    <w:name w:val="样式14"/>
    <w:basedOn w:val="55"/>
    <w:qFormat/>
    <w:uiPriority w:val="99"/>
    <w:pPr>
      <w:jc w:val="center"/>
    </w:pPr>
    <w:rPr>
      <w:rFonts w:ascii="Garamond" w:hAnsi="Garamond" w:eastAsia="仿宋"/>
    </w:rPr>
    <w:tblPr>
      <w:jc w:val="cente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jc w:val="center"/>
    </w:trPr>
    <w:tcPr>
      <w:vAlign w:val="center"/>
    </w:tcPr>
    <w:tblStylePr w:type="firstRow">
      <w:pPr>
        <w:wordWrap/>
        <w:jc w:val="center"/>
      </w:pPr>
      <w:rPr>
        <w:rFonts w:ascii="Helvetica" w:hAnsi="Helvetica"/>
      </w:rPr>
      <w:tcPr>
        <w:tcBorders>
          <w:top w:val="single" w:color="auto" w:sz="8" w:space="0"/>
          <w:left w:val="nil"/>
          <w:bottom w:val="nil"/>
          <w:right w:val="nil"/>
          <w:insideH w:val="nil"/>
          <w:insideV w:val="single" w:sz="4" w:space="0"/>
          <w:tl2br w:val="nil"/>
          <w:tr2bl w:val="nil"/>
        </w:tcBorders>
      </w:tcPr>
    </w:tblStylePr>
    <w:tblStylePr w:type="lastRow">
      <w:tcPr>
        <w:tcBorders>
          <w:top w:val="nil"/>
          <w:left w:val="nil"/>
          <w:bottom w:val="single" w:color="auto" w:sz="8" w:space="0"/>
          <w:right w:val="nil"/>
          <w:insideH w:val="nil"/>
          <w:insideV w:val="single" w:sz="4" w:space="0"/>
          <w:tl2br w:val="nil"/>
          <w:tr2bl w:val="nil"/>
        </w:tcBorders>
      </w:tcPr>
    </w:tblStylePr>
  </w:style>
  <w:style w:type="paragraph" w:customStyle="1" w:styleId="1418">
    <w:name w:val="列出段落51"/>
    <w:basedOn w:val="1"/>
    <w:qFormat/>
    <w:uiPriority w:val="0"/>
    <w:pPr>
      <w:ind w:firstLine="420" w:firstLineChars="200"/>
    </w:pPr>
    <w:rPr>
      <w:rFonts w:ascii="Calibri" w:hAnsi="Calibri"/>
      <w:szCs w:val="22"/>
    </w:rPr>
  </w:style>
  <w:style w:type="character" w:customStyle="1" w:styleId="1419">
    <w:name w:val="不明显强调2"/>
    <w:basedOn w:val="64"/>
    <w:qFormat/>
    <w:uiPriority w:val="19"/>
    <w:rPr>
      <w:i/>
      <w:iCs/>
      <w:color w:val="808080" w:themeColor="text1" w:themeTint="80"/>
      <w14:textFill>
        <w14:solidFill>
          <w14:schemeClr w14:val="tx1">
            <w14:lumMod w14:val="50000"/>
            <w14:lumOff w14:val="50000"/>
          </w14:schemeClr>
        </w14:solidFill>
      </w14:textFill>
    </w:rPr>
  </w:style>
  <w:style w:type="paragraph" w:customStyle="1" w:styleId="1420">
    <w:name w:val="修订6"/>
    <w:hidden/>
    <w:unhideWhenUsed/>
    <w:qFormat/>
    <w:uiPriority w:val="99"/>
    <w:rPr>
      <w:rFonts w:asciiTheme="minorHAnsi" w:hAnsiTheme="minorHAnsi" w:eastAsiaTheme="minorEastAsia" w:cstheme="minorBidi"/>
      <w:kern w:val="2"/>
      <w:sz w:val="28"/>
      <w:szCs w:val="22"/>
      <w:lang w:val="en-US" w:eastAsia="zh-CN" w:bidi="ar-SA"/>
    </w:rPr>
  </w:style>
  <w:style w:type="character" w:customStyle="1" w:styleId="1421">
    <w:name w:val="Unresolved Mention"/>
    <w:basedOn w:val="64"/>
    <w:semiHidden/>
    <w:unhideWhenUsed/>
    <w:qFormat/>
    <w:uiPriority w:val="99"/>
    <w:rPr>
      <w:color w:val="605E5C"/>
      <w:shd w:val="clear" w:color="auto" w:fill="E1DFDD"/>
    </w:rPr>
  </w:style>
  <w:style w:type="table" w:customStyle="1" w:styleId="1422">
    <w:name w:val="网格型17"/>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23">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1424">
    <w:name w:val="图表标题"/>
    <w:basedOn w:val="1"/>
    <w:link w:val="1425"/>
    <w:qFormat/>
    <w:uiPriority w:val="0"/>
    <w:pPr>
      <w:spacing w:line="360" w:lineRule="auto"/>
      <w:jc w:val="center"/>
    </w:pPr>
    <w:rPr>
      <w:rFonts w:eastAsiaTheme="minorEastAsia"/>
      <w:b/>
      <w:sz w:val="24"/>
    </w:rPr>
  </w:style>
  <w:style w:type="character" w:customStyle="1" w:styleId="1425">
    <w:name w:val="图表标题 字符"/>
    <w:basedOn w:val="64"/>
    <w:link w:val="1424"/>
    <w:qFormat/>
    <w:uiPriority w:val="0"/>
    <w:rPr>
      <w:rFonts w:eastAsiaTheme="minorEastAsia"/>
      <w:b/>
      <w:kern w:val="2"/>
      <w:sz w:val="24"/>
      <w:szCs w:val="24"/>
    </w:rPr>
  </w:style>
  <w:style w:type="paragraph" w:customStyle="1" w:styleId="1426">
    <w:name w:val="彩色列表 - 强调文字颜色 111"/>
    <w:basedOn w:val="1"/>
    <w:qFormat/>
    <w:uiPriority w:val="99"/>
    <w:pPr>
      <w:ind w:firstLine="420" w:firstLineChars="200"/>
    </w:pPr>
    <w:rPr>
      <w:szCs w:val="22"/>
    </w:rPr>
  </w:style>
  <w:style w:type="paragraph" w:customStyle="1" w:styleId="1427">
    <w:name w:val="彩色列表 - 强调文字颜色 11"/>
    <w:basedOn w:val="1"/>
    <w:qFormat/>
    <w:uiPriority w:val="0"/>
    <w:pPr>
      <w:ind w:firstLine="420" w:firstLineChars="200"/>
    </w:pPr>
    <w:rPr>
      <w:szCs w:val="22"/>
    </w:rPr>
  </w:style>
  <w:style w:type="paragraph" w:customStyle="1" w:styleId="1428">
    <w:name w:val="_Style 50"/>
    <w:basedOn w:val="1"/>
    <w:next w:val="1"/>
    <w:qFormat/>
    <w:uiPriority w:val="39"/>
    <w:pPr>
      <w:tabs>
        <w:tab w:val="left" w:pos="1260"/>
        <w:tab w:val="right" w:leader="dot" w:pos="8296"/>
      </w:tabs>
      <w:spacing w:line="360" w:lineRule="auto"/>
    </w:pPr>
    <w:rPr>
      <w:rFonts w:eastAsia="仿宋"/>
      <w:sz w:val="24"/>
      <w:szCs w:val="22"/>
    </w:rPr>
  </w:style>
  <w:style w:type="paragraph" w:customStyle="1" w:styleId="1429">
    <w:name w:val="彩色列表 - 强调文字颜色 12"/>
    <w:basedOn w:val="1"/>
    <w:qFormat/>
    <w:uiPriority w:val="0"/>
    <w:pPr>
      <w:ind w:firstLine="420" w:firstLineChars="200"/>
    </w:pPr>
    <w:rPr>
      <w:rFonts w:ascii="Calibri" w:hAnsi="Calibri"/>
      <w:szCs w:val="22"/>
    </w:rPr>
  </w:style>
  <w:style w:type="paragraph" w:customStyle="1" w:styleId="1430">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1431">
    <w:name w:val="Level 6"/>
    <w:basedOn w:val="1"/>
    <w:qFormat/>
    <w:uiPriority w:val="0"/>
    <w:pPr>
      <w:widowControl/>
      <w:numPr>
        <w:ilvl w:val="5"/>
        <w:numId w:val="4"/>
      </w:numPr>
      <w:adjustRightInd w:val="0"/>
      <w:spacing w:after="240"/>
      <w:outlineLvl w:val="5"/>
    </w:pPr>
    <w:rPr>
      <w:rFonts w:ascii="Arial" w:hAnsi="Arial" w:eastAsia="Arial" w:cs="Arial"/>
      <w:kern w:val="0"/>
      <w:sz w:val="20"/>
      <w:szCs w:val="20"/>
      <w:lang w:val="en-GB" w:eastAsia="en-GB"/>
    </w:rPr>
  </w:style>
  <w:style w:type="paragraph" w:customStyle="1" w:styleId="1432">
    <w:name w:val="Level 3"/>
    <w:basedOn w:val="1"/>
    <w:qFormat/>
    <w:uiPriority w:val="0"/>
    <w:pPr>
      <w:widowControl/>
      <w:numPr>
        <w:ilvl w:val="2"/>
        <w:numId w:val="4"/>
      </w:numPr>
      <w:adjustRightInd w:val="0"/>
      <w:spacing w:after="240"/>
      <w:outlineLvl w:val="2"/>
    </w:pPr>
    <w:rPr>
      <w:rFonts w:ascii="Arial" w:hAnsi="Arial" w:eastAsia="Arial" w:cs="Arial"/>
      <w:kern w:val="0"/>
      <w:sz w:val="20"/>
      <w:szCs w:val="20"/>
      <w:lang w:val="en-GB" w:eastAsia="en-GB"/>
    </w:rPr>
  </w:style>
  <w:style w:type="paragraph" w:customStyle="1" w:styleId="1433">
    <w:name w:val="Level 2"/>
    <w:basedOn w:val="1"/>
    <w:qFormat/>
    <w:uiPriority w:val="0"/>
    <w:pPr>
      <w:widowControl/>
      <w:numPr>
        <w:ilvl w:val="1"/>
        <w:numId w:val="4"/>
      </w:numPr>
      <w:adjustRightInd w:val="0"/>
      <w:spacing w:after="240"/>
      <w:outlineLvl w:val="1"/>
    </w:pPr>
    <w:rPr>
      <w:rFonts w:ascii="Arial" w:hAnsi="Arial" w:eastAsia="Arial" w:cs="Arial"/>
      <w:kern w:val="0"/>
      <w:sz w:val="20"/>
      <w:szCs w:val="20"/>
      <w:lang w:val="en-GB" w:eastAsia="en-GB"/>
    </w:rPr>
  </w:style>
  <w:style w:type="paragraph" w:customStyle="1" w:styleId="1434">
    <w:name w:val="Level 4"/>
    <w:basedOn w:val="1"/>
    <w:qFormat/>
    <w:uiPriority w:val="0"/>
    <w:pPr>
      <w:widowControl/>
      <w:numPr>
        <w:ilvl w:val="3"/>
        <w:numId w:val="4"/>
      </w:numPr>
      <w:adjustRightInd w:val="0"/>
      <w:spacing w:after="240"/>
      <w:outlineLvl w:val="3"/>
    </w:pPr>
    <w:rPr>
      <w:rFonts w:ascii="Arial" w:hAnsi="Arial" w:eastAsia="Arial" w:cs="Arial"/>
      <w:kern w:val="0"/>
      <w:sz w:val="20"/>
      <w:szCs w:val="20"/>
      <w:lang w:val="en-GB" w:eastAsia="en-GB"/>
    </w:rPr>
  </w:style>
  <w:style w:type="paragraph" w:customStyle="1" w:styleId="1435">
    <w:name w:val="Level 1"/>
    <w:basedOn w:val="1"/>
    <w:qFormat/>
    <w:uiPriority w:val="0"/>
    <w:pPr>
      <w:widowControl/>
      <w:numPr>
        <w:ilvl w:val="0"/>
        <w:numId w:val="4"/>
      </w:numPr>
      <w:adjustRightInd w:val="0"/>
      <w:spacing w:after="240"/>
      <w:outlineLvl w:val="0"/>
    </w:pPr>
    <w:rPr>
      <w:rFonts w:ascii="Arial" w:hAnsi="Arial" w:eastAsia="Arial" w:cs="Arial"/>
      <w:kern w:val="0"/>
      <w:sz w:val="20"/>
      <w:szCs w:val="20"/>
      <w:lang w:val="en-GB" w:eastAsia="en-GB"/>
    </w:rPr>
  </w:style>
  <w:style w:type="paragraph" w:customStyle="1" w:styleId="143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437">
    <w:name w:val="Level 5"/>
    <w:basedOn w:val="1"/>
    <w:qFormat/>
    <w:uiPriority w:val="0"/>
    <w:pPr>
      <w:widowControl/>
      <w:numPr>
        <w:ilvl w:val="4"/>
        <w:numId w:val="4"/>
      </w:numPr>
      <w:adjustRightInd w:val="0"/>
      <w:spacing w:after="240"/>
      <w:outlineLvl w:val="4"/>
    </w:pPr>
    <w:rPr>
      <w:rFonts w:ascii="Arial" w:hAnsi="Arial" w:eastAsia="Arial" w:cs="Arial"/>
      <w:kern w:val="0"/>
      <w:sz w:val="20"/>
      <w:szCs w:val="20"/>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png"/><Relationship Id="rId25" Type="http://schemas.openxmlformats.org/officeDocument/2006/relationships/image" Target="media/image1.jpeg"/><Relationship Id="rId24" Type="http://schemas.openxmlformats.org/officeDocument/2006/relationships/theme" Target="theme/theme1.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D6B65-097E-4103-B40A-4A141A68186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205</Pages>
  <Words>21341</Words>
  <Characters>121648</Characters>
  <Lines>1013</Lines>
  <Paragraphs>285</Paragraphs>
  <TotalTime>144</TotalTime>
  <ScaleCrop>false</ScaleCrop>
  <LinksUpToDate>false</LinksUpToDate>
  <CharactersWithSpaces>142704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2020-08-31T13:25:00Z</dcterms:created>
  <dc:creator>PeiMH</dc:creator>
  <cp:lastModifiedBy>caroline</cp:lastModifiedBy>
  <cp:lastPrinted>2018-07-16T09:43:00Z</cp:lastPrinted>
  <dcterms:modified xsi:type="dcterms:W3CDTF">2020-09-18T07:26:17Z</dcterms:modified>
  <dc:title>南宁市政府采购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