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firstLine="803"/>
        <w:rPr>
          <w:rFonts w:ascii="宋体" w:hAnsi="宋体"/>
          <w:b/>
          <w:sz w:val="44"/>
          <w:szCs w:val="44"/>
        </w:rPr>
      </w:pPr>
      <w:r>
        <w:rPr>
          <w:rFonts w:hint="eastAsia" w:ascii="宋体" w:hAnsi="宋体"/>
          <w:b/>
          <w:sz w:val="44"/>
          <w:szCs w:val="44"/>
        </w:rPr>
        <w:t xml:space="preserve"> </w:t>
      </w:r>
    </w:p>
    <w:p>
      <w:pPr>
        <w:pStyle w:val="12"/>
        <w:ind w:firstLine="803"/>
        <w:rPr>
          <w:rFonts w:ascii="宋体" w:hAnsi="宋体"/>
          <w:b/>
          <w:sz w:val="44"/>
          <w:szCs w:val="44"/>
        </w:rPr>
      </w:pPr>
    </w:p>
    <w:p>
      <w:pPr>
        <w:pStyle w:val="12"/>
        <w:ind w:firstLine="803"/>
        <w:rPr>
          <w:rFonts w:ascii="宋体" w:hAnsi="宋体"/>
          <w:b/>
          <w:sz w:val="44"/>
          <w:szCs w:val="44"/>
        </w:rPr>
      </w:pPr>
      <w:r>
        <w:rPr>
          <w:rFonts w:hint="eastAsia" w:ascii="宋体" w:hAnsi="宋体"/>
          <w:b/>
          <w:sz w:val="44"/>
          <w:szCs w:val="44"/>
        </w:rPr>
        <w:t xml:space="preserve">          </w:t>
      </w:r>
      <w:r>
        <w:rPr>
          <w:rFonts w:hint="eastAsia" w:ascii="宋体" w:hAnsi="宋体"/>
          <w:b/>
          <w:sz w:val="44"/>
          <w:szCs w:val="44"/>
        </w:rPr>
        <w:drawing>
          <wp:inline distT="0" distB="0" distL="0" distR="0">
            <wp:extent cx="2219325" cy="1676400"/>
            <wp:effectExtent l="19050" t="0" r="9525" b="0"/>
            <wp:docPr id="1" name="图片 6" descr="_GCRYTNTVIY79EAE8V@7)G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_GCRYTNTVIY79EAE8V@7)GP"/>
                    <pic:cNvPicPr>
                      <a:picLocks noChangeAspect="1" noChangeArrowheads="1"/>
                    </pic:cNvPicPr>
                  </pic:nvPicPr>
                  <pic:blipFill>
                    <a:blip r:embed="rId16" cstate="print"/>
                    <a:srcRect/>
                    <a:stretch>
                      <a:fillRect/>
                    </a:stretch>
                  </pic:blipFill>
                  <pic:spPr>
                    <a:xfrm>
                      <a:off x="0" y="0"/>
                      <a:ext cx="2219325" cy="1676400"/>
                    </a:xfrm>
                    <a:prstGeom prst="rect">
                      <a:avLst/>
                    </a:prstGeom>
                    <a:noFill/>
                    <a:ln w="9525" cmpd="sng">
                      <a:noFill/>
                      <a:miter lim="800000"/>
                      <a:headEnd/>
                      <a:tailEnd/>
                    </a:ln>
                  </pic:spPr>
                </pic:pic>
              </a:graphicData>
            </a:graphic>
          </wp:inline>
        </w:drawing>
      </w:r>
    </w:p>
    <w:p>
      <w:pPr>
        <w:pStyle w:val="12"/>
        <w:ind w:firstLine="803"/>
        <w:rPr>
          <w:rFonts w:ascii="宋体" w:hAnsi="宋体"/>
          <w:b/>
          <w:sz w:val="44"/>
          <w:szCs w:val="44"/>
        </w:rPr>
      </w:pPr>
    </w:p>
    <w:p>
      <w:pPr>
        <w:pStyle w:val="12"/>
        <w:ind w:firstLine="803"/>
        <w:rPr>
          <w:rFonts w:ascii="宋体" w:hAnsi="宋体"/>
          <w:b/>
          <w:sz w:val="60"/>
          <w:szCs w:val="60"/>
        </w:rPr>
      </w:pPr>
      <w:r>
        <w:rPr>
          <w:rFonts w:hint="eastAsia" w:ascii="宋体" w:hAnsi="宋体"/>
          <w:b/>
          <w:sz w:val="44"/>
          <w:szCs w:val="44"/>
        </w:rPr>
        <w:t xml:space="preserve"> </w:t>
      </w:r>
      <w:r>
        <w:rPr>
          <w:rFonts w:hint="eastAsia" w:ascii="宋体" w:hAnsi="宋体"/>
          <w:b/>
          <w:sz w:val="60"/>
          <w:szCs w:val="60"/>
        </w:rPr>
        <w:t>广西乐正工程项目管理有限公司</w:t>
      </w:r>
    </w:p>
    <w:p>
      <w:pPr>
        <w:pStyle w:val="12"/>
        <w:ind w:firstLine="803"/>
        <w:rPr>
          <w:rFonts w:ascii="宋体" w:hAnsi="宋体"/>
          <w:b/>
          <w:sz w:val="44"/>
          <w:szCs w:val="44"/>
        </w:rPr>
      </w:pPr>
    </w:p>
    <w:p>
      <w:pPr>
        <w:pStyle w:val="12"/>
        <w:ind w:firstLine="2571" w:firstLineChars="582"/>
        <w:rPr>
          <w:rFonts w:ascii="宋体" w:hAnsi="宋体"/>
          <w:b/>
          <w:sz w:val="44"/>
          <w:szCs w:val="44"/>
        </w:rPr>
      </w:pPr>
      <w:r>
        <w:rPr>
          <w:rFonts w:hint="eastAsia" w:ascii="宋体" w:hAnsi="宋体"/>
          <w:b/>
          <w:sz w:val="44"/>
          <w:szCs w:val="44"/>
        </w:rPr>
        <w:t>竞争性磋商采购文件</w:t>
      </w:r>
    </w:p>
    <w:p>
      <w:pPr>
        <w:pStyle w:val="12"/>
        <w:ind w:firstLine="803"/>
        <w:rPr>
          <w:rFonts w:ascii="宋体" w:hAnsi="宋体"/>
          <w:b/>
          <w:sz w:val="44"/>
          <w:szCs w:val="44"/>
        </w:rPr>
      </w:pPr>
    </w:p>
    <w:p>
      <w:pPr>
        <w:pStyle w:val="12"/>
        <w:ind w:firstLine="803"/>
        <w:rPr>
          <w:rFonts w:ascii="宋体" w:hAnsi="宋体"/>
          <w:b/>
          <w:sz w:val="44"/>
          <w:szCs w:val="44"/>
        </w:rPr>
      </w:pPr>
    </w:p>
    <w:p>
      <w:pPr>
        <w:pStyle w:val="12"/>
        <w:ind w:firstLine="803"/>
        <w:rPr>
          <w:rFonts w:ascii="宋体" w:hAnsi="宋体"/>
          <w:b/>
          <w:sz w:val="44"/>
          <w:szCs w:val="44"/>
        </w:rPr>
      </w:pPr>
    </w:p>
    <w:p>
      <w:pPr>
        <w:pStyle w:val="12"/>
        <w:ind w:firstLine="803"/>
        <w:rPr>
          <w:rFonts w:ascii="宋体" w:hAnsi="宋体"/>
          <w:b/>
          <w:sz w:val="44"/>
          <w:szCs w:val="44"/>
        </w:rPr>
      </w:pPr>
    </w:p>
    <w:p>
      <w:pPr>
        <w:pStyle w:val="12"/>
        <w:ind w:firstLine="803"/>
        <w:rPr>
          <w:rFonts w:ascii="宋体" w:hAnsi="宋体"/>
          <w:b/>
          <w:sz w:val="32"/>
          <w:szCs w:val="32"/>
        </w:rPr>
      </w:pPr>
      <w:r>
        <w:rPr>
          <w:rFonts w:hint="eastAsia" w:ascii="宋体" w:hAnsi="宋体"/>
          <w:b/>
          <w:sz w:val="32"/>
          <w:szCs w:val="32"/>
        </w:rPr>
        <w:t>项目名称：贵港市城市地价动态监测编制项目服务工作</w:t>
      </w:r>
    </w:p>
    <w:p>
      <w:pPr>
        <w:pStyle w:val="12"/>
        <w:ind w:firstLine="803"/>
        <w:rPr>
          <w:rFonts w:ascii="宋体" w:hAnsi="宋体"/>
          <w:b/>
          <w:sz w:val="32"/>
          <w:szCs w:val="32"/>
        </w:rPr>
      </w:pPr>
      <w:r>
        <w:rPr>
          <w:rFonts w:hint="eastAsia" w:ascii="宋体" w:hAnsi="宋体"/>
          <w:b/>
          <w:sz w:val="32"/>
          <w:szCs w:val="32"/>
        </w:rPr>
        <w:t>项目编号：GGZC2020-C3-04422-GXLZ</w:t>
      </w:r>
    </w:p>
    <w:p>
      <w:pPr>
        <w:pStyle w:val="12"/>
        <w:ind w:firstLine="803"/>
        <w:rPr>
          <w:rFonts w:ascii="宋体" w:hAnsi="宋体"/>
          <w:b/>
          <w:sz w:val="32"/>
          <w:szCs w:val="32"/>
        </w:rPr>
      </w:pPr>
      <w:r>
        <w:rPr>
          <w:rFonts w:hint="eastAsia" w:ascii="宋体" w:hAnsi="宋体"/>
          <w:b/>
          <w:sz w:val="32"/>
          <w:szCs w:val="32"/>
        </w:rPr>
        <w:t>采购单位：贵港市自然资源局</w:t>
      </w:r>
    </w:p>
    <w:p>
      <w:pPr>
        <w:pStyle w:val="12"/>
        <w:ind w:firstLine="803"/>
        <w:rPr>
          <w:rFonts w:ascii="宋体" w:hAnsi="宋体"/>
          <w:b/>
          <w:sz w:val="32"/>
          <w:szCs w:val="32"/>
        </w:rPr>
      </w:pPr>
      <w:r>
        <w:rPr>
          <w:rFonts w:hint="eastAsia" w:ascii="宋体" w:hAnsi="宋体"/>
          <w:b/>
          <w:sz w:val="32"/>
          <w:szCs w:val="32"/>
        </w:rPr>
        <w:t>采购代理机构：广西乐正工程项目管理有限公司</w:t>
      </w:r>
    </w:p>
    <w:p>
      <w:pPr>
        <w:pStyle w:val="12"/>
        <w:ind w:firstLine="803"/>
        <w:rPr>
          <w:rFonts w:ascii="宋体" w:hAnsi="宋体"/>
          <w:b/>
          <w:sz w:val="30"/>
          <w:szCs w:val="30"/>
        </w:rPr>
      </w:pPr>
    </w:p>
    <w:p>
      <w:pPr>
        <w:pStyle w:val="12"/>
        <w:ind w:firstLine="3858" w:firstLineChars="1281"/>
        <w:rPr>
          <w:rFonts w:ascii="宋体" w:hAnsi="宋体"/>
          <w:b/>
          <w:sz w:val="30"/>
          <w:szCs w:val="30"/>
        </w:rPr>
      </w:pPr>
      <w:r>
        <w:rPr>
          <w:rFonts w:hint="eastAsia" w:ascii="宋体" w:hAnsi="宋体"/>
          <w:b/>
          <w:sz w:val="30"/>
          <w:szCs w:val="30"/>
        </w:rPr>
        <w:t>2020年11月</w:t>
      </w:r>
    </w:p>
    <w:p>
      <w:pPr>
        <w:pStyle w:val="12"/>
        <w:ind w:firstLine="803"/>
        <w:rPr>
          <w:rFonts w:ascii="宋体" w:hAnsi="宋体"/>
          <w:b/>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850" w:gutter="0"/>
          <w:pgNumType w:start="0"/>
          <w:cols w:space="720" w:num="1"/>
          <w:titlePg/>
          <w:docGrid w:type="lines" w:linePitch="312" w:charSpace="0"/>
        </w:sectPr>
      </w:pPr>
    </w:p>
    <w:p>
      <w:pPr>
        <w:pStyle w:val="12"/>
        <w:ind w:firstLine="803"/>
        <w:rPr>
          <w:rFonts w:ascii="宋体" w:hAnsi="宋体"/>
          <w:b/>
          <w:sz w:val="44"/>
          <w:szCs w:val="44"/>
        </w:rPr>
      </w:pPr>
    </w:p>
    <w:p>
      <w:pPr>
        <w:pStyle w:val="22"/>
        <w:rPr>
          <w:sz w:val="28"/>
          <w:szCs w:val="28"/>
        </w:rPr>
      </w:pPr>
      <w:r>
        <w:rPr>
          <w:rFonts w:hint="eastAsia"/>
          <w:sz w:val="28"/>
          <w:szCs w:val="28"/>
        </w:rPr>
        <w:t>目  录</w:t>
      </w:r>
    </w:p>
    <w:p>
      <w:pPr>
        <w:pStyle w:val="22"/>
        <w:rPr>
          <w:sz w:val="28"/>
          <w:szCs w:val="28"/>
        </w:rPr>
      </w:pPr>
      <w:r>
        <w:rPr>
          <w:rFonts w:hint="eastAsia"/>
          <w:sz w:val="28"/>
          <w:szCs w:val="28"/>
        </w:rPr>
        <w:t>第一章  竞争性磋商公告..............................2</w:t>
      </w:r>
    </w:p>
    <w:p>
      <w:pPr>
        <w:pStyle w:val="22"/>
        <w:rPr>
          <w:sz w:val="28"/>
          <w:szCs w:val="28"/>
        </w:rPr>
      </w:pPr>
      <w:r>
        <w:rPr>
          <w:rFonts w:hint="eastAsia"/>
          <w:sz w:val="28"/>
          <w:szCs w:val="28"/>
        </w:rPr>
        <w:t>第二章  磋商须知及前附表............................5</w:t>
      </w:r>
    </w:p>
    <w:p>
      <w:pPr>
        <w:pStyle w:val="22"/>
        <w:rPr>
          <w:sz w:val="28"/>
          <w:szCs w:val="28"/>
        </w:rPr>
      </w:pPr>
      <w:r>
        <w:rPr>
          <w:rFonts w:hint="eastAsia"/>
          <w:sz w:val="28"/>
          <w:szCs w:val="28"/>
        </w:rPr>
        <w:t>第三章  采购项目需求一览表..........................17</w:t>
      </w:r>
    </w:p>
    <w:p>
      <w:pPr>
        <w:pStyle w:val="22"/>
        <w:rPr>
          <w:sz w:val="28"/>
          <w:szCs w:val="28"/>
        </w:rPr>
      </w:pPr>
      <w:r>
        <w:rPr>
          <w:rFonts w:hint="eastAsia"/>
          <w:sz w:val="28"/>
          <w:szCs w:val="28"/>
        </w:rPr>
        <w:t>第四章  评审方法......................30</w:t>
      </w:r>
    </w:p>
    <w:p>
      <w:pPr>
        <w:pStyle w:val="22"/>
        <w:rPr>
          <w:sz w:val="28"/>
          <w:szCs w:val="28"/>
        </w:rPr>
      </w:pPr>
      <w:r>
        <w:rPr>
          <w:rFonts w:hint="eastAsia"/>
          <w:sz w:val="28"/>
          <w:szCs w:val="28"/>
        </w:rPr>
        <w:t>第五章  竞争性磋商响应文件格式................................34</w:t>
      </w:r>
    </w:p>
    <w:p>
      <w:pPr>
        <w:pStyle w:val="22"/>
        <w:rPr>
          <w:sz w:val="28"/>
          <w:szCs w:val="28"/>
        </w:rPr>
      </w:pPr>
      <w:r>
        <w:rPr>
          <w:rFonts w:hint="eastAsia"/>
          <w:sz w:val="28"/>
          <w:szCs w:val="28"/>
        </w:rPr>
        <w:t>第六章  合同主要条款....................................46</w:t>
      </w:r>
    </w:p>
    <w:p>
      <w:pPr>
        <w:pStyle w:val="22"/>
        <w:rPr>
          <w:sz w:val="28"/>
          <w:szCs w:val="28"/>
        </w:rPr>
      </w:pPr>
    </w:p>
    <w:p>
      <w:pPr>
        <w:spacing w:line="400" w:lineRule="exact"/>
        <w:jc w:val="left"/>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rPr>
          <w:rFonts w:ascii="宋体" w:hAnsi="宋体"/>
          <w:b/>
          <w:sz w:val="32"/>
          <w:szCs w:val="32"/>
        </w:rPr>
        <w:sectPr>
          <w:headerReference r:id="rId10" w:type="first"/>
          <w:footerReference r:id="rId12" w:type="first"/>
          <w:headerReference r:id="rId9" w:type="default"/>
          <w:footerReference r:id="rId11" w:type="default"/>
          <w:pgSz w:w="11906" w:h="16838"/>
          <w:pgMar w:top="1440" w:right="1440" w:bottom="1440" w:left="1587" w:header="851" w:footer="992" w:gutter="0"/>
          <w:pgNumType w:start="1"/>
          <w:cols w:space="720" w:num="1"/>
          <w:titlePg/>
          <w:docGrid w:type="lines" w:linePitch="312" w:charSpace="0"/>
        </w:sectPr>
      </w:pPr>
    </w:p>
    <w:p>
      <w:pPr>
        <w:pStyle w:val="24"/>
        <w:rPr>
          <w:rFonts w:ascii="宋体" w:hAnsi="宋体" w:cs="宋体"/>
        </w:rPr>
      </w:pPr>
      <w:bookmarkStart w:id="0" w:name="_Toc9128"/>
      <w:r>
        <w:rPr>
          <w:rFonts w:hint="eastAsia" w:ascii="宋体" w:hAnsi="宋体" w:cs="宋体"/>
        </w:rPr>
        <w:t>第一章    竞争性磋商公告</w:t>
      </w:r>
      <w:bookmarkEnd w:id="0"/>
    </w:p>
    <w:p>
      <w:pPr>
        <w:pStyle w:val="12"/>
        <w:ind w:firstLine="803"/>
        <w:jc w:val="center"/>
        <w:rPr>
          <w:rFonts w:hint="eastAsia" w:ascii="宋体" w:hAnsi="宋体"/>
          <w:b/>
          <w:sz w:val="28"/>
          <w:szCs w:val="28"/>
        </w:rPr>
      </w:pPr>
      <w:r>
        <w:rPr>
          <w:rFonts w:hint="eastAsia" w:ascii="宋体" w:hAnsi="宋体"/>
          <w:b/>
          <w:sz w:val="28"/>
          <w:szCs w:val="28"/>
        </w:rPr>
        <w:t>广西乐正工程项目管理有限公司关于贵港市城市地价动态监测</w:t>
      </w:r>
    </w:p>
    <w:p>
      <w:pPr>
        <w:pStyle w:val="12"/>
        <w:ind w:firstLine="803"/>
        <w:jc w:val="center"/>
        <w:rPr>
          <w:rFonts w:hint="eastAsia" w:ascii="宋体" w:hAnsi="宋体"/>
          <w:b/>
          <w:sz w:val="28"/>
          <w:szCs w:val="28"/>
        </w:rPr>
      </w:pPr>
      <w:r>
        <w:rPr>
          <w:rFonts w:hint="eastAsia" w:ascii="宋体" w:hAnsi="宋体"/>
          <w:b/>
          <w:sz w:val="28"/>
          <w:szCs w:val="28"/>
        </w:rPr>
        <w:t>编制项目服务工作（项目编号：GGZC2020-C3-04422-GXLZ）</w:t>
      </w:r>
    </w:p>
    <w:p>
      <w:pPr>
        <w:pStyle w:val="12"/>
        <w:ind w:firstLine="803"/>
        <w:jc w:val="center"/>
        <w:rPr>
          <w:rFonts w:hint="eastAsia" w:ascii="宋体" w:hAnsi="宋体"/>
          <w:b/>
          <w:sz w:val="28"/>
          <w:szCs w:val="28"/>
        </w:rPr>
      </w:pPr>
      <w:r>
        <w:rPr>
          <w:rFonts w:hint="eastAsia" w:ascii="宋体" w:hAnsi="宋体"/>
          <w:b/>
          <w:sz w:val="28"/>
          <w:szCs w:val="28"/>
        </w:rPr>
        <w:t>竞争性磋商采购公告</w:t>
      </w:r>
    </w:p>
    <w:p>
      <w:pPr>
        <w:pBdr>
          <w:top w:val="single" w:color="auto" w:sz="4" w:space="1"/>
          <w:left w:val="single" w:color="auto" w:sz="4" w:space="4"/>
          <w:bottom w:val="single" w:color="auto" w:sz="4" w:space="1"/>
          <w:right w:val="single" w:color="auto" w:sz="4" w:space="4"/>
        </w:pBdr>
        <w:spacing w:line="360" w:lineRule="atLeast"/>
        <w:ind w:firstLine="420" w:firstLineChars="200"/>
        <w:rPr>
          <w:rFonts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360" w:lineRule="atLeast"/>
        <w:ind w:firstLine="420" w:firstLineChars="200"/>
        <w:rPr>
          <w:rFonts w:ascii="宋体" w:hAnsi="宋体" w:cs="宋体"/>
          <w:szCs w:val="21"/>
        </w:rPr>
      </w:pPr>
      <w:r>
        <w:rPr>
          <w:rFonts w:hint="eastAsia" w:ascii="宋体" w:hAnsi="宋体" w:cs="宋体"/>
          <w:szCs w:val="21"/>
          <w:u w:val="single"/>
        </w:rPr>
        <w:t xml:space="preserve">     贵港市城市地价动态监测编制项目服务工作 </w:t>
      </w:r>
      <w:r>
        <w:rPr>
          <w:rFonts w:hint="eastAsia" w:ascii="宋体" w:hAnsi="宋体" w:cs="宋体"/>
          <w:szCs w:val="21"/>
        </w:rPr>
        <w:t xml:space="preserve"> 采购项目的潜在供应商应在</w:t>
      </w:r>
      <w:r>
        <w:rPr>
          <w:rFonts w:hint="eastAsia" w:ascii="宋体" w:hAnsi="宋体" w:cs="宋体"/>
          <w:szCs w:val="21"/>
          <w:u w:val="single"/>
        </w:rPr>
        <w:t>贵港市政府采购网（http://zfcg.czj.gxgg.gov.cn）</w:t>
      </w:r>
      <w:r>
        <w:rPr>
          <w:rFonts w:hint="eastAsia" w:ascii="宋体" w:hAnsi="宋体" w:cs="宋体"/>
          <w:szCs w:val="21"/>
        </w:rPr>
        <w:t>获取采购文件，并于</w:t>
      </w:r>
      <w:r>
        <w:rPr>
          <w:rFonts w:hint="eastAsia" w:ascii="宋体" w:hAnsi="宋体" w:cs="宋体"/>
          <w:szCs w:val="21"/>
          <w:u w:val="single"/>
        </w:rPr>
        <w:t xml:space="preserve"> 2020年</w:t>
      </w:r>
      <w:r>
        <w:rPr>
          <w:rFonts w:hint="eastAsia" w:ascii="宋体" w:hAnsi="宋体" w:cs="宋体"/>
          <w:szCs w:val="21"/>
          <w:u w:val="single"/>
          <w:lang w:val="en-US" w:eastAsia="zh-CN"/>
        </w:rPr>
        <w:t>12</w:t>
      </w:r>
      <w:r>
        <w:rPr>
          <w:rFonts w:hint="eastAsia" w:ascii="宋体" w:hAnsi="宋体" w:cs="宋体"/>
          <w:szCs w:val="21"/>
          <w:u w:val="single"/>
        </w:rPr>
        <w:t>月</w:t>
      </w:r>
      <w:r>
        <w:rPr>
          <w:rFonts w:hint="eastAsia" w:ascii="宋体" w:hAnsi="宋体" w:cs="宋体"/>
          <w:szCs w:val="21"/>
          <w:u w:val="single"/>
          <w:lang w:val="en-US" w:eastAsia="zh-CN"/>
        </w:rPr>
        <w:t>22</w:t>
      </w:r>
      <w:r>
        <w:rPr>
          <w:rFonts w:hint="eastAsia" w:ascii="宋体" w:hAnsi="宋体" w:cs="宋体"/>
          <w:szCs w:val="21"/>
          <w:u w:val="single"/>
        </w:rPr>
        <w:t>日 15 点 30 分</w:t>
      </w:r>
      <w:r>
        <w:rPr>
          <w:rFonts w:hint="eastAsia" w:ascii="宋体" w:hAnsi="宋体" w:cs="宋体"/>
          <w:szCs w:val="21"/>
        </w:rPr>
        <w:t>（北京时间）前提交响应文件。</w:t>
      </w:r>
    </w:p>
    <w:p>
      <w:pPr>
        <w:spacing w:line="360" w:lineRule="atLeast"/>
        <w:rPr>
          <w:rFonts w:ascii="宋体" w:hAnsi="宋体" w:cs="宋体"/>
          <w:szCs w:val="21"/>
        </w:rPr>
      </w:pPr>
    </w:p>
    <w:p>
      <w:pPr>
        <w:pStyle w:val="4"/>
        <w:spacing w:before="0" w:after="0" w:line="480" w:lineRule="atLeast"/>
        <w:rPr>
          <w:rFonts w:ascii="宋体" w:hAnsi="宋体" w:cs="宋体"/>
          <w:b w:val="0"/>
          <w:bCs w:val="0"/>
          <w:sz w:val="21"/>
          <w:szCs w:val="21"/>
        </w:rPr>
      </w:pPr>
      <w:bookmarkStart w:id="1" w:name="_Toc35393798"/>
      <w:bookmarkStart w:id="2" w:name="_Toc35393629"/>
      <w:bookmarkStart w:id="3" w:name="_Toc28359012"/>
      <w:bookmarkStart w:id="4" w:name="_Toc28359089"/>
      <w:r>
        <w:rPr>
          <w:rFonts w:hint="eastAsia" w:ascii="宋体" w:hAnsi="宋体" w:cs="宋体"/>
          <w:b w:val="0"/>
          <w:bCs w:val="0"/>
          <w:sz w:val="21"/>
          <w:szCs w:val="21"/>
        </w:rPr>
        <w:t>一、项目基本情况</w:t>
      </w:r>
      <w:bookmarkEnd w:id="1"/>
      <w:bookmarkEnd w:id="2"/>
      <w:bookmarkEnd w:id="3"/>
      <w:bookmarkEnd w:id="4"/>
    </w:p>
    <w:p>
      <w:pPr>
        <w:spacing w:line="480" w:lineRule="atLeast"/>
        <w:ind w:firstLine="420" w:firstLineChars="200"/>
        <w:rPr>
          <w:rFonts w:ascii="宋体" w:hAnsi="宋体" w:cs="宋体"/>
          <w:szCs w:val="21"/>
        </w:rPr>
      </w:pPr>
      <w:r>
        <w:rPr>
          <w:rFonts w:hint="eastAsia" w:ascii="宋体" w:hAnsi="宋体" w:cs="宋体"/>
          <w:szCs w:val="21"/>
        </w:rPr>
        <w:t>项目编号：GGZC2020-C3-04422-GXLZ</w:t>
      </w:r>
    </w:p>
    <w:p>
      <w:pPr>
        <w:spacing w:line="480" w:lineRule="atLeast"/>
        <w:ind w:firstLine="420" w:firstLineChars="200"/>
        <w:rPr>
          <w:rFonts w:ascii="宋体" w:hAnsi="宋体" w:cs="宋体"/>
          <w:szCs w:val="21"/>
          <w:u w:val="single"/>
        </w:rPr>
      </w:pPr>
      <w:r>
        <w:rPr>
          <w:rFonts w:hint="eastAsia" w:ascii="宋体" w:hAnsi="宋体" w:cs="宋体"/>
          <w:szCs w:val="21"/>
        </w:rPr>
        <w:t>项目名称：贵港市城市地价动态监测编制项目服务工作</w:t>
      </w:r>
    </w:p>
    <w:p>
      <w:pPr>
        <w:spacing w:line="480" w:lineRule="atLeast"/>
        <w:ind w:firstLine="420" w:firstLineChars="200"/>
        <w:rPr>
          <w:rFonts w:ascii="宋体" w:hAnsi="宋体" w:cs="宋体"/>
          <w:szCs w:val="21"/>
        </w:rPr>
      </w:pPr>
      <w:r>
        <w:rPr>
          <w:rFonts w:hint="eastAsia" w:ascii="宋体" w:hAnsi="宋体" w:cs="宋体"/>
          <w:szCs w:val="21"/>
        </w:rPr>
        <w:t>采购方式：□竞争性谈判 ☑竞争性磋商 □询价</w:t>
      </w:r>
    </w:p>
    <w:p>
      <w:pPr>
        <w:spacing w:line="480" w:lineRule="atLeast"/>
        <w:ind w:firstLine="420" w:firstLineChars="200"/>
        <w:rPr>
          <w:rFonts w:ascii="宋体" w:hAnsi="宋体" w:cs="宋体"/>
          <w:szCs w:val="21"/>
        </w:rPr>
      </w:pPr>
      <w:r>
        <w:rPr>
          <w:rFonts w:hint="eastAsia" w:ascii="宋体" w:hAnsi="宋体" w:cs="宋体"/>
          <w:szCs w:val="21"/>
        </w:rPr>
        <w:t>预算金额：人民币肆拾壹万元整（¥410000.00元）</w:t>
      </w:r>
    </w:p>
    <w:p>
      <w:pPr>
        <w:spacing w:line="480" w:lineRule="atLeast"/>
        <w:ind w:firstLine="420" w:firstLineChars="200"/>
        <w:rPr>
          <w:rFonts w:ascii="宋体" w:hAnsi="宋体" w:cs="宋体"/>
          <w:szCs w:val="21"/>
        </w:rPr>
      </w:pPr>
      <w:r>
        <w:rPr>
          <w:rFonts w:hint="eastAsia" w:ascii="宋体" w:hAnsi="宋体" w:cs="宋体"/>
          <w:szCs w:val="21"/>
        </w:rPr>
        <w:t>最高限价：人民币肆拾壹万元整（¥410000.00元）。</w:t>
      </w:r>
    </w:p>
    <w:p>
      <w:pPr>
        <w:spacing w:line="480" w:lineRule="atLeast"/>
        <w:ind w:firstLine="420" w:firstLineChars="200"/>
        <w:rPr>
          <w:rFonts w:ascii="宋体" w:hAnsi="宋体" w:cs="宋体"/>
          <w:szCs w:val="21"/>
          <w:u w:val="single"/>
        </w:rPr>
      </w:pPr>
      <w:r>
        <w:rPr>
          <w:rFonts w:hint="eastAsia" w:ascii="宋体" w:hAnsi="宋体" w:cs="宋体"/>
          <w:szCs w:val="21"/>
        </w:rPr>
        <w:t>采购需求：贵港市城市地价动态监测编制项目服务工作</w:t>
      </w:r>
      <w:r>
        <w:rPr>
          <w:rFonts w:hint="eastAsia" w:ascii="宋体" w:hAnsi="宋体" w:cs="Arial"/>
          <w:szCs w:val="21"/>
        </w:rPr>
        <w:t xml:space="preserve">一项, </w:t>
      </w:r>
      <w:r>
        <w:rPr>
          <w:rFonts w:hint="eastAsia" w:ascii="宋体" w:hAnsi="宋体" w:cs="Arial"/>
          <w:szCs w:val="21"/>
          <w:lang w:bidi="zh-CN"/>
        </w:rPr>
        <w:t>如需进一步了解</w:t>
      </w:r>
      <w:r>
        <w:rPr>
          <w:rFonts w:hint="eastAsia" w:ascii="宋体" w:hAnsi="宋体" w:cs="宋体"/>
          <w:szCs w:val="21"/>
        </w:rPr>
        <w:t>，具体内容详见采购项目采购需求。</w:t>
      </w:r>
    </w:p>
    <w:p>
      <w:pPr>
        <w:spacing w:line="480" w:lineRule="atLeast"/>
        <w:ind w:firstLine="420" w:firstLineChars="200"/>
        <w:rPr>
          <w:rFonts w:ascii="宋体" w:hAnsi="宋体" w:cs="宋体"/>
          <w:szCs w:val="21"/>
          <w:u w:val="single"/>
        </w:rPr>
      </w:pPr>
      <w:r>
        <w:rPr>
          <w:rFonts w:hint="eastAsia" w:ascii="宋体" w:hAnsi="宋体" w:cs="宋体"/>
          <w:szCs w:val="21"/>
        </w:rPr>
        <w:t>合同履行期限：</w:t>
      </w:r>
      <w:r>
        <w:rPr>
          <w:rFonts w:hint="eastAsia" w:ascii="宋体" w:hAnsi="宋体" w:cs="Arial"/>
          <w:bCs/>
          <w:szCs w:val="21"/>
        </w:rPr>
        <w:t>1年</w:t>
      </w:r>
      <w:r>
        <w:rPr>
          <w:rFonts w:hint="eastAsia" w:ascii="宋体" w:hAnsi="宋体" w:cs="宋体"/>
          <w:szCs w:val="21"/>
        </w:rPr>
        <w:t>。</w:t>
      </w:r>
    </w:p>
    <w:p>
      <w:pPr>
        <w:spacing w:line="480" w:lineRule="atLeast"/>
        <w:ind w:firstLine="420" w:firstLineChars="200"/>
        <w:rPr>
          <w:rFonts w:ascii="宋体" w:hAnsi="宋体" w:cs="宋体"/>
          <w:szCs w:val="21"/>
        </w:rPr>
      </w:pPr>
      <w:r>
        <w:rPr>
          <w:rFonts w:hint="eastAsia" w:ascii="宋体" w:hAnsi="宋体" w:cs="宋体"/>
          <w:szCs w:val="21"/>
        </w:rPr>
        <w:t>本项目不接受联合体。</w:t>
      </w:r>
    </w:p>
    <w:p>
      <w:pPr>
        <w:pStyle w:val="4"/>
        <w:spacing w:before="0" w:after="0" w:line="480" w:lineRule="atLeast"/>
        <w:rPr>
          <w:rFonts w:ascii="宋体" w:hAnsi="宋体" w:cs="宋体"/>
          <w:b w:val="0"/>
          <w:bCs w:val="0"/>
          <w:sz w:val="21"/>
          <w:szCs w:val="21"/>
        </w:rPr>
      </w:pPr>
      <w:bookmarkStart w:id="5" w:name="_Toc28359090"/>
      <w:bookmarkStart w:id="6" w:name="_Toc28359013"/>
      <w:bookmarkStart w:id="7" w:name="_Toc35393630"/>
      <w:bookmarkStart w:id="8" w:name="_Toc35393799"/>
      <w:r>
        <w:rPr>
          <w:rFonts w:hint="eastAsia" w:ascii="宋体" w:hAnsi="宋体" w:cs="宋体"/>
          <w:b w:val="0"/>
          <w:bCs w:val="0"/>
          <w:sz w:val="21"/>
          <w:szCs w:val="21"/>
        </w:rPr>
        <w:t>二、申请人的资格要求：</w:t>
      </w:r>
      <w:bookmarkEnd w:id="5"/>
      <w:bookmarkEnd w:id="6"/>
      <w:bookmarkEnd w:id="7"/>
      <w:bookmarkEnd w:id="8"/>
      <w:r>
        <w:rPr>
          <w:rFonts w:hint="eastAsia" w:ascii="宋体" w:hAnsi="宋体" w:cs="宋体"/>
          <w:b w:val="0"/>
          <w:bCs w:val="0"/>
          <w:sz w:val="21"/>
          <w:szCs w:val="21"/>
        </w:rPr>
        <w:t xml:space="preserve"> </w:t>
      </w:r>
    </w:p>
    <w:p>
      <w:pPr>
        <w:spacing w:line="500" w:lineRule="atLeast"/>
        <w:ind w:firstLine="420" w:firstLineChars="200"/>
        <w:rPr>
          <w:rFonts w:ascii="宋体" w:hAnsi="宋体" w:cs="宋体"/>
          <w:szCs w:val="21"/>
        </w:rPr>
      </w:pPr>
      <w:bookmarkStart w:id="9" w:name="_Toc28359091"/>
      <w:bookmarkStart w:id="10" w:name="_Toc28359014"/>
      <w:r>
        <w:rPr>
          <w:rFonts w:hint="eastAsia" w:ascii="宋体" w:hAnsi="宋体" w:cs="宋体"/>
          <w:szCs w:val="21"/>
        </w:rPr>
        <w:t>1.满足《中华人民共和国政府采购法》第二十二条规定；</w:t>
      </w:r>
    </w:p>
    <w:p>
      <w:pPr>
        <w:spacing w:line="500" w:lineRule="atLeast"/>
        <w:ind w:firstLine="420" w:firstLineChars="200"/>
        <w:rPr>
          <w:rFonts w:ascii="宋体" w:hAnsi="宋体" w:cs="宋体"/>
          <w:szCs w:val="21"/>
        </w:rPr>
      </w:pPr>
      <w:r>
        <w:rPr>
          <w:rFonts w:hint="eastAsia" w:ascii="宋体" w:hAnsi="宋体" w:cs="宋体"/>
          <w:szCs w:val="21"/>
        </w:rPr>
        <w:t>2.落实政府采购政策需满足的资格要求：</w:t>
      </w:r>
      <w:r>
        <w:rPr>
          <w:rFonts w:hint="eastAsia" w:ascii="宋体" w:hAnsi="宋体" w:cs="宋体"/>
          <w:szCs w:val="21"/>
          <w:u w:val="single"/>
        </w:rPr>
        <w:t>/</w:t>
      </w:r>
    </w:p>
    <w:p>
      <w:pPr>
        <w:spacing w:line="500" w:lineRule="atLeast"/>
        <w:ind w:firstLine="420" w:firstLineChars="200"/>
        <w:rPr>
          <w:rFonts w:ascii="宋体" w:hAnsi="宋体" w:cs="宋体"/>
          <w:szCs w:val="21"/>
          <w:highlight w:val="cyan"/>
        </w:rPr>
      </w:pPr>
      <w:r>
        <w:rPr>
          <w:rFonts w:hint="eastAsia" w:ascii="宋体" w:hAnsi="宋体" w:cs="宋体"/>
          <w:szCs w:val="21"/>
        </w:rPr>
        <w:t>3.本项目的特定资格要求：（1）国内注册（指按国家有关规定要求注册的），具有独立法人资格，专业从事本次采购服务，且具有相应的技术、设备、经济能力和良好信誉的供应商；</w:t>
      </w:r>
    </w:p>
    <w:p>
      <w:pPr>
        <w:spacing w:line="500" w:lineRule="atLeast"/>
        <w:ind w:firstLine="420" w:firstLineChars="200"/>
        <w:rPr>
          <w:rFonts w:ascii="宋体" w:hAnsi="宋体" w:cs="宋体"/>
          <w:szCs w:val="21"/>
        </w:rPr>
      </w:pPr>
      <w:r>
        <w:rPr>
          <w:rFonts w:hint="eastAsia" w:ascii="宋体" w:hAnsi="宋体" w:cs="宋体"/>
          <w:szCs w:val="21"/>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500" w:lineRule="atLeast"/>
        <w:ind w:firstLine="420" w:firstLineChars="200"/>
        <w:rPr>
          <w:rFonts w:ascii="宋体" w:hAnsi="宋体" w:cs="宋体"/>
          <w:i/>
          <w:iCs/>
          <w:szCs w:val="21"/>
          <w:u w:val="single"/>
        </w:rPr>
      </w:pPr>
      <w:r>
        <w:rPr>
          <w:rFonts w:hint="eastAsia" w:ascii="宋体" w:hAnsi="宋体" w:cs="宋体"/>
          <w:szCs w:val="21"/>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80" w:lineRule="atLeast"/>
        <w:ind w:firstLine="420" w:firstLineChars="200"/>
        <w:rPr>
          <w:rFonts w:ascii="宋体" w:hAnsi="宋体" w:cs="宋体"/>
          <w:szCs w:val="21"/>
        </w:rPr>
      </w:pPr>
      <w:r>
        <w:rPr>
          <w:rFonts w:hint="eastAsia" w:ascii="宋体" w:hAnsi="宋体" w:cs="宋体"/>
          <w:szCs w:val="21"/>
        </w:rPr>
        <w:t>4.本项目不接受未通过政府采购云平台获取本项目竞争性磋商采购文件的供应商参加磋商。</w:t>
      </w:r>
    </w:p>
    <w:p>
      <w:pPr>
        <w:pStyle w:val="4"/>
        <w:spacing w:before="0" w:after="0" w:line="480" w:lineRule="atLeast"/>
        <w:rPr>
          <w:rFonts w:ascii="宋体" w:hAnsi="宋体" w:cs="宋体"/>
          <w:b w:val="0"/>
          <w:bCs w:val="0"/>
          <w:sz w:val="21"/>
          <w:szCs w:val="21"/>
        </w:rPr>
      </w:pPr>
      <w:bookmarkStart w:id="11" w:name="_Toc35393800"/>
      <w:bookmarkStart w:id="12" w:name="_Toc35393631"/>
      <w:r>
        <w:rPr>
          <w:rFonts w:hint="eastAsia" w:ascii="宋体" w:hAnsi="宋体" w:cs="宋体"/>
          <w:b w:val="0"/>
          <w:bCs w:val="0"/>
          <w:sz w:val="21"/>
          <w:szCs w:val="21"/>
        </w:rPr>
        <w:t>三、获取采购文件</w:t>
      </w:r>
      <w:bookmarkEnd w:id="9"/>
      <w:bookmarkEnd w:id="10"/>
      <w:bookmarkEnd w:id="11"/>
      <w:bookmarkEnd w:id="12"/>
    </w:p>
    <w:p>
      <w:pPr>
        <w:spacing w:line="480" w:lineRule="atLeast"/>
        <w:ind w:firstLine="420" w:firstLineChars="200"/>
        <w:rPr>
          <w:rFonts w:ascii="宋体" w:hAnsi="宋体" w:cs="宋体"/>
          <w:szCs w:val="21"/>
        </w:rPr>
      </w:pPr>
      <w:r>
        <w:rPr>
          <w:rFonts w:hint="eastAsia" w:ascii="宋体" w:hAnsi="宋体" w:cs="宋体"/>
          <w:szCs w:val="21"/>
        </w:rPr>
        <w:t>时间：2020年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12</w:t>
      </w:r>
      <w:r>
        <w:rPr>
          <w:rFonts w:hint="eastAsia" w:ascii="宋体" w:hAnsi="宋体" w:cs="宋体"/>
          <w:szCs w:val="21"/>
        </w:rPr>
        <w:t>日至竞标截止时间前</w:t>
      </w:r>
    </w:p>
    <w:p>
      <w:pPr>
        <w:spacing w:line="480" w:lineRule="atLeast"/>
        <w:ind w:firstLine="420" w:firstLineChars="200"/>
        <w:rPr>
          <w:rFonts w:ascii="宋体" w:hAnsi="宋体" w:cs="宋体"/>
          <w:szCs w:val="21"/>
        </w:rPr>
      </w:pPr>
      <w:bookmarkStart w:id="13" w:name="_Toc35393632"/>
      <w:bookmarkStart w:id="14" w:name="_Toc35393801"/>
      <w:bookmarkStart w:id="15" w:name="_Toc28359092"/>
      <w:bookmarkStart w:id="16" w:name="_Toc28359015"/>
      <w:r>
        <w:rPr>
          <w:rFonts w:hint="eastAsia" w:ascii="宋体" w:hAnsi="宋体" w:cs="宋体"/>
          <w:szCs w:val="21"/>
        </w:rPr>
        <w:t>地点：http://zfcg.czj.gxgg.gov.cn（贵港市政府采购网）；</w:t>
      </w:r>
    </w:p>
    <w:p>
      <w:pPr>
        <w:spacing w:line="480" w:lineRule="atLeast"/>
        <w:ind w:firstLine="420" w:firstLineChars="200"/>
        <w:rPr>
          <w:rFonts w:ascii="宋体" w:hAnsi="宋体" w:cs="宋体"/>
          <w:szCs w:val="21"/>
        </w:rPr>
      </w:pPr>
      <w:r>
        <w:rPr>
          <w:rFonts w:hint="eastAsia" w:ascii="宋体" w:hAnsi="宋体" w:cs="宋体"/>
          <w:szCs w:val="21"/>
        </w:rPr>
        <w:t>方式：供应商通过贵港市政府采购网“供应商注册入口”完成账号注册后，登录政采云平台“项目采购—获取采购文件”模块自行下载采购文件；潜在竞标人在截标现场签到报名，便认定为本项目的报名人。竞标人在签到后即可递交响应文件。</w:t>
      </w:r>
    </w:p>
    <w:p>
      <w:pPr>
        <w:spacing w:line="480" w:lineRule="atLeast"/>
        <w:ind w:firstLine="420" w:firstLineChars="200"/>
        <w:rPr>
          <w:rFonts w:ascii="宋体" w:hAnsi="宋体" w:cs="宋体"/>
          <w:szCs w:val="21"/>
        </w:rPr>
      </w:pPr>
      <w:r>
        <w:rPr>
          <w:rFonts w:hint="eastAsia" w:ascii="宋体" w:hAnsi="宋体" w:cs="宋体"/>
          <w:szCs w:val="21"/>
        </w:rPr>
        <w:t>售价：每本0元。</w:t>
      </w:r>
    </w:p>
    <w:p>
      <w:pPr>
        <w:pStyle w:val="4"/>
        <w:spacing w:before="0" w:after="0" w:line="480" w:lineRule="atLeast"/>
        <w:rPr>
          <w:rFonts w:ascii="宋体" w:hAnsi="宋体" w:cs="宋体"/>
          <w:b w:val="0"/>
          <w:bCs w:val="0"/>
          <w:sz w:val="21"/>
          <w:szCs w:val="21"/>
        </w:rPr>
      </w:pPr>
      <w:r>
        <w:rPr>
          <w:rFonts w:hint="eastAsia" w:ascii="宋体" w:hAnsi="宋体" w:cs="宋体"/>
          <w:b w:val="0"/>
          <w:bCs w:val="0"/>
          <w:sz w:val="21"/>
          <w:szCs w:val="21"/>
        </w:rPr>
        <w:t>四、响应文件提交</w:t>
      </w:r>
      <w:bookmarkEnd w:id="13"/>
      <w:bookmarkEnd w:id="14"/>
      <w:bookmarkEnd w:id="15"/>
      <w:bookmarkEnd w:id="16"/>
    </w:p>
    <w:p>
      <w:pPr>
        <w:spacing w:line="480" w:lineRule="atLeast"/>
        <w:ind w:firstLine="420" w:firstLineChars="200"/>
        <w:rPr>
          <w:rFonts w:ascii="宋体" w:hAnsi="宋体" w:cs="宋体"/>
          <w:szCs w:val="21"/>
        </w:rPr>
      </w:pPr>
      <w:r>
        <w:rPr>
          <w:rFonts w:hint="eastAsia" w:ascii="宋体" w:hAnsi="宋体" w:cs="宋体"/>
          <w:szCs w:val="21"/>
        </w:rPr>
        <w:t>截止时间：</w:t>
      </w:r>
      <w:r>
        <w:rPr>
          <w:rFonts w:hint="eastAsia" w:ascii="宋体" w:hAnsi="宋体" w:cs="宋体"/>
          <w:szCs w:val="21"/>
          <w:u w:val="single"/>
        </w:rPr>
        <w:t>2020年</w:t>
      </w:r>
      <w:r>
        <w:rPr>
          <w:rFonts w:hint="eastAsia" w:ascii="宋体" w:hAnsi="宋体" w:cs="宋体"/>
          <w:szCs w:val="21"/>
          <w:u w:val="single"/>
          <w:lang w:val="en-US" w:eastAsia="zh-CN"/>
        </w:rPr>
        <w:t>12</w:t>
      </w:r>
      <w:r>
        <w:rPr>
          <w:rFonts w:hint="eastAsia" w:ascii="宋体" w:hAnsi="宋体" w:cs="宋体"/>
          <w:szCs w:val="21"/>
          <w:u w:val="single"/>
        </w:rPr>
        <w:t>月</w:t>
      </w:r>
      <w:r>
        <w:rPr>
          <w:rFonts w:hint="eastAsia" w:ascii="宋体" w:hAnsi="宋体" w:cs="宋体"/>
          <w:szCs w:val="21"/>
          <w:u w:val="single"/>
          <w:lang w:val="en-US" w:eastAsia="zh-CN"/>
        </w:rPr>
        <w:t>22</w:t>
      </w:r>
      <w:r>
        <w:rPr>
          <w:rFonts w:hint="eastAsia" w:ascii="宋体" w:hAnsi="宋体" w:cs="宋体"/>
          <w:szCs w:val="21"/>
          <w:u w:val="single"/>
        </w:rPr>
        <w:t>日 15点30 分</w:t>
      </w:r>
      <w:r>
        <w:rPr>
          <w:rFonts w:hint="eastAsia" w:ascii="宋体" w:hAnsi="宋体" w:cs="宋体"/>
          <w:szCs w:val="21"/>
        </w:rPr>
        <w:t>（北京时间）</w:t>
      </w:r>
    </w:p>
    <w:p>
      <w:pPr>
        <w:spacing w:line="480" w:lineRule="atLeast"/>
        <w:ind w:firstLine="420" w:firstLineChars="200"/>
        <w:rPr>
          <w:rFonts w:ascii="宋体" w:hAnsi="宋体" w:cs="宋体"/>
          <w:szCs w:val="21"/>
          <w:u w:val="single"/>
        </w:rPr>
      </w:pPr>
      <w:r>
        <w:rPr>
          <w:rFonts w:hint="eastAsia" w:ascii="宋体" w:hAnsi="宋体" w:cs="宋体"/>
          <w:szCs w:val="21"/>
        </w:rPr>
        <w:t>地点：贵港市公共资源交易中心（贵港市港北区金城商业步行街与金田路交叉口东南150米水利大厦）二楼开标厅。</w:t>
      </w:r>
    </w:p>
    <w:p>
      <w:pPr>
        <w:pStyle w:val="4"/>
        <w:spacing w:before="0" w:after="0" w:line="480" w:lineRule="atLeast"/>
        <w:rPr>
          <w:rFonts w:ascii="宋体" w:hAnsi="宋体" w:cs="宋体"/>
          <w:b w:val="0"/>
          <w:bCs w:val="0"/>
          <w:sz w:val="21"/>
          <w:szCs w:val="21"/>
        </w:rPr>
      </w:pPr>
      <w:bookmarkStart w:id="17" w:name="_Toc28359016"/>
      <w:bookmarkStart w:id="18" w:name="_Toc28359093"/>
      <w:bookmarkStart w:id="19" w:name="_Toc35393802"/>
      <w:bookmarkStart w:id="20" w:name="_Toc35393633"/>
      <w:r>
        <w:rPr>
          <w:rFonts w:hint="eastAsia" w:ascii="宋体" w:hAnsi="宋体" w:cs="宋体"/>
          <w:b w:val="0"/>
          <w:bCs w:val="0"/>
          <w:sz w:val="21"/>
          <w:szCs w:val="21"/>
        </w:rPr>
        <w:t>五、开启</w:t>
      </w:r>
      <w:bookmarkEnd w:id="17"/>
      <w:bookmarkEnd w:id="18"/>
      <w:bookmarkEnd w:id="19"/>
      <w:bookmarkEnd w:id="20"/>
    </w:p>
    <w:p>
      <w:pPr>
        <w:spacing w:line="480" w:lineRule="atLeast"/>
        <w:ind w:firstLine="420" w:firstLineChars="200"/>
        <w:rPr>
          <w:rFonts w:ascii="宋体" w:hAnsi="宋体" w:cs="宋体"/>
          <w:szCs w:val="21"/>
          <w:u w:val="single"/>
        </w:rPr>
      </w:pPr>
      <w:r>
        <w:rPr>
          <w:rFonts w:hint="eastAsia" w:ascii="宋体" w:hAnsi="宋体" w:cs="宋体"/>
          <w:szCs w:val="21"/>
        </w:rPr>
        <w:t>时间：</w:t>
      </w:r>
      <w:r>
        <w:rPr>
          <w:rFonts w:hint="eastAsia" w:ascii="宋体" w:hAnsi="宋体" w:cs="宋体"/>
          <w:szCs w:val="21"/>
          <w:u w:val="single"/>
        </w:rPr>
        <w:t>2020年</w:t>
      </w:r>
      <w:r>
        <w:rPr>
          <w:rFonts w:hint="eastAsia" w:ascii="宋体" w:hAnsi="宋体" w:cs="宋体"/>
          <w:szCs w:val="21"/>
          <w:u w:val="single"/>
          <w:lang w:val="en-US" w:eastAsia="zh-CN"/>
        </w:rPr>
        <w:t>12</w:t>
      </w:r>
      <w:r>
        <w:rPr>
          <w:rFonts w:hint="eastAsia" w:ascii="宋体" w:hAnsi="宋体" w:cs="宋体"/>
          <w:szCs w:val="21"/>
          <w:u w:val="single"/>
        </w:rPr>
        <w:t>月</w:t>
      </w:r>
      <w:r>
        <w:rPr>
          <w:rFonts w:hint="eastAsia" w:ascii="宋体" w:hAnsi="宋体" w:cs="宋体"/>
          <w:szCs w:val="21"/>
          <w:u w:val="single"/>
          <w:lang w:val="en-US" w:eastAsia="zh-CN"/>
        </w:rPr>
        <w:t>22</w:t>
      </w:r>
      <w:r>
        <w:rPr>
          <w:rFonts w:hint="eastAsia" w:ascii="宋体" w:hAnsi="宋体" w:cs="宋体"/>
          <w:szCs w:val="21"/>
          <w:u w:val="single"/>
        </w:rPr>
        <w:t>日 15 点30 分</w:t>
      </w:r>
      <w:r>
        <w:rPr>
          <w:rFonts w:hint="eastAsia" w:ascii="宋体" w:hAnsi="宋体" w:cs="宋体"/>
          <w:szCs w:val="21"/>
        </w:rPr>
        <w:t>（北京时间）</w:t>
      </w:r>
    </w:p>
    <w:p>
      <w:pPr>
        <w:spacing w:line="480" w:lineRule="atLeast"/>
        <w:ind w:firstLine="420" w:firstLineChars="200"/>
        <w:rPr>
          <w:rFonts w:ascii="宋体" w:hAnsi="宋体" w:cs="宋体"/>
          <w:szCs w:val="21"/>
          <w:u w:val="single"/>
        </w:rPr>
      </w:pPr>
      <w:r>
        <w:rPr>
          <w:rFonts w:hint="eastAsia" w:ascii="宋体" w:hAnsi="宋体" w:cs="宋体"/>
          <w:szCs w:val="21"/>
        </w:rPr>
        <w:t>地点：贵港市公共资源交易中心（贵港市港北区金城商业步行街与金田路交叉口东南150米水利大厦）三楼评标厅。</w:t>
      </w:r>
    </w:p>
    <w:p>
      <w:pPr>
        <w:pStyle w:val="4"/>
        <w:spacing w:before="0" w:after="0" w:line="480" w:lineRule="atLeast"/>
        <w:rPr>
          <w:rFonts w:ascii="宋体" w:hAnsi="宋体" w:cs="宋体"/>
          <w:b w:val="0"/>
          <w:bCs w:val="0"/>
          <w:sz w:val="21"/>
          <w:szCs w:val="21"/>
        </w:rPr>
      </w:pPr>
      <w:bookmarkStart w:id="21" w:name="_Toc35393803"/>
      <w:bookmarkStart w:id="22" w:name="_Toc28359017"/>
      <w:bookmarkStart w:id="23" w:name="_Toc28359094"/>
      <w:bookmarkStart w:id="24" w:name="_Toc35393634"/>
      <w:r>
        <w:rPr>
          <w:rFonts w:hint="eastAsia" w:ascii="宋体" w:hAnsi="宋体" w:cs="宋体"/>
          <w:b w:val="0"/>
          <w:bCs w:val="0"/>
          <w:sz w:val="21"/>
          <w:szCs w:val="21"/>
        </w:rPr>
        <w:t>六、公告期限</w:t>
      </w:r>
      <w:bookmarkEnd w:id="21"/>
      <w:bookmarkEnd w:id="22"/>
      <w:bookmarkEnd w:id="23"/>
      <w:bookmarkEnd w:id="24"/>
    </w:p>
    <w:p>
      <w:pPr>
        <w:spacing w:line="480" w:lineRule="atLeast"/>
        <w:ind w:firstLine="420" w:firstLineChars="200"/>
        <w:rPr>
          <w:rFonts w:ascii="宋体" w:hAnsi="宋体" w:cs="宋体"/>
          <w:kern w:val="0"/>
          <w:szCs w:val="21"/>
        </w:rPr>
      </w:pPr>
      <w:r>
        <w:rPr>
          <w:rFonts w:hint="eastAsia" w:ascii="宋体" w:hAnsi="宋体" w:cs="宋体"/>
          <w:kern w:val="0"/>
          <w:szCs w:val="21"/>
        </w:rPr>
        <w:t>自本公告发布之日起5个工作日。</w:t>
      </w:r>
    </w:p>
    <w:p>
      <w:pPr>
        <w:pStyle w:val="4"/>
        <w:spacing w:before="0" w:after="0" w:line="480" w:lineRule="atLeast"/>
        <w:rPr>
          <w:rFonts w:ascii="宋体" w:hAnsi="宋体" w:cs="宋体"/>
          <w:b w:val="0"/>
          <w:bCs w:val="0"/>
          <w:sz w:val="21"/>
          <w:szCs w:val="21"/>
        </w:rPr>
      </w:pPr>
      <w:bookmarkStart w:id="25" w:name="_Toc35393635"/>
      <w:bookmarkStart w:id="26" w:name="_Toc35393804"/>
      <w:r>
        <w:rPr>
          <w:rFonts w:hint="eastAsia" w:ascii="宋体" w:hAnsi="宋体" w:cs="宋体"/>
          <w:b w:val="0"/>
          <w:bCs w:val="0"/>
          <w:sz w:val="21"/>
          <w:szCs w:val="21"/>
        </w:rPr>
        <w:t>七、其他补充事宜</w:t>
      </w:r>
      <w:bookmarkEnd w:id="25"/>
      <w:bookmarkEnd w:id="26"/>
    </w:p>
    <w:p>
      <w:pPr>
        <w:pStyle w:val="4"/>
        <w:spacing w:before="0" w:after="0" w:line="480" w:lineRule="atLeast"/>
        <w:ind w:firstLine="420" w:firstLineChars="200"/>
        <w:rPr>
          <w:rFonts w:ascii="宋体" w:hAnsi="宋体" w:cs="宋体"/>
          <w:b w:val="0"/>
          <w:bCs w:val="0"/>
          <w:sz w:val="21"/>
          <w:szCs w:val="21"/>
        </w:rPr>
      </w:pPr>
      <w:bookmarkStart w:id="27" w:name="_Toc35393636"/>
      <w:bookmarkStart w:id="28" w:name="_Toc28359018"/>
      <w:bookmarkStart w:id="29" w:name="_Toc35393805"/>
      <w:bookmarkStart w:id="30" w:name="_Toc28359095"/>
      <w:r>
        <w:rPr>
          <w:rFonts w:hint="eastAsia" w:ascii="宋体" w:hAnsi="宋体" w:cs="宋体"/>
          <w:b w:val="0"/>
          <w:bCs w:val="0"/>
          <w:sz w:val="21"/>
          <w:szCs w:val="21"/>
        </w:rPr>
        <w:t>1、网上查询：中国政府采购网（http://www.ccgp.gov.cn）、广西壮族自治区政府采购网（http://zfcg.gxzf.gov.cn/）、贵港市政府采购网（http://zfcg.czj.gxgg.gov.cn/home.html）、贵港市公共资源交易中心网站（http://ggggjy.gxgg.gov.cn:9005/）。</w:t>
      </w:r>
    </w:p>
    <w:p>
      <w:pPr>
        <w:spacing w:line="480" w:lineRule="atLeast"/>
        <w:ind w:firstLine="420" w:firstLineChars="200"/>
        <w:rPr>
          <w:rFonts w:ascii="宋体" w:hAnsi="宋体" w:cs="宋体"/>
          <w:szCs w:val="21"/>
        </w:rPr>
      </w:pPr>
      <w:r>
        <w:rPr>
          <w:rFonts w:hint="eastAsia" w:ascii="宋体" w:hAnsi="宋体" w:cs="宋体"/>
          <w:szCs w:val="21"/>
        </w:rPr>
        <w:t>2、《政府采购促进中小企业发展暂行办法》（财库[2011]181号第5条）、《财政部  司法部关于政府采购支持监狱企业发展有关问题的通知》（财库[2014]68号）、《财政部  国家发展改革委关于印发﹤节能产品政府采购实施意见﹥的通知》（财库[2004]185号）、《财政部  环保总局关于环境标志产品政府采购实施的意见》（财库[2006]90号）、《国务院办公厅关于建立政府强制采购节能产品制度的通知》（国发办[2007]51号）、《关于促进残疾人就业政府采购政策的通知》（财库〔2017〕141号）等政府采购相关政策。</w:t>
      </w:r>
    </w:p>
    <w:p/>
    <w:p>
      <w:pPr>
        <w:pStyle w:val="4"/>
        <w:spacing w:before="0" w:after="0" w:line="480" w:lineRule="atLeast"/>
        <w:ind w:firstLine="420" w:firstLineChars="200"/>
        <w:rPr>
          <w:rFonts w:ascii="宋体" w:hAnsi="宋体" w:cs="宋体"/>
          <w:b w:val="0"/>
          <w:bCs w:val="0"/>
          <w:sz w:val="21"/>
          <w:szCs w:val="21"/>
        </w:rPr>
      </w:pPr>
      <w:r>
        <w:rPr>
          <w:rFonts w:hint="eastAsia" w:ascii="宋体" w:hAnsi="宋体" w:cs="宋体"/>
          <w:b w:val="0"/>
          <w:bCs w:val="0"/>
          <w:sz w:val="21"/>
          <w:szCs w:val="21"/>
        </w:rPr>
        <w:t>3、本项目不收取竞标保证金。</w:t>
      </w:r>
    </w:p>
    <w:p>
      <w:pPr>
        <w:pStyle w:val="4"/>
        <w:spacing w:before="0" w:after="0" w:line="480" w:lineRule="atLeast"/>
        <w:rPr>
          <w:rFonts w:ascii="宋体" w:hAnsi="宋体" w:cs="宋体"/>
          <w:b w:val="0"/>
          <w:bCs w:val="0"/>
          <w:sz w:val="21"/>
          <w:szCs w:val="21"/>
        </w:rPr>
      </w:pPr>
      <w:r>
        <w:rPr>
          <w:rFonts w:hint="eastAsia" w:ascii="宋体" w:hAnsi="宋体" w:cs="宋体"/>
          <w:b w:val="0"/>
          <w:bCs w:val="0"/>
          <w:sz w:val="21"/>
          <w:szCs w:val="21"/>
        </w:rPr>
        <w:t>八、凡对本次采购提出询问，请按以下方式联系。</w:t>
      </w:r>
      <w:bookmarkEnd w:id="27"/>
      <w:bookmarkEnd w:id="28"/>
      <w:bookmarkEnd w:id="29"/>
      <w:bookmarkEnd w:id="30"/>
    </w:p>
    <w:p>
      <w:pPr>
        <w:spacing w:line="480" w:lineRule="atLeast"/>
        <w:ind w:left="420" w:leftChars="200"/>
        <w:rPr>
          <w:rFonts w:ascii="宋体" w:hAnsi="宋体" w:cs="宋体"/>
          <w:szCs w:val="21"/>
        </w:rPr>
      </w:pPr>
      <w:r>
        <w:rPr>
          <w:rFonts w:hint="eastAsia" w:ascii="宋体" w:hAnsi="宋体" w:cs="宋体"/>
          <w:szCs w:val="21"/>
        </w:rPr>
        <w:t>1.采购人信息</w:t>
      </w:r>
    </w:p>
    <w:p>
      <w:pPr>
        <w:spacing w:line="480" w:lineRule="atLeast"/>
        <w:ind w:left="420" w:leftChars="200"/>
        <w:rPr>
          <w:rFonts w:ascii="宋体" w:hAnsi="宋体" w:cs="宋体"/>
          <w:szCs w:val="21"/>
        </w:rPr>
      </w:pPr>
      <w:r>
        <w:rPr>
          <w:rFonts w:hint="eastAsia" w:ascii="宋体" w:hAnsi="宋体" w:cs="宋体"/>
          <w:szCs w:val="21"/>
        </w:rPr>
        <w:t>名 称：贵港市自然资源局</w:t>
      </w:r>
    </w:p>
    <w:p>
      <w:pPr>
        <w:spacing w:line="480" w:lineRule="atLeast"/>
        <w:ind w:left="420" w:leftChars="200"/>
        <w:rPr>
          <w:rFonts w:ascii="宋体" w:hAnsi="宋体" w:cs="宋体"/>
          <w:szCs w:val="21"/>
        </w:rPr>
      </w:pPr>
      <w:r>
        <w:rPr>
          <w:rFonts w:hint="eastAsia" w:ascii="宋体" w:hAnsi="宋体" w:cs="宋体"/>
          <w:szCs w:val="21"/>
        </w:rPr>
        <w:t>地址：贵港市荷城路1032号</w:t>
      </w:r>
    </w:p>
    <w:p>
      <w:pPr>
        <w:spacing w:line="480" w:lineRule="atLeast"/>
        <w:ind w:left="420" w:leftChars="200"/>
        <w:rPr>
          <w:rFonts w:ascii="宋体" w:hAnsi="宋体" w:cs="宋体"/>
          <w:szCs w:val="21"/>
        </w:rPr>
      </w:pPr>
      <w:r>
        <w:rPr>
          <w:rFonts w:hint="eastAsia" w:ascii="宋体" w:hAnsi="宋体" w:cs="宋体"/>
          <w:szCs w:val="21"/>
        </w:rPr>
        <w:t>联系方式：0775-</w:t>
      </w:r>
      <w:r>
        <w:rPr>
          <w:rFonts w:hint="eastAsia" w:ascii="宋体" w:hAnsi="宋体" w:cs="宋体"/>
          <w:color w:val="auto"/>
          <w:szCs w:val="21"/>
        </w:rPr>
        <w:t>4286079</w:t>
      </w:r>
      <w:r>
        <w:rPr>
          <w:rFonts w:hint="eastAsia" w:ascii="宋体" w:hAnsi="宋体" w:cs="宋体"/>
          <w:color w:val="FF0000"/>
          <w:szCs w:val="21"/>
        </w:rPr>
        <w:t xml:space="preserve"> </w:t>
      </w:r>
    </w:p>
    <w:p>
      <w:pPr>
        <w:spacing w:line="480" w:lineRule="atLeast"/>
        <w:ind w:left="420" w:leftChars="200"/>
        <w:rPr>
          <w:rFonts w:ascii="宋体" w:hAnsi="宋体" w:cs="宋体"/>
          <w:szCs w:val="21"/>
        </w:rPr>
      </w:pPr>
      <w:r>
        <w:rPr>
          <w:rFonts w:hint="eastAsia" w:ascii="宋体" w:hAnsi="宋体" w:cs="宋体"/>
          <w:szCs w:val="21"/>
        </w:rPr>
        <w:t>2.采购代理机构信息</w:t>
      </w:r>
    </w:p>
    <w:p>
      <w:pPr>
        <w:spacing w:line="480" w:lineRule="atLeast"/>
        <w:ind w:left="420" w:leftChars="200"/>
        <w:rPr>
          <w:rFonts w:ascii="宋体" w:hAnsi="宋体" w:cs="宋体"/>
          <w:szCs w:val="21"/>
        </w:rPr>
      </w:pPr>
      <w:r>
        <w:rPr>
          <w:rFonts w:hint="eastAsia" w:ascii="宋体" w:hAnsi="宋体" w:cs="宋体"/>
          <w:szCs w:val="21"/>
        </w:rPr>
        <w:t>名 称：广西乐正工程项目管理有限公司</w:t>
      </w:r>
    </w:p>
    <w:p>
      <w:pPr>
        <w:spacing w:line="480" w:lineRule="atLeast"/>
        <w:ind w:left="420" w:leftChars="200"/>
        <w:rPr>
          <w:rFonts w:ascii="宋体" w:hAnsi="宋体" w:cs="宋体"/>
          <w:szCs w:val="21"/>
        </w:rPr>
      </w:pPr>
      <w:r>
        <w:rPr>
          <w:rFonts w:hint="eastAsia" w:ascii="宋体" w:hAnsi="宋体" w:cs="宋体"/>
          <w:szCs w:val="21"/>
        </w:rPr>
        <w:t>地　址：贵港市港北区丽江街中</w:t>
      </w:r>
      <w:bookmarkStart w:id="97" w:name="_GoBack"/>
      <w:bookmarkEnd w:id="97"/>
      <w:r>
        <w:rPr>
          <w:rFonts w:hint="eastAsia" w:ascii="宋体" w:hAnsi="宋体" w:cs="宋体"/>
          <w:szCs w:val="21"/>
        </w:rPr>
        <w:t>央花园小区北面　</w:t>
      </w:r>
    </w:p>
    <w:p>
      <w:pPr>
        <w:spacing w:line="480" w:lineRule="atLeast"/>
        <w:ind w:left="420" w:leftChars="200"/>
        <w:rPr>
          <w:rFonts w:ascii="宋体" w:hAnsi="宋体" w:cs="宋体"/>
          <w:szCs w:val="21"/>
        </w:rPr>
      </w:pPr>
      <w:r>
        <w:rPr>
          <w:rFonts w:hint="eastAsia" w:ascii="宋体" w:hAnsi="宋体" w:cs="宋体"/>
          <w:szCs w:val="21"/>
        </w:rPr>
        <w:t>联系方式：　0775－4251165</w:t>
      </w:r>
    </w:p>
    <w:p>
      <w:pPr>
        <w:spacing w:line="480" w:lineRule="atLeast"/>
        <w:ind w:left="420" w:leftChars="200"/>
        <w:rPr>
          <w:rFonts w:ascii="宋体" w:hAnsi="宋体" w:cs="宋体"/>
          <w:szCs w:val="21"/>
        </w:rPr>
      </w:pPr>
      <w:r>
        <w:rPr>
          <w:rFonts w:hint="eastAsia" w:ascii="宋体" w:hAnsi="宋体" w:cs="宋体"/>
          <w:szCs w:val="21"/>
        </w:rPr>
        <w:t>3.项目联系方式</w:t>
      </w:r>
    </w:p>
    <w:p>
      <w:pPr>
        <w:spacing w:line="480" w:lineRule="atLeast"/>
        <w:ind w:left="420" w:leftChars="200"/>
        <w:rPr>
          <w:rFonts w:ascii="宋体" w:hAnsi="宋体" w:cs="宋体"/>
          <w:szCs w:val="21"/>
        </w:rPr>
      </w:pPr>
      <w:r>
        <w:rPr>
          <w:rFonts w:hint="eastAsia" w:ascii="宋体" w:hAnsi="宋体" w:cs="宋体"/>
          <w:szCs w:val="21"/>
        </w:rPr>
        <w:t>项目联系人：覃工</w:t>
      </w:r>
    </w:p>
    <w:p>
      <w:pPr>
        <w:spacing w:line="480" w:lineRule="atLeast"/>
        <w:ind w:left="420" w:leftChars="200"/>
        <w:rPr>
          <w:rFonts w:ascii="宋体" w:hAnsi="宋体" w:cs="宋体"/>
          <w:szCs w:val="21"/>
        </w:rPr>
      </w:pPr>
      <w:r>
        <w:rPr>
          <w:rFonts w:hint="eastAsia" w:ascii="宋体" w:hAnsi="宋体" w:cs="宋体"/>
          <w:szCs w:val="21"/>
        </w:rPr>
        <w:t>电　话：　0775－4251165　</w:t>
      </w:r>
    </w:p>
    <w:p>
      <w:pPr>
        <w:spacing w:line="440" w:lineRule="exact"/>
        <w:ind w:firstLine="420" w:firstLineChars="200"/>
        <w:jc w:val="right"/>
        <w:rPr>
          <w:rFonts w:ascii="宋体" w:hAnsi="宋体"/>
          <w:szCs w:val="21"/>
        </w:rPr>
      </w:pPr>
    </w:p>
    <w:p>
      <w:pPr>
        <w:pStyle w:val="2"/>
        <w:spacing w:line="440" w:lineRule="exact"/>
      </w:pPr>
    </w:p>
    <w:p>
      <w:pPr>
        <w:spacing w:line="440" w:lineRule="exact"/>
        <w:ind w:firstLine="420" w:firstLineChars="200"/>
        <w:jc w:val="right"/>
        <w:rPr>
          <w:rFonts w:ascii="宋体" w:hAnsi="宋体"/>
          <w:szCs w:val="21"/>
        </w:rPr>
      </w:pPr>
    </w:p>
    <w:p>
      <w:pPr>
        <w:spacing w:line="440" w:lineRule="exact"/>
        <w:ind w:firstLine="420" w:firstLineChars="200"/>
        <w:jc w:val="right"/>
      </w:pPr>
      <w:r>
        <w:rPr>
          <w:rFonts w:hint="eastAsia" w:ascii="宋体" w:hAnsi="宋体"/>
          <w:szCs w:val="21"/>
        </w:rPr>
        <w:t>广西乐正工程项目管理有限公司</w:t>
      </w:r>
    </w:p>
    <w:p>
      <w:pPr>
        <w:spacing w:line="400" w:lineRule="exact"/>
        <w:jc w:val="center"/>
      </w:pPr>
      <w:r>
        <w:rPr>
          <w:rFonts w:hint="eastAsia" w:ascii="宋体" w:hAnsi="宋体"/>
          <w:szCs w:val="21"/>
        </w:rPr>
        <w:t xml:space="preserve">                                                      2020年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11</w:t>
      </w:r>
      <w:r>
        <w:rPr>
          <w:rFonts w:hint="eastAsia" w:ascii="宋体" w:hAnsi="宋体"/>
          <w:szCs w:val="21"/>
        </w:rPr>
        <w:t>日</w:t>
      </w:r>
      <w:r>
        <w:rPr>
          <w:rFonts w:ascii="宋体" w:hAnsi="宋体"/>
          <w:sz w:val="32"/>
          <w:szCs w:val="32"/>
        </w:rPr>
        <w:br w:type="page"/>
      </w:r>
      <w:bookmarkStart w:id="31" w:name="_Toc44229894"/>
      <w:r>
        <w:rPr>
          <w:rFonts w:hint="eastAsia"/>
        </w:rPr>
        <w:t>第二章 供应商须知</w:t>
      </w:r>
      <w:bookmarkEnd w:id="31"/>
    </w:p>
    <w:p>
      <w:pPr>
        <w:spacing w:line="400" w:lineRule="exact"/>
        <w:jc w:val="center"/>
      </w:pPr>
      <w:r>
        <w:rPr>
          <w:rFonts w:hint="eastAsia" w:ascii="宋体" w:hAnsi="宋体"/>
          <w:b/>
          <w:sz w:val="32"/>
          <w:szCs w:val="32"/>
        </w:rPr>
        <w:t>供应商须知前附表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7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40" w:type="dxa"/>
            <w:vAlign w:val="center"/>
          </w:tcPr>
          <w:p>
            <w:pPr>
              <w:adjustRightInd w:val="0"/>
              <w:spacing w:line="480" w:lineRule="exact"/>
              <w:jc w:val="center"/>
              <w:textAlignment w:val="baseline"/>
              <w:rPr>
                <w:rFonts w:ascii="宋体" w:hAnsi="宋体" w:cs="宋体"/>
                <w:kern w:val="0"/>
                <w:szCs w:val="21"/>
              </w:rPr>
            </w:pPr>
            <w:r>
              <w:rPr>
                <w:rFonts w:hint="eastAsia" w:ascii="宋体" w:hAnsi="宋体" w:cs="宋体"/>
                <w:kern w:val="0"/>
                <w:szCs w:val="21"/>
              </w:rPr>
              <w:t>项号</w:t>
            </w:r>
          </w:p>
        </w:tc>
        <w:tc>
          <w:tcPr>
            <w:tcW w:w="7989" w:type="dxa"/>
            <w:vAlign w:val="center"/>
          </w:tcPr>
          <w:p>
            <w:pPr>
              <w:adjustRightInd w:val="0"/>
              <w:spacing w:line="480" w:lineRule="exact"/>
              <w:jc w:val="center"/>
              <w:textAlignment w:val="baseline"/>
              <w:rPr>
                <w:rFonts w:ascii="宋体" w:hAnsi="宋体" w:cs="宋体"/>
                <w:kern w:val="0"/>
                <w:szCs w:val="21"/>
              </w:rPr>
            </w:pPr>
            <w:r>
              <w:rPr>
                <w:rFonts w:hint="eastAsia" w:ascii="宋体" w:hAnsi="宋体" w:cs="宋体"/>
                <w:kern w:val="0"/>
                <w:szCs w:val="21"/>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740" w:type="dxa"/>
            <w:vAlign w:val="center"/>
          </w:tcPr>
          <w:p>
            <w:pPr>
              <w:adjustRightInd w:val="0"/>
              <w:spacing w:line="480" w:lineRule="exact"/>
              <w:jc w:val="center"/>
              <w:textAlignment w:val="baseline"/>
              <w:rPr>
                <w:rFonts w:ascii="宋体" w:hAnsi="宋体" w:cs="宋体"/>
                <w:kern w:val="0"/>
                <w:szCs w:val="21"/>
              </w:rPr>
            </w:pPr>
            <w:r>
              <w:rPr>
                <w:rFonts w:hint="eastAsia" w:ascii="宋体" w:hAnsi="宋体" w:cs="宋体"/>
                <w:kern w:val="0"/>
                <w:szCs w:val="21"/>
              </w:rPr>
              <w:t>１</w:t>
            </w:r>
          </w:p>
        </w:tc>
        <w:tc>
          <w:tcPr>
            <w:tcW w:w="7989" w:type="dxa"/>
            <w:vAlign w:val="center"/>
          </w:tcPr>
          <w:p>
            <w:pPr>
              <w:autoSpaceDE w:val="0"/>
              <w:autoSpaceDN w:val="0"/>
              <w:snapToGrid w:val="0"/>
              <w:spacing w:line="480" w:lineRule="exact"/>
              <w:rPr>
                <w:rFonts w:ascii="宋体" w:hAnsi="宋体" w:cs="宋体"/>
                <w:kern w:val="0"/>
                <w:szCs w:val="21"/>
              </w:rPr>
            </w:pPr>
            <w:r>
              <w:rPr>
                <w:rFonts w:hint="eastAsia" w:ascii="宋体" w:hAnsi="宋体" w:cs="宋体"/>
                <w:b/>
                <w:kern w:val="0"/>
                <w:szCs w:val="21"/>
              </w:rPr>
              <w:t>项目名称：</w:t>
            </w:r>
            <w:r>
              <w:rPr>
                <w:rFonts w:hint="eastAsia" w:ascii="宋体" w:hAnsi="宋体" w:cs="宋体"/>
                <w:kern w:val="0"/>
                <w:szCs w:val="21"/>
              </w:rPr>
              <w:t>贵港市城市地价动态监测编制项目服务工作</w:t>
            </w:r>
          </w:p>
          <w:p>
            <w:pPr>
              <w:autoSpaceDE w:val="0"/>
              <w:autoSpaceDN w:val="0"/>
              <w:snapToGrid w:val="0"/>
              <w:spacing w:line="480" w:lineRule="exact"/>
              <w:rPr>
                <w:rFonts w:ascii="宋体" w:hAnsi="宋体" w:cs="宋体"/>
                <w:kern w:val="0"/>
                <w:szCs w:val="21"/>
              </w:rPr>
            </w:pPr>
            <w:r>
              <w:rPr>
                <w:rFonts w:hint="eastAsia" w:ascii="宋体" w:hAnsi="宋体" w:cs="宋体"/>
                <w:b/>
                <w:kern w:val="0"/>
                <w:szCs w:val="21"/>
              </w:rPr>
              <w:t>项目编号：</w:t>
            </w:r>
            <w:r>
              <w:rPr>
                <w:rFonts w:hint="eastAsia" w:ascii="宋体" w:hAnsi="宋体" w:cs="宋体"/>
                <w:kern w:val="0"/>
                <w:szCs w:val="21"/>
              </w:rPr>
              <w:t>GGZC2020-C3-04422-GXLZ</w:t>
            </w:r>
          </w:p>
          <w:p>
            <w:pPr>
              <w:widowControl/>
              <w:spacing w:line="480" w:lineRule="exact"/>
              <w:jc w:val="left"/>
              <w:textAlignment w:val="center"/>
              <w:rPr>
                <w:rFonts w:ascii="宋体" w:hAnsi="宋体" w:cs="宋体"/>
                <w:kern w:val="0"/>
                <w:szCs w:val="21"/>
              </w:rPr>
            </w:pPr>
            <w:r>
              <w:rPr>
                <w:rFonts w:hint="eastAsia" w:ascii="宋体" w:hAnsi="宋体" w:cs="宋体"/>
                <w:b/>
                <w:kern w:val="0"/>
                <w:szCs w:val="21"/>
              </w:rPr>
              <w:t>磋商内容：</w:t>
            </w:r>
            <w:r>
              <w:rPr>
                <w:rFonts w:hint="eastAsia" w:ascii="宋体" w:hAnsi="宋体" w:cs="宋体"/>
                <w:bCs/>
                <w:kern w:val="0"/>
                <w:szCs w:val="21"/>
              </w:rPr>
              <w:t>本项目</w:t>
            </w:r>
            <w:r>
              <w:rPr>
                <w:rFonts w:hint="eastAsia" w:ascii="宋体" w:hAnsi="宋体" w:cs="宋体"/>
                <w:kern w:val="0"/>
                <w:szCs w:val="21"/>
              </w:rPr>
              <w:t>贵港市城市地价动态监测编制项目服务工作</w:t>
            </w:r>
            <w:r>
              <w:rPr>
                <w:rFonts w:hint="eastAsia" w:ascii="宋体" w:hAnsi="宋体" w:cs="宋体"/>
                <w:bCs/>
                <w:kern w:val="0"/>
                <w:szCs w:val="21"/>
              </w:rPr>
              <w:t>一项</w:t>
            </w:r>
            <w:r>
              <w:rPr>
                <w:rFonts w:hint="eastAsia" w:ascii="宋体" w:hAnsi="宋体" w:cs="宋体"/>
                <w:kern w:val="0"/>
                <w:szCs w:val="21"/>
              </w:rPr>
              <w:t>；</w:t>
            </w:r>
            <w:r>
              <w:rPr>
                <w:rFonts w:hint="eastAsia" w:ascii="宋体" w:hAnsi="宋体" w:cs="宋体"/>
                <w:bCs/>
                <w:kern w:val="0"/>
                <w:szCs w:val="21"/>
              </w:rPr>
              <w:t>如需进一步了解详细内容，详见竞争性磋商采购文件。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40" w:type="dxa"/>
            <w:vAlign w:val="center"/>
          </w:tcPr>
          <w:p>
            <w:pPr>
              <w:adjustRightInd w:val="0"/>
              <w:spacing w:line="480" w:lineRule="exact"/>
              <w:jc w:val="center"/>
              <w:textAlignment w:val="baseline"/>
              <w:rPr>
                <w:rFonts w:ascii="宋体" w:hAnsi="宋体" w:cs="宋体"/>
                <w:kern w:val="0"/>
                <w:szCs w:val="21"/>
              </w:rPr>
            </w:pPr>
            <w:r>
              <w:rPr>
                <w:rFonts w:hint="eastAsia" w:ascii="宋体" w:hAnsi="宋体" w:cs="宋体"/>
                <w:kern w:val="0"/>
                <w:szCs w:val="21"/>
              </w:rPr>
              <w:t>2</w:t>
            </w:r>
          </w:p>
        </w:tc>
        <w:tc>
          <w:tcPr>
            <w:tcW w:w="7989" w:type="dxa"/>
            <w:vAlign w:val="center"/>
          </w:tcPr>
          <w:p>
            <w:pPr>
              <w:adjustRightInd w:val="0"/>
              <w:spacing w:line="480" w:lineRule="exact"/>
              <w:textAlignment w:val="baseline"/>
              <w:rPr>
                <w:rFonts w:ascii="宋体" w:hAnsi="宋体" w:cs="宋体"/>
                <w:kern w:val="0"/>
                <w:szCs w:val="21"/>
              </w:rPr>
            </w:pPr>
            <w:r>
              <w:rPr>
                <w:rFonts w:hint="eastAsia" w:ascii="宋体" w:hAnsi="宋体" w:cs="宋体"/>
                <w:kern w:val="0"/>
                <w:szCs w:val="21"/>
              </w:rPr>
              <w:t>资金来源：财政资金。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40" w:type="dxa"/>
            <w:vAlign w:val="center"/>
          </w:tcPr>
          <w:p>
            <w:pPr>
              <w:adjustRightInd w:val="0"/>
              <w:spacing w:line="480" w:lineRule="exact"/>
              <w:jc w:val="center"/>
              <w:textAlignment w:val="baseline"/>
              <w:rPr>
                <w:rFonts w:ascii="宋体" w:hAnsi="宋体" w:cs="宋体"/>
                <w:kern w:val="0"/>
                <w:szCs w:val="21"/>
              </w:rPr>
            </w:pPr>
            <w:r>
              <w:rPr>
                <w:rFonts w:hint="eastAsia" w:ascii="宋体" w:hAnsi="宋体" w:cs="宋体"/>
                <w:kern w:val="0"/>
                <w:szCs w:val="21"/>
              </w:rPr>
              <w:t>3</w:t>
            </w:r>
          </w:p>
        </w:tc>
        <w:tc>
          <w:tcPr>
            <w:tcW w:w="7989" w:type="dxa"/>
            <w:vAlign w:val="center"/>
          </w:tcPr>
          <w:p>
            <w:pPr>
              <w:pStyle w:val="62"/>
              <w:spacing w:line="480" w:lineRule="exact"/>
              <w:rPr>
                <w:rFonts w:ascii="宋体" w:hAnsi="宋体" w:cs="宋体"/>
                <w:kern w:val="0"/>
                <w:szCs w:val="21"/>
              </w:rPr>
            </w:pPr>
            <w:r>
              <w:rPr>
                <w:rStyle w:val="29"/>
                <w:rFonts w:hint="default" w:ascii="宋体" w:hAnsi="宋体" w:cs="宋体"/>
                <w:kern w:val="0"/>
                <w:szCs w:val="21"/>
              </w:rPr>
              <w:t>磋商供应商资格要求：</w:t>
            </w:r>
          </w:p>
          <w:p>
            <w:pPr>
              <w:spacing w:line="500" w:lineRule="atLeast"/>
              <w:ind w:firstLine="420" w:firstLineChars="200"/>
              <w:rPr>
                <w:rFonts w:ascii="宋体" w:hAnsi="宋体" w:cs="宋体"/>
                <w:szCs w:val="21"/>
              </w:rPr>
            </w:pPr>
            <w:r>
              <w:rPr>
                <w:rFonts w:hint="eastAsia" w:ascii="宋体" w:hAnsi="宋体" w:cs="宋体"/>
                <w:szCs w:val="21"/>
              </w:rPr>
              <w:t>1.满足《中华人民共和国政府采购法》第二十二条规定；</w:t>
            </w:r>
          </w:p>
          <w:p>
            <w:pPr>
              <w:spacing w:line="500" w:lineRule="atLeast"/>
              <w:ind w:firstLine="420" w:firstLineChars="200"/>
              <w:rPr>
                <w:rFonts w:ascii="宋体" w:hAnsi="宋体" w:cs="宋体"/>
                <w:szCs w:val="21"/>
              </w:rPr>
            </w:pPr>
            <w:r>
              <w:rPr>
                <w:rFonts w:hint="eastAsia" w:ascii="宋体" w:hAnsi="宋体" w:cs="宋体"/>
                <w:szCs w:val="21"/>
              </w:rPr>
              <w:t>2.落实政府采购政策需满足的资格要求：</w:t>
            </w:r>
            <w:r>
              <w:rPr>
                <w:rFonts w:hint="eastAsia" w:ascii="宋体" w:hAnsi="宋体" w:cs="宋体"/>
                <w:szCs w:val="21"/>
                <w:u w:val="single"/>
              </w:rPr>
              <w:t>/</w:t>
            </w:r>
          </w:p>
          <w:p>
            <w:pPr>
              <w:spacing w:line="500" w:lineRule="atLeast"/>
              <w:ind w:firstLine="420" w:firstLineChars="200"/>
              <w:rPr>
                <w:rFonts w:ascii="宋体" w:hAnsi="宋体" w:cs="宋体"/>
                <w:szCs w:val="21"/>
              </w:rPr>
            </w:pPr>
            <w:r>
              <w:rPr>
                <w:rFonts w:hint="eastAsia" w:ascii="宋体" w:hAnsi="宋体" w:cs="宋体"/>
                <w:szCs w:val="21"/>
              </w:rPr>
              <w:t>3.本项目的特定资格要求：（1）国内注册（指按国家有关规定要求注册的），具有独立法人资格，专业从事本次采购服务，且具有相应的技术、设备、经济能力和良好信誉的供应商；</w:t>
            </w:r>
          </w:p>
          <w:p>
            <w:pPr>
              <w:spacing w:line="500" w:lineRule="atLeast"/>
              <w:ind w:firstLine="420" w:firstLineChars="200"/>
              <w:rPr>
                <w:rFonts w:ascii="宋体" w:hAnsi="宋体" w:cs="宋体"/>
                <w:szCs w:val="21"/>
              </w:rPr>
            </w:pPr>
            <w:r>
              <w:rPr>
                <w:rFonts w:hint="eastAsia" w:ascii="宋体" w:hAnsi="宋体" w:cs="宋体"/>
                <w:szCs w:val="21"/>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500" w:lineRule="atLeast"/>
              <w:ind w:firstLine="420" w:firstLineChars="200"/>
              <w:rPr>
                <w:rFonts w:ascii="宋体" w:hAnsi="宋体" w:cs="宋体"/>
                <w:i/>
                <w:iCs/>
                <w:szCs w:val="21"/>
                <w:u w:val="single"/>
              </w:rPr>
            </w:pPr>
            <w:r>
              <w:rPr>
                <w:rFonts w:hint="eastAsia" w:ascii="宋体" w:hAnsi="宋体" w:cs="宋体"/>
                <w:szCs w:val="21"/>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62"/>
              <w:spacing w:line="480" w:lineRule="exact"/>
              <w:ind w:firstLine="420" w:firstLineChars="200"/>
              <w:rPr>
                <w:rFonts w:ascii="宋体" w:hAnsi="宋体" w:cs="宋体"/>
                <w:kern w:val="0"/>
                <w:szCs w:val="21"/>
              </w:rPr>
            </w:pPr>
            <w:r>
              <w:rPr>
                <w:rFonts w:hint="eastAsia" w:ascii="宋体" w:hAnsi="宋体" w:cs="宋体"/>
                <w:szCs w:val="21"/>
              </w:rPr>
              <w:t>4.本项目不接受未通过政府采购云平台获取本项目竞争性磋商采购文件的供应商参加磋商。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40" w:type="dxa"/>
            <w:vAlign w:val="center"/>
          </w:tcPr>
          <w:p>
            <w:pPr>
              <w:autoSpaceDE w:val="0"/>
              <w:autoSpaceDN w:val="0"/>
              <w:spacing w:line="480" w:lineRule="exact"/>
              <w:jc w:val="center"/>
              <w:rPr>
                <w:rFonts w:ascii="宋体" w:hAnsi="宋体" w:cs="宋体"/>
                <w:kern w:val="0"/>
                <w:szCs w:val="21"/>
              </w:rPr>
            </w:pPr>
            <w:r>
              <w:rPr>
                <w:rFonts w:hint="eastAsia" w:ascii="宋体" w:hAnsi="宋体" w:cs="宋体"/>
                <w:kern w:val="0"/>
                <w:szCs w:val="21"/>
              </w:rPr>
              <w:t>4</w:t>
            </w:r>
          </w:p>
        </w:tc>
        <w:tc>
          <w:tcPr>
            <w:tcW w:w="7989" w:type="dxa"/>
            <w:vAlign w:val="center"/>
          </w:tcPr>
          <w:p>
            <w:pPr>
              <w:spacing w:line="480" w:lineRule="exact"/>
              <w:rPr>
                <w:rFonts w:ascii="宋体" w:hAnsi="宋体" w:cs="宋体"/>
                <w:kern w:val="0"/>
                <w:szCs w:val="21"/>
              </w:rPr>
            </w:pPr>
            <w:r>
              <w:rPr>
                <w:rFonts w:hint="eastAsia" w:ascii="宋体" w:hAnsi="宋体" w:cs="宋体"/>
                <w:kern w:val="0"/>
                <w:szCs w:val="21"/>
              </w:rPr>
              <w:t>磋商报价及费用：</w:t>
            </w:r>
          </w:p>
          <w:p>
            <w:pPr>
              <w:spacing w:line="480" w:lineRule="exact"/>
              <w:rPr>
                <w:rFonts w:ascii="宋体" w:hAnsi="宋体" w:cs="宋体"/>
                <w:kern w:val="0"/>
                <w:szCs w:val="21"/>
              </w:rPr>
            </w:pPr>
            <w:r>
              <w:rPr>
                <w:rFonts w:hint="eastAsia" w:ascii="宋体" w:hAnsi="宋体" w:cs="宋体"/>
                <w:kern w:val="0"/>
                <w:szCs w:val="21"/>
              </w:rPr>
              <w:t>1、本项目磋商应以人民币报价；</w:t>
            </w:r>
          </w:p>
          <w:p>
            <w:pPr>
              <w:spacing w:line="480" w:lineRule="exact"/>
              <w:rPr>
                <w:rFonts w:ascii="宋体" w:hAnsi="宋体" w:cs="宋体"/>
                <w:kern w:val="0"/>
                <w:szCs w:val="21"/>
              </w:rPr>
            </w:pPr>
            <w:r>
              <w:rPr>
                <w:rFonts w:hint="eastAsia" w:ascii="宋体" w:hAnsi="宋体" w:cs="宋体"/>
                <w:kern w:val="0"/>
                <w:szCs w:val="21"/>
              </w:rPr>
              <w:t>2、不论磋商结果如何，磋商供应商均应自行承担所有与磋商有关的全部费用；</w:t>
            </w:r>
          </w:p>
          <w:p>
            <w:pPr>
              <w:spacing w:line="480" w:lineRule="exact"/>
              <w:rPr>
                <w:rFonts w:ascii="宋体" w:hAnsi="宋体" w:cs="宋体"/>
                <w:szCs w:val="21"/>
              </w:rPr>
            </w:pPr>
            <w:r>
              <w:rPr>
                <w:rFonts w:hint="eastAsia" w:ascii="宋体" w:hAnsi="宋体" w:cs="宋体"/>
                <w:kern w:val="0"/>
                <w:szCs w:val="21"/>
              </w:rPr>
              <w:t>3、本项目招标代理服务费人民币壹仟元整（</w:t>
            </w:r>
            <w:r>
              <w:rPr>
                <w:rFonts w:hint="eastAsia" w:ascii="宋体" w:hAnsi="宋体" w:cs="宋体"/>
                <w:szCs w:val="21"/>
              </w:rPr>
              <w:t>¥</w:t>
            </w:r>
            <w:r>
              <w:rPr>
                <w:rFonts w:hint="eastAsia" w:ascii="宋体" w:hAnsi="宋体" w:cs="宋体"/>
                <w:kern w:val="0"/>
                <w:szCs w:val="21"/>
              </w:rPr>
              <w:t>1000）。</w:t>
            </w:r>
            <w:r>
              <w:rPr>
                <w:rFonts w:hint="eastAsia" w:ascii="宋体" w:hAnsi="宋体" w:cs="宋体"/>
                <w:szCs w:val="21"/>
              </w:rPr>
              <w:t>领取成交通知书前，成交人应向采购代理机构一次付清采购代理服务费。</w:t>
            </w:r>
          </w:p>
          <w:p>
            <w:pPr>
              <w:spacing w:line="480" w:lineRule="exact"/>
              <w:rPr>
                <w:rFonts w:ascii="宋体" w:hAnsi="宋体" w:cs="宋体"/>
                <w:szCs w:val="21"/>
              </w:rPr>
            </w:pPr>
            <w:r>
              <w:rPr>
                <w:rFonts w:hint="eastAsia" w:ascii="宋体" w:hAnsi="宋体" w:cs="宋体"/>
                <w:szCs w:val="21"/>
              </w:rPr>
              <w:t>4、招标代理服务费缴纳账户：</w:t>
            </w:r>
          </w:p>
          <w:p>
            <w:pPr>
              <w:pStyle w:val="15"/>
              <w:spacing w:line="440" w:lineRule="exact"/>
              <w:rPr>
                <w:rFonts w:hAnsi="宋体"/>
                <w:kern w:val="2"/>
                <w:sz w:val="21"/>
              </w:rPr>
            </w:pPr>
            <w:r>
              <w:rPr>
                <w:rFonts w:hint="eastAsia" w:hAnsi="宋体"/>
                <w:kern w:val="2"/>
                <w:sz w:val="21"/>
              </w:rPr>
              <w:t>开户名称：广西乐正工程项目管理有限公司第一分公司</w:t>
            </w:r>
          </w:p>
          <w:p>
            <w:pPr>
              <w:pStyle w:val="15"/>
              <w:spacing w:line="440" w:lineRule="exact"/>
              <w:rPr>
                <w:rFonts w:hAnsi="宋体"/>
                <w:kern w:val="2"/>
                <w:sz w:val="21"/>
              </w:rPr>
            </w:pPr>
            <w:r>
              <w:rPr>
                <w:rFonts w:hint="eastAsia" w:hAnsi="宋体"/>
                <w:kern w:val="2"/>
                <w:sz w:val="21"/>
              </w:rPr>
              <w:t>开户银行：广西北部湾银行股份有限公司贵港分行</w:t>
            </w:r>
          </w:p>
          <w:p>
            <w:pPr>
              <w:spacing w:line="480" w:lineRule="exact"/>
              <w:rPr>
                <w:rFonts w:ascii="宋体" w:hAnsi="宋体" w:cs="宋体"/>
                <w:kern w:val="0"/>
                <w:szCs w:val="21"/>
              </w:rPr>
            </w:pPr>
            <w:r>
              <w:rPr>
                <w:rFonts w:hint="eastAsia" w:hAnsi="宋体"/>
              </w:rPr>
              <w:t>银行账号：800131467700014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0" w:type="dxa"/>
            <w:vAlign w:val="center"/>
          </w:tcPr>
          <w:p>
            <w:pPr>
              <w:adjustRightInd w:val="0"/>
              <w:spacing w:line="480" w:lineRule="exact"/>
              <w:jc w:val="center"/>
              <w:textAlignment w:val="baseline"/>
              <w:rPr>
                <w:rFonts w:ascii="宋体" w:hAnsi="宋体" w:cs="宋体"/>
                <w:kern w:val="0"/>
                <w:szCs w:val="21"/>
              </w:rPr>
            </w:pPr>
            <w:r>
              <w:rPr>
                <w:rFonts w:hint="eastAsia" w:ascii="宋体" w:hAnsi="宋体" w:cs="宋体"/>
                <w:kern w:val="0"/>
                <w:szCs w:val="21"/>
              </w:rPr>
              <w:t>5</w:t>
            </w:r>
          </w:p>
        </w:tc>
        <w:tc>
          <w:tcPr>
            <w:tcW w:w="7989" w:type="dxa"/>
            <w:vAlign w:val="center"/>
          </w:tcPr>
          <w:p>
            <w:pPr>
              <w:adjustRightInd w:val="0"/>
              <w:spacing w:line="480" w:lineRule="exact"/>
              <w:textAlignment w:val="baseline"/>
              <w:rPr>
                <w:rFonts w:ascii="宋体" w:hAnsi="宋体" w:cs="宋体"/>
                <w:kern w:val="0"/>
                <w:szCs w:val="21"/>
              </w:rPr>
            </w:pPr>
            <w:r>
              <w:rPr>
                <w:rFonts w:hint="eastAsia" w:ascii="宋体" w:hAnsi="宋体" w:cs="宋体"/>
                <w:kern w:val="0"/>
                <w:szCs w:val="21"/>
              </w:rPr>
              <w:t>响应文件有效期 ：响应文件递交截止日期后 60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40" w:type="dxa"/>
            <w:vAlign w:val="center"/>
          </w:tcPr>
          <w:p>
            <w:pPr>
              <w:adjustRightInd w:val="0"/>
              <w:spacing w:line="480" w:lineRule="exact"/>
              <w:jc w:val="center"/>
              <w:textAlignment w:val="baseline"/>
              <w:rPr>
                <w:rFonts w:ascii="宋体" w:hAnsi="宋体" w:cs="宋体"/>
                <w:kern w:val="0"/>
                <w:szCs w:val="21"/>
              </w:rPr>
            </w:pPr>
            <w:r>
              <w:rPr>
                <w:rFonts w:hint="eastAsia" w:ascii="宋体" w:hAnsi="宋体" w:cs="宋体"/>
                <w:kern w:val="0"/>
                <w:szCs w:val="21"/>
              </w:rPr>
              <w:t>6</w:t>
            </w:r>
          </w:p>
        </w:tc>
        <w:tc>
          <w:tcPr>
            <w:tcW w:w="7989" w:type="dxa"/>
            <w:vAlign w:val="center"/>
          </w:tcPr>
          <w:p>
            <w:pPr>
              <w:adjustRightInd w:val="0"/>
              <w:spacing w:line="480" w:lineRule="exact"/>
              <w:textAlignment w:val="baseline"/>
              <w:rPr>
                <w:rFonts w:ascii="宋体" w:hAnsi="宋体" w:cs="宋体"/>
                <w:kern w:val="0"/>
                <w:szCs w:val="21"/>
              </w:rPr>
            </w:pPr>
            <w:r>
              <w:rPr>
                <w:rFonts w:hint="eastAsia" w:ascii="宋体" w:hAnsi="宋体" w:cs="宋体"/>
                <w:kern w:val="0"/>
                <w:szCs w:val="21"/>
              </w:rPr>
              <w:t>竞争性磋商响应文件份数为：</w:t>
            </w:r>
            <w:r>
              <w:rPr>
                <w:rFonts w:hint="eastAsia" w:ascii="宋体" w:hAnsi="宋体" w:cs="宋体"/>
                <w:b/>
                <w:kern w:val="0"/>
                <w:szCs w:val="21"/>
              </w:rPr>
              <w:t>正本一份，副本三份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40" w:type="dxa"/>
            <w:vAlign w:val="center"/>
          </w:tcPr>
          <w:p>
            <w:pPr>
              <w:adjustRightInd w:val="0"/>
              <w:spacing w:line="480" w:lineRule="exact"/>
              <w:jc w:val="center"/>
              <w:textAlignment w:val="baseline"/>
              <w:rPr>
                <w:rFonts w:ascii="宋体" w:hAnsi="宋体" w:cs="宋体"/>
                <w:kern w:val="0"/>
                <w:szCs w:val="21"/>
              </w:rPr>
            </w:pPr>
            <w:r>
              <w:rPr>
                <w:rFonts w:hint="eastAsia" w:ascii="宋体" w:hAnsi="宋体" w:cs="宋体"/>
                <w:kern w:val="0"/>
                <w:szCs w:val="21"/>
              </w:rPr>
              <w:t>7</w:t>
            </w:r>
          </w:p>
        </w:tc>
        <w:tc>
          <w:tcPr>
            <w:tcW w:w="7989" w:type="dxa"/>
            <w:vAlign w:val="center"/>
          </w:tcPr>
          <w:p>
            <w:pPr>
              <w:adjustRightInd w:val="0"/>
              <w:spacing w:line="480" w:lineRule="exact"/>
              <w:textAlignment w:val="baseline"/>
              <w:rPr>
                <w:rFonts w:ascii="宋体" w:hAnsi="宋体" w:cs="宋体"/>
                <w:kern w:val="0"/>
                <w:szCs w:val="21"/>
              </w:rPr>
            </w:pPr>
            <w:r>
              <w:rPr>
                <w:rFonts w:hint="eastAsia" w:ascii="宋体" w:hAnsi="宋体" w:cs="宋体"/>
                <w:kern w:val="0"/>
                <w:szCs w:val="21"/>
              </w:rPr>
              <w:t>磋商补遗文件领取时间：</w:t>
            </w:r>
            <w:r>
              <w:rPr>
                <w:rFonts w:hint="eastAsia" w:ascii="宋体" w:hAnsi="宋体" w:cs="宋体"/>
                <w:b/>
                <w:kern w:val="0"/>
                <w:szCs w:val="21"/>
              </w:rPr>
              <w:t>截止磋商5天前</w:t>
            </w:r>
          </w:p>
          <w:p>
            <w:pPr>
              <w:adjustRightInd w:val="0"/>
              <w:spacing w:line="480" w:lineRule="exact"/>
              <w:ind w:left="630" w:hanging="630" w:hangingChars="300"/>
              <w:textAlignment w:val="baseline"/>
              <w:rPr>
                <w:rFonts w:ascii="宋体" w:hAnsi="宋体" w:cs="宋体"/>
                <w:kern w:val="0"/>
                <w:szCs w:val="21"/>
              </w:rPr>
            </w:pPr>
            <w:r>
              <w:rPr>
                <w:rFonts w:hint="eastAsia" w:ascii="宋体" w:hAnsi="宋体" w:cs="宋体"/>
                <w:kern w:val="0"/>
                <w:szCs w:val="21"/>
              </w:rPr>
              <w:t>地点：贵港市公共资源交易中心（贵港市港北区金城商业步行街与金田路交叉口东南150米水利大厦）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40" w:type="dxa"/>
            <w:vAlign w:val="center"/>
          </w:tcPr>
          <w:p>
            <w:pPr>
              <w:adjustRightInd w:val="0"/>
              <w:spacing w:line="480" w:lineRule="exact"/>
              <w:jc w:val="center"/>
              <w:textAlignment w:val="baseline"/>
              <w:rPr>
                <w:rFonts w:ascii="宋体" w:hAnsi="宋体" w:cs="宋体"/>
                <w:kern w:val="0"/>
                <w:szCs w:val="21"/>
              </w:rPr>
            </w:pPr>
            <w:r>
              <w:rPr>
                <w:rFonts w:hint="eastAsia" w:ascii="宋体" w:hAnsi="宋体" w:cs="宋体"/>
                <w:kern w:val="0"/>
                <w:szCs w:val="21"/>
              </w:rPr>
              <w:t>8</w:t>
            </w:r>
          </w:p>
        </w:tc>
        <w:tc>
          <w:tcPr>
            <w:tcW w:w="7989" w:type="dxa"/>
            <w:vAlign w:val="center"/>
          </w:tcPr>
          <w:p>
            <w:pPr>
              <w:adjustRightInd w:val="0"/>
              <w:spacing w:line="480" w:lineRule="exact"/>
              <w:textAlignment w:val="baseline"/>
              <w:rPr>
                <w:rFonts w:ascii="宋体" w:hAnsi="宋体" w:cs="宋体"/>
                <w:kern w:val="0"/>
                <w:szCs w:val="21"/>
              </w:rPr>
            </w:pPr>
            <w:r>
              <w:rPr>
                <w:rFonts w:hint="eastAsia" w:ascii="宋体" w:hAnsi="宋体" w:cs="宋体"/>
                <w:kern w:val="0"/>
                <w:szCs w:val="21"/>
              </w:rPr>
              <w:t>竞争性磋商响应文件递交：贵港市公共资源交易中心（贵港市港北区金城商业步行街与金田路交叉口东南150米水利大厦）</w:t>
            </w:r>
          </w:p>
          <w:p>
            <w:pPr>
              <w:adjustRightInd w:val="0"/>
              <w:spacing w:line="480" w:lineRule="exact"/>
              <w:textAlignment w:val="baseline"/>
              <w:rPr>
                <w:rFonts w:ascii="宋体" w:hAnsi="宋体" w:cs="宋体"/>
                <w:kern w:val="0"/>
                <w:szCs w:val="21"/>
              </w:rPr>
            </w:pPr>
            <w:r>
              <w:rPr>
                <w:rFonts w:hint="eastAsia" w:ascii="宋体" w:hAnsi="宋体" w:cs="宋体"/>
                <w:kern w:val="0"/>
                <w:szCs w:val="21"/>
              </w:rPr>
              <w:t>磋商时间：</w:t>
            </w:r>
            <w:r>
              <w:rPr>
                <w:rFonts w:hint="eastAsia" w:ascii="宋体" w:hAnsi="宋体"/>
                <w:kern w:val="0"/>
              </w:rPr>
              <w:t>2020年</w:t>
            </w:r>
            <w:r>
              <w:rPr>
                <w:rFonts w:hint="eastAsia" w:ascii="宋体" w:hAnsi="宋体"/>
                <w:kern w:val="0"/>
                <w:lang w:val="en-US" w:eastAsia="zh-CN"/>
              </w:rPr>
              <w:t>12</w:t>
            </w:r>
            <w:r>
              <w:rPr>
                <w:rFonts w:hint="eastAsia" w:ascii="宋体" w:hAnsi="宋体"/>
                <w:kern w:val="0"/>
              </w:rPr>
              <w:t>月</w:t>
            </w:r>
            <w:r>
              <w:rPr>
                <w:rFonts w:hint="eastAsia" w:ascii="宋体" w:hAnsi="宋体"/>
                <w:kern w:val="0"/>
                <w:lang w:val="en-US" w:eastAsia="zh-CN"/>
              </w:rPr>
              <w:t>22</w:t>
            </w:r>
            <w:r>
              <w:rPr>
                <w:rFonts w:hint="eastAsia" w:ascii="宋体" w:hAnsi="宋体"/>
                <w:kern w:val="0"/>
              </w:rPr>
              <w:t>日 15 时 30 分</w:t>
            </w:r>
            <w:r>
              <w:rPr>
                <w:rFonts w:hint="eastAsia" w:ascii="宋体" w:hAnsi="宋体" w:cs="宋体"/>
                <w:kern w:val="0"/>
                <w:szCs w:val="21"/>
              </w:rPr>
              <w:t>截标后</w:t>
            </w:r>
          </w:p>
          <w:p>
            <w:pPr>
              <w:adjustRightInd w:val="0"/>
              <w:spacing w:line="480" w:lineRule="exact"/>
              <w:textAlignment w:val="baseline"/>
              <w:rPr>
                <w:rFonts w:ascii="宋体" w:hAnsi="宋体" w:cs="宋体"/>
                <w:kern w:val="0"/>
                <w:szCs w:val="21"/>
              </w:rPr>
            </w:pPr>
            <w:r>
              <w:rPr>
                <w:rFonts w:hint="eastAsia" w:ascii="宋体" w:hAnsi="宋体" w:cs="宋体"/>
                <w:kern w:val="0"/>
                <w:szCs w:val="21"/>
              </w:rPr>
              <w:t>磋商地点：贵港市公共资源交易中心（贵港市港北区金城商业步行街与金田路交叉口东南150米水利大厦）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0" w:type="dxa"/>
            <w:vAlign w:val="center"/>
          </w:tcPr>
          <w:p>
            <w:pPr>
              <w:adjustRightInd w:val="0"/>
              <w:spacing w:line="480" w:lineRule="exact"/>
              <w:jc w:val="center"/>
              <w:textAlignment w:val="baseline"/>
              <w:rPr>
                <w:rFonts w:ascii="宋体" w:hAnsi="宋体" w:cs="宋体"/>
                <w:kern w:val="0"/>
                <w:szCs w:val="21"/>
              </w:rPr>
            </w:pPr>
            <w:r>
              <w:rPr>
                <w:rFonts w:hint="eastAsia" w:ascii="宋体" w:hAnsi="宋体" w:cs="宋体"/>
                <w:kern w:val="0"/>
                <w:szCs w:val="21"/>
              </w:rPr>
              <w:t>9</w:t>
            </w:r>
          </w:p>
        </w:tc>
        <w:tc>
          <w:tcPr>
            <w:tcW w:w="7989" w:type="dxa"/>
            <w:vAlign w:val="center"/>
          </w:tcPr>
          <w:p>
            <w:pPr>
              <w:adjustRightInd w:val="0"/>
              <w:spacing w:line="480" w:lineRule="exact"/>
              <w:textAlignment w:val="baseline"/>
              <w:rPr>
                <w:rFonts w:ascii="宋体" w:hAnsi="宋体" w:cs="宋体"/>
                <w:kern w:val="0"/>
                <w:szCs w:val="21"/>
              </w:rPr>
            </w:pPr>
            <w:r>
              <w:rPr>
                <w:rFonts w:hint="eastAsia" w:ascii="宋体" w:hAnsi="宋体" w:cs="宋体"/>
                <w:kern w:val="0"/>
                <w:szCs w:val="21"/>
              </w:rPr>
              <w:t>磋商时间：</w:t>
            </w:r>
            <w:r>
              <w:rPr>
                <w:rFonts w:hint="eastAsia" w:ascii="宋体" w:hAnsi="宋体"/>
                <w:kern w:val="0"/>
              </w:rPr>
              <w:t xml:space="preserve">2020年 </w:t>
            </w:r>
            <w:r>
              <w:rPr>
                <w:rFonts w:hint="eastAsia" w:ascii="宋体" w:hAnsi="宋体"/>
                <w:kern w:val="0"/>
                <w:lang w:val="en-US" w:eastAsia="zh-CN"/>
              </w:rPr>
              <w:t>12</w:t>
            </w:r>
            <w:r>
              <w:rPr>
                <w:rFonts w:hint="eastAsia" w:ascii="宋体" w:hAnsi="宋体"/>
                <w:kern w:val="0"/>
              </w:rPr>
              <w:t>月</w:t>
            </w:r>
            <w:r>
              <w:rPr>
                <w:rFonts w:hint="eastAsia" w:ascii="宋体" w:hAnsi="宋体"/>
                <w:kern w:val="0"/>
                <w:lang w:val="en-US" w:eastAsia="zh-CN"/>
              </w:rPr>
              <w:t>22</w:t>
            </w:r>
            <w:r>
              <w:rPr>
                <w:rFonts w:hint="eastAsia" w:ascii="宋体" w:hAnsi="宋体"/>
                <w:kern w:val="0"/>
              </w:rPr>
              <w:t>日  15 时 30 分</w:t>
            </w:r>
            <w:r>
              <w:rPr>
                <w:rFonts w:hint="eastAsia" w:ascii="宋体" w:hAnsi="宋体" w:cs="宋体"/>
                <w:kern w:val="0"/>
                <w:szCs w:val="21"/>
              </w:rPr>
              <w:t>截标后</w:t>
            </w:r>
          </w:p>
          <w:p>
            <w:pPr>
              <w:adjustRightInd w:val="0"/>
              <w:spacing w:line="480" w:lineRule="exact"/>
              <w:textAlignment w:val="baseline"/>
              <w:rPr>
                <w:rFonts w:ascii="宋体" w:hAnsi="宋体" w:cs="宋体"/>
                <w:kern w:val="0"/>
                <w:szCs w:val="21"/>
              </w:rPr>
            </w:pPr>
            <w:r>
              <w:rPr>
                <w:rFonts w:hint="eastAsia" w:ascii="宋体" w:hAnsi="宋体" w:cs="宋体"/>
                <w:kern w:val="0"/>
                <w:szCs w:val="21"/>
              </w:rPr>
              <w:t>磋商地点：贵港市公共资源交易中心（贵港市港北区金城商业步行街与金田路交叉口东南150米水利大厦）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0" w:type="dxa"/>
            <w:vAlign w:val="center"/>
          </w:tcPr>
          <w:p>
            <w:pPr>
              <w:adjustRightInd w:val="0"/>
              <w:spacing w:line="480" w:lineRule="exact"/>
              <w:jc w:val="center"/>
              <w:textAlignment w:val="baseline"/>
              <w:rPr>
                <w:rFonts w:ascii="宋体" w:hAnsi="宋体" w:cs="宋体"/>
                <w:kern w:val="0"/>
                <w:szCs w:val="21"/>
              </w:rPr>
            </w:pPr>
            <w:r>
              <w:rPr>
                <w:rFonts w:hint="eastAsia" w:ascii="宋体" w:hAnsi="宋体" w:cs="宋体"/>
                <w:kern w:val="0"/>
                <w:szCs w:val="21"/>
              </w:rPr>
              <w:t>10</w:t>
            </w:r>
          </w:p>
        </w:tc>
        <w:tc>
          <w:tcPr>
            <w:tcW w:w="7989" w:type="dxa"/>
            <w:vAlign w:val="center"/>
          </w:tcPr>
          <w:p>
            <w:pPr>
              <w:spacing w:line="440" w:lineRule="exact"/>
              <w:rPr>
                <w:rFonts w:ascii="宋体" w:hAnsi="宋体" w:cs="宋体"/>
                <w:kern w:val="0"/>
                <w:szCs w:val="21"/>
              </w:rPr>
            </w:pPr>
            <w:r>
              <w:rPr>
                <w:rFonts w:hint="eastAsia" w:ascii="宋体" w:hAnsi="宋体" w:cs="宋体"/>
                <w:b/>
                <w:bCs/>
                <w:kern w:val="0"/>
                <w:szCs w:val="21"/>
              </w:rPr>
              <w:t>磋商保证金：</w:t>
            </w:r>
            <w:r>
              <w:rPr>
                <w:rStyle w:val="29"/>
                <w:rFonts w:hint="default" w:ascii="宋体" w:hAnsi="宋体" w:cs="宋体"/>
                <w:b w:val="0"/>
                <w:bCs w:val="0"/>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0" w:type="dxa"/>
            <w:vAlign w:val="center"/>
          </w:tcPr>
          <w:p>
            <w:pPr>
              <w:adjustRightInd w:val="0"/>
              <w:spacing w:line="480" w:lineRule="exact"/>
              <w:jc w:val="center"/>
              <w:textAlignment w:val="baseline"/>
              <w:rPr>
                <w:rFonts w:ascii="宋体" w:hAnsi="宋体" w:cs="宋体"/>
                <w:kern w:val="0"/>
                <w:szCs w:val="21"/>
              </w:rPr>
            </w:pPr>
            <w:r>
              <w:rPr>
                <w:rFonts w:hint="eastAsia" w:ascii="宋体" w:hAnsi="宋体" w:cs="宋体"/>
                <w:kern w:val="0"/>
                <w:szCs w:val="21"/>
              </w:rPr>
              <w:t>11</w:t>
            </w:r>
          </w:p>
        </w:tc>
        <w:tc>
          <w:tcPr>
            <w:tcW w:w="7989" w:type="dxa"/>
            <w:vAlign w:val="center"/>
          </w:tcPr>
          <w:p>
            <w:pPr>
              <w:adjustRightInd w:val="0"/>
              <w:spacing w:line="480" w:lineRule="exact"/>
              <w:textAlignment w:val="baseline"/>
              <w:rPr>
                <w:rFonts w:ascii="宋体" w:hAnsi="宋体" w:cs="宋体"/>
                <w:kern w:val="0"/>
                <w:szCs w:val="21"/>
              </w:rPr>
            </w:pPr>
            <w:r>
              <w:rPr>
                <w:rFonts w:hint="eastAsia" w:ascii="宋体" w:hAnsi="宋体" w:cs="宋体"/>
                <w:kern w:val="0"/>
                <w:szCs w:val="21"/>
              </w:rPr>
              <w:t>评审办法： 综合评分法 （ 详细见第四章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40" w:type="dxa"/>
            <w:vAlign w:val="center"/>
          </w:tcPr>
          <w:p>
            <w:pPr>
              <w:autoSpaceDE w:val="0"/>
              <w:autoSpaceDN w:val="0"/>
              <w:spacing w:line="480" w:lineRule="exact"/>
              <w:jc w:val="center"/>
              <w:rPr>
                <w:rFonts w:ascii="宋体" w:hAnsi="宋体" w:cs="宋体"/>
                <w:kern w:val="0"/>
                <w:szCs w:val="21"/>
              </w:rPr>
            </w:pPr>
            <w:r>
              <w:rPr>
                <w:rFonts w:hint="eastAsia" w:ascii="宋体" w:hAnsi="宋体" w:cs="宋体"/>
                <w:kern w:val="0"/>
                <w:szCs w:val="21"/>
              </w:rPr>
              <w:t>12</w:t>
            </w:r>
          </w:p>
        </w:tc>
        <w:tc>
          <w:tcPr>
            <w:tcW w:w="7989" w:type="dxa"/>
            <w:vAlign w:val="center"/>
          </w:tcPr>
          <w:p>
            <w:pPr>
              <w:autoSpaceDE w:val="0"/>
              <w:autoSpaceDN w:val="0"/>
              <w:snapToGrid w:val="0"/>
              <w:spacing w:line="480" w:lineRule="exact"/>
              <w:textAlignment w:val="bottom"/>
              <w:rPr>
                <w:rFonts w:ascii="宋体" w:hAnsi="宋体" w:cs="宋体"/>
                <w:kern w:val="0"/>
                <w:szCs w:val="21"/>
              </w:rPr>
            </w:pPr>
            <w:r>
              <w:rPr>
                <w:rFonts w:hint="eastAsia" w:ascii="宋体" w:hAnsi="宋体" w:cs="宋体"/>
                <w:kern w:val="0"/>
                <w:szCs w:val="21"/>
              </w:rPr>
              <w:t>1、本文件中描述磋商供应商的“公章”是指根据我国对公章的管理规定，用磋商供应商法定主体行为名称制作的印章，除本文件有特殊规定外，磋商供应商的财务章、部门章、分公司章、工会章、合同章、业务专用章及银行的转账章、现金收讫章、现金付讫章等其它形式印章均不能代替公章。</w:t>
            </w:r>
          </w:p>
          <w:p>
            <w:pPr>
              <w:adjustRightInd w:val="0"/>
              <w:spacing w:line="480" w:lineRule="exact"/>
              <w:textAlignment w:val="baseline"/>
              <w:rPr>
                <w:rFonts w:ascii="宋体" w:hAnsi="宋体" w:cs="宋体"/>
                <w:kern w:val="0"/>
                <w:szCs w:val="21"/>
              </w:rPr>
            </w:pPr>
            <w:r>
              <w:rPr>
                <w:rFonts w:hint="eastAsia" w:ascii="宋体" w:hAnsi="宋体" w:cs="宋体"/>
                <w:kern w:val="0"/>
                <w:szCs w:val="21"/>
              </w:rPr>
              <w:t>2、本文件中描述磋商供应商的“签字”是指磋商供应商的法定代表人或被授权人亲自在文件规定签署处亲笔写上个人的名字的行为，私章、签字章、印鉴、影印等其他形式均不能代替亲笔签名。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40" w:type="dxa"/>
            <w:vAlign w:val="center"/>
          </w:tcPr>
          <w:p>
            <w:pPr>
              <w:adjustRightInd w:val="0"/>
              <w:spacing w:line="480" w:lineRule="exact"/>
              <w:jc w:val="center"/>
              <w:textAlignment w:val="baseline"/>
              <w:rPr>
                <w:rFonts w:ascii="宋体" w:hAnsi="宋体" w:cs="宋体"/>
                <w:kern w:val="0"/>
                <w:szCs w:val="21"/>
              </w:rPr>
            </w:pPr>
            <w:r>
              <w:rPr>
                <w:rFonts w:hint="eastAsia" w:ascii="宋体" w:hAnsi="宋体" w:cs="宋体"/>
                <w:kern w:val="0"/>
                <w:szCs w:val="21"/>
              </w:rPr>
              <w:t>13</w:t>
            </w:r>
          </w:p>
        </w:tc>
        <w:tc>
          <w:tcPr>
            <w:tcW w:w="7989" w:type="dxa"/>
            <w:vAlign w:val="center"/>
          </w:tcPr>
          <w:p>
            <w:pPr>
              <w:adjustRightInd w:val="0"/>
              <w:spacing w:line="480" w:lineRule="exact"/>
              <w:textAlignment w:val="baseline"/>
              <w:rPr>
                <w:rFonts w:ascii="宋体" w:hAnsi="宋体" w:cs="宋体"/>
                <w:kern w:val="0"/>
                <w:szCs w:val="21"/>
              </w:rPr>
            </w:pPr>
            <w:r>
              <w:rPr>
                <w:rFonts w:hint="eastAsia" w:ascii="宋体" w:hAnsi="宋体" w:cs="宋体"/>
                <w:kern w:val="0"/>
                <w:szCs w:val="21"/>
              </w:rPr>
              <w:t>履约保证金：无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0" w:type="dxa"/>
            <w:vAlign w:val="center"/>
          </w:tcPr>
          <w:p>
            <w:pPr>
              <w:adjustRightInd w:val="0"/>
              <w:spacing w:line="480" w:lineRule="exact"/>
              <w:jc w:val="center"/>
              <w:textAlignment w:val="baseline"/>
              <w:rPr>
                <w:rFonts w:ascii="宋体" w:hAnsi="宋体" w:cs="宋体"/>
                <w:kern w:val="0"/>
                <w:szCs w:val="21"/>
              </w:rPr>
            </w:pPr>
            <w:r>
              <w:rPr>
                <w:rFonts w:hint="eastAsia" w:ascii="宋体" w:hAnsi="宋体" w:cs="宋体"/>
                <w:kern w:val="0"/>
                <w:szCs w:val="21"/>
              </w:rPr>
              <w:t>14</w:t>
            </w:r>
          </w:p>
        </w:tc>
        <w:tc>
          <w:tcPr>
            <w:tcW w:w="7989" w:type="dxa"/>
            <w:vAlign w:val="center"/>
          </w:tcPr>
          <w:p>
            <w:pPr>
              <w:autoSpaceDE w:val="0"/>
              <w:autoSpaceDN w:val="0"/>
              <w:snapToGrid w:val="0"/>
              <w:spacing w:line="480" w:lineRule="exact"/>
              <w:textAlignment w:val="bottom"/>
              <w:rPr>
                <w:rFonts w:ascii="宋体" w:hAnsi="宋体" w:cs="宋体"/>
                <w:kern w:val="0"/>
                <w:szCs w:val="21"/>
              </w:rPr>
            </w:pPr>
            <w:r>
              <w:rPr>
                <w:rFonts w:hint="eastAsia" w:ascii="宋体" w:hAnsi="宋体" w:cs="宋体"/>
                <w:kern w:val="0"/>
                <w:szCs w:val="21"/>
              </w:rPr>
              <w:t>磋商主要内容及程序：</w:t>
            </w:r>
          </w:p>
          <w:p>
            <w:pPr>
              <w:autoSpaceDE w:val="0"/>
              <w:autoSpaceDN w:val="0"/>
              <w:snapToGrid w:val="0"/>
              <w:spacing w:line="480" w:lineRule="exact"/>
              <w:textAlignment w:val="bottom"/>
              <w:rPr>
                <w:rFonts w:ascii="宋体" w:hAnsi="宋体" w:cs="宋体"/>
                <w:kern w:val="0"/>
                <w:szCs w:val="21"/>
              </w:rPr>
            </w:pPr>
            <w:r>
              <w:rPr>
                <w:rFonts w:hint="eastAsia" w:ascii="宋体" w:hAnsi="宋体" w:cs="宋体"/>
                <w:kern w:val="0"/>
                <w:szCs w:val="21"/>
              </w:rPr>
              <w:t xml:space="preserve">1. 就对本项目各类报价进行磋商； </w:t>
            </w:r>
          </w:p>
          <w:p>
            <w:pPr>
              <w:autoSpaceDE w:val="0"/>
              <w:autoSpaceDN w:val="0"/>
              <w:snapToGrid w:val="0"/>
              <w:spacing w:line="480" w:lineRule="exact"/>
              <w:textAlignment w:val="bottom"/>
              <w:rPr>
                <w:rFonts w:ascii="宋体" w:hAnsi="宋体" w:cs="宋体"/>
                <w:kern w:val="0"/>
                <w:szCs w:val="21"/>
              </w:rPr>
            </w:pPr>
            <w:r>
              <w:rPr>
                <w:rFonts w:hint="eastAsia" w:ascii="宋体" w:hAnsi="宋体" w:cs="宋体"/>
                <w:kern w:val="0"/>
                <w:szCs w:val="21"/>
              </w:rPr>
              <w:t>2. 就对本项目实施方案进行磋商；</w:t>
            </w:r>
          </w:p>
          <w:p>
            <w:pPr>
              <w:autoSpaceDE w:val="0"/>
              <w:autoSpaceDN w:val="0"/>
              <w:snapToGrid w:val="0"/>
              <w:spacing w:line="480" w:lineRule="exact"/>
              <w:textAlignment w:val="bottom"/>
              <w:rPr>
                <w:rFonts w:ascii="宋体" w:hAnsi="宋体" w:cs="宋体"/>
                <w:kern w:val="0"/>
                <w:szCs w:val="21"/>
              </w:rPr>
            </w:pPr>
            <w:r>
              <w:rPr>
                <w:rFonts w:hint="eastAsia" w:ascii="宋体" w:hAnsi="宋体" w:cs="宋体"/>
                <w:kern w:val="0"/>
                <w:szCs w:val="21"/>
              </w:rPr>
              <w:t>3. 就对本项目的服务承诺进行磋商。</w:t>
            </w:r>
          </w:p>
          <w:p>
            <w:pPr>
              <w:spacing w:line="480" w:lineRule="exact"/>
              <w:jc w:val="left"/>
              <w:rPr>
                <w:rFonts w:ascii="宋体" w:hAnsi="宋体" w:cs="宋体"/>
                <w:kern w:val="0"/>
                <w:szCs w:val="21"/>
              </w:rPr>
            </w:pPr>
            <w:r>
              <w:rPr>
                <w:rFonts w:hint="eastAsia" w:ascii="宋体" w:hAnsi="宋体" w:cs="宋体"/>
                <w:kern w:val="0"/>
                <w:szCs w:val="21"/>
              </w:rPr>
              <w:t>4. 就对本项目的质量要求进行磋商并对其作出相关承诺。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0" w:type="dxa"/>
            <w:vAlign w:val="center"/>
          </w:tcPr>
          <w:p>
            <w:pPr>
              <w:adjustRightInd w:val="0"/>
              <w:spacing w:line="480" w:lineRule="exact"/>
              <w:jc w:val="center"/>
              <w:textAlignment w:val="baseline"/>
              <w:rPr>
                <w:rFonts w:ascii="宋体" w:hAnsi="宋体" w:cs="宋体"/>
                <w:kern w:val="0"/>
                <w:szCs w:val="21"/>
              </w:rPr>
            </w:pPr>
            <w:r>
              <w:rPr>
                <w:rFonts w:hint="eastAsia" w:ascii="宋体" w:hAnsi="宋体" w:cs="宋体"/>
                <w:kern w:val="0"/>
                <w:szCs w:val="21"/>
              </w:rPr>
              <w:t>15</w:t>
            </w:r>
          </w:p>
        </w:tc>
        <w:tc>
          <w:tcPr>
            <w:tcW w:w="7989" w:type="dxa"/>
            <w:vAlign w:val="center"/>
          </w:tcPr>
          <w:p>
            <w:pPr>
              <w:spacing w:line="360" w:lineRule="auto"/>
              <w:rPr>
                <w:rFonts w:hAnsi="宋体"/>
                <w:szCs w:val="21"/>
              </w:rPr>
            </w:pPr>
            <w:r>
              <w:rPr>
                <w:rFonts w:hint="eastAsia" w:ascii="宋体" w:hAnsi="宋体"/>
                <w:szCs w:val="21"/>
              </w:rPr>
              <w:t>签订合同时间：自成交通知书发出之日起</w:t>
            </w:r>
            <w:r>
              <w:rPr>
                <w:rFonts w:hint="eastAsia" w:ascii="宋体" w:hAnsi="宋体"/>
                <w:szCs w:val="21"/>
                <w:u w:val="single"/>
              </w:rPr>
              <w:t>20</w:t>
            </w:r>
            <w:r>
              <w:rPr>
                <w:rFonts w:hint="eastAsia" w:ascii="宋体" w:hAnsi="宋体"/>
                <w:szCs w:val="21"/>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0" w:type="dxa"/>
            <w:vAlign w:val="center"/>
          </w:tcPr>
          <w:p>
            <w:pPr>
              <w:adjustRightInd w:val="0"/>
              <w:spacing w:line="480" w:lineRule="exact"/>
              <w:jc w:val="center"/>
              <w:textAlignment w:val="baseline"/>
              <w:rPr>
                <w:rFonts w:ascii="宋体" w:hAnsi="宋体" w:cs="宋体"/>
                <w:kern w:val="0"/>
                <w:szCs w:val="21"/>
              </w:rPr>
            </w:pPr>
            <w:r>
              <w:rPr>
                <w:rFonts w:hint="eastAsia" w:ascii="宋体" w:hAnsi="宋体" w:cs="宋体"/>
                <w:kern w:val="0"/>
                <w:szCs w:val="21"/>
              </w:rPr>
              <w:t>16</w:t>
            </w:r>
          </w:p>
        </w:tc>
        <w:tc>
          <w:tcPr>
            <w:tcW w:w="7989" w:type="dxa"/>
            <w:vAlign w:val="center"/>
          </w:tcPr>
          <w:p>
            <w:pPr>
              <w:spacing w:line="360" w:lineRule="auto"/>
              <w:rPr>
                <w:rFonts w:ascii="宋体" w:hAnsi="宋体"/>
                <w:szCs w:val="21"/>
              </w:rPr>
            </w:pPr>
            <w:r>
              <w:rPr>
                <w:rFonts w:hint="eastAsia" w:ascii="宋体" w:hAnsi="宋体"/>
                <w:szCs w:val="21"/>
              </w:rPr>
              <w:t>付款方式：项目款分两期支付给成交人，在本合同签订后三十日内，由采购人以转账方式支付项目款50%给成交人作为启动经费，余下项目款待编制工作完成，由编制单位提交成果并由甲方组织专家审核验收后，三十日内一次性支付，采购人付款后七个工作日内，成交人开具正式等额发票给采购人 。</w:t>
            </w:r>
          </w:p>
        </w:tc>
      </w:tr>
    </w:tbl>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pStyle w:val="2"/>
        <w:rPr>
          <w:rFonts w:ascii="宋体" w:hAnsi="宋体"/>
          <w:b/>
          <w:sz w:val="32"/>
          <w:szCs w:val="32"/>
        </w:rPr>
      </w:pPr>
    </w:p>
    <w:p>
      <w:pPr>
        <w:rPr>
          <w:rFonts w:ascii="宋体" w:hAnsi="宋体"/>
          <w:b/>
          <w:sz w:val="32"/>
          <w:szCs w:val="32"/>
        </w:rPr>
      </w:pPr>
    </w:p>
    <w:p>
      <w:pPr>
        <w:pStyle w:val="2"/>
        <w:rPr>
          <w:rFonts w:ascii="宋体" w:hAnsi="宋体"/>
          <w:b/>
          <w:sz w:val="32"/>
          <w:szCs w:val="32"/>
        </w:rPr>
      </w:pPr>
    </w:p>
    <w:p>
      <w:pPr>
        <w:rPr>
          <w:rFonts w:ascii="宋体" w:hAnsi="宋体"/>
          <w:b/>
          <w:sz w:val="32"/>
          <w:szCs w:val="32"/>
        </w:rPr>
      </w:pPr>
    </w:p>
    <w:p>
      <w:pPr>
        <w:pStyle w:val="2"/>
        <w:rPr>
          <w:rFonts w:ascii="宋体" w:hAnsi="宋体"/>
          <w:b/>
          <w:sz w:val="32"/>
          <w:szCs w:val="32"/>
        </w:rPr>
      </w:pPr>
    </w:p>
    <w:p>
      <w:pPr>
        <w:rPr>
          <w:rFonts w:ascii="宋体" w:hAnsi="宋体"/>
          <w:b/>
          <w:sz w:val="32"/>
          <w:szCs w:val="32"/>
        </w:rPr>
      </w:pPr>
    </w:p>
    <w:p>
      <w:pPr>
        <w:pStyle w:val="2"/>
        <w:rPr>
          <w:rFonts w:ascii="宋体" w:hAnsi="宋体"/>
          <w:b/>
          <w:sz w:val="32"/>
          <w:szCs w:val="32"/>
        </w:rPr>
      </w:pPr>
    </w:p>
    <w:p>
      <w:pPr>
        <w:rPr>
          <w:rFonts w:ascii="宋体" w:hAnsi="宋体"/>
          <w:b/>
          <w:sz w:val="32"/>
          <w:szCs w:val="32"/>
        </w:rPr>
      </w:pPr>
    </w:p>
    <w:p>
      <w:pPr>
        <w:pStyle w:val="2"/>
      </w:pPr>
    </w:p>
    <w:p/>
    <w:p>
      <w:pPr>
        <w:pStyle w:val="2"/>
      </w:pPr>
    </w:p>
    <w:p/>
    <w:p>
      <w:pPr>
        <w:pStyle w:val="2"/>
      </w:pPr>
    </w:p>
    <w:p/>
    <w:p/>
    <w:p>
      <w:pPr>
        <w:spacing w:line="400" w:lineRule="exact"/>
        <w:jc w:val="center"/>
        <w:rPr>
          <w:rFonts w:ascii="宋体" w:hAnsi="宋体"/>
          <w:b/>
          <w:sz w:val="32"/>
          <w:szCs w:val="32"/>
        </w:rPr>
      </w:pPr>
      <w:r>
        <w:rPr>
          <w:rFonts w:hint="eastAsia" w:ascii="宋体" w:hAnsi="宋体"/>
          <w:b/>
          <w:sz w:val="32"/>
          <w:szCs w:val="32"/>
        </w:rPr>
        <w:t>供应商须知正文</w:t>
      </w:r>
    </w:p>
    <w:p>
      <w:pPr>
        <w:spacing w:line="400" w:lineRule="exact"/>
        <w:jc w:val="center"/>
        <w:rPr>
          <w:rFonts w:ascii="宋体" w:hAnsi="宋体"/>
          <w:b/>
          <w:sz w:val="32"/>
          <w:szCs w:val="32"/>
        </w:rPr>
      </w:pPr>
    </w:p>
    <w:p>
      <w:pPr>
        <w:pStyle w:val="6"/>
        <w:rPr>
          <w:sz w:val="36"/>
        </w:rPr>
      </w:pPr>
      <w:r>
        <w:rPr>
          <w:rFonts w:hint="eastAsia"/>
        </w:rPr>
        <w:t>一、总 则</w:t>
      </w:r>
    </w:p>
    <w:p>
      <w:pPr>
        <w:spacing w:line="440" w:lineRule="exact"/>
        <w:ind w:firstLine="316" w:firstLineChars="150"/>
        <w:rPr>
          <w:rFonts w:ascii="宋体" w:hAnsi="宋体"/>
          <w:b/>
          <w:kern w:val="0"/>
          <w:szCs w:val="21"/>
        </w:rPr>
      </w:pPr>
      <w:r>
        <w:rPr>
          <w:rFonts w:hint="eastAsia" w:ascii="宋体" w:hAnsi="宋体"/>
          <w:b/>
          <w:kern w:val="0"/>
          <w:szCs w:val="21"/>
        </w:rPr>
        <w:t xml:space="preserve">1. 适用范围  </w:t>
      </w:r>
    </w:p>
    <w:p>
      <w:pPr>
        <w:autoSpaceDE w:val="0"/>
        <w:autoSpaceDN w:val="0"/>
        <w:snapToGrid w:val="0"/>
        <w:spacing w:line="440" w:lineRule="exact"/>
        <w:textAlignment w:val="bottom"/>
        <w:rPr>
          <w:rFonts w:ascii="宋体" w:hAnsi="宋体" w:cs="Courier New"/>
          <w:kern w:val="0"/>
          <w:szCs w:val="21"/>
        </w:rPr>
      </w:pPr>
      <w:r>
        <w:rPr>
          <w:rFonts w:hint="eastAsia" w:ascii="宋体" w:hAnsi="宋体" w:cs="Courier New"/>
          <w:kern w:val="0"/>
          <w:szCs w:val="21"/>
        </w:rPr>
        <w:t>1.1项目名称：贵港市城市地价动态监测编制项目服务工作</w:t>
      </w:r>
    </w:p>
    <w:p>
      <w:pPr>
        <w:autoSpaceDE w:val="0"/>
        <w:autoSpaceDN w:val="0"/>
        <w:snapToGrid w:val="0"/>
        <w:spacing w:line="440" w:lineRule="exact"/>
        <w:ind w:firstLine="210" w:firstLineChars="100"/>
        <w:textAlignment w:val="bottom"/>
        <w:rPr>
          <w:rFonts w:ascii="宋体" w:hAnsi="宋体" w:cs="Courier New"/>
          <w:kern w:val="0"/>
          <w:szCs w:val="21"/>
        </w:rPr>
      </w:pPr>
      <w:r>
        <w:rPr>
          <w:rFonts w:hint="eastAsia" w:ascii="宋体" w:hAnsi="宋体" w:cs="Courier New"/>
          <w:kern w:val="0"/>
          <w:szCs w:val="21"/>
        </w:rPr>
        <w:t>项目编号：</w:t>
      </w:r>
      <w:r>
        <w:rPr>
          <w:rFonts w:hint="eastAsia" w:ascii="宋体" w:hAnsi="宋体" w:cs="宋体"/>
          <w:kern w:val="0"/>
          <w:szCs w:val="21"/>
        </w:rPr>
        <w:t>GGZC2020-C3-01008-GXLZ</w:t>
      </w:r>
    </w:p>
    <w:p>
      <w:pPr>
        <w:autoSpaceDE w:val="0"/>
        <w:autoSpaceDN w:val="0"/>
        <w:snapToGrid w:val="0"/>
        <w:spacing w:line="440" w:lineRule="exact"/>
        <w:textAlignment w:val="bottom"/>
        <w:rPr>
          <w:rFonts w:ascii="宋体" w:hAnsi="宋体"/>
          <w:kern w:val="0"/>
          <w:szCs w:val="21"/>
        </w:rPr>
      </w:pPr>
      <w:r>
        <w:rPr>
          <w:rFonts w:hint="eastAsia" w:ascii="宋体" w:hAnsi="宋体" w:cs="Courier New"/>
          <w:kern w:val="0"/>
          <w:szCs w:val="21"/>
        </w:rPr>
        <w:t xml:space="preserve">本文件仅适用于本文件中所叙述的服务类采购项目。 </w:t>
      </w:r>
    </w:p>
    <w:p>
      <w:pPr>
        <w:spacing w:line="440" w:lineRule="exact"/>
        <w:ind w:firstLine="316" w:firstLineChars="150"/>
        <w:rPr>
          <w:rFonts w:ascii="宋体" w:hAnsi="宋体"/>
          <w:b/>
          <w:kern w:val="0"/>
          <w:szCs w:val="21"/>
        </w:rPr>
      </w:pPr>
      <w:r>
        <w:rPr>
          <w:rFonts w:hint="eastAsia" w:ascii="宋体" w:hAnsi="宋体"/>
          <w:b/>
          <w:kern w:val="0"/>
          <w:szCs w:val="21"/>
        </w:rPr>
        <w:t xml:space="preserve">2. 定义 </w:t>
      </w:r>
    </w:p>
    <w:p>
      <w:pPr>
        <w:autoSpaceDE w:val="0"/>
        <w:autoSpaceDN w:val="0"/>
        <w:snapToGrid w:val="0"/>
        <w:spacing w:line="440" w:lineRule="exact"/>
        <w:textAlignment w:val="bottom"/>
        <w:rPr>
          <w:rFonts w:ascii="宋体" w:hAnsi="宋体" w:cs="Courier New"/>
          <w:kern w:val="0"/>
          <w:szCs w:val="21"/>
        </w:rPr>
      </w:pPr>
      <w:r>
        <w:rPr>
          <w:rFonts w:hint="eastAsia" w:ascii="宋体" w:hAnsi="宋体" w:cs="Courier New"/>
          <w:kern w:val="0"/>
          <w:szCs w:val="21"/>
        </w:rPr>
        <w:t>2.1 “采购人”是指：贵港市自然资源局</w:t>
      </w:r>
    </w:p>
    <w:p>
      <w:pPr>
        <w:autoSpaceDE w:val="0"/>
        <w:autoSpaceDN w:val="0"/>
        <w:snapToGrid w:val="0"/>
        <w:spacing w:line="440" w:lineRule="exact"/>
        <w:textAlignment w:val="bottom"/>
        <w:rPr>
          <w:rFonts w:ascii="宋体" w:hAnsi="宋体" w:cs="Courier New"/>
          <w:kern w:val="0"/>
          <w:szCs w:val="21"/>
        </w:rPr>
      </w:pPr>
      <w:r>
        <w:rPr>
          <w:rFonts w:hint="eastAsia" w:ascii="宋体" w:hAnsi="宋体" w:cs="Courier New"/>
          <w:kern w:val="0"/>
          <w:szCs w:val="21"/>
        </w:rPr>
        <w:t xml:space="preserve">2.2 “采购代理机构” 是指：广西乐正工程项目管理有限公司(以下简称“本公司”) 。 </w:t>
      </w:r>
    </w:p>
    <w:p>
      <w:pPr>
        <w:autoSpaceDE w:val="0"/>
        <w:autoSpaceDN w:val="0"/>
        <w:snapToGrid w:val="0"/>
        <w:spacing w:line="440" w:lineRule="exact"/>
        <w:textAlignment w:val="bottom"/>
        <w:rPr>
          <w:rFonts w:ascii="宋体" w:hAnsi="宋体" w:cs="Courier New"/>
          <w:kern w:val="0"/>
          <w:szCs w:val="21"/>
        </w:rPr>
      </w:pPr>
      <w:r>
        <w:rPr>
          <w:rFonts w:hint="eastAsia" w:ascii="宋体" w:hAnsi="宋体" w:cs="Courier New"/>
          <w:kern w:val="0"/>
          <w:szCs w:val="21"/>
        </w:rPr>
        <w:t xml:space="preserve">2.3 “磋商供应商”是指响应本文件要求，参加磋商的法人或者其他组织。如果该供应商在本次磋商中成交，即成为“成交供应商”。  </w:t>
      </w:r>
    </w:p>
    <w:p>
      <w:pPr>
        <w:autoSpaceDE w:val="0"/>
        <w:autoSpaceDN w:val="0"/>
        <w:snapToGrid w:val="0"/>
        <w:spacing w:line="440" w:lineRule="exact"/>
        <w:textAlignment w:val="bottom"/>
        <w:rPr>
          <w:rFonts w:ascii="宋体" w:hAnsi="宋体" w:cs="Courier New"/>
          <w:kern w:val="0"/>
          <w:szCs w:val="21"/>
        </w:rPr>
      </w:pPr>
      <w:r>
        <w:rPr>
          <w:rFonts w:hint="eastAsia" w:ascii="宋体" w:hAnsi="宋体" w:cs="Courier New"/>
          <w:kern w:val="0"/>
          <w:szCs w:val="21"/>
        </w:rPr>
        <w:t xml:space="preserve">2.4 “服务”是指除货物和工程以外的其他采购对象 。  </w:t>
      </w:r>
    </w:p>
    <w:p>
      <w:pPr>
        <w:autoSpaceDE w:val="0"/>
        <w:autoSpaceDN w:val="0"/>
        <w:snapToGrid w:val="0"/>
        <w:spacing w:line="440" w:lineRule="exact"/>
        <w:textAlignment w:val="bottom"/>
        <w:rPr>
          <w:rFonts w:ascii="宋体" w:hAnsi="宋体" w:cs="Courier New"/>
          <w:kern w:val="0"/>
          <w:szCs w:val="21"/>
        </w:rPr>
      </w:pPr>
      <w:r>
        <w:rPr>
          <w:rFonts w:hint="eastAsia" w:ascii="宋体" w:hAnsi="宋体" w:cs="Courier New"/>
          <w:kern w:val="0"/>
          <w:szCs w:val="21"/>
        </w:rPr>
        <w:t xml:space="preserve">2.5 “竞争性磋商响应文件”是指：磋商供应商根据本磋商文件要求，编制包含报价、技术和服务等所有内容的文件。 </w:t>
      </w:r>
    </w:p>
    <w:p>
      <w:pPr>
        <w:autoSpaceDE w:val="0"/>
        <w:autoSpaceDN w:val="0"/>
        <w:snapToGrid w:val="0"/>
        <w:spacing w:line="440" w:lineRule="exact"/>
        <w:textAlignment w:val="bottom"/>
        <w:rPr>
          <w:rFonts w:ascii="宋体" w:hAnsi="宋体" w:cs="Courier New"/>
          <w:kern w:val="0"/>
          <w:szCs w:val="21"/>
        </w:rPr>
      </w:pPr>
      <w:r>
        <w:rPr>
          <w:rFonts w:hint="eastAsia" w:ascii="宋体" w:hAnsi="宋体" w:cs="Courier New"/>
          <w:kern w:val="0"/>
          <w:szCs w:val="21"/>
        </w:rPr>
        <w:t>2.6</w:t>
      </w:r>
      <w:r>
        <w:rPr>
          <w:rFonts w:hint="eastAsia" w:ascii="宋体" w:hAnsi="宋体"/>
          <w:szCs w:val="21"/>
        </w:rPr>
        <w:t>“▲”系指实质性要求条款。</w:t>
      </w:r>
    </w:p>
    <w:p>
      <w:pPr>
        <w:spacing w:line="440" w:lineRule="exact"/>
        <w:ind w:firstLine="316" w:firstLineChars="150"/>
        <w:rPr>
          <w:rFonts w:ascii="宋体" w:hAnsi="宋体"/>
          <w:b/>
          <w:kern w:val="0"/>
          <w:szCs w:val="21"/>
        </w:rPr>
      </w:pPr>
      <w:r>
        <w:rPr>
          <w:rFonts w:hint="eastAsia" w:ascii="宋体" w:hAnsi="宋体"/>
          <w:b/>
          <w:kern w:val="0"/>
          <w:szCs w:val="21"/>
        </w:rPr>
        <w:t xml:space="preserve">3. 磋商供应商的资格   </w:t>
      </w:r>
    </w:p>
    <w:p>
      <w:pPr>
        <w:spacing w:line="500" w:lineRule="atLeast"/>
        <w:ind w:firstLine="420" w:firstLineChars="200"/>
        <w:rPr>
          <w:rFonts w:ascii="宋体" w:hAnsi="宋体" w:cs="宋体"/>
          <w:szCs w:val="21"/>
        </w:rPr>
      </w:pPr>
      <w:r>
        <w:rPr>
          <w:rFonts w:hint="eastAsia" w:ascii="宋体" w:hAnsi="宋体" w:cs="宋体"/>
          <w:szCs w:val="21"/>
        </w:rPr>
        <w:t>3.1满足《中华人民共和国政府采购法》第二十二条规定；</w:t>
      </w:r>
    </w:p>
    <w:p>
      <w:pPr>
        <w:spacing w:line="500" w:lineRule="atLeast"/>
        <w:ind w:firstLine="420" w:firstLineChars="200"/>
        <w:rPr>
          <w:rFonts w:ascii="宋体" w:hAnsi="宋体" w:cs="宋体"/>
          <w:szCs w:val="21"/>
        </w:rPr>
      </w:pPr>
      <w:r>
        <w:rPr>
          <w:rFonts w:hint="eastAsia" w:ascii="宋体" w:hAnsi="宋体" w:cs="宋体"/>
          <w:szCs w:val="21"/>
        </w:rPr>
        <w:t>3.2落实政府采购政策需满足的资格要求：</w:t>
      </w:r>
      <w:r>
        <w:rPr>
          <w:rFonts w:hint="eastAsia" w:ascii="宋体" w:hAnsi="宋体" w:cs="宋体"/>
          <w:szCs w:val="21"/>
          <w:u w:val="single"/>
        </w:rPr>
        <w:t>/</w:t>
      </w:r>
    </w:p>
    <w:p>
      <w:pPr>
        <w:spacing w:line="500" w:lineRule="atLeast"/>
        <w:ind w:firstLine="420" w:firstLineChars="200"/>
        <w:rPr>
          <w:rFonts w:ascii="宋体" w:hAnsi="宋体" w:cs="宋体"/>
          <w:szCs w:val="21"/>
        </w:rPr>
      </w:pPr>
      <w:r>
        <w:rPr>
          <w:rFonts w:hint="eastAsia" w:ascii="宋体" w:hAnsi="宋体" w:cs="宋体"/>
          <w:szCs w:val="21"/>
        </w:rPr>
        <w:t>3.3本项目的特定资格要求：（1）国内注册（指按国家有关规定要求注册的），具有独立法人资格，专业从事本次采购服务，且具有相应的技术、设备、经济能力和良好信誉的供应商；</w:t>
      </w:r>
    </w:p>
    <w:p>
      <w:pPr>
        <w:spacing w:line="500" w:lineRule="atLeast"/>
        <w:ind w:firstLine="420" w:firstLineChars="200"/>
        <w:rPr>
          <w:rFonts w:ascii="宋体" w:hAnsi="宋体" w:cs="宋体"/>
          <w:szCs w:val="21"/>
        </w:rPr>
      </w:pPr>
      <w:r>
        <w:rPr>
          <w:rFonts w:hint="eastAsia" w:ascii="宋体" w:hAnsi="宋体" w:cs="宋体"/>
          <w:szCs w:val="21"/>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500" w:lineRule="atLeast"/>
        <w:ind w:firstLine="420" w:firstLineChars="200"/>
        <w:rPr>
          <w:rFonts w:ascii="宋体" w:hAnsi="宋体" w:cs="宋体"/>
          <w:i/>
          <w:iCs/>
          <w:szCs w:val="21"/>
          <w:u w:val="single"/>
        </w:rPr>
      </w:pPr>
      <w:r>
        <w:rPr>
          <w:rFonts w:hint="eastAsia" w:ascii="宋体" w:hAnsi="宋体" w:cs="宋体"/>
          <w:szCs w:val="21"/>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auto"/>
        <w:ind w:firstLine="315" w:firstLineChars="150"/>
        <w:rPr>
          <w:rFonts w:ascii="宋体" w:hAnsi="宋体" w:cs="宋体"/>
          <w:szCs w:val="21"/>
        </w:rPr>
      </w:pPr>
      <w:r>
        <w:rPr>
          <w:rFonts w:hint="eastAsia" w:ascii="宋体" w:hAnsi="宋体" w:cs="宋体"/>
          <w:szCs w:val="21"/>
        </w:rPr>
        <w:t>3.4本项目不接受未通过政府采购云平台获取本项目竞争性磋商采购文件的供应商参加磋商。</w:t>
      </w:r>
    </w:p>
    <w:p>
      <w:pPr>
        <w:spacing w:line="360" w:lineRule="auto"/>
        <w:ind w:firstLine="316" w:firstLineChars="150"/>
        <w:rPr>
          <w:rFonts w:ascii="宋体" w:hAnsi="宋体"/>
          <w:b/>
          <w:kern w:val="0"/>
          <w:szCs w:val="21"/>
        </w:rPr>
      </w:pPr>
      <w:r>
        <w:rPr>
          <w:rFonts w:hint="eastAsia" w:ascii="宋体" w:hAnsi="宋体"/>
          <w:b/>
          <w:kern w:val="0"/>
          <w:szCs w:val="21"/>
        </w:rPr>
        <w:t xml:space="preserve">4. 磋商费用、竞争性磋商公告、竞争性磋商文件的澄清和修改  </w:t>
      </w:r>
    </w:p>
    <w:p>
      <w:pPr>
        <w:autoSpaceDE w:val="0"/>
        <w:autoSpaceDN w:val="0"/>
        <w:snapToGrid w:val="0"/>
        <w:spacing w:line="440" w:lineRule="exact"/>
        <w:textAlignment w:val="bottom"/>
        <w:rPr>
          <w:rFonts w:ascii="宋体" w:hAnsi="宋体" w:cs="Courier New"/>
          <w:kern w:val="0"/>
          <w:szCs w:val="21"/>
        </w:rPr>
      </w:pPr>
      <w:r>
        <w:rPr>
          <w:rFonts w:hint="eastAsia" w:ascii="宋体" w:hAnsi="宋体" w:cs="Courier New"/>
          <w:kern w:val="0"/>
          <w:szCs w:val="21"/>
        </w:rPr>
        <w:t xml:space="preserve">4.1 磋商费用：磋商供应商应自行承担所有与编写和提交竞争性磋商响应文件有关的费用，不论磋商结果如何，采购人和本公司在任何情况下无义务和责任承担此类费用。  </w:t>
      </w:r>
    </w:p>
    <w:p>
      <w:pPr>
        <w:autoSpaceDE w:val="0"/>
        <w:autoSpaceDN w:val="0"/>
        <w:snapToGrid w:val="0"/>
        <w:spacing w:line="440" w:lineRule="exact"/>
        <w:textAlignment w:val="bottom"/>
        <w:rPr>
          <w:rFonts w:ascii="宋体" w:hAnsi="宋体" w:cs="Courier New"/>
          <w:kern w:val="0"/>
          <w:szCs w:val="21"/>
        </w:rPr>
      </w:pPr>
      <w:r>
        <w:rPr>
          <w:rFonts w:hint="eastAsia" w:ascii="宋体" w:hAnsi="宋体" w:cs="Courier New"/>
          <w:kern w:val="0"/>
          <w:szCs w:val="21"/>
        </w:rPr>
        <w:t xml:space="preserve">4.2 竞争性磋商公告：见在http://www.ccgp.gov.cn/（中国政府采购网）、http://www.gxzfcg.gov.cn/ (广西壮族自治区政府采购网)、http://zfcg.czj.gxgg.gov.cn/（贵港市政府采购网）、http://ggggjy.gxgg.gov.cn:9005/(贵港市公共资源交易中心网）上发布。  </w:t>
      </w:r>
    </w:p>
    <w:p>
      <w:pPr>
        <w:autoSpaceDE w:val="0"/>
        <w:autoSpaceDN w:val="0"/>
        <w:snapToGrid w:val="0"/>
        <w:spacing w:line="440" w:lineRule="exact"/>
        <w:textAlignment w:val="bottom"/>
        <w:rPr>
          <w:rFonts w:ascii="宋体" w:hAnsi="宋体" w:cs="Courier New"/>
          <w:kern w:val="0"/>
          <w:szCs w:val="21"/>
        </w:rPr>
      </w:pPr>
      <w:r>
        <w:rPr>
          <w:rFonts w:hint="eastAsia" w:ascii="宋体" w:hAnsi="宋体" w:cs="Courier New"/>
          <w:kern w:val="0"/>
          <w:szCs w:val="21"/>
        </w:rPr>
        <w:t xml:space="preserve">4.3 竞争性磋商文件的澄清和修改：  </w:t>
      </w:r>
    </w:p>
    <w:p>
      <w:pPr>
        <w:autoSpaceDE w:val="0"/>
        <w:autoSpaceDN w:val="0"/>
        <w:snapToGrid w:val="0"/>
        <w:spacing w:line="440" w:lineRule="exact"/>
        <w:textAlignment w:val="bottom"/>
        <w:rPr>
          <w:rFonts w:ascii="宋体" w:hAnsi="宋体" w:cs="Courier New"/>
          <w:kern w:val="0"/>
          <w:szCs w:val="21"/>
        </w:rPr>
      </w:pPr>
      <w:r>
        <w:rPr>
          <w:rFonts w:hint="eastAsia" w:ascii="宋体" w:hAnsi="宋体" w:cs="Courier New"/>
          <w:kern w:val="0"/>
          <w:szCs w:val="21"/>
        </w:rPr>
        <w:t xml:space="preserve">4.3.1 磋商供应商应认真审核《采购需求》中的服务需求及要求，如发现采购需求中服务需求及要求有误或要求不合理的，磋商供应商必须在规定的时间前要求澄清，否则，由此产生的后果由磋商供应商负责 。  </w:t>
      </w:r>
    </w:p>
    <w:p>
      <w:pPr>
        <w:autoSpaceDE w:val="0"/>
        <w:autoSpaceDN w:val="0"/>
        <w:snapToGrid w:val="0"/>
        <w:spacing w:line="440" w:lineRule="exact"/>
        <w:textAlignment w:val="bottom"/>
        <w:rPr>
          <w:rFonts w:ascii="宋体" w:hAnsi="宋体" w:cs="Courier New"/>
          <w:kern w:val="0"/>
          <w:szCs w:val="21"/>
        </w:rPr>
      </w:pPr>
      <w:r>
        <w:rPr>
          <w:rFonts w:hint="eastAsia" w:ascii="宋体" w:hAnsi="宋体" w:cs="Courier New"/>
          <w:kern w:val="0"/>
          <w:szCs w:val="21"/>
        </w:rPr>
        <w:t xml:space="preserve">4.3.2 任何要求澄清竞争性磋商文件的磋商供应商，均应在响应文件递交截止日期三日前的正常工作时间以传真等书面形式通知本公司，同时认定其他澄清方式为无效。本公司将以书面形式予以答复。  </w:t>
      </w:r>
    </w:p>
    <w:p>
      <w:pPr>
        <w:autoSpaceDE w:val="0"/>
        <w:autoSpaceDN w:val="0"/>
        <w:snapToGrid w:val="0"/>
        <w:spacing w:line="440" w:lineRule="exact"/>
        <w:textAlignment w:val="bottom"/>
        <w:rPr>
          <w:rFonts w:ascii="宋体" w:hAnsi="宋体" w:cs="Courier New"/>
          <w:kern w:val="0"/>
          <w:szCs w:val="21"/>
        </w:rPr>
      </w:pPr>
      <w:r>
        <w:rPr>
          <w:rFonts w:hint="eastAsia" w:ascii="宋体" w:hAnsi="宋体" w:cs="Courier New"/>
          <w:kern w:val="0"/>
          <w:szCs w:val="21"/>
        </w:rPr>
        <w:t xml:space="preserve">4.3.3 本公司对已发出的磋商文件进行必要澄清或者修改的，在竞争性磋商文件要求提交竞争性磋商响应文件截止时间五日前（不足五日顺延），在http://www.ccgp.gov.cn/（中国政府采购网）、http://www.gxzfcg.gov.cn/ (广西壮族自治区政府采购网)、http://zfcg.czj.gxgg.gov.cn/（贵港市政府采购网）、http://ggggjy.gxgg.gov.cn:9005/(贵港市公共资源交易中心网）上发布更正公告，并以书面形式通知所有竞争性磋商文件收受人。该澄清或者修改的内容为竞争性磋商文件的组成部分。  </w:t>
      </w:r>
    </w:p>
    <w:p>
      <w:pPr>
        <w:autoSpaceDE w:val="0"/>
        <w:autoSpaceDN w:val="0"/>
        <w:snapToGrid w:val="0"/>
        <w:spacing w:line="440" w:lineRule="exact"/>
        <w:textAlignment w:val="bottom"/>
        <w:rPr>
          <w:rFonts w:ascii="宋体" w:hAnsi="宋体" w:cs="Courier New"/>
          <w:kern w:val="0"/>
          <w:szCs w:val="21"/>
        </w:rPr>
      </w:pPr>
      <w:r>
        <w:rPr>
          <w:rFonts w:hint="eastAsia" w:ascii="宋体" w:hAnsi="宋体" w:cs="Courier New"/>
          <w:kern w:val="0"/>
          <w:szCs w:val="21"/>
        </w:rPr>
        <w:t>4.3.4 本公司可视具体情况，延长响应文件递交截止时间和开标时间。本公司至少在竞争性磋商文件要求提交竞争性磋商响应文件的截止时间一日前，将变更时间书面通知所有竞争性磋商文件收受人，并在</w:t>
      </w:r>
      <w:r>
        <w:rPr>
          <w:rFonts w:hint="eastAsia" w:ascii="宋体" w:hAnsi="宋体" w:cs="宋体"/>
          <w:szCs w:val="21"/>
        </w:rPr>
        <w:t>http://www.ccgp.gov.cn/（中国政府采购网）、http://www.gxzfcg.gov.cn/ (广西壮族自治区政府采购网)、http://zfcg.czj.gxgg.gov.cn/（贵港市政府采购网）、http://ggggjy.gxgg.gov.cn:9005/(贵港市公共资源交易中心网）</w:t>
      </w:r>
      <w:r>
        <w:rPr>
          <w:rFonts w:hint="eastAsia" w:ascii="宋体" w:hAnsi="宋体" w:cs="Courier New"/>
          <w:kern w:val="0"/>
          <w:szCs w:val="21"/>
        </w:rPr>
        <w:t xml:space="preserve">上发布变更公告 。 </w:t>
      </w:r>
    </w:p>
    <w:p>
      <w:pPr>
        <w:pStyle w:val="6"/>
        <w:jc w:val="left"/>
      </w:pPr>
      <w:bookmarkStart w:id="32" w:name="_Toc15991159"/>
      <w:r>
        <w:rPr>
          <w:rFonts w:hint="eastAsia"/>
        </w:rPr>
        <w:t>二、竞争性磋商响应文件的编制</w:t>
      </w:r>
    </w:p>
    <w:p>
      <w:pPr>
        <w:spacing w:line="360" w:lineRule="auto"/>
        <w:ind w:firstLine="310" w:firstLineChars="147"/>
        <w:rPr>
          <w:rFonts w:ascii="宋体" w:hAnsi="宋体"/>
          <w:b/>
          <w:kern w:val="0"/>
          <w:szCs w:val="21"/>
        </w:rPr>
      </w:pPr>
      <w:r>
        <w:rPr>
          <w:rFonts w:hint="eastAsia" w:ascii="宋体" w:hAnsi="宋体"/>
          <w:b/>
          <w:kern w:val="0"/>
          <w:szCs w:val="21"/>
        </w:rPr>
        <w:t xml:space="preserve">5. 竞争性磋商响应文件编制基本要求 </w:t>
      </w:r>
    </w:p>
    <w:p>
      <w:pPr>
        <w:spacing w:line="360" w:lineRule="auto"/>
        <w:ind w:firstLine="315" w:firstLineChars="150"/>
        <w:rPr>
          <w:rFonts w:ascii="宋体" w:hAnsi="宋体"/>
          <w:kern w:val="0"/>
          <w:szCs w:val="21"/>
        </w:rPr>
      </w:pPr>
      <w:r>
        <w:rPr>
          <w:rFonts w:hint="eastAsia" w:ascii="宋体" w:hAnsi="宋体"/>
          <w:kern w:val="0"/>
          <w:szCs w:val="21"/>
        </w:rPr>
        <w:t xml:space="preserve">5.1 磋商供应商对竞争性磋商响应文件的编制应按要求装订和封装。  </w:t>
      </w:r>
    </w:p>
    <w:p>
      <w:pPr>
        <w:spacing w:line="360" w:lineRule="auto"/>
        <w:ind w:firstLine="315" w:firstLineChars="150"/>
        <w:rPr>
          <w:rFonts w:ascii="宋体" w:hAnsi="宋体"/>
          <w:kern w:val="0"/>
          <w:szCs w:val="21"/>
        </w:rPr>
      </w:pPr>
      <w:r>
        <w:rPr>
          <w:rFonts w:hint="eastAsia" w:ascii="宋体" w:hAnsi="宋体"/>
          <w:kern w:val="0"/>
          <w:szCs w:val="21"/>
        </w:rPr>
        <w:t xml:space="preserve">5.2 磋商供应商提交的竞争性磋商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  </w:t>
      </w:r>
    </w:p>
    <w:p>
      <w:pPr>
        <w:spacing w:line="360" w:lineRule="auto"/>
        <w:ind w:firstLine="315" w:firstLineChars="150"/>
        <w:rPr>
          <w:rFonts w:ascii="宋体" w:hAnsi="宋体"/>
          <w:kern w:val="0"/>
          <w:szCs w:val="21"/>
        </w:rPr>
      </w:pPr>
      <w:r>
        <w:rPr>
          <w:rFonts w:hint="eastAsia" w:ascii="宋体" w:hAnsi="宋体"/>
          <w:kern w:val="0"/>
          <w:szCs w:val="21"/>
        </w:rPr>
        <w:t xml:space="preserve">5.3 磋商供应商应认真阅读、并充分理解本文件的全部内容（包括所有的澄清、更改、补充、答疑等内容），承诺并履行本文件中各项条款规定及要求 。  </w:t>
      </w:r>
    </w:p>
    <w:p>
      <w:pPr>
        <w:spacing w:line="360" w:lineRule="auto"/>
        <w:ind w:firstLine="315" w:firstLineChars="150"/>
        <w:rPr>
          <w:rFonts w:ascii="宋体" w:hAnsi="宋体"/>
          <w:kern w:val="0"/>
          <w:szCs w:val="21"/>
        </w:rPr>
      </w:pPr>
      <w:r>
        <w:rPr>
          <w:rFonts w:hint="eastAsia" w:ascii="宋体" w:hAnsi="宋体"/>
          <w:kern w:val="0"/>
          <w:szCs w:val="21"/>
        </w:rPr>
        <w:t>5.4 竞争性磋商响应文件必须按本文件的全部内容，包括所有的澄清、更改、补充、答疑等内容及附件进行编制。</w:t>
      </w:r>
    </w:p>
    <w:p>
      <w:pPr>
        <w:spacing w:line="360" w:lineRule="auto"/>
        <w:ind w:firstLine="315" w:firstLineChars="150"/>
        <w:rPr>
          <w:rFonts w:ascii="宋体" w:hAnsi="宋体"/>
          <w:kern w:val="0"/>
          <w:szCs w:val="21"/>
        </w:rPr>
      </w:pPr>
      <w:r>
        <w:rPr>
          <w:rFonts w:hint="eastAsia" w:ascii="宋体" w:hAnsi="宋体"/>
          <w:kern w:val="0"/>
          <w:szCs w:val="21"/>
        </w:rPr>
        <w:t xml:space="preserve">5.5 如因磋商供应商只填写和提供了本文件要求的部分内容和附件，而给磋商小组评审造成困难，其可能导致的结果和责任由磋商供应商自行承担。 </w:t>
      </w:r>
    </w:p>
    <w:p>
      <w:pPr>
        <w:spacing w:line="360" w:lineRule="auto"/>
        <w:ind w:firstLine="315" w:firstLineChars="150"/>
        <w:rPr>
          <w:rFonts w:ascii="宋体" w:hAnsi="宋体"/>
          <w:kern w:val="0"/>
          <w:szCs w:val="21"/>
        </w:rPr>
      </w:pPr>
      <w:r>
        <w:rPr>
          <w:rFonts w:hint="eastAsia" w:ascii="宋体" w:hAnsi="宋体"/>
          <w:kern w:val="0"/>
          <w:szCs w:val="21"/>
        </w:rPr>
        <w:t xml:space="preserve">5.6 竞争性磋商响应文件的组成：竞争性磋商响应文件应分为商务及资格文件和技术文件两个部分组成（要求装订成一本）。 </w:t>
      </w:r>
    </w:p>
    <w:p>
      <w:pPr>
        <w:spacing w:line="420" w:lineRule="exact"/>
        <w:ind w:firstLine="315" w:firstLineChars="150"/>
        <w:rPr>
          <w:rFonts w:ascii="宋体" w:hAnsi="宋体"/>
          <w:kern w:val="0"/>
          <w:szCs w:val="21"/>
        </w:rPr>
      </w:pPr>
      <w:r>
        <w:rPr>
          <w:rFonts w:hint="eastAsia" w:ascii="宋体" w:hAnsi="宋体"/>
          <w:kern w:val="0"/>
          <w:szCs w:val="21"/>
        </w:rPr>
        <w:t>5.6.1 商务及资格、技术文件</w:t>
      </w:r>
    </w:p>
    <w:p>
      <w:pPr>
        <w:tabs>
          <w:tab w:val="left" w:pos="3870"/>
          <w:tab w:val="left" w:pos="4085"/>
        </w:tabs>
        <w:snapToGrid w:val="0"/>
        <w:spacing w:line="360" w:lineRule="auto"/>
        <w:jc w:val="left"/>
        <w:rPr>
          <w:rFonts w:ascii="宋体" w:hAnsi="宋体"/>
          <w:b/>
          <w:kern w:val="0"/>
          <w:szCs w:val="21"/>
        </w:rPr>
      </w:pPr>
      <w:r>
        <w:rPr>
          <w:rFonts w:ascii="_5b8b_4f53" w:hAnsi="_5b8b_4f53" w:eastAsia="_5b8b_4f53" w:cs="_5b8b_4f53"/>
          <w:sz w:val="27"/>
          <w:szCs w:val="27"/>
          <w:shd w:val="clear" w:color="auto" w:fill="FFFFFF"/>
        </w:rPr>
        <w:t>▲</w:t>
      </w:r>
      <w:r>
        <w:rPr>
          <w:rFonts w:hint="eastAsia" w:ascii="宋体" w:hAnsi="宋体"/>
          <w:kern w:val="0"/>
          <w:szCs w:val="21"/>
        </w:rPr>
        <w:t>（1）磋商书；</w:t>
      </w:r>
      <w:r>
        <w:rPr>
          <w:rFonts w:hint="eastAsia" w:ascii="宋体" w:hAnsi="宋体"/>
          <w:szCs w:val="21"/>
        </w:rPr>
        <w:t>（必须提供）</w:t>
      </w:r>
    </w:p>
    <w:p>
      <w:pPr>
        <w:spacing w:line="360" w:lineRule="auto"/>
        <w:rPr>
          <w:rFonts w:ascii="宋体" w:hAnsi="宋体"/>
          <w:kern w:val="0"/>
          <w:szCs w:val="21"/>
        </w:rPr>
      </w:pPr>
      <w:r>
        <w:rPr>
          <w:rFonts w:ascii="_5b8b_4f53" w:hAnsi="_5b8b_4f53" w:eastAsia="_5b8b_4f53" w:cs="_5b8b_4f53"/>
          <w:sz w:val="27"/>
          <w:szCs w:val="27"/>
          <w:shd w:val="clear" w:color="auto" w:fill="FFFFFF"/>
        </w:rPr>
        <w:t>▲</w:t>
      </w:r>
      <w:r>
        <w:rPr>
          <w:rFonts w:hint="eastAsia" w:ascii="宋体" w:hAnsi="宋体"/>
          <w:kern w:val="0"/>
          <w:szCs w:val="21"/>
        </w:rPr>
        <w:t>（2）报价表；</w:t>
      </w:r>
      <w:r>
        <w:rPr>
          <w:rFonts w:hint="eastAsia" w:ascii="宋体" w:hAnsi="宋体"/>
          <w:szCs w:val="21"/>
        </w:rPr>
        <w:t>（必须提供）</w:t>
      </w:r>
    </w:p>
    <w:p>
      <w:pPr>
        <w:tabs>
          <w:tab w:val="left" w:pos="373"/>
        </w:tabs>
        <w:spacing w:line="360" w:lineRule="auto"/>
        <w:rPr>
          <w:rFonts w:ascii="宋体" w:hAnsi="宋体"/>
          <w:kern w:val="0"/>
          <w:szCs w:val="21"/>
        </w:rPr>
      </w:pPr>
      <w:r>
        <w:rPr>
          <w:rFonts w:ascii="_5b8b_4f53" w:hAnsi="_5b8b_4f53" w:eastAsia="_5b8b_4f53" w:cs="_5b8b_4f53"/>
          <w:sz w:val="27"/>
          <w:szCs w:val="27"/>
          <w:shd w:val="clear" w:color="auto" w:fill="FFFFFF"/>
        </w:rPr>
        <w:t>▲</w:t>
      </w:r>
      <w:r>
        <w:rPr>
          <w:rFonts w:hint="eastAsia" w:ascii="宋体" w:hAnsi="宋体"/>
          <w:kern w:val="0"/>
          <w:szCs w:val="21"/>
        </w:rPr>
        <w:t>（3）营业执照副本复印件（必须提供）</w:t>
      </w:r>
    </w:p>
    <w:p>
      <w:pPr>
        <w:spacing w:line="360" w:lineRule="auto"/>
        <w:rPr>
          <w:rFonts w:ascii="宋体" w:hAnsi="宋体"/>
          <w:kern w:val="0"/>
          <w:szCs w:val="21"/>
        </w:rPr>
      </w:pPr>
      <w:r>
        <w:rPr>
          <w:rFonts w:ascii="_5b8b_4f53" w:hAnsi="_5b8b_4f53" w:eastAsia="_5b8b_4f53" w:cs="_5b8b_4f53"/>
          <w:sz w:val="27"/>
          <w:szCs w:val="27"/>
          <w:shd w:val="clear" w:color="auto" w:fill="FFFFFF"/>
        </w:rPr>
        <w:t>▲</w:t>
      </w:r>
      <w:r>
        <w:rPr>
          <w:rFonts w:hint="eastAsia" w:ascii="宋体" w:hAnsi="宋体"/>
          <w:kern w:val="0"/>
          <w:szCs w:val="21"/>
        </w:rPr>
        <w:t>（4）法定代表人身份证复印件（必须提供）</w:t>
      </w:r>
    </w:p>
    <w:p>
      <w:pPr>
        <w:spacing w:line="360" w:lineRule="auto"/>
        <w:rPr>
          <w:rFonts w:ascii="宋体" w:hAnsi="宋体"/>
          <w:kern w:val="0"/>
          <w:szCs w:val="21"/>
        </w:rPr>
      </w:pPr>
      <w:r>
        <w:rPr>
          <w:rFonts w:ascii="_5b8b_4f53" w:hAnsi="_5b8b_4f53" w:eastAsia="_5b8b_4f53" w:cs="_5b8b_4f53"/>
          <w:sz w:val="27"/>
          <w:szCs w:val="27"/>
          <w:shd w:val="clear" w:color="auto" w:fill="FFFFFF"/>
        </w:rPr>
        <w:t>▲</w:t>
      </w:r>
      <w:r>
        <w:rPr>
          <w:rFonts w:hint="eastAsia" w:ascii="宋体" w:hAnsi="宋体"/>
          <w:kern w:val="0"/>
          <w:szCs w:val="21"/>
        </w:rPr>
        <w:t>（5）法定代表人授权委托书原件和委托代理人身份证复印件（委托代理时必须提供）；</w:t>
      </w:r>
    </w:p>
    <w:p>
      <w:pPr>
        <w:pStyle w:val="2"/>
        <w:spacing w:line="360" w:lineRule="auto"/>
      </w:pPr>
      <w:r>
        <w:rPr>
          <w:rFonts w:hint="eastAsia"/>
        </w:rPr>
        <w:t>▲（6）贵港市政府采购项目投标资格承诺函（必须提供，加盖投标单位公章）；</w:t>
      </w:r>
    </w:p>
    <w:p>
      <w:pPr>
        <w:spacing w:line="360" w:lineRule="auto"/>
        <w:rPr>
          <w:rFonts w:ascii="宋体" w:hAnsi="宋体"/>
          <w:szCs w:val="21"/>
        </w:rPr>
      </w:pPr>
      <w:r>
        <w:rPr>
          <w:rFonts w:ascii="_5b8b_4f53" w:hAnsi="_5b8b_4f53" w:eastAsia="_5b8b_4f53" w:cs="_5b8b_4f53"/>
          <w:sz w:val="27"/>
          <w:szCs w:val="27"/>
          <w:shd w:val="clear" w:color="auto" w:fill="FFFFFF"/>
        </w:rPr>
        <w:t>▲</w:t>
      </w:r>
      <w:r>
        <w:rPr>
          <w:rFonts w:hint="eastAsia" w:ascii="宋体" w:hAnsi="宋体"/>
          <w:kern w:val="0"/>
          <w:szCs w:val="21"/>
        </w:rPr>
        <w:t>（7）</w:t>
      </w:r>
      <w:r>
        <w:rPr>
          <w:rFonts w:hint="eastAsia" w:ascii="宋体" w:hAnsi="宋体"/>
          <w:szCs w:val="21"/>
        </w:rPr>
        <w:t>参加政府采购活动前三年内在经营活动中没有重大违法记录和不良信用记录的书面声明（格式自拟）；（必须提供）</w:t>
      </w:r>
    </w:p>
    <w:p>
      <w:pPr>
        <w:spacing w:line="420" w:lineRule="exact"/>
      </w:pPr>
      <w:r>
        <w:rPr>
          <w:rFonts w:hint="eastAsia" w:ascii="宋体" w:hAnsi="宋体"/>
          <w:kern w:val="0"/>
          <w:szCs w:val="21"/>
        </w:rPr>
        <w:t>（8）相关行业类似项目业绩，提供中标通知书或合同复印件；（如有请提供）</w:t>
      </w:r>
    </w:p>
    <w:p>
      <w:pPr>
        <w:spacing w:line="420" w:lineRule="exact"/>
        <w:rPr>
          <w:rFonts w:ascii="宋体" w:hAnsi="宋体"/>
          <w:kern w:val="0"/>
          <w:szCs w:val="21"/>
        </w:rPr>
      </w:pPr>
      <w:r>
        <w:rPr>
          <w:rFonts w:hint="eastAsia" w:ascii="宋体" w:hAnsi="宋体"/>
          <w:kern w:val="0"/>
          <w:szCs w:val="21"/>
        </w:rPr>
        <w:t>（9）拟投入项目人员相关材料及获得的证书等；（如有请提供）</w:t>
      </w:r>
    </w:p>
    <w:p>
      <w:pPr>
        <w:spacing w:line="420" w:lineRule="exact"/>
        <w:rPr>
          <w:rFonts w:ascii="宋体" w:hAnsi="宋体"/>
          <w:kern w:val="0"/>
          <w:szCs w:val="21"/>
        </w:rPr>
      </w:pPr>
      <w:r>
        <w:rPr>
          <w:rFonts w:hint="eastAsia" w:ascii="宋体" w:hAnsi="宋体"/>
          <w:kern w:val="0"/>
          <w:szCs w:val="21"/>
        </w:rPr>
        <w:t>（10）相关服务获奖证书；（如有请提供）</w:t>
      </w:r>
    </w:p>
    <w:p>
      <w:pPr>
        <w:spacing w:line="420" w:lineRule="exact"/>
        <w:rPr>
          <w:rFonts w:ascii="宋体" w:hAnsi="宋体"/>
          <w:kern w:val="0"/>
          <w:szCs w:val="21"/>
        </w:rPr>
      </w:pPr>
      <w:r>
        <w:rPr>
          <w:rFonts w:hint="eastAsia" w:ascii="宋体" w:hAnsi="宋体"/>
          <w:kern w:val="0"/>
          <w:szCs w:val="21"/>
        </w:rPr>
        <w:t xml:space="preserve">（11）其它需要提供的证明材料。 （如有请提供）  </w:t>
      </w:r>
    </w:p>
    <w:p>
      <w:pPr>
        <w:spacing w:line="420" w:lineRule="exact"/>
        <w:ind w:left="735"/>
        <w:rPr>
          <w:rFonts w:ascii="宋体" w:hAnsi="宋体"/>
          <w:kern w:val="0"/>
          <w:szCs w:val="21"/>
        </w:rPr>
      </w:pPr>
      <w:r>
        <w:rPr>
          <w:rFonts w:hint="eastAsia" w:ascii="宋体" w:hAnsi="宋体"/>
          <w:kern w:val="0"/>
          <w:szCs w:val="21"/>
        </w:rPr>
        <w:t xml:space="preserve">5.6.2技术文件 </w:t>
      </w:r>
    </w:p>
    <w:p>
      <w:pPr>
        <w:spacing w:line="360" w:lineRule="auto"/>
        <w:rPr>
          <w:rFonts w:ascii="宋体" w:hAnsi="宋体"/>
          <w:kern w:val="0"/>
          <w:szCs w:val="21"/>
        </w:rPr>
      </w:pPr>
      <w:r>
        <w:rPr>
          <w:rFonts w:ascii="_5b8b_4f53" w:hAnsi="_5b8b_4f53" w:eastAsia="_5b8b_4f53" w:cs="_5b8b_4f53"/>
          <w:sz w:val="27"/>
          <w:szCs w:val="27"/>
          <w:shd w:val="clear" w:color="auto" w:fill="FFFFFF"/>
        </w:rPr>
        <w:t>▲</w:t>
      </w:r>
      <w:r>
        <w:rPr>
          <w:rFonts w:hint="eastAsia" w:ascii="宋体" w:hAnsi="宋体"/>
          <w:kern w:val="0"/>
          <w:szCs w:val="21"/>
        </w:rPr>
        <w:t>（1）技术响应及偏离情况说明表；（详见竞争性磋商响应文件格式，必须提供）</w:t>
      </w:r>
    </w:p>
    <w:p>
      <w:pPr>
        <w:spacing w:line="440" w:lineRule="exact"/>
        <w:ind w:left="105" w:firstLine="57"/>
        <w:rPr>
          <w:rFonts w:ascii="宋体" w:hAnsi="宋体"/>
          <w:kern w:val="0"/>
          <w:szCs w:val="21"/>
        </w:rPr>
      </w:pPr>
      <w:r>
        <w:rPr>
          <w:rFonts w:ascii="_5b8b_4f53" w:hAnsi="_5b8b_4f53" w:eastAsia="_5b8b_4f53" w:cs="_5b8b_4f53"/>
          <w:sz w:val="27"/>
          <w:szCs w:val="27"/>
          <w:shd w:val="clear" w:color="auto" w:fill="FFFFFF"/>
        </w:rPr>
        <w:t>▲</w:t>
      </w:r>
      <w:r>
        <w:rPr>
          <w:rFonts w:hint="eastAsia" w:ascii="宋体" w:hAnsi="宋体"/>
          <w:kern w:val="0"/>
          <w:szCs w:val="21"/>
        </w:rPr>
        <w:t>（2）项目技术方案；（必须提供）</w:t>
      </w:r>
    </w:p>
    <w:p>
      <w:pPr>
        <w:spacing w:line="440" w:lineRule="exact"/>
        <w:ind w:left="105" w:firstLine="57"/>
        <w:rPr>
          <w:rFonts w:ascii="宋体" w:hAnsi="宋体"/>
          <w:kern w:val="0"/>
          <w:szCs w:val="21"/>
        </w:rPr>
      </w:pPr>
      <w:r>
        <w:rPr>
          <w:rFonts w:hint="eastAsia" w:ascii="宋体" w:hAnsi="宋体"/>
          <w:kern w:val="0"/>
          <w:szCs w:val="21"/>
        </w:rPr>
        <w:t>（3）</w:t>
      </w:r>
      <w:r>
        <w:rPr>
          <w:rFonts w:ascii="宋体" w:hAnsi="宋体"/>
          <w:szCs w:val="21"/>
        </w:rPr>
        <w:t>服务质量承诺；</w:t>
      </w:r>
      <w:r>
        <w:rPr>
          <w:rFonts w:hint="eastAsia" w:ascii="宋体" w:hAnsi="宋体"/>
          <w:kern w:val="0"/>
          <w:szCs w:val="21"/>
        </w:rPr>
        <w:t>（如有请提供）</w:t>
      </w:r>
    </w:p>
    <w:p>
      <w:pPr>
        <w:spacing w:line="440" w:lineRule="exact"/>
        <w:ind w:left="105" w:firstLine="266" w:firstLineChars="127"/>
        <w:rPr>
          <w:rFonts w:ascii="宋体" w:hAnsi="宋体"/>
          <w:kern w:val="0"/>
          <w:szCs w:val="21"/>
        </w:rPr>
      </w:pPr>
      <w:r>
        <w:rPr>
          <w:rFonts w:hint="eastAsia" w:ascii="宋体" w:hAnsi="宋体"/>
          <w:kern w:val="0"/>
          <w:szCs w:val="21"/>
        </w:rPr>
        <w:t>（4）投标人对本项目的其他服务方案；（如有请提供）</w:t>
      </w:r>
    </w:p>
    <w:p>
      <w:pPr>
        <w:spacing w:line="440" w:lineRule="exact"/>
        <w:ind w:firstLine="420" w:firstLineChars="200"/>
        <w:rPr>
          <w:rFonts w:ascii="宋体" w:hAnsi="宋体"/>
          <w:kern w:val="0"/>
          <w:szCs w:val="21"/>
        </w:rPr>
      </w:pPr>
      <w:r>
        <w:rPr>
          <w:rFonts w:hint="eastAsia" w:ascii="宋体" w:hAnsi="宋体"/>
          <w:kern w:val="0"/>
          <w:szCs w:val="21"/>
        </w:rPr>
        <w:t>（5）本招标文件要求提供的其他资料和需要说明的问题。</w:t>
      </w:r>
    </w:p>
    <w:p>
      <w:pPr>
        <w:spacing w:line="360" w:lineRule="auto"/>
        <w:ind w:left="162"/>
        <w:rPr>
          <w:rFonts w:ascii="宋体" w:hAnsi="宋体"/>
          <w:szCs w:val="21"/>
        </w:rPr>
      </w:pPr>
      <w:r>
        <w:rPr>
          <w:rFonts w:hint="eastAsia" w:ascii="宋体" w:hAnsi="宋体"/>
          <w:szCs w:val="21"/>
        </w:rPr>
        <w:t>（以上文件均需磋商供应商盖章确认(扫描件无效)，竞争性磋商文件要求“▲”及“必须提供”的证明等材料，磋商供应商必须全部提供，如缺则磋商无效）</w:t>
      </w:r>
    </w:p>
    <w:p>
      <w:pPr>
        <w:spacing w:line="360" w:lineRule="auto"/>
        <w:rPr>
          <w:rFonts w:ascii="宋体" w:hAnsi="宋体"/>
          <w:b/>
          <w:kern w:val="0"/>
          <w:szCs w:val="21"/>
        </w:rPr>
      </w:pPr>
      <w:r>
        <w:rPr>
          <w:rFonts w:hint="eastAsia" w:ascii="宋体" w:hAnsi="宋体"/>
          <w:b/>
          <w:kern w:val="0"/>
          <w:szCs w:val="21"/>
        </w:rPr>
        <w:t xml:space="preserve">6. 计量单位  </w:t>
      </w:r>
    </w:p>
    <w:p>
      <w:pPr>
        <w:spacing w:line="360" w:lineRule="auto"/>
        <w:ind w:firstLine="315" w:firstLineChars="150"/>
        <w:rPr>
          <w:rFonts w:ascii="宋体" w:hAnsi="宋体"/>
          <w:kern w:val="0"/>
          <w:szCs w:val="21"/>
        </w:rPr>
      </w:pPr>
      <w:r>
        <w:rPr>
          <w:rFonts w:hint="eastAsia" w:ascii="宋体" w:hAnsi="宋体"/>
          <w:kern w:val="0"/>
          <w:szCs w:val="21"/>
        </w:rPr>
        <w:t xml:space="preserve">6.1 除技术要求中另有规定外，本文件所要求使用的计量单位均应采用国家法定计量单位。 </w:t>
      </w:r>
    </w:p>
    <w:p>
      <w:pPr>
        <w:pStyle w:val="6"/>
      </w:pPr>
      <w:r>
        <w:rPr>
          <w:rFonts w:hint="eastAsia"/>
        </w:rPr>
        <w:t xml:space="preserve">三、报价要求 </w:t>
      </w:r>
    </w:p>
    <w:p>
      <w:pPr>
        <w:spacing w:line="360" w:lineRule="auto"/>
        <w:ind w:firstLine="315" w:firstLineChars="150"/>
        <w:rPr>
          <w:rFonts w:ascii="宋体" w:hAnsi="宋体"/>
          <w:kern w:val="0"/>
          <w:szCs w:val="21"/>
        </w:rPr>
      </w:pPr>
      <w:r>
        <w:rPr>
          <w:rFonts w:hint="eastAsia" w:ascii="宋体" w:hAnsi="宋体"/>
          <w:kern w:val="0"/>
          <w:szCs w:val="21"/>
        </w:rPr>
        <w:t xml:space="preserve">7.1 成交供应商负责本项目所需培训服务及售后服务等全部工作。  </w:t>
      </w:r>
    </w:p>
    <w:p>
      <w:pPr>
        <w:spacing w:line="360" w:lineRule="auto"/>
        <w:ind w:firstLine="315" w:firstLineChars="150"/>
        <w:rPr>
          <w:rFonts w:ascii="宋体" w:hAnsi="宋体"/>
          <w:kern w:val="0"/>
          <w:szCs w:val="21"/>
        </w:rPr>
      </w:pPr>
      <w:r>
        <w:rPr>
          <w:rFonts w:hint="eastAsia" w:ascii="宋体" w:hAnsi="宋体"/>
          <w:kern w:val="0"/>
          <w:szCs w:val="21"/>
        </w:rPr>
        <w:t xml:space="preserve">7.2对不同文字文本竞争性磋商响应文件的解释发生异议的，以中文文本为准。除上述原因以外，如果因磋商供应商原因引起的报价失误，并在磋商时被接受，其后果由磋商供应商自负 。  </w:t>
      </w:r>
    </w:p>
    <w:p>
      <w:pPr>
        <w:spacing w:line="360" w:lineRule="auto"/>
        <w:ind w:firstLine="315" w:firstLineChars="150"/>
        <w:rPr>
          <w:rFonts w:ascii="宋体" w:hAnsi="宋体"/>
          <w:kern w:val="0"/>
          <w:szCs w:val="21"/>
        </w:rPr>
      </w:pPr>
      <w:r>
        <w:rPr>
          <w:rFonts w:hint="eastAsia" w:ascii="宋体" w:hAnsi="宋体"/>
          <w:kern w:val="0"/>
          <w:szCs w:val="21"/>
        </w:rPr>
        <w:t>7.3 报价：</w:t>
      </w:r>
    </w:p>
    <w:p>
      <w:pPr>
        <w:spacing w:line="360" w:lineRule="auto"/>
        <w:ind w:firstLine="315" w:firstLineChars="150"/>
        <w:rPr>
          <w:rFonts w:ascii="宋体" w:hAnsi="宋体"/>
          <w:kern w:val="0"/>
          <w:szCs w:val="21"/>
        </w:rPr>
      </w:pPr>
      <w:r>
        <w:rPr>
          <w:rFonts w:hint="eastAsia" w:ascii="宋体" w:hAnsi="宋体"/>
          <w:kern w:val="0"/>
          <w:szCs w:val="21"/>
        </w:rPr>
        <w:t>7.3.1.本项目磋商应以人民币报价；</w:t>
      </w:r>
    </w:p>
    <w:p>
      <w:pPr>
        <w:spacing w:line="360" w:lineRule="auto"/>
        <w:ind w:firstLine="315" w:firstLineChars="150"/>
        <w:rPr>
          <w:rFonts w:ascii="宋体" w:hAnsi="宋体"/>
          <w:kern w:val="0"/>
          <w:szCs w:val="21"/>
        </w:rPr>
      </w:pPr>
      <w:r>
        <w:rPr>
          <w:rFonts w:hint="eastAsia" w:ascii="宋体" w:hAnsi="宋体"/>
          <w:kern w:val="0"/>
          <w:szCs w:val="21"/>
        </w:rPr>
        <w:t>7.3.2.不论磋商结果如何，磋商供应商均应自行承担所有与磋商有关的全部费用；</w:t>
      </w:r>
    </w:p>
    <w:bookmarkEnd w:id="32"/>
    <w:p>
      <w:pPr>
        <w:pStyle w:val="6"/>
        <w:jc w:val="left"/>
      </w:pPr>
      <w:r>
        <w:rPr>
          <w:rFonts w:hint="eastAsia"/>
        </w:rPr>
        <w:t>四、竞争性磋商响应文件的签署、份数、封装和递交</w:t>
      </w:r>
    </w:p>
    <w:p>
      <w:pPr>
        <w:spacing w:line="360" w:lineRule="auto"/>
        <w:ind w:firstLine="315" w:firstLineChars="150"/>
        <w:rPr>
          <w:rFonts w:ascii="宋体" w:hAnsi="宋体"/>
          <w:bCs/>
          <w:kern w:val="0"/>
          <w:szCs w:val="21"/>
        </w:rPr>
      </w:pPr>
      <w:r>
        <w:rPr>
          <w:rFonts w:hint="eastAsia" w:ascii="宋体" w:hAnsi="宋体"/>
          <w:bCs/>
          <w:kern w:val="0"/>
          <w:szCs w:val="21"/>
        </w:rPr>
        <w:t>8. 竞争性磋商响应文件的签署、份数和封装</w:t>
      </w:r>
    </w:p>
    <w:p>
      <w:pPr>
        <w:spacing w:line="360" w:lineRule="auto"/>
        <w:ind w:firstLine="315" w:firstLineChars="150"/>
        <w:rPr>
          <w:rFonts w:ascii="宋体" w:hAnsi="宋体"/>
          <w:kern w:val="0"/>
          <w:szCs w:val="21"/>
        </w:rPr>
      </w:pPr>
      <w:r>
        <w:rPr>
          <w:rFonts w:hint="eastAsia" w:ascii="宋体" w:hAnsi="宋体"/>
          <w:kern w:val="0"/>
          <w:szCs w:val="21"/>
        </w:rPr>
        <w:t xml:space="preserve">8.1 磋商供应商应将竞争性磋商响应文件中“商务资格文件”和“技术文件”装订成一本（两文件相隔之间用封面标识，封面写明“商务及资格文件”、“技术文件”字样）。  </w:t>
      </w:r>
    </w:p>
    <w:p>
      <w:pPr>
        <w:spacing w:line="360" w:lineRule="auto"/>
        <w:ind w:firstLine="210" w:firstLineChars="100"/>
        <w:rPr>
          <w:rFonts w:ascii="宋体" w:hAnsi="宋体"/>
          <w:kern w:val="0"/>
          <w:szCs w:val="21"/>
        </w:rPr>
      </w:pPr>
      <w:r>
        <w:rPr>
          <w:rFonts w:hint="eastAsia" w:ascii="宋体" w:hAnsi="宋体"/>
          <w:kern w:val="0"/>
          <w:szCs w:val="21"/>
        </w:rPr>
        <w:t xml:space="preserve">磋商供应商将竞争性磋商响应文件按正、副本分别装订成册，在每个正、副本封面上标明“正本”或“副本”，以及项目名称、项目编号、磋商供应商名称、地址等内容。采用胶装装订，活页装订或散页的竞争性磋商响应文件将被拒绝。    </w:t>
      </w:r>
    </w:p>
    <w:p>
      <w:pPr>
        <w:spacing w:line="360" w:lineRule="auto"/>
        <w:ind w:firstLine="315" w:firstLineChars="150"/>
        <w:rPr>
          <w:rFonts w:ascii="宋体" w:hAnsi="宋体"/>
          <w:kern w:val="0"/>
          <w:szCs w:val="21"/>
        </w:rPr>
      </w:pPr>
      <w:r>
        <w:rPr>
          <w:rFonts w:hint="eastAsia" w:ascii="宋体" w:hAnsi="宋体"/>
          <w:kern w:val="0"/>
          <w:szCs w:val="21"/>
        </w:rPr>
        <w:t>8.2 磋商供应商应将竞争性磋商响应文件正、副本（正本一份，副本三份）装入到一个竞争性磋商响应文件袋内，封装并加以密封（要求竞争性磋商响应文件袋无明显缝隙露出袋内文件）；</w:t>
      </w:r>
    </w:p>
    <w:p>
      <w:pPr>
        <w:spacing w:line="360" w:lineRule="auto"/>
        <w:ind w:firstLine="315" w:firstLineChars="150"/>
        <w:rPr>
          <w:rFonts w:ascii="宋体" w:hAnsi="宋体"/>
          <w:kern w:val="0"/>
          <w:szCs w:val="21"/>
        </w:rPr>
      </w:pPr>
      <w:r>
        <w:rPr>
          <w:rFonts w:hint="eastAsia" w:ascii="宋体" w:hAnsi="宋体"/>
          <w:kern w:val="0"/>
          <w:szCs w:val="21"/>
        </w:rPr>
        <w:t>8.3竞争性磋商响应文件的正本需打印或用不褪色的墨水填写，竞争性磋商响应文件正本除本竞争性磋商文件规定的可提供复印件外均须提供原件。副本为正本的复印件。</w:t>
      </w:r>
    </w:p>
    <w:p>
      <w:pPr>
        <w:spacing w:line="360" w:lineRule="auto"/>
        <w:ind w:firstLine="315" w:firstLineChars="150"/>
        <w:rPr>
          <w:rFonts w:ascii="宋体" w:hAnsi="宋体"/>
          <w:kern w:val="0"/>
          <w:szCs w:val="21"/>
        </w:rPr>
      </w:pPr>
      <w:r>
        <w:rPr>
          <w:rFonts w:hint="eastAsia" w:ascii="宋体" w:hAnsi="宋体"/>
          <w:kern w:val="0"/>
          <w:szCs w:val="21"/>
        </w:rPr>
        <w:t>8.4竞争性磋商响应文件须由磋商供应商在规定位置盖章并由法定代表人或法定代表人的授权委托人签署，磋商供应商应写全称。</w:t>
      </w:r>
    </w:p>
    <w:p>
      <w:pPr>
        <w:spacing w:line="360" w:lineRule="auto"/>
        <w:ind w:firstLine="315" w:firstLineChars="150"/>
        <w:rPr>
          <w:rFonts w:ascii="宋体" w:hAnsi="宋体"/>
          <w:kern w:val="0"/>
          <w:szCs w:val="21"/>
        </w:rPr>
      </w:pPr>
      <w:r>
        <w:rPr>
          <w:rFonts w:hint="eastAsia" w:ascii="宋体" w:hAnsi="宋体"/>
          <w:kern w:val="0"/>
          <w:szCs w:val="21"/>
        </w:rPr>
        <w:t>8.5竞争性磋商响应文件不得涂改，若有修改错漏处，须加盖单位公章或者法定代表人或授权委托人签字或盖印鉴章。竞争性磋商响应文件因字迹潦草或表达不清所引起的后果由磋商供应商负责。</w:t>
      </w:r>
    </w:p>
    <w:p>
      <w:pPr>
        <w:snapToGrid w:val="0"/>
        <w:spacing w:line="360" w:lineRule="auto"/>
        <w:ind w:firstLine="420"/>
        <w:jc w:val="left"/>
        <w:rPr>
          <w:rFonts w:ascii="宋体" w:hAnsi="宋体"/>
          <w:kern w:val="0"/>
          <w:szCs w:val="21"/>
        </w:rPr>
      </w:pPr>
      <w:r>
        <w:rPr>
          <w:rFonts w:hint="eastAsia" w:ascii="宋体" w:hAnsi="宋体"/>
          <w:kern w:val="0"/>
          <w:szCs w:val="21"/>
        </w:rPr>
        <w:t>8.6未按规定密封或标记的竞争性磋商响应文件将被拒绝，由此造成竞争性磋商响应文件被误投或提前拆封的风险由磋商供应商承担。</w:t>
      </w:r>
    </w:p>
    <w:p>
      <w:pPr>
        <w:snapToGrid w:val="0"/>
        <w:spacing w:line="360" w:lineRule="auto"/>
        <w:ind w:firstLine="420"/>
        <w:jc w:val="left"/>
        <w:rPr>
          <w:rFonts w:ascii="宋体" w:hAnsi="宋体"/>
          <w:kern w:val="0"/>
          <w:szCs w:val="21"/>
        </w:rPr>
      </w:pPr>
      <w:r>
        <w:rPr>
          <w:rFonts w:hint="eastAsia" w:ascii="宋体" w:hAnsi="宋体"/>
          <w:kern w:val="0"/>
          <w:szCs w:val="21"/>
        </w:rPr>
        <w:t>8.7磋商供应商在磋商截止时间之前，可以对已提交的竞争性磋商响应文件进行修改或撤回，并书面通知采购人；修改后重新递交的竞争性磋商响应文件应当按本竞争性磋商文件的要求签署、盖章和密封。磋商截止时间后，磋商供应商不得撤回、修改竞争性磋商响应文件。</w:t>
      </w:r>
    </w:p>
    <w:p>
      <w:pPr>
        <w:spacing w:line="360" w:lineRule="auto"/>
        <w:ind w:firstLine="315" w:firstLineChars="150"/>
        <w:rPr>
          <w:rFonts w:ascii="宋体" w:hAnsi="宋体"/>
          <w:kern w:val="0"/>
          <w:szCs w:val="21"/>
        </w:rPr>
      </w:pPr>
      <w:r>
        <w:rPr>
          <w:rFonts w:hint="eastAsia" w:ascii="宋体" w:hAnsi="宋体"/>
          <w:kern w:val="0"/>
          <w:szCs w:val="21"/>
        </w:rPr>
        <w:t xml:space="preserve">文件袋外层封面上应写明：  </w:t>
      </w:r>
    </w:p>
    <w:p>
      <w:pPr>
        <w:spacing w:line="360" w:lineRule="auto"/>
        <w:ind w:firstLine="315" w:firstLineChars="150"/>
        <w:rPr>
          <w:rFonts w:ascii="宋体" w:hAnsi="宋体"/>
          <w:kern w:val="0"/>
          <w:szCs w:val="21"/>
        </w:rPr>
      </w:pPr>
      <w:r>
        <w:rPr>
          <w:rFonts w:hint="eastAsia" w:ascii="宋体" w:hAnsi="宋体"/>
          <w:kern w:val="0"/>
          <w:szCs w:val="21"/>
        </w:rPr>
        <w:t>1）采购项目名称；</w:t>
      </w:r>
    </w:p>
    <w:p>
      <w:pPr>
        <w:spacing w:line="360" w:lineRule="auto"/>
        <w:ind w:firstLine="315" w:firstLineChars="150"/>
        <w:rPr>
          <w:rFonts w:ascii="宋体" w:hAnsi="宋体"/>
          <w:kern w:val="0"/>
          <w:szCs w:val="21"/>
        </w:rPr>
      </w:pPr>
      <w:r>
        <w:rPr>
          <w:rFonts w:hint="eastAsia" w:ascii="宋体" w:hAnsi="宋体"/>
          <w:kern w:val="0"/>
          <w:szCs w:val="21"/>
        </w:rPr>
        <w:t>2）采购项目编号；</w:t>
      </w:r>
    </w:p>
    <w:p>
      <w:pPr>
        <w:spacing w:line="360" w:lineRule="auto"/>
        <w:ind w:firstLine="315" w:firstLineChars="150"/>
        <w:rPr>
          <w:rFonts w:ascii="宋体" w:hAnsi="宋体"/>
          <w:kern w:val="0"/>
          <w:szCs w:val="21"/>
        </w:rPr>
      </w:pPr>
      <w:r>
        <w:rPr>
          <w:rFonts w:hint="eastAsia" w:ascii="宋体" w:hAnsi="宋体"/>
          <w:kern w:val="0"/>
          <w:szCs w:val="21"/>
        </w:rPr>
        <w:t>3）磋商供应商名称；</w:t>
      </w:r>
    </w:p>
    <w:p>
      <w:pPr>
        <w:spacing w:line="360" w:lineRule="auto"/>
        <w:ind w:firstLine="315" w:firstLineChars="150"/>
        <w:rPr>
          <w:rFonts w:ascii="宋体" w:hAnsi="宋体"/>
          <w:kern w:val="0"/>
          <w:szCs w:val="21"/>
        </w:rPr>
      </w:pPr>
      <w:r>
        <w:rPr>
          <w:rFonts w:hint="eastAsia" w:ascii="宋体" w:hAnsi="宋体"/>
          <w:kern w:val="0"/>
          <w:szCs w:val="21"/>
        </w:rPr>
        <w:t>4）磋商供应商地址。</w:t>
      </w:r>
    </w:p>
    <w:p>
      <w:pPr>
        <w:spacing w:line="360" w:lineRule="auto"/>
        <w:ind w:firstLine="315" w:firstLineChars="150"/>
        <w:rPr>
          <w:rFonts w:ascii="宋体" w:hAnsi="宋体"/>
          <w:kern w:val="0"/>
          <w:szCs w:val="21"/>
        </w:rPr>
      </w:pPr>
      <w:r>
        <w:rPr>
          <w:rFonts w:hint="eastAsia" w:ascii="宋体" w:hAnsi="宋体"/>
          <w:kern w:val="0"/>
          <w:szCs w:val="21"/>
        </w:rPr>
        <w:t>5）2020年    月   日北京时间    时    分开标，此时间以前不得开封。</w:t>
      </w:r>
    </w:p>
    <w:p>
      <w:pPr>
        <w:spacing w:line="360" w:lineRule="auto"/>
        <w:ind w:firstLine="316" w:firstLineChars="150"/>
        <w:rPr>
          <w:rFonts w:ascii="宋体" w:hAnsi="宋体"/>
          <w:b/>
          <w:kern w:val="0"/>
          <w:szCs w:val="21"/>
        </w:rPr>
      </w:pPr>
      <w:r>
        <w:rPr>
          <w:rFonts w:hint="eastAsia" w:ascii="宋体" w:hAnsi="宋体"/>
          <w:b/>
          <w:kern w:val="0"/>
          <w:szCs w:val="21"/>
        </w:rPr>
        <w:t>9. 竞争性磋商响应文件的递交</w:t>
      </w:r>
    </w:p>
    <w:p>
      <w:pPr>
        <w:spacing w:line="360" w:lineRule="auto"/>
        <w:ind w:firstLine="315" w:firstLineChars="150"/>
        <w:rPr>
          <w:rFonts w:ascii="宋体" w:hAnsi="宋体"/>
          <w:kern w:val="0"/>
          <w:szCs w:val="21"/>
        </w:rPr>
      </w:pPr>
      <w:r>
        <w:rPr>
          <w:rFonts w:hint="eastAsia" w:ascii="宋体" w:hAnsi="宋体"/>
          <w:kern w:val="0"/>
          <w:szCs w:val="21"/>
        </w:rPr>
        <w:t xml:space="preserve">9.1 所有竞争性磋商响应文件应于竞争性磋商文件中规定的时间前递交到本公司指定地点。 </w:t>
      </w:r>
    </w:p>
    <w:p>
      <w:pPr>
        <w:spacing w:line="360" w:lineRule="auto"/>
        <w:ind w:firstLine="315" w:firstLineChars="150"/>
        <w:rPr>
          <w:rFonts w:ascii="宋体" w:hAnsi="宋体"/>
          <w:kern w:val="0"/>
          <w:szCs w:val="21"/>
        </w:rPr>
      </w:pPr>
      <w:r>
        <w:rPr>
          <w:rFonts w:hint="eastAsia" w:ascii="宋体" w:hAnsi="宋体"/>
          <w:kern w:val="0"/>
          <w:szCs w:val="21"/>
        </w:rPr>
        <w:t xml:space="preserve">9.2 竞争性磋商响应文件从响应文件递交截止日期后60天内有效。  </w:t>
      </w:r>
    </w:p>
    <w:p>
      <w:pPr>
        <w:pStyle w:val="6"/>
        <w:ind w:firstLine="420" w:firstLineChars="200"/>
        <w:jc w:val="left"/>
        <w:rPr>
          <w:rFonts w:ascii="宋体" w:hAnsi="宋体" w:cs="宋体"/>
          <w:b w:val="0"/>
        </w:rPr>
      </w:pPr>
      <w:r>
        <w:rPr>
          <w:rFonts w:hint="eastAsia" w:ascii="宋体" w:hAnsi="宋体"/>
          <w:b w:val="0"/>
          <w:kern w:val="0"/>
          <w:sz w:val="21"/>
          <w:szCs w:val="21"/>
        </w:rPr>
        <w:t>9.3</w:t>
      </w:r>
      <w:r>
        <w:rPr>
          <w:rFonts w:hint="eastAsia" w:hAnsi="宋体"/>
          <w:sz w:val="21"/>
        </w:rPr>
        <w:t>：</w:t>
      </w:r>
      <w:r>
        <w:rPr>
          <w:rFonts w:hint="eastAsia" w:ascii="宋体" w:hAnsi="宋体" w:cs="宋体"/>
          <w:b w:val="0"/>
          <w:sz w:val="21"/>
        </w:rPr>
        <w:t>磋商人资格要求</w:t>
      </w:r>
      <w:r>
        <w:rPr>
          <w:rFonts w:hint="eastAsia" w:hAnsi="宋体"/>
          <w:sz w:val="21"/>
        </w:rPr>
        <w:t>：</w:t>
      </w:r>
      <w:r>
        <w:rPr>
          <w:rFonts w:hint="eastAsia" w:ascii="宋体" w:hAnsi="宋体" w:cs="宋体"/>
          <w:b w:val="0"/>
          <w:sz w:val="21"/>
        </w:rPr>
        <w:t>①法定代表人（负责人）参加开标会的，凭本人身份证原件及复印件、营业执照复印件、；②委托代理人参加开标会的，凭法人（负责人）授权委托书原件和其本人身份证原件及复印件、法定代表人（负责人）身份证复印件，属复印件的均须加盖投标人单位公章依时到达参加开标。对无资格证件、证件不齐投标文件将作无效投标处理，其投标文件将在开标会结束后予以退还。</w:t>
      </w:r>
    </w:p>
    <w:p>
      <w:pPr>
        <w:spacing w:line="360" w:lineRule="auto"/>
        <w:ind w:firstLine="316" w:firstLineChars="150"/>
        <w:rPr>
          <w:rFonts w:ascii="宋体" w:hAnsi="宋体"/>
          <w:b/>
          <w:kern w:val="0"/>
          <w:szCs w:val="21"/>
        </w:rPr>
      </w:pPr>
      <w:r>
        <w:rPr>
          <w:rFonts w:hint="eastAsia" w:ascii="宋体" w:hAnsi="宋体"/>
          <w:b/>
          <w:kern w:val="0"/>
          <w:szCs w:val="21"/>
        </w:rPr>
        <w:t xml:space="preserve">10. 迟交的竞争性磋商响应文件 </w:t>
      </w:r>
    </w:p>
    <w:p>
      <w:pPr>
        <w:spacing w:line="360" w:lineRule="auto"/>
        <w:ind w:firstLine="315" w:firstLineChars="150"/>
        <w:rPr>
          <w:rFonts w:ascii="宋体" w:hAnsi="宋体"/>
          <w:kern w:val="0"/>
          <w:szCs w:val="21"/>
        </w:rPr>
      </w:pPr>
      <w:r>
        <w:rPr>
          <w:rFonts w:hint="eastAsia" w:ascii="宋体" w:hAnsi="宋体"/>
          <w:kern w:val="0"/>
          <w:szCs w:val="21"/>
        </w:rPr>
        <w:t>10.1 在本文件要求竞争性磋商响应文件递交截止时间后送达的竞争性磋商响应文件为无效文件，广西乐正工程项目管理有限公司将拒收。</w:t>
      </w:r>
    </w:p>
    <w:p>
      <w:pPr>
        <w:spacing w:line="360" w:lineRule="auto"/>
        <w:ind w:firstLine="422" w:firstLineChars="200"/>
        <w:rPr>
          <w:rFonts w:ascii="宋体" w:hAnsi="宋体"/>
          <w:kern w:val="0"/>
          <w:szCs w:val="21"/>
        </w:rPr>
      </w:pPr>
      <w:r>
        <w:rPr>
          <w:rFonts w:hint="eastAsia" w:ascii="宋体" w:hAnsi="宋体"/>
          <w:b/>
          <w:kern w:val="0"/>
          <w:szCs w:val="21"/>
        </w:rPr>
        <w:t>11.保证金金额</w:t>
      </w:r>
      <w:r>
        <w:rPr>
          <w:rFonts w:hint="eastAsia" w:ascii="宋体" w:hAnsi="宋体"/>
          <w:kern w:val="0"/>
          <w:szCs w:val="21"/>
        </w:rPr>
        <w:t>：</w:t>
      </w:r>
      <w:r>
        <w:rPr>
          <w:rFonts w:hint="eastAsia" w:ascii="宋体" w:hAnsi="宋体"/>
          <w:b/>
          <w:bCs/>
          <w:kern w:val="0"/>
          <w:szCs w:val="21"/>
        </w:rPr>
        <w:t>无</w:t>
      </w:r>
    </w:p>
    <w:p>
      <w:pPr>
        <w:pStyle w:val="6"/>
      </w:pPr>
      <w:r>
        <w:rPr>
          <w:rFonts w:hint="eastAsia"/>
        </w:rPr>
        <w:t>五、磋商程序及评审方法</w:t>
      </w:r>
    </w:p>
    <w:p>
      <w:pPr>
        <w:spacing w:line="360" w:lineRule="auto"/>
        <w:ind w:firstLine="315" w:firstLineChars="150"/>
        <w:rPr>
          <w:rFonts w:ascii="宋体" w:hAnsi="宋体"/>
          <w:kern w:val="0"/>
          <w:szCs w:val="21"/>
        </w:rPr>
      </w:pPr>
      <w:r>
        <w:rPr>
          <w:rFonts w:hint="eastAsia" w:ascii="宋体" w:hAnsi="宋体"/>
          <w:kern w:val="0"/>
          <w:szCs w:val="21"/>
        </w:rPr>
        <w:t>在磋商正式开始前由磋商小组对竞争性磋商文件进行确认，认可竞争性磋商文件的内容符合法律法规的规定、不存在歧视性或排他性内容。</w:t>
      </w:r>
    </w:p>
    <w:p>
      <w:pPr>
        <w:spacing w:line="360" w:lineRule="auto"/>
        <w:ind w:firstLine="315" w:firstLineChars="150"/>
        <w:rPr>
          <w:rFonts w:ascii="宋体" w:hAnsi="宋体"/>
          <w:kern w:val="0"/>
          <w:szCs w:val="21"/>
        </w:rPr>
      </w:pPr>
      <w:r>
        <w:rPr>
          <w:rFonts w:hint="eastAsia" w:ascii="宋体" w:hAnsi="宋体"/>
          <w:kern w:val="0"/>
          <w:szCs w:val="21"/>
        </w:rPr>
        <w:t xml:space="preserve">未实质性响应竞争性磋商文件的竞争性磋商响应文件按无效处理，磋商小组应当告知有关磋商供应商。 </w:t>
      </w:r>
    </w:p>
    <w:p>
      <w:pPr>
        <w:spacing w:line="360" w:lineRule="auto"/>
        <w:ind w:firstLine="316" w:firstLineChars="150"/>
        <w:rPr>
          <w:rFonts w:ascii="宋体" w:hAnsi="宋体"/>
          <w:b/>
          <w:kern w:val="0"/>
          <w:szCs w:val="21"/>
        </w:rPr>
      </w:pPr>
      <w:r>
        <w:rPr>
          <w:rFonts w:hint="eastAsia" w:ascii="宋体" w:hAnsi="宋体"/>
          <w:b/>
          <w:kern w:val="0"/>
          <w:szCs w:val="21"/>
        </w:rPr>
        <w:t xml:space="preserve">12.1 第一轮磋商 </w:t>
      </w:r>
    </w:p>
    <w:p>
      <w:pPr>
        <w:spacing w:line="360" w:lineRule="auto"/>
        <w:ind w:firstLine="315" w:firstLineChars="150"/>
        <w:rPr>
          <w:rFonts w:ascii="宋体" w:hAnsi="宋体"/>
          <w:kern w:val="0"/>
          <w:szCs w:val="21"/>
        </w:rPr>
      </w:pPr>
      <w:r>
        <w:rPr>
          <w:rFonts w:hint="eastAsia" w:ascii="宋体" w:hAnsi="宋体"/>
          <w:kern w:val="0"/>
          <w:szCs w:val="21"/>
        </w:rPr>
        <w:t>磋商时间及地点:详见本须知前附表第8项规定。</w:t>
      </w:r>
    </w:p>
    <w:p>
      <w:pPr>
        <w:spacing w:line="360" w:lineRule="auto"/>
        <w:ind w:firstLine="315" w:firstLineChars="150"/>
        <w:rPr>
          <w:rFonts w:ascii="宋体" w:hAnsi="宋体"/>
          <w:kern w:val="0"/>
          <w:szCs w:val="21"/>
        </w:rPr>
      </w:pPr>
      <w:r>
        <w:rPr>
          <w:rFonts w:hint="eastAsia" w:ascii="宋体" w:hAnsi="宋体"/>
          <w:kern w:val="0"/>
          <w:szCs w:val="21"/>
        </w:rPr>
        <w:t xml:space="preserve">磋商小组对竞争性磋商响应文件进行资格性审查，依据竞争性磋商文件对已通过资格性审核的各竞争性磋商响应文件进行书面评审，审查竞争性磋商响应文件是否实质上响应了竞争性磋商文件的要求，在评审后由磋商小组组长主持，归纳各专家审核意见，形成磋商要点。磋商小组依据磋商要点，与单一磋商供应商分别进行磋商，给予所有参加磋商的磋商供应商平等的磋商机会。 </w:t>
      </w:r>
    </w:p>
    <w:p>
      <w:pPr>
        <w:autoSpaceDE w:val="0"/>
        <w:autoSpaceDN w:val="0"/>
        <w:snapToGrid w:val="0"/>
        <w:spacing w:line="360" w:lineRule="auto"/>
        <w:ind w:firstLine="420" w:firstLineChars="200"/>
        <w:textAlignment w:val="bottom"/>
        <w:rPr>
          <w:rFonts w:ascii="宋体" w:hAnsi="宋体"/>
          <w:kern w:val="0"/>
          <w:szCs w:val="21"/>
        </w:rPr>
      </w:pPr>
      <w:r>
        <w:rPr>
          <w:rFonts w:hint="eastAsia" w:ascii="宋体" w:hAnsi="宋体"/>
          <w:kern w:val="0"/>
          <w:szCs w:val="21"/>
        </w:rPr>
        <w:t>磋商主要内容及程序：</w:t>
      </w:r>
    </w:p>
    <w:p>
      <w:pPr>
        <w:spacing w:line="360" w:lineRule="auto"/>
        <w:ind w:firstLine="315" w:firstLineChars="150"/>
        <w:rPr>
          <w:rFonts w:ascii="宋体" w:hAnsi="宋体"/>
          <w:kern w:val="0"/>
          <w:szCs w:val="21"/>
        </w:rPr>
      </w:pPr>
      <w:r>
        <w:rPr>
          <w:rFonts w:hint="eastAsia" w:ascii="宋体" w:hAnsi="宋体"/>
          <w:kern w:val="0"/>
          <w:szCs w:val="21"/>
        </w:rPr>
        <w:t xml:space="preserve">1. 就对本项目各类报价进行磋商； </w:t>
      </w:r>
    </w:p>
    <w:p>
      <w:pPr>
        <w:spacing w:line="360" w:lineRule="auto"/>
        <w:ind w:firstLine="315" w:firstLineChars="150"/>
        <w:rPr>
          <w:rFonts w:ascii="宋体" w:hAnsi="宋体"/>
          <w:kern w:val="0"/>
          <w:szCs w:val="21"/>
        </w:rPr>
      </w:pPr>
      <w:r>
        <w:rPr>
          <w:rFonts w:hint="eastAsia" w:ascii="宋体" w:hAnsi="宋体"/>
          <w:kern w:val="0"/>
          <w:szCs w:val="21"/>
        </w:rPr>
        <w:t>2. 就对本项目实施方案进行磋商；</w:t>
      </w:r>
    </w:p>
    <w:p>
      <w:pPr>
        <w:spacing w:line="360" w:lineRule="auto"/>
        <w:ind w:firstLine="315" w:firstLineChars="150"/>
        <w:rPr>
          <w:rFonts w:ascii="宋体" w:hAnsi="宋体"/>
          <w:kern w:val="0"/>
          <w:szCs w:val="21"/>
        </w:rPr>
      </w:pPr>
      <w:r>
        <w:rPr>
          <w:rFonts w:hint="eastAsia" w:ascii="宋体" w:hAnsi="宋体"/>
          <w:kern w:val="0"/>
          <w:szCs w:val="21"/>
        </w:rPr>
        <w:t>3. 就对本项目的服务承诺进行磋商；</w:t>
      </w:r>
    </w:p>
    <w:p>
      <w:pPr>
        <w:spacing w:line="360" w:lineRule="auto"/>
        <w:ind w:firstLine="315" w:firstLineChars="150"/>
        <w:rPr>
          <w:rFonts w:ascii="宋体" w:hAnsi="宋体"/>
          <w:kern w:val="0"/>
          <w:szCs w:val="21"/>
        </w:rPr>
      </w:pPr>
      <w:r>
        <w:rPr>
          <w:rFonts w:hint="eastAsia" w:ascii="宋体" w:hAnsi="宋体"/>
          <w:kern w:val="0"/>
          <w:szCs w:val="21"/>
        </w:rPr>
        <w:t>4. 就对本项目的质量要求进行磋商并对其作出相关承诺。</w:t>
      </w:r>
    </w:p>
    <w:p>
      <w:pPr>
        <w:spacing w:line="360" w:lineRule="auto"/>
        <w:ind w:firstLine="315" w:firstLineChars="150"/>
        <w:rPr>
          <w:rFonts w:ascii="宋体" w:hAnsi="宋体"/>
          <w:kern w:val="0"/>
          <w:szCs w:val="21"/>
        </w:rPr>
      </w:pPr>
      <w:r>
        <w:rPr>
          <w:rFonts w:hint="eastAsia" w:ascii="宋体" w:hAnsi="宋体"/>
          <w:kern w:val="0"/>
          <w:szCs w:val="21"/>
        </w:rPr>
        <w:t>磋商评审在严格保密的情况下进行，磋商的任何一方不得透露与磋商有关的其他供应商的技术服务资料、价格和其他信息。本公司对磋商过程和重要磋商内容进行记录，磋商双方及记录人在记录上签字确认。</w:t>
      </w:r>
    </w:p>
    <w:p>
      <w:pPr>
        <w:spacing w:line="360" w:lineRule="auto"/>
        <w:ind w:firstLine="315" w:firstLineChars="150"/>
        <w:rPr>
          <w:rFonts w:ascii="宋体" w:hAnsi="宋体"/>
          <w:kern w:val="0"/>
          <w:szCs w:val="21"/>
        </w:rPr>
      </w:pPr>
      <w:r>
        <w:rPr>
          <w:rFonts w:hint="eastAsia" w:ascii="宋体" w:hAnsi="宋体"/>
          <w:kern w:val="0"/>
          <w:szCs w:val="21"/>
        </w:rPr>
        <w:t>磋商后，磋商供应商根据磋商小组统一整理的书面磋商记录要求做出书面承诺，并由其法定代表人(负责人)或授权代表签字后按时密封递交，如若法定代表人(负责人)或授权代表未在规定处签字的，视为无效文件。</w:t>
      </w:r>
    </w:p>
    <w:p>
      <w:pPr>
        <w:spacing w:line="360" w:lineRule="auto"/>
        <w:ind w:firstLine="315" w:firstLineChars="150"/>
        <w:rPr>
          <w:rFonts w:ascii="宋体" w:hAnsi="宋体"/>
          <w:kern w:val="0"/>
          <w:szCs w:val="21"/>
        </w:rPr>
      </w:pPr>
      <w:r>
        <w:rPr>
          <w:rFonts w:hint="eastAsia" w:ascii="宋体" w:hAnsi="宋体"/>
          <w:kern w:val="0"/>
          <w:szCs w:val="21"/>
        </w:rPr>
        <w:t>当磋商小组一致确定磋商供应商的竞争性磋商响应文件能够详细列明采购标的技术、服务要求且符合竞争性磋商文件要求，无需再磋商的，磋商小组按竞争性磋商文件设定的12.4、12.6程序和综合评分法确定成交候选供应商。第一轮磋商后竞争性磋商文件有实质性变动或仍需磋商的，磋商小组对竞争性磋商文件变动或提出磋商意见后进行第二轮磋商。</w:t>
      </w:r>
    </w:p>
    <w:p>
      <w:pPr>
        <w:spacing w:line="360" w:lineRule="auto"/>
        <w:ind w:firstLine="316" w:firstLineChars="150"/>
        <w:rPr>
          <w:rFonts w:ascii="宋体" w:hAnsi="宋体"/>
          <w:b/>
          <w:kern w:val="0"/>
          <w:szCs w:val="21"/>
        </w:rPr>
      </w:pPr>
      <w:r>
        <w:rPr>
          <w:rFonts w:hint="eastAsia" w:ascii="宋体" w:hAnsi="宋体"/>
          <w:b/>
          <w:kern w:val="0"/>
          <w:szCs w:val="21"/>
        </w:rPr>
        <w:t xml:space="preserve">12.2 竞争性磋商文件变动  </w:t>
      </w:r>
    </w:p>
    <w:p>
      <w:pPr>
        <w:spacing w:line="360" w:lineRule="auto"/>
        <w:ind w:firstLine="315" w:firstLineChars="150"/>
        <w:rPr>
          <w:rFonts w:ascii="宋体" w:hAnsi="宋体"/>
          <w:kern w:val="0"/>
          <w:szCs w:val="21"/>
        </w:rPr>
      </w:pPr>
      <w:r>
        <w:rPr>
          <w:rFonts w:hint="eastAsia" w:ascii="宋体" w:hAnsi="宋体"/>
          <w:kern w:val="0"/>
          <w:szCs w:val="21"/>
        </w:rPr>
        <w:t xml:space="preserve">⑴ 第一轮磋商结束后，各磋商供应商退场等候，由磋商小组组长主持，根据竞争性磋商文件和磋商情况结合第一轮磋商整体情况，可以对竞争性磋商文件采购需求中已事先明确的可能实质性变动采购需求中的技术、服务要求以及协议草案条款进行统一变动，但不得变动竞争性磋商文件中的其他内容。实质性变动的内容，须经采购人代表确认。  </w:t>
      </w:r>
    </w:p>
    <w:p>
      <w:pPr>
        <w:spacing w:line="360" w:lineRule="auto"/>
        <w:ind w:firstLine="315" w:firstLineChars="150"/>
        <w:rPr>
          <w:rFonts w:ascii="宋体" w:hAnsi="宋体"/>
          <w:kern w:val="0"/>
          <w:szCs w:val="21"/>
        </w:rPr>
      </w:pPr>
      <w:r>
        <w:rPr>
          <w:rFonts w:hint="eastAsia" w:ascii="宋体" w:hAnsi="宋体"/>
          <w:kern w:val="0"/>
          <w:szCs w:val="21"/>
        </w:rPr>
        <w:t>对竞争性磋商文件作出的实质性变动是竞争性磋商文件的有效组成部分，磋商小组应当及时以书面形式同时通知所有参加磋商的磋商供应商，并要求磋商供应商做出书面响应。</w:t>
      </w:r>
    </w:p>
    <w:p>
      <w:pPr>
        <w:spacing w:line="360" w:lineRule="auto"/>
        <w:ind w:firstLine="315" w:firstLineChars="150"/>
        <w:rPr>
          <w:rFonts w:ascii="宋体" w:hAnsi="宋体"/>
          <w:kern w:val="0"/>
          <w:szCs w:val="21"/>
        </w:rPr>
      </w:pPr>
      <w:r>
        <w:rPr>
          <w:rFonts w:hint="eastAsia" w:ascii="宋体" w:hAnsi="宋体"/>
          <w:kern w:val="0"/>
          <w:szCs w:val="21"/>
        </w:rPr>
        <w:t xml:space="preserve">⑵ 磋商供应商应当按照竞争性磋商文件的变动情况和磋商小组的要求重新提交竞争性磋商响应文件，并由其法定代表人(负责人)或授权代表签字或者加盖公章后密封递交。由授权代表（委托代理人）签字的， 应当附法定代表人(负责人)授权书。磋商供应商为自然人的，应当由本人签字并附身份证明。逾时不交的， 视同放弃磋商。重新提交的响应文件与竞争性磋商响应文件同具法律效力。  </w:t>
      </w:r>
    </w:p>
    <w:p>
      <w:pPr>
        <w:spacing w:line="360" w:lineRule="auto"/>
        <w:ind w:firstLine="316" w:firstLineChars="150"/>
        <w:rPr>
          <w:rFonts w:ascii="宋体" w:hAnsi="宋体"/>
          <w:b/>
          <w:kern w:val="0"/>
          <w:szCs w:val="21"/>
        </w:rPr>
      </w:pPr>
      <w:r>
        <w:rPr>
          <w:rFonts w:hint="eastAsia" w:ascii="宋体" w:hAnsi="宋体"/>
          <w:b/>
          <w:kern w:val="0"/>
          <w:szCs w:val="21"/>
        </w:rPr>
        <w:t>12.3 第二轮磋商</w:t>
      </w:r>
    </w:p>
    <w:p>
      <w:pPr>
        <w:spacing w:line="360" w:lineRule="auto"/>
        <w:ind w:firstLine="315" w:firstLineChars="150"/>
        <w:rPr>
          <w:rFonts w:ascii="宋体" w:hAnsi="宋体"/>
          <w:kern w:val="0"/>
          <w:szCs w:val="21"/>
        </w:rPr>
      </w:pPr>
      <w:r>
        <w:rPr>
          <w:rFonts w:hint="eastAsia" w:ascii="宋体" w:hAnsi="宋体"/>
          <w:kern w:val="0"/>
          <w:szCs w:val="21"/>
        </w:rPr>
        <w:t>磋商小组集中就重新提交的响应文件或磋商小组提出的磋商意见与单一响应磋商供应商分别进行磋商。本公司对磋商过程和重要磋商内容进行记录，磋商双方在记录上签字确认。</w:t>
      </w:r>
    </w:p>
    <w:p>
      <w:pPr>
        <w:spacing w:line="360" w:lineRule="auto"/>
        <w:ind w:firstLine="315" w:firstLineChars="150"/>
        <w:rPr>
          <w:rFonts w:ascii="宋体" w:hAnsi="宋体"/>
          <w:kern w:val="0"/>
          <w:szCs w:val="21"/>
        </w:rPr>
      </w:pPr>
      <w:r>
        <w:rPr>
          <w:rFonts w:hint="eastAsia" w:ascii="宋体" w:hAnsi="宋体"/>
          <w:kern w:val="0"/>
          <w:szCs w:val="21"/>
        </w:rPr>
        <w:t>磋商后，磋商供应商根据磋商小组统一整理的书面磋商记录要求做出书面承诺，并由其法定代表人(负责人)或授权代表签字或者加盖公章后按时密封递交。</w:t>
      </w:r>
    </w:p>
    <w:p>
      <w:pPr>
        <w:spacing w:line="360" w:lineRule="auto"/>
        <w:ind w:firstLine="315" w:firstLineChars="150"/>
        <w:rPr>
          <w:rFonts w:ascii="宋体" w:hAnsi="宋体"/>
          <w:kern w:val="0"/>
          <w:szCs w:val="21"/>
        </w:rPr>
      </w:pPr>
      <w:r>
        <w:rPr>
          <w:rFonts w:hint="eastAsia" w:ascii="宋体" w:hAnsi="宋体"/>
          <w:kern w:val="0"/>
          <w:szCs w:val="21"/>
        </w:rPr>
        <w:t>当磋商小组一致确定磋商供应商的竞争性磋商响应文件能够详细列明采购标的的技术、服务要求且符合竞争性磋商文件要求，无需再磋商的，磋商小组按竞争性磋商文件设定的12.4、12.6程序和综合评分法确定成交候选供应商。第二轮磋商后竞争性磋商文件仍有实质性变动的或仍需磋商的，磋商小组对竞争性磋商文件变动或提出磋商意见后进行第三轮磋商，以此类推。</w:t>
      </w:r>
    </w:p>
    <w:p>
      <w:pPr>
        <w:spacing w:line="360" w:lineRule="auto"/>
        <w:ind w:firstLine="316" w:firstLineChars="150"/>
        <w:rPr>
          <w:rFonts w:ascii="宋体" w:hAnsi="宋体"/>
          <w:b/>
          <w:kern w:val="0"/>
          <w:szCs w:val="21"/>
        </w:rPr>
      </w:pPr>
      <w:r>
        <w:rPr>
          <w:rFonts w:hint="eastAsia" w:ascii="宋体" w:hAnsi="宋体"/>
          <w:b/>
          <w:kern w:val="0"/>
          <w:szCs w:val="21"/>
        </w:rPr>
        <w:t>12.4  磋商结束后，磋商小组应当要求所有实质性响应的供应商在规定时间内提交最后报价，提交最后报价的供应商不得少于3家。</w:t>
      </w:r>
    </w:p>
    <w:p>
      <w:pPr>
        <w:spacing w:line="360" w:lineRule="auto"/>
        <w:ind w:firstLine="316" w:firstLineChars="150"/>
        <w:rPr>
          <w:rFonts w:ascii="宋体" w:hAnsi="宋体"/>
          <w:b/>
          <w:kern w:val="0"/>
          <w:szCs w:val="21"/>
        </w:rPr>
      </w:pPr>
      <w:r>
        <w:rPr>
          <w:rFonts w:hint="eastAsia" w:ascii="宋体" w:hAnsi="宋体"/>
          <w:b/>
          <w:kern w:val="0"/>
          <w:szCs w:val="21"/>
        </w:rPr>
        <w:t>12.5最后报价及中标候选磋商供应商推荐</w:t>
      </w:r>
    </w:p>
    <w:p>
      <w:pPr>
        <w:spacing w:line="360" w:lineRule="auto"/>
        <w:rPr>
          <w:rFonts w:ascii="宋体" w:hAnsi="宋体"/>
          <w:kern w:val="0"/>
          <w:szCs w:val="21"/>
        </w:rPr>
      </w:pPr>
      <w:r>
        <w:rPr>
          <w:rFonts w:hint="eastAsia" w:ascii="宋体" w:hAnsi="宋体"/>
          <w:kern w:val="0"/>
          <w:szCs w:val="21"/>
        </w:rPr>
        <w:t xml:space="preserve">   磋商结束后，磋商小组要求所有继续参加磋商的供应商在规定时间内提交最后报价。继续参加磋商的供应商作最后报价，由其法定代表人(负责人)或授权代表签字或者加盖公章后密封递交磋商小组。</w:t>
      </w:r>
    </w:p>
    <w:p>
      <w:pPr>
        <w:spacing w:line="360" w:lineRule="auto"/>
        <w:ind w:firstLine="315" w:firstLineChars="150"/>
        <w:rPr>
          <w:rFonts w:ascii="宋体" w:hAnsi="宋体"/>
          <w:kern w:val="0"/>
          <w:szCs w:val="21"/>
        </w:rPr>
      </w:pPr>
      <w:r>
        <w:rPr>
          <w:rFonts w:hint="eastAsia" w:ascii="宋体" w:hAnsi="宋体"/>
          <w:kern w:val="0"/>
          <w:szCs w:val="21"/>
        </w:rPr>
        <w:t xml:space="preserve">磋商小组根据综合评分情况，按照评审得分由高到低顺序推荐3名成交候选供应商，并编写评审报告。评审得分相同的，按照最后报价由低到高的顺序推荐。评审得分且最后报价相同的，按照技术指标优劣顺序推荐，由采购单位确定成交候选供应商。最后报价是磋商供应商竞争性磋商响应文件的有效组成部分。 </w:t>
      </w:r>
    </w:p>
    <w:p>
      <w:pPr>
        <w:spacing w:line="360" w:lineRule="auto"/>
        <w:ind w:firstLine="315" w:firstLineChars="150"/>
        <w:rPr>
          <w:rFonts w:ascii="宋体" w:hAnsi="宋体"/>
          <w:kern w:val="0"/>
          <w:szCs w:val="21"/>
        </w:rPr>
      </w:pPr>
      <w:r>
        <w:rPr>
          <w:rFonts w:hint="eastAsia" w:ascii="宋体" w:hAnsi="宋体"/>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315" w:firstLineChars="150"/>
        <w:rPr>
          <w:rFonts w:ascii="宋体" w:hAnsi="宋体"/>
          <w:kern w:val="0"/>
          <w:szCs w:val="21"/>
        </w:rPr>
      </w:pPr>
      <w:r>
        <w:rPr>
          <w:rFonts w:hint="eastAsia" w:ascii="宋体" w:hAnsi="宋体"/>
          <w:kern w:val="0"/>
          <w:szCs w:val="21"/>
        </w:rPr>
        <w:t xml:space="preserve">12.6 磋商供应商的报价均超过了上限控制价的，采购人不能支付的，磋商活动终止。  </w:t>
      </w:r>
    </w:p>
    <w:p>
      <w:pPr>
        <w:spacing w:line="360" w:lineRule="auto"/>
        <w:ind w:firstLine="315" w:firstLineChars="150"/>
        <w:rPr>
          <w:rFonts w:ascii="宋体" w:hAnsi="宋体"/>
          <w:kern w:val="0"/>
          <w:szCs w:val="21"/>
        </w:rPr>
      </w:pPr>
      <w:r>
        <w:rPr>
          <w:rFonts w:hint="eastAsia" w:ascii="宋体" w:hAnsi="宋体"/>
          <w:kern w:val="0"/>
          <w:szCs w:val="21"/>
        </w:rPr>
        <w:t>12.7 本采购项目的评审依据为竞争性磋商文件和竞争性磋商响应文件，采用的评审方法为</w:t>
      </w:r>
      <w:r>
        <w:rPr>
          <w:rFonts w:hint="eastAsia" w:ascii="宋体" w:hAnsi="宋体"/>
          <w:kern w:val="0"/>
          <w:szCs w:val="21"/>
          <w:u w:val="single"/>
        </w:rPr>
        <w:t>综合评分法</w:t>
      </w:r>
      <w:r>
        <w:rPr>
          <w:rFonts w:hint="eastAsia" w:ascii="宋体" w:hAnsi="宋体"/>
          <w:kern w:val="0"/>
          <w:szCs w:val="21"/>
        </w:rPr>
        <w:t>。</w:t>
      </w:r>
    </w:p>
    <w:p>
      <w:pPr>
        <w:pStyle w:val="6"/>
      </w:pPr>
      <w:r>
        <w:rPr>
          <w:rFonts w:hint="eastAsia"/>
        </w:rPr>
        <w:t>六、确定成交供应商办法</w:t>
      </w:r>
    </w:p>
    <w:p>
      <w:pPr>
        <w:spacing w:line="360" w:lineRule="auto"/>
        <w:ind w:firstLine="316" w:firstLineChars="150"/>
        <w:rPr>
          <w:rFonts w:ascii="宋体" w:hAnsi="宋体"/>
          <w:b/>
          <w:kern w:val="0"/>
          <w:szCs w:val="21"/>
        </w:rPr>
      </w:pPr>
      <w:r>
        <w:rPr>
          <w:rFonts w:hint="eastAsia" w:ascii="宋体" w:hAnsi="宋体"/>
          <w:b/>
          <w:kern w:val="0"/>
          <w:szCs w:val="21"/>
        </w:rPr>
        <w:t xml:space="preserve">13. 根据以下原则确定成交供应商： </w:t>
      </w:r>
    </w:p>
    <w:p>
      <w:pPr>
        <w:spacing w:line="360" w:lineRule="auto"/>
        <w:ind w:firstLine="315" w:firstLineChars="150"/>
        <w:rPr>
          <w:rFonts w:ascii="宋体" w:hAnsi="宋体"/>
          <w:kern w:val="0"/>
          <w:szCs w:val="21"/>
        </w:rPr>
      </w:pPr>
      <w:r>
        <w:rPr>
          <w:rFonts w:hint="eastAsia" w:ascii="宋体" w:hAnsi="宋体"/>
          <w:kern w:val="0"/>
          <w:szCs w:val="21"/>
        </w:rPr>
        <w:t xml:space="preserve">13.1 响应文件满足磋商文件全部实质性要求且按评审因素的量化指标评审综合得分最高的磋商供应商为成交供应商，如排名第一的成交候选供应商放弃成交、因不可抗力提出不能履行协议的，或者竞争性磋商文件规定应当提交履约保证金而在规定的期限内未能提交的，采购单位可以确定排名第二的成交候选供应商为成交供应商，也可以重新组织开展采购活动。  </w:t>
      </w:r>
    </w:p>
    <w:p>
      <w:pPr>
        <w:pStyle w:val="6"/>
      </w:pPr>
      <w:r>
        <w:rPr>
          <w:rFonts w:hint="eastAsia"/>
        </w:rPr>
        <w:t xml:space="preserve">七、成交结果公告 </w:t>
      </w:r>
    </w:p>
    <w:p>
      <w:pPr>
        <w:spacing w:line="360" w:lineRule="auto"/>
        <w:ind w:firstLine="315" w:firstLineChars="150"/>
        <w:rPr>
          <w:rFonts w:ascii="宋体" w:hAnsi="宋体"/>
          <w:kern w:val="0"/>
          <w:szCs w:val="21"/>
        </w:rPr>
      </w:pPr>
      <w:r>
        <w:rPr>
          <w:rFonts w:hint="eastAsia" w:ascii="宋体" w:hAnsi="宋体"/>
          <w:kern w:val="0"/>
          <w:szCs w:val="21"/>
        </w:rPr>
        <w:t xml:space="preserve">14.1 本公司在评审结束2个工作日内将磋商评审报告送采购人确认，成交供应商确定后2个工作日内， 成交结果公告将在http://www.ccgp.gov.cn/（中国政府采购网）、http://www.gxzfcg.gov.cn/ (广西壮族自治区政府采购网)、http://zfcg.czj.gxgg.gov.cn/（贵港市政府采购网）、http://ggggjy.gxgg.gov.cn:9005/(贵港市公共资源交易中心网）上发布，同时向成交供应商发出成交通知书 。  </w:t>
      </w:r>
    </w:p>
    <w:p>
      <w:pPr>
        <w:spacing w:line="360" w:lineRule="auto"/>
        <w:ind w:firstLine="315" w:firstLineChars="150"/>
        <w:rPr>
          <w:rFonts w:ascii="宋体" w:hAnsi="宋体"/>
          <w:kern w:val="0"/>
          <w:szCs w:val="21"/>
        </w:rPr>
      </w:pPr>
      <w:r>
        <w:rPr>
          <w:rFonts w:hint="eastAsia" w:ascii="宋体" w:hAnsi="宋体"/>
          <w:kern w:val="0"/>
          <w:szCs w:val="21"/>
        </w:rPr>
        <w:t xml:space="preserve">14.2 磋商供应商认为成交结果使自己的权益受到损害的，可以在成交结果公告期限届满之日起七个工作日内以书面形式向本公司提出质疑。本公司将在收到磋商供应商的书面质疑后七个工作日内做出答复，但答复的内容不得涉及商业秘密。  </w:t>
      </w:r>
    </w:p>
    <w:p>
      <w:pPr>
        <w:spacing w:line="360" w:lineRule="auto"/>
        <w:ind w:firstLine="315" w:firstLineChars="150"/>
        <w:rPr>
          <w:rFonts w:ascii="宋体" w:hAnsi="宋体"/>
          <w:kern w:val="0"/>
          <w:szCs w:val="21"/>
        </w:rPr>
      </w:pPr>
      <w:r>
        <w:rPr>
          <w:rFonts w:hint="eastAsia" w:ascii="宋体" w:hAnsi="宋体"/>
          <w:kern w:val="0"/>
          <w:szCs w:val="21"/>
        </w:rPr>
        <w:t>14.3 质疑磋商供应商必须首先经过质疑程序，在对本公司的答复不满意或者本公司未在规定的时间内做出答复的，可以在答复期满后十五个工作日内书面向本级采购监督管理部门投诉。  投诉联系部门及电话为：贵港市财政局政府采购监督管理科；联系电话：0775-4555290。</w:t>
      </w:r>
    </w:p>
    <w:p>
      <w:pPr>
        <w:pStyle w:val="6"/>
      </w:pPr>
      <w:r>
        <w:rPr>
          <w:rFonts w:hint="eastAsia"/>
        </w:rPr>
        <w:t>八、签订协议</w:t>
      </w:r>
    </w:p>
    <w:p>
      <w:pPr>
        <w:spacing w:line="360" w:lineRule="auto"/>
        <w:ind w:firstLine="315" w:firstLineChars="150"/>
        <w:rPr>
          <w:rFonts w:ascii="宋体" w:hAnsi="宋体"/>
          <w:kern w:val="0"/>
          <w:szCs w:val="21"/>
        </w:rPr>
      </w:pPr>
      <w:r>
        <w:rPr>
          <w:rFonts w:hint="eastAsia" w:ascii="宋体" w:hAnsi="宋体"/>
          <w:kern w:val="0"/>
          <w:szCs w:val="21"/>
        </w:rPr>
        <w:t xml:space="preserve">15.1 成交供应商自成交通知书发出之日起二十日内与采购人签订协议。  </w:t>
      </w:r>
    </w:p>
    <w:p>
      <w:pPr>
        <w:spacing w:line="360" w:lineRule="auto"/>
        <w:ind w:firstLine="315" w:firstLineChars="150"/>
        <w:rPr>
          <w:rFonts w:ascii="宋体" w:hAnsi="宋体"/>
          <w:kern w:val="0"/>
          <w:szCs w:val="21"/>
        </w:rPr>
      </w:pPr>
      <w:r>
        <w:rPr>
          <w:rFonts w:hint="eastAsia" w:ascii="宋体" w:hAnsi="宋体"/>
          <w:kern w:val="0"/>
          <w:szCs w:val="21"/>
        </w:rPr>
        <w:t xml:space="preserve">15.2 成交供应商拒绝签订采购协议的，采购人可以根据磋商评审报告确定成交供应商之后排名第一的成交候选供应商作为成交供应商并签订采购协议，也可以重新组织开展采购活动。拒绝签订采购协议的成交供应商不得再参加对该项目重新组织开展的采购活动 。   </w:t>
      </w:r>
    </w:p>
    <w:p>
      <w:pPr>
        <w:spacing w:line="360" w:lineRule="auto"/>
        <w:ind w:firstLine="315" w:firstLineChars="150"/>
        <w:rPr>
          <w:rFonts w:ascii="宋体" w:hAnsi="宋体"/>
          <w:kern w:val="0"/>
          <w:szCs w:val="21"/>
        </w:rPr>
      </w:pPr>
      <w:r>
        <w:rPr>
          <w:rFonts w:hint="eastAsia" w:ascii="宋体" w:hAnsi="宋体"/>
          <w:kern w:val="0"/>
          <w:szCs w:val="21"/>
        </w:rPr>
        <w:t xml:space="preserve">15.3 成交供应商拒绝签订采购协议的，其保证金将不予退还，并上缴国库，给采购人造成其损失的，还应当赔偿损失，并作为不良行为记录在案。  </w:t>
      </w:r>
    </w:p>
    <w:p>
      <w:pPr>
        <w:pStyle w:val="6"/>
      </w:pPr>
      <w:r>
        <w:rPr>
          <w:rFonts w:hint="eastAsia"/>
        </w:rPr>
        <w:t>九、适用法律</w:t>
      </w:r>
    </w:p>
    <w:p>
      <w:pPr>
        <w:spacing w:line="360" w:lineRule="auto"/>
        <w:ind w:firstLine="315" w:firstLineChars="150"/>
        <w:rPr>
          <w:rFonts w:ascii="宋体" w:hAnsi="宋体"/>
          <w:kern w:val="0"/>
          <w:szCs w:val="21"/>
        </w:rPr>
      </w:pPr>
      <w:r>
        <w:rPr>
          <w:rFonts w:hint="eastAsia" w:ascii="宋体" w:hAnsi="宋体"/>
          <w:kern w:val="0"/>
          <w:szCs w:val="21"/>
        </w:rPr>
        <w:t xml:space="preserve">16. 采购当事人的一切活动均适用于《政府采购法》 及相关规定。最终磋商结束后，磋商小组不得再与磋商供应商进行任何形式的磋商。 </w:t>
      </w:r>
    </w:p>
    <w:p>
      <w:pPr>
        <w:pStyle w:val="6"/>
      </w:pPr>
      <w:r>
        <w:rPr>
          <w:rFonts w:hint="eastAsia"/>
        </w:rPr>
        <w:t xml:space="preserve">十、其他事项 </w:t>
      </w:r>
    </w:p>
    <w:p>
      <w:pPr>
        <w:snapToGrid w:val="0"/>
        <w:spacing w:line="360" w:lineRule="auto"/>
        <w:ind w:firstLine="420" w:firstLineChars="200"/>
        <w:rPr>
          <w:rFonts w:ascii="宋体" w:hAnsi="宋体" w:cs="宋体"/>
          <w:kern w:val="0"/>
          <w:szCs w:val="21"/>
        </w:rPr>
      </w:pPr>
      <w:r>
        <w:rPr>
          <w:rFonts w:hint="eastAsia" w:ascii="宋体" w:hAnsi="宋体"/>
          <w:kern w:val="0"/>
          <w:szCs w:val="21"/>
        </w:rPr>
        <w:t>17.1签订合同前，成交供应商须向采购代理机构一次性付清成交服务费，本项目招标代理服务费根据有关收费规定并经双方商定，</w:t>
      </w:r>
      <w:r>
        <w:rPr>
          <w:rFonts w:hint="eastAsia" w:ascii="宋体" w:hAnsi="宋体" w:cs="宋体"/>
          <w:kern w:val="0"/>
          <w:szCs w:val="21"/>
        </w:rPr>
        <w:t>成交人在领取成交通知书前应一次性付清中标服务费，否则，采购代理机构将视之为违约，取消该中标决定并没收成交人已提交的全部磋商保证金；</w:t>
      </w:r>
    </w:p>
    <w:p>
      <w:pPr>
        <w:snapToGrid w:val="0"/>
        <w:spacing w:line="360" w:lineRule="auto"/>
        <w:rPr>
          <w:rFonts w:ascii="宋体" w:hAnsi="宋体" w:cs="Courier New"/>
          <w:szCs w:val="21"/>
        </w:rPr>
      </w:pPr>
      <w:r>
        <w:rPr>
          <w:rFonts w:hint="eastAsia" w:ascii="宋体" w:hAnsi="宋体" w:cs="Courier New"/>
          <w:szCs w:val="21"/>
        </w:rPr>
        <w:t>招标代理服务费缴纳账户：</w:t>
      </w:r>
    </w:p>
    <w:p>
      <w:pPr>
        <w:pStyle w:val="15"/>
        <w:spacing w:line="440" w:lineRule="exact"/>
        <w:rPr>
          <w:rFonts w:hAnsi="宋体"/>
          <w:kern w:val="2"/>
          <w:sz w:val="21"/>
        </w:rPr>
      </w:pPr>
      <w:r>
        <w:rPr>
          <w:rFonts w:hint="eastAsia" w:hAnsi="宋体"/>
          <w:kern w:val="2"/>
          <w:sz w:val="21"/>
        </w:rPr>
        <w:t>开户名称：广西乐正工程项目管理有限公司第一分公司</w:t>
      </w:r>
    </w:p>
    <w:p>
      <w:pPr>
        <w:pStyle w:val="15"/>
        <w:spacing w:line="440" w:lineRule="exact"/>
        <w:rPr>
          <w:rFonts w:hAnsi="宋体"/>
          <w:kern w:val="2"/>
          <w:sz w:val="21"/>
        </w:rPr>
      </w:pPr>
      <w:r>
        <w:rPr>
          <w:rFonts w:hint="eastAsia" w:hAnsi="宋体"/>
          <w:kern w:val="2"/>
          <w:sz w:val="21"/>
        </w:rPr>
        <w:t>开户银行：广西北部湾银行股份有限公司贵港分行</w:t>
      </w:r>
    </w:p>
    <w:p>
      <w:pPr>
        <w:spacing w:line="360" w:lineRule="auto"/>
        <w:rPr>
          <w:rFonts w:hAnsi="宋体"/>
        </w:rPr>
      </w:pPr>
      <w:r>
        <w:rPr>
          <w:rFonts w:hint="eastAsia" w:hAnsi="宋体"/>
        </w:rPr>
        <w:t>银行账号：800131467700014</w:t>
      </w:r>
    </w:p>
    <w:p>
      <w:pPr>
        <w:spacing w:line="360" w:lineRule="auto"/>
        <w:ind w:firstLine="315" w:firstLineChars="150"/>
        <w:rPr>
          <w:rFonts w:ascii="宋体" w:hAnsi="宋体"/>
          <w:kern w:val="0"/>
          <w:szCs w:val="21"/>
        </w:rPr>
      </w:pPr>
      <w:r>
        <w:rPr>
          <w:rFonts w:hint="eastAsia" w:ascii="宋体" w:hAnsi="宋体"/>
          <w:kern w:val="0"/>
          <w:szCs w:val="21"/>
        </w:rPr>
        <w:t>17.2解释权</w:t>
      </w:r>
    </w:p>
    <w:p>
      <w:pPr>
        <w:spacing w:line="360" w:lineRule="auto"/>
        <w:ind w:firstLine="315" w:firstLineChars="150"/>
        <w:rPr>
          <w:rFonts w:ascii="宋体" w:hAnsi="宋体"/>
          <w:kern w:val="0"/>
          <w:szCs w:val="21"/>
        </w:rPr>
      </w:pPr>
      <w:r>
        <w:rPr>
          <w:rFonts w:hint="eastAsia" w:ascii="宋体" w:hAnsi="宋体"/>
          <w:kern w:val="0"/>
          <w:szCs w:val="21"/>
        </w:rPr>
        <w:t xml:space="preserve">本竞争性磋商文件解释权属本公司 。  </w:t>
      </w:r>
    </w:p>
    <w:p>
      <w:pPr>
        <w:spacing w:line="360" w:lineRule="auto"/>
        <w:ind w:firstLine="315" w:firstLineChars="150"/>
        <w:rPr>
          <w:rFonts w:ascii="宋体" w:hAnsi="宋体"/>
          <w:kern w:val="0"/>
          <w:szCs w:val="21"/>
        </w:rPr>
      </w:pPr>
      <w:r>
        <w:rPr>
          <w:rFonts w:hint="eastAsia" w:ascii="宋体" w:hAnsi="宋体"/>
          <w:kern w:val="0"/>
          <w:szCs w:val="21"/>
        </w:rPr>
        <w:t>17.3有关事宜</w:t>
      </w:r>
    </w:p>
    <w:p>
      <w:pPr>
        <w:spacing w:line="360" w:lineRule="auto"/>
        <w:ind w:firstLine="315" w:firstLineChars="150"/>
        <w:rPr>
          <w:rFonts w:ascii="宋体" w:hAnsi="宋体"/>
          <w:kern w:val="0"/>
          <w:szCs w:val="21"/>
        </w:rPr>
      </w:pPr>
      <w:r>
        <w:rPr>
          <w:rFonts w:hint="eastAsia" w:ascii="宋体" w:hAnsi="宋体"/>
          <w:kern w:val="0"/>
          <w:szCs w:val="21"/>
        </w:rPr>
        <w:t xml:space="preserve">所有与本竞争性磋商文件有关的函件请按下列通讯地址联系 ： </w:t>
      </w:r>
    </w:p>
    <w:p>
      <w:pPr>
        <w:spacing w:line="360" w:lineRule="exact"/>
        <w:ind w:firstLine="420" w:firstLineChars="200"/>
        <w:rPr>
          <w:rFonts w:ascii="宋体" w:hAnsi="宋体" w:cs="宋体"/>
          <w:kern w:val="0"/>
          <w:szCs w:val="21"/>
        </w:rPr>
      </w:pPr>
      <w:r>
        <w:rPr>
          <w:rFonts w:hint="eastAsia" w:ascii="宋体" w:hAnsi="宋体" w:cs="宋体"/>
          <w:kern w:val="0"/>
          <w:szCs w:val="21"/>
        </w:rPr>
        <w:t>广西乐正工程项目管理有限公司</w:t>
      </w:r>
    </w:p>
    <w:p>
      <w:pPr>
        <w:spacing w:line="360" w:lineRule="exact"/>
        <w:ind w:firstLine="420" w:firstLineChars="200"/>
        <w:rPr>
          <w:rFonts w:ascii="宋体" w:hAnsi="宋体" w:cs="宋体"/>
          <w:kern w:val="0"/>
          <w:szCs w:val="21"/>
        </w:rPr>
      </w:pPr>
      <w:r>
        <w:rPr>
          <w:rFonts w:hint="eastAsia" w:ascii="宋体" w:hAnsi="宋体" w:cs="宋体"/>
          <w:kern w:val="0"/>
          <w:szCs w:val="21"/>
        </w:rPr>
        <w:t>邮政编码：537100</w:t>
      </w:r>
    </w:p>
    <w:p>
      <w:pPr>
        <w:tabs>
          <w:tab w:val="left" w:pos="525"/>
          <w:tab w:val="left" w:pos="4500"/>
        </w:tabs>
        <w:snapToGrid w:val="0"/>
        <w:spacing w:line="500" w:lineRule="exact"/>
        <w:ind w:firstLine="420" w:firstLineChars="200"/>
        <w:jc w:val="left"/>
        <w:rPr>
          <w:rFonts w:ascii="宋体" w:hAnsi="宋体"/>
          <w:szCs w:val="21"/>
        </w:rPr>
      </w:pPr>
      <w:r>
        <w:rPr>
          <w:rFonts w:hint="eastAsia" w:ascii="宋体" w:hAnsi="宋体" w:cs="宋体"/>
          <w:kern w:val="0"/>
          <w:szCs w:val="21"/>
        </w:rPr>
        <w:t>通讯地址：</w:t>
      </w:r>
      <w:r>
        <w:rPr>
          <w:rFonts w:hint="eastAsia" w:ascii="宋体" w:hAnsi="宋体"/>
          <w:szCs w:val="21"/>
        </w:rPr>
        <w:t>贵港市港北区丽江街中央花园小区北面</w:t>
      </w:r>
    </w:p>
    <w:p>
      <w:pPr>
        <w:spacing w:line="360" w:lineRule="exact"/>
        <w:ind w:firstLine="420" w:firstLineChars="200"/>
        <w:rPr>
          <w:rFonts w:ascii="宋体" w:hAnsi="宋体" w:cs="宋体"/>
          <w:kern w:val="0"/>
          <w:szCs w:val="21"/>
        </w:rPr>
      </w:pPr>
      <w:r>
        <w:rPr>
          <w:rFonts w:hint="eastAsia" w:ascii="宋体" w:hAnsi="宋体" w:cs="宋体"/>
          <w:kern w:val="0"/>
          <w:szCs w:val="21"/>
        </w:rPr>
        <w:t>电    话：0775-4251165</w:t>
      </w:r>
    </w:p>
    <w:p>
      <w:pPr>
        <w:jc w:val="left"/>
        <w:rPr>
          <w:rFonts w:hAnsi="宋体"/>
          <w:b/>
          <w:sz w:val="32"/>
          <w:szCs w:val="32"/>
        </w:rPr>
      </w:pPr>
    </w:p>
    <w:p>
      <w:pPr>
        <w:pStyle w:val="2"/>
        <w:rPr>
          <w:rFonts w:hAnsi="宋体"/>
          <w:b/>
          <w:sz w:val="32"/>
          <w:szCs w:val="32"/>
        </w:rPr>
      </w:pPr>
    </w:p>
    <w:p>
      <w:pPr>
        <w:rPr>
          <w:rFonts w:hAnsi="宋体"/>
          <w:b/>
          <w:sz w:val="32"/>
          <w:szCs w:val="32"/>
        </w:rPr>
      </w:pPr>
    </w:p>
    <w:p>
      <w:pPr>
        <w:pStyle w:val="2"/>
        <w:rPr>
          <w:rFonts w:hAnsi="宋体"/>
          <w:b/>
          <w:sz w:val="32"/>
          <w:szCs w:val="32"/>
        </w:rPr>
      </w:pPr>
    </w:p>
    <w:p>
      <w:pPr>
        <w:rPr>
          <w:rFonts w:hAnsi="宋体"/>
          <w:b/>
          <w:sz w:val="32"/>
          <w:szCs w:val="32"/>
        </w:rPr>
      </w:pPr>
    </w:p>
    <w:p>
      <w:pPr>
        <w:pStyle w:val="2"/>
        <w:rPr>
          <w:rFonts w:hAnsi="宋体"/>
          <w:b/>
          <w:sz w:val="32"/>
          <w:szCs w:val="32"/>
        </w:rPr>
      </w:pPr>
    </w:p>
    <w:p>
      <w:pPr>
        <w:rPr>
          <w:rFonts w:hAnsi="宋体"/>
          <w:b/>
          <w:sz w:val="32"/>
          <w:szCs w:val="32"/>
        </w:rPr>
      </w:pPr>
    </w:p>
    <w:p>
      <w:pPr>
        <w:pStyle w:val="2"/>
        <w:rPr>
          <w:rFonts w:hAnsi="宋体"/>
          <w:b/>
          <w:sz w:val="32"/>
          <w:szCs w:val="32"/>
        </w:rPr>
      </w:pPr>
    </w:p>
    <w:p>
      <w:pPr>
        <w:rPr>
          <w:rFonts w:hAnsi="宋体"/>
          <w:b/>
          <w:sz w:val="32"/>
          <w:szCs w:val="32"/>
        </w:rPr>
      </w:pPr>
    </w:p>
    <w:p>
      <w:pPr>
        <w:pStyle w:val="2"/>
        <w:rPr>
          <w:rFonts w:hAnsi="宋体"/>
          <w:b/>
          <w:sz w:val="32"/>
          <w:szCs w:val="32"/>
        </w:rPr>
      </w:pPr>
    </w:p>
    <w:p>
      <w:pPr>
        <w:rPr>
          <w:rFonts w:hAnsi="宋体"/>
          <w:b/>
          <w:sz w:val="32"/>
          <w:szCs w:val="32"/>
        </w:rPr>
      </w:pPr>
    </w:p>
    <w:p>
      <w:pPr>
        <w:pStyle w:val="2"/>
        <w:rPr>
          <w:rFonts w:hAnsi="宋体"/>
          <w:b/>
          <w:sz w:val="32"/>
          <w:szCs w:val="32"/>
        </w:rPr>
      </w:pPr>
    </w:p>
    <w:p/>
    <w:p>
      <w:pPr>
        <w:pStyle w:val="4"/>
        <w:numPr>
          <w:ilvl w:val="0"/>
          <w:numId w:val="1"/>
        </w:numPr>
        <w:jc w:val="center"/>
      </w:pPr>
      <w:bookmarkStart w:id="33" w:name="_Toc44229895"/>
      <w:r>
        <w:rPr>
          <w:rFonts w:hint="eastAsia"/>
        </w:rPr>
        <w:t>采购需求</w:t>
      </w:r>
      <w:bookmarkEnd w:id="33"/>
    </w:p>
    <w:p>
      <w:pPr>
        <w:spacing w:line="520" w:lineRule="exact"/>
        <w:ind w:left="645"/>
        <w:rPr>
          <w:rFonts w:ascii="宋体" w:hAnsi="宋体" w:cs="宋体"/>
          <w:sz w:val="24"/>
        </w:rPr>
      </w:pPr>
      <w:r>
        <w:rPr>
          <w:rFonts w:hint="eastAsia" w:ascii="宋体" w:hAnsi="宋体" w:cs="宋体"/>
          <w:sz w:val="24"/>
        </w:rPr>
        <w:t>一、项目涉及的范围及时点</w:t>
      </w:r>
    </w:p>
    <w:p>
      <w:pPr>
        <w:spacing w:line="520" w:lineRule="exact"/>
        <w:ind w:firstLine="645"/>
        <w:rPr>
          <w:rFonts w:ascii="宋体" w:hAnsi="宋体" w:cs="宋体"/>
          <w:sz w:val="24"/>
        </w:rPr>
      </w:pPr>
      <w:r>
        <w:rPr>
          <w:rFonts w:hint="eastAsia" w:ascii="宋体" w:hAnsi="宋体" w:cs="宋体"/>
          <w:sz w:val="24"/>
        </w:rPr>
        <w:t>本次贵港市本级城市地价动态监测编制服务项目的范围为贵港市主城区的重要区段或建成区域；季度监测地价基准日为每个季度的最后一日，年度监测地价基准日为2021年12月31日，各季度监测报告和年度监测报告完成时限按自治区自然资源厅下发文件提出的要求完成。</w:t>
      </w:r>
    </w:p>
    <w:p>
      <w:pPr>
        <w:spacing w:line="520" w:lineRule="exact"/>
        <w:ind w:left="645"/>
        <w:rPr>
          <w:rFonts w:ascii="宋体" w:hAnsi="宋体" w:cs="宋体"/>
          <w:sz w:val="24"/>
        </w:rPr>
      </w:pPr>
      <w:r>
        <w:rPr>
          <w:rFonts w:hint="eastAsia" w:ascii="宋体" w:hAnsi="宋体" w:cs="宋体"/>
          <w:sz w:val="24"/>
        </w:rPr>
        <w:t>二、技术服务要求</w:t>
      </w:r>
    </w:p>
    <w:p>
      <w:pPr>
        <w:spacing w:line="520" w:lineRule="exact"/>
        <w:ind w:firstLine="480" w:firstLineChars="200"/>
        <w:rPr>
          <w:rFonts w:ascii="宋体" w:hAnsi="宋体" w:cs="宋体"/>
          <w:sz w:val="24"/>
        </w:rPr>
      </w:pPr>
      <w:r>
        <w:rPr>
          <w:rFonts w:hint="eastAsia" w:ascii="宋体" w:hAnsi="宋体" w:cs="宋体"/>
          <w:sz w:val="24"/>
        </w:rPr>
        <w:t>（一）项目内容</w:t>
      </w:r>
    </w:p>
    <w:p>
      <w:pPr>
        <w:spacing w:line="520" w:lineRule="exact"/>
        <w:ind w:firstLine="480" w:firstLineChars="200"/>
        <w:rPr>
          <w:rFonts w:ascii="宋体" w:hAnsi="宋体" w:cs="宋体"/>
          <w:sz w:val="24"/>
        </w:rPr>
      </w:pPr>
      <w:r>
        <w:rPr>
          <w:rFonts w:hint="eastAsia" w:ascii="宋体" w:hAnsi="宋体" w:cs="宋体"/>
          <w:sz w:val="24"/>
        </w:rPr>
        <w:t>城市地价动态监测是指在一定时期内针对一定地区的城市土地市场，通过确定监测范围、划分地价区段、设立标准宗地，并定期收集市场交易地价变化信息和计算标准宗地的地价，进而测算地价监测指标、掌握地价变化规律的过程，能够及时对地价动态变化进行分析，把握地价动态和走势，为政府经济宏观决策和合理调控土地供应提供科学依据。开展城市地价动态监测工作，有利于掌握土地价格走势情况，增强市场监管和调控能力，提高土地市场信息社会化服务水平，合理地推测地价未来的发展趋势，为城市地价发展趋势进行预测预警。</w:t>
      </w:r>
    </w:p>
    <w:p>
      <w:pPr>
        <w:spacing w:line="520" w:lineRule="exact"/>
        <w:ind w:firstLine="480" w:firstLineChars="200"/>
        <w:rPr>
          <w:rFonts w:ascii="宋体" w:hAnsi="宋体" w:cs="宋体"/>
          <w:sz w:val="24"/>
        </w:rPr>
      </w:pPr>
      <w:r>
        <w:rPr>
          <w:rFonts w:hint="eastAsia" w:ascii="宋体" w:hAnsi="宋体" w:cs="宋体"/>
          <w:sz w:val="24"/>
        </w:rPr>
        <w:t xml:space="preserve">  本次贵港市本级城市地价动态监测编制服务项目的工作内容是确定地价动态监测的范围，划定地价监测区段，确定地价监测点，建立地价动态监测数据库，编制2021年地价动态监测报告（3个季度报告和1个年度报告）。</w:t>
      </w:r>
    </w:p>
    <w:p>
      <w:pPr>
        <w:spacing w:line="520" w:lineRule="exact"/>
        <w:ind w:firstLine="480" w:firstLineChars="200"/>
        <w:rPr>
          <w:rFonts w:ascii="宋体" w:hAnsi="宋体" w:cs="宋体"/>
          <w:sz w:val="24"/>
        </w:rPr>
      </w:pPr>
      <w:r>
        <w:rPr>
          <w:rFonts w:hint="eastAsia" w:ascii="宋体" w:hAnsi="宋体" w:cs="宋体"/>
          <w:sz w:val="24"/>
        </w:rPr>
        <w:t>（二）主要依据</w:t>
      </w:r>
    </w:p>
    <w:p>
      <w:pPr>
        <w:spacing w:line="520" w:lineRule="exact"/>
        <w:ind w:left="645"/>
        <w:rPr>
          <w:rFonts w:ascii="宋体" w:hAnsi="宋体" w:cs="宋体"/>
          <w:sz w:val="24"/>
        </w:rPr>
      </w:pPr>
      <w:r>
        <w:rPr>
          <w:rFonts w:hint="eastAsia" w:ascii="宋体" w:hAnsi="宋体" w:cs="宋体"/>
          <w:sz w:val="24"/>
        </w:rPr>
        <w:t>1、法律法规、政策文件</w:t>
      </w:r>
    </w:p>
    <w:p>
      <w:pPr>
        <w:spacing w:line="520" w:lineRule="exact"/>
        <w:ind w:firstLine="240" w:firstLineChars="100"/>
        <w:rPr>
          <w:rFonts w:ascii="宋体" w:hAnsi="宋体" w:cs="宋体"/>
          <w:sz w:val="24"/>
        </w:rPr>
      </w:pPr>
      <w:r>
        <w:rPr>
          <w:rFonts w:hint="eastAsia" w:ascii="宋体" w:hAnsi="宋体" w:cs="宋体"/>
          <w:sz w:val="24"/>
        </w:rPr>
        <w:t>（1）《中华人民共和国物权法》</w:t>
      </w:r>
    </w:p>
    <w:p>
      <w:pPr>
        <w:spacing w:line="520" w:lineRule="exact"/>
        <w:ind w:firstLine="240" w:firstLineChars="100"/>
        <w:rPr>
          <w:rFonts w:ascii="宋体" w:hAnsi="宋体" w:cs="宋体"/>
          <w:sz w:val="24"/>
        </w:rPr>
      </w:pPr>
      <w:r>
        <w:rPr>
          <w:rFonts w:hint="eastAsia" w:ascii="宋体" w:hAnsi="宋体" w:cs="宋体"/>
          <w:sz w:val="24"/>
        </w:rPr>
        <w:t>（2）《中华人民共和国土地管理法》</w:t>
      </w:r>
    </w:p>
    <w:p>
      <w:pPr>
        <w:spacing w:line="520" w:lineRule="exact"/>
        <w:ind w:firstLine="240" w:firstLineChars="100"/>
        <w:rPr>
          <w:rFonts w:ascii="宋体" w:hAnsi="宋体" w:cs="宋体"/>
          <w:sz w:val="24"/>
        </w:rPr>
      </w:pPr>
      <w:r>
        <w:rPr>
          <w:rFonts w:hint="eastAsia" w:ascii="宋体" w:hAnsi="宋体" w:cs="宋体"/>
          <w:sz w:val="24"/>
        </w:rPr>
        <w:t>（3）《中华人民共和国担保法》</w:t>
      </w:r>
    </w:p>
    <w:p>
      <w:pPr>
        <w:spacing w:line="520" w:lineRule="exact"/>
        <w:ind w:firstLine="240" w:firstLineChars="100"/>
        <w:rPr>
          <w:rFonts w:ascii="宋体" w:hAnsi="宋体" w:cs="宋体"/>
          <w:sz w:val="24"/>
        </w:rPr>
      </w:pPr>
      <w:r>
        <w:rPr>
          <w:rFonts w:hint="eastAsia" w:ascii="宋体" w:hAnsi="宋体" w:cs="宋体"/>
          <w:sz w:val="24"/>
        </w:rPr>
        <w:t>（4）《中华人民共和国资产评估法》</w:t>
      </w:r>
    </w:p>
    <w:p>
      <w:pPr>
        <w:spacing w:line="520" w:lineRule="exact"/>
        <w:ind w:firstLine="240" w:firstLineChars="100"/>
        <w:rPr>
          <w:rFonts w:ascii="宋体" w:hAnsi="宋体" w:cs="宋体"/>
          <w:sz w:val="24"/>
        </w:rPr>
      </w:pPr>
      <w:r>
        <w:rPr>
          <w:rFonts w:hint="eastAsia" w:ascii="宋体" w:hAnsi="宋体" w:cs="宋体"/>
          <w:sz w:val="24"/>
        </w:rPr>
        <w:t>（5）《关于进一步加强地价动态监测工作的通知》（国土资发﹝2008﹞51号）</w:t>
      </w:r>
    </w:p>
    <w:p>
      <w:pPr>
        <w:spacing w:line="520" w:lineRule="exact"/>
        <w:ind w:left="810" w:leftChars="100" w:hanging="600" w:hangingChars="250"/>
        <w:rPr>
          <w:rFonts w:ascii="宋体" w:hAnsi="宋体" w:cs="宋体"/>
          <w:sz w:val="24"/>
        </w:rPr>
      </w:pPr>
      <w:r>
        <w:rPr>
          <w:rFonts w:hint="eastAsia" w:ascii="宋体" w:hAnsi="宋体" w:cs="宋体"/>
          <w:sz w:val="24"/>
        </w:rPr>
        <w:t>（6）《中共中央关于全面深化改革若干重大问题的决定》（2013年11月12日中国共产党第十八届中央委员会第三次全体会议）</w:t>
      </w:r>
    </w:p>
    <w:p>
      <w:pPr>
        <w:spacing w:line="520" w:lineRule="exact"/>
        <w:ind w:left="810" w:leftChars="100" w:hanging="600" w:hangingChars="250"/>
        <w:rPr>
          <w:rFonts w:ascii="宋体" w:hAnsi="宋体" w:cs="宋体"/>
          <w:sz w:val="24"/>
        </w:rPr>
      </w:pPr>
      <w:r>
        <w:rPr>
          <w:rFonts w:hint="eastAsia" w:ascii="宋体" w:hAnsi="宋体" w:cs="宋体"/>
          <w:sz w:val="24"/>
        </w:rPr>
        <w:t>（7）《国土资源部办公厅关于加强地价体系建设和管理有关问题的通知》（国土资厅﹝2017﹞27号）</w:t>
      </w:r>
    </w:p>
    <w:p>
      <w:pPr>
        <w:spacing w:line="520" w:lineRule="exact"/>
        <w:ind w:left="570" w:leftChars="100" w:hanging="360" w:hangingChars="150"/>
        <w:rPr>
          <w:rFonts w:ascii="宋体" w:hAnsi="宋体" w:cs="宋体"/>
          <w:sz w:val="24"/>
        </w:rPr>
      </w:pPr>
      <w:r>
        <w:rPr>
          <w:rFonts w:hint="eastAsia" w:ascii="宋体" w:hAnsi="宋体" w:cs="宋体"/>
          <w:sz w:val="24"/>
        </w:rPr>
        <w:t>（8）《自然资源部办公厅关于部署开展2018年城乡地价调查与监测工作的通知》（自然资办发﹝2018﹞10号）</w:t>
      </w:r>
    </w:p>
    <w:p>
      <w:pPr>
        <w:spacing w:line="520" w:lineRule="exact"/>
        <w:ind w:firstLine="480" w:firstLineChars="200"/>
        <w:rPr>
          <w:rFonts w:ascii="宋体" w:hAnsi="宋体" w:cs="宋体"/>
          <w:sz w:val="24"/>
        </w:rPr>
      </w:pPr>
      <w:r>
        <w:rPr>
          <w:rFonts w:hint="eastAsia" w:ascii="宋体" w:hAnsi="宋体" w:cs="宋体"/>
          <w:sz w:val="24"/>
        </w:rPr>
        <w:t>2.技术标准</w:t>
      </w:r>
    </w:p>
    <w:p>
      <w:pPr>
        <w:spacing w:line="520" w:lineRule="exact"/>
        <w:ind w:firstLine="240" w:firstLineChars="100"/>
        <w:rPr>
          <w:rFonts w:ascii="宋体" w:hAnsi="宋体" w:cs="宋体"/>
          <w:sz w:val="24"/>
        </w:rPr>
      </w:pPr>
      <w:r>
        <w:rPr>
          <w:rFonts w:hint="eastAsia" w:ascii="宋体" w:hAnsi="宋体" w:cs="宋体"/>
          <w:sz w:val="24"/>
        </w:rPr>
        <w:t>（1）《城镇土地分等定级规程》（GB/T18507-2014）</w:t>
      </w:r>
    </w:p>
    <w:p>
      <w:pPr>
        <w:spacing w:line="520" w:lineRule="exact"/>
        <w:ind w:firstLine="240" w:firstLineChars="100"/>
        <w:rPr>
          <w:rFonts w:ascii="宋体" w:hAnsi="宋体" w:cs="宋体"/>
          <w:sz w:val="24"/>
        </w:rPr>
      </w:pPr>
      <w:r>
        <w:rPr>
          <w:rFonts w:hint="eastAsia" w:ascii="宋体" w:hAnsi="宋体" w:cs="宋体"/>
          <w:sz w:val="24"/>
        </w:rPr>
        <w:t>（2）《城镇土地估价规程》（GB/T18508-2014）</w:t>
      </w:r>
    </w:p>
    <w:p>
      <w:pPr>
        <w:spacing w:line="520" w:lineRule="exact"/>
        <w:ind w:firstLine="240" w:firstLineChars="100"/>
        <w:rPr>
          <w:rFonts w:ascii="宋体" w:hAnsi="宋体" w:cs="宋体"/>
          <w:sz w:val="24"/>
        </w:rPr>
      </w:pPr>
      <w:r>
        <w:rPr>
          <w:rFonts w:hint="eastAsia" w:ascii="宋体" w:hAnsi="宋体" w:cs="宋体"/>
          <w:sz w:val="24"/>
        </w:rPr>
        <w:t>（3）《农用地估价规程》（GB/T28406-2012）</w:t>
      </w:r>
    </w:p>
    <w:p>
      <w:pPr>
        <w:spacing w:line="520" w:lineRule="exact"/>
        <w:ind w:firstLine="240" w:firstLineChars="100"/>
        <w:rPr>
          <w:rFonts w:ascii="宋体" w:hAnsi="宋体" w:cs="宋体"/>
          <w:sz w:val="24"/>
        </w:rPr>
      </w:pPr>
      <w:r>
        <w:rPr>
          <w:rFonts w:hint="eastAsia" w:ascii="宋体" w:hAnsi="宋体" w:cs="宋体"/>
          <w:sz w:val="24"/>
        </w:rPr>
        <w:t xml:space="preserve"> （4）《城市地价动态监测技术规范》（TD/T 1009-2007）</w:t>
      </w:r>
    </w:p>
    <w:p>
      <w:pPr>
        <w:spacing w:line="520" w:lineRule="exact"/>
        <w:ind w:firstLine="240" w:firstLineChars="100"/>
        <w:rPr>
          <w:rFonts w:ascii="宋体" w:hAnsi="宋体" w:cs="宋体"/>
          <w:sz w:val="24"/>
        </w:rPr>
      </w:pPr>
      <w:r>
        <w:rPr>
          <w:rFonts w:hint="eastAsia" w:ascii="宋体" w:hAnsi="宋体" w:cs="宋体"/>
          <w:sz w:val="24"/>
        </w:rPr>
        <w:t>（三）成果内容</w:t>
      </w:r>
    </w:p>
    <w:p>
      <w:pPr>
        <w:spacing w:line="520" w:lineRule="exact"/>
        <w:ind w:firstLine="240" w:firstLineChars="100"/>
        <w:rPr>
          <w:rFonts w:ascii="宋体" w:hAnsi="宋体" w:cs="宋体"/>
          <w:sz w:val="24"/>
        </w:rPr>
      </w:pPr>
      <w:r>
        <w:rPr>
          <w:rFonts w:hint="eastAsia" w:ascii="宋体" w:hAnsi="宋体" w:cs="宋体"/>
          <w:sz w:val="24"/>
        </w:rPr>
        <w:t>主要包括文字成果、图件成果、表格成果、数据库成果和基础资料汇编成果，具体内容为：</w:t>
      </w:r>
    </w:p>
    <w:p>
      <w:pPr>
        <w:spacing w:line="520" w:lineRule="exact"/>
        <w:ind w:firstLine="240" w:firstLineChars="100"/>
        <w:rPr>
          <w:rFonts w:ascii="宋体" w:hAnsi="宋体" w:cs="宋体"/>
          <w:sz w:val="24"/>
        </w:rPr>
      </w:pPr>
      <w:r>
        <w:rPr>
          <w:rFonts w:hint="eastAsia" w:ascii="宋体" w:hAnsi="宋体" w:cs="宋体"/>
          <w:sz w:val="24"/>
        </w:rPr>
        <w:t>1.文字成果</w:t>
      </w:r>
    </w:p>
    <w:p>
      <w:pPr>
        <w:spacing w:line="520" w:lineRule="exact"/>
        <w:ind w:firstLine="240" w:firstLineChars="100"/>
        <w:rPr>
          <w:rFonts w:ascii="宋体" w:hAnsi="宋体" w:cs="宋体"/>
          <w:sz w:val="24"/>
        </w:rPr>
      </w:pPr>
      <w:r>
        <w:rPr>
          <w:rFonts w:hint="eastAsia" w:ascii="宋体" w:hAnsi="宋体" w:cs="宋体"/>
          <w:sz w:val="24"/>
        </w:rPr>
        <w:t>（1）贵港市本级2021年度城市地价动态监测范围及标准宗地布设方案；</w:t>
      </w:r>
    </w:p>
    <w:p>
      <w:pPr>
        <w:spacing w:line="520" w:lineRule="exact"/>
        <w:ind w:firstLine="240" w:firstLineChars="100"/>
        <w:rPr>
          <w:rFonts w:ascii="宋体" w:hAnsi="宋体" w:cs="宋体"/>
          <w:sz w:val="24"/>
        </w:rPr>
      </w:pPr>
      <w:r>
        <w:rPr>
          <w:rFonts w:hint="eastAsia" w:ascii="宋体" w:hAnsi="宋体" w:cs="宋体"/>
          <w:sz w:val="24"/>
        </w:rPr>
        <w:t>（2）贵港市本级2021年第一季度城市地价动态监测报告；</w:t>
      </w:r>
    </w:p>
    <w:p>
      <w:pPr>
        <w:spacing w:line="520" w:lineRule="exact"/>
        <w:ind w:firstLine="240" w:firstLineChars="100"/>
        <w:rPr>
          <w:rFonts w:ascii="宋体" w:hAnsi="宋体" w:cs="宋体"/>
          <w:sz w:val="24"/>
        </w:rPr>
      </w:pPr>
      <w:r>
        <w:rPr>
          <w:rFonts w:hint="eastAsia" w:ascii="宋体" w:hAnsi="宋体" w:cs="宋体"/>
          <w:sz w:val="24"/>
        </w:rPr>
        <w:t>（3）贵港市本级2021年第二季度城市地价动态监测报告；</w:t>
      </w:r>
    </w:p>
    <w:p>
      <w:pPr>
        <w:spacing w:line="520" w:lineRule="exact"/>
        <w:ind w:firstLine="240" w:firstLineChars="100"/>
        <w:rPr>
          <w:rFonts w:ascii="宋体" w:hAnsi="宋体" w:cs="宋体"/>
          <w:sz w:val="24"/>
        </w:rPr>
      </w:pPr>
      <w:r>
        <w:rPr>
          <w:rFonts w:hint="eastAsia" w:ascii="宋体" w:hAnsi="宋体" w:cs="宋体"/>
          <w:sz w:val="24"/>
        </w:rPr>
        <w:t>（4）贵港市本级2021年第三季度城市地价动态监测报告；</w:t>
      </w:r>
    </w:p>
    <w:p>
      <w:pPr>
        <w:spacing w:line="520" w:lineRule="exact"/>
        <w:ind w:firstLine="240" w:firstLineChars="100"/>
        <w:rPr>
          <w:rFonts w:ascii="宋体" w:hAnsi="宋体" w:cs="宋体"/>
          <w:sz w:val="24"/>
        </w:rPr>
      </w:pPr>
      <w:r>
        <w:rPr>
          <w:rFonts w:hint="eastAsia" w:ascii="宋体" w:hAnsi="宋体" w:cs="宋体"/>
          <w:sz w:val="24"/>
        </w:rPr>
        <w:t>（5）贵港市本级2021年度城市地价动态监测报告。</w:t>
      </w:r>
    </w:p>
    <w:p>
      <w:pPr>
        <w:spacing w:line="520" w:lineRule="exact"/>
        <w:ind w:firstLine="240" w:firstLineChars="100"/>
        <w:rPr>
          <w:rFonts w:ascii="宋体" w:hAnsi="宋体" w:cs="宋体"/>
          <w:sz w:val="24"/>
        </w:rPr>
      </w:pPr>
      <w:r>
        <w:rPr>
          <w:rFonts w:hint="eastAsia" w:ascii="宋体" w:hAnsi="宋体" w:cs="宋体"/>
          <w:sz w:val="24"/>
        </w:rPr>
        <w:t>2.图件成果</w:t>
      </w:r>
    </w:p>
    <w:p>
      <w:pPr>
        <w:spacing w:line="520" w:lineRule="exact"/>
        <w:ind w:firstLine="240" w:firstLineChars="100"/>
        <w:rPr>
          <w:rFonts w:ascii="宋体" w:hAnsi="宋体" w:cs="宋体"/>
          <w:sz w:val="24"/>
        </w:rPr>
      </w:pPr>
      <w:r>
        <w:rPr>
          <w:rFonts w:hint="eastAsia" w:ascii="宋体" w:hAnsi="宋体" w:cs="宋体"/>
          <w:sz w:val="24"/>
        </w:rPr>
        <w:t xml:space="preserve">（1）贵港市本级城市地价动态监测区段分布图； </w:t>
      </w:r>
    </w:p>
    <w:p>
      <w:pPr>
        <w:spacing w:line="520" w:lineRule="exact"/>
        <w:ind w:firstLine="240" w:firstLineChars="100"/>
        <w:rPr>
          <w:rFonts w:ascii="宋体" w:hAnsi="宋体" w:cs="宋体"/>
          <w:sz w:val="24"/>
        </w:rPr>
      </w:pPr>
      <w:r>
        <w:rPr>
          <w:rFonts w:hint="eastAsia" w:ascii="宋体" w:hAnsi="宋体" w:cs="宋体"/>
          <w:sz w:val="24"/>
        </w:rPr>
        <w:t>（2）贵港市本级城市地价动态监测点布设图；</w:t>
      </w:r>
    </w:p>
    <w:p>
      <w:pPr>
        <w:spacing w:line="520" w:lineRule="exact"/>
        <w:ind w:firstLine="240" w:firstLineChars="100"/>
        <w:rPr>
          <w:rFonts w:ascii="宋体" w:hAnsi="宋体" w:cs="宋体"/>
          <w:sz w:val="24"/>
        </w:rPr>
      </w:pPr>
      <w:r>
        <w:rPr>
          <w:rFonts w:hint="eastAsia" w:ascii="宋体" w:hAnsi="宋体" w:cs="宋体"/>
          <w:sz w:val="24"/>
        </w:rPr>
        <w:t>（3）贵港市本级城市地价动态监测点标准宗地图；</w:t>
      </w:r>
    </w:p>
    <w:p>
      <w:pPr>
        <w:spacing w:line="520" w:lineRule="exact"/>
        <w:ind w:firstLine="240" w:firstLineChars="100"/>
        <w:rPr>
          <w:rFonts w:ascii="宋体" w:hAnsi="宋体" w:cs="宋体"/>
          <w:sz w:val="24"/>
        </w:rPr>
      </w:pPr>
      <w:r>
        <w:rPr>
          <w:rFonts w:hint="eastAsia" w:ascii="宋体" w:hAnsi="宋体" w:cs="宋体"/>
          <w:sz w:val="24"/>
        </w:rPr>
        <w:t>（4）贵港市本级城市地价动态监测点现状影像图。</w:t>
      </w:r>
    </w:p>
    <w:p>
      <w:pPr>
        <w:spacing w:line="520" w:lineRule="exact"/>
        <w:ind w:firstLine="240" w:firstLineChars="100"/>
        <w:rPr>
          <w:rFonts w:ascii="宋体" w:hAnsi="宋体" w:cs="宋体"/>
          <w:sz w:val="24"/>
        </w:rPr>
      </w:pPr>
      <w:r>
        <w:rPr>
          <w:rFonts w:hint="eastAsia" w:ascii="宋体" w:hAnsi="宋体" w:cs="宋体"/>
          <w:sz w:val="24"/>
        </w:rPr>
        <w:t>3.表格成果</w:t>
      </w:r>
    </w:p>
    <w:p>
      <w:pPr>
        <w:spacing w:line="520" w:lineRule="exact"/>
        <w:ind w:firstLine="240" w:firstLineChars="100"/>
        <w:rPr>
          <w:rFonts w:ascii="宋体" w:hAnsi="宋体" w:cs="宋体"/>
          <w:sz w:val="24"/>
        </w:rPr>
      </w:pPr>
      <w:r>
        <w:rPr>
          <w:rFonts w:hint="eastAsia" w:ascii="宋体" w:hAnsi="宋体" w:cs="宋体"/>
          <w:sz w:val="24"/>
        </w:rPr>
        <w:t>（1）</w:t>
      </w:r>
      <w:r>
        <w:rPr>
          <w:rFonts w:eastAsia="仿宋_GB2312"/>
          <w:kern w:val="0"/>
          <w:sz w:val="24"/>
        </w:rPr>
        <w:t>城市地价动态监测联络员及技术负责人信息登记表（初始/变更）</w:t>
      </w:r>
    </w:p>
    <w:p>
      <w:pPr>
        <w:spacing w:line="520" w:lineRule="exact"/>
        <w:ind w:firstLine="360" w:firstLineChars="150"/>
        <w:rPr>
          <w:rFonts w:ascii="宋体" w:hAnsi="宋体" w:cs="宋体"/>
          <w:sz w:val="24"/>
        </w:rPr>
      </w:pPr>
      <w:r>
        <w:rPr>
          <w:rFonts w:hint="eastAsia" w:ascii="宋体" w:hAnsi="宋体" w:cs="宋体"/>
          <w:sz w:val="24"/>
        </w:rPr>
        <w:t>(2)贵港市本级2021年</w:t>
      </w:r>
      <w:r>
        <w:rPr>
          <w:rFonts w:ascii="宋体" w:hAnsi="宋体" w:cs="宋体"/>
          <w:sz w:val="24"/>
        </w:rPr>
        <w:t>城市地价动态监测技术承担单位信息表（初始/变更）</w:t>
      </w:r>
    </w:p>
    <w:p>
      <w:pPr>
        <w:spacing w:line="520" w:lineRule="exact"/>
        <w:ind w:firstLine="240" w:firstLineChars="100"/>
        <w:rPr>
          <w:rFonts w:ascii="宋体" w:hAnsi="宋体" w:cs="宋体"/>
          <w:sz w:val="24"/>
        </w:rPr>
      </w:pPr>
      <w:r>
        <w:rPr>
          <w:rFonts w:hint="eastAsia" w:ascii="宋体" w:hAnsi="宋体" w:cs="宋体"/>
          <w:sz w:val="24"/>
        </w:rPr>
        <w:t>（3）贵港市本级2021年标准宗地登记表；</w:t>
      </w:r>
    </w:p>
    <w:p>
      <w:pPr>
        <w:spacing w:line="520" w:lineRule="exact"/>
        <w:ind w:firstLine="240" w:firstLineChars="100"/>
        <w:rPr>
          <w:rFonts w:ascii="宋体" w:hAnsi="宋体" w:cs="宋体"/>
          <w:sz w:val="24"/>
        </w:rPr>
      </w:pPr>
      <w:r>
        <w:rPr>
          <w:rFonts w:hint="eastAsia" w:ascii="宋体" w:hAnsi="宋体" w:cs="宋体"/>
          <w:sz w:val="24"/>
        </w:rPr>
        <w:t>（4）技术承担单位</w:t>
      </w:r>
      <w:r>
        <w:rPr>
          <w:rFonts w:ascii="宋体" w:hAnsi="宋体" w:cs="宋体"/>
          <w:sz w:val="24"/>
        </w:rPr>
        <w:t>标准宗地</w:t>
      </w:r>
      <w:r>
        <w:rPr>
          <w:rFonts w:hint="eastAsia" w:ascii="宋体" w:hAnsi="宋体" w:cs="宋体"/>
          <w:sz w:val="24"/>
        </w:rPr>
        <w:t>汇总</w:t>
      </w:r>
      <w:r>
        <w:rPr>
          <w:rFonts w:ascii="宋体" w:hAnsi="宋体" w:cs="宋体"/>
          <w:sz w:val="24"/>
        </w:rPr>
        <w:t>表（年度/季度）</w:t>
      </w:r>
    </w:p>
    <w:p>
      <w:pPr>
        <w:spacing w:line="520" w:lineRule="exact"/>
        <w:ind w:firstLine="240" w:firstLineChars="100"/>
        <w:rPr>
          <w:rFonts w:ascii="宋体" w:hAnsi="宋体" w:cs="宋体"/>
          <w:sz w:val="24"/>
        </w:rPr>
      </w:pPr>
      <w:r>
        <w:rPr>
          <w:rFonts w:hint="eastAsia" w:ascii="宋体" w:hAnsi="宋体" w:cs="宋体"/>
          <w:sz w:val="24"/>
        </w:rPr>
        <w:t>（5）贵港市本级2021年城市地价动态监测工作信息登记表；</w:t>
      </w:r>
    </w:p>
    <w:p>
      <w:pPr>
        <w:spacing w:line="520" w:lineRule="exact"/>
        <w:ind w:firstLine="240" w:firstLineChars="100"/>
        <w:rPr>
          <w:rFonts w:ascii="宋体" w:hAnsi="宋体" w:cs="宋体"/>
          <w:sz w:val="24"/>
        </w:rPr>
      </w:pPr>
      <w:r>
        <w:rPr>
          <w:rFonts w:hint="eastAsia" w:ascii="宋体" w:hAnsi="宋体" w:cs="宋体"/>
          <w:sz w:val="24"/>
        </w:rPr>
        <w:t>（6）贵港市本级2021年城市地价动态监测工作采集人员登记表；</w:t>
      </w:r>
    </w:p>
    <w:p>
      <w:pPr>
        <w:spacing w:line="520" w:lineRule="exact"/>
        <w:ind w:firstLine="240" w:firstLineChars="100"/>
        <w:rPr>
          <w:rFonts w:ascii="宋体" w:hAnsi="宋体" w:cs="宋体"/>
          <w:sz w:val="24"/>
        </w:rPr>
      </w:pPr>
      <w:r>
        <w:rPr>
          <w:rFonts w:hint="eastAsia" w:ascii="宋体" w:hAnsi="宋体" w:cs="宋体"/>
          <w:sz w:val="24"/>
        </w:rPr>
        <w:t>（7）贵港市本级2021年城市地价动态监测工作区段登记表；</w:t>
      </w:r>
    </w:p>
    <w:p>
      <w:pPr>
        <w:spacing w:line="520" w:lineRule="exact"/>
        <w:ind w:firstLine="240" w:firstLineChars="100"/>
        <w:rPr>
          <w:rFonts w:ascii="宋体" w:hAnsi="宋体" w:cs="宋体"/>
          <w:sz w:val="24"/>
        </w:rPr>
      </w:pPr>
      <w:r>
        <w:rPr>
          <w:rFonts w:hint="eastAsia" w:ascii="宋体" w:hAnsi="宋体" w:cs="宋体"/>
          <w:sz w:val="24"/>
        </w:rPr>
        <w:t>（8）贵港市本级2021年城市地价动态监测指标(</w:t>
      </w:r>
      <w:r>
        <w:rPr>
          <w:rFonts w:eastAsia="仿宋_GB2312"/>
          <w:kern w:val="0"/>
          <w:sz w:val="24"/>
        </w:rPr>
        <w:t>年度</w:t>
      </w:r>
      <w:r>
        <w:rPr>
          <w:rFonts w:hint="eastAsia" w:eastAsia="仿宋_GB2312"/>
          <w:kern w:val="0"/>
          <w:sz w:val="24"/>
        </w:rPr>
        <w:t>)</w:t>
      </w:r>
      <w:r>
        <w:rPr>
          <w:rFonts w:hint="eastAsia" w:ascii="宋体" w:hAnsi="宋体" w:cs="宋体"/>
          <w:sz w:val="24"/>
        </w:rPr>
        <w:t>调查表；</w:t>
      </w:r>
    </w:p>
    <w:p>
      <w:pPr>
        <w:spacing w:line="520" w:lineRule="exact"/>
        <w:ind w:firstLine="240" w:firstLineChars="100"/>
        <w:rPr>
          <w:rFonts w:ascii="宋体" w:hAnsi="宋体" w:cs="宋体"/>
          <w:sz w:val="24"/>
        </w:rPr>
      </w:pPr>
      <w:r>
        <w:rPr>
          <w:rFonts w:hint="eastAsia" w:ascii="宋体" w:hAnsi="宋体" w:cs="宋体"/>
          <w:sz w:val="24"/>
        </w:rPr>
        <w:t>（9）贵港市本级2021年城市地价动态监测指标(</w:t>
      </w:r>
      <w:r>
        <w:rPr>
          <w:rFonts w:hint="eastAsia" w:eastAsia="仿宋_GB2312"/>
          <w:kern w:val="0"/>
          <w:sz w:val="24"/>
        </w:rPr>
        <w:t>季</w:t>
      </w:r>
      <w:r>
        <w:rPr>
          <w:rFonts w:eastAsia="仿宋_GB2312"/>
          <w:kern w:val="0"/>
          <w:sz w:val="24"/>
        </w:rPr>
        <w:t>度</w:t>
      </w:r>
      <w:r>
        <w:rPr>
          <w:rFonts w:hint="eastAsia" w:eastAsia="仿宋_GB2312"/>
          <w:kern w:val="0"/>
          <w:sz w:val="24"/>
        </w:rPr>
        <w:t>)</w:t>
      </w:r>
      <w:r>
        <w:rPr>
          <w:rFonts w:hint="eastAsia" w:ascii="宋体" w:hAnsi="宋体" w:cs="宋体"/>
          <w:sz w:val="24"/>
        </w:rPr>
        <w:t>调查表；</w:t>
      </w:r>
    </w:p>
    <w:p>
      <w:pPr>
        <w:spacing w:line="520" w:lineRule="exact"/>
        <w:ind w:firstLine="240" w:firstLineChars="100"/>
        <w:rPr>
          <w:rFonts w:ascii="宋体" w:hAnsi="宋体" w:cs="宋体"/>
          <w:sz w:val="24"/>
        </w:rPr>
      </w:pPr>
      <w:r>
        <w:rPr>
          <w:rFonts w:hint="eastAsia" w:ascii="宋体" w:hAnsi="宋体" w:cs="宋体"/>
          <w:sz w:val="24"/>
        </w:rPr>
        <w:t>（10）贵港市本级2021年</w:t>
      </w:r>
      <w:r>
        <w:rPr>
          <w:rFonts w:ascii="宋体" w:hAnsi="宋体" w:cs="宋体"/>
          <w:sz w:val="24"/>
        </w:rPr>
        <w:t>土地（年度）供需情况调查表</w:t>
      </w:r>
    </w:p>
    <w:p>
      <w:pPr>
        <w:spacing w:line="520" w:lineRule="exact"/>
        <w:ind w:firstLine="240" w:firstLineChars="100"/>
        <w:rPr>
          <w:rFonts w:ascii="宋体" w:hAnsi="宋体" w:cs="宋体"/>
          <w:sz w:val="24"/>
        </w:rPr>
      </w:pPr>
      <w:r>
        <w:rPr>
          <w:rFonts w:hint="eastAsia" w:ascii="宋体" w:hAnsi="宋体" w:cs="宋体"/>
          <w:sz w:val="24"/>
        </w:rPr>
        <w:t>（11）贵港市本级2021年城市地价动态监测指标测算过程表；</w:t>
      </w:r>
    </w:p>
    <w:p>
      <w:pPr>
        <w:spacing w:line="520" w:lineRule="exact"/>
        <w:ind w:firstLine="240" w:firstLineChars="100"/>
        <w:rPr>
          <w:rFonts w:ascii="宋体" w:hAnsi="宋体" w:cs="宋体"/>
          <w:sz w:val="24"/>
        </w:rPr>
      </w:pPr>
      <w:r>
        <w:rPr>
          <w:rFonts w:hint="eastAsia" w:ascii="宋体" w:hAnsi="宋体" w:cs="宋体"/>
          <w:sz w:val="24"/>
        </w:rPr>
        <w:t>（12）贵港市本级2021年土地交易样本调查表；</w:t>
      </w:r>
    </w:p>
    <w:p>
      <w:pPr>
        <w:spacing w:line="520" w:lineRule="exact"/>
        <w:ind w:firstLine="240" w:firstLineChars="100"/>
        <w:rPr>
          <w:rFonts w:ascii="宋体" w:hAnsi="宋体" w:cs="宋体"/>
          <w:sz w:val="24"/>
        </w:rPr>
      </w:pPr>
      <w:r>
        <w:rPr>
          <w:rFonts w:hint="eastAsia" w:ascii="宋体" w:hAnsi="宋体" w:cs="宋体"/>
          <w:sz w:val="24"/>
        </w:rPr>
        <w:t>（13）贵港市本级2021年估价师标准宗地调查表；</w:t>
      </w:r>
    </w:p>
    <w:p>
      <w:pPr>
        <w:spacing w:line="520" w:lineRule="exact"/>
        <w:ind w:firstLine="240" w:firstLineChars="100"/>
        <w:rPr>
          <w:rFonts w:ascii="宋体" w:hAnsi="宋体" w:cs="宋体"/>
          <w:sz w:val="24"/>
        </w:rPr>
      </w:pPr>
      <w:r>
        <w:rPr>
          <w:rFonts w:hint="eastAsia" w:ascii="宋体" w:hAnsi="宋体" w:cs="宋体"/>
          <w:sz w:val="24"/>
        </w:rPr>
        <w:t>（14）贵港市本级2021年估价师标准宗地地价评估技术要点表。</w:t>
      </w:r>
    </w:p>
    <w:p>
      <w:pPr>
        <w:spacing w:line="520" w:lineRule="exact"/>
        <w:ind w:firstLine="240" w:firstLineChars="100"/>
        <w:rPr>
          <w:rFonts w:ascii="宋体" w:hAnsi="宋体" w:cs="宋体"/>
          <w:sz w:val="24"/>
        </w:rPr>
      </w:pPr>
      <w:r>
        <w:rPr>
          <w:rFonts w:hint="eastAsia" w:ascii="宋体" w:hAnsi="宋体" w:cs="宋体"/>
          <w:sz w:val="24"/>
        </w:rPr>
        <w:t>4.数据库成果</w:t>
      </w:r>
    </w:p>
    <w:p>
      <w:pPr>
        <w:spacing w:line="520" w:lineRule="exact"/>
        <w:ind w:firstLine="240" w:firstLineChars="100"/>
        <w:rPr>
          <w:rFonts w:ascii="宋体" w:hAnsi="宋体" w:cs="宋体"/>
          <w:sz w:val="24"/>
        </w:rPr>
      </w:pPr>
      <w:r>
        <w:rPr>
          <w:rFonts w:hint="eastAsia" w:ascii="宋体" w:hAnsi="宋体" w:cs="宋体"/>
          <w:sz w:val="24"/>
        </w:rPr>
        <w:t>贵港市本级2021年城市地价动态监测数据库。</w:t>
      </w:r>
    </w:p>
    <w:p>
      <w:pPr>
        <w:spacing w:line="520" w:lineRule="exact"/>
        <w:ind w:firstLine="240" w:firstLineChars="100"/>
        <w:rPr>
          <w:rFonts w:ascii="宋体" w:hAnsi="宋体" w:cs="宋体"/>
          <w:sz w:val="24"/>
        </w:rPr>
      </w:pPr>
      <w:r>
        <w:rPr>
          <w:rFonts w:hint="eastAsia" w:ascii="宋体" w:hAnsi="宋体" w:cs="宋体"/>
          <w:sz w:val="24"/>
        </w:rPr>
        <w:t>（四）成果格式</w:t>
      </w:r>
    </w:p>
    <w:p>
      <w:pPr>
        <w:spacing w:line="520" w:lineRule="exact"/>
        <w:ind w:firstLine="240" w:firstLineChars="100"/>
        <w:rPr>
          <w:rFonts w:ascii="宋体" w:hAnsi="宋体" w:cs="宋体"/>
          <w:sz w:val="24"/>
        </w:rPr>
      </w:pPr>
      <w:r>
        <w:rPr>
          <w:rFonts w:hint="eastAsia" w:ascii="宋体" w:hAnsi="宋体" w:cs="宋体"/>
          <w:sz w:val="24"/>
        </w:rPr>
        <w:t>文字类电子成果为Word格式，表格类电子成果为Exce格式，图形数据类电子成果为shp格式，图像类电子成果为JPG格式。</w:t>
      </w:r>
    </w:p>
    <w:p>
      <w:pPr>
        <w:spacing w:line="520" w:lineRule="exact"/>
        <w:ind w:firstLine="240" w:firstLineChars="100"/>
        <w:rPr>
          <w:rFonts w:ascii="宋体" w:hAnsi="宋体" w:cs="宋体"/>
          <w:sz w:val="24"/>
        </w:rPr>
      </w:pPr>
      <w:r>
        <w:rPr>
          <w:rFonts w:hint="eastAsia" w:ascii="宋体" w:hAnsi="宋体" w:cs="宋体"/>
          <w:sz w:val="24"/>
        </w:rPr>
        <w:t>（五）质量要求</w:t>
      </w:r>
    </w:p>
    <w:p>
      <w:pPr>
        <w:spacing w:line="520" w:lineRule="exact"/>
        <w:ind w:firstLine="480" w:firstLineChars="200"/>
        <w:rPr>
          <w:rFonts w:ascii="宋体" w:hAnsi="宋体" w:cs="宋体"/>
          <w:sz w:val="24"/>
        </w:rPr>
      </w:pPr>
      <w:r>
        <w:rPr>
          <w:rFonts w:hint="eastAsia" w:ascii="宋体" w:hAnsi="宋体" w:cs="宋体"/>
          <w:sz w:val="24"/>
        </w:rPr>
        <w:t>所有成果均须符合相关国家标准和自治区自然资源厅要求。</w:t>
      </w:r>
    </w:p>
    <w:p>
      <w:pPr>
        <w:spacing w:line="520" w:lineRule="exact"/>
        <w:ind w:firstLine="480" w:firstLineChars="200"/>
        <w:rPr>
          <w:rFonts w:ascii="宋体" w:hAnsi="宋体" w:cs="宋体"/>
          <w:sz w:val="24"/>
        </w:rPr>
      </w:pPr>
      <w:r>
        <w:rPr>
          <w:rFonts w:hint="eastAsia" w:ascii="宋体" w:hAnsi="宋体" w:cs="宋体"/>
          <w:sz w:val="24"/>
        </w:rPr>
        <w:t>三、工作时间要求</w:t>
      </w:r>
    </w:p>
    <w:p>
      <w:pPr>
        <w:spacing w:line="520" w:lineRule="exact"/>
        <w:ind w:firstLine="630"/>
        <w:rPr>
          <w:rFonts w:ascii="宋体" w:hAnsi="宋体" w:cs="宋体"/>
          <w:sz w:val="24"/>
        </w:rPr>
      </w:pPr>
      <w:r>
        <w:rPr>
          <w:rFonts w:hint="eastAsia" w:ascii="宋体" w:hAnsi="宋体" w:cs="宋体"/>
          <w:sz w:val="24"/>
        </w:rPr>
        <w:t>2021年3月前，确定地价动态监测的范围，划定地价监测区段，确定地价监测点，建立地价监测数据库；2021年3月31日前，完成第一季度城市地价动态监测报告；2021年6月31日前，完成第二季度城市地价动态监测报告；2021年9月31日前，完成第三季度城市地价动态监测报告；2022年1月10日前，完成年度城市地价动态监测报告。根据自治区自然资源厅最终工作部署和时限要求，落实成果报送并确保通过审查 。</w:t>
      </w:r>
    </w:p>
    <w:p>
      <w:pPr>
        <w:spacing w:line="520" w:lineRule="exact"/>
        <w:ind w:left="645"/>
        <w:rPr>
          <w:rFonts w:ascii="宋体" w:hAnsi="宋体" w:cs="宋体"/>
          <w:sz w:val="24"/>
        </w:rPr>
      </w:pPr>
      <w:r>
        <w:rPr>
          <w:rFonts w:hint="eastAsia" w:ascii="宋体" w:hAnsi="宋体" w:cs="宋体"/>
          <w:sz w:val="24"/>
        </w:rPr>
        <w:t>四、竞标报价</w:t>
      </w:r>
    </w:p>
    <w:p>
      <w:pPr>
        <w:snapToGrid w:val="0"/>
        <w:spacing w:line="520" w:lineRule="exact"/>
        <w:ind w:firstLine="480" w:firstLineChars="200"/>
        <w:rPr>
          <w:rFonts w:ascii="宋体" w:hAnsi="宋体" w:cs="宋体"/>
          <w:sz w:val="24"/>
        </w:rPr>
      </w:pPr>
      <w:r>
        <w:rPr>
          <w:rFonts w:hint="eastAsia" w:ascii="宋体" w:hAnsi="宋体" w:cs="宋体"/>
          <w:sz w:val="24"/>
        </w:rPr>
        <w:t>本项目的总报价应包含数据采集、资料的收集、报告编制、领用涉密文件（测绘成果）、提供成果文件、对本项目所产生的所有开支、人力投入成本、技术投入、利润、税金、交通费等合同约定的应由中标人承担的开支、责任和风险等所发生的各项费用的总和。</w:t>
      </w:r>
    </w:p>
    <w:p>
      <w:pPr>
        <w:snapToGrid w:val="0"/>
        <w:spacing w:line="520" w:lineRule="exact"/>
        <w:ind w:firstLine="480" w:firstLineChars="200"/>
        <w:rPr>
          <w:rFonts w:ascii="宋体" w:hAnsi="宋体" w:cs="宋体"/>
          <w:sz w:val="24"/>
        </w:rPr>
      </w:pPr>
      <w:r>
        <w:rPr>
          <w:rFonts w:hint="eastAsia" w:ascii="宋体" w:hAnsi="宋体" w:cs="宋体"/>
          <w:sz w:val="24"/>
        </w:rPr>
        <w:t>五、付款方式</w:t>
      </w:r>
    </w:p>
    <w:p>
      <w:pPr>
        <w:snapToGrid w:val="0"/>
        <w:spacing w:line="520" w:lineRule="exact"/>
        <w:ind w:firstLine="480" w:firstLineChars="200"/>
        <w:rPr>
          <w:rFonts w:ascii="宋体" w:hAnsi="宋体" w:cs="宋体"/>
          <w:sz w:val="24"/>
        </w:rPr>
      </w:pPr>
      <w:r>
        <w:rPr>
          <w:rFonts w:hint="eastAsia" w:ascii="宋体" w:hAnsi="宋体" w:cs="宋体"/>
          <w:sz w:val="24"/>
        </w:rPr>
        <w:t>项目款分两期支付给成交人，在本合同签订签订后三十日内，由采购人以转账方式支付项目款50%给成交人作为启动经费，余下项目款待编制工作完成且通过自治区自然资源厅审核验收后，支付完余款，成交人开具正式等额发票给采购人。</w:t>
      </w:r>
    </w:p>
    <w:p>
      <w:pPr>
        <w:snapToGrid w:val="0"/>
        <w:spacing w:line="520" w:lineRule="exact"/>
        <w:ind w:firstLine="480" w:firstLineChars="200"/>
        <w:rPr>
          <w:rFonts w:ascii="宋体" w:hAnsi="宋体" w:cs="宋体"/>
          <w:sz w:val="24"/>
        </w:rPr>
      </w:pPr>
      <w:r>
        <w:rPr>
          <w:rFonts w:hint="eastAsia" w:ascii="宋体" w:hAnsi="宋体" w:cs="宋体"/>
          <w:sz w:val="24"/>
        </w:rPr>
        <w:t>乙方如不能按时完成评估监测任务或因成果质量问题未能通过审查，或成果报自治区自然资源厅不通过备案的，甲方有权解除合同，乙方返还已收的全部评估费用，并支付合同总价的20%作为违约金，甲方有权重新组织第三方进行评估。</w:t>
      </w:r>
    </w:p>
    <w:p>
      <w:pPr>
        <w:snapToGrid w:val="0"/>
        <w:spacing w:line="520" w:lineRule="exact"/>
        <w:ind w:firstLine="480" w:firstLineChars="200"/>
        <w:rPr>
          <w:rFonts w:ascii="宋体" w:hAnsi="宋体" w:cs="宋体"/>
          <w:sz w:val="24"/>
        </w:rPr>
      </w:pPr>
      <w:r>
        <w:rPr>
          <w:rFonts w:hint="eastAsia" w:ascii="宋体" w:hAnsi="宋体" w:cs="宋体"/>
          <w:sz w:val="24"/>
        </w:rPr>
        <w:t>如甲方同意乙方继续进行评估工作的，乙方应支付合同总价的20%作为违约金，并在15日内完成评估工作，逾期所产生的全部费用由乙方自行承担。</w:t>
      </w:r>
    </w:p>
    <w:p>
      <w:pPr>
        <w:tabs>
          <w:tab w:val="left" w:pos="180"/>
          <w:tab w:val="left" w:pos="1620"/>
        </w:tabs>
        <w:spacing w:line="400" w:lineRule="exact"/>
        <w:ind w:firstLine="420" w:firstLineChars="200"/>
        <w:rPr>
          <w:rFonts w:ascii="宋体" w:hAnsi="宋体" w:cs="宋体"/>
          <w:szCs w:val="21"/>
        </w:rPr>
      </w:pPr>
    </w:p>
    <w:p>
      <w:pPr>
        <w:tabs>
          <w:tab w:val="left" w:pos="180"/>
          <w:tab w:val="left" w:pos="1620"/>
        </w:tabs>
        <w:spacing w:line="400" w:lineRule="exact"/>
        <w:ind w:firstLine="420" w:firstLineChars="200"/>
        <w:rPr>
          <w:rFonts w:ascii="宋体" w:hAnsi="宋体" w:cs="宋体"/>
          <w:szCs w:val="21"/>
        </w:rPr>
      </w:pPr>
    </w:p>
    <w:p>
      <w:pPr>
        <w:tabs>
          <w:tab w:val="left" w:pos="180"/>
          <w:tab w:val="left" w:pos="1620"/>
        </w:tabs>
        <w:spacing w:line="400" w:lineRule="exact"/>
        <w:ind w:firstLine="420" w:firstLineChars="200"/>
        <w:rPr>
          <w:rFonts w:ascii="宋体" w:hAnsi="宋体" w:cs="宋体"/>
          <w:szCs w:val="21"/>
        </w:rPr>
      </w:pPr>
    </w:p>
    <w:p>
      <w:pPr>
        <w:jc w:val="center"/>
        <w:rPr>
          <w:rFonts w:ascii="宋体" w:hAnsi="宋体"/>
          <w:b/>
          <w:sz w:val="32"/>
          <w:szCs w:val="32"/>
        </w:rPr>
      </w:pPr>
      <w:bookmarkStart w:id="34" w:name="_Toc492023226"/>
      <w:bookmarkStart w:id="35" w:name="_Toc432155778"/>
    </w:p>
    <w:p>
      <w:pPr>
        <w:pStyle w:val="2"/>
        <w:rPr>
          <w:rFonts w:ascii="宋体" w:hAnsi="宋体"/>
          <w:b/>
          <w:sz w:val="32"/>
          <w:szCs w:val="32"/>
        </w:rPr>
      </w:pPr>
    </w:p>
    <w:p>
      <w:pPr>
        <w:rPr>
          <w:rFonts w:ascii="宋体" w:hAnsi="宋体"/>
          <w:b/>
          <w:sz w:val="32"/>
          <w:szCs w:val="32"/>
        </w:rPr>
      </w:pPr>
    </w:p>
    <w:p>
      <w:pPr>
        <w:pStyle w:val="2"/>
        <w:rPr>
          <w:rFonts w:ascii="宋体" w:hAnsi="宋体"/>
          <w:b/>
          <w:sz w:val="32"/>
          <w:szCs w:val="32"/>
        </w:rPr>
      </w:pPr>
    </w:p>
    <w:p>
      <w:pPr>
        <w:rPr>
          <w:rFonts w:ascii="宋体" w:hAnsi="宋体"/>
          <w:b/>
          <w:sz w:val="32"/>
          <w:szCs w:val="32"/>
        </w:rPr>
      </w:pPr>
    </w:p>
    <w:p>
      <w:pPr>
        <w:pStyle w:val="2"/>
      </w:pPr>
    </w:p>
    <w:p>
      <w:pPr>
        <w:rPr>
          <w:rFonts w:ascii="宋体" w:hAnsi="宋体"/>
          <w:b/>
          <w:sz w:val="32"/>
          <w:szCs w:val="32"/>
        </w:rPr>
      </w:pPr>
    </w:p>
    <w:p>
      <w:pPr>
        <w:pStyle w:val="2"/>
        <w:rPr>
          <w:rFonts w:ascii="宋体" w:hAnsi="宋体"/>
          <w:b/>
          <w:sz w:val="32"/>
          <w:szCs w:val="32"/>
        </w:rPr>
      </w:pPr>
    </w:p>
    <w:p>
      <w:pPr>
        <w:ind w:firstLine="1606" w:firstLineChars="500"/>
        <w:rPr>
          <w:rFonts w:ascii="宋体" w:hAnsi="宋体"/>
          <w:b/>
          <w:sz w:val="32"/>
          <w:szCs w:val="32"/>
        </w:rPr>
      </w:pPr>
      <w:r>
        <w:rPr>
          <w:rFonts w:hint="eastAsia" w:ascii="宋体" w:hAnsi="宋体"/>
          <w:b/>
          <w:sz w:val="32"/>
          <w:szCs w:val="32"/>
        </w:rPr>
        <w:t>第四章  评标办法及评标标准</w:t>
      </w:r>
      <w:bookmarkEnd w:id="34"/>
      <w:bookmarkEnd w:id="35"/>
    </w:p>
    <w:p>
      <w:pPr>
        <w:pStyle w:val="15"/>
        <w:jc w:val="center"/>
        <w:rPr>
          <w:rFonts w:hAnsi="宋体"/>
          <w:b/>
          <w:bCs/>
        </w:rPr>
      </w:pPr>
    </w:p>
    <w:p>
      <w:pPr>
        <w:pStyle w:val="15"/>
        <w:jc w:val="center"/>
        <w:rPr>
          <w:rFonts w:hAnsi="宋体" w:cs="宋体"/>
          <w:b/>
          <w:bCs/>
          <w:sz w:val="21"/>
        </w:rPr>
      </w:pPr>
      <w:r>
        <w:rPr>
          <w:rFonts w:hint="eastAsia" w:hAnsi="宋体" w:cs="宋体"/>
          <w:b/>
          <w:bCs/>
          <w:sz w:val="21"/>
        </w:rPr>
        <w:t>综合评分法</w:t>
      </w:r>
    </w:p>
    <w:p>
      <w:pPr>
        <w:pStyle w:val="15"/>
        <w:spacing w:line="420" w:lineRule="exact"/>
        <w:ind w:firstLine="413" w:firstLineChars="196"/>
        <w:outlineLvl w:val="1"/>
        <w:rPr>
          <w:rFonts w:hAnsi="宋体" w:cs="宋体"/>
          <w:b/>
          <w:sz w:val="21"/>
        </w:rPr>
      </w:pPr>
      <w:r>
        <w:rPr>
          <w:rFonts w:hint="eastAsia" w:hAnsi="宋体" w:cs="宋体"/>
          <w:b/>
          <w:sz w:val="21"/>
        </w:rPr>
        <w:t>一、评标原则</w:t>
      </w:r>
    </w:p>
    <w:p>
      <w:pPr>
        <w:pStyle w:val="15"/>
        <w:spacing w:line="400" w:lineRule="exact"/>
        <w:ind w:firstLine="420" w:firstLineChars="200"/>
        <w:rPr>
          <w:rFonts w:hAnsi="宋体" w:cs="宋体"/>
          <w:bCs/>
          <w:sz w:val="21"/>
        </w:rPr>
      </w:pPr>
      <w:r>
        <w:rPr>
          <w:rFonts w:hint="eastAsia" w:hAnsi="宋体" w:cs="宋体"/>
          <w:bCs/>
          <w:sz w:val="21"/>
        </w:rPr>
        <w:t>（一）磋商小组成：磋商小组由采购人代表和评审专家共3人以上单数组成，其中评审专家人数不得少于磋商小组成员总数的三分之二。</w:t>
      </w:r>
    </w:p>
    <w:p>
      <w:pPr>
        <w:pStyle w:val="15"/>
        <w:spacing w:line="400" w:lineRule="exact"/>
        <w:ind w:firstLine="420" w:firstLineChars="200"/>
        <w:rPr>
          <w:rFonts w:hAnsi="宋体" w:cs="宋体"/>
          <w:bCs/>
          <w:sz w:val="21"/>
        </w:rPr>
      </w:pPr>
      <w:r>
        <w:rPr>
          <w:rFonts w:hint="eastAsia" w:hAnsi="宋体" w:cs="宋体"/>
          <w:bCs/>
          <w:sz w:val="21"/>
        </w:rPr>
        <w:t>（二）评审依据：磋商小组将以磋商文件、响应文件为评标依据，对供应商的价格、项目实施方案分、服务承诺分、服务业绩、信誉五方面内容按百分制打分。</w:t>
      </w:r>
    </w:p>
    <w:p>
      <w:pPr>
        <w:pStyle w:val="15"/>
        <w:spacing w:line="400" w:lineRule="exact"/>
        <w:ind w:firstLine="420" w:firstLineChars="200"/>
        <w:rPr>
          <w:rFonts w:hAnsi="宋体" w:cs="宋体"/>
          <w:bCs/>
          <w:sz w:val="21"/>
        </w:rPr>
      </w:pPr>
      <w:r>
        <w:rPr>
          <w:rFonts w:hint="eastAsia" w:hAnsi="宋体" w:cs="宋体"/>
          <w:bCs/>
          <w:sz w:val="21"/>
        </w:rPr>
        <w:t>（三）评标方式：以封闭方式进行。</w:t>
      </w:r>
    </w:p>
    <w:p>
      <w:pPr>
        <w:pStyle w:val="15"/>
        <w:spacing w:line="400" w:lineRule="exact"/>
        <w:ind w:firstLine="420" w:firstLineChars="200"/>
        <w:rPr>
          <w:rFonts w:hAnsi="宋体" w:cs="宋体"/>
          <w:bCs/>
          <w:sz w:val="21"/>
        </w:rPr>
      </w:pPr>
      <w:r>
        <w:rPr>
          <w:rFonts w:hint="eastAsia" w:hAnsi="宋体" w:cs="宋体"/>
          <w:bCs/>
          <w:sz w:val="21"/>
        </w:rPr>
        <w:t>（四）按照《政府采购促进中小企业发展暂行办法》（财库[2011]181号）、《关于印发中小企业划型标准规定的通知》（工信部联企业[2011]300号）、《关于取消中小企业认定减少企业办事流程深入优化营商环境的通知》（贵工信规[2018]1号）的规定，谈判供应商认定为小型和微型企业的（必须提供中小企业声明函且以报价文件提供的符合规定的有关证明材料为准，否则不予以认定），对最终报价给予10%的扣除，扣除后的价格为评标价，即评审报价=最终报价×（1-10%）；大中型企业与小型、微型企业组成联合体磋商，其中小型、微型企业的协议合同金额占到联合体协议合同总金额30%以上的，联合体磋商报价给予2%的扣除，扣除后的价格为评标价，即评审报价=最终报价×（1-2%）；除上述情况外，评审报价=最终报价。</w:t>
      </w:r>
    </w:p>
    <w:p>
      <w:pPr>
        <w:pStyle w:val="15"/>
        <w:spacing w:line="400" w:lineRule="exact"/>
        <w:ind w:firstLine="420" w:firstLineChars="200"/>
        <w:rPr>
          <w:rFonts w:hAnsi="宋体" w:cs="宋体"/>
          <w:bCs/>
          <w:sz w:val="21"/>
        </w:rPr>
      </w:pPr>
      <w:r>
        <w:rPr>
          <w:rFonts w:hint="eastAsia" w:hAnsi="宋体" w:cs="宋体"/>
          <w:bCs/>
          <w:sz w:val="21"/>
        </w:rPr>
        <w:t>根据《关于政府采购支持监狱企业发展有关问题的通知》（财库[2014]68号）、《关于我区政府采购支持监狱企业发展有关问题的通知》（桂财采[2015]24号）的规定，监狱企业视同小型、微型企业，享受小型、微型企业评审中价格扣除的政府采购政策。（必须提供相关证明文件，否则不予以认定）</w:t>
      </w:r>
    </w:p>
    <w:p>
      <w:pPr>
        <w:pStyle w:val="15"/>
        <w:spacing w:line="400" w:lineRule="exact"/>
        <w:ind w:firstLine="420" w:firstLineChars="200"/>
        <w:rPr>
          <w:rFonts w:hAnsi="宋体" w:cs="宋体"/>
          <w:bCs/>
          <w:sz w:val="21"/>
        </w:rPr>
      </w:pPr>
      <w:r>
        <w:rPr>
          <w:rFonts w:hint="eastAsia" w:hAnsi="宋体" w:cs="宋体"/>
          <w:bCs/>
          <w:sz w:val="21"/>
        </w:rPr>
        <w:t>根据《三部门联合发布关于促进残疾人就业政府采购政策的通知》（财库[2017]141号）的规定，残疾人福利性单位视同小型、微型企业，享受小型、微型企业评审中价格扣除的政府采购政策。（必须提供残疾人福利性单位声明函，否则不予以认定）</w:t>
      </w:r>
    </w:p>
    <w:p>
      <w:pPr>
        <w:pStyle w:val="15"/>
        <w:spacing w:line="420" w:lineRule="exact"/>
        <w:ind w:firstLine="413" w:firstLineChars="196"/>
        <w:outlineLvl w:val="1"/>
        <w:rPr>
          <w:rFonts w:hAnsi="宋体" w:cs="宋体"/>
          <w:b/>
          <w:sz w:val="21"/>
        </w:rPr>
      </w:pPr>
      <w:r>
        <w:rPr>
          <w:rFonts w:hint="eastAsia" w:hAnsi="宋体" w:cs="宋体"/>
          <w:b/>
          <w:sz w:val="21"/>
        </w:rPr>
        <w:t>二、评定方法</w:t>
      </w:r>
    </w:p>
    <w:p>
      <w:pPr>
        <w:widowControl/>
        <w:spacing w:line="360" w:lineRule="auto"/>
        <w:jc w:val="left"/>
        <w:rPr>
          <w:rFonts w:ascii="宋体" w:hAnsi="宋体" w:cs="宋体"/>
          <w:bCs/>
          <w:szCs w:val="21"/>
        </w:rPr>
      </w:pPr>
      <w:r>
        <w:rPr>
          <w:rFonts w:hint="eastAsia" w:ascii="宋体" w:hAnsi="宋体" w:cs="宋体"/>
          <w:bCs/>
          <w:szCs w:val="21"/>
        </w:rPr>
        <w:t>（一）对进入详评的，采用百分制综合评分法。</w:t>
      </w:r>
    </w:p>
    <w:p>
      <w:pPr>
        <w:pStyle w:val="15"/>
        <w:spacing w:line="360" w:lineRule="auto"/>
        <w:rPr>
          <w:rFonts w:hAnsi="宋体" w:cs="宋体"/>
          <w:bCs/>
          <w:sz w:val="21"/>
        </w:rPr>
      </w:pPr>
      <w:r>
        <w:rPr>
          <w:rFonts w:hint="eastAsia" w:hAnsi="宋体" w:cs="宋体"/>
          <w:bCs/>
          <w:sz w:val="21"/>
        </w:rPr>
        <w:t>（二）计分办法（按四舍五入取至百分位）。</w:t>
      </w:r>
    </w:p>
    <w:p>
      <w:pPr>
        <w:pStyle w:val="15"/>
        <w:spacing w:line="360" w:lineRule="auto"/>
        <w:jc w:val="left"/>
        <w:rPr>
          <w:rFonts w:hAnsi="宋体" w:cs="宋体"/>
          <w:sz w:val="21"/>
        </w:rPr>
      </w:pPr>
      <w:r>
        <w:rPr>
          <w:rFonts w:hint="eastAsia" w:hAnsi="宋体" w:cs="宋体"/>
          <w:sz w:val="21"/>
        </w:rPr>
        <w:t>1、价格分…………………………………………………………………………………10分</w:t>
      </w:r>
    </w:p>
    <w:p>
      <w:pPr>
        <w:shd w:val="clear" w:color="auto" w:fill="FFFFFF"/>
        <w:spacing w:line="360" w:lineRule="auto"/>
        <w:rPr>
          <w:rFonts w:hAnsi="宋体" w:cs="宋体"/>
          <w:bCs/>
        </w:rPr>
      </w:pPr>
      <w:r>
        <w:rPr>
          <w:rFonts w:hint="eastAsia" w:hAnsi="宋体" w:cs="宋体"/>
          <w:bCs/>
        </w:rPr>
        <w:t>价格分计算公式：</w:t>
      </w:r>
    </w:p>
    <w:p>
      <w:pPr>
        <w:shd w:val="clear" w:color="auto" w:fill="FFFFFF"/>
        <w:spacing w:line="360" w:lineRule="auto"/>
        <w:rPr>
          <w:rFonts w:hAnsi="宋体" w:cs="宋体"/>
          <w:b/>
        </w:rPr>
      </w:pPr>
      <w:r>
        <w:rPr>
          <w:rFonts w:hint="eastAsia" w:hAnsi="宋体" w:cs="宋体"/>
          <w:bCs/>
        </w:rPr>
        <w:t>某投标人价格分 ＝评标基准价/某磋商人有效评标价× 10分</w:t>
      </w:r>
    </w:p>
    <w:p>
      <w:pPr>
        <w:shd w:val="clear" w:color="auto" w:fill="FFFFFF"/>
        <w:spacing w:line="360" w:lineRule="auto"/>
        <w:rPr>
          <w:rFonts w:hAnsi="宋体" w:cs="宋体"/>
          <w:bCs/>
        </w:rPr>
      </w:pPr>
      <w:r>
        <w:rPr>
          <w:rFonts w:hint="eastAsia" w:hAnsi="宋体" w:cs="宋体"/>
          <w:b/>
        </w:rPr>
        <w:t>备注：</w:t>
      </w:r>
      <w:r>
        <w:rPr>
          <w:rFonts w:hint="eastAsia" w:hAnsi="宋体" w:cs="宋体"/>
          <w:bCs/>
        </w:rPr>
        <w:t>根据中华人民共和国财政部令第87号《政府采购货物和服务招标投标管理办法》中第六十条规定,评标委员会认为磋商单位的报价明显低于其他通过符合性审查磋商单位的报价，有可能影响产品质量或者不能诚信履约的，应当要求其在评标现场合理的时间内提供书面说明，必要时提交相关证明材料；磋商单位不能证明其报价合理性的，评标委员会应当将其作为无效投标处理。（书面说明包含但不限于以下内容：各种原材料价格，人员工资，水电，燃料和管理等各项费用成本，以及税金、利润、运费等等，应列表详细说明，并提供相关证明材料，不能按上述要求提供说明和证明材料的，视为低于成本报价，投标无效。）</w:t>
      </w:r>
    </w:p>
    <w:p>
      <w:pPr>
        <w:pStyle w:val="15"/>
        <w:spacing w:line="360" w:lineRule="auto"/>
        <w:rPr>
          <w:rFonts w:hAnsi="宋体" w:cs="宋体"/>
          <w:sz w:val="21"/>
        </w:rPr>
      </w:pPr>
      <w:r>
        <w:rPr>
          <w:rFonts w:hint="eastAsia" w:hAnsi="宋体" w:cs="宋体"/>
          <w:sz w:val="21"/>
        </w:rPr>
        <w:t>2、技术分………………………………………………………………………45分</w:t>
      </w:r>
    </w:p>
    <w:p>
      <w:pPr>
        <w:pStyle w:val="15"/>
        <w:spacing w:line="360" w:lineRule="auto"/>
        <w:rPr>
          <w:rFonts w:hAnsi="宋体" w:cs="宋体"/>
          <w:sz w:val="21"/>
        </w:rPr>
      </w:pPr>
      <w:r>
        <w:rPr>
          <w:rFonts w:hint="eastAsia" w:hAnsi="宋体" w:cs="宋体"/>
          <w:sz w:val="21"/>
        </w:rPr>
        <w:t>（1）人员配置（满分25）</w:t>
      </w:r>
    </w:p>
    <w:p>
      <w:pPr>
        <w:pStyle w:val="15"/>
        <w:spacing w:line="360" w:lineRule="auto"/>
        <w:rPr>
          <w:rFonts w:hAnsi="宋体" w:cs="宋体"/>
          <w:sz w:val="21"/>
        </w:rPr>
      </w:pPr>
      <w:r>
        <w:rPr>
          <w:rFonts w:hint="eastAsia" w:hAnsi="宋体" w:cs="宋体"/>
          <w:sz w:val="21"/>
        </w:rPr>
        <w:t>一档（10分）：项目组负责人是具备中级职称，技术负责人是中级职称（专业包括测绘工程、土地管理）；其他人员具有中级（或以上）职称2人以上（专业包挂测绘工程、土地管理）。</w:t>
      </w:r>
    </w:p>
    <w:p>
      <w:pPr>
        <w:pStyle w:val="15"/>
        <w:spacing w:line="360" w:lineRule="auto"/>
        <w:rPr>
          <w:rFonts w:hAnsi="宋体" w:cs="宋体"/>
          <w:sz w:val="21"/>
        </w:rPr>
      </w:pPr>
      <w:r>
        <w:rPr>
          <w:rFonts w:hint="eastAsia" w:hAnsi="宋体" w:cs="宋体"/>
          <w:sz w:val="21"/>
        </w:rPr>
        <w:t>二档（18分）：项目组负责人是具备中级职称；技术负责人是中级职称（专业包括测绘工程、土地管理），其他人员具有中级（或以上）职称4人以上（专业包挂测绘工程、土地管理）。</w:t>
      </w:r>
    </w:p>
    <w:p>
      <w:pPr>
        <w:pStyle w:val="15"/>
        <w:spacing w:line="360" w:lineRule="auto"/>
        <w:rPr>
          <w:rFonts w:hAnsi="宋体" w:cs="宋体"/>
          <w:sz w:val="21"/>
        </w:rPr>
      </w:pPr>
      <w:r>
        <w:rPr>
          <w:rFonts w:hint="eastAsia" w:hAnsi="宋体" w:cs="宋体"/>
          <w:sz w:val="21"/>
        </w:rPr>
        <w:t>三档（25分）：项目组负责人是具备注册测绘师执业资格；技术负责人高级职称（专业包括测绘工程、土地管理），其他人员具有中级（或以上）职称6人以上（专业包挂测绘工程、土地管理）。</w:t>
      </w:r>
    </w:p>
    <w:p>
      <w:pPr>
        <w:pStyle w:val="15"/>
        <w:spacing w:line="360" w:lineRule="auto"/>
        <w:rPr>
          <w:rFonts w:hAnsi="宋体" w:cs="宋体"/>
          <w:sz w:val="21"/>
        </w:rPr>
      </w:pPr>
      <w:r>
        <w:rPr>
          <w:rFonts w:hint="eastAsia" w:hAnsi="宋体" w:cs="宋体"/>
          <w:sz w:val="21"/>
        </w:rPr>
        <w:t>项目组成员必须是本单位人员，须提供截标时间前半年内连续三个月投标人为其缴纳社保的证明材料复印件，必须提供执业资格证书和职称证书复印件，不按照上述要求提供资料者，不入档，得0分。</w:t>
      </w:r>
    </w:p>
    <w:p>
      <w:pPr>
        <w:pStyle w:val="15"/>
        <w:spacing w:line="360" w:lineRule="auto"/>
        <w:rPr>
          <w:rFonts w:hAnsi="宋体" w:cs="宋体"/>
          <w:sz w:val="21"/>
        </w:rPr>
      </w:pPr>
      <w:r>
        <w:rPr>
          <w:rFonts w:hint="eastAsia" w:hAnsi="宋体" w:cs="宋体"/>
          <w:sz w:val="21"/>
        </w:rPr>
        <w:t>备注：以上需提供相关人员资格或获奖证书复印件，供应商为其成员缴纳的截止投标之日前半年内连续三个月的社保证明材料复印件，原件备查（需体现具体人员名单），否则不予记分。</w:t>
      </w:r>
    </w:p>
    <w:p>
      <w:pPr>
        <w:pStyle w:val="15"/>
        <w:spacing w:line="360" w:lineRule="auto"/>
        <w:rPr>
          <w:rFonts w:hAnsi="宋体" w:cs="宋体"/>
          <w:sz w:val="21"/>
        </w:rPr>
      </w:pPr>
      <w:r>
        <w:rPr>
          <w:rFonts w:hint="eastAsia" w:hAnsi="宋体" w:cs="宋体"/>
          <w:sz w:val="21"/>
        </w:rPr>
        <w:t>（2）项目技术方案（满分20分）</w:t>
      </w:r>
    </w:p>
    <w:p>
      <w:pPr>
        <w:pStyle w:val="15"/>
        <w:spacing w:line="360" w:lineRule="auto"/>
        <w:rPr>
          <w:rFonts w:hAnsi="宋体" w:cs="宋体"/>
          <w:sz w:val="21"/>
        </w:rPr>
      </w:pPr>
      <w:r>
        <w:rPr>
          <w:rFonts w:hint="eastAsia" w:hAnsi="宋体" w:cs="宋体"/>
          <w:sz w:val="21"/>
        </w:rPr>
        <w:t>评各评委根据响应文件对技术方案等内容的科学性、可行性进行综合评审，独立评分。</w:t>
      </w:r>
    </w:p>
    <w:p>
      <w:pPr>
        <w:pStyle w:val="15"/>
        <w:spacing w:line="360" w:lineRule="auto"/>
        <w:rPr>
          <w:rFonts w:hAnsi="宋体" w:cs="宋体"/>
          <w:sz w:val="21"/>
        </w:rPr>
      </w:pPr>
      <w:r>
        <w:rPr>
          <w:rFonts w:hint="eastAsia" w:hAnsi="宋体" w:cs="宋体"/>
          <w:sz w:val="21"/>
        </w:rPr>
        <w:t>一档（7分）：技术方案的基本内容、方式方法安排相对简单，难点分析没有针对性，提供相对简单的质量保证措施。</w:t>
      </w:r>
    </w:p>
    <w:p>
      <w:pPr>
        <w:pStyle w:val="15"/>
        <w:spacing w:line="360" w:lineRule="auto"/>
        <w:rPr>
          <w:rFonts w:hAnsi="宋体" w:cs="宋体"/>
          <w:sz w:val="21"/>
        </w:rPr>
      </w:pPr>
      <w:r>
        <w:rPr>
          <w:rFonts w:hint="eastAsia" w:hAnsi="宋体" w:cs="宋体"/>
          <w:sz w:val="21"/>
        </w:rPr>
        <w:t>二档（14分）：技术方案的基本内容、技术路线、方式方法和进度安排比较详细，难点分析有针对性，提供有较合理质量保证措施，符合项目需求。</w:t>
      </w:r>
    </w:p>
    <w:p>
      <w:pPr>
        <w:pStyle w:val="15"/>
        <w:spacing w:line="360" w:lineRule="auto"/>
        <w:rPr>
          <w:rFonts w:hAnsi="宋体" w:cs="宋体"/>
          <w:sz w:val="21"/>
        </w:rPr>
      </w:pPr>
      <w:r>
        <w:rPr>
          <w:rFonts w:hint="eastAsia" w:hAnsi="宋体" w:cs="宋体"/>
          <w:sz w:val="21"/>
        </w:rPr>
        <w:t>三档（20分）：技术方案的基本内容、技术路线、方式方法和进度安排科学合理，有针对性，难点分析切合项目实际，提供有严格合理的质量保证体系，对整个项目质量管理有具体的保障制度和措施，针对性强，能很好的保证项目质量。</w:t>
      </w:r>
    </w:p>
    <w:p>
      <w:pPr>
        <w:pStyle w:val="15"/>
        <w:spacing w:line="360" w:lineRule="auto"/>
        <w:rPr>
          <w:rFonts w:hAnsi="宋体" w:cs="宋体"/>
          <w:sz w:val="21"/>
        </w:rPr>
      </w:pPr>
      <w:r>
        <w:rPr>
          <w:rFonts w:hint="eastAsia" w:hAnsi="宋体" w:cs="宋体"/>
          <w:sz w:val="21"/>
        </w:rPr>
        <w:t>3、商务分……………………………………………………………………45分</w:t>
      </w:r>
    </w:p>
    <w:p>
      <w:pPr>
        <w:pStyle w:val="15"/>
        <w:spacing w:line="360" w:lineRule="auto"/>
        <w:rPr>
          <w:rFonts w:hAnsi="宋体" w:cs="宋体"/>
          <w:sz w:val="21"/>
        </w:rPr>
      </w:pPr>
      <w:r>
        <w:rPr>
          <w:rFonts w:hint="eastAsia" w:hAnsi="宋体" w:cs="宋体"/>
          <w:sz w:val="21"/>
        </w:rPr>
        <w:t>（1）供应商2016年（含）以来承接过地价动态监测项目工作业绩的，每个得5分，满分25分（提供合同协议书复印件，原件备查）。</w:t>
      </w:r>
    </w:p>
    <w:p>
      <w:pPr>
        <w:pStyle w:val="15"/>
        <w:spacing w:line="360" w:lineRule="auto"/>
        <w:rPr>
          <w:rFonts w:hAnsi="宋体" w:cs="宋体"/>
          <w:sz w:val="21"/>
        </w:rPr>
      </w:pPr>
      <w:r>
        <w:rPr>
          <w:rFonts w:hint="eastAsia" w:hAnsi="宋体" w:cs="宋体"/>
          <w:sz w:val="21"/>
        </w:rPr>
        <w:t>（2）供应商或供应商拟投入项目人员2016年（含）以来承担的国土资源管理项目获得省部级成果奖的，每个得3分，满分18分（提供获奖证书或文件复印件，原件备查）。</w:t>
      </w:r>
    </w:p>
    <w:p>
      <w:pPr>
        <w:pStyle w:val="15"/>
        <w:spacing w:line="360" w:lineRule="auto"/>
        <w:rPr>
          <w:rFonts w:hAnsi="宋体" w:cs="宋体"/>
          <w:sz w:val="21"/>
        </w:rPr>
      </w:pPr>
      <w:r>
        <w:rPr>
          <w:rFonts w:hint="eastAsia" w:hAnsi="宋体" w:cs="宋体"/>
          <w:sz w:val="21"/>
        </w:rPr>
        <w:t>（3）供应商具有ISO质量管理体系认证证书的得2分；满分2分（提供证书复印件，原件备查）。</w:t>
      </w:r>
    </w:p>
    <w:p>
      <w:pPr>
        <w:pStyle w:val="15"/>
        <w:spacing w:line="360" w:lineRule="auto"/>
        <w:rPr>
          <w:rFonts w:hAnsi="宋体" w:cs="宋体"/>
          <w:sz w:val="21"/>
        </w:rPr>
      </w:pPr>
      <w:r>
        <w:rPr>
          <w:rFonts w:hint="eastAsia" w:hAnsi="宋体" w:cs="宋体"/>
          <w:sz w:val="21"/>
        </w:rPr>
        <w:t>总得分=1+2+3。</w:t>
      </w:r>
    </w:p>
    <w:p>
      <w:pPr>
        <w:pStyle w:val="15"/>
        <w:spacing w:line="340" w:lineRule="exact"/>
        <w:rPr>
          <w:rFonts w:hAnsi="宋体" w:cs="宋体"/>
          <w:b/>
          <w:bCs/>
          <w:sz w:val="21"/>
        </w:rPr>
      </w:pPr>
      <w:r>
        <w:rPr>
          <w:rFonts w:hint="eastAsia" w:hAnsi="宋体" w:cs="宋体"/>
          <w:b/>
          <w:bCs/>
          <w:sz w:val="21"/>
        </w:rPr>
        <w:t>三、中标候选人推荐原则</w:t>
      </w:r>
    </w:p>
    <w:p>
      <w:pPr>
        <w:shd w:val="clear" w:color="auto" w:fill="FFFFFF"/>
        <w:spacing w:line="400" w:lineRule="exact"/>
        <w:ind w:firstLine="420" w:firstLineChars="200"/>
        <w:jc w:val="left"/>
        <w:rPr>
          <w:rFonts w:ascii="宋体" w:hAnsi="宋体" w:cs="宋体"/>
          <w:szCs w:val="21"/>
        </w:rPr>
      </w:pPr>
      <w:r>
        <w:rPr>
          <w:rFonts w:hint="eastAsia" w:ascii="宋体" w:hAnsi="宋体" w:cs="宋体"/>
          <w:szCs w:val="21"/>
        </w:rPr>
        <w:t>磋商小组将根据总得分由高到低对供应商排列次序（得分相同时，以磋商报价由低到高顺序排列；得分相同且磋商报价相同的，以项目实施方案分由低到高顺序排列；得分相同、磋商报价相同且项目实施方案分相同的，按服务承诺分由高到低顺序排列），并推荐排位前三名为成交候选供应商，总得分最高者为第一成交候选供应商，第二高者为第二成交候选供应商，以此类推。采购人应当确定评审委员会推荐排名第一的成交候选供应商为成交供应商。排名第一的成交候选供应商放弃成交、未在规定时间内签订合同、因不可抗力提出不能履行合同的，采购人可以确定排名第二的成交候选供应商为成交供应商。排名第二的成交候选供应商因前款规定的同样原因不能签订合同的，采购人可以确定排名第三的成交候选供应商为成交供应商。</w:t>
      </w:r>
    </w:p>
    <w:p>
      <w:pPr>
        <w:pStyle w:val="15"/>
        <w:spacing w:line="440" w:lineRule="exact"/>
        <w:ind w:firstLine="420" w:firstLineChars="200"/>
        <w:rPr>
          <w:rFonts w:hAnsi="宋体" w:cs="宋体"/>
          <w:kern w:val="2"/>
          <w:sz w:val="21"/>
        </w:rPr>
      </w:pPr>
      <w:r>
        <w:rPr>
          <w:rFonts w:hint="eastAsia" w:hAnsi="宋体" w:cs="宋体"/>
          <w:kern w:val="2"/>
          <w:sz w:val="21"/>
        </w:rPr>
        <w:t>磋商小组认为，某磋商供应商的磋商报价或者某些分项报价明显不合理或者低于成本，有可能影响服务质量和不能诚信履约的，可要求其在规定的期限内提供书面文件予以解释说明，并提交相关证明材料，否则，磋商小组可以取消该供应商的成交候选供应商资格，按顺序由排在后面的成交候选供应商递补，以此类推。</w:t>
      </w:r>
    </w:p>
    <w:p>
      <w:pPr>
        <w:pStyle w:val="15"/>
        <w:spacing w:before="120" w:after="120" w:line="400" w:lineRule="exact"/>
        <w:outlineLvl w:val="0"/>
        <w:rPr>
          <w:rFonts w:hAnsi="宋体"/>
        </w:rPr>
      </w:pPr>
    </w:p>
    <w:p>
      <w:pPr>
        <w:pStyle w:val="24"/>
      </w:pPr>
      <w:r>
        <w:br w:type="page"/>
      </w:r>
      <w:bookmarkStart w:id="36" w:name="_Toc31728"/>
      <w:bookmarkStart w:id="37" w:name="_Toc31957_WPSOffice_Level1"/>
      <w:r>
        <w:rPr>
          <w:rFonts w:hint="eastAsia"/>
        </w:rPr>
        <w:t>第五章  竞争性磋商响应文件（格式）</w:t>
      </w:r>
      <w:bookmarkEnd w:id="36"/>
      <w:bookmarkEnd w:id="37"/>
    </w:p>
    <w:p>
      <w:pPr>
        <w:rPr>
          <w:kern w:val="0"/>
        </w:rPr>
      </w:pPr>
    </w:p>
    <w:p>
      <w:pPr>
        <w:rPr>
          <w:kern w:val="0"/>
        </w:rPr>
      </w:pPr>
    </w:p>
    <w:p>
      <w:pPr>
        <w:rPr>
          <w:kern w:val="0"/>
        </w:rPr>
      </w:pPr>
      <w:r>
        <w:rPr>
          <w:rFonts w:hint="eastAsia"/>
          <w:kern w:val="0"/>
          <w:sz w:val="24"/>
        </w:rPr>
        <w:t xml:space="preserve">竞争性磋商响应文件的外包装封面格式 ：    </w:t>
      </w:r>
    </w:p>
    <w:p>
      <w:pPr>
        <w:rPr>
          <w:kern w:val="0"/>
          <w:sz w:val="24"/>
        </w:rPr>
      </w:pPr>
    </w:p>
    <w:p>
      <w:pPr>
        <w:rPr>
          <w:kern w:val="0"/>
          <w:sz w:val="24"/>
        </w:rPr>
      </w:pPr>
    </w:p>
    <w:p>
      <w:pPr>
        <w:spacing w:line="600" w:lineRule="exact"/>
        <w:rPr>
          <w:kern w:val="0"/>
          <w:sz w:val="24"/>
        </w:rPr>
      </w:pPr>
    </w:p>
    <w:p>
      <w:pPr>
        <w:pStyle w:val="6"/>
        <w:rPr>
          <w:kern w:val="0"/>
          <w:sz w:val="24"/>
          <w:szCs w:val="24"/>
        </w:rPr>
      </w:pPr>
    </w:p>
    <w:p>
      <w:pPr>
        <w:rPr>
          <w:kern w:val="0"/>
          <w:sz w:val="24"/>
        </w:rPr>
      </w:pPr>
    </w:p>
    <w:p>
      <w:pPr>
        <w:pStyle w:val="6"/>
        <w:rPr>
          <w:kern w:val="0"/>
          <w:sz w:val="24"/>
          <w:szCs w:val="24"/>
        </w:rPr>
      </w:pPr>
    </w:p>
    <w:p>
      <w:pPr>
        <w:rPr>
          <w:kern w:val="0"/>
          <w:sz w:val="24"/>
        </w:rPr>
      </w:pPr>
    </w:p>
    <w:p>
      <w:pPr>
        <w:pStyle w:val="6"/>
        <w:rPr>
          <w:kern w:val="0"/>
          <w:sz w:val="24"/>
          <w:szCs w:val="24"/>
        </w:rPr>
      </w:pPr>
    </w:p>
    <w:p/>
    <w:p>
      <w:pPr>
        <w:spacing w:line="600" w:lineRule="exact"/>
        <w:jc w:val="center"/>
        <w:rPr>
          <w:b/>
          <w:kern w:val="0"/>
          <w:sz w:val="44"/>
          <w:szCs w:val="44"/>
        </w:rPr>
      </w:pPr>
      <w:r>
        <w:rPr>
          <w:rFonts w:hint="eastAsia"/>
          <w:b/>
          <w:kern w:val="0"/>
          <w:sz w:val="44"/>
          <w:szCs w:val="44"/>
        </w:rPr>
        <w:t>竞争性磋商响应文件</w:t>
      </w:r>
    </w:p>
    <w:p>
      <w:pPr>
        <w:rPr>
          <w:kern w:val="0"/>
          <w:sz w:val="24"/>
        </w:rPr>
      </w:pPr>
    </w:p>
    <w:p>
      <w:pPr>
        <w:rPr>
          <w:kern w:val="0"/>
          <w:sz w:val="24"/>
        </w:rPr>
      </w:pPr>
    </w:p>
    <w:p>
      <w:pPr>
        <w:spacing w:line="480" w:lineRule="auto"/>
        <w:rPr>
          <w:kern w:val="0"/>
          <w:sz w:val="24"/>
        </w:rPr>
      </w:pPr>
      <w:r>
        <w:rPr>
          <w:rFonts w:hint="eastAsia"/>
          <w:kern w:val="0"/>
          <w:sz w:val="24"/>
        </w:rPr>
        <w:t xml:space="preserve">项目名称 ：  </w:t>
      </w:r>
    </w:p>
    <w:p>
      <w:pPr>
        <w:spacing w:line="480" w:lineRule="auto"/>
        <w:rPr>
          <w:kern w:val="0"/>
          <w:sz w:val="24"/>
        </w:rPr>
      </w:pPr>
      <w:r>
        <w:rPr>
          <w:rFonts w:hint="eastAsia"/>
          <w:kern w:val="0"/>
          <w:sz w:val="24"/>
        </w:rPr>
        <w:t xml:space="preserve">项目编号 ：  </w:t>
      </w:r>
    </w:p>
    <w:p>
      <w:pPr>
        <w:spacing w:line="480" w:lineRule="auto"/>
        <w:rPr>
          <w:kern w:val="0"/>
          <w:sz w:val="24"/>
        </w:rPr>
      </w:pPr>
      <w:r>
        <w:rPr>
          <w:rFonts w:hint="eastAsia"/>
          <w:kern w:val="0"/>
          <w:sz w:val="24"/>
        </w:rPr>
        <w:t xml:space="preserve">磋商供应商名称 ：  </w:t>
      </w:r>
    </w:p>
    <w:p>
      <w:pPr>
        <w:spacing w:line="480" w:lineRule="auto"/>
        <w:rPr>
          <w:kern w:val="0"/>
          <w:sz w:val="24"/>
        </w:rPr>
      </w:pPr>
      <w:r>
        <w:rPr>
          <w:rFonts w:hint="eastAsia"/>
          <w:kern w:val="0"/>
          <w:sz w:val="24"/>
        </w:rPr>
        <w:t>地址：</w:t>
      </w:r>
    </w:p>
    <w:p>
      <w:pPr>
        <w:spacing w:line="480" w:lineRule="auto"/>
        <w:rPr>
          <w:kern w:val="0"/>
          <w:sz w:val="24"/>
        </w:rPr>
      </w:pPr>
      <w:r>
        <w:rPr>
          <w:rFonts w:hint="eastAsia"/>
          <w:kern w:val="0"/>
          <w:sz w:val="24"/>
        </w:rPr>
        <w:t xml:space="preserve">（ 于  年   月  日   时   分前不得启封 ）  </w:t>
      </w:r>
    </w:p>
    <w:p>
      <w:pPr>
        <w:rPr>
          <w:kern w:val="0"/>
          <w:sz w:val="24"/>
        </w:rPr>
      </w:pPr>
    </w:p>
    <w:p>
      <w:pPr>
        <w:rPr>
          <w:kern w:val="0"/>
          <w:sz w:val="24"/>
        </w:rPr>
      </w:pPr>
    </w:p>
    <w:p>
      <w:pPr>
        <w:rPr>
          <w:kern w:val="0"/>
          <w:sz w:val="24"/>
        </w:rPr>
      </w:pPr>
    </w:p>
    <w:p>
      <w:pPr>
        <w:rPr>
          <w:kern w:val="0"/>
          <w:sz w:val="24"/>
        </w:rPr>
      </w:pPr>
    </w:p>
    <w:p>
      <w:pPr>
        <w:pStyle w:val="6"/>
        <w:rPr>
          <w:kern w:val="0"/>
          <w:sz w:val="24"/>
          <w:szCs w:val="24"/>
        </w:rPr>
      </w:pPr>
    </w:p>
    <w:p>
      <w:pPr>
        <w:rPr>
          <w:kern w:val="0"/>
          <w:sz w:val="24"/>
        </w:rPr>
      </w:pPr>
    </w:p>
    <w:p>
      <w:pPr>
        <w:pStyle w:val="6"/>
        <w:rPr>
          <w:kern w:val="0"/>
          <w:sz w:val="24"/>
          <w:szCs w:val="24"/>
        </w:rPr>
      </w:pPr>
    </w:p>
    <w:p>
      <w:pPr>
        <w:rPr>
          <w:kern w:val="0"/>
          <w:sz w:val="24"/>
        </w:rPr>
      </w:pPr>
    </w:p>
    <w:p>
      <w:pPr>
        <w:pStyle w:val="6"/>
        <w:rPr>
          <w:kern w:val="0"/>
          <w:sz w:val="24"/>
          <w:szCs w:val="24"/>
        </w:rPr>
      </w:pPr>
    </w:p>
    <w:p/>
    <w:p>
      <w:pPr>
        <w:rPr>
          <w:kern w:val="0"/>
          <w:sz w:val="24"/>
        </w:rPr>
      </w:pPr>
    </w:p>
    <w:p>
      <w:pPr>
        <w:rPr>
          <w:kern w:val="0"/>
          <w:sz w:val="24"/>
        </w:rPr>
      </w:pPr>
    </w:p>
    <w:p>
      <w:pPr>
        <w:rPr>
          <w:kern w:val="0"/>
          <w:sz w:val="24"/>
        </w:rPr>
      </w:pPr>
      <w:r>
        <w:rPr>
          <w:rFonts w:hint="eastAsia"/>
          <w:kern w:val="0"/>
          <w:sz w:val="24"/>
        </w:rPr>
        <w:t xml:space="preserve">竞争性磋商响应文件 封面格式 ：    </w:t>
      </w:r>
    </w:p>
    <w:p>
      <w:pPr>
        <w:rPr>
          <w:kern w:val="0"/>
          <w:sz w:val="24"/>
        </w:rPr>
      </w:pPr>
    </w:p>
    <w:p>
      <w:pPr>
        <w:rPr>
          <w:kern w:val="0"/>
          <w:sz w:val="24"/>
        </w:rPr>
      </w:pPr>
    </w:p>
    <w:p>
      <w:pPr>
        <w:rPr>
          <w:kern w:val="0"/>
          <w:sz w:val="24"/>
        </w:rPr>
      </w:pPr>
    </w:p>
    <w:p>
      <w:pPr>
        <w:jc w:val="right"/>
        <w:rPr>
          <w:kern w:val="0"/>
          <w:sz w:val="24"/>
        </w:rPr>
      </w:pPr>
      <w:r>
        <w:rPr>
          <w:rFonts w:hint="eastAsia"/>
          <w:kern w:val="0"/>
          <w:sz w:val="24"/>
        </w:rPr>
        <w:t xml:space="preserve">（ 正 / 副本 ）  </w:t>
      </w:r>
    </w:p>
    <w:p>
      <w:pPr>
        <w:ind w:firstLine="6840" w:firstLineChars="2850"/>
        <w:rPr>
          <w:kern w:val="0"/>
          <w:sz w:val="24"/>
        </w:rPr>
      </w:pPr>
    </w:p>
    <w:p>
      <w:pPr>
        <w:jc w:val="center"/>
        <w:rPr>
          <w:b/>
          <w:kern w:val="0"/>
          <w:sz w:val="44"/>
          <w:szCs w:val="44"/>
        </w:rPr>
      </w:pPr>
    </w:p>
    <w:p>
      <w:pPr>
        <w:jc w:val="center"/>
        <w:rPr>
          <w:b/>
          <w:kern w:val="0"/>
          <w:sz w:val="44"/>
          <w:szCs w:val="44"/>
        </w:rPr>
      </w:pPr>
    </w:p>
    <w:p>
      <w:pPr>
        <w:spacing w:line="600" w:lineRule="exact"/>
        <w:jc w:val="center"/>
        <w:rPr>
          <w:kern w:val="0"/>
          <w:sz w:val="24"/>
        </w:rPr>
      </w:pPr>
      <w:r>
        <w:rPr>
          <w:rFonts w:hint="eastAsia"/>
          <w:b/>
          <w:kern w:val="0"/>
          <w:sz w:val="44"/>
          <w:szCs w:val="44"/>
        </w:rPr>
        <w:t>竞争性磋商响应文件（封面）</w:t>
      </w: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r>
        <w:rPr>
          <w:rFonts w:hint="eastAsia"/>
          <w:kern w:val="0"/>
          <w:sz w:val="24"/>
        </w:rPr>
        <w:t>项目名称 ：</w:t>
      </w:r>
    </w:p>
    <w:p>
      <w:pPr>
        <w:rPr>
          <w:kern w:val="0"/>
          <w:sz w:val="24"/>
        </w:rPr>
      </w:pPr>
    </w:p>
    <w:p>
      <w:pPr>
        <w:rPr>
          <w:kern w:val="0"/>
          <w:sz w:val="24"/>
        </w:rPr>
      </w:pPr>
    </w:p>
    <w:p>
      <w:pPr>
        <w:rPr>
          <w:kern w:val="0"/>
          <w:sz w:val="24"/>
        </w:rPr>
      </w:pPr>
      <w:r>
        <w:rPr>
          <w:rFonts w:hint="eastAsia"/>
          <w:kern w:val="0"/>
          <w:sz w:val="24"/>
        </w:rPr>
        <w:t>项目编号 ：</w:t>
      </w:r>
    </w:p>
    <w:p>
      <w:pPr>
        <w:rPr>
          <w:kern w:val="0"/>
          <w:sz w:val="24"/>
        </w:rPr>
      </w:pPr>
    </w:p>
    <w:p>
      <w:pPr>
        <w:rPr>
          <w:kern w:val="0"/>
          <w:sz w:val="24"/>
        </w:rPr>
      </w:pPr>
      <w:r>
        <w:rPr>
          <w:rFonts w:hint="eastAsia"/>
          <w:kern w:val="0"/>
          <w:sz w:val="24"/>
        </w:rPr>
        <w:t>磋商供应商名称 ：</w:t>
      </w:r>
    </w:p>
    <w:p>
      <w:pPr>
        <w:rPr>
          <w:kern w:val="0"/>
          <w:sz w:val="24"/>
        </w:rPr>
      </w:pPr>
    </w:p>
    <w:p>
      <w:pPr>
        <w:rPr>
          <w:kern w:val="0"/>
          <w:sz w:val="24"/>
        </w:rPr>
      </w:pPr>
    </w:p>
    <w:p>
      <w:pPr>
        <w:rPr>
          <w:kern w:val="0"/>
          <w:sz w:val="24"/>
          <w:u w:val="single"/>
        </w:rPr>
      </w:pPr>
      <w:r>
        <w:rPr>
          <w:rFonts w:hint="eastAsia"/>
          <w:kern w:val="0"/>
          <w:sz w:val="24"/>
        </w:rPr>
        <w:t xml:space="preserve">地址： </w:t>
      </w: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r>
        <w:rPr>
          <w:rFonts w:hint="eastAsia"/>
          <w:kern w:val="0"/>
          <w:sz w:val="24"/>
        </w:rPr>
        <w:t xml:space="preserve">                                      年      月      日  </w:t>
      </w: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b/>
          <w:kern w:val="0"/>
          <w:sz w:val="36"/>
          <w:szCs w:val="36"/>
        </w:rPr>
      </w:pPr>
    </w:p>
    <w:p>
      <w:pPr>
        <w:spacing w:line="400" w:lineRule="exact"/>
        <w:jc w:val="center"/>
        <w:rPr>
          <w:rFonts w:ascii="宋体" w:hAnsi="宋体"/>
          <w:kern w:val="0"/>
          <w:sz w:val="48"/>
          <w:szCs w:val="48"/>
        </w:rPr>
      </w:pPr>
      <w:r>
        <w:rPr>
          <w:rFonts w:hint="eastAsia"/>
          <w:b/>
          <w:kern w:val="0"/>
          <w:sz w:val="36"/>
          <w:szCs w:val="36"/>
        </w:rPr>
        <w:t>目   录</w:t>
      </w:r>
    </w:p>
    <w:p>
      <w:pPr>
        <w:spacing w:line="440" w:lineRule="exact"/>
        <w:ind w:firstLine="420" w:firstLineChars="200"/>
        <w:rPr>
          <w:rFonts w:ascii="宋体" w:hAnsi="宋体"/>
          <w:kern w:val="0"/>
          <w:szCs w:val="21"/>
        </w:rPr>
      </w:pPr>
      <w:r>
        <w:rPr>
          <w:rFonts w:hint="eastAsia" w:ascii="宋体" w:hAnsi="宋体"/>
          <w:kern w:val="0"/>
          <w:szCs w:val="21"/>
        </w:rPr>
        <w:t>一、商务及资格文件</w:t>
      </w:r>
    </w:p>
    <w:p>
      <w:pPr>
        <w:spacing w:line="440" w:lineRule="exact"/>
        <w:rPr>
          <w:rFonts w:ascii="宋体" w:hAnsi="宋体"/>
          <w:b/>
          <w:kern w:val="0"/>
          <w:szCs w:val="21"/>
        </w:rPr>
      </w:pPr>
      <w:r>
        <w:rPr>
          <w:rFonts w:ascii="_5b8b_4f53" w:hAnsi="_5b8b_4f53" w:eastAsia="_5b8b_4f53" w:cs="_5b8b_4f53"/>
          <w:sz w:val="27"/>
          <w:szCs w:val="27"/>
          <w:shd w:val="clear" w:color="auto" w:fill="FFFFFF"/>
        </w:rPr>
        <w:t>▲</w:t>
      </w:r>
      <w:r>
        <w:rPr>
          <w:rFonts w:hint="eastAsia" w:ascii="宋体" w:hAnsi="宋体"/>
          <w:kern w:val="0"/>
          <w:szCs w:val="21"/>
        </w:rPr>
        <w:t>（1）磋商书；</w:t>
      </w:r>
    </w:p>
    <w:p>
      <w:pPr>
        <w:spacing w:line="440" w:lineRule="exact"/>
        <w:rPr>
          <w:rFonts w:ascii="宋体" w:hAnsi="宋体"/>
          <w:kern w:val="0"/>
          <w:szCs w:val="21"/>
        </w:rPr>
      </w:pPr>
      <w:r>
        <w:rPr>
          <w:rFonts w:ascii="_5b8b_4f53" w:hAnsi="_5b8b_4f53" w:eastAsia="_5b8b_4f53" w:cs="_5b8b_4f53"/>
          <w:sz w:val="27"/>
          <w:szCs w:val="27"/>
          <w:shd w:val="clear" w:color="auto" w:fill="FFFFFF"/>
        </w:rPr>
        <w:t>▲</w:t>
      </w:r>
      <w:r>
        <w:rPr>
          <w:rFonts w:hint="eastAsia" w:ascii="宋体" w:hAnsi="宋体"/>
          <w:kern w:val="0"/>
          <w:szCs w:val="21"/>
        </w:rPr>
        <w:t>（2）报价表</w:t>
      </w:r>
    </w:p>
    <w:p>
      <w:pPr>
        <w:spacing w:line="440" w:lineRule="exact"/>
        <w:rPr>
          <w:rFonts w:ascii="宋体" w:hAnsi="宋体"/>
          <w:kern w:val="0"/>
          <w:szCs w:val="21"/>
        </w:rPr>
      </w:pPr>
      <w:r>
        <w:rPr>
          <w:rFonts w:ascii="_5b8b_4f53" w:hAnsi="_5b8b_4f53" w:eastAsia="_5b8b_4f53" w:cs="_5b8b_4f53"/>
          <w:sz w:val="27"/>
          <w:szCs w:val="27"/>
          <w:shd w:val="clear" w:color="auto" w:fill="FFFFFF"/>
        </w:rPr>
        <w:t>▲</w:t>
      </w:r>
      <w:r>
        <w:rPr>
          <w:rFonts w:hint="eastAsia" w:ascii="宋体" w:hAnsi="宋体"/>
          <w:kern w:val="0"/>
          <w:szCs w:val="21"/>
        </w:rPr>
        <w:t>（3）营业执照副本复印件（必须提供）</w:t>
      </w:r>
    </w:p>
    <w:p>
      <w:pPr>
        <w:spacing w:line="440" w:lineRule="exact"/>
        <w:rPr>
          <w:rFonts w:ascii="宋体" w:hAnsi="宋体"/>
          <w:kern w:val="0"/>
          <w:szCs w:val="21"/>
        </w:rPr>
      </w:pPr>
      <w:r>
        <w:rPr>
          <w:rFonts w:ascii="_5b8b_4f53" w:hAnsi="_5b8b_4f53" w:eastAsia="_5b8b_4f53" w:cs="_5b8b_4f53"/>
          <w:sz w:val="27"/>
          <w:szCs w:val="27"/>
          <w:shd w:val="clear" w:color="auto" w:fill="FFFFFF"/>
        </w:rPr>
        <w:t>▲</w:t>
      </w:r>
      <w:r>
        <w:rPr>
          <w:rFonts w:hint="eastAsia" w:ascii="宋体" w:hAnsi="宋体"/>
          <w:kern w:val="0"/>
          <w:szCs w:val="21"/>
        </w:rPr>
        <w:t>（4）法定代表人身份证复印件（必须提供）</w:t>
      </w:r>
    </w:p>
    <w:p>
      <w:pPr>
        <w:spacing w:line="440" w:lineRule="exact"/>
        <w:rPr>
          <w:rFonts w:ascii="宋体" w:hAnsi="宋体"/>
          <w:kern w:val="0"/>
          <w:szCs w:val="21"/>
        </w:rPr>
      </w:pPr>
      <w:r>
        <w:rPr>
          <w:rFonts w:ascii="_5b8b_4f53" w:hAnsi="_5b8b_4f53" w:eastAsia="_5b8b_4f53" w:cs="_5b8b_4f53"/>
          <w:sz w:val="27"/>
          <w:szCs w:val="27"/>
          <w:shd w:val="clear" w:color="auto" w:fill="FFFFFF"/>
        </w:rPr>
        <w:t>▲</w:t>
      </w:r>
      <w:r>
        <w:rPr>
          <w:rFonts w:hint="eastAsia" w:ascii="宋体" w:hAnsi="宋体"/>
          <w:kern w:val="0"/>
          <w:szCs w:val="21"/>
        </w:rPr>
        <w:t>（5）法定代表人授权委托书原件和委托代理人身份证复印件（委托代理时必须提供）；</w:t>
      </w:r>
    </w:p>
    <w:p>
      <w:pPr>
        <w:pStyle w:val="2"/>
        <w:spacing w:line="360" w:lineRule="auto"/>
      </w:pPr>
      <w:r>
        <w:rPr>
          <w:rFonts w:hint="eastAsia"/>
        </w:rPr>
        <w:t>▲（6）贵港市政府采购项目投标资格承诺函（必须提供，加盖投标单位公章）；</w:t>
      </w:r>
    </w:p>
    <w:p>
      <w:pPr>
        <w:pStyle w:val="6"/>
        <w:spacing w:line="440" w:lineRule="exact"/>
      </w:pPr>
      <w:r>
        <w:rPr>
          <w:rFonts w:ascii="_5b8b_4f53" w:hAnsi="_5b8b_4f53" w:eastAsia="_5b8b_4f53" w:cs="_5b8b_4f53"/>
          <w:sz w:val="27"/>
          <w:szCs w:val="27"/>
          <w:shd w:val="clear" w:color="auto" w:fill="FFFFFF"/>
        </w:rPr>
        <w:t>▲</w:t>
      </w:r>
      <w:r>
        <w:rPr>
          <w:rFonts w:hint="eastAsia" w:ascii="宋体" w:hAnsi="宋体"/>
          <w:b w:val="0"/>
          <w:kern w:val="0"/>
          <w:sz w:val="21"/>
          <w:szCs w:val="21"/>
        </w:rPr>
        <w:t>(7)参加政府采购活动前三年内在经营活动中没有重大违法记录和不良信用记录的书面声明（格式自拟）；</w:t>
      </w:r>
    </w:p>
    <w:p>
      <w:pPr>
        <w:spacing w:line="440" w:lineRule="exact"/>
        <w:ind w:firstLine="210" w:firstLineChars="100"/>
        <w:rPr>
          <w:rFonts w:ascii="宋体" w:hAnsi="宋体"/>
          <w:kern w:val="0"/>
          <w:szCs w:val="21"/>
        </w:rPr>
      </w:pPr>
      <w:r>
        <w:rPr>
          <w:rFonts w:hint="eastAsia" w:ascii="宋体" w:hAnsi="宋体"/>
          <w:kern w:val="0"/>
          <w:szCs w:val="21"/>
        </w:rPr>
        <w:t>（8）相关行业类似项目业绩，提供中标通知书或合同复印件；（如有请提供）</w:t>
      </w:r>
    </w:p>
    <w:p>
      <w:pPr>
        <w:spacing w:line="440" w:lineRule="exact"/>
        <w:ind w:firstLine="210" w:firstLineChars="100"/>
        <w:rPr>
          <w:rFonts w:ascii="宋体" w:hAnsi="宋体"/>
          <w:kern w:val="0"/>
          <w:szCs w:val="21"/>
        </w:rPr>
      </w:pPr>
      <w:r>
        <w:rPr>
          <w:rFonts w:hint="eastAsia" w:ascii="宋体" w:hAnsi="宋体"/>
          <w:kern w:val="0"/>
          <w:szCs w:val="21"/>
        </w:rPr>
        <w:t>（9）拟投入项目人员相关材料及获得的证书等；（如有请提供）</w:t>
      </w:r>
    </w:p>
    <w:p>
      <w:pPr>
        <w:spacing w:line="440" w:lineRule="exact"/>
        <w:ind w:firstLine="210" w:firstLineChars="100"/>
        <w:rPr>
          <w:rFonts w:ascii="宋体" w:hAnsi="宋体"/>
          <w:kern w:val="0"/>
          <w:szCs w:val="21"/>
        </w:rPr>
      </w:pPr>
      <w:r>
        <w:rPr>
          <w:rFonts w:hint="eastAsia" w:ascii="宋体" w:hAnsi="宋体"/>
          <w:kern w:val="0"/>
          <w:szCs w:val="21"/>
        </w:rPr>
        <w:t>（10）相关服务获奖证书；（如有请提供）</w:t>
      </w:r>
    </w:p>
    <w:p>
      <w:pPr>
        <w:spacing w:line="440" w:lineRule="exact"/>
        <w:ind w:firstLine="210" w:firstLineChars="100"/>
        <w:rPr>
          <w:rFonts w:ascii="宋体" w:hAnsi="宋体"/>
          <w:kern w:val="0"/>
          <w:szCs w:val="21"/>
        </w:rPr>
      </w:pPr>
      <w:r>
        <w:rPr>
          <w:rFonts w:hint="eastAsia" w:ascii="宋体" w:hAnsi="宋体"/>
          <w:kern w:val="0"/>
          <w:szCs w:val="21"/>
        </w:rPr>
        <w:t xml:space="preserve">（11）其它需要提供的证明材料。 （如有请提供）  </w:t>
      </w:r>
    </w:p>
    <w:p>
      <w:pPr>
        <w:spacing w:line="440" w:lineRule="exact"/>
        <w:ind w:left="735"/>
        <w:rPr>
          <w:rFonts w:ascii="宋体" w:hAnsi="宋体"/>
          <w:kern w:val="0"/>
          <w:szCs w:val="21"/>
        </w:rPr>
      </w:pPr>
      <w:r>
        <w:rPr>
          <w:rFonts w:hint="eastAsia" w:ascii="宋体" w:hAnsi="宋体"/>
          <w:kern w:val="0"/>
          <w:szCs w:val="21"/>
        </w:rPr>
        <w:t xml:space="preserve">二、技术文件 </w:t>
      </w:r>
    </w:p>
    <w:p>
      <w:pPr>
        <w:spacing w:line="440" w:lineRule="exact"/>
        <w:ind w:left="105" w:firstLine="57"/>
        <w:rPr>
          <w:rFonts w:ascii="宋体" w:hAnsi="宋体"/>
          <w:kern w:val="0"/>
          <w:szCs w:val="21"/>
        </w:rPr>
      </w:pPr>
      <w:r>
        <w:rPr>
          <w:rFonts w:hint="eastAsia" w:ascii="宋体" w:hAnsi="宋体"/>
          <w:kern w:val="0"/>
          <w:szCs w:val="21"/>
        </w:rPr>
        <w:t xml:space="preserve">▲（1）技术响应及偏离情况说明表；（详见竞争性磋商响应文件格式，必须提供）  </w:t>
      </w:r>
    </w:p>
    <w:p>
      <w:pPr>
        <w:spacing w:line="440" w:lineRule="exact"/>
        <w:ind w:left="105" w:firstLine="57"/>
        <w:rPr>
          <w:rFonts w:ascii="宋体" w:hAnsi="宋体"/>
          <w:kern w:val="0"/>
          <w:szCs w:val="21"/>
        </w:rPr>
      </w:pPr>
      <w:r>
        <w:rPr>
          <w:rFonts w:ascii="_5b8b_4f53" w:hAnsi="_5b8b_4f53" w:eastAsia="_5b8b_4f53" w:cs="_5b8b_4f53"/>
          <w:sz w:val="27"/>
          <w:szCs w:val="27"/>
          <w:shd w:val="clear" w:color="auto" w:fill="FFFFFF"/>
        </w:rPr>
        <w:t>▲</w:t>
      </w:r>
      <w:r>
        <w:rPr>
          <w:rFonts w:hint="eastAsia" w:ascii="宋体" w:hAnsi="宋体"/>
          <w:kern w:val="0"/>
          <w:szCs w:val="21"/>
        </w:rPr>
        <w:t>（2）项目技术方案；（必须提供）</w:t>
      </w:r>
    </w:p>
    <w:p>
      <w:pPr>
        <w:spacing w:line="440" w:lineRule="exact"/>
        <w:ind w:left="105" w:firstLine="57"/>
        <w:rPr>
          <w:rFonts w:ascii="宋体" w:hAnsi="宋体"/>
          <w:kern w:val="0"/>
          <w:szCs w:val="21"/>
        </w:rPr>
      </w:pPr>
      <w:r>
        <w:rPr>
          <w:rFonts w:hint="eastAsia" w:ascii="宋体" w:hAnsi="宋体"/>
          <w:kern w:val="0"/>
          <w:szCs w:val="21"/>
        </w:rPr>
        <w:t>（3）</w:t>
      </w:r>
      <w:r>
        <w:rPr>
          <w:rFonts w:ascii="宋体" w:hAnsi="宋体"/>
          <w:szCs w:val="21"/>
        </w:rPr>
        <w:t>服务质量承诺；</w:t>
      </w:r>
      <w:r>
        <w:rPr>
          <w:rFonts w:hint="eastAsia" w:ascii="宋体" w:hAnsi="宋体"/>
          <w:kern w:val="0"/>
          <w:szCs w:val="21"/>
        </w:rPr>
        <w:t>（如有请提供）</w:t>
      </w:r>
    </w:p>
    <w:p>
      <w:pPr>
        <w:spacing w:line="440" w:lineRule="exact"/>
        <w:ind w:left="105" w:firstLine="266" w:firstLineChars="127"/>
        <w:rPr>
          <w:rFonts w:ascii="宋体" w:hAnsi="宋体"/>
          <w:kern w:val="0"/>
          <w:szCs w:val="21"/>
        </w:rPr>
      </w:pPr>
      <w:r>
        <w:rPr>
          <w:rFonts w:hint="eastAsia" w:ascii="宋体" w:hAnsi="宋体"/>
          <w:kern w:val="0"/>
          <w:szCs w:val="21"/>
        </w:rPr>
        <w:t>（4）投标人对本项目的其他服务方案；（如有请提供）</w:t>
      </w:r>
    </w:p>
    <w:p>
      <w:pPr>
        <w:spacing w:line="440" w:lineRule="exact"/>
        <w:ind w:firstLine="420" w:firstLineChars="200"/>
        <w:rPr>
          <w:rFonts w:ascii="宋体" w:hAnsi="宋体"/>
          <w:kern w:val="0"/>
          <w:szCs w:val="21"/>
        </w:rPr>
      </w:pPr>
      <w:r>
        <w:rPr>
          <w:rFonts w:hint="eastAsia" w:ascii="宋体" w:hAnsi="宋体"/>
          <w:kern w:val="0"/>
          <w:szCs w:val="21"/>
        </w:rPr>
        <w:t>（5）本招标文件要求提供的其他资料和需要说明的问题。</w:t>
      </w:r>
    </w:p>
    <w:p>
      <w:pPr>
        <w:jc w:val="center"/>
        <w:rPr>
          <w:rFonts w:ascii="宋体" w:hAnsi="宋体"/>
          <w:b/>
          <w:kern w:val="0"/>
          <w:sz w:val="48"/>
          <w:szCs w:val="48"/>
        </w:rPr>
      </w:pPr>
    </w:p>
    <w:p>
      <w:pPr>
        <w:pStyle w:val="6"/>
        <w:rPr>
          <w:rFonts w:ascii="宋体" w:hAnsi="宋体"/>
          <w:b w:val="0"/>
          <w:kern w:val="0"/>
          <w:sz w:val="48"/>
          <w:szCs w:val="48"/>
        </w:rPr>
      </w:pPr>
    </w:p>
    <w:p>
      <w:pPr>
        <w:rPr>
          <w:rFonts w:ascii="宋体" w:hAnsi="宋体"/>
          <w:kern w:val="0"/>
          <w:sz w:val="48"/>
          <w:szCs w:val="48"/>
        </w:rPr>
      </w:pPr>
    </w:p>
    <w:p>
      <w:pPr>
        <w:pStyle w:val="2"/>
        <w:rPr>
          <w:rFonts w:ascii="宋体" w:hAnsi="宋体"/>
          <w:kern w:val="0"/>
          <w:sz w:val="48"/>
          <w:szCs w:val="48"/>
        </w:rPr>
      </w:pPr>
    </w:p>
    <w:p>
      <w:pPr>
        <w:rPr>
          <w:rFonts w:ascii="宋体" w:hAnsi="宋体"/>
          <w:kern w:val="0"/>
          <w:sz w:val="48"/>
          <w:szCs w:val="48"/>
        </w:rPr>
      </w:pPr>
    </w:p>
    <w:p>
      <w:pPr>
        <w:pStyle w:val="2"/>
        <w:rPr>
          <w:rFonts w:ascii="宋体" w:hAnsi="宋体"/>
          <w:kern w:val="0"/>
          <w:sz w:val="48"/>
          <w:szCs w:val="48"/>
        </w:rPr>
      </w:pPr>
    </w:p>
    <w:p/>
    <w:p>
      <w:pPr>
        <w:rPr>
          <w:b/>
          <w:kern w:val="0"/>
          <w:sz w:val="36"/>
          <w:szCs w:val="36"/>
        </w:rPr>
      </w:pPr>
    </w:p>
    <w:p>
      <w:pPr>
        <w:spacing w:line="600" w:lineRule="exact"/>
        <w:rPr>
          <w:b/>
          <w:kern w:val="0"/>
          <w:sz w:val="36"/>
          <w:szCs w:val="36"/>
        </w:rPr>
      </w:pPr>
      <w:bookmarkStart w:id="38" w:name="_Toc17187_WPSOffice_Level1"/>
      <w:r>
        <w:rPr>
          <w:rFonts w:hint="eastAsia"/>
          <w:b/>
          <w:kern w:val="0"/>
          <w:sz w:val="36"/>
          <w:szCs w:val="36"/>
        </w:rPr>
        <w:t>商务及资格文件</w:t>
      </w:r>
      <w:bookmarkEnd w:id="38"/>
    </w:p>
    <w:p>
      <w:pPr>
        <w:pStyle w:val="6"/>
        <w:rPr>
          <w:szCs w:val="28"/>
        </w:rPr>
      </w:pPr>
      <w:bookmarkStart w:id="39" w:name="_Toc13704_WPSOffice_Level1"/>
      <w:r>
        <w:rPr>
          <w:rFonts w:hint="eastAsia"/>
          <w:szCs w:val="28"/>
        </w:rPr>
        <w:t>一、磋  商  书</w:t>
      </w:r>
      <w:bookmarkEnd w:id="39"/>
    </w:p>
    <w:p>
      <w:pPr>
        <w:rPr>
          <w:kern w:val="0"/>
        </w:rPr>
      </w:pPr>
    </w:p>
    <w:p>
      <w:pPr>
        <w:spacing w:line="500" w:lineRule="exact"/>
        <w:rPr>
          <w:rFonts w:ascii="宋体" w:hAnsi="宋体"/>
          <w:kern w:val="0"/>
          <w:sz w:val="24"/>
        </w:rPr>
      </w:pPr>
      <w:r>
        <w:rPr>
          <w:rFonts w:hint="eastAsia" w:ascii="宋体" w:hAnsi="宋体"/>
          <w:kern w:val="0"/>
          <w:sz w:val="24"/>
        </w:rPr>
        <w:t>项目编号:</w:t>
      </w:r>
    </w:p>
    <w:p>
      <w:pPr>
        <w:pStyle w:val="6"/>
        <w:jc w:val="both"/>
        <w:rPr>
          <w:rFonts w:ascii="宋体" w:hAnsi="宋体"/>
          <w:b w:val="0"/>
          <w:kern w:val="0"/>
          <w:sz w:val="24"/>
        </w:rPr>
      </w:pPr>
      <w:r>
        <w:rPr>
          <w:rFonts w:hint="eastAsia" w:ascii="宋体" w:hAnsi="宋体"/>
          <w:b w:val="0"/>
          <w:kern w:val="0"/>
          <w:sz w:val="24"/>
        </w:rPr>
        <w:t>项目名称:</w:t>
      </w:r>
    </w:p>
    <w:p>
      <w:pPr>
        <w:spacing w:line="500" w:lineRule="exact"/>
        <w:rPr>
          <w:rFonts w:ascii="宋体" w:hAnsi="宋体"/>
          <w:kern w:val="0"/>
          <w:sz w:val="24"/>
        </w:rPr>
      </w:pPr>
      <w:r>
        <w:rPr>
          <w:rFonts w:hint="eastAsia" w:ascii="宋体" w:hAnsi="宋体"/>
          <w:kern w:val="0"/>
          <w:sz w:val="24"/>
        </w:rPr>
        <w:t>致:广西乐正工程项目管理有限公司</w:t>
      </w:r>
    </w:p>
    <w:p>
      <w:pPr>
        <w:spacing w:line="500" w:lineRule="exact"/>
        <w:rPr>
          <w:rFonts w:ascii="宋体" w:hAnsi="宋体"/>
          <w:kern w:val="0"/>
          <w:sz w:val="24"/>
        </w:rPr>
      </w:pPr>
      <w:r>
        <w:rPr>
          <w:rFonts w:hint="eastAsia" w:ascii="宋体" w:hAnsi="宋体"/>
          <w:kern w:val="0"/>
          <w:sz w:val="24"/>
        </w:rPr>
        <w:t xml:space="preserve">    1、经考察现场并研究竞争性磋商文件和有关文件和有关资料，我方愿完全按本磋商文件的要求，承担本项目的所产生的相关风险。</w:t>
      </w:r>
    </w:p>
    <w:p>
      <w:pPr>
        <w:spacing w:line="500" w:lineRule="exact"/>
        <w:rPr>
          <w:rFonts w:ascii="宋体" w:hAnsi="宋体"/>
          <w:kern w:val="0"/>
          <w:sz w:val="24"/>
        </w:rPr>
      </w:pPr>
      <w:r>
        <w:rPr>
          <w:rFonts w:hint="eastAsia" w:ascii="宋体" w:hAnsi="宋体"/>
          <w:kern w:val="0"/>
          <w:sz w:val="24"/>
        </w:rPr>
        <w:t xml:space="preserve">    2、一旦我方成交，我方保证在特许协议条款中规定的日期开始组织实施本项目。</w:t>
      </w:r>
    </w:p>
    <w:p>
      <w:pPr>
        <w:spacing w:line="500" w:lineRule="exact"/>
        <w:rPr>
          <w:rFonts w:ascii="宋体" w:hAnsi="宋体"/>
          <w:kern w:val="0"/>
          <w:sz w:val="24"/>
        </w:rPr>
      </w:pPr>
      <w:r>
        <w:rPr>
          <w:rFonts w:hint="eastAsia" w:ascii="宋体" w:hAnsi="宋体"/>
          <w:kern w:val="0"/>
          <w:sz w:val="24"/>
        </w:rPr>
        <w:t xml:space="preserve">    3、我方同意本响应文件在磋商截止期之日起有效期为个日历日。</w:t>
      </w:r>
    </w:p>
    <w:p>
      <w:pPr>
        <w:spacing w:line="500" w:lineRule="exact"/>
        <w:rPr>
          <w:rFonts w:ascii="宋体" w:hAnsi="宋体"/>
          <w:kern w:val="0"/>
          <w:sz w:val="24"/>
        </w:rPr>
      </w:pPr>
      <w:r>
        <w:rPr>
          <w:rFonts w:hint="eastAsia" w:ascii="宋体" w:hAnsi="宋体"/>
          <w:kern w:val="0"/>
          <w:sz w:val="24"/>
        </w:rPr>
        <w:t xml:space="preserve">    4、除非另外达成协议并生效，你方的成交通知和本响应文件将构成约束我方与采购双方的合同。</w:t>
      </w:r>
    </w:p>
    <w:p>
      <w:pPr>
        <w:spacing w:line="500" w:lineRule="exact"/>
        <w:ind w:firstLine="480"/>
        <w:rPr>
          <w:rFonts w:ascii="宋体" w:hAnsi="宋体"/>
          <w:kern w:val="0"/>
          <w:sz w:val="24"/>
        </w:rPr>
      </w:pPr>
      <w:r>
        <w:rPr>
          <w:rFonts w:hint="eastAsia" w:ascii="宋体" w:hAnsi="宋体"/>
          <w:kern w:val="0"/>
          <w:sz w:val="24"/>
        </w:rPr>
        <w:t>5、我方的金额为人民币的磋商保证金以形式与本响应文件同时递交。</w:t>
      </w:r>
    </w:p>
    <w:p>
      <w:pPr>
        <w:spacing w:line="500" w:lineRule="exact"/>
        <w:ind w:firstLine="570"/>
        <w:rPr>
          <w:rFonts w:ascii="宋体" w:hAnsi="宋体"/>
          <w:kern w:val="0"/>
          <w:sz w:val="24"/>
        </w:rPr>
      </w:pPr>
    </w:p>
    <w:p>
      <w:pPr>
        <w:spacing w:line="500" w:lineRule="exact"/>
        <w:ind w:firstLine="570"/>
        <w:rPr>
          <w:rFonts w:ascii="宋体" w:hAnsi="宋体"/>
          <w:kern w:val="0"/>
          <w:sz w:val="24"/>
        </w:rPr>
      </w:pPr>
    </w:p>
    <w:p>
      <w:pPr>
        <w:spacing w:line="500" w:lineRule="exact"/>
        <w:ind w:firstLine="570"/>
        <w:rPr>
          <w:rFonts w:ascii="宋体" w:hAnsi="宋体"/>
          <w:kern w:val="0"/>
          <w:sz w:val="24"/>
          <w:u w:val="single"/>
        </w:rPr>
      </w:pPr>
      <w:r>
        <w:rPr>
          <w:rFonts w:hint="eastAsia" w:ascii="宋体" w:hAnsi="宋体"/>
          <w:kern w:val="0"/>
          <w:sz w:val="24"/>
        </w:rPr>
        <w:t>磋商供应商名称：</w:t>
      </w:r>
      <w:r>
        <w:rPr>
          <w:rFonts w:hint="eastAsia" w:ascii="宋体" w:hAnsi="宋体"/>
          <w:kern w:val="0"/>
          <w:sz w:val="24"/>
          <w:u w:val="single"/>
        </w:rPr>
        <w:t xml:space="preserve">                   （全称并加盖公章）                </w:t>
      </w:r>
    </w:p>
    <w:p>
      <w:pPr>
        <w:spacing w:line="500" w:lineRule="exact"/>
        <w:ind w:firstLine="570"/>
        <w:rPr>
          <w:rFonts w:ascii="宋体" w:hAnsi="宋体"/>
          <w:kern w:val="0"/>
          <w:sz w:val="24"/>
        </w:rPr>
      </w:pPr>
    </w:p>
    <w:p>
      <w:pPr>
        <w:spacing w:line="500" w:lineRule="exact"/>
        <w:ind w:firstLine="570"/>
        <w:rPr>
          <w:rFonts w:ascii="宋体" w:hAnsi="宋体"/>
          <w:kern w:val="0"/>
          <w:sz w:val="24"/>
          <w:u w:val="single"/>
        </w:rPr>
      </w:pPr>
      <w:r>
        <w:rPr>
          <w:rFonts w:hint="eastAsia" w:ascii="宋体" w:hAnsi="宋体"/>
          <w:kern w:val="0"/>
          <w:sz w:val="24"/>
        </w:rPr>
        <w:t>磋商供应商法定代表人（或授权代表）签字：</w:t>
      </w:r>
    </w:p>
    <w:p>
      <w:pPr>
        <w:spacing w:line="500" w:lineRule="exact"/>
        <w:ind w:firstLine="570"/>
        <w:rPr>
          <w:rFonts w:ascii="宋体" w:hAnsi="宋体"/>
          <w:kern w:val="0"/>
          <w:sz w:val="24"/>
        </w:rPr>
      </w:pPr>
    </w:p>
    <w:p>
      <w:pPr>
        <w:spacing w:line="500" w:lineRule="exact"/>
        <w:ind w:firstLine="570"/>
        <w:rPr>
          <w:rFonts w:ascii="宋体" w:hAnsi="宋体"/>
          <w:kern w:val="0"/>
          <w:sz w:val="24"/>
          <w:u w:val="single"/>
        </w:rPr>
      </w:pPr>
      <w:r>
        <w:rPr>
          <w:rFonts w:hint="eastAsia" w:ascii="宋体" w:hAnsi="宋体"/>
          <w:kern w:val="0"/>
          <w:sz w:val="24"/>
        </w:rPr>
        <w:t>地址：</w:t>
      </w:r>
      <w:r>
        <w:rPr>
          <w:rFonts w:hint="eastAsia" w:ascii="宋体" w:hAnsi="宋体"/>
          <w:kern w:val="0"/>
          <w:sz w:val="24"/>
          <w:u w:val="single"/>
        </w:rPr>
        <w:t xml:space="preserve">                  （包括电话、传真号、邮编）          </w:t>
      </w:r>
    </w:p>
    <w:p>
      <w:pPr>
        <w:spacing w:line="500" w:lineRule="exact"/>
        <w:ind w:firstLine="570"/>
        <w:rPr>
          <w:rFonts w:ascii="宋体" w:hAnsi="宋体"/>
          <w:kern w:val="0"/>
          <w:sz w:val="24"/>
        </w:rPr>
      </w:pPr>
    </w:p>
    <w:p>
      <w:pPr>
        <w:spacing w:line="480" w:lineRule="auto"/>
        <w:jc w:val="center"/>
        <w:rPr>
          <w:rFonts w:ascii="宋体" w:hAnsi="宋体"/>
          <w:kern w:val="0"/>
          <w:sz w:val="24"/>
        </w:rPr>
      </w:pPr>
      <w:r>
        <w:rPr>
          <w:rFonts w:hint="eastAsia" w:ascii="宋体" w:hAnsi="宋体"/>
          <w:kern w:val="0"/>
          <w:sz w:val="24"/>
        </w:rPr>
        <w:t xml:space="preserve">                               日期：    年   月   日</w:t>
      </w:r>
    </w:p>
    <w:p>
      <w:pPr>
        <w:spacing w:line="480" w:lineRule="auto"/>
        <w:jc w:val="center"/>
        <w:rPr>
          <w:rFonts w:ascii="宋体" w:hAnsi="宋体"/>
          <w:kern w:val="0"/>
          <w:sz w:val="24"/>
        </w:rPr>
      </w:pPr>
    </w:p>
    <w:p>
      <w:pPr>
        <w:spacing w:line="480" w:lineRule="auto"/>
        <w:jc w:val="center"/>
        <w:rPr>
          <w:rFonts w:ascii="宋体" w:hAnsi="宋体"/>
          <w:kern w:val="0"/>
          <w:sz w:val="24"/>
        </w:rPr>
      </w:pPr>
    </w:p>
    <w:p>
      <w:pPr>
        <w:spacing w:line="480" w:lineRule="auto"/>
        <w:jc w:val="center"/>
        <w:rPr>
          <w:rFonts w:ascii="宋体" w:hAnsi="宋体"/>
          <w:kern w:val="0"/>
          <w:sz w:val="24"/>
        </w:rPr>
      </w:pPr>
    </w:p>
    <w:p>
      <w:pPr>
        <w:spacing w:line="480" w:lineRule="auto"/>
        <w:jc w:val="center"/>
        <w:rPr>
          <w:rFonts w:ascii="宋体" w:hAnsi="宋体"/>
          <w:kern w:val="0"/>
          <w:sz w:val="24"/>
        </w:rPr>
      </w:pPr>
    </w:p>
    <w:p>
      <w:pPr>
        <w:pStyle w:val="6"/>
        <w:rPr>
          <w:szCs w:val="28"/>
        </w:rPr>
      </w:pPr>
      <w:bookmarkStart w:id="40" w:name="_Toc1367_WPSOffice_Level1"/>
      <w:r>
        <w:rPr>
          <w:rFonts w:hint="eastAsia"/>
          <w:szCs w:val="28"/>
        </w:rPr>
        <w:t>二、磋商报价表</w:t>
      </w:r>
      <w:bookmarkEnd w:id="40"/>
    </w:p>
    <w:p>
      <w:pPr>
        <w:spacing w:line="420" w:lineRule="exact"/>
        <w:rPr>
          <w:rFonts w:ascii="宋体" w:hAnsi="宋体"/>
          <w:kern w:val="0"/>
          <w:szCs w:val="21"/>
        </w:rPr>
      </w:pPr>
      <w:r>
        <w:rPr>
          <w:rFonts w:hint="eastAsia" w:ascii="宋体" w:hAnsi="宋体"/>
          <w:kern w:val="0"/>
          <w:szCs w:val="21"/>
        </w:rPr>
        <w:t>项目编号:</w:t>
      </w:r>
    </w:p>
    <w:p>
      <w:pPr>
        <w:pStyle w:val="6"/>
        <w:jc w:val="both"/>
        <w:rPr>
          <w:rFonts w:ascii="宋体" w:hAnsi="宋体"/>
          <w:b w:val="0"/>
          <w:kern w:val="0"/>
          <w:sz w:val="21"/>
          <w:szCs w:val="21"/>
        </w:rPr>
      </w:pPr>
      <w:r>
        <w:rPr>
          <w:rFonts w:hint="eastAsia" w:ascii="宋体" w:hAnsi="宋体"/>
          <w:b w:val="0"/>
          <w:kern w:val="0"/>
          <w:sz w:val="21"/>
          <w:szCs w:val="21"/>
        </w:rPr>
        <w:t>项目名称:</w:t>
      </w:r>
    </w:p>
    <w:tbl>
      <w:tblPr>
        <w:tblStyle w:val="26"/>
        <w:tblW w:w="0" w:type="auto"/>
        <w:tblInd w:w="250" w:type="dxa"/>
        <w:tblLayout w:type="fixed"/>
        <w:tblCellMar>
          <w:top w:w="0" w:type="dxa"/>
          <w:left w:w="108" w:type="dxa"/>
          <w:bottom w:w="0" w:type="dxa"/>
          <w:right w:w="108" w:type="dxa"/>
        </w:tblCellMar>
      </w:tblPr>
      <w:tblGrid>
        <w:gridCol w:w="597"/>
        <w:gridCol w:w="8337"/>
      </w:tblGrid>
      <w:tr>
        <w:tblPrEx>
          <w:tblCellMar>
            <w:top w:w="0" w:type="dxa"/>
            <w:left w:w="108" w:type="dxa"/>
            <w:bottom w:w="0" w:type="dxa"/>
            <w:right w:w="108" w:type="dxa"/>
          </w:tblCellMar>
        </w:tblPrEx>
        <w:trPr>
          <w:trHeight w:val="696" w:hRule="atLeast"/>
        </w:trPr>
        <w:tc>
          <w:tcPr>
            <w:tcW w:w="5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833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服务名称</w:t>
            </w:r>
          </w:p>
        </w:tc>
      </w:tr>
      <w:tr>
        <w:tblPrEx>
          <w:tblCellMar>
            <w:top w:w="0" w:type="dxa"/>
            <w:left w:w="108" w:type="dxa"/>
            <w:bottom w:w="0" w:type="dxa"/>
            <w:right w:w="108" w:type="dxa"/>
          </w:tblCellMar>
        </w:tblPrEx>
        <w:trPr>
          <w:trHeight w:val="696" w:hRule="atLeast"/>
        </w:trPr>
        <w:tc>
          <w:tcPr>
            <w:tcW w:w="5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83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96" w:hRule="atLeast"/>
        </w:trPr>
        <w:tc>
          <w:tcPr>
            <w:tcW w:w="8934" w:type="dxa"/>
            <w:gridSpan w:val="2"/>
            <w:tcBorders>
              <w:top w:val="single" w:color="auto" w:sz="4" w:space="0"/>
              <w:left w:val="single" w:color="auto" w:sz="4" w:space="0"/>
              <w:bottom w:val="single" w:color="auto" w:sz="4" w:space="0"/>
              <w:right w:val="single" w:color="auto" w:sz="4" w:space="0"/>
            </w:tcBorders>
          </w:tcPr>
          <w:p>
            <w:pPr>
              <w:spacing w:line="600" w:lineRule="exact"/>
              <w:rPr>
                <w:kern w:val="0"/>
                <w:szCs w:val="21"/>
              </w:rPr>
            </w:pPr>
            <w:r>
              <w:rPr>
                <w:kern w:val="0"/>
                <w:szCs w:val="21"/>
              </w:rPr>
              <w:t>报价：</w:t>
            </w:r>
            <w:r>
              <w:rPr>
                <w:kern w:val="0"/>
                <w:szCs w:val="21"/>
                <w:u w:val="single"/>
              </w:rPr>
              <w:t xml:space="preserve">                                   </w:t>
            </w:r>
            <w:r>
              <w:rPr>
                <w:kern w:val="0"/>
                <w:szCs w:val="21"/>
              </w:rPr>
              <w:t xml:space="preserve">（ </w:t>
            </w:r>
            <w:r>
              <w:rPr>
                <w:rFonts w:hint="eastAsia"/>
                <w:kern w:val="0"/>
                <w:szCs w:val="21"/>
              </w:rPr>
              <w:t>¥</w:t>
            </w:r>
            <w:r>
              <w:rPr>
                <w:kern w:val="0"/>
                <w:szCs w:val="21"/>
                <w:u w:val="single"/>
              </w:rPr>
              <w:t xml:space="preserve">           </w:t>
            </w:r>
            <w:r>
              <w:rPr>
                <w:kern w:val="0"/>
                <w:szCs w:val="21"/>
              </w:rPr>
              <w:t xml:space="preserve"> ）</w:t>
            </w:r>
          </w:p>
        </w:tc>
      </w:tr>
      <w:tr>
        <w:tblPrEx>
          <w:tblCellMar>
            <w:top w:w="0" w:type="dxa"/>
            <w:left w:w="108" w:type="dxa"/>
            <w:bottom w:w="0" w:type="dxa"/>
            <w:right w:w="108" w:type="dxa"/>
          </w:tblCellMar>
        </w:tblPrEx>
        <w:trPr>
          <w:trHeight w:val="696" w:hRule="atLeast"/>
        </w:trPr>
        <w:tc>
          <w:tcPr>
            <w:tcW w:w="8934" w:type="dxa"/>
            <w:gridSpan w:val="2"/>
            <w:tcBorders>
              <w:top w:val="single" w:color="auto" w:sz="4" w:space="0"/>
              <w:left w:val="single" w:color="auto" w:sz="4" w:space="0"/>
              <w:bottom w:val="single" w:color="auto" w:sz="4" w:space="0"/>
              <w:right w:val="single" w:color="auto" w:sz="4" w:space="0"/>
            </w:tcBorders>
          </w:tcPr>
          <w:p>
            <w:pPr>
              <w:spacing w:line="600" w:lineRule="exact"/>
              <w:rPr>
                <w:kern w:val="0"/>
                <w:szCs w:val="21"/>
              </w:rPr>
            </w:pPr>
            <w:r>
              <w:rPr>
                <w:kern w:val="0"/>
                <w:szCs w:val="21"/>
              </w:rPr>
              <w:t>服务期</w:t>
            </w:r>
            <w:r>
              <w:rPr>
                <w:rFonts w:hint="eastAsia"/>
                <w:kern w:val="0"/>
                <w:szCs w:val="21"/>
              </w:rPr>
              <w:t>：</w:t>
            </w:r>
          </w:p>
        </w:tc>
      </w:tr>
    </w:tbl>
    <w:p>
      <w:pPr>
        <w:spacing w:line="420" w:lineRule="exact"/>
        <w:rPr>
          <w:rFonts w:ascii="宋体" w:hAnsi="宋体"/>
          <w:kern w:val="0"/>
          <w:szCs w:val="21"/>
          <w:u w:val="single"/>
        </w:rPr>
      </w:pPr>
    </w:p>
    <w:p>
      <w:pPr>
        <w:pStyle w:val="15"/>
        <w:spacing w:line="500" w:lineRule="exact"/>
        <w:rPr>
          <w:rFonts w:hAnsi="宋体"/>
        </w:rPr>
      </w:pPr>
    </w:p>
    <w:p>
      <w:pPr>
        <w:pStyle w:val="15"/>
        <w:spacing w:line="500" w:lineRule="exact"/>
        <w:rPr>
          <w:rFonts w:hAnsi="宋体"/>
          <w:u w:val="single"/>
        </w:rPr>
      </w:pPr>
      <w:r>
        <w:rPr>
          <w:rFonts w:hint="eastAsia" w:hAnsi="宋体"/>
        </w:rPr>
        <w:t>磋商供应商名称（签章）：</w:t>
      </w:r>
    </w:p>
    <w:p>
      <w:pPr>
        <w:pStyle w:val="15"/>
        <w:spacing w:line="500" w:lineRule="exact"/>
        <w:rPr>
          <w:rFonts w:hAnsi="宋体"/>
        </w:rPr>
      </w:pPr>
    </w:p>
    <w:p>
      <w:pPr>
        <w:pStyle w:val="15"/>
        <w:spacing w:line="500" w:lineRule="exact"/>
        <w:rPr>
          <w:rFonts w:hAnsi="宋体"/>
          <w:u w:val="single"/>
        </w:rPr>
      </w:pPr>
      <w:r>
        <w:rPr>
          <w:rFonts w:hint="eastAsia" w:hAnsi="宋体"/>
        </w:rPr>
        <w:t>法定代表人 或法定代表人 授权代表（签字）:</w:t>
      </w:r>
    </w:p>
    <w:p>
      <w:pPr>
        <w:spacing w:line="360" w:lineRule="auto"/>
        <w:rPr>
          <w:rFonts w:hAnsi="宋体"/>
          <w:kern w:val="0"/>
          <w:szCs w:val="21"/>
        </w:rPr>
      </w:pPr>
    </w:p>
    <w:p>
      <w:pPr>
        <w:spacing w:line="360" w:lineRule="auto"/>
        <w:rPr>
          <w:kern w:val="0"/>
        </w:rPr>
      </w:pPr>
      <w:r>
        <w:rPr>
          <w:rFonts w:hint="eastAsia" w:hAnsi="宋体"/>
          <w:kern w:val="0"/>
          <w:szCs w:val="21"/>
        </w:rPr>
        <w:t>报价时间：年月日</w:t>
      </w:r>
    </w:p>
    <w:p>
      <w:pPr>
        <w:rPr>
          <w:kern w:val="0"/>
        </w:rPr>
      </w:pPr>
    </w:p>
    <w:p>
      <w:pPr>
        <w:rPr>
          <w:kern w:val="0"/>
        </w:rPr>
      </w:pPr>
    </w:p>
    <w:p>
      <w:pPr>
        <w:rPr>
          <w:kern w:val="0"/>
        </w:rPr>
      </w:pPr>
    </w:p>
    <w:p>
      <w:pPr>
        <w:spacing w:line="600" w:lineRule="exact"/>
        <w:rPr>
          <w:kern w:val="0"/>
        </w:rPr>
      </w:pPr>
    </w:p>
    <w:p>
      <w:pPr>
        <w:pStyle w:val="6"/>
        <w:rPr>
          <w:b w:val="0"/>
          <w:bCs w:val="0"/>
          <w:kern w:val="0"/>
        </w:rPr>
      </w:pPr>
    </w:p>
    <w:p>
      <w:pPr>
        <w:rPr>
          <w:kern w:val="0"/>
        </w:rPr>
      </w:pPr>
    </w:p>
    <w:p>
      <w:pPr>
        <w:pStyle w:val="6"/>
        <w:rPr>
          <w:b w:val="0"/>
          <w:bCs w:val="0"/>
          <w:kern w:val="0"/>
        </w:rPr>
      </w:pPr>
    </w:p>
    <w:p>
      <w:pPr>
        <w:rPr>
          <w:kern w:val="0"/>
        </w:rPr>
      </w:pPr>
    </w:p>
    <w:p>
      <w:pPr>
        <w:pStyle w:val="6"/>
        <w:rPr>
          <w:b w:val="0"/>
          <w:bCs w:val="0"/>
          <w:kern w:val="0"/>
        </w:rPr>
      </w:pPr>
    </w:p>
    <w:p/>
    <w:p>
      <w:pPr>
        <w:pStyle w:val="6"/>
      </w:pPr>
    </w:p>
    <w:p>
      <w:pPr>
        <w:pStyle w:val="23"/>
        <w:rPr>
          <w:sz w:val="21"/>
          <w:szCs w:val="21"/>
        </w:rPr>
      </w:pPr>
      <w:bookmarkStart w:id="41" w:name="_Toc432088978"/>
    </w:p>
    <w:p>
      <w:pPr>
        <w:pStyle w:val="23"/>
        <w:rPr>
          <w:sz w:val="21"/>
          <w:szCs w:val="21"/>
        </w:rPr>
      </w:pPr>
    </w:p>
    <w:p>
      <w:pPr>
        <w:pStyle w:val="23"/>
        <w:rPr>
          <w:sz w:val="21"/>
          <w:szCs w:val="21"/>
        </w:rPr>
      </w:pPr>
    </w:p>
    <w:p>
      <w:pPr>
        <w:pStyle w:val="23"/>
        <w:widowControl/>
        <w:numPr>
          <w:ilvl w:val="0"/>
          <w:numId w:val="2"/>
        </w:numPr>
        <w:spacing w:line="600" w:lineRule="exact"/>
        <w:jc w:val="center"/>
        <w:rPr>
          <w:sz w:val="32"/>
          <w:szCs w:val="32"/>
          <w:shd w:val="clear" w:color="FFFFFF" w:fill="D9D9D9"/>
        </w:rPr>
      </w:pPr>
      <w:bookmarkStart w:id="42" w:name="_Toc4998_WPSOffice_Level1"/>
      <w:r>
        <w:rPr>
          <w:rFonts w:hint="eastAsia"/>
          <w:sz w:val="32"/>
          <w:szCs w:val="32"/>
          <w:shd w:val="clear" w:color="FFFFFF" w:fill="D9D9D9"/>
        </w:rPr>
        <w:t>营业执照副本复印件</w:t>
      </w:r>
      <w:bookmarkEnd w:id="42"/>
    </w:p>
    <w:p>
      <w:pPr>
        <w:pStyle w:val="23"/>
        <w:rPr>
          <w:sz w:val="32"/>
          <w:szCs w:val="32"/>
          <w:shd w:val="clear" w:color="FFFFFF" w:fill="D9D9D9"/>
        </w:rPr>
      </w:pPr>
    </w:p>
    <w:p>
      <w:pPr>
        <w:pStyle w:val="23"/>
        <w:jc w:val="center"/>
        <w:rPr>
          <w:sz w:val="32"/>
          <w:szCs w:val="32"/>
        </w:rPr>
      </w:pPr>
    </w:p>
    <w:p>
      <w:pPr>
        <w:pStyle w:val="23"/>
        <w:widowControl/>
        <w:spacing w:line="600" w:lineRule="exact"/>
        <w:jc w:val="center"/>
        <w:rPr>
          <w:sz w:val="32"/>
          <w:szCs w:val="32"/>
        </w:rPr>
      </w:pPr>
    </w:p>
    <w:p>
      <w:pPr>
        <w:pStyle w:val="23"/>
        <w:widowControl/>
        <w:numPr>
          <w:ilvl w:val="0"/>
          <w:numId w:val="2"/>
        </w:numPr>
        <w:spacing w:line="600" w:lineRule="exact"/>
        <w:jc w:val="center"/>
        <w:rPr>
          <w:sz w:val="32"/>
          <w:szCs w:val="32"/>
        </w:rPr>
      </w:pPr>
      <w:bookmarkStart w:id="43" w:name="_Toc31465_WPSOffice_Level1"/>
      <w:r>
        <w:rPr>
          <w:rFonts w:hint="eastAsia"/>
          <w:sz w:val="32"/>
          <w:szCs w:val="32"/>
        </w:rPr>
        <w:t>法定代表人身份证复印件</w:t>
      </w:r>
      <w:bookmarkEnd w:id="43"/>
    </w:p>
    <w:p>
      <w:pPr>
        <w:pStyle w:val="23"/>
        <w:jc w:val="center"/>
        <w:rPr>
          <w:sz w:val="32"/>
          <w:szCs w:val="32"/>
        </w:rPr>
      </w:pPr>
    </w:p>
    <w:p>
      <w:pPr>
        <w:pStyle w:val="23"/>
        <w:jc w:val="center"/>
        <w:rPr>
          <w:sz w:val="32"/>
          <w:szCs w:val="32"/>
        </w:rPr>
      </w:pPr>
    </w:p>
    <w:p>
      <w:pPr>
        <w:pStyle w:val="23"/>
        <w:jc w:val="center"/>
        <w:rPr>
          <w:sz w:val="32"/>
          <w:szCs w:val="32"/>
        </w:rPr>
      </w:pPr>
    </w:p>
    <w:p>
      <w:pPr>
        <w:rPr>
          <w:rFonts w:ascii="宋体" w:hAnsi="宋体" w:cs="宋体"/>
          <w:kern w:val="0"/>
        </w:rPr>
      </w:pPr>
    </w:p>
    <w:p/>
    <w:p>
      <w:pPr>
        <w:rPr>
          <w:rFonts w:ascii="宋体" w:hAnsi="宋体" w:cs="宋体"/>
          <w:kern w:val="0"/>
        </w:rPr>
      </w:pPr>
    </w:p>
    <w:p>
      <w:pPr>
        <w:pStyle w:val="6"/>
        <w:rPr>
          <w:rFonts w:ascii="宋体" w:hAnsi="宋体" w:cs="宋体"/>
          <w:b w:val="0"/>
          <w:bCs w:val="0"/>
          <w:kern w:val="0"/>
        </w:rPr>
      </w:pPr>
    </w:p>
    <w:p>
      <w:pPr>
        <w:pStyle w:val="6"/>
      </w:pPr>
    </w:p>
    <w:p/>
    <w:p>
      <w:pPr>
        <w:pStyle w:val="6"/>
      </w:pPr>
    </w:p>
    <w:p/>
    <w:p>
      <w:pPr>
        <w:pStyle w:val="6"/>
      </w:pPr>
    </w:p>
    <w:p/>
    <w:p>
      <w:pPr>
        <w:pStyle w:val="6"/>
      </w:pPr>
    </w:p>
    <w:p/>
    <w:p>
      <w:pPr>
        <w:pStyle w:val="6"/>
      </w:pPr>
    </w:p>
    <w:p/>
    <w:p>
      <w:pPr>
        <w:pStyle w:val="6"/>
      </w:pPr>
    </w:p>
    <w:p/>
    <w:p>
      <w:pPr>
        <w:pStyle w:val="6"/>
      </w:pPr>
    </w:p>
    <w:p/>
    <w:p/>
    <w:p>
      <w:pPr>
        <w:pStyle w:val="23"/>
        <w:numPr>
          <w:ilvl w:val="0"/>
          <w:numId w:val="2"/>
        </w:numPr>
        <w:adjustRightInd w:val="0"/>
        <w:spacing w:line="360" w:lineRule="auto"/>
        <w:jc w:val="center"/>
        <w:rPr>
          <w:rFonts w:ascii="宋体" w:hAnsi="宋体" w:cs="宋体"/>
          <w:sz w:val="32"/>
          <w:szCs w:val="32"/>
        </w:rPr>
      </w:pPr>
      <w:bookmarkStart w:id="44" w:name="_Toc29104_WPSOffice_Level1"/>
      <w:r>
        <w:rPr>
          <w:rFonts w:hint="eastAsia" w:ascii="宋体" w:hAnsi="宋体" w:cs="宋体"/>
          <w:sz w:val="32"/>
          <w:szCs w:val="32"/>
        </w:rPr>
        <w:t>法定代表人授权委托书原件和委托代理人身份证复印件</w:t>
      </w:r>
      <w:bookmarkEnd w:id="44"/>
    </w:p>
    <w:p>
      <w:pPr>
        <w:pStyle w:val="5"/>
        <w:widowControl/>
        <w:numPr>
          <w:ilvl w:val="2"/>
          <w:numId w:val="0"/>
        </w:numPr>
        <w:ind w:left="-2"/>
        <w:jc w:val="center"/>
        <w:rPr>
          <w:rFonts w:cs="宋体"/>
          <w:b w:val="0"/>
          <w:sz w:val="28"/>
          <w:szCs w:val="28"/>
        </w:rPr>
      </w:pPr>
      <w:bookmarkStart w:id="45" w:name="_Toc24590_WPSOffice_Level1"/>
      <w:bookmarkStart w:id="46" w:name="_Toc9143"/>
      <w:bookmarkStart w:id="47" w:name="_Toc2246"/>
      <w:bookmarkStart w:id="48" w:name="_Toc522287518"/>
      <w:bookmarkStart w:id="49" w:name="_Toc522287562"/>
      <w:bookmarkStart w:id="50" w:name="_Toc21734"/>
      <w:r>
        <w:rPr>
          <w:rFonts w:hint="eastAsia" w:cs="宋体"/>
          <w:b w:val="0"/>
        </w:rPr>
        <w:t>（委托代理时必须提供）</w:t>
      </w:r>
      <w:bookmarkEnd w:id="45"/>
      <w:bookmarkEnd w:id="46"/>
      <w:bookmarkEnd w:id="47"/>
      <w:bookmarkEnd w:id="48"/>
      <w:bookmarkEnd w:id="49"/>
      <w:bookmarkEnd w:id="50"/>
    </w:p>
    <w:p>
      <w:pPr>
        <w:pStyle w:val="21"/>
        <w:jc w:val="center"/>
        <w:rPr>
          <w:rFonts w:ascii="宋体" w:hAnsi="宋体" w:cs="宋体"/>
        </w:rPr>
      </w:pPr>
      <w:r>
        <w:rPr>
          <w:rFonts w:hint="eastAsia" w:ascii="宋体" w:hAnsi="宋体" w:cs="宋体"/>
        </w:rPr>
        <w:t>授权委托书（格式）</w:t>
      </w:r>
    </w:p>
    <w:p>
      <w:pPr>
        <w:spacing w:line="360" w:lineRule="auto"/>
        <w:rPr>
          <w:rFonts w:ascii="宋体" w:hAnsi="宋体" w:cs="宋体"/>
          <w:kern w:val="0"/>
          <w:sz w:val="24"/>
        </w:rPr>
      </w:pPr>
    </w:p>
    <w:p>
      <w:pPr>
        <w:spacing w:line="360" w:lineRule="auto"/>
        <w:ind w:firstLine="480"/>
        <w:rPr>
          <w:rFonts w:ascii="宋体" w:hAnsi="宋体" w:cs="宋体"/>
          <w:kern w:val="0"/>
        </w:rPr>
      </w:pPr>
      <w:r>
        <w:rPr>
          <w:rFonts w:hint="eastAsia" w:ascii="宋体" w:hAnsi="宋体" w:cs="宋体"/>
          <w:kern w:val="0"/>
        </w:rPr>
        <w:t>本授权委托书声明：我</w:t>
      </w:r>
      <w:r>
        <w:rPr>
          <w:rFonts w:hint="eastAsia" w:ascii="宋体" w:hAnsi="宋体" w:cs="宋体"/>
          <w:kern w:val="0"/>
          <w:u w:val="single"/>
        </w:rPr>
        <w:t xml:space="preserve">        （姓名）</w:t>
      </w:r>
      <w:r>
        <w:rPr>
          <w:rFonts w:hint="eastAsia" w:ascii="宋体" w:hAnsi="宋体" w:cs="宋体"/>
          <w:kern w:val="0"/>
        </w:rPr>
        <w:t>系</w:t>
      </w:r>
      <w:r>
        <w:rPr>
          <w:rFonts w:hint="eastAsia" w:ascii="宋体" w:hAnsi="宋体" w:cs="宋体"/>
          <w:kern w:val="0"/>
          <w:u w:val="single"/>
        </w:rPr>
        <w:t xml:space="preserve">                 （磋商供应商名称）</w:t>
      </w:r>
      <w:r>
        <w:rPr>
          <w:rFonts w:hint="eastAsia" w:ascii="宋体" w:hAnsi="宋体" w:cs="宋体"/>
          <w:kern w:val="0"/>
        </w:rPr>
        <w:t>的法定代表人，现授权委托</w:t>
      </w:r>
      <w:r>
        <w:rPr>
          <w:rFonts w:hint="eastAsia" w:ascii="宋体" w:hAnsi="宋体" w:cs="宋体"/>
          <w:kern w:val="0"/>
          <w:u w:val="single"/>
        </w:rPr>
        <w:t xml:space="preserve">      （姓名）</w:t>
      </w:r>
      <w:r>
        <w:rPr>
          <w:rFonts w:hint="eastAsia" w:ascii="宋体" w:hAnsi="宋体" w:cs="宋体"/>
          <w:kern w:val="0"/>
        </w:rPr>
        <w:t>为我公司代理人，以本单位的名义参加</w:t>
      </w:r>
      <w:r>
        <w:rPr>
          <w:rFonts w:hint="eastAsia" w:ascii="宋体" w:hAnsi="宋体" w:cs="宋体"/>
          <w:kern w:val="0"/>
          <w:u w:val="single"/>
        </w:rPr>
        <w:t>                  （招标人）</w:t>
      </w:r>
      <w:r>
        <w:rPr>
          <w:rFonts w:hint="eastAsia" w:ascii="宋体" w:hAnsi="宋体" w:cs="宋体"/>
          <w:kern w:val="0"/>
        </w:rPr>
        <w:t>的</w:t>
      </w:r>
      <w:r>
        <w:rPr>
          <w:rFonts w:hint="eastAsia" w:ascii="宋体" w:hAnsi="宋体" w:cs="宋体"/>
          <w:kern w:val="0"/>
          <w:u w:val="single"/>
        </w:rPr>
        <w:t xml:space="preserve">                           （项目名称）</w:t>
      </w:r>
      <w:r>
        <w:rPr>
          <w:rFonts w:ascii="宋体" w:hAnsi="宋体" w:cs="Microsoft JhengHei Light"/>
          <w:spacing w:val="-2"/>
          <w:position w:val="-2"/>
          <w:szCs w:val="21"/>
          <w:u w:val="single"/>
        </w:rPr>
        <w:t>（</w:t>
      </w:r>
      <w:r>
        <w:rPr>
          <w:rFonts w:ascii="宋体" w:hAnsi="宋体" w:cs="Microsoft JhengHei Light"/>
          <w:position w:val="-2"/>
          <w:szCs w:val="21"/>
          <w:u w:val="single"/>
        </w:rPr>
        <w:t>项目</w:t>
      </w:r>
      <w:r>
        <w:rPr>
          <w:rFonts w:ascii="宋体" w:hAnsi="宋体" w:cs="Microsoft JhengHei Light"/>
          <w:spacing w:val="-2"/>
          <w:position w:val="-2"/>
          <w:szCs w:val="21"/>
          <w:u w:val="single"/>
        </w:rPr>
        <w:t>编</w:t>
      </w:r>
      <w:r>
        <w:rPr>
          <w:rFonts w:ascii="宋体" w:hAnsi="宋体" w:cs="Microsoft JhengHei Light"/>
          <w:position w:val="-2"/>
          <w:szCs w:val="21"/>
          <w:u w:val="single"/>
        </w:rPr>
        <w:t>号</w:t>
      </w:r>
      <w:r>
        <w:rPr>
          <w:rFonts w:ascii="宋体" w:hAnsi="宋体" w:cs="Microsoft JhengHei Light"/>
          <w:spacing w:val="-7"/>
          <w:position w:val="-2"/>
          <w:szCs w:val="21"/>
          <w:u w:val="single"/>
        </w:rPr>
        <w:t>：</w:t>
      </w:r>
      <w:r>
        <w:rPr>
          <w:rFonts w:hint="eastAsia" w:ascii="宋体" w:hAnsi="宋体" w:cs="Microsoft JhengHei Light"/>
          <w:spacing w:val="-7"/>
          <w:position w:val="-2"/>
          <w:szCs w:val="21"/>
          <w:u w:val="single"/>
        </w:rPr>
        <w:t xml:space="preserve">                 </w:t>
      </w:r>
      <w:r>
        <w:rPr>
          <w:rFonts w:ascii="宋体" w:hAnsi="宋体" w:cs="Microsoft JhengHei Light"/>
          <w:spacing w:val="-7"/>
          <w:position w:val="-2"/>
          <w:szCs w:val="21"/>
          <w:u w:val="single"/>
        </w:rPr>
        <w:t>）</w:t>
      </w:r>
      <w:r>
        <w:rPr>
          <w:rFonts w:hint="eastAsia" w:ascii="宋体" w:hAnsi="宋体" w:cs="宋体"/>
          <w:kern w:val="0"/>
        </w:rPr>
        <w:t>的磋商代理人，在磋商和合同谈判过程中所签署的一切文件和处理与之有关的一切事务，我均予以承认。</w:t>
      </w:r>
    </w:p>
    <w:p>
      <w:pPr>
        <w:spacing w:line="360" w:lineRule="auto"/>
        <w:ind w:firstLine="480"/>
        <w:rPr>
          <w:rFonts w:ascii="宋体" w:hAnsi="宋体" w:cs="宋体"/>
          <w:kern w:val="0"/>
        </w:rPr>
      </w:pPr>
      <w:r>
        <w:rPr>
          <w:rFonts w:hint="eastAsia" w:ascii="宋体" w:hAnsi="宋体" w:cs="宋体"/>
          <w:kern w:val="0"/>
        </w:rPr>
        <w:t>代理人无转委权。特此委托。</w:t>
      </w:r>
    </w:p>
    <w:p>
      <w:pPr>
        <w:spacing w:line="360" w:lineRule="auto"/>
        <w:ind w:firstLine="480"/>
        <w:rPr>
          <w:rFonts w:ascii="宋体" w:hAnsi="宋体" w:cs="宋体"/>
          <w:kern w:val="0"/>
        </w:rPr>
      </w:pPr>
      <w:r>
        <w:rPr>
          <w:rFonts w:hint="eastAsia" w:ascii="宋体" w:hAnsi="宋体" w:cs="宋体"/>
          <w:kern w:val="0"/>
        </w:rPr>
        <w:t>代理人（签字或盖章）：                   性别：               年龄：</w:t>
      </w:r>
    </w:p>
    <w:p>
      <w:pPr>
        <w:spacing w:line="360" w:lineRule="auto"/>
        <w:rPr>
          <w:rFonts w:ascii="宋体" w:hAnsi="宋体" w:cs="宋体"/>
          <w:kern w:val="0"/>
        </w:rPr>
      </w:pPr>
    </w:p>
    <w:p>
      <w:pPr>
        <w:spacing w:line="360" w:lineRule="auto"/>
        <w:ind w:firstLine="480"/>
        <w:rPr>
          <w:rFonts w:ascii="宋体" w:hAnsi="宋体" w:cs="宋体"/>
          <w:kern w:val="0"/>
        </w:rPr>
      </w:pPr>
      <w:r>
        <w:rPr>
          <w:rFonts w:hint="eastAsia" w:ascii="宋体" w:hAnsi="宋体" w:cs="宋体"/>
          <w:kern w:val="0"/>
        </w:rPr>
        <w:t>单位：                                   部门：               职务：</w:t>
      </w:r>
    </w:p>
    <w:p>
      <w:pPr>
        <w:spacing w:line="360" w:lineRule="auto"/>
        <w:rPr>
          <w:rFonts w:ascii="宋体" w:hAnsi="宋体" w:cs="宋体"/>
          <w:kern w:val="0"/>
        </w:rPr>
      </w:pPr>
    </w:p>
    <w:p>
      <w:pPr>
        <w:spacing w:line="360" w:lineRule="auto"/>
        <w:ind w:firstLine="480"/>
        <w:rPr>
          <w:rFonts w:ascii="宋体" w:hAnsi="宋体" w:cs="宋体"/>
          <w:kern w:val="0"/>
        </w:rPr>
      </w:pPr>
      <w:r>
        <w:rPr>
          <w:rFonts w:hint="eastAsia" w:ascii="宋体" w:hAnsi="宋体" w:cs="宋体"/>
          <w:kern w:val="0"/>
        </w:rPr>
        <w:t>身份证号码：</w:t>
      </w:r>
    </w:p>
    <w:p>
      <w:pPr>
        <w:spacing w:line="360" w:lineRule="auto"/>
        <w:ind w:firstLine="480"/>
        <w:rPr>
          <w:rFonts w:ascii="宋体" w:hAnsi="宋体" w:cs="宋体"/>
          <w:kern w:val="0"/>
        </w:rPr>
      </w:pPr>
      <w:r>
        <w:rPr>
          <w:rFonts w:hint="eastAsia" w:ascii="宋体" w:hAnsi="宋体" w:cs="宋体"/>
          <w:kern w:val="0"/>
        </w:rPr>
        <w:t>磋商人：（盖章）</w:t>
      </w:r>
    </w:p>
    <w:p>
      <w:pPr>
        <w:spacing w:line="360" w:lineRule="auto"/>
        <w:rPr>
          <w:rFonts w:ascii="宋体" w:hAnsi="宋体" w:cs="宋体"/>
          <w:kern w:val="0"/>
        </w:rPr>
      </w:pPr>
    </w:p>
    <w:p>
      <w:pPr>
        <w:spacing w:line="360" w:lineRule="auto"/>
        <w:ind w:firstLine="480"/>
        <w:rPr>
          <w:rFonts w:ascii="宋体" w:hAnsi="宋体" w:cs="宋体"/>
          <w:kern w:val="0"/>
        </w:rPr>
      </w:pPr>
      <w:r>
        <w:rPr>
          <w:rFonts w:hint="eastAsia" w:ascii="宋体" w:hAnsi="宋体" w:cs="宋体"/>
          <w:kern w:val="0"/>
        </w:rPr>
        <w:t>法定代表人：（签字或盖章）</w:t>
      </w:r>
    </w:p>
    <w:p>
      <w:pPr>
        <w:spacing w:line="360" w:lineRule="auto"/>
        <w:ind w:firstLine="480"/>
        <w:rPr>
          <w:rFonts w:ascii="宋体" w:hAnsi="宋体" w:cs="宋体"/>
          <w:kern w:val="0"/>
        </w:rPr>
      </w:pPr>
    </w:p>
    <w:p>
      <w:pPr>
        <w:spacing w:line="360" w:lineRule="auto"/>
        <w:ind w:firstLine="480"/>
        <w:rPr>
          <w:rFonts w:ascii="宋体" w:hAnsi="宋体" w:cs="宋体"/>
          <w:kern w:val="0"/>
          <w:sz w:val="24"/>
        </w:rPr>
      </w:pPr>
      <w:r>
        <w:rPr>
          <w:rFonts w:hint="eastAsia" w:ascii="宋体" w:hAnsi="宋体" w:cs="宋体"/>
          <w:kern w:val="0"/>
        </w:rPr>
        <w:t>日期：     年    月    日</w:t>
      </w:r>
    </w:p>
    <w:p>
      <w:pPr>
        <w:autoSpaceDE w:val="0"/>
        <w:autoSpaceDN w:val="0"/>
        <w:adjustRightInd w:val="0"/>
        <w:rPr>
          <w:rFonts w:ascii="宋体" w:hAnsi="宋体" w:cs="宋体"/>
          <w:kern w:val="0"/>
          <w:sz w:val="24"/>
        </w:rPr>
      </w:pPr>
    </w:p>
    <w:p>
      <w:pPr>
        <w:autoSpaceDE w:val="0"/>
        <w:autoSpaceDN w:val="0"/>
        <w:adjustRightInd w:val="0"/>
        <w:rPr>
          <w:rFonts w:ascii="宋体" w:hAnsi="宋体" w:cs="宋体"/>
          <w:kern w:val="0"/>
          <w:sz w:val="24"/>
        </w:rPr>
      </w:pPr>
    </w:p>
    <w:p>
      <w:pPr>
        <w:spacing w:line="360" w:lineRule="auto"/>
        <w:rPr>
          <w:rFonts w:ascii="宋体" w:hAnsi="宋体" w:cs="宋体"/>
          <w:kern w:val="0"/>
        </w:rPr>
      </w:pPr>
      <w:r>
        <w:rPr>
          <w:rFonts w:hint="eastAsia" w:ascii="宋体" w:hAnsi="宋体" w:cs="宋体"/>
          <w:kern w:val="0"/>
        </w:rPr>
        <w:t>附：被授权人身份证正反面复印件。</w:t>
      </w:r>
    </w:p>
    <w:p>
      <w:pPr>
        <w:spacing w:line="360" w:lineRule="auto"/>
        <w:rPr>
          <w:rFonts w:ascii="宋体" w:hAnsi="宋体" w:cs="宋体"/>
          <w:kern w:val="0"/>
        </w:rPr>
      </w:pPr>
    </w:p>
    <w:p>
      <w:pPr>
        <w:spacing w:line="360" w:lineRule="auto"/>
        <w:rPr>
          <w:rFonts w:ascii="宋体" w:hAnsi="宋体" w:cs="宋体"/>
          <w:kern w:val="0"/>
        </w:rPr>
      </w:pPr>
      <w:r>
        <w:rPr>
          <w:rFonts w:hint="eastAsia" w:ascii="宋体" w:hAnsi="宋体" w:cs="宋体"/>
          <w:kern w:val="0"/>
        </w:rPr>
        <w:t>备注：　</w:t>
      </w:r>
    </w:p>
    <w:p>
      <w:pPr>
        <w:spacing w:line="360" w:lineRule="auto"/>
        <w:ind w:left="780"/>
        <w:rPr>
          <w:rFonts w:ascii="宋体" w:hAnsi="宋体" w:cs="宋体"/>
          <w:kern w:val="0"/>
        </w:rPr>
      </w:pPr>
      <w:r>
        <w:rPr>
          <w:rFonts w:hint="eastAsia" w:ascii="宋体" w:hAnsi="宋体" w:cs="宋体"/>
          <w:kern w:val="0"/>
        </w:rPr>
        <w:t>法定代表人不能亲自参加开标会议而由被授权人参加的，须附上授权委托书，并提供被授权人的身份证备查。</w:t>
      </w:r>
    </w:p>
    <w:p>
      <w:pPr>
        <w:spacing w:line="360" w:lineRule="auto"/>
        <w:rPr>
          <w:rFonts w:ascii="宋体" w:hAnsi="宋体" w:cs="宋体"/>
          <w:kern w:val="0"/>
        </w:rPr>
      </w:pPr>
    </w:p>
    <w:p>
      <w:pPr>
        <w:spacing w:line="360" w:lineRule="auto"/>
        <w:rPr>
          <w:rFonts w:ascii="宋体" w:hAnsi="宋体" w:cs="宋体"/>
          <w:kern w:val="0"/>
        </w:rPr>
      </w:pPr>
    </w:p>
    <w:p>
      <w:pPr>
        <w:pStyle w:val="2"/>
      </w:pPr>
    </w:p>
    <w:p>
      <w:pPr>
        <w:pStyle w:val="2"/>
        <w:rPr>
          <w:rFonts w:ascii="宋体" w:hAnsi="宋体" w:cs="宋体"/>
          <w:kern w:val="0"/>
          <w:szCs w:val="21"/>
        </w:rPr>
      </w:pPr>
    </w:p>
    <w:p>
      <w:pPr>
        <w:pStyle w:val="2"/>
        <w:spacing w:line="360" w:lineRule="auto"/>
      </w:pPr>
      <w:r>
        <w:rPr>
          <w:rFonts w:hint="eastAsia"/>
        </w:rPr>
        <w:t>六、贵港市政府采购项目投标资格承诺函（必须提供，加盖投标单位公章）；</w:t>
      </w:r>
    </w:p>
    <w:p>
      <w:pPr>
        <w:pStyle w:val="23"/>
        <w:widowControl/>
        <w:spacing w:before="75" w:after="75" w:line="405" w:lineRule="atLeast"/>
        <w:ind w:firstLine="645"/>
        <w:jc w:val="center"/>
        <w:rPr>
          <w:rFonts w:ascii="sans-serif" w:hAnsi="sans-serif" w:eastAsia="sans-serif" w:cs="sans-serif"/>
          <w:color w:val="000000"/>
          <w:sz w:val="28"/>
          <w:szCs w:val="28"/>
        </w:rPr>
      </w:pPr>
      <w:r>
        <w:rPr>
          <w:rStyle w:val="29"/>
          <w:rFonts w:hint="default" w:ascii="宋体" w:hAnsi="宋体" w:cs="宋体"/>
          <w:color w:val="000000"/>
          <w:sz w:val="28"/>
          <w:szCs w:val="28"/>
        </w:rPr>
        <w:t>贵港市政府采购项目投标资格承诺函</w:t>
      </w:r>
    </w:p>
    <w:p>
      <w:pPr>
        <w:pStyle w:val="23"/>
        <w:widowControl/>
        <w:spacing w:before="75" w:after="75" w:line="405" w:lineRule="atLeast"/>
        <w:ind w:firstLine="480"/>
        <w:rPr>
          <w:rFonts w:ascii="sans-serif" w:hAnsi="sans-serif" w:eastAsia="sans-serif" w:cs="sans-serif"/>
          <w:color w:val="000000"/>
        </w:rPr>
      </w:pPr>
      <w:r>
        <w:rPr>
          <w:rFonts w:hint="eastAsia" w:ascii="宋体" w:hAnsi="宋体" w:cs="宋体"/>
          <w:color w:val="000000"/>
        </w:rPr>
        <w:t>本公司郑重承诺，根据《中华人民共和国政府采购法》第二十二条的规定，本公司为参加政府采购活动的合格供应商。即本公司同时满足以下条件：</w:t>
      </w:r>
    </w:p>
    <w:p>
      <w:pPr>
        <w:pStyle w:val="23"/>
        <w:widowControl/>
        <w:spacing w:before="75" w:after="75" w:line="405" w:lineRule="atLeast"/>
        <w:ind w:firstLine="480"/>
        <w:rPr>
          <w:rFonts w:ascii="sans-serif" w:hAnsi="sans-serif" w:eastAsia="sans-serif" w:cs="sans-serif"/>
          <w:color w:val="000000"/>
        </w:rPr>
      </w:pPr>
      <w:r>
        <w:rPr>
          <w:rFonts w:hint="eastAsia" w:ascii="宋体" w:hAnsi="宋体" w:cs="宋体"/>
          <w:color w:val="000000"/>
        </w:rPr>
        <w:t>1.具有独立承担民事责任的能力。</w:t>
      </w:r>
    </w:p>
    <w:p>
      <w:pPr>
        <w:pStyle w:val="23"/>
        <w:widowControl/>
        <w:spacing w:before="75" w:after="75" w:line="405" w:lineRule="atLeast"/>
        <w:ind w:firstLine="480"/>
        <w:rPr>
          <w:rFonts w:ascii="sans-serif" w:hAnsi="sans-serif" w:eastAsia="sans-serif" w:cs="sans-serif"/>
          <w:color w:val="000000"/>
        </w:rPr>
      </w:pPr>
      <w:r>
        <w:rPr>
          <w:rFonts w:hint="eastAsia" w:ascii="宋体" w:hAnsi="宋体" w:cs="宋体"/>
          <w:color w:val="000000"/>
        </w:rPr>
        <w:t>2.具有良好的商业信誉和健全的财务会计制度。</w:t>
      </w:r>
    </w:p>
    <w:p>
      <w:pPr>
        <w:pStyle w:val="23"/>
        <w:widowControl/>
        <w:spacing w:before="75" w:after="75" w:line="405" w:lineRule="atLeast"/>
        <w:ind w:firstLine="480"/>
        <w:rPr>
          <w:rFonts w:ascii="sans-serif" w:hAnsi="sans-serif" w:eastAsia="sans-serif" w:cs="sans-serif"/>
          <w:color w:val="000000"/>
        </w:rPr>
      </w:pPr>
      <w:r>
        <w:rPr>
          <w:rFonts w:hint="eastAsia" w:ascii="宋体" w:hAnsi="宋体" w:cs="宋体"/>
          <w:color w:val="000000"/>
        </w:rPr>
        <w:t>3.具有履行合同所必需的设备和专业技术能力。</w:t>
      </w:r>
    </w:p>
    <w:p>
      <w:pPr>
        <w:pStyle w:val="23"/>
        <w:widowControl/>
        <w:spacing w:before="75" w:after="75" w:line="405" w:lineRule="atLeast"/>
        <w:ind w:firstLine="480"/>
        <w:rPr>
          <w:rFonts w:ascii="sans-serif" w:hAnsi="sans-serif" w:eastAsia="sans-serif" w:cs="sans-serif"/>
          <w:color w:val="000000"/>
        </w:rPr>
      </w:pPr>
      <w:r>
        <w:rPr>
          <w:rFonts w:hint="eastAsia" w:ascii="宋体" w:hAnsi="宋体" w:cs="宋体"/>
          <w:color w:val="000000"/>
        </w:rPr>
        <w:t>4.有依法缴纳税收和社会保障资金的良好记录。</w:t>
      </w:r>
    </w:p>
    <w:p>
      <w:pPr>
        <w:pStyle w:val="23"/>
        <w:widowControl/>
        <w:spacing w:before="75" w:after="75" w:line="405" w:lineRule="atLeast"/>
        <w:ind w:firstLine="480"/>
        <w:rPr>
          <w:rFonts w:ascii="sans-serif" w:hAnsi="sans-serif" w:eastAsia="sans-serif" w:cs="sans-serif"/>
          <w:color w:val="000000"/>
        </w:rPr>
      </w:pPr>
      <w:r>
        <w:rPr>
          <w:rFonts w:hint="eastAsia" w:ascii="宋体" w:hAnsi="宋体" w:cs="宋体"/>
          <w:color w:val="000000"/>
        </w:rPr>
        <w:t>5. 提交投标文件截止日期前三年内，在经营活动中没有重大违法记录。</w:t>
      </w:r>
    </w:p>
    <w:p>
      <w:pPr>
        <w:pStyle w:val="23"/>
        <w:widowControl/>
        <w:spacing w:before="75" w:after="75" w:line="405" w:lineRule="atLeast"/>
        <w:ind w:firstLine="480"/>
        <w:rPr>
          <w:rFonts w:ascii="sans-serif" w:hAnsi="sans-serif" w:eastAsia="sans-serif" w:cs="sans-serif"/>
          <w:color w:val="000000"/>
        </w:rPr>
      </w:pPr>
      <w:r>
        <w:rPr>
          <w:rFonts w:hint="eastAsia" w:ascii="宋体" w:hAnsi="宋体" w:cs="宋体"/>
          <w:color w:val="000000"/>
        </w:rPr>
        <w:t>本公司对上述承诺的真实性负责，并接受政府采购、税务、社会保障等监督管理部门、采购文件规定的资格审查机构、社会公众的监督和检查。如有虚假，将依法承担相应责任。</w:t>
      </w:r>
    </w:p>
    <w:p>
      <w:pPr>
        <w:pStyle w:val="23"/>
        <w:widowControl/>
        <w:spacing w:before="75" w:after="75" w:line="360" w:lineRule="atLeast"/>
        <w:ind w:firstLine="5760"/>
        <w:rPr>
          <w:rFonts w:ascii="sans-serif" w:hAnsi="sans-serif" w:eastAsia="sans-serif" w:cs="sans-serif"/>
          <w:color w:val="000000"/>
        </w:rPr>
      </w:pPr>
      <w:r>
        <w:rPr>
          <w:rFonts w:hint="eastAsia" w:ascii="宋体" w:hAnsi="宋体" w:cs="宋体"/>
          <w:color w:val="000000"/>
        </w:rPr>
        <w:t>企业名称（盖章）：</w:t>
      </w:r>
    </w:p>
    <w:p>
      <w:pPr>
        <w:pStyle w:val="23"/>
        <w:widowControl/>
        <w:spacing w:before="75" w:after="75" w:line="360" w:lineRule="atLeast"/>
        <w:ind w:firstLine="5760"/>
        <w:rPr>
          <w:rFonts w:ascii="sans-serif" w:hAnsi="sans-serif" w:eastAsia="sans-serif" w:cs="sans-serif"/>
          <w:color w:val="000000"/>
        </w:rPr>
      </w:pPr>
      <w:r>
        <w:rPr>
          <w:rFonts w:hint="eastAsia" w:ascii="宋体" w:hAnsi="宋体" w:cs="宋体"/>
          <w:color w:val="000000"/>
        </w:rPr>
        <w:t>法定代表人（签名）：</w:t>
      </w:r>
    </w:p>
    <w:p>
      <w:pPr>
        <w:pStyle w:val="23"/>
        <w:widowControl/>
        <w:spacing w:before="75" w:after="75" w:line="360" w:lineRule="atLeast"/>
        <w:ind w:firstLine="480"/>
        <w:jc w:val="center"/>
        <w:rPr>
          <w:rFonts w:ascii="sans-serif" w:hAnsi="sans-serif" w:eastAsia="sans-serif" w:cs="sans-serif"/>
          <w:color w:val="000000"/>
        </w:rPr>
      </w:pPr>
      <w:r>
        <w:rPr>
          <w:rFonts w:hint="eastAsia" w:ascii="宋体" w:hAnsi="宋体" w:cs="宋体"/>
          <w:color w:val="000000"/>
        </w:rPr>
        <w:t xml:space="preserve">                                     日期： 年月日</w:t>
      </w:r>
    </w:p>
    <w:p>
      <w:pPr>
        <w:pStyle w:val="2"/>
      </w:pPr>
    </w:p>
    <w:p/>
    <w:p>
      <w:pPr>
        <w:pStyle w:val="2"/>
      </w:pPr>
    </w:p>
    <w:p/>
    <w:p>
      <w:pPr>
        <w:pStyle w:val="2"/>
      </w:pPr>
    </w:p>
    <w:p/>
    <w:p>
      <w:pPr>
        <w:pStyle w:val="2"/>
      </w:pPr>
    </w:p>
    <w:p/>
    <w:p>
      <w:pPr>
        <w:pStyle w:val="2"/>
      </w:pPr>
    </w:p>
    <w:p/>
    <w:p>
      <w:pPr>
        <w:pStyle w:val="2"/>
      </w:pPr>
    </w:p>
    <w:p/>
    <w:p>
      <w:pPr>
        <w:pStyle w:val="2"/>
      </w:pPr>
    </w:p>
    <w:p/>
    <w:p>
      <w:pPr>
        <w:pStyle w:val="2"/>
      </w:pPr>
    </w:p>
    <w:p>
      <w:pPr>
        <w:rPr>
          <w:rFonts w:ascii="宋体" w:hAnsi="宋体" w:cs="宋体"/>
          <w:kern w:val="0"/>
          <w:szCs w:val="21"/>
        </w:rPr>
      </w:pPr>
    </w:p>
    <w:p>
      <w:pPr>
        <w:pStyle w:val="2"/>
      </w:pPr>
    </w:p>
    <w:p>
      <w:pPr>
        <w:spacing w:line="720" w:lineRule="auto"/>
        <w:rPr>
          <w:rFonts w:ascii="宋体" w:hAnsi="宋体" w:cs="宋体"/>
          <w:kern w:val="0"/>
          <w:szCs w:val="21"/>
        </w:rPr>
      </w:pPr>
      <w:r>
        <w:rPr>
          <w:rFonts w:hint="eastAsia" w:ascii="宋体" w:hAnsi="宋体" w:cs="宋体"/>
          <w:kern w:val="0"/>
          <w:szCs w:val="21"/>
        </w:rPr>
        <w:t>七、加政府采购活动前三年内在经营活动中没有重大违法记录和不良信用记录的书面声明（格式自拟）；（必须提供）</w:t>
      </w:r>
    </w:p>
    <w:p>
      <w:pPr>
        <w:spacing w:line="720" w:lineRule="auto"/>
        <w:ind w:firstLine="210" w:firstLineChars="100"/>
        <w:rPr>
          <w:rFonts w:ascii="宋体" w:hAnsi="宋体"/>
          <w:kern w:val="0"/>
          <w:szCs w:val="21"/>
        </w:rPr>
      </w:pPr>
    </w:p>
    <w:p>
      <w:pPr>
        <w:spacing w:line="720" w:lineRule="auto"/>
        <w:ind w:firstLine="210" w:firstLineChars="100"/>
        <w:rPr>
          <w:rFonts w:ascii="宋体" w:hAnsi="宋体"/>
          <w:kern w:val="0"/>
          <w:szCs w:val="21"/>
        </w:rPr>
      </w:pPr>
      <w:r>
        <w:rPr>
          <w:rFonts w:hint="eastAsia" w:ascii="宋体" w:hAnsi="宋体"/>
          <w:kern w:val="0"/>
          <w:szCs w:val="21"/>
        </w:rPr>
        <w:t>八、相关行业类似项目业绩，提供中标通知书或合同复印件；（如有请提供）</w:t>
      </w:r>
    </w:p>
    <w:p>
      <w:pPr>
        <w:spacing w:line="420" w:lineRule="exact"/>
        <w:rPr>
          <w:rFonts w:ascii="宋体" w:hAnsi="宋体" w:cs="宋体"/>
          <w:kern w:val="0"/>
          <w:sz w:val="24"/>
        </w:rPr>
      </w:pPr>
    </w:p>
    <w:p>
      <w:pPr>
        <w:spacing w:line="420" w:lineRule="exact"/>
        <w:ind w:left="210" w:leftChars="100"/>
        <w:rPr>
          <w:rFonts w:ascii="宋体" w:hAnsi="宋体" w:cs="宋体"/>
          <w:kern w:val="0"/>
          <w:sz w:val="24"/>
        </w:rPr>
      </w:pPr>
    </w:p>
    <w:p>
      <w:pPr>
        <w:spacing w:line="420" w:lineRule="exact"/>
        <w:ind w:left="420"/>
        <w:rPr>
          <w:rFonts w:ascii="宋体" w:hAnsi="宋体" w:cs="宋体"/>
          <w:kern w:val="0"/>
          <w:sz w:val="24"/>
        </w:rPr>
      </w:pPr>
      <w:r>
        <w:rPr>
          <w:rFonts w:hint="eastAsia" w:ascii="宋体" w:hAnsi="宋体" w:cs="宋体"/>
          <w:kern w:val="0"/>
          <w:sz w:val="24"/>
        </w:rPr>
        <w:t>九、拟投入项目人员相关材料及获得的证书等；（如有请提供）</w:t>
      </w:r>
    </w:p>
    <w:p>
      <w:pPr>
        <w:spacing w:line="420" w:lineRule="exact"/>
        <w:ind w:left="210" w:leftChars="100"/>
        <w:rPr>
          <w:rFonts w:ascii="宋体" w:hAnsi="宋体" w:cs="宋体"/>
          <w:kern w:val="0"/>
          <w:sz w:val="24"/>
        </w:rPr>
      </w:pPr>
    </w:p>
    <w:p>
      <w:pPr>
        <w:spacing w:line="420" w:lineRule="exact"/>
        <w:ind w:left="210" w:leftChars="100"/>
        <w:rPr>
          <w:rFonts w:ascii="宋体" w:hAnsi="宋体" w:cs="宋体"/>
          <w:kern w:val="0"/>
          <w:sz w:val="24"/>
        </w:rPr>
      </w:pPr>
    </w:p>
    <w:p>
      <w:pPr>
        <w:spacing w:line="420" w:lineRule="exact"/>
        <w:ind w:left="420"/>
        <w:rPr>
          <w:rFonts w:ascii="宋体" w:hAnsi="宋体" w:cs="宋体"/>
          <w:kern w:val="0"/>
          <w:sz w:val="24"/>
        </w:rPr>
      </w:pPr>
      <w:r>
        <w:rPr>
          <w:rFonts w:hint="eastAsia" w:ascii="宋体" w:hAnsi="宋体" w:cs="宋体"/>
          <w:kern w:val="0"/>
          <w:sz w:val="24"/>
        </w:rPr>
        <w:t>十、相关服务获奖证书；（如有请提供）</w:t>
      </w:r>
    </w:p>
    <w:p>
      <w:pPr>
        <w:spacing w:line="420" w:lineRule="exact"/>
        <w:rPr>
          <w:rFonts w:ascii="宋体" w:hAnsi="宋体" w:cs="宋体"/>
          <w:kern w:val="0"/>
          <w:sz w:val="24"/>
        </w:rPr>
      </w:pPr>
    </w:p>
    <w:p>
      <w:pPr>
        <w:spacing w:line="420" w:lineRule="exact"/>
        <w:rPr>
          <w:rFonts w:ascii="宋体" w:hAnsi="宋体" w:cs="宋体"/>
          <w:kern w:val="0"/>
          <w:sz w:val="24"/>
        </w:rPr>
      </w:pPr>
    </w:p>
    <w:p>
      <w:pPr>
        <w:spacing w:line="420" w:lineRule="exact"/>
        <w:ind w:left="420"/>
        <w:rPr>
          <w:b/>
          <w:kern w:val="0"/>
          <w:sz w:val="24"/>
        </w:rPr>
      </w:pPr>
      <w:r>
        <w:rPr>
          <w:rFonts w:hint="eastAsia" w:ascii="宋体" w:hAnsi="宋体" w:cs="宋体"/>
          <w:kern w:val="0"/>
          <w:sz w:val="24"/>
        </w:rPr>
        <w:t xml:space="preserve">十一、其它需要提供的证明材料。 （如有请提供）  </w:t>
      </w:r>
      <w:bookmarkStart w:id="51" w:name="_Toc14275_WPSOffice_Level1"/>
    </w:p>
    <w:p>
      <w:pPr>
        <w:rPr>
          <w:sz w:val="24"/>
        </w:rPr>
      </w:pPr>
    </w:p>
    <w:p>
      <w:pPr>
        <w:jc w:val="center"/>
        <w:rPr>
          <w:b/>
          <w:kern w:val="0"/>
          <w:sz w:val="36"/>
          <w:szCs w:val="36"/>
        </w:rPr>
      </w:pPr>
    </w:p>
    <w:p>
      <w:pPr>
        <w:spacing w:line="600" w:lineRule="exact"/>
        <w:jc w:val="center"/>
        <w:rPr>
          <w:b/>
          <w:kern w:val="0"/>
          <w:sz w:val="36"/>
          <w:szCs w:val="36"/>
        </w:rPr>
      </w:pPr>
    </w:p>
    <w:p>
      <w:pPr>
        <w:pStyle w:val="6"/>
        <w:rPr>
          <w:b w:val="0"/>
          <w:kern w:val="0"/>
          <w:sz w:val="36"/>
        </w:rPr>
      </w:pPr>
    </w:p>
    <w:p>
      <w:pPr>
        <w:rPr>
          <w:kern w:val="0"/>
          <w:sz w:val="36"/>
          <w:szCs w:val="36"/>
        </w:rPr>
      </w:pPr>
    </w:p>
    <w:p>
      <w:pPr>
        <w:pStyle w:val="2"/>
        <w:rPr>
          <w:kern w:val="0"/>
          <w:sz w:val="36"/>
          <w:szCs w:val="36"/>
        </w:rPr>
      </w:pPr>
    </w:p>
    <w:p>
      <w:pPr>
        <w:rPr>
          <w:kern w:val="0"/>
          <w:sz w:val="36"/>
          <w:szCs w:val="36"/>
        </w:rPr>
      </w:pPr>
    </w:p>
    <w:p>
      <w:pPr>
        <w:pStyle w:val="2"/>
        <w:rPr>
          <w:kern w:val="0"/>
          <w:sz w:val="36"/>
          <w:szCs w:val="36"/>
        </w:rPr>
      </w:pPr>
    </w:p>
    <w:p>
      <w:pPr>
        <w:rPr>
          <w:kern w:val="0"/>
          <w:sz w:val="36"/>
          <w:szCs w:val="36"/>
        </w:rPr>
      </w:pPr>
    </w:p>
    <w:p>
      <w:pPr>
        <w:spacing w:line="600" w:lineRule="exact"/>
        <w:rPr>
          <w:b/>
          <w:kern w:val="0"/>
          <w:sz w:val="36"/>
          <w:szCs w:val="36"/>
        </w:rPr>
      </w:pPr>
    </w:p>
    <w:p>
      <w:pPr>
        <w:spacing w:line="600" w:lineRule="exact"/>
        <w:jc w:val="center"/>
        <w:rPr>
          <w:b/>
          <w:kern w:val="0"/>
          <w:sz w:val="36"/>
          <w:szCs w:val="36"/>
        </w:rPr>
      </w:pPr>
    </w:p>
    <w:p>
      <w:pPr>
        <w:spacing w:line="600" w:lineRule="exact"/>
        <w:jc w:val="center"/>
        <w:rPr>
          <w:b/>
          <w:kern w:val="0"/>
          <w:sz w:val="36"/>
          <w:szCs w:val="36"/>
        </w:rPr>
      </w:pPr>
    </w:p>
    <w:p>
      <w:pPr>
        <w:spacing w:line="600" w:lineRule="exact"/>
        <w:jc w:val="center"/>
        <w:rPr>
          <w:b/>
          <w:kern w:val="0"/>
          <w:sz w:val="36"/>
          <w:szCs w:val="36"/>
        </w:rPr>
      </w:pPr>
    </w:p>
    <w:p>
      <w:pPr>
        <w:spacing w:line="600" w:lineRule="exact"/>
        <w:jc w:val="center"/>
        <w:rPr>
          <w:b/>
          <w:kern w:val="0"/>
          <w:sz w:val="36"/>
          <w:szCs w:val="36"/>
        </w:rPr>
      </w:pPr>
    </w:p>
    <w:p>
      <w:pPr>
        <w:spacing w:line="600" w:lineRule="exact"/>
        <w:jc w:val="center"/>
        <w:rPr>
          <w:b/>
          <w:kern w:val="0"/>
          <w:sz w:val="36"/>
          <w:szCs w:val="36"/>
        </w:rPr>
      </w:pPr>
    </w:p>
    <w:p>
      <w:pPr>
        <w:spacing w:line="600" w:lineRule="exact"/>
        <w:jc w:val="center"/>
        <w:rPr>
          <w:rFonts w:ascii="宋体" w:hAnsi="宋体" w:cs="宋体"/>
          <w:b/>
          <w:bCs/>
          <w:kern w:val="0"/>
          <w:sz w:val="30"/>
          <w:szCs w:val="30"/>
        </w:rPr>
      </w:pPr>
      <w:r>
        <w:rPr>
          <w:rFonts w:hint="eastAsia"/>
          <w:b/>
          <w:kern w:val="0"/>
          <w:sz w:val="36"/>
          <w:szCs w:val="36"/>
        </w:rPr>
        <w:t>技术文件</w:t>
      </w:r>
      <w:bookmarkEnd w:id="51"/>
    </w:p>
    <w:bookmarkEnd w:id="41"/>
    <w:p>
      <w:pPr>
        <w:rPr>
          <w:rFonts w:ascii="Tahoma" w:hAnsi="Tahoma"/>
          <w:kern w:val="0"/>
          <w:sz w:val="24"/>
          <w:lang w:val="en-GB"/>
        </w:rPr>
      </w:pPr>
    </w:p>
    <w:p>
      <w:pPr>
        <w:pStyle w:val="2"/>
        <w:rPr>
          <w:rFonts w:ascii="Tahoma" w:hAnsi="Tahoma"/>
          <w:kern w:val="0"/>
          <w:sz w:val="24"/>
          <w:lang w:val="en-GB"/>
        </w:rPr>
      </w:pPr>
    </w:p>
    <w:p>
      <w:pPr>
        <w:rPr>
          <w:lang w:val="en-GB"/>
        </w:rPr>
      </w:pPr>
    </w:p>
    <w:p>
      <w:pPr>
        <w:rPr>
          <w:rFonts w:ascii="Tahoma" w:hAnsi="Tahoma"/>
          <w:kern w:val="0"/>
          <w:sz w:val="24"/>
          <w:lang w:val="en-GB"/>
        </w:rPr>
      </w:pPr>
    </w:p>
    <w:p>
      <w:pPr>
        <w:rPr>
          <w:rFonts w:ascii="Tahoma" w:hAnsi="Tahoma"/>
          <w:kern w:val="0"/>
          <w:sz w:val="24"/>
          <w:lang w:val="en-GB"/>
        </w:rPr>
      </w:pPr>
    </w:p>
    <w:p>
      <w:pPr>
        <w:rPr>
          <w:rFonts w:ascii="Tahoma" w:hAnsi="Tahoma"/>
          <w:kern w:val="0"/>
          <w:sz w:val="24"/>
          <w:lang w:val="en-GB"/>
        </w:rPr>
      </w:pPr>
    </w:p>
    <w:p>
      <w:pPr>
        <w:rPr>
          <w:rFonts w:ascii="Tahoma" w:hAnsi="Tahoma"/>
          <w:kern w:val="0"/>
          <w:sz w:val="24"/>
          <w:lang w:val="en-GB"/>
        </w:rPr>
      </w:pPr>
    </w:p>
    <w:p>
      <w:pPr>
        <w:rPr>
          <w:rFonts w:ascii="Tahoma" w:hAnsi="Tahoma"/>
          <w:kern w:val="0"/>
          <w:sz w:val="24"/>
          <w:lang w:val="en-GB"/>
        </w:rPr>
      </w:pPr>
    </w:p>
    <w:p>
      <w:pPr>
        <w:pStyle w:val="2"/>
        <w:rPr>
          <w:rFonts w:ascii="Tahoma" w:hAnsi="Tahoma"/>
          <w:kern w:val="0"/>
          <w:sz w:val="24"/>
          <w:lang w:val="en-GB"/>
        </w:rPr>
      </w:pPr>
    </w:p>
    <w:p>
      <w:pPr>
        <w:rPr>
          <w:rFonts w:ascii="Tahoma" w:hAnsi="Tahoma"/>
          <w:kern w:val="0"/>
          <w:sz w:val="24"/>
          <w:lang w:val="en-GB"/>
        </w:rPr>
      </w:pPr>
    </w:p>
    <w:p>
      <w:pPr>
        <w:pStyle w:val="2"/>
        <w:rPr>
          <w:rFonts w:ascii="Tahoma" w:hAnsi="Tahoma"/>
          <w:kern w:val="0"/>
          <w:sz w:val="24"/>
          <w:lang w:val="en-GB"/>
        </w:rPr>
      </w:pPr>
    </w:p>
    <w:p>
      <w:pPr>
        <w:rPr>
          <w:rFonts w:ascii="Tahoma" w:hAnsi="Tahoma"/>
          <w:kern w:val="0"/>
          <w:sz w:val="24"/>
          <w:lang w:val="en-GB"/>
        </w:rPr>
      </w:pPr>
    </w:p>
    <w:p>
      <w:pPr>
        <w:pStyle w:val="2"/>
        <w:rPr>
          <w:rFonts w:ascii="Tahoma" w:hAnsi="Tahoma"/>
          <w:kern w:val="0"/>
          <w:sz w:val="24"/>
          <w:lang w:val="en-GB"/>
        </w:rPr>
      </w:pPr>
    </w:p>
    <w:p>
      <w:pPr>
        <w:rPr>
          <w:rFonts w:ascii="Tahoma" w:hAnsi="Tahoma"/>
          <w:kern w:val="0"/>
          <w:sz w:val="24"/>
          <w:lang w:val="en-GB"/>
        </w:rPr>
      </w:pPr>
    </w:p>
    <w:p>
      <w:pPr>
        <w:pStyle w:val="2"/>
        <w:rPr>
          <w:rFonts w:ascii="Tahoma" w:hAnsi="Tahoma"/>
          <w:kern w:val="0"/>
          <w:sz w:val="24"/>
          <w:lang w:val="en-GB"/>
        </w:rPr>
      </w:pPr>
    </w:p>
    <w:p>
      <w:pPr>
        <w:rPr>
          <w:rFonts w:ascii="Tahoma" w:hAnsi="Tahoma"/>
          <w:kern w:val="0"/>
          <w:sz w:val="24"/>
          <w:lang w:val="en-GB"/>
        </w:rPr>
      </w:pPr>
    </w:p>
    <w:p>
      <w:pPr>
        <w:pStyle w:val="2"/>
        <w:rPr>
          <w:rFonts w:ascii="Tahoma" w:hAnsi="Tahoma"/>
          <w:kern w:val="0"/>
          <w:sz w:val="24"/>
          <w:lang w:val="en-GB"/>
        </w:rPr>
      </w:pPr>
    </w:p>
    <w:p>
      <w:pPr>
        <w:rPr>
          <w:rFonts w:ascii="Tahoma" w:hAnsi="Tahoma"/>
          <w:kern w:val="0"/>
          <w:sz w:val="24"/>
          <w:lang w:val="en-GB"/>
        </w:rPr>
      </w:pPr>
    </w:p>
    <w:p>
      <w:pPr>
        <w:pStyle w:val="2"/>
        <w:rPr>
          <w:rFonts w:ascii="Tahoma" w:hAnsi="Tahoma"/>
          <w:kern w:val="0"/>
          <w:sz w:val="24"/>
          <w:lang w:val="en-GB"/>
        </w:rPr>
      </w:pPr>
    </w:p>
    <w:p>
      <w:pPr>
        <w:rPr>
          <w:rFonts w:ascii="Tahoma" w:hAnsi="Tahoma"/>
          <w:kern w:val="0"/>
          <w:sz w:val="24"/>
          <w:lang w:val="en-GB"/>
        </w:rPr>
      </w:pPr>
    </w:p>
    <w:p>
      <w:pPr>
        <w:pStyle w:val="2"/>
        <w:rPr>
          <w:lang w:val="en-GB"/>
        </w:rPr>
      </w:pPr>
    </w:p>
    <w:p>
      <w:pPr>
        <w:pStyle w:val="2"/>
        <w:rPr>
          <w:lang w:val="en-GB"/>
        </w:rPr>
      </w:pPr>
    </w:p>
    <w:p>
      <w:pPr>
        <w:rPr>
          <w:lang w:val="en-GB"/>
        </w:rPr>
      </w:pPr>
    </w:p>
    <w:p>
      <w:pPr>
        <w:pStyle w:val="2"/>
        <w:rPr>
          <w:lang w:val="en-GB"/>
        </w:rPr>
      </w:pPr>
    </w:p>
    <w:p>
      <w:pPr>
        <w:rPr>
          <w:lang w:val="en-GB"/>
        </w:rPr>
      </w:pPr>
    </w:p>
    <w:p>
      <w:pPr>
        <w:pStyle w:val="2"/>
        <w:rPr>
          <w:lang w:val="en-GB"/>
        </w:rPr>
      </w:pPr>
    </w:p>
    <w:p>
      <w:pPr>
        <w:rPr>
          <w:rFonts w:ascii="Tahoma" w:hAnsi="Tahoma"/>
          <w:kern w:val="0"/>
          <w:sz w:val="24"/>
          <w:lang w:val="en-GB"/>
        </w:rPr>
      </w:pPr>
    </w:p>
    <w:p>
      <w:pPr>
        <w:rPr>
          <w:rFonts w:ascii="Tahoma" w:hAnsi="Tahoma"/>
          <w:kern w:val="0"/>
          <w:sz w:val="24"/>
          <w:lang w:val="en-GB"/>
        </w:rPr>
      </w:pPr>
    </w:p>
    <w:p>
      <w:pPr>
        <w:rPr>
          <w:rFonts w:ascii="Tahoma" w:hAnsi="Tahoma"/>
          <w:kern w:val="0"/>
          <w:sz w:val="24"/>
          <w:lang w:val="en-GB"/>
        </w:rPr>
      </w:pPr>
    </w:p>
    <w:p>
      <w:pPr>
        <w:rPr>
          <w:rFonts w:ascii="Tahoma" w:hAnsi="Tahoma"/>
          <w:kern w:val="0"/>
          <w:sz w:val="24"/>
          <w:lang w:val="en-GB"/>
        </w:rPr>
      </w:pPr>
      <w:r>
        <w:rPr>
          <w:rFonts w:hint="eastAsia" w:ascii="Tahoma" w:hAnsi="Tahoma"/>
          <w:kern w:val="0"/>
          <w:sz w:val="24"/>
          <w:lang w:val="en-GB"/>
        </w:rPr>
        <w:t xml:space="preserve">▲（1）技术响应及偏离情况说明表；（详见竞争性磋商响应文件格式，必须提供） </w:t>
      </w:r>
    </w:p>
    <w:p>
      <w:pPr>
        <w:spacing w:line="520" w:lineRule="exact"/>
        <w:jc w:val="center"/>
        <w:rPr>
          <w:rFonts w:ascii="宋体" w:hAnsi="宋体"/>
          <w:b/>
          <w:sz w:val="36"/>
          <w:szCs w:val="36"/>
        </w:rPr>
      </w:pPr>
      <w:r>
        <w:rPr>
          <w:rFonts w:hint="eastAsia" w:ascii="宋体" w:hAnsi="宋体"/>
          <w:bCs/>
          <w:sz w:val="28"/>
          <w:szCs w:val="28"/>
        </w:rPr>
        <w:t>技术响应及偏离情况说明表（格式）</w:t>
      </w:r>
    </w:p>
    <w:p>
      <w:pPr>
        <w:spacing w:line="420" w:lineRule="exact"/>
        <w:rPr>
          <w:rFonts w:ascii="宋体" w:hAnsi="宋体"/>
          <w:szCs w:val="21"/>
          <w:u w:val="single"/>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0"/>
        <w:gridCol w:w="3483"/>
        <w:gridCol w:w="2514"/>
        <w:gridCol w:w="1571"/>
        <w:gridCol w:w="13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15" w:hRule="atLeast"/>
          <w:jc w:val="center"/>
        </w:trPr>
        <w:tc>
          <w:tcPr>
            <w:tcW w:w="640" w:type="dxa"/>
            <w:vAlign w:val="center"/>
          </w:tcPr>
          <w:p>
            <w:pPr>
              <w:adjustRightInd w:val="0"/>
              <w:snapToGrid w:val="0"/>
              <w:spacing w:line="400" w:lineRule="exact"/>
              <w:jc w:val="center"/>
              <w:outlineLvl w:val="0"/>
              <w:rPr>
                <w:rFonts w:ascii="宋体" w:hAnsi="宋体" w:cs="宋体"/>
                <w:szCs w:val="21"/>
              </w:rPr>
            </w:pPr>
            <w:bookmarkStart w:id="52" w:name="_Toc173066401"/>
            <w:bookmarkStart w:id="53" w:name="_Toc173211900"/>
            <w:bookmarkStart w:id="54" w:name="_Toc254970588"/>
            <w:bookmarkStart w:id="55" w:name="_Toc254970729"/>
            <w:r>
              <w:rPr>
                <w:rFonts w:hint="eastAsia" w:ascii="宋体" w:hAnsi="宋体" w:cs="宋体"/>
                <w:szCs w:val="21"/>
              </w:rPr>
              <w:t>序号</w:t>
            </w:r>
            <w:bookmarkEnd w:id="52"/>
            <w:bookmarkEnd w:id="53"/>
            <w:bookmarkEnd w:id="54"/>
            <w:bookmarkEnd w:id="55"/>
          </w:p>
        </w:tc>
        <w:tc>
          <w:tcPr>
            <w:tcW w:w="3483" w:type="dxa"/>
            <w:vAlign w:val="center"/>
          </w:tcPr>
          <w:p>
            <w:pPr>
              <w:adjustRightInd w:val="0"/>
              <w:snapToGrid w:val="0"/>
              <w:spacing w:line="400" w:lineRule="exact"/>
              <w:jc w:val="center"/>
              <w:outlineLvl w:val="0"/>
              <w:rPr>
                <w:rFonts w:ascii="宋体" w:hAnsi="宋体" w:cs="宋体"/>
                <w:szCs w:val="21"/>
              </w:rPr>
            </w:pPr>
            <w:bookmarkStart w:id="56" w:name="_Toc173066402"/>
            <w:bookmarkStart w:id="57" w:name="_Toc254970730"/>
            <w:bookmarkStart w:id="58" w:name="_Toc173211901"/>
            <w:bookmarkStart w:id="59" w:name="_Toc254970589"/>
            <w:r>
              <w:rPr>
                <w:rFonts w:hint="eastAsia" w:ascii="宋体" w:hAnsi="宋体" w:cs="宋体"/>
                <w:szCs w:val="21"/>
              </w:rPr>
              <w:t>磋商采购文件中的服务技术要求</w:t>
            </w:r>
            <w:bookmarkEnd w:id="56"/>
            <w:bookmarkEnd w:id="57"/>
            <w:bookmarkEnd w:id="58"/>
            <w:bookmarkEnd w:id="59"/>
          </w:p>
        </w:tc>
        <w:tc>
          <w:tcPr>
            <w:tcW w:w="2514" w:type="dxa"/>
            <w:vAlign w:val="center"/>
          </w:tcPr>
          <w:p>
            <w:pPr>
              <w:adjustRightInd w:val="0"/>
              <w:snapToGrid w:val="0"/>
              <w:spacing w:line="400" w:lineRule="exact"/>
              <w:jc w:val="center"/>
              <w:outlineLvl w:val="0"/>
              <w:rPr>
                <w:rFonts w:ascii="宋体" w:hAnsi="宋体" w:cs="宋体"/>
                <w:szCs w:val="21"/>
              </w:rPr>
            </w:pPr>
            <w:bookmarkStart w:id="60" w:name="_Toc173066403"/>
            <w:bookmarkStart w:id="61" w:name="_Toc173211902"/>
            <w:bookmarkStart w:id="62" w:name="_Toc254970590"/>
            <w:bookmarkStart w:id="63" w:name="_Toc254970731"/>
            <w:r>
              <w:rPr>
                <w:rFonts w:hint="eastAsia" w:ascii="宋体" w:hAnsi="宋体" w:cs="宋体"/>
                <w:szCs w:val="21"/>
              </w:rPr>
              <w:t>磋商响应文件具体响应</w:t>
            </w:r>
            <w:bookmarkEnd w:id="60"/>
            <w:bookmarkEnd w:id="61"/>
            <w:bookmarkEnd w:id="62"/>
            <w:bookmarkEnd w:id="63"/>
          </w:p>
        </w:tc>
        <w:tc>
          <w:tcPr>
            <w:tcW w:w="1571" w:type="dxa"/>
            <w:vAlign w:val="center"/>
          </w:tcPr>
          <w:p>
            <w:pPr>
              <w:adjustRightInd w:val="0"/>
              <w:snapToGrid w:val="0"/>
              <w:spacing w:line="400" w:lineRule="exact"/>
              <w:jc w:val="center"/>
              <w:outlineLvl w:val="0"/>
              <w:rPr>
                <w:rFonts w:ascii="宋体" w:hAnsi="宋体" w:cs="宋体"/>
                <w:szCs w:val="21"/>
              </w:rPr>
            </w:pPr>
            <w:bookmarkStart w:id="64" w:name="_Toc173066404"/>
            <w:bookmarkStart w:id="65" w:name="_Toc173211903"/>
            <w:bookmarkStart w:id="66" w:name="_Toc254970591"/>
            <w:bookmarkStart w:id="67" w:name="_Toc254970732"/>
            <w:r>
              <w:rPr>
                <w:rFonts w:hint="eastAsia" w:ascii="宋体" w:hAnsi="宋体" w:cs="宋体"/>
                <w:szCs w:val="21"/>
              </w:rPr>
              <w:t>响应/偏离</w:t>
            </w:r>
            <w:bookmarkEnd w:id="64"/>
            <w:bookmarkEnd w:id="65"/>
            <w:bookmarkEnd w:id="66"/>
            <w:bookmarkEnd w:id="67"/>
          </w:p>
        </w:tc>
        <w:tc>
          <w:tcPr>
            <w:tcW w:w="1396" w:type="dxa"/>
            <w:vAlign w:val="center"/>
          </w:tcPr>
          <w:p>
            <w:pPr>
              <w:adjustRightInd w:val="0"/>
              <w:snapToGrid w:val="0"/>
              <w:spacing w:line="400" w:lineRule="exact"/>
              <w:jc w:val="center"/>
              <w:outlineLvl w:val="0"/>
              <w:rPr>
                <w:rFonts w:ascii="宋体" w:hAnsi="宋体" w:cs="宋体"/>
                <w:szCs w:val="21"/>
              </w:rPr>
            </w:pPr>
            <w:bookmarkStart w:id="68" w:name="_Toc173066405"/>
            <w:bookmarkStart w:id="69" w:name="_Toc173211904"/>
            <w:bookmarkStart w:id="70" w:name="_Toc254970592"/>
            <w:bookmarkStart w:id="71" w:name="_Toc254970733"/>
            <w:r>
              <w:rPr>
                <w:rFonts w:hint="eastAsia" w:ascii="宋体" w:hAnsi="宋体" w:cs="宋体"/>
                <w:szCs w:val="21"/>
              </w:rPr>
              <w:t>说明</w:t>
            </w:r>
            <w:bookmarkEnd w:id="68"/>
            <w:bookmarkEnd w:id="69"/>
            <w:bookmarkEnd w:id="70"/>
            <w:bookmarkEnd w:id="71"/>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jc w:val="center"/>
        </w:trPr>
        <w:tc>
          <w:tcPr>
            <w:tcW w:w="640" w:type="dxa"/>
            <w:vAlign w:val="center"/>
          </w:tcPr>
          <w:p>
            <w:pPr>
              <w:adjustRightInd w:val="0"/>
              <w:snapToGrid w:val="0"/>
              <w:spacing w:line="400" w:lineRule="exact"/>
              <w:jc w:val="center"/>
              <w:outlineLvl w:val="0"/>
              <w:rPr>
                <w:rFonts w:ascii="宋体" w:hAnsi="宋体" w:cs="宋体"/>
                <w:szCs w:val="21"/>
              </w:rPr>
            </w:pPr>
            <w:bookmarkStart w:id="72" w:name="_Toc254970593"/>
            <w:bookmarkStart w:id="73" w:name="_Toc254970734"/>
            <w:bookmarkStart w:id="74" w:name="_Toc173066406"/>
            <w:bookmarkStart w:id="75" w:name="_Toc173211905"/>
            <w:r>
              <w:rPr>
                <w:rFonts w:hint="eastAsia" w:ascii="宋体" w:hAnsi="宋体" w:cs="宋体"/>
                <w:szCs w:val="21"/>
              </w:rPr>
              <w:t>1</w:t>
            </w:r>
            <w:bookmarkEnd w:id="72"/>
            <w:bookmarkEnd w:id="73"/>
            <w:bookmarkEnd w:id="74"/>
            <w:bookmarkEnd w:id="75"/>
          </w:p>
        </w:tc>
        <w:tc>
          <w:tcPr>
            <w:tcW w:w="3483" w:type="dxa"/>
            <w:vAlign w:val="center"/>
          </w:tcPr>
          <w:p>
            <w:pPr>
              <w:adjustRightInd w:val="0"/>
              <w:snapToGrid w:val="0"/>
              <w:spacing w:line="400" w:lineRule="exact"/>
              <w:jc w:val="center"/>
              <w:outlineLvl w:val="0"/>
              <w:rPr>
                <w:rFonts w:ascii="宋体" w:hAnsi="宋体" w:cs="宋体"/>
                <w:szCs w:val="21"/>
              </w:rPr>
            </w:pPr>
          </w:p>
        </w:tc>
        <w:tc>
          <w:tcPr>
            <w:tcW w:w="2514" w:type="dxa"/>
            <w:vAlign w:val="center"/>
          </w:tcPr>
          <w:p>
            <w:pPr>
              <w:adjustRightInd w:val="0"/>
              <w:snapToGrid w:val="0"/>
              <w:spacing w:line="400" w:lineRule="exact"/>
              <w:jc w:val="center"/>
              <w:outlineLvl w:val="0"/>
              <w:rPr>
                <w:rFonts w:ascii="宋体" w:hAnsi="宋体" w:cs="宋体"/>
                <w:szCs w:val="21"/>
              </w:rPr>
            </w:pPr>
          </w:p>
        </w:tc>
        <w:tc>
          <w:tcPr>
            <w:tcW w:w="1571" w:type="dxa"/>
            <w:vAlign w:val="center"/>
          </w:tcPr>
          <w:p>
            <w:pPr>
              <w:adjustRightInd w:val="0"/>
              <w:snapToGrid w:val="0"/>
              <w:spacing w:line="400" w:lineRule="exact"/>
              <w:jc w:val="center"/>
              <w:outlineLvl w:val="0"/>
              <w:rPr>
                <w:rFonts w:ascii="宋体" w:hAnsi="宋体" w:cs="宋体"/>
                <w:szCs w:val="21"/>
              </w:rPr>
            </w:pPr>
          </w:p>
        </w:tc>
        <w:tc>
          <w:tcPr>
            <w:tcW w:w="1396" w:type="dxa"/>
            <w:vAlign w:val="center"/>
          </w:tcPr>
          <w:p>
            <w:pPr>
              <w:adjustRightInd w:val="0"/>
              <w:snapToGrid w:val="0"/>
              <w:spacing w:line="400" w:lineRule="exact"/>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40" w:type="dxa"/>
            <w:vAlign w:val="center"/>
          </w:tcPr>
          <w:p>
            <w:pPr>
              <w:adjustRightInd w:val="0"/>
              <w:snapToGrid w:val="0"/>
              <w:spacing w:line="400" w:lineRule="exact"/>
              <w:jc w:val="center"/>
              <w:outlineLvl w:val="0"/>
              <w:rPr>
                <w:rFonts w:ascii="宋体" w:hAnsi="宋体" w:cs="宋体"/>
                <w:szCs w:val="21"/>
              </w:rPr>
            </w:pPr>
            <w:bookmarkStart w:id="76" w:name="_Toc173066407"/>
            <w:bookmarkStart w:id="77" w:name="_Toc173211906"/>
            <w:bookmarkStart w:id="78" w:name="_Toc254970594"/>
            <w:bookmarkStart w:id="79" w:name="_Toc254970735"/>
            <w:r>
              <w:rPr>
                <w:rFonts w:hint="eastAsia" w:ascii="宋体" w:hAnsi="宋体" w:cs="宋体"/>
                <w:szCs w:val="21"/>
              </w:rPr>
              <w:t>2</w:t>
            </w:r>
            <w:bookmarkEnd w:id="76"/>
            <w:bookmarkEnd w:id="77"/>
            <w:bookmarkEnd w:id="78"/>
            <w:bookmarkEnd w:id="79"/>
          </w:p>
        </w:tc>
        <w:tc>
          <w:tcPr>
            <w:tcW w:w="3483" w:type="dxa"/>
            <w:vAlign w:val="center"/>
          </w:tcPr>
          <w:p>
            <w:pPr>
              <w:adjustRightInd w:val="0"/>
              <w:snapToGrid w:val="0"/>
              <w:spacing w:line="400" w:lineRule="exact"/>
              <w:jc w:val="center"/>
              <w:outlineLvl w:val="0"/>
              <w:rPr>
                <w:rFonts w:ascii="宋体" w:hAnsi="宋体" w:cs="宋体"/>
                <w:szCs w:val="21"/>
              </w:rPr>
            </w:pPr>
          </w:p>
        </w:tc>
        <w:tc>
          <w:tcPr>
            <w:tcW w:w="2514" w:type="dxa"/>
            <w:vAlign w:val="center"/>
          </w:tcPr>
          <w:p>
            <w:pPr>
              <w:adjustRightInd w:val="0"/>
              <w:snapToGrid w:val="0"/>
              <w:spacing w:line="400" w:lineRule="exact"/>
              <w:jc w:val="center"/>
              <w:outlineLvl w:val="0"/>
              <w:rPr>
                <w:rFonts w:ascii="宋体" w:hAnsi="宋体" w:cs="宋体"/>
                <w:szCs w:val="21"/>
              </w:rPr>
            </w:pPr>
          </w:p>
        </w:tc>
        <w:tc>
          <w:tcPr>
            <w:tcW w:w="1571" w:type="dxa"/>
            <w:vAlign w:val="center"/>
          </w:tcPr>
          <w:p>
            <w:pPr>
              <w:adjustRightInd w:val="0"/>
              <w:snapToGrid w:val="0"/>
              <w:spacing w:line="400" w:lineRule="exact"/>
              <w:jc w:val="center"/>
              <w:outlineLvl w:val="0"/>
              <w:rPr>
                <w:rFonts w:ascii="宋体" w:hAnsi="宋体" w:cs="宋体"/>
                <w:szCs w:val="21"/>
              </w:rPr>
            </w:pPr>
          </w:p>
        </w:tc>
        <w:tc>
          <w:tcPr>
            <w:tcW w:w="1396" w:type="dxa"/>
            <w:vAlign w:val="center"/>
          </w:tcPr>
          <w:p>
            <w:pPr>
              <w:adjustRightInd w:val="0"/>
              <w:snapToGrid w:val="0"/>
              <w:spacing w:line="400" w:lineRule="exact"/>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40" w:type="dxa"/>
            <w:vAlign w:val="center"/>
          </w:tcPr>
          <w:p>
            <w:pPr>
              <w:adjustRightInd w:val="0"/>
              <w:snapToGrid w:val="0"/>
              <w:spacing w:line="400" w:lineRule="exact"/>
              <w:jc w:val="center"/>
              <w:outlineLvl w:val="0"/>
              <w:rPr>
                <w:rFonts w:ascii="宋体" w:hAnsi="宋体" w:cs="宋体"/>
                <w:szCs w:val="21"/>
              </w:rPr>
            </w:pPr>
            <w:bookmarkStart w:id="80" w:name="_Toc173066408"/>
            <w:bookmarkStart w:id="81" w:name="_Toc173211907"/>
            <w:bookmarkStart w:id="82" w:name="_Toc254970595"/>
            <w:bookmarkStart w:id="83" w:name="_Toc254970736"/>
            <w:r>
              <w:rPr>
                <w:rFonts w:hint="eastAsia" w:ascii="宋体" w:hAnsi="宋体" w:cs="宋体"/>
                <w:szCs w:val="21"/>
              </w:rPr>
              <w:t>3</w:t>
            </w:r>
            <w:bookmarkEnd w:id="80"/>
            <w:bookmarkEnd w:id="81"/>
            <w:bookmarkEnd w:id="82"/>
            <w:bookmarkEnd w:id="83"/>
          </w:p>
        </w:tc>
        <w:tc>
          <w:tcPr>
            <w:tcW w:w="3483" w:type="dxa"/>
            <w:vAlign w:val="center"/>
          </w:tcPr>
          <w:p>
            <w:pPr>
              <w:adjustRightInd w:val="0"/>
              <w:snapToGrid w:val="0"/>
              <w:spacing w:line="400" w:lineRule="exact"/>
              <w:jc w:val="center"/>
              <w:outlineLvl w:val="0"/>
              <w:rPr>
                <w:rFonts w:ascii="宋体" w:hAnsi="宋体" w:cs="宋体"/>
                <w:szCs w:val="21"/>
              </w:rPr>
            </w:pPr>
          </w:p>
        </w:tc>
        <w:tc>
          <w:tcPr>
            <w:tcW w:w="2514" w:type="dxa"/>
            <w:vAlign w:val="center"/>
          </w:tcPr>
          <w:p>
            <w:pPr>
              <w:adjustRightInd w:val="0"/>
              <w:snapToGrid w:val="0"/>
              <w:spacing w:line="400" w:lineRule="exact"/>
              <w:jc w:val="center"/>
              <w:outlineLvl w:val="0"/>
              <w:rPr>
                <w:rFonts w:ascii="宋体" w:hAnsi="宋体" w:cs="宋体"/>
                <w:szCs w:val="21"/>
              </w:rPr>
            </w:pPr>
          </w:p>
        </w:tc>
        <w:tc>
          <w:tcPr>
            <w:tcW w:w="1571" w:type="dxa"/>
            <w:vAlign w:val="center"/>
          </w:tcPr>
          <w:p>
            <w:pPr>
              <w:adjustRightInd w:val="0"/>
              <w:snapToGrid w:val="0"/>
              <w:spacing w:line="400" w:lineRule="exact"/>
              <w:jc w:val="center"/>
              <w:outlineLvl w:val="0"/>
              <w:rPr>
                <w:rFonts w:ascii="宋体" w:hAnsi="宋体" w:cs="宋体"/>
                <w:szCs w:val="21"/>
              </w:rPr>
            </w:pPr>
          </w:p>
        </w:tc>
        <w:tc>
          <w:tcPr>
            <w:tcW w:w="1396" w:type="dxa"/>
            <w:vAlign w:val="center"/>
          </w:tcPr>
          <w:p>
            <w:pPr>
              <w:adjustRightInd w:val="0"/>
              <w:snapToGrid w:val="0"/>
              <w:spacing w:line="400" w:lineRule="exact"/>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40" w:type="dxa"/>
            <w:vAlign w:val="center"/>
          </w:tcPr>
          <w:p>
            <w:pPr>
              <w:adjustRightInd w:val="0"/>
              <w:snapToGrid w:val="0"/>
              <w:spacing w:line="400" w:lineRule="exact"/>
              <w:jc w:val="center"/>
              <w:outlineLvl w:val="0"/>
              <w:rPr>
                <w:rFonts w:ascii="宋体" w:hAnsi="宋体" w:cs="宋体"/>
                <w:szCs w:val="21"/>
              </w:rPr>
            </w:pPr>
            <w:r>
              <w:rPr>
                <w:rFonts w:hint="eastAsia" w:ascii="宋体" w:hAnsi="宋体" w:cs="宋体"/>
                <w:szCs w:val="21"/>
              </w:rPr>
              <w:t>4</w:t>
            </w:r>
          </w:p>
        </w:tc>
        <w:tc>
          <w:tcPr>
            <w:tcW w:w="3483" w:type="dxa"/>
            <w:vAlign w:val="center"/>
          </w:tcPr>
          <w:p>
            <w:pPr>
              <w:adjustRightInd w:val="0"/>
              <w:snapToGrid w:val="0"/>
              <w:spacing w:line="400" w:lineRule="exact"/>
              <w:jc w:val="center"/>
              <w:outlineLvl w:val="0"/>
              <w:rPr>
                <w:rFonts w:ascii="宋体" w:hAnsi="宋体" w:cs="宋体"/>
                <w:szCs w:val="21"/>
              </w:rPr>
            </w:pPr>
          </w:p>
        </w:tc>
        <w:tc>
          <w:tcPr>
            <w:tcW w:w="2514" w:type="dxa"/>
            <w:vAlign w:val="center"/>
          </w:tcPr>
          <w:p>
            <w:pPr>
              <w:adjustRightInd w:val="0"/>
              <w:snapToGrid w:val="0"/>
              <w:spacing w:line="400" w:lineRule="exact"/>
              <w:jc w:val="center"/>
              <w:outlineLvl w:val="0"/>
              <w:rPr>
                <w:rFonts w:ascii="宋体" w:hAnsi="宋体" w:cs="宋体"/>
                <w:szCs w:val="21"/>
              </w:rPr>
            </w:pPr>
          </w:p>
        </w:tc>
        <w:tc>
          <w:tcPr>
            <w:tcW w:w="1571" w:type="dxa"/>
            <w:vAlign w:val="center"/>
          </w:tcPr>
          <w:p>
            <w:pPr>
              <w:adjustRightInd w:val="0"/>
              <w:snapToGrid w:val="0"/>
              <w:spacing w:line="400" w:lineRule="exact"/>
              <w:jc w:val="center"/>
              <w:outlineLvl w:val="0"/>
              <w:rPr>
                <w:rFonts w:ascii="宋体" w:hAnsi="宋体" w:cs="宋体"/>
                <w:szCs w:val="21"/>
              </w:rPr>
            </w:pPr>
          </w:p>
        </w:tc>
        <w:tc>
          <w:tcPr>
            <w:tcW w:w="1396" w:type="dxa"/>
            <w:vAlign w:val="center"/>
          </w:tcPr>
          <w:p>
            <w:pPr>
              <w:adjustRightInd w:val="0"/>
              <w:snapToGrid w:val="0"/>
              <w:spacing w:line="400" w:lineRule="exact"/>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40" w:type="dxa"/>
            <w:vAlign w:val="center"/>
          </w:tcPr>
          <w:p>
            <w:pPr>
              <w:adjustRightInd w:val="0"/>
              <w:snapToGrid w:val="0"/>
              <w:spacing w:line="400" w:lineRule="exact"/>
              <w:jc w:val="center"/>
              <w:outlineLvl w:val="0"/>
              <w:rPr>
                <w:rFonts w:ascii="宋体" w:hAnsi="宋体" w:cs="宋体"/>
                <w:szCs w:val="21"/>
              </w:rPr>
            </w:pPr>
            <w:r>
              <w:rPr>
                <w:rFonts w:hint="eastAsia" w:ascii="宋体" w:hAnsi="宋体" w:cs="宋体"/>
                <w:szCs w:val="21"/>
              </w:rPr>
              <w:t>5</w:t>
            </w:r>
          </w:p>
        </w:tc>
        <w:tc>
          <w:tcPr>
            <w:tcW w:w="3483" w:type="dxa"/>
            <w:vAlign w:val="center"/>
          </w:tcPr>
          <w:p>
            <w:pPr>
              <w:adjustRightInd w:val="0"/>
              <w:snapToGrid w:val="0"/>
              <w:spacing w:line="400" w:lineRule="exact"/>
              <w:jc w:val="center"/>
              <w:outlineLvl w:val="0"/>
              <w:rPr>
                <w:rFonts w:ascii="宋体" w:hAnsi="宋体" w:cs="宋体"/>
                <w:szCs w:val="21"/>
              </w:rPr>
            </w:pPr>
          </w:p>
        </w:tc>
        <w:tc>
          <w:tcPr>
            <w:tcW w:w="2514" w:type="dxa"/>
            <w:vAlign w:val="center"/>
          </w:tcPr>
          <w:p>
            <w:pPr>
              <w:adjustRightInd w:val="0"/>
              <w:snapToGrid w:val="0"/>
              <w:spacing w:line="400" w:lineRule="exact"/>
              <w:jc w:val="center"/>
              <w:outlineLvl w:val="0"/>
              <w:rPr>
                <w:rFonts w:ascii="宋体" w:hAnsi="宋体" w:cs="宋体"/>
                <w:szCs w:val="21"/>
              </w:rPr>
            </w:pPr>
          </w:p>
        </w:tc>
        <w:tc>
          <w:tcPr>
            <w:tcW w:w="1571" w:type="dxa"/>
            <w:vAlign w:val="center"/>
          </w:tcPr>
          <w:p>
            <w:pPr>
              <w:adjustRightInd w:val="0"/>
              <w:snapToGrid w:val="0"/>
              <w:spacing w:line="400" w:lineRule="exact"/>
              <w:jc w:val="center"/>
              <w:outlineLvl w:val="0"/>
              <w:rPr>
                <w:rFonts w:ascii="宋体" w:hAnsi="宋体" w:cs="宋体"/>
                <w:szCs w:val="21"/>
              </w:rPr>
            </w:pPr>
          </w:p>
        </w:tc>
        <w:tc>
          <w:tcPr>
            <w:tcW w:w="1396" w:type="dxa"/>
            <w:vAlign w:val="center"/>
          </w:tcPr>
          <w:p>
            <w:pPr>
              <w:adjustRightInd w:val="0"/>
              <w:snapToGrid w:val="0"/>
              <w:spacing w:line="400" w:lineRule="exact"/>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640" w:type="dxa"/>
            <w:vAlign w:val="center"/>
          </w:tcPr>
          <w:p>
            <w:pPr>
              <w:adjustRightInd w:val="0"/>
              <w:snapToGrid w:val="0"/>
              <w:spacing w:line="400" w:lineRule="exact"/>
              <w:jc w:val="center"/>
              <w:outlineLvl w:val="0"/>
              <w:rPr>
                <w:rFonts w:ascii="宋体" w:hAnsi="宋体" w:cs="宋体"/>
                <w:szCs w:val="21"/>
              </w:rPr>
            </w:pPr>
            <w:bookmarkStart w:id="84" w:name="_Toc173066415"/>
            <w:bookmarkStart w:id="85" w:name="_Toc173211914"/>
            <w:bookmarkStart w:id="86" w:name="_Toc254970602"/>
            <w:bookmarkStart w:id="87" w:name="_Toc254970743"/>
            <w:r>
              <w:rPr>
                <w:rFonts w:hint="eastAsia" w:ascii="宋体" w:hAnsi="宋体" w:cs="宋体"/>
                <w:szCs w:val="21"/>
              </w:rPr>
              <w:t>…</w:t>
            </w:r>
            <w:bookmarkEnd w:id="84"/>
            <w:bookmarkEnd w:id="85"/>
            <w:bookmarkEnd w:id="86"/>
            <w:bookmarkEnd w:id="87"/>
          </w:p>
        </w:tc>
        <w:tc>
          <w:tcPr>
            <w:tcW w:w="3483" w:type="dxa"/>
            <w:vAlign w:val="center"/>
          </w:tcPr>
          <w:p>
            <w:pPr>
              <w:adjustRightInd w:val="0"/>
              <w:snapToGrid w:val="0"/>
              <w:spacing w:line="400" w:lineRule="exact"/>
              <w:jc w:val="center"/>
              <w:outlineLvl w:val="0"/>
              <w:rPr>
                <w:rFonts w:ascii="宋体" w:hAnsi="宋体" w:cs="宋体"/>
                <w:szCs w:val="21"/>
              </w:rPr>
            </w:pPr>
          </w:p>
        </w:tc>
        <w:tc>
          <w:tcPr>
            <w:tcW w:w="2514" w:type="dxa"/>
            <w:vAlign w:val="center"/>
          </w:tcPr>
          <w:p>
            <w:pPr>
              <w:adjustRightInd w:val="0"/>
              <w:snapToGrid w:val="0"/>
              <w:spacing w:line="400" w:lineRule="exact"/>
              <w:jc w:val="center"/>
              <w:outlineLvl w:val="0"/>
              <w:rPr>
                <w:rFonts w:ascii="宋体" w:hAnsi="宋体" w:cs="宋体"/>
                <w:szCs w:val="21"/>
              </w:rPr>
            </w:pPr>
          </w:p>
        </w:tc>
        <w:tc>
          <w:tcPr>
            <w:tcW w:w="1571" w:type="dxa"/>
            <w:tcBorders>
              <w:right w:val="single" w:color="auto" w:sz="4" w:space="0"/>
            </w:tcBorders>
            <w:vAlign w:val="center"/>
          </w:tcPr>
          <w:p>
            <w:pPr>
              <w:adjustRightInd w:val="0"/>
              <w:snapToGrid w:val="0"/>
              <w:spacing w:line="400" w:lineRule="exact"/>
              <w:jc w:val="center"/>
              <w:outlineLvl w:val="0"/>
              <w:rPr>
                <w:rFonts w:ascii="宋体" w:hAnsi="宋体" w:cs="宋体"/>
                <w:szCs w:val="21"/>
              </w:rPr>
            </w:pPr>
          </w:p>
        </w:tc>
        <w:tc>
          <w:tcPr>
            <w:tcW w:w="1396" w:type="dxa"/>
            <w:tcBorders>
              <w:left w:val="single" w:color="auto" w:sz="4" w:space="0"/>
            </w:tcBorders>
            <w:vAlign w:val="center"/>
          </w:tcPr>
          <w:p>
            <w:pPr>
              <w:adjustRightInd w:val="0"/>
              <w:snapToGrid w:val="0"/>
              <w:spacing w:line="400" w:lineRule="exact"/>
              <w:jc w:val="center"/>
              <w:outlineLvl w:val="0"/>
              <w:rPr>
                <w:rFonts w:ascii="宋体" w:hAnsi="宋体" w:cs="宋体"/>
                <w:szCs w:val="21"/>
              </w:rPr>
            </w:pPr>
          </w:p>
        </w:tc>
      </w:tr>
    </w:tbl>
    <w:p>
      <w:pPr>
        <w:adjustRightInd w:val="0"/>
        <w:snapToGrid w:val="0"/>
        <w:spacing w:line="420" w:lineRule="exact"/>
        <w:rPr>
          <w:rFonts w:ascii="宋体" w:hAnsi="宋体" w:cs="宋体"/>
          <w:szCs w:val="21"/>
        </w:rPr>
      </w:pPr>
    </w:p>
    <w:p>
      <w:pPr>
        <w:pStyle w:val="13"/>
        <w:spacing w:line="420" w:lineRule="exact"/>
        <w:ind w:firstLine="739"/>
        <w:rPr>
          <w:rFonts w:ascii="宋体" w:hAnsi="宋体" w:eastAsia="宋体" w:cs="宋体"/>
          <w:sz w:val="21"/>
          <w:szCs w:val="21"/>
        </w:rPr>
      </w:pPr>
      <w:r>
        <w:rPr>
          <w:rFonts w:hint="eastAsia" w:ascii="宋体" w:hAnsi="宋体" w:eastAsia="宋体" w:cs="宋体"/>
          <w:sz w:val="21"/>
          <w:szCs w:val="21"/>
        </w:rPr>
        <w:t>说明：应对照竞争性磋商采购文件第三章采购需求，逐条说明所提供服务已对竞争性磋商采购文件服务技术规格做出了实质性的响应，并申明与服务技术规格条文的响应和偏离。如果仅注明“符合”、“满足”或简单复制竞争性磋商采购文件要求，将导致磋商被拒绝。</w:t>
      </w:r>
    </w:p>
    <w:p>
      <w:pPr>
        <w:pStyle w:val="15"/>
        <w:spacing w:line="420" w:lineRule="exact"/>
        <w:rPr>
          <w:rFonts w:hAnsi="宋体" w:cs="宋体"/>
        </w:rPr>
      </w:pPr>
    </w:p>
    <w:p>
      <w:pPr>
        <w:pStyle w:val="15"/>
        <w:spacing w:line="500" w:lineRule="exact"/>
        <w:rPr>
          <w:rFonts w:hAnsi="宋体" w:cs="宋体"/>
          <w:sz w:val="21"/>
          <w:u w:val="single"/>
        </w:rPr>
      </w:pPr>
      <w:r>
        <w:rPr>
          <w:rFonts w:hint="eastAsia" w:hAnsi="宋体" w:cs="宋体"/>
          <w:sz w:val="21"/>
        </w:rPr>
        <w:t>法定代表人（负责人）或委托代理人（签字）：</w:t>
      </w:r>
      <w:r>
        <w:rPr>
          <w:rFonts w:hint="eastAsia" w:hAnsi="宋体" w:cs="宋体"/>
          <w:sz w:val="21"/>
          <w:u w:val="single"/>
        </w:rPr>
        <w:t xml:space="preserve">                  </w:t>
      </w:r>
    </w:p>
    <w:p>
      <w:pPr>
        <w:pStyle w:val="15"/>
        <w:spacing w:line="500" w:lineRule="exact"/>
        <w:rPr>
          <w:rFonts w:hAnsi="宋体" w:cs="宋体"/>
          <w:sz w:val="21"/>
          <w:u w:val="single"/>
        </w:rPr>
      </w:pPr>
      <w:r>
        <w:rPr>
          <w:rFonts w:hint="eastAsia" w:hAnsi="宋体" w:cs="宋体"/>
          <w:sz w:val="21"/>
        </w:rPr>
        <w:t>供应商名称（盖章）：</w:t>
      </w:r>
      <w:r>
        <w:rPr>
          <w:rFonts w:hint="eastAsia" w:hAnsi="宋体" w:cs="宋体"/>
          <w:sz w:val="21"/>
          <w:u w:val="single"/>
        </w:rPr>
        <w:t xml:space="preserve">                              </w:t>
      </w:r>
    </w:p>
    <w:p>
      <w:pPr>
        <w:pStyle w:val="15"/>
        <w:spacing w:line="500" w:lineRule="exact"/>
        <w:rPr>
          <w:rFonts w:hAnsi="宋体"/>
          <w:sz w:val="21"/>
          <w:u w:val="single"/>
        </w:rPr>
      </w:pPr>
      <w:r>
        <w:rPr>
          <w:rFonts w:hint="eastAsia" w:hAnsi="宋体" w:cs="宋体"/>
          <w:sz w:val="21"/>
        </w:rPr>
        <w:t>日期：</w:t>
      </w:r>
      <w:r>
        <w:rPr>
          <w:rFonts w:hint="eastAsia" w:hAnsi="宋体" w:cs="宋体"/>
          <w:sz w:val="21"/>
          <w:u w:val="single"/>
        </w:rPr>
        <w:t xml:space="preserve">     </w:t>
      </w:r>
      <w:r>
        <w:rPr>
          <w:rFonts w:hint="eastAsia" w:hAnsi="宋体" w:cs="宋体"/>
          <w:sz w:val="21"/>
        </w:rPr>
        <w:t>年</w:t>
      </w:r>
      <w:r>
        <w:rPr>
          <w:rFonts w:hint="eastAsia" w:hAnsi="宋体" w:cs="宋体"/>
          <w:sz w:val="21"/>
          <w:u w:val="single"/>
        </w:rPr>
        <w:t xml:space="preserve">     </w:t>
      </w:r>
      <w:r>
        <w:rPr>
          <w:rFonts w:hint="eastAsia" w:hAnsi="宋体" w:cs="宋体"/>
          <w:sz w:val="21"/>
        </w:rPr>
        <w:t>月</w:t>
      </w:r>
      <w:r>
        <w:rPr>
          <w:rFonts w:hint="eastAsia" w:hAnsi="宋体" w:cs="宋体"/>
          <w:sz w:val="21"/>
          <w:u w:val="single"/>
        </w:rPr>
        <w:t xml:space="preserve">    </w:t>
      </w:r>
      <w:r>
        <w:rPr>
          <w:rFonts w:hint="eastAsia" w:hAnsi="宋体" w:cs="宋体"/>
          <w:sz w:val="21"/>
        </w:rPr>
        <w:t xml:space="preserve">日 </w:t>
      </w:r>
    </w:p>
    <w:p>
      <w:pPr>
        <w:rPr>
          <w:rFonts w:ascii="Tahoma" w:hAnsi="Tahoma"/>
          <w:kern w:val="0"/>
          <w:sz w:val="24"/>
          <w:lang w:val="en-GB"/>
        </w:rPr>
      </w:pPr>
      <w:r>
        <w:rPr>
          <w:rFonts w:hint="eastAsia" w:ascii="Tahoma" w:hAnsi="Tahoma"/>
          <w:kern w:val="0"/>
          <w:sz w:val="24"/>
          <w:lang w:val="en-GB"/>
        </w:rPr>
        <w:t xml:space="preserve"> </w:t>
      </w:r>
    </w:p>
    <w:p>
      <w:pPr>
        <w:rPr>
          <w:rFonts w:ascii="Tahoma" w:hAnsi="Tahoma"/>
          <w:kern w:val="0"/>
          <w:sz w:val="24"/>
          <w:lang w:val="en-GB"/>
        </w:rPr>
      </w:pPr>
    </w:p>
    <w:p>
      <w:pPr>
        <w:rPr>
          <w:rFonts w:ascii="Tahoma" w:hAnsi="Tahoma"/>
          <w:kern w:val="0"/>
          <w:sz w:val="24"/>
          <w:lang w:val="en-GB"/>
        </w:rPr>
      </w:pPr>
    </w:p>
    <w:p>
      <w:pPr>
        <w:rPr>
          <w:rFonts w:ascii="Tahoma" w:hAnsi="Tahoma"/>
          <w:kern w:val="0"/>
          <w:sz w:val="24"/>
          <w:lang w:val="en-GB"/>
        </w:rPr>
      </w:pPr>
    </w:p>
    <w:p>
      <w:pPr>
        <w:rPr>
          <w:rFonts w:ascii="Tahoma" w:hAnsi="Tahoma"/>
          <w:kern w:val="0"/>
          <w:sz w:val="24"/>
          <w:lang w:val="en-GB"/>
        </w:rPr>
      </w:pPr>
    </w:p>
    <w:p>
      <w:pPr>
        <w:rPr>
          <w:rFonts w:ascii="Tahoma" w:hAnsi="Tahoma"/>
          <w:kern w:val="0"/>
          <w:sz w:val="24"/>
          <w:lang w:val="en-GB"/>
        </w:rPr>
      </w:pPr>
    </w:p>
    <w:p>
      <w:pPr>
        <w:rPr>
          <w:rFonts w:ascii="Tahoma" w:hAnsi="Tahoma"/>
          <w:kern w:val="0"/>
          <w:sz w:val="24"/>
          <w:lang w:val="en-GB"/>
        </w:rPr>
      </w:pPr>
    </w:p>
    <w:p>
      <w:pPr>
        <w:rPr>
          <w:rFonts w:ascii="Tahoma" w:hAnsi="Tahoma"/>
          <w:kern w:val="0"/>
          <w:sz w:val="24"/>
          <w:lang w:val="en-GB"/>
        </w:rPr>
      </w:pPr>
    </w:p>
    <w:p>
      <w:pPr>
        <w:rPr>
          <w:rFonts w:ascii="Tahoma" w:hAnsi="Tahoma"/>
          <w:kern w:val="0"/>
          <w:sz w:val="24"/>
          <w:lang w:val="en-GB"/>
        </w:rPr>
      </w:pPr>
    </w:p>
    <w:p>
      <w:pPr>
        <w:rPr>
          <w:rFonts w:ascii="Tahoma" w:hAnsi="Tahoma"/>
          <w:kern w:val="0"/>
          <w:sz w:val="24"/>
          <w:lang w:val="en-GB"/>
        </w:rPr>
      </w:pPr>
    </w:p>
    <w:p>
      <w:pPr>
        <w:rPr>
          <w:rFonts w:ascii="Tahoma" w:hAnsi="Tahoma"/>
          <w:kern w:val="0"/>
          <w:sz w:val="24"/>
          <w:lang w:val="en-GB"/>
        </w:rPr>
      </w:pPr>
    </w:p>
    <w:p>
      <w:pPr>
        <w:rPr>
          <w:rFonts w:ascii="Tahoma" w:hAnsi="Tahoma"/>
          <w:kern w:val="0"/>
          <w:sz w:val="24"/>
          <w:lang w:val="en-GB"/>
        </w:rPr>
      </w:pPr>
    </w:p>
    <w:p>
      <w:pPr>
        <w:rPr>
          <w:rFonts w:ascii="Tahoma" w:hAnsi="Tahoma"/>
          <w:kern w:val="0"/>
          <w:sz w:val="24"/>
          <w:lang w:val="en-GB"/>
        </w:rPr>
      </w:pPr>
    </w:p>
    <w:p>
      <w:pPr>
        <w:rPr>
          <w:rFonts w:ascii="Tahoma" w:hAnsi="Tahoma"/>
          <w:kern w:val="0"/>
          <w:sz w:val="24"/>
          <w:lang w:val="en-GB"/>
        </w:rPr>
      </w:pPr>
    </w:p>
    <w:p>
      <w:pPr>
        <w:pStyle w:val="2"/>
        <w:rPr>
          <w:lang w:val="en-GB"/>
        </w:rPr>
      </w:pPr>
    </w:p>
    <w:p>
      <w:pPr>
        <w:rPr>
          <w:rFonts w:ascii="Tahoma" w:hAnsi="Tahoma"/>
          <w:kern w:val="0"/>
          <w:sz w:val="24"/>
          <w:lang w:val="en-GB"/>
        </w:rPr>
      </w:pPr>
    </w:p>
    <w:p>
      <w:pPr>
        <w:rPr>
          <w:rFonts w:ascii="Tahoma" w:hAnsi="Tahoma"/>
          <w:kern w:val="0"/>
          <w:sz w:val="24"/>
          <w:lang w:val="en-GB"/>
        </w:rPr>
      </w:pPr>
    </w:p>
    <w:p>
      <w:pPr>
        <w:rPr>
          <w:rFonts w:ascii="Tahoma" w:hAnsi="Tahoma"/>
          <w:kern w:val="0"/>
          <w:sz w:val="24"/>
          <w:lang w:val="en-GB"/>
        </w:rPr>
      </w:pPr>
      <w:r>
        <w:rPr>
          <w:rFonts w:ascii="Tahoma" w:hAnsi="Tahoma"/>
          <w:kern w:val="0"/>
          <w:sz w:val="24"/>
          <w:lang w:val="en-GB"/>
        </w:rPr>
        <w:t>▲</w:t>
      </w:r>
      <w:r>
        <w:rPr>
          <w:rFonts w:hint="eastAsia" w:ascii="Tahoma" w:hAnsi="Tahoma"/>
          <w:kern w:val="0"/>
          <w:sz w:val="24"/>
          <w:lang w:val="en-GB"/>
        </w:rPr>
        <w:t>（2）项目技术方案；（必须提供）</w:t>
      </w:r>
    </w:p>
    <w:p>
      <w:pPr>
        <w:rPr>
          <w:rFonts w:ascii="Tahoma" w:hAnsi="Tahoma"/>
          <w:kern w:val="0"/>
          <w:sz w:val="24"/>
          <w:lang w:val="en-GB"/>
        </w:rPr>
      </w:pPr>
    </w:p>
    <w:p>
      <w:pPr>
        <w:rPr>
          <w:rFonts w:ascii="Tahoma" w:hAnsi="Tahoma"/>
          <w:kern w:val="0"/>
          <w:sz w:val="24"/>
          <w:lang w:val="en-GB"/>
        </w:rPr>
      </w:pPr>
    </w:p>
    <w:p>
      <w:pPr>
        <w:rPr>
          <w:rFonts w:ascii="Tahoma" w:hAnsi="Tahoma"/>
          <w:kern w:val="0"/>
          <w:sz w:val="24"/>
          <w:lang w:val="en-GB"/>
        </w:rPr>
      </w:pPr>
    </w:p>
    <w:p>
      <w:pPr>
        <w:rPr>
          <w:rFonts w:ascii="Tahoma" w:hAnsi="Tahoma"/>
          <w:kern w:val="0"/>
          <w:sz w:val="24"/>
          <w:lang w:val="en-GB"/>
        </w:rPr>
      </w:pPr>
      <w:r>
        <w:rPr>
          <w:rFonts w:hint="eastAsia" w:ascii="Tahoma" w:hAnsi="Tahoma"/>
          <w:kern w:val="0"/>
          <w:sz w:val="24"/>
          <w:lang w:val="en-GB"/>
        </w:rPr>
        <w:t>（3）</w:t>
      </w:r>
      <w:r>
        <w:rPr>
          <w:rFonts w:ascii="Tahoma" w:hAnsi="Tahoma"/>
          <w:kern w:val="0"/>
          <w:sz w:val="24"/>
          <w:lang w:val="en-GB"/>
        </w:rPr>
        <w:t>服务质量承诺；</w:t>
      </w:r>
      <w:r>
        <w:rPr>
          <w:rFonts w:hint="eastAsia" w:ascii="Tahoma" w:hAnsi="Tahoma"/>
          <w:kern w:val="0"/>
          <w:sz w:val="24"/>
          <w:lang w:val="en-GB"/>
        </w:rPr>
        <w:t>（</w:t>
      </w:r>
      <w:r>
        <w:rPr>
          <w:rFonts w:hint="eastAsia" w:ascii="宋体" w:hAnsi="宋体" w:cs="宋体"/>
          <w:kern w:val="0"/>
          <w:sz w:val="24"/>
        </w:rPr>
        <w:t>如有请提供</w:t>
      </w:r>
      <w:r>
        <w:rPr>
          <w:rFonts w:hint="eastAsia" w:ascii="Tahoma" w:hAnsi="Tahoma"/>
          <w:kern w:val="0"/>
          <w:sz w:val="24"/>
          <w:lang w:val="en-GB"/>
        </w:rPr>
        <w:t>）</w:t>
      </w:r>
    </w:p>
    <w:p>
      <w:pPr>
        <w:rPr>
          <w:rFonts w:ascii="Tahoma" w:hAnsi="Tahoma"/>
          <w:kern w:val="0"/>
          <w:sz w:val="24"/>
          <w:lang w:val="en-GB"/>
        </w:rPr>
      </w:pPr>
    </w:p>
    <w:p>
      <w:pPr>
        <w:rPr>
          <w:rFonts w:ascii="Tahoma" w:hAnsi="Tahoma"/>
          <w:kern w:val="0"/>
          <w:sz w:val="24"/>
          <w:lang w:val="en-GB"/>
        </w:rPr>
      </w:pPr>
    </w:p>
    <w:p>
      <w:pPr>
        <w:rPr>
          <w:rFonts w:ascii="Tahoma" w:hAnsi="Tahoma"/>
          <w:kern w:val="0"/>
          <w:sz w:val="24"/>
          <w:lang w:val="en-GB"/>
        </w:rPr>
      </w:pPr>
    </w:p>
    <w:p>
      <w:pPr>
        <w:rPr>
          <w:rFonts w:ascii="Tahoma" w:hAnsi="Tahoma"/>
          <w:kern w:val="0"/>
          <w:sz w:val="24"/>
          <w:lang w:val="en-GB"/>
        </w:rPr>
      </w:pPr>
      <w:r>
        <w:rPr>
          <w:rFonts w:hint="eastAsia" w:ascii="Tahoma" w:hAnsi="Tahoma"/>
          <w:kern w:val="0"/>
          <w:sz w:val="24"/>
          <w:lang w:val="en-GB"/>
        </w:rPr>
        <w:t>（4）投标人对本项目的其他服务方案；（</w:t>
      </w:r>
      <w:r>
        <w:rPr>
          <w:rFonts w:hint="eastAsia" w:ascii="宋体" w:hAnsi="宋体" w:cs="宋体"/>
          <w:kern w:val="0"/>
          <w:sz w:val="24"/>
        </w:rPr>
        <w:t>如有请提供</w:t>
      </w:r>
      <w:r>
        <w:rPr>
          <w:rFonts w:hint="eastAsia" w:ascii="Tahoma" w:hAnsi="Tahoma"/>
          <w:kern w:val="0"/>
          <w:sz w:val="24"/>
          <w:lang w:val="en-GB"/>
        </w:rPr>
        <w:t>）</w:t>
      </w:r>
    </w:p>
    <w:p>
      <w:pPr>
        <w:rPr>
          <w:rFonts w:ascii="Tahoma" w:hAnsi="Tahoma"/>
          <w:kern w:val="0"/>
          <w:sz w:val="24"/>
          <w:lang w:val="en-GB"/>
        </w:rPr>
      </w:pPr>
    </w:p>
    <w:p>
      <w:pPr>
        <w:rPr>
          <w:rFonts w:ascii="Tahoma" w:hAnsi="Tahoma"/>
          <w:kern w:val="0"/>
          <w:sz w:val="24"/>
          <w:lang w:val="en-GB"/>
        </w:rPr>
      </w:pPr>
    </w:p>
    <w:p>
      <w:pPr>
        <w:rPr>
          <w:rFonts w:ascii="Tahoma" w:hAnsi="Tahoma"/>
          <w:kern w:val="0"/>
          <w:sz w:val="24"/>
          <w:lang w:val="en-GB"/>
        </w:rPr>
      </w:pPr>
    </w:p>
    <w:p>
      <w:pPr>
        <w:rPr>
          <w:rFonts w:ascii="Tahoma" w:hAnsi="Tahoma"/>
          <w:kern w:val="0"/>
          <w:sz w:val="24"/>
          <w:lang w:val="en-GB"/>
        </w:rPr>
      </w:pPr>
      <w:r>
        <w:rPr>
          <w:rFonts w:hint="eastAsia" w:ascii="Tahoma" w:hAnsi="Tahoma"/>
          <w:kern w:val="0"/>
          <w:sz w:val="24"/>
          <w:lang w:val="en-GB"/>
        </w:rPr>
        <w:t>（5）本招标文件要求提供的其他资料和需要说明的问题。</w:t>
      </w:r>
    </w:p>
    <w:p>
      <w:pPr>
        <w:rPr>
          <w:rFonts w:ascii="Tahoma" w:hAnsi="Tahoma"/>
          <w:kern w:val="0"/>
          <w:sz w:val="24"/>
          <w:lang w:val="en-GB"/>
        </w:rPr>
      </w:pPr>
    </w:p>
    <w:p>
      <w:pPr>
        <w:rPr>
          <w:rFonts w:ascii="Tahoma" w:hAnsi="Tahoma"/>
          <w:kern w:val="0"/>
          <w:sz w:val="24"/>
          <w:lang w:val="en-GB"/>
        </w:rPr>
      </w:pPr>
    </w:p>
    <w:p>
      <w:pPr>
        <w:rPr>
          <w:rFonts w:ascii="Tahoma" w:hAnsi="Tahoma"/>
          <w:kern w:val="0"/>
          <w:sz w:val="24"/>
          <w:lang w:val="en-GB"/>
        </w:rPr>
      </w:pPr>
    </w:p>
    <w:p>
      <w:pPr>
        <w:rPr>
          <w:rFonts w:ascii="Tahoma" w:hAnsi="Tahoma"/>
          <w:kern w:val="0"/>
          <w:sz w:val="24"/>
          <w:lang w:val="en-GB"/>
        </w:rPr>
      </w:pPr>
    </w:p>
    <w:p>
      <w:pPr>
        <w:rPr>
          <w:rFonts w:ascii="Tahoma" w:hAnsi="Tahoma"/>
          <w:kern w:val="0"/>
          <w:sz w:val="24"/>
          <w:lang w:val="en-GB"/>
        </w:rPr>
      </w:pPr>
    </w:p>
    <w:p>
      <w:pPr>
        <w:rPr>
          <w:rFonts w:ascii="Tahoma" w:hAnsi="Tahoma"/>
          <w:kern w:val="0"/>
          <w:sz w:val="24"/>
          <w:lang w:val="en-GB"/>
        </w:rPr>
      </w:pPr>
    </w:p>
    <w:p>
      <w:pPr>
        <w:rPr>
          <w:rFonts w:ascii="Tahoma" w:hAnsi="Tahoma"/>
          <w:kern w:val="0"/>
          <w:sz w:val="24"/>
          <w:lang w:val="en-GB"/>
        </w:rPr>
      </w:pPr>
    </w:p>
    <w:p>
      <w:pPr>
        <w:rPr>
          <w:rFonts w:ascii="Tahoma" w:hAnsi="Tahoma"/>
          <w:kern w:val="0"/>
          <w:sz w:val="24"/>
          <w:lang w:val="en-GB"/>
        </w:rPr>
      </w:pPr>
    </w:p>
    <w:p>
      <w:pPr>
        <w:rPr>
          <w:rFonts w:ascii="Tahoma" w:hAnsi="Tahoma"/>
          <w:kern w:val="0"/>
          <w:sz w:val="24"/>
          <w:lang w:val="en-GB"/>
        </w:rPr>
      </w:pPr>
    </w:p>
    <w:p>
      <w:pPr>
        <w:rPr>
          <w:rFonts w:ascii="Tahoma" w:hAnsi="Tahoma"/>
          <w:kern w:val="0"/>
          <w:sz w:val="24"/>
          <w:lang w:val="en-GB"/>
        </w:rPr>
      </w:pPr>
    </w:p>
    <w:p>
      <w:pPr>
        <w:rPr>
          <w:rFonts w:ascii="Tahoma" w:hAnsi="Tahoma"/>
          <w:kern w:val="0"/>
          <w:sz w:val="24"/>
          <w:lang w:val="en-GB"/>
        </w:rPr>
      </w:pPr>
    </w:p>
    <w:p>
      <w:pPr>
        <w:rPr>
          <w:rFonts w:ascii="Tahoma" w:hAnsi="Tahoma"/>
          <w:kern w:val="0"/>
          <w:sz w:val="24"/>
          <w:lang w:val="en-GB"/>
        </w:rPr>
      </w:pPr>
    </w:p>
    <w:p>
      <w:pPr>
        <w:pStyle w:val="2"/>
        <w:rPr>
          <w:rFonts w:ascii="Tahoma" w:hAnsi="Tahoma"/>
          <w:kern w:val="0"/>
          <w:sz w:val="24"/>
          <w:lang w:val="en-GB"/>
        </w:rPr>
      </w:pPr>
    </w:p>
    <w:p>
      <w:pPr>
        <w:rPr>
          <w:rFonts w:ascii="Tahoma" w:hAnsi="Tahoma"/>
          <w:kern w:val="0"/>
          <w:sz w:val="24"/>
          <w:lang w:val="en-GB"/>
        </w:rPr>
      </w:pPr>
    </w:p>
    <w:p>
      <w:pPr>
        <w:pStyle w:val="2"/>
        <w:rPr>
          <w:rFonts w:ascii="Tahoma" w:hAnsi="Tahoma"/>
          <w:kern w:val="0"/>
          <w:sz w:val="24"/>
          <w:lang w:val="en-GB"/>
        </w:rPr>
      </w:pPr>
    </w:p>
    <w:p>
      <w:pPr>
        <w:rPr>
          <w:rFonts w:ascii="Tahoma" w:hAnsi="Tahoma"/>
          <w:kern w:val="0"/>
          <w:sz w:val="24"/>
          <w:lang w:val="en-GB"/>
        </w:rPr>
      </w:pPr>
    </w:p>
    <w:p>
      <w:pPr>
        <w:pStyle w:val="2"/>
        <w:rPr>
          <w:lang w:val="en-GB"/>
        </w:rPr>
      </w:pPr>
    </w:p>
    <w:p>
      <w:pPr>
        <w:rPr>
          <w:rFonts w:ascii="Tahoma" w:hAnsi="Tahoma"/>
          <w:kern w:val="0"/>
          <w:sz w:val="24"/>
          <w:lang w:val="en-GB"/>
        </w:rPr>
      </w:pPr>
    </w:p>
    <w:p>
      <w:pPr>
        <w:pStyle w:val="2"/>
        <w:rPr>
          <w:rFonts w:ascii="Tahoma" w:hAnsi="Tahoma"/>
          <w:kern w:val="0"/>
          <w:sz w:val="24"/>
          <w:lang w:val="en-GB"/>
        </w:rPr>
      </w:pPr>
    </w:p>
    <w:p>
      <w:pPr>
        <w:rPr>
          <w:rFonts w:ascii="Tahoma" w:hAnsi="Tahoma"/>
          <w:kern w:val="0"/>
          <w:sz w:val="24"/>
          <w:lang w:val="en-GB"/>
        </w:rPr>
      </w:pPr>
    </w:p>
    <w:p>
      <w:pPr>
        <w:pStyle w:val="2"/>
        <w:rPr>
          <w:rFonts w:ascii="Tahoma" w:hAnsi="Tahoma"/>
          <w:kern w:val="0"/>
          <w:sz w:val="24"/>
          <w:lang w:val="en-GB"/>
        </w:rPr>
      </w:pPr>
    </w:p>
    <w:p>
      <w:pPr>
        <w:rPr>
          <w:rFonts w:ascii="Tahoma" w:hAnsi="Tahoma"/>
          <w:kern w:val="0"/>
          <w:sz w:val="24"/>
          <w:lang w:val="en-GB"/>
        </w:rPr>
      </w:pPr>
    </w:p>
    <w:p>
      <w:pPr>
        <w:pStyle w:val="2"/>
        <w:rPr>
          <w:rFonts w:ascii="Tahoma" w:hAnsi="Tahoma"/>
          <w:kern w:val="0"/>
          <w:sz w:val="24"/>
          <w:lang w:val="en-GB"/>
        </w:rPr>
      </w:pPr>
    </w:p>
    <w:p>
      <w:pPr>
        <w:rPr>
          <w:rFonts w:ascii="Tahoma" w:hAnsi="Tahoma"/>
          <w:kern w:val="0"/>
          <w:sz w:val="24"/>
          <w:lang w:val="en-GB"/>
        </w:rPr>
      </w:pPr>
    </w:p>
    <w:p>
      <w:pPr>
        <w:pStyle w:val="2"/>
        <w:rPr>
          <w:rFonts w:ascii="Tahoma" w:hAnsi="Tahoma"/>
          <w:kern w:val="0"/>
          <w:sz w:val="24"/>
          <w:lang w:val="en-GB"/>
        </w:rPr>
      </w:pPr>
    </w:p>
    <w:p>
      <w:pPr>
        <w:rPr>
          <w:rFonts w:ascii="Tahoma" w:hAnsi="Tahoma"/>
          <w:kern w:val="0"/>
          <w:sz w:val="24"/>
          <w:lang w:val="en-GB"/>
        </w:rPr>
      </w:pPr>
    </w:p>
    <w:p>
      <w:pPr>
        <w:pStyle w:val="2"/>
        <w:rPr>
          <w:lang w:val="en-GB"/>
        </w:rPr>
      </w:pPr>
    </w:p>
    <w:p>
      <w:pPr>
        <w:pStyle w:val="24"/>
      </w:pPr>
      <w:bookmarkStart w:id="88" w:name="_Toc483236752"/>
      <w:bookmarkStart w:id="89" w:name="_Toc12434_WPSOffice_Level1"/>
      <w:bookmarkStart w:id="90" w:name="_Toc4163"/>
      <w:r>
        <w:rPr>
          <w:rFonts w:hint="eastAsia"/>
        </w:rPr>
        <w:t>第六章  合同主要条款</w:t>
      </w:r>
      <w:bookmarkEnd w:id="88"/>
      <w:bookmarkEnd w:id="89"/>
      <w:bookmarkEnd w:id="90"/>
    </w:p>
    <w:p>
      <w:pPr>
        <w:snapToGrid w:val="0"/>
        <w:spacing w:line="360" w:lineRule="auto"/>
        <w:jc w:val="center"/>
        <w:rPr>
          <w:rFonts w:ascii="宋体" w:hAnsi="宋体"/>
          <w:b/>
          <w:bCs/>
          <w:kern w:val="0"/>
          <w:sz w:val="32"/>
          <w:szCs w:val="32"/>
        </w:rPr>
      </w:pPr>
      <w:bookmarkStart w:id="91" w:name="_Toc26226_WPSOffice_Level1"/>
      <w:r>
        <w:rPr>
          <w:rFonts w:hint="eastAsia" w:ascii="宋体" w:hAnsi="宋体"/>
          <w:b/>
          <w:bCs/>
          <w:kern w:val="0"/>
          <w:sz w:val="32"/>
          <w:szCs w:val="32"/>
        </w:rPr>
        <w:t>采购合同（参考格式）</w:t>
      </w:r>
      <w:bookmarkEnd w:id="91"/>
    </w:p>
    <w:p>
      <w:pPr>
        <w:pStyle w:val="15"/>
        <w:jc w:val="center"/>
        <w:rPr>
          <w:rFonts w:hAnsi="宋体"/>
          <w:b/>
          <w:sz w:val="21"/>
        </w:rPr>
      </w:pPr>
      <w:bookmarkStart w:id="92" w:name="_Toc27521"/>
      <w:bookmarkStart w:id="93" w:name="_Toc24197"/>
      <w:r>
        <w:rPr>
          <w:rFonts w:hint="eastAsia"/>
          <w:sz w:val="21"/>
        </w:rPr>
        <w:t>（仅供参考，具体以实际签订内容为准，但不得偏离实质性内容）</w:t>
      </w:r>
      <w:bookmarkEnd w:id="92"/>
      <w:bookmarkEnd w:id="93"/>
    </w:p>
    <w:p>
      <w:pPr>
        <w:snapToGrid w:val="0"/>
        <w:spacing w:line="400" w:lineRule="exact"/>
        <w:rPr>
          <w:rFonts w:ascii="宋体" w:hAnsi="宋体"/>
          <w:kern w:val="0"/>
          <w:szCs w:val="21"/>
          <w:u w:val="single"/>
        </w:rPr>
      </w:pPr>
      <w:r>
        <w:rPr>
          <w:rFonts w:hint="eastAsia" w:ascii="宋体" w:hAnsi="宋体"/>
          <w:kern w:val="0"/>
          <w:szCs w:val="21"/>
        </w:rPr>
        <w:t>采 购 人（甲方）                 采 购 计 划 号</w:t>
      </w:r>
    </w:p>
    <w:p>
      <w:pPr>
        <w:snapToGrid w:val="0"/>
        <w:spacing w:line="400" w:lineRule="exact"/>
        <w:rPr>
          <w:rFonts w:ascii="宋体" w:hAnsi="宋体"/>
          <w:kern w:val="0"/>
          <w:szCs w:val="21"/>
          <w:u w:val="single"/>
        </w:rPr>
      </w:pPr>
      <w:r>
        <w:rPr>
          <w:rFonts w:hint="eastAsia" w:ascii="宋体" w:hAnsi="宋体"/>
          <w:kern w:val="0"/>
          <w:szCs w:val="21"/>
        </w:rPr>
        <w:t xml:space="preserve">供 应 商（乙方）                 项  目  编  号 </w:t>
      </w:r>
    </w:p>
    <w:p>
      <w:pPr>
        <w:snapToGrid w:val="0"/>
        <w:spacing w:line="400" w:lineRule="exact"/>
        <w:rPr>
          <w:rFonts w:ascii="宋体" w:hAnsi="宋体"/>
          <w:kern w:val="0"/>
          <w:szCs w:val="21"/>
          <w:u w:val="single"/>
        </w:rPr>
      </w:pPr>
      <w:r>
        <w:rPr>
          <w:rFonts w:hint="eastAsia" w:ascii="宋体" w:hAnsi="宋体"/>
          <w:kern w:val="0"/>
          <w:szCs w:val="21"/>
        </w:rPr>
        <w:t>签  订  地  点                   签  订  时  间</w:t>
      </w:r>
    </w:p>
    <w:p>
      <w:pPr>
        <w:snapToGrid w:val="0"/>
        <w:spacing w:line="400" w:lineRule="exact"/>
        <w:ind w:firstLine="420" w:firstLineChars="200"/>
        <w:rPr>
          <w:rFonts w:ascii="宋体" w:hAnsi="宋体"/>
          <w:kern w:val="0"/>
          <w:szCs w:val="21"/>
        </w:rPr>
      </w:pPr>
    </w:p>
    <w:p>
      <w:pPr>
        <w:snapToGrid w:val="0"/>
        <w:spacing w:line="400" w:lineRule="exact"/>
        <w:ind w:firstLine="420" w:firstLineChars="200"/>
        <w:rPr>
          <w:rFonts w:ascii="宋体" w:hAnsi="宋体"/>
          <w:kern w:val="0"/>
          <w:szCs w:val="21"/>
        </w:rPr>
      </w:pPr>
      <w:r>
        <w:rPr>
          <w:rFonts w:hint="eastAsia" w:ascii="宋体" w:hAnsi="宋体"/>
          <w:kern w:val="0"/>
          <w:szCs w:val="21"/>
        </w:rPr>
        <w:t>根据《中华人民共和国政府采购法》、《中华人民共和国合同法》等法律、法规规定，按照招投标文件规定条款和成交供应商承诺，甲乙双方签订本合同。</w:t>
      </w:r>
    </w:p>
    <w:p>
      <w:pPr>
        <w:snapToGrid w:val="0"/>
        <w:spacing w:line="400" w:lineRule="exact"/>
        <w:ind w:firstLine="422" w:firstLineChars="200"/>
        <w:rPr>
          <w:rFonts w:ascii="宋体" w:hAnsi="宋体"/>
          <w:b/>
          <w:kern w:val="0"/>
          <w:szCs w:val="21"/>
        </w:rPr>
      </w:pPr>
      <w:r>
        <w:rPr>
          <w:rFonts w:hint="eastAsia" w:ascii="宋体" w:hAnsi="宋体"/>
          <w:b/>
          <w:kern w:val="0"/>
          <w:szCs w:val="21"/>
        </w:rPr>
        <w:t>第一条　</w:t>
      </w:r>
      <w:r>
        <w:rPr>
          <w:rFonts w:hint="eastAsia" w:ascii="宋体" w:hAnsi="宋体"/>
          <w:kern w:val="0"/>
          <w:szCs w:val="21"/>
        </w:rPr>
        <w:t>合同标的</w:t>
      </w:r>
    </w:p>
    <w:p>
      <w:pPr>
        <w:snapToGrid w:val="0"/>
        <w:spacing w:line="400" w:lineRule="exact"/>
        <w:ind w:firstLine="420" w:firstLineChars="200"/>
        <w:rPr>
          <w:rFonts w:ascii="宋体" w:hAnsi="宋体"/>
          <w:kern w:val="0"/>
          <w:szCs w:val="21"/>
        </w:rPr>
      </w:pPr>
      <w:bookmarkStart w:id="94" w:name="_Toc15622_WPSOffice_Level1"/>
      <w:r>
        <w:rPr>
          <w:rFonts w:hint="eastAsia" w:ascii="宋体" w:hAnsi="宋体"/>
          <w:kern w:val="0"/>
          <w:szCs w:val="21"/>
        </w:rPr>
        <w:t>1、服务内容一览表</w:t>
      </w:r>
      <w:bookmarkEnd w:id="94"/>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2024"/>
        <w:gridCol w:w="2748"/>
        <w:gridCol w:w="496"/>
        <w:gridCol w:w="512"/>
        <w:gridCol w:w="1420"/>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496" w:type="dxa"/>
            <w:vAlign w:val="center"/>
          </w:tcPr>
          <w:p>
            <w:pPr>
              <w:snapToGrid w:val="0"/>
              <w:spacing w:line="400" w:lineRule="exact"/>
              <w:jc w:val="center"/>
              <w:rPr>
                <w:rFonts w:ascii="宋体" w:hAnsi="宋体"/>
                <w:kern w:val="0"/>
                <w:szCs w:val="21"/>
              </w:rPr>
            </w:pPr>
            <w:r>
              <w:rPr>
                <w:rFonts w:hint="eastAsia" w:ascii="宋体" w:hAnsi="宋体"/>
                <w:kern w:val="0"/>
                <w:szCs w:val="21"/>
              </w:rPr>
              <w:t>序号</w:t>
            </w:r>
          </w:p>
        </w:tc>
        <w:tc>
          <w:tcPr>
            <w:tcW w:w="2024" w:type="dxa"/>
            <w:vAlign w:val="center"/>
          </w:tcPr>
          <w:p>
            <w:pPr>
              <w:snapToGrid w:val="0"/>
              <w:spacing w:line="400" w:lineRule="exact"/>
              <w:jc w:val="center"/>
              <w:rPr>
                <w:rFonts w:ascii="宋体" w:hAnsi="宋体"/>
                <w:kern w:val="0"/>
                <w:szCs w:val="21"/>
              </w:rPr>
            </w:pPr>
            <w:r>
              <w:rPr>
                <w:rFonts w:hint="eastAsia" w:ascii="宋体" w:hAnsi="宋体"/>
                <w:kern w:val="0"/>
                <w:szCs w:val="21"/>
              </w:rPr>
              <w:t>服务项目名称</w:t>
            </w:r>
          </w:p>
        </w:tc>
        <w:tc>
          <w:tcPr>
            <w:tcW w:w="2748" w:type="dxa"/>
            <w:vAlign w:val="center"/>
          </w:tcPr>
          <w:p>
            <w:pPr>
              <w:snapToGrid w:val="0"/>
              <w:spacing w:line="400" w:lineRule="exact"/>
              <w:jc w:val="center"/>
              <w:rPr>
                <w:rFonts w:ascii="宋体" w:hAnsi="宋体"/>
                <w:kern w:val="0"/>
                <w:szCs w:val="21"/>
              </w:rPr>
            </w:pPr>
            <w:r>
              <w:rPr>
                <w:rFonts w:hint="eastAsia" w:ascii="宋体" w:hAnsi="宋体"/>
                <w:kern w:val="0"/>
                <w:szCs w:val="21"/>
              </w:rPr>
              <w:t>服务内容</w:t>
            </w:r>
          </w:p>
        </w:tc>
        <w:tc>
          <w:tcPr>
            <w:tcW w:w="496" w:type="dxa"/>
            <w:vAlign w:val="center"/>
          </w:tcPr>
          <w:p>
            <w:pPr>
              <w:snapToGrid w:val="0"/>
              <w:spacing w:line="400" w:lineRule="exact"/>
              <w:jc w:val="center"/>
              <w:rPr>
                <w:rFonts w:ascii="宋体" w:hAnsi="宋体"/>
                <w:kern w:val="0"/>
                <w:szCs w:val="21"/>
              </w:rPr>
            </w:pPr>
            <w:r>
              <w:rPr>
                <w:rFonts w:hint="eastAsia" w:ascii="宋体" w:hAnsi="宋体"/>
                <w:kern w:val="0"/>
                <w:szCs w:val="21"/>
              </w:rPr>
              <w:t>数  量</w:t>
            </w:r>
          </w:p>
        </w:tc>
        <w:tc>
          <w:tcPr>
            <w:tcW w:w="512" w:type="dxa"/>
            <w:vAlign w:val="center"/>
          </w:tcPr>
          <w:p>
            <w:pPr>
              <w:snapToGrid w:val="0"/>
              <w:spacing w:line="400" w:lineRule="exact"/>
              <w:jc w:val="center"/>
              <w:rPr>
                <w:rFonts w:ascii="宋体" w:hAnsi="宋体"/>
                <w:kern w:val="0"/>
                <w:szCs w:val="21"/>
              </w:rPr>
            </w:pPr>
            <w:r>
              <w:rPr>
                <w:rFonts w:hint="eastAsia" w:ascii="宋体" w:hAnsi="宋体"/>
                <w:kern w:val="0"/>
                <w:szCs w:val="21"/>
              </w:rPr>
              <w:t>单位</w:t>
            </w:r>
          </w:p>
        </w:tc>
        <w:tc>
          <w:tcPr>
            <w:tcW w:w="1420" w:type="dxa"/>
            <w:vAlign w:val="center"/>
          </w:tcPr>
          <w:p>
            <w:pPr>
              <w:snapToGrid w:val="0"/>
              <w:spacing w:line="400" w:lineRule="exact"/>
              <w:jc w:val="center"/>
              <w:rPr>
                <w:rFonts w:ascii="宋体" w:hAnsi="宋体"/>
                <w:kern w:val="0"/>
                <w:szCs w:val="21"/>
              </w:rPr>
            </w:pPr>
            <w:r>
              <w:rPr>
                <w:rFonts w:hint="eastAsia" w:ascii="宋体" w:hAnsi="宋体"/>
                <w:kern w:val="0"/>
                <w:szCs w:val="21"/>
              </w:rPr>
              <w:t>单  价</w:t>
            </w:r>
          </w:p>
        </w:tc>
        <w:tc>
          <w:tcPr>
            <w:tcW w:w="1199" w:type="dxa"/>
            <w:vAlign w:val="center"/>
          </w:tcPr>
          <w:p>
            <w:pPr>
              <w:snapToGrid w:val="0"/>
              <w:spacing w:line="400" w:lineRule="exact"/>
              <w:jc w:val="center"/>
              <w:rPr>
                <w:rFonts w:ascii="宋体" w:hAnsi="宋体"/>
                <w:kern w:val="0"/>
                <w:szCs w:val="21"/>
              </w:rPr>
            </w:pPr>
            <w:r>
              <w:rPr>
                <w:rFonts w:hint="eastAsia" w:ascii="宋体" w:hAnsi="宋体"/>
                <w:kern w:val="0"/>
                <w:szCs w:val="21"/>
              </w:rPr>
              <w:t>金  额</w:t>
            </w:r>
          </w:p>
          <w:p>
            <w:pPr>
              <w:snapToGrid w:val="0"/>
              <w:spacing w:line="400" w:lineRule="exact"/>
              <w:jc w:val="center"/>
              <w:rPr>
                <w:rFonts w:ascii="宋体" w:hAnsi="宋体"/>
                <w:kern w:val="0"/>
                <w:szCs w:val="21"/>
              </w:rPr>
            </w:pPr>
            <w:r>
              <w:rPr>
                <w:rFonts w:hint="eastAsia" w:ascii="宋体" w:hAnsi="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96" w:type="dxa"/>
            <w:vAlign w:val="center"/>
          </w:tcPr>
          <w:p>
            <w:pPr>
              <w:snapToGrid w:val="0"/>
              <w:spacing w:line="400" w:lineRule="exact"/>
              <w:jc w:val="center"/>
              <w:rPr>
                <w:rFonts w:ascii="宋体" w:hAnsi="宋体"/>
                <w:kern w:val="0"/>
                <w:szCs w:val="21"/>
              </w:rPr>
            </w:pPr>
            <w:r>
              <w:rPr>
                <w:rFonts w:hint="eastAsia" w:ascii="宋体" w:hAnsi="宋体"/>
                <w:kern w:val="0"/>
                <w:szCs w:val="21"/>
              </w:rPr>
              <w:t>1</w:t>
            </w:r>
          </w:p>
        </w:tc>
        <w:tc>
          <w:tcPr>
            <w:tcW w:w="2024" w:type="dxa"/>
            <w:vAlign w:val="center"/>
          </w:tcPr>
          <w:p>
            <w:pPr>
              <w:snapToGrid w:val="0"/>
              <w:spacing w:line="400" w:lineRule="exact"/>
              <w:jc w:val="center"/>
              <w:rPr>
                <w:rFonts w:ascii="宋体" w:hAnsi="宋体"/>
                <w:kern w:val="0"/>
                <w:szCs w:val="21"/>
              </w:rPr>
            </w:pPr>
          </w:p>
        </w:tc>
        <w:tc>
          <w:tcPr>
            <w:tcW w:w="2748" w:type="dxa"/>
            <w:vAlign w:val="center"/>
          </w:tcPr>
          <w:p>
            <w:pPr>
              <w:snapToGrid w:val="0"/>
              <w:spacing w:line="400" w:lineRule="exact"/>
              <w:jc w:val="center"/>
              <w:rPr>
                <w:rFonts w:ascii="宋体" w:hAnsi="宋体"/>
                <w:kern w:val="0"/>
                <w:szCs w:val="21"/>
              </w:rPr>
            </w:pPr>
          </w:p>
        </w:tc>
        <w:tc>
          <w:tcPr>
            <w:tcW w:w="496" w:type="dxa"/>
          </w:tcPr>
          <w:p>
            <w:pPr>
              <w:snapToGrid w:val="0"/>
              <w:spacing w:line="400" w:lineRule="exact"/>
              <w:jc w:val="center"/>
              <w:rPr>
                <w:rFonts w:ascii="宋体" w:hAnsi="宋体"/>
                <w:kern w:val="0"/>
                <w:szCs w:val="21"/>
              </w:rPr>
            </w:pPr>
          </w:p>
        </w:tc>
        <w:tc>
          <w:tcPr>
            <w:tcW w:w="512" w:type="dxa"/>
          </w:tcPr>
          <w:p>
            <w:pPr>
              <w:snapToGrid w:val="0"/>
              <w:spacing w:line="400" w:lineRule="exact"/>
              <w:jc w:val="center"/>
              <w:rPr>
                <w:rFonts w:ascii="宋体" w:hAnsi="宋体"/>
                <w:kern w:val="0"/>
                <w:szCs w:val="21"/>
              </w:rPr>
            </w:pPr>
          </w:p>
        </w:tc>
        <w:tc>
          <w:tcPr>
            <w:tcW w:w="1420" w:type="dxa"/>
            <w:vAlign w:val="center"/>
          </w:tcPr>
          <w:p>
            <w:pPr>
              <w:snapToGrid w:val="0"/>
              <w:spacing w:line="400" w:lineRule="exact"/>
              <w:jc w:val="center"/>
              <w:rPr>
                <w:rFonts w:ascii="宋体" w:hAnsi="宋体"/>
                <w:kern w:val="0"/>
                <w:szCs w:val="21"/>
              </w:rPr>
            </w:pPr>
          </w:p>
        </w:tc>
        <w:tc>
          <w:tcPr>
            <w:tcW w:w="1199" w:type="dxa"/>
            <w:vAlign w:val="center"/>
          </w:tcPr>
          <w:p>
            <w:pPr>
              <w:snapToGrid w:val="0"/>
              <w:spacing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895" w:type="dxa"/>
            <w:gridSpan w:val="7"/>
            <w:vAlign w:val="center"/>
          </w:tcPr>
          <w:p>
            <w:pPr>
              <w:snapToGrid w:val="0"/>
              <w:spacing w:line="400" w:lineRule="exact"/>
              <w:rPr>
                <w:rFonts w:ascii="宋体" w:hAnsi="宋体"/>
                <w:kern w:val="0"/>
                <w:szCs w:val="21"/>
              </w:rPr>
            </w:pPr>
            <w:r>
              <w:rPr>
                <w:rFonts w:hint="eastAsia" w:ascii="宋体" w:hAnsi="宋体"/>
                <w:kern w:val="0"/>
                <w:szCs w:val="21"/>
              </w:rPr>
              <w:t xml:space="preserve">人民币合计金额（大写）                          （小写）                 </w:t>
            </w:r>
          </w:p>
        </w:tc>
      </w:tr>
    </w:tbl>
    <w:p>
      <w:pPr>
        <w:snapToGrid w:val="0"/>
        <w:spacing w:line="400" w:lineRule="exact"/>
        <w:ind w:firstLine="422" w:firstLineChars="200"/>
        <w:rPr>
          <w:rFonts w:ascii="宋体" w:hAnsi="宋体"/>
          <w:kern w:val="0"/>
          <w:szCs w:val="21"/>
        </w:rPr>
      </w:pPr>
      <w:r>
        <w:rPr>
          <w:rFonts w:hint="eastAsia" w:ascii="宋体" w:hAnsi="宋体"/>
          <w:b/>
          <w:kern w:val="0"/>
          <w:szCs w:val="21"/>
        </w:rPr>
        <w:t>第二条</w:t>
      </w:r>
      <w:r>
        <w:rPr>
          <w:rFonts w:hint="eastAsia" w:ascii="宋体" w:hAnsi="宋体"/>
          <w:kern w:val="0"/>
          <w:szCs w:val="21"/>
        </w:rPr>
        <w:t xml:space="preserve"> 服务区域基本情况如下：</w:t>
      </w:r>
    </w:p>
    <w:p>
      <w:pPr>
        <w:snapToGrid w:val="0"/>
        <w:spacing w:line="400" w:lineRule="exact"/>
        <w:ind w:firstLine="420" w:firstLineChars="200"/>
        <w:rPr>
          <w:rFonts w:ascii="宋体" w:hAnsi="宋体"/>
          <w:bCs/>
          <w:kern w:val="0"/>
          <w:szCs w:val="21"/>
        </w:rPr>
      </w:pPr>
      <w:r>
        <w:rPr>
          <w:rFonts w:hint="eastAsia" w:ascii="宋体" w:hAnsi="宋体"/>
          <w:bCs/>
          <w:kern w:val="0"/>
          <w:szCs w:val="21"/>
        </w:rPr>
        <w:t>本次贵港市本级城市地价动态监测编制服务项目的范围为贵港市主城区的重要区段或建成区域；季度监测地价基准日为每个季度的最后一日，年度监测地价基准日为2021年12月31日，各季度监测报告和年度监测报告完成时限按自治区自然资源厅下发文件提出的要求完成。</w:t>
      </w:r>
    </w:p>
    <w:p>
      <w:pPr>
        <w:snapToGrid w:val="0"/>
        <w:spacing w:line="400" w:lineRule="exact"/>
        <w:ind w:firstLine="422" w:firstLineChars="200"/>
        <w:rPr>
          <w:rFonts w:ascii="宋体" w:hAnsi="宋体"/>
          <w:kern w:val="0"/>
          <w:szCs w:val="21"/>
        </w:rPr>
      </w:pPr>
      <w:r>
        <w:rPr>
          <w:rFonts w:hint="eastAsia" w:ascii="宋体" w:hAnsi="宋体"/>
          <w:b/>
          <w:kern w:val="0"/>
          <w:szCs w:val="21"/>
        </w:rPr>
        <w:t>第三条</w:t>
      </w:r>
      <w:r>
        <w:rPr>
          <w:rFonts w:hint="eastAsia" w:ascii="宋体" w:hAnsi="宋体"/>
          <w:kern w:val="0"/>
          <w:szCs w:val="21"/>
        </w:rPr>
        <w:t xml:space="preserve"> 乙方提供的服务包括以下内容： </w:t>
      </w:r>
    </w:p>
    <w:p>
      <w:pPr>
        <w:spacing w:line="520" w:lineRule="exact"/>
        <w:ind w:firstLine="420" w:firstLineChars="200"/>
        <w:rPr>
          <w:rFonts w:ascii="宋体" w:hAnsi="宋体" w:cs="宋体"/>
          <w:szCs w:val="21"/>
        </w:rPr>
      </w:pPr>
      <w:r>
        <w:rPr>
          <w:rFonts w:hint="eastAsia" w:ascii="宋体" w:hAnsi="宋体" w:cs="宋体"/>
          <w:szCs w:val="21"/>
        </w:rPr>
        <w:t>（一）项目内容</w:t>
      </w:r>
    </w:p>
    <w:p>
      <w:pPr>
        <w:spacing w:line="520" w:lineRule="exact"/>
        <w:ind w:firstLine="420" w:firstLineChars="200"/>
        <w:rPr>
          <w:rFonts w:ascii="宋体" w:hAnsi="宋体" w:cs="宋体"/>
          <w:szCs w:val="21"/>
        </w:rPr>
      </w:pPr>
      <w:r>
        <w:rPr>
          <w:rFonts w:hint="eastAsia" w:ascii="宋体" w:hAnsi="宋体" w:cs="宋体"/>
          <w:szCs w:val="21"/>
        </w:rPr>
        <w:t>城市地价动态监测是指在一定时期内针对一定地区的城市土地市场，通过确定监测范围、划分地价区段、设立标准宗地，并定期收集市场交易地价变化信息和计算标准宗地的地价，进而测算地价监测指标、掌握地价变化规律的过程，能够及时对地价动态变化进行分析，把握地价动态和走势，为政府经济宏观决策和合理调控土地供应提供科学依据。开展城市地价动态监测工作，有利于掌握土地价格走势情况，增强市场监管和调控能力，提高土地市场信息社会化服务水平，合理地推测地价未来的发展趋势，为城市地价发展趋势进行预测预警。</w:t>
      </w:r>
    </w:p>
    <w:p>
      <w:pPr>
        <w:spacing w:line="520" w:lineRule="exact"/>
        <w:ind w:firstLine="420" w:firstLineChars="200"/>
        <w:rPr>
          <w:rFonts w:ascii="宋体" w:hAnsi="宋体" w:cs="宋体"/>
          <w:szCs w:val="21"/>
        </w:rPr>
      </w:pPr>
      <w:r>
        <w:rPr>
          <w:rFonts w:hint="eastAsia" w:ascii="宋体" w:hAnsi="宋体" w:cs="宋体"/>
          <w:szCs w:val="21"/>
        </w:rPr>
        <w:t xml:space="preserve">  本次贵港市本级城市地价动态监测编制服务项目的工作内容是确定地价动态监测的范围，划定地价监测区段，确定地价监测点，建立地价动态监测数据库，编制2021年地价动态监测报告（3个季度报告和1个年度报告）。</w:t>
      </w:r>
    </w:p>
    <w:p>
      <w:pPr>
        <w:spacing w:line="520" w:lineRule="exact"/>
        <w:ind w:firstLine="420" w:firstLineChars="200"/>
        <w:rPr>
          <w:rFonts w:ascii="宋体" w:hAnsi="宋体" w:cs="宋体"/>
          <w:szCs w:val="21"/>
        </w:rPr>
      </w:pPr>
      <w:r>
        <w:rPr>
          <w:rFonts w:hint="eastAsia" w:ascii="宋体" w:hAnsi="宋体" w:cs="宋体"/>
          <w:szCs w:val="21"/>
        </w:rPr>
        <w:t>（二）主要依据</w:t>
      </w:r>
    </w:p>
    <w:p>
      <w:pPr>
        <w:spacing w:line="520" w:lineRule="exact"/>
        <w:ind w:left="645"/>
        <w:rPr>
          <w:rFonts w:ascii="宋体" w:hAnsi="宋体" w:cs="宋体"/>
          <w:szCs w:val="21"/>
        </w:rPr>
      </w:pPr>
      <w:r>
        <w:rPr>
          <w:rFonts w:hint="eastAsia" w:ascii="宋体" w:hAnsi="宋体" w:cs="宋体"/>
          <w:szCs w:val="21"/>
        </w:rPr>
        <w:t>1、法律法规、政策文件</w:t>
      </w:r>
    </w:p>
    <w:p>
      <w:pPr>
        <w:spacing w:line="520" w:lineRule="exact"/>
        <w:ind w:firstLine="210" w:firstLineChars="100"/>
        <w:rPr>
          <w:rFonts w:ascii="宋体" w:hAnsi="宋体" w:cs="宋体"/>
          <w:szCs w:val="21"/>
        </w:rPr>
      </w:pPr>
      <w:r>
        <w:rPr>
          <w:rFonts w:hint="eastAsia" w:ascii="宋体" w:hAnsi="宋体" w:cs="宋体"/>
          <w:szCs w:val="21"/>
        </w:rPr>
        <w:t>（1）《中华人民共和国物权法》</w:t>
      </w:r>
    </w:p>
    <w:p>
      <w:pPr>
        <w:spacing w:line="520" w:lineRule="exact"/>
        <w:ind w:firstLine="210" w:firstLineChars="100"/>
        <w:rPr>
          <w:rFonts w:ascii="宋体" w:hAnsi="宋体" w:cs="宋体"/>
          <w:szCs w:val="21"/>
        </w:rPr>
      </w:pPr>
      <w:r>
        <w:rPr>
          <w:rFonts w:hint="eastAsia" w:ascii="宋体" w:hAnsi="宋体" w:cs="宋体"/>
          <w:szCs w:val="21"/>
        </w:rPr>
        <w:t>（2）《中华人民共和国土地管理法》</w:t>
      </w:r>
    </w:p>
    <w:p>
      <w:pPr>
        <w:spacing w:line="520" w:lineRule="exact"/>
        <w:ind w:firstLine="210" w:firstLineChars="100"/>
        <w:rPr>
          <w:rFonts w:ascii="宋体" w:hAnsi="宋体" w:cs="宋体"/>
          <w:szCs w:val="21"/>
        </w:rPr>
      </w:pPr>
      <w:r>
        <w:rPr>
          <w:rFonts w:hint="eastAsia" w:ascii="宋体" w:hAnsi="宋体" w:cs="宋体"/>
          <w:szCs w:val="21"/>
        </w:rPr>
        <w:t>（3）《中华人民共和国担保法》</w:t>
      </w:r>
    </w:p>
    <w:p>
      <w:pPr>
        <w:spacing w:line="520" w:lineRule="exact"/>
        <w:ind w:firstLine="210" w:firstLineChars="100"/>
        <w:rPr>
          <w:rFonts w:ascii="宋体" w:hAnsi="宋体" w:cs="宋体"/>
          <w:szCs w:val="21"/>
        </w:rPr>
      </w:pPr>
      <w:r>
        <w:rPr>
          <w:rFonts w:hint="eastAsia" w:ascii="宋体" w:hAnsi="宋体" w:cs="宋体"/>
          <w:szCs w:val="21"/>
        </w:rPr>
        <w:t>（4）《中华人民共和国资产评估法》</w:t>
      </w:r>
    </w:p>
    <w:p>
      <w:pPr>
        <w:spacing w:line="520" w:lineRule="exact"/>
        <w:ind w:firstLine="210" w:firstLineChars="100"/>
        <w:rPr>
          <w:rFonts w:ascii="宋体" w:hAnsi="宋体" w:cs="宋体"/>
          <w:szCs w:val="21"/>
        </w:rPr>
      </w:pPr>
      <w:r>
        <w:rPr>
          <w:rFonts w:hint="eastAsia" w:ascii="宋体" w:hAnsi="宋体" w:cs="宋体"/>
          <w:szCs w:val="21"/>
        </w:rPr>
        <w:t>（5）《关于进一步加强地价动态监测工作的通知》（国土资发﹝2008﹞51号）</w:t>
      </w:r>
    </w:p>
    <w:p>
      <w:pPr>
        <w:spacing w:line="520" w:lineRule="exact"/>
        <w:ind w:left="735" w:leftChars="100" w:hanging="525" w:hangingChars="250"/>
        <w:rPr>
          <w:rFonts w:ascii="宋体" w:hAnsi="宋体" w:cs="宋体"/>
          <w:szCs w:val="21"/>
        </w:rPr>
      </w:pPr>
      <w:r>
        <w:rPr>
          <w:rFonts w:hint="eastAsia" w:ascii="宋体" w:hAnsi="宋体" w:cs="宋体"/>
          <w:szCs w:val="21"/>
        </w:rPr>
        <w:t>（6）《中共中央关于全面深化改革若干重大问题的决定》（2013年11月12日中国共产党第十八届中央委员会第三次全体会议）</w:t>
      </w:r>
    </w:p>
    <w:p>
      <w:pPr>
        <w:spacing w:line="520" w:lineRule="exact"/>
        <w:ind w:left="735" w:leftChars="100" w:hanging="525" w:hangingChars="250"/>
        <w:rPr>
          <w:rFonts w:ascii="宋体" w:hAnsi="宋体" w:cs="宋体"/>
          <w:szCs w:val="21"/>
        </w:rPr>
      </w:pPr>
      <w:r>
        <w:rPr>
          <w:rFonts w:hint="eastAsia" w:ascii="宋体" w:hAnsi="宋体" w:cs="宋体"/>
          <w:szCs w:val="21"/>
        </w:rPr>
        <w:t>（7）《国土资源部办公厅关于加强地价体系建设和管理有关问题的通知》（国土资厅﹝2017﹞27号）</w:t>
      </w:r>
    </w:p>
    <w:p>
      <w:pPr>
        <w:spacing w:line="520" w:lineRule="exact"/>
        <w:ind w:left="525" w:leftChars="100" w:hanging="315" w:hangingChars="150"/>
        <w:rPr>
          <w:rFonts w:ascii="宋体" w:hAnsi="宋体" w:cs="宋体"/>
          <w:szCs w:val="21"/>
        </w:rPr>
      </w:pPr>
      <w:r>
        <w:rPr>
          <w:rFonts w:hint="eastAsia" w:ascii="宋体" w:hAnsi="宋体" w:cs="宋体"/>
          <w:szCs w:val="21"/>
        </w:rPr>
        <w:t>（8）《自然资源部办公厅关于部署开展2018年城乡地价调查与监测工作的通知》（自然资办发﹝2018﹞10号）</w:t>
      </w:r>
    </w:p>
    <w:p>
      <w:pPr>
        <w:spacing w:line="520" w:lineRule="exact"/>
        <w:ind w:firstLine="420" w:firstLineChars="200"/>
        <w:rPr>
          <w:rFonts w:ascii="宋体" w:hAnsi="宋体" w:cs="宋体"/>
          <w:szCs w:val="21"/>
        </w:rPr>
      </w:pPr>
      <w:r>
        <w:rPr>
          <w:rFonts w:hint="eastAsia" w:ascii="宋体" w:hAnsi="宋体" w:cs="宋体"/>
          <w:szCs w:val="21"/>
        </w:rPr>
        <w:t>2.技术标准</w:t>
      </w:r>
    </w:p>
    <w:p>
      <w:pPr>
        <w:spacing w:line="520" w:lineRule="exact"/>
        <w:ind w:firstLine="210" w:firstLineChars="100"/>
        <w:rPr>
          <w:rFonts w:ascii="宋体" w:hAnsi="宋体" w:cs="宋体"/>
          <w:szCs w:val="21"/>
        </w:rPr>
      </w:pPr>
      <w:r>
        <w:rPr>
          <w:rFonts w:hint="eastAsia" w:ascii="宋体" w:hAnsi="宋体" w:cs="宋体"/>
          <w:szCs w:val="21"/>
        </w:rPr>
        <w:t>（1）《城镇土地分等定级规程》（GB/T18507-2014）</w:t>
      </w:r>
    </w:p>
    <w:p>
      <w:pPr>
        <w:spacing w:line="520" w:lineRule="exact"/>
        <w:ind w:firstLine="210" w:firstLineChars="100"/>
        <w:rPr>
          <w:rFonts w:ascii="宋体" w:hAnsi="宋体" w:cs="宋体"/>
          <w:szCs w:val="21"/>
        </w:rPr>
      </w:pPr>
      <w:r>
        <w:rPr>
          <w:rFonts w:hint="eastAsia" w:ascii="宋体" w:hAnsi="宋体" w:cs="宋体"/>
          <w:szCs w:val="21"/>
        </w:rPr>
        <w:t>（2）《城镇土地估价规程》（GB/T18508-2014）</w:t>
      </w:r>
    </w:p>
    <w:p>
      <w:pPr>
        <w:spacing w:line="520" w:lineRule="exact"/>
        <w:ind w:firstLine="210" w:firstLineChars="100"/>
        <w:rPr>
          <w:rFonts w:ascii="宋体" w:hAnsi="宋体" w:cs="宋体"/>
          <w:szCs w:val="21"/>
        </w:rPr>
      </w:pPr>
      <w:r>
        <w:rPr>
          <w:rFonts w:hint="eastAsia" w:ascii="宋体" w:hAnsi="宋体" w:cs="宋体"/>
          <w:szCs w:val="21"/>
        </w:rPr>
        <w:t>（3）《农用地估价规程》（GB/T28406-2012）</w:t>
      </w:r>
    </w:p>
    <w:p>
      <w:pPr>
        <w:spacing w:line="520" w:lineRule="exact"/>
        <w:ind w:firstLine="210" w:firstLineChars="100"/>
        <w:rPr>
          <w:rFonts w:ascii="宋体" w:hAnsi="宋体" w:cs="宋体"/>
          <w:szCs w:val="21"/>
        </w:rPr>
      </w:pPr>
      <w:r>
        <w:rPr>
          <w:rFonts w:hint="eastAsia" w:ascii="宋体" w:hAnsi="宋体" w:cs="宋体"/>
          <w:szCs w:val="21"/>
        </w:rPr>
        <w:t xml:space="preserve"> （4）《城市地价动态监测技术规范》（TD/T 1009-2007）</w:t>
      </w:r>
    </w:p>
    <w:p>
      <w:pPr>
        <w:spacing w:line="520" w:lineRule="exact"/>
        <w:ind w:firstLine="210" w:firstLineChars="100"/>
        <w:rPr>
          <w:rFonts w:ascii="宋体" w:hAnsi="宋体" w:cs="宋体"/>
          <w:szCs w:val="21"/>
        </w:rPr>
      </w:pPr>
      <w:r>
        <w:rPr>
          <w:rFonts w:hint="eastAsia" w:ascii="宋体" w:hAnsi="宋体" w:cs="宋体"/>
          <w:szCs w:val="21"/>
        </w:rPr>
        <w:t>（三）成果内容</w:t>
      </w:r>
    </w:p>
    <w:p>
      <w:pPr>
        <w:spacing w:line="520" w:lineRule="exact"/>
        <w:ind w:firstLine="210" w:firstLineChars="100"/>
        <w:rPr>
          <w:rFonts w:ascii="宋体" w:hAnsi="宋体" w:cs="宋体"/>
          <w:szCs w:val="21"/>
        </w:rPr>
      </w:pPr>
      <w:r>
        <w:rPr>
          <w:rFonts w:hint="eastAsia" w:ascii="宋体" w:hAnsi="宋体" w:cs="宋体"/>
          <w:szCs w:val="21"/>
        </w:rPr>
        <w:t>主要包括文字成果、图件成果、表格成果、数据库成果和基础资料汇编成果，具体内容为：</w:t>
      </w:r>
    </w:p>
    <w:p>
      <w:pPr>
        <w:spacing w:line="520" w:lineRule="exact"/>
        <w:ind w:firstLine="210" w:firstLineChars="100"/>
        <w:rPr>
          <w:rFonts w:ascii="宋体" w:hAnsi="宋体" w:cs="宋体"/>
          <w:szCs w:val="21"/>
        </w:rPr>
      </w:pPr>
      <w:r>
        <w:rPr>
          <w:rFonts w:hint="eastAsia" w:ascii="宋体" w:hAnsi="宋体" w:cs="宋体"/>
          <w:szCs w:val="21"/>
        </w:rPr>
        <w:t>1.文字成果</w:t>
      </w:r>
    </w:p>
    <w:p>
      <w:pPr>
        <w:spacing w:line="520" w:lineRule="exact"/>
        <w:ind w:firstLine="210" w:firstLineChars="100"/>
        <w:rPr>
          <w:rFonts w:ascii="宋体" w:hAnsi="宋体" w:cs="宋体"/>
          <w:szCs w:val="21"/>
        </w:rPr>
      </w:pPr>
      <w:r>
        <w:rPr>
          <w:rFonts w:hint="eastAsia" w:ascii="宋体" w:hAnsi="宋体" w:cs="宋体"/>
          <w:szCs w:val="21"/>
        </w:rPr>
        <w:t>（1）贵港市本级2021年度城市地价动态监测范围及标准宗地布设方案；</w:t>
      </w:r>
    </w:p>
    <w:p>
      <w:pPr>
        <w:spacing w:line="520" w:lineRule="exact"/>
        <w:ind w:firstLine="210" w:firstLineChars="100"/>
        <w:rPr>
          <w:rFonts w:ascii="宋体" w:hAnsi="宋体" w:cs="宋体"/>
          <w:szCs w:val="21"/>
        </w:rPr>
      </w:pPr>
      <w:r>
        <w:rPr>
          <w:rFonts w:hint="eastAsia" w:ascii="宋体" w:hAnsi="宋体" w:cs="宋体"/>
          <w:szCs w:val="21"/>
        </w:rPr>
        <w:t>（2）贵港市本级2021年第一季度城市地价动态监测报告；</w:t>
      </w:r>
    </w:p>
    <w:p>
      <w:pPr>
        <w:spacing w:line="520" w:lineRule="exact"/>
        <w:ind w:firstLine="210" w:firstLineChars="100"/>
        <w:rPr>
          <w:rFonts w:ascii="宋体" w:hAnsi="宋体" w:cs="宋体"/>
          <w:szCs w:val="21"/>
        </w:rPr>
      </w:pPr>
      <w:r>
        <w:rPr>
          <w:rFonts w:hint="eastAsia" w:ascii="宋体" w:hAnsi="宋体" w:cs="宋体"/>
          <w:szCs w:val="21"/>
        </w:rPr>
        <w:t>（3）贵港市本级2021年第二季度城市地价动态监测报告；</w:t>
      </w:r>
    </w:p>
    <w:p>
      <w:pPr>
        <w:spacing w:line="520" w:lineRule="exact"/>
        <w:ind w:firstLine="210" w:firstLineChars="100"/>
        <w:rPr>
          <w:rFonts w:ascii="宋体" w:hAnsi="宋体" w:cs="宋体"/>
          <w:szCs w:val="21"/>
        </w:rPr>
      </w:pPr>
      <w:r>
        <w:rPr>
          <w:rFonts w:hint="eastAsia" w:ascii="宋体" w:hAnsi="宋体" w:cs="宋体"/>
          <w:szCs w:val="21"/>
        </w:rPr>
        <w:t>（4）贵港市本级2021年第三季度城市地价动态监测报告；</w:t>
      </w:r>
    </w:p>
    <w:p>
      <w:pPr>
        <w:spacing w:line="520" w:lineRule="exact"/>
        <w:ind w:firstLine="210" w:firstLineChars="100"/>
        <w:rPr>
          <w:rFonts w:ascii="宋体" w:hAnsi="宋体" w:cs="宋体"/>
          <w:szCs w:val="21"/>
        </w:rPr>
      </w:pPr>
      <w:r>
        <w:rPr>
          <w:rFonts w:hint="eastAsia" w:ascii="宋体" w:hAnsi="宋体" w:cs="宋体"/>
          <w:szCs w:val="21"/>
        </w:rPr>
        <w:t>（5）贵港市本级2021年度城市地价动态监测报告。</w:t>
      </w:r>
    </w:p>
    <w:p>
      <w:pPr>
        <w:spacing w:line="480" w:lineRule="exact"/>
        <w:ind w:firstLine="210" w:firstLineChars="100"/>
        <w:rPr>
          <w:rFonts w:ascii="宋体" w:hAnsi="宋体" w:cs="宋体"/>
          <w:szCs w:val="21"/>
        </w:rPr>
      </w:pPr>
      <w:r>
        <w:rPr>
          <w:rFonts w:hint="eastAsia" w:ascii="宋体" w:hAnsi="宋体" w:cs="宋体"/>
          <w:szCs w:val="21"/>
        </w:rPr>
        <w:t>2.图件成果</w:t>
      </w:r>
    </w:p>
    <w:p>
      <w:pPr>
        <w:spacing w:line="480" w:lineRule="exact"/>
        <w:ind w:firstLine="210" w:firstLineChars="100"/>
        <w:rPr>
          <w:rFonts w:ascii="宋体" w:hAnsi="宋体" w:cs="宋体"/>
          <w:szCs w:val="21"/>
        </w:rPr>
      </w:pPr>
      <w:r>
        <w:rPr>
          <w:rFonts w:hint="eastAsia" w:ascii="宋体" w:hAnsi="宋体" w:cs="宋体"/>
          <w:szCs w:val="21"/>
        </w:rPr>
        <w:t xml:space="preserve">（1）贵港市本级城市地价动态监测区段分布图； </w:t>
      </w:r>
    </w:p>
    <w:p>
      <w:pPr>
        <w:spacing w:line="480" w:lineRule="exact"/>
        <w:ind w:firstLine="210" w:firstLineChars="100"/>
        <w:rPr>
          <w:rFonts w:ascii="宋体" w:hAnsi="宋体" w:cs="宋体"/>
          <w:szCs w:val="21"/>
        </w:rPr>
      </w:pPr>
      <w:r>
        <w:rPr>
          <w:rFonts w:hint="eastAsia" w:ascii="宋体" w:hAnsi="宋体" w:cs="宋体"/>
          <w:szCs w:val="21"/>
        </w:rPr>
        <w:t>（2）贵港市本级城市地价动态监测点布设图；</w:t>
      </w:r>
    </w:p>
    <w:p>
      <w:pPr>
        <w:spacing w:line="480" w:lineRule="exact"/>
        <w:ind w:firstLine="210" w:firstLineChars="100"/>
        <w:rPr>
          <w:rFonts w:ascii="宋体" w:hAnsi="宋体" w:cs="宋体"/>
          <w:szCs w:val="21"/>
        </w:rPr>
      </w:pPr>
      <w:r>
        <w:rPr>
          <w:rFonts w:hint="eastAsia" w:ascii="宋体" w:hAnsi="宋体" w:cs="宋体"/>
          <w:szCs w:val="21"/>
        </w:rPr>
        <w:t>（3）贵港市本级城市地价动态监测点标准宗地图；</w:t>
      </w:r>
    </w:p>
    <w:p>
      <w:pPr>
        <w:spacing w:line="480" w:lineRule="exact"/>
        <w:ind w:firstLine="210" w:firstLineChars="100"/>
        <w:rPr>
          <w:rFonts w:ascii="宋体" w:hAnsi="宋体" w:cs="宋体"/>
          <w:kern w:val="0"/>
          <w:szCs w:val="21"/>
        </w:rPr>
      </w:pPr>
      <w:r>
        <w:rPr>
          <w:rFonts w:hint="eastAsia" w:ascii="宋体" w:hAnsi="宋体" w:cs="宋体"/>
          <w:szCs w:val="21"/>
        </w:rPr>
        <w:t>（4）贵港市</w:t>
      </w:r>
      <w:r>
        <w:rPr>
          <w:rFonts w:hint="eastAsia" w:ascii="宋体" w:hAnsi="宋体" w:cs="宋体"/>
          <w:kern w:val="0"/>
          <w:szCs w:val="21"/>
        </w:rPr>
        <w:t>本级城市地价动态监测点现状影像图。</w:t>
      </w:r>
    </w:p>
    <w:p>
      <w:pPr>
        <w:spacing w:line="480" w:lineRule="exact"/>
        <w:ind w:firstLine="210" w:firstLineChars="100"/>
        <w:rPr>
          <w:rFonts w:ascii="宋体" w:hAnsi="宋体" w:cs="宋体"/>
          <w:kern w:val="0"/>
          <w:szCs w:val="21"/>
        </w:rPr>
      </w:pPr>
      <w:r>
        <w:rPr>
          <w:rFonts w:hint="eastAsia" w:ascii="宋体" w:hAnsi="宋体" w:cs="宋体"/>
          <w:kern w:val="0"/>
          <w:szCs w:val="21"/>
        </w:rPr>
        <w:t>3.表格成果</w:t>
      </w:r>
    </w:p>
    <w:p>
      <w:pPr>
        <w:spacing w:line="480" w:lineRule="exact"/>
        <w:ind w:firstLine="210" w:firstLineChars="100"/>
        <w:rPr>
          <w:rFonts w:ascii="宋体" w:hAnsi="宋体" w:cs="宋体"/>
          <w:kern w:val="0"/>
          <w:szCs w:val="21"/>
        </w:rPr>
      </w:pPr>
      <w:r>
        <w:rPr>
          <w:rFonts w:hint="eastAsia" w:ascii="宋体" w:hAnsi="宋体" w:cs="宋体"/>
          <w:kern w:val="0"/>
          <w:szCs w:val="21"/>
        </w:rPr>
        <w:t>（1）城市地价动态监测联络员及技术负责人信息登记表（初始/变更）</w:t>
      </w:r>
    </w:p>
    <w:p>
      <w:pPr>
        <w:spacing w:line="480" w:lineRule="exact"/>
        <w:ind w:firstLine="210" w:firstLineChars="100"/>
        <w:rPr>
          <w:rFonts w:ascii="宋体" w:hAnsi="宋体" w:cs="宋体"/>
          <w:kern w:val="0"/>
          <w:szCs w:val="21"/>
        </w:rPr>
      </w:pPr>
      <w:r>
        <w:rPr>
          <w:rFonts w:hint="eastAsia" w:ascii="宋体" w:hAnsi="宋体" w:cs="宋体"/>
          <w:kern w:val="0"/>
          <w:szCs w:val="21"/>
        </w:rPr>
        <w:t>(2)贵港市本级2021年城市地价动态监测技术承担单位信息表（初始/变更）</w:t>
      </w:r>
    </w:p>
    <w:p>
      <w:pPr>
        <w:spacing w:line="480" w:lineRule="exact"/>
        <w:ind w:firstLine="210" w:firstLineChars="100"/>
        <w:rPr>
          <w:rFonts w:ascii="宋体" w:hAnsi="宋体" w:cs="宋体"/>
          <w:szCs w:val="21"/>
        </w:rPr>
      </w:pPr>
      <w:r>
        <w:rPr>
          <w:rFonts w:hint="eastAsia" w:ascii="宋体" w:hAnsi="宋体" w:cs="宋体"/>
          <w:szCs w:val="21"/>
        </w:rPr>
        <w:t>（3）贵港市本级2021年标准宗地登记表；</w:t>
      </w:r>
    </w:p>
    <w:p>
      <w:pPr>
        <w:spacing w:line="480" w:lineRule="exact"/>
        <w:ind w:firstLine="210" w:firstLineChars="100"/>
        <w:rPr>
          <w:rFonts w:ascii="宋体" w:hAnsi="宋体" w:cs="宋体"/>
          <w:szCs w:val="21"/>
        </w:rPr>
      </w:pPr>
      <w:r>
        <w:rPr>
          <w:rFonts w:hint="eastAsia" w:ascii="宋体" w:hAnsi="宋体" w:cs="宋体"/>
          <w:kern w:val="0"/>
          <w:szCs w:val="21"/>
        </w:rPr>
        <w:t>（4）技术承担单位标准宗地汇总表（年度/季度）</w:t>
      </w:r>
    </w:p>
    <w:p>
      <w:pPr>
        <w:spacing w:line="480" w:lineRule="exact"/>
        <w:ind w:firstLine="210" w:firstLineChars="100"/>
        <w:rPr>
          <w:rFonts w:ascii="宋体" w:hAnsi="宋体" w:cs="宋体"/>
          <w:szCs w:val="21"/>
        </w:rPr>
      </w:pPr>
      <w:r>
        <w:rPr>
          <w:rFonts w:hint="eastAsia" w:ascii="宋体" w:hAnsi="宋体" w:cs="宋体"/>
          <w:szCs w:val="21"/>
        </w:rPr>
        <w:t>（5）贵港市本级2021年城市地价动态监测工作信息登记表；</w:t>
      </w:r>
    </w:p>
    <w:p>
      <w:pPr>
        <w:spacing w:line="480" w:lineRule="exact"/>
        <w:ind w:firstLine="210" w:firstLineChars="100"/>
        <w:rPr>
          <w:rFonts w:ascii="宋体" w:hAnsi="宋体" w:cs="宋体"/>
          <w:szCs w:val="21"/>
        </w:rPr>
      </w:pPr>
      <w:r>
        <w:rPr>
          <w:rFonts w:hint="eastAsia" w:ascii="宋体" w:hAnsi="宋体" w:cs="宋体"/>
          <w:szCs w:val="21"/>
        </w:rPr>
        <w:t>（6）贵港市本级2021年城市地价动态监测工作采集人员登记表；</w:t>
      </w:r>
    </w:p>
    <w:p>
      <w:pPr>
        <w:spacing w:line="480" w:lineRule="exact"/>
        <w:ind w:firstLine="210" w:firstLineChars="100"/>
        <w:rPr>
          <w:rFonts w:ascii="宋体" w:hAnsi="宋体" w:cs="宋体"/>
          <w:szCs w:val="21"/>
        </w:rPr>
      </w:pPr>
      <w:r>
        <w:rPr>
          <w:rFonts w:hint="eastAsia" w:ascii="宋体" w:hAnsi="宋体" w:cs="宋体"/>
          <w:szCs w:val="21"/>
        </w:rPr>
        <w:t>（7）贵港市本级2021年城市地价动态监测工作区段登记表；</w:t>
      </w:r>
    </w:p>
    <w:p>
      <w:pPr>
        <w:spacing w:line="480" w:lineRule="exact"/>
        <w:ind w:firstLine="210" w:firstLineChars="100"/>
        <w:rPr>
          <w:rFonts w:ascii="宋体" w:hAnsi="宋体" w:cs="宋体"/>
          <w:szCs w:val="21"/>
        </w:rPr>
      </w:pPr>
      <w:r>
        <w:rPr>
          <w:rFonts w:hint="eastAsia" w:ascii="宋体" w:hAnsi="宋体" w:cs="宋体"/>
          <w:szCs w:val="21"/>
        </w:rPr>
        <w:t>（8）贵港市本级2021年城市地价动态监测指标(</w:t>
      </w:r>
      <w:r>
        <w:rPr>
          <w:rFonts w:hint="eastAsia" w:ascii="宋体" w:hAnsi="宋体" w:cs="宋体"/>
          <w:kern w:val="0"/>
          <w:szCs w:val="21"/>
        </w:rPr>
        <w:t>年度)</w:t>
      </w:r>
      <w:r>
        <w:rPr>
          <w:rFonts w:hint="eastAsia" w:ascii="宋体" w:hAnsi="宋体" w:cs="宋体"/>
          <w:szCs w:val="21"/>
        </w:rPr>
        <w:t>调查表；</w:t>
      </w:r>
    </w:p>
    <w:p>
      <w:pPr>
        <w:spacing w:line="480" w:lineRule="exact"/>
        <w:ind w:firstLine="210" w:firstLineChars="100"/>
        <w:rPr>
          <w:rFonts w:ascii="宋体" w:hAnsi="宋体" w:cs="宋体"/>
          <w:szCs w:val="21"/>
        </w:rPr>
      </w:pPr>
      <w:r>
        <w:rPr>
          <w:rFonts w:hint="eastAsia" w:ascii="宋体" w:hAnsi="宋体" w:cs="宋体"/>
          <w:szCs w:val="21"/>
        </w:rPr>
        <w:t>（9）贵港市本级2021年城市地价动态监测指标(</w:t>
      </w:r>
      <w:r>
        <w:rPr>
          <w:rFonts w:hint="eastAsia" w:ascii="宋体" w:hAnsi="宋体" w:cs="宋体"/>
          <w:kern w:val="0"/>
          <w:szCs w:val="21"/>
        </w:rPr>
        <w:t>季度)</w:t>
      </w:r>
      <w:r>
        <w:rPr>
          <w:rFonts w:hint="eastAsia" w:ascii="宋体" w:hAnsi="宋体" w:cs="宋体"/>
          <w:szCs w:val="21"/>
        </w:rPr>
        <w:t>调查表；</w:t>
      </w:r>
    </w:p>
    <w:p>
      <w:pPr>
        <w:spacing w:line="480" w:lineRule="exact"/>
        <w:ind w:firstLine="210" w:firstLineChars="100"/>
        <w:rPr>
          <w:rFonts w:ascii="宋体" w:hAnsi="宋体" w:cs="宋体"/>
          <w:szCs w:val="21"/>
        </w:rPr>
      </w:pPr>
      <w:r>
        <w:rPr>
          <w:rFonts w:hint="eastAsia" w:ascii="宋体" w:hAnsi="宋体" w:cs="宋体"/>
          <w:szCs w:val="21"/>
        </w:rPr>
        <w:t>（10）贵港市本级2021年</w:t>
      </w:r>
      <w:r>
        <w:rPr>
          <w:rFonts w:hint="eastAsia" w:ascii="宋体" w:hAnsi="宋体" w:cs="宋体"/>
          <w:kern w:val="0"/>
          <w:szCs w:val="21"/>
        </w:rPr>
        <w:t>土地（年度）供需情况调查表</w:t>
      </w:r>
    </w:p>
    <w:p>
      <w:pPr>
        <w:spacing w:line="480" w:lineRule="exact"/>
        <w:ind w:firstLine="210" w:firstLineChars="100"/>
        <w:rPr>
          <w:rFonts w:ascii="宋体" w:hAnsi="宋体" w:cs="宋体"/>
          <w:szCs w:val="21"/>
        </w:rPr>
      </w:pPr>
      <w:r>
        <w:rPr>
          <w:rFonts w:hint="eastAsia" w:ascii="宋体" w:hAnsi="宋体" w:cs="宋体"/>
          <w:szCs w:val="21"/>
        </w:rPr>
        <w:t>（11）贵港市本级2021年城市地价动态监测指标测算过程表；</w:t>
      </w:r>
    </w:p>
    <w:p>
      <w:pPr>
        <w:spacing w:line="480" w:lineRule="exact"/>
        <w:ind w:firstLine="210" w:firstLineChars="100"/>
        <w:rPr>
          <w:rFonts w:ascii="宋体" w:hAnsi="宋体" w:cs="宋体"/>
          <w:szCs w:val="21"/>
        </w:rPr>
      </w:pPr>
      <w:r>
        <w:rPr>
          <w:rFonts w:hint="eastAsia" w:ascii="宋体" w:hAnsi="宋体" w:cs="宋体"/>
          <w:szCs w:val="21"/>
        </w:rPr>
        <w:t>（12）贵港市本级2021年土地交易样本调查表；</w:t>
      </w:r>
    </w:p>
    <w:p>
      <w:pPr>
        <w:spacing w:line="480" w:lineRule="exact"/>
        <w:ind w:firstLine="210" w:firstLineChars="100"/>
        <w:rPr>
          <w:rFonts w:ascii="宋体" w:hAnsi="宋体" w:cs="宋体"/>
          <w:szCs w:val="21"/>
        </w:rPr>
      </w:pPr>
      <w:r>
        <w:rPr>
          <w:rFonts w:hint="eastAsia" w:ascii="宋体" w:hAnsi="宋体" w:cs="宋体"/>
          <w:szCs w:val="21"/>
        </w:rPr>
        <w:t>（13）贵港市本级2021年估价师标准宗地调查表；</w:t>
      </w:r>
    </w:p>
    <w:p>
      <w:pPr>
        <w:spacing w:line="480" w:lineRule="exact"/>
        <w:ind w:firstLine="210" w:firstLineChars="100"/>
        <w:rPr>
          <w:rFonts w:ascii="宋体" w:hAnsi="宋体" w:cs="宋体"/>
          <w:szCs w:val="21"/>
        </w:rPr>
      </w:pPr>
      <w:r>
        <w:rPr>
          <w:rFonts w:hint="eastAsia" w:ascii="宋体" w:hAnsi="宋体" w:cs="宋体"/>
          <w:szCs w:val="21"/>
        </w:rPr>
        <w:t>（14）贵港市本级2021年估价师标准宗地地价评估技术要点表。</w:t>
      </w:r>
    </w:p>
    <w:p>
      <w:pPr>
        <w:spacing w:line="480" w:lineRule="exact"/>
        <w:ind w:firstLine="210" w:firstLineChars="100"/>
        <w:rPr>
          <w:rFonts w:ascii="宋体" w:hAnsi="宋体" w:cs="宋体"/>
          <w:szCs w:val="21"/>
        </w:rPr>
      </w:pPr>
      <w:r>
        <w:rPr>
          <w:rFonts w:hint="eastAsia" w:ascii="宋体" w:hAnsi="宋体" w:cs="宋体"/>
          <w:szCs w:val="21"/>
        </w:rPr>
        <w:t>4.数据库成果</w:t>
      </w:r>
    </w:p>
    <w:p>
      <w:pPr>
        <w:spacing w:line="480" w:lineRule="exact"/>
        <w:ind w:firstLine="210" w:firstLineChars="100"/>
        <w:rPr>
          <w:rFonts w:ascii="宋体" w:hAnsi="宋体" w:cs="宋体"/>
          <w:szCs w:val="21"/>
        </w:rPr>
      </w:pPr>
      <w:r>
        <w:rPr>
          <w:rFonts w:hint="eastAsia" w:ascii="宋体" w:hAnsi="宋体" w:cs="宋体"/>
          <w:szCs w:val="21"/>
        </w:rPr>
        <w:t>贵港市本级2021年城市地价动态监测数据库。</w:t>
      </w:r>
    </w:p>
    <w:p>
      <w:pPr>
        <w:spacing w:line="480" w:lineRule="exact"/>
        <w:ind w:firstLine="210" w:firstLineChars="100"/>
        <w:rPr>
          <w:rFonts w:ascii="宋体" w:hAnsi="宋体" w:cs="宋体"/>
          <w:szCs w:val="21"/>
        </w:rPr>
      </w:pPr>
      <w:r>
        <w:rPr>
          <w:rFonts w:hint="eastAsia" w:ascii="宋体" w:hAnsi="宋体" w:cs="宋体"/>
          <w:szCs w:val="21"/>
        </w:rPr>
        <w:t>（四）成果格式</w:t>
      </w:r>
    </w:p>
    <w:p>
      <w:pPr>
        <w:spacing w:line="480" w:lineRule="exact"/>
        <w:ind w:firstLine="210" w:firstLineChars="100"/>
        <w:rPr>
          <w:rFonts w:ascii="宋体" w:hAnsi="宋体" w:cs="宋体"/>
          <w:szCs w:val="21"/>
        </w:rPr>
      </w:pPr>
      <w:r>
        <w:rPr>
          <w:rFonts w:hint="eastAsia" w:ascii="宋体" w:hAnsi="宋体" w:cs="宋体"/>
          <w:szCs w:val="21"/>
        </w:rPr>
        <w:t>文字类电子成果为Word格式，表格类电子成果为Exce格式，图形数据类电子成果为shp格式，图像类电子成果为JPG格式；以上成果的纸质版1式10份，光盘两套。</w:t>
      </w:r>
    </w:p>
    <w:p>
      <w:pPr>
        <w:spacing w:line="480" w:lineRule="exact"/>
        <w:ind w:firstLine="210" w:firstLineChars="100"/>
        <w:rPr>
          <w:rFonts w:ascii="宋体" w:hAnsi="宋体" w:cs="宋体"/>
          <w:szCs w:val="21"/>
        </w:rPr>
      </w:pPr>
      <w:r>
        <w:rPr>
          <w:rFonts w:hint="eastAsia" w:ascii="宋体" w:hAnsi="宋体" w:cs="宋体"/>
          <w:szCs w:val="21"/>
        </w:rPr>
        <w:t>（五）质量要求</w:t>
      </w:r>
    </w:p>
    <w:p>
      <w:pPr>
        <w:snapToGrid w:val="0"/>
        <w:spacing w:line="480" w:lineRule="exact"/>
        <w:ind w:firstLine="420" w:firstLineChars="200"/>
        <w:rPr>
          <w:rFonts w:ascii="宋体" w:hAnsi="宋体" w:cs="宋体"/>
          <w:szCs w:val="21"/>
        </w:rPr>
      </w:pPr>
      <w:r>
        <w:rPr>
          <w:rFonts w:hint="eastAsia" w:ascii="宋体" w:hAnsi="宋体" w:cs="宋体"/>
          <w:szCs w:val="21"/>
        </w:rPr>
        <w:t>所有成果均须符合相关国家标准和自治区自然资源厅要求。</w:t>
      </w:r>
    </w:p>
    <w:p>
      <w:pPr>
        <w:snapToGrid w:val="0"/>
        <w:spacing w:line="400" w:lineRule="exact"/>
        <w:ind w:firstLine="422" w:firstLineChars="200"/>
        <w:rPr>
          <w:rFonts w:ascii="宋体" w:hAnsi="宋体"/>
          <w:kern w:val="0"/>
          <w:szCs w:val="21"/>
        </w:rPr>
      </w:pPr>
      <w:r>
        <w:rPr>
          <w:rFonts w:hint="eastAsia" w:ascii="宋体" w:hAnsi="宋体"/>
          <w:b/>
          <w:kern w:val="0"/>
          <w:szCs w:val="21"/>
        </w:rPr>
        <w:t>第四条</w:t>
      </w:r>
      <w:r>
        <w:rPr>
          <w:rFonts w:hint="eastAsia" w:ascii="宋体" w:hAnsi="宋体"/>
          <w:kern w:val="0"/>
          <w:szCs w:val="21"/>
        </w:rPr>
        <w:t xml:space="preserve"> 乙方提供的服务质量标准按国家和地方政府的规定和本合同约定的服务质量要求执行。</w:t>
      </w:r>
    </w:p>
    <w:p>
      <w:pPr>
        <w:snapToGrid w:val="0"/>
        <w:spacing w:line="400" w:lineRule="exact"/>
        <w:ind w:firstLine="420" w:firstLineChars="200"/>
        <w:rPr>
          <w:rFonts w:ascii="宋体" w:hAnsi="宋体"/>
          <w:kern w:val="0"/>
          <w:szCs w:val="21"/>
        </w:rPr>
      </w:pPr>
      <w:r>
        <w:rPr>
          <w:rFonts w:hint="eastAsia" w:ascii="宋体" w:hAnsi="宋体"/>
          <w:kern w:val="0"/>
          <w:szCs w:val="21"/>
        </w:rPr>
        <w:t>2021年3月前，确定地价动态监测的范围，划定地价监测区段，确定地价监测点，建立地价监测数据库；2021年3月31日前，完成第一季度城市地价动态监测报告；2021年6月31日前，完成第二季度城市地价动态监测报告；2021年9月31日前，完成第三季度城市地价动态监测报告；2022年1月10日前，完成年度城市地价动态监测报告。根据自治区自然资源厅最终工作部署和时限要求，落实成果报送并确保通过审查 。</w:t>
      </w:r>
    </w:p>
    <w:p>
      <w:pPr>
        <w:snapToGrid w:val="0"/>
        <w:spacing w:line="400" w:lineRule="exact"/>
        <w:ind w:firstLine="422" w:firstLineChars="200"/>
        <w:rPr>
          <w:rFonts w:ascii="宋体" w:hAnsi="宋体"/>
          <w:kern w:val="0"/>
          <w:szCs w:val="21"/>
        </w:rPr>
      </w:pPr>
      <w:r>
        <w:rPr>
          <w:rFonts w:hint="eastAsia" w:ascii="宋体" w:hAnsi="宋体"/>
          <w:b/>
          <w:kern w:val="0"/>
          <w:szCs w:val="21"/>
        </w:rPr>
        <w:t xml:space="preserve">第五条 </w:t>
      </w:r>
      <w:r>
        <w:rPr>
          <w:rFonts w:hint="eastAsia" w:ascii="宋体" w:hAnsi="宋体"/>
          <w:kern w:val="0"/>
          <w:szCs w:val="21"/>
        </w:rPr>
        <w:t>付款方式：</w:t>
      </w:r>
    </w:p>
    <w:p>
      <w:pPr>
        <w:snapToGrid w:val="0"/>
        <w:spacing w:line="400" w:lineRule="exact"/>
        <w:ind w:firstLine="420" w:firstLineChars="200"/>
        <w:rPr>
          <w:rFonts w:ascii="宋体" w:hAnsi="宋体"/>
          <w:szCs w:val="21"/>
        </w:rPr>
      </w:pPr>
      <w:r>
        <w:rPr>
          <w:rFonts w:hint="eastAsia" w:ascii="宋体" w:hAnsi="宋体"/>
          <w:szCs w:val="21"/>
        </w:rPr>
        <w:t>项目款分两期支付给</w:t>
      </w:r>
      <w:r>
        <w:rPr>
          <w:rFonts w:hint="eastAsia" w:ascii="宋体" w:hAnsi="宋体"/>
          <w:kern w:val="0"/>
          <w:szCs w:val="21"/>
        </w:rPr>
        <w:t>乙方</w:t>
      </w:r>
      <w:r>
        <w:rPr>
          <w:rFonts w:hint="eastAsia" w:ascii="宋体" w:hAnsi="宋体"/>
          <w:szCs w:val="21"/>
        </w:rPr>
        <w:t>，在本合同签订后三十日内，由</w:t>
      </w:r>
      <w:r>
        <w:rPr>
          <w:rFonts w:hint="eastAsia" w:ascii="宋体" w:hAnsi="宋体"/>
          <w:kern w:val="0"/>
          <w:szCs w:val="21"/>
        </w:rPr>
        <w:t>甲方</w:t>
      </w:r>
      <w:r>
        <w:rPr>
          <w:rFonts w:hint="eastAsia" w:ascii="宋体" w:hAnsi="宋体"/>
          <w:szCs w:val="21"/>
        </w:rPr>
        <w:t>以转账方式支付项目款50%给</w:t>
      </w:r>
      <w:r>
        <w:rPr>
          <w:rFonts w:hint="eastAsia" w:ascii="宋体" w:hAnsi="宋体"/>
          <w:kern w:val="0"/>
          <w:szCs w:val="21"/>
        </w:rPr>
        <w:t>乙方</w:t>
      </w:r>
      <w:r>
        <w:rPr>
          <w:rFonts w:hint="eastAsia" w:ascii="宋体" w:hAnsi="宋体"/>
          <w:szCs w:val="21"/>
        </w:rPr>
        <w:t>作为启动经费，余下项目款待编制工作完成，由</w:t>
      </w:r>
      <w:r>
        <w:rPr>
          <w:rFonts w:hint="eastAsia" w:ascii="宋体" w:hAnsi="宋体"/>
          <w:kern w:val="0"/>
          <w:szCs w:val="21"/>
        </w:rPr>
        <w:t>乙方</w:t>
      </w:r>
      <w:r>
        <w:rPr>
          <w:rFonts w:hint="eastAsia" w:ascii="宋体" w:hAnsi="宋体"/>
          <w:szCs w:val="21"/>
        </w:rPr>
        <w:t>提交成果并由甲方组织专家审核验收后，三十日内一次性支付，</w:t>
      </w:r>
      <w:r>
        <w:rPr>
          <w:rFonts w:hint="eastAsia" w:ascii="宋体" w:hAnsi="宋体"/>
          <w:kern w:val="0"/>
          <w:szCs w:val="21"/>
        </w:rPr>
        <w:t>甲方</w:t>
      </w:r>
      <w:r>
        <w:rPr>
          <w:rFonts w:hint="eastAsia" w:ascii="宋体" w:hAnsi="宋体"/>
          <w:szCs w:val="21"/>
        </w:rPr>
        <w:t>付款后七个工作日内，</w:t>
      </w:r>
      <w:r>
        <w:rPr>
          <w:rFonts w:hint="eastAsia" w:ascii="宋体" w:hAnsi="宋体"/>
          <w:kern w:val="0"/>
          <w:szCs w:val="21"/>
        </w:rPr>
        <w:t>乙方</w:t>
      </w:r>
      <w:r>
        <w:rPr>
          <w:rFonts w:hint="eastAsia" w:ascii="宋体" w:hAnsi="宋体"/>
          <w:szCs w:val="21"/>
        </w:rPr>
        <w:t>开具正式等额发票给</w:t>
      </w:r>
      <w:r>
        <w:rPr>
          <w:rFonts w:hint="eastAsia" w:ascii="宋体" w:hAnsi="宋体"/>
          <w:kern w:val="0"/>
          <w:szCs w:val="21"/>
        </w:rPr>
        <w:t>甲方</w:t>
      </w:r>
      <w:r>
        <w:rPr>
          <w:rFonts w:hint="eastAsia" w:ascii="宋体" w:hAnsi="宋体"/>
          <w:szCs w:val="21"/>
        </w:rPr>
        <w:t xml:space="preserve"> 。</w:t>
      </w:r>
    </w:p>
    <w:p>
      <w:pPr>
        <w:snapToGrid w:val="0"/>
        <w:spacing w:line="400" w:lineRule="exact"/>
        <w:ind w:firstLine="422" w:firstLineChars="200"/>
        <w:rPr>
          <w:rFonts w:ascii="宋体" w:hAnsi="宋体"/>
          <w:kern w:val="0"/>
          <w:szCs w:val="21"/>
        </w:rPr>
      </w:pPr>
      <w:r>
        <w:rPr>
          <w:rFonts w:hint="eastAsia" w:ascii="宋体" w:hAnsi="宋体"/>
          <w:b/>
          <w:kern w:val="0"/>
          <w:szCs w:val="21"/>
        </w:rPr>
        <w:t>第六条</w:t>
      </w:r>
      <w:r>
        <w:rPr>
          <w:rFonts w:hint="eastAsia" w:ascii="宋体" w:hAnsi="宋体"/>
          <w:kern w:val="0"/>
          <w:szCs w:val="21"/>
        </w:rPr>
        <w:t xml:space="preserve"> 甲方权利义务</w:t>
      </w:r>
    </w:p>
    <w:p>
      <w:pPr>
        <w:snapToGrid w:val="0"/>
        <w:spacing w:line="400" w:lineRule="exact"/>
        <w:ind w:firstLine="420" w:firstLineChars="200"/>
        <w:rPr>
          <w:rFonts w:ascii="宋体" w:hAnsi="宋体"/>
          <w:kern w:val="0"/>
          <w:szCs w:val="21"/>
        </w:rPr>
      </w:pPr>
      <w:r>
        <w:rPr>
          <w:rFonts w:hint="eastAsia" w:ascii="宋体" w:hAnsi="宋体"/>
          <w:kern w:val="0"/>
          <w:szCs w:val="21"/>
        </w:rPr>
        <w:t>（一）甲方在规定的时间内协助乙方提交资料及文件。</w:t>
      </w:r>
    </w:p>
    <w:p>
      <w:pPr>
        <w:snapToGrid w:val="0"/>
        <w:spacing w:line="400" w:lineRule="exact"/>
        <w:ind w:firstLine="420" w:firstLineChars="200"/>
        <w:rPr>
          <w:rFonts w:ascii="宋体" w:hAnsi="宋体"/>
          <w:kern w:val="0"/>
          <w:szCs w:val="21"/>
        </w:rPr>
      </w:pPr>
      <w:r>
        <w:rPr>
          <w:rFonts w:hint="eastAsia" w:ascii="宋体" w:hAnsi="宋体"/>
          <w:kern w:val="0"/>
          <w:szCs w:val="21"/>
        </w:rPr>
        <w:t>（二）甲方收到乙方提交的项目成果后，负责组织各有关部门和专家进行审议。</w:t>
      </w:r>
    </w:p>
    <w:p>
      <w:pPr>
        <w:snapToGrid w:val="0"/>
        <w:spacing w:line="400" w:lineRule="exact"/>
        <w:ind w:firstLine="420" w:firstLineChars="200"/>
        <w:rPr>
          <w:rFonts w:ascii="宋体" w:hAnsi="宋体"/>
          <w:kern w:val="0"/>
          <w:szCs w:val="21"/>
        </w:rPr>
      </w:pPr>
      <w:r>
        <w:rPr>
          <w:rFonts w:hint="eastAsia" w:ascii="宋体" w:hAnsi="宋体"/>
          <w:kern w:val="0"/>
          <w:szCs w:val="21"/>
        </w:rPr>
        <w:t>（三）监测成果经修改定案后，甲方应向乙方签发可出正式监测成果的通知书。</w:t>
      </w:r>
    </w:p>
    <w:p>
      <w:pPr>
        <w:snapToGrid w:val="0"/>
        <w:spacing w:line="400" w:lineRule="exact"/>
        <w:ind w:firstLine="420" w:firstLineChars="200"/>
        <w:rPr>
          <w:rFonts w:ascii="宋体" w:hAnsi="宋体"/>
          <w:kern w:val="0"/>
          <w:szCs w:val="21"/>
        </w:rPr>
      </w:pPr>
      <w:r>
        <w:rPr>
          <w:rFonts w:hint="eastAsia" w:ascii="宋体" w:hAnsi="宋体"/>
          <w:kern w:val="0"/>
          <w:szCs w:val="21"/>
        </w:rPr>
        <w:t>（四）协调乙方工作，为乙方人员在现场工作提供方便。</w:t>
      </w:r>
    </w:p>
    <w:p>
      <w:pPr>
        <w:snapToGrid w:val="0"/>
        <w:spacing w:line="400" w:lineRule="exact"/>
        <w:ind w:firstLine="420" w:firstLineChars="200"/>
        <w:rPr>
          <w:rFonts w:ascii="宋体" w:hAnsi="宋体"/>
          <w:kern w:val="0"/>
          <w:szCs w:val="21"/>
        </w:rPr>
      </w:pPr>
      <w:r>
        <w:rPr>
          <w:rFonts w:hint="eastAsia" w:ascii="宋体" w:hAnsi="宋体"/>
          <w:kern w:val="0"/>
          <w:szCs w:val="21"/>
        </w:rPr>
        <w:t>（五）甲方变更委托监测设计项目、规模、技术深度要求，或因所提交资料作较大修改，以致造成乙方监测需返工时，双方除需另行协商签订补充合同（或另订合同）、重新明确有关条款外，甲方应按乙方所耗工作量向乙方支付返工费。</w:t>
      </w:r>
    </w:p>
    <w:p>
      <w:pPr>
        <w:snapToGrid w:val="0"/>
        <w:spacing w:line="400" w:lineRule="exact"/>
        <w:ind w:firstLine="420" w:firstLineChars="200"/>
        <w:rPr>
          <w:rFonts w:ascii="宋体" w:hAnsi="宋体"/>
          <w:kern w:val="0"/>
          <w:szCs w:val="21"/>
        </w:rPr>
      </w:pPr>
      <w:r>
        <w:rPr>
          <w:rFonts w:hint="eastAsia" w:ascii="宋体" w:hAnsi="宋体"/>
          <w:kern w:val="0"/>
          <w:szCs w:val="21"/>
        </w:rPr>
        <w:t>（六）甲方对乙方交付的监测成果拥有所有权，乙方仅署名权。</w:t>
      </w:r>
    </w:p>
    <w:p>
      <w:pPr>
        <w:snapToGrid w:val="0"/>
        <w:spacing w:line="400" w:lineRule="exact"/>
        <w:ind w:firstLine="420" w:firstLineChars="200"/>
        <w:rPr>
          <w:rFonts w:ascii="宋体" w:hAnsi="宋体"/>
          <w:kern w:val="0"/>
          <w:szCs w:val="21"/>
        </w:rPr>
      </w:pPr>
      <w:r>
        <w:rPr>
          <w:rFonts w:hint="eastAsia" w:ascii="宋体" w:hAnsi="宋体"/>
          <w:kern w:val="0"/>
          <w:szCs w:val="21"/>
        </w:rPr>
        <w:t>（七）按照合同约定向乙方支付监测成果费。</w:t>
      </w:r>
    </w:p>
    <w:p>
      <w:pPr>
        <w:snapToGrid w:val="0"/>
        <w:spacing w:line="400" w:lineRule="exact"/>
        <w:ind w:firstLine="422" w:firstLineChars="200"/>
        <w:rPr>
          <w:rFonts w:ascii="宋体" w:hAnsi="宋体"/>
          <w:kern w:val="0"/>
          <w:szCs w:val="21"/>
        </w:rPr>
      </w:pPr>
      <w:r>
        <w:rPr>
          <w:rFonts w:hint="eastAsia" w:ascii="宋体" w:hAnsi="宋体"/>
          <w:b/>
          <w:kern w:val="0"/>
          <w:szCs w:val="21"/>
        </w:rPr>
        <w:t>第七条</w:t>
      </w:r>
      <w:r>
        <w:rPr>
          <w:rFonts w:hint="eastAsia" w:ascii="宋体" w:hAnsi="宋体"/>
          <w:kern w:val="0"/>
          <w:szCs w:val="21"/>
        </w:rPr>
        <w:t xml:space="preserve"> 乙方权利义务</w:t>
      </w:r>
    </w:p>
    <w:p>
      <w:pPr>
        <w:snapToGrid w:val="0"/>
        <w:spacing w:line="400" w:lineRule="exact"/>
        <w:ind w:firstLine="420" w:firstLineChars="200"/>
        <w:rPr>
          <w:rFonts w:ascii="宋体" w:hAnsi="宋体"/>
          <w:kern w:val="0"/>
          <w:szCs w:val="21"/>
        </w:rPr>
      </w:pPr>
      <w:r>
        <w:rPr>
          <w:rFonts w:hint="eastAsia" w:ascii="宋体" w:hAnsi="宋体"/>
          <w:kern w:val="0"/>
          <w:szCs w:val="21"/>
        </w:rPr>
        <w:t>（一）乙方按国家现行的监测标准、规范进行监测，根据甲方提出的技术深度要求，按本合同第三条规定的内容、时间向甲方交付评估成果。</w:t>
      </w:r>
    </w:p>
    <w:p>
      <w:pPr>
        <w:snapToGrid w:val="0"/>
        <w:spacing w:line="400" w:lineRule="exact"/>
        <w:ind w:firstLine="420" w:firstLineChars="200"/>
        <w:rPr>
          <w:rFonts w:ascii="宋体" w:hAnsi="宋体"/>
          <w:kern w:val="0"/>
          <w:szCs w:val="21"/>
        </w:rPr>
      </w:pPr>
      <w:r>
        <w:rPr>
          <w:rFonts w:hint="eastAsia" w:ascii="宋体" w:hAnsi="宋体"/>
          <w:kern w:val="0"/>
          <w:szCs w:val="21"/>
        </w:rPr>
        <w:t>（二）监测方案经主管部门审查后，在原定监测研究要点范围内的必要修改，由乙方负责。</w:t>
      </w:r>
    </w:p>
    <w:p>
      <w:pPr>
        <w:snapToGrid w:val="0"/>
        <w:spacing w:line="400" w:lineRule="exact"/>
        <w:ind w:firstLine="420" w:firstLineChars="200"/>
        <w:rPr>
          <w:rFonts w:ascii="宋体" w:hAnsi="宋体"/>
          <w:kern w:val="0"/>
          <w:szCs w:val="21"/>
        </w:rPr>
      </w:pPr>
      <w:r>
        <w:rPr>
          <w:rFonts w:hint="eastAsia" w:ascii="宋体" w:hAnsi="宋体"/>
          <w:kern w:val="0"/>
          <w:szCs w:val="21"/>
        </w:rPr>
        <w:t>（三）乙方应根据甲方需要，派员参与监测方案的介绍，评估完成后，乙方应协助甲方做好监测的技术解释工作。</w:t>
      </w:r>
    </w:p>
    <w:p>
      <w:pPr>
        <w:snapToGrid w:val="0"/>
        <w:spacing w:line="400" w:lineRule="exact"/>
        <w:ind w:firstLine="420" w:firstLineChars="200"/>
        <w:rPr>
          <w:rFonts w:ascii="宋体" w:hAnsi="宋体"/>
          <w:kern w:val="0"/>
          <w:szCs w:val="21"/>
        </w:rPr>
      </w:pPr>
      <w:r>
        <w:rPr>
          <w:rFonts w:hint="eastAsia" w:ascii="宋体" w:hAnsi="宋体"/>
          <w:kern w:val="0"/>
          <w:szCs w:val="21"/>
        </w:rPr>
        <w:t>（四）乙方所编制的监测成果，经专家及有关部门代表评审确认未达深度要求的，乙方有义务进行修改、补充直至达到要求。</w:t>
      </w:r>
    </w:p>
    <w:p>
      <w:pPr>
        <w:snapToGrid w:val="0"/>
        <w:spacing w:line="400" w:lineRule="exact"/>
        <w:ind w:firstLine="420" w:firstLineChars="200"/>
        <w:rPr>
          <w:rFonts w:ascii="宋体" w:hAnsi="宋体"/>
          <w:kern w:val="0"/>
          <w:szCs w:val="21"/>
        </w:rPr>
      </w:pPr>
      <w:r>
        <w:rPr>
          <w:rFonts w:hint="eastAsia" w:ascii="宋体" w:hAnsi="宋体"/>
          <w:kern w:val="0"/>
          <w:szCs w:val="21"/>
        </w:rPr>
        <w:t>（五）合同生效后，乙方要求终止或解除合同的，甲方有权索赔。</w:t>
      </w:r>
    </w:p>
    <w:p>
      <w:pPr>
        <w:snapToGrid w:val="0"/>
        <w:spacing w:line="400" w:lineRule="exact"/>
        <w:ind w:firstLine="420" w:firstLineChars="200"/>
        <w:rPr>
          <w:rFonts w:ascii="宋体" w:hAnsi="宋体"/>
          <w:kern w:val="0"/>
          <w:szCs w:val="21"/>
        </w:rPr>
      </w:pPr>
      <w:r>
        <w:rPr>
          <w:rFonts w:hint="eastAsia" w:ascii="宋体" w:hAnsi="宋体"/>
          <w:kern w:val="0"/>
          <w:szCs w:val="21"/>
        </w:rPr>
        <w:t>（六）因乙方原因延误了监测成果最终交付时间的，每延误一天，乙方减收该项目监测费的1‰作为违约赔偿金。</w:t>
      </w:r>
    </w:p>
    <w:p>
      <w:pPr>
        <w:snapToGrid w:val="0"/>
        <w:spacing w:line="400" w:lineRule="exact"/>
        <w:ind w:firstLine="422" w:firstLineChars="200"/>
        <w:rPr>
          <w:rFonts w:ascii="宋体" w:hAnsi="宋体"/>
          <w:kern w:val="0"/>
          <w:szCs w:val="21"/>
        </w:rPr>
      </w:pPr>
      <w:r>
        <w:rPr>
          <w:rFonts w:hint="eastAsia" w:ascii="宋体" w:hAnsi="宋体"/>
          <w:b/>
          <w:kern w:val="0"/>
          <w:szCs w:val="21"/>
        </w:rPr>
        <w:t>第八条</w:t>
      </w:r>
      <w:r>
        <w:rPr>
          <w:rFonts w:hint="eastAsia" w:ascii="宋体" w:hAnsi="宋体"/>
          <w:kern w:val="0"/>
          <w:szCs w:val="21"/>
        </w:rPr>
        <w:t xml:space="preserve">  违约责任</w:t>
      </w:r>
    </w:p>
    <w:p>
      <w:pPr>
        <w:snapToGrid w:val="0"/>
        <w:spacing w:line="400" w:lineRule="exact"/>
        <w:ind w:firstLine="420" w:firstLineChars="200"/>
        <w:rPr>
          <w:rFonts w:ascii="宋体" w:hAnsi="宋体"/>
          <w:kern w:val="0"/>
          <w:szCs w:val="21"/>
        </w:rPr>
      </w:pPr>
      <w:r>
        <w:rPr>
          <w:rFonts w:hint="eastAsia" w:ascii="宋体" w:hAnsi="宋体"/>
          <w:kern w:val="0"/>
          <w:szCs w:val="21"/>
        </w:rPr>
        <w:t>（一）甲方违约导致乙方不能提供约定服务的，乙方有权要求甲方在一个月内解决期未解决的，甲方应承担相应的责任;乙方不履行投标承诺和约定服务的，甲权要求向乙方要求七日内解决的，乙方未能解决，甲方有权解除服务合同，且乙方支付合同总价款 30%违约金给甲方。</w:t>
      </w:r>
    </w:p>
    <w:p>
      <w:pPr>
        <w:snapToGrid w:val="0"/>
        <w:spacing w:line="400" w:lineRule="exact"/>
        <w:ind w:firstLine="420" w:firstLineChars="200"/>
        <w:rPr>
          <w:rFonts w:hint="eastAsia" w:ascii="宋体" w:hAnsi="宋体"/>
          <w:kern w:val="0"/>
          <w:szCs w:val="21"/>
        </w:rPr>
      </w:pPr>
      <w:r>
        <w:rPr>
          <w:rFonts w:hint="eastAsia" w:ascii="宋体" w:hAnsi="宋体"/>
          <w:kern w:val="0"/>
          <w:szCs w:val="21"/>
        </w:rPr>
        <w:t>（二）任何一方违约解除合同或因违约被解除合同的，应向对方支付合同总价款30%的违约金。</w:t>
      </w:r>
    </w:p>
    <w:p>
      <w:pPr>
        <w:snapToGrid w:val="0"/>
        <w:spacing w:line="400" w:lineRule="exact"/>
        <w:ind w:firstLine="420" w:firstLineChars="200"/>
        <w:rPr>
          <w:rFonts w:ascii="宋体" w:hAnsi="宋体"/>
          <w:kern w:val="0"/>
          <w:szCs w:val="21"/>
        </w:rPr>
      </w:pPr>
      <w:r>
        <w:rPr>
          <w:rFonts w:hint="eastAsia" w:ascii="宋体" w:hAnsi="宋体"/>
          <w:kern w:val="0"/>
          <w:szCs w:val="21"/>
        </w:rPr>
        <w:t>（三）乙方所编制的监测成果，经专家及有关部门代表评审确认未达深度要求的，乙方有义务进行修改；若经两次修改仍未合格，甲方有权解除合同，乙方退回已收取所有款项给甲方，并支付合同总价款30%的违约金给甲方</w:t>
      </w:r>
    </w:p>
    <w:p>
      <w:pPr>
        <w:snapToGrid w:val="0"/>
        <w:spacing w:line="400" w:lineRule="exact"/>
        <w:ind w:firstLine="422" w:firstLineChars="200"/>
        <w:rPr>
          <w:rFonts w:ascii="宋体" w:hAnsi="宋体"/>
          <w:kern w:val="0"/>
          <w:szCs w:val="21"/>
        </w:rPr>
      </w:pPr>
      <w:r>
        <w:rPr>
          <w:rFonts w:hint="eastAsia" w:ascii="宋体" w:hAnsi="宋体"/>
          <w:b/>
          <w:kern w:val="0"/>
          <w:szCs w:val="21"/>
        </w:rPr>
        <w:t>第九条</w:t>
      </w:r>
      <w:r>
        <w:rPr>
          <w:rFonts w:hint="eastAsia" w:ascii="宋体" w:hAnsi="宋体"/>
          <w:kern w:val="0"/>
          <w:szCs w:val="21"/>
        </w:rPr>
        <w:t xml:space="preserve"> 双方在履行合同中所发生的一切争议，应通过协商解决。如协商不成时，可向贵港市港北区人民法院起诉。</w:t>
      </w:r>
    </w:p>
    <w:p>
      <w:pPr>
        <w:snapToGrid w:val="0"/>
        <w:spacing w:line="400" w:lineRule="exact"/>
        <w:ind w:firstLine="422" w:firstLineChars="200"/>
        <w:rPr>
          <w:rFonts w:ascii="宋体" w:hAnsi="宋体"/>
          <w:kern w:val="0"/>
          <w:szCs w:val="21"/>
        </w:rPr>
      </w:pPr>
      <w:r>
        <w:rPr>
          <w:rFonts w:hint="eastAsia" w:ascii="宋体" w:hAnsi="宋体"/>
          <w:b/>
          <w:kern w:val="0"/>
          <w:szCs w:val="21"/>
        </w:rPr>
        <w:t>第十条</w:t>
      </w:r>
      <w:r>
        <w:rPr>
          <w:rFonts w:hint="eastAsia" w:ascii="宋体" w:hAnsi="宋体"/>
          <w:kern w:val="0"/>
          <w:szCs w:val="21"/>
        </w:rPr>
        <w:t xml:space="preserve"> 在合同有效期限内，任何一方因不可抗力事件导致不能按时履行合同，则合同履行期可延长，其延长期与不可抗力影响期相同。由于不可抗力事件导致合同的根本目的不能实现时，一方可解除合同。</w:t>
      </w:r>
    </w:p>
    <w:p>
      <w:pPr>
        <w:snapToGrid w:val="0"/>
        <w:spacing w:line="400" w:lineRule="exact"/>
        <w:ind w:firstLine="420" w:firstLineChars="200"/>
        <w:rPr>
          <w:rFonts w:ascii="宋体" w:hAnsi="宋体"/>
          <w:kern w:val="0"/>
          <w:szCs w:val="21"/>
        </w:rPr>
      </w:pPr>
      <w:r>
        <w:rPr>
          <w:rFonts w:hint="eastAsia" w:ascii="宋体" w:hAnsi="宋体"/>
          <w:kern w:val="0"/>
          <w:szCs w:val="21"/>
        </w:rPr>
        <w:t>不可抗力事件发生后，应立即通知对方，并寄送有关权威机构出具的证明。</w:t>
      </w:r>
    </w:p>
    <w:p>
      <w:pPr>
        <w:snapToGrid w:val="0"/>
        <w:spacing w:line="400" w:lineRule="exact"/>
        <w:ind w:firstLine="420" w:firstLineChars="200"/>
        <w:rPr>
          <w:rFonts w:ascii="宋体" w:hAnsi="宋体"/>
          <w:kern w:val="0"/>
          <w:szCs w:val="21"/>
        </w:rPr>
      </w:pPr>
      <w:r>
        <w:rPr>
          <w:rFonts w:hint="eastAsia" w:ascii="宋体" w:hAnsi="宋体"/>
          <w:kern w:val="0"/>
          <w:szCs w:val="21"/>
        </w:rPr>
        <w:t>不可抗力事件延续120天以上，双方应通过友好协商，确定是否继续履行合同。</w:t>
      </w:r>
    </w:p>
    <w:p>
      <w:pPr>
        <w:snapToGrid w:val="0"/>
        <w:spacing w:line="400" w:lineRule="exact"/>
        <w:ind w:firstLine="422" w:firstLineChars="200"/>
        <w:rPr>
          <w:rFonts w:ascii="宋体" w:hAnsi="宋体"/>
          <w:kern w:val="0"/>
          <w:szCs w:val="21"/>
        </w:rPr>
      </w:pPr>
      <w:r>
        <w:rPr>
          <w:rFonts w:hint="eastAsia" w:ascii="宋体" w:hAnsi="宋体"/>
          <w:b/>
          <w:kern w:val="0"/>
          <w:szCs w:val="21"/>
        </w:rPr>
        <w:t>第十一条</w:t>
      </w:r>
      <w:r>
        <w:rPr>
          <w:rFonts w:hint="eastAsia" w:ascii="宋体" w:hAnsi="宋体"/>
          <w:kern w:val="0"/>
          <w:szCs w:val="21"/>
        </w:rPr>
        <w:t xml:space="preserve"> 本合同附件为合同有效组成部分。凡本合同及附件未规定的事宜以及合同词语，均以有关法律、法规、政策规定为准。</w:t>
      </w:r>
    </w:p>
    <w:p>
      <w:pPr>
        <w:snapToGrid w:val="0"/>
        <w:spacing w:line="400" w:lineRule="exact"/>
        <w:ind w:firstLine="422" w:firstLineChars="200"/>
        <w:rPr>
          <w:rFonts w:ascii="宋体" w:hAnsi="宋体"/>
          <w:kern w:val="0"/>
          <w:szCs w:val="21"/>
        </w:rPr>
      </w:pPr>
      <w:r>
        <w:rPr>
          <w:rFonts w:hint="eastAsia" w:ascii="宋体" w:hAnsi="宋体"/>
          <w:b/>
          <w:kern w:val="0"/>
          <w:szCs w:val="21"/>
        </w:rPr>
        <w:t>第十二条</w:t>
      </w:r>
      <w:r>
        <w:rPr>
          <w:rFonts w:hint="eastAsia" w:ascii="宋体" w:hAnsi="宋体"/>
          <w:kern w:val="0"/>
          <w:szCs w:val="21"/>
        </w:rPr>
        <w:t xml:space="preserve"> 本合同未尽事宜由甲、乙方双方另行协商签订补充协议，补充协议与本合同具有同等效力。</w:t>
      </w:r>
    </w:p>
    <w:p>
      <w:pPr>
        <w:snapToGrid w:val="0"/>
        <w:spacing w:line="400" w:lineRule="exact"/>
        <w:ind w:firstLine="422" w:firstLineChars="200"/>
        <w:rPr>
          <w:rFonts w:ascii="宋体" w:hAnsi="宋体"/>
          <w:kern w:val="0"/>
          <w:szCs w:val="21"/>
        </w:rPr>
      </w:pPr>
      <w:r>
        <w:rPr>
          <w:rFonts w:hint="eastAsia" w:ascii="宋体" w:hAnsi="宋体"/>
          <w:b/>
          <w:kern w:val="0"/>
          <w:szCs w:val="21"/>
        </w:rPr>
        <w:t>第十三条</w:t>
      </w:r>
      <w:r>
        <w:rPr>
          <w:rFonts w:hint="eastAsia" w:ascii="宋体" w:hAnsi="宋体"/>
          <w:kern w:val="0"/>
          <w:szCs w:val="21"/>
        </w:rPr>
        <w:t>本合同一式肆份，具有同等法律效力，甲方持三份，乙方持一份（可根据需要另增加）。</w:t>
      </w:r>
    </w:p>
    <w:p>
      <w:pPr>
        <w:snapToGrid w:val="0"/>
        <w:spacing w:line="400" w:lineRule="exact"/>
        <w:ind w:firstLine="420" w:firstLineChars="200"/>
        <w:rPr>
          <w:rFonts w:ascii="宋体" w:hAnsi="宋体"/>
          <w:kern w:val="0"/>
          <w:szCs w:val="21"/>
        </w:rPr>
      </w:pPr>
      <w:r>
        <w:rPr>
          <w:rFonts w:hint="eastAsia" w:ascii="宋体" w:hAnsi="宋体"/>
          <w:kern w:val="0"/>
          <w:szCs w:val="21"/>
        </w:rPr>
        <w:t>本合同甲乙双方签字盖章后生效。</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vAlign w:val="center"/>
          </w:tcPr>
          <w:p>
            <w:pPr>
              <w:snapToGrid w:val="0"/>
              <w:spacing w:line="400" w:lineRule="exact"/>
              <w:rPr>
                <w:rFonts w:ascii="宋体" w:hAnsi="宋体"/>
                <w:kern w:val="0"/>
                <w:szCs w:val="21"/>
              </w:rPr>
            </w:pPr>
            <w:r>
              <w:rPr>
                <w:rFonts w:hint="eastAsia" w:ascii="宋体" w:hAnsi="宋体"/>
                <w:kern w:val="0"/>
                <w:szCs w:val="21"/>
              </w:rPr>
              <w:t xml:space="preserve">甲方（章）           </w:t>
            </w:r>
          </w:p>
          <w:p>
            <w:pPr>
              <w:snapToGrid w:val="0"/>
              <w:spacing w:line="400" w:lineRule="exact"/>
              <w:rPr>
                <w:rFonts w:ascii="宋体" w:hAnsi="宋体"/>
                <w:kern w:val="0"/>
                <w:szCs w:val="21"/>
              </w:rPr>
            </w:pPr>
          </w:p>
          <w:p>
            <w:pPr>
              <w:snapToGrid w:val="0"/>
              <w:spacing w:line="400" w:lineRule="exact"/>
              <w:ind w:firstLine="945" w:firstLineChars="450"/>
              <w:jc w:val="right"/>
              <w:rPr>
                <w:rFonts w:ascii="宋体" w:hAnsi="宋体"/>
                <w:kern w:val="0"/>
                <w:szCs w:val="21"/>
              </w:rPr>
            </w:pPr>
            <w:r>
              <w:rPr>
                <w:rFonts w:hint="eastAsia" w:ascii="宋体" w:hAnsi="宋体"/>
                <w:kern w:val="0"/>
                <w:szCs w:val="21"/>
              </w:rPr>
              <w:t>年   月   日</w:t>
            </w:r>
          </w:p>
        </w:tc>
        <w:tc>
          <w:tcPr>
            <w:tcW w:w="4517" w:type="dxa"/>
            <w:vAlign w:val="center"/>
          </w:tcPr>
          <w:p>
            <w:pPr>
              <w:snapToGrid w:val="0"/>
              <w:spacing w:line="400" w:lineRule="exact"/>
              <w:rPr>
                <w:rFonts w:ascii="宋体" w:hAnsi="宋体"/>
                <w:kern w:val="0"/>
                <w:szCs w:val="21"/>
              </w:rPr>
            </w:pPr>
            <w:r>
              <w:rPr>
                <w:rFonts w:hint="eastAsia" w:ascii="宋体" w:hAnsi="宋体"/>
                <w:kern w:val="0"/>
                <w:szCs w:val="21"/>
              </w:rPr>
              <w:t xml:space="preserve">乙方（章）              </w:t>
            </w:r>
          </w:p>
          <w:p>
            <w:pPr>
              <w:snapToGrid w:val="0"/>
              <w:spacing w:line="400" w:lineRule="exact"/>
              <w:rPr>
                <w:rFonts w:ascii="宋体" w:hAnsi="宋体"/>
                <w:kern w:val="0"/>
                <w:szCs w:val="21"/>
              </w:rPr>
            </w:pPr>
          </w:p>
          <w:p>
            <w:pPr>
              <w:snapToGrid w:val="0"/>
              <w:spacing w:line="400" w:lineRule="exact"/>
              <w:jc w:val="right"/>
              <w:rPr>
                <w:rFonts w:ascii="宋体" w:hAnsi="宋体"/>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pPr>
              <w:snapToGrid w:val="0"/>
              <w:spacing w:line="400" w:lineRule="exact"/>
              <w:rPr>
                <w:rFonts w:ascii="宋体" w:hAnsi="宋体"/>
                <w:kern w:val="0"/>
                <w:szCs w:val="21"/>
              </w:rPr>
            </w:pPr>
            <w:r>
              <w:rPr>
                <w:rFonts w:hint="eastAsia" w:ascii="宋体" w:hAnsi="宋体"/>
                <w:kern w:val="0"/>
                <w:szCs w:val="21"/>
              </w:rPr>
              <w:t>单位地址：</w:t>
            </w:r>
          </w:p>
        </w:tc>
        <w:tc>
          <w:tcPr>
            <w:tcW w:w="4517" w:type="dxa"/>
            <w:vAlign w:val="center"/>
          </w:tcPr>
          <w:p>
            <w:pPr>
              <w:snapToGrid w:val="0"/>
              <w:spacing w:line="400" w:lineRule="exact"/>
              <w:rPr>
                <w:rFonts w:ascii="宋体" w:hAnsi="宋体"/>
                <w:kern w:val="0"/>
                <w:szCs w:val="21"/>
              </w:rPr>
            </w:pPr>
            <w:r>
              <w:rPr>
                <w:rFonts w:hint="eastAsia" w:ascii="宋体" w:hAnsi="宋体"/>
                <w:kern w:val="0"/>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516" w:type="dxa"/>
            <w:vAlign w:val="center"/>
          </w:tcPr>
          <w:p>
            <w:pPr>
              <w:snapToGrid w:val="0"/>
              <w:spacing w:line="400" w:lineRule="exact"/>
              <w:rPr>
                <w:rFonts w:ascii="宋体" w:hAnsi="宋体"/>
                <w:kern w:val="0"/>
                <w:szCs w:val="21"/>
              </w:rPr>
            </w:pPr>
            <w:r>
              <w:rPr>
                <w:rFonts w:hint="eastAsia" w:ascii="宋体" w:hAnsi="宋体"/>
                <w:kern w:val="0"/>
                <w:szCs w:val="21"/>
              </w:rPr>
              <w:t>法定代表人：</w:t>
            </w:r>
          </w:p>
        </w:tc>
        <w:tc>
          <w:tcPr>
            <w:tcW w:w="4517" w:type="dxa"/>
            <w:vAlign w:val="center"/>
          </w:tcPr>
          <w:p>
            <w:pPr>
              <w:snapToGrid w:val="0"/>
              <w:spacing w:line="400" w:lineRule="exact"/>
              <w:rPr>
                <w:rFonts w:ascii="宋体" w:hAnsi="宋体"/>
                <w:kern w:val="0"/>
                <w:szCs w:val="21"/>
              </w:rPr>
            </w:pPr>
            <w:r>
              <w:rPr>
                <w:rFonts w:hint="eastAsia" w:ascii="宋体" w:hAnsi="宋体"/>
                <w:kern w:val="0"/>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516" w:type="dxa"/>
            <w:vAlign w:val="center"/>
          </w:tcPr>
          <w:p>
            <w:pPr>
              <w:snapToGrid w:val="0"/>
              <w:spacing w:line="400" w:lineRule="exact"/>
              <w:rPr>
                <w:rFonts w:ascii="宋体" w:hAnsi="宋体"/>
                <w:kern w:val="0"/>
                <w:szCs w:val="21"/>
              </w:rPr>
            </w:pPr>
            <w:r>
              <w:rPr>
                <w:rFonts w:hint="eastAsia" w:ascii="宋体" w:hAnsi="宋体"/>
                <w:kern w:val="0"/>
                <w:szCs w:val="21"/>
              </w:rPr>
              <w:t>委托代理人：</w:t>
            </w:r>
          </w:p>
        </w:tc>
        <w:tc>
          <w:tcPr>
            <w:tcW w:w="4517" w:type="dxa"/>
            <w:vAlign w:val="center"/>
          </w:tcPr>
          <w:p>
            <w:pPr>
              <w:snapToGrid w:val="0"/>
              <w:spacing w:line="400" w:lineRule="exact"/>
              <w:rPr>
                <w:rFonts w:ascii="宋体" w:hAnsi="宋体"/>
                <w:kern w:val="0"/>
                <w:szCs w:val="21"/>
              </w:rPr>
            </w:pPr>
            <w:r>
              <w:rPr>
                <w:rFonts w:hint="eastAsia" w:ascii="宋体" w:hAnsi="宋体"/>
                <w:kern w:val="0"/>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pPr>
              <w:snapToGrid w:val="0"/>
              <w:spacing w:line="400" w:lineRule="exact"/>
              <w:rPr>
                <w:rFonts w:ascii="宋体" w:hAnsi="宋体"/>
                <w:kern w:val="0"/>
                <w:szCs w:val="21"/>
              </w:rPr>
            </w:pPr>
            <w:r>
              <w:rPr>
                <w:rFonts w:hint="eastAsia" w:ascii="宋体" w:hAnsi="宋体"/>
                <w:kern w:val="0"/>
                <w:szCs w:val="21"/>
              </w:rPr>
              <w:t>电话：</w:t>
            </w:r>
          </w:p>
        </w:tc>
        <w:tc>
          <w:tcPr>
            <w:tcW w:w="4517" w:type="dxa"/>
            <w:vAlign w:val="center"/>
          </w:tcPr>
          <w:p>
            <w:pPr>
              <w:snapToGrid w:val="0"/>
              <w:spacing w:line="400" w:lineRule="exact"/>
              <w:rPr>
                <w:rFonts w:ascii="宋体" w:hAnsi="宋体"/>
                <w:kern w:val="0"/>
                <w:szCs w:val="21"/>
              </w:rPr>
            </w:pPr>
            <w:r>
              <w:rPr>
                <w:rFonts w:hint="eastAsia" w:ascii="宋体" w:hAnsi="宋体"/>
                <w:kern w:val="0"/>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vAlign w:val="center"/>
          </w:tcPr>
          <w:p>
            <w:pPr>
              <w:snapToGrid w:val="0"/>
              <w:spacing w:line="400" w:lineRule="exact"/>
              <w:rPr>
                <w:rFonts w:ascii="宋体" w:hAnsi="宋体"/>
                <w:kern w:val="0"/>
                <w:szCs w:val="21"/>
              </w:rPr>
            </w:pPr>
            <w:r>
              <w:rPr>
                <w:rFonts w:hint="eastAsia" w:ascii="宋体" w:hAnsi="宋体"/>
                <w:kern w:val="0"/>
                <w:szCs w:val="21"/>
              </w:rPr>
              <w:t>电子邮箱：</w:t>
            </w:r>
          </w:p>
        </w:tc>
        <w:tc>
          <w:tcPr>
            <w:tcW w:w="4517" w:type="dxa"/>
            <w:vAlign w:val="center"/>
          </w:tcPr>
          <w:p>
            <w:pPr>
              <w:snapToGrid w:val="0"/>
              <w:spacing w:line="400" w:lineRule="exact"/>
              <w:rPr>
                <w:rFonts w:ascii="宋体" w:hAnsi="宋体"/>
                <w:kern w:val="0"/>
                <w:szCs w:val="21"/>
              </w:rPr>
            </w:pPr>
            <w:r>
              <w:rPr>
                <w:rFonts w:hint="eastAsia" w:ascii="宋体" w:hAnsi="宋体"/>
                <w:kern w:val="0"/>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pPr>
              <w:snapToGrid w:val="0"/>
              <w:spacing w:line="400" w:lineRule="exact"/>
              <w:rPr>
                <w:rFonts w:ascii="宋体" w:hAnsi="宋体"/>
                <w:kern w:val="0"/>
                <w:szCs w:val="21"/>
              </w:rPr>
            </w:pPr>
            <w:r>
              <w:rPr>
                <w:rFonts w:hint="eastAsia" w:ascii="宋体" w:hAnsi="宋体"/>
                <w:kern w:val="0"/>
                <w:szCs w:val="21"/>
              </w:rPr>
              <w:t>开户银行：</w:t>
            </w:r>
          </w:p>
        </w:tc>
        <w:tc>
          <w:tcPr>
            <w:tcW w:w="4517" w:type="dxa"/>
            <w:vAlign w:val="center"/>
          </w:tcPr>
          <w:p>
            <w:pPr>
              <w:snapToGrid w:val="0"/>
              <w:spacing w:line="400" w:lineRule="exact"/>
              <w:rPr>
                <w:rFonts w:ascii="宋体" w:hAnsi="宋体"/>
                <w:kern w:val="0"/>
                <w:szCs w:val="21"/>
              </w:rPr>
            </w:pPr>
            <w:r>
              <w:rPr>
                <w:rFonts w:hint="eastAsia" w:ascii="宋体" w:hAnsi="宋体"/>
                <w:kern w:val="0"/>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pPr>
              <w:snapToGrid w:val="0"/>
              <w:spacing w:line="400" w:lineRule="exact"/>
              <w:rPr>
                <w:rFonts w:ascii="宋体" w:hAnsi="宋体"/>
                <w:kern w:val="0"/>
                <w:szCs w:val="21"/>
              </w:rPr>
            </w:pPr>
            <w:r>
              <w:rPr>
                <w:rFonts w:hint="eastAsia" w:ascii="宋体" w:hAnsi="宋体"/>
                <w:kern w:val="0"/>
                <w:szCs w:val="21"/>
              </w:rPr>
              <w:t>账号：</w:t>
            </w:r>
          </w:p>
        </w:tc>
        <w:tc>
          <w:tcPr>
            <w:tcW w:w="4517" w:type="dxa"/>
            <w:vAlign w:val="center"/>
          </w:tcPr>
          <w:p>
            <w:pPr>
              <w:snapToGrid w:val="0"/>
              <w:spacing w:line="400" w:lineRule="exact"/>
              <w:rPr>
                <w:rFonts w:ascii="宋体" w:hAnsi="宋体"/>
                <w:kern w:val="0"/>
                <w:szCs w:val="21"/>
              </w:rPr>
            </w:pPr>
            <w:r>
              <w:rPr>
                <w:rFonts w:hint="eastAsia" w:ascii="宋体" w:hAnsi="宋体"/>
                <w:kern w:val="0"/>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pPr>
              <w:snapToGrid w:val="0"/>
              <w:spacing w:line="400" w:lineRule="exact"/>
              <w:rPr>
                <w:rFonts w:ascii="宋体" w:hAnsi="宋体"/>
                <w:kern w:val="0"/>
                <w:szCs w:val="21"/>
              </w:rPr>
            </w:pPr>
            <w:r>
              <w:rPr>
                <w:rFonts w:hint="eastAsia" w:ascii="宋体" w:hAnsi="宋体"/>
                <w:kern w:val="0"/>
                <w:szCs w:val="21"/>
              </w:rPr>
              <w:t>邮政编码：</w:t>
            </w:r>
          </w:p>
        </w:tc>
        <w:tc>
          <w:tcPr>
            <w:tcW w:w="4517" w:type="dxa"/>
            <w:vAlign w:val="center"/>
          </w:tcPr>
          <w:p>
            <w:pPr>
              <w:snapToGrid w:val="0"/>
              <w:spacing w:line="400" w:lineRule="exact"/>
              <w:rPr>
                <w:rFonts w:ascii="宋体" w:hAnsi="宋体"/>
                <w:kern w:val="0"/>
                <w:szCs w:val="21"/>
              </w:rPr>
            </w:pPr>
            <w:r>
              <w:rPr>
                <w:rFonts w:hint="eastAsia" w:ascii="宋体" w:hAnsi="宋体"/>
                <w:kern w:val="0"/>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9033" w:type="dxa"/>
            <w:gridSpan w:val="2"/>
          </w:tcPr>
          <w:p>
            <w:pPr>
              <w:snapToGrid w:val="0"/>
              <w:spacing w:line="400" w:lineRule="exact"/>
              <w:ind w:right="240"/>
              <w:jc w:val="right"/>
              <w:rPr>
                <w:rFonts w:ascii="宋体" w:hAnsi="宋体"/>
                <w:kern w:val="0"/>
                <w:szCs w:val="21"/>
              </w:rPr>
            </w:pPr>
            <w:r>
              <w:rPr>
                <w:rFonts w:hint="eastAsia" w:ascii="宋体" w:hAnsi="宋体"/>
                <w:kern w:val="0"/>
                <w:szCs w:val="21"/>
              </w:rPr>
              <w:t>经办人：                                                 年    月    日</w:t>
            </w:r>
          </w:p>
        </w:tc>
      </w:tr>
    </w:tbl>
    <w:p>
      <w:pPr>
        <w:snapToGrid w:val="0"/>
        <w:spacing w:line="400" w:lineRule="exact"/>
        <w:rPr>
          <w:rFonts w:ascii="宋体" w:hAnsi="宋体"/>
          <w:b/>
          <w:kern w:val="0"/>
          <w:szCs w:val="21"/>
        </w:rPr>
      </w:pPr>
      <w:r>
        <w:rPr>
          <w:rFonts w:ascii="宋体" w:hAnsi="宋体"/>
          <w:b/>
          <w:kern w:val="0"/>
          <w:szCs w:val="21"/>
        </w:rPr>
        <w:br w:type="page"/>
      </w:r>
      <w:r>
        <w:rPr>
          <w:rFonts w:hint="eastAsia" w:ascii="宋体" w:hAnsi="宋体"/>
          <w:b/>
          <w:kern w:val="0"/>
          <w:szCs w:val="21"/>
        </w:rPr>
        <w:t>合 同 附 件</w:t>
      </w:r>
    </w:p>
    <w:tbl>
      <w:tblPr>
        <w:tblStyle w:val="26"/>
        <w:tblW w:w="0" w:type="auto"/>
        <w:tblInd w:w="0" w:type="dxa"/>
        <w:tblLayout w:type="fixed"/>
        <w:tblCellMar>
          <w:top w:w="0" w:type="dxa"/>
          <w:left w:w="108" w:type="dxa"/>
          <w:bottom w:w="0" w:type="dxa"/>
          <w:right w:w="108" w:type="dxa"/>
        </w:tblCellMar>
      </w:tblPr>
      <w:tblGrid>
        <w:gridCol w:w="4219"/>
        <w:gridCol w:w="4826"/>
      </w:tblGrid>
      <w:tr>
        <w:tblPrEx>
          <w:tblCellMar>
            <w:top w:w="0" w:type="dxa"/>
            <w:left w:w="108" w:type="dxa"/>
            <w:bottom w:w="0" w:type="dxa"/>
            <w:right w:w="108" w:type="dxa"/>
          </w:tblCellMar>
        </w:tblPrEx>
        <w:trPr>
          <w:trHeight w:val="628" w:hRule="exact"/>
        </w:trPr>
        <w:tc>
          <w:tcPr>
            <w:tcW w:w="9045" w:type="dxa"/>
            <w:gridSpan w:val="2"/>
            <w:tcBorders>
              <w:top w:val="single" w:color="auto" w:sz="4" w:space="0"/>
              <w:left w:val="single" w:color="auto" w:sz="4" w:space="0"/>
              <w:right w:val="single" w:color="auto" w:sz="4" w:space="0"/>
            </w:tcBorders>
            <w:vAlign w:val="center"/>
          </w:tcPr>
          <w:p>
            <w:pPr>
              <w:snapToGrid w:val="0"/>
              <w:spacing w:line="400" w:lineRule="exact"/>
              <w:ind w:firstLine="482"/>
              <w:rPr>
                <w:rFonts w:ascii="宋体" w:hAnsi="宋体"/>
                <w:kern w:val="0"/>
                <w:szCs w:val="21"/>
              </w:rPr>
            </w:pPr>
            <w:r>
              <w:rPr>
                <w:rFonts w:hint="eastAsia" w:ascii="宋体" w:hAnsi="宋体"/>
                <w:kern w:val="0"/>
                <w:szCs w:val="21"/>
              </w:rPr>
              <w:t>1、成交供应商承诺具体事项：</w:t>
            </w:r>
          </w:p>
        </w:tc>
      </w:tr>
      <w:tr>
        <w:tblPrEx>
          <w:tblCellMar>
            <w:top w:w="0" w:type="dxa"/>
            <w:left w:w="108" w:type="dxa"/>
            <w:bottom w:w="0" w:type="dxa"/>
            <w:right w:w="108" w:type="dxa"/>
          </w:tblCellMar>
        </w:tblPrEx>
        <w:trPr>
          <w:trHeight w:val="447" w:hRule="atLeast"/>
        </w:trPr>
        <w:tc>
          <w:tcPr>
            <w:tcW w:w="9045" w:type="dxa"/>
            <w:gridSpan w:val="2"/>
            <w:tcBorders>
              <w:left w:val="single" w:color="auto" w:sz="4" w:space="0"/>
              <w:right w:val="single" w:color="auto" w:sz="4" w:space="0"/>
            </w:tcBorders>
            <w:vAlign w:val="center"/>
          </w:tcPr>
          <w:p>
            <w:pPr>
              <w:snapToGrid w:val="0"/>
              <w:spacing w:line="400" w:lineRule="exact"/>
              <w:ind w:firstLine="482"/>
              <w:rPr>
                <w:rFonts w:ascii="宋体" w:hAnsi="宋体"/>
                <w:kern w:val="0"/>
                <w:szCs w:val="21"/>
              </w:rPr>
            </w:pPr>
          </w:p>
        </w:tc>
      </w:tr>
      <w:tr>
        <w:tblPrEx>
          <w:tblCellMar>
            <w:top w:w="0" w:type="dxa"/>
            <w:left w:w="108" w:type="dxa"/>
            <w:bottom w:w="0" w:type="dxa"/>
            <w:right w:w="108" w:type="dxa"/>
          </w:tblCellMar>
        </w:tblPrEx>
        <w:trPr>
          <w:trHeight w:val="628" w:hRule="exact"/>
        </w:trPr>
        <w:tc>
          <w:tcPr>
            <w:tcW w:w="9045" w:type="dxa"/>
            <w:gridSpan w:val="2"/>
            <w:tcBorders>
              <w:top w:val="single" w:color="auto" w:sz="4" w:space="0"/>
              <w:left w:val="single" w:color="auto" w:sz="4" w:space="0"/>
              <w:right w:val="single" w:color="auto" w:sz="4" w:space="0"/>
            </w:tcBorders>
            <w:vAlign w:val="center"/>
          </w:tcPr>
          <w:p>
            <w:pPr>
              <w:snapToGrid w:val="0"/>
              <w:spacing w:line="400" w:lineRule="exact"/>
              <w:ind w:firstLine="482"/>
              <w:rPr>
                <w:rFonts w:ascii="宋体" w:hAnsi="宋体"/>
                <w:kern w:val="0"/>
                <w:szCs w:val="21"/>
              </w:rPr>
            </w:pPr>
            <w:r>
              <w:rPr>
                <w:rFonts w:hint="eastAsia" w:ascii="宋体" w:hAnsi="宋体"/>
                <w:kern w:val="0"/>
                <w:szCs w:val="21"/>
              </w:rPr>
              <w:t>2、售后服务具体事项：</w:t>
            </w:r>
          </w:p>
        </w:tc>
      </w:tr>
      <w:tr>
        <w:tblPrEx>
          <w:tblCellMar>
            <w:top w:w="0" w:type="dxa"/>
            <w:left w:w="108" w:type="dxa"/>
            <w:bottom w:w="0" w:type="dxa"/>
            <w:right w:w="108" w:type="dxa"/>
          </w:tblCellMar>
        </w:tblPrEx>
        <w:trPr>
          <w:trHeight w:val="541" w:hRule="atLeast"/>
        </w:trPr>
        <w:tc>
          <w:tcPr>
            <w:tcW w:w="9045" w:type="dxa"/>
            <w:gridSpan w:val="2"/>
            <w:tcBorders>
              <w:left w:val="single" w:color="auto" w:sz="4" w:space="0"/>
              <w:bottom w:val="single" w:color="auto" w:sz="4" w:space="0"/>
              <w:right w:val="single" w:color="auto" w:sz="4" w:space="0"/>
            </w:tcBorders>
            <w:vAlign w:val="center"/>
          </w:tcPr>
          <w:p>
            <w:pPr>
              <w:snapToGrid w:val="0"/>
              <w:spacing w:line="400" w:lineRule="exact"/>
              <w:ind w:firstLine="482"/>
              <w:rPr>
                <w:rFonts w:ascii="宋体" w:hAnsi="宋体"/>
                <w:kern w:val="0"/>
                <w:szCs w:val="21"/>
              </w:rPr>
            </w:pPr>
          </w:p>
        </w:tc>
      </w:tr>
      <w:tr>
        <w:tblPrEx>
          <w:tblCellMar>
            <w:top w:w="0" w:type="dxa"/>
            <w:left w:w="108" w:type="dxa"/>
            <w:bottom w:w="0" w:type="dxa"/>
            <w:right w:w="108" w:type="dxa"/>
          </w:tblCellMar>
        </w:tblPrEx>
        <w:trPr>
          <w:trHeight w:val="612" w:hRule="atLeast"/>
        </w:trPr>
        <w:tc>
          <w:tcPr>
            <w:tcW w:w="9045" w:type="dxa"/>
            <w:gridSpan w:val="2"/>
            <w:tcBorders>
              <w:top w:val="single" w:color="auto" w:sz="4" w:space="0"/>
              <w:left w:val="single" w:color="auto" w:sz="4" w:space="0"/>
              <w:right w:val="single" w:color="auto" w:sz="4" w:space="0"/>
            </w:tcBorders>
            <w:vAlign w:val="center"/>
          </w:tcPr>
          <w:p>
            <w:pPr>
              <w:snapToGrid w:val="0"/>
              <w:spacing w:line="400" w:lineRule="exact"/>
              <w:ind w:firstLine="482"/>
              <w:rPr>
                <w:rFonts w:ascii="宋体" w:hAnsi="宋体"/>
                <w:kern w:val="0"/>
                <w:szCs w:val="21"/>
              </w:rPr>
            </w:pPr>
            <w:r>
              <w:rPr>
                <w:rFonts w:hint="eastAsia" w:ascii="宋体" w:hAnsi="宋体"/>
                <w:kern w:val="0"/>
                <w:szCs w:val="21"/>
              </w:rPr>
              <w:t>3、服务期责任：</w:t>
            </w:r>
          </w:p>
        </w:tc>
      </w:tr>
      <w:tr>
        <w:tblPrEx>
          <w:tblCellMar>
            <w:top w:w="0" w:type="dxa"/>
            <w:left w:w="108" w:type="dxa"/>
            <w:bottom w:w="0" w:type="dxa"/>
            <w:right w:w="108" w:type="dxa"/>
          </w:tblCellMar>
        </w:tblPrEx>
        <w:trPr>
          <w:trHeight w:val="646" w:hRule="atLeast"/>
        </w:trPr>
        <w:tc>
          <w:tcPr>
            <w:tcW w:w="9045" w:type="dxa"/>
            <w:gridSpan w:val="2"/>
            <w:tcBorders>
              <w:left w:val="single" w:color="auto" w:sz="4" w:space="0"/>
              <w:bottom w:val="single" w:color="auto" w:sz="4" w:space="0"/>
              <w:right w:val="single" w:color="auto" w:sz="4" w:space="0"/>
            </w:tcBorders>
            <w:vAlign w:val="center"/>
          </w:tcPr>
          <w:p>
            <w:pPr>
              <w:snapToGrid w:val="0"/>
              <w:spacing w:line="400" w:lineRule="exact"/>
              <w:ind w:firstLine="482"/>
              <w:rPr>
                <w:rFonts w:ascii="宋体" w:hAnsi="宋体"/>
                <w:kern w:val="0"/>
                <w:szCs w:val="21"/>
              </w:rPr>
            </w:pPr>
          </w:p>
        </w:tc>
      </w:tr>
      <w:tr>
        <w:tblPrEx>
          <w:tblCellMar>
            <w:top w:w="0" w:type="dxa"/>
            <w:left w:w="108" w:type="dxa"/>
            <w:bottom w:w="0" w:type="dxa"/>
            <w:right w:w="108" w:type="dxa"/>
          </w:tblCellMar>
        </w:tblPrEx>
        <w:trPr>
          <w:trHeight w:val="628" w:hRule="exact"/>
        </w:trPr>
        <w:tc>
          <w:tcPr>
            <w:tcW w:w="9045" w:type="dxa"/>
            <w:gridSpan w:val="2"/>
            <w:tcBorders>
              <w:top w:val="single" w:color="auto" w:sz="4" w:space="0"/>
              <w:left w:val="single" w:color="auto" w:sz="4" w:space="0"/>
              <w:right w:val="single" w:color="auto" w:sz="4" w:space="0"/>
            </w:tcBorders>
            <w:vAlign w:val="center"/>
          </w:tcPr>
          <w:p>
            <w:pPr>
              <w:snapToGrid w:val="0"/>
              <w:spacing w:line="400" w:lineRule="exact"/>
              <w:ind w:firstLine="482"/>
              <w:rPr>
                <w:rFonts w:ascii="宋体" w:hAnsi="宋体"/>
                <w:kern w:val="0"/>
                <w:szCs w:val="21"/>
              </w:rPr>
            </w:pPr>
            <w:r>
              <w:rPr>
                <w:rFonts w:hint="eastAsia" w:ascii="宋体" w:hAnsi="宋体"/>
                <w:kern w:val="0"/>
                <w:szCs w:val="21"/>
              </w:rPr>
              <w:t>4、其他具体事项：</w:t>
            </w:r>
          </w:p>
        </w:tc>
      </w:tr>
      <w:tr>
        <w:tblPrEx>
          <w:tblCellMar>
            <w:top w:w="0" w:type="dxa"/>
            <w:left w:w="108" w:type="dxa"/>
            <w:bottom w:w="0" w:type="dxa"/>
            <w:right w:w="108" w:type="dxa"/>
          </w:tblCellMar>
        </w:tblPrEx>
        <w:trPr>
          <w:trHeight w:val="690" w:hRule="atLeast"/>
        </w:trPr>
        <w:tc>
          <w:tcPr>
            <w:tcW w:w="9045" w:type="dxa"/>
            <w:gridSpan w:val="2"/>
            <w:tcBorders>
              <w:left w:val="single" w:color="auto" w:sz="4" w:space="0"/>
              <w:right w:val="single" w:color="auto" w:sz="4" w:space="0"/>
            </w:tcBorders>
            <w:vAlign w:val="center"/>
          </w:tcPr>
          <w:p>
            <w:pPr>
              <w:snapToGrid w:val="0"/>
              <w:spacing w:line="400" w:lineRule="exact"/>
              <w:ind w:firstLine="482"/>
              <w:rPr>
                <w:rFonts w:ascii="宋体" w:hAnsi="宋体"/>
                <w:kern w:val="0"/>
                <w:szCs w:val="21"/>
              </w:rPr>
            </w:pPr>
          </w:p>
        </w:tc>
      </w:tr>
      <w:tr>
        <w:tblPrEx>
          <w:tblCellMar>
            <w:top w:w="0" w:type="dxa"/>
            <w:left w:w="108" w:type="dxa"/>
            <w:bottom w:w="0" w:type="dxa"/>
            <w:right w:w="108" w:type="dxa"/>
          </w:tblCellMar>
        </w:tblPrEx>
        <w:trPr>
          <w:trHeight w:val="3566" w:hRule="atLeast"/>
        </w:trPr>
        <w:tc>
          <w:tcPr>
            <w:tcW w:w="42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2"/>
              <w:rPr>
                <w:rFonts w:ascii="宋体" w:hAnsi="宋体"/>
                <w:kern w:val="0"/>
                <w:szCs w:val="21"/>
              </w:rPr>
            </w:pPr>
            <w:r>
              <w:rPr>
                <w:rFonts w:hint="eastAsia" w:ascii="宋体" w:hAnsi="宋体"/>
                <w:kern w:val="0"/>
                <w:szCs w:val="21"/>
              </w:rPr>
              <w:t>甲方（章）</w:t>
            </w:r>
          </w:p>
          <w:p>
            <w:pPr>
              <w:snapToGrid w:val="0"/>
              <w:spacing w:line="400" w:lineRule="exact"/>
              <w:ind w:firstLine="482"/>
              <w:rPr>
                <w:rFonts w:ascii="宋体" w:hAnsi="宋体"/>
                <w:kern w:val="0"/>
                <w:szCs w:val="21"/>
              </w:rPr>
            </w:pPr>
          </w:p>
          <w:p>
            <w:pPr>
              <w:snapToGrid w:val="0"/>
              <w:spacing w:line="400" w:lineRule="exact"/>
              <w:ind w:firstLine="482"/>
              <w:rPr>
                <w:rFonts w:ascii="宋体" w:hAnsi="宋体"/>
                <w:kern w:val="0"/>
                <w:szCs w:val="21"/>
              </w:rPr>
            </w:pPr>
          </w:p>
          <w:p>
            <w:pPr>
              <w:snapToGrid w:val="0"/>
              <w:spacing w:line="400" w:lineRule="exact"/>
              <w:ind w:firstLine="482"/>
              <w:rPr>
                <w:rFonts w:ascii="宋体" w:hAnsi="宋体"/>
                <w:kern w:val="0"/>
                <w:szCs w:val="21"/>
              </w:rPr>
            </w:pPr>
          </w:p>
          <w:p>
            <w:pPr>
              <w:snapToGrid w:val="0"/>
              <w:spacing w:line="400" w:lineRule="exact"/>
              <w:ind w:firstLine="482"/>
              <w:rPr>
                <w:rFonts w:ascii="宋体" w:hAnsi="宋体"/>
                <w:kern w:val="0"/>
                <w:szCs w:val="21"/>
              </w:rPr>
            </w:pPr>
          </w:p>
          <w:p>
            <w:pPr>
              <w:snapToGrid w:val="0"/>
              <w:spacing w:line="400" w:lineRule="exact"/>
              <w:ind w:firstLine="482"/>
              <w:rPr>
                <w:rFonts w:ascii="宋体" w:hAnsi="宋体"/>
                <w:kern w:val="0"/>
                <w:szCs w:val="21"/>
              </w:rPr>
            </w:pPr>
          </w:p>
          <w:p>
            <w:pPr>
              <w:snapToGrid w:val="0"/>
              <w:spacing w:line="400" w:lineRule="exact"/>
              <w:ind w:firstLine="482"/>
              <w:rPr>
                <w:rFonts w:ascii="宋体" w:hAnsi="宋体"/>
                <w:kern w:val="0"/>
                <w:szCs w:val="21"/>
              </w:rPr>
            </w:pPr>
          </w:p>
          <w:p>
            <w:pPr>
              <w:snapToGrid w:val="0"/>
              <w:spacing w:line="400" w:lineRule="exact"/>
              <w:ind w:firstLine="482"/>
              <w:rPr>
                <w:rFonts w:ascii="宋体" w:hAnsi="宋体"/>
                <w:kern w:val="0"/>
                <w:szCs w:val="21"/>
              </w:rPr>
            </w:pPr>
            <w:r>
              <w:rPr>
                <w:rFonts w:hint="eastAsia" w:ascii="宋体" w:hAnsi="宋体"/>
                <w:kern w:val="0"/>
                <w:szCs w:val="21"/>
              </w:rPr>
              <w:t xml:space="preserve">                 年   月   日 </w:t>
            </w:r>
          </w:p>
        </w:tc>
        <w:tc>
          <w:tcPr>
            <w:tcW w:w="482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2"/>
              <w:rPr>
                <w:rFonts w:ascii="宋体" w:hAnsi="宋体"/>
                <w:kern w:val="0"/>
                <w:szCs w:val="21"/>
              </w:rPr>
            </w:pPr>
            <w:r>
              <w:rPr>
                <w:rFonts w:hint="eastAsia" w:ascii="宋体" w:hAnsi="宋体"/>
                <w:kern w:val="0"/>
                <w:szCs w:val="21"/>
              </w:rPr>
              <w:t>乙方（章）</w:t>
            </w:r>
          </w:p>
          <w:p>
            <w:pPr>
              <w:snapToGrid w:val="0"/>
              <w:spacing w:line="400" w:lineRule="exact"/>
              <w:ind w:firstLine="482"/>
              <w:rPr>
                <w:rFonts w:ascii="宋体" w:hAnsi="宋体"/>
                <w:kern w:val="0"/>
                <w:szCs w:val="21"/>
              </w:rPr>
            </w:pPr>
          </w:p>
          <w:p>
            <w:pPr>
              <w:snapToGrid w:val="0"/>
              <w:spacing w:line="400" w:lineRule="exact"/>
              <w:ind w:firstLine="482"/>
              <w:rPr>
                <w:rFonts w:ascii="宋体" w:hAnsi="宋体"/>
                <w:kern w:val="0"/>
                <w:szCs w:val="21"/>
              </w:rPr>
            </w:pPr>
          </w:p>
          <w:p>
            <w:pPr>
              <w:snapToGrid w:val="0"/>
              <w:spacing w:line="400" w:lineRule="exact"/>
              <w:ind w:firstLine="482"/>
              <w:rPr>
                <w:rFonts w:ascii="宋体" w:hAnsi="宋体"/>
                <w:kern w:val="0"/>
                <w:szCs w:val="21"/>
              </w:rPr>
            </w:pPr>
          </w:p>
          <w:p>
            <w:pPr>
              <w:snapToGrid w:val="0"/>
              <w:spacing w:line="400" w:lineRule="exact"/>
              <w:ind w:firstLine="482"/>
              <w:rPr>
                <w:rFonts w:ascii="宋体" w:hAnsi="宋体"/>
                <w:kern w:val="0"/>
                <w:szCs w:val="21"/>
              </w:rPr>
            </w:pPr>
          </w:p>
          <w:p>
            <w:pPr>
              <w:snapToGrid w:val="0"/>
              <w:spacing w:line="400" w:lineRule="exact"/>
              <w:ind w:firstLine="482"/>
              <w:rPr>
                <w:rFonts w:ascii="宋体" w:hAnsi="宋体"/>
                <w:kern w:val="0"/>
                <w:szCs w:val="21"/>
              </w:rPr>
            </w:pPr>
          </w:p>
          <w:p>
            <w:pPr>
              <w:snapToGrid w:val="0"/>
              <w:spacing w:line="400" w:lineRule="exact"/>
              <w:ind w:firstLine="482"/>
              <w:rPr>
                <w:rFonts w:ascii="宋体" w:hAnsi="宋体"/>
                <w:kern w:val="0"/>
                <w:szCs w:val="21"/>
              </w:rPr>
            </w:pPr>
          </w:p>
          <w:p>
            <w:pPr>
              <w:snapToGrid w:val="0"/>
              <w:spacing w:line="400" w:lineRule="exact"/>
              <w:ind w:firstLine="482"/>
              <w:rPr>
                <w:rFonts w:ascii="宋体" w:hAnsi="宋体"/>
                <w:kern w:val="0"/>
                <w:szCs w:val="21"/>
              </w:rPr>
            </w:pPr>
            <w:r>
              <w:rPr>
                <w:rFonts w:hint="eastAsia" w:ascii="宋体" w:hAnsi="宋体"/>
                <w:kern w:val="0"/>
                <w:szCs w:val="21"/>
              </w:rPr>
              <w:t xml:space="preserve">                年   月   日</w:t>
            </w:r>
          </w:p>
        </w:tc>
      </w:tr>
    </w:tbl>
    <w:p>
      <w:pPr>
        <w:snapToGrid w:val="0"/>
        <w:spacing w:line="360" w:lineRule="auto"/>
        <w:rPr>
          <w:rFonts w:ascii="宋体" w:hAnsi="宋体"/>
          <w:kern w:val="0"/>
          <w:szCs w:val="21"/>
        </w:rPr>
      </w:pPr>
      <w:r>
        <w:rPr>
          <w:rFonts w:hint="eastAsia" w:ascii="宋体" w:hAnsi="宋体"/>
          <w:kern w:val="0"/>
          <w:szCs w:val="21"/>
        </w:rPr>
        <w:t xml:space="preserve">  注：售后服务事项填不下时可另加附页</w:t>
      </w:r>
    </w:p>
    <w:p>
      <w:pPr>
        <w:snapToGrid w:val="0"/>
        <w:spacing w:line="360" w:lineRule="auto"/>
        <w:rPr>
          <w:rFonts w:ascii="宋体" w:hAnsi="宋体"/>
          <w:kern w:val="0"/>
          <w:szCs w:val="21"/>
        </w:rPr>
      </w:pPr>
    </w:p>
    <w:p>
      <w:pPr>
        <w:snapToGrid w:val="0"/>
        <w:spacing w:line="360" w:lineRule="auto"/>
        <w:rPr>
          <w:rFonts w:ascii="宋体" w:hAnsi="宋体"/>
          <w:kern w:val="0"/>
          <w:szCs w:val="21"/>
        </w:rPr>
      </w:pPr>
    </w:p>
    <w:p>
      <w:pPr>
        <w:snapToGrid w:val="0"/>
        <w:spacing w:line="360" w:lineRule="auto"/>
        <w:rPr>
          <w:rFonts w:ascii="宋体" w:hAnsi="宋体"/>
          <w:kern w:val="0"/>
          <w:szCs w:val="21"/>
        </w:rPr>
      </w:pPr>
    </w:p>
    <w:p>
      <w:pPr>
        <w:snapToGrid w:val="0"/>
        <w:spacing w:line="360" w:lineRule="auto"/>
        <w:rPr>
          <w:rFonts w:ascii="宋体" w:hAnsi="宋体"/>
          <w:kern w:val="0"/>
          <w:szCs w:val="21"/>
        </w:rPr>
      </w:pPr>
    </w:p>
    <w:p>
      <w:pPr>
        <w:snapToGrid w:val="0"/>
        <w:spacing w:line="360" w:lineRule="auto"/>
        <w:rPr>
          <w:rFonts w:ascii="宋体" w:hAnsi="宋体"/>
          <w:kern w:val="0"/>
          <w:szCs w:val="21"/>
        </w:rPr>
      </w:pPr>
    </w:p>
    <w:p>
      <w:pPr>
        <w:pStyle w:val="6"/>
        <w:rPr>
          <w:rFonts w:ascii="宋体" w:hAnsi="宋体"/>
          <w:kern w:val="0"/>
          <w:sz w:val="21"/>
          <w:szCs w:val="21"/>
        </w:rPr>
      </w:pPr>
    </w:p>
    <w:p>
      <w:pPr>
        <w:rPr>
          <w:rFonts w:ascii="宋体" w:hAnsi="宋体"/>
          <w:kern w:val="0"/>
          <w:szCs w:val="21"/>
        </w:rPr>
      </w:pPr>
    </w:p>
    <w:p>
      <w:pPr>
        <w:pStyle w:val="6"/>
        <w:rPr>
          <w:rFonts w:ascii="宋体" w:hAnsi="宋体"/>
          <w:kern w:val="0"/>
          <w:sz w:val="21"/>
          <w:szCs w:val="21"/>
        </w:rPr>
      </w:pPr>
    </w:p>
    <w:p>
      <w:pPr>
        <w:pStyle w:val="6"/>
        <w:jc w:val="both"/>
      </w:pPr>
    </w:p>
    <w:p/>
    <w:p/>
    <w:p>
      <w:pPr>
        <w:widowControl/>
        <w:jc w:val="center"/>
        <w:rPr>
          <w:rFonts w:cs="新宋体"/>
          <w:b/>
          <w:bCs/>
          <w:sz w:val="32"/>
          <w:szCs w:val="32"/>
        </w:rPr>
      </w:pPr>
      <w:r>
        <w:rPr>
          <w:rFonts w:hint="eastAsia" w:cs="新宋体"/>
          <w:b/>
          <w:bCs/>
          <w:sz w:val="24"/>
        </w:rPr>
        <w:t>采购项目</w:t>
      </w:r>
      <w:r>
        <w:rPr>
          <w:rFonts w:hint="eastAsia"/>
          <w:b/>
          <w:bCs/>
          <w:sz w:val="24"/>
        </w:rPr>
        <w:t>合同验收书（格式）</w:t>
      </w:r>
    </w:p>
    <w:p>
      <w:pPr>
        <w:widowControl/>
        <w:snapToGrid w:val="0"/>
        <w:spacing w:before="100" w:beforeAutospacing="1" w:after="100" w:afterAutospacing="1" w:line="360" w:lineRule="auto"/>
        <w:ind w:left="-359" w:leftChars="-171" w:firstLine="420" w:firstLineChars="200"/>
        <w:rPr>
          <w:szCs w:val="21"/>
        </w:rPr>
      </w:pPr>
      <w:r>
        <w:rPr>
          <w:rFonts w:hint="eastAsia"/>
          <w:szCs w:val="21"/>
        </w:rPr>
        <w:t>根据采购项目（</w:t>
      </w:r>
      <w:r>
        <w:rPr>
          <w:rFonts w:hint="eastAsia"/>
          <w:szCs w:val="21"/>
          <w:u w:val="single"/>
        </w:rPr>
        <w:t>采购合同编号：</w:t>
      </w:r>
      <w:r>
        <w:rPr>
          <w:szCs w:val="21"/>
          <w:u w:val="single"/>
        </w:rPr>
        <w:t xml:space="preserve">  </w:t>
      </w:r>
      <w:r>
        <w:rPr>
          <w:rFonts w:hint="eastAsia"/>
          <w:szCs w:val="21"/>
        </w:rPr>
        <w:t>）的约定，我单位对（</w:t>
      </w:r>
      <w:r>
        <w:rPr>
          <w:szCs w:val="21"/>
          <w:u w:val="single"/>
        </w:rPr>
        <w:t xml:space="preserve">  </w:t>
      </w:r>
      <w:r>
        <w:rPr>
          <w:rFonts w:hint="eastAsia"/>
          <w:szCs w:val="21"/>
          <w:u w:val="single"/>
        </w:rPr>
        <w:t>项目名称</w:t>
      </w:r>
      <w:r>
        <w:rPr>
          <w:szCs w:val="21"/>
          <w:u w:val="single"/>
        </w:rPr>
        <w:t xml:space="preserve">   </w:t>
      </w:r>
      <w:r>
        <w:rPr>
          <w:rFonts w:hint="eastAsia"/>
          <w:szCs w:val="21"/>
        </w:rPr>
        <w:t>）采购项目中标（或成交）竞标人（</w:t>
      </w:r>
      <w:r>
        <w:rPr>
          <w:szCs w:val="21"/>
          <w:u w:val="single"/>
        </w:rPr>
        <w:t xml:space="preserve">            </w:t>
      </w:r>
      <w:r>
        <w:rPr>
          <w:rFonts w:hint="eastAsia"/>
          <w:szCs w:val="21"/>
          <w:u w:val="single"/>
        </w:rPr>
        <w:t>公司名称</w:t>
      </w:r>
      <w:r>
        <w:rPr>
          <w:szCs w:val="21"/>
          <w:u w:val="single"/>
        </w:rPr>
        <w:t xml:space="preserve">              </w:t>
      </w:r>
      <w:r>
        <w:rPr>
          <w:rFonts w:hint="eastAsia"/>
          <w:szCs w:val="21"/>
        </w:rPr>
        <w:t>）提供的货物（或工程、服务）进行了验收，验收情况如下：</w:t>
      </w:r>
    </w:p>
    <w:tbl>
      <w:tblPr>
        <w:tblStyle w:val="26"/>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27"/>
        <w:gridCol w:w="2294"/>
        <w:gridCol w:w="946"/>
        <w:gridCol w:w="2091"/>
        <w:gridCol w:w="609"/>
        <w:gridCol w:w="216"/>
        <w:gridCol w:w="19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821" w:type="dxa"/>
            <w:gridSpan w:val="2"/>
            <w:vAlign w:val="center"/>
          </w:tcPr>
          <w:p>
            <w:pPr>
              <w:widowControl/>
              <w:snapToGrid w:val="0"/>
              <w:spacing w:before="100" w:beforeAutospacing="1" w:after="100" w:afterAutospacing="1" w:line="320" w:lineRule="exact"/>
              <w:ind w:left="-3" w:firstLine="4" w:firstLineChars="2"/>
              <w:jc w:val="center"/>
              <w:rPr>
                <w:szCs w:val="21"/>
              </w:rPr>
            </w:pPr>
            <w:r>
              <w:rPr>
                <w:rFonts w:hint="eastAsia"/>
                <w:szCs w:val="21"/>
              </w:rPr>
              <w:t>验收方式：</w:t>
            </w:r>
          </w:p>
        </w:tc>
        <w:tc>
          <w:tcPr>
            <w:tcW w:w="5806" w:type="dxa"/>
            <w:gridSpan w:val="5"/>
            <w:vAlign w:val="center"/>
          </w:tcPr>
          <w:p>
            <w:pPr>
              <w:widowControl/>
              <w:snapToGrid w:val="0"/>
              <w:spacing w:before="100" w:beforeAutospacing="1" w:after="100" w:afterAutospacing="1" w:line="320" w:lineRule="exact"/>
              <w:ind w:left="-3" w:firstLine="420" w:firstLineChars="200"/>
              <w:jc w:val="center"/>
              <w:rPr>
                <w:szCs w:val="21"/>
              </w:rPr>
            </w:pPr>
            <w:r>
              <w:rPr>
                <w:rFonts w:hint="eastAsia"/>
                <w:szCs w:val="21"/>
              </w:rPr>
              <w:t>□自行验收</w:t>
            </w:r>
            <w:r>
              <w:rPr>
                <w:szCs w:val="21"/>
              </w:rPr>
              <w:t xml:space="preserve">         </w:t>
            </w:r>
            <w:r>
              <w:rPr>
                <w:rFonts w:hint="eastAsia"/>
                <w:szCs w:val="21"/>
              </w:rPr>
              <w:t>□委托验收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527" w:type="dxa"/>
            <w:vAlign w:val="center"/>
          </w:tcPr>
          <w:p>
            <w:pPr>
              <w:widowControl/>
              <w:snapToGrid w:val="0"/>
              <w:spacing w:before="100" w:beforeAutospacing="1" w:after="100" w:afterAutospacing="1" w:line="320" w:lineRule="exact"/>
              <w:ind w:firstLine="2" w:firstLineChars="1"/>
              <w:jc w:val="center"/>
              <w:rPr>
                <w:szCs w:val="21"/>
              </w:rPr>
            </w:pPr>
            <w:r>
              <w:rPr>
                <w:rFonts w:hint="eastAsia"/>
                <w:szCs w:val="21"/>
              </w:rPr>
              <w:t>序号</w:t>
            </w:r>
          </w:p>
        </w:tc>
        <w:tc>
          <w:tcPr>
            <w:tcW w:w="2294" w:type="dxa"/>
            <w:vAlign w:val="center"/>
          </w:tcPr>
          <w:p>
            <w:pPr>
              <w:widowControl/>
              <w:snapToGrid w:val="0"/>
              <w:spacing w:before="100" w:beforeAutospacing="1" w:after="100" w:afterAutospacing="1" w:line="320" w:lineRule="exact"/>
              <w:ind w:left="-3" w:firstLine="2" w:firstLineChars="1"/>
              <w:jc w:val="center"/>
              <w:rPr>
                <w:szCs w:val="21"/>
              </w:rPr>
            </w:pPr>
            <w:r>
              <w:rPr>
                <w:rFonts w:hint="eastAsia"/>
                <w:szCs w:val="21"/>
              </w:rPr>
              <w:t>服务名称</w:t>
            </w:r>
          </w:p>
        </w:tc>
        <w:tc>
          <w:tcPr>
            <w:tcW w:w="3037" w:type="dxa"/>
            <w:gridSpan w:val="2"/>
            <w:vAlign w:val="center"/>
          </w:tcPr>
          <w:p>
            <w:pPr>
              <w:widowControl/>
              <w:snapToGrid w:val="0"/>
              <w:spacing w:before="100" w:beforeAutospacing="1" w:after="100" w:afterAutospacing="1" w:line="320" w:lineRule="exact"/>
              <w:ind w:left="-3" w:firstLine="2" w:firstLineChars="1"/>
              <w:jc w:val="center"/>
              <w:rPr>
                <w:szCs w:val="21"/>
              </w:rPr>
            </w:pPr>
            <w:r>
              <w:rPr>
                <w:rFonts w:hint="eastAsia"/>
                <w:szCs w:val="21"/>
              </w:rPr>
              <w:t>服务需求</w:t>
            </w:r>
          </w:p>
        </w:tc>
        <w:tc>
          <w:tcPr>
            <w:tcW w:w="825" w:type="dxa"/>
            <w:gridSpan w:val="2"/>
            <w:vAlign w:val="center"/>
          </w:tcPr>
          <w:p>
            <w:pPr>
              <w:widowControl/>
              <w:snapToGrid w:val="0"/>
              <w:spacing w:before="100" w:beforeAutospacing="1" w:after="100" w:afterAutospacing="1" w:line="320" w:lineRule="exact"/>
              <w:jc w:val="center"/>
              <w:rPr>
                <w:szCs w:val="21"/>
              </w:rPr>
            </w:pPr>
            <w:r>
              <w:rPr>
                <w:rFonts w:hint="eastAsia"/>
                <w:szCs w:val="21"/>
              </w:rPr>
              <w:t>数量</w:t>
            </w:r>
          </w:p>
        </w:tc>
        <w:tc>
          <w:tcPr>
            <w:tcW w:w="1944" w:type="dxa"/>
            <w:vAlign w:val="center"/>
          </w:tcPr>
          <w:p>
            <w:pPr>
              <w:widowControl/>
              <w:snapToGrid w:val="0"/>
              <w:spacing w:before="100" w:beforeAutospacing="1" w:after="100" w:afterAutospacing="1" w:line="320" w:lineRule="exact"/>
              <w:ind w:left="-3" w:firstLine="2" w:firstLineChars="1"/>
              <w:jc w:val="center"/>
              <w:rPr>
                <w:szCs w:val="21"/>
              </w:rPr>
            </w:pPr>
            <w:r>
              <w:rPr>
                <w:rFonts w:hint="eastAsia"/>
                <w:szCs w:val="21"/>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vAlign w:val="center"/>
          </w:tcPr>
          <w:p>
            <w:pPr>
              <w:widowControl/>
              <w:snapToGrid w:val="0"/>
              <w:spacing w:before="100" w:beforeAutospacing="1" w:after="100" w:afterAutospacing="1" w:line="320" w:lineRule="exact"/>
              <w:ind w:left="-3" w:firstLine="4" w:firstLineChars="2"/>
              <w:rPr>
                <w:szCs w:val="21"/>
              </w:rPr>
            </w:pPr>
          </w:p>
        </w:tc>
        <w:tc>
          <w:tcPr>
            <w:tcW w:w="2294" w:type="dxa"/>
            <w:vAlign w:val="center"/>
          </w:tcPr>
          <w:p>
            <w:pPr>
              <w:widowControl/>
              <w:snapToGrid w:val="0"/>
              <w:spacing w:before="100" w:beforeAutospacing="1" w:after="100" w:afterAutospacing="1" w:line="320" w:lineRule="exact"/>
              <w:ind w:left="-3" w:firstLine="420" w:firstLineChars="200"/>
              <w:rPr>
                <w:szCs w:val="21"/>
              </w:rPr>
            </w:pPr>
          </w:p>
        </w:tc>
        <w:tc>
          <w:tcPr>
            <w:tcW w:w="3037" w:type="dxa"/>
            <w:gridSpan w:val="2"/>
            <w:vAlign w:val="center"/>
          </w:tcPr>
          <w:p>
            <w:pPr>
              <w:widowControl/>
              <w:snapToGrid w:val="0"/>
              <w:spacing w:before="100" w:beforeAutospacing="1" w:after="100" w:afterAutospacing="1" w:line="320" w:lineRule="exact"/>
              <w:ind w:left="-3" w:firstLine="420" w:firstLineChars="200"/>
              <w:rPr>
                <w:szCs w:val="21"/>
              </w:rPr>
            </w:pPr>
          </w:p>
        </w:tc>
        <w:tc>
          <w:tcPr>
            <w:tcW w:w="825" w:type="dxa"/>
            <w:gridSpan w:val="2"/>
            <w:vAlign w:val="center"/>
          </w:tcPr>
          <w:p>
            <w:pPr>
              <w:widowControl/>
              <w:snapToGrid w:val="0"/>
              <w:spacing w:before="100" w:beforeAutospacing="1" w:after="100" w:afterAutospacing="1" w:line="320" w:lineRule="exact"/>
              <w:ind w:firstLine="420" w:firstLineChars="200"/>
              <w:rPr>
                <w:szCs w:val="21"/>
              </w:rPr>
            </w:pPr>
          </w:p>
        </w:tc>
        <w:tc>
          <w:tcPr>
            <w:tcW w:w="1944" w:type="dxa"/>
            <w:vAlign w:val="center"/>
          </w:tcPr>
          <w:p>
            <w:pPr>
              <w:widowControl/>
              <w:snapToGrid w:val="0"/>
              <w:spacing w:before="100" w:beforeAutospacing="1" w:after="100" w:afterAutospacing="1" w:line="320" w:lineRule="exact"/>
              <w:ind w:firstLine="420" w:firstLineChars="200"/>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vAlign w:val="center"/>
          </w:tcPr>
          <w:p>
            <w:pPr>
              <w:widowControl/>
              <w:snapToGrid w:val="0"/>
              <w:spacing w:before="100" w:beforeAutospacing="1" w:after="100" w:afterAutospacing="1" w:line="320" w:lineRule="exact"/>
              <w:ind w:left="-3" w:firstLine="420" w:firstLineChars="200"/>
              <w:rPr>
                <w:szCs w:val="21"/>
              </w:rPr>
            </w:pPr>
          </w:p>
        </w:tc>
        <w:tc>
          <w:tcPr>
            <w:tcW w:w="2294" w:type="dxa"/>
            <w:vAlign w:val="center"/>
          </w:tcPr>
          <w:p>
            <w:pPr>
              <w:widowControl/>
              <w:snapToGrid w:val="0"/>
              <w:spacing w:before="100" w:beforeAutospacing="1" w:after="100" w:afterAutospacing="1" w:line="320" w:lineRule="exact"/>
              <w:ind w:left="-3" w:firstLine="420" w:firstLineChars="200"/>
              <w:rPr>
                <w:szCs w:val="21"/>
              </w:rPr>
            </w:pPr>
          </w:p>
        </w:tc>
        <w:tc>
          <w:tcPr>
            <w:tcW w:w="3037" w:type="dxa"/>
            <w:gridSpan w:val="2"/>
            <w:vAlign w:val="center"/>
          </w:tcPr>
          <w:p>
            <w:pPr>
              <w:widowControl/>
              <w:snapToGrid w:val="0"/>
              <w:spacing w:before="100" w:beforeAutospacing="1" w:after="100" w:afterAutospacing="1" w:line="320" w:lineRule="exact"/>
              <w:ind w:left="-3" w:firstLine="420" w:firstLineChars="200"/>
              <w:rPr>
                <w:szCs w:val="21"/>
              </w:rPr>
            </w:pPr>
          </w:p>
        </w:tc>
        <w:tc>
          <w:tcPr>
            <w:tcW w:w="825" w:type="dxa"/>
            <w:gridSpan w:val="2"/>
            <w:vAlign w:val="center"/>
          </w:tcPr>
          <w:p>
            <w:pPr>
              <w:widowControl/>
              <w:snapToGrid w:val="0"/>
              <w:spacing w:before="100" w:beforeAutospacing="1" w:after="100" w:afterAutospacing="1" w:line="320" w:lineRule="exact"/>
              <w:ind w:firstLine="420" w:firstLineChars="200"/>
              <w:rPr>
                <w:szCs w:val="21"/>
              </w:rPr>
            </w:pPr>
          </w:p>
        </w:tc>
        <w:tc>
          <w:tcPr>
            <w:tcW w:w="1944" w:type="dxa"/>
            <w:vAlign w:val="center"/>
          </w:tcPr>
          <w:p>
            <w:pPr>
              <w:widowControl/>
              <w:snapToGrid w:val="0"/>
              <w:spacing w:before="100" w:beforeAutospacing="1" w:after="100" w:afterAutospacing="1" w:line="320" w:lineRule="exact"/>
              <w:ind w:firstLine="420" w:firstLineChars="200"/>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vAlign w:val="center"/>
          </w:tcPr>
          <w:p>
            <w:pPr>
              <w:widowControl/>
              <w:snapToGrid w:val="0"/>
              <w:spacing w:before="100" w:beforeAutospacing="1" w:after="100" w:afterAutospacing="1" w:line="320" w:lineRule="exact"/>
              <w:ind w:left="-3" w:firstLine="420" w:firstLineChars="200"/>
              <w:rPr>
                <w:szCs w:val="21"/>
              </w:rPr>
            </w:pPr>
          </w:p>
        </w:tc>
        <w:tc>
          <w:tcPr>
            <w:tcW w:w="2294" w:type="dxa"/>
            <w:vAlign w:val="center"/>
          </w:tcPr>
          <w:p>
            <w:pPr>
              <w:widowControl/>
              <w:snapToGrid w:val="0"/>
              <w:spacing w:before="100" w:beforeAutospacing="1" w:after="100" w:afterAutospacing="1" w:line="320" w:lineRule="exact"/>
              <w:ind w:left="-3" w:firstLine="420" w:firstLineChars="200"/>
              <w:rPr>
                <w:szCs w:val="21"/>
              </w:rPr>
            </w:pPr>
          </w:p>
        </w:tc>
        <w:tc>
          <w:tcPr>
            <w:tcW w:w="3037" w:type="dxa"/>
            <w:gridSpan w:val="2"/>
            <w:vAlign w:val="center"/>
          </w:tcPr>
          <w:p>
            <w:pPr>
              <w:widowControl/>
              <w:snapToGrid w:val="0"/>
              <w:spacing w:before="100" w:beforeAutospacing="1" w:after="100" w:afterAutospacing="1" w:line="320" w:lineRule="exact"/>
              <w:ind w:left="-3" w:firstLine="420" w:firstLineChars="200"/>
              <w:rPr>
                <w:szCs w:val="21"/>
              </w:rPr>
            </w:pPr>
          </w:p>
        </w:tc>
        <w:tc>
          <w:tcPr>
            <w:tcW w:w="825" w:type="dxa"/>
            <w:gridSpan w:val="2"/>
            <w:vAlign w:val="center"/>
          </w:tcPr>
          <w:p>
            <w:pPr>
              <w:widowControl/>
              <w:snapToGrid w:val="0"/>
              <w:spacing w:before="100" w:beforeAutospacing="1" w:after="100" w:afterAutospacing="1" w:line="320" w:lineRule="exact"/>
              <w:ind w:firstLine="420" w:firstLineChars="200"/>
              <w:rPr>
                <w:szCs w:val="21"/>
              </w:rPr>
            </w:pPr>
          </w:p>
        </w:tc>
        <w:tc>
          <w:tcPr>
            <w:tcW w:w="1944" w:type="dxa"/>
            <w:vAlign w:val="center"/>
          </w:tcPr>
          <w:p>
            <w:pPr>
              <w:widowControl/>
              <w:snapToGrid w:val="0"/>
              <w:spacing w:before="100" w:beforeAutospacing="1" w:after="100" w:afterAutospacing="1" w:line="320" w:lineRule="exact"/>
              <w:ind w:firstLine="420" w:firstLineChars="200"/>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858" w:type="dxa"/>
            <w:gridSpan w:val="4"/>
            <w:vAlign w:val="center"/>
          </w:tcPr>
          <w:p>
            <w:pPr>
              <w:widowControl/>
              <w:snapToGrid w:val="0"/>
              <w:spacing w:before="100" w:beforeAutospacing="1" w:after="100" w:afterAutospacing="1" w:line="320" w:lineRule="exact"/>
              <w:ind w:left="-3" w:firstLine="4" w:firstLineChars="2"/>
              <w:rPr>
                <w:szCs w:val="21"/>
              </w:rPr>
            </w:pPr>
            <w:r>
              <w:rPr>
                <w:rFonts w:hint="eastAsia"/>
                <w:szCs w:val="21"/>
              </w:rPr>
              <w:t>合计</w:t>
            </w:r>
          </w:p>
        </w:tc>
        <w:tc>
          <w:tcPr>
            <w:tcW w:w="825" w:type="dxa"/>
            <w:gridSpan w:val="2"/>
            <w:vAlign w:val="center"/>
          </w:tcPr>
          <w:p>
            <w:pPr>
              <w:widowControl/>
              <w:snapToGrid w:val="0"/>
              <w:spacing w:before="100" w:beforeAutospacing="1" w:after="100" w:afterAutospacing="1" w:line="320" w:lineRule="exact"/>
              <w:ind w:firstLine="420" w:firstLineChars="200"/>
              <w:rPr>
                <w:szCs w:val="21"/>
              </w:rPr>
            </w:pPr>
          </w:p>
        </w:tc>
        <w:tc>
          <w:tcPr>
            <w:tcW w:w="1944" w:type="dxa"/>
            <w:vAlign w:val="center"/>
          </w:tcPr>
          <w:p>
            <w:pPr>
              <w:widowControl/>
              <w:snapToGrid w:val="0"/>
              <w:spacing w:before="100" w:beforeAutospacing="1" w:after="100" w:afterAutospacing="1" w:line="320" w:lineRule="exact"/>
              <w:ind w:firstLine="420" w:firstLineChars="200"/>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627" w:type="dxa"/>
            <w:gridSpan w:val="7"/>
            <w:vAlign w:val="center"/>
          </w:tcPr>
          <w:p>
            <w:pPr>
              <w:widowControl/>
              <w:snapToGrid w:val="0"/>
              <w:spacing w:before="100" w:beforeAutospacing="1" w:after="100" w:afterAutospacing="1" w:line="320" w:lineRule="exact"/>
              <w:ind w:firstLine="2" w:firstLineChars="1"/>
              <w:rPr>
                <w:szCs w:val="21"/>
              </w:rPr>
            </w:pPr>
            <w:r>
              <w:rPr>
                <w:rFonts w:hint="eastAsia"/>
                <w:szCs w:val="21"/>
              </w:rPr>
              <w:t>合计大写金额：</w:t>
            </w:r>
            <w:r>
              <w:rPr>
                <w:szCs w:val="21"/>
              </w:rPr>
              <w:t xml:space="preserve"> </w:t>
            </w:r>
            <w:r>
              <w:rPr>
                <w:rFonts w:hint="eastAsia"/>
                <w:szCs w:val="21"/>
              </w:rPr>
              <w:t>仟</w:t>
            </w:r>
            <w:r>
              <w:rPr>
                <w:szCs w:val="21"/>
              </w:rPr>
              <w:t xml:space="preserve">    </w:t>
            </w:r>
            <w:r>
              <w:rPr>
                <w:rFonts w:hint="eastAsia"/>
                <w:szCs w:val="21"/>
              </w:rPr>
              <w:t>佰</w:t>
            </w:r>
            <w:r>
              <w:rPr>
                <w:szCs w:val="21"/>
              </w:rPr>
              <w:t xml:space="preserve">    </w:t>
            </w:r>
            <w:r>
              <w:rPr>
                <w:rFonts w:hint="eastAsia"/>
                <w:szCs w:val="21"/>
              </w:rPr>
              <w:t>拾</w:t>
            </w:r>
            <w:r>
              <w:rPr>
                <w:szCs w:val="21"/>
              </w:rPr>
              <w:t xml:space="preserve">    </w:t>
            </w:r>
            <w:r>
              <w:rPr>
                <w:rFonts w:hint="eastAsia"/>
                <w:szCs w:val="21"/>
              </w:rPr>
              <w:t>万</w:t>
            </w:r>
            <w:r>
              <w:rPr>
                <w:szCs w:val="21"/>
              </w:rPr>
              <w:t xml:space="preserve">    </w:t>
            </w:r>
            <w:r>
              <w:rPr>
                <w:rFonts w:hint="eastAsia"/>
                <w:szCs w:val="21"/>
              </w:rPr>
              <w:t>仟</w:t>
            </w:r>
            <w:r>
              <w:rPr>
                <w:szCs w:val="21"/>
              </w:rPr>
              <w:t xml:space="preserve">     </w:t>
            </w:r>
            <w:r>
              <w:rPr>
                <w:rFonts w:hint="eastAsia"/>
                <w:szCs w:val="21"/>
              </w:rPr>
              <w:t>佰</w:t>
            </w:r>
            <w:r>
              <w:rPr>
                <w:szCs w:val="21"/>
              </w:rPr>
              <w:t xml:space="preserve">    </w:t>
            </w:r>
            <w:r>
              <w:rPr>
                <w:rFonts w:hint="eastAsia"/>
                <w:szCs w:val="21"/>
              </w:rPr>
              <w:t>拾</w:t>
            </w:r>
            <w:r>
              <w:rPr>
                <w:szCs w:val="21"/>
              </w:rPr>
              <w:t xml:space="preserve">     </w:t>
            </w:r>
            <w:r>
              <w:rPr>
                <w:rFonts w:hint="eastAsia"/>
                <w:szCs w:val="21"/>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27" w:type="dxa"/>
            <w:vAlign w:val="center"/>
          </w:tcPr>
          <w:p>
            <w:pPr>
              <w:widowControl/>
              <w:snapToGrid w:val="0"/>
              <w:spacing w:before="100" w:beforeAutospacing="1" w:after="100" w:afterAutospacing="1" w:line="320" w:lineRule="exact"/>
              <w:ind w:firstLine="2" w:firstLineChars="1"/>
              <w:rPr>
                <w:szCs w:val="21"/>
              </w:rPr>
            </w:pPr>
            <w:r>
              <w:rPr>
                <w:rFonts w:hint="eastAsia"/>
                <w:szCs w:val="21"/>
              </w:rPr>
              <w:t>实际服务日期</w:t>
            </w:r>
          </w:p>
        </w:tc>
        <w:tc>
          <w:tcPr>
            <w:tcW w:w="3240" w:type="dxa"/>
            <w:gridSpan w:val="2"/>
            <w:vAlign w:val="center"/>
          </w:tcPr>
          <w:p>
            <w:pPr>
              <w:snapToGrid w:val="0"/>
              <w:spacing w:before="100" w:beforeAutospacing="1" w:after="100" w:afterAutospacing="1" w:line="320" w:lineRule="exact"/>
              <w:ind w:firstLine="420" w:firstLineChars="200"/>
              <w:rPr>
                <w:szCs w:val="21"/>
              </w:rPr>
            </w:pPr>
          </w:p>
        </w:tc>
        <w:tc>
          <w:tcPr>
            <w:tcW w:w="2700" w:type="dxa"/>
            <w:gridSpan w:val="2"/>
            <w:vAlign w:val="center"/>
          </w:tcPr>
          <w:p>
            <w:pPr>
              <w:snapToGrid w:val="0"/>
              <w:spacing w:before="100" w:beforeAutospacing="1" w:after="100" w:afterAutospacing="1" w:line="320" w:lineRule="exact"/>
              <w:ind w:firstLine="39" w:firstLineChars="19"/>
              <w:jc w:val="center"/>
              <w:rPr>
                <w:szCs w:val="21"/>
              </w:rPr>
            </w:pPr>
            <w:r>
              <w:rPr>
                <w:rFonts w:hint="eastAsia"/>
                <w:szCs w:val="21"/>
              </w:rPr>
              <w:t>合同验收日期</w:t>
            </w:r>
          </w:p>
        </w:tc>
        <w:tc>
          <w:tcPr>
            <w:tcW w:w="2160" w:type="dxa"/>
            <w:gridSpan w:val="2"/>
            <w:vAlign w:val="center"/>
          </w:tcPr>
          <w:p>
            <w:pPr>
              <w:snapToGrid w:val="0"/>
              <w:spacing w:before="100" w:beforeAutospacing="1" w:after="100" w:afterAutospacing="1" w:line="320" w:lineRule="exact"/>
              <w:ind w:firstLine="420" w:firstLineChars="200"/>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1527" w:type="dxa"/>
            <w:vAlign w:val="center"/>
          </w:tcPr>
          <w:p>
            <w:pPr>
              <w:widowControl/>
              <w:snapToGrid w:val="0"/>
              <w:spacing w:before="100" w:beforeAutospacing="1" w:after="100" w:afterAutospacing="1" w:line="320" w:lineRule="exact"/>
              <w:ind w:firstLine="420" w:firstLineChars="200"/>
              <w:rPr>
                <w:szCs w:val="21"/>
              </w:rPr>
            </w:pPr>
          </w:p>
        </w:tc>
        <w:tc>
          <w:tcPr>
            <w:tcW w:w="3240" w:type="dxa"/>
            <w:gridSpan w:val="2"/>
            <w:vAlign w:val="center"/>
          </w:tcPr>
          <w:p>
            <w:pPr>
              <w:snapToGrid w:val="0"/>
              <w:spacing w:before="100" w:beforeAutospacing="1" w:after="100" w:afterAutospacing="1" w:line="320" w:lineRule="exact"/>
              <w:ind w:firstLine="420" w:firstLineChars="200"/>
              <w:rPr>
                <w:szCs w:val="21"/>
              </w:rPr>
            </w:pPr>
          </w:p>
        </w:tc>
        <w:tc>
          <w:tcPr>
            <w:tcW w:w="2700" w:type="dxa"/>
            <w:gridSpan w:val="2"/>
            <w:vAlign w:val="center"/>
          </w:tcPr>
          <w:p>
            <w:pPr>
              <w:snapToGrid w:val="0"/>
              <w:spacing w:before="100" w:beforeAutospacing="1" w:after="100" w:afterAutospacing="1" w:line="320" w:lineRule="exact"/>
              <w:ind w:left="590" w:firstLine="420" w:firstLineChars="200"/>
              <w:rPr>
                <w:szCs w:val="21"/>
              </w:rPr>
            </w:pPr>
          </w:p>
        </w:tc>
        <w:tc>
          <w:tcPr>
            <w:tcW w:w="2160" w:type="dxa"/>
            <w:gridSpan w:val="2"/>
            <w:vAlign w:val="center"/>
          </w:tcPr>
          <w:p>
            <w:pPr>
              <w:snapToGrid w:val="0"/>
              <w:spacing w:before="100" w:beforeAutospacing="1" w:after="100" w:afterAutospacing="1" w:line="320" w:lineRule="exact"/>
              <w:ind w:firstLine="420" w:firstLineChars="200"/>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tcMar>
              <w:top w:w="0" w:type="dxa"/>
              <w:left w:w="108" w:type="dxa"/>
              <w:bottom w:w="0" w:type="dxa"/>
              <w:right w:w="108" w:type="dxa"/>
            </w:tcMar>
            <w:vAlign w:val="center"/>
          </w:tcPr>
          <w:p>
            <w:pPr>
              <w:widowControl/>
              <w:snapToGrid w:val="0"/>
              <w:spacing w:before="100" w:beforeAutospacing="1" w:after="100" w:afterAutospacing="1" w:line="320" w:lineRule="exact"/>
              <w:rPr>
                <w:szCs w:val="21"/>
              </w:rPr>
            </w:pPr>
            <w:r>
              <w:rPr>
                <w:rFonts w:hint="eastAsia"/>
                <w:szCs w:val="21"/>
              </w:rPr>
              <w:t>验收具体内容</w:t>
            </w:r>
          </w:p>
        </w:tc>
        <w:tc>
          <w:tcPr>
            <w:tcW w:w="8100" w:type="dxa"/>
            <w:gridSpan w:val="6"/>
            <w:tcMar>
              <w:top w:w="0" w:type="dxa"/>
              <w:left w:w="108" w:type="dxa"/>
              <w:bottom w:w="0" w:type="dxa"/>
              <w:right w:w="108" w:type="dxa"/>
            </w:tcMar>
            <w:vAlign w:val="center"/>
          </w:tcPr>
          <w:p>
            <w:pPr>
              <w:widowControl/>
              <w:snapToGrid w:val="0"/>
              <w:spacing w:before="100" w:beforeAutospacing="1" w:after="100" w:afterAutospacing="1" w:line="320" w:lineRule="exact"/>
              <w:rPr>
                <w:szCs w:val="21"/>
              </w:rPr>
            </w:pPr>
            <w:r>
              <w:rPr>
                <w:rFonts w:hint="eastAsia"/>
                <w:szCs w:val="21"/>
              </w:rPr>
              <w:t>（应按采购合同、采购文件、投标响应文件及验收方案等进行验收；并核对中标或者成交竞标人在安装调试等方面是否违反合同约定或服务规范要求、提供的质量保证证明材料是否齐全、应有的配件及附件是否达到合同约定等。可附件</w:t>
            </w:r>
            <w:r>
              <w:rPr>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81" w:hRule="atLeast"/>
          <w:jc w:val="center"/>
        </w:trPr>
        <w:tc>
          <w:tcPr>
            <w:tcW w:w="1527" w:type="dxa"/>
            <w:vMerge w:val="restart"/>
            <w:tcMar>
              <w:top w:w="0" w:type="dxa"/>
              <w:left w:w="108" w:type="dxa"/>
              <w:bottom w:w="0" w:type="dxa"/>
              <w:right w:w="108" w:type="dxa"/>
            </w:tcMar>
            <w:vAlign w:val="center"/>
          </w:tcPr>
          <w:p>
            <w:pPr>
              <w:widowControl/>
              <w:spacing w:before="100" w:beforeAutospacing="1" w:after="100" w:afterAutospacing="1" w:line="320" w:lineRule="exact"/>
              <w:rPr>
                <w:szCs w:val="21"/>
              </w:rPr>
            </w:pPr>
            <w:r>
              <w:rPr>
                <w:rFonts w:hint="eastAsia"/>
                <w:szCs w:val="21"/>
              </w:rPr>
              <w:t>验收小组意见</w:t>
            </w:r>
          </w:p>
        </w:tc>
        <w:tc>
          <w:tcPr>
            <w:tcW w:w="8100" w:type="dxa"/>
            <w:gridSpan w:val="6"/>
            <w:tcBorders>
              <w:bottom w:val="single" w:color="auto" w:sz="4" w:space="0"/>
            </w:tcBorders>
            <w:vAlign w:val="center"/>
          </w:tcPr>
          <w:p>
            <w:pPr>
              <w:widowControl/>
              <w:spacing w:before="100" w:beforeAutospacing="1" w:after="100" w:afterAutospacing="1" w:line="320" w:lineRule="exact"/>
              <w:rPr>
                <w:szCs w:val="21"/>
              </w:rPr>
            </w:pPr>
            <w:r>
              <w:rPr>
                <w:rFonts w:hint="eastAsia"/>
                <w:szCs w:val="21"/>
              </w:rPr>
              <w:t>验收结论性意见：</w:t>
            </w:r>
          </w:p>
          <w:p>
            <w:pPr>
              <w:widowControl/>
              <w:spacing w:before="100" w:beforeAutospacing="1" w:after="100" w:afterAutospacing="1" w:line="32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1527" w:type="dxa"/>
            <w:vMerge w:val="continue"/>
            <w:vAlign w:val="center"/>
          </w:tcPr>
          <w:p>
            <w:pPr>
              <w:widowControl/>
              <w:spacing w:line="320" w:lineRule="exact"/>
              <w:rPr>
                <w:szCs w:val="21"/>
              </w:rPr>
            </w:pPr>
          </w:p>
        </w:tc>
        <w:tc>
          <w:tcPr>
            <w:tcW w:w="8100" w:type="dxa"/>
            <w:gridSpan w:val="6"/>
            <w:tcBorders>
              <w:top w:val="single" w:color="auto" w:sz="4" w:space="0"/>
            </w:tcBorders>
            <w:vAlign w:val="center"/>
          </w:tcPr>
          <w:p>
            <w:pPr>
              <w:spacing w:before="100" w:beforeAutospacing="1" w:after="100" w:afterAutospacing="1" w:line="320" w:lineRule="exact"/>
              <w:ind w:firstLine="84" w:firstLineChars="40"/>
              <w:rPr>
                <w:szCs w:val="21"/>
              </w:rPr>
            </w:pPr>
            <w:r>
              <w:rPr>
                <w:rFonts w:hint="eastAsia"/>
                <w:szCs w:val="21"/>
              </w:rPr>
              <w:t>有异议的意见和说明理由：</w:t>
            </w:r>
          </w:p>
          <w:p>
            <w:pPr>
              <w:spacing w:before="100" w:beforeAutospacing="1" w:after="100" w:afterAutospacing="1" w:line="320" w:lineRule="exact"/>
              <w:rPr>
                <w:szCs w:val="21"/>
              </w:rPr>
            </w:pPr>
            <w:r>
              <w:rPr>
                <w:szCs w:val="21"/>
              </w:rPr>
              <w:t xml:space="preserve">                                      </w:t>
            </w:r>
            <w:r>
              <w:rPr>
                <w:rFonts w:hint="eastAsia"/>
                <w:szCs w:val="21"/>
              </w:rPr>
              <w:t>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9627" w:type="dxa"/>
            <w:gridSpan w:val="7"/>
            <w:tcMar>
              <w:top w:w="0" w:type="dxa"/>
              <w:left w:w="108" w:type="dxa"/>
              <w:bottom w:w="0" w:type="dxa"/>
              <w:right w:w="108" w:type="dxa"/>
            </w:tcMar>
            <w:vAlign w:val="center"/>
          </w:tcPr>
          <w:p>
            <w:pPr>
              <w:widowControl/>
              <w:spacing w:before="100" w:beforeAutospacing="1" w:after="100" w:afterAutospacing="1" w:line="320" w:lineRule="exact"/>
              <w:rPr>
                <w:szCs w:val="21"/>
              </w:rPr>
            </w:pPr>
            <w:r>
              <w:rPr>
                <w:rFonts w:hint="eastAsia"/>
                <w:szCs w:val="21"/>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9627" w:type="dxa"/>
            <w:gridSpan w:val="7"/>
            <w:tcBorders>
              <w:bottom w:val="single" w:color="auto" w:sz="4" w:space="0"/>
            </w:tcBorders>
            <w:tcMar>
              <w:top w:w="0" w:type="dxa"/>
              <w:left w:w="108" w:type="dxa"/>
              <w:bottom w:w="0" w:type="dxa"/>
              <w:right w:w="108" w:type="dxa"/>
            </w:tcMar>
            <w:vAlign w:val="center"/>
          </w:tcPr>
          <w:p>
            <w:pPr>
              <w:widowControl/>
              <w:spacing w:before="100" w:beforeAutospacing="1" w:after="100" w:afterAutospacing="1" w:line="320" w:lineRule="exact"/>
              <w:rPr>
                <w:szCs w:val="21"/>
              </w:rPr>
            </w:pPr>
            <w:r>
              <w:rPr>
                <w:rFonts w:hint="eastAsia"/>
                <w:szCs w:val="21"/>
              </w:rPr>
              <w:t>监督人员或其他相关人员签字：</w:t>
            </w:r>
          </w:p>
          <w:p>
            <w:pPr>
              <w:widowControl/>
              <w:spacing w:before="100" w:beforeAutospacing="1" w:after="100" w:afterAutospacing="1" w:line="320" w:lineRule="exact"/>
              <w:ind w:firstLine="65" w:firstLineChars="31"/>
              <w:rPr>
                <w:szCs w:val="21"/>
              </w:rPr>
            </w:pPr>
            <w:r>
              <w:rPr>
                <w:rFonts w:hint="eastAsia"/>
                <w:szCs w:val="21"/>
              </w:rPr>
              <w:t>或受邀机构的意见（盖章）：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4767"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320" w:lineRule="exact"/>
              <w:rPr>
                <w:szCs w:val="21"/>
              </w:rPr>
            </w:pPr>
            <w:r>
              <w:rPr>
                <w:rFonts w:hint="eastAsia"/>
                <w:szCs w:val="21"/>
              </w:rPr>
              <w:t>中标或者成交竞标人负责人签字或盖章：</w:t>
            </w:r>
          </w:p>
          <w:p>
            <w:pPr>
              <w:widowControl/>
              <w:spacing w:before="100" w:beforeAutospacing="1" w:after="100" w:afterAutospacing="1" w:line="320" w:lineRule="exact"/>
              <w:rPr>
                <w:szCs w:val="21"/>
              </w:rPr>
            </w:pPr>
            <w:r>
              <w:rPr>
                <w:rFonts w:hint="eastAsia"/>
                <w:szCs w:val="21"/>
              </w:rPr>
              <w:t>联系电话：</w:t>
            </w:r>
            <w:r>
              <w:rPr>
                <w:szCs w:val="21"/>
              </w:rPr>
              <w:t xml:space="preserve">          </w:t>
            </w:r>
            <w:r>
              <w:rPr>
                <w:rFonts w:hint="eastAsia"/>
                <w:szCs w:val="21"/>
              </w:rPr>
              <w:t>年</w:t>
            </w:r>
            <w:r>
              <w:rPr>
                <w:szCs w:val="21"/>
              </w:rPr>
              <w:t xml:space="preserve"> </w:t>
            </w:r>
            <w:r>
              <w:rPr>
                <w:rFonts w:hint="eastAsia"/>
                <w:szCs w:val="21"/>
              </w:rPr>
              <w:t xml:space="preserve"> </w:t>
            </w:r>
            <w:r>
              <w:rPr>
                <w:szCs w:val="21"/>
              </w:rPr>
              <w:t xml:space="preserve"> </w:t>
            </w:r>
            <w:r>
              <w:rPr>
                <w:rFonts w:hint="eastAsia"/>
                <w:szCs w:val="21"/>
              </w:rPr>
              <w:t>月</w:t>
            </w:r>
            <w:r>
              <w:rPr>
                <w:szCs w:val="21"/>
              </w:rPr>
              <w:t xml:space="preserve">   </w:t>
            </w:r>
            <w:r>
              <w:rPr>
                <w:rFonts w:hint="eastAsia"/>
                <w:szCs w:val="21"/>
              </w:rPr>
              <w:t>日</w:t>
            </w:r>
          </w:p>
        </w:tc>
        <w:tc>
          <w:tcPr>
            <w:tcW w:w="4860"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exact"/>
              <w:rPr>
                <w:szCs w:val="21"/>
              </w:rPr>
            </w:pPr>
            <w:r>
              <w:rPr>
                <w:szCs w:val="21"/>
              </w:rPr>
              <w:t> </w:t>
            </w:r>
            <w:r>
              <w:rPr>
                <w:rFonts w:hint="eastAsia"/>
                <w:szCs w:val="21"/>
              </w:rPr>
              <w:t xml:space="preserve"> 采购人或受托机构的意见（盖章）：</w:t>
            </w:r>
          </w:p>
          <w:p>
            <w:pPr>
              <w:widowControl/>
              <w:spacing w:before="100" w:beforeAutospacing="1" w:after="100" w:afterAutospacing="1" w:line="320" w:lineRule="exact"/>
              <w:ind w:firstLine="210" w:firstLineChars="100"/>
              <w:rPr>
                <w:szCs w:val="21"/>
              </w:rPr>
            </w:pPr>
            <w:r>
              <w:rPr>
                <w:rFonts w:hint="eastAsia"/>
                <w:szCs w:val="21"/>
              </w:rPr>
              <w:t>联系电话：</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pPr>
        <w:snapToGrid w:val="0"/>
        <w:spacing w:line="360" w:lineRule="auto"/>
        <w:rPr>
          <w:b/>
          <w:szCs w:val="21"/>
        </w:rPr>
      </w:pPr>
    </w:p>
    <w:p>
      <w:pPr>
        <w:snapToGrid w:val="0"/>
        <w:spacing w:line="360" w:lineRule="auto"/>
      </w:pPr>
      <w:r>
        <w:rPr>
          <w:rFonts w:hint="eastAsia"/>
          <w:szCs w:val="21"/>
        </w:rPr>
        <w:t xml:space="preserve">  注：售后服务事项填不下时可另加附页</w:t>
      </w:r>
    </w:p>
    <w:p>
      <w:pPr>
        <w:snapToGrid w:val="0"/>
        <w:spacing w:line="360" w:lineRule="auto"/>
        <w:rPr>
          <w:rFonts w:ascii="宋体" w:hAnsi="宋体"/>
          <w:kern w:val="0"/>
          <w:szCs w:val="21"/>
        </w:rPr>
      </w:pPr>
    </w:p>
    <w:p/>
    <w:p>
      <w:pPr>
        <w:pStyle w:val="24"/>
        <w:rPr>
          <w:kern w:val="0"/>
          <w:sz w:val="21"/>
          <w:szCs w:val="21"/>
        </w:rPr>
      </w:pPr>
      <w:bookmarkStart w:id="95" w:name="_Toc27000"/>
      <w:bookmarkStart w:id="96" w:name="_Toc19796"/>
      <w:r>
        <w:rPr>
          <w:rFonts w:hint="eastAsia"/>
          <w:kern w:val="0"/>
          <w:sz w:val="21"/>
          <w:szCs w:val="21"/>
        </w:rPr>
        <w:t>第七章  附件</w:t>
      </w:r>
      <w:bookmarkEnd w:id="95"/>
      <w:bookmarkEnd w:id="96"/>
    </w:p>
    <w:p>
      <w:pPr>
        <w:pStyle w:val="23"/>
        <w:rPr>
          <w:b/>
          <w:sz w:val="21"/>
          <w:szCs w:val="21"/>
        </w:rPr>
      </w:pPr>
      <w:r>
        <w:rPr>
          <w:rFonts w:hint="eastAsia"/>
          <w:b/>
          <w:sz w:val="21"/>
          <w:szCs w:val="21"/>
        </w:rPr>
        <w:t>附件1：</w:t>
      </w:r>
    </w:p>
    <w:p>
      <w:pPr>
        <w:spacing w:afterLines="50" w:line="360" w:lineRule="auto"/>
        <w:jc w:val="center"/>
        <w:rPr>
          <w:b/>
          <w:bCs/>
          <w:szCs w:val="21"/>
        </w:rPr>
      </w:pPr>
      <w:r>
        <w:rPr>
          <w:rFonts w:hint="eastAsia"/>
          <w:b/>
          <w:bCs/>
          <w:szCs w:val="21"/>
        </w:rPr>
        <w:t>保密协议书（参考格式）</w:t>
      </w:r>
    </w:p>
    <w:p>
      <w:pPr>
        <w:spacing w:line="360" w:lineRule="auto"/>
        <w:rPr>
          <w:szCs w:val="21"/>
          <w:u w:val="single"/>
        </w:rPr>
      </w:pPr>
      <w:r>
        <w:rPr>
          <w:rFonts w:hint="eastAsia"/>
          <w:szCs w:val="21"/>
        </w:rPr>
        <w:t>甲方：</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乙方：</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spacing w:line="360" w:lineRule="auto"/>
        <w:rPr>
          <w:szCs w:val="21"/>
          <w:u w:val="single"/>
        </w:rPr>
      </w:pPr>
      <w:r>
        <w:rPr>
          <w:rFonts w:hint="eastAsia"/>
          <w:szCs w:val="21"/>
        </w:rPr>
        <w:t>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电话：</w:t>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p>
    <w:p>
      <w:pPr>
        <w:spacing w:line="360" w:lineRule="auto"/>
        <w:rPr>
          <w:szCs w:val="21"/>
          <w:u w:val="single"/>
        </w:rPr>
      </w:pPr>
      <w:r>
        <w:rPr>
          <w:rFonts w:hint="eastAsia"/>
          <w:szCs w:val="21"/>
        </w:rPr>
        <w:t>传真：</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传真：</w:t>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p>
    <w:p>
      <w:pPr>
        <w:spacing w:line="360" w:lineRule="auto"/>
        <w:rPr>
          <w:szCs w:val="21"/>
        </w:rPr>
      </w:pPr>
      <w:r>
        <w:rPr>
          <w:rFonts w:hint="eastAsia"/>
          <w:szCs w:val="21"/>
        </w:rPr>
        <w:t>电子邮箱：</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电子邮箱：</w:t>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p>
    <w:p>
      <w:pPr>
        <w:spacing w:line="360" w:lineRule="auto"/>
        <w:rPr>
          <w:szCs w:val="21"/>
        </w:rPr>
      </w:pPr>
    </w:p>
    <w:p>
      <w:pPr>
        <w:spacing w:line="360" w:lineRule="auto"/>
        <w:ind w:firstLine="420" w:firstLineChars="200"/>
        <w:rPr>
          <w:szCs w:val="21"/>
        </w:rPr>
      </w:pPr>
      <w:r>
        <w:rPr>
          <w:rFonts w:hint="eastAsia"/>
          <w:szCs w:val="21"/>
        </w:rPr>
        <w:t>鉴于甲、乙双方形成的业务合作关系，以及乙方知悉的甲方会务机密具有重要影响，为加强对甲方会务机密的保护，维护双方的合法权益，明确乙方的保密义务及责任，依据国家有关法律法规，双方经协商一致达成下列条款：</w:t>
      </w:r>
    </w:p>
    <w:p>
      <w:pPr>
        <w:spacing w:line="360" w:lineRule="auto"/>
        <w:ind w:firstLine="422" w:firstLineChars="200"/>
        <w:rPr>
          <w:b/>
          <w:bCs/>
          <w:szCs w:val="21"/>
        </w:rPr>
      </w:pPr>
      <w:r>
        <w:rPr>
          <w:rFonts w:hint="eastAsia"/>
          <w:b/>
          <w:bCs/>
          <w:szCs w:val="21"/>
        </w:rPr>
        <w:t>第一条</w:t>
      </w:r>
      <w:r>
        <w:rPr>
          <w:rFonts w:hint="eastAsia"/>
          <w:b/>
          <w:bCs/>
          <w:szCs w:val="21"/>
        </w:rPr>
        <w:tab/>
      </w:r>
      <w:r>
        <w:rPr>
          <w:rFonts w:hint="eastAsia"/>
          <w:b/>
          <w:bCs/>
          <w:szCs w:val="21"/>
        </w:rPr>
        <w:tab/>
      </w:r>
      <w:r>
        <w:rPr>
          <w:rFonts w:hint="eastAsia"/>
          <w:b/>
          <w:bCs/>
          <w:szCs w:val="21"/>
        </w:rPr>
        <w:t>会务机密定义</w:t>
      </w:r>
    </w:p>
    <w:p>
      <w:pPr>
        <w:spacing w:line="360" w:lineRule="auto"/>
        <w:ind w:firstLine="420" w:firstLineChars="200"/>
        <w:rPr>
          <w:szCs w:val="21"/>
        </w:rPr>
      </w:pPr>
      <w:r>
        <w:rPr>
          <w:rFonts w:hint="eastAsia"/>
          <w:szCs w:val="21"/>
        </w:rPr>
        <w:t>1、会务机密是指不为公众所知悉、能为权利人带来经济利益、具有实用性并经权利人采取保密措施的技术信息与业务信息。</w:t>
      </w:r>
    </w:p>
    <w:p>
      <w:pPr>
        <w:spacing w:line="360" w:lineRule="auto"/>
        <w:ind w:firstLine="420" w:firstLineChars="200"/>
        <w:rPr>
          <w:szCs w:val="21"/>
        </w:rPr>
      </w:pPr>
      <w:r>
        <w:rPr>
          <w:rFonts w:hint="eastAsia"/>
          <w:szCs w:val="21"/>
        </w:rPr>
        <w:t>2、本协议中的会务机密，包括但不限于以下内容：</w:t>
      </w:r>
    </w:p>
    <w:p>
      <w:pPr>
        <w:spacing w:line="360" w:lineRule="auto"/>
        <w:ind w:firstLine="420" w:firstLineChars="200"/>
        <w:rPr>
          <w:szCs w:val="21"/>
        </w:rPr>
      </w:pPr>
      <w:r>
        <w:rPr>
          <w:rFonts w:hint="eastAsia"/>
          <w:szCs w:val="21"/>
        </w:rPr>
        <w:t>（1）以物理的、化学的、生物的或其他形式的载体所表现的设计、数据、方案等形式的技术或技术信息；</w:t>
      </w:r>
    </w:p>
    <w:p>
      <w:pPr>
        <w:spacing w:line="360" w:lineRule="auto"/>
        <w:ind w:firstLine="420" w:firstLineChars="200"/>
        <w:rPr>
          <w:szCs w:val="21"/>
        </w:rPr>
      </w:pPr>
      <w:r>
        <w:rPr>
          <w:rFonts w:hint="eastAsia"/>
          <w:szCs w:val="21"/>
        </w:rPr>
        <w:t>（2）特定完整的技术内容，构成一项产品、一种方法、及其改进的技术方案；或者某一项产品、某一种方法的一部分技术要素；</w:t>
      </w:r>
    </w:p>
    <w:p>
      <w:pPr>
        <w:spacing w:line="360" w:lineRule="auto"/>
        <w:ind w:firstLine="420" w:firstLineChars="200"/>
        <w:rPr>
          <w:szCs w:val="21"/>
        </w:rPr>
      </w:pPr>
      <w:r>
        <w:rPr>
          <w:rFonts w:hint="eastAsia"/>
          <w:szCs w:val="21"/>
        </w:rPr>
        <w:t>（3）在依法公布之前的技术方案；</w:t>
      </w:r>
    </w:p>
    <w:p>
      <w:pPr>
        <w:spacing w:line="360" w:lineRule="auto"/>
        <w:ind w:firstLine="420" w:firstLineChars="200"/>
        <w:rPr>
          <w:szCs w:val="21"/>
        </w:rPr>
      </w:pPr>
      <w:r>
        <w:rPr>
          <w:rFonts w:hint="eastAsia"/>
          <w:szCs w:val="21"/>
        </w:rPr>
        <w:t>（4）设计图纸（含草图）、结果和记录、数据（包括计算机数据）、计算机软件等；</w:t>
      </w:r>
    </w:p>
    <w:p>
      <w:pPr>
        <w:numPr>
          <w:ilvl w:val="0"/>
          <w:numId w:val="3"/>
        </w:numPr>
        <w:spacing w:line="360" w:lineRule="auto"/>
        <w:ind w:firstLine="422" w:firstLineChars="200"/>
        <w:rPr>
          <w:b/>
          <w:bCs/>
          <w:szCs w:val="21"/>
        </w:rPr>
      </w:pPr>
      <w:r>
        <w:rPr>
          <w:rFonts w:hint="eastAsia"/>
          <w:b/>
          <w:bCs/>
          <w:szCs w:val="21"/>
        </w:rPr>
        <w:tab/>
      </w:r>
      <w:r>
        <w:rPr>
          <w:rFonts w:hint="eastAsia"/>
          <w:b/>
          <w:bCs/>
          <w:szCs w:val="21"/>
        </w:rPr>
        <w:t>通讯方式</w:t>
      </w:r>
    </w:p>
    <w:p>
      <w:pPr>
        <w:spacing w:line="360" w:lineRule="auto"/>
        <w:ind w:firstLine="420" w:firstLineChars="200"/>
        <w:rPr>
          <w:szCs w:val="21"/>
        </w:rPr>
      </w:pPr>
      <w:r>
        <w:rPr>
          <w:rFonts w:hint="eastAsia"/>
          <w:szCs w:val="21"/>
        </w:rPr>
        <w:t>甲乙双方的通讯方式为：本协议所记载的甲乙双方的地址、电话、传真、电子邮箱。上述通讯方式为甲乙双方在履行本协议书及其他相关合同、协议时进行联系、送达相关法律文件的途径。一方通讯方式如有变更，应当提前30天书面通知另一方。否则，仍然以原通讯方式为准。</w:t>
      </w:r>
    </w:p>
    <w:p>
      <w:pPr>
        <w:spacing w:line="360" w:lineRule="auto"/>
        <w:ind w:firstLine="422" w:firstLineChars="200"/>
        <w:rPr>
          <w:b/>
          <w:bCs/>
          <w:szCs w:val="21"/>
        </w:rPr>
      </w:pPr>
      <w:r>
        <w:rPr>
          <w:rFonts w:hint="eastAsia"/>
          <w:b/>
          <w:bCs/>
          <w:szCs w:val="21"/>
        </w:rPr>
        <w:t>第三条</w:t>
      </w:r>
      <w:r>
        <w:rPr>
          <w:rFonts w:hint="eastAsia"/>
          <w:b/>
          <w:bCs/>
          <w:szCs w:val="21"/>
        </w:rPr>
        <w:tab/>
      </w:r>
      <w:r>
        <w:rPr>
          <w:rFonts w:hint="eastAsia"/>
          <w:b/>
          <w:bCs/>
          <w:szCs w:val="21"/>
        </w:rPr>
        <w:tab/>
      </w:r>
      <w:r>
        <w:rPr>
          <w:rFonts w:hint="eastAsia"/>
          <w:b/>
          <w:bCs/>
          <w:szCs w:val="21"/>
        </w:rPr>
        <w:t>保密责任与义务</w:t>
      </w:r>
    </w:p>
    <w:p>
      <w:pPr>
        <w:spacing w:line="360" w:lineRule="auto"/>
        <w:ind w:firstLine="420" w:firstLineChars="200"/>
        <w:rPr>
          <w:szCs w:val="21"/>
        </w:rPr>
      </w:pPr>
      <w:r>
        <w:rPr>
          <w:rFonts w:hint="eastAsia"/>
          <w:szCs w:val="21"/>
        </w:rPr>
        <w:t>1、乙方承诺对甲方上述会务机密，以及所接触到的与甲方公司有关的其他机密资讯或文件资料保密，遵守甲方的保密制度，执行有关的保密工作程序。保密资料包括但不限于：供应的产品的品名、数量、品质要求、供应商评审要求及价格等信息。应甲方的要求，协议有效期内乙方接收甲方机密资讯、文件资料、采购订单、设计图纸、样品等资料应作为本协议的附件。</w:t>
      </w:r>
    </w:p>
    <w:p>
      <w:pPr>
        <w:spacing w:line="360" w:lineRule="auto"/>
        <w:ind w:firstLine="420" w:firstLineChars="200"/>
        <w:rPr>
          <w:szCs w:val="21"/>
        </w:rPr>
      </w:pPr>
      <w:r>
        <w:rPr>
          <w:rFonts w:hint="eastAsia"/>
          <w:szCs w:val="21"/>
        </w:rPr>
        <w:t>2、乙方不得通过任何途径将甲方商业秘密泄漏、私自使用或者允许其他与甲方存在竞争关系的单位、外部人员或内部非本职工作人员使用，并有义务采取措施确保</w:t>
      </w:r>
      <w:r>
        <w:rPr>
          <w:szCs w:val="21"/>
        </w:rPr>
        <w:t>乙方公司</w:t>
      </w:r>
      <w:r>
        <w:rPr>
          <w:rFonts w:hint="eastAsia"/>
          <w:szCs w:val="21"/>
        </w:rPr>
        <w:t>内部监督，实行保密义务。否则，给甲方造成损失的，由乙方承担一切</w:t>
      </w:r>
      <w:r>
        <w:rPr>
          <w:szCs w:val="21"/>
        </w:rPr>
        <w:t>法律</w:t>
      </w:r>
      <w:r>
        <w:rPr>
          <w:rFonts w:hint="eastAsia"/>
          <w:szCs w:val="21"/>
        </w:rPr>
        <w:t>责任。</w:t>
      </w:r>
    </w:p>
    <w:p>
      <w:pPr>
        <w:spacing w:line="360" w:lineRule="auto"/>
        <w:ind w:firstLine="420" w:firstLineChars="200"/>
        <w:rPr>
          <w:szCs w:val="21"/>
        </w:rPr>
      </w:pPr>
      <w:r>
        <w:rPr>
          <w:rFonts w:hint="eastAsia"/>
          <w:szCs w:val="21"/>
        </w:rPr>
        <w:t>3、未经</w:t>
      </w:r>
      <w:r>
        <w:rPr>
          <w:szCs w:val="21"/>
        </w:rPr>
        <w:t>甲方</w:t>
      </w:r>
      <w:r>
        <w:rPr>
          <w:rFonts w:hint="eastAsia"/>
          <w:szCs w:val="21"/>
        </w:rPr>
        <w:t>书面</w:t>
      </w:r>
      <w:r>
        <w:rPr>
          <w:szCs w:val="21"/>
        </w:rPr>
        <w:t>同意</w:t>
      </w:r>
      <w:r>
        <w:rPr>
          <w:rFonts w:hint="eastAsia"/>
          <w:szCs w:val="21"/>
        </w:rPr>
        <w:t>，</w:t>
      </w:r>
      <w:r>
        <w:rPr>
          <w:szCs w:val="21"/>
        </w:rPr>
        <w:t>乙方</w:t>
      </w:r>
      <w:r>
        <w:rPr>
          <w:rFonts w:hint="eastAsia"/>
          <w:szCs w:val="21"/>
        </w:rPr>
        <w:t>对</w:t>
      </w:r>
      <w:r>
        <w:rPr>
          <w:szCs w:val="21"/>
        </w:rPr>
        <w:t>甲方</w:t>
      </w:r>
      <w:r>
        <w:rPr>
          <w:rFonts w:hint="eastAsia"/>
          <w:szCs w:val="21"/>
        </w:rPr>
        <w:t>所有的机密资讯和文件资料，在合作范围使用后都不得留有任何形式的复制件或电子资料形式。</w:t>
      </w:r>
    </w:p>
    <w:p>
      <w:pPr>
        <w:spacing w:line="360" w:lineRule="auto"/>
        <w:ind w:firstLine="420" w:firstLineChars="200"/>
        <w:rPr>
          <w:rFonts w:ascii="宋体" w:hAnsi="宋体" w:cs="宋体"/>
          <w:szCs w:val="21"/>
        </w:rPr>
      </w:pPr>
      <w:r>
        <w:rPr>
          <w:rFonts w:hint="eastAsia" w:ascii="宋体" w:hAnsi="宋体" w:cs="宋体"/>
          <w:szCs w:val="21"/>
        </w:rPr>
        <w:t>4、合作终止时，乙方应将所接收的甲方公司的机密资讯、文件资料、采购订单、设计图纸、样品等资料完全移交给甲方，不得以任何形式私自占有。</w:t>
      </w:r>
    </w:p>
    <w:p>
      <w:pPr>
        <w:spacing w:line="360" w:lineRule="auto"/>
        <w:ind w:firstLine="420" w:firstLineChars="200"/>
        <w:rPr>
          <w:rFonts w:ascii="宋体" w:hAnsi="宋体" w:cs="宋体"/>
          <w:szCs w:val="21"/>
        </w:rPr>
      </w:pPr>
      <w:r>
        <w:rPr>
          <w:rFonts w:hint="eastAsia" w:ascii="宋体" w:hAnsi="宋体" w:cs="宋体"/>
          <w:szCs w:val="21"/>
        </w:rPr>
        <w:t>5、乙方应采取尽可能的措施对所有来自甲方的信息严格保密，包括执行有效的安全措施和操作规程。乙方在商业秘密泄漏或资料遗失的情况下应立即通知甲方，自行采取适当措施或协助甲方采取措施弥补资讯泄露或资料遗失所造成的损失。</w:t>
      </w:r>
    </w:p>
    <w:p>
      <w:pPr>
        <w:spacing w:line="360" w:lineRule="auto"/>
        <w:ind w:firstLine="420" w:firstLineChars="200"/>
        <w:rPr>
          <w:rFonts w:ascii="宋体" w:hAnsi="宋体" w:cs="宋体"/>
          <w:szCs w:val="21"/>
        </w:rPr>
      </w:pPr>
    </w:p>
    <w:p>
      <w:pPr>
        <w:spacing w:line="360" w:lineRule="auto"/>
        <w:ind w:firstLine="422" w:firstLineChars="200"/>
        <w:rPr>
          <w:rFonts w:ascii="宋体" w:hAnsi="宋体" w:cs="宋体"/>
          <w:b/>
          <w:bCs/>
          <w:szCs w:val="21"/>
        </w:rPr>
      </w:pPr>
      <w:r>
        <w:rPr>
          <w:rFonts w:hint="eastAsia" w:ascii="宋体" w:hAnsi="宋体" w:cs="宋体"/>
          <w:b/>
          <w:bCs/>
          <w:szCs w:val="21"/>
        </w:rPr>
        <w:t>第四条</w:t>
      </w:r>
      <w:r>
        <w:rPr>
          <w:rFonts w:hint="eastAsia" w:ascii="宋体" w:hAnsi="宋体" w:cs="宋体"/>
          <w:b/>
          <w:bCs/>
          <w:szCs w:val="21"/>
        </w:rPr>
        <w:tab/>
      </w:r>
      <w:r>
        <w:rPr>
          <w:rFonts w:hint="eastAsia" w:ascii="宋体" w:hAnsi="宋体" w:cs="宋体"/>
          <w:b/>
          <w:bCs/>
          <w:szCs w:val="21"/>
        </w:rPr>
        <w:tab/>
      </w:r>
      <w:r>
        <w:rPr>
          <w:rFonts w:hint="eastAsia" w:ascii="宋体" w:hAnsi="宋体" w:cs="宋体"/>
          <w:b/>
          <w:bCs/>
          <w:szCs w:val="21"/>
        </w:rPr>
        <w:t>违约责任</w:t>
      </w:r>
    </w:p>
    <w:p>
      <w:pPr>
        <w:spacing w:line="360" w:lineRule="auto"/>
        <w:ind w:firstLine="420" w:firstLineChars="200"/>
        <w:rPr>
          <w:rFonts w:ascii="宋体" w:hAnsi="宋体" w:cs="宋体"/>
          <w:szCs w:val="21"/>
        </w:rPr>
      </w:pPr>
      <w:r>
        <w:rPr>
          <w:rFonts w:hint="eastAsia" w:ascii="宋体" w:hAnsi="宋体" w:cs="宋体"/>
          <w:szCs w:val="21"/>
        </w:rPr>
        <w:t>1、如乙方有违反本协议第二条约定的情形，应视为乙方违约，甲方有权追究乙方的违约责任，包括违约金</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元（大写：</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元整）、要求乙方赔偿给甲方造成的各项经济损失、此资料信息所涉及的预期利益、既得利益、以及为处理此违约责任所支付的诉讼费用、律师费用、公证费用、调查费用及差旅费等费用。</w:t>
      </w:r>
    </w:p>
    <w:p>
      <w:pPr>
        <w:spacing w:line="360" w:lineRule="auto"/>
        <w:ind w:firstLine="420" w:firstLineChars="200"/>
        <w:rPr>
          <w:rFonts w:ascii="宋体" w:hAnsi="宋体" w:cs="宋体"/>
          <w:szCs w:val="21"/>
        </w:rPr>
      </w:pPr>
      <w:r>
        <w:rPr>
          <w:rFonts w:hint="eastAsia" w:ascii="宋体" w:hAnsi="宋体" w:cs="宋体"/>
          <w:szCs w:val="21"/>
        </w:rPr>
        <w:t>2、若乙方行为造成严重影响，甲方除要求乙方承担上述违约责任以外，仍可报向公检法等司法机关追究乙方的刑事责任。</w:t>
      </w:r>
    </w:p>
    <w:p>
      <w:pPr>
        <w:spacing w:line="360" w:lineRule="auto"/>
        <w:ind w:firstLine="420" w:firstLineChars="200"/>
        <w:rPr>
          <w:rFonts w:ascii="宋体" w:hAnsi="宋体" w:cs="宋体"/>
          <w:szCs w:val="21"/>
        </w:rPr>
      </w:pPr>
    </w:p>
    <w:p>
      <w:pPr>
        <w:spacing w:line="360" w:lineRule="auto"/>
        <w:ind w:firstLine="422" w:firstLineChars="200"/>
        <w:rPr>
          <w:rFonts w:ascii="宋体" w:hAnsi="宋体" w:cs="宋体"/>
          <w:b/>
          <w:bCs/>
          <w:szCs w:val="21"/>
        </w:rPr>
      </w:pPr>
      <w:r>
        <w:rPr>
          <w:rFonts w:hint="eastAsia" w:ascii="宋体" w:hAnsi="宋体" w:cs="宋体"/>
          <w:b/>
          <w:bCs/>
          <w:szCs w:val="21"/>
        </w:rPr>
        <w:t>第五条</w:t>
      </w:r>
      <w:r>
        <w:rPr>
          <w:rFonts w:hint="eastAsia" w:ascii="宋体" w:hAnsi="宋体" w:cs="宋体"/>
          <w:b/>
          <w:bCs/>
          <w:szCs w:val="21"/>
        </w:rPr>
        <w:tab/>
      </w:r>
      <w:r>
        <w:rPr>
          <w:rFonts w:hint="eastAsia" w:ascii="宋体" w:hAnsi="宋体" w:cs="宋体"/>
          <w:b/>
          <w:bCs/>
          <w:szCs w:val="21"/>
        </w:rPr>
        <w:tab/>
      </w:r>
      <w:r>
        <w:rPr>
          <w:rFonts w:hint="eastAsia" w:ascii="宋体" w:hAnsi="宋体" w:cs="宋体"/>
          <w:b/>
          <w:bCs/>
          <w:szCs w:val="21"/>
        </w:rPr>
        <w:t>协议有效期</w:t>
      </w:r>
    </w:p>
    <w:p>
      <w:pPr>
        <w:spacing w:line="360" w:lineRule="auto"/>
        <w:ind w:firstLine="420" w:firstLineChars="200"/>
        <w:rPr>
          <w:rFonts w:ascii="宋体" w:hAnsi="宋体" w:cs="宋体"/>
          <w:szCs w:val="21"/>
        </w:rPr>
      </w:pPr>
      <w:r>
        <w:rPr>
          <w:rFonts w:hint="eastAsia" w:ascii="宋体" w:hAnsi="宋体" w:cs="宋体"/>
          <w:szCs w:val="21"/>
        </w:rPr>
        <w:t>本协议有效期自</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年</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月</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日起至</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年</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月</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日止，或者双方协商一致终止本合同时止。</w:t>
      </w:r>
    </w:p>
    <w:p>
      <w:pPr>
        <w:spacing w:line="360" w:lineRule="auto"/>
        <w:ind w:firstLine="420" w:firstLineChars="200"/>
        <w:rPr>
          <w:rFonts w:ascii="宋体" w:hAnsi="宋体" w:cs="宋体"/>
          <w:szCs w:val="21"/>
        </w:rPr>
      </w:pPr>
    </w:p>
    <w:p>
      <w:pPr>
        <w:numPr>
          <w:ilvl w:val="0"/>
          <w:numId w:val="4"/>
        </w:numPr>
        <w:spacing w:line="360" w:lineRule="auto"/>
        <w:ind w:firstLine="422" w:firstLineChars="200"/>
        <w:rPr>
          <w:rFonts w:ascii="宋体" w:hAnsi="宋体" w:cs="宋体"/>
          <w:b/>
          <w:szCs w:val="21"/>
        </w:rPr>
      </w:pPr>
      <w:r>
        <w:rPr>
          <w:rFonts w:hint="eastAsia" w:ascii="宋体" w:hAnsi="宋体" w:cs="宋体"/>
          <w:b/>
          <w:szCs w:val="21"/>
        </w:rPr>
        <w:tab/>
      </w:r>
      <w:r>
        <w:rPr>
          <w:rFonts w:hint="eastAsia" w:ascii="宋体" w:hAnsi="宋体" w:cs="宋体"/>
          <w:b/>
          <w:szCs w:val="21"/>
        </w:rPr>
        <w:t>保密费用</w:t>
      </w:r>
    </w:p>
    <w:p>
      <w:pPr>
        <w:spacing w:line="360" w:lineRule="auto"/>
        <w:ind w:firstLine="420" w:firstLineChars="200"/>
        <w:rPr>
          <w:rFonts w:ascii="宋体" w:hAnsi="宋体" w:cs="宋体"/>
          <w:b/>
          <w:szCs w:val="21"/>
        </w:rPr>
      </w:pPr>
      <w:r>
        <w:rPr>
          <w:rFonts w:hint="eastAsia" w:ascii="宋体" w:hAnsi="宋体" w:cs="宋体"/>
          <w:szCs w:val="21"/>
        </w:rPr>
        <w:t>鉴于甲乙双方已形成且将存续长期稳定的合作业务关系，本协议书约定的保密义务作为乙方向甲方履行生产、供货义务的附随义务，甲方不再另行支付乙方保密费用，乙方不得以任何理由及任何方式以本协议书为依据向甲方主张权利。</w:t>
      </w:r>
    </w:p>
    <w:p>
      <w:pPr>
        <w:spacing w:line="360" w:lineRule="auto"/>
        <w:ind w:firstLine="420" w:firstLineChars="200"/>
        <w:rPr>
          <w:rFonts w:ascii="宋体" w:hAnsi="宋体" w:cs="宋体"/>
          <w:szCs w:val="21"/>
        </w:rPr>
      </w:pPr>
    </w:p>
    <w:p>
      <w:pPr>
        <w:spacing w:line="360" w:lineRule="auto"/>
        <w:ind w:firstLine="422" w:firstLineChars="200"/>
        <w:rPr>
          <w:rFonts w:ascii="宋体" w:hAnsi="宋体" w:cs="宋体"/>
          <w:b/>
          <w:bCs/>
          <w:szCs w:val="21"/>
        </w:rPr>
      </w:pPr>
      <w:r>
        <w:rPr>
          <w:rFonts w:hint="eastAsia" w:ascii="宋体" w:hAnsi="宋体" w:cs="宋体"/>
          <w:b/>
          <w:bCs/>
          <w:szCs w:val="21"/>
        </w:rPr>
        <w:t>第七条</w:t>
      </w:r>
      <w:r>
        <w:rPr>
          <w:rFonts w:hint="eastAsia" w:ascii="宋体" w:hAnsi="宋体" w:cs="宋体"/>
          <w:b/>
          <w:bCs/>
          <w:szCs w:val="21"/>
        </w:rPr>
        <w:tab/>
      </w:r>
      <w:r>
        <w:rPr>
          <w:rFonts w:hint="eastAsia" w:ascii="宋体" w:hAnsi="宋体" w:cs="宋体"/>
          <w:b/>
          <w:bCs/>
          <w:szCs w:val="21"/>
        </w:rPr>
        <w:tab/>
      </w:r>
      <w:r>
        <w:rPr>
          <w:rFonts w:hint="eastAsia" w:ascii="宋体" w:hAnsi="宋体" w:cs="宋体"/>
          <w:b/>
          <w:bCs/>
          <w:szCs w:val="21"/>
        </w:rPr>
        <w:t>其他</w:t>
      </w:r>
    </w:p>
    <w:p>
      <w:pPr>
        <w:spacing w:line="360" w:lineRule="auto"/>
        <w:ind w:firstLine="420" w:firstLineChars="200"/>
        <w:rPr>
          <w:rFonts w:ascii="宋体" w:hAnsi="宋体" w:cs="宋体"/>
          <w:szCs w:val="21"/>
        </w:rPr>
      </w:pPr>
      <w:r>
        <w:rPr>
          <w:rFonts w:hint="eastAsia" w:ascii="宋体" w:hAnsi="宋体" w:cs="宋体"/>
          <w:szCs w:val="21"/>
        </w:rPr>
        <w:t>1、甲、乙双方在履行本协议过程中如发生争议，应协商解决，双方达成一致协商意见的，应及时形成书面文件，同时作为本协议书的附件，以资双方共同履行。若协商不成时，任何一方均应提交贵港市港北区人民法院诉讼解决。</w:t>
      </w:r>
    </w:p>
    <w:p>
      <w:pPr>
        <w:spacing w:line="360" w:lineRule="auto"/>
        <w:ind w:firstLine="420" w:firstLineChars="200"/>
        <w:rPr>
          <w:rFonts w:ascii="宋体" w:hAnsi="宋体" w:cs="宋体"/>
          <w:szCs w:val="21"/>
        </w:rPr>
      </w:pPr>
      <w:r>
        <w:rPr>
          <w:rFonts w:hint="eastAsia" w:ascii="宋体" w:hAnsi="宋体" w:cs="宋体"/>
          <w:szCs w:val="21"/>
        </w:rPr>
        <w:t>2、本协议经双方签字后生效，本协议一式二份，甲、乙双方各执一份，每份均具同等效力。</w:t>
      </w:r>
    </w:p>
    <w:p>
      <w:pPr>
        <w:spacing w:line="360" w:lineRule="auto"/>
        <w:ind w:firstLine="420" w:firstLineChars="200"/>
        <w:rPr>
          <w:rFonts w:ascii="宋体" w:hAnsi="宋体" w:cs="宋体"/>
          <w:szCs w:val="21"/>
        </w:rPr>
      </w:pPr>
      <w:r>
        <w:rPr>
          <w:rFonts w:hint="eastAsia" w:ascii="宋体" w:hAnsi="宋体" w:cs="宋体"/>
          <w:szCs w:val="21"/>
        </w:rPr>
        <w:t>3、附件为本协议书不可分割的一部分，与本协议书具有同等法律效力。</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甲方（盖章）：</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 xml:space="preserve">    乙方（盖章）：</w:t>
      </w:r>
    </w:p>
    <w:p>
      <w:pPr>
        <w:spacing w:line="360" w:lineRule="auto"/>
        <w:rPr>
          <w:rFonts w:ascii="宋体" w:hAnsi="宋体" w:cs="宋体"/>
          <w:szCs w:val="21"/>
        </w:rPr>
      </w:pPr>
      <w:r>
        <w:rPr>
          <w:rFonts w:hint="eastAsia" w:ascii="宋体" w:hAnsi="宋体" w:cs="宋体"/>
          <w:szCs w:val="21"/>
        </w:rPr>
        <w:t xml:space="preserve">代表人（签字）： </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代表人（签字）：</w:t>
      </w:r>
    </w:p>
    <w:p>
      <w:pPr>
        <w:spacing w:line="360" w:lineRule="auto"/>
        <w:rPr>
          <w:rFonts w:ascii="宋体" w:hAnsi="宋体" w:cs="宋体"/>
          <w:szCs w:val="21"/>
        </w:rPr>
      </w:pPr>
      <w:r>
        <w:rPr>
          <w:rFonts w:hint="eastAsia" w:ascii="宋体" w:hAnsi="宋体" w:cs="宋体"/>
          <w:szCs w:val="21"/>
        </w:rPr>
        <w:t>签订日期：</w:t>
      </w:r>
      <w:r>
        <w:rPr>
          <w:rFonts w:hint="eastAsia" w:ascii="宋体" w:hAnsi="宋体" w:cs="宋体"/>
          <w:szCs w:val="21"/>
        </w:rPr>
        <w:tab/>
      </w:r>
      <w:r>
        <w:rPr>
          <w:rFonts w:hint="eastAsia" w:ascii="宋体" w:hAnsi="宋体" w:cs="宋体"/>
          <w:szCs w:val="21"/>
        </w:rPr>
        <w:tab/>
      </w:r>
      <w:r>
        <w:rPr>
          <w:rFonts w:hint="eastAsia" w:ascii="宋体" w:hAnsi="宋体" w:cs="宋体"/>
          <w:szCs w:val="21"/>
        </w:rPr>
        <w:t>年</w:t>
      </w:r>
      <w:r>
        <w:rPr>
          <w:rFonts w:hint="eastAsia" w:ascii="宋体" w:hAnsi="宋体" w:cs="宋体"/>
          <w:szCs w:val="21"/>
        </w:rPr>
        <w:tab/>
      </w:r>
      <w:r>
        <w:rPr>
          <w:rFonts w:hint="eastAsia" w:ascii="宋体" w:hAnsi="宋体" w:cs="宋体"/>
          <w:szCs w:val="21"/>
        </w:rPr>
        <w:tab/>
      </w:r>
      <w:r>
        <w:rPr>
          <w:rFonts w:hint="eastAsia" w:ascii="宋体" w:hAnsi="宋体" w:cs="宋体"/>
          <w:szCs w:val="21"/>
        </w:rPr>
        <w:t>月</w:t>
      </w:r>
      <w:r>
        <w:rPr>
          <w:rFonts w:hint="eastAsia" w:ascii="宋体" w:hAnsi="宋体" w:cs="宋体"/>
          <w:szCs w:val="21"/>
        </w:rPr>
        <w:tab/>
      </w:r>
      <w:r>
        <w:rPr>
          <w:rFonts w:hint="eastAsia" w:ascii="宋体" w:hAnsi="宋体" w:cs="宋体"/>
          <w:szCs w:val="21"/>
        </w:rPr>
        <w:tab/>
      </w:r>
      <w:r>
        <w:rPr>
          <w:rFonts w:hint="eastAsia" w:ascii="宋体" w:hAnsi="宋体" w:cs="宋体"/>
          <w:szCs w:val="21"/>
        </w:rPr>
        <w:t>日</w:t>
      </w:r>
      <w:r>
        <w:rPr>
          <w:rFonts w:hint="eastAsia" w:ascii="宋体" w:hAnsi="宋体" w:cs="宋体"/>
          <w:szCs w:val="21"/>
        </w:rPr>
        <w:tab/>
      </w:r>
      <w:r>
        <w:rPr>
          <w:rFonts w:hint="eastAsia" w:ascii="宋体" w:hAnsi="宋体" w:cs="宋体"/>
          <w:szCs w:val="21"/>
        </w:rPr>
        <w:tab/>
      </w:r>
      <w:r>
        <w:rPr>
          <w:rFonts w:hint="eastAsia" w:ascii="宋体" w:hAnsi="宋体" w:cs="宋体"/>
          <w:szCs w:val="21"/>
        </w:rPr>
        <w:t>签订日期：</w:t>
      </w:r>
      <w:r>
        <w:rPr>
          <w:rFonts w:hint="eastAsia" w:ascii="宋体" w:hAnsi="宋体" w:cs="宋体"/>
          <w:szCs w:val="21"/>
        </w:rPr>
        <w:tab/>
      </w:r>
      <w:r>
        <w:rPr>
          <w:rFonts w:hint="eastAsia" w:ascii="宋体" w:hAnsi="宋体" w:cs="宋体"/>
          <w:szCs w:val="21"/>
        </w:rPr>
        <w:tab/>
      </w:r>
      <w:r>
        <w:rPr>
          <w:rFonts w:hint="eastAsia" w:ascii="宋体" w:hAnsi="宋体" w:cs="宋体"/>
          <w:szCs w:val="21"/>
        </w:rPr>
        <w:t>年</w:t>
      </w:r>
      <w:r>
        <w:rPr>
          <w:rFonts w:hint="eastAsia" w:ascii="宋体" w:hAnsi="宋体" w:cs="宋体"/>
          <w:szCs w:val="21"/>
        </w:rPr>
        <w:tab/>
      </w:r>
      <w:r>
        <w:rPr>
          <w:rFonts w:hint="eastAsia" w:ascii="宋体" w:hAnsi="宋体" w:cs="宋体"/>
          <w:szCs w:val="21"/>
        </w:rPr>
        <w:tab/>
      </w:r>
      <w:r>
        <w:rPr>
          <w:rFonts w:hint="eastAsia" w:ascii="宋体" w:hAnsi="宋体" w:cs="宋体"/>
          <w:szCs w:val="21"/>
        </w:rPr>
        <w:t>月</w:t>
      </w:r>
      <w:r>
        <w:rPr>
          <w:rFonts w:hint="eastAsia" w:ascii="宋体" w:hAnsi="宋体" w:cs="宋体"/>
          <w:szCs w:val="21"/>
        </w:rPr>
        <w:tab/>
      </w:r>
      <w:r>
        <w:rPr>
          <w:rFonts w:hint="eastAsia" w:ascii="宋体" w:hAnsi="宋体" w:cs="宋体"/>
          <w:szCs w:val="21"/>
        </w:rPr>
        <w:tab/>
      </w:r>
      <w:r>
        <w:rPr>
          <w:rFonts w:hint="eastAsia" w:ascii="宋体" w:hAnsi="宋体" w:cs="宋体"/>
          <w:szCs w:val="21"/>
        </w:rPr>
        <w:t>日</w:t>
      </w:r>
    </w:p>
    <w:p>
      <w:pPr>
        <w:snapToGrid w:val="0"/>
        <w:spacing w:line="360" w:lineRule="auto"/>
        <w:rPr>
          <w:rFonts w:ascii="宋体" w:hAnsi="宋体" w:cs="宋体"/>
          <w:kern w:val="0"/>
          <w:szCs w:val="21"/>
        </w:rPr>
      </w:pPr>
    </w:p>
    <w:p>
      <w:pPr>
        <w:pStyle w:val="6"/>
        <w:rPr>
          <w:rFonts w:ascii="宋体" w:hAnsi="宋体" w:cs="宋体"/>
          <w:kern w:val="0"/>
          <w:sz w:val="21"/>
          <w:szCs w:val="21"/>
        </w:rPr>
      </w:pPr>
    </w:p>
    <w:p>
      <w:pPr>
        <w:rPr>
          <w:rFonts w:ascii="宋体" w:hAnsi="宋体" w:cs="宋体"/>
          <w:kern w:val="0"/>
          <w:szCs w:val="21"/>
        </w:rPr>
      </w:pPr>
    </w:p>
    <w:p>
      <w:pPr>
        <w:pStyle w:val="6"/>
      </w:pPr>
    </w:p>
    <w:p>
      <w:pPr>
        <w:snapToGrid w:val="0"/>
        <w:rPr>
          <w:rFonts w:ascii="宋体" w:hAnsi="宋体" w:cs="Courier New"/>
          <w:b/>
          <w:sz w:val="32"/>
          <w:szCs w:val="32"/>
        </w:rPr>
      </w:pPr>
    </w:p>
    <w:sectPr>
      <w:footerReference r:id="rId14" w:type="first"/>
      <w:footerReference r:id="rId13" w:type="default"/>
      <w:pgSz w:w="11906" w:h="16838"/>
      <w:pgMar w:top="1440" w:right="1440" w:bottom="1440"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00000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_5b8b_4f53">
    <w:altName w:val="Times New Roman"/>
    <w:panose1 w:val="00000000000000000000"/>
    <w:charset w:val="00"/>
    <w:family w:val="roman"/>
    <w:pitch w:val="default"/>
    <w:sig w:usb0="00000000" w:usb1="00000000" w:usb2="00000000" w:usb3="00000000" w:csb0="00040001" w:csb1="00000000"/>
  </w:font>
  <w:font w:name="Microsoft JhengHei Light">
    <w:altName w:val="Microsoft JhengHei"/>
    <w:panose1 w:val="00000000000000000000"/>
    <w:charset w:val="88"/>
    <w:family w:val="swiss"/>
    <w:pitch w:val="default"/>
    <w:sig w:usb0="00000000" w:usb1="00000000" w:usb2="00000016" w:usb3="00000000" w:csb0="00100009" w:csb1="00000000"/>
  </w:font>
  <w:font w:name="sans-serif">
    <w:altName w:val="Segoe Print"/>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0"/>
      </w:rPr>
    </w:pPr>
    <w:r>
      <w:fldChar w:fldCharType="begin"/>
    </w:r>
    <w:r>
      <w:rPr>
        <w:rStyle w:val="30"/>
      </w:rPr>
      <w:instrText xml:space="preserve">PAGE  </w:instrText>
    </w:r>
    <w:r>
      <w:fldChar w:fldCharType="end"/>
    </w:r>
  </w:p>
  <w:p>
    <w:pPr>
      <w:pStyle w:val="18"/>
    </w:pPr>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7173" o:spid="_x0000_s71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38</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7174" o:spid="_x0000_s71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pict>
        <v:shape id="_x0000_s7169" o:spid="_x0000_s7169" o:spt="202" type="#_x0000_t202" style="position:absolute;left:0pt;margin-top:0pt;height:144pt;width:144pt;mso-position-horizontal:center;mso-position-horizontal-relative:margin;mso-wrap-style:none;z-index:251656192;mso-width-relative:page;mso-height-relative:page;" filled="f" stroked="f" coordsize="21600,21600">
          <v:path/>
          <v:fill on="f" focussize="0,0"/>
          <v:stroke on="f" joinstyle="miter"/>
          <v:imagedata o:title=""/>
          <o:lock v:ext="edit"/>
          <v:textbox inset="0mm,0mm,0mm,0mm" style="mso-fit-shape-to-text:t;">
            <w:txbxContent>
              <w:p>
                <w:pPr>
                  <w:pStyle w:val="18"/>
                  <w:jc w:val="center"/>
                </w:pPr>
                <w:r>
                  <w:fldChar w:fldCharType="begin"/>
                </w:r>
                <w:r>
                  <w:instrText xml:space="preserve"> PAGE   \* MERGEFORMAT </w:instrText>
                </w:r>
                <w:r>
                  <w:fldChar w:fldCharType="separate"/>
                </w:r>
                <w:r>
                  <w:rPr>
                    <w:lang w:val="zh-CN"/>
                  </w:rPr>
                  <w:t>39</w:t>
                </w:r>
                <w:r>
                  <w:rPr>
                    <w:lang w:val="zh-CN"/>
                  </w:rPr>
                  <w:fldChar w:fldCharType="end"/>
                </w:r>
              </w:p>
            </w:txbxContent>
          </v:textbox>
        </v:shape>
      </w:pict>
    </w:r>
  </w:p>
  <w:p>
    <w:pPr>
      <w:pStyle w:val="1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7170" o:spid="_x0000_s7170"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r>
      <w:rPr>
        <w:rFonts w:hint="eastAsia" w:ascii="宋体" w:hAnsi="宋体" w:cs="宋体"/>
        <w:b/>
        <w:sz w:val="52"/>
        <w:szCs w:val="52"/>
      </w:rPr>
      <w:drawing>
        <wp:inline distT="0" distB="0" distL="0" distR="0">
          <wp:extent cx="542925" cy="409575"/>
          <wp:effectExtent l="19050" t="0" r="9525" b="0"/>
          <wp:docPr id="2" name="图片 4" descr="_GCRYTNTVIY79EAE8V@7)G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_GCRYTNTVIY79EAE8V@7)GP"/>
                  <pic:cNvPicPr>
                    <a:picLocks noChangeAspect="1" noChangeArrowheads="1"/>
                  </pic:cNvPicPr>
                </pic:nvPicPr>
                <pic:blipFill>
                  <a:blip r:embed="rId1"/>
                  <a:srcRect/>
                  <a:stretch>
                    <a:fillRect/>
                  </a:stretch>
                </pic:blipFill>
                <pic:spPr>
                  <a:xfrm>
                    <a:off x="0" y="0"/>
                    <a:ext cx="542925" cy="409575"/>
                  </a:xfrm>
                  <a:prstGeom prst="rect">
                    <a:avLst/>
                  </a:prstGeom>
                  <a:noFill/>
                  <a:ln w="9525" cmpd="sng">
                    <a:noFill/>
                    <a:miter lim="800000"/>
                    <a:headEnd/>
                    <a:tailEnd/>
                  </a:ln>
                </pic:spPr>
              </pic:pic>
            </a:graphicData>
          </a:graphic>
        </wp:inline>
      </w:drawing>
    </w:r>
    <w:r>
      <w:rPr>
        <w:rFonts w:hint="eastAsia"/>
      </w:rPr>
      <w:t>广西乐正工程项目管理有限公司</w:t>
    </w:r>
    <w:r>
      <w:rPr>
        <w:rFonts w:hint="eastAsia" w:hAnsi="宋体"/>
      </w:rPr>
      <w:t xml:space="preserve">                                           </w:t>
    </w:r>
    <w:r>
      <w:rPr>
        <w:rFonts w:hint="eastAsia"/>
      </w:rPr>
      <w:t>竞争性磋商采购文件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r>
      <w:rPr>
        <w:rFonts w:hint="eastAsia"/>
        <w:bCs/>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ascii="宋体" w:hAnsi="宋体" w:cs="仿宋_GB2312"/>
      </w:rPr>
    </w:pPr>
    <w:r>
      <w:rPr>
        <w:rFonts w:hint="eastAsia" w:ascii="宋体" w:hAnsi="宋体" w:cs="仿宋_GB2312"/>
      </w:rPr>
      <w:t>项目名称：</w:t>
    </w:r>
    <w:r>
      <w:rPr>
        <w:rFonts w:hint="eastAsia" w:ascii="宋体" w:hAnsi="宋体" w:cs="宋体"/>
        <w:szCs w:val="21"/>
      </w:rPr>
      <w:t>贵港市城市地价动态监测编制项目服务工作</w:t>
    </w:r>
    <w:r>
      <w:rPr>
        <w:rFonts w:hint="eastAsia" w:ascii="宋体" w:hAnsi="宋体" w:cs="仿宋_GB2312"/>
      </w:rPr>
      <w:t xml:space="preserve">                   项目编号：GGZC2020-C3-04422-GXLZ</w:t>
    </w:r>
  </w:p>
  <w:p>
    <w:pPr>
      <w:pStyle w:val="1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r>
      <w:rPr>
        <w:rFonts w:hint="eastAsia"/>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8CEB78"/>
    <w:multiLevelType w:val="singleLevel"/>
    <w:tmpl w:val="EB8CEB78"/>
    <w:lvl w:ilvl="0" w:tentative="0">
      <w:start w:val="3"/>
      <w:numFmt w:val="chineseCounting"/>
      <w:suff w:val="space"/>
      <w:lvlText w:val="第%1章"/>
      <w:lvlJc w:val="left"/>
      <w:rPr>
        <w:rFonts w:hint="eastAsia"/>
      </w:rPr>
    </w:lvl>
  </w:abstractNum>
  <w:abstractNum w:abstractNumId="1">
    <w:nsid w:val="21274C2C"/>
    <w:multiLevelType w:val="singleLevel"/>
    <w:tmpl w:val="21274C2C"/>
    <w:lvl w:ilvl="0" w:tentative="0">
      <w:start w:val="3"/>
      <w:numFmt w:val="chineseCounting"/>
      <w:suff w:val="nothing"/>
      <w:lvlText w:val="%1、"/>
      <w:lvlJc w:val="left"/>
      <w:pPr>
        <w:ind w:left="0" w:firstLine="420"/>
      </w:pPr>
      <w:rPr>
        <w:rFonts w:hint="eastAsia"/>
      </w:rPr>
    </w:lvl>
  </w:abstractNum>
  <w:abstractNum w:abstractNumId="2">
    <w:nsid w:val="577A337F"/>
    <w:multiLevelType w:val="singleLevel"/>
    <w:tmpl w:val="577A337F"/>
    <w:lvl w:ilvl="0" w:tentative="0">
      <w:start w:val="2"/>
      <w:numFmt w:val="chineseCounting"/>
      <w:lvlText w:val="第%1条"/>
      <w:lvlJc w:val="left"/>
    </w:lvl>
  </w:abstractNum>
  <w:abstractNum w:abstractNumId="3">
    <w:nsid w:val="577A3847"/>
    <w:multiLevelType w:val="singleLevel"/>
    <w:tmpl w:val="577A3847"/>
    <w:lvl w:ilvl="0" w:tentative="0">
      <w:start w:val="6"/>
      <w:numFmt w:val="chineseCounting"/>
      <w:lvlText w:val="第%1条"/>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5,6,7"/>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34B14"/>
    <w:rsid w:val="00000672"/>
    <w:rsid w:val="00001799"/>
    <w:rsid w:val="00002D29"/>
    <w:rsid w:val="00003B93"/>
    <w:rsid w:val="0000474D"/>
    <w:rsid w:val="00005FDF"/>
    <w:rsid w:val="000070B3"/>
    <w:rsid w:val="000076B8"/>
    <w:rsid w:val="000109DC"/>
    <w:rsid w:val="00010D39"/>
    <w:rsid w:val="000114E8"/>
    <w:rsid w:val="0001172C"/>
    <w:rsid w:val="00012854"/>
    <w:rsid w:val="00012EA6"/>
    <w:rsid w:val="000135AD"/>
    <w:rsid w:val="00013DFE"/>
    <w:rsid w:val="000141EA"/>
    <w:rsid w:val="000177DB"/>
    <w:rsid w:val="000179C9"/>
    <w:rsid w:val="00017CCC"/>
    <w:rsid w:val="00020227"/>
    <w:rsid w:val="00020455"/>
    <w:rsid w:val="00021405"/>
    <w:rsid w:val="000215F3"/>
    <w:rsid w:val="0002264C"/>
    <w:rsid w:val="00022731"/>
    <w:rsid w:val="00022792"/>
    <w:rsid w:val="00023EC0"/>
    <w:rsid w:val="00024463"/>
    <w:rsid w:val="00025461"/>
    <w:rsid w:val="00025636"/>
    <w:rsid w:val="00025E36"/>
    <w:rsid w:val="00026886"/>
    <w:rsid w:val="000329E0"/>
    <w:rsid w:val="000352E9"/>
    <w:rsid w:val="00036A07"/>
    <w:rsid w:val="0003780B"/>
    <w:rsid w:val="00040571"/>
    <w:rsid w:val="00040973"/>
    <w:rsid w:val="00041261"/>
    <w:rsid w:val="0004156E"/>
    <w:rsid w:val="0004440C"/>
    <w:rsid w:val="000448A7"/>
    <w:rsid w:val="00045419"/>
    <w:rsid w:val="00046B5E"/>
    <w:rsid w:val="000470CB"/>
    <w:rsid w:val="000509D9"/>
    <w:rsid w:val="00051ACB"/>
    <w:rsid w:val="000533E7"/>
    <w:rsid w:val="00055D41"/>
    <w:rsid w:val="00057CD6"/>
    <w:rsid w:val="00060DCE"/>
    <w:rsid w:val="000610E3"/>
    <w:rsid w:val="000614F3"/>
    <w:rsid w:val="000623B4"/>
    <w:rsid w:val="000634A7"/>
    <w:rsid w:val="00063B0B"/>
    <w:rsid w:val="00063F81"/>
    <w:rsid w:val="00064847"/>
    <w:rsid w:val="00065E08"/>
    <w:rsid w:val="00066799"/>
    <w:rsid w:val="000673E2"/>
    <w:rsid w:val="0007004C"/>
    <w:rsid w:val="00070949"/>
    <w:rsid w:val="000711E4"/>
    <w:rsid w:val="00072AED"/>
    <w:rsid w:val="00073F47"/>
    <w:rsid w:val="0007492F"/>
    <w:rsid w:val="00074ED8"/>
    <w:rsid w:val="00075B7E"/>
    <w:rsid w:val="00077C70"/>
    <w:rsid w:val="000811A5"/>
    <w:rsid w:val="000813B5"/>
    <w:rsid w:val="00081BA3"/>
    <w:rsid w:val="00081D2E"/>
    <w:rsid w:val="00081F89"/>
    <w:rsid w:val="00082307"/>
    <w:rsid w:val="00082619"/>
    <w:rsid w:val="00082D02"/>
    <w:rsid w:val="00083871"/>
    <w:rsid w:val="00083B91"/>
    <w:rsid w:val="0008473C"/>
    <w:rsid w:val="0008520B"/>
    <w:rsid w:val="00085E06"/>
    <w:rsid w:val="000860BD"/>
    <w:rsid w:val="000871B8"/>
    <w:rsid w:val="0009052A"/>
    <w:rsid w:val="000916DA"/>
    <w:rsid w:val="00092442"/>
    <w:rsid w:val="000929EF"/>
    <w:rsid w:val="0009560F"/>
    <w:rsid w:val="0009588E"/>
    <w:rsid w:val="000959EE"/>
    <w:rsid w:val="00097183"/>
    <w:rsid w:val="00097608"/>
    <w:rsid w:val="000A13F3"/>
    <w:rsid w:val="000A23B1"/>
    <w:rsid w:val="000A2B0E"/>
    <w:rsid w:val="000A398F"/>
    <w:rsid w:val="000A509C"/>
    <w:rsid w:val="000A58CD"/>
    <w:rsid w:val="000A6007"/>
    <w:rsid w:val="000A65A6"/>
    <w:rsid w:val="000A7275"/>
    <w:rsid w:val="000A7A12"/>
    <w:rsid w:val="000B1801"/>
    <w:rsid w:val="000B1D0C"/>
    <w:rsid w:val="000B2273"/>
    <w:rsid w:val="000B2D03"/>
    <w:rsid w:val="000B3815"/>
    <w:rsid w:val="000B3C7B"/>
    <w:rsid w:val="000B6A6B"/>
    <w:rsid w:val="000B6C95"/>
    <w:rsid w:val="000B79FC"/>
    <w:rsid w:val="000C0207"/>
    <w:rsid w:val="000C1679"/>
    <w:rsid w:val="000C3AE7"/>
    <w:rsid w:val="000C3CC9"/>
    <w:rsid w:val="000C520A"/>
    <w:rsid w:val="000C6DE4"/>
    <w:rsid w:val="000D0A89"/>
    <w:rsid w:val="000D1389"/>
    <w:rsid w:val="000D1798"/>
    <w:rsid w:val="000D2626"/>
    <w:rsid w:val="000D4589"/>
    <w:rsid w:val="000D73DD"/>
    <w:rsid w:val="000D7E1E"/>
    <w:rsid w:val="000E10E3"/>
    <w:rsid w:val="000E1C51"/>
    <w:rsid w:val="000E28AB"/>
    <w:rsid w:val="000E2E3E"/>
    <w:rsid w:val="000E3583"/>
    <w:rsid w:val="000E3AF0"/>
    <w:rsid w:val="000E4E04"/>
    <w:rsid w:val="000E6EC9"/>
    <w:rsid w:val="000E70B4"/>
    <w:rsid w:val="000E7B62"/>
    <w:rsid w:val="000F0E1E"/>
    <w:rsid w:val="000F1A1B"/>
    <w:rsid w:val="000F2A95"/>
    <w:rsid w:val="000F3281"/>
    <w:rsid w:val="000F32FD"/>
    <w:rsid w:val="000F3733"/>
    <w:rsid w:val="000F5F8B"/>
    <w:rsid w:val="000F64AA"/>
    <w:rsid w:val="000F7AF4"/>
    <w:rsid w:val="000F7C33"/>
    <w:rsid w:val="000F7F0C"/>
    <w:rsid w:val="001004D6"/>
    <w:rsid w:val="00102676"/>
    <w:rsid w:val="00103646"/>
    <w:rsid w:val="00103918"/>
    <w:rsid w:val="00104897"/>
    <w:rsid w:val="00104EDE"/>
    <w:rsid w:val="00105CDA"/>
    <w:rsid w:val="00106BEE"/>
    <w:rsid w:val="00107C74"/>
    <w:rsid w:val="001130C6"/>
    <w:rsid w:val="00113678"/>
    <w:rsid w:val="00113C3E"/>
    <w:rsid w:val="00115E11"/>
    <w:rsid w:val="00115F56"/>
    <w:rsid w:val="001178D8"/>
    <w:rsid w:val="00117AE7"/>
    <w:rsid w:val="00117CBD"/>
    <w:rsid w:val="0012006A"/>
    <w:rsid w:val="00121979"/>
    <w:rsid w:val="00122064"/>
    <w:rsid w:val="00124341"/>
    <w:rsid w:val="00124B12"/>
    <w:rsid w:val="001263B8"/>
    <w:rsid w:val="00130217"/>
    <w:rsid w:val="00130783"/>
    <w:rsid w:val="00130A47"/>
    <w:rsid w:val="00132B47"/>
    <w:rsid w:val="001337F8"/>
    <w:rsid w:val="001348B4"/>
    <w:rsid w:val="001351CB"/>
    <w:rsid w:val="00135947"/>
    <w:rsid w:val="001359A2"/>
    <w:rsid w:val="00136020"/>
    <w:rsid w:val="00136445"/>
    <w:rsid w:val="00140132"/>
    <w:rsid w:val="00141C9C"/>
    <w:rsid w:val="0014277F"/>
    <w:rsid w:val="001434BE"/>
    <w:rsid w:val="0014479F"/>
    <w:rsid w:val="001452B4"/>
    <w:rsid w:val="001476D3"/>
    <w:rsid w:val="001509CF"/>
    <w:rsid w:val="00150D1D"/>
    <w:rsid w:val="001525AA"/>
    <w:rsid w:val="00152A87"/>
    <w:rsid w:val="00153BB5"/>
    <w:rsid w:val="00154518"/>
    <w:rsid w:val="00155582"/>
    <w:rsid w:val="00156359"/>
    <w:rsid w:val="00156DD6"/>
    <w:rsid w:val="0016086E"/>
    <w:rsid w:val="00160D0C"/>
    <w:rsid w:val="00161172"/>
    <w:rsid w:val="00161998"/>
    <w:rsid w:val="00161E65"/>
    <w:rsid w:val="00162597"/>
    <w:rsid w:val="001629AF"/>
    <w:rsid w:val="001629FD"/>
    <w:rsid w:val="0016428A"/>
    <w:rsid w:val="001647C9"/>
    <w:rsid w:val="00165627"/>
    <w:rsid w:val="001661A3"/>
    <w:rsid w:val="0016782B"/>
    <w:rsid w:val="00173256"/>
    <w:rsid w:val="00173E03"/>
    <w:rsid w:val="0017512C"/>
    <w:rsid w:val="0017586A"/>
    <w:rsid w:val="00175BA6"/>
    <w:rsid w:val="00176CA7"/>
    <w:rsid w:val="001778C5"/>
    <w:rsid w:val="00177E56"/>
    <w:rsid w:val="00177F0A"/>
    <w:rsid w:val="00181642"/>
    <w:rsid w:val="00181EAD"/>
    <w:rsid w:val="00184F57"/>
    <w:rsid w:val="00185544"/>
    <w:rsid w:val="00185617"/>
    <w:rsid w:val="0018755C"/>
    <w:rsid w:val="001877EC"/>
    <w:rsid w:val="00187A14"/>
    <w:rsid w:val="0019171E"/>
    <w:rsid w:val="001923A0"/>
    <w:rsid w:val="001928B1"/>
    <w:rsid w:val="00193537"/>
    <w:rsid w:val="00193846"/>
    <w:rsid w:val="00195424"/>
    <w:rsid w:val="001955FF"/>
    <w:rsid w:val="00197EDD"/>
    <w:rsid w:val="001A02B3"/>
    <w:rsid w:val="001A04BB"/>
    <w:rsid w:val="001A08D0"/>
    <w:rsid w:val="001A1B39"/>
    <w:rsid w:val="001A28C6"/>
    <w:rsid w:val="001A2E69"/>
    <w:rsid w:val="001A3C34"/>
    <w:rsid w:val="001A3EDE"/>
    <w:rsid w:val="001A4222"/>
    <w:rsid w:val="001A50EA"/>
    <w:rsid w:val="001A5E24"/>
    <w:rsid w:val="001A6D8B"/>
    <w:rsid w:val="001A6DAA"/>
    <w:rsid w:val="001B125A"/>
    <w:rsid w:val="001B1EBA"/>
    <w:rsid w:val="001B2142"/>
    <w:rsid w:val="001B2F2B"/>
    <w:rsid w:val="001B327A"/>
    <w:rsid w:val="001B35DE"/>
    <w:rsid w:val="001B3A13"/>
    <w:rsid w:val="001B59FF"/>
    <w:rsid w:val="001B6512"/>
    <w:rsid w:val="001B65D7"/>
    <w:rsid w:val="001B6752"/>
    <w:rsid w:val="001B6768"/>
    <w:rsid w:val="001B6F1F"/>
    <w:rsid w:val="001B7ECC"/>
    <w:rsid w:val="001C025B"/>
    <w:rsid w:val="001C25A7"/>
    <w:rsid w:val="001C318C"/>
    <w:rsid w:val="001C35C4"/>
    <w:rsid w:val="001C4287"/>
    <w:rsid w:val="001C4479"/>
    <w:rsid w:val="001C6081"/>
    <w:rsid w:val="001C7B48"/>
    <w:rsid w:val="001D0CFB"/>
    <w:rsid w:val="001D58A1"/>
    <w:rsid w:val="001D5A8A"/>
    <w:rsid w:val="001D735E"/>
    <w:rsid w:val="001D73C8"/>
    <w:rsid w:val="001E04D6"/>
    <w:rsid w:val="001E129E"/>
    <w:rsid w:val="001E175C"/>
    <w:rsid w:val="001E1B0E"/>
    <w:rsid w:val="001E5A94"/>
    <w:rsid w:val="001F2A2E"/>
    <w:rsid w:val="001F3356"/>
    <w:rsid w:val="001F3C63"/>
    <w:rsid w:val="001F4460"/>
    <w:rsid w:val="001F490F"/>
    <w:rsid w:val="001F711A"/>
    <w:rsid w:val="001F75B0"/>
    <w:rsid w:val="00200CE5"/>
    <w:rsid w:val="00200F7C"/>
    <w:rsid w:val="002014DB"/>
    <w:rsid w:val="00201E12"/>
    <w:rsid w:val="002033B5"/>
    <w:rsid w:val="0020382C"/>
    <w:rsid w:val="0020437A"/>
    <w:rsid w:val="0020521F"/>
    <w:rsid w:val="0020532C"/>
    <w:rsid w:val="00207449"/>
    <w:rsid w:val="002114C7"/>
    <w:rsid w:val="0021302C"/>
    <w:rsid w:val="00213B1C"/>
    <w:rsid w:val="00214202"/>
    <w:rsid w:val="002148E3"/>
    <w:rsid w:val="0021552D"/>
    <w:rsid w:val="002156AE"/>
    <w:rsid w:val="0022054D"/>
    <w:rsid w:val="002218F6"/>
    <w:rsid w:val="002229C6"/>
    <w:rsid w:val="00223DDB"/>
    <w:rsid w:val="00223FA4"/>
    <w:rsid w:val="00224067"/>
    <w:rsid w:val="0022421C"/>
    <w:rsid w:val="00224E83"/>
    <w:rsid w:val="00225664"/>
    <w:rsid w:val="00227F2D"/>
    <w:rsid w:val="00231851"/>
    <w:rsid w:val="002319FB"/>
    <w:rsid w:val="00231B89"/>
    <w:rsid w:val="00231F11"/>
    <w:rsid w:val="00231F5E"/>
    <w:rsid w:val="002346B4"/>
    <w:rsid w:val="00234F6E"/>
    <w:rsid w:val="002355BE"/>
    <w:rsid w:val="002358EA"/>
    <w:rsid w:val="00236578"/>
    <w:rsid w:val="00236DE9"/>
    <w:rsid w:val="00237D5A"/>
    <w:rsid w:val="002415AE"/>
    <w:rsid w:val="00241613"/>
    <w:rsid w:val="00241D3C"/>
    <w:rsid w:val="00242109"/>
    <w:rsid w:val="00243189"/>
    <w:rsid w:val="002439AB"/>
    <w:rsid w:val="00243C19"/>
    <w:rsid w:val="00244AE8"/>
    <w:rsid w:val="00245587"/>
    <w:rsid w:val="00245F2B"/>
    <w:rsid w:val="00247E3A"/>
    <w:rsid w:val="00247F3A"/>
    <w:rsid w:val="00250122"/>
    <w:rsid w:val="00250755"/>
    <w:rsid w:val="00251C4A"/>
    <w:rsid w:val="0025271C"/>
    <w:rsid w:val="002533CD"/>
    <w:rsid w:val="00254EAB"/>
    <w:rsid w:val="002557AF"/>
    <w:rsid w:val="0025589C"/>
    <w:rsid w:val="00255B62"/>
    <w:rsid w:val="002566B1"/>
    <w:rsid w:val="0025749A"/>
    <w:rsid w:val="002575E3"/>
    <w:rsid w:val="002603C1"/>
    <w:rsid w:val="002609A1"/>
    <w:rsid w:val="002612B1"/>
    <w:rsid w:val="00261AA1"/>
    <w:rsid w:val="00266165"/>
    <w:rsid w:val="002669B4"/>
    <w:rsid w:val="00266F2C"/>
    <w:rsid w:val="00270F08"/>
    <w:rsid w:val="0027125E"/>
    <w:rsid w:val="00271767"/>
    <w:rsid w:val="00272293"/>
    <w:rsid w:val="002723C8"/>
    <w:rsid w:val="00273CBE"/>
    <w:rsid w:val="002746B1"/>
    <w:rsid w:val="002835B0"/>
    <w:rsid w:val="0028407E"/>
    <w:rsid w:val="0028410F"/>
    <w:rsid w:val="00284572"/>
    <w:rsid w:val="00285221"/>
    <w:rsid w:val="00286FB5"/>
    <w:rsid w:val="00287763"/>
    <w:rsid w:val="00290606"/>
    <w:rsid w:val="002909B2"/>
    <w:rsid w:val="00291D6D"/>
    <w:rsid w:val="00291FF1"/>
    <w:rsid w:val="00292AA2"/>
    <w:rsid w:val="00293361"/>
    <w:rsid w:val="002952B1"/>
    <w:rsid w:val="00295D11"/>
    <w:rsid w:val="00296E8B"/>
    <w:rsid w:val="002A0C3A"/>
    <w:rsid w:val="002A1130"/>
    <w:rsid w:val="002A1880"/>
    <w:rsid w:val="002A23B7"/>
    <w:rsid w:val="002A3A57"/>
    <w:rsid w:val="002A4B4F"/>
    <w:rsid w:val="002A6DEF"/>
    <w:rsid w:val="002B013E"/>
    <w:rsid w:val="002B058D"/>
    <w:rsid w:val="002B0C16"/>
    <w:rsid w:val="002B2AC5"/>
    <w:rsid w:val="002B3528"/>
    <w:rsid w:val="002B3539"/>
    <w:rsid w:val="002B5042"/>
    <w:rsid w:val="002B60D7"/>
    <w:rsid w:val="002B69CC"/>
    <w:rsid w:val="002B6D71"/>
    <w:rsid w:val="002C0C1C"/>
    <w:rsid w:val="002C54C2"/>
    <w:rsid w:val="002C5D34"/>
    <w:rsid w:val="002C60BB"/>
    <w:rsid w:val="002C661A"/>
    <w:rsid w:val="002D0D6F"/>
    <w:rsid w:val="002D25FC"/>
    <w:rsid w:val="002D4AC6"/>
    <w:rsid w:val="002D5BF5"/>
    <w:rsid w:val="002D7648"/>
    <w:rsid w:val="002E109C"/>
    <w:rsid w:val="002E193E"/>
    <w:rsid w:val="002E1D55"/>
    <w:rsid w:val="002E26C4"/>
    <w:rsid w:val="002E2A85"/>
    <w:rsid w:val="002E30A5"/>
    <w:rsid w:val="002E47E4"/>
    <w:rsid w:val="002E4BF9"/>
    <w:rsid w:val="002E6E6C"/>
    <w:rsid w:val="002F0522"/>
    <w:rsid w:val="002F16DD"/>
    <w:rsid w:val="002F199D"/>
    <w:rsid w:val="002F213C"/>
    <w:rsid w:val="002F352D"/>
    <w:rsid w:val="002F4084"/>
    <w:rsid w:val="002F4A08"/>
    <w:rsid w:val="002F4ADB"/>
    <w:rsid w:val="002F531E"/>
    <w:rsid w:val="002F548D"/>
    <w:rsid w:val="002F5ACC"/>
    <w:rsid w:val="002F704B"/>
    <w:rsid w:val="002F72C3"/>
    <w:rsid w:val="002F768C"/>
    <w:rsid w:val="002F7D1E"/>
    <w:rsid w:val="00300201"/>
    <w:rsid w:val="00302EFC"/>
    <w:rsid w:val="00303243"/>
    <w:rsid w:val="00303BCC"/>
    <w:rsid w:val="00303F2B"/>
    <w:rsid w:val="00303F8D"/>
    <w:rsid w:val="0030572D"/>
    <w:rsid w:val="0030586A"/>
    <w:rsid w:val="0030622D"/>
    <w:rsid w:val="00306811"/>
    <w:rsid w:val="003074C5"/>
    <w:rsid w:val="00307A3C"/>
    <w:rsid w:val="00307FA4"/>
    <w:rsid w:val="00310290"/>
    <w:rsid w:val="00310CC1"/>
    <w:rsid w:val="00312504"/>
    <w:rsid w:val="00313026"/>
    <w:rsid w:val="0031421F"/>
    <w:rsid w:val="00314B31"/>
    <w:rsid w:val="00315A65"/>
    <w:rsid w:val="00317BA7"/>
    <w:rsid w:val="00320BE2"/>
    <w:rsid w:val="00321886"/>
    <w:rsid w:val="00323694"/>
    <w:rsid w:val="00323BE7"/>
    <w:rsid w:val="00324C3A"/>
    <w:rsid w:val="00324D63"/>
    <w:rsid w:val="003255AF"/>
    <w:rsid w:val="003256EB"/>
    <w:rsid w:val="003259DB"/>
    <w:rsid w:val="003314D9"/>
    <w:rsid w:val="00331653"/>
    <w:rsid w:val="00331A48"/>
    <w:rsid w:val="00331FF2"/>
    <w:rsid w:val="00332C87"/>
    <w:rsid w:val="003330C9"/>
    <w:rsid w:val="0033364C"/>
    <w:rsid w:val="00334415"/>
    <w:rsid w:val="00335A4D"/>
    <w:rsid w:val="00335EA1"/>
    <w:rsid w:val="0033691E"/>
    <w:rsid w:val="00336A6A"/>
    <w:rsid w:val="00336CCB"/>
    <w:rsid w:val="003411D1"/>
    <w:rsid w:val="003416BA"/>
    <w:rsid w:val="00342148"/>
    <w:rsid w:val="00342F99"/>
    <w:rsid w:val="00345F57"/>
    <w:rsid w:val="0034645E"/>
    <w:rsid w:val="003504FD"/>
    <w:rsid w:val="00350E6C"/>
    <w:rsid w:val="003518A6"/>
    <w:rsid w:val="00351E7F"/>
    <w:rsid w:val="00352953"/>
    <w:rsid w:val="00354062"/>
    <w:rsid w:val="00355C0D"/>
    <w:rsid w:val="003566A9"/>
    <w:rsid w:val="00356988"/>
    <w:rsid w:val="00356CE9"/>
    <w:rsid w:val="003570BB"/>
    <w:rsid w:val="00357128"/>
    <w:rsid w:val="0035755E"/>
    <w:rsid w:val="00357A80"/>
    <w:rsid w:val="00361441"/>
    <w:rsid w:val="00361B8B"/>
    <w:rsid w:val="00363F39"/>
    <w:rsid w:val="0036445C"/>
    <w:rsid w:val="00364627"/>
    <w:rsid w:val="00364AB0"/>
    <w:rsid w:val="003667B0"/>
    <w:rsid w:val="003667DD"/>
    <w:rsid w:val="00366B48"/>
    <w:rsid w:val="00367764"/>
    <w:rsid w:val="00370316"/>
    <w:rsid w:val="00370DC7"/>
    <w:rsid w:val="00370FC1"/>
    <w:rsid w:val="00371CBD"/>
    <w:rsid w:val="00371F20"/>
    <w:rsid w:val="00372B98"/>
    <w:rsid w:val="003737B7"/>
    <w:rsid w:val="003740CC"/>
    <w:rsid w:val="00374E79"/>
    <w:rsid w:val="0037529A"/>
    <w:rsid w:val="00375388"/>
    <w:rsid w:val="00375FB9"/>
    <w:rsid w:val="00376851"/>
    <w:rsid w:val="003769F9"/>
    <w:rsid w:val="00376FA2"/>
    <w:rsid w:val="003778F6"/>
    <w:rsid w:val="00377A3B"/>
    <w:rsid w:val="00377E3C"/>
    <w:rsid w:val="00380BBE"/>
    <w:rsid w:val="00381D70"/>
    <w:rsid w:val="003821F7"/>
    <w:rsid w:val="0038235E"/>
    <w:rsid w:val="00382729"/>
    <w:rsid w:val="003829D0"/>
    <w:rsid w:val="003833C7"/>
    <w:rsid w:val="0038444F"/>
    <w:rsid w:val="00387051"/>
    <w:rsid w:val="00387ECF"/>
    <w:rsid w:val="0039021B"/>
    <w:rsid w:val="00390429"/>
    <w:rsid w:val="00391D45"/>
    <w:rsid w:val="0039366C"/>
    <w:rsid w:val="00393EC8"/>
    <w:rsid w:val="00394B96"/>
    <w:rsid w:val="00395E42"/>
    <w:rsid w:val="00396A2D"/>
    <w:rsid w:val="00396FC3"/>
    <w:rsid w:val="003A007D"/>
    <w:rsid w:val="003A03F8"/>
    <w:rsid w:val="003A1A94"/>
    <w:rsid w:val="003A204E"/>
    <w:rsid w:val="003A2D25"/>
    <w:rsid w:val="003A60E7"/>
    <w:rsid w:val="003A6725"/>
    <w:rsid w:val="003A7092"/>
    <w:rsid w:val="003A72A1"/>
    <w:rsid w:val="003A7611"/>
    <w:rsid w:val="003B0B6A"/>
    <w:rsid w:val="003B22F7"/>
    <w:rsid w:val="003B29CF"/>
    <w:rsid w:val="003B3A90"/>
    <w:rsid w:val="003B534F"/>
    <w:rsid w:val="003B7A79"/>
    <w:rsid w:val="003C350C"/>
    <w:rsid w:val="003C3903"/>
    <w:rsid w:val="003C3B71"/>
    <w:rsid w:val="003C3BA0"/>
    <w:rsid w:val="003C4580"/>
    <w:rsid w:val="003C5284"/>
    <w:rsid w:val="003C5C5E"/>
    <w:rsid w:val="003C5D56"/>
    <w:rsid w:val="003C6746"/>
    <w:rsid w:val="003C7555"/>
    <w:rsid w:val="003C7898"/>
    <w:rsid w:val="003D0FF5"/>
    <w:rsid w:val="003D1537"/>
    <w:rsid w:val="003D183C"/>
    <w:rsid w:val="003D2D1B"/>
    <w:rsid w:val="003D48C7"/>
    <w:rsid w:val="003D4C27"/>
    <w:rsid w:val="003D572D"/>
    <w:rsid w:val="003D7109"/>
    <w:rsid w:val="003D75D7"/>
    <w:rsid w:val="003D7CE8"/>
    <w:rsid w:val="003E0514"/>
    <w:rsid w:val="003E1032"/>
    <w:rsid w:val="003E1904"/>
    <w:rsid w:val="003E285E"/>
    <w:rsid w:val="003E3124"/>
    <w:rsid w:val="003E3300"/>
    <w:rsid w:val="003E3603"/>
    <w:rsid w:val="003E43D3"/>
    <w:rsid w:val="003E59BB"/>
    <w:rsid w:val="003E5D6B"/>
    <w:rsid w:val="003E6225"/>
    <w:rsid w:val="003E65AC"/>
    <w:rsid w:val="003E66AE"/>
    <w:rsid w:val="003E72B9"/>
    <w:rsid w:val="003E773E"/>
    <w:rsid w:val="003E7ED4"/>
    <w:rsid w:val="003F0E52"/>
    <w:rsid w:val="003F0F6B"/>
    <w:rsid w:val="003F1FC6"/>
    <w:rsid w:val="003F1FE3"/>
    <w:rsid w:val="003F2359"/>
    <w:rsid w:val="003F3865"/>
    <w:rsid w:val="003F44E2"/>
    <w:rsid w:val="003F4632"/>
    <w:rsid w:val="003F47BA"/>
    <w:rsid w:val="003F4FE6"/>
    <w:rsid w:val="003F6617"/>
    <w:rsid w:val="00402332"/>
    <w:rsid w:val="004025C2"/>
    <w:rsid w:val="00403391"/>
    <w:rsid w:val="004033A9"/>
    <w:rsid w:val="00403E55"/>
    <w:rsid w:val="0040416C"/>
    <w:rsid w:val="00404681"/>
    <w:rsid w:val="00406923"/>
    <w:rsid w:val="0040763D"/>
    <w:rsid w:val="00410D17"/>
    <w:rsid w:val="0041257F"/>
    <w:rsid w:val="00413821"/>
    <w:rsid w:val="004141A3"/>
    <w:rsid w:val="00414909"/>
    <w:rsid w:val="0041582F"/>
    <w:rsid w:val="00416112"/>
    <w:rsid w:val="00416D00"/>
    <w:rsid w:val="00417AE0"/>
    <w:rsid w:val="00417BAA"/>
    <w:rsid w:val="00420D7A"/>
    <w:rsid w:val="00421257"/>
    <w:rsid w:val="00422193"/>
    <w:rsid w:val="004223DE"/>
    <w:rsid w:val="00422A10"/>
    <w:rsid w:val="004245B8"/>
    <w:rsid w:val="00424D17"/>
    <w:rsid w:val="00425DFD"/>
    <w:rsid w:val="004263A3"/>
    <w:rsid w:val="00427713"/>
    <w:rsid w:val="00427CCC"/>
    <w:rsid w:val="0043013A"/>
    <w:rsid w:val="00430421"/>
    <w:rsid w:val="00430B4F"/>
    <w:rsid w:val="00431084"/>
    <w:rsid w:val="004310D7"/>
    <w:rsid w:val="004322D6"/>
    <w:rsid w:val="00432589"/>
    <w:rsid w:val="00432A94"/>
    <w:rsid w:val="00432C95"/>
    <w:rsid w:val="00433827"/>
    <w:rsid w:val="00433A40"/>
    <w:rsid w:val="00434B70"/>
    <w:rsid w:val="004360C8"/>
    <w:rsid w:val="0044006B"/>
    <w:rsid w:val="0044033F"/>
    <w:rsid w:val="00440630"/>
    <w:rsid w:val="00441D3C"/>
    <w:rsid w:val="00441F0F"/>
    <w:rsid w:val="00442965"/>
    <w:rsid w:val="00444157"/>
    <w:rsid w:val="0044417C"/>
    <w:rsid w:val="00444DB3"/>
    <w:rsid w:val="00445A2F"/>
    <w:rsid w:val="0044684E"/>
    <w:rsid w:val="00447AEE"/>
    <w:rsid w:val="0045019F"/>
    <w:rsid w:val="004503A4"/>
    <w:rsid w:val="00450555"/>
    <w:rsid w:val="004506FA"/>
    <w:rsid w:val="00450DC6"/>
    <w:rsid w:val="004516A5"/>
    <w:rsid w:val="00451E9C"/>
    <w:rsid w:val="004535AE"/>
    <w:rsid w:val="00453A1B"/>
    <w:rsid w:val="0045444D"/>
    <w:rsid w:val="0045463A"/>
    <w:rsid w:val="00454AC9"/>
    <w:rsid w:val="004554A3"/>
    <w:rsid w:val="00455A6E"/>
    <w:rsid w:val="00455EAD"/>
    <w:rsid w:val="004578EB"/>
    <w:rsid w:val="004604D5"/>
    <w:rsid w:val="00460697"/>
    <w:rsid w:val="00464AB7"/>
    <w:rsid w:val="00467EF8"/>
    <w:rsid w:val="00472429"/>
    <w:rsid w:val="004725E5"/>
    <w:rsid w:val="00472751"/>
    <w:rsid w:val="00472E90"/>
    <w:rsid w:val="00473128"/>
    <w:rsid w:val="00475078"/>
    <w:rsid w:val="00475767"/>
    <w:rsid w:val="00477492"/>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6350"/>
    <w:rsid w:val="0049797C"/>
    <w:rsid w:val="004A1405"/>
    <w:rsid w:val="004A1FC6"/>
    <w:rsid w:val="004A38C2"/>
    <w:rsid w:val="004A3C03"/>
    <w:rsid w:val="004A3DB7"/>
    <w:rsid w:val="004A4474"/>
    <w:rsid w:val="004A5088"/>
    <w:rsid w:val="004A5255"/>
    <w:rsid w:val="004A6CB0"/>
    <w:rsid w:val="004A70FF"/>
    <w:rsid w:val="004A7EDE"/>
    <w:rsid w:val="004B0D93"/>
    <w:rsid w:val="004B1FA4"/>
    <w:rsid w:val="004B29AC"/>
    <w:rsid w:val="004B2BF0"/>
    <w:rsid w:val="004B35DF"/>
    <w:rsid w:val="004B3627"/>
    <w:rsid w:val="004B4922"/>
    <w:rsid w:val="004B57DF"/>
    <w:rsid w:val="004B5976"/>
    <w:rsid w:val="004B72E8"/>
    <w:rsid w:val="004C01A5"/>
    <w:rsid w:val="004C0329"/>
    <w:rsid w:val="004C2138"/>
    <w:rsid w:val="004C3940"/>
    <w:rsid w:val="004C51FD"/>
    <w:rsid w:val="004C5E59"/>
    <w:rsid w:val="004C65A8"/>
    <w:rsid w:val="004C6689"/>
    <w:rsid w:val="004D14DC"/>
    <w:rsid w:val="004D17C6"/>
    <w:rsid w:val="004D1E3A"/>
    <w:rsid w:val="004D2858"/>
    <w:rsid w:val="004D35BA"/>
    <w:rsid w:val="004D38E5"/>
    <w:rsid w:val="004D3C5A"/>
    <w:rsid w:val="004D449A"/>
    <w:rsid w:val="004D4660"/>
    <w:rsid w:val="004D4701"/>
    <w:rsid w:val="004D47C7"/>
    <w:rsid w:val="004D5D45"/>
    <w:rsid w:val="004D618D"/>
    <w:rsid w:val="004D62A9"/>
    <w:rsid w:val="004D6FC3"/>
    <w:rsid w:val="004D7476"/>
    <w:rsid w:val="004E0306"/>
    <w:rsid w:val="004E0572"/>
    <w:rsid w:val="004E1818"/>
    <w:rsid w:val="004E1990"/>
    <w:rsid w:val="004E25A8"/>
    <w:rsid w:val="004E3930"/>
    <w:rsid w:val="004E3ED9"/>
    <w:rsid w:val="004E5866"/>
    <w:rsid w:val="004E5EA9"/>
    <w:rsid w:val="004E6097"/>
    <w:rsid w:val="004E61EF"/>
    <w:rsid w:val="004E76A7"/>
    <w:rsid w:val="004E7B03"/>
    <w:rsid w:val="004F0064"/>
    <w:rsid w:val="004F06AC"/>
    <w:rsid w:val="004F243F"/>
    <w:rsid w:val="004F252C"/>
    <w:rsid w:val="004F3E0C"/>
    <w:rsid w:val="004F7160"/>
    <w:rsid w:val="00500258"/>
    <w:rsid w:val="00501A99"/>
    <w:rsid w:val="00503180"/>
    <w:rsid w:val="005038A4"/>
    <w:rsid w:val="00505450"/>
    <w:rsid w:val="005078DF"/>
    <w:rsid w:val="005100B7"/>
    <w:rsid w:val="005113C9"/>
    <w:rsid w:val="00512050"/>
    <w:rsid w:val="00512055"/>
    <w:rsid w:val="0051280C"/>
    <w:rsid w:val="00512842"/>
    <w:rsid w:val="005128BE"/>
    <w:rsid w:val="0051356F"/>
    <w:rsid w:val="00513E7C"/>
    <w:rsid w:val="005140BB"/>
    <w:rsid w:val="00514FD9"/>
    <w:rsid w:val="0051550A"/>
    <w:rsid w:val="0051608F"/>
    <w:rsid w:val="00520EF8"/>
    <w:rsid w:val="005210F7"/>
    <w:rsid w:val="00521753"/>
    <w:rsid w:val="005224EE"/>
    <w:rsid w:val="00522879"/>
    <w:rsid w:val="00523BB1"/>
    <w:rsid w:val="005260CD"/>
    <w:rsid w:val="00526265"/>
    <w:rsid w:val="0052655D"/>
    <w:rsid w:val="005265E0"/>
    <w:rsid w:val="00526BC3"/>
    <w:rsid w:val="00527944"/>
    <w:rsid w:val="00531761"/>
    <w:rsid w:val="00532F69"/>
    <w:rsid w:val="0053332A"/>
    <w:rsid w:val="0053358A"/>
    <w:rsid w:val="00534668"/>
    <w:rsid w:val="00534DDD"/>
    <w:rsid w:val="00535291"/>
    <w:rsid w:val="00535A94"/>
    <w:rsid w:val="00537874"/>
    <w:rsid w:val="0053795F"/>
    <w:rsid w:val="00540578"/>
    <w:rsid w:val="00540808"/>
    <w:rsid w:val="0054080E"/>
    <w:rsid w:val="00540EA1"/>
    <w:rsid w:val="0054188C"/>
    <w:rsid w:val="0054358E"/>
    <w:rsid w:val="00543AF4"/>
    <w:rsid w:val="00544191"/>
    <w:rsid w:val="005448EC"/>
    <w:rsid w:val="00544F39"/>
    <w:rsid w:val="00545B5D"/>
    <w:rsid w:val="00546F90"/>
    <w:rsid w:val="00547AB6"/>
    <w:rsid w:val="00547EFB"/>
    <w:rsid w:val="0055144F"/>
    <w:rsid w:val="005522F2"/>
    <w:rsid w:val="005531DF"/>
    <w:rsid w:val="00553874"/>
    <w:rsid w:val="00554AD8"/>
    <w:rsid w:val="00554F78"/>
    <w:rsid w:val="00555DA1"/>
    <w:rsid w:val="00556BF7"/>
    <w:rsid w:val="00557F60"/>
    <w:rsid w:val="0056054E"/>
    <w:rsid w:val="00561B97"/>
    <w:rsid w:val="00562149"/>
    <w:rsid w:val="005633C2"/>
    <w:rsid w:val="00567B5D"/>
    <w:rsid w:val="00570757"/>
    <w:rsid w:val="00573733"/>
    <w:rsid w:val="00574554"/>
    <w:rsid w:val="005745C5"/>
    <w:rsid w:val="00574BB4"/>
    <w:rsid w:val="005751BB"/>
    <w:rsid w:val="00576089"/>
    <w:rsid w:val="005764B1"/>
    <w:rsid w:val="00576852"/>
    <w:rsid w:val="00576D06"/>
    <w:rsid w:val="005779E4"/>
    <w:rsid w:val="0058289C"/>
    <w:rsid w:val="005836C7"/>
    <w:rsid w:val="0058408E"/>
    <w:rsid w:val="00585374"/>
    <w:rsid w:val="005853D0"/>
    <w:rsid w:val="00590B77"/>
    <w:rsid w:val="00590D9A"/>
    <w:rsid w:val="005913A3"/>
    <w:rsid w:val="00594816"/>
    <w:rsid w:val="00594A7B"/>
    <w:rsid w:val="0059580E"/>
    <w:rsid w:val="00596A6F"/>
    <w:rsid w:val="00596FCE"/>
    <w:rsid w:val="005A11BC"/>
    <w:rsid w:val="005A1525"/>
    <w:rsid w:val="005A1E17"/>
    <w:rsid w:val="005A252B"/>
    <w:rsid w:val="005A3204"/>
    <w:rsid w:val="005A3341"/>
    <w:rsid w:val="005A3C3D"/>
    <w:rsid w:val="005A46EC"/>
    <w:rsid w:val="005A4EE4"/>
    <w:rsid w:val="005A5EAE"/>
    <w:rsid w:val="005B07EC"/>
    <w:rsid w:val="005B2B11"/>
    <w:rsid w:val="005B32A4"/>
    <w:rsid w:val="005B3BAF"/>
    <w:rsid w:val="005B4DA3"/>
    <w:rsid w:val="005B5BEE"/>
    <w:rsid w:val="005B6F83"/>
    <w:rsid w:val="005B77D2"/>
    <w:rsid w:val="005C019B"/>
    <w:rsid w:val="005C1AED"/>
    <w:rsid w:val="005C30F5"/>
    <w:rsid w:val="005C32B4"/>
    <w:rsid w:val="005C51A5"/>
    <w:rsid w:val="005C557A"/>
    <w:rsid w:val="005C5C47"/>
    <w:rsid w:val="005C61DD"/>
    <w:rsid w:val="005C6438"/>
    <w:rsid w:val="005C6B27"/>
    <w:rsid w:val="005C6B8B"/>
    <w:rsid w:val="005C727F"/>
    <w:rsid w:val="005D02E3"/>
    <w:rsid w:val="005D1F34"/>
    <w:rsid w:val="005D2C1F"/>
    <w:rsid w:val="005D34B2"/>
    <w:rsid w:val="005D3B54"/>
    <w:rsid w:val="005D40CD"/>
    <w:rsid w:val="005D6B59"/>
    <w:rsid w:val="005E03E4"/>
    <w:rsid w:val="005E0454"/>
    <w:rsid w:val="005E05F6"/>
    <w:rsid w:val="005E3D2D"/>
    <w:rsid w:val="005E3F85"/>
    <w:rsid w:val="005E57B0"/>
    <w:rsid w:val="005E5B01"/>
    <w:rsid w:val="005F009E"/>
    <w:rsid w:val="005F0DF1"/>
    <w:rsid w:val="005F1516"/>
    <w:rsid w:val="005F229E"/>
    <w:rsid w:val="005F2564"/>
    <w:rsid w:val="005F3822"/>
    <w:rsid w:val="005F4635"/>
    <w:rsid w:val="005F4900"/>
    <w:rsid w:val="005F4E52"/>
    <w:rsid w:val="005F7383"/>
    <w:rsid w:val="0060058E"/>
    <w:rsid w:val="00601B01"/>
    <w:rsid w:val="00602A3C"/>
    <w:rsid w:val="00603EFD"/>
    <w:rsid w:val="0060475B"/>
    <w:rsid w:val="00604FB6"/>
    <w:rsid w:val="00605387"/>
    <w:rsid w:val="00606302"/>
    <w:rsid w:val="0060699A"/>
    <w:rsid w:val="006076FD"/>
    <w:rsid w:val="0061143F"/>
    <w:rsid w:val="006114D8"/>
    <w:rsid w:val="00613553"/>
    <w:rsid w:val="00613601"/>
    <w:rsid w:val="00613791"/>
    <w:rsid w:val="006150D6"/>
    <w:rsid w:val="006151F8"/>
    <w:rsid w:val="00615245"/>
    <w:rsid w:val="0061590D"/>
    <w:rsid w:val="00617775"/>
    <w:rsid w:val="00617EEE"/>
    <w:rsid w:val="00620A1F"/>
    <w:rsid w:val="0062169D"/>
    <w:rsid w:val="0062181E"/>
    <w:rsid w:val="00622BB7"/>
    <w:rsid w:val="00623389"/>
    <w:rsid w:val="00623DAA"/>
    <w:rsid w:val="006265C4"/>
    <w:rsid w:val="0062678A"/>
    <w:rsid w:val="006270AF"/>
    <w:rsid w:val="006310B5"/>
    <w:rsid w:val="00634367"/>
    <w:rsid w:val="00640082"/>
    <w:rsid w:val="00640291"/>
    <w:rsid w:val="00640EFE"/>
    <w:rsid w:val="00641D6D"/>
    <w:rsid w:val="00641FAC"/>
    <w:rsid w:val="00643664"/>
    <w:rsid w:val="00643CAA"/>
    <w:rsid w:val="0064491E"/>
    <w:rsid w:val="00644D00"/>
    <w:rsid w:val="00644F16"/>
    <w:rsid w:val="00645410"/>
    <w:rsid w:val="006455EB"/>
    <w:rsid w:val="006456C2"/>
    <w:rsid w:val="006478E4"/>
    <w:rsid w:val="0065171A"/>
    <w:rsid w:val="00652680"/>
    <w:rsid w:val="006530EA"/>
    <w:rsid w:val="00653CDE"/>
    <w:rsid w:val="00654585"/>
    <w:rsid w:val="0065636A"/>
    <w:rsid w:val="00657003"/>
    <w:rsid w:val="00660238"/>
    <w:rsid w:val="006602EF"/>
    <w:rsid w:val="00661277"/>
    <w:rsid w:val="006619E0"/>
    <w:rsid w:val="00663FEA"/>
    <w:rsid w:val="00664803"/>
    <w:rsid w:val="006661A4"/>
    <w:rsid w:val="006670E0"/>
    <w:rsid w:val="00667275"/>
    <w:rsid w:val="00667532"/>
    <w:rsid w:val="0066783E"/>
    <w:rsid w:val="00667E53"/>
    <w:rsid w:val="006713AB"/>
    <w:rsid w:val="00673711"/>
    <w:rsid w:val="00673F82"/>
    <w:rsid w:val="00674F74"/>
    <w:rsid w:val="0067508F"/>
    <w:rsid w:val="00675BF6"/>
    <w:rsid w:val="0068051E"/>
    <w:rsid w:val="00680B9D"/>
    <w:rsid w:val="00681F13"/>
    <w:rsid w:val="0068231C"/>
    <w:rsid w:val="00682344"/>
    <w:rsid w:val="00682F28"/>
    <w:rsid w:val="00683DAB"/>
    <w:rsid w:val="00684842"/>
    <w:rsid w:val="00685BD6"/>
    <w:rsid w:val="00687116"/>
    <w:rsid w:val="006872DF"/>
    <w:rsid w:val="006878A6"/>
    <w:rsid w:val="00690437"/>
    <w:rsid w:val="00690DC3"/>
    <w:rsid w:val="00690E65"/>
    <w:rsid w:val="006911B7"/>
    <w:rsid w:val="0069188E"/>
    <w:rsid w:val="00691974"/>
    <w:rsid w:val="006924D2"/>
    <w:rsid w:val="00692BF6"/>
    <w:rsid w:val="00692CE6"/>
    <w:rsid w:val="00693186"/>
    <w:rsid w:val="00693B6C"/>
    <w:rsid w:val="006942AE"/>
    <w:rsid w:val="00695421"/>
    <w:rsid w:val="00695760"/>
    <w:rsid w:val="00697BD3"/>
    <w:rsid w:val="00697DFA"/>
    <w:rsid w:val="006A16D5"/>
    <w:rsid w:val="006A1772"/>
    <w:rsid w:val="006A1780"/>
    <w:rsid w:val="006A21DD"/>
    <w:rsid w:val="006A3B28"/>
    <w:rsid w:val="006A4FEE"/>
    <w:rsid w:val="006A703E"/>
    <w:rsid w:val="006A7BE3"/>
    <w:rsid w:val="006A7D32"/>
    <w:rsid w:val="006B01D1"/>
    <w:rsid w:val="006B16EA"/>
    <w:rsid w:val="006B1780"/>
    <w:rsid w:val="006B224E"/>
    <w:rsid w:val="006B376E"/>
    <w:rsid w:val="006B4589"/>
    <w:rsid w:val="006B610E"/>
    <w:rsid w:val="006B6805"/>
    <w:rsid w:val="006B6DE0"/>
    <w:rsid w:val="006C16C3"/>
    <w:rsid w:val="006C32F4"/>
    <w:rsid w:val="006C3C54"/>
    <w:rsid w:val="006C4F9F"/>
    <w:rsid w:val="006C71A2"/>
    <w:rsid w:val="006C73EC"/>
    <w:rsid w:val="006D0C1D"/>
    <w:rsid w:val="006D0D1E"/>
    <w:rsid w:val="006D2E9D"/>
    <w:rsid w:val="006D4A4E"/>
    <w:rsid w:val="006D4C42"/>
    <w:rsid w:val="006D5809"/>
    <w:rsid w:val="006D607E"/>
    <w:rsid w:val="006D70CB"/>
    <w:rsid w:val="006D7363"/>
    <w:rsid w:val="006E0754"/>
    <w:rsid w:val="006E243C"/>
    <w:rsid w:val="006E2668"/>
    <w:rsid w:val="006E2D39"/>
    <w:rsid w:val="006E32B0"/>
    <w:rsid w:val="006E35E6"/>
    <w:rsid w:val="006E396A"/>
    <w:rsid w:val="006E3D63"/>
    <w:rsid w:val="006E5DD8"/>
    <w:rsid w:val="006E5EA1"/>
    <w:rsid w:val="006F0760"/>
    <w:rsid w:val="006F11E2"/>
    <w:rsid w:val="006F1EA1"/>
    <w:rsid w:val="006F1ECB"/>
    <w:rsid w:val="006F2574"/>
    <w:rsid w:val="006F3231"/>
    <w:rsid w:val="006F3DE3"/>
    <w:rsid w:val="006F4787"/>
    <w:rsid w:val="006F61D8"/>
    <w:rsid w:val="006F62B7"/>
    <w:rsid w:val="006F70BC"/>
    <w:rsid w:val="006F7E7C"/>
    <w:rsid w:val="0070174E"/>
    <w:rsid w:val="00701DE6"/>
    <w:rsid w:val="0070381B"/>
    <w:rsid w:val="00710EBF"/>
    <w:rsid w:val="0071209F"/>
    <w:rsid w:val="007125A2"/>
    <w:rsid w:val="00713F79"/>
    <w:rsid w:val="007148A8"/>
    <w:rsid w:val="00716AC8"/>
    <w:rsid w:val="00716E54"/>
    <w:rsid w:val="0072033C"/>
    <w:rsid w:val="00720B1B"/>
    <w:rsid w:val="00721062"/>
    <w:rsid w:val="00721E5D"/>
    <w:rsid w:val="007229D4"/>
    <w:rsid w:val="00722E4C"/>
    <w:rsid w:val="007230F8"/>
    <w:rsid w:val="007233F4"/>
    <w:rsid w:val="007234D8"/>
    <w:rsid w:val="00724044"/>
    <w:rsid w:val="007248D3"/>
    <w:rsid w:val="00725137"/>
    <w:rsid w:val="00725378"/>
    <w:rsid w:val="00727A43"/>
    <w:rsid w:val="00727FF2"/>
    <w:rsid w:val="00730550"/>
    <w:rsid w:val="00731434"/>
    <w:rsid w:val="007323E0"/>
    <w:rsid w:val="00732E68"/>
    <w:rsid w:val="00733721"/>
    <w:rsid w:val="00733DE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3882"/>
    <w:rsid w:val="007441FB"/>
    <w:rsid w:val="00744517"/>
    <w:rsid w:val="007448E6"/>
    <w:rsid w:val="0074522A"/>
    <w:rsid w:val="00747295"/>
    <w:rsid w:val="00747829"/>
    <w:rsid w:val="00747DE2"/>
    <w:rsid w:val="007504BF"/>
    <w:rsid w:val="007506CD"/>
    <w:rsid w:val="0075236D"/>
    <w:rsid w:val="0075267F"/>
    <w:rsid w:val="007526EC"/>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37A8"/>
    <w:rsid w:val="0076504E"/>
    <w:rsid w:val="00767BFD"/>
    <w:rsid w:val="00767EA0"/>
    <w:rsid w:val="0077068F"/>
    <w:rsid w:val="00771EDF"/>
    <w:rsid w:val="0077408D"/>
    <w:rsid w:val="00774270"/>
    <w:rsid w:val="007743F6"/>
    <w:rsid w:val="00775679"/>
    <w:rsid w:val="0077574F"/>
    <w:rsid w:val="00775823"/>
    <w:rsid w:val="00777545"/>
    <w:rsid w:val="00777B32"/>
    <w:rsid w:val="0078051E"/>
    <w:rsid w:val="00782C57"/>
    <w:rsid w:val="007838F3"/>
    <w:rsid w:val="00785A07"/>
    <w:rsid w:val="00785F46"/>
    <w:rsid w:val="007865F4"/>
    <w:rsid w:val="007867BD"/>
    <w:rsid w:val="00786B9A"/>
    <w:rsid w:val="00786D5C"/>
    <w:rsid w:val="00786E96"/>
    <w:rsid w:val="00787F93"/>
    <w:rsid w:val="00790B28"/>
    <w:rsid w:val="00791E6D"/>
    <w:rsid w:val="00791EB5"/>
    <w:rsid w:val="0079222F"/>
    <w:rsid w:val="007A11C2"/>
    <w:rsid w:val="007A18BB"/>
    <w:rsid w:val="007A41BF"/>
    <w:rsid w:val="007A490A"/>
    <w:rsid w:val="007A7B95"/>
    <w:rsid w:val="007B0297"/>
    <w:rsid w:val="007B02FA"/>
    <w:rsid w:val="007B0F53"/>
    <w:rsid w:val="007B21AE"/>
    <w:rsid w:val="007B2291"/>
    <w:rsid w:val="007B2570"/>
    <w:rsid w:val="007B3113"/>
    <w:rsid w:val="007B3304"/>
    <w:rsid w:val="007B46E3"/>
    <w:rsid w:val="007B7490"/>
    <w:rsid w:val="007C0525"/>
    <w:rsid w:val="007C13F7"/>
    <w:rsid w:val="007C218D"/>
    <w:rsid w:val="007C2D28"/>
    <w:rsid w:val="007C3B66"/>
    <w:rsid w:val="007C3E22"/>
    <w:rsid w:val="007C545B"/>
    <w:rsid w:val="007C6218"/>
    <w:rsid w:val="007C6484"/>
    <w:rsid w:val="007C67C6"/>
    <w:rsid w:val="007C689B"/>
    <w:rsid w:val="007C721F"/>
    <w:rsid w:val="007C78BE"/>
    <w:rsid w:val="007C7E59"/>
    <w:rsid w:val="007D0B91"/>
    <w:rsid w:val="007D0BAD"/>
    <w:rsid w:val="007D1452"/>
    <w:rsid w:val="007D460C"/>
    <w:rsid w:val="007D4AD3"/>
    <w:rsid w:val="007D5D19"/>
    <w:rsid w:val="007D5FDC"/>
    <w:rsid w:val="007D60D5"/>
    <w:rsid w:val="007D6176"/>
    <w:rsid w:val="007D6D68"/>
    <w:rsid w:val="007D7610"/>
    <w:rsid w:val="007E03B5"/>
    <w:rsid w:val="007E163F"/>
    <w:rsid w:val="007E2A79"/>
    <w:rsid w:val="007E32DA"/>
    <w:rsid w:val="007E4998"/>
    <w:rsid w:val="007E4A9C"/>
    <w:rsid w:val="007E4F21"/>
    <w:rsid w:val="007E6914"/>
    <w:rsid w:val="007E7F78"/>
    <w:rsid w:val="007F0179"/>
    <w:rsid w:val="007F2C13"/>
    <w:rsid w:val="007F2C75"/>
    <w:rsid w:val="007F2CEC"/>
    <w:rsid w:val="007F55DE"/>
    <w:rsid w:val="007F6679"/>
    <w:rsid w:val="007F762D"/>
    <w:rsid w:val="007F78FF"/>
    <w:rsid w:val="008001C5"/>
    <w:rsid w:val="00800F6C"/>
    <w:rsid w:val="00801065"/>
    <w:rsid w:val="00802C0B"/>
    <w:rsid w:val="008051FC"/>
    <w:rsid w:val="008055A9"/>
    <w:rsid w:val="008056C4"/>
    <w:rsid w:val="00805D8B"/>
    <w:rsid w:val="00805FE8"/>
    <w:rsid w:val="008107EE"/>
    <w:rsid w:val="00810E8E"/>
    <w:rsid w:val="008130DC"/>
    <w:rsid w:val="008135E1"/>
    <w:rsid w:val="00813E26"/>
    <w:rsid w:val="0081481D"/>
    <w:rsid w:val="00814BE8"/>
    <w:rsid w:val="00814F6E"/>
    <w:rsid w:val="008152C7"/>
    <w:rsid w:val="00815B84"/>
    <w:rsid w:val="00816BE9"/>
    <w:rsid w:val="0082053F"/>
    <w:rsid w:val="008215E1"/>
    <w:rsid w:val="0082221C"/>
    <w:rsid w:val="00822518"/>
    <w:rsid w:val="00823FC6"/>
    <w:rsid w:val="00824387"/>
    <w:rsid w:val="00825C74"/>
    <w:rsid w:val="00825CFA"/>
    <w:rsid w:val="00826AB9"/>
    <w:rsid w:val="00826E0E"/>
    <w:rsid w:val="00827A2B"/>
    <w:rsid w:val="00827D11"/>
    <w:rsid w:val="00827E0F"/>
    <w:rsid w:val="00827F6E"/>
    <w:rsid w:val="00831758"/>
    <w:rsid w:val="008317D9"/>
    <w:rsid w:val="0083279F"/>
    <w:rsid w:val="008334DB"/>
    <w:rsid w:val="00833B7F"/>
    <w:rsid w:val="00834906"/>
    <w:rsid w:val="00836075"/>
    <w:rsid w:val="00836417"/>
    <w:rsid w:val="00837526"/>
    <w:rsid w:val="008407A7"/>
    <w:rsid w:val="0084322B"/>
    <w:rsid w:val="00843F81"/>
    <w:rsid w:val="00844087"/>
    <w:rsid w:val="0084519E"/>
    <w:rsid w:val="00845CAE"/>
    <w:rsid w:val="00846370"/>
    <w:rsid w:val="00847C2B"/>
    <w:rsid w:val="00851822"/>
    <w:rsid w:val="008532BF"/>
    <w:rsid w:val="008538C0"/>
    <w:rsid w:val="00853BF4"/>
    <w:rsid w:val="00854294"/>
    <w:rsid w:val="0085572E"/>
    <w:rsid w:val="0085788B"/>
    <w:rsid w:val="00857A9E"/>
    <w:rsid w:val="00857DE2"/>
    <w:rsid w:val="00863A8E"/>
    <w:rsid w:val="0086407F"/>
    <w:rsid w:val="008645E3"/>
    <w:rsid w:val="00864E79"/>
    <w:rsid w:val="0086522E"/>
    <w:rsid w:val="0086661F"/>
    <w:rsid w:val="00866A0D"/>
    <w:rsid w:val="00866DB5"/>
    <w:rsid w:val="0086702B"/>
    <w:rsid w:val="0086784E"/>
    <w:rsid w:val="0087112F"/>
    <w:rsid w:val="00872084"/>
    <w:rsid w:val="00872827"/>
    <w:rsid w:val="00872A32"/>
    <w:rsid w:val="0087468A"/>
    <w:rsid w:val="00874911"/>
    <w:rsid w:val="00876D7C"/>
    <w:rsid w:val="00876EAE"/>
    <w:rsid w:val="00880F95"/>
    <w:rsid w:val="00882B44"/>
    <w:rsid w:val="008871B0"/>
    <w:rsid w:val="00890B57"/>
    <w:rsid w:val="008916BA"/>
    <w:rsid w:val="0089217C"/>
    <w:rsid w:val="00892790"/>
    <w:rsid w:val="00893671"/>
    <w:rsid w:val="00895838"/>
    <w:rsid w:val="00895A1E"/>
    <w:rsid w:val="00895A72"/>
    <w:rsid w:val="00895CDF"/>
    <w:rsid w:val="00896D8C"/>
    <w:rsid w:val="008A0FC9"/>
    <w:rsid w:val="008A1956"/>
    <w:rsid w:val="008A1A7C"/>
    <w:rsid w:val="008A40D3"/>
    <w:rsid w:val="008A42D5"/>
    <w:rsid w:val="008A469C"/>
    <w:rsid w:val="008A51D1"/>
    <w:rsid w:val="008A5DCE"/>
    <w:rsid w:val="008A696F"/>
    <w:rsid w:val="008A75D3"/>
    <w:rsid w:val="008B0570"/>
    <w:rsid w:val="008B05DD"/>
    <w:rsid w:val="008B17E8"/>
    <w:rsid w:val="008B1D6F"/>
    <w:rsid w:val="008B2E7C"/>
    <w:rsid w:val="008B45F0"/>
    <w:rsid w:val="008B4A70"/>
    <w:rsid w:val="008B502F"/>
    <w:rsid w:val="008B6DFC"/>
    <w:rsid w:val="008B7227"/>
    <w:rsid w:val="008C04E0"/>
    <w:rsid w:val="008C0647"/>
    <w:rsid w:val="008C191C"/>
    <w:rsid w:val="008C1DA4"/>
    <w:rsid w:val="008C2CD5"/>
    <w:rsid w:val="008C3618"/>
    <w:rsid w:val="008C43AD"/>
    <w:rsid w:val="008C6118"/>
    <w:rsid w:val="008C6341"/>
    <w:rsid w:val="008C731F"/>
    <w:rsid w:val="008C74D9"/>
    <w:rsid w:val="008D58D9"/>
    <w:rsid w:val="008D5AD4"/>
    <w:rsid w:val="008D6DD5"/>
    <w:rsid w:val="008D6E59"/>
    <w:rsid w:val="008D7155"/>
    <w:rsid w:val="008E037F"/>
    <w:rsid w:val="008E0B29"/>
    <w:rsid w:val="008E1417"/>
    <w:rsid w:val="008E141A"/>
    <w:rsid w:val="008E1A44"/>
    <w:rsid w:val="008E28E6"/>
    <w:rsid w:val="008E3232"/>
    <w:rsid w:val="008E3674"/>
    <w:rsid w:val="008E3B6C"/>
    <w:rsid w:val="008E423E"/>
    <w:rsid w:val="008E77D4"/>
    <w:rsid w:val="008E7ADD"/>
    <w:rsid w:val="008F091F"/>
    <w:rsid w:val="008F17B2"/>
    <w:rsid w:val="008F22B3"/>
    <w:rsid w:val="008F357B"/>
    <w:rsid w:val="008F44CA"/>
    <w:rsid w:val="008F49D3"/>
    <w:rsid w:val="008F6519"/>
    <w:rsid w:val="008F7012"/>
    <w:rsid w:val="008F7ADA"/>
    <w:rsid w:val="008F7B17"/>
    <w:rsid w:val="00900042"/>
    <w:rsid w:val="009001A4"/>
    <w:rsid w:val="0090034B"/>
    <w:rsid w:val="00902623"/>
    <w:rsid w:val="00902A67"/>
    <w:rsid w:val="0090310F"/>
    <w:rsid w:val="00904BE4"/>
    <w:rsid w:val="00904D7C"/>
    <w:rsid w:val="0090504A"/>
    <w:rsid w:val="00905221"/>
    <w:rsid w:val="00905A7C"/>
    <w:rsid w:val="00905D7E"/>
    <w:rsid w:val="00907037"/>
    <w:rsid w:val="0091160A"/>
    <w:rsid w:val="00913258"/>
    <w:rsid w:val="00913BB0"/>
    <w:rsid w:val="00914C58"/>
    <w:rsid w:val="0091564D"/>
    <w:rsid w:val="009156DA"/>
    <w:rsid w:val="00915774"/>
    <w:rsid w:val="00916BC5"/>
    <w:rsid w:val="0091726A"/>
    <w:rsid w:val="00920184"/>
    <w:rsid w:val="00920E2C"/>
    <w:rsid w:val="00920EA4"/>
    <w:rsid w:val="00921792"/>
    <w:rsid w:val="00921BEA"/>
    <w:rsid w:val="009238FD"/>
    <w:rsid w:val="00923998"/>
    <w:rsid w:val="00923DB4"/>
    <w:rsid w:val="0092420B"/>
    <w:rsid w:val="0092430E"/>
    <w:rsid w:val="0092625F"/>
    <w:rsid w:val="00926B28"/>
    <w:rsid w:val="00926D9C"/>
    <w:rsid w:val="00927028"/>
    <w:rsid w:val="00927763"/>
    <w:rsid w:val="00927A2D"/>
    <w:rsid w:val="00927B37"/>
    <w:rsid w:val="009321B1"/>
    <w:rsid w:val="00932ED7"/>
    <w:rsid w:val="0093422D"/>
    <w:rsid w:val="0093483B"/>
    <w:rsid w:val="00934CF9"/>
    <w:rsid w:val="00934DD7"/>
    <w:rsid w:val="009369A9"/>
    <w:rsid w:val="00936C51"/>
    <w:rsid w:val="00936CF7"/>
    <w:rsid w:val="00937783"/>
    <w:rsid w:val="00937F28"/>
    <w:rsid w:val="00940FE1"/>
    <w:rsid w:val="00942306"/>
    <w:rsid w:val="009424B8"/>
    <w:rsid w:val="00944668"/>
    <w:rsid w:val="00944DC6"/>
    <w:rsid w:val="009458B0"/>
    <w:rsid w:val="00945B52"/>
    <w:rsid w:val="00945B7A"/>
    <w:rsid w:val="00945F05"/>
    <w:rsid w:val="00946348"/>
    <w:rsid w:val="00947797"/>
    <w:rsid w:val="009478A2"/>
    <w:rsid w:val="009504D8"/>
    <w:rsid w:val="00954032"/>
    <w:rsid w:val="009559BD"/>
    <w:rsid w:val="00955FBB"/>
    <w:rsid w:val="0095694B"/>
    <w:rsid w:val="00956BD5"/>
    <w:rsid w:val="00956D84"/>
    <w:rsid w:val="009577B5"/>
    <w:rsid w:val="009608E6"/>
    <w:rsid w:val="00960F57"/>
    <w:rsid w:val="0096167F"/>
    <w:rsid w:val="00961C90"/>
    <w:rsid w:val="00965443"/>
    <w:rsid w:val="00965954"/>
    <w:rsid w:val="00965E55"/>
    <w:rsid w:val="0096608E"/>
    <w:rsid w:val="00966522"/>
    <w:rsid w:val="00966C33"/>
    <w:rsid w:val="00970F18"/>
    <w:rsid w:val="00971CF1"/>
    <w:rsid w:val="00971F5D"/>
    <w:rsid w:val="009721E9"/>
    <w:rsid w:val="00972853"/>
    <w:rsid w:val="00972C2B"/>
    <w:rsid w:val="00973772"/>
    <w:rsid w:val="00975E1E"/>
    <w:rsid w:val="00975E70"/>
    <w:rsid w:val="009766FA"/>
    <w:rsid w:val="00977C0E"/>
    <w:rsid w:val="00977CD6"/>
    <w:rsid w:val="00980DF9"/>
    <w:rsid w:val="0098243D"/>
    <w:rsid w:val="00982D26"/>
    <w:rsid w:val="00983546"/>
    <w:rsid w:val="00983B6E"/>
    <w:rsid w:val="00983FE5"/>
    <w:rsid w:val="009849E9"/>
    <w:rsid w:val="009859E4"/>
    <w:rsid w:val="00987812"/>
    <w:rsid w:val="00990225"/>
    <w:rsid w:val="0099095A"/>
    <w:rsid w:val="0099282B"/>
    <w:rsid w:val="009937AB"/>
    <w:rsid w:val="00994AAD"/>
    <w:rsid w:val="00995150"/>
    <w:rsid w:val="00995D67"/>
    <w:rsid w:val="009A013B"/>
    <w:rsid w:val="009A02F4"/>
    <w:rsid w:val="009A03EE"/>
    <w:rsid w:val="009A06BF"/>
    <w:rsid w:val="009A0D17"/>
    <w:rsid w:val="009A2494"/>
    <w:rsid w:val="009A32B1"/>
    <w:rsid w:val="009A36F2"/>
    <w:rsid w:val="009A40C3"/>
    <w:rsid w:val="009A40D5"/>
    <w:rsid w:val="009A57D0"/>
    <w:rsid w:val="009A58E6"/>
    <w:rsid w:val="009A6559"/>
    <w:rsid w:val="009A68FC"/>
    <w:rsid w:val="009A6CE4"/>
    <w:rsid w:val="009A7514"/>
    <w:rsid w:val="009A7E7A"/>
    <w:rsid w:val="009B01E4"/>
    <w:rsid w:val="009B1584"/>
    <w:rsid w:val="009B18F0"/>
    <w:rsid w:val="009B2471"/>
    <w:rsid w:val="009B314F"/>
    <w:rsid w:val="009B439C"/>
    <w:rsid w:val="009B4A6C"/>
    <w:rsid w:val="009B4DA8"/>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0E1"/>
    <w:rsid w:val="009D2F60"/>
    <w:rsid w:val="009D3A2E"/>
    <w:rsid w:val="009D3A37"/>
    <w:rsid w:val="009D4CAF"/>
    <w:rsid w:val="009D5ADE"/>
    <w:rsid w:val="009D5BAC"/>
    <w:rsid w:val="009D5C56"/>
    <w:rsid w:val="009D64BD"/>
    <w:rsid w:val="009D6CB1"/>
    <w:rsid w:val="009E153F"/>
    <w:rsid w:val="009E393E"/>
    <w:rsid w:val="009E444E"/>
    <w:rsid w:val="009E4968"/>
    <w:rsid w:val="009E663C"/>
    <w:rsid w:val="009E684A"/>
    <w:rsid w:val="009E6BB1"/>
    <w:rsid w:val="009E6E14"/>
    <w:rsid w:val="009F0494"/>
    <w:rsid w:val="009F0CD9"/>
    <w:rsid w:val="009F1A79"/>
    <w:rsid w:val="009F1F57"/>
    <w:rsid w:val="009F2F5A"/>
    <w:rsid w:val="009F3447"/>
    <w:rsid w:val="009F65F4"/>
    <w:rsid w:val="009F676B"/>
    <w:rsid w:val="009F6D54"/>
    <w:rsid w:val="009F7F1E"/>
    <w:rsid w:val="00A004DF"/>
    <w:rsid w:val="00A00FD5"/>
    <w:rsid w:val="00A012A0"/>
    <w:rsid w:val="00A019A8"/>
    <w:rsid w:val="00A01B03"/>
    <w:rsid w:val="00A02C66"/>
    <w:rsid w:val="00A02C84"/>
    <w:rsid w:val="00A0464C"/>
    <w:rsid w:val="00A050BB"/>
    <w:rsid w:val="00A054E0"/>
    <w:rsid w:val="00A05D91"/>
    <w:rsid w:val="00A0740B"/>
    <w:rsid w:val="00A10CA8"/>
    <w:rsid w:val="00A11042"/>
    <w:rsid w:val="00A12579"/>
    <w:rsid w:val="00A133D8"/>
    <w:rsid w:val="00A1740C"/>
    <w:rsid w:val="00A20069"/>
    <w:rsid w:val="00A2244D"/>
    <w:rsid w:val="00A2253D"/>
    <w:rsid w:val="00A247B8"/>
    <w:rsid w:val="00A2495A"/>
    <w:rsid w:val="00A24C7A"/>
    <w:rsid w:val="00A24D8F"/>
    <w:rsid w:val="00A25B8B"/>
    <w:rsid w:val="00A26ECA"/>
    <w:rsid w:val="00A27461"/>
    <w:rsid w:val="00A27646"/>
    <w:rsid w:val="00A30ABC"/>
    <w:rsid w:val="00A31BA2"/>
    <w:rsid w:val="00A3467F"/>
    <w:rsid w:val="00A34B4C"/>
    <w:rsid w:val="00A35030"/>
    <w:rsid w:val="00A3551A"/>
    <w:rsid w:val="00A37209"/>
    <w:rsid w:val="00A37584"/>
    <w:rsid w:val="00A376E8"/>
    <w:rsid w:val="00A37F8E"/>
    <w:rsid w:val="00A41737"/>
    <w:rsid w:val="00A42B8F"/>
    <w:rsid w:val="00A43254"/>
    <w:rsid w:val="00A43896"/>
    <w:rsid w:val="00A43A26"/>
    <w:rsid w:val="00A447A0"/>
    <w:rsid w:val="00A459F5"/>
    <w:rsid w:val="00A45FC0"/>
    <w:rsid w:val="00A47ECC"/>
    <w:rsid w:val="00A50171"/>
    <w:rsid w:val="00A504FA"/>
    <w:rsid w:val="00A5102E"/>
    <w:rsid w:val="00A5132E"/>
    <w:rsid w:val="00A51533"/>
    <w:rsid w:val="00A531D4"/>
    <w:rsid w:val="00A54572"/>
    <w:rsid w:val="00A56F3E"/>
    <w:rsid w:val="00A575B8"/>
    <w:rsid w:val="00A606E6"/>
    <w:rsid w:val="00A61C60"/>
    <w:rsid w:val="00A6410C"/>
    <w:rsid w:val="00A647B1"/>
    <w:rsid w:val="00A64DEF"/>
    <w:rsid w:val="00A654D2"/>
    <w:rsid w:val="00A665DF"/>
    <w:rsid w:val="00A66F44"/>
    <w:rsid w:val="00A67FCC"/>
    <w:rsid w:val="00A70AA5"/>
    <w:rsid w:val="00A70C03"/>
    <w:rsid w:val="00A71256"/>
    <w:rsid w:val="00A7217B"/>
    <w:rsid w:val="00A73861"/>
    <w:rsid w:val="00A739A6"/>
    <w:rsid w:val="00A740ED"/>
    <w:rsid w:val="00A74C62"/>
    <w:rsid w:val="00A75EF9"/>
    <w:rsid w:val="00A81E34"/>
    <w:rsid w:val="00A8311C"/>
    <w:rsid w:val="00A84A36"/>
    <w:rsid w:val="00A84C5F"/>
    <w:rsid w:val="00A85930"/>
    <w:rsid w:val="00A863F7"/>
    <w:rsid w:val="00A86604"/>
    <w:rsid w:val="00A87519"/>
    <w:rsid w:val="00A9246D"/>
    <w:rsid w:val="00A93BD0"/>
    <w:rsid w:val="00A93CC2"/>
    <w:rsid w:val="00A95120"/>
    <w:rsid w:val="00A96AD7"/>
    <w:rsid w:val="00A974CC"/>
    <w:rsid w:val="00AA2001"/>
    <w:rsid w:val="00AA2B5C"/>
    <w:rsid w:val="00AA32D2"/>
    <w:rsid w:val="00AA37F2"/>
    <w:rsid w:val="00AA4016"/>
    <w:rsid w:val="00AA4AB5"/>
    <w:rsid w:val="00AA4C1F"/>
    <w:rsid w:val="00AA5328"/>
    <w:rsid w:val="00AA5393"/>
    <w:rsid w:val="00AA63D4"/>
    <w:rsid w:val="00AB03FD"/>
    <w:rsid w:val="00AB3583"/>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6A4"/>
    <w:rsid w:val="00AC6CB1"/>
    <w:rsid w:val="00AC727C"/>
    <w:rsid w:val="00AC7D6D"/>
    <w:rsid w:val="00AD0091"/>
    <w:rsid w:val="00AD0C58"/>
    <w:rsid w:val="00AD23EF"/>
    <w:rsid w:val="00AD25D8"/>
    <w:rsid w:val="00AD2662"/>
    <w:rsid w:val="00AD307B"/>
    <w:rsid w:val="00AD4014"/>
    <w:rsid w:val="00AD41B3"/>
    <w:rsid w:val="00AD7127"/>
    <w:rsid w:val="00AE018F"/>
    <w:rsid w:val="00AE123A"/>
    <w:rsid w:val="00AE1539"/>
    <w:rsid w:val="00AE28A7"/>
    <w:rsid w:val="00AE2A98"/>
    <w:rsid w:val="00AE2CF2"/>
    <w:rsid w:val="00AE33A6"/>
    <w:rsid w:val="00AE3729"/>
    <w:rsid w:val="00AE5C6A"/>
    <w:rsid w:val="00AE7280"/>
    <w:rsid w:val="00AF033A"/>
    <w:rsid w:val="00AF1699"/>
    <w:rsid w:val="00AF1FD3"/>
    <w:rsid w:val="00AF2910"/>
    <w:rsid w:val="00AF34B8"/>
    <w:rsid w:val="00AF3896"/>
    <w:rsid w:val="00AF3FC2"/>
    <w:rsid w:val="00AF44E5"/>
    <w:rsid w:val="00B0098A"/>
    <w:rsid w:val="00B00A5F"/>
    <w:rsid w:val="00B01F18"/>
    <w:rsid w:val="00B029B8"/>
    <w:rsid w:val="00B02F60"/>
    <w:rsid w:val="00B032B8"/>
    <w:rsid w:val="00B04B46"/>
    <w:rsid w:val="00B0534D"/>
    <w:rsid w:val="00B05685"/>
    <w:rsid w:val="00B05F9F"/>
    <w:rsid w:val="00B06368"/>
    <w:rsid w:val="00B068DA"/>
    <w:rsid w:val="00B06F6A"/>
    <w:rsid w:val="00B06FC6"/>
    <w:rsid w:val="00B07D9D"/>
    <w:rsid w:val="00B11AE5"/>
    <w:rsid w:val="00B12FE6"/>
    <w:rsid w:val="00B1303F"/>
    <w:rsid w:val="00B1364A"/>
    <w:rsid w:val="00B13859"/>
    <w:rsid w:val="00B1416B"/>
    <w:rsid w:val="00B14319"/>
    <w:rsid w:val="00B14A06"/>
    <w:rsid w:val="00B16715"/>
    <w:rsid w:val="00B172F8"/>
    <w:rsid w:val="00B17910"/>
    <w:rsid w:val="00B203CD"/>
    <w:rsid w:val="00B20F18"/>
    <w:rsid w:val="00B21516"/>
    <w:rsid w:val="00B21F62"/>
    <w:rsid w:val="00B22CE0"/>
    <w:rsid w:val="00B23738"/>
    <w:rsid w:val="00B23BEF"/>
    <w:rsid w:val="00B247BB"/>
    <w:rsid w:val="00B2504A"/>
    <w:rsid w:val="00B25EE6"/>
    <w:rsid w:val="00B3115A"/>
    <w:rsid w:val="00B31825"/>
    <w:rsid w:val="00B31A5C"/>
    <w:rsid w:val="00B3316D"/>
    <w:rsid w:val="00B33B06"/>
    <w:rsid w:val="00B33C19"/>
    <w:rsid w:val="00B35A15"/>
    <w:rsid w:val="00B361DA"/>
    <w:rsid w:val="00B36A99"/>
    <w:rsid w:val="00B42264"/>
    <w:rsid w:val="00B434B2"/>
    <w:rsid w:val="00B43D45"/>
    <w:rsid w:val="00B43DF2"/>
    <w:rsid w:val="00B468F2"/>
    <w:rsid w:val="00B469DE"/>
    <w:rsid w:val="00B47286"/>
    <w:rsid w:val="00B50234"/>
    <w:rsid w:val="00B51BF4"/>
    <w:rsid w:val="00B52C68"/>
    <w:rsid w:val="00B52FC3"/>
    <w:rsid w:val="00B542FE"/>
    <w:rsid w:val="00B55A1B"/>
    <w:rsid w:val="00B561DB"/>
    <w:rsid w:val="00B600BD"/>
    <w:rsid w:val="00B61DCE"/>
    <w:rsid w:val="00B62188"/>
    <w:rsid w:val="00B62F79"/>
    <w:rsid w:val="00B62F82"/>
    <w:rsid w:val="00B6306A"/>
    <w:rsid w:val="00B635E3"/>
    <w:rsid w:val="00B662FF"/>
    <w:rsid w:val="00B66679"/>
    <w:rsid w:val="00B70145"/>
    <w:rsid w:val="00B71A92"/>
    <w:rsid w:val="00B721D8"/>
    <w:rsid w:val="00B7287C"/>
    <w:rsid w:val="00B730CA"/>
    <w:rsid w:val="00B74F2F"/>
    <w:rsid w:val="00B769BC"/>
    <w:rsid w:val="00B77349"/>
    <w:rsid w:val="00B7761E"/>
    <w:rsid w:val="00B80A3D"/>
    <w:rsid w:val="00B80B04"/>
    <w:rsid w:val="00B80ED9"/>
    <w:rsid w:val="00B813E6"/>
    <w:rsid w:val="00B823E0"/>
    <w:rsid w:val="00B8260D"/>
    <w:rsid w:val="00B82B78"/>
    <w:rsid w:val="00B845B4"/>
    <w:rsid w:val="00B845B7"/>
    <w:rsid w:val="00B84662"/>
    <w:rsid w:val="00B84C74"/>
    <w:rsid w:val="00B85191"/>
    <w:rsid w:val="00B8568A"/>
    <w:rsid w:val="00B85FEC"/>
    <w:rsid w:val="00B864A3"/>
    <w:rsid w:val="00B86C2A"/>
    <w:rsid w:val="00B878B8"/>
    <w:rsid w:val="00B902A5"/>
    <w:rsid w:val="00B90420"/>
    <w:rsid w:val="00B90848"/>
    <w:rsid w:val="00B91146"/>
    <w:rsid w:val="00B913E4"/>
    <w:rsid w:val="00B91DB9"/>
    <w:rsid w:val="00B93EFE"/>
    <w:rsid w:val="00B944B9"/>
    <w:rsid w:val="00B94956"/>
    <w:rsid w:val="00B94C7F"/>
    <w:rsid w:val="00B94E93"/>
    <w:rsid w:val="00B956B5"/>
    <w:rsid w:val="00B96DF2"/>
    <w:rsid w:val="00B96F5A"/>
    <w:rsid w:val="00B9723D"/>
    <w:rsid w:val="00BA0B39"/>
    <w:rsid w:val="00BA0CB2"/>
    <w:rsid w:val="00BA0E26"/>
    <w:rsid w:val="00BA138B"/>
    <w:rsid w:val="00BA1605"/>
    <w:rsid w:val="00BA305B"/>
    <w:rsid w:val="00BA31BF"/>
    <w:rsid w:val="00BA478B"/>
    <w:rsid w:val="00BA5224"/>
    <w:rsid w:val="00BA76B7"/>
    <w:rsid w:val="00BA7E3B"/>
    <w:rsid w:val="00BB078D"/>
    <w:rsid w:val="00BB079C"/>
    <w:rsid w:val="00BB10E1"/>
    <w:rsid w:val="00BB2471"/>
    <w:rsid w:val="00BB3035"/>
    <w:rsid w:val="00BB39C1"/>
    <w:rsid w:val="00BB39E9"/>
    <w:rsid w:val="00BB3DF5"/>
    <w:rsid w:val="00BB56FC"/>
    <w:rsid w:val="00BB5D16"/>
    <w:rsid w:val="00BB6180"/>
    <w:rsid w:val="00BB69E6"/>
    <w:rsid w:val="00BB7BE5"/>
    <w:rsid w:val="00BC0819"/>
    <w:rsid w:val="00BC08BD"/>
    <w:rsid w:val="00BC11E8"/>
    <w:rsid w:val="00BC18BB"/>
    <w:rsid w:val="00BC19E7"/>
    <w:rsid w:val="00BC1B7A"/>
    <w:rsid w:val="00BC2C17"/>
    <w:rsid w:val="00BC3ACD"/>
    <w:rsid w:val="00BC3B20"/>
    <w:rsid w:val="00BC6E73"/>
    <w:rsid w:val="00BC74D3"/>
    <w:rsid w:val="00BD0014"/>
    <w:rsid w:val="00BD01D8"/>
    <w:rsid w:val="00BD255F"/>
    <w:rsid w:val="00BD2895"/>
    <w:rsid w:val="00BD4236"/>
    <w:rsid w:val="00BD483B"/>
    <w:rsid w:val="00BD5CD4"/>
    <w:rsid w:val="00BD6E09"/>
    <w:rsid w:val="00BD6E29"/>
    <w:rsid w:val="00BD6EF9"/>
    <w:rsid w:val="00BE0ACB"/>
    <w:rsid w:val="00BE2260"/>
    <w:rsid w:val="00BE50FD"/>
    <w:rsid w:val="00BE51CA"/>
    <w:rsid w:val="00BE537F"/>
    <w:rsid w:val="00BE5D77"/>
    <w:rsid w:val="00BE6D47"/>
    <w:rsid w:val="00BE7032"/>
    <w:rsid w:val="00BE72E1"/>
    <w:rsid w:val="00BE7330"/>
    <w:rsid w:val="00BF01C5"/>
    <w:rsid w:val="00BF061A"/>
    <w:rsid w:val="00BF066A"/>
    <w:rsid w:val="00BF14CC"/>
    <w:rsid w:val="00BF4342"/>
    <w:rsid w:val="00BF4704"/>
    <w:rsid w:val="00BF5050"/>
    <w:rsid w:val="00BF50D1"/>
    <w:rsid w:val="00BF5422"/>
    <w:rsid w:val="00BF59B1"/>
    <w:rsid w:val="00BF6A78"/>
    <w:rsid w:val="00BF7695"/>
    <w:rsid w:val="00BF79B4"/>
    <w:rsid w:val="00BF7C61"/>
    <w:rsid w:val="00C01427"/>
    <w:rsid w:val="00C014C7"/>
    <w:rsid w:val="00C0285F"/>
    <w:rsid w:val="00C047AB"/>
    <w:rsid w:val="00C058AF"/>
    <w:rsid w:val="00C124C1"/>
    <w:rsid w:val="00C128AE"/>
    <w:rsid w:val="00C136D6"/>
    <w:rsid w:val="00C13D5B"/>
    <w:rsid w:val="00C141D7"/>
    <w:rsid w:val="00C1711B"/>
    <w:rsid w:val="00C176DB"/>
    <w:rsid w:val="00C17AE2"/>
    <w:rsid w:val="00C20140"/>
    <w:rsid w:val="00C20F27"/>
    <w:rsid w:val="00C215CF"/>
    <w:rsid w:val="00C2244B"/>
    <w:rsid w:val="00C22711"/>
    <w:rsid w:val="00C22B0D"/>
    <w:rsid w:val="00C23522"/>
    <w:rsid w:val="00C240C1"/>
    <w:rsid w:val="00C24AED"/>
    <w:rsid w:val="00C24BAC"/>
    <w:rsid w:val="00C250D0"/>
    <w:rsid w:val="00C252AC"/>
    <w:rsid w:val="00C26923"/>
    <w:rsid w:val="00C27214"/>
    <w:rsid w:val="00C27597"/>
    <w:rsid w:val="00C27985"/>
    <w:rsid w:val="00C27E5E"/>
    <w:rsid w:val="00C30382"/>
    <w:rsid w:val="00C30772"/>
    <w:rsid w:val="00C30D6F"/>
    <w:rsid w:val="00C31063"/>
    <w:rsid w:val="00C31B7E"/>
    <w:rsid w:val="00C322D1"/>
    <w:rsid w:val="00C3242A"/>
    <w:rsid w:val="00C33201"/>
    <w:rsid w:val="00C33A39"/>
    <w:rsid w:val="00C360B3"/>
    <w:rsid w:val="00C37027"/>
    <w:rsid w:val="00C37B19"/>
    <w:rsid w:val="00C42752"/>
    <w:rsid w:val="00C42973"/>
    <w:rsid w:val="00C429D7"/>
    <w:rsid w:val="00C44EB3"/>
    <w:rsid w:val="00C5034F"/>
    <w:rsid w:val="00C50830"/>
    <w:rsid w:val="00C52479"/>
    <w:rsid w:val="00C5266E"/>
    <w:rsid w:val="00C52C59"/>
    <w:rsid w:val="00C5349E"/>
    <w:rsid w:val="00C539FF"/>
    <w:rsid w:val="00C53DB5"/>
    <w:rsid w:val="00C5446C"/>
    <w:rsid w:val="00C544BD"/>
    <w:rsid w:val="00C54D3D"/>
    <w:rsid w:val="00C55A30"/>
    <w:rsid w:val="00C5792F"/>
    <w:rsid w:val="00C60F8C"/>
    <w:rsid w:val="00C626F1"/>
    <w:rsid w:val="00C62A48"/>
    <w:rsid w:val="00C62AC4"/>
    <w:rsid w:val="00C62F96"/>
    <w:rsid w:val="00C631E1"/>
    <w:rsid w:val="00C638D8"/>
    <w:rsid w:val="00C63D26"/>
    <w:rsid w:val="00C668A1"/>
    <w:rsid w:val="00C67223"/>
    <w:rsid w:val="00C707B8"/>
    <w:rsid w:val="00C712AC"/>
    <w:rsid w:val="00C71C15"/>
    <w:rsid w:val="00C71F3D"/>
    <w:rsid w:val="00C72F53"/>
    <w:rsid w:val="00C74035"/>
    <w:rsid w:val="00C77818"/>
    <w:rsid w:val="00C8063F"/>
    <w:rsid w:val="00C820B4"/>
    <w:rsid w:val="00C8329F"/>
    <w:rsid w:val="00C84F8A"/>
    <w:rsid w:val="00C85D6A"/>
    <w:rsid w:val="00C8618F"/>
    <w:rsid w:val="00C877E6"/>
    <w:rsid w:val="00C87B0C"/>
    <w:rsid w:val="00C90372"/>
    <w:rsid w:val="00C9041F"/>
    <w:rsid w:val="00C9166B"/>
    <w:rsid w:val="00C91A45"/>
    <w:rsid w:val="00C91FB4"/>
    <w:rsid w:val="00C92328"/>
    <w:rsid w:val="00C92D42"/>
    <w:rsid w:val="00C938C2"/>
    <w:rsid w:val="00C93F8A"/>
    <w:rsid w:val="00C94EA1"/>
    <w:rsid w:val="00C95745"/>
    <w:rsid w:val="00C95902"/>
    <w:rsid w:val="00C962E3"/>
    <w:rsid w:val="00C97997"/>
    <w:rsid w:val="00CA25C0"/>
    <w:rsid w:val="00CA3451"/>
    <w:rsid w:val="00CA4948"/>
    <w:rsid w:val="00CA52F9"/>
    <w:rsid w:val="00CA5368"/>
    <w:rsid w:val="00CA568B"/>
    <w:rsid w:val="00CA573A"/>
    <w:rsid w:val="00CB19FE"/>
    <w:rsid w:val="00CB2364"/>
    <w:rsid w:val="00CB304C"/>
    <w:rsid w:val="00CB3933"/>
    <w:rsid w:val="00CB3A0E"/>
    <w:rsid w:val="00CB53E8"/>
    <w:rsid w:val="00CB594A"/>
    <w:rsid w:val="00CB5CB2"/>
    <w:rsid w:val="00CB6979"/>
    <w:rsid w:val="00CB7DDE"/>
    <w:rsid w:val="00CC0A3D"/>
    <w:rsid w:val="00CC2771"/>
    <w:rsid w:val="00CC3C53"/>
    <w:rsid w:val="00CC3D24"/>
    <w:rsid w:val="00CC3F91"/>
    <w:rsid w:val="00CC4B0A"/>
    <w:rsid w:val="00CC544A"/>
    <w:rsid w:val="00CC57EA"/>
    <w:rsid w:val="00CC5954"/>
    <w:rsid w:val="00CC629B"/>
    <w:rsid w:val="00CC6C4E"/>
    <w:rsid w:val="00CD009D"/>
    <w:rsid w:val="00CD05A2"/>
    <w:rsid w:val="00CD15EA"/>
    <w:rsid w:val="00CD29D4"/>
    <w:rsid w:val="00CD2B5C"/>
    <w:rsid w:val="00CD3323"/>
    <w:rsid w:val="00CD38F5"/>
    <w:rsid w:val="00CD437E"/>
    <w:rsid w:val="00CD5DAD"/>
    <w:rsid w:val="00CD72C5"/>
    <w:rsid w:val="00CD7789"/>
    <w:rsid w:val="00CD79A7"/>
    <w:rsid w:val="00CE0789"/>
    <w:rsid w:val="00CE0E8D"/>
    <w:rsid w:val="00CE1A03"/>
    <w:rsid w:val="00CE230E"/>
    <w:rsid w:val="00CE2346"/>
    <w:rsid w:val="00CE25B2"/>
    <w:rsid w:val="00CE3529"/>
    <w:rsid w:val="00CE35C8"/>
    <w:rsid w:val="00CE3962"/>
    <w:rsid w:val="00CE4D1A"/>
    <w:rsid w:val="00CE5105"/>
    <w:rsid w:val="00CE56BD"/>
    <w:rsid w:val="00CE5EC0"/>
    <w:rsid w:val="00CE6F9F"/>
    <w:rsid w:val="00CE781A"/>
    <w:rsid w:val="00CE7B08"/>
    <w:rsid w:val="00CE7C6E"/>
    <w:rsid w:val="00CE7D52"/>
    <w:rsid w:val="00CF1D74"/>
    <w:rsid w:val="00CF2BE2"/>
    <w:rsid w:val="00CF3DEB"/>
    <w:rsid w:val="00CF55F9"/>
    <w:rsid w:val="00CF7074"/>
    <w:rsid w:val="00CF7495"/>
    <w:rsid w:val="00CF74E1"/>
    <w:rsid w:val="00D01CF9"/>
    <w:rsid w:val="00D0334D"/>
    <w:rsid w:val="00D0374D"/>
    <w:rsid w:val="00D07F1D"/>
    <w:rsid w:val="00D10558"/>
    <w:rsid w:val="00D126DC"/>
    <w:rsid w:val="00D13C22"/>
    <w:rsid w:val="00D13E70"/>
    <w:rsid w:val="00D16C58"/>
    <w:rsid w:val="00D17019"/>
    <w:rsid w:val="00D17B5B"/>
    <w:rsid w:val="00D17FC8"/>
    <w:rsid w:val="00D21168"/>
    <w:rsid w:val="00D2438C"/>
    <w:rsid w:val="00D2484B"/>
    <w:rsid w:val="00D26C3F"/>
    <w:rsid w:val="00D27185"/>
    <w:rsid w:val="00D33AB3"/>
    <w:rsid w:val="00D33F24"/>
    <w:rsid w:val="00D346B8"/>
    <w:rsid w:val="00D34DCA"/>
    <w:rsid w:val="00D35AC8"/>
    <w:rsid w:val="00D3678C"/>
    <w:rsid w:val="00D36F87"/>
    <w:rsid w:val="00D379C5"/>
    <w:rsid w:val="00D37E4E"/>
    <w:rsid w:val="00D417D8"/>
    <w:rsid w:val="00D41F78"/>
    <w:rsid w:val="00D42E6C"/>
    <w:rsid w:val="00D4351C"/>
    <w:rsid w:val="00D43B80"/>
    <w:rsid w:val="00D45B4C"/>
    <w:rsid w:val="00D45BA4"/>
    <w:rsid w:val="00D471AF"/>
    <w:rsid w:val="00D4724F"/>
    <w:rsid w:val="00D50519"/>
    <w:rsid w:val="00D51601"/>
    <w:rsid w:val="00D51ECB"/>
    <w:rsid w:val="00D5264C"/>
    <w:rsid w:val="00D537FE"/>
    <w:rsid w:val="00D54A6A"/>
    <w:rsid w:val="00D54A72"/>
    <w:rsid w:val="00D54B8F"/>
    <w:rsid w:val="00D55951"/>
    <w:rsid w:val="00D57EB6"/>
    <w:rsid w:val="00D60D6D"/>
    <w:rsid w:val="00D630A0"/>
    <w:rsid w:val="00D66D8B"/>
    <w:rsid w:val="00D70633"/>
    <w:rsid w:val="00D70849"/>
    <w:rsid w:val="00D72297"/>
    <w:rsid w:val="00D72A1C"/>
    <w:rsid w:val="00D7308F"/>
    <w:rsid w:val="00D73580"/>
    <w:rsid w:val="00D73802"/>
    <w:rsid w:val="00D73C2C"/>
    <w:rsid w:val="00D73D52"/>
    <w:rsid w:val="00D745E7"/>
    <w:rsid w:val="00D774ED"/>
    <w:rsid w:val="00D77C44"/>
    <w:rsid w:val="00D77F88"/>
    <w:rsid w:val="00D80E79"/>
    <w:rsid w:val="00D8167F"/>
    <w:rsid w:val="00D81AFA"/>
    <w:rsid w:val="00D81EAA"/>
    <w:rsid w:val="00D81FE2"/>
    <w:rsid w:val="00D8259F"/>
    <w:rsid w:val="00D825F2"/>
    <w:rsid w:val="00D8285C"/>
    <w:rsid w:val="00D828B1"/>
    <w:rsid w:val="00D84754"/>
    <w:rsid w:val="00D84F27"/>
    <w:rsid w:val="00D853F0"/>
    <w:rsid w:val="00D8710C"/>
    <w:rsid w:val="00D873C6"/>
    <w:rsid w:val="00D9074A"/>
    <w:rsid w:val="00D9099E"/>
    <w:rsid w:val="00D9193A"/>
    <w:rsid w:val="00D923B2"/>
    <w:rsid w:val="00D93E64"/>
    <w:rsid w:val="00D93F64"/>
    <w:rsid w:val="00D94CA4"/>
    <w:rsid w:val="00D95E99"/>
    <w:rsid w:val="00D95E9D"/>
    <w:rsid w:val="00D96112"/>
    <w:rsid w:val="00D97DA2"/>
    <w:rsid w:val="00DA0BAA"/>
    <w:rsid w:val="00DA1A3A"/>
    <w:rsid w:val="00DA249E"/>
    <w:rsid w:val="00DA6F38"/>
    <w:rsid w:val="00DA7F83"/>
    <w:rsid w:val="00DB145E"/>
    <w:rsid w:val="00DB1A94"/>
    <w:rsid w:val="00DB1D52"/>
    <w:rsid w:val="00DB1F62"/>
    <w:rsid w:val="00DB21E7"/>
    <w:rsid w:val="00DB2E03"/>
    <w:rsid w:val="00DB3742"/>
    <w:rsid w:val="00DB3777"/>
    <w:rsid w:val="00DB3E9B"/>
    <w:rsid w:val="00DB3F4B"/>
    <w:rsid w:val="00DB67C1"/>
    <w:rsid w:val="00DB6C0B"/>
    <w:rsid w:val="00DB70F4"/>
    <w:rsid w:val="00DC1056"/>
    <w:rsid w:val="00DC1442"/>
    <w:rsid w:val="00DC21D8"/>
    <w:rsid w:val="00DC282A"/>
    <w:rsid w:val="00DC34DC"/>
    <w:rsid w:val="00DC3780"/>
    <w:rsid w:val="00DC3ADA"/>
    <w:rsid w:val="00DC3CC6"/>
    <w:rsid w:val="00DC4782"/>
    <w:rsid w:val="00DC514A"/>
    <w:rsid w:val="00DC67B1"/>
    <w:rsid w:val="00DD0019"/>
    <w:rsid w:val="00DD132B"/>
    <w:rsid w:val="00DD1725"/>
    <w:rsid w:val="00DD2159"/>
    <w:rsid w:val="00DD2A18"/>
    <w:rsid w:val="00DD3044"/>
    <w:rsid w:val="00DD3985"/>
    <w:rsid w:val="00DD61E8"/>
    <w:rsid w:val="00DD62C0"/>
    <w:rsid w:val="00DD64DE"/>
    <w:rsid w:val="00DD7859"/>
    <w:rsid w:val="00DD7B41"/>
    <w:rsid w:val="00DE0A1D"/>
    <w:rsid w:val="00DE15B2"/>
    <w:rsid w:val="00DE1A9A"/>
    <w:rsid w:val="00DE3D2C"/>
    <w:rsid w:val="00DE5E82"/>
    <w:rsid w:val="00DE5FA6"/>
    <w:rsid w:val="00DE6792"/>
    <w:rsid w:val="00DE6AA1"/>
    <w:rsid w:val="00DE6B14"/>
    <w:rsid w:val="00DE7EF7"/>
    <w:rsid w:val="00DF02EC"/>
    <w:rsid w:val="00DF10FC"/>
    <w:rsid w:val="00DF1185"/>
    <w:rsid w:val="00DF1299"/>
    <w:rsid w:val="00DF1A70"/>
    <w:rsid w:val="00DF1E5F"/>
    <w:rsid w:val="00DF23A8"/>
    <w:rsid w:val="00DF2F27"/>
    <w:rsid w:val="00DF36B6"/>
    <w:rsid w:val="00DF4296"/>
    <w:rsid w:val="00DF5F38"/>
    <w:rsid w:val="00DF6CCC"/>
    <w:rsid w:val="00DF6D0C"/>
    <w:rsid w:val="00DF6F64"/>
    <w:rsid w:val="00DF721E"/>
    <w:rsid w:val="00DF7B8A"/>
    <w:rsid w:val="00DF7C87"/>
    <w:rsid w:val="00E00723"/>
    <w:rsid w:val="00E009B0"/>
    <w:rsid w:val="00E00A12"/>
    <w:rsid w:val="00E00C49"/>
    <w:rsid w:val="00E0219D"/>
    <w:rsid w:val="00E04C0F"/>
    <w:rsid w:val="00E0570B"/>
    <w:rsid w:val="00E10B87"/>
    <w:rsid w:val="00E1478B"/>
    <w:rsid w:val="00E14FAC"/>
    <w:rsid w:val="00E15007"/>
    <w:rsid w:val="00E16277"/>
    <w:rsid w:val="00E16E6B"/>
    <w:rsid w:val="00E16EC7"/>
    <w:rsid w:val="00E219CE"/>
    <w:rsid w:val="00E24071"/>
    <w:rsid w:val="00E24EBC"/>
    <w:rsid w:val="00E24F6F"/>
    <w:rsid w:val="00E2522C"/>
    <w:rsid w:val="00E2552F"/>
    <w:rsid w:val="00E2599B"/>
    <w:rsid w:val="00E2710C"/>
    <w:rsid w:val="00E27428"/>
    <w:rsid w:val="00E305B4"/>
    <w:rsid w:val="00E31AFA"/>
    <w:rsid w:val="00E31CB7"/>
    <w:rsid w:val="00E324EE"/>
    <w:rsid w:val="00E359FF"/>
    <w:rsid w:val="00E402C5"/>
    <w:rsid w:val="00E405F1"/>
    <w:rsid w:val="00E414CD"/>
    <w:rsid w:val="00E425AC"/>
    <w:rsid w:val="00E43054"/>
    <w:rsid w:val="00E4366B"/>
    <w:rsid w:val="00E44440"/>
    <w:rsid w:val="00E445CD"/>
    <w:rsid w:val="00E46013"/>
    <w:rsid w:val="00E47099"/>
    <w:rsid w:val="00E47284"/>
    <w:rsid w:val="00E477C3"/>
    <w:rsid w:val="00E51E16"/>
    <w:rsid w:val="00E525E7"/>
    <w:rsid w:val="00E53730"/>
    <w:rsid w:val="00E5438D"/>
    <w:rsid w:val="00E54511"/>
    <w:rsid w:val="00E55288"/>
    <w:rsid w:val="00E5675E"/>
    <w:rsid w:val="00E57577"/>
    <w:rsid w:val="00E62043"/>
    <w:rsid w:val="00E626B9"/>
    <w:rsid w:val="00E627C9"/>
    <w:rsid w:val="00E630F3"/>
    <w:rsid w:val="00E6332F"/>
    <w:rsid w:val="00E637C9"/>
    <w:rsid w:val="00E6680A"/>
    <w:rsid w:val="00E66F0D"/>
    <w:rsid w:val="00E67070"/>
    <w:rsid w:val="00E70615"/>
    <w:rsid w:val="00E7207B"/>
    <w:rsid w:val="00E7347A"/>
    <w:rsid w:val="00E74712"/>
    <w:rsid w:val="00E75A47"/>
    <w:rsid w:val="00E75D8C"/>
    <w:rsid w:val="00E777F2"/>
    <w:rsid w:val="00E80091"/>
    <w:rsid w:val="00E802C9"/>
    <w:rsid w:val="00E80F0A"/>
    <w:rsid w:val="00E815D4"/>
    <w:rsid w:val="00E81A79"/>
    <w:rsid w:val="00E8291B"/>
    <w:rsid w:val="00E82E70"/>
    <w:rsid w:val="00E8395F"/>
    <w:rsid w:val="00E85E41"/>
    <w:rsid w:val="00E85EA1"/>
    <w:rsid w:val="00E86703"/>
    <w:rsid w:val="00E91044"/>
    <w:rsid w:val="00E910D3"/>
    <w:rsid w:val="00E92154"/>
    <w:rsid w:val="00E923CF"/>
    <w:rsid w:val="00E93685"/>
    <w:rsid w:val="00E93C8C"/>
    <w:rsid w:val="00E95111"/>
    <w:rsid w:val="00E95FDF"/>
    <w:rsid w:val="00EA14C8"/>
    <w:rsid w:val="00EA2110"/>
    <w:rsid w:val="00EA283A"/>
    <w:rsid w:val="00EA2E07"/>
    <w:rsid w:val="00EA48F3"/>
    <w:rsid w:val="00EA626E"/>
    <w:rsid w:val="00EA7365"/>
    <w:rsid w:val="00EA77E9"/>
    <w:rsid w:val="00EB05D0"/>
    <w:rsid w:val="00EB1151"/>
    <w:rsid w:val="00EB1D49"/>
    <w:rsid w:val="00EB23D9"/>
    <w:rsid w:val="00EB241E"/>
    <w:rsid w:val="00EB39A0"/>
    <w:rsid w:val="00EB5112"/>
    <w:rsid w:val="00EB559F"/>
    <w:rsid w:val="00EB5F3D"/>
    <w:rsid w:val="00EC1CEB"/>
    <w:rsid w:val="00EC1D08"/>
    <w:rsid w:val="00EC1DC0"/>
    <w:rsid w:val="00EC24B8"/>
    <w:rsid w:val="00EC268C"/>
    <w:rsid w:val="00EC3753"/>
    <w:rsid w:val="00EC4E71"/>
    <w:rsid w:val="00EC5F1C"/>
    <w:rsid w:val="00ED0365"/>
    <w:rsid w:val="00ED0865"/>
    <w:rsid w:val="00ED1C60"/>
    <w:rsid w:val="00ED2BEB"/>
    <w:rsid w:val="00ED2EB9"/>
    <w:rsid w:val="00ED3A31"/>
    <w:rsid w:val="00ED4469"/>
    <w:rsid w:val="00ED4B51"/>
    <w:rsid w:val="00ED5F23"/>
    <w:rsid w:val="00ED6DC0"/>
    <w:rsid w:val="00ED746A"/>
    <w:rsid w:val="00ED7A7A"/>
    <w:rsid w:val="00EE038C"/>
    <w:rsid w:val="00EE2F09"/>
    <w:rsid w:val="00EE36C6"/>
    <w:rsid w:val="00EE47C5"/>
    <w:rsid w:val="00EE490C"/>
    <w:rsid w:val="00EE5738"/>
    <w:rsid w:val="00EE5E59"/>
    <w:rsid w:val="00EE73D0"/>
    <w:rsid w:val="00EF0188"/>
    <w:rsid w:val="00EF03B9"/>
    <w:rsid w:val="00EF08A8"/>
    <w:rsid w:val="00EF167B"/>
    <w:rsid w:val="00EF41A8"/>
    <w:rsid w:val="00EF44FB"/>
    <w:rsid w:val="00EF5554"/>
    <w:rsid w:val="00EF5AD8"/>
    <w:rsid w:val="00EF6B90"/>
    <w:rsid w:val="00EF79F7"/>
    <w:rsid w:val="00F006C0"/>
    <w:rsid w:val="00F019AA"/>
    <w:rsid w:val="00F0267E"/>
    <w:rsid w:val="00F02686"/>
    <w:rsid w:val="00F0459B"/>
    <w:rsid w:val="00F04E15"/>
    <w:rsid w:val="00F05DF3"/>
    <w:rsid w:val="00F069EA"/>
    <w:rsid w:val="00F07DDE"/>
    <w:rsid w:val="00F11675"/>
    <w:rsid w:val="00F12557"/>
    <w:rsid w:val="00F125F3"/>
    <w:rsid w:val="00F13599"/>
    <w:rsid w:val="00F15730"/>
    <w:rsid w:val="00F202C2"/>
    <w:rsid w:val="00F212F6"/>
    <w:rsid w:val="00F221D4"/>
    <w:rsid w:val="00F22756"/>
    <w:rsid w:val="00F23890"/>
    <w:rsid w:val="00F2504D"/>
    <w:rsid w:val="00F2637F"/>
    <w:rsid w:val="00F268F7"/>
    <w:rsid w:val="00F2783A"/>
    <w:rsid w:val="00F30B83"/>
    <w:rsid w:val="00F30BDB"/>
    <w:rsid w:val="00F30CF8"/>
    <w:rsid w:val="00F31EDF"/>
    <w:rsid w:val="00F32CDE"/>
    <w:rsid w:val="00F32D4C"/>
    <w:rsid w:val="00F3327E"/>
    <w:rsid w:val="00F338C3"/>
    <w:rsid w:val="00F3394C"/>
    <w:rsid w:val="00F34B14"/>
    <w:rsid w:val="00F34F58"/>
    <w:rsid w:val="00F35DA7"/>
    <w:rsid w:val="00F36A6A"/>
    <w:rsid w:val="00F37C98"/>
    <w:rsid w:val="00F40101"/>
    <w:rsid w:val="00F404F7"/>
    <w:rsid w:val="00F40CCA"/>
    <w:rsid w:val="00F41BD9"/>
    <w:rsid w:val="00F42D97"/>
    <w:rsid w:val="00F436B2"/>
    <w:rsid w:val="00F437CA"/>
    <w:rsid w:val="00F43FEE"/>
    <w:rsid w:val="00F45A72"/>
    <w:rsid w:val="00F46723"/>
    <w:rsid w:val="00F4706D"/>
    <w:rsid w:val="00F47D1D"/>
    <w:rsid w:val="00F47DD7"/>
    <w:rsid w:val="00F47F29"/>
    <w:rsid w:val="00F50016"/>
    <w:rsid w:val="00F5118A"/>
    <w:rsid w:val="00F51A21"/>
    <w:rsid w:val="00F52614"/>
    <w:rsid w:val="00F5276E"/>
    <w:rsid w:val="00F52E9F"/>
    <w:rsid w:val="00F53304"/>
    <w:rsid w:val="00F53B81"/>
    <w:rsid w:val="00F540FE"/>
    <w:rsid w:val="00F54809"/>
    <w:rsid w:val="00F55393"/>
    <w:rsid w:val="00F556FF"/>
    <w:rsid w:val="00F55D12"/>
    <w:rsid w:val="00F5687F"/>
    <w:rsid w:val="00F575C7"/>
    <w:rsid w:val="00F57FD0"/>
    <w:rsid w:val="00F60305"/>
    <w:rsid w:val="00F61B12"/>
    <w:rsid w:val="00F63264"/>
    <w:rsid w:val="00F634E4"/>
    <w:rsid w:val="00F6379E"/>
    <w:rsid w:val="00F67844"/>
    <w:rsid w:val="00F70799"/>
    <w:rsid w:val="00F70A8B"/>
    <w:rsid w:val="00F724FB"/>
    <w:rsid w:val="00F726B8"/>
    <w:rsid w:val="00F72A26"/>
    <w:rsid w:val="00F733C3"/>
    <w:rsid w:val="00F7378E"/>
    <w:rsid w:val="00F746A1"/>
    <w:rsid w:val="00F756DD"/>
    <w:rsid w:val="00F80047"/>
    <w:rsid w:val="00F8104D"/>
    <w:rsid w:val="00F81587"/>
    <w:rsid w:val="00F81B57"/>
    <w:rsid w:val="00F85B72"/>
    <w:rsid w:val="00F8766F"/>
    <w:rsid w:val="00F9061E"/>
    <w:rsid w:val="00F91082"/>
    <w:rsid w:val="00F9116D"/>
    <w:rsid w:val="00F91A9A"/>
    <w:rsid w:val="00F933F6"/>
    <w:rsid w:val="00F93ABB"/>
    <w:rsid w:val="00F94D79"/>
    <w:rsid w:val="00F97DC8"/>
    <w:rsid w:val="00FA16E7"/>
    <w:rsid w:val="00FA1CEE"/>
    <w:rsid w:val="00FA2211"/>
    <w:rsid w:val="00FA31C7"/>
    <w:rsid w:val="00FA32A3"/>
    <w:rsid w:val="00FA472D"/>
    <w:rsid w:val="00FB0CBF"/>
    <w:rsid w:val="00FB18F6"/>
    <w:rsid w:val="00FB2A52"/>
    <w:rsid w:val="00FB57DC"/>
    <w:rsid w:val="00FB6497"/>
    <w:rsid w:val="00FB6E19"/>
    <w:rsid w:val="00FB71F6"/>
    <w:rsid w:val="00FC0AF8"/>
    <w:rsid w:val="00FC1483"/>
    <w:rsid w:val="00FC16C1"/>
    <w:rsid w:val="00FC1C47"/>
    <w:rsid w:val="00FC39ED"/>
    <w:rsid w:val="00FC4419"/>
    <w:rsid w:val="00FC47E2"/>
    <w:rsid w:val="00FC4AA5"/>
    <w:rsid w:val="00FC4B88"/>
    <w:rsid w:val="00FC4BB8"/>
    <w:rsid w:val="00FC5061"/>
    <w:rsid w:val="00FC5148"/>
    <w:rsid w:val="00FC75AC"/>
    <w:rsid w:val="00FD01BF"/>
    <w:rsid w:val="00FD0525"/>
    <w:rsid w:val="00FD297D"/>
    <w:rsid w:val="00FD2D13"/>
    <w:rsid w:val="00FD40B8"/>
    <w:rsid w:val="00FD6071"/>
    <w:rsid w:val="00FE0794"/>
    <w:rsid w:val="00FE1041"/>
    <w:rsid w:val="00FE24CB"/>
    <w:rsid w:val="00FE323F"/>
    <w:rsid w:val="00FE3473"/>
    <w:rsid w:val="00FE390B"/>
    <w:rsid w:val="00FE4049"/>
    <w:rsid w:val="00FE4794"/>
    <w:rsid w:val="00FE4998"/>
    <w:rsid w:val="00FE57DE"/>
    <w:rsid w:val="00FE7A68"/>
    <w:rsid w:val="00FF0231"/>
    <w:rsid w:val="00FF0775"/>
    <w:rsid w:val="00FF1C9B"/>
    <w:rsid w:val="00FF1D49"/>
    <w:rsid w:val="00FF203B"/>
    <w:rsid w:val="00FF2562"/>
    <w:rsid w:val="00FF2C55"/>
    <w:rsid w:val="00FF3A41"/>
    <w:rsid w:val="00FF3B91"/>
    <w:rsid w:val="00FF3E5B"/>
    <w:rsid w:val="00FF57E4"/>
    <w:rsid w:val="00FF78E5"/>
    <w:rsid w:val="01AF3D99"/>
    <w:rsid w:val="02511F9D"/>
    <w:rsid w:val="028E7714"/>
    <w:rsid w:val="03A314B8"/>
    <w:rsid w:val="03D82B98"/>
    <w:rsid w:val="03F83E8B"/>
    <w:rsid w:val="0433130C"/>
    <w:rsid w:val="05C56868"/>
    <w:rsid w:val="07B72767"/>
    <w:rsid w:val="08077E72"/>
    <w:rsid w:val="08882DD0"/>
    <w:rsid w:val="09CC2AAC"/>
    <w:rsid w:val="0A652D3E"/>
    <w:rsid w:val="0AEE2D27"/>
    <w:rsid w:val="0C1E2888"/>
    <w:rsid w:val="0C2A4DD4"/>
    <w:rsid w:val="0C92213C"/>
    <w:rsid w:val="0D84032B"/>
    <w:rsid w:val="0F0A69E2"/>
    <w:rsid w:val="0F2A74C4"/>
    <w:rsid w:val="0FB1275C"/>
    <w:rsid w:val="10A27F31"/>
    <w:rsid w:val="11927058"/>
    <w:rsid w:val="132755CA"/>
    <w:rsid w:val="13AF4F03"/>
    <w:rsid w:val="14736E66"/>
    <w:rsid w:val="147F458F"/>
    <w:rsid w:val="1534169A"/>
    <w:rsid w:val="158776BA"/>
    <w:rsid w:val="15C03E03"/>
    <w:rsid w:val="162A25EB"/>
    <w:rsid w:val="16FD2A55"/>
    <w:rsid w:val="17067C1A"/>
    <w:rsid w:val="171F6983"/>
    <w:rsid w:val="17366761"/>
    <w:rsid w:val="177C01F0"/>
    <w:rsid w:val="17CE6630"/>
    <w:rsid w:val="1903178B"/>
    <w:rsid w:val="191A7108"/>
    <w:rsid w:val="1AFF0AFE"/>
    <w:rsid w:val="1B257145"/>
    <w:rsid w:val="1B4F19F8"/>
    <w:rsid w:val="1C321893"/>
    <w:rsid w:val="1E8B1D71"/>
    <w:rsid w:val="1ECC44FA"/>
    <w:rsid w:val="1F063325"/>
    <w:rsid w:val="1FBC5DF5"/>
    <w:rsid w:val="20C3623F"/>
    <w:rsid w:val="21781212"/>
    <w:rsid w:val="21B83F86"/>
    <w:rsid w:val="221178A8"/>
    <w:rsid w:val="221213CF"/>
    <w:rsid w:val="22327A92"/>
    <w:rsid w:val="22C24FC2"/>
    <w:rsid w:val="23141825"/>
    <w:rsid w:val="231D53A2"/>
    <w:rsid w:val="236D5383"/>
    <w:rsid w:val="23B7504C"/>
    <w:rsid w:val="23E549B8"/>
    <w:rsid w:val="24254477"/>
    <w:rsid w:val="24571307"/>
    <w:rsid w:val="25110A2A"/>
    <w:rsid w:val="256C0944"/>
    <w:rsid w:val="26446DE3"/>
    <w:rsid w:val="269669E7"/>
    <w:rsid w:val="26D7699F"/>
    <w:rsid w:val="270D3D04"/>
    <w:rsid w:val="287210DA"/>
    <w:rsid w:val="293D453A"/>
    <w:rsid w:val="298618CC"/>
    <w:rsid w:val="2B774624"/>
    <w:rsid w:val="2C3008C0"/>
    <w:rsid w:val="2C7A72BE"/>
    <w:rsid w:val="2C9A7D75"/>
    <w:rsid w:val="2E9976CE"/>
    <w:rsid w:val="2EDD6CEF"/>
    <w:rsid w:val="2F16014A"/>
    <w:rsid w:val="2F401D3C"/>
    <w:rsid w:val="2F5B24E1"/>
    <w:rsid w:val="2FA95C88"/>
    <w:rsid w:val="2FEA656C"/>
    <w:rsid w:val="3041370F"/>
    <w:rsid w:val="312B50A3"/>
    <w:rsid w:val="32453A27"/>
    <w:rsid w:val="3263064A"/>
    <w:rsid w:val="32A43132"/>
    <w:rsid w:val="32AC0C06"/>
    <w:rsid w:val="33E24D39"/>
    <w:rsid w:val="340E56E0"/>
    <w:rsid w:val="349B25F5"/>
    <w:rsid w:val="35150B45"/>
    <w:rsid w:val="3537750C"/>
    <w:rsid w:val="3537798C"/>
    <w:rsid w:val="35C111EB"/>
    <w:rsid w:val="35C13FC9"/>
    <w:rsid w:val="364257B6"/>
    <w:rsid w:val="37013746"/>
    <w:rsid w:val="376818B0"/>
    <w:rsid w:val="37EA5922"/>
    <w:rsid w:val="38276B93"/>
    <w:rsid w:val="38AC3431"/>
    <w:rsid w:val="38CA54B5"/>
    <w:rsid w:val="39E00529"/>
    <w:rsid w:val="3A0B64A7"/>
    <w:rsid w:val="3A574DDA"/>
    <w:rsid w:val="3AD3075A"/>
    <w:rsid w:val="3AF74C02"/>
    <w:rsid w:val="3AF938EC"/>
    <w:rsid w:val="3B9652E5"/>
    <w:rsid w:val="3C0059A5"/>
    <w:rsid w:val="3C134E78"/>
    <w:rsid w:val="3D1043BE"/>
    <w:rsid w:val="3DE66123"/>
    <w:rsid w:val="3DF6345D"/>
    <w:rsid w:val="3E4D4F28"/>
    <w:rsid w:val="3EE13701"/>
    <w:rsid w:val="3F1A4BB3"/>
    <w:rsid w:val="3F85789B"/>
    <w:rsid w:val="40192BA6"/>
    <w:rsid w:val="41CA44F7"/>
    <w:rsid w:val="42550A18"/>
    <w:rsid w:val="429D496A"/>
    <w:rsid w:val="42F473A1"/>
    <w:rsid w:val="439C109F"/>
    <w:rsid w:val="441E62C0"/>
    <w:rsid w:val="44AF27D2"/>
    <w:rsid w:val="45325D14"/>
    <w:rsid w:val="45811C7C"/>
    <w:rsid w:val="46261352"/>
    <w:rsid w:val="468B3EFB"/>
    <w:rsid w:val="470A6193"/>
    <w:rsid w:val="47385210"/>
    <w:rsid w:val="47DC4F5C"/>
    <w:rsid w:val="48893B12"/>
    <w:rsid w:val="48B40671"/>
    <w:rsid w:val="499B5738"/>
    <w:rsid w:val="499F244D"/>
    <w:rsid w:val="4A973F3F"/>
    <w:rsid w:val="4AF96BC7"/>
    <w:rsid w:val="4B0413AD"/>
    <w:rsid w:val="4B862A85"/>
    <w:rsid w:val="4C825C7A"/>
    <w:rsid w:val="4CEF36E2"/>
    <w:rsid w:val="4CEF4DC5"/>
    <w:rsid w:val="4D163ADE"/>
    <w:rsid w:val="4E257655"/>
    <w:rsid w:val="4F372380"/>
    <w:rsid w:val="4F372FFB"/>
    <w:rsid w:val="4F7828F3"/>
    <w:rsid w:val="4FCA0BF2"/>
    <w:rsid w:val="50355608"/>
    <w:rsid w:val="50C76552"/>
    <w:rsid w:val="51F02B7B"/>
    <w:rsid w:val="52395ECD"/>
    <w:rsid w:val="52C10D75"/>
    <w:rsid w:val="53C27FF8"/>
    <w:rsid w:val="549E1A80"/>
    <w:rsid w:val="54C658F4"/>
    <w:rsid w:val="550C4BD7"/>
    <w:rsid w:val="554C1D56"/>
    <w:rsid w:val="55521FEE"/>
    <w:rsid w:val="55572986"/>
    <w:rsid w:val="559D6F6B"/>
    <w:rsid w:val="56274C66"/>
    <w:rsid w:val="56313C1C"/>
    <w:rsid w:val="565340FA"/>
    <w:rsid w:val="57C17BF5"/>
    <w:rsid w:val="585F41A3"/>
    <w:rsid w:val="58F115C7"/>
    <w:rsid w:val="590920AF"/>
    <w:rsid w:val="592D350A"/>
    <w:rsid w:val="5A0D2E29"/>
    <w:rsid w:val="5A114AB2"/>
    <w:rsid w:val="5A2F2CC8"/>
    <w:rsid w:val="5BE36821"/>
    <w:rsid w:val="5C10702D"/>
    <w:rsid w:val="5C8A1B2F"/>
    <w:rsid w:val="5F0C28D7"/>
    <w:rsid w:val="5F352A35"/>
    <w:rsid w:val="606007BB"/>
    <w:rsid w:val="60AC7F66"/>
    <w:rsid w:val="611912A7"/>
    <w:rsid w:val="61BF10D9"/>
    <w:rsid w:val="62AC22DC"/>
    <w:rsid w:val="64732F5A"/>
    <w:rsid w:val="64E45EF7"/>
    <w:rsid w:val="6691014E"/>
    <w:rsid w:val="67687C38"/>
    <w:rsid w:val="677435B2"/>
    <w:rsid w:val="67936BAC"/>
    <w:rsid w:val="67EF75F1"/>
    <w:rsid w:val="69124F16"/>
    <w:rsid w:val="69CD5C14"/>
    <w:rsid w:val="69CF0D33"/>
    <w:rsid w:val="6A78197A"/>
    <w:rsid w:val="6B844B33"/>
    <w:rsid w:val="6B9946B3"/>
    <w:rsid w:val="6C7007C7"/>
    <w:rsid w:val="6CA133BE"/>
    <w:rsid w:val="6D400684"/>
    <w:rsid w:val="6DE76850"/>
    <w:rsid w:val="6E6D4790"/>
    <w:rsid w:val="6FB20BD4"/>
    <w:rsid w:val="6FBA59BE"/>
    <w:rsid w:val="6FD329D4"/>
    <w:rsid w:val="70296B3E"/>
    <w:rsid w:val="70611204"/>
    <w:rsid w:val="74BA3FC7"/>
    <w:rsid w:val="74FA2C30"/>
    <w:rsid w:val="754D5C4B"/>
    <w:rsid w:val="76C240A7"/>
    <w:rsid w:val="775246B7"/>
    <w:rsid w:val="781E69D1"/>
    <w:rsid w:val="79061C0C"/>
    <w:rsid w:val="793B611B"/>
    <w:rsid w:val="7A263B6B"/>
    <w:rsid w:val="7A54402E"/>
    <w:rsid w:val="7AB914DD"/>
    <w:rsid w:val="7AF46346"/>
    <w:rsid w:val="7B0F5EBF"/>
    <w:rsid w:val="7B130FB9"/>
    <w:rsid w:val="7B307937"/>
    <w:rsid w:val="7BA17EFC"/>
    <w:rsid w:val="7BF64EDE"/>
    <w:rsid w:val="7C400C1E"/>
    <w:rsid w:val="7CDE5665"/>
    <w:rsid w:val="7DD11708"/>
    <w:rsid w:val="7EBA6D90"/>
    <w:rsid w:val="7EC167BD"/>
    <w:rsid w:val="7F272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5"/>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line="360" w:lineRule="auto"/>
      <w:outlineLvl w:val="2"/>
    </w:pPr>
    <w:rPr>
      <w:rFonts w:ascii="宋体" w:hAnsi="宋体"/>
      <w:b/>
      <w:kern w:val="0"/>
    </w:rPr>
  </w:style>
  <w:style w:type="paragraph" w:styleId="6">
    <w:name w:val="heading 4"/>
    <w:basedOn w:val="1"/>
    <w:next w:val="1"/>
    <w:qFormat/>
    <w:uiPriority w:val="9"/>
    <w:pPr>
      <w:keepNext/>
      <w:keepLines/>
      <w:spacing w:line="360" w:lineRule="auto"/>
      <w:jc w:val="center"/>
      <w:outlineLvl w:val="3"/>
    </w:pPr>
    <w:rPr>
      <w:rFonts w:ascii="Cambria" w:hAnsi="Cambria"/>
      <w:b/>
      <w:bCs/>
      <w:sz w:val="28"/>
      <w:szCs w:val="36"/>
    </w:rPr>
  </w:style>
  <w:style w:type="paragraph" w:styleId="7">
    <w:name w:val="heading 5"/>
    <w:basedOn w:val="1"/>
    <w:next w:val="8"/>
    <w:link w:val="34"/>
    <w:qFormat/>
    <w:uiPriority w:val="9"/>
    <w:pPr>
      <w:keepNext/>
      <w:keepLines/>
      <w:spacing w:before="280" w:after="290" w:line="376" w:lineRule="auto"/>
      <w:outlineLvl w:val="4"/>
    </w:pPr>
    <w:rPr>
      <w:b/>
      <w:bCs/>
      <w:sz w:val="28"/>
      <w:szCs w:val="28"/>
    </w:rPr>
  </w:style>
  <w:style w:type="paragraph" w:styleId="9">
    <w:name w:val="heading 8"/>
    <w:basedOn w:val="1"/>
    <w:next w:val="1"/>
    <w:link w:val="51"/>
    <w:qFormat/>
    <w:uiPriority w:val="9"/>
    <w:pPr>
      <w:keepNext/>
      <w:keepLines/>
      <w:spacing w:before="240" w:after="64" w:line="320" w:lineRule="auto"/>
      <w:outlineLvl w:val="7"/>
    </w:pPr>
    <w:rPr>
      <w:rFonts w:ascii="等线 Light" w:hAnsi="等线 Light" w:eastAsia="等线 Light"/>
      <w:sz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0"/>
    <w:unhideWhenUsed/>
    <w:qFormat/>
    <w:uiPriority w:val="0"/>
    <w:pPr>
      <w:spacing w:after="120"/>
    </w:pPr>
  </w:style>
  <w:style w:type="paragraph" w:styleId="8">
    <w:name w:val="Normal Indent"/>
    <w:basedOn w:val="1"/>
    <w:qFormat/>
    <w:uiPriority w:val="0"/>
    <w:pPr>
      <w:ind w:firstLine="420"/>
    </w:pPr>
    <w:rPr>
      <w:szCs w:val="20"/>
    </w:rPr>
  </w:style>
  <w:style w:type="paragraph" w:styleId="10">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1">
    <w:name w:val="Document Map"/>
    <w:basedOn w:val="1"/>
    <w:link w:val="52"/>
    <w:unhideWhenUsed/>
    <w:qFormat/>
    <w:uiPriority w:val="99"/>
    <w:rPr>
      <w:rFonts w:ascii="宋体"/>
      <w:sz w:val="18"/>
      <w:szCs w:val="18"/>
    </w:rPr>
  </w:style>
  <w:style w:type="paragraph" w:styleId="12">
    <w:name w:val="annotation text"/>
    <w:basedOn w:val="1"/>
    <w:link w:val="58"/>
    <w:qFormat/>
    <w:uiPriority w:val="0"/>
    <w:pPr>
      <w:jc w:val="left"/>
    </w:pPr>
  </w:style>
  <w:style w:type="paragraph" w:styleId="13">
    <w:name w:val="Body Text Indent"/>
    <w:basedOn w:val="1"/>
    <w:link w:val="37"/>
    <w:qFormat/>
    <w:uiPriority w:val="0"/>
    <w:pPr>
      <w:ind w:firstLine="830" w:firstLineChars="352"/>
    </w:pPr>
    <w:rPr>
      <w:rFonts w:ascii="仿宋_GB2312" w:eastAsia="仿宋_GB2312"/>
      <w:kern w:val="0"/>
      <w:sz w:val="32"/>
      <w:szCs w:val="20"/>
    </w:rPr>
  </w:style>
  <w:style w:type="paragraph" w:styleId="14">
    <w:name w:val="List 2"/>
    <w:basedOn w:val="1"/>
    <w:unhideWhenUsed/>
    <w:qFormat/>
    <w:uiPriority w:val="99"/>
    <w:pPr>
      <w:ind w:left="100" w:leftChars="200" w:hanging="200" w:hangingChars="200"/>
      <w:contextualSpacing/>
    </w:pPr>
  </w:style>
  <w:style w:type="paragraph" w:styleId="15">
    <w:name w:val="Plain Text"/>
    <w:basedOn w:val="1"/>
    <w:next w:val="1"/>
    <w:link w:val="41"/>
    <w:qFormat/>
    <w:uiPriority w:val="0"/>
    <w:rPr>
      <w:rFonts w:ascii="宋体" w:hAnsi="Courier New"/>
      <w:kern w:val="0"/>
      <w:sz w:val="20"/>
      <w:szCs w:val="21"/>
    </w:rPr>
  </w:style>
  <w:style w:type="paragraph" w:styleId="16">
    <w:name w:val="Date"/>
    <w:basedOn w:val="1"/>
    <w:next w:val="1"/>
    <w:link w:val="46"/>
    <w:unhideWhenUsed/>
    <w:qFormat/>
    <w:uiPriority w:val="99"/>
    <w:pPr>
      <w:ind w:left="100" w:leftChars="2500"/>
    </w:pPr>
  </w:style>
  <w:style w:type="paragraph" w:styleId="17">
    <w:name w:val="Balloon Text"/>
    <w:basedOn w:val="1"/>
    <w:semiHidden/>
    <w:qFormat/>
    <w:uiPriority w:val="0"/>
    <w:rPr>
      <w:sz w:val="18"/>
      <w:szCs w:val="18"/>
    </w:rPr>
  </w:style>
  <w:style w:type="paragraph" w:styleId="18">
    <w:name w:val="footer"/>
    <w:basedOn w:val="1"/>
    <w:link w:val="57"/>
    <w:unhideWhenUsed/>
    <w:qFormat/>
    <w:uiPriority w:val="99"/>
    <w:pPr>
      <w:tabs>
        <w:tab w:val="center" w:pos="4153"/>
        <w:tab w:val="right" w:pos="8306"/>
      </w:tabs>
      <w:snapToGrid w:val="0"/>
      <w:jc w:val="left"/>
    </w:pPr>
    <w:rPr>
      <w:kern w:val="0"/>
      <w:sz w:val="18"/>
      <w:szCs w:val="18"/>
    </w:rPr>
  </w:style>
  <w:style w:type="paragraph" w:styleId="19">
    <w:name w:val="header"/>
    <w:basedOn w:val="1"/>
    <w:link w:val="4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unhideWhenUsed/>
    <w:qFormat/>
    <w:uiPriority w:val="39"/>
  </w:style>
  <w:style w:type="paragraph" w:styleId="21">
    <w:name w:val="Body Text Indent 3"/>
    <w:basedOn w:val="1"/>
    <w:link w:val="42"/>
    <w:unhideWhenUsed/>
    <w:qFormat/>
    <w:uiPriority w:val="0"/>
    <w:pPr>
      <w:spacing w:after="120"/>
      <w:ind w:left="420" w:leftChars="200"/>
    </w:pPr>
    <w:rPr>
      <w:sz w:val="16"/>
      <w:szCs w:val="16"/>
    </w:rPr>
  </w:style>
  <w:style w:type="paragraph" w:styleId="22">
    <w:name w:val="toc 2"/>
    <w:basedOn w:val="1"/>
    <w:next w:val="1"/>
    <w:unhideWhenUsed/>
    <w:qFormat/>
    <w:uiPriority w:val="39"/>
    <w:pPr>
      <w:tabs>
        <w:tab w:val="right" w:leader="dot" w:pos="8296"/>
      </w:tabs>
      <w:ind w:left="420" w:leftChars="200"/>
    </w:pPr>
  </w:style>
  <w:style w:type="paragraph" w:styleId="23">
    <w:name w:val="Normal (Web)"/>
    <w:basedOn w:val="1"/>
    <w:unhideWhenUsed/>
    <w:qFormat/>
    <w:uiPriority w:val="99"/>
    <w:rPr>
      <w:kern w:val="0"/>
      <w:sz w:val="24"/>
    </w:rPr>
  </w:style>
  <w:style w:type="paragraph" w:styleId="24">
    <w:name w:val="Title"/>
    <w:basedOn w:val="1"/>
    <w:next w:val="1"/>
    <w:qFormat/>
    <w:uiPriority w:val="0"/>
    <w:pPr>
      <w:spacing w:before="240" w:after="60"/>
      <w:jc w:val="center"/>
      <w:outlineLvl w:val="0"/>
    </w:pPr>
    <w:rPr>
      <w:rFonts w:ascii="Arial" w:hAnsi="Arial"/>
      <w:b/>
      <w:bCs/>
      <w:sz w:val="44"/>
      <w:szCs w:val="32"/>
    </w:rPr>
  </w:style>
  <w:style w:type="paragraph" w:styleId="25">
    <w:name w:val="annotation subject"/>
    <w:basedOn w:val="12"/>
    <w:next w:val="12"/>
    <w:link w:val="38"/>
    <w:qFormat/>
    <w:uiPriority w:val="99"/>
    <w:rPr>
      <w:b/>
      <w:bCs/>
    </w:rPr>
  </w:style>
  <w:style w:type="table" w:styleId="27">
    <w:name w:val="Table Grid"/>
    <w:basedOn w:val="2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9">
    <w:name w:val="Strong"/>
    <w:basedOn w:val="28"/>
    <w:qFormat/>
    <w:uiPriority w:val="0"/>
    <w:rPr>
      <w:rFonts w:hint="eastAsia"/>
      <w:b/>
      <w:bCs/>
      <w:szCs w:val="32"/>
    </w:rPr>
  </w:style>
  <w:style w:type="character" w:styleId="30">
    <w:name w:val="page number"/>
    <w:basedOn w:val="28"/>
    <w:qFormat/>
    <w:uiPriority w:val="0"/>
  </w:style>
  <w:style w:type="character" w:styleId="31">
    <w:name w:val="Hyperlink"/>
    <w:unhideWhenUsed/>
    <w:qFormat/>
    <w:uiPriority w:val="99"/>
    <w:rPr>
      <w:color w:val="0000FF"/>
      <w:u w:val="single"/>
    </w:rPr>
  </w:style>
  <w:style w:type="character" w:styleId="32">
    <w:name w:val="annotation reference"/>
    <w:qFormat/>
    <w:uiPriority w:val="0"/>
    <w:rPr>
      <w:sz w:val="21"/>
      <w:szCs w:val="21"/>
    </w:rPr>
  </w:style>
  <w:style w:type="character" w:customStyle="1" w:styleId="33">
    <w:name w:val="font01"/>
    <w:basedOn w:val="28"/>
    <w:qFormat/>
    <w:uiPriority w:val="0"/>
    <w:rPr>
      <w:rFonts w:hint="default" w:ascii="Arial" w:hAnsi="Arial" w:eastAsia="宋体" w:cs="Arial"/>
      <w:color w:val="000000"/>
      <w:sz w:val="24"/>
      <w:szCs w:val="24"/>
      <w:u w:val="none"/>
    </w:rPr>
  </w:style>
  <w:style w:type="character" w:customStyle="1" w:styleId="34">
    <w:name w:val="标题 5 Char"/>
    <w:link w:val="7"/>
    <w:semiHidden/>
    <w:qFormat/>
    <w:uiPriority w:val="9"/>
    <w:rPr>
      <w:rFonts w:ascii="Times New Roman" w:hAnsi="Times New Roman"/>
      <w:b/>
      <w:bCs/>
      <w:kern w:val="2"/>
      <w:sz w:val="28"/>
      <w:szCs w:val="28"/>
    </w:rPr>
  </w:style>
  <w:style w:type="character" w:customStyle="1" w:styleId="35">
    <w:name w:val="标题 2 Char1"/>
    <w:link w:val="4"/>
    <w:qFormat/>
    <w:uiPriority w:val="9"/>
    <w:rPr>
      <w:rFonts w:ascii="Cambria" w:hAnsi="Cambria" w:eastAsia="宋体" w:cs="Times New Roman"/>
      <w:b/>
      <w:bCs/>
      <w:kern w:val="2"/>
      <w:sz w:val="32"/>
      <w:szCs w:val="32"/>
    </w:rPr>
  </w:style>
  <w:style w:type="character" w:customStyle="1" w:styleId="36">
    <w:name w:val="纯文本 字符1"/>
    <w:qFormat/>
    <w:uiPriority w:val="0"/>
    <w:rPr>
      <w:rFonts w:ascii="宋体" w:hAnsi="Courier New"/>
    </w:rPr>
  </w:style>
  <w:style w:type="character" w:customStyle="1" w:styleId="37">
    <w:name w:val="正文文本缩进 Char"/>
    <w:link w:val="13"/>
    <w:qFormat/>
    <w:uiPriority w:val="0"/>
    <w:rPr>
      <w:rFonts w:ascii="仿宋_GB2312" w:hAnsi="Times New Roman" w:eastAsia="仿宋_GB2312" w:cs="Times New Roman"/>
      <w:sz w:val="32"/>
      <w:szCs w:val="20"/>
    </w:rPr>
  </w:style>
  <w:style w:type="character" w:customStyle="1" w:styleId="38">
    <w:name w:val="批注主题 Char"/>
    <w:link w:val="25"/>
    <w:qFormat/>
    <w:uiPriority w:val="99"/>
    <w:rPr>
      <w:rFonts w:ascii="Times New Roman" w:hAnsi="Times New Roman"/>
      <w:b/>
      <w:bCs/>
      <w:kern w:val="2"/>
      <w:sz w:val="21"/>
      <w:szCs w:val="24"/>
    </w:rPr>
  </w:style>
  <w:style w:type="character" w:customStyle="1" w:styleId="39">
    <w:name w:val="无"/>
    <w:qFormat/>
    <w:uiPriority w:val="0"/>
  </w:style>
  <w:style w:type="character" w:customStyle="1" w:styleId="40">
    <w:name w:val="textcontents"/>
    <w:basedOn w:val="28"/>
    <w:qFormat/>
    <w:uiPriority w:val="0"/>
  </w:style>
  <w:style w:type="character" w:customStyle="1" w:styleId="41">
    <w:name w:val="纯文本 Char1"/>
    <w:link w:val="15"/>
    <w:qFormat/>
    <w:uiPriority w:val="0"/>
    <w:rPr>
      <w:rFonts w:ascii="宋体" w:hAnsi="Courier New" w:eastAsia="宋体" w:cs="Courier New"/>
      <w:szCs w:val="21"/>
    </w:rPr>
  </w:style>
  <w:style w:type="character" w:customStyle="1" w:styleId="42">
    <w:name w:val="正文文本缩进 3 Char"/>
    <w:link w:val="21"/>
    <w:qFormat/>
    <w:uiPriority w:val="0"/>
    <w:rPr>
      <w:rFonts w:ascii="Calibri" w:hAnsi="Calibri" w:cs="黑体"/>
      <w:kern w:val="2"/>
      <w:sz w:val="16"/>
      <w:szCs w:val="16"/>
    </w:rPr>
  </w:style>
  <w:style w:type="character" w:customStyle="1" w:styleId="43">
    <w:name w:val="正文文本 Char"/>
    <w:qFormat/>
    <w:uiPriority w:val="0"/>
    <w:rPr>
      <w:rFonts w:ascii="Times New Roman" w:hAnsi="Times New Roman"/>
      <w:kern w:val="2"/>
      <w:sz w:val="21"/>
      <w:szCs w:val="24"/>
    </w:rPr>
  </w:style>
  <w:style w:type="character" w:customStyle="1" w:styleId="44">
    <w:name w:val="纯文本 Char"/>
    <w:qFormat/>
    <w:uiPriority w:val="0"/>
    <w:rPr>
      <w:rFonts w:ascii="宋体" w:hAnsi="Courier New" w:eastAsia="宋体" w:cs="Courier New"/>
      <w:szCs w:val="21"/>
    </w:rPr>
  </w:style>
  <w:style w:type="character" w:customStyle="1" w:styleId="45">
    <w:name w:val="标题 8 Char"/>
    <w:qFormat/>
    <w:uiPriority w:val="0"/>
    <w:rPr>
      <w:rFonts w:ascii="Arial" w:hAnsi="Arial" w:eastAsia="黑体"/>
      <w:kern w:val="2"/>
      <w:sz w:val="24"/>
      <w:szCs w:val="24"/>
    </w:rPr>
  </w:style>
  <w:style w:type="character" w:customStyle="1" w:styleId="46">
    <w:name w:val="日期 Char"/>
    <w:link w:val="16"/>
    <w:semiHidden/>
    <w:qFormat/>
    <w:uiPriority w:val="99"/>
    <w:rPr>
      <w:rFonts w:ascii="Times New Roman" w:hAnsi="Times New Roman"/>
      <w:kern w:val="2"/>
      <w:sz w:val="21"/>
      <w:szCs w:val="24"/>
    </w:rPr>
  </w:style>
  <w:style w:type="character" w:customStyle="1" w:styleId="47">
    <w:name w:val="font51"/>
    <w:basedOn w:val="28"/>
    <w:qFormat/>
    <w:uiPriority w:val="0"/>
    <w:rPr>
      <w:rFonts w:hint="default" w:ascii="Times New Roman" w:hAnsi="Times New Roman" w:cs="Times New Roman"/>
      <w:color w:val="000000"/>
      <w:sz w:val="20"/>
      <w:szCs w:val="20"/>
      <w:u w:val="none"/>
    </w:rPr>
  </w:style>
  <w:style w:type="character" w:customStyle="1" w:styleId="48">
    <w:name w:val="页眉 Char"/>
    <w:link w:val="19"/>
    <w:qFormat/>
    <w:uiPriority w:val="99"/>
    <w:rPr>
      <w:sz w:val="18"/>
      <w:szCs w:val="18"/>
    </w:rPr>
  </w:style>
  <w:style w:type="character" w:customStyle="1" w:styleId="49">
    <w:name w:val="批注文字 Char"/>
    <w:qFormat/>
    <w:uiPriority w:val="0"/>
    <w:rPr>
      <w:rFonts w:ascii="Times New Roman" w:hAnsi="Times New Roman"/>
      <w:kern w:val="2"/>
      <w:sz w:val="21"/>
      <w:szCs w:val="24"/>
    </w:rPr>
  </w:style>
  <w:style w:type="character" w:customStyle="1" w:styleId="50">
    <w:name w:val="正文文本 Char1"/>
    <w:link w:val="2"/>
    <w:qFormat/>
    <w:uiPriority w:val="0"/>
    <w:rPr>
      <w:rFonts w:ascii="Times New Roman" w:hAnsi="Times New Roman"/>
      <w:kern w:val="2"/>
      <w:sz w:val="21"/>
      <w:szCs w:val="24"/>
    </w:rPr>
  </w:style>
  <w:style w:type="character" w:customStyle="1" w:styleId="51">
    <w:name w:val="标题 8 Char1"/>
    <w:link w:val="9"/>
    <w:semiHidden/>
    <w:qFormat/>
    <w:uiPriority w:val="9"/>
    <w:rPr>
      <w:rFonts w:ascii="等线 Light" w:hAnsi="等线 Light" w:eastAsia="等线 Light" w:cs="Times New Roman"/>
      <w:kern w:val="2"/>
      <w:sz w:val="24"/>
      <w:szCs w:val="24"/>
    </w:rPr>
  </w:style>
  <w:style w:type="character" w:customStyle="1" w:styleId="52">
    <w:name w:val="文档结构图 Char"/>
    <w:link w:val="11"/>
    <w:semiHidden/>
    <w:qFormat/>
    <w:uiPriority w:val="99"/>
    <w:rPr>
      <w:rFonts w:ascii="宋体"/>
      <w:kern w:val="2"/>
      <w:sz w:val="18"/>
      <w:szCs w:val="18"/>
    </w:rPr>
  </w:style>
  <w:style w:type="character" w:customStyle="1" w:styleId="53">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54">
    <w:name w:val="标题 2 Char"/>
    <w:qFormat/>
    <w:uiPriority w:val="9"/>
    <w:rPr>
      <w:rFonts w:ascii="Cambria" w:hAnsi="Cambria" w:eastAsia="宋体" w:cs="Times New Roman"/>
      <w:b/>
      <w:bCs/>
      <w:kern w:val="2"/>
      <w:sz w:val="32"/>
      <w:szCs w:val="32"/>
    </w:rPr>
  </w:style>
  <w:style w:type="character" w:customStyle="1" w:styleId="55">
    <w:name w:val="apple-style-span"/>
    <w:basedOn w:val="28"/>
    <w:qFormat/>
    <w:uiPriority w:val="0"/>
  </w:style>
  <w:style w:type="character" w:customStyle="1" w:styleId="56">
    <w:name w:val="font41"/>
    <w:basedOn w:val="28"/>
    <w:qFormat/>
    <w:uiPriority w:val="0"/>
    <w:rPr>
      <w:rFonts w:hint="eastAsia" w:ascii="宋体" w:hAnsi="宋体" w:eastAsia="宋体" w:cs="宋体"/>
      <w:color w:val="000000"/>
      <w:sz w:val="20"/>
      <w:szCs w:val="20"/>
      <w:u w:val="none"/>
    </w:rPr>
  </w:style>
  <w:style w:type="character" w:customStyle="1" w:styleId="57">
    <w:name w:val="页脚 Char"/>
    <w:link w:val="18"/>
    <w:qFormat/>
    <w:uiPriority w:val="99"/>
    <w:rPr>
      <w:sz w:val="18"/>
      <w:szCs w:val="18"/>
    </w:rPr>
  </w:style>
  <w:style w:type="character" w:customStyle="1" w:styleId="58">
    <w:name w:val="批注文字 Char1"/>
    <w:link w:val="12"/>
    <w:qFormat/>
    <w:uiPriority w:val="0"/>
    <w:rPr>
      <w:rFonts w:ascii="Times New Roman" w:hAnsi="Times New Roman"/>
      <w:kern w:val="2"/>
      <w:sz w:val="21"/>
      <w:szCs w:val="24"/>
    </w:rPr>
  </w:style>
  <w:style w:type="paragraph" w:customStyle="1" w:styleId="59">
    <w:name w:val="默认段落字体 Para Char Char Char Char Char Char Char Char Char1 Char Char Char Char"/>
    <w:basedOn w:val="1"/>
    <w:qFormat/>
    <w:uiPriority w:val="0"/>
    <w:rPr>
      <w:rFonts w:ascii="Tahoma" w:hAnsi="Tahoma"/>
      <w:sz w:val="24"/>
      <w:szCs w:val="20"/>
    </w:rPr>
  </w:style>
  <w:style w:type="paragraph" w:customStyle="1" w:styleId="60">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6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2">
    <w:name w:val="_Style 9"/>
    <w:qFormat/>
    <w:uiPriority w:val="1"/>
    <w:pPr>
      <w:widowControl w:val="0"/>
      <w:jc w:val="both"/>
    </w:pPr>
    <w:rPr>
      <w:rFonts w:ascii="Calibri" w:hAnsi="Calibri" w:eastAsia="宋体" w:cs="Times New Roman"/>
      <w:kern w:val="2"/>
      <w:sz w:val="21"/>
      <w:szCs w:val="24"/>
      <w:lang w:val="en-US" w:eastAsia="zh-CN" w:bidi="ar-SA"/>
    </w:rPr>
  </w:style>
  <w:style w:type="paragraph" w:styleId="63">
    <w:name w:val="List Paragraph"/>
    <w:basedOn w:val="1"/>
    <w:qFormat/>
    <w:uiPriority w:val="34"/>
    <w:pPr>
      <w:ind w:firstLine="420" w:firstLineChars="200"/>
    </w:pPr>
  </w:style>
  <w:style w:type="paragraph" w:customStyle="1" w:styleId="64">
    <w:name w:val="表格文字"/>
    <w:basedOn w:val="1"/>
    <w:qFormat/>
    <w:uiPriority w:val="99"/>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7173"/>
    <customShpInfo spid="_x0000_s7174"/>
    <customShpInfo spid="_x0000_s7169"/>
    <customShpInfo spid="_x0000_s717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46</Pages>
  <Words>3980</Words>
  <Characters>22688</Characters>
  <Lines>189</Lines>
  <Paragraphs>53</Paragraphs>
  <TotalTime>187</TotalTime>
  <ScaleCrop>false</ScaleCrop>
  <LinksUpToDate>false</LinksUpToDate>
  <CharactersWithSpaces>26615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2020-11-27T02:56:00Z</dcterms:created>
  <dc:creator>唐冰</dc:creator>
  <cp:lastModifiedBy>Administrator</cp:lastModifiedBy>
  <cp:lastPrinted>2020-10-09T08:08:00Z</cp:lastPrinted>
  <dcterms:modified xsi:type="dcterms:W3CDTF">2020-12-11T01:45:41Z</dcterms:modified>
  <dc:title>竞争性谈判文件规范</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