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43"/>
        </w:tabs>
        <w:jc w:val="center"/>
        <w:rPr>
          <w:rFonts w:hint="eastAsia" w:ascii="宋体" w:hAnsi="宋体" w:eastAsia="宋体"/>
          <w:b/>
          <w:bCs/>
          <w:color w:val="auto"/>
          <w:sz w:val="66"/>
          <w:szCs w:val="66"/>
          <w:highlight w:val="none"/>
          <w:lang w:eastAsia="zh-CN"/>
        </w:rPr>
      </w:pPr>
      <w:bookmarkStart w:id="0" w:name="_Toc434315321"/>
      <w:r>
        <w:rPr>
          <w:rFonts w:hint="eastAsia" w:ascii="宋体" w:hAnsi="宋体" w:eastAsia="宋体"/>
          <w:b/>
          <w:bCs/>
          <w:color w:val="auto"/>
          <w:sz w:val="66"/>
          <w:szCs w:val="66"/>
          <w:highlight w:val="none"/>
          <w:lang w:eastAsia="zh-CN"/>
        </w:rPr>
        <w:drawing>
          <wp:inline distT="0" distB="0" distL="114300" distR="114300">
            <wp:extent cx="6114415" cy="8648065"/>
            <wp:effectExtent l="0" t="0" r="635" b="635"/>
            <wp:docPr id="5" name="图片 5" descr="MX-M2658NV_20210610_163035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MX-M2658NV_20210610_163035_001"/>
                    <pic:cNvPicPr>
                      <a:picLocks noChangeAspect="1"/>
                    </pic:cNvPicPr>
                  </pic:nvPicPr>
                  <pic:blipFill>
                    <a:blip r:embed="rId14"/>
                    <a:stretch>
                      <a:fillRect/>
                    </a:stretch>
                  </pic:blipFill>
                  <pic:spPr>
                    <a:xfrm>
                      <a:off x="0" y="0"/>
                      <a:ext cx="6114415" cy="8648065"/>
                    </a:xfrm>
                    <a:prstGeom prst="rect">
                      <a:avLst/>
                    </a:prstGeom>
                  </pic:spPr>
                </pic:pic>
              </a:graphicData>
            </a:graphic>
          </wp:inline>
        </w:drawing>
      </w:r>
    </w:p>
    <w:bookmarkEnd w:id="0"/>
    <w:p>
      <w:pPr>
        <w:pStyle w:val="11"/>
        <w:snapToGrid w:val="0"/>
        <w:spacing w:before="120" w:after="120"/>
        <w:jc w:val="center"/>
        <w:outlineLvl w:val="9"/>
        <w:rPr>
          <w:rFonts w:hint="eastAsia" w:ascii="Times New Roman" w:hAnsi="Times New Roman" w:eastAsia="宋体"/>
          <w:color w:val="auto"/>
          <w:sz w:val="30"/>
          <w:szCs w:val="30"/>
          <w:highlight w:val="none"/>
          <w:lang w:eastAsia="zh-CN"/>
        </w:rPr>
        <w:sectPr>
          <w:headerReference r:id="rId5" w:type="first"/>
          <w:headerReference r:id="rId3" w:type="default"/>
          <w:footerReference r:id="rId6" w:type="default"/>
          <w:headerReference r:id="rId4" w:type="even"/>
          <w:footerReference r:id="rId7" w:type="even"/>
          <w:pgSz w:w="11906" w:h="16838"/>
          <w:pgMar w:top="1134" w:right="1134" w:bottom="1134" w:left="1134" w:header="720" w:footer="720" w:gutter="0"/>
          <w:pgNumType w:start="0"/>
          <w:cols w:space="720" w:num="1"/>
          <w:titlePg/>
          <w:docGrid w:type="lines" w:linePitch="331" w:charSpace="0"/>
        </w:sectPr>
      </w:pPr>
    </w:p>
    <w:sdt>
      <w:sdtPr>
        <w:rPr>
          <w:rFonts w:ascii="宋体" w:hAnsi="宋体" w:eastAsia="宋体" w:cs="Times New Roman"/>
          <w:color w:val="auto"/>
          <w:kern w:val="2"/>
          <w:sz w:val="21"/>
          <w:szCs w:val="24"/>
          <w:lang w:val="en-US" w:eastAsia="zh-CN" w:bidi="ar-SA"/>
        </w:rPr>
        <w:id w:val="147456713"/>
        <w15:color w:val="DBDBDB"/>
        <w:docPartObj>
          <w:docPartGallery w:val="Table of Contents"/>
          <w:docPartUnique/>
        </w:docPartObj>
      </w:sdtPr>
      <w:sdtEndPr>
        <w:rPr>
          <w:rFonts w:ascii="Times New Roman" w:hAnsi="宋体" w:eastAsia="宋体" w:cs="Times New Roman"/>
          <w:bCs/>
          <w:caps/>
          <w:color w:val="auto"/>
          <w:kern w:val="2"/>
          <w:sz w:val="18"/>
          <w:szCs w:val="28"/>
          <w:highlight w:val="none"/>
          <w:lang w:val="en-US" w:eastAsia="zh-CN" w:bidi="ar-SA"/>
        </w:rPr>
      </w:sdtEndPr>
      <w:sdtContent>
        <w:p>
          <w:pPr>
            <w:spacing w:before="0" w:beforeLines="0" w:after="0" w:afterLines="0" w:line="240" w:lineRule="auto"/>
            <w:ind w:left="0" w:leftChars="0" w:right="0" w:rightChars="0" w:firstLine="0" w:firstLineChars="0"/>
            <w:jc w:val="center"/>
            <w:rPr>
              <w:b/>
              <w:bCs/>
              <w:color w:val="auto"/>
              <w:sz w:val="36"/>
              <w:szCs w:val="44"/>
            </w:rPr>
          </w:pPr>
          <w:r>
            <w:rPr>
              <w:rFonts w:ascii="宋体" w:hAnsi="宋体" w:eastAsia="宋体"/>
              <w:b/>
              <w:bCs/>
              <w:color w:val="auto"/>
              <w:sz w:val="36"/>
              <w:szCs w:val="44"/>
            </w:rPr>
            <w:t>目录</w:t>
          </w:r>
        </w:p>
        <w:p>
          <w:pPr>
            <w:pStyle w:val="26"/>
            <w:tabs>
              <w:tab w:val="right" w:leader="dot" w:pos="9860"/>
            </w:tabs>
            <w:rPr>
              <w:color w:val="auto"/>
              <w:sz w:val="28"/>
              <w:szCs w:val="28"/>
            </w:rPr>
          </w:pPr>
          <w:r>
            <w:rPr>
              <w:rFonts w:hAnsi="宋体"/>
              <w:b/>
              <w:bCs/>
              <w:caps/>
              <w:color w:val="auto"/>
              <w:sz w:val="44"/>
              <w:szCs w:val="44"/>
              <w:highlight w:val="none"/>
            </w:rPr>
            <w:fldChar w:fldCharType="begin"/>
          </w:r>
          <w:r>
            <w:rPr>
              <w:rFonts w:hAnsi="宋体"/>
              <w:b/>
              <w:bCs/>
              <w:caps/>
              <w:color w:val="auto"/>
              <w:sz w:val="44"/>
              <w:szCs w:val="44"/>
              <w:highlight w:val="none"/>
            </w:rPr>
            <w:instrText xml:space="preserve">TOC \o "1-1" \h \u </w:instrText>
          </w:r>
          <w:r>
            <w:rPr>
              <w:rFonts w:hAnsi="宋体"/>
              <w:b/>
              <w:bCs/>
              <w:caps/>
              <w:color w:val="auto"/>
              <w:sz w:val="44"/>
              <w:szCs w:val="44"/>
              <w:highlight w:val="none"/>
            </w:rPr>
            <w:fldChar w:fldCharType="separate"/>
          </w:r>
          <w:r>
            <w:rPr>
              <w:rFonts w:hAnsi="宋体"/>
              <w:bCs/>
              <w:caps/>
              <w:color w:val="auto"/>
              <w:sz w:val="28"/>
              <w:szCs w:val="44"/>
              <w:highlight w:val="none"/>
            </w:rPr>
            <w:fldChar w:fldCharType="begin"/>
          </w:r>
          <w:r>
            <w:rPr>
              <w:rFonts w:hAnsi="宋体"/>
              <w:bCs/>
              <w:caps/>
              <w:color w:val="auto"/>
              <w:sz w:val="28"/>
              <w:szCs w:val="44"/>
              <w:highlight w:val="none"/>
            </w:rPr>
            <w:instrText xml:space="preserve"> HYPERLINK \l _Toc13329 </w:instrText>
          </w:r>
          <w:r>
            <w:rPr>
              <w:rFonts w:hAnsi="宋体"/>
              <w:bCs/>
              <w:caps/>
              <w:color w:val="auto"/>
              <w:sz w:val="28"/>
              <w:szCs w:val="44"/>
              <w:highlight w:val="none"/>
            </w:rPr>
            <w:fldChar w:fldCharType="separate"/>
          </w:r>
          <w:r>
            <w:rPr>
              <w:rFonts w:hint="eastAsia" w:ascii="宋体" w:hAnsi="宋体" w:eastAsia="宋体" w:cs="宋体"/>
              <w:color w:val="auto"/>
              <w:sz w:val="28"/>
              <w:szCs w:val="28"/>
            </w:rPr>
            <w:t xml:space="preserve">第一章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highlight w:val="none"/>
            </w:rPr>
            <w:t>竞争性磋商公告</w:t>
          </w:r>
          <w:r>
            <w:rPr>
              <w:color w:val="auto"/>
              <w:sz w:val="28"/>
              <w:szCs w:val="28"/>
            </w:rPr>
            <w:tab/>
          </w:r>
          <w:r>
            <w:rPr>
              <w:color w:val="auto"/>
              <w:sz w:val="28"/>
              <w:szCs w:val="28"/>
            </w:rPr>
            <w:fldChar w:fldCharType="begin"/>
          </w:r>
          <w:r>
            <w:rPr>
              <w:color w:val="auto"/>
              <w:sz w:val="28"/>
              <w:szCs w:val="28"/>
            </w:rPr>
            <w:instrText xml:space="preserve"> PAGEREF _Toc13329 </w:instrText>
          </w:r>
          <w:r>
            <w:rPr>
              <w:color w:val="auto"/>
              <w:sz w:val="28"/>
              <w:szCs w:val="28"/>
            </w:rPr>
            <w:fldChar w:fldCharType="separate"/>
          </w:r>
          <w:r>
            <w:rPr>
              <w:color w:val="auto"/>
              <w:sz w:val="28"/>
              <w:szCs w:val="28"/>
            </w:rPr>
            <w:t>1</w:t>
          </w:r>
          <w:r>
            <w:rPr>
              <w:color w:val="auto"/>
              <w:sz w:val="28"/>
              <w:szCs w:val="28"/>
            </w:rPr>
            <w:fldChar w:fldCharType="end"/>
          </w:r>
          <w:r>
            <w:rPr>
              <w:rFonts w:hAnsi="宋体"/>
              <w:bCs/>
              <w:caps/>
              <w:color w:val="auto"/>
              <w:sz w:val="28"/>
              <w:szCs w:val="44"/>
              <w:highlight w:val="none"/>
            </w:rPr>
            <w:fldChar w:fldCharType="end"/>
          </w:r>
        </w:p>
        <w:p>
          <w:pPr>
            <w:pStyle w:val="26"/>
            <w:tabs>
              <w:tab w:val="right" w:leader="dot" w:pos="9860"/>
            </w:tabs>
            <w:rPr>
              <w:color w:val="auto"/>
              <w:sz w:val="28"/>
              <w:szCs w:val="28"/>
            </w:rPr>
          </w:pPr>
          <w:r>
            <w:rPr>
              <w:rFonts w:hAnsi="宋体"/>
              <w:bCs/>
              <w:caps/>
              <w:color w:val="auto"/>
              <w:sz w:val="28"/>
              <w:szCs w:val="44"/>
              <w:highlight w:val="none"/>
            </w:rPr>
            <w:fldChar w:fldCharType="begin"/>
          </w:r>
          <w:r>
            <w:rPr>
              <w:rFonts w:hAnsi="宋体"/>
              <w:bCs/>
              <w:caps/>
              <w:color w:val="auto"/>
              <w:sz w:val="28"/>
              <w:szCs w:val="44"/>
              <w:highlight w:val="none"/>
            </w:rPr>
            <w:instrText xml:space="preserve"> HYPERLINK \l _Toc1590 </w:instrText>
          </w:r>
          <w:r>
            <w:rPr>
              <w:rFonts w:hAnsi="宋体"/>
              <w:bCs/>
              <w:caps/>
              <w:color w:val="auto"/>
              <w:sz w:val="28"/>
              <w:szCs w:val="44"/>
              <w:highlight w:val="none"/>
            </w:rPr>
            <w:fldChar w:fldCharType="separate"/>
          </w:r>
          <w:r>
            <w:rPr>
              <w:rFonts w:hint="eastAsia" w:ascii="宋体" w:hAnsi="宋体" w:eastAsia="宋体" w:cs="宋体"/>
              <w:color w:val="auto"/>
              <w:sz w:val="28"/>
              <w:szCs w:val="28"/>
            </w:rPr>
            <w:t xml:space="preserve">第二章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highlight w:val="none"/>
            </w:rPr>
            <w:t>服务需求一览表</w:t>
          </w:r>
          <w:r>
            <w:rPr>
              <w:color w:val="auto"/>
              <w:sz w:val="28"/>
              <w:szCs w:val="28"/>
            </w:rPr>
            <w:tab/>
          </w:r>
          <w:r>
            <w:rPr>
              <w:rFonts w:hint="eastAsia"/>
              <w:color w:val="auto"/>
              <w:sz w:val="28"/>
              <w:szCs w:val="28"/>
              <w:lang w:val="en-US" w:eastAsia="zh-CN"/>
            </w:rPr>
            <w:t>3</w:t>
          </w:r>
          <w:r>
            <w:rPr>
              <w:rFonts w:hAnsi="宋体"/>
              <w:bCs/>
              <w:caps/>
              <w:color w:val="auto"/>
              <w:sz w:val="28"/>
              <w:szCs w:val="44"/>
              <w:highlight w:val="none"/>
            </w:rPr>
            <w:fldChar w:fldCharType="end"/>
          </w:r>
        </w:p>
        <w:p>
          <w:pPr>
            <w:pStyle w:val="26"/>
            <w:tabs>
              <w:tab w:val="right" w:leader="dot" w:pos="9860"/>
            </w:tabs>
            <w:rPr>
              <w:color w:val="auto"/>
              <w:sz w:val="28"/>
              <w:szCs w:val="28"/>
            </w:rPr>
          </w:pPr>
          <w:r>
            <w:rPr>
              <w:rFonts w:hAnsi="宋体"/>
              <w:bCs/>
              <w:caps/>
              <w:color w:val="auto"/>
              <w:sz w:val="28"/>
              <w:szCs w:val="44"/>
              <w:highlight w:val="none"/>
            </w:rPr>
            <w:fldChar w:fldCharType="begin"/>
          </w:r>
          <w:r>
            <w:rPr>
              <w:rFonts w:hAnsi="宋体"/>
              <w:bCs/>
              <w:caps/>
              <w:color w:val="auto"/>
              <w:sz w:val="28"/>
              <w:szCs w:val="44"/>
              <w:highlight w:val="none"/>
            </w:rPr>
            <w:instrText xml:space="preserve"> HYPERLINK \l _Toc31017 </w:instrText>
          </w:r>
          <w:r>
            <w:rPr>
              <w:rFonts w:hAnsi="宋体"/>
              <w:bCs/>
              <w:caps/>
              <w:color w:val="auto"/>
              <w:sz w:val="28"/>
              <w:szCs w:val="44"/>
              <w:highlight w:val="none"/>
            </w:rPr>
            <w:fldChar w:fldCharType="separate"/>
          </w:r>
          <w:r>
            <w:rPr>
              <w:rFonts w:hint="eastAsia" w:ascii="宋体" w:hAnsi="宋体" w:eastAsia="宋体" w:cs="宋体"/>
              <w:color w:val="auto"/>
              <w:sz w:val="28"/>
              <w:szCs w:val="44"/>
              <w:highlight w:val="none"/>
              <w:lang w:val="en-US" w:eastAsia="zh-CN"/>
            </w:rPr>
            <w:t xml:space="preserve">第三章  </w:t>
          </w:r>
          <w:r>
            <w:rPr>
              <w:rFonts w:hint="eastAsia" w:ascii="宋体" w:hAnsi="宋体" w:eastAsia="宋体" w:cs="宋体"/>
              <w:color w:val="auto"/>
              <w:sz w:val="28"/>
              <w:szCs w:val="44"/>
              <w:highlight w:val="none"/>
            </w:rPr>
            <w:t>评审方法</w:t>
          </w:r>
          <w:r>
            <w:rPr>
              <w:color w:val="auto"/>
              <w:sz w:val="28"/>
              <w:szCs w:val="28"/>
            </w:rPr>
            <w:tab/>
          </w:r>
          <w:r>
            <w:rPr>
              <w:rFonts w:hint="eastAsia"/>
              <w:color w:val="auto"/>
              <w:sz w:val="28"/>
              <w:szCs w:val="28"/>
              <w:lang w:val="en-US" w:eastAsia="zh-CN"/>
            </w:rPr>
            <w:t>6</w:t>
          </w:r>
          <w:r>
            <w:rPr>
              <w:rFonts w:hAnsi="宋体"/>
              <w:bCs/>
              <w:caps/>
              <w:color w:val="auto"/>
              <w:sz w:val="28"/>
              <w:szCs w:val="44"/>
              <w:highlight w:val="none"/>
            </w:rPr>
            <w:fldChar w:fldCharType="end"/>
          </w:r>
        </w:p>
        <w:p>
          <w:pPr>
            <w:pStyle w:val="26"/>
            <w:tabs>
              <w:tab w:val="right" w:leader="dot" w:pos="9860"/>
            </w:tabs>
            <w:rPr>
              <w:color w:val="auto"/>
              <w:sz w:val="28"/>
              <w:szCs w:val="28"/>
            </w:rPr>
          </w:pPr>
          <w:r>
            <w:rPr>
              <w:rFonts w:hAnsi="宋体"/>
              <w:bCs/>
              <w:caps/>
              <w:color w:val="auto"/>
              <w:sz w:val="28"/>
              <w:szCs w:val="44"/>
              <w:highlight w:val="none"/>
            </w:rPr>
            <w:fldChar w:fldCharType="begin"/>
          </w:r>
          <w:r>
            <w:rPr>
              <w:rFonts w:hAnsi="宋体"/>
              <w:bCs/>
              <w:caps/>
              <w:color w:val="auto"/>
              <w:sz w:val="28"/>
              <w:szCs w:val="44"/>
              <w:highlight w:val="none"/>
            </w:rPr>
            <w:instrText xml:space="preserve"> HYPERLINK \l _Toc32348 </w:instrText>
          </w:r>
          <w:r>
            <w:rPr>
              <w:rFonts w:hAnsi="宋体"/>
              <w:bCs/>
              <w:caps/>
              <w:color w:val="auto"/>
              <w:sz w:val="28"/>
              <w:szCs w:val="44"/>
              <w:highlight w:val="none"/>
            </w:rPr>
            <w:fldChar w:fldCharType="separate"/>
          </w:r>
          <w:r>
            <w:rPr>
              <w:rFonts w:hint="eastAsia" w:ascii="宋体" w:hAnsi="宋体" w:cs="宋体"/>
              <w:color w:val="auto"/>
              <w:sz w:val="28"/>
              <w:szCs w:val="28"/>
              <w:highlight w:val="none"/>
              <w:lang w:val="en-US" w:eastAsia="zh-CN"/>
            </w:rPr>
            <w:t xml:space="preserve">第四章  </w:t>
          </w:r>
          <w:r>
            <w:rPr>
              <w:rFonts w:hint="eastAsia" w:ascii="宋体" w:hAnsi="宋体" w:eastAsia="宋体" w:cs="宋体"/>
              <w:color w:val="auto"/>
              <w:sz w:val="28"/>
              <w:szCs w:val="28"/>
              <w:highlight w:val="none"/>
            </w:rPr>
            <w:t>磋商供应商须知前附表</w:t>
          </w:r>
          <w:r>
            <w:rPr>
              <w:color w:val="auto"/>
              <w:sz w:val="28"/>
              <w:szCs w:val="28"/>
            </w:rPr>
            <w:tab/>
          </w:r>
          <w:r>
            <w:rPr>
              <w:rFonts w:hint="eastAsia"/>
              <w:color w:val="auto"/>
              <w:sz w:val="28"/>
              <w:szCs w:val="28"/>
              <w:lang w:val="en-US" w:eastAsia="zh-CN"/>
            </w:rPr>
            <w:t>9</w:t>
          </w:r>
          <w:r>
            <w:rPr>
              <w:rFonts w:hAnsi="宋体"/>
              <w:bCs/>
              <w:caps/>
              <w:color w:val="auto"/>
              <w:sz w:val="28"/>
              <w:szCs w:val="44"/>
              <w:highlight w:val="none"/>
            </w:rPr>
            <w:fldChar w:fldCharType="end"/>
          </w:r>
        </w:p>
        <w:p>
          <w:pPr>
            <w:pStyle w:val="26"/>
            <w:tabs>
              <w:tab w:val="right" w:leader="dot" w:pos="9860"/>
            </w:tabs>
            <w:rPr>
              <w:color w:val="auto"/>
              <w:sz w:val="28"/>
              <w:szCs w:val="28"/>
            </w:rPr>
          </w:pPr>
          <w:r>
            <w:rPr>
              <w:rFonts w:hAnsi="宋体"/>
              <w:bCs/>
              <w:caps/>
              <w:color w:val="auto"/>
              <w:sz w:val="28"/>
              <w:szCs w:val="44"/>
              <w:highlight w:val="none"/>
            </w:rPr>
            <w:fldChar w:fldCharType="begin"/>
          </w:r>
          <w:r>
            <w:rPr>
              <w:rFonts w:hAnsi="宋体"/>
              <w:bCs/>
              <w:caps/>
              <w:color w:val="auto"/>
              <w:sz w:val="28"/>
              <w:szCs w:val="44"/>
              <w:highlight w:val="none"/>
            </w:rPr>
            <w:instrText xml:space="preserve"> HYPERLINK \l _Toc7540 </w:instrText>
          </w:r>
          <w:r>
            <w:rPr>
              <w:rFonts w:hAnsi="宋体"/>
              <w:bCs/>
              <w:caps/>
              <w:color w:val="auto"/>
              <w:sz w:val="28"/>
              <w:szCs w:val="44"/>
              <w:highlight w:val="none"/>
            </w:rPr>
            <w:fldChar w:fldCharType="separate"/>
          </w:r>
          <w:r>
            <w:rPr>
              <w:rFonts w:hint="eastAsia" w:ascii="宋体" w:hAnsi="宋体" w:eastAsia="宋体" w:cs="宋体"/>
              <w:color w:val="auto"/>
              <w:sz w:val="28"/>
              <w:szCs w:val="28"/>
              <w:highlight w:val="none"/>
              <w:lang w:val="en-US" w:eastAsia="zh-CN"/>
            </w:rPr>
            <w:t>第五章  响应文件格式</w:t>
          </w:r>
          <w:r>
            <w:rPr>
              <w:color w:val="auto"/>
              <w:sz w:val="28"/>
              <w:szCs w:val="28"/>
            </w:rPr>
            <w:tab/>
          </w:r>
          <w:r>
            <w:rPr>
              <w:color w:val="auto"/>
              <w:sz w:val="28"/>
              <w:szCs w:val="28"/>
            </w:rPr>
            <w:fldChar w:fldCharType="begin"/>
          </w:r>
          <w:r>
            <w:rPr>
              <w:color w:val="auto"/>
              <w:sz w:val="28"/>
              <w:szCs w:val="28"/>
            </w:rPr>
            <w:instrText xml:space="preserve"> PAGEREF _Toc7540 </w:instrText>
          </w:r>
          <w:r>
            <w:rPr>
              <w:color w:val="auto"/>
              <w:sz w:val="28"/>
              <w:szCs w:val="28"/>
            </w:rPr>
            <w:fldChar w:fldCharType="separate"/>
          </w:r>
          <w:r>
            <w:rPr>
              <w:color w:val="auto"/>
              <w:sz w:val="28"/>
              <w:szCs w:val="28"/>
            </w:rPr>
            <w:t>23</w:t>
          </w:r>
          <w:r>
            <w:rPr>
              <w:color w:val="auto"/>
              <w:sz w:val="28"/>
              <w:szCs w:val="28"/>
            </w:rPr>
            <w:fldChar w:fldCharType="end"/>
          </w:r>
          <w:r>
            <w:rPr>
              <w:rFonts w:hAnsi="宋体"/>
              <w:bCs/>
              <w:caps/>
              <w:color w:val="auto"/>
              <w:sz w:val="28"/>
              <w:szCs w:val="44"/>
              <w:highlight w:val="none"/>
            </w:rPr>
            <w:fldChar w:fldCharType="end"/>
          </w:r>
        </w:p>
        <w:p>
          <w:pPr>
            <w:pStyle w:val="26"/>
            <w:tabs>
              <w:tab w:val="right" w:leader="dot" w:pos="9860"/>
            </w:tabs>
            <w:rPr>
              <w:color w:val="auto"/>
              <w:sz w:val="28"/>
              <w:szCs w:val="28"/>
            </w:rPr>
          </w:pPr>
          <w:r>
            <w:rPr>
              <w:rFonts w:hAnsi="宋体"/>
              <w:bCs/>
              <w:caps/>
              <w:color w:val="auto"/>
              <w:sz w:val="28"/>
              <w:szCs w:val="44"/>
              <w:highlight w:val="none"/>
            </w:rPr>
            <w:fldChar w:fldCharType="begin"/>
          </w:r>
          <w:r>
            <w:rPr>
              <w:rFonts w:hAnsi="宋体"/>
              <w:bCs/>
              <w:caps/>
              <w:color w:val="auto"/>
              <w:sz w:val="28"/>
              <w:szCs w:val="44"/>
              <w:highlight w:val="none"/>
            </w:rPr>
            <w:instrText xml:space="preserve"> HYPERLINK \l _Toc32088 </w:instrText>
          </w:r>
          <w:r>
            <w:rPr>
              <w:rFonts w:hAnsi="宋体"/>
              <w:bCs/>
              <w:caps/>
              <w:color w:val="auto"/>
              <w:sz w:val="28"/>
              <w:szCs w:val="44"/>
              <w:highlight w:val="none"/>
            </w:rPr>
            <w:fldChar w:fldCharType="separate"/>
          </w:r>
          <w:r>
            <w:rPr>
              <w:rFonts w:hint="eastAsia" w:ascii="宋体" w:hAnsi="宋体" w:eastAsia="宋体" w:cs="宋体"/>
              <w:color w:val="auto"/>
              <w:sz w:val="28"/>
              <w:szCs w:val="28"/>
              <w:highlight w:val="none"/>
              <w:lang w:val="en-US" w:eastAsia="zh-CN"/>
            </w:rPr>
            <w:t>第六章  合同条款及格式</w:t>
          </w:r>
          <w:r>
            <w:rPr>
              <w:color w:val="auto"/>
              <w:sz w:val="28"/>
              <w:szCs w:val="28"/>
            </w:rPr>
            <w:tab/>
          </w:r>
          <w:r>
            <w:rPr>
              <w:color w:val="auto"/>
              <w:sz w:val="28"/>
              <w:szCs w:val="28"/>
            </w:rPr>
            <w:fldChar w:fldCharType="begin"/>
          </w:r>
          <w:r>
            <w:rPr>
              <w:color w:val="auto"/>
              <w:sz w:val="28"/>
              <w:szCs w:val="28"/>
            </w:rPr>
            <w:instrText xml:space="preserve"> PAGEREF _Toc32088 </w:instrText>
          </w:r>
          <w:r>
            <w:rPr>
              <w:color w:val="auto"/>
              <w:sz w:val="28"/>
              <w:szCs w:val="28"/>
            </w:rPr>
            <w:fldChar w:fldCharType="separate"/>
          </w:r>
          <w:r>
            <w:rPr>
              <w:color w:val="auto"/>
              <w:sz w:val="28"/>
              <w:szCs w:val="28"/>
            </w:rPr>
            <w:t>43</w:t>
          </w:r>
          <w:r>
            <w:rPr>
              <w:color w:val="auto"/>
              <w:sz w:val="28"/>
              <w:szCs w:val="28"/>
            </w:rPr>
            <w:fldChar w:fldCharType="end"/>
          </w:r>
          <w:r>
            <w:rPr>
              <w:rFonts w:hAnsi="宋体"/>
              <w:bCs/>
              <w:caps/>
              <w:color w:val="auto"/>
              <w:sz w:val="28"/>
              <w:szCs w:val="44"/>
              <w:highlight w:val="none"/>
            </w:rPr>
            <w:fldChar w:fldCharType="end"/>
          </w:r>
        </w:p>
        <w:p>
          <w:pPr>
            <w:pStyle w:val="26"/>
            <w:tabs>
              <w:tab w:val="right" w:leader="dot" w:pos="9860"/>
            </w:tabs>
            <w:rPr>
              <w:color w:val="auto"/>
              <w:sz w:val="28"/>
              <w:szCs w:val="28"/>
            </w:rPr>
          </w:pPr>
        </w:p>
        <w:p>
          <w:pPr>
            <w:pStyle w:val="13"/>
            <w:rPr>
              <w:rFonts w:hAnsi="宋体"/>
              <w:b/>
              <w:bCs/>
              <w:caps/>
              <w:color w:val="auto"/>
              <w:sz w:val="28"/>
              <w:szCs w:val="28"/>
              <w:highlight w:val="none"/>
            </w:rPr>
          </w:pPr>
          <w:r>
            <w:rPr>
              <w:rFonts w:hAnsi="宋体"/>
              <w:bCs/>
              <w:caps/>
              <w:color w:val="auto"/>
              <w:sz w:val="24"/>
              <w:szCs w:val="44"/>
              <w:highlight w:val="none"/>
            </w:rPr>
            <w:fldChar w:fldCharType="end"/>
          </w:r>
        </w:p>
      </w:sdtContent>
    </w:sdt>
    <w:p>
      <w:pPr>
        <w:pStyle w:val="13"/>
        <w:rPr>
          <w:rFonts w:hAnsi="宋体"/>
          <w:b/>
          <w:bCs/>
          <w:caps/>
          <w:color w:val="auto"/>
          <w:sz w:val="28"/>
          <w:szCs w:val="28"/>
          <w:highlight w:val="none"/>
        </w:rPr>
      </w:pPr>
    </w:p>
    <w:p>
      <w:pPr>
        <w:pStyle w:val="2"/>
        <w:autoSpaceDE/>
        <w:autoSpaceDN/>
        <w:adjustRightInd/>
        <w:jc w:val="center"/>
        <w:rPr>
          <w:rFonts w:ascii="新宋体" w:hAnsi="新宋体" w:eastAsia="新宋体" w:cs="新宋体"/>
          <w:b/>
          <w:color w:val="auto"/>
          <w:sz w:val="40"/>
          <w:szCs w:val="40"/>
          <w:highlight w:val="none"/>
        </w:rPr>
        <w:sectPr>
          <w:headerReference r:id="rId8" w:type="default"/>
          <w:pgSz w:w="11906" w:h="16838"/>
          <w:pgMar w:top="1020" w:right="1046" w:bottom="1440" w:left="1000" w:header="851" w:footer="992" w:gutter="0"/>
          <w:pgNumType w:start="1"/>
          <w:cols w:space="720" w:num="1"/>
          <w:docGrid w:type="lines" w:linePitch="312" w:charSpace="0"/>
        </w:sectPr>
      </w:pPr>
    </w:p>
    <w:p>
      <w:pPr>
        <w:pStyle w:val="3"/>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0"/>
        <w:rPr>
          <w:rFonts w:hint="eastAsia" w:ascii="宋体" w:hAnsi="宋体" w:eastAsia="宋体" w:cs="宋体"/>
          <w:color w:val="auto"/>
          <w:sz w:val="36"/>
          <w:szCs w:val="36"/>
          <w:highlight w:val="none"/>
        </w:rPr>
      </w:pPr>
      <w:r>
        <w:rPr>
          <w:rFonts w:hint="eastAsia" w:ascii="宋体" w:hAnsi="宋体" w:cs="宋体"/>
          <w:color w:val="auto"/>
          <w:sz w:val="36"/>
          <w:szCs w:val="36"/>
          <w:highlight w:val="none"/>
          <w:lang w:val="en-US" w:eastAsia="zh-CN"/>
        </w:rPr>
        <w:t>第一章</w:t>
      </w:r>
      <w:bookmarkStart w:id="1" w:name="_Toc13329"/>
      <w:r>
        <w:rPr>
          <w:rFonts w:hint="eastAsia" w:ascii="宋体" w:hAnsi="宋体" w:cs="宋体"/>
          <w:color w:val="auto"/>
          <w:sz w:val="36"/>
          <w:szCs w:val="36"/>
          <w:highlight w:val="none"/>
          <w:lang w:val="en-US" w:eastAsia="zh-CN"/>
        </w:rPr>
        <w:t xml:space="preserve">  </w:t>
      </w:r>
      <w:r>
        <w:rPr>
          <w:rFonts w:hint="eastAsia" w:ascii="宋体" w:hAnsi="宋体" w:eastAsia="宋体" w:cs="宋体"/>
          <w:color w:val="auto"/>
          <w:sz w:val="36"/>
          <w:szCs w:val="36"/>
          <w:highlight w:val="none"/>
        </w:rPr>
        <w:t>竞争性磋商公告</w:t>
      </w:r>
      <w:bookmarkEnd w:id="1"/>
    </w:p>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新宋体" w:hAnsi="新宋体" w:eastAsia="新宋体" w:cs="新宋体"/>
          <w:b/>
          <w:bCs/>
          <w:color w:val="auto"/>
          <w:spacing w:val="-14"/>
          <w:position w:val="-6"/>
          <w:sz w:val="36"/>
          <w:szCs w:val="36"/>
          <w:highlight w:val="none"/>
        </w:rPr>
      </w:pPr>
      <w:r>
        <w:rPr>
          <w:rFonts w:hint="eastAsia" w:cs="宋体"/>
          <w:b/>
          <w:bCs/>
          <w:color w:val="auto"/>
          <w:spacing w:val="-14"/>
          <w:position w:val="-6"/>
          <w:sz w:val="28"/>
          <w:szCs w:val="28"/>
          <w:highlight w:val="none"/>
          <w:lang w:eastAsia="zh-CN"/>
        </w:rPr>
        <w:t>广西龙建工程管理有限公司</w:t>
      </w:r>
      <w:r>
        <w:rPr>
          <w:rFonts w:hint="eastAsia" w:hAnsi="宋体" w:cs="宋体"/>
          <w:b/>
          <w:bCs/>
          <w:color w:val="auto"/>
          <w:spacing w:val="-14"/>
          <w:position w:val="-6"/>
          <w:sz w:val="28"/>
          <w:szCs w:val="28"/>
          <w:highlight w:val="none"/>
        </w:rPr>
        <w:t>关于隆安县农村千人以上集中式饮用水水源保护区划定技术服务竞争性磋商公告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项目概况</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single"/>
          <w:lang w:eastAsia="zh-CN"/>
        </w:rPr>
        <w:t>隆安县农村千人以上集中式饮用水水源保护区划定技术服务</w:t>
      </w:r>
      <w:r>
        <w:rPr>
          <w:rFonts w:hint="eastAsia" w:asciiTheme="minorEastAsia" w:hAnsiTheme="minorEastAsia" w:eastAsiaTheme="minorEastAsia" w:cstheme="minorEastAsia"/>
          <w:color w:val="auto"/>
          <w:sz w:val="21"/>
          <w:szCs w:val="21"/>
        </w:rPr>
        <w:t>采购项目的潜在供应商应在</w:t>
      </w:r>
      <w:r>
        <w:rPr>
          <w:rFonts w:hint="eastAsia" w:asciiTheme="minorEastAsia" w:hAnsiTheme="minorEastAsia" w:eastAsiaTheme="minorEastAsia" w:cstheme="minorEastAsia"/>
          <w:color w:val="auto"/>
          <w:sz w:val="21"/>
          <w:szCs w:val="21"/>
          <w:u w:val="single"/>
          <w:lang w:val="en-US" w:eastAsia="zh-CN"/>
        </w:rPr>
        <w:t>政府采购云平台（网址：https://www.zcygov.cn/）及</w:t>
      </w:r>
      <w:r>
        <w:rPr>
          <w:rFonts w:hint="eastAsia" w:asciiTheme="minorEastAsia" w:hAnsiTheme="minorEastAsia" w:eastAsiaTheme="minorEastAsia" w:cstheme="minorEastAsia"/>
          <w:b w:val="0"/>
          <w:bCs w:val="0"/>
          <w:color w:val="auto"/>
          <w:sz w:val="21"/>
          <w:szCs w:val="21"/>
          <w:u w:val="single"/>
        </w:rPr>
        <w:t>南宁市公共资源交易平台（ggzy.nanning.gov.cn）的对应的政府采购公告处</w:t>
      </w:r>
      <w:r>
        <w:rPr>
          <w:rFonts w:hint="eastAsia" w:asciiTheme="minorEastAsia" w:hAnsiTheme="minorEastAsia" w:eastAsiaTheme="minorEastAsia" w:cstheme="minorEastAsia"/>
          <w:color w:val="auto"/>
          <w:sz w:val="21"/>
          <w:szCs w:val="21"/>
        </w:rPr>
        <w:t>获取采购文件，并于</w:t>
      </w:r>
      <w:r>
        <w:rPr>
          <w:rFonts w:hint="eastAsia" w:asciiTheme="minorEastAsia" w:hAnsiTheme="minorEastAsia" w:eastAsiaTheme="minorEastAsia" w:cstheme="minorEastAsia"/>
          <w:bCs/>
          <w:color w:val="auto"/>
          <w:sz w:val="21"/>
          <w:szCs w:val="21"/>
          <w:highlight w:val="none"/>
          <w:u w:val="single"/>
          <w:lang w:val="en-US" w:eastAsia="zh-CN"/>
        </w:rPr>
        <w:t>2021年6</w:t>
      </w:r>
      <w:r>
        <w:rPr>
          <w:rFonts w:hint="eastAsia" w:asciiTheme="minorEastAsia" w:hAnsiTheme="minorEastAsia" w:eastAsiaTheme="minorEastAsia" w:cstheme="minorEastAsia"/>
          <w:bCs/>
          <w:color w:val="auto"/>
          <w:sz w:val="21"/>
          <w:szCs w:val="21"/>
          <w:highlight w:val="none"/>
          <w:u w:val="single"/>
        </w:rPr>
        <w:t>月</w:t>
      </w:r>
      <w:r>
        <w:rPr>
          <w:rFonts w:hint="eastAsia" w:asciiTheme="minorEastAsia" w:hAnsiTheme="minorEastAsia" w:eastAsiaTheme="minorEastAsia" w:cstheme="minorEastAsia"/>
          <w:bCs/>
          <w:color w:val="auto"/>
          <w:sz w:val="21"/>
          <w:szCs w:val="21"/>
          <w:highlight w:val="none"/>
          <w:u w:val="single"/>
          <w:lang w:val="en-US" w:eastAsia="zh-CN"/>
        </w:rPr>
        <w:t>22</w:t>
      </w:r>
      <w:r>
        <w:rPr>
          <w:rFonts w:hint="eastAsia" w:asciiTheme="minorEastAsia" w:hAnsiTheme="minorEastAsia" w:eastAsiaTheme="minorEastAsia" w:cstheme="minorEastAsia"/>
          <w:bCs/>
          <w:color w:val="auto"/>
          <w:sz w:val="21"/>
          <w:szCs w:val="21"/>
          <w:highlight w:val="none"/>
          <w:u w:val="single"/>
        </w:rPr>
        <w:t>日</w:t>
      </w:r>
      <w:r>
        <w:rPr>
          <w:rFonts w:hint="eastAsia" w:asciiTheme="minorEastAsia" w:hAnsiTheme="minorEastAsia" w:eastAsiaTheme="minorEastAsia" w:cstheme="minorEastAsia"/>
          <w:bCs/>
          <w:color w:val="auto"/>
          <w:sz w:val="21"/>
          <w:szCs w:val="21"/>
          <w:highlight w:val="none"/>
          <w:u w:val="single"/>
          <w:lang w:val="en-US" w:eastAsia="zh-CN"/>
        </w:rPr>
        <w:t>10</w:t>
      </w:r>
      <w:r>
        <w:rPr>
          <w:rFonts w:hint="eastAsia" w:asciiTheme="minorEastAsia" w:hAnsiTheme="minorEastAsia" w:eastAsiaTheme="minorEastAsia" w:cstheme="minorEastAsia"/>
          <w:bCs/>
          <w:color w:val="auto"/>
          <w:sz w:val="21"/>
          <w:szCs w:val="21"/>
          <w:highlight w:val="none"/>
          <w:u w:val="single"/>
        </w:rPr>
        <w:t>点</w:t>
      </w:r>
      <w:r>
        <w:rPr>
          <w:rFonts w:hint="eastAsia" w:asciiTheme="minorEastAsia" w:hAnsiTheme="minorEastAsia" w:eastAsiaTheme="minorEastAsia" w:cstheme="minorEastAsia"/>
          <w:bCs/>
          <w:color w:val="auto"/>
          <w:sz w:val="21"/>
          <w:szCs w:val="21"/>
          <w:highlight w:val="none"/>
          <w:u w:val="single"/>
          <w:lang w:val="en-US" w:eastAsia="zh-CN"/>
        </w:rPr>
        <w:t>30</w:t>
      </w:r>
      <w:r>
        <w:rPr>
          <w:rFonts w:hint="eastAsia" w:asciiTheme="minorEastAsia" w:hAnsiTheme="minorEastAsia" w:eastAsiaTheme="minorEastAsia" w:cstheme="minorEastAsia"/>
          <w:bCs/>
          <w:color w:val="auto"/>
          <w:sz w:val="21"/>
          <w:szCs w:val="21"/>
          <w:highlight w:val="none"/>
          <w:u w:val="single"/>
        </w:rPr>
        <w:t>分</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rPr>
        <w:t>北京时间）前提交响应文件</w:t>
      </w:r>
      <w:r>
        <w:rPr>
          <w:rFonts w:hint="eastAsia" w:asciiTheme="minorEastAsia" w:hAnsiTheme="minorEastAsia" w:eastAsiaTheme="minorEastAsia" w:cstheme="minorEastAsia"/>
          <w:color w:val="auto"/>
          <w:sz w:val="21"/>
          <w:szCs w:val="21"/>
        </w:rPr>
        <w:t>。</w:t>
      </w:r>
    </w:p>
    <w:p>
      <w:pPr>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9"/>
        <w:rPr>
          <w:rFonts w:hint="eastAsia" w:asciiTheme="minorEastAsia" w:hAnsiTheme="minorEastAsia" w:eastAsiaTheme="minorEastAsia" w:cstheme="minorEastAsia"/>
          <w:b/>
          <w:bCs/>
          <w:color w:val="auto"/>
          <w:sz w:val="21"/>
          <w:szCs w:val="21"/>
        </w:rPr>
      </w:pPr>
      <w:bookmarkStart w:id="2" w:name="_Toc28359012"/>
      <w:bookmarkStart w:id="3" w:name="_Toc35393798"/>
      <w:bookmarkStart w:id="4" w:name="_Toc35393629"/>
      <w:bookmarkStart w:id="5" w:name="_Toc28359089"/>
      <w:r>
        <w:rPr>
          <w:rFonts w:hint="eastAsia" w:asciiTheme="minorEastAsia" w:hAnsiTheme="minorEastAsia" w:eastAsiaTheme="minorEastAsia" w:cstheme="minorEastAsia"/>
          <w:b/>
          <w:bCs/>
          <w:color w:val="auto"/>
          <w:sz w:val="21"/>
          <w:szCs w:val="21"/>
        </w:rPr>
        <w:t>一、项目基本情况</w:t>
      </w:r>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项目编号：</w:t>
      </w:r>
      <w:r>
        <w:rPr>
          <w:rFonts w:hint="eastAsia" w:asciiTheme="minorEastAsia" w:hAnsiTheme="minorEastAsia" w:eastAsiaTheme="minorEastAsia" w:cstheme="minorEastAsia"/>
          <w:color w:val="auto"/>
          <w:sz w:val="21"/>
          <w:szCs w:val="21"/>
          <w:lang w:eastAsia="zh-CN"/>
        </w:rPr>
        <w:t>LAZC2021-C3-00427-GXLJ</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rPr>
          <w:rFonts w:hint="eastAsia" w:asciiTheme="minorEastAsia" w:hAnsiTheme="minorEastAsia" w:eastAsiaTheme="minorEastAsia" w:cstheme="minorEastAsia"/>
          <w:color w:val="auto"/>
          <w:sz w:val="21"/>
          <w:szCs w:val="21"/>
          <w:u w:val="single"/>
          <w:lang w:eastAsia="zh-CN"/>
        </w:rPr>
      </w:pPr>
      <w:r>
        <w:rPr>
          <w:rFonts w:hint="eastAsia" w:asciiTheme="minorEastAsia" w:hAnsiTheme="minorEastAsia" w:eastAsiaTheme="minorEastAsia" w:cstheme="minorEastAsia"/>
          <w:color w:val="auto"/>
          <w:sz w:val="21"/>
          <w:szCs w:val="21"/>
        </w:rPr>
        <w:t>项目名称：</w:t>
      </w:r>
      <w:r>
        <w:rPr>
          <w:rFonts w:hint="eastAsia" w:asciiTheme="minorEastAsia" w:hAnsiTheme="minorEastAsia" w:eastAsiaTheme="minorEastAsia" w:cstheme="minorEastAsia"/>
          <w:color w:val="auto"/>
          <w:sz w:val="21"/>
          <w:szCs w:val="21"/>
          <w:lang w:eastAsia="zh-CN"/>
        </w:rPr>
        <w:t>隆安县农村千人以上集中式饮用水水源保护区划定技术服务</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采购方式：竞争性磋商 </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预算金额：</w:t>
      </w:r>
      <w:r>
        <w:rPr>
          <w:rFonts w:hint="eastAsia" w:asciiTheme="minorEastAsia" w:hAnsiTheme="minorEastAsia" w:eastAsiaTheme="minorEastAsia" w:cstheme="minorEastAsia"/>
          <w:color w:val="auto"/>
          <w:sz w:val="21"/>
          <w:szCs w:val="21"/>
          <w:lang w:val="en-US" w:eastAsia="zh-CN"/>
        </w:rPr>
        <w:t>1080000.00</w:t>
      </w:r>
      <w:r>
        <w:rPr>
          <w:rFonts w:hint="eastAsia" w:asciiTheme="minorEastAsia" w:hAnsiTheme="minorEastAsia" w:eastAsiaTheme="minorEastAsia" w:cstheme="minorEastAsia"/>
          <w:color w:val="auto"/>
          <w:sz w:val="21"/>
          <w:szCs w:val="21"/>
        </w:rPr>
        <w:t>元</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最高限价：</w:t>
      </w:r>
      <w:r>
        <w:rPr>
          <w:rFonts w:hint="eastAsia" w:asciiTheme="minorEastAsia" w:hAnsiTheme="minorEastAsia" w:eastAsiaTheme="minorEastAsia" w:cstheme="minorEastAsia"/>
          <w:color w:val="auto"/>
          <w:sz w:val="21"/>
          <w:szCs w:val="21"/>
          <w:lang w:val="en-US" w:eastAsia="zh-CN"/>
        </w:rPr>
        <w:t>1080000.00</w:t>
      </w:r>
      <w:r>
        <w:rPr>
          <w:rFonts w:hint="eastAsia" w:asciiTheme="minorEastAsia" w:hAnsiTheme="minorEastAsia" w:eastAsiaTheme="minorEastAsia" w:cstheme="minorEastAsia"/>
          <w:color w:val="auto"/>
          <w:sz w:val="21"/>
          <w:szCs w:val="21"/>
        </w:rPr>
        <w:t>元</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采购需求：</w:t>
      </w:r>
      <w:r>
        <w:rPr>
          <w:rFonts w:hint="eastAsia" w:asciiTheme="minorEastAsia" w:hAnsiTheme="minorEastAsia" w:eastAsiaTheme="minorEastAsia" w:cstheme="minorEastAsia"/>
          <w:color w:val="auto"/>
          <w:sz w:val="21"/>
          <w:szCs w:val="21"/>
          <w:lang w:val="en-US" w:eastAsia="zh-CN"/>
        </w:rPr>
        <w:t>详见竞争性磋商采购文件</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合同履行</w:t>
      </w:r>
      <w:r>
        <w:rPr>
          <w:rFonts w:hint="eastAsia" w:asciiTheme="minorEastAsia" w:hAnsiTheme="minorEastAsia" w:eastAsiaTheme="minorEastAsia" w:cstheme="minorEastAsia"/>
          <w:color w:val="auto"/>
          <w:sz w:val="21"/>
          <w:szCs w:val="21"/>
          <w:lang w:eastAsia="zh-CN"/>
        </w:rPr>
        <w:t>期</w:t>
      </w:r>
      <w:r>
        <w:rPr>
          <w:rFonts w:hint="eastAsia" w:asciiTheme="minorEastAsia" w:hAnsiTheme="minorEastAsia" w:eastAsiaTheme="minorEastAsia" w:cstheme="minorEastAsia"/>
          <w:color w:val="auto"/>
          <w:sz w:val="21"/>
          <w:szCs w:val="21"/>
          <w:lang w:val="en-US" w:eastAsia="zh-CN"/>
        </w:rPr>
        <w:t>限：合同签订之日起70天内提交服务成果。</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w:t>
      </w:r>
      <w:r>
        <w:rPr>
          <w:rFonts w:hint="eastAsia" w:asciiTheme="minorEastAsia" w:hAnsiTheme="minorEastAsia" w:eastAsiaTheme="minorEastAsia" w:cstheme="minorEastAsia"/>
          <w:color w:val="auto"/>
          <w:sz w:val="21"/>
          <w:szCs w:val="21"/>
          <w:lang w:val="en-US" w:eastAsia="zh-CN"/>
        </w:rPr>
        <w:t>不</w:t>
      </w:r>
      <w:r>
        <w:rPr>
          <w:rFonts w:hint="eastAsia" w:asciiTheme="minorEastAsia" w:hAnsiTheme="minorEastAsia" w:eastAsiaTheme="minorEastAsia" w:cstheme="minorEastAsia"/>
          <w:color w:val="auto"/>
          <w:sz w:val="21"/>
          <w:szCs w:val="21"/>
        </w:rPr>
        <w:t>接受联合体。</w:t>
      </w: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9"/>
        <w:rPr>
          <w:rFonts w:hint="eastAsia" w:asciiTheme="minorEastAsia" w:hAnsiTheme="minorEastAsia" w:eastAsiaTheme="minorEastAsia" w:cstheme="minorEastAsia"/>
          <w:b/>
          <w:bCs/>
          <w:i w:val="0"/>
          <w:iCs w:val="0"/>
          <w:color w:val="auto"/>
          <w:sz w:val="21"/>
          <w:szCs w:val="21"/>
        </w:rPr>
      </w:pPr>
      <w:bookmarkStart w:id="6" w:name="_Toc28359090"/>
      <w:bookmarkStart w:id="7" w:name="_Toc35393630"/>
      <w:bookmarkStart w:id="8" w:name="_Toc28359013"/>
      <w:bookmarkStart w:id="9" w:name="_Toc35393799"/>
      <w:r>
        <w:rPr>
          <w:rFonts w:hint="eastAsia" w:asciiTheme="minorEastAsia" w:hAnsiTheme="minorEastAsia" w:eastAsiaTheme="minorEastAsia" w:cstheme="minorEastAsia"/>
          <w:b/>
          <w:bCs/>
          <w:i w:val="0"/>
          <w:iCs w:val="0"/>
          <w:color w:val="auto"/>
          <w:sz w:val="21"/>
          <w:szCs w:val="21"/>
        </w:rPr>
        <w:t>二、申请人的资格要求：</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rPr>
          <w:rFonts w:hint="eastAsia" w:asciiTheme="minorEastAsia" w:hAnsiTheme="minorEastAsia" w:eastAsiaTheme="minorEastAsia" w:cstheme="minorEastAsia"/>
          <w:i w:val="0"/>
          <w:iCs w:val="0"/>
          <w:color w:val="auto"/>
          <w:sz w:val="21"/>
          <w:szCs w:val="21"/>
        </w:rPr>
      </w:pPr>
      <w:r>
        <w:rPr>
          <w:rFonts w:hint="eastAsia" w:asciiTheme="minorEastAsia" w:hAnsiTheme="minorEastAsia" w:eastAsiaTheme="minorEastAsia" w:cstheme="minorEastAsia"/>
          <w:i w:val="0"/>
          <w:iCs w:val="0"/>
          <w:color w:val="auto"/>
          <w:sz w:val="21"/>
          <w:szCs w:val="21"/>
        </w:rPr>
        <w:t>1</w:t>
      </w:r>
      <w:r>
        <w:rPr>
          <w:rFonts w:hint="eastAsia" w:asciiTheme="minorEastAsia" w:hAnsiTheme="minorEastAsia" w:eastAsiaTheme="minorEastAsia" w:cstheme="minorEastAsia"/>
          <w:i w:val="0"/>
          <w:iCs w:val="0"/>
          <w:color w:val="auto"/>
          <w:sz w:val="21"/>
          <w:szCs w:val="21"/>
          <w:lang w:eastAsia="zh-CN"/>
        </w:rPr>
        <w:t>、</w:t>
      </w:r>
      <w:r>
        <w:rPr>
          <w:rFonts w:hint="eastAsia" w:asciiTheme="minorEastAsia" w:hAnsiTheme="minorEastAsia" w:eastAsiaTheme="minorEastAsia" w:cstheme="minorEastAsia"/>
          <w:i w:val="0"/>
          <w:iCs w:val="0"/>
          <w:color w:val="auto"/>
          <w:sz w:val="21"/>
          <w:szCs w:val="21"/>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rPr>
          <w:rFonts w:hint="eastAsia" w:asciiTheme="minorEastAsia" w:hAnsiTheme="minorEastAsia" w:eastAsiaTheme="minorEastAsia" w:cstheme="minorEastAsia"/>
          <w:i w:val="0"/>
          <w:iCs w:val="0"/>
          <w:color w:val="auto"/>
          <w:sz w:val="21"/>
          <w:szCs w:val="21"/>
          <w:lang w:val="en-US" w:eastAsia="zh-CN"/>
        </w:rPr>
      </w:pPr>
      <w:bookmarkStart w:id="10" w:name="_Toc28359091"/>
      <w:bookmarkStart w:id="11" w:name="_Toc28359014"/>
      <w:r>
        <w:rPr>
          <w:rFonts w:hint="eastAsia" w:asciiTheme="minorEastAsia" w:hAnsiTheme="minorEastAsia" w:eastAsiaTheme="minorEastAsia" w:cstheme="minorEastAsia"/>
          <w:i w:val="0"/>
          <w:iCs w:val="0"/>
          <w:color w:val="auto"/>
          <w:sz w:val="21"/>
          <w:szCs w:val="21"/>
        </w:rPr>
        <w:t>2</w:t>
      </w:r>
      <w:r>
        <w:rPr>
          <w:rFonts w:hint="eastAsia" w:asciiTheme="minorEastAsia" w:hAnsiTheme="minorEastAsia" w:eastAsiaTheme="minorEastAsia" w:cstheme="minorEastAsia"/>
          <w:i w:val="0"/>
          <w:iCs w:val="0"/>
          <w:color w:val="auto"/>
          <w:sz w:val="21"/>
          <w:szCs w:val="21"/>
          <w:lang w:eastAsia="zh-CN"/>
        </w:rPr>
        <w:t>、</w:t>
      </w:r>
      <w:r>
        <w:rPr>
          <w:rFonts w:hint="eastAsia" w:asciiTheme="minorEastAsia" w:hAnsiTheme="minorEastAsia" w:eastAsiaTheme="minorEastAsia" w:cstheme="minorEastAsia"/>
          <w:i w:val="0"/>
          <w:iCs w:val="0"/>
          <w:color w:val="auto"/>
          <w:sz w:val="21"/>
          <w:szCs w:val="21"/>
        </w:rPr>
        <w:t>落实政府采购政策需满足的资格要求：</w:t>
      </w:r>
      <w:r>
        <w:rPr>
          <w:rFonts w:hint="eastAsia" w:asciiTheme="minorEastAsia" w:hAnsiTheme="minorEastAsia" w:eastAsiaTheme="minorEastAsia" w:cstheme="minorEastAsia"/>
          <w:i w:val="0"/>
          <w:iCs w:val="0"/>
          <w:color w:val="auto"/>
          <w:sz w:val="21"/>
          <w:szCs w:val="21"/>
          <w:lang w:val="en-US" w:eastAsia="zh-CN"/>
        </w:rPr>
        <w:t>无。</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rPr>
          <w:rFonts w:hint="eastAsia" w:asciiTheme="minorEastAsia" w:hAnsiTheme="minorEastAsia" w:eastAsiaTheme="minorEastAsia" w:cstheme="minorEastAsia"/>
          <w:i w:val="0"/>
          <w:iCs w:val="0"/>
          <w:color w:val="auto"/>
          <w:sz w:val="21"/>
          <w:szCs w:val="21"/>
        </w:rPr>
      </w:pPr>
      <w:r>
        <w:rPr>
          <w:rFonts w:hint="eastAsia" w:asciiTheme="minorEastAsia" w:hAnsiTheme="minorEastAsia" w:eastAsiaTheme="minorEastAsia" w:cstheme="minorEastAsia"/>
          <w:i w:val="0"/>
          <w:iCs w:val="0"/>
          <w:color w:val="auto"/>
          <w:sz w:val="21"/>
          <w:szCs w:val="21"/>
        </w:rPr>
        <w:t>3</w:t>
      </w:r>
      <w:r>
        <w:rPr>
          <w:rFonts w:hint="eastAsia" w:asciiTheme="minorEastAsia" w:hAnsiTheme="minorEastAsia" w:eastAsiaTheme="minorEastAsia" w:cstheme="minorEastAsia"/>
          <w:i w:val="0"/>
          <w:iCs w:val="0"/>
          <w:color w:val="auto"/>
          <w:sz w:val="21"/>
          <w:szCs w:val="21"/>
          <w:lang w:eastAsia="zh-CN"/>
        </w:rPr>
        <w:t>、</w:t>
      </w:r>
      <w:r>
        <w:rPr>
          <w:rFonts w:hint="eastAsia" w:asciiTheme="minorEastAsia" w:hAnsiTheme="minorEastAsia" w:eastAsiaTheme="minorEastAsia" w:cstheme="minorEastAsia"/>
          <w:i w:val="0"/>
          <w:iCs w:val="0"/>
          <w:color w:val="auto"/>
          <w:sz w:val="21"/>
          <w:szCs w:val="21"/>
        </w:rPr>
        <w:t>本项目的特定资格要求：</w:t>
      </w:r>
      <w:bookmarkStart w:id="12" w:name="_Toc35393631"/>
      <w:bookmarkStart w:id="13" w:name="_Toc35393800"/>
    </w:p>
    <w:p>
      <w:pPr>
        <w:keepNext w:val="0"/>
        <w:keepLines w:val="0"/>
        <w:pageBreakBefore w:val="0"/>
        <w:widowControl w:val="0"/>
        <w:kinsoku/>
        <w:wordWrap/>
        <w:overflowPunct/>
        <w:topLinePunct w:val="0"/>
        <w:autoSpaceDE/>
        <w:autoSpaceDN/>
        <w:bidi w:val="0"/>
        <w:adjustRightInd/>
        <w:snapToGrid/>
        <w:spacing w:line="410" w:lineRule="exact"/>
        <w:ind w:firstLine="630" w:firstLineChars="300"/>
        <w:textAlignment w:val="auto"/>
        <w:rPr>
          <w:rFonts w:hint="eastAsia" w:asciiTheme="minorEastAsia" w:hAnsiTheme="minorEastAsia" w:eastAsiaTheme="minorEastAsia" w:cstheme="minorEastAsia"/>
          <w:i w:val="0"/>
          <w:iCs w:val="0"/>
          <w:color w:val="auto"/>
          <w:sz w:val="21"/>
          <w:szCs w:val="21"/>
        </w:rPr>
      </w:pPr>
      <w:r>
        <w:rPr>
          <w:rFonts w:hint="eastAsia" w:asciiTheme="minorEastAsia" w:hAnsiTheme="minorEastAsia" w:eastAsiaTheme="minorEastAsia" w:cstheme="minorEastAsia"/>
          <w:i w:val="0"/>
          <w:iCs w:val="0"/>
          <w:color w:val="auto"/>
          <w:sz w:val="21"/>
          <w:szCs w:val="21"/>
          <w:lang w:val="en-US" w:eastAsia="zh-CN"/>
        </w:rPr>
        <w:t>（1）国内注册（指按国家有关规定要求注册的）具有独立法人资格，具有环境影响评价或饮用水水源保护区划定方案的编制或技术服务等经营范围，并在人员、设备、资金等方面能提供相应服务的供应商；</w:t>
      </w:r>
    </w:p>
    <w:p>
      <w:pPr>
        <w:keepNext w:val="0"/>
        <w:keepLines w:val="0"/>
        <w:pageBreakBefore w:val="0"/>
        <w:widowControl w:val="0"/>
        <w:kinsoku/>
        <w:wordWrap/>
        <w:overflowPunct/>
        <w:topLinePunct w:val="0"/>
        <w:autoSpaceDE/>
        <w:autoSpaceDN/>
        <w:bidi w:val="0"/>
        <w:adjustRightInd/>
        <w:snapToGrid/>
        <w:spacing w:line="410" w:lineRule="exact"/>
        <w:ind w:firstLine="630" w:firstLineChars="300"/>
        <w:textAlignment w:val="auto"/>
        <w:rPr>
          <w:rFonts w:hint="eastAsia" w:asciiTheme="minorEastAsia" w:hAnsiTheme="minorEastAsia" w:eastAsiaTheme="minorEastAsia" w:cstheme="minorEastAsia"/>
          <w:i w:val="0"/>
          <w:iCs w:val="0"/>
          <w:color w:val="auto"/>
          <w:sz w:val="21"/>
          <w:szCs w:val="21"/>
          <w:lang w:eastAsia="zh-CN"/>
        </w:rPr>
      </w:pPr>
      <w:r>
        <w:rPr>
          <w:rFonts w:hint="eastAsia" w:asciiTheme="minorEastAsia" w:hAnsiTheme="minorEastAsia" w:eastAsiaTheme="minorEastAsia" w:cstheme="minorEastAsia"/>
          <w:i w:val="0"/>
          <w:iCs w:val="0"/>
          <w:color w:val="auto"/>
          <w:sz w:val="21"/>
          <w:szCs w:val="21"/>
          <w:lang w:eastAsia="zh-CN"/>
        </w:rPr>
        <w:t>（</w:t>
      </w:r>
      <w:r>
        <w:rPr>
          <w:rFonts w:hint="eastAsia" w:asciiTheme="minorEastAsia" w:hAnsiTheme="minorEastAsia" w:eastAsiaTheme="minorEastAsia" w:cstheme="minorEastAsia"/>
          <w:i w:val="0"/>
          <w:iCs w:val="0"/>
          <w:color w:val="auto"/>
          <w:sz w:val="21"/>
          <w:szCs w:val="21"/>
          <w:lang w:val="en-US" w:eastAsia="zh-CN"/>
        </w:rPr>
        <w:t>2</w:t>
      </w:r>
      <w:r>
        <w:rPr>
          <w:rFonts w:hint="eastAsia" w:asciiTheme="minorEastAsia" w:hAnsiTheme="minorEastAsia" w:eastAsiaTheme="minorEastAsia" w:cstheme="minorEastAsia"/>
          <w:i w:val="0"/>
          <w:iCs w:val="0"/>
          <w:color w:val="auto"/>
          <w:sz w:val="21"/>
          <w:szCs w:val="21"/>
          <w:lang w:eastAsia="zh-CN"/>
        </w:rPr>
        <w:t>）</w:t>
      </w:r>
      <w:r>
        <w:rPr>
          <w:rFonts w:hint="eastAsia" w:asciiTheme="minorEastAsia" w:hAnsiTheme="minorEastAsia" w:eastAsiaTheme="minorEastAsia" w:cstheme="minorEastAsia"/>
          <w:i w:val="0"/>
          <w:iCs w:val="0"/>
          <w:color w:val="auto"/>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Theme="minorEastAsia" w:hAnsiTheme="minorEastAsia" w:eastAsiaTheme="minorEastAsia" w:cstheme="minorEastAsia"/>
          <w:i w:val="0"/>
          <w:i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10" w:lineRule="exact"/>
        <w:ind w:firstLine="630" w:firstLineChars="30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i w:val="0"/>
          <w:iCs w:val="0"/>
          <w:color w:val="auto"/>
          <w:sz w:val="21"/>
          <w:szCs w:val="21"/>
          <w:lang w:eastAsia="zh-CN"/>
        </w:rPr>
        <w:t>（</w:t>
      </w:r>
      <w:r>
        <w:rPr>
          <w:rFonts w:hint="eastAsia" w:asciiTheme="minorEastAsia" w:hAnsiTheme="minorEastAsia" w:eastAsiaTheme="minorEastAsia" w:cstheme="minorEastAsia"/>
          <w:i w:val="0"/>
          <w:iCs w:val="0"/>
          <w:color w:val="auto"/>
          <w:sz w:val="21"/>
          <w:szCs w:val="21"/>
          <w:lang w:val="en-US" w:eastAsia="zh-CN"/>
        </w:rPr>
        <w:t>3</w:t>
      </w:r>
      <w:r>
        <w:rPr>
          <w:rFonts w:hint="eastAsia" w:asciiTheme="minorEastAsia" w:hAnsiTheme="minorEastAsia" w:eastAsiaTheme="minorEastAsia" w:cstheme="minorEastAsia"/>
          <w:i w:val="0"/>
          <w:iCs w:val="0"/>
          <w:color w:val="auto"/>
          <w:sz w:val="21"/>
          <w:szCs w:val="21"/>
          <w:lang w:eastAsia="zh-CN"/>
        </w:rPr>
        <w:t>）</w:t>
      </w:r>
      <w:r>
        <w:rPr>
          <w:rFonts w:hint="eastAsia" w:asciiTheme="minorEastAsia" w:hAnsiTheme="minorEastAsia" w:eastAsiaTheme="minorEastAsia" w:cstheme="minorEastAsia"/>
          <w:i w:val="0"/>
          <w:iCs w:val="0"/>
          <w:color w:val="auto"/>
          <w:sz w:val="21"/>
          <w:szCs w:val="21"/>
        </w:rPr>
        <w:t>未被“信用中国”网站（www.creditchina.gov.cn）及中国政府采购网（www.ccgp.gov.cn）等渠道列入失信被执行人、重大税收违法案件当事人名单、政府采购严重违法失信行为记录名单。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三、获取采购文件</w:t>
      </w:r>
      <w:bookmarkEnd w:id="10"/>
      <w:bookmarkEnd w:id="11"/>
      <w:bookmarkEnd w:id="12"/>
      <w:bookmarkEnd w:id="13"/>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eastAsia" w:asciiTheme="minorEastAsia" w:hAnsiTheme="minorEastAsia" w:eastAsiaTheme="minorEastAsia" w:cstheme="minorEastAsia"/>
          <w:i w:val="0"/>
          <w:iCs w:val="0"/>
          <w:color w:val="FF0000"/>
          <w:sz w:val="21"/>
          <w:szCs w:val="21"/>
          <w:highlight w:val="yellow"/>
          <w:lang w:eastAsia="zh-CN"/>
        </w:rPr>
      </w:pPr>
      <w:r>
        <w:rPr>
          <w:rFonts w:hint="eastAsia" w:asciiTheme="minorEastAsia" w:hAnsiTheme="minorEastAsia" w:eastAsiaTheme="minorEastAsia" w:cstheme="minorEastAsia"/>
          <w:i w:val="0"/>
          <w:iCs w:val="0"/>
          <w:color w:val="auto"/>
          <w:sz w:val="21"/>
          <w:szCs w:val="21"/>
        </w:rPr>
        <w:t>本项目公告时间：</w:t>
      </w:r>
      <w:r>
        <w:rPr>
          <w:rFonts w:hint="eastAsia" w:asciiTheme="minorEastAsia" w:hAnsiTheme="minorEastAsia" w:eastAsiaTheme="minorEastAsia" w:cstheme="minorEastAsia"/>
          <w:b/>
          <w:bCs/>
          <w:i w:val="0"/>
          <w:iCs w:val="0"/>
          <w:color w:val="auto"/>
          <w:sz w:val="21"/>
          <w:szCs w:val="21"/>
          <w:highlight w:val="none"/>
          <w:lang w:eastAsia="zh-CN"/>
        </w:rPr>
        <w:t>2021年</w:t>
      </w:r>
      <w:r>
        <w:rPr>
          <w:rFonts w:hint="eastAsia" w:asciiTheme="minorEastAsia" w:hAnsiTheme="minorEastAsia" w:eastAsiaTheme="minorEastAsia" w:cstheme="minorEastAsia"/>
          <w:b/>
          <w:bCs/>
          <w:i w:val="0"/>
          <w:iCs w:val="0"/>
          <w:color w:val="auto"/>
          <w:sz w:val="21"/>
          <w:szCs w:val="21"/>
          <w:highlight w:val="none"/>
          <w:lang w:val="en-US" w:eastAsia="zh-CN"/>
        </w:rPr>
        <w:t>06</w:t>
      </w:r>
      <w:r>
        <w:rPr>
          <w:rFonts w:hint="eastAsia" w:asciiTheme="minorEastAsia" w:hAnsiTheme="minorEastAsia" w:eastAsiaTheme="minorEastAsia" w:cstheme="minorEastAsia"/>
          <w:b/>
          <w:bCs/>
          <w:i w:val="0"/>
          <w:iCs w:val="0"/>
          <w:color w:val="auto"/>
          <w:sz w:val="21"/>
          <w:szCs w:val="21"/>
          <w:highlight w:val="none"/>
        </w:rPr>
        <w:t>月</w:t>
      </w:r>
      <w:r>
        <w:rPr>
          <w:rFonts w:hint="eastAsia" w:asciiTheme="minorEastAsia" w:hAnsiTheme="minorEastAsia" w:eastAsiaTheme="minorEastAsia" w:cstheme="minorEastAsia"/>
          <w:b/>
          <w:bCs/>
          <w:i w:val="0"/>
          <w:iCs w:val="0"/>
          <w:color w:val="auto"/>
          <w:sz w:val="21"/>
          <w:szCs w:val="21"/>
          <w:highlight w:val="none"/>
          <w:lang w:val="en-US" w:eastAsia="zh-CN"/>
        </w:rPr>
        <w:t>10</w:t>
      </w:r>
      <w:r>
        <w:rPr>
          <w:rFonts w:hint="eastAsia" w:asciiTheme="minorEastAsia" w:hAnsiTheme="minorEastAsia" w:eastAsiaTheme="minorEastAsia" w:cstheme="minorEastAsia"/>
          <w:b/>
          <w:bCs/>
          <w:i w:val="0"/>
          <w:iCs w:val="0"/>
          <w:color w:val="auto"/>
          <w:sz w:val="21"/>
          <w:szCs w:val="21"/>
          <w:highlight w:val="none"/>
        </w:rPr>
        <w:t xml:space="preserve">日至 </w:t>
      </w:r>
      <w:r>
        <w:rPr>
          <w:rFonts w:hint="eastAsia" w:asciiTheme="minorEastAsia" w:hAnsiTheme="minorEastAsia" w:eastAsiaTheme="minorEastAsia" w:cstheme="minorEastAsia"/>
          <w:b/>
          <w:bCs/>
          <w:i w:val="0"/>
          <w:iCs w:val="0"/>
          <w:color w:val="auto"/>
          <w:sz w:val="21"/>
          <w:szCs w:val="21"/>
          <w:highlight w:val="none"/>
          <w:lang w:eastAsia="zh-CN"/>
        </w:rPr>
        <w:t>2021年</w:t>
      </w:r>
      <w:r>
        <w:rPr>
          <w:rFonts w:hint="eastAsia" w:asciiTheme="minorEastAsia" w:hAnsiTheme="minorEastAsia" w:eastAsiaTheme="minorEastAsia" w:cstheme="minorEastAsia"/>
          <w:b/>
          <w:bCs/>
          <w:i w:val="0"/>
          <w:iCs w:val="0"/>
          <w:color w:val="auto"/>
          <w:sz w:val="21"/>
          <w:szCs w:val="21"/>
          <w:highlight w:val="none"/>
          <w:lang w:val="en-US" w:eastAsia="zh-CN"/>
        </w:rPr>
        <w:t>06</w:t>
      </w:r>
      <w:r>
        <w:rPr>
          <w:rFonts w:hint="eastAsia" w:asciiTheme="minorEastAsia" w:hAnsiTheme="minorEastAsia" w:eastAsiaTheme="minorEastAsia" w:cstheme="minorEastAsia"/>
          <w:b/>
          <w:bCs/>
          <w:i w:val="0"/>
          <w:iCs w:val="0"/>
          <w:color w:val="auto"/>
          <w:sz w:val="21"/>
          <w:szCs w:val="21"/>
          <w:highlight w:val="none"/>
        </w:rPr>
        <w:t>月</w:t>
      </w:r>
      <w:r>
        <w:rPr>
          <w:rFonts w:hint="eastAsia" w:asciiTheme="minorEastAsia" w:hAnsiTheme="minorEastAsia" w:eastAsiaTheme="minorEastAsia" w:cstheme="minorEastAsia"/>
          <w:b/>
          <w:bCs/>
          <w:i w:val="0"/>
          <w:iCs w:val="0"/>
          <w:color w:val="auto"/>
          <w:sz w:val="21"/>
          <w:szCs w:val="21"/>
          <w:highlight w:val="none"/>
          <w:lang w:val="en-US" w:eastAsia="zh-CN"/>
        </w:rPr>
        <w:t>17</w:t>
      </w:r>
      <w:r>
        <w:rPr>
          <w:rFonts w:hint="eastAsia" w:asciiTheme="minorEastAsia" w:hAnsiTheme="minorEastAsia" w:eastAsiaTheme="minorEastAsia" w:cstheme="minorEastAsia"/>
          <w:b/>
          <w:bCs/>
          <w:i w:val="0"/>
          <w:iCs w:val="0"/>
          <w:color w:val="auto"/>
          <w:sz w:val="21"/>
          <w:szCs w:val="21"/>
          <w:highlight w:val="none"/>
        </w:rPr>
        <w:t>日；</w:t>
      </w:r>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eastAsia" w:asciiTheme="minorEastAsia" w:hAnsiTheme="minorEastAsia" w:eastAsiaTheme="minorEastAsia" w:cstheme="minorEastAsia"/>
          <w:i w:val="0"/>
          <w:iCs w:val="0"/>
          <w:color w:val="auto"/>
          <w:sz w:val="21"/>
          <w:szCs w:val="21"/>
          <w:u w:val="single"/>
          <w:lang w:val="en-US" w:eastAsia="zh-CN"/>
        </w:rPr>
      </w:pPr>
      <w:r>
        <w:rPr>
          <w:rFonts w:hint="eastAsia" w:asciiTheme="minorEastAsia" w:hAnsiTheme="minorEastAsia" w:eastAsiaTheme="minorEastAsia" w:cstheme="minorEastAsia"/>
          <w:i w:val="0"/>
          <w:iCs w:val="0"/>
          <w:color w:val="auto"/>
          <w:sz w:val="21"/>
          <w:szCs w:val="21"/>
        </w:rPr>
        <w:t>地点：本项目不发放纸质文件</w:t>
      </w:r>
      <w:r>
        <w:rPr>
          <w:rFonts w:hint="eastAsia" w:asciiTheme="minorEastAsia" w:hAnsiTheme="minorEastAsia" w:eastAsiaTheme="minorEastAsia" w:cstheme="minorEastAsia"/>
          <w:i w:val="0"/>
          <w:iCs w:val="0"/>
          <w:color w:val="auto"/>
          <w:sz w:val="21"/>
          <w:szCs w:val="21"/>
          <w:lang w:eastAsia="zh-CN"/>
        </w:rPr>
        <w:t>。</w:t>
      </w:r>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eastAsia" w:asciiTheme="minorEastAsia" w:hAnsiTheme="minorEastAsia" w:eastAsiaTheme="minorEastAsia" w:cstheme="minorEastAsia"/>
          <w:i w:val="0"/>
          <w:iCs w:val="0"/>
          <w:color w:val="auto"/>
          <w:sz w:val="21"/>
          <w:szCs w:val="21"/>
          <w:u w:val="single"/>
          <w:lang w:eastAsia="zh-CN"/>
        </w:rPr>
      </w:pPr>
      <w:r>
        <w:rPr>
          <w:rFonts w:hint="eastAsia" w:asciiTheme="minorEastAsia" w:hAnsiTheme="minorEastAsia" w:eastAsiaTheme="minorEastAsia" w:cstheme="minorEastAsia"/>
          <w:i w:val="0"/>
          <w:iCs w:val="0"/>
          <w:color w:val="auto"/>
          <w:sz w:val="21"/>
          <w:szCs w:val="21"/>
        </w:rPr>
        <w:t>方式：</w:t>
      </w:r>
      <w:r>
        <w:rPr>
          <w:rFonts w:hint="eastAsia" w:asciiTheme="minorEastAsia" w:hAnsiTheme="minorEastAsia" w:eastAsiaTheme="minorEastAsia" w:cstheme="minorEastAsia"/>
          <w:i w:val="0"/>
          <w:iCs w:val="0"/>
          <w:color w:val="auto"/>
          <w:sz w:val="21"/>
          <w:szCs w:val="21"/>
          <w:u w:val="single"/>
          <w:lang w:val="en-US" w:eastAsia="zh-CN"/>
        </w:rPr>
        <w:t>政府采购云平台（网址：https://www.zcygov.cn/）及</w:t>
      </w:r>
      <w:r>
        <w:rPr>
          <w:rFonts w:hint="eastAsia" w:asciiTheme="minorEastAsia" w:hAnsiTheme="minorEastAsia" w:eastAsiaTheme="minorEastAsia" w:cstheme="minorEastAsia"/>
          <w:i w:val="0"/>
          <w:iCs w:val="0"/>
          <w:color w:val="auto"/>
          <w:sz w:val="21"/>
          <w:szCs w:val="21"/>
          <w:u w:val="single"/>
        </w:rPr>
        <w:t>南宁市公共资源交易平台（ggzy.nanning.gov.cn）的对应的政府采购公告处获取采购文件</w:t>
      </w:r>
      <w:r>
        <w:rPr>
          <w:rFonts w:hint="eastAsia" w:asciiTheme="minorEastAsia" w:hAnsiTheme="minorEastAsia" w:eastAsiaTheme="minorEastAsia" w:cstheme="minorEastAsia"/>
          <w:i w:val="0"/>
          <w:iCs w:val="0"/>
          <w:color w:val="auto"/>
          <w:sz w:val="21"/>
          <w:szCs w:val="21"/>
          <w:u w:val="single"/>
          <w:lang w:eastAsia="zh-CN"/>
        </w:rPr>
        <w:t>。</w:t>
      </w:r>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default" w:asciiTheme="minorEastAsia" w:hAnsiTheme="minorEastAsia" w:eastAsiaTheme="minorEastAsia" w:cstheme="minorEastAsia"/>
          <w:i w:val="0"/>
          <w:iCs w:val="0"/>
          <w:color w:val="auto"/>
          <w:sz w:val="21"/>
          <w:szCs w:val="21"/>
          <w:lang w:val="en-US" w:eastAsia="zh-CN"/>
        </w:rPr>
      </w:pPr>
      <w:bookmarkStart w:id="14" w:name="_Toc35393632"/>
      <w:bookmarkStart w:id="15" w:name="_Toc35393801"/>
      <w:bookmarkStart w:id="16" w:name="_Toc28359092"/>
      <w:bookmarkStart w:id="17" w:name="_Toc28359015"/>
      <w:r>
        <w:rPr>
          <w:rFonts w:hint="eastAsia" w:asciiTheme="minorEastAsia" w:hAnsiTheme="minorEastAsia" w:eastAsiaTheme="minorEastAsia" w:cstheme="minorEastAsia"/>
          <w:i w:val="0"/>
          <w:iCs w:val="0"/>
          <w:color w:val="auto"/>
          <w:sz w:val="21"/>
          <w:szCs w:val="21"/>
          <w:lang w:val="en-US" w:eastAsia="zh-CN"/>
        </w:rPr>
        <w:t>售价：0元</w:t>
      </w:r>
    </w:p>
    <w:p>
      <w:pPr>
        <w:keepNext w:val="0"/>
        <w:keepLines w:val="0"/>
        <w:pageBreakBefore w:val="0"/>
        <w:widowControl/>
        <w:kinsoku/>
        <w:wordWrap/>
        <w:overflowPunct/>
        <w:topLinePunct w:val="0"/>
        <w:autoSpaceDE/>
        <w:autoSpaceDN/>
        <w:bidi w:val="0"/>
        <w:adjustRightInd/>
        <w:snapToGrid/>
        <w:spacing w:line="410" w:lineRule="exact"/>
        <w:jc w:val="left"/>
        <w:textAlignment w:val="auto"/>
        <w:rPr>
          <w:rFonts w:hint="eastAsia" w:asciiTheme="minorEastAsia" w:hAnsiTheme="minorEastAsia" w:eastAsiaTheme="minorEastAsia" w:cstheme="minorEastAsia"/>
          <w:b/>
          <w:bCs/>
          <w:i w:val="0"/>
          <w:iCs w:val="0"/>
          <w:color w:val="auto"/>
          <w:sz w:val="21"/>
          <w:szCs w:val="21"/>
        </w:rPr>
      </w:pPr>
      <w:r>
        <w:rPr>
          <w:rFonts w:hint="eastAsia" w:asciiTheme="minorEastAsia" w:hAnsiTheme="minorEastAsia" w:eastAsiaTheme="minorEastAsia" w:cstheme="minorEastAsia"/>
          <w:b/>
          <w:bCs/>
          <w:i w:val="0"/>
          <w:iCs w:val="0"/>
          <w:color w:val="auto"/>
          <w:sz w:val="21"/>
          <w:szCs w:val="21"/>
          <w:lang w:val="en-US" w:eastAsia="zh-CN"/>
        </w:rPr>
        <w:t>四</w:t>
      </w:r>
      <w:r>
        <w:rPr>
          <w:rFonts w:hint="eastAsia" w:asciiTheme="minorEastAsia" w:hAnsiTheme="minorEastAsia" w:eastAsiaTheme="minorEastAsia" w:cstheme="minorEastAsia"/>
          <w:b/>
          <w:bCs/>
          <w:i w:val="0"/>
          <w:iCs w:val="0"/>
          <w:color w:val="auto"/>
          <w:sz w:val="21"/>
          <w:szCs w:val="21"/>
        </w:rPr>
        <w:t>、</w:t>
      </w:r>
      <w:bookmarkEnd w:id="14"/>
      <w:bookmarkEnd w:id="15"/>
      <w:bookmarkEnd w:id="16"/>
      <w:bookmarkEnd w:id="17"/>
      <w:r>
        <w:rPr>
          <w:rFonts w:hint="eastAsia" w:ascii="新宋体" w:hAnsi="新宋体" w:eastAsia="新宋体" w:cs="新宋体"/>
          <w:b/>
          <w:color w:val="auto"/>
          <w:kern w:val="0"/>
          <w:szCs w:val="21"/>
          <w:highlight w:val="none"/>
        </w:rPr>
        <w:t>响应文件递交</w:t>
      </w:r>
      <w:r>
        <w:rPr>
          <w:rFonts w:hint="eastAsia" w:ascii="新宋体" w:hAnsi="新宋体" w:eastAsia="新宋体" w:cs="新宋体"/>
          <w:b/>
          <w:color w:val="auto"/>
          <w:kern w:val="0"/>
          <w:szCs w:val="21"/>
          <w:highlight w:val="none"/>
          <w:lang w:val="en-US" w:eastAsia="zh-CN"/>
        </w:rPr>
        <w:t>时间和地点</w:t>
      </w:r>
      <w:r>
        <w:rPr>
          <w:rFonts w:hint="eastAsia" w:ascii="新宋体" w:hAnsi="新宋体" w:eastAsia="新宋体" w:cs="新宋体"/>
          <w:b/>
          <w:color w:val="auto"/>
          <w:kern w:val="0"/>
          <w:szCs w:val="21"/>
          <w:highlight w:val="none"/>
        </w:rPr>
        <w:t>及磋商截止时间和地点：</w:t>
      </w:r>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eastAsia" w:asciiTheme="minorEastAsia" w:hAnsiTheme="minorEastAsia" w:eastAsiaTheme="minorEastAsia" w:cstheme="minorEastAsia"/>
          <w:b/>
          <w:bCs/>
          <w:i w:val="0"/>
          <w:iCs w:val="0"/>
          <w:color w:val="auto"/>
          <w:sz w:val="21"/>
          <w:szCs w:val="21"/>
          <w:highlight w:val="none"/>
          <w:u w:val="single"/>
          <w:lang w:val="en-US" w:eastAsia="zh-CN"/>
        </w:rPr>
      </w:pPr>
      <w:r>
        <w:rPr>
          <w:rFonts w:hint="eastAsia" w:asciiTheme="minorEastAsia" w:hAnsiTheme="minorEastAsia" w:eastAsiaTheme="minorEastAsia" w:cstheme="minorEastAsia"/>
          <w:b/>
          <w:bCs/>
          <w:i w:val="0"/>
          <w:iCs w:val="0"/>
          <w:color w:val="auto"/>
          <w:sz w:val="21"/>
          <w:szCs w:val="21"/>
          <w:highlight w:val="none"/>
          <w:u w:val="none"/>
          <w:lang w:val="en-US" w:eastAsia="zh-CN"/>
        </w:rPr>
        <w:t>截止时间：</w:t>
      </w:r>
      <w:r>
        <w:rPr>
          <w:rFonts w:hint="eastAsia" w:asciiTheme="minorEastAsia" w:hAnsiTheme="minorEastAsia" w:eastAsiaTheme="minorEastAsia" w:cstheme="minorEastAsia"/>
          <w:b/>
          <w:bCs/>
          <w:i w:val="0"/>
          <w:iCs w:val="0"/>
          <w:color w:val="auto"/>
          <w:sz w:val="21"/>
          <w:szCs w:val="21"/>
          <w:highlight w:val="none"/>
          <w:u w:val="single"/>
          <w:lang w:val="en-US" w:eastAsia="zh-CN"/>
        </w:rPr>
        <w:t>2021年06月22日10点30分</w:t>
      </w:r>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eastAsia" w:asciiTheme="minorEastAsia" w:hAnsiTheme="minorEastAsia" w:eastAsiaTheme="minorEastAsia" w:cstheme="minorEastAsia"/>
          <w:i w:val="0"/>
          <w:iCs w:val="0"/>
          <w:color w:val="auto"/>
          <w:sz w:val="21"/>
          <w:szCs w:val="21"/>
          <w:highlight w:val="none"/>
          <w:u w:val="none"/>
          <w:lang w:val="en-US" w:eastAsia="zh-CN"/>
        </w:rPr>
      </w:pPr>
      <w:r>
        <w:rPr>
          <w:rFonts w:hint="eastAsia" w:asciiTheme="minorEastAsia" w:hAnsiTheme="minorEastAsia" w:eastAsiaTheme="minorEastAsia" w:cstheme="minorEastAsia"/>
          <w:i w:val="0"/>
          <w:iCs w:val="0"/>
          <w:color w:val="auto"/>
          <w:sz w:val="21"/>
          <w:szCs w:val="21"/>
          <w:highlight w:val="none"/>
          <w:u w:val="none"/>
          <w:lang w:val="en-US" w:eastAsia="zh-CN"/>
        </w:rPr>
        <w:t>地点：隆安县公共资源交易中心（隆安县城厢镇城南路14号）（具体详见1楼电子显示屏安排）。</w:t>
      </w:r>
    </w:p>
    <w:p>
      <w:pPr>
        <w:keepNext w:val="0"/>
        <w:keepLines w:val="0"/>
        <w:pageBreakBefore w:val="0"/>
        <w:kinsoku/>
        <w:wordWrap/>
        <w:overflowPunct/>
        <w:topLinePunct w:val="0"/>
        <w:autoSpaceDE/>
        <w:autoSpaceDN/>
        <w:bidi w:val="0"/>
        <w:adjustRightInd/>
        <w:snapToGrid/>
        <w:spacing w:line="410" w:lineRule="exact"/>
        <w:textAlignment w:val="auto"/>
        <w:rPr>
          <w:rFonts w:hint="eastAsia" w:asciiTheme="minorEastAsia" w:hAnsiTheme="minorEastAsia" w:eastAsiaTheme="minorEastAsia" w:cstheme="minorEastAsia"/>
          <w:b/>
          <w:bCs/>
          <w:i w:val="0"/>
          <w:iCs w:val="0"/>
          <w:color w:val="auto"/>
          <w:sz w:val="21"/>
          <w:szCs w:val="21"/>
          <w:highlight w:val="none"/>
          <w:u w:val="none"/>
          <w:lang w:val="en-US" w:eastAsia="zh-CN"/>
        </w:rPr>
      </w:pPr>
      <w:bookmarkStart w:id="18" w:name="_Toc28359093"/>
      <w:bookmarkStart w:id="19" w:name="_Toc35393633"/>
      <w:bookmarkStart w:id="20" w:name="_Toc35393802"/>
      <w:bookmarkStart w:id="21" w:name="_Toc28359016"/>
      <w:r>
        <w:rPr>
          <w:rFonts w:hint="eastAsia" w:asciiTheme="minorEastAsia" w:hAnsiTheme="minorEastAsia" w:eastAsiaTheme="minorEastAsia" w:cstheme="minorEastAsia"/>
          <w:b/>
          <w:bCs/>
          <w:i w:val="0"/>
          <w:iCs w:val="0"/>
          <w:color w:val="auto"/>
          <w:sz w:val="21"/>
          <w:szCs w:val="21"/>
          <w:highlight w:val="none"/>
          <w:u w:val="none"/>
          <w:lang w:val="en-US" w:eastAsia="zh-CN"/>
        </w:rPr>
        <w:t>五、开启</w:t>
      </w:r>
      <w:bookmarkEnd w:id="18"/>
      <w:bookmarkEnd w:id="19"/>
      <w:bookmarkEnd w:id="20"/>
      <w:bookmarkEnd w:id="21"/>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eastAsia" w:asciiTheme="minorEastAsia" w:hAnsiTheme="minorEastAsia" w:eastAsiaTheme="minorEastAsia" w:cstheme="minorEastAsia"/>
          <w:b/>
          <w:bCs/>
          <w:i w:val="0"/>
          <w:iCs w:val="0"/>
          <w:color w:val="auto"/>
          <w:sz w:val="21"/>
          <w:szCs w:val="21"/>
          <w:highlight w:val="none"/>
          <w:u w:val="none"/>
          <w:lang w:val="en-US" w:eastAsia="zh-CN"/>
        </w:rPr>
      </w:pPr>
      <w:r>
        <w:rPr>
          <w:rFonts w:hint="eastAsia" w:asciiTheme="minorEastAsia" w:hAnsiTheme="minorEastAsia" w:eastAsiaTheme="minorEastAsia" w:cstheme="minorEastAsia"/>
          <w:b/>
          <w:bCs/>
          <w:i w:val="0"/>
          <w:iCs w:val="0"/>
          <w:color w:val="auto"/>
          <w:sz w:val="21"/>
          <w:szCs w:val="21"/>
          <w:highlight w:val="none"/>
          <w:u w:val="none"/>
          <w:lang w:val="en-US" w:eastAsia="zh-CN"/>
        </w:rPr>
        <w:t>时间：</w:t>
      </w:r>
      <w:r>
        <w:rPr>
          <w:rFonts w:hint="eastAsia" w:asciiTheme="minorEastAsia" w:hAnsiTheme="minorEastAsia" w:eastAsiaTheme="minorEastAsia" w:cstheme="minorEastAsia"/>
          <w:b/>
          <w:bCs/>
          <w:i w:val="0"/>
          <w:iCs w:val="0"/>
          <w:color w:val="auto"/>
          <w:sz w:val="21"/>
          <w:szCs w:val="21"/>
          <w:highlight w:val="none"/>
          <w:u w:val="single"/>
          <w:lang w:val="en-US" w:eastAsia="zh-CN"/>
        </w:rPr>
        <w:t>2021年06月22日10点30分</w:t>
      </w:r>
      <w:r>
        <w:rPr>
          <w:rFonts w:hint="eastAsia" w:asciiTheme="minorEastAsia" w:hAnsiTheme="minorEastAsia" w:eastAsiaTheme="minorEastAsia" w:cstheme="minorEastAsia"/>
          <w:b/>
          <w:bCs/>
          <w:i w:val="0"/>
          <w:iCs w:val="0"/>
          <w:color w:val="auto"/>
          <w:sz w:val="21"/>
          <w:szCs w:val="21"/>
          <w:highlight w:val="none"/>
          <w:u w:val="none"/>
          <w:lang w:val="en-US" w:eastAsia="zh-CN"/>
        </w:rPr>
        <w:t>（北京时间）</w:t>
      </w:r>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default"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地点：隆安县公共资源交易中心（隆安县城厢镇城南路14号）（具体详见1楼电子显示屏安排）。</w:t>
      </w:r>
    </w:p>
    <w:p>
      <w:pPr>
        <w:keepNext w:val="0"/>
        <w:keepLines w:val="0"/>
        <w:pageBreakBefore w:val="0"/>
        <w:kinsoku/>
        <w:wordWrap/>
        <w:overflowPunct/>
        <w:topLinePunct w:val="0"/>
        <w:autoSpaceDE/>
        <w:autoSpaceDN/>
        <w:bidi w:val="0"/>
        <w:adjustRightInd/>
        <w:snapToGrid/>
        <w:spacing w:line="410" w:lineRule="exact"/>
        <w:textAlignment w:val="auto"/>
        <w:rPr>
          <w:rFonts w:hint="eastAsia" w:asciiTheme="minorEastAsia" w:hAnsiTheme="minorEastAsia" w:eastAsiaTheme="minorEastAsia" w:cstheme="minorEastAsia"/>
          <w:i w:val="0"/>
          <w:iCs w:val="0"/>
          <w:color w:val="auto"/>
          <w:sz w:val="21"/>
          <w:szCs w:val="21"/>
          <w:u w:val="none"/>
          <w:lang w:val="en-US" w:eastAsia="zh-CN"/>
        </w:rPr>
      </w:pPr>
      <w:bookmarkStart w:id="22" w:name="_Toc35393634"/>
      <w:bookmarkStart w:id="23" w:name="_Toc28359017"/>
      <w:bookmarkStart w:id="24" w:name="_Toc35393803"/>
      <w:bookmarkStart w:id="25" w:name="_Toc28359094"/>
      <w:r>
        <w:rPr>
          <w:rFonts w:hint="eastAsia" w:asciiTheme="minorEastAsia" w:hAnsiTheme="minorEastAsia" w:eastAsiaTheme="minorEastAsia" w:cstheme="minorEastAsia"/>
          <w:b/>
          <w:bCs/>
          <w:i w:val="0"/>
          <w:iCs w:val="0"/>
          <w:color w:val="auto"/>
          <w:sz w:val="21"/>
          <w:szCs w:val="21"/>
          <w:u w:val="none"/>
          <w:lang w:val="en-US" w:eastAsia="zh-CN"/>
        </w:rPr>
        <w:t>六、公告期限</w:t>
      </w:r>
      <w:bookmarkEnd w:id="22"/>
      <w:bookmarkEnd w:id="23"/>
      <w:bookmarkEnd w:id="24"/>
      <w:bookmarkEnd w:id="25"/>
      <w:r>
        <w:rPr>
          <w:rFonts w:hint="eastAsia" w:asciiTheme="minorEastAsia" w:hAnsiTheme="minorEastAsia" w:eastAsiaTheme="minorEastAsia" w:cstheme="minorEastAsia"/>
          <w:b/>
          <w:bCs/>
          <w:i w:val="0"/>
          <w:iCs w:val="0"/>
          <w:color w:val="auto"/>
          <w:sz w:val="21"/>
          <w:szCs w:val="21"/>
          <w:u w:val="none"/>
          <w:lang w:val="en-US" w:eastAsia="zh-CN"/>
        </w:rPr>
        <w:t>：</w:t>
      </w:r>
      <w:r>
        <w:rPr>
          <w:rFonts w:hint="eastAsia" w:asciiTheme="minorEastAsia" w:hAnsiTheme="minorEastAsia" w:eastAsiaTheme="minorEastAsia" w:cstheme="minorEastAsia"/>
          <w:i w:val="0"/>
          <w:iCs w:val="0"/>
          <w:color w:val="auto"/>
          <w:sz w:val="21"/>
          <w:szCs w:val="21"/>
          <w:u w:val="none"/>
          <w:lang w:val="en-US" w:eastAsia="zh-CN"/>
        </w:rPr>
        <w:t>自本公告发布之日起5个工作日。</w:t>
      </w:r>
    </w:p>
    <w:p>
      <w:pPr>
        <w:keepNext w:val="0"/>
        <w:keepLines w:val="0"/>
        <w:pageBreakBefore w:val="0"/>
        <w:kinsoku/>
        <w:wordWrap/>
        <w:overflowPunct/>
        <w:topLinePunct w:val="0"/>
        <w:autoSpaceDE/>
        <w:autoSpaceDN/>
        <w:bidi w:val="0"/>
        <w:adjustRightInd/>
        <w:snapToGrid/>
        <w:spacing w:line="410" w:lineRule="exact"/>
        <w:ind w:left="211" w:hanging="211" w:hangingChars="100"/>
        <w:textAlignment w:val="auto"/>
        <w:rPr>
          <w:rFonts w:hint="eastAsia" w:asciiTheme="minorEastAsia" w:hAnsiTheme="minorEastAsia" w:eastAsiaTheme="minorEastAsia" w:cstheme="minorEastAsia"/>
          <w:b/>
          <w:bCs/>
          <w:i w:val="0"/>
          <w:iCs w:val="0"/>
          <w:color w:val="auto"/>
          <w:sz w:val="21"/>
          <w:szCs w:val="21"/>
          <w:u w:val="none"/>
          <w:lang w:val="en-US" w:eastAsia="zh-CN"/>
        </w:rPr>
      </w:pPr>
      <w:bookmarkStart w:id="26" w:name="_Toc35393804"/>
      <w:bookmarkStart w:id="27" w:name="_Toc35393635"/>
      <w:r>
        <w:rPr>
          <w:rFonts w:hint="eastAsia" w:asciiTheme="minorEastAsia" w:hAnsiTheme="minorEastAsia" w:eastAsiaTheme="minorEastAsia" w:cstheme="minorEastAsia"/>
          <w:b/>
          <w:bCs/>
          <w:i w:val="0"/>
          <w:iCs w:val="0"/>
          <w:color w:val="auto"/>
          <w:sz w:val="21"/>
          <w:szCs w:val="21"/>
          <w:u w:val="none"/>
          <w:lang w:val="en-US" w:eastAsia="zh-CN"/>
        </w:rPr>
        <w:t>七、其他补充事宜</w:t>
      </w:r>
      <w:bookmarkEnd w:id="26"/>
      <w:bookmarkEnd w:id="27"/>
      <w:r>
        <w:rPr>
          <w:rFonts w:hint="eastAsia" w:asciiTheme="minorEastAsia" w:hAnsiTheme="minorEastAsia" w:eastAsiaTheme="minorEastAsia" w:cstheme="minorEastAsia"/>
          <w:b/>
          <w:bCs/>
          <w:i w:val="0"/>
          <w:iCs w:val="0"/>
          <w:color w:val="auto"/>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rPr>
          <w:rFonts w:hint="eastAsia" w:asciiTheme="minorEastAsia" w:hAnsiTheme="minorEastAsia" w:eastAsiaTheme="minorEastAsia" w:cstheme="minorEastAsia"/>
          <w:b w:val="0"/>
          <w:bCs w:val="0"/>
          <w:i w:val="0"/>
          <w:iCs w:val="0"/>
          <w:color w:val="auto"/>
          <w:sz w:val="21"/>
          <w:szCs w:val="21"/>
        </w:rPr>
      </w:pPr>
      <w:r>
        <w:rPr>
          <w:rFonts w:hint="eastAsia" w:ascii="新宋体" w:hAnsi="新宋体" w:eastAsia="新宋体" w:cs="新宋体"/>
          <w:b w:val="0"/>
          <w:bCs w:val="0"/>
          <w:color w:val="auto"/>
          <w:szCs w:val="21"/>
          <w:highlight w:val="none"/>
          <w:lang w:val="en-US" w:eastAsia="zh-CN"/>
        </w:rPr>
        <w:t>1、</w:t>
      </w:r>
      <w:r>
        <w:rPr>
          <w:rFonts w:hint="eastAsia" w:ascii="新宋体" w:hAnsi="新宋体" w:eastAsia="新宋体" w:cs="新宋体"/>
          <w:b w:val="0"/>
          <w:bCs w:val="0"/>
          <w:color w:val="auto"/>
          <w:szCs w:val="21"/>
          <w:highlight w:val="none"/>
        </w:rPr>
        <w:t>本项目需要落实的政府采购政策：</w:t>
      </w:r>
      <w:r>
        <w:rPr>
          <w:rFonts w:hint="eastAsia" w:asciiTheme="minorEastAsia" w:hAnsiTheme="minorEastAsia" w:eastAsiaTheme="minorEastAsia" w:cstheme="minorEastAsia"/>
          <w:b w:val="0"/>
          <w:bCs w:val="0"/>
          <w:i w:val="0"/>
          <w:iCs w:val="0"/>
          <w:color w:val="auto"/>
          <w:sz w:val="21"/>
          <w:szCs w:val="21"/>
        </w:rPr>
        <w:t>《政府采购促进中小企业发展暂行办法》（财库[2011]181号）、财政部司法部《关于政府采购支持监狱企业发展有关问题的通知》（财库[2014]68号）、财政部《环保总局关于环境标志产品政府采购实施的意见》（财库[2006]90号）、《财政部 民政部 中国残疾人联合会关于促进残疾人就业政府采购政策的通知》（财库〔2017〕 141号）等政府采购相关政策。</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未在政采云入驻正式供应商的，可在获取竞争性磋商文件后登录政采云进行入驻，如在操作过程中遇到问题或者需要技术支持，请致电政采云客服热线：400-881-7190。</w:t>
      </w:r>
    </w:p>
    <w:p>
      <w:pPr>
        <w:keepNext w:val="0"/>
        <w:keepLines w:val="0"/>
        <w:pageBreakBefore w:val="0"/>
        <w:widowControl w:val="0"/>
        <w:kinsoku/>
        <w:wordWrap/>
        <w:overflowPunct/>
        <w:topLinePunct w:val="0"/>
        <w:autoSpaceDE/>
        <w:autoSpaceDN/>
        <w:bidi w:val="0"/>
        <w:adjustRightInd/>
        <w:snapToGrid/>
        <w:spacing w:line="410" w:lineRule="exact"/>
        <w:ind w:firstLine="420" w:firstLineChars="200"/>
        <w:textAlignment w:val="auto"/>
        <w:rPr>
          <w:rFonts w:hint="eastAsia"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b w:val="0"/>
          <w:bCs w:val="0"/>
          <w:i w:val="0"/>
          <w:iCs w:val="0"/>
          <w:color w:val="auto"/>
          <w:sz w:val="21"/>
          <w:szCs w:val="21"/>
          <w:u w:val="none"/>
          <w:lang w:val="en-US" w:eastAsia="zh-CN"/>
        </w:rPr>
        <w:t>3、网上查询地址：htt</w:t>
      </w:r>
      <w:r>
        <w:rPr>
          <w:rFonts w:hint="eastAsia" w:asciiTheme="minorEastAsia" w:hAnsiTheme="minorEastAsia" w:eastAsiaTheme="minorEastAsia" w:cstheme="minorEastAsia"/>
          <w:i w:val="0"/>
          <w:iCs w:val="0"/>
          <w:color w:val="auto"/>
          <w:sz w:val="21"/>
          <w:szCs w:val="21"/>
          <w:u w:val="none"/>
          <w:lang w:val="en-US" w:eastAsia="zh-CN"/>
        </w:rPr>
        <w:t>p://www.ccgp.gov.cn（中国政府采购网）、http://zfcg.gxzf.gov.cn/（广西壮族自治区政府采购网）、http://ggzy.nanning.gov.cn（南宁市公共资源交易中心网）、http://www.gxljgc.com(广西龙建工程管理有限公司网)。</w:t>
      </w:r>
    </w:p>
    <w:p>
      <w:pPr>
        <w:keepNext w:val="0"/>
        <w:keepLines w:val="0"/>
        <w:pageBreakBefore w:val="0"/>
        <w:kinsoku/>
        <w:wordWrap/>
        <w:overflowPunct/>
        <w:topLinePunct w:val="0"/>
        <w:autoSpaceDE/>
        <w:autoSpaceDN/>
        <w:bidi w:val="0"/>
        <w:adjustRightInd/>
        <w:snapToGrid/>
        <w:spacing w:line="410" w:lineRule="exact"/>
        <w:textAlignment w:val="auto"/>
        <w:rPr>
          <w:rFonts w:hint="eastAsia" w:asciiTheme="minorEastAsia" w:hAnsiTheme="minorEastAsia" w:eastAsiaTheme="minorEastAsia" w:cstheme="minorEastAsia"/>
          <w:b/>
          <w:bCs/>
          <w:i w:val="0"/>
          <w:iCs w:val="0"/>
          <w:color w:val="auto"/>
          <w:sz w:val="21"/>
          <w:szCs w:val="21"/>
          <w:u w:val="none"/>
          <w:lang w:val="en-US" w:eastAsia="zh-CN"/>
        </w:rPr>
      </w:pPr>
      <w:bookmarkStart w:id="28" w:name="_Toc35393805"/>
      <w:bookmarkStart w:id="29" w:name="_Toc35393636"/>
      <w:bookmarkStart w:id="30" w:name="_Toc28359018"/>
      <w:bookmarkStart w:id="31" w:name="_Toc28359095"/>
      <w:r>
        <w:rPr>
          <w:rFonts w:hint="eastAsia" w:asciiTheme="minorEastAsia" w:hAnsiTheme="minorEastAsia" w:eastAsiaTheme="minorEastAsia" w:cstheme="minorEastAsia"/>
          <w:b/>
          <w:bCs/>
          <w:i w:val="0"/>
          <w:iCs w:val="0"/>
          <w:color w:val="auto"/>
          <w:sz w:val="21"/>
          <w:szCs w:val="21"/>
          <w:u w:val="none"/>
          <w:lang w:val="en-US" w:eastAsia="zh-CN"/>
        </w:rPr>
        <w:t>八、凡对本次采购提出询问，请按以下方式联系。</w:t>
      </w:r>
      <w:bookmarkEnd w:id="28"/>
      <w:bookmarkEnd w:id="29"/>
      <w:bookmarkEnd w:id="30"/>
      <w:bookmarkEnd w:id="31"/>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eastAsia" w:asciiTheme="minorEastAsia" w:hAnsiTheme="minorEastAsia" w:eastAsiaTheme="minorEastAsia" w:cstheme="minorEastAsia"/>
          <w:i w:val="0"/>
          <w:iCs w:val="0"/>
          <w:color w:val="auto"/>
          <w:sz w:val="21"/>
          <w:szCs w:val="21"/>
          <w:u w:val="none"/>
          <w:lang w:val="en-US" w:eastAsia="zh-CN"/>
        </w:rPr>
      </w:pPr>
      <w:bookmarkStart w:id="32" w:name="_Toc35393806"/>
      <w:bookmarkStart w:id="33" w:name="_Toc28359096"/>
      <w:bookmarkStart w:id="34" w:name="_Toc35393637"/>
      <w:bookmarkStart w:id="35" w:name="_Toc28359019"/>
      <w:r>
        <w:rPr>
          <w:rFonts w:hint="eastAsia" w:asciiTheme="minorEastAsia" w:hAnsiTheme="minorEastAsia" w:eastAsiaTheme="minorEastAsia" w:cstheme="minorEastAsia"/>
          <w:i w:val="0"/>
          <w:iCs w:val="0"/>
          <w:color w:val="auto"/>
          <w:sz w:val="21"/>
          <w:szCs w:val="21"/>
          <w:u w:val="none"/>
          <w:lang w:val="en-US" w:eastAsia="zh-CN"/>
        </w:rPr>
        <w:t>1.采购人信息</w:t>
      </w:r>
      <w:bookmarkEnd w:id="32"/>
      <w:bookmarkEnd w:id="33"/>
      <w:bookmarkEnd w:id="34"/>
      <w:bookmarkEnd w:id="35"/>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eastAsia"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名    称：隆安县环境保护局</w:t>
      </w:r>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default"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地    址：南宁市隆安县城厢镇文塔路91号</w:t>
      </w:r>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default"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联系方式：黄工   0771-6530931</w:t>
      </w:r>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eastAsia" w:asciiTheme="minorEastAsia" w:hAnsiTheme="minorEastAsia" w:eastAsiaTheme="minorEastAsia" w:cstheme="minorEastAsia"/>
          <w:i w:val="0"/>
          <w:iCs w:val="0"/>
          <w:color w:val="auto"/>
          <w:sz w:val="21"/>
          <w:szCs w:val="21"/>
          <w:u w:val="none"/>
          <w:lang w:val="en-US" w:eastAsia="zh-CN"/>
        </w:rPr>
      </w:pPr>
      <w:bookmarkStart w:id="36" w:name="_Toc28359097"/>
      <w:bookmarkStart w:id="37" w:name="_Toc28359020"/>
      <w:bookmarkStart w:id="38" w:name="_Toc35393807"/>
      <w:bookmarkStart w:id="39" w:name="_Toc35393638"/>
      <w:r>
        <w:rPr>
          <w:rFonts w:hint="eastAsia" w:asciiTheme="minorEastAsia" w:hAnsiTheme="minorEastAsia" w:eastAsiaTheme="minorEastAsia" w:cstheme="minorEastAsia"/>
          <w:i w:val="0"/>
          <w:iCs w:val="0"/>
          <w:color w:val="auto"/>
          <w:sz w:val="21"/>
          <w:szCs w:val="21"/>
          <w:u w:val="none"/>
          <w:lang w:val="en-US" w:eastAsia="zh-CN"/>
        </w:rPr>
        <w:t>2.采购代理机构信息</w:t>
      </w:r>
      <w:bookmarkEnd w:id="36"/>
      <w:bookmarkEnd w:id="37"/>
      <w:bookmarkEnd w:id="38"/>
      <w:bookmarkEnd w:id="39"/>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eastAsia"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名    称：广西龙建工程管理有限公司</w:t>
      </w:r>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eastAsia"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地　　址：南宁市青秀区中柬路8号龙光世纪2号楼3410号</w:t>
      </w:r>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default"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联系方式：陆工  0771-6511123</w:t>
      </w:r>
    </w:p>
    <w:p>
      <w:pPr>
        <w:keepNext w:val="0"/>
        <w:keepLines w:val="0"/>
        <w:pageBreakBefore w:val="0"/>
        <w:kinsoku/>
        <w:wordWrap/>
        <w:overflowPunct/>
        <w:topLinePunct w:val="0"/>
        <w:autoSpaceDE/>
        <w:autoSpaceDN/>
        <w:bidi w:val="0"/>
        <w:adjustRightInd/>
        <w:snapToGrid/>
        <w:spacing w:line="410" w:lineRule="exact"/>
        <w:ind w:firstLine="540"/>
        <w:textAlignment w:val="auto"/>
        <w:rPr>
          <w:rFonts w:hint="eastAsia"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3.监督部门：隆安县财政局     电话：0771-6531019</w:t>
      </w:r>
    </w:p>
    <w:p>
      <w:pPr>
        <w:pStyle w:val="11"/>
        <w:keepNext w:val="0"/>
        <w:keepLines w:val="0"/>
        <w:pageBreakBefore w:val="0"/>
        <w:kinsoku/>
        <w:wordWrap/>
        <w:overflowPunct/>
        <w:topLinePunct w:val="0"/>
        <w:autoSpaceDE/>
        <w:autoSpaceDN/>
        <w:bidi w:val="0"/>
        <w:adjustRightInd/>
        <w:snapToGrid/>
        <w:spacing w:line="440" w:lineRule="exact"/>
        <w:textAlignment w:val="auto"/>
        <w:outlineLvl w:val="9"/>
        <w:rPr>
          <w:rFonts w:hAnsi="宋体"/>
          <w:b/>
          <w:color w:val="auto"/>
          <w:sz w:val="36"/>
          <w:highlight w:val="none"/>
        </w:rPr>
      </w:pPr>
    </w:p>
    <w:p>
      <w:pPr>
        <w:pStyle w:val="11"/>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2"/>
          <w:sz w:val="21"/>
          <w:szCs w:val="21"/>
          <w:u w:val="none"/>
          <w:lang w:val="en-US" w:eastAsia="zh-CN" w:bidi="ar-SA"/>
        </w:rPr>
        <w:t xml:space="preserve">                                                           广西龙建工程管理有限公司</w:t>
      </w:r>
    </w:p>
    <w:p>
      <w:pPr>
        <w:pStyle w:val="11"/>
        <w:keepNext w:val="0"/>
        <w:keepLines w:val="0"/>
        <w:pageBreakBefore w:val="0"/>
        <w:kinsoku/>
        <w:wordWrap/>
        <w:overflowPunct/>
        <w:topLinePunct w:val="0"/>
        <w:autoSpaceDE/>
        <w:autoSpaceDN/>
        <w:bidi w:val="0"/>
        <w:adjustRightInd/>
        <w:snapToGrid/>
        <w:spacing w:line="440" w:lineRule="exact"/>
        <w:ind w:firstLine="7140" w:firstLineChars="3400"/>
        <w:textAlignment w:val="auto"/>
        <w:outlineLvl w:val="9"/>
        <w:rPr>
          <w:rFonts w:hAnsi="宋体"/>
          <w:b w:val="0"/>
          <w:bCs w:val="0"/>
          <w:color w:val="auto"/>
          <w:sz w:val="36"/>
          <w:highlight w:val="none"/>
          <w:u w:val="none"/>
        </w:rPr>
      </w:pPr>
      <w:r>
        <w:rPr>
          <w:rFonts w:hint="eastAsia" w:asciiTheme="minorEastAsia" w:hAnsiTheme="minorEastAsia" w:eastAsiaTheme="minorEastAsia" w:cstheme="minorEastAsia"/>
          <w:b w:val="0"/>
          <w:bCs w:val="0"/>
          <w:i w:val="0"/>
          <w:iCs w:val="0"/>
          <w:color w:val="auto"/>
          <w:sz w:val="21"/>
          <w:szCs w:val="21"/>
          <w:highlight w:val="none"/>
          <w:u w:val="none"/>
          <w:lang w:val="en-US" w:eastAsia="zh-CN"/>
        </w:rPr>
        <w:t>2021年06月10日</w:t>
      </w:r>
    </w:p>
    <w:p>
      <w:pPr>
        <w:pStyle w:val="3"/>
        <w:keepNext/>
        <w:keepLines/>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0"/>
        <w:rPr>
          <w:rFonts w:hint="eastAsia" w:ascii="宋体" w:hAnsi="宋体" w:eastAsia="宋体" w:cs="宋体"/>
          <w:b/>
          <w:color w:val="auto"/>
          <w:sz w:val="36"/>
          <w:szCs w:val="36"/>
          <w:highlight w:val="none"/>
        </w:rPr>
      </w:pPr>
      <w:r>
        <w:rPr>
          <w:rFonts w:hint="eastAsia" w:ascii="宋体" w:hAnsi="宋体" w:cs="宋体"/>
          <w:b/>
          <w:color w:val="auto"/>
          <w:sz w:val="36"/>
          <w:szCs w:val="36"/>
          <w:highlight w:val="none"/>
          <w:lang w:val="en-US" w:eastAsia="zh-CN"/>
        </w:rPr>
        <w:t>第二章</w:t>
      </w:r>
      <w:bookmarkStart w:id="40" w:name="_Toc1590"/>
      <w:r>
        <w:rPr>
          <w:rFonts w:hint="eastAsia" w:ascii="宋体" w:hAnsi="宋体" w:cs="宋体"/>
          <w:b/>
          <w:color w:val="auto"/>
          <w:sz w:val="36"/>
          <w:szCs w:val="36"/>
          <w:highlight w:val="none"/>
          <w:lang w:val="en-US" w:eastAsia="zh-CN"/>
        </w:rPr>
        <w:t xml:space="preserve">  </w:t>
      </w:r>
      <w:r>
        <w:rPr>
          <w:rFonts w:hint="eastAsia" w:ascii="宋体" w:hAnsi="宋体" w:eastAsia="宋体" w:cs="宋体"/>
          <w:b/>
          <w:color w:val="auto"/>
          <w:sz w:val="36"/>
          <w:szCs w:val="36"/>
          <w:highlight w:val="none"/>
        </w:rPr>
        <w:t>服务需求一览表</w:t>
      </w:r>
      <w:bookmarkEnd w:id="4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b/>
          <w:bCs w:val="0"/>
          <w:color w:val="auto"/>
          <w:szCs w:val="21"/>
          <w:highlight w:val="none"/>
        </w:rPr>
      </w:pPr>
      <w:r>
        <w:rPr>
          <w:rFonts w:hint="eastAsia" w:ascii="宋体" w:hAnsi="宋体"/>
          <w:b/>
          <w:bCs w:val="0"/>
          <w:color w:val="auto"/>
          <w:szCs w:val="21"/>
          <w:highlight w:val="none"/>
        </w:rPr>
        <w:t>说明：</w:t>
      </w:r>
    </w:p>
    <w:p>
      <w:pPr>
        <w:pStyle w:val="27"/>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2"/>
        <w:textAlignment w:val="auto"/>
        <w:rPr>
          <w:rFonts w:ascii="宋体" w:hAnsi="宋体"/>
          <w:b/>
          <w:bCs w:val="0"/>
          <w:color w:val="auto"/>
          <w:highlight w:val="none"/>
        </w:rPr>
      </w:pPr>
      <w:r>
        <w:rPr>
          <w:rFonts w:hint="eastAsia" w:ascii="宋体" w:hAnsi="宋体"/>
          <w:b/>
          <w:bCs w:val="0"/>
          <w:color w:val="auto"/>
          <w:highlight w:val="none"/>
        </w:rPr>
        <w:t>本服务需求一览表中标注★号的内容为实质性要求和条件。</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2" w:firstLineChars="200"/>
        <w:textAlignment w:val="auto"/>
        <w:rPr>
          <w:rFonts w:hint="default"/>
          <w:b/>
          <w:bCs w:val="0"/>
        </w:rPr>
      </w:pPr>
      <w:r>
        <w:rPr>
          <w:rFonts w:hint="eastAsia" w:ascii="宋体" w:hAnsi="宋体"/>
          <w:b/>
          <w:bCs w:val="0"/>
          <w:color w:val="auto"/>
          <w:highlight w:val="none"/>
        </w:rPr>
        <w:t>本服务需求一览表中内容如与第六章“合同条款及格式”相关条款不一致的，以本表为准。</w:t>
      </w:r>
      <w:bookmarkStart w:id="41" w:name="_Toc31017"/>
    </w:p>
    <w:p>
      <w:pPr>
        <w:bidi w:val="0"/>
        <w:rPr>
          <w:rFonts w:hint="default"/>
        </w:rPr>
      </w:pP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00"/>
        <w:gridCol w:w="1023"/>
        <w:gridCol w:w="7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400" w:type="dxa"/>
            <w:vAlign w:val="center"/>
          </w:tcPr>
          <w:p>
            <w:pPr>
              <w:numPr>
                <w:ilvl w:val="0"/>
                <w:numId w:val="0"/>
              </w:numPr>
              <w:autoSpaceDE/>
              <w:autoSpaceDN/>
              <w:spacing w:before="0" w:after="0" w:line="380" w:lineRule="exact"/>
              <w:ind w:right="0" w:firstLine="0"/>
              <w:jc w:val="center"/>
              <w:outlineLvl w:val="0"/>
              <w:rPr>
                <w:rFonts w:hint="default" w:ascii="宋体" w:hAnsi="宋体" w:eastAsia="宋体"/>
                <w:b/>
                <w:color w:val="auto"/>
                <w:position w:val="0"/>
                <w:sz w:val="21"/>
                <w:szCs w:val="21"/>
              </w:rPr>
            </w:pPr>
            <w:r>
              <w:rPr>
                <w:rFonts w:hint="default" w:ascii="宋体" w:hAnsi="宋体" w:eastAsia="宋体"/>
                <w:b/>
                <w:color w:val="auto"/>
                <w:position w:val="0"/>
                <w:sz w:val="21"/>
                <w:szCs w:val="21"/>
              </w:rPr>
              <w:t>服务名称</w:t>
            </w:r>
          </w:p>
        </w:tc>
        <w:tc>
          <w:tcPr>
            <w:tcW w:w="1023" w:type="dxa"/>
            <w:vAlign w:val="center"/>
          </w:tcPr>
          <w:p>
            <w:pPr>
              <w:numPr>
                <w:ilvl w:val="0"/>
                <w:numId w:val="0"/>
              </w:numPr>
              <w:autoSpaceDE/>
              <w:autoSpaceDN/>
              <w:spacing w:before="0" w:after="0" w:line="380" w:lineRule="exact"/>
              <w:ind w:right="0" w:firstLine="0"/>
              <w:jc w:val="center"/>
              <w:outlineLvl w:val="0"/>
              <w:rPr>
                <w:rFonts w:hint="default" w:ascii="宋体" w:hAnsi="宋体" w:eastAsia="宋体"/>
                <w:b/>
                <w:color w:val="auto"/>
                <w:position w:val="0"/>
                <w:sz w:val="21"/>
                <w:szCs w:val="21"/>
              </w:rPr>
            </w:pPr>
            <w:r>
              <w:rPr>
                <w:rFonts w:hint="default" w:ascii="宋体" w:hAnsi="宋体" w:eastAsia="宋体"/>
                <w:b/>
                <w:color w:val="auto"/>
                <w:position w:val="0"/>
                <w:sz w:val="21"/>
                <w:szCs w:val="21"/>
              </w:rPr>
              <w:t>数量及</w:t>
            </w:r>
          </w:p>
          <w:p>
            <w:pPr>
              <w:numPr>
                <w:ilvl w:val="0"/>
                <w:numId w:val="0"/>
              </w:numPr>
              <w:autoSpaceDE/>
              <w:autoSpaceDN/>
              <w:spacing w:before="0" w:after="0" w:line="380" w:lineRule="exact"/>
              <w:ind w:right="0" w:firstLine="0"/>
              <w:jc w:val="center"/>
              <w:outlineLvl w:val="0"/>
              <w:rPr>
                <w:rFonts w:hint="default" w:ascii="宋体" w:hAnsi="宋体" w:eastAsia="宋体"/>
                <w:b/>
                <w:color w:val="auto"/>
                <w:position w:val="0"/>
                <w:sz w:val="21"/>
                <w:szCs w:val="21"/>
              </w:rPr>
            </w:pPr>
            <w:r>
              <w:rPr>
                <w:rFonts w:hint="default" w:ascii="宋体" w:hAnsi="宋体" w:eastAsia="宋体"/>
                <w:b/>
                <w:color w:val="auto"/>
                <w:position w:val="0"/>
                <w:sz w:val="21"/>
                <w:szCs w:val="21"/>
              </w:rPr>
              <w:t>单位</w:t>
            </w:r>
          </w:p>
        </w:tc>
        <w:tc>
          <w:tcPr>
            <w:tcW w:w="7348" w:type="dxa"/>
            <w:vAlign w:val="center"/>
          </w:tcPr>
          <w:p>
            <w:pPr>
              <w:numPr>
                <w:ilvl w:val="0"/>
                <w:numId w:val="0"/>
              </w:numPr>
              <w:autoSpaceDE/>
              <w:autoSpaceDN/>
              <w:spacing w:before="0" w:after="0" w:line="380" w:lineRule="exact"/>
              <w:ind w:right="0" w:firstLine="0"/>
              <w:jc w:val="center"/>
              <w:outlineLvl w:val="0"/>
              <w:rPr>
                <w:rFonts w:hint="default" w:ascii="宋体" w:hAnsi="宋体" w:eastAsia="宋体"/>
                <w:b/>
                <w:color w:val="auto"/>
                <w:position w:val="0"/>
                <w:sz w:val="21"/>
                <w:szCs w:val="21"/>
              </w:rPr>
            </w:pPr>
            <w:r>
              <w:rPr>
                <w:rFonts w:hint="default" w:ascii="宋体" w:hAnsi="宋体" w:eastAsia="宋体"/>
                <w:b/>
                <w:color w:val="auto"/>
                <w:position w:val="0"/>
                <w:sz w:val="21"/>
                <w:szCs w:val="21"/>
              </w:rPr>
              <w:t>项目需求及要求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1400" w:type="dxa"/>
            <w:vAlign w:val="center"/>
          </w:tcPr>
          <w:p>
            <w:pPr>
              <w:numPr>
                <w:ilvl w:val="0"/>
                <w:numId w:val="0"/>
              </w:numPr>
              <w:autoSpaceDE/>
              <w:autoSpaceDN/>
              <w:spacing w:before="0" w:after="0" w:line="400" w:lineRule="exact"/>
              <w:ind w:right="0" w:firstLine="0"/>
              <w:jc w:val="center"/>
              <w:outlineLvl w:val="0"/>
              <w:rPr>
                <w:rFonts w:hint="default" w:ascii="宋体" w:hAnsi="宋体" w:eastAsia="宋体"/>
                <w:b/>
                <w:color w:val="auto"/>
                <w:position w:val="0"/>
                <w:sz w:val="21"/>
                <w:szCs w:val="21"/>
              </w:rPr>
            </w:pPr>
            <w:r>
              <w:rPr>
                <w:rFonts w:hint="default" w:ascii="宋体" w:hAnsi="宋体" w:eastAsia="宋体"/>
                <w:b w:val="0"/>
                <w:bCs/>
                <w:color w:val="auto"/>
                <w:position w:val="0"/>
                <w:sz w:val="21"/>
                <w:szCs w:val="21"/>
                <w:lang w:eastAsia="zh-CN"/>
              </w:rPr>
              <w:t>隆安县农村千人以上集中式饮用水水源保护区划定技术服务</w:t>
            </w:r>
          </w:p>
        </w:tc>
        <w:tc>
          <w:tcPr>
            <w:tcW w:w="1023" w:type="dxa"/>
            <w:vAlign w:val="center"/>
          </w:tcPr>
          <w:p>
            <w:pPr>
              <w:numPr>
                <w:ilvl w:val="0"/>
                <w:numId w:val="0"/>
              </w:numPr>
              <w:autoSpaceDE/>
              <w:autoSpaceDN/>
              <w:spacing w:before="0" w:after="0" w:line="400" w:lineRule="exact"/>
              <w:ind w:right="0" w:firstLine="0"/>
              <w:jc w:val="center"/>
              <w:outlineLvl w:val="0"/>
              <w:rPr>
                <w:rFonts w:hint="default" w:ascii="宋体" w:hAnsi="宋体" w:eastAsia="宋体"/>
                <w:b/>
                <w:color w:val="auto"/>
                <w:position w:val="0"/>
                <w:sz w:val="21"/>
                <w:szCs w:val="21"/>
              </w:rPr>
            </w:pPr>
            <w:r>
              <w:rPr>
                <w:rFonts w:hint="default" w:ascii="宋体" w:hAnsi="宋体" w:eastAsia="宋体"/>
                <w:color w:val="auto"/>
                <w:position w:val="0"/>
                <w:sz w:val="21"/>
                <w:szCs w:val="21"/>
              </w:rPr>
              <w:t>1项</w:t>
            </w:r>
          </w:p>
        </w:tc>
        <w:tc>
          <w:tcPr>
            <w:tcW w:w="7348" w:type="dxa"/>
            <w:vAlign w:val="top"/>
          </w:tcPr>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根据广西壮族自治区人民政府办公厅《关于开展全区饮用水水源保护区划定工作的通知》（桂政办电〔 2009〕 60 号）精神及《饮用水水源保护区划分技术规范》（HJ338-2018）新的技术规范要求，进行水源点水质检测、水源现状的调查，对保护区进行划分。</w:t>
            </w:r>
          </w:p>
          <w:p>
            <w:pPr>
              <w:pStyle w:val="28"/>
              <w:numPr>
                <w:ilvl w:val="0"/>
                <w:numId w:val="0"/>
              </w:numPr>
              <w:autoSpaceDE/>
              <w:autoSpaceDN/>
              <w:spacing w:before="25" w:after="25" w:line="400" w:lineRule="exact"/>
              <w:ind w:right="0" w:firstLine="464"/>
              <w:jc w:val="left"/>
              <w:rPr>
                <w:rFonts w:hint="default" w:ascii="宋体" w:hAnsi="宋体" w:eastAsia="宋体"/>
                <w:b/>
                <w:bCs w:val="0"/>
                <w:color w:val="auto"/>
                <w:spacing w:val="6"/>
                <w:position w:val="0"/>
                <w:sz w:val="21"/>
                <w:szCs w:val="21"/>
              </w:rPr>
            </w:pPr>
            <w:r>
              <w:rPr>
                <w:rFonts w:hint="default" w:ascii="宋体" w:hAnsi="宋体" w:eastAsia="宋体"/>
                <w:b/>
                <w:bCs w:val="0"/>
                <w:color w:val="auto"/>
                <w:spacing w:val="6"/>
                <w:position w:val="0"/>
                <w:sz w:val="21"/>
                <w:szCs w:val="21"/>
              </w:rPr>
              <w:t>1、划定范围</w:t>
            </w:r>
          </w:p>
          <w:p>
            <w:pPr>
              <w:pStyle w:val="28"/>
              <w:numPr>
                <w:ilvl w:val="0"/>
                <w:numId w:val="0"/>
              </w:numPr>
              <w:autoSpaceDE/>
              <w:autoSpaceDN/>
              <w:spacing w:before="25" w:after="25" w:line="400" w:lineRule="exact"/>
              <w:ind w:right="0" w:firstLine="480"/>
              <w:jc w:val="left"/>
              <w:rPr>
                <w:rFonts w:hint="default" w:ascii="宋体" w:hAnsi="宋体" w:eastAsia="宋体"/>
                <w:color w:val="auto"/>
                <w:spacing w:val="6"/>
                <w:position w:val="0"/>
                <w:sz w:val="21"/>
                <w:szCs w:val="21"/>
              </w:rPr>
            </w:pPr>
            <w:r>
              <w:rPr>
                <w:rFonts w:hint="default" w:ascii="宋体" w:hAnsi="宋体" w:eastAsia="宋体"/>
                <w:color w:val="auto"/>
                <w:spacing w:val="10"/>
                <w:position w:val="0"/>
                <w:sz w:val="21"/>
                <w:szCs w:val="21"/>
              </w:rPr>
              <w:t>隆安县38个1000人以上农村集中式饮用水水源保护区划定工作，数量及饮用水水源保护区信息在成交后由采购人提供。</w:t>
            </w:r>
          </w:p>
          <w:p>
            <w:pPr>
              <w:numPr>
                <w:ilvl w:val="0"/>
                <w:numId w:val="0"/>
              </w:numPr>
              <w:autoSpaceDE/>
              <w:autoSpaceDN/>
              <w:spacing w:before="0" w:after="0" w:line="400" w:lineRule="exact"/>
              <w:ind w:right="0" w:firstLine="464"/>
              <w:jc w:val="both"/>
              <w:rPr>
                <w:rFonts w:hint="default" w:ascii="宋体" w:hAnsi="宋体" w:eastAsia="宋体"/>
                <w:b/>
                <w:bCs/>
                <w:color w:val="auto"/>
                <w:spacing w:val="6"/>
                <w:position w:val="0"/>
                <w:sz w:val="21"/>
                <w:szCs w:val="21"/>
              </w:rPr>
            </w:pPr>
            <w:r>
              <w:rPr>
                <w:rFonts w:hint="default" w:ascii="宋体" w:hAnsi="宋体" w:eastAsia="宋体"/>
                <w:b/>
                <w:bCs/>
                <w:color w:val="auto"/>
                <w:spacing w:val="6"/>
                <w:position w:val="0"/>
                <w:sz w:val="21"/>
                <w:szCs w:val="21"/>
              </w:rPr>
              <w:t>2、工作内容</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根据广西壮族自治区人民政府办公厅《关于开展全区饮用水水源保护区划定工作的通知》（桂政办电〔 2009〕 60 号）精神，及环境保护部于2018年3月12日批准</w:t>
            </w:r>
            <w:bookmarkStart w:id="42" w:name="_Hlk65877011"/>
            <w:r>
              <w:rPr>
                <w:rFonts w:hint="eastAsia" w:ascii="宋体" w:hAnsi="宋体" w:eastAsia="宋体"/>
                <w:color w:val="auto"/>
                <w:spacing w:val="6"/>
                <w:position w:val="0"/>
                <w:sz w:val="21"/>
                <w:szCs w:val="21"/>
                <w:lang w:eastAsia="zh-CN"/>
              </w:rPr>
              <w:t>的</w:t>
            </w:r>
            <w:r>
              <w:rPr>
                <w:rFonts w:hint="default" w:ascii="宋体" w:hAnsi="宋体" w:eastAsia="宋体"/>
                <w:color w:val="auto"/>
                <w:spacing w:val="6"/>
                <w:position w:val="0"/>
                <w:sz w:val="21"/>
                <w:szCs w:val="21"/>
              </w:rPr>
              <w:t>《饮用水水源保护区划分技术规范》（HJ338-2018）</w:t>
            </w:r>
            <w:bookmarkEnd w:id="42"/>
            <w:r>
              <w:rPr>
                <w:rFonts w:hint="default" w:ascii="宋体" w:hAnsi="宋体" w:eastAsia="宋体"/>
                <w:color w:val="auto"/>
                <w:spacing w:val="6"/>
                <w:position w:val="0"/>
                <w:sz w:val="21"/>
                <w:szCs w:val="21"/>
              </w:rPr>
              <w:t>新规范的要求，需对保护区进行划定，</w:t>
            </w:r>
            <w:r>
              <w:rPr>
                <w:rFonts w:hint="eastAsia" w:ascii="宋体" w:hAnsi="宋体" w:eastAsia="宋体"/>
                <w:color w:val="auto"/>
                <w:spacing w:val="6"/>
                <w:position w:val="0"/>
                <w:sz w:val="21"/>
                <w:szCs w:val="21"/>
                <w:lang w:eastAsia="zh-CN"/>
              </w:rPr>
              <w:t>主要</w:t>
            </w:r>
            <w:r>
              <w:rPr>
                <w:rFonts w:hint="default" w:ascii="宋体" w:hAnsi="宋体" w:eastAsia="宋体"/>
                <w:color w:val="auto"/>
                <w:spacing w:val="6"/>
                <w:position w:val="0"/>
                <w:sz w:val="21"/>
                <w:szCs w:val="21"/>
              </w:rPr>
              <w:t>内容如下：</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（1）饮用水水源地水质检测。</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地表水29项检测：PH值、水温、溶解氧、化学需氧量、五日生化需氧量、氟化物、铜、锌、硒、砷、汞、镉、铬（六价）、铅、氰化物、挥发酚、石油类、阴离子合成洗涤剂、硫化物、硫酸盐、氯化物、硝酸盐、铁、锰、氨氮、总磷、总氮、耗氧量、粪大肠菌群。</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地下水23项检测：PH值、耗氧量、氨氮、亚硝酸盐、硝酸盐、硫酸盐、氯化物、氰化物、总硬度、氟化物、总大肠菌群、阴离子表面活性剂、六价铬、铁、锰、镉、铅、砷、硒、汞、铜、锌、挥发性酚类。</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（2）供水能力（供水现状、水量及水质安全状况、水源地保护区范围现状情况等）。</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（3）水源保护区范围内的污染源调查（包括工业点源、畜牧水产养殖企业点源、农业面源、农村及乡镇生活面源等）。</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（4）水源保护区范围内管理现状及管理措施。</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（5）本次划分的各集中式饮用水水源保护区范围内存在的问题及策略。</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（6）进行公众参与调查表（个人）和（团体）；每个水源地供给覆盖的村庄，需补充至少10份个人公参调查表；需对县直相关部门及水源地所属乡镇及村庄发放团体公参调查表。</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（7）饮用水环境风险源调查以及风险防范措施。</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（8）饮用水源保护区规范化建设内容及环保投资估算等内容。</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（9）环境风险分析及应急措施等。</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（10）划定的饮用水源保护区覆盖人口及管网铺设情况、于何时建成、何时投入运行、日供水量、设计供水量等。</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（11）根据隆安县最新的县城及乡镇规划（总体规划、土地利用规划、畜牧水产养殖规划、交通规划、旅游规划、矿产规划、工业区规划</w:t>
            </w:r>
            <w:r>
              <w:rPr>
                <w:rFonts w:hint="eastAsia" w:ascii="宋体" w:hAnsi="宋体" w:eastAsia="宋体"/>
                <w:color w:val="auto"/>
                <w:spacing w:val="6"/>
                <w:position w:val="0"/>
                <w:sz w:val="21"/>
                <w:szCs w:val="21"/>
                <w:lang w:eastAsia="zh-CN"/>
              </w:rPr>
              <w:t>等</w:t>
            </w:r>
            <w:r>
              <w:rPr>
                <w:rFonts w:hint="default" w:ascii="宋体" w:hAnsi="宋体" w:eastAsia="宋体"/>
                <w:color w:val="auto"/>
                <w:spacing w:val="6"/>
                <w:position w:val="0"/>
                <w:sz w:val="21"/>
                <w:szCs w:val="21"/>
              </w:rPr>
              <w:t>）来划定乡镇及农村集中式饮用水水源地。</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（12）制作乡镇及农村集中式饮用水水源保护区完整数据库。</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一级水域保护区主要拐点坐标。</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一级陆域保护区主要拐点坐标。</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二级水域保护区主要拐点坐标。</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二级陆域保护区主要拐点坐标。</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lang w:val="en-US" w:eastAsia="zh-CN"/>
              </w:rPr>
              <w:t>准保护区</w:t>
            </w:r>
            <w:r>
              <w:rPr>
                <w:rFonts w:hint="default" w:ascii="宋体" w:hAnsi="宋体" w:eastAsia="宋体"/>
                <w:color w:val="auto"/>
                <w:spacing w:val="6"/>
                <w:position w:val="0"/>
                <w:sz w:val="21"/>
                <w:szCs w:val="21"/>
              </w:rPr>
              <w:t>主要拐点坐标。</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（13）根据各个规划制作水源范围图</w:t>
            </w:r>
          </w:p>
          <w:p>
            <w:pPr>
              <w:numPr>
                <w:ilvl w:val="0"/>
                <w:numId w:val="0"/>
              </w:numPr>
              <w:autoSpaceDE/>
              <w:autoSpaceDN/>
              <w:spacing w:before="0" w:after="0" w:line="400" w:lineRule="exact"/>
              <w:ind w:right="0" w:firstLine="464"/>
              <w:jc w:val="both"/>
              <w:rPr>
                <w:rFonts w:hint="default" w:ascii="宋体" w:hAnsi="宋体" w:eastAsia="宋体"/>
                <w:color w:val="auto"/>
                <w:spacing w:val="6"/>
                <w:position w:val="0"/>
                <w:sz w:val="21"/>
                <w:szCs w:val="21"/>
              </w:rPr>
            </w:pPr>
            <w:r>
              <w:rPr>
                <w:rFonts w:hint="default" w:ascii="宋体" w:hAnsi="宋体" w:eastAsia="宋体"/>
                <w:color w:val="auto"/>
                <w:spacing w:val="6"/>
                <w:position w:val="0"/>
                <w:sz w:val="21"/>
                <w:szCs w:val="21"/>
              </w:rPr>
              <w:t>（14）完成隆安县38个农村集中式饮用水水源保护区划分技术报告及划定方案</w:t>
            </w:r>
          </w:p>
          <w:p>
            <w:pPr>
              <w:numPr>
                <w:ilvl w:val="0"/>
                <w:numId w:val="0"/>
              </w:numPr>
              <w:autoSpaceDE/>
              <w:autoSpaceDN/>
              <w:spacing w:before="0" w:after="0" w:line="400" w:lineRule="exact"/>
              <w:ind w:right="0" w:firstLine="466"/>
              <w:jc w:val="both"/>
              <w:rPr>
                <w:rFonts w:hint="default" w:ascii="宋体" w:hAnsi="宋体" w:eastAsia="宋体"/>
                <w:b/>
                <w:color w:val="auto"/>
                <w:spacing w:val="6"/>
                <w:position w:val="0"/>
                <w:sz w:val="21"/>
                <w:szCs w:val="21"/>
              </w:rPr>
            </w:pPr>
            <w:r>
              <w:rPr>
                <w:rFonts w:hint="default" w:ascii="宋体" w:hAnsi="宋体" w:eastAsia="宋体"/>
                <w:b/>
                <w:color w:val="auto"/>
                <w:spacing w:val="6"/>
                <w:position w:val="0"/>
                <w:sz w:val="21"/>
                <w:szCs w:val="21"/>
              </w:rPr>
              <w:t>3、成果要求</w:t>
            </w:r>
          </w:p>
          <w:p>
            <w:pPr>
              <w:snapToGrid w:val="0"/>
              <w:spacing w:line="460" w:lineRule="exact"/>
              <w:ind w:firstLine="420" w:firstLineChars="200"/>
              <w:textAlignment w:val="baseline"/>
              <w:rPr>
                <w:rFonts w:hint="default" w:ascii="宋体" w:hAnsi="宋体" w:eastAsia="宋体" w:cstheme="minorBidi"/>
                <w:color w:val="auto"/>
                <w:w w:val="100"/>
                <w:position w:val="0"/>
                <w:sz w:val="21"/>
                <w:szCs w:val="21"/>
                <w:shd w:val="clear"/>
              </w:rPr>
            </w:pPr>
            <w:r>
              <w:rPr>
                <w:rFonts w:hint="eastAsia" w:ascii="宋体" w:hAnsi="宋体" w:eastAsia="宋体" w:cstheme="minorBidi"/>
                <w:color w:val="auto"/>
                <w:w w:val="100"/>
                <w:position w:val="0"/>
                <w:sz w:val="21"/>
                <w:szCs w:val="21"/>
                <w:shd w:val="clear"/>
              </w:rPr>
              <w:t>（</w:t>
            </w:r>
            <w:r>
              <w:rPr>
                <w:rFonts w:hint="eastAsia" w:ascii="宋体" w:hAnsi="宋体" w:eastAsia="宋体" w:cstheme="minorBidi"/>
                <w:color w:val="auto"/>
                <w:w w:val="100"/>
                <w:position w:val="0"/>
                <w:sz w:val="21"/>
                <w:szCs w:val="21"/>
                <w:shd w:val="clear"/>
                <w:lang w:val="en-US"/>
              </w:rPr>
              <w:t>1</w:t>
            </w:r>
            <w:r>
              <w:rPr>
                <w:rFonts w:hint="eastAsia" w:ascii="宋体" w:hAnsi="宋体" w:eastAsia="宋体" w:cstheme="minorBidi"/>
                <w:color w:val="auto"/>
                <w:w w:val="100"/>
                <w:position w:val="0"/>
                <w:sz w:val="21"/>
                <w:szCs w:val="21"/>
                <w:shd w:val="clear"/>
              </w:rPr>
              <w:t>）</w:t>
            </w:r>
            <w:r>
              <w:rPr>
                <w:rFonts w:hint="default" w:ascii="宋体" w:hAnsi="宋体" w:eastAsia="宋体" w:cstheme="minorBidi"/>
                <w:color w:val="auto"/>
                <w:w w:val="100"/>
                <w:position w:val="0"/>
                <w:sz w:val="21"/>
                <w:szCs w:val="21"/>
                <w:shd w:val="clear"/>
              </w:rPr>
              <w:t>按照《中华人民共和国水污染防治法》《饮用水水源保护区划分技术规范》（HJ338-2018）的有关规定和要求，编制完成隆安县38个1000人以上农村集中式饮用水水源保护区</w:t>
            </w:r>
            <w:r>
              <w:rPr>
                <w:rFonts w:hint="eastAsia" w:ascii="宋体" w:hAnsi="宋体" w:eastAsia="宋体" w:cstheme="minorBidi"/>
                <w:color w:val="auto"/>
                <w:w w:val="100"/>
                <w:position w:val="0"/>
                <w:sz w:val="21"/>
                <w:szCs w:val="21"/>
                <w:shd w:val="clear"/>
              </w:rPr>
              <w:t>划分</w:t>
            </w:r>
            <w:r>
              <w:rPr>
                <w:rFonts w:hint="default" w:ascii="宋体" w:hAnsi="宋体" w:eastAsia="宋体" w:cstheme="minorBidi"/>
                <w:color w:val="auto"/>
                <w:w w:val="100"/>
                <w:position w:val="0"/>
                <w:sz w:val="21"/>
                <w:szCs w:val="21"/>
                <w:shd w:val="clear"/>
              </w:rPr>
              <w:t>技术报告、相关标准图件、水源地水质监测报告及划定方案</w:t>
            </w:r>
            <w:r>
              <w:rPr>
                <w:rFonts w:hint="eastAsia" w:ascii="宋体" w:hAnsi="宋体" w:eastAsia="宋体" w:cstheme="minorBidi"/>
                <w:color w:val="auto"/>
                <w:w w:val="100"/>
                <w:position w:val="0"/>
                <w:sz w:val="21"/>
                <w:szCs w:val="21"/>
                <w:shd w:val="clear"/>
              </w:rPr>
              <w:t>，</w:t>
            </w:r>
            <w:r>
              <w:rPr>
                <w:rFonts w:hint="default" w:ascii="宋体" w:hAnsi="宋体" w:eastAsia="宋体" w:cstheme="minorBidi"/>
                <w:color w:val="auto"/>
                <w:w w:val="100"/>
                <w:position w:val="0"/>
                <w:sz w:val="21"/>
                <w:szCs w:val="21"/>
                <w:shd w:val="clear"/>
              </w:rPr>
              <w:t xml:space="preserve">最终交付隆安县38个农村集中式饮用水水源保护区划分技术报告及划定方案 </w:t>
            </w:r>
            <w:r>
              <w:rPr>
                <w:rFonts w:hint="eastAsia" w:ascii="宋体" w:hAnsi="宋体" w:eastAsia="宋体" w:cstheme="minorBidi"/>
                <w:color w:val="auto"/>
                <w:w w:val="100"/>
                <w:position w:val="0"/>
                <w:sz w:val="21"/>
                <w:szCs w:val="21"/>
                <w:shd w:val="clear"/>
                <w:lang w:val="en-US" w:eastAsia="zh-CN"/>
              </w:rPr>
              <w:t>10</w:t>
            </w:r>
            <w:r>
              <w:rPr>
                <w:rFonts w:hint="default" w:ascii="宋体" w:hAnsi="宋体" w:eastAsia="宋体" w:cstheme="minorBidi"/>
                <w:color w:val="auto"/>
                <w:w w:val="100"/>
                <w:position w:val="0"/>
                <w:sz w:val="21"/>
                <w:szCs w:val="21"/>
                <w:shd w:val="clear"/>
              </w:rPr>
              <w:t>套（含文本、图件和数据库光盘）。</w:t>
            </w:r>
          </w:p>
          <w:p>
            <w:pPr>
              <w:pStyle w:val="32"/>
              <w:widowControl/>
              <w:numPr>
                <w:ilvl w:val="0"/>
                <w:numId w:val="0"/>
              </w:numPr>
              <w:snapToGrid w:val="0"/>
              <w:spacing w:line="460" w:lineRule="exact"/>
              <w:ind w:firstLine="420" w:firstLineChars="200"/>
              <w:rPr>
                <w:rFonts w:hint="default" w:ascii="宋体" w:hAnsi="宋体" w:eastAsia="宋体" w:cstheme="minorBidi"/>
                <w:color w:val="auto"/>
                <w:w w:val="100"/>
                <w:position w:val="0"/>
                <w:sz w:val="21"/>
                <w:szCs w:val="21"/>
                <w:shd w:val="clear"/>
              </w:rPr>
            </w:pPr>
            <w:r>
              <w:rPr>
                <w:rFonts w:hint="eastAsia" w:ascii="宋体" w:hAnsi="宋体" w:eastAsia="宋体" w:cstheme="minorBidi"/>
                <w:color w:val="auto"/>
                <w:w w:val="100"/>
                <w:position w:val="0"/>
                <w:sz w:val="21"/>
                <w:szCs w:val="21"/>
                <w:shd w:val="clear"/>
                <w:lang w:eastAsia="zh-CN"/>
              </w:rPr>
              <w:t>（</w:t>
            </w:r>
            <w:r>
              <w:rPr>
                <w:rFonts w:hint="eastAsia" w:ascii="宋体" w:hAnsi="宋体" w:eastAsia="宋体" w:cstheme="minorBidi"/>
                <w:color w:val="auto"/>
                <w:w w:val="100"/>
                <w:position w:val="0"/>
                <w:sz w:val="21"/>
                <w:szCs w:val="21"/>
                <w:shd w:val="clear"/>
                <w:lang w:val="en-US" w:eastAsia="zh-CN"/>
              </w:rPr>
              <w:t>2</w:t>
            </w:r>
            <w:r>
              <w:rPr>
                <w:rFonts w:hint="eastAsia" w:ascii="宋体" w:hAnsi="宋体" w:eastAsia="宋体" w:cstheme="minorBidi"/>
                <w:color w:val="auto"/>
                <w:w w:val="100"/>
                <w:position w:val="0"/>
                <w:sz w:val="21"/>
                <w:szCs w:val="21"/>
                <w:shd w:val="clear"/>
                <w:lang w:eastAsia="zh-CN"/>
              </w:rPr>
              <w:t>）</w:t>
            </w:r>
            <w:r>
              <w:rPr>
                <w:rFonts w:hint="default" w:ascii="宋体" w:hAnsi="宋体" w:eastAsia="宋体" w:cstheme="minorBidi"/>
                <w:color w:val="auto"/>
                <w:w w:val="100"/>
                <w:position w:val="0"/>
                <w:sz w:val="21"/>
                <w:szCs w:val="21"/>
                <w:shd w:val="clear"/>
              </w:rPr>
              <w:t>服务及成果应符合最新国家及地方相关规范、政策及相关技术标准，符合</w:t>
            </w:r>
            <w:r>
              <w:rPr>
                <w:rFonts w:hint="eastAsia" w:ascii="宋体" w:hAnsi="宋体" w:eastAsia="宋体" w:cstheme="minorBidi"/>
                <w:color w:val="auto"/>
                <w:w w:val="100"/>
                <w:position w:val="0"/>
                <w:sz w:val="21"/>
                <w:szCs w:val="21"/>
                <w:shd w:val="clear"/>
              </w:rPr>
              <w:t>隆安</w:t>
            </w:r>
            <w:r>
              <w:rPr>
                <w:rFonts w:hint="default" w:ascii="宋体" w:hAnsi="宋体" w:eastAsia="宋体" w:cstheme="minorBidi"/>
                <w:color w:val="auto"/>
                <w:w w:val="100"/>
                <w:position w:val="0"/>
                <w:sz w:val="21"/>
                <w:szCs w:val="21"/>
                <w:shd w:val="clear"/>
              </w:rPr>
              <w:t>县</w:t>
            </w:r>
            <w:r>
              <w:rPr>
                <w:rFonts w:hint="eastAsia" w:ascii="宋体" w:hAnsi="宋体" w:eastAsia="宋体" w:cstheme="minorBidi"/>
                <w:color w:val="auto"/>
                <w:w w:val="100"/>
                <w:position w:val="0"/>
                <w:sz w:val="21"/>
                <w:szCs w:val="21"/>
                <w:shd w:val="clear"/>
              </w:rPr>
              <w:t>各乡</w:t>
            </w:r>
            <w:r>
              <w:rPr>
                <w:rFonts w:hint="default" w:ascii="宋体" w:hAnsi="宋体" w:eastAsia="宋体" w:cstheme="minorBidi"/>
                <w:color w:val="auto"/>
                <w:w w:val="100"/>
                <w:position w:val="0"/>
                <w:sz w:val="21"/>
                <w:szCs w:val="21"/>
                <w:shd w:val="clear"/>
              </w:rPr>
              <w:t>镇的实际情况，</w:t>
            </w:r>
            <w:r>
              <w:rPr>
                <w:rFonts w:hint="eastAsia" w:ascii="宋体" w:hAnsi="宋体" w:eastAsia="宋体" w:cstheme="minorBidi"/>
                <w:color w:val="auto"/>
                <w:w w:val="100"/>
                <w:position w:val="0"/>
                <w:sz w:val="21"/>
                <w:szCs w:val="21"/>
                <w:shd w:val="clear"/>
              </w:rPr>
              <w:t>与隆安县各项规划相一致，</w:t>
            </w:r>
            <w:r>
              <w:rPr>
                <w:rFonts w:hint="default" w:ascii="宋体" w:hAnsi="宋体" w:eastAsia="宋体" w:cstheme="minorBidi"/>
                <w:color w:val="auto"/>
                <w:w w:val="100"/>
                <w:position w:val="0"/>
                <w:sz w:val="21"/>
                <w:szCs w:val="21"/>
                <w:shd w:val="clear"/>
              </w:rPr>
              <w:t>具有前瞻性，可操作性，以保证报告书的规划全面落实。</w:t>
            </w:r>
          </w:p>
          <w:p>
            <w:pPr>
              <w:pStyle w:val="32"/>
              <w:widowControl/>
              <w:numPr>
                <w:ilvl w:val="0"/>
                <w:numId w:val="0"/>
              </w:numPr>
              <w:snapToGrid w:val="0"/>
              <w:spacing w:line="460" w:lineRule="exact"/>
              <w:ind w:firstLine="420" w:firstLineChars="200"/>
              <w:rPr>
                <w:rFonts w:hint="default" w:ascii="宋体" w:hAnsi="宋体" w:eastAsia="宋体" w:cstheme="minorBidi"/>
                <w:color w:val="auto"/>
                <w:w w:val="100"/>
                <w:position w:val="0"/>
                <w:sz w:val="21"/>
                <w:szCs w:val="21"/>
                <w:shd w:val="clear"/>
              </w:rPr>
            </w:pPr>
            <w:r>
              <w:rPr>
                <w:rFonts w:hint="eastAsia" w:ascii="宋体" w:hAnsi="宋体" w:eastAsia="宋体" w:cstheme="minorBidi"/>
                <w:color w:val="auto"/>
                <w:w w:val="100"/>
                <w:position w:val="0"/>
                <w:sz w:val="21"/>
                <w:szCs w:val="21"/>
                <w:shd w:val="clear"/>
              </w:rPr>
              <w:t>（</w:t>
            </w:r>
            <w:r>
              <w:rPr>
                <w:rFonts w:hint="eastAsia" w:ascii="宋体" w:hAnsi="宋体" w:eastAsia="宋体" w:cstheme="minorBidi"/>
                <w:color w:val="auto"/>
                <w:w w:val="100"/>
                <w:position w:val="0"/>
                <w:sz w:val="21"/>
                <w:szCs w:val="21"/>
                <w:shd w:val="clear"/>
                <w:lang w:val="en-US"/>
              </w:rPr>
              <w:t>3</w:t>
            </w:r>
            <w:r>
              <w:rPr>
                <w:rFonts w:hint="eastAsia" w:ascii="宋体" w:hAnsi="宋体" w:eastAsia="宋体" w:cstheme="minorBidi"/>
                <w:color w:val="auto"/>
                <w:w w:val="100"/>
                <w:position w:val="0"/>
                <w:sz w:val="21"/>
                <w:szCs w:val="21"/>
                <w:shd w:val="clear"/>
              </w:rPr>
              <w:t>）</w:t>
            </w:r>
            <w:r>
              <w:rPr>
                <w:rFonts w:hint="default" w:ascii="宋体" w:hAnsi="宋体" w:eastAsia="宋体" w:cstheme="minorBidi"/>
                <w:color w:val="auto"/>
                <w:w w:val="100"/>
                <w:position w:val="0"/>
                <w:sz w:val="21"/>
                <w:szCs w:val="21"/>
                <w:shd w:val="clear"/>
              </w:rPr>
              <w:t>编制单位要认真开展基础情况调查与评估、水源地水质监测、编制技术报告书和划定方案，组织技术报告评审和评审会务等工作，确保能够通过审核、审批。</w:t>
            </w:r>
          </w:p>
          <w:p>
            <w:pPr>
              <w:pStyle w:val="32"/>
              <w:widowControl/>
              <w:numPr>
                <w:ilvl w:val="0"/>
                <w:numId w:val="0"/>
              </w:numPr>
              <w:snapToGrid w:val="0"/>
              <w:spacing w:line="460" w:lineRule="exact"/>
              <w:ind w:firstLine="420" w:firstLineChars="200"/>
              <w:rPr>
                <w:rFonts w:hint="default" w:ascii="宋体" w:hAnsi="宋体" w:eastAsia="宋体" w:cstheme="minorBidi"/>
                <w:color w:val="auto"/>
                <w:w w:val="100"/>
                <w:position w:val="0"/>
                <w:sz w:val="21"/>
                <w:szCs w:val="21"/>
                <w:shd w:val="cle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771" w:type="dxa"/>
            <w:gridSpan w:val="3"/>
            <w:vAlign w:val="center"/>
          </w:tcPr>
          <w:p>
            <w:pPr>
              <w:numPr>
                <w:ilvl w:val="0"/>
                <w:numId w:val="0"/>
              </w:numPr>
              <w:autoSpaceDE/>
              <w:autoSpaceDN/>
              <w:spacing w:before="0" w:after="0" w:line="400" w:lineRule="exact"/>
              <w:ind w:right="0" w:firstLine="0"/>
              <w:jc w:val="both"/>
              <w:rPr>
                <w:rFonts w:hint="default" w:ascii="宋体" w:hAnsi="宋体" w:eastAsia="宋体"/>
                <w:color w:val="auto"/>
                <w:position w:val="0"/>
                <w:sz w:val="21"/>
                <w:szCs w:val="21"/>
              </w:rPr>
            </w:pPr>
            <w:r>
              <w:rPr>
                <w:rFonts w:hint="default" w:ascii="宋体" w:hAnsi="宋体" w:eastAsia="宋体"/>
                <w:b/>
                <w:color w:val="auto"/>
                <w:position w:val="0"/>
                <w:sz w:val="21"/>
                <w:szCs w:val="21"/>
              </w:rPr>
              <w:t>商务条款要求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3" w:type="dxa"/>
            <w:gridSpan w:val="2"/>
            <w:vAlign w:val="center"/>
          </w:tcPr>
          <w:p>
            <w:pPr>
              <w:numPr>
                <w:ilvl w:val="0"/>
                <w:numId w:val="0"/>
              </w:numPr>
              <w:autoSpaceDE/>
              <w:autoSpaceDN/>
              <w:spacing w:before="0" w:after="0" w:line="400" w:lineRule="exact"/>
              <w:ind w:right="0" w:firstLine="0"/>
              <w:jc w:val="center"/>
              <w:outlineLvl w:val="0"/>
              <w:rPr>
                <w:rFonts w:hint="default" w:ascii="宋体" w:hAnsi="宋体" w:eastAsia="宋体"/>
                <w:color w:val="auto"/>
                <w:position w:val="0"/>
                <w:sz w:val="21"/>
                <w:szCs w:val="21"/>
              </w:rPr>
            </w:pPr>
            <w:r>
              <w:rPr>
                <w:rFonts w:hint="default" w:ascii="宋体" w:hAnsi="宋体" w:eastAsia="宋体"/>
                <w:color w:val="auto"/>
                <w:position w:val="0"/>
                <w:sz w:val="21"/>
                <w:szCs w:val="21"/>
              </w:rPr>
              <w:t>磋商报价</w:t>
            </w:r>
          </w:p>
        </w:tc>
        <w:tc>
          <w:tcPr>
            <w:tcW w:w="7348" w:type="dxa"/>
            <w:vAlign w:val="top"/>
          </w:tcPr>
          <w:p>
            <w:pPr>
              <w:numPr>
                <w:ilvl w:val="0"/>
                <w:numId w:val="0"/>
              </w:numPr>
              <w:autoSpaceDE/>
              <w:autoSpaceDN/>
              <w:spacing w:before="0" w:after="0" w:line="400" w:lineRule="exact"/>
              <w:ind w:right="0" w:firstLine="0"/>
              <w:jc w:val="both"/>
              <w:outlineLvl w:val="0"/>
              <w:rPr>
                <w:rFonts w:hint="default" w:ascii="宋体" w:hAnsi="宋体" w:eastAsia="宋体"/>
                <w:color w:val="auto"/>
                <w:position w:val="0"/>
                <w:sz w:val="21"/>
                <w:szCs w:val="21"/>
              </w:rPr>
            </w:pPr>
            <w:r>
              <w:rPr>
                <w:rFonts w:hint="default" w:ascii="宋体" w:hAnsi="宋体" w:eastAsia="宋体"/>
                <w:color w:val="auto"/>
                <w:position w:val="0"/>
                <w:sz w:val="21"/>
                <w:szCs w:val="21"/>
              </w:rPr>
              <w:t>包含采样、规划、编制、评审期间所产生的费用(含交通费、采样费、监测费、人工费食宿费、通讯费等)及对本项目所产生的所有开支、责任和风险等所发生的各项费用的总和。服务期间产生的其他费用由成交人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423" w:type="dxa"/>
            <w:gridSpan w:val="2"/>
            <w:vAlign w:val="center"/>
          </w:tcPr>
          <w:p>
            <w:pPr>
              <w:numPr>
                <w:ilvl w:val="0"/>
                <w:numId w:val="0"/>
              </w:numPr>
              <w:autoSpaceDE/>
              <w:autoSpaceDN/>
              <w:spacing w:before="0" w:after="0" w:line="400" w:lineRule="exact"/>
              <w:ind w:right="0" w:firstLine="0"/>
              <w:jc w:val="center"/>
              <w:outlineLvl w:val="0"/>
              <w:rPr>
                <w:rFonts w:hint="default" w:ascii="宋体" w:hAnsi="宋体" w:eastAsia="宋体"/>
                <w:color w:val="auto"/>
                <w:position w:val="0"/>
                <w:sz w:val="21"/>
                <w:szCs w:val="21"/>
              </w:rPr>
            </w:pPr>
            <w:r>
              <w:rPr>
                <w:rFonts w:hint="default" w:ascii="宋体" w:hAnsi="宋体" w:eastAsia="宋体"/>
                <w:color w:val="auto"/>
                <w:position w:val="0"/>
                <w:sz w:val="21"/>
                <w:szCs w:val="21"/>
              </w:rPr>
              <w:t>付款方式</w:t>
            </w:r>
          </w:p>
        </w:tc>
        <w:tc>
          <w:tcPr>
            <w:tcW w:w="7348" w:type="dxa"/>
            <w:vAlign w:val="top"/>
          </w:tcPr>
          <w:p>
            <w:pPr>
              <w:numPr>
                <w:ilvl w:val="0"/>
                <w:numId w:val="0"/>
              </w:numPr>
              <w:autoSpaceDE/>
              <w:autoSpaceDN/>
              <w:spacing w:before="0" w:after="0" w:line="400" w:lineRule="exact"/>
              <w:ind w:right="0" w:firstLine="0"/>
              <w:jc w:val="both"/>
              <w:outlineLvl w:val="0"/>
              <w:rPr>
                <w:rFonts w:hint="default" w:ascii="宋体" w:hAnsi="宋体" w:eastAsia="宋体"/>
                <w:color w:val="auto"/>
                <w:position w:val="0"/>
                <w:sz w:val="21"/>
                <w:szCs w:val="21"/>
              </w:rPr>
            </w:pPr>
            <w:bookmarkStart w:id="43" w:name="_Hlk66728065"/>
            <w:r>
              <w:rPr>
                <w:rFonts w:hint="default" w:ascii="宋体" w:hAnsi="宋体" w:eastAsia="宋体"/>
                <w:color w:val="auto"/>
                <w:position w:val="0"/>
                <w:sz w:val="21"/>
                <w:szCs w:val="21"/>
              </w:rPr>
              <w:t>（1）自合同生效之日后，乙方可向甲方申请支付本合同总金额40%的经费；</w:t>
            </w:r>
          </w:p>
          <w:p>
            <w:pPr>
              <w:numPr>
                <w:ilvl w:val="0"/>
                <w:numId w:val="0"/>
              </w:numPr>
              <w:autoSpaceDE/>
              <w:autoSpaceDN/>
              <w:spacing w:before="0" w:after="0" w:line="400" w:lineRule="exact"/>
              <w:ind w:right="0" w:firstLine="0"/>
              <w:jc w:val="both"/>
              <w:outlineLvl w:val="0"/>
              <w:rPr>
                <w:rFonts w:hint="default" w:ascii="宋体" w:hAnsi="宋体" w:eastAsia="宋体"/>
                <w:color w:val="auto"/>
                <w:position w:val="0"/>
                <w:sz w:val="21"/>
                <w:szCs w:val="21"/>
              </w:rPr>
            </w:pPr>
            <w:r>
              <w:rPr>
                <w:rFonts w:hint="default" w:ascii="宋体" w:hAnsi="宋体" w:eastAsia="宋体"/>
                <w:color w:val="auto"/>
                <w:position w:val="0"/>
                <w:sz w:val="21"/>
                <w:szCs w:val="21"/>
              </w:rPr>
              <w:t>（2）隆安县38个1000人以上农村集中式饮用水水源保护区划定技术报告编制完成通过专家评审并修改完善经县人民政府按程序上报后，乙方可向甲方申请支付本合同总金额50%的经费。</w:t>
            </w:r>
          </w:p>
          <w:p>
            <w:pPr>
              <w:numPr>
                <w:ilvl w:val="0"/>
                <w:numId w:val="0"/>
              </w:numPr>
              <w:autoSpaceDE/>
              <w:autoSpaceDN/>
              <w:spacing w:before="0" w:after="0" w:line="400" w:lineRule="exact"/>
              <w:ind w:right="0" w:firstLine="0"/>
              <w:jc w:val="both"/>
              <w:outlineLvl w:val="0"/>
              <w:rPr>
                <w:rFonts w:hint="default" w:ascii="宋体" w:hAnsi="宋体" w:eastAsia="宋体"/>
                <w:color w:val="auto"/>
                <w:position w:val="0"/>
                <w:sz w:val="21"/>
                <w:szCs w:val="21"/>
              </w:rPr>
            </w:pPr>
            <w:r>
              <w:rPr>
                <w:rFonts w:hint="default" w:ascii="宋体" w:hAnsi="宋体" w:eastAsia="宋体"/>
                <w:color w:val="auto"/>
                <w:position w:val="0"/>
                <w:sz w:val="21"/>
                <w:szCs w:val="21"/>
              </w:rPr>
              <w:t>（3）保护区划分技术报告获得批复后，乙方可向甲方申请支付本合同总金额10%的尾款</w:t>
            </w:r>
            <w:bookmarkEnd w:id="43"/>
            <w:r>
              <w:rPr>
                <w:rFonts w:hint="default" w:ascii="宋体" w:hAnsi="宋体" w:eastAsia="宋体"/>
                <w:color w:val="auto"/>
                <w:positio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trPr>
        <w:tc>
          <w:tcPr>
            <w:tcW w:w="2423" w:type="dxa"/>
            <w:gridSpan w:val="2"/>
            <w:vAlign w:val="center"/>
          </w:tcPr>
          <w:p>
            <w:pPr>
              <w:numPr>
                <w:ilvl w:val="0"/>
                <w:numId w:val="0"/>
              </w:numPr>
              <w:autoSpaceDE/>
              <w:autoSpaceDN/>
              <w:spacing w:before="0" w:after="0" w:line="400" w:lineRule="exact"/>
              <w:ind w:right="0" w:firstLine="0"/>
              <w:jc w:val="center"/>
              <w:outlineLvl w:val="0"/>
              <w:rPr>
                <w:rFonts w:hint="default" w:ascii="宋体" w:hAnsi="宋体" w:eastAsia="宋体"/>
                <w:color w:val="auto"/>
                <w:position w:val="0"/>
                <w:sz w:val="21"/>
                <w:szCs w:val="21"/>
              </w:rPr>
            </w:pPr>
            <w:r>
              <w:rPr>
                <w:rFonts w:hint="default" w:ascii="宋体" w:hAnsi="宋体" w:eastAsia="宋体"/>
                <w:color w:val="auto"/>
                <w:position w:val="0"/>
                <w:sz w:val="21"/>
                <w:szCs w:val="21"/>
              </w:rPr>
              <w:t>合同签订</w:t>
            </w:r>
          </w:p>
        </w:tc>
        <w:tc>
          <w:tcPr>
            <w:tcW w:w="7348" w:type="dxa"/>
            <w:vAlign w:val="center"/>
          </w:tcPr>
          <w:p>
            <w:pPr>
              <w:numPr>
                <w:ilvl w:val="0"/>
                <w:numId w:val="0"/>
              </w:numPr>
              <w:autoSpaceDE/>
              <w:autoSpaceDN/>
              <w:spacing w:before="0" w:after="0" w:line="400" w:lineRule="exact"/>
              <w:ind w:right="0" w:firstLine="0"/>
              <w:jc w:val="left"/>
              <w:outlineLvl w:val="0"/>
              <w:rPr>
                <w:rFonts w:hint="default" w:ascii="宋体" w:hAnsi="宋体" w:eastAsia="宋体"/>
                <w:color w:val="auto"/>
                <w:position w:val="0"/>
                <w:sz w:val="21"/>
                <w:szCs w:val="21"/>
              </w:rPr>
            </w:pPr>
            <w:r>
              <w:rPr>
                <w:rFonts w:hint="default" w:ascii="宋体" w:hAnsi="宋体" w:eastAsia="宋体"/>
                <w:color w:val="auto"/>
                <w:position w:val="0"/>
                <w:sz w:val="21"/>
                <w:szCs w:val="21"/>
              </w:rPr>
              <w:t>自中标通知书发出之日起</w:t>
            </w:r>
            <w:r>
              <w:rPr>
                <w:rFonts w:hint="default" w:ascii="宋体" w:hAnsi="宋体" w:eastAsia="宋体"/>
                <w:color w:val="auto"/>
                <w:position w:val="0"/>
                <w:sz w:val="21"/>
                <w:szCs w:val="21"/>
                <w:lang w:val="en-US" w:eastAsia="zh-CN"/>
              </w:rPr>
              <w:t>25</w:t>
            </w:r>
            <w:r>
              <w:rPr>
                <w:rFonts w:hint="default" w:ascii="宋体" w:hAnsi="宋体" w:eastAsia="宋体"/>
                <w:color w:val="auto"/>
                <w:position w:val="0"/>
                <w:sz w:val="21"/>
                <w:szCs w:val="21"/>
              </w:rPr>
              <w:t xml:space="preserve"> 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3" w:hRule="atLeast"/>
        </w:trPr>
        <w:tc>
          <w:tcPr>
            <w:tcW w:w="2423" w:type="dxa"/>
            <w:gridSpan w:val="2"/>
            <w:vAlign w:val="center"/>
          </w:tcPr>
          <w:p>
            <w:pPr>
              <w:pStyle w:val="31"/>
              <w:numPr>
                <w:ilvl w:val="0"/>
                <w:numId w:val="0"/>
              </w:numPr>
              <w:autoSpaceDE/>
              <w:autoSpaceDN/>
              <w:spacing w:before="0" w:after="0" w:line="400" w:lineRule="exact"/>
              <w:ind w:right="0" w:firstLine="0"/>
              <w:jc w:val="center"/>
              <w:rPr>
                <w:rFonts w:hint="default" w:ascii="宋体" w:hAnsi="宋体" w:eastAsia="宋体"/>
                <w:color w:val="auto"/>
                <w:position w:val="0"/>
                <w:sz w:val="21"/>
                <w:szCs w:val="21"/>
                <w:highlight w:val="none"/>
              </w:rPr>
            </w:pPr>
            <w:r>
              <w:rPr>
                <w:rFonts w:hint="default" w:ascii="宋体" w:hAnsi="宋体" w:eastAsia="宋体"/>
                <w:color w:val="auto"/>
                <w:position w:val="0"/>
                <w:sz w:val="21"/>
                <w:szCs w:val="21"/>
                <w:highlight w:val="none"/>
              </w:rPr>
              <w:t>成果交付时间及地点</w:t>
            </w:r>
          </w:p>
        </w:tc>
        <w:tc>
          <w:tcPr>
            <w:tcW w:w="7348" w:type="dxa"/>
            <w:vAlign w:val="top"/>
          </w:tcPr>
          <w:p>
            <w:pPr>
              <w:numPr>
                <w:ilvl w:val="0"/>
                <w:numId w:val="0"/>
              </w:numPr>
              <w:autoSpaceDE/>
              <w:autoSpaceDN/>
              <w:spacing w:before="0" w:after="0" w:line="400" w:lineRule="exact"/>
              <w:ind w:right="0" w:firstLine="0"/>
              <w:jc w:val="both"/>
              <w:rPr>
                <w:rFonts w:hint="default" w:ascii="宋体" w:hAnsi="宋体" w:eastAsia="宋体"/>
                <w:color w:val="auto"/>
                <w:position w:val="0"/>
                <w:sz w:val="21"/>
                <w:szCs w:val="21"/>
                <w:highlight w:val="none"/>
              </w:rPr>
            </w:pPr>
            <w:r>
              <w:rPr>
                <w:rFonts w:hint="default" w:ascii="宋体" w:hAnsi="宋体" w:eastAsia="宋体"/>
                <w:color w:val="auto"/>
                <w:position w:val="0"/>
                <w:sz w:val="21"/>
                <w:szCs w:val="21"/>
                <w:highlight w:val="none"/>
              </w:rPr>
              <w:t>1.成果交付时间：合同签订之日起70天内提交服务成果。</w:t>
            </w:r>
          </w:p>
          <w:p>
            <w:pPr>
              <w:numPr>
                <w:ilvl w:val="0"/>
                <w:numId w:val="0"/>
              </w:numPr>
              <w:autoSpaceDE/>
              <w:autoSpaceDN/>
              <w:spacing w:before="0" w:after="0" w:line="400" w:lineRule="exact"/>
              <w:ind w:right="0" w:firstLine="0"/>
              <w:jc w:val="both"/>
              <w:rPr>
                <w:rFonts w:hint="default" w:ascii="宋体" w:hAnsi="宋体" w:eastAsia="宋体"/>
                <w:color w:val="auto"/>
                <w:position w:val="0"/>
                <w:sz w:val="21"/>
                <w:szCs w:val="21"/>
                <w:highlight w:val="none"/>
              </w:rPr>
            </w:pPr>
            <w:r>
              <w:rPr>
                <w:rFonts w:hint="default" w:ascii="宋体" w:hAnsi="宋体" w:eastAsia="宋体"/>
                <w:color w:val="auto"/>
                <w:position w:val="0"/>
                <w:sz w:val="21"/>
                <w:szCs w:val="21"/>
                <w:highlight w:val="none"/>
              </w:rPr>
              <w:t>2.提交服务成果地点：</w:t>
            </w:r>
            <w:r>
              <w:rPr>
                <w:rFonts w:hint="eastAsia" w:ascii="宋体" w:hAnsi="宋体"/>
                <w:color w:val="auto"/>
                <w:position w:val="0"/>
                <w:sz w:val="21"/>
                <w:szCs w:val="21"/>
                <w:highlight w:val="none"/>
                <w:lang w:val="en-US" w:eastAsia="zh-CN"/>
              </w:rPr>
              <w:t>采购人指定项目地点</w:t>
            </w:r>
            <w:r>
              <w:rPr>
                <w:rFonts w:hint="default" w:ascii="宋体" w:hAnsi="宋体" w:eastAsia="宋体"/>
                <w:color w:val="auto"/>
                <w:position w:val="0"/>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2423" w:type="dxa"/>
            <w:gridSpan w:val="2"/>
            <w:vAlign w:val="center"/>
          </w:tcPr>
          <w:p>
            <w:pPr>
              <w:pStyle w:val="31"/>
              <w:numPr>
                <w:ilvl w:val="0"/>
                <w:numId w:val="0"/>
              </w:numPr>
              <w:autoSpaceDE/>
              <w:autoSpaceDN/>
              <w:spacing w:before="0" w:after="0" w:line="400" w:lineRule="exact"/>
              <w:ind w:left="0" w:leftChars="0" w:right="0" w:rightChars="0" w:firstLine="0" w:firstLineChars="0"/>
              <w:jc w:val="center"/>
              <w:rPr>
                <w:rFonts w:hint="default" w:ascii="宋体" w:hAnsi="宋体" w:eastAsia="宋体"/>
                <w:color w:val="auto"/>
                <w:position w:val="0"/>
                <w:sz w:val="21"/>
                <w:szCs w:val="21"/>
              </w:rPr>
            </w:pPr>
            <w:r>
              <w:rPr>
                <w:rFonts w:hint="eastAsia" w:ascii="宋体" w:hAnsi="宋体"/>
                <w:color w:val="auto"/>
                <w:position w:val="0"/>
                <w:sz w:val="21"/>
                <w:szCs w:val="21"/>
                <w:lang w:val="en-US" w:eastAsia="zh-CN"/>
              </w:rPr>
              <w:t>质量要求</w:t>
            </w:r>
          </w:p>
        </w:tc>
        <w:tc>
          <w:tcPr>
            <w:tcW w:w="7348" w:type="dxa"/>
            <w:vAlign w:val="top"/>
          </w:tcPr>
          <w:p>
            <w:pPr>
              <w:numPr>
                <w:ilvl w:val="0"/>
                <w:numId w:val="0"/>
              </w:numPr>
              <w:autoSpaceDE/>
              <w:autoSpaceDN/>
              <w:spacing w:before="0" w:after="0" w:line="400" w:lineRule="exact"/>
              <w:ind w:left="0" w:leftChars="0" w:right="0" w:rightChars="0" w:firstLine="0" w:firstLineChars="0"/>
              <w:jc w:val="both"/>
              <w:rPr>
                <w:rFonts w:hint="default" w:ascii="宋体" w:hAnsi="宋体" w:eastAsia="宋体"/>
                <w:color w:val="auto"/>
                <w:position w:val="0"/>
                <w:sz w:val="21"/>
                <w:szCs w:val="21"/>
              </w:rPr>
            </w:pPr>
            <w:r>
              <w:rPr>
                <w:rFonts w:hint="default" w:ascii="宋体" w:hAnsi="宋体" w:eastAsia="宋体"/>
                <w:color w:val="auto"/>
                <w:position w:val="0"/>
                <w:sz w:val="21"/>
                <w:szCs w:val="21"/>
                <w:lang w:val="en-US" w:eastAsia="zh-CN"/>
              </w:rPr>
              <w:t>所有文件应当符合国家规定的标准和现行技术规范、规程要求，并通过有关主管部门审查合格</w:t>
            </w:r>
            <w:r>
              <w:rPr>
                <w:rFonts w:hint="eastAsia" w:ascii="宋体" w:hAnsi="宋体"/>
                <w:color w:val="auto"/>
                <w:positio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3" w:type="dxa"/>
            <w:gridSpan w:val="2"/>
            <w:vAlign w:val="center"/>
          </w:tcPr>
          <w:p>
            <w:pPr>
              <w:pStyle w:val="31"/>
              <w:numPr>
                <w:ilvl w:val="0"/>
                <w:numId w:val="0"/>
              </w:numPr>
              <w:autoSpaceDE/>
              <w:autoSpaceDN/>
              <w:spacing w:before="0" w:after="0" w:line="400" w:lineRule="exact"/>
              <w:ind w:right="0" w:firstLine="0"/>
              <w:jc w:val="center"/>
              <w:rPr>
                <w:rFonts w:hint="default" w:ascii="宋体" w:hAnsi="宋体" w:eastAsia="宋体"/>
                <w:color w:val="auto"/>
                <w:position w:val="0"/>
                <w:sz w:val="21"/>
                <w:szCs w:val="21"/>
              </w:rPr>
            </w:pPr>
            <w:r>
              <w:rPr>
                <w:rFonts w:hint="default" w:ascii="宋体" w:hAnsi="宋体" w:eastAsia="宋体"/>
                <w:color w:val="auto"/>
                <w:position w:val="0"/>
                <w:sz w:val="21"/>
                <w:szCs w:val="21"/>
              </w:rPr>
              <w:t>售后服务要求</w:t>
            </w:r>
          </w:p>
        </w:tc>
        <w:tc>
          <w:tcPr>
            <w:tcW w:w="7348" w:type="dxa"/>
            <w:vAlign w:val="top"/>
          </w:tcPr>
          <w:p>
            <w:pPr>
              <w:numPr>
                <w:ilvl w:val="0"/>
                <w:numId w:val="0"/>
              </w:numPr>
              <w:autoSpaceDE/>
              <w:autoSpaceDN/>
              <w:spacing w:before="0" w:after="0" w:line="400" w:lineRule="exact"/>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1．处理问题响应时间：接到采购单位处理问题通知后24小时内到达采购单位指定现场。</w:t>
            </w:r>
          </w:p>
          <w:p>
            <w:pPr>
              <w:numPr>
                <w:ilvl w:val="0"/>
                <w:numId w:val="0"/>
              </w:numPr>
              <w:autoSpaceDE/>
              <w:autoSpaceDN/>
              <w:spacing w:before="0" w:after="0" w:line="400" w:lineRule="exact"/>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2．成交人必须按时按质按量提供相关水质检测数据、技术规划编制报告，如发现弄虚作假，项目业主有权终止合同，并向有关部门反映情况。禁止成交企业采取转包的形式转由其他技术单位编制。</w:t>
            </w:r>
          </w:p>
          <w:p>
            <w:pPr>
              <w:numPr>
                <w:ilvl w:val="0"/>
                <w:numId w:val="0"/>
              </w:numPr>
              <w:autoSpaceDE/>
              <w:autoSpaceDN/>
              <w:spacing w:before="0" w:after="0" w:line="400" w:lineRule="exact"/>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3．服务期间，成交人应自觉接受项目业主的工作监督，业主有权不定期抽查成交人的工作开展情况。</w:t>
            </w:r>
          </w:p>
          <w:p>
            <w:pPr>
              <w:numPr>
                <w:ilvl w:val="0"/>
                <w:numId w:val="0"/>
              </w:numPr>
              <w:autoSpaceDE/>
              <w:autoSpaceDN/>
              <w:spacing w:before="0" w:after="0" w:line="400" w:lineRule="exact"/>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4．签订合同后，成交人按计划，按时提交成果报告。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3" w:type="dxa"/>
            <w:gridSpan w:val="2"/>
            <w:vAlign w:val="center"/>
          </w:tcPr>
          <w:p>
            <w:pPr>
              <w:numPr>
                <w:ilvl w:val="0"/>
                <w:numId w:val="0"/>
              </w:numPr>
              <w:autoSpaceDE/>
              <w:autoSpaceDN/>
              <w:spacing w:before="0" w:after="0" w:line="400" w:lineRule="exact"/>
              <w:ind w:right="0" w:firstLine="0"/>
              <w:jc w:val="center"/>
              <w:outlineLvl w:val="0"/>
              <w:rPr>
                <w:rFonts w:hint="default" w:ascii="宋体" w:hAnsi="宋体" w:eastAsia="宋体"/>
                <w:color w:val="auto"/>
                <w:position w:val="0"/>
                <w:sz w:val="21"/>
                <w:szCs w:val="21"/>
              </w:rPr>
            </w:pPr>
            <w:r>
              <w:rPr>
                <w:rFonts w:hint="default" w:ascii="宋体" w:hAnsi="宋体" w:eastAsia="宋体"/>
                <w:color w:val="auto"/>
                <w:position w:val="0"/>
                <w:sz w:val="21"/>
                <w:szCs w:val="21"/>
              </w:rPr>
              <w:t>其他要求</w:t>
            </w:r>
          </w:p>
        </w:tc>
        <w:tc>
          <w:tcPr>
            <w:tcW w:w="7348" w:type="dxa"/>
            <w:vAlign w:val="top"/>
          </w:tcPr>
          <w:p>
            <w:pPr>
              <w:numPr>
                <w:ilvl w:val="0"/>
                <w:numId w:val="0"/>
              </w:numPr>
              <w:autoSpaceDE/>
              <w:autoSpaceDN/>
              <w:spacing w:before="0" w:after="0" w:line="400" w:lineRule="exact"/>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1.若成交供应商所供货物或服务不按采购文件要求履约的，将按照《中华人民共和国政府采购法》等有关规定严肃处理。</w:t>
            </w:r>
          </w:p>
          <w:p>
            <w:pPr>
              <w:numPr>
                <w:ilvl w:val="0"/>
                <w:numId w:val="0"/>
              </w:numPr>
              <w:autoSpaceDE/>
              <w:autoSpaceDN/>
              <w:spacing w:before="0" w:after="0" w:line="400" w:lineRule="exact"/>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2.在磋商活动中提供任何虚假材料，其磋商无效，并报监管部门查处。</w:t>
            </w:r>
          </w:p>
          <w:p>
            <w:pPr>
              <w:numPr>
                <w:ilvl w:val="0"/>
                <w:numId w:val="0"/>
              </w:numPr>
              <w:autoSpaceDE/>
              <w:autoSpaceDN/>
              <w:spacing w:before="0" w:after="0" w:line="400" w:lineRule="exact"/>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3.供应商需承诺所提供的服务或产品不会发生任何的知识产权或经营权的纠纷和第三方提出侵犯其著作权、专利权、商标权或设计权的纠纷。供应商应对采购内容所涉及的专利承担责任，并负责保护业主的利益不受任何损害。一切由于文字、商标、技术和软件专利授权引起的法律裁决、诉讼和赔偿费用均由成交人负责。所使用的服务设备、服务技术、材料须符合国家有关标准要求。</w:t>
            </w:r>
          </w:p>
        </w:tc>
      </w:tr>
    </w:tbl>
    <w:p>
      <w:pPr>
        <w:numPr>
          <w:ilvl w:val="0"/>
          <w:numId w:val="0"/>
        </w:numPr>
        <w:jc w:val="center"/>
        <w:outlineLvl w:val="9"/>
        <w:rPr>
          <w:rFonts w:hint="eastAsia" w:ascii="宋体" w:hAnsi="宋体" w:eastAsia="宋体" w:cs="宋体"/>
          <w:color w:val="auto"/>
          <w:sz w:val="36"/>
          <w:szCs w:val="28"/>
          <w:highlight w:val="none"/>
          <w:lang w:val="en-US" w:eastAsia="zh-CN"/>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36"/>
          <w:szCs w:val="28"/>
          <w:highlight w:val="none"/>
        </w:rPr>
      </w:pPr>
      <w:r>
        <w:rPr>
          <w:rFonts w:hint="eastAsia" w:ascii="宋体" w:hAnsi="宋体" w:eastAsia="宋体" w:cs="宋体"/>
          <w:color w:val="auto"/>
          <w:sz w:val="36"/>
          <w:szCs w:val="28"/>
          <w:highlight w:val="none"/>
          <w:lang w:val="en-US" w:eastAsia="zh-CN"/>
        </w:rPr>
        <w:t>第三章</w:t>
      </w:r>
      <w:r>
        <w:rPr>
          <w:rFonts w:hint="eastAsia" w:ascii="宋体" w:hAnsi="宋体" w:cs="宋体"/>
          <w:color w:val="auto"/>
          <w:sz w:val="36"/>
          <w:szCs w:val="28"/>
          <w:highlight w:val="none"/>
          <w:lang w:val="en-US" w:eastAsia="zh-CN"/>
        </w:rPr>
        <w:t xml:space="preserve">  </w:t>
      </w:r>
      <w:r>
        <w:rPr>
          <w:rFonts w:hint="eastAsia" w:ascii="宋体" w:hAnsi="宋体" w:eastAsia="宋体" w:cs="宋体"/>
          <w:color w:val="auto"/>
          <w:sz w:val="36"/>
          <w:szCs w:val="28"/>
          <w:highlight w:val="none"/>
        </w:rPr>
        <w:t>评审方法</w:t>
      </w:r>
      <w:bookmarkEnd w:id="41"/>
    </w:p>
    <w:p>
      <w:pPr>
        <w:pStyle w:val="11"/>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b/>
          <w:color w:val="auto"/>
          <w:sz w:val="30"/>
          <w:szCs w:val="30"/>
          <w:highlight w:val="none"/>
        </w:rPr>
      </w:pPr>
      <w:r>
        <w:rPr>
          <w:rFonts w:hint="eastAsia" w:ascii="Times New Roman" w:hAnsi="Times New Roman"/>
          <w:b/>
          <w:color w:val="auto"/>
          <w:sz w:val="30"/>
          <w:szCs w:val="30"/>
          <w:highlight w:val="none"/>
        </w:rPr>
        <w:t>综合评分法</w:t>
      </w:r>
    </w:p>
    <w:p>
      <w:pPr>
        <w:pStyle w:val="11"/>
        <w:spacing w:line="400" w:lineRule="exact"/>
        <w:jc w:val="left"/>
        <w:rPr>
          <w:rFonts w:hAnsi="宋体"/>
          <w:b/>
          <w:color w:val="auto"/>
          <w:highlight w:val="none"/>
        </w:rPr>
      </w:pPr>
      <w:r>
        <w:rPr>
          <w:rFonts w:hint="eastAsia" w:hAnsi="宋体"/>
          <w:b/>
          <w:color w:val="auto"/>
          <w:highlight w:val="none"/>
        </w:rPr>
        <w:t>一、评标原则</w:t>
      </w:r>
    </w:p>
    <w:p>
      <w:pPr>
        <w:pStyle w:val="11"/>
        <w:spacing w:line="400" w:lineRule="exact"/>
        <w:ind w:firstLine="420" w:firstLineChars="200"/>
        <w:rPr>
          <w:rFonts w:hAnsi="宋体"/>
          <w:color w:val="auto"/>
          <w:highlight w:val="none"/>
        </w:rPr>
      </w:pPr>
      <w:r>
        <w:rPr>
          <w:rFonts w:hint="eastAsia" w:hAnsi="宋体"/>
          <w:color w:val="auto"/>
          <w:highlight w:val="none"/>
        </w:rPr>
        <w:t>(一)评委构成：磋商小组由采购人代表和评审专家共三人及以上单数组成，其中评审专家人数不得少于磋商小组成员总数的三分之二。</w:t>
      </w:r>
    </w:p>
    <w:p>
      <w:pPr>
        <w:pStyle w:val="11"/>
        <w:spacing w:line="400" w:lineRule="exact"/>
        <w:ind w:firstLine="315" w:firstLineChars="150"/>
        <w:rPr>
          <w:color w:val="auto"/>
          <w:highlight w:val="none"/>
        </w:rPr>
      </w:pPr>
      <w:r>
        <w:rPr>
          <w:rFonts w:hint="eastAsia" w:hAnsi="宋体"/>
          <w:color w:val="auto"/>
          <w:highlight w:val="none"/>
        </w:rPr>
        <w:t xml:space="preserve"> (二)评标依据：评委将以</w:t>
      </w:r>
      <w:r>
        <w:rPr>
          <w:rFonts w:hint="eastAsia" w:hAnsi="宋体"/>
          <w:color w:val="auto"/>
          <w:highlight w:val="none"/>
          <w:lang w:val="en-US" w:eastAsia="zh-CN"/>
        </w:rPr>
        <w:t>竞争性磋商</w:t>
      </w:r>
      <w:r>
        <w:rPr>
          <w:rFonts w:hint="eastAsia" w:hAnsi="宋体"/>
          <w:color w:val="auto"/>
          <w:highlight w:val="none"/>
        </w:rPr>
        <w:t>文件为评标依据，对</w:t>
      </w:r>
      <w:r>
        <w:rPr>
          <w:rFonts w:hint="eastAsia" w:hAnsi="宋体"/>
          <w:color w:val="auto"/>
          <w:highlight w:val="none"/>
          <w:lang w:val="en-US" w:eastAsia="zh-CN"/>
        </w:rPr>
        <w:t>供磋商应商提交响应文件</w:t>
      </w:r>
      <w:r>
        <w:rPr>
          <w:rFonts w:hint="eastAsia" w:hAnsi="宋体"/>
          <w:color w:val="auto"/>
          <w:highlight w:val="none"/>
        </w:rPr>
        <w:t>的价格分、技术分、商务分等方面内容按百分制打分</w:t>
      </w:r>
      <w:r>
        <w:rPr>
          <w:rFonts w:hint="eastAsia"/>
          <w:color w:val="auto"/>
          <w:highlight w:val="none"/>
        </w:rPr>
        <w:t>。</w:t>
      </w:r>
    </w:p>
    <w:p>
      <w:pPr>
        <w:pStyle w:val="11"/>
        <w:spacing w:line="400" w:lineRule="exact"/>
        <w:ind w:firstLine="420" w:firstLineChars="200"/>
        <w:rPr>
          <w:color w:val="auto"/>
          <w:highlight w:val="none"/>
        </w:rPr>
      </w:pPr>
      <w:r>
        <w:rPr>
          <w:rFonts w:hint="eastAsia"/>
          <w:color w:val="auto"/>
          <w:highlight w:val="none"/>
        </w:rPr>
        <w:t>(三)评标方式：以封闭方式进行。</w:t>
      </w:r>
    </w:p>
    <w:p>
      <w:pPr>
        <w:pStyle w:val="11"/>
        <w:spacing w:line="400" w:lineRule="exact"/>
        <w:jc w:val="left"/>
        <w:rPr>
          <w:rFonts w:hAnsi="宋体"/>
          <w:b/>
          <w:color w:val="auto"/>
          <w:highlight w:val="none"/>
        </w:rPr>
      </w:pPr>
      <w:r>
        <w:rPr>
          <w:rFonts w:hint="eastAsia" w:hAnsi="宋体"/>
          <w:b/>
          <w:color w:val="auto"/>
          <w:highlight w:val="none"/>
        </w:rPr>
        <w:t>二、评分细则：（按四舍五入取至小数点后两位）</w:t>
      </w:r>
    </w:p>
    <w:p>
      <w:pPr>
        <w:pStyle w:val="11"/>
        <w:spacing w:line="400" w:lineRule="exact"/>
        <w:ind w:firstLine="527" w:firstLineChars="250"/>
        <w:rPr>
          <w:b/>
          <w:color w:val="auto"/>
          <w:highlight w:val="none"/>
        </w:rPr>
      </w:pPr>
      <w:r>
        <w:rPr>
          <w:rFonts w:hint="eastAsia" w:hAnsi="宋体"/>
          <w:b/>
          <w:bCs/>
          <w:color w:val="auto"/>
          <w:highlight w:val="none"/>
        </w:rPr>
        <w:t>1．价格分…………………………………………………………………………………………（满分</w:t>
      </w:r>
      <w:r>
        <w:rPr>
          <w:rFonts w:hint="eastAsia" w:hAnsi="宋体"/>
          <w:b/>
          <w:bCs/>
          <w:color w:val="auto"/>
          <w:highlight w:val="none"/>
          <w:lang w:val="en-US" w:eastAsia="zh-CN"/>
        </w:rPr>
        <w:t>10</w:t>
      </w:r>
      <w:r>
        <w:rPr>
          <w:rFonts w:hint="eastAsia" w:hAnsi="宋体"/>
          <w:b/>
          <w:bCs/>
          <w:color w:val="auto"/>
          <w:highlight w:val="none"/>
        </w:rPr>
        <w:t>分）</w:t>
      </w:r>
    </w:p>
    <w:p>
      <w:pPr>
        <w:pStyle w:val="11"/>
        <w:spacing w:line="400" w:lineRule="exact"/>
        <w:ind w:firstLine="420" w:firstLineChars="200"/>
        <w:rPr>
          <w:color w:val="auto"/>
          <w:highlight w:val="none"/>
        </w:rPr>
      </w:pPr>
      <w:r>
        <w:rPr>
          <w:rFonts w:hint="eastAsia"/>
          <w:color w:val="auto"/>
          <w:highlight w:val="none"/>
        </w:rPr>
        <w:t>（1）对于非专门面向中小企业的项目，对小型和微型企业产品的价格给予</w:t>
      </w:r>
      <w:r>
        <w:rPr>
          <w:rFonts w:hint="eastAsia"/>
          <w:color w:val="auto"/>
          <w:highlight w:val="none"/>
          <w:lang w:val="en-US" w:eastAsia="zh-CN"/>
        </w:rPr>
        <w:t>10</w:t>
      </w:r>
      <w:r>
        <w:rPr>
          <w:rFonts w:hint="eastAsia"/>
          <w:color w:val="auto"/>
          <w:highlight w:val="none"/>
        </w:rPr>
        <w:t>%的价格扣除，扣除后的价格为评标价，即评标价＝投标报价×（1-</w:t>
      </w:r>
      <w:r>
        <w:rPr>
          <w:rFonts w:hint="eastAsia"/>
          <w:color w:val="auto"/>
          <w:highlight w:val="none"/>
          <w:lang w:val="en-US" w:eastAsia="zh-CN"/>
        </w:rPr>
        <w:t>10</w:t>
      </w:r>
      <w:r>
        <w:rPr>
          <w:rFonts w:hint="eastAsia"/>
          <w:color w:val="auto"/>
          <w:highlight w:val="none"/>
        </w:rPr>
        <w:t>%）；（以</w:t>
      </w:r>
      <w:r>
        <w:rPr>
          <w:rFonts w:hint="eastAsia"/>
          <w:color w:val="auto"/>
          <w:highlight w:val="none"/>
          <w:lang w:val="en-US" w:eastAsia="zh-CN"/>
        </w:rPr>
        <w:t>磋商供应商</w:t>
      </w:r>
      <w:r>
        <w:rPr>
          <w:rFonts w:hint="eastAsia"/>
          <w:color w:val="auto"/>
          <w:highlight w:val="none"/>
        </w:rPr>
        <w:t>按第五章“响应文件格式”要求提供的《</w:t>
      </w:r>
      <w:r>
        <w:rPr>
          <w:rFonts w:hint="eastAsia"/>
          <w:color w:val="auto"/>
          <w:highlight w:val="none"/>
          <w:lang w:val="en-US" w:eastAsia="zh-CN"/>
        </w:rPr>
        <w:t>响应</w:t>
      </w:r>
      <w:r>
        <w:rPr>
          <w:rFonts w:hint="eastAsia"/>
          <w:color w:val="auto"/>
          <w:highlight w:val="none"/>
        </w:rPr>
        <w:t>报价表》和《中小企业声明函》为评分依据）。</w:t>
      </w:r>
    </w:p>
    <w:p>
      <w:pPr>
        <w:pStyle w:val="11"/>
        <w:spacing w:line="400" w:lineRule="exact"/>
        <w:ind w:firstLine="420" w:firstLineChars="200"/>
        <w:rPr>
          <w:color w:val="auto"/>
          <w:highlight w:val="none"/>
        </w:rPr>
      </w:pPr>
      <w:r>
        <w:rPr>
          <w:rFonts w:hint="eastAsia"/>
          <w:color w:val="auto"/>
          <w:highlight w:val="none"/>
        </w:rPr>
        <w:t>如</w:t>
      </w:r>
      <w:r>
        <w:rPr>
          <w:rFonts w:hint="eastAsia"/>
          <w:color w:val="auto"/>
          <w:highlight w:val="none"/>
          <w:lang w:val="en-US" w:eastAsia="zh-CN"/>
        </w:rPr>
        <w:t>磋商供应商</w:t>
      </w:r>
      <w:r>
        <w:rPr>
          <w:rFonts w:hint="eastAsia"/>
          <w:color w:val="auto"/>
          <w:highlight w:val="none"/>
        </w:rPr>
        <w:t>或联合体中主体单位属于小微企业的， 可对其投标价格给予</w:t>
      </w:r>
      <w:r>
        <w:rPr>
          <w:rFonts w:hint="eastAsia"/>
          <w:color w:val="auto"/>
          <w:highlight w:val="none"/>
          <w:lang w:val="en-US" w:eastAsia="zh-CN"/>
        </w:rPr>
        <w:t>10</w:t>
      </w:r>
      <w:r>
        <w:rPr>
          <w:rFonts w:hint="eastAsia"/>
          <w:color w:val="auto"/>
          <w:highlight w:val="none"/>
        </w:rPr>
        <w:t>%的扣除，扣除后的价格为评标价，即评标价＝投标报价×（1-</w:t>
      </w:r>
      <w:r>
        <w:rPr>
          <w:rFonts w:hint="eastAsia"/>
          <w:color w:val="auto"/>
          <w:highlight w:val="none"/>
          <w:lang w:val="en-US" w:eastAsia="zh-CN"/>
        </w:rPr>
        <w:t>10</w:t>
      </w:r>
      <w:r>
        <w:rPr>
          <w:rFonts w:hint="eastAsia"/>
          <w:color w:val="auto"/>
          <w:highlight w:val="none"/>
        </w:rPr>
        <w:t>%）；（以</w:t>
      </w:r>
      <w:r>
        <w:rPr>
          <w:rFonts w:hint="eastAsia"/>
          <w:color w:val="auto"/>
          <w:highlight w:val="none"/>
          <w:lang w:val="en-US" w:eastAsia="zh-CN"/>
        </w:rPr>
        <w:t>磋商供应商</w:t>
      </w:r>
      <w:r>
        <w:rPr>
          <w:rFonts w:hint="eastAsia"/>
          <w:color w:val="auto"/>
          <w:highlight w:val="none"/>
        </w:rPr>
        <w:t>按第五章“响应文件格式”要求提供的《</w:t>
      </w:r>
      <w:r>
        <w:rPr>
          <w:rFonts w:hint="eastAsia"/>
          <w:color w:val="auto"/>
          <w:highlight w:val="none"/>
          <w:lang w:val="en-US" w:eastAsia="zh-CN"/>
        </w:rPr>
        <w:t>响应</w:t>
      </w:r>
      <w:r>
        <w:rPr>
          <w:rFonts w:hint="eastAsia"/>
          <w:color w:val="auto"/>
          <w:highlight w:val="none"/>
        </w:rPr>
        <w:t>报价表》和《中小企业声明函》为评分依据）。</w:t>
      </w:r>
    </w:p>
    <w:p>
      <w:pPr>
        <w:pStyle w:val="11"/>
        <w:numPr>
          <w:ilvl w:val="0"/>
          <w:numId w:val="2"/>
        </w:numPr>
        <w:spacing w:line="400" w:lineRule="exact"/>
        <w:ind w:firstLine="420" w:firstLineChars="200"/>
        <w:rPr>
          <w:color w:val="auto"/>
          <w:highlight w:val="none"/>
        </w:rPr>
      </w:pPr>
      <w:r>
        <w:rPr>
          <w:rFonts w:hint="eastAsia"/>
          <w:color w:val="auto"/>
          <w:highlight w:val="none"/>
        </w:rPr>
        <w:t>对大中型企业和其他自然人、法人或者其他组织与小型、微型企业组成联合体，且联合体协议中约定小型、微型企业的协议合同金额占到联合体协议合同总金额30%以上的，给予2%的价格扣除，扣除后的价格为评标价，即评标价＝投标报价×（1-2%）；（以</w:t>
      </w:r>
      <w:r>
        <w:rPr>
          <w:rFonts w:hint="eastAsia"/>
          <w:color w:val="auto"/>
          <w:highlight w:val="none"/>
          <w:lang w:val="en-US" w:eastAsia="zh-CN"/>
        </w:rPr>
        <w:t>磋商供应商</w:t>
      </w:r>
      <w:r>
        <w:rPr>
          <w:rFonts w:hint="eastAsia"/>
          <w:color w:val="auto"/>
          <w:highlight w:val="none"/>
        </w:rPr>
        <w:t>按第五章“响应文件格式”要求提供的《</w:t>
      </w:r>
      <w:r>
        <w:rPr>
          <w:rFonts w:hint="eastAsia"/>
          <w:color w:val="auto"/>
          <w:highlight w:val="none"/>
          <w:lang w:val="en-US" w:eastAsia="zh-CN"/>
        </w:rPr>
        <w:t>响应</w:t>
      </w:r>
      <w:r>
        <w:rPr>
          <w:rFonts w:hint="eastAsia"/>
          <w:color w:val="auto"/>
          <w:highlight w:val="none"/>
        </w:rPr>
        <w:t>报价表》、《中小企业声明函》和《联合体协议书》为评分依据）。</w:t>
      </w:r>
    </w:p>
    <w:p>
      <w:pPr>
        <w:pStyle w:val="11"/>
        <w:numPr>
          <w:ilvl w:val="0"/>
          <w:numId w:val="2"/>
        </w:numPr>
        <w:spacing w:line="400" w:lineRule="exact"/>
        <w:ind w:firstLine="420" w:firstLineChars="200"/>
        <w:rPr>
          <w:color w:val="auto"/>
          <w:highlight w:val="none"/>
        </w:rPr>
      </w:pPr>
      <w:r>
        <w:rPr>
          <w:rFonts w:hint="eastAsia" w:hAnsi="宋体"/>
          <w:color w:val="auto"/>
          <w:highlight w:val="none"/>
        </w:rPr>
        <w:t>残疾人福利性单位视同小型、微型企业。符合条件的残疾人福利性单位在参加政府采购活动时，应当提供规定的《残疾人福利性单位声明函》，并对声明的真实性负责。</w:t>
      </w:r>
    </w:p>
    <w:p>
      <w:pPr>
        <w:pStyle w:val="11"/>
        <w:numPr>
          <w:ilvl w:val="0"/>
          <w:numId w:val="2"/>
        </w:numPr>
        <w:spacing w:line="400" w:lineRule="exact"/>
        <w:ind w:firstLine="420" w:firstLineChars="200"/>
        <w:rPr>
          <w:color w:val="auto"/>
          <w:highlight w:val="none"/>
        </w:rPr>
      </w:pPr>
      <w:r>
        <w:rPr>
          <w:rFonts w:hint="eastAsia"/>
          <w:color w:val="auto"/>
          <w:highlight w:val="none"/>
        </w:rPr>
        <w:t>根据财政部、司法部《关于政府采购支持监狱企业发展有关问题的通知》（财库</w:t>
      </w:r>
      <w:r>
        <w:rPr>
          <w:color w:val="auto"/>
          <w:highlight w:val="none"/>
        </w:rPr>
        <w:t>[2014]68</w:t>
      </w:r>
      <w:r>
        <w:rPr>
          <w:rFonts w:hint="eastAsia"/>
          <w:color w:val="auto"/>
          <w:highlight w:val="none"/>
        </w:rPr>
        <w:t>号）的而规定，监狱企业视同小型、微型企业，享受小型、微型企业评审中价格扣除的政府采购政策。</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20" w:firstLineChars="200"/>
        <w:textAlignment w:val="auto"/>
        <w:rPr>
          <w:rFonts w:hint="eastAsia"/>
          <w:color w:val="auto"/>
          <w:highlight w:val="none"/>
        </w:rPr>
      </w:pPr>
      <w:r>
        <w:rPr>
          <w:rFonts w:hint="eastAsia"/>
          <w:color w:val="auto"/>
          <w:highlight w:val="none"/>
        </w:rPr>
        <w:t>除上述情况外，评标价＝磋商报价；评标基准价为最低有效评标价。</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2" w:firstLineChars="200"/>
        <w:textAlignment w:val="auto"/>
        <w:rPr>
          <w:rFonts w:hAnsi="宋体" w:cs="宋体"/>
          <w:b/>
          <w:bCs/>
          <w:color w:val="auto"/>
          <w:highlight w:val="none"/>
        </w:rPr>
      </w:pPr>
      <w:r>
        <w:rPr>
          <w:rFonts w:hint="eastAsia" w:hAnsi="宋体"/>
          <w:b/>
          <w:bCs/>
          <w:color w:val="auto"/>
          <w:highlight w:val="none"/>
          <w:lang w:eastAsia="zh-CN"/>
        </w:rPr>
        <w:t>（</w:t>
      </w:r>
      <w:r>
        <w:rPr>
          <w:rFonts w:hint="eastAsia" w:hAnsi="宋体"/>
          <w:b/>
          <w:bCs/>
          <w:color w:val="auto"/>
          <w:highlight w:val="none"/>
          <w:lang w:val="en-US" w:eastAsia="zh-CN"/>
        </w:rPr>
        <w:t>6</w:t>
      </w:r>
      <w:r>
        <w:rPr>
          <w:rFonts w:hint="eastAsia" w:hAnsi="宋体"/>
          <w:b/>
          <w:bCs/>
          <w:color w:val="auto"/>
          <w:highlight w:val="none"/>
          <w:lang w:eastAsia="zh-CN"/>
        </w:rPr>
        <w:t>）</w:t>
      </w:r>
      <w:r>
        <w:rPr>
          <w:rFonts w:hint="eastAsia" w:hAnsi="宋体"/>
          <w:b/>
          <w:bCs/>
          <w:color w:val="auto"/>
          <w:highlight w:val="none"/>
        </w:rPr>
        <w:t>磋商小组</w:t>
      </w:r>
      <w:r>
        <w:rPr>
          <w:rFonts w:hAnsi="宋体"/>
          <w:b/>
          <w:bCs/>
          <w:color w:val="auto"/>
          <w:highlight w:val="none"/>
        </w:rPr>
        <w:t>认为</w:t>
      </w:r>
      <w:r>
        <w:rPr>
          <w:rFonts w:hint="eastAsia" w:hAnsi="宋体"/>
          <w:b/>
          <w:bCs/>
          <w:color w:val="auto"/>
          <w:highlight w:val="none"/>
          <w:lang w:val="en-US" w:eastAsia="zh-CN"/>
        </w:rPr>
        <w:t>磋商</w:t>
      </w:r>
      <w:r>
        <w:rPr>
          <w:rFonts w:hint="eastAsia" w:hAnsi="宋体"/>
          <w:b/>
          <w:bCs/>
          <w:color w:val="auto"/>
          <w:highlight w:val="none"/>
        </w:rPr>
        <w:t>供应商</w:t>
      </w:r>
      <w:r>
        <w:rPr>
          <w:rFonts w:hAnsi="宋体"/>
          <w:b/>
          <w:bCs/>
          <w:color w:val="auto"/>
          <w:highlight w:val="none"/>
        </w:rPr>
        <w:t>的报价明显低于其他通过符合性审查</w:t>
      </w:r>
      <w:r>
        <w:rPr>
          <w:rFonts w:hint="eastAsia" w:hAnsi="宋体"/>
          <w:b/>
          <w:bCs/>
          <w:color w:val="auto"/>
          <w:highlight w:val="none"/>
        </w:rPr>
        <w:t>供应商</w:t>
      </w:r>
      <w:r>
        <w:rPr>
          <w:rFonts w:hAnsi="宋体"/>
          <w:b/>
          <w:bCs/>
          <w:color w:val="auto"/>
          <w:highlight w:val="none"/>
        </w:rPr>
        <w:t>的报价，有可能影响产品质量或者不能诚信履约的，应当要求其在评标现场合理的时间内提供书面说明，必要时提交相关证明材料；</w:t>
      </w:r>
      <w:r>
        <w:rPr>
          <w:rFonts w:hint="eastAsia" w:hAnsi="宋体"/>
          <w:b/>
          <w:bCs/>
          <w:color w:val="auto"/>
          <w:highlight w:val="none"/>
          <w:lang w:val="en-US" w:eastAsia="zh-CN"/>
        </w:rPr>
        <w:t>磋商</w:t>
      </w:r>
      <w:r>
        <w:rPr>
          <w:rFonts w:hint="eastAsia" w:hAnsi="宋体"/>
          <w:b/>
          <w:bCs/>
          <w:color w:val="auto"/>
          <w:highlight w:val="none"/>
        </w:rPr>
        <w:t>供应商</w:t>
      </w:r>
      <w:r>
        <w:rPr>
          <w:rFonts w:hAnsi="宋体"/>
          <w:b/>
          <w:bCs/>
          <w:color w:val="auto"/>
          <w:highlight w:val="none"/>
        </w:rPr>
        <w:t>不能证明其报价合理性的，</w:t>
      </w:r>
      <w:r>
        <w:rPr>
          <w:rFonts w:hint="eastAsia" w:hAnsi="宋体"/>
          <w:b/>
          <w:bCs/>
          <w:color w:val="auto"/>
          <w:highlight w:val="none"/>
        </w:rPr>
        <w:t>磋商小组</w:t>
      </w:r>
      <w:r>
        <w:rPr>
          <w:rFonts w:hAnsi="宋体"/>
          <w:b/>
          <w:bCs/>
          <w:color w:val="auto"/>
          <w:highlight w:val="none"/>
        </w:rPr>
        <w:t>应当将其作为无效</w:t>
      </w:r>
      <w:r>
        <w:rPr>
          <w:rFonts w:hint="eastAsia" w:hAnsi="宋体"/>
          <w:b/>
          <w:bCs/>
          <w:color w:val="auto"/>
          <w:highlight w:val="none"/>
          <w:lang w:val="en-US" w:eastAsia="zh-CN"/>
        </w:rPr>
        <w:t>响应文件</w:t>
      </w:r>
      <w:r>
        <w:rPr>
          <w:rFonts w:hAnsi="宋体"/>
          <w:b/>
          <w:bCs/>
          <w:color w:val="auto"/>
          <w:highlight w:val="none"/>
        </w:rPr>
        <w:t>处理。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color w:val="auto"/>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w:t>
      </w:r>
      <w:r>
        <w:rPr>
          <w:rFonts w:hint="eastAsia"/>
          <w:color w:val="auto"/>
          <w:highlight w:val="none"/>
          <w:lang w:val="en-US" w:eastAsia="zh-CN"/>
        </w:rPr>
        <w:t>磋商供应商</w:t>
      </w:r>
      <w:r>
        <w:rPr>
          <w:rFonts w:hint="eastAsia"/>
          <w:color w:val="auto"/>
          <w:szCs w:val="21"/>
          <w:highlight w:val="none"/>
        </w:rPr>
        <w:t>价格分计算公式：</w:t>
      </w:r>
    </w:p>
    <w:p>
      <w:pPr>
        <w:pStyle w:val="9"/>
        <w:ind w:left="0" w:leftChars="0" w:firstLine="0" w:firstLineChars="0"/>
        <w:rPr>
          <w:rFonts w:ascii="新宋体" w:hAnsi="新宋体" w:eastAsia="新宋体" w:cs="新宋体"/>
          <w:color w:val="auto"/>
          <w:sz w:val="21"/>
          <w:szCs w:val="21"/>
          <w:highlight w:val="none"/>
        </w:rPr>
      </w:pPr>
    </w:p>
    <w:p>
      <w:pPr>
        <w:pStyle w:val="9"/>
        <w:ind w:firstLine="3150" w:firstLineChars="1500"/>
        <w:rPr>
          <w:rFonts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评标基准价</w:t>
      </w:r>
    </w:p>
    <w:p>
      <w:pPr>
        <w:pStyle w:val="9"/>
        <w:ind w:firstLine="840" w:firstLineChars="400"/>
        <w:rPr>
          <w:rFonts w:ascii="新宋体" w:hAnsi="新宋体" w:eastAsia="新宋体" w:cs="新宋体"/>
          <w:color w:val="auto"/>
          <w:sz w:val="21"/>
          <w:szCs w:val="21"/>
          <w:highlight w:val="none"/>
        </w:rPr>
      </w:pPr>
      <w:r>
        <w:rPr>
          <w:rFonts w:ascii="新宋体" w:hAnsi="新宋体" w:eastAsia="新宋体" w:cs="新宋体"/>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104140</wp:posOffset>
                </wp:positionV>
                <wp:extent cx="1636395" cy="190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1636395" cy="190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31.25pt;margin-top:8.2pt;height:0.15pt;width:128.85pt;z-index:251660288;mso-width-relative:page;mso-height-relative:page;" filled="f" stroked="t" coordsize="21600,21600" o:gfxdata="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QSMH1gAAAAkBAAAPAAAAAAAAAAEAIAAAACIAAABkcnMvZG93bnJldi54bWxQ&#10;SwECFAAUAAAACACHTuJA+5F4QPkBAADzAwAADgAAAAAAAAABACAAAAAlAQAAZHJzL2Uyb0RvYy54&#10;bWxQSwUGAAAAAAYABgBZAQAAkAUAAAAA&#10;">
                <v:fill on="f" focussize="0,0"/>
                <v:stroke color="#000000" joinstyle="round"/>
                <v:imagedata o:title=""/>
                <o:lock v:ext="edit" aspectratio="f"/>
              </v:line>
            </w:pict>
          </mc:Fallback>
        </mc:AlternateContent>
      </w:r>
      <w:r>
        <w:rPr>
          <w:rFonts w:hint="eastAsia" w:ascii="新宋体" w:hAnsi="新宋体" w:eastAsia="新宋体" w:cs="新宋体"/>
          <w:color w:val="auto"/>
          <w:sz w:val="21"/>
          <w:szCs w:val="21"/>
          <w:highlight w:val="none"/>
        </w:rPr>
        <w:t>磋商报价得分 =                                 ×</w:t>
      </w:r>
      <w:r>
        <w:rPr>
          <w:rFonts w:hint="eastAsia" w:ascii="新宋体" w:hAnsi="新宋体" w:eastAsia="新宋体" w:cs="新宋体"/>
          <w:color w:val="auto"/>
          <w:sz w:val="21"/>
          <w:szCs w:val="21"/>
          <w:highlight w:val="none"/>
          <w:lang w:val="en-US" w:eastAsia="zh-CN"/>
        </w:rPr>
        <w:t>10</w:t>
      </w:r>
      <w:r>
        <w:rPr>
          <w:rFonts w:hint="eastAsia" w:ascii="新宋体" w:hAnsi="新宋体" w:eastAsia="新宋体" w:cs="新宋体"/>
          <w:bCs/>
          <w:color w:val="auto"/>
          <w:sz w:val="21"/>
          <w:szCs w:val="21"/>
          <w:highlight w:val="none"/>
        </w:rPr>
        <w:t>分</w:t>
      </w:r>
    </w:p>
    <w:p>
      <w:pPr>
        <w:pStyle w:val="9"/>
        <w:ind w:firstLine="420" w:firstLineChars="200"/>
        <w:rPr>
          <w:rFonts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 xml:space="preserve">                   　     磋商最终报价</w:t>
      </w:r>
    </w:p>
    <w:p>
      <w:pPr>
        <w:pStyle w:val="11"/>
        <w:spacing w:line="400" w:lineRule="exact"/>
        <w:rPr>
          <w:rFonts w:hint="eastAsia" w:hAnsi="宋体"/>
          <w:b/>
          <w:bCs/>
          <w:color w:val="auto"/>
          <w:highlight w:val="none"/>
          <w:lang w:val="en-US" w:eastAsia="zh-CN"/>
        </w:rPr>
      </w:pPr>
      <w:bookmarkStart w:id="44" w:name="_Toc356232714"/>
    </w:p>
    <w:p>
      <w:pPr>
        <w:pStyle w:val="11"/>
        <w:spacing w:line="400" w:lineRule="exact"/>
        <w:rPr>
          <w:rFonts w:hint="eastAsia" w:hAnsi="宋体"/>
          <w:b/>
          <w:bCs/>
          <w:color w:val="auto"/>
          <w:highlight w:val="none"/>
          <w:lang w:val="en-US" w:eastAsia="zh-CN"/>
        </w:rPr>
      </w:pPr>
    </w:p>
    <w:p>
      <w:pPr>
        <w:pStyle w:val="11"/>
        <w:spacing w:line="400" w:lineRule="exact"/>
        <w:rPr>
          <w:rFonts w:hint="eastAsia" w:hAnsi="宋体"/>
          <w:b/>
          <w:color w:val="auto"/>
          <w:szCs w:val="24"/>
          <w:highlight w:val="none"/>
          <w:lang w:val="en-US" w:eastAsia="zh-CN"/>
        </w:rPr>
      </w:pPr>
      <w:r>
        <w:rPr>
          <w:rFonts w:hint="eastAsia" w:hAnsi="宋体"/>
          <w:b/>
          <w:bCs/>
          <w:color w:val="auto"/>
          <w:highlight w:val="none"/>
          <w:lang w:val="en-US" w:eastAsia="zh-CN"/>
        </w:rPr>
        <w:t>2</w:t>
      </w:r>
      <w:r>
        <w:rPr>
          <w:rFonts w:hint="eastAsia" w:hAnsi="宋体"/>
          <w:b/>
          <w:bCs/>
          <w:color w:val="auto"/>
          <w:highlight w:val="none"/>
        </w:rPr>
        <w:t>．</w:t>
      </w:r>
      <w:r>
        <w:rPr>
          <w:rFonts w:hint="eastAsia" w:hAnsi="宋体"/>
          <w:b/>
          <w:bCs/>
          <w:color w:val="auto"/>
          <w:highlight w:val="none"/>
          <w:lang w:val="en-US" w:eastAsia="zh-CN"/>
        </w:rPr>
        <w:t>技术</w:t>
      </w:r>
      <w:r>
        <w:rPr>
          <w:rFonts w:hint="eastAsia" w:hAnsi="宋体"/>
          <w:b/>
          <w:bCs/>
          <w:color w:val="auto"/>
          <w:highlight w:val="none"/>
        </w:rPr>
        <w:t>分…………………………………………………………………………………………（满分</w:t>
      </w:r>
      <w:r>
        <w:rPr>
          <w:rFonts w:hint="eastAsia" w:hAnsi="宋体"/>
          <w:b/>
          <w:bCs/>
          <w:color w:val="auto"/>
          <w:highlight w:val="none"/>
          <w:lang w:val="en-US" w:eastAsia="zh-CN"/>
        </w:rPr>
        <w:t>65</w:t>
      </w:r>
      <w:r>
        <w:rPr>
          <w:rFonts w:hint="eastAsia" w:hAnsi="宋体"/>
          <w:b/>
          <w:bCs/>
          <w:color w:val="auto"/>
          <w:highlight w:val="none"/>
        </w:rPr>
        <w:t>分）</w:t>
      </w:r>
    </w:p>
    <w:p>
      <w:pPr>
        <w:keepNext w:val="0"/>
        <w:keepLines w:val="0"/>
        <w:pageBreakBefore w:val="0"/>
        <w:widowControl w:val="0"/>
        <w:kinsoku/>
        <w:wordWrap/>
        <w:overflowPunct/>
        <w:topLinePunct w:val="0"/>
        <w:autoSpaceDE w:val="0"/>
        <w:autoSpaceDN w:val="0"/>
        <w:bidi w:val="0"/>
        <w:adjustRightInd w:val="0"/>
        <w:snapToGrid/>
        <w:spacing w:before="30" w:line="500" w:lineRule="exact"/>
        <w:ind w:firstLine="422" w:firstLineChars="200"/>
        <w:textAlignment w:val="auto"/>
        <w:rPr>
          <w:rFonts w:hint="eastAsia" w:hAnsi="宋体"/>
          <w:b/>
          <w:color w:val="auto"/>
          <w:szCs w:val="24"/>
          <w:highlight w:val="none"/>
          <w:lang w:val="en-US" w:eastAsia="zh-CN"/>
        </w:rPr>
      </w:pPr>
      <w:r>
        <w:rPr>
          <w:rFonts w:hint="eastAsia" w:hAnsi="宋体"/>
          <w:b/>
          <w:color w:val="auto"/>
          <w:szCs w:val="24"/>
          <w:highlight w:val="none"/>
          <w:lang w:val="en-US" w:eastAsia="zh-CN"/>
        </w:rPr>
        <w:t xml:space="preserve">（1）本项目理解程度和总体划分思路（满分15分） </w:t>
      </w:r>
    </w:p>
    <w:p>
      <w:pPr>
        <w:keepNext w:val="0"/>
        <w:keepLines w:val="0"/>
        <w:pageBreakBefore w:val="0"/>
        <w:widowControl w:val="0"/>
        <w:kinsoku/>
        <w:wordWrap/>
        <w:overflowPunct/>
        <w:topLinePunct w:val="0"/>
        <w:autoSpaceDE w:val="0"/>
        <w:autoSpaceDN w:val="0"/>
        <w:bidi w:val="0"/>
        <w:adjustRightInd w:val="0"/>
        <w:snapToGrid/>
        <w:spacing w:before="30" w:line="500" w:lineRule="exact"/>
        <w:ind w:firstLine="621" w:firstLineChars="296"/>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 xml:space="preserve">一档（5分）：划分方案基本内容满足要求，方法符合规范要求，有能通过相关验收、满足项目进度的确保措施。 </w:t>
      </w:r>
    </w:p>
    <w:p>
      <w:pPr>
        <w:keepNext w:val="0"/>
        <w:keepLines w:val="0"/>
        <w:pageBreakBefore w:val="0"/>
        <w:widowControl w:val="0"/>
        <w:kinsoku/>
        <w:wordWrap/>
        <w:overflowPunct/>
        <w:topLinePunct w:val="0"/>
        <w:autoSpaceDE w:val="0"/>
        <w:autoSpaceDN w:val="0"/>
        <w:bidi w:val="0"/>
        <w:adjustRightInd w:val="0"/>
        <w:snapToGrid/>
        <w:spacing w:before="30" w:line="500" w:lineRule="exact"/>
        <w:ind w:firstLine="621" w:firstLineChars="296"/>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 xml:space="preserve">二档（10分）：划分方案较详细、较具体，内容较齐全，有比较可行的组织管理及保证措施、比较满足规划保障措施，方法符合规范要求。 </w:t>
      </w:r>
    </w:p>
    <w:p>
      <w:pPr>
        <w:keepNext w:val="0"/>
        <w:keepLines w:val="0"/>
        <w:pageBreakBefore w:val="0"/>
        <w:widowControl w:val="0"/>
        <w:kinsoku/>
        <w:wordWrap/>
        <w:overflowPunct/>
        <w:topLinePunct w:val="0"/>
        <w:autoSpaceDE w:val="0"/>
        <w:autoSpaceDN w:val="0"/>
        <w:bidi w:val="0"/>
        <w:adjustRightInd w:val="0"/>
        <w:snapToGrid/>
        <w:spacing w:before="30" w:line="500" w:lineRule="exact"/>
        <w:ind w:firstLine="621" w:firstLineChars="296"/>
        <w:textAlignment w:val="auto"/>
        <w:rPr>
          <w:rFonts w:hint="default" w:hAnsi="宋体"/>
          <w:b/>
          <w:color w:val="auto"/>
          <w:szCs w:val="24"/>
          <w:highlight w:val="none"/>
          <w:lang w:val="en-US" w:eastAsia="zh-CN"/>
        </w:rPr>
      </w:pPr>
      <w:r>
        <w:rPr>
          <w:rFonts w:hint="eastAsia" w:ascii="宋体" w:hAnsi="宋体"/>
          <w:color w:val="auto"/>
          <w:highlight w:val="none"/>
          <w:lang w:val="en-US" w:eastAsia="zh-CN"/>
        </w:rPr>
        <w:t>三档（15分）：划分方案详细、比较具体，内容齐全，完全满足采购需求提出的所有项目，有合理可行的分析建议，优质满足项目划分保障措施，服务阶段划分呼应总体表述，划分清晰、合理。</w:t>
      </w:r>
    </w:p>
    <w:p>
      <w:pPr>
        <w:keepNext w:val="0"/>
        <w:keepLines w:val="0"/>
        <w:pageBreakBefore w:val="0"/>
        <w:widowControl w:val="0"/>
        <w:kinsoku/>
        <w:wordWrap/>
        <w:overflowPunct/>
        <w:topLinePunct w:val="0"/>
        <w:autoSpaceDE w:val="0"/>
        <w:autoSpaceDN w:val="0"/>
        <w:bidi w:val="0"/>
        <w:adjustRightInd w:val="0"/>
        <w:snapToGrid/>
        <w:spacing w:before="30" w:line="500" w:lineRule="exact"/>
        <w:ind w:firstLine="422" w:firstLineChars="200"/>
        <w:textAlignment w:val="auto"/>
        <w:rPr>
          <w:b/>
          <w:color w:val="auto"/>
          <w:highlight w:val="none"/>
          <w:shd w:val="clear" w:color="auto" w:fill="FFFFFF"/>
        </w:rPr>
      </w:pPr>
      <w:r>
        <w:rPr>
          <w:rFonts w:hint="eastAsia" w:hAnsi="宋体"/>
          <w:b/>
          <w:color w:val="auto"/>
          <w:szCs w:val="24"/>
          <w:highlight w:val="none"/>
          <w:lang w:val="en-US" w:eastAsia="zh-CN"/>
        </w:rPr>
        <w:t>（2）</w:t>
      </w:r>
      <w:r>
        <w:rPr>
          <w:rFonts w:hint="eastAsia"/>
          <w:b/>
          <w:color w:val="auto"/>
          <w:highlight w:val="none"/>
          <w:shd w:val="clear" w:color="auto" w:fill="FFFFFF"/>
        </w:rPr>
        <w:t>技术服务方案的操作性与合理性</w:t>
      </w:r>
      <w:r>
        <w:rPr>
          <w:rFonts w:hint="eastAsia" w:hAnsi="宋体"/>
          <w:b/>
          <w:bCs/>
          <w:color w:val="auto"/>
          <w:highlight w:val="none"/>
        </w:rPr>
        <w:t>（满分</w:t>
      </w:r>
      <w:r>
        <w:rPr>
          <w:rFonts w:hint="eastAsia" w:hAnsi="宋体"/>
          <w:b/>
          <w:bCs/>
          <w:color w:val="auto"/>
          <w:highlight w:val="none"/>
          <w:lang w:val="en-US" w:eastAsia="zh-CN"/>
        </w:rPr>
        <w:t>25</w:t>
      </w:r>
      <w:r>
        <w:rPr>
          <w:rFonts w:hint="eastAsia" w:hAnsi="宋体"/>
          <w:b/>
          <w:bCs/>
          <w:color w:val="auto"/>
          <w:highlight w:val="none"/>
        </w:rPr>
        <w:t>分）</w:t>
      </w:r>
    </w:p>
    <w:p>
      <w:pPr>
        <w:keepNext w:val="0"/>
        <w:keepLines w:val="0"/>
        <w:pageBreakBefore w:val="0"/>
        <w:widowControl w:val="0"/>
        <w:kinsoku/>
        <w:wordWrap/>
        <w:overflowPunct/>
        <w:topLinePunct w:val="0"/>
        <w:autoSpaceDE w:val="0"/>
        <w:autoSpaceDN w:val="0"/>
        <w:bidi w:val="0"/>
        <w:adjustRightInd w:val="0"/>
        <w:snapToGrid/>
        <w:spacing w:before="30" w:line="500" w:lineRule="exact"/>
        <w:ind w:firstLine="621" w:firstLineChars="296"/>
        <w:textAlignment w:val="auto"/>
        <w:rPr>
          <w:rFonts w:ascii="宋体" w:hAnsi="宋体"/>
          <w:color w:val="auto"/>
          <w:highlight w:val="none"/>
        </w:rPr>
      </w:pPr>
      <w:r>
        <w:rPr>
          <w:rFonts w:hint="eastAsia" w:ascii="宋体" w:hAnsi="宋体"/>
          <w:color w:val="auto"/>
          <w:highlight w:val="none"/>
          <w:lang w:val="en-US" w:eastAsia="zh-CN"/>
        </w:rPr>
        <w:t>一档</w:t>
      </w:r>
      <w:r>
        <w:rPr>
          <w:rFonts w:hint="eastAsia" w:ascii="宋体" w:hAnsi="宋体"/>
          <w:color w:val="auto"/>
          <w:highlight w:val="none"/>
        </w:rPr>
        <w:t>（</w:t>
      </w:r>
      <w:r>
        <w:rPr>
          <w:rFonts w:hint="eastAsia" w:ascii="宋体" w:hAnsi="宋体"/>
          <w:color w:val="auto"/>
          <w:highlight w:val="none"/>
          <w:lang w:val="en-US" w:eastAsia="zh-CN"/>
        </w:rPr>
        <w:t>8</w:t>
      </w:r>
      <w:r>
        <w:rPr>
          <w:rFonts w:hint="eastAsia" w:ascii="宋体" w:hAnsi="宋体"/>
          <w:color w:val="auto"/>
          <w:highlight w:val="none"/>
        </w:rPr>
        <w:t>分）：基本能够理解本项目的背景、目标、范围，基本把握本项目的工作重点、难点，技术方案较简单可行，没有明显技术错误；项目组织实施一般，各相关专业人员配置基本按照采购服务实施要求配备但专业不齐全，针对本项目的工作进度未编制工作进度激励制度，方案实施操作性不强。</w:t>
      </w:r>
    </w:p>
    <w:p>
      <w:pPr>
        <w:keepNext w:val="0"/>
        <w:keepLines w:val="0"/>
        <w:pageBreakBefore w:val="0"/>
        <w:widowControl w:val="0"/>
        <w:kinsoku/>
        <w:wordWrap/>
        <w:overflowPunct/>
        <w:topLinePunct w:val="0"/>
        <w:autoSpaceDE w:val="0"/>
        <w:autoSpaceDN w:val="0"/>
        <w:bidi w:val="0"/>
        <w:adjustRightInd w:val="0"/>
        <w:snapToGrid/>
        <w:spacing w:before="30" w:line="500" w:lineRule="exact"/>
        <w:ind w:firstLine="621" w:firstLineChars="296"/>
        <w:textAlignment w:val="auto"/>
        <w:rPr>
          <w:rFonts w:ascii="宋体" w:hAnsi="宋体"/>
          <w:color w:val="auto"/>
          <w:highlight w:val="none"/>
        </w:rPr>
      </w:pPr>
      <w:r>
        <w:rPr>
          <w:rFonts w:hint="eastAsia" w:ascii="宋体" w:hAnsi="宋体"/>
          <w:color w:val="auto"/>
          <w:highlight w:val="none"/>
          <w:lang w:val="en-US" w:eastAsia="zh-CN"/>
        </w:rPr>
        <w:t>二档</w:t>
      </w:r>
      <w:r>
        <w:rPr>
          <w:rFonts w:hint="eastAsia" w:ascii="宋体" w:hAnsi="宋体"/>
          <w:color w:val="auto"/>
          <w:highlight w:val="none"/>
        </w:rPr>
        <w:t>（</w:t>
      </w:r>
      <w:r>
        <w:rPr>
          <w:rFonts w:hint="eastAsia" w:ascii="宋体" w:hAnsi="宋体"/>
          <w:color w:val="auto"/>
          <w:highlight w:val="none"/>
          <w:lang w:val="en-US" w:eastAsia="zh-CN"/>
        </w:rPr>
        <w:t>16</w:t>
      </w:r>
      <w:r>
        <w:rPr>
          <w:rFonts w:hint="eastAsia" w:ascii="宋体" w:hAnsi="宋体"/>
          <w:color w:val="auto"/>
          <w:highlight w:val="none"/>
        </w:rPr>
        <w:t>分）：能较准确理解本项目的背景、目标、范围，能够把握本项目的工作重点、难点，提出了比较全面可行的服务方案；项目组织实施科学，各相关专业人员配置满足采购服务实施要求，针对本项目的工作进度具有完善的激励制度但可操作性不强，方案基本上满足用户需求。</w:t>
      </w:r>
    </w:p>
    <w:p>
      <w:pPr>
        <w:keepNext w:val="0"/>
        <w:keepLines w:val="0"/>
        <w:pageBreakBefore w:val="0"/>
        <w:widowControl w:val="0"/>
        <w:kinsoku/>
        <w:wordWrap/>
        <w:overflowPunct/>
        <w:topLinePunct w:val="0"/>
        <w:autoSpaceDE w:val="0"/>
        <w:autoSpaceDN w:val="0"/>
        <w:bidi w:val="0"/>
        <w:adjustRightInd w:val="0"/>
        <w:snapToGrid/>
        <w:spacing w:before="30" w:line="500" w:lineRule="exact"/>
        <w:ind w:firstLine="621" w:firstLineChars="296"/>
        <w:textAlignment w:val="auto"/>
        <w:rPr>
          <w:rFonts w:ascii="宋体" w:hAnsi="宋体"/>
          <w:color w:val="auto"/>
          <w:highlight w:val="none"/>
        </w:rPr>
      </w:pPr>
      <w:r>
        <w:rPr>
          <w:rFonts w:hint="eastAsia" w:ascii="宋体" w:hAnsi="宋体"/>
          <w:color w:val="auto"/>
          <w:highlight w:val="none"/>
          <w:lang w:val="en-US" w:eastAsia="zh-CN"/>
        </w:rPr>
        <w:t>三档</w:t>
      </w:r>
      <w:r>
        <w:rPr>
          <w:rFonts w:hint="eastAsia" w:ascii="宋体" w:hAnsi="宋体"/>
          <w:color w:val="auto"/>
          <w:highlight w:val="none"/>
        </w:rPr>
        <w:t>（</w:t>
      </w:r>
      <w:r>
        <w:rPr>
          <w:rFonts w:hint="eastAsia" w:ascii="宋体" w:hAnsi="宋体"/>
          <w:color w:val="auto"/>
          <w:highlight w:val="none"/>
          <w:lang w:val="en-US" w:eastAsia="zh-CN"/>
        </w:rPr>
        <w:t>25</w:t>
      </w:r>
      <w:r>
        <w:rPr>
          <w:rFonts w:hint="eastAsia" w:ascii="宋体" w:hAnsi="宋体"/>
          <w:color w:val="auto"/>
          <w:highlight w:val="none"/>
        </w:rPr>
        <w:t>分）：能准确理解本项目的背景、目标、范围，准确把握本项目的工作重点、难点，提出详细、全面可行的服务方案；项目组织实施科学且具有针对性，各相关专业人员配置合理，专业齐全且优于采购计划实施要求，针对本项目的工作进度具有完善的、可操作的激励制度，方案完全满足用户需求。</w:t>
      </w:r>
    </w:p>
    <w:p>
      <w:pPr>
        <w:keepNext w:val="0"/>
        <w:keepLines w:val="0"/>
        <w:pageBreakBefore w:val="0"/>
        <w:widowControl w:val="0"/>
        <w:kinsoku/>
        <w:wordWrap/>
        <w:overflowPunct/>
        <w:topLinePunct w:val="0"/>
        <w:autoSpaceDE w:val="0"/>
        <w:autoSpaceDN w:val="0"/>
        <w:bidi w:val="0"/>
        <w:adjustRightInd w:val="0"/>
        <w:snapToGrid/>
        <w:spacing w:before="30" w:line="500" w:lineRule="exact"/>
        <w:ind w:firstLine="422" w:firstLineChars="200"/>
        <w:jc w:val="left"/>
        <w:textAlignment w:val="auto"/>
        <w:rPr>
          <w:b/>
          <w:color w:val="auto"/>
          <w:highlight w:val="none"/>
          <w:shd w:val="clear" w:color="auto" w:fill="FFFFFF"/>
        </w:rPr>
      </w:pPr>
      <w:r>
        <w:rPr>
          <w:rFonts w:hint="eastAsia" w:hAnsi="宋体"/>
          <w:b/>
          <w:color w:val="auto"/>
          <w:szCs w:val="24"/>
          <w:highlight w:val="none"/>
          <w:lang w:val="en-US" w:eastAsia="zh-CN"/>
        </w:rPr>
        <w:t>（3）</w:t>
      </w:r>
      <w:r>
        <w:rPr>
          <w:rFonts w:hint="eastAsia"/>
          <w:b/>
          <w:color w:val="auto"/>
          <w:highlight w:val="none"/>
          <w:shd w:val="clear" w:color="auto" w:fill="FFFFFF"/>
        </w:rPr>
        <w:t>技术服务方案质量与进度保障</w:t>
      </w:r>
      <w:r>
        <w:rPr>
          <w:rFonts w:hint="eastAsia" w:hAnsi="宋体"/>
          <w:b/>
          <w:bCs/>
          <w:color w:val="auto"/>
          <w:highlight w:val="none"/>
        </w:rPr>
        <w:t>（满分</w:t>
      </w:r>
      <w:r>
        <w:rPr>
          <w:rFonts w:hint="eastAsia" w:hAnsi="宋体"/>
          <w:b/>
          <w:bCs/>
          <w:color w:val="auto"/>
          <w:highlight w:val="none"/>
          <w:lang w:val="en-US" w:eastAsia="zh-CN"/>
        </w:rPr>
        <w:t>25</w:t>
      </w:r>
      <w:r>
        <w:rPr>
          <w:rFonts w:hint="eastAsia" w:hAnsi="宋体"/>
          <w:b/>
          <w:bCs/>
          <w:color w:val="auto"/>
          <w:highlight w:val="none"/>
        </w:rPr>
        <w:t>分）</w:t>
      </w:r>
    </w:p>
    <w:p>
      <w:pPr>
        <w:keepNext w:val="0"/>
        <w:keepLines w:val="0"/>
        <w:pageBreakBefore w:val="0"/>
        <w:widowControl w:val="0"/>
        <w:kinsoku/>
        <w:wordWrap/>
        <w:overflowPunct/>
        <w:topLinePunct w:val="0"/>
        <w:autoSpaceDE w:val="0"/>
        <w:autoSpaceDN w:val="0"/>
        <w:bidi w:val="0"/>
        <w:adjustRightInd w:val="0"/>
        <w:snapToGrid/>
        <w:spacing w:before="30" w:line="500" w:lineRule="exact"/>
        <w:ind w:firstLine="630" w:firstLineChars="300"/>
        <w:textAlignment w:val="auto"/>
        <w:rPr>
          <w:rFonts w:ascii="宋体" w:hAnsi="宋体"/>
          <w:color w:val="auto"/>
          <w:highlight w:val="none"/>
        </w:rPr>
      </w:pPr>
      <w:r>
        <w:rPr>
          <w:rFonts w:hint="eastAsia" w:ascii="宋体" w:hAnsi="宋体"/>
          <w:color w:val="auto"/>
          <w:highlight w:val="none"/>
          <w:lang w:val="en-US" w:eastAsia="zh-CN"/>
        </w:rPr>
        <w:t>一档</w:t>
      </w:r>
      <w:r>
        <w:rPr>
          <w:rFonts w:hint="eastAsia" w:ascii="宋体" w:hAnsi="宋体"/>
          <w:color w:val="auto"/>
          <w:highlight w:val="none"/>
        </w:rPr>
        <w:t>（</w:t>
      </w:r>
      <w:r>
        <w:rPr>
          <w:rFonts w:hint="eastAsia" w:ascii="宋体" w:hAnsi="宋体"/>
          <w:color w:val="auto"/>
          <w:highlight w:val="none"/>
          <w:lang w:val="en-US" w:eastAsia="zh-CN"/>
        </w:rPr>
        <w:t>8</w:t>
      </w:r>
      <w:r>
        <w:rPr>
          <w:rFonts w:hint="eastAsia" w:ascii="宋体" w:hAnsi="宋体"/>
          <w:color w:val="auto"/>
          <w:highlight w:val="none"/>
        </w:rPr>
        <w:t>分）</w:t>
      </w:r>
      <w:r>
        <w:rPr>
          <w:rFonts w:hint="eastAsia" w:ascii="宋体" w:hAnsi="宋体"/>
          <w:color w:val="auto"/>
          <w:spacing w:val="-4"/>
          <w:kern w:val="0"/>
          <w:highlight w:val="none"/>
        </w:rPr>
        <w:t>：对本项目的服务有基本理解与认识，有基本工作进度计划、任务划分及应对措施，有基本质量保证措施及服务保障，表述基本清晰，质量保证措施和后期服务方案承诺基本能满足项目要求。对本报告研究的技术重点、难点作出了分析，但不够完善；技术实施方案和报告编制进度计划方案较简单。</w:t>
      </w:r>
    </w:p>
    <w:p>
      <w:pPr>
        <w:keepNext w:val="0"/>
        <w:keepLines w:val="0"/>
        <w:pageBreakBefore w:val="0"/>
        <w:widowControl w:val="0"/>
        <w:kinsoku/>
        <w:wordWrap/>
        <w:overflowPunct/>
        <w:topLinePunct w:val="0"/>
        <w:autoSpaceDE w:val="0"/>
        <w:autoSpaceDN w:val="0"/>
        <w:bidi w:val="0"/>
        <w:adjustRightInd w:val="0"/>
        <w:snapToGrid/>
        <w:spacing w:before="30" w:line="500" w:lineRule="exact"/>
        <w:ind w:firstLine="630" w:firstLineChars="300"/>
        <w:textAlignment w:val="auto"/>
        <w:rPr>
          <w:rFonts w:ascii="宋体" w:hAnsi="宋体"/>
          <w:color w:val="auto"/>
          <w:spacing w:val="-4"/>
          <w:kern w:val="0"/>
          <w:highlight w:val="none"/>
        </w:rPr>
      </w:pPr>
      <w:r>
        <w:rPr>
          <w:rFonts w:hint="eastAsia" w:ascii="宋体" w:hAnsi="宋体"/>
          <w:color w:val="auto"/>
          <w:highlight w:val="none"/>
          <w:lang w:val="en-US" w:eastAsia="zh-CN"/>
        </w:rPr>
        <w:t>二档</w:t>
      </w:r>
      <w:r>
        <w:rPr>
          <w:rFonts w:hint="eastAsia" w:ascii="宋体" w:hAnsi="宋体"/>
          <w:color w:val="auto"/>
          <w:highlight w:val="none"/>
        </w:rPr>
        <w:t>（</w:t>
      </w:r>
      <w:r>
        <w:rPr>
          <w:rFonts w:hint="eastAsia" w:ascii="宋体" w:hAnsi="宋体"/>
          <w:color w:val="auto"/>
          <w:highlight w:val="none"/>
          <w:lang w:val="en-US" w:eastAsia="zh-CN"/>
        </w:rPr>
        <w:t>16</w:t>
      </w:r>
      <w:r>
        <w:rPr>
          <w:rFonts w:hint="eastAsia" w:ascii="宋体" w:hAnsi="宋体"/>
          <w:color w:val="auto"/>
          <w:highlight w:val="none"/>
        </w:rPr>
        <w:t>分）</w:t>
      </w:r>
      <w:r>
        <w:rPr>
          <w:rFonts w:hint="eastAsia" w:ascii="宋体" w:hAnsi="宋体"/>
          <w:color w:val="auto"/>
          <w:spacing w:val="-4"/>
          <w:kern w:val="0"/>
          <w:highlight w:val="none"/>
        </w:rPr>
        <w:t>：对本项目的服务有较深刻理解与充分认识，编制工作进度计划及任务划分、进度控制、质量保证措施可行，有后续跟踪服务，而且后续服务内容基本完整，质量保证措施和服务承诺能满足项目要求；对本报告研究的目标、范围、需求理解一般，能够基本掌握本报告研究的技术重点、难点、要点；提供了服务方案且包含服务措施、工作进度保障措施，确保完成本报告所有工作等内容。</w:t>
      </w:r>
    </w:p>
    <w:p>
      <w:pPr>
        <w:keepNext w:val="0"/>
        <w:keepLines w:val="0"/>
        <w:pageBreakBefore w:val="0"/>
        <w:widowControl w:val="0"/>
        <w:kinsoku/>
        <w:wordWrap/>
        <w:overflowPunct/>
        <w:topLinePunct w:val="0"/>
        <w:autoSpaceDE w:val="0"/>
        <w:autoSpaceDN w:val="0"/>
        <w:bidi w:val="0"/>
        <w:adjustRightInd w:val="0"/>
        <w:snapToGrid/>
        <w:spacing w:before="30" w:line="500" w:lineRule="exact"/>
        <w:ind w:firstLine="630" w:firstLineChars="300"/>
        <w:textAlignment w:val="auto"/>
        <w:rPr>
          <w:rFonts w:ascii="宋体" w:hAnsi="宋体"/>
          <w:color w:val="auto"/>
          <w:spacing w:val="-4"/>
          <w:kern w:val="0"/>
          <w:highlight w:val="none"/>
        </w:rPr>
      </w:pPr>
      <w:r>
        <w:rPr>
          <w:rFonts w:hint="eastAsia" w:ascii="宋体" w:hAnsi="宋体"/>
          <w:color w:val="auto"/>
          <w:highlight w:val="none"/>
          <w:lang w:val="en-US" w:eastAsia="zh-CN"/>
        </w:rPr>
        <w:t>三档</w:t>
      </w:r>
      <w:r>
        <w:rPr>
          <w:rFonts w:hint="eastAsia" w:ascii="宋体" w:hAnsi="宋体"/>
          <w:color w:val="auto"/>
          <w:highlight w:val="none"/>
        </w:rPr>
        <w:t>（</w:t>
      </w:r>
      <w:r>
        <w:rPr>
          <w:rFonts w:hint="eastAsia" w:ascii="宋体" w:hAnsi="宋体"/>
          <w:color w:val="auto"/>
          <w:highlight w:val="none"/>
          <w:lang w:val="en-US" w:eastAsia="zh-CN"/>
        </w:rPr>
        <w:t>25</w:t>
      </w:r>
      <w:r>
        <w:rPr>
          <w:rFonts w:hint="eastAsia" w:ascii="宋体" w:hAnsi="宋体"/>
          <w:color w:val="auto"/>
          <w:highlight w:val="none"/>
        </w:rPr>
        <w:t>分）</w:t>
      </w:r>
      <w:r>
        <w:rPr>
          <w:rFonts w:hint="eastAsia" w:ascii="宋体" w:hAnsi="宋体"/>
          <w:color w:val="auto"/>
          <w:spacing w:val="-4"/>
          <w:kern w:val="0"/>
          <w:highlight w:val="none"/>
        </w:rPr>
        <w:t>：对本项目的服务及措施明显有利于项目的实施，方案详细，针对性强，质量保证体系完备周全，服务保障体系健全，项目整体工作进度计划及任务划分、进度控制合理、关键时间节点把握科学准确，并能确保项目高质量、高效率完成，承诺按时保质完成相关文件编制，后续服务全面细致响应及时、特点突出、措施细致、服务效率高，具有针对性、各项措施合理、可行，完全符合采购要求；对本报告研究的目标、范围、需求理解准确，对本报告研究的技术重点、难点、要点分析准确；技术服务措施、工作进度保障措施、确保完成本报告所有工作等内容详细具体。</w:t>
      </w:r>
    </w:p>
    <w:p>
      <w:pPr>
        <w:pStyle w:val="11"/>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hAnsi="宋体"/>
          <w:b/>
          <w:bCs/>
          <w:color w:val="auto"/>
          <w:highlight w:val="none"/>
        </w:rPr>
      </w:pPr>
      <w:r>
        <w:rPr>
          <w:rFonts w:hint="eastAsia" w:hAnsi="宋体"/>
          <w:b/>
          <w:color w:val="auto"/>
          <w:sz w:val="24"/>
          <w:szCs w:val="24"/>
          <w:highlight w:val="none"/>
          <w:lang w:val="en-US" w:eastAsia="zh-CN"/>
        </w:rPr>
        <w:t>3.</w:t>
      </w:r>
      <w:r>
        <w:rPr>
          <w:rFonts w:hint="eastAsia"/>
          <w:b/>
          <w:bCs/>
          <w:color w:val="auto"/>
          <w:highlight w:val="none"/>
          <w:lang w:val="en-US" w:eastAsia="zh-CN"/>
        </w:rPr>
        <w:t>商务分</w:t>
      </w:r>
      <w:r>
        <w:rPr>
          <w:rFonts w:hint="eastAsia" w:hAnsi="宋体"/>
          <w:b/>
          <w:bCs/>
          <w:color w:val="auto"/>
          <w:highlight w:val="none"/>
        </w:rPr>
        <w:t>……………………………………………………………………………………………（满分</w:t>
      </w:r>
      <w:r>
        <w:rPr>
          <w:rFonts w:hint="eastAsia" w:hAnsi="宋体"/>
          <w:b/>
          <w:bCs/>
          <w:color w:val="auto"/>
          <w:highlight w:val="none"/>
          <w:lang w:val="en-US" w:eastAsia="zh-CN"/>
        </w:rPr>
        <w:t>25</w:t>
      </w:r>
      <w:r>
        <w:rPr>
          <w:rFonts w:hint="eastAsia" w:hAnsi="宋体"/>
          <w:b/>
          <w:bCs/>
          <w:color w:val="auto"/>
          <w:highlight w:val="none"/>
        </w:rPr>
        <w:t>分）</w:t>
      </w:r>
    </w:p>
    <w:p>
      <w:pPr>
        <w:pStyle w:val="11"/>
        <w:keepNext w:val="0"/>
        <w:keepLines w:val="0"/>
        <w:pageBreakBefore w:val="0"/>
        <w:widowControl w:val="0"/>
        <w:kinsoku/>
        <w:wordWrap/>
        <w:overflowPunct/>
        <w:topLinePunct w:val="0"/>
        <w:bidi w:val="0"/>
        <w:snapToGrid/>
        <w:spacing w:line="500" w:lineRule="exact"/>
        <w:ind w:firstLine="211" w:firstLineChars="100"/>
        <w:textAlignment w:val="auto"/>
        <w:rPr>
          <w:rFonts w:hint="eastAsia" w:ascii="宋体" w:hAnsi="宋体" w:eastAsia="宋体" w:cs="Times New Roman"/>
          <w:b/>
          <w:bCs/>
          <w:color w:val="auto"/>
          <w:kern w:val="2"/>
          <w:sz w:val="21"/>
          <w:szCs w:val="21"/>
          <w:highlight w:val="none"/>
          <w:lang w:val="en-US" w:eastAsia="zh-CN" w:bidi="ar-SA"/>
        </w:rPr>
      </w:pPr>
      <w:r>
        <w:rPr>
          <w:rFonts w:hint="eastAsia"/>
          <w:b/>
          <w:color w:val="auto"/>
          <w:highlight w:val="none"/>
          <w:shd w:val="clear" w:color="auto" w:fill="FFFFFF"/>
          <w:lang w:val="en-US" w:eastAsia="zh-CN"/>
        </w:rPr>
        <w:t xml:space="preserve"> </w:t>
      </w:r>
      <w:r>
        <w:rPr>
          <w:rFonts w:hint="eastAsia" w:ascii="宋体" w:hAnsi="宋体" w:eastAsia="宋体" w:cs="Times New Roman"/>
          <w:b/>
          <w:bCs/>
          <w:color w:val="auto"/>
          <w:kern w:val="2"/>
          <w:sz w:val="21"/>
          <w:szCs w:val="21"/>
          <w:highlight w:val="none"/>
          <w:lang w:val="en-US" w:eastAsia="zh-CN" w:bidi="ar-SA"/>
        </w:rPr>
        <w:t>（1）项目实施人员（满分1</w:t>
      </w:r>
      <w:r>
        <w:rPr>
          <w:rFonts w:hint="eastAsia" w:hAnsi="宋体" w:cs="Times New Roman"/>
          <w:b/>
          <w:bCs/>
          <w:color w:val="auto"/>
          <w:kern w:val="2"/>
          <w:sz w:val="21"/>
          <w:szCs w:val="21"/>
          <w:highlight w:val="none"/>
          <w:lang w:val="en-US" w:eastAsia="zh-CN" w:bidi="ar-SA"/>
        </w:rPr>
        <w:t>1</w:t>
      </w:r>
      <w:r>
        <w:rPr>
          <w:rFonts w:hint="eastAsia" w:ascii="宋体" w:hAnsi="宋体" w:eastAsia="宋体" w:cs="Times New Roman"/>
          <w:b/>
          <w:bCs/>
          <w:color w:val="auto"/>
          <w:kern w:val="2"/>
          <w:sz w:val="21"/>
          <w:szCs w:val="21"/>
          <w:highlight w:val="none"/>
          <w:lang w:val="en-US" w:eastAsia="zh-CN" w:bidi="ar-SA"/>
        </w:rPr>
        <w:t>分）</w:t>
      </w:r>
    </w:p>
    <w:p>
      <w:pPr>
        <w:keepNext w:val="0"/>
        <w:keepLines w:val="0"/>
        <w:pageBreakBefore w:val="0"/>
        <w:widowControl w:val="0"/>
        <w:numPr>
          <w:ilvl w:val="0"/>
          <w:numId w:val="0"/>
        </w:numPr>
        <w:kinsoku/>
        <w:wordWrap/>
        <w:overflowPunct/>
        <w:topLinePunct w:val="0"/>
        <w:autoSpaceDE/>
        <w:autoSpaceDN/>
        <w:bidi w:val="0"/>
        <w:snapToGrid/>
        <w:spacing w:before="0" w:after="0" w:line="500" w:lineRule="exact"/>
        <w:ind w:right="0" w:firstLine="630" w:firstLineChars="300"/>
        <w:jc w:val="both"/>
        <w:textAlignment w:val="auto"/>
        <w:rPr>
          <w:rFonts w:hint="default" w:ascii="宋体" w:hAnsi="宋体" w:eastAsia="宋体" w:cs="Times New Roman"/>
          <w:color w:val="auto"/>
          <w:kern w:val="2"/>
          <w:sz w:val="21"/>
          <w:szCs w:val="21"/>
          <w:highlight w:val="none"/>
          <w:lang w:val="en-US" w:eastAsia="zh-CN" w:bidi="ar-SA"/>
        </w:rPr>
      </w:pPr>
      <w:r>
        <w:rPr>
          <w:rFonts w:hint="default" w:ascii="宋体" w:hAnsi="宋体" w:eastAsia="宋体" w:cs="Times New Roman"/>
          <w:color w:val="auto"/>
          <w:kern w:val="2"/>
          <w:sz w:val="21"/>
          <w:szCs w:val="21"/>
          <w:highlight w:val="none"/>
          <w:lang w:val="en-US" w:eastAsia="zh-CN" w:bidi="ar-SA"/>
        </w:rPr>
        <w:t>1）供应商拟投入项目负责人具备环境影响评价工程师证书的得</w:t>
      </w:r>
      <w:r>
        <w:rPr>
          <w:rFonts w:hint="eastAsia" w:ascii="宋体" w:hAnsi="宋体" w:cs="Times New Roman"/>
          <w:color w:val="auto"/>
          <w:kern w:val="2"/>
          <w:sz w:val="21"/>
          <w:szCs w:val="21"/>
          <w:highlight w:val="none"/>
          <w:lang w:val="en-US" w:eastAsia="zh-CN" w:bidi="ar-SA"/>
        </w:rPr>
        <w:t>5</w:t>
      </w:r>
      <w:r>
        <w:rPr>
          <w:rFonts w:hint="default" w:ascii="宋体" w:hAnsi="宋体" w:eastAsia="宋体" w:cs="Times New Roman"/>
          <w:color w:val="auto"/>
          <w:kern w:val="2"/>
          <w:sz w:val="21"/>
          <w:szCs w:val="21"/>
          <w:highlight w:val="none"/>
          <w:lang w:val="en-US" w:eastAsia="zh-CN" w:bidi="ar-SA"/>
        </w:rPr>
        <w:t>分，满分</w:t>
      </w:r>
      <w:r>
        <w:rPr>
          <w:rFonts w:hint="eastAsia" w:ascii="宋体" w:hAnsi="宋体" w:cs="Times New Roman"/>
          <w:color w:val="auto"/>
          <w:kern w:val="2"/>
          <w:sz w:val="21"/>
          <w:szCs w:val="21"/>
          <w:highlight w:val="none"/>
          <w:lang w:val="en-US" w:eastAsia="zh-CN" w:bidi="ar-SA"/>
        </w:rPr>
        <w:t>5</w:t>
      </w:r>
      <w:r>
        <w:rPr>
          <w:rFonts w:hint="default" w:ascii="宋体" w:hAnsi="宋体" w:eastAsia="宋体" w:cs="Times New Roman"/>
          <w:color w:val="auto"/>
          <w:kern w:val="2"/>
          <w:sz w:val="21"/>
          <w:szCs w:val="21"/>
          <w:highlight w:val="none"/>
          <w:lang w:val="en-US" w:eastAsia="zh-CN" w:bidi="ar-SA"/>
        </w:rPr>
        <w:t>分（需提供拟投入人员的有效身份证正反面复印件、环评工程师证书复印件和近半年内任意三个月社保证明材料复印件，否则不得分）；</w:t>
      </w:r>
    </w:p>
    <w:p>
      <w:pPr>
        <w:keepNext w:val="0"/>
        <w:keepLines w:val="0"/>
        <w:pageBreakBefore w:val="0"/>
        <w:widowControl w:val="0"/>
        <w:numPr>
          <w:ilvl w:val="0"/>
          <w:numId w:val="0"/>
        </w:numPr>
        <w:kinsoku/>
        <w:wordWrap/>
        <w:overflowPunct/>
        <w:topLinePunct w:val="0"/>
        <w:autoSpaceDE/>
        <w:autoSpaceDN/>
        <w:bidi w:val="0"/>
        <w:snapToGrid/>
        <w:spacing w:before="0" w:after="0" w:line="500" w:lineRule="exact"/>
        <w:ind w:right="0" w:firstLine="630" w:firstLineChars="300"/>
        <w:jc w:val="both"/>
        <w:textAlignment w:val="auto"/>
        <w:rPr>
          <w:rFonts w:hint="default" w:ascii="宋体" w:hAnsi="宋体" w:eastAsia="宋体" w:cs="Times New Roman"/>
          <w:color w:val="auto"/>
          <w:kern w:val="2"/>
          <w:sz w:val="21"/>
          <w:szCs w:val="21"/>
          <w:highlight w:val="none"/>
          <w:lang w:val="en-US" w:eastAsia="zh-CN" w:bidi="ar-SA"/>
        </w:rPr>
      </w:pPr>
      <w:r>
        <w:rPr>
          <w:rFonts w:hint="default" w:ascii="宋体" w:hAnsi="宋体" w:eastAsia="宋体" w:cs="Times New Roman"/>
          <w:color w:val="auto"/>
          <w:kern w:val="2"/>
          <w:sz w:val="21"/>
          <w:szCs w:val="21"/>
          <w:highlight w:val="none"/>
          <w:lang w:val="en-US" w:eastAsia="zh-CN" w:bidi="ar-SA"/>
        </w:rPr>
        <w:t>2）供应商拟投入的其他项目技术人员中，具备有环境保护类</w:t>
      </w:r>
      <w:r>
        <w:rPr>
          <w:rFonts w:hint="eastAsia" w:ascii="宋体" w:hAnsi="宋体" w:cs="Times New Roman"/>
          <w:color w:val="auto"/>
          <w:kern w:val="2"/>
          <w:sz w:val="21"/>
          <w:szCs w:val="21"/>
          <w:highlight w:val="none"/>
          <w:lang w:val="en-US" w:eastAsia="zh-CN" w:bidi="ar-SA"/>
        </w:rPr>
        <w:t>、管理类</w:t>
      </w:r>
      <w:r>
        <w:rPr>
          <w:rFonts w:hint="default" w:ascii="宋体" w:hAnsi="宋体" w:eastAsia="宋体" w:cs="Times New Roman"/>
          <w:color w:val="auto"/>
          <w:kern w:val="2"/>
          <w:sz w:val="21"/>
          <w:szCs w:val="21"/>
          <w:highlight w:val="none"/>
          <w:lang w:val="en-US" w:eastAsia="zh-CN" w:bidi="ar-SA"/>
        </w:rPr>
        <w:t>中级工程师（</w:t>
      </w:r>
      <w:r>
        <w:rPr>
          <w:rFonts w:hint="eastAsia" w:ascii="宋体" w:hAnsi="宋体" w:cs="Times New Roman"/>
          <w:color w:val="auto"/>
          <w:kern w:val="2"/>
          <w:sz w:val="21"/>
          <w:szCs w:val="21"/>
          <w:highlight w:val="none"/>
          <w:lang w:val="en-US" w:eastAsia="zh-CN" w:bidi="ar-SA"/>
        </w:rPr>
        <w:t>含</w:t>
      </w:r>
      <w:r>
        <w:rPr>
          <w:rFonts w:hint="default" w:ascii="宋体" w:hAnsi="宋体" w:eastAsia="宋体" w:cs="Times New Roman"/>
          <w:color w:val="auto"/>
          <w:kern w:val="2"/>
          <w:sz w:val="21"/>
          <w:szCs w:val="21"/>
          <w:highlight w:val="none"/>
          <w:lang w:val="en-US" w:eastAsia="zh-CN" w:bidi="ar-SA"/>
        </w:rPr>
        <w:t>）以上技术职称）证书的每个得</w:t>
      </w:r>
      <w:r>
        <w:rPr>
          <w:rFonts w:hint="eastAsia" w:ascii="宋体" w:hAnsi="宋体" w:cs="Times New Roman"/>
          <w:color w:val="auto"/>
          <w:kern w:val="2"/>
          <w:sz w:val="21"/>
          <w:szCs w:val="21"/>
          <w:highlight w:val="none"/>
          <w:lang w:val="en-US" w:eastAsia="zh-CN" w:bidi="ar-SA"/>
        </w:rPr>
        <w:t>3</w:t>
      </w:r>
      <w:r>
        <w:rPr>
          <w:rFonts w:hint="default" w:ascii="宋体" w:hAnsi="宋体" w:eastAsia="宋体" w:cs="Times New Roman"/>
          <w:color w:val="auto"/>
          <w:kern w:val="2"/>
          <w:sz w:val="21"/>
          <w:szCs w:val="21"/>
          <w:highlight w:val="none"/>
          <w:lang w:val="en-US" w:eastAsia="zh-CN" w:bidi="ar-SA"/>
        </w:rPr>
        <w:t>分，满分</w:t>
      </w:r>
      <w:r>
        <w:rPr>
          <w:rFonts w:hint="eastAsia" w:ascii="宋体" w:hAnsi="宋体" w:cs="Times New Roman"/>
          <w:color w:val="auto"/>
          <w:kern w:val="2"/>
          <w:sz w:val="21"/>
          <w:szCs w:val="21"/>
          <w:highlight w:val="none"/>
          <w:lang w:val="en-US" w:eastAsia="zh-CN" w:bidi="ar-SA"/>
        </w:rPr>
        <w:t>6</w:t>
      </w:r>
      <w:r>
        <w:rPr>
          <w:rFonts w:hint="default" w:ascii="宋体" w:hAnsi="宋体" w:eastAsia="宋体" w:cs="Times New Roman"/>
          <w:color w:val="auto"/>
          <w:kern w:val="2"/>
          <w:sz w:val="21"/>
          <w:szCs w:val="21"/>
          <w:highlight w:val="none"/>
          <w:lang w:val="en-US" w:eastAsia="zh-CN" w:bidi="ar-SA"/>
        </w:rPr>
        <w:t>分（需提供拟投入人员的有效身份证正反面复印件、工程师证书复印件和近半年内任意三个月社保证明材料复印件，否则不得分）；</w:t>
      </w:r>
    </w:p>
    <w:p>
      <w:pPr>
        <w:keepNext w:val="0"/>
        <w:keepLines w:val="0"/>
        <w:pageBreakBefore w:val="0"/>
        <w:widowControl w:val="0"/>
        <w:kinsoku/>
        <w:wordWrap/>
        <w:overflowPunct/>
        <w:topLinePunct w:val="0"/>
        <w:bidi w:val="0"/>
        <w:snapToGrid/>
        <w:spacing w:line="500" w:lineRule="exact"/>
        <w:ind w:firstLine="422" w:firstLineChars="200"/>
        <w:textAlignment w:val="auto"/>
        <w:rPr>
          <w:rFonts w:hint="eastAsia" w:hAnsi="宋体" w:cs="宋体"/>
          <w:b/>
          <w:color w:val="auto"/>
          <w:sz w:val="24"/>
          <w:szCs w:val="24"/>
          <w:highlight w:val="none"/>
        </w:rPr>
      </w:pPr>
      <w:r>
        <w:rPr>
          <w:rFonts w:hint="eastAsia"/>
          <w:b/>
          <w:color w:val="auto"/>
          <w:highlight w:val="none"/>
          <w:shd w:val="clear" w:color="auto" w:fill="FFFFFF"/>
          <w:lang w:val="en-US" w:eastAsia="zh-CN"/>
        </w:rPr>
        <w:t>（2）业绩</w:t>
      </w:r>
      <w:r>
        <w:rPr>
          <w:rFonts w:hint="eastAsia"/>
          <w:b/>
          <w:color w:val="auto"/>
          <w:highlight w:val="none"/>
          <w:shd w:val="clear" w:color="auto" w:fill="FFFFFF"/>
        </w:rPr>
        <w:t>分</w:t>
      </w:r>
      <w:r>
        <w:rPr>
          <w:rFonts w:hint="eastAsia"/>
          <w:b/>
          <w:color w:val="auto"/>
          <w:highlight w:val="none"/>
          <w:shd w:val="clear" w:color="auto" w:fill="FFFFFF"/>
          <w:lang w:eastAsia="zh-CN"/>
        </w:rPr>
        <w:t>（</w:t>
      </w:r>
      <w:r>
        <w:rPr>
          <w:rFonts w:hint="eastAsia"/>
          <w:b/>
          <w:color w:val="auto"/>
          <w:highlight w:val="none"/>
          <w:shd w:val="clear" w:color="auto" w:fill="FFFFFF"/>
          <w:lang w:val="en-US" w:eastAsia="zh-CN"/>
        </w:rPr>
        <w:t>满分14分</w:t>
      </w:r>
      <w:r>
        <w:rPr>
          <w:rFonts w:hint="eastAsia"/>
          <w:b/>
          <w:color w:val="auto"/>
          <w:highlight w:val="none"/>
          <w:shd w:val="clear" w:color="auto" w:fill="FFFFFF"/>
          <w:lang w:eastAsia="zh-CN"/>
        </w:rPr>
        <w:t>）</w:t>
      </w:r>
      <w:bookmarkEnd w:id="44"/>
      <w:bookmarkStart w:id="45" w:name="_Toc21506013"/>
    </w:p>
    <w:p>
      <w:pPr>
        <w:adjustRightInd w:val="0"/>
        <w:spacing w:line="500" w:lineRule="exact"/>
        <w:ind w:firstLine="420" w:firstLineChars="200"/>
        <w:textAlignment w:val="baseline"/>
        <w:rPr>
          <w:rFonts w:hint="eastAsia" w:hAnsi="宋体" w:cs="宋体"/>
          <w:b/>
          <w:color w:val="auto"/>
          <w:sz w:val="24"/>
          <w:szCs w:val="24"/>
          <w:highlight w:val="none"/>
        </w:rPr>
      </w:pPr>
      <w:r>
        <w:rPr>
          <w:rFonts w:hint="eastAsia" w:ascii="宋体" w:hAnsi="宋体" w:cs="宋体"/>
          <w:color w:val="auto"/>
          <w:kern w:val="0"/>
          <w:szCs w:val="21"/>
          <w:highlight w:val="none"/>
          <w:lang w:val="en-US" w:eastAsia="zh-CN"/>
        </w:rPr>
        <w:t>供应商自2018年以来承担的水源保护区划分或水源保护调整项目类的成功案例，每项得3.5分，本项满分14分（以提供的中标、成交通知书复印件或签订的采购合同复印件为准）。</w:t>
      </w:r>
    </w:p>
    <w:p>
      <w:pPr>
        <w:pStyle w:val="11"/>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eastAsia="宋体"/>
          <w:b/>
          <w:color w:val="auto"/>
          <w:sz w:val="24"/>
          <w:lang w:val="en-US" w:eastAsia="zh-CN"/>
        </w:rPr>
      </w:pPr>
      <w:r>
        <w:rPr>
          <w:rFonts w:hint="eastAsia" w:hAnsi="宋体" w:cs="宋体"/>
          <w:b/>
          <w:color w:val="auto"/>
          <w:sz w:val="24"/>
          <w:szCs w:val="24"/>
        </w:rPr>
        <w:t>总得分</w:t>
      </w:r>
      <w:r>
        <w:rPr>
          <w:rFonts w:hint="eastAsia" w:hAnsi="宋体"/>
          <w:b/>
          <w:color w:val="auto"/>
          <w:sz w:val="24"/>
          <w:szCs w:val="24"/>
        </w:rPr>
        <w:t>=</w:t>
      </w:r>
      <w:r>
        <w:rPr>
          <w:rFonts w:hint="eastAsia" w:hAnsi="宋体"/>
          <w:b/>
          <w:color w:val="auto"/>
          <w:sz w:val="24"/>
          <w:szCs w:val="24"/>
          <w:lang w:val="en-US" w:eastAsia="zh-CN"/>
        </w:rPr>
        <w:t>1</w:t>
      </w:r>
      <w:r>
        <w:rPr>
          <w:rFonts w:hint="eastAsia" w:hAnsi="宋体"/>
          <w:b/>
          <w:color w:val="auto"/>
          <w:sz w:val="24"/>
          <w:szCs w:val="24"/>
        </w:rPr>
        <w:t>+</w:t>
      </w:r>
      <w:r>
        <w:rPr>
          <w:rFonts w:hint="eastAsia" w:hAnsi="宋体"/>
          <w:b/>
          <w:color w:val="auto"/>
          <w:sz w:val="24"/>
          <w:szCs w:val="24"/>
          <w:lang w:val="en-US" w:eastAsia="zh-CN"/>
        </w:rPr>
        <w:t>2</w:t>
      </w:r>
      <w:r>
        <w:rPr>
          <w:rFonts w:hint="eastAsia" w:hAnsi="宋体"/>
          <w:b/>
          <w:color w:val="auto"/>
          <w:sz w:val="24"/>
          <w:szCs w:val="24"/>
        </w:rPr>
        <w:t>+</w:t>
      </w:r>
      <w:r>
        <w:rPr>
          <w:rFonts w:hint="eastAsia" w:hAnsi="宋体"/>
          <w:b/>
          <w:color w:val="auto"/>
          <w:sz w:val="24"/>
          <w:szCs w:val="24"/>
          <w:lang w:val="en-US" w:eastAsia="zh-CN"/>
        </w:rPr>
        <w:t>3</w:t>
      </w:r>
      <w:bookmarkEnd w:id="45"/>
    </w:p>
    <w:p>
      <w:pPr>
        <w:pStyle w:val="11"/>
        <w:keepNext w:val="0"/>
        <w:keepLines w:val="0"/>
        <w:pageBreakBefore w:val="0"/>
        <w:widowControl w:val="0"/>
        <w:kinsoku/>
        <w:wordWrap/>
        <w:overflowPunct/>
        <w:topLinePunct w:val="0"/>
        <w:autoSpaceDE/>
        <w:autoSpaceDN/>
        <w:bidi w:val="0"/>
        <w:snapToGrid/>
        <w:spacing w:line="500" w:lineRule="exact"/>
        <w:textAlignment w:val="auto"/>
        <w:rPr>
          <w:rFonts w:hAnsi="宋体"/>
          <w:color w:val="auto"/>
          <w:sz w:val="24"/>
          <w:szCs w:val="24"/>
          <w:highlight w:val="none"/>
        </w:rPr>
      </w:pPr>
      <w:r>
        <w:rPr>
          <w:rFonts w:hint="eastAsia" w:hAnsi="宋体"/>
          <w:b/>
          <w:bCs/>
          <w:color w:val="auto"/>
          <w:sz w:val="24"/>
          <w:szCs w:val="24"/>
          <w:highlight w:val="none"/>
        </w:rPr>
        <w:t>三、</w:t>
      </w:r>
      <w:r>
        <w:rPr>
          <w:rFonts w:hint="eastAsia" w:hAnsi="宋体"/>
          <w:b/>
          <w:bCs/>
          <w:color w:val="auto"/>
          <w:sz w:val="24"/>
          <w:szCs w:val="24"/>
          <w:highlight w:val="none"/>
          <w:lang w:val="en-US" w:eastAsia="zh-CN"/>
        </w:rPr>
        <w:t>成交供应商</w:t>
      </w:r>
      <w:r>
        <w:rPr>
          <w:rFonts w:hint="eastAsia" w:hAnsi="宋体"/>
          <w:b/>
          <w:bCs/>
          <w:color w:val="auto"/>
          <w:sz w:val="24"/>
          <w:szCs w:val="24"/>
          <w:highlight w:val="none"/>
        </w:rPr>
        <w:t>候选人推荐原则</w:t>
      </w:r>
    </w:p>
    <w:p>
      <w:pPr>
        <w:keepNext w:val="0"/>
        <w:keepLines w:val="0"/>
        <w:pageBreakBefore w:val="0"/>
        <w:widowControl w:val="0"/>
        <w:kinsoku/>
        <w:wordWrap/>
        <w:overflowPunct/>
        <w:topLinePunct w:val="0"/>
        <w:autoSpaceDE/>
        <w:autoSpaceDN/>
        <w:bidi w:val="0"/>
        <w:snapToGrid/>
        <w:spacing w:line="500" w:lineRule="exact"/>
        <w:ind w:right="-168" w:rightChars="-80" w:firstLine="420" w:firstLineChars="200"/>
        <w:textAlignment w:val="auto"/>
        <w:rPr>
          <w:rFonts w:ascii="宋体" w:hAnsi="宋体"/>
          <w:color w:val="auto"/>
          <w:szCs w:val="21"/>
          <w:highlight w:val="none"/>
        </w:rPr>
      </w:pPr>
      <w:r>
        <w:rPr>
          <w:rFonts w:hint="eastAsia" w:hAnsi="宋体"/>
          <w:color w:val="auto"/>
          <w:highlight w:val="none"/>
        </w:rPr>
        <w:t>磋商小组</w:t>
      </w:r>
      <w:r>
        <w:rPr>
          <w:rFonts w:hint="eastAsia" w:ascii="宋体" w:hAnsi="宋体"/>
          <w:color w:val="auto"/>
          <w:szCs w:val="21"/>
          <w:highlight w:val="none"/>
        </w:rPr>
        <w:t>将根据得分由高到低排列次序（得分相同时，以</w:t>
      </w:r>
      <w:r>
        <w:rPr>
          <w:rFonts w:hint="eastAsia" w:ascii="宋体" w:hAnsi="宋体"/>
          <w:color w:val="auto"/>
          <w:szCs w:val="21"/>
          <w:highlight w:val="none"/>
          <w:lang w:val="en-US" w:eastAsia="zh-CN"/>
        </w:rPr>
        <w:t>响应</w:t>
      </w:r>
      <w:r>
        <w:rPr>
          <w:rFonts w:hint="eastAsia" w:ascii="宋体" w:hAnsi="宋体"/>
          <w:color w:val="auto"/>
          <w:szCs w:val="21"/>
          <w:highlight w:val="none"/>
        </w:rPr>
        <w:t>报价由低到高顺序排列；得分相同且</w:t>
      </w:r>
      <w:r>
        <w:rPr>
          <w:rFonts w:hint="eastAsia" w:ascii="宋体" w:hAnsi="宋体"/>
          <w:color w:val="auto"/>
          <w:szCs w:val="21"/>
          <w:highlight w:val="none"/>
          <w:lang w:val="en-US" w:eastAsia="zh-CN"/>
        </w:rPr>
        <w:t>响应</w:t>
      </w:r>
      <w:r>
        <w:rPr>
          <w:rFonts w:hint="eastAsia" w:ascii="宋体" w:hAnsi="宋体"/>
          <w:color w:val="auto"/>
          <w:szCs w:val="21"/>
          <w:highlight w:val="none"/>
        </w:rPr>
        <w:t>报价相同的，按技术指标优劣顺序排列）并推荐</w:t>
      </w:r>
      <w:r>
        <w:rPr>
          <w:rFonts w:hint="eastAsia" w:ascii="宋体" w:hAnsi="宋体"/>
          <w:color w:val="auto"/>
          <w:szCs w:val="21"/>
          <w:highlight w:val="none"/>
          <w:lang w:val="en-US" w:eastAsia="zh-CN"/>
        </w:rPr>
        <w:t>成交供应商</w:t>
      </w:r>
      <w:r>
        <w:rPr>
          <w:rFonts w:hint="eastAsia" w:ascii="宋体" w:hAnsi="宋体"/>
          <w:color w:val="auto"/>
          <w:szCs w:val="21"/>
          <w:highlight w:val="none"/>
        </w:rPr>
        <w:t>候选人。</w:t>
      </w:r>
      <w:r>
        <w:rPr>
          <w:rFonts w:hint="eastAsia" w:ascii="宋体" w:hAnsi="宋体"/>
          <w:color w:val="auto"/>
          <w:szCs w:val="21"/>
          <w:highlight w:val="none"/>
          <w:lang w:val="en-US" w:eastAsia="zh-CN"/>
        </w:rPr>
        <w:t>采购人</w:t>
      </w:r>
      <w:r>
        <w:rPr>
          <w:rFonts w:hint="eastAsia" w:ascii="宋体" w:hAnsi="宋体"/>
          <w:color w:val="auto"/>
          <w:szCs w:val="21"/>
          <w:highlight w:val="none"/>
        </w:rPr>
        <w:t>应当确定</w:t>
      </w:r>
      <w:r>
        <w:rPr>
          <w:rFonts w:hint="eastAsia" w:ascii="宋体" w:hAnsi="宋体"/>
          <w:color w:val="auto"/>
          <w:szCs w:val="21"/>
          <w:highlight w:val="none"/>
          <w:lang w:val="en-US" w:eastAsia="zh-CN"/>
        </w:rPr>
        <w:t>磋商小组</w:t>
      </w:r>
      <w:r>
        <w:rPr>
          <w:rFonts w:hint="eastAsia" w:ascii="宋体" w:hAnsi="宋体"/>
          <w:color w:val="auto"/>
          <w:szCs w:val="21"/>
          <w:highlight w:val="none"/>
        </w:rPr>
        <w:t>推荐排名第一的</w:t>
      </w:r>
      <w:r>
        <w:rPr>
          <w:rFonts w:hint="eastAsia" w:ascii="宋体" w:hAnsi="宋体"/>
          <w:color w:val="auto"/>
          <w:szCs w:val="21"/>
          <w:highlight w:val="none"/>
          <w:lang w:val="en-US" w:eastAsia="zh-CN"/>
        </w:rPr>
        <w:t>成交供应商</w:t>
      </w:r>
      <w:r>
        <w:rPr>
          <w:rFonts w:hint="eastAsia" w:ascii="宋体" w:hAnsi="宋体"/>
          <w:color w:val="auto"/>
          <w:szCs w:val="21"/>
          <w:highlight w:val="none"/>
        </w:rPr>
        <w:t>候选人为中标人。排名第一的</w:t>
      </w:r>
      <w:r>
        <w:rPr>
          <w:rFonts w:hint="eastAsia" w:ascii="宋体" w:hAnsi="宋体"/>
          <w:color w:val="auto"/>
          <w:szCs w:val="21"/>
          <w:highlight w:val="none"/>
          <w:lang w:val="en-US" w:eastAsia="zh-CN"/>
        </w:rPr>
        <w:t>成交供应商</w:t>
      </w:r>
      <w:r>
        <w:rPr>
          <w:rFonts w:hint="eastAsia" w:ascii="宋体" w:hAnsi="宋体"/>
          <w:color w:val="auto"/>
          <w:szCs w:val="21"/>
          <w:highlight w:val="none"/>
        </w:rPr>
        <w:t>候选人放弃中标、因不可抗力提出不能履行合同，</w:t>
      </w:r>
      <w:r>
        <w:rPr>
          <w:rFonts w:hint="eastAsia" w:ascii="宋体" w:hAnsi="宋体"/>
          <w:color w:val="auto"/>
          <w:szCs w:val="21"/>
          <w:highlight w:val="none"/>
          <w:lang w:val="en-US" w:eastAsia="zh-CN"/>
        </w:rPr>
        <w:t>采购人</w:t>
      </w:r>
      <w:r>
        <w:rPr>
          <w:rFonts w:hint="eastAsia" w:ascii="宋体" w:hAnsi="宋体"/>
          <w:color w:val="auto"/>
          <w:szCs w:val="21"/>
          <w:highlight w:val="none"/>
        </w:rPr>
        <w:t>可以确定排名第二的</w:t>
      </w:r>
      <w:r>
        <w:rPr>
          <w:rFonts w:hint="eastAsia" w:ascii="宋体" w:hAnsi="宋体"/>
          <w:color w:val="auto"/>
          <w:szCs w:val="21"/>
          <w:highlight w:val="none"/>
          <w:lang w:val="en-US" w:eastAsia="zh-CN"/>
        </w:rPr>
        <w:t>成交供应商</w:t>
      </w:r>
      <w:r>
        <w:rPr>
          <w:rFonts w:hint="eastAsia" w:ascii="宋体" w:hAnsi="宋体"/>
          <w:color w:val="auto"/>
          <w:szCs w:val="21"/>
          <w:highlight w:val="none"/>
        </w:rPr>
        <w:t>候选人为中标人。排名第二的</w:t>
      </w:r>
      <w:r>
        <w:rPr>
          <w:rFonts w:hint="eastAsia" w:ascii="宋体" w:hAnsi="宋体"/>
          <w:color w:val="auto"/>
          <w:szCs w:val="21"/>
          <w:highlight w:val="none"/>
          <w:lang w:val="en-US" w:eastAsia="zh-CN"/>
        </w:rPr>
        <w:t>成交供应商</w:t>
      </w:r>
      <w:r>
        <w:rPr>
          <w:rFonts w:hint="eastAsia" w:ascii="宋体" w:hAnsi="宋体"/>
          <w:color w:val="auto"/>
          <w:szCs w:val="21"/>
          <w:highlight w:val="none"/>
        </w:rPr>
        <w:t>候选人因前款规定的同样原因不能签订合同的，</w:t>
      </w:r>
      <w:r>
        <w:rPr>
          <w:rFonts w:hint="eastAsia" w:ascii="宋体" w:hAnsi="宋体"/>
          <w:color w:val="auto"/>
          <w:szCs w:val="21"/>
          <w:highlight w:val="none"/>
          <w:lang w:val="en-US" w:eastAsia="zh-CN"/>
        </w:rPr>
        <w:t>采购人</w:t>
      </w:r>
      <w:r>
        <w:rPr>
          <w:rFonts w:hint="eastAsia" w:ascii="宋体" w:hAnsi="宋体"/>
          <w:color w:val="auto"/>
          <w:szCs w:val="21"/>
          <w:highlight w:val="none"/>
        </w:rPr>
        <w:t>可以确定排名第三的</w:t>
      </w:r>
      <w:r>
        <w:rPr>
          <w:rFonts w:hint="eastAsia" w:ascii="宋体" w:hAnsi="宋体"/>
          <w:color w:val="auto"/>
          <w:szCs w:val="21"/>
          <w:highlight w:val="none"/>
          <w:lang w:val="en-US" w:eastAsia="zh-CN"/>
        </w:rPr>
        <w:t>成交供应商</w:t>
      </w:r>
      <w:r>
        <w:rPr>
          <w:rFonts w:hint="eastAsia" w:ascii="宋体" w:hAnsi="宋体"/>
          <w:color w:val="auto"/>
          <w:szCs w:val="21"/>
          <w:highlight w:val="none"/>
        </w:rPr>
        <w:t>候选人为中标人，其余以此类推或重新采购。</w:t>
      </w:r>
    </w:p>
    <w:p>
      <w:pPr>
        <w:keepNext w:val="0"/>
        <w:keepLines w:val="0"/>
        <w:pageBreakBefore w:val="0"/>
        <w:widowControl w:val="0"/>
        <w:kinsoku/>
        <w:wordWrap/>
        <w:overflowPunct/>
        <w:topLinePunct w:val="0"/>
        <w:autoSpaceDE/>
        <w:autoSpaceDN/>
        <w:bidi w:val="0"/>
        <w:snapToGrid/>
        <w:spacing w:line="500" w:lineRule="exact"/>
        <w:ind w:right="-168" w:rightChars="-80" w:firstLine="420" w:firstLineChars="200"/>
        <w:textAlignment w:val="auto"/>
        <w:rPr>
          <w:rFonts w:hint="eastAsia" w:ascii="宋体" w:hAnsi="宋体" w:eastAsia="宋体"/>
          <w:color w:val="auto"/>
          <w:szCs w:val="21"/>
          <w:highlight w:val="none"/>
          <w:lang w:eastAsia="zh-CN"/>
        </w:rPr>
      </w:pPr>
      <w:r>
        <w:rPr>
          <w:rFonts w:ascii="宋体" w:hAnsi="宋体"/>
          <w:color w:val="auto"/>
          <w:szCs w:val="21"/>
          <w:highlight w:val="none"/>
        </w:rPr>
        <w:t>提供相同品牌产品且通过资格审查、符合性审查的不同</w:t>
      </w:r>
      <w:r>
        <w:rPr>
          <w:rFonts w:hint="eastAsia" w:ascii="宋体" w:hAnsi="宋体"/>
          <w:color w:val="auto"/>
          <w:szCs w:val="21"/>
          <w:highlight w:val="none"/>
          <w:lang w:val="en-US" w:eastAsia="zh-CN"/>
        </w:rPr>
        <w:t>供应商</w:t>
      </w:r>
      <w:r>
        <w:rPr>
          <w:rFonts w:ascii="宋体" w:hAnsi="宋体"/>
          <w:color w:val="auto"/>
          <w:szCs w:val="21"/>
          <w:highlight w:val="none"/>
        </w:rPr>
        <w:t>参加同一合同项下</w:t>
      </w:r>
      <w:r>
        <w:rPr>
          <w:rFonts w:hint="eastAsia" w:ascii="宋体" w:hAnsi="宋体"/>
          <w:color w:val="auto"/>
          <w:szCs w:val="21"/>
          <w:highlight w:val="none"/>
          <w:lang w:val="en-US" w:eastAsia="zh-CN"/>
        </w:rPr>
        <w:t>磋商</w:t>
      </w:r>
      <w:r>
        <w:rPr>
          <w:rFonts w:ascii="宋体" w:hAnsi="宋体"/>
          <w:color w:val="auto"/>
          <w:szCs w:val="21"/>
          <w:highlight w:val="none"/>
        </w:rPr>
        <w:t>的，按一家</w:t>
      </w:r>
      <w:r>
        <w:rPr>
          <w:rFonts w:hint="eastAsia" w:ascii="宋体" w:hAnsi="宋体"/>
          <w:color w:val="auto"/>
          <w:szCs w:val="21"/>
          <w:highlight w:val="none"/>
          <w:lang w:val="en-US" w:eastAsia="zh-CN"/>
        </w:rPr>
        <w:t>磋商供应商</w:t>
      </w:r>
      <w:r>
        <w:rPr>
          <w:rFonts w:ascii="宋体" w:hAnsi="宋体"/>
          <w:color w:val="auto"/>
          <w:szCs w:val="21"/>
          <w:highlight w:val="none"/>
        </w:rPr>
        <w:t>计算，评审后得分最高的同品牌</w:t>
      </w:r>
      <w:r>
        <w:rPr>
          <w:rFonts w:hint="eastAsia" w:ascii="宋体" w:hAnsi="宋体"/>
          <w:color w:val="auto"/>
          <w:szCs w:val="21"/>
          <w:highlight w:val="none"/>
          <w:lang w:val="en-US" w:eastAsia="zh-CN"/>
        </w:rPr>
        <w:t>磋商供应商</w:t>
      </w:r>
      <w:r>
        <w:rPr>
          <w:rFonts w:ascii="宋体" w:hAnsi="宋体"/>
          <w:color w:val="auto"/>
          <w:szCs w:val="21"/>
          <w:highlight w:val="none"/>
        </w:rPr>
        <w:t>获得中标人推荐资格</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spacing w:line="500" w:lineRule="exact"/>
        <w:ind w:right="-168" w:rightChars="-80" w:firstLine="420" w:firstLineChars="200"/>
        <w:textAlignment w:val="auto"/>
        <w:rPr>
          <w:rFonts w:ascii="宋体" w:hAnsi="宋体"/>
          <w:color w:val="auto"/>
          <w:szCs w:val="21"/>
          <w:highlight w:val="none"/>
        </w:rPr>
      </w:pPr>
    </w:p>
    <w:p>
      <w:pPr>
        <w:spacing w:line="480" w:lineRule="exact"/>
        <w:ind w:right="-168" w:rightChars="-80"/>
        <w:rPr>
          <w:rFonts w:ascii="宋体" w:hAnsi="宋体"/>
          <w:color w:val="auto"/>
          <w:szCs w:val="21"/>
          <w:highlight w:val="none"/>
        </w:rPr>
      </w:pPr>
    </w:p>
    <w:p>
      <w:pPr>
        <w:pStyle w:val="13"/>
        <w:rPr>
          <w:rFonts w:ascii="宋体" w:hAnsi="宋体"/>
          <w:color w:val="auto"/>
          <w:szCs w:val="21"/>
          <w:highlight w:val="none"/>
        </w:rPr>
      </w:pPr>
    </w:p>
    <w:p>
      <w:pPr>
        <w:pStyle w:val="13"/>
        <w:rPr>
          <w:rFonts w:ascii="宋体" w:hAnsi="宋体"/>
          <w:color w:val="auto"/>
          <w:szCs w:val="21"/>
          <w:highlight w:val="none"/>
        </w:rPr>
      </w:pPr>
    </w:p>
    <w:p>
      <w:pPr>
        <w:pStyle w:val="13"/>
        <w:rPr>
          <w:rFonts w:ascii="宋体" w:hAnsi="宋体"/>
          <w:color w:val="auto"/>
          <w:szCs w:val="21"/>
          <w:highlight w:val="none"/>
        </w:rPr>
      </w:pPr>
    </w:p>
    <w:p>
      <w:pPr>
        <w:pStyle w:val="3"/>
        <w:numPr>
          <w:ilvl w:val="0"/>
          <w:numId w:val="0"/>
        </w:numPr>
        <w:jc w:val="center"/>
        <w:rPr>
          <w:rFonts w:hint="eastAsia" w:ascii="宋体" w:hAnsi="宋体" w:eastAsia="宋体" w:cs="宋体"/>
          <w:color w:val="auto"/>
          <w:sz w:val="36"/>
          <w:szCs w:val="36"/>
          <w:highlight w:val="none"/>
        </w:rPr>
      </w:pPr>
      <w:bookmarkStart w:id="46" w:name="_Toc32348"/>
      <w:r>
        <w:rPr>
          <w:rFonts w:hint="eastAsia" w:ascii="宋体" w:hAnsi="宋体" w:cs="宋体"/>
          <w:color w:val="auto"/>
          <w:sz w:val="36"/>
          <w:szCs w:val="36"/>
          <w:highlight w:val="none"/>
          <w:lang w:val="en-US" w:eastAsia="zh-CN"/>
        </w:rPr>
        <w:t xml:space="preserve">第四章  </w:t>
      </w:r>
      <w:r>
        <w:rPr>
          <w:rFonts w:hint="eastAsia" w:ascii="宋体" w:hAnsi="宋体" w:eastAsia="宋体" w:cs="宋体"/>
          <w:color w:val="auto"/>
          <w:sz w:val="36"/>
          <w:szCs w:val="36"/>
          <w:highlight w:val="none"/>
        </w:rPr>
        <w:t>磋商供应商须知前附表</w:t>
      </w:r>
      <w:bookmarkEnd w:id="46"/>
    </w:p>
    <w:p>
      <w:pPr>
        <w:rPr>
          <w:color w:val="auto"/>
          <w:highlight w:val="none"/>
        </w:rPr>
      </w:pPr>
    </w:p>
    <w:tbl>
      <w:tblPr>
        <w:tblStyle w:val="20"/>
        <w:tblW w:w="9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775"/>
        <w:gridCol w:w="7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adjustRightInd w:val="0"/>
              <w:spacing w:line="360" w:lineRule="exact"/>
              <w:jc w:val="center"/>
              <w:rPr>
                <w:rFonts w:ascii="新宋体" w:hAnsi="新宋体" w:eastAsia="新宋体" w:cs="新宋体"/>
                <w:b/>
                <w:color w:val="auto"/>
                <w:highlight w:val="none"/>
                <w:lang w:eastAsia="en-US"/>
              </w:rPr>
            </w:pPr>
            <w:r>
              <w:rPr>
                <w:rFonts w:hint="eastAsia" w:ascii="新宋体" w:hAnsi="新宋体" w:eastAsia="新宋体" w:cs="新宋体"/>
                <w:b/>
                <w:color w:val="auto"/>
                <w:highlight w:val="none"/>
                <w:lang w:eastAsia="en-US"/>
              </w:rPr>
              <w:t>条款号</w:t>
            </w:r>
          </w:p>
        </w:tc>
        <w:tc>
          <w:tcPr>
            <w:tcW w:w="177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b/>
                <w:color w:val="auto"/>
                <w:highlight w:val="none"/>
                <w:lang w:eastAsia="en-US"/>
              </w:rPr>
            </w:pPr>
            <w:r>
              <w:rPr>
                <w:rFonts w:hint="eastAsia" w:ascii="新宋体" w:hAnsi="新宋体" w:eastAsia="新宋体" w:cs="新宋体"/>
                <w:b/>
                <w:color w:val="auto"/>
                <w:highlight w:val="none"/>
                <w:lang w:eastAsia="en-US"/>
              </w:rPr>
              <w:t>条款名称</w:t>
            </w:r>
          </w:p>
        </w:tc>
        <w:tc>
          <w:tcPr>
            <w:tcW w:w="7256" w:type="dxa"/>
            <w:tcBorders>
              <w:top w:val="single" w:color="auto" w:sz="4" w:space="0"/>
              <w:left w:val="single" w:color="auto" w:sz="4" w:space="0"/>
              <w:bottom w:val="single" w:color="auto" w:sz="4" w:space="0"/>
              <w:right w:val="single" w:color="auto" w:sz="4" w:space="0"/>
            </w:tcBorders>
            <w:vAlign w:val="top"/>
          </w:tcPr>
          <w:p>
            <w:pPr>
              <w:pStyle w:val="11"/>
              <w:spacing w:line="360" w:lineRule="exact"/>
              <w:jc w:val="center"/>
              <w:rPr>
                <w:rFonts w:ascii="新宋体" w:hAnsi="新宋体" w:eastAsia="新宋体" w:cs="新宋体"/>
                <w:b/>
                <w:color w:val="auto"/>
                <w:highlight w:val="none"/>
                <w:lang w:eastAsia="en-US"/>
              </w:rPr>
            </w:pPr>
            <w:r>
              <w:rPr>
                <w:rFonts w:hint="eastAsia" w:ascii="新宋体" w:hAnsi="新宋体" w:eastAsia="新宋体" w:cs="新宋体"/>
                <w:b/>
                <w:color w:val="auto"/>
                <w:highlight w:val="none"/>
                <w:lang w:eastAsia="en-US"/>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1.1</w:t>
            </w:r>
          </w:p>
        </w:tc>
        <w:tc>
          <w:tcPr>
            <w:tcW w:w="177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采购人</w:t>
            </w:r>
          </w:p>
        </w:tc>
        <w:tc>
          <w:tcPr>
            <w:tcW w:w="7256"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hint="default" w:ascii="新宋体" w:hAnsi="新宋体" w:eastAsia="新宋体" w:cs="新宋体"/>
                <w:color w:val="auto"/>
                <w:highlight w:val="none"/>
                <w:lang w:val="en-US" w:eastAsia="zh-CN"/>
              </w:rPr>
            </w:pPr>
            <w:r>
              <w:rPr>
                <w:rFonts w:hint="eastAsia" w:ascii="新宋体" w:hAnsi="新宋体" w:eastAsia="新宋体" w:cs="新宋体"/>
                <w:color w:val="auto"/>
                <w:highlight w:val="none"/>
              </w:rPr>
              <w:t>名称：</w:t>
            </w:r>
            <w:r>
              <w:rPr>
                <w:rFonts w:hint="eastAsia" w:ascii="新宋体" w:hAnsi="新宋体" w:eastAsia="新宋体" w:cs="新宋体"/>
                <w:color w:val="auto"/>
                <w:highlight w:val="none"/>
                <w:lang w:val="en-US" w:eastAsia="zh-CN"/>
              </w:rPr>
              <w:t>隆安县环境保护局</w:t>
            </w:r>
          </w:p>
          <w:p>
            <w:pPr>
              <w:pStyle w:val="11"/>
              <w:spacing w:line="360" w:lineRule="auto"/>
              <w:rPr>
                <w:rFonts w:hint="eastAsia" w:ascii="新宋体" w:hAnsi="新宋体" w:eastAsia="新宋体" w:cs="新宋体"/>
                <w:color w:val="auto"/>
                <w:highlight w:val="none"/>
                <w:lang w:eastAsia="zh-CN"/>
              </w:rPr>
            </w:pPr>
            <w:r>
              <w:rPr>
                <w:rFonts w:hint="eastAsia" w:ascii="新宋体" w:hAnsi="新宋体" w:eastAsia="新宋体" w:cs="新宋体"/>
                <w:color w:val="auto"/>
                <w:highlight w:val="none"/>
              </w:rPr>
              <w:t>地址：</w:t>
            </w:r>
            <w:r>
              <w:rPr>
                <w:rFonts w:hint="eastAsia" w:ascii="新宋体" w:hAnsi="新宋体" w:eastAsia="新宋体" w:cs="新宋体"/>
                <w:color w:val="auto"/>
                <w:highlight w:val="none"/>
                <w:lang w:val="en-US" w:eastAsia="zh-CN"/>
              </w:rPr>
              <w:t>南宁市隆安县城厢镇文塔路91号</w:t>
            </w:r>
          </w:p>
          <w:p>
            <w:pPr>
              <w:pStyle w:val="11"/>
              <w:spacing w:line="360" w:lineRule="auto"/>
              <w:rPr>
                <w:rFonts w:hint="eastAsia" w:hAnsi="宋体" w:eastAsia="新宋体" w:cs="宋体"/>
                <w:color w:val="auto"/>
                <w:highlight w:val="none"/>
                <w:lang w:eastAsia="zh-CN"/>
              </w:rPr>
            </w:pPr>
            <w:r>
              <w:rPr>
                <w:rFonts w:hint="eastAsia" w:ascii="新宋体" w:hAnsi="新宋体" w:eastAsia="新宋体" w:cs="新宋体"/>
                <w:color w:val="auto"/>
                <w:highlight w:val="none"/>
              </w:rPr>
              <w:t>联系人：</w:t>
            </w:r>
            <w:r>
              <w:rPr>
                <w:rFonts w:hint="eastAsia" w:ascii="新宋体" w:hAnsi="新宋体" w:eastAsia="新宋体" w:cs="新宋体"/>
                <w:color w:val="auto"/>
                <w:highlight w:val="none"/>
                <w:lang w:val="en-US" w:eastAsia="zh-CN"/>
              </w:rPr>
              <w:t>黄工</w:t>
            </w:r>
          </w:p>
          <w:p>
            <w:pPr>
              <w:spacing w:line="360" w:lineRule="auto"/>
              <w:rPr>
                <w:rFonts w:hint="eastAsia" w:ascii="新宋体" w:hAnsi="新宋体" w:eastAsia="新宋体" w:cs="新宋体"/>
                <w:color w:val="auto"/>
                <w:highlight w:val="none"/>
                <w:lang w:eastAsia="zh-CN"/>
              </w:rPr>
            </w:pPr>
            <w:r>
              <w:rPr>
                <w:rFonts w:hint="eastAsia" w:ascii="新宋体" w:hAnsi="新宋体" w:eastAsia="新宋体" w:cs="新宋体"/>
                <w:color w:val="auto"/>
                <w:szCs w:val="21"/>
                <w:highlight w:val="none"/>
                <w:lang w:eastAsia="zh-CN"/>
              </w:rPr>
              <w:t>联系</w:t>
            </w:r>
            <w:r>
              <w:rPr>
                <w:rFonts w:hint="eastAsia" w:ascii="新宋体" w:hAnsi="新宋体" w:eastAsia="新宋体" w:cs="新宋体"/>
                <w:color w:val="auto"/>
                <w:szCs w:val="21"/>
                <w:highlight w:val="none"/>
              </w:rPr>
              <w:t>电话：</w:t>
            </w:r>
            <w:r>
              <w:rPr>
                <w:rFonts w:hint="eastAsia" w:ascii="新宋体" w:hAnsi="新宋体" w:eastAsia="新宋体" w:cs="新宋体"/>
                <w:color w:val="auto"/>
                <w:szCs w:val="21"/>
                <w:highlight w:val="none"/>
                <w:lang w:val="en-US" w:eastAsia="zh-CN"/>
              </w:rPr>
              <w:t>0771-6530931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1.2</w:t>
            </w:r>
          </w:p>
        </w:tc>
        <w:tc>
          <w:tcPr>
            <w:tcW w:w="177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采购代理机构</w:t>
            </w:r>
          </w:p>
        </w:tc>
        <w:tc>
          <w:tcPr>
            <w:tcW w:w="7256"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hint="eastAsia" w:ascii="新宋体" w:hAnsi="新宋体" w:eastAsia="新宋体" w:cs="新宋体"/>
                <w:color w:val="auto"/>
                <w:highlight w:val="none"/>
                <w:lang w:eastAsia="zh-CN"/>
              </w:rPr>
            </w:pPr>
            <w:r>
              <w:rPr>
                <w:rFonts w:hint="eastAsia" w:ascii="新宋体" w:hAnsi="新宋体" w:eastAsia="新宋体" w:cs="新宋体"/>
                <w:color w:val="auto"/>
                <w:highlight w:val="none"/>
              </w:rPr>
              <w:t>名称：</w:t>
            </w:r>
            <w:r>
              <w:rPr>
                <w:rFonts w:hint="eastAsia" w:ascii="新宋体" w:hAnsi="新宋体" w:eastAsia="新宋体" w:cs="新宋体"/>
                <w:color w:val="auto"/>
                <w:highlight w:val="none"/>
                <w:lang w:eastAsia="zh-CN"/>
              </w:rPr>
              <w:t>广西龙建工程管理有限公司</w:t>
            </w:r>
          </w:p>
          <w:p>
            <w:pPr>
              <w:pStyle w:val="11"/>
              <w:spacing w:line="360" w:lineRule="auto"/>
              <w:rPr>
                <w:rFonts w:hint="eastAsia" w:ascii="新宋体" w:hAnsi="新宋体" w:eastAsia="新宋体" w:cs="新宋体"/>
                <w:color w:val="auto"/>
                <w:highlight w:val="none"/>
                <w:lang w:eastAsia="zh-CN"/>
              </w:rPr>
            </w:pPr>
            <w:r>
              <w:rPr>
                <w:rFonts w:hint="eastAsia" w:ascii="新宋体" w:hAnsi="新宋体" w:eastAsia="新宋体" w:cs="新宋体"/>
                <w:color w:val="auto"/>
                <w:highlight w:val="none"/>
              </w:rPr>
              <w:t>地址：</w:t>
            </w:r>
            <w:r>
              <w:rPr>
                <w:rFonts w:hint="eastAsia" w:ascii="新宋体" w:hAnsi="新宋体" w:eastAsia="新宋体" w:cs="新宋体"/>
                <w:color w:val="auto"/>
                <w:highlight w:val="none"/>
                <w:lang w:eastAsia="zh-CN"/>
              </w:rPr>
              <w:t>南宁市青秀区中柬路8号龙光世纪2号楼3410号</w:t>
            </w:r>
          </w:p>
          <w:p>
            <w:pPr>
              <w:pStyle w:val="11"/>
              <w:spacing w:line="360" w:lineRule="auto"/>
              <w:rPr>
                <w:rFonts w:ascii="新宋体" w:hAnsi="新宋体" w:eastAsia="新宋体" w:cs="新宋体"/>
                <w:color w:val="auto"/>
                <w:highlight w:val="none"/>
              </w:rPr>
            </w:pPr>
            <w:r>
              <w:rPr>
                <w:rFonts w:hint="eastAsia" w:ascii="新宋体" w:hAnsi="新宋体" w:eastAsia="新宋体" w:cs="新宋体"/>
                <w:color w:val="auto"/>
                <w:highlight w:val="none"/>
              </w:rPr>
              <w:t>项目负责人：</w:t>
            </w:r>
            <w:r>
              <w:rPr>
                <w:rFonts w:hint="eastAsia" w:ascii="新宋体" w:hAnsi="新宋体" w:eastAsia="新宋体" w:cs="新宋体"/>
                <w:color w:val="auto"/>
                <w:highlight w:val="none"/>
                <w:lang w:val="en-US" w:eastAsia="zh-CN"/>
              </w:rPr>
              <w:t>陆工</w:t>
            </w:r>
          </w:p>
          <w:p>
            <w:pPr>
              <w:pStyle w:val="11"/>
              <w:spacing w:line="360" w:lineRule="auto"/>
              <w:rPr>
                <w:rFonts w:hint="eastAsia" w:ascii="新宋体" w:hAnsi="新宋体" w:eastAsia="新宋体" w:cs="新宋体"/>
                <w:b/>
                <w:color w:val="auto"/>
                <w:highlight w:val="none"/>
                <w:lang w:eastAsia="zh-CN"/>
              </w:rPr>
            </w:pPr>
            <w:r>
              <w:rPr>
                <w:rFonts w:hint="eastAsia" w:ascii="新宋体" w:hAnsi="新宋体" w:eastAsia="新宋体" w:cs="新宋体"/>
                <w:color w:val="auto"/>
                <w:highlight w:val="none"/>
              </w:rPr>
              <w:t>联系电话：</w:t>
            </w:r>
            <w:r>
              <w:rPr>
                <w:rFonts w:hint="eastAsia" w:ascii="新宋体" w:hAnsi="新宋体" w:eastAsia="新宋体" w:cs="新宋体"/>
                <w:color w:val="auto"/>
                <w:highlight w:val="none"/>
                <w:lang w:eastAsia="zh-CN"/>
              </w:rPr>
              <w:t>0771-6511123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1.3</w:t>
            </w:r>
          </w:p>
        </w:tc>
        <w:tc>
          <w:tcPr>
            <w:tcW w:w="177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项目名称</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auto"/>
                <w:highlight w:val="none"/>
                <w:lang w:eastAsia="zh-CN"/>
              </w:rPr>
            </w:pPr>
            <w:r>
              <w:rPr>
                <w:rFonts w:hint="eastAsia" w:ascii="新宋体" w:hAnsi="新宋体" w:eastAsia="新宋体" w:cs="新宋体"/>
                <w:color w:val="auto"/>
                <w:highlight w:val="none"/>
                <w:lang w:eastAsia="zh-CN"/>
              </w:rPr>
              <w:t>隆安县农村千人以上集中式饮用水水源保护区划定技术服务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1.4</w:t>
            </w:r>
          </w:p>
        </w:tc>
        <w:tc>
          <w:tcPr>
            <w:tcW w:w="177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项目编号</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auto"/>
                <w:highlight w:val="none"/>
                <w:lang w:eastAsia="zh-CN"/>
              </w:rPr>
            </w:pPr>
            <w:r>
              <w:rPr>
                <w:rFonts w:hint="eastAsia" w:ascii="新宋体" w:hAnsi="新宋体" w:eastAsia="新宋体" w:cs="新宋体"/>
                <w:color w:val="auto"/>
                <w:highlight w:val="none"/>
                <w:lang w:eastAsia="zh-CN"/>
              </w:rPr>
              <w:t>LAZC2021-C3-00427-GXLJ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1.5</w:t>
            </w:r>
          </w:p>
        </w:tc>
        <w:tc>
          <w:tcPr>
            <w:tcW w:w="177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采购预算</w:t>
            </w:r>
          </w:p>
        </w:tc>
        <w:tc>
          <w:tcPr>
            <w:tcW w:w="7256"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ascii="新宋体" w:hAnsi="新宋体" w:eastAsia="新宋体" w:cs="新宋体"/>
                <w:color w:val="auto"/>
                <w:highlight w:val="none"/>
              </w:rPr>
            </w:pPr>
            <w:r>
              <w:rPr>
                <w:rFonts w:hint="eastAsia" w:ascii="新宋体" w:hAnsi="新宋体" w:eastAsia="新宋体" w:cs="新宋体"/>
                <w:color w:val="auto"/>
                <w:highlight w:val="none"/>
                <w:lang w:val="en-US" w:eastAsia="zh-CN"/>
              </w:rPr>
              <w:t>1080000.00</w:t>
            </w:r>
            <w:r>
              <w:rPr>
                <w:rFonts w:hint="eastAsia" w:ascii="新宋体" w:hAnsi="新宋体" w:eastAsia="新宋体" w:cs="新宋体"/>
                <w:color w:val="auto"/>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1.7</w:t>
            </w:r>
          </w:p>
        </w:tc>
        <w:tc>
          <w:tcPr>
            <w:tcW w:w="177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rPr>
            </w:pPr>
            <w:r>
              <w:rPr>
                <w:rFonts w:hint="eastAsia" w:ascii="新宋体" w:hAnsi="新宋体" w:eastAsia="新宋体" w:cs="新宋体"/>
                <w:color w:val="auto"/>
                <w:highlight w:val="none"/>
              </w:rPr>
              <w:t>本项目公告时间及采购文件获取方式</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rPr>
              <w:t>本项目公告时间</w:t>
            </w:r>
            <w:r>
              <w:rPr>
                <w:rFonts w:hint="eastAsia" w:asciiTheme="minorEastAsia" w:hAnsiTheme="minorEastAsia" w:eastAsiaTheme="minorEastAsia" w:cstheme="minorEastAsia"/>
                <w:i w:val="0"/>
                <w:iCs w:val="0"/>
                <w:color w:val="auto"/>
                <w:sz w:val="21"/>
                <w:szCs w:val="21"/>
                <w:highlight w:val="none"/>
              </w:rPr>
              <w:t>：</w:t>
            </w:r>
            <w:r>
              <w:rPr>
                <w:rFonts w:hint="eastAsia" w:asciiTheme="minorEastAsia" w:hAnsiTheme="minorEastAsia" w:eastAsiaTheme="minorEastAsia" w:cstheme="minorEastAsia"/>
                <w:b/>
                <w:bCs/>
                <w:i w:val="0"/>
                <w:iCs w:val="0"/>
                <w:color w:val="auto"/>
                <w:sz w:val="21"/>
                <w:szCs w:val="21"/>
                <w:highlight w:val="none"/>
                <w:lang w:eastAsia="zh-CN"/>
              </w:rPr>
              <w:t>2021年</w:t>
            </w:r>
            <w:r>
              <w:rPr>
                <w:rFonts w:hint="eastAsia" w:asciiTheme="minorEastAsia" w:hAnsiTheme="minorEastAsia" w:eastAsiaTheme="minorEastAsia" w:cstheme="minorEastAsia"/>
                <w:b/>
                <w:bCs/>
                <w:i w:val="0"/>
                <w:iCs w:val="0"/>
                <w:color w:val="auto"/>
                <w:sz w:val="21"/>
                <w:szCs w:val="21"/>
                <w:highlight w:val="none"/>
                <w:lang w:val="en-US" w:eastAsia="zh-CN"/>
              </w:rPr>
              <w:t>06</w:t>
            </w:r>
            <w:r>
              <w:rPr>
                <w:rFonts w:hint="eastAsia" w:asciiTheme="minorEastAsia" w:hAnsiTheme="minorEastAsia" w:eastAsiaTheme="minorEastAsia" w:cstheme="minorEastAsia"/>
                <w:b/>
                <w:bCs/>
                <w:i w:val="0"/>
                <w:iCs w:val="0"/>
                <w:color w:val="auto"/>
                <w:sz w:val="21"/>
                <w:szCs w:val="21"/>
                <w:highlight w:val="none"/>
                <w:lang w:eastAsia="zh-CN"/>
              </w:rPr>
              <w:t>月</w:t>
            </w:r>
            <w:r>
              <w:rPr>
                <w:rFonts w:hint="eastAsia" w:asciiTheme="minorEastAsia" w:hAnsiTheme="minorEastAsia" w:eastAsiaTheme="minorEastAsia" w:cstheme="minorEastAsia"/>
                <w:b/>
                <w:bCs/>
                <w:i w:val="0"/>
                <w:iCs w:val="0"/>
                <w:color w:val="auto"/>
                <w:sz w:val="21"/>
                <w:szCs w:val="21"/>
                <w:highlight w:val="none"/>
                <w:lang w:val="en-US" w:eastAsia="zh-CN"/>
              </w:rPr>
              <w:t>10</w:t>
            </w:r>
            <w:r>
              <w:rPr>
                <w:rFonts w:hint="eastAsia" w:asciiTheme="minorEastAsia" w:hAnsiTheme="minorEastAsia" w:eastAsiaTheme="minorEastAsia" w:cstheme="minorEastAsia"/>
                <w:b/>
                <w:bCs/>
                <w:i w:val="0"/>
                <w:iCs w:val="0"/>
                <w:color w:val="auto"/>
                <w:sz w:val="21"/>
                <w:szCs w:val="21"/>
                <w:highlight w:val="none"/>
                <w:lang w:eastAsia="zh-CN"/>
              </w:rPr>
              <w:t>日至 2021年</w:t>
            </w:r>
            <w:r>
              <w:rPr>
                <w:rFonts w:hint="eastAsia" w:asciiTheme="minorEastAsia" w:hAnsiTheme="minorEastAsia" w:eastAsiaTheme="minorEastAsia" w:cstheme="minorEastAsia"/>
                <w:b/>
                <w:bCs/>
                <w:i w:val="0"/>
                <w:iCs w:val="0"/>
                <w:color w:val="auto"/>
                <w:sz w:val="21"/>
                <w:szCs w:val="21"/>
                <w:highlight w:val="none"/>
                <w:lang w:val="en-US" w:eastAsia="zh-CN"/>
              </w:rPr>
              <w:t>06</w:t>
            </w:r>
            <w:r>
              <w:rPr>
                <w:rFonts w:hint="eastAsia" w:asciiTheme="minorEastAsia" w:hAnsiTheme="minorEastAsia" w:eastAsiaTheme="minorEastAsia" w:cstheme="minorEastAsia"/>
                <w:b/>
                <w:bCs/>
                <w:i w:val="0"/>
                <w:iCs w:val="0"/>
                <w:color w:val="auto"/>
                <w:sz w:val="21"/>
                <w:szCs w:val="21"/>
                <w:highlight w:val="none"/>
                <w:lang w:eastAsia="zh-CN"/>
              </w:rPr>
              <w:t>月</w:t>
            </w:r>
            <w:r>
              <w:rPr>
                <w:rFonts w:hint="eastAsia" w:asciiTheme="minorEastAsia" w:hAnsiTheme="minorEastAsia" w:eastAsiaTheme="minorEastAsia" w:cstheme="minorEastAsia"/>
                <w:b/>
                <w:bCs/>
                <w:i w:val="0"/>
                <w:iCs w:val="0"/>
                <w:color w:val="auto"/>
                <w:sz w:val="21"/>
                <w:szCs w:val="21"/>
                <w:highlight w:val="none"/>
                <w:lang w:val="en-US" w:eastAsia="zh-CN"/>
              </w:rPr>
              <w:t>17</w:t>
            </w:r>
            <w:r>
              <w:rPr>
                <w:rFonts w:hint="eastAsia" w:asciiTheme="minorEastAsia" w:hAnsiTheme="minorEastAsia" w:eastAsiaTheme="minorEastAsia" w:cstheme="minorEastAsia"/>
                <w:b/>
                <w:bCs/>
                <w:i w:val="0"/>
                <w:iCs w:val="0"/>
                <w:color w:val="auto"/>
                <w:sz w:val="21"/>
                <w:szCs w:val="21"/>
                <w:highlight w:val="none"/>
                <w:lang w:eastAsia="zh-CN"/>
              </w:rPr>
              <w:t>日</w:t>
            </w:r>
            <w:r>
              <w:rPr>
                <w:rFonts w:hint="eastAsia" w:asciiTheme="minorEastAsia" w:hAnsiTheme="minorEastAsia" w:eastAsiaTheme="minorEastAsia" w:cstheme="minorEastAsia"/>
                <w:b/>
                <w:bCs/>
                <w:i w:val="0"/>
                <w:iCs w:val="0"/>
                <w:color w:val="auto"/>
                <w:sz w:val="21"/>
                <w:szCs w:val="21"/>
                <w:highlight w:val="none"/>
              </w:rPr>
              <w:t>；</w:t>
            </w:r>
          </w:p>
          <w:p>
            <w:pPr>
              <w:spacing w:line="360" w:lineRule="auto"/>
              <w:rPr>
                <w:rFonts w:hint="eastAsia" w:asciiTheme="minorEastAsia" w:hAnsiTheme="minorEastAsia" w:eastAsiaTheme="minorEastAsia" w:cstheme="minorEastAsia"/>
                <w:i w:val="0"/>
                <w:iCs w:val="0"/>
                <w:color w:val="auto"/>
                <w:sz w:val="21"/>
                <w:szCs w:val="21"/>
                <w:u w:val="single"/>
                <w:lang w:val="en-US" w:eastAsia="zh-CN"/>
              </w:rPr>
            </w:pPr>
            <w:r>
              <w:rPr>
                <w:rFonts w:hint="eastAsia" w:asciiTheme="minorEastAsia" w:hAnsiTheme="minorEastAsia" w:eastAsiaTheme="minorEastAsia" w:cstheme="minorEastAsia"/>
                <w:i w:val="0"/>
                <w:iCs w:val="0"/>
                <w:color w:val="auto"/>
                <w:sz w:val="21"/>
                <w:szCs w:val="21"/>
              </w:rPr>
              <w:t>地点：本项目不发放纸质文件</w:t>
            </w:r>
            <w:r>
              <w:rPr>
                <w:rFonts w:hint="eastAsia" w:asciiTheme="minorEastAsia" w:hAnsiTheme="minorEastAsia" w:eastAsiaTheme="minorEastAsia" w:cstheme="minorEastAsia"/>
                <w:i w:val="0"/>
                <w:iCs w:val="0"/>
                <w:color w:val="auto"/>
                <w:sz w:val="21"/>
                <w:szCs w:val="21"/>
                <w:lang w:eastAsia="zh-CN"/>
              </w:rPr>
              <w:t>。</w:t>
            </w:r>
          </w:p>
          <w:p>
            <w:pPr>
              <w:widowControl/>
              <w:spacing w:line="360" w:lineRule="auto"/>
              <w:jc w:val="left"/>
              <w:rPr>
                <w:rFonts w:ascii="新宋体" w:hAnsi="新宋体" w:eastAsia="新宋体" w:cs="新宋体"/>
                <w:color w:val="auto"/>
                <w:highlight w:val="none"/>
              </w:rPr>
            </w:pPr>
            <w:r>
              <w:rPr>
                <w:rFonts w:hint="eastAsia" w:asciiTheme="minorEastAsia" w:hAnsiTheme="minorEastAsia" w:eastAsiaTheme="minorEastAsia" w:cstheme="minorEastAsia"/>
                <w:i w:val="0"/>
                <w:iCs w:val="0"/>
                <w:color w:val="auto"/>
                <w:sz w:val="21"/>
                <w:szCs w:val="21"/>
              </w:rPr>
              <w:t>方式：</w:t>
            </w:r>
            <w:r>
              <w:rPr>
                <w:rFonts w:hint="eastAsia" w:asciiTheme="minorEastAsia" w:hAnsiTheme="minorEastAsia" w:eastAsiaTheme="minorEastAsia" w:cstheme="minorEastAsia"/>
                <w:i w:val="0"/>
                <w:iCs w:val="0"/>
                <w:color w:val="auto"/>
                <w:sz w:val="21"/>
                <w:szCs w:val="21"/>
                <w:lang w:val="en-US" w:eastAsia="zh-CN"/>
              </w:rPr>
              <w:t>供应商自行在</w:t>
            </w:r>
            <w:r>
              <w:rPr>
                <w:rFonts w:hint="eastAsia" w:ascii="新宋体" w:hAnsi="新宋体" w:eastAsia="新宋体" w:cs="新宋体"/>
                <w:color w:val="auto"/>
                <w:kern w:val="0"/>
                <w:highlight w:val="none"/>
                <w:lang w:val="en-US" w:eastAsia="zh-CN"/>
              </w:rPr>
              <w:t>政府采购云平台（网址：https://www.zcygov.cn/）及</w:t>
            </w:r>
            <w:r>
              <w:rPr>
                <w:rFonts w:hint="eastAsia" w:ascii="新宋体" w:hAnsi="新宋体" w:eastAsia="新宋体" w:cs="新宋体"/>
                <w:color w:val="auto"/>
                <w:kern w:val="0"/>
                <w:highlight w:val="none"/>
              </w:rPr>
              <w:t>南宁市公共资源交易平台（ggzy.nanning.gov.cn）的对应的政府采购公告处获取采购文件</w:t>
            </w:r>
            <w:r>
              <w:rPr>
                <w:rFonts w:hint="eastAsia" w:ascii="新宋体" w:hAnsi="新宋体" w:eastAsia="新宋体" w:cs="新宋体"/>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rPr>
              <w:t>1.8</w:t>
            </w:r>
          </w:p>
        </w:tc>
        <w:tc>
          <w:tcPr>
            <w:tcW w:w="177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rPr>
            </w:pPr>
            <w:r>
              <w:rPr>
                <w:rFonts w:hint="eastAsia" w:ascii="新宋体" w:hAnsi="新宋体" w:eastAsia="新宋体" w:cs="新宋体"/>
                <w:color w:val="auto"/>
                <w:highlight w:val="none"/>
              </w:rPr>
              <w:t>预留采购份额</w:t>
            </w:r>
          </w:p>
        </w:tc>
        <w:tc>
          <w:tcPr>
            <w:tcW w:w="7256" w:type="dxa"/>
            <w:tcBorders>
              <w:top w:val="single" w:color="auto" w:sz="4" w:space="0"/>
              <w:left w:val="single" w:color="auto" w:sz="4" w:space="0"/>
              <w:bottom w:val="single" w:color="auto" w:sz="4" w:space="0"/>
              <w:right w:val="single" w:color="auto" w:sz="4" w:space="0"/>
            </w:tcBorders>
            <w:vAlign w:val="center"/>
          </w:tcPr>
          <w:p>
            <w:pPr>
              <w:pStyle w:val="11"/>
              <w:spacing w:line="360" w:lineRule="auto"/>
              <w:ind w:left="596" w:hanging="596" w:hangingChars="284"/>
              <w:rPr>
                <w:rFonts w:ascii="新宋体" w:hAnsi="新宋体" w:eastAsia="新宋体" w:cs="新宋体"/>
                <w:color w:val="auto"/>
                <w:szCs w:val="24"/>
                <w:highlight w:val="none"/>
              </w:rPr>
            </w:pPr>
            <w:r>
              <w:rPr>
                <w:rFonts w:hint="eastAsia" w:ascii="新宋体" w:hAnsi="新宋体" w:eastAsia="新宋体" w:cs="新宋体"/>
                <w:color w:val="auto"/>
                <w:highlight w:val="none"/>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3.2</w:t>
            </w:r>
          </w:p>
        </w:tc>
        <w:tc>
          <w:tcPr>
            <w:tcW w:w="177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rPr>
            </w:pPr>
            <w:r>
              <w:rPr>
                <w:rFonts w:hint="eastAsia" w:ascii="新宋体" w:hAnsi="新宋体" w:eastAsia="新宋体" w:cs="新宋体"/>
                <w:color w:val="auto"/>
                <w:highlight w:val="none"/>
              </w:rPr>
              <w:t>供应商应具备的特定条件</w:t>
            </w:r>
          </w:p>
        </w:tc>
        <w:tc>
          <w:tcPr>
            <w:tcW w:w="725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hint="eastAsia" w:ascii="新宋体" w:hAnsi="新宋体" w:eastAsia="新宋体" w:cs="新宋体"/>
                <w:color w:val="auto"/>
                <w:highlight w:val="none"/>
              </w:rPr>
            </w:pPr>
            <w:r>
              <w:rPr>
                <w:rFonts w:hint="eastAsia" w:ascii="新宋体" w:hAnsi="新宋体" w:eastAsia="新宋体" w:cs="新宋体"/>
                <w:color w:val="auto"/>
                <w:highlight w:val="none"/>
              </w:rPr>
              <w:t>1、满足《中华人民共和国政府采购法》第二十二条规定；</w:t>
            </w:r>
          </w:p>
          <w:p>
            <w:pPr>
              <w:widowControl/>
              <w:spacing w:line="600" w:lineRule="exact"/>
              <w:rPr>
                <w:rFonts w:hint="eastAsia" w:ascii="新宋体" w:hAnsi="新宋体" w:eastAsia="新宋体" w:cs="新宋体"/>
                <w:color w:val="auto"/>
                <w:highlight w:val="none"/>
              </w:rPr>
            </w:pPr>
            <w:r>
              <w:rPr>
                <w:rFonts w:hint="eastAsia" w:ascii="新宋体" w:hAnsi="新宋体" w:eastAsia="新宋体" w:cs="新宋体"/>
                <w:color w:val="auto"/>
                <w:highlight w:val="none"/>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新宋体" w:hAnsi="新宋体" w:eastAsia="新宋体" w:cs="新宋体"/>
                <w:color w:val="auto"/>
                <w:highlight w:val="none"/>
              </w:rPr>
            </w:pPr>
            <w:r>
              <w:rPr>
                <w:rFonts w:hint="eastAsia" w:ascii="新宋体" w:hAnsi="新宋体" w:eastAsia="新宋体" w:cs="新宋体"/>
                <w:color w:val="auto"/>
                <w:highlight w:val="none"/>
              </w:rPr>
              <w:t>3、本项目的特定资格要求：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i w:val="0"/>
                <w:iCs w:val="0"/>
                <w:color w:val="auto"/>
                <w:sz w:val="21"/>
                <w:szCs w:val="21"/>
              </w:rPr>
            </w:pPr>
            <w:r>
              <w:rPr>
                <w:rFonts w:hint="eastAsia" w:asciiTheme="minorEastAsia" w:hAnsiTheme="minorEastAsia" w:eastAsiaTheme="minorEastAsia" w:cstheme="minorEastAsia"/>
                <w:i w:val="0"/>
                <w:iCs w:val="0"/>
                <w:color w:val="auto"/>
                <w:sz w:val="21"/>
                <w:szCs w:val="21"/>
                <w:lang w:val="en-US" w:eastAsia="zh-CN"/>
              </w:rPr>
              <w:t>（1）</w:t>
            </w:r>
            <w:r>
              <w:rPr>
                <w:rFonts w:hint="eastAsia" w:asciiTheme="minorEastAsia" w:hAnsiTheme="minorEastAsia" w:eastAsiaTheme="minorEastAsia" w:cstheme="minorEastAsia"/>
                <w:i w:val="0"/>
                <w:iCs w:val="0"/>
                <w:color w:val="auto"/>
                <w:sz w:val="21"/>
                <w:szCs w:val="21"/>
              </w:rPr>
              <w:t xml:space="preserve">国内注册（指按国家有关规定要求注册的）具有独立法人资格，能提供本次采购内容的供应商；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i w:val="0"/>
                <w:iCs w:val="0"/>
                <w:color w:val="auto"/>
                <w:sz w:val="21"/>
                <w:szCs w:val="21"/>
              </w:rPr>
            </w:pPr>
            <w:r>
              <w:rPr>
                <w:rFonts w:hint="eastAsia" w:asciiTheme="minorEastAsia" w:hAnsiTheme="minorEastAsia" w:eastAsiaTheme="minorEastAsia" w:cstheme="minorEastAsia"/>
                <w:i w:val="0"/>
                <w:iCs w:val="0"/>
                <w:color w:val="auto"/>
                <w:sz w:val="21"/>
                <w:szCs w:val="21"/>
                <w:lang w:eastAsia="zh-CN"/>
              </w:rPr>
              <w:t>（</w:t>
            </w:r>
            <w:r>
              <w:rPr>
                <w:rFonts w:hint="eastAsia" w:asciiTheme="minorEastAsia" w:hAnsiTheme="minorEastAsia" w:eastAsiaTheme="minorEastAsia" w:cstheme="minorEastAsia"/>
                <w:i w:val="0"/>
                <w:iCs w:val="0"/>
                <w:color w:val="auto"/>
                <w:sz w:val="21"/>
                <w:szCs w:val="21"/>
                <w:lang w:val="en-US" w:eastAsia="zh-CN"/>
              </w:rPr>
              <w:t>2</w:t>
            </w:r>
            <w:r>
              <w:rPr>
                <w:rFonts w:hint="eastAsia" w:asciiTheme="minorEastAsia" w:hAnsiTheme="minorEastAsia" w:eastAsiaTheme="minorEastAsia" w:cstheme="minorEastAsia"/>
                <w:i w:val="0"/>
                <w:iCs w:val="0"/>
                <w:color w:val="auto"/>
                <w:sz w:val="21"/>
                <w:szCs w:val="21"/>
                <w:lang w:eastAsia="zh-CN"/>
              </w:rPr>
              <w:t>）</w:t>
            </w:r>
            <w:r>
              <w:rPr>
                <w:rFonts w:hint="eastAsia" w:asciiTheme="minorEastAsia" w:hAnsiTheme="minorEastAsia" w:eastAsiaTheme="minorEastAsia" w:cstheme="minorEastAsia"/>
                <w:i w:val="0"/>
                <w:iCs w:val="0"/>
                <w:color w:val="auto"/>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新宋体" w:hAnsi="新宋体" w:eastAsia="新宋体" w:cs="新宋体"/>
                <w:color w:val="auto"/>
                <w:highlight w:val="none"/>
              </w:rPr>
            </w:pPr>
            <w:r>
              <w:rPr>
                <w:rFonts w:hint="eastAsia" w:asciiTheme="minorEastAsia" w:hAnsiTheme="minorEastAsia" w:eastAsiaTheme="minorEastAsia" w:cstheme="minorEastAsia"/>
                <w:i w:val="0"/>
                <w:iCs w:val="0"/>
                <w:color w:val="auto"/>
                <w:sz w:val="21"/>
                <w:szCs w:val="21"/>
                <w:lang w:eastAsia="zh-CN"/>
              </w:rPr>
              <w:t>（</w:t>
            </w:r>
            <w:r>
              <w:rPr>
                <w:rFonts w:hint="eastAsia" w:asciiTheme="minorEastAsia" w:hAnsiTheme="minorEastAsia" w:eastAsiaTheme="minorEastAsia" w:cstheme="minorEastAsia"/>
                <w:i w:val="0"/>
                <w:iCs w:val="0"/>
                <w:color w:val="auto"/>
                <w:sz w:val="21"/>
                <w:szCs w:val="21"/>
                <w:lang w:val="en-US" w:eastAsia="zh-CN"/>
              </w:rPr>
              <w:t>3</w:t>
            </w:r>
            <w:r>
              <w:rPr>
                <w:rFonts w:hint="eastAsia" w:asciiTheme="minorEastAsia" w:hAnsiTheme="minorEastAsia" w:eastAsiaTheme="minorEastAsia" w:cstheme="minorEastAsia"/>
                <w:i w:val="0"/>
                <w:iCs w:val="0"/>
                <w:color w:val="auto"/>
                <w:sz w:val="21"/>
                <w:szCs w:val="21"/>
                <w:lang w:eastAsia="zh-CN"/>
              </w:rPr>
              <w:t>）</w:t>
            </w:r>
            <w:r>
              <w:rPr>
                <w:rFonts w:hint="eastAsia" w:asciiTheme="minorEastAsia" w:hAnsiTheme="minorEastAsia" w:eastAsiaTheme="minorEastAsia" w:cstheme="minorEastAsia"/>
                <w:i w:val="0"/>
                <w:iCs w:val="0"/>
                <w:color w:val="auto"/>
                <w:sz w:val="21"/>
                <w:szCs w:val="21"/>
              </w:rPr>
              <w:t>未被“信用中国”网站（www.creditchina.gov.cn）及中国政府采购网（www.ccgp.gov.cn）等渠道列入失信被执行人、重大税收违法案件当事人名单、政府采购严重违法失信行为记录名单。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3.3</w:t>
            </w:r>
          </w:p>
        </w:tc>
        <w:tc>
          <w:tcPr>
            <w:tcW w:w="177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是否接受联合体竞标</w:t>
            </w:r>
          </w:p>
        </w:tc>
        <w:tc>
          <w:tcPr>
            <w:tcW w:w="7256"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adjustRightInd w:val="0"/>
              <w:snapToGrid w:val="0"/>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4.2</w:t>
            </w:r>
          </w:p>
        </w:tc>
        <w:tc>
          <w:tcPr>
            <w:tcW w:w="1775" w:type="dxa"/>
            <w:tcBorders>
              <w:top w:val="single" w:color="auto" w:sz="4" w:space="0"/>
              <w:left w:val="single" w:color="auto" w:sz="4" w:space="0"/>
              <w:bottom w:val="single" w:color="auto" w:sz="4" w:space="0"/>
              <w:right w:val="single" w:color="auto" w:sz="4" w:space="0"/>
            </w:tcBorders>
            <w:vAlign w:val="center"/>
          </w:tcPr>
          <w:p>
            <w:pPr>
              <w:pStyle w:val="11"/>
              <w:adjustRightInd w:val="0"/>
              <w:snapToGrid w:val="0"/>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质疑受理</w:t>
            </w:r>
          </w:p>
        </w:tc>
        <w:tc>
          <w:tcPr>
            <w:tcW w:w="7256" w:type="dxa"/>
            <w:tcBorders>
              <w:top w:val="single" w:color="auto" w:sz="4" w:space="0"/>
              <w:left w:val="single" w:color="auto" w:sz="4" w:space="0"/>
              <w:bottom w:val="single" w:color="auto" w:sz="4" w:space="0"/>
              <w:right w:val="single" w:color="auto" w:sz="4" w:space="0"/>
            </w:tcBorders>
            <w:vAlign w:val="center"/>
          </w:tcPr>
          <w:p>
            <w:pPr>
              <w:pStyle w:val="11"/>
              <w:adjustRightInd w:val="0"/>
              <w:snapToGrid w:val="0"/>
              <w:spacing w:line="360" w:lineRule="auto"/>
              <w:rPr>
                <w:rFonts w:ascii="新宋体" w:hAnsi="新宋体" w:eastAsia="新宋体" w:cs="新宋体"/>
                <w:color w:val="auto"/>
                <w:highlight w:val="none"/>
              </w:rPr>
            </w:pPr>
            <w:r>
              <w:rPr>
                <w:rFonts w:hint="eastAsia" w:ascii="新宋体" w:hAnsi="新宋体" w:eastAsia="新宋体" w:cs="新宋体"/>
                <w:color w:val="auto"/>
                <w:highlight w:val="none"/>
              </w:rPr>
              <w:t>质疑书的提交地点：</w:t>
            </w:r>
            <w:r>
              <w:rPr>
                <w:rFonts w:hint="eastAsia" w:ascii="新宋体" w:hAnsi="新宋体" w:eastAsia="新宋体" w:cs="新宋体"/>
                <w:color w:val="auto"/>
                <w:highlight w:val="none"/>
                <w:lang w:eastAsia="zh-CN"/>
              </w:rPr>
              <w:t>广西龙建工程管理有限公司</w:t>
            </w:r>
            <w:r>
              <w:rPr>
                <w:rFonts w:hint="eastAsia" w:ascii="新宋体" w:hAnsi="新宋体" w:eastAsia="新宋体" w:cs="新宋体"/>
                <w:color w:val="auto"/>
                <w:highlight w:val="none"/>
              </w:rPr>
              <w:t>（</w:t>
            </w:r>
            <w:r>
              <w:rPr>
                <w:rFonts w:hint="eastAsia" w:ascii="新宋体" w:hAnsi="新宋体" w:eastAsia="新宋体" w:cs="新宋体"/>
                <w:color w:val="auto"/>
                <w:highlight w:val="none"/>
                <w:lang w:eastAsia="zh-CN"/>
              </w:rPr>
              <w:t>南宁市青秀区中柬路8号龙光世纪2号楼3410号</w:t>
            </w:r>
            <w:r>
              <w:rPr>
                <w:rFonts w:hint="eastAsia" w:ascii="新宋体" w:hAnsi="新宋体" w:eastAsia="新宋体" w:cs="新宋体"/>
                <w:color w:val="auto"/>
                <w:highlight w:val="none"/>
              </w:rPr>
              <w:t>）</w:t>
            </w:r>
          </w:p>
          <w:p>
            <w:pPr>
              <w:pStyle w:val="11"/>
              <w:adjustRightInd w:val="0"/>
              <w:snapToGrid w:val="0"/>
              <w:spacing w:line="360" w:lineRule="auto"/>
              <w:rPr>
                <w:rFonts w:hint="eastAsia" w:ascii="新宋体" w:hAnsi="新宋体" w:eastAsia="新宋体" w:cs="新宋体"/>
                <w:color w:val="auto"/>
                <w:highlight w:val="none"/>
                <w:lang w:eastAsia="zh-CN"/>
              </w:rPr>
            </w:pPr>
            <w:r>
              <w:rPr>
                <w:rFonts w:hint="eastAsia" w:ascii="新宋体" w:hAnsi="新宋体" w:eastAsia="新宋体" w:cs="新宋体"/>
                <w:color w:val="auto"/>
                <w:highlight w:val="none"/>
                <w:lang w:eastAsia="en-US"/>
              </w:rPr>
              <w:t>质疑咨询电话：</w:t>
            </w:r>
            <w:r>
              <w:rPr>
                <w:rFonts w:hint="eastAsia" w:ascii="新宋体" w:hAnsi="新宋体" w:eastAsia="新宋体" w:cs="新宋体"/>
                <w:color w:val="auto"/>
                <w:highlight w:val="none"/>
                <w:lang w:eastAsia="zh-CN"/>
              </w:rPr>
              <w:t>0771-6511123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8.8</w:t>
            </w:r>
          </w:p>
        </w:tc>
        <w:tc>
          <w:tcPr>
            <w:tcW w:w="177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rPr>
              <w:t>响应</w:t>
            </w:r>
            <w:r>
              <w:rPr>
                <w:rFonts w:hint="eastAsia" w:ascii="新宋体" w:hAnsi="新宋体" w:eastAsia="新宋体" w:cs="新宋体"/>
                <w:color w:val="auto"/>
                <w:highlight w:val="none"/>
                <w:lang w:eastAsia="en-US"/>
              </w:rPr>
              <w:t>文件份数</w:t>
            </w:r>
          </w:p>
        </w:tc>
        <w:tc>
          <w:tcPr>
            <w:tcW w:w="7256"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ascii="新宋体" w:hAnsi="新宋体" w:eastAsia="新宋体" w:cs="新宋体"/>
                <w:color w:val="auto"/>
                <w:highlight w:val="none"/>
              </w:rPr>
            </w:pPr>
            <w:r>
              <w:rPr>
                <w:rFonts w:hint="eastAsia" w:ascii="新宋体" w:hAnsi="新宋体" w:eastAsia="新宋体" w:cs="新宋体"/>
                <w:color w:val="auto"/>
                <w:highlight w:val="none"/>
              </w:rPr>
              <w:t>正本壹份，副本肆份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11.4</w:t>
            </w:r>
          </w:p>
        </w:tc>
        <w:tc>
          <w:tcPr>
            <w:tcW w:w="17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新宋体" w:hAnsi="新宋体" w:eastAsia="新宋体" w:cs="新宋体"/>
                <w:color w:val="auto"/>
                <w:szCs w:val="20"/>
                <w:highlight w:val="none"/>
                <w:lang w:eastAsia="en-US"/>
              </w:rPr>
            </w:pPr>
            <w:r>
              <w:rPr>
                <w:rFonts w:hint="eastAsia" w:ascii="新宋体" w:hAnsi="新宋体" w:eastAsia="新宋体" w:cs="新宋体"/>
                <w:color w:val="auto"/>
                <w:szCs w:val="20"/>
                <w:highlight w:val="none"/>
                <w:lang w:eastAsia="en-US"/>
              </w:rPr>
              <w:t>采购代理服务费</w:t>
            </w:r>
          </w:p>
        </w:tc>
        <w:tc>
          <w:tcPr>
            <w:tcW w:w="7256"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hint="eastAsia" w:eastAsia="宋体"/>
                <w:color w:val="auto"/>
                <w:lang w:eastAsia="zh-CN"/>
              </w:rPr>
            </w:pPr>
            <w:r>
              <w:rPr>
                <w:rFonts w:hint="eastAsia"/>
                <w:color w:val="auto"/>
              </w:rPr>
              <w:t>本项目代理服务费按国家计委计价格[2002]1980号和发改办[2003]857号文规定由招标代理机构向成交供应商收取。按《招标代理服务费管理暂行办法》收费标准，代理服务费不足5000.00元，按5000.00元计取</w:t>
            </w:r>
            <w:r>
              <w:rPr>
                <w:rFonts w:hint="eastAsia"/>
                <w:color w:val="auto"/>
                <w:lang w:eastAsia="zh-CN"/>
              </w:rPr>
              <w:t>，</w:t>
            </w:r>
            <w:r>
              <w:rPr>
                <w:rFonts w:hint="eastAsia"/>
                <w:color w:val="auto"/>
              </w:rPr>
              <w:t>签订合同前</w:t>
            </w:r>
            <w:r>
              <w:rPr>
                <w:rFonts w:hint="eastAsia"/>
                <w:color w:val="auto"/>
                <w:lang w:eastAsia="zh-CN"/>
              </w:rPr>
              <w:t>，</w:t>
            </w:r>
            <w:r>
              <w:rPr>
                <w:rFonts w:hint="eastAsia"/>
                <w:color w:val="auto"/>
                <w:lang w:val="en-US" w:eastAsia="zh-CN"/>
              </w:rPr>
              <w:t>成交供应商向</w:t>
            </w:r>
            <w:r>
              <w:rPr>
                <w:rFonts w:hint="eastAsia"/>
                <w:color w:val="auto"/>
                <w:lang w:eastAsia="zh-CN"/>
              </w:rPr>
              <w:t>广西龙建工程管理有限公司</w:t>
            </w:r>
            <w:r>
              <w:rPr>
                <w:rFonts w:hint="eastAsia"/>
                <w:color w:val="auto"/>
              </w:rPr>
              <w:t>一次性</w:t>
            </w:r>
            <w:r>
              <w:rPr>
                <w:rFonts w:hint="eastAsia"/>
                <w:color w:val="auto"/>
                <w:lang w:val="en-US" w:eastAsia="zh-CN"/>
              </w:rPr>
              <w:t>付清</w:t>
            </w:r>
            <w:r>
              <w:rPr>
                <w:rFonts w:hint="eastAsia"/>
                <w:color w:val="auto"/>
              </w:rPr>
              <w:t>代理服务费</w:t>
            </w:r>
            <w:r>
              <w:rPr>
                <w:rFonts w:hint="eastAsia"/>
                <w:color w:val="auto"/>
                <w:lang w:eastAsia="zh-CN"/>
              </w:rPr>
              <w:t>。</w:t>
            </w:r>
          </w:p>
          <w:p>
            <w:pPr>
              <w:rPr>
                <w:rFonts w:hint="eastAsia"/>
                <w:color w:val="auto"/>
              </w:rPr>
            </w:pPr>
          </w:p>
          <w:p>
            <w:pPr>
              <w:rPr>
                <w:rFonts w:hint="eastAsia" w:eastAsia="宋体"/>
                <w:color w:val="auto"/>
                <w:lang w:eastAsia="zh-CN"/>
              </w:rPr>
            </w:pPr>
            <w:r>
              <w:rPr>
                <w:rFonts w:hint="eastAsia"/>
                <w:b/>
                <w:bCs/>
                <w:color w:val="auto"/>
                <w:lang w:eastAsia="zh-CN"/>
              </w:rPr>
              <w:t>【</w:t>
            </w:r>
            <w:r>
              <w:rPr>
                <w:rFonts w:hint="eastAsia"/>
                <w:b/>
                <w:bCs/>
                <w:color w:val="auto"/>
                <w:lang w:val="en-US" w:eastAsia="zh-CN"/>
              </w:rPr>
              <w:t>备注：转账时应备注****（项目名称或项目编号）项目代理服务费</w:t>
            </w:r>
            <w:r>
              <w:rPr>
                <w:rFonts w:hint="eastAsia"/>
                <w:b/>
                <w:bCs/>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12.1</w:t>
            </w:r>
          </w:p>
        </w:tc>
        <w:tc>
          <w:tcPr>
            <w:tcW w:w="177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rPr>
              <w:t>磋商</w:t>
            </w:r>
            <w:r>
              <w:rPr>
                <w:rFonts w:hint="eastAsia" w:ascii="新宋体" w:hAnsi="新宋体" w:eastAsia="新宋体" w:cs="新宋体"/>
                <w:color w:val="auto"/>
                <w:highlight w:val="none"/>
                <w:lang w:eastAsia="en-US"/>
              </w:rPr>
              <w:t>有效期</w:t>
            </w:r>
          </w:p>
        </w:tc>
        <w:tc>
          <w:tcPr>
            <w:tcW w:w="7256"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ascii="新宋体" w:hAnsi="新宋体" w:eastAsia="新宋体" w:cs="新宋体"/>
                <w:color w:val="auto"/>
                <w:highlight w:val="none"/>
              </w:rPr>
            </w:pPr>
            <w:r>
              <w:rPr>
                <w:rFonts w:hint="eastAsia" w:ascii="新宋体" w:hAnsi="新宋体" w:eastAsia="新宋体" w:cs="新宋体"/>
                <w:color w:val="auto"/>
                <w:highlight w:val="none"/>
              </w:rPr>
              <w:t>自递交响应文件截止时间起</w:t>
            </w:r>
            <w:r>
              <w:rPr>
                <w:rFonts w:hint="eastAsia" w:ascii="新宋体" w:hAnsi="新宋体" w:eastAsia="新宋体" w:cs="新宋体"/>
                <w:color w:val="auto"/>
                <w:highlight w:val="none"/>
                <w:u w:val="single"/>
              </w:rPr>
              <w:t>60</w:t>
            </w:r>
            <w:r>
              <w:rPr>
                <w:rFonts w:hint="eastAsia" w:ascii="新宋体" w:hAnsi="新宋体" w:eastAsia="新宋体" w:cs="新宋体"/>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13.1</w:t>
            </w:r>
          </w:p>
        </w:tc>
        <w:tc>
          <w:tcPr>
            <w:tcW w:w="177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lang w:eastAsia="en-US"/>
              </w:rPr>
            </w:pPr>
            <w:r>
              <w:rPr>
                <w:rFonts w:hint="eastAsia" w:ascii="新宋体" w:hAnsi="新宋体" w:eastAsia="新宋体" w:cs="新宋体"/>
                <w:color w:val="auto"/>
                <w:highlight w:val="none"/>
              </w:rPr>
              <w:t>磋商</w:t>
            </w:r>
            <w:r>
              <w:rPr>
                <w:rFonts w:hint="eastAsia" w:ascii="新宋体" w:hAnsi="新宋体" w:eastAsia="新宋体" w:cs="新宋体"/>
                <w:color w:val="auto"/>
                <w:highlight w:val="none"/>
                <w:lang w:eastAsia="en-US"/>
              </w:rPr>
              <w:t>保证金金额</w:t>
            </w:r>
          </w:p>
        </w:tc>
        <w:tc>
          <w:tcPr>
            <w:tcW w:w="7256"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ascii="新宋体" w:hAnsi="新宋体" w:eastAsia="新宋体" w:cs="新宋体"/>
                <w:color w:val="auto"/>
                <w:highlight w:val="none"/>
              </w:rPr>
            </w:pPr>
            <w:r>
              <w:rPr>
                <w:rFonts w:hint="eastAsia" w:hAnsi="宋体" w:cs="Arial"/>
                <w:color w:val="auto"/>
                <w:highlight w:val="none"/>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rPr>
            </w:pPr>
            <w:r>
              <w:rPr>
                <w:rFonts w:hint="eastAsia" w:ascii="新宋体" w:hAnsi="新宋体" w:eastAsia="新宋体" w:cs="新宋体"/>
                <w:color w:val="auto"/>
                <w:highlight w:val="none"/>
                <w:lang w:eastAsia="en-US"/>
              </w:rPr>
              <w:t>15.1</w:t>
            </w:r>
          </w:p>
        </w:tc>
        <w:tc>
          <w:tcPr>
            <w:tcW w:w="177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rPr>
            </w:pPr>
            <w:r>
              <w:rPr>
                <w:rFonts w:hint="eastAsia" w:ascii="新宋体" w:hAnsi="新宋体" w:eastAsia="新宋体" w:cs="新宋体"/>
                <w:color w:val="auto"/>
                <w:highlight w:val="none"/>
              </w:rPr>
              <w:t>递交磋商</w:t>
            </w:r>
            <w:r>
              <w:rPr>
                <w:rFonts w:hint="eastAsia" w:ascii="新宋体" w:hAnsi="新宋体" w:eastAsia="新宋体" w:cs="新宋体"/>
                <w:color w:val="auto"/>
                <w:highlight w:val="none"/>
                <w:lang w:eastAsia="zh-CN"/>
              </w:rPr>
              <w:t>响应</w:t>
            </w:r>
            <w:r>
              <w:rPr>
                <w:rFonts w:hint="eastAsia" w:ascii="新宋体" w:hAnsi="新宋体" w:eastAsia="新宋体" w:cs="新宋体"/>
                <w:color w:val="auto"/>
                <w:highlight w:val="none"/>
              </w:rPr>
              <w:t>文件截止时间</w:t>
            </w:r>
          </w:p>
        </w:tc>
        <w:tc>
          <w:tcPr>
            <w:tcW w:w="7256"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hint="eastAsia" w:ascii="新宋体" w:hAnsi="新宋体" w:eastAsia="新宋体" w:cs="新宋体"/>
                <w:color w:val="auto"/>
                <w:highlight w:val="none"/>
                <w:lang w:eastAsia="zh-CN"/>
              </w:rPr>
            </w:pPr>
            <w:r>
              <w:rPr>
                <w:rFonts w:hint="eastAsia" w:ascii="新宋体" w:hAnsi="新宋体" w:eastAsia="新宋体" w:cs="新宋体"/>
                <w:b/>
                <w:bCs/>
                <w:color w:val="auto"/>
                <w:highlight w:val="none"/>
                <w:lang w:eastAsia="zh-CN"/>
              </w:rPr>
              <w:t>2021年</w:t>
            </w:r>
            <w:r>
              <w:rPr>
                <w:rFonts w:hint="eastAsia" w:ascii="新宋体" w:hAnsi="新宋体" w:eastAsia="新宋体" w:cs="新宋体"/>
                <w:b/>
                <w:bCs/>
                <w:color w:val="auto"/>
                <w:highlight w:val="none"/>
                <w:lang w:val="en-US" w:eastAsia="zh-CN"/>
              </w:rPr>
              <w:t>06</w:t>
            </w:r>
            <w:r>
              <w:rPr>
                <w:rFonts w:hint="eastAsia" w:ascii="新宋体" w:hAnsi="新宋体" w:eastAsia="新宋体" w:cs="新宋体"/>
                <w:b/>
                <w:bCs/>
                <w:color w:val="auto"/>
                <w:highlight w:val="none"/>
                <w:lang w:eastAsia="zh-CN"/>
              </w:rPr>
              <w:t>月</w:t>
            </w:r>
            <w:r>
              <w:rPr>
                <w:rFonts w:hint="eastAsia" w:ascii="新宋体" w:hAnsi="新宋体" w:eastAsia="新宋体" w:cs="新宋体"/>
                <w:b/>
                <w:bCs/>
                <w:color w:val="auto"/>
                <w:highlight w:val="none"/>
                <w:lang w:val="en-US" w:eastAsia="zh-CN"/>
              </w:rPr>
              <w:t>22</w:t>
            </w:r>
            <w:r>
              <w:rPr>
                <w:rFonts w:hint="eastAsia" w:ascii="新宋体" w:hAnsi="新宋体" w:eastAsia="新宋体" w:cs="新宋体"/>
                <w:b/>
                <w:bCs/>
                <w:color w:val="auto"/>
                <w:highlight w:val="none"/>
                <w:lang w:eastAsia="zh-CN"/>
              </w:rPr>
              <w:t>日</w:t>
            </w:r>
            <w:r>
              <w:rPr>
                <w:rFonts w:hint="eastAsia" w:ascii="新宋体" w:hAnsi="新宋体" w:eastAsia="新宋体" w:cs="新宋体"/>
                <w:b/>
                <w:bCs/>
                <w:color w:val="auto"/>
                <w:highlight w:val="none"/>
                <w:lang w:val="en-US" w:eastAsia="zh-CN"/>
              </w:rPr>
              <w:t>10</w:t>
            </w:r>
            <w:r>
              <w:rPr>
                <w:rFonts w:hint="eastAsia" w:ascii="新宋体" w:hAnsi="新宋体" w:eastAsia="新宋体" w:cs="新宋体"/>
                <w:b/>
                <w:bCs/>
                <w:color w:val="auto"/>
                <w:highlight w:val="none"/>
                <w:lang w:eastAsia="zh-CN"/>
              </w:rPr>
              <w:t>时</w:t>
            </w:r>
            <w:r>
              <w:rPr>
                <w:rFonts w:hint="eastAsia" w:ascii="新宋体" w:hAnsi="新宋体" w:eastAsia="新宋体" w:cs="新宋体"/>
                <w:b/>
                <w:bCs/>
                <w:color w:val="auto"/>
                <w:highlight w:val="none"/>
                <w:lang w:val="en-US" w:eastAsia="zh-CN"/>
              </w:rPr>
              <w:t>30</w:t>
            </w:r>
            <w:r>
              <w:rPr>
                <w:rFonts w:hint="eastAsia" w:ascii="新宋体" w:hAnsi="新宋体" w:eastAsia="新宋体" w:cs="新宋体"/>
                <w:b/>
                <w:bCs/>
                <w:color w:val="auto"/>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rPr>
            </w:pPr>
            <w:r>
              <w:rPr>
                <w:rFonts w:hint="eastAsia" w:ascii="新宋体" w:hAnsi="新宋体" w:eastAsia="新宋体" w:cs="新宋体"/>
                <w:color w:val="auto"/>
                <w:highlight w:val="none"/>
                <w:lang w:eastAsia="en-US"/>
              </w:rPr>
              <w:t>15.2</w:t>
            </w:r>
          </w:p>
        </w:tc>
        <w:tc>
          <w:tcPr>
            <w:tcW w:w="177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ascii="新宋体" w:hAnsi="新宋体" w:eastAsia="新宋体" w:cs="新宋体"/>
                <w:color w:val="auto"/>
                <w:highlight w:val="none"/>
              </w:rPr>
            </w:pPr>
            <w:r>
              <w:rPr>
                <w:rFonts w:hint="eastAsia" w:ascii="新宋体" w:hAnsi="新宋体" w:eastAsia="新宋体" w:cs="新宋体"/>
                <w:color w:val="auto"/>
                <w:highlight w:val="none"/>
                <w:lang w:eastAsia="en-US"/>
              </w:rPr>
              <w:t>递交</w:t>
            </w:r>
            <w:r>
              <w:rPr>
                <w:rFonts w:hint="eastAsia" w:ascii="新宋体" w:hAnsi="新宋体" w:eastAsia="新宋体" w:cs="新宋体"/>
                <w:color w:val="auto"/>
                <w:highlight w:val="none"/>
              </w:rPr>
              <w:t>磋商</w:t>
            </w:r>
            <w:r>
              <w:rPr>
                <w:rFonts w:hint="eastAsia" w:ascii="新宋体" w:hAnsi="新宋体" w:eastAsia="新宋体" w:cs="新宋体"/>
                <w:color w:val="auto"/>
                <w:highlight w:val="none"/>
                <w:lang w:eastAsia="zh-CN"/>
              </w:rPr>
              <w:t>响应</w:t>
            </w:r>
            <w:r>
              <w:rPr>
                <w:rFonts w:hint="eastAsia" w:ascii="新宋体" w:hAnsi="新宋体" w:eastAsia="新宋体" w:cs="新宋体"/>
                <w:color w:val="auto"/>
                <w:highlight w:val="none"/>
                <w:lang w:eastAsia="en-US"/>
              </w:rPr>
              <w:t>文件地点</w:t>
            </w:r>
          </w:p>
        </w:tc>
        <w:tc>
          <w:tcPr>
            <w:tcW w:w="72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b/>
                <w:bCs/>
                <w:i w:val="0"/>
                <w:iCs w:val="0"/>
                <w:color w:val="auto"/>
                <w:sz w:val="21"/>
                <w:szCs w:val="21"/>
                <w:u w:val="none"/>
                <w:lang w:val="en-US" w:eastAsia="zh-CN"/>
              </w:rPr>
            </w:pPr>
            <w:r>
              <w:rPr>
                <w:rFonts w:hint="eastAsia" w:asciiTheme="minorEastAsia" w:hAnsiTheme="minorEastAsia" w:eastAsiaTheme="minorEastAsia" w:cstheme="minorEastAsia"/>
                <w:b/>
                <w:bCs/>
                <w:i w:val="0"/>
                <w:iCs w:val="0"/>
                <w:color w:val="auto"/>
                <w:sz w:val="21"/>
                <w:szCs w:val="21"/>
                <w:u w:val="none"/>
                <w:lang w:val="en-US" w:eastAsia="zh-CN"/>
              </w:rPr>
              <w:t>截止时间：</w:t>
            </w:r>
            <w:r>
              <w:rPr>
                <w:rFonts w:hint="eastAsia" w:asciiTheme="minorEastAsia" w:hAnsiTheme="minorEastAsia" w:eastAsiaTheme="minorEastAsia" w:cstheme="minorEastAsia"/>
                <w:b/>
                <w:bCs/>
                <w:i w:val="0"/>
                <w:iCs w:val="0"/>
                <w:color w:val="auto"/>
                <w:sz w:val="21"/>
                <w:szCs w:val="21"/>
                <w:highlight w:val="none"/>
                <w:u w:val="single"/>
                <w:lang w:val="en-US" w:eastAsia="zh-CN"/>
              </w:rPr>
              <w:t>2021年06月22日10点30分</w:t>
            </w:r>
          </w:p>
          <w:p>
            <w:pPr>
              <w:spacing w:line="360" w:lineRule="auto"/>
              <w:rPr>
                <w:rFonts w:ascii="新宋体" w:hAnsi="新宋体" w:eastAsia="新宋体" w:cs="新宋体"/>
                <w:color w:val="auto"/>
                <w:highlight w:val="none"/>
              </w:rPr>
            </w:pPr>
            <w:r>
              <w:rPr>
                <w:rFonts w:hint="eastAsia" w:asciiTheme="minorEastAsia" w:hAnsiTheme="minorEastAsia" w:eastAsiaTheme="minorEastAsia" w:cstheme="minorEastAsia"/>
                <w:i w:val="0"/>
                <w:iCs w:val="0"/>
                <w:color w:val="auto"/>
                <w:sz w:val="21"/>
                <w:szCs w:val="21"/>
                <w:u w:val="none"/>
                <w:lang w:val="en-US" w:eastAsia="zh-CN"/>
              </w:rPr>
              <w:t>地点：隆安县公共资源交易中心（隆安县城厢镇城南路14号）（具体详见1楼电子显示屏安排）。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1"/>
              <w:adjustRightInd w:val="0"/>
              <w:spacing w:line="360" w:lineRule="exact"/>
              <w:jc w:val="both"/>
              <w:rPr>
                <w:rFonts w:ascii="新宋体" w:hAnsi="新宋体" w:eastAsia="新宋体" w:cs="新宋体"/>
                <w:color w:val="auto"/>
                <w:highlight w:val="none"/>
                <w:lang w:eastAsia="en-US"/>
              </w:rPr>
            </w:pPr>
            <w:r>
              <w:rPr>
                <w:rFonts w:hint="eastAsia" w:ascii="新宋体" w:hAnsi="新宋体" w:eastAsia="新宋体" w:cs="新宋体"/>
                <w:color w:val="auto"/>
                <w:highlight w:val="none"/>
                <w:lang w:eastAsia="en-US"/>
              </w:rPr>
              <w:t>28.1</w:t>
            </w:r>
          </w:p>
        </w:tc>
        <w:tc>
          <w:tcPr>
            <w:tcW w:w="17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both"/>
              <w:rPr>
                <w:rFonts w:ascii="新宋体" w:hAnsi="新宋体" w:eastAsia="新宋体" w:cs="新宋体"/>
                <w:color w:val="auto"/>
                <w:kern w:val="0"/>
                <w:sz w:val="20"/>
                <w:szCs w:val="20"/>
                <w:highlight w:val="none"/>
                <w:lang w:eastAsia="en-US"/>
              </w:rPr>
            </w:pPr>
            <w:r>
              <w:rPr>
                <w:rFonts w:hint="eastAsia" w:ascii="新宋体" w:hAnsi="新宋体" w:eastAsia="新宋体" w:cs="新宋体"/>
                <w:b/>
                <w:bCs/>
                <w:color w:val="auto"/>
                <w:szCs w:val="20"/>
                <w:highlight w:val="none"/>
                <w:lang w:eastAsia="en-US"/>
              </w:rPr>
              <w:t>需要补充的其他内容</w:t>
            </w:r>
          </w:p>
        </w:tc>
        <w:tc>
          <w:tcPr>
            <w:tcW w:w="7256" w:type="dxa"/>
            <w:tcBorders>
              <w:top w:val="single" w:color="auto" w:sz="4" w:space="0"/>
              <w:left w:val="single" w:color="auto" w:sz="4" w:space="0"/>
              <w:bottom w:val="single" w:color="auto" w:sz="4" w:space="0"/>
              <w:right w:val="single" w:color="auto" w:sz="4" w:space="0"/>
            </w:tcBorders>
            <w:vAlign w:val="center"/>
          </w:tcPr>
          <w:p>
            <w:pPr>
              <w:pStyle w:val="11"/>
              <w:spacing w:line="360" w:lineRule="auto"/>
              <w:jc w:val="left"/>
              <w:rPr>
                <w:rFonts w:hint="eastAsia" w:ascii="新宋体" w:hAnsi="新宋体" w:eastAsia="新宋体" w:cs="新宋体"/>
                <w:color w:val="auto"/>
                <w:highlight w:val="none"/>
                <w:lang w:eastAsia="zh-CN"/>
              </w:rPr>
            </w:pPr>
            <w:r>
              <w:rPr>
                <w:rFonts w:hint="eastAsia" w:ascii="新宋体" w:hAnsi="新宋体" w:eastAsia="新宋体" w:cs="新宋体"/>
                <w:b/>
                <w:bCs/>
                <w:color w:val="auto"/>
                <w:szCs w:val="24"/>
                <w:highlight w:val="none"/>
                <w:lang w:val="en-US" w:eastAsia="zh-CN"/>
              </w:rPr>
              <w:t>/</w:t>
            </w:r>
          </w:p>
        </w:tc>
      </w:tr>
    </w:tbl>
    <w:p>
      <w:pPr>
        <w:jc w:val="both"/>
        <w:outlineLvl w:val="9"/>
        <w:rPr>
          <w:rFonts w:hint="eastAsia"/>
          <w:color w:val="auto"/>
        </w:rPr>
      </w:pPr>
    </w:p>
    <w:p>
      <w:pPr>
        <w:pStyle w:val="13"/>
        <w:rPr>
          <w:rFonts w:hint="eastAsia"/>
          <w:color w:val="auto"/>
          <w:highlight w:val="none"/>
        </w:rPr>
      </w:pPr>
    </w:p>
    <w:p>
      <w:pPr>
        <w:pStyle w:val="17"/>
        <w:outlineLvl w:val="1"/>
        <w:rPr>
          <w:rFonts w:hint="eastAsia"/>
          <w:color w:val="auto"/>
          <w:highlight w:val="none"/>
        </w:rPr>
      </w:pPr>
      <w:bookmarkStart w:id="47" w:name="_Toc17931"/>
    </w:p>
    <w:p>
      <w:pPr>
        <w:pStyle w:val="17"/>
        <w:outlineLvl w:val="1"/>
        <w:rPr>
          <w:rFonts w:hint="eastAsia"/>
          <w:color w:val="auto"/>
          <w:highlight w:val="none"/>
        </w:rPr>
      </w:pPr>
    </w:p>
    <w:p>
      <w:pPr>
        <w:pStyle w:val="17"/>
        <w:outlineLvl w:val="1"/>
        <w:rPr>
          <w:rFonts w:hint="eastAsia"/>
          <w:color w:val="auto"/>
          <w:highlight w:val="none"/>
        </w:rPr>
      </w:pPr>
    </w:p>
    <w:p>
      <w:pPr>
        <w:pStyle w:val="17"/>
        <w:outlineLvl w:val="1"/>
        <w:rPr>
          <w:rFonts w:hint="eastAsia"/>
          <w:color w:val="auto"/>
          <w:highlight w:val="none"/>
        </w:rPr>
      </w:pPr>
    </w:p>
    <w:p>
      <w:pPr>
        <w:pStyle w:val="17"/>
        <w:outlineLvl w:val="1"/>
        <w:rPr>
          <w:rFonts w:hAnsi="宋体"/>
          <w:color w:val="auto"/>
          <w:szCs w:val="28"/>
          <w:highlight w:val="none"/>
        </w:rPr>
      </w:pPr>
      <w:r>
        <w:rPr>
          <w:rFonts w:hint="eastAsia"/>
          <w:color w:val="auto"/>
          <w:highlight w:val="none"/>
        </w:rPr>
        <w:t>一</w:t>
      </w:r>
      <w:r>
        <w:rPr>
          <w:rFonts w:hint="eastAsia"/>
          <w:color w:val="auto"/>
          <w:highlight w:val="none"/>
          <w:lang w:val="en-US" w:eastAsia="zh-CN"/>
        </w:rPr>
        <w:t xml:space="preserve">  </w:t>
      </w:r>
      <w:r>
        <w:rPr>
          <w:rFonts w:hint="eastAsia"/>
          <w:color w:val="auto"/>
          <w:highlight w:val="none"/>
        </w:rPr>
        <w:t>总则</w:t>
      </w:r>
      <w:bookmarkEnd w:id="47"/>
    </w:p>
    <w:p>
      <w:pPr>
        <w:pStyle w:val="11"/>
        <w:spacing w:line="440" w:lineRule="exact"/>
        <w:ind w:left="1"/>
        <w:jc w:val="left"/>
        <w:rPr>
          <w:rFonts w:ascii="新宋体" w:hAnsi="新宋体" w:eastAsia="新宋体" w:cs="新宋体"/>
          <w:b/>
          <w:color w:val="auto"/>
          <w:highlight w:val="none"/>
        </w:rPr>
      </w:pPr>
      <w:r>
        <w:rPr>
          <w:rFonts w:hint="eastAsia" w:ascii="新宋体" w:hAnsi="新宋体" w:eastAsia="新宋体" w:cs="新宋体"/>
          <w:b/>
          <w:color w:val="auto"/>
          <w:highlight w:val="none"/>
        </w:rPr>
        <w:t>1.  项目概况</w:t>
      </w:r>
    </w:p>
    <w:p>
      <w:pPr>
        <w:pStyle w:val="11"/>
        <w:spacing w:line="440" w:lineRule="exact"/>
        <w:ind w:right="-143" w:rightChars="-68" w:firstLine="420" w:firstLineChars="200"/>
        <w:jc w:val="left"/>
        <w:rPr>
          <w:rFonts w:ascii="新宋体" w:hAnsi="新宋体" w:eastAsia="新宋体" w:cs="新宋体"/>
          <w:bCs/>
          <w:color w:val="auto"/>
          <w:highlight w:val="none"/>
        </w:rPr>
      </w:pPr>
      <w:r>
        <w:rPr>
          <w:rFonts w:hint="eastAsia" w:ascii="新宋体" w:hAnsi="新宋体" w:eastAsia="新宋体" w:cs="新宋体"/>
          <w:bCs/>
          <w:color w:val="auto"/>
          <w:highlight w:val="none"/>
        </w:rPr>
        <w:t>1.1  采购人：见</w:t>
      </w:r>
      <w:r>
        <w:rPr>
          <w:rFonts w:hint="eastAsia" w:ascii="新宋体" w:hAnsi="新宋体" w:eastAsia="新宋体" w:cs="新宋体"/>
          <w:color w:val="auto"/>
          <w:highlight w:val="none"/>
        </w:rPr>
        <w:t>磋商供应商</w:t>
      </w:r>
      <w:r>
        <w:rPr>
          <w:rFonts w:hint="eastAsia" w:ascii="新宋体" w:hAnsi="新宋体" w:eastAsia="新宋体" w:cs="新宋体"/>
          <w:bCs/>
          <w:color w:val="auto"/>
          <w:highlight w:val="none"/>
        </w:rPr>
        <w:t>须知前附表。</w:t>
      </w:r>
    </w:p>
    <w:p>
      <w:pPr>
        <w:pStyle w:val="11"/>
        <w:spacing w:line="440" w:lineRule="exact"/>
        <w:ind w:firstLine="420" w:firstLineChars="200"/>
        <w:jc w:val="left"/>
        <w:rPr>
          <w:rFonts w:ascii="新宋体" w:hAnsi="新宋体" w:eastAsia="新宋体" w:cs="新宋体"/>
          <w:bCs/>
          <w:color w:val="auto"/>
          <w:highlight w:val="none"/>
        </w:rPr>
      </w:pPr>
      <w:r>
        <w:rPr>
          <w:rFonts w:hint="eastAsia" w:ascii="新宋体" w:hAnsi="新宋体" w:eastAsia="新宋体" w:cs="新宋体"/>
          <w:bCs/>
          <w:color w:val="auto"/>
          <w:highlight w:val="none"/>
        </w:rPr>
        <w:t>1.2  采购代理机构：见</w:t>
      </w:r>
      <w:r>
        <w:rPr>
          <w:rFonts w:hint="eastAsia" w:ascii="新宋体" w:hAnsi="新宋体" w:eastAsia="新宋体" w:cs="新宋体"/>
          <w:color w:val="auto"/>
          <w:highlight w:val="none"/>
        </w:rPr>
        <w:t>磋商供应商</w:t>
      </w:r>
      <w:r>
        <w:rPr>
          <w:rFonts w:hint="eastAsia" w:ascii="新宋体" w:hAnsi="新宋体" w:eastAsia="新宋体" w:cs="新宋体"/>
          <w:bCs/>
          <w:color w:val="auto"/>
          <w:highlight w:val="none"/>
        </w:rPr>
        <w:t>须知前附表。</w:t>
      </w:r>
    </w:p>
    <w:p>
      <w:pPr>
        <w:pStyle w:val="11"/>
        <w:spacing w:line="440" w:lineRule="exact"/>
        <w:ind w:firstLine="420" w:firstLineChars="200"/>
        <w:jc w:val="left"/>
        <w:rPr>
          <w:rFonts w:ascii="新宋体" w:hAnsi="新宋体" w:eastAsia="新宋体" w:cs="新宋体"/>
          <w:bCs/>
          <w:color w:val="auto"/>
          <w:highlight w:val="none"/>
        </w:rPr>
      </w:pPr>
      <w:r>
        <w:rPr>
          <w:rFonts w:hint="eastAsia" w:ascii="新宋体" w:hAnsi="新宋体" w:eastAsia="新宋体" w:cs="新宋体"/>
          <w:color w:val="auto"/>
          <w:highlight w:val="none"/>
        </w:rPr>
        <w:t>1.3  项目名称：</w:t>
      </w:r>
      <w:r>
        <w:rPr>
          <w:rFonts w:hint="eastAsia" w:ascii="新宋体" w:hAnsi="新宋体" w:eastAsia="新宋体" w:cs="新宋体"/>
          <w:bCs/>
          <w:color w:val="auto"/>
          <w:highlight w:val="none"/>
        </w:rPr>
        <w:t>见</w:t>
      </w:r>
      <w:r>
        <w:rPr>
          <w:rFonts w:hint="eastAsia" w:ascii="新宋体" w:hAnsi="新宋体" w:eastAsia="新宋体" w:cs="新宋体"/>
          <w:color w:val="auto"/>
          <w:highlight w:val="none"/>
        </w:rPr>
        <w:t>磋商供应商</w:t>
      </w:r>
      <w:r>
        <w:rPr>
          <w:rFonts w:hint="eastAsia" w:ascii="新宋体" w:hAnsi="新宋体" w:eastAsia="新宋体" w:cs="新宋体"/>
          <w:bCs/>
          <w:color w:val="auto"/>
          <w:highlight w:val="none"/>
        </w:rPr>
        <w:t>须知前附表。</w:t>
      </w:r>
    </w:p>
    <w:p>
      <w:pPr>
        <w:pStyle w:val="11"/>
        <w:spacing w:line="440" w:lineRule="exact"/>
        <w:ind w:firstLine="420" w:firstLineChars="200"/>
        <w:jc w:val="left"/>
        <w:rPr>
          <w:rFonts w:ascii="新宋体" w:hAnsi="新宋体" w:eastAsia="新宋体" w:cs="新宋体"/>
          <w:bCs/>
          <w:color w:val="auto"/>
          <w:highlight w:val="none"/>
        </w:rPr>
      </w:pPr>
      <w:r>
        <w:rPr>
          <w:rFonts w:hint="eastAsia" w:ascii="新宋体" w:hAnsi="新宋体" w:eastAsia="新宋体" w:cs="新宋体"/>
          <w:color w:val="auto"/>
          <w:highlight w:val="none"/>
        </w:rPr>
        <w:t>1.4  项目编号：</w:t>
      </w:r>
      <w:r>
        <w:rPr>
          <w:rFonts w:hint="eastAsia" w:ascii="新宋体" w:hAnsi="新宋体" w:eastAsia="新宋体" w:cs="新宋体"/>
          <w:bCs/>
          <w:color w:val="auto"/>
          <w:highlight w:val="none"/>
        </w:rPr>
        <w:t>见</w:t>
      </w:r>
      <w:r>
        <w:rPr>
          <w:rFonts w:hint="eastAsia" w:ascii="新宋体" w:hAnsi="新宋体" w:eastAsia="新宋体" w:cs="新宋体"/>
          <w:color w:val="auto"/>
          <w:highlight w:val="none"/>
        </w:rPr>
        <w:t>磋商供应商</w:t>
      </w:r>
      <w:r>
        <w:rPr>
          <w:rFonts w:hint="eastAsia" w:ascii="新宋体" w:hAnsi="新宋体" w:eastAsia="新宋体" w:cs="新宋体"/>
          <w:bCs/>
          <w:color w:val="auto"/>
          <w:highlight w:val="none"/>
        </w:rPr>
        <w:t>须知前附表。</w:t>
      </w:r>
    </w:p>
    <w:p>
      <w:pPr>
        <w:pStyle w:val="11"/>
        <w:spacing w:line="440" w:lineRule="exact"/>
        <w:ind w:firstLine="420" w:firstLineChars="200"/>
        <w:jc w:val="left"/>
        <w:rPr>
          <w:rFonts w:ascii="新宋体" w:hAnsi="新宋体" w:eastAsia="新宋体" w:cs="新宋体"/>
          <w:bCs/>
          <w:color w:val="auto"/>
          <w:highlight w:val="none"/>
        </w:rPr>
      </w:pPr>
      <w:r>
        <w:rPr>
          <w:rFonts w:hint="eastAsia" w:ascii="新宋体" w:hAnsi="新宋体" w:eastAsia="新宋体" w:cs="新宋体"/>
          <w:bCs/>
          <w:color w:val="auto"/>
          <w:highlight w:val="none"/>
        </w:rPr>
        <w:t>1.5  采购预算：见</w:t>
      </w:r>
      <w:r>
        <w:rPr>
          <w:rFonts w:hint="eastAsia" w:ascii="新宋体" w:hAnsi="新宋体" w:eastAsia="新宋体" w:cs="新宋体"/>
          <w:color w:val="auto"/>
          <w:highlight w:val="none"/>
        </w:rPr>
        <w:t>磋商供应商</w:t>
      </w:r>
      <w:r>
        <w:rPr>
          <w:rFonts w:hint="eastAsia" w:ascii="新宋体" w:hAnsi="新宋体" w:eastAsia="新宋体" w:cs="新宋体"/>
          <w:bCs/>
          <w:color w:val="auto"/>
          <w:highlight w:val="none"/>
        </w:rPr>
        <w:t>须知前附表。</w:t>
      </w:r>
    </w:p>
    <w:p>
      <w:pPr>
        <w:pStyle w:val="11"/>
        <w:spacing w:line="440" w:lineRule="exact"/>
        <w:ind w:firstLine="420" w:firstLineChars="200"/>
        <w:jc w:val="left"/>
        <w:rPr>
          <w:rFonts w:ascii="新宋体" w:hAnsi="新宋体" w:eastAsia="新宋体" w:cs="新宋体"/>
          <w:bCs/>
          <w:color w:val="auto"/>
          <w:highlight w:val="none"/>
        </w:rPr>
      </w:pPr>
      <w:r>
        <w:rPr>
          <w:rFonts w:hint="eastAsia" w:ascii="新宋体" w:hAnsi="新宋体" w:eastAsia="新宋体" w:cs="新宋体"/>
          <w:bCs/>
          <w:color w:val="auto"/>
          <w:highlight w:val="none"/>
        </w:rPr>
        <w:t>1.6  资金来源：</w:t>
      </w:r>
      <w:r>
        <w:rPr>
          <w:rFonts w:hint="eastAsia" w:ascii="新宋体" w:hAnsi="新宋体" w:eastAsia="新宋体" w:cs="新宋体"/>
          <w:bCs/>
          <w:color w:val="auto"/>
          <w:highlight w:val="none"/>
          <w:lang w:eastAsia="zh-CN"/>
        </w:rPr>
        <w:t>财政拨款</w:t>
      </w:r>
      <w:r>
        <w:rPr>
          <w:rFonts w:hint="eastAsia" w:ascii="新宋体" w:hAnsi="新宋体" w:eastAsia="新宋体" w:cs="新宋体"/>
          <w:bCs/>
          <w:color w:val="auto"/>
          <w:highlight w:val="none"/>
        </w:rPr>
        <w:t>。</w:t>
      </w:r>
    </w:p>
    <w:p>
      <w:pPr>
        <w:pStyle w:val="11"/>
        <w:spacing w:line="440" w:lineRule="exact"/>
        <w:ind w:firstLine="420" w:firstLineChars="200"/>
        <w:jc w:val="left"/>
        <w:rPr>
          <w:rFonts w:ascii="新宋体" w:hAnsi="新宋体" w:eastAsia="新宋体" w:cs="新宋体"/>
          <w:bCs/>
          <w:color w:val="auto"/>
          <w:highlight w:val="none"/>
        </w:rPr>
      </w:pPr>
      <w:r>
        <w:rPr>
          <w:rFonts w:hint="eastAsia" w:ascii="新宋体" w:hAnsi="新宋体" w:eastAsia="新宋体" w:cs="新宋体"/>
          <w:bCs/>
          <w:color w:val="auto"/>
          <w:highlight w:val="none"/>
        </w:rPr>
        <w:t>1.7  本项目公告时间及采购文件获取方式</w:t>
      </w:r>
      <w:r>
        <w:rPr>
          <w:rFonts w:hint="eastAsia" w:ascii="新宋体" w:hAnsi="新宋体" w:eastAsia="新宋体" w:cs="新宋体"/>
          <w:color w:val="auto"/>
          <w:highlight w:val="none"/>
        </w:rPr>
        <w:t>：</w:t>
      </w:r>
      <w:r>
        <w:rPr>
          <w:rFonts w:hint="eastAsia" w:ascii="新宋体" w:hAnsi="新宋体" w:eastAsia="新宋体" w:cs="新宋体"/>
          <w:bCs/>
          <w:color w:val="auto"/>
          <w:highlight w:val="none"/>
        </w:rPr>
        <w:t>见</w:t>
      </w:r>
      <w:r>
        <w:rPr>
          <w:rFonts w:hint="eastAsia" w:ascii="新宋体" w:hAnsi="新宋体" w:eastAsia="新宋体" w:cs="新宋体"/>
          <w:color w:val="auto"/>
          <w:highlight w:val="none"/>
        </w:rPr>
        <w:t>磋商供应商</w:t>
      </w:r>
      <w:r>
        <w:rPr>
          <w:rFonts w:hint="eastAsia" w:ascii="新宋体" w:hAnsi="新宋体" w:eastAsia="新宋体" w:cs="新宋体"/>
          <w:bCs/>
          <w:color w:val="auto"/>
          <w:highlight w:val="none"/>
        </w:rPr>
        <w:t>须知前附表。</w:t>
      </w:r>
    </w:p>
    <w:p>
      <w:pPr>
        <w:pStyle w:val="11"/>
        <w:spacing w:line="440" w:lineRule="exact"/>
        <w:jc w:val="left"/>
        <w:rPr>
          <w:rFonts w:ascii="新宋体" w:hAnsi="新宋体" w:eastAsia="新宋体" w:cs="新宋体"/>
          <w:b/>
          <w:color w:val="auto"/>
          <w:highlight w:val="none"/>
        </w:rPr>
      </w:pPr>
      <w:r>
        <w:rPr>
          <w:rFonts w:hint="eastAsia" w:ascii="新宋体" w:hAnsi="新宋体" w:eastAsia="新宋体" w:cs="新宋体"/>
          <w:b/>
          <w:color w:val="auto"/>
          <w:highlight w:val="none"/>
        </w:rPr>
        <w:t>2.  政府采购信息发布媒体：</w:t>
      </w:r>
    </w:p>
    <w:p>
      <w:pPr>
        <w:pStyle w:val="11"/>
        <w:spacing w:line="360" w:lineRule="auto"/>
        <w:ind w:right="68" w:firstLine="420" w:firstLineChars="200"/>
        <w:rPr>
          <w:rFonts w:ascii="新宋体" w:hAnsi="新宋体" w:eastAsia="新宋体" w:cs="新宋体"/>
          <w:color w:val="auto"/>
          <w:highlight w:val="none"/>
        </w:rPr>
      </w:pPr>
      <w:r>
        <w:rPr>
          <w:rFonts w:hint="eastAsia" w:ascii="新宋体" w:hAnsi="新宋体" w:eastAsia="新宋体" w:cs="新宋体"/>
          <w:bCs/>
          <w:color w:val="auto"/>
          <w:highlight w:val="none"/>
        </w:rPr>
        <w:t>2.1  与本项目相关的政府采购业务信息（包括竞争性磋商公告、成交公告及其更正事项等）将在以下媒体上发布：</w:t>
      </w:r>
      <w:r>
        <w:rPr>
          <w:color w:val="auto"/>
          <w:highlight w:val="none"/>
        </w:rPr>
        <w:fldChar w:fldCharType="begin"/>
      </w:r>
      <w:r>
        <w:rPr>
          <w:color w:val="auto"/>
          <w:highlight w:val="none"/>
        </w:rPr>
        <w:instrText xml:space="preserve"> HYPERLINK "http://www.gxzfcg.gov.cn（广西壮族自治区政府采购网）、http:/www.gxjt.net/index.html/(广西建通工程咨询有限责任公司网)、（http:/www.nnggzy.org.cn）（南宁市公共资源交易中心网）。" </w:instrText>
      </w:r>
      <w:r>
        <w:rPr>
          <w:color w:val="auto"/>
          <w:highlight w:val="none"/>
        </w:rPr>
        <w:fldChar w:fldCharType="separate"/>
      </w:r>
      <w:r>
        <w:rPr>
          <w:rFonts w:hint="eastAsia" w:asciiTheme="minorEastAsia" w:hAnsiTheme="minorEastAsia" w:eastAsiaTheme="minorEastAsia" w:cstheme="minorEastAsia"/>
          <w:i w:val="0"/>
          <w:iCs w:val="0"/>
          <w:color w:val="auto"/>
          <w:sz w:val="21"/>
          <w:szCs w:val="21"/>
          <w:u w:val="none"/>
          <w:lang w:val="en-US" w:eastAsia="zh-CN"/>
        </w:rPr>
        <w:t>http://www.ccgp.gov.cn（中国政府采购网）、http://zfcg.gxzf.gov.cn/（广西壮族自治区政府采购网）、http://ggzy.nanning.gov.cn（南宁市公共资源交易中心网）、http://www.gxljgc.com(广西龙建工程管理有限公司网)</w:t>
      </w:r>
      <w:r>
        <w:rPr>
          <w:rStyle w:val="24"/>
          <w:rFonts w:hint="eastAsia" w:ascii="新宋体" w:hAnsi="新宋体" w:eastAsia="新宋体" w:cs="新宋体"/>
          <w:color w:val="auto"/>
          <w:highlight w:val="none"/>
        </w:rPr>
        <w:t>。</w:t>
      </w:r>
      <w:r>
        <w:rPr>
          <w:rFonts w:hint="eastAsia" w:ascii="新宋体" w:hAnsi="新宋体" w:eastAsia="新宋体" w:cs="新宋体"/>
          <w:color w:val="auto"/>
          <w:highlight w:val="none"/>
        </w:rPr>
        <w:fldChar w:fldCharType="end"/>
      </w:r>
    </w:p>
    <w:p>
      <w:pPr>
        <w:pStyle w:val="11"/>
        <w:spacing w:line="420" w:lineRule="exact"/>
        <w:ind w:left="243" w:hanging="243" w:hangingChars="101"/>
        <w:jc w:val="left"/>
        <w:rPr>
          <w:rFonts w:hAnsi="宋体"/>
          <w:b/>
          <w:color w:val="auto"/>
          <w:sz w:val="24"/>
          <w:szCs w:val="24"/>
          <w:highlight w:val="none"/>
        </w:rPr>
      </w:pPr>
      <w:r>
        <w:rPr>
          <w:rFonts w:hint="eastAsia" w:hAnsi="宋体"/>
          <w:b/>
          <w:color w:val="auto"/>
          <w:sz w:val="24"/>
          <w:szCs w:val="24"/>
          <w:highlight w:val="none"/>
        </w:rPr>
        <w:t>3. 供应商资格要求：</w:t>
      </w:r>
    </w:p>
    <w:p>
      <w:pPr>
        <w:pStyle w:val="11"/>
        <w:spacing w:line="360" w:lineRule="auto"/>
        <w:ind w:firstLine="420" w:firstLineChars="200"/>
        <w:jc w:val="left"/>
        <w:rPr>
          <w:rFonts w:ascii="新宋体" w:hAnsi="新宋体" w:eastAsia="新宋体" w:cs="新宋体"/>
          <w:color w:val="auto"/>
          <w:highlight w:val="none"/>
        </w:rPr>
      </w:pPr>
      <w:r>
        <w:rPr>
          <w:rFonts w:hint="eastAsia" w:hAnsi="宋体" w:cs="宋体"/>
          <w:color w:val="auto"/>
          <w:kern w:val="0"/>
          <w:highlight w:val="none"/>
        </w:rPr>
        <w:t>符合《中华人民共和国政府采购法实施条例》第十八条规定的供应商。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1"/>
        <w:spacing w:line="440" w:lineRule="exact"/>
        <w:ind w:firstLine="420" w:firstLineChars="200"/>
        <w:jc w:val="left"/>
        <w:rPr>
          <w:rFonts w:ascii="新宋体" w:hAnsi="新宋体" w:eastAsia="新宋体" w:cs="新宋体"/>
          <w:bCs/>
          <w:color w:val="auto"/>
          <w:highlight w:val="none"/>
        </w:rPr>
      </w:pPr>
      <w:r>
        <w:rPr>
          <w:rFonts w:hint="eastAsia" w:ascii="新宋体" w:hAnsi="新宋体" w:eastAsia="新宋体" w:cs="新宋体"/>
          <w:bCs/>
          <w:color w:val="auto"/>
          <w:highlight w:val="none"/>
        </w:rPr>
        <w:t xml:space="preserve">3.1  </w:t>
      </w:r>
      <w:r>
        <w:rPr>
          <w:rFonts w:hint="eastAsia" w:ascii="新宋体" w:hAnsi="新宋体" w:eastAsia="新宋体" w:cs="新宋体"/>
          <w:color w:val="auto"/>
          <w:highlight w:val="none"/>
        </w:rPr>
        <w:t>磋商供应商</w:t>
      </w:r>
      <w:r>
        <w:rPr>
          <w:rFonts w:hint="eastAsia" w:ascii="新宋体" w:hAnsi="新宋体" w:eastAsia="新宋体" w:cs="新宋体"/>
          <w:bCs/>
          <w:color w:val="auto"/>
          <w:highlight w:val="none"/>
        </w:rPr>
        <w:t>应具备下列条件：</w:t>
      </w:r>
    </w:p>
    <w:p>
      <w:pPr>
        <w:pStyle w:val="11"/>
        <w:spacing w:line="440" w:lineRule="exact"/>
        <w:ind w:firstLine="420" w:firstLineChars="200"/>
        <w:rPr>
          <w:rFonts w:ascii="新宋体" w:hAnsi="新宋体" w:eastAsia="新宋体" w:cs="新宋体"/>
          <w:bCs/>
          <w:color w:val="auto"/>
          <w:highlight w:val="none"/>
        </w:rPr>
      </w:pPr>
      <w:r>
        <w:rPr>
          <w:rFonts w:hint="eastAsia" w:ascii="新宋体" w:hAnsi="新宋体" w:eastAsia="新宋体" w:cs="新宋体"/>
          <w:bCs/>
          <w:color w:val="auto"/>
          <w:highlight w:val="none"/>
        </w:rPr>
        <w:t>（1）具有独立承担民事责任的能力；</w:t>
      </w:r>
    </w:p>
    <w:p>
      <w:pPr>
        <w:pStyle w:val="11"/>
        <w:spacing w:line="440" w:lineRule="exact"/>
        <w:ind w:firstLine="420" w:firstLineChars="200"/>
        <w:rPr>
          <w:rFonts w:ascii="新宋体" w:hAnsi="新宋体" w:eastAsia="新宋体" w:cs="新宋体"/>
          <w:bCs/>
          <w:color w:val="auto"/>
          <w:highlight w:val="none"/>
        </w:rPr>
      </w:pPr>
      <w:r>
        <w:rPr>
          <w:rFonts w:hint="eastAsia" w:ascii="新宋体" w:hAnsi="新宋体" w:eastAsia="新宋体" w:cs="新宋体"/>
          <w:bCs/>
          <w:color w:val="auto"/>
          <w:highlight w:val="none"/>
        </w:rPr>
        <w:t>（2）具有良好的商业信誉和健全的财务会计制度；</w:t>
      </w:r>
    </w:p>
    <w:p>
      <w:pPr>
        <w:pStyle w:val="11"/>
        <w:spacing w:line="440" w:lineRule="exact"/>
        <w:ind w:firstLine="420" w:firstLineChars="200"/>
        <w:rPr>
          <w:rFonts w:ascii="新宋体" w:hAnsi="新宋体" w:eastAsia="新宋体" w:cs="新宋体"/>
          <w:bCs/>
          <w:color w:val="auto"/>
          <w:highlight w:val="none"/>
        </w:rPr>
      </w:pPr>
      <w:r>
        <w:rPr>
          <w:rFonts w:hint="eastAsia" w:ascii="新宋体" w:hAnsi="新宋体" w:eastAsia="新宋体" w:cs="新宋体"/>
          <w:bCs/>
          <w:color w:val="auto"/>
          <w:highlight w:val="none"/>
        </w:rPr>
        <w:t>（3）具有履行合同所必需的设备和专业技术能力；</w:t>
      </w:r>
    </w:p>
    <w:p>
      <w:pPr>
        <w:pStyle w:val="11"/>
        <w:spacing w:line="440" w:lineRule="exact"/>
        <w:ind w:firstLine="420" w:firstLineChars="200"/>
        <w:rPr>
          <w:rFonts w:ascii="新宋体" w:hAnsi="新宋体" w:eastAsia="新宋体" w:cs="新宋体"/>
          <w:bCs/>
          <w:color w:val="auto"/>
          <w:highlight w:val="none"/>
        </w:rPr>
      </w:pPr>
      <w:r>
        <w:rPr>
          <w:rFonts w:hint="eastAsia" w:ascii="新宋体" w:hAnsi="新宋体" w:eastAsia="新宋体" w:cs="新宋体"/>
          <w:bCs/>
          <w:color w:val="auto"/>
          <w:highlight w:val="none"/>
        </w:rPr>
        <w:t>（4）有依法缴纳税收和社会保障资金的良好记录；</w:t>
      </w:r>
    </w:p>
    <w:p>
      <w:pPr>
        <w:pStyle w:val="11"/>
        <w:spacing w:line="440" w:lineRule="exact"/>
        <w:ind w:firstLine="420" w:firstLineChars="200"/>
        <w:rPr>
          <w:rFonts w:ascii="新宋体" w:hAnsi="新宋体" w:eastAsia="新宋体" w:cs="新宋体"/>
          <w:bCs/>
          <w:color w:val="auto"/>
          <w:highlight w:val="none"/>
        </w:rPr>
      </w:pPr>
      <w:r>
        <w:rPr>
          <w:rFonts w:hint="eastAsia" w:ascii="新宋体" w:hAnsi="新宋体" w:eastAsia="新宋体" w:cs="新宋体"/>
          <w:bCs/>
          <w:color w:val="auto"/>
          <w:highlight w:val="none"/>
        </w:rPr>
        <w:t>（5）参加政府采购活动前三年内，在经营活动中没有重大违法记录；</w:t>
      </w:r>
    </w:p>
    <w:p>
      <w:pPr>
        <w:pStyle w:val="11"/>
        <w:spacing w:line="440" w:lineRule="exact"/>
        <w:ind w:firstLine="420" w:firstLineChars="200"/>
        <w:rPr>
          <w:rFonts w:ascii="新宋体" w:hAnsi="新宋体" w:eastAsia="新宋体" w:cs="新宋体"/>
          <w:bCs/>
          <w:color w:val="auto"/>
          <w:highlight w:val="none"/>
        </w:rPr>
      </w:pPr>
      <w:r>
        <w:rPr>
          <w:rFonts w:hint="eastAsia" w:ascii="新宋体" w:hAnsi="新宋体" w:eastAsia="新宋体" w:cs="新宋体"/>
          <w:bCs/>
          <w:color w:val="auto"/>
          <w:highlight w:val="none"/>
        </w:rPr>
        <w:t>（6）法律、行政法规规定的其他条件。</w:t>
      </w:r>
    </w:p>
    <w:p>
      <w:pPr>
        <w:pStyle w:val="11"/>
        <w:spacing w:line="440" w:lineRule="exact"/>
        <w:ind w:firstLine="420" w:firstLineChars="200"/>
        <w:rPr>
          <w:rFonts w:ascii="新宋体" w:hAnsi="新宋体" w:eastAsia="新宋体" w:cs="新宋体"/>
          <w:bCs/>
          <w:color w:val="auto"/>
          <w:highlight w:val="none"/>
        </w:rPr>
      </w:pPr>
      <w:r>
        <w:rPr>
          <w:rFonts w:hint="eastAsia" w:ascii="新宋体" w:hAnsi="新宋体" w:eastAsia="新宋体" w:cs="新宋体"/>
          <w:bCs/>
          <w:color w:val="auto"/>
          <w:highlight w:val="none"/>
        </w:rPr>
        <w:t>3.2  针对本项目，</w:t>
      </w:r>
      <w:r>
        <w:rPr>
          <w:rFonts w:hint="eastAsia" w:ascii="新宋体" w:hAnsi="新宋体" w:eastAsia="新宋体" w:cs="新宋体"/>
          <w:color w:val="auto"/>
          <w:highlight w:val="none"/>
        </w:rPr>
        <w:t>磋商供应商</w:t>
      </w:r>
      <w:r>
        <w:rPr>
          <w:rFonts w:hint="eastAsia" w:ascii="新宋体" w:hAnsi="新宋体" w:eastAsia="新宋体" w:cs="新宋体"/>
          <w:bCs/>
          <w:color w:val="auto"/>
          <w:highlight w:val="none"/>
        </w:rPr>
        <w:t>应具备的特定条件：见</w:t>
      </w:r>
      <w:r>
        <w:rPr>
          <w:rFonts w:hint="eastAsia" w:ascii="新宋体" w:hAnsi="新宋体" w:eastAsia="新宋体" w:cs="新宋体"/>
          <w:color w:val="auto"/>
          <w:highlight w:val="none"/>
        </w:rPr>
        <w:t>磋商供应商</w:t>
      </w:r>
      <w:r>
        <w:rPr>
          <w:rFonts w:hint="eastAsia" w:ascii="新宋体" w:hAnsi="新宋体" w:eastAsia="新宋体" w:cs="新宋体"/>
          <w:bCs/>
          <w:color w:val="auto"/>
          <w:highlight w:val="none"/>
        </w:rPr>
        <w:t>须知前附表。</w:t>
      </w:r>
    </w:p>
    <w:p>
      <w:pPr>
        <w:pStyle w:val="11"/>
        <w:spacing w:line="440" w:lineRule="exact"/>
        <w:ind w:firstLine="420" w:firstLineChars="200"/>
        <w:rPr>
          <w:rFonts w:ascii="新宋体" w:hAnsi="新宋体" w:eastAsia="新宋体" w:cs="新宋体"/>
          <w:bCs/>
          <w:color w:val="auto"/>
          <w:highlight w:val="none"/>
        </w:rPr>
      </w:pPr>
      <w:r>
        <w:rPr>
          <w:rFonts w:hint="eastAsia" w:ascii="新宋体" w:hAnsi="新宋体" w:eastAsia="新宋体" w:cs="新宋体"/>
          <w:bCs/>
          <w:color w:val="auto"/>
          <w:highlight w:val="none"/>
        </w:rPr>
        <w:t xml:space="preserve">3.3  </w:t>
      </w:r>
      <w:r>
        <w:rPr>
          <w:rFonts w:hint="eastAsia" w:ascii="新宋体" w:hAnsi="新宋体" w:eastAsia="新宋体" w:cs="新宋体"/>
          <w:color w:val="auto"/>
          <w:highlight w:val="none"/>
        </w:rPr>
        <w:t xml:space="preserve">磋商供应商不得直接或间接地与为本次采购的项目内容进行设计、编制规范和其他文件的咨询公司、采购人、采购代理机构或其附属机构有任何关联。 </w:t>
      </w:r>
    </w:p>
    <w:p>
      <w:pPr>
        <w:pStyle w:val="11"/>
        <w:spacing w:line="420" w:lineRule="exact"/>
        <w:ind w:left="243" w:hanging="243" w:hangingChars="101"/>
        <w:jc w:val="left"/>
        <w:rPr>
          <w:rFonts w:hAnsi="宋体"/>
          <w:bCs/>
          <w:color w:val="auto"/>
          <w:sz w:val="24"/>
          <w:szCs w:val="24"/>
          <w:highlight w:val="none"/>
        </w:rPr>
      </w:pPr>
      <w:r>
        <w:rPr>
          <w:rFonts w:hint="eastAsia" w:hAnsi="宋体"/>
          <w:b/>
          <w:color w:val="auto"/>
          <w:sz w:val="24"/>
          <w:szCs w:val="24"/>
          <w:highlight w:val="none"/>
        </w:rPr>
        <w:t>4. 疑问和质疑</w:t>
      </w:r>
    </w:p>
    <w:p>
      <w:pPr>
        <w:pStyle w:val="11"/>
        <w:spacing w:line="440" w:lineRule="exact"/>
        <w:ind w:left="2" w:leftChars="1" w:firstLine="420" w:firstLineChars="200"/>
        <w:jc w:val="left"/>
        <w:rPr>
          <w:rFonts w:ascii="新宋体" w:hAnsi="新宋体" w:eastAsia="新宋体" w:cs="新宋体"/>
          <w:bCs/>
          <w:color w:val="auto"/>
          <w:highlight w:val="none"/>
        </w:rPr>
      </w:pPr>
      <w:r>
        <w:rPr>
          <w:rFonts w:hint="eastAsia" w:ascii="新宋体" w:hAnsi="新宋体" w:eastAsia="新宋体" w:cs="新宋体"/>
          <w:bCs/>
          <w:color w:val="auto"/>
          <w:highlight w:val="none"/>
        </w:rPr>
        <w:t xml:space="preserve">4.1  </w:t>
      </w:r>
      <w:r>
        <w:rPr>
          <w:rFonts w:hint="eastAsia" w:ascii="新宋体" w:hAnsi="新宋体" w:eastAsia="新宋体" w:cs="新宋体"/>
          <w:color w:val="auto"/>
          <w:highlight w:val="none"/>
        </w:rPr>
        <w:t>磋商供应商对政府采购活动事项有疑问的，可以向采购人或</w:t>
      </w:r>
      <w:r>
        <w:rPr>
          <w:rFonts w:hint="eastAsia" w:ascii="新宋体" w:hAnsi="新宋体" w:eastAsia="新宋体" w:cs="新宋体"/>
          <w:bCs/>
          <w:color w:val="auto"/>
          <w:highlight w:val="none"/>
        </w:rPr>
        <w:t>采购代理机构提出询问</w:t>
      </w:r>
      <w:r>
        <w:rPr>
          <w:rFonts w:hint="eastAsia" w:ascii="新宋体" w:hAnsi="新宋体" w:eastAsia="新宋体" w:cs="新宋体"/>
          <w:color w:val="auto"/>
          <w:highlight w:val="none"/>
        </w:rPr>
        <w:t>。磋商供应商认为竞争性磋商文件使自己的权益受到损害的，可以在</w:t>
      </w:r>
      <w:r>
        <w:rPr>
          <w:rFonts w:hint="eastAsia" w:ascii="新宋体" w:hAnsi="新宋体" w:eastAsia="新宋体" w:cs="新宋体"/>
          <w:color w:val="auto"/>
          <w:kern w:val="0"/>
          <w:highlight w:val="none"/>
        </w:rPr>
        <w:t>收到磋商文件之日或者磋商文件公告期限届满之日</w:t>
      </w:r>
      <w:r>
        <w:rPr>
          <w:rFonts w:hint="eastAsia" w:ascii="新宋体" w:hAnsi="新宋体" w:eastAsia="新宋体" w:cs="新宋体"/>
          <w:color w:val="auto"/>
          <w:highlight w:val="none"/>
        </w:rPr>
        <w:t>起七日内，以书面形式向采购代理机构提出质疑</w:t>
      </w:r>
      <w:r>
        <w:rPr>
          <w:rFonts w:hint="eastAsia" w:ascii="新宋体" w:hAnsi="新宋体" w:eastAsia="新宋体" w:cs="新宋体"/>
          <w:bCs/>
          <w:color w:val="auto"/>
          <w:highlight w:val="none"/>
        </w:rPr>
        <w:t>。提交响应文件截止时间后，采购代理机构不再受理对采购文件的询问或质疑。</w:t>
      </w:r>
      <w:r>
        <w:rPr>
          <w:rFonts w:hint="eastAsia" w:ascii="新宋体" w:hAnsi="新宋体" w:eastAsia="新宋体" w:cs="新宋体"/>
          <w:b/>
          <w:color w:val="auto"/>
          <w:highlight w:val="none"/>
        </w:rPr>
        <w:t>磋商供应商</w:t>
      </w:r>
      <w:r>
        <w:rPr>
          <w:rFonts w:hint="eastAsia" w:ascii="新宋体" w:hAnsi="新宋体" w:eastAsia="新宋体" w:cs="新宋体"/>
          <w:bCs/>
          <w:color w:val="auto"/>
          <w:highlight w:val="none"/>
        </w:rPr>
        <w:t>认为</w:t>
      </w:r>
      <w:r>
        <w:rPr>
          <w:rFonts w:hint="eastAsia" w:ascii="新宋体" w:hAnsi="新宋体" w:eastAsia="新宋体" w:cs="新宋体"/>
          <w:color w:val="auto"/>
          <w:highlight w:val="none"/>
        </w:rPr>
        <w:t>采购过程使自己的权益受到损害的，</w:t>
      </w:r>
      <w:r>
        <w:rPr>
          <w:rFonts w:hint="eastAsia" w:ascii="新宋体" w:hAnsi="新宋体" w:eastAsia="新宋体" w:cs="新宋体"/>
          <w:color w:val="auto"/>
          <w:kern w:val="0"/>
          <w:highlight w:val="none"/>
        </w:rPr>
        <w:t>可以在各采购程序环节结束之日</w:t>
      </w:r>
      <w:r>
        <w:rPr>
          <w:rFonts w:hint="eastAsia" w:ascii="新宋体" w:hAnsi="新宋体" w:eastAsia="新宋体" w:cs="新宋体"/>
          <w:color w:val="auto"/>
          <w:highlight w:val="none"/>
        </w:rPr>
        <w:t>起七个工作日内，以书面形式向采购代理机构质疑。</w:t>
      </w:r>
      <w:r>
        <w:rPr>
          <w:rFonts w:hint="eastAsia" w:ascii="新宋体" w:hAnsi="新宋体" w:eastAsia="新宋体" w:cs="新宋体"/>
          <w:b/>
          <w:color w:val="auto"/>
          <w:highlight w:val="none"/>
        </w:rPr>
        <w:t>磋商供应商</w:t>
      </w:r>
      <w:r>
        <w:rPr>
          <w:rFonts w:hint="eastAsia" w:ascii="新宋体" w:hAnsi="新宋体" w:eastAsia="新宋体" w:cs="新宋体"/>
          <w:bCs/>
          <w:color w:val="auto"/>
          <w:highlight w:val="none"/>
        </w:rPr>
        <w:t>认为</w:t>
      </w:r>
      <w:r>
        <w:rPr>
          <w:rFonts w:hint="eastAsia" w:ascii="新宋体" w:hAnsi="新宋体" w:eastAsia="新宋体" w:cs="新宋体"/>
          <w:color w:val="auto"/>
          <w:kern w:val="0"/>
          <w:highlight w:val="none"/>
        </w:rPr>
        <w:t>成交结果使自己</w:t>
      </w:r>
      <w:r>
        <w:rPr>
          <w:rFonts w:hint="eastAsia" w:ascii="新宋体" w:hAnsi="新宋体" w:eastAsia="新宋体" w:cs="新宋体"/>
          <w:color w:val="auto"/>
          <w:highlight w:val="none"/>
        </w:rPr>
        <w:t>权益受到损害的，可以在</w:t>
      </w:r>
      <w:r>
        <w:rPr>
          <w:rFonts w:hint="eastAsia" w:ascii="新宋体" w:hAnsi="新宋体" w:eastAsia="新宋体" w:cs="新宋体"/>
          <w:color w:val="auto"/>
          <w:kern w:val="0"/>
          <w:highlight w:val="none"/>
        </w:rPr>
        <w:t>成交结果公告期限届满</w:t>
      </w:r>
      <w:r>
        <w:rPr>
          <w:rFonts w:hint="eastAsia" w:ascii="新宋体" w:hAnsi="新宋体" w:eastAsia="新宋体" w:cs="新宋体"/>
          <w:color w:val="auto"/>
          <w:highlight w:val="none"/>
        </w:rPr>
        <w:t>之日起七个工作日内，以书面形式向采购代理机构质疑。质疑书的提交地点和质疑受理电话见</w:t>
      </w:r>
      <w:r>
        <w:rPr>
          <w:rFonts w:hint="eastAsia" w:ascii="新宋体" w:hAnsi="新宋体" w:eastAsia="新宋体" w:cs="新宋体"/>
          <w:b/>
          <w:color w:val="auto"/>
          <w:highlight w:val="none"/>
        </w:rPr>
        <w:t>磋商供应商</w:t>
      </w:r>
      <w:r>
        <w:rPr>
          <w:rFonts w:hint="eastAsia" w:ascii="新宋体" w:hAnsi="新宋体" w:eastAsia="新宋体" w:cs="新宋体"/>
          <w:color w:val="auto"/>
          <w:highlight w:val="none"/>
        </w:rPr>
        <w:t>须知前附表。</w:t>
      </w:r>
    </w:p>
    <w:p>
      <w:pPr>
        <w:pStyle w:val="11"/>
        <w:spacing w:line="440" w:lineRule="exact"/>
        <w:ind w:left="2" w:leftChars="1" w:firstLine="422" w:firstLineChars="200"/>
        <w:jc w:val="left"/>
        <w:rPr>
          <w:rFonts w:ascii="新宋体" w:hAnsi="新宋体" w:eastAsia="新宋体" w:cs="新宋体"/>
          <w:b/>
          <w:bCs/>
          <w:color w:val="auto"/>
          <w:highlight w:val="none"/>
        </w:rPr>
      </w:pPr>
      <w:r>
        <w:rPr>
          <w:rFonts w:hint="eastAsia" w:ascii="新宋体" w:hAnsi="新宋体" w:eastAsia="新宋体" w:cs="新宋体"/>
          <w:b/>
          <w:bCs/>
          <w:color w:val="auto"/>
          <w:highlight w:val="none"/>
        </w:rPr>
        <w:t>特别说明：</w:t>
      </w:r>
    </w:p>
    <w:p>
      <w:pPr>
        <w:pStyle w:val="11"/>
        <w:spacing w:line="440" w:lineRule="exact"/>
        <w:ind w:left="2" w:leftChars="1"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1. 多家供应商参加磋商，如其中两家或两家以上供应商的法定代表人为同一人或相互之间存在投资关系且达到控股的，同时提供的是同一品牌同一型号的，应当按一个供应商认定。评审时，取其中通过资格审查后的报价最低一家为有效供应商；当报价相同时</w:t>
      </w:r>
      <w:r>
        <w:rPr>
          <w:rFonts w:hint="eastAsia" w:ascii="新宋体" w:hAnsi="新宋体" w:eastAsia="新宋体" w:cs="新宋体"/>
          <w:color w:val="auto"/>
          <w:highlight w:val="none"/>
          <w:lang w:eastAsia="zh-CN"/>
        </w:rPr>
        <w:t>，</w:t>
      </w:r>
      <w:r>
        <w:rPr>
          <w:rFonts w:hint="eastAsia" w:ascii="新宋体" w:hAnsi="新宋体" w:eastAsia="新宋体" w:cs="新宋体"/>
          <w:color w:val="auto"/>
          <w:highlight w:val="none"/>
        </w:rPr>
        <w:t>则以技术标最优一家为有效供应商；均相同时，由</w:t>
      </w:r>
      <w:r>
        <w:rPr>
          <w:rFonts w:hint="eastAsia" w:ascii="新宋体" w:hAnsi="新宋体" w:eastAsia="新宋体" w:cs="新宋体"/>
          <w:color w:val="auto"/>
          <w:highlight w:val="none"/>
          <w:lang w:eastAsia="zh-CN"/>
        </w:rPr>
        <w:t>磋商小组</w:t>
      </w:r>
      <w:r>
        <w:rPr>
          <w:rFonts w:hint="eastAsia" w:ascii="新宋体" w:hAnsi="新宋体" w:eastAsia="新宋体" w:cs="新宋体"/>
          <w:color w:val="auto"/>
          <w:highlight w:val="none"/>
        </w:rPr>
        <w:t>集体决定。</w:t>
      </w:r>
    </w:p>
    <w:p>
      <w:pPr>
        <w:pStyle w:val="11"/>
        <w:spacing w:line="440" w:lineRule="exact"/>
        <w:ind w:left="2" w:leftChars="1"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多家代理商或经销商参加磋商，如其中两家或两家以上供应商存在分级代理或代销关系，且提供的是其所代理品牌产品的，评审时，按上述规定确定其中一家为有效供应商。</w:t>
      </w:r>
    </w:p>
    <w:p>
      <w:pPr>
        <w:pStyle w:val="11"/>
        <w:spacing w:line="440" w:lineRule="exact"/>
        <w:ind w:left="2" w:leftChars="1"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同一家原生产厂商授权多家代理商参加磋商的，评审时，按上述规定确定其中一家为有效供应商。</w:t>
      </w:r>
    </w:p>
    <w:p>
      <w:pPr>
        <w:pStyle w:val="11"/>
        <w:spacing w:line="440" w:lineRule="exact"/>
        <w:ind w:left="2" w:leftChars="1"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有下列情形之一的视为供应商相互串通竞标，响应文件将被视为无效：</w:t>
      </w:r>
    </w:p>
    <w:p>
      <w:pPr>
        <w:pStyle w:val="11"/>
        <w:spacing w:line="440" w:lineRule="exact"/>
        <w:ind w:left="2" w:leftChars="1"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1）不同供应商的响应文件由同一单位或者个人编制；或不同供应商报名的IP地址一致的；</w:t>
      </w:r>
    </w:p>
    <w:p>
      <w:pPr>
        <w:pStyle w:val="11"/>
        <w:spacing w:line="440" w:lineRule="exact"/>
        <w:ind w:left="2" w:leftChars="1"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2）不同供应商委托同一单位或者个人办理磋商事宜的；</w:t>
      </w:r>
    </w:p>
    <w:p>
      <w:pPr>
        <w:pStyle w:val="11"/>
        <w:spacing w:line="440" w:lineRule="exact"/>
        <w:ind w:left="2" w:leftChars="1"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3）不同的供应商的响应文件载明的项目管理员为同一人的；</w:t>
      </w:r>
    </w:p>
    <w:p>
      <w:pPr>
        <w:pStyle w:val="11"/>
        <w:spacing w:line="440" w:lineRule="exact"/>
        <w:ind w:left="2" w:leftChars="1"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4）不同供应商的响应文件异常一致或磋商报价呈规律性差异的；</w:t>
      </w:r>
    </w:p>
    <w:p>
      <w:pPr>
        <w:pStyle w:val="11"/>
        <w:spacing w:line="440" w:lineRule="exact"/>
        <w:ind w:left="2" w:leftChars="1"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5）不同供应商的响应文件相互混装的；</w:t>
      </w:r>
    </w:p>
    <w:p>
      <w:pPr>
        <w:pStyle w:val="11"/>
        <w:spacing w:line="440" w:lineRule="exact"/>
        <w:ind w:left="2" w:leftChars="1"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6）不同供应商单位负责人为同一人或者存在直接控股、管理关系的不同供应商，不得参加同一合同项下的政府采购活动。</w:t>
      </w:r>
    </w:p>
    <w:p>
      <w:pPr>
        <w:pStyle w:val="11"/>
        <w:spacing w:line="440" w:lineRule="exact"/>
        <w:ind w:left="2" w:leftChars="1"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2. 供应商竞标所使用的资格、信誉、荣誉、业绩与企业认证必须为本法人所拥有。供应商竞标所使用的采购项目实施人员必须为本法人员工（或必须为本法人或控股公司正式员工）。</w:t>
      </w:r>
    </w:p>
    <w:p>
      <w:pPr>
        <w:pStyle w:val="11"/>
        <w:spacing w:line="440" w:lineRule="exact"/>
        <w:ind w:left="2" w:leftChars="1"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3. 供应商应仔细阅读招标文件的所有内容，按照招标文件的要求提交响应文件，并对所提供的全部资料的真实性承担法律责任。</w:t>
      </w:r>
    </w:p>
    <w:p>
      <w:pPr>
        <w:pStyle w:val="11"/>
        <w:spacing w:line="440" w:lineRule="exact"/>
        <w:ind w:left="2" w:leftChars="1"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4. 供应商在竞标活动中提供任何虚假材料，其竞标无效，并报监管部门查处；中标后发现的，</w:t>
      </w:r>
      <w:r>
        <w:rPr>
          <w:rFonts w:hint="eastAsia" w:ascii="新宋体" w:hAnsi="新宋体" w:eastAsia="新宋体" w:cs="新宋体"/>
          <w:color w:val="auto"/>
          <w:highlight w:val="none"/>
          <w:lang w:eastAsia="zh-CN"/>
        </w:rPr>
        <w:t>成交</w:t>
      </w:r>
      <w:r>
        <w:rPr>
          <w:rFonts w:hint="eastAsia" w:ascii="新宋体" w:hAnsi="新宋体" w:eastAsia="新宋体" w:cs="新宋体"/>
          <w:color w:val="auto"/>
          <w:highlight w:val="none"/>
        </w:rPr>
        <w:t>人须依照《中华人民共和国消费者权益保护法》第49条之规定双倍赔偿采购人，且民事赔偿并不免除违法供应商的行政与刑事责任。</w:t>
      </w:r>
    </w:p>
    <w:p>
      <w:pPr>
        <w:pStyle w:val="11"/>
        <w:spacing w:line="440" w:lineRule="exact"/>
        <w:ind w:left="2" w:leftChars="1" w:firstLine="420" w:firstLineChars="200"/>
        <w:jc w:val="left"/>
        <w:rPr>
          <w:rFonts w:ascii="新宋体" w:hAnsi="新宋体" w:eastAsia="新宋体" w:cs="新宋体"/>
          <w:bCs/>
          <w:color w:val="auto"/>
          <w:highlight w:val="none"/>
        </w:rPr>
      </w:pPr>
      <w:r>
        <w:rPr>
          <w:rFonts w:hint="eastAsia" w:ascii="新宋体" w:hAnsi="新宋体" w:eastAsia="新宋体" w:cs="新宋体"/>
          <w:bCs/>
          <w:color w:val="auto"/>
          <w:highlight w:val="none"/>
        </w:rPr>
        <w:t>4.2  供应商质疑实行实名制，其质疑应当有具体的质疑事项及事实根据，不得进行虚假、恶意质疑。</w:t>
      </w:r>
    </w:p>
    <w:p>
      <w:pPr>
        <w:pStyle w:val="11"/>
        <w:spacing w:line="440" w:lineRule="exact"/>
        <w:ind w:firstLine="418"/>
        <w:jc w:val="left"/>
        <w:rPr>
          <w:rFonts w:ascii="新宋体" w:hAnsi="新宋体" w:eastAsia="新宋体" w:cs="新宋体"/>
          <w:bCs/>
          <w:color w:val="auto"/>
          <w:highlight w:val="none"/>
        </w:rPr>
      </w:pPr>
      <w:r>
        <w:rPr>
          <w:rFonts w:hint="eastAsia" w:ascii="新宋体" w:hAnsi="新宋体" w:eastAsia="新宋体" w:cs="新宋体"/>
          <w:bCs/>
          <w:color w:val="auto"/>
          <w:highlight w:val="none"/>
        </w:rPr>
        <w:t>4.3  供应商质疑时，应当提交质疑书原件，质疑书应当包括下列主要内容：</w:t>
      </w:r>
    </w:p>
    <w:p>
      <w:pPr>
        <w:pStyle w:val="11"/>
        <w:spacing w:line="440" w:lineRule="exact"/>
        <w:ind w:firstLine="418"/>
        <w:jc w:val="left"/>
        <w:rPr>
          <w:rFonts w:ascii="新宋体" w:hAnsi="新宋体" w:eastAsia="新宋体" w:cs="新宋体"/>
          <w:color w:val="auto"/>
          <w:highlight w:val="none"/>
        </w:rPr>
      </w:pPr>
      <w:r>
        <w:rPr>
          <w:rFonts w:hint="eastAsia" w:ascii="新宋体" w:hAnsi="新宋体" w:eastAsia="新宋体" w:cs="新宋体"/>
          <w:color w:val="auto"/>
          <w:highlight w:val="none"/>
        </w:rPr>
        <w:t>（1）质疑供应商和被质疑的采购人或采购人委托的采购代理机构名称、地址、电话、邮编等；</w:t>
      </w:r>
    </w:p>
    <w:p>
      <w:pPr>
        <w:pStyle w:val="11"/>
        <w:spacing w:line="440" w:lineRule="exact"/>
        <w:ind w:firstLine="418"/>
        <w:jc w:val="left"/>
        <w:rPr>
          <w:rFonts w:ascii="新宋体" w:hAnsi="新宋体" w:eastAsia="新宋体" w:cs="新宋体"/>
          <w:color w:val="auto"/>
          <w:highlight w:val="none"/>
        </w:rPr>
      </w:pPr>
      <w:r>
        <w:rPr>
          <w:rFonts w:hint="eastAsia" w:ascii="新宋体" w:hAnsi="新宋体" w:eastAsia="新宋体" w:cs="新宋体"/>
          <w:color w:val="auto"/>
          <w:highlight w:val="none"/>
        </w:rPr>
        <w:t>（2）质疑项目的名称、编号；</w:t>
      </w:r>
    </w:p>
    <w:p>
      <w:pPr>
        <w:pStyle w:val="11"/>
        <w:spacing w:line="440" w:lineRule="exact"/>
        <w:ind w:firstLine="418"/>
        <w:jc w:val="left"/>
        <w:rPr>
          <w:rFonts w:ascii="新宋体" w:hAnsi="新宋体" w:eastAsia="新宋体" w:cs="新宋体"/>
          <w:color w:val="auto"/>
          <w:highlight w:val="none"/>
        </w:rPr>
      </w:pPr>
      <w:r>
        <w:rPr>
          <w:rFonts w:hint="eastAsia" w:ascii="新宋体" w:hAnsi="新宋体" w:eastAsia="新宋体" w:cs="新宋体"/>
          <w:color w:val="auto"/>
          <w:highlight w:val="none"/>
        </w:rPr>
        <w:t>（3）权益受到损害的事实和理由；</w:t>
      </w:r>
    </w:p>
    <w:p>
      <w:pPr>
        <w:pStyle w:val="11"/>
        <w:spacing w:line="440" w:lineRule="exact"/>
        <w:ind w:firstLine="418"/>
        <w:jc w:val="left"/>
        <w:rPr>
          <w:rFonts w:ascii="新宋体" w:hAnsi="新宋体" w:eastAsia="新宋体" w:cs="新宋体"/>
          <w:color w:val="auto"/>
          <w:highlight w:val="none"/>
        </w:rPr>
      </w:pPr>
      <w:r>
        <w:rPr>
          <w:rFonts w:hint="eastAsia" w:ascii="新宋体" w:hAnsi="新宋体" w:eastAsia="新宋体" w:cs="新宋体"/>
          <w:color w:val="auto"/>
          <w:highlight w:val="none"/>
        </w:rPr>
        <w:t>（4）相关证明材料；</w:t>
      </w:r>
    </w:p>
    <w:p>
      <w:pPr>
        <w:pStyle w:val="11"/>
        <w:spacing w:line="440" w:lineRule="exact"/>
        <w:ind w:firstLine="418"/>
        <w:jc w:val="left"/>
        <w:rPr>
          <w:rFonts w:ascii="新宋体" w:hAnsi="新宋体" w:eastAsia="新宋体" w:cs="新宋体"/>
          <w:color w:val="auto"/>
          <w:highlight w:val="none"/>
        </w:rPr>
      </w:pPr>
      <w:r>
        <w:rPr>
          <w:rFonts w:hint="eastAsia" w:ascii="新宋体" w:hAnsi="新宋体" w:eastAsia="新宋体" w:cs="新宋体"/>
          <w:color w:val="auto"/>
          <w:highlight w:val="none"/>
        </w:rPr>
        <w:t>（5）提起质疑的日期。</w:t>
      </w:r>
    </w:p>
    <w:p>
      <w:pPr>
        <w:pStyle w:val="11"/>
        <w:spacing w:line="440" w:lineRule="exact"/>
        <w:ind w:firstLine="418"/>
        <w:jc w:val="left"/>
        <w:rPr>
          <w:rFonts w:ascii="新宋体" w:hAnsi="新宋体" w:eastAsia="新宋体" w:cs="新宋体"/>
          <w:color w:val="auto"/>
          <w:highlight w:val="none"/>
        </w:rPr>
      </w:pPr>
      <w:r>
        <w:rPr>
          <w:rFonts w:hint="eastAsia" w:ascii="新宋体" w:hAnsi="新宋体" w:eastAsia="新宋体" w:cs="新宋体"/>
          <w:color w:val="auto"/>
          <w:highlight w:val="none"/>
        </w:rPr>
        <w:t>（6）附件材料：营业执照副本内页复印件（要求证件有效并清晰反映企业法人经营范围）；近期连续三个月依法缴纳税收和在职职工社会保障资金证明材料（复印件，原件备查）。</w:t>
      </w:r>
    </w:p>
    <w:p>
      <w:pPr>
        <w:pStyle w:val="11"/>
        <w:spacing w:line="440" w:lineRule="exact"/>
        <w:ind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质疑书应当署名。质疑供应商为法人或者其他组织的，应当由法定代表人或者主要负责人签字并加盖公章。</w:t>
      </w:r>
    </w:p>
    <w:p>
      <w:pPr>
        <w:pStyle w:val="11"/>
        <w:spacing w:line="440" w:lineRule="exact"/>
        <w:ind w:firstLine="418"/>
        <w:rPr>
          <w:rFonts w:ascii="新宋体" w:hAnsi="新宋体" w:eastAsia="新宋体" w:cs="新宋体"/>
          <w:bCs/>
          <w:color w:val="auto"/>
          <w:highlight w:val="none"/>
        </w:rPr>
      </w:pPr>
      <w:r>
        <w:rPr>
          <w:rFonts w:hint="eastAsia" w:ascii="新宋体" w:hAnsi="新宋体" w:eastAsia="新宋体" w:cs="新宋体"/>
          <w:bCs/>
          <w:color w:val="auto"/>
          <w:highlight w:val="none"/>
        </w:rPr>
        <w:t>4.4  质疑供应商可以委托代理人办理质疑事务。代理人办理质疑事务时，除提交质疑书外，还应当提交质疑供应商的授权委托书，授权委托书应当载明委托代理的具体权限和事项。</w:t>
      </w:r>
    </w:p>
    <w:p>
      <w:pPr>
        <w:pStyle w:val="11"/>
        <w:spacing w:line="440" w:lineRule="exact"/>
        <w:ind w:firstLine="418"/>
        <w:rPr>
          <w:rFonts w:ascii="新宋体" w:hAnsi="新宋体" w:eastAsia="新宋体" w:cs="新宋体"/>
          <w:bCs/>
          <w:color w:val="auto"/>
          <w:highlight w:val="none"/>
        </w:rPr>
      </w:pPr>
      <w:r>
        <w:rPr>
          <w:rFonts w:hint="eastAsia" w:ascii="新宋体" w:hAnsi="新宋体" w:eastAsia="新宋体" w:cs="新宋体"/>
          <w:bCs/>
          <w:color w:val="auto"/>
          <w:highlight w:val="none"/>
        </w:rPr>
        <w:t>4.5  质疑供应商提起质疑应当符合下列条件：</w:t>
      </w:r>
    </w:p>
    <w:p>
      <w:pPr>
        <w:spacing w:line="440" w:lineRule="exact"/>
        <w:ind w:firstLine="418"/>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（1）质疑供应商是参与所质疑政府采购活动的供应商；</w:t>
      </w:r>
    </w:p>
    <w:p>
      <w:pPr>
        <w:spacing w:line="440" w:lineRule="exact"/>
        <w:ind w:firstLine="418"/>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（2）质疑书内容符合本章第4.3项的规定；</w:t>
      </w:r>
    </w:p>
    <w:p>
      <w:pPr>
        <w:spacing w:line="440" w:lineRule="exact"/>
        <w:ind w:firstLine="418"/>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（3）在质疑有效期限内提起质疑；</w:t>
      </w:r>
    </w:p>
    <w:p>
      <w:pPr>
        <w:spacing w:line="440" w:lineRule="exact"/>
        <w:ind w:firstLine="418"/>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（4）属于所质疑的采购人或采购人委托的采购代理机构组织的采购活动；</w:t>
      </w:r>
    </w:p>
    <w:p>
      <w:pPr>
        <w:spacing w:line="440" w:lineRule="exact"/>
        <w:ind w:firstLine="418"/>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（5）同一质疑事项未经采购人或采购人委托的采购代理机构质疑处理；</w:t>
      </w:r>
    </w:p>
    <w:p>
      <w:pPr>
        <w:spacing w:line="440" w:lineRule="exact"/>
        <w:ind w:firstLine="418"/>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（6）财政部门规定的其他条件。</w:t>
      </w:r>
    </w:p>
    <w:p>
      <w:pPr>
        <w:spacing w:line="440" w:lineRule="exact"/>
        <w:ind w:firstLine="418"/>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4.6  采购人或采购人委托的采购代理机构自受理质疑之日起七个工作日内，对质疑事项作出答复，并以书面形式通知质疑供应商及其他有关供应商。</w:t>
      </w:r>
    </w:p>
    <w:p>
      <w:pPr>
        <w:pStyle w:val="11"/>
        <w:spacing w:line="440" w:lineRule="exact"/>
        <w:ind w:left="213" w:hanging="213" w:hangingChars="101"/>
        <w:jc w:val="left"/>
        <w:rPr>
          <w:rFonts w:ascii="新宋体" w:hAnsi="新宋体" w:eastAsia="新宋体" w:cs="新宋体"/>
          <w:b/>
          <w:color w:val="auto"/>
          <w:highlight w:val="none"/>
        </w:rPr>
      </w:pPr>
      <w:r>
        <w:rPr>
          <w:rFonts w:hint="eastAsia" w:ascii="新宋体" w:hAnsi="新宋体" w:eastAsia="新宋体" w:cs="新宋体"/>
          <w:b/>
          <w:color w:val="auto"/>
          <w:highlight w:val="none"/>
        </w:rPr>
        <w:t>5.  投诉</w:t>
      </w:r>
    </w:p>
    <w:p>
      <w:pPr>
        <w:pStyle w:val="11"/>
        <w:spacing w:line="440" w:lineRule="exact"/>
        <w:ind w:firstLine="420" w:firstLineChars="200"/>
        <w:jc w:val="left"/>
        <w:rPr>
          <w:rFonts w:ascii="新宋体" w:hAnsi="新宋体" w:eastAsia="新宋体" w:cs="新宋体"/>
          <w:bCs/>
          <w:color w:val="auto"/>
          <w:highlight w:val="none"/>
        </w:rPr>
      </w:pPr>
      <w:r>
        <w:rPr>
          <w:rFonts w:hint="eastAsia" w:ascii="新宋体" w:hAnsi="新宋体" w:eastAsia="新宋体" w:cs="新宋体"/>
          <w:bCs/>
          <w:color w:val="auto"/>
          <w:highlight w:val="none"/>
        </w:rPr>
        <w:t>5.1  供应商认为采购文件、采购过程、成交结果使自己的合法权益受到损害的，应当首先依法向采购人或采购人委托的</w:t>
      </w:r>
      <w:r>
        <w:rPr>
          <w:rFonts w:hint="eastAsia" w:ascii="新宋体" w:hAnsi="新宋体" w:eastAsia="新宋体" w:cs="新宋体"/>
          <w:color w:val="auto"/>
          <w:highlight w:val="none"/>
        </w:rPr>
        <w:t>采购代理机构</w:t>
      </w:r>
      <w:r>
        <w:rPr>
          <w:rFonts w:hint="eastAsia" w:ascii="新宋体" w:hAnsi="新宋体" w:eastAsia="新宋体" w:cs="新宋体"/>
          <w:bCs/>
          <w:color w:val="auto"/>
          <w:highlight w:val="none"/>
        </w:rPr>
        <w:t>提出质疑。对采购人、</w:t>
      </w:r>
      <w:r>
        <w:rPr>
          <w:rFonts w:hint="eastAsia" w:ascii="新宋体" w:hAnsi="新宋体" w:eastAsia="新宋体" w:cs="新宋体"/>
          <w:color w:val="auto"/>
          <w:highlight w:val="none"/>
        </w:rPr>
        <w:t>采购代理机构</w:t>
      </w:r>
      <w:r>
        <w:rPr>
          <w:rFonts w:hint="eastAsia" w:ascii="新宋体" w:hAnsi="新宋体" w:eastAsia="新宋体" w:cs="新宋体"/>
          <w:bCs/>
          <w:color w:val="auto"/>
          <w:highlight w:val="none"/>
        </w:rPr>
        <w:t>的答复不满意，或者采购人、</w:t>
      </w:r>
      <w:r>
        <w:rPr>
          <w:rFonts w:hint="eastAsia" w:ascii="新宋体" w:hAnsi="新宋体" w:eastAsia="新宋体" w:cs="新宋体"/>
          <w:color w:val="auto"/>
          <w:highlight w:val="none"/>
        </w:rPr>
        <w:t>采购代理机构</w:t>
      </w:r>
      <w:r>
        <w:rPr>
          <w:rFonts w:hint="eastAsia" w:ascii="新宋体" w:hAnsi="新宋体" w:eastAsia="新宋体" w:cs="新宋体"/>
          <w:bCs/>
          <w:color w:val="auto"/>
          <w:highlight w:val="none"/>
        </w:rPr>
        <w:t>未在规定期限内做出答复的，供应商可以在答复期满后十五个工作日内向采购人的监督管理部门提起投诉。</w:t>
      </w:r>
    </w:p>
    <w:p>
      <w:pPr>
        <w:pStyle w:val="11"/>
        <w:spacing w:line="440" w:lineRule="exact"/>
        <w:ind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5.2  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11"/>
        <w:spacing w:line="440" w:lineRule="exact"/>
        <w:ind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 xml:space="preserve">（1）投诉人和被投诉人的名称、地址、电话等； </w:t>
      </w:r>
    </w:p>
    <w:p>
      <w:pPr>
        <w:pStyle w:val="11"/>
        <w:spacing w:line="440" w:lineRule="exact"/>
        <w:ind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（2）具体的投诉事项及事实依据；</w:t>
      </w:r>
    </w:p>
    <w:p>
      <w:pPr>
        <w:pStyle w:val="11"/>
        <w:spacing w:line="440" w:lineRule="exact"/>
        <w:ind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 xml:space="preserve">（3）质疑和质疑答复情况及相关证明材料； </w:t>
      </w:r>
    </w:p>
    <w:p>
      <w:pPr>
        <w:pStyle w:val="11"/>
        <w:tabs>
          <w:tab w:val="right" w:pos="9638"/>
        </w:tabs>
        <w:spacing w:line="440" w:lineRule="exact"/>
        <w:ind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（4）提起投诉的日期。</w:t>
      </w:r>
    </w:p>
    <w:p>
      <w:pPr>
        <w:pStyle w:val="11"/>
        <w:tabs>
          <w:tab w:val="right" w:pos="9638"/>
        </w:tabs>
        <w:spacing w:line="440" w:lineRule="exact"/>
        <w:ind w:left="2" w:right="-283" w:rightChars="-135" w:firstLine="417" w:firstLineChars="199"/>
        <w:jc w:val="left"/>
        <w:rPr>
          <w:rFonts w:ascii="新宋体" w:hAnsi="新宋体" w:eastAsia="新宋体" w:cs="新宋体"/>
          <w:color w:val="auto"/>
          <w:highlight w:val="none"/>
        </w:rPr>
      </w:pPr>
      <w:r>
        <w:rPr>
          <w:rFonts w:hint="eastAsia" w:ascii="新宋体" w:hAnsi="新宋体" w:eastAsia="新宋体" w:cs="新宋体"/>
          <w:color w:val="auto"/>
          <w:highlight w:val="none"/>
        </w:rPr>
        <w:t>（5）附件材料：营业执照副本内页复印件（要求证件有效清晰和企业年度报告公示材料；近期三个月依法缴纳税收和在职职工社会保障资金证明材料（复印件，原件备查）。</w:t>
      </w:r>
    </w:p>
    <w:p>
      <w:pPr>
        <w:pStyle w:val="11"/>
        <w:tabs>
          <w:tab w:val="right" w:pos="9638"/>
        </w:tabs>
        <w:spacing w:line="440" w:lineRule="exact"/>
        <w:jc w:val="left"/>
        <w:rPr>
          <w:rFonts w:ascii="新宋体" w:hAnsi="新宋体" w:eastAsia="新宋体" w:cs="新宋体"/>
          <w:color w:val="auto"/>
          <w:highlight w:val="none"/>
        </w:rPr>
      </w:pPr>
      <w:r>
        <w:rPr>
          <w:rFonts w:hint="eastAsia" w:ascii="新宋体" w:hAnsi="新宋体" w:eastAsia="新宋体" w:cs="新宋体"/>
          <w:color w:val="auto"/>
          <w:highlight w:val="none"/>
        </w:rPr>
        <w:t>投诉书应当署名。投诉人为法人或者其他组织的，应当由法定代表人或者主要负责人签字盖章并加盖公章。</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5.3  投诉人可以委托代理人办理投诉事务。代理人办理投诉事务时，除提交投诉书外，还应当提交投诉人的授权委托书，授权委托书应当载明委托代理的具体权限和事项。</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5.4  投诉人提起投诉应当符合下列条件：</w:t>
      </w:r>
    </w:p>
    <w:p>
      <w:pPr>
        <w:spacing w:line="440" w:lineRule="exac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（1）投诉人是参与所投诉政府采购活动的供应商；</w:t>
      </w:r>
    </w:p>
    <w:p>
      <w:pPr>
        <w:spacing w:line="440" w:lineRule="exac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（2）提起投诉前已依法进行质疑；</w:t>
      </w:r>
    </w:p>
    <w:p>
      <w:pPr>
        <w:spacing w:line="440" w:lineRule="exac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（3）投诉书内容符合本章第5.2项的规定；</w:t>
      </w:r>
    </w:p>
    <w:p>
      <w:pPr>
        <w:spacing w:line="440" w:lineRule="exac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（4）在投诉有效期限内提起投诉；</w:t>
      </w:r>
    </w:p>
    <w:p>
      <w:pPr>
        <w:spacing w:line="440" w:lineRule="exac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（5）同一投诉事项未经</w:t>
      </w:r>
      <w:r>
        <w:rPr>
          <w:rFonts w:hint="eastAsia" w:ascii="新宋体" w:hAnsi="新宋体" w:eastAsia="新宋体" w:cs="新宋体"/>
          <w:bCs/>
          <w:color w:val="auto"/>
          <w:szCs w:val="21"/>
          <w:highlight w:val="none"/>
        </w:rPr>
        <w:t>政府采购监督管理部门</w:t>
      </w:r>
      <w:r>
        <w:rPr>
          <w:rFonts w:hint="eastAsia" w:ascii="新宋体" w:hAnsi="新宋体" w:eastAsia="新宋体" w:cs="新宋体"/>
          <w:color w:val="auto"/>
          <w:szCs w:val="21"/>
          <w:highlight w:val="none"/>
        </w:rPr>
        <w:t>投诉处理；</w:t>
      </w:r>
    </w:p>
    <w:p>
      <w:pPr>
        <w:spacing w:line="440" w:lineRule="exac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（6）国务院财政部门规定的其他条件。</w:t>
      </w:r>
    </w:p>
    <w:p>
      <w:pPr>
        <w:spacing w:line="440" w:lineRule="exac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5.5  政府采购监督管理部门自受理投诉之日起三十个工作日内，对投诉事项作出处理决定，并以书面形式通知投诉人、被投诉人及其他与投诉处理结果有利害关系的政府采购当事人。</w:t>
      </w:r>
    </w:p>
    <w:p>
      <w:pPr>
        <w:spacing w:line="440" w:lineRule="exac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5.6  政府采购监督管理部门在处理投诉事项期间，可以视具体情况暂停采购活动。</w:t>
      </w:r>
    </w:p>
    <w:p>
      <w:pPr>
        <w:pStyle w:val="13"/>
        <w:rPr>
          <w:color w:val="auto"/>
          <w:highlight w:val="none"/>
        </w:rPr>
      </w:pPr>
    </w:p>
    <w:p>
      <w:pPr>
        <w:pStyle w:val="17"/>
        <w:outlineLvl w:val="1"/>
        <w:rPr>
          <w:rFonts w:hint="eastAsia"/>
          <w:color w:val="auto"/>
          <w:highlight w:val="none"/>
        </w:rPr>
      </w:pPr>
      <w:bookmarkStart w:id="48" w:name="_Toc21722"/>
      <w:r>
        <w:rPr>
          <w:rFonts w:hint="eastAsia"/>
          <w:color w:val="auto"/>
          <w:highlight w:val="none"/>
        </w:rPr>
        <w:t>二</w:t>
      </w:r>
      <w:r>
        <w:rPr>
          <w:rFonts w:hint="eastAsia"/>
          <w:color w:val="auto"/>
          <w:highlight w:val="none"/>
          <w:lang w:val="en-US" w:eastAsia="zh-CN"/>
        </w:rPr>
        <w:t xml:space="preserve">  </w:t>
      </w:r>
      <w:r>
        <w:rPr>
          <w:rFonts w:hint="eastAsia"/>
          <w:color w:val="auto"/>
          <w:highlight w:val="none"/>
        </w:rPr>
        <w:t>竞争性磋商采购文件</w:t>
      </w:r>
      <w:bookmarkEnd w:id="48"/>
    </w:p>
    <w:p>
      <w:pPr>
        <w:pStyle w:val="11"/>
        <w:spacing w:line="440" w:lineRule="exact"/>
        <w:rPr>
          <w:rFonts w:ascii="新宋体" w:hAnsi="新宋体" w:eastAsia="新宋体" w:cs="新宋体"/>
          <w:b/>
          <w:color w:val="auto"/>
          <w:highlight w:val="none"/>
        </w:rPr>
      </w:pPr>
      <w:r>
        <w:rPr>
          <w:rFonts w:hint="eastAsia" w:ascii="新宋体" w:hAnsi="新宋体" w:eastAsia="新宋体" w:cs="新宋体"/>
          <w:b/>
          <w:color w:val="auto"/>
          <w:highlight w:val="none"/>
        </w:rPr>
        <w:t>6.  竞争性磋商采购文件的组成</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6.1  本</w:t>
      </w:r>
      <w:r>
        <w:rPr>
          <w:rFonts w:hint="eastAsia" w:ascii="新宋体" w:hAnsi="新宋体" w:eastAsia="新宋体" w:cs="新宋体"/>
          <w:bCs/>
          <w:color w:val="auto"/>
          <w:highlight w:val="none"/>
        </w:rPr>
        <w:t>竞争性磋商采购文件</w:t>
      </w:r>
      <w:r>
        <w:rPr>
          <w:rFonts w:hint="eastAsia" w:ascii="新宋体" w:hAnsi="新宋体" w:eastAsia="新宋体" w:cs="新宋体"/>
          <w:color w:val="auto"/>
          <w:highlight w:val="none"/>
        </w:rPr>
        <w:t>包括六个章节，各章的内容如下：</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第一章  竞争性磋商公告</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第二章  服务需求一览表</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第三章  评审方法</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第四章  磋商供应商须知前附表</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第五章  响应文件格式</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第六章  合同条款及格式</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6.2  根据本章第7.1项的规定对竞争性磋商文件所做的澄清、修改，构成竞争性磋商文件的组成部分。当竞争性磋商文件与澄清和修改的同一内容的表述不一致时，以最后发出的书面文件为准。</w:t>
      </w:r>
    </w:p>
    <w:p>
      <w:pPr>
        <w:pStyle w:val="11"/>
        <w:spacing w:line="440" w:lineRule="exact"/>
        <w:rPr>
          <w:rFonts w:ascii="新宋体" w:hAnsi="新宋体" w:eastAsia="新宋体" w:cs="新宋体"/>
          <w:b/>
          <w:color w:val="auto"/>
          <w:highlight w:val="none"/>
        </w:rPr>
      </w:pPr>
      <w:r>
        <w:rPr>
          <w:rFonts w:hint="eastAsia" w:ascii="新宋体" w:hAnsi="新宋体" w:eastAsia="新宋体" w:cs="新宋体"/>
          <w:b/>
          <w:color w:val="auto"/>
          <w:highlight w:val="none"/>
        </w:rPr>
        <w:t>7.  竞争性磋商采购文件的澄清和修改</w:t>
      </w:r>
    </w:p>
    <w:p>
      <w:pPr>
        <w:pStyle w:val="11"/>
        <w:spacing w:line="440" w:lineRule="exact"/>
        <w:ind w:left="2" w:leftChars="1" w:firstLine="420" w:firstLineChars="200"/>
        <w:rPr>
          <w:rFonts w:ascii="新宋体" w:hAnsi="新宋体" w:eastAsia="新宋体" w:cs="新宋体"/>
          <w:b/>
          <w:color w:val="auto"/>
          <w:highlight w:val="none"/>
        </w:rPr>
      </w:pPr>
      <w:r>
        <w:rPr>
          <w:rFonts w:hint="eastAsia" w:ascii="新宋体" w:hAnsi="新宋体" w:eastAsia="新宋体" w:cs="新宋体"/>
          <w:color w:val="auto"/>
          <w:highlight w:val="none"/>
        </w:rPr>
        <w:t>7.1　提交首次响应文件截止之日前，采购人、采购代理机构或者磋商小组可以对已发出的磋商文件进行必要的澄清或者修改。澄清或者修改的内容可能影响响应文件编制的，采购人、采购代理机构应当在提交首次响应文件截止时间至少5日前；不足5日的，采购人、采购代理机构应当顺延提交首次响应文件截止时间。同时，采购代理机构在本章第2.1项规定的政府采购信息发布媒体上发布更正公告，</w:t>
      </w:r>
      <w:r>
        <w:rPr>
          <w:rFonts w:hint="eastAsia" w:ascii="新宋体" w:hAnsi="新宋体" w:eastAsia="新宋体" w:cs="新宋体"/>
          <w:b/>
          <w:color w:val="auto"/>
          <w:highlight w:val="none"/>
        </w:rPr>
        <w:t>请磋商供应商随时关注网站动态，代理机构将不再另行电话通知。</w:t>
      </w:r>
    </w:p>
    <w:p>
      <w:pPr>
        <w:pStyle w:val="11"/>
        <w:spacing w:line="440" w:lineRule="exact"/>
        <w:ind w:left="2" w:leftChars="1" w:firstLine="420" w:firstLineChars="200"/>
        <w:rPr>
          <w:rFonts w:ascii="新宋体" w:hAnsi="新宋体" w:eastAsia="新宋体" w:cs="新宋体"/>
          <w:b/>
          <w:color w:val="auto"/>
          <w:highlight w:val="none"/>
        </w:rPr>
      </w:pPr>
      <w:r>
        <w:rPr>
          <w:rFonts w:hint="eastAsia" w:ascii="新宋体" w:hAnsi="新宋体" w:eastAsia="新宋体" w:cs="新宋体"/>
          <w:color w:val="auto"/>
          <w:highlight w:val="none"/>
        </w:rPr>
        <w:t>7.2  采购人和采购代理机构可以视采购具体情况，延长提交响应文件截止时间，但应当在提交响应文件截止时间3日前。</w:t>
      </w:r>
      <w:r>
        <w:rPr>
          <w:rFonts w:hint="eastAsia" w:ascii="新宋体" w:hAnsi="新宋体" w:eastAsia="新宋体" w:cs="新宋体"/>
          <w:color w:val="auto"/>
          <w:kern w:val="0"/>
          <w:highlight w:val="none"/>
        </w:rPr>
        <w:t>同时，采购代理机构</w:t>
      </w:r>
      <w:r>
        <w:rPr>
          <w:rFonts w:hint="eastAsia" w:ascii="新宋体" w:hAnsi="新宋体" w:eastAsia="新宋体" w:cs="新宋体"/>
          <w:color w:val="auto"/>
          <w:highlight w:val="none"/>
        </w:rPr>
        <w:t>在</w:t>
      </w:r>
      <w:r>
        <w:rPr>
          <w:rFonts w:hint="eastAsia" w:ascii="新宋体" w:hAnsi="新宋体" w:eastAsia="新宋体" w:cs="新宋体"/>
          <w:color w:val="auto"/>
          <w:kern w:val="0"/>
          <w:highlight w:val="none"/>
        </w:rPr>
        <w:t>本章第2.1项规定的政府采购信息发布媒体上</w:t>
      </w:r>
      <w:r>
        <w:rPr>
          <w:rFonts w:hint="eastAsia" w:ascii="新宋体" w:hAnsi="新宋体" w:eastAsia="新宋体" w:cs="新宋体"/>
          <w:color w:val="auto"/>
          <w:highlight w:val="none"/>
        </w:rPr>
        <w:t>发布变更公告。</w:t>
      </w:r>
      <w:r>
        <w:rPr>
          <w:rFonts w:hint="eastAsia" w:ascii="新宋体" w:hAnsi="新宋体" w:eastAsia="新宋体" w:cs="新宋体"/>
          <w:b/>
          <w:color w:val="auto"/>
          <w:highlight w:val="none"/>
        </w:rPr>
        <w:t>请磋商供应商随时关注网站动态，代理机构将不再另行电话通知。</w:t>
      </w:r>
    </w:p>
    <w:p>
      <w:pPr>
        <w:pStyle w:val="11"/>
        <w:spacing w:line="440" w:lineRule="exact"/>
        <w:ind w:left="2" w:leftChars="1" w:firstLine="422" w:firstLineChars="200"/>
        <w:rPr>
          <w:rFonts w:ascii="新宋体" w:hAnsi="新宋体" w:eastAsia="新宋体" w:cs="新宋体"/>
          <w:b/>
          <w:color w:val="auto"/>
          <w:highlight w:val="none"/>
        </w:rPr>
      </w:pPr>
    </w:p>
    <w:p>
      <w:pPr>
        <w:pStyle w:val="11"/>
        <w:spacing w:line="440" w:lineRule="exact"/>
        <w:ind w:left="2" w:leftChars="1" w:firstLine="422" w:firstLineChars="200"/>
        <w:rPr>
          <w:rFonts w:ascii="新宋体" w:hAnsi="新宋体" w:eastAsia="新宋体" w:cs="新宋体"/>
          <w:b/>
          <w:color w:val="auto"/>
          <w:highlight w:val="none"/>
        </w:rPr>
      </w:pPr>
    </w:p>
    <w:p>
      <w:pPr>
        <w:pStyle w:val="17"/>
        <w:outlineLvl w:val="1"/>
        <w:rPr>
          <w:rFonts w:hint="eastAsia"/>
          <w:color w:val="auto"/>
          <w:highlight w:val="none"/>
        </w:rPr>
      </w:pPr>
      <w:bookmarkStart w:id="49" w:name="_Toc29644"/>
      <w:r>
        <w:rPr>
          <w:rFonts w:hint="eastAsia"/>
          <w:color w:val="auto"/>
          <w:highlight w:val="none"/>
        </w:rPr>
        <w:t>三</w:t>
      </w:r>
      <w:r>
        <w:rPr>
          <w:rFonts w:hint="eastAsia"/>
          <w:color w:val="auto"/>
          <w:highlight w:val="none"/>
          <w:lang w:val="en-US" w:eastAsia="zh-CN"/>
        </w:rPr>
        <w:t xml:space="preserve">  </w:t>
      </w:r>
      <w:r>
        <w:rPr>
          <w:rFonts w:hint="eastAsia"/>
          <w:color w:val="auto"/>
          <w:highlight w:val="none"/>
        </w:rPr>
        <w:t>响应文件</w:t>
      </w:r>
      <w:bookmarkEnd w:id="49"/>
    </w:p>
    <w:p>
      <w:pPr>
        <w:pStyle w:val="11"/>
        <w:spacing w:line="440" w:lineRule="exact"/>
        <w:rPr>
          <w:rFonts w:ascii="新宋体" w:hAnsi="新宋体" w:eastAsia="新宋体" w:cs="新宋体"/>
          <w:b/>
          <w:color w:val="auto"/>
          <w:highlight w:val="none"/>
        </w:rPr>
      </w:pPr>
      <w:r>
        <w:rPr>
          <w:rFonts w:hint="eastAsia" w:ascii="新宋体" w:hAnsi="新宋体" w:eastAsia="新宋体" w:cs="新宋体"/>
          <w:b/>
          <w:color w:val="auto"/>
          <w:highlight w:val="none"/>
        </w:rPr>
        <w:t>8.  响应文件的编制</w:t>
      </w:r>
    </w:p>
    <w:p>
      <w:pPr>
        <w:pStyle w:val="11"/>
        <w:spacing w:line="440" w:lineRule="exact"/>
        <w:ind w:left="2" w:leftChars="1"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8.1 磋商供应商应仔细阅读竞争性磋商文件，在充分了解采购的内容、技术参数要求和商务条款以及实质性要求和条件后，编写响应文件。</w:t>
      </w:r>
    </w:p>
    <w:p>
      <w:pPr>
        <w:pStyle w:val="11"/>
        <w:spacing w:line="440" w:lineRule="exact"/>
        <w:ind w:left="2" w:leftChars="1"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8.2  对竞争性磋商文件的实质性要求和条件作出响应是指磋商供应商必须对竞争性磋商文件</w:t>
      </w:r>
      <w:r>
        <w:rPr>
          <w:rFonts w:hint="eastAsia" w:ascii="新宋体" w:hAnsi="新宋体" w:eastAsia="新宋体" w:cs="新宋体"/>
          <w:color w:val="auto"/>
          <w:highlight w:val="none"/>
          <w:lang w:eastAsia="zh-CN"/>
        </w:rPr>
        <w:t>标</w:t>
      </w:r>
      <w:r>
        <w:rPr>
          <w:rFonts w:hint="eastAsia" w:ascii="新宋体" w:hAnsi="新宋体" w:eastAsia="新宋体" w:cs="新宋体"/>
          <w:color w:val="auto"/>
          <w:highlight w:val="none"/>
        </w:rPr>
        <w:t>注为实质性要求和条件的技术参数要求、商务条款及其它内容</w:t>
      </w:r>
      <w:r>
        <w:rPr>
          <w:rFonts w:hint="eastAsia" w:ascii="新宋体" w:hAnsi="新宋体" w:eastAsia="新宋体" w:cs="新宋体"/>
          <w:b/>
          <w:color w:val="auto"/>
          <w:highlight w:val="none"/>
        </w:rPr>
        <w:t>作出满足或者优于原要求和条件的承诺</w:t>
      </w:r>
      <w:r>
        <w:rPr>
          <w:rFonts w:hint="eastAsia" w:ascii="新宋体" w:hAnsi="新宋体" w:eastAsia="新宋体" w:cs="新宋体"/>
          <w:color w:val="auto"/>
          <w:highlight w:val="none"/>
        </w:rPr>
        <w:t>。</w:t>
      </w:r>
    </w:p>
    <w:p>
      <w:pPr>
        <w:pStyle w:val="11"/>
        <w:spacing w:line="440" w:lineRule="exact"/>
        <w:ind w:left="2" w:leftChars="1"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8.3  竞争性磋商文件</w:t>
      </w:r>
      <w:r>
        <w:rPr>
          <w:rFonts w:hint="eastAsia" w:ascii="新宋体" w:hAnsi="新宋体" w:eastAsia="新宋体" w:cs="新宋体"/>
          <w:color w:val="auto"/>
          <w:highlight w:val="none"/>
          <w:lang w:eastAsia="zh-CN"/>
        </w:rPr>
        <w:t>标</w:t>
      </w:r>
      <w:r>
        <w:rPr>
          <w:rFonts w:hint="eastAsia" w:ascii="新宋体" w:hAnsi="新宋体" w:eastAsia="新宋体" w:cs="新宋体"/>
          <w:color w:val="auto"/>
          <w:highlight w:val="none"/>
        </w:rPr>
        <w:t>注★号和▲号的内容为实质性要求和条件。</w:t>
      </w:r>
    </w:p>
    <w:p>
      <w:pPr>
        <w:pStyle w:val="11"/>
        <w:spacing w:line="440" w:lineRule="exact"/>
        <w:ind w:left="2" w:leftChars="1"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8.4  响应文件应用不褪色的材料书写或打印，保证其清楚、工整，相关材料的复印件应清晰可辨认。响应文件字迹潦草、表达不清、模糊无法辨认而导致非唯一理解是磋商供应商的风险，很可能导致该响应无效。</w:t>
      </w:r>
    </w:p>
    <w:p>
      <w:pPr>
        <w:pStyle w:val="11"/>
        <w:spacing w:line="440" w:lineRule="exact"/>
        <w:ind w:left="2" w:leftChars="1"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8.5  第五章“响应文件格式”中规定了响应文件格式的，应按相应格式要求编写。</w:t>
      </w:r>
    </w:p>
    <w:p>
      <w:pPr>
        <w:pStyle w:val="11"/>
        <w:spacing w:line="440" w:lineRule="exact"/>
        <w:ind w:left="2" w:leftChars="1"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8.6  响应文件应由磋商供应商的法定代表人或其委托代理人在凡规定签章处逐一签字或盖章并加盖单位公章。响应文件应尽量避免涂改、行间插字或删除。如果出现上述情况，改动之处应加盖单位公章或由磋商供应商的法定代表人或其委托代理人签字或盖章确认。</w:t>
      </w:r>
    </w:p>
    <w:p>
      <w:pPr>
        <w:pStyle w:val="11"/>
        <w:spacing w:line="440" w:lineRule="exact"/>
        <w:ind w:left="2" w:leftChars="1"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8.7  响应文件应编制目录，且页码清晰准确。</w:t>
      </w:r>
    </w:p>
    <w:p>
      <w:pPr>
        <w:pStyle w:val="11"/>
        <w:spacing w:line="440" w:lineRule="exact"/>
        <w:ind w:left="2" w:leftChars="1"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8.8  响应文件的正本和副本应分别装订成册，封面上应清楚地标记“正本”或“副本”字样，并标明项目名称、项目编号、磋商供应商名称等内容。副本可以采用正本的复印件，当副本和正本不一致时，以正本为准。</w:t>
      </w:r>
      <w:r>
        <w:rPr>
          <w:rFonts w:hint="eastAsia" w:ascii="新宋体" w:hAnsi="新宋体" w:eastAsia="新宋体" w:cs="新宋体"/>
          <w:b/>
          <w:bCs/>
          <w:color w:val="auto"/>
        </w:rPr>
        <w:t>磋商供应商应准备磋商响应文件正本一份，副本份数见磋商供应商须知前附表。</w:t>
      </w:r>
    </w:p>
    <w:p>
      <w:pPr>
        <w:pStyle w:val="11"/>
        <w:spacing w:line="440" w:lineRule="exact"/>
        <w:rPr>
          <w:rFonts w:ascii="新宋体" w:hAnsi="新宋体" w:eastAsia="新宋体" w:cs="新宋体"/>
          <w:b/>
          <w:color w:val="auto"/>
          <w:highlight w:val="none"/>
        </w:rPr>
      </w:pPr>
      <w:r>
        <w:rPr>
          <w:rFonts w:hint="eastAsia" w:ascii="新宋体" w:hAnsi="新宋体" w:eastAsia="新宋体" w:cs="新宋体"/>
          <w:b/>
          <w:color w:val="auto"/>
          <w:highlight w:val="none"/>
        </w:rPr>
        <w:t>9.  响应文件语言文字及计量单位</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9.1  磋商供应商的响应文件以及磋商供应商与采购人、采购代理机构就有关磋商的所有往来函电统一使用中文（特别规定除外）。磋商供应商随响应文件或往来函电所提交的相关证明材料等可以使用其他语言，但必须同时提供由专业翻译机构出具的或经公证的中文译文，否则视同未提供该项证明材料。</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9.2  对不同文字文本响应文件的解释发生异议的，以中文文本为准。</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9.3  响应文件使用的计量单位除竞争性磋商文件中有特殊规定外，一律使用中华人民共和国法定计量单位。</w:t>
      </w:r>
    </w:p>
    <w:p>
      <w:pPr>
        <w:pStyle w:val="11"/>
        <w:spacing w:line="440" w:lineRule="exact"/>
        <w:rPr>
          <w:rFonts w:ascii="新宋体" w:hAnsi="新宋体" w:eastAsia="新宋体" w:cs="新宋体"/>
          <w:b/>
          <w:color w:val="auto"/>
          <w:highlight w:val="none"/>
        </w:rPr>
      </w:pPr>
      <w:r>
        <w:rPr>
          <w:rFonts w:hint="eastAsia" w:ascii="新宋体" w:hAnsi="新宋体" w:eastAsia="新宋体" w:cs="新宋体"/>
          <w:b/>
          <w:color w:val="auto"/>
          <w:highlight w:val="none"/>
        </w:rPr>
        <w:t>10.  响应文件的组成</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10.1  磋商供应商需编制的响应文件包括</w:t>
      </w:r>
      <w:r>
        <w:rPr>
          <w:rFonts w:hint="eastAsia" w:ascii="新宋体" w:hAnsi="新宋体" w:eastAsia="新宋体" w:cs="新宋体"/>
          <w:color w:val="auto"/>
          <w:highlight w:val="none"/>
          <w:lang w:val="en-US" w:eastAsia="zh-CN"/>
        </w:rPr>
        <w:t>资格证明文件、</w:t>
      </w:r>
      <w:r>
        <w:rPr>
          <w:rFonts w:hint="eastAsia" w:ascii="新宋体" w:hAnsi="新宋体" w:eastAsia="新宋体" w:cs="新宋体"/>
          <w:color w:val="auto"/>
          <w:highlight w:val="none"/>
        </w:rPr>
        <w:t>首次报价文件、技术文件和商务文件</w:t>
      </w:r>
      <w:r>
        <w:rPr>
          <w:rFonts w:hint="eastAsia" w:ascii="新宋体" w:hAnsi="新宋体" w:eastAsia="新宋体" w:cs="新宋体"/>
          <w:color w:val="auto"/>
          <w:highlight w:val="none"/>
          <w:lang w:val="en-US" w:eastAsia="zh-CN"/>
        </w:rPr>
        <w:t>四</w:t>
      </w:r>
      <w:r>
        <w:rPr>
          <w:rFonts w:hint="eastAsia" w:ascii="新宋体" w:hAnsi="新宋体" w:eastAsia="新宋体" w:cs="新宋体"/>
          <w:color w:val="auto"/>
          <w:highlight w:val="none"/>
        </w:rPr>
        <w:t>部分，磋商供应商应按下列说明编写和提交。应提交的有关文件如未特别注明为原件的，可提交复印件。</w:t>
      </w:r>
    </w:p>
    <w:p>
      <w:pPr>
        <w:pStyle w:val="11"/>
        <w:spacing w:line="440" w:lineRule="exact"/>
        <w:ind w:firstLine="422" w:firstLineChars="200"/>
        <w:rPr>
          <w:rFonts w:hint="eastAsia" w:ascii="新宋体" w:hAnsi="新宋体" w:eastAsia="新宋体" w:cs="新宋体"/>
          <w:b/>
          <w:bCs/>
          <w:color w:val="auto"/>
          <w:highlight w:val="none"/>
          <w:lang w:val="en-US" w:eastAsia="zh-CN"/>
        </w:rPr>
      </w:pPr>
      <w:r>
        <w:rPr>
          <w:rFonts w:hint="eastAsia" w:ascii="新宋体" w:hAnsi="新宋体" w:eastAsia="新宋体" w:cs="新宋体"/>
          <w:b/>
          <w:bCs/>
          <w:color w:val="auto"/>
          <w:highlight w:val="none"/>
          <w:lang w:val="en-US" w:eastAsia="zh-CN"/>
        </w:rPr>
        <w:t>10.1.1资格证明文件</w:t>
      </w:r>
    </w:p>
    <w:p>
      <w:pPr>
        <w:pStyle w:val="11"/>
        <w:spacing w:line="420" w:lineRule="exact"/>
        <w:ind w:firstLine="420" w:firstLineChars="200"/>
        <w:rPr>
          <w:rFonts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1</w:t>
      </w:r>
      <w:r>
        <w:rPr>
          <w:rFonts w:hint="eastAsia" w:hAnsi="宋体"/>
          <w:color w:val="auto"/>
          <w:highlight w:val="none"/>
          <w:lang w:eastAsia="zh-CN"/>
        </w:rPr>
        <w:t>）</w:t>
      </w:r>
      <w:r>
        <w:rPr>
          <w:rFonts w:hint="eastAsia" w:hAnsi="宋体"/>
          <w:color w:val="auto"/>
          <w:highlight w:val="none"/>
        </w:rPr>
        <w:t>磋商供应商资格文件：包括营业执照副本复印件（要求证件有效并清晰反映企业法人和经营范围）；</w:t>
      </w:r>
    </w:p>
    <w:p>
      <w:pPr>
        <w:pStyle w:val="11"/>
        <w:spacing w:line="420" w:lineRule="exact"/>
        <w:ind w:firstLine="420"/>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2</w:t>
      </w:r>
      <w:r>
        <w:rPr>
          <w:rFonts w:hint="eastAsia" w:hAnsi="宋体"/>
          <w:color w:val="auto"/>
          <w:highlight w:val="none"/>
        </w:rPr>
        <w:t>）供应商</w:t>
      </w:r>
      <w:r>
        <w:rPr>
          <w:rFonts w:hint="eastAsia" w:hAnsi="宋体"/>
          <w:color w:val="auto"/>
          <w:highlight w:val="none"/>
          <w:lang w:val="en-US" w:eastAsia="zh-CN"/>
        </w:rPr>
        <w:t>近半年任意连续三个月</w:t>
      </w:r>
      <w:r>
        <w:rPr>
          <w:rFonts w:hint="eastAsia" w:hAnsi="宋体"/>
          <w:color w:val="auto"/>
          <w:highlight w:val="none"/>
        </w:rPr>
        <w:t>依法缴纳税收的凭证复印件（如税务机关开具的完税证、银行缴税付款凭证或缴款回单等，如为非税务机关开具的凭证或回单的，应清晰反映：付款人名称、账号，征收机关名称，缴款金额，税种名称，所属时期等内容）。无纳税记录的，应提供由磋商供应商所在地主管国税或地税部门出具的《依法纳税或依法免税证明》（复印件，格式自拟，原件备查）；</w:t>
      </w:r>
    </w:p>
    <w:p>
      <w:pPr>
        <w:pStyle w:val="11"/>
        <w:spacing w:line="420" w:lineRule="exact"/>
        <w:ind w:firstLine="420"/>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3</w:t>
      </w:r>
      <w:r>
        <w:rPr>
          <w:rFonts w:hint="eastAsia" w:hAnsi="宋体"/>
          <w:color w:val="auto"/>
          <w:highlight w:val="none"/>
        </w:rPr>
        <w:t>）供应商</w:t>
      </w:r>
      <w:r>
        <w:rPr>
          <w:rFonts w:hint="eastAsia" w:hAnsi="宋体"/>
          <w:color w:val="auto"/>
          <w:highlight w:val="none"/>
          <w:lang w:val="en-US" w:eastAsia="zh-CN"/>
        </w:rPr>
        <w:t>近半年任意连续三个月</w:t>
      </w:r>
      <w:r>
        <w:rPr>
          <w:rFonts w:hint="eastAsia" w:hAnsi="宋体"/>
          <w:color w:val="auto"/>
          <w:highlight w:val="none"/>
        </w:rPr>
        <w:t>依法缴纳社保费的凭证（如社保部门开具的证明、收款收据等，或银行缴款凭证、回单等，如为非社保部门开具的凭证或回单的，应清晰反映：缴款单位名称、社保单位名称、保险名称、缴款金额等内容）。无缴费记录的，应提供由供应商所在地社保部门出具的《依法缴纳或依法免缴社保费证明》（复印件，格式自拟，原件备查）；</w:t>
      </w:r>
    </w:p>
    <w:p>
      <w:pPr>
        <w:pStyle w:val="11"/>
        <w:spacing w:line="420" w:lineRule="exact"/>
        <w:ind w:firstLine="420"/>
        <w:rPr>
          <w:rFonts w:hint="default" w:ascii="新宋体" w:hAnsi="新宋体" w:eastAsia="新宋体" w:cs="新宋体"/>
          <w:b/>
          <w:bCs/>
          <w:color w:val="auto"/>
          <w:highlight w:val="none"/>
          <w:lang w:val="en-US" w:eastAsia="zh-CN"/>
        </w:rPr>
      </w:pPr>
      <w:r>
        <w:rPr>
          <w:rFonts w:hint="eastAsia" w:hAnsi="宋体"/>
          <w:color w:val="auto"/>
          <w:highlight w:val="none"/>
        </w:rPr>
        <w:t>（</w:t>
      </w:r>
      <w:r>
        <w:rPr>
          <w:rFonts w:hint="eastAsia" w:hAnsi="宋体"/>
          <w:color w:val="auto"/>
          <w:highlight w:val="none"/>
          <w:lang w:val="en-US" w:eastAsia="zh-CN"/>
        </w:rPr>
        <w:t>4</w:t>
      </w:r>
      <w:r>
        <w:rPr>
          <w:rFonts w:hint="eastAsia" w:hAnsi="宋体"/>
          <w:color w:val="auto"/>
          <w:highlight w:val="none"/>
        </w:rPr>
        <w:t>）财务报告复印件：</w:t>
      </w:r>
      <w:r>
        <w:rPr>
          <w:rFonts w:hint="eastAsia" w:hAnsi="宋体"/>
          <w:color w:val="auto"/>
          <w:highlight w:val="none"/>
          <w:lang w:val="en-US" w:eastAsia="zh-CN"/>
        </w:rPr>
        <w:t>磋商供应商2019年或2020年</w:t>
      </w:r>
      <w:r>
        <w:rPr>
          <w:rFonts w:hint="eastAsia" w:hAnsi="宋体"/>
          <w:color w:val="auto"/>
          <w:highlight w:val="none"/>
        </w:rPr>
        <w:t>的财务会计报表或经评审的财务会计审计报告复印件（成立一年以上的投标人必须提供，新成立的投标人按实际提供）；</w:t>
      </w:r>
    </w:p>
    <w:p>
      <w:pPr>
        <w:pStyle w:val="11"/>
        <w:spacing w:line="440" w:lineRule="exact"/>
        <w:ind w:firstLine="422" w:firstLineChars="200"/>
        <w:rPr>
          <w:rFonts w:ascii="新宋体" w:hAnsi="新宋体" w:eastAsia="新宋体" w:cs="新宋体"/>
          <w:b/>
          <w:bCs/>
          <w:color w:val="auto"/>
          <w:highlight w:val="none"/>
        </w:rPr>
      </w:pPr>
      <w:r>
        <w:rPr>
          <w:rFonts w:hint="eastAsia" w:ascii="新宋体" w:hAnsi="新宋体" w:eastAsia="新宋体" w:cs="新宋体"/>
          <w:b/>
          <w:bCs/>
          <w:color w:val="auto"/>
          <w:highlight w:val="none"/>
        </w:rPr>
        <w:t>10.1.</w:t>
      </w:r>
      <w:r>
        <w:rPr>
          <w:rFonts w:hint="eastAsia" w:ascii="新宋体" w:hAnsi="新宋体" w:eastAsia="新宋体" w:cs="新宋体"/>
          <w:b/>
          <w:bCs/>
          <w:color w:val="auto"/>
          <w:highlight w:val="none"/>
          <w:lang w:val="en-US" w:eastAsia="zh-CN"/>
        </w:rPr>
        <w:t>2</w:t>
      </w:r>
      <w:r>
        <w:rPr>
          <w:rFonts w:hint="eastAsia" w:ascii="新宋体" w:hAnsi="新宋体" w:eastAsia="新宋体" w:cs="新宋体"/>
          <w:b/>
          <w:bCs/>
          <w:color w:val="auto"/>
          <w:highlight w:val="none"/>
        </w:rPr>
        <w:t xml:space="preserve">  首次报价文件，包括：</w:t>
      </w:r>
    </w:p>
    <w:p>
      <w:pPr>
        <w:pStyle w:val="11"/>
        <w:spacing w:line="440" w:lineRule="exact"/>
        <w:ind w:firstLine="630" w:firstLineChars="300"/>
        <w:rPr>
          <w:rFonts w:ascii="新宋体" w:hAnsi="新宋体" w:eastAsia="新宋体" w:cs="新宋体"/>
          <w:color w:val="auto"/>
          <w:highlight w:val="none"/>
        </w:rPr>
      </w:pPr>
      <w:r>
        <w:rPr>
          <w:rFonts w:hint="eastAsia" w:ascii="新宋体" w:hAnsi="新宋体" w:eastAsia="新宋体" w:cs="新宋体"/>
          <w:color w:val="auto"/>
          <w:highlight w:val="none"/>
        </w:rPr>
        <w:t>（1）响应函：按第五章“响应文件格式”提供的“响应函（格式）”的要求填写；</w:t>
      </w:r>
    </w:p>
    <w:p>
      <w:pPr>
        <w:pStyle w:val="11"/>
        <w:spacing w:line="440" w:lineRule="exact"/>
        <w:ind w:firstLine="630" w:firstLineChars="300"/>
        <w:rPr>
          <w:rFonts w:ascii="新宋体" w:hAnsi="新宋体" w:eastAsia="新宋体" w:cs="新宋体"/>
          <w:color w:val="auto"/>
          <w:highlight w:val="none"/>
        </w:rPr>
      </w:pPr>
      <w:r>
        <w:rPr>
          <w:rFonts w:hint="eastAsia" w:ascii="新宋体" w:hAnsi="新宋体" w:eastAsia="新宋体" w:cs="新宋体"/>
          <w:color w:val="auto"/>
          <w:highlight w:val="none"/>
        </w:rPr>
        <w:t>（2）响应报价表：按第五章“响应文件格式”提供的“响应报价表（格式）”的要求填写。</w:t>
      </w:r>
    </w:p>
    <w:p>
      <w:pPr>
        <w:pStyle w:val="11"/>
        <w:spacing w:line="440" w:lineRule="exact"/>
        <w:ind w:firstLine="630" w:firstLineChars="300"/>
        <w:rPr>
          <w:rFonts w:ascii="新宋体" w:hAnsi="新宋体" w:eastAsia="新宋体" w:cs="新宋体"/>
          <w:color w:val="auto"/>
          <w:highlight w:val="none"/>
        </w:rPr>
      </w:pPr>
      <w:r>
        <w:rPr>
          <w:rFonts w:hint="eastAsia" w:ascii="新宋体" w:hAnsi="新宋体" w:eastAsia="新宋体" w:cs="新宋体"/>
          <w:color w:val="auto"/>
          <w:highlight w:val="none"/>
        </w:rPr>
        <w:t>（3）中小企业声明函：按第五章“响应文件格式”提供的“中小企业声明函（格式）”的要求填写。</w:t>
      </w:r>
    </w:p>
    <w:p>
      <w:pPr>
        <w:pStyle w:val="11"/>
        <w:spacing w:line="360" w:lineRule="auto"/>
        <w:ind w:firstLine="420" w:firstLineChars="200"/>
        <w:rPr>
          <w:rFonts w:ascii="新宋体" w:hAnsi="新宋体" w:eastAsia="新宋体" w:cs="新宋体"/>
          <w:bCs/>
          <w:color w:val="auto"/>
          <w:highlight w:val="none"/>
        </w:rPr>
      </w:pPr>
      <w:r>
        <w:rPr>
          <w:rFonts w:hint="eastAsia" w:ascii="新宋体" w:hAnsi="新宋体" w:eastAsia="新宋体" w:cs="新宋体"/>
          <w:bCs/>
          <w:color w:val="auto"/>
          <w:highlight w:val="none"/>
        </w:rPr>
        <w:t>说明：《中小企业声明函》为参加政府采购活动的中小企业应当提供</w:t>
      </w:r>
      <w:r>
        <w:rPr>
          <w:rFonts w:hint="eastAsia"/>
          <w:color w:val="auto"/>
          <w:highlight w:val="none"/>
        </w:rPr>
        <w:t>。</w:t>
      </w:r>
    </w:p>
    <w:p>
      <w:pPr>
        <w:pStyle w:val="11"/>
        <w:spacing w:line="360" w:lineRule="auto"/>
        <w:ind w:firstLine="630" w:firstLineChars="300"/>
        <w:rPr>
          <w:rFonts w:ascii="新宋体" w:hAnsi="新宋体" w:eastAsia="新宋体" w:cs="新宋体"/>
          <w:color w:val="auto"/>
          <w:highlight w:val="none"/>
        </w:rPr>
      </w:pPr>
      <w:r>
        <w:rPr>
          <w:rFonts w:hint="eastAsia" w:ascii="新宋体" w:hAnsi="新宋体" w:eastAsia="新宋体" w:cs="新宋体"/>
          <w:color w:val="auto"/>
          <w:highlight w:val="none"/>
        </w:rPr>
        <w:t>（4）残疾人福利性单位声明函（按第五章“响应文件格式”提供的“残疾人福利性单位声明函（格式）”的要求填写。</w:t>
      </w:r>
    </w:p>
    <w:p>
      <w:pPr>
        <w:pStyle w:val="11"/>
        <w:spacing w:line="440" w:lineRule="exact"/>
        <w:ind w:firstLine="422" w:firstLineChars="200"/>
        <w:rPr>
          <w:rFonts w:ascii="新宋体" w:hAnsi="新宋体" w:eastAsia="新宋体" w:cs="新宋体"/>
          <w:b/>
          <w:color w:val="auto"/>
          <w:highlight w:val="none"/>
        </w:rPr>
      </w:pPr>
      <w:r>
        <w:rPr>
          <w:rFonts w:hint="eastAsia" w:ascii="新宋体" w:hAnsi="新宋体" w:eastAsia="新宋体" w:cs="新宋体"/>
          <w:b/>
          <w:color w:val="auto"/>
          <w:highlight w:val="none"/>
        </w:rPr>
        <w:t>其中，报价文件组成要求的第（1）～（2）项必须提交；第（3）～第（4）项如有请提交。</w:t>
      </w:r>
    </w:p>
    <w:p>
      <w:pPr>
        <w:pStyle w:val="11"/>
        <w:spacing w:line="440" w:lineRule="exact"/>
        <w:ind w:firstLine="422" w:firstLineChars="200"/>
        <w:rPr>
          <w:rFonts w:ascii="新宋体" w:hAnsi="新宋体" w:eastAsia="新宋体" w:cs="新宋体"/>
          <w:b/>
          <w:bCs/>
          <w:color w:val="auto"/>
          <w:highlight w:val="none"/>
        </w:rPr>
      </w:pPr>
      <w:r>
        <w:rPr>
          <w:rFonts w:hint="eastAsia" w:ascii="新宋体" w:hAnsi="新宋体" w:eastAsia="新宋体" w:cs="新宋体"/>
          <w:b/>
          <w:bCs/>
          <w:color w:val="auto"/>
          <w:highlight w:val="none"/>
        </w:rPr>
        <w:t>10.1.</w:t>
      </w:r>
      <w:r>
        <w:rPr>
          <w:rFonts w:hint="eastAsia" w:ascii="新宋体" w:hAnsi="新宋体" w:eastAsia="新宋体" w:cs="新宋体"/>
          <w:b/>
          <w:bCs/>
          <w:color w:val="auto"/>
          <w:highlight w:val="none"/>
          <w:lang w:val="en-US" w:eastAsia="zh-CN"/>
        </w:rPr>
        <w:t>3</w:t>
      </w:r>
      <w:r>
        <w:rPr>
          <w:rFonts w:hint="eastAsia" w:ascii="新宋体" w:hAnsi="新宋体" w:eastAsia="新宋体" w:cs="新宋体"/>
          <w:b/>
          <w:bCs/>
          <w:color w:val="auto"/>
          <w:highlight w:val="none"/>
        </w:rPr>
        <w:t xml:space="preserve">  技术文件，包括：</w:t>
      </w:r>
    </w:p>
    <w:p>
      <w:pPr>
        <w:pStyle w:val="11"/>
        <w:keepNext w:val="0"/>
        <w:keepLines w:val="0"/>
        <w:pageBreakBefore w:val="0"/>
        <w:kinsoku/>
        <w:wordWrap/>
        <w:overflowPunct/>
        <w:topLinePunct w:val="0"/>
        <w:bidi w:val="0"/>
        <w:spacing w:line="500" w:lineRule="exact"/>
        <w:ind w:firstLine="420"/>
        <w:textAlignment w:val="auto"/>
        <w:rPr>
          <w:rFonts w:hint="eastAsia" w:hAnsi="宋体"/>
          <w:color w:val="auto"/>
          <w:highlight w:val="none"/>
        </w:rPr>
      </w:pPr>
      <w:r>
        <w:rPr>
          <w:rFonts w:hint="eastAsia" w:hAnsi="宋体"/>
          <w:color w:val="auto"/>
          <w:highlight w:val="none"/>
        </w:rPr>
        <w:t>（1）提供服务技术资料表：按第五章“响应文件格式”提供的“提供服务技术资料表（格式）”的要求填写；</w:t>
      </w:r>
    </w:p>
    <w:p>
      <w:pPr>
        <w:pStyle w:val="11"/>
        <w:keepNext w:val="0"/>
        <w:keepLines w:val="0"/>
        <w:pageBreakBefore w:val="0"/>
        <w:kinsoku/>
        <w:wordWrap/>
        <w:overflowPunct/>
        <w:topLinePunct w:val="0"/>
        <w:bidi w:val="0"/>
        <w:spacing w:line="500" w:lineRule="exact"/>
        <w:ind w:firstLine="420"/>
        <w:textAlignment w:val="auto"/>
        <w:rPr>
          <w:rFonts w:hint="eastAsia" w:hAnsi="宋体"/>
          <w:color w:val="auto"/>
          <w:highlight w:val="none"/>
          <w:lang w:eastAsia="zh-CN"/>
        </w:rPr>
      </w:pPr>
      <w:r>
        <w:rPr>
          <w:rFonts w:hint="eastAsia" w:hAnsi="宋体"/>
          <w:color w:val="auto"/>
          <w:highlight w:val="none"/>
        </w:rPr>
        <w:t>（</w:t>
      </w:r>
      <w:r>
        <w:rPr>
          <w:rFonts w:hint="eastAsia" w:hAnsi="宋体"/>
          <w:color w:val="auto"/>
          <w:highlight w:val="none"/>
          <w:lang w:val="en-US" w:eastAsia="zh-CN"/>
        </w:rPr>
        <w:t>2</w:t>
      </w:r>
      <w:r>
        <w:rPr>
          <w:rFonts w:hint="eastAsia" w:hAnsi="宋体"/>
          <w:color w:val="auto"/>
          <w:highlight w:val="none"/>
        </w:rPr>
        <w:t>）</w:t>
      </w:r>
      <w:r>
        <w:rPr>
          <w:rFonts w:hint="eastAsia" w:hAnsi="宋体"/>
          <w:color w:val="auto"/>
          <w:highlight w:val="none"/>
          <w:lang w:val="en-US" w:eastAsia="zh-CN"/>
        </w:rPr>
        <w:t>本项目理解程度和总体划分思路</w:t>
      </w:r>
      <w:r>
        <w:rPr>
          <w:rFonts w:hint="eastAsia" w:hAnsi="宋体"/>
          <w:color w:val="auto"/>
          <w:highlight w:val="none"/>
          <w:lang w:eastAsia="zh-CN"/>
        </w:rPr>
        <w:t>（</w:t>
      </w:r>
      <w:r>
        <w:rPr>
          <w:rFonts w:hint="eastAsia" w:hAnsi="宋体"/>
          <w:color w:val="auto"/>
          <w:highlight w:val="none"/>
        </w:rPr>
        <w:t>格式自拟</w:t>
      </w:r>
      <w:r>
        <w:rPr>
          <w:rFonts w:hint="eastAsia" w:hAnsi="宋体"/>
          <w:color w:val="auto"/>
          <w:highlight w:val="none"/>
          <w:lang w:eastAsia="zh-CN"/>
        </w:rPr>
        <w:t>）；</w:t>
      </w:r>
    </w:p>
    <w:p>
      <w:pPr>
        <w:pStyle w:val="11"/>
        <w:keepNext w:val="0"/>
        <w:keepLines w:val="0"/>
        <w:pageBreakBefore w:val="0"/>
        <w:kinsoku/>
        <w:wordWrap/>
        <w:overflowPunct/>
        <w:topLinePunct w:val="0"/>
        <w:bidi w:val="0"/>
        <w:spacing w:line="500" w:lineRule="exact"/>
        <w:ind w:firstLine="420"/>
        <w:textAlignment w:val="auto"/>
        <w:rPr>
          <w:rFonts w:hint="eastAsia" w:hAnsi="宋体"/>
          <w:color w:val="auto"/>
          <w:highlight w:val="none"/>
          <w:lang w:eastAsia="zh-CN"/>
        </w:rPr>
      </w:pPr>
      <w:r>
        <w:rPr>
          <w:rFonts w:hint="eastAsia" w:hAnsi="宋体"/>
          <w:color w:val="auto"/>
          <w:highlight w:val="none"/>
        </w:rPr>
        <w:t>（</w:t>
      </w:r>
      <w:r>
        <w:rPr>
          <w:rFonts w:hint="eastAsia" w:hAnsi="宋体"/>
          <w:color w:val="auto"/>
          <w:highlight w:val="none"/>
          <w:lang w:val="en-US" w:eastAsia="zh-CN"/>
        </w:rPr>
        <w:t>3</w:t>
      </w:r>
      <w:r>
        <w:rPr>
          <w:rFonts w:hint="eastAsia" w:hAnsi="宋体"/>
          <w:color w:val="auto"/>
          <w:highlight w:val="none"/>
        </w:rPr>
        <w:t>）技术服务方案的操作性与合理性</w:t>
      </w:r>
      <w:r>
        <w:rPr>
          <w:rFonts w:hint="eastAsia" w:hAnsi="宋体"/>
          <w:color w:val="auto"/>
          <w:highlight w:val="none"/>
          <w:lang w:eastAsia="zh-CN"/>
        </w:rPr>
        <w:t>（</w:t>
      </w:r>
      <w:r>
        <w:rPr>
          <w:rFonts w:hint="eastAsia" w:hAnsi="宋体"/>
          <w:color w:val="auto"/>
          <w:highlight w:val="none"/>
        </w:rPr>
        <w:t>格式自拟</w:t>
      </w:r>
      <w:r>
        <w:rPr>
          <w:rFonts w:hint="eastAsia" w:hAnsi="宋体"/>
          <w:color w:val="auto"/>
          <w:highlight w:val="none"/>
          <w:lang w:eastAsia="zh-CN"/>
        </w:rPr>
        <w:t>）；</w:t>
      </w:r>
    </w:p>
    <w:p>
      <w:pPr>
        <w:pStyle w:val="11"/>
        <w:keepNext w:val="0"/>
        <w:keepLines w:val="0"/>
        <w:pageBreakBefore w:val="0"/>
        <w:kinsoku/>
        <w:wordWrap/>
        <w:overflowPunct/>
        <w:topLinePunct w:val="0"/>
        <w:bidi w:val="0"/>
        <w:spacing w:line="500" w:lineRule="exact"/>
        <w:ind w:firstLine="420"/>
        <w:textAlignment w:val="auto"/>
        <w:rPr>
          <w:rFonts w:hint="eastAsia" w:hAnsi="宋体"/>
          <w:color w:val="auto"/>
          <w:highlight w:val="none"/>
          <w:lang w:val="en-US"/>
        </w:rPr>
      </w:pPr>
      <w:r>
        <w:rPr>
          <w:rFonts w:hint="eastAsia" w:hAnsi="宋体"/>
          <w:color w:val="auto"/>
          <w:highlight w:val="none"/>
          <w:lang w:eastAsia="zh-CN"/>
        </w:rPr>
        <w:t>（</w:t>
      </w:r>
      <w:r>
        <w:rPr>
          <w:rFonts w:hint="eastAsia" w:hAnsi="宋体"/>
          <w:color w:val="auto"/>
          <w:highlight w:val="none"/>
          <w:lang w:val="en-US" w:eastAsia="zh-CN"/>
        </w:rPr>
        <w:t>4</w:t>
      </w:r>
      <w:r>
        <w:rPr>
          <w:rFonts w:hint="eastAsia" w:hAnsi="宋体"/>
          <w:color w:val="auto"/>
          <w:highlight w:val="none"/>
          <w:lang w:eastAsia="zh-CN"/>
        </w:rPr>
        <w:t>）技术服务方案质量与进度保障（</w:t>
      </w:r>
      <w:r>
        <w:rPr>
          <w:rFonts w:hint="eastAsia" w:hAnsi="宋体"/>
          <w:color w:val="auto"/>
          <w:highlight w:val="none"/>
        </w:rPr>
        <w:t>格式自拟</w:t>
      </w:r>
      <w:r>
        <w:rPr>
          <w:rFonts w:hint="eastAsia" w:hAnsi="宋体"/>
          <w:color w:val="auto"/>
          <w:highlight w:val="none"/>
          <w:lang w:eastAsia="zh-CN"/>
        </w:rPr>
        <w:t>）；</w:t>
      </w:r>
    </w:p>
    <w:p>
      <w:pPr>
        <w:pStyle w:val="11"/>
        <w:keepNext w:val="0"/>
        <w:keepLines w:val="0"/>
        <w:pageBreakBefore w:val="0"/>
        <w:kinsoku/>
        <w:wordWrap/>
        <w:overflowPunct/>
        <w:topLinePunct w:val="0"/>
        <w:bidi w:val="0"/>
        <w:spacing w:line="500" w:lineRule="exact"/>
        <w:ind w:firstLine="420"/>
        <w:textAlignment w:val="auto"/>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5</w:t>
      </w:r>
      <w:r>
        <w:rPr>
          <w:rFonts w:hint="eastAsia" w:hAnsi="宋体"/>
          <w:color w:val="auto"/>
          <w:highlight w:val="none"/>
        </w:rPr>
        <w:t>）</w:t>
      </w:r>
      <w:r>
        <w:rPr>
          <w:rFonts w:hint="eastAsia" w:hAnsi="宋体"/>
          <w:color w:val="auto"/>
          <w:highlight w:val="none"/>
          <w:lang w:val="en-US" w:eastAsia="zh-CN"/>
        </w:rPr>
        <w:t>供应商</w:t>
      </w:r>
      <w:r>
        <w:rPr>
          <w:rFonts w:hint="eastAsia" w:hAnsi="宋体"/>
          <w:color w:val="auto"/>
          <w:highlight w:val="none"/>
        </w:rPr>
        <w:t>需要说明的其他文件和说明（如有，格式自拟）。</w:t>
      </w:r>
    </w:p>
    <w:p>
      <w:pPr>
        <w:pStyle w:val="11"/>
        <w:keepNext w:val="0"/>
        <w:keepLines w:val="0"/>
        <w:pageBreakBefore w:val="0"/>
        <w:kinsoku/>
        <w:wordWrap/>
        <w:overflowPunct/>
        <w:topLinePunct w:val="0"/>
        <w:bidi w:val="0"/>
        <w:spacing w:line="500" w:lineRule="exact"/>
        <w:ind w:firstLine="420"/>
        <w:textAlignment w:val="auto"/>
        <w:rPr>
          <w:rFonts w:hint="eastAsia" w:hAnsi="宋体"/>
          <w:color w:val="auto"/>
          <w:highlight w:val="none"/>
        </w:rPr>
      </w:pPr>
      <w:r>
        <w:rPr>
          <w:rFonts w:hint="eastAsia" w:hAnsi="宋体"/>
          <w:color w:val="auto"/>
          <w:highlight w:val="none"/>
        </w:rPr>
        <w:t>技术文件中的第（1）～（</w:t>
      </w:r>
      <w:r>
        <w:rPr>
          <w:rFonts w:hint="eastAsia" w:hAnsi="宋体"/>
          <w:color w:val="auto"/>
          <w:highlight w:val="none"/>
          <w:lang w:val="en-US" w:eastAsia="zh-CN"/>
        </w:rPr>
        <w:t>4</w:t>
      </w:r>
      <w:r>
        <w:rPr>
          <w:rFonts w:hint="eastAsia" w:hAnsi="宋体"/>
          <w:color w:val="auto"/>
          <w:highlight w:val="none"/>
        </w:rPr>
        <w:t>）项必须提交；第（</w:t>
      </w:r>
      <w:r>
        <w:rPr>
          <w:rFonts w:hint="eastAsia" w:hAnsi="宋体"/>
          <w:color w:val="auto"/>
          <w:highlight w:val="none"/>
          <w:lang w:val="en-US" w:eastAsia="zh-CN"/>
        </w:rPr>
        <w:t>5</w:t>
      </w:r>
      <w:r>
        <w:rPr>
          <w:rFonts w:hint="eastAsia" w:hAnsi="宋体"/>
          <w:color w:val="auto"/>
          <w:highlight w:val="none"/>
        </w:rPr>
        <w:t>）项如有请提交。</w:t>
      </w:r>
    </w:p>
    <w:p>
      <w:pPr>
        <w:pStyle w:val="11"/>
        <w:spacing w:line="440" w:lineRule="exact"/>
        <w:ind w:firstLine="422" w:firstLineChars="200"/>
        <w:rPr>
          <w:rFonts w:hint="eastAsia" w:ascii="新宋体" w:hAnsi="新宋体" w:eastAsia="新宋体" w:cs="新宋体"/>
          <w:b/>
          <w:bCs/>
          <w:color w:val="auto"/>
          <w:highlight w:val="none"/>
        </w:rPr>
      </w:pPr>
      <w:r>
        <w:rPr>
          <w:rFonts w:hint="eastAsia" w:ascii="新宋体" w:hAnsi="新宋体" w:eastAsia="新宋体" w:cs="新宋体"/>
          <w:b/>
          <w:bCs/>
          <w:color w:val="auto"/>
          <w:highlight w:val="none"/>
        </w:rPr>
        <w:t>10.1.</w:t>
      </w:r>
      <w:r>
        <w:rPr>
          <w:rFonts w:hint="eastAsia" w:ascii="新宋体" w:hAnsi="新宋体" w:eastAsia="新宋体" w:cs="新宋体"/>
          <w:b/>
          <w:bCs/>
          <w:color w:val="auto"/>
          <w:highlight w:val="none"/>
          <w:lang w:val="en-US" w:eastAsia="zh-CN"/>
        </w:rPr>
        <w:t>4</w:t>
      </w:r>
      <w:r>
        <w:rPr>
          <w:rFonts w:hint="eastAsia" w:ascii="新宋体" w:hAnsi="新宋体" w:eastAsia="新宋体" w:cs="新宋体"/>
          <w:b/>
          <w:bCs/>
          <w:color w:val="auto"/>
          <w:highlight w:val="none"/>
        </w:rPr>
        <w:t xml:space="preserve">  商务文件，包括： </w:t>
      </w:r>
    </w:p>
    <w:p>
      <w:pPr>
        <w:pStyle w:val="11"/>
        <w:spacing w:line="420" w:lineRule="exact"/>
        <w:ind w:firstLine="420" w:firstLineChars="200"/>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1</w:t>
      </w:r>
      <w:r>
        <w:rPr>
          <w:rFonts w:hint="eastAsia" w:hAnsi="宋体"/>
          <w:color w:val="auto"/>
          <w:highlight w:val="none"/>
          <w:lang w:eastAsia="zh-CN"/>
        </w:rPr>
        <w:t>）</w:t>
      </w:r>
      <w:r>
        <w:rPr>
          <w:rFonts w:hint="eastAsia" w:hAnsi="宋体"/>
          <w:color w:val="auto"/>
          <w:highlight w:val="none"/>
        </w:rPr>
        <w:t>“参加政府采购活动前3年内在经营活动中没有重大违法记录的书面声明（格式自拟）”</w:t>
      </w:r>
    </w:p>
    <w:p>
      <w:pPr>
        <w:pStyle w:val="11"/>
        <w:spacing w:line="420" w:lineRule="exact"/>
        <w:ind w:firstLine="420" w:firstLineChars="200"/>
        <w:rPr>
          <w:rFonts w:hint="eastAsia" w:hAnsi="宋体"/>
          <w:color w:val="auto"/>
          <w:highlight w:val="none"/>
        </w:rPr>
      </w:pPr>
      <w:r>
        <w:rPr>
          <w:rFonts w:hint="eastAsia" w:hAnsi="宋体"/>
          <w:color w:val="auto"/>
          <w:highlight w:val="none"/>
          <w:lang w:val="en-US" w:eastAsia="zh-CN"/>
        </w:rPr>
        <w:t>（2）投标声明书：</w:t>
      </w:r>
      <w:r>
        <w:rPr>
          <w:rFonts w:hint="eastAsia" w:hAnsi="宋体"/>
          <w:color w:val="auto"/>
          <w:highlight w:val="none"/>
        </w:rPr>
        <w:t>按第五章“响应文件格式”提供的“投标声明书（格式）” 的要求填写；</w:t>
      </w:r>
    </w:p>
    <w:p>
      <w:pPr>
        <w:pStyle w:val="11"/>
        <w:spacing w:line="420" w:lineRule="exact"/>
        <w:ind w:firstLine="420"/>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3</w:t>
      </w:r>
      <w:r>
        <w:rPr>
          <w:rFonts w:hint="eastAsia" w:hAnsi="宋体"/>
          <w:color w:val="auto"/>
          <w:highlight w:val="none"/>
        </w:rPr>
        <w:t xml:space="preserve">）法定代表人身份证正反面复印件； </w:t>
      </w:r>
    </w:p>
    <w:p>
      <w:pPr>
        <w:pStyle w:val="11"/>
        <w:spacing w:line="420" w:lineRule="exact"/>
        <w:ind w:firstLine="420"/>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4</w:t>
      </w:r>
      <w:r>
        <w:rPr>
          <w:rFonts w:hint="eastAsia" w:hAnsi="宋体"/>
          <w:color w:val="auto"/>
          <w:highlight w:val="none"/>
        </w:rPr>
        <w:t>）法定代表人资格证明书：按第五章“响应文件格式”提供的“法定代表人资格证明书（格式）” 的要求填写；</w:t>
      </w:r>
    </w:p>
    <w:p>
      <w:pPr>
        <w:pStyle w:val="11"/>
        <w:spacing w:line="420" w:lineRule="exact"/>
        <w:ind w:firstLine="420"/>
        <w:rPr>
          <w:rFonts w:hint="eastAsia" w:ascii="宋体" w:hAnsi="宋体" w:cs="Courier New"/>
          <w:color w:val="auto"/>
          <w:kern w:val="2"/>
          <w:sz w:val="21"/>
          <w:szCs w:val="21"/>
          <w:highlight w:val="none"/>
          <w:lang w:val="en-US" w:eastAsia="zh-CN" w:bidi="ar-SA"/>
        </w:rPr>
      </w:pPr>
      <w:r>
        <w:rPr>
          <w:rFonts w:hint="eastAsia" w:hAnsi="宋体"/>
          <w:color w:val="auto"/>
          <w:highlight w:val="none"/>
        </w:rPr>
        <w:t>（</w:t>
      </w:r>
      <w:r>
        <w:rPr>
          <w:rFonts w:hint="eastAsia" w:hAnsi="宋体"/>
          <w:color w:val="auto"/>
          <w:highlight w:val="none"/>
          <w:lang w:val="en-US" w:eastAsia="zh-CN"/>
        </w:rPr>
        <w:t>5</w:t>
      </w:r>
      <w:r>
        <w:rPr>
          <w:rFonts w:hint="eastAsia" w:hAnsi="宋体"/>
          <w:color w:val="auto"/>
          <w:highlight w:val="none"/>
        </w:rPr>
        <w:t>）商务条款偏离表：按第五章“响应文件格式”提供的“商务条款偏离表（格式）” 的要求填写；</w:t>
      </w:r>
    </w:p>
    <w:p>
      <w:pPr>
        <w:pStyle w:val="11"/>
        <w:spacing w:line="420" w:lineRule="exact"/>
        <w:ind w:firstLine="420"/>
        <w:rPr>
          <w:rFonts w:hint="eastAsia" w:ascii="宋体" w:hAnsi="宋体" w:cs="Courier New"/>
          <w:color w:val="auto"/>
          <w:kern w:val="2"/>
          <w:sz w:val="21"/>
          <w:szCs w:val="21"/>
          <w:highlight w:val="none"/>
          <w:lang w:val="en-US" w:eastAsia="zh-CN" w:bidi="ar-SA"/>
        </w:rPr>
      </w:pPr>
      <w:r>
        <w:rPr>
          <w:rFonts w:hint="eastAsia" w:ascii="宋体" w:hAnsi="宋体" w:cs="Courier New"/>
          <w:color w:val="auto"/>
          <w:kern w:val="2"/>
          <w:sz w:val="21"/>
          <w:szCs w:val="21"/>
          <w:highlight w:val="none"/>
          <w:lang w:val="en-US" w:eastAsia="zh-CN" w:bidi="ar-SA"/>
        </w:rPr>
        <w:t>（</w:t>
      </w:r>
      <w:r>
        <w:rPr>
          <w:rFonts w:hint="eastAsia" w:hAnsi="宋体" w:cs="Courier New"/>
          <w:color w:val="auto"/>
          <w:kern w:val="2"/>
          <w:sz w:val="21"/>
          <w:szCs w:val="21"/>
          <w:highlight w:val="none"/>
          <w:lang w:val="en-US" w:eastAsia="zh-CN" w:bidi="ar-SA"/>
        </w:rPr>
        <w:t>6</w:t>
      </w:r>
      <w:r>
        <w:rPr>
          <w:rFonts w:hint="eastAsia" w:hAnsi="宋体"/>
          <w:color w:val="auto"/>
          <w:highlight w:val="none"/>
        </w:rPr>
        <w:t>）售后服务承诺书：按第五章“响应文件格式”提供的“售后服务承诺书（格式）” 的要求填写；</w:t>
      </w:r>
    </w:p>
    <w:p>
      <w:pPr>
        <w:pStyle w:val="11"/>
        <w:spacing w:line="420" w:lineRule="exact"/>
        <w:ind w:firstLine="420"/>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7</w:t>
      </w:r>
      <w:r>
        <w:rPr>
          <w:rFonts w:hint="eastAsia" w:hAnsi="宋体"/>
          <w:color w:val="auto"/>
          <w:highlight w:val="none"/>
        </w:rPr>
        <w:t>）法定代表人授权委托书：按第五章“响应文件格式”提供的“法定代表人授权委托书（格式）”的要求填写；</w:t>
      </w:r>
    </w:p>
    <w:p>
      <w:pPr>
        <w:pStyle w:val="11"/>
        <w:spacing w:line="420" w:lineRule="exact"/>
        <w:ind w:firstLine="420"/>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8</w:t>
      </w:r>
      <w:r>
        <w:rPr>
          <w:rFonts w:hint="eastAsia" w:hAnsi="宋体"/>
          <w:color w:val="auto"/>
          <w:highlight w:val="none"/>
        </w:rPr>
        <w:t>）委托代理人身份证明复印件：如使用第二代身份证应提交正、反面复印件，如委托代理人非中国国籍应提交护照复印件，要求证件有效并与法定代表人授权委托书中的委托代理人相符；</w:t>
      </w:r>
    </w:p>
    <w:p>
      <w:pPr>
        <w:pStyle w:val="11"/>
        <w:spacing w:line="420" w:lineRule="exact"/>
        <w:ind w:firstLine="420"/>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9</w:t>
      </w:r>
      <w:r>
        <w:rPr>
          <w:rFonts w:hint="eastAsia" w:hAnsi="宋体"/>
          <w:color w:val="auto"/>
          <w:highlight w:val="none"/>
        </w:rPr>
        <w:t>）其它：拟投入的项目实施人员一览表</w:t>
      </w:r>
      <w:r>
        <w:rPr>
          <w:rFonts w:hint="eastAsia" w:hAnsi="宋体"/>
          <w:color w:val="auto"/>
          <w:highlight w:val="none"/>
          <w:lang w:eastAsia="zh-CN"/>
        </w:rPr>
        <w:t>、</w:t>
      </w:r>
      <w:r>
        <w:rPr>
          <w:rFonts w:hint="eastAsia" w:hAnsi="宋体"/>
          <w:color w:val="auto"/>
          <w:highlight w:val="none"/>
          <w:lang w:val="en-US" w:eastAsia="zh-CN"/>
        </w:rPr>
        <w:t>磋商供应商</w:t>
      </w:r>
      <w:r>
        <w:rPr>
          <w:rFonts w:hint="eastAsia" w:hAnsi="宋体"/>
          <w:color w:val="auto"/>
          <w:highlight w:val="none"/>
        </w:rPr>
        <w:t>近三年同类服务项目的实际业绩证明（附成交通知书复印件或合同复印件）、近三年的质量获奖荣誉证书复印件等。</w:t>
      </w:r>
    </w:p>
    <w:p>
      <w:pPr>
        <w:pStyle w:val="11"/>
        <w:spacing w:line="420" w:lineRule="exact"/>
        <w:ind w:firstLine="413" w:firstLineChars="196"/>
        <w:rPr>
          <w:rFonts w:hAnsi="宋体"/>
          <w:color w:val="auto"/>
          <w:highlight w:val="none"/>
        </w:rPr>
      </w:pPr>
      <w:r>
        <w:rPr>
          <w:rFonts w:hint="eastAsia" w:hAnsi="宋体"/>
          <w:b/>
          <w:color w:val="auto"/>
          <w:highlight w:val="none"/>
        </w:rPr>
        <w:t>商务文件中的第（1）～（</w:t>
      </w:r>
      <w:r>
        <w:rPr>
          <w:rFonts w:hint="eastAsia" w:hAnsi="宋体"/>
          <w:b/>
          <w:color w:val="auto"/>
          <w:highlight w:val="none"/>
          <w:lang w:val="en-US" w:eastAsia="zh-CN"/>
        </w:rPr>
        <w:t>6</w:t>
      </w:r>
      <w:r>
        <w:rPr>
          <w:rFonts w:hint="eastAsia" w:hAnsi="宋体"/>
          <w:b/>
          <w:color w:val="auto"/>
          <w:highlight w:val="none"/>
        </w:rPr>
        <w:t>） 项必须提交；第（</w:t>
      </w:r>
      <w:r>
        <w:rPr>
          <w:rFonts w:hint="eastAsia" w:hAnsi="宋体"/>
          <w:b/>
          <w:color w:val="auto"/>
          <w:highlight w:val="none"/>
          <w:lang w:val="en-US" w:eastAsia="zh-CN"/>
        </w:rPr>
        <w:t>7</w:t>
      </w:r>
      <w:r>
        <w:rPr>
          <w:rFonts w:hint="eastAsia" w:hAnsi="宋体"/>
          <w:b/>
          <w:color w:val="auto"/>
          <w:highlight w:val="none"/>
        </w:rPr>
        <w:t>）、（</w:t>
      </w:r>
      <w:r>
        <w:rPr>
          <w:rFonts w:hint="eastAsia" w:hAnsi="宋体"/>
          <w:b/>
          <w:color w:val="auto"/>
          <w:highlight w:val="none"/>
          <w:lang w:val="en-US" w:eastAsia="zh-CN"/>
        </w:rPr>
        <w:t>8</w:t>
      </w:r>
      <w:r>
        <w:rPr>
          <w:rFonts w:hint="eastAsia" w:hAnsi="宋体"/>
          <w:b/>
          <w:color w:val="auto"/>
          <w:highlight w:val="none"/>
        </w:rPr>
        <w:t>）项在委托代理时必须提交；第</w:t>
      </w:r>
      <w:r>
        <w:rPr>
          <w:rFonts w:hint="eastAsia" w:hAnsi="宋体"/>
          <w:b/>
          <w:color w:val="auto"/>
          <w:highlight w:val="none"/>
          <w:lang w:eastAsia="zh-CN"/>
        </w:rPr>
        <w:t>（</w:t>
      </w:r>
      <w:r>
        <w:rPr>
          <w:rFonts w:hint="eastAsia" w:hAnsi="宋体"/>
          <w:b/>
          <w:color w:val="auto"/>
          <w:highlight w:val="none"/>
          <w:lang w:val="en-US" w:eastAsia="zh-CN"/>
        </w:rPr>
        <w:t>9</w:t>
      </w:r>
      <w:r>
        <w:rPr>
          <w:rFonts w:hint="eastAsia" w:hAnsi="宋体"/>
          <w:b/>
          <w:color w:val="auto"/>
          <w:highlight w:val="none"/>
          <w:lang w:eastAsia="zh-CN"/>
        </w:rPr>
        <w:t>）</w:t>
      </w:r>
      <w:r>
        <w:rPr>
          <w:rFonts w:hint="eastAsia" w:hAnsi="宋体"/>
          <w:b/>
          <w:color w:val="auto"/>
          <w:highlight w:val="none"/>
        </w:rPr>
        <w:t>项如有请提交。</w:t>
      </w:r>
    </w:p>
    <w:p>
      <w:pPr>
        <w:pStyle w:val="11"/>
        <w:spacing w:line="440" w:lineRule="exact"/>
        <w:ind w:firstLine="422" w:firstLineChars="200"/>
        <w:rPr>
          <w:rFonts w:ascii="新宋体" w:hAnsi="新宋体" w:eastAsia="新宋体" w:cs="新宋体"/>
          <w:b/>
          <w:bCs/>
          <w:color w:val="auto"/>
          <w:highlight w:val="none"/>
        </w:rPr>
      </w:pPr>
      <w:r>
        <w:rPr>
          <w:rFonts w:hint="eastAsia" w:ascii="新宋体" w:hAnsi="新宋体" w:eastAsia="新宋体" w:cs="新宋体"/>
          <w:b/>
          <w:bCs/>
          <w:color w:val="auto"/>
          <w:highlight w:val="none"/>
        </w:rPr>
        <w:t xml:space="preserve">10.2  </w:t>
      </w:r>
      <w:r>
        <w:rPr>
          <w:rFonts w:hint="eastAsia" w:ascii="新宋体" w:hAnsi="新宋体" w:eastAsia="新宋体" w:cs="新宋体"/>
          <w:b/>
          <w:bCs/>
          <w:color w:val="auto"/>
        </w:rPr>
        <w:t>磋商供应商应按上述顺序将</w:t>
      </w:r>
      <w:r>
        <w:rPr>
          <w:rFonts w:hint="eastAsia" w:ascii="新宋体" w:hAnsi="新宋体" w:eastAsia="新宋体" w:cs="新宋体"/>
          <w:b/>
          <w:bCs/>
          <w:color w:val="auto"/>
          <w:lang w:val="en-US" w:eastAsia="zh-CN"/>
        </w:rPr>
        <w:t>资格证明文件、</w:t>
      </w:r>
      <w:r>
        <w:rPr>
          <w:rFonts w:hint="eastAsia" w:ascii="新宋体" w:hAnsi="新宋体" w:eastAsia="新宋体" w:cs="新宋体"/>
          <w:b/>
          <w:bCs/>
          <w:color w:val="auto"/>
        </w:rPr>
        <w:t>首次报价文件、技术文件</w:t>
      </w:r>
      <w:r>
        <w:rPr>
          <w:rFonts w:hint="eastAsia" w:ascii="新宋体" w:hAnsi="新宋体" w:eastAsia="新宋体" w:cs="新宋体"/>
          <w:b/>
          <w:bCs/>
          <w:color w:val="auto"/>
          <w:lang w:eastAsia="zh-CN"/>
        </w:rPr>
        <w:t>、</w:t>
      </w:r>
      <w:r>
        <w:rPr>
          <w:rFonts w:hint="eastAsia" w:ascii="新宋体" w:hAnsi="新宋体" w:eastAsia="新宋体" w:cs="新宋体"/>
          <w:b/>
          <w:bCs/>
          <w:color w:val="auto"/>
        </w:rPr>
        <w:t>商务文件合并装订成册。</w:t>
      </w:r>
    </w:p>
    <w:p>
      <w:pPr>
        <w:pStyle w:val="11"/>
        <w:spacing w:line="440" w:lineRule="exact"/>
        <w:rPr>
          <w:rFonts w:ascii="新宋体" w:hAnsi="新宋体" w:eastAsia="新宋体" w:cs="新宋体"/>
          <w:bCs/>
          <w:color w:val="auto"/>
          <w:highlight w:val="none"/>
        </w:rPr>
      </w:pPr>
      <w:r>
        <w:rPr>
          <w:rFonts w:hint="eastAsia" w:ascii="新宋体" w:hAnsi="新宋体" w:eastAsia="新宋体" w:cs="新宋体"/>
          <w:bCs/>
          <w:color w:val="auto"/>
          <w:highlight w:val="none"/>
        </w:rPr>
        <w:t>11.  响应文件报价</w:t>
      </w:r>
    </w:p>
    <w:p>
      <w:pPr>
        <w:pStyle w:val="11"/>
        <w:spacing w:line="440" w:lineRule="exact"/>
        <w:ind w:firstLine="420"/>
        <w:rPr>
          <w:rFonts w:ascii="新宋体" w:hAnsi="新宋体" w:eastAsia="新宋体" w:cs="新宋体"/>
          <w:color w:val="auto"/>
          <w:highlight w:val="none"/>
        </w:rPr>
      </w:pPr>
      <w:r>
        <w:rPr>
          <w:rFonts w:hint="eastAsia" w:ascii="新宋体" w:hAnsi="新宋体" w:eastAsia="新宋体" w:cs="新宋体"/>
          <w:color w:val="auto"/>
          <w:highlight w:val="none"/>
        </w:rPr>
        <w:t>11.1  磋商供应商应以人民币报价。</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11.2  磋商供应商可就第二章“服务需求一览表”中的</w:t>
      </w:r>
      <w:r>
        <w:rPr>
          <w:rFonts w:hint="eastAsia" w:ascii="新宋体" w:hAnsi="新宋体" w:eastAsia="新宋体" w:cs="新宋体"/>
          <w:b/>
          <w:color w:val="auto"/>
          <w:highlight w:val="none"/>
        </w:rPr>
        <w:t>某一个分项内容报出完整且唯一报价，也可就某几个或所有分项内容分别报出完整且唯一报价。</w:t>
      </w:r>
    </w:p>
    <w:p>
      <w:pPr>
        <w:pStyle w:val="11"/>
        <w:spacing w:line="440" w:lineRule="exact"/>
        <w:ind w:firstLine="420"/>
        <w:rPr>
          <w:rFonts w:ascii="新宋体" w:hAnsi="新宋体" w:eastAsia="新宋体" w:cs="新宋体"/>
          <w:color w:val="auto"/>
          <w:highlight w:val="none"/>
        </w:rPr>
      </w:pPr>
      <w:r>
        <w:rPr>
          <w:rFonts w:hint="eastAsia" w:ascii="新宋体" w:hAnsi="新宋体" w:eastAsia="新宋体" w:cs="新宋体"/>
          <w:color w:val="auto"/>
          <w:highlight w:val="none"/>
        </w:rPr>
        <w:t>11.3  响应报价为在采购人指定地点提交服务成果所需的全部费用，其组成部分详见第二章“服务需求一览表”。采购人不再向成交单位支付其响应报价之外的任何费用。</w:t>
      </w:r>
    </w:p>
    <w:p>
      <w:pPr>
        <w:pStyle w:val="11"/>
        <w:spacing w:line="440" w:lineRule="exact"/>
        <w:ind w:firstLine="420"/>
        <w:rPr>
          <w:rFonts w:ascii="新宋体" w:hAnsi="新宋体" w:eastAsia="新宋体" w:cs="新宋体"/>
          <w:color w:val="auto"/>
          <w:highlight w:val="none"/>
        </w:rPr>
      </w:pPr>
      <w:r>
        <w:rPr>
          <w:rFonts w:hint="eastAsia" w:ascii="新宋体" w:hAnsi="新宋体" w:eastAsia="新宋体" w:cs="新宋体"/>
          <w:color w:val="auto"/>
          <w:highlight w:val="none"/>
        </w:rPr>
        <w:t>11.4  本项目的采购代理服务费按物价部门核准的收费标准执行，见磋商供应商须知前附表。</w:t>
      </w:r>
    </w:p>
    <w:p>
      <w:pPr>
        <w:pStyle w:val="11"/>
        <w:spacing w:line="440" w:lineRule="exact"/>
        <w:ind w:firstLine="420"/>
        <w:rPr>
          <w:rFonts w:ascii="新宋体" w:hAnsi="新宋体" w:eastAsia="新宋体" w:cs="新宋体"/>
          <w:color w:val="auto"/>
          <w:highlight w:val="none"/>
        </w:rPr>
      </w:pPr>
      <w:r>
        <w:rPr>
          <w:rFonts w:hint="eastAsia" w:ascii="新宋体" w:hAnsi="新宋体" w:eastAsia="新宋体" w:cs="新宋体"/>
          <w:color w:val="auto"/>
          <w:highlight w:val="none"/>
        </w:rPr>
        <w:t>11.5  不论磋商结果如何，磋商供应商均应自行承担与编制和提交响应文件有关的全部费用。</w:t>
      </w:r>
    </w:p>
    <w:p>
      <w:pPr>
        <w:pStyle w:val="11"/>
        <w:spacing w:line="440" w:lineRule="exact"/>
        <w:rPr>
          <w:rFonts w:ascii="新宋体" w:hAnsi="新宋体" w:eastAsia="新宋体" w:cs="新宋体"/>
          <w:bCs/>
          <w:color w:val="auto"/>
          <w:highlight w:val="none"/>
        </w:rPr>
      </w:pPr>
      <w:r>
        <w:rPr>
          <w:rFonts w:hint="eastAsia" w:ascii="新宋体" w:hAnsi="新宋体" w:eastAsia="新宋体" w:cs="新宋体"/>
          <w:bCs/>
          <w:color w:val="auto"/>
          <w:highlight w:val="none"/>
        </w:rPr>
        <w:t>12.  响应有效期</w:t>
      </w:r>
    </w:p>
    <w:p>
      <w:pPr>
        <w:pStyle w:val="11"/>
        <w:spacing w:line="440" w:lineRule="exact"/>
        <w:ind w:firstLine="420" w:firstLineChars="200"/>
        <w:rPr>
          <w:rFonts w:ascii="新宋体" w:hAnsi="新宋体" w:eastAsia="新宋体" w:cs="新宋体"/>
          <w:bCs/>
          <w:color w:val="auto"/>
          <w:highlight w:val="none"/>
        </w:rPr>
      </w:pPr>
      <w:r>
        <w:rPr>
          <w:rFonts w:hint="eastAsia" w:ascii="新宋体" w:hAnsi="新宋体" w:eastAsia="新宋体" w:cs="新宋体"/>
          <w:color w:val="auto"/>
          <w:highlight w:val="none"/>
        </w:rPr>
        <w:t>12.1  在磋商供应商须知前附表规定的响应有效期内，磋商供应商不得要求撤销或修改其响应文件。</w:t>
      </w:r>
    </w:p>
    <w:p>
      <w:pPr>
        <w:pStyle w:val="11"/>
        <w:spacing w:line="440" w:lineRule="exact"/>
        <w:ind w:firstLine="420" w:firstLineChars="200"/>
        <w:rPr>
          <w:rFonts w:ascii="新宋体" w:hAnsi="新宋体" w:eastAsia="新宋体" w:cs="新宋体"/>
          <w:bCs/>
          <w:color w:val="auto"/>
          <w:highlight w:val="none"/>
        </w:rPr>
      </w:pPr>
      <w:r>
        <w:rPr>
          <w:rFonts w:hint="eastAsia" w:ascii="新宋体" w:hAnsi="新宋体" w:eastAsia="新宋体" w:cs="新宋体"/>
          <w:color w:val="auto"/>
          <w:highlight w:val="none"/>
        </w:rPr>
        <w:t>12.2  在特殊情况下，采购人或采购代理机构可与磋商供应商协商延长响应有效期，这种要求与答复均应使用书面形式。磋商供应商同意延长的，不得要求或被允许修改或撤销其响应文件；磋商供应商拒绝延长的，其响应失效。</w:t>
      </w:r>
    </w:p>
    <w:p>
      <w:pPr>
        <w:pStyle w:val="11"/>
        <w:spacing w:line="440" w:lineRule="exact"/>
        <w:rPr>
          <w:rFonts w:ascii="新宋体" w:hAnsi="新宋体" w:eastAsia="新宋体" w:cs="新宋体"/>
          <w:bCs/>
          <w:color w:val="auto"/>
          <w:highlight w:val="none"/>
        </w:rPr>
      </w:pPr>
      <w:r>
        <w:rPr>
          <w:rFonts w:hint="eastAsia" w:ascii="新宋体" w:hAnsi="新宋体" w:eastAsia="新宋体" w:cs="新宋体"/>
          <w:bCs/>
          <w:color w:val="auto"/>
          <w:highlight w:val="none"/>
        </w:rPr>
        <w:t xml:space="preserve">13.  </w:t>
      </w:r>
      <w:r>
        <w:rPr>
          <w:rFonts w:hint="eastAsia" w:ascii="新宋体" w:hAnsi="新宋体" w:eastAsia="新宋体" w:cs="新宋体"/>
          <w:color w:val="auto"/>
          <w:highlight w:val="none"/>
        </w:rPr>
        <w:t>磋商</w:t>
      </w:r>
      <w:r>
        <w:rPr>
          <w:rFonts w:hint="eastAsia" w:ascii="新宋体" w:hAnsi="新宋体" w:eastAsia="新宋体" w:cs="新宋体"/>
          <w:bCs/>
          <w:color w:val="auto"/>
          <w:highlight w:val="none"/>
        </w:rPr>
        <w:t>保证金</w:t>
      </w:r>
    </w:p>
    <w:p>
      <w:pPr>
        <w:pStyle w:val="11"/>
        <w:spacing w:line="440" w:lineRule="exact"/>
        <w:ind w:left="2" w:leftChars="1" w:firstLine="417" w:firstLineChars="199"/>
        <w:rPr>
          <w:rFonts w:ascii="新宋体" w:hAnsi="新宋体" w:eastAsia="新宋体" w:cs="新宋体"/>
          <w:color w:val="auto"/>
          <w:highlight w:val="none"/>
        </w:rPr>
      </w:pPr>
      <w:r>
        <w:rPr>
          <w:rFonts w:hint="eastAsia" w:ascii="新宋体" w:hAnsi="新宋体" w:eastAsia="新宋体" w:cs="新宋体"/>
          <w:color w:val="auto"/>
          <w:highlight w:val="none"/>
        </w:rPr>
        <w:t>13.1  本项目不收取磋商保证金。</w:t>
      </w:r>
    </w:p>
    <w:p>
      <w:pPr>
        <w:pStyle w:val="17"/>
        <w:jc w:val="center"/>
        <w:outlineLvl w:val="1"/>
        <w:rPr>
          <w:rFonts w:hint="eastAsia"/>
          <w:color w:val="auto"/>
          <w:highlight w:val="none"/>
        </w:rPr>
      </w:pPr>
      <w:bookmarkStart w:id="50" w:name="_Toc32260"/>
      <w:r>
        <w:rPr>
          <w:rFonts w:hint="eastAsia"/>
          <w:color w:val="auto"/>
          <w:highlight w:val="none"/>
        </w:rPr>
        <w:t>四</w:t>
      </w:r>
      <w:r>
        <w:rPr>
          <w:rFonts w:hint="eastAsia"/>
          <w:color w:val="auto"/>
          <w:highlight w:val="none"/>
          <w:lang w:val="en-US" w:eastAsia="zh-CN"/>
        </w:rPr>
        <w:t xml:space="preserve">  </w:t>
      </w:r>
      <w:r>
        <w:rPr>
          <w:rFonts w:hint="eastAsia"/>
          <w:color w:val="auto"/>
          <w:highlight w:val="none"/>
        </w:rPr>
        <w:t>磋商响应</w:t>
      </w:r>
      <w:bookmarkEnd w:id="50"/>
    </w:p>
    <w:p>
      <w:pPr>
        <w:pStyle w:val="11"/>
        <w:spacing w:line="440" w:lineRule="exact"/>
        <w:rPr>
          <w:rFonts w:ascii="新宋体" w:hAnsi="新宋体" w:eastAsia="新宋体" w:cs="新宋体"/>
          <w:b/>
          <w:color w:val="auto"/>
          <w:highlight w:val="none"/>
        </w:rPr>
      </w:pPr>
      <w:r>
        <w:rPr>
          <w:rFonts w:hint="eastAsia" w:ascii="新宋体" w:hAnsi="新宋体" w:eastAsia="新宋体" w:cs="新宋体"/>
          <w:b/>
          <w:color w:val="auto"/>
          <w:highlight w:val="none"/>
        </w:rPr>
        <w:t>14.  响应文件的密封</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14.1  磋商供应商应将响应文件进行密封包装，并在</w:t>
      </w:r>
      <w:r>
        <w:rPr>
          <w:rFonts w:hint="eastAsia" w:ascii="新宋体" w:hAnsi="新宋体" w:eastAsia="新宋体" w:cs="新宋体"/>
          <w:color w:val="auto"/>
          <w:highlight w:val="none"/>
          <w:lang w:val="en-US" w:eastAsia="zh-CN"/>
        </w:rPr>
        <w:t>封口处</w:t>
      </w:r>
      <w:r>
        <w:rPr>
          <w:rFonts w:hint="eastAsia" w:ascii="新宋体" w:hAnsi="新宋体" w:eastAsia="新宋体" w:cs="新宋体"/>
          <w:color w:val="auto"/>
          <w:highlight w:val="none"/>
        </w:rPr>
        <w:t>加盖单位公章。</w:t>
      </w:r>
    </w:p>
    <w:p>
      <w:pPr>
        <w:pStyle w:val="11"/>
        <w:spacing w:line="440" w:lineRule="exact"/>
        <w:rPr>
          <w:rFonts w:ascii="新宋体" w:hAnsi="新宋体" w:eastAsia="新宋体" w:cs="新宋体"/>
          <w:bCs/>
          <w:color w:val="auto"/>
          <w:highlight w:val="none"/>
        </w:rPr>
      </w:pPr>
      <w:r>
        <w:rPr>
          <w:rFonts w:hint="eastAsia" w:ascii="新宋体" w:hAnsi="新宋体" w:eastAsia="新宋体" w:cs="新宋体"/>
          <w:bCs/>
          <w:color w:val="auto"/>
          <w:highlight w:val="none"/>
        </w:rPr>
        <w:t>15.  响应文件的提交</w:t>
      </w:r>
    </w:p>
    <w:p>
      <w:pPr>
        <w:pStyle w:val="11"/>
        <w:spacing w:line="440" w:lineRule="exact"/>
        <w:ind w:firstLine="420" w:firstLineChars="200"/>
        <w:rPr>
          <w:rFonts w:ascii="新宋体" w:hAnsi="新宋体" w:eastAsia="新宋体" w:cs="新宋体"/>
          <w:bCs/>
          <w:color w:val="auto"/>
          <w:highlight w:val="none"/>
        </w:rPr>
      </w:pPr>
      <w:r>
        <w:rPr>
          <w:rFonts w:hint="eastAsia" w:ascii="新宋体" w:hAnsi="新宋体" w:eastAsia="新宋体" w:cs="新宋体"/>
          <w:color w:val="auto"/>
          <w:highlight w:val="none"/>
        </w:rPr>
        <w:t>15.1 磋商供应商提交响应文件截止时间：见磋商供应商须知前附表。</w:t>
      </w:r>
    </w:p>
    <w:p>
      <w:pPr>
        <w:pStyle w:val="11"/>
        <w:spacing w:line="440" w:lineRule="exact"/>
        <w:ind w:firstLine="420" w:firstLineChars="200"/>
        <w:rPr>
          <w:rFonts w:ascii="新宋体" w:hAnsi="新宋体" w:eastAsia="新宋体" w:cs="新宋体"/>
          <w:bCs/>
          <w:color w:val="auto"/>
          <w:highlight w:val="none"/>
        </w:rPr>
      </w:pPr>
      <w:r>
        <w:rPr>
          <w:rFonts w:hint="eastAsia" w:ascii="新宋体" w:hAnsi="新宋体" w:eastAsia="新宋体" w:cs="新宋体"/>
          <w:color w:val="auto"/>
          <w:highlight w:val="none"/>
        </w:rPr>
        <w:t>15.2  磋商供应商提交响应文件地点：见磋商供应商须知前附表。</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15.3 磋商供应商提交响应文件时，应自行检查其响应文件的密封性，并签字确认。</w:t>
      </w:r>
    </w:p>
    <w:p>
      <w:pPr>
        <w:pStyle w:val="17"/>
        <w:outlineLvl w:val="1"/>
        <w:rPr>
          <w:rFonts w:ascii="新宋体" w:hAnsi="新宋体" w:eastAsia="新宋体" w:cs="新宋体"/>
          <w:color w:val="auto"/>
          <w:sz w:val="21"/>
          <w:szCs w:val="21"/>
          <w:highlight w:val="none"/>
        </w:rPr>
      </w:pPr>
      <w:bookmarkStart w:id="51" w:name="_Toc3747"/>
      <w:r>
        <w:rPr>
          <w:rFonts w:hint="eastAsia"/>
          <w:color w:val="auto"/>
          <w:highlight w:val="none"/>
        </w:rPr>
        <w:t>五</w:t>
      </w:r>
      <w:r>
        <w:rPr>
          <w:rFonts w:hint="eastAsia"/>
          <w:color w:val="auto"/>
          <w:highlight w:val="none"/>
          <w:lang w:val="en-US" w:eastAsia="zh-CN"/>
        </w:rPr>
        <w:t xml:space="preserve">  </w:t>
      </w:r>
      <w:r>
        <w:rPr>
          <w:rFonts w:hint="eastAsia"/>
          <w:color w:val="auto"/>
          <w:highlight w:val="none"/>
        </w:rPr>
        <w:t>评审与磋商</w:t>
      </w:r>
      <w:bookmarkEnd w:id="51"/>
    </w:p>
    <w:p>
      <w:pPr>
        <w:pStyle w:val="11"/>
        <w:spacing w:line="440" w:lineRule="exact"/>
        <w:rPr>
          <w:rFonts w:ascii="新宋体" w:hAnsi="新宋体" w:eastAsia="新宋体" w:cs="新宋体"/>
          <w:b/>
          <w:color w:val="auto"/>
          <w:highlight w:val="none"/>
        </w:rPr>
      </w:pPr>
      <w:r>
        <w:rPr>
          <w:rFonts w:hint="eastAsia" w:ascii="新宋体" w:hAnsi="新宋体" w:eastAsia="新宋体" w:cs="新宋体"/>
          <w:b/>
          <w:color w:val="auto"/>
          <w:highlight w:val="none"/>
        </w:rPr>
        <w:t>16.  响应文件截止</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16.1  磋商供应商的法定代表人或其委托代理人应在提交响应文件截止时间前到达响应文件提交地点并签到。如未按时签到，由此产生的后果由磋商供应商自行负责。</w:t>
      </w:r>
    </w:p>
    <w:p>
      <w:pPr>
        <w:pStyle w:val="11"/>
        <w:spacing w:line="440" w:lineRule="exact"/>
        <w:rPr>
          <w:rFonts w:ascii="新宋体" w:hAnsi="新宋体" w:eastAsia="新宋体" w:cs="新宋体"/>
          <w:b/>
          <w:color w:val="auto"/>
          <w:highlight w:val="none"/>
        </w:rPr>
      </w:pPr>
      <w:r>
        <w:rPr>
          <w:rFonts w:hint="eastAsia" w:ascii="新宋体" w:hAnsi="新宋体" w:eastAsia="新宋体" w:cs="新宋体"/>
          <w:b/>
          <w:color w:val="auto"/>
          <w:highlight w:val="none"/>
        </w:rPr>
        <w:t>17.  评审与磋商</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17.1  成立磋商小组：评审与磋商活动由依法组建的磋商小组负责。磋商小组由采购人代表和有关技术、经济等方面的专家组成。采购人或采购代理机构根据本项目的特点，从政采云平台上的评审专家库中，通过随机方式抽取专家。</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17.2  评审原则：评审活动遵循公平、公正、科学和择优的原则。</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17.3  评审方法：磋商小组按照磋商供应商须知前附表和第三章“评审方法”规定的方法、评审因素和标准对响应文件进行评审。在评审中，不得改变第三章“评审办法”规定的方法、评审因素和标准；第三章“评审办法”没有规定的方法、评审因素和标准，不作为评审依据。</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 xml:space="preserve">17.4  </w:t>
      </w:r>
      <w:r>
        <w:rPr>
          <w:rFonts w:hint="eastAsia" w:ascii="新宋体" w:hAnsi="新宋体" w:eastAsia="新宋体" w:cs="新宋体"/>
          <w:bCs/>
          <w:color w:val="auto"/>
          <w:highlight w:val="none"/>
        </w:rPr>
        <w:t>评审程序：</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 xml:space="preserve">17.4.1  </w:t>
      </w:r>
      <w:r>
        <w:rPr>
          <w:rFonts w:hint="eastAsia" w:ascii="新宋体" w:hAnsi="新宋体" w:eastAsia="新宋体" w:cs="新宋体"/>
          <w:bCs/>
          <w:color w:val="auto"/>
          <w:highlight w:val="none"/>
        </w:rPr>
        <w:t>采购代理机构项目负责人宣读评审会场纪律要求，集中管理通讯工具，询问在场人员是否申请回避。</w:t>
      </w:r>
    </w:p>
    <w:p>
      <w:pPr>
        <w:pStyle w:val="11"/>
        <w:spacing w:line="440" w:lineRule="exact"/>
        <w:ind w:firstLine="420" w:firstLineChars="200"/>
        <w:rPr>
          <w:rFonts w:ascii="新宋体" w:hAnsi="新宋体" w:eastAsia="新宋体" w:cs="新宋体"/>
          <w:bCs/>
          <w:color w:val="auto"/>
          <w:highlight w:val="none"/>
        </w:rPr>
      </w:pPr>
      <w:r>
        <w:rPr>
          <w:rFonts w:hint="eastAsia" w:ascii="新宋体" w:hAnsi="新宋体" w:eastAsia="新宋体" w:cs="新宋体"/>
          <w:color w:val="auto"/>
          <w:highlight w:val="none"/>
        </w:rPr>
        <w:t xml:space="preserve">17.4.2  </w:t>
      </w:r>
      <w:r>
        <w:rPr>
          <w:rFonts w:hint="eastAsia" w:ascii="新宋体" w:hAnsi="新宋体" w:eastAsia="新宋体" w:cs="新宋体"/>
          <w:bCs/>
          <w:color w:val="auto"/>
          <w:highlight w:val="none"/>
        </w:rPr>
        <w:t>采购代理机构项目负责人介绍项目概况及</w:t>
      </w:r>
      <w:r>
        <w:rPr>
          <w:rFonts w:hint="eastAsia" w:ascii="新宋体" w:hAnsi="新宋体" w:eastAsia="新宋体" w:cs="新宋体"/>
          <w:color w:val="auto"/>
          <w:highlight w:val="none"/>
        </w:rPr>
        <w:t>磋商</w:t>
      </w:r>
      <w:r>
        <w:rPr>
          <w:rFonts w:hint="eastAsia" w:ascii="新宋体" w:hAnsi="新宋体" w:eastAsia="新宋体" w:cs="新宋体"/>
          <w:bCs/>
          <w:color w:val="auto"/>
          <w:highlight w:val="none"/>
        </w:rPr>
        <w:t>小组组成情况（但不得发表影响评审的倾向性、歧视性言论），推选</w:t>
      </w:r>
      <w:r>
        <w:rPr>
          <w:rFonts w:hint="eastAsia" w:ascii="新宋体" w:hAnsi="新宋体" w:eastAsia="新宋体" w:cs="新宋体"/>
          <w:color w:val="auto"/>
          <w:highlight w:val="none"/>
        </w:rPr>
        <w:t>磋商</w:t>
      </w:r>
      <w:r>
        <w:rPr>
          <w:rFonts w:hint="eastAsia" w:ascii="新宋体" w:hAnsi="新宋体" w:eastAsia="新宋体" w:cs="新宋体"/>
          <w:bCs/>
          <w:color w:val="auto"/>
          <w:highlight w:val="none"/>
        </w:rPr>
        <w:t>小组组长（原则上采购人</w:t>
      </w:r>
      <w:r>
        <w:rPr>
          <w:rFonts w:hint="eastAsia" w:ascii="新宋体" w:hAnsi="新宋体" w:eastAsia="新宋体" w:cs="新宋体"/>
          <w:bCs/>
          <w:color w:val="auto"/>
          <w:highlight w:val="none"/>
          <w:lang w:eastAsia="zh-CN"/>
        </w:rPr>
        <w:t>代表</w:t>
      </w:r>
      <w:r>
        <w:rPr>
          <w:rFonts w:hint="eastAsia" w:ascii="新宋体" w:hAnsi="新宋体" w:eastAsia="新宋体" w:cs="新宋体"/>
          <w:bCs/>
          <w:color w:val="auto"/>
          <w:highlight w:val="none"/>
        </w:rPr>
        <w:t>不得担任</w:t>
      </w:r>
      <w:r>
        <w:rPr>
          <w:rFonts w:hint="eastAsia" w:ascii="新宋体" w:hAnsi="新宋体" w:eastAsia="新宋体" w:cs="新宋体"/>
          <w:color w:val="auto"/>
          <w:highlight w:val="none"/>
        </w:rPr>
        <w:t>磋商</w:t>
      </w:r>
      <w:r>
        <w:rPr>
          <w:rFonts w:hint="eastAsia" w:ascii="新宋体" w:hAnsi="新宋体" w:eastAsia="新宋体" w:cs="新宋体"/>
          <w:bCs/>
          <w:color w:val="auto"/>
          <w:highlight w:val="none"/>
        </w:rPr>
        <w:t>小组组长）。</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bCs/>
          <w:color w:val="auto"/>
          <w:highlight w:val="none"/>
        </w:rPr>
        <w:t xml:space="preserve">17.4.3  </w:t>
      </w:r>
      <w:r>
        <w:rPr>
          <w:rFonts w:hint="eastAsia" w:ascii="新宋体" w:hAnsi="新宋体" w:eastAsia="新宋体" w:cs="新宋体"/>
          <w:color w:val="auto"/>
          <w:highlight w:val="none"/>
        </w:rPr>
        <w:t>磋商小组在响应文件拆封前对响应文件做密封性检查，并签字确认。</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17.4.4  响应文件初审：初审分为资格性检查和符合性检查。</w:t>
      </w:r>
    </w:p>
    <w:p>
      <w:pPr>
        <w:pStyle w:val="11"/>
        <w:spacing w:line="440" w:lineRule="exact"/>
        <w:ind w:firstLine="630" w:firstLineChars="300"/>
        <w:rPr>
          <w:rFonts w:hint="eastAsia" w:ascii="新宋体" w:hAnsi="新宋体" w:eastAsia="新宋体" w:cs="新宋体"/>
          <w:color w:val="auto"/>
          <w:highlight w:val="none"/>
        </w:rPr>
      </w:pPr>
      <w:r>
        <w:rPr>
          <w:rFonts w:hint="eastAsia" w:ascii="新宋体" w:hAnsi="新宋体" w:eastAsia="新宋体" w:cs="新宋体"/>
          <w:color w:val="auto"/>
          <w:highlight w:val="none"/>
        </w:rPr>
        <w:t>（1）资格性检查：依据法律法规和采购文件的规定，对响应文件中的资格证明进行审查，以确定磋商供应商是否具备响应的资格。</w:t>
      </w:r>
    </w:p>
    <w:p>
      <w:pPr>
        <w:pStyle w:val="11"/>
        <w:spacing w:line="440" w:lineRule="exact"/>
        <w:ind w:firstLine="420" w:firstLineChars="200"/>
        <w:rPr>
          <w:color w:val="auto"/>
          <w:highlight w:val="none"/>
        </w:rPr>
      </w:pPr>
      <w:r>
        <w:rPr>
          <w:rFonts w:hint="eastAsia" w:ascii="新宋体" w:hAnsi="新宋体" w:eastAsia="新宋体" w:cs="新宋体"/>
          <w:color w:val="auto"/>
          <w:highlight w:val="none"/>
        </w:rPr>
        <w:t>说明:由采购人或采购代理机构在对各</w:t>
      </w:r>
      <w:r>
        <w:rPr>
          <w:rFonts w:hint="eastAsia" w:ascii="宋体" w:hAnsi="宋体" w:cs="宋体"/>
          <w:color w:val="auto"/>
          <w:szCs w:val="21"/>
          <w:highlight w:val="none"/>
          <w:lang w:eastAsia="zh-CN"/>
        </w:rPr>
        <w:t>磋商供应商</w:t>
      </w:r>
      <w:r>
        <w:rPr>
          <w:rFonts w:hint="eastAsia" w:ascii="新宋体" w:hAnsi="新宋体" w:eastAsia="新宋体" w:cs="新宋体"/>
          <w:color w:val="auto"/>
          <w:highlight w:val="none"/>
        </w:rPr>
        <w:t>进行信用查询。</w:t>
      </w:r>
      <w:r>
        <w:rPr>
          <w:rFonts w:hint="eastAsia" w:ascii="新宋体" w:hAnsi="新宋体" w:eastAsia="新宋体" w:cs="新宋体"/>
          <w:color w:val="auto"/>
          <w:highlight w:val="none"/>
        </w:rPr>
        <w:br w:type="textWrapping"/>
      </w:r>
      <w:r>
        <w:rPr>
          <w:rFonts w:hint="eastAsia" w:ascii="新宋体" w:hAnsi="新宋体" w:eastAsia="新宋体" w:cs="新宋体"/>
          <w:color w:val="auto"/>
          <w:highlight w:val="none"/>
        </w:rPr>
        <w:t>查询渠道:信用中国网(www.creditchina.gov.cn)、中国政府采购网(www.ccgp.gov.cn)；</w:t>
      </w:r>
      <w:r>
        <w:rPr>
          <w:rFonts w:hint="eastAsia" w:ascii="新宋体" w:hAnsi="新宋体" w:eastAsia="新宋体" w:cs="新宋体"/>
          <w:color w:val="auto"/>
          <w:highlight w:val="none"/>
        </w:rPr>
        <w:br w:type="textWrapping"/>
      </w:r>
      <w:r>
        <w:rPr>
          <w:rFonts w:hint="eastAsia" w:ascii="新宋体" w:hAnsi="新宋体" w:eastAsia="新宋体" w:cs="新宋体"/>
          <w:color w:val="auto"/>
          <w:highlight w:val="none"/>
        </w:rPr>
        <w:t>查询时间:</w:t>
      </w:r>
      <w:r>
        <w:rPr>
          <w:rFonts w:hint="eastAsia" w:ascii="新宋体" w:hAnsi="新宋体" w:eastAsia="新宋体" w:cs="新宋体"/>
          <w:color w:val="auto"/>
          <w:highlight w:val="none"/>
          <w:lang w:eastAsia="zh-CN"/>
        </w:rPr>
        <w:t>磋商截止时间</w:t>
      </w:r>
      <w:r>
        <w:rPr>
          <w:rFonts w:hint="eastAsia" w:ascii="新宋体" w:hAnsi="新宋体" w:eastAsia="新宋体" w:cs="新宋体"/>
          <w:color w:val="auto"/>
          <w:highlight w:val="none"/>
        </w:rPr>
        <w:t>后；</w:t>
      </w:r>
      <w:r>
        <w:rPr>
          <w:rFonts w:hint="eastAsia" w:ascii="新宋体" w:hAnsi="新宋体" w:eastAsia="新宋体" w:cs="新宋体"/>
          <w:color w:val="auto"/>
          <w:highlight w:val="none"/>
        </w:rPr>
        <w:br w:type="textWrapping"/>
      </w:r>
      <w:r>
        <w:rPr>
          <w:rFonts w:hint="eastAsia" w:ascii="新宋体" w:hAnsi="新宋体" w:eastAsia="新宋体" w:cs="新宋体"/>
          <w:color w:val="auto"/>
          <w:highlight w:val="none"/>
        </w:rPr>
        <w:t>查询记录和证据留存方式:在查询网站中直接打印查询记录，打印材料作为评审资料保存；</w:t>
      </w:r>
      <w:r>
        <w:rPr>
          <w:rFonts w:hint="eastAsia" w:ascii="新宋体" w:hAnsi="新宋体" w:eastAsia="新宋体" w:cs="新宋体"/>
          <w:color w:val="auto"/>
          <w:highlight w:val="none"/>
        </w:rPr>
        <w:br w:type="textWrapping"/>
      </w:r>
      <w:r>
        <w:rPr>
          <w:rFonts w:hint="eastAsia" w:ascii="新宋体" w:hAnsi="新宋体" w:eastAsia="新宋体" w:cs="新宋体"/>
          <w:color w:val="auto"/>
          <w:highlight w:val="none"/>
        </w:rPr>
        <w:t>信用信息使用规则:对在“信用中国”网站(www.creditchina.gov.cn)、中国政府采购网、</w:t>
      </w:r>
      <w:r>
        <w:rPr>
          <w:rFonts w:hint="eastAsia" w:ascii="新宋体" w:hAnsi="新宋体" w:eastAsia="新宋体" w:cs="新宋体"/>
          <w:color w:val="auto"/>
          <w:highlight w:val="none"/>
        </w:rPr>
        <w:br w:type="textWrapping"/>
      </w:r>
      <w:r>
        <w:rPr>
          <w:rFonts w:hint="eastAsia" w:ascii="新宋体" w:hAnsi="新宋体" w:eastAsia="新宋体" w:cs="新宋体"/>
          <w:color w:val="auto"/>
          <w:highlight w:val="none"/>
        </w:rPr>
        <w:t>(www.ccgp.gov.cn)被列入失信被执行人、重大税收违法案件当事人名单、政府采购严重违法失信行</w:t>
      </w:r>
      <w:r>
        <w:rPr>
          <w:rFonts w:hint="eastAsia" w:ascii="新宋体" w:hAnsi="新宋体" w:eastAsia="新宋体" w:cs="新宋体"/>
          <w:color w:val="auto"/>
          <w:highlight w:val="none"/>
        </w:rPr>
        <w:br w:type="textWrapping"/>
      </w:r>
      <w:r>
        <w:rPr>
          <w:rFonts w:hint="eastAsia" w:ascii="新宋体" w:hAnsi="新宋体" w:eastAsia="新宋体" w:cs="新宋体"/>
          <w:color w:val="auto"/>
          <w:highlight w:val="none"/>
        </w:rPr>
        <w:t>为记录名单及其他不符合《中华人民共和国政府采购法》第二十二条规定条件的供应商，资格审查</w:t>
      </w:r>
      <w:r>
        <w:rPr>
          <w:rFonts w:hint="eastAsia" w:ascii="新宋体" w:hAnsi="新宋体" w:eastAsia="新宋体" w:cs="新宋体"/>
          <w:color w:val="auto"/>
          <w:highlight w:val="none"/>
        </w:rPr>
        <w:br w:type="textWrapping"/>
      </w:r>
      <w:r>
        <w:rPr>
          <w:rFonts w:hint="eastAsia" w:ascii="新宋体" w:hAnsi="新宋体" w:eastAsia="新宋体" w:cs="新宋体"/>
          <w:color w:val="auto"/>
          <w:highlight w:val="none"/>
        </w:rPr>
        <w:t>不通过，拒绝参与本次政府采购活动。</w:t>
      </w:r>
    </w:p>
    <w:p>
      <w:pPr>
        <w:pStyle w:val="11"/>
        <w:spacing w:line="440" w:lineRule="exact"/>
        <w:ind w:firstLine="630" w:firstLineChars="300"/>
        <w:rPr>
          <w:rFonts w:ascii="新宋体" w:hAnsi="新宋体" w:eastAsia="新宋体" w:cs="新宋体"/>
          <w:color w:val="auto"/>
          <w:highlight w:val="none"/>
        </w:rPr>
      </w:pPr>
      <w:r>
        <w:rPr>
          <w:rFonts w:hint="eastAsia" w:ascii="新宋体" w:hAnsi="新宋体" w:eastAsia="新宋体" w:cs="新宋体"/>
          <w:color w:val="auto"/>
          <w:highlight w:val="none"/>
        </w:rPr>
        <w:t>（2）符合性检查：依据采购文件的规定，从响应文件的有效性、完整性和对响应文件的响应程度进行审查，以确定是否对响应文件的实质性要求和条件作出响应。</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17.4.5  澄清有关问题。对响应文件中含义不明确、同类问题表述不一致或者有明显文字和计算错误的内容，磋商小组可以书面形式（应当由磋商小组专家签字）要求磋商供应商作出必要的澄清、说明或者纠正。磋商供应商的澄清、说明或者纠正应当采用书面形式，由法定代表人或其委托代理人签字或盖章确认，且不得超出响应文件的范围或者改变响应文件的实质性内容。该澄清、说明或者纠正是响应文件的组成部分。</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17.4.6  制定磋商文件。磋商小组根据采购项目实际情况制定磋商文件。磋商文件应当明确磋商程序、磋商内容、合同草案的条款以及评定成交的标准等事项。</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17.4.8  磋商。</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（1）磋商小组将在磋商供应商须知前附表规定的地点与各磋商供应商进行每轮磋商。</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（2）磋商内容包括：响应报价、技术参数要求和商务条款、合同草案条款，其中磋商供应商资格条件除外。</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3）磋商小组所有成员集中与单一供应商分别进行磋商。在磋商中，磋商的任何一方不得透露与磋商有关的其他供应商的技术资料、价格和其他信息。对磋商文件做出的实质性变动（采购需求中的技术、服务要求以及合同草案条款）是磋商文件的有效组成部分，磋商小组应当及时以书面形式通知所有参加磋商的供应商。</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4）磋商供应商的法定代表人或其委托代理人必须参加每轮磋商。磋商供应商的法定代表人凭法定代表人资格证明书和本人身份证原件参加磋商，其委托代理人凭授权委托书和本人身份证原件参加磋商。磋商供应商未按时到达评审会场参加磋商或未能出示上述证件的，视为放弃响应。</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5）磋商小组与磋商供应商进行磋商的内容，磋商供应商除当场答复外，还应作出书面应答。书面应答文件必须由磋商供应商的法定代表人或其委托代理人签字（签章）或盖公章，按要求进行封装并在磋商文件规定的时间前提交至磋商小组，否则视为放弃响应。</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6）磋商小组与磋商供应商可进行多轮磋商，磋商供应商的最后一次应答文件及最终报价应单独封装提交至磋商小组。在对商务、技术及其他内容的比较和评价结束前，磋商小组不能接触、比较和评价响应报价。最终报价在磋商小组完成商务、技术及其他内容的评审后才能拆封。</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（7）磋商供应商的应答文件经磋商小组代表确认后，变动竞争性磋商文件或响应文件中相应的内容，并构成响应文件的组成部分和评审的依据。如成交，则作为合同的组成部分。</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17.4.9  按顺序排列成交候选供应商，并编写评审报告。</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17.4.10  采购代理机构对评审过程和评分、评审结论进行核对和复核，如有错漏，请磋商小组进行校正，按校正后的结果确定成交单位。</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17.5  评审过程的保密。评审在严格保密的情况下进行，任何单位和个人不得非法干预、影响评审办法的确定，以及评审过程和结果。磋商小组成员和参与评审的有关工作人员不得透露对响应文件的评审和比较、成交候选人的推荐情况以及与评审有关的其他情况。</w:t>
      </w:r>
    </w:p>
    <w:p>
      <w:pPr>
        <w:pStyle w:val="11"/>
        <w:spacing w:line="440" w:lineRule="exact"/>
        <w:rPr>
          <w:rFonts w:ascii="新宋体" w:hAnsi="新宋体" w:eastAsia="新宋体" w:cs="新宋体"/>
          <w:bCs/>
          <w:color w:val="auto"/>
          <w:highlight w:val="none"/>
        </w:rPr>
      </w:pPr>
      <w:r>
        <w:rPr>
          <w:rFonts w:hint="eastAsia" w:ascii="新宋体" w:hAnsi="新宋体" w:eastAsia="新宋体" w:cs="新宋体"/>
          <w:bCs/>
          <w:color w:val="auto"/>
          <w:highlight w:val="none"/>
        </w:rPr>
        <w:t>18.  响应文件的修正</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18.1  如果出现计算或表达上的错误，修正的原则如下：</w:t>
      </w:r>
    </w:p>
    <w:p>
      <w:pPr>
        <w:pStyle w:val="11"/>
        <w:spacing w:line="440" w:lineRule="exact"/>
        <w:ind w:firstLine="420"/>
        <w:rPr>
          <w:rFonts w:ascii="新宋体" w:hAnsi="新宋体" w:eastAsia="新宋体" w:cs="新宋体"/>
          <w:bCs/>
          <w:color w:val="auto"/>
          <w:highlight w:val="none"/>
        </w:rPr>
      </w:pPr>
      <w:r>
        <w:rPr>
          <w:rFonts w:hint="eastAsia" w:ascii="新宋体" w:hAnsi="新宋体" w:eastAsia="新宋体" w:cs="新宋体"/>
          <w:color w:val="auto"/>
          <w:highlight w:val="none"/>
        </w:rPr>
        <w:t>（1）响应文件中响应函内容与响应报价表内容不一致的，以响应函为准；</w:t>
      </w:r>
    </w:p>
    <w:p>
      <w:pPr>
        <w:pStyle w:val="11"/>
        <w:spacing w:line="440" w:lineRule="exact"/>
        <w:ind w:firstLine="420"/>
        <w:rPr>
          <w:rFonts w:ascii="新宋体" w:hAnsi="新宋体" w:eastAsia="新宋体" w:cs="新宋体"/>
          <w:bCs/>
          <w:color w:val="auto"/>
          <w:highlight w:val="none"/>
        </w:rPr>
      </w:pPr>
      <w:r>
        <w:rPr>
          <w:rFonts w:hint="eastAsia" w:ascii="新宋体" w:hAnsi="新宋体" w:eastAsia="新宋体" w:cs="新宋体"/>
          <w:color w:val="auto"/>
          <w:highlight w:val="none"/>
        </w:rPr>
        <w:t>（2）响应文件的大写金额和小写金额不一致的，以大写金额为准；</w:t>
      </w:r>
    </w:p>
    <w:p>
      <w:pPr>
        <w:pStyle w:val="11"/>
        <w:spacing w:line="440" w:lineRule="exact"/>
        <w:ind w:firstLine="420"/>
        <w:rPr>
          <w:rFonts w:ascii="新宋体" w:hAnsi="新宋体" w:eastAsia="新宋体" w:cs="新宋体"/>
          <w:bCs/>
          <w:color w:val="auto"/>
          <w:highlight w:val="none"/>
        </w:rPr>
      </w:pPr>
      <w:r>
        <w:rPr>
          <w:rFonts w:hint="eastAsia" w:ascii="新宋体" w:hAnsi="新宋体" w:eastAsia="新宋体" w:cs="新宋体"/>
          <w:color w:val="auto"/>
          <w:highlight w:val="none"/>
        </w:rPr>
        <w:t>（3）总价金额与按单价汇总金额不一致的，以单价金额计算结果为准；</w:t>
      </w:r>
    </w:p>
    <w:p>
      <w:pPr>
        <w:pStyle w:val="11"/>
        <w:spacing w:line="440" w:lineRule="exact"/>
        <w:ind w:firstLine="420"/>
        <w:rPr>
          <w:rFonts w:ascii="新宋体" w:hAnsi="新宋体" w:eastAsia="新宋体" w:cs="新宋体"/>
          <w:bCs/>
          <w:color w:val="auto"/>
          <w:highlight w:val="none"/>
        </w:rPr>
      </w:pPr>
      <w:r>
        <w:rPr>
          <w:rFonts w:hint="eastAsia" w:ascii="新宋体" w:hAnsi="新宋体" w:eastAsia="新宋体" w:cs="新宋体"/>
          <w:color w:val="auto"/>
          <w:highlight w:val="none"/>
        </w:rPr>
        <w:t>（4）单价金额小数点有明显错位的，应以总价为准，并修改单价。</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18.2  按上述修正原则修正后的响应报价经磋商供应商书面确认后对磋商供应商具有约束力。如果磋商供应商不接受修正后的响应报价，则其响应文件无效。</w:t>
      </w:r>
    </w:p>
    <w:p>
      <w:pPr>
        <w:pStyle w:val="11"/>
        <w:spacing w:line="440" w:lineRule="exact"/>
        <w:rPr>
          <w:rFonts w:ascii="新宋体" w:hAnsi="新宋体" w:eastAsia="新宋体" w:cs="新宋体"/>
          <w:b/>
          <w:bCs/>
          <w:color w:val="auto"/>
          <w:highlight w:val="none"/>
        </w:rPr>
      </w:pPr>
      <w:r>
        <w:rPr>
          <w:rFonts w:hint="eastAsia" w:ascii="新宋体" w:hAnsi="新宋体" w:eastAsia="新宋体" w:cs="新宋体"/>
          <w:b/>
          <w:bCs/>
          <w:color w:val="auto"/>
          <w:highlight w:val="none"/>
        </w:rPr>
        <w:t>19.  拒绝接收</w:t>
      </w:r>
    </w:p>
    <w:p>
      <w:pPr>
        <w:pStyle w:val="11"/>
        <w:spacing w:line="440" w:lineRule="exact"/>
        <w:ind w:firstLine="420"/>
        <w:rPr>
          <w:rFonts w:ascii="新宋体" w:hAnsi="新宋体" w:eastAsia="新宋体" w:cs="新宋体"/>
          <w:color w:val="auto"/>
          <w:highlight w:val="none"/>
        </w:rPr>
      </w:pPr>
      <w:r>
        <w:rPr>
          <w:rFonts w:hint="eastAsia" w:ascii="新宋体" w:hAnsi="新宋体" w:eastAsia="新宋体" w:cs="新宋体"/>
          <w:color w:val="auto"/>
          <w:highlight w:val="none"/>
        </w:rPr>
        <w:t>19.1  磋商供应商未在本章第15.1项规定的时间之前将响应文件送达至本章第15.2项指定地点的，采购代理机构应当拒绝接收该磋商供应商的响应文件。</w:t>
      </w:r>
    </w:p>
    <w:p>
      <w:pPr>
        <w:pStyle w:val="11"/>
        <w:spacing w:line="440" w:lineRule="exact"/>
        <w:rPr>
          <w:rFonts w:ascii="新宋体" w:hAnsi="新宋体" w:eastAsia="新宋体" w:cs="新宋体"/>
          <w:b/>
          <w:bCs/>
          <w:color w:val="auto"/>
          <w:highlight w:val="none"/>
        </w:rPr>
      </w:pPr>
      <w:r>
        <w:rPr>
          <w:rFonts w:hint="eastAsia" w:ascii="新宋体" w:hAnsi="新宋体" w:eastAsia="新宋体" w:cs="新宋体"/>
          <w:b/>
          <w:bCs/>
          <w:color w:val="auto"/>
          <w:highlight w:val="none"/>
        </w:rPr>
        <w:t>20.  无效响应</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20.1  属下列情形之一的，磋商供应商的响应文件无效：</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（1）磋商供应商不具备本章第3项规定的磋商供应商资格要求的；</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 xml:space="preserve">（2）响应文件未按本章第8.8项的规定标识或未按规定的正、副本数量提交的； </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（3）响应文件未按本章第10.1项的规定编写和提交的（包括缺少应提交的文件或格式不符合第五章“响应文件格式”的要求）；</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（4）响应文件不符合本章第10.2项规定的；</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（5）响应报价不符合本章第11项规定的或超过采购预算的；</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（6）响应文件不符合本章第14.1项规定的；</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（7）磋商供应商出现本章第18.2项所述情形的；</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（8）响应文件未对竞争性磋商文件提出的要求和条件作出实质性响应的；</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（9）磋商小组认为响应文件存在严重负偏离的；</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（10）响应文件附有采购需求以外的条件使磋商小组认为不能接受的；</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（11）磋商供应商在响应过程中提供虚假材料的。</w:t>
      </w:r>
    </w:p>
    <w:p>
      <w:pPr>
        <w:pStyle w:val="11"/>
        <w:spacing w:line="440" w:lineRule="exact"/>
        <w:rPr>
          <w:rFonts w:ascii="新宋体" w:hAnsi="新宋体" w:eastAsia="新宋体" w:cs="新宋体"/>
          <w:b/>
          <w:bCs/>
          <w:color w:val="auto"/>
          <w:highlight w:val="none"/>
        </w:rPr>
      </w:pPr>
      <w:r>
        <w:rPr>
          <w:rFonts w:hint="eastAsia" w:ascii="新宋体" w:hAnsi="新宋体" w:eastAsia="新宋体" w:cs="新宋体"/>
          <w:b/>
          <w:bCs/>
          <w:color w:val="auto"/>
          <w:highlight w:val="none"/>
        </w:rPr>
        <w:t>21.  采购活动终止</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21.1政府购买服务项目（含政府和社会资本合作项目），或者市场竞争不充分的科研项目，或者需要扶持的科技成果转化项目，在采购过程中符合要求的供应商不足2家的，竞争性磋商采购活动，予以终止；</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21.2  除了21.1规定的项目外， 在采购过程中，出现下列情形之一的，予以终止：</w:t>
      </w:r>
    </w:p>
    <w:p>
      <w:pPr>
        <w:pStyle w:val="11"/>
        <w:spacing w:line="440" w:lineRule="exact"/>
        <w:ind w:firstLine="420"/>
        <w:rPr>
          <w:rFonts w:ascii="新宋体" w:hAnsi="新宋体" w:eastAsia="新宋体" w:cs="新宋体"/>
          <w:color w:val="auto"/>
          <w:highlight w:val="none"/>
        </w:rPr>
      </w:pPr>
      <w:r>
        <w:rPr>
          <w:rFonts w:hint="eastAsia" w:ascii="新宋体" w:hAnsi="新宋体" w:eastAsia="新宋体" w:cs="新宋体"/>
          <w:color w:val="auto"/>
          <w:highlight w:val="none"/>
        </w:rPr>
        <w:t>（1）符合资格条件的供应商或者对</w:t>
      </w:r>
      <w:r>
        <w:rPr>
          <w:rFonts w:hint="eastAsia" w:ascii="新宋体" w:hAnsi="新宋体" w:eastAsia="新宋体" w:cs="新宋体"/>
          <w:bCs/>
          <w:color w:val="auto"/>
          <w:highlight w:val="none"/>
        </w:rPr>
        <w:t>竞争性</w:t>
      </w:r>
      <w:r>
        <w:rPr>
          <w:rFonts w:hint="eastAsia" w:ascii="新宋体" w:hAnsi="新宋体" w:eastAsia="新宋体" w:cs="新宋体"/>
          <w:color w:val="auto"/>
          <w:highlight w:val="none"/>
        </w:rPr>
        <w:t>磋商</w:t>
      </w:r>
      <w:r>
        <w:rPr>
          <w:rFonts w:hint="eastAsia" w:ascii="新宋体" w:hAnsi="新宋体" w:eastAsia="新宋体" w:cs="新宋体"/>
          <w:bCs/>
          <w:color w:val="auto"/>
          <w:highlight w:val="none"/>
        </w:rPr>
        <w:t>文件</w:t>
      </w:r>
      <w:r>
        <w:rPr>
          <w:rFonts w:hint="eastAsia" w:ascii="新宋体" w:hAnsi="新宋体" w:eastAsia="新宋体" w:cs="新宋体"/>
          <w:color w:val="auto"/>
          <w:highlight w:val="none"/>
        </w:rPr>
        <w:t>作实质响应的供应商不足3家的（在资格性检查中，同一品牌同一型号产品只能由一家供应商参加磋商，如果有多家供应商参加同一品牌同一型号产品磋商的，应当作为一个供应商计算）；</w:t>
      </w:r>
    </w:p>
    <w:p>
      <w:pPr>
        <w:pStyle w:val="11"/>
        <w:spacing w:line="440" w:lineRule="exact"/>
        <w:ind w:firstLine="420"/>
        <w:rPr>
          <w:rFonts w:ascii="新宋体" w:hAnsi="新宋体" w:eastAsia="新宋体" w:cs="新宋体"/>
          <w:bCs/>
          <w:color w:val="auto"/>
          <w:highlight w:val="none"/>
        </w:rPr>
      </w:pPr>
      <w:r>
        <w:rPr>
          <w:rFonts w:hint="eastAsia" w:ascii="新宋体" w:hAnsi="新宋体" w:eastAsia="新宋体" w:cs="新宋体"/>
          <w:color w:val="auto"/>
          <w:highlight w:val="none"/>
        </w:rPr>
        <w:t>（2）出现影响采购公正的违法、违规行为的；</w:t>
      </w:r>
    </w:p>
    <w:p>
      <w:pPr>
        <w:pStyle w:val="11"/>
        <w:spacing w:line="440" w:lineRule="exact"/>
        <w:ind w:firstLine="420"/>
        <w:rPr>
          <w:rFonts w:ascii="新宋体" w:hAnsi="新宋体" w:eastAsia="新宋体" w:cs="新宋体"/>
          <w:color w:val="auto"/>
          <w:highlight w:val="none"/>
        </w:rPr>
      </w:pPr>
      <w:r>
        <w:rPr>
          <w:rFonts w:hint="eastAsia" w:ascii="新宋体" w:hAnsi="新宋体" w:eastAsia="新宋体" w:cs="新宋体"/>
          <w:color w:val="auto"/>
          <w:highlight w:val="none"/>
        </w:rPr>
        <w:t>（3）报价未超过采购预算的供应商不足3家；</w:t>
      </w:r>
    </w:p>
    <w:p>
      <w:pPr>
        <w:pStyle w:val="11"/>
        <w:spacing w:line="440" w:lineRule="exact"/>
        <w:ind w:firstLine="420"/>
        <w:rPr>
          <w:rFonts w:ascii="新宋体" w:hAnsi="新宋体" w:eastAsia="新宋体" w:cs="新宋体"/>
          <w:color w:val="auto"/>
          <w:highlight w:val="none"/>
        </w:rPr>
      </w:pPr>
      <w:r>
        <w:rPr>
          <w:rFonts w:hint="eastAsia" w:ascii="新宋体" w:hAnsi="新宋体" w:eastAsia="新宋体" w:cs="新宋体"/>
          <w:color w:val="auto"/>
          <w:highlight w:val="none"/>
        </w:rPr>
        <w:t>（4）因情况变化，不再符合规定的竞争性磋商采购方式适用情形的。</w:t>
      </w:r>
    </w:p>
    <w:p>
      <w:pPr>
        <w:pStyle w:val="11"/>
        <w:spacing w:line="440" w:lineRule="exact"/>
        <w:ind w:firstLine="420" w:firstLineChars="200"/>
        <w:rPr>
          <w:color w:val="auto"/>
          <w:highlight w:val="none"/>
        </w:rPr>
      </w:pPr>
      <w:r>
        <w:rPr>
          <w:rFonts w:hint="eastAsia" w:ascii="新宋体" w:hAnsi="新宋体" w:eastAsia="新宋体" w:cs="新宋体"/>
          <w:color w:val="auto"/>
          <w:highlight w:val="none"/>
        </w:rPr>
        <w:t>21.3  终止采购活动后，采购代理机构将在本章第2.1项规定的政府采购信息发布媒体上发布终止公告并说明原因，重新开展采购活动，不再另行通知。</w:t>
      </w:r>
    </w:p>
    <w:p>
      <w:pPr>
        <w:pStyle w:val="17"/>
        <w:outlineLvl w:val="1"/>
        <w:rPr>
          <w:rFonts w:ascii="新宋体" w:hAnsi="新宋体" w:eastAsia="新宋体" w:cs="新宋体"/>
          <w:color w:val="auto"/>
          <w:sz w:val="21"/>
          <w:szCs w:val="21"/>
          <w:highlight w:val="none"/>
        </w:rPr>
      </w:pPr>
      <w:bookmarkStart w:id="52" w:name="_Toc24999"/>
      <w:r>
        <w:rPr>
          <w:rFonts w:hint="eastAsia"/>
          <w:color w:val="auto"/>
          <w:highlight w:val="none"/>
        </w:rPr>
        <w:t>六    合同授予</w:t>
      </w:r>
      <w:bookmarkEnd w:id="52"/>
    </w:p>
    <w:p>
      <w:pPr>
        <w:pStyle w:val="11"/>
        <w:spacing w:line="440" w:lineRule="exact"/>
        <w:rPr>
          <w:rFonts w:ascii="新宋体" w:hAnsi="新宋体" w:eastAsia="新宋体" w:cs="新宋体"/>
          <w:b/>
          <w:color w:val="auto"/>
          <w:highlight w:val="none"/>
        </w:rPr>
      </w:pPr>
      <w:r>
        <w:rPr>
          <w:rFonts w:hint="eastAsia" w:ascii="新宋体" w:hAnsi="新宋体" w:eastAsia="新宋体" w:cs="新宋体"/>
          <w:b/>
          <w:color w:val="auto"/>
          <w:highlight w:val="none"/>
        </w:rPr>
        <w:t>22.  成交单位的确定</w:t>
      </w:r>
    </w:p>
    <w:p>
      <w:pPr>
        <w:spacing w:line="440" w:lineRule="exac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22.1采购代理机构应当在评审结束后2个工作日内将评审报告送采购人确认。</w:t>
      </w:r>
    </w:p>
    <w:p>
      <w:pPr>
        <w:spacing w:line="440" w:lineRule="exac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采购人应当在收到评审报告后5个工作日内，从评审报告提出的成交候选供应商中，按照排序由高到低的原则确定成交单位，也可以书面授权磋商小组直接确定成交单位。采购人逾期未确定成交单位且不提出异议的，视为确定评审报告提出的排序第一的供应商为成交单位。</w:t>
      </w:r>
    </w:p>
    <w:p>
      <w:pPr>
        <w:pStyle w:val="11"/>
        <w:spacing w:line="440" w:lineRule="exact"/>
        <w:rPr>
          <w:rFonts w:ascii="新宋体" w:hAnsi="新宋体" w:eastAsia="新宋体" w:cs="新宋体"/>
          <w:b/>
          <w:color w:val="auto"/>
          <w:highlight w:val="none"/>
        </w:rPr>
      </w:pPr>
      <w:r>
        <w:rPr>
          <w:rFonts w:hint="eastAsia" w:ascii="新宋体" w:hAnsi="新宋体" w:eastAsia="新宋体" w:cs="新宋体"/>
          <w:b/>
          <w:color w:val="auto"/>
          <w:highlight w:val="none"/>
        </w:rPr>
        <w:t>23.  成交公告及成交通知书</w:t>
      </w:r>
    </w:p>
    <w:p>
      <w:pPr>
        <w:pStyle w:val="11"/>
        <w:spacing w:line="440" w:lineRule="exact"/>
        <w:ind w:firstLine="360"/>
        <w:rPr>
          <w:rFonts w:ascii="新宋体" w:hAnsi="新宋体" w:eastAsia="新宋体" w:cs="新宋体"/>
          <w:color w:val="auto"/>
          <w:kern w:val="0"/>
          <w:highlight w:val="none"/>
        </w:rPr>
      </w:pPr>
      <w:r>
        <w:rPr>
          <w:rFonts w:hint="eastAsia" w:ascii="新宋体" w:hAnsi="新宋体" w:eastAsia="新宋体" w:cs="新宋体"/>
          <w:color w:val="auto"/>
          <w:highlight w:val="none"/>
        </w:rPr>
        <w:t>23.1  采购代理机构应当在评审结束后2个工作日内，将</w:t>
      </w:r>
      <w:r>
        <w:rPr>
          <w:rFonts w:hint="eastAsia" w:ascii="新宋体" w:hAnsi="新宋体" w:eastAsia="新宋体" w:cs="新宋体"/>
          <w:color w:val="auto"/>
          <w:kern w:val="0"/>
          <w:highlight w:val="none"/>
        </w:rPr>
        <w:t>成交结果在本章第2.1项规定的政府采购信息发布媒体发布成交公告，同时向成交单位发出成交通知书。</w:t>
      </w:r>
    </w:p>
    <w:p>
      <w:pPr>
        <w:pStyle w:val="11"/>
        <w:spacing w:line="440" w:lineRule="exact"/>
        <w:ind w:firstLine="420" w:firstLineChars="200"/>
        <w:rPr>
          <w:rFonts w:ascii="新宋体" w:hAnsi="新宋体" w:eastAsia="新宋体" w:cs="新宋体"/>
          <w:color w:val="auto"/>
          <w:kern w:val="0"/>
          <w:highlight w:val="none"/>
        </w:rPr>
      </w:pPr>
      <w:r>
        <w:rPr>
          <w:rFonts w:hint="eastAsia" w:ascii="新宋体" w:hAnsi="新宋体" w:eastAsia="新宋体" w:cs="新宋体"/>
          <w:color w:val="auto"/>
          <w:kern w:val="0"/>
          <w:highlight w:val="none"/>
        </w:rPr>
        <w:t>23.2  成交通知书对采购人和成交单位具有同等法律效力。成交通知书发出后，采购人改变成交结果，或者成交单位放弃成交，应当承担相应的法律责任。</w:t>
      </w:r>
    </w:p>
    <w:p>
      <w:pPr>
        <w:pStyle w:val="11"/>
        <w:spacing w:line="440" w:lineRule="exact"/>
        <w:rPr>
          <w:rFonts w:ascii="新宋体" w:hAnsi="新宋体" w:eastAsia="新宋体" w:cs="新宋体"/>
          <w:bCs/>
          <w:color w:val="auto"/>
          <w:highlight w:val="none"/>
        </w:rPr>
      </w:pPr>
      <w:r>
        <w:rPr>
          <w:rFonts w:hint="eastAsia" w:ascii="新宋体" w:hAnsi="新宋体" w:eastAsia="新宋体" w:cs="新宋体"/>
          <w:bCs/>
          <w:color w:val="auto"/>
          <w:highlight w:val="none"/>
        </w:rPr>
        <w:t>24.  响应文件的退回</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24.1  采购人及采购代理机构无义务向未成交单位退回响应文件。</w:t>
      </w:r>
    </w:p>
    <w:p>
      <w:pPr>
        <w:pStyle w:val="11"/>
        <w:spacing w:line="440" w:lineRule="exact"/>
        <w:rPr>
          <w:rFonts w:ascii="新宋体" w:hAnsi="新宋体" w:eastAsia="新宋体" w:cs="新宋体"/>
          <w:b/>
          <w:color w:val="auto"/>
          <w:highlight w:val="none"/>
        </w:rPr>
      </w:pPr>
      <w:r>
        <w:rPr>
          <w:rFonts w:hint="eastAsia" w:ascii="新宋体" w:hAnsi="新宋体" w:eastAsia="新宋体" w:cs="新宋体"/>
          <w:b/>
          <w:color w:val="auto"/>
          <w:highlight w:val="none"/>
        </w:rPr>
        <w:t>25.   签订合同</w:t>
      </w:r>
    </w:p>
    <w:p>
      <w:pPr>
        <w:pStyle w:val="11"/>
        <w:spacing w:line="440" w:lineRule="exact"/>
        <w:ind w:firstLine="420"/>
        <w:rPr>
          <w:rFonts w:ascii="新宋体" w:hAnsi="新宋体" w:eastAsia="新宋体" w:cs="新宋体"/>
          <w:color w:val="auto"/>
          <w:highlight w:val="none"/>
        </w:rPr>
      </w:pPr>
      <w:r>
        <w:rPr>
          <w:rFonts w:hint="eastAsia" w:ascii="新宋体" w:hAnsi="新宋体" w:eastAsia="新宋体" w:cs="新宋体"/>
          <w:color w:val="auto"/>
          <w:highlight w:val="none"/>
        </w:rPr>
        <w:t>25.1  采购人和成交单位应当在第二章“服务需求一览表”中商务条款要求载明的合同签订期内，根据竞争性磋商文件、成交单位的响应文件及有关澄清承诺书的要求按第六章“合同条款及格式”订立书面合同。联合体响应的，联合体各方应当共同与采购人签订采购合同，就采购合同约定的事项对采购人承担连带责任。</w:t>
      </w:r>
    </w:p>
    <w:p>
      <w:pPr>
        <w:pStyle w:val="11"/>
        <w:spacing w:line="440" w:lineRule="exact"/>
        <w:ind w:firstLine="420"/>
        <w:rPr>
          <w:rFonts w:ascii="新宋体" w:hAnsi="新宋体" w:eastAsia="新宋体" w:cs="新宋体"/>
          <w:color w:val="auto"/>
          <w:kern w:val="0"/>
          <w:highlight w:val="none"/>
        </w:rPr>
      </w:pPr>
      <w:r>
        <w:rPr>
          <w:rFonts w:hint="eastAsia" w:ascii="新宋体" w:hAnsi="新宋体" w:eastAsia="新宋体" w:cs="新宋体"/>
          <w:color w:val="auto"/>
          <w:kern w:val="0"/>
          <w:highlight w:val="none"/>
        </w:rPr>
        <w:t>25.2  成交单位拒绝与采购人签订合同的，采购人可以按照评审报告推荐的成交候选人名单排序，确定下一候选人为成交单位，也可以重新开展政府采购活动。</w:t>
      </w:r>
    </w:p>
    <w:p>
      <w:pPr>
        <w:pStyle w:val="11"/>
        <w:spacing w:line="440" w:lineRule="exact"/>
        <w:ind w:firstLine="420" w:firstLineChars="200"/>
        <w:rPr>
          <w:color w:val="auto"/>
          <w:highlight w:val="none"/>
        </w:rPr>
      </w:pPr>
      <w:r>
        <w:rPr>
          <w:rFonts w:hint="eastAsia" w:ascii="新宋体" w:hAnsi="新宋体" w:eastAsia="新宋体" w:cs="新宋体"/>
          <w:color w:val="auto"/>
          <w:highlight w:val="none"/>
        </w:rPr>
        <w:t>25.3  成交单位因不可抗力或者自身原因不能履行政府采购合同的，采购人可以与排位在成交单位之后第一位的成交候选供应商签订政府采购合同，以此类推。</w:t>
      </w:r>
    </w:p>
    <w:p>
      <w:pPr>
        <w:pStyle w:val="17"/>
        <w:outlineLvl w:val="1"/>
        <w:rPr>
          <w:rFonts w:hint="eastAsia"/>
          <w:color w:val="auto"/>
          <w:highlight w:val="none"/>
        </w:rPr>
      </w:pPr>
      <w:bookmarkStart w:id="53" w:name="_Toc25062"/>
      <w:r>
        <w:rPr>
          <w:rFonts w:hint="eastAsia"/>
          <w:color w:val="auto"/>
          <w:highlight w:val="none"/>
        </w:rPr>
        <w:t>七    其他事项</w:t>
      </w:r>
      <w:bookmarkEnd w:id="53"/>
    </w:p>
    <w:p>
      <w:pPr>
        <w:pStyle w:val="11"/>
        <w:spacing w:line="440" w:lineRule="exact"/>
        <w:rPr>
          <w:rFonts w:ascii="新宋体" w:hAnsi="新宋体" w:eastAsia="新宋体" w:cs="新宋体"/>
          <w:b/>
          <w:color w:val="auto"/>
          <w:highlight w:val="none"/>
        </w:rPr>
      </w:pPr>
      <w:r>
        <w:rPr>
          <w:rFonts w:hint="eastAsia" w:ascii="新宋体" w:hAnsi="新宋体" w:eastAsia="新宋体" w:cs="新宋体"/>
          <w:b/>
          <w:color w:val="auto"/>
          <w:highlight w:val="none"/>
        </w:rPr>
        <w:t>27.  解释权</w:t>
      </w:r>
    </w:p>
    <w:p>
      <w:pPr>
        <w:pStyle w:val="11"/>
        <w:spacing w:line="440" w:lineRule="exact"/>
        <w:ind w:firstLine="420" w:firstLineChars="200"/>
        <w:jc w:val="left"/>
        <w:rPr>
          <w:rFonts w:ascii="新宋体" w:hAnsi="新宋体" w:eastAsia="新宋体" w:cs="新宋体"/>
          <w:color w:val="auto"/>
          <w:highlight w:val="none"/>
        </w:rPr>
      </w:pPr>
      <w:r>
        <w:rPr>
          <w:rFonts w:hint="eastAsia" w:ascii="新宋体" w:hAnsi="新宋体" w:eastAsia="新宋体" w:cs="新宋体"/>
          <w:color w:val="auto"/>
          <w:highlight w:val="none"/>
        </w:rPr>
        <w:t>27.1  本竞争性磋商采购文件根据《中华人民共和国政府采购法》、《中华人民共和国政府采购法实施条例》、《政府采购竞争性磋商采购方式管理暂行办法》（财库〔2014〕214号）及相关法律法规编制，解释权属采购代理机构。</w:t>
      </w:r>
    </w:p>
    <w:p>
      <w:pPr>
        <w:pStyle w:val="11"/>
        <w:spacing w:line="440" w:lineRule="exact"/>
        <w:jc w:val="left"/>
        <w:rPr>
          <w:rFonts w:ascii="新宋体" w:hAnsi="新宋体" w:eastAsia="新宋体" w:cs="新宋体"/>
          <w:b/>
          <w:bCs/>
          <w:color w:val="auto"/>
          <w:highlight w:val="none"/>
        </w:rPr>
      </w:pPr>
      <w:r>
        <w:rPr>
          <w:rFonts w:hint="eastAsia" w:ascii="新宋体" w:hAnsi="新宋体" w:eastAsia="新宋体" w:cs="新宋体"/>
          <w:b/>
          <w:bCs/>
          <w:color w:val="auto"/>
          <w:highlight w:val="none"/>
        </w:rPr>
        <w:t>28.  需要补充的其他内容</w:t>
      </w:r>
    </w:p>
    <w:p>
      <w:pPr>
        <w:pStyle w:val="11"/>
        <w:spacing w:line="440" w:lineRule="exact"/>
        <w:ind w:firstLine="420" w:firstLineChars="200"/>
        <w:jc w:val="left"/>
        <w:rPr>
          <w:rFonts w:hint="eastAsia" w:ascii="新宋体" w:hAnsi="新宋体" w:eastAsia="新宋体" w:cs="新宋体"/>
          <w:color w:val="auto"/>
          <w:highlight w:val="none"/>
        </w:rPr>
      </w:pPr>
      <w:r>
        <w:rPr>
          <w:rFonts w:hint="eastAsia" w:ascii="新宋体" w:hAnsi="新宋体" w:eastAsia="新宋体" w:cs="新宋体"/>
          <w:color w:val="auto"/>
          <w:highlight w:val="none"/>
        </w:rPr>
        <w:t>28.1  需要补充的其他内容：见磋商供应商须知前附表。</w:t>
      </w:r>
    </w:p>
    <w:p>
      <w:pPr>
        <w:rPr>
          <w:rFonts w:hint="eastAsia" w:ascii="新宋体" w:hAnsi="新宋体" w:eastAsia="新宋体" w:cs="新宋体"/>
          <w:color w:val="auto"/>
          <w:highlight w:val="none"/>
        </w:rPr>
      </w:pPr>
    </w:p>
    <w:p>
      <w:pPr>
        <w:pStyle w:val="28"/>
        <w:rPr>
          <w:rFonts w:hint="eastAsia" w:ascii="新宋体" w:hAnsi="新宋体" w:eastAsia="新宋体" w:cs="新宋体"/>
          <w:color w:val="auto"/>
          <w:highlight w:val="none"/>
        </w:rPr>
      </w:pPr>
    </w:p>
    <w:p>
      <w:pPr>
        <w:pStyle w:val="28"/>
        <w:rPr>
          <w:rFonts w:hint="eastAsia" w:ascii="新宋体" w:hAnsi="新宋体" w:eastAsia="新宋体" w:cs="新宋体"/>
          <w:color w:val="auto"/>
          <w:highlight w:val="none"/>
        </w:rPr>
      </w:pPr>
    </w:p>
    <w:p>
      <w:pPr>
        <w:pStyle w:val="28"/>
        <w:rPr>
          <w:rFonts w:hint="eastAsia" w:ascii="新宋体" w:hAnsi="新宋体" w:eastAsia="新宋体" w:cs="新宋体"/>
          <w:color w:val="auto"/>
          <w:highlight w:val="none"/>
        </w:rPr>
      </w:pPr>
    </w:p>
    <w:p>
      <w:pPr>
        <w:pStyle w:val="28"/>
        <w:rPr>
          <w:rFonts w:hint="eastAsia" w:ascii="新宋体" w:hAnsi="新宋体" w:eastAsia="新宋体" w:cs="新宋体"/>
          <w:color w:val="auto"/>
          <w:highlight w:val="none"/>
        </w:rPr>
      </w:pPr>
    </w:p>
    <w:p>
      <w:pPr>
        <w:pStyle w:val="28"/>
        <w:rPr>
          <w:rFonts w:hint="eastAsia" w:ascii="新宋体" w:hAnsi="新宋体" w:eastAsia="新宋体" w:cs="新宋体"/>
          <w:color w:val="auto"/>
          <w:highlight w:val="none"/>
        </w:rPr>
      </w:pPr>
    </w:p>
    <w:p>
      <w:pPr>
        <w:pStyle w:val="28"/>
        <w:rPr>
          <w:rFonts w:hint="eastAsia" w:ascii="新宋体" w:hAnsi="新宋体" w:eastAsia="新宋体" w:cs="新宋体"/>
          <w:color w:val="auto"/>
          <w:highlight w:val="none"/>
        </w:rPr>
      </w:pPr>
    </w:p>
    <w:p>
      <w:pPr>
        <w:rPr>
          <w:rFonts w:hint="eastAsia" w:ascii="宋体" w:hAnsi="宋体" w:eastAsia="宋体" w:cs="宋体"/>
          <w:b/>
          <w:color w:val="auto"/>
          <w:highlight w:val="none"/>
          <w:lang w:val="en-US" w:eastAsia="zh-CN"/>
        </w:rPr>
      </w:pPr>
      <w:bookmarkStart w:id="54" w:name="_Toc7540"/>
      <w:bookmarkStart w:id="202" w:name="_GoBack"/>
      <w:bookmarkEnd w:id="202"/>
      <w:r>
        <w:rPr>
          <w:rFonts w:hint="eastAsia" w:ascii="宋体" w:hAnsi="宋体" w:eastAsia="宋体" w:cs="宋体"/>
          <w:b/>
          <w:color w:val="auto"/>
          <w:highlight w:val="none"/>
          <w:lang w:val="en-US" w:eastAsia="zh-CN"/>
        </w:rPr>
        <w:br w:type="page"/>
      </w:r>
    </w:p>
    <w:p>
      <w:pPr>
        <w:pStyle w:val="3"/>
        <w:numPr>
          <w:ilvl w:val="0"/>
          <w:numId w:val="0"/>
        </w:numPr>
        <w:jc w:val="center"/>
        <w:rPr>
          <w:rFonts w:hint="eastAsia" w:ascii="宋体" w:hAnsi="宋体" w:eastAsia="宋体" w:cs="宋体"/>
          <w:b/>
          <w:color w:val="auto"/>
          <w:highlight w:val="none"/>
          <w:lang w:val="en-US" w:eastAsia="zh-CN"/>
        </w:rPr>
      </w:pPr>
      <w:r>
        <w:rPr>
          <w:rFonts w:hint="eastAsia" w:ascii="宋体" w:hAnsi="宋体" w:eastAsia="宋体" w:cs="宋体"/>
          <w:b/>
          <w:color w:val="auto"/>
          <w:highlight w:val="none"/>
          <w:lang w:val="en-US" w:eastAsia="zh-CN"/>
        </w:rPr>
        <w:t>第五章  响应文件格式</w:t>
      </w:r>
      <w:bookmarkEnd w:id="54"/>
    </w:p>
    <w:p>
      <w:pPr>
        <w:spacing w:line="400" w:lineRule="exact"/>
        <w:ind w:firstLine="482" w:firstLineChars="150"/>
        <w:jc w:val="both"/>
        <w:outlineLvl w:val="0"/>
        <w:rPr>
          <w:rFonts w:hint="eastAsia" w:ascii="宋体" w:hAnsi="宋体" w:cs="宋体"/>
          <w:b/>
          <w:sz w:val="32"/>
          <w:szCs w:val="32"/>
        </w:rPr>
      </w:pPr>
      <w:bookmarkStart w:id="55" w:name="_Toc35611515"/>
      <w:bookmarkStart w:id="56" w:name="_Toc35611437"/>
      <w:r>
        <w:rPr>
          <w:rFonts w:hint="eastAsia"/>
          <w:b/>
          <w:color w:val="auto"/>
          <w:sz w:val="32"/>
          <w:szCs w:val="32"/>
        </w:rPr>
        <w:t>响应文件外层包装封面格式</w:t>
      </w:r>
      <w:bookmarkEnd w:id="55"/>
      <w:bookmarkEnd w:id="56"/>
      <w:r>
        <w:rPr>
          <w:rFonts w:hint="eastAsia"/>
          <w:b/>
          <w:color w:val="auto"/>
          <w:sz w:val="32"/>
          <w:szCs w:val="32"/>
        </w:rPr>
        <w:t>：</w:t>
      </w:r>
    </w:p>
    <w:p>
      <w:pPr>
        <w:pStyle w:val="11"/>
        <w:spacing w:line="380" w:lineRule="exact"/>
        <w:jc w:val="both"/>
        <w:rPr>
          <w:rFonts w:hint="eastAsia" w:hAnsi="宋体" w:cs="宋体"/>
          <w:b/>
          <w:sz w:val="32"/>
          <w:szCs w:val="32"/>
        </w:rPr>
      </w:pPr>
    </w:p>
    <w:p>
      <w:pPr>
        <w:pStyle w:val="11"/>
        <w:spacing w:line="380" w:lineRule="exact"/>
        <w:jc w:val="both"/>
        <w:rPr>
          <w:rFonts w:hint="eastAsia" w:hAnsi="宋体" w:cs="宋体"/>
          <w:b/>
          <w:sz w:val="32"/>
          <w:szCs w:val="32"/>
        </w:rPr>
      </w:pPr>
    </w:p>
    <w:p>
      <w:pPr>
        <w:pStyle w:val="11"/>
        <w:spacing w:line="380" w:lineRule="exact"/>
        <w:jc w:val="both"/>
        <w:rPr>
          <w:rFonts w:hint="eastAsia" w:hAnsi="宋体" w:cs="宋体"/>
          <w:b/>
          <w:sz w:val="32"/>
          <w:szCs w:val="32"/>
        </w:rPr>
      </w:pPr>
    </w:p>
    <w:p>
      <w:pPr>
        <w:pStyle w:val="11"/>
        <w:spacing w:line="380" w:lineRule="exact"/>
        <w:jc w:val="both"/>
        <w:rPr>
          <w:rFonts w:hint="eastAsia" w:hAnsi="宋体" w:eastAsia="宋体" w:cs="宋体"/>
          <w:b/>
          <w:sz w:val="30"/>
          <w:szCs w:val="30"/>
          <w:lang w:val="en-US" w:eastAsia="zh-CN"/>
        </w:rPr>
      </w:pPr>
      <w:r>
        <w:rPr>
          <w:rFonts w:hint="eastAsia" w:hAnsi="宋体" w:cs="宋体"/>
          <w:b/>
          <w:sz w:val="32"/>
          <w:szCs w:val="32"/>
        </w:rPr>
        <w:t xml:space="preserve">                    </w:t>
      </w:r>
    </w:p>
    <w:p>
      <w:pPr>
        <w:pStyle w:val="11"/>
        <w:spacing w:line="380" w:lineRule="exact"/>
        <w:jc w:val="center"/>
        <w:rPr>
          <w:rFonts w:hint="eastAsia" w:hAnsi="宋体" w:cs="宋体"/>
          <w:b/>
          <w:sz w:val="32"/>
          <w:szCs w:val="32"/>
        </w:rPr>
      </w:pPr>
    </w:p>
    <w:p>
      <w:pPr>
        <w:pStyle w:val="11"/>
        <w:spacing w:line="380" w:lineRule="exact"/>
        <w:jc w:val="center"/>
        <w:rPr>
          <w:rFonts w:hint="eastAsia" w:hAnsi="宋体" w:cs="宋体"/>
          <w:b/>
          <w:sz w:val="32"/>
          <w:szCs w:val="32"/>
        </w:rPr>
      </w:pPr>
    </w:p>
    <w:p>
      <w:pPr>
        <w:bidi w:val="0"/>
        <w:jc w:val="center"/>
        <w:rPr>
          <w:rFonts w:hint="eastAsia"/>
          <w:b/>
          <w:bCs/>
          <w:sz w:val="48"/>
          <w:szCs w:val="48"/>
        </w:rPr>
      </w:pPr>
      <w:r>
        <w:rPr>
          <w:rFonts w:hint="eastAsia"/>
          <w:b/>
          <w:bCs/>
          <w:sz w:val="48"/>
          <w:szCs w:val="48"/>
        </w:rPr>
        <w:t>响应文件</w:t>
      </w:r>
    </w:p>
    <w:p>
      <w:pPr>
        <w:spacing w:line="360" w:lineRule="auto"/>
        <w:ind w:left="413" w:leftChars="172" w:hanging="52" w:hangingChars="25"/>
        <w:jc w:val="left"/>
        <w:rPr>
          <w:rFonts w:hint="eastAsia" w:ascii="宋体" w:hAnsi="宋体" w:cs="宋体"/>
          <w:szCs w:val="21"/>
        </w:rPr>
      </w:pPr>
    </w:p>
    <w:p>
      <w:pPr>
        <w:spacing w:line="360" w:lineRule="auto"/>
        <w:ind w:left="436" w:leftChars="172" w:hanging="75" w:hangingChars="25"/>
        <w:jc w:val="left"/>
        <w:rPr>
          <w:rFonts w:hint="eastAsia" w:ascii="宋体" w:hAnsi="宋体" w:cs="宋体"/>
          <w:sz w:val="30"/>
          <w:szCs w:val="30"/>
        </w:rPr>
      </w:pPr>
    </w:p>
    <w:p>
      <w:pPr>
        <w:pStyle w:val="28"/>
        <w:rPr>
          <w:rFonts w:hint="eastAsia" w:ascii="宋体" w:hAnsi="宋体" w:cs="宋体"/>
          <w:sz w:val="30"/>
          <w:szCs w:val="30"/>
        </w:rPr>
      </w:pPr>
    </w:p>
    <w:p>
      <w:pPr>
        <w:keepNext w:val="0"/>
        <w:keepLines w:val="0"/>
        <w:pageBreakBefore w:val="0"/>
        <w:widowControl w:val="0"/>
        <w:kinsoku/>
        <w:wordWrap/>
        <w:overflowPunct/>
        <w:topLinePunct w:val="0"/>
        <w:autoSpaceDE/>
        <w:autoSpaceDN/>
        <w:bidi w:val="0"/>
        <w:adjustRightInd/>
        <w:snapToGrid/>
        <w:spacing w:line="800" w:lineRule="exact"/>
        <w:ind w:left="659" w:leftChars="314" w:firstLine="825" w:firstLineChars="275"/>
        <w:jc w:val="left"/>
        <w:textAlignment w:val="auto"/>
        <w:rPr>
          <w:rFonts w:hint="eastAsia" w:ascii="宋体" w:hAnsi="宋体" w:cs="宋体"/>
          <w:sz w:val="30"/>
          <w:szCs w:val="30"/>
        </w:rPr>
      </w:pPr>
      <w:r>
        <w:rPr>
          <w:rFonts w:hint="eastAsia" w:ascii="宋体" w:hAnsi="宋体" w:cs="宋体"/>
          <w:sz w:val="30"/>
          <w:szCs w:val="30"/>
        </w:rPr>
        <w:t>项目编号：</w:t>
      </w:r>
      <w:r>
        <w:rPr>
          <w:rFonts w:hint="eastAsia" w:ascii="宋体" w:hAnsi="宋体" w:cs="宋体"/>
          <w:sz w:val="30"/>
          <w:szCs w:val="30"/>
          <w:u w:val="single"/>
        </w:rPr>
        <w:t xml:space="preserve">                  </w:t>
      </w:r>
      <w:r>
        <w:rPr>
          <w:rFonts w:hint="eastAsia" w:ascii="宋体" w:hAnsi="宋体" w:cs="宋体"/>
          <w:sz w:val="30"/>
          <w:szCs w:val="30"/>
          <w:u w:val="single"/>
          <w:lang w:val="en-US" w:eastAsia="zh-CN"/>
        </w:rPr>
        <w:t xml:space="preserve">  </w:t>
      </w:r>
      <w:r>
        <w:rPr>
          <w:rFonts w:hint="eastAsia" w:ascii="宋体" w:hAnsi="宋体" w:cs="宋体"/>
          <w:sz w:val="30"/>
          <w:szCs w:val="30"/>
          <w:u w:val="single"/>
        </w:rPr>
        <w:t xml:space="preserve">      </w:t>
      </w:r>
      <w:r>
        <w:rPr>
          <w:rFonts w:hint="eastAsia" w:ascii="宋体" w:hAnsi="宋体" w:cs="宋体"/>
          <w:sz w:val="30"/>
          <w:szCs w:val="30"/>
          <w:u w:val="single"/>
          <w:lang w:val="en-US" w:eastAsia="zh-CN"/>
        </w:rPr>
        <w:t xml:space="preserve">   </w:t>
      </w:r>
      <w:r>
        <w:rPr>
          <w:rFonts w:hint="eastAsia" w:ascii="宋体" w:hAnsi="宋体" w:cs="宋体"/>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800" w:lineRule="exact"/>
        <w:ind w:left="659" w:leftChars="314" w:firstLine="825" w:firstLineChars="275"/>
        <w:jc w:val="left"/>
        <w:textAlignment w:val="auto"/>
        <w:rPr>
          <w:rFonts w:hint="eastAsia" w:ascii="宋体" w:hAnsi="宋体" w:cs="宋体"/>
          <w:sz w:val="30"/>
          <w:szCs w:val="30"/>
        </w:rPr>
      </w:pPr>
      <w:r>
        <w:rPr>
          <w:rFonts w:hint="eastAsia" w:ascii="宋体" w:hAnsi="宋体" w:cs="宋体"/>
          <w:sz w:val="30"/>
          <w:szCs w:val="30"/>
        </w:rPr>
        <w:t>项目名称：</w:t>
      </w:r>
      <w:r>
        <w:rPr>
          <w:rFonts w:hint="eastAsia" w:ascii="宋体" w:hAnsi="宋体" w:cs="宋体"/>
          <w:sz w:val="30"/>
          <w:szCs w:val="30"/>
          <w:u w:val="single"/>
        </w:rPr>
        <w:t xml:space="preserve">                        </w:t>
      </w:r>
      <w:r>
        <w:rPr>
          <w:rFonts w:hint="eastAsia" w:ascii="宋体" w:hAnsi="宋体" w:cs="宋体"/>
          <w:sz w:val="30"/>
          <w:szCs w:val="30"/>
          <w:u w:val="single"/>
          <w:lang w:val="en-US" w:eastAsia="zh-CN"/>
        </w:rPr>
        <w:t xml:space="preserve">  </w:t>
      </w:r>
      <w:r>
        <w:rPr>
          <w:rFonts w:hint="eastAsia" w:ascii="宋体" w:hAnsi="宋体" w:cs="宋体"/>
          <w:sz w:val="30"/>
          <w:szCs w:val="30"/>
          <w:u w:val="single"/>
        </w:rPr>
        <w:t xml:space="preserve"> </w:t>
      </w:r>
      <w:r>
        <w:rPr>
          <w:rFonts w:hint="eastAsia" w:ascii="宋体" w:hAnsi="宋体" w:cs="宋体"/>
          <w:sz w:val="30"/>
          <w:szCs w:val="30"/>
          <w:u w:val="single"/>
          <w:lang w:val="en-US" w:eastAsia="zh-CN"/>
        </w:rPr>
        <w:t xml:space="preserve">   </w:t>
      </w:r>
      <w:r>
        <w:rPr>
          <w:rFonts w:hint="eastAsia" w:ascii="宋体" w:hAnsi="宋体" w:cs="宋体"/>
          <w:sz w:val="30"/>
          <w:szCs w:val="30"/>
          <w:u w:val="single"/>
        </w:rPr>
        <w:t xml:space="preserve">      </w:t>
      </w:r>
    </w:p>
    <w:p>
      <w:pPr>
        <w:pStyle w:val="11"/>
        <w:keepNext w:val="0"/>
        <w:keepLines w:val="0"/>
        <w:pageBreakBefore w:val="0"/>
        <w:widowControl w:val="0"/>
        <w:kinsoku/>
        <w:wordWrap/>
        <w:overflowPunct/>
        <w:topLinePunct w:val="0"/>
        <w:autoSpaceDE/>
        <w:autoSpaceDN/>
        <w:bidi w:val="0"/>
        <w:adjustRightInd/>
        <w:snapToGrid/>
        <w:spacing w:line="800" w:lineRule="exact"/>
        <w:ind w:firstLine="1350" w:firstLineChars="450"/>
        <w:textAlignment w:val="auto"/>
        <w:rPr>
          <w:color w:val="auto"/>
          <w:sz w:val="30"/>
          <w:szCs w:val="30"/>
          <w:u w:val="single"/>
        </w:rPr>
      </w:pPr>
      <w:r>
        <w:rPr>
          <w:rFonts w:hint="eastAsia"/>
          <w:color w:val="auto"/>
          <w:sz w:val="30"/>
          <w:szCs w:val="30"/>
        </w:rPr>
        <w:t>供应商</w:t>
      </w:r>
      <w:r>
        <w:rPr>
          <w:rFonts w:hint="eastAsia"/>
          <w:color w:val="auto"/>
          <w:sz w:val="30"/>
          <w:szCs w:val="30"/>
          <w:lang w:val="en-US" w:eastAsia="zh-CN"/>
        </w:rPr>
        <w:t>名称</w:t>
      </w:r>
      <w:r>
        <w:rPr>
          <w:rFonts w:hint="eastAsia"/>
          <w:color w:val="auto"/>
          <w:sz w:val="30"/>
          <w:szCs w:val="30"/>
        </w:rPr>
        <w:t>：</w:t>
      </w:r>
      <w:r>
        <w:rPr>
          <w:rFonts w:hint="eastAsia"/>
          <w:color w:val="auto"/>
          <w:sz w:val="30"/>
          <w:szCs w:val="30"/>
          <w:u w:val="single"/>
        </w:rPr>
        <w:t xml:space="preserve">               </w:t>
      </w:r>
      <w:r>
        <w:rPr>
          <w:rFonts w:hint="eastAsia"/>
          <w:color w:val="auto"/>
          <w:sz w:val="30"/>
          <w:szCs w:val="30"/>
          <w:u w:val="single"/>
          <w:lang w:val="en-US" w:eastAsia="zh-CN"/>
        </w:rPr>
        <w:t xml:space="preserve">  </w:t>
      </w:r>
      <w:r>
        <w:rPr>
          <w:rFonts w:hint="eastAsia"/>
          <w:color w:val="auto"/>
          <w:sz w:val="30"/>
          <w:szCs w:val="30"/>
          <w:u w:val="single"/>
        </w:rPr>
        <w:t xml:space="preserve">  </w:t>
      </w:r>
      <w:r>
        <w:rPr>
          <w:rFonts w:hint="eastAsia"/>
          <w:color w:val="auto"/>
          <w:sz w:val="30"/>
          <w:szCs w:val="30"/>
          <w:u w:val="single"/>
          <w:lang w:val="en-US" w:eastAsia="zh-CN"/>
        </w:rPr>
        <w:t xml:space="preserve"> </w:t>
      </w:r>
      <w:r>
        <w:rPr>
          <w:rFonts w:hint="eastAsia"/>
          <w:color w:val="auto"/>
          <w:sz w:val="30"/>
          <w:szCs w:val="30"/>
          <w:u w:val="single"/>
        </w:rPr>
        <w:t xml:space="preserve"> </w:t>
      </w:r>
      <w:r>
        <w:rPr>
          <w:rFonts w:hint="eastAsia"/>
          <w:color w:val="auto"/>
          <w:sz w:val="30"/>
          <w:szCs w:val="30"/>
          <w:u w:val="single"/>
          <w:lang w:val="en-US" w:eastAsia="zh-CN"/>
        </w:rPr>
        <w:t xml:space="preserve">     </w:t>
      </w:r>
      <w:r>
        <w:rPr>
          <w:rFonts w:hint="eastAsia"/>
          <w:color w:val="auto"/>
          <w:sz w:val="30"/>
          <w:szCs w:val="30"/>
          <w:u w:val="single"/>
        </w:rPr>
        <w:t xml:space="preserve">         </w:t>
      </w:r>
    </w:p>
    <w:p>
      <w:pPr>
        <w:pStyle w:val="11"/>
        <w:keepNext w:val="0"/>
        <w:keepLines w:val="0"/>
        <w:pageBreakBefore w:val="0"/>
        <w:widowControl w:val="0"/>
        <w:kinsoku/>
        <w:wordWrap/>
        <w:overflowPunct/>
        <w:topLinePunct w:val="0"/>
        <w:autoSpaceDE/>
        <w:autoSpaceDN/>
        <w:bidi w:val="0"/>
        <w:adjustRightInd/>
        <w:snapToGrid/>
        <w:spacing w:line="800" w:lineRule="exact"/>
        <w:ind w:firstLine="1350" w:firstLineChars="450"/>
        <w:textAlignment w:val="auto"/>
        <w:rPr>
          <w:rFonts w:hint="eastAsia" w:cs="Times New Roman"/>
          <w:color w:val="auto"/>
          <w:sz w:val="30"/>
          <w:szCs w:val="30"/>
          <w:lang w:val="en-US" w:eastAsia="zh-CN"/>
        </w:rPr>
      </w:pPr>
      <w:r>
        <w:rPr>
          <w:rFonts w:hint="eastAsia" w:cs="Times New Roman"/>
          <w:color w:val="auto"/>
          <w:sz w:val="30"/>
          <w:szCs w:val="30"/>
        </w:rPr>
        <w:t>截止时间前不得启封</w:t>
      </w:r>
      <w:r>
        <w:rPr>
          <w:rFonts w:hint="eastAsia" w:cs="Times New Roman"/>
          <w:color w:val="auto"/>
          <w:sz w:val="30"/>
          <w:szCs w:val="30"/>
          <w:lang w:val="en-US" w:eastAsia="zh-CN"/>
        </w:rPr>
        <w:t>!</w:t>
      </w:r>
    </w:p>
    <w:p>
      <w:pPr>
        <w:pStyle w:val="11"/>
        <w:spacing w:line="380" w:lineRule="exact"/>
        <w:jc w:val="center"/>
        <w:rPr>
          <w:rFonts w:hint="eastAsia"/>
          <w:color w:val="auto"/>
          <w:sz w:val="30"/>
          <w:szCs w:val="30"/>
        </w:rPr>
      </w:pPr>
    </w:p>
    <w:p>
      <w:pPr>
        <w:pStyle w:val="11"/>
        <w:spacing w:line="380" w:lineRule="exact"/>
        <w:jc w:val="center"/>
        <w:rPr>
          <w:rFonts w:hint="eastAsia"/>
          <w:color w:val="auto"/>
          <w:sz w:val="30"/>
          <w:szCs w:val="30"/>
        </w:rPr>
      </w:pPr>
    </w:p>
    <w:p>
      <w:pPr>
        <w:pStyle w:val="11"/>
        <w:spacing w:line="380" w:lineRule="exact"/>
        <w:jc w:val="center"/>
        <w:rPr>
          <w:rFonts w:hint="eastAsia"/>
          <w:color w:val="auto"/>
          <w:sz w:val="30"/>
          <w:szCs w:val="30"/>
        </w:rPr>
      </w:pPr>
    </w:p>
    <w:p>
      <w:pPr>
        <w:pStyle w:val="11"/>
        <w:spacing w:line="380" w:lineRule="exact"/>
        <w:jc w:val="center"/>
        <w:rPr>
          <w:rFonts w:hint="eastAsia"/>
          <w:color w:val="auto"/>
          <w:sz w:val="30"/>
          <w:szCs w:val="30"/>
        </w:rPr>
      </w:pPr>
    </w:p>
    <w:p>
      <w:pPr>
        <w:pStyle w:val="11"/>
        <w:spacing w:line="380" w:lineRule="exact"/>
        <w:jc w:val="center"/>
        <w:rPr>
          <w:rFonts w:hint="eastAsia"/>
          <w:color w:val="auto"/>
          <w:sz w:val="30"/>
          <w:szCs w:val="30"/>
        </w:rPr>
      </w:pPr>
    </w:p>
    <w:p>
      <w:pPr>
        <w:pStyle w:val="11"/>
        <w:spacing w:line="380" w:lineRule="exact"/>
        <w:jc w:val="center"/>
        <w:rPr>
          <w:rFonts w:hint="eastAsia" w:hAnsi="宋体" w:cs="宋体"/>
          <w:sz w:val="30"/>
          <w:szCs w:val="30"/>
        </w:rPr>
      </w:pPr>
      <w:r>
        <w:rPr>
          <w:rFonts w:hint="eastAsia"/>
          <w:color w:val="auto"/>
          <w:sz w:val="30"/>
          <w:szCs w:val="30"/>
        </w:rPr>
        <w:t>日期：</w:t>
      </w:r>
      <w:r>
        <w:rPr>
          <w:rFonts w:hint="eastAsia"/>
          <w:color w:val="auto"/>
          <w:sz w:val="30"/>
          <w:szCs w:val="30"/>
          <w:u w:val="single"/>
        </w:rPr>
        <w:t xml:space="preserve">         </w:t>
      </w:r>
      <w:r>
        <w:rPr>
          <w:rFonts w:hint="eastAsia"/>
          <w:color w:val="auto"/>
          <w:sz w:val="30"/>
          <w:szCs w:val="30"/>
        </w:rPr>
        <w:t>年</w:t>
      </w:r>
      <w:r>
        <w:rPr>
          <w:rFonts w:hint="eastAsia"/>
          <w:color w:val="auto"/>
          <w:sz w:val="30"/>
          <w:szCs w:val="30"/>
          <w:u w:val="single"/>
        </w:rPr>
        <w:t xml:space="preserve">     </w:t>
      </w:r>
      <w:r>
        <w:rPr>
          <w:rFonts w:hint="eastAsia"/>
          <w:color w:val="auto"/>
          <w:sz w:val="30"/>
          <w:szCs w:val="30"/>
        </w:rPr>
        <w:t>月</w:t>
      </w:r>
      <w:r>
        <w:rPr>
          <w:rFonts w:hint="eastAsia"/>
          <w:color w:val="auto"/>
          <w:sz w:val="30"/>
          <w:szCs w:val="30"/>
          <w:u w:val="single"/>
        </w:rPr>
        <w:t xml:space="preserve">     </w:t>
      </w:r>
      <w:r>
        <w:rPr>
          <w:rFonts w:hint="eastAsia"/>
          <w:color w:val="auto"/>
          <w:sz w:val="30"/>
          <w:szCs w:val="30"/>
        </w:rPr>
        <w:t>日</w:t>
      </w:r>
    </w:p>
    <w:p>
      <w:pPr>
        <w:pStyle w:val="11"/>
        <w:spacing w:line="380" w:lineRule="exact"/>
        <w:jc w:val="center"/>
        <w:rPr>
          <w:rFonts w:hint="eastAsia" w:hAnsi="宋体" w:cs="宋体"/>
          <w:szCs w:val="21"/>
        </w:rPr>
        <w:sectPr>
          <w:headerReference r:id="rId9" w:type="default"/>
          <w:footerReference r:id="rId10" w:type="default"/>
          <w:pgSz w:w="11906" w:h="16838"/>
          <w:pgMar w:top="1020" w:right="1049" w:bottom="1440" w:left="998" w:header="851" w:footer="992" w:gutter="0"/>
          <w:pgNumType w:fmt="decimal" w:start="1"/>
          <w:cols w:space="720" w:num="1"/>
          <w:docGrid w:type="lines" w:linePitch="312" w:charSpace="0"/>
        </w:sectPr>
      </w:pPr>
    </w:p>
    <w:p>
      <w:pPr>
        <w:spacing w:line="400" w:lineRule="exact"/>
        <w:ind w:firstLine="482" w:firstLineChars="150"/>
        <w:jc w:val="both"/>
        <w:outlineLvl w:val="0"/>
        <w:rPr>
          <w:rFonts w:hint="eastAsia" w:ascii="宋体" w:hAnsi="宋体" w:cs="宋体"/>
          <w:b/>
          <w:sz w:val="32"/>
          <w:szCs w:val="32"/>
        </w:rPr>
      </w:pPr>
      <w:r>
        <w:rPr>
          <w:rFonts w:hint="eastAsia"/>
          <w:b/>
          <w:color w:val="auto"/>
          <w:sz w:val="32"/>
          <w:szCs w:val="32"/>
        </w:rPr>
        <w:t>响应文件封面格式：</w:t>
      </w:r>
    </w:p>
    <w:p>
      <w:pPr>
        <w:pStyle w:val="11"/>
        <w:spacing w:line="380" w:lineRule="exact"/>
        <w:jc w:val="both"/>
        <w:rPr>
          <w:rFonts w:hint="eastAsia" w:hAnsi="宋体" w:cs="宋体"/>
          <w:b/>
          <w:sz w:val="32"/>
          <w:szCs w:val="32"/>
        </w:rPr>
      </w:pPr>
    </w:p>
    <w:p>
      <w:pPr>
        <w:pStyle w:val="11"/>
        <w:spacing w:line="380" w:lineRule="exact"/>
        <w:jc w:val="center"/>
        <w:rPr>
          <w:rFonts w:hint="eastAsia" w:hAnsi="宋体" w:cs="宋体"/>
          <w:b/>
          <w:sz w:val="32"/>
          <w:szCs w:val="32"/>
        </w:rPr>
      </w:pPr>
    </w:p>
    <w:p>
      <w:pPr>
        <w:pStyle w:val="11"/>
        <w:spacing w:line="380" w:lineRule="exact"/>
        <w:jc w:val="right"/>
        <w:rPr>
          <w:rFonts w:hint="eastAsia" w:hAnsi="宋体" w:cs="宋体"/>
          <w:b/>
          <w:sz w:val="32"/>
          <w:szCs w:val="32"/>
        </w:rPr>
      </w:pPr>
      <w:r>
        <w:rPr>
          <w:rFonts w:hint="eastAsia" w:hAnsi="宋体" w:cs="宋体"/>
          <w:b/>
          <w:sz w:val="32"/>
          <w:szCs w:val="32"/>
        </w:rPr>
        <w:t xml:space="preserve">                     </w:t>
      </w:r>
    </w:p>
    <w:p>
      <w:pPr>
        <w:pStyle w:val="11"/>
        <w:spacing w:line="380" w:lineRule="exact"/>
        <w:jc w:val="right"/>
        <w:rPr>
          <w:rFonts w:hint="eastAsia" w:hAnsi="宋体" w:cs="宋体"/>
          <w:b/>
          <w:sz w:val="32"/>
          <w:szCs w:val="32"/>
        </w:rPr>
      </w:pPr>
    </w:p>
    <w:p>
      <w:pPr>
        <w:pStyle w:val="11"/>
        <w:spacing w:line="380" w:lineRule="exact"/>
        <w:jc w:val="right"/>
        <w:rPr>
          <w:rFonts w:hint="eastAsia" w:hAnsi="宋体" w:eastAsia="宋体" w:cs="宋体"/>
          <w:b/>
          <w:sz w:val="30"/>
          <w:szCs w:val="30"/>
          <w:lang w:val="en-US" w:eastAsia="zh-CN"/>
        </w:rPr>
      </w:pPr>
      <w:r>
        <w:rPr>
          <w:rFonts w:hint="eastAsia" w:hAnsi="宋体" w:cs="宋体"/>
          <w:b/>
          <w:sz w:val="32"/>
          <w:szCs w:val="32"/>
        </w:rPr>
        <w:t xml:space="preserve">       </w:t>
      </w:r>
      <w:r>
        <w:rPr>
          <w:rFonts w:hint="eastAsia" w:hAnsi="宋体" w:cs="宋体"/>
          <w:b/>
          <w:sz w:val="30"/>
          <w:szCs w:val="30"/>
        </w:rPr>
        <w:t>正/副</w:t>
      </w:r>
      <w:r>
        <w:rPr>
          <w:rFonts w:hint="eastAsia" w:hAnsi="宋体" w:cs="宋体"/>
          <w:b/>
          <w:sz w:val="30"/>
          <w:szCs w:val="30"/>
          <w:lang w:val="en-US" w:eastAsia="zh-CN"/>
        </w:rPr>
        <w:t>本</w:t>
      </w:r>
    </w:p>
    <w:p>
      <w:pPr>
        <w:pStyle w:val="11"/>
        <w:spacing w:line="380" w:lineRule="exact"/>
        <w:jc w:val="center"/>
        <w:rPr>
          <w:rFonts w:hint="eastAsia" w:hAnsi="宋体" w:cs="宋体"/>
          <w:b/>
          <w:sz w:val="32"/>
          <w:szCs w:val="32"/>
        </w:rPr>
      </w:pPr>
    </w:p>
    <w:p>
      <w:pPr>
        <w:pStyle w:val="11"/>
        <w:spacing w:line="380" w:lineRule="exact"/>
        <w:jc w:val="center"/>
        <w:rPr>
          <w:rFonts w:hint="eastAsia" w:hAnsi="宋体" w:cs="宋体"/>
          <w:b/>
          <w:sz w:val="32"/>
          <w:szCs w:val="32"/>
        </w:rPr>
      </w:pPr>
    </w:p>
    <w:p>
      <w:pPr>
        <w:bidi w:val="0"/>
        <w:jc w:val="center"/>
        <w:rPr>
          <w:rFonts w:hint="eastAsia"/>
          <w:b/>
          <w:bCs/>
          <w:sz w:val="48"/>
          <w:szCs w:val="48"/>
        </w:rPr>
      </w:pPr>
      <w:r>
        <w:rPr>
          <w:rFonts w:hint="eastAsia"/>
          <w:b/>
          <w:bCs/>
          <w:sz w:val="48"/>
          <w:szCs w:val="48"/>
        </w:rPr>
        <w:t>响应文件</w:t>
      </w:r>
    </w:p>
    <w:p>
      <w:pPr>
        <w:spacing w:line="360" w:lineRule="auto"/>
        <w:ind w:left="413" w:leftChars="172" w:hanging="52" w:hangingChars="25"/>
        <w:jc w:val="left"/>
        <w:rPr>
          <w:rFonts w:hint="eastAsia" w:ascii="宋体" w:hAnsi="宋体" w:cs="宋体"/>
          <w:szCs w:val="21"/>
        </w:rPr>
      </w:pPr>
    </w:p>
    <w:p>
      <w:pPr>
        <w:pStyle w:val="11"/>
        <w:jc w:val="center"/>
        <w:outlineLvl w:val="9"/>
        <w:rPr>
          <w:rFonts w:hint="eastAsia" w:hAnsi="宋体"/>
          <w:sz w:val="30"/>
          <w:szCs w:val="30"/>
        </w:rPr>
      </w:pPr>
    </w:p>
    <w:p>
      <w:pPr>
        <w:spacing w:line="360" w:lineRule="auto"/>
        <w:ind w:left="436" w:leftChars="172" w:hanging="75" w:hangingChars="25"/>
        <w:jc w:val="left"/>
        <w:rPr>
          <w:rFonts w:hint="eastAsia" w:ascii="宋体" w:hAnsi="宋体" w:cs="宋体"/>
          <w:sz w:val="30"/>
          <w:szCs w:val="30"/>
        </w:rPr>
      </w:pPr>
    </w:p>
    <w:p>
      <w:pPr>
        <w:pStyle w:val="28"/>
        <w:rPr>
          <w:rFonts w:hint="eastAsia" w:ascii="宋体" w:hAnsi="宋体" w:cs="宋体"/>
          <w:sz w:val="30"/>
          <w:szCs w:val="30"/>
        </w:rPr>
      </w:pPr>
    </w:p>
    <w:p>
      <w:pPr>
        <w:spacing w:line="360" w:lineRule="auto"/>
        <w:ind w:left="659" w:leftChars="314" w:firstLine="825" w:firstLineChars="275"/>
        <w:jc w:val="left"/>
        <w:rPr>
          <w:rFonts w:hint="eastAsia" w:ascii="宋体" w:hAnsi="宋体" w:cs="宋体"/>
          <w:sz w:val="30"/>
          <w:szCs w:val="30"/>
        </w:rPr>
      </w:pPr>
      <w:r>
        <w:rPr>
          <w:rFonts w:hint="eastAsia" w:ascii="宋体" w:hAnsi="宋体" w:cs="宋体"/>
          <w:sz w:val="30"/>
          <w:szCs w:val="30"/>
        </w:rPr>
        <w:t>项目编号：</w:t>
      </w:r>
      <w:r>
        <w:rPr>
          <w:rFonts w:hint="eastAsia" w:ascii="宋体" w:hAnsi="宋体" w:cs="宋体"/>
          <w:sz w:val="30"/>
          <w:szCs w:val="30"/>
          <w:u w:val="single"/>
        </w:rPr>
        <w:t xml:space="preserve">                               </w:t>
      </w:r>
    </w:p>
    <w:p>
      <w:pPr>
        <w:spacing w:line="360" w:lineRule="auto"/>
        <w:ind w:left="659" w:leftChars="314" w:firstLine="825" w:firstLineChars="275"/>
        <w:jc w:val="left"/>
        <w:rPr>
          <w:rFonts w:hint="eastAsia" w:ascii="宋体" w:hAnsi="宋体" w:cs="宋体"/>
          <w:sz w:val="30"/>
          <w:szCs w:val="30"/>
        </w:rPr>
      </w:pPr>
      <w:r>
        <w:rPr>
          <w:rFonts w:hint="eastAsia" w:ascii="宋体" w:hAnsi="宋体" w:cs="宋体"/>
          <w:sz w:val="30"/>
          <w:szCs w:val="30"/>
        </w:rPr>
        <w:t>项目名称：</w:t>
      </w:r>
      <w:r>
        <w:rPr>
          <w:rFonts w:hint="eastAsia" w:ascii="宋体" w:hAnsi="宋体" w:cs="宋体"/>
          <w:sz w:val="30"/>
          <w:szCs w:val="30"/>
          <w:u w:val="single"/>
        </w:rPr>
        <w:t xml:space="preserve">                               </w:t>
      </w:r>
    </w:p>
    <w:p>
      <w:pPr>
        <w:pStyle w:val="28"/>
        <w:rPr>
          <w:rFonts w:hint="eastAsia" w:ascii="宋体" w:hAnsi="宋体" w:cs="宋体"/>
          <w:sz w:val="30"/>
          <w:szCs w:val="30"/>
        </w:rPr>
      </w:pPr>
    </w:p>
    <w:p>
      <w:pPr>
        <w:pStyle w:val="28"/>
        <w:rPr>
          <w:rFonts w:hint="eastAsia" w:ascii="宋体" w:hAnsi="宋体" w:cs="宋体"/>
          <w:sz w:val="30"/>
          <w:szCs w:val="30"/>
        </w:rPr>
      </w:pPr>
    </w:p>
    <w:p>
      <w:pPr>
        <w:spacing w:line="360" w:lineRule="auto"/>
        <w:ind w:left="436" w:leftChars="172" w:hanging="75" w:hangingChars="25"/>
        <w:jc w:val="left"/>
        <w:rPr>
          <w:rFonts w:hint="eastAsia" w:ascii="宋体" w:hAnsi="宋体" w:cs="宋体"/>
          <w:sz w:val="30"/>
          <w:szCs w:val="30"/>
        </w:rPr>
      </w:pPr>
    </w:p>
    <w:p>
      <w:pPr>
        <w:pStyle w:val="11"/>
        <w:spacing w:line="500" w:lineRule="exact"/>
        <w:ind w:firstLine="750" w:firstLineChars="250"/>
        <w:rPr>
          <w:color w:val="auto"/>
          <w:sz w:val="30"/>
          <w:szCs w:val="30"/>
          <w:u w:val="single"/>
        </w:rPr>
      </w:pPr>
      <w:r>
        <w:rPr>
          <w:rFonts w:hint="eastAsia"/>
          <w:color w:val="auto"/>
          <w:sz w:val="30"/>
          <w:szCs w:val="30"/>
        </w:rPr>
        <w:t>供应商</w:t>
      </w:r>
      <w:r>
        <w:rPr>
          <w:rFonts w:hint="eastAsia"/>
          <w:color w:val="auto"/>
          <w:sz w:val="30"/>
          <w:szCs w:val="30"/>
          <w:lang w:val="en-US" w:eastAsia="zh-CN"/>
        </w:rPr>
        <w:t>名称（盖章）</w:t>
      </w:r>
      <w:r>
        <w:rPr>
          <w:rFonts w:hint="eastAsia"/>
          <w:color w:val="auto"/>
          <w:sz w:val="30"/>
          <w:szCs w:val="30"/>
        </w:rPr>
        <w:t>：</w:t>
      </w:r>
      <w:r>
        <w:rPr>
          <w:rFonts w:hint="eastAsia"/>
          <w:color w:val="auto"/>
          <w:sz w:val="30"/>
          <w:szCs w:val="30"/>
          <w:u w:val="single"/>
        </w:rPr>
        <w:t xml:space="preserve">               </w:t>
      </w:r>
      <w:r>
        <w:rPr>
          <w:rFonts w:hint="eastAsia"/>
          <w:color w:val="auto"/>
          <w:sz w:val="30"/>
          <w:szCs w:val="30"/>
          <w:u w:val="single"/>
          <w:lang w:val="en-US" w:eastAsia="zh-CN"/>
        </w:rPr>
        <w:t xml:space="preserve">  </w:t>
      </w:r>
      <w:r>
        <w:rPr>
          <w:rFonts w:hint="eastAsia"/>
          <w:color w:val="auto"/>
          <w:sz w:val="30"/>
          <w:szCs w:val="30"/>
          <w:u w:val="single"/>
        </w:rPr>
        <w:t xml:space="preserve">            </w:t>
      </w:r>
    </w:p>
    <w:p>
      <w:pPr>
        <w:pStyle w:val="11"/>
        <w:spacing w:line="500" w:lineRule="exact"/>
        <w:ind w:firstLine="750" w:firstLineChars="250"/>
        <w:rPr>
          <w:color w:val="auto"/>
          <w:sz w:val="30"/>
          <w:szCs w:val="30"/>
        </w:rPr>
      </w:pPr>
      <w:r>
        <w:rPr>
          <w:rFonts w:hint="eastAsia"/>
          <w:color w:val="auto"/>
          <w:sz w:val="30"/>
          <w:szCs w:val="30"/>
        </w:rPr>
        <w:t>法定代表人或其委托代理人（签名或盖章）：</w:t>
      </w:r>
      <w:r>
        <w:rPr>
          <w:rFonts w:hint="eastAsia"/>
          <w:color w:val="auto"/>
          <w:sz w:val="30"/>
          <w:szCs w:val="30"/>
          <w:u w:val="single"/>
        </w:rPr>
        <w:t xml:space="preserve">          </w:t>
      </w:r>
    </w:p>
    <w:p>
      <w:pPr>
        <w:pStyle w:val="11"/>
        <w:spacing w:line="500" w:lineRule="exact"/>
        <w:ind w:firstLine="450" w:firstLineChars="150"/>
        <w:rPr>
          <w:color w:val="auto"/>
          <w:sz w:val="30"/>
          <w:szCs w:val="30"/>
        </w:rPr>
      </w:pPr>
    </w:p>
    <w:p>
      <w:pPr>
        <w:pStyle w:val="11"/>
        <w:spacing w:line="380" w:lineRule="exact"/>
        <w:jc w:val="center"/>
        <w:rPr>
          <w:rFonts w:hint="eastAsia" w:hAnsi="宋体" w:cs="宋体"/>
          <w:sz w:val="30"/>
          <w:szCs w:val="30"/>
        </w:rPr>
      </w:pPr>
      <w:r>
        <w:rPr>
          <w:rFonts w:hint="eastAsia"/>
          <w:color w:val="auto"/>
          <w:sz w:val="30"/>
          <w:szCs w:val="30"/>
        </w:rPr>
        <w:t>日期：</w:t>
      </w:r>
      <w:r>
        <w:rPr>
          <w:rFonts w:hint="eastAsia"/>
          <w:color w:val="auto"/>
          <w:sz w:val="30"/>
          <w:szCs w:val="30"/>
          <w:u w:val="single"/>
        </w:rPr>
        <w:t xml:space="preserve">         </w:t>
      </w:r>
      <w:r>
        <w:rPr>
          <w:rFonts w:hint="eastAsia"/>
          <w:color w:val="auto"/>
          <w:sz w:val="30"/>
          <w:szCs w:val="30"/>
        </w:rPr>
        <w:t>年</w:t>
      </w:r>
      <w:r>
        <w:rPr>
          <w:rFonts w:hint="eastAsia"/>
          <w:color w:val="auto"/>
          <w:sz w:val="30"/>
          <w:szCs w:val="30"/>
          <w:u w:val="single"/>
        </w:rPr>
        <w:t xml:space="preserve">     </w:t>
      </w:r>
      <w:r>
        <w:rPr>
          <w:rFonts w:hint="eastAsia"/>
          <w:color w:val="auto"/>
          <w:sz w:val="30"/>
          <w:szCs w:val="30"/>
        </w:rPr>
        <w:t>月</w:t>
      </w:r>
      <w:r>
        <w:rPr>
          <w:rFonts w:hint="eastAsia"/>
          <w:color w:val="auto"/>
          <w:sz w:val="30"/>
          <w:szCs w:val="30"/>
          <w:u w:val="single"/>
        </w:rPr>
        <w:t xml:space="preserve">     </w:t>
      </w:r>
      <w:r>
        <w:rPr>
          <w:rFonts w:hint="eastAsia"/>
          <w:color w:val="auto"/>
          <w:sz w:val="30"/>
          <w:szCs w:val="30"/>
        </w:rPr>
        <w:t>日</w:t>
      </w:r>
    </w:p>
    <w:p>
      <w:pPr>
        <w:pStyle w:val="12"/>
        <w:rPr>
          <w:rFonts w:hint="eastAsia"/>
        </w:rPr>
        <w:sectPr>
          <w:pgSz w:w="11906" w:h="16838"/>
          <w:pgMar w:top="1020" w:right="1049" w:bottom="1440" w:left="998" w:header="851" w:footer="992" w:gutter="0"/>
          <w:pgNumType w:fmt="decimal"/>
          <w:cols w:space="720" w:num="1"/>
          <w:docGrid w:type="lines" w:linePitch="312" w:charSpace="0"/>
        </w:sectPr>
      </w:pPr>
    </w:p>
    <w:p>
      <w:pPr>
        <w:spacing w:line="360" w:lineRule="auto"/>
        <w:jc w:val="center"/>
        <w:rPr>
          <w:rFonts w:hint="eastAsia" w:ascii="宋体" w:hAnsi="宋体" w:cs="宋体"/>
          <w:b/>
          <w:sz w:val="32"/>
          <w:szCs w:val="32"/>
        </w:rPr>
      </w:pPr>
      <w:r>
        <w:rPr>
          <w:rFonts w:hint="eastAsia" w:ascii="宋体" w:hAnsi="宋体" w:cs="宋体"/>
          <w:b/>
          <w:sz w:val="32"/>
          <w:szCs w:val="32"/>
        </w:rPr>
        <w:t>目 录</w:t>
      </w:r>
    </w:p>
    <w:p>
      <w:pPr>
        <w:pStyle w:val="28"/>
        <w:jc w:val="center"/>
        <w:rPr>
          <w:rFonts w:hint="eastAsia" w:ascii="宋体" w:hAnsi="宋体" w:cs="宋体"/>
        </w:rPr>
      </w:pPr>
      <w:r>
        <w:rPr>
          <w:rFonts w:hint="eastAsia" w:ascii="宋体" w:hAnsi="宋体" w:cs="宋体"/>
          <w:b/>
          <w:sz w:val="28"/>
          <w:szCs w:val="28"/>
        </w:rPr>
        <w:t>（</w:t>
      </w:r>
      <w:r>
        <w:rPr>
          <w:rFonts w:hint="eastAsia" w:ascii="宋体" w:hAnsi="宋体" w:cs="宋体"/>
          <w:bCs w:val="0"/>
          <w:sz w:val="22"/>
          <w:szCs w:val="22"/>
        </w:rPr>
        <w:t>由供应商根据采购文件要求的响应文件构成，结合自身响应文件构成情况自行编制，采购文件中有要求但无格式提供的则由供应商自拟</w:t>
      </w:r>
      <w:r>
        <w:rPr>
          <w:rFonts w:hint="eastAsia" w:ascii="宋体" w:hAnsi="宋体" w:cs="宋体"/>
          <w:b/>
          <w:sz w:val="28"/>
          <w:szCs w:val="28"/>
        </w:rPr>
        <w:t>）</w:t>
      </w:r>
    </w:p>
    <w:p>
      <w:pPr>
        <w:rPr>
          <w:rFonts w:hint="eastAsia" w:ascii="新宋体" w:hAnsi="新宋体" w:eastAsia="新宋体" w:cs="新宋体"/>
          <w:b/>
          <w:bCs/>
          <w:color w:val="auto"/>
          <w:sz w:val="32"/>
          <w:szCs w:val="32"/>
          <w:highlight w:val="none"/>
        </w:rPr>
      </w:pPr>
    </w:p>
    <w:p>
      <w:pPr>
        <w:rPr>
          <w:rFonts w:hint="eastAsia" w:ascii="新宋体" w:hAnsi="新宋体" w:eastAsia="新宋体" w:cs="新宋体"/>
          <w:b/>
          <w:bCs/>
          <w:color w:val="auto"/>
          <w:sz w:val="32"/>
          <w:szCs w:val="32"/>
          <w:highlight w:val="none"/>
        </w:rPr>
      </w:pPr>
      <w:r>
        <w:rPr>
          <w:rFonts w:hint="eastAsia" w:ascii="新宋体" w:hAnsi="新宋体" w:eastAsia="新宋体" w:cs="新宋体"/>
          <w:b/>
          <w:bCs/>
          <w:color w:val="auto"/>
          <w:sz w:val="32"/>
          <w:szCs w:val="32"/>
          <w:highlight w:val="none"/>
        </w:rPr>
        <w:br w:type="page"/>
      </w:r>
    </w:p>
    <w:p>
      <w:pPr>
        <w:pStyle w:val="11"/>
        <w:spacing w:line="500" w:lineRule="exact"/>
        <w:jc w:val="center"/>
        <w:rPr>
          <w:rFonts w:ascii="新宋体" w:hAnsi="新宋体" w:eastAsia="新宋体" w:cs="新宋体"/>
          <w:b/>
          <w:bCs/>
          <w:color w:val="auto"/>
          <w:sz w:val="32"/>
          <w:szCs w:val="32"/>
          <w:highlight w:val="none"/>
        </w:rPr>
      </w:pPr>
      <w:r>
        <w:rPr>
          <w:rFonts w:hint="eastAsia" w:ascii="新宋体" w:hAnsi="新宋体" w:eastAsia="新宋体" w:cs="新宋体"/>
          <w:b/>
          <w:bCs/>
          <w:color w:val="auto"/>
          <w:sz w:val="32"/>
          <w:szCs w:val="32"/>
          <w:highlight w:val="none"/>
        </w:rPr>
        <w:t>响应函（格式）</w:t>
      </w:r>
    </w:p>
    <w:p>
      <w:pPr>
        <w:pStyle w:val="11"/>
        <w:spacing w:line="440" w:lineRule="exact"/>
        <w:ind w:firstLine="420" w:firstLineChars="200"/>
        <w:rPr>
          <w:rFonts w:ascii="新宋体" w:hAnsi="新宋体" w:eastAsia="新宋体" w:cs="新宋体"/>
          <w:color w:val="auto"/>
          <w:highlight w:val="none"/>
        </w:rPr>
      </w:pPr>
    </w:p>
    <w:p>
      <w:pPr>
        <w:pStyle w:val="11"/>
        <w:spacing w:line="440" w:lineRule="exact"/>
        <w:rPr>
          <w:rFonts w:ascii="新宋体" w:hAnsi="新宋体" w:eastAsia="新宋体" w:cs="新宋体"/>
          <w:color w:val="auto"/>
          <w:highlight w:val="none"/>
        </w:rPr>
      </w:pPr>
      <w:r>
        <w:rPr>
          <w:rFonts w:hint="eastAsia" w:ascii="新宋体" w:hAnsi="新宋体" w:eastAsia="新宋体" w:cs="新宋体"/>
          <w:color w:val="auto"/>
          <w:highlight w:val="none"/>
        </w:rPr>
        <w:t>致：</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rPr>
        <w:t>（采购单位名称）</w:t>
      </w:r>
    </w:p>
    <w:p>
      <w:pPr>
        <w:pStyle w:val="11"/>
        <w:spacing w:line="440" w:lineRule="exact"/>
        <w:ind w:firstLine="420" w:firstLineChars="200"/>
        <w:rPr>
          <w:rFonts w:ascii="新宋体" w:hAnsi="新宋体" w:eastAsia="新宋体" w:cs="新宋体"/>
          <w:color w:val="auto"/>
          <w:highlight w:val="none"/>
        </w:rPr>
      </w:pP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我方已仔细阅读了贵方组织的项目</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rPr>
        <w:t>（项目编号：</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rPr>
        <w:t xml:space="preserve">的竞争性磋商文件的全部内容，现正式提交下述响应文件参加贵方组织的本次政府采购活动： </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一、</w:t>
      </w:r>
      <w:r>
        <w:rPr>
          <w:rFonts w:hint="eastAsia" w:ascii="新宋体" w:hAnsi="新宋体" w:eastAsia="新宋体" w:cs="新宋体"/>
          <w:color w:val="auto"/>
        </w:rPr>
        <w:t>磋商响应文件正本一份，副本</w:t>
      </w:r>
      <w:r>
        <w:rPr>
          <w:rFonts w:hint="eastAsia" w:ascii="新宋体" w:hAnsi="新宋体" w:eastAsia="新宋体" w:cs="新宋体"/>
          <w:color w:val="auto"/>
          <w:u w:val="single"/>
        </w:rPr>
        <w:t xml:space="preserve"> </w:t>
      </w:r>
      <w:r>
        <w:rPr>
          <w:rFonts w:hint="eastAsia" w:ascii="新宋体" w:hAnsi="新宋体" w:eastAsia="新宋体" w:cs="新宋体"/>
          <w:color w:val="auto"/>
          <w:u w:val="single"/>
          <w:lang w:val="en-US" w:eastAsia="zh-CN"/>
        </w:rPr>
        <w:t xml:space="preserve">  </w:t>
      </w:r>
      <w:r>
        <w:rPr>
          <w:rFonts w:hint="eastAsia" w:ascii="新宋体" w:hAnsi="新宋体" w:eastAsia="新宋体" w:cs="新宋体"/>
          <w:color w:val="auto"/>
          <w:u w:val="single"/>
        </w:rPr>
        <w:t xml:space="preserve"> </w:t>
      </w:r>
      <w:r>
        <w:rPr>
          <w:rFonts w:hint="eastAsia" w:ascii="新宋体" w:hAnsi="新宋体" w:eastAsia="新宋体" w:cs="新宋体"/>
          <w:color w:val="auto"/>
        </w:rPr>
        <w:t>份（包含按磋商供应商须知第10.1.1；10.1.2；10.1.3</w:t>
      </w:r>
      <w:r>
        <w:rPr>
          <w:rFonts w:hint="eastAsia" w:ascii="新宋体" w:hAnsi="新宋体" w:eastAsia="新宋体" w:cs="新宋体"/>
          <w:color w:val="auto"/>
          <w:lang w:eastAsia="zh-CN"/>
        </w:rPr>
        <w:t>；</w:t>
      </w:r>
      <w:r>
        <w:rPr>
          <w:rFonts w:hint="eastAsia" w:ascii="新宋体" w:hAnsi="新宋体" w:eastAsia="新宋体" w:cs="新宋体"/>
          <w:color w:val="auto"/>
          <w:lang w:val="en-US" w:eastAsia="zh-CN"/>
        </w:rPr>
        <w:t>10.1.4</w:t>
      </w:r>
      <w:r>
        <w:rPr>
          <w:rFonts w:hint="eastAsia" w:ascii="新宋体" w:hAnsi="新宋体" w:eastAsia="新宋体" w:cs="新宋体"/>
          <w:color w:val="auto"/>
        </w:rPr>
        <w:t>项要求提交的全部文件）；</w:t>
      </w:r>
    </w:p>
    <w:p>
      <w:pPr>
        <w:pStyle w:val="11"/>
        <w:spacing w:line="440" w:lineRule="exact"/>
        <w:ind w:firstLine="482"/>
        <w:rPr>
          <w:rFonts w:ascii="新宋体" w:hAnsi="新宋体" w:eastAsia="新宋体" w:cs="新宋体"/>
          <w:color w:val="auto"/>
          <w:highlight w:val="none"/>
        </w:rPr>
      </w:pPr>
      <w:r>
        <w:rPr>
          <w:rFonts w:hint="eastAsia" w:ascii="新宋体" w:hAnsi="新宋体" w:eastAsia="新宋体" w:cs="新宋体"/>
          <w:color w:val="auto"/>
          <w:highlight w:val="none"/>
        </w:rPr>
        <w:t>据此函，签字人兹宣布：</w:t>
      </w: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1、我方愿意以（大写）人民币</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rPr>
        <w:t>(</w:t>
      </w:r>
      <w:r>
        <w:rPr>
          <w:rFonts w:ascii="Arial" w:hAnsi="Arial" w:eastAsia="新宋体" w:cs="Arial"/>
          <w:color w:val="auto"/>
          <w:highlight w:val="none"/>
        </w:rPr>
        <w:t>¥</w:t>
      </w:r>
      <w:r>
        <w:rPr>
          <w:rFonts w:hint="eastAsia" w:ascii="Arial" w:hAnsi="Arial" w:eastAsia="新宋体" w:cs="Arial"/>
          <w:color w:val="auto"/>
          <w:highlight w:val="none"/>
          <w:u w:val="single"/>
        </w:rPr>
        <w:t xml:space="preserve">           </w:t>
      </w:r>
      <w:r>
        <w:rPr>
          <w:rFonts w:hint="eastAsia" w:ascii="新宋体" w:hAnsi="新宋体" w:eastAsia="新宋体" w:cs="新宋体"/>
          <w:color w:val="auto"/>
          <w:highlight w:val="none"/>
        </w:rPr>
        <w:t>元)的响应总报价，</w:t>
      </w:r>
      <w:r>
        <w:rPr>
          <w:color w:val="auto"/>
          <w:sz w:val="21"/>
          <w:szCs w:val="21"/>
        </w:rPr>
        <w:t>提交服务成果时间</w:t>
      </w:r>
      <w:r>
        <w:rPr>
          <w:rFonts w:hint="eastAsia"/>
          <w:color w:val="auto"/>
          <w:highlight w:val="none"/>
        </w:rPr>
        <w:t>：</w:t>
      </w:r>
      <w:r>
        <w:rPr>
          <w:rFonts w:hint="eastAsia"/>
          <w:color w:val="auto"/>
          <w:highlight w:val="none"/>
          <w:u w:val="single"/>
        </w:rPr>
        <w:t xml:space="preserve">               </w:t>
      </w:r>
      <w:r>
        <w:rPr>
          <w:rFonts w:hint="eastAsia"/>
          <w:color w:val="auto"/>
          <w:highlight w:val="none"/>
        </w:rPr>
        <w:t>；</w:t>
      </w:r>
      <w:r>
        <w:rPr>
          <w:rFonts w:hint="eastAsia" w:ascii="新宋体" w:hAnsi="新宋体" w:eastAsia="新宋体" w:cs="新宋体"/>
          <w:color w:val="auto"/>
          <w:highlight w:val="none"/>
        </w:rPr>
        <w:t>提供本项目招标文件第二章“服务需求一览表”中的相应的采购内容。</w:t>
      </w:r>
    </w:p>
    <w:p>
      <w:pPr>
        <w:pStyle w:val="11"/>
        <w:spacing w:line="440" w:lineRule="exact"/>
        <w:ind w:firstLine="482"/>
        <w:rPr>
          <w:rFonts w:ascii="Times New Roman" w:hAnsi="Times New Roman"/>
          <w:color w:val="auto"/>
          <w:highlight w:val="none"/>
        </w:rPr>
      </w:pPr>
      <w:r>
        <w:rPr>
          <w:rFonts w:hint="eastAsia"/>
          <w:color w:val="auto"/>
          <w:highlight w:val="none"/>
        </w:rPr>
        <w:t>其中（有分标时填写）：</w:t>
      </w:r>
    </w:p>
    <w:p>
      <w:pPr>
        <w:pStyle w:val="11"/>
        <w:spacing w:line="440" w:lineRule="exact"/>
        <w:ind w:firstLine="482"/>
        <w:rPr>
          <w:rFonts w:ascii="Times New Roman" w:hAnsi="Times New Roman"/>
          <w:color w:val="auto"/>
          <w:highlight w:val="none"/>
        </w:rPr>
      </w:pPr>
      <w:r>
        <w:rPr>
          <w:rFonts w:hint="eastAsia" w:ascii="新宋体" w:hAnsi="新宋体" w:eastAsia="新宋体" w:cs="新宋体"/>
          <w:color w:val="auto"/>
          <w:highlight w:val="none"/>
          <w:u w:val="single"/>
        </w:rPr>
        <w:t xml:space="preserve">      </w:t>
      </w:r>
      <w:r>
        <w:rPr>
          <w:rFonts w:hint="eastAsia"/>
          <w:color w:val="auto"/>
          <w:highlight w:val="none"/>
        </w:rPr>
        <w:t>分标报价为（大写）</w:t>
      </w:r>
      <w:r>
        <w:rPr>
          <w:rFonts w:hint="eastAsia" w:ascii="新宋体" w:hAnsi="新宋体" w:eastAsia="新宋体" w:cs="新宋体"/>
          <w:color w:val="auto"/>
          <w:highlight w:val="none"/>
        </w:rPr>
        <w:t>人民币</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rPr>
        <w:t>(</w:t>
      </w:r>
      <w:r>
        <w:rPr>
          <w:rFonts w:ascii="Arial" w:hAnsi="Arial" w:eastAsia="新宋体" w:cs="Arial"/>
          <w:color w:val="auto"/>
          <w:highlight w:val="none"/>
        </w:rPr>
        <w:t>¥</w:t>
      </w:r>
      <w:r>
        <w:rPr>
          <w:rFonts w:hint="eastAsia" w:ascii="Arial" w:hAnsi="Arial" w:eastAsia="新宋体" w:cs="Arial"/>
          <w:color w:val="auto"/>
          <w:highlight w:val="none"/>
          <w:u w:val="single"/>
        </w:rPr>
        <w:t xml:space="preserve">           </w:t>
      </w:r>
      <w:r>
        <w:rPr>
          <w:rFonts w:hint="eastAsia" w:ascii="新宋体" w:hAnsi="新宋体" w:eastAsia="新宋体" w:cs="新宋体"/>
          <w:color w:val="auto"/>
          <w:highlight w:val="none"/>
        </w:rPr>
        <w:t>元)</w:t>
      </w:r>
      <w:r>
        <w:rPr>
          <w:rFonts w:hint="eastAsia"/>
          <w:color w:val="auto"/>
          <w:highlight w:val="none"/>
        </w:rPr>
        <w:t>；</w:t>
      </w:r>
      <w:r>
        <w:rPr>
          <w:color w:val="auto"/>
          <w:sz w:val="21"/>
          <w:szCs w:val="21"/>
        </w:rPr>
        <w:t>提交服务成果时间</w:t>
      </w:r>
      <w:r>
        <w:rPr>
          <w:rFonts w:hint="eastAsia"/>
          <w:color w:val="auto"/>
          <w:highlight w:val="none"/>
        </w:rPr>
        <w:t>：</w:t>
      </w:r>
      <w:r>
        <w:rPr>
          <w:rFonts w:hint="eastAsia"/>
          <w:color w:val="auto"/>
          <w:highlight w:val="none"/>
          <w:u w:val="single"/>
        </w:rPr>
        <w:t xml:space="preserve">                   </w:t>
      </w:r>
      <w:r>
        <w:rPr>
          <w:rFonts w:hint="eastAsia"/>
          <w:color w:val="auto"/>
          <w:highlight w:val="none"/>
        </w:rPr>
        <w:t>；</w:t>
      </w:r>
    </w:p>
    <w:p>
      <w:pPr>
        <w:pStyle w:val="11"/>
        <w:spacing w:line="440" w:lineRule="exact"/>
        <w:ind w:firstLine="482"/>
        <w:rPr>
          <w:rFonts w:ascii="Times New Roman" w:hAnsi="Times New Roman"/>
          <w:color w:val="auto"/>
          <w:highlight w:val="none"/>
        </w:rPr>
      </w:pPr>
      <w:r>
        <w:rPr>
          <w:rFonts w:hint="eastAsia" w:ascii="新宋体" w:hAnsi="新宋体" w:eastAsia="新宋体" w:cs="新宋体"/>
          <w:color w:val="auto"/>
          <w:highlight w:val="none"/>
          <w:u w:val="single"/>
        </w:rPr>
        <w:t xml:space="preserve">      </w:t>
      </w:r>
      <w:r>
        <w:rPr>
          <w:rFonts w:hint="eastAsia"/>
          <w:color w:val="auto"/>
          <w:highlight w:val="none"/>
        </w:rPr>
        <w:t>分标报价为（大写）</w:t>
      </w:r>
      <w:r>
        <w:rPr>
          <w:rFonts w:hint="eastAsia" w:ascii="新宋体" w:hAnsi="新宋体" w:eastAsia="新宋体" w:cs="新宋体"/>
          <w:color w:val="auto"/>
          <w:highlight w:val="none"/>
        </w:rPr>
        <w:t>人民币</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rPr>
        <w:t>(</w:t>
      </w:r>
      <w:r>
        <w:rPr>
          <w:rFonts w:ascii="Arial" w:hAnsi="Arial" w:eastAsia="新宋体" w:cs="Arial"/>
          <w:color w:val="auto"/>
          <w:highlight w:val="none"/>
        </w:rPr>
        <w:t>¥</w:t>
      </w:r>
      <w:r>
        <w:rPr>
          <w:rFonts w:hint="eastAsia" w:ascii="Arial" w:hAnsi="Arial" w:eastAsia="新宋体" w:cs="Arial"/>
          <w:color w:val="auto"/>
          <w:highlight w:val="none"/>
          <w:u w:val="single"/>
        </w:rPr>
        <w:t xml:space="preserve">           </w:t>
      </w:r>
      <w:r>
        <w:rPr>
          <w:rFonts w:hint="eastAsia" w:ascii="新宋体" w:hAnsi="新宋体" w:eastAsia="新宋体" w:cs="新宋体"/>
          <w:color w:val="auto"/>
          <w:highlight w:val="none"/>
        </w:rPr>
        <w:t>元)</w:t>
      </w:r>
      <w:r>
        <w:rPr>
          <w:rFonts w:hint="eastAsia"/>
          <w:color w:val="auto"/>
          <w:highlight w:val="none"/>
        </w:rPr>
        <w:t>；</w:t>
      </w:r>
      <w:r>
        <w:rPr>
          <w:color w:val="auto"/>
          <w:sz w:val="21"/>
          <w:szCs w:val="21"/>
        </w:rPr>
        <w:t>提交服务成果时间</w:t>
      </w:r>
      <w:r>
        <w:rPr>
          <w:rFonts w:hint="eastAsia"/>
          <w:color w:val="auto"/>
          <w:highlight w:val="none"/>
        </w:rPr>
        <w:t>：</w:t>
      </w:r>
      <w:r>
        <w:rPr>
          <w:rFonts w:hint="eastAsia"/>
          <w:color w:val="auto"/>
          <w:highlight w:val="none"/>
          <w:u w:val="single"/>
        </w:rPr>
        <w:t xml:space="preserve">                   </w:t>
      </w:r>
      <w:r>
        <w:rPr>
          <w:rFonts w:hint="eastAsia"/>
          <w:color w:val="auto"/>
          <w:highlight w:val="none"/>
        </w:rPr>
        <w:t>；</w:t>
      </w:r>
    </w:p>
    <w:p>
      <w:pPr>
        <w:pStyle w:val="11"/>
        <w:spacing w:line="440" w:lineRule="exact"/>
        <w:ind w:firstLine="482"/>
        <w:rPr>
          <w:rFonts w:ascii="新宋体" w:hAnsi="新宋体" w:eastAsia="新宋体" w:cs="新宋体"/>
          <w:color w:val="auto"/>
          <w:highlight w:val="none"/>
        </w:rPr>
      </w:pPr>
      <w:r>
        <w:rPr>
          <w:rFonts w:hint="eastAsia"/>
          <w:color w:val="auto"/>
          <w:highlight w:val="none"/>
        </w:rPr>
        <w:t>......</w:t>
      </w:r>
    </w:p>
    <w:p>
      <w:pPr>
        <w:pStyle w:val="11"/>
        <w:spacing w:line="440" w:lineRule="exact"/>
        <w:ind w:firstLine="482"/>
        <w:rPr>
          <w:rFonts w:ascii="新宋体" w:hAnsi="新宋体" w:eastAsia="新宋体" w:cs="新宋体"/>
          <w:color w:val="auto"/>
          <w:highlight w:val="none"/>
        </w:rPr>
      </w:pPr>
      <w:r>
        <w:rPr>
          <w:rFonts w:hint="eastAsia" w:ascii="新宋体" w:hAnsi="新宋体" w:eastAsia="新宋体" w:cs="新宋体"/>
          <w:color w:val="auto"/>
          <w:highlight w:val="none"/>
        </w:rPr>
        <w:t>2、我方同意自本项目竞争性磋商文件“磋商供应商须知”第15.1项规定的提交响应文件截止时间起遵循本响应函，并承诺在“磋商供应商须知”第12.1项规定的响应有效期内不修改、撤销响应文件。</w:t>
      </w:r>
    </w:p>
    <w:p>
      <w:pPr>
        <w:pStyle w:val="11"/>
        <w:spacing w:line="440" w:lineRule="exact"/>
        <w:ind w:firstLine="482"/>
        <w:rPr>
          <w:rFonts w:ascii="新宋体" w:hAnsi="新宋体" w:eastAsia="新宋体" w:cs="新宋体"/>
          <w:color w:val="auto"/>
          <w:highlight w:val="none"/>
        </w:rPr>
      </w:pPr>
      <w:r>
        <w:rPr>
          <w:rFonts w:hint="eastAsia" w:ascii="新宋体" w:hAnsi="新宋体" w:eastAsia="新宋体" w:cs="新宋体"/>
          <w:color w:val="auto"/>
          <w:highlight w:val="none"/>
        </w:rPr>
        <w:t>3、我方在此声明，所提交的响应文件及有关资料内容完整、真实和准确。</w:t>
      </w:r>
    </w:p>
    <w:p>
      <w:pPr>
        <w:pStyle w:val="11"/>
        <w:spacing w:line="440" w:lineRule="exact"/>
        <w:ind w:firstLine="482"/>
        <w:rPr>
          <w:rFonts w:ascii="新宋体" w:hAnsi="新宋体" w:eastAsia="新宋体" w:cs="新宋体"/>
          <w:color w:val="auto"/>
          <w:highlight w:val="none"/>
        </w:rPr>
      </w:pPr>
      <w:r>
        <w:rPr>
          <w:rFonts w:hint="eastAsia" w:ascii="新宋体" w:hAnsi="新宋体" w:eastAsia="新宋体" w:cs="新宋体"/>
          <w:color w:val="auto"/>
          <w:highlight w:val="none"/>
        </w:rPr>
        <w:t>4、我方承诺已经具备《中华人民共和国政府采购法》中规定的参加政府采购活动的供应商应当具备的条件：</w:t>
      </w:r>
    </w:p>
    <w:p>
      <w:pPr>
        <w:pStyle w:val="11"/>
        <w:numPr>
          <w:ilvl w:val="0"/>
          <w:numId w:val="3"/>
        </w:numPr>
        <w:spacing w:line="440" w:lineRule="exact"/>
        <w:rPr>
          <w:rFonts w:ascii="新宋体" w:hAnsi="新宋体" w:eastAsia="新宋体" w:cs="新宋体"/>
          <w:color w:val="auto"/>
          <w:highlight w:val="none"/>
        </w:rPr>
      </w:pPr>
      <w:r>
        <w:rPr>
          <w:rFonts w:hint="eastAsia" w:ascii="新宋体" w:hAnsi="新宋体" w:eastAsia="新宋体" w:cs="新宋体"/>
          <w:color w:val="auto"/>
          <w:highlight w:val="none"/>
        </w:rPr>
        <w:t>具有独立承担民事责任的能力；</w:t>
      </w:r>
    </w:p>
    <w:p>
      <w:pPr>
        <w:pStyle w:val="11"/>
        <w:numPr>
          <w:ilvl w:val="0"/>
          <w:numId w:val="3"/>
        </w:numPr>
        <w:spacing w:line="440" w:lineRule="exact"/>
        <w:rPr>
          <w:rFonts w:ascii="新宋体" w:hAnsi="新宋体" w:eastAsia="新宋体" w:cs="新宋体"/>
          <w:color w:val="auto"/>
          <w:highlight w:val="none"/>
        </w:rPr>
      </w:pPr>
      <w:r>
        <w:rPr>
          <w:rFonts w:hint="eastAsia" w:ascii="新宋体" w:hAnsi="新宋体" w:eastAsia="新宋体" w:cs="新宋体"/>
          <w:color w:val="auto"/>
          <w:highlight w:val="none"/>
        </w:rPr>
        <w:t>具有良好的商业信誉和健全的财务会计制度；</w:t>
      </w:r>
    </w:p>
    <w:p>
      <w:pPr>
        <w:pStyle w:val="11"/>
        <w:numPr>
          <w:ilvl w:val="0"/>
          <w:numId w:val="3"/>
        </w:numPr>
        <w:spacing w:line="440" w:lineRule="exact"/>
        <w:rPr>
          <w:rFonts w:ascii="新宋体" w:hAnsi="新宋体" w:eastAsia="新宋体" w:cs="新宋体"/>
          <w:color w:val="auto"/>
          <w:highlight w:val="none"/>
        </w:rPr>
      </w:pPr>
      <w:r>
        <w:rPr>
          <w:rFonts w:hint="eastAsia" w:ascii="新宋体" w:hAnsi="新宋体" w:eastAsia="新宋体" w:cs="新宋体"/>
          <w:color w:val="auto"/>
          <w:highlight w:val="none"/>
        </w:rPr>
        <w:t>具有履行合同所必需的设备和专业技术能力；</w:t>
      </w:r>
    </w:p>
    <w:p>
      <w:pPr>
        <w:pStyle w:val="11"/>
        <w:numPr>
          <w:ilvl w:val="0"/>
          <w:numId w:val="3"/>
        </w:numPr>
        <w:spacing w:line="440" w:lineRule="exact"/>
        <w:rPr>
          <w:rFonts w:ascii="新宋体" w:hAnsi="新宋体" w:eastAsia="新宋体" w:cs="新宋体"/>
          <w:color w:val="auto"/>
          <w:highlight w:val="none"/>
        </w:rPr>
      </w:pPr>
      <w:r>
        <w:rPr>
          <w:rFonts w:hint="eastAsia" w:ascii="新宋体" w:hAnsi="新宋体" w:eastAsia="新宋体" w:cs="新宋体"/>
          <w:color w:val="auto"/>
          <w:highlight w:val="none"/>
        </w:rPr>
        <w:t>有依法缴纳税收和社会保障资金的良好记录；</w:t>
      </w:r>
    </w:p>
    <w:p>
      <w:pPr>
        <w:pStyle w:val="11"/>
        <w:numPr>
          <w:ilvl w:val="0"/>
          <w:numId w:val="3"/>
        </w:numPr>
        <w:spacing w:line="440" w:lineRule="exact"/>
        <w:rPr>
          <w:rFonts w:ascii="新宋体" w:hAnsi="新宋体" w:eastAsia="新宋体" w:cs="新宋体"/>
          <w:color w:val="auto"/>
          <w:highlight w:val="none"/>
        </w:rPr>
      </w:pPr>
      <w:r>
        <w:rPr>
          <w:rFonts w:hint="eastAsia" w:ascii="新宋体" w:hAnsi="新宋体" w:eastAsia="新宋体" w:cs="新宋体"/>
          <w:color w:val="auto"/>
          <w:highlight w:val="none"/>
        </w:rPr>
        <w:t>参加政府采购活动前三年内，在经营活动中没有重大违法记录；</w:t>
      </w:r>
    </w:p>
    <w:p>
      <w:pPr>
        <w:pStyle w:val="11"/>
        <w:numPr>
          <w:ilvl w:val="0"/>
          <w:numId w:val="3"/>
        </w:numPr>
        <w:spacing w:line="440" w:lineRule="exact"/>
        <w:rPr>
          <w:rFonts w:ascii="新宋体" w:hAnsi="新宋体" w:eastAsia="新宋体" w:cs="新宋体"/>
          <w:color w:val="auto"/>
          <w:highlight w:val="none"/>
        </w:rPr>
      </w:pPr>
      <w:r>
        <w:rPr>
          <w:rFonts w:hint="eastAsia" w:ascii="新宋体" w:hAnsi="新宋体" w:eastAsia="新宋体" w:cs="新宋体"/>
          <w:color w:val="auto"/>
          <w:highlight w:val="none"/>
        </w:rPr>
        <w:t>法律、行政法规规定的其他条件。</w:t>
      </w:r>
    </w:p>
    <w:p>
      <w:pPr>
        <w:pStyle w:val="11"/>
        <w:spacing w:line="440" w:lineRule="exact"/>
        <w:ind w:firstLine="482"/>
        <w:rPr>
          <w:rFonts w:ascii="新宋体" w:hAnsi="新宋体" w:eastAsia="新宋体" w:cs="新宋体"/>
          <w:color w:val="auto"/>
          <w:highlight w:val="none"/>
        </w:rPr>
      </w:pPr>
      <w:r>
        <w:rPr>
          <w:rFonts w:hint="eastAsia" w:ascii="新宋体" w:hAnsi="新宋体" w:eastAsia="新宋体" w:cs="新宋体"/>
          <w:color w:val="auto"/>
          <w:highlight w:val="none"/>
        </w:rPr>
        <w:t>5、如我方成交，我方承诺在收到成交通知书后，在成交通知书规定的期限内，根据竞争性磋商采购文件、我方的响应文件及有关澄清承诺书的要求按第六章“合同条款及格式”与采购人订立书面合同，并按照合同约定承担完成合同的责任和义务。</w:t>
      </w:r>
    </w:p>
    <w:p>
      <w:pPr>
        <w:pStyle w:val="11"/>
        <w:spacing w:line="440" w:lineRule="exact"/>
        <w:ind w:firstLine="482"/>
        <w:rPr>
          <w:rFonts w:ascii="新宋体" w:hAnsi="新宋体" w:eastAsia="新宋体" w:cs="新宋体"/>
          <w:color w:val="auto"/>
          <w:highlight w:val="none"/>
        </w:rPr>
      </w:pPr>
      <w:r>
        <w:rPr>
          <w:rFonts w:hint="eastAsia" w:ascii="新宋体" w:hAnsi="新宋体" w:eastAsia="新宋体" w:cs="新宋体"/>
          <w:color w:val="auto"/>
          <w:highlight w:val="none"/>
        </w:rPr>
        <w:t>6、我方已详细审核竞争性磋商文件，我方知道必须放弃提出含糊不清或误解问题的权利。</w:t>
      </w:r>
    </w:p>
    <w:p>
      <w:pPr>
        <w:pStyle w:val="11"/>
        <w:spacing w:line="440" w:lineRule="exact"/>
        <w:ind w:firstLine="482"/>
        <w:rPr>
          <w:rFonts w:ascii="新宋体" w:hAnsi="新宋体" w:eastAsia="新宋体" w:cs="新宋体"/>
          <w:color w:val="auto"/>
          <w:highlight w:val="none"/>
        </w:rPr>
      </w:pPr>
      <w:r>
        <w:rPr>
          <w:rFonts w:hint="eastAsia" w:ascii="新宋体" w:hAnsi="新宋体" w:eastAsia="新宋体" w:cs="新宋体"/>
          <w:color w:val="auto"/>
          <w:highlight w:val="none"/>
        </w:rPr>
        <w:t>7、我方承诺满足竞争性磋商文件第六章《政府采购合同》中的条款，承担完成合同的责任和义务。</w:t>
      </w:r>
    </w:p>
    <w:p>
      <w:pPr>
        <w:pStyle w:val="11"/>
        <w:spacing w:line="440" w:lineRule="exact"/>
        <w:ind w:firstLine="482"/>
        <w:rPr>
          <w:rFonts w:ascii="新宋体" w:hAnsi="新宋体" w:eastAsia="新宋体" w:cs="新宋体"/>
          <w:color w:val="auto"/>
          <w:highlight w:val="none"/>
        </w:rPr>
      </w:pPr>
      <w:r>
        <w:rPr>
          <w:rFonts w:hint="eastAsia" w:ascii="新宋体" w:hAnsi="新宋体" w:eastAsia="新宋体" w:cs="新宋体"/>
          <w:color w:val="auto"/>
          <w:highlight w:val="none"/>
        </w:rPr>
        <w:t>8、我方同意应贵方要求提供与本磋商有关的任何数据或资料。若贵方需要，我方愿意提供我方作出的一切承诺的证明材料。</w:t>
      </w:r>
    </w:p>
    <w:p>
      <w:pPr>
        <w:pStyle w:val="11"/>
        <w:spacing w:line="440" w:lineRule="exact"/>
        <w:ind w:firstLine="482"/>
        <w:rPr>
          <w:rFonts w:ascii="新宋体" w:hAnsi="新宋体" w:eastAsia="新宋体" w:cs="新宋体"/>
          <w:color w:val="auto"/>
          <w:highlight w:val="none"/>
        </w:rPr>
      </w:pPr>
      <w:r>
        <w:rPr>
          <w:rFonts w:hint="eastAsia" w:ascii="新宋体" w:hAnsi="新宋体" w:eastAsia="新宋体" w:cs="新宋体"/>
          <w:color w:val="auto"/>
          <w:highlight w:val="none"/>
        </w:rPr>
        <w:t>9、我</w:t>
      </w:r>
      <w:r>
        <w:rPr>
          <w:rFonts w:hint="eastAsia" w:ascii="新宋体" w:hAnsi="新宋体" w:eastAsia="新宋体" w:cs="新宋体"/>
          <w:color w:val="auto"/>
          <w:spacing w:val="-2"/>
          <w:highlight w:val="none"/>
        </w:rPr>
        <w:t>方完全理解贵方不一定接受响应报价最低的磋商供应商为成交单位的</w:t>
      </w:r>
      <w:r>
        <w:rPr>
          <w:rFonts w:hint="eastAsia" w:ascii="新宋体" w:hAnsi="新宋体" w:eastAsia="新宋体" w:cs="新宋体"/>
          <w:color w:val="auto"/>
          <w:highlight w:val="none"/>
        </w:rPr>
        <w:t>行为。</w:t>
      </w:r>
    </w:p>
    <w:p>
      <w:pPr>
        <w:pStyle w:val="11"/>
        <w:spacing w:line="440" w:lineRule="exact"/>
        <w:ind w:firstLine="482"/>
        <w:rPr>
          <w:rFonts w:ascii="新宋体" w:hAnsi="新宋体" w:eastAsia="新宋体" w:cs="新宋体"/>
          <w:color w:val="auto"/>
          <w:highlight w:val="none"/>
        </w:rPr>
      </w:pPr>
      <w:r>
        <w:rPr>
          <w:rFonts w:hint="eastAsia" w:ascii="新宋体" w:hAnsi="新宋体" w:eastAsia="新宋体" w:cs="新宋体"/>
          <w:color w:val="auto"/>
          <w:highlight w:val="none"/>
        </w:rPr>
        <w:t>10、</w:t>
      </w:r>
      <w:r>
        <w:rPr>
          <w:rFonts w:hint="eastAsia" w:ascii="新宋体" w:hAnsi="新宋体" w:eastAsia="新宋体" w:cs="新宋体"/>
          <w:color w:val="auto"/>
          <w:spacing w:val="-2"/>
          <w:highlight w:val="none"/>
        </w:rPr>
        <w:t>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1"/>
        <w:numPr>
          <w:ilvl w:val="0"/>
          <w:numId w:val="4"/>
        </w:numPr>
        <w:spacing w:line="440" w:lineRule="exact"/>
        <w:rPr>
          <w:rFonts w:ascii="新宋体" w:hAnsi="新宋体" w:eastAsia="新宋体" w:cs="新宋体"/>
          <w:color w:val="auto"/>
          <w:highlight w:val="none"/>
        </w:rPr>
      </w:pPr>
      <w:r>
        <w:rPr>
          <w:rFonts w:hint="eastAsia" w:ascii="新宋体" w:hAnsi="新宋体" w:eastAsia="新宋体" w:cs="新宋体"/>
          <w:color w:val="auto"/>
          <w:highlight w:val="none"/>
        </w:rPr>
        <w:t>提供虚假材料谋取成交、成交的；</w:t>
      </w:r>
    </w:p>
    <w:p>
      <w:pPr>
        <w:pStyle w:val="11"/>
        <w:numPr>
          <w:ilvl w:val="0"/>
          <w:numId w:val="4"/>
        </w:numPr>
        <w:spacing w:line="440" w:lineRule="exact"/>
        <w:rPr>
          <w:rFonts w:ascii="新宋体" w:hAnsi="新宋体" w:eastAsia="新宋体" w:cs="新宋体"/>
          <w:color w:val="auto"/>
          <w:highlight w:val="none"/>
        </w:rPr>
      </w:pPr>
      <w:r>
        <w:rPr>
          <w:rFonts w:hint="eastAsia" w:ascii="新宋体" w:hAnsi="新宋体" w:eastAsia="新宋体" w:cs="新宋体"/>
          <w:color w:val="auto"/>
          <w:highlight w:val="none"/>
        </w:rPr>
        <w:t>采取不正当手段诋毁、排挤其他供应商的；</w:t>
      </w:r>
    </w:p>
    <w:p>
      <w:pPr>
        <w:pStyle w:val="11"/>
        <w:numPr>
          <w:ilvl w:val="0"/>
          <w:numId w:val="4"/>
        </w:numPr>
        <w:spacing w:line="440" w:lineRule="exact"/>
        <w:rPr>
          <w:rFonts w:ascii="新宋体" w:hAnsi="新宋体" w:eastAsia="新宋体" w:cs="新宋体"/>
          <w:color w:val="auto"/>
          <w:highlight w:val="none"/>
        </w:rPr>
      </w:pPr>
      <w:r>
        <w:rPr>
          <w:rFonts w:hint="eastAsia" w:ascii="新宋体" w:hAnsi="新宋体" w:eastAsia="新宋体" w:cs="新宋体"/>
          <w:color w:val="auto"/>
          <w:highlight w:val="none"/>
        </w:rPr>
        <w:t>与采购人、其他供应商或者采购代理机构恶意串通的；</w:t>
      </w:r>
    </w:p>
    <w:p>
      <w:pPr>
        <w:pStyle w:val="11"/>
        <w:numPr>
          <w:ilvl w:val="0"/>
          <w:numId w:val="4"/>
        </w:numPr>
        <w:spacing w:line="440" w:lineRule="exact"/>
        <w:rPr>
          <w:rFonts w:ascii="新宋体" w:hAnsi="新宋体" w:eastAsia="新宋体" w:cs="新宋体"/>
          <w:color w:val="auto"/>
          <w:highlight w:val="none"/>
        </w:rPr>
      </w:pPr>
      <w:r>
        <w:rPr>
          <w:rFonts w:hint="eastAsia" w:ascii="新宋体" w:hAnsi="新宋体" w:eastAsia="新宋体" w:cs="新宋体"/>
          <w:color w:val="auto"/>
          <w:highlight w:val="none"/>
        </w:rPr>
        <w:t>向采购人、采购代理机构行贿或者提供其他不正当利益的；</w:t>
      </w:r>
    </w:p>
    <w:p>
      <w:pPr>
        <w:pStyle w:val="11"/>
        <w:numPr>
          <w:ilvl w:val="0"/>
          <w:numId w:val="4"/>
        </w:numPr>
        <w:spacing w:line="440" w:lineRule="exact"/>
        <w:rPr>
          <w:rFonts w:ascii="新宋体" w:hAnsi="新宋体" w:eastAsia="新宋体" w:cs="新宋体"/>
          <w:color w:val="auto"/>
          <w:highlight w:val="none"/>
        </w:rPr>
      </w:pPr>
      <w:r>
        <w:rPr>
          <w:rFonts w:hint="eastAsia" w:ascii="新宋体" w:hAnsi="新宋体" w:eastAsia="新宋体" w:cs="新宋体"/>
          <w:color w:val="auto"/>
          <w:highlight w:val="none"/>
        </w:rPr>
        <w:t>在采购过程中与采购人进行协商谈判的；</w:t>
      </w:r>
    </w:p>
    <w:p>
      <w:pPr>
        <w:pStyle w:val="11"/>
        <w:numPr>
          <w:ilvl w:val="0"/>
          <w:numId w:val="4"/>
        </w:numPr>
        <w:spacing w:line="440" w:lineRule="exact"/>
        <w:rPr>
          <w:rFonts w:ascii="新宋体" w:hAnsi="新宋体" w:eastAsia="新宋体" w:cs="新宋体"/>
          <w:color w:val="auto"/>
          <w:highlight w:val="none"/>
        </w:rPr>
      </w:pPr>
      <w:r>
        <w:rPr>
          <w:rFonts w:hint="eastAsia" w:ascii="新宋体" w:hAnsi="新宋体" w:eastAsia="新宋体" w:cs="新宋体"/>
          <w:color w:val="auto"/>
          <w:highlight w:val="none"/>
        </w:rPr>
        <w:t>拒绝有关部门监督检查或提供虚假情况的。</w:t>
      </w:r>
    </w:p>
    <w:p>
      <w:pPr>
        <w:pStyle w:val="11"/>
        <w:spacing w:line="360" w:lineRule="auto"/>
        <w:ind w:firstLine="420"/>
        <w:rPr>
          <w:rFonts w:ascii="新宋体" w:hAnsi="新宋体" w:eastAsia="新宋体" w:cs="新宋体"/>
          <w:color w:val="auto"/>
          <w:highlight w:val="none"/>
          <w:u w:val="single"/>
        </w:rPr>
      </w:pPr>
      <w:r>
        <w:rPr>
          <w:rFonts w:hint="eastAsia" w:ascii="新宋体" w:hAnsi="新宋体" w:eastAsia="新宋体" w:cs="新宋体"/>
          <w:color w:val="auto"/>
          <w:highlight w:val="none"/>
        </w:rPr>
        <w:t>磋商供应商：</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rPr>
        <w:t>（盖单位公章）</w:t>
      </w:r>
    </w:p>
    <w:p>
      <w:pPr>
        <w:pStyle w:val="11"/>
        <w:spacing w:line="360" w:lineRule="auto"/>
        <w:ind w:firstLine="420"/>
        <w:rPr>
          <w:rFonts w:ascii="新宋体" w:hAnsi="新宋体" w:eastAsia="新宋体" w:cs="新宋体"/>
          <w:color w:val="auto"/>
          <w:highlight w:val="none"/>
        </w:rPr>
      </w:pPr>
      <w:r>
        <w:rPr>
          <w:rFonts w:hint="eastAsia" w:ascii="新宋体" w:hAnsi="新宋体" w:eastAsia="新宋体" w:cs="新宋体"/>
          <w:color w:val="auto"/>
          <w:highlight w:val="none"/>
        </w:rPr>
        <w:t>法定代表人或其委托代理人：</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rPr>
        <w:t>（签字或盖章）</w:t>
      </w:r>
    </w:p>
    <w:p>
      <w:pPr>
        <w:pStyle w:val="11"/>
        <w:spacing w:line="360" w:lineRule="auto"/>
        <w:ind w:firstLine="420"/>
        <w:rPr>
          <w:rFonts w:ascii="新宋体" w:hAnsi="新宋体" w:eastAsia="新宋体" w:cs="新宋体"/>
          <w:color w:val="auto"/>
          <w:highlight w:val="none"/>
          <w:u w:val="single"/>
        </w:rPr>
      </w:pPr>
      <w:r>
        <w:rPr>
          <w:rFonts w:hint="eastAsia" w:ascii="新宋体" w:hAnsi="新宋体" w:eastAsia="新宋体" w:cs="新宋体"/>
          <w:color w:val="auto"/>
          <w:highlight w:val="none"/>
        </w:rPr>
        <w:t>地址：</w:t>
      </w:r>
      <w:r>
        <w:rPr>
          <w:rFonts w:hint="eastAsia" w:ascii="新宋体" w:hAnsi="新宋体" w:eastAsia="新宋体" w:cs="新宋体"/>
          <w:color w:val="auto"/>
          <w:highlight w:val="none"/>
          <w:u w:val="single"/>
        </w:rPr>
        <w:t xml:space="preserve">                                      　　　　　　　　　</w:t>
      </w:r>
    </w:p>
    <w:p>
      <w:pPr>
        <w:pStyle w:val="11"/>
        <w:spacing w:line="360" w:lineRule="auto"/>
        <w:ind w:firstLine="420"/>
        <w:rPr>
          <w:rFonts w:ascii="新宋体" w:hAnsi="新宋体" w:eastAsia="新宋体" w:cs="新宋体"/>
          <w:color w:val="auto"/>
          <w:highlight w:val="none"/>
          <w:u w:val="single"/>
        </w:rPr>
      </w:pPr>
      <w:r>
        <w:rPr>
          <w:rFonts w:hint="eastAsia" w:ascii="新宋体" w:hAnsi="新宋体" w:eastAsia="新宋体" w:cs="新宋体"/>
          <w:color w:val="auto"/>
          <w:highlight w:val="none"/>
        </w:rPr>
        <w:t>电话：</w:t>
      </w:r>
      <w:r>
        <w:rPr>
          <w:rFonts w:hint="eastAsia" w:ascii="新宋体" w:hAnsi="新宋体" w:eastAsia="新宋体" w:cs="新宋体"/>
          <w:color w:val="auto"/>
          <w:highlight w:val="none"/>
          <w:u w:val="single"/>
        </w:rPr>
        <w:t xml:space="preserve">                                      　　　　　　　　　</w:t>
      </w:r>
    </w:p>
    <w:p>
      <w:pPr>
        <w:pStyle w:val="11"/>
        <w:spacing w:line="360" w:lineRule="auto"/>
        <w:ind w:firstLine="420"/>
        <w:rPr>
          <w:rFonts w:ascii="新宋体" w:hAnsi="新宋体" w:eastAsia="新宋体" w:cs="新宋体"/>
          <w:color w:val="auto"/>
          <w:highlight w:val="none"/>
        </w:rPr>
      </w:pPr>
      <w:r>
        <w:rPr>
          <w:rFonts w:hint="eastAsia" w:ascii="新宋体" w:hAnsi="新宋体" w:eastAsia="新宋体" w:cs="新宋体"/>
          <w:color w:val="auto"/>
          <w:highlight w:val="none"/>
        </w:rPr>
        <w:t>传真：</w:t>
      </w:r>
      <w:r>
        <w:rPr>
          <w:rFonts w:hint="eastAsia" w:ascii="新宋体" w:hAnsi="新宋体" w:eastAsia="新宋体" w:cs="新宋体"/>
          <w:color w:val="auto"/>
          <w:highlight w:val="none"/>
          <w:u w:val="single"/>
        </w:rPr>
        <w:t>　　　　　　　　　　　　　　　　　　　　　　　　　　　　</w:t>
      </w:r>
    </w:p>
    <w:p>
      <w:pPr>
        <w:pStyle w:val="11"/>
        <w:spacing w:line="360" w:lineRule="auto"/>
        <w:ind w:firstLine="420"/>
        <w:rPr>
          <w:rFonts w:ascii="新宋体" w:hAnsi="新宋体" w:eastAsia="新宋体" w:cs="新宋体"/>
          <w:color w:val="auto"/>
          <w:highlight w:val="none"/>
          <w:u w:val="single"/>
        </w:rPr>
      </w:pPr>
      <w:r>
        <w:rPr>
          <w:rFonts w:hint="eastAsia" w:ascii="新宋体" w:hAnsi="新宋体" w:eastAsia="新宋体" w:cs="新宋体"/>
          <w:color w:val="auto"/>
          <w:highlight w:val="none"/>
        </w:rPr>
        <w:t>开户名称：</w:t>
      </w:r>
      <w:r>
        <w:rPr>
          <w:rFonts w:hint="eastAsia" w:ascii="新宋体" w:hAnsi="新宋体" w:eastAsia="新宋体" w:cs="新宋体"/>
          <w:color w:val="auto"/>
          <w:highlight w:val="none"/>
          <w:u w:val="single"/>
        </w:rPr>
        <w:t xml:space="preserve">                                      　　　　　　　</w:t>
      </w:r>
    </w:p>
    <w:p>
      <w:pPr>
        <w:pStyle w:val="11"/>
        <w:spacing w:line="360" w:lineRule="auto"/>
        <w:ind w:firstLine="420"/>
        <w:rPr>
          <w:rFonts w:ascii="新宋体" w:hAnsi="新宋体" w:eastAsia="新宋体" w:cs="新宋体"/>
          <w:color w:val="auto"/>
          <w:highlight w:val="none"/>
          <w:u w:val="single"/>
        </w:rPr>
      </w:pPr>
      <w:r>
        <w:rPr>
          <w:rFonts w:hint="eastAsia" w:ascii="新宋体" w:hAnsi="新宋体" w:eastAsia="新宋体" w:cs="新宋体"/>
          <w:color w:val="auto"/>
          <w:highlight w:val="none"/>
        </w:rPr>
        <w:t>开户银行：</w:t>
      </w:r>
      <w:r>
        <w:rPr>
          <w:rFonts w:hint="eastAsia" w:ascii="新宋体" w:hAnsi="新宋体" w:eastAsia="新宋体" w:cs="新宋体"/>
          <w:color w:val="auto"/>
          <w:highlight w:val="none"/>
          <w:u w:val="single"/>
        </w:rPr>
        <w:t xml:space="preserve">                                      　　　　　　　</w:t>
      </w:r>
    </w:p>
    <w:p>
      <w:pPr>
        <w:pStyle w:val="11"/>
        <w:spacing w:line="360" w:lineRule="auto"/>
        <w:ind w:firstLine="420"/>
        <w:rPr>
          <w:rFonts w:ascii="新宋体" w:hAnsi="新宋体" w:eastAsia="新宋体" w:cs="新宋体"/>
          <w:color w:val="auto"/>
          <w:highlight w:val="none"/>
          <w:u w:val="single"/>
        </w:rPr>
      </w:pPr>
      <w:r>
        <w:rPr>
          <w:rFonts w:hint="eastAsia" w:ascii="新宋体" w:hAnsi="新宋体" w:eastAsia="新宋体" w:cs="新宋体"/>
          <w:color w:val="auto"/>
          <w:highlight w:val="none"/>
        </w:rPr>
        <w:t>银行账号：</w:t>
      </w:r>
      <w:r>
        <w:rPr>
          <w:rFonts w:hint="eastAsia" w:ascii="新宋体" w:hAnsi="新宋体" w:eastAsia="新宋体" w:cs="新宋体"/>
          <w:color w:val="auto"/>
          <w:highlight w:val="none"/>
          <w:u w:val="single"/>
        </w:rPr>
        <w:t xml:space="preserve">                                      　　　　　　　</w:t>
      </w:r>
    </w:p>
    <w:p>
      <w:pPr>
        <w:pStyle w:val="11"/>
        <w:spacing w:line="360" w:lineRule="auto"/>
        <w:ind w:firstLine="420"/>
        <w:rPr>
          <w:rFonts w:ascii="新宋体" w:hAnsi="新宋体" w:eastAsia="新宋体" w:cs="新宋体"/>
          <w:color w:val="auto"/>
          <w:highlight w:val="none"/>
        </w:rPr>
      </w:pPr>
    </w:p>
    <w:p>
      <w:pPr>
        <w:pStyle w:val="11"/>
        <w:spacing w:line="360" w:lineRule="auto"/>
        <w:ind w:firstLine="420"/>
        <w:jc w:val="center"/>
        <w:rPr>
          <w:rFonts w:ascii="新宋体" w:hAnsi="新宋体" w:eastAsia="新宋体" w:cs="新宋体"/>
          <w:bCs/>
          <w:color w:val="auto"/>
          <w:highlight w:val="none"/>
        </w:rPr>
      </w:pPr>
      <w:r>
        <w:rPr>
          <w:rFonts w:hint="eastAsia" w:ascii="新宋体" w:hAnsi="新宋体" w:eastAsia="新宋体" w:cs="新宋体"/>
          <w:bCs/>
          <w:color w:val="auto"/>
          <w:highlight w:val="none"/>
        </w:rPr>
        <w:t>年   月   日</w:t>
      </w:r>
    </w:p>
    <w:p>
      <w:pPr>
        <w:pStyle w:val="11"/>
        <w:outlineLvl w:val="9"/>
        <w:rPr>
          <w:rFonts w:ascii="新宋体" w:hAnsi="新宋体" w:eastAsia="新宋体" w:cs="新宋体"/>
          <w:b/>
          <w:color w:val="auto"/>
          <w:highlight w:val="none"/>
        </w:rPr>
      </w:pPr>
    </w:p>
    <w:p>
      <w:pPr>
        <w:pStyle w:val="11"/>
        <w:outlineLvl w:val="9"/>
        <w:rPr>
          <w:rFonts w:ascii="新宋体" w:hAnsi="新宋体" w:eastAsia="新宋体" w:cs="新宋体"/>
          <w:b/>
          <w:color w:val="auto"/>
          <w:highlight w:val="none"/>
        </w:rPr>
      </w:pPr>
    </w:p>
    <w:p>
      <w:pPr>
        <w:pStyle w:val="11"/>
        <w:outlineLvl w:val="9"/>
        <w:rPr>
          <w:rFonts w:ascii="新宋体" w:hAnsi="新宋体" w:eastAsia="新宋体" w:cs="新宋体"/>
          <w:b/>
          <w:color w:val="auto"/>
          <w:highlight w:val="none"/>
        </w:rPr>
      </w:pPr>
    </w:p>
    <w:p>
      <w:pPr>
        <w:pStyle w:val="11"/>
        <w:outlineLvl w:val="9"/>
        <w:rPr>
          <w:rFonts w:ascii="新宋体" w:hAnsi="新宋体" w:eastAsia="新宋体" w:cs="新宋体"/>
          <w:b/>
          <w:color w:val="auto"/>
          <w:highlight w:val="none"/>
        </w:rPr>
      </w:pPr>
    </w:p>
    <w:p>
      <w:pPr>
        <w:pStyle w:val="11"/>
        <w:outlineLvl w:val="9"/>
        <w:rPr>
          <w:rFonts w:ascii="新宋体" w:hAnsi="新宋体" w:eastAsia="新宋体" w:cs="新宋体"/>
          <w:b/>
          <w:color w:val="auto"/>
          <w:highlight w:val="none"/>
        </w:rPr>
      </w:pPr>
    </w:p>
    <w:p>
      <w:pPr>
        <w:pStyle w:val="11"/>
        <w:outlineLvl w:val="9"/>
        <w:rPr>
          <w:rFonts w:ascii="新宋体" w:hAnsi="新宋体" w:eastAsia="新宋体" w:cs="新宋体"/>
          <w:b/>
          <w:color w:val="auto"/>
          <w:highlight w:val="none"/>
        </w:rPr>
      </w:pPr>
    </w:p>
    <w:p>
      <w:pPr>
        <w:pStyle w:val="11"/>
        <w:outlineLvl w:val="9"/>
        <w:rPr>
          <w:rFonts w:ascii="新宋体" w:hAnsi="新宋体" w:eastAsia="新宋体" w:cs="新宋体"/>
          <w:b/>
          <w:color w:val="auto"/>
          <w:highlight w:val="none"/>
        </w:rPr>
      </w:pPr>
    </w:p>
    <w:p>
      <w:pPr>
        <w:pStyle w:val="12"/>
        <w:rPr>
          <w:rFonts w:ascii="新宋体" w:hAnsi="新宋体" w:eastAsia="新宋体" w:cs="新宋体"/>
          <w:b/>
          <w:color w:val="auto"/>
          <w:highlight w:val="none"/>
        </w:rPr>
      </w:pPr>
    </w:p>
    <w:p>
      <w:pPr>
        <w:rPr>
          <w:rFonts w:ascii="新宋体" w:hAnsi="新宋体" w:eastAsia="新宋体" w:cs="新宋体"/>
          <w:b/>
          <w:color w:val="auto"/>
          <w:highlight w:val="none"/>
        </w:rPr>
      </w:pPr>
    </w:p>
    <w:p>
      <w:pPr>
        <w:pStyle w:val="25"/>
        <w:rPr>
          <w:rFonts w:ascii="新宋体" w:hAnsi="新宋体" w:eastAsia="新宋体" w:cs="新宋体"/>
          <w:b/>
          <w:color w:val="auto"/>
          <w:highlight w:val="none"/>
        </w:rPr>
      </w:pPr>
    </w:p>
    <w:p>
      <w:pPr>
        <w:pStyle w:val="25"/>
        <w:rPr>
          <w:rFonts w:ascii="新宋体" w:hAnsi="新宋体" w:eastAsia="新宋体" w:cs="新宋体"/>
          <w:b/>
          <w:color w:val="auto"/>
          <w:highlight w:val="none"/>
        </w:rPr>
      </w:pPr>
    </w:p>
    <w:p>
      <w:pPr>
        <w:pStyle w:val="11"/>
        <w:outlineLvl w:val="9"/>
        <w:rPr>
          <w:rFonts w:hint="eastAsia" w:ascii="新宋体" w:hAnsi="新宋体" w:eastAsia="新宋体" w:cs="新宋体"/>
          <w:b/>
          <w:color w:val="auto"/>
          <w:sz w:val="32"/>
          <w:szCs w:val="32"/>
          <w:highlight w:val="none"/>
        </w:rPr>
      </w:pPr>
    </w:p>
    <w:p>
      <w:pPr>
        <w:pStyle w:val="11"/>
        <w:jc w:val="center"/>
        <w:rPr>
          <w:rFonts w:ascii="新宋体" w:hAnsi="新宋体" w:eastAsia="新宋体" w:cs="新宋体"/>
          <w:b/>
          <w:color w:val="auto"/>
          <w:highlight w:val="none"/>
        </w:rPr>
      </w:pPr>
      <w:r>
        <w:rPr>
          <w:rFonts w:hint="eastAsia" w:ascii="新宋体" w:hAnsi="新宋体" w:eastAsia="新宋体" w:cs="新宋体"/>
          <w:b/>
          <w:color w:val="auto"/>
          <w:sz w:val="32"/>
          <w:szCs w:val="32"/>
          <w:highlight w:val="none"/>
        </w:rPr>
        <w:t>响应报价表（格式）</w:t>
      </w:r>
    </w:p>
    <w:p>
      <w:pPr>
        <w:pStyle w:val="11"/>
        <w:spacing w:line="360" w:lineRule="auto"/>
        <w:ind w:left="630" w:leftChars="200" w:hanging="210" w:hangingChars="100"/>
        <w:rPr>
          <w:rFonts w:ascii="新宋体" w:hAnsi="新宋体" w:eastAsia="新宋体" w:cs="新宋体"/>
          <w:color w:val="auto"/>
          <w:highlight w:val="none"/>
        </w:rPr>
      </w:pPr>
      <w:r>
        <w:rPr>
          <w:rFonts w:hint="eastAsia" w:ascii="新宋体" w:hAnsi="新宋体" w:eastAsia="新宋体" w:cs="新宋体"/>
          <w:color w:val="auto"/>
          <w:highlight w:val="none"/>
        </w:rPr>
        <w:t>项目名称：</w:t>
      </w:r>
      <w:r>
        <w:rPr>
          <w:rFonts w:hint="eastAsia" w:ascii="新宋体" w:hAnsi="新宋体" w:eastAsia="新宋体" w:cs="新宋体"/>
          <w:color w:val="auto"/>
          <w:highlight w:val="none"/>
          <w:u w:val="single"/>
        </w:rPr>
        <w:t xml:space="preserve">                                </w:t>
      </w:r>
    </w:p>
    <w:p>
      <w:pPr>
        <w:pStyle w:val="11"/>
        <w:spacing w:line="360" w:lineRule="auto"/>
        <w:ind w:left="630" w:leftChars="200" w:hanging="210" w:hangingChars="100"/>
        <w:rPr>
          <w:rFonts w:ascii="新宋体" w:hAnsi="新宋体" w:eastAsia="新宋体" w:cs="新宋体"/>
          <w:color w:val="auto"/>
          <w:highlight w:val="none"/>
          <w:u w:val="single"/>
        </w:rPr>
      </w:pPr>
      <w:r>
        <w:rPr>
          <w:rFonts w:hint="eastAsia" w:ascii="新宋体" w:hAnsi="新宋体" w:eastAsia="新宋体" w:cs="新宋体"/>
          <w:color w:val="auto"/>
          <w:highlight w:val="none"/>
        </w:rPr>
        <w:t>采购编号：</w:t>
      </w:r>
      <w:r>
        <w:rPr>
          <w:rFonts w:hint="eastAsia" w:ascii="新宋体" w:hAnsi="新宋体" w:eastAsia="新宋体" w:cs="新宋体"/>
          <w:color w:val="auto"/>
          <w:highlight w:val="none"/>
          <w:u w:val="single"/>
        </w:rPr>
        <w:t xml:space="preserve">                                </w:t>
      </w:r>
    </w:p>
    <w:tbl>
      <w:tblPr>
        <w:tblStyle w:val="20"/>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31"/>
        <w:gridCol w:w="442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28" w:type="dxa"/>
            <w:vAlign w:val="center"/>
          </w:tcPr>
          <w:p>
            <w:pPr>
              <w:rPr>
                <w:rFonts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序号</w:t>
            </w:r>
          </w:p>
        </w:tc>
        <w:tc>
          <w:tcPr>
            <w:tcW w:w="2731" w:type="dxa"/>
            <w:vAlign w:val="center"/>
          </w:tcPr>
          <w:p>
            <w:pPr>
              <w:ind w:left="141" w:leftChars="67" w:firstLine="103" w:firstLineChars="49"/>
              <w:jc w:val="center"/>
              <w:rPr>
                <w:rFonts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项  目</w:t>
            </w:r>
          </w:p>
        </w:tc>
        <w:tc>
          <w:tcPr>
            <w:tcW w:w="4429" w:type="dxa"/>
            <w:vAlign w:val="center"/>
          </w:tcPr>
          <w:p>
            <w:pPr>
              <w:ind w:firstLine="422"/>
              <w:jc w:val="center"/>
              <w:rPr>
                <w:rFonts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内  容</w:t>
            </w:r>
          </w:p>
        </w:tc>
        <w:tc>
          <w:tcPr>
            <w:tcW w:w="1260" w:type="dxa"/>
            <w:vAlign w:val="center"/>
          </w:tcPr>
          <w:p>
            <w:pPr>
              <w:jc w:val="center"/>
              <w:rPr>
                <w:rFonts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828" w:type="dxa"/>
            <w:vMerge w:val="restart"/>
            <w:vAlign w:val="center"/>
          </w:tcPr>
          <w:p>
            <w:pPr>
              <w:jc w:val="center"/>
              <w:rPr>
                <w:rFonts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1</w:t>
            </w:r>
          </w:p>
        </w:tc>
        <w:tc>
          <w:tcPr>
            <w:tcW w:w="2731" w:type="dxa"/>
            <w:vMerge w:val="restart"/>
            <w:vAlign w:val="center"/>
          </w:tcPr>
          <w:p>
            <w:pPr>
              <w:jc w:val="left"/>
              <w:rPr>
                <w:rFonts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磋商报价（元）</w:t>
            </w:r>
          </w:p>
        </w:tc>
        <w:tc>
          <w:tcPr>
            <w:tcW w:w="4429" w:type="dxa"/>
            <w:vAlign w:val="center"/>
          </w:tcPr>
          <w:p>
            <w:pPr>
              <w:jc w:val="left"/>
              <w:rPr>
                <w:rFonts w:hint="eastAsia"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rPr>
              <w:t>人民币（大写）</w:t>
            </w:r>
            <w:r>
              <w:rPr>
                <w:rFonts w:hint="eastAsia" w:ascii="新宋体" w:hAnsi="新宋体" w:eastAsia="新宋体" w:cs="新宋体"/>
                <w:color w:val="auto"/>
                <w:szCs w:val="21"/>
                <w:highlight w:val="none"/>
                <w:u w:val="single"/>
              </w:rPr>
              <w:t>：</w:t>
            </w:r>
            <w:r>
              <w:rPr>
                <w:rFonts w:hint="eastAsia" w:ascii="新宋体" w:hAnsi="新宋体" w:eastAsia="新宋体" w:cs="新宋体"/>
                <w:color w:val="auto"/>
                <w:szCs w:val="21"/>
                <w:highlight w:val="none"/>
                <w:u w:val="single"/>
                <w:lang w:val="en-US" w:eastAsia="zh-CN"/>
              </w:rPr>
              <w:t xml:space="preserve">                     </w:t>
            </w:r>
          </w:p>
        </w:tc>
        <w:tc>
          <w:tcPr>
            <w:tcW w:w="1260" w:type="dxa"/>
            <w:vMerge w:val="restart"/>
            <w:vAlign w:val="center"/>
          </w:tcPr>
          <w:p>
            <w:pPr>
              <w:ind w:firstLine="420"/>
              <w:jc w:val="center"/>
              <w:rPr>
                <w:rFonts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jc w:val="center"/>
        </w:trPr>
        <w:tc>
          <w:tcPr>
            <w:tcW w:w="828" w:type="dxa"/>
            <w:vMerge w:val="continue"/>
            <w:vAlign w:val="center"/>
          </w:tcPr>
          <w:p>
            <w:pPr>
              <w:ind w:firstLine="422"/>
              <w:jc w:val="center"/>
              <w:rPr>
                <w:rFonts w:ascii="新宋体" w:hAnsi="新宋体" w:eastAsia="新宋体" w:cs="新宋体"/>
                <w:b/>
                <w:color w:val="auto"/>
                <w:szCs w:val="21"/>
                <w:highlight w:val="none"/>
              </w:rPr>
            </w:pPr>
          </w:p>
        </w:tc>
        <w:tc>
          <w:tcPr>
            <w:tcW w:w="2731" w:type="dxa"/>
            <w:vMerge w:val="continue"/>
            <w:vAlign w:val="center"/>
          </w:tcPr>
          <w:p>
            <w:pPr>
              <w:ind w:firstLine="422"/>
              <w:jc w:val="left"/>
              <w:rPr>
                <w:rFonts w:ascii="新宋体" w:hAnsi="新宋体" w:eastAsia="新宋体" w:cs="新宋体"/>
                <w:b/>
                <w:color w:val="auto"/>
                <w:szCs w:val="21"/>
                <w:highlight w:val="none"/>
              </w:rPr>
            </w:pPr>
          </w:p>
        </w:tc>
        <w:tc>
          <w:tcPr>
            <w:tcW w:w="4429" w:type="dxa"/>
            <w:vAlign w:val="center"/>
          </w:tcPr>
          <w:p>
            <w:pP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w:t>
            </w:r>
            <w:r>
              <w:rPr>
                <w:rFonts w:ascii="Arial" w:hAnsi="Arial" w:eastAsia="新宋体" w:cs="Arial"/>
                <w:color w:val="auto"/>
                <w:szCs w:val="21"/>
                <w:highlight w:val="none"/>
              </w:rPr>
              <w:t>¥</w:t>
            </w:r>
            <w:r>
              <w:rPr>
                <w:rFonts w:hint="eastAsia" w:ascii="Arial" w:hAnsi="Arial" w:eastAsia="新宋体" w:cs="Arial"/>
                <w:color w:val="auto"/>
                <w:szCs w:val="21"/>
                <w:highlight w:val="none"/>
                <w:u w:val="single"/>
                <w:lang w:val="en-US" w:eastAsia="zh-CN"/>
              </w:rPr>
              <w:t xml:space="preserve">                                  </w:t>
            </w:r>
            <w:r>
              <w:rPr>
                <w:rFonts w:hint="eastAsia" w:ascii="新宋体" w:hAnsi="新宋体" w:eastAsia="新宋体" w:cs="新宋体"/>
                <w:color w:val="auto"/>
                <w:szCs w:val="21"/>
                <w:highlight w:val="none"/>
              </w:rPr>
              <w:t>）</w:t>
            </w:r>
          </w:p>
        </w:tc>
        <w:tc>
          <w:tcPr>
            <w:tcW w:w="1260" w:type="dxa"/>
            <w:vMerge w:val="continue"/>
            <w:vAlign w:val="center"/>
          </w:tcPr>
          <w:p>
            <w:pPr>
              <w:ind w:firstLine="420"/>
              <w:jc w:val="center"/>
              <w:rPr>
                <w:rFonts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jc w:val="center"/>
        </w:trPr>
        <w:tc>
          <w:tcPr>
            <w:tcW w:w="828" w:type="dxa"/>
            <w:vAlign w:val="center"/>
          </w:tcPr>
          <w:p>
            <w:pPr>
              <w:jc w:val="center"/>
              <w:rPr>
                <w:rFonts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2</w:t>
            </w:r>
          </w:p>
        </w:tc>
        <w:tc>
          <w:tcPr>
            <w:tcW w:w="2731" w:type="dxa"/>
            <w:vAlign w:val="center"/>
          </w:tcPr>
          <w:p>
            <w:pPr>
              <w:rPr>
                <w:rFonts w:hint="default" w:ascii="新宋体" w:hAnsi="新宋体" w:eastAsia="新宋体" w:cs="新宋体"/>
                <w:b/>
                <w:color w:val="auto"/>
                <w:szCs w:val="21"/>
                <w:highlight w:val="none"/>
                <w:lang w:val="en-US" w:eastAsia="zh-CN"/>
              </w:rPr>
            </w:pPr>
            <w:r>
              <w:rPr>
                <w:rFonts w:hint="default" w:ascii="新宋体" w:hAnsi="新宋体" w:eastAsia="新宋体" w:cs="新宋体"/>
                <w:b/>
                <w:color w:val="auto"/>
                <w:szCs w:val="21"/>
                <w:highlight w:val="none"/>
                <w:lang w:val="en-US" w:eastAsia="zh-CN"/>
              </w:rPr>
              <w:t>提交服务成果时间</w:t>
            </w:r>
          </w:p>
        </w:tc>
        <w:tc>
          <w:tcPr>
            <w:tcW w:w="4429" w:type="dxa"/>
            <w:vAlign w:val="center"/>
          </w:tcPr>
          <w:p>
            <w:pPr>
              <w:rPr>
                <w:rFonts w:ascii="新宋体" w:hAnsi="新宋体" w:eastAsia="新宋体" w:cs="新宋体"/>
                <w:color w:val="auto"/>
                <w:szCs w:val="21"/>
                <w:highlight w:val="none"/>
              </w:rPr>
            </w:pPr>
          </w:p>
        </w:tc>
        <w:tc>
          <w:tcPr>
            <w:tcW w:w="1260" w:type="dxa"/>
            <w:vAlign w:val="center"/>
          </w:tcPr>
          <w:p>
            <w:pPr>
              <w:ind w:firstLine="420"/>
              <w:jc w:val="center"/>
              <w:rPr>
                <w:rFonts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9248" w:type="dxa"/>
            <w:gridSpan w:val="4"/>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textAlignment w:val="auto"/>
              <w:rPr>
                <w:rFonts w:hint="eastAsia"/>
                <w:color w:val="auto"/>
                <w:lang w:val="en-US" w:eastAsia="zh-CN"/>
              </w:rPr>
            </w:pPr>
            <w:r>
              <w:rPr>
                <w:rFonts w:hint="eastAsia"/>
                <w:color w:val="auto"/>
                <w:lang w:val="en-US" w:eastAsia="zh-CN"/>
              </w:rPr>
              <w:t>1、报价必须含以下部分，包括：</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210" w:firstLineChars="100"/>
              <w:textAlignment w:val="auto"/>
              <w:rPr>
                <w:rFonts w:hint="eastAsia"/>
                <w:color w:val="auto"/>
                <w:lang w:val="en-US" w:eastAsia="zh-CN"/>
              </w:rPr>
            </w:pPr>
            <w:r>
              <w:rPr>
                <w:rFonts w:hint="eastAsia"/>
                <w:color w:val="auto"/>
                <w:lang w:val="en-US" w:eastAsia="zh-CN"/>
              </w:rPr>
              <w:t>（1）服务的价格：投标人按总价包干；</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210" w:firstLineChars="100"/>
              <w:textAlignment w:val="auto"/>
              <w:rPr>
                <w:rFonts w:hint="eastAsia"/>
                <w:color w:val="auto"/>
                <w:lang w:val="en-US" w:eastAsia="zh-CN"/>
              </w:rPr>
            </w:pPr>
            <w:r>
              <w:rPr>
                <w:rFonts w:hint="eastAsia"/>
                <w:color w:val="auto"/>
                <w:lang w:val="en-US" w:eastAsia="zh-CN"/>
              </w:rPr>
              <w:t>（2）必要的保险费用和各项增值税金；</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210" w:firstLineChars="100"/>
              <w:textAlignment w:val="auto"/>
              <w:rPr>
                <w:rFonts w:hint="eastAsia"/>
                <w:color w:val="auto"/>
                <w:lang w:val="en-US" w:eastAsia="zh-CN"/>
              </w:rPr>
            </w:pPr>
            <w:r>
              <w:rPr>
                <w:rFonts w:hint="eastAsia"/>
                <w:color w:val="auto"/>
                <w:lang w:val="en-US" w:eastAsia="zh-CN"/>
              </w:rPr>
              <w:t>（3）投标人依据招标人提供的招标资料和现场实地勘察情况，根据自身经验，在确保质量和满足相关要求的前提下报价。</w:t>
            </w:r>
          </w:p>
          <w:p>
            <w:pPr>
              <w:keepNext w:val="0"/>
              <w:keepLines w:val="0"/>
              <w:pageBreakBefore w:val="0"/>
              <w:widowControl/>
              <w:shd w:val="clear" w:color="auto" w:fill="FFFFFF"/>
              <w:kinsoku/>
              <w:wordWrap/>
              <w:overflowPunct/>
              <w:topLinePunct w:val="0"/>
              <w:autoSpaceDE/>
              <w:autoSpaceDN/>
              <w:bidi w:val="0"/>
              <w:adjustRightInd/>
              <w:snapToGrid/>
              <w:spacing w:line="400" w:lineRule="exact"/>
              <w:textAlignment w:val="auto"/>
              <w:rPr>
                <w:rFonts w:ascii="新宋体" w:hAnsi="新宋体" w:eastAsia="新宋体" w:cs="新宋体"/>
                <w:color w:val="auto"/>
                <w:szCs w:val="21"/>
                <w:highlight w:val="none"/>
              </w:rPr>
            </w:pPr>
            <w:r>
              <w:rPr>
                <w:rFonts w:hint="eastAsia"/>
                <w:color w:val="auto"/>
                <w:lang w:val="en-US" w:eastAsia="zh-CN"/>
              </w:rPr>
              <w:t>2、报价中包含但不限于人工费、材料费、机械费、运输费、论证费、报告费、风险、责任、利润、增值税等完成本次服务项目所涉及的一切费用。</w:t>
            </w:r>
          </w:p>
        </w:tc>
      </w:tr>
    </w:tbl>
    <w:p>
      <w:pPr>
        <w:pStyle w:val="11"/>
        <w:rPr>
          <w:rFonts w:ascii="新宋体" w:hAnsi="新宋体" w:eastAsia="新宋体" w:cs="新宋体"/>
          <w:color w:val="auto"/>
          <w:highlight w:val="none"/>
        </w:rPr>
      </w:pPr>
    </w:p>
    <w:p>
      <w:pPr>
        <w:pStyle w:val="11"/>
        <w:spacing w:line="600" w:lineRule="exact"/>
        <w:ind w:firstLine="525" w:firstLineChars="250"/>
        <w:rPr>
          <w:rFonts w:ascii="新宋体" w:hAnsi="新宋体" w:eastAsia="新宋体" w:cs="新宋体"/>
          <w:color w:val="auto"/>
          <w:highlight w:val="none"/>
          <w:u w:val="single"/>
        </w:rPr>
      </w:pPr>
      <w:r>
        <w:rPr>
          <w:rFonts w:hint="eastAsia" w:ascii="新宋体" w:hAnsi="新宋体" w:eastAsia="新宋体" w:cs="新宋体"/>
          <w:color w:val="auto"/>
          <w:highlight w:val="none"/>
        </w:rPr>
        <w:t>磋商供应商（盖章）：</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u w:val="single"/>
          <w:lang w:val="en-US" w:eastAsia="zh-CN"/>
        </w:rPr>
        <w:t xml:space="preserve">       </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u w:val="single"/>
          <w:lang w:val="en-US" w:eastAsia="zh-CN"/>
        </w:rPr>
        <w:t xml:space="preserve"> </w:t>
      </w:r>
      <w:r>
        <w:rPr>
          <w:rFonts w:hint="eastAsia" w:ascii="新宋体" w:hAnsi="新宋体" w:eastAsia="新宋体" w:cs="新宋体"/>
          <w:color w:val="auto"/>
          <w:highlight w:val="none"/>
          <w:u w:val="single"/>
        </w:rPr>
        <w:t xml:space="preserve">    </w:t>
      </w:r>
    </w:p>
    <w:p>
      <w:pPr>
        <w:pStyle w:val="11"/>
        <w:spacing w:line="600" w:lineRule="exact"/>
        <w:ind w:firstLine="525" w:firstLineChars="250"/>
        <w:rPr>
          <w:rFonts w:ascii="新宋体" w:hAnsi="新宋体" w:eastAsia="新宋体" w:cs="新宋体"/>
          <w:color w:val="auto"/>
          <w:highlight w:val="none"/>
          <w:u w:val="single"/>
        </w:rPr>
      </w:pPr>
      <w:r>
        <w:rPr>
          <w:rFonts w:hint="eastAsia" w:ascii="新宋体" w:hAnsi="新宋体" w:eastAsia="新宋体" w:cs="新宋体"/>
          <w:color w:val="auto"/>
          <w:highlight w:val="none"/>
        </w:rPr>
        <w:t>法定代表人或其委托代理人（签字或盖章）：</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u w:val="single"/>
          <w:lang w:val="en-US" w:eastAsia="zh-CN"/>
        </w:rPr>
        <w:t xml:space="preserve"> </w:t>
      </w:r>
      <w:r>
        <w:rPr>
          <w:rFonts w:hint="eastAsia" w:ascii="新宋体" w:hAnsi="新宋体" w:eastAsia="新宋体" w:cs="新宋体"/>
          <w:color w:val="auto"/>
          <w:highlight w:val="none"/>
          <w:u w:val="single"/>
        </w:rPr>
        <w:t xml:space="preserve">   </w:t>
      </w:r>
    </w:p>
    <w:p>
      <w:pPr>
        <w:pStyle w:val="11"/>
        <w:wordWrap w:val="0"/>
        <w:spacing w:line="500" w:lineRule="exact"/>
        <w:ind w:firstLine="525" w:firstLineChars="250"/>
        <w:jc w:val="left"/>
        <w:rPr>
          <w:rFonts w:ascii="新宋体" w:hAnsi="新宋体" w:eastAsia="新宋体" w:cs="新宋体"/>
          <w:b/>
          <w:color w:val="auto"/>
          <w:kern w:val="0"/>
          <w:highlight w:val="none"/>
        </w:rPr>
      </w:pPr>
      <w:r>
        <w:rPr>
          <w:rFonts w:hint="eastAsia" w:ascii="新宋体" w:hAnsi="新宋体" w:eastAsia="新宋体" w:cs="新宋体"/>
          <w:color w:val="auto"/>
          <w:highlight w:val="none"/>
        </w:rPr>
        <w:t>日期：</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u w:val="single"/>
          <w:lang w:val="en-US" w:eastAsia="zh-CN"/>
        </w:rPr>
        <w:t xml:space="preserve">                        </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u w:val="single"/>
          <w:lang w:val="en-US" w:eastAsia="zh-CN"/>
        </w:rPr>
        <w:t xml:space="preserve">  </w:t>
      </w:r>
      <w:r>
        <w:rPr>
          <w:rFonts w:hint="eastAsia" w:ascii="新宋体" w:hAnsi="新宋体" w:eastAsia="新宋体" w:cs="新宋体"/>
          <w:color w:val="auto"/>
          <w:highlight w:val="none"/>
          <w:u w:val="single"/>
        </w:rPr>
        <w:t xml:space="preserve">   </w:t>
      </w:r>
    </w:p>
    <w:p>
      <w:pPr>
        <w:pStyle w:val="11"/>
        <w:spacing w:line="360" w:lineRule="exact"/>
        <w:rPr>
          <w:rFonts w:ascii="新宋体" w:hAnsi="新宋体" w:eastAsia="新宋体" w:cs="新宋体"/>
          <w:b/>
          <w:color w:val="auto"/>
          <w:kern w:val="0"/>
          <w:highlight w:val="none"/>
        </w:rPr>
      </w:pPr>
    </w:p>
    <w:p>
      <w:pPr>
        <w:pStyle w:val="11"/>
        <w:rPr>
          <w:rFonts w:ascii="新宋体" w:hAnsi="新宋体" w:eastAsia="新宋体" w:cs="新宋体"/>
          <w:b/>
          <w:color w:val="auto"/>
          <w:highlight w:val="none"/>
        </w:rPr>
      </w:pPr>
    </w:p>
    <w:p>
      <w:pPr>
        <w:rPr>
          <w:rFonts w:ascii="新宋体" w:hAnsi="新宋体" w:eastAsia="新宋体" w:cs="新宋体"/>
          <w:b/>
          <w:color w:val="auto"/>
          <w:highlight w:val="none"/>
        </w:rPr>
      </w:pPr>
    </w:p>
    <w:p>
      <w:pPr>
        <w:pStyle w:val="13"/>
        <w:rPr>
          <w:rFonts w:ascii="新宋体" w:hAnsi="新宋体" w:eastAsia="新宋体" w:cs="新宋体"/>
          <w:b/>
          <w:color w:val="auto"/>
          <w:highlight w:val="none"/>
        </w:rPr>
      </w:pPr>
    </w:p>
    <w:p>
      <w:pPr>
        <w:pStyle w:val="13"/>
        <w:rPr>
          <w:rFonts w:ascii="新宋体" w:hAnsi="新宋体" w:eastAsia="新宋体" w:cs="新宋体"/>
          <w:b/>
          <w:color w:val="auto"/>
          <w:highlight w:val="none"/>
        </w:rPr>
      </w:pPr>
    </w:p>
    <w:p>
      <w:pPr>
        <w:pStyle w:val="13"/>
        <w:rPr>
          <w:rFonts w:ascii="新宋体" w:hAnsi="新宋体" w:eastAsia="新宋体" w:cs="新宋体"/>
          <w:b/>
          <w:color w:val="auto"/>
          <w:highlight w:val="none"/>
        </w:rPr>
      </w:pPr>
    </w:p>
    <w:p>
      <w:pPr>
        <w:pStyle w:val="13"/>
        <w:rPr>
          <w:rFonts w:ascii="新宋体" w:hAnsi="新宋体" w:eastAsia="新宋体" w:cs="新宋体"/>
          <w:b/>
          <w:color w:val="auto"/>
          <w:highlight w:val="none"/>
        </w:rPr>
      </w:pPr>
    </w:p>
    <w:p>
      <w:pPr>
        <w:pStyle w:val="13"/>
        <w:rPr>
          <w:rFonts w:ascii="新宋体" w:hAnsi="新宋体" w:eastAsia="新宋体" w:cs="新宋体"/>
          <w:b/>
          <w:color w:val="auto"/>
          <w:highlight w:val="none"/>
        </w:rPr>
      </w:pPr>
    </w:p>
    <w:p>
      <w:pPr>
        <w:pStyle w:val="13"/>
        <w:rPr>
          <w:rFonts w:ascii="新宋体" w:hAnsi="新宋体" w:eastAsia="新宋体" w:cs="新宋体"/>
          <w:b/>
          <w:color w:val="auto"/>
          <w:highlight w:val="none"/>
        </w:rPr>
      </w:pPr>
    </w:p>
    <w:p>
      <w:pPr>
        <w:pStyle w:val="13"/>
        <w:rPr>
          <w:rFonts w:ascii="新宋体" w:hAnsi="新宋体" w:eastAsia="新宋体" w:cs="新宋体"/>
          <w:b/>
          <w:color w:val="auto"/>
          <w:highlight w:val="none"/>
        </w:rPr>
      </w:pPr>
    </w:p>
    <w:p>
      <w:pPr>
        <w:pStyle w:val="13"/>
        <w:rPr>
          <w:rFonts w:ascii="新宋体" w:hAnsi="新宋体" w:eastAsia="新宋体" w:cs="新宋体"/>
          <w:b/>
          <w:color w:val="auto"/>
          <w:highlight w:val="none"/>
        </w:rPr>
      </w:pPr>
    </w:p>
    <w:p>
      <w:pPr>
        <w:pStyle w:val="13"/>
        <w:rPr>
          <w:rFonts w:ascii="新宋体" w:hAnsi="新宋体" w:eastAsia="新宋体" w:cs="新宋体"/>
          <w:b/>
          <w:color w:val="auto"/>
          <w:highlight w:val="none"/>
        </w:rPr>
      </w:pPr>
    </w:p>
    <w:p>
      <w:pPr>
        <w:pStyle w:val="13"/>
        <w:rPr>
          <w:rFonts w:ascii="新宋体" w:hAnsi="新宋体" w:eastAsia="新宋体" w:cs="新宋体"/>
          <w:b/>
          <w:color w:val="auto"/>
          <w:highlight w:val="none"/>
        </w:rPr>
      </w:pPr>
    </w:p>
    <w:p>
      <w:pPr>
        <w:pStyle w:val="13"/>
        <w:rPr>
          <w:rFonts w:ascii="新宋体" w:hAnsi="新宋体" w:eastAsia="新宋体" w:cs="新宋体"/>
          <w:b/>
          <w:color w:val="auto"/>
          <w:highlight w:val="none"/>
        </w:rPr>
      </w:pPr>
    </w:p>
    <w:p>
      <w:pPr>
        <w:pStyle w:val="11"/>
        <w:jc w:val="center"/>
        <w:rPr>
          <w:rFonts w:ascii="新宋体" w:hAnsi="新宋体" w:eastAsia="新宋体" w:cs="新宋体"/>
          <w:b/>
          <w:color w:val="auto"/>
          <w:sz w:val="32"/>
          <w:szCs w:val="32"/>
          <w:highlight w:val="none"/>
        </w:rPr>
      </w:pPr>
      <w:r>
        <w:rPr>
          <w:rFonts w:hint="eastAsia" w:ascii="新宋体" w:hAnsi="新宋体" w:eastAsia="新宋体" w:cs="新宋体"/>
          <w:b/>
          <w:color w:val="auto"/>
          <w:sz w:val="32"/>
          <w:szCs w:val="32"/>
          <w:highlight w:val="none"/>
        </w:rPr>
        <w:t>中小企业声明函（格式）</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说明：</w:t>
      </w:r>
    </w:p>
    <w:p>
      <w:pPr>
        <w:pStyle w:val="9"/>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1、本声明函主要供参加政府采购活动的中小企业填写，非中小企业无需填写。</w:t>
      </w:r>
    </w:p>
    <w:p>
      <w:pPr>
        <w:pStyle w:val="9"/>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2、小型、微型企业提供中型企业制造的货物的，视同为中型企业。</w:t>
      </w:r>
    </w:p>
    <w:p>
      <w:pPr>
        <w:pStyle w:val="9"/>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3、磋商供应商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pPr>
        <w:pStyle w:val="9"/>
        <w:spacing w:line="360" w:lineRule="auto"/>
        <w:ind w:firstLine="420" w:firstLineChars="200"/>
        <w:rPr>
          <w:rFonts w:ascii="新宋体" w:hAnsi="新宋体" w:eastAsia="新宋体" w:cs="新宋体"/>
          <w:color w:val="auto"/>
          <w:sz w:val="21"/>
          <w:szCs w:val="21"/>
          <w:highlight w:val="none"/>
        </w:rPr>
      </w:pPr>
    </w:p>
    <w:p>
      <w:pPr>
        <w:pStyle w:val="11"/>
        <w:spacing w:line="360" w:lineRule="auto"/>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本公司郑重声明，根据《政府采购促进中小企业发展暂行办法》（财库〔2011〕181号）的规定，本公司为______（请填写：中型、小型、微型）企业。即，本公司同时满足以下条件：</w:t>
      </w:r>
    </w:p>
    <w:p>
      <w:pPr>
        <w:pStyle w:val="11"/>
        <w:spacing w:line="360" w:lineRule="auto"/>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根据《工业和信息化部、国家统计局、国家发展和改革委员会、财政部关于印发中小企业划型标准规定的通知》（工信部联企业〔2011〕300号）规定的划分标准，本公司为______（请填写：中型、小型、微型）企业。</w:t>
      </w:r>
    </w:p>
    <w:p>
      <w:pPr>
        <w:pStyle w:val="11"/>
        <w:spacing w:line="360" w:lineRule="auto"/>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1"/>
        <w:spacing w:line="360" w:lineRule="auto"/>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本公司对上述声明的真实性负责。如有虚假，将依法承担相应责任。</w:t>
      </w:r>
    </w:p>
    <w:p>
      <w:pPr>
        <w:pStyle w:val="11"/>
        <w:spacing w:line="360" w:lineRule="auto"/>
        <w:rPr>
          <w:rFonts w:ascii="新宋体" w:hAnsi="新宋体" w:eastAsia="新宋体" w:cs="新宋体"/>
          <w:color w:val="auto"/>
          <w:highlight w:val="none"/>
        </w:rPr>
      </w:pPr>
    </w:p>
    <w:p>
      <w:pPr>
        <w:pStyle w:val="11"/>
        <w:rPr>
          <w:rFonts w:ascii="新宋体" w:hAnsi="新宋体" w:eastAsia="新宋体" w:cs="新宋体"/>
          <w:color w:val="auto"/>
          <w:highlight w:val="none"/>
        </w:rPr>
      </w:pPr>
    </w:p>
    <w:p>
      <w:pPr>
        <w:pStyle w:val="11"/>
        <w:spacing w:line="600" w:lineRule="exact"/>
        <w:ind w:firstLine="105" w:firstLineChars="50"/>
        <w:rPr>
          <w:rFonts w:ascii="新宋体" w:hAnsi="新宋体" w:eastAsia="新宋体" w:cs="新宋体"/>
          <w:color w:val="auto"/>
          <w:highlight w:val="none"/>
          <w:u w:val="single"/>
        </w:rPr>
      </w:pPr>
      <w:r>
        <w:rPr>
          <w:rFonts w:hint="eastAsia" w:ascii="新宋体" w:hAnsi="新宋体" w:eastAsia="新宋体" w:cs="新宋体"/>
          <w:color w:val="auto"/>
          <w:highlight w:val="none"/>
        </w:rPr>
        <w:t>磋商供应商（盖单位公章）：</w:t>
      </w:r>
      <w:r>
        <w:rPr>
          <w:rFonts w:hint="eastAsia" w:ascii="新宋体" w:hAnsi="新宋体" w:eastAsia="新宋体" w:cs="新宋体"/>
          <w:color w:val="auto"/>
          <w:highlight w:val="none"/>
          <w:u w:val="single"/>
        </w:rPr>
        <w:t xml:space="preserve">                                  </w:t>
      </w:r>
    </w:p>
    <w:p>
      <w:pPr>
        <w:pStyle w:val="11"/>
        <w:spacing w:line="600" w:lineRule="exact"/>
        <w:ind w:firstLine="105" w:firstLineChars="50"/>
        <w:rPr>
          <w:rFonts w:ascii="新宋体" w:hAnsi="新宋体" w:eastAsia="新宋体" w:cs="新宋体"/>
          <w:color w:val="auto"/>
          <w:highlight w:val="none"/>
          <w:u w:val="single"/>
        </w:rPr>
      </w:pPr>
    </w:p>
    <w:p>
      <w:pPr>
        <w:pStyle w:val="11"/>
        <w:spacing w:line="600" w:lineRule="exact"/>
        <w:ind w:firstLine="105" w:firstLineChars="50"/>
        <w:rPr>
          <w:rFonts w:ascii="新宋体" w:hAnsi="新宋体" w:eastAsia="新宋体" w:cs="新宋体"/>
          <w:color w:val="auto"/>
          <w:highlight w:val="none"/>
          <w:u w:val="single"/>
        </w:rPr>
      </w:pPr>
      <w:r>
        <w:rPr>
          <w:rFonts w:hint="eastAsia" w:ascii="新宋体" w:hAnsi="新宋体" w:eastAsia="新宋体" w:cs="新宋体"/>
          <w:color w:val="auto"/>
          <w:highlight w:val="none"/>
        </w:rPr>
        <w:t>法定代表人或其委托代理人（签字或盖章）：</w:t>
      </w:r>
      <w:r>
        <w:rPr>
          <w:rFonts w:hint="eastAsia" w:ascii="新宋体" w:hAnsi="新宋体" w:eastAsia="新宋体" w:cs="新宋体"/>
          <w:color w:val="auto"/>
          <w:highlight w:val="none"/>
          <w:u w:val="single"/>
        </w:rPr>
        <w:t xml:space="preserve">                     </w:t>
      </w:r>
    </w:p>
    <w:p>
      <w:pPr>
        <w:pStyle w:val="11"/>
        <w:spacing w:line="500" w:lineRule="exact"/>
        <w:rPr>
          <w:rFonts w:ascii="新宋体" w:hAnsi="新宋体" w:eastAsia="新宋体" w:cs="新宋体"/>
          <w:b/>
          <w:color w:val="auto"/>
          <w:highlight w:val="none"/>
        </w:rPr>
      </w:pPr>
    </w:p>
    <w:p>
      <w:pPr>
        <w:pStyle w:val="11"/>
        <w:spacing w:line="360" w:lineRule="auto"/>
        <w:ind w:firstLine="422" w:firstLineChars="200"/>
        <w:rPr>
          <w:rFonts w:ascii="新宋体" w:hAnsi="新宋体" w:eastAsia="新宋体" w:cs="新宋体"/>
          <w:b/>
          <w:color w:val="auto"/>
        </w:rPr>
      </w:pPr>
      <w:r>
        <w:rPr>
          <w:rFonts w:hint="eastAsia" w:ascii="新宋体" w:hAnsi="新宋体" w:eastAsia="新宋体" w:cs="新宋体"/>
          <w:b/>
          <w:color w:val="auto"/>
        </w:rPr>
        <w:t>说明：《中小企业声明函》为参加政府采购活动的中小企业应当提供。</w:t>
      </w:r>
    </w:p>
    <w:p>
      <w:pPr>
        <w:pStyle w:val="11"/>
        <w:spacing w:line="360" w:lineRule="auto"/>
        <w:ind w:firstLine="422" w:firstLineChars="200"/>
        <w:rPr>
          <w:rFonts w:ascii="新宋体" w:hAnsi="新宋体" w:eastAsia="新宋体" w:cs="新宋体"/>
          <w:b/>
          <w:color w:val="auto"/>
          <w:highlight w:val="none"/>
        </w:rPr>
      </w:pPr>
    </w:p>
    <w:p>
      <w:pPr>
        <w:pStyle w:val="11"/>
        <w:spacing w:line="360" w:lineRule="auto"/>
        <w:ind w:firstLine="422" w:firstLineChars="200"/>
        <w:rPr>
          <w:rFonts w:ascii="新宋体" w:hAnsi="新宋体" w:eastAsia="新宋体" w:cs="新宋体"/>
          <w:b/>
          <w:color w:val="auto"/>
          <w:highlight w:val="none"/>
        </w:rPr>
      </w:pPr>
    </w:p>
    <w:p>
      <w:pPr>
        <w:pStyle w:val="11"/>
        <w:spacing w:line="360" w:lineRule="auto"/>
        <w:ind w:firstLine="422" w:firstLineChars="200"/>
        <w:rPr>
          <w:rFonts w:ascii="新宋体" w:hAnsi="新宋体" w:eastAsia="新宋体" w:cs="新宋体"/>
          <w:b/>
          <w:color w:val="auto"/>
          <w:highlight w:val="none"/>
        </w:rPr>
      </w:pPr>
    </w:p>
    <w:p>
      <w:pPr>
        <w:pStyle w:val="11"/>
        <w:spacing w:line="500" w:lineRule="exact"/>
        <w:rPr>
          <w:rFonts w:ascii="新宋体" w:hAnsi="新宋体" w:eastAsia="新宋体" w:cs="新宋体"/>
          <w:b/>
          <w:color w:val="auto"/>
          <w:highlight w:val="none"/>
        </w:rPr>
      </w:pPr>
    </w:p>
    <w:p>
      <w:pPr>
        <w:rPr>
          <w:color w:val="auto"/>
        </w:rPr>
      </w:pPr>
    </w:p>
    <w:p>
      <w:pPr>
        <w:pStyle w:val="13"/>
        <w:rPr>
          <w:rFonts w:ascii="新宋体" w:hAnsi="新宋体" w:eastAsia="新宋体" w:cs="新宋体"/>
          <w:b/>
          <w:color w:val="auto"/>
          <w:spacing w:val="6"/>
          <w:sz w:val="32"/>
          <w:szCs w:val="32"/>
          <w:highlight w:val="none"/>
        </w:rPr>
      </w:pPr>
    </w:p>
    <w:p>
      <w:pPr>
        <w:spacing w:line="588" w:lineRule="exact"/>
        <w:jc w:val="center"/>
        <w:rPr>
          <w:rFonts w:ascii="新宋体" w:hAnsi="新宋体" w:eastAsia="新宋体" w:cs="新宋体"/>
          <w:b/>
          <w:color w:val="auto"/>
          <w:spacing w:val="6"/>
          <w:sz w:val="32"/>
          <w:szCs w:val="32"/>
          <w:highlight w:val="none"/>
        </w:rPr>
      </w:pPr>
      <w:r>
        <w:rPr>
          <w:rFonts w:hint="eastAsia" w:ascii="新宋体" w:hAnsi="新宋体" w:eastAsia="新宋体" w:cs="新宋体"/>
          <w:b/>
          <w:color w:val="auto"/>
          <w:spacing w:val="6"/>
          <w:sz w:val="32"/>
          <w:szCs w:val="32"/>
          <w:highlight w:val="none"/>
        </w:rPr>
        <w:t>残疾人福利性单位声明函（格式）</w:t>
      </w:r>
    </w:p>
    <w:p>
      <w:pPr>
        <w:spacing w:line="588" w:lineRule="exact"/>
        <w:rPr>
          <w:rFonts w:ascii="新宋体" w:hAnsi="新宋体" w:eastAsia="新宋体" w:cs="新宋体"/>
          <w:b/>
          <w:color w:val="auto"/>
          <w:spacing w:val="6"/>
          <w:szCs w:val="21"/>
          <w:highlight w:val="none"/>
        </w:rPr>
      </w:pPr>
    </w:p>
    <w:p>
      <w:pPr>
        <w:spacing w:line="588" w:lineRule="exact"/>
        <w:ind w:firstLine="444" w:firstLineChars="200"/>
        <w:rPr>
          <w:rFonts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本单位郑重声明，根据《财政部 民政部 中国残疾人联合会关于促进残疾人就业政府采购政策的通知》（财库</w:t>
      </w:r>
      <w:r>
        <w:rPr>
          <w:rFonts w:hint="eastAsia" w:ascii="新宋体" w:hAnsi="新宋体" w:eastAsia="新宋体" w:cs="新宋体"/>
          <w:color w:val="auto"/>
          <w:szCs w:val="21"/>
          <w:highlight w:val="none"/>
        </w:rPr>
        <w:t>〔2017〕 141</w:t>
      </w:r>
      <w:r>
        <w:rPr>
          <w:rFonts w:hint="eastAsia" w:ascii="新宋体" w:hAnsi="新宋体" w:eastAsia="新宋体" w:cs="新宋体"/>
          <w:color w:val="auto"/>
          <w:spacing w:val="6"/>
          <w:szCs w:val="21"/>
          <w:highlight w:val="none"/>
        </w:rPr>
        <w:t>号）的规定，本单位为符合条件的残疾人福利性单位，且本单位参加</w:t>
      </w:r>
      <w:r>
        <w:rPr>
          <w:rFonts w:hint="eastAsia" w:ascii="新宋体" w:hAnsi="新宋体" w:eastAsia="新宋体" w:cs="新宋体"/>
          <w:color w:val="auto"/>
          <w:spacing w:val="6"/>
          <w:szCs w:val="21"/>
          <w:highlight w:val="none"/>
          <w:u w:val="single"/>
          <w:lang w:val="en-US" w:eastAsia="zh-CN"/>
        </w:rPr>
        <w:t xml:space="preserve">        </w:t>
      </w:r>
      <w:r>
        <w:rPr>
          <w:rFonts w:hint="eastAsia" w:ascii="新宋体" w:hAnsi="新宋体" w:eastAsia="新宋体" w:cs="新宋体"/>
          <w:color w:val="auto"/>
          <w:spacing w:val="6"/>
          <w:szCs w:val="21"/>
          <w:highlight w:val="none"/>
        </w:rPr>
        <w:t>单位的</w:t>
      </w:r>
      <w:r>
        <w:rPr>
          <w:rFonts w:hint="eastAsia" w:ascii="新宋体" w:hAnsi="新宋体" w:eastAsia="新宋体" w:cs="新宋体"/>
          <w:color w:val="auto"/>
          <w:spacing w:val="6"/>
          <w:szCs w:val="21"/>
          <w:highlight w:val="none"/>
          <w:u w:val="single"/>
          <w:lang w:val="en-US" w:eastAsia="zh-CN"/>
        </w:rPr>
        <w:t xml:space="preserve">           </w:t>
      </w:r>
      <w:r>
        <w:rPr>
          <w:rFonts w:hint="eastAsia" w:ascii="新宋体" w:hAnsi="新宋体" w:eastAsia="新宋体" w:cs="新宋体"/>
          <w:color w:val="auto"/>
          <w:spacing w:val="6"/>
          <w:szCs w:val="21"/>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本单位对上述声明的真实性负责。如有虚假，将依法承担相应责任。</w:t>
      </w:r>
    </w:p>
    <w:p>
      <w:pPr>
        <w:spacing w:line="588" w:lineRule="exact"/>
        <w:ind w:firstLine="444" w:firstLineChars="200"/>
        <w:rPr>
          <w:rFonts w:ascii="新宋体" w:hAnsi="新宋体" w:eastAsia="新宋体" w:cs="新宋体"/>
          <w:color w:val="auto"/>
          <w:spacing w:val="6"/>
          <w:szCs w:val="21"/>
          <w:highlight w:val="none"/>
        </w:rPr>
      </w:pPr>
    </w:p>
    <w:p>
      <w:pPr>
        <w:spacing w:line="588" w:lineRule="exact"/>
        <w:ind w:firstLine="444" w:firstLineChars="200"/>
        <w:rPr>
          <w:rFonts w:ascii="新宋体" w:hAnsi="新宋体" w:eastAsia="新宋体" w:cs="新宋体"/>
          <w:color w:val="auto"/>
          <w:spacing w:val="6"/>
          <w:szCs w:val="21"/>
          <w:highlight w:val="none"/>
        </w:rPr>
      </w:pPr>
    </w:p>
    <w:p>
      <w:pPr>
        <w:tabs>
          <w:tab w:val="left" w:pos="4860"/>
        </w:tabs>
        <w:spacing w:line="588" w:lineRule="exact"/>
        <w:ind w:right="1560" w:firstLine="4884" w:firstLineChars="2200"/>
        <w:rPr>
          <w:rFonts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单位名称（盖章）：</w:t>
      </w:r>
      <w:r>
        <w:rPr>
          <w:rFonts w:hint="eastAsia" w:ascii="新宋体" w:hAnsi="新宋体" w:eastAsia="新宋体" w:cs="新宋体"/>
          <w:color w:val="auto"/>
          <w:spacing w:val="6"/>
          <w:szCs w:val="21"/>
          <w:highlight w:val="none"/>
          <w:u w:val="single"/>
        </w:rPr>
        <w:t xml:space="preserve">        </w:t>
      </w:r>
      <w:r>
        <w:rPr>
          <w:rFonts w:hint="eastAsia" w:ascii="新宋体" w:hAnsi="新宋体" w:eastAsia="新宋体" w:cs="新宋体"/>
          <w:color w:val="auto"/>
          <w:spacing w:val="6"/>
          <w:szCs w:val="21"/>
          <w:highlight w:val="none"/>
          <w:u w:val="single"/>
          <w:lang w:val="en-US" w:eastAsia="zh-CN"/>
        </w:rPr>
        <w:t xml:space="preserve">          </w:t>
      </w:r>
      <w:r>
        <w:rPr>
          <w:rFonts w:hint="eastAsia" w:ascii="新宋体" w:hAnsi="新宋体" w:eastAsia="新宋体" w:cs="新宋体"/>
          <w:color w:val="auto"/>
          <w:spacing w:val="6"/>
          <w:szCs w:val="21"/>
          <w:highlight w:val="none"/>
          <w:u w:val="single"/>
        </w:rPr>
        <w:t xml:space="preserve">          </w:t>
      </w:r>
    </w:p>
    <w:p>
      <w:pPr>
        <w:tabs>
          <w:tab w:val="left" w:pos="4860"/>
        </w:tabs>
        <w:spacing w:line="588" w:lineRule="exact"/>
        <w:ind w:right="1560" w:firstLine="5106" w:firstLineChars="2300"/>
        <w:rPr>
          <w:rFonts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 xml:space="preserve">       日  期：</w:t>
      </w:r>
      <w:r>
        <w:rPr>
          <w:rFonts w:hint="eastAsia" w:ascii="新宋体" w:hAnsi="新宋体" w:eastAsia="新宋体" w:cs="新宋体"/>
          <w:color w:val="auto"/>
          <w:spacing w:val="6"/>
          <w:szCs w:val="21"/>
          <w:highlight w:val="none"/>
          <w:u w:val="single"/>
        </w:rPr>
        <w:t xml:space="preserve">       </w:t>
      </w:r>
      <w:r>
        <w:rPr>
          <w:rFonts w:hint="eastAsia" w:ascii="新宋体" w:hAnsi="新宋体" w:eastAsia="新宋体" w:cs="新宋体"/>
          <w:color w:val="auto"/>
          <w:spacing w:val="6"/>
          <w:szCs w:val="21"/>
          <w:highlight w:val="none"/>
          <w:u w:val="single"/>
          <w:lang w:val="en-US" w:eastAsia="zh-CN"/>
        </w:rPr>
        <w:t xml:space="preserve">             </w:t>
      </w:r>
      <w:r>
        <w:rPr>
          <w:rFonts w:hint="eastAsia" w:ascii="新宋体" w:hAnsi="新宋体" w:eastAsia="新宋体" w:cs="新宋体"/>
          <w:color w:val="auto"/>
          <w:spacing w:val="6"/>
          <w:szCs w:val="21"/>
          <w:highlight w:val="none"/>
          <w:u w:val="single"/>
        </w:rPr>
        <w:t xml:space="preserve">        </w:t>
      </w:r>
      <w:r>
        <w:rPr>
          <w:rFonts w:hint="eastAsia" w:ascii="新宋体" w:hAnsi="新宋体" w:eastAsia="新宋体" w:cs="新宋体"/>
          <w:color w:val="auto"/>
          <w:spacing w:val="6"/>
          <w:szCs w:val="21"/>
          <w:highlight w:val="none"/>
        </w:rPr>
        <w:t xml:space="preserve">       </w:t>
      </w:r>
    </w:p>
    <w:p>
      <w:pPr>
        <w:pStyle w:val="11"/>
        <w:spacing w:line="500" w:lineRule="exact"/>
        <w:rPr>
          <w:rFonts w:ascii="新宋体" w:hAnsi="新宋体" w:eastAsia="新宋体" w:cs="新宋体"/>
          <w:b/>
          <w:color w:val="auto"/>
          <w:highlight w:val="none"/>
        </w:rPr>
      </w:pPr>
    </w:p>
    <w:p>
      <w:pPr>
        <w:pStyle w:val="11"/>
        <w:spacing w:line="500" w:lineRule="exact"/>
        <w:jc w:val="center"/>
        <w:rPr>
          <w:rFonts w:ascii="新宋体" w:hAnsi="新宋体" w:eastAsia="新宋体" w:cs="新宋体"/>
          <w:b/>
          <w:bCs/>
          <w:color w:val="auto"/>
          <w:sz w:val="32"/>
          <w:szCs w:val="32"/>
          <w:highlight w:val="none"/>
        </w:rPr>
      </w:pPr>
    </w:p>
    <w:p>
      <w:pPr>
        <w:pStyle w:val="11"/>
        <w:spacing w:line="500" w:lineRule="exact"/>
        <w:jc w:val="center"/>
        <w:rPr>
          <w:rFonts w:ascii="新宋体" w:hAnsi="新宋体" w:eastAsia="新宋体" w:cs="新宋体"/>
          <w:b/>
          <w:bCs/>
          <w:color w:val="auto"/>
          <w:sz w:val="32"/>
          <w:szCs w:val="32"/>
          <w:highlight w:val="none"/>
        </w:rPr>
      </w:pPr>
    </w:p>
    <w:p>
      <w:pPr>
        <w:pStyle w:val="11"/>
        <w:spacing w:line="500" w:lineRule="exact"/>
        <w:jc w:val="center"/>
        <w:rPr>
          <w:rFonts w:ascii="新宋体" w:hAnsi="新宋体" w:eastAsia="新宋体" w:cs="新宋体"/>
          <w:b/>
          <w:bCs/>
          <w:color w:val="auto"/>
          <w:sz w:val="32"/>
          <w:szCs w:val="32"/>
          <w:highlight w:val="none"/>
        </w:rPr>
      </w:pPr>
    </w:p>
    <w:p>
      <w:pPr>
        <w:spacing w:line="588" w:lineRule="exact"/>
        <w:ind w:firstLine="446" w:firstLineChars="200"/>
        <w:rPr>
          <w:rFonts w:ascii="新宋体" w:hAnsi="新宋体" w:eastAsia="新宋体" w:cs="新宋体"/>
          <w:b/>
          <w:bCs/>
          <w:color w:val="auto"/>
          <w:spacing w:val="6"/>
          <w:szCs w:val="21"/>
        </w:rPr>
      </w:pPr>
      <w:r>
        <w:rPr>
          <w:rFonts w:hint="eastAsia" w:ascii="新宋体" w:hAnsi="新宋体" w:eastAsia="新宋体" w:cs="新宋体"/>
          <w:b/>
          <w:bCs/>
          <w:color w:val="auto"/>
          <w:spacing w:val="6"/>
          <w:szCs w:val="21"/>
        </w:rPr>
        <w:t>说明：《残疾人福利性单位声明函》为参加政府采购活动的残疾人福利性单位应当提供。</w:t>
      </w:r>
    </w:p>
    <w:p>
      <w:pPr>
        <w:pStyle w:val="11"/>
        <w:spacing w:line="500" w:lineRule="exact"/>
        <w:jc w:val="center"/>
        <w:rPr>
          <w:rFonts w:ascii="新宋体" w:hAnsi="新宋体" w:eastAsia="新宋体" w:cs="新宋体"/>
          <w:b/>
          <w:bCs/>
          <w:color w:val="auto"/>
          <w:sz w:val="32"/>
          <w:szCs w:val="32"/>
          <w:highlight w:val="none"/>
        </w:rPr>
      </w:pPr>
    </w:p>
    <w:p>
      <w:pPr>
        <w:pStyle w:val="11"/>
        <w:spacing w:line="500" w:lineRule="exact"/>
        <w:jc w:val="center"/>
        <w:rPr>
          <w:rFonts w:ascii="新宋体" w:hAnsi="新宋体" w:eastAsia="新宋体" w:cs="新宋体"/>
          <w:b/>
          <w:bCs/>
          <w:color w:val="auto"/>
          <w:sz w:val="32"/>
          <w:szCs w:val="32"/>
          <w:highlight w:val="none"/>
        </w:rPr>
        <w:sectPr>
          <w:pgSz w:w="11906" w:h="16838"/>
          <w:pgMar w:top="1020" w:right="1049" w:bottom="1440" w:left="998" w:header="851" w:footer="992" w:gutter="0"/>
          <w:pgNumType w:fmt="decimal"/>
          <w:cols w:space="720" w:num="1"/>
          <w:docGrid w:type="lines" w:linePitch="312" w:charSpace="0"/>
        </w:sectPr>
      </w:pPr>
    </w:p>
    <w:p>
      <w:pPr>
        <w:pStyle w:val="11"/>
        <w:spacing w:line="600" w:lineRule="exact"/>
        <w:jc w:val="center"/>
        <w:outlineLvl w:val="9"/>
        <w:rPr>
          <w:b/>
          <w:bCs/>
          <w:color w:val="auto"/>
          <w:spacing w:val="20"/>
          <w:sz w:val="32"/>
          <w:szCs w:val="28"/>
          <w:highlight w:val="none"/>
        </w:rPr>
      </w:pPr>
      <w:r>
        <w:rPr>
          <w:rFonts w:hint="eastAsia"/>
          <w:b/>
          <w:bCs/>
          <w:color w:val="auto"/>
          <w:spacing w:val="20"/>
          <w:sz w:val="32"/>
          <w:szCs w:val="28"/>
          <w:highlight w:val="none"/>
        </w:rPr>
        <w:t>技术文件（格式）</w:t>
      </w:r>
    </w:p>
    <w:p>
      <w:pPr>
        <w:pStyle w:val="11"/>
        <w:spacing w:line="600" w:lineRule="exact"/>
        <w:jc w:val="center"/>
        <w:outlineLvl w:val="9"/>
        <w:rPr>
          <w:b/>
          <w:bCs/>
          <w:color w:val="auto"/>
          <w:spacing w:val="20"/>
          <w:sz w:val="32"/>
          <w:szCs w:val="28"/>
          <w:highlight w:val="none"/>
        </w:rPr>
      </w:pPr>
    </w:p>
    <w:p>
      <w:pPr>
        <w:pStyle w:val="11"/>
        <w:keepNext w:val="0"/>
        <w:keepLines w:val="0"/>
        <w:pageBreakBefore w:val="0"/>
        <w:kinsoku/>
        <w:wordWrap/>
        <w:overflowPunct/>
        <w:topLinePunct w:val="0"/>
        <w:bidi w:val="0"/>
        <w:spacing w:line="500" w:lineRule="exact"/>
        <w:ind w:firstLine="420"/>
        <w:textAlignment w:val="auto"/>
        <w:outlineLvl w:val="9"/>
        <w:rPr>
          <w:rFonts w:hint="eastAsia" w:hAnsi="宋体"/>
          <w:color w:val="auto"/>
          <w:highlight w:val="none"/>
        </w:rPr>
      </w:pPr>
      <w:r>
        <w:rPr>
          <w:rFonts w:hint="eastAsia" w:hAnsi="宋体"/>
          <w:color w:val="auto"/>
          <w:highlight w:val="none"/>
        </w:rPr>
        <w:t>（1）提供服务技术资料表：按第五章“响应文件格式”提供的“提供服务技术资料表（格式）”的要求填写；</w:t>
      </w:r>
    </w:p>
    <w:p>
      <w:pPr>
        <w:pStyle w:val="11"/>
        <w:keepNext w:val="0"/>
        <w:keepLines w:val="0"/>
        <w:pageBreakBefore w:val="0"/>
        <w:kinsoku/>
        <w:wordWrap/>
        <w:overflowPunct/>
        <w:topLinePunct w:val="0"/>
        <w:bidi w:val="0"/>
        <w:spacing w:line="500" w:lineRule="exact"/>
        <w:ind w:firstLine="420"/>
        <w:textAlignment w:val="auto"/>
        <w:rPr>
          <w:rFonts w:hint="eastAsia" w:hAnsi="宋体"/>
          <w:color w:val="auto"/>
          <w:highlight w:val="none"/>
          <w:lang w:eastAsia="zh-CN"/>
        </w:rPr>
      </w:pPr>
      <w:r>
        <w:rPr>
          <w:rFonts w:hint="eastAsia" w:hAnsi="宋体"/>
          <w:color w:val="auto"/>
          <w:highlight w:val="none"/>
        </w:rPr>
        <w:t>（</w:t>
      </w:r>
      <w:r>
        <w:rPr>
          <w:rFonts w:hint="eastAsia" w:hAnsi="宋体"/>
          <w:color w:val="auto"/>
          <w:highlight w:val="none"/>
          <w:lang w:val="en-US" w:eastAsia="zh-CN"/>
        </w:rPr>
        <w:t>2</w:t>
      </w:r>
      <w:r>
        <w:rPr>
          <w:rFonts w:hint="eastAsia" w:hAnsi="宋体"/>
          <w:color w:val="auto"/>
          <w:highlight w:val="none"/>
        </w:rPr>
        <w:t>）</w:t>
      </w:r>
      <w:r>
        <w:rPr>
          <w:rFonts w:hint="eastAsia" w:hAnsi="宋体"/>
          <w:color w:val="auto"/>
          <w:highlight w:val="none"/>
          <w:lang w:val="en-US" w:eastAsia="zh-CN"/>
        </w:rPr>
        <w:t>本项目理解程度和总体划分思路</w:t>
      </w:r>
      <w:r>
        <w:rPr>
          <w:rFonts w:hint="eastAsia" w:hAnsi="宋体"/>
          <w:color w:val="auto"/>
          <w:highlight w:val="none"/>
          <w:lang w:eastAsia="zh-CN"/>
        </w:rPr>
        <w:t>（</w:t>
      </w:r>
      <w:r>
        <w:rPr>
          <w:rFonts w:hint="eastAsia" w:hAnsi="宋体"/>
          <w:color w:val="auto"/>
          <w:highlight w:val="none"/>
        </w:rPr>
        <w:t>格式自拟</w:t>
      </w:r>
      <w:r>
        <w:rPr>
          <w:rFonts w:hint="eastAsia" w:hAnsi="宋体"/>
          <w:color w:val="auto"/>
          <w:highlight w:val="none"/>
          <w:lang w:eastAsia="zh-CN"/>
        </w:rPr>
        <w:t>）；</w:t>
      </w:r>
    </w:p>
    <w:p>
      <w:pPr>
        <w:pStyle w:val="11"/>
        <w:keepNext w:val="0"/>
        <w:keepLines w:val="0"/>
        <w:pageBreakBefore w:val="0"/>
        <w:kinsoku/>
        <w:wordWrap/>
        <w:overflowPunct/>
        <w:topLinePunct w:val="0"/>
        <w:bidi w:val="0"/>
        <w:spacing w:line="500" w:lineRule="exact"/>
        <w:ind w:firstLine="420"/>
        <w:textAlignment w:val="auto"/>
        <w:rPr>
          <w:rFonts w:hint="eastAsia" w:hAnsi="宋体"/>
          <w:color w:val="auto"/>
          <w:highlight w:val="none"/>
          <w:lang w:eastAsia="zh-CN"/>
        </w:rPr>
      </w:pPr>
      <w:r>
        <w:rPr>
          <w:rFonts w:hint="eastAsia" w:hAnsi="宋体"/>
          <w:color w:val="auto"/>
          <w:highlight w:val="none"/>
        </w:rPr>
        <w:t>（</w:t>
      </w:r>
      <w:r>
        <w:rPr>
          <w:rFonts w:hint="eastAsia" w:hAnsi="宋体"/>
          <w:color w:val="auto"/>
          <w:highlight w:val="none"/>
          <w:lang w:val="en-US" w:eastAsia="zh-CN"/>
        </w:rPr>
        <w:t>3</w:t>
      </w:r>
      <w:r>
        <w:rPr>
          <w:rFonts w:hint="eastAsia" w:hAnsi="宋体"/>
          <w:color w:val="auto"/>
          <w:highlight w:val="none"/>
        </w:rPr>
        <w:t>）技术服务方案的操作性与合理性</w:t>
      </w:r>
      <w:r>
        <w:rPr>
          <w:rFonts w:hint="eastAsia" w:hAnsi="宋体"/>
          <w:color w:val="auto"/>
          <w:highlight w:val="none"/>
          <w:lang w:eastAsia="zh-CN"/>
        </w:rPr>
        <w:t>（</w:t>
      </w:r>
      <w:r>
        <w:rPr>
          <w:rFonts w:hint="eastAsia" w:hAnsi="宋体"/>
          <w:color w:val="auto"/>
          <w:highlight w:val="none"/>
        </w:rPr>
        <w:t>格式自拟</w:t>
      </w:r>
      <w:r>
        <w:rPr>
          <w:rFonts w:hint="eastAsia" w:hAnsi="宋体"/>
          <w:color w:val="auto"/>
          <w:highlight w:val="none"/>
          <w:lang w:eastAsia="zh-CN"/>
        </w:rPr>
        <w:t>）；</w:t>
      </w:r>
    </w:p>
    <w:p>
      <w:pPr>
        <w:pStyle w:val="11"/>
        <w:keepNext w:val="0"/>
        <w:keepLines w:val="0"/>
        <w:pageBreakBefore w:val="0"/>
        <w:kinsoku/>
        <w:wordWrap/>
        <w:overflowPunct/>
        <w:topLinePunct w:val="0"/>
        <w:bidi w:val="0"/>
        <w:spacing w:line="500" w:lineRule="exact"/>
        <w:ind w:firstLine="420"/>
        <w:textAlignment w:val="auto"/>
        <w:rPr>
          <w:rFonts w:hint="default" w:hAnsi="宋体"/>
          <w:color w:val="auto"/>
          <w:highlight w:val="none"/>
          <w:lang w:val="en-US"/>
        </w:rPr>
      </w:pPr>
      <w:r>
        <w:rPr>
          <w:rFonts w:hint="eastAsia" w:hAnsi="宋体"/>
          <w:color w:val="auto"/>
          <w:highlight w:val="none"/>
          <w:lang w:eastAsia="zh-CN"/>
        </w:rPr>
        <w:t>（</w:t>
      </w:r>
      <w:r>
        <w:rPr>
          <w:rFonts w:hint="eastAsia" w:hAnsi="宋体"/>
          <w:color w:val="auto"/>
          <w:highlight w:val="none"/>
          <w:lang w:val="en-US" w:eastAsia="zh-CN"/>
        </w:rPr>
        <w:t>4</w:t>
      </w:r>
      <w:r>
        <w:rPr>
          <w:rFonts w:hint="eastAsia" w:hAnsi="宋体"/>
          <w:color w:val="auto"/>
          <w:highlight w:val="none"/>
          <w:lang w:eastAsia="zh-CN"/>
        </w:rPr>
        <w:t>）技术服务方案质量与进度保障（</w:t>
      </w:r>
      <w:r>
        <w:rPr>
          <w:rFonts w:hint="eastAsia" w:hAnsi="宋体"/>
          <w:color w:val="auto"/>
          <w:highlight w:val="none"/>
        </w:rPr>
        <w:t>格式自拟</w:t>
      </w:r>
      <w:r>
        <w:rPr>
          <w:rFonts w:hint="eastAsia" w:hAnsi="宋体"/>
          <w:color w:val="auto"/>
          <w:highlight w:val="none"/>
          <w:lang w:eastAsia="zh-CN"/>
        </w:rPr>
        <w:t>）；</w:t>
      </w:r>
    </w:p>
    <w:p>
      <w:pPr>
        <w:pStyle w:val="11"/>
        <w:keepNext w:val="0"/>
        <w:keepLines w:val="0"/>
        <w:pageBreakBefore w:val="0"/>
        <w:kinsoku/>
        <w:wordWrap/>
        <w:overflowPunct/>
        <w:topLinePunct w:val="0"/>
        <w:bidi w:val="0"/>
        <w:spacing w:line="500" w:lineRule="exact"/>
        <w:ind w:firstLine="420"/>
        <w:textAlignment w:val="auto"/>
        <w:rPr>
          <w:rFonts w:ascii="新宋体" w:hAnsi="新宋体" w:eastAsia="新宋体" w:cs="新宋体"/>
          <w:color w:val="auto"/>
          <w:highlight w:val="none"/>
        </w:rPr>
      </w:pPr>
      <w:r>
        <w:rPr>
          <w:rFonts w:hint="eastAsia" w:hAnsi="宋体"/>
          <w:color w:val="auto"/>
          <w:highlight w:val="none"/>
        </w:rPr>
        <w:t>（</w:t>
      </w:r>
      <w:r>
        <w:rPr>
          <w:rFonts w:hint="eastAsia" w:hAnsi="宋体"/>
          <w:color w:val="auto"/>
          <w:highlight w:val="none"/>
          <w:lang w:val="en-US" w:eastAsia="zh-CN"/>
        </w:rPr>
        <w:t>5</w:t>
      </w:r>
      <w:r>
        <w:rPr>
          <w:rFonts w:hint="eastAsia" w:hAnsi="宋体"/>
          <w:color w:val="auto"/>
          <w:highlight w:val="none"/>
        </w:rPr>
        <w:t>）</w:t>
      </w:r>
      <w:r>
        <w:rPr>
          <w:rFonts w:hint="eastAsia" w:hAnsi="宋体"/>
          <w:color w:val="auto"/>
          <w:highlight w:val="none"/>
          <w:lang w:val="en-US" w:eastAsia="zh-CN"/>
        </w:rPr>
        <w:t>供应商</w:t>
      </w:r>
      <w:r>
        <w:rPr>
          <w:rFonts w:hint="eastAsia" w:hAnsi="宋体"/>
          <w:color w:val="auto"/>
          <w:highlight w:val="none"/>
        </w:rPr>
        <w:t>需要说明的</w:t>
      </w:r>
      <w:r>
        <w:rPr>
          <w:rFonts w:hint="eastAsia" w:ascii="新宋体" w:hAnsi="新宋体" w:eastAsia="新宋体" w:cs="新宋体"/>
          <w:color w:val="auto"/>
          <w:highlight w:val="none"/>
        </w:rPr>
        <w:t>其他文件和说明（如有，格式自拟）。</w:t>
      </w:r>
    </w:p>
    <w:p>
      <w:pPr>
        <w:outlineLvl w:val="9"/>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pStyle w:val="11"/>
        <w:spacing w:line="500" w:lineRule="exact"/>
        <w:jc w:val="both"/>
        <w:rPr>
          <w:rFonts w:ascii="新宋体" w:hAnsi="新宋体" w:eastAsia="新宋体" w:cs="新宋体"/>
          <w:b/>
          <w:bCs/>
          <w:color w:val="auto"/>
          <w:sz w:val="32"/>
          <w:szCs w:val="32"/>
          <w:highlight w:val="none"/>
        </w:rPr>
        <w:sectPr>
          <w:headerReference r:id="rId11" w:type="default"/>
          <w:footerReference r:id="rId12" w:type="default"/>
          <w:pgSz w:w="11906" w:h="16838"/>
          <w:pgMar w:top="1020" w:right="1049" w:bottom="1440" w:left="998" w:header="851" w:footer="992" w:gutter="0"/>
          <w:pgNumType w:fmt="decimal"/>
          <w:cols w:space="720" w:num="1"/>
          <w:docGrid w:type="lines" w:linePitch="312" w:charSpace="0"/>
        </w:sectPr>
      </w:pPr>
    </w:p>
    <w:p>
      <w:pPr>
        <w:pStyle w:val="11"/>
        <w:spacing w:line="500" w:lineRule="exact"/>
        <w:jc w:val="both"/>
        <w:rPr>
          <w:rFonts w:ascii="新宋体" w:hAnsi="新宋体" w:eastAsia="新宋体" w:cs="新宋体"/>
          <w:b/>
          <w:bCs/>
          <w:color w:val="auto"/>
          <w:sz w:val="32"/>
          <w:szCs w:val="32"/>
          <w:highlight w:val="none"/>
        </w:rPr>
      </w:pPr>
    </w:p>
    <w:p>
      <w:pPr>
        <w:pStyle w:val="11"/>
        <w:spacing w:line="500" w:lineRule="exact"/>
        <w:jc w:val="center"/>
        <w:rPr>
          <w:rFonts w:ascii="新宋体" w:hAnsi="新宋体" w:eastAsia="新宋体" w:cs="新宋体"/>
          <w:b/>
          <w:bCs/>
          <w:color w:val="auto"/>
          <w:sz w:val="32"/>
          <w:szCs w:val="32"/>
          <w:highlight w:val="none"/>
        </w:rPr>
      </w:pPr>
      <w:r>
        <w:rPr>
          <w:rFonts w:hint="eastAsia" w:ascii="新宋体" w:hAnsi="新宋体" w:eastAsia="新宋体" w:cs="新宋体"/>
          <w:b/>
          <w:bCs/>
          <w:color w:val="auto"/>
          <w:sz w:val="32"/>
          <w:szCs w:val="32"/>
          <w:highlight w:val="none"/>
        </w:rPr>
        <w:t>提供服务技术资料表（格式）</w:t>
      </w:r>
    </w:p>
    <w:p>
      <w:pPr>
        <w:pStyle w:val="11"/>
        <w:ind w:firstLine="210" w:firstLineChars="100"/>
        <w:rPr>
          <w:rFonts w:ascii="新宋体" w:hAnsi="新宋体" w:eastAsia="新宋体" w:cs="新宋体"/>
          <w:color w:val="auto"/>
          <w:highlight w:val="none"/>
        </w:rPr>
      </w:pP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请根据所提供服务的实际参数，</w:t>
      </w:r>
      <w:r>
        <w:rPr>
          <w:rFonts w:hint="eastAsia" w:ascii="新宋体" w:hAnsi="新宋体" w:eastAsia="新宋体" w:cs="新宋体"/>
          <w:b/>
          <w:color w:val="auto"/>
          <w:highlight w:val="none"/>
        </w:rPr>
        <w:t>逐条对应</w:t>
      </w:r>
      <w:r>
        <w:rPr>
          <w:rFonts w:hint="eastAsia" w:ascii="新宋体" w:hAnsi="新宋体" w:eastAsia="新宋体" w:cs="新宋体"/>
          <w:color w:val="auto"/>
          <w:highlight w:val="none"/>
        </w:rPr>
        <w:t>本项目竞争性磋商文件第二章“服务需求一览表”中的服务内容要求要求认真填写该表。“偏离说明”一栏选择“正偏离”、“负偏离”或“无偏离”进行填写。</w:t>
      </w:r>
    </w:p>
    <w:p>
      <w:pPr>
        <w:pStyle w:val="11"/>
        <w:rPr>
          <w:rFonts w:ascii="新宋体" w:hAnsi="新宋体" w:eastAsia="新宋体" w:cs="新宋体"/>
          <w:color w:val="auto"/>
          <w:highlight w:val="none"/>
        </w:rPr>
      </w:pPr>
    </w:p>
    <w:p>
      <w:pPr>
        <w:pStyle w:val="11"/>
        <w:rPr>
          <w:rFonts w:ascii="新宋体" w:hAnsi="新宋体" w:eastAsia="新宋体" w:cs="新宋体"/>
          <w:color w:val="auto"/>
          <w:highlight w:val="none"/>
        </w:rPr>
      </w:pPr>
    </w:p>
    <w:tbl>
      <w:tblPr>
        <w:tblStyle w:val="20"/>
        <w:tblW w:w="10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135"/>
        <w:gridCol w:w="686"/>
        <w:gridCol w:w="2009"/>
        <w:gridCol w:w="1164"/>
        <w:gridCol w:w="805"/>
        <w:gridCol w:w="2604"/>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554" w:type="dxa"/>
            <w:vMerge w:val="restart"/>
            <w:vAlign w:val="center"/>
          </w:tcPr>
          <w:p>
            <w:pPr>
              <w:pStyle w:val="11"/>
              <w:jc w:val="center"/>
              <w:rPr>
                <w:color w:val="auto"/>
                <w:spacing w:val="-20"/>
                <w:sz w:val="21"/>
                <w:szCs w:val="21"/>
                <w:highlight w:val="none"/>
              </w:rPr>
            </w:pPr>
            <w:r>
              <w:rPr>
                <w:rFonts w:hint="eastAsia"/>
                <w:color w:val="auto"/>
                <w:spacing w:val="-20"/>
                <w:sz w:val="21"/>
                <w:szCs w:val="21"/>
                <w:highlight w:val="none"/>
              </w:rPr>
              <w:t>序号</w:t>
            </w:r>
          </w:p>
        </w:tc>
        <w:tc>
          <w:tcPr>
            <w:tcW w:w="3830" w:type="dxa"/>
            <w:gridSpan w:val="3"/>
            <w:vAlign w:val="center"/>
          </w:tcPr>
          <w:p>
            <w:pPr>
              <w:jc w:val="center"/>
              <w:rPr>
                <w:rFonts w:hAnsi="宋体"/>
                <w:color w:val="auto"/>
                <w:sz w:val="21"/>
                <w:szCs w:val="21"/>
                <w:highlight w:val="none"/>
              </w:rPr>
            </w:pPr>
            <w:r>
              <w:rPr>
                <w:rFonts w:hint="eastAsia"/>
                <w:color w:val="auto"/>
                <w:sz w:val="21"/>
                <w:szCs w:val="21"/>
                <w:highlight w:val="none"/>
              </w:rPr>
              <w:t>竞争性磋商文件需求</w:t>
            </w:r>
          </w:p>
        </w:tc>
        <w:tc>
          <w:tcPr>
            <w:tcW w:w="4573" w:type="dxa"/>
            <w:gridSpan w:val="3"/>
            <w:vAlign w:val="center"/>
          </w:tcPr>
          <w:p>
            <w:pPr>
              <w:jc w:val="center"/>
              <w:rPr>
                <w:rFonts w:ascii="宋体" w:hAnsi="宋体"/>
                <w:color w:val="auto"/>
                <w:sz w:val="21"/>
                <w:szCs w:val="21"/>
                <w:highlight w:val="none"/>
              </w:rPr>
            </w:pPr>
            <w:r>
              <w:rPr>
                <w:rFonts w:hint="eastAsia"/>
                <w:color w:val="auto"/>
                <w:sz w:val="21"/>
                <w:szCs w:val="21"/>
                <w:highlight w:val="none"/>
              </w:rPr>
              <w:t>响应文件承诺</w:t>
            </w:r>
          </w:p>
        </w:tc>
        <w:tc>
          <w:tcPr>
            <w:tcW w:w="1063" w:type="dxa"/>
            <w:vMerge w:val="restart"/>
            <w:vAlign w:val="center"/>
          </w:tcPr>
          <w:p>
            <w:pPr>
              <w:jc w:val="center"/>
              <w:rPr>
                <w:rFonts w:ascii="宋体" w:hAnsi="宋体"/>
                <w:color w:val="auto"/>
                <w:sz w:val="21"/>
                <w:szCs w:val="21"/>
                <w:highlight w:val="none"/>
              </w:rPr>
            </w:pPr>
            <w:r>
              <w:rPr>
                <w:rFonts w:hint="eastAsia"/>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54" w:type="dxa"/>
            <w:vMerge w:val="continue"/>
            <w:vAlign w:val="center"/>
          </w:tcPr>
          <w:p>
            <w:pPr>
              <w:pStyle w:val="11"/>
              <w:jc w:val="center"/>
              <w:rPr>
                <w:color w:val="auto"/>
                <w:spacing w:val="-20"/>
                <w:sz w:val="21"/>
                <w:szCs w:val="21"/>
                <w:highlight w:val="none"/>
              </w:rPr>
            </w:pPr>
          </w:p>
        </w:tc>
        <w:tc>
          <w:tcPr>
            <w:tcW w:w="1135" w:type="dxa"/>
            <w:vAlign w:val="center"/>
          </w:tcPr>
          <w:p>
            <w:pPr>
              <w:jc w:val="center"/>
              <w:rPr>
                <w:color w:val="auto"/>
                <w:sz w:val="21"/>
                <w:szCs w:val="21"/>
                <w:highlight w:val="none"/>
              </w:rPr>
            </w:pPr>
            <w:r>
              <w:rPr>
                <w:rFonts w:hint="eastAsia"/>
                <w:color w:val="auto"/>
                <w:sz w:val="21"/>
                <w:szCs w:val="21"/>
                <w:highlight w:val="none"/>
              </w:rPr>
              <w:t>服务名称</w:t>
            </w:r>
          </w:p>
        </w:tc>
        <w:tc>
          <w:tcPr>
            <w:tcW w:w="686" w:type="dxa"/>
            <w:vAlign w:val="center"/>
          </w:tcPr>
          <w:p>
            <w:pPr>
              <w:jc w:val="center"/>
              <w:rPr>
                <w:rFonts w:hint="eastAsia"/>
                <w:color w:val="auto"/>
                <w:sz w:val="21"/>
                <w:szCs w:val="21"/>
                <w:highlight w:val="none"/>
              </w:rPr>
            </w:pPr>
            <w:r>
              <w:rPr>
                <w:rFonts w:hint="eastAsia"/>
                <w:color w:val="auto"/>
                <w:sz w:val="21"/>
                <w:szCs w:val="21"/>
                <w:highlight w:val="none"/>
              </w:rPr>
              <w:t>数量</w:t>
            </w:r>
          </w:p>
        </w:tc>
        <w:tc>
          <w:tcPr>
            <w:tcW w:w="2009" w:type="dxa"/>
            <w:vAlign w:val="center"/>
          </w:tcPr>
          <w:p>
            <w:pPr>
              <w:jc w:val="center"/>
              <w:rPr>
                <w:rFonts w:hint="eastAsia" w:hAnsi="宋体"/>
                <w:color w:val="auto"/>
                <w:sz w:val="21"/>
                <w:szCs w:val="21"/>
                <w:highlight w:val="none"/>
              </w:rPr>
            </w:pPr>
            <w:r>
              <w:rPr>
                <w:rFonts w:hint="eastAsia" w:hAnsi="宋体"/>
                <w:color w:val="auto"/>
                <w:sz w:val="21"/>
                <w:szCs w:val="21"/>
                <w:highlight w:val="none"/>
              </w:rPr>
              <w:t>服务内容及要求</w:t>
            </w:r>
          </w:p>
        </w:tc>
        <w:tc>
          <w:tcPr>
            <w:tcW w:w="1164" w:type="dxa"/>
            <w:vAlign w:val="center"/>
          </w:tcPr>
          <w:p>
            <w:pPr>
              <w:jc w:val="center"/>
              <w:rPr>
                <w:color w:val="auto"/>
                <w:sz w:val="21"/>
                <w:szCs w:val="24"/>
                <w:highlight w:val="none"/>
              </w:rPr>
            </w:pPr>
            <w:r>
              <w:rPr>
                <w:rFonts w:hint="eastAsia"/>
                <w:color w:val="auto"/>
                <w:sz w:val="21"/>
                <w:szCs w:val="24"/>
                <w:highlight w:val="none"/>
              </w:rPr>
              <w:t>服务名称</w:t>
            </w:r>
          </w:p>
        </w:tc>
        <w:tc>
          <w:tcPr>
            <w:tcW w:w="805" w:type="dxa"/>
            <w:vAlign w:val="center"/>
          </w:tcPr>
          <w:p>
            <w:pPr>
              <w:jc w:val="center"/>
              <w:rPr>
                <w:rFonts w:hint="eastAsia"/>
                <w:color w:val="auto"/>
                <w:sz w:val="21"/>
                <w:szCs w:val="24"/>
                <w:highlight w:val="none"/>
              </w:rPr>
            </w:pPr>
            <w:r>
              <w:rPr>
                <w:rFonts w:hint="eastAsia"/>
                <w:color w:val="auto"/>
                <w:sz w:val="21"/>
                <w:szCs w:val="24"/>
                <w:highlight w:val="none"/>
              </w:rPr>
              <w:t>数量</w:t>
            </w:r>
          </w:p>
        </w:tc>
        <w:tc>
          <w:tcPr>
            <w:tcW w:w="2604" w:type="dxa"/>
            <w:vAlign w:val="center"/>
          </w:tcPr>
          <w:p>
            <w:pPr>
              <w:jc w:val="center"/>
              <w:rPr>
                <w:rFonts w:hint="eastAsia" w:ascii="宋体" w:hAnsi="宋体"/>
                <w:color w:val="auto"/>
                <w:sz w:val="21"/>
                <w:szCs w:val="21"/>
                <w:highlight w:val="none"/>
              </w:rPr>
            </w:pPr>
            <w:r>
              <w:rPr>
                <w:rFonts w:hint="eastAsia"/>
                <w:color w:val="auto"/>
                <w:sz w:val="21"/>
                <w:szCs w:val="21"/>
                <w:highlight w:val="none"/>
              </w:rPr>
              <w:t>所提供的</w:t>
            </w:r>
            <w:r>
              <w:rPr>
                <w:rFonts w:hint="eastAsia" w:hAnsi="宋体"/>
                <w:color w:val="auto"/>
                <w:sz w:val="21"/>
                <w:szCs w:val="21"/>
                <w:highlight w:val="none"/>
              </w:rPr>
              <w:t>服务内容及要求</w:t>
            </w:r>
          </w:p>
        </w:tc>
        <w:tc>
          <w:tcPr>
            <w:tcW w:w="1063" w:type="dxa"/>
            <w:vMerge w:val="continue"/>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554" w:type="dxa"/>
            <w:vAlign w:val="center"/>
          </w:tcPr>
          <w:p>
            <w:pPr>
              <w:pStyle w:val="11"/>
              <w:jc w:val="center"/>
              <w:rPr>
                <w:color w:val="auto"/>
                <w:spacing w:val="-20"/>
                <w:sz w:val="21"/>
                <w:szCs w:val="21"/>
                <w:highlight w:val="none"/>
              </w:rPr>
            </w:pPr>
            <w:r>
              <w:rPr>
                <w:rFonts w:hint="eastAsia"/>
                <w:color w:val="auto"/>
                <w:spacing w:val="-20"/>
                <w:sz w:val="21"/>
                <w:szCs w:val="21"/>
                <w:highlight w:val="none"/>
              </w:rPr>
              <w:t>1</w:t>
            </w:r>
          </w:p>
        </w:tc>
        <w:tc>
          <w:tcPr>
            <w:tcW w:w="1135" w:type="dxa"/>
            <w:vAlign w:val="center"/>
          </w:tcPr>
          <w:p>
            <w:pPr>
              <w:pStyle w:val="11"/>
              <w:spacing w:line="600" w:lineRule="exact"/>
              <w:jc w:val="center"/>
              <w:rPr>
                <w:rFonts w:hAnsi="宋体"/>
                <w:color w:val="auto"/>
                <w:sz w:val="21"/>
                <w:szCs w:val="21"/>
                <w:highlight w:val="none"/>
              </w:rPr>
            </w:pPr>
          </w:p>
        </w:tc>
        <w:tc>
          <w:tcPr>
            <w:tcW w:w="686" w:type="dxa"/>
            <w:vAlign w:val="center"/>
          </w:tcPr>
          <w:p>
            <w:pPr>
              <w:pStyle w:val="11"/>
              <w:spacing w:line="600" w:lineRule="exact"/>
              <w:jc w:val="center"/>
              <w:rPr>
                <w:rFonts w:hAnsi="宋体"/>
                <w:color w:val="auto"/>
                <w:sz w:val="21"/>
                <w:szCs w:val="21"/>
                <w:highlight w:val="none"/>
              </w:rPr>
            </w:pPr>
          </w:p>
        </w:tc>
        <w:tc>
          <w:tcPr>
            <w:tcW w:w="2009" w:type="dxa"/>
            <w:vAlign w:val="center"/>
          </w:tcPr>
          <w:p>
            <w:pPr>
              <w:pStyle w:val="11"/>
              <w:spacing w:line="600" w:lineRule="exact"/>
              <w:jc w:val="center"/>
              <w:rPr>
                <w:rFonts w:hAnsi="宋体"/>
                <w:color w:val="auto"/>
                <w:sz w:val="21"/>
                <w:szCs w:val="21"/>
                <w:highlight w:val="none"/>
              </w:rPr>
            </w:pPr>
          </w:p>
        </w:tc>
        <w:tc>
          <w:tcPr>
            <w:tcW w:w="1164" w:type="dxa"/>
            <w:vAlign w:val="center"/>
          </w:tcPr>
          <w:p>
            <w:pPr>
              <w:pStyle w:val="11"/>
              <w:spacing w:line="600" w:lineRule="exact"/>
              <w:jc w:val="center"/>
              <w:rPr>
                <w:rFonts w:hAnsi="宋体"/>
                <w:color w:val="auto"/>
                <w:sz w:val="21"/>
                <w:szCs w:val="21"/>
                <w:highlight w:val="none"/>
              </w:rPr>
            </w:pPr>
          </w:p>
        </w:tc>
        <w:tc>
          <w:tcPr>
            <w:tcW w:w="805" w:type="dxa"/>
            <w:vAlign w:val="center"/>
          </w:tcPr>
          <w:p>
            <w:pPr>
              <w:pStyle w:val="11"/>
              <w:spacing w:line="600" w:lineRule="exact"/>
              <w:jc w:val="center"/>
              <w:rPr>
                <w:rFonts w:hAnsi="宋体"/>
                <w:color w:val="auto"/>
                <w:sz w:val="21"/>
                <w:szCs w:val="21"/>
                <w:highlight w:val="none"/>
              </w:rPr>
            </w:pPr>
          </w:p>
        </w:tc>
        <w:tc>
          <w:tcPr>
            <w:tcW w:w="2604" w:type="dxa"/>
            <w:vAlign w:val="center"/>
          </w:tcPr>
          <w:p>
            <w:pPr>
              <w:pStyle w:val="11"/>
              <w:spacing w:line="600" w:lineRule="exact"/>
              <w:jc w:val="center"/>
              <w:rPr>
                <w:rFonts w:hAnsi="宋体"/>
                <w:color w:val="auto"/>
                <w:sz w:val="21"/>
                <w:szCs w:val="21"/>
                <w:highlight w:val="none"/>
              </w:rPr>
            </w:pPr>
          </w:p>
        </w:tc>
        <w:tc>
          <w:tcPr>
            <w:tcW w:w="1063" w:type="dxa"/>
            <w:vAlign w:val="center"/>
          </w:tcPr>
          <w:p>
            <w:pPr>
              <w:pStyle w:val="11"/>
              <w:spacing w:line="600" w:lineRule="exact"/>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554" w:type="dxa"/>
            <w:vAlign w:val="center"/>
          </w:tcPr>
          <w:p>
            <w:pPr>
              <w:pStyle w:val="11"/>
              <w:jc w:val="center"/>
              <w:rPr>
                <w:color w:val="auto"/>
                <w:spacing w:val="-20"/>
                <w:sz w:val="21"/>
                <w:szCs w:val="21"/>
                <w:highlight w:val="none"/>
              </w:rPr>
            </w:pPr>
            <w:r>
              <w:rPr>
                <w:rFonts w:hint="eastAsia"/>
                <w:color w:val="auto"/>
                <w:spacing w:val="-20"/>
                <w:sz w:val="21"/>
                <w:szCs w:val="21"/>
                <w:highlight w:val="none"/>
              </w:rPr>
              <w:t>2</w:t>
            </w:r>
          </w:p>
        </w:tc>
        <w:tc>
          <w:tcPr>
            <w:tcW w:w="1135" w:type="dxa"/>
            <w:vAlign w:val="center"/>
          </w:tcPr>
          <w:p>
            <w:pPr>
              <w:pStyle w:val="11"/>
              <w:spacing w:line="600" w:lineRule="exact"/>
              <w:jc w:val="center"/>
              <w:rPr>
                <w:rFonts w:hAnsi="宋体"/>
                <w:color w:val="auto"/>
                <w:sz w:val="21"/>
                <w:szCs w:val="21"/>
                <w:highlight w:val="none"/>
              </w:rPr>
            </w:pPr>
          </w:p>
        </w:tc>
        <w:tc>
          <w:tcPr>
            <w:tcW w:w="686" w:type="dxa"/>
            <w:vAlign w:val="center"/>
          </w:tcPr>
          <w:p>
            <w:pPr>
              <w:pStyle w:val="11"/>
              <w:spacing w:line="600" w:lineRule="exact"/>
              <w:jc w:val="center"/>
              <w:rPr>
                <w:rFonts w:hAnsi="宋体"/>
                <w:color w:val="auto"/>
                <w:sz w:val="21"/>
                <w:szCs w:val="21"/>
                <w:highlight w:val="none"/>
              </w:rPr>
            </w:pPr>
          </w:p>
        </w:tc>
        <w:tc>
          <w:tcPr>
            <w:tcW w:w="2009" w:type="dxa"/>
            <w:vAlign w:val="center"/>
          </w:tcPr>
          <w:p>
            <w:pPr>
              <w:pStyle w:val="11"/>
              <w:spacing w:line="600" w:lineRule="exact"/>
              <w:jc w:val="center"/>
              <w:rPr>
                <w:rFonts w:hAnsi="宋体"/>
                <w:color w:val="auto"/>
                <w:sz w:val="21"/>
                <w:szCs w:val="21"/>
                <w:highlight w:val="none"/>
              </w:rPr>
            </w:pPr>
          </w:p>
        </w:tc>
        <w:tc>
          <w:tcPr>
            <w:tcW w:w="1164" w:type="dxa"/>
            <w:vAlign w:val="center"/>
          </w:tcPr>
          <w:p>
            <w:pPr>
              <w:pStyle w:val="11"/>
              <w:spacing w:line="600" w:lineRule="exact"/>
              <w:jc w:val="center"/>
              <w:rPr>
                <w:rFonts w:hAnsi="宋体"/>
                <w:color w:val="auto"/>
                <w:sz w:val="21"/>
                <w:szCs w:val="21"/>
                <w:highlight w:val="none"/>
              </w:rPr>
            </w:pPr>
          </w:p>
        </w:tc>
        <w:tc>
          <w:tcPr>
            <w:tcW w:w="805" w:type="dxa"/>
            <w:vAlign w:val="center"/>
          </w:tcPr>
          <w:p>
            <w:pPr>
              <w:pStyle w:val="11"/>
              <w:spacing w:line="600" w:lineRule="exact"/>
              <w:jc w:val="center"/>
              <w:rPr>
                <w:rFonts w:hAnsi="宋体"/>
                <w:color w:val="auto"/>
                <w:sz w:val="21"/>
                <w:szCs w:val="21"/>
                <w:highlight w:val="none"/>
              </w:rPr>
            </w:pPr>
          </w:p>
        </w:tc>
        <w:tc>
          <w:tcPr>
            <w:tcW w:w="2604" w:type="dxa"/>
            <w:vAlign w:val="center"/>
          </w:tcPr>
          <w:p>
            <w:pPr>
              <w:pStyle w:val="11"/>
              <w:spacing w:line="600" w:lineRule="exact"/>
              <w:jc w:val="center"/>
              <w:rPr>
                <w:rFonts w:hAnsi="宋体"/>
                <w:color w:val="auto"/>
                <w:sz w:val="21"/>
                <w:szCs w:val="21"/>
                <w:highlight w:val="none"/>
              </w:rPr>
            </w:pPr>
          </w:p>
        </w:tc>
        <w:tc>
          <w:tcPr>
            <w:tcW w:w="1063" w:type="dxa"/>
            <w:vAlign w:val="center"/>
          </w:tcPr>
          <w:p>
            <w:pPr>
              <w:pStyle w:val="11"/>
              <w:spacing w:line="600" w:lineRule="exact"/>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554" w:type="dxa"/>
            <w:vAlign w:val="center"/>
          </w:tcPr>
          <w:p>
            <w:pPr>
              <w:pStyle w:val="11"/>
              <w:jc w:val="center"/>
              <w:rPr>
                <w:color w:val="auto"/>
                <w:spacing w:val="-20"/>
                <w:sz w:val="21"/>
                <w:szCs w:val="21"/>
                <w:highlight w:val="none"/>
              </w:rPr>
            </w:pPr>
            <w:r>
              <w:rPr>
                <w:color w:val="auto"/>
                <w:spacing w:val="-20"/>
                <w:sz w:val="21"/>
                <w:szCs w:val="21"/>
                <w:highlight w:val="none"/>
              </w:rPr>
              <w:t>...</w:t>
            </w:r>
          </w:p>
        </w:tc>
        <w:tc>
          <w:tcPr>
            <w:tcW w:w="1135" w:type="dxa"/>
            <w:vAlign w:val="center"/>
          </w:tcPr>
          <w:p>
            <w:pPr>
              <w:pStyle w:val="11"/>
              <w:spacing w:line="600" w:lineRule="exact"/>
              <w:jc w:val="center"/>
              <w:rPr>
                <w:rFonts w:hAnsi="宋体"/>
                <w:color w:val="auto"/>
                <w:sz w:val="21"/>
                <w:szCs w:val="21"/>
                <w:highlight w:val="none"/>
              </w:rPr>
            </w:pPr>
          </w:p>
        </w:tc>
        <w:tc>
          <w:tcPr>
            <w:tcW w:w="686" w:type="dxa"/>
            <w:vAlign w:val="center"/>
          </w:tcPr>
          <w:p>
            <w:pPr>
              <w:pStyle w:val="11"/>
              <w:spacing w:line="600" w:lineRule="exact"/>
              <w:jc w:val="center"/>
              <w:rPr>
                <w:rFonts w:hAnsi="宋体"/>
                <w:color w:val="auto"/>
                <w:sz w:val="21"/>
                <w:szCs w:val="21"/>
                <w:highlight w:val="none"/>
              </w:rPr>
            </w:pPr>
          </w:p>
        </w:tc>
        <w:tc>
          <w:tcPr>
            <w:tcW w:w="2009" w:type="dxa"/>
            <w:vAlign w:val="center"/>
          </w:tcPr>
          <w:p>
            <w:pPr>
              <w:pStyle w:val="11"/>
              <w:spacing w:line="600" w:lineRule="exact"/>
              <w:jc w:val="center"/>
              <w:rPr>
                <w:rFonts w:hAnsi="宋体"/>
                <w:color w:val="auto"/>
                <w:sz w:val="21"/>
                <w:szCs w:val="21"/>
                <w:highlight w:val="none"/>
              </w:rPr>
            </w:pPr>
          </w:p>
        </w:tc>
        <w:tc>
          <w:tcPr>
            <w:tcW w:w="1164" w:type="dxa"/>
            <w:vAlign w:val="center"/>
          </w:tcPr>
          <w:p>
            <w:pPr>
              <w:pStyle w:val="11"/>
              <w:spacing w:line="600" w:lineRule="exact"/>
              <w:jc w:val="center"/>
              <w:rPr>
                <w:rFonts w:hAnsi="宋体"/>
                <w:color w:val="auto"/>
                <w:sz w:val="21"/>
                <w:szCs w:val="21"/>
                <w:highlight w:val="none"/>
              </w:rPr>
            </w:pPr>
          </w:p>
        </w:tc>
        <w:tc>
          <w:tcPr>
            <w:tcW w:w="805" w:type="dxa"/>
            <w:vAlign w:val="center"/>
          </w:tcPr>
          <w:p>
            <w:pPr>
              <w:pStyle w:val="11"/>
              <w:spacing w:line="600" w:lineRule="exact"/>
              <w:jc w:val="center"/>
              <w:rPr>
                <w:rFonts w:hAnsi="宋体"/>
                <w:color w:val="auto"/>
                <w:sz w:val="21"/>
                <w:szCs w:val="21"/>
                <w:highlight w:val="none"/>
              </w:rPr>
            </w:pPr>
          </w:p>
        </w:tc>
        <w:tc>
          <w:tcPr>
            <w:tcW w:w="2604" w:type="dxa"/>
            <w:vAlign w:val="center"/>
          </w:tcPr>
          <w:p>
            <w:pPr>
              <w:pStyle w:val="11"/>
              <w:spacing w:line="600" w:lineRule="exact"/>
              <w:jc w:val="center"/>
              <w:rPr>
                <w:rFonts w:hAnsi="宋体"/>
                <w:color w:val="auto"/>
                <w:sz w:val="21"/>
                <w:szCs w:val="21"/>
                <w:highlight w:val="none"/>
              </w:rPr>
            </w:pPr>
          </w:p>
        </w:tc>
        <w:tc>
          <w:tcPr>
            <w:tcW w:w="1063" w:type="dxa"/>
            <w:vAlign w:val="center"/>
          </w:tcPr>
          <w:p>
            <w:pPr>
              <w:pStyle w:val="11"/>
              <w:spacing w:line="600" w:lineRule="exact"/>
              <w:jc w:val="center"/>
              <w:rPr>
                <w:rFonts w:hAnsi="宋体"/>
                <w:color w:val="auto"/>
                <w:sz w:val="21"/>
                <w:szCs w:val="21"/>
                <w:highlight w:val="none"/>
              </w:rPr>
            </w:pPr>
          </w:p>
        </w:tc>
      </w:tr>
    </w:tbl>
    <w:p>
      <w:pPr>
        <w:pStyle w:val="11"/>
        <w:rPr>
          <w:rFonts w:ascii="新宋体" w:hAnsi="新宋体" w:eastAsia="新宋体" w:cs="新宋体"/>
          <w:color w:val="auto"/>
          <w:highlight w:val="none"/>
        </w:rPr>
      </w:pPr>
    </w:p>
    <w:p>
      <w:pPr>
        <w:pStyle w:val="11"/>
        <w:rPr>
          <w:rFonts w:ascii="新宋体" w:hAnsi="新宋体" w:eastAsia="新宋体" w:cs="新宋体"/>
          <w:color w:val="auto"/>
          <w:highlight w:val="none"/>
        </w:rPr>
      </w:pPr>
    </w:p>
    <w:p>
      <w:pPr>
        <w:pStyle w:val="11"/>
        <w:rPr>
          <w:rFonts w:ascii="新宋体" w:hAnsi="新宋体" w:eastAsia="新宋体" w:cs="新宋体"/>
          <w:color w:val="auto"/>
          <w:highlight w:val="none"/>
        </w:rPr>
      </w:pPr>
    </w:p>
    <w:p>
      <w:pPr>
        <w:pStyle w:val="11"/>
        <w:rPr>
          <w:rFonts w:ascii="新宋体" w:hAnsi="新宋体" w:eastAsia="新宋体" w:cs="新宋体"/>
          <w:color w:val="auto"/>
          <w:highlight w:val="none"/>
        </w:rPr>
      </w:pPr>
    </w:p>
    <w:p>
      <w:pPr>
        <w:pStyle w:val="11"/>
        <w:rPr>
          <w:rFonts w:ascii="新宋体" w:hAnsi="新宋体" w:eastAsia="新宋体" w:cs="新宋体"/>
          <w:color w:val="auto"/>
          <w:highlight w:val="none"/>
        </w:rPr>
      </w:pPr>
    </w:p>
    <w:p>
      <w:pPr>
        <w:pStyle w:val="11"/>
        <w:rPr>
          <w:rFonts w:ascii="新宋体" w:hAnsi="新宋体" w:eastAsia="新宋体" w:cs="新宋体"/>
          <w:color w:val="auto"/>
          <w:highlight w:val="none"/>
        </w:rPr>
      </w:pPr>
    </w:p>
    <w:p>
      <w:pPr>
        <w:pStyle w:val="11"/>
        <w:rPr>
          <w:rFonts w:ascii="新宋体" w:hAnsi="新宋体" w:eastAsia="新宋体" w:cs="新宋体"/>
          <w:color w:val="auto"/>
          <w:highlight w:val="none"/>
        </w:rPr>
      </w:pPr>
    </w:p>
    <w:p>
      <w:pPr>
        <w:pStyle w:val="11"/>
        <w:spacing w:line="600" w:lineRule="exact"/>
        <w:ind w:firstLine="105" w:firstLineChars="50"/>
        <w:rPr>
          <w:rFonts w:ascii="新宋体" w:hAnsi="新宋体" w:eastAsia="新宋体" w:cs="新宋体"/>
          <w:color w:val="auto"/>
          <w:highlight w:val="none"/>
          <w:u w:val="single"/>
        </w:rPr>
      </w:pPr>
      <w:r>
        <w:rPr>
          <w:rFonts w:hint="eastAsia" w:ascii="新宋体" w:hAnsi="新宋体" w:eastAsia="新宋体" w:cs="新宋体"/>
          <w:color w:val="auto"/>
          <w:highlight w:val="none"/>
        </w:rPr>
        <w:t>磋商供应商（盖单位公章）：</w:t>
      </w:r>
      <w:r>
        <w:rPr>
          <w:rFonts w:hint="eastAsia" w:ascii="新宋体" w:hAnsi="新宋体" w:eastAsia="新宋体" w:cs="新宋体"/>
          <w:color w:val="auto"/>
          <w:highlight w:val="none"/>
          <w:u w:val="single"/>
        </w:rPr>
        <w:t xml:space="preserve">                                  </w:t>
      </w:r>
    </w:p>
    <w:p>
      <w:pPr>
        <w:pStyle w:val="11"/>
        <w:spacing w:line="600" w:lineRule="exact"/>
        <w:ind w:firstLine="105" w:firstLineChars="50"/>
        <w:rPr>
          <w:rFonts w:ascii="新宋体" w:hAnsi="新宋体" w:eastAsia="新宋体" w:cs="新宋体"/>
          <w:color w:val="auto"/>
          <w:highlight w:val="none"/>
          <w:u w:val="single"/>
        </w:rPr>
      </w:pPr>
    </w:p>
    <w:p>
      <w:pPr>
        <w:pStyle w:val="11"/>
        <w:spacing w:line="600" w:lineRule="exact"/>
        <w:ind w:firstLine="105" w:firstLineChars="50"/>
        <w:rPr>
          <w:rFonts w:ascii="新宋体" w:hAnsi="新宋体" w:eastAsia="新宋体" w:cs="新宋体"/>
          <w:color w:val="auto"/>
          <w:highlight w:val="none"/>
          <w:u w:val="single"/>
        </w:rPr>
      </w:pPr>
      <w:r>
        <w:rPr>
          <w:rFonts w:hint="eastAsia" w:ascii="新宋体" w:hAnsi="新宋体" w:eastAsia="新宋体" w:cs="新宋体"/>
          <w:color w:val="auto"/>
          <w:highlight w:val="none"/>
        </w:rPr>
        <w:t>法定代表人或其委托代理人（签字或盖章）：</w:t>
      </w:r>
      <w:r>
        <w:rPr>
          <w:rFonts w:hint="eastAsia" w:ascii="新宋体" w:hAnsi="新宋体" w:eastAsia="新宋体" w:cs="新宋体"/>
          <w:color w:val="auto"/>
          <w:highlight w:val="none"/>
          <w:u w:val="single"/>
        </w:rPr>
        <w:t xml:space="preserve">                     </w:t>
      </w:r>
    </w:p>
    <w:p>
      <w:pPr>
        <w:sectPr>
          <w:pgSz w:w="11906" w:h="16838"/>
          <w:pgMar w:top="1020" w:right="1049" w:bottom="1440" w:left="998" w:header="851" w:footer="992" w:gutter="0"/>
          <w:pgNumType w:fmt="decimal"/>
          <w:cols w:space="720" w:num="1"/>
          <w:docGrid w:type="lines" w:linePitch="312" w:charSpace="0"/>
        </w:sectPr>
      </w:pPr>
    </w:p>
    <w:p>
      <w:pPr>
        <w:pStyle w:val="11"/>
        <w:spacing w:line="500" w:lineRule="exact"/>
        <w:jc w:val="center"/>
        <w:rPr>
          <w:rFonts w:hint="eastAsia" w:ascii="Times New Roman" w:hAnsi="Times New Roman"/>
          <w:b/>
          <w:bCs/>
          <w:color w:val="auto"/>
          <w:sz w:val="30"/>
          <w:szCs w:val="30"/>
          <w:highlight w:val="none"/>
        </w:rPr>
      </w:pPr>
      <w:r>
        <w:rPr>
          <w:rFonts w:hint="eastAsia" w:ascii="Times New Roman" w:hAnsi="Times New Roman"/>
          <w:b/>
          <w:bCs/>
          <w:color w:val="auto"/>
          <w:sz w:val="30"/>
          <w:szCs w:val="30"/>
          <w:highlight w:val="none"/>
        </w:rPr>
        <w:t>投标声明书（格式）</w:t>
      </w:r>
    </w:p>
    <w:p>
      <w:pPr>
        <w:rPr>
          <w:rFonts w:hint="eastAsia"/>
          <w:color w:val="auto"/>
          <w:highlight w:val="none"/>
        </w:rPr>
      </w:pPr>
    </w:p>
    <w:p>
      <w:pPr>
        <w:pStyle w:val="11"/>
        <w:spacing w:line="500" w:lineRule="exact"/>
        <w:jc w:val="both"/>
        <w:rPr>
          <w:rFonts w:hint="eastAsia" w:ascii="Times New Roman" w:hAnsi="Times New Roman"/>
          <w:b w:val="0"/>
          <w:bCs w:val="0"/>
          <w:color w:val="auto"/>
          <w:sz w:val="21"/>
          <w:szCs w:val="21"/>
          <w:highlight w:val="none"/>
          <w:u w:val="none"/>
          <w:lang w:val="en-US"/>
        </w:rPr>
      </w:pPr>
      <w:r>
        <w:rPr>
          <w:rFonts w:hint="eastAsia" w:ascii="Times New Roman" w:hAnsi="Times New Roman"/>
          <w:b w:val="0"/>
          <w:bCs w:val="0"/>
          <w:color w:val="auto"/>
          <w:sz w:val="21"/>
          <w:szCs w:val="21"/>
          <w:highlight w:val="none"/>
        </w:rPr>
        <w:t>致</w:t>
      </w:r>
      <w:r>
        <w:rPr>
          <w:rFonts w:hint="eastAsia" w:ascii="Times New Roman" w:hAnsi="Times New Roman"/>
          <w:b w:val="0"/>
          <w:bCs w:val="0"/>
          <w:color w:val="auto"/>
          <w:sz w:val="21"/>
          <w:szCs w:val="21"/>
          <w:highlight w:val="none"/>
          <w:lang w:eastAsia="zh-CN"/>
        </w:rPr>
        <w:t>：</w:t>
      </w:r>
      <w:r>
        <w:rPr>
          <w:rFonts w:hint="eastAsia" w:ascii="Times New Roman" w:hAnsi="Times New Roman"/>
          <w:b w:val="0"/>
          <w:bCs w:val="0"/>
          <w:color w:val="auto"/>
          <w:sz w:val="21"/>
          <w:szCs w:val="21"/>
          <w:highlight w:val="none"/>
          <w:u w:val="single"/>
          <w:lang w:val="en-US" w:eastAsia="zh-CN"/>
        </w:rPr>
        <w:t xml:space="preserve">                   </w:t>
      </w:r>
      <w:r>
        <w:rPr>
          <w:rFonts w:hint="eastAsia" w:ascii="Times New Roman" w:hAnsi="Times New Roman"/>
          <w:b w:val="0"/>
          <w:bCs w:val="0"/>
          <w:color w:val="auto"/>
          <w:sz w:val="21"/>
          <w:szCs w:val="21"/>
          <w:highlight w:val="none"/>
          <w:u w:val="none"/>
          <w:lang w:val="en-US" w:eastAsia="zh-CN"/>
        </w:rPr>
        <w:t>（采购单位名称）</w:t>
      </w:r>
    </w:p>
    <w:p>
      <w:pPr>
        <w:pStyle w:val="11"/>
        <w:spacing w:line="500" w:lineRule="exact"/>
        <w:ind w:firstLine="420" w:firstLineChars="200"/>
        <w:jc w:val="both"/>
        <w:rPr>
          <w:rFonts w:hint="eastAsia" w:ascii="Times New Roman" w:hAnsi="Times New Roman"/>
          <w:b w:val="0"/>
          <w:bCs w:val="0"/>
          <w:color w:val="auto"/>
          <w:sz w:val="21"/>
          <w:szCs w:val="21"/>
          <w:highlight w:val="none"/>
          <w:u w:val="single"/>
          <w:lang w:val="en-US" w:eastAsia="zh-CN"/>
        </w:rPr>
      </w:pPr>
      <w:r>
        <w:rPr>
          <w:rFonts w:hint="eastAsia" w:ascii="Times New Roman" w:hAnsi="Times New Roman"/>
          <w:b w:val="0"/>
          <w:bCs w:val="0"/>
          <w:color w:val="auto"/>
          <w:sz w:val="21"/>
          <w:szCs w:val="21"/>
          <w:highlight w:val="none"/>
          <w:u w:val="single"/>
          <w:lang w:val="en-US" w:eastAsia="zh-CN"/>
        </w:rPr>
        <w:t xml:space="preserve">                       </w:t>
      </w:r>
      <w:r>
        <w:rPr>
          <w:rFonts w:hint="eastAsia" w:ascii="Times New Roman" w:hAnsi="Times New Roman"/>
          <w:b w:val="0"/>
          <w:bCs w:val="0"/>
          <w:color w:val="auto"/>
          <w:sz w:val="21"/>
          <w:szCs w:val="21"/>
          <w:highlight w:val="none"/>
          <w:u w:val="none"/>
          <w:lang w:val="en-US" w:eastAsia="zh-CN"/>
        </w:rPr>
        <w:t xml:space="preserve"> </w:t>
      </w:r>
      <w:r>
        <w:rPr>
          <w:rFonts w:hint="eastAsia" w:ascii="Times New Roman" w:hAnsi="Times New Roman"/>
          <w:b w:val="0"/>
          <w:bCs w:val="0"/>
          <w:color w:val="auto"/>
          <w:sz w:val="21"/>
          <w:szCs w:val="21"/>
          <w:highlight w:val="none"/>
          <w:u w:val="none"/>
        </w:rPr>
        <w:t>(供应商名称)</w:t>
      </w:r>
      <w:r>
        <w:rPr>
          <w:rFonts w:hint="eastAsia" w:ascii="Times New Roman" w:hAnsi="Times New Roman"/>
          <w:b w:val="0"/>
          <w:bCs w:val="0"/>
          <w:color w:val="auto"/>
          <w:sz w:val="21"/>
          <w:szCs w:val="21"/>
          <w:highlight w:val="none"/>
        </w:rPr>
        <w:t>系中华人民共和国合法企业，经营地址</w:t>
      </w:r>
      <w:r>
        <w:rPr>
          <w:rFonts w:hint="eastAsia" w:ascii="Times New Roman" w:hAnsi="Times New Roman"/>
          <w:b w:val="0"/>
          <w:bCs w:val="0"/>
          <w:color w:val="auto"/>
          <w:sz w:val="21"/>
          <w:szCs w:val="21"/>
          <w:highlight w:val="none"/>
          <w:u w:val="single"/>
          <w:lang w:val="en-US" w:eastAsia="zh-CN"/>
        </w:rPr>
        <w:t xml:space="preserve">                       。</w:t>
      </w:r>
    </w:p>
    <w:p>
      <w:pPr>
        <w:pStyle w:val="11"/>
        <w:spacing w:line="500" w:lineRule="exact"/>
        <w:ind w:firstLine="420" w:firstLineChars="200"/>
        <w:jc w:val="both"/>
        <w:rPr>
          <w:rFonts w:hint="eastAsia" w:ascii="Times New Roman" w:hAnsi="Times New Roman"/>
          <w:b w:val="0"/>
          <w:bCs w:val="0"/>
          <w:color w:val="auto"/>
          <w:sz w:val="21"/>
          <w:szCs w:val="21"/>
          <w:highlight w:val="none"/>
        </w:rPr>
      </w:pPr>
      <w:r>
        <w:rPr>
          <w:rFonts w:hint="eastAsia" w:ascii="Times New Roman" w:hAnsi="Times New Roman"/>
          <w:b w:val="0"/>
          <w:bCs w:val="0"/>
          <w:color w:val="auto"/>
          <w:sz w:val="21"/>
          <w:szCs w:val="21"/>
          <w:highlight w:val="none"/>
          <w:lang w:eastAsia="zh-CN"/>
        </w:rPr>
        <w:t>我</w:t>
      </w:r>
      <w:r>
        <w:rPr>
          <w:rFonts w:hint="eastAsia" w:ascii="Times New Roman" w:hAnsi="Times New Roman"/>
          <w:b w:val="0"/>
          <w:bCs w:val="0"/>
          <w:color w:val="auto"/>
          <w:sz w:val="21"/>
          <w:szCs w:val="21"/>
          <w:highlight w:val="none"/>
          <w:u w:val="single"/>
          <w:lang w:val="en-US" w:eastAsia="zh-CN"/>
        </w:rPr>
        <w:t xml:space="preserve">             </w:t>
      </w:r>
      <w:r>
        <w:rPr>
          <w:rFonts w:hint="eastAsia" w:ascii="Times New Roman" w:hAnsi="Times New Roman"/>
          <w:b w:val="0"/>
          <w:bCs w:val="0"/>
          <w:color w:val="auto"/>
          <w:sz w:val="21"/>
          <w:szCs w:val="21"/>
          <w:highlight w:val="none"/>
          <w:lang w:val="en-US" w:eastAsia="zh-CN"/>
        </w:rPr>
        <w:t xml:space="preserve"> </w:t>
      </w:r>
      <w:r>
        <w:rPr>
          <w:rFonts w:hint="eastAsia" w:ascii="Times New Roman" w:hAnsi="Times New Roman"/>
          <w:b w:val="0"/>
          <w:bCs w:val="0"/>
          <w:color w:val="auto"/>
          <w:sz w:val="21"/>
          <w:szCs w:val="21"/>
          <w:highlight w:val="none"/>
        </w:rPr>
        <w:t>(姓名) 系</w:t>
      </w:r>
      <w:r>
        <w:rPr>
          <w:rFonts w:hint="eastAsia" w:ascii="Times New Roman" w:hAnsi="Times New Roman"/>
          <w:b w:val="0"/>
          <w:bCs w:val="0"/>
          <w:color w:val="auto"/>
          <w:sz w:val="21"/>
          <w:szCs w:val="21"/>
          <w:highlight w:val="none"/>
          <w:u w:val="single"/>
          <w:lang w:val="en-US" w:eastAsia="zh-CN"/>
        </w:rPr>
        <w:t xml:space="preserve">           </w:t>
      </w:r>
      <w:r>
        <w:rPr>
          <w:rFonts w:hint="eastAsia" w:ascii="Times New Roman" w:hAnsi="Times New Roman"/>
          <w:b w:val="0"/>
          <w:bCs w:val="0"/>
          <w:color w:val="auto"/>
          <w:sz w:val="21"/>
          <w:szCs w:val="21"/>
          <w:highlight w:val="none"/>
        </w:rPr>
        <w:t>(供应商名称)的法定代表人，我方愿意参加贵方组织的</w:t>
      </w:r>
      <w:r>
        <w:rPr>
          <w:rFonts w:hint="eastAsia" w:ascii="Times New Roman" w:hAnsi="Times New Roman"/>
          <w:b w:val="0"/>
          <w:bCs w:val="0"/>
          <w:color w:val="auto"/>
          <w:sz w:val="21"/>
          <w:szCs w:val="21"/>
          <w:highlight w:val="none"/>
          <w:u w:val="single"/>
          <w:lang w:val="en-US" w:eastAsia="zh-CN"/>
        </w:rPr>
        <w:t xml:space="preserve">          </w:t>
      </w:r>
    </w:p>
    <w:p>
      <w:pPr>
        <w:pStyle w:val="11"/>
        <w:spacing w:line="500" w:lineRule="exact"/>
        <w:jc w:val="both"/>
        <w:rPr>
          <w:rFonts w:hint="eastAsia" w:ascii="Times New Roman" w:hAnsi="Times New Roman"/>
          <w:b w:val="0"/>
          <w:bCs w:val="0"/>
          <w:color w:val="auto"/>
          <w:sz w:val="21"/>
          <w:szCs w:val="21"/>
          <w:highlight w:val="none"/>
        </w:rPr>
      </w:pPr>
      <w:r>
        <w:rPr>
          <w:rFonts w:hint="eastAsia" w:ascii="Times New Roman" w:hAnsi="Times New Roman"/>
          <w:b w:val="0"/>
          <w:bCs w:val="0"/>
          <w:color w:val="auto"/>
          <w:sz w:val="21"/>
          <w:szCs w:val="21"/>
          <w:highlight w:val="none"/>
        </w:rPr>
        <w:t>项目的投标，为便于贵方公正、择优地确定中标人及其投标产品和服务，我方就本次投标有关事项郑重声明如下:</w:t>
      </w:r>
    </w:p>
    <w:p>
      <w:pPr>
        <w:pStyle w:val="11"/>
        <w:numPr>
          <w:ilvl w:val="0"/>
          <w:numId w:val="5"/>
        </w:numPr>
        <w:spacing w:line="500" w:lineRule="exact"/>
        <w:ind w:firstLine="420" w:firstLineChars="200"/>
        <w:jc w:val="both"/>
        <w:rPr>
          <w:rFonts w:hint="eastAsia" w:ascii="Times New Roman" w:hAnsi="Times New Roman"/>
          <w:b w:val="0"/>
          <w:bCs w:val="0"/>
          <w:color w:val="auto"/>
          <w:sz w:val="21"/>
          <w:szCs w:val="21"/>
          <w:highlight w:val="none"/>
        </w:rPr>
      </w:pPr>
      <w:r>
        <w:rPr>
          <w:rFonts w:hint="eastAsia" w:ascii="Times New Roman" w:hAnsi="Times New Roman"/>
          <w:b w:val="0"/>
          <w:bCs w:val="0"/>
          <w:color w:val="auto"/>
          <w:sz w:val="21"/>
          <w:szCs w:val="21"/>
          <w:highlight w:val="none"/>
        </w:rPr>
        <w:t>我方向贵方提交的所有投标文件、资料都是准确的和真实的。</w:t>
      </w:r>
    </w:p>
    <w:p>
      <w:pPr>
        <w:pStyle w:val="11"/>
        <w:numPr>
          <w:ilvl w:val="0"/>
          <w:numId w:val="5"/>
        </w:numPr>
        <w:spacing w:line="500" w:lineRule="exact"/>
        <w:ind w:firstLine="420" w:firstLineChars="200"/>
        <w:jc w:val="both"/>
        <w:rPr>
          <w:rFonts w:hint="eastAsia" w:ascii="Times New Roman" w:hAnsi="Times New Roman"/>
          <w:b w:val="0"/>
          <w:bCs w:val="0"/>
          <w:color w:val="auto"/>
          <w:sz w:val="21"/>
          <w:szCs w:val="21"/>
          <w:highlight w:val="none"/>
        </w:rPr>
      </w:pPr>
      <w:r>
        <w:rPr>
          <w:rFonts w:hint="eastAsia" w:ascii="Times New Roman" w:hAnsi="Times New Roman"/>
          <w:b w:val="0"/>
          <w:bCs w:val="0"/>
          <w:color w:val="auto"/>
          <w:sz w:val="21"/>
          <w:szCs w:val="21"/>
          <w:highlight w:val="none"/>
        </w:rPr>
        <w:t>我方不是采购人的附属机构;也不是为本项目提供整体设计、规范编制或者项目管理、监理、检测等服务的供应商或其附属机构。</w:t>
      </w:r>
    </w:p>
    <w:p>
      <w:pPr>
        <w:pStyle w:val="11"/>
        <w:numPr>
          <w:ilvl w:val="0"/>
          <w:numId w:val="5"/>
        </w:numPr>
        <w:spacing w:line="500" w:lineRule="exact"/>
        <w:ind w:firstLine="420" w:firstLineChars="200"/>
        <w:jc w:val="both"/>
        <w:rPr>
          <w:rFonts w:hint="eastAsia" w:ascii="Times New Roman" w:hAnsi="Times New Roman"/>
          <w:b w:val="0"/>
          <w:bCs w:val="0"/>
          <w:color w:val="auto"/>
          <w:sz w:val="21"/>
          <w:szCs w:val="21"/>
          <w:highlight w:val="none"/>
        </w:rPr>
      </w:pPr>
      <w:r>
        <w:rPr>
          <w:rFonts w:hint="eastAsia" w:ascii="Times New Roman" w:hAnsi="Times New Roman"/>
          <w:b w:val="0"/>
          <w:bCs w:val="0"/>
          <w:color w:val="auto"/>
          <w:sz w:val="21"/>
          <w:szCs w:val="21"/>
          <w:highlight w:val="none"/>
        </w:rPr>
        <w:t>我方承诺在参加本政府采购项目活动前，没有被纳入政府部门或银行认定的失信名单，我方具有良好的商业信誉。</w:t>
      </w:r>
    </w:p>
    <w:p>
      <w:pPr>
        <w:pStyle w:val="11"/>
        <w:numPr>
          <w:ilvl w:val="0"/>
          <w:numId w:val="5"/>
        </w:numPr>
        <w:spacing w:line="500" w:lineRule="exact"/>
        <w:ind w:firstLine="420" w:firstLineChars="200"/>
        <w:jc w:val="both"/>
        <w:rPr>
          <w:rFonts w:hint="eastAsia" w:ascii="Times New Roman" w:hAnsi="Times New Roman"/>
          <w:b w:val="0"/>
          <w:bCs w:val="0"/>
          <w:color w:val="auto"/>
          <w:sz w:val="21"/>
          <w:szCs w:val="21"/>
          <w:highlight w:val="none"/>
        </w:rPr>
      </w:pPr>
      <w:r>
        <w:rPr>
          <w:rFonts w:hint="eastAsia" w:ascii="Times New Roman" w:hAnsi="Times New Roman"/>
          <w:b w:val="0"/>
          <w:bCs w:val="0"/>
          <w:color w:val="auto"/>
          <w:sz w:val="21"/>
          <w:szCs w:val="21"/>
          <w:highlight w:val="none"/>
        </w:rPr>
        <w:t>我方及本人承诺在参加本政府采购项目活动前三年内，在经营活动中没有重大违法记录及不良信用记录。重大违法记录是指供供应商因违法经营受到刑事处罚或者责令停产停业、吊销许可证或者执照、较大数额罚款等行政处罚。如我方提供的声明不实，则自愿承担《政府采购法》有关提供虚假材料的规定给予的处罚</w:t>
      </w:r>
      <w:r>
        <w:rPr>
          <w:rFonts w:hint="eastAsia" w:ascii="Times New Roman" w:hAnsi="Times New Roman"/>
          <w:b w:val="0"/>
          <w:bCs w:val="0"/>
          <w:color w:val="auto"/>
          <w:sz w:val="21"/>
          <w:szCs w:val="21"/>
          <w:highlight w:val="none"/>
          <w:lang w:eastAsia="zh-CN"/>
        </w:rPr>
        <w:t>。</w:t>
      </w:r>
    </w:p>
    <w:p>
      <w:pPr>
        <w:pStyle w:val="11"/>
        <w:numPr>
          <w:ilvl w:val="0"/>
          <w:numId w:val="5"/>
        </w:numPr>
        <w:spacing w:line="500" w:lineRule="exact"/>
        <w:ind w:firstLine="420" w:firstLineChars="200"/>
        <w:jc w:val="both"/>
        <w:rPr>
          <w:rFonts w:hint="eastAsia" w:ascii="Times New Roman" w:hAnsi="Times New Roman"/>
          <w:b w:val="0"/>
          <w:bCs w:val="0"/>
          <w:color w:val="auto"/>
          <w:sz w:val="21"/>
          <w:szCs w:val="21"/>
          <w:highlight w:val="none"/>
        </w:rPr>
      </w:pPr>
      <w:r>
        <w:rPr>
          <w:rFonts w:hint="eastAsia" w:ascii="Times New Roman" w:hAnsi="Times New Roman"/>
          <w:b w:val="0"/>
          <w:bCs w:val="0"/>
          <w:color w:val="auto"/>
          <w:sz w:val="21"/>
          <w:szCs w:val="21"/>
          <w:highlight w:val="none"/>
        </w:rPr>
        <w:t>我方承诺具有履行本项目合同所必需的设备和专业技术能力。</w:t>
      </w:r>
    </w:p>
    <w:p>
      <w:pPr>
        <w:pStyle w:val="11"/>
        <w:spacing w:line="500" w:lineRule="exact"/>
        <w:ind w:firstLine="420" w:firstLineChars="200"/>
        <w:jc w:val="both"/>
        <w:rPr>
          <w:rFonts w:hint="eastAsia" w:ascii="Times New Roman" w:hAnsi="Times New Roman"/>
          <w:b w:val="0"/>
          <w:bCs w:val="0"/>
          <w:color w:val="auto"/>
          <w:sz w:val="21"/>
          <w:szCs w:val="21"/>
          <w:highlight w:val="none"/>
        </w:rPr>
      </w:pPr>
      <w:r>
        <w:rPr>
          <w:rFonts w:hint="eastAsia" w:ascii="Times New Roman" w:hAnsi="Times New Roman"/>
          <w:b w:val="0"/>
          <w:bCs w:val="0"/>
          <w:color w:val="auto"/>
          <w:sz w:val="21"/>
          <w:szCs w:val="21"/>
          <w:highlight w:val="none"/>
        </w:rPr>
        <w:t>我方对以上声明负全部法律责任。如有虛假或隐瞒，我方愿意承担一切后果，并不再寻求任何旨在减轻或免除法律责任的辩解。</w:t>
      </w:r>
    </w:p>
    <w:p>
      <w:pPr>
        <w:pStyle w:val="11"/>
        <w:spacing w:line="500" w:lineRule="exact"/>
        <w:jc w:val="center"/>
        <w:rPr>
          <w:rFonts w:hint="eastAsia" w:ascii="Times New Roman" w:hAnsi="Times New Roman"/>
          <w:b w:val="0"/>
          <w:bCs w:val="0"/>
          <w:color w:val="auto"/>
          <w:sz w:val="21"/>
          <w:szCs w:val="21"/>
          <w:highlight w:val="none"/>
        </w:rPr>
      </w:pPr>
      <w:r>
        <w:rPr>
          <w:rFonts w:hint="eastAsia" w:ascii="Times New Roman" w:hAnsi="Times New Roman"/>
          <w:b w:val="0"/>
          <w:bCs w:val="0"/>
          <w:color w:val="auto"/>
          <w:sz w:val="21"/>
          <w:szCs w:val="21"/>
          <w:highlight w:val="none"/>
          <w:lang w:val="en-US" w:eastAsia="zh-CN"/>
        </w:rPr>
        <w:t xml:space="preserve">         </w:t>
      </w:r>
      <w:r>
        <w:rPr>
          <w:rFonts w:hint="eastAsia" w:ascii="Times New Roman" w:hAnsi="Times New Roman"/>
          <w:b w:val="0"/>
          <w:bCs w:val="0"/>
          <w:color w:val="auto"/>
          <w:sz w:val="21"/>
          <w:szCs w:val="21"/>
          <w:highlight w:val="none"/>
        </w:rPr>
        <w:t>法定代表人签字或盖章</w:t>
      </w:r>
      <w:r>
        <w:rPr>
          <w:rFonts w:hint="eastAsia" w:ascii="Times New Roman" w:hAnsi="Times New Roman"/>
          <w:b w:val="0"/>
          <w:bCs w:val="0"/>
          <w:color w:val="auto"/>
          <w:sz w:val="21"/>
          <w:szCs w:val="21"/>
          <w:highlight w:val="none"/>
          <w:lang w:eastAsia="zh-CN"/>
        </w:rPr>
        <w:t>：</w:t>
      </w:r>
      <w:r>
        <w:rPr>
          <w:rFonts w:hint="eastAsia" w:ascii="Times New Roman" w:hAnsi="Times New Roman"/>
          <w:b w:val="0"/>
          <w:bCs w:val="0"/>
          <w:color w:val="auto"/>
          <w:sz w:val="21"/>
          <w:szCs w:val="21"/>
          <w:highlight w:val="none"/>
          <w:u w:val="single"/>
          <w:lang w:val="en-US" w:eastAsia="zh-CN"/>
        </w:rPr>
        <w:t xml:space="preserve">                  </w:t>
      </w:r>
      <w:r>
        <w:rPr>
          <w:rFonts w:hint="eastAsia" w:ascii="Times New Roman" w:hAnsi="Times New Roman"/>
          <w:b w:val="0"/>
          <w:bCs w:val="0"/>
          <w:color w:val="auto"/>
          <w:sz w:val="21"/>
          <w:szCs w:val="21"/>
          <w:highlight w:val="none"/>
          <w:lang w:val="en-US" w:eastAsia="zh-CN"/>
        </w:rPr>
        <w:t xml:space="preserve"> </w:t>
      </w:r>
    </w:p>
    <w:p>
      <w:pPr>
        <w:pStyle w:val="11"/>
        <w:spacing w:line="500" w:lineRule="exact"/>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b w:val="0"/>
          <w:bCs w:val="0"/>
          <w:color w:val="auto"/>
          <w:sz w:val="21"/>
          <w:szCs w:val="21"/>
          <w:highlight w:val="none"/>
        </w:rPr>
        <w:t>供应商公章</w:t>
      </w:r>
      <w:r>
        <w:rPr>
          <w:rFonts w:hint="eastAsia" w:ascii="Times New Roman" w:hAnsi="Times New Roman"/>
          <w:b w:val="0"/>
          <w:bCs w:val="0"/>
          <w:color w:val="auto"/>
          <w:sz w:val="21"/>
          <w:szCs w:val="21"/>
          <w:highlight w:val="none"/>
          <w:lang w:eastAsia="zh-CN"/>
        </w:rPr>
        <w:t>：</w:t>
      </w:r>
      <w:r>
        <w:rPr>
          <w:rFonts w:hint="eastAsia" w:ascii="Times New Roman" w:hAnsi="Times New Roman"/>
          <w:b w:val="0"/>
          <w:bCs w:val="0"/>
          <w:color w:val="auto"/>
          <w:sz w:val="21"/>
          <w:szCs w:val="21"/>
          <w:highlight w:val="none"/>
          <w:u w:val="single"/>
          <w:lang w:val="en-US" w:eastAsia="zh-CN"/>
        </w:rPr>
        <w:t xml:space="preserve">                          </w:t>
      </w:r>
      <w:r>
        <w:rPr>
          <w:rFonts w:hint="eastAsia" w:ascii="Times New Roman" w:hAnsi="Times New Roman"/>
          <w:b w:val="0"/>
          <w:bCs w:val="0"/>
          <w:color w:val="auto"/>
          <w:sz w:val="21"/>
          <w:szCs w:val="21"/>
          <w:highlight w:val="none"/>
          <w:lang w:val="en-US" w:eastAsia="zh-CN"/>
        </w:rPr>
        <w:t xml:space="preserve">   </w:t>
      </w:r>
    </w:p>
    <w:p>
      <w:pPr>
        <w:pStyle w:val="11"/>
        <w:spacing w:line="500" w:lineRule="exact"/>
        <w:jc w:val="center"/>
        <w:rPr>
          <w:rFonts w:hint="eastAsia" w:ascii="Times New Roman" w:hAnsi="Times New Roman"/>
          <w:b w:val="0"/>
          <w:bCs w:val="0"/>
          <w:color w:val="auto"/>
          <w:sz w:val="21"/>
          <w:szCs w:val="21"/>
          <w:highlight w:val="none"/>
        </w:rPr>
      </w:pPr>
      <w:r>
        <w:rPr>
          <w:rFonts w:hint="eastAsia" w:ascii="Times New Roman" w:hAnsi="Times New Roman"/>
          <w:b w:val="0"/>
          <w:bCs w:val="0"/>
          <w:color w:val="auto"/>
          <w:sz w:val="21"/>
          <w:szCs w:val="21"/>
          <w:highlight w:val="none"/>
          <w:lang w:val="en-US" w:eastAsia="zh-CN"/>
        </w:rPr>
        <w:t xml:space="preserve">                                    </w:t>
      </w:r>
      <w:r>
        <w:rPr>
          <w:rFonts w:hint="eastAsia" w:ascii="Times New Roman" w:hAnsi="Times New Roman"/>
          <w:b w:val="0"/>
          <w:bCs w:val="0"/>
          <w:color w:val="auto"/>
          <w:sz w:val="21"/>
          <w:szCs w:val="21"/>
          <w:highlight w:val="none"/>
        </w:rPr>
        <w:t>年</w:t>
      </w:r>
      <w:r>
        <w:rPr>
          <w:rFonts w:hint="eastAsia" w:ascii="Times New Roman" w:hAnsi="Times New Roman"/>
          <w:b w:val="0"/>
          <w:bCs w:val="0"/>
          <w:color w:val="auto"/>
          <w:sz w:val="21"/>
          <w:szCs w:val="21"/>
          <w:highlight w:val="none"/>
          <w:lang w:val="en-US" w:eastAsia="zh-CN"/>
        </w:rPr>
        <w:t xml:space="preserve">    </w:t>
      </w:r>
      <w:r>
        <w:rPr>
          <w:rFonts w:hint="eastAsia" w:ascii="Times New Roman" w:hAnsi="Times New Roman"/>
          <w:b w:val="0"/>
          <w:bCs w:val="0"/>
          <w:color w:val="auto"/>
          <w:sz w:val="21"/>
          <w:szCs w:val="21"/>
          <w:highlight w:val="none"/>
        </w:rPr>
        <w:t>月</w:t>
      </w:r>
      <w:r>
        <w:rPr>
          <w:rFonts w:hint="eastAsia" w:ascii="Times New Roman" w:hAnsi="Times New Roman"/>
          <w:b w:val="0"/>
          <w:bCs w:val="0"/>
          <w:color w:val="auto"/>
          <w:sz w:val="21"/>
          <w:szCs w:val="21"/>
          <w:highlight w:val="none"/>
          <w:lang w:val="en-US" w:eastAsia="zh-CN"/>
        </w:rPr>
        <w:t xml:space="preserve">     </w:t>
      </w:r>
      <w:r>
        <w:rPr>
          <w:rFonts w:hint="eastAsia" w:ascii="Times New Roman" w:hAnsi="Times New Roman"/>
          <w:b w:val="0"/>
          <w:bCs w:val="0"/>
          <w:color w:val="auto"/>
          <w:sz w:val="21"/>
          <w:szCs w:val="21"/>
          <w:highlight w:val="none"/>
        </w:rPr>
        <w:t>日</w:t>
      </w:r>
    </w:p>
    <w:p>
      <w:pPr>
        <w:pStyle w:val="11"/>
        <w:spacing w:line="500" w:lineRule="exact"/>
        <w:jc w:val="center"/>
        <w:rPr>
          <w:rFonts w:ascii="新宋体" w:hAnsi="新宋体" w:eastAsia="新宋体" w:cs="新宋体"/>
          <w:b/>
          <w:bCs/>
          <w:color w:val="auto"/>
          <w:sz w:val="32"/>
          <w:szCs w:val="32"/>
          <w:highlight w:val="none"/>
        </w:rPr>
      </w:pPr>
    </w:p>
    <w:p>
      <w:pPr>
        <w:rPr>
          <w:rFonts w:ascii="新宋体" w:hAnsi="新宋体" w:eastAsia="新宋体" w:cs="新宋体"/>
          <w:b/>
          <w:bCs/>
          <w:color w:val="auto"/>
          <w:sz w:val="32"/>
          <w:szCs w:val="32"/>
          <w:highlight w:val="none"/>
        </w:rPr>
      </w:pPr>
    </w:p>
    <w:p>
      <w:pPr>
        <w:pStyle w:val="19"/>
        <w:rPr>
          <w:color w:val="auto"/>
          <w:highlight w:val="none"/>
        </w:rPr>
      </w:pPr>
    </w:p>
    <w:p>
      <w:pPr>
        <w:pStyle w:val="19"/>
        <w:rPr>
          <w:color w:val="auto"/>
          <w:highlight w:val="none"/>
        </w:rPr>
      </w:pPr>
    </w:p>
    <w:p>
      <w:pPr>
        <w:pStyle w:val="11"/>
        <w:spacing w:line="600" w:lineRule="exact"/>
        <w:outlineLvl w:val="9"/>
        <w:rPr>
          <w:b/>
          <w:bCs/>
          <w:color w:val="auto"/>
          <w:spacing w:val="20"/>
          <w:sz w:val="32"/>
          <w:szCs w:val="28"/>
          <w:highlight w:val="none"/>
        </w:rPr>
      </w:pPr>
    </w:p>
    <w:p>
      <w:pPr>
        <w:tabs>
          <w:tab w:val="left" w:pos="4860"/>
        </w:tabs>
        <w:spacing w:line="588" w:lineRule="exact"/>
        <w:ind w:right="1560" w:firstLine="602" w:firstLineChars="200"/>
        <w:jc w:val="center"/>
        <w:rPr>
          <w:rFonts w:hAnsi="宋体"/>
          <w:color w:val="auto"/>
          <w:highlight w:val="none"/>
        </w:rPr>
      </w:pPr>
      <w:r>
        <w:rPr>
          <w:rFonts w:hint="eastAsia"/>
          <w:b/>
          <w:bCs/>
          <w:color w:val="auto"/>
          <w:sz w:val="30"/>
          <w:szCs w:val="30"/>
          <w:highlight w:val="none"/>
        </w:rPr>
        <w:t>售后服务承诺书（格式）</w:t>
      </w:r>
    </w:p>
    <w:p>
      <w:pPr>
        <w:pStyle w:val="11"/>
        <w:spacing w:line="440" w:lineRule="exact"/>
        <w:ind w:firstLine="415" w:firstLineChars="198"/>
        <w:rPr>
          <w:rFonts w:hint="eastAsia" w:hAnsi="宋体"/>
          <w:color w:val="auto"/>
          <w:highlight w:val="none"/>
        </w:rPr>
      </w:pPr>
    </w:p>
    <w:p>
      <w:pPr>
        <w:pStyle w:val="11"/>
        <w:spacing w:line="440" w:lineRule="exact"/>
        <w:ind w:firstLine="415" w:firstLineChars="198"/>
        <w:rPr>
          <w:rFonts w:hint="eastAsia" w:hAnsi="宋体"/>
          <w:color w:val="auto"/>
          <w:highlight w:val="none"/>
        </w:rPr>
      </w:pPr>
      <w:r>
        <w:rPr>
          <w:rFonts w:hint="eastAsia" w:hAnsi="宋体"/>
          <w:color w:val="auto"/>
          <w:highlight w:val="none"/>
        </w:rPr>
        <w:t>由供应商按本项目竞争性磋商采购文件第二章“服务需求一览表”中商务条款部分的售后服务要求自行填写。</w:t>
      </w:r>
    </w:p>
    <w:p>
      <w:pPr>
        <w:pStyle w:val="11"/>
        <w:spacing w:line="440" w:lineRule="exact"/>
        <w:ind w:firstLine="415" w:firstLineChars="198"/>
        <w:rPr>
          <w:rFonts w:hint="eastAsia" w:hAnsi="宋体"/>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pStyle w:val="11"/>
        <w:spacing w:line="600" w:lineRule="exact"/>
        <w:rPr>
          <w:rFonts w:hint="eastAsia" w:ascii="Times New Roman" w:hAnsi="Times New Roman"/>
          <w:color w:val="auto"/>
          <w:highlight w:val="none"/>
          <w:u w:val="single"/>
        </w:rPr>
      </w:pPr>
      <w:r>
        <w:rPr>
          <w:rFonts w:hint="eastAsia" w:ascii="Times New Roman" w:hAnsi="Times New Roman"/>
          <w:color w:val="auto"/>
          <w:highlight w:val="none"/>
        </w:rPr>
        <w:t>磋商供应商（盖单位公章）：</w:t>
      </w:r>
      <w:r>
        <w:rPr>
          <w:rFonts w:ascii="Times New Roman" w:hAnsi="Times New Roman"/>
          <w:color w:val="auto"/>
          <w:highlight w:val="none"/>
          <w:u w:val="single"/>
        </w:rPr>
        <w:t xml:space="preserve">                                    </w:t>
      </w:r>
    </w:p>
    <w:p>
      <w:pPr>
        <w:pStyle w:val="11"/>
        <w:spacing w:line="600" w:lineRule="exact"/>
        <w:rPr>
          <w:rFonts w:ascii="Times New Roman" w:hAnsi="Times New Roman"/>
          <w:color w:val="auto"/>
          <w:highlight w:val="none"/>
          <w:u w:val="single"/>
        </w:rPr>
      </w:pPr>
    </w:p>
    <w:p>
      <w:pPr>
        <w:pStyle w:val="11"/>
        <w:spacing w:line="600" w:lineRule="exac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r>
        <w:rPr>
          <w:rFonts w:ascii="Times New Roman" w:hAnsi="Times New Roman"/>
          <w:color w:val="auto"/>
          <w:highlight w:val="none"/>
          <w:u w:val="single"/>
        </w:rPr>
        <w:t xml:space="preserve">                  </w:t>
      </w:r>
    </w:p>
    <w:p>
      <w:pPr>
        <w:rPr>
          <w:rFonts w:ascii="Times New Roman" w:hAnsi="Times New Roman"/>
          <w:color w:val="auto"/>
          <w:highlight w:val="none"/>
          <w:u w:val="single"/>
        </w:rPr>
      </w:pPr>
    </w:p>
    <w:p>
      <w:pPr>
        <w:rPr>
          <w:rFonts w:ascii="Times New Roman" w:hAnsi="Times New Roman"/>
          <w:color w:val="auto"/>
          <w:highlight w:val="none"/>
          <w:u w:val="single"/>
        </w:rPr>
      </w:pPr>
    </w:p>
    <w:p>
      <w:pPr>
        <w:rPr>
          <w:rFonts w:ascii="Times New Roman" w:hAnsi="Times New Roman"/>
          <w:color w:val="auto"/>
          <w:highlight w:val="none"/>
          <w:u w:val="single"/>
        </w:rPr>
      </w:pPr>
    </w:p>
    <w:p>
      <w:pPr>
        <w:rPr>
          <w:rFonts w:ascii="Times New Roman" w:hAnsi="Times New Roman"/>
          <w:color w:val="auto"/>
          <w:highlight w:val="none"/>
          <w:u w:val="single"/>
        </w:rPr>
      </w:pPr>
    </w:p>
    <w:p>
      <w:pPr>
        <w:pStyle w:val="13"/>
        <w:rPr>
          <w:rFonts w:ascii="Times New Roman" w:hAnsi="Times New Roman"/>
          <w:color w:val="auto"/>
          <w:highlight w:val="none"/>
          <w:u w:val="single"/>
        </w:rPr>
      </w:pPr>
    </w:p>
    <w:p>
      <w:pPr>
        <w:pStyle w:val="13"/>
        <w:rPr>
          <w:rFonts w:ascii="Times New Roman" w:hAnsi="Times New Roman"/>
          <w:color w:val="auto"/>
          <w:highlight w:val="none"/>
          <w:u w:val="single"/>
        </w:rPr>
      </w:pPr>
    </w:p>
    <w:p>
      <w:pPr>
        <w:pStyle w:val="13"/>
        <w:rPr>
          <w:rFonts w:ascii="Times New Roman" w:hAnsi="Times New Roman"/>
          <w:color w:val="auto"/>
          <w:highlight w:val="none"/>
          <w:u w:val="single"/>
        </w:rPr>
      </w:pPr>
    </w:p>
    <w:p>
      <w:pPr>
        <w:pStyle w:val="13"/>
        <w:rPr>
          <w:rFonts w:ascii="Times New Roman" w:hAnsi="Times New Roman"/>
          <w:color w:val="auto"/>
          <w:highlight w:val="none"/>
          <w:u w:val="single"/>
        </w:rPr>
      </w:pPr>
    </w:p>
    <w:p>
      <w:pPr>
        <w:pStyle w:val="13"/>
        <w:rPr>
          <w:rFonts w:ascii="Times New Roman" w:hAnsi="Times New Roman"/>
          <w:color w:val="auto"/>
          <w:highlight w:val="none"/>
          <w:u w:val="single"/>
        </w:rPr>
      </w:pPr>
    </w:p>
    <w:p>
      <w:pPr>
        <w:pStyle w:val="13"/>
        <w:rPr>
          <w:rFonts w:ascii="Times New Roman" w:hAnsi="Times New Roman"/>
          <w:color w:val="auto"/>
          <w:highlight w:val="none"/>
          <w:u w:val="single"/>
        </w:rPr>
      </w:pPr>
    </w:p>
    <w:p>
      <w:pPr>
        <w:pStyle w:val="13"/>
        <w:rPr>
          <w:rFonts w:ascii="Times New Roman" w:hAnsi="Times New Roman"/>
          <w:color w:val="auto"/>
          <w:highlight w:val="none"/>
          <w:u w:val="single"/>
        </w:rPr>
      </w:pPr>
    </w:p>
    <w:p>
      <w:pPr>
        <w:pStyle w:val="13"/>
        <w:rPr>
          <w:rFonts w:ascii="Times New Roman" w:hAnsi="Times New Roman"/>
          <w:color w:val="auto"/>
          <w:highlight w:val="none"/>
          <w:u w:val="single"/>
        </w:rPr>
      </w:pPr>
    </w:p>
    <w:p>
      <w:pPr>
        <w:pStyle w:val="13"/>
        <w:rPr>
          <w:rFonts w:ascii="Times New Roman" w:hAnsi="Times New Roman"/>
          <w:color w:val="auto"/>
          <w:highlight w:val="none"/>
          <w:u w:val="single"/>
        </w:rPr>
      </w:pPr>
    </w:p>
    <w:p>
      <w:pPr>
        <w:pStyle w:val="13"/>
        <w:rPr>
          <w:rFonts w:ascii="Times New Roman" w:hAnsi="Times New Roman"/>
          <w:color w:val="auto"/>
          <w:highlight w:val="none"/>
          <w:u w:val="single"/>
        </w:rPr>
      </w:pPr>
    </w:p>
    <w:p>
      <w:pPr>
        <w:pStyle w:val="13"/>
        <w:rPr>
          <w:rFonts w:ascii="Times New Roman" w:hAnsi="Times New Roman"/>
          <w:color w:val="auto"/>
          <w:highlight w:val="none"/>
          <w:u w:val="single"/>
        </w:rPr>
      </w:pPr>
    </w:p>
    <w:p>
      <w:pPr>
        <w:pStyle w:val="13"/>
        <w:rPr>
          <w:rFonts w:ascii="Times New Roman" w:hAnsi="Times New Roman"/>
          <w:color w:val="auto"/>
          <w:highlight w:val="none"/>
          <w:u w:val="single"/>
        </w:rPr>
      </w:pPr>
    </w:p>
    <w:p>
      <w:pPr>
        <w:pStyle w:val="11"/>
        <w:spacing w:line="600" w:lineRule="exact"/>
        <w:jc w:val="center"/>
        <w:outlineLvl w:val="9"/>
        <w:rPr>
          <w:b/>
          <w:bCs/>
          <w:color w:val="auto"/>
          <w:spacing w:val="20"/>
          <w:sz w:val="32"/>
          <w:szCs w:val="28"/>
          <w:highlight w:val="none"/>
        </w:rPr>
      </w:pPr>
      <w:r>
        <w:rPr>
          <w:rFonts w:hint="eastAsia"/>
          <w:b/>
          <w:bCs/>
          <w:color w:val="auto"/>
          <w:spacing w:val="20"/>
          <w:sz w:val="32"/>
          <w:szCs w:val="28"/>
          <w:highlight w:val="none"/>
        </w:rPr>
        <w:t>法定代表人资格证明书（格式）</w:t>
      </w:r>
    </w:p>
    <w:p>
      <w:pPr>
        <w:pStyle w:val="13"/>
        <w:rPr>
          <w:color w:val="auto"/>
          <w:highlight w:val="none"/>
        </w:rPr>
      </w:pPr>
    </w:p>
    <w:p>
      <w:pPr>
        <w:spacing w:line="560" w:lineRule="exact"/>
        <w:ind w:firstLine="525" w:firstLineChars="250"/>
        <w:rPr>
          <w:color w:val="auto"/>
          <w:szCs w:val="21"/>
          <w:highlight w:val="none"/>
          <w:u w:val="single"/>
        </w:rPr>
      </w:pPr>
      <w:r>
        <w:rPr>
          <w:rFonts w:hint="eastAsia"/>
          <w:color w:val="auto"/>
          <w:szCs w:val="21"/>
          <w:highlight w:val="none"/>
        </w:rPr>
        <w:t>磋商供应商</w:t>
      </w:r>
      <w:r>
        <w:rPr>
          <w:color w:val="auto"/>
          <w:szCs w:val="21"/>
          <w:highlight w:val="none"/>
        </w:rPr>
        <w:t>：</w:t>
      </w:r>
      <w:r>
        <w:rPr>
          <w:rFonts w:hint="eastAsia"/>
          <w:color w:val="auto"/>
          <w:szCs w:val="21"/>
          <w:highlight w:val="none"/>
          <w:u w:val="single"/>
        </w:rPr>
        <w:t xml:space="preserve">                                                </w:t>
      </w:r>
    </w:p>
    <w:p>
      <w:pPr>
        <w:spacing w:line="560" w:lineRule="exact"/>
        <w:ind w:firstLine="525" w:firstLineChars="250"/>
        <w:rPr>
          <w:color w:val="auto"/>
          <w:szCs w:val="21"/>
          <w:highlight w:val="none"/>
        </w:rPr>
      </w:pPr>
      <w:r>
        <w:rPr>
          <w:color w:val="auto"/>
          <w:szCs w:val="21"/>
          <w:highlight w:val="none"/>
        </w:rPr>
        <w:t>单位性质：</w:t>
      </w:r>
      <w:r>
        <w:rPr>
          <w:rFonts w:hint="eastAsia"/>
          <w:color w:val="auto"/>
          <w:szCs w:val="21"/>
          <w:highlight w:val="none"/>
          <w:u w:val="single"/>
        </w:rPr>
        <w:t xml:space="preserve">                                                  </w:t>
      </w:r>
    </w:p>
    <w:p>
      <w:pPr>
        <w:spacing w:line="560" w:lineRule="exact"/>
        <w:ind w:firstLine="525" w:firstLineChars="250"/>
        <w:rPr>
          <w:color w:val="auto"/>
          <w:szCs w:val="21"/>
          <w:highlight w:val="none"/>
        </w:rPr>
      </w:pPr>
      <w:r>
        <w:rPr>
          <w:color w:val="auto"/>
          <w:szCs w:val="21"/>
          <w:highlight w:val="none"/>
        </w:rPr>
        <w:t>地    址：</w:t>
      </w:r>
      <w:r>
        <w:rPr>
          <w:rFonts w:hint="eastAsia"/>
          <w:color w:val="auto"/>
          <w:szCs w:val="21"/>
          <w:highlight w:val="none"/>
          <w:u w:val="single"/>
        </w:rPr>
        <w:t xml:space="preserve">                                                  </w:t>
      </w:r>
    </w:p>
    <w:p>
      <w:pPr>
        <w:spacing w:line="560" w:lineRule="exact"/>
        <w:ind w:firstLine="525" w:firstLineChars="250"/>
        <w:rPr>
          <w:color w:val="auto"/>
          <w:szCs w:val="21"/>
          <w:highlight w:val="none"/>
        </w:rPr>
      </w:pPr>
      <w:r>
        <w:rPr>
          <w:color w:val="auto"/>
          <w:szCs w:val="21"/>
          <w:highlight w:val="none"/>
        </w:rPr>
        <w:t>成立时间：</w:t>
      </w:r>
      <w:r>
        <w:rPr>
          <w:rFonts w:hint="eastAsia"/>
          <w:color w:val="auto"/>
          <w:szCs w:val="21"/>
          <w:highlight w:val="none"/>
          <w:u w:val="single"/>
        </w:rPr>
        <w:t xml:space="preserve">            </w:t>
      </w:r>
      <w:r>
        <w:rPr>
          <w:color w:val="auto"/>
          <w:szCs w:val="21"/>
          <w:highlight w:val="none"/>
        </w:rPr>
        <w:t>年</w:t>
      </w:r>
      <w:r>
        <w:rPr>
          <w:rFonts w:hint="eastAsia"/>
          <w:color w:val="auto"/>
          <w:szCs w:val="21"/>
          <w:highlight w:val="none"/>
          <w:u w:val="single"/>
        </w:rPr>
        <w:t xml:space="preserve">             </w:t>
      </w:r>
      <w:r>
        <w:rPr>
          <w:color w:val="auto"/>
          <w:szCs w:val="21"/>
          <w:highlight w:val="none"/>
        </w:rPr>
        <w:t>月</w:t>
      </w:r>
      <w:r>
        <w:rPr>
          <w:rFonts w:hint="eastAsia"/>
          <w:color w:val="auto"/>
          <w:szCs w:val="21"/>
          <w:highlight w:val="none"/>
          <w:u w:val="single"/>
        </w:rPr>
        <w:t xml:space="preserve">             </w:t>
      </w:r>
      <w:r>
        <w:rPr>
          <w:color w:val="auto"/>
          <w:szCs w:val="21"/>
          <w:highlight w:val="none"/>
        </w:rPr>
        <w:t>日</w:t>
      </w:r>
    </w:p>
    <w:p>
      <w:pPr>
        <w:spacing w:line="560" w:lineRule="exact"/>
        <w:ind w:firstLine="525" w:firstLineChars="250"/>
        <w:rPr>
          <w:color w:val="auto"/>
          <w:szCs w:val="21"/>
          <w:highlight w:val="none"/>
        </w:rPr>
      </w:pPr>
      <w:r>
        <w:rPr>
          <w:color w:val="auto"/>
          <w:szCs w:val="21"/>
          <w:highlight w:val="none"/>
        </w:rPr>
        <w:t>经营期限：</w:t>
      </w:r>
      <w:r>
        <w:rPr>
          <w:rFonts w:hint="eastAsia"/>
          <w:color w:val="auto"/>
          <w:szCs w:val="21"/>
          <w:highlight w:val="none"/>
          <w:u w:val="single"/>
        </w:rPr>
        <w:t xml:space="preserve">                                                  </w:t>
      </w:r>
    </w:p>
    <w:p>
      <w:pPr>
        <w:spacing w:line="560" w:lineRule="exact"/>
        <w:ind w:firstLine="525" w:firstLineChars="250"/>
        <w:rPr>
          <w:color w:val="auto"/>
          <w:szCs w:val="21"/>
          <w:highlight w:val="none"/>
        </w:rPr>
      </w:pPr>
      <w:r>
        <w:rPr>
          <w:color w:val="auto"/>
          <w:szCs w:val="21"/>
          <w:highlight w:val="none"/>
        </w:rPr>
        <w:t>姓    名：</w:t>
      </w:r>
      <w:r>
        <w:rPr>
          <w:rFonts w:hint="eastAsia"/>
          <w:color w:val="auto"/>
          <w:szCs w:val="21"/>
          <w:highlight w:val="none"/>
          <w:u w:val="single"/>
        </w:rPr>
        <w:t xml:space="preserve">                   </w:t>
      </w:r>
      <w:r>
        <w:rPr>
          <w:color w:val="auto"/>
          <w:szCs w:val="21"/>
          <w:highlight w:val="none"/>
        </w:rPr>
        <w:t>性     别：</w:t>
      </w:r>
      <w:r>
        <w:rPr>
          <w:rFonts w:hint="eastAsia"/>
          <w:color w:val="auto"/>
          <w:szCs w:val="21"/>
          <w:highlight w:val="none"/>
          <w:u w:val="single"/>
        </w:rPr>
        <w:t xml:space="preserve">                    </w:t>
      </w:r>
    </w:p>
    <w:p>
      <w:pPr>
        <w:spacing w:line="560" w:lineRule="exact"/>
        <w:ind w:firstLine="525" w:firstLineChars="250"/>
        <w:rPr>
          <w:color w:val="auto"/>
          <w:szCs w:val="21"/>
          <w:highlight w:val="none"/>
        </w:rPr>
      </w:pPr>
      <w:r>
        <w:rPr>
          <w:color w:val="auto"/>
          <w:szCs w:val="21"/>
          <w:highlight w:val="none"/>
        </w:rPr>
        <w:t>年    龄：</w:t>
      </w:r>
      <w:r>
        <w:rPr>
          <w:rFonts w:hint="eastAsia"/>
          <w:color w:val="auto"/>
          <w:szCs w:val="21"/>
          <w:highlight w:val="none"/>
          <w:u w:val="single"/>
        </w:rPr>
        <w:t xml:space="preserve">                   </w:t>
      </w:r>
      <w:r>
        <w:rPr>
          <w:color w:val="auto"/>
          <w:szCs w:val="21"/>
          <w:highlight w:val="none"/>
        </w:rPr>
        <w:t>职     务：</w:t>
      </w:r>
      <w:r>
        <w:rPr>
          <w:rFonts w:hint="eastAsia"/>
          <w:color w:val="auto"/>
          <w:szCs w:val="21"/>
          <w:highlight w:val="none"/>
          <w:u w:val="single"/>
        </w:rPr>
        <w:t xml:space="preserve">                    </w:t>
      </w:r>
    </w:p>
    <w:p>
      <w:pPr>
        <w:spacing w:line="560" w:lineRule="exact"/>
        <w:ind w:firstLine="525" w:firstLineChars="250"/>
        <w:rPr>
          <w:color w:val="auto"/>
          <w:szCs w:val="21"/>
          <w:highlight w:val="none"/>
        </w:rPr>
      </w:pPr>
      <w:r>
        <w:rPr>
          <w:color w:val="auto"/>
          <w:szCs w:val="21"/>
          <w:highlight w:val="none"/>
        </w:rPr>
        <w:t>系</w:t>
      </w:r>
      <w:r>
        <w:rPr>
          <w:rFonts w:hint="eastAsia"/>
          <w:color w:val="auto"/>
          <w:szCs w:val="21"/>
          <w:highlight w:val="none"/>
          <w:u w:val="single"/>
        </w:rPr>
        <w:t xml:space="preserve">                       </w:t>
      </w:r>
      <w:r>
        <w:rPr>
          <w:color w:val="auto"/>
          <w:szCs w:val="21"/>
          <w:highlight w:val="none"/>
        </w:rPr>
        <w:t>（</w:t>
      </w:r>
      <w:r>
        <w:rPr>
          <w:rFonts w:hint="eastAsia"/>
          <w:color w:val="auto"/>
          <w:highlight w:val="none"/>
        </w:rPr>
        <w:t>磋商供应商</w:t>
      </w:r>
      <w:r>
        <w:rPr>
          <w:color w:val="auto"/>
          <w:szCs w:val="21"/>
          <w:highlight w:val="none"/>
        </w:rPr>
        <w:t>名称）的法定代表人。</w:t>
      </w:r>
    </w:p>
    <w:p>
      <w:pPr>
        <w:spacing w:line="560" w:lineRule="exact"/>
        <w:ind w:firstLine="525" w:firstLineChars="250"/>
        <w:rPr>
          <w:color w:val="auto"/>
          <w:szCs w:val="21"/>
          <w:highlight w:val="none"/>
        </w:rPr>
      </w:pPr>
      <w:r>
        <w:rPr>
          <w:color w:val="auto"/>
          <w:szCs w:val="21"/>
          <w:highlight w:val="none"/>
        </w:rPr>
        <w:t>特此证明。</w:t>
      </w:r>
    </w:p>
    <w:p>
      <w:pPr>
        <w:spacing w:line="500" w:lineRule="exact"/>
        <w:rPr>
          <w:color w:val="auto"/>
          <w:szCs w:val="21"/>
          <w:highlight w:val="none"/>
        </w:rPr>
      </w:pPr>
    </w:p>
    <w:p>
      <w:pPr>
        <w:pStyle w:val="13"/>
        <w:rPr>
          <w:color w:val="auto"/>
          <w:szCs w:val="21"/>
          <w:highlight w:val="none"/>
        </w:rPr>
      </w:pPr>
    </w:p>
    <w:p>
      <w:pPr>
        <w:pStyle w:val="13"/>
        <w:rPr>
          <w:color w:val="auto"/>
          <w:szCs w:val="21"/>
          <w:highlight w:val="none"/>
        </w:rPr>
      </w:pPr>
    </w:p>
    <w:p>
      <w:pPr>
        <w:pStyle w:val="13"/>
        <w:rPr>
          <w:color w:val="auto"/>
          <w:szCs w:val="21"/>
          <w:highlight w:val="none"/>
        </w:rPr>
      </w:pPr>
    </w:p>
    <w:p>
      <w:pPr>
        <w:pStyle w:val="13"/>
        <w:rPr>
          <w:color w:val="auto"/>
          <w:szCs w:val="21"/>
          <w:highlight w:val="none"/>
        </w:rPr>
      </w:pPr>
    </w:p>
    <w:p>
      <w:pPr>
        <w:pStyle w:val="11"/>
        <w:spacing w:line="600" w:lineRule="exact"/>
        <w:ind w:firstLine="105" w:firstLineChars="50"/>
        <w:rPr>
          <w:rFonts w:ascii="新宋体" w:hAnsi="新宋体" w:eastAsia="新宋体" w:cs="新宋体"/>
          <w:color w:val="auto"/>
          <w:highlight w:val="none"/>
          <w:u w:val="single"/>
        </w:rPr>
      </w:pPr>
      <w:r>
        <w:rPr>
          <w:rFonts w:hint="eastAsia" w:ascii="新宋体" w:hAnsi="新宋体" w:eastAsia="新宋体" w:cs="新宋体"/>
          <w:color w:val="auto"/>
          <w:highlight w:val="none"/>
        </w:rPr>
        <w:t>磋商供应商（盖单位公章）：</w:t>
      </w:r>
      <w:r>
        <w:rPr>
          <w:rFonts w:hint="eastAsia"/>
          <w:color w:val="auto"/>
          <w:highlight w:val="none"/>
          <w:u w:val="single"/>
        </w:rPr>
        <w:t xml:space="preserve">                                     </w:t>
      </w:r>
    </w:p>
    <w:p>
      <w:pPr>
        <w:pStyle w:val="11"/>
        <w:spacing w:line="600" w:lineRule="exact"/>
        <w:ind w:firstLine="105" w:firstLineChars="50"/>
        <w:rPr>
          <w:rFonts w:ascii="新宋体" w:hAnsi="新宋体" w:eastAsia="新宋体" w:cs="新宋体"/>
          <w:color w:val="auto"/>
          <w:highlight w:val="none"/>
          <w:u w:val="single"/>
        </w:rPr>
      </w:pPr>
    </w:p>
    <w:p>
      <w:pPr>
        <w:pStyle w:val="11"/>
        <w:spacing w:line="600" w:lineRule="exact"/>
        <w:ind w:firstLine="105" w:firstLineChars="50"/>
        <w:jc w:val="left"/>
        <w:outlineLvl w:val="9"/>
        <w:rPr>
          <w:rFonts w:ascii="新宋体" w:hAnsi="新宋体" w:eastAsia="新宋体" w:cs="新宋体"/>
          <w:color w:val="auto"/>
          <w:highlight w:val="none"/>
          <w:u w:val="single"/>
        </w:rPr>
      </w:pPr>
      <w:r>
        <w:rPr>
          <w:rFonts w:hint="eastAsia" w:ascii="新宋体" w:hAnsi="新宋体" w:eastAsia="新宋体" w:cs="新宋体"/>
          <w:color w:val="auto"/>
          <w:highlight w:val="none"/>
        </w:rPr>
        <w:t>法定代表人或其委托代理人（签字或盖章）：</w:t>
      </w:r>
      <w:r>
        <w:rPr>
          <w:rFonts w:hint="eastAsia"/>
          <w:color w:val="auto"/>
          <w:highlight w:val="none"/>
          <w:u w:val="single"/>
        </w:rPr>
        <w:t xml:space="preserve">                       </w:t>
      </w:r>
    </w:p>
    <w:p>
      <w:pPr>
        <w:spacing w:line="480" w:lineRule="auto"/>
        <w:ind w:firstLine="525" w:firstLineChars="250"/>
        <w:jc w:val="center"/>
        <w:rPr>
          <w:color w:val="auto"/>
          <w:szCs w:val="21"/>
          <w:highlight w:val="none"/>
        </w:rPr>
      </w:pPr>
    </w:p>
    <w:p>
      <w:pPr>
        <w:pStyle w:val="11"/>
        <w:spacing w:line="500" w:lineRule="exact"/>
        <w:jc w:val="center"/>
        <w:rPr>
          <w:rFonts w:ascii="新宋体" w:hAnsi="新宋体" w:eastAsia="新宋体" w:cs="新宋体"/>
          <w:b/>
          <w:bCs/>
          <w:color w:val="auto"/>
          <w:sz w:val="32"/>
          <w:szCs w:val="32"/>
          <w:highlight w:val="none"/>
        </w:rPr>
      </w:pPr>
    </w:p>
    <w:p>
      <w:pPr>
        <w:pStyle w:val="11"/>
        <w:spacing w:line="500" w:lineRule="exact"/>
        <w:jc w:val="center"/>
        <w:rPr>
          <w:rFonts w:ascii="新宋体" w:hAnsi="新宋体" w:eastAsia="新宋体" w:cs="新宋体"/>
          <w:b/>
          <w:bCs/>
          <w:color w:val="auto"/>
          <w:sz w:val="32"/>
          <w:szCs w:val="32"/>
          <w:highlight w:val="none"/>
        </w:rPr>
      </w:pPr>
    </w:p>
    <w:p>
      <w:pPr>
        <w:pStyle w:val="11"/>
        <w:spacing w:line="500" w:lineRule="exact"/>
        <w:jc w:val="center"/>
        <w:rPr>
          <w:rFonts w:ascii="新宋体" w:hAnsi="新宋体" w:eastAsia="新宋体" w:cs="新宋体"/>
          <w:b/>
          <w:bCs/>
          <w:color w:val="auto"/>
          <w:sz w:val="32"/>
          <w:szCs w:val="32"/>
          <w:highlight w:val="none"/>
        </w:rPr>
      </w:pPr>
    </w:p>
    <w:p>
      <w:pPr>
        <w:pStyle w:val="11"/>
        <w:spacing w:line="500" w:lineRule="exact"/>
        <w:jc w:val="center"/>
        <w:rPr>
          <w:rFonts w:ascii="新宋体" w:hAnsi="新宋体" w:eastAsia="新宋体" w:cs="新宋体"/>
          <w:b/>
          <w:bCs/>
          <w:color w:val="auto"/>
          <w:sz w:val="32"/>
          <w:szCs w:val="32"/>
          <w:highlight w:val="none"/>
        </w:rPr>
      </w:pPr>
    </w:p>
    <w:p>
      <w:pPr>
        <w:pStyle w:val="11"/>
        <w:spacing w:line="500" w:lineRule="exact"/>
        <w:jc w:val="center"/>
        <w:rPr>
          <w:rFonts w:ascii="新宋体" w:hAnsi="新宋体" w:eastAsia="新宋体" w:cs="新宋体"/>
          <w:b/>
          <w:bCs/>
          <w:color w:val="auto"/>
          <w:sz w:val="32"/>
          <w:szCs w:val="32"/>
          <w:highlight w:val="none"/>
        </w:rPr>
      </w:pPr>
    </w:p>
    <w:p>
      <w:pPr>
        <w:pStyle w:val="13"/>
        <w:rPr>
          <w:rFonts w:hint="eastAsia" w:ascii="仿宋" w:hAnsi="仿宋" w:eastAsia="仿宋"/>
          <w:b/>
          <w:color w:val="auto"/>
          <w:sz w:val="28"/>
          <w:szCs w:val="28"/>
          <w:highlight w:val="none"/>
        </w:rPr>
      </w:pPr>
    </w:p>
    <w:p>
      <w:pPr>
        <w:pStyle w:val="13"/>
        <w:rPr>
          <w:rFonts w:hint="eastAsia" w:ascii="仿宋" w:hAnsi="仿宋" w:eastAsia="仿宋"/>
          <w:b/>
          <w:color w:val="auto"/>
          <w:sz w:val="28"/>
          <w:szCs w:val="28"/>
          <w:highlight w:val="none"/>
        </w:rPr>
      </w:pPr>
    </w:p>
    <w:p>
      <w:pPr>
        <w:pStyle w:val="13"/>
        <w:rPr>
          <w:rFonts w:hint="eastAsia" w:ascii="仿宋" w:hAnsi="仿宋" w:eastAsia="仿宋"/>
          <w:b/>
          <w:color w:val="auto"/>
          <w:sz w:val="28"/>
          <w:szCs w:val="28"/>
          <w:highlight w:val="none"/>
        </w:rPr>
      </w:pPr>
    </w:p>
    <w:p>
      <w:pPr>
        <w:pStyle w:val="13"/>
        <w:rPr>
          <w:rFonts w:hint="eastAsia" w:ascii="仿宋" w:hAnsi="仿宋" w:eastAsia="仿宋"/>
          <w:b/>
          <w:color w:val="auto"/>
          <w:sz w:val="28"/>
          <w:szCs w:val="28"/>
          <w:highlight w:val="none"/>
        </w:rPr>
      </w:pPr>
    </w:p>
    <w:p>
      <w:pPr>
        <w:pStyle w:val="11"/>
        <w:spacing w:line="500" w:lineRule="exact"/>
        <w:ind w:firstLine="321" w:firstLineChars="100"/>
        <w:rPr>
          <w:rFonts w:ascii="新宋体" w:hAnsi="新宋体" w:eastAsia="新宋体" w:cs="新宋体"/>
          <w:b/>
          <w:bCs/>
          <w:color w:val="auto"/>
          <w:sz w:val="32"/>
          <w:szCs w:val="32"/>
          <w:highlight w:val="none"/>
        </w:rPr>
      </w:pPr>
    </w:p>
    <w:p>
      <w:pPr>
        <w:pStyle w:val="11"/>
        <w:spacing w:line="500" w:lineRule="exact"/>
        <w:ind w:firstLine="321" w:firstLineChars="100"/>
        <w:jc w:val="center"/>
        <w:rPr>
          <w:rFonts w:ascii="新宋体" w:hAnsi="新宋体" w:eastAsia="新宋体" w:cs="新宋体"/>
          <w:b/>
          <w:bCs/>
          <w:color w:val="auto"/>
          <w:sz w:val="32"/>
          <w:szCs w:val="32"/>
          <w:highlight w:val="none"/>
        </w:rPr>
      </w:pPr>
      <w:r>
        <w:rPr>
          <w:rFonts w:hint="eastAsia" w:ascii="新宋体" w:hAnsi="新宋体" w:eastAsia="新宋体" w:cs="新宋体"/>
          <w:b/>
          <w:bCs/>
          <w:color w:val="auto"/>
          <w:sz w:val="32"/>
          <w:szCs w:val="32"/>
          <w:highlight w:val="none"/>
        </w:rPr>
        <w:t>商务条款偏离表（格式）</w:t>
      </w:r>
    </w:p>
    <w:p>
      <w:pPr>
        <w:pStyle w:val="11"/>
        <w:spacing w:line="440" w:lineRule="exact"/>
        <w:ind w:firstLine="420" w:firstLineChars="200"/>
        <w:rPr>
          <w:rFonts w:ascii="新宋体" w:hAnsi="新宋体" w:eastAsia="新宋体" w:cs="新宋体"/>
          <w:color w:val="auto"/>
          <w:highlight w:val="none"/>
        </w:rPr>
      </w:pPr>
    </w:p>
    <w:p>
      <w:pPr>
        <w:pStyle w:val="11"/>
        <w:spacing w:line="440" w:lineRule="exact"/>
        <w:ind w:firstLine="422" w:firstLineChars="200"/>
        <w:rPr>
          <w:rFonts w:ascii="新宋体" w:hAnsi="新宋体" w:eastAsia="新宋体" w:cs="新宋体"/>
          <w:color w:val="auto"/>
          <w:highlight w:val="none"/>
        </w:rPr>
      </w:pPr>
      <w:r>
        <w:rPr>
          <w:rFonts w:hint="eastAsia" w:ascii="新宋体" w:hAnsi="新宋体" w:eastAsia="新宋体" w:cs="新宋体"/>
          <w:b/>
          <w:color w:val="auto"/>
          <w:highlight w:val="none"/>
        </w:rPr>
        <w:t>请逐条对应</w:t>
      </w:r>
      <w:r>
        <w:rPr>
          <w:rFonts w:hint="eastAsia" w:ascii="新宋体" w:hAnsi="新宋体" w:eastAsia="新宋体" w:cs="新宋体"/>
          <w:color w:val="auto"/>
          <w:highlight w:val="none"/>
        </w:rPr>
        <w:t>本项目竞争性磋商文件第二章“服务需求一览表”中商务条款的要求，认真填写该表。“偏离说明”一栏选择“正偏离”、“负偏离”或“无偏离”进行填写。</w:t>
      </w:r>
    </w:p>
    <w:p>
      <w:pPr>
        <w:pStyle w:val="11"/>
        <w:rPr>
          <w:rFonts w:ascii="新宋体" w:hAnsi="新宋体" w:eastAsia="新宋体" w:cs="新宋体"/>
          <w:color w:val="auto"/>
          <w:highlight w:val="none"/>
          <w:u w:val="single"/>
        </w:rPr>
      </w:pPr>
    </w:p>
    <w:p>
      <w:pPr>
        <w:pStyle w:val="11"/>
        <w:rPr>
          <w:rFonts w:ascii="新宋体" w:hAnsi="新宋体" w:eastAsia="新宋体" w:cs="新宋体"/>
          <w:color w:val="auto"/>
          <w:highlight w:val="none"/>
        </w:rPr>
      </w:pPr>
    </w:p>
    <w:tbl>
      <w:tblPr>
        <w:tblStyle w:val="20"/>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945"/>
        <w:gridCol w:w="3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35" w:type="dxa"/>
            <w:vAlign w:val="center"/>
          </w:tcPr>
          <w:p>
            <w:pPr>
              <w:pStyle w:val="11"/>
              <w:jc w:val="center"/>
              <w:rPr>
                <w:rFonts w:ascii="新宋体" w:hAnsi="新宋体" w:eastAsia="新宋体" w:cs="新宋体"/>
                <w:color w:val="auto"/>
                <w:highlight w:val="none"/>
              </w:rPr>
            </w:pPr>
            <w:r>
              <w:rPr>
                <w:rFonts w:hint="eastAsia" w:ascii="新宋体" w:hAnsi="新宋体" w:eastAsia="新宋体" w:cs="新宋体"/>
                <w:color w:val="auto"/>
                <w:highlight w:val="none"/>
              </w:rPr>
              <w:t>序号</w:t>
            </w:r>
          </w:p>
        </w:tc>
        <w:tc>
          <w:tcPr>
            <w:tcW w:w="3945" w:type="dxa"/>
            <w:vAlign w:val="center"/>
          </w:tcPr>
          <w:p>
            <w:pPr>
              <w:pStyle w:val="11"/>
              <w:jc w:val="center"/>
              <w:rPr>
                <w:rFonts w:ascii="新宋体" w:hAnsi="新宋体" w:eastAsia="新宋体" w:cs="新宋体"/>
                <w:color w:val="auto"/>
                <w:highlight w:val="none"/>
              </w:rPr>
            </w:pPr>
            <w:r>
              <w:rPr>
                <w:rFonts w:hint="eastAsia" w:ascii="新宋体" w:hAnsi="新宋体" w:eastAsia="新宋体" w:cs="新宋体"/>
                <w:color w:val="auto"/>
                <w:highlight w:val="none"/>
              </w:rPr>
              <w:t>竞争性磋商文件的商务条款</w:t>
            </w:r>
          </w:p>
        </w:tc>
        <w:tc>
          <w:tcPr>
            <w:tcW w:w="3720" w:type="dxa"/>
            <w:vAlign w:val="center"/>
          </w:tcPr>
          <w:p>
            <w:pPr>
              <w:pStyle w:val="11"/>
              <w:jc w:val="center"/>
              <w:rPr>
                <w:rFonts w:ascii="新宋体" w:hAnsi="新宋体" w:eastAsia="新宋体" w:cs="新宋体"/>
                <w:color w:val="auto"/>
                <w:highlight w:val="none"/>
              </w:rPr>
            </w:pPr>
            <w:r>
              <w:rPr>
                <w:rFonts w:hint="eastAsia" w:ascii="新宋体" w:hAnsi="新宋体" w:eastAsia="新宋体" w:cs="新宋体"/>
                <w:color w:val="auto"/>
                <w:highlight w:val="none"/>
              </w:rPr>
              <w:t>响应文件承诺的商务条款</w:t>
            </w:r>
          </w:p>
        </w:tc>
        <w:tc>
          <w:tcPr>
            <w:tcW w:w="1260" w:type="dxa"/>
            <w:vAlign w:val="center"/>
          </w:tcPr>
          <w:p>
            <w:pPr>
              <w:pStyle w:val="11"/>
              <w:jc w:val="center"/>
              <w:rPr>
                <w:rFonts w:ascii="新宋体" w:hAnsi="新宋体" w:eastAsia="新宋体" w:cs="新宋体"/>
                <w:color w:val="auto"/>
                <w:highlight w:val="none"/>
              </w:rPr>
            </w:pPr>
            <w:r>
              <w:rPr>
                <w:rFonts w:hint="eastAsia" w:ascii="新宋体" w:hAnsi="新宋体" w:eastAsia="新宋体" w:cs="新宋体"/>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11"/>
              <w:jc w:val="center"/>
              <w:rPr>
                <w:rFonts w:ascii="新宋体" w:hAnsi="新宋体" w:eastAsia="新宋体" w:cs="新宋体"/>
                <w:color w:val="auto"/>
                <w:spacing w:val="-20"/>
                <w:highlight w:val="none"/>
              </w:rPr>
            </w:pPr>
            <w:r>
              <w:rPr>
                <w:rFonts w:hint="eastAsia" w:ascii="新宋体" w:hAnsi="新宋体" w:eastAsia="新宋体" w:cs="新宋体"/>
                <w:color w:val="auto"/>
                <w:spacing w:val="-20"/>
                <w:highlight w:val="none"/>
              </w:rPr>
              <w:t>1</w:t>
            </w:r>
          </w:p>
        </w:tc>
        <w:tc>
          <w:tcPr>
            <w:tcW w:w="3945" w:type="dxa"/>
            <w:vAlign w:val="center"/>
          </w:tcPr>
          <w:p>
            <w:pPr>
              <w:pStyle w:val="11"/>
              <w:spacing w:line="600" w:lineRule="exact"/>
              <w:jc w:val="center"/>
              <w:rPr>
                <w:rFonts w:ascii="新宋体" w:hAnsi="新宋体" w:eastAsia="新宋体" w:cs="新宋体"/>
                <w:color w:val="auto"/>
                <w:highlight w:val="none"/>
              </w:rPr>
            </w:pPr>
          </w:p>
        </w:tc>
        <w:tc>
          <w:tcPr>
            <w:tcW w:w="3720" w:type="dxa"/>
            <w:vAlign w:val="center"/>
          </w:tcPr>
          <w:p>
            <w:pPr>
              <w:pStyle w:val="11"/>
              <w:spacing w:line="600" w:lineRule="exact"/>
              <w:jc w:val="center"/>
              <w:rPr>
                <w:rFonts w:ascii="新宋体" w:hAnsi="新宋体" w:eastAsia="新宋体" w:cs="新宋体"/>
                <w:color w:val="auto"/>
                <w:highlight w:val="none"/>
              </w:rPr>
            </w:pPr>
          </w:p>
        </w:tc>
        <w:tc>
          <w:tcPr>
            <w:tcW w:w="1260" w:type="dxa"/>
            <w:vAlign w:val="center"/>
          </w:tcPr>
          <w:p>
            <w:pPr>
              <w:pStyle w:val="11"/>
              <w:spacing w:line="600" w:lineRule="exact"/>
              <w:jc w:val="center"/>
              <w:rPr>
                <w:rFonts w:ascii="新宋体" w:hAnsi="新宋体" w:eastAsia="新宋体" w:cs="新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11"/>
              <w:jc w:val="center"/>
              <w:rPr>
                <w:rFonts w:ascii="新宋体" w:hAnsi="新宋体" w:eastAsia="新宋体" w:cs="新宋体"/>
                <w:color w:val="auto"/>
                <w:spacing w:val="-20"/>
                <w:highlight w:val="none"/>
              </w:rPr>
            </w:pPr>
            <w:r>
              <w:rPr>
                <w:rFonts w:hint="eastAsia" w:ascii="新宋体" w:hAnsi="新宋体" w:eastAsia="新宋体" w:cs="新宋体"/>
                <w:color w:val="auto"/>
                <w:spacing w:val="-20"/>
                <w:highlight w:val="none"/>
              </w:rPr>
              <w:t>2</w:t>
            </w:r>
          </w:p>
        </w:tc>
        <w:tc>
          <w:tcPr>
            <w:tcW w:w="3945" w:type="dxa"/>
            <w:vAlign w:val="center"/>
          </w:tcPr>
          <w:p>
            <w:pPr>
              <w:pStyle w:val="11"/>
              <w:spacing w:line="600" w:lineRule="exact"/>
              <w:jc w:val="center"/>
              <w:rPr>
                <w:rFonts w:ascii="新宋体" w:hAnsi="新宋体" w:eastAsia="新宋体" w:cs="新宋体"/>
                <w:color w:val="auto"/>
                <w:highlight w:val="none"/>
              </w:rPr>
            </w:pPr>
          </w:p>
        </w:tc>
        <w:tc>
          <w:tcPr>
            <w:tcW w:w="3720" w:type="dxa"/>
            <w:vAlign w:val="center"/>
          </w:tcPr>
          <w:p>
            <w:pPr>
              <w:pStyle w:val="11"/>
              <w:spacing w:line="600" w:lineRule="exact"/>
              <w:jc w:val="center"/>
              <w:rPr>
                <w:rFonts w:ascii="新宋体" w:hAnsi="新宋体" w:eastAsia="新宋体" w:cs="新宋体"/>
                <w:color w:val="auto"/>
                <w:highlight w:val="none"/>
              </w:rPr>
            </w:pPr>
          </w:p>
        </w:tc>
        <w:tc>
          <w:tcPr>
            <w:tcW w:w="1260" w:type="dxa"/>
            <w:vAlign w:val="center"/>
          </w:tcPr>
          <w:p>
            <w:pPr>
              <w:pStyle w:val="11"/>
              <w:spacing w:line="600" w:lineRule="exact"/>
              <w:jc w:val="center"/>
              <w:rPr>
                <w:rFonts w:ascii="新宋体" w:hAnsi="新宋体" w:eastAsia="新宋体" w:cs="新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11"/>
              <w:jc w:val="center"/>
              <w:rPr>
                <w:rFonts w:ascii="新宋体" w:hAnsi="新宋体" w:eastAsia="新宋体" w:cs="新宋体"/>
                <w:color w:val="auto"/>
                <w:spacing w:val="-20"/>
                <w:highlight w:val="none"/>
              </w:rPr>
            </w:pPr>
            <w:r>
              <w:rPr>
                <w:rFonts w:hint="eastAsia" w:ascii="新宋体" w:hAnsi="新宋体" w:eastAsia="新宋体" w:cs="新宋体"/>
                <w:color w:val="auto"/>
                <w:spacing w:val="-20"/>
                <w:highlight w:val="none"/>
              </w:rPr>
              <w:t>...</w:t>
            </w:r>
          </w:p>
        </w:tc>
        <w:tc>
          <w:tcPr>
            <w:tcW w:w="3945" w:type="dxa"/>
            <w:vAlign w:val="center"/>
          </w:tcPr>
          <w:p>
            <w:pPr>
              <w:pStyle w:val="11"/>
              <w:spacing w:line="600" w:lineRule="exact"/>
              <w:jc w:val="center"/>
              <w:rPr>
                <w:rFonts w:ascii="新宋体" w:hAnsi="新宋体" w:eastAsia="新宋体" w:cs="新宋体"/>
                <w:color w:val="auto"/>
                <w:highlight w:val="none"/>
              </w:rPr>
            </w:pPr>
          </w:p>
        </w:tc>
        <w:tc>
          <w:tcPr>
            <w:tcW w:w="3720" w:type="dxa"/>
            <w:vAlign w:val="center"/>
          </w:tcPr>
          <w:p>
            <w:pPr>
              <w:pStyle w:val="11"/>
              <w:spacing w:line="600" w:lineRule="exact"/>
              <w:jc w:val="center"/>
              <w:rPr>
                <w:rFonts w:ascii="新宋体" w:hAnsi="新宋体" w:eastAsia="新宋体" w:cs="新宋体"/>
                <w:color w:val="auto"/>
                <w:highlight w:val="none"/>
              </w:rPr>
            </w:pPr>
          </w:p>
        </w:tc>
        <w:tc>
          <w:tcPr>
            <w:tcW w:w="1260" w:type="dxa"/>
            <w:vAlign w:val="center"/>
          </w:tcPr>
          <w:p>
            <w:pPr>
              <w:pStyle w:val="11"/>
              <w:spacing w:line="600" w:lineRule="exact"/>
              <w:jc w:val="center"/>
              <w:rPr>
                <w:rFonts w:ascii="新宋体" w:hAnsi="新宋体" w:eastAsia="新宋体" w:cs="新宋体"/>
                <w:color w:val="auto"/>
                <w:highlight w:val="none"/>
              </w:rPr>
            </w:pPr>
          </w:p>
        </w:tc>
      </w:tr>
    </w:tbl>
    <w:p>
      <w:pPr>
        <w:pStyle w:val="11"/>
        <w:spacing w:line="600" w:lineRule="exact"/>
        <w:rPr>
          <w:rFonts w:ascii="新宋体" w:hAnsi="新宋体" w:eastAsia="新宋体" w:cs="新宋体"/>
          <w:color w:val="auto"/>
          <w:highlight w:val="none"/>
        </w:rPr>
      </w:pPr>
    </w:p>
    <w:p>
      <w:pPr>
        <w:pStyle w:val="11"/>
        <w:spacing w:line="600" w:lineRule="exact"/>
        <w:rPr>
          <w:rFonts w:ascii="新宋体" w:hAnsi="新宋体" w:eastAsia="新宋体" w:cs="新宋体"/>
          <w:color w:val="auto"/>
          <w:highlight w:val="none"/>
        </w:rPr>
      </w:pPr>
    </w:p>
    <w:p>
      <w:pPr>
        <w:pStyle w:val="11"/>
        <w:spacing w:line="600" w:lineRule="exact"/>
        <w:rPr>
          <w:rFonts w:ascii="新宋体" w:hAnsi="新宋体" w:eastAsia="新宋体" w:cs="新宋体"/>
          <w:color w:val="auto"/>
          <w:highlight w:val="none"/>
        </w:rPr>
      </w:pPr>
    </w:p>
    <w:p>
      <w:pPr>
        <w:pStyle w:val="11"/>
        <w:spacing w:line="600" w:lineRule="exact"/>
        <w:rPr>
          <w:rFonts w:ascii="新宋体" w:hAnsi="新宋体" w:eastAsia="新宋体" w:cs="新宋体"/>
          <w:color w:val="auto"/>
          <w:highlight w:val="none"/>
        </w:rPr>
      </w:pPr>
    </w:p>
    <w:p>
      <w:pPr>
        <w:pStyle w:val="11"/>
        <w:spacing w:line="600" w:lineRule="exact"/>
        <w:rPr>
          <w:rFonts w:ascii="新宋体" w:hAnsi="新宋体" w:eastAsia="新宋体" w:cs="新宋体"/>
          <w:color w:val="auto"/>
          <w:highlight w:val="none"/>
        </w:rPr>
      </w:pPr>
    </w:p>
    <w:p>
      <w:pPr>
        <w:pStyle w:val="11"/>
        <w:spacing w:line="600" w:lineRule="exact"/>
        <w:ind w:firstLine="105" w:firstLineChars="50"/>
        <w:rPr>
          <w:rFonts w:ascii="新宋体" w:hAnsi="新宋体" w:eastAsia="新宋体" w:cs="新宋体"/>
          <w:color w:val="auto"/>
          <w:highlight w:val="none"/>
          <w:u w:val="single"/>
        </w:rPr>
      </w:pPr>
      <w:r>
        <w:rPr>
          <w:rFonts w:hint="eastAsia" w:ascii="新宋体" w:hAnsi="新宋体" w:eastAsia="新宋体" w:cs="新宋体"/>
          <w:color w:val="auto"/>
          <w:highlight w:val="none"/>
        </w:rPr>
        <w:t>磋商供应商（盖单位公章）：</w:t>
      </w:r>
      <w:r>
        <w:rPr>
          <w:rFonts w:hint="eastAsia"/>
          <w:color w:val="auto"/>
          <w:highlight w:val="none"/>
          <w:u w:val="single"/>
        </w:rPr>
        <w:t xml:space="preserve">                                     </w:t>
      </w:r>
    </w:p>
    <w:p>
      <w:pPr>
        <w:pStyle w:val="11"/>
        <w:spacing w:line="600" w:lineRule="exact"/>
        <w:ind w:firstLine="105" w:firstLineChars="50"/>
        <w:rPr>
          <w:rFonts w:ascii="新宋体" w:hAnsi="新宋体" w:eastAsia="新宋体" w:cs="新宋体"/>
          <w:color w:val="auto"/>
          <w:highlight w:val="none"/>
          <w:u w:val="single"/>
        </w:rPr>
      </w:pPr>
    </w:p>
    <w:p>
      <w:pPr>
        <w:pStyle w:val="11"/>
        <w:spacing w:line="600" w:lineRule="exact"/>
        <w:ind w:firstLine="105" w:firstLineChars="50"/>
        <w:jc w:val="left"/>
        <w:outlineLvl w:val="9"/>
        <w:rPr>
          <w:rFonts w:ascii="新宋体" w:hAnsi="新宋体" w:eastAsia="新宋体" w:cs="新宋体"/>
          <w:color w:val="auto"/>
          <w:highlight w:val="none"/>
          <w:u w:val="single"/>
        </w:rPr>
      </w:pPr>
      <w:r>
        <w:rPr>
          <w:rFonts w:hint="eastAsia" w:ascii="新宋体" w:hAnsi="新宋体" w:eastAsia="新宋体" w:cs="新宋体"/>
          <w:color w:val="auto"/>
          <w:highlight w:val="none"/>
        </w:rPr>
        <w:t>法定代表人或其委托代理人（签字或盖章）：</w:t>
      </w:r>
      <w:r>
        <w:rPr>
          <w:rFonts w:hint="eastAsia"/>
          <w:color w:val="auto"/>
          <w:highlight w:val="none"/>
          <w:u w:val="single"/>
        </w:rPr>
        <w:t xml:space="preserve">                       </w:t>
      </w:r>
    </w:p>
    <w:p>
      <w:pPr>
        <w:pStyle w:val="11"/>
        <w:spacing w:line="500" w:lineRule="exact"/>
        <w:jc w:val="center"/>
        <w:rPr>
          <w:rFonts w:ascii="新宋体" w:hAnsi="新宋体" w:eastAsia="新宋体" w:cs="新宋体"/>
          <w:b/>
          <w:bCs/>
          <w:color w:val="auto"/>
          <w:sz w:val="32"/>
          <w:szCs w:val="32"/>
          <w:highlight w:val="none"/>
        </w:rPr>
      </w:pPr>
    </w:p>
    <w:p>
      <w:pPr>
        <w:pStyle w:val="11"/>
        <w:spacing w:line="500" w:lineRule="exact"/>
        <w:jc w:val="center"/>
        <w:rPr>
          <w:rFonts w:ascii="新宋体" w:hAnsi="新宋体" w:eastAsia="新宋体" w:cs="新宋体"/>
          <w:b/>
          <w:bCs/>
          <w:color w:val="auto"/>
          <w:sz w:val="32"/>
          <w:szCs w:val="32"/>
          <w:highlight w:val="none"/>
        </w:rPr>
      </w:pPr>
    </w:p>
    <w:p>
      <w:pPr>
        <w:pStyle w:val="11"/>
        <w:spacing w:line="500" w:lineRule="exact"/>
        <w:rPr>
          <w:rFonts w:ascii="新宋体" w:hAnsi="新宋体" w:eastAsia="新宋体" w:cs="新宋体"/>
          <w:b/>
          <w:bCs/>
          <w:color w:val="auto"/>
          <w:sz w:val="32"/>
          <w:szCs w:val="32"/>
          <w:highlight w:val="none"/>
        </w:rPr>
      </w:pPr>
    </w:p>
    <w:p>
      <w:pPr>
        <w:pStyle w:val="11"/>
        <w:spacing w:line="500" w:lineRule="exact"/>
        <w:rPr>
          <w:rFonts w:ascii="新宋体" w:hAnsi="新宋体" w:eastAsia="新宋体" w:cs="新宋体"/>
          <w:b/>
          <w:bCs/>
          <w:color w:val="auto"/>
          <w:sz w:val="32"/>
          <w:szCs w:val="32"/>
          <w:highlight w:val="none"/>
        </w:rPr>
      </w:pPr>
    </w:p>
    <w:p>
      <w:pPr>
        <w:pStyle w:val="11"/>
        <w:spacing w:line="500" w:lineRule="exact"/>
        <w:rPr>
          <w:rFonts w:ascii="新宋体" w:hAnsi="新宋体" w:eastAsia="新宋体" w:cs="新宋体"/>
          <w:b/>
          <w:bCs/>
          <w:color w:val="auto"/>
          <w:sz w:val="32"/>
          <w:szCs w:val="32"/>
          <w:highlight w:val="none"/>
        </w:rPr>
      </w:pPr>
    </w:p>
    <w:p>
      <w:pPr>
        <w:pStyle w:val="11"/>
        <w:spacing w:line="500" w:lineRule="exact"/>
        <w:rPr>
          <w:rFonts w:ascii="新宋体" w:hAnsi="新宋体" w:eastAsia="新宋体" w:cs="新宋体"/>
          <w:b/>
          <w:bCs/>
          <w:color w:val="auto"/>
          <w:sz w:val="32"/>
          <w:szCs w:val="32"/>
          <w:highlight w:val="none"/>
        </w:rPr>
      </w:pPr>
    </w:p>
    <w:p>
      <w:pPr>
        <w:rPr>
          <w:rFonts w:ascii="新宋体" w:hAnsi="新宋体" w:eastAsia="新宋体" w:cs="新宋体"/>
          <w:b/>
          <w:bCs/>
          <w:color w:val="auto"/>
          <w:sz w:val="32"/>
          <w:szCs w:val="32"/>
          <w:highlight w:val="none"/>
        </w:rPr>
      </w:pPr>
    </w:p>
    <w:p>
      <w:pPr>
        <w:pStyle w:val="2"/>
      </w:pPr>
    </w:p>
    <w:p>
      <w:pPr>
        <w:pStyle w:val="11"/>
        <w:spacing w:line="500" w:lineRule="exact"/>
        <w:jc w:val="center"/>
        <w:rPr>
          <w:rFonts w:ascii="新宋体" w:hAnsi="新宋体" w:eastAsia="新宋体" w:cs="新宋体"/>
          <w:b/>
          <w:bCs/>
          <w:color w:val="auto"/>
          <w:sz w:val="32"/>
          <w:szCs w:val="32"/>
          <w:highlight w:val="none"/>
        </w:rPr>
      </w:pPr>
      <w:r>
        <w:rPr>
          <w:rFonts w:hint="eastAsia" w:ascii="新宋体" w:hAnsi="新宋体" w:eastAsia="新宋体" w:cs="新宋体"/>
          <w:b/>
          <w:bCs/>
          <w:color w:val="auto"/>
          <w:sz w:val="32"/>
          <w:szCs w:val="32"/>
          <w:highlight w:val="none"/>
        </w:rPr>
        <w:t>法定代表人授权委托书（格式）</w:t>
      </w:r>
    </w:p>
    <w:p>
      <w:pPr>
        <w:pStyle w:val="11"/>
        <w:spacing w:line="500" w:lineRule="exact"/>
        <w:ind w:firstLine="420" w:firstLineChars="200"/>
        <w:rPr>
          <w:rFonts w:ascii="新宋体" w:hAnsi="新宋体" w:eastAsia="新宋体" w:cs="新宋体"/>
          <w:color w:val="auto"/>
          <w:highlight w:val="none"/>
          <w:u w:val="single"/>
        </w:rPr>
      </w:pPr>
    </w:p>
    <w:p>
      <w:pPr>
        <w:pStyle w:val="11"/>
        <w:spacing w:line="44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致：</w:t>
      </w:r>
      <w:r>
        <w:rPr>
          <w:rFonts w:hint="eastAsia"/>
          <w:color w:val="auto"/>
          <w:highlight w:val="none"/>
          <w:u w:val="single"/>
        </w:rPr>
        <w:t xml:space="preserve">                       </w:t>
      </w:r>
      <w:r>
        <w:rPr>
          <w:rFonts w:hint="eastAsia" w:ascii="新宋体" w:hAnsi="新宋体" w:eastAsia="新宋体" w:cs="新宋体"/>
          <w:color w:val="auto"/>
          <w:highlight w:val="none"/>
        </w:rPr>
        <w:t>（采购单位名称）</w:t>
      </w:r>
    </w:p>
    <w:p>
      <w:pPr>
        <w:pStyle w:val="11"/>
        <w:spacing w:line="440" w:lineRule="exact"/>
        <w:ind w:firstLine="420" w:firstLineChars="200"/>
        <w:rPr>
          <w:rFonts w:ascii="新宋体" w:hAnsi="新宋体" w:eastAsia="新宋体" w:cs="新宋体"/>
          <w:color w:val="auto"/>
          <w:highlight w:val="none"/>
        </w:rPr>
      </w:pPr>
    </w:p>
    <w:p>
      <w:pPr>
        <w:pStyle w:val="11"/>
        <w:spacing w:line="440" w:lineRule="exact"/>
        <w:ind w:left="105" w:leftChars="50" w:firstLine="315" w:firstLineChars="150"/>
        <w:rPr>
          <w:rFonts w:ascii="新宋体" w:hAnsi="新宋体" w:eastAsia="新宋体" w:cs="新宋体"/>
          <w:color w:val="auto"/>
          <w:highlight w:val="none"/>
        </w:rPr>
      </w:pPr>
      <w:r>
        <w:rPr>
          <w:rFonts w:hint="eastAsia" w:ascii="新宋体" w:hAnsi="新宋体" w:eastAsia="新宋体" w:cs="新宋体"/>
          <w:color w:val="auto"/>
          <w:highlight w:val="none"/>
        </w:rPr>
        <w:t>本人（姓名）</w:t>
      </w:r>
      <w:r>
        <w:rPr>
          <w:rFonts w:hint="eastAsia"/>
          <w:color w:val="auto"/>
          <w:highlight w:val="none"/>
          <w:u w:val="single"/>
        </w:rPr>
        <w:t xml:space="preserve">        </w:t>
      </w:r>
      <w:r>
        <w:rPr>
          <w:rFonts w:hint="eastAsia" w:ascii="新宋体" w:hAnsi="新宋体" w:eastAsia="新宋体" w:cs="新宋体"/>
          <w:color w:val="auto"/>
          <w:highlight w:val="none"/>
        </w:rPr>
        <w:t>系</w:t>
      </w:r>
      <w:r>
        <w:rPr>
          <w:rFonts w:hint="eastAsia"/>
          <w:color w:val="auto"/>
          <w:highlight w:val="none"/>
          <w:u w:val="single"/>
        </w:rPr>
        <w:t xml:space="preserve">                       </w:t>
      </w:r>
      <w:r>
        <w:rPr>
          <w:rFonts w:hint="eastAsia" w:ascii="新宋体" w:hAnsi="新宋体" w:eastAsia="新宋体" w:cs="新宋体"/>
          <w:color w:val="auto"/>
          <w:highlight w:val="none"/>
        </w:rPr>
        <w:t>（磋商供应商名称）的法定代表人，现授权</w:t>
      </w:r>
      <w:r>
        <w:rPr>
          <w:rFonts w:hint="eastAsia"/>
          <w:color w:val="auto"/>
          <w:highlight w:val="none"/>
          <w:u w:val="single"/>
        </w:rPr>
        <w:t xml:space="preserve">                                                                                                       </w:t>
      </w:r>
      <w:r>
        <w:rPr>
          <w:rFonts w:hint="eastAsia" w:ascii="新宋体" w:hAnsi="新宋体" w:eastAsia="新宋体" w:cs="新宋体"/>
          <w:color w:val="auto"/>
          <w:highlight w:val="none"/>
        </w:rPr>
        <w:t>（姓名和职务）</w:t>
      </w:r>
      <w:r>
        <w:rPr>
          <w:rFonts w:hint="eastAsia"/>
          <w:color w:val="auto"/>
          <w:highlight w:val="none"/>
          <w:u w:val="single"/>
        </w:rPr>
        <w:t xml:space="preserve">                       </w:t>
      </w:r>
      <w:r>
        <w:rPr>
          <w:rFonts w:hint="eastAsia" w:ascii="新宋体" w:hAnsi="新宋体" w:eastAsia="新宋体" w:cs="新宋体"/>
          <w:color w:val="auto"/>
          <w:highlight w:val="none"/>
        </w:rPr>
        <w:t>为我方代理人。代理人根据授权，以我方名义签署、澄清、说明、补正、提交、撤回、修改贵方组织的项目</w:t>
      </w:r>
      <w:r>
        <w:rPr>
          <w:rFonts w:hint="eastAsia"/>
          <w:color w:val="auto"/>
          <w:highlight w:val="none"/>
          <w:u w:val="single"/>
        </w:rPr>
        <w:t xml:space="preserve">                       </w:t>
      </w:r>
      <w:r>
        <w:rPr>
          <w:rFonts w:hint="eastAsia" w:ascii="新宋体" w:hAnsi="新宋体" w:eastAsia="新宋体" w:cs="新宋体"/>
          <w:color w:val="auto"/>
          <w:highlight w:val="none"/>
        </w:rPr>
        <w:t>（项目编号：</w:t>
      </w:r>
      <w:r>
        <w:rPr>
          <w:rFonts w:hint="eastAsia"/>
          <w:color w:val="auto"/>
          <w:highlight w:val="none"/>
          <w:u w:val="single"/>
        </w:rPr>
        <w:t xml:space="preserve">                       </w:t>
      </w:r>
      <w:r>
        <w:rPr>
          <w:rFonts w:hint="eastAsia" w:ascii="新宋体" w:hAnsi="新宋体" w:eastAsia="新宋体" w:cs="新宋体"/>
          <w:color w:val="auto"/>
          <w:highlight w:val="none"/>
        </w:rPr>
        <w:t>）的响应文件、签订合同和处理一切有关事宜，其法律后果由我方承担。</w:t>
      </w:r>
    </w:p>
    <w:p>
      <w:pPr>
        <w:pStyle w:val="11"/>
        <w:spacing w:line="360" w:lineRule="auto"/>
        <w:ind w:firstLine="435"/>
        <w:rPr>
          <w:rFonts w:ascii="新宋体" w:hAnsi="新宋体" w:eastAsia="新宋体" w:cs="新宋体"/>
          <w:color w:val="auto"/>
          <w:highlight w:val="none"/>
        </w:rPr>
      </w:pPr>
      <w:r>
        <w:rPr>
          <w:rFonts w:hint="eastAsia" w:ascii="新宋体" w:hAnsi="新宋体" w:eastAsia="新宋体" w:cs="新宋体"/>
          <w:color w:val="auto"/>
          <w:highlight w:val="none"/>
        </w:rPr>
        <w:t>本授权书于</w:t>
      </w:r>
      <w:r>
        <w:rPr>
          <w:rFonts w:hint="eastAsia"/>
          <w:color w:val="auto"/>
          <w:highlight w:val="none"/>
          <w:u w:val="single"/>
        </w:rPr>
        <w:t xml:space="preserve">     </w:t>
      </w:r>
      <w:r>
        <w:rPr>
          <w:rFonts w:hint="eastAsia" w:ascii="新宋体" w:hAnsi="新宋体" w:eastAsia="新宋体" w:cs="新宋体"/>
          <w:color w:val="auto"/>
          <w:highlight w:val="none"/>
        </w:rPr>
        <w:t>年</w:t>
      </w:r>
      <w:r>
        <w:rPr>
          <w:rFonts w:hint="eastAsia"/>
          <w:color w:val="auto"/>
          <w:highlight w:val="none"/>
          <w:u w:val="single"/>
        </w:rPr>
        <w:t xml:space="preserve">    </w:t>
      </w:r>
      <w:r>
        <w:rPr>
          <w:rFonts w:hint="eastAsia" w:ascii="新宋体" w:hAnsi="新宋体" w:eastAsia="新宋体" w:cs="新宋体"/>
          <w:color w:val="auto"/>
          <w:highlight w:val="none"/>
        </w:rPr>
        <w:t>月</w:t>
      </w:r>
      <w:r>
        <w:rPr>
          <w:rFonts w:hint="eastAsia"/>
          <w:color w:val="auto"/>
          <w:highlight w:val="none"/>
          <w:u w:val="single"/>
        </w:rPr>
        <w:t xml:space="preserve">     </w:t>
      </w:r>
      <w:r>
        <w:rPr>
          <w:rFonts w:hint="eastAsia" w:ascii="新宋体" w:hAnsi="新宋体" w:eastAsia="新宋体" w:cs="新宋体"/>
          <w:color w:val="auto"/>
          <w:highlight w:val="none"/>
        </w:rPr>
        <w:t>日签字生效，委托期限：</w:t>
      </w:r>
      <w:r>
        <w:rPr>
          <w:rFonts w:hint="eastAsia"/>
          <w:color w:val="auto"/>
          <w:highlight w:val="none"/>
          <w:u w:val="single"/>
        </w:rPr>
        <w:t xml:space="preserve">                       </w:t>
      </w:r>
      <w:r>
        <w:rPr>
          <w:rFonts w:hint="eastAsia" w:ascii="新宋体" w:hAnsi="新宋体" w:eastAsia="新宋体" w:cs="新宋体"/>
          <w:color w:val="auto"/>
          <w:highlight w:val="none"/>
        </w:rPr>
        <w:t>。</w:t>
      </w:r>
    </w:p>
    <w:p>
      <w:pPr>
        <w:pStyle w:val="11"/>
        <w:spacing w:line="360" w:lineRule="auto"/>
        <w:ind w:firstLine="420"/>
        <w:rPr>
          <w:rFonts w:ascii="新宋体" w:hAnsi="新宋体" w:eastAsia="新宋体" w:cs="新宋体"/>
          <w:color w:val="auto"/>
          <w:highlight w:val="none"/>
        </w:rPr>
      </w:pPr>
      <w:r>
        <w:rPr>
          <w:rFonts w:hint="eastAsia" w:ascii="新宋体" w:hAnsi="新宋体" w:eastAsia="新宋体" w:cs="新宋体"/>
          <w:color w:val="auto"/>
          <w:highlight w:val="none"/>
        </w:rPr>
        <w:t>代理人无转委托权。</w:t>
      </w:r>
    </w:p>
    <w:p>
      <w:pPr>
        <w:pStyle w:val="11"/>
        <w:spacing w:line="360" w:lineRule="auto"/>
        <w:ind w:firstLine="420"/>
        <w:rPr>
          <w:rFonts w:ascii="新宋体" w:hAnsi="新宋体" w:eastAsia="新宋体" w:cs="新宋体"/>
          <w:color w:val="auto"/>
          <w:highlight w:val="none"/>
        </w:rPr>
      </w:pPr>
    </w:p>
    <w:p>
      <w:pPr>
        <w:pStyle w:val="11"/>
        <w:spacing w:line="360" w:lineRule="auto"/>
        <w:ind w:firstLine="420"/>
        <w:rPr>
          <w:rFonts w:ascii="新宋体" w:hAnsi="新宋体" w:eastAsia="新宋体" w:cs="新宋体"/>
          <w:color w:val="auto"/>
          <w:highlight w:val="none"/>
          <w:u w:val="single"/>
        </w:rPr>
      </w:pPr>
      <w:r>
        <w:rPr>
          <w:rFonts w:hint="eastAsia" w:ascii="新宋体" w:hAnsi="新宋体" w:eastAsia="新宋体" w:cs="新宋体"/>
          <w:color w:val="auto"/>
          <w:highlight w:val="none"/>
        </w:rPr>
        <w:t>磋商供应商（盖单位公章）：</w:t>
      </w:r>
      <w:r>
        <w:rPr>
          <w:rFonts w:hint="eastAsia"/>
          <w:color w:val="auto"/>
          <w:highlight w:val="none"/>
          <w:u w:val="single"/>
        </w:rPr>
        <w:t xml:space="preserve">                                     </w:t>
      </w:r>
    </w:p>
    <w:p>
      <w:pPr>
        <w:pStyle w:val="11"/>
        <w:spacing w:line="360" w:lineRule="auto"/>
        <w:ind w:firstLine="420"/>
        <w:rPr>
          <w:rFonts w:ascii="新宋体" w:hAnsi="新宋体" w:eastAsia="新宋体" w:cs="新宋体"/>
          <w:color w:val="auto"/>
          <w:highlight w:val="none"/>
          <w:u w:val="single"/>
        </w:rPr>
      </w:pPr>
      <w:r>
        <w:rPr>
          <w:rFonts w:hint="eastAsia" w:ascii="新宋体" w:hAnsi="新宋体" w:eastAsia="新宋体" w:cs="新宋体"/>
          <w:color w:val="auto"/>
          <w:highlight w:val="none"/>
        </w:rPr>
        <w:t>法定代表人（签字或盖章）：</w:t>
      </w:r>
      <w:r>
        <w:rPr>
          <w:rFonts w:hint="eastAsia"/>
          <w:color w:val="auto"/>
          <w:highlight w:val="none"/>
          <w:u w:val="single"/>
        </w:rPr>
        <w:t xml:space="preserve">                                     </w:t>
      </w:r>
    </w:p>
    <w:p>
      <w:pPr>
        <w:pStyle w:val="11"/>
        <w:spacing w:line="360" w:lineRule="auto"/>
        <w:ind w:firstLine="420"/>
        <w:rPr>
          <w:rFonts w:ascii="新宋体" w:hAnsi="新宋体" w:eastAsia="新宋体" w:cs="新宋体"/>
          <w:color w:val="auto"/>
          <w:highlight w:val="none"/>
          <w:u w:val="single"/>
        </w:rPr>
      </w:pPr>
      <w:r>
        <w:rPr>
          <w:rFonts w:hint="eastAsia" w:ascii="新宋体" w:hAnsi="新宋体" w:eastAsia="新宋体" w:cs="新宋体"/>
          <w:color w:val="auto"/>
          <w:highlight w:val="none"/>
        </w:rPr>
        <w:t>法定代表人身份证号码：</w:t>
      </w:r>
      <w:r>
        <w:rPr>
          <w:rFonts w:hint="eastAsia"/>
          <w:color w:val="auto"/>
          <w:highlight w:val="none"/>
          <w:u w:val="single"/>
        </w:rPr>
        <w:t xml:space="preserve">                                         </w:t>
      </w:r>
    </w:p>
    <w:p>
      <w:pPr>
        <w:pStyle w:val="11"/>
        <w:spacing w:line="360" w:lineRule="auto"/>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委托代理人（签字或盖章）：</w:t>
      </w:r>
      <w:r>
        <w:rPr>
          <w:rFonts w:hint="eastAsia"/>
          <w:color w:val="auto"/>
          <w:highlight w:val="none"/>
          <w:u w:val="single"/>
        </w:rPr>
        <w:t xml:space="preserve">                                     </w:t>
      </w:r>
    </w:p>
    <w:p>
      <w:pPr>
        <w:pStyle w:val="11"/>
        <w:spacing w:line="360" w:lineRule="auto"/>
        <w:ind w:firstLine="420"/>
        <w:rPr>
          <w:rFonts w:ascii="新宋体" w:hAnsi="新宋体" w:eastAsia="新宋体" w:cs="新宋体"/>
          <w:color w:val="auto"/>
          <w:highlight w:val="none"/>
          <w:u w:val="single"/>
        </w:rPr>
      </w:pPr>
      <w:r>
        <w:rPr>
          <w:rFonts w:hint="eastAsia" w:ascii="新宋体" w:hAnsi="新宋体" w:eastAsia="新宋体" w:cs="新宋体"/>
          <w:color w:val="auto"/>
          <w:highlight w:val="none"/>
        </w:rPr>
        <w:t>委托代理人身份证号码：</w:t>
      </w:r>
      <w:r>
        <w:rPr>
          <w:rFonts w:hint="eastAsia"/>
          <w:color w:val="auto"/>
          <w:highlight w:val="none"/>
          <w:u w:val="single"/>
        </w:rPr>
        <w:t xml:space="preserve">                                        </w:t>
      </w:r>
    </w:p>
    <w:p>
      <w:pPr>
        <w:rPr>
          <w:color w:val="auto"/>
          <w:highlight w:val="none"/>
        </w:rPr>
      </w:pPr>
    </w:p>
    <w:p>
      <w:pPr>
        <w:pStyle w:val="11"/>
        <w:spacing w:line="500" w:lineRule="exact"/>
        <w:rPr>
          <w:rFonts w:ascii="新宋体" w:hAnsi="新宋体" w:eastAsia="新宋体" w:cs="新宋体"/>
          <w:b/>
          <w:bCs/>
          <w:color w:val="auto"/>
          <w:sz w:val="32"/>
          <w:szCs w:val="32"/>
          <w:highlight w:val="none"/>
        </w:rPr>
      </w:pPr>
    </w:p>
    <w:p>
      <w:pPr>
        <w:pStyle w:val="11"/>
        <w:spacing w:line="500" w:lineRule="exact"/>
        <w:rPr>
          <w:rFonts w:ascii="新宋体" w:hAnsi="新宋体" w:eastAsia="新宋体" w:cs="新宋体"/>
          <w:b/>
          <w:bCs/>
          <w:color w:val="auto"/>
          <w:sz w:val="32"/>
          <w:szCs w:val="32"/>
          <w:highlight w:val="none"/>
        </w:rPr>
        <w:sectPr>
          <w:pgSz w:w="11906" w:h="16838"/>
          <w:pgMar w:top="1020" w:right="1049" w:bottom="1440" w:left="998" w:header="851" w:footer="992" w:gutter="0"/>
          <w:pgNumType w:fmt="decimal"/>
          <w:cols w:space="720" w:num="1"/>
          <w:docGrid w:type="lines" w:linePitch="312" w:charSpace="0"/>
        </w:sectPr>
      </w:pPr>
    </w:p>
    <w:p>
      <w:pPr>
        <w:widowControl/>
        <w:spacing w:line="360" w:lineRule="auto"/>
        <w:jc w:val="center"/>
        <w:rPr>
          <w:rFonts w:hint="eastAsia" w:ascii="宋体" w:hAnsi="宋体" w:cs="宋体"/>
          <w:b/>
          <w:sz w:val="32"/>
          <w:szCs w:val="32"/>
        </w:rPr>
      </w:pPr>
      <w:r>
        <w:rPr>
          <w:rFonts w:hint="eastAsia" w:ascii="宋体" w:hAnsi="宋体" w:cs="宋体"/>
          <w:b/>
          <w:bCs/>
          <w:sz w:val="32"/>
          <w:szCs w:val="32"/>
        </w:rPr>
        <w:t>项目实施人员一览表</w:t>
      </w:r>
      <w:r>
        <w:rPr>
          <w:rFonts w:hint="eastAsia" w:ascii="宋体" w:hAnsi="宋体" w:cs="宋体"/>
          <w:b/>
          <w:sz w:val="32"/>
          <w:szCs w:val="32"/>
        </w:rPr>
        <w:t>（格式）</w:t>
      </w:r>
    </w:p>
    <w:p>
      <w:pPr>
        <w:autoSpaceDE w:val="0"/>
        <w:autoSpaceDN w:val="0"/>
        <w:adjustRightInd w:val="0"/>
        <w:jc w:val="center"/>
        <w:rPr>
          <w:rFonts w:hint="eastAsia" w:ascii="宋体" w:hAnsi="宋体" w:cs="宋体"/>
          <w:b/>
          <w:sz w:val="32"/>
          <w:szCs w:val="32"/>
        </w:rPr>
      </w:pPr>
    </w:p>
    <w:p>
      <w:pPr>
        <w:autoSpaceDE w:val="0"/>
        <w:autoSpaceDN w:val="0"/>
        <w:adjustRightInd w:val="0"/>
        <w:spacing w:line="360" w:lineRule="auto"/>
        <w:jc w:val="left"/>
        <w:rPr>
          <w:rFonts w:hint="eastAsia" w:ascii="宋体" w:hAnsi="宋体" w:cs="宋体"/>
          <w:szCs w:val="21"/>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884"/>
        <w:gridCol w:w="2123"/>
        <w:gridCol w:w="2438"/>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noWrap w:val="0"/>
            <w:vAlign w:val="center"/>
          </w:tcPr>
          <w:p>
            <w:pPr>
              <w:snapToGrid w:val="0"/>
              <w:spacing w:before="50" w:after="120" w:afterLines="50"/>
              <w:jc w:val="center"/>
              <w:rPr>
                <w:rFonts w:hint="eastAsia" w:ascii="宋体" w:hAnsi="宋体" w:cs="宋体"/>
                <w:sz w:val="24"/>
                <w:szCs w:val="20"/>
              </w:rPr>
            </w:pPr>
            <w:r>
              <w:rPr>
                <w:rFonts w:hint="eastAsia" w:ascii="宋体" w:hAnsi="宋体" w:cs="宋体"/>
                <w:sz w:val="24"/>
                <w:szCs w:val="20"/>
              </w:rPr>
              <w:t>姓名</w:t>
            </w:r>
          </w:p>
        </w:tc>
        <w:tc>
          <w:tcPr>
            <w:tcW w:w="884" w:type="dxa"/>
            <w:noWrap w:val="0"/>
            <w:vAlign w:val="center"/>
          </w:tcPr>
          <w:p>
            <w:pPr>
              <w:snapToGrid w:val="0"/>
              <w:spacing w:before="50" w:after="120" w:afterLines="50"/>
              <w:jc w:val="center"/>
              <w:rPr>
                <w:rFonts w:hint="eastAsia" w:ascii="宋体" w:hAnsi="宋体" w:cs="宋体"/>
                <w:sz w:val="24"/>
                <w:szCs w:val="20"/>
              </w:rPr>
            </w:pPr>
            <w:r>
              <w:rPr>
                <w:rFonts w:hint="eastAsia" w:ascii="宋体" w:hAnsi="宋体" w:cs="宋体"/>
                <w:sz w:val="24"/>
                <w:szCs w:val="20"/>
              </w:rPr>
              <w:t>职务</w:t>
            </w:r>
          </w:p>
        </w:tc>
        <w:tc>
          <w:tcPr>
            <w:tcW w:w="2123" w:type="dxa"/>
            <w:noWrap w:val="0"/>
            <w:vAlign w:val="center"/>
          </w:tcPr>
          <w:p>
            <w:pPr>
              <w:snapToGrid w:val="0"/>
              <w:spacing w:before="50" w:after="120" w:afterLines="50"/>
              <w:jc w:val="center"/>
              <w:rPr>
                <w:rFonts w:hint="eastAsia" w:ascii="宋体" w:hAnsi="宋体" w:cs="宋体"/>
                <w:sz w:val="24"/>
                <w:szCs w:val="20"/>
              </w:rPr>
            </w:pPr>
            <w:r>
              <w:rPr>
                <w:rFonts w:hint="eastAsia" w:ascii="宋体" w:hAnsi="宋体" w:cs="宋体"/>
                <w:sz w:val="24"/>
                <w:szCs w:val="20"/>
              </w:rPr>
              <w:t>专业技术资格</w:t>
            </w:r>
          </w:p>
        </w:tc>
        <w:tc>
          <w:tcPr>
            <w:tcW w:w="2438" w:type="dxa"/>
            <w:noWrap w:val="0"/>
            <w:vAlign w:val="center"/>
          </w:tcPr>
          <w:p>
            <w:pPr>
              <w:snapToGrid w:val="0"/>
              <w:spacing w:before="50" w:after="120" w:afterLines="50"/>
              <w:jc w:val="center"/>
              <w:rPr>
                <w:rFonts w:hint="eastAsia" w:ascii="宋体" w:hAnsi="宋体" w:cs="宋体"/>
                <w:sz w:val="24"/>
                <w:szCs w:val="20"/>
              </w:rPr>
            </w:pPr>
            <w:r>
              <w:rPr>
                <w:rFonts w:hint="eastAsia" w:ascii="宋体" w:hAnsi="宋体" w:cs="宋体"/>
                <w:sz w:val="24"/>
                <w:szCs w:val="20"/>
              </w:rPr>
              <w:t>本项目主要职责</w:t>
            </w:r>
          </w:p>
        </w:tc>
        <w:tc>
          <w:tcPr>
            <w:tcW w:w="2933" w:type="dxa"/>
            <w:noWrap w:val="0"/>
            <w:vAlign w:val="center"/>
          </w:tcPr>
          <w:p>
            <w:pPr>
              <w:snapToGrid w:val="0"/>
              <w:spacing w:before="50" w:after="120" w:afterLines="50"/>
              <w:jc w:val="center"/>
              <w:rPr>
                <w:rFonts w:hint="eastAsia" w:ascii="宋体" w:hAnsi="宋体" w:cs="宋体"/>
                <w:sz w:val="24"/>
                <w:szCs w:val="20"/>
              </w:rPr>
            </w:pPr>
            <w:r>
              <w:rPr>
                <w:rFonts w:hint="eastAsia" w:ascii="宋体" w:hAnsi="宋体" w:cs="宋体"/>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noWrap w:val="0"/>
            <w:vAlign w:val="center"/>
          </w:tcPr>
          <w:p>
            <w:pPr>
              <w:snapToGrid w:val="0"/>
              <w:spacing w:before="50" w:after="120" w:afterLines="50"/>
              <w:jc w:val="center"/>
              <w:rPr>
                <w:rFonts w:hint="eastAsia" w:ascii="宋体" w:hAnsi="宋体" w:cs="宋体"/>
                <w:sz w:val="24"/>
                <w:szCs w:val="20"/>
              </w:rPr>
            </w:pPr>
          </w:p>
        </w:tc>
        <w:tc>
          <w:tcPr>
            <w:tcW w:w="884" w:type="dxa"/>
            <w:noWrap w:val="0"/>
            <w:vAlign w:val="center"/>
          </w:tcPr>
          <w:p>
            <w:pPr>
              <w:snapToGrid w:val="0"/>
              <w:spacing w:before="50" w:after="120" w:afterLines="50"/>
              <w:jc w:val="center"/>
              <w:rPr>
                <w:rFonts w:hint="eastAsia" w:ascii="宋体" w:hAnsi="宋体" w:cs="宋体"/>
                <w:sz w:val="24"/>
                <w:szCs w:val="20"/>
              </w:rPr>
            </w:pPr>
          </w:p>
        </w:tc>
        <w:tc>
          <w:tcPr>
            <w:tcW w:w="2123" w:type="dxa"/>
            <w:noWrap w:val="0"/>
            <w:vAlign w:val="center"/>
          </w:tcPr>
          <w:p>
            <w:pPr>
              <w:snapToGrid w:val="0"/>
              <w:spacing w:before="50" w:after="120" w:afterLines="50"/>
              <w:jc w:val="center"/>
              <w:rPr>
                <w:rFonts w:hint="eastAsia" w:ascii="宋体" w:hAnsi="宋体" w:cs="宋体"/>
                <w:sz w:val="24"/>
                <w:szCs w:val="20"/>
              </w:rPr>
            </w:pPr>
          </w:p>
        </w:tc>
        <w:tc>
          <w:tcPr>
            <w:tcW w:w="2438" w:type="dxa"/>
            <w:noWrap w:val="0"/>
            <w:vAlign w:val="center"/>
          </w:tcPr>
          <w:p>
            <w:pPr>
              <w:snapToGrid w:val="0"/>
              <w:spacing w:before="50" w:after="120" w:afterLines="50"/>
              <w:jc w:val="center"/>
              <w:rPr>
                <w:rFonts w:hint="eastAsia" w:ascii="宋体" w:hAnsi="宋体" w:cs="宋体"/>
                <w:sz w:val="24"/>
                <w:szCs w:val="20"/>
              </w:rPr>
            </w:pPr>
          </w:p>
        </w:tc>
        <w:tc>
          <w:tcPr>
            <w:tcW w:w="2933" w:type="dxa"/>
            <w:noWrap w:val="0"/>
            <w:vAlign w:val="center"/>
          </w:tcPr>
          <w:p>
            <w:pPr>
              <w:snapToGrid w:val="0"/>
              <w:spacing w:before="50" w:after="120" w:afterLines="50"/>
              <w:jc w:val="center"/>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noWrap w:val="0"/>
            <w:vAlign w:val="center"/>
          </w:tcPr>
          <w:p>
            <w:pPr>
              <w:snapToGrid w:val="0"/>
              <w:spacing w:before="50" w:after="120" w:afterLines="50"/>
              <w:jc w:val="center"/>
              <w:rPr>
                <w:rFonts w:hint="eastAsia" w:ascii="宋体" w:hAnsi="宋体" w:cs="宋体"/>
                <w:sz w:val="24"/>
                <w:szCs w:val="20"/>
              </w:rPr>
            </w:pPr>
          </w:p>
        </w:tc>
        <w:tc>
          <w:tcPr>
            <w:tcW w:w="884" w:type="dxa"/>
            <w:noWrap w:val="0"/>
            <w:vAlign w:val="center"/>
          </w:tcPr>
          <w:p>
            <w:pPr>
              <w:snapToGrid w:val="0"/>
              <w:spacing w:before="50" w:after="120" w:afterLines="50"/>
              <w:jc w:val="center"/>
              <w:rPr>
                <w:rFonts w:hint="eastAsia" w:ascii="宋体" w:hAnsi="宋体" w:cs="宋体"/>
                <w:sz w:val="24"/>
                <w:szCs w:val="20"/>
              </w:rPr>
            </w:pPr>
          </w:p>
        </w:tc>
        <w:tc>
          <w:tcPr>
            <w:tcW w:w="2123" w:type="dxa"/>
            <w:noWrap w:val="0"/>
            <w:vAlign w:val="center"/>
          </w:tcPr>
          <w:p>
            <w:pPr>
              <w:snapToGrid w:val="0"/>
              <w:spacing w:before="50" w:after="120" w:afterLines="50"/>
              <w:jc w:val="center"/>
              <w:rPr>
                <w:rFonts w:hint="eastAsia" w:ascii="宋体" w:hAnsi="宋体" w:cs="宋体"/>
                <w:sz w:val="24"/>
                <w:szCs w:val="20"/>
              </w:rPr>
            </w:pPr>
          </w:p>
        </w:tc>
        <w:tc>
          <w:tcPr>
            <w:tcW w:w="2438" w:type="dxa"/>
            <w:noWrap w:val="0"/>
            <w:vAlign w:val="center"/>
          </w:tcPr>
          <w:p>
            <w:pPr>
              <w:snapToGrid w:val="0"/>
              <w:spacing w:before="50" w:after="120" w:afterLines="50"/>
              <w:jc w:val="center"/>
              <w:rPr>
                <w:rFonts w:hint="eastAsia" w:ascii="宋体" w:hAnsi="宋体" w:cs="宋体"/>
                <w:sz w:val="24"/>
                <w:szCs w:val="20"/>
              </w:rPr>
            </w:pPr>
          </w:p>
        </w:tc>
        <w:tc>
          <w:tcPr>
            <w:tcW w:w="2933" w:type="dxa"/>
            <w:noWrap w:val="0"/>
            <w:vAlign w:val="center"/>
          </w:tcPr>
          <w:p>
            <w:pPr>
              <w:snapToGrid w:val="0"/>
              <w:spacing w:before="50" w:after="120" w:afterLines="50"/>
              <w:jc w:val="center"/>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noWrap w:val="0"/>
            <w:vAlign w:val="center"/>
          </w:tcPr>
          <w:p>
            <w:pPr>
              <w:snapToGrid w:val="0"/>
              <w:spacing w:before="50" w:after="120" w:afterLines="50"/>
              <w:jc w:val="center"/>
              <w:rPr>
                <w:rFonts w:hint="eastAsia" w:ascii="宋体" w:hAnsi="宋体" w:cs="宋体"/>
                <w:sz w:val="24"/>
                <w:szCs w:val="20"/>
              </w:rPr>
            </w:pPr>
          </w:p>
        </w:tc>
        <w:tc>
          <w:tcPr>
            <w:tcW w:w="884" w:type="dxa"/>
            <w:noWrap w:val="0"/>
            <w:vAlign w:val="center"/>
          </w:tcPr>
          <w:p>
            <w:pPr>
              <w:snapToGrid w:val="0"/>
              <w:spacing w:before="50" w:after="120" w:afterLines="50"/>
              <w:jc w:val="center"/>
              <w:rPr>
                <w:rFonts w:hint="eastAsia" w:ascii="宋体" w:hAnsi="宋体" w:cs="宋体"/>
                <w:sz w:val="24"/>
                <w:szCs w:val="20"/>
              </w:rPr>
            </w:pPr>
          </w:p>
        </w:tc>
        <w:tc>
          <w:tcPr>
            <w:tcW w:w="2123" w:type="dxa"/>
            <w:noWrap w:val="0"/>
            <w:vAlign w:val="center"/>
          </w:tcPr>
          <w:p>
            <w:pPr>
              <w:snapToGrid w:val="0"/>
              <w:spacing w:before="50" w:after="120" w:afterLines="50"/>
              <w:jc w:val="center"/>
              <w:rPr>
                <w:rFonts w:hint="eastAsia" w:ascii="宋体" w:hAnsi="宋体" w:cs="宋体"/>
                <w:sz w:val="24"/>
                <w:szCs w:val="20"/>
              </w:rPr>
            </w:pPr>
          </w:p>
        </w:tc>
        <w:tc>
          <w:tcPr>
            <w:tcW w:w="2438" w:type="dxa"/>
            <w:noWrap w:val="0"/>
            <w:vAlign w:val="center"/>
          </w:tcPr>
          <w:p>
            <w:pPr>
              <w:snapToGrid w:val="0"/>
              <w:spacing w:before="50" w:after="120" w:afterLines="50"/>
              <w:jc w:val="center"/>
              <w:rPr>
                <w:rFonts w:hint="eastAsia" w:ascii="宋体" w:hAnsi="宋体" w:cs="宋体"/>
                <w:sz w:val="24"/>
                <w:szCs w:val="20"/>
              </w:rPr>
            </w:pPr>
          </w:p>
        </w:tc>
        <w:tc>
          <w:tcPr>
            <w:tcW w:w="2933" w:type="dxa"/>
            <w:noWrap w:val="0"/>
            <w:vAlign w:val="center"/>
          </w:tcPr>
          <w:p>
            <w:pPr>
              <w:snapToGrid w:val="0"/>
              <w:spacing w:before="50" w:after="120" w:afterLines="50"/>
              <w:jc w:val="center"/>
              <w:rPr>
                <w:rFonts w:hint="eastAsia" w:ascii="宋体" w:hAnsi="宋体" w:cs="宋体"/>
                <w:sz w:val="24"/>
                <w:szCs w:val="20"/>
              </w:rPr>
            </w:pPr>
          </w:p>
        </w:tc>
      </w:tr>
    </w:tbl>
    <w:p>
      <w:pPr>
        <w:pStyle w:val="28"/>
        <w:rPr>
          <w:rFonts w:hint="eastAsia" w:ascii="宋体" w:hAnsi="宋体" w:cs="宋体"/>
        </w:rPr>
      </w:pPr>
    </w:p>
    <w:p>
      <w:pPr>
        <w:autoSpaceDE w:val="0"/>
        <w:autoSpaceDN w:val="0"/>
        <w:spacing w:line="360" w:lineRule="auto"/>
        <w:ind w:firstLine="630" w:firstLineChars="300"/>
        <w:rPr>
          <w:rFonts w:hint="eastAsia" w:ascii="宋体" w:hAnsi="宋体" w:cs="宋体"/>
          <w:kern w:val="0"/>
          <w:szCs w:val="21"/>
        </w:rPr>
      </w:pPr>
      <w:r>
        <w:rPr>
          <w:rFonts w:hint="eastAsia" w:ascii="宋体" w:hAnsi="宋体" w:cs="宋体"/>
          <w:kern w:val="0"/>
          <w:szCs w:val="21"/>
        </w:rPr>
        <w:t>注：以上表格如不能满足供应商单位实际情况要求，可自拟格式。</w:t>
      </w:r>
    </w:p>
    <w:p>
      <w:pPr>
        <w:pStyle w:val="28"/>
        <w:rPr>
          <w:rFonts w:hint="eastAsia" w:ascii="宋体" w:hAnsi="宋体" w:cs="宋体"/>
        </w:rPr>
      </w:pPr>
    </w:p>
    <w:p>
      <w:pPr>
        <w:pStyle w:val="28"/>
        <w:rPr>
          <w:rFonts w:hint="eastAsia" w:ascii="宋体" w:hAnsi="宋体" w:cs="宋体"/>
        </w:rPr>
      </w:pPr>
    </w:p>
    <w:p>
      <w:pPr>
        <w:pStyle w:val="28"/>
        <w:rPr>
          <w:rFonts w:hint="eastAsia" w:ascii="宋体" w:hAnsi="宋体" w:cs="宋体"/>
        </w:rPr>
      </w:pPr>
    </w:p>
    <w:p>
      <w:pPr>
        <w:pStyle w:val="28"/>
        <w:rPr>
          <w:rFonts w:hint="eastAsia" w:ascii="宋体" w:hAnsi="宋体" w:cs="宋体"/>
        </w:rPr>
      </w:pPr>
    </w:p>
    <w:p>
      <w:pPr>
        <w:pStyle w:val="19"/>
        <w:ind w:left="0" w:leftChars="0" w:firstLine="0" w:firstLineChars="0"/>
        <w:rPr>
          <w:rFonts w:hint="eastAsia" w:ascii="宋体" w:hAnsi="宋体" w:cs="宋体"/>
        </w:rPr>
      </w:pPr>
    </w:p>
    <w:p>
      <w:pPr>
        <w:pStyle w:val="19"/>
        <w:ind w:left="0" w:leftChars="0" w:firstLine="0" w:firstLineChars="0"/>
        <w:rPr>
          <w:rFonts w:hint="eastAsia" w:ascii="宋体" w:hAnsi="宋体" w:cs="宋体"/>
        </w:rPr>
      </w:pPr>
    </w:p>
    <w:p>
      <w:pPr>
        <w:pStyle w:val="19"/>
        <w:ind w:left="0" w:leftChars="0" w:firstLine="0" w:firstLineChars="0"/>
        <w:rPr>
          <w:rFonts w:hint="eastAsia" w:ascii="宋体" w:hAnsi="宋体" w:cs="宋体"/>
        </w:rPr>
      </w:pPr>
    </w:p>
    <w:p>
      <w:pPr>
        <w:pStyle w:val="11"/>
        <w:spacing w:line="600" w:lineRule="exact"/>
        <w:ind w:firstLine="105" w:firstLineChars="50"/>
        <w:rPr>
          <w:rFonts w:ascii="新宋体" w:hAnsi="新宋体" w:eastAsia="新宋体" w:cs="新宋体"/>
          <w:color w:val="auto"/>
          <w:highlight w:val="none"/>
          <w:u w:val="single"/>
        </w:rPr>
      </w:pPr>
      <w:r>
        <w:rPr>
          <w:rFonts w:hint="eastAsia" w:ascii="新宋体" w:hAnsi="新宋体" w:eastAsia="新宋体" w:cs="新宋体"/>
          <w:color w:val="auto"/>
          <w:highlight w:val="none"/>
        </w:rPr>
        <w:t>磋商供应商（盖单位公章）：</w:t>
      </w:r>
      <w:r>
        <w:rPr>
          <w:rFonts w:hint="eastAsia"/>
          <w:color w:val="auto"/>
          <w:highlight w:val="none"/>
          <w:u w:val="single"/>
        </w:rPr>
        <w:t xml:space="preserve">                                     </w:t>
      </w:r>
    </w:p>
    <w:p>
      <w:pPr>
        <w:pStyle w:val="11"/>
        <w:spacing w:line="600" w:lineRule="exact"/>
        <w:ind w:firstLine="105" w:firstLineChars="50"/>
        <w:rPr>
          <w:rFonts w:ascii="新宋体" w:hAnsi="新宋体" w:eastAsia="新宋体" w:cs="新宋体"/>
          <w:color w:val="auto"/>
          <w:highlight w:val="none"/>
          <w:u w:val="single"/>
        </w:rPr>
      </w:pPr>
    </w:p>
    <w:p>
      <w:pPr>
        <w:pStyle w:val="11"/>
        <w:spacing w:line="600" w:lineRule="exact"/>
        <w:ind w:firstLine="105" w:firstLineChars="50"/>
        <w:jc w:val="left"/>
        <w:outlineLvl w:val="9"/>
        <w:rPr>
          <w:rFonts w:ascii="新宋体" w:hAnsi="新宋体" w:eastAsia="新宋体" w:cs="新宋体"/>
          <w:color w:val="auto"/>
          <w:highlight w:val="none"/>
          <w:u w:val="single"/>
        </w:rPr>
      </w:pPr>
      <w:r>
        <w:rPr>
          <w:rFonts w:hint="eastAsia" w:ascii="新宋体" w:hAnsi="新宋体" w:eastAsia="新宋体" w:cs="新宋体"/>
          <w:color w:val="auto"/>
          <w:highlight w:val="none"/>
        </w:rPr>
        <w:t>法定代表人或其委托代理人（签字或盖章）：</w:t>
      </w:r>
      <w:r>
        <w:rPr>
          <w:rFonts w:hint="eastAsia"/>
          <w:color w:val="auto"/>
          <w:highlight w:val="none"/>
          <w:u w:val="single"/>
        </w:rPr>
        <w:t xml:space="preserve">                       </w:t>
      </w:r>
    </w:p>
    <w:p>
      <w:pPr>
        <w:sectPr>
          <w:pgSz w:w="11906" w:h="16838"/>
          <w:pgMar w:top="1020" w:right="1049" w:bottom="1440" w:left="998" w:header="851" w:footer="992" w:gutter="0"/>
          <w:pgNumType w:fmt="decimal"/>
          <w:cols w:space="720" w:num="1"/>
          <w:docGrid w:type="lines" w:linePitch="312" w:charSpace="0"/>
        </w:sectPr>
      </w:pPr>
    </w:p>
    <w:p>
      <w:pPr>
        <w:pStyle w:val="11"/>
        <w:spacing w:line="600" w:lineRule="exact"/>
        <w:jc w:val="center"/>
        <w:outlineLvl w:val="9"/>
        <w:rPr>
          <w:b/>
          <w:bCs/>
          <w:color w:val="auto"/>
          <w:spacing w:val="20"/>
          <w:sz w:val="32"/>
          <w:szCs w:val="28"/>
          <w:highlight w:val="none"/>
        </w:rPr>
      </w:pPr>
      <w:r>
        <w:rPr>
          <w:rFonts w:hint="eastAsia"/>
          <w:b/>
          <w:bCs/>
          <w:color w:val="auto"/>
          <w:spacing w:val="20"/>
          <w:sz w:val="32"/>
          <w:szCs w:val="28"/>
          <w:highlight w:val="none"/>
        </w:rPr>
        <w:t>政府采购供应商质疑函范本</w:t>
      </w:r>
      <w:r>
        <w:rPr>
          <w:rFonts w:hint="eastAsia" w:ascii="Times New Roman" w:hAnsi="Times New Roman"/>
          <w:b/>
          <w:bCs/>
          <w:color w:val="auto"/>
          <w:sz w:val="30"/>
          <w:szCs w:val="30"/>
          <w:highlight w:val="none"/>
        </w:rPr>
        <w:t>（格式）</w:t>
      </w:r>
    </w:p>
    <w:p>
      <w:pPr>
        <w:pStyle w:val="11"/>
        <w:spacing w:line="600" w:lineRule="exact"/>
        <w:jc w:val="left"/>
        <w:outlineLvl w:val="9"/>
        <w:rPr>
          <w:b/>
          <w:bCs/>
          <w:color w:val="auto"/>
          <w:spacing w:val="20"/>
          <w:sz w:val="22"/>
          <w:highlight w:val="none"/>
        </w:rPr>
      </w:pPr>
    </w:p>
    <w:p>
      <w:pPr>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质疑函范本</w:t>
      </w:r>
    </w:p>
    <w:p>
      <w:pPr>
        <w:adjustRightInd w:val="0"/>
        <w:snapToGrid w:val="0"/>
        <w:spacing w:before="312" w:beforeLines="100" w:line="360" w:lineRule="auto"/>
        <w:rPr>
          <w:rFonts w:ascii="黑体" w:hAnsi="黑体" w:eastAsia="黑体" w:cs="仿宋"/>
          <w:bCs/>
          <w:color w:val="auto"/>
          <w:sz w:val="24"/>
          <w:highlight w:val="none"/>
        </w:rPr>
      </w:pPr>
      <w:r>
        <w:rPr>
          <w:rFonts w:hint="eastAsia" w:ascii="黑体" w:hAnsi="黑体" w:eastAsia="黑体" w:cs="仿宋"/>
          <w:bCs/>
          <w:color w:val="auto"/>
          <w:sz w:val="24"/>
          <w:highlight w:val="none"/>
        </w:rPr>
        <w:t>一、质疑供应商基本信息</w:t>
      </w: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地址：邮编：</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联系电话：</w:t>
      </w: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地址：邮编：</w:t>
      </w:r>
    </w:p>
    <w:p>
      <w:pPr>
        <w:adjustRightInd w:val="0"/>
        <w:snapToGrid w:val="0"/>
        <w:spacing w:line="360" w:lineRule="auto"/>
        <w:rPr>
          <w:rFonts w:ascii="黑体" w:hAnsi="黑体" w:eastAsia="黑体" w:cs="仿宋"/>
          <w:bCs/>
          <w:color w:val="auto"/>
          <w:sz w:val="24"/>
          <w:highlight w:val="none"/>
        </w:rPr>
      </w:pPr>
      <w:r>
        <w:rPr>
          <w:rFonts w:hint="eastAsia" w:ascii="黑体" w:hAnsi="黑体" w:eastAsia="黑体" w:cs="仿宋"/>
          <w:bCs/>
          <w:color w:val="auto"/>
          <w:sz w:val="24"/>
          <w:highlight w:val="none"/>
        </w:rPr>
        <w:t>二、质疑项目基本情况</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质疑项目的编号：包号：</w:t>
      </w: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p>
    <w:p>
      <w:pPr>
        <w:adjustRightInd w:val="0"/>
        <w:snapToGrid w:val="0"/>
        <w:spacing w:line="360" w:lineRule="auto"/>
        <w:rPr>
          <w:rFonts w:ascii="黑体" w:hAnsi="黑体" w:eastAsia="黑体" w:cs="仿宋"/>
          <w:bCs/>
          <w:color w:val="auto"/>
          <w:sz w:val="24"/>
          <w:highlight w:val="none"/>
        </w:rPr>
      </w:pPr>
      <w:r>
        <w:rPr>
          <w:rFonts w:hint="eastAsia" w:ascii="黑体" w:hAnsi="黑体" w:eastAsia="黑体" w:cs="仿宋"/>
          <w:bCs/>
          <w:color w:val="auto"/>
          <w:sz w:val="24"/>
          <w:highlight w:val="none"/>
        </w:rPr>
        <w:t>三、质疑事项具体内容</w:t>
      </w: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p>
    <w:p>
      <w:pPr>
        <w:adjustRightInd w:val="0"/>
        <w:snapToGrid w:val="0"/>
        <w:spacing w:line="360" w:lineRule="auto"/>
        <w:rPr>
          <w:rFonts w:ascii="仿宋" w:hAnsi="仿宋" w:eastAsia="仿宋" w:cs="仿宋"/>
          <w:color w:val="auto"/>
          <w:sz w:val="24"/>
          <w:highlight w:val="none"/>
        </w:rPr>
      </w:pP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p>
    <w:p>
      <w:pPr>
        <w:adjustRightInd w:val="0"/>
        <w:snapToGrid w:val="0"/>
        <w:spacing w:line="360" w:lineRule="auto"/>
        <w:rPr>
          <w:rFonts w:ascii="仿宋" w:hAnsi="仿宋" w:eastAsia="仿宋" w:cs="仿宋"/>
          <w:color w:val="auto"/>
          <w:sz w:val="24"/>
          <w:highlight w:val="none"/>
          <w:u w:val="dotted"/>
        </w:rPr>
      </w:pP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adjustRightInd w:val="0"/>
        <w:snapToGrid w:val="0"/>
        <w:spacing w:line="360" w:lineRule="auto"/>
        <w:rPr>
          <w:rFonts w:ascii="黑体" w:hAnsi="黑体" w:eastAsia="黑体" w:cs="仿宋"/>
          <w:bCs/>
          <w:color w:val="auto"/>
          <w:sz w:val="24"/>
          <w:highlight w:val="none"/>
        </w:rPr>
      </w:pPr>
      <w:r>
        <w:rPr>
          <w:rFonts w:hint="eastAsia" w:ascii="黑体" w:hAnsi="黑体" w:eastAsia="黑体" w:cs="仿宋"/>
          <w:bCs/>
          <w:color w:val="auto"/>
          <w:sz w:val="24"/>
          <w:highlight w:val="none"/>
        </w:rPr>
        <w:t>四、与质疑事项相关的质疑请求</w:t>
      </w: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p>
    <w:p>
      <w:pPr>
        <w:rPr>
          <w:rFonts w:ascii="仿宋_GB2312" w:eastAsia="仿宋_GB2312"/>
          <w:color w:val="auto"/>
          <w:sz w:val="24"/>
          <w:highlight w:val="none"/>
        </w:rPr>
      </w:pPr>
      <w:r>
        <w:rPr>
          <w:rFonts w:hint="eastAsia" w:ascii="仿宋_GB2312" w:eastAsia="仿宋_GB2312"/>
          <w:color w:val="auto"/>
          <w:sz w:val="24"/>
          <w:highlight w:val="none"/>
        </w:rPr>
        <w:t xml:space="preserve">签字(签章)：                   公章：                      </w:t>
      </w:r>
    </w:p>
    <w:p>
      <w:pPr>
        <w:rPr>
          <w:rFonts w:ascii="仿宋_GB2312" w:eastAsia="仿宋_GB2312"/>
          <w:color w:val="auto"/>
          <w:sz w:val="24"/>
          <w:highlight w:val="none"/>
        </w:rPr>
      </w:pPr>
      <w:r>
        <w:rPr>
          <w:rFonts w:hint="eastAsia" w:ascii="仿宋_GB2312" w:eastAsia="仿宋_GB2312"/>
          <w:color w:val="auto"/>
          <w:sz w:val="24"/>
          <w:highlight w:val="none"/>
        </w:rPr>
        <w:t xml:space="preserve">日期：    </w:t>
      </w:r>
    </w:p>
    <w:p>
      <w:pPr>
        <w:adjustRightInd w:val="0"/>
        <w:snapToGrid w:val="0"/>
        <w:spacing w:line="360" w:lineRule="auto"/>
        <w:rPr>
          <w:rFonts w:ascii="仿宋" w:hAnsi="仿宋" w:eastAsia="仿宋" w:cs="仿宋"/>
          <w:color w:val="auto"/>
          <w:sz w:val="24"/>
          <w:highlight w:val="none"/>
        </w:rPr>
      </w:pPr>
    </w:p>
    <w:p>
      <w:pPr>
        <w:adjustRightInd w:val="0"/>
        <w:snapToGrid w:val="0"/>
        <w:spacing w:line="360" w:lineRule="auto"/>
        <w:rPr>
          <w:rFonts w:ascii="仿宋" w:hAnsi="仿宋" w:eastAsia="仿宋" w:cs="仿宋"/>
          <w:color w:val="auto"/>
          <w:sz w:val="24"/>
          <w:highlight w:val="none"/>
        </w:rPr>
      </w:pPr>
    </w:p>
    <w:p>
      <w:pPr>
        <w:jc w:val="center"/>
        <w:rPr>
          <w:rFonts w:ascii="仿宋" w:hAnsi="仿宋" w:eastAsia="仿宋" w:cs="仿宋"/>
          <w:b/>
          <w:bCs/>
          <w:color w:val="auto"/>
          <w:sz w:val="24"/>
          <w:highlight w:val="none"/>
        </w:rPr>
      </w:pPr>
    </w:p>
    <w:p>
      <w:pPr>
        <w:rPr>
          <w:rFonts w:ascii="黑体" w:hAnsi="黑体" w:eastAsia="黑体"/>
          <w:b/>
          <w:color w:val="auto"/>
          <w:sz w:val="24"/>
          <w:highlight w:val="none"/>
        </w:rPr>
      </w:pPr>
    </w:p>
    <w:p>
      <w:pPr>
        <w:rPr>
          <w:rFonts w:ascii="黑体" w:hAnsi="黑体" w:eastAsia="黑体"/>
          <w:b/>
          <w:color w:val="auto"/>
          <w:sz w:val="24"/>
          <w:highlight w:val="none"/>
        </w:rPr>
      </w:pPr>
      <w:r>
        <w:rPr>
          <w:rFonts w:hint="eastAsia" w:ascii="黑体" w:hAnsi="黑体" w:eastAsia="黑体"/>
          <w:b/>
          <w:color w:val="auto"/>
          <w:sz w:val="24"/>
          <w:highlight w:val="none"/>
        </w:rPr>
        <w:t>质疑函制作说明：</w:t>
      </w:r>
    </w:p>
    <w:p>
      <w:pPr>
        <w:widowControl/>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1.供应商提出质疑时，应提交质疑函和必要的证明材料。</w:t>
      </w:r>
    </w:p>
    <w:p>
      <w:pPr>
        <w:widowControl/>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2.质疑供应商若委托代理人进行质疑的，质疑函应按要求列明“授权代表”的有关内容，并在附件中提交由质疑</w:t>
      </w:r>
      <w:r>
        <w:rPr>
          <w:rFonts w:hint="eastAsia" w:ascii="仿宋_GB2312" w:hAnsi="宋体" w:eastAsia="仿宋_GB2312" w:cs="宋体"/>
          <w:color w:val="auto"/>
          <w:kern w:val="0"/>
          <w:sz w:val="24"/>
          <w:highlight w:val="none"/>
        </w:rPr>
        <w:t>供应商签署的授权委托书。授权委托书应载明代理人的姓名或者名称、代理事项、具体权限、期限和相关事项。</w:t>
      </w:r>
    </w:p>
    <w:p>
      <w:pPr>
        <w:widowControl/>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3.质疑供应商若对项目的某一分包进行质疑，质疑函中应列明具体分包号。</w:t>
      </w:r>
    </w:p>
    <w:p>
      <w:pPr>
        <w:widowControl/>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4.质疑函的质疑事项应具体、明确，并有必要的事实依据和法律依据。</w:t>
      </w:r>
    </w:p>
    <w:p>
      <w:pPr>
        <w:widowControl/>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5.质疑函的质疑请求应与质疑事项相关。</w:t>
      </w:r>
    </w:p>
    <w:p>
      <w:pPr>
        <w:widowControl/>
        <w:ind w:firstLine="480" w:firstLineChars="200"/>
        <w:jc w:val="left"/>
        <w:rPr>
          <w:rFonts w:ascii="仿宋_GB2312" w:eastAsia="仿宋_GB2312"/>
          <w:color w:val="auto"/>
          <w:sz w:val="32"/>
          <w:szCs w:val="32"/>
          <w:highlight w:val="none"/>
        </w:rPr>
      </w:pPr>
      <w:r>
        <w:rPr>
          <w:rFonts w:hint="eastAsia" w:ascii="仿宋_GB2312" w:eastAsia="仿宋_GB2312"/>
          <w:color w:val="auto"/>
          <w:sz w:val="24"/>
          <w:highlight w:val="none"/>
        </w:rPr>
        <w:t>6.质疑供应商为自然人的，质疑函应由本人签字；质疑供应商为法人或者其他组织的，质疑函应由法定代表人、主要负责人，或者其授权代表签字或者盖章，并加盖公章。</w:t>
      </w:r>
    </w:p>
    <w:p>
      <w:pPr>
        <w:pStyle w:val="11"/>
        <w:rPr>
          <w:color w:val="auto"/>
          <w:spacing w:val="20"/>
          <w:highlight w:val="none"/>
        </w:rPr>
      </w:pPr>
      <w:r>
        <w:rPr>
          <w:rFonts w:hint="eastAsia"/>
          <w:color w:val="auto"/>
          <w:spacing w:val="20"/>
          <w:highlight w:val="none"/>
        </w:rPr>
        <w:br w:type="page"/>
      </w:r>
    </w:p>
    <w:p>
      <w:pPr>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投诉书范本</w:t>
      </w:r>
    </w:p>
    <w:p>
      <w:pPr>
        <w:rPr>
          <w:rFonts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w:t>
      </w: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邮编：</w:t>
      </w:r>
    </w:p>
    <w:p>
      <w:pPr>
        <w:tabs>
          <w:tab w:val="left" w:pos="6510"/>
        </w:tabs>
        <w:jc w:val="left"/>
        <w:rPr>
          <w:rFonts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p>
    <w:p>
      <w:pPr>
        <w:tabs>
          <w:tab w:val="left" w:pos="6510"/>
        </w:tabs>
        <w:rPr>
          <w:rFonts w:ascii="仿宋" w:hAnsi="仿宋" w:eastAsia="仿宋" w:cs="仿宋"/>
          <w:color w:val="auto"/>
          <w:sz w:val="24"/>
          <w:highlight w:val="none"/>
          <w:u w:val="dotted"/>
        </w:rPr>
      </w:pPr>
      <w:r>
        <w:rPr>
          <w:rFonts w:hint="eastAsia" w:ascii="仿宋" w:hAnsi="仿宋" w:eastAsia="仿宋" w:cs="仿宋"/>
          <w:color w:val="auto"/>
          <w:sz w:val="24"/>
          <w:highlight w:val="none"/>
        </w:rPr>
        <w:t>联系电话：</w:t>
      </w:r>
    </w:p>
    <w:p>
      <w:pPr>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授权代表：联系电话</w:t>
      </w:r>
      <w:r>
        <w:rPr>
          <w:rFonts w:hint="eastAsia" w:ascii="仿宋" w:hAnsi="仿宋" w:eastAsia="仿宋" w:cs="仿宋"/>
          <w:color w:val="auto"/>
          <w:sz w:val="24"/>
          <w:highlight w:val="none"/>
          <w:u w:val="dotted"/>
        </w:rPr>
        <w:t>：</w:t>
      </w:r>
      <w:r>
        <w:rPr>
          <w:rFonts w:hint="eastAsia" w:ascii="仿宋" w:hAnsi="仿宋" w:eastAsia="仿宋" w:cs="仿宋"/>
          <w:color w:val="auto"/>
          <w:sz w:val="24"/>
          <w:highlight w:val="none"/>
          <w:u w:val="single"/>
        </w:rPr>
        <w:t xml:space="preserve">                  </w:t>
      </w:r>
    </w:p>
    <w:p>
      <w:pPr>
        <w:rPr>
          <w:rFonts w:ascii="仿宋" w:hAnsi="仿宋" w:eastAsia="仿宋" w:cs="仿宋"/>
          <w:color w:val="auto"/>
          <w:sz w:val="24"/>
          <w:highlight w:val="none"/>
          <w:u w:val="dotted"/>
        </w:rPr>
      </w:pPr>
      <w:r>
        <w:rPr>
          <w:rFonts w:hint="eastAsia" w:ascii="仿宋" w:hAnsi="仿宋" w:eastAsia="仿宋" w:cs="仿宋"/>
          <w:color w:val="auto"/>
          <w:sz w:val="24"/>
          <w:highlight w:val="none"/>
        </w:rPr>
        <w:t>地     址：邮编：</w:t>
      </w: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址：邮编：</w:t>
      </w: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联系人：联系电话：</w:t>
      </w:r>
    </w:p>
    <w:p>
      <w:pPr>
        <w:rPr>
          <w:rFonts w:ascii="仿宋" w:hAnsi="仿宋" w:eastAsia="仿宋" w:cs="仿宋"/>
          <w:color w:val="auto"/>
          <w:sz w:val="24"/>
          <w:highlight w:val="none"/>
        </w:rPr>
      </w:pPr>
      <w:r>
        <w:rPr>
          <w:rFonts w:hint="eastAsia" w:ascii="仿宋" w:hAnsi="仿宋" w:eastAsia="仿宋" w:cs="仿宋"/>
          <w:color w:val="auto"/>
          <w:sz w:val="24"/>
          <w:highlight w:val="none"/>
        </w:rPr>
        <w:t>被投诉人2</w:t>
      </w:r>
    </w:p>
    <w:p>
      <w:pPr>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址：邮编：</w:t>
      </w: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联系人：联系电话：</w:t>
      </w:r>
    </w:p>
    <w:p>
      <w:pPr>
        <w:rPr>
          <w:rFonts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rPr>
          <w:rFonts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采购项目编号：包号：</w:t>
      </w:r>
    </w:p>
    <w:p>
      <w:pPr>
        <w:rPr>
          <w:rFonts w:ascii="仿宋" w:hAnsi="仿宋" w:eastAsia="仿宋" w:cs="仿宋"/>
          <w:color w:val="auto"/>
          <w:sz w:val="24"/>
          <w:highlight w:val="none"/>
        </w:rPr>
      </w:pPr>
      <w:r>
        <w:rPr>
          <w:rFonts w:hint="eastAsia" w:ascii="仿宋" w:hAnsi="仿宋" w:eastAsia="仿宋" w:cs="仿宋"/>
          <w:color w:val="auto"/>
          <w:sz w:val="24"/>
          <w:highlight w:val="none"/>
        </w:rPr>
        <w:t>采购人名称：</w:t>
      </w: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p>
    <w:p>
      <w:pPr>
        <w:rPr>
          <w:rFonts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p>
    <w:p>
      <w:pPr>
        <w:rPr>
          <w:rFonts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ind w:firstLine="480" w:firstLineChars="200"/>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投诉人于年月日,向提出质疑，质疑事项为：</w:t>
      </w:r>
    </w:p>
    <w:p>
      <w:pPr>
        <w:rPr>
          <w:rFonts w:ascii="仿宋" w:hAnsi="仿宋" w:eastAsia="仿宋" w:cs="仿宋"/>
          <w:color w:val="auto"/>
          <w:sz w:val="24"/>
          <w:highlight w:val="none"/>
          <w:u w:val="dotted"/>
        </w:rPr>
      </w:pPr>
    </w:p>
    <w:p>
      <w:pPr>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于年月日,就质疑事项作出了答复/没有在法定期限内作出答复。</w:t>
      </w:r>
    </w:p>
    <w:p>
      <w:pPr>
        <w:rPr>
          <w:rFonts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p>
    <w:p>
      <w:pPr>
        <w:rPr>
          <w:rFonts w:ascii="仿宋" w:hAnsi="仿宋" w:eastAsia="仿宋" w:cs="仿宋"/>
          <w:color w:val="auto"/>
          <w:sz w:val="24"/>
          <w:highlight w:val="none"/>
        </w:rPr>
      </w:pPr>
      <w:r>
        <w:rPr>
          <w:rFonts w:hint="eastAsia" w:ascii="仿宋" w:hAnsi="仿宋" w:eastAsia="仿宋" w:cs="仿宋"/>
          <w:color w:val="auto"/>
          <w:sz w:val="24"/>
          <w:highlight w:val="none"/>
        </w:rPr>
        <w:t>事实依据：</w:t>
      </w:r>
    </w:p>
    <w:p>
      <w:pPr>
        <w:rPr>
          <w:rFonts w:ascii="仿宋" w:hAnsi="仿宋" w:eastAsia="仿宋" w:cs="仿宋"/>
          <w:color w:val="auto"/>
          <w:sz w:val="24"/>
          <w:highlight w:val="none"/>
          <w:u w:val="dotted"/>
        </w:rPr>
      </w:pP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法律依据：</w:t>
      </w:r>
    </w:p>
    <w:p>
      <w:pPr>
        <w:rPr>
          <w:rFonts w:ascii="仿宋" w:hAnsi="仿宋" w:eastAsia="仿宋" w:cs="仿宋"/>
          <w:color w:val="auto"/>
          <w:sz w:val="24"/>
          <w:highlight w:val="none"/>
          <w:u w:val="dotted"/>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投诉事项2</w:t>
      </w:r>
    </w:p>
    <w:p>
      <w:pPr>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rPr>
          <w:rFonts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rPr>
          <w:rFonts w:ascii="仿宋" w:hAnsi="仿宋" w:eastAsia="仿宋" w:cs="仿宋"/>
          <w:color w:val="auto"/>
          <w:sz w:val="24"/>
          <w:highlight w:val="none"/>
        </w:rPr>
      </w:pPr>
      <w:r>
        <w:rPr>
          <w:rFonts w:hint="eastAsia" w:ascii="仿宋" w:hAnsi="仿宋" w:eastAsia="仿宋" w:cs="仿宋"/>
          <w:color w:val="auto"/>
          <w:sz w:val="24"/>
          <w:highlight w:val="none"/>
        </w:rPr>
        <w:t>请求：</w:t>
      </w:r>
    </w:p>
    <w:p>
      <w:pPr>
        <w:rPr>
          <w:rFonts w:ascii="仿宋" w:hAnsi="仿宋" w:eastAsia="仿宋" w:cs="仿宋"/>
          <w:color w:val="auto"/>
          <w:sz w:val="24"/>
          <w:highlight w:val="none"/>
          <w:u w:val="singl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rPr>
          <w:rFonts w:ascii="仿宋" w:hAnsi="仿宋" w:eastAsia="仿宋" w:cs="仿宋"/>
          <w:b/>
          <w:color w:val="auto"/>
          <w:sz w:val="24"/>
          <w:highlight w:val="none"/>
        </w:rPr>
      </w:pPr>
    </w:p>
    <w:p>
      <w:pPr>
        <w:rPr>
          <w:rFonts w:ascii="仿宋" w:hAnsi="仿宋" w:eastAsia="仿宋" w:cs="仿宋"/>
          <w:b/>
          <w:color w:val="auto"/>
          <w:sz w:val="24"/>
          <w:highlight w:val="none"/>
        </w:rPr>
      </w:pPr>
    </w:p>
    <w:p>
      <w:pPr>
        <w:rPr>
          <w:rFonts w:ascii="仿宋" w:hAnsi="仿宋" w:eastAsia="仿宋" w:cs="仿宋"/>
          <w:b/>
          <w:color w:val="auto"/>
          <w:sz w:val="24"/>
          <w:highlight w:val="none"/>
        </w:rPr>
      </w:pPr>
    </w:p>
    <w:p>
      <w:pPr>
        <w:rPr>
          <w:rFonts w:ascii="仿宋" w:hAnsi="仿宋" w:eastAsia="仿宋" w:cs="仿宋"/>
          <w:b/>
          <w:color w:val="auto"/>
          <w:sz w:val="24"/>
          <w:highlight w:val="none"/>
        </w:rPr>
      </w:pPr>
    </w:p>
    <w:p>
      <w:pPr>
        <w:rPr>
          <w:rFonts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pStyle w:val="1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7.投诉人为自然人的，投诉书应当由本人签字；投诉人为法人或者其他组织的，投诉书应当由法定代表人、主要负责人，或者其授权代表签字或者盖章，并加盖公章。</w:t>
      </w: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rPr>
          <w:rFonts w:ascii="仿宋" w:hAnsi="仿宋" w:eastAsia="仿宋" w:cs="仿宋"/>
          <w:color w:val="auto"/>
          <w:sz w:val="24"/>
          <w:szCs w:val="24"/>
          <w:highlight w:val="none"/>
        </w:rPr>
      </w:pPr>
    </w:p>
    <w:p>
      <w:pPr>
        <w:pStyle w:val="11"/>
        <w:outlineLvl w:val="9"/>
        <w:rPr>
          <w:rFonts w:ascii="仿宋" w:hAnsi="仿宋" w:eastAsia="仿宋" w:cs="仿宋"/>
          <w:color w:val="auto"/>
          <w:sz w:val="24"/>
          <w:szCs w:val="24"/>
          <w:highlight w:val="none"/>
        </w:rPr>
      </w:pPr>
    </w:p>
    <w:p>
      <w:pPr>
        <w:pStyle w:val="11"/>
        <w:spacing w:line="600" w:lineRule="exact"/>
        <w:jc w:val="center"/>
        <w:outlineLvl w:val="9"/>
        <w:rPr>
          <w:color w:val="auto"/>
          <w:spacing w:val="20"/>
          <w:highlight w:val="none"/>
        </w:rPr>
      </w:pPr>
    </w:p>
    <w:p>
      <w:pPr>
        <w:pStyle w:val="11"/>
        <w:spacing w:line="360" w:lineRule="auto"/>
        <w:jc w:val="center"/>
        <w:outlineLvl w:val="9"/>
        <w:rPr>
          <w:rFonts w:ascii="新宋体" w:hAnsi="新宋体" w:eastAsia="新宋体" w:cs="新宋体"/>
          <w:color w:val="auto"/>
          <w:highlight w:val="none"/>
          <w:u w:val="single"/>
        </w:rPr>
      </w:pPr>
    </w:p>
    <w:p>
      <w:pPr>
        <w:pStyle w:val="11"/>
        <w:spacing w:line="360" w:lineRule="auto"/>
        <w:jc w:val="center"/>
        <w:outlineLvl w:val="9"/>
        <w:rPr>
          <w:rFonts w:ascii="新宋体" w:hAnsi="新宋体" w:eastAsia="新宋体" w:cs="新宋体"/>
          <w:color w:val="auto"/>
          <w:highlight w:val="none"/>
          <w:u w:val="single"/>
        </w:rPr>
      </w:pPr>
    </w:p>
    <w:p>
      <w:pPr>
        <w:pStyle w:val="11"/>
        <w:spacing w:line="600" w:lineRule="exact"/>
        <w:outlineLvl w:val="9"/>
        <w:rPr>
          <w:rFonts w:ascii="Times New Roman" w:hAnsi="Times New Roman"/>
          <w:b/>
          <w:color w:val="auto"/>
          <w:sz w:val="36"/>
          <w:szCs w:val="36"/>
          <w:highlight w:val="none"/>
        </w:rPr>
      </w:pPr>
    </w:p>
    <w:p>
      <w:pPr>
        <w:pStyle w:val="3"/>
        <w:numPr>
          <w:ilvl w:val="0"/>
          <w:numId w:val="0"/>
        </w:numPr>
        <w:jc w:val="center"/>
        <w:rPr>
          <w:rFonts w:hint="eastAsia" w:ascii="宋体" w:hAnsi="宋体" w:eastAsia="宋体" w:cs="宋体"/>
          <w:b/>
          <w:color w:val="auto"/>
          <w:highlight w:val="none"/>
          <w:lang w:val="en-US" w:eastAsia="zh-CN"/>
        </w:rPr>
      </w:pPr>
      <w:bookmarkStart w:id="57" w:name="_Toc32088"/>
      <w:r>
        <w:rPr>
          <w:rFonts w:hint="eastAsia" w:ascii="宋体" w:hAnsi="宋体" w:eastAsia="宋体" w:cs="宋体"/>
          <w:b/>
          <w:color w:val="auto"/>
          <w:highlight w:val="none"/>
          <w:lang w:val="en-US" w:eastAsia="zh-CN"/>
        </w:rPr>
        <w:t>第六章  合同条款及格式</w:t>
      </w:r>
      <w:bookmarkEnd w:id="57"/>
    </w:p>
    <w:p>
      <w:pPr>
        <w:spacing w:line="360" w:lineRule="auto"/>
        <w:ind w:firstLine="880" w:firstLineChars="200"/>
        <w:rPr>
          <w:rFonts w:ascii="宋体"/>
          <w:color w:val="auto"/>
          <w:sz w:val="44"/>
          <w:highlight w:val="none"/>
        </w:rPr>
      </w:pPr>
    </w:p>
    <w:p>
      <w:pPr>
        <w:tabs>
          <w:tab w:val="left" w:pos="417"/>
        </w:tabs>
        <w:autoSpaceDE w:val="0"/>
        <w:autoSpaceDN w:val="0"/>
        <w:spacing w:line="360" w:lineRule="auto"/>
        <w:jc w:val="center"/>
        <w:rPr>
          <w:rFonts w:ascii="宋体" w:hAnsi="宋体"/>
          <w:b/>
          <w:color w:val="auto"/>
          <w:kern w:val="0"/>
          <w:sz w:val="48"/>
          <w:szCs w:val="48"/>
          <w:highlight w:val="none"/>
        </w:rPr>
      </w:pPr>
    </w:p>
    <w:p>
      <w:pPr>
        <w:tabs>
          <w:tab w:val="left" w:pos="417"/>
        </w:tabs>
        <w:autoSpaceDE w:val="0"/>
        <w:autoSpaceDN w:val="0"/>
        <w:spacing w:line="360" w:lineRule="auto"/>
        <w:jc w:val="center"/>
        <w:outlineLvl w:val="9"/>
        <w:rPr>
          <w:rFonts w:ascii="宋体" w:hAnsi="宋体"/>
          <w:b/>
          <w:color w:val="auto"/>
          <w:kern w:val="0"/>
          <w:sz w:val="72"/>
          <w:szCs w:val="72"/>
          <w:highlight w:val="none"/>
        </w:rPr>
      </w:pPr>
      <w:r>
        <w:rPr>
          <w:rFonts w:hint="eastAsia" w:ascii="宋体" w:hAnsi="宋体"/>
          <w:b/>
          <w:color w:val="auto"/>
          <w:kern w:val="0"/>
          <w:sz w:val="72"/>
          <w:szCs w:val="72"/>
          <w:highlight w:val="none"/>
        </w:rPr>
        <w:t xml:space="preserve"> </w:t>
      </w:r>
      <w:bookmarkStart w:id="58" w:name="_Toc15866_WPSOffice_Level1"/>
      <w:bookmarkStart w:id="59" w:name="_Toc8234_WPSOffice_Level1"/>
      <w:bookmarkStart w:id="60" w:name="_Toc3541_WPSOffice_Level1"/>
      <w:bookmarkStart w:id="61" w:name="_Toc6719_WPSOffice_Level1"/>
      <w:bookmarkStart w:id="62" w:name="_Toc11226_WPSOffice_Level1"/>
      <w:bookmarkStart w:id="63" w:name="_Toc4015"/>
      <w:bookmarkStart w:id="64" w:name="_Toc17285_WPSOffice_Level1"/>
      <w:bookmarkStart w:id="65" w:name="_Toc13342_WPSOffice_Level1"/>
      <w:r>
        <w:rPr>
          <w:rFonts w:hint="eastAsia" w:ascii="宋体" w:hAnsi="宋体"/>
          <w:b/>
          <w:color w:val="auto"/>
          <w:kern w:val="0"/>
          <w:sz w:val="72"/>
          <w:szCs w:val="72"/>
          <w:highlight w:val="none"/>
        </w:rPr>
        <w:t>南 宁 市 政 府 采 购</w:t>
      </w:r>
      <w:bookmarkEnd w:id="58"/>
      <w:bookmarkEnd w:id="59"/>
      <w:bookmarkEnd w:id="60"/>
      <w:bookmarkEnd w:id="61"/>
      <w:bookmarkEnd w:id="62"/>
      <w:bookmarkEnd w:id="63"/>
      <w:bookmarkEnd w:id="64"/>
      <w:bookmarkEnd w:id="65"/>
    </w:p>
    <w:p>
      <w:pPr>
        <w:autoSpaceDE w:val="0"/>
        <w:autoSpaceDN w:val="0"/>
        <w:adjustRightInd w:val="0"/>
        <w:spacing w:line="360" w:lineRule="auto"/>
        <w:jc w:val="left"/>
        <w:outlineLvl w:val="9"/>
        <w:rPr>
          <w:rFonts w:ascii="宋体" w:hAnsi="宋体"/>
          <w:color w:val="auto"/>
          <w:kern w:val="0"/>
          <w:sz w:val="24"/>
          <w:szCs w:val="20"/>
          <w:highlight w:val="none"/>
        </w:rPr>
      </w:pPr>
    </w:p>
    <w:p>
      <w:pPr>
        <w:pStyle w:val="16"/>
        <w:widowControl w:val="0"/>
        <w:autoSpaceDE w:val="0"/>
        <w:autoSpaceDN w:val="0"/>
        <w:adjustRightInd w:val="0"/>
        <w:spacing w:before="0" w:beforeAutospacing="0" w:after="0" w:afterAutospacing="0" w:line="360" w:lineRule="auto"/>
        <w:outlineLvl w:val="9"/>
        <w:rPr>
          <w:color w:val="auto"/>
          <w:szCs w:val="20"/>
          <w:highlight w:val="none"/>
        </w:rPr>
      </w:pPr>
    </w:p>
    <w:p>
      <w:pPr>
        <w:pStyle w:val="16"/>
        <w:widowControl w:val="0"/>
        <w:autoSpaceDE w:val="0"/>
        <w:autoSpaceDN w:val="0"/>
        <w:adjustRightInd w:val="0"/>
        <w:spacing w:before="0" w:beforeAutospacing="0" w:after="0" w:afterAutospacing="0" w:line="360" w:lineRule="auto"/>
        <w:outlineLvl w:val="9"/>
        <w:rPr>
          <w:color w:val="auto"/>
          <w:szCs w:val="20"/>
          <w:highlight w:val="none"/>
        </w:rPr>
      </w:pPr>
    </w:p>
    <w:p>
      <w:pPr>
        <w:pStyle w:val="2"/>
        <w:jc w:val="center"/>
        <w:outlineLvl w:val="9"/>
        <w:rPr>
          <w:rFonts w:eastAsia="幼圆"/>
          <w:b/>
          <w:color w:val="auto"/>
          <w:spacing w:val="60"/>
          <w:sz w:val="36"/>
          <w:szCs w:val="36"/>
          <w:highlight w:val="none"/>
          <w:u w:val="single"/>
        </w:rPr>
      </w:pPr>
    </w:p>
    <w:p>
      <w:pPr>
        <w:pStyle w:val="2"/>
        <w:jc w:val="center"/>
        <w:outlineLvl w:val="9"/>
        <w:rPr>
          <w:rFonts w:eastAsia="幼圆"/>
          <w:b/>
          <w:color w:val="auto"/>
          <w:spacing w:val="60"/>
          <w:sz w:val="36"/>
          <w:szCs w:val="36"/>
          <w:highlight w:val="none"/>
          <w:u w:val="single"/>
        </w:rPr>
      </w:pPr>
      <w:bookmarkStart w:id="66" w:name="_Toc6202_WPSOffice_Level1"/>
      <w:bookmarkStart w:id="67" w:name="_Toc17807"/>
      <w:bookmarkStart w:id="68" w:name="_Toc13067_WPSOffice_Level1"/>
      <w:bookmarkStart w:id="69" w:name="_Toc21461_WPSOffice_Level1"/>
      <w:bookmarkStart w:id="70" w:name="_Toc19284_WPSOffice_Level1"/>
      <w:bookmarkStart w:id="71" w:name="_Toc14363_WPSOffice_Level1"/>
      <w:bookmarkStart w:id="72" w:name="_Toc5989_WPSOffice_Level1"/>
      <w:bookmarkStart w:id="73" w:name="_Toc14156_WPSOffice_Level1"/>
      <w:r>
        <w:rPr>
          <w:rFonts w:hint="eastAsia" w:eastAsia="幼圆"/>
          <w:b/>
          <w:color w:val="auto"/>
          <w:spacing w:val="60"/>
          <w:sz w:val="36"/>
          <w:szCs w:val="36"/>
          <w:highlight w:val="none"/>
        </w:rPr>
        <w:t>合同</w:t>
      </w:r>
      <w:bookmarkEnd w:id="66"/>
      <w:bookmarkEnd w:id="67"/>
      <w:bookmarkEnd w:id="68"/>
      <w:bookmarkEnd w:id="69"/>
      <w:bookmarkEnd w:id="70"/>
      <w:bookmarkEnd w:id="71"/>
      <w:bookmarkEnd w:id="72"/>
      <w:bookmarkEnd w:id="73"/>
    </w:p>
    <w:p>
      <w:pPr>
        <w:outlineLvl w:val="9"/>
        <w:rPr>
          <w:rFonts w:ascii="宋体" w:hAnsi="宋体"/>
          <w:b/>
          <w:bCs/>
          <w:color w:val="auto"/>
          <w:sz w:val="36"/>
          <w:szCs w:val="36"/>
          <w:highlight w:val="none"/>
        </w:rPr>
      </w:pPr>
    </w:p>
    <w:p>
      <w:pPr>
        <w:spacing w:line="360" w:lineRule="auto"/>
        <w:ind w:firstLine="3000" w:firstLineChars="996"/>
        <w:outlineLvl w:val="9"/>
        <w:rPr>
          <w:rFonts w:hAnsi="宋体"/>
          <w:b/>
          <w:color w:val="auto"/>
          <w:sz w:val="30"/>
          <w:szCs w:val="30"/>
          <w:highlight w:val="none"/>
        </w:rPr>
      </w:pPr>
      <w:r>
        <w:rPr>
          <w:rFonts w:hint="eastAsia" w:hAnsi="宋体"/>
          <w:b/>
          <w:color w:val="auto"/>
          <w:sz w:val="30"/>
          <w:szCs w:val="30"/>
          <w:highlight w:val="none"/>
        </w:rPr>
        <w:t>合同类别：</w:t>
      </w:r>
    </w:p>
    <w:p>
      <w:pPr>
        <w:spacing w:line="360" w:lineRule="auto"/>
        <w:ind w:firstLine="3000" w:firstLineChars="996"/>
        <w:outlineLvl w:val="9"/>
        <w:rPr>
          <w:rFonts w:hAnsi="宋体"/>
          <w:b/>
          <w:color w:val="auto"/>
          <w:sz w:val="30"/>
          <w:szCs w:val="30"/>
          <w:highlight w:val="none"/>
        </w:rPr>
      </w:pPr>
      <w:r>
        <w:rPr>
          <w:rFonts w:hint="eastAsia" w:hAnsi="宋体"/>
          <w:b/>
          <w:color w:val="auto"/>
          <w:sz w:val="30"/>
          <w:szCs w:val="30"/>
          <w:highlight w:val="none"/>
        </w:rPr>
        <w:t>合同编号：</w:t>
      </w:r>
    </w:p>
    <w:p>
      <w:pPr>
        <w:autoSpaceDE w:val="0"/>
        <w:autoSpaceDN w:val="0"/>
        <w:adjustRightInd w:val="0"/>
        <w:spacing w:line="360" w:lineRule="auto"/>
        <w:jc w:val="left"/>
        <w:outlineLvl w:val="9"/>
        <w:rPr>
          <w:rFonts w:ascii="宋体" w:hAnsi="宋体"/>
          <w:color w:val="auto"/>
          <w:kern w:val="0"/>
          <w:sz w:val="24"/>
          <w:szCs w:val="20"/>
          <w:highlight w:val="none"/>
        </w:rPr>
      </w:pPr>
    </w:p>
    <w:p>
      <w:pPr>
        <w:autoSpaceDE w:val="0"/>
        <w:autoSpaceDN w:val="0"/>
        <w:adjustRightInd w:val="0"/>
        <w:spacing w:line="360" w:lineRule="auto"/>
        <w:jc w:val="left"/>
        <w:outlineLvl w:val="9"/>
        <w:rPr>
          <w:rFonts w:ascii="宋体" w:hAnsi="宋体"/>
          <w:color w:val="auto"/>
          <w:kern w:val="0"/>
          <w:highlight w:val="none"/>
        </w:rPr>
      </w:pPr>
    </w:p>
    <w:p>
      <w:pPr>
        <w:autoSpaceDE w:val="0"/>
        <w:autoSpaceDN w:val="0"/>
        <w:adjustRightInd w:val="0"/>
        <w:spacing w:line="360" w:lineRule="auto"/>
        <w:jc w:val="left"/>
        <w:outlineLvl w:val="9"/>
        <w:rPr>
          <w:rFonts w:ascii="宋体" w:hAnsi="宋体"/>
          <w:color w:val="auto"/>
          <w:kern w:val="0"/>
          <w:highlight w:val="none"/>
        </w:rPr>
      </w:pPr>
    </w:p>
    <w:p>
      <w:pPr>
        <w:autoSpaceDE w:val="0"/>
        <w:autoSpaceDN w:val="0"/>
        <w:adjustRightInd w:val="0"/>
        <w:spacing w:line="360" w:lineRule="auto"/>
        <w:jc w:val="left"/>
        <w:outlineLvl w:val="9"/>
        <w:rPr>
          <w:rFonts w:ascii="宋体" w:hAnsi="宋体"/>
          <w:color w:val="auto"/>
          <w:kern w:val="0"/>
          <w:highlight w:val="none"/>
        </w:rPr>
      </w:pPr>
    </w:p>
    <w:p>
      <w:pPr>
        <w:autoSpaceDE w:val="0"/>
        <w:autoSpaceDN w:val="0"/>
        <w:adjustRightInd w:val="0"/>
        <w:spacing w:line="360" w:lineRule="auto"/>
        <w:jc w:val="left"/>
        <w:outlineLvl w:val="9"/>
        <w:rPr>
          <w:rFonts w:ascii="宋体" w:hAnsi="宋体"/>
          <w:color w:val="auto"/>
          <w:kern w:val="0"/>
          <w:highlight w:val="none"/>
        </w:rPr>
      </w:pPr>
    </w:p>
    <w:p>
      <w:pPr>
        <w:autoSpaceDE w:val="0"/>
        <w:autoSpaceDN w:val="0"/>
        <w:adjustRightInd w:val="0"/>
        <w:spacing w:line="360" w:lineRule="auto"/>
        <w:jc w:val="left"/>
        <w:outlineLvl w:val="9"/>
        <w:rPr>
          <w:rFonts w:ascii="宋体" w:hAnsi="宋体"/>
          <w:color w:val="auto"/>
          <w:kern w:val="0"/>
          <w:highlight w:val="none"/>
        </w:rPr>
      </w:pPr>
    </w:p>
    <w:p>
      <w:pPr>
        <w:autoSpaceDE w:val="0"/>
        <w:autoSpaceDN w:val="0"/>
        <w:adjustRightInd w:val="0"/>
        <w:spacing w:line="360" w:lineRule="auto"/>
        <w:jc w:val="left"/>
        <w:outlineLvl w:val="9"/>
        <w:rPr>
          <w:rFonts w:ascii="宋体" w:hAnsi="宋体"/>
          <w:color w:val="auto"/>
          <w:kern w:val="0"/>
          <w:highlight w:val="none"/>
        </w:rPr>
      </w:pPr>
    </w:p>
    <w:p>
      <w:pPr>
        <w:autoSpaceDE w:val="0"/>
        <w:autoSpaceDN w:val="0"/>
        <w:adjustRightInd w:val="0"/>
        <w:spacing w:line="360" w:lineRule="auto"/>
        <w:jc w:val="left"/>
        <w:outlineLvl w:val="9"/>
        <w:rPr>
          <w:rFonts w:ascii="宋体" w:hAnsi="宋体"/>
          <w:color w:val="auto"/>
          <w:kern w:val="0"/>
          <w:highlight w:val="none"/>
        </w:rPr>
      </w:pPr>
    </w:p>
    <w:p>
      <w:pPr>
        <w:autoSpaceDE w:val="0"/>
        <w:autoSpaceDN w:val="0"/>
        <w:adjustRightInd w:val="0"/>
        <w:spacing w:line="360" w:lineRule="auto"/>
        <w:jc w:val="left"/>
        <w:outlineLvl w:val="9"/>
        <w:rPr>
          <w:rFonts w:ascii="宋体" w:hAnsi="宋体"/>
          <w:color w:val="auto"/>
          <w:kern w:val="0"/>
          <w:highlight w:val="none"/>
        </w:rPr>
      </w:pPr>
    </w:p>
    <w:p>
      <w:pPr>
        <w:autoSpaceDE w:val="0"/>
        <w:autoSpaceDN w:val="0"/>
        <w:adjustRightInd w:val="0"/>
        <w:spacing w:line="360" w:lineRule="auto"/>
        <w:ind w:firstLine="551" w:firstLineChars="196"/>
        <w:outlineLvl w:val="9"/>
        <w:rPr>
          <w:rFonts w:ascii="宋体" w:hAnsi="宋体"/>
          <w:b/>
          <w:color w:val="auto"/>
          <w:kern w:val="0"/>
          <w:sz w:val="28"/>
          <w:szCs w:val="28"/>
          <w:highlight w:val="none"/>
          <w:u w:val="single"/>
        </w:rPr>
      </w:pPr>
      <w:r>
        <w:rPr>
          <w:rFonts w:hint="eastAsia" w:ascii="宋体" w:hAnsi="宋体"/>
          <w:b/>
          <w:color w:val="auto"/>
          <w:kern w:val="0"/>
          <w:sz w:val="28"/>
          <w:szCs w:val="28"/>
          <w:highlight w:val="none"/>
        </w:rPr>
        <w:t>采  购  人：</w:t>
      </w:r>
    </w:p>
    <w:p>
      <w:pPr>
        <w:autoSpaceDE w:val="0"/>
        <w:autoSpaceDN w:val="0"/>
        <w:adjustRightInd w:val="0"/>
        <w:spacing w:line="360" w:lineRule="auto"/>
        <w:ind w:firstLine="551" w:firstLineChars="196"/>
        <w:outlineLvl w:val="9"/>
        <w:rPr>
          <w:rFonts w:ascii="宋体" w:hAnsi="宋体"/>
          <w:b/>
          <w:color w:val="auto"/>
          <w:kern w:val="0"/>
          <w:sz w:val="28"/>
          <w:szCs w:val="28"/>
          <w:highlight w:val="none"/>
          <w:u w:val="single"/>
        </w:rPr>
      </w:pPr>
      <w:r>
        <w:rPr>
          <w:rFonts w:hint="eastAsia" w:ascii="宋体" w:hAnsi="宋体"/>
          <w:b/>
          <w:color w:val="auto"/>
          <w:kern w:val="0"/>
          <w:sz w:val="28"/>
          <w:szCs w:val="28"/>
          <w:highlight w:val="none"/>
        </w:rPr>
        <w:t>供  应  商：</w:t>
      </w:r>
    </w:p>
    <w:p>
      <w:pPr>
        <w:jc w:val="center"/>
        <w:outlineLvl w:val="9"/>
        <w:rPr>
          <w:b/>
          <w:color w:val="auto"/>
          <w:sz w:val="36"/>
          <w:szCs w:val="36"/>
          <w:highlight w:val="none"/>
        </w:rPr>
      </w:pPr>
    </w:p>
    <w:p>
      <w:pPr>
        <w:tabs>
          <w:tab w:val="left" w:pos="7380"/>
        </w:tabs>
        <w:spacing w:line="360" w:lineRule="auto"/>
        <w:jc w:val="center"/>
        <w:outlineLvl w:val="9"/>
        <w:rPr>
          <w:rFonts w:ascii="宋体"/>
          <w:b/>
          <w:bCs/>
          <w:color w:val="auto"/>
          <w:sz w:val="44"/>
          <w:highlight w:val="none"/>
        </w:rPr>
      </w:pPr>
      <w:bookmarkStart w:id="74" w:name="_Toc29420_WPSOffice_Level1"/>
      <w:bookmarkStart w:id="75" w:name="_Toc555_WPSOffice_Level1"/>
      <w:bookmarkStart w:id="76" w:name="_Toc5237"/>
      <w:bookmarkStart w:id="77" w:name="_Toc1730_WPSOffice_Level1"/>
      <w:bookmarkStart w:id="78" w:name="_Toc24826_WPSOffice_Level1"/>
      <w:bookmarkStart w:id="79" w:name="_Toc31697_WPSOffice_Level1"/>
      <w:bookmarkStart w:id="80" w:name="_Toc19231_WPSOffice_Level1"/>
      <w:bookmarkStart w:id="81" w:name="_Toc29719_WPSOffice_Level1"/>
      <w:r>
        <w:rPr>
          <w:rFonts w:hint="eastAsia"/>
          <w:b/>
          <w:color w:val="auto"/>
          <w:sz w:val="36"/>
          <w:szCs w:val="36"/>
          <w:highlight w:val="none"/>
        </w:rPr>
        <w:t>目录</w:t>
      </w:r>
      <w:bookmarkEnd w:id="74"/>
      <w:bookmarkEnd w:id="75"/>
      <w:bookmarkEnd w:id="76"/>
      <w:bookmarkEnd w:id="77"/>
      <w:bookmarkEnd w:id="78"/>
      <w:bookmarkEnd w:id="79"/>
      <w:bookmarkEnd w:id="80"/>
      <w:bookmarkEnd w:id="81"/>
    </w:p>
    <w:p>
      <w:pPr>
        <w:tabs>
          <w:tab w:val="left" w:pos="1170"/>
        </w:tabs>
        <w:spacing w:line="360" w:lineRule="auto"/>
        <w:ind w:left="359" w:leftChars="171" w:firstLine="198" w:firstLineChars="71"/>
        <w:outlineLvl w:val="9"/>
        <w:rPr>
          <w:rFonts w:ascii="宋体" w:hAnsi="宋体"/>
          <w:color w:val="auto"/>
          <w:sz w:val="28"/>
          <w:highlight w:val="none"/>
        </w:rPr>
      </w:pPr>
      <w:r>
        <w:rPr>
          <w:rFonts w:hint="eastAsia" w:ascii="宋体" w:hAnsi="宋体"/>
          <w:color w:val="auto"/>
          <w:sz w:val="28"/>
          <w:highlight w:val="none"/>
        </w:rPr>
        <w:tab/>
      </w:r>
    </w:p>
    <w:p>
      <w:pPr>
        <w:outlineLvl w:val="9"/>
        <w:rPr>
          <w:b/>
          <w:color w:val="auto"/>
          <w:sz w:val="30"/>
          <w:szCs w:val="30"/>
          <w:highlight w:val="none"/>
        </w:rPr>
      </w:pPr>
      <w:bookmarkStart w:id="82" w:name="_Toc1361_WPSOffice_Level1"/>
      <w:bookmarkStart w:id="83" w:name="_Toc28839"/>
      <w:bookmarkStart w:id="84" w:name="_Toc23681_WPSOffice_Level1"/>
      <w:bookmarkStart w:id="85" w:name="_Toc896_WPSOffice_Level1"/>
      <w:bookmarkStart w:id="86" w:name="_Toc14456_WPSOffice_Level1"/>
      <w:bookmarkStart w:id="87" w:name="_Toc26084_WPSOffice_Level1"/>
      <w:bookmarkStart w:id="88" w:name="_Toc24932_WPSOffice_Level1"/>
      <w:bookmarkStart w:id="89" w:name="_Toc14626_WPSOffice_Level1"/>
      <w:r>
        <w:rPr>
          <w:rFonts w:hint="eastAsia"/>
          <w:b/>
          <w:color w:val="auto"/>
          <w:sz w:val="30"/>
          <w:szCs w:val="30"/>
          <w:highlight w:val="none"/>
        </w:rPr>
        <w:t>一、合同书</w:t>
      </w:r>
      <w:bookmarkEnd w:id="82"/>
      <w:bookmarkEnd w:id="83"/>
      <w:bookmarkEnd w:id="84"/>
      <w:bookmarkEnd w:id="85"/>
      <w:bookmarkEnd w:id="86"/>
      <w:bookmarkEnd w:id="87"/>
      <w:bookmarkEnd w:id="88"/>
      <w:bookmarkEnd w:id="89"/>
    </w:p>
    <w:p>
      <w:pPr>
        <w:outlineLvl w:val="9"/>
        <w:rPr>
          <w:b/>
          <w:color w:val="auto"/>
          <w:sz w:val="30"/>
          <w:szCs w:val="30"/>
          <w:highlight w:val="none"/>
        </w:rPr>
      </w:pPr>
      <w:bookmarkStart w:id="90" w:name="_Toc13491_WPSOffice_Level1"/>
      <w:bookmarkStart w:id="91" w:name="_Toc8166_WPSOffice_Level1"/>
      <w:bookmarkStart w:id="92" w:name="_Toc30238_WPSOffice_Level1"/>
      <w:bookmarkStart w:id="93" w:name="_Toc21073_WPSOffice_Level1"/>
      <w:bookmarkStart w:id="94" w:name="_Toc1755_WPSOffice_Level1"/>
      <w:bookmarkStart w:id="95" w:name="_Toc24929_WPSOffice_Level1"/>
      <w:bookmarkStart w:id="96" w:name="_Toc29204"/>
      <w:bookmarkStart w:id="97" w:name="_Toc454_WPSOffice_Level1"/>
      <w:r>
        <w:rPr>
          <w:rFonts w:hint="eastAsia"/>
          <w:b/>
          <w:color w:val="auto"/>
          <w:sz w:val="30"/>
          <w:szCs w:val="30"/>
          <w:highlight w:val="none"/>
        </w:rPr>
        <w:t>二、合同附件</w:t>
      </w:r>
      <w:bookmarkEnd w:id="90"/>
      <w:bookmarkEnd w:id="91"/>
      <w:bookmarkEnd w:id="92"/>
      <w:bookmarkEnd w:id="93"/>
      <w:bookmarkEnd w:id="94"/>
      <w:bookmarkEnd w:id="95"/>
      <w:bookmarkEnd w:id="96"/>
      <w:bookmarkEnd w:id="97"/>
    </w:p>
    <w:p>
      <w:pPr>
        <w:pStyle w:val="11"/>
        <w:spacing w:line="360" w:lineRule="auto"/>
        <w:ind w:firstLine="560" w:firstLineChars="200"/>
        <w:outlineLvl w:val="9"/>
        <w:rPr>
          <w:rFonts w:hAnsi="宋体"/>
          <w:color w:val="auto"/>
          <w:sz w:val="28"/>
          <w:szCs w:val="28"/>
          <w:highlight w:val="none"/>
        </w:rPr>
      </w:pPr>
      <w:r>
        <w:rPr>
          <w:rFonts w:hint="eastAsia" w:hAnsi="宋体"/>
          <w:color w:val="auto"/>
          <w:sz w:val="28"/>
          <w:szCs w:val="28"/>
          <w:highlight w:val="none"/>
        </w:rPr>
        <w:t>1、</w:t>
      </w:r>
      <w:r>
        <w:rPr>
          <w:rFonts w:hint="eastAsia" w:hAnsi="宋体"/>
          <w:color w:val="auto"/>
          <w:sz w:val="28"/>
          <w:szCs w:val="28"/>
          <w:highlight w:val="none"/>
          <w:lang w:eastAsia="zh-CN"/>
        </w:rPr>
        <w:t>成交</w:t>
      </w:r>
      <w:r>
        <w:rPr>
          <w:rFonts w:hint="eastAsia" w:hAnsi="宋体"/>
          <w:color w:val="auto"/>
          <w:sz w:val="28"/>
          <w:szCs w:val="28"/>
          <w:highlight w:val="none"/>
        </w:rPr>
        <w:t>通知书</w:t>
      </w:r>
    </w:p>
    <w:p>
      <w:pPr>
        <w:pStyle w:val="11"/>
        <w:spacing w:line="360" w:lineRule="auto"/>
        <w:ind w:firstLine="560" w:firstLineChars="200"/>
        <w:outlineLvl w:val="9"/>
        <w:rPr>
          <w:rFonts w:hAnsi="宋体"/>
          <w:color w:val="auto"/>
          <w:sz w:val="28"/>
          <w:szCs w:val="28"/>
          <w:highlight w:val="none"/>
        </w:rPr>
      </w:pPr>
      <w:r>
        <w:rPr>
          <w:rFonts w:hint="eastAsia" w:hAnsi="宋体"/>
          <w:color w:val="auto"/>
          <w:sz w:val="28"/>
          <w:szCs w:val="28"/>
          <w:highlight w:val="none"/>
        </w:rPr>
        <w:t>2、</w:t>
      </w:r>
      <w:r>
        <w:rPr>
          <w:rFonts w:hint="eastAsia" w:hAnsi="宋体"/>
          <w:color w:val="auto"/>
          <w:sz w:val="28"/>
          <w:szCs w:val="28"/>
          <w:highlight w:val="none"/>
          <w:lang w:eastAsia="zh-CN"/>
        </w:rPr>
        <w:t>竞争性磋商</w:t>
      </w:r>
      <w:r>
        <w:rPr>
          <w:rFonts w:hint="eastAsia" w:hAnsi="宋体"/>
          <w:color w:val="auto"/>
          <w:sz w:val="28"/>
          <w:szCs w:val="28"/>
          <w:highlight w:val="none"/>
        </w:rPr>
        <w:t>文件服务需求一览表</w:t>
      </w:r>
    </w:p>
    <w:p>
      <w:pPr>
        <w:pStyle w:val="11"/>
        <w:spacing w:line="360" w:lineRule="auto"/>
        <w:ind w:firstLine="560" w:firstLineChars="200"/>
        <w:outlineLvl w:val="9"/>
        <w:rPr>
          <w:rFonts w:hAnsi="宋体"/>
          <w:color w:val="auto"/>
          <w:sz w:val="28"/>
          <w:szCs w:val="28"/>
          <w:highlight w:val="none"/>
        </w:rPr>
      </w:pPr>
      <w:r>
        <w:rPr>
          <w:rFonts w:hint="eastAsia" w:hAnsi="宋体"/>
          <w:color w:val="auto"/>
          <w:sz w:val="28"/>
          <w:szCs w:val="28"/>
          <w:highlight w:val="none"/>
        </w:rPr>
        <w:t>3、</w:t>
      </w:r>
      <w:r>
        <w:rPr>
          <w:rFonts w:hint="eastAsia" w:hAnsi="宋体"/>
          <w:color w:val="auto"/>
          <w:sz w:val="28"/>
          <w:szCs w:val="28"/>
          <w:highlight w:val="none"/>
          <w:lang w:eastAsia="zh-CN"/>
        </w:rPr>
        <w:t>竞争性磋商</w:t>
      </w:r>
      <w:r>
        <w:rPr>
          <w:rFonts w:hint="eastAsia" w:hAnsi="宋体"/>
          <w:color w:val="auto"/>
          <w:sz w:val="28"/>
          <w:szCs w:val="28"/>
          <w:highlight w:val="none"/>
        </w:rPr>
        <w:t>文件的更改通知（如有）</w:t>
      </w:r>
    </w:p>
    <w:p>
      <w:pPr>
        <w:pStyle w:val="11"/>
        <w:spacing w:line="360" w:lineRule="auto"/>
        <w:ind w:firstLine="560" w:firstLineChars="200"/>
        <w:outlineLvl w:val="9"/>
        <w:rPr>
          <w:rFonts w:hint="eastAsia" w:hAnsi="宋体"/>
          <w:color w:val="auto"/>
          <w:sz w:val="28"/>
          <w:szCs w:val="28"/>
          <w:highlight w:val="none"/>
        </w:rPr>
      </w:pPr>
      <w:r>
        <w:rPr>
          <w:rFonts w:hint="eastAsia" w:hAnsi="宋体"/>
          <w:color w:val="auto"/>
          <w:sz w:val="28"/>
          <w:szCs w:val="28"/>
          <w:highlight w:val="none"/>
        </w:rPr>
        <w:t>4、响应函</w:t>
      </w:r>
    </w:p>
    <w:p>
      <w:pPr>
        <w:pStyle w:val="11"/>
        <w:spacing w:line="360" w:lineRule="auto"/>
        <w:ind w:firstLine="560" w:firstLineChars="200"/>
        <w:outlineLvl w:val="9"/>
        <w:rPr>
          <w:rFonts w:hint="eastAsia" w:hAnsi="宋体" w:eastAsia="宋体"/>
          <w:color w:val="auto"/>
          <w:sz w:val="28"/>
          <w:szCs w:val="28"/>
          <w:highlight w:val="none"/>
          <w:lang w:val="en-US" w:eastAsia="zh-CN"/>
        </w:rPr>
      </w:pPr>
      <w:r>
        <w:rPr>
          <w:rFonts w:hint="eastAsia" w:hAnsi="宋体"/>
          <w:color w:val="auto"/>
          <w:sz w:val="28"/>
          <w:szCs w:val="28"/>
          <w:highlight w:val="none"/>
        </w:rPr>
        <w:t>5、报价表</w:t>
      </w:r>
      <w:r>
        <w:rPr>
          <w:rFonts w:hint="eastAsia" w:hAnsi="宋体"/>
          <w:color w:val="auto"/>
          <w:sz w:val="28"/>
          <w:szCs w:val="28"/>
          <w:highlight w:val="none"/>
          <w:lang w:eastAsia="zh-CN"/>
        </w:rPr>
        <w:t>和最终报价</w:t>
      </w:r>
    </w:p>
    <w:p>
      <w:pPr>
        <w:pStyle w:val="11"/>
        <w:spacing w:line="360" w:lineRule="auto"/>
        <w:ind w:firstLine="560" w:firstLineChars="200"/>
        <w:outlineLvl w:val="9"/>
        <w:rPr>
          <w:rFonts w:hAnsi="宋体"/>
          <w:color w:val="auto"/>
          <w:sz w:val="28"/>
          <w:szCs w:val="28"/>
          <w:highlight w:val="none"/>
        </w:rPr>
      </w:pPr>
      <w:r>
        <w:rPr>
          <w:rFonts w:hint="eastAsia" w:hAnsi="宋体"/>
          <w:color w:val="auto"/>
          <w:sz w:val="28"/>
          <w:szCs w:val="28"/>
          <w:highlight w:val="none"/>
        </w:rPr>
        <w:t>6、提供服务技术资料表</w:t>
      </w:r>
    </w:p>
    <w:p>
      <w:pPr>
        <w:pStyle w:val="11"/>
        <w:spacing w:line="360" w:lineRule="auto"/>
        <w:ind w:firstLine="560" w:firstLineChars="200"/>
        <w:outlineLvl w:val="9"/>
        <w:rPr>
          <w:rFonts w:hAnsi="宋体"/>
          <w:color w:val="auto"/>
          <w:sz w:val="28"/>
          <w:szCs w:val="28"/>
          <w:highlight w:val="none"/>
        </w:rPr>
      </w:pPr>
      <w:r>
        <w:rPr>
          <w:rFonts w:hint="eastAsia" w:hAnsi="宋体"/>
          <w:color w:val="auto"/>
          <w:sz w:val="28"/>
          <w:szCs w:val="28"/>
          <w:highlight w:val="none"/>
        </w:rPr>
        <w:t>7、商务条款偏离表</w:t>
      </w:r>
    </w:p>
    <w:p>
      <w:pPr>
        <w:pStyle w:val="11"/>
        <w:spacing w:line="360" w:lineRule="auto"/>
        <w:ind w:firstLine="560" w:firstLineChars="200"/>
        <w:outlineLvl w:val="9"/>
        <w:rPr>
          <w:rFonts w:hAnsi="宋体"/>
          <w:color w:val="auto"/>
          <w:sz w:val="28"/>
          <w:szCs w:val="28"/>
          <w:highlight w:val="none"/>
        </w:rPr>
      </w:pPr>
      <w:r>
        <w:rPr>
          <w:rFonts w:hint="eastAsia" w:hAnsi="宋体"/>
          <w:color w:val="auto"/>
          <w:sz w:val="28"/>
          <w:szCs w:val="28"/>
          <w:highlight w:val="none"/>
        </w:rPr>
        <w:t>8、</w:t>
      </w:r>
      <w:r>
        <w:rPr>
          <w:rFonts w:hint="eastAsia" w:hAnsi="宋体"/>
          <w:color w:val="auto"/>
          <w:sz w:val="28"/>
          <w:szCs w:val="28"/>
          <w:highlight w:val="none"/>
          <w:lang w:eastAsia="zh-CN"/>
        </w:rPr>
        <w:t>成交</w:t>
      </w:r>
      <w:r>
        <w:rPr>
          <w:rFonts w:hint="eastAsia" w:hAnsi="宋体"/>
          <w:color w:val="auto"/>
          <w:sz w:val="28"/>
          <w:szCs w:val="28"/>
          <w:highlight w:val="none"/>
        </w:rPr>
        <w:t>供应商澄清函</w:t>
      </w:r>
      <w:r>
        <w:rPr>
          <w:color w:val="auto"/>
          <w:sz w:val="28"/>
          <w:szCs w:val="28"/>
          <w:highlight w:val="none"/>
        </w:rPr>
        <w:t>（如有请提</w:t>
      </w:r>
      <w:r>
        <w:rPr>
          <w:color w:val="auto"/>
          <w:sz w:val="30"/>
          <w:szCs w:val="30"/>
          <w:highlight w:val="none"/>
        </w:rPr>
        <w:t>供</w:t>
      </w:r>
      <w:r>
        <w:rPr>
          <w:color w:val="auto"/>
          <w:sz w:val="28"/>
          <w:szCs w:val="28"/>
          <w:highlight w:val="none"/>
        </w:rPr>
        <w:t>）</w:t>
      </w:r>
    </w:p>
    <w:p>
      <w:pPr>
        <w:pStyle w:val="11"/>
        <w:spacing w:line="360" w:lineRule="auto"/>
        <w:ind w:firstLine="560" w:firstLineChars="200"/>
        <w:outlineLvl w:val="9"/>
        <w:rPr>
          <w:rFonts w:hAnsi="宋体"/>
          <w:color w:val="auto"/>
          <w:sz w:val="28"/>
          <w:szCs w:val="28"/>
          <w:highlight w:val="none"/>
        </w:rPr>
      </w:pPr>
      <w:r>
        <w:rPr>
          <w:rFonts w:hint="eastAsia" w:hAnsi="宋体"/>
          <w:color w:val="auto"/>
          <w:sz w:val="28"/>
          <w:szCs w:val="28"/>
          <w:highlight w:val="none"/>
        </w:rPr>
        <w:t>9、其他与本合同相关的资料</w:t>
      </w:r>
      <w:r>
        <w:rPr>
          <w:color w:val="auto"/>
          <w:sz w:val="28"/>
          <w:szCs w:val="28"/>
          <w:highlight w:val="none"/>
        </w:rPr>
        <w:t>（如有请提</w:t>
      </w:r>
      <w:r>
        <w:rPr>
          <w:color w:val="auto"/>
          <w:sz w:val="30"/>
          <w:szCs w:val="30"/>
          <w:highlight w:val="none"/>
        </w:rPr>
        <w:t>供</w:t>
      </w:r>
      <w:r>
        <w:rPr>
          <w:color w:val="auto"/>
          <w:sz w:val="28"/>
          <w:szCs w:val="28"/>
          <w:highlight w:val="none"/>
        </w:rPr>
        <w:t>）</w:t>
      </w:r>
    </w:p>
    <w:p>
      <w:pPr>
        <w:outlineLvl w:val="9"/>
        <w:rPr>
          <w:rFonts w:ascii="黑体" w:hAnsi="黑体" w:eastAsia="黑体"/>
          <w:b/>
          <w:color w:val="auto"/>
          <w:sz w:val="44"/>
          <w:szCs w:val="44"/>
          <w:highlight w:val="none"/>
        </w:rPr>
      </w:pPr>
    </w:p>
    <w:p>
      <w:pPr>
        <w:outlineLvl w:val="9"/>
        <w:rPr>
          <w:rFonts w:ascii="黑体" w:hAnsi="黑体" w:eastAsia="黑体"/>
          <w:b/>
          <w:color w:val="auto"/>
          <w:sz w:val="44"/>
          <w:szCs w:val="44"/>
          <w:highlight w:val="none"/>
        </w:rPr>
      </w:pPr>
    </w:p>
    <w:p>
      <w:pPr>
        <w:outlineLvl w:val="9"/>
        <w:rPr>
          <w:rFonts w:ascii="黑体" w:hAnsi="黑体" w:eastAsia="黑体"/>
          <w:b/>
          <w:color w:val="auto"/>
          <w:sz w:val="44"/>
          <w:szCs w:val="44"/>
          <w:highlight w:val="none"/>
        </w:rPr>
      </w:pPr>
    </w:p>
    <w:p>
      <w:pPr>
        <w:pStyle w:val="13"/>
        <w:outlineLvl w:val="9"/>
        <w:rPr>
          <w:color w:val="auto"/>
          <w:highlight w:val="none"/>
        </w:rPr>
      </w:pPr>
    </w:p>
    <w:p>
      <w:pPr>
        <w:outlineLvl w:val="9"/>
        <w:rPr>
          <w:rFonts w:ascii="黑体" w:hAnsi="黑体" w:eastAsia="黑体"/>
          <w:b/>
          <w:color w:val="auto"/>
          <w:sz w:val="44"/>
          <w:szCs w:val="44"/>
          <w:highlight w:val="none"/>
        </w:rPr>
      </w:pPr>
    </w:p>
    <w:p>
      <w:pPr>
        <w:outlineLvl w:val="9"/>
        <w:rPr>
          <w:rFonts w:ascii="黑体" w:hAnsi="黑体" w:eastAsia="黑体"/>
          <w:b/>
          <w:color w:val="auto"/>
          <w:sz w:val="44"/>
          <w:szCs w:val="44"/>
          <w:highlight w:val="none"/>
        </w:rPr>
      </w:pPr>
    </w:p>
    <w:p>
      <w:pPr>
        <w:outlineLvl w:val="9"/>
        <w:rPr>
          <w:rFonts w:ascii="黑体" w:hAnsi="黑体" w:eastAsia="黑体"/>
          <w:b/>
          <w:color w:val="auto"/>
          <w:sz w:val="44"/>
          <w:szCs w:val="44"/>
          <w:highlight w:val="none"/>
        </w:rPr>
      </w:pPr>
    </w:p>
    <w:p>
      <w:pPr>
        <w:outlineLvl w:val="9"/>
        <w:rPr>
          <w:rFonts w:ascii="黑体" w:hAnsi="黑体" w:eastAsia="黑体"/>
          <w:b/>
          <w:color w:val="auto"/>
          <w:sz w:val="44"/>
          <w:szCs w:val="44"/>
          <w:highlight w:val="none"/>
        </w:rPr>
      </w:pPr>
    </w:p>
    <w:p>
      <w:pPr>
        <w:outlineLvl w:val="9"/>
        <w:rPr>
          <w:rFonts w:ascii="黑体" w:hAnsi="黑体" w:eastAsia="黑体"/>
          <w:b/>
          <w:color w:val="auto"/>
          <w:sz w:val="44"/>
          <w:szCs w:val="44"/>
          <w:highlight w:val="none"/>
        </w:rPr>
      </w:pPr>
    </w:p>
    <w:p>
      <w:pPr>
        <w:pStyle w:val="13"/>
        <w:outlineLvl w:val="9"/>
        <w:rPr>
          <w:rFonts w:ascii="黑体" w:hAnsi="黑体" w:eastAsia="黑体"/>
          <w:color w:val="auto"/>
          <w:w w:val="90"/>
          <w:sz w:val="36"/>
          <w:szCs w:val="36"/>
          <w:highlight w:val="none"/>
          <w:u w:val="single"/>
        </w:rPr>
      </w:pPr>
    </w:p>
    <w:p>
      <w:pPr>
        <w:spacing w:line="360" w:lineRule="auto"/>
        <w:ind w:left="359" w:leftChars="171"/>
        <w:jc w:val="center"/>
        <w:outlineLvl w:val="9"/>
        <w:rPr>
          <w:rFonts w:ascii="宋体" w:hAnsi="宋体" w:cs="宋体"/>
          <w:color w:val="auto"/>
          <w:w w:val="90"/>
          <w:sz w:val="36"/>
          <w:szCs w:val="36"/>
          <w:highlight w:val="none"/>
        </w:rPr>
      </w:pPr>
      <w:r>
        <w:rPr>
          <w:rFonts w:hint="eastAsia" w:ascii="宋体" w:hAnsi="宋体" w:cs="宋体"/>
          <w:color w:val="auto"/>
          <w:w w:val="90"/>
          <w:sz w:val="36"/>
          <w:szCs w:val="36"/>
          <w:highlight w:val="none"/>
          <w:u w:val="single"/>
        </w:rPr>
        <w:t xml:space="preserve">      </w:t>
      </w:r>
      <w:bookmarkStart w:id="98" w:name="_Toc365_WPSOffice_Level1"/>
      <w:bookmarkStart w:id="99" w:name="_Toc4829_WPSOffice_Level1"/>
      <w:bookmarkStart w:id="100" w:name="_Toc3458_WPSOffice_Level1"/>
      <w:bookmarkStart w:id="101" w:name="_Toc11067_WPSOffice_Level1"/>
      <w:bookmarkStart w:id="102" w:name="_Toc6580"/>
      <w:bookmarkStart w:id="103" w:name="_Toc21138_WPSOffice_Level1"/>
      <w:bookmarkStart w:id="104" w:name="_Toc24784_WPSOffice_Level1"/>
      <w:bookmarkStart w:id="105" w:name="_Toc22723_WPSOffice_Level1"/>
      <w:r>
        <w:rPr>
          <w:rFonts w:hint="eastAsia" w:ascii="宋体" w:hAnsi="宋体" w:cs="宋体"/>
          <w:color w:val="auto"/>
          <w:w w:val="90"/>
          <w:sz w:val="36"/>
          <w:szCs w:val="36"/>
          <w:highlight w:val="none"/>
          <w:u w:val="single"/>
        </w:rPr>
        <w:t xml:space="preserve">（项目名称  ）    </w:t>
      </w:r>
      <w:r>
        <w:rPr>
          <w:rFonts w:hint="eastAsia" w:ascii="宋体" w:hAnsi="宋体" w:cs="宋体"/>
          <w:color w:val="auto"/>
          <w:w w:val="90"/>
          <w:sz w:val="36"/>
          <w:szCs w:val="36"/>
          <w:highlight w:val="none"/>
        </w:rPr>
        <w:t>合同</w:t>
      </w:r>
      <w:bookmarkEnd w:id="98"/>
      <w:bookmarkEnd w:id="99"/>
      <w:bookmarkEnd w:id="100"/>
      <w:bookmarkEnd w:id="101"/>
      <w:bookmarkEnd w:id="102"/>
      <w:bookmarkEnd w:id="103"/>
      <w:bookmarkEnd w:id="104"/>
      <w:bookmarkEnd w:id="105"/>
    </w:p>
    <w:p>
      <w:pPr>
        <w:pStyle w:val="13"/>
        <w:outlineLvl w:val="9"/>
        <w:rPr>
          <w:color w:val="auto"/>
          <w:highlight w:val="none"/>
        </w:rPr>
      </w:pPr>
    </w:p>
    <w:p>
      <w:pPr>
        <w:pStyle w:val="11"/>
        <w:spacing w:line="360" w:lineRule="auto"/>
        <w:outlineLvl w:val="9"/>
        <w:rPr>
          <w:rFonts w:hAnsi="宋体"/>
          <w:color w:val="auto"/>
          <w:highlight w:val="none"/>
        </w:rPr>
      </w:pPr>
      <w:r>
        <w:rPr>
          <w:rFonts w:hint="eastAsia" w:hAnsi="宋体"/>
          <w:color w:val="auto"/>
          <w:highlight w:val="none"/>
        </w:rPr>
        <w:t>项目名称：</w:t>
      </w:r>
      <w:r>
        <w:rPr>
          <w:rFonts w:hint="eastAsia"/>
          <w:color w:val="auto"/>
          <w:highlight w:val="none"/>
          <w:u w:val="single"/>
        </w:rPr>
        <w:t xml:space="preserve">                       </w:t>
      </w:r>
    </w:p>
    <w:p>
      <w:pPr>
        <w:pStyle w:val="11"/>
        <w:spacing w:line="360" w:lineRule="auto"/>
        <w:outlineLvl w:val="9"/>
        <w:rPr>
          <w:rFonts w:hAnsi="宋体"/>
          <w:color w:val="auto"/>
          <w:highlight w:val="none"/>
        </w:rPr>
      </w:pPr>
      <w:r>
        <w:rPr>
          <w:rFonts w:hint="eastAsia" w:hAnsi="宋体"/>
          <w:color w:val="auto"/>
          <w:highlight w:val="none"/>
        </w:rPr>
        <w:t>项目编号：</w:t>
      </w:r>
      <w:r>
        <w:rPr>
          <w:rFonts w:hint="eastAsia"/>
          <w:color w:val="auto"/>
          <w:highlight w:val="none"/>
          <w:u w:val="single"/>
        </w:rPr>
        <w:t xml:space="preserve">                       </w:t>
      </w:r>
    </w:p>
    <w:p>
      <w:pPr>
        <w:pStyle w:val="11"/>
        <w:spacing w:line="360" w:lineRule="auto"/>
        <w:outlineLvl w:val="9"/>
        <w:rPr>
          <w:rFonts w:hAnsi="宋体"/>
          <w:color w:val="auto"/>
          <w:highlight w:val="none"/>
        </w:rPr>
      </w:pPr>
      <w:r>
        <w:rPr>
          <w:rFonts w:hint="eastAsia" w:hAnsi="宋体"/>
          <w:color w:val="auto"/>
          <w:highlight w:val="none"/>
        </w:rPr>
        <w:t>分标号（有分标时填写）：</w:t>
      </w:r>
      <w:r>
        <w:rPr>
          <w:rFonts w:hint="eastAsia"/>
          <w:color w:val="auto"/>
          <w:highlight w:val="none"/>
          <w:u w:val="single"/>
        </w:rPr>
        <w:t xml:space="preserve">                       </w:t>
      </w:r>
    </w:p>
    <w:p>
      <w:pPr>
        <w:pStyle w:val="11"/>
        <w:spacing w:line="360" w:lineRule="auto"/>
        <w:outlineLvl w:val="9"/>
        <w:rPr>
          <w:rFonts w:hAnsi="宋体"/>
          <w:color w:val="auto"/>
          <w:highlight w:val="none"/>
        </w:rPr>
      </w:pPr>
    </w:p>
    <w:p>
      <w:pPr>
        <w:pStyle w:val="11"/>
        <w:spacing w:line="360" w:lineRule="auto"/>
        <w:outlineLvl w:val="9"/>
        <w:rPr>
          <w:rFonts w:hAnsi="宋体"/>
          <w:color w:val="auto"/>
          <w:highlight w:val="none"/>
        </w:rPr>
      </w:pPr>
      <w:r>
        <w:rPr>
          <w:rFonts w:hint="eastAsia" w:hAnsi="宋体"/>
          <w:color w:val="auto"/>
          <w:highlight w:val="none"/>
        </w:rPr>
        <w:t>甲方（买方）：</w:t>
      </w:r>
      <w:r>
        <w:rPr>
          <w:rFonts w:hint="eastAsia"/>
          <w:color w:val="auto"/>
          <w:highlight w:val="none"/>
          <w:u w:val="single"/>
        </w:rPr>
        <w:t xml:space="preserve">                       </w:t>
      </w:r>
    </w:p>
    <w:p>
      <w:pPr>
        <w:pStyle w:val="11"/>
        <w:spacing w:line="360" w:lineRule="auto"/>
        <w:outlineLvl w:val="9"/>
        <w:rPr>
          <w:rFonts w:hAnsi="宋体"/>
          <w:color w:val="auto"/>
          <w:highlight w:val="none"/>
        </w:rPr>
      </w:pPr>
      <w:r>
        <w:rPr>
          <w:rFonts w:hint="eastAsia" w:hAnsi="宋体"/>
          <w:color w:val="auto"/>
          <w:highlight w:val="none"/>
        </w:rPr>
        <w:t>乙方（卖方）：</w:t>
      </w:r>
      <w:r>
        <w:rPr>
          <w:rFonts w:hint="eastAsia"/>
          <w:color w:val="auto"/>
          <w:highlight w:val="none"/>
          <w:u w:val="single"/>
        </w:rPr>
        <w:t xml:space="preserve">                       </w:t>
      </w:r>
    </w:p>
    <w:p>
      <w:pPr>
        <w:pStyle w:val="11"/>
        <w:spacing w:line="360" w:lineRule="auto"/>
        <w:outlineLvl w:val="9"/>
        <w:rPr>
          <w:rFonts w:hAnsi="宋体"/>
          <w:b/>
          <w:color w:val="auto"/>
          <w:highlight w:val="none"/>
        </w:rPr>
      </w:pPr>
    </w:p>
    <w:p>
      <w:pPr>
        <w:pStyle w:val="11"/>
        <w:spacing w:line="360" w:lineRule="auto"/>
        <w:ind w:firstLine="420" w:firstLineChars="200"/>
        <w:outlineLvl w:val="9"/>
        <w:rPr>
          <w:rFonts w:hAnsi="宋体"/>
          <w:b/>
          <w:color w:val="auto"/>
          <w:highlight w:val="none"/>
        </w:rPr>
      </w:pPr>
      <w:r>
        <w:rPr>
          <w:rFonts w:hint="eastAsia" w:hAnsi="宋体"/>
          <w:color w:val="auto"/>
          <w:highlight w:val="none"/>
        </w:rPr>
        <w:t>根据</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日南宁市政府采购项目的采购结果，甲方接受乙方对本项目的投标，甲、乙双方同意签署本合同（以下简称合同）。</w:t>
      </w:r>
    </w:p>
    <w:p>
      <w:pPr>
        <w:pStyle w:val="11"/>
        <w:spacing w:line="360" w:lineRule="auto"/>
        <w:outlineLvl w:val="9"/>
        <w:rPr>
          <w:rFonts w:hAnsi="宋体"/>
          <w:b/>
          <w:color w:val="auto"/>
          <w:highlight w:val="none"/>
        </w:rPr>
      </w:pPr>
    </w:p>
    <w:p>
      <w:pPr>
        <w:pStyle w:val="11"/>
        <w:spacing w:line="360" w:lineRule="auto"/>
        <w:outlineLvl w:val="9"/>
        <w:rPr>
          <w:rFonts w:hAnsi="宋体"/>
          <w:b/>
          <w:bCs/>
          <w:color w:val="auto"/>
          <w:sz w:val="24"/>
          <w:highlight w:val="none"/>
        </w:rPr>
      </w:pPr>
      <w:bookmarkStart w:id="106" w:name="_Toc10594_WPSOffice_Level1"/>
      <w:bookmarkStart w:id="107" w:name="_Toc6977_WPSOffice_Level1"/>
      <w:bookmarkStart w:id="108" w:name="_Toc12610_WPSOffice_Level1"/>
      <w:bookmarkStart w:id="109" w:name="_Toc23177_WPSOffice_Level1"/>
      <w:bookmarkStart w:id="110" w:name="_Toc29194_WPSOffice_Level1"/>
      <w:bookmarkStart w:id="111" w:name="_Toc31920_WPSOffice_Level1"/>
      <w:bookmarkStart w:id="112" w:name="_Toc5453"/>
      <w:bookmarkStart w:id="113" w:name="_Toc15553_WPSOffice_Level1"/>
      <w:r>
        <w:rPr>
          <w:rFonts w:hint="eastAsia" w:hAnsi="宋体"/>
          <w:b/>
          <w:bCs/>
          <w:color w:val="auto"/>
          <w:sz w:val="24"/>
          <w:highlight w:val="none"/>
        </w:rPr>
        <w:t>1.  采购内容</w:t>
      </w:r>
      <w:bookmarkEnd w:id="106"/>
      <w:bookmarkEnd w:id="107"/>
      <w:bookmarkEnd w:id="108"/>
      <w:bookmarkEnd w:id="109"/>
      <w:bookmarkEnd w:id="110"/>
      <w:bookmarkEnd w:id="111"/>
      <w:bookmarkEnd w:id="112"/>
      <w:bookmarkEnd w:id="113"/>
    </w:p>
    <w:p>
      <w:pPr>
        <w:pStyle w:val="11"/>
        <w:tabs>
          <w:tab w:val="left" w:pos="5220"/>
        </w:tabs>
        <w:spacing w:line="360" w:lineRule="auto"/>
        <w:ind w:firstLine="420" w:firstLineChars="200"/>
        <w:outlineLvl w:val="9"/>
        <w:rPr>
          <w:rFonts w:hAnsi="宋体"/>
          <w:color w:val="auto"/>
          <w:highlight w:val="none"/>
          <w:u w:val="single"/>
        </w:rPr>
      </w:pPr>
      <w:r>
        <w:rPr>
          <w:rFonts w:hint="eastAsia" w:hAnsi="宋体"/>
          <w:color w:val="auto"/>
          <w:highlight w:val="none"/>
        </w:rPr>
        <w:t>1.1 服务名称：</w:t>
      </w:r>
      <w:r>
        <w:rPr>
          <w:rFonts w:hint="eastAsia" w:hAnsi="宋体"/>
          <w:color w:val="auto"/>
          <w:highlight w:val="none"/>
          <w:u w:val="single"/>
        </w:rPr>
        <w:t>详见合同附件中投标报价表</w:t>
      </w:r>
    </w:p>
    <w:p>
      <w:pPr>
        <w:pStyle w:val="11"/>
        <w:tabs>
          <w:tab w:val="left" w:pos="5220"/>
        </w:tabs>
        <w:spacing w:line="360" w:lineRule="auto"/>
        <w:ind w:firstLine="420" w:firstLineChars="200"/>
        <w:outlineLvl w:val="9"/>
        <w:rPr>
          <w:rFonts w:hAnsi="宋体"/>
          <w:color w:val="auto"/>
          <w:highlight w:val="none"/>
        </w:rPr>
      </w:pPr>
      <w:r>
        <w:rPr>
          <w:rFonts w:hint="eastAsia" w:hAnsi="宋体"/>
          <w:color w:val="auto"/>
          <w:highlight w:val="none"/>
        </w:rPr>
        <w:t>1.2 数量：</w:t>
      </w:r>
      <w:r>
        <w:rPr>
          <w:rFonts w:hint="eastAsia" w:hAnsi="宋体"/>
          <w:color w:val="auto"/>
          <w:highlight w:val="none"/>
          <w:u w:val="single"/>
        </w:rPr>
        <w:t>详见合同附件中投标报价表</w:t>
      </w:r>
    </w:p>
    <w:p>
      <w:pPr>
        <w:pStyle w:val="11"/>
        <w:tabs>
          <w:tab w:val="left" w:pos="5220"/>
        </w:tabs>
        <w:spacing w:line="360" w:lineRule="auto"/>
        <w:ind w:firstLine="420" w:firstLineChars="200"/>
        <w:outlineLvl w:val="9"/>
        <w:rPr>
          <w:rFonts w:hAnsi="宋体"/>
          <w:color w:val="auto"/>
          <w:highlight w:val="none"/>
        </w:rPr>
      </w:pPr>
      <w:r>
        <w:rPr>
          <w:rFonts w:hint="eastAsia" w:hAnsi="宋体"/>
          <w:color w:val="auto"/>
          <w:highlight w:val="none"/>
        </w:rPr>
        <w:t xml:space="preserve">1.2 </w:t>
      </w:r>
      <w:r>
        <w:rPr>
          <w:rFonts w:hint="eastAsia" w:ascii="Times New Roman" w:hAnsi="Times New Roman"/>
          <w:color w:val="auto"/>
          <w:highlight w:val="none"/>
        </w:rPr>
        <w:t>服务内容：</w:t>
      </w:r>
      <w:r>
        <w:rPr>
          <w:rFonts w:hint="eastAsia" w:hAnsi="宋体"/>
          <w:color w:val="auto"/>
          <w:highlight w:val="none"/>
          <w:u w:val="single"/>
        </w:rPr>
        <w:t>详见合同附件中提供服务技术资料表</w:t>
      </w:r>
    </w:p>
    <w:p>
      <w:pPr>
        <w:pStyle w:val="11"/>
        <w:tabs>
          <w:tab w:val="left" w:pos="5145"/>
        </w:tabs>
        <w:spacing w:line="360" w:lineRule="auto"/>
        <w:outlineLvl w:val="9"/>
        <w:rPr>
          <w:rFonts w:hAnsi="宋体"/>
          <w:b/>
          <w:bCs/>
          <w:color w:val="auto"/>
          <w:sz w:val="24"/>
          <w:highlight w:val="none"/>
        </w:rPr>
      </w:pPr>
      <w:bookmarkStart w:id="114" w:name="_Toc30178_WPSOffice_Level1"/>
      <w:bookmarkStart w:id="115" w:name="_Toc10375"/>
      <w:bookmarkStart w:id="116" w:name="_Toc3336_WPSOffice_Level1"/>
      <w:bookmarkStart w:id="117" w:name="_Toc519_WPSOffice_Level1"/>
      <w:bookmarkStart w:id="118" w:name="_Toc9918_WPSOffice_Level1"/>
      <w:bookmarkStart w:id="119" w:name="_Toc7382_WPSOffice_Level1"/>
      <w:bookmarkStart w:id="120" w:name="_Toc15761_WPSOffice_Level1"/>
      <w:bookmarkStart w:id="121" w:name="_Toc17669_WPSOffice_Level1"/>
      <w:r>
        <w:rPr>
          <w:rFonts w:hint="eastAsia" w:hAnsi="宋体"/>
          <w:b/>
          <w:bCs/>
          <w:color w:val="auto"/>
          <w:sz w:val="24"/>
          <w:highlight w:val="none"/>
        </w:rPr>
        <w:t>2.  合同金额</w:t>
      </w:r>
      <w:bookmarkEnd w:id="114"/>
      <w:bookmarkEnd w:id="115"/>
      <w:bookmarkEnd w:id="116"/>
      <w:bookmarkEnd w:id="117"/>
      <w:bookmarkEnd w:id="118"/>
      <w:bookmarkEnd w:id="119"/>
      <w:bookmarkEnd w:id="120"/>
      <w:bookmarkEnd w:id="121"/>
    </w:p>
    <w:p>
      <w:pPr>
        <w:pStyle w:val="11"/>
        <w:spacing w:line="360" w:lineRule="auto"/>
        <w:ind w:firstLine="411" w:firstLineChars="196"/>
        <w:outlineLvl w:val="9"/>
        <w:rPr>
          <w:rFonts w:hAnsi="宋体"/>
          <w:b/>
          <w:bCs/>
          <w:color w:val="auto"/>
          <w:sz w:val="24"/>
          <w:highlight w:val="none"/>
        </w:rPr>
      </w:pPr>
      <w:r>
        <w:rPr>
          <w:rFonts w:hint="eastAsia" w:hAnsi="宋体"/>
          <w:color w:val="auto"/>
          <w:highlight w:val="none"/>
        </w:rPr>
        <w:t>2.1 本合同金额为（大写）人民币</w:t>
      </w:r>
      <w:r>
        <w:rPr>
          <w:rFonts w:hint="eastAsia" w:hAnsi="宋体"/>
          <w:color w:val="auto"/>
          <w:highlight w:val="none"/>
          <w:u w:val="single"/>
        </w:rPr>
        <w:t xml:space="preserve">　　　　　　    </w:t>
      </w:r>
      <w:r>
        <w:rPr>
          <w:rFonts w:hint="eastAsia" w:hAnsi="宋体"/>
          <w:color w:val="auto"/>
          <w:highlight w:val="none"/>
        </w:rPr>
        <w:t>（</w:t>
      </w:r>
      <w:r>
        <w:rPr>
          <w:rFonts w:ascii="Arial" w:hAnsi="Arial" w:cs="Arial"/>
          <w:color w:val="auto"/>
          <w:highlight w:val="none"/>
        </w:rPr>
        <w:t>¥</w:t>
      </w:r>
      <w:r>
        <w:rPr>
          <w:rFonts w:hint="eastAsia" w:hAnsi="宋体"/>
          <w:color w:val="auto"/>
          <w:highlight w:val="none"/>
          <w:u w:val="single"/>
        </w:rPr>
        <w:t xml:space="preserve">　　　　　　 </w:t>
      </w:r>
      <w:r>
        <w:rPr>
          <w:rFonts w:hint="eastAsia" w:hAnsi="宋体"/>
          <w:color w:val="auto"/>
          <w:highlight w:val="none"/>
        </w:rPr>
        <w:t>元）。（详见投标报价表）</w:t>
      </w:r>
    </w:p>
    <w:p>
      <w:pPr>
        <w:pStyle w:val="11"/>
        <w:tabs>
          <w:tab w:val="left" w:pos="5940"/>
        </w:tabs>
        <w:spacing w:line="360" w:lineRule="auto"/>
        <w:outlineLvl w:val="9"/>
        <w:rPr>
          <w:rFonts w:hAnsi="宋体"/>
          <w:b/>
          <w:bCs/>
          <w:color w:val="auto"/>
          <w:sz w:val="24"/>
          <w:highlight w:val="none"/>
        </w:rPr>
      </w:pPr>
      <w:bookmarkStart w:id="122" w:name="_Toc1144"/>
      <w:bookmarkStart w:id="123" w:name="_Toc21275_WPSOffice_Level1"/>
      <w:bookmarkStart w:id="124" w:name="_Toc7916_WPSOffice_Level1"/>
      <w:bookmarkStart w:id="125" w:name="_Toc8257_WPSOffice_Level1"/>
      <w:bookmarkStart w:id="126" w:name="_Toc855_WPSOffice_Level1"/>
      <w:bookmarkStart w:id="127" w:name="_Toc19278_WPSOffice_Level1"/>
      <w:bookmarkStart w:id="128" w:name="_Toc8789_WPSOffice_Level1"/>
      <w:bookmarkStart w:id="129" w:name="_Toc27543_WPSOffice_Level1"/>
      <w:r>
        <w:rPr>
          <w:rFonts w:hint="eastAsia" w:hAnsi="宋体"/>
          <w:b/>
          <w:bCs/>
          <w:color w:val="auto"/>
          <w:sz w:val="24"/>
          <w:highlight w:val="none"/>
        </w:rPr>
        <w:t xml:space="preserve">3.  </w:t>
      </w:r>
      <w:r>
        <w:rPr>
          <w:rFonts w:hint="eastAsia" w:hAnsi="宋体"/>
          <w:b/>
          <w:bCs/>
          <w:color w:val="auto"/>
          <w:sz w:val="24"/>
          <w:highlight w:val="none"/>
          <w:lang w:eastAsia="zh-CN"/>
        </w:rPr>
        <w:t>服务</w:t>
      </w:r>
      <w:r>
        <w:rPr>
          <w:rFonts w:hint="eastAsia" w:hAnsi="宋体"/>
          <w:b/>
          <w:bCs/>
          <w:color w:val="auto"/>
          <w:sz w:val="24"/>
          <w:highlight w:val="none"/>
          <w:lang w:val="en-US" w:eastAsia="zh-CN"/>
        </w:rPr>
        <w:t>期限</w:t>
      </w:r>
      <w:r>
        <w:rPr>
          <w:rFonts w:hint="eastAsia" w:hAnsi="宋体"/>
          <w:b/>
          <w:bCs/>
          <w:color w:val="auto"/>
          <w:sz w:val="24"/>
          <w:highlight w:val="none"/>
        </w:rPr>
        <w:t>和</w:t>
      </w:r>
      <w:r>
        <w:rPr>
          <w:rFonts w:hint="eastAsia" w:hAnsi="宋体"/>
          <w:b/>
          <w:bCs/>
          <w:color w:val="auto"/>
          <w:sz w:val="24"/>
          <w:highlight w:val="none"/>
          <w:lang w:val="en-US" w:eastAsia="zh-CN"/>
        </w:rPr>
        <w:t>提交服务成果</w:t>
      </w:r>
      <w:r>
        <w:rPr>
          <w:rFonts w:hint="eastAsia" w:hAnsi="宋体"/>
          <w:b/>
          <w:bCs/>
          <w:color w:val="auto"/>
          <w:sz w:val="24"/>
          <w:highlight w:val="none"/>
        </w:rPr>
        <w:t>地点</w:t>
      </w:r>
      <w:bookmarkEnd w:id="122"/>
      <w:bookmarkEnd w:id="123"/>
      <w:bookmarkEnd w:id="124"/>
      <w:bookmarkEnd w:id="125"/>
      <w:bookmarkEnd w:id="126"/>
      <w:bookmarkEnd w:id="127"/>
      <w:bookmarkEnd w:id="128"/>
      <w:bookmarkEnd w:id="129"/>
    </w:p>
    <w:p>
      <w:pPr>
        <w:pStyle w:val="11"/>
        <w:tabs>
          <w:tab w:val="left" w:pos="5250"/>
          <w:tab w:val="left" w:pos="5940"/>
        </w:tabs>
        <w:spacing w:line="360" w:lineRule="auto"/>
        <w:ind w:firstLine="411" w:firstLineChars="196"/>
        <w:outlineLvl w:val="9"/>
        <w:rPr>
          <w:rFonts w:hAnsi="宋体"/>
          <w:b/>
          <w:bCs/>
          <w:color w:val="auto"/>
          <w:sz w:val="24"/>
          <w:highlight w:val="none"/>
        </w:rPr>
      </w:pPr>
      <w:r>
        <w:rPr>
          <w:rFonts w:hint="eastAsia" w:hAnsi="宋体"/>
          <w:bCs/>
          <w:color w:val="auto"/>
          <w:highlight w:val="none"/>
        </w:rPr>
        <w:t>3.1 服务期限：</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p>
    <w:p>
      <w:pPr>
        <w:pStyle w:val="11"/>
        <w:tabs>
          <w:tab w:val="left" w:pos="5940"/>
        </w:tabs>
        <w:spacing w:line="360" w:lineRule="auto"/>
        <w:ind w:firstLine="411" w:firstLineChars="196"/>
        <w:outlineLvl w:val="9"/>
        <w:rPr>
          <w:rFonts w:hAnsi="宋体"/>
          <w:b/>
          <w:bCs/>
          <w:color w:val="auto"/>
          <w:sz w:val="24"/>
          <w:highlight w:val="none"/>
        </w:rPr>
      </w:pPr>
      <w:r>
        <w:rPr>
          <w:rFonts w:hint="eastAsia" w:hAnsi="宋体"/>
          <w:bCs/>
          <w:color w:val="auto"/>
          <w:highlight w:val="none"/>
        </w:rPr>
        <w:t>3.2 提交服务成果地点：</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p>
    <w:p>
      <w:pPr>
        <w:pStyle w:val="11"/>
        <w:tabs>
          <w:tab w:val="left" w:pos="5940"/>
        </w:tabs>
        <w:spacing w:line="360" w:lineRule="auto"/>
        <w:ind w:firstLine="411" w:firstLineChars="196"/>
        <w:outlineLvl w:val="9"/>
        <w:rPr>
          <w:rFonts w:hAnsi="宋体"/>
          <w:b/>
          <w:bCs/>
          <w:color w:val="auto"/>
          <w:sz w:val="24"/>
          <w:highlight w:val="none"/>
        </w:rPr>
      </w:pPr>
      <w:r>
        <w:rPr>
          <w:rFonts w:hint="eastAsia" w:hAnsi="宋体"/>
          <w:bCs/>
          <w:color w:val="auto"/>
          <w:highlight w:val="none"/>
        </w:rPr>
        <w:t xml:space="preserve">3.3 </w:t>
      </w:r>
      <w:r>
        <w:rPr>
          <w:rFonts w:hint="eastAsia" w:hAnsi="宋体"/>
          <w:color w:val="auto"/>
          <w:highlight w:val="none"/>
        </w:rPr>
        <w:t>乙方必须按响应文件承诺的服务响应条款向甲方提供服务。</w:t>
      </w:r>
    </w:p>
    <w:p>
      <w:pPr>
        <w:pStyle w:val="11"/>
        <w:spacing w:line="360" w:lineRule="auto"/>
        <w:ind w:left="412" w:hanging="412" w:hangingChars="171"/>
        <w:outlineLvl w:val="9"/>
        <w:rPr>
          <w:rFonts w:hAnsi="宋体"/>
          <w:b/>
          <w:color w:val="auto"/>
          <w:highlight w:val="none"/>
        </w:rPr>
      </w:pPr>
      <w:bookmarkStart w:id="130" w:name="_Toc30908"/>
      <w:bookmarkStart w:id="131" w:name="_Toc20314_WPSOffice_Level1"/>
      <w:bookmarkStart w:id="132" w:name="_Toc1583_WPSOffice_Level1"/>
      <w:bookmarkStart w:id="133" w:name="_Toc30809_WPSOffice_Level1"/>
      <w:bookmarkStart w:id="134" w:name="_Toc12169_WPSOffice_Level1"/>
      <w:bookmarkStart w:id="135" w:name="_Toc23067_WPSOffice_Level1"/>
      <w:bookmarkStart w:id="136" w:name="_Toc10590_WPSOffice_Level1"/>
      <w:bookmarkStart w:id="137" w:name="_Toc26629_WPSOffice_Level1"/>
      <w:r>
        <w:rPr>
          <w:rFonts w:hint="eastAsia" w:hAnsi="宋体"/>
          <w:b/>
          <w:bCs/>
          <w:color w:val="auto"/>
          <w:sz w:val="24"/>
          <w:highlight w:val="none"/>
        </w:rPr>
        <w:t>4.  产权</w:t>
      </w:r>
      <w:bookmarkEnd w:id="130"/>
      <w:bookmarkEnd w:id="131"/>
      <w:bookmarkEnd w:id="132"/>
      <w:bookmarkEnd w:id="133"/>
      <w:bookmarkEnd w:id="134"/>
      <w:bookmarkEnd w:id="135"/>
      <w:bookmarkEnd w:id="136"/>
      <w:bookmarkEnd w:id="137"/>
    </w:p>
    <w:p>
      <w:pPr>
        <w:pStyle w:val="11"/>
        <w:spacing w:line="360" w:lineRule="auto"/>
        <w:ind w:firstLine="420" w:firstLineChars="200"/>
        <w:outlineLvl w:val="9"/>
        <w:rPr>
          <w:rFonts w:hAnsi="宋体"/>
          <w:b/>
          <w:color w:val="auto"/>
          <w:highlight w:val="none"/>
        </w:rPr>
      </w:pPr>
      <w:r>
        <w:rPr>
          <w:rFonts w:hint="eastAsia" w:hAnsi="宋体"/>
          <w:color w:val="auto"/>
          <w:highlight w:val="none"/>
        </w:rPr>
        <w:t xml:space="preserve">4.1 </w:t>
      </w:r>
      <w:r>
        <w:rPr>
          <w:rFonts w:hint="eastAsia" w:ascii="Times New Roman" w:hAnsi="Times New Roman"/>
          <w:color w:val="auto"/>
          <w:highlight w:val="none"/>
        </w:rPr>
        <w:t>乙方应保证所提供的服务或其任何一部分均不会侵犯任何第三方的专利权、商标权或著作权</w:t>
      </w:r>
      <w:r>
        <w:rPr>
          <w:rFonts w:hint="eastAsia" w:hAnsi="宋体"/>
          <w:bCs/>
          <w:color w:val="auto"/>
          <w:highlight w:val="none"/>
        </w:rPr>
        <w:t>。</w:t>
      </w:r>
    </w:p>
    <w:p>
      <w:pPr>
        <w:pStyle w:val="11"/>
        <w:spacing w:line="360" w:lineRule="auto"/>
        <w:ind w:firstLine="420" w:firstLineChars="200"/>
        <w:outlineLvl w:val="9"/>
        <w:rPr>
          <w:rFonts w:hAnsi="宋体"/>
          <w:b/>
          <w:color w:val="auto"/>
          <w:highlight w:val="none"/>
        </w:rPr>
      </w:pPr>
      <w:r>
        <w:rPr>
          <w:rFonts w:hint="eastAsia" w:hAnsi="宋体"/>
          <w:color w:val="auto"/>
          <w:highlight w:val="none"/>
        </w:rPr>
        <w:t>4.2 乙方保证所交付服务的所有权完全属于乙方且无任何抵押、查封等产权瑕疵。如乙方所交付服务有产权瑕疵的，视为乙方违约，按照本合同第9.3项的约定处理。但在已经全部支付完合同款后才发现有产权瑕疵的，乙方除了支付违约金还应负担甲方由此产生的一切损失。</w:t>
      </w:r>
    </w:p>
    <w:p>
      <w:pPr>
        <w:pStyle w:val="11"/>
        <w:spacing w:line="360" w:lineRule="auto"/>
        <w:outlineLvl w:val="9"/>
        <w:rPr>
          <w:rFonts w:hAnsi="宋体"/>
          <w:b/>
          <w:color w:val="auto"/>
          <w:highlight w:val="none"/>
        </w:rPr>
      </w:pPr>
      <w:bookmarkStart w:id="138" w:name="_Toc20736_WPSOffice_Level1"/>
      <w:bookmarkStart w:id="139" w:name="_Toc6673_WPSOffice_Level1"/>
      <w:bookmarkStart w:id="140" w:name="_Toc15621_WPSOffice_Level1"/>
      <w:bookmarkStart w:id="141" w:name="_Toc5210_WPSOffice_Level1"/>
      <w:bookmarkStart w:id="142" w:name="_Toc12440_WPSOffice_Level1"/>
      <w:bookmarkStart w:id="143" w:name="_Toc30796_WPSOffice_Level1"/>
      <w:bookmarkStart w:id="144" w:name="_Toc22930_WPSOffice_Level1"/>
      <w:bookmarkStart w:id="145" w:name="_Toc26841"/>
      <w:r>
        <w:rPr>
          <w:rFonts w:hint="eastAsia" w:hAnsi="宋体"/>
          <w:b/>
          <w:bCs/>
          <w:color w:val="auto"/>
          <w:sz w:val="24"/>
          <w:highlight w:val="none"/>
        </w:rPr>
        <w:t>5.  技术资料</w:t>
      </w:r>
      <w:bookmarkEnd w:id="138"/>
      <w:bookmarkEnd w:id="139"/>
      <w:bookmarkEnd w:id="140"/>
      <w:bookmarkEnd w:id="141"/>
      <w:bookmarkEnd w:id="142"/>
      <w:bookmarkEnd w:id="143"/>
      <w:bookmarkEnd w:id="144"/>
      <w:bookmarkEnd w:id="145"/>
    </w:p>
    <w:p>
      <w:pPr>
        <w:pStyle w:val="11"/>
        <w:tabs>
          <w:tab w:val="left" w:pos="0"/>
        </w:tabs>
        <w:spacing w:line="360" w:lineRule="auto"/>
        <w:ind w:firstLine="420" w:firstLineChars="200"/>
        <w:outlineLvl w:val="9"/>
        <w:rPr>
          <w:rFonts w:hAnsi="宋体"/>
          <w:color w:val="auto"/>
          <w:highlight w:val="none"/>
        </w:rPr>
      </w:pPr>
      <w:r>
        <w:rPr>
          <w:rFonts w:hint="eastAsia" w:hAnsi="宋体"/>
          <w:color w:val="auto"/>
          <w:highlight w:val="none"/>
        </w:rPr>
        <w:t>5.1 甲方应向乙方提供提交服务成果所必需的有关数据、资料等。</w:t>
      </w:r>
    </w:p>
    <w:p>
      <w:pPr>
        <w:pStyle w:val="11"/>
        <w:tabs>
          <w:tab w:val="left" w:pos="0"/>
        </w:tabs>
        <w:spacing w:line="360" w:lineRule="auto"/>
        <w:ind w:firstLine="420" w:firstLineChars="200"/>
        <w:outlineLvl w:val="9"/>
        <w:rPr>
          <w:rFonts w:hint="eastAsia" w:hAnsi="宋体"/>
          <w:b/>
          <w:bCs/>
          <w:color w:val="auto"/>
          <w:sz w:val="24"/>
          <w:highlight w:val="none"/>
        </w:rPr>
      </w:pPr>
      <w:r>
        <w:rPr>
          <w:rFonts w:hint="eastAsia" w:hAnsi="宋体"/>
          <w:color w:val="auto"/>
          <w:highlight w:val="none"/>
        </w:rPr>
        <w:t xml:space="preserve">5.2 </w:t>
      </w:r>
      <w:r>
        <w:rPr>
          <w:rFonts w:hint="eastAsia" w:hAnsi="宋体"/>
          <w:color w:val="auto"/>
          <w:highlight w:val="none"/>
          <w:lang w:val="en-US" w:eastAsia="zh-CN"/>
        </w:rPr>
        <w:t>保密义务：</w:t>
      </w:r>
      <w:r>
        <w:rPr>
          <w:rFonts w:hint="eastAsia" w:hAnsi="宋体"/>
          <w:color w:val="auto"/>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bookmarkStart w:id="146" w:name="_Toc32626_WPSOffice_Level1"/>
      <w:bookmarkStart w:id="147" w:name="_Toc30074_WPSOffice_Level1"/>
      <w:bookmarkStart w:id="148" w:name="_Toc1343_WPSOffice_Level1"/>
      <w:bookmarkStart w:id="149" w:name="_Toc30645_WPSOffice_Level1"/>
      <w:bookmarkStart w:id="150" w:name="_Toc25874_WPSOffice_Level1"/>
      <w:bookmarkStart w:id="151" w:name="_Toc22801_WPSOffice_Level1"/>
      <w:bookmarkStart w:id="152" w:name="_Toc16950"/>
      <w:bookmarkStart w:id="153" w:name="_Toc9291_WPSOffice_Level1"/>
    </w:p>
    <w:p>
      <w:pPr>
        <w:pStyle w:val="11"/>
        <w:spacing w:line="360" w:lineRule="auto"/>
        <w:outlineLvl w:val="9"/>
        <w:rPr>
          <w:rFonts w:hAnsi="宋体"/>
          <w:b/>
          <w:bCs/>
          <w:color w:val="auto"/>
          <w:sz w:val="24"/>
          <w:highlight w:val="none"/>
        </w:rPr>
      </w:pPr>
      <w:r>
        <w:rPr>
          <w:rFonts w:hint="eastAsia" w:hAnsi="宋体"/>
          <w:b/>
          <w:bCs/>
          <w:color w:val="auto"/>
          <w:sz w:val="24"/>
          <w:highlight w:val="none"/>
        </w:rPr>
        <w:t>6.  验收</w:t>
      </w:r>
      <w:bookmarkEnd w:id="146"/>
      <w:bookmarkEnd w:id="147"/>
      <w:bookmarkEnd w:id="148"/>
      <w:bookmarkEnd w:id="149"/>
      <w:bookmarkEnd w:id="150"/>
      <w:bookmarkEnd w:id="151"/>
      <w:bookmarkEnd w:id="152"/>
      <w:bookmarkEnd w:id="153"/>
    </w:p>
    <w:p>
      <w:pPr>
        <w:pStyle w:val="11"/>
        <w:tabs>
          <w:tab w:val="left" w:pos="0"/>
        </w:tabs>
        <w:spacing w:line="360" w:lineRule="auto"/>
        <w:ind w:firstLine="420" w:firstLineChars="200"/>
        <w:outlineLvl w:val="9"/>
        <w:rPr>
          <w:rFonts w:hAnsi="宋体"/>
          <w:color w:val="auto"/>
          <w:highlight w:val="none"/>
        </w:rPr>
      </w:pPr>
      <w:r>
        <w:rPr>
          <w:rFonts w:hint="eastAsia" w:hAnsi="宋体"/>
          <w:color w:val="auto"/>
          <w:highlight w:val="none"/>
        </w:rPr>
        <w:t>6.1 乙方应对提交的服务成果作出全面检查和整理，并列出清单，作为甲方验收和使用的技术条件依据，清单应随提交的服务成果交给甲方。</w:t>
      </w:r>
    </w:p>
    <w:p>
      <w:pPr>
        <w:pStyle w:val="11"/>
        <w:tabs>
          <w:tab w:val="left" w:pos="0"/>
        </w:tabs>
        <w:spacing w:line="360" w:lineRule="auto"/>
        <w:ind w:firstLine="420" w:firstLineChars="200"/>
        <w:outlineLvl w:val="9"/>
        <w:rPr>
          <w:rFonts w:hAnsi="宋体"/>
          <w:color w:val="auto"/>
          <w:highlight w:val="none"/>
        </w:rPr>
      </w:pPr>
      <w:r>
        <w:rPr>
          <w:rFonts w:hint="eastAsia" w:hAnsi="宋体"/>
          <w:color w:val="auto"/>
          <w:highlight w:val="none"/>
        </w:rPr>
        <w:t>6.2 乙方在指定地点提交服务成果后，甲方应在五个工作日内依据招标文件、乙方的投标文件等组织验收，验收完毕后作出书面验收报告。验收时乙方必须在现场。</w:t>
      </w:r>
    </w:p>
    <w:p>
      <w:pPr>
        <w:pStyle w:val="11"/>
        <w:tabs>
          <w:tab w:val="left" w:pos="0"/>
        </w:tabs>
        <w:spacing w:line="360" w:lineRule="auto"/>
        <w:ind w:firstLine="420" w:firstLineChars="200"/>
        <w:outlineLvl w:val="9"/>
        <w:rPr>
          <w:rFonts w:hAnsi="宋体"/>
          <w:color w:val="auto"/>
          <w:highlight w:val="none"/>
        </w:rPr>
      </w:pPr>
      <w:r>
        <w:rPr>
          <w:rFonts w:hint="eastAsia" w:hAnsi="宋体"/>
          <w:color w:val="auto"/>
          <w:highlight w:val="none"/>
        </w:rPr>
        <w:t>6.3 对复杂的服务，甲方可请国家认可的专业机构参与验收，并由其出具验收报告，相关费用由甲方承担。</w:t>
      </w:r>
    </w:p>
    <w:p>
      <w:pPr>
        <w:pStyle w:val="11"/>
        <w:spacing w:line="360" w:lineRule="auto"/>
        <w:outlineLvl w:val="9"/>
        <w:rPr>
          <w:rFonts w:hAnsi="宋体"/>
          <w:b/>
          <w:bCs/>
          <w:color w:val="auto"/>
          <w:sz w:val="24"/>
          <w:highlight w:val="none"/>
        </w:rPr>
      </w:pPr>
      <w:bookmarkStart w:id="154" w:name="_Toc27765_WPSOffice_Level1"/>
      <w:bookmarkStart w:id="155" w:name="_Toc18356"/>
      <w:bookmarkStart w:id="156" w:name="_Toc27318_WPSOffice_Level1"/>
      <w:bookmarkStart w:id="157" w:name="_Toc5000_WPSOffice_Level1"/>
      <w:bookmarkStart w:id="158" w:name="_Toc31072_WPSOffice_Level1"/>
      <w:bookmarkStart w:id="159" w:name="_Toc9554_WPSOffice_Level1"/>
      <w:bookmarkStart w:id="160" w:name="_Toc27688_WPSOffice_Level1"/>
      <w:bookmarkStart w:id="161" w:name="_Toc27906_WPSOffice_Level1"/>
      <w:r>
        <w:rPr>
          <w:rFonts w:hint="eastAsia" w:hAnsi="宋体"/>
          <w:b/>
          <w:bCs/>
          <w:color w:val="auto"/>
          <w:sz w:val="24"/>
          <w:highlight w:val="none"/>
        </w:rPr>
        <w:t>7.  合同款支付</w:t>
      </w:r>
      <w:bookmarkEnd w:id="154"/>
      <w:bookmarkEnd w:id="155"/>
      <w:bookmarkEnd w:id="156"/>
      <w:bookmarkEnd w:id="157"/>
      <w:bookmarkEnd w:id="158"/>
      <w:bookmarkEnd w:id="159"/>
      <w:bookmarkEnd w:id="160"/>
      <w:bookmarkEnd w:id="161"/>
    </w:p>
    <w:p>
      <w:pPr>
        <w:pStyle w:val="11"/>
        <w:tabs>
          <w:tab w:val="left" w:pos="5145"/>
          <w:tab w:val="left" w:pos="5355"/>
          <w:tab w:val="left" w:pos="6195"/>
        </w:tabs>
        <w:spacing w:line="360" w:lineRule="auto"/>
        <w:ind w:firstLine="420" w:firstLineChars="200"/>
        <w:outlineLvl w:val="9"/>
        <w:rPr>
          <w:rFonts w:hint="eastAsia" w:hAnsi="宋体"/>
          <w:bCs/>
          <w:color w:val="auto"/>
          <w:highlight w:val="none"/>
          <w:u w:val="single"/>
        </w:rPr>
      </w:pPr>
      <w:r>
        <w:rPr>
          <w:rFonts w:hint="eastAsia" w:hAnsi="宋体"/>
          <w:bCs/>
          <w:color w:val="auto"/>
          <w:highlight w:val="none"/>
        </w:rPr>
        <w:t>7.1 付款方式：</w:t>
      </w:r>
      <w:r>
        <w:rPr>
          <w:rFonts w:hint="eastAsia" w:hAnsi="宋体"/>
          <w:bCs/>
          <w:color w:val="auto"/>
          <w:highlight w:val="none"/>
          <w:u w:val="single"/>
        </w:rPr>
        <w:t xml:space="preserve">                                             </w:t>
      </w:r>
    </w:p>
    <w:p>
      <w:pPr>
        <w:pStyle w:val="11"/>
        <w:tabs>
          <w:tab w:val="left" w:pos="5145"/>
          <w:tab w:val="left" w:pos="5355"/>
          <w:tab w:val="left" w:pos="6195"/>
        </w:tabs>
        <w:spacing w:line="360" w:lineRule="auto"/>
        <w:ind w:firstLine="420" w:firstLineChars="200"/>
        <w:outlineLvl w:val="9"/>
        <w:rPr>
          <w:rFonts w:hAnsi="宋体"/>
          <w:bCs/>
          <w:color w:val="auto"/>
          <w:highlight w:val="none"/>
          <w:u w:val="single"/>
        </w:rPr>
      </w:pPr>
      <w:r>
        <w:rPr>
          <w:rFonts w:hint="eastAsia" w:hAnsi="宋体"/>
          <w:color w:val="auto"/>
          <w:highlight w:val="none"/>
        </w:rPr>
        <w:t>7.2 政府采购监督管理部门在处理投诉事项期间，可以视具体情况书面通知采购人暂停采购活动</w:t>
      </w:r>
      <w:r>
        <w:rPr>
          <w:rFonts w:hint="eastAsia" w:hAnsi="宋体"/>
          <w:bCs/>
          <w:color w:val="auto"/>
          <w:highlight w:val="none"/>
        </w:rPr>
        <w:t>，并延期支付合同款。</w:t>
      </w:r>
    </w:p>
    <w:p>
      <w:pPr>
        <w:pStyle w:val="11"/>
        <w:spacing w:line="360" w:lineRule="auto"/>
        <w:outlineLvl w:val="9"/>
        <w:rPr>
          <w:rFonts w:hAnsi="宋体"/>
          <w:b/>
          <w:bCs/>
          <w:color w:val="auto"/>
          <w:sz w:val="24"/>
          <w:highlight w:val="none"/>
        </w:rPr>
      </w:pPr>
      <w:bookmarkStart w:id="162" w:name="_Toc31491_WPSOffice_Level1"/>
      <w:bookmarkStart w:id="163" w:name="_Toc4588_WPSOffice_Level1"/>
      <w:bookmarkStart w:id="164" w:name="_Toc26831_WPSOffice_Level1"/>
      <w:bookmarkStart w:id="165" w:name="_Toc21751_WPSOffice_Level1"/>
      <w:bookmarkStart w:id="166" w:name="_Toc4684_WPSOffice_Level1"/>
      <w:bookmarkStart w:id="167" w:name="_Toc9718_WPSOffice_Level1"/>
      <w:bookmarkStart w:id="168" w:name="_Toc19374_WPSOffice_Level1"/>
      <w:bookmarkStart w:id="169" w:name="_Toc5739"/>
      <w:r>
        <w:rPr>
          <w:rFonts w:hint="eastAsia" w:hAnsi="宋体"/>
          <w:b/>
          <w:bCs/>
          <w:color w:val="auto"/>
          <w:sz w:val="24"/>
          <w:highlight w:val="none"/>
        </w:rPr>
        <w:t>8.  售后服务要求</w:t>
      </w:r>
      <w:bookmarkEnd w:id="162"/>
      <w:bookmarkEnd w:id="163"/>
      <w:bookmarkEnd w:id="164"/>
      <w:bookmarkEnd w:id="165"/>
      <w:bookmarkEnd w:id="166"/>
      <w:bookmarkEnd w:id="167"/>
      <w:bookmarkEnd w:id="168"/>
      <w:bookmarkEnd w:id="169"/>
    </w:p>
    <w:p>
      <w:pPr>
        <w:pStyle w:val="11"/>
        <w:spacing w:line="360" w:lineRule="auto"/>
        <w:ind w:firstLine="420" w:firstLineChars="200"/>
        <w:outlineLvl w:val="9"/>
        <w:rPr>
          <w:rFonts w:hAnsi="宋体"/>
          <w:color w:val="auto"/>
          <w:highlight w:val="none"/>
        </w:rPr>
      </w:pPr>
      <w:r>
        <w:rPr>
          <w:rFonts w:hint="eastAsia" w:hAnsi="宋体"/>
          <w:color w:val="auto"/>
          <w:highlight w:val="none"/>
        </w:rPr>
        <w:t>8.1 乙方提供服务的质量保证期为：</w:t>
      </w:r>
      <w:r>
        <w:rPr>
          <w:rFonts w:hint="eastAsia" w:hAnsi="宋体"/>
          <w:color w:val="auto"/>
          <w:highlight w:val="none"/>
          <w:u w:val="single"/>
        </w:rPr>
        <w:t xml:space="preserve">　　　　　　   </w:t>
      </w:r>
      <w:r>
        <w:rPr>
          <w:rFonts w:hint="eastAsia" w:hAnsi="宋体"/>
          <w:color w:val="auto"/>
          <w:highlight w:val="none"/>
        </w:rPr>
        <w:t>（自提交服务验收合格之日起计）</w:t>
      </w:r>
    </w:p>
    <w:p>
      <w:pPr>
        <w:pStyle w:val="11"/>
        <w:spacing w:line="360" w:lineRule="auto"/>
        <w:ind w:firstLine="420" w:firstLineChars="200"/>
        <w:outlineLvl w:val="9"/>
        <w:rPr>
          <w:rFonts w:hAnsi="宋体"/>
          <w:color w:val="auto"/>
          <w:highlight w:val="none"/>
        </w:rPr>
      </w:pPr>
      <w:r>
        <w:rPr>
          <w:rFonts w:hint="eastAsia" w:hAnsi="宋体"/>
          <w:color w:val="auto"/>
          <w:highlight w:val="none"/>
        </w:rPr>
        <w:t>8.2 在本合同第8.1项约定的质量保证期内，乙方应对服务出现的问题负责处理解决并承担一切费用。</w:t>
      </w:r>
    </w:p>
    <w:p>
      <w:pPr>
        <w:pStyle w:val="11"/>
        <w:tabs>
          <w:tab w:val="left" w:pos="5250"/>
        </w:tabs>
        <w:spacing w:line="360" w:lineRule="auto"/>
        <w:ind w:firstLine="420" w:firstLineChars="200"/>
        <w:outlineLvl w:val="9"/>
        <w:rPr>
          <w:rFonts w:hAnsi="宋体"/>
          <w:color w:val="auto"/>
          <w:highlight w:val="none"/>
          <w:u w:val="single"/>
        </w:rPr>
      </w:pPr>
      <w:r>
        <w:rPr>
          <w:rFonts w:hint="eastAsia" w:hAnsi="宋体"/>
          <w:color w:val="auto"/>
          <w:highlight w:val="none"/>
        </w:rPr>
        <w:t>8.3其他售后服务要求：</w:t>
      </w:r>
      <w:r>
        <w:rPr>
          <w:rFonts w:hint="eastAsia" w:hAnsi="宋体"/>
          <w:color w:val="auto"/>
          <w:highlight w:val="none"/>
          <w:u w:val="single"/>
        </w:rPr>
        <w:t>按响应文件商务条款偏离表内容执行。</w:t>
      </w:r>
    </w:p>
    <w:p>
      <w:pPr>
        <w:pStyle w:val="11"/>
        <w:spacing w:line="360" w:lineRule="auto"/>
        <w:outlineLvl w:val="9"/>
        <w:rPr>
          <w:rFonts w:hAnsi="宋体"/>
          <w:b/>
          <w:bCs/>
          <w:color w:val="auto"/>
          <w:sz w:val="24"/>
          <w:highlight w:val="none"/>
        </w:rPr>
      </w:pPr>
      <w:bookmarkStart w:id="170" w:name="_Toc26678_WPSOffice_Level1"/>
      <w:bookmarkStart w:id="171" w:name="_Toc11621_WPSOffice_Level1"/>
      <w:bookmarkStart w:id="172" w:name="_Toc24037_WPSOffice_Level1"/>
      <w:bookmarkStart w:id="173" w:name="_Toc11652_WPSOffice_Level1"/>
      <w:bookmarkStart w:id="174" w:name="_Toc14993_WPSOffice_Level1"/>
      <w:bookmarkStart w:id="175" w:name="_Toc4316"/>
      <w:bookmarkStart w:id="176" w:name="_Toc4736_WPSOffice_Level1"/>
      <w:bookmarkStart w:id="177" w:name="_Toc4306_WPSOffice_Level1"/>
      <w:r>
        <w:rPr>
          <w:rFonts w:hint="eastAsia" w:hAnsi="宋体"/>
          <w:b/>
          <w:bCs/>
          <w:color w:val="auto"/>
          <w:sz w:val="24"/>
          <w:highlight w:val="none"/>
        </w:rPr>
        <w:t>9.  违约责任</w:t>
      </w:r>
      <w:bookmarkEnd w:id="170"/>
      <w:bookmarkEnd w:id="171"/>
      <w:bookmarkEnd w:id="172"/>
      <w:bookmarkEnd w:id="173"/>
      <w:bookmarkEnd w:id="174"/>
      <w:bookmarkEnd w:id="175"/>
      <w:bookmarkEnd w:id="176"/>
      <w:bookmarkEnd w:id="177"/>
    </w:p>
    <w:p>
      <w:pPr>
        <w:pStyle w:val="11"/>
        <w:spacing w:line="360" w:lineRule="auto"/>
        <w:ind w:firstLine="420" w:firstLineChars="200"/>
        <w:outlineLvl w:val="9"/>
        <w:rPr>
          <w:rFonts w:hAnsi="宋体"/>
          <w:color w:val="auto"/>
          <w:highlight w:val="none"/>
        </w:rPr>
      </w:pPr>
      <w:r>
        <w:rPr>
          <w:rFonts w:hint="eastAsia" w:hAnsi="宋体"/>
          <w:color w:val="auto"/>
          <w:highlight w:val="none"/>
        </w:rPr>
        <w:t>9.1 甲方无正当理由拒收服务的，甲方向乙方偿付拒收服务费总值的百分之五违约金。</w:t>
      </w:r>
    </w:p>
    <w:p>
      <w:pPr>
        <w:pStyle w:val="11"/>
        <w:spacing w:line="360" w:lineRule="auto"/>
        <w:ind w:firstLine="420" w:firstLineChars="200"/>
        <w:outlineLvl w:val="9"/>
        <w:rPr>
          <w:rFonts w:hAnsi="宋体"/>
          <w:color w:val="auto"/>
          <w:highlight w:val="none"/>
        </w:rPr>
      </w:pPr>
      <w:r>
        <w:rPr>
          <w:rFonts w:hint="eastAsia" w:hAnsi="宋体"/>
          <w:color w:val="auto"/>
          <w:highlight w:val="none"/>
        </w:rPr>
        <w:t>9.2 甲方无故逾期验收或办理合同款支付手续的，甲方应按逾期付款总额每日万分之五向乙方支付违约金。</w:t>
      </w:r>
    </w:p>
    <w:p>
      <w:pPr>
        <w:pStyle w:val="11"/>
        <w:spacing w:line="360" w:lineRule="auto"/>
        <w:ind w:firstLine="420" w:firstLineChars="200"/>
        <w:outlineLvl w:val="9"/>
        <w:rPr>
          <w:rFonts w:hAnsi="宋体"/>
          <w:color w:val="auto"/>
          <w:highlight w:val="none"/>
        </w:rPr>
      </w:pPr>
      <w:r>
        <w:rPr>
          <w:rFonts w:hint="eastAsia" w:hAnsi="宋体"/>
          <w:color w:val="auto"/>
          <w:highlight w:val="none"/>
        </w:rPr>
        <w:t>9.3 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11"/>
        <w:spacing w:line="360" w:lineRule="auto"/>
        <w:outlineLvl w:val="9"/>
        <w:rPr>
          <w:rFonts w:hAnsi="宋体"/>
          <w:b/>
          <w:bCs/>
          <w:color w:val="auto"/>
          <w:sz w:val="24"/>
          <w:highlight w:val="none"/>
        </w:rPr>
      </w:pPr>
      <w:bookmarkStart w:id="178" w:name="_Toc28215_WPSOffice_Level1"/>
      <w:bookmarkStart w:id="179" w:name="_Toc29106_WPSOffice_Level1"/>
      <w:bookmarkStart w:id="180" w:name="_Toc23453_WPSOffice_Level1"/>
      <w:bookmarkStart w:id="181" w:name="_Toc28532_WPSOffice_Level1"/>
      <w:bookmarkStart w:id="182" w:name="_Toc11870_WPSOffice_Level1"/>
      <w:bookmarkStart w:id="183" w:name="_Toc7871_WPSOffice_Level1"/>
      <w:bookmarkStart w:id="184" w:name="_Toc11612_WPSOffice_Level1"/>
      <w:bookmarkStart w:id="185" w:name="_Toc8503"/>
      <w:r>
        <w:rPr>
          <w:rFonts w:hint="eastAsia" w:hAnsi="宋体"/>
          <w:b/>
          <w:bCs/>
          <w:color w:val="auto"/>
          <w:sz w:val="24"/>
          <w:highlight w:val="none"/>
        </w:rPr>
        <w:t>10.  不可抗力事件处理</w:t>
      </w:r>
      <w:bookmarkEnd w:id="178"/>
      <w:bookmarkEnd w:id="179"/>
      <w:bookmarkEnd w:id="180"/>
      <w:bookmarkEnd w:id="181"/>
      <w:bookmarkEnd w:id="182"/>
      <w:bookmarkEnd w:id="183"/>
      <w:bookmarkEnd w:id="184"/>
      <w:bookmarkEnd w:id="185"/>
    </w:p>
    <w:p>
      <w:pPr>
        <w:pStyle w:val="11"/>
        <w:spacing w:line="360" w:lineRule="auto"/>
        <w:ind w:firstLine="420" w:firstLineChars="200"/>
        <w:outlineLvl w:val="9"/>
        <w:rPr>
          <w:rFonts w:hAnsi="宋体"/>
          <w:color w:val="auto"/>
          <w:highlight w:val="none"/>
        </w:rPr>
      </w:pPr>
      <w:r>
        <w:rPr>
          <w:rFonts w:hint="eastAsia" w:hAnsi="宋体"/>
          <w:color w:val="auto"/>
          <w:highlight w:val="none"/>
        </w:rPr>
        <w:t>10.1 在合同有效期内，任何一方因不可抗力事件导致不能履行合同，则合同履行期可延长，其延长期与不可抗力影响期相同。</w:t>
      </w:r>
    </w:p>
    <w:p>
      <w:pPr>
        <w:pStyle w:val="11"/>
        <w:spacing w:line="360" w:lineRule="auto"/>
        <w:ind w:firstLine="420" w:firstLineChars="200"/>
        <w:outlineLvl w:val="9"/>
        <w:rPr>
          <w:rFonts w:hAnsi="宋体"/>
          <w:color w:val="auto"/>
          <w:highlight w:val="none"/>
        </w:rPr>
      </w:pPr>
      <w:r>
        <w:rPr>
          <w:rFonts w:hint="eastAsia" w:hAnsi="宋体"/>
          <w:color w:val="auto"/>
          <w:highlight w:val="none"/>
        </w:rPr>
        <w:t>10.2 不可抗力事件发生后，应立即通知对方，并寄送有关权威机构出具的证明。</w:t>
      </w:r>
    </w:p>
    <w:p>
      <w:pPr>
        <w:pStyle w:val="11"/>
        <w:spacing w:line="360" w:lineRule="auto"/>
        <w:ind w:firstLine="420" w:firstLineChars="200"/>
        <w:outlineLvl w:val="9"/>
        <w:rPr>
          <w:rFonts w:hAnsi="宋体"/>
          <w:color w:val="auto"/>
          <w:highlight w:val="none"/>
        </w:rPr>
      </w:pPr>
      <w:r>
        <w:rPr>
          <w:rFonts w:hint="eastAsia" w:hAnsi="宋体"/>
          <w:color w:val="auto"/>
          <w:highlight w:val="none"/>
        </w:rPr>
        <w:t>10.3 不可抗力事件延续120天以上，双方应通过友好协商，确定是否继续履行合同。</w:t>
      </w:r>
    </w:p>
    <w:p>
      <w:pPr>
        <w:pStyle w:val="11"/>
        <w:spacing w:line="360" w:lineRule="auto"/>
        <w:outlineLvl w:val="9"/>
        <w:rPr>
          <w:rFonts w:hAnsi="宋体"/>
          <w:b/>
          <w:bCs/>
          <w:color w:val="auto"/>
          <w:sz w:val="24"/>
          <w:highlight w:val="none"/>
        </w:rPr>
      </w:pPr>
      <w:bookmarkStart w:id="186" w:name="_Toc17339_WPSOffice_Level1"/>
      <w:bookmarkStart w:id="187" w:name="_Toc509_WPSOffice_Level1"/>
      <w:bookmarkStart w:id="188" w:name="_Toc8128_WPSOffice_Level1"/>
      <w:bookmarkStart w:id="189" w:name="_Toc12961_WPSOffice_Level1"/>
      <w:bookmarkStart w:id="190" w:name="_Toc12066_WPSOffice_Level1"/>
      <w:bookmarkStart w:id="191" w:name="_Toc935_WPSOffice_Level1"/>
      <w:bookmarkStart w:id="192" w:name="_Toc5837"/>
      <w:bookmarkStart w:id="193" w:name="_Toc17031_WPSOffice_Level1"/>
      <w:r>
        <w:rPr>
          <w:rFonts w:hint="eastAsia" w:hAnsi="宋体"/>
          <w:b/>
          <w:bCs/>
          <w:color w:val="auto"/>
          <w:sz w:val="24"/>
          <w:highlight w:val="none"/>
        </w:rPr>
        <w:t>11.  诉讼</w:t>
      </w:r>
      <w:bookmarkEnd w:id="186"/>
      <w:bookmarkEnd w:id="187"/>
      <w:bookmarkEnd w:id="188"/>
      <w:bookmarkEnd w:id="189"/>
      <w:bookmarkEnd w:id="190"/>
      <w:bookmarkEnd w:id="191"/>
      <w:bookmarkEnd w:id="192"/>
      <w:bookmarkEnd w:id="193"/>
    </w:p>
    <w:p>
      <w:pPr>
        <w:pStyle w:val="11"/>
        <w:tabs>
          <w:tab w:val="left" w:pos="0"/>
        </w:tabs>
        <w:spacing w:line="360" w:lineRule="auto"/>
        <w:ind w:firstLine="420" w:firstLineChars="200"/>
        <w:outlineLvl w:val="9"/>
        <w:rPr>
          <w:rFonts w:hAnsi="宋体"/>
          <w:color w:val="auto"/>
          <w:highlight w:val="none"/>
        </w:rPr>
      </w:pPr>
      <w:r>
        <w:rPr>
          <w:rFonts w:hint="eastAsia" w:hAnsi="宋体"/>
          <w:color w:val="auto"/>
          <w:highlight w:val="none"/>
        </w:rPr>
        <w:t>11.1 双方在执行合同中所发生的一切争议，应通过协商解决。如协商不成，可向合同签订地法院起诉，合同签订地在此约定为广西</w:t>
      </w:r>
      <w:r>
        <w:rPr>
          <w:rFonts w:hint="eastAsia" w:hAnsi="宋体"/>
          <w:color w:val="auto"/>
          <w:highlight w:val="none"/>
          <w:lang w:eastAsia="zh-CN"/>
        </w:rPr>
        <w:t>隆安县</w:t>
      </w:r>
      <w:r>
        <w:rPr>
          <w:rFonts w:hint="eastAsia" w:hAnsi="宋体"/>
          <w:color w:val="auto"/>
          <w:highlight w:val="none"/>
        </w:rPr>
        <w:t>。</w:t>
      </w:r>
    </w:p>
    <w:p>
      <w:pPr>
        <w:pStyle w:val="11"/>
        <w:spacing w:line="360" w:lineRule="auto"/>
        <w:outlineLvl w:val="9"/>
        <w:rPr>
          <w:rFonts w:hAnsi="宋体"/>
          <w:b/>
          <w:bCs/>
          <w:color w:val="auto"/>
          <w:sz w:val="24"/>
          <w:highlight w:val="none"/>
        </w:rPr>
      </w:pPr>
      <w:bookmarkStart w:id="194" w:name="_Toc11638_WPSOffice_Level1"/>
      <w:bookmarkStart w:id="195" w:name="_Toc31592_WPSOffice_Level1"/>
      <w:bookmarkStart w:id="196" w:name="_Toc25486_WPSOffice_Level1"/>
      <w:bookmarkStart w:id="197" w:name="_Toc6356_WPSOffice_Level1"/>
      <w:bookmarkStart w:id="198" w:name="_Toc15004_WPSOffice_Level1"/>
      <w:bookmarkStart w:id="199" w:name="_Toc2337_WPSOffice_Level1"/>
      <w:bookmarkStart w:id="200" w:name="_Toc4359"/>
      <w:bookmarkStart w:id="201" w:name="_Toc5396_WPSOffice_Level1"/>
      <w:r>
        <w:rPr>
          <w:rFonts w:hint="eastAsia" w:hAnsi="宋体"/>
          <w:b/>
          <w:bCs/>
          <w:color w:val="auto"/>
          <w:sz w:val="24"/>
          <w:highlight w:val="none"/>
        </w:rPr>
        <w:t>12.  合同生效及其它</w:t>
      </w:r>
      <w:bookmarkEnd w:id="194"/>
      <w:bookmarkEnd w:id="195"/>
      <w:bookmarkEnd w:id="196"/>
      <w:bookmarkEnd w:id="197"/>
      <w:bookmarkEnd w:id="198"/>
      <w:bookmarkEnd w:id="199"/>
      <w:bookmarkEnd w:id="200"/>
      <w:bookmarkEnd w:id="201"/>
    </w:p>
    <w:p>
      <w:pPr>
        <w:pStyle w:val="11"/>
        <w:spacing w:line="360" w:lineRule="auto"/>
        <w:ind w:firstLine="420" w:firstLineChars="200"/>
        <w:outlineLvl w:val="9"/>
        <w:rPr>
          <w:rFonts w:hAnsi="宋体"/>
          <w:color w:val="auto"/>
          <w:highlight w:val="none"/>
        </w:rPr>
      </w:pPr>
      <w:r>
        <w:rPr>
          <w:rFonts w:hint="eastAsia" w:hAnsi="宋体"/>
          <w:color w:val="auto"/>
          <w:highlight w:val="none"/>
        </w:rPr>
        <w:t>12.1 合同经双方法定代表人或授权委托代理人签字并加盖单位公章后生效。</w:t>
      </w:r>
    </w:p>
    <w:p>
      <w:pPr>
        <w:pStyle w:val="11"/>
        <w:spacing w:line="360" w:lineRule="auto"/>
        <w:ind w:firstLine="420" w:firstLineChars="200"/>
        <w:outlineLvl w:val="9"/>
        <w:rPr>
          <w:rFonts w:hAnsi="宋体"/>
          <w:color w:val="auto"/>
          <w:highlight w:val="none"/>
        </w:rPr>
      </w:pPr>
      <w:r>
        <w:rPr>
          <w:rFonts w:hint="eastAsia" w:hAnsi="宋体"/>
          <w:color w:val="auto"/>
          <w:highlight w:val="none"/>
        </w:rPr>
        <w:t>12.2 合同执行中涉及采购资金和采购内容修改或补充的，须经市财政部门审批，并签书面补充协议报南宁市政府采购监督管理部门备案，方可作为主合同不可分割的一部分。</w:t>
      </w:r>
    </w:p>
    <w:p>
      <w:pPr>
        <w:pStyle w:val="11"/>
        <w:spacing w:line="360" w:lineRule="auto"/>
        <w:ind w:firstLine="420" w:firstLineChars="200"/>
        <w:outlineLvl w:val="9"/>
        <w:rPr>
          <w:rFonts w:hAnsi="宋体"/>
          <w:color w:val="auto"/>
          <w:highlight w:val="none"/>
        </w:rPr>
      </w:pPr>
      <w:r>
        <w:rPr>
          <w:rFonts w:hint="eastAsia" w:hAnsi="宋体"/>
          <w:color w:val="auto"/>
          <w:highlight w:val="none"/>
        </w:rPr>
        <w:t>12.3 下述合同附件为本合同不可分割的部分并与本合同具有同等效力：</w:t>
      </w:r>
    </w:p>
    <w:p>
      <w:pPr>
        <w:pStyle w:val="11"/>
        <w:spacing w:line="360" w:lineRule="auto"/>
        <w:ind w:firstLine="420" w:firstLineChars="200"/>
        <w:outlineLvl w:val="9"/>
        <w:rPr>
          <w:rFonts w:hAnsi="宋体"/>
          <w:color w:val="auto"/>
          <w:highlight w:val="none"/>
        </w:rPr>
      </w:pPr>
      <w:r>
        <w:rPr>
          <w:rFonts w:hint="eastAsia" w:hAnsi="宋体"/>
          <w:color w:val="auto"/>
          <w:highlight w:val="none"/>
        </w:rPr>
        <w:t>（1）</w:t>
      </w:r>
      <w:r>
        <w:rPr>
          <w:rFonts w:hint="eastAsia" w:hAnsi="宋体"/>
          <w:color w:val="auto"/>
          <w:highlight w:val="none"/>
          <w:lang w:eastAsia="zh-CN"/>
        </w:rPr>
        <w:t>成交</w:t>
      </w:r>
      <w:r>
        <w:rPr>
          <w:rFonts w:hint="eastAsia" w:hAnsi="宋体"/>
          <w:color w:val="auto"/>
          <w:highlight w:val="none"/>
        </w:rPr>
        <w:t>通知书；</w:t>
      </w:r>
    </w:p>
    <w:p>
      <w:pPr>
        <w:pStyle w:val="11"/>
        <w:spacing w:line="360" w:lineRule="auto"/>
        <w:ind w:firstLine="420" w:firstLineChars="200"/>
        <w:outlineLvl w:val="9"/>
        <w:rPr>
          <w:rFonts w:hAnsi="宋体"/>
          <w:color w:val="auto"/>
          <w:highlight w:val="none"/>
        </w:rPr>
      </w:pPr>
      <w:r>
        <w:rPr>
          <w:rFonts w:hint="eastAsia" w:hAnsi="宋体"/>
          <w:color w:val="auto"/>
          <w:highlight w:val="none"/>
        </w:rPr>
        <w:t>（2）</w:t>
      </w:r>
      <w:r>
        <w:rPr>
          <w:rFonts w:hint="eastAsia" w:hAnsi="宋体"/>
          <w:color w:val="auto"/>
          <w:highlight w:val="none"/>
          <w:lang w:eastAsia="zh-CN"/>
        </w:rPr>
        <w:t>竞争性磋商</w:t>
      </w:r>
      <w:r>
        <w:rPr>
          <w:rFonts w:hint="eastAsia" w:hAnsi="宋体"/>
          <w:color w:val="auto"/>
          <w:highlight w:val="none"/>
        </w:rPr>
        <w:t>文件服务需求一览表；</w:t>
      </w:r>
    </w:p>
    <w:p>
      <w:pPr>
        <w:pStyle w:val="11"/>
        <w:spacing w:line="360" w:lineRule="auto"/>
        <w:ind w:firstLine="420" w:firstLineChars="200"/>
        <w:outlineLvl w:val="9"/>
        <w:rPr>
          <w:rFonts w:hAnsi="宋体"/>
          <w:color w:val="auto"/>
          <w:highlight w:val="none"/>
        </w:rPr>
      </w:pPr>
      <w:r>
        <w:rPr>
          <w:rFonts w:hint="eastAsia" w:hAnsi="宋体"/>
          <w:color w:val="auto"/>
          <w:highlight w:val="none"/>
        </w:rPr>
        <w:t>（3）</w:t>
      </w:r>
      <w:r>
        <w:rPr>
          <w:rFonts w:hint="eastAsia" w:hAnsi="宋体"/>
          <w:color w:val="auto"/>
          <w:highlight w:val="none"/>
          <w:lang w:eastAsia="zh-CN"/>
        </w:rPr>
        <w:t>竞争性磋商</w:t>
      </w:r>
      <w:r>
        <w:rPr>
          <w:rFonts w:hint="eastAsia" w:hAnsi="宋体"/>
          <w:color w:val="auto"/>
          <w:highlight w:val="none"/>
        </w:rPr>
        <w:t>文件的澄清和修改；</w:t>
      </w:r>
    </w:p>
    <w:p>
      <w:pPr>
        <w:pStyle w:val="11"/>
        <w:spacing w:line="360" w:lineRule="auto"/>
        <w:ind w:firstLine="420" w:firstLineChars="200"/>
        <w:outlineLvl w:val="9"/>
        <w:rPr>
          <w:rFonts w:hAnsi="宋体"/>
          <w:color w:val="auto"/>
          <w:highlight w:val="none"/>
        </w:rPr>
      </w:pPr>
      <w:r>
        <w:rPr>
          <w:rFonts w:hint="eastAsia" w:hAnsi="宋体"/>
          <w:color w:val="auto"/>
          <w:highlight w:val="none"/>
        </w:rPr>
        <w:t>（4）</w:t>
      </w:r>
      <w:r>
        <w:rPr>
          <w:rFonts w:hint="eastAsia" w:hAnsi="宋体"/>
          <w:color w:val="auto"/>
          <w:highlight w:val="none"/>
          <w:lang w:eastAsia="zh-CN"/>
        </w:rPr>
        <w:t>响应</w:t>
      </w:r>
      <w:r>
        <w:rPr>
          <w:rFonts w:hint="eastAsia" w:hAnsi="宋体"/>
          <w:color w:val="auto"/>
          <w:highlight w:val="none"/>
        </w:rPr>
        <w:t>函、</w:t>
      </w:r>
      <w:r>
        <w:rPr>
          <w:rFonts w:hint="eastAsia" w:hAnsi="宋体"/>
          <w:color w:val="auto"/>
          <w:highlight w:val="none"/>
          <w:lang w:eastAsia="zh-CN"/>
        </w:rPr>
        <w:t>响应</w:t>
      </w:r>
      <w:r>
        <w:rPr>
          <w:rFonts w:hint="eastAsia" w:hAnsi="宋体"/>
          <w:color w:val="auto"/>
          <w:highlight w:val="none"/>
        </w:rPr>
        <w:t>报价表；</w:t>
      </w:r>
    </w:p>
    <w:p>
      <w:pPr>
        <w:pStyle w:val="11"/>
        <w:spacing w:line="360" w:lineRule="auto"/>
        <w:ind w:firstLine="420" w:firstLineChars="200"/>
        <w:outlineLvl w:val="9"/>
        <w:rPr>
          <w:rFonts w:hAnsi="宋体"/>
          <w:color w:val="auto"/>
          <w:highlight w:val="none"/>
        </w:rPr>
      </w:pPr>
      <w:r>
        <w:rPr>
          <w:rFonts w:hint="eastAsia" w:hAnsi="宋体"/>
          <w:color w:val="auto"/>
          <w:highlight w:val="none"/>
        </w:rPr>
        <w:t>（5）</w:t>
      </w:r>
      <w:r>
        <w:rPr>
          <w:rFonts w:hint="eastAsia" w:hAnsi="宋体"/>
          <w:color w:val="auto"/>
          <w:highlight w:val="none"/>
          <w:lang w:eastAsia="zh-CN"/>
        </w:rPr>
        <w:t>提供</w:t>
      </w:r>
      <w:r>
        <w:rPr>
          <w:rFonts w:hint="eastAsia" w:hAnsi="宋体"/>
          <w:color w:val="auto"/>
          <w:highlight w:val="none"/>
        </w:rPr>
        <w:t>服务技术资料表、商务条款偏离表、售后服务承诺书；</w:t>
      </w:r>
    </w:p>
    <w:p>
      <w:pPr>
        <w:pStyle w:val="11"/>
        <w:spacing w:line="360" w:lineRule="auto"/>
        <w:ind w:firstLine="420" w:firstLineChars="200"/>
        <w:outlineLvl w:val="9"/>
        <w:rPr>
          <w:rFonts w:hAnsi="宋体"/>
          <w:color w:val="auto"/>
          <w:highlight w:val="none"/>
        </w:rPr>
      </w:pPr>
      <w:r>
        <w:rPr>
          <w:rFonts w:hint="eastAsia" w:hAnsi="宋体"/>
          <w:color w:val="auto"/>
          <w:highlight w:val="none"/>
        </w:rPr>
        <w:t>（6）中标供应商澄清函。</w:t>
      </w:r>
    </w:p>
    <w:p>
      <w:pPr>
        <w:pStyle w:val="11"/>
        <w:spacing w:line="360" w:lineRule="auto"/>
        <w:ind w:firstLine="420" w:firstLineChars="200"/>
        <w:outlineLvl w:val="9"/>
        <w:rPr>
          <w:rFonts w:hAnsi="宋体"/>
          <w:color w:val="auto"/>
          <w:highlight w:val="none"/>
        </w:rPr>
      </w:pPr>
      <w:r>
        <w:rPr>
          <w:rFonts w:hint="eastAsia" w:hAnsi="宋体"/>
          <w:color w:val="auto"/>
          <w:highlight w:val="none"/>
        </w:rPr>
        <w:t>12.4 本合同未尽事宜，遵照《中华人民共和国合同法》有关条文执行。</w:t>
      </w:r>
    </w:p>
    <w:p>
      <w:pPr>
        <w:pStyle w:val="11"/>
        <w:spacing w:line="360" w:lineRule="auto"/>
        <w:ind w:firstLine="420" w:firstLineChars="200"/>
        <w:outlineLvl w:val="9"/>
        <w:rPr>
          <w:rFonts w:hint="eastAsia" w:hAnsi="宋体"/>
          <w:color w:val="auto"/>
          <w:highlight w:val="none"/>
        </w:rPr>
      </w:pPr>
      <w:r>
        <w:rPr>
          <w:rFonts w:hint="eastAsia" w:hAnsi="宋体"/>
          <w:color w:val="auto"/>
          <w:highlight w:val="none"/>
        </w:rPr>
        <w:t>12.5 本合同正本一式两份，副本陆份，具有同等法律效力，甲乙双方各执正本一份，副本3份；，由采购人自合同签订之日起七个工作日内报</w:t>
      </w:r>
      <w:r>
        <w:rPr>
          <w:rFonts w:hint="eastAsia" w:hAnsi="宋体"/>
          <w:color w:val="auto"/>
          <w:highlight w:val="none"/>
          <w:lang w:eastAsia="zh-CN"/>
        </w:rPr>
        <w:t>隆安县</w:t>
      </w:r>
      <w:r>
        <w:rPr>
          <w:rFonts w:hint="eastAsia" w:hAnsi="宋体"/>
          <w:color w:val="auto"/>
          <w:highlight w:val="none"/>
        </w:rPr>
        <w:t>政府采购监督管理部门备案。</w:t>
      </w:r>
    </w:p>
    <w:p>
      <w:pPr>
        <w:outlineLvl w:val="9"/>
        <w:rPr>
          <w:color w:val="auto"/>
          <w:highlight w:val="none"/>
        </w:rPr>
      </w:pPr>
    </w:p>
    <w:p>
      <w:pPr>
        <w:pStyle w:val="11"/>
        <w:spacing w:line="360" w:lineRule="auto"/>
        <w:ind w:firstLine="840" w:firstLineChars="400"/>
        <w:outlineLvl w:val="9"/>
        <w:rPr>
          <w:rFonts w:hAnsi="宋体"/>
          <w:color w:val="auto"/>
          <w:highlight w:val="none"/>
          <w:u w:val="single"/>
        </w:rPr>
      </w:pPr>
      <w:r>
        <w:rPr>
          <w:rFonts w:hint="eastAsia" w:hAnsi="宋体"/>
          <w:color w:val="auto"/>
          <w:highlight w:val="none"/>
        </w:rPr>
        <w:t xml:space="preserve">甲方： </w:t>
      </w:r>
      <w:r>
        <w:rPr>
          <w:rFonts w:hint="eastAsia" w:hAnsi="宋体"/>
          <w:color w:val="auto"/>
          <w:highlight w:val="none"/>
          <w:u w:val="single"/>
        </w:rPr>
        <w:t xml:space="preserve">                        </w:t>
      </w:r>
      <w:r>
        <w:rPr>
          <w:rFonts w:hint="eastAsia" w:hAnsi="宋体"/>
          <w:color w:val="auto"/>
          <w:highlight w:val="none"/>
        </w:rPr>
        <w:t xml:space="preserve">               乙方：</w:t>
      </w:r>
      <w:r>
        <w:rPr>
          <w:rFonts w:hint="eastAsia" w:hAnsi="宋体"/>
          <w:color w:val="auto"/>
          <w:highlight w:val="none"/>
          <w:u w:val="single"/>
        </w:rPr>
        <w:t xml:space="preserve">                        </w:t>
      </w:r>
    </w:p>
    <w:p>
      <w:pPr>
        <w:pStyle w:val="11"/>
        <w:spacing w:line="360" w:lineRule="auto"/>
        <w:ind w:firstLine="840" w:firstLineChars="400"/>
        <w:outlineLvl w:val="9"/>
        <w:rPr>
          <w:rFonts w:hAnsi="宋体"/>
          <w:color w:val="auto"/>
          <w:highlight w:val="non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地址：</w:t>
      </w:r>
      <w:r>
        <w:rPr>
          <w:rFonts w:hint="eastAsia" w:hAnsi="宋体"/>
          <w:color w:val="auto"/>
          <w:highlight w:val="none"/>
          <w:u w:val="single"/>
        </w:rPr>
        <w:t xml:space="preserve">                        </w:t>
      </w:r>
    </w:p>
    <w:p>
      <w:pPr>
        <w:pStyle w:val="11"/>
        <w:spacing w:line="360" w:lineRule="auto"/>
        <w:ind w:firstLine="840" w:firstLineChars="400"/>
        <w:outlineLvl w:val="9"/>
        <w:rPr>
          <w:rFonts w:hAnsi="宋体"/>
          <w:color w:val="auto"/>
          <w:highlight w:val="none"/>
        </w:rPr>
      </w:pPr>
      <w:r>
        <w:rPr>
          <w:rFonts w:hint="eastAsia" w:hAnsi="宋体"/>
          <w:color w:val="auto"/>
          <w:highlight w:val="none"/>
        </w:rPr>
        <w:t>法定代表人：</w:t>
      </w:r>
      <w:r>
        <w:rPr>
          <w:rFonts w:hint="eastAsia" w:hAnsi="宋体"/>
          <w:color w:val="auto"/>
          <w:highlight w:val="none"/>
          <w:u w:val="single"/>
        </w:rPr>
        <w:t xml:space="preserve">                   </w:t>
      </w:r>
      <w:r>
        <w:rPr>
          <w:rFonts w:hint="eastAsia" w:hAnsi="宋体"/>
          <w:color w:val="auto"/>
          <w:highlight w:val="none"/>
        </w:rPr>
        <w:t xml:space="preserve">               法定代表人：</w:t>
      </w:r>
      <w:r>
        <w:rPr>
          <w:rFonts w:hint="eastAsia" w:hAnsi="宋体"/>
          <w:color w:val="auto"/>
          <w:highlight w:val="none"/>
          <w:u w:val="single"/>
        </w:rPr>
        <w:t xml:space="preserve">                  </w:t>
      </w:r>
    </w:p>
    <w:p>
      <w:pPr>
        <w:pStyle w:val="11"/>
        <w:spacing w:line="360" w:lineRule="auto"/>
        <w:ind w:firstLine="840" w:firstLineChars="400"/>
        <w:outlineLvl w:val="9"/>
        <w:rPr>
          <w:rFonts w:hAnsi="宋体"/>
          <w:color w:val="auto"/>
          <w:highlight w:val="none"/>
        </w:rPr>
      </w:pPr>
      <w:r>
        <w:rPr>
          <w:rFonts w:hint="eastAsia" w:hAnsi="宋体"/>
          <w:color w:val="auto"/>
          <w:highlight w:val="none"/>
        </w:rPr>
        <w:t>委托代理人：</w:t>
      </w:r>
      <w:r>
        <w:rPr>
          <w:rFonts w:hint="eastAsia" w:hAnsi="宋体"/>
          <w:color w:val="auto"/>
          <w:highlight w:val="none"/>
          <w:u w:val="single"/>
        </w:rPr>
        <w:t xml:space="preserve">                   </w:t>
      </w:r>
      <w:r>
        <w:rPr>
          <w:rFonts w:hint="eastAsia" w:hAnsi="宋体"/>
          <w:color w:val="auto"/>
          <w:highlight w:val="none"/>
        </w:rPr>
        <w:t xml:space="preserve">               委托代理人：</w:t>
      </w:r>
      <w:r>
        <w:rPr>
          <w:rFonts w:hint="eastAsia" w:hAnsi="宋体"/>
          <w:color w:val="auto"/>
          <w:highlight w:val="none"/>
          <w:u w:val="single"/>
        </w:rPr>
        <w:t xml:space="preserve">                  </w:t>
      </w:r>
      <w:r>
        <w:rPr>
          <w:rFonts w:hint="eastAsia" w:hAnsi="宋体"/>
          <w:color w:val="auto"/>
          <w:highlight w:val="none"/>
        </w:rPr>
        <w:t xml:space="preserve">             </w:t>
      </w:r>
    </w:p>
    <w:p>
      <w:pPr>
        <w:pStyle w:val="11"/>
        <w:spacing w:line="360" w:lineRule="auto"/>
        <w:ind w:firstLine="840" w:firstLineChars="400"/>
        <w:outlineLvl w:val="9"/>
        <w:rPr>
          <w:rFonts w:hAnsi="宋体"/>
          <w:color w:val="auto"/>
          <w:highlight w:val="none"/>
        </w:rPr>
      </w:pPr>
      <w:r>
        <w:rPr>
          <w:rFonts w:hint="eastAsia" w:hAnsi="宋体"/>
          <w:color w:val="auto"/>
          <w:highlight w:val="none"/>
        </w:rPr>
        <w:t>电话：</w:t>
      </w:r>
      <w:r>
        <w:rPr>
          <w:rFonts w:hint="eastAsia" w:hAnsi="宋体"/>
          <w:color w:val="auto"/>
          <w:highlight w:val="none"/>
          <w:u w:val="single"/>
        </w:rPr>
        <w:t xml:space="preserve">                         </w:t>
      </w:r>
      <w:r>
        <w:rPr>
          <w:rFonts w:hint="eastAsia" w:hAnsi="宋体"/>
          <w:color w:val="auto"/>
          <w:highlight w:val="none"/>
        </w:rPr>
        <w:t xml:space="preserve">               电话：</w:t>
      </w:r>
      <w:r>
        <w:rPr>
          <w:rFonts w:hint="eastAsia" w:hAnsi="宋体"/>
          <w:color w:val="auto"/>
          <w:highlight w:val="none"/>
          <w:u w:val="single"/>
        </w:rPr>
        <w:t xml:space="preserve">                        </w:t>
      </w:r>
      <w:r>
        <w:rPr>
          <w:rFonts w:hint="eastAsia" w:hAnsi="宋体"/>
          <w:color w:val="auto"/>
          <w:highlight w:val="none"/>
        </w:rPr>
        <w:t xml:space="preserve">              </w:t>
      </w:r>
    </w:p>
    <w:p>
      <w:pPr>
        <w:pStyle w:val="11"/>
        <w:spacing w:line="360" w:lineRule="auto"/>
        <w:ind w:firstLine="840" w:firstLineChars="400"/>
        <w:outlineLvl w:val="9"/>
        <w:rPr>
          <w:rFonts w:hAnsi="宋体"/>
          <w:color w:val="auto"/>
          <w:highlight w:val="none"/>
        </w:rPr>
      </w:pPr>
      <w:r>
        <w:rPr>
          <w:rFonts w:hint="eastAsia" w:hAnsi="宋体"/>
          <w:color w:val="auto"/>
          <w:highlight w:val="none"/>
        </w:rPr>
        <w:t>传真：</w:t>
      </w:r>
      <w:r>
        <w:rPr>
          <w:rFonts w:hint="eastAsia" w:hAnsi="宋体"/>
          <w:color w:val="auto"/>
          <w:highlight w:val="none"/>
          <w:u w:val="single"/>
        </w:rPr>
        <w:t xml:space="preserve">                         </w:t>
      </w:r>
      <w:r>
        <w:rPr>
          <w:rFonts w:hint="eastAsia" w:hAnsi="宋体"/>
          <w:color w:val="auto"/>
          <w:highlight w:val="none"/>
        </w:rPr>
        <w:t xml:space="preserve">               传真：</w:t>
      </w:r>
      <w:r>
        <w:rPr>
          <w:rFonts w:hint="eastAsia" w:hAnsi="宋体"/>
          <w:color w:val="auto"/>
          <w:highlight w:val="none"/>
          <w:u w:val="single"/>
        </w:rPr>
        <w:t xml:space="preserve">                        </w:t>
      </w:r>
      <w:r>
        <w:rPr>
          <w:rFonts w:hint="eastAsia" w:hAnsi="宋体"/>
          <w:color w:val="auto"/>
          <w:highlight w:val="none"/>
        </w:rPr>
        <w:t xml:space="preserve">   </w:t>
      </w:r>
    </w:p>
    <w:p>
      <w:pPr>
        <w:pStyle w:val="11"/>
        <w:spacing w:line="360" w:lineRule="auto"/>
        <w:ind w:firstLine="840" w:firstLineChars="400"/>
        <w:outlineLvl w:val="9"/>
        <w:rPr>
          <w:rFonts w:hAnsi="宋体"/>
          <w:color w:val="auto"/>
          <w:highlight w:val="none"/>
        </w:rPr>
      </w:pPr>
      <w:r>
        <w:rPr>
          <w:rFonts w:hint="eastAsia" w:hAnsi="宋体"/>
          <w:color w:val="auto"/>
          <w:highlight w:val="none"/>
        </w:rPr>
        <w:t>邮政编码：</w:t>
      </w:r>
      <w:r>
        <w:rPr>
          <w:rFonts w:hint="eastAsia" w:hAnsi="宋体"/>
          <w:color w:val="auto"/>
          <w:highlight w:val="none"/>
          <w:u w:val="single"/>
        </w:rPr>
        <w:t xml:space="preserve">                     </w:t>
      </w:r>
      <w:r>
        <w:rPr>
          <w:rFonts w:hint="eastAsia" w:hAnsi="宋体"/>
          <w:color w:val="auto"/>
          <w:highlight w:val="none"/>
        </w:rPr>
        <w:t xml:space="preserve">               邮政编码：</w:t>
      </w:r>
      <w:r>
        <w:rPr>
          <w:rFonts w:hint="eastAsia" w:hAnsi="宋体"/>
          <w:color w:val="auto"/>
          <w:highlight w:val="none"/>
          <w:u w:val="single"/>
        </w:rPr>
        <w:t xml:space="preserve">                     </w:t>
      </w:r>
      <w:r>
        <w:rPr>
          <w:rFonts w:hint="eastAsia" w:hAnsi="宋体"/>
          <w:color w:val="auto"/>
          <w:highlight w:val="none"/>
        </w:rPr>
        <w:t xml:space="preserve">  </w:t>
      </w:r>
    </w:p>
    <w:p>
      <w:pPr>
        <w:pStyle w:val="11"/>
        <w:spacing w:line="360" w:lineRule="auto"/>
        <w:outlineLvl w:val="9"/>
        <w:rPr>
          <w:rFonts w:hAnsi="宋体"/>
          <w:color w:val="auto"/>
          <w:highlight w:val="none"/>
          <w:u w:val="single"/>
        </w:rPr>
      </w:pPr>
      <w:r>
        <w:rPr>
          <w:rFonts w:hint="eastAsia" w:hAnsi="宋体"/>
          <w:color w:val="auto"/>
          <w:highlight w:val="none"/>
        </w:rPr>
        <w:t xml:space="preserve">                                                      开户银行：</w:t>
      </w:r>
      <w:r>
        <w:rPr>
          <w:rFonts w:hint="eastAsia" w:hAnsi="宋体"/>
          <w:color w:val="auto"/>
          <w:highlight w:val="none"/>
          <w:u w:val="single"/>
        </w:rPr>
        <w:t xml:space="preserve">                     </w:t>
      </w:r>
      <w:r>
        <w:rPr>
          <w:rFonts w:hint="eastAsia" w:hAnsi="宋体"/>
          <w:color w:val="auto"/>
          <w:highlight w:val="none"/>
        </w:rPr>
        <w:t xml:space="preserve">   </w:t>
      </w:r>
    </w:p>
    <w:p>
      <w:pPr>
        <w:pStyle w:val="11"/>
        <w:spacing w:line="360" w:lineRule="auto"/>
        <w:outlineLvl w:val="9"/>
        <w:rPr>
          <w:rFonts w:hAnsi="宋体"/>
          <w:color w:val="auto"/>
          <w:highlight w:val="none"/>
          <w:u w:val="single"/>
        </w:rPr>
      </w:pPr>
      <w:r>
        <w:rPr>
          <w:rFonts w:hint="eastAsia" w:hAnsi="宋体"/>
          <w:color w:val="auto"/>
          <w:highlight w:val="none"/>
        </w:rPr>
        <w:t xml:space="preserve">                                                      开户名称：</w:t>
      </w:r>
      <w:r>
        <w:rPr>
          <w:rFonts w:hint="eastAsia" w:hAnsi="宋体"/>
          <w:color w:val="auto"/>
          <w:highlight w:val="none"/>
          <w:u w:val="single"/>
        </w:rPr>
        <w:t xml:space="preserve">                     </w:t>
      </w:r>
      <w:r>
        <w:rPr>
          <w:rFonts w:hint="eastAsia" w:hAnsi="宋体"/>
          <w:color w:val="auto"/>
          <w:highlight w:val="none"/>
        </w:rPr>
        <w:t xml:space="preserve">   </w:t>
      </w:r>
    </w:p>
    <w:p>
      <w:pPr>
        <w:pStyle w:val="11"/>
        <w:spacing w:line="360" w:lineRule="auto"/>
        <w:outlineLvl w:val="9"/>
        <w:rPr>
          <w:rFonts w:hAnsi="宋体"/>
          <w:color w:val="auto"/>
          <w:highlight w:val="none"/>
          <w:u w:val="single"/>
        </w:rPr>
      </w:pPr>
      <w:r>
        <w:rPr>
          <w:rFonts w:hint="eastAsia" w:hAnsi="宋体"/>
          <w:color w:val="auto"/>
          <w:highlight w:val="none"/>
        </w:rPr>
        <w:t xml:space="preserve">                                                      银行账号：</w:t>
      </w:r>
      <w:r>
        <w:rPr>
          <w:rFonts w:hint="eastAsia" w:hAnsi="宋体"/>
          <w:color w:val="auto"/>
          <w:highlight w:val="none"/>
          <w:u w:val="single"/>
        </w:rPr>
        <w:t xml:space="preserve">                     </w:t>
      </w:r>
      <w:r>
        <w:rPr>
          <w:rFonts w:hint="eastAsia" w:hAnsi="宋体"/>
          <w:color w:val="auto"/>
          <w:highlight w:val="none"/>
        </w:rPr>
        <w:t xml:space="preserve">   </w:t>
      </w:r>
    </w:p>
    <w:p>
      <w:pPr>
        <w:pStyle w:val="11"/>
        <w:spacing w:line="360" w:lineRule="auto"/>
        <w:ind w:left="178" w:leftChars="85"/>
        <w:outlineLvl w:val="9"/>
        <w:rPr>
          <w:rFonts w:eastAsia="华康简魏碑"/>
          <w:b/>
          <w:bCs/>
          <w:color w:val="auto"/>
          <w:spacing w:val="80"/>
          <w:sz w:val="30"/>
          <w:highlight w:val="none"/>
        </w:rPr>
      </w:pPr>
      <w:r>
        <w:rPr>
          <w:rFonts w:hint="eastAsia" w:hAnsi="宋体"/>
          <w:color w:val="auto"/>
          <w:highlight w:val="none"/>
        </w:rPr>
        <w:t xml:space="preserve">合同签订日期：    年  月   日                     合同签订地点：广西南宁市隆安县            </w:t>
      </w:r>
    </w:p>
    <w:p>
      <w:pPr>
        <w:pStyle w:val="11"/>
        <w:jc w:val="center"/>
        <w:outlineLvl w:val="9"/>
        <w:rPr>
          <w:color w:val="auto"/>
          <w:highlight w:val="none"/>
        </w:rPr>
      </w:pPr>
    </w:p>
    <w:p>
      <w:pPr>
        <w:outlineLvl w:val="9"/>
        <w:rPr>
          <w:color w:val="auto"/>
          <w:highlight w:val="none"/>
        </w:rPr>
      </w:pPr>
    </w:p>
    <w:sectPr>
      <w:pgSz w:w="11906" w:h="16838"/>
      <w:pgMar w:top="1020" w:right="1049" w:bottom="1440" w:left="99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Ђ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华康简魏碑">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sz w:val="21"/>
      </w:rPr>
    </w:pPr>
    <w:r>
      <w:rPr>
        <w:sz w:val="21"/>
      </w:rPr>
      <w:fldChar w:fldCharType="begin"/>
    </w:r>
    <w:r>
      <w:rPr>
        <w:rStyle w:val="22"/>
        <w:sz w:val="21"/>
      </w:rPr>
      <w:instrText xml:space="preserve">PAGE  </w:instrText>
    </w:r>
    <w:r>
      <w:rPr>
        <w:sz w:val="21"/>
      </w:rPr>
      <w:fldChar w:fldCharType="separate"/>
    </w:r>
    <w:r>
      <w:rPr>
        <w:rStyle w:val="22"/>
        <w:sz w:val="21"/>
      </w:rPr>
      <w:t>0</w:t>
    </w:r>
    <w:r>
      <w:rPr>
        <w:sz w:val="21"/>
      </w:rPr>
      <w:fldChar w:fldCharType="end"/>
    </w:r>
  </w:p>
  <w:p>
    <w:pPr>
      <w:pStyle w:val="13"/>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rFonts w:hint="eastAsia" w:eastAsia="宋体"/>
        <w:lang w:eastAsia="zh-CN"/>
      </w:rPr>
    </w:pPr>
    <w:r>
      <w:rPr>
        <w:rFonts w:hint="eastAsia"/>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u w:val="single"/>
      </w:rPr>
    </w:pPr>
    <w:r>
      <w:rPr>
        <w:rFonts w:hint="eastAsia"/>
        <w:lang w:val="en-US" w:eastAsia="zh-C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r>
      <w:rPr>
        <w:rFonts w:hint="eastAsia"/>
        <w:lang w:val="en-US" w:eastAsia="zh-C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99733"/>
    <w:multiLevelType w:val="singleLevel"/>
    <w:tmpl w:val="F3499733"/>
    <w:lvl w:ilvl="0" w:tentative="0">
      <w:start w:val="1"/>
      <w:numFmt w:val="decimal"/>
      <w:suff w:val="nothing"/>
      <w:lvlText w:val="%1、"/>
      <w:lvlJc w:val="left"/>
    </w:lvl>
  </w:abstractNum>
  <w:abstractNum w:abstractNumId="1">
    <w:nsid w:val="1A3994BA"/>
    <w:multiLevelType w:val="singleLevel"/>
    <w:tmpl w:val="1A3994BA"/>
    <w:lvl w:ilvl="0" w:tentative="0">
      <w:start w:val="1"/>
      <w:numFmt w:val="decimal"/>
      <w:lvlText w:val="(%1)"/>
      <w:lvlJc w:val="left"/>
      <w:pPr>
        <w:tabs>
          <w:tab w:val="left" w:pos="312"/>
        </w:tabs>
      </w:pPr>
    </w:lvl>
  </w:abstractNum>
  <w:abstractNum w:abstractNumId="2">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22B364E5"/>
    <w:multiLevelType w:val="multilevel"/>
    <w:tmpl w:val="22B364E5"/>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59F29BC8"/>
    <w:multiLevelType w:val="singleLevel"/>
    <w:tmpl w:val="59F29BC8"/>
    <w:lvl w:ilvl="0" w:tentative="0">
      <w:start w:val="2"/>
      <w:numFmt w:val="decimal"/>
      <w:suff w:val="nothing"/>
      <w:lvlText w:val="（%1）"/>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F3EFD"/>
    <w:rsid w:val="002A42DD"/>
    <w:rsid w:val="0035142F"/>
    <w:rsid w:val="004930E8"/>
    <w:rsid w:val="00552BF1"/>
    <w:rsid w:val="00876A43"/>
    <w:rsid w:val="01050BF8"/>
    <w:rsid w:val="010B122B"/>
    <w:rsid w:val="0117619C"/>
    <w:rsid w:val="0119050F"/>
    <w:rsid w:val="01314E0B"/>
    <w:rsid w:val="01533D0C"/>
    <w:rsid w:val="01570CF2"/>
    <w:rsid w:val="015F3256"/>
    <w:rsid w:val="016A0427"/>
    <w:rsid w:val="01B2712E"/>
    <w:rsid w:val="02205857"/>
    <w:rsid w:val="02242BEE"/>
    <w:rsid w:val="02360D86"/>
    <w:rsid w:val="026C0F14"/>
    <w:rsid w:val="02852691"/>
    <w:rsid w:val="028E278E"/>
    <w:rsid w:val="028E3336"/>
    <w:rsid w:val="029C4E14"/>
    <w:rsid w:val="02D05931"/>
    <w:rsid w:val="02E87024"/>
    <w:rsid w:val="02EC34F1"/>
    <w:rsid w:val="02FA2844"/>
    <w:rsid w:val="030B07D2"/>
    <w:rsid w:val="031A57AD"/>
    <w:rsid w:val="03541277"/>
    <w:rsid w:val="0371430D"/>
    <w:rsid w:val="037D54B5"/>
    <w:rsid w:val="038D7DBB"/>
    <w:rsid w:val="03942E40"/>
    <w:rsid w:val="03A30A1B"/>
    <w:rsid w:val="03B60A34"/>
    <w:rsid w:val="03E4149D"/>
    <w:rsid w:val="03F2079F"/>
    <w:rsid w:val="04040F8A"/>
    <w:rsid w:val="04461CF4"/>
    <w:rsid w:val="045D0993"/>
    <w:rsid w:val="04731D01"/>
    <w:rsid w:val="048C09AE"/>
    <w:rsid w:val="04A56BE0"/>
    <w:rsid w:val="04B5641B"/>
    <w:rsid w:val="04B82ADB"/>
    <w:rsid w:val="04BD726E"/>
    <w:rsid w:val="055D09A4"/>
    <w:rsid w:val="05677220"/>
    <w:rsid w:val="05CF6EFB"/>
    <w:rsid w:val="05FB52A3"/>
    <w:rsid w:val="061015EC"/>
    <w:rsid w:val="061F69B3"/>
    <w:rsid w:val="06274677"/>
    <w:rsid w:val="06381D16"/>
    <w:rsid w:val="063B44A2"/>
    <w:rsid w:val="06456B8A"/>
    <w:rsid w:val="0672298E"/>
    <w:rsid w:val="06727CAF"/>
    <w:rsid w:val="06761666"/>
    <w:rsid w:val="068A7B6A"/>
    <w:rsid w:val="06A775C7"/>
    <w:rsid w:val="06A97BF5"/>
    <w:rsid w:val="06AD703D"/>
    <w:rsid w:val="06B45D7B"/>
    <w:rsid w:val="06CF3D75"/>
    <w:rsid w:val="07015831"/>
    <w:rsid w:val="07131928"/>
    <w:rsid w:val="07306450"/>
    <w:rsid w:val="0736567F"/>
    <w:rsid w:val="07382DCF"/>
    <w:rsid w:val="073B7769"/>
    <w:rsid w:val="074217B1"/>
    <w:rsid w:val="07481D46"/>
    <w:rsid w:val="07655AE1"/>
    <w:rsid w:val="076F53B7"/>
    <w:rsid w:val="077D68E0"/>
    <w:rsid w:val="07864963"/>
    <w:rsid w:val="078D4DB5"/>
    <w:rsid w:val="079D37CB"/>
    <w:rsid w:val="07BC6B86"/>
    <w:rsid w:val="07D22124"/>
    <w:rsid w:val="081F5746"/>
    <w:rsid w:val="084A56E9"/>
    <w:rsid w:val="087D4829"/>
    <w:rsid w:val="087E3800"/>
    <w:rsid w:val="088F5360"/>
    <w:rsid w:val="089B0C30"/>
    <w:rsid w:val="089E6915"/>
    <w:rsid w:val="08A933A0"/>
    <w:rsid w:val="08EF7213"/>
    <w:rsid w:val="09242112"/>
    <w:rsid w:val="09277C9B"/>
    <w:rsid w:val="09437DBB"/>
    <w:rsid w:val="094D6D4B"/>
    <w:rsid w:val="09595467"/>
    <w:rsid w:val="095E6337"/>
    <w:rsid w:val="09644BB0"/>
    <w:rsid w:val="096F57E6"/>
    <w:rsid w:val="09C627AB"/>
    <w:rsid w:val="09C84E23"/>
    <w:rsid w:val="09D07B9B"/>
    <w:rsid w:val="09DA32D5"/>
    <w:rsid w:val="09FE1B2D"/>
    <w:rsid w:val="0A134484"/>
    <w:rsid w:val="0A3B1123"/>
    <w:rsid w:val="0A4436EB"/>
    <w:rsid w:val="0A626938"/>
    <w:rsid w:val="0A6E08F4"/>
    <w:rsid w:val="0A74235A"/>
    <w:rsid w:val="0AE77532"/>
    <w:rsid w:val="0AED4204"/>
    <w:rsid w:val="0AF1550E"/>
    <w:rsid w:val="0B014417"/>
    <w:rsid w:val="0B0923CA"/>
    <w:rsid w:val="0B321A07"/>
    <w:rsid w:val="0B411F20"/>
    <w:rsid w:val="0B4339D3"/>
    <w:rsid w:val="0B4C3C2E"/>
    <w:rsid w:val="0B4E3DBC"/>
    <w:rsid w:val="0BA73676"/>
    <w:rsid w:val="0BAF3E24"/>
    <w:rsid w:val="0BB76CEF"/>
    <w:rsid w:val="0BBA2AC2"/>
    <w:rsid w:val="0BCB0EDE"/>
    <w:rsid w:val="0BD84401"/>
    <w:rsid w:val="0BF2535C"/>
    <w:rsid w:val="0C0A5E6F"/>
    <w:rsid w:val="0C220F11"/>
    <w:rsid w:val="0C381B46"/>
    <w:rsid w:val="0C6A3DD5"/>
    <w:rsid w:val="0C7D51BA"/>
    <w:rsid w:val="0C7F6311"/>
    <w:rsid w:val="0C89320D"/>
    <w:rsid w:val="0C8D1614"/>
    <w:rsid w:val="0CA85A05"/>
    <w:rsid w:val="0CAC7CA7"/>
    <w:rsid w:val="0CC83518"/>
    <w:rsid w:val="0D05745D"/>
    <w:rsid w:val="0D0E1E49"/>
    <w:rsid w:val="0D26183F"/>
    <w:rsid w:val="0D26741A"/>
    <w:rsid w:val="0D2D0A02"/>
    <w:rsid w:val="0D31470F"/>
    <w:rsid w:val="0D382773"/>
    <w:rsid w:val="0D4475BF"/>
    <w:rsid w:val="0D5E30B5"/>
    <w:rsid w:val="0D6F7360"/>
    <w:rsid w:val="0D93771F"/>
    <w:rsid w:val="0DAC76E6"/>
    <w:rsid w:val="0DAD42D5"/>
    <w:rsid w:val="0DEA58D2"/>
    <w:rsid w:val="0DFC62E5"/>
    <w:rsid w:val="0E1B28BA"/>
    <w:rsid w:val="0E2675D3"/>
    <w:rsid w:val="0EAC34B8"/>
    <w:rsid w:val="0EAF0884"/>
    <w:rsid w:val="0EB30B66"/>
    <w:rsid w:val="0EBC6B1E"/>
    <w:rsid w:val="0EE74A8B"/>
    <w:rsid w:val="0F345441"/>
    <w:rsid w:val="0F6549CB"/>
    <w:rsid w:val="0F71405F"/>
    <w:rsid w:val="0F9F480D"/>
    <w:rsid w:val="0FA84F58"/>
    <w:rsid w:val="0FBC0249"/>
    <w:rsid w:val="1013094A"/>
    <w:rsid w:val="103C3548"/>
    <w:rsid w:val="10460BF5"/>
    <w:rsid w:val="108924E2"/>
    <w:rsid w:val="10DD184C"/>
    <w:rsid w:val="10F61B2E"/>
    <w:rsid w:val="110139BD"/>
    <w:rsid w:val="11194D5A"/>
    <w:rsid w:val="111B184A"/>
    <w:rsid w:val="11544E05"/>
    <w:rsid w:val="117A368D"/>
    <w:rsid w:val="11896BFB"/>
    <w:rsid w:val="11AB1F67"/>
    <w:rsid w:val="11D610CD"/>
    <w:rsid w:val="11E657BE"/>
    <w:rsid w:val="121362D3"/>
    <w:rsid w:val="121747EB"/>
    <w:rsid w:val="121E7D2B"/>
    <w:rsid w:val="12B67BBE"/>
    <w:rsid w:val="12B775A9"/>
    <w:rsid w:val="12BF7007"/>
    <w:rsid w:val="12CA66E6"/>
    <w:rsid w:val="12F17074"/>
    <w:rsid w:val="13031650"/>
    <w:rsid w:val="130A1147"/>
    <w:rsid w:val="13376DA5"/>
    <w:rsid w:val="13391420"/>
    <w:rsid w:val="133E7842"/>
    <w:rsid w:val="13593CE8"/>
    <w:rsid w:val="137C3453"/>
    <w:rsid w:val="13B32DA5"/>
    <w:rsid w:val="13CF27CD"/>
    <w:rsid w:val="13D043D5"/>
    <w:rsid w:val="13D42A11"/>
    <w:rsid w:val="13E415FB"/>
    <w:rsid w:val="13F14EBE"/>
    <w:rsid w:val="13FF2024"/>
    <w:rsid w:val="14001797"/>
    <w:rsid w:val="14036F12"/>
    <w:rsid w:val="141739AB"/>
    <w:rsid w:val="143946FF"/>
    <w:rsid w:val="1445238A"/>
    <w:rsid w:val="14502A49"/>
    <w:rsid w:val="14554B7E"/>
    <w:rsid w:val="14590305"/>
    <w:rsid w:val="14691E73"/>
    <w:rsid w:val="149B68B7"/>
    <w:rsid w:val="14BC6E56"/>
    <w:rsid w:val="14C06668"/>
    <w:rsid w:val="14F077D0"/>
    <w:rsid w:val="14F314FA"/>
    <w:rsid w:val="14F370C3"/>
    <w:rsid w:val="14F41F56"/>
    <w:rsid w:val="14FB272C"/>
    <w:rsid w:val="15146E6E"/>
    <w:rsid w:val="1563133D"/>
    <w:rsid w:val="157B2FA0"/>
    <w:rsid w:val="15B33B2B"/>
    <w:rsid w:val="15B667DA"/>
    <w:rsid w:val="15CB4293"/>
    <w:rsid w:val="15E6176B"/>
    <w:rsid w:val="15F07CF3"/>
    <w:rsid w:val="15FF0C79"/>
    <w:rsid w:val="160F12FE"/>
    <w:rsid w:val="16157373"/>
    <w:rsid w:val="161B1288"/>
    <w:rsid w:val="162752CA"/>
    <w:rsid w:val="163A7928"/>
    <w:rsid w:val="16415E7F"/>
    <w:rsid w:val="16435C24"/>
    <w:rsid w:val="164C2C25"/>
    <w:rsid w:val="166A0DD4"/>
    <w:rsid w:val="1672235B"/>
    <w:rsid w:val="16910680"/>
    <w:rsid w:val="16A61C09"/>
    <w:rsid w:val="16AC7DDF"/>
    <w:rsid w:val="16D04A10"/>
    <w:rsid w:val="16DF639A"/>
    <w:rsid w:val="173C6E9B"/>
    <w:rsid w:val="173D4557"/>
    <w:rsid w:val="175204B8"/>
    <w:rsid w:val="17575475"/>
    <w:rsid w:val="175D07E3"/>
    <w:rsid w:val="17906B8E"/>
    <w:rsid w:val="17D57AD4"/>
    <w:rsid w:val="17FF1CD2"/>
    <w:rsid w:val="18131E57"/>
    <w:rsid w:val="18146B6E"/>
    <w:rsid w:val="18524718"/>
    <w:rsid w:val="18543C3E"/>
    <w:rsid w:val="18546A3A"/>
    <w:rsid w:val="1863057F"/>
    <w:rsid w:val="18A277D9"/>
    <w:rsid w:val="18AC6343"/>
    <w:rsid w:val="18B06158"/>
    <w:rsid w:val="18C01412"/>
    <w:rsid w:val="18C70CFB"/>
    <w:rsid w:val="18E10011"/>
    <w:rsid w:val="192C3935"/>
    <w:rsid w:val="19336FCB"/>
    <w:rsid w:val="19374631"/>
    <w:rsid w:val="194D47E4"/>
    <w:rsid w:val="19537B7A"/>
    <w:rsid w:val="19745C45"/>
    <w:rsid w:val="19840F45"/>
    <w:rsid w:val="1997587E"/>
    <w:rsid w:val="199D5208"/>
    <w:rsid w:val="19AC6D58"/>
    <w:rsid w:val="19AF5ECC"/>
    <w:rsid w:val="19B34A7E"/>
    <w:rsid w:val="19BF51DB"/>
    <w:rsid w:val="19C91A6D"/>
    <w:rsid w:val="19E20EE9"/>
    <w:rsid w:val="1A00269D"/>
    <w:rsid w:val="1A230C48"/>
    <w:rsid w:val="1A520155"/>
    <w:rsid w:val="1A5E7D1D"/>
    <w:rsid w:val="1A753276"/>
    <w:rsid w:val="1A77699A"/>
    <w:rsid w:val="1A7F60AE"/>
    <w:rsid w:val="1A920462"/>
    <w:rsid w:val="1AA8138A"/>
    <w:rsid w:val="1AC670BF"/>
    <w:rsid w:val="1AE757E0"/>
    <w:rsid w:val="1AEA691D"/>
    <w:rsid w:val="1AF13D8D"/>
    <w:rsid w:val="1B7C3795"/>
    <w:rsid w:val="1B822524"/>
    <w:rsid w:val="1B990889"/>
    <w:rsid w:val="1BA5387B"/>
    <w:rsid w:val="1BFF779B"/>
    <w:rsid w:val="1C062F8F"/>
    <w:rsid w:val="1C104287"/>
    <w:rsid w:val="1C2A7406"/>
    <w:rsid w:val="1C3B34EE"/>
    <w:rsid w:val="1C423E85"/>
    <w:rsid w:val="1C485E19"/>
    <w:rsid w:val="1C577E1E"/>
    <w:rsid w:val="1C782D87"/>
    <w:rsid w:val="1C792DCD"/>
    <w:rsid w:val="1C7E5B3F"/>
    <w:rsid w:val="1C9603EB"/>
    <w:rsid w:val="1CA04379"/>
    <w:rsid w:val="1CA676C3"/>
    <w:rsid w:val="1CED25CA"/>
    <w:rsid w:val="1D0D4BD6"/>
    <w:rsid w:val="1D156781"/>
    <w:rsid w:val="1D1A0728"/>
    <w:rsid w:val="1D254C03"/>
    <w:rsid w:val="1D472520"/>
    <w:rsid w:val="1D68758C"/>
    <w:rsid w:val="1D8F0843"/>
    <w:rsid w:val="1DBF6339"/>
    <w:rsid w:val="1DC256FC"/>
    <w:rsid w:val="1DC74E71"/>
    <w:rsid w:val="1DCA050F"/>
    <w:rsid w:val="1DFE6373"/>
    <w:rsid w:val="1E0C70AB"/>
    <w:rsid w:val="1E1415B0"/>
    <w:rsid w:val="1E236FD8"/>
    <w:rsid w:val="1E2607F0"/>
    <w:rsid w:val="1E363CE1"/>
    <w:rsid w:val="1E367377"/>
    <w:rsid w:val="1E536DBB"/>
    <w:rsid w:val="1E685BF9"/>
    <w:rsid w:val="1E726144"/>
    <w:rsid w:val="1E9470EC"/>
    <w:rsid w:val="1E9631D9"/>
    <w:rsid w:val="1EA32BC4"/>
    <w:rsid w:val="1EFE4276"/>
    <w:rsid w:val="1EFF203E"/>
    <w:rsid w:val="1F29072A"/>
    <w:rsid w:val="1F3F0233"/>
    <w:rsid w:val="1F5E6ACB"/>
    <w:rsid w:val="1F6A024D"/>
    <w:rsid w:val="1F86464B"/>
    <w:rsid w:val="1F89248C"/>
    <w:rsid w:val="1F9C659F"/>
    <w:rsid w:val="1FC057AC"/>
    <w:rsid w:val="1FFF635D"/>
    <w:rsid w:val="201D008F"/>
    <w:rsid w:val="203412A2"/>
    <w:rsid w:val="203B68A2"/>
    <w:rsid w:val="205839AC"/>
    <w:rsid w:val="205F795E"/>
    <w:rsid w:val="20744A9D"/>
    <w:rsid w:val="20B94A30"/>
    <w:rsid w:val="20C00643"/>
    <w:rsid w:val="20D92A57"/>
    <w:rsid w:val="20EB4161"/>
    <w:rsid w:val="20F30A2C"/>
    <w:rsid w:val="211256A4"/>
    <w:rsid w:val="21207A2D"/>
    <w:rsid w:val="216850AE"/>
    <w:rsid w:val="21941FAC"/>
    <w:rsid w:val="219B328C"/>
    <w:rsid w:val="21AE6E3F"/>
    <w:rsid w:val="21B20D88"/>
    <w:rsid w:val="21C211BA"/>
    <w:rsid w:val="21CA41D7"/>
    <w:rsid w:val="21FE603D"/>
    <w:rsid w:val="22132A7B"/>
    <w:rsid w:val="2241584B"/>
    <w:rsid w:val="224B6192"/>
    <w:rsid w:val="224C5B99"/>
    <w:rsid w:val="226A28B4"/>
    <w:rsid w:val="229C15B2"/>
    <w:rsid w:val="229F7255"/>
    <w:rsid w:val="230777C6"/>
    <w:rsid w:val="230D363D"/>
    <w:rsid w:val="23161FA4"/>
    <w:rsid w:val="23475C3D"/>
    <w:rsid w:val="235365B8"/>
    <w:rsid w:val="236B0511"/>
    <w:rsid w:val="23743CF6"/>
    <w:rsid w:val="23795ADD"/>
    <w:rsid w:val="2391449E"/>
    <w:rsid w:val="23D92942"/>
    <w:rsid w:val="24250A8A"/>
    <w:rsid w:val="242B6430"/>
    <w:rsid w:val="245A713C"/>
    <w:rsid w:val="24922964"/>
    <w:rsid w:val="24FA4252"/>
    <w:rsid w:val="250748F6"/>
    <w:rsid w:val="25670728"/>
    <w:rsid w:val="25C24C30"/>
    <w:rsid w:val="25C507C2"/>
    <w:rsid w:val="261922F2"/>
    <w:rsid w:val="261C13A1"/>
    <w:rsid w:val="268F662E"/>
    <w:rsid w:val="26A62A26"/>
    <w:rsid w:val="26AC2E71"/>
    <w:rsid w:val="26B16E31"/>
    <w:rsid w:val="26BD4847"/>
    <w:rsid w:val="26CA649F"/>
    <w:rsid w:val="26D1336B"/>
    <w:rsid w:val="270349A3"/>
    <w:rsid w:val="270F6E71"/>
    <w:rsid w:val="271220BA"/>
    <w:rsid w:val="273F6FDB"/>
    <w:rsid w:val="27464A17"/>
    <w:rsid w:val="277764CC"/>
    <w:rsid w:val="27876177"/>
    <w:rsid w:val="27AA5687"/>
    <w:rsid w:val="27B52F3D"/>
    <w:rsid w:val="27CF2AD9"/>
    <w:rsid w:val="27FB7CD5"/>
    <w:rsid w:val="28250CF5"/>
    <w:rsid w:val="28416686"/>
    <w:rsid w:val="28594C1F"/>
    <w:rsid w:val="28763364"/>
    <w:rsid w:val="28802465"/>
    <w:rsid w:val="2883604C"/>
    <w:rsid w:val="288D6EBC"/>
    <w:rsid w:val="289008B5"/>
    <w:rsid w:val="28A55BFA"/>
    <w:rsid w:val="28D31431"/>
    <w:rsid w:val="28EC0D3E"/>
    <w:rsid w:val="28FC59CF"/>
    <w:rsid w:val="29215EE6"/>
    <w:rsid w:val="29260ACF"/>
    <w:rsid w:val="292B6E90"/>
    <w:rsid w:val="294A02C1"/>
    <w:rsid w:val="29626E5F"/>
    <w:rsid w:val="29C12A5E"/>
    <w:rsid w:val="29CC0F40"/>
    <w:rsid w:val="29D448C8"/>
    <w:rsid w:val="29D87B2A"/>
    <w:rsid w:val="29DB25DA"/>
    <w:rsid w:val="29E568E6"/>
    <w:rsid w:val="2A394AC0"/>
    <w:rsid w:val="2A4F4C8D"/>
    <w:rsid w:val="2A69740D"/>
    <w:rsid w:val="2A812DB4"/>
    <w:rsid w:val="2A9054CE"/>
    <w:rsid w:val="2A924D8B"/>
    <w:rsid w:val="2AAD4703"/>
    <w:rsid w:val="2AF6363D"/>
    <w:rsid w:val="2B0F39CE"/>
    <w:rsid w:val="2B1A578F"/>
    <w:rsid w:val="2B55458E"/>
    <w:rsid w:val="2B5B4796"/>
    <w:rsid w:val="2B667F2C"/>
    <w:rsid w:val="2B7A7E37"/>
    <w:rsid w:val="2B7B29F7"/>
    <w:rsid w:val="2B812F52"/>
    <w:rsid w:val="2B8A17B9"/>
    <w:rsid w:val="2B9019E2"/>
    <w:rsid w:val="2B9B1247"/>
    <w:rsid w:val="2BBE3A02"/>
    <w:rsid w:val="2BFA388B"/>
    <w:rsid w:val="2C060B83"/>
    <w:rsid w:val="2C173DEE"/>
    <w:rsid w:val="2C50510C"/>
    <w:rsid w:val="2C5E137D"/>
    <w:rsid w:val="2C655154"/>
    <w:rsid w:val="2CAA2BDB"/>
    <w:rsid w:val="2CE71BED"/>
    <w:rsid w:val="2CF02B6C"/>
    <w:rsid w:val="2D2A19FE"/>
    <w:rsid w:val="2D640572"/>
    <w:rsid w:val="2D8E5231"/>
    <w:rsid w:val="2DAD5599"/>
    <w:rsid w:val="2DBA1100"/>
    <w:rsid w:val="2DBA5F98"/>
    <w:rsid w:val="2E070E87"/>
    <w:rsid w:val="2E135711"/>
    <w:rsid w:val="2E1A1B60"/>
    <w:rsid w:val="2E1D24B5"/>
    <w:rsid w:val="2E50675B"/>
    <w:rsid w:val="2E626D67"/>
    <w:rsid w:val="2E743730"/>
    <w:rsid w:val="2E90006C"/>
    <w:rsid w:val="2EA11CB7"/>
    <w:rsid w:val="2EB462F0"/>
    <w:rsid w:val="2EC63EFC"/>
    <w:rsid w:val="2EDE07D3"/>
    <w:rsid w:val="2EF23E35"/>
    <w:rsid w:val="2F193EAC"/>
    <w:rsid w:val="2F1F5B9D"/>
    <w:rsid w:val="2F21318C"/>
    <w:rsid w:val="2F242FBE"/>
    <w:rsid w:val="2F284583"/>
    <w:rsid w:val="2F300809"/>
    <w:rsid w:val="2FAD65B3"/>
    <w:rsid w:val="2FB4239D"/>
    <w:rsid w:val="2FB54A23"/>
    <w:rsid w:val="2FB86CA4"/>
    <w:rsid w:val="2FC564ED"/>
    <w:rsid w:val="2FD43493"/>
    <w:rsid w:val="300D6BA3"/>
    <w:rsid w:val="30261028"/>
    <w:rsid w:val="303270CD"/>
    <w:rsid w:val="30381DBB"/>
    <w:rsid w:val="30411E5C"/>
    <w:rsid w:val="30944279"/>
    <w:rsid w:val="30D53B8A"/>
    <w:rsid w:val="30D57074"/>
    <w:rsid w:val="30DA656C"/>
    <w:rsid w:val="30F051DE"/>
    <w:rsid w:val="30F57480"/>
    <w:rsid w:val="30FA403F"/>
    <w:rsid w:val="31026A42"/>
    <w:rsid w:val="310842B2"/>
    <w:rsid w:val="312C30E2"/>
    <w:rsid w:val="313359AA"/>
    <w:rsid w:val="3135682D"/>
    <w:rsid w:val="315122DE"/>
    <w:rsid w:val="316D5FDD"/>
    <w:rsid w:val="31A06D60"/>
    <w:rsid w:val="31B017C1"/>
    <w:rsid w:val="31B8566B"/>
    <w:rsid w:val="31C06E0A"/>
    <w:rsid w:val="31CB1147"/>
    <w:rsid w:val="31F12F64"/>
    <w:rsid w:val="31F45E1B"/>
    <w:rsid w:val="32013CAA"/>
    <w:rsid w:val="32364E43"/>
    <w:rsid w:val="323C1C7E"/>
    <w:rsid w:val="325E6366"/>
    <w:rsid w:val="32A9504B"/>
    <w:rsid w:val="32AD18DF"/>
    <w:rsid w:val="32B12B31"/>
    <w:rsid w:val="32BE1AB2"/>
    <w:rsid w:val="32E64B2C"/>
    <w:rsid w:val="330B6C29"/>
    <w:rsid w:val="330E0DC5"/>
    <w:rsid w:val="336E3F3A"/>
    <w:rsid w:val="337621A7"/>
    <w:rsid w:val="33832FD1"/>
    <w:rsid w:val="33B4298C"/>
    <w:rsid w:val="33F32C7C"/>
    <w:rsid w:val="343846C9"/>
    <w:rsid w:val="34A30CB3"/>
    <w:rsid w:val="34AE411D"/>
    <w:rsid w:val="34C36B83"/>
    <w:rsid w:val="34DB644C"/>
    <w:rsid w:val="34EC43A6"/>
    <w:rsid w:val="34ED2AD3"/>
    <w:rsid w:val="3520176B"/>
    <w:rsid w:val="3529437B"/>
    <w:rsid w:val="352D207D"/>
    <w:rsid w:val="35651FC5"/>
    <w:rsid w:val="356824D6"/>
    <w:rsid w:val="356971A9"/>
    <w:rsid w:val="359118A9"/>
    <w:rsid w:val="35BD428C"/>
    <w:rsid w:val="35C512CF"/>
    <w:rsid w:val="35CD6ACE"/>
    <w:rsid w:val="3609549A"/>
    <w:rsid w:val="36290AA7"/>
    <w:rsid w:val="3648328D"/>
    <w:rsid w:val="36723C5D"/>
    <w:rsid w:val="369A666F"/>
    <w:rsid w:val="36A33E08"/>
    <w:rsid w:val="36BC3D35"/>
    <w:rsid w:val="36C03C37"/>
    <w:rsid w:val="36C93444"/>
    <w:rsid w:val="36D800D9"/>
    <w:rsid w:val="36D9704B"/>
    <w:rsid w:val="36DC3D07"/>
    <w:rsid w:val="372615BA"/>
    <w:rsid w:val="37301A5F"/>
    <w:rsid w:val="37385A1A"/>
    <w:rsid w:val="3746132E"/>
    <w:rsid w:val="37541A77"/>
    <w:rsid w:val="376E04B5"/>
    <w:rsid w:val="37822A35"/>
    <w:rsid w:val="37884004"/>
    <w:rsid w:val="379C5FE5"/>
    <w:rsid w:val="379D29E9"/>
    <w:rsid w:val="37B33C56"/>
    <w:rsid w:val="37EE5FDC"/>
    <w:rsid w:val="38033766"/>
    <w:rsid w:val="38217885"/>
    <w:rsid w:val="383133EB"/>
    <w:rsid w:val="38327D02"/>
    <w:rsid w:val="38430098"/>
    <w:rsid w:val="38474AFC"/>
    <w:rsid w:val="386E38D8"/>
    <w:rsid w:val="388137F4"/>
    <w:rsid w:val="38E97FF3"/>
    <w:rsid w:val="38F0307F"/>
    <w:rsid w:val="39140337"/>
    <w:rsid w:val="393322E0"/>
    <w:rsid w:val="393C473E"/>
    <w:rsid w:val="3946309B"/>
    <w:rsid w:val="39525BF7"/>
    <w:rsid w:val="39782C52"/>
    <w:rsid w:val="39837682"/>
    <w:rsid w:val="398D1C7A"/>
    <w:rsid w:val="39975F40"/>
    <w:rsid w:val="39AF44C2"/>
    <w:rsid w:val="39C35159"/>
    <w:rsid w:val="39CF79B7"/>
    <w:rsid w:val="39E0538F"/>
    <w:rsid w:val="39E42F7D"/>
    <w:rsid w:val="39E71CB3"/>
    <w:rsid w:val="39EC38FE"/>
    <w:rsid w:val="3A0752AF"/>
    <w:rsid w:val="3A397699"/>
    <w:rsid w:val="3A522D3B"/>
    <w:rsid w:val="3B026D76"/>
    <w:rsid w:val="3B160EDD"/>
    <w:rsid w:val="3B3D7F89"/>
    <w:rsid w:val="3B58491B"/>
    <w:rsid w:val="3B674F68"/>
    <w:rsid w:val="3B6C3DE6"/>
    <w:rsid w:val="3B745F2B"/>
    <w:rsid w:val="3B7E1320"/>
    <w:rsid w:val="3BC77BF0"/>
    <w:rsid w:val="3BD36916"/>
    <w:rsid w:val="3C201CCB"/>
    <w:rsid w:val="3C2651F2"/>
    <w:rsid w:val="3C42781E"/>
    <w:rsid w:val="3C74672A"/>
    <w:rsid w:val="3CAB612E"/>
    <w:rsid w:val="3CBD3E93"/>
    <w:rsid w:val="3CC37BDE"/>
    <w:rsid w:val="3CD108DF"/>
    <w:rsid w:val="3CDD5BA3"/>
    <w:rsid w:val="3CE61D26"/>
    <w:rsid w:val="3CE72BA3"/>
    <w:rsid w:val="3D111341"/>
    <w:rsid w:val="3D17446B"/>
    <w:rsid w:val="3D4F2436"/>
    <w:rsid w:val="3D525030"/>
    <w:rsid w:val="3D6D418C"/>
    <w:rsid w:val="3D841344"/>
    <w:rsid w:val="3D9C1900"/>
    <w:rsid w:val="3DB001DB"/>
    <w:rsid w:val="3DB102F5"/>
    <w:rsid w:val="3DC23BDC"/>
    <w:rsid w:val="3DCD38B6"/>
    <w:rsid w:val="3DD678B6"/>
    <w:rsid w:val="3DD7671F"/>
    <w:rsid w:val="3DE211AF"/>
    <w:rsid w:val="3DFD7334"/>
    <w:rsid w:val="3E29186A"/>
    <w:rsid w:val="3E3650F6"/>
    <w:rsid w:val="3E58108E"/>
    <w:rsid w:val="3E586270"/>
    <w:rsid w:val="3E775365"/>
    <w:rsid w:val="3E8E388E"/>
    <w:rsid w:val="3EAA74CE"/>
    <w:rsid w:val="3EBE3638"/>
    <w:rsid w:val="3EC50E6E"/>
    <w:rsid w:val="3EC95765"/>
    <w:rsid w:val="3F245C82"/>
    <w:rsid w:val="3F2D3543"/>
    <w:rsid w:val="3F3C73A6"/>
    <w:rsid w:val="3F5764B2"/>
    <w:rsid w:val="3F7E684C"/>
    <w:rsid w:val="3F8941E8"/>
    <w:rsid w:val="3F9A5619"/>
    <w:rsid w:val="3FB7571F"/>
    <w:rsid w:val="3FC57745"/>
    <w:rsid w:val="3FEE4F15"/>
    <w:rsid w:val="40007DCC"/>
    <w:rsid w:val="400573B9"/>
    <w:rsid w:val="403120AB"/>
    <w:rsid w:val="4039685D"/>
    <w:rsid w:val="403A6214"/>
    <w:rsid w:val="405D69CA"/>
    <w:rsid w:val="405F3C2C"/>
    <w:rsid w:val="40A41F9A"/>
    <w:rsid w:val="40CE3F2E"/>
    <w:rsid w:val="40EC1657"/>
    <w:rsid w:val="40F551A4"/>
    <w:rsid w:val="41073EAD"/>
    <w:rsid w:val="412F09F3"/>
    <w:rsid w:val="41387331"/>
    <w:rsid w:val="41405B52"/>
    <w:rsid w:val="414B7379"/>
    <w:rsid w:val="415F7BF4"/>
    <w:rsid w:val="418B5243"/>
    <w:rsid w:val="419A1B00"/>
    <w:rsid w:val="41DD3E7A"/>
    <w:rsid w:val="41F51A24"/>
    <w:rsid w:val="41FD6A6A"/>
    <w:rsid w:val="421D7727"/>
    <w:rsid w:val="42285947"/>
    <w:rsid w:val="4232286D"/>
    <w:rsid w:val="42330198"/>
    <w:rsid w:val="424C7C96"/>
    <w:rsid w:val="425A3F06"/>
    <w:rsid w:val="426E7BEC"/>
    <w:rsid w:val="42717C3E"/>
    <w:rsid w:val="42773867"/>
    <w:rsid w:val="427A5B30"/>
    <w:rsid w:val="429572AA"/>
    <w:rsid w:val="42AF3242"/>
    <w:rsid w:val="42DF7FD9"/>
    <w:rsid w:val="43284C46"/>
    <w:rsid w:val="4355711A"/>
    <w:rsid w:val="435A5369"/>
    <w:rsid w:val="435E4BA1"/>
    <w:rsid w:val="437F29AA"/>
    <w:rsid w:val="438C5CA9"/>
    <w:rsid w:val="43BD63F6"/>
    <w:rsid w:val="44130BAF"/>
    <w:rsid w:val="44466D27"/>
    <w:rsid w:val="44594BDC"/>
    <w:rsid w:val="4478196B"/>
    <w:rsid w:val="44840C4A"/>
    <w:rsid w:val="448B3668"/>
    <w:rsid w:val="448D3AF3"/>
    <w:rsid w:val="44954F6A"/>
    <w:rsid w:val="4497606C"/>
    <w:rsid w:val="44AF17D6"/>
    <w:rsid w:val="44D17BA8"/>
    <w:rsid w:val="44F46446"/>
    <w:rsid w:val="450C2C8E"/>
    <w:rsid w:val="45196031"/>
    <w:rsid w:val="451A1931"/>
    <w:rsid w:val="45840488"/>
    <w:rsid w:val="45CA6327"/>
    <w:rsid w:val="45E963A6"/>
    <w:rsid w:val="45EC43D2"/>
    <w:rsid w:val="45F46709"/>
    <w:rsid w:val="45F93B27"/>
    <w:rsid w:val="464E1B5F"/>
    <w:rsid w:val="465E3AFF"/>
    <w:rsid w:val="46690185"/>
    <w:rsid w:val="4681007D"/>
    <w:rsid w:val="468A2074"/>
    <w:rsid w:val="46990ACE"/>
    <w:rsid w:val="46BD06E1"/>
    <w:rsid w:val="46D06B42"/>
    <w:rsid w:val="46F336AD"/>
    <w:rsid w:val="47326BE3"/>
    <w:rsid w:val="475E0936"/>
    <w:rsid w:val="476C7C97"/>
    <w:rsid w:val="47AC3AD4"/>
    <w:rsid w:val="47BC67A4"/>
    <w:rsid w:val="47E06F65"/>
    <w:rsid w:val="48031C36"/>
    <w:rsid w:val="48836008"/>
    <w:rsid w:val="48857CA8"/>
    <w:rsid w:val="489D2B94"/>
    <w:rsid w:val="48A1103E"/>
    <w:rsid w:val="491039D2"/>
    <w:rsid w:val="491B2B46"/>
    <w:rsid w:val="493D0E27"/>
    <w:rsid w:val="496B4436"/>
    <w:rsid w:val="49914D9E"/>
    <w:rsid w:val="49B04C45"/>
    <w:rsid w:val="49C00ECD"/>
    <w:rsid w:val="49CD4A8B"/>
    <w:rsid w:val="49EF10ED"/>
    <w:rsid w:val="4A064C4A"/>
    <w:rsid w:val="4A0866B1"/>
    <w:rsid w:val="4A162D11"/>
    <w:rsid w:val="4A2F023C"/>
    <w:rsid w:val="4A501D78"/>
    <w:rsid w:val="4A5F7549"/>
    <w:rsid w:val="4A722339"/>
    <w:rsid w:val="4A7C0C95"/>
    <w:rsid w:val="4A80338F"/>
    <w:rsid w:val="4A977AD6"/>
    <w:rsid w:val="4AC6359C"/>
    <w:rsid w:val="4AEE06AC"/>
    <w:rsid w:val="4AF857AC"/>
    <w:rsid w:val="4B064D15"/>
    <w:rsid w:val="4B137329"/>
    <w:rsid w:val="4B393FE5"/>
    <w:rsid w:val="4B4203C2"/>
    <w:rsid w:val="4B676CD7"/>
    <w:rsid w:val="4B6A5F93"/>
    <w:rsid w:val="4B72359A"/>
    <w:rsid w:val="4B733CAB"/>
    <w:rsid w:val="4B914032"/>
    <w:rsid w:val="4B9D3CEF"/>
    <w:rsid w:val="4BCF04DE"/>
    <w:rsid w:val="4BD87503"/>
    <w:rsid w:val="4BE70ECE"/>
    <w:rsid w:val="4BEB16F5"/>
    <w:rsid w:val="4BFA0F3B"/>
    <w:rsid w:val="4C0F7FFE"/>
    <w:rsid w:val="4C1C621F"/>
    <w:rsid w:val="4C27355E"/>
    <w:rsid w:val="4C316993"/>
    <w:rsid w:val="4C4843F7"/>
    <w:rsid w:val="4C5E0468"/>
    <w:rsid w:val="4C77293E"/>
    <w:rsid w:val="4C8717FD"/>
    <w:rsid w:val="4C9437E4"/>
    <w:rsid w:val="4C9C1CBC"/>
    <w:rsid w:val="4CA6442E"/>
    <w:rsid w:val="4CBD1D12"/>
    <w:rsid w:val="4CDB19CC"/>
    <w:rsid w:val="4CE65042"/>
    <w:rsid w:val="4CF9308E"/>
    <w:rsid w:val="4D1668D2"/>
    <w:rsid w:val="4D3269E6"/>
    <w:rsid w:val="4D561CAF"/>
    <w:rsid w:val="4D5B4947"/>
    <w:rsid w:val="4D872BEC"/>
    <w:rsid w:val="4D94132D"/>
    <w:rsid w:val="4DA57D1A"/>
    <w:rsid w:val="4DAC61F5"/>
    <w:rsid w:val="4DB44133"/>
    <w:rsid w:val="4DEE567F"/>
    <w:rsid w:val="4DFA0737"/>
    <w:rsid w:val="4DFB79B7"/>
    <w:rsid w:val="4E0A7B11"/>
    <w:rsid w:val="4E0C16B8"/>
    <w:rsid w:val="4E306B62"/>
    <w:rsid w:val="4E4C6024"/>
    <w:rsid w:val="4EC3745E"/>
    <w:rsid w:val="4ED75E06"/>
    <w:rsid w:val="4EF63272"/>
    <w:rsid w:val="4EF913CE"/>
    <w:rsid w:val="4F0F1DF0"/>
    <w:rsid w:val="4F41559D"/>
    <w:rsid w:val="4F7C0525"/>
    <w:rsid w:val="4F994583"/>
    <w:rsid w:val="4F9F588C"/>
    <w:rsid w:val="4FA76144"/>
    <w:rsid w:val="4FB75C08"/>
    <w:rsid w:val="506A755E"/>
    <w:rsid w:val="506B66CD"/>
    <w:rsid w:val="50761B7F"/>
    <w:rsid w:val="507736AB"/>
    <w:rsid w:val="50D6299F"/>
    <w:rsid w:val="51044B95"/>
    <w:rsid w:val="511D451E"/>
    <w:rsid w:val="512D2FE2"/>
    <w:rsid w:val="514E5CA7"/>
    <w:rsid w:val="51536B74"/>
    <w:rsid w:val="51565F29"/>
    <w:rsid w:val="517C026E"/>
    <w:rsid w:val="51A84509"/>
    <w:rsid w:val="51B10DBB"/>
    <w:rsid w:val="51C020AD"/>
    <w:rsid w:val="51F47017"/>
    <w:rsid w:val="52086329"/>
    <w:rsid w:val="524415AC"/>
    <w:rsid w:val="5272004E"/>
    <w:rsid w:val="527C2892"/>
    <w:rsid w:val="529B54A8"/>
    <w:rsid w:val="53081564"/>
    <w:rsid w:val="534D5DE1"/>
    <w:rsid w:val="5353015F"/>
    <w:rsid w:val="53882028"/>
    <w:rsid w:val="53936CE4"/>
    <w:rsid w:val="53A93B03"/>
    <w:rsid w:val="53B23F36"/>
    <w:rsid w:val="53C114F2"/>
    <w:rsid w:val="53D9779D"/>
    <w:rsid w:val="54437C70"/>
    <w:rsid w:val="54596915"/>
    <w:rsid w:val="549F75AD"/>
    <w:rsid w:val="54A3682A"/>
    <w:rsid w:val="54D05417"/>
    <w:rsid w:val="55101933"/>
    <w:rsid w:val="553E0877"/>
    <w:rsid w:val="553E5FB3"/>
    <w:rsid w:val="55425F1D"/>
    <w:rsid w:val="55532D1F"/>
    <w:rsid w:val="555667EF"/>
    <w:rsid w:val="55625AB9"/>
    <w:rsid w:val="55C67728"/>
    <w:rsid w:val="55D03335"/>
    <w:rsid w:val="55D52369"/>
    <w:rsid w:val="55D86705"/>
    <w:rsid w:val="560A39A0"/>
    <w:rsid w:val="56334CBE"/>
    <w:rsid w:val="5636581D"/>
    <w:rsid w:val="563D6684"/>
    <w:rsid w:val="564C2ADF"/>
    <w:rsid w:val="565014A8"/>
    <w:rsid w:val="56775A7E"/>
    <w:rsid w:val="56892E92"/>
    <w:rsid w:val="569C7C07"/>
    <w:rsid w:val="56A52324"/>
    <w:rsid w:val="56AD5A38"/>
    <w:rsid w:val="56BC07F7"/>
    <w:rsid w:val="56C06EF3"/>
    <w:rsid w:val="56CF6C02"/>
    <w:rsid w:val="57174CE8"/>
    <w:rsid w:val="5735682A"/>
    <w:rsid w:val="574261D2"/>
    <w:rsid w:val="578179E2"/>
    <w:rsid w:val="5791657B"/>
    <w:rsid w:val="57957CE5"/>
    <w:rsid w:val="57A43C12"/>
    <w:rsid w:val="57A81087"/>
    <w:rsid w:val="57AB131A"/>
    <w:rsid w:val="57D668CB"/>
    <w:rsid w:val="57F00B07"/>
    <w:rsid w:val="58191A3E"/>
    <w:rsid w:val="581D2820"/>
    <w:rsid w:val="581F6C03"/>
    <w:rsid w:val="58826274"/>
    <w:rsid w:val="58BC47C1"/>
    <w:rsid w:val="58D52963"/>
    <w:rsid w:val="58EA7442"/>
    <w:rsid w:val="58FF5DE8"/>
    <w:rsid w:val="59081E58"/>
    <w:rsid w:val="5933458D"/>
    <w:rsid w:val="593F0A60"/>
    <w:rsid w:val="594D733D"/>
    <w:rsid w:val="595E31D6"/>
    <w:rsid w:val="59761A44"/>
    <w:rsid w:val="598E7A1B"/>
    <w:rsid w:val="59F06910"/>
    <w:rsid w:val="59F831D0"/>
    <w:rsid w:val="59FD4AC9"/>
    <w:rsid w:val="5A145D70"/>
    <w:rsid w:val="5A4F6277"/>
    <w:rsid w:val="5A571646"/>
    <w:rsid w:val="5AAA2E0E"/>
    <w:rsid w:val="5AB57651"/>
    <w:rsid w:val="5ABA701D"/>
    <w:rsid w:val="5AC54B35"/>
    <w:rsid w:val="5AF553AE"/>
    <w:rsid w:val="5AF86318"/>
    <w:rsid w:val="5AFF66A2"/>
    <w:rsid w:val="5B02425E"/>
    <w:rsid w:val="5B1817C5"/>
    <w:rsid w:val="5B26515D"/>
    <w:rsid w:val="5B741801"/>
    <w:rsid w:val="5BAC047D"/>
    <w:rsid w:val="5BB52240"/>
    <w:rsid w:val="5BCA765F"/>
    <w:rsid w:val="5BD61FDF"/>
    <w:rsid w:val="5BE77638"/>
    <w:rsid w:val="5BE96235"/>
    <w:rsid w:val="5C082F0C"/>
    <w:rsid w:val="5C0B7B92"/>
    <w:rsid w:val="5C10308E"/>
    <w:rsid w:val="5C263B0E"/>
    <w:rsid w:val="5C27603D"/>
    <w:rsid w:val="5C307FDE"/>
    <w:rsid w:val="5C323EA3"/>
    <w:rsid w:val="5C337877"/>
    <w:rsid w:val="5C5711AA"/>
    <w:rsid w:val="5C814277"/>
    <w:rsid w:val="5C92475F"/>
    <w:rsid w:val="5CA63336"/>
    <w:rsid w:val="5CB60BA6"/>
    <w:rsid w:val="5CCB1312"/>
    <w:rsid w:val="5CCC7685"/>
    <w:rsid w:val="5CD22BF4"/>
    <w:rsid w:val="5CDA2765"/>
    <w:rsid w:val="5D15224F"/>
    <w:rsid w:val="5D1871D2"/>
    <w:rsid w:val="5D203878"/>
    <w:rsid w:val="5D2C37C2"/>
    <w:rsid w:val="5D825D63"/>
    <w:rsid w:val="5D8B0A5E"/>
    <w:rsid w:val="5D8C01E7"/>
    <w:rsid w:val="5DB247CF"/>
    <w:rsid w:val="5DBD4E24"/>
    <w:rsid w:val="5DBF6276"/>
    <w:rsid w:val="5DD143CB"/>
    <w:rsid w:val="5DDA2C7E"/>
    <w:rsid w:val="5DEB1B5A"/>
    <w:rsid w:val="5DF30713"/>
    <w:rsid w:val="5E344BD4"/>
    <w:rsid w:val="5E370A52"/>
    <w:rsid w:val="5E7B26DA"/>
    <w:rsid w:val="5EB9593B"/>
    <w:rsid w:val="5ECD2284"/>
    <w:rsid w:val="5EF97BC0"/>
    <w:rsid w:val="5F366EA0"/>
    <w:rsid w:val="5F5A61D7"/>
    <w:rsid w:val="5F684E8A"/>
    <w:rsid w:val="5F6F22F6"/>
    <w:rsid w:val="5F891BB5"/>
    <w:rsid w:val="5FB10D2E"/>
    <w:rsid w:val="5FBA67C8"/>
    <w:rsid w:val="5FC72B2D"/>
    <w:rsid w:val="5FCF7010"/>
    <w:rsid w:val="5FD704FF"/>
    <w:rsid w:val="5FE12C7A"/>
    <w:rsid w:val="5FFA5EFB"/>
    <w:rsid w:val="60500449"/>
    <w:rsid w:val="606B1C82"/>
    <w:rsid w:val="60761DF6"/>
    <w:rsid w:val="607B368A"/>
    <w:rsid w:val="60890F35"/>
    <w:rsid w:val="608C3E4C"/>
    <w:rsid w:val="608F7332"/>
    <w:rsid w:val="60A20322"/>
    <w:rsid w:val="60C03808"/>
    <w:rsid w:val="60E46CBB"/>
    <w:rsid w:val="60F51C18"/>
    <w:rsid w:val="60FF1A52"/>
    <w:rsid w:val="6149347B"/>
    <w:rsid w:val="6151459B"/>
    <w:rsid w:val="617A7D28"/>
    <w:rsid w:val="61C57938"/>
    <w:rsid w:val="61E74689"/>
    <w:rsid w:val="620068E5"/>
    <w:rsid w:val="624B4676"/>
    <w:rsid w:val="625772C6"/>
    <w:rsid w:val="629B1EFE"/>
    <w:rsid w:val="62C009F5"/>
    <w:rsid w:val="62D42090"/>
    <w:rsid w:val="63323236"/>
    <w:rsid w:val="63473574"/>
    <w:rsid w:val="635C4881"/>
    <w:rsid w:val="636030DF"/>
    <w:rsid w:val="63644D51"/>
    <w:rsid w:val="638C2481"/>
    <w:rsid w:val="63913A44"/>
    <w:rsid w:val="63AD4777"/>
    <w:rsid w:val="63B44956"/>
    <w:rsid w:val="63B72B3D"/>
    <w:rsid w:val="63BA1138"/>
    <w:rsid w:val="63D2291F"/>
    <w:rsid w:val="63DB3893"/>
    <w:rsid w:val="6431630E"/>
    <w:rsid w:val="64460E6E"/>
    <w:rsid w:val="645B036B"/>
    <w:rsid w:val="645B7D92"/>
    <w:rsid w:val="64675FB0"/>
    <w:rsid w:val="647305E7"/>
    <w:rsid w:val="64A06247"/>
    <w:rsid w:val="650C4D1A"/>
    <w:rsid w:val="651C7CEF"/>
    <w:rsid w:val="65350EBA"/>
    <w:rsid w:val="6540751F"/>
    <w:rsid w:val="6545295B"/>
    <w:rsid w:val="65577113"/>
    <w:rsid w:val="6598578A"/>
    <w:rsid w:val="659A5E83"/>
    <w:rsid w:val="65AB1C9C"/>
    <w:rsid w:val="65AF1282"/>
    <w:rsid w:val="65DB2673"/>
    <w:rsid w:val="65E97E7B"/>
    <w:rsid w:val="65EC2347"/>
    <w:rsid w:val="660958EA"/>
    <w:rsid w:val="660A2867"/>
    <w:rsid w:val="66345CAA"/>
    <w:rsid w:val="666B11D8"/>
    <w:rsid w:val="66756E82"/>
    <w:rsid w:val="668D1157"/>
    <w:rsid w:val="66D82D60"/>
    <w:rsid w:val="66E75CB9"/>
    <w:rsid w:val="67494D61"/>
    <w:rsid w:val="675773AE"/>
    <w:rsid w:val="676744C9"/>
    <w:rsid w:val="67703ACD"/>
    <w:rsid w:val="678C43E6"/>
    <w:rsid w:val="67A54034"/>
    <w:rsid w:val="67F554AF"/>
    <w:rsid w:val="67F7101F"/>
    <w:rsid w:val="68245162"/>
    <w:rsid w:val="682901A2"/>
    <w:rsid w:val="68426770"/>
    <w:rsid w:val="6846451C"/>
    <w:rsid w:val="68492441"/>
    <w:rsid w:val="688675E1"/>
    <w:rsid w:val="68B26762"/>
    <w:rsid w:val="68C66F1F"/>
    <w:rsid w:val="68E64FA2"/>
    <w:rsid w:val="68EB6E20"/>
    <w:rsid w:val="68EE45E4"/>
    <w:rsid w:val="68F3322A"/>
    <w:rsid w:val="691F2C1D"/>
    <w:rsid w:val="69257A36"/>
    <w:rsid w:val="695679CE"/>
    <w:rsid w:val="69576F98"/>
    <w:rsid w:val="6977750C"/>
    <w:rsid w:val="69A546D5"/>
    <w:rsid w:val="69B6778C"/>
    <w:rsid w:val="69E2534D"/>
    <w:rsid w:val="69F40733"/>
    <w:rsid w:val="69F436CA"/>
    <w:rsid w:val="6A4D4C6A"/>
    <w:rsid w:val="6A633B45"/>
    <w:rsid w:val="6A66149D"/>
    <w:rsid w:val="6A766FE9"/>
    <w:rsid w:val="6AA5759A"/>
    <w:rsid w:val="6ACE4FC3"/>
    <w:rsid w:val="6ACF13B8"/>
    <w:rsid w:val="6B0836F0"/>
    <w:rsid w:val="6B135DAC"/>
    <w:rsid w:val="6B1873B9"/>
    <w:rsid w:val="6B46507F"/>
    <w:rsid w:val="6B567D49"/>
    <w:rsid w:val="6B6944A8"/>
    <w:rsid w:val="6B6B1E65"/>
    <w:rsid w:val="6B844606"/>
    <w:rsid w:val="6BBA7B94"/>
    <w:rsid w:val="6BBC002F"/>
    <w:rsid w:val="6BC00BC5"/>
    <w:rsid w:val="6BC10E80"/>
    <w:rsid w:val="6BD35E14"/>
    <w:rsid w:val="6BD75151"/>
    <w:rsid w:val="6BF51859"/>
    <w:rsid w:val="6C133E47"/>
    <w:rsid w:val="6C1C2866"/>
    <w:rsid w:val="6C3F6279"/>
    <w:rsid w:val="6C483C58"/>
    <w:rsid w:val="6C495423"/>
    <w:rsid w:val="6C716047"/>
    <w:rsid w:val="6C771FD8"/>
    <w:rsid w:val="6C7A5B6B"/>
    <w:rsid w:val="6C8E660A"/>
    <w:rsid w:val="6C9E75D1"/>
    <w:rsid w:val="6CEB40B6"/>
    <w:rsid w:val="6CFD4E50"/>
    <w:rsid w:val="6D037382"/>
    <w:rsid w:val="6D451365"/>
    <w:rsid w:val="6D467259"/>
    <w:rsid w:val="6DAE675E"/>
    <w:rsid w:val="6DB54BA2"/>
    <w:rsid w:val="6DD55A88"/>
    <w:rsid w:val="6DF64B1A"/>
    <w:rsid w:val="6E1C5CAF"/>
    <w:rsid w:val="6E3F604F"/>
    <w:rsid w:val="6E564F37"/>
    <w:rsid w:val="6E7222FF"/>
    <w:rsid w:val="6E7A691B"/>
    <w:rsid w:val="6E9A7C67"/>
    <w:rsid w:val="6EAB677F"/>
    <w:rsid w:val="6EB35DAD"/>
    <w:rsid w:val="6EDA5651"/>
    <w:rsid w:val="6EE80DD1"/>
    <w:rsid w:val="6EF632B8"/>
    <w:rsid w:val="6EF75FE3"/>
    <w:rsid w:val="6F155DF7"/>
    <w:rsid w:val="6F175C71"/>
    <w:rsid w:val="6F591B99"/>
    <w:rsid w:val="6F6802FF"/>
    <w:rsid w:val="6F6B392B"/>
    <w:rsid w:val="6F943BF2"/>
    <w:rsid w:val="6F963740"/>
    <w:rsid w:val="6F9E41B1"/>
    <w:rsid w:val="6FDA0828"/>
    <w:rsid w:val="6FDE2066"/>
    <w:rsid w:val="6FDE521B"/>
    <w:rsid w:val="6FDF6757"/>
    <w:rsid w:val="6FFB1E73"/>
    <w:rsid w:val="702D3593"/>
    <w:rsid w:val="70482218"/>
    <w:rsid w:val="70855D98"/>
    <w:rsid w:val="70AF21E2"/>
    <w:rsid w:val="70C52743"/>
    <w:rsid w:val="70E37B11"/>
    <w:rsid w:val="71292127"/>
    <w:rsid w:val="7131587B"/>
    <w:rsid w:val="713C68C0"/>
    <w:rsid w:val="71436235"/>
    <w:rsid w:val="71441C20"/>
    <w:rsid w:val="714C5816"/>
    <w:rsid w:val="71746BE0"/>
    <w:rsid w:val="71805FD2"/>
    <w:rsid w:val="719C1808"/>
    <w:rsid w:val="71B859BB"/>
    <w:rsid w:val="71D75453"/>
    <w:rsid w:val="71D9738F"/>
    <w:rsid w:val="71F257DC"/>
    <w:rsid w:val="72163579"/>
    <w:rsid w:val="722959E1"/>
    <w:rsid w:val="7257453C"/>
    <w:rsid w:val="725C0410"/>
    <w:rsid w:val="726109AA"/>
    <w:rsid w:val="727436F8"/>
    <w:rsid w:val="72A31A06"/>
    <w:rsid w:val="72CE035B"/>
    <w:rsid w:val="72DF1EB1"/>
    <w:rsid w:val="72E90B49"/>
    <w:rsid w:val="72E9585A"/>
    <w:rsid w:val="73031395"/>
    <w:rsid w:val="732C5088"/>
    <w:rsid w:val="7345352B"/>
    <w:rsid w:val="735053F5"/>
    <w:rsid w:val="7351625D"/>
    <w:rsid w:val="73565AAC"/>
    <w:rsid w:val="73577274"/>
    <w:rsid w:val="73774C0D"/>
    <w:rsid w:val="73830E3F"/>
    <w:rsid w:val="73D4184D"/>
    <w:rsid w:val="74435BD7"/>
    <w:rsid w:val="745C6A3C"/>
    <w:rsid w:val="7469502E"/>
    <w:rsid w:val="74712023"/>
    <w:rsid w:val="748C5F6A"/>
    <w:rsid w:val="749255F0"/>
    <w:rsid w:val="74BA31E9"/>
    <w:rsid w:val="74C64BE1"/>
    <w:rsid w:val="750D7A92"/>
    <w:rsid w:val="752379E4"/>
    <w:rsid w:val="752F3EF0"/>
    <w:rsid w:val="75AD33B4"/>
    <w:rsid w:val="75CA7B31"/>
    <w:rsid w:val="75D51CA1"/>
    <w:rsid w:val="75D60C5B"/>
    <w:rsid w:val="75DA2ADB"/>
    <w:rsid w:val="75ED3202"/>
    <w:rsid w:val="75F4499F"/>
    <w:rsid w:val="760C087F"/>
    <w:rsid w:val="761F144C"/>
    <w:rsid w:val="76283878"/>
    <w:rsid w:val="7653040B"/>
    <w:rsid w:val="766B2C7D"/>
    <w:rsid w:val="76C04029"/>
    <w:rsid w:val="76C4243C"/>
    <w:rsid w:val="76DB23ED"/>
    <w:rsid w:val="76F60A20"/>
    <w:rsid w:val="76FA3754"/>
    <w:rsid w:val="7700031B"/>
    <w:rsid w:val="77117C29"/>
    <w:rsid w:val="77135D8F"/>
    <w:rsid w:val="77170DFA"/>
    <w:rsid w:val="77837DF9"/>
    <w:rsid w:val="778534BA"/>
    <w:rsid w:val="77C46D90"/>
    <w:rsid w:val="77F108D9"/>
    <w:rsid w:val="78491A29"/>
    <w:rsid w:val="784C49C5"/>
    <w:rsid w:val="7860218B"/>
    <w:rsid w:val="78AF7D41"/>
    <w:rsid w:val="78C158B1"/>
    <w:rsid w:val="78CD6F8C"/>
    <w:rsid w:val="78DD3BC8"/>
    <w:rsid w:val="78E956DB"/>
    <w:rsid w:val="78F25504"/>
    <w:rsid w:val="78F733CB"/>
    <w:rsid w:val="793F0DF6"/>
    <w:rsid w:val="79492EC6"/>
    <w:rsid w:val="794F1B24"/>
    <w:rsid w:val="797973EC"/>
    <w:rsid w:val="79B66DD4"/>
    <w:rsid w:val="79BE4870"/>
    <w:rsid w:val="79E21E85"/>
    <w:rsid w:val="79E9064E"/>
    <w:rsid w:val="7A105783"/>
    <w:rsid w:val="7A1423BE"/>
    <w:rsid w:val="7A264925"/>
    <w:rsid w:val="7A302266"/>
    <w:rsid w:val="7A413635"/>
    <w:rsid w:val="7A4553CA"/>
    <w:rsid w:val="7A7B5AE4"/>
    <w:rsid w:val="7A9F0762"/>
    <w:rsid w:val="7AA12AA9"/>
    <w:rsid w:val="7B170A40"/>
    <w:rsid w:val="7B1E65EC"/>
    <w:rsid w:val="7B2B2BD6"/>
    <w:rsid w:val="7B4E023F"/>
    <w:rsid w:val="7B5A52BC"/>
    <w:rsid w:val="7B7537E1"/>
    <w:rsid w:val="7B7B3762"/>
    <w:rsid w:val="7B801402"/>
    <w:rsid w:val="7B934F03"/>
    <w:rsid w:val="7B9A1DC8"/>
    <w:rsid w:val="7BAE3444"/>
    <w:rsid w:val="7C4504EC"/>
    <w:rsid w:val="7C901EEF"/>
    <w:rsid w:val="7D201BBC"/>
    <w:rsid w:val="7D6A4DE4"/>
    <w:rsid w:val="7D883CD9"/>
    <w:rsid w:val="7D9A5ADB"/>
    <w:rsid w:val="7DBF5F33"/>
    <w:rsid w:val="7DE60CE7"/>
    <w:rsid w:val="7DE93D32"/>
    <w:rsid w:val="7DF21982"/>
    <w:rsid w:val="7DFE456A"/>
    <w:rsid w:val="7E0F19AD"/>
    <w:rsid w:val="7E5305E6"/>
    <w:rsid w:val="7E557DB7"/>
    <w:rsid w:val="7E714261"/>
    <w:rsid w:val="7E815271"/>
    <w:rsid w:val="7E91441F"/>
    <w:rsid w:val="7EB90C31"/>
    <w:rsid w:val="7EB93244"/>
    <w:rsid w:val="7EDD0FF7"/>
    <w:rsid w:val="7EF2170E"/>
    <w:rsid w:val="7EF910C2"/>
    <w:rsid w:val="7F1B3DBF"/>
    <w:rsid w:val="7F1B7CBF"/>
    <w:rsid w:val="7F3638DC"/>
    <w:rsid w:val="7F3F23F3"/>
    <w:rsid w:val="7F8548A7"/>
    <w:rsid w:val="7FB82567"/>
    <w:rsid w:val="7FC3232E"/>
    <w:rsid w:val="7FE12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1"/>
    <w:pPr>
      <w:ind w:left="212"/>
      <w:outlineLvl w:val="2"/>
    </w:pPr>
    <w:rPr>
      <w:b/>
      <w:bCs/>
      <w:sz w:val="30"/>
      <w:szCs w:val="30"/>
    </w:rPr>
  </w:style>
  <w:style w:type="paragraph" w:styleId="6">
    <w:name w:val="heading 4"/>
    <w:basedOn w:val="1"/>
    <w:next w:val="1"/>
    <w:qFormat/>
    <w:uiPriority w:val="9"/>
    <w:pPr>
      <w:keepNext/>
      <w:keepLines/>
      <w:widowControl/>
      <w:spacing w:before="120" w:beforeLines="0" w:after="120" w:afterLines="0" w:line="360" w:lineRule="auto"/>
      <w:jc w:val="center"/>
      <w:outlineLvl w:val="3"/>
    </w:pPr>
    <w:rPr>
      <w:rFonts w:eastAsia="Ђˎ̥"/>
      <w:kern w:val="0"/>
      <w:sz w:val="28"/>
      <w:szCs w:val="20"/>
    </w:rPr>
  </w:style>
  <w:style w:type="character" w:default="1" w:styleId="21">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adjustRightInd w:val="0"/>
      <w:spacing w:after="120"/>
      <w:jc w:val="left"/>
    </w:pPr>
    <w:rPr>
      <w:rFonts w:ascii="宋体"/>
      <w:kern w:val="0"/>
      <w:sz w:val="34"/>
      <w:szCs w:val="20"/>
    </w:rPr>
  </w:style>
  <w:style w:type="paragraph" w:styleId="7">
    <w:name w:val="Normal Indent"/>
    <w:basedOn w:val="1"/>
    <w:qFormat/>
    <w:uiPriority w:val="0"/>
    <w:pPr>
      <w:ind w:firstLine="420"/>
    </w:pPr>
    <w:rPr>
      <w:szCs w:val="20"/>
    </w:rPr>
  </w:style>
  <w:style w:type="paragraph" w:styleId="8">
    <w:name w:val="annotation text"/>
    <w:basedOn w:val="1"/>
    <w:qFormat/>
    <w:uiPriority w:val="0"/>
    <w:pPr>
      <w:jc w:val="left"/>
    </w:pPr>
  </w:style>
  <w:style w:type="paragraph" w:styleId="9">
    <w:name w:val="Body Text Indent"/>
    <w:basedOn w:val="1"/>
    <w:next w:val="10"/>
    <w:qFormat/>
    <w:uiPriority w:val="0"/>
    <w:pPr>
      <w:ind w:firstLine="830" w:firstLineChars="352"/>
    </w:pPr>
    <w:rPr>
      <w:rFonts w:ascii="仿宋_GB2312" w:eastAsia="仿宋_GB2312"/>
      <w:sz w:val="32"/>
      <w:szCs w:val="20"/>
    </w:rPr>
  </w:style>
  <w:style w:type="paragraph" w:customStyle="1" w:styleId="10">
    <w:name w:val="目录 42"/>
    <w:next w:val="1"/>
    <w:qFormat/>
    <w:uiPriority w:val="99"/>
    <w:pPr>
      <w:wordWrap w:val="0"/>
      <w:ind w:left="850"/>
      <w:jc w:val="both"/>
    </w:pPr>
    <w:rPr>
      <w:rFonts w:ascii="Times New Roman" w:hAnsi="Times New Roman" w:eastAsia="宋体" w:cs="Times New Roman"/>
      <w:sz w:val="21"/>
      <w:lang w:val="en-US" w:eastAsia="zh-CN" w:bidi="ar-SA"/>
    </w:rPr>
  </w:style>
  <w:style w:type="paragraph" w:styleId="11">
    <w:name w:val="Plain Text"/>
    <w:basedOn w:val="1"/>
    <w:next w:val="12"/>
    <w:qFormat/>
    <w:uiPriority w:val="0"/>
    <w:rPr>
      <w:rFonts w:ascii="宋体" w:hAnsi="Courier New"/>
      <w:szCs w:val="20"/>
    </w:rPr>
  </w:style>
  <w:style w:type="paragraph" w:styleId="12">
    <w:name w:val="Date"/>
    <w:basedOn w:val="1"/>
    <w:next w:val="1"/>
    <w:qFormat/>
    <w:uiPriority w:val="0"/>
    <w:pPr>
      <w:ind w:left="100" w:leftChars="2500"/>
    </w:pPr>
  </w:style>
  <w:style w:type="paragraph" w:styleId="13">
    <w:name w:val="footer"/>
    <w:basedOn w:val="1"/>
    <w:next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99"/>
    <w:pPr>
      <w:spacing w:after="120"/>
      <w:ind w:left="420" w:leftChars="200"/>
    </w:pPr>
    <w:rPr>
      <w:rFonts w:ascii="Times New Roman" w:hAnsi="Times New Roman"/>
      <w:sz w:val="16"/>
      <w:szCs w:val="16"/>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Title"/>
    <w:basedOn w:val="1"/>
    <w:next w:val="1"/>
    <w:qFormat/>
    <w:uiPriority w:val="0"/>
    <w:pPr>
      <w:spacing w:before="240" w:after="60"/>
      <w:jc w:val="center"/>
      <w:outlineLvl w:val="0"/>
    </w:pPr>
    <w:rPr>
      <w:rFonts w:ascii="Cambria" w:hAnsi="Cambria"/>
      <w:b/>
      <w:bCs/>
      <w:sz w:val="32"/>
      <w:szCs w:val="32"/>
    </w:rPr>
  </w:style>
  <w:style w:type="paragraph" w:styleId="18">
    <w:name w:val="Body Text First Indent"/>
    <w:basedOn w:val="2"/>
    <w:qFormat/>
    <w:uiPriority w:val="0"/>
    <w:pPr>
      <w:ind w:firstLine="420" w:firstLineChars="100"/>
    </w:pPr>
    <w:rPr>
      <w:rFonts w:ascii="宋体" w:hAnsi="宋体" w:eastAsia="宋体" w:cs="宋体"/>
    </w:rPr>
  </w:style>
  <w:style w:type="paragraph" w:styleId="19">
    <w:name w:val="Body Text First Indent 2"/>
    <w:basedOn w:val="9"/>
    <w:qFormat/>
    <w:uiPriority w:val="0"/>
    <w:pPr>
      <w:spacing w:after="120"/>
      <w:ind w:left="420" w:firstLine="420"/>
    </w:pPr>
    <w:rPr>
      <w:rFonts w:ascii="Times New Roman" w:hAnsi="Times New Roman"/>
    </w:rPr>
  </w:style>
  <w:style w:type="character" w:styleId="22">
    <w:name w:val="page number"/>
    <w:basedOn w:val="21"/>
    <w:qFormat/>
    <w:uiPriority w:val="0"/>
  </w:style>
  <w:style w:type="character" w:styleId="23">
    <w:name w:val="FollowedHyperlink"/>
    <w:basedOn w:val="21"/>
    <w:qFormat/>
    <w:uiPriority w:val="0"/>
    <w:rPr>
      <w:color w:val="800080"/>
      <w:u w:val="none"/>
    </w:rPr>
  </w:style>
  <w:style w:type="character" w:styleId="24">
    <w:name w:val="Hyperlink"/>
    <w:basedOn w:val="21"/>
    <w:unhideWhenUsed/>
    <w:qFormat/>
    <w:uiPriority w:val="99"/>
    <w:rPr>
      <w:color w:val="333333"/>
      <w:u w:val="none"/>
    </w:r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列出段落1"/>
    <w:basedOn w:val="1"/>
    <w:qFormat/>
    <w:uiPriority w:val="0"/>
    <w:pPr>
      <w:ind w:firstLine="420" w:firstLineChars="200"/>
    </w:pPr>
    <w:rPr>
      <w:rFonts w:ascii="Calibri" w:hAnsi="Calibri"/>
      <w:szCs w:val="22"/>
    </w:rPr>
  </w:style>
  <w:style w:type="paragraph" w:customStyle="1" w:styleId="28">
    <w:name w:val="表格文字"/>
    <w:basedOn w:val="1"/>
    <w:qFormat/>
    <w:uiPriority w:val="99"/>
    <w:pPr>
      <w:spacing w:before="25" w:after="25"/>
      <w:jc w:val="left"/>
    </w:pPr>
    <w:rPr>
      <w:bCs/>
      <w:spacing w:val="10"/>
      <w:kern w:val="0"/>
      <w:sz w:val="24"/>
    </w:rPr>
  </w:style>
  <w:style w:type="paragraph" w:customStyle="1" w:styleId="29">
    <w:name w:val="Table Paragraph"/>
    <w:basedOn w:val="1"/>
    <w:qFormat/>
    <w:uiPriority w:val="1"/>
    <w:rPr>
      <w:rFonts w:ascii="宋体" w:hAnsi="宋体" w:cs="宋体"/>
      <w:lang w:val="zh-CN" w:bidi="zh-CN"/>
    </w:rPr>
  </w:style>
  <w:style w:type="paragraph" w:styleId="30">
    <w:name w:val="List Paragraph"/>
    <w:basedOn w:val="1"/>
    <w:qFormat/>
    <w:uiPriority w:val="34"/>
    <w:pPr>
      <w:ind w:firstLine="420" w:firstLineChars="200"/>
    </w:pPr>
    <w:rPr>
      <w:rFonts w:ascii="Calibri" w:hAnsi="Calibri"/>
      <w:sz w:val="21"/>
      <w:szCs w:val="24"/>
    </w:rPr>
  </w:style>
  <w:style w:type="paragraph" w:customStyle="1" w:styleId="31">
    <w:name w:val="列出段落2"/>
    <w:basedOn w:val="1"/>
    <w:qFormat/>
    <w:uiPriority w:val="159"/>
    <w:pPr>
      <w:widowControl/>
      <w:wordWrap/>
      <w:autoSpaceDE/>
      <w:autoSpaceDN/>
      <w:ind w:firstLine="420"/>
    </w:pPr>
  </w:style>
  <w:style w:type="paragraph" w:customStyle="1" w:styleId="32">
    <w:name w:val="BodyText1I2"/>
    <w:basedOn w:val="33"/>
    <w:qFormat/>
    <w:uiPriority w:val="0"/>
    <w:pPr>
      <w:ind w:firstLine="420"/>
    </w:pPr>
  </w:style>
  <w:style w:type="paragraph" w:customStyle="1" w:styleId="33">
    <w:name w:val="BodyTextIndent"/>
    <w:basedOn w:val="1"/>
    <w:qFormat/>
    <w:uiPriority w:val="0"/>
    <w:pPr>
      <w:ind w:firstLine="352" w:firstLineChars="352"/>
      <w:textAlignment w:val="baseline"/>
    </w:pPr>
    <w:rPr>
      <w:rFonts w:ascii="仿宋_GB2312"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2020-01-21T01:42:00Z</dcterms:created>
  <dc:creator>熙大姐大</dc:creator>
  <cp:lastModifiedBy>NTKO</cp:lastModifiedBy>
  <cp:lastPrinted>2020-03-05T02:07:00Z</cp:lastPrinted>
  <dcterms:modified xsi:type="dcterms:W3CDTF">2021-06-10T08:21:33Z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25740197698646109AC727F0D01E42DC</vt:lpwstr>
  </property>
</Properties>
</file>