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Ansi="宋体"/>
          <w:b/>
          <w:bCs/>
          <w:sz w:val="52"/>
        </w:rPr>
      </w:pPr>
      <w:r>
        <w:rPr>
          <w:rFonts w:hint="eastAsia" w:hAnsi="宋体" w:cs="宋体"/>
          <w:b/>
          <w:kern w:val="0"/>
          <w:sz w:val="28"/>
          <w:szCs w:val="28"/>
        </w:rPr>
        <w:t xml:space="preserve">     </w:t>
      </w:r>
      <w:r>
        <w:rPr>
          <w:rFonts w:hint="eastAsia" w:ascii="宋体" w:hAnsi="宋体"/>
          <w:b/>
          <w:bCs/>
          <w:sz w:val="72"/>
          <w:szCs w:val="72"/>
        </w:rPr>
        <w:drawing>
          <wp:anchor distT="0" distB="0" distL="0" distR="0" simplePos="0" relativeHeight="251656192" behindDoc="1" locked="0" layoutInCell="1" allowOverlap="1">
            <wp:simplePos x="0" y="0"/>
            <wp:positionH relativeFrom="column">
              <wp:posOffset>111125</wp:posOffset>
            </wp:positionH>
            <wp:positionV relativeFrom="paragraph">
              <wp:posOffset>273685</wp:posOffset>
            </wp:positionV>
            <wp:extent cx="731520" cy="755650"/>
            <wp:effectExtent l="0" t="0" r="11430" b="6350"/>
            <wp:wrapNone/>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16" cstate="print"/>
                    <a:srcRect/>
                    <a:stretch>
                      <a:fillRect/>
                    </a:stretch>
                  </pic:blipFill>
                  <pic:spPr>
                    <a:xfrm>
                      <a:off x="0" y="0"/>
                      <a:ext cx="731520" cy="755650"/>
                    </a:xfrm>
                    <a:prstGeom prst="rect">
                      <a:avLst/>
                    </a:prstGeom>
                    <a:ln>
                      <a:noFill/>
                    </a:ln>
                  </pic:spPr>
                </pic:pic>
              </a:graphicData>
            </a:graphic>
          </wp:anchor>
        </w:drawing>
      </w:r>
    </w:p>
    <w:p>
      <w:pPr>
        <w:tabs>
          <w:tab w:val="left" w:pos="5443"/>
        </w:tabs>
        <w:jc w:val="center"/>
        <w:rPr>
          <w:rFonts w:ascii="宋体" w:hAnsi="宋体"/>
          <w:b/>
          <w:bCs/>
          <w:sz w:val="72"/>
          <w:szCs w:val="72"/>
        </w:rPr>
      </w:pPr>
      <w:r>
        <w:rPr>
          <w:rFonts w:hint="eastAsia" w:ascii="宋体" w:hAnsi="宋体"/>
          <w:b/>
          <w:bCs/>
          <w:sz w:val="66"/>
          <w:szCs w:val="66"/>
        </w:rPr>
        <w:t xml:space="preserve">   广西龙建工程管理有限公司</w:t>
      </w:r>
    </w:p>
    <w:p>
      <w:pPr>
        <w:pStyle w:val="8"/>
        <w:ind w:firstLine="195" w:firstLineChars="50"/>
        <w:rPr>
          <w:rFonts w:hAnsi="宋体"/>
          <w:bCs/>
          <w:sz w:val="39"/>
          <w:szCs w:val="39"/>
        </w:rPr>
      </w:pPr>
      <w:r>
        <w:rPr>
          <w:rFonts w:hint="eastAsia" w:hAnsi="宋体"/>
          <w:bCs/>
          <w:sz w:val="39"/>
          <w:szCs w:val="39"/>
        </w:rPr>
        <w:t>Guangxi Longjian engineering management co., Ltd</w:t>
      </w:r>
    </w:p>
    <w:p>
      <w:pPr>
        <w:pStyle w:val="8"/>
        <w:rPr>
          <w:rFonts w:ascii="楷体_GB2312" w:eastAsia="楷体_GB2312"/>
          <w:bCs/>
          <w:sz w:val="10"/>
        </w:rPr>
      </w:pPr>
      <w:r>
        <w:rPr>
          <w:rFonts w:hint="eastAsia" w:ascii="楷体_GB2312" w:eastAsia="楷体_GB2312"/>
          <w:bCs/>
          <w:sz w:val="10"/>
        </w:rPr>
        <w:t xml:space="preserve">                                                                                                                                                                                                            </w:t>
      </w:r>
    </w:p>
    <w:p>
      <w:pPr>
        <w:pStyle w:val="8"/>
        <w:rPr>
          <w:rFonts w:ascii="楷体_GB2312" w:eastAsia="楷体_GB2312"/>
          <w:szCs w:val="21"/>
        </w:rPr>
      </w:pPr>
      <w:r>
        <w:rPr>
          <w:rFonts w:ascii="楷体_GB2312" w:eastAsia="楷体_GB2312"/>
          <w:sz w:val="20"/>
          <w:u w:val="single"/>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56515</wp:posOffset>
                </wp:positionV>
                <wp:extent cx="6353810" cy="36195"/>
                <wp:effectExtent l="0" t="13970" r="8890" b="26035"/>
                <wp:wrapNone/>
                <wp:docPr id="1027" name="直接连接符 1"/>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round/>
                          <a:headEnd type="none" w="med" len="med"/>
                          <a:tailEnd type="none" w="med" len="med"/>
                        </a:ln>
                        <a:effectLst/>
                      </wps:spPr>
                      <wps:bodyPr/>
                    </wps:wsp>
                  </a:graphicData>
                </a:graphic>
              </wp:anchor>
            </w:drawing>
          </mc:Choice>
          <mc:Fallback>
            <w:pict>
              <v:line id="直接连接符 1" o:spid="_x0000_s1026" o:spt="20" style="position:absolute;left:0pt;flip:y;margin-left:-0.75pt;margin-top:4.45pt;height:2.85pt;width:500.3pt;z-index:251657216;mso-width-relative:page;mso-height-relative:page;" filled="f" stroked="t" coordsize="21600,21600" o:gfxdata="UEsDBAoAAAAAAIdO4kAAAAAAAAAAAAAAAAAEAAAAZHJzL1BLAwQUAAAACACHTuJAe+kHyNUAAAAH&#10;AQAADwAAAGRycy9kb3ducmV2LnhtbE2OwU7DMBBE70j8g7VIXFBrB0GUpHF6QAJx4NKUD9jESxI1&#10;XofYbdp+PeYEx9E8zbxye7ajONHsB8cakrUCQdw6M3Cn4XP/uspA+IBscHRMGi7kYVvd3pRYGLfw&#10;jk516EQcYV+ghj6EqZDStz1Z9Gs3Ecfuy80WQ4xzJ82MSxy3o3xUKpUWB44PPU700lN7qI9Ww67J&#10;8ONdfdfuwul1udb+7WFqtb6/S9QGRKBz+IPhVz+qQxWdGndk48WoYZU8R1JDloOIdZ7nCYgmck8p&#10;yKqU//2rH1BLAwQUAAAACACHTuJA743+pQQCAAACBAAADgAAAGRycy9lMm9Eb2MueG1srVNLjhMx&#10;EN0jcQfLe9L5KJnQSmcWE4YNgkh89o4/aUv+yeWkk0twASR2sGLJntswHIOyuxkNwyYLemFV2dWv&#10;6j0/r65P1pCjjKC9a+hkNKZEOu6FdvuGvn93+2xJCSTmBDPeyYaeJdDr9dMnqy7Ucupbb4SMBEEc&#10;1F1oaJtSqKsKeCstg5EP0uGh8tGyhGncVyKyDtGtqabj8aLqfBQhei4BcHfTH9IBMV4C6JXSXG48&#10;P1jpUo8apWEJKUGrA9B1mVYpydMbpUAmYhqKTFNZsQnGu7xW6xWr95GFVvNhBHbJCI84WaYdNr2H&#10;2rDEyCHqf6Cs5tGDV2nEva16IkURZDEZP9LmbcuCLFxQagj3osP/g+Wvj9tItEAnjKdXlDhm8c7v&#10;Pn3/+fHLrx+fcb379pVMsk5dgBrLb9w2DhmEbcykTypaoowOHxCmyIDEyKmofL5XWZ4S4bi5mM1n&#10;ywleAMez2WLyfJ7Rqx4mw4UI6aX0luSgoUa7LAKr2fEVpL70T0neNo50DZ0u51dzxGRoSYVWwNAG&#10;pAVuX34Gb7S41cbkXyDudzcmkiPLtijfMMNfZbnLhkHb15WjXMbq6A9OlKiVTLxwgqRzQN0cvhia&#10;p7FSUGIkPrAclcrEtLmkEoUwLjeRxb4D5Sx+L3eOdl6cyy1UOUNrFP0GG2fvPcwxfvh01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kHyNUAAAAHAQAADwAAAAAAAAABACAAAAAiAAAAZHJzL2Rv&#10;d25yZXYueG1sUEsBAhQAFAAAAAgAh07iQO+N/qUEAgAAAgQAAA4AAAAAAAAAAQAgAAAAJAEAAGRy&#10;cy9lMm9Eb2MueG1sUEsFBgAAAAAGAAYAWQEAAJoFAAAAAA==&#10;">
                <v:fill on="f" focussize="0,0"/>
                <v:stroke weight="2.25pt" color="#000000" joinstyle="round"/>
                <v:imagedata o:title=""/>
                <o:lock v:ext="edit" aspectratio="f"/>
              </v:line>
            </w:pict>
          </mc:Fallback>
        </mc:AlternateContent>
      </w:r>
    </w:p>
    <w:p>
      <w:pPr>
        <w:pStyle w:val="8"/>
        <w:spacing w:line="240" w:lineRule="exact"/>
        <w:jc w:val="both"/>
        <w:rPr>
          <w:rFonts w:ascii="楷体" w:hAnsi="楷体" w:eastAsia="楷体"/>
          <w:sz w:val="100"/>
          <w:szCs w:val="100"/>
        </w:rPr>
      </w:pPr>
    </w:p>
    <w:p>
      <w:pPr>
        <w:pStyle w:val="8"/>
        <w:spacing w:line="240" w:lineRule="exact"/>
        <w:jc w:val="center"/>
        <w:rPr>
          <w:rFonts w:ascii="楷体" w:hAnsi="楷体" w:eastAsia="楷体"/>
          <w:sz w:val="100"/>
          <w:szCs w:val="100"/>
        </w:rPr>
      </w:pPr>
    </w:p>
    <w:p>
      <w:pPr>
        <w:pStyle w:val="8"/>
        <w:spacing w:line="240" w:lineRule="exact"/>
        <w:jc w:val="center"/>
        <w:rPr>
          <w:rFonts w:ascii="楷体" w:hAnsi="楷体" w:eastAsia="楷体"/>
          <w:sz w:val="100"/>
          <w:szCs w:val="100"/>
        </w:rPr>
      </w:pPr>
    </w:p>
    <w:p>
      <w:pPr>
        <w:pStyle w:val="8"/>
        <w:spacing w:line="240" w:lineRule="exact"/>
        <w:jc w:val="center"/>
        <w:rPr>
          <w:rFonts w:ascii="楷体" w:hAnsi="楷体" w:eastAsia="楷体"/>
          <w:sz w:val="100"/>
          <w:szCs w:val="100"/>
        </w:rPr>
      </w:pPr>
    </w:p>
    <w:p>
      <w:pPr>
        <w:pStyle w:val="8"/>
        <w:ind w:firstLine="1988" w:firstLineChars="300"/>
        <w:rPr>
          <w:rFonts w:hAnsi="宋体"/>
          <w:b/>
          <w:bCs/>
          <w:kern w:val="2"/>
          <w:sz w:val="66"/>
          <w:szCs w:val="66"/>
        </w:rPr>
      </w:pPr>
      <w:r>
        <w:rPr>
          <w:rFonts w:hint="eastAsia" w:hAnsi="宋体"/>
          <w:b/>
          <w:bCs/>
          <w:kern w:val="2"/>
          <w:sz w:val="66"/>
          <w:szCs w:val="66"/>
        </w:rPr>
        <w:t>竞争性磋商文件</w:t>
      </w:r>
    </w:p>
    <w:p>
      <w:pPr>
        <w:pStyle w:val="8"/>
        <w:rPr>
          <w:rFonts w:ascii="楷体_GB2312" w:eastAsia="楷体_GB2312"/>
          <w:szCs w:val="21"/>
        </w:rPr>
      </w:pPr>
    </w:p>
    <w:p>
      <w:pPr>
        <w:rPr>
          <w:rFonts w:ascii="宋体" w:hAnsi="宋体"/>
          <w:sz w:val="32"/>
        </w:rPr>
      </w:pPr>
    </w:p>
    <w:p>
      <w:pPr>
        <w:pStyle w:val="24"/>
        <w:rPr>
          <w:rFonts w:ascii="宋体" w:hAnsi="宋体"/>
          <w:sz w:val="32"/>
        </w:rPr>
      </w:pPr>
    </w:p>
    <w:p>
      <w:pPr>
        <w:pStyle w:val="24"/>
        <w:rPr>
          <w:rFonts w:ascii="宋体" w:hAnsi="宋体"/>
          <w:sz w:val="32"/>
        </w:rPr>
      </w:pPr>
    </w:p>
    <w:p>
      <w:pPr>
        <w:pStyle w:val="24"/>
        <w:rPr>
          <w:rFonts w:ascii="宋体" w:hAnsi="宋体"/>
          <w:sz w:val="32"/>
        </w:rPr>
      </w:pPr>
    </w:p>
    <w:p>
      <w:pPr>
        <w:rPr>
          <w:rFonts w:ascii="宋体" w:hAnsi="宋体"/>
          <w:sz w:val="32"/>
        </w:rPr>
      </w:pPr>
    </w:p>
    <w:p>
      <w:pPr>
        <w:ind w:left="2238" w:leftChars="304" w:hanging="1600" w:hangingChars="500"/>
        <w:rPr>
          <w:rFonts w:ascii="宋体" w:hAnsi="宋体"/>
          <w:sz w:val="32"/>
          <w:szCs w:val="32"/>
        </w:rPr>
      </w:pPr>
      <w:r>
        <w:rPr>
          <w:rFonts w:hint="eastAsia" w:ascii="宋体" w:hAnsi="宋体"/>
          <w:sz w:val="32"/>
        </w:rPr>
        <w:t>项</w:t>
      </w:r>
      <w:r>
        <w:rPr>
          <w:rFonts w:hint="eastAsia" w:ascii="宋体" w:hAnsi="宋体"/>
          <w:sz w:val="32"/>
          <w:szCs w:val="32"/>
        </w:rPr>
        <w:t>目名称：升级服务采购</w:t>
      </w:r>
    </w:p>
    <w:p>
      <w:pPr>
        <w:ind w:firstLine="640" w:firstLineChars="200"/>
        <w:rPr>
          <w:rFonts w:ascii="宋体" w:hAnsi="宋体"/>
          <w:sz w:val="32"/>
          <w:szCs w:val="32"/>
        </w:rPr>
      </w:pPr>
    </w:p>
    <w:p>
      <w:pPr>
        <w:ind w:firstLine="640" w:firstLineChars="200"/>
        <w:rPr>
          <w:rFonts w:ascii="宋体" w:hAnsi="宋体"/>
          <w:color w:val="FF0000"/>
          <w:sz w:val="32"/>
          <w:szCs w:val="32"/>
        </w:rPr>
      </w:pPr>
      <w:r>
        <w:rPr>
          <w:rFonts w:hint="eastAsia" w:ascii="宋体" w:hAnsi="宋体"/>
          <w:sz w:val="32"/>
          <w:szCs w:val="32"/>
        </w:rPr>
        <w:t>项目编号：</w:t>
      </w:r>
      <w:r>
        <w:rPr>
          <w:rFonts w:hint="eastAsia" w:ascii="宋体" w:hAnsi="宋体"/>
          <w:color w:val="000000"/>
          <w:sz w:val="32"/>
          <w:szCs w:val="32"/>
        </w:rPr>
        <w:t xml:space="preserve">QZZC2020-C3-60194-GXLJ </w:t>
      </w:r>
    </w:p>
    <w:p>
      <w:pPr>
        <w:pStyle w:val="24"/>
      </w:pPr>
    </w:p>
    <w:p>
      <w:pPr>
        <w:pStyle w:val="24"/>
      </w:pPr>
    </w:p>
    <w:p>
      <w:pPr>
        <w:pStyle w:val="8"/>
        <w:spacing w:line="600" w:lineRule="exact"/>
        <w:ind w:right="-260" w:rightChars="-124" w:firstLine="640" w:firstLineChars="200"/>
        <w:rPr>
          <w:rFonts w:hAnsi="宋体"/>
          <w:sz w:val="32"/>
          <w:szCs w:val="32"/>
        </w:rPr>
      </w:pPr>
      <w:r>
        <w:rPr>
          <w:rFonts w:hAnsi="宋体"/>
          <w:sz w:val="32"/>
          <w:szCs w:val="32"/>
          <w:u w:val="single"/>
        </w:rPr>
        <mc:AlternateContent>
          <mc:Choice Requires="wps">
            <w:drawing>
              <wp:anchor distT="0" distB="0" distL="114300" distR="114300" simplePos="0" relativeHeight="251658240" behindDoc="0" locked="0" layoutInCell="1" allowOverlap="1">
                <wp:simplePos x="0" y="0"/>
                <wp:positionH relativeFrom="column">
                  <wp:posOffset>-27940</wp:posOffset>
                </wp:positionH>
                <wp:positionV relativeFrom="paragraph">
                  <wp:posOffset>32385</wp:posOffset>
                </wp:positionV>
                <wp:extent cx="6343015" cy="15875"/>
                <wp:effectExtent l="0" t="0" r="0" b="0"/>
                <wp:wrapNone/>
                <wp:docPr id="1028" name="直接连接符 5"/>
                <wp:cNvGraphicFramePr/>
                <a:graphic xmlns:a="http://schemas.openxmlformats.org/drawingml/2006/main">
                  <a:graphicData uri="http://schemas.microsoft.com/office/word/2010/wordprocessingShape">
                    <wps:wsp>
                      <wps:cNvCnPr/>
                      <wps:spPr>
                        <a:xfrm flipV="1">
                          <a:off x="0" y="0"/>
                          <a:ext cx="6343015" cy="15875"/>
                        </a:xfrm>
                        <a:prstGeom prst="line">
                          <a:avLst/>
                        </a:prstGeom>
                        <a:ln w="28575" cap="flat" cmpd="sng">
                          <a:solidFill>
                            <a:srgbClr val="000000"/>
                          </a:solidFill>
                          <a:prstDash val="solid"/>
                          <a:round/>
                          <a:headEnd type="none" w="med" len="med"/>
                          <a:tailEnd type="none" w="med" len="med"/>
                        </a:ln>
                        <a:effectLst/>
                      </wps:spPr>
                      <wps:bodyPr/>
                    </wps:wsp>
                  </a:graphicData>
                </a:graphic>
              </wp:anchor>
            </w:drawing>
          </mc:Choice>
          <mc:Fallback>
            <w:pict>
              <v:line id="直接连接符 5" o:spid="_x0000_s1026" o:spt="20" style="position:absolute;left:0pt;flip:y;margin-left:-2.2pt;margin-top:2.55pt;height:1.25pt;width:499.45pt;z-index:251658240;mso-width-relative:page;mso-height-relative:page;" filled="f" stroked="t" coordsize="21600,21600" o:gfxdata="UEsDBAoAAAAAAIdO4kAAAAAAAAAAAAAAAAAEAAAAZHJzL1BLAwQUAAAACACHTuJAhSrsF9YAAAAG&#10;AQAADwAAAGRycy9kb3ducmV2LnhtbE2OwU7DMBBE70j8g7VIXFBrB6WhTbPpAQnEgUsDH+DE2yQi&#10;XofYbdp+PeYEx9GM3rxid7aDONHke8cIyVKBIG6c6blF+Px4WaxB+KDZ6MExIVzIw668vSl0btzM&#10;ezpVoRURwj7XCF0IYy6lbzqy2i/dSBy7g5usDjFOrTSTniPcDvJRqUxa3XN86PRIzx01X9XRIuzr&#10;tX5/U9+Vu3B2na+Vf30YG8T7u0RtQQQ6h78x/OpHdSijU+2ObLwYEBZpGpcIqwRErDebdAWiRnjK&#10;QJaF/K9f/gBQSwMEFAAAAAgAh07iQI6SkBoFAgAAAgQAAA4AAABkcnMvZTJvRG9jLnhtbK1Tu44T&#10;MRTtkfgHyz2ZSZYs0SiTLTYsDYJIwPaOHxlLfsnXySQ/wQ8g0UFFSb9/w/IZe+0J0bI0KXBhXdvX&#10;595zfDy/2ltDdjKC9q6l41FNiXTcC+02Lf308ebFjBJIzAlmvJMtPUigV4vnz+Z9aOTEd94IGQmC&#10;OGj60NIupdBUFfBOWgYjH6TDQ+WjZQmXcVOJyHpEt6aa1PVl1fsoQvRcAuDucjikR8R4DqBXSnO5&#10;9HxrpUsDapSGJaQEnQ5AF6VbpSRP75UCmYhpKTJNZcYiGK/zXC3mrNlEFjrNjy2wc1p4wsky7bDo&#10;CWrJEiPbqP+BsppHD16lEfe2GogURZDFuH6izYeOBVm4oNQQTqLD/4Pl73arSLRAJ9QTfHnHLL75&#10;/Zefvz5/+333Fef7H9/JNOvUB2gw/dqt4nEFYRUz6b2Kliijwy3CFBmQGNkXlQ8nleU+EY6blxcv&#10;L+rxlBKOZ+Pp7FVBrwaYDBcipDfSW5KDlhrtsgisYbu3kLA0pv5JydvGkb6lk9kUgQhnaEmFVsDQ&#10;BqQFblMugzda3Ghj8hWIm/W1iWTHsi3KyAwR+K+0XGXJoBvyytFgmOi3TuAF1nSSiddOkHQIqJvD&#10;H0NzN1YKSozED5ajkpmYNudkYhPGZWhZ7HuknMUf5M7R2otDeYUqr9AapfejjbP3Hq8xfvx1F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FKuwX1gAAAAYBAAAPAAAAAAAAAAEAIAAAACIAAABkcnMv&#10;ZG93bnJldi54bWxQSwECFAAUAAAACACHTuJAjpKQGgUCAAACBAAADgAAAAAAAAABACAAAAAlAQAA&#10;ZHJzL2Uyb0RvYy54bWxQSwUGAAAAAAYABgBZAQAAnAUAAAAA&#10;">
                <v:fill on="f" focussize="0,0"/>
                <v:stroke weight="2.25pt" color="#000000" joinstyle="round"/>
                <v:imagedata o:title=""/>
                <o:lock v:ext="edit" aspectratio="f"/>
              </v:line>
            </w:pict>
          </mc:Fallback>
        </mc:AlternateContent>
      </w:r>
    </w:p>
    <w:p>
      <w:pPr>
        <w:rPr>
          <w:rFonts w:ascii="宋体" w:hAnsi="宋体"/>
          <w:sz w:val="32"/>
          <w:szCs w:val="32"/>
        </w:rPr>
      </w:pPr>
      <w:r>
        <w:rPr>
          <w:rFonts w:hint="eastAsia" w:ascii="宋体" w:hAnsi="宋体"/>
          <w:sz w:val="32"/>
          <w:szCs w:val="32"/>
        </w:rPr>
        <w:t xml:space="preserve">   </w:t>
      </w:r>
    </w:p>
    <w:p>
      <w:pPr>
        <w:rPr>
          <w:rFonts w:ascii="宋体" w:hAnsi="宋体"/>
          <w:sz w:val="32"/>
          <w:szCs w:val="32"/>
        </w:rPr>
      </w:pPr>
      <w:r>
        <w:rPr>
          <w:rFonts w:hint="eastAsia" w:ascii="宋体" w:hAnsi="宋体"/>
          <w:sz w:val="32"/>
          <w:szCs w:val="32"/>
        </w:rPr>
        <w:t xml:space="preserve">    招标单位：浦北县中医医院</w:t>
      </w:r>
    </w:p>
    <w:p>
      <w:pPr>
        <w:rPr>
          <w:rFonts w:ascii="宋体" w:hAnsi="宋体"/>
          <w:sz w:val="32"/>
          <w:szCs w:val="32"/>
        </w:rPr>
      </w:pPr>
      <w:r>
        <w:rPr>
          <w:rFonts w:hint="eastAsia" w:ascii="宋体" w:hAnsi="宋体"/>
          <w:sz w:val="32"/>
          <w:szCs w:val="32"/>
        </w:rPr>
        <w:t xml:space="preserve">   </w:t>
      </w:r>
    </w:p>
    <w:p>
      <w:pPr>
        <w:rPr>
          <w:rFonts w:ascii="宋体" w:hAnsi="宋体"/>
          <w:sz w:val="32"/>
          <w:szCs w:val="32"/>
        </w:rPr>
      </w:pPr>
      <w:r>
        <w:rPr>
          <w:rFonts w:hint="eastAsia" w:ascii="宋体" w:hAnsi="宋体"/>
          <w:sz w:val="32"/>
          <w:szCs w:val="32"/>
        </w:rPr>
        <w:t xml:space="preserve">    招标代理机构：</w:t>
      </w:r>
      <w:bookmarkStart w:id="0" w:name="OLE_LINK12"/>
      <w:r>
        <w:rPr>
          <w:rFonts w:hint="eastAsia" w:ascii="宋体" w:hAnsi="宋体"/>
          <w:sz w:val="32"/>
          <w:szCs w:val="32"/>
        </w:rPr>
        <w:t>广西龙建工程管理有限公司</w:t>
      </w:r>
      <w:bookmarkEnd w:id="0"/>
    </w:p>
    <w:p>
      <w:pPr>
        <w:jc w:val="center"/>
        <w:rPr>
          <w:rFonts w:ascii="宋体" w:hAnsi="宋体"/>
          <w:sz w:val="32"/>
          <w:szCs w:val="32"/>
        </w:rPr>
      </w:pPr>
    </w:p>
    <w:p>
      <w:pPr>
        <w:jc w:val="center"/>
        <w:rPr>
          <w:rFonts w:ascii="宋体" w:hAnsi="宋体"/>
          <w:sz w:val="32"/>
          <w:szCs w:val="32"/>
        </w:rPr>
      </w:pPr>
      <w:r>
        <w:rPr>
          <w:rFonts w:hint="eastAsia" w:ascii="宋体" w:hAnsi="宋体"/>
          <w:sz w:val="32"/>
          <w:szCs w:val="32"/>
        </w:rPr>
        <w:t>2020年</w:t>
      </w:r>
      <w:r>
        <w:rPr>
          <w:rFonts w:hint="eastAsia" w:ascii="宋体" w:hAnsi="宋体"/>
          <w:sz w:val="32"/>
          <w:szCs w:val="32"/>
          <w:lang w:val="en-US" w:eastAsia="zh-CN"/>
        </w:rPr>
        <w:t>11</w:t>
      </w:r>
      <w:bookmarkStart w:id="60" w:name="_GoBack"/>
      <w:bookmarkEnd w:id="60"/>
      <w:r>
        <w:rPr>
          <w:rFonts w:hint="eastAsia" w:ascii="宋体" w:hAnsi="宋体"/>
          <w:sz w:val="32"/>
          <w:szCs w:val="32"/>
        </w:rPr>
        <w:t>月</w:t>
      </w:r>
    </w:p>
    <w:p>
      <w:pPr>
        <w:pStyle w:val="10"/>
        <w:snapToGrid w:val="0"/>
        <w:spacing w:before="120" w:after="120"/>
        <w:ind w:firstLine="1968" w:firstLineChars="700"/>
        <w:outlineLvl w:val="0"/>
        <w:rPr>
          <w:rFonts w:hAnsi="宋体" w:cs="宋体"/>
          <w:sz w:val="48"/>
          <w:szCs w:val="48"/>
        </w:rPr>
      </w:pPr>
      <w:r>
        <w:rPr>
          <w:rFonts w:hint="eastAsia" w:hAnsi="宋体" w:cs="宋体"/>
          <w:b/>
          <w:kern w:val="0"/>
          <w:sz w:val="28"/>
          <w:szCs w:val="28"/>
        </w:rPr>
        <w:br w:type="page"/>
      </w:r>
      <w:r>
        <w:rPr>
          <w:rFonts w:hint="eastAsia" w:hAnsi="宋体" w:cs="宋体"/>
          <w:b/>
          <w:kern w:val="0"/>
          <w:sz w:val="28"/>
          <w:szCs w:val="28"/>
        </w:rPr>
        <w:t xml:space="preserve">         </w:t>
      </w:r>
      <w:r>
        <w:rPr>
          <w:rFonts w:hint="eastAsia" w:hAnsi="宋体" w:cs="宋体"/>
          <w:sz w:val="48"/>
          <w:szCs w:val="48"/>
          <w:lang w:val="zh-CN"/>
        </w:rPr>
        <w:t>目  录</w:t>
      </w:r>
    </w:p>
    <w:p>
      <w:pPr>
        <w:pStyle w:val="13"/>
        <w:tabs>
          <w:tab w:val="right" w:leader="dot" w:pos="9061"/>
        </w:tabs>
        <w:spacing w:line="500" w:lineRule="exact"/>
        <w:rPr>
          <w:rFonts w:ascii="宋体" w:hAnsi="宋体" w:cs="宋体"/>
          <w:sz w:val="28"/>
          <w:szCs w:val="28"/>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fldChar w:fldCharType="begin"/>
      </w:r>
      <w:r>
        <w:instrText xml:space="preserve"> HYPERLINK \l "_Toc434315322" </w:instrText>
      </w:r>
      <w:r>
        <w:fldChar w:fldCharType="separate"/>
      </w:r>
      <w:r>
        <w:rPr>
          <w:rStyle w:val="22"/>
          <w:rFonts w:hint="eastAsia" w:ascii="宋体" w:hAnsi="宋体" w:cs="宋体"/>
          <w:color w:val="auto"/>
          <w:sz w:val="28"/>
          <w:szCs w:val="28"/>
        </w:rPr>
        <w:t>第一章 竞争性磋商公告</w:t>
      </w:r>
      <w:r>
        <w:rPr>
          <w:rFonts w:hint="eastAsia" w:ascii="宋体" w:hAnsi="宋体" w:cs="宋体"/>
          <w:sz w:val="28"/>
          <w:szCs w:val="28"/>
        </w:rPr>
        <w:tab/>
      </w:r>
      <w:r>
        <w:rPr>
          <w:rFonts w:hint="eastAsia" w:ascii="宋体" w:hAnsi="宋体" w:cs="宋体"/>
          <w:sz w:val="28"/>
          <w:szCs w:val="28"/>
          <w:lang w:val="en-US" w:eastAsia="zh-CN"/>
        </w:rPr>
        <w:t>3</w:t>
      </w:r>
      <w:r>
        <w:rPr>
          <w:rFonts w:hint="eastAsia" w:ascii="宋体" w:hAnsi="宋体" w:cs="宋体"/>
          <w:sz w:val="28"/>
          <w:szCs w:val="28"/>
        </w:rPr>
        <w:fldChar w:fldCharType="end"/>
      </w:r>
    </w:p>
    <w:p>
      <w:pPr>
        <w:pStyle w:val="13"/>
        <w:tabs>
          <w:tab w:val="right" w:leader="dot" w:pos="9061"/>
        </w:tabs>
        <w:spacing w:line="500" w:lineRule="exact"/>
        <w:rPr>
          <w:rFonts w:ascii="宋体" w:hAnsi="宋体" w:cs="宋体"/>
          <w:sz w:val="28"/>
          <w:szCs w:val="28"/>
        </w:rPr>
      </w:pPr>
      <w:r>
        <w:fldChar w:fldCharType="begin"/>
      </w:r>
      <w:r>
        <w:instrText xml:space="preserve"> HYPERLINK \l "_Toc434315323" </w:instrText>
      </w:r>
      <w:r>
        <w:fldChar w:fldCharType="separate"/>
      </w:r>
      <w:r>
        <w:rPr>
          <w:rStyle w:val="22"/>
          <w:rFonts w:hint="eastAsia" w:ascii="宋体" w:hAnsi="宋体" w:cs="宋体"/>
          <w:color w:val="auto"/>
          <w:sz w:val="28"/>
          <w:szCs w:val="28"/>
        </w:rPr>
        <w:t>第二章 竞标人须知前附表</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_Toc434315323 \h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pPr>
        <w:pStyle w:val="13"/>
        <w:tabs>
          <w:tab w:val="right" w:leader="dot" w:pos="9061"/>
        </w:tabs>
        <w:spacing w:line="500" w:lineRule="exact"/>
        <w:rPr>
          <w:rFonts w:ascii="宋体" w:hAnsi="宋体" w:cs="宋体"/>
          <w:sz w:val="28"/>
          <w:szCs w:val="28"/>
        </w:rPr>
      </w:pPr>
      <w:r>
        <w:fldChar w:fldCharType="begin"/>
      </w:r>
      <w:r>
        <w:instrText xml:space="preserve"> HYPERLINK \l "_Toc434315325" </w:instrText>
      </w:r>
      <w:r>
        <w:fldChar w:fldCharType="separate"/>
      </w:r>
      <w:r>
        <w:rPr>
          <w:rStyle w:val="22"/>
          <w:rFonts w:hint="eastAsia" w:ascii="宋体" w:hAnsi="宋体" w:cs="宋体"/>
          <w:color w:val="auto"/>
          <w:sz w:val="28"/>
          <w:szCs w:val="28"/>
        </w:rPr>
        <w:t>第三章 服务需求</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rPr>
        <w:t>11</w:t>
      </w:r>
    </w:p>
    <w:p>
      <w:pPr>
        <w:pStyle w:val="13"/>
        <w:tabs>
          <w:tab w:val="right" w:leader="dot" w:pos="9061"/>
        </w:tabs>
        <w:spacing w:line="500" w:lineRule="exact"/>
        <w:rPr>
          <w:rFonts w:ascii="宋体" w:hAnsi="宋体" w:cs="宋体"/>
          <w:sz w:val="28"/>
          <w:szCs w:val="28"/>
        </w:rPr>
      </w:pPr>
      <w:r>
        <w:fldChar w:fldCharType="begin"/>
      </w:r>
      <w:r>
        <w:instrText xml:space="preserve"> HYPERLINK \l "_Toc434315326" </w:instrText>
      </w:r>
      <w:r>
        <w:fldChar w:fldCharType="separate"/>
      </w:r>
      <w:r>
        <w:rPr>
          <w:rStyle w:val="22"/>
          <w:rFonts w:hint="eastAsia" w:ascii="宋体" w:hAnsi="宋体" w:cs="宋体"/>
          <w:color w:val="auto"/>
          <w:sz w:val="28"/>
          <w:szCs w:val="28"/>
        </w:rPr>
        <w:t>第四章 磋商书格式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_Toc434315326 \h </w:instrText>
      </w:r>
      <w:r>
        <w:rPr>
          <w:rFonts w:hint="eastAsia" w:ascii="宋体" w:hAnsi="宋体" w:cs="宋体"/>
          <w:sz w:val="28"/>
          <w:szCs w:val="28"/>
        </w:rPr>
        <w:fldChar w:fldCharType="separate"/>
      </w:r>
      <w:r>
        <w:rPr>
          <w:rFonts w:hint="eastAsia" w:ascii="宋体" w:hAnsi="宋体" w:cs="宋体"/>
          <w:sz w:val="28"/>
          <w:szCs w:val="28"/>
        </w:rPr>
        <w:t>18</w:t>
      </w:r>
      <w:r>
        <w:rPr>
          <w:rFonts w:hint="eastAsia" w:ascii="宋体" w:hAnsi="宋体" w:cs="宋体"/>
          <w:sz w:val="28"/>
          <w:szCs w:val="28"/>
        </w:rPr>
        <w:fldChar w:fldCharType="end"/>
      </w:r>
      <w:r>
        <w:rPr>
          <w:rFonts w:hint="eastAsia" w:ascii="宋体" w:hAnsi="宋体" w:cs="宋体"/>
          <w:sz w:val="28"/>
          <w:szCs w:val="28"/>
        </w:rPr>
        <w:fldChar w:fldCharType="end"/>
      </w:r>
    </w:p>
    <w:p>
      <w:pPr>
        <w:pStyle w:val="13"/>
        <w:tabs>
          <w:tab w:val="right" w:leader="dot" w:pos="9061"/>
        </w:tabs>
        <w:spacing w:line="500" w:lineRule="exact"/>
        <w:rPr>
          <w:rFonts w:ascii="宋体" w:hAnsi="宋体" w:cs="宋体"/>
          <w:sz w:val="28"/>
          <w:szCs w:val="28"/>
        </w:rPr>
      </w:pPr>
      <w:r>
        <w:fldChar w:fldCharType="begin"/>
      </w:r>
      <w:r>
        <w:instrText xml:space="preserve"> HYPERLINK \l "_Toc434315338" </w:instrText>
      </w:r>
      <w:r>
        <w:fldChar w:fldCharType="separate"/>
      </w:r>
      <w:r>
        <w:rPr>
          <w:rStyle w:val="22"/>
          <w:rFonts w:hint="eastAsia" w:ascii="宋体" w:hAnsi="宋体" w:cs="宋体"/>
          <w:color w:val="auto"/>
          <w:sz w:val="28"/>
          <w:szCs w:val="28"/>
        </w:rPr>
        <w:t>第五章 合同主要条款</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rPr>
        <w:t>24</w:t>
      </w:r>
    </w:p>
    <w:p>
      <w:pPr>
        <w:pStyle w:val="13"/>
        <w:tabs>
          <w:tab w:val="right" w:leader="dot" w:pos="9061"/>
        </w:tabs>
        <w:spacing w:line="500" w:lineRule="exact"/>
        <w:rPr>
          <w:rFonts w:ascii="宋体" w:hAnsi="宋体" w:cs="宋体"/>
          <w:sz w:val="28"/>
          <w:szCs w:val="28"/>
        </w:rPr>
      </w:pPr>
      <w:r>
        <w:fldChar w:fldCharType="begin"/>
      </w:r>
      <w:r>
        <w:instrText xml:space="preserve"> HYPERLINK \l "_Toc434315339" </w:instrText>
      </w:r>
      <w:r>
        <w:fldChar w:fldCharType="separate"/>
      </w:r>
      <w:r>
        <w:rPr>
          <w:rStyle w:val="22"/>
          <w:rFonts w:hint="eastAsia" w:ascii="宋体" w:hAnsi="宋体" w:cs="宋体"/>
          <w:color w:val="auto"/>
          <w:sz w:val="28"/>
          <w:szCs w:val="28"/>
        </w:rPr>
        <w:t>第六章 评分标准</w:t>
      </w:r>
      <w:r>
        <w:rPr>
          <w:rFonts w:hint="eastAsia" w:ascii="宋体" w:hAnsi="宋体" w:cs="宋体"/>
          <w:sz w:val="28"/>
          <w:szCs w:val="28"/>
        </w:rPr>
        <w:tab/>
      </w:r>
      <w:r>
        <w:rPr>
          <w:rFonts w:hint="eastAsia" w:ascii="宋体" w:hAnsi="宋体" w:cs="宋体"/>
          <w:sz w:val="28"/>
          <w:szCs w:val="28"/>
        </w:rPr>
        <w:fldChar w:fldCharType="end"/>
      </w:r>
      <w:r>
        <w:rPr>
          <w:rFonts w:hint="eastAsia" w:ascii="宋体" w:hAnsi="宋体" w:cs="宋体"/>
          <w:sz w:val="28"/>
          <w:szCs w:val="28"/>
        </w:rPr>
        <w:t>29</w:t>
      </w:r>
    </w:p>
    <w:p>
      <w:pPr>
        <w:rPr>
          <w:rFonts w:ascii="宋体" w:hAnsi="宋体" w:cs="宋体"/>
        </w:rPr>
      </w:pPr>
      <w:r>
        <w:rPr>
          <w:rFonts w:hint="eastAsia" w:ascii="宋体" w:hAnsi="宋体" w:cs="宋体"/>
        </w:rPr>
        <w:fldChar w:fldCharType="end"/>
      </w:r>
    </w:p>
    <w:p>
      <w:pPr>
        <w:spacing w:line="500" w:lineRule="exact"/>
        <w:jc w:val="center"/>
        <w:rPr>
          <w:rFonts w:ascii="宋体" w:hAnsi="宋体"/>
          <w:b/>
          <w:color w:val="000000"/>
          <w:sz w:val="28"/>
          <w:szCs w:val="28"/>
        </w:rPr>
      </w:pPr>
      <w:r>
        <w:rPr>
          <w:rFonts w:hint="eastAsia" w:hAnsi="宋体" w:cs="宋体"/>
        </w:rPr>
        <w:br w:type="page"/>
      </w:r>
      <w:r>
        <w:rPr>
          <w:rFonts w:hint="eastAsia" w:ascii="宋体" w:hAnsi="宋体"/>
          <w:b/>
          <w:color w:val="000000"/>
          <w:sz w:val="28"/>
          <w:szCs w:val="28"/>
        </w:rPr>
        <w:t>广西龙建工程管理有限公司</w:t>
      </w:r>
    </w:p>
    <w:p>
      <w:pPr>
        <w:spacing w:line="500" w:lineRule="exact"/>
        <w:jc w:val="center"/>
        <w:rPr>
          <w:rFonts w:ascii="宋体" w:hAnsi="宋体"/>
          <w:b/>
          <w:color w:val="000000"/>
          <w:sz w:val="28"/>
          <w:szCs w:val="28"/>
        </w:rPr>
      </w:pPr>
      <w:r>
        <w:rPr>
          <w:rFonts w:hint="eastAsia" w:ascii="宋体" w:hAnsi="宋体"/>
          <w:b/>
          <w:color w:val="000000"/>
          <w:sz w:val="28"/>
          <w:szCs w:val="28"/>
        </w:rPr>
        <w:t>关于升级服务采购（QZZC2020-C3-60194-GXLJ  ）</w:t>
      </w:r>
    </w:p>
    <w:p>
      <w:pPr>
        <w:spacing w:line="500" w:lineRule="exact"/>
        <w:jc w:val="center"/>
        <w:rPr>
          <w:rFonts w:ascii="宋体" w:hAnsi="宋体"/>
          <w:b/>
          <w:color w:val="000000"/>
          <w:sz w:val="28"/>
          <w:szCs w:val="28"/>
        </w:rPr>
      </w:pPr>
      <w:r>
        <w:rPr>
          <w:rFonts w:hint="eastAsia" w:ascii="宋体" w:hAnsi="宋体"/>
          <w:b/>
          <w:color w:val="000000"/>
          <w:sz w:val="28"/>
          <w:szCs w:val="28"/>
        </w:rPr>
        <w:t>竞争性磋商公告</w:t>
      </w:r>
    </w:p>
    <w:tbl>
      <w:tblPr>
        <w:tblStyle w:val="18"/>
        <w:tblW w:w="10080" w:type="dxa"/>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080" w:type="dxa"/>
          </w:tcPr>
          <w:p>
            <w:pPr>
              <w:spacing w:line="400" w:lineRule="exact"/>
              <w:rPr>
                <w:rFonts w:ascii="宋体" w:hAnsi="宋体" w:cs="宋体"/>
                <w:color w:val="000000"/>
                <w:szCs w:val="21"/>
              </w:rPr>
            </w:pPr>
            <w:r>
              <w:rPr>
                <w:rFonts w:hint="eastAsia" w:ascii="宋体" w:hAnsi="宋体" w:cs="宋体"/>
                <w:color w:val="000000"/>
                <w:szCs w:val="21"/>
              </w:rPr>
              <w:t>项目概况</w:t>
            </w:r>
          </w:p>
          <w:p>
            <w:pPr>
              <w:spacing w:line="400" w:lineRule="exact"/>
              <w:ind w:firstLine="420" w:firstLineChars="200"/>
              <w:rPr>
                <w:color w:val="000000"/>
              </w:rPr>
            </w:pPr>
            <w:r>
              <w:rPr>
                <w:rFonts w:hint="eastAsia" w:ascii="宋体" w:hAnsi="宋体" w:cs="宋体"/>
                <w:color w:val="000000"/>
                <w:szCs w:val="21"/>
              </w:rPr>
              <w:t>升级服务采购的潜在供应商应在广西龙建工程管理有限公司（地址：钦州市钦南区子材东大街8号奥林财富1号楼11层）获取采购文件，并于</w:t>
            </w:r>
            <w:r>
              <w:rPr>
                <w:rFonts w:hint="eastAsia" w:ascii="宋体" w:hAnsi="宋体" w:cs="宋体"/>
                <w:color w:val="000000"/>
                <w:szCs w:val="21"/>
                <w:u w:val="single"/>
              </w:rPr>
              <w:t>2020年</w:t>
            </w:r>
            <w:r>
              <w:rPr>
                <w:rFonts w:hint="eastAsia" w:ascii="宋体" w:hAnsi="宋体" w:cs="宋体"/>
                <w:color w:val="000000"/>
                <w:szCs w:val="21"/>
                <w:u w:val="single"/>
                <w:lang w:val="en-US" w:eastAsia="zh-CN"/>
              </w:rPr>
              <w:t>11</w:t>
            </w:r>
            <w:r>
              <w:rPr>
                <w:rFonts w:hint="eastAsia" w:ascii="宋体" w:hAnsi="宋体" w:cs="宋体"/>
                <w:color w:val="000000"/>
                <w:szCs w:val="21"/>
                <w:u w:val="single"/>
              </w:rPr>
              <w:t>月</w:t>
            </w:r>
            <w:r>
              <w:rPr>
                <w:rFonts w:hint="eastAsia" w:ascii="宋体" w:hAnsi="宋体" w:cs="宋体"/>
                <w:color w:val="000000"/>
                <w:szCs w:val="21"/>
                <w:u w:val="single"/>
                <w:lang w:val="en-US" w:eastAsia="zh-CN"/>
              </w:rPr>
              <w:t>30</w:t>
            </w:r>
            <w:r>
              <w:rPr>
                <w:rFonts w:hint="eastAsia" w:ascii="宋体" w:hAnsi="宋体" w:cs="宋体"/>
                <w:color w:val="000000"/>
                <w:szCs w:val="21"/>
                <w:u w:val="single"/>
              </w:rPr>
              <w:t>日</w:t>
            </w:r>
            <w:r>
              <w:rPr>
                <w:rFonts w:hint="eastAsia" w:ascii="宋体" w:hAnsi="宋体" w:cs="宋体"/>
                <w:color w:val="000000"/>
                <w:szCs w:val="21"/>
                <w:u w:val="single"/>
                <w:lang w:val="en-US" w:eastAsia="zh-CN"/>
              </w:rPr>
              <w:t>09</w:t>
            </w:r>
            <w:r>
              <w:rPr>
                <w:rFonts w:hint="eastAsia" w:ascii="宋体" w:hAnsi="宋体" w:cs="宋体"/>
                <w:color w:val="000000"/>
                <w:szCs w:val="21"/>
                <w:u w:val="single"/>
              </w:rPr>
              <w:t>点</w:t>
            </w:r>
            <w:r>
              <w:rPr>
                <w:rFonts w:hint="eastAsia" w:ascii="宋体" w:hAnsi="宋体" w:cs="宋体"/>
                <w:color w:val="000000"/>
                <w:szCs w:val="21"/>
                <w:u w:val="single"/>
                <w:lang w:val="en-US" w:eastAsia="zh-CN"/>
              </w:rPr>
              <w:t>30</w:t>
            </w:r>
            <w:r>
              <w:rPr>
                <w:rFonts w:hint="eastAsia" w:ascii="宋体" w:hAnsi="宋体" w:cs="宋体"/>
                <w:color w:val="000000"/>
                <w:szCs w:val="21"/>
                <w:u w:val="single"/>
              </w:rPr>
              <w:t>分</w:t>
            </w:r>
            <w:r>
              <w:rPr>
                <w:rFonts w:hint="eastAsia" w:ascii="宋体" w:hAnsi="宋体" w:cs="宋体"/>
                <w:color w:val="000000"/>
                <w:szCs w:val="21"/>
              </w:rPr>
              <w:t>（北京时间）前提交响应文件。</w:t>
            </w:r>
          </w:p>
        </w:tc>
      </w:tr>
    </w:tbl>
    <w:p>
      <w:pPr>
        <w:pStyle w:val="2"/>
        <w:rPr>
          <w:color w:val="000000"/>
        </w:rPr>
      </w:pPr>
    </w:p>
    <w:p>
      <w:pPr>
        <w:pStyle w:val="2"/>
        <w:rPr>
          <w:color w:val="000000"/>
        </w:rPr>
      </w:pPr>
    </w:p>
    <w:p>
      <w:pPr>
        <w:pStyle w:val="4"/>
        <w:pageBreakBefore w:val="0"/>
        <w:widowControl w:val="0"/>
        <w:kinsoku/>
        <w:wordWrap/>
        <w:overflowPunct/>
        <w:topLinePunct w:val="0"/>
        <w:autoSpaceDE/>
        <w:autoSpaceDN/>
        <w:bidi w:val="0"/>
        <w:adjustRightInd/>
        <w:snapToGrid/>
        <w:spacing w:before="0" w:after="0" w:line="340" w:lineRule="exact"/>
        <w:textAlignment w:val="auto"/>
        <w:rPr>
          <w:rFonts w:hint="eastAsia" w:ascii="宋体" w:hAnsi="宋体" w:eastAsia="宋体" w:cs="宋体"/>
          <w:b/>
          <w:bCs w:val="0"/>
          <w:color w:val="000000" w:themeColor="text1"/>
          <w:sz w:val="21"/>
          <w:szCs w:val="21"/>
          <w14:textFill>
            <w14:solidFill>
              <w14:schemeClr w14:val="tx1"/>
            </w14:solidFill>
          </w14:textFill>
        </w:rPr>
      </w:pPr>
      <w:bookmarkStart w:id="1" w:name="_Toc28359012"/>
      <w:bookmarkStart w:id="2" w:name="_Toc28359089"/>
      <w:bookmarkStart w:id="3" w:name="_Toc35393629"/>
      <w:bookmarkStart w:id="4" w:name="_Toc35393798"/>
      <w:r>
        <w:rPr>
          <w:rFonts w:hint="eastAsia" w:ascii="宋体" w:hAnsi="宋体" w:eastAsia="宋体" w:cs="宋体"/>
          <w:b/>
          <w:bCs w:val="0"/>
          <w:color w:val="000000" w:themeColor="text1"/>
          <w:sz w:val="21"/>
          <w:szCs w:val="21"/>
          <w14:textFill>
            <w14:solidFill>
              <w14:schemeClr w14:val="tx1"/>
            </w14:solidFill>
          </w14:textFill>
        </w:rPr>
        <w:t>一、项目基本情况</w:t>
      </w:r>
      <w:bookmarkEnd w:id="1"/>
      <w:bookmarkEnd w:id="2"/>
      <w:bookmarkEnd w:id="3"/>
      <w:bookmarkEnd w:id="4"/>
    </w:p>
    <w:p>
      <w:pPr>
        <w:pageBreakBefore w:val="0"/>
        <w:widowControl w:val="0"/>
        <w:kinsoku/>
        <w:wordWrap/>
        <w:overflowPunct/>
        <w:topLinePunct w:val="0"/>
        <w:bidi w:val="0"/>
        <w:spacing w:line="340" w:lineRule="exact"/>
        <w:ind w:firstLine="420" w:firstLineChars="200"/>
        <w:textAlignment w:val="auto"/>
        <w:rPr>
          <w:rFonts w:ascii="宋体" w:hAnsi="宋体" w:cs="宋体"/>
          <w:color w:val="000000"/>
          <w:szCs w:val="21"/>
        </w:rPr>
      </w:pPr>
      <w:r>
        <w:rPr>
          <w:rFonts w:hint="eastAsia" w:ascii="宋体" w:hAnsi="宋体" w:cs="宋体"/>
          <w:color w:val="000000"/>
          <w:szCs w:val="21"/>
        </w:rPr>
        <w:t xml:space="preserve">项目编号：QZZC2020-C3-60194-GXLJ  </w:t>
      </w:r>
    </w:p>
    <w:p>
      <w:pPr>
        <w:pageBreakBefore w:val="0"/>
        <w:widowControl w:val="0"/>
        <w:kinsoku/>
        <w:wordWrap/>
        <w:overflowPunct/>
        <w:topLinePunct w:val="0"/>
        <w:bidi w:val="0"/>
        <w:spacing w:line="340" w:lineRule="exact"/>
        <w:ind w:firstLine="420" w:firstLineChars="200"/>
        <w:textAlignment w:val="auto"/>
        <w:rPr>
          <w:rFonts w:ascii="宋体" w:hAnsi="宋体" w:cs="宋体"/>
          <w:color w:val="000000"/>
          <w:szCs w:val="21"/>
        </w:rPr>
      </w:pPr>
      <w:r>
        <w:rPr>
          <w:rFonts w:hint="eastAsia" w:ascii="宋体" w:hAnsi="宋体" w:cs="宋体"/>
          <w:color w:val="000000"/>
          <w:szCs w:val="21"/>
        </w:rPr>
        <w:t>项目名称：升级服务采购</w:t>
      </w:r>
    </w:p>
    <w:p>
      <w:pPr>
        <w:pageBreakBefore w:val="0"/>
        <w:widowControl w:val="0"/>
        <w:kinsoku/>
        <w:wordWrap/>
        <w:overflowPunct/>
        <w:topLinePunct w:val="0"/>
        <w:bidi w:val="0"/>
        <w:spacing w:line="340" w:lineRule="exact"/>
        <w:ind w:firstLine="420" w:firstLineChars="200"/>
        <w:textAlignment w:val="auto"/>
        <w:rPr>
          <w:rFonts w:ascii="宋体" w:hAnsi="宋体" w:cs="宋体"/>
          <w:color w:val="000000"/>
          <w:szCs w:val="21"/>
        </w:rPr>
      </w:pPr>
      <w:r>
        <w:rPr>
          <w:rFonts w:hint="eastAsia" w:ascii="宋体" w:hAnsi="宋体" w:cs="宋体"/>
          <w:color w:val="000000"/>
          <w:szCs w:val="21"/>
        </w:rPr>
        <w:t>采购方式：竞争性磋商</w:t>
      </w:r>
    </w:p>
    <w:p>
      <w:pPr>
        <w:pageBreakBefore w:val="0"/>
        <w:widowControl w:val="0"/>
        <w:kinsoku/>
        <w:wordWrap/>
        <w:overflowPunct/>
        <w:topLinePunct w:val="0"/>
        <w:bidi w:val="0"/>
        <w:spacing w:line="340" w:lineRule="exact"/>
        <w:ind w:firstLine="420" w:firstLineChars="200"/>
        <w:textAlignment w:val="auto"/>
        <w:rPr>
          <w:rFonts w:ascii="宋体" w:hAnsi="宋体" w:cs="宋体"/>
          <w:color w:val="000000"/>
          <w:szCs w:val="21"/>
        </w:rPr>
      </w:pPr>
      <w:r>
        <w:rPr>
          <w:rFonts w:hint="eastAsia" w:ascii="宋体" w:hAnsi="宋体" w:cs="宋体"/>
          <w:color w:val="000000"/>
          <w:szCs w:val="21"/>
        </w:rPr>
        <w:t>预算金额：750000.00元</w:t>
      </w:r>
    </w:p>
    <w:p>
      <w:pPr>
        <w:pageBreakBefore w:val="0"/>
        <w:widowControl w:val="0"/>
        <w:kinsoku/>
        <w:wordWrap/>
        <w:overflowPunct/>
        <w:topLinePunct w:val="0"/>
        <w:bidi w:val="0"/>
        <w:spacing w:line="340" w:lineRule="exact"/>
        <w:ind w:firstLine="420" w:firstLineChars="200"/>
        <w:textAlignment w:val="auto"/>
        <w:rPr>
          <w:rFonts w:ascii="宋体" w:hAnsi="宋体" w:cs="宋体"/>
          <w:color w:val="000000"/>
          <w:szCs w:val="21"/>
        </w:rPr>
      </w:pPr>
      <w:r>
        <w:rPr>
          <w:rFonts w:hint="eastAsia" w:ascii="宋体" w:hAnsi="宋体" w:cs="宋体"/>
          <w:color w:val="000000"/>
          <w:szCs w:val="21"/>
        </w:rPr>
        <w:t>最高限价：同预算金额</w:t>
      </w:r>
    </w:p>
    <w:p>
      <w:pPr>
        <w:pageBreakBefore w:val="0"/>
        <w:widowControl w:val="0"/>
        <w:kinsoku/>
        <w:wordWrap/>
        <w:overflowPunct/>
        <w:topLinePunct w:val="0"/>
        <w:bidi w:val="0"/>
        <w:spacing w:line="340" w:lineRule="exact"/>
        <w:ind w:firstLine="420" w:firstLineChars="200"/>
        <w:textAlignment w:val="auto"/>
        <w:rPr>
          <w:rFonts w:ascii="宋体" w:hAnsi="宋体" w:cs="宋体"/>
          <w:color w:val="000000"/>
        </w:rPr>
      </w:pPr>
      <w:r>
        <w:rPr>
          <w:rFonts w:hint="eastAsia" w:ascii="宋体" w:hAnsi="宋体" w:cs="宋体"/>
          <w:color w:val="000000"/>
          <w:szCs w:val="21"/>
        </w:rPr>
        <w:t>采购需求：口腔全景牙片机升级</w:t>
      </w:r>
      <w:r>
        <w:rPr>
          <w:rFonts w:hint="eastAsia" w:ascii="宋体" w:hAnsi="宋体" w:cs="宋体"/>
          <w:color w:val="000000"/>
          <w:szCs w:val="21"/>
          <w:highlight w:val="none"/>
        </w:rPr>
        <w:t>为</w:t>
      </w:r>
      <w:r>
        <w:rPr>
          <w:rFonts w:hint="eastAsia" w:cs="宋体"/>
          <w:color w:val="000000" w:themeColor="text1"/>
          <w:kern w:val="0"/>
          <w:szCs w:val="21"/>
          <w:highlight w:val="none"/>
          <w14:textFill>
            <w14:solidFill>
              <w14:schemeClr w14:val="tx1"/>
            </w14:solidFill>
          </w14:textFill>
        </w:rPr>
        <w:t>口腔颌面锥形束计算机体层摄影：x-trena(ct)服务</w:t>
      </w:r>
      <w:r>
        <w:rPr>
          <w:rFonts w:hint="eastAsia" w:ascii="宋体" w:hAnsi="宋体" w:cs="宋体"/>
          <w:color w:val="000000"/>
          <w:highlight w:val="none"/>
        </w:rPr>
        <w:t xml:space="preserve"> ，详见</w:t>
      </w:r>
      <w:r>
        <w:rPr>
          <w:rFonts w:hint="eastAsia" w:ascii="宋体" w:hAnsi="宋体" w:cs="宋体"/>
          <w:szCs w:val="21"/>
        </w:rPr>
        <w:t>竞争性磋商文件</w:t>
      </w:r>
      <w:r>
        <w:rPr>
          <w:rFonts w:hint="eastAsia" w:ascii="宋体" w:hAnsi="宋体" w:cs="宋体"/>
          <w:color w:val="000000"/>
        </w:rPr>
        <w:t>。</w:t>
      </w:r>
    </w:p>
    <w:p>
      <w:pPr>
        <w:pageBreakBefore w:val="0"/>
        <w:widowControl w:val="0"/>
        <w:kinsoku/>
        <w:wordWrap/>
        <w:overflowPunct/>
        <w:topLinePunct w:val="0"/>
        <w:bidi w:val="0"/>
        <w:spacing w:line="340" w:lineRule="exact"/>
        <w:ind w:firstLine="420" w:firstLineChars="200"/>
        <w:textAlignment w:val="auto"/>
        <w:rPr>
          <w:rFonts w:ascii="宋体" w:hAnsi="宋体" w:cs="宋体"/>
          <w:color w:val="000000"/>
          <w:szCs w:val="21"/>
        </w:rPr>
      </w:pPr>
      <w:r>
        <w:rPr>
          <w:rFonts w:hint="eastAsia" w:ascii="宋体" w:hAnsi="宋体" w:cs="宋体"/>
          <w:color w:val="000000"/>
          <w:szCs w:val="21"/>
        </w:rPr>
        <w:t>合同履行期限：签订合</w:t>
      </w:r>
      <w:r>
        <w:rPr>
          <w:rFonts w:hint="eastAsia" w:ascii="宋体" w:hAnsi="宋体" w:cs="宋体"/>
          <w:color w:val="000000"/>
          <w:szCs w:val="21"/>
          <w:highlight w:val="none"/>
        </w:rPr>
        <w:t>同后</w:t>
      </w:r>
      <w:r>
        <w:rPr>
          <w:rFonts w:hint="eastAsia" w:ascii="宋体" w:hAnsi="宋体" w:cs="宋体"/>
          <w:color w:val="000000"/>
          <w:szCs w:val="21"/>
          <w:highlight w:val="none"/>
          <w:u w:val="single"/>
        </w:rPr>
        <w:t>45</w:t>
      </w:r>
      <w:r>
        <w:rPr>
          <w:rFonts w:hint="eastAsia" w:cs="宋体"/>
          <w:color w:val="000000" w:themeColor="text1"/>
          <w:kern w:val="0"/>
          <w:szCs w:val="21"/>
          <w:highlight w:val="none"/>
          <w:u w:val="single"/>
          <w14:textFill>
            <w14:solidFill>
              <w14:schemeClr w14:val="tx1"/>
            </w14:solidFill>
          </w14:textFill>
        </w:rPr>
        <w:t>日</w:t>
      </w:r>
      <w:r>
        <w:rPr>
          <w:rFonts w:hint="eastAsia" w:cs="宋体"/>
          <w:color w:val="000000" w:themeColor="text1"/>
          <w:kern w:val="0"/>
          <w:szCs w:val="21"/>
          <w:highlight w:val="none"/>
          <w14:textFill>
            <w14:solidFill>
              <w14:schemeClr w14:val="tx1"/>
            </w14:solidFill>
          </w14:textFill>
        </w:rPr>
        <w:t>历天提交</w:t>
      </w:r>
      <w:r>
        <w:rPr>
          <w:rFonts w:hint="eastAsia" w:ascii="宋体" w:hAnsi="宋体" w:cs="宋体"/>
          <w:kern w:val="0"/>
          <w:szCs w:val="21"/>
          <w:highlight w:val="none"/>
        </w:rPr>
        <w:t>升级</w:t>
      </w:r>
      <w:r>
        <w:rPr>
          <w:rFonts w:hint="eastAsia" w:ascii="宋体" w:hAnsi="宋体" w:cs="宋体"/>
          <w:kern w:val="0"/>
          <w:szCs w:val="21"/>
        </w:rPr>
        <w:t>服务</w:t>
      </w:r>
      <w:r>
        <w:rPr>
          <w:rFonts w:hint="eastAsia" w:cs="宋体"/>
          <w:color w:val="000000" w:themeColor="text1"/>
          <w:kern w:val="0"/>
          <w:szCs w:val="21"/>
          <w14:textFill>
            <w14:solidFill>
              <w14:schemeClr w14:val="tx1"/>
            </w14:solidFill>
          </w14:textFill>
        </w:rPr>
        <w:t>成果。</w:t>
      </w:r>
    </w:p>
    <w:p>
      <w:pPr>
        <w:pageBreakBefore w:val="0"/>
        <w:widowControl w:val="0"/>
        <w:kinsoku/>
        <w:wordWrap/>
        <w:overflowPunct/>
        <w:topLinePunct w:val="0"/>
        <w:bidi w:val="0"/>
        <w:spacing w:line="340" w:lineRule="exact"/>
        <w:ind w:firstLine="420" w:firstLineChars="200"/>
        <w:textAlignment w:val="auto"/>
        <w:rPr>
          <w:rFonts w:ascii="宋体" w:hAnsi="宋体" w:cs="宋体"/>
          <w:color w:val="000000"/>
          <w:szCs w:val="21"/>
        </w:rPr>
      </w:pPr>
      <w:r>
        <w:rPr>
          <w:rFonts w:hint="eastAsia" w:ascii="宋体" w:hAnsi="宋体" w:cs="宋体"/>
          <w:color w:val="000000"/>
          <w:szCs w:val="21"/>
        </w:rPr>
        <w:t>本项目不接受联合体</w:t>
      </w:r>
      <w:r>
        <w:rPr>
          <w:rFonts w:ascii="宋体" w:hAnsi="宋体" w:cs="宋体"/>
          <w:color w:val="000000"/>
          <w:szCs w:val="21"/>
        </w:rPr>
        <w:t>。</w:t>
      </w:r>
    </w:p>
    <w:p>
      <w:pPr>
        <w:pStyle w:val="4"/>
        <w:pageBreakBefore w:val="0"/>
        <w:widowControl w:val="0"/>
        <w:kinsoku/>
        <w:wordWrap/>
        <w:overflowPunct/>
        <w:topLinePunct w:val="0"/>
        <w:autoSpaceDE/>
        <w:autoSpaceDN/>
        <w:bidi w:val="0"/>
        <w:adjustRightInd/>
        <w:snapToGrid/>
        <w:spacing w:before="0" w:after="0" w:line="340" w:lineRule="exact"/>
        <w:textAlignment w:val="auto"/>
        <w:rPr>
          <w:rFonts w:hint="eastAsia" w:ascii="宋体" w:hAnsi="宋体" w:eastAsia="宋体" w:cs="宋体"/>
          <w:b/>
          <w:bCs w:val="0"/>
          <w:color w:val="000000" w:themeColor="text1"/>
          <w:sz w:val="21"/>
          <w:szCs w:val="21"/>
          <w14:textFill>
            <w14:solidFill>
              <w14:schemeClr w14:val="tx1"/>
            </w14:solidFill>
          </w14:textFill>
        </w:rPr>
      </w:pPr>
      <w:bookmarkStart w:id="5" w:name="_Toc35393799"/>
      <w:bookmarkStart w:id="6" w:name="_Toc28359013"/>
      <w:bookmarkStart w:id="7" w:name="_Toc28359090"/>
      <w:bookmarkStart w:id="8" w:name="_Toc35393630"/>
      <w:r>
        <w:rPr>
          <w:rFonts w:hint="eastAsia" w:ascii="宋体" w:hAnsi="宋体" w:eastAsia="宋体" w:cs="宋体"/>
          <w:b/>
          <w:bCs w:val="0"/>
          <w:color w:val="000000" w:themeColor="text1"/>
          <w:sz w:val="21"/>
          <w:szCs w:val="21"/>
          <w14:textFill>
            <w14:solidFill>
              <w14:schemeClr w14:val="tx1"/>
            </w14:solidFill>
          </w14:textFill>
        </w:rPr>
        <w:t>二、申请人的资格要求：</w:t>
      </w:r>
      <w:bookmarkEnd w:id="5"/>
      <w:bookmarkEnd w:id="6"/>
      <w:bookmarkEnd w:id="7"/>
      <w:bookmarkEnd w:id="8"/>
    </w:p>
    <w:p>
      <w:pPr>
        <w:pageBreakBefore w:val="0"/>
        <w:widowControl w:val="0"/>
        <w:kinsoku/>
        <w:wordWrap/>
        <w:overflowPunct/>
        <w:topLinePunct w:val="0"/>
        <w:bidi w:val="0"/>
        <w:snapToGrid w:val="0"/>
        <w:spacing w:line="340" w:lineRule="exact"/>
        <w:ind w:firstLine="420" w:firstLineChars="200"/>
        <w:textAlignment w:val="auto"/>
        <w:rPr>
          <w:rFonts w:ascii="宋体" w:hAnsi="宋体" w:cs="宋体"/>
          <w:color w:val="000000"/>
          <w:szCs w:val="21"/>
        </w:rPr>
      </w:pPr>
      <w:r>
        <w:rPr>
          <w:rFonts w:hint="eastAsia" w:ascii="宋体" w:hAnsi="宋体" w:cs="宋体"/>
          <w:szCs w:val="21"/>
        </w:rPr>
        <w:t>1.符合《中华人民共和国政</w:t>
      </w:r>
      <w:r>
        <w:rPr>
          <w:rFonts w:hint="eastAsia" w:ascii="宋体" w:hAnsi="宋体" w:cs="宋体"/>
          <w:color w:val="000000"/>
          <w:szCs w:val="21"/>
        </w:rPr>
        <w:t xml:space="preserve">府采购法》第二十二条规定。 </w:t>
      </w:r>
    </w:p>
    <w:p>
      <w:pPr>
        <w:pageBreakBefore w:val="0"/>
        <w:widowControl w:val="0"/>
        <w:kinsoku/>
        <w:wordWrap/>
        <w:overflowPunct/>
        <w:topLinePunct w:val="0"/>
        <w:bidi w:val="0"/>
        <w:spacing w:line="340" w:lineRule="exact"/>
        <w:ind w:firstLine="420" w:firstLineChars="200"/>
        <w:textAlignment w:val="auto"/>
        <w:rPr>
          <w:rFonts w:hint="eastAsia" w:ascii="宋体" w:hAnsi="宋体" w:eastAsia="宋体" w:cs="宋体"/>
          <w:color w:val="000000"/>
          <w:szCs w:val="21"/>
          <w:lang w:val="en-US" w:eastAsia="zh-CN"/>
        </w:rPr>
      </w:pPr>
      <w:r>
        <w:rPr>
          <w:rFonts w:hint="eastAsia" w:ascii="宋体" w:hAnsi="宋体" w:cs="宋体"/>
          <w:color w:val="000000"/>
          <w:szCs w:val="21"/>
        </w:rPr>
        <w:t>2.落实政府采购政策需满足的资</w:t>
      </w:r>
      <w:r>
        <w:rPr>
          <w:rFonts w:hint="eastAsia" w:ascii="宋体" w:hAnsi="宋体" w:cs="宋体"/>
          <w:color w:val="000000"/>
          <w:szCs w:val="21"/>
          <w:highlight w:val="none"/>
        </w:rPr>
        <w:t>格要求：</w:t>
      </w:r>
      <w:r>
        <w:rPr>
          <w:rFonts w:hint="eastAsia" w:ascii="宋体" w:hAnsi="宋体" w:cs="宋体"/>
          <w:color w:val="000000"/>
          <w:szCs w:val="21"/>
          <w:highlight w:val="none"/>
          <w:lang w:eastAsia="zh-CN"/>
        </w:rPr>
        <w:t>无。</w:t>
      </w:r>
    </w:p>
    <w:p>
      <w:pPr>
        <w:pStyle w:val="24"/>
        <w:pageBreakBefore w:val="0"/>
        <w:widowControl w:val="0"/>
        <w:kinsoku/>
        <w:wordWrap/>
        <w:overflowPunct/>
        <w:topLinePunct w:val="0"/>
        <w:bidi w:val="0"/>
        <w:spacing w:line="340" w:lineRule="exact"/>
        <w:ind w:firstLine="420" w:firstLineChars="200"/>
        <w:textAlignment w:val="auto"/>
      </w:pPr>
      <w:r>
        <w:rPr>
          <w:rFonts w:hint="eastAsia" w:ascii="宋体" w:hAnsi="宋体" w:cs="宋体"/>
          <w:bCs w:val="0"/>
          <w:color w:val="000000"/>
          <w:spacing w:val="0"/>
          <w:kern w:val="2"/>
          <w:sz w:val="21"/>
          <w:szCs w:val="21"/>
        </w:rPr>
        <w:t>3</w:t>
      </w:r>
      <w:r>
        <w:rPr>
          <w:rFonts w:hint="eastAsia" w:ascii="宋体" w:hAnsi="宋体" w:cs="宋体"/>
          <w:bCs w:val="0"/>
          <w:color w:val="000000"/>
          <w:spacing w:val="0"/>
          <w:kern w:val="2"/>
          <w:sz w:val="21"/>
          <w:szCs w:val="21"/>
          <w:lang w:val="en-US" w:eastAsia="zh-CN"/>
        </w:rPr>
        <w:t>.</w:t>
      </w:r>
      <w:r>
        <w:rPr>
          <w:rFonts w:ascii="宋体" w:hAnsi="宋体" w:cs="宋体"/>
          <w:bCs w:val="0"/>
          <w:color w:val="000000"/>
          <w:spacing w:val="0"/>
          <w:kern w:val="2"/>
          <w:sz w:val="21"/>
          <w:szCs w:val="21"/>
        </w:rPr>
        <w:t>具备行业主管部门颁发的有效医疗器械生产或经营许可证。</w:t>
      </w:r>
    </w:p>
    <w:p>
      <w:pPr>
        <w:pageBreakBefore w:val="0"/>
        <w:widowControl w:val="0"/>
        <w:kinsoku/>
        <w:wordWrap/>
        <w:overflowPunct/>
        <w:topLinePunct w:val="0"/>
        <w:bidi w:val="0"/>
        <w:spacing w:line="340" w:lineRule="exact"/>
        <w:ind w:firstLine="420" w:firstLineChars="200"/>
        <w:textAlignment w:val="auto"/>
        <w:rPr>
          <w:rFonts w:ascii="宋体" w:hAnsi="宋体" w:cs="宋体"/>
          <w:color w:val="000000"/>
          <w:szCs w:val="21"/>
        </w:rPr>
      </w:pPr>
      <w:bookmarkStart w:id="9" w:name="_Toc28359014"/>
      <w:bookmarkStart w:id="10" w:name="_Toc28359091"/>
      <w:r>
        <w:rPr>
          <w:rFonts w:hint="eastAsia" w:ascii="宋体" w:hAnsi="宋体" w:cs="宋体"/>
          <w:color w:val="000000"/>
          <w:szCs w:val="21"/>
        </w:rPr>
        <w:t>4.对在“信用中国”网站(www.creditchina.gov.cn)及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bookmarkEnd w:id="9"/>
    <w:bookmarkEnd w:id="10"/>
    <w:p>
      <w:pPr>
        <w:pStyle w:val="4"/>
        <w:pageBreakBefore w:val="0"/>
        <w:widowControl w:val="0"/>
        <w:kinsoku/>
        <w:wordWrap/>
        <w:overflowPunct/>
        <w:topLinePunct w:val="0"/>
        <w:autoSpaceDE/>
        <w:autoSpaceDN/>
        <w:bidi w:val="0"/>
        <w:adjustRightInd/>
        <w:snapToGrid/>
        <w:spacing w:before="0" w:after="0" w:line="340" w:lineRule="exact"/>
        <w:textAlignment w:val="auto"/>
        <w:rPr>
          <w:rFonts w:hint="eastAsia" w:ascii="宋体" w:hAnsi="宋体" w:eastAsia="宋体" w:cs="宋体"/>
          <w:b/>
          <w:bCs w:val="0"/>
          <w:color w:val="000000" w:themeColor="text1"/>
          <w:sz w:val="21"/>
          <w:szCs w:val="21"/>
          <w14:textFill>
            <w14:solidFill>
              <w14:schemeClr w14:val="tx1"/>
            </w14:solidFill>
          </w14:textFill>
        </w:rPr>
      </w:pPr>
      <w:bookmarkStart w:id="11" w:name="_Toc35393631"/>
      <w:bookmarkStart w:id="12" w:name="_Toc35393800"/>
      <w:r>
        <w:rPr>
          <w:rFonts w:hint="eastAsia" w:ascii="宋体" w:hAnsi="宋体" w:eastAsia="宋体" w:cs="宋体"/>
          <w:b/>
          <w:bCs w:val="0"/>
          <w:color w:val="000000" w:themeColor="text1"/>
          <w:sz w:val="21"/>
          <w:szCs w:val="21"/>
          <w14:textFill>
            <w14:solidFill>
              <w14:schemeClr w14:val="tx1"/>
            </w14:solidFill>
          </w14:textFill>
        </w:rPr>
        <w:t>三、获取采购文件</w:t>
      </w:r>
      <w:bookmarkEnd w:id="11"/>
      <w:bookmarkEnd w:id="12"/>
    </w:p>
    <w:p>
      <w:pPr>
        <w:pageBreakBefore w:val="0"/>
        <w:widowControl w:val="0"/>
        <w:kinsoku/>
        <w:wordWrap/>
        <w:overflowPunct/>
        <w:topLinePunct w:val="0"/>
        <w:bidi w:val="0"/>
        <w:spacing w:line="340" w:lineRule="exact"/>
        <w:ind w:firstLine="540"/>
        <w:textAlignment w:val="auto"/>
        <w:rPr>
          <w:rFonts w:ascii="宋体" w:hAnsi="宋体" w:cs="宋体"/>
          <w:color w:val="000000"/>
          <w:szCs w:val="21"/>
        </w:rPr>
      </w:pPr>
      <w:r>
        <w:rPr>
          <w:rFonts w:hint="eastAsia" w:ascii="宋体" w:hAnsi="宋体" w:cs="宋体"/>
          <w:color w:val="000000"/>
          <w:szCs w:val="21"/>
        </w:rPr>
        <w:t>时间：</w:t>
      </w:r>
      <w:r>
        <w:rPr>
          <w:rFonts w:hint="eastAsia" w:ascii="宋体" w:hAnsi="宋体" w:cs="宋体"/>
          <w:color w:val="000000"/>
          <w:szCs w:val="21"/>
          <w:u w:val="single"/>
        </w:rPr>
        <w:t>2020年</w:t>
      </w:r>
      <w:r>
        <w:rPr>
          <w:rFonts w:hint="eastAsia" w:ascii="宋体" w:hAnsi="宋体" w:cs="宋体"/>
          <w:color w:val="000000"/>
          <w:szCs w:val="21"/>
          <w:u w:val="single"/>
          <w:lang w:val="en-US" w:eastAsia="zh-CN"/>
        </w:rPr>
        <w:t>11</w:t>
      </w:r>
      <w:r>
        <w:rPr>
          <w:rFonts w:hint="eastAsia" w:ascii="宋体" w:hAnsi="宋体" w:cs="宋体"/>
          <w:color w:val="000000"/>
          <w:szCs w:val="21"/>
          <w:u w:val="single"/>
        </w:rPr>
        <w:t xml:space="preserve">月  </w:t>
      </w:r>
      <w:r>
        <w:rPr>
          <w:rFonts w:hint="eastAsia" w:ascii="宋体" w:hAnsi="宋体" w:cs="宋体"/>
          <w:color w:val="000000"/>
          <w:szCs w:val="21"/>
          <w:u w:val="single"/>
          <w:lang w:val="en-US" w:eastAsia="zh-CN"/>
        </w:rPr>
        <w:t>18</w:t>
      </w:r>
      <w:r>
        <w:rPr>
          <w:rFonts w:hint="eastAsia" w:ascii="宋体" w:hAnsi="宋体" w:cs="宋体"/>
          <w:color w:val="000000"/>
          <w:szCs w:val="21"/>
          <w:u w:val="single"/>
        </w:rPr>
        <w:t xml:space="preserve"> 日</w:t>
      </w:r>
      <w:r>
        <w:rPr>
          <w:rFonts w:hint="eastAsia" w:ascii="宋体" w:hAnsi="宋体" w:cs="宋体"/>
          <w:color w:val="000000"/>
          <w:szCs w:val="21"/>
        </w:rPr>
        <w:t>至</w:t>
      </w:r>
      <w:r>
        <w:rPr>
          <w:rFonts w:hint="eastAsia" w:ascii="宋体" w:hAnsi="宋体" w:cs="宋体"/>
          <w:color w:val="000000"/>
          <w:szCs w:val="21"/>
          <w:u w:val="single"/>
        </w:rPr>
        <w:t xml:space="preserve">2020年 </w:t>
      </w:r>
      <w:r>
        <w:rPr>
          <w:rFonts w:hint="eastAsia" w:ascii="宋体" w:hAnsi="宋体" w:cs="宋体"/>
          <w:color w:val="000000"/>
          <w:szCs w:val="21"/>
          <w:u w:val="single"/>
          <w:lang w:val="en-US" w:eastAsia="zh-CN"/>
        </w:rPr>
        <w:t>11</w:t>
      </w:r>
      <w:r>
        <w:rPr>
          <w:rFonts w:hint="eastAsia" w:ascii="宋体" w:hAnsi="宋体" w:cs="宋体"/>
          <w:color w:val="000000"/>
          <w:szCs w:val="21"/>
          <w:u w:val="single"/>
        </w:rPr>
        <w:t xml:space="preserve">月 </w:t>
      </w:r>
      <w:r>
        <w:rPr>
          <w:rFonts w:hint="eastAsia" w:ascii="宋体" w:hAnsi="宋体" w:cs="宋体"/>
          <w:color w:val="000000"/>
          <w:szCs w:val="21"/>
          <w:u w:val="single"/>
          <w:lang w:val="en-US" w:eastAsia="zh-CN"/>
        </w:rPr>
        <w:t>25</w:t>
      </w:r>
      <w:r>
        <w:rPr>
          <w:rFonts w:hint="eastAsia" w:ascii="宋体" w:hAnsi="宋体" w:cs="宋体"/>
          <w:color w:val="000000"/>
          <w:szCs w:val="21"/>
          <w:u w:val="single"/>
        </w:rPr>
        <w:t xml:space="preserve"> 日</w:t>
      </w:r>
      <w:r>
        <w:rPr>
          <w:rFonts w:hint="eastAsia" w:ascii="宋体" w:hAnsi="宋体" w:cs="宋体"/>
          <w:color w:val="000000"/>
          <w:szCs w:val="21"/>
        </w:rPr>
        <w:t>，每天上午</w:t>
      </w:r>
      <w:r>
        <w:rPr>
          <w:rFonts w:hint="eastAsia" w:ascii="宋体" w:hAnsi="宋体" w:cs="宋体"/>
          <w:color w:val="000000"/>
          <w:szCs w:val="21"/>
          <w:u w:val="single"/>
        </w:rPr>
        <w:t>8:00</w:t>
      </w:r>
      <w:r>
        <w:rPr>
          <w:rFonts w:hint="eastAsia" w:ascii="宋体" w:hAnsi="宋体" w:cs="宋体"/>
          <w:color w:val="000000"/>
          <w:szCs w:val="21"/>
        </w:rPr>
        <w:t>至</w:t>
      </w:r>
      <w:r>
        <w:rPr>
          <w:rFonts w:hint="eastAsia" w:ascii="宋体" w:hAnsi="宋体" w:cs="宋体"/>
          <w:color w:val="000000"/>
          <w:szCs w:val="21"/>
          <w:u w:val="single"/>
        </w:rPr>
        <w:t>12:00</w:t>
      </w:r>
      <w:r>
        <w:rPr>
          <w:rFonts w:hint="eastAsia" w:ascii="宋体" w:hAnsi="宋体" w:cs="宋体"/>
          <w:color w:val="000000"/>
          <w:szCs w:val="21"/>
        </w:rPr>
        <w:t>，下午</w:t>
      </w:r>
      <w:r>
        <w:rPr>
          <w:rFonts w:hint="eastAsia" w:ascii="宋体" w:hAnsi="宋体" w:cs="宋体"/>
          <w:color w:val="000000"/>
          <w:szCs w:val="21"/>
          <w:u w:val="single"/>
        </w:rPr>
        <w:t>15:00</w:t>
      </w:r>
      <w:r>
        <w:rPr>
          <w:rFonts w:hint="eastAsia" w:ascii="宋体" w:hAnsi="宋体" w:cs="宋体"/>
          <w:color w:val="000000"/>
          <w:szCs w:val="21"/>
        </w:rPr>
        <w:t>至</w:t>
      </w:r>
      <w:r>
        <w:rPr>
          <w:rFonts w:hint="eastAsia" w:ascii="宋体" w:hAnsi="宋体" w:cs="宋体"/>
          <w:color w:val="000000"/>
          <w:szCs w:val="21"/>
          <w:u w:val="single"/>
        </w:rPr>
        <w:t>18:00</w:t>
      </w:r>
      <w:r>
        <w:rPr>
          <w:rFonts w:hint="eastAsia" w:ascii="宋体" w:hAnsi="宋体" w:cs="宋体"/>
          <w:color w:val="000000"/>
          <w:szCs w:val="21"/>
        </w:rPr>
        <w:t>（北京时间，法定节假日除外 ）</w:t>
      </w:r>
    </w:p>
    <w:p>
      <w:pPr>
        <w:pageBreakBefore w:val="0"/>
        <w:widowControl w:val="0"/>
        <w:kinsoku/>
        <w:wordWrap/>
        <w:overflowPunct/>
        <w:topLinePunct w:val="0"/>
        <w:bidi w:val="0"/>
        <w:spacing w:line="340" w:lineRule="exact"/>
        <w:ind w:firstLine="540"/>
        <w:textAlignment w:val="auto"/>
        <w:rPr>
          <w:rFonts w:ascii="宋体" w:hAnsi="宋体" w:cs="宋体"/>
          <w:color w:val="000000"/>
          <w:szCs w:val="21"/>
          <w:u w:val="single"/>
        </w:rPr>
      </w:pPr>
      <w:r>
        <w:rPr>
          <w:rFonts w:hint="eastAsia" w:ascii="宋体" w:hAnsi="宋体" w:cs="宋体"/>
          <w:color w:val="000000"/>
          <w:szCs w:val="21"/>
        </w:rPr>
        <w:t>地点：</w:t>
      </w:r>
      <w:r>
        <w:rPr>
          <w:rFonts w:hint="eastAsia" w:ascii="宋体" w:hAnsi="宋体" w:cs="宋体"/>
          <w:color w:val="000000"/>
          <w:szCs w:val="21"/>
          <w:u w:val="single"/>
        </w:rPr>
        <w:t>广西龙建工程管理有限公司（地址：钦州市钦南区子材东大街8号奥林财富1号楼11层）</w:t>
      </w:r>
    </w:p>
    <w:p>
      <w:pPr>
        <w:pageBreakBefore w:val="0"/>
        <w:widowControl w:val="0"/>
        <w:kinsoku/>
        <w:wordWrap/>
        <w:overflowPunct/>
        <w:topLinePunct w:val="0"/>
        <w:bidi w:val="0"/>
        <w:spacing w:line="340" w:lineRule="exact"/>
        <w:ind w:firstLine="540"/>
        <w:textAlignment w:val="auto"/>
        <w:rPr>
          <w:rFonts w:ascii="宋体" w:hAnsi="宋体" w:cs="宋体"/>
          <w:b/>
          <w:bCs/>
          <w:color w:val="000000"/>
          <w:szCs w:val="21"/>
          <w:u w:val="single"/>
        </w:rPr>
      </w:pPr>
      <w:r>
        <w:rPr>
          <w:rFonts w:hint="eastAsia" w:ascii="宋体" w:hAnsi="宋体" w:cs="宋体"/>
          <w:color w:val="000000"/>
          <w:szCs w:val="21"/>
        </w:rPr>
        <w:t>方式：</w:t>
      </w:r>
      <w:r>
        <w:rPr>
          <w:rFonts w:hint="eastAsia" w:ascii="宋体" w:hAnsi="宋体" w:cs="宋体"/>
          <w:color w:val="000000"/>
        </w:rPr>
        <w:t>竞标单位营业执照三证合一副本复印件加盖公章、法定代表人或委托代理人身份证复印件加盖公章（原件核查）、委托时须提供代理授权委托书原件。提供上述材料无误后购买。</w:t>
      </w:r>
      <w:r>
        <w:rPr>
          <w:rFonts w:hint="eastAsia" w:ascii="宋体" w:hAnsi="宋体" w:cs="宋体"/>
          <w:b/>
          <w:bCs/>
          <w:color w:val="000000"/>
        </w:rPr>
        <w:t>现场购买采购文件后，请在政采云上获取采购文件。</w:t>
      </w:r>
    </w:p>
    <w:p>
      <w:pPr>
        <w:pageBreakBefore w:val="0"/>
        <w:widowControl w:val="0"/>
        <w:kinsoku/>
        <w:wordWrap/>
        <w:overflowPunct/>
        <w:topLinePunct w:val="0"/>
        <w:bidi w:val="0"/>
        <w:spacing w:line="340" w:lineRule="exact"/>
        <w:ind w:firstLine="540"/>
        <w:textAlignment w:val="auto"/>
        <w:rPr>
          <w:rFonts w:ascii="宋体" w:hAnsi="宋体" w:cs="宋体"/>
          <w:color w:val="000000"/>
          <w:szCs w:val="21"/>
        </w:rPr>
      </w:pPr>
      <w:r>
        <w:rPr>
          <w:rFonts w:hint="eastAsia" w:ascii="宋体" w:hAnsi="宋体" w:cs="宋体"/>
          <w:color w:val="000000"/>
          <w:szCs w:val="21"/>
        </w:rPr>
        <w:t>售价：</w:t>
      </w:r>
      <w:r>
        <w:rPr>
          <w:rFonts w:hint="eastAsia" w:ascii="宋体" w:hAnsi="宋体" w:cs="宋体"/>
          <w:color w:val="000000"/>
        </w:rPr>
        <w:t>工本费每本250元，售后不退。</w:t>
      </w:r>
    </w:p>
    <w:p>
      <w:pPr>
        <w:pStyle w:val="4"/>
        <w:pageBreakBefore w:val="0"/>
        <w:widowControl w:val="0"/>
        <w:kinsoku/>
        <w:wordWrap/>
        <w:overflowPunct/>
        <w:topLinePunct w:val="0"/>
        <w:autoSpaceDE/>
        <w:autoSpaceDN/>
        <w:bidi w:val="0"/>
        <w:adjustRightInd/>
        <w:snapToGrid/>
        <w:spacing w:before="0" w:after="0" w:line="340" w:lineRule="exact"/>
        <w:textAlignment w:val="auto"/>
        <w:rPr>
          <w:rFonts w:hint="eastAsia" w:ascii="宋体" w:hAnsi="宋体" w:eastAsia="宋体" w:cs="宋体"/>
          <w:b/>
          <w:bCs w:val="0"/>
          <w:color w:val="000000" w:themeColor="text1"/>
          <w:sz w:val="21"/>
          <w:szCs w:val="21"/>
          <w14:textFill>
            <w14:solidFill>
              <w14:schemeClr w14:val="tx1"/>
            </w14:solidFill>
          </w14:textFill>
        </w:rPr>
      </w:pPr>
      <w:bookmarkStart w:id="13" w:name="_Toc35393632"/>
      <w:bookmarkStart w:id="14" w:name="_Toc35393801"/>
      <w:bookmarkStart w:id="15" w:name="_Toc28359092"/>
      <w:bookmarkStart w:id="16" w:name="_Toc28359015"/>
      <w:r>
        <w:rPr>
          <w:rFonts w:hint="eastAsia" w:ascii="宋体" w:hAnsi="宋体" w:eastAsia="宋体" w:cs="宋体"/>
          <w:b/>
          <w:bCs w:val="0"/>
          <w:color w:val="000000" w:themeColor="text1"/>
          <w:sz w:val="21"/>
          <w:szCs w:val="21"/>
          <w14:textFill>
            <w14:solidFill>
              <w14:schemeClr w14:val="tx1"/>
            </w14:solidFill>
          </w14:textFill>
        </w:rPr>
        <w:t>四、响应文件提交</w:t>
      </w:r>
      <w:bookmarkEnd w:id="13"/>
      <w:bookmarkEnd w:id="14"/>
      <w:bookmarkEnd w:id="15"/>
      <w:bookmarkEnd w:id="16"/>
    </w:p>
    <w:p>
      <w:pPr>
        <w:pageBreakBefore w:val="0"/>
        <w:widowControl w:val="0"/>
        <w:kinsoku/>
        <w:wordWrap/>
        <w:overflowPunct/>
        <w:topLinePunct w:val="0"/>
        <w:bidi w:val="0"/>
        <w:spacing w:line="340" w:lineRule="exact"/>
        <w:ind w:firstLine="420" w:firstLineChars="200"/>
        <w:textAlignment w:val="auto"/>
        <w:rPr>
          <w:rFonts w:ascii="宋体"/>
          <w:color w:val="000000"/>
        </w:rPr>
      </w:pPr>
      <w:r>
        <w:rPr>
          <w:rFonts w:hint="eastAsia" w:ascii="宋体" w:hAnsi="宋体" w:cs="宋体"/>
          <w:color w:val="000000"/>
          <w:szCs w:val="21"/>
        </w:rPr>
        <w:t>截止时间：</w:t>
      </w:r>
      <w:r>
        <w:rPr>
          <w:rFonts w:hint="eastAsia" w:ascii="宋体" w:hAnsi="宋体" w:cs="宋体"/>
          <w:color w:val="000000"/>
          <w:szCs w:val="21"/>
          <w:u w:val="single"/>
        </w:rPr>
        <w:t>2020年</w:t>
      </w:r>
      <w:r>
        <w:rPr>
          <w:rFonts w:hint="eastAsia" w:ascii="宋体" w:hAnsi="宋体" w:cs="宋体"/>
          <w:color w:val="000000"/>
          <w:szCs w:val="21"/>
          <w:u w:val="single"/>
          <w:lang w:val="en-US" w:eastAsia="zh-CN"/>
        </w:rPr>
        <w:t>11</w:t>
      </w:r>
      <w:r>
        <w:rPr>
          <w:rFonts w:hint="eastAsia" w:ascii="宋体" w:hAnsi="宋体" w:cs="宋体"/>
          <w:color w:val="000000"/>
          <w:szCs w:val="21"/>
          <w:u w:val="single"/>
        </w:rPr>
        <w:t>月</w:t>
      </w:r>
      <w:r>
        <w:rPr>
          <w:rFonts w:hint="eastAsia" w:ascii="宋体" w:hAnsi="宋体" w:cs="宋体"/>
          <w:color w:val="000000"/>
          <w:szCs w:val="21"/>
          <w:u w:val="single"/>
          <w:lang w:val="en-US" w:eastAsia="zh-CN"/>
        </w:rPr>
        <w:t>30</w:t>
      </w:r>
      <w:r>
        <w:rPr>
          <w:rFonts w:hint="eastAsia" w:ascii="宋体" w:hAnsi="宋体" w:cs="宋体"/>
          <w:color w:val="000000"/>
          <w:szCs w:val="21"/>
          <w:u w:val="single"/>
        </w:rPr>
        <w:t>日</w:t>
      </w:r>
      <w:r>
        <w:rPr>
          <w:rFonts w:hint="eastAsia" w:ascii="宋体" w:hAnsi="宋体" w:cs="宋体"/>
          <w:color w:val="000000"/>
          <w:szCs w:val="21"/>
          <w:u w:val="single"/>
          <w:lang w:val="en-US" w:eastAsia="zh-CN"/>
        </w:rPr>
        <w:t>09</w:t>
      </w:r>
      <w:r>
        <w:rPr>
          <w:rFonts w:hint="eastAsia" w:ascii="宋体" w:hAnsi="宋体" w:cs="宋体"/>
          <w:color w:val="000000"/>
          <w:szCs w:val="21"/>
          <w:u w:val="single"/>
        </w:rPr>
        <w:t>点</w:t>
      </w:r>
      <w:r>
        <w:rPr>
          <w:rFonts w:hint="eastAsia" w:ascii="宋体" w:hAnsi="宋体" w:cs="宋体"/>
          <w:color w:val="000000"/>
          <w:szCs w:val="21"/>
          <w:u w:val="single"/>
          <w:lang w:val="en-US" w:eastAsia="zh-CN"/>
        </w:rPr>
        <w:t>30</w:t>
      </w:r>
      <w:r>
        <w:rPr>
          <w:rFonts w:hint="eastAsia" w:ascii="宋体" w:hAnsi="宋体" w:cs="宋体"/>
          <w:color w:val="000000"/>
          <w:szCs w:val="21"/>
          <w:u w:val="single"/>
        </w:rPr>
        <w:t>分</w:t>
      </w:r>
      <w:r>
        <w:rPr>
          <w:rFonts w:hint="eastAsia" w:ascii="宋体" w:hAnsi="宋体" w:cs="宋体"/>
          <w:bCs/>
          <w:color w:val="000000"/>
          <w:szCs w:val="21"/>
        </w:rPr>
        <w:t>（北京时间），</w:t>
      </w:r>
      <w:r>
        <w:rPr>
          <w:rFonts w:hint="eastAsia" w:ascii="宋体" w:hAnsi="宋体" w:cs="宋体"/>
          <w:color w:val="000000"/>
        </w:rPr>
        <w:t>逾期送达的将予以拒收，或</w:t>
      </w:r>
      <w:r>
        <w:rPr>
          <w:rFonts w:hint="eastAsia" w:ascii="宋体" w:hAnsi="宋体" w:cs="宋体"/>
          <w:szCs w:val="21"/>
        </w:rPr>
        <w:t>未按竞争性磋商文件要求密封的作无效响应文件处理。</w:t>
      </w:r>
    </w:p>
    <w:p>
      <w:pPr>
        <w:pageBreakBefore w:val="0"/>
        <w:widowControl w:val="0"/>
        <w:kinsoku/>
        <w:wordWrap/>
        <w:overflowPunct/>
        <w:topLinePunct w:val="0"/>
        <w:bidi w:val="0"/>
        <w:spacing w:line="340" w:lineRule="exact"/>
        <w:ind w:firstLine="420" w:firstLineChars="200"/>
        <w:textAlignment w:val="auto"/>
        <w:rPr>
          <w:rFonts w:ascii="宋体" w:hAnsi="宋体" w:cs="宋体"/>
          <w:bCs/>
          <w:color w:val="000000"/>
          <w:szCs w:val="21"/>
          <w:u w:val="single"/>
        </w:rPr>
      </w:pPr>
      <w:r>
        <w:rPr>
          <w:rFonts w:hint="eastAsia" w:ascii="宋体" w:hAnsi="宋体" w:cs="宋体"/>
          <w:color w:val="000000"/>
          <w:szCs w:val="21"/>
        </w:rPr>
        <w:t>地点：浦北县公共资源交易中心（总工会大楼三楼-浦北县公共资源交易中心开标室）</w:t>
      </w:r>
    </w:p>
    <w:p>
      <w:pPr>
        <w:pStyle w:val="4"/>
        <w:pageBreakBefore w:val="0"/>
        <w:widowControl w:val="0"/>
        <w:kinsoku/>
        <w:wordWrap/>
        <w:overflowPunct/>
        <w:topLinePunct w:val="0"/>
        <w:autoSpaceDE/>
        <w:autoSpaceDN/>
        <w:bidi w:val="0"/>
        <w:adjustRightInd/>
        <w:snapToGrid/>
        <w:spacing w:before="0" w:after="0" w:line="340" w:lineRule="exact"/>
        <w:textAlignment w:val="auto"/>
        <w:rPr>
          <w:rFonts w:hint="eastAsia" w:ascii="宋体" w:hAnsi="宋体" w:eastAsia="宋体" w:cs="宋体"/>
          <w:b/>
          <w:bCs w:val="0"/>
          <w:color w:val="000000" w:themeColor="text1"/>
          <w:sz w:val="21"/>
          <w:szCs w:val="21"/>
          <w14:textFill>
            <w14:solidFill>
              <w14:schemeClr w14:val="tx1"/>
            </w14:solidFill>
          </w14:textFill>
        </w:rPr>
      </w:pPr>
      <w:bookmarkStart w:id="17" w:name="_Toc28359093"/>
      <w:bookmarkStart w:id="18" w:name="_Toc35393802"/>
      <w:bookmarkStart w:id="19" w:name="_Toc28359016"/>
      <w:bookmarkStart w:id="20" w:name="_Toc35393633"/>
      <w:r>
        <w:rPr>
          <w:rFonts w:hint="eastAsia" w:ascii="宋体" w:hAnsi="宋体" w:eastAsia="宋体" w:cs="宋体"/>
          <w:b/>
          <w:bCs w:val="0"/>
          <w:color w:val="000000" w:themeColor="text1"/>
          <w:sz w:val="21"/>
          <w:szCs w:val="21"/>
          <w14:textFill>
            <w14:solidFill>
              <w14:schemeClr w14:val="tx1"/>
            </w14:solidFill>
          </w14:textFill>
        </w:rPr>
        <w:t>五、开启</w:t>
      </w:r>
      <w:bookmarkEnd w:id="17"/>
      <w:bookmarkEnd w:id="18"/>
      <w:bookmarkEnd w:id="19"/>
      <w:bookmarkEnd w:id="20"/>
    </w:p>
    <w:p>
      <w:pPr>
        <w:pageBreakBefore w:val="0"/>
        <w:widowControl w:val="0"/>
        <w:kinsoku/>
        <w:wordWrap/>
        <w:overflowPunct/>
        <w:topLinePunct w:val="0"/>
        <w:bidi w:val="0"/>
        <w:spacing w:line="340" w:lineRule="exact"/>
        <w:ind w:firstLine="420" w:firstLineChars="200"/>
        <w:textAlignment w:val="auto"/>
        <w:rPr>
          <w:rFonts w:ascii="宋体" w:hAnsi="宋体" w:cs="宋体"/>
          <w:bCs/>
          <w:color w:val="000000"/>
          <w:szCs w:val="21"/>
          <w:u w:val="single"/>
        </w:rPr>
      </w:pPr>
      <w:r>
        <w:rPr>
          <w:rFonts w:hint="eastAsia" w:ascii="宋体" w:hAnsi="宋体" w:cs="宋体"/>
          <w:color w:val="000000"/>
          <w:szCs w:val="21"/>
        </w:rPr>
        <w:t>时间：</w:t>
      </w:r>
      <w:r>
        <w:rPr>
          <w:rFonts w:hint="eastAsia" w:ascii="宋体" w:hAnsi="宋体" w:cs="宋体"/>
          <w:color w:val="000000"/>
          <w:szCs w:val="21"/>
          <w:u w:val="single"/>
        </w:rPr>
        <w:t>2020年</w:t>
      </w:r>
      <w:r>
        <w:rPr>
          <w:rFonts w:hint="eastAsia" w:ascii="宋体" w:hAnsi="宋体" w:cs="宋体"/>
          <w:color w:val="000000"/>
          <w:szCs w:val="21"/>
          <w:u w:val="single"/>
          <w:lang w:val="en-US" w:eastAsia="zh-CN"/>
        </w:rPr>
        <w:t>11</w:t>
      </w:r>
      <w:r>
        <w:rPr>
          <w:rFonts w:hint="eastAsia" w:ascii="宋体" w:hAnsi="宋体" w:cs="宋体"/>
          <w:color w:val="000000"/>
          <w:szCs w:val="21"/>
          <w:u w:val="single"/>
        </w:rPr>
        <w:t>月</w:t>
      </w:r>
      <w:r>
        <w:rPr>
          <w:rFonts w:hint="eastAsia" w:ascii="宋体" w:hAnsi="宋体" w:cs="宋体"/>
          <w:color w:val="000000"/>
          <w:szCs w:val="21"/>
          <w:u w:val="single"/>
          <w:lang w:val="en-US" w:eastAsia="zh-CN"/>
        </w:rPr>
        <w:t>30</w:t>
      </w:r>
      <w:r>
        <w:rPr>
          <w:rFonts w:hint="eastAsia" w:ascii="宋体" w:hAnsi="宋体" w:cs="宋体"/>
          <w:color w:val="000000"/>
          <w:szCs w:val="21"/>
          <w:u w:val="single"/>
        </w:rPr>
        <w:t>日</w:t>
      </w:r>
      <w:r>
        <w:rPr>
          <w:rFonts w:hint="eastAsia" w:ascii="宋体" w:hAnsi="宋体" w:cs="宋体"/>
          <w:color w:val="000000"/>
          <w:szCs w:val="21"/>
          <w:u w:val="single"/>
          <w:lang w:val="en-US" w:eastAsia="zh-CN"/>
        </w:rPr>
        <w:t>09</w:t>
      </w:r>
      <w:r>
        <w:rPr>
          <w:rFonts w:hint="eastAsia" w:ascii="宋体" w:hAnsi="宋体" w:cs="宋体"/>
          <w:color w:val="000000"/>
          <w:szCs w:val="21"/>
          <w:u w:val="single"/>
        </w:rPr>
        <w:t>点</w:t>
      </w:r>
      <w:r>
        <w:rPr>
          <w:rFonts w:hint="eastAsia" w:ascii="宋体" w:hAnsi="宋体" w:cs="宋体"/>
          <w:color w:val="000000"/>
          <w:szCs w:val="21"/>
          <w:u w:val="single"/>
          <w:lang w:val="en-US" w:eastAsia="zh-CN"/>
        </w:rPr>
        <w:t>30</w:t>
      </w:r>
      <w:r>
        <w:rPr>
          <w:rFonts w:hint="eastAsia" w:ascii="宋体" w:hAnsi="宋体" w:cs="宋体"/>
          <w:color w:val="000000"/>
          <w:szCs w:val="21"/>
          <w:u w:val="single"/>
        </w:rPr>
        <w:t>分</w:t>
      </w:r>
      <w:r>
        <w:rPr>
          <w:rFonts w:hint="eastAsia" w:ascii="宋体" w:hAnsi="宋体" w:cs="宋体"/>
          <w:bCs/>
          <w:color w:val="000000"/>
          <w:szCs w:val="21"/>
        </w:rPr>
        <w:t>（北京时间）截标后</w:t>
      </w:r>
    </w:p>
    <w:p>
      <w:pPr>
        <w:pageBreakBefore w:val="0"/>
        <w:widowControl w:val="0"/>
        <w:kinsoku/>
        <w:wordWrap/>
        <w:overflowPunct/>
        <w:topLinePunct w:val="0"/>
        <w:bidi w:val="0"/>
        <w:spacing w:line="340" w:lineRule="exact"/>
        <w:ind w:firstLine="420" w:firstLineChars="200"/>
        <w:textAlignment w:val="auto"/>
        <w:rPr>
          <w:rFonts w:ascii="宋体" w:hAnsi="宋体" w:cs="宋体"/>
          <w:bCs/>
          <w:color w:val="000000"/>
          <w:szCs w:val="21"/>
          <w:u w:val="single"/>
        </w:rPr>
      </w:pPr>
      <w:r>
        <w:rPr>
          <w:rFonts w:hint="eastAsia" w:ascii="宋体" w:hAnsi="宋体" w:cs="宋体"/>
          <w:color w:val="000000"/>
          <w:szCs w:val="21"/>
        </w:rPr>
        <w:t>地点：</w:t>
      </w:r>
      <w:r>
        <w:rPr>
          <w:rFonts w:hint="eastAsia" w:ascii="宋体" w:hAnsi="宋体" w:cs="宋体"/>
          <w:szCs w:val="21"/>
        </w:rPr>
        <w:t>浦北县公共资源交易中心（总工会大楼三楼-浦北县公共资源交易中心评标室）</w:t>
      </w:r>
    </w:p>
    <w:p>
      <w:pPr>
        <w:pStyle w:val="4"/>
        <w:pageBreakBefore w:val="0"/>
        <w:widowControl w:val="0"/>
        <w:kinsoku/>
        <w:wordWrap/>
        <w:overflowPunct/>
        <w:topLinePunct w:val="0"/>
        <w:autoSpaceDE/>
        <w:autoSpaceDN/>
        <w:bidi w:val="0"/>
        <w:adjustRightInd/>
        <w:snapToGrid/>
        <w:spacing w:before="0" w:after="0" w:line="340" w:lineRule="exact"/>
        <w:textAlignment w:val="auto"/>
        <w:rPr>
          <w:rFonts w:hint="eastAsia" w:ascii="宋体" w:hAnsi="宋体" w:eastAsia="宋体" w:cs="宋体"/>
          <w:b/>
          <w:bCs w:val="0"/>
          <w:color w:val="000000" w:themeColor="text1"/>
          <w:sz w:val="21"/>
          <w:szCs w:val="21"/>
          <w14:textFill>
            <w14:solidFill>
              <w14:schemeClr w14:val="tx1"/>
            </w14:solidFill>
          </w14:textFill>
        </w:rPr>
      </w:pPr>
      <w:bookmarkStart w:id="21" w:name="_Toc35393634"/>
      <w:bookmarkStart w:id="22" w:name="_Toc35393803"/>
      <w:bookmarkStart w:id="23" w:name="_Toc28359094"/>
      <w:bookmarkStart w:id="24" w:name="_Toc28359017"/>
      <w:r>
        <w:rPr>
          <w:rFonts w:hint="eastAsia" w:ascii="宋体" w:hAnsi="宋体" w:eastAsia="宋体" w:cs="宋体"/>
          <w:b/>
          <w:bCs w:val="0"/>
          <w:color w:val="000000" w:themeColor="text1"/>
          <w:sz w:val="21"/>
          <w:szCs w:val="21"/>
          <w14:textFill>
            <w14:solidFill>
              <w14:schemeClr w14:val="tx1"/>
            </w14:solidFill>
          </w14:textFill>
        </w:rPr>
        <w:t>六、公告期限</w:t>
      </w:r>
      <w:bookmarkEnd w:id="21"/>
      <w:bookmarkEnd w:id="22"/>
      <w:bookmarkEnd w:id="23"/>
      <w:bookmarkEnd w:id="24"/>
    </w:p>
    <w:p>
      <w:pPr>
        <w:pageBreakBefore w:val="0"/>
        <w:widowControl w:val="0"/>
        <w:kinsoku/>
        <w:wordWrap/>
        <w:overflowPunct/>
        <w:topLinePunct w:val="0"/>
        <w:bidi w:val="0"/>
        <w:spacing w:line="340" w:lineRule="exact"/>
        <w:ind w:firstLine="420" w:firstLineChars="200"/>
        <w:textAlignment w:val="auto"/>
        <w:rPr>
          <w:rFonts w:ascii="宋体" w:hAnsi="宋体" w:cs="宋体"/>
          <w:color w:val="000000"/>
          <w:szCs w:val="21"/>
        </w:rPr>
      </w:pPr>
      <w:r>
        <w:rPr>
          <w:rFonts w:hint="eastAsia" w:ascii="宋体" w:hAnsi="宋体" w:cs="宋体"/>
          <w:color w:val="000000"/>
          <w:szCs w:val="21"/>
        </w:rPr>
        <w:t>自本公告发布之日起5个工作日。</w:t>
      </w:r>
    </w:p>
    <w:p>
      <w:pPr>
        <w:pStyle w:val="4"/>
        <w:pageBreakBefore w:val="0"/>
        <w:widowControl w:val="0"/>
        <w:kinsoku/>
        <w:wordWrap/>
        <w:overflowPunct/>
        <w:topLinePunct w:val="0"/>
        <w:bidi w:val="0"/>
        <w:spacing w:line="340" w:lineRule="exact"/>
        <w:textAlignment w:val="auto"/>
        <w:rPr>
          <w:rFonts w:ascii="宋体" w:hAnsi="宋体" w:eastAsia="宋体" w:cs="宋体"/>
          <w:bCs w:val="0"/>
          <w:color w:val="000000"/>
          <w:sz w:val="21"/>
          <w:szCs w:val="21"/>
        </w:rPr>
      </w:pPr>
      <w:r>
        <w:rPr>
          <w:rFonts w:hint="eastAsia" w:ascii="宋体" w:hAnsi="宋体" w:eastAsia="宋体" w:cs="宋体"/>
          <w:bCs w:val="0"/>
          <w:color w:val="000000"/>
          <w:sz w:val="21"/>
          <w:szCs w:val="21"/>
        </w:rPr>
        <w:t>七、</w:t>
      </w:r>
      <w:r>
        <w:rPr>
          <w:rFonts w:ascii="宋体" w:hAnsi="宋体" w:eastAsia="宋体" w:cs="宋体"/>
          <w:sz w:val="24"/>
          <w:szCs w:val="24"/>
        </w:rPr>
        <w:t>竞标保证金：无要求</w:t>
      </w:r>
      <w:r>
        <w:rPr>
          <w:rFonts w:hint="eastAsia" w:ascii="宋体" w:hAnsi="宋体" w:eastAsia="宋体" w:cs="宋体"/>
          <w:bCs w:val="0"/>
          <w:color w:val="000000"/>
          <w:sz w:val="21"/>
          <w:szCs w:val="21"/>
        </w:rPr>
        <w:t xml:space="preserve"> </w:t>
      </w:r>
    </w:p>
    <w:p>
      <w:pPr>
        <w:pStyle w:val="4"/>
        <w:pageBreakBefore w:val="0"/>
        <w:widowControl w:val="0"/>
        <w:kinsoku/>
        <w:wordWrap/>
        <w:overflowPunct/>
        <w:topLinePunct w:val="0"/>
        <w:autoSpaceDE/>
        <w:autoSpaceDN/>
        <w:bidi w:val="0"/>
        <w:adjustRightInd/>
        <w:snapToGrid/>
        <w:spacing w:before="0" w:after="0" w:line="340" w:lineRule="exact"/>
        <w:textAlignment w:val="auto"/>
        <w:rPr>
          <w:rFonts w:ascii="宋体" w:hAnsi="宋体" w:eastAsia="宋体" w:cs="宋体"/>
          <w:bCs w:val="0"/>
          <w:color w:val="000000"/>
          <w:sz w:val="21"/>
          <w:szCs w:val="21"/>
        </w:rPr>
      </w:pPr>
      <w:r>
        <w:rPr>
          <w:rFonts w:hint="eastAsia" w:ascii="宋体" w:hAnsi="宋体" w:eastAsia="宋体" w:cs="宋体"/>
          <w:bCs w:val="0"/>
          <w:color w:val="000000"/>
          <w:sz w:val="21"/>
          <w:szCs w:val="21"/>
          <w:lang w:eastAsia="zh-CN"/>
        </w:rPr>
        <w:t>八</w:t>
      </w:r>
      <w:r>
        <w:rPr>
          <w:rFonts w:hint="eastAsia" w:ascii="宋体" w:hAnsi="宋体" w:eastAsia="宋体" w:cs="宋体"/>
          <w:b/>
          <w:bCs w:val="0"/>
          <w:color w:val="000000" w:themeColor="text1"/>
          <w:sz w:val="21"/>
          <w:szCs w:val="21"/>
          <w14:textFill>
            <w14:solidFill>
              <w14:schemeClr w14:val="tx1"/>
            </w14:solidFill>
          </w14:textFill>
        </w:rPr>
        <w:t>、其他补充事宜</w:t>
      </w:r>
    </w:p>
    <w:p>
      <w:pPr>
        <w:pageBreakBefore w:val="0"/>
        <w:widowControl w:val="0"/>
        <w:kinsoku/>
        <w:wordWrap/>
        <w:overflowPunct/>
        <w:topLinePunct w:val="0"/>
        <w:bidi w:val="0"/>
        <w:spacing w:line="3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参加竞标的法定代表人（负责人）或委托代理人必须持有效证件[法定代表人（负责人）凭身份证或委托代理人凭代理授权委托书原件和身份证]依时到达指定地点等候当面</w:t>
      </w:r>
      <w:r>
        <w:rPr>
          <w:rFonts w:hint="eastAsia" w:ascii="宋体" w:hAnsi="宋体" w:cs="宋体"/>
          <w:szCs w:val="21"/>
        </w:rPr>
        <w:t>磋商</w:t>
      </w:r>
      <w:r>
        <w:rPr>
          <w:rFonts w:hint="eastAsia" w:ascii="宋体" w:hAnsi="宋体" w:cs="宋体"/>
          <w:color w:val="000000"/>
          <w:szCs w:val="21"/>
        </w:rPr>
        <w:t>。</w:t>
      </w:r>
    </w:p>
    <w:p>
      <w:pPr>
        <w:pageBreakBefore w:val="0"/>
        <w:widowControl w:val="0"/>
        <w:kinsoku/>
        <w:wordWrap/>
        <w:overflowPunct/>
        <w:topLinePunct w:val="0"/>
        <w:bidi w:val="0"/>
        <w:spacing w:line="34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本项目需要落实的政府采购政策</w:t>
      </w:r>
    </w:p>
    <w:p>
      <w:pPr>
        <w:pageBreakBefore w:val="0"/>
        <w:widowControl w:val="0"/>
        <w:kinsoku/>
        <w:wordWrap/>
        <w:overflowPunct/>
        <w:topLinePunct w:val="0"/>
        <w:bidi w:val="0"/>
        <w:spacing w:line="34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（1）政府采购促进中小企业发展。</w:t>
      </w:r>
    </w:p>
    <w:p>
      <w:pPr>
        <w:pageBreakBefore w:val="0"/>
        <w:widowControl w:val="0"/>
        <w:kinsoku/>
        <w:wordWrap/>
        <w:overflowPunct/>
        <w:topLinePunct w:val="0"/>
        <w:bidi w:val="0"/>
        <w:spacing w:line="34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（2）政府采购支持采用本国产品的政策。</w:t>
      </w:r>
    </w:p>
    <w:p>
      <w:pPr>
        <w:pageBreakBefore w:val="0"/>
        <w:widowControl w:val="0"/>
        <w:kinsoku/>
        <w:wordWrap/>
        <w:overflowPunct/>
        <w:topLinePunct w:val="0"/>
        <w:bidi w:val="0"/>
        <w:spacing w:line="34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（3）强制采购节能产品；优先采购节能产品、环境标志产品。</w:t>
      </w:r>
    </w:p>
    <w:p>
      <w:pPr>
        <w:pageBreakBefore w:val="0"/>
        <w:widowControl w:val="0"/>
        <w:kinsoku/>
        <w:wordWrap/>
        <w:overflowPunct/>
        <w:topLinePunct w:val="0"/>
        <w:bidi w:val="0"/>
        <w:spacing w:line="340" w:lineRule="exact"/>
        <w:ind w:firstLine="420" w:firstLineChars="200"/>
        <w:textAlignment w:val="auto"/>
        <w:rPr>
          <w:rFonts w:hint="eastAsia" w:ascii="宋体" w:hAnsi="宋体" w:cs="宋体"/>
          <w:color w:val="000000"/>
          <w:szCs w:val="21"/>
          <w:highlight w:val="none"/>
        </w:rPr>
      </w:pPr>
      <w:r>
        <w:rPr>
          <w:rFonts w:hint="eastAsia" w:ascii="宋体" w:hAnsi="宋体" w:cs="宋体"/>
          <w:color w:val="000000"/>
          <w:szCs w:val="21"/>
          <w:highlight w:val="none"/>
        </w:rPr>
        <w:t>（4）政府采购促进残疾人就业政策。</w:t>
      </w:r>
    </w:p>
    <w:p>
      <w:pPr>
        <w:pageBreakBefore w:val="0"/>
        <w:widowControl w:val="0"/>
        <w:kinsoku/>
        <w:wordWrap/>
        <w:overflowPunct/>
        <w:topLinePunct w:val="0"/>
        <w:bidi w:val="0"/>
        <w:spacing w:line="340" w:lineRule="exact"/>
        <w:ind w:firstLine="420" w:firstLineChars="200"/>
        <w:textAlignment w:val="auto"/>
        <w:rPr>
          <w:rFonts w:hint="default" w:eastAsia="宋体"/>
          <w:highlight w:val="none"/>
          <w:lang w:val="en-US" w:eastAsia="zh-CN"/>
        </w:rPr>
      </w:pPr>
      <w:r>
        <w:rPr>
          <w:rFonts w:hint="eastAsia" w:ascii="宋体" w:hAnsi="宋体" w:cs="宋体"/>
          <w:color w:val="000000"/>
          <w:szCs w:val="21"/>
          <w:highlight w:val="none"/>
        </w:rPr>
        <w:t>（5）政府采购支持监狱企业发展。</w:t>
      </w:r>
    </w:p>
    <w:p>
      <w:pPr>
        <w:pStyle w:val="4"/>
        <w:pageBreakBefore w:val="0"/>
        <w:widowControl w:val="0"/>
        <w:kinsoku/>
        <w:wordWrap/>
        <w:overflowPunct/>
        <w:topLinePunct w:val="0"/>
        <w:bidi w:val="0"/>
        <w:spacing w:line="340" w:lineRule="exact"/>
        <w:textAlignment w:val="auto"/>
        <w:rPr>
          <w:rFonts w:ascii="宋体" w:hAnsi="宋体" w:eastAsia="宋体" w:cs="宋体"/>
          <w:bCs w:val="0"/>
          <w:color w:val="000000"/>
          <w:sz w:val="21"/>
          <w:szCs w:val="21"/>
        </w:rPr>
      </w:pPr>
      <w:bookmarkStart w:id="25" w:name="_Toc35393805"/>
      <w:bookmarkStart w:id="26" w:name="_Toc28359018"/>
      <w:bookmarkStart w:id="27" w:name="_Toc28359095"/>
      <w:bookmarkStart w:id="28" w:name="_Toc35393636"/>
      <w:r>
        <w:rPr>
          <w:rFonts w:hint="eastAsia" w:ascii="宋体" w:hAnsi="宋体" w:cs="宋体"/>
          <w:bCs w:val="0"/>
          <w:color w:val="000000"/>
          <w:sz w:val="21"/>
          <w:szCs w:val="21"/>
        </w:rPr>
        <w:t>九</w:t>
      </w:r>
      <w:r>
        <w:rPr>
          <w:rFonts w:hint="eastAsia" w:ascii="宋体" w:hAnsi="宋体" w:eastAsia="宋体" w:cs="宋体"/>
          <w:bCs w:val="0"/>
          <w:color w:val="000000"/>
          <w:sz w:val="21"/>
          <w:szCs w:val="21"/>
        </w:rPr>
        <w:t>、凡对本次采购提出询问，请按以下方式联系。</w:t>
      </w:r>
      <w:bookmarkEnd w:id="25"/>
      <w:bookmarkEnd w:id="26"/>
      <w:bookmarkEnd w:id="27"/>
      <w:bookmarkEnd w:id="28"/>
    </w:p>
    <w:p>
      <w:pPr>
        <w:pStyle w:val="4"/>
        <w:pageBreakBefore w:val="0"/>
        <w:widowControl w:val="0"/>
        <w:kinsoku/>
        <w:wordWrap/>
        <w:overflowPunct/>
        <w:topLinePunct w:val="0"/>
        <w:bidi w:val="0"/>
        <w:spacing w:line="340" w:lineRule="exact"/>
        <w:ind w:firstLine="630" w:firstLineChars="300"/>
        <w:textAlignment w:val="auto"/>
        <w:rPr>
          <w:rFonts w:ascii="宋体" w:hAnsi="宋体" w:eastAsia="宋体" w:cs="宋体"/>
          <w:b w:val="0"/>
          <w:color w:val="000000"/>
          <w:sz w:val="21"/>
          <w:szCs w:val="21"/>
        </w:rPr>
      </w:pPr>
      <w:bookmarkStart w:id="29" w:name="_Toc28359019"/>
      <w:bookmarkStart w:id="30" w:name="_Toc28359096"/>
      <w:bookmarkStart w:id="31" w:name="_Toc35393637"/>
      <w:bookmarkStart w:id="32" w:name="_Toc35393806"/>
      <w:r>
        <w:rPr>
          <w:rFonts w:hint="eastAsia" w:ascii="宋体" w:hAnsi="宋体" w:eastAsia="宋体" w:cs="宋体"/>
          <w:b w:val="0"/>
          <w:color w:val="000000"/>
          <w:sz w:val="21"/>
          <w:szCs w:val="21"/>
          <w:lang w:val="en-US" w:eastAsia="zh-CN"/>
        </w:rPr>
        <w:t>1.</w:t>
      </w:r>
      <w:r>
        <w:rPr>
          <w:rFonts w:hint="eastAsia" w:ascii="宋体" w:hAnsi="宋体" w:eastAsia="宋体" w:cs="宋体"/>
          <w:b w:val="0"/>
          <w:color w:val="000000"/>
          <w:sz w:val="21"/>
          <w:szCs w:val="21"/>
        </w:rPr>
        <w:t>采购人信息</w:t>
      </w:r>
      <w:bookmarkEnd w:id="29"/>
      <w:bookmarkEnd w:id="30"/>
      <w:bookmarkEnd w:id="31"/>
      <w:bookmarkEnd w:id="32"/>
    </w:p>
    <w:p>
      <w:pPr>
        <w:pageBreakBefore w:val="0"/>
        <w:widowControl w:val="0"/>
        <w:kinsoku/>
        <w:wordWrap/>
        <w:overflowPunct/>
        <w:topLinePunct w:val="0"/>
        <w:bidi w:val="0"/>
        <w:spacing w:line="340" w:lineRule="exact"/>
        <w:ind w:left="1041" w:leftChars="371" w:hanging="262" w:hangingChars="125"/>
        <w:jc w:val="left"/>
        <w:textAlignment w:val="auto"/>
        <w:rPr>
          <w:rFonts w:ascii="宋体" w:hAnsi="宋体" w:cs="宋体"/>
          <w:color w:val="000000"/>
          <w:szCs w:val="21"/>
        </w:rPr>
      </w:pPr>
      <w:r>
        <w:rPr>
          <w:rFonts w:hint="eastAsia" w:ascii="宋体" w:hAnsi="宋体" w:cs="宋体"/>
          <w:color w:val="000000"/>
          <w:szCs w:val="21"/>
        </w:rPr>
        <w:t xml:space="preserve">名    称：浦北县中医医院   </w:t>
      </w:r>
    </w:p>
    <w:p>
      <w:pPr>
        <w:pageBreakBefore w:val="0"/>
        <w:widowControl w:val="0"/>
        <w:kinsoku/>
        <w:wordWrap/>
        <w:overflowPunct/>
        <w:topLinePunct w:val="0"/>
        <w:bidi w:val="0"/>
        <w:spacing w:line="340" w:lineRule="exact"/>
        <w:ind w:left="1041" w:leftChars="371" w:hanging="262" w:hangingChars="125"/>
        <w:jc w:val="left"/>
        <w:textAlignment w:val="auto"/>
        <w:rPr>
          <w:rFonts w:ascii="宋体" w:hAnsi="宋体" w:cs="宋体"/>
          <w:color w:val="000000"/>
          <w:szCs w:val="21"/>
        </w:rPr>
      </w:pPr>
      <w:r>
        <w:rPr>
          <w:rFonts w:hint="eastAsia" w:ascii="宋体" w:hAnsi="宋体" w:cs="宋体"/>
          <w:color w:val="000000"/>
          <w:szCs w:val="21"/>
        </w:rPr>
        <w:t>地    址：浦北县越州大道96号</w:t>
      </w:r>
    </w:p>
    <w:p>
      <w:pPr>
        <w:pageBreakBefore w:val="0"/>
        <w:widowControl w:val="0"/>
        <w:kinsoku/>
        <w:wordWrap/>
        <w:overflowPunct/>
        <w:topLinePunct w:val="0"/>
        <w:bidi w:val="0"/>
        <w:spacing w:line="340" w:lineRule="exact"/>
        <w:ind w:left="1041" w:leftChars="371" w:hanging="262" w:hangingChars="125"/>
        <w:jc w:val="left"/>
        <w:textAlignment w:val="auto"/>
        <w:rPr>
          <w:rFonts w:ascii="宋体" w:hAnsi="宋体" w:cs="宋体"/>
          <w:color w:val="000000"/>
          <w:szCs w:val="21"/>
        </w:rPr>
      </w:pPr>
      <w:r>
        <w:rPr>
          <w:rFonts w:hint="eastAsia" w:ascii="宋体" w:hAnsi="宋体" w:cs="宋体"/>
          <w:color w:val="000000"/>
          <w:szCs w:val="21"/>
        </w:rPr>
        <w:t>联系方式：</w:t>
      </w:r>
      <w:r>
        <w:rPr>
          <w:rFonts w:hint="eastAsia" w:ascii="宋体" w:hAnsi="宋体" w:cs="宋体"/>
          <w:color w:val="000000"/>
          <w:szCs w:val="21"/>
          <w:lang w:val="zh-CN"/>
        </w:rPr>
        <w:t>陈工  0777-8317953</w:t>
      </w:r>
    </w:p>
    <w:p>
      <w:pPr>
        <w:pStyle w:val="4"/>
        <w:pageBreakBefore w:val="0"/>
        <w:widowControl w:val="0"/>
        <w:kinsoku/>
        <w:wordWrap/>
        <w:overflowPunct/>
        <w:topLinePunct w:val="0"/>
        <w:bidi w:val="0"/>
        <w:spacing w:line="340" w:lineRule="exact"/>
        <w:ind w:firstLine="630" w:firstLineChars="300"/>
        <w:textAlignment w:val="auto"/>
        <w:rPr>
          <w:rFonts w:ascii="宋体" w:hAnsi="宋体" w:eastAsia="宋体" w:cs="宋体"/>
          <w:b w:val="0"/>
          <w:color w:val="000000"/>
          <w:sz w:val="21"/>
          <w:szCs w:val="21"/>
        </w:rPr>
      </w:pPr>
      <w:bookmarkStart w:id="33" w:name="_Toc35393638"/>
      <w:bookmarkStart w:id="34" w:name="_Toc28359020"/>
      <w:bookmarkStart w:id="35" w:name="_Toc35393807"/>
      <w:bookmarkStart w:id="36" w:name="_Toc28359097"/>
      <w:r>
        <w:rPr>
          <w:rFonts w:hint="eastAsia" w:ascii="宋体" w:hAnsi="宋体" w:eastAsia="宋体" w:cs="宋体"/>
          <w:b w:val="0"/>
          <w:color w:val="000000"/>
          <w:sz w:val="21"/>
          <w:szCs w:val="21"/>
          <w:lang w:val="en-US" w:eastAsia="zh-CN"/>
        </w:rPr>
        <w:t>2.</w:t>
      </w:r>
      <w:r>
        <w:rPr>
          <w:rFonts w:hint="eastAsia" w:ascii="宋体" w:hAnsi="宋体" w:eastAsia="宋体" w:cs="宋体"/>
          <w:b w:val="0"/>
          <w:color w:val="000000"/>
          <w:sz w:val="21"/>
          <w:szCs w:val="21"/>
        </w:rPr>
        <w:t>采购代理机构信息</w:t>
      </w:r>
      <w:bookmarkEnd w:id="33"/>
      <w:bookmarkEnd w:id="34"/>
      <w:bookmarkEnd w:id="35"/>
      <w:bookmarkEnd w:id="36"/>
    </w:p>
    <w:p>
      <w:pPr>
        <w:pageBreakBefore w:val="0"/>
        <w:widowControl w:val="0"/>
        <w:kinsoku/>
        <w:wordWrap/>
        <w:overflowPunct/>
        <w:topLinePunct w:val="0"/>
        <w:bidi w:val="0"/>
        <w:spacing w:line="340" w:lineRule="exact"/>
        <w:ind w:firstLine="840" w:firstLineChars="400"/>
        <w:textAlignment w:val="auto"/>
        <w:rPr>
          <w:rFonts w:ascii="宋体" w:hAnsi="宋体" w:cs="宋体"/>
          <w:color w:val="000000"/>
          <w:szCs w:val="21"/>
        </w:rPr>
      </w:pPr>
      <w:r>
        <w:rPr>
          <w:rFonts w:hint="eastAsia" w:ascii="宋体" w:hAnsi="宋体" w:cs="宋体"/>
          <w:color w:val="000000"/>
          <w:szCs w:val="21"/>
        </w:rPr>
        <w:t>名    称：广西龙建工程管理有限公司　</w:t>
      </w:r>
    </w:p>
    <w:p>
      <w:pPr>
        <w:pageBreakBefore w:val="0"/>
        <w:widowControl w:val="0"/>
        <w:kinsoku/>
        <w:wordWrap/>
        <w:overflowPunct/>
        <w:topLinePunct w:val="0"/>
        <w:bidi w:val="0"/>
        <w:spacing w:line="340" w:lineRule="exact"/>
        <w:ind w:firstLine="840" w:firstLineChars="400"/>
        <w:textAlignment w:val="auto"/>
        <w:rPr>
          <w:rFonts w:ascii="宋体" w:hAnsi="宋体" w:cs="宋体"/>
          <w:color w:val="000000"/>
          <w:szCs w:val="21"/>
        </w:rPr>
      </w:pPr>
      <w:r>
        <w:rPr>
          <w:rFonts w:hint="eastAsia" w:ascii="宋体" w:hAnsi="宋体" w:cs="宋体"/>
          <w:color w:val="000000"/>
          <w:szCs w:val="21"/>
        </w:rPr>
        <w:t>地　　址：钦州市钦南区子材东大街8号奥林财富1号楼11层　</w:t>
      </w:r>
    </w:p>
    <w:p>
      <w:pPr>
        <w:pageBreakBefore w:val="0"/>
        <w:widowControl w:val="0"/>
        <w:kinsoku/>
        <w:wordWrap/>
        <w:overflowPunct/>
        <w:topLinePunct w:val="0"/>
        <w:bidi w:val="0"/>
        <w:spacing w:line="340" w:lineRule="exact"/>
        <w:ind w:firstLine="840" w:firstLineChars="400"/>
        <w:textAlignment w:val="auto"/>
        <w:rPr>
          <w:rFonts w:ascii="宋体" w:hAnsi="宋体" w:cs="宋体"/>
          <w:color w:val="000000"/>
          <w:szCs w:val="21"/>
        </w:rPr>
      </w:pPr>
      <w:r>
        <w:rPr>
          <w:rFonts w:hint="eastAsia" w:ascii="宋体" w:hAnsi="宋体" w:cs="宋体"/>
          <w:color w:val="000000"/>
          <w:szCs w:val="21"/>
        </w:rPr>
        <w:t>联系方式：0777-3617888　</w:t>
      </w:r>
    </w:p>
    <w:p>
      <w:pPr>
        <w:pStyle w:val="4"/>
        <w:pageBreakBefore w:val="0"/>
        <w:widowControl w:val="0"/>
        <w:kinsoku/>
        <w:wordWrap/>
        <w:overflowPunct/>
        <w:topLinePunct w:val="0"/>
        <w:bidi w:val="0"/>
        <w:spacing w:line="340" w:lineRule="exact"/>
        <w:ind w:firstLine="630" w:firstLineChars="300"/>
        <w:textAlignment w:val="auto"/>
        <w:rPr>
          <w:rFonts w:ascii="宋体" w:hAnsi="宋体" w:eastAsia="宋体" w:cs="宋体"/>
          <w:b w:val="0"/>
          <w:color w:val="000000"/>
          <w:sz w:val="21"/>
          <w:szCs w:val="21"/>
        </w:rPr>
      </w:pPr>
      <w:bookmarkStart w:id="37" w:name="_Toc28359021"/>
      <w:bookmarkStart w:id="38" w:name="_Toc35393808"/>
      <w:bookmarkStart w:id="39" w:name="_Toc28359098"/>
      <w:bookmarkStart w:id="40" w:name="_Toc35393639"/>
      <w:r>
        <w:rPr>
          <w:rFonts w:hint="eastAsia" w:ascii="宋体" w:hAnsi="宋体" w:eastAsia="宋体" w:cs="宋体"/>
          <w:b w:val="0"/>
          <w:color w:val="000000"/>
          <w:sz w:val="21"/>
          <w:szCs w:val="21"/>
          <w:lang w:val="en-US" w:eastAsia="zh-CN"/>
        </w:rPr>
        <w:t>3.</w:t>
      </w:r>
      <w:r>
        <w:rPr>
          <w:rFonts w:hint="eastAsia" w:ascii="宋体" w:hAnsi="宋体" w:eastAsia="宋体" w:cs="宋体"/>
          <w:b w:val="0"/>
          <w:color w:val="000000"/>
          <w:sz w:val="21"/>
          <w:szCs w:val="21"/>
        </w:rPr>
        <w:t>项目联系方式</w:t>
      </w:r>
      <w:bookmarkEnd w:id="37"/>
      <w:bookmarkEnd w:id="38"/>
      <w:bookmarkEnd w:id="39"/>
      <w:bookmarkEnd w:id="40"/>
    </w:p>
    <w:p>
      <w:pPr>
        <w:pStyle w:val="10"/>
        <w:pageBreakBefore w:val="0"/>
        <w:widowControl w:val="0"/>
        <w:kinsoku/>
        <w:wordWrap/>
        <w:overflowPunct/>
        <w:topLinePunct w:val="0"/>
        <w:bidi w:val="0"/>
        <w:spacing w:line="340" w:lineRule="exact"/>
        <w:ind w:firstLine="840" w:firstLineChars="400"/>
        <w:textAlignment w:val="auto"/>
        <w:rPr>
          <w:rFonts w:hAnsi="宋体" w:cs="宋体"/>
          <w:color w:val="000000"/>
        </w:rPr>
      </w:pPr>
      <w:r>
        <w:rPr>
          <w:rFonts w:hint="eastAsia" w:hAnsi="宋体" w:cs="宋体"/>
          <w:color w:val="000000"/>
        </w:rPr>
        <w:t>项目联系人：滕工</w:t>
      </w:r>
    </w:p>
    <w:p>
      <w:pPr>
        <w:pageBreakBefore w:val="0"/>
        <w:widowControl w:val="0"/>
        <w:kinsoku/>
        <w:wordWrap/>
        <w:overflowPunct/>
        <w:topLinePunct w:val="0"/>
        <w:bidi w:val="0"/>
        <w:spacing w:line="340" w:lineRule="exact"/>
        <w:ind w:firstLine="840" w:firstLineChars="400"/>
        <w:textAlignment w:val="auto"/>
        <w:rPr>
          <w:rFonts w:ascii="宋体" w:hAnsi="宋体" w:cs="宋体"/>
          <w:color w:val="000000"/>
          <w:szCs w:val="21"/>
        </w:rPr>
      </w:pPr>
      <w:r>
        <w:rPr>
          <w:rFonts w:hint="eastAsia" w:ascii="宋体" w:hAnsi="宋体" w:cs="宋体"/>
          <w:color w:val="000000"/>
          <w:szCs w:val="21"/>
        </w:rPr>
        <w:t xml:space="preserve">电　　 话：0777-3617888 </w:t>
      </w:r>
    </w:p>
    <w:p>
      <w:pPr>
        <w:pageBreakBefore w:val="0"/>
        <w:widowControl w:val="0"/>
        <w:kinsoku/>
        <w:wordWrap/>
        <w:overflowPunct/>
        <w:topLinePunct w:val="0"/>
        <w:bidi w:val="0"/>
        <w:spacing w:line="340" w:lineRule="exact"/>
        <w:ind w:firstLine="211" w:firstLineChars="100"/>
        <w:textAlignment w:val="auto"/>
        <w:rPr>
          <w:rFonts w:ascii="宋体" w:hAnsi="宋体"/>
          <w:b/>
          <w:color w:val="000000"/>
          <w:szCs w:val="21"/>
        </w:rPr>
      </w:pPr>
      <w:r>
        <w:rPr>
          <w:rFonts w:hint="eastAsia" w:ascii="宋体" w:hAnsi="宋体"/>
          <w:b/>
          <w:color w:val="000000"/>
          <w:szCs w:val="21"/>
        </w:rPr>
        <w:t>十、监管管理部门及联系电话：</w:t>
      </w:r>
    </w:p>
    <w:p>
      <w:pPr>
        <w:pageBreakBefore w:val="0"/>
        <w:widowControl w:val="0"/>
        <w:kinsoku/>
        <w:wordWrap/>
        <w:overflowPunct/>
        <w:topLinePunct w:val="0"/>
        <w:bidi w:val="0"/>
        <w:spacing w:line="340" w:lineRule="exact"/>
        <w:ind w:firstLine="420" w:firstLineChars="200"/>
        <w:textAlignment w:val="auto"/>
        <w:rPr>
          <w:rFonts w:ascii="宋体" w:hAnsi="宋体" w:cs="宋体"/>
          <w:szCs w:val="21"/>
        </w:rPr>
      </w:pPr>
      <w:r>
        <w:rPr>
          <w:rFonts w:hint="eastAsia" w:ascii="宋体" w:hAnsi="宋体" w:cs="宋体"/>
          <w:szCs w:val="21"/>
        </w:rPr>
        <w:t>浦北县政府采购监督管理办公室     电话：0777-8314622</w:t>
      </w:r>
    </w:p>
    <w:p>
      <w:pPr>
        <w:pageBreakBefore w:val="0"/>
        <w:widowControl w:val="0"/>
        <w:kinsoku/>
        <w:wordWrap/>
        <w:overflowPunct/>
        <w:topLinePunct w:val="0"/>
        <w:bidi w:val="0"/>
        <w:spacing w:line="340" w:lineRule="exact"/>
        <w:ind w:firstLine="211" w:firstLineChars="100"/>
        <w:textAlignment w:val="auto"/>
        <w:rPr>
          <w:rFonts w:hAnsi="宋体"/>
          <w:b/>
          <w:color w:val="000000"/>
        </w:rPr>
      </w:pPr>
      <w:r>
        <w:rPr>
          <w:rFonts w:hint="eastAsia" w:hAnsi="宋体"/>
          <w:b/>
          <w:color w:val="000000"/>
        </w:rPr>
        <w:t>十一、网上公告媒体查询：</w:t>
      </w:r>
    </w:p>
    <w:p>
      <w:pPr>
        <w:pageBreakBefore w:val="0"/>
        <w:widowControl w:val="0"/>
        <w:kinsoku/>
        <w:wordWrap/>
        <w:overflowPunct/>
        <w:topLinePunct w:val="0"/>
        <w:bidi w:val="0"/>
        <w:spacing w:line="340" w:lineRule="exact"/>
        <w:ind w:firstLine="420" w:firstLineChars="200"/>
        <w:textAlignment w:val="auto"/>
        <w:rPr>
          <w:rFonts w:ascii="宋体" w:hAnsi="宋体" w:cs="宋体"/>
          <w:szCs w:val="21"/>
        </w:rPr>
      </w:pPr>
      <w:r>
        <w:fldChar w:fldCharType="begin"/>
      </w:r>
      <w:r>
        <w:instrText xml:space="preserve"> HYPERLINK "http://222.216.4.8/IndexViewController.do?method=index（广西壮族自治区政府采购网）" </w:instrText>
      </w:r>
      <w:r>
        <w:fldChar w:fldCharType="separate"/>
      </w:r>
      <w:r>
        <w:rPr>
          <w:rFonts w:hint="eastAsia" w:ascii="宋体" w:hAnsi="宋体" w:cs="宋体"/>
          <w:szCs w:val="21"/>
        </w:rPr>
        <w:t>http://zfcg.gxzf.gov.cn（广西壮族自治区政府采购网）</w:t>
      </w:r>
      <w:r>
        <w:rPr>
          <w:rFonts w:hint="eastAsia" w:ascii="宋体" w:hAnsi="宋体" w:cs="宋体"/>
          <w:szCs w:val="21"/>
        </w:rPr>
        <w:fldChar w:fldCharType="end"/>
      </w:r>
    </w:p>
    <w:p>
      <w:pPr>
        <w:pageBreakBefore w:val="0"/>
        <w:widowControl w:val="0"/>
        <w:kinsoku/>
        <w:wordWrap/>
        <w:overflowPunct/>
        <w:topLinePunct w:val="0"/>
        <w:bidi w:val="0"/>
        <w:spacing w:line="340" w:lineRule="exact"/>
        <w:ind w:firstLine="420" w:firstLineChars="200"/>
        <w:textAlignment w:val="auto"/>
        <w:rPr>
          <w:rFonts w:ascii="宋体" w:hAnsi="宋体" w:cs="宋体"/>
          <w:szCs w:val="21"/>
        </w:rPr>
      </w:pPr>
      <w:r>
        <w:fldChar w:fldCharType="begin"/>
      </w:r>
      <w:r>
        <w:instrText xml:space="preserve"> HYPERLINK "http://www.qzjsjy.com/" </w:instrText>
      </w:r>
      <w:r>
        <w:fldChar w:fldCharType="separate"/>
      </w:r>
      <w:r>
        <w:rPr>
          <w:rFonts w:hint="eastAsia" w:ascii="宋体" w:hAnsi="宋体" w:cs="宋体"/>
          <w:szCs w:val="21"/>
        </w:rPr>
        <w:t>http://pbggzyjy.cn/</w:t>
      </w:r>
      <w:r>
        <w:rPr>
          <w:rFonts w:hint="eastAsia" w:ascii="宋体" w:hAnsi="宋体" w:cs="宋体"/>
          <w:szCs w:val="21"/>
        </w:rPr>
        <w:fldChar w:fldCharType="end"/>
      </w:r>
      <w:r>
        <w:rPr>
          <w:rFonts w:hint="eastAsia" w:ascii="宋体" w:hAnsi="宋体" w:cs="宋体"/>
          <w:szCs w:val="21"/>
        </w:rPr>
        <w:t>(浦北县公共资源交易中心网)</w:t>
      </w:r>
    </w:p>
    <w:p>
      <w:pPr>
        <w:pageBreakBefore w:val="0"/>
        <w:widowControl w:val="0"/>
        <w:kinsoku/>
        <w:wordWrap/>
        <w:overflowPunct/>
        <w:topLinePunct w:val="0"/>
        <w:bidi w:val="0"/>
        <w:spacing w:line="340" w:lineRule="exact"/>
        <w:ind w:firstLine="420" w:firstLineChars="200"/>
        <w:textAlignment w:val="auto"/>
        <w:rPr>
          <w:rFonts w:ascii="宋体" w:hAnsi="宋体" w:cs="宋体"/>
          <w:szCs w:val="21"/>
        </w:rPr>
      </w:pPr>
      <w:r>
        <w:rPr>
          <w:rFonts w:hint="eastAsia" w:ascii="宋体" w:hAnsi="宋体" w:cs="宋体"/>
          <w:szCs w:val="21"/>
        </w:rPr>
        <w:t>http://www.gxljgc.com/（广西龙建工程管理有限公司网）</w:t>
      </w:r>
    </w:p>
    <w:p>
      <w:pPr>
        <w:pageBreakBefore w:val="0"/>
        <w:widowControl w:val="0"/>
        <w:kinsoku/>
        <w:wordWrap/>
        <w:overflowPunct/>
        <w:topLinePunct w:val="0"/>
        <w:bidi w:val="0"/>
        <w:spacing w:line="340" w:lineRule="exact"/>
        <w:ind w:firstLine="420" w:firstLineChars="200"/>
        <w:textAlignment w:val="auto"/>
        <w:rPr>
          <w:rFonts w:ascii="宋体" w:hAnsi="宋体" w:cs="宋体"/>
          <w:szCs w:val="21"/>
        </w:rPr>
      </w:pPr>
      <w:r>
        <w:rPr>
          <w:rFonts w:hint="eastAsia" w:ascii="宋体" w:hAnsi="宋体" w:cs="宋体"/>
          <w:szCs w:val="21"/>
          <w:lang w:eastAsia="en-US"/>
        </w:rPr>
        <w:t>http://www.gxpb.gov.cn（浦北县人民政府网）</w:t>
      </w:r>
    </w:p>
    <w:p>
      <w:pPr>
        <w:pStyle w:val="8"/>
        <w:pageBreakBefore w:val="0"/>
        <w:widowControl w:val="0"/>
        <w:kinsoku/>
        <w:wordWrap/>
        <w:overflowPunct/>
        <w:topLinePunct w:val="0"/>
        <w:bidi w:val="0"/>
        <w:spacing w:line="340" w:lineRule="exact"/>
        <w:jc w:val="both"/>
        <w:textAlignment w:val="auto"/>
        <w:rPr>
          <w:color w:val="000000"/>
        </w:rPr>
      </w:pPr>
    </w:p>
    <w:p>
      <w:pPr>
        <w:pageBreakBefore w:val="0"/>
        <w:widowControl w:val="0"/>
        <w:kinsoku/>
        <w:wordWrap/>
        <w:overflowPunct/>
        <w:topLinePunct w:val="0"/>
        <w:bidi w:val="0"/>
        <w:spacing w:line="340" w:lineRule="exact"/>
        <w:ind w:firstLine="420" w:firstLineChars="200"/>
        <w:jc w:val="center"/>
        <w:textAlignment w:val="auto"/>
        <w:rPr>
          <w:rFonts w:ascii="宋体" w:hAnsi="宋体" w:cs="宋体"/>
          <w:color w:val="000000"/>
        </w:rPr>
      </w:pPr>
      <w:r>
        <w:rPr>
          <w:rFonts w:hint="eastAsia" w:ascii="宋体" w:hAnsi="宋体" w:cs="宋体"/>
          <w:color w:val="000000"/>
        </w:rPr>
        <w:t xml:space="preserve">                                                       广西龙建工程管理有限公司</w:t>
      </w:r>
    </w:p>
    <w:p>
      <w:pPr>
        <w:pageBreakBefore w:val="0"/>
        <w:widowControl w:val="0"/>
        <w:kinsoku/>
        <w:wordWrap/>
        <w:overflowPunct/>
        <w:topLinePunct w:val="0"/>
        <w:bidi w:val="0"/>
        <w:spacing w:line="340" w:lineRule="exact"/>
        <w:textAlignment w:val="auto"/>
      </w:pPr>
      <w:r>
        <w:rPr>
          <w:rFonts w:hint="eastAsia" w:ascii="宋体" w:hAnsi="宋体" w:cs="宋体"/>
          <w:color w:val="000000"/>
        </w:rPr>
        <w:t xml:space="preserve">                                                                   </w:t>
      </w:r>
      <w:r>
        <w:rPr>
          <w:rFonts w:hint="eastAsia" w:ascii="宋体" w:hAnsi="宋体"/>
          <w:color w:val="000000"/>
          <w:szCs w:val="21"/>
        </w:rPr>
        <w:t>2020年</w:t>
      </w:r>
      <w:r>
        <w:rPr>
          <w:rFonts w:hint="eastAsia" w:ascii="宋体" w:hAnsi="宋体"/>
          <w:color w:val="000000"/>
          <w:szCs w:val="21"/>
          <w:lang w:val="en-US" w:eastAsia="zh-CN"/>
        </w:rPr>
        <w:t>11</w:t>
      </w:r>
      <w:r>
        <w:rPr>
          <w:rFonts w:hint="eastAsia" w:ascii="宋体" w:hAnsi="宋体"/>
          <w:color w:val="000000"/>
          <w:szCs w:val="21"/>
        </w:rPr>
        <w:t>月</w:t>
      </w:r>
      <w:r>
        <w:rPr>
          <w:rFonts w:hint="eastAsia" w:ascii="宋体" w:hAnsi="宋体"/>
          <w:color w:val="000000"/>
          <w:szCs w:val="21"/>
          <w:lang w:val="en-US" w:eastAsia="zh-CN"/>
        </w:rPr>
        <w:t>18</w:t>
      </w:r>
      <w:r>
        <w:rPr>
          <w:rFonts w:hint="eastAsia" w:ascii="宋体" w:hAnsi="宋体"/>
          <w:color w:val="000000"/>
          <w:szCs w:val="21"/>
        </w:rPr>
        <w:t xml:space="preserve">日 </w:t>
      </w:r>
    </w:p>
    <w:p>
      <w:pPr>
        <w:pageBreakBefore w:val="0"/>
        <w:widowControl w:val="0"/>
        <w:kinsoku/>
        <w:wordWrap/>
        <w:overflowPunct/>
        <w:topLinePunct w:val="0"/>
        <w:bidi w:val="0"/>
        <w:spacing w:line="340" w:lineRule="exact"/>
        <w:textAlignment w:val="auto"/>
        <w:rPr>
          <w:rFonts w:ascii="宋体" w:hAnsi="宋体" w:cs="宋体"/>
          <w:b/>
          <w:sz w:val="32"/>
          <w:szCs w:val="32"/>
        </w:rPr>
      </w:pPr>
      <w:r>
        <w:rPr>
          <w:rFonts w:hAnsi="宋体"/>
          <w:bCs/>
          <w:color w:val="000000"/>
          <w:sz w:val="24"/>
        </w:rPr>
        <w:br w:type="page"/>
      </w:r>
      <w:bookmarkStart w:id="41" w:name="_Toc434315323"/>
    </w:p>
    <w:p>
      <w:pPr>
        <w:pStyle w:val="3"/>
        <w:jc w:val="center"/>
        <w:rPr>
          <w:rFonts w:ascii="宋体" w:hAnsi="宋体" w:cs="宋体"/>
          <w:b w:val="0"/>
          <w:sz w:val="32"/>
          <w:szCs w:val="32"/>
        </w:rPr>
      </w:pPr>
      <w:r>
        <w:rPr>
          <w:rFonts w:hint="eastAsia" w:ascii="宋体" w:hAnsi="宋体" w:cs="宋体"/>
          <w:b w:val="0"/>
          <w:sz w:val="32"/>
          <w:szCs w:val="32"/>
        </w:rPr>
        <w:t>第二章  竞标人须知前附表</w:t>
      </w:r>
      <w:bookmarkEnd w:id="41"/>
    </w:p>
    <w:tbl>
      <w:tblPr>
        <w:tblStyle w:val="18"/>
        <w:tblW w:w="9805"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89"/>
        <w:gridCol w:w="8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条款号</w:t>
            </w:r>
          </w:p>
        </w:tc>
        <w:tc>
          <w:tcPr>
            <w:tcW w:w="82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1.1</w:t>
            </w:r>
          </w:p>
        </w:tc>
        <w:tc>
          <w:tcPr>
            <w:tcW w:w="82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u w:val="single"/>
              </w:rPr>
            </w:pPr>
            <w:r>
              <w:rPr>
                <w:rFonts w:hint="eastAsia" w:ascii="宋体" w:hAnsi="宋体" w:cs="宋体"/>
                <w:szCs w:val="21"/>
              </w:rPr>
              <w:t>项目名称：升级服务采购</w:t>
            </w:r>
          </w:p>
          <w:p>
            <w:pPr>
              <w:spacing w:line="400" w:lineRule="exact"/>
              <w:rPr>
                <w:rFonts w:ascii="宋体" w:hAnsi="宋体" w:cs="宋体"/>
                <w:szCs w:val="21"/>
                <w:u w:val="single"/>
              </w:rPr>
            </w:pPr>
            <w:r>
              <w:rPr>
                <w:rFonts w:hint="eastAsia" w:ascii="宋体" w:hAnsi="宋体" w:cs="宋体"/>
                <w:szCs w:val="21"/>
              </w:rPr>
              <w:t>竞标编号：</w:t>
            </w:r>
            <w:r>
              <w:rPr>
                <w:rFonts w:hint="eastAsia" w:ascii="宋体" w:hAnsi="宋体" w:cs="宋体"/>
              </w:rPr>
              <w:t xml:space="preserve">QZZC2020-C3-60194-GXLJ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3.1</w:t>
            </w:r>
          </w:p>
        </w:tc>
        <w:tc>
          <w:tcPr>
            <w:tcW w:w="82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1.符合《中华人民共和国政府采购法》第二十二条规定。 </w:t>
            </w:r>
          </w:p>
          <w:p>
            <w:pPr>
              <w:spacing w:line="40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2.落实政府采购政策需满足的资格</w:t>
            </w:r>
            <w:r>
              <w:rPr>
                <w:rFonts w:hint="eastAsia" w:ascii="宋体" w:hAnsi="宋体" w:cs="宋体"/>
                <w:color w:val="000000" w:themeColor="text1"/>
                <w:szCs w:val="21"/>
                <w:highlight w:val="none"/>
                <w14:textFill>
                  <w14:solidFill>
                    <w14:schemeClr w14:val="tx1"/>
                  </w14:solidFill>
                </w14:textFill>
              </w:rPr>
              <w:t>要求：</w:t>
            </w:r>
            <w:r>
              <w:rPr>
                <w:rFonts w:hint="eastAsia" w:ascii="宋体" w:hAnsi="宋体" w:cs="宋体"/>
                <w:color w:val="000000" w:themeColor="text1"/>
                <w:szCs w:val="21"/>
                <w:highlight w:val="none"/>
                <w:lang w:eastAsia="zh-CN"/>
                <w14:textFill>
                  <w14:solidFill>
                    <w14:schemeClr w14:val="tx1"/>
                  </w14:solidFill>
                </w14:textFill>
              </w:rPr>
              <w:t>无。</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ascii="宋体" w:hAnsi="宋体" w:cs="宋体"/>
                <w:color w:val="000000" w:themeColor="text1"/>
                <w:szCs w:val="21"/>
                <w:highlight w:val="none"/>
                <w14:textFill>
                  <w14:solidFill>
                    <w14:schemeClr w14:val="tx1"/>
                  </w14:solidFill>
                </w14:textFill>
              </w:rPr>
              <w:t>、具备行业主管部门颁发的有效医疗器械生产</w:t>
            </w:r>
            <w:r>
              <w:rPr>
                <w:rFonts w:ascii="宋体" w:hAnsi="宋体" w:cs="宋体"/>
                <w:color w:val="000000" w:themeColor="text1"/>
                <w:szCs w:val="21"/>
                <w14:textFill>
                  <w14:solidFill>
                    <w14:schemeClr w14:val="tx1"/>
                  </w14:solidFill>
                </w14:textFill>
              </w:rPr>
              <w:t>或经营许可证。</w:t>
            </w:r>
          </w:p>
          <w:p>
            <w:pPr>
              <w:spacing w:line="400" w:lineRule="exac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对在“信用中国”网站(www.creditchina.gov.cn)及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7.1</w:t>
            </w:r>
          </w:p>
        </w:tc>
        <w:tc>
          <w:tcPr>
            <w:tcW w:w="82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竞标报价：竞标人必须就《服务需求》及磋商记录中的所有服务内容作完整唯一报价，否则，其竞标将被拒绝。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4</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8.1</w:t>
            </w:r>
          </w:p>
        </w:tc>
        <w:tc>
          <w:tcPr>
            <w:tcW w:w="82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磋商文件份数：正本一份    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5</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82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竞标有效期：竞标截止日期后60天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6</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8263"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Cs w:val="21"/>
              </w:rPr>
            </w:pPr>
            <w:bookmarkStart w:id="42" w:name="OLE_LINK10"/>
            <w:r>
              <w:rPr>
                <w:rFonts w:hint="eastAsia" w:ascii="宋体" w:hAnsi="宋体" w:cs="宋体"/>
                <w:szCs w:val="21"/>
              </w:rPr>
              <w:t>竞标保证金：</w:t>
            </w:r>
            <w:bookmarkEnd w:id="42"/>
            <w:r>
              <w:rPr>
                <w:rFonts w:hint="eastAsia" w:ascii="宋体" w:hAnsi="宋体" w:cs="宋体"/>
                <w:szCs w:val="21"/>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7</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8263" w:type="dxa"/>
            <w:tcBorders>
              <w:top w:val="single" w:color="auto" w:sz="4" w:space="0"/>
              <w:left w:val="single" w:color="auto" w:sz="4" w:space="0"/>
              <w:bottom w:val="single" w:color="auto" w:sz="4" w:space="0"/>
              <w:right w:val="single" w:color="auto" w:sz="4" w:space="0"/>
            </w:tcBorders>
            <w:vAlign w:val="center"/>
          </w:tcPr>
          <w:p>
            <w:pPr>
              <w:pStyle w:val="10"/>
              <w:spacing w:line="400" w:lineRule="exact"/>
              <w:rPr>
                <w:rFonts w:hAnsi="宋体" w:cs="宋体"/>
              </w:rPr>
            </w:pPr>
            <w:bookmarkStart w:id="43" w:name="OLE_LINK9"/>
            <w:r>
              <w:rPr>
                <w:rFonts w:hint="eastAsia" w:hAnsi="宋体" w:cs="宋体"/>
              </w:rPr>
              <w:t>磋商文件递交截止时间：</w:t>
            </w:r>
            <w:r>
              <w:rPr>
                <w:rFonts w:hint="eastAsia" w:ascii="宋体" w:hAnsi="宋体" w:cs="宋体"/>
                <w:color w:val="000000"/>
                <w:szCs w:val="21"/>
                <w:u w:val="single"/>
              </w:rPr>
              <w:t>2020年</w:t>
            </w:r>
            <w:r>
              <w:rPr>
                <w:rFonts w:hint="eastAsia" w:ascii="宋体" w:hAnsi="宋体" w:cs="宋体"/>
                <w:color w:val="000000"/>
                <w:szCs w:val="21"/>
                <w:u w:val="single"/>
                <w:lang w:val="en-US" w:eastAsia="zh-CN"/>
              </w:rPr>
              <w:t>11</w:t>
            </w:r>
            <w:r>
              <w:rPr>
                <w:rFonts w:hint="eastAsia" w:ascii="宋体" w:hAnsi="宋体" w:cs="宋体"/>
                <w:color w:val="000000"/>
                <w:szCs w:val="21"/>
                <w:u w:val="single"/>
              </w:rPr>
              <w:t>月</w:t>
            </w:r>
            <w:r>
              <w:rPr>
                <w:rFonts w:hint="eastAsia" w:ascii="宋体" w:hAnsi="宋体" w:cs="宋体"/>
                <w:color w:val="000000"/>
                <w:szCs w:val="21"/>
                <w:u w:val="single"/>
                <w:lang w:val="en-US" w:eastAsia="zh-CN"/>
              </w:rPr>
              <w:t>30</w:t>
            </w:r>
            <w:r>
              <w:rPr>
                <w:rFonts w:hint="eastAsia" w:ascii="宋体" w:hAnsi="宋体" w:cs="宋体"/>
                <w:color w:val="000000"/>
                <w:szCs w:val="21"/>
                <w:u w:val="single"/>
              </w:rPr>
              <w:t>日</w:t>
            </w:r>
            <w:r>
              <w:rPr>
                <w:rFonts w:hint="eastAsia" w:ascii="宋体" w:hAnsi="宋体" w:cs="宋体"/>
                <w:color w:val="000000"/>
                <w:szCs w:val="21"/>
                <w:u w:val="single"/>
                <w:lang w:val="en-US" w:eastAsia="zh-CN"/>
              </w:rPr>
              <w:t>09</w:t>
            </w:r>
            <w:r>
              <w:rPr>
                <w:rFonts w:hint="eastAsia" w:ascii="宋体" w:hAnsi="宋体" w:cs="宋体"/>
                <w:color w:val="000000"/>
                <w:szCs w:val="21"/>
                <w:u w:val="single"/>
              </w:rPr>
              <w:t>点</w:t>
            </w:r>
            <w:r>
              <w:rPr>
                <w:rFonts w:hint="eastAsia" w:ascii="宋体" w:hAnsi="宋体" w:cs="宋体"/>
                <w:color w:val="000000"/>
                <w:szCs w:val="21"/>
                <w:u w:val="single"/>
                <w:lang w:val="en-US" w:eastAsia="zh-CN"/>
              </w:rPr>
              <w:t>30</w:t>
            </w:r>
            <w:r>
              <w:rPr>
                <w:rFonts w:hint="eastAsia" w:ascii="宋体" w:hAnsi="宋体" w:cs="宋体"/>
                <w:color w:val="000000"/>
                <w:szCs w:val="21"/>
                <w:u w:val="single"/>
              </w:rPr>
              <w:t>分</w:t>
            </w:r>
          </w:p>
          <w:p>
            <w:pPr>
              <w:spacing w:line="400" w:lineRule="exact"/>
              <w:rPr>
                <w:rFonts w:ascii="宋体" w:hAnsi="宋体" w:cs="宋体"/>
                <w:szCs w:val="21"/>
              </w:rPr>
            </w:pPr>
            <w:r>
              <w:rPr>
                <w:rFonts w:hint="eastAsia" w:ascii="宋体" w:hAnsi="宋体" w:cs="宋体"/>
                <w:szCs w:val="21"/>
              </w:rPr>
              <w:t>地点：</w:t>
            </w:r>
            <w:bookmarkEnd w:id="43"/>
            <w:r>
              <w:rPr>
                <w:rFonts w:hint="eastAsia" w:ascii="宋体" w:hAnsi="宋体" w:cs="宋体"/>
                <w:szCs w:val="21"/>
              </w:rPr>
              <w:t>浦北县公共资源交易中心（总工会大楼三楼-浦北县公共资源交易中心开标室）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8</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8263" w:type="dxa"/>
            <w:tcBorders>
              <w:top w:val="single" w:color="auto" w:sz="4" w:space="0"/>
              <w:left w:val="single" w:color="auto" w:sz="4" w:space="0"/>
              <w:bottom w:val="single" w:color="auto" w:sz="4" w:space="0"/>
              <w:right w:val="single" w:color="auto" w:sz="4" w:space="0"/>
            </w:tcBorders>
            <w:vAlign w:val="center"/>
          </w:tcPr>
          <w:p>
            <w:pPr>
              <w:pStyle w:val="10"/>
              <w:spacing w:line="288" w:lineRule="auto"/>
              <w:rPr>
                <w:rFonts w:hAnsi="宋体" w:cs="宋体"/>
                <w:kern w:val="0"/>
              </w:rPr>
            </w:pPr>
            <w:r>
              <w:rPr>
                <w:rFonts w:hint="eastAsia" w:hAnsi="宋体" w:cs="宋体"/>
                <w:kern w:val="0"/>
              </w:rPr>
              <w:t>评标委员会构成：3人，其中招标人代表</w:t>
            </w:r>
            <w:r>
              <w:rPr>
                <w:rFonts w:hint="eastAsia" w:hAnsi="宋体" w:cs="宋体"/>
                <w:kern w:val="0"/>
                <w:u w:val="single"/>
              </w:rPr>
              <w:t>1</w:t>
            </w:r>
            <w:r>
              <w:rPr>
                <w:rFonts w:hint="eastAsia" w:hAnsi="宋体" w:cs="宋体"/>
                <w:kern w:val="0"/>
              </w:rPr>
              <w:t>人，专家</w:t>
            </w:r>
            <w:r>
              <w:rPr>
                <w:rFonts w:hint="eastAsia" w:hAnsi="宋体" w:cs="宋体"/>
                <w:kern w:val="0"/>
                <w:u w:val="single"/>
              </w:rPr>
              <w:t>2</w:t>
            </w:r>
            <w:r>
              <w:rPr>
                <w:rFonts w:hint="eastAsia" w:hAnsi="宋体" w:cs="宋体"/>
                <w:kern w:val="0"/>
              </w:rPr>
              <w:t>人；</w:t>
            </w:r>
          </w:p>
          <w:p>
            <w:pPr>
              <w:spacing w:line="400" w:lineRule="exact"/>
              <w:rPr>
                <w:rFonts w:ascii="宋体" w:hAnsi="宋体" w:cs="宋体"/>
                <w:szCs w:val="21"/>
              </w:rPr>
            </w:pPr>
            <w:r>
              <w:rPr>
                <w:rFonts w:hint="eastAsia" w:hAnsi="宋体" w:cs="宋体"/>
                <w:kern w:val="0"/>
                <w:szCs w:val="21"/>
              </w:rPr>
              <w:t>评标专家确定方式：</w:t>
            </w:r>
            <w:r>
              <w:rPr>
                <w:rFonts w:hint="eastAsia" w:ascii="宋体" w:hAnsi="宋体"/>
                <w:szCs w:val="21"/>
              </w:rPr>
              <w:t>在</w:t>
            </w:r>
            <w:r>
              <w:rPr>
                <w:rFonts w:hint="eastAsia" w:hAnsi="宋体" w:cs="宋体"/>
                <w:color w:val="000000"/>
                <w:kern w:val="0"/>
                <w:szCs w:val="21"/>
              </w:rPr>
              <w:t>广西壮族自治区财政厅政府采购评审专家</w:t>
            </w:r>
            <w:r>
              <w:rPr>
                <w:rFonts w:hint="eastAsia" w:hAnsi="宋体" w:cs="宋体"/>
                <w:kern w:val="0"/>
                <w:szCs w:val="21"/>
              </w:rPr>
              <w:t>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9</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826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Cs w:val="21"/>
              </w:rPr>
            </w:pPr>
            <w:r>
              <w:rPr>
                <w:rFonts w:hint="eastAsia" w:ascii="宋体" w:hAnsi="宋体" w:cs="宋体"/>
                <w:szCs w:val="21"/>
              </w:rPr>
              <w:t>磋商时间：</w:t>
            </w:r>
            <w:r>
              <w:rPr>
                <w:rFonts w:hint="eastAsia" w:ascii="宋体" w:hAnsi="宋体" w:cs="宋体"/>
                <w:color w:val="000000"/>
                <w:szCs w:val="21"/>
                <w:u w:val="single"/>
              </w:rPr>
              <w:t>2020年</w:t>
            </w:r>
            <w:r>
              <w:rPr>
                <w:rFonts w:hint="eastAsia" w:ascii="宋体" w:hAnsi="宋体" w:cs="宋体"/>
                <w:color w:val="000000"/>
                <w:szCs w:val="21"/>
                <w:u w:val="single"/>
                <w:lang w:val="en-US" w:eastAsia="zh-CN"/>
              </w:rPr>
              <w:t>11</w:t>
            </w:r>
            <w:r>
              <w:rPr>
                <w:rFonts w:hint="eastAsia" w:ascii="宋体" w:hAnsi="宋体" w:cs="宋体"/>
                <w:color w:val="000000"/>
                <w:szCs w:val="21"/>
                <w:u w:val="single"/>
              </w:rPr>
              <w:t>月</w:t>
            </w:r>
            <w:r>
              <w:rPr>
                <w:rFonts w:hint="eastAsia" w:ascii="宋体" w:hAnsi="宋体" w:cs="宋体"/>
                <w:color w:val="000000"/>
                <w:szCs w:val="21"/>
                <w:u w:val="single"/>
                <w:lang w:val="en-US" w:eastAsia="zh-CN"/>
              </w:rPr>
              <w:t>30</w:t>
            </w:r>
            <w:r>
              <w:rPr>
                <w:rFonts w:hint="eastAsia" w:ascii="宋体" w:hAnsi="宋体" w:cs="宋体"/>
                <w:color w:val="000000"/>
                <w:szCs w:val="21"/>
                <w:u w:val="single"/>
              </w:rPr>
              <w:t>日</w:t>
            </w:r>
            <w:r>
              <w:rPr>
                <w:rFonts w:hint="eastAsia" w:ascii="宋体" w:hAnsi="宋体" w:cs="宋体"/>
                <w:color w:val="000000"/>
                <w:szCs w:val="21"/>
                <w:u w:val="single"/>
                <w:lang w:val="en-US" w:eastAsia="zh-CN"/>
              </w:rPr>
              <w:t>09</w:t>
            </w:r>
            <w:r>
              <w:rPr>
                <w:rFonts w:hint="eastAsia" w:ascii="宋体" w:hAnsi="宋体" w:cs="宋体"/>
                <w:color w:val="000000"/>
                <w:szCs w:val="21"/>
                <w:u w:val="single"/>
              </w:rPr>
              <w:t>点</w:t>
            </w:r>
            <w:r>
              <w:rPr>
                <w:rFonts w:hint="eastAsia" w:ascii="宋体" w:hAnsi="宋体" w:cs="宋体"/>
                <w:color w:val="000000"/>
                <w:szCs w:val="21"/>
                <w:u w:val="single"/>
                <w:lang w:val="en-US" w:eastAsia="zh-CN"/>
              </w:rPr>
              <w:t>30</w:t>
            </w:r>
            <w:r>
              <w:rPr>
                <w:rFonts w:hint="eastAsia" w:ascii="宋体" w:hAnsi="宋体" w:cs="宋体"/>
                <w:color w:val="000000"/>
                <w:szCs w:val="21"/>
                <w:u w:val="single"/>
              </w:rPr>
              <w:t>分</w:t>
            </w:r>
            <w:r>
              <w:rPr>
                <w:rFonts w:hint="eastAsia" w:ascii="宋体" w:hAnsi="宋体" w:cs="宋体"/>
                <w:szCs w:val="21"/>
                <w:u w:val="single"/>
              </w:rPr>
              <w:t>整截标后</w:t>
            </w:r>
            <w:r>
              <w:rPr>
                <w:rFonts w:hint="eastAsia" w:ascii="宋体" w:hAnsi="宋体" w:cs="宋体"/>
                <w:szCs w:val="21"/>
              </w:rPr>
              <w:t>（具体时间由采购代理机构另行通知）</w:t>
            </w:r>
          </w:p>
          <w:p>
            <w:pPr>
              <w:spacing w:line="400" w:lineRule="exact"/>
              <w:rPr>
                <w:rFonts w:ascii="宋体" w:hAnsi="宋体" w:cs="宋体"/>
                <w:szCs w:val="21"/>
              </w:rPr>
            </w:pPr>
            <w:r>
              <w:rPr>
                <w:rFonts w:hint="eastAsia" w:ascii="宋体" w:hAnsi="宋体" w:cs="宋体"/>
                <w:szCs w:val="21"/>
              </w:rPr>
              <w:t>磋商地点：浦北县公共资源交易中心（总工会大楼三楼-浦北县公共资源交易中心开标室）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10</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8263" w:type="dxa"/>
            <w:tcBorders>
              <w:top w:val="single" w:color="auto" w:sz="4" w:space="0"/>
              <w:left w:val="single" w:color="auto" w:sz="4" w:space="0"/>
              <w:bottom w:val="single" w:color="auto" w:sz="4" w:space="0"/>
              <w:right w:val="single" w:color="auto" w:sz="4" w:space="0"/>
            </w:tcBorders>
            <w:vAlign w:val="center"/>
          </w:tcPr>
          <w:p>
            <w:pPr>
              <w:pStyle w:val="9"/>
              <w:spacing w:line="340" w:lineRule="exact"/>
              <w:ind w:left="-4" w:leftChars="-2" w:firstLine="4" w:firstLineChars="2"/>
              <w:rPr>
                <w:rFonts w:ascii="宋体" w:hAnsi="宋体" w:eastAsia="宋体" w:cs="宋体"/>
                <w:sz w:val="21"/>
                <w:szCs w:val="21"/>
              </w:rPr>
            </w:pPr>
            <w:r>
              <w:rPr>
                <w:rFonts w:hint="eastAsia" w:ascii="宋体" w:hAnsi="宋体" w:eastAsia="宋体" w:cs="宋体"/>
                <w:sz w:val="21"/>
                <w:szCs w:val="21"/>
              </w:rPr>
              <w:t>本项目采购</w:t>
            </w:r>
            <w:r>
              <w:rPr>
                <w:rFonts w:hint="eastAsia" w:ascii="宋体" w:hAnsi="宋体" w:eastAsia="宋体" w:cs="宋体"/>
                <w:color w:val="000000"/>
                <w:sz w:val="21"/>
                <w:szCs w:val="21"/>
              </w:rPr>
              <w:t>预算价为：750000.00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11</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8263" w:type="dxa"/>
            <w:tcBorders>
              <w:top w:val="single" w:color="auto" w:sz="4" w:space="0"/>
              <w:left w:val="single" w:color="auto" w:sz="4" w:space="0"/>
              <w:bottom w:val="single" w:color="auto" w:sz="4" w:space="0"/>
              <w:right w:val="single" w:color="auto" w:sz="4" w:space="0"/>
            </w:tcBorders>
            <w:vAlign w:val="center"/>
          </w:tcPr>
          <w:p>
            <w:pPr>
              <w:pStyle w:val="9"/>
              <w:spacing w:line="340" w:lineRule="exact"/>
              <w:ind w:left="-4" w:leftChars="-2" w:firstLine="4" w:firstLineChars="2"/>
              <w:rPr>
                <w:rFonts w:ascii="宋体" w:hAnsi="宋体" w:eastAsia="宋体" w:cs="宋体"/>
                <w:sz w:val="21"/>
                <w:szCs w:val="21"/>
              </w:rPr>
            </w:pPr>
            <w:r>
              <w:rPr>
                <w:rFonts w:hint="eastAsia" w:ascii="宋体" w:hAnsi="宋体" w:eastAsia="宋体" w:cs="宋体"/>
                <w:sz w:val="21"/>
                <w:szCs w:val="21"/>
              </w:rPr>
              <w:t>履约保证金</w:t>
            </w:r>
            <w:r>
              <w:rPr>
                <w:rFonts w:hint="eastAsia" w:ascii="宋体" w:hAnsi="宋体" w:eastAsia="宋体" w:cs="宋体"/>
                <w:sz w:val="21"/>
                <w:szCs w:val="21"/>
                <w:highlight w:val="none"/>
              </w:rPr>
              <w:t>：合同总金额3%。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12</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8263" w:type="dxa"/>
            <w:tcBorders>
              <w:top w:val="single" w:color="auto" w:sz="4" w:space="0"/>
              <w:left w:val="single" w:color="auto" w:sz="4" w:space="0"/>
              <w:bottom w:val="single" w:color="auto" w:sz="4" w:space="0"/>
              <w:right w:val="single" w:color="auto" w:sz="4" w:space="0"/>
            </w:tcBorders>
            <w:vAlign w:val="center"/>
          </w:tcPr>
          <w:p>
            <w:pPr>
              <w:pStyle w:val="9"/>
              <w:spacing w:line="340" w:lineRule="exact"/>
              <w:ind w:left="-4" w:leftChars="-2" w:firstLine="4" w:firstLineChars="2"/>
              <w:rPr>
                <w:rFonts w:ascii="宋体" w:hAnsi="宋体" w:eastAsia="宋体" w:cs="宋体"/>
                <w:sz w:val="21"/>
                <w:szCs w:val="21"/>
              </w:rPr>
            </w:pPr>
            <w:r>
              <w:rPr>
                <w:rFonts w:hint="eastAsia" w:ascii="宋体" w:hAnsi="宋体" w:eastAsia="宋体" w:cs="宋体"/>
                <w:sz w:val="21"/>
                <w:szCs w:val="21"/>
              </w:rPr>
              <w:t>成交服务费：本项目成交服务费按计价格[2002]1980号文件及发改办价格[2003]857号规定收取, 由成交人向采购代理机构支付。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13</w:t>
            </w:r>
          </w:p>
        </w:tc>
        <w:tc>
          <w:tcPr>
            <w:tcW w:w="8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8263" w:type="dxa"/>
            <w:tcBorders>
              <w:top w:val="single" w:color="auto" w:sz="4" w:space="0"/>
              <w:left w:val="single" w:color="auto" w:sz="4" w:space="0"/>
              <w:bottom w:val="single" w:color="auto" w:sz="4" w:space="0"/>
              <w:right w:val="single" w:color="auto" w:sz="4" w:space="0"/>
            </w:tcBorders>
            <w:vAlign w:val="center"/>
          </w:tcPr>
          <w:p>
            <w:pPr>
              <w:pStyle w:val="9"/>
              <w:spacing w:line="340" w:lineRule="exact"/>
              <w:ind w:left="-4" w:leftChars="-2" w:firstLine="4" w:firstLineChars="2"/>
              <w:rPr>
                <w:rFonts w:ascii="宋体" w:hAnsi="宋体" w:eastAsia="宋体" w:cs="宋体"/>
                <w:sz w:val="21"/>
                <w:szCs w:val="21"/>
              </w:rPr>
            </w:pPr>
            <w:r>
              <w:rPr>
                <w:rFonts w:hint="eastAsia" w:ascii="宋体" w:hAnsi="宋体" w:eastAsia="宋体" w:cs="宋体"/>
                <w:b/>
                <w:bCs/>
                <w:sz w:val="21"/>
                <w:szCs w:val="21"/>
              </w:rPr>
              <w:t>开标结束后，发布成交结果公告之日起3个工作日内，成交供应商要注册完成入驻政采云平台手续，并成为政采云平台正式供应商。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9805" w:type="dxa"/>
            <w:gridSpan w:val="3"/>
            <w:tcBorders>
              <w:top w:val="single" w:color="auto" w:sz="4" w:space="0"/>
              <w:left w:val="single" w:color="auto" w:sz="4" w:space="0"/>
              <w:bottom w:val="single" w:color="auto" w:sz="4" w:space="0"/>
              <w:right w:val="single" w:color="auto" w:sz="4" w:space="0"/>
            </w:tcBorders>
          </w:tcPr>
          <w:p>
            <w:pPr>
              <w:pStyle w:val="9"/>
              <w:spacing w:line="340" w:lineRule="exact"/>
              <w:ind w:left="-4" w:leftChars="-2" w:firstLine="4" w:firstLineChars="2"/>
              <w:rPr>
                <w:rFonts w:ascii="宋体" w:hAnsi="宋体" w:eastAsia="宋体" w:cs="宋体"/>
                <w:b/>
                <w:bCs/>
                <w:sz w:val="21"/>
                <w:szCs w:val="21"/>
              </w:rPr>
            </w:pPr>
            <w:r>
              <w:rPr>
                <w:rFonts w:hint="eastAsia" w:ascii="宋体" w:hAnsi="宋体" w:eastAsia="宋体" w:cs="宋体"/>
                <w:b/>
                <w:bCs/>
                <w:sz w:val="21"/>
                <w:szCs w:val="21"/>
              </w:rPr>
              <w:t>开标会议注意事项：</w:t>
            </w:r>
          </w:p>
          <w:p>
            <w:pPr>
              <w:pStyle w:val="9"/>
              <w:spacing w:line="340" w:lineRule="exact"/>
              <w:ind w:left="-4" w:leftChars="-2" w:firstLine="4" w:firstLineChars="2"/>
              <w:rPr>
                <w:rFonts w:ascii="宋体" w:hAnsi="宋体" w:eastAsia="宋体" w:cs="宋体"/>
                <w:b/>
                <w:bCs/>
                <w:sz w:val="21"/>
                <w:szCs w:val="21"/>
              </w:rPr>
            </w:pPr>
            <w:r>
              <w:rPr>
                <w:rFonts w:hint="eastAsia" w:ascii="宋体" w:hAnsi="宋体" w:eastAsia="宋体" w:cs="宋体"/>
                <w:b/>
                <w:bCs/>
                <w:sz w:val="21"/>
                <w:szCs w:val="21"/>
              </w:rPr>
              <w:t>法定代表人前来的须携带法定代表人身份证原件、营业执照复印件（加盖公章）；</w:t>
            </w:r>
          </w:p>
          <w:p>
            <w:pPr>
              <w:pStyle w:val="9"/>
              <w:spacing w:line="340" w:lineRule="exact"/>
              <w:ind w:left="-4" w:leftChars="-2" w:firstLine="4" w:firstLineChars="2"/>
              <w:rPr>
                <w:rFonts w:ascii="宋体" w:hAnsi="宋体"/>
                <w:color w:val="000000"/>
              </w:rPr>
            </w:pPr>
            <w:r>
              <w:rPr>
                <w:rFonts w:hint="eastAsia" w:ascii="宋体" w:hAnsi="宋体" w:eastAsia="宋体" w:cs="宋体"/>
                <w:b/>
                <w:bCs/>
                <w:sz w:val="21"/>
                <w:szCs w:val="21"/>
              </w:rPr>
              <w:t>委托代理人前来的须携带授权委托书和代理人身份证原件、营业执照、法定代表人身份证复印件（加盖公章）。</w:t>
            </w:r>
          </w:p>
        </w:tc>
      </w:tr>
    </w:tbl>
    <w:p>
      <w:pPr>
        <w:pStyle w:val="3"/>
        <w:spacing w:before="0" w:after="0" w:line="600" w:lineRule="exact"/>
        <w:jc w:val="center"/>
        <w:rPr>
          <w:rFonts w:ascii="宋体" w:hAnsi="宋体" w:cs="宋体"/>
          <w:b w:val="0"/>
          <w:sz w:val="32"/>
          <w:szCs w:val="32"/>
        </w:rPr>
      </w:pPr>
      <w:r>
        <w:rPr>
          <w:rFonts w:hint="eastAsia" w:ascii="宋体" w:hAnsi="宋体" w:cs="宋体"/>
          <w:b w:val="0"/>
          <w:sz w:val="28"/>
          <w:szCs w:val="28"/>
        </w:rPr>
        <w:br w:type="page"/>
      </w:r>
      <w:bookmarkStart w:id="44" w:name="_Toc434315324"/>
      <w:r>
        <w:rPr>
          <w:rFonts w:hint="eastAsia" w:ascii="宋体" w:hAnsi="宋体" w:cs="宋体"/>
          <w:b w:val="0"/>
          <w:sz w:val="32"/>
          <w:szCs w:val="32"/>
        </w:rPr>
        <w:t>竞 标 人 须 知</w:t>
      </w:r>
      <w:bookmarkEnd w:id="44"/>
    </w:p>
    <w:p>
      <w:pPr>
        <w:spacing w:line="400" w:lineRule="exact"/>
        <w:rPr>
          <w:rFonts w:ascii="宋体" w:hAnsi="宋体" w:cs="宋体"/>
          <w:b/>
          <w:szCs w:val="21"/>
        </w:rPr>
      </w:pPr>
      <w:r>
        <w:rPr>
          <w:rFonts w:hint="eastAsia" w:ascii="宋体" w:hAnsi="宋体" w:cs="宋体"/>
          <w:b/>
          <w:szCs w:val="21"/>
        </w:rPr>
        <w:t>一、总则</w:t>
      </w:r>
    </w:p>
    <w:p>
      <w:pPr>
        <w:spacing w:line="400" w:lineRule="exact"/>
        <w:rPr>
          <w:rFonts w:ascii="宋体" w:hAnsi="宋体" w:cs="宋体"/>
          <w:szCs w:val="21"/>
        </w:rPr>
      </w:pPr>
      <w:r>
        <w:rPr>
          <w:rFonts w:hint="eastAsia" w:ascii="宋体" w:hAnsi="宋体" w:cs="宋体"/>
          <w:szCs w:val="21"/>
        </w:rPr>
        <w:t>1. 适用范围</w:t>
      </w:r>
    </w:p>
    <w:p>
      <w:pPr>
        <w:spacing w:line="400" w:lineRule="exact"/>
        <w:rPr>
          <w:rFonts w:ascii="宋体" w:hAnsi="宋体" w:cs="宋体"/>
          <w:szCs w:val="21"/>
        </w:rPr>
      </w:pPr>
      <w:r>
        <w:rPr>
          <w:rFonts w:hint="eastAsia" w:ascii="宋体" w:hAnsi="宋体" w:cs="宋体"/>
          <w:szCs w:val="21"/>
        </w:rPr>
        <w:t>1.1 本文件仅适用于本文件中所叙述的货物、服务类政府采购项目。</w:t>
      </w:r>
    </w:p>
    <w:p>
      <w:pPr>
        <w:spacing w:line="400" w:lineRule="exact"/>
        <w:rPr>
          <w:rFonts w:ascii="宋体" w:hAnsi="宋体" w:cs="宋体"/>
          <w:szCs w:val="21"/>
        </w:rPr>
      </w:pPr>
      <w:r>
        <w:rPr>
          <w:rFonts w:hint="eastAsia" w:ascii="宋体" w:hAnsi="宋体" w:cs="宋体"/>
          <w:szCs w:val="21"/>
        </w:rPr>
        <w:t>2. 定义</w:t>
      </w:r>
    </w:p>
    <w:p>
      <w:pPr>
        <w:spacing w:line="400" w:lineRule="exact"/>
        <w:rPr>
          <w:rFonts w:ascii="宋体" w:hAnsi="宋体" w:cs="宋体"/>
          <w:szCs w:val="21"/>
        </w:rPr>
      </w:pPr>
      <w:r>
        <w:rPr>
          <w:rFonts w:hint="eastAsia" w:ascii="宋体" w:hAnsi="宋体" w:cs="宋体"/>
          <w:szCs w:val="21"/>
        </w:rPr>
        <w:t>2.1“采购人”是指：采购本次服务项目的业主单位。</w:t>
      </w:r>
    </w:p>
    <w:p>
      <w:pPr>
        <w:spacing w:line="400" w:lineRule="exact"/>
        <w:rPr>
          <w:rFonts w:ascii="宋体" w:hAnsi="宋体" w:cs="宋体"/>
          <w:szCs w:val="21"/>
        </w:rPr>
      </w:pPr>
      <w:r>
        <w:rPr>
          <w:rFonts w:hint="eastAsia" w:ascii="宋体" w:hAnsi="宋体" w:cs="宋体"/>
          <w:szCs w:val="21"/>
        </w:rPr>
        <w:t>2.2“采购代理机构”是指：代理本项目的代理服务机构。</w:t>
      </w:r>
    </w:p>
    <w:p>
      <w:pPr>
        <w:spacing w:line="400" w:lineRule="exact"/>
        <w:rPr>
          <w:rFonts w:ascii="宋体" w:hAnsi="宋体" w:cs="宋体"/>
          <w:szCs w:val="21"/>
        </w:rPr>
      </w:pPr>
      <w:r>
        <w:rPr>
          <w:rFonts w:hint="eastAsia" w:ascii="宋体" w:hAnsi="宋体" w:cs="宋体"/>
          <w:szCs w:val="21"/>
        </w:rPr>
        <w:t>2.3“磋商供应商”是指响应本文件要求，参加磋商的法人或者其它组织。如果该供应商在本次磋商中成交，即成为“成交供应商”。</w:t>
      </w:r>
    </w:p>
    <w:p>
      <w:pPr>
        <w:spacing w:line="400" w:lineRule="exact"/>
        <w:rPr>
          <w:rFonts w:ascii="宋体" w:hAnsi="宋体" w:cs="宋体"/>
          <w:szCs w:val="21"/>
        </w:rPr>
      </w:pPr>
      <w:r>
        <w:rPr>
          <w:rFonts w:hint="eastAsia" w:ascii="宋体" w:hAnsi="宋体" w:cs="宋体"/>
          <w:szCs w:val="21"/>
        </w:rPr>
        <w:t>2.4“货物”是指各种形态和种类的物品，包括原材料、燃料、设备、产品等。</w:t>
      </w:r>
    </w:p>
    <w:p>
      <w:pPr>
        <w:spacing w:line="400" w:lineRule="exact"/>
        <w:rPr>
          <w:rFonts w:ascii="宋体" w:hAnsi="宋体" w:cs="宋体"/>
          <w:szCs w:val="21"/>
        </w:rPr>
      </w:pPr>
      <w:r>
        <w:rPr>
          <w:rFonts w:hint="eastAsia" w:ascii="宋体" w:hAnsi="宋体" w:cs="宋体"/>
          <w:szCs w:val="21"/>
        </w:rPr>
        <w:t>2.5“服务”是指除货物和工程以外的其它政府采购对象。</w:t>
      </w:r>
    </w:p>
    <w:p>
      <w:pPr>
        <w:spacing w:line="400" w:lineRule="exact"/>
        <w:rPr>
          <w:rFonts w:ascii="宋体" w:hAnsi="宋体" w:cs="宋体"/>
          <w:szCs w:val="21"/>
        </w:rPr>
      </w:pPr>
      <w:r>
        <w:rPr>
          <w:rFonts w:hint="eastAsia" w:ascii="宋体" w:hAnsi="宋体" w:cs="宋体"/>
          <w:szCs w:val="21"/>
        </w:rPr>
        <w:t>2.6“竞争性磋商响应文件”是指：供应商根据本文件要求，编制包含报价、技术和服务等所有内容的文件。</w:t>
      </w:r>
    </w:p>
    <w:p>
      <w:pPr>
        <w:spacing w:line="400" w:lineRule="exact"/>
        <w:rPr>
          <w:rFonts w:ascii="宋体" w:hAnsi="宋体" w:cs="宋体"/>
          <w:szCs w:val="21"/>
        </w:rPr>
      </w:pPr>
      <w:r>
        <w:rPr>
          <w:rFonts w:hint="eastAsia" w:ascii="宋体" w:hAnsi="宋体" w:cs="宋体"/>
          <w:szCs w:val="21"/>
        </w:rPr>
        <w:t>3. 磋商供应商的基本条件：</w:t>
      </w:r>
    </w:p>
    <w:p>
      <w:pPr>
        <w:spacing w:line="400" w:lineRule="exact"/>
        <w:rPr>
          <w:rFonts w:ascii="宋体" w:hAnsi="宋体" w:cs="宋体"/>
          <w:szCs w:val="21"/>
        </w:rPr>
      </w:pPr>
      <w:r>
        <w:rPr>
          <w:rFonts w:hint="eastAsia" w:ascii="宋体" w:hAnsi="宋体" w:cs="宋体"/>
          <w:szCs w:val="21"/>
        </w:rPr>
        <w:t xml:space="preserve">（1）.符合《中华人民共和国政府采购法》第二十二条规定。 </w:t>
      </w:r>
    </w:p>
    <w:p>
      <w:pPr>
        <w:spacing w:line="400" w:lineRule="exact"/>
        <w:rPr>
          <w:rFonts w:ascii="宋体" w:hAnsi="宋体" w:cs="宋体"/>
          <w:szCs w:val="21"/>
        </w:rPr>
      </w:pPr>
      <w:r>
        <w:rPr>
          <w:rFonts w:hint="eastAsia" w:ascii="宋体" w:hAnsi="宋体" w:cs="宋体"/>
          <w:szCs w:val="21"/>
        </w:rPr>
        <w:t>（2）.落实政府采购政策需满足的资格要求：政府采购促进中小企业发展；政府采购支持采用本国产品的政策；强制采购、优先采购环境标志产品、节能产品。</w:t>
      </w:r>
    </w:p>
    <w:p>
      <w:pPr>
        <w:spacing w:line="400" w:lineRule="exact"/>
        <w:rPr>
          <w:rFonts w:ascii="宋体" w:hAnsi="宋体" w:cs="宋体"/>
          <w:szCs w:val="21"/>
        </w:rPr>
      </w:pPr>
      <w:r>
        <w:rPr>
          <w:rFonts w:hint="eastAsia" w:ascii="宋体" w:hAnsi="宋体" w:cs="宋体"/>
          <w:szCs w:val="21"/>
        </w:rPr>
        <w:t>（3）.具备行业主管部门颁发的有效医疗器械生产或经营许可证。</w:t>
      </w:r>
    </w:p>
    <w:p>
      <w:pPr>
        <w:spacing w:line="400" w:lineRule="exact"/>
        <w:rPr>
          <w:rFonts w:ascii="宋体" w:hAnsi="宋体" w:cs="宋体"/>
          <w:szCs w:val="21"/>
        </w:rPr>
      </w:pPr>
      <w:r>
        <w:rPr>
          <w:rFonts w:hint="eastAsia" w:ascii="宋体" w:hAnsi="宋体" w:cs="宋体"/>
          <w:szCs w:val="21"/>
        </w:rPr>
        <w:t>（4）.对在“信用中国”网站(www.creditchina.gov.cn)及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rPr>
          <w:rFonts w:ascii="宋体" w:hAnsi="宋体" w:cs="宋体"/>
          <w:szCs w:val="21"/>
        </w:rPr>
      </w:pPr>
      <w:r>
        <w:rPr>
          <w:rFonts w:hint="eastAsia" w:ascii="宋体" w:hAnsi="宋体" w:cs="宋体"/>
          <w:szCs w:val="21"/>
        </w:rPr>
        <w:t>4. 磋商费用</w:t>
      </w:r>
    </w:p>
    <w:p>
      <w:pPr>
        <w:spacing w:line="400" w:lineRule="exact"/>
        <w:rPr>
          <w:rFonts w:ascii="宋体" w:hAnsi="宋体" w:cs="宋体"/>
          <w:szCs w:val="21"/>
        </w:rPr>
      </w:pPr>
      <w:r>
        <w:rPr>
          <w:rFonts w:hint="eastAsia" w:ascii="宋体" w:hAnsi="宋体" w:cs="宋体"/>
          <w:szCs w:val="21"/>
        </w:rPr>
        <w:t>4.1磋商供应商应自行承担所有与编写和提交竞争性磋商响应文件有关的费用，不论磋商结果如何，采购人和采购代理机构在任何情况下无义务和责任承担此类费用。</w:t>
      </w:r>
    </w:p>
    <w:p>
      <w:pPr>
        <w:numPr>
          <w:ilvl w:val="0"/>
          <w:numId w:val="1"/>
        </w:numPr>
        <w:spacing w:line="400" w:lineRule="exact"/>
        <w:rPr>
          <w:rFonts w:ascii="宋体" w:hAnsi="宋体" w:cs="宋体"/>
          <w:b/>
          <w:szCs w:val="21"/>
        </w:rPr>
      </w:pPr>
      <w:r>
        <w:rPr>
          <w:rFonts w:hint="eastAsia" w:ascii="宋体" w:hAnsi="宋体" w:cs="宋体"/>
          <w:b/>
          <w:szCs w:val="21"/>
        </w:rPr>
        <w:t>竞争性磋商响应文件的编制</w:t>
      </w:r>
    </w:p>
    <w:p>
      <w:pPr>
        <w:spacing w:line="400" w:lineRule="exact"/>
        <w:rPr>
          <w:rFonts w:ascii="宋体" w:hAnsi="宋体" w:cs="宋体"/>
          <w:szCs w:val="21"/>
        </w:rPr>
      </w:pPr>
      <w:r>
        <w:rPr>
          <w:rFonts w:hint="eastAsia" w:ascii="宋体" w:hAnsi="宋体" w:cs="宋体"/>
          <w:szCs w:val="21"/>
        </w:rPr>
        <w:t>5. 竞争性磋商响应文件编制基本要求</w:t>
      </w:r>
    </w:p>
    <w:p>
      <w:pPr>
        <w:spacing w:line="400" w:lineRule="exact"/>
        <w:rPr>
          <w:rFonts w:ascii="宋体" w:hAnsi="宋体" w:cs="宋体"/>
          <w:szCs w:val="21"/>
        </w:rPr>
      </w:pPr>
      <w:r>
        <w:rPr>
          <w:rFonts w:hint="eastAsia" w:ascii="宋体" w:hAnsi="宋体" w:cs="宋体"/>
          <w:szCs w:val="21"/>
        </w:rPr>
        <w:t>5.1 磋商供应商对竞争性磋商响应文件的编制应按要求装订和封装。</w:t>
      </w:r>
    </w:p>
    <w:p>
      <w:pPr>
        <w:spacing w:line="400" w:lineRule="exact"/>
        <w:rPr>
          <w:rFonts w:ascii="宋体" w:hAnsi="宋体" w:cs="宋体"/>
          <w:szCs w:val="21"/>
        </w:rPr>
      </w:pPr>
      <w:r>
        <w:rPr>
          <w:rFonts w:hint="eastAsia" w:ascii="宋体" w:hAnsi="宋体" w:cs="宋体"/>
          <w:szCs w:val="21"/>
        </w:rPr>
        <w:t>5.2 磋商供应商提交的竞争性磋商响应文件以及磋商供应商与采购代理机构和采购人就有关磋商的所有来往函电均应使用中文。磋商供应商提交的支持文件和印刷的文献可以使用别的语言，但其相应内容必须附有中文翻译文本，在解释竞争性磋商响应文件时以翻译文本为主。</w:t>
      </w:r>
    </w:p>
    <w:p>
      <w:pPr>
        <w:spacing w:line="400" w:lineRule="exact"/>
        <w:rPr>
          <w:rFonts w:ascii="宋体" w:hAnsi="宋体" w:cs="宋体"/>
          <w:szCs w:val="21"/>
        </w:rPr>
      </w:pPr>
      <w:r>
        <w:rPr>
          <w:rFonts w:hint="eastAsia" w:ascii="宋体" w:hAnsi="宋体" w:cs="宋体"/>
          <w:szCs w:val="21"/>
        </w:rPr>
        <w:t>5.3磋商供应商应认真阅读、并充分理解本文件的全部内容（包括所有的补充、修改内容），承诺并履行本文件中各项条款规定及要求。</w:t>
      </w:r>
    </w:p>
    <w:p>
      <w:pPr>
        <w:spacing w:line="400" w:lineRule="exact"/>
        <w:rPr>
          <w:rFonts w:ascii="宋体" w:hAnsi="宋体" w:cs="宋体"/>
          <w:szCs w:val="21"/>
        </w:rPr>
      </w:pPr>
      <w:r>
        <w:rPr>
          <w:rFonts w:hint="eastAsia" w:ascii="宋体" w:hAnsi="宋体" w:cs="宋体"/>
          <w:szCs w:val="21"/>
        </w:rPr>
        <w:t>5.4 竞争性磋商响应文件必须按本文件全部内容，包括所有的补充通知及附件进行编制。</w:t>
      </w:r>
    </w:p>
    <w:p>
      <w:pPr>
        <w:spacing w:line="400" w:lineRule="exact"/>
        <w:rPr>
          <w:rFonts w:ascii="宋体" w:hAnsi="宋体" w:cs="宋体"/>
          <w:szCs w:val="21"/>
        </w:rPr>
      </w:pPr>
      <w:r>
        <w:rPr>
          <w:rFonts w:hint="eastAsia" w:ascii="宋体" w:hAnsi="宋体" w:cs="宋体"/>
          <w:szCs w:val="21"/>
        </w:rPr>
        <w:t>5.5 如因磋商供应商只填写和提供了本文件要求的部分内容和附件，而给评审造成困难，其可能导致的结果和责任由磋商供应商自行承担。</w:t>
      </w:r>
    </w:p>
    <w:p>
      <w:pPr>
        <w:spacing w:line="400" w:lineRule="exact"/>
        <w:rPr>
          <w:rFonts w:ascii="宋体" w:hAnsi="宋体" w:cs="宋体"/>
          <w:szCs w:val="21"/>
        </w:rPr>
      </w:pPr>
      <w:r>
        <w:rPr>
          <w:rFonts w:hint="eastAsia" w:ascii="宋体" w:hAnsi="宋体" w:cs="宋体"/>
          <w:szCs w:val="21"/>
        </w:rPr>
        <w:t>5.6 竞争性磋商响应文件的组成。竞争性磋商响应文件应分为价格文件和商务技术文件两个部分组成。</w:t>
      </w:r>
    </w:p>
    <w:p>
      <w:pPr>
        <w:spacing w:line="400" w:lineRule="exact"/>
        <w:rPr>
          <w:rFonts w:ascii="宋体" w:hAnsi="宋体" w:cs="宋体"/>
          <w:szCs w:val="21"/>
        </w:rPr>
      </w:pPr>
      <w:r>
        <w:rPr>
          <w:rFonts w:hint="eastAsia" w:ascii="宋体" w:hAnsi="宋体" w:cs="宋体"/>
          <w:szCs w:val="21"/>
        </w:rPr>
        <w:t>5.6.1 价格文件</w:t>
      </w:r>
    </w:p>
    <w:p>
      <w:pPr>
        <w:spacing w:line="400" w:lineRule="exact"/>
        <w:rPr>
          <w:rFonts w:ascii="宋体" w:hAnsi="宋体" w:cs="宋体"/>
          <w:szCs w:val="21"/>
        </w:rPr>
      </w:pPr>
      <w:r>
        <w:rPr>
          <w:rFonts w:hint="eastAsia" w:ascii="宋体" w:hAnsi="宋体" w:cs="宋体"/>
          <w:szCs w:val="21"/>
        </w:rPr>
        <w:t xml:space="preserve">1） 磋商报价表； </w:t>
      </w:r>
    </w:p>
    <w:p>
      <w:pPr>
        <w:spacing w:line="400" w:lineRule="exact"/>
        <w:rPr>
          <w:rFonts w:ascii="宋体" w:hAnsi="宋体" w:cs="宋体"/>
          <w:szCs w:val="21"/>
        </w:rPr>
      </w:pPr>
      <w:r>
        <w:rPr>
          <w:rFonts w:hint="eastAsia" w:ascii="宋体" w:hAnsi="宋体" w:cs="宋体"/>
          <w:szCs w:val="21"/>
        </w:rPr>
        <w:t xml:space="preserve">2） 分项报价表； </w:t>
      </w:r>
    </w:p>
    <w:p>
      <w:pPr>
        <w:spacing w:line="400" w:lineRule="exact"/>
        <w:rPr>
          <w:rFonts w:ascii="宋体" w:hAnsi="宋体" w:cs="宋体"/>
          <w:szCs w:val="21"/>
        </w:rPr>
      </w:pPr>
      <w:r>
        <w:rPr>
          <w:rFonts w:hint="eastAsia" w:ascii="宋体" w:hAnsi="宋体" w:cs="宋体"/>
          <w:szCs w:val="21"/>
        </w:rPr>
        <w:t>5.6.2 商务技术文件（应该有的必须提供，如未提供，评审小组有权拒绝其竞争性磋商响应文件）。</w:t>
      </w:r>
    </w:p>
    <w:p>
      <w:pPr>
        <w:spacing w:line="400" w:lineRule="exact"/>
        <w:rPr>
          <w:rFonts w:ascii="宋体" w:hAnsi="宋体" w:cs="宋体"/>
          <w:szCs w:val="21"/>
        </w:rPr>
      </w:pPr>
      <w:r>
        <w:rPr>
          <w:rFonts w:hint="eastAsia" w:ascii="宋体" w:hAnsi="宋体" w:cs="宋体"/>
          <w:szCs w:val="21"/>
        </w:rPr>
        <w:t>1） 磋商书；</w:t>
      </w:r>
    </w:p>
    <w:p>
      <w:pPr>
        <w:spacing w:line="400" w:lineRule="exact"/>
        <w:rPr>
          <w:rFonts w:ascii="宋体" w:hAnsi="宋体" w:cs="宋体"/>
          <w:szCs w:val="21"/>
        </w:rPr>
      </w:pPr>
      <w:r>
        <w:rPr>
          <w:rFonts w:hint="eastAsia" w:ascii="宋体" w:hAnsi="宋体" w:cs="宋体"/>
          <w:szCs w:val="21"/>
        </w:rPr>
        <w:t>2）服务响应表；</w:t>
      </w:r>
    </w:p>
    <w:p>
      <w:pPr>
        <w:spacing w:line="400" w:lineRule="exact"/>
        <w:rPr>
          <w:rFonts w:hAnsi="宋体"/>
          <w:b/>
          <w:color w:val="000000" w:themeColor="text1"/>
          <w14:textFill>
            <w14:solidFill>
              <w14:schemeClr w14:val="tx1"/>
            </w14:solidFill>
          </w14:textFill>
        </w:rPr>
      </w:pPr>
      <w:r>
        <w:rPr>
          <w:rFonts w:hint="eastAsia" w:hAnsi="宋体"/>
          <w:b/>
          <w:color w:val="000000" w:themeColor="text1"/>
          <w:lang w:val="en-US" w:eastAsia="zh-CN"/>
          <w14:textFill>
            <w14:solidFill>
              <w14:schemeClr w14:val="tx1"/>
            </w14:solidFill>
          </w14:textFill>
        </w:rPr>
        <w:t>3</w:t>
      </w:r>
      <w:r>
        <w:rPr>
          <w:rFonts w:hint="eastAsia" w:hAnsi="宋体"/>
          <w:b/>
          <w:color w:val="000000" w:themeColor="text1"/>
          <w14:textFill>
            <w14:solidFill>
              <w14:schemeClr w14:val="tx1"/>
            </w14:solidFill>
          </w14:textFill>
        </w:rPr>
        <w:t>） 有效的“企业法人营业执照”副本、组织机构代码证复印件、税务登记证复印件或“三证合一”企业提供营业执照副本复印件（必须提供，同时要加盖单位公章）；</w:t>
      </w:r>
    </w:p>
    <w:p>
      <w:pPr>
        <w:spacing w:line="400" w:lineRule="exact"/>
        <w:rPr>
          <w:rFonts w:hint="eastAsia" w:hAnsi="宋体"/>
          <w:b/>
          <w:color w:val="000000" w:themeColor="text1"/>
          <w14:textFill>
            <w14:solidFill>
              <w14:schemeClr w14:val="tx1"/>
            </w14:solidFill>
          </w14:textFill>
        </w:rPr>
      </w:pPr>
      <w:r>
        <w:rPr>
          <w:rFonts w:hint="eastAsia" w:hAnsi="宋体"/>
          <w:b/>
          <w:color w:val="000000" w:themeColor="text1"/>
          <w:lang w:val="en-US" w:eastAsia="zh-CN"/>
          <w14:textFill>
            <w14:solidFill>
              <w14:schemeClr w14:val="tx1"/>
            </w14:solidFill>
          </w14:textFill>
        </w:rPr>
        <w:t>4</w:t>
      </w:r>
      <w:r>
        <w:rPr>
          <w:rFonts w:hint="eastAsia" w:hAnsi="宋体"/>
          <w:b/>
          <w:color w:val="000000" w:themeColor="text1"/>
          <w14:textFill>
            <w14:solidFill>
              <w14:schemeClr w14:val="tx1"/>
            </w14:solidFill>
          </w14:textFill>
        </w:rPr>
        <w:t>）法定代表人身份证复印件；（必须提供，同时要加盖单位公章）</w:t>
      </w:r>
    </w:p>
    <w:p>
      <w:pPr>
        <w:spacing w:line="400" w:lineRule="exact"/>
        <w:rPr>
          <w:rFonts w:hAnsi="宋体"/>
          <w:b/>
          <w:color w:val="000000" w:themeColor="text1"/>
          <w:highlight w:val="none"/>
          <w14:textFill>
            <w14:solidFill>
              <w14:schemeClr w14:val="tx1"/>
            </w14:solidFill>
          </w14:textFill>
        </w:rPr>
      </w:pPr>
      <w:r>
        <w:rPr>
          <w:rFonts w:hint="eastAsia" w:hAnsi="宋体"/>
          <w:b/>
          <w:color w:val="000000" w:themeColor="text1"/>
          <w:highlight w:val="none"/>
          <w:lang w:val="en-US" w:eastAsia="zh-CN"/>
          <w14:textFill>
            <w14:solidFill>
              <w14:schemeClr w14:val="tx1"/>
            </w14:solidFill>
          </w14:textFill>
        </w:rPr>
        <w:t>5）</w:t>
      </w:r>
      <w:r>
        <w:rPr>
          <w:rFonts w:hint="eastAsia" w:hAnsi="宋体"/>
          <w:b/>
          <w:color w:val="000000" w:themeColor="text1"/>
          <w:highlight w:val="none"/>
          <w14:textFill>
            <w14:solidFill>
              <w14:schemeClr w14:val="tx1"/>
            </w14:solidFill>
          </w14:textFill>
        </w:rPr>
        <w:t>授权时必须提供法定代表人授权书原件及委托代理人身份证复印件；（</w:t>
      </w:r>
      <w:r>
        <w:rPr>
          <w:rFonts w:hint="eastAsia" w:hAnsi="宋体"/>
          <w:b/>
          <w:color w:val="000000" w:themeColor="text1"/>
          <w:highlight w:val="none"/>
          <w:lang w:eastAsia="zh-CN"/>
          <w14:textFill>
            <w14:solidFill>
              <w14:schemeClr w14:val="tx1"/>
            </w14:solidFill>
          </w14:textFill>
        </w:rPr>
        <w:t>如委托时</w:t>
      </w:r>
      <w:r>
        <w:rPr>
          <w:rFonts w:hint="eastAsia" w:hAnsi="宋体"/>
          <w:b/>
          <w:color w:val="000000" w:themeColor="text1"/>
          <w:highlight w:val="none"/>
          <w14:textFill>
            <w14:solidFill>
              <w14:schemeClr w14:val="tx1"/>
            </w14:solidFill>
          </w14:textFill>
        </w:rPr>
        <w:t>必须提供，同时要加盖单位公章）</w:t>
      </w:r>
    </w:p>
    <w:p>
      <w:pPr>
        <w:spacing w:line="400" w:lineRule="exact"/>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6）具备行业主管部门颁发的有效医疗器械生产或经营许可证（必须提供，同时要加盖单位公章）。</w:t>
      </w:r>
    </w:p>
    <w:p>
      <w:pPr>
        <w:pStyle w:val="10"/>
        <w:spacing w:line="380" w:lineRule="atLeast"/>
        <w:rPr>
          <w:rFonts w:hAnsi="宋体" w:cs="宋体"/>
          <w:b/>
          <w:bCs/>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7)</w:t>
      </w:r>
      <w:r>
        <w:rPr>
          <w:rFonts w:hint="eastAsia" w:hAnsi="宋体" w:cs="宋体"/>
          <w:b/>
          <w:bCs/>
          <w:color w:val="000000" w:themeColor="text1"/>
          <w14:textFill>
            <w14:solidFill>
              <w14:schemeClr w14:val="tx1"/>
            </w14:solidFill>
          </w14:textFill>
        </w:rPr>
        <w:t>近半年来竞标人连续三个月（如属新成立的公司不足三个月的递交工商注册之月起的纳税证明）竞标人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竞标人所在地的税务部门出具的《依法纳税或依法免税证明》复印件；(必须提交，加盖公章)</w:t>
      </w:r>
    </w:p>
    <w:p>
      <w:pPr>
        <w:pStyle w:val="10"/>
        <w:spacing w:line="380" w:lineRule="atLeast"/>
        <w:rPr>
          <w:rFonts w:hAnsi="宋体" w:cs="宋体"/>
          <w:b/>
          <w:bCs/>
          <w:color w:val="000000" w:themeColor="text1"/>
          <w14:textFill>
            <w14:solidFill>
              <w14:schemeClr w14:val="tx1"/>
            </w14:solidFill>
          </w14:textFill>
        </w:rPr>
      </w:pPr>
      <w:r>
        <w:rPr>
          <w:rFonts w:hint="eastAsia" w:hAnsi="宋体" w:cs="宋体"/>
          <w:b/>
          <w:bCs/>
          <w:color w:val="000000" w:themeColor="text1"/>
          <w14:textFill>
            <w14:solidFill>
              <w14:schemeClr w14:val="tx1"/>
            </w14:solidFill>
          </w14:textFill>
        </w:rPr>
        <w:t>(8)近半年来竞标人连续三个月（如属新成立的公司不足三个月的递交工商注册之月起的社保证明竞标人依法缴纳社保费的缴费凭证（复印件，原件备查，格式自拟）（必须提供）；无缴费记录的，应提供由竞标人所在地社保部门出具的《依法缴纳或依法免缴社保费证明》（格式自拟，复印件，原件备查）。(必须提交，加盖公章)</w:t>
      </w:r>
    </w:p>
    <w:p>
      <w:pPr>
        <w:pStyle w:val="10"/>
        <w:spacing w:line="380" w:lineRule="atLeast"/>
        <w:rPr>
          <w:color w:val="000000" w:themeColor="text1"/>
          <w14:textFill>
            <w14:solidFill>
              <w14:schemeClr w14:val="tx1"/>
            </w14:solidFill>
          </w14:textFill>
        </w:rPr>
      </w:pPr>
      <w:r>
        <w:rPr>
          <w:rFonts w:hint="eastAsia" w:hAnsi="宋体" w:cs="宋体"/>
          <w:b/>
          <w:bCs/>
          <w:color w:val="000000" w:themeColor="text1"/>
          <w14:textFill>
            <w14:solidFill>
              <w14:schemeClr w14:val="tx1"/>
            </w14:solidFill>
          </w14:textFill>
        </w:rPr>
        <w:t>9)竞标人</w:t>
      </w:r>
      <w:r>
        <w:rPr>
          <w:rFonts w:hint="eastAsia"/>
          <w:b/>
          <w:bCs/>
          <w:color w:val="000000" w:themeColor="text1"/>
          <w14:textFill>
            <w14:solidFill>
              <w14:schemeClr w14:val="tx1"/>
            </w14:solidFill>
          </w14:textFill>
        </w:rPr>
        <w:t>2019年度财务报表（新成立的公司递交工商注册后最近</w:t>
      </w:r>
      <w:r>
        <w:rPr>
          <w:rFonts w:hint="eastAsia" w:hAnsi="宋体" w:cs="宋体"/>
          <w:b/>
          <w:bCs/>
          <w:color w:val="000000" w:themeColor="text1"/>
          <w14:textFill>
            <w14:solidFill>
              <w14:schemeClr w14:val="tx1"/>
            </w14:solidFill>
          </w14:textFill>
        </w:rPr>
        <w:t>竞标</w:t>
      </w:r>
      <w:r>
        <w:rPr>
          <w:rFonts w:hint="eastAsia"/>
          <w:b/>
          <w:bCs/>
          <w:color w:val="000000" w:themeColor="text1"/>
          <w14:textFill>
            <w14:solidFill>
              <w14:schemeClr w14:val="tx1"/>
            </w14:solidFill>
          </w14:textFill>
        </w:rPr>
        <w:t>截止期一个月度的月度财务报表）；</w:t>
      </w:r>
      <w:r>
        <w:rPr>
          <w:rFonts w:hint="eastAsia" w:hAnsi="宋体" w:cs="宋体"/>
          <w:b/>
          <w:bCs/>
          <w:color w:val="000000" w:themeColor="text1"/>
          <w14:textFill>
            <w14:solidFill>
              <w14:schemeClr w14:val="tx1"/>
            </w14:solidFill>
          </w14:textFill>
        </w:rPr>
        <w:t>(必须提交，加盖公章)</w:t>
      </w:r>
    </w:p>
    <w:p>
      <w:pPr>
        <w:pStyle w:val="24"/>
        <w:spacing w:line="360" w:lineRule="auto"/>
      </w:pPr>
      <w:r>
        <w:rPr>
          <w:rFonts w:hint="eastAsia" w:ascii="宋体" w:hAnsi="宋体" w:cs="宋体"/>
          <w:bCs w:val="0"/>
          <w:color w:val="000000" w:themeColor="text1"/>
          <w:spacing w:val="0"/>
          <w:kern w:val="2"/>
          <w:sz w:val="21"/>
          <w:szCs w:val="21"/>
          <w14:textFill>
            <w14:solidFill>
              <w14:schemeClr w14:val="tx1"/>
            </w14:solidFill>
          </w14:textFill>
        </w:rPr>
        <w:t>10）</w:t>
      </w:r>
      <w:r>
        <w:rPr>
          <w:rFonts w:hint="eastAsia" w:ascii="宋体" w:hAnsi="宋体"/>
          <w:color w:val="000000"/>
          <w:spacing w:val="0"/>
          <w:kern w:val="2"/>
          <w:sz w:val="21"/>
          <w:szCs w:val="32"/>
        </w:rPr>
        <w:t>采</w:t>
      </w:r>
      <w:r>
        <w:rPr>
          <w:rFonts w:hint="eastAsia" w:ascii="宋体" w:hAnsi="宋体" w:cs="Courier New"/>
          <w:color w:val="000000"/>
          <w:spacing w:val="2"/>
          <w:kern w:val="2"/>
          <w:sz w:val="21"/>
          <w:szCs w:val="32"/>
        </w:rPr>
        <w:t>购人或代理机构对供应商资格审查时进行信用查询</w:t>
      </w:r>
      <w:r>
        <w:rPr>
          <w:rFonts w:hint="eastAsia" w:ascii="宋体" w:hAnsi="宋体" w:cs="Courier New"/>
          <w:color w:val="000000"/>
          <w:spacing w:val="2"/>
          <w:kern w:val="2"/>
          <w:sz w:val="21"/>
          <w:szCs w:val="32"/>
        </w:rPr>
        <w:br w:type="textWrapping"/>
      </w:r>
      <w:r>
        <w:rPr>
          <w:rFonts w:hint="eastAsia" w:ascii="宋体" w:hAnsi="宋体" w:cs="Courier New"/>
          <w:color w:val="000000"/>
          <w:spacing w:val="2"/>
          <w:kern w:val="2"/>
          <w:sz w:val="21"/>
          <w:szCs w:val="32"/>
        </w:rPr>
        <w:t>查询渠道：“信用中国”网站(www.creditchina.gov.cn)、中国政府采购网(www.ccgp.gov.cn)等。</w:t>
      </w:r>
      <w:r>
        <w:rPr>
          <w:rFonts w:hint="eastAsia" w:ascii="宋体" w:hAnsi="宋体" w:cs="Courier New"/>
          <w:color w:val="000000"/>
          <w:spacing w:val="2"/>
          <w:kern w:val="2"/>
          <w:sz w:val="21"/>
          <w:szCs w:val="32"/>
        </w:rPr>
        <w:br w:type="textWrapping"/>
      </w:r>
      <w:r>
        <w:rPr>
          <w:rFonts w:hint="eastAsia" w:ascii="宋体" w:hAnsi="宋体" w:cs="Courier New"/>
          <w:color w:val="000000"/>
          <w:spacing w:val="2"/>
          <w:kern w:val="2"/>
          <w:sz w:val="21"/>
          <w:szCs w:val="32"/>
        </w:rPr>
        <w:t>查询起止时间：竞标截止时间前三年内。</w:t>
      </w:r>
      <w:r>
        <w:rPr>
          <w:rFonts w:hint="eastAsia" w:ascii="宋体" w:hAnsi="宋体" w:cs="Courier New"/>
          <w:color w:val="000000"/>
          <w:spacing w:val="2"/>
          <w:kern w:val="2"/>
          <w:sz w:val="21"/>
          <w:szCs w:val="32"/>
        </w:rPr>
        <w:br w:type="textWrapping"/>
      </w:r>
      <w:r>
        <w:rPr>
          <w:rFonts w:hint="eastAsia" w:ascii="宋体" w:hAnsi="宋体" w:cs="Courier New"/>
          <w:color w:val="000000"/>
          <w:spacing w:val="2"/>
          <w:kern w:val="2"/>
          <w:sz w:val="21"/>
          <w:szCs w:val="32"/>
        </w:rPr>
        <w:t>查询记录和证据留存方式：由代理公司开标后在查询网站中直接打印查询记录，打印材料作为评审资料保存。</w:t>
      </w:r>
      <w:r>
        <w:rPr>
          <w:rFonts w:hint="eastAsia" w:ascii="宋体" w:hAnsi="宋体" w:cs="Courier New"/>
          <w:color w:val="000000"/>
          <w:spacing w:val="2"/>
          <w:kern w:val="2"/>
          <w:sz w:val="21"/>
          <w:szCs w:val="32"/>
        </w:rPr>
        <w:br w:type="textWrapping"/>
      </w:r>
      <w:r>
        <w:rPr>
          <w:rFonts w:hint="eastAsia" w:ascii="宋体" w:hAnsi="宋体" w:cs="Courier New"/>
          <w:color w:val="000000"/>
          <w:spacing w:val="2"/>
          <w:kern w:val="2"/>
          <w:sz w:val="21"/>
          <w:szCs w:val="32"/>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p>
      <w:pPr>
        <w:spacing w:line="400" w:lineRule="exact"/>
        <w:rPr>
          <w:rFonts w:ascii="宋体" w:hAnsi="宋体" w:cs="宋体"/>
          <w:szCs w:val="21"/>
          <w:shd w:val="clear" w:color="auto" w:fill="FFC000"/>
        </w:rPr>
      </w:pPr>
      <w:r>
        <w:rPr>
          <w:rFonts w:hint="eastAsia" w:ascii="宋体" w:hAnsi="宋体" w:cs="宋体"/>
          <w:szCs w:val="21"/>
        </w:rPr>
        <w:t>11）（技术）服务方案；</w:t>
      </w:r>
    </w:p>
    <w:p>
      <w:pPr>
        <w:spacing w:line="400" w:lineRule="exact"/>
        <w:rPr>
          <w:rFonts w:ascii="宋体" w:hAnsi="宋体" w:cs="宋体"/>
          <w:szCs w:val="21"/>
        </w:rPr>
      </w:pPr>
      <w:r>
        <w:rPr>
          <w:rFonts w:hint="eastAsia" w:ascii="宋体" w:hAnsi="宋体" w:cs="宋体"/>
          <w:szCs w:val="21"/>
        </w:rPr>
        <w:t>12）类似服务的业绩（中标通知书或服务合同等复印件）</w:t>
      </w:r>
    </w:p>
    <w:p>
      <w:pPr>
        <w:spacing w:line="400" w:lineRule="exact"/>
        <w:rPr>
          <w:rFonts w:ascii="宋体" w:hAnsi="宋体" w:cs="宋体"/>
          <w:szCs w:val="21"/>
        </w:rPr>
      </w:pPr>
      <w:r>
        <w:rPr>
          <w:rFonts w:hint="eastAsia" w:ascii="宋体" w:hAnsi="宋体" w:cs="宋体"/>
          <w:szCs w:val="21"/>
        </w:rPr>
        <w:t>13）磋商供应商认为需要提供的有关资料。</w:t>
      </w:r>
    </w:p>
    <w:p>
      <w:pPr>
        <w:spacing w:line="400" w:lineRule="exact"/>
        <w:rPr>
          <w:rFonts w:ascii="宋体" w:hAnsi="宋体" w:cs="宋体"/>
          <w:szCs w:val="21"/>
        </w:rPr>
      </w:pPr>
      <w:r>
        <w:rPr>
          <w:rFonts w:hint="eastAsia" w:ascii="宋体" w:hAnsi="宋体" w:cs="宋体"/>
          <w:szCs w:val="21"/>
        </w:rPr>
        <w:t>6. 计量单位</w:t>
      </w:r>
    </w:p>
    <w:p>
      <w:pPr>
        <w:spacing w:line="400" w:lineRule="exact"/>
        <w:rPr>
          <w:rFonts w:ascii="宋体" w:hAnsi="宋体" w:cs="宋体"/>
          <w:szCs w:val="21"/>
        </w:rPr>
      </w:pPr>
      <w:r>
        <w:rPr>
          <w:rFonts w:hint="eastAsia" w:ascii="宋体" w:hAnsi="宋体" w:cs="宋体"/>
          <w:szCs w:val="21"/>
        </w:rPr>
        <w:t>6.1 除技术要求中另有规定外，本文件所要求使用的计量单位均应采用国家法定计量单位。</w:t>
      </w:r>
    </w:p>
    <w:p>
      <w:pPr>
        <w:spacing w:line="400" w:lineRule="exact"/>
        <w:rPr>
          <w:rFonts w:ascii="宋体" w:hAnsi="宋体" w:cs="宋体"/>
          <w:b/>
          <w:szCs w:val="21"/>
        </w:rPr>
      </w:pPr>
      <w:r>
        <w:rPr>
          <w:rFonts w:hint="eastAsia" w:ascii="宋体" w:hAnsi="宋体" w:cs="宋体"/>
          <w:b/>
          <w:szCs w:val="21"/>
        </w:rPr>
        <w:t>三、磋商报价要求</w:t>
      </w:r>
    </w:p>
    <w:p>
      <w:pPr>
        <w:pStyle w:val="10"/>
        <w:spacing w:line="400" w:lineRule="exact"/>
        <w:rPr>
          <w:rFonts w:hAnsi="宋体" w:cs="宋体"/>
        </w:rPr>
      </w:pPr>
      <w:bookmarkStart w:id="45" w:name="OLE_LINK13"/>
      <w:r>
        <w:rPr>
          <w:rFonts w:hint="eastAsia" w:hAnsi="宋体" w:cs="宋体"/>
        </w:rPr>
        <w:t xml:space="preserve">    7.1竞标报价小写与大写不符的，以大写为准。如果因竞标人原因引起的报价失误，同时又被磋商时所接受，其后果由竞标人自负。</w:t>
      </w:r>
    </w:p>
    <w:p>
      <w:pPr>
        <w:pStyle w:val="10"/>
        <w:spacing w:line="400" w:lineRule="exact"/>
        <w:ind w:firstLine="420"/>
        <w:rPr>
          <w:rFonts w:hAnsi="宋体" w:cs="宋体"/>
          <w:b/>
        </w:rPr>
      </w:pPr>
      <w:r>
        <w:rPr>
          <w:rFonts w:hint="eastAsia" w:hAnsi="宋体" w:cs="宋体"/>
        </w:rPr>
        <w:t>7.2投标报价形式：</w:t>
      </w:r>
    </w:p>
    <w:p>
      <w:pPr>
        <w:pStyle w:val="10"/>
        <w:spacing w:line="400" w:lineRule="exact"/>
        <w:ind w:firstLine="420"/>
        <w:rPr>
          <w:rFonts w:hAnsi="宋体" w:cs="宋体"/>
        </w:rPr>
      </w:pPr>
      <w:r>
        <w:rPr>
          <w:rFonts w:hint="eastAsia" w:hAnsi="宋体" w:cs="宋体"/>
        </w:rPr>
        <w:t>投标人应结合自身因素进行报价，考虑的其他风险。投标报价不得高于招标控制价，否则，视为不响应招标文件实质性内容，做废标处理。</w:t>
      </w:r>
    </w:p>
    <w:p>
      <w:pPr>
        <w:spacing w:line="400" w:lineRule="exact"/>
        <w:rPr>
          <w:rFonts w:ascii="宋体" w:hAnsi="宋体" w:cs="宋体"/>
        </w:rPr>
      </w:pPr>
      <w:r>
        <w:rPr>
          <w:rFonts w:hint="eastAsia" w:ascii="宋体" w:hAnsi="宋体" w:cs="宋体"/>
          <w:szCs w:val="21"/>
        </w:rPr>
        <w:t>7.3</w:t>
      </w:r>
      <w:r>
        <w:rPr>
          <w:rFonts w:hint="eastAsia" w:ascii="宋体" w:hAnsi="宋体" w:cs="宋体"/>
        </w:rPr>
        <w:t>采购人对未中标的投标人不做任何费用补偿。</w:t>
      </w:r>
      <w:bookmarkEnd w:id="45"/>
    </w:p>
    <w:p>
      <w:pPr>
        <w:spacing w:line="400" w:lineRule="exact"/>
        <w:rPr>
          <w:rFonts w:ascii="宋体" w:hAnsi="宋体" w:cs="宋体"/>
          <w:szCs w:val="21"/>
        </w:rPr>
      </w:pPr>
      <w:r>
        <w:rPr>
          <w:rFonts w:hint="eastAsia" w:ascii="宋体" w:hAnsi="宋体" w:cs="宋体"/>
          <w:szCs w:val="21"/>
        </w:rPr>
        <w:t>7.4对于本文件中未列明，而磋商供应商认为必需的费用也需列入总报价。在合同实施时，采购人将不予支付成交供应商没有列入的项目费用，并认为此项目的费用已包括在总报价中。</w:t>
      </w:r>
    </w:p>
    <w:p>
      <w:pPr>
        <w:spacing w:line="400" w:lineRule="exact"/>
        <w:rPr>
          <w:rFonts w:ascii="宋体" w:hAnsi="宋体" w:cs="宋体"/>
          <w:b/>
          <w:szCs w:val="21"/>
        </w:rPr>
      </w:pPr>
      <w:r>
        <w:rPr>
          <w:rFonts w:hint="eastAsia" w:ascii="宋体" w:hAnsi="宋体" w:cs="宋体"/>
          <w:b/>
          <w:szCs w:val="21"/>
        </w:rPr>
        <w:t>四、竞争性磋商响应文件的份数、封装和递交</w:t>
      </w:r>
    </w:p>
    <w:p>
      <w:pPr>
        <w:spacing w:line="400" w:lineRule="exact"/>
        <w:rPr>
          <w:rFonts w:ascii="宋体" w:hAnsi="宋体" w:cs="宋体"/>
          <w:szCs w:val="21"/>
        </w:rPr>
      </w:pPr>
      <w:r>
        <w:rPr>
          <w:rFonts w:hint="eastAsia" w:ascii="宋体" w:hAnsi="宋体" w:cs="宋体"/>
          <w:szCs w:val="21"/>
        </w:rPr>
        <w:t>8. 磋商响应文件的份数和封装</w:t>
      </w:r>
    </w:p>
    <w:p>
      <w:pPr>
        <w:spacing w:line="400" w:lineRule="exact"/>
        <w:rPr>
          <w:rFonts w:ascii="宋体" w:hAnsi="宋体" w:cs="宋体"/>
          <w:szCs w:val="21"/>
        </w:rPr>
      </w:pPr>
      <w:r>
        <w:rPr>
          <w:rFonts w:hint="eastAsia" w:ascii="宋体" w:hAnsi="宋体" w:cs="宋体"/>
          <w:szCs w:val="21"/>
        </w:rPr>
        <w:t>8.1 竞争性磋商响应文件中包含 “价格文件”和“商务服务文件”两个部分（两个部分可以单独装订或合并装订），正本一份，副本</w:t>
      </w:r>
      <w:r>
        <w:rPr>
          <w:rFonts w:hint="eastAsia" w:ascii="宋体" w:hAnsi="宋体" w:cs="宋体"/>
          <w:szCs w:val="21"/>
          <w:u w:val="single"/>
        </w:rPr>
        <w:t>四</w:t>
      </w:r>
      <w:r>
        <w:rPr>
          <w:rFonts w:hint="eastAsia" w:ascii="宋体" w:hAnsi="宋体" w:cs="宋体"/>
          <w:szCs w:val="21"/>
        </w:rPr>
        <w:t>份。竞争性磋商响应文件必须包边装订，使用活页夹、订书钉等可能导致竞争性磋商响应文件散落或脱页方式装订的将被视为无效，然后再将所有响应文件封装在一个信封中。</w:t>
      </w:r>
    </w:p>
    <w:p>
      <w:pPr>
        <w:spacing w:line="400" w:lineRule="exact"/>
        <w:rPr>
          <w:rFonts w:ascii="宋体" w:hAnsi="宋体" w:cs="宋体"/>
          <w:szCs w:val="21"/>
        </w:rPr>
      </w:pPr>
      <w:r>
        <w:rPr>
          <w:rFonts w:hint="eastAsia" w:ascii="宋体" w:hAnsi="宋体" w:cs="宋体"/>
          <w:szCs w:val="21"/>
        </w:rPr>
        <w:t>8.2 竞争性磋商响应文件的信封上应写明：</w:t>
      </w:r>
    </w:p>
    <w:p>
      <w:pPr>
        <w:spacing w:line="400" w:lineRule="exact"/>
        <w:rPr>
          <w:rFonts w:ascii="宋体" w:hAnsi="宋体" w:cs="宋体"/>
          <w:szCs w:val="21"/>
        </w:rPr>
      </w:pPr>
      <w:r>
        <w:rPr>
          <w:rFonts w:hint="eastAsia" w:ascii="宋体" w:hAnsi="宋体" w:cs="宋体"/>
          <w:szCs w:val="21"/>
        </w:rPr>
        <w:t>1） 竞争性磋商项目编号；</w:t>
      </w:r>
    </w:p>
    <w:p>
      <w:pPr>
        <w:spacing w:line="400" w:lineRule="exact"/>
        <w:rPr>
          <w:rFonts w:ascii="宋体" w:hAnsi="宋体" w:cs="宋体"/>
          <w:szCs w:val="21"/>
        </w:rPr>
      </w:pPr>
      <w:r>
        <w:rPr>
          <w:rFonts w:hint="eastAsia" w:ascii="宋体" w:hAnsi="宋体" w:cs="宋体"/>
          <w:szCs w:val="21"/>
        </w:rPr>
        <w:t>2） 竞争性磋商项目名称；</w:t>
      </w:r>
    </w:p>
    <w:p>
      <w:pPr>
        <w:spacing w:line="400" w:lineRule="exact"/>
        <w:rPr>
          <w:rFonts w:ascii="宋体" w:hAnsi="宋体" w:cs="宋体"/>
          <w:szCs w:val="21"/>
        </w:rPr>
      </w:pPr>
      <w:r>
        <w:rPr>
          <w:rFonts w:hint="eastAsia" w:ascii="宋体" w:hAnsi="宋体" w:cs="宋体"/>
          <w:szCs w:val="21"/>
        </w:rPr>
        <w:t>3） 包号及磋商服务名称；</w:t>
      </w:r>
    </w:p>
    <w:p>
      <w:pPr>
        <w:spacing w:line="400" w:lineRule="exact"/>
        <w:rPr>
          <w:rFonts w:ascii="宋体" w:hAnsi="宋体" w:cs="宋体"/>
          <w:szCs w:val="21"/>
        </w:rPr>
      </w:pPr>
      <w:r>
        <w:rPr>
          <w:rFonts w:hint="eastAsia" w:ascii="宋体" w:hAnsi="宋体" w:cs="宋体"/>
          <w:szCs w:val="21"/>
        </w:rPr>
        <w:t>4） 磋商供应商名称。</w:t>
      </w:r>
    </w:p>
    <w:p>
      <w:pPr>
        <w:spacing w:line="400" w:lineRule="exact"/>
        <w:rPr>
          <w:rFonts w:ascii="宋体" w:hAnsi="宋体" w:cs="宋体"/>
          <w:szCs w:val="21"/>
        </w:rPr>
      </w:pPr>
      <w:r>
        <w:rPr>
          <w:rFonts w:hint="eastAsia" w:ascii="宋体" w:hAnsi="宋体" w:cs="宋体"/>
          <w:szCs w:val="21"/>
        </w:rPr>
        <w:t>9. 竞争性磋商响应文件的递交</w:t>
      </w:r>
    </w:p>
    <w:p>
      <w:pPr>
        <w:spacing w:line="400" w:lineRule="exact"/>
        <w:rPr>
          <w:rFonts w:ascii="宋体" w:hAnsi="宋体" w:cs="宋体"/>
          <w:szCs w:val="21"/>
        </w:rPr>
      </w:pPr>
      <w:r>
        <w:rPr>
          <w:rFonts w:hint="eastAsia" w:ascii="宋体" w:hAnsi="宋体" w:cs="宋体"/>
          <w:szCs w:val="21"/>
        </w:rPr>
        <w:t>9.1 所有竞争性磋商竞争性响应文件应于竞争性磋商采购文件中规定的时间前递交到广西龙建工程管理有限公司。</w:t>
      </w:r>
    </w:p>
    <w:p>
      <w:pPr>
        <w:spacing w:line="400" w:lineRule="exact"/>
        <w:rPr>
          <w:rFonts w:ascii="宋体" w:hAnsi="宋体" w:cs="宋体"/>
          <w:szCs w:val="21"/>
        </w:rPr>
      </w:pPr>
      <w:r>
        <w:rPr>
          <w:rFonts w:hint="eastAsia" w:ascii="宋体" w:hAnsi="宋体" w:cs="宋体"/>
          <w:szCs w:val="21"/>
        </w:rPr>
        <w:t>10.  迟交的竞争性磋商响应文件，按《政府采购法》的规定，采购代理机构将拒绝或原封退回在其规定的递交竞争性磋商响应文件截止时间之后收到的任何竞争性磋商响应文件。</w:t>
      </w:r>
    </w:p>
    <w:p>
      <w:pPr>
        <w:spacing w:line="400" w:lineRule="exact"/>
        <w:rPr>
          <w:rFonts w:ascii="宋体" w:hAnsi="宋体" w:cs="宋体"/>
          <w:b/>
          <w:szCs w:val="21"/>
        </w:rPr>
      </w:pPr>
      <w:r>
        <w:rPr>
          <w:rFonts w:hint="eastAsia" w:ascii="宋体" w:hAnsi="宋体" w:cs="宋体"/>
          <w:b/>
          <w:szCs w:val="21"/>
        </w:rPr>
        <w:t>五、磋商的步骤</w:t>
      </w:r>
    </w:p>
    <w:p>
      <w:pPr>
        <w:spacing w:line="400" w:lineRule="exact"/>
        <w:rPr>
          <w:rFonts w:ascii="宋体" w:hAnsi="宋体" w:cs="宋体"/>
          <w:szCs w:val="21"/>
        </w:rPr>
      </w:pPr>
      <w:r>
        <w:rPr>
          <w:rFonts w:hint="eastAsia" w:ascii="宋体" w:hAnsi="宋体" w:cs="宋体"/>
          <w:szCs w:val="21"/>
        </w:rPr>
        <w:t>11.1资格（符合性）审查：磋商小组对磋商资格条件及响应文件进行评审，并从符合竞争性磋商文件规定的相应资格条件的供应商名单中确定不少于3家的供应商参加磋商。资格条件不符合的供应商或未实质性响应磋商文件的响应文件按无效响应处理，磋商小组应当告知有关供应商。</w:t>
      </w:r>
    </w:p>
    <w:p>
      <w:pPr>
        <w:spacing w:line="400" w:lineRule="exact"/>
        <w:rPr>
          <w:rFonts w:ascii="宋体" w:hAnsi="宋体" w:cs="宋体"/>
          <w:szCs w:val="21"/>
        </w:rPr>
      </w:pPr>
      <w:r>
        <w:rPr>
          <w:rFonts w:hint="eastAsia" w:ascii="宋体" w:hAnsi="宋体" w:cs="宋体"/>
          <w:szCs w:val="21"/>
        </w:rPr>
        <w:t>11.2第一轮磋商</w:t>
      </w:r>
    </w:p>
    <w:p>
      <w:pPr>
        <w:spacing w:line="400" w:lineRule="exact"/>
        <w:ind w:firstLine="420" w:firstLineChars="200"/>
        <w:rPr>
          <w:rFonts w:ascii="宋体" w:hAnsi="宋体" w:cs="宋体"/>
          <w:szCs w:val="21"/>
        </w:rPr>
      </w:pPr>
      <w:r>
        <w:rPr>
          <w:rFonts w:hint="eastAsia" w:ascii="宋体" w:hAnsi="宋体" w:cs="宋体"/>
          <w:szCs w:val="21"/>
        </w:rPr>
        <w:t>磋商小组按已确定的磋商顺序，磋商小组所有成员应当集中与单一供应商分别进行磋商，</w:t>
      </w:r>
      <w:r>
        <w:rPr>
          <w:rFonts w:hint="eastAsia" w:hAnsi="宋体"/>
          <w:color w:val="000000"/>
        </w:rPr>
        <w:t>磋商的内容包括价格、技术性条件、商务性条件以及磋商小组认为需要磋商的内容。</w:t>
      </w:r>
    </w:p>
    <w:p>
      <w:pPr>
        <w:spacing w:line="400" w:lineRule="exact"/>
        <w:ind w:firstLine="420" w:firstLineChars="200"/>
        <w:rPr>
          <w:rFonts w:ascii="宋体" w:hAnsi="宋体" w:cs="宋体"/>
          <w:szCs w:val="21"/>
        </w:rPr>
      </w:pPr>
      <w:r>
        <w:rPr>
          <w:rFonts w:hint="eastAsia" w:ascii="宋体" w:hAnsi="宋体" w:cs="宋体"/>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400" w:lineRule="exact"/>
        <w:ind w:firstLine="420" w:firstLineChars="200"/>
        <w:rPr>
          <w:rFonts w:ascii="宋体" w:hAnsi="宋体" w:cs="宋体"/>
          <w:szCs w:val="21"/>
        </w:rPr>
      </w:pPr>
      <w:r>
        <w:rPr>
          <w:rFonts w:hint="eastAsia" w:ascii="宋体" w:hAnsi="宋体" w:cs="宋体"/>
          <w:szCs w:val="21"/>
        </w:rPr>
        <w:t>对磋商文件作出的实质性变动是磋商文件的有效组成部分，磋商小组应当及时以书面形式同时通知所有参加磋商的供应商。</w:t>
      </w:r>
    </w:p>
    <w:p>
      <w:pPr>
        <w:spacing w:line="400" w:lineRule="exact"/>
        <w:ind w:firstLine="420" w:firstLineChars="200"/>
        <w:rPr>
          <w:rFonts w:ascii="宋体" w:hAnsi="宋体" w:cs="宋体"/>
          <w:szCs w:val="21"/>
        </w:rPr>
      </w:pPr>
      <w:r>
        <w:rPr>
          <w:rFonts w:hint="eastAsia" w:ascii="宋体" w:hAnsi="宋体" w:cs="宋体"/>
          <w:szCs w:val="21"/>
        </w:rPr>
        <w:t>供应商应当按照磋商文件的变动情况和磋商小组的要求重新提交响应文件，并由其法定代表人或授权代表签字或者加盖公章。由授权代表签字的，应当附法定代表人授权书。</w:t>
      </w:r>
    </w:p>
    <w:p>
      <w:pPr>
        <w:spacing w:line="400" w:lineRule="exact"/>
        <w:ind w:firstLine="420" w:firstLineChars="200"/>
        <w:rPr>
          <w:rFonts w:ascii="宋体" w:hAnsi="宋体" w:cs="宋体"/>
          <w:szCs w:val="21"/>
        </w:rPr>
      </w:pPr>
      <w:r>
        <w:rPr>
          <w:rFonts w:hint="eastAsia" w:ascii="宋体" w:hAnsi="宋体" w:cs="宋体"/>
          <w:szCs w:val="21"/>
        </w:rPr>
        <w:t>磋商中，磋商的任何一方不得透露与磋商有关的其他供应商的技术资料、价格和其他信息。</w:t>
      </w:r>
    </w:p>
    <w:p>
      <w:pPr>
        <w:spacing w:line="400" w:lineRule="exact"/>
        <w:ind w:firstLine="420" w:firstLineChars="200"/>
        <w:rPr>
          <w:rFonts w:ascii="宋体" w:hAnsi="宋体" w:cs="宋体"/>
          <w:szCs w:val="21"/>
        </w:rPr>
      </w:pPr>
      <w:r>
        <w:rPr>
          <w:rFonts w:hint="eastAsia" w:ascii="宋体" w:hAnsi="宋体" w:cs="宋体"/>
          <w:szCs w:val="21"/>
        </w:rPr>
        <w:t>采购代理机构对磋商过程和重要磋商内容进行记录，磋商双方在记录上签字确认。</w:t>
      </w:r>
    </w:p>
    <w:p>
      <w:pPr>
        <w:spacing w:line="400" w:lineRule="exact"/>
        <w:ind w:firstLine="420" w:firstLineChars="200"/>
        <w:rPr>
          <w:rFonts w:ascii="宋体" w:hAnsi="宋体" w:cs="宋体"/>
          <w:szCs w:val="21"/>
        </w:rPr>
      </w:pPr>
      <w:r>
        <w:rPr>
          <w:rFonts w:hint="eastAsia" w:ascii="宋体" w:hAnsi="宋体" w:cs="宋体"/>
          <w:szCs w:val="21"/>
        </w:rPr>
        <w:t>磋商小组一致确定响应供应商符合磋商文件要求的，按磋商文件设定的方法和标准确定成交候选人。第一轮磋商磋商小组未能确定成交候选人的，对磋商文件修正后进行第二轮磋商。</w:t>
      </w:r>
    </w:p>
    <w:p>
      <w:pPr>
        <w:spacing w:line="400" w:lineRule="exact"/>
        <w:rPr>
          <w:rFonts w:ascii="宋体" w:hAnsi="宋体" w:cs="宋体"/>
          <w:szCs w:val="21"/>
        </w:rPr>
      </w:pPr>
      <w:r>
        <w:rPr>
          <w:rFonts w:hint="eastAsia" w:ascii="宋体" w:hAnsi="宋体" w:cs="宋体"/>
          <w:szCs w:val="21"/>
        </w:rPr>
        <w:t>11.</w:t>
      </w:r>
      <w:r>
        <w:rPr>
          <w:rFonts w:hint="eastAsia" w:ascii="宋体" w:hAnsi="宋体" w:cs="宋体"/>
          <w:szCs w:val="21"/>
          <w:lang w:val="en-US" w:eastAsia="zh-CN"/>
        </w:rPr>
        <w:t>3</w:t>
      </w:r>
      <w:r>
        <w:rPr>
          <w:rFonts w:hint="eastAsia" w:ascii="宋体" w:hAnsi="宋体" w:cs="宋体"/>
          <w:szCs w:val="21"/>
        </w:rPr>
        <w:t>磋商文件修正</w:t>
      </w:r>
    </w:p>
    <w:p>
      <w:pPr>
        <w:spacing w:line="400" w:lineRule="exact"/>
        <w:rPr>
          <w:rFonts w:ascii="宋体" w:hAnsi="宋体" w:cs="宋体"/>
          <w:szCs w:val="21"/>
        </w:rPr>
      </w:pPr>
      <w:r>
        <w:rPr>
          <w:rFonts w:hint="eastAsia" w:ascii="宋体" w:hAnsi="宋体" w:cs="宋体"/>
          <w:szCs w:val="21"/>
        </w:rPr>
        <w:t>⑴第一轮磋商结束后，各响应供应商退场等候，磋商小组进行合议。根据第一轮磋商掌握的情况，可以对磋商文件进行修改，确定采购内容的详细规格或具体要求，优化采购方案。</w:t>
      </w:r>
    </w:p>
    <w:p>
      <w:pPr>
        <w:spacing w:line="400" w:lineRule="exact"/>
        <w:rPr>
          <w:rFonts w:ascii="宋体" w:hAnsi="宋体" w:cs="宋体"/>
          <w:szCs w:val="21"/>
        </w:rPr>
      </w:pPr>
      <w:r>
        <w:rPr>
          <w:rFonts w:hint="eastAsia" w:ascii="宋体" w:hAnsi="宋体" w:cs="宋体"/>
          <w:szCs w:val="21"/>
        </w:rPr>
        <w:t>⑵采购代理机构通知响应供应商集中，磋商小组强调调整后的采购要求，将磋商文件的修改结果以书面形式通知响应供应商，向响应供应商提供较充分的修正时间。</w:t>
      </w:r>
    </w:p>
    <w:p>
      <w:pPr>
        <w:spacing w:line="400" w:lineRule="exact"/>
        <w:rPr>
          <w:rFonts w:ascii="宋体" w:hAnsi="宋体" w:cs="宋体"/>
          <w:szCs w:val="21"/>
        </w:rPr>
      </w:pPr>
      <w:r>
        <w:rPr>
          <w:rFonts w:hint="eastAsia" w:ascii="宋体" w:hAnsi="宋体" w:cs="宋体"/>
          <w:szCs w:val="21"/>
        </w:rPr>
        <w:t>⑶响应供应商根据第一轮磋商情况和磋商文件修改书面通知，对原响应文件进行修正，并将修正文件签字后密封送交磋商小组。逾时不交的，视同放弃磋商。修正文件与响应文件同具法律效力。</w:t>
      </w:r>
    </w:p>
    <w:p>
      <w:pPr>
        <w:spacing w:line="400" w:lineRule="exact"/>
        <w:rPr>
          <w:rFonts w:ascii="宋体" w:hAnsi="宋体" w:cs="宋体"/>
          <w:szCs w:val="21"/>
        </w:rPr>
      </w:pPr>
      <w:r>
        <w:rPr>
          <w:rFonts w:hint="eastAsia" w:ascii="宋体" w:hAnsi="宋体" w:cs="宋体"/>
          <w:szCs w:val="21"/>
        </w:rPr>
        <w:t>11.</w:t>
      </w:r>
      <w:r>
        <w:rPr>
          <w:rFonts w:hint="eastAsia" w:ascii="宋体" w:hAnsi="宋体" w:cs="宋体"/>
          <w:szCs w:val="21"/>
          <w:lang w:val="en-US" w:eastAsia="zh-CN"/>
        </w:rPr>
        <w:t>4</w:t>
      </w:r>
      <w:r>
        <w:rPr>
          <w:rFonts w:hint="eastAsia" w:ascii="宋体" w:hAnsi="宋体" w:cs="宋体"/>
          <w:szCs w:val="21"/>
        </w:rPr>
        <w:t>第二轮磋商</w:t>
      </w:r>
    </w:p>
    <w:p>
      <w:pPr>
        <w:spacing w:line="400" w:lineRule="exact"/>
        <w:ind w:firstLine="420" w:firstLineChars="200"/>
        <w:rPr>
          <w:rFonts w:ascii="宋体" w:hAnsi="宋体" w:cs="宋体"/>
          <w:szCs w:val="21"/>
        </w:rPr>
      </w:pPr>
      <w:r>
        <w:rPr>
          <w:rFonts w:hint="eastAsia" w:ascii="宋体" w:hAnsi="宋体" w:cs="宋体"/>
          <w:szCs w:val="21"/>
        </w:rPr>
        <w:t>磋商小组就修正后的磋商文件与响应供应商分别进行磋商。采购代理机构对磋商过程和重要磋商内容进行记录，磋商双方在记录上签字确认。磋商小组按磋商文件设定的方法和标准确定成交候选人。</w:t>
      </w:r>
    </w:p>
    <w:p>
      <w:pPr>
        <w:spacing w:line="400" w:lineRule="exact"/>
        <w:rPr>
          <w:rFonts w:ascii="宋体" w:hAnsi="宋体" w:cs="宋体"/>
          <w:szCs w:val="21"/>
        </w:rPr>
      </w:pPr>
      <w:r>
        <w:rPr>
          <w:rFonts w:hint="eastAsia" w:ascii="宋体" w:hAnsi="宋体" w:cs="宋体"/>
          <w:szCs w:val="21"/>
        </w:rPr>
        <w:t>第二轮磋商磋商小组未能确定成交候选人的，对磋商文件修正后进行第三轮磋商。以此类推。</w:t>
      </w:r>
    </w:p>
    <w:p>
      <w:pPr>
        <w:spacing w:line="400" w:lineRule="exact"/>
        <w:rPr>
          <w:rFonts w:ascii="宋体" w:hAnsi="宋体" w:cs="宋体"/>
          <w:szCs w:val="21"/>
        </w:rPr>
      </w:pPr>
      <w:r>
        <w:rPr>
          <w:rFonts w:hint="eastAsia" w:ascii="宋体" w:hAnsi="宋体" w:cs="宋体"/>
          <w:szCs w:val="21"/>
        </w:rPr>
        <w:t>11.</w:t>
      </w:r>
      <w:r>
        <w:rPr>
          <w:rFonts w:hint="eastAsia" w:ascii="宋体" w:hAnsi="宋体" w:cs="宋体"/>
          <w:szCs w:val="21"/>
          <w:lang w:val="en-US" w:eastAsia="zh-CN"/>
        </w:rPr>
        <w:t>5</w:t>
      </w:r>
      <w:r>
        <w:rPr>
          <w:rFonts w:hint="eastAsia" w:ascii="宋体" w:hAnsi="宋体" w:cs="宋体"/>
          <w:szCs w:val="21"/>
        </w:rPr>
        <w:t>最后得分</w:t>
      </w:r>
    </w:p>
    <w:p>
      <w:pPr>
        <w:spacing w:line="400" w:lineRule="exact"/>
        <w:rPr>
          <w:rFonts w:ascii="宋体" w:hAnsi="宋体" w:cs="宋体"/>
          <w:szCs w:val="21"/>
        </w:rPr>
      </w:pPr>
      <w:r>
        <w:rPr>
          <w:rFonts w:hint="eastAsia" w:ascii="宋体" w:hAnsi="宋体" w:cs="宋体"/>
          <w:szCs w:val="21"/>
        </w:rPr>
        <w:t>11.</w:t>
      </w:r>
      <w:r>
        <w:rPr>
          <w:rFonts w:hint="eastAsia" w:ascii="宋体" w:hAnsi="宋体" w:cs="宋体"/>
          <w:szCs w:val="21"/>
          <w:lang w:val="en-US" w:eastAsia="zh-CN"/>
        </w:rPr>
        <w:t>5</w:t>
      </w:r>
      <w:r>
        <w:rPr>
          <w:rFonts w:hint="eastAsia" w:ascii="宋体" w:hAnsi="宋体" w:cs="宋体"/>
          <w:szCs w:val="21"/>
        </w:rPr>
        <w:t>.1综合评分：经磋商确定最终采购需求供应商后，由磋商小组采用综合评分法对提交响应文件进行综合评分。</w:t>
      </w:r>
    </w:p>
    <w:p>
      <w:pPr>
        <w:spacing w:line="400" w:lineRule="exact"/>
        <w:rPr>
          <w:rFonts w:ascii="宋体" w:hAnsi="宋体" w:cs="宋体"/>
          <w:szCs w:val="21"/>
        </w:rPr>
      </w:pPr>
      <w:r>
        <w:rPr>
          <w:rFonts w:hint="eastAsia" w:ascii="宋体" w:hAnsi="宋体" w:cs="宋体"/>
          <w:szCs w:val="21"/>
        </w:rPr>
        <w:t>磋商小组应当根据综合评分情况，按照评审得分由高到低顺序推荐成交候选供应商，并编写评审报告。评审得分相同的，按照培训工作基础和业绩分由低到高的顺序推荐。评审得分且培训工作基础和业绩分相同的，则按照工作方案优劣顺序推荐。</w:t>
      </w:r>
    </w:p>
    <w:p>
      <w:pPr>
        <w:spacing w:line="400" w:lineRule="exact"/>
        <w:rPr>
          <w:rFonts w:ascii="宋体" w:hAnsi="宋体" w:cs="宋体"/>
          <w:szCs w:val="21"/>
        </w:rPr>
      </w:pPr>
      <w:r>
        <w:rPr>
          <w:rFonts w:hint="eastAsia" w:ascii="宋体" w:hAnsi="宋体" w:cs="宋体"/>
          <w:szCs w:val="21"/>
        </w:rPr>
        <w:t>11.</w:t>
      </w:r>
      <w:r>
        <w:rPr>
          <w:rFonts w:hint="eastAsia" w:ascii="宋体" w:hAnsi="宋体" w:cs="宋体"/>
          <w:szCs w:val="21"/>
          <w:lang w:val="en-US" w:eastAsia="zh-CN"/>
        </w:rPr>
        <w:t>5</w:t>
      </w:r>
      <w:r>
        <w:rPr>
          <w:rFonts w:hint="eastAsia" w:ascii="宋体" w:hAnsi="宋体" w:cs="宋体"/>
          <w:szCs w:val="21"/>
        </w:rPr>
        <w:t>.2在评标过程中出现法律法规和磋商文件均没有明确规定的情形时，由磋商小组现场协商解决，协商不一致的，由全体磋商小组投票表决，以得票率半数以上专家的意见为准。</w:t>
      </w:r>
    </w:p>
    <w:p>
      <w:pPr>
        <w:spacing w:line="400" w:lineRule="exact"/>
        <w:rPr>
          <w:rFonts w:ascii="宋体" w:hAnsi="宋体" w:cs="宋体"/>
          <w:szCs w:val="21"/>
        </w:rPr>
      </w:pPr>
      <w:r>
        <w:rPr>
          <w:rFonts w:hint="eastAsia" w:ascii="宋体" w:hAnsi="宋体" w:cs="宋体"/>
          <w:szCs w:val="21"/>
        </w:rPr>
        <w:t>11.</w:t>
      </w:r>
      <w:r>
        <w:rPr>
          <w:rFonts w:hint="eastAsia" w:ascii="宋体" w:hAnsi="宋体" w:cs="宋体"/>
          <w:szCs w:val="21"/>
          <w:lang w:val="en-US" w:eastAsia="zh-CN"/>
        </w:rPr>
        <w:t>5</w:t>
      </w:r>
      <w:r>
        <w:rPr>
          <w:rFonts w:hint="eastAsia" w:ascii="宋体" w:hAnsi="宋体" w:cs="宋体"/>
          <w:szCs w:val="21"/>
        </w:rPr>
        <w:t>.3特别说明：</w:t>
      </w:r>
    </w:p>
    <w:p>
      <w:pPr>
        <w:spacing w:line="400" w:lineRule="exact"/>
        <w:ind w:firstLine="210" w:firstLineChars="100"/>
        <w:rPr>
          <w:rFonts w:ascii="宋体" w:hAnsi="宋体" w:cs="宋体"/>
          <w:szCs w:val="21"/>
        </w:rPr>
      </w:pPr>
      <w:r>
        <w:rPr>
          <w:rFonts w:hint="eastAsia" w:ascii="宋体" w:hAnsi="宋体" w:cs="宋体"/>
          <w:szCs w:val="21"/>
        </w:rPr>
        <w:t>1.供应商竞标所使用的资格、信誉、荣誉、业绩与企业认证必须为本法人所拥有（特殊要求除外）。供应商竞标所使用的采购项目实施人员必须为本法人员工（或必须为本法人或控股公司正式员工）。</w:t>
      </w:r>
    </w:p>
    <w:p>
      <w:pPr>
        <w:spacing w:line="400" w:lineRule="exact"/>
        <w:ind w:firstLine="210" w:firstLineChars="100"/>
        <w:rPr>
          <w:rFonts w:ascii="宋体" w:hAnsi="宋体" w:cs="宋体"/>
          <w:szCs w:val="21"/>
        </w:rPr>
      </w:pPr>
      <w:r>
        <w:rPr>
          <w:rFonts w:hint="eastAsia" w:ascii="宋体" w:hAnsi="宋体" w:cs="宋体"/>
          <w:szCs w:val="21"/>
        </w:rPr>
        <w:t>2.供应商应仔细阅读竞争性磋商文件的所有内容，按照竞争性磋商文件的要求提交响应文件，并对所提供的全部资料的真实性承担法律责任。</w:t>
      </w:r>
    </w:p>
    <w:p>
      <w:pPr>
        <w:spacing w:line="400" w:lineRule="exact"/>
        <w:ind w:firstLine="210" w:firstLineChars="100"/>
        <w:rPr>
          <w:rFonts w:ascii="宋体" w:hAnsi="宋体" w:cs="宋体"/>
          <w:szCs w:val="21"/>
        </w:rPr>
      </w:pPr>
      <w:r>
        <w:rPr>
          <w:rFonts w:hint="eastAsia" w:ascii="宋体" w:hAnsi="宋体" w:cs="宋体"/>
          <w:szCs w:val="21"/>
        </w:rPr>
        <w:t>3.供应商在磋商活动中提供任何虚假材料，其磋商无效，并报监管部门查处；成交后发现的，成交供应商须依照《中华人民共和国消费者权益保护法》第五十五条第一款之规定三倍赔偿采购人，且民事赔偿并不免除违法供应商的行政与刑事责任。</w:t>
      </w:r>
    </w:p>
    <w:p>
      <w:pPr>
        <w:spacing w:line="400" w:lineRule="exact"/>
        <w:rPr>
          <w:rFonts w:ascii="宋体" w:hAnsi="宋体" w:cs="宋体"/>
          <w:b/>
          <w:szCs w:val="21"/>
        </w:rPr>
      </w:pPr>
      <w:r>
        <w:rPr>
          <w:rFonts w:hint="eastAsia" w:ascii="宋体" w:hAnsi="宋体" w:cs="宋体"/>
          <w:szCs w:val="21"/>
        </w:rPr>
        <w:t>11.</w:t>
      </w:r>
      <w:r>
        <w:rPr>
          <w:rFonts w:hint="eastAsia" w:ascii="宋体" w:hAnsi="宋体" w:cs="宋体"/>
          <w:szCs w:val="21"/>
          <w:lang w:val="en-US" w:eastAsia="zh-CN"/>
        </w:rPr>
        <w:t>6</w:t>
      </w:r>
      <w:r>
        <w:rPr>
          <w:rFonts w:hint="eastAsia" w:ascii="宋体" w:hAnsi="宋体" w:cs="宋体"/>
          <w:szCs w:val="21"/>
        </w:rPr>
        <w:t>最终磋商结束后，磋商小组不得再与供应商进行任何形式的商谈。</w:t>
      </w:r>
    </w:p>
    <w:p>
      <w:pPr>
        <w:spacing w:line="400" w:lineRule="exact"/>
        <w:rPr>
          <w:rFonts w:ascii="宋体" w:hAnsi="宋体" w:cs="宋体"/>
          <w:b/>
          <w:szCs w:val="21"/>
        </w:rPr>
      </w:pPr>
      <w:r>
        <w:rPr>
          <w:rFonts w:hint="eastAsia" w:ascii="宋体" w:hAnsi="宋体" w:cs="宋体"/>
          <w:b/>
          <w:szCs w:val="21"/>
        </w:rPr>
        <w:t>六、确定成交供应商办法</w:t>
      </w:r>
    </w:p>
    <w:p>
      <w:pPr>
        <w:spacing w:line="400" w:lineRule="exact"/>
        <w:rPr>
          <w:rFonts w:ascii="宋体" w:hAnsi="宋体" w:cs="宋体"/>
          <w:szCs w:val="21"/>
        </w:rPr>
      </w:pPr>
      <w:r>
        <w:rPr>
          <w:rFonts w:hint="eastAsia" w:ascii="宋体" w:hAnsi="宋体" w:cs="宋体"/>
          <w:szCs w:val="21"/>
        </w:rPr>
        <w:t>12.1 磋商小组只要求商务评审和技术（服务）评审合格的磋商供应商在规定的时间内进行报价。</w:t>
      </w:r>
    </w:p>
    <w:p>
      <w:pPr>
        <w:spacing w:line="400" w:lineRule="exact"/>
        <w:rPr>
          <w:rFonts w:ascii="宋体" w:hAnsi="宋体" w:cs="宋体"/>
          <w:szCs w:val="21"/>
        </w:rPr>
      </w:pPr>
      <w:r>
        <w:rPr>
          <w:rFonts w:hint="eastAsia" w:ascii="宋体" w:hAnsi="宋体" w:cs="宋体"/>
          <w:szCs w:val="21"/>
        </w:rPr>
        <w:t>12.2在投标内容符合招标条件，符合采购需求的前提下，以综合评分最高为原则确定成交供应商；当质量、服务相等时，以报价最低的原则确定成交供应商。</w:t>
      </w:r>
    </w:p>
    <w:p>
      <w:pPr>
        <w:pStyle w:val="10"/>
        <w:spacing w:line="320" w:lineRule="exact"/>
        <w:rPr>
          <w:rFonts w:hAnsi="宋体" w:cs="宋体"/>
          <w:b/>
        </w:rPr>
      </w:pPr>
      <w:r>
        <w:rPr>
          <w:rFonts w:hint="eastAsia" w:hAnsi="宋体" w:cs="宋体"/>
        </w:rPr>
        <w:t>12.3由于中标供应商放弃中标或未按规定签订合同，造成本项目的合同中标价提高（指采购人选择第二中标人候选供应商导致中标金额高于违约供应商的中标价），所超出违约供应商的中标价部分由违约供应商承担赔偿责任。</w:t>
      </w:r>
    </w:p>
    <w:p>
      <w:pPr>
        <w:spacing w:line="400" w:lineRule="exact"/>
        <w:rPr>
          <w:rFonts w:ascii="宋体" w:hAnsi="宋体" w:cs="宋体"/>
          <w:b/>
          <w:szCs w:val="21"/>
        </w:rPr>
      </w:pPr>
    </w:p>
    <w:p>
      <w:pPr>
        <w:spacing w:line="400" w:lineRule="exact"/>
        <w:rPr>
          <w:rFonts w:ascii="宋体" w:hAnsi="宋体" w:cs="宋体"/>
          <w:b/>
          <w:szCs w:val="21"/>
        </w:rPr>
      </w:pPr>
      <w:r>
        <w:rPr>
          <w:rFonts w:hint="eastAsia" w:ascii="宋体" w:hAnsi="宋体" w:cs="宋体"/>
          <w:b/>
          <w:szCs w:val="21"/>
        </w:rPr>
        <w:t>七、适用法律</w:t>
      </w:r>
    </w:p>
    <w:p>
      <w:pPr>
        <w:spacing w:line="400" w:lineRule="exact"/>
        <w:rPr>
          <w:rFonts w:ascii="宋体" w:hAnsi="宋体" w:cs="宋体"/>
          <w:szCs w:val="21"/>
        </w:rPr>
      </w:pPr>
      <w:r>
        <w:rPr>
          <w:rFonts w:hint="eastAsia" w:ascii="宋体" w:hAnsi="宋体" w:cs="宋体"/>
          <w:szCs w:val="21"/>
        </w:rPr>
        <w:t>13. 采购当事人的一切活动均适用于《中华人民共和国政府采购法》及相关规定。</w:t>
      </w:r>
    </w:p>
    <w:p>
      <w:pPr>
        <w:spacing w:line="400" w:lineRule="exact"/>
        <w:rPr>
          <w:rFonts w:ascii="宋体" w:hAnsi="宋体" w:cs="宋体"/>
          <w:szCs w:val="21"/>
        </w:rPr>
      </w:pPr>
      <w:r>
        <w:rPr>
          <w:rFonts w:hint="eastAsia" w:ascii="宋体" w:hAnsi="宋体" w:cs="宋体"/>
          <w:szCs w:val="21"/>
        </w:rPr>
        <w:t>最终磋商结束后，磋商小组不得再与竞标人进行任何形式的商谈。</w:t>
      </w:r>
    </w:p>
    <w:p>
      <w:pPr>
        <w:pStyle w:val="10"/>
        <w:spacing w:line="288" w:lineRule="auto"/>
        <w:outlineLvl w:val="1"/>
        <w:rPr>
          <w:b/>
        </w:rPr>
      </w:pPr>
      <w:r>
        <w:rPr>
          <w:rFonts w:hint="eastAsia" w:hAnsi="宋体" w:cs="宋体"/>
          <w:b/>
        </w:rPr>
        <w:t>八、</w:t>
      </w:r>
      <w:r>
        <w:rPr>
          <w:rFonts w:hint="eastAsia"/>
          <w:b/>
        </w:rPr>
        <w:t>无效投标</w:t>
      </w:r>
    </w:p>
    <w:p>
      <w:pPr>
        <w:pStyle w:val="10"/>
        <w:spacing w:line="288" w:lineRule="auto"/>
        <w:ind w:firstLine="420"/>
        <w:rPr>
          <w:b/>
          <w:bCs/>
        </w:rPr>
      </w:pPr>
      <w:r>
        <w:rPr>
          <w:rFonts w:hint="eastAsia"/>
          <w:bCs/>
        </w:rPr>
        <w:t>14.1</w:t>
      </w:r>
      <w:r>
        <w:rPr>
          <w:rFonts w:hint="eastAsia"/>
          <w:b/>
          <w:bCs/>
        </w:rPr>
        <w:t>投标文件如有下列情况之一，将会在评标中按照无效投标处理：</w:t>
      </w:r>
    </w:p>
    <w:p>
      <w:pPr>
        <w:pStyle w:val="10"/>
        <w:numPr>
          <w:ilvl w:val="0"/>
          <w:numId w:val="2"/>
        </w:numPr>
        <w:spacing w:line="288" w:lineRule="auto"/>
        <w:rPr>
          <w:b/>
          <w:bCs/>
        </w:rPr>
      </w:pPr>
      <w:r>
        <w:rPr>
          <w:rFonts w:hint="eastAsia"/>
          <w:b/>
          <w:bCs/>
        </w:rPr>
        <w:t>未按规定足额提交投标保证金的；</w:t>
      </w:r>
    </w:p>
    <w:p>
      <w:pPr>
        <w:pStyle w:val="10"/>
        <w:numPr>
          <w:ilvl w:val="0"/>
          <w:numId w:val="2"/>
        </w:numPr>
        <w:spacing w:line="288" w:lineRule="auto"/>
        <w:rPr>
          <w:b/>
          <w:bCs/>
        </w:rPr>
      </w:pPr>
      <w:r>
        <w:rPr>
          <w:rFonts w:hint="eastAsia"/>
          <w:b/>
          <w:bCs/>
        </w:rPr>
        <w:t>未按照招标文件规定要求密封、签署、盖章的；</w:t>
      </w:r>
    </w:p>
    <w:p>
      <w:pPr>
        <w:pStyle w:val="10"/>
        <w:numPr>
          <w:ilvl w:val="0"/>
          <w:numId w:val="2"/>
        </w:numPr>
        <w:spacing w:line="288" w:lineRule="auto"/>
        <w:rPr>
          <w:b/>
          <w:bCs/>
        </w:rPr>
      </w:pPr>
      <w:r>
        <w:rPr>
          <w:rFonts w:hint="eastAsia"/>
          <w:b/>
          <w:bCs/>
        </w:rPr>
        <w:t>不具备招标文件中规定资格要求的；</w:t>
      </w:r>
    </w:p>
    <w:p>
      <w:pPr>
        <w:pStyle w:val="10"/>
        <w:numPr>
          <w:ilvl w:val="0"/>
          <w:numId w:val="2"/>
        </w:numPr>
        <w:spacing w:line="288" w:lineRule="auto"/>
        <w:rPr>
          <w:b/>
          <w:bCs/>
        </w:rPr>
      </w:pPr>
      <w:r>
        <w:rPr>
          <w:rFonts w:hint="eastAsia"/>
          <w:b/>
          <w:bCs/>
        </w:rPr>
        <w:t>不符合法律、法规和招标文件中规定的其他实质性要求的。</w:t>
      </w:r>
    </w:p>
    <w:p>
      <w:pPr>
        <w:pStyle w:val="10"/>
        <w:numPr>
          <w:ilvl w:val="0"/>
          <w:numId w:val="2"/>
        </w:numPr>
        <w:spacing w:line="288" w:lineRule="auto"/>
        <w:rPr>
          <w:b/>
          <w:bCs/>
        </w:rPr>
      </w:pPr>
      <w:r>
        <w:rPr>
          <w:rFonts w:hint="eastAsia"/>
          <w:b/>
          <w:bCs/>
        </w:rPr>
        <w:t>未按照招标文件要求提供投标货物样品。</w:t>
      </w:r>
    </w:p>
    <w:p>
      <w:pPr>
        <w:pStyle w:val="10"/>
        <w:numPr>
          <w:ilvl w:val="0"/>
          <w:numId w:val="2"/>
        </w:numPr>
        <w:spacing w:line="288" w:lineRule="auto"/>
        <w:rPr>
          <w:b/>
          <w:bCs/>
        </w:rPr>
      </w:pPr>
      <w:r>
        <w:rPr>
          <w:rFonts w:hint="eastAsia"/>
          <w:b/>
          <w:bCs/>
        </w:rPr>
        <w:t>不同投标人的投标文件由同一单位或者个人编制；或不同投标人报名的IP地址一致的；</w:t>
      </w:r>
    </w:p>
    <w:p>
      <w:pPr>
        <w:pStyle w:val="10"/>
        <w:numPr>
          <w:ilvl w:val="0"/>
          <w:numId w:val="2"/>
        </w:numPr>
        <w:spacing w:line="288" w:lineRule="auto"/>
        <w:rPr>
          <w:b/>
          <w:bCs/>
        </w:rPr>
      </w:pPr>
      <w:r>
        <w:rPr>
          <w:rFonts w:hint="eastAsia"/>
          <w:b/>
          <w:bCs/>
        </w:rPr>
        <w:t>不同投标人委托同一单位或者个人办理投标事宜；</w:t>
      </w:r>
    </w:p>
    <w:p>
      <w:pPr>
        <w:pStyle w:val="10"/>
        <w:numPr>
          <w:ilvl w:val="0"/>
          <w:numId w:val="2"/>
        </w:numPr>
        <w:spacing w:line="288" w:lineRule="auto"/>
        <w:rPr>
          <w:b/>
          <w:bCs/>
        </w:rPr>
      </w:pPr>
      <w:r>
        <w:rPr>
          <w:rFonts w:hint="eastAsia"/>
          <w:b/>
          <w:bCs/>
        </w:rPr>
        <w:t>不同的投标人的投标文件载明的项目管理员为同一个人；</w:t>
      </w:r>
    </w:p>
    <w:p>
      <w:pPr>
        <w:pStyle w:val="10"/>
        <w:numPr>
          <w:ilvl w:val="0"/>
          <w:numId w:val="2"/>
        </w:numPr>
        <w:spacing w:line="288" w:lineRule="auto"/>
        <w:rPr>
          <w:b/>
          <w:bCs/>
        </w:rPr>
      </w:pPr>
      <w:r>
        <w:rPr>
          <w:rFonts w:hint="eastAsia"/>
          <w:b/>
          <w:bCs/>
        </w:rPr>
        <w:t>不同投标人的投标文件异常一致或投标报价呈规律性差异；</w:t>
      </w:r>
    </w:p>
    <w:p>
      <w:pPr>
        <w:pStyle w:val="10"/>
        <w:numPr>
          <w:ilvl w:val="0"/>
          <w:numId w:val="2"/>
        </w:numPr>
        <w:spacing w:line="288" w:lineRule="auto"/>
        <w:rPr>
          <w:b/>
          <w:bCs/>
        </w:rPr>
      </w:pPr>
      <w:r>
        <w:rPr>
          <w:rFonts w:hint="eastAsia"/>
          <w:b/>
          <w:bCs/>
        </w:rPr>
        <w:t>不同投标人的投标文件相互混装；</w:t>
      </w:r>
    </w:p>
    <w:p>
      <w:pPr>
        <w:pStyle w:val="10"/>
        <w:numPr>
          <w:ilvl w:val="0"/>
          <w:numId w:val="2"/>
        </w:numPr>
        <w:spacing w:line="288" w:lineRule="auto"/>
        <w:rPr>
          <w:b/>
          <w:bCs/>
        </w:rPr>
      </w:pPr>
      <w:r>
        <w:rPr>
          <w:rFonts w:hint="eastAsia"/>
          <w:b/>
          <w:bCs/>
        </w:rPr>
        <w:t>不同投标人的投标保证金从同一单位或者个人账户转出。</w:t>
      </w:r>
    </w:p>
    <w:p>
      <w:pPr>
        <w:pStyle w:val="10"/>
        <w:spacing w:line="288" w:lineRule="auto"/>
        <w:outlineLvl w:val="1"/>
        <w:rPr>
          <w:b/>
        </w:rPr>
      </w:pPr>
      <w:bookmarkStart w:id="46" w:name="_Toc147250540"/>
      <w:bookmarkStart w:id="47" w:name="_Toc147250384"/>
      <w:bookmarkStart w:id="48" w:name="_Toc147250338"/>
      <w:r>
        <w:rPr>
          <w:rFonts w:hint="eastAsia"/>
          <w:b/>
        </w:rPr>
        <w:t>15.废标</w:t>
      </w:r>
      <w:bookmarkEnd w:id="46"/>
      <w:bookmarkEnd w:id="47"/>
      <w:bookmarkEnd w:id="48"/>
    </w:p>
    <w:p>
      <w:pPr>
        <w:pStyle w:val="10"/>
        <w:spacing w:line="288" w:lineRule="auto"/>
        <w:ind w:firstLine="435"/>
        <w:rPr>
          <w:b/>
          <w:bCs/>
        </w:rPr>
      </w:pPr>
      <w:r>
        <w:rPr>
          <w:rFonts w:hint="eastAsia"/>
          <w:bCs/>
        </w:rPr>
        <w:t>15.1</w:t>
      </w:r>
      <w:r>
        <w:rPr>
          <w:rFonts w:hint="eastAsia"/>
          <w:b/>
          <w:bCs/>
        </w:rPr>
        <w:t>招标采购项目出现下列情形之一的，招标代理机构将予以废标：</w:t>
      </w:r>
    </w:p>
    <w:p>
      <w:pPr>
        <w:pStyle w:val="10"/>
        <w:spacing w:line="288" w:lineRule="auto"/>
        <w:ind w:firstLine="435"/>
        <w:rPr>
          <w:b/>
          <w:bCs/>
        </w:rPr>
      </w:pPr>
      <w:r>
        <w:rPr>
          <w:rFonts w:hint="eastAsia"/>
          <w:b/>
          <w:bCs/>
        </w:rPr>
        <w:t>（1）截标后整个招标项目的投标人不足三家的；</w:t>
      </w:r>
    </w:p>
    <w:p>
      <w:pPr>
        <w:pStyle w:val="10"/>
        <w:spacing w:line="288" w:lineRule="auto"/>
        <w:ind w:firstLine="435"/>
        <w:rPr>
          <w:b/>
          <w:bCs/>
        </w:rPr>
      </w:pPr>
      <w:r>
        <w:rPr>
          <w:rFonts w:hint="eastAsia"/>
          <w:b/>
        </w:rPr>
        <w:t>（2）</w:t>
      </w:r>
      <w:r>
        <w:rPr>
          <w:rFonts w:hint="eastAsia"/>
          <w:b/>
          <w:bCs/>
        </w:rPr>
        <w:t>评标过程中符合专业条件或者对招标文件作实质响应的供应商不足三家的；</w:t>
      </w:r>
    </w:p>
    <w:p>
      <w:pPr>
        <w:pStyle w:val="10"/>
        <w:spacing w:line="288" w:lineRule="auto"/>
        <w:ind w:firstLine="420"/>
        <w:rPr>
          <w:b/>
        </w:rPr>
      </w:pPr>
      <w:r>
        <w:rPr>
          <w:rFonts w:hint="eastAsia"/>
          <w:b/>
        </w:rPr>
        <w:t>（3）出现影响采购公正的违法、违规行为的；</w:t>
      </w:r>
    </w:p>
    <w:p>
      <w:pPr>
        <w:pStyle w:val="10"/>
        <w:spacing w:line="288" w:lineRule="auto"/>
        <w:ind w:firstLine="420"/>
        <w:rPr>
          <w:b/>
        </w:rPr>
      </w:pPr>
      <w:r>
        <w:rPr>
          <w:rFonts w:hint="eastAsia"/>
          <w:b/>
        </w:rPr>
        <w:t>（4）投标人的最终报价均超过了采购预算，采购人不能支付的；</w:t>
      </w:r>
    </w:p>
    <w:p>
      <w:pPr>
        <w:pStyle w:val="10"/>
        <w:spacing w:line="288" w:lineRule="auto"/>
        <w:ind w:firstLine="420"/>
        <w:rPr>
          <w:b/>
        </w:rPr>
      </w:pPr>
      <w:r>
        <w:rPr>
          <w:rFonts w:hint="eastAsia"/>
          <w:b/>
        </w:rPr>
        <w:t>（5）因重大变故，采购任务取消的。</w:t>
      </w:r>
    </w:p>
    <w:p>
      <w:pPr>
        <w:pStyle w:val="10"/>
        <w:spacing w:line="288" w:lineRule="auto"/>
        <w:ind w:firstLine="420"/>
        <w:rPr>
          <w:b/>
        </w:rPr>
      </w:pPr>
      <w:r>
        <w:rPr>
          <w:rFonts w:hint="eastAsia"/>
          <w:b/>
        </w:rPr>
        <w:t>（6）评标委员会在评标过程中发现投标人的总报价明显低于其他投标人的总报价或者明显低于政府采购预算价，有理由怀疑其总报价可能低于其成本的，应当要求该投标人做出书面说明并提供相关证明材料。投标人不能合理说明或者不能提供相关证明材料的，视作该投标人以低于成本报价投标，其投标文件应作废标处理。</w:t>
      </w:r>
    </w:p>
    <w:p>
      <w:pPr>
        <w:pStyle w:val="10"/>
        <w:spacing w:line="288" w:lineRule="auto"/>
        <w:ind w:firstLine="420"/>
        <w:rPr>
          <w:rFonts w:hAnsi="宋体" w:cs="宋体"/>
          <w:b/>
        </w:rPr>
      </w:pPr>
      <w:r>
        <w:rPr>
          <w:rFonts w:hint="eastAsia"/>
          <w:b/>
          <w:bCs/>
        </w:rPr>
        <w:t>15.2废标后，招标代理机构将把废标理由通知所有投标人。</w:t>
      </w:r>
    </w:p>
    <w:p>
      <w:pPr>
        <w:pStyle w:val="10"/>
        <w:spacing w:line="288" w:lineRule="auto"/>
        <w:outlineLvl w:val="1"/>
        <w:rPr>
          <w:rFonts w:hAnsi="宋体" w:cs="宋体"/>
          <w:b/>
        </w:rPr>
      </w:pPr>
      <w:r>
        <w:rPr>
          <w:rFonts w:hint="eastAsia" w:hAnsi="宋体" w:cs="宋体"/>
          <w:b/>
        </w:rPr>
        <w:t>九、签订合同及履约保证金</w:t>
      </w:r>
    </w:p>
    <w:p>
      <w:pPr>
        <w:pStyle w:val="10"/>
        <w:spacing w:line="380" w:lineRule="atLeast"/>
        <w:rPr>
          <w:rFonts w:hAnsi="宋体"/>
          <w:bCs/>
          <w:color w:val="000000"/>
        </w:rPr>
      </w:pPr>
      <w:r>
        <w:rPr>
          <w:rFonts w:hint="eastAsia" w:hAnsi="宋体"/>
          <w:bCs/>
          <w:color w:val="000000"/>
        </w:rPr>
        <w:t>16.成交结果及公告</w:t>
      </w:r>
    </w:p>
    <w:p>
      <w:pPr>
        <w:pStyle w:val="10"/>
        <w:spacing w:line="380" w:lineRule="exact"/>
        <w:ind w:right="68" w:firstLine="420" w:firstLineChars="200"/>
        <w:rPr>
          <w:rFonts w:hAnsi="宋体"/>
          <w:color w:val="000000"/>
        </w:rPr>
      </w:pPr>
      <w:r>
        <w:rPr>
          <w:rFonts w:hint="eastAsia" w:hAnsi="宋体"/>
          <w:color w:val="000000"/>
        </w:rPr>
        <w:t>16.1采购代理机构在谈判工作完成后五个工作日内将谈判报告送采购人,采购人确认后，成交结果将在竞标公告发布媒体上公告。</w:t>
      </w:r>
    </w:p>
    <w:p>
      <w:pPr>
        <w:pStyle w:val="10"/>
        <w:spacing w:line="380" w:lineRule="exact"/>
        <w:ind w:firstLine="407" w:firstLineChars="194"/>
        <w:rPr>
          <w:rFonts w:hAnsi="宋体"/>
          <w:color w:val="000000"/>
        </w:rPr>
      </w:pPr>
      <w:r>
        <w:rPr>
          <w:rFonts w:hint="eastAsia" w:hAnsi="宋体"/>
          <w:color w:val="000000"/>
        </w:rPr>
        <w:t>16.2竞标人如对成交公告有异议，可以在成交公告发布后七个工作日内以书面形式向采购代理机构提出质疑。采购代理机构将在收到竞标人的书面质疑后七个工作日内做出答复，但答复的内容不得涉及商业秘密。</w:t>
      </w:r>
    </w:p>
    <w:p>
      <w:pPr>
        <w:pStyle w:val="10"/>
        <w:spacing w:line="320" w:lineRule="exact"/>
        <w:ind w:firstLine="407" w:firstLineChars="194"/>
        <w:rPr>
          <w:rFonts w:hAnsi="宋体"/>
          <w:color w:val="000000"/>
        </w:rPr>
      </w:pPr>
      <w:r>
        <w:rPr>
          <w:rFonts w:hint="eastAsia" w:hAnsi="宋体"/>
          <w:color w:val="000000"/>
        </w:rPr>
        <w:t>16.3质疑竞标人必须首先经过质疑程序，质疑材料必须符合《广西壮族自治区政府采购供应商质疑处理办法》（桂财采[2006]11号）的规定，在对采购代理机构的答复不满意或者采购代理机构未在规定的时间内做出答复的，可以在答复期满后十五个工作日内书面向同级人民政府财政部门投诉。</w:t>
      </w:r>
    </w:p>
    <w:p>
      <w:pPr>
        <w:pStyle w:val="10"/>
        <w:spacing w:line="320" w:lineRule="exact"/>
        <w:rPr>
          <w:rFonts w:hAnsi="宋体"/>
          <w:color w:val="000000"/>
        </w:rPr>
      </w:pPr>
      <w:r>
        <w:rPr>
          <w:rFonts w:hint="eastAsia" w:hAnsi="宋体"/>
          <w:color w:val="000000"/>
        </w:rPr>
        <w:t>17.成交通知</w:t>
      </w:r>
    </w:p>
    <w:p>
      <w:pPr>
        <w:pStyle w:val="10"/>
        <w:spacing w:line="320" w:lineRule="exact"/>
        <w:ind w:firstLine="420"/>
        <w:rPr>
          <w:rFonts w:hAnsi="宋体"/>
          <w:color w:val="000000"/>
        </w:rPr>
      </w:pPr>
      <w:r>
        <w:rPr>
          <w:rFonts w:hint="eastAsia" w:hAnsi="宋体"/>
          <w:color w:val="000000"/>
        </w:rPr>
        <w:t>17.1在发布成交公告的同时，采购代理机构将向成交供应商发出成交通知书。</w:t>
      </w:r>
    </w:p>
    <w:p>
      <w:pPr>
        <w:pStyle w:val="10"/>
        <w:spacing w:line="320" w:lineRule="exact"/>
        <w:ind w:firstLine="420"/>
        <w:rPr>
          <w:rFonts w:hAnsi="宋体"/>
          <w:color w:val="000000"/>
        </w:rPr>
      </w:pPr>
      <w:r>
        <w:rPr>
          <w:rFonts w:hint="eastAsia" w:hAnsi="宋体"/>
          <w:color w:val="000000"/>
        </w:rPr>
        <w:t>17.2采购代理机构无义务向落标的竞标人解释落标原因和退还竞标文件，（竞标人可以到竞标公告发布相关媒体上自行查询）。</w:t>
      </w:r>
    </w:p>
    <w:p>
      <w:pPr>
        <w:pStyle w:val="10"/>
        <w:spacing w:line="320" w:lineRule="exact"/>
        <w:rPr>
          <w:rFonts w:hAnsi="宋体"/>
          <w:color w:val="000000"/>
        </w:rPr>
      </w:pPr>
      <w:r>
        <w:rPr>
          <w:rFonts w:hint="eastAsia" w:hAnsi="宋体"/>
          <w:color w:val="000000"/>
        </w:rPr>
        <w:t>18.合同授予标准</w:t>
      </w:r>
    </w:p>
    <w:p>
      <w:pPr>
        <w:pStyle w:val="10"/>
        <w:spacing w:line="320" w:lineRule="exact"/>
        <w:ind w:firstLine="420"/>
        <w:rPr>
          <w:rFonts w:hAnsi="宋体"/>
          <w:color w:val="000000"/>
        </w:rPr>
      </w:pPr>
      <w:r>
        <w:rPr>
          <w:rFonts w:hint="eastAsia" w:hAnsi="宋体"/>
          <w:color w:val="000000"/>
        </w:rPr>
        <w:t>18.1合同将授予被确定为实质上响应条件书要求，评标认为具备履行合同能力，评标价最低的竞标人。</w:t>
      </w:r>
    </w:p>
    <w:p>
      <w:pPr>
        <w:pStyle w:val="10"/>
        <w:spacing w:line="320" w:lineRule="exact"/>
        <w:ind w:firstLine="420"/>
        <w:rPr>
          <w:rFonts w:hAnsi="宋体"/>
          <w:color w:val="000000"/>
        </w:rPr>
      </w:pPr>
      <w:r>
        <w:rPr>
          <w:rFonts w:hint="eastAsia" w:hAnsi="宋体"/>
          <w:color w:val="000000"/>
        </w:rPr>
        <w:t>18.2采购人应按照评标报告中推荐的成交候选供应商顺序确定成交供应商，也可以事先授权评标委员会直接确定成交供应商。</w:t>
      </w:r>
    </w:p>
    <w:p>
      <w:pPr>
        <w:pStyle w:val="10"/>
        <w:spacing w:line="320" w:lineRule="exact"/>
        <w:ind w:firstLine="420"/>
        <w:rPr>
          <w:rFonts w:hAnsi="宋体"/>
          <w:color w:val="000000"/>
        </w:rPr>
      </w:pPr>
      <w:r>
        <w:rPr>
          <w:rFonts w:hint="eastAsia" w:hAnsi="宋体"/>
          <w:color w:val="000000"/>
        </w:rPr>
        <w:t>18.3成交供应商因不可抗力原因，不能履行政府采购合同的，采购人可以与排位在成交供应商之后第一位的成交候选供应商签订政府采购合同，以此类推。</w:t>
      </w:r>
    </w:p>
    <w:p>
      <w:pPr>
        <w:pStyle w:val="10"/>
        <w:spacing w:line="320" w:lineRule="exact"/>
        <w:rPr>
          <w:rFonts w:hAnsi="宋体"/>
          <w:color w:val="000000"/>
        </w:rPr>
      </w:pPr>
      <w:r>
        <w:rPr>
          <w:rFonts w:hint="eastAsia" w:hAnsi="宋体"/>
          <w:color w:val="000000"/>
        </w:rPr>
        <w:t>19.签订合同</w:t>
      </w:r>
    </w:p>
    <w:p>
      <w:pPr>
        <w:pStyle w:val="10"/>
        <w:spacing w:line="320" w:lineRule="exact"/>
        <w:ind w:firstLine="420"/>
        <w:rPr>
          <w:rFonts w:hAnsi="宋体"/>
          <w:color w:val="000000"/>
        </w:rPr>
      </w:pPr>
      <w:r>
        <w:rPr>
          <w:rFonts w:hint="eastAsia" w:hAnsi="宋体"/>
          <w:color w:val="000000"/>
        </w:rPr>
        <w:t>19.1采购人自发出成交通知书之日起</w:t>
      </w:r>
      <w:r>
        <w:rPr>
          <w:rFonts w:hint="eastAsia" w:hAnsi="宋体"/>
          <w:bCs/>
          <w:color w:val="000000"/>
          <w:highlight w:val="none"/>
        </w:rPr>
        <w:t>15日内</w:t>
      </w:r>
      <w:r>
        <w:rPr>
          <w:rFonts w:hint="eastAsia" w:hAnsi="宋体"/>
          <w:color w:val="000000"/>
          <w:highlight w:val="none"/>
        </w:rPr>
        <w:t>按规</w:t>
      </w:r>
      <w:r>
        <w:rPr>
          <w:rFonts w:hint="eastAsia" w:hAnsi="宋体"/>
          <w:color w:val="000000"/>
        </w:rPr>
        <w:t>定与中标供应商签订服务合同。</w:t>
      </w:r>
    </w:p>
    <w:p>
      <w:pPr>
        <w:pStyle w:val="10"/>
        <w:spacing w:line="320" w:lineRule="exact"/>
        <w:ind w:firstLine="420"/>
        <w:rPr>
          <w:rFonts w:hAnsi="宋体"/>
          <w:color w:val="000000"/>
        </w:rPr>
      </w:pPr>
      <w:r>
        <w:rPr>
          <w:rFonts w:hint="eastAsia" w:hAnsi="宋体"/>
          <w:color w:val="000000"/>
        </w:rPr>
        <w:t>19.2由于中标供应商放弃中标或未按规定签订合同，造成本项目的合同中标价提高（指采购人选择第二中标人候选供应商导致中标金额高于违约供应商的中标价），所超出违约供应商的中标价部分由违约供应商承担赔偿责任。</w:t>
      </w:r>
    </w:p>
    <w:p>
      <w:pPr>
        <w:pStyle w:val="10"/>
        <w:spacing w:line="320" w:lineRule="exact"/>
        <w:ind w:firstLine="420"/>
        <w:rPr>
          <w:rFonts w:hAnsi="宋体"/>
          <w:color w:val="000000"/>
        </w:rPr>
      </w:pPr>
      <w:r>
        <w:rPr>
          <w:rFonts w:hint="eastAsia" w:hAnsi="宋体"/>
          <w:color w:val="000000"/>
        </w:rPr>
        <w:t>19.3采购人如遇成交供应商违约，有权从成交候选供应商中确定成交供应商，由采购代理机构组织成交供应商与采购人签订合同，或重新组织采购。</w:t>
      </w:r>
    </w:p>
    <w:p>
      <w:pPr>
        <w:pStyle w:val="10"/>
        <w:spacing w:line="320" w:lineRule="exact"/>
        <w:ind w:firstLine="420"/>
        <w:rPr>
          <w:rFonts w:hAnsi="宋体"/>
          <w:color w:val="000000"/>
        </w:rPr>
      </w:pPr>
      <w:r>
        <w:rPr>
          <w:rFonts w:hint="eastAsia" w:hAnsi="宋体"/>
          <w:color w:val="000000"/>
        </w:rPr>
        <w:t>19.4自合同签订之日起</w:t>
      </w:r>
      <w:r>
        <w:rPr>
          <w:rFonts w:hint="eastAsia" w:hAnsi="宋体"/>
          <w:bCs/>
          <w:color w:val="000000"/>
        </w:rPr>
        <w:t>2个工作日内</w:t>
      </w:r>
      <w:r>
        <w:rPr>
          <w:rFonts w:hint="eastAsia" w:hAnsi="宋体"/>
          <w:color w:val="000000"/>
        </w:rPr>
        <w:t>，将政府采购合同通过委托的政府采购代理机构在广西壮族自治区政府采购网上公告。</w:t>
      </w:r>
    </w:p>
    <w:p>
      <w:pPr>
        <w:pStyle w:val="10"/>
        <w:spacing w:line="320" w:lineRule="exact"/>
        <w:ind w:firstLine="420"/>
        <w:rPr>
          <w:rFonts w:hAnsi="宋体"/>
          <w:color w:val="000000"/>
        </w:rPr>
      </w:pPr>
    </w:p>
    <w:p>
      <w:pPr>
        <w:pStyle w:val="10"/>
        <w:spacing w:line="320" w:lineRule="exact"/>
        <w:outlineLvl w:val="1"/>
        <w:rPr>
          <w:bCs/>
          <w:color w:val="000000"/>
          <w:highlight w:val="none"/>
        </w:rPr>
      </w:pPr>
      <w:bookmarkStart w:id="49" w:name="_Toc147250344"/>
      <w:bookmarkStart w:id="50" w:name="_Toc147250390"/>
      <w:bookmarkStart w:id="51" w:name="_Toc147250546"/>
      <w:r>
        <w:rPr>
          <w:rFonts w:hint="eastAsia"/>
          <w:bCs/>
          <w:color w:val="000000"/>
        </w:rPr>
        <w:t>21.履约保证金</w:t>
      </w:r>
      <w:bookmarkEnd w:id="49"/>
      <w:bookmarkEnd w:id="50"/>
      <w:bookmarkEnd w:id="51"/>
      <w:r>
        <w:rPr>
          <w:rFonts w:hint="eastAsia"/>
          <w:bCs/>
          <w:color w:val="000000"/>
          <w:highlight w:val="none"/>
        </w:rPr>
        <w:t>：</w:t>
      </w:r>
      <w:r>
        <w:rPr>
          <w:rFonts w:hint="eastAsia" w:hAnsi="宋体" w:cs="宋体"/>
          <w:highlight w:val="none"/>
        </w:rPr>
        <w:t>合同总金额3%。</w:t>
      </w:r>
    </w:p>
    <w:p>
      <w:pPr>
        <w:spacing w:line="320" w:lineRule="exact"/>
        <w:jc w:val="center"/>
        <w:rPr>
          <w:rFonts w:ascii="宋体" w:hAnsi="宋体"/>
          <w:b/>
          <w:bCs/>
          <w:color w:val="000000"/>
          <w:sz w:val="24"/>
        </w:rPr>
      </w:pPr>
      <w:bookmarkStart w:id="52" w:name="_Toc137551170"/>
    </w:p>
    <w:p>
      <w:pPr>
        <w:spacing w:line="320" w:lineRule="exact"/>
        <w:rPr>
          <w:rFonts w:ascii="宋体" w:hAnsi="宋体" w:cs="宋体"/>
          <w:b/>
          <w:szCs w:val="21"/>
        </w:rPr>
      </w:pPr>
      <w:r>
        <w:rPr>
          <w:rFonts w:hint="eastAsia" w:ascii="宋体" w:hAnsi="宋体" w:cs="宋体"/>
          <w:b/>
          <w:szCs w:val="21"/>
        </w:rPr>
        <w:t>十、其他事项</w:t>
      </w:r>
      <w:bookmarkEnd w:id="52"/>
    </w:p>
    <w:p>
      <w:pPr>
        <w:pStyle w:val="10"/>
        <w:spacing w:line="320" w:lineRule="exact"/>
        <w:rPr>
          <w:rFonts w:hAnsi="宋体"/>
          <w:bCs/>
          <w:color w:val="000000"/>
        </w:rPr>
      </w:pPr>
      <w:r>
        <w:rPr>
          <w:rFonts w:hint="eastAsia" w:hAnsi="宋体"/>
          <w:bCs/>
          <w:color w:val="000000"/>
        </w:rPr>
        <w:t>22.成交服务费</w:t>
      </w:r>
    </w:p>
    <w:p>
      <w:pPr>
        <w:pStyle w:val="10"/>
        <w:spacing w:line="320" w:lineRule="exact"/>
        <w:ind w:left="97" w:leftChars="46" w:firstLine="323" w:firstLineChars="154"/>
        <w:rPr>
          <w:rFonts w:hAnsi="宋体"/>
          <w:color w:val="FF0000"/>
        </w:rPr>
      </w:pPr>
      <w:r>
        <w:rPr>
          <w:rFonts w:hint="eastAsia" w:hAnsi="宋体"/>
          <w:color w:val="000000"/>
        </w:rPr>
        <w:t>22.1签订合同前，成交供应商向广西龙建工程管理有限公司一次性付清中标服务费，其金额详见本须知前附表第12项规定。否则，采购代理机构将视之为违约，取消该成交决定。</w:t>
      </w:r>
    </w:p>
    <w:p>
      <w:pPr>
        <w:pStyle w:val="10"/>
        <w:spacing w:line="320" w:lineRule="exact"/>
        <w:rPr>
          <w:rFonts w:hAnsi="宋体"/>
          <w:bCs/>
          <w:color w:val="000000"/>
        </w:rPr>
      </w:pPr>
      <w:r>
        <w:rPr>
          <w:rFonts w:hint="eastAsia" w:hAnsi="宋体"/>
          <w:bCs/>
          <w:color w:val="000000"/>
        </w:rPr>
        <w:t>23.解释权</w:t>
      </w:r>
    </w:p>
    <w:p>
      <w:pPr>
        <w:pStyle w:val="10"/>
        <w:spacing w:line="320" w:lineRule="exact"/>
        <w:ind w:firstLine="420"/>
        <w:rPr>
          <w:rFonts w:hAnsi="宋体"/>
          <w:color w:val="000000"/>
        </w:rPr>
      </w:pPr>
      <w:r>
        <w:rPr>
          <w:rFonts w:hint="eastAsia" w:hAnsi="宋体"/>
          <w:color w:val="000000"/>
        </w:rPr>
        <w:t>23.1本条件书是根据国家有关法律、法规以及政府采购管理有关规定和参照国际惯例编制，解释权属本采购代理机构。</w:t>
      </w:r>
    </w:p>
    <w:p>
      <w:pPr>
        <w:pStyle w:val="10"/>
        <w:spacing w:line="320" w:lineRule="exact"/>
        <w:rPr>
          <w:rFonts w:hAnsi="宋体"/>
          <w:bCs/>
          <w:color w:val="000000"/>
        </w:rPr>
      </w:pPr>
      <w:r>
        <w:rPr>
          <w:rFonts w:hint="eastAsia" w:hAnsi="宋体"/>
          <w:bCs/>
          <w:color w:val="000000"/>
        </w:rPr>
        <w:t>24.有关事宜</w:t>
      </w:r>
    </w:p>
    <w:p>
      <w:pPr>
        <w:pStyle w:val="10"/>
        <w:spacing w:line="320" w:lineRule="exact"/>
        <w:ind w:firstLine="420"/>
        <w:rPr>
          <w:rFonts w:hAnsi="宋体"/>
          <w:color w:val="000000"/>
        </w:rPr>
      </w:pPr>
      <w:r>
        <w:rPr>
          <w:rFonts w:hint="eastAsia" w:hAnsi="宋体"/>
          <w:color w:val="000000"/>
        </w:rPr>
        <w:t>24.1所有与本条件书有关的函电请按下列通讯地址联系：</w:t>
      </w:r>
    </w:p>
    <w:p>
      <w:pPr>
        <w:spacing w:line="370" w:lineRule="exact"/>
        <w:ind w:firstLine="411" w:firstLineChars="196"/>
        <w:rPr>
          <w:rFonts w:ascii="宋体" w:hAnsi="宋体"/>
          <w:color w:val="000000"/>
          <w:kern w:val="21"/>
        </w:rPr>
      </w:pPr>
      <w:r>
        <w:rPr>
          <w:rFonts w:hint="eastAsia" w:ascii="宋体" w:hAnsi="宋体"/>
          <w:color w:val="000000"/>
          <w:kern w:val="21"/>
        </w:rPr>
        <w:t>广西龙建工程管理有限公司</w:t>
      </w:r>
    </w:p>
    <w:p>
      <w:pPr>
        <w:spacing w:line="370" w:lineRule="exact"/>
        <w:ind w:firstLine="411" w:firstLineChars="196"/>
        <w:jc w:val="left"/>
        <w:rPr>
          <w:rFonts w:ascii="宋体" w:hAnsi="宋体"/>
          <w:color w:val="000000"/>
        </w:rPr>
      </w:pPr>
      <w:r>
        <w:rPr>
          <w:rFonts w:hint="eastAsia" w:ascii="宋体" w:hAnsi="宋体"/>
          <w:color w:val="000000"/>
        </w:rPr>
        <w:t>地    址：</w:t>
      </w:r>
      <w:r>
        <w:rPr>
          <w:rFonts w:hint="eastAsia" w:ascii="宋体" w:hAnsi="宋体"/>
          <w:color w:val="000000"/>
          <w:szCs w:val="21"/>
        </w:rPr>
        <w:t>钦州市钦南区子材东大街8号奥林财富1号楼11层</w:t>
      </w:r>
      <w:r>
        <w:rPr>
          <w:rFonts w:hint="eastAsia" w:ascii="宋体" w:hAnsi="宋体"/>
          <w:color w:val="000000"/>
        </w:rPr>
        <w:t xml:space="preserve">  　</w:t>
      </w:r>
    </w:p>
    <w:p>
      <w:pPr>
        <w:spacing w:line="370" w:lineRule="exact"/>
        <w:ind w:firstLine="411" w:firstLineChars="196"/>
        <w:jc w:val="left"/>
        <w:rPr>
          <w:rFonts w:ascii="宋体" w:hAnsi="宋体"/>
          <w:color w:val="000000"/>
        </w:rPr>
      </w:pPr>
      <w:r>
        <w:rPr>
          <w:rFonts w:hint="eastAsia" w:ascii="宋体" w:hAnsi="宋体"/>
          <w:color w:val="000000"/>
        </w:rPr>
        <w:t xml:space="preserve">邮    编：535000                                 </w:t>
      </w:r>
    </w:p>
    <w:p>
      <w:pPr>
        <w:spacing w:line="370" w:lineRule="exact"/>
        <w:ind w:firstLine="411" w:firstLineChars="196"/>
        <w:rPr>
          <w:rFonts w:ascii="宋体" w:hAnsi="宋体"/>
          <w:color w:val="000000"/>
        </w:rPr>
      </w:pPr>
      <w:r>
        <w:rPr>
          <w:rFonts w:hint="eastAsia" w:ascii="宋体" w:hAnsi="宋体"/>
          <w:color w:val="000000"/>
        </w:rPr>
        <w:t xml:space="preserve">电    话：0777-3617888              </w:t>
      </w:r>
    </w:p>
    <w:p>
      <w:pPr>
        <w:spacing w:line="370" w:lineRule="exact"/>
        <w:ind w:firstLine="411" w:firstLineChars="196"/>
        <w:rPr>
          <w:rFonts w:ascii="宋体" w:hAnsi="宋体"/>
          <w:color w:val="000000"/>
        </w:rPr>
      </w:pPr>
      <w:r>
        <w:rPr>
          <w:rFonts w:hint="eastAsia" w:ascii="宋体" w:hAnsi="宋体"/>
          <w:color w:val="000000"/>
        </w:rPr>
        <w:t>传    真：0777-3617888</w:t>
      </w:r>
    </w:p>
    <w:p>
      <w:pPr>
        <w:tabs>
          <w:tab w:val="left" w:pos="210"/>
        </w:tabs>
        <w:spacing w:line="440" w:lineRule="exact"/>
        <w:ind w:firstLine="210" w:firstLineChars="100"/>
        <w:rPr>
          <w:rFonts w:hAnsi="宋体"/>
          <w:color w:val="000000"/>
        </w:rPr>
      </w:pPr>
      <w:r>
        <w:rPr>
          <w:rFonts w:hint="eastAsia" w:hAnsi="宋体"/>
          <w:color w:val="000000"/>
        </w:rPr>
        <w:t xml:space="preserve"> 开户名称：广西龙建工程管理有限公司</w:t>
      </w:r>
    </w:p>
    <w:p>
      <w:pPr>
        <w:tabs>
          <w:tab w:val="left" w:pos="210"/>
        </w:tabs>
        <w:spacing w:line="440" w:lineRule="exact"/>
        <w:rPr>
          <w:rFonts w:hAnsi="宋体"/>
          <w:color w:val="000000"/>
        </w:rPr>
      </w:pPr>
      <w:r>
        <w:rPr>
          <w:rFonts w:hint="eastAsia" w:hAnsi="宋体"/>
          <w:color w:val="000000"/>
        </w:rPr>
        <w:t xml:space="preserve">   </w:t>
      </w:r>
      <w:bookmarkStart w:id="53" w:name="OLE_LINK4"/>
      <w:r>
        <w:rPr>
          <w:rFonts w:hint="eastAsia" w:hAnsi="宋体"/>
          <w:color w:val="000000"/>
        </w:rPr>
        <w:t>开户银行：</w:t>
      </w:r>
      <w:r>
        <w:rPr>
          <w:rFonts w:hint="eastAsia"/>
        </w:rPr>
        <w:t>建设银行钦州子材东大街支行</w:t>
      </w:r>
    </w:p>
    <w:p>
      <w:pPr>
        <w:tabs>
          <w:tab w:val="left" w:pos="210"/>
        </w:tabs>
        <w:spacing w:line="440" w:lineRule="exact"/>
        <w:rPr>
          <w:rFonts w:ascii="宋体" w:hAnsi="宋体" w:cs="宋体"/>
          <w:b/>
          <w:szCs w:val="21"/>
        </w:rPr>
      </w:pPr>
      <w:r>
        <w:rPr>
          <w:rFonts w:hint="eastAsia" w:hAnsi="宋体"/>
          <w:color w:val="000000"/>
        </w:rPr>
        <w:t xml:space="preserve">   银行账号：4505 0110 6312 0988 8888 </w:t>
      </w:r>
      <w:bookmarkEnd w:id="53"/>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pStyle w:val="24"/>
        <w:rPr>
          <w:rFonts w:ascii="宋体" w:hAnsi="宋体" w:cs="宋体"/>
          <w:b/>
          <w:bCs w:val="0"/>
          <w:kern w:val="2"/>
          <w:sz w:val="21"/>
          <w:szCs w:val="21"/>
        </w:rPr>
      </w:pPr>
    </w:p>
    <w:p>
      <w:pPr>
        <w:ind w:firstLine="2570" w:firstLineChars="800"/>
        <w:rPr>
          <w:rFonts w:ascii="宋体" w:hAnsi="宋体" w:cs="宋体"/>
          <w:sz w:val="24"/>
        </w:rPr>
      </w:pPr>
      <w:r>
        <w:rPr>
          <w:rFonts w:hint="eastAsia" w:ascii="宋体" w:hAnsi="宋体" w:cs="宋体"/>
          <w:b/>
          <w:sz w:val="32"/>
          <w:szCs w:val="32"/>
        </w:rPr>
        <w:t xml:space="preserve"> </w:t>
      </w:r>
      <w:r>
        <w:rPr>
          <w:rFonts w:hint="eastAsia" w:ascii="宋体" w:hAnsi="宋体" w:cs="宋体"/>
          <w:b/>
          <w:sz w:val="44"/>
          <w:szCs w:val="44"/>
        </w:rPr>
        <w:t>第三章 服务需求</w:t>
      </w:r>
    </w:p>
    <w:p>
      <w:pPr>
        <w:jc w:val="center"/>
        <w:rPr>
          <w:rFonts w:ascii="宋体" w:hAnsi="宋体" w:cs="宋体"/>
          <w:color w:val="000000" w:themeColor="text1"/>
          <w:sz w:val="24"/>
          <w14:textFill>
            <w14:solidFill>
              <w14:schemeClr w14:val="tx1"/>
            </w14:solidFill>
          </w14:textFill>
        </w:rPr>
      </w:pPr>
    </w:p>
    <w:p>
      <w:pPr>
        <w:spacing w:line="360" w:lineRule="auto"/>
        <w:ind w:firstLine="420"/>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一、项目名称：升级服务采购</w:t>
      </w:r>
    </w:p>
    <w:p>
      <w:pPr>
        <w:spacing w:line="360" w:lineRule="auto"/>
        <w:ind w:left="420" w:left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二、地点：浦北县越州大道96号</w:t>
      </w:r>
    </w:p>
    <w:p>
      <w:pPr>
        <w:spacing w:line="360" w:lineRule="auto"/>
        <w:ind w:left="420" w:leftChars="200"/>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三、项目简述：</w:t>
      </w:r>
      <w:r>
        <w:rPr>
          <w:rFonts w:hint="eastAsia" w:ascii="宋体" w:hAnsi="宋体" w:cs="宋体"/>
          <w:color w:val="000000"/>
          <w:szCs w:val="21"/>
        </w:rPr>
        <w:t>口腔全景牙片机升</w:t>
      </w:r>
      <w:r>
        <w:rPr>
          <w:rFonts w:hint="eastAsia" w:ascii="宋体" w:hAnsi="宋体" w:cs="宋体"/>
          <w:color w:val="000000"/>
          <w:szCs w:val="21"/>
          <w:highlight w:val="none"/>
        </w:rPr>
        <w:t>级为</w:t>
      </w:r>
      <w:r>
        <w:rPr>
          <w:rFonts w:hint="eastAsia" w:cs="宋体"/>
          <w:color w:val="000000" w:themeColor="text1"/>
          <w:kern w:val="0"/>
          <w:szCs w:val="21"/>
          <w:highlight w:val="none"/>
          <w14:textFill>
            <w14:solidFill>
              <w14:schemeClr w14:val="tx1"/>
            </w14:solidFill>
          </w14:textFill>
        </w:rPr>
        <w:t>口腔颌面锥形束计算机体层摄影：x-trena(ct)服务</w:t>
      </w:r>
      <w:r>
        <w:rPr>
          <w:rFonts w:hint="eastAsia" w:ascii="宋体" w:hAnsi="宋体" w:cs="宋体"/>
          <w:color w:val="000000"/>
          <w:highlight w:val="none"/>
        </w:rPr>
        <w:t xml:space="preserve"> </w:t>
      </w:r>
    </w:p>
    <w:p>
      <w:pPr>
        <w:spacing w:line="360" w:lineRule="auto"/>
        <w:ind w:left="420" w:leftChars="200"/>
        <w:rPr>
          <w:rFonts w:asciiTheme="majorEastAsia" w:hAnsiTheme="majorEastAsia" w:eastAsiaTheme="majorEastAsia"/>
          <w:b/>
          <w:sz w:val="24"/>
          <w:szCs w:val="21"/>
        </w:rPr>
      </w:pPr>
      <w:r>
        <w:rPr>
          <w:rFonts w:hint="eastAsia" w:ascii="宋体" w:hAnsi="宋体" w:cs="宋体"/>
          <w:color w:val="000000" w:themeColor="text1"/>
          <w:szCs w:val="21"/>
          <w14:textFill>
            <w14:solidFill>
              <w14:schemeClr w14:val="tx1"/>
            </w14:solidFill>
          </w14:textFill>
        </w:rPr>
        <w:t>四、服务需求</w:t>
      </w:r>
    </w:p>
    <w:tbl>
      <w:tblPr>
        <w:tblStyle w:val="19"/>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before="156" w:after="156"/>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一、</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主要用途：</w:t>
            </w:r>
          </w:p>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用于医院口腔科X射线诊断，要求有先进的性能和全面的功能，操作简便。用于口腔颌面外科对于颌骨外伤检查与诊断，种植牙手术前后的诊断分析，口腔内科、颞颌关节和鼻旁窦诊断分析。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before="156" w:after="156"/>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二、</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总体要求：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before="156" w:after="156"/>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1</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该投标机型必须为提供最新软件版本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before="156" w:after="156"/>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2</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CT探测器与全景均为CMOS（碘化铯）探测器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before="156" w:after="156"/>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三、</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详细技术要求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384" w:type="dxa"/>
            <w:vAlign w:val="center"/>
          </w:tcPr>
          <w:p>
            <w:pPr>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1．</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影像探测器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84" w:type="dxa"/>
            <w:vAlign w:val="center"/>
          </w:tcPr>
          <w:p>
            <w:pPr>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1.1</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CBCT探测器材质： CMOS（碘化铯）动态平板探测器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84" w:type="dxa"/>
            <w:vAlign w:val="center"/>
          </w:tcPr>
          <w:p>
            <w:pPr>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1.2</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CBCT最小体素尺寸≤8</w:t>
            </w:r>
            <w:r>
              <w:rPr>
                <w:rFonts w:asciiTheme="majorEastAsia" w:hAnsiTheme="majorEastAsia" w:eastAsiaTheme="majorEastAsia"/>
                <w:sz w:val="22"/>
                <w:szCs w:val="22"/>
              </w:rPr>
              <w:t>0</w:t>
            </w:r>
            <w:r>
              <w:rPr>
                <w:rFonts w:hint="eastAsia" w:asciiTheme="majorEastAsia" w:hAnsiTheme="majorEastAsia" w:eastAsiaTheme="majorEastAsia"/>
                <w:sz w:val="22"/>
                <w:szCs w:val="22"/>
              </w:rPr>
              <w:t>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384" w:type="dxa"/>
            <w:vAlign w:val="center"/>
          </w:tcPr>
          <w:p>
            <w:pPr>
              <w:jc w:val="center"/>
              <w:rPr>
                <w:rFonts w:asciiTheme="majorEastAsia" w:hAnsiTheme="majorEastAsia" w:eastAsiaTheme="majorEastAsia"/>
                <w:sz w:val="22"/>
                <w:szCs w:val="22"/>
              </w:rPr>
            </w:pPr>
            <w:r>
              <w:rPr>
                <w:rFonts w:hint="eastAsia" w:ascii="宋体" w:hAnsi="宋体" w:cs="宋体"/>
                <w:sz w:val="22"/>
                <w:szCs w:val="22"/>
              </w:rPr>
              <w:t>★</w:t>
            </w:r>
            <w:r>
              <w:rPr>
                <w:rFonts w:hint="eastAsia" w:asciiTheme="majorEastAsia" w:hAnsiTheme="majorEastAsia" w:eastAsiaTheme="majorEastAsia"/>
                <w:sz w:val="22"/>
                <w:szCs w:val="22"/>
              </w:rPr>
              <w:t>1.3</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平板探测器有效FOV：≥1</w:t>
            </w:r>
            <w:r>
              <w:rPr>
                <w:rFonts w:asciiTheme="majorEastAsia" w:hAnsiTheme="majorEastAsia" w:eastAsiaTheme="majorEastAsia"/>
                <w:sz w:val="22"/>
                <w:szCs w:val="22"/>
              </w:rPr>
              <w:t>4</w:t>
            </w:r>
            <w:r>
              <w:rPr>
                <w:rFonts w:hint="eastAsia" w:asciiTheme="majorEastAsia" w:hAnsiTheme="majorEastAsia" w:eastAsiaTheme="majorEastAsia"/>
                <w:sz w:val="22"/>
                <w:szCs w:val="22"/>
              </w:rPr>
              <w:t>cm*</w:t>
            </w:r>
            <w:r>
              <w:rPr>
                <w:rFonts w:asciiTheme="majorEastAsia" w:hAnsiTheme="majorEastAsia" w:eastAsiaTheme="majorEastAsia"/>
                <w:sz w:val="22"/>
                <w:szCs w:val="22"/>
              </w:rPr>
              <w:t>9</w:t>
            </w:r>
            <w:r>
              <w:rPr>
                <w:rFonts w:hint="eastAsia" w:asciiTheme="majorEastAsia" w:hAnsiTheme="majorEastAsia" w:eastAsiaTheme="majorEastAsia"/>
                <w:sz w:val="22"/>
                <w:szCs w:val="22"/>
              </w:rPr>
              <w:t>cm（单次曝光成像）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84" w:type="dxa"/>
            <w:vAlign w:val="center"/>
          </w:tcPr>
          <w:p>
            <w:pPr>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1.7</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全景影像：标准全景尺寸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2</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X射线球管要求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2.1</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电压范围：≥60kV–9</w:t>
            </w:r>
            <w:r>
              <w:rPr>
                <w:rFonts w:asciiTheme="majorEastAsia" w:hAnsiTheme="majorEastAsia" w:eastAsiaTheme="majorEastAsia"/>
                <w:sz w:val="22"/>
                <w:szCs w:val="22"/>
              </w:rPr>
              <w:t>5Kv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hint="eastAsia" w:ascii="宋体" w:hAnsi="宋体" w:cs="宋体"/>
                <w:sz w:val="22"/>
                <w:szCs w:val="22"/>
              </w:rPr>
              <w:t>★</w:t>
            </w:r>
            <w:r>
              <w:rPr>
                <w:rFonts w:hint="eastAsia" w:asciiTheme="majorEastAsia" w:hAnsiTheme="majorEastAsia" w:eastAsiaTheme="majorEastAsia"/>
                <w:sz w:val="22"/>
                <w:szCs w:val="22"/>
              </w:rPr>
              <w:t>2.2</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电流大小≥14mA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2.3</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焦点尺寸≤0.5mm×0.5mm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hint="eastAsia" w:ascii="宋体" w:hAnsi="宋体" w:cs="宋体"/>
                <w:sz w:val="22"/>
                <w:szCs w:val="22"/>
              </w:rPr>
              <w:t>★</w:t>
            </w:r>
            <w:r>
              <w:rPr>
                <w:rFonts w:hint="eastAsia" w:asciiTheme="majorEastAsia" w:hAnsiTheme="majorEastAsia" w:eastAsiaTheme="majorEastAsia"/>
                <w:sz w:val="22"/>
                <w:szCs w:val="22"/>
              </w:rPr>
              <w:t>2.4</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color w:val="000000" w:themeColor="text1"/>
                <w:sz w:val="22"/>
                <w:szCs w:val="22"/>
                <w14:textFill>
                  <w14:solidFill>
                    <w14:schemeClr w14:val="tx1"/>
                  </w14:solidFill>
                </w14:textFill>
              </w:rPr>
              <w:t>具备两个</w:t>
            </w:r>
            <w:r>
              <w:rPr>
                <w:rFonts w:asciiTheme="majorEastAsia" w:hAnsiTheme="majorEastAsia" w:eastAsiaTheme="majorEastAsia"/>
                <w:color w:val="000000" w:themeColor="text1"/>
                <w:sz w:val="22"/>
                <w:szCs w:val="22"/>
                <w14:textFill>
                  <w14:solidFill>
                    <w14:schemeClr w14:val="tx1"/>
                  </w14:solidFill>
                </w14:textFill>
              </w:rPr>
              <w:t>X</w:t>
            </w:r>
            <w:r>
              <w:rPr>
                <w:rFonts w:hint="eastAsia" w:asciiTheme="majorEastAsia" w:hAnsiTheme="majorEastAsia" w:eastAsiaTheme="majorEastAsia"/>
                <w:color w:val="000000" w:themeColor="text1"/>
                <w:sz w:val="22"/>
                <w:szCs w:val="22"/>
                <w14:textFill>
                  <w14:solidFill>
                    <w14:schemeClr w14:val="tx1"/>
                  </w14:solidFill>
                </w14:textFill>
              </w:rPr>
              <w:t>射线球管，一个负责全景和</w:t>
            </w:r>
            <w:r>
              <w:rPr>
                <w:rFonts w:asciiTheme="majorEastAsia" w:hAnsiTheme="majorEastAsia" w:eastAsiaTheme="majorEastAsia"/>
                <w:color w:val="000000" w:themeColor="text1"/>
                <w:sz w:val="22"/>
                <w:szCs w:val="22"/>
                <w14:textFill>
                  <w14:solidFill>
                    <w14:schemeClr w14:val="tx1"/>
                  </w14:solidFill>
                </w14:textFill>
              </w:rPr>
              <w:t>CT</w:t>
            </w:r>
            <w:r>
              <w:rPr>
                <w:rFonts w:hint="eastAsia" w:asciiTheme="majorEastAsia" w:hAnsiTheme="majorEastAsia" w:eastAsiaTheme="majorEastAsia"/>
                <w:color w:val="000000" w:themeColor="text1"/>
                <w:sz w:val="22"/>
                <w:szCs w:val="22"/>
                <w14:textFill>
                  <w14:solidFill>
                    <w14:schemeClr w14:val="tx1"/>
                  </w14:solidFill>
                </w14:textFill>
              </w:rPr>
              <w:t>拍摄，一个负责侧位拍摄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2.5</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CBCT扫描为脉冲曝光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2.6</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射线过滤≥3.2 mm 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hint="eastAsia" w:asciiTheme="majorEastAsia" w:hAnsiTheme="majorEastAsia" w:eastAsiaTheme="majorEastAsia"/>
                <w:sz w:val="22"/>
                <w:szCs w:val="22"/>
              </w:rPr>
              <w:t>2.7</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发生器最大功率≥</w:t>
            </w:r>
            <w:r>
              <w:rPr>
                <w:rFonts w:asciiTheme="majorEastAsia" w:hAnsiTheme="majorEastAsia" w:eastAsiaTheme="majorEastAsia"/>
                <w:sz w:val="22"/>
                <w:szCs w:val="22"/>
              </w:rPr>
              <w:t>1520</w:t>
            </w:r>
            <w:r>
              <w:rPr>
                <w:rFonts w:hint="eastAsia" w:asciiTheme="majorEastAsia" w:hAnsiTheme="majorEastAsia" w:eastAsiaTheme="majorEastAsia"/>
                <w:sz w:val="22"/>
                <w:szCs w:val="22"/>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3</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机架结构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3</w:t>
            </w:r>
            <w:r>
              <w:rPr>
                <w:rFonts w:hint="eastAsia" w:asciiTheme="majorEastAsia" w:hAnsiTheme="majorEastAsia" w:eastAsiaTheme="majorEastAsia"/>
                <w:sz w:val="22"/>
                <w:szCs w:val="22"/>
              </w:rPr>
              <w:t>.</w:t>
            </w:r>
            <w:r>
              <w:rPr>
                <w:rFonts w:asciiTheme="majorEastAsia" w:hAnsiTheme="majorEastAsia" w:eastAsiaTheme="majorEastAsia"/>
                <w:sz w:val="22"/>
                <w:szCs w:val="22"/>
              </w:rPr>
              <w:t>1</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提供线控曝光开关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3.2</w:t>
            </w:r>
          </w:p>
        </w:tc>
        <w:tc>
          <w:tcPr>
            <w:tcW w:w="7754" w:type="dxa"/>
            <w:vAlign w:val="center"/>
          </w:tcPr>
          <w:p>
            <w:pPr>
              <w:jc w:val="left"/>
              <w:rPr>
                <w:rFonts w:ascii="宋体" w:hAnsi="宋体"/>
                <w:sz w:val="22"/>
                <w:szCs w:val="22"/>
              </w:rPr>
            </w:pPr>
            <w:r>
              <w:rPr>
                <w:rFonts w:hint="eastAsia" w:ascii="宋体" w:hAnsi="宋体"/>
                <w:sz w:val="22"/>
                <w:szCs w:val="22"/>
              </w:rPr>
              <w:t>可翻转式镜面设计，操作人员和患者能够同时清晰的多角度观察激光线定位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4</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拍摄&amp;影像处理技术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4.1</w:t>
            </w:r>
          </w:p>
        </w:tc>
        <w:tc>
          <w:tcPr>
            <w:tcW w:w="7754" w:type="dxa"/>
            <w:vAlign w:val="center"/>
          </w:tcPr>
          <w:p>
            <w:pPr>
              <w:jc w:val="left"/>
              <w:rPr>
                <w:rFonts w:asciiTheme="majorEastAsia" w:hAnsiTheme="majorEastAsia" w:eastAsiaTheme="majorEastAsia"/>
                <w:sz w:val="22"/>
                <w:szCs w:val="22"/>
              </w:rPr>
            </w:pPr>
            <w:r>
              <w:rPr>
                <w:rFonts w:hint="eastAsia" w:ascii="宋体" w:hAnsi="宋体"/>
                <w:sz w:val="22"/>
                <w:szCs w:val="22"/>
              </w:rPr>
              <w:t>M</w:t>
            </w:r>
            <w:r>
              <w:rPr>
                <w:rFonts w:ascii="宋体" w:hAnsi="宋体"/>
                <w:sz w:val="22"/>
                <w:szCs w:val="22"/>
              </w:rPr>
              <w:t>AR</w:t>
            </w:r>
            <w:r>
              <w:rPr>
                <w:rFonts w:hint="eastAsia" w:ascii="宋体" w:hAnsi="宋体"/>
                <w:sz w:val="22"/>
                <w:szCs w:val="22"/>
              </w:rPr>
              <w:t>抗金属伪影技术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4.2</w:t>
            </w:r>
          </w:p>
        </w:tc>
        <w:tc>
          <w:tcPr>
            <w:tcW w:w="7754" w:type="dxa"/>
            <w:vAlign w:val="center"/>
          </w:tcPr>
          <w:p>
            <w:pPr>
              <w:jc w:val="left"/>
              <w:rPr>
                <w:rFonts w:asciiTheme="majorEastAsia" w:hAnsiTheme="majorEastAsia" w:eastAsiaTheme="majorEastAsia"/>
                <w:sz w:val="22"/>
                <w:szCs w:val="22"/>
              </w:rPr>
            </w:pPr>
            <w:r>
              <w:rPr>
                <w:rFonts w:hint="eastAsia" w:ascii="宋体" w:hAnsi="宋体"/>
                <w:sz w:val="22"/>
                <w:szCs w:val="22"/>
              </w:rPr>
              <w:t>具备全景自动纠正技术 全景成像更清晰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hint="eastAsia" w:ascii="宋体" w:hAnsi="宋体" w:cs="宋体"/>
                <w:sz w:val="22"/>
                <w:szCs w:val="22"/>
              </w:rPr>
              <w:t>★</w:t>
            </w:r>
            <w:r>
              <w:rPr>
                <w:rFonts w:asciiTheme="majorEastAsia" w:hAnsiTheme="majorEastAsia" w:eastAsiaTheme="majorEastAsia"/>
                <w:sz w:val="22"/>
                <w:szCs w:val="22"/>
              </w:rPr>
              <w:t>4.3</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具备颌面自锁拍摄模式，拍摄界面具备全牙列视图，拍摄更便捷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4.4</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具备</w:t>
            </w:r>
            <w:r>
              <w:rPr>
                <w:rFonts w:asciiTheme="majorEastAsia" w:hAnsiTheme="majorEastAsia" w:eastAsiaTheme="majorEastAsia"/>
                <w:sz w:val="22"/>
                <w:szCs w:val="22"/>
              </w:rPr>
              <w:t>CT</w:t>
            </w:r>
            <w:r>
              <w:rPr>
                <w:rFonts w:hint="eastAsia" w:asciiTheme="majorEastAsia" w:hAnsiTheme="majorEastAsia" w:eastAsiaTheme="majorEastAsia"/>
                <w:sz w:val="22"/>
                <w:szCs w:val="22"/>
              </w:rPr>
              <w:t>影像预览功能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hint="eastAsia" w:ascii="宋体" w:hAnsi="宋体" w:cs="宋体"/>
                <w:sz w:val="22"/>
                <w:szCs w:val="22"/>
              </w:rPr>
              <w:t>★</w:t>
            </w:r>
            <w:r>
              <w:rPr>
                <w:rFonts w:asciiTheme="majorEastAsia" w:hAnsiTheme="majorEastAsia" w:eastAsiaTheme="majorEastAsia"/>
                <w:sz w:val="22"/>
                <w:szCs w:val="22"/>
              </w:rPr>
              <w:t>4.5</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具备低</w:t>
            </w:r>
            <w:r>
              <w:rPr>
                <w:rFonts w:asciiTheme="majorEastAsia" w:hAnsiTheme="majorEastAsia" w:eastAsiaTheme="majorEastAsia"/>
                <w:sz w:val="22"/>
                <w:szCs w:val="22"/>
              </w:rPr>
              <w:t>X</w:t>
            </w:r>
            <w:r>
              <w:rPr>
                <w:rFonts w:hint="eastAsia" w:asciiTheme="majorEastAsia" w:hAnsiTheme="majorEastAsia" w:eastAsiaTheme="majorEastAsia"/>
                <w:sz w:val="22"/>
                <w:szCs w:val="22"/>
              </w:rPr>
              <w:t>线剂量拍摄模式，全口扫描剂量仅需</w:t>
            </w:r>
            <w:r>
              <w:rPr>
                <w:rFonts w:asciiTheme="majorEastAsia" w:hAnsiTheme="majorEastAsia" w:eastAsiaTheme="majorEastAsia"/>
                <w:sz w:val="22"/>
                <w:szCs w:val="22"/>
              </w:rPr>
              <w:t>13μSv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5</w:t>
            </w:r>
            <w:r>
              <w:rPr>
                <w:rFonts w:hint="eastAsia" w:asciiTheme="majorEastAsia" w:hAnsiTheme="majorEastAsia" w:eastAsiaTheme="majorEastAsia"/>
                <w:sz w:val="22"/>
                <w:szCs w:val="22"/>
              </w:rPr>
              <w:t>.</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定位装置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5</w:t>
            </w:r>
            <w:r>
              <w:rPr>
                <w:rFonts w:hint="eastAsia" w:asciiTheme="majorEastAsia" w:hAnsiTheme="majorEastAsia" w:eastAsiaTheme="majorEastAsia"/>
                <w:sz w:val="22"/>
                <w:szCs w:val="22"/>
              </w:rPr>
              <w:t>.1</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具备常规颌托支架，下颌托，无牙颌支架，TMJ定位支架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5</w:t>
            </w:r>
            <w:r>
              <w:rPr>
                <w:rFonts w:hint="eastAsia" w:asciiTheme="majorEastAsia" w:hAnsiTheme="majorEastAsia" w:eastAsiaTheme="majorEastAsia"/>
                <w:sz w:val="22"/>
                <w:szCs w:val="22"/>
              </w:rPr>
              <w:t>.2</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头夹可调节头夹宽度，并具备微调功能，确保患者舒适度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5</w:t>
            </w:r>
            <w:r>
              <w:rPr>
                <w:rFonts w:hint="eastAsia" w:asciiTheme="majorEastAsia" w:hAnsiTheme="majorEastAsia" w:eastAsiaTheme="majorEastAsia"/>
                <w:sz w:val="22"/>
                <w:szCs w:val="22"/>
              </w:rPr>
              <w:t>.3</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3</w:t>
            </w:r>
            <w:r>
              <w:rPr>
                <w:rFonts w:asciiTheme="majorEastAsia" w:hAnsiTheme="majorEastAsia" w:eastAsiaTheme="majorEastAsia"/>
                <w:sz w:val="22"/>
                <w:szCs w:val="22"/>
              </w:rPr>
              <w:t>60</w:t>
            </w:r>
            <w:r>
              <w:rPr>
                <w:rFonts w:hint="eastAsia" w:asciiTheme="majorEastAsia" w:hAnsiTheme="majorEastAsia" w:eastAsiaTheme="majorEastAsia"/>
                <w:sz w:val="22"/>
                <w:szCs w:val="22"/>
              </w:rPr>
              <w:t>°环抱头颊装置，定位更稳定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5</w:t>
            </w:r>
            <w:r>
              <w:rPr>
                <w:rFonts w:hint="eastAsia" w:asciiTheme="majorEastAsia" w:hAnsiTheme="majorEastAsia" w:eastAsiaTheme="majorEastAsia"/>
                <w:sz w:val="22"/>
                <w:szCs w:val="22"/>
              </w:rPr>
              <w:t>.4</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水平、中线、尖牙线三条激光辅助定位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6</w:t>
            </w:r>
            <w:r>
              <w:rPr>
                <w:rFonts w:hint="eastAsia" w:asciiTheme="majorEastAsia" w:hAnsiTheme="majorEastAsia" w:eastAsiaTheme="majorEastAsia"/>
                <w:sz w:val="22"/>
                <w:szCs w:val="22"/>
              </w:rPr>
              <w:t>.</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专业第三方影像处理软件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6.</w:t>
            </w:r>
            <w:r>
              <w:rPr>
                <w:rFonts w:hint="eastAsia" w:asciiTheme="majorEastAsia" w:hAnsiTheme="majorEastAsia" w:eastAsiaTheme="majorEastAsia"/>
                <w:sz w:val="22"/>
                <w:szCs w:val="22"/>
              </w:rPr>
              <w:t>1</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可与进口分析软件兼容，与口内牙片、口腔综合治疗台内窥镜共用软件平台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6</w:t>
            </w:r>
            <w:r>
              <w:rPr>
                <w:rFonts w:hint="eastAsia" w:asciiTheme="majorEastAsia" w:hAnsiTheme="majorEastAsia" w:eastAsiaTheme="majorEastAsia"/>
                <w:sz w:val="22"/>
                <w:szCs w:val="22"/>
              </w:rPr>
              <w:t>.2</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可记录疾病人信息，测量长度、角度、面积、以及放大功能。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6</w:t>
            </w:r>
            <w:r>
              <w:rPr>
                <w:rFonts w:hint="eastAsia" w:asciiTheme="majorEastAsia" w:hAnsiTheme="majorEastAsia" w:eastAsiaTheme="majorEastAsia"/>
                <w:sz w:val="22"/>
                <w:szCs w:val="22"/>
              </w:rPr>
              <w:t>.3</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可在图像加注信息并用指示箭头标识 ；具有插入界面功能，导入电子病历和图像。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6</w:t>
            </w:r>
            <w:r>
              <w:rPr>
                <w:rFonts w:hint="eastAsia" w:asciiTheme="majorEastAsia" w:hAnsiTheme="majorEastAsia" w:eastAsiaTheme="majorEastAsia"/>
                <w:sz w:val="22"/>
                <w:szCs w:val="22"/>
              </w:rPr>
              <w:t>.4</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支持JPG图像，可以将数码照片的图像导入软件中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6</w:t>
            </w:r>
            <w:r>
              <w:rPr>
                <w:rFonts w:hint="eastAsia" w:asciiTheme="majorEastAsia" w:hAnsiTheme="majorEastAsia" w:eastAsiaTheme="majorEastAsia"/>
                <w:sz w:val="22"/>
                <w:szCs w:val="22"/>
              </w:rPr>
              <w:t>.5</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支持全口牙片模式的显像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6</w:t>
            </w:r>
            <w:r>
              <w:rPr>
                <w:rFonts w:hint="eastAsia" w:asciiTheme="majorEastAsia" w:hAnsiTheme="majorEastAsia" w:eastAsiaTheme="majorEastAsia"/>
                <w:sz w:val="22"/>
                <w:szCs w:val="22"/>
              </w:rPr>
              <w:t>.6</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可以在影像上，应用Windows程序中的不同工具进行画图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6</w:t>
            </w:r>
            <w:r>
              <w:rPr>
                <w:rFonts w:hint="eastAsia" w:asciiTheme="majorEastAsia" w:hAnsiTheme="majorEastAsia" w:eastAsiaTheme="majorEastAsia"/>
                <w:sz w:val="22"/>
                <w:szCs w:val="22"/>
              </w:rPr>
              <w:t>.7</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种植模拟软件，可以模拟种植体植入和排布，含丰富的种植体选择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6</w:t>
            </w:r>
            <w:r>
              <w:rPr>
                <w:rFonts w:hint="eastAsia" w:asciiTheme="majorEastAsia" w:hAnsiTheme="majorEastAsia" w:eastAsiaTheme="majorEastAsia"/>
                <w:sz w:val="22"/>
                <w:szCs w:val="22"/>
              </w:rPr>
              <w:t>.8</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符合DICOM3.0标准，可以和PACS、RIS系统相连，可以和DICOM打印机相连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6</w:t>
            </w:r>
            <w:r>
              <w:rPr>
                <w:rFonts w:hint="eastAsia" w:asciiTheme="majorEastAsia" w:hAnsiTheme="majorEastAsia" w:eastAsiaTheme="majorEastAsia"/>
                <w:sz w:val="22"/>
                <w:szCs w:val="22"/>
              </w:rPr>
              <w:t>.9</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采用SQL数据库，高速安全的网络传输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7</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其他软件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7</w:t>
            </w:r>
            <w:r>
              <w:rPr>
                <w:rFonts w:hint="eastAsia" w:asciiTheme="majorEastAsia" w:hAnsiTheme="majorEastAsia" w:eastAsiaTheme="majorEastAsia"/>
                <w:sz w:val="22"/>
                <w:szCs w:val="22"/>
              </w:rPr>
              <w:t>.1</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种植体模拟植入，种植导板输出和加工，丰富的种植体库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spacing w:before="156" w:after="156"/>
              <w:jc w:val="center"/>
              <w:rPr>
                <w:rFonts w:asciiTheme="majorEastAsia" w:hAnsiTheme="majorEastAsia" w:eastAsiaTheme="majorEastAsia"/>
                <w:sz w:val="22"/>
                <w:szCs w:val="22"/>
              </w:rPr>
            </w:pPr>
            <w:r>
              <w:rPr>
                <w:rFonts w:asciiTheme="majorEastAsia" w:hAnsiTheme="majorEastAsia" w:eastAsiaTheme="majorEastAsia"/>
                <w:sz w:val="22"/>
                <w:szCs w:val="22"/>
              </w:rPr>
              <w:t>7</w:t>
            </w:r>
            <w:r>
              <w:rPr>
                <w:rFonts w:hint="eastAsia" w:asciiTheme="majorEastAsia" w:hAnsiTheme="majorEastAsia" w:eastAsiaTheme="majorEastAsia"/>
                <w:sz w:val="22"/>
                <w:szCs w:val="22"/>
              </w:rPr>
              <w:t>.2</w:t>
            </w:r>
          </w:p>
        </w:tc>
        <w:tc>
          <w:tcPr>
            <w:tcW w:w="7754" w:type="dxa"/>
            <w:vAlign w:val="center"/>
          </w:tcPr>
          <w:p>
            <w:pPr>
              <w:jc w:val="left"/>
              <w:rPr>
                <w:rFonts w:asciiTheme="majorEastAsia" w:hAnsiTheme="majorEastAsia" w:eastAsiaTheme="majorEastAsia"/>
                <w:sz w:val="22"/>
                <w:szCs w:val="22"/>
              </w:rPr>
            </w:pPr>
            <w:r>
              <w:rPr>
                <w:rFonts w:hint="eastAsia" w:asciiTheme="majorEastAsia" w:hAnsiTheme="majorEastAsia" w:eastAsiaTheme="majorEastAsia"/>
                <w:sz w:val="22"/>
                <w:szCs w:val="22"/>
              </w:rPr>
              <w:t>牙体，牙周，外科，正颌面部，应用软件</w:t>
            </w:r>
          </w:p>
        </w:tc>
      </w:tr>
    </w:tbl>
    <w:p>
      <w:pPr>
        <w:spacing w:before="156" w:after="156"/>
        <w:rPr>
          <w:rFonts w:asciiTheme="majorEastAsia" w:hAnsiTheme="majorEastAsia" w:eastAsiaTheme="majorEastAsia"/>
          <w:b/>
          <w:sz w:val="22"/>
          <w:szCs w:val="22"/>
        </w:rPr>
      </w:pPr>
    </w:p>
    <w:p>
      <w:pPr>
        <w:jc w:val="center"/>
        <w:rPr>
          <w:b/>
          <w:sz w:val="28"/>
          <w:szCs w:val="28"/>
        </w:rPr>
      </w:pPr>
      <w:r>
        <w:rPr>
          <w:rFonts w:hint="eastAsia"/>
          <w:b/>
          <w:sz w:val="28"/>
          <w:szCs w:val="28"/>
        </w:rPr>
        <w:t>配置清单</w:t>
      </w:r>
    </w:p>
    <w:p/>
    <w:p>
      <w: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4"/>
        <w:gridCol w:w="4339"/>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tcPr>
          <w:p>
            <w:pPr>
              <w:jc w:val="center"/>
              <w:rPr>
                <w:sz w:val="24"/>
              </w:rPr>
            </w:pPr>
            <w:r>
              <w:rPr>
                <w:rFonts w:hint="eastAsia"/>
                <w:sz w:val="24"/>
              </w:rPr>
              <w:t>序号</w:t>
            </w:r>
          </w:p>
        </w:tc>
        <w:tc>
          <w:tcPr>
            <w:tcW w:w="4339" w:type="dxa"/>
          </w:tcPr>
          <w:p>
            <w:pPr>
              <w:jc w:val="center"/>
              <w:rPr>
                <w:sz w:val="24"/>
              </w:rPr>
            </w:pPr>
            <w:r>
              <w:rPr>
                <w:rFonts w:hint="eastAsia"/>
                <w:sz w:val="24"/>
              </w:rPr>
              <w:t>名称</w:t>
            </w:r>
          </w:p>
        </w:tc>
        <w:tc>
          <w:tcPr>
            <w:tcW w:w="1691" w:type="dxa"/>
          </w:tcPr>
          <w:p>
            <w:pPr>
              <w:jc w:val="center"/>
              <w:rPr>
                <w:sz w:val="24"/>
              </w:rPr>
            </w:pPr>
            <w:r>
              <w:rPr>
                <w:rFonts w:hint="eastAsia"/>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pPr>
              <w:jc w:val="center"/>
              <w:rPr>
                <w:sz w:val="24"/>
              </w:rPr>
            </w:pPr>
            <w:r>
              <w:rPr>
                <w:sz w:val="24"/>
              </w:rPr>
              <w:t>1</w:t>
            </w:r>
          </w:p>
        </w:tc>
        <w:tc>
          <w:tcPr>
            <w:tcW w:w="4339" w:type="dxa"/>
          </w:tcPr>
          <w:p>
            <w:pPr>
              <w:rPr>
                <w:sz w:val="24"/>
              </w:rPr>
            </w:pPr>
            <w:r>
              <w:rPr>
                <w:sz w:val="24"/>
              </w:rPr>
              <w:t>电动立柱及旋转电动机架</w:t>
            </w:r>
          </w:p>
        </w:tc>
        <w:tc>
          <w:tcPr>
            <w:tcW w:w="1691" w:type="dxa"/>
            <w:vAlign w:val="center"/>
          </w:tcPr>
          <w:p>
            <w:pPr>
              <w:jc w:val="center"/>
              <w:rPr>
                <w:sz w:val="24"/>
              </w:rPr>
            </w:pPr>
            <w:r>
              <w:rPr>
                <w:sz w:val="24"/>
              </w:rPr>
              <w:t>1</w:t>
            </w:r>
            <w:r>
              <w:rPr>
                <w:rFonts w:hint="eastAsia"/>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pPr>
              <w:jc w:val="center"/>
              <w:rPr>
                <w:sz w:val="24"/>
              </w:rPr>
            </w:pPr>
            <w:r>
              <w:rPr>
                <w:rFonts w:hint="eastAsia"/>
                <w:sz w:val="24"/>
              </w:rPr>
              <w:t>2</w:t>
            </w:r>
          </w:p>
        </w:tc>
        <w:tc>
          <w:tcPr>
            <w:tcW w:w="4339" w:type="dxa"/>
          </w:tcPr>
          <w:p>
            <w:pPr>
              <w:rPr>
                <w:sz w:val="24"/>
              </w:rPr>
            </w:pPr>
            <w:r>
              <w:rPr>
                <w:rFonts w:hint="eastAsia"/>
                <w:sz w:val="24"/>
              </w:rPr>
              <w:t>头颅拍摄扫描系统含侧位臂</w:t>
            </w:r>
          </w:p>
        </w:tc>
        <w:tc>
          <w:tcPr>
            <w:tcW w:w="1691" w:type="dxa"/>
            <w:vAlign w:val="center"/>
          </w:tcPr>
          <w:p>
            <w:pPr>
              <w:jc w:val="center"/>
              <w:rPr>
                <w:sz w:val="24"/>
              </w:rPr>
            </w:pPr>
            <w:r>
              <w:rPr>
                <w:rFonts w:hint="eastAsia"/>
                <w:sz w:val="24"/>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pPr>
              <w:jc w:val="center"/>
              <w:rPr>
                <w:sz w:val="24"/>
              </w:rPr>
            </w:pPr>
            <w:r>
              <w:rPr>
                <w:rFonts w:hint="eastAsia"/>
                <w:sz w:val="24"/>
              </w:rPr>
              <w:t>3</w:t>
            </w:r>
          </w:p>
        </w:tc>
        <w:tc>
          <w:tcPr>
            <w:tcW w:w="4339" w:type="dxa"/>
          </w:tcPr>
          <w:p>
            <w:pPr>
              <w:rPr>
                <w:sz w:val="24"/>
              </w:rPr>
            </w:pPr>
            <w:r>
              <w:rPr>
                <w:sz w:val="24"/>
              </w:rPr>
              <w:t>病人定位系统</w:t>
            </w:r>
          </w:p>
        </w:tc>
        <w:tc>
          <w:tcPr>
            <w:tcW w:w="1691" w:type="dxa"/>
            <w:vAlign w:val="center"/>
          </w:tcPr>
          <w:p>
            <w:pPr>
              <w:jc w:val="center"/>
              <w:rPr>
                <w:sz w:val="24"/>
              </w:rPr>
            </w:pPr>
            <w:r>
              <w:rPr>
                <w:sz w:val="24"/>
              </w:rPr>
              <w:t>1</w:t>
            </w:r>
            <w:r>
              <w:rPr>
                <w:rFonts w:hint="eastAsia"/>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pPr>
              <w:jc w:val="center"/>
              <w:rPr>
                <w:sz w:val="24"/>
              </w:rPr>
            </w:pPr>
            <w:r>
              <w:rPr>
                <w:rFonts w:hint="eastAsia"/>
                <w:sz w:val="24"/>
              </w:rPr>
              <w:t>4</w:t>
            </w:r>
          </w:p>
        </w:tc>
        <w:tc>
          <w:tcPr>
            <w:tcW w:w="4339" w:type="dxa"/>
          </w:tcPr>
          <w:p>
            <w:pPr>
              <w:rPr>
                <w:sz w:val="24"/>
              </w:rPr>
            </w:pPr>
            <w:r>
              <w:rPr>
                <w:sz w:val="24"/>
              </w:rPr>
              <w:t>投照模式</w:t>
            </w:r>
          </w:p>
        </w:tc>
        <w:tc>
          <w:tcPr>
            <w:tcW w:w="1691" w:type="dxa"/>
            <w:vAlign w:val="center"/>
          </w:tcPr>
          <w:p>
            <w:pPr>
              <w:jc w:val="center"/>
              <w:rPr>
                <w:sz w:val="24"/>
              </w:rPr>
            </w:pPr>
            <w:r>
              <w:rPr>
                <w:sz w:val="24"/>
              </w:rPr>
              <w:t>1</w:t>
            </w:r>
            <w:r>
              <w:rPr>
                <w:rFonts w:hint="eastAsia"/>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pPr>
              <w:jc w:val="center"/>
              <w:rPr>
                <w:sz w:val="24"/>
              </w:rPr>
            </w:pPr>
            <w:r>
              <w:rPr>
                <w:rFonts w:hint="eastAsia"/>
                <w:sz w:val="24"/>
              </w:rPr>
              <w:t>5</w:t>
            </w:r>
          </w:p>
        </w:tc>
        <w:tc>
          <w:tcPr>
            <w:tcW w:w="4339" w:type="dxa"/>
          </w:tcPr>
          <w:p>
            <w:pPr>
              <w:rPr>
                <w:sz w:val="24"/>
              </w:rPr>
            </w:pPr>
            <w:r>
              <w:rPr>
                <w:sz w:val="24"/>
              </w:rPr>
              <w:t>X射线球管及高压发生器</w:t>
            </w:r>
          </w:p>
        </w:tc>
        <w:tc>
          <w:tcPr>
            <w:tcW w:w="1691" w:type="dxa"/>
            <w:vAlign w:val="center"/>
          </w:tcPr>
          <w:p>
            <w:pPr>
              <w:jc w:val="center"/>
              <w:rPr>
                <w:sz w:val="24"/>
              </w:rPr>
            </w:pPr>
            <w:r>
              <w:rPr>
                <w:rFonts w:hint="eastAsia"/>
                <w:sz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pPr>
              <w:jc w:val="center"/>
              <w:rPr>
                <w:sz w:val="24"/>
              </w:rPr>
            </w:pPr>
            <w:r>
              <w:rPr>
                <w:rFonts w:hint="eastAsia"/>
                <w:sz w:val="24"/>
              </w:rPr>
              <w:t>6</w:t>
            </w:r>
          </w:p>
        </w:tc>
        <w:tc>
          <w:tcPr>
            <w:tcW w:w="4339" w:type="dxa"/>
          </w:tcPr>
          <w:p>
            <w:pPr>
              <w:rPr>
                <w:sz w:val="24"/>
              </w:rPr>
            </w:pPr>
            <w:r>
              <w:rPr>
                <w:sz w:val="24"/>
              </w:rPr>
              <w:t>准直器</w:t>
            </w:r>
          </w:p>
        </w:tc>
        <w:tc>
          <w:tcPr>
            <w:tcW w:w="1691" w:type="dxa"/>
            <w:vAlign w:val="center"/>
          </w:tcPr>
          <w:p>
            <w:pPr>
              <w:jc w:val="center"/>
              <w:rPr>
                <w:sz w:val="24"/>
              </w:rPr>
            </w:pPr>
            <w:r>
              <w:rPr>
                <w:rFonts w:hint="eastAsia"/>
                <w:sz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pPr>
              <w:jc w:val="center"/>
              <w:rPr>
                <w:sz w:val="24"/>
              </w:rPr>
            </w:pPr>
            <w:r>
              <w:rPr>
                <w:rFonts w:hint="eastAsia"/>
                <w:sz w:val="24"/>
              </w:rPr>
              <w:t>7</w:t>
            </w:r>
          </w:p>
        </w:tc>
        <w:tc>
          <w:tcPr>
            <w:tcW w:w="4339" w:type="dxa"/>
          </w:tcPr>
          <w:p>
            <w:pPr>
              <w:rPr>
                <w:sz w:val="24"/>
              </w:rPr>
            </w:pPr>
            <w:r>
              <w:rPr>
                <w:sz w:val="24"/>
              </w:rPr>
              <w:t>CMOS平板探测器</w:t>
            </w:r>
          </w:p>
        </w:tc>
        <w:tc>
          <w:tcPr>
            <w:tcW w:w="1691" w:type="dxa"/>
            <w:vAlign w:val="center"/>
          </w:tcPr>
          <w:p>
            <w:pPr>
              <w:jc w:val="center"/>
              <w:rPr>
                <w:sz w:val="24"/>
              </w:rPr>
            </w:pPr>
            <w:r>
              <w:rPr>
                <w:rFonts w:hint="eastAsia"/>
                <w:sz w:val="24"/>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pPr>
              <w:jc w:val="center"/>
              <w:rPr>
                <w:sz w:val="24"/>
              </w:rPr>
            </w:pPr>
            <w:r>
              <w:rPr>
                <w:rFonts w:hint="eastAsia"/>
                <w:sz w:val="24"/>
              </w:rPr>
              <w:t>8</w:t>
            </w:r>
          </w:p>
        </w:tc>
        <w:tc>
          <w:tcPr>
            <w:tcW w:w="4339" w:type="dxa"/>
          </w:tcPr>
          <w:p>
            <w:pPr>
              <w:rPr>
                <w:sz w:val="24"/>
              </w:rPr>
            </w:pPr>
            <w:r>
              <w:rPr>
                <w:sz w:val="24"/>
              </w:rPr>
              <w:t>曝光控制系统</w:t>
            </w:r>
          </w:p>
        </w:tc>
        <w:tc>
          <w:tcPr>
            <w:tcW w:w="1691" w:type="dxa"/>
            <w:vAlign w:val="center"/>
          </w:tcPr>
          <w:p>
            <w:pPr>
              <w:jc w:val="center"/>
              <w:rPr>
                <w:sz w:val="24"/>
              </w:rPr>
            </w:pPr>
            <w:r>
              <w:rPr>
                <w:sz w:val="24"/>
              </w:rPr>
              <w:t>1</w:t>
            </w:r>
            <w:r>
              <w:rPr>
                <w:rFonts w:hint="eastAsia"/>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pPr>
              <w:jc w:val="center"/>
              <w:rPr>
                <w:sz w:val="24"/>
              </w:rPr>
            </w:pPr>
            <w:r>
              <w:rPr>
                <w:rFonts w:hint="eastAsia"/>
                <w:sz w:val="24"/>
              </w:rPr>
              <w:t>9</w:t>
            </w:r>
          </w:p>
        </w:tc>
        <w:tc>
          <w:tcPr>
            <w:tcW w:w="4339" w:type="dxa"/>
          </w:tcPr>
          <w:p>
            <w:pPr>
              <w:rPr>
                <w:sz w:val="24"/>
              </w:rPr>
            </w:pPr>
            <w:r>
              <w:rPr>
                <w:sz w:val="24"/>
              </w:rPr>
              <w:t>DICOM3.0传输/存储/打印</w:t>
            </w:r>
          </w:p>
        </w:tc>
        <w:tc>
          <w:tcPr>
            <w:tcW w:w="1691" w:type="dxa"/>
            <w:vAlign w:val="center"/>
          </w:tcPr>
          <w:p>
            <w:pPr>
              <w:jc w:val="center"/>
              <w:rPr>
                <w:sz w:val="24"/>
              </w:rPr>
            </w:pPr>
            <w:r>
              <w:rPr>
                <w:sz w:val="24"/>
              </w:rPr>
              <w:t>1</w:t>
            </w:r>
            <w:r>
              <w:rPr>
                <w:rFonts w:hint="eastAsia"/>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pPr>
              <w:jc w:val="center"/>
              <w:rPr>
                <w:sz w:val="24"/>
              </w:rPr>
            </w:pPr>
            <w:r>
              <w:rPr>
                <w:rFonts w:hint="eastAsia"/>
                <w:sz w:val="24"/>
              </w:rPr>
              <w:t>10</w:t>
            </w:r>
          </w:p>
        </w:tc>
        <w:tc>
          <w:tcPr>
            <w:tcW w:w="4339" w:type="dxa"/>
          </w:tcPr>
          <w:p>
            <w:pPr>
              <w:rPr>
                <w:sz w:val="24"/>
              </w:rPr>
            </w:pPr>
            <w:r>
              <w:rPr>
                <w:sz w:val="24"/>
              </w:rPr>
              <w:t>高速数据传输电缆</w:t>
            </w:r>
          </w:p>
        </w:tc>
        <w:tc>
          <w:tcPr>
            <w:tcW w:w="1691" w:type="dxa"/>
            <w:vAlign w:val="center"/>
          </w:tcPr>
          <w:p>
            <w:pPr>
              <w:jc w:val="center"/>
              <w:rPr>
                <w:sz w:val="24"/>
              </w:rPr>
            </w:pPr>
            <w:r>
              <w:rPr>
                <w:sz w:val="24"/>
              </w:rPr>
              <w:t>1</w:t>
            </w:r>
            <w:r>
              <w:rPr>
                <w:rFonts w:hint="eastAsia"/>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pPr>
              <w:jc w:val="center"/>
              <w:rPr>
                <w:sz w:val="24"/>
              </w:rPr>
            </w:pPr>
            <w:r>
              <w:rPr>
                <w:sz w:val="24"/>
              </w:rPr>
              <w:t>1</w:t>
            </w:r>
            <w:r>
              <w:rPr>
                <w:rFonts w:hint="eastAsia"/>
                <w:sz w:val="24"/>
              </w:rPr>
              <w:t>1</w:t>
            </w:r>
          </w:p>
        </w:tc>
        <w:tc>
          <w:tcPr>
            <w:tcW w:w="4339" w:type="dxa"/>
          </w:tcPr>
          <w:p>
            <w:pPr>
              <w:rPr>
                <w:sz w:val="24"/>
              </w:rPr>
            </w:pPr>
            <w:r>
              <w:rPr>
                <w:sz w:val="24"/>
              </w:rPr>
              <w:t>Clinicview专业影像处理软件</w:t>
            </w:r>
          </w:p>
        </w:tc>
        <w:tc>
          <w:tcPr>
            <w:tcW w:w="1691" w:type="dxa"/>
            <w:vAlign w:val="center"/>
          </w:tcPr>
          <w:p>
            <w:pPr>
              <w:jc w:val="center"/>
              <w:rPr>
                <w:sz w:val="24"/>
              </w:rPr>
            </w:pPr>
            <w:r>
              <w:rPr>
                <w:sz w:val="24"/>
              </w:rPr>
              <w:t>1</w:t>
            </w:r>
            <w:r>
              <w:rPr>
                <w:rFonts w:hint="eastAsia"/>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pPr>
              <w:jc w:val="center"/>
              <w:rPr>
                <w:sz w:val="24"/>
              </w:rPr>
            </w:pPr>
            <w:r>
              <w:rPr>
                <w:sz w:val="24"/>
              </w:rPr>
              <w:t>1</w:t>
            </w:r>
            <w:r>
              <w:rPr>
                <w:rFonts w:hint="eastAsia"/>
                <w:sz w:val="24"/>
              </w:rPr>
              <w:t>2</w:t>
            </w:r>
          </w:p>
        </w:tc>
        <w:tc>
          <w:tcPr>
            <w:tcW w:w="4339" w:type="dxa"/>
          </w:tcPr>
          <w:p>
            <w:pPr>
              <w:rPr>
                <w:sz w:val="24"/>
              </w:rPr>
            </w:pPr>
            <w:r>
              <w:rPr>
                <w:sz w:val="24"/>
              </w:rPr>
              <w:t>CBCT专用Ondemand3D后处理软件</w:t>
            </w:r>
          </w:p>
        </w:tc>
        <w:tc>
          <w:tcPr>
            <w:tcW w:w="1691" w:type="dxa"/>
            <w:vAlign w:val="center"/>
          </w:tcPr>
          <w:p>
            <w:pPr>
              <w:jc w:val="center"/>
              <w:rPr>
                <w:sz w:val="24"/>
              </w:rPr>
            </w:pPr>
            <w:r>
              <w:rPr>
                <w:sz w:val="24"/>
              </w:rPr>
              <w:t>1</w:t>
            </w:r>
            <w:r>
              <w:rPr>
                <w:rFonts w:hint="eastAsia"/>
                <w:sz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pPr>
              <w:jc w:val="center"/>
              <w:rPr>
                <w:sz w:val="24"/>
              </w:rPr>
            </w:pPr>
            <w:r>
              <w:rPr>
                <w:sz w:val="24"/>
              </w:rPr>
              <w:t>1</w:t>
            </w:r>
            <w:r>
              <w:rPr>
                <w:rFonts w:hint="eastAsia"/>
                <w:sz w:val="24"/>
              </w:rPr>
              <w:t>3</w:t>
            </w:r>
          </w:p>
        </w:tc>
        <w:tc>
          <w:tcPr>
            <w:tcW w:w="4339" w:type="dxa"/>
          </w:tcPr>
          <w:p>
            <w:pPr>
              <w:rPr>
                <w:sz w:val="24"/>
              </w:rPr>
            </w:pPr>
            <w:r>
              <w:rPr>
                <w:sz w:val="24"/>
              </w:rPr>
              <w:t>使用手册及服务手册</w:t>
            </w:r>
          </w:p>
        </w:tc>
        <w:tc>
          <w:tcPr>
            <w:tcW w:w="1691" w:type="dxa"/>
            <w:vAlign w:val="center"/>
          </w:tcPr>
          <w:p>
            <w:pPr>
              <w:jc w:val="center"/>
              <w:rPr>
                <w:sz w:val="24"/>
              </w:rPr>
            </w:pPr>
            <w:r>
              <w:rPr>
                <w:sz w:val="24"/>
              </w:rPr>
              <w:t>1</w:t>
            </w:r>
            <w:r>
              <w:rPr>
                <w:rFonts w:hint="eastAsia"/>
                <w:sz w:val="24"/>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pPr>
              <w:jc w:val="center"/>
              <w:rPr>
                <w:sz w:val="24"/>
              </w:rPr>
            </w:pPr>
            <w:r>
              <w:rPr>
                <w:sz w:val="24"/>
              </w:rPr>
              <w:t>1</w:t>
            </w:r>
            <w:r>
              <w:rPr>
                <w:rFonts w:hint="eastAsia"/>
                <w:sz w:val="24"/>
              </w:rPr>
              <w:t>4</w:t>
            </w:r>
          </w:p>
        </w:tc>
        <w:tc>
          <w:tcPr>
            <w:tcW w:w="4339" w:type="dxa"/>
          </w:tcPr>
          <w:p>
            <w:pPr>
              <w:rPr>
                <w:sz w:val="24"/>
              </w:rPr>
            </w:pPr>
            <w:r>
              <w:rPr>
                <w:sz w:val="24"/>
              </w:rPr>
              <w:t>Clinicview软件使用手册</w:t>
            </w:r>
          </w:p>
        </w:tc>
        <w:tc>
          <w:tcPr>
            <w:tcW w:w="1691" w:type="dxa"/>
            <w:vAlign w:val="center"/>
          </w:tcPr>
          <w:p>
            <w:pPr>
              <w:jc w:val="center"/>
              <w:rPr>
                <w:sz w:val="24"/>
              </w:rPr>
            </w:pPr>
            <w:r>
              <w:rPr>
                <w:sz w:val="24"/>
              </w:rPr>
              <w:t>1</w:t>
            </w:r>
            <w:r>
              <w:rPr>
                <w:rFonts w:hint="eastAsia"/>
                <w:sz w:val="24"/>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4" w:type="dxa"/>
            <w:vAlign w:val="center"/>
          </w:tcPr>
          <w:p>
            <w:pPr>
              <w:jc w:val="center"/>
              <w:rPr>
                <w:sz w:val="24"/>
              </w:rPr>
            </w:pPr>
            <w:r>
              <w:rPr>
                <w:rFonts w:hint="eastAsia"/>
                <w:sz w:val="24"/>
              </w:rPr>
              <w:t>15</w:t>
            </w:r>
          </w:p>
        </w:tc>
        <w:tc>
          <w:tcPr>
            <w:tcW w:w="4339" w:type="dxa"/>
          </w:tcPr>
          <w:p>
            <w:pPr>
              <w:rPr>
                <w:sz w:val="24"/>
              </w:rPr>
            </w:pPr>
            <w:r>
              <w:rPr>
                <w:rFonts w:hint="eastAsia"/>
                <w:sz w:val="24"/>
              </w:rPr>
              <w:t>电脑工作站</w:t>
            </w:r>
          </w:p>
        </w:tc>
        <w:tc>
          <w:tcPr>
            <w:tcW w:w="1691" w:type="dxa"/>
            <w:vAlign w:val="center"/>
          </w:tcPr>
          <w:p>
            <w:pPr>
              <w:jc w:val="center"/>
              <w:rPr>
                <w:sz w:val="24"/>
              </w:rPr>
            </w:pPr>
            <w:r>
              <w:rPr>
                <w:rFonts w:hint="eastAsia"/>
                <w:sz w:val="24"/>
              </w:rPr>
              <w:t>1套</w:t>
            </w:r>
          </w:p>
        </w:tc>
      </w:tr>
    </w:tbl>
    <w:p>
      <w:pPr>
        <w:spacing w:before="156" w:after="156"/>
        <w:rPr>
          <w:rFonts w:hint="eastAsia" w:asciiTheme="majorEastAsia" w:hAnsiTheme="majorEastAsia" w:eastAsiaTheme="majorEastAsia"/>
          <w:b/>
          <w:sz w:val="22"/>
          <w:szCs w:val="22"/>
        </w:rPr>
      </w:pPr>
    </w:p>
    <w:p>
      <w:pPr>
        <w:spacing w:before="156" w:after="156"/>
        <w:rPr>
          <w:rFonts w:asciiTheme="majorEastAsia" w:hAnsiTheme="majorEastAsia" w:eastAsiaTheme="majorEastAsia"/>
          <w:b/>
          <w:sz w:val="22"/>
          <w:szCs w:val="22"/>
        </w:rPr>
      </w:pPr>
      <w:r>
        <w:rPr>
          <w:rFonts w:hint="eastAsia" w:asciiTheme="majorEastAsia" w:hAnsiTheme="majorEastAsia" w:eastAsiaTheme="majorEastAsia"/>
          <w:b/>
          <w:sz w:val="22"/>
          <w:szCs w:val="22"/>
        </w:rPr>
        <w:t>注：1、以上为主要的配置清单，各投标人应根据招标文件的技术要求提供科学、合理、完整的配置，但必须保证投标人的设备配置、参数等于或更优于以上要求。</w:t>
      </w:r>
    </w:p>
    <w:p>
      <w:pPr>
        <w:pStyle w:val="24"/>
        <w:ind w:firstLine="482" w:firstLineChars="200"/>
        <w:rPr>
          <w:rFonts w:ascii="宋体" w:hAnsi="宋体" w:cs="宋体"/>
          <w:b/>
          <w:bCs w:val="0"/>
          <w:color w:val="000000"/>
          <w:spacing w:val="0"/>
          <w:sz w:val="21"/>
          <w:szCs w:val="21"/>
        </w:rPr>
      </w:pPr>
      <w:r>
        <w:rPr>
          <w:rFonts w:hint="eastAsia" w:asciiTheme="majorEastAsia" w:hAnsiTheme="majorEastAsia" w:eastAsiaTheme="majorEastAsia"/>
          <w:b/>
          <w:sz w:val="22"/>
          <w:szCs w:val="22"/>
        </w:rPr>
        <w:t>2、</w:t>
      </w:r>
      <w:r>
        <w:rPr>
          <w:rFonts w:hint="eastAsia" w:ascii="宋体" w:hAnsi="宋体"/>
          <w:b/>
          <w:bCs w:val="0"/>
          <w:spacing w:val="0"/>
          <w:kern w:val="2"/>
          <w:sz w:val="21"/>
          <w:szCs w:val="21"/>
        </w:rPr>
        <w:t>参数标注</w:t>
      </w:r>
      <w:r>
        <w:rPr>
          <w:rFonts w:hint="eastAsia" w:ascii="宋体" w:hAnsi="宋体" w:cs="Arial"/>
          <w:b/>
          <w:bCs w:val="0"/>
          <w:color w:val="333333"/>
          <w:szCs w:val="21"/>
          <w:shd w:val="clear" w:color="auto" w:fill="FFFFFF"/>
        </w:rPr>
        <w:t>★</w:t>
      </w:r>
      <w:r>
        <w:rPr>
          <w:rFonts w:hint="eastAsia" w:ascii="宋体" w:hAnsi="宋体"/>
          <w:b/>
          <w:bCs w:val="0"/>
          <w:spacing w:val="0"/>
          <w:kern w:val="2"/>
          <w:sz w:val="21"/>
          <w:szCs w:val="21"/>
        </w:rPr>
        <w:t>号的条款项为重要技术参数，竞标人必须满足或优于，否则竞标无效。</w:t>
      </w:r>
    </w:p>
    <w:p>
      <w:pPr>
        <w:pStyle w:val="17"/>
        <w:ind w:firstLine="210"/>
      </w:pPr>
    </w:p>
    <w:p>
      <w:pPr>
        <w:spacing w:line="360" w:lineRule="auto"/>
        <w:ind w:firstLine="420"/>
        <w:rPr>
          <w:rFonts w:cs="宋体"/>
          <w:color w:val="000000" w:themeColor="text1"/>
          <w:kern w:val="0"/>
          <w:szCs w:val="21"/>
          <w14:textFill>
            <w14:solidFill>
              <w14:schemeClr w14:val="tx1"/>
            </w14:solidFill>
          </w14:textFill>
        </w:rPr>
      </w:pPr>
      <w:r>
        <w:rPr>
          <w:rFonts w:hint="eastAsia" w:cs="宋体"/>
          <w:b/>
          <w:bCs/>
          <w:color w:val="000000" w:themeColor="text1"/>
          <w:kern w:val="0"/>
          <w:szCs w:val="21"/>
          <w14:textFill>
            <w14:solidFill>
              <w14:schemeClr w14:val="tx1"/>
            </w14:solidFill>
          </w14:textFill>
        </w:rPr>
        <w:t>五、提交成果时间：</w:t>
      </w:r>
    </w:p>
    <w:p>
      <w:pPr>
        <w:spacing w:line="360" w:lineRule="auto"/>
        <w:ind w:firstLine="420"/>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完成期（日历天）：自签订合同之日</w:t>
      </w:r>
      <w:r>
        <w:rPr>
          <w:rFonts w:hint="eastAsia" w:cs="宋体"/>
          <w:color w:val="000000" w:themeColor="text1"/>
          <w:kern w:val="0"/>
          <w:szCs w:val="21"/>
          <w:highlight w:val="none"/>
          <w14:textFill>
            <w14:solidFill>
              <w14:schemeClr w14:val="tx1"/>
            </w14:solidFill>
          </w14:textFill>
        </w:rPr>
        <w:t>起</w:t>
      </w:r>
      <w:r>
        <w:rPr>
          <w:rFonts w:hint="eastAsia" w:cs="宋体"/>
          <w:color w:val="000000" w:themeColor="text1"/>
          <w:kern w:val="0"/>
          <w:szCs w:val="21"/>
          <w:highlight w:val="none"/>
          <w:u w:val="single"/>
          <w14:textFill>
            <w14:solidFill>
              <w14:schemeClr w14:val="tx1"/>
            </w14:solidFill>
          </w14:textFill>
        </w:rPr>
        <w:t>45日</w:t>
      </w:r>
      <w:r>
        <w:rPr>
          <w:rFonts w:hint="eastAsia" w:cs="宋体"/>
          <w:color w:val="000000" w:themeColor="text1"/>
          <w:kern w:val="0"/>
          <w:szCs w:val="21"/>
          <w:highlight w:val="none"/>
          <w14:textFill>
            <w14:solidFill>
              <w14:schemeClr w14:val="tx1"/>
            </w14:solidFill>
          </w14:textFill>
        </w:rPr>
        <w:t>历天</w:t>
      </w:r>
      <w:r>
        <w:rPr>
          <w:rFonts w:hint="eastAsia" w:cs="宋体"/>
          <w:color w:val="000000" w:themeColor="text1"/>
          <w:kern w:val="0"/>
          <w:szCs w:val="21"/>
          <w14:textFill>
            <w14:solidFill>
              <w14:schemeClr w14:val="tx1"/>
            </w14:solidFill>
          </w14:textFill>
        </w:rPr>
        <w:t>提交</w:t>
      </w:r>
      <w:r>
        <w:rPr>
          <w:rFonts w:hint="eastAsia" w:ascii="宋体" w:hAnsi="宋体" w:cs="宋体"/>
          <w:kern w:val="0"/>
          <w:szCs w:val="21"/>
        </w:rPr>
        <w:t>升级服务</w:t>
      </w:r>
      <w:r>
        <w:rPr>
          <w:rFonts w:hint="eastAsia" w:cs="宋体"/>
          <w:color w:val="000000" w:themeColor="text1"/>
          <w:kern w:val="0"/>
          <w:szCs w:val="21"/>
          <w14:textFill>
            <w14:solidFill>
              <w14:schemeClr w14:val="tx1"/>
            </w14:solidFill>
          </w14:textFill>
        </w:rPr>
        <w:t>成果。</w:t>
      </w:r>
    </w:p>
    <w:p>
      <w:pPr>
        <w:spacing w:line="360" w:lineRule="auto"/>
        <w:ind w:firstLine="420"/>
        <w:rPr>
          <w:rFonts w:cs="宋体"/>
          <w:b/>
          <w:bCs/>
          <w:kern w:val="0"/>
          <w:szCs w:val="21"/>
        </w:rPr>
      </w:pPr>
      <w:r>
        <w:rPr>
          <w:rFonts w:hint="eastAsia" w:cs="宋体"/>
          <w:b/>
          <w:bCs/>
          <w:color w:val="121212"/>
          <w:kern w:val="0"/>
          <w:szCs w:val="21"/>
        </w:rPr>
        <w:t>六、</w:t>
      </w:r>
      <w:r>
        <w:rPr>
          <w:rFonts w:hint="eastAsia" w:cs="宋体"/>
          <w:b/>
          <w:bCs/>
          <w:kern w:val="0"/>
          <w:szCs w:val="21"/>
        </w:rPr>
        <w:t>项目费用及付款方式：</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宋体" w:hAnsi="宋体"/>
          <w:bCs/>
          <w:szCs w:val="21"/>
          <w:highlight w:val="none"/>
        </w:rPr>
      </w:pPr>
      <w:r>
        <w:rPr>
          <w:rFonts w:hint="eastAsia" w:ascii="宋体" w:hAnsi="宋体" w:cs="宋体"/>
          <w:kern w:val="0"/>
          <w:szCs w:val="21"/>
        </w:rPr>
        <w:t xml:space="preserve">    项目预算工作经费 750000.00元，实际所需经费以政府采购成交价为准，但采购成交价不得高于750000.00元。甲方支付乙方升级服务费用（中标金额），在提交项目</w:t>
      </w:r>
      <w:r>
        <w:rPr>
          <w:rFonts w:hint="eastAsia" w:ascii="宋体" w:hAnsi="宋体" w:cs="宋体"/>
          <w:kern w:val="0"/>
          <w:szCs w:val="21"/>
          <w:highlight w:val="none"/>
        </w:rPr>
        <w:t>最终成果，自合同签订完成，货物到甲方指定地点安装完毕验收合格交付使用后，支付合同款总金额的60%，乙方应在甲方第一次付款之前开具全款税票,设备交付使用之日起60天内支付合同款总金额的40%。在签订合同后五个工作日内缴纳合同款总价的3%至浦北县中医医院基本帐户作为履约保证金，待产品无质量问题后，履约保证金转为质量保证金，在质保期满后的一个月内甲方无息退还给乙方。</w:t>
      </w:r>
    </w:p>
    <w:p>
      <w:pPr>
        <w:keepNext w:val="0"/>
        <w:keepLines w:val="0"/>
        <w:pageBreakBefore w:val="0"/>
        <w:kinsoku/>
        <w:wordWrap/>
        <w:overflowPunct/>
        <w:topLinePunct w:val="0"/>
        <w:autoSpaceDE/>
        <w:autoSpaceDN/>
        <w:bidi w:val="0"/>
        <w:adjustRightInd/>
        <w:snapToGrid/>
        <w:spacing w:line="380" w:lineRule="exact"/>
        <w:ind w:firstLine="420"/>
        <w:textAlignment w:val="auto"/>
        <w:rPr>
          <w:rFonts w:hint="eastAsia" w:cs="宋体"/>
          <w:b/>
          <w:bCs/>
          <w:kern w:val="0"/>
          <w:szCs w:val="21"/>
        </w:rPr>
      </w:pPr>
    </w:p>
    <w:p>
      <w:pPr>
        <w:keepNext w:val="0"/>
        <w:keepLines w:val="0"/>
        <w:pageBreakBefore w:val="0"/>
        <w:kinsoku/>
        <w:wordWrap/>
        <w:overflowPunct/>
        <w:topLinePunct w:val="0"/>
        <w:autoSpaceDE/>
        <w:autoSpaceDN/>
        <w:bidi w:val="0"/>
        <w:adjustRightInd/>
        <w:snapToGrid/>
        <w:spacing w:line="380" w:lineRule="exact"/>
        <w:ind w:firstLine="420"/>
        <w:textAlignment w:val="auto"/>
        <w:rPr>
          <w:rFonts w:cs="宋体"/>
          <w:b/>
          <w:bCs/>
          <w:color w:val="121212"/>
          <w:kern w:val="0"/>
          <w:szCs w:val="21"/>
        </w:rPr>
      </w:pPr>
      <w:r>
        <w:rPr>
          <w:rFonts w:hint="eastAsia" w:cs="宋体"/>
          <w:b/>
          <w:bCs/>
          <w:kern w:val="0"/>
          <w:szCs w:val="21"/>
        </w:rPr>
        <w:t>七、</w:t>
      </w:r>
      <w:r>
        <w:rPr>
          <w:rFonts w:hint="eastAsia" w:cs="宋体"/>
          <w:b/>
          <w:bCs/>
          <w:color w:val="121212"/>
          <w:kern w:val="0"/>
          <w:szCs w:val="21"/>
        </w:rPr>
        <w:t>服务承诺要求：</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cs="宋体"/>
          <w:color w:val="121212"/>
          <w:kern w:val="0"/>
          <w:szCs w:val="21"/>
        </w:rPr>
      </w:pPr>
      <w:r>
        <w:rPr>
          <w:rFonts w:hint="eastAsia" w:cs="宋体"/>
          <w:color w:val="121212"/>
          <w:kern w:val="0"/>
          <w:szCs w:val="21"/>
        </w:rPr>
        <w:t>1、承诺服务款项支付：在规定时间内乙方按时按质完成服务，提交项目最</w:t>
      </w:r>
      <w:r>
        <w:rPr>
          <w:rFonts w:hint="eastAsia" w:cs="宋体"/>
          <w:color w:val="000000" w:themeColor="text1"/>
          <w:kern w:val="0"/>
          <w:szCs w:val="21"/>
          <w14:textFill>
            <w14:solidFill>
              <w14:schemeClr w14:val="tx1"/>
            </w14:solidFill>
          </w14:textFill>
        </w:rPr>
        <w:t>终成果</w:t>
      </w:r>
      <w:r>
        <w:rPr>
          <w:rFonts w:hint="eastAsia" w:ascii="宋体" w:hAnsi="宋体"/>
          <w:bCs/>
          <w:color w:val="000000" w:themeColor="text1"/>
          <w:szCs w:val="2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80" w:lineRule="exact"/>
        <w:ind w:firstLine="420"/>
        <w:textAlignment w:val="auto"/>
        <w:rPr>
          <w:rFonts w:cs="宋体"/>
          <w:color w:val="121212"/>
          <w:kern w:val="0"/>
          <w:szCs w:val="21"/>
        </w:rPr>
      </w:pPr>
      <w:r>
        <w:rPr>
          <w:rFonts w:hint="eastAsia" w:cs="宋体"/>
          <w:color w:val="121212"/>
          <w:kern w:val="0"/>
          <w:szCs w:val="21"/>
        </w:rPr>
        <w:t>2、承诺服务时间：在规定时间内完成服务，且在不违背国家规范的前提下，24小时内无条件修改方案。</w:t>
      </w:r>
    </w:p>
    <w:p>
      <w:pPr>
        <w:keepNext w:val="0"/>
        <w:keepLines w:val="0"/>
        <w:pageBreakBefore w:val="0"/>
        <w:widowControl/>
        <w:tabs>
          <w:tab w:val="left" w:pos="6120"/>
        </w:tabs>
        <w:kinsoku/>
        <w:wordWrap/>
        <w:overflowPunct/>
        <w:topLinePunct w:val="0"/>
        <w:autoSpaceDE/>
        <w:autoSpaceDN/>
        <w:bidi w:val="0"/>
        <w:adjustRightInd/>
        <w:snapToGrid/>
        <w:spacing w:line="380" w:lineRule="exact"/>
        <w:ind w:firstLine="420" w:firstLineChars="200"/>
        <w:textAlignment w:val="auto"/>
        <w:rPr>
          <w:rFonts w:ascii="宋体" w:hAnsi="宋体"/>
          <w:bCs/>
          <w:color w:val="000000"/>
          <w:szCs w:val="21"/>
        </w:rPr>
      </w:pPr>
      <w:r>
        <w:rPr>
          <w:rFonts w:hint="eastAsia" w:ascii="宋体" w:hAnsi="宋体"/>
          <w:bCs/>
          <w:color w:val="000000"/>
          <w:szCs w:val="21"/>
        </w:rPr>
        <w:t>3、按国家有关规定执行“三包”，质保期一年，保修期内出现故障，需派出技术工程师到达现场处理故障，并承担一切费用，保修期外发生维修只收材料成本费，如设备厂家承诺的质保期为一年以上的，以厂家承诺的期限为准；</w:t>
      </w:r>
    </w:p>
    <w:p>
      <w:pPr>
        <w:keepNext w:val="0"/>
        <w:keepLines w:val="0"/>
        <w:pageBreakBefore w:val="0"/>
        <w:widowControl/>
        <w:tabs>
          <w:tab w:val="left" w:pos="6120"/>
        </w:tabs>
        <w:kinsoku/>
        <w:wordWrap/>
        <w:overflowPunct/>
        <w:topLinePunct w:val="0"/>
        <w:autoSpaceDE/>
        <w:autoSpaceDN/>
        <w:bidi w:val="0"/>
        <w:adjustRightInd/>
        <w:snapToGrid/>
        <w:spacing w:line="380" w:lineRule="exact"/>
        <w:ind w:firstLine="420" w:firstLineChars="200"/>
        <w:textAlignment w:val="auto"/>
        <w:rPr>
          <w:rFonts w:ascii="宋体" w:hAnsi="宋体"/>
          <w:bCs/>
          <w:color w:val="000000"/>
          <w:szCs w:val="21"/>
        </w:rPr>
      </w:pPr>
      <w:r>
        <w:rPr>
          <w:rFonts w:hint="eastAsia" w:ascii="宋体" w:hAnsi="宋体"/>
          <w:bCs/>
          <w:color w:val="000000"/>
          <w:szCs w:val="21"/>
        </w:rPr>
        <w:t>4、免费送货上门，免费安装调试合格，派出有相应资格的专职工程师到达现场负责设备安装调试，直至正常使用；</w:t>
      </w:r>
    </w:p>
    <w:p>
      <w:pPr>
        <w:keepNext w:val="0"/>
        <w:keepLines w:val="0"/>
        <w:pageBreakBefore w:val="0"/>
        <w:widowControl/>
        <w:tabs>
          <w:tab w:val="left" w:pos="6120"/>
        </w:tabs>
        <w:kinsoku/>
        <w:wordWrap/>
        <w:overflowPunct/>
        <w:topLinePunct w:val="0"/>
        <w:autoSpaceDE/>
        <w:autoSpaceDN/>
        <w:bidi w:val="0"/>
        <w:adjustRightInd/>
        <w:snapToGrid/>
        <w:spacing w:line="380" w:lineRule="exact"/>
        <w:ind w:firstLine="420" w:firstLineChars="200"/>
        <w:textAlignment w:val="auto"/>
        <w:rPr>
          <w:rFonts w:ascii="宋体" w:hAnsi="宋体"/>
          <w:bCs/>
          <w:color w:val="000000"/>
          <w:szCs w:val="21"/>
        </w:rPr>
      </w:pPr>
      <w:r>
        <w:rPr>
          <w:rFonts w:hint="eastAsia" w:ascii="宋体" w:hAnsi="宋体"/>
          <w:bCs/>
          <w:color w:val="000000"/>
          <w:szCs w:val="21"/>
        </w:rPr>
        <w:t>5、接故障通知后2小时内作出有效回应，24小时内到达现场提供服务（保修期内免费服务），提供终身维护和保养服务；若到达现场24小时内无法维修好的设备，投标人必须全免费提供不低于故障设备规格型号档次的备用设备，直到故障设备修复。</w:t>
      </w:r>
    </w:p>
    <w:p>
      <w:pPr>
        <w:keepNext w:val="0"/>
        <w:keepLines w:val="0"/>
        <w:pageBreakBefore w:val="0"/>
        <w:widowControl/>
        <w:tabs>
          <w:tab w:val="left" w:pos="6120"/>
        </w:tabs>
        <w:kinsoku/>
        <w:wordWrap/>
        <w:overflowPunct/>
        <w:topLinePunct w:val="0"/>
        <w:autoSpaceDE/>
        <w:autoSpaceDN/>
        <w:bidi w:val="0"/>
        <w:adjustRightInd/>
        <w:snapToGrid/>
        <w:spacing w:line="380" w:lineRule="exact"/>
        <w:ind w:firstLine="420" w:firstLineChars="200"/>
        <w:textAlignment w:val="auto"/>
        <w:rPr>
          <w:rFonts w:ascii="宋体" w:hAnsi="宋体"/>
          <w:bCs/>
          <w:color w:val="000000"/>
          <w:szCs w:val="21"/>
          <w:highlight w:val="green"/>
        </w:rPr>
      </w:pPr>
      <w:r>
        <w:rPr>
          <w:rFonts w:hint="eastAsia" w:ascii="宋体" w:hAnsi="宋体"/>
          <w:bCs/>
          <w:color w:val="000000"/>
          <w:szCs w:val="21"/>
        </w:rPr>
        <w:t>6、免费现场培训技术员2名以上,保证熟练掌握全部功能为止。</w:t>
      </w:r>
    </w:p>
    <w:p>
      <w:pPr>
        <w:keepNext w:val="0"/>
        <w:keepLines w:val="0"/>
        <w:pageBreakBefore w:val="0"/>
        <w:widowControl/>
        <w:tabs>
          <w:tab w:val="left" w:pos="6120"/>
        </w:tabs>
        <w:kinsoku/>
        <w:wordWrap/>
        <w:overflowPunct/>
        <w:topLinePunct w:val="0"/>
        <w:autoSpaceDE/>
        <w:autoSpaceDN/>
        <w:bidi w:val="0"/>
        <w:adjustRightInd/>
        <w:snapToGrid/>
        <w:spacing w:line="380" w:lineRule="exact"/>
        <w:ind w:firstLine="420" w:firstLineChars="200"/>
        <w:textAlignment w:val="auto"/>
        <w:rPr>
          <w:rFonts w:ascii="宋体" w:hAnsi="宋体"/>
          <w:bCs/>
          <w:color w:val="000000"/>
          <w:szCs w:val="21"/>
        </w:rPr>
      </w:pPr>
      <w:r>
        <w:rPr>
          <w:rFonts w:hint="eastAsia" w:ascii="宋体" w:hAnsi="宋体"/>
          <w:bCs/>
          <w:color w:val="000000"/>
          <w:szCs w:val="21"/>
        </w:rPr>
        <w:t>7、中标人应在签订合同前须向采购方提供满足与招标文件要求技术参数的设备，经采购方认可方可签订合同，否则将取消其中标资格。</w:t>
      </w:r>
    </w:p>
    <w:p>
      <w:pPr>
        <w:keepNext w:val="0"/>
        <w:keepLines w:val="0"/>
        <w:pageBreakBefore w:val="0"/>
        <w:widowControl/>
        <w:tabs>
          <w:tab w:val="left" w:pos="6120"/>
        </w:tabs>
        <w:kinsoku/>
        <w:wordWrap/>
        <w:overflowPunct/>
        <w:topLinePunct w:val="0"/>
        <w:autoSpaceDE/>
        <w:autoSpaceDN/>
        <w:bidi w:val="0"/>
        <w:adjustRightInd/>
        <w:snapToGrid/>
        <w:spacing w:line="380" w:lineRule="exact"/>
        <w:ind w:firstLine="420" w:firstLineChars="200"/>
        <w:textAlignment w:val="auto"/>
        <w:rPr>
          <w:rFonts w:ascii="宋体" w:hAnsi="宋体"/>
          <w:bCs/>
          <w:color w:val="000000"/>
          <w:szCs w:val="21"/>
        </w:rPr>
      </w:pPr>
      <w:r>
        <w:rPr>
          <w:rFonts w:hint="eastAsia" w:ascii="宋体" w:hAnsi="宋体"/>
          <w:bCs/>
          <w:color w:val="000000"/>
          <w:szCs w:val="21"/>
        </w:rPr>
        <w:t>8、中标人所投产品,如有质量监督部门要求对产品进行检测、检验时，必须派出厂方代表协助检查，发现产品如有质量问题，中标人应承担全部费用及相应的责任。</w:t>
      </w:r>
    </w:p>
    <w:p>
      <w:pPr>
        <w:keepNext w:val="0"/>
        <w:keepLines w:val="0"/>
        <w:pageBreakBefore w:val="0"/>
        <w:widowControl/>
        <w:tabs>
          <w:tab w:val="left" w:pos="6120"/>
        </w:tabs>
        <w:kinsoku/>
        <w:wordWrap/>
        <w:overflowPunct/>
        <w:topLinePunct w:val="0"/>
        <w:autoSpaceDE/>
        <w:autoSpaceDN/>
        <w:bidi w:val="0"/>
        <w:adjustRightInd/>
        <w:snapToGrid/>
        <w:spacing w:line="380" w:lineRule="exact"/>
        <w:ind w:firstLine="420" w:firstLineChars="200"/>
        <w:textAlignment w:val="auto"/>
        <w:rPr>
          <w:rFonts w:ascii="宋体" w:hAnsi="宋体"/>
          <w:bCs/>
          <w:color w:val="000000"/>
          <w:szCs w:val="21"/>
        </w:rPr>
      </w:pPr>
      <w:r>
        <w:rPr>
          <w:rFonts w:hint="eastAsia" w:ascii="宋体" w:hAnsi="宋体"/>
          <w:bCs/>
          <w:color w:val="000000"/>
          <w:szCs w:val="21"/>
        </w:rPr>
        <w:t>9、投标人需书面承诺所投标产品不会发生任何的知识产权或经营权的纠纷。投标人所投产品在设计开发中若采用第三方技术或第三方中间件，如需支付费用，请在开标一览表中明确列出（单独列出，但需计入投标总价），否则用户将不承担该项费用。投标人需书面承诺采购方免受第三方提出侵犯其著作权、专利权、商标权或设计权的纠纷。</w:t>
      </w:r>
    </w:p>
    <w:p>
      <w:pPr>
        <w:keepNext w:val="0"/>
        <w:keepLines w:val="0"/>
        <w:pageBreakBefore w:val="0"/>
        <w:widowControl/>
        <w:tabs>
          <w:tab w:val="left" w:pos="6120"/>
        </w:tabs>
        <w:kinsoku/>
        <w:wordWrap/>
        <w:overflowPunct/>
        <w:topLinePunct w:val="0"/>
        <w:autoSpaceDE/>
        <w:autoSpaceDN/>
        <w:bidi w:val="0"/>
        <w:adjustRightInd/>
        <w:snapToGrid/>
        <w:spacing w:line="380" w:lineRule="exact"/>
        <w:ind w:firstLine="420" w:firstLineChars="200"/>
        <w:textAlignment w:val="auto"/>
        <w:rPr>
          <w:rFonts w:ascii="宋体" w:hAnsi="宋体"/>
          <w:bCs/>
          <w:color w:val="000000"/>
          <w:szCs w:val="21"/>
        </w:rPr>
      </w:pPr>
      <w:r>
        <w:rPr>
          <w:rFonts w:hint="eastAsia" w:ascii="宋体" w:hAnsi="宋体"/>
          <w:bCs/>
          <w:color w:val="000000"/>
          <w:szCs w:val="21"/>
        </w:rPr>
        <w:t>10、投标人提供的必须是全新、完整、未使用过的产品。</w:t>
      </w:r>
    </w:p>
    <w:p>
      <w:pPr>
        <w:keepNext w:val="0"/>
        <w:keepLines w:val="0"/>
        <w:pageBreakBefore w:val="0"/>
        <w:kinsoku/>
        <w:wordWrap/>
        <w:overflowPunct/>
        <w:topLinePunct w:val="0"/>
        <w:autoSpaceDE/>
        <w:autoSpaceDN/>
        <w:bidi w:val="0"/>
        <w:adjustRightInd/>
        <w:snapToGrid/>
        <w:spacing w:line="380" w:lineRule="exact"/>
        <w:ind w:firstLine="420"/>
        <w:textAlignment w:val="auto"/>
        <w:rPr>
          <w:rFonts w:ascii="宋体" w:hAnsi="宋体"/>
          <w:bCs/>
          <w:color w:val="000000"/>
          <w:szCs w:val="21"/>
        </w:rPr>
      </w:pPr>
      <w:r>
        <w:rPr>
          <w:rFonts w:hint="eastAsia" w:ascii="宋体" w:hAnsi="宋体"/>
          <w:bCs/>
          <w:color w:val="000000"/>
          <w:szCs w:val="21"/>
        </w:rPr>
        <w:t>11、投标报价包括招标全部货物金额、随配附件、备品备件、工具、货物运抵指定交货地点的各种费用、装卸费、搬运费、安装及相关材料费、调试费、实施费、迁移费、培训费、技术支持、售后服务、更新升级、软件费、检验费、税金、利息及其它所有成本费用的总和。</w:t>
      </w:r>
    </w:p>
    <w:p>
      <w:pPr>
        <w:spacing w:line="360" w:lineRule="auto"/>
        <w:rPr>
          <w:rFonts w:cs="宋体"/>
          <w:b/>
          <w:bCs/>
          <w:kern w:val="0"/>
          <w:szCs w:val="21"/>
        </w:rPr>
      </w:pPr>
    </w:p>
    <w:p>
      <w:pPr>
        <w:spacing w:line="360" w:lineRule="auto"/>
        <w:ind w:firstLine="420"/>
        <w:rPr>
          <w:rFonts w:cs="宋体"/>
          <w:kern w:val="0"/>
          <w:szCs w:val="21"/>
        </w:rPr>
      </w:pPr>
      <w:r>
        <w:rPr>
          <w:rFonts w:hint="eastAsia" w:cs="宋体"/>
          <w:kern w:val="0"/>
          <w:szCs w:val="21"/>
        </w:rPr>
        <w:t xml:space="preserve"> </w:t>
      </w:r>
    </w:p>
    <w:p>
      <w:pPr>
        <w:spacing w:line="360" w:lineRule="auto"/>
        <w:ind w:firstLine="420"/>
        <w:rPr>
          <w:rFonts w:cs="宋体"/>
          <w:kern w:val="0"/>
          <w:szCs w:val="21"/>
        </w:rPr>
      </w:pPr>
    </w:p>
    <w:p>
      <w:pPr>
        <w:spacing w:line="360" w:lineRule="auto"/>
        <w:ind w:firstLine="420"/>
        <w:rPr>
          <w:rFonts w:cs="宋体"/>
          <w:kern w:val="0"/>
          <w:szCs w:val="21"/>
        </w:rPr>
      </w:pPr>
    </w:p>
    <w:p>
      <w:pPr>
        <w:spacing w:line="360" w:lineRule="auto"/>
        <w:ind w:firstLine="420"/>
        <w:rPr>
          <w:rFonts w:cs="宋体"/>
          <w:kern w:val="0"/>
          <w:szCs w:val="21"/>
        </w:rPr>
      </w:pPr>
      <w:bookmarkStart w:id="54" w:name="_Toc434315326"/>
    </w:p>
    <w:p>
      <w:pPr>
        <w:rPr>
          <w:rFonts w:ascii="宋体" w:hAnsi="宋体" w:cs="宋体"/>
          <w:sz w:val="32"/>
          <w:szCs w:val="32"/>
        </w:rPr>
      </w:pPr>
    </w:p>
    <w:p>
      <w:pPr>
        <w:pStyle w:val="24"/>
        <w:rPr>
          <w:rFonts w:ascii="宋体" w:hAnsi="宋体" w:cs="宋体"/>
          <w:sz w:val="32"/>
          <w:szCs w:val="32"/>
        </w:rPr>
      </w:pPr>
    </w:p>
    <w:p>
      <w:pPr>
        <w:pStyle w:val="24"/>
        <w:rPr>
          <w:rFonts w:ascii="宋体" w:hAnsi="宋体" w:cs="宋体"/>
          <w:sz w:val="32"/>
          <w:szCs w:val="32"/>
        </w:rPr>
      </w:pPr>
    </w:p>
    <w:p>
      <w:pPr>
        <w:pStyle w:val="24"/>
        <w:rPr>
          <w:rFonts w:ascii="宋体" w:hAnsi="宋体" w:cs="宋体"/>
          <w:sz w:val="32"/>
          <w:szCs w:val="32"/>
        </w:rPr>
      </w:pPr>
    </w:p>
    <w:p>
      <w:pPr>
        <w:pStyle w:val="24"/>
        <w:rPr>
          <w:rFonts w:ascii="宋体" w:hAnsi="宋体" w:cs="宋体"/>
          <w:sz w:val="32"/>
          <w:szCs w:val="32"/>
        </w:rPr>
      </w:pPr>
    </w:p>
    <w:p>
      <w:pPr>
        <w:pStyle w:val="24"/>
        <w:rPr>
          <w:rFonts w:ascii="宋体" w:hAnsi="宋体" w:cs="宋体"/>
          <w:sz w:val="32"/>
          <w:szCs w:val="32"/>
        </w:rPr>
      </w:pPr>
    </w:p>
    <w:p>
      <w:pPr>
        <w:pStyle w:val="24"/>
        <w:rPr>
          <w:rFonts w:ascii="宋体" w:hAnsi="宋体" w:cs="宋体"/>
          <w:sz w:val="32"/>
          <w:szCs w:val="32"/>
        </w:rPr>
      </w:pPr>
    </w:p>
    <w:p>
      <w:pPr>
        <w:pStyle w:val="24"/>
        <w:rPr>
          <w:rFonts w:ascii="宋体" w:hAnsi="宋体" w:cs="宋体"/>
          <w:sz w:val="32"/>
          <w:szCs w:val="32"/>
        </w:rPr>
      </w:pPr>
    </w:p>
    <w:p>
      <w:pPr>
        <w:pStyle w:val="24"/>
        <w:rPr>
          <w:rFonts w:ascii="宋体" w:hAnsi="宋体" w:cs="宋体"/>
          <w:sz w:val="32"/>
          <w:szCs w:val="32"/>
        </w:rPr>
      </w:pPr>
    </w:p>
    <w:p>
      <w:pPr>
        <w:pStyle w:val="3"/>
        <w:jc w:val="center"/>
        <w:rPr>
          <w:rFonts w:ascii="宋体" w:hAnsi="宋体" w:cs="宋体"/>
          <w:b w:val="0"/>
          <w:sz w:val="32"/>
          <w:szCs w:val="32"/>
        </w:rPr>
      </w:pPr>
      <w:r>
        <w:rPr>
          <w:rFonts w:hint="eastAsia" w:ascii="宋体" w:hAnsi="宋体" w:cs="宋体"/>
          <w:b w:val="0"/>
          <w:sz w:val="32"/>
          <w:szCs w:val="32"/>
        </w:rPr>
        <w:t>第四章  磋商书格式</w:t>
      </w:r>
      <w:bookmarkEnd w:id="54"/>
    </w:p>
    <w:p>
      <w:pPr>
        <w:widowControl/>
        <w:spacing w:line="360" w:lineRule="auto"/>
        <w:jc w:val="center"/>
        <w:rPr>
          <w:rFonts w:ascii="宋体" w:hAnsi="宋体" w:cs="宋体"/>
          <w:b/>
          <w:sz w:val="32"/>
          <w:szCs w:val="32"/>
        </w:rPr>
        <w:sectPr>
          <w:footerReference r:id="rId6" w:type="first"/>
          <w:headerReference r:id="rId3" w:type="default"/>
          <w:footerReference r:id="rId4" w:type="default"/>
          <w:footerReference r:id="rId5" w:type="even"/>
          <w:pgSz w:w="11906" w:h="16838"/>
          <w:pgMar w:top="1134" w:right="1134" w:bottom="1134" w:left="1134" w:header="851" w:footer="794" w:gutter="567"/>
          <w:pgNumType w:start="1"/>
          <w:cols w:space="720" w:num="1"/>
          <w:titlePg/>
        </w:sectPr>
      </w:pPr>
    </w:p>
    <w:p>
      <w:pPr>
        <w:spacing w:line="400" w:lineRule="exact"/>
        <w:ind w:left="441" w:leftChars="172" w:hanging="80" w:hangingChars="25"/>
        <w:jc w:val="center"/>
        <w:rPr>
          <w:rFonts w:ascii="宋体" w:hAnsi="宋体" w:cs="宋体"/>
          <w:b/>
          <w:sz w:val="32"/>
          <w:szCs w:val="32"/>
        </w:rPr>
      </w:pPr>
      <w:r>
        <w:rPr>
          <w:rFonts w:hint="eastAsia" w:ascii="宋体" w:hAnsi="宋体" w:cs="宋体"/>
          <w:b/>
          <w:sz w:val="32"/>
          <w:szCs w:val="32"/>
        </w:rPr>
        <w:t>竞争性磋商响应文件</w:t>
      </w:r>
      <w:r>
        <w:rPr>
          <w:rFonts w:hint="eastAsia" w:ascii="宋体" w:hAnsi="宋体" w:cs="宋体"/>
          <w:b/>
          <w:szCs w:val="21"/>
        </w:rPr>
        <w:t>（封面）</w:t>
      </w:r>
    </w:p>
    <w:p>
      <w:pPr>
        <w:spacing w:line="360" w:lineRule="auto"/>
        <w:ind w:left="413" w:leftChars="172" w:hanging="52" w:hangingChars="25"/>
        <w:jc w:val="left"/>
        <w:rPr>
          <w:rFonts w:ascii="宋体" w:hAnsi="宋体" w:cs="宋体"/>
          <w:szCs w:val="21"/>
        </w:rPr>
      </w:pPr>
    </w:p>
    <w:p>
      <w:pPr>
        <w:spacing w:line="360" w:lineRule="auto"/>
        <w:ind w:left="413" w:leftChars="172" w:hanging="52" w:hangingChars="25"/>
        <w:jc w:val="left"/>
        <w:rPr>
          <w:rFonts w:ascii="宋体" w:hAnsi="宋体" w:cs="宋体"/>
          <w:szCs w:val="21"/>
        </w:rPr>
      </w:pPr>
      <w:r>
        <w:rPr>
          <w:rFonts w:hint="eastAsia" w:ascii="宋体" w:hAnsi="宋体" w:cs="宋体"/>
          <w:szCs w:val="21"/>
        </w:rPr>
        <w:t>采购项目编号：</w:t>
      </w:r>
      <w:r>
        <w:rPr>
          <w:rFonts w:hint="eastAsia" w:ascii="宋体" w:hAnsi="宋体" w:cs="宋体"/>
          <w:szCs w:val="21"/>
          <w:u w:val="single"/>
        </w:rPr>
        <w:t xml:space="preserve">                                                         </w:t>
      </w:r>
    </w:p>
    <w:p>
      <w:pPr>
        <w:spacing w:line="360" w:lineRule="auto"/>
        <w:ind w:left="413" w:leftChars="172" w:hanging="52" w:hangingChars="25"/>
        <w:jc w:val="left"/>
        <w:rPr>
          <w:rFonts w:ascii="宋体" w:hAnsi="宋体" w:cs="宋体"/>
          <w:szCs w:val="21"/>
        </w:rPr>
      </w:pPr>
      <w:r>
        <w:rPr>
          <w:rFonts w:hint="eastAsia" w:ascii="宋体" w:hAnsi="宋体" w:cs="宋体"/>
          <w:szCs w:val="21"/>
        </w:rPr>
        <w:t>采购项目名称：</w:t>
      </w:r>
      <w:r>
        <w:rPr>
          <w:rFonts w:hint="eastAsia" w:ascii="宋体" w:hAnsi="宋体" w:cs="宋体"/>
          <w:szCs w:val="21"/>
          <w:u w:val="single"/>
        </w:rPr>
        <w:t xml:space="preserve">                                                         </w:t>
      </w:r>
    </w:p>
    <w:p>
      <w:pPr>
        <w:spacing w:line="360" w:lineRule="auto"/>
        <w:ind w:left="413" w:leftChars="172" w:hanging="52" w:hangingChars="25"/>
        <w:jc w:val="left"/>
        <w:rPr>
          <w:rFonts w:ascii="宋体" w:hAnsi="宋体" w:cs="宋体"/>
          <w:szCs w:val="21"/>
        </w:rPr>
      </w:pPr>
      <w:r>
        <w:rPr>
          <w:rFonts w:hint="eastAsia" w:ascii="宋体" w:hAnsi="宋体" w:cs="宋体"/>
          <w:szCs w:val="21"/>
        </w:rPr>
        <w:t>磋商内容：</w:t>
      </w:r>
      <w:r>
        <w:rPr>
          <w:rFonts w:hint="eastAsia" w:ascii="宋体" w:hAnsi="宋体" w:cs="宋体"/>
          <w:szCs w:val="21"/>
          <w:u w:val="single"/>
        </w:rPr>
        <w:t xml:space="preserve">                                                             </w:t>
      </w:r>
    </w:p>
    <w:p>
      <w:pPr>
        <w:spacing w:line="360" w:lineRule="auto"/>
        <w:ind w:left="413" w:leftChars="172" w:hanging="52" w:hangingChars="25"/>
        <w:jc w:val="left"/>
        <w:rPr>
          <w:rFonts w:ascii="宋体" w:hAnsi="宋体" w:cs="宋体"/>
          <w:szCs w:val="21"/>
        </w:rPr>
      </w:pPr>
    </w:p>
    <w:p>
      <w:pPr>
        <w:spacing w:line="360" w:lineRule="auto"/>
        <w:ind w:left="414" w:leftChars="197" w:firstLine="5565" w:firstLineChars="2650"/>
        <w:jc w:val="left"/>
        <w:rPr>
          <w:rFonts w:ascii="宋体" w:hAnsi="宋体" w:cs="宋体"/>
          <w:szCs w:val="21"/>
        </w:rPr>
      </w:pPr>
      <w:r>
        <w:rPr>
          <w:rFonts w:hint="eastAsia" w:ascii="宋体" w:hAnsi="宋体" w:cs="宋体"/>
          <w:szCs w:val="21"/>
        </w:rPr>
        <w:t>（磋商供应商名称）</w:t>
      </w:r>
    </w:p>
    <w:p>
      <w:pPr>
        <w:spacing w:line="360" w:lineRule="auto"/>
        <w:ind w:left="414" w:leftChars="197" w:firstLine="5775" w:firstLineChars="2750"/>
        <w:jc w:val="left"/>
        <w:rPr>
          <w:rFonts w:ascii="宋体" w:hAnsi="宋体" w:cs="宋体"/>
          <w:szCs w:val="21"/>
        </w:rPr>
      </w:pPr>
      <w:r>
        <w:rPr>
          <w:rFonts w:hint="eastAsia" w:ascii="宋体" w:hAnsi="宋体" w:cs="宋体"/>
          <w:szCs w:val="21"/>
        </w:rPr>
        <w:t>年   月    日</w:t>
      </w: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pStyle w:val="10"/>
        <w:spacing w:line="288" w:lineRule="auto"/>
        <w:jc w:val="center"/>
        <w:rPr>
          <w:rFonts w:hAnsi="宋体" w:cs="宋体"/>
          <w:sz w:val="48"/>
          <w:szCs w:val="48"/>
          <w:highlight w:val="none"/>
        </w:rPr>
      </w:pPr>
      <w:r>
        <w:rPr>
          <w:rFonts w:hint="eastAsia" w:hAnsi="宋体" w:cs="宋体"/>
          <w:sz w:val="48"/>
          <w:szCs w:val="48"/>
          <w:highlight w:val="none"/>
        </w:rPr>
        <w:t>目    录</w:t>
      </w:r>
    </w:p>
    <w:p>
      <w:pPr>
        <w:pStyle w:val="10"/>
        <w:spacing w:line="288" w:lineRule="auto"/>
        <w:ind w:firstLine="1540" w:firstLineChars="550"/>
        <w:rPr>
          <w:rFonts w:hAnsi="宋体" w:cs="宋体"/>
          <w:sz w:val="28"/>
          <w:szCs w:val="28"/>
          <w:highlight w:val="none"/>
        </w:rPr>
      </w:pPr>
    </w:p>
    <w:p>
      <w:pPr>
        <w:pStyle w:val="10"/>
        <w:spacing w:line="288" w:lineRule="auto"/>
        <w:ind w:firstLine="1540" w:firstLineChars="550"/>
        <w:rPr>
          <w:rFonts w:hAnsi="宋体" w:cs="宋体"/>
          <w:sz w:val="28"/>
          <w:szCs w:val="28"/>
          <w:highlight w:val="none"/>
        </w:rPr>
      </w:pPr>
      <w:r>
        <w:rPr>
          <w:rFonts w:hint="eastAsia" w:hAnsi="宋体" w:cs="宋体"/>
          <w:sz w:val="28"/>
          <w:szCs w:val="28"/>
          <w:highlight w:val="none"/>
        </w:rPr>
        <w:t>1.磋商书；</w:t>
      </w:r>
    </w:p>
    <w:p>
      <w:pPr>
        <w:pStyle w:val="10"/>
        <w:spacing w:line="288" w:lineRule="auto"/>
        <w:ind w:firstLine="1540" w:firstLineChars="550"/>
        <w:rPr>
          <w:rFonts w:hAnsi="宋体" w:cs="宋体"/>
          <w:sz w:val="28"/>
          <w:szCs w:val="28"/>
          <w:highlight w:val="none"/>
        </w:rPr>
      </w:pPr>
      <w:r>
        <w:rPr>
          <w:rFonts w:hint="eastAsia" w:hAnsi="宋体" w:cs="宋体"/>
          <w:sz w:val="28"/>
          <w:szCs w:val="28"/>
          <w:highlight w:val="none"/>
        </w:rPr>
        <w:t>2.磋商报价表；</w:t>
      </w:r>
    </w:p>
    <w:p>
      <w:pPr>
        <w:pStyle w:val="10"/>
        <w:spacing w:line="288" w:lineRule="auto"/>
        <w:ind w:firstLine="1540" w:firstLineChars="550"/>
        <w:rPr>
          <w:rFonts w:hAnsi="宋体" w:cs="宋体"/>
          <w:sz w:val="28"/>
          <w:szCs w:val="28"/>
          <w:highlight w:val="none"/>
        </w:rPr>
      </w:pPr>
      <w:r>
        <w:rPr>
          <w:rFonts w:hint="eastAsia" w:hAnsi="宋体" w:cs="宋体"/>
          <w:sz w:val="28"/>
          <w:szCs w:val="28"/>
          <w:highlight w:val="none"/>
        </w:rPr>
        <w:t>3.商务技术文件；</w:t>
      </w:r>
    </w:p>
    <w:p>
      <w:pPr>
        <w:pStyle w:val="10"/>
        <w:spacing w:line="288" w:lineRule="auto"/>
        <w:ind w:firstLine="1540" w:firstLineChars="550"/>
        <w:rPr>
          <w:rFonts w:hAnsi="宋体" w:cs="宋体"/>
          <w:sz w:val="28"/>
          <w:szCs w:val="28"/>
          <w:highlight w:val="none"/>
        </w:rPr>
      </w:pPr>
      <w:r>
        <w:rPr>
          <w:rFonts w:hint="eastAsia" w:hAnsi="宋体" w:cs="宋体"/>
          <w:sz w:val="28"/>
          <w:szCs w:val="28"/>
          <w:highlight w:val="none"/>
        </w:rPr>
        <w:t>4.供应商认为需要提供的有关资料；</w:t>
      </w: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hint="eastAsia" w:ascii="宋体" w:hAnsi="宋体" w:cs="宋体"/>
          <w:szCs w:val="21"/>
        </w:rPr>
      </w:pPr>
    </w:p>
    <w:p>
      <w:pPr>
        <w:spacing w:line="400" w:lineRule="exact"/>
        <w:ind w:left="413" w:leftChars="172" w:hanging="52" w:hangingChars="25"/>
        <w:rPr>
          <w:rFonts w:ascii="宋体" w:hAnsi="宋体" w:cs="宋体"/>
          <w:b/>
          <w:szCs w:val="21"/>
        </w:rPr>
      </w:pPr>
      <w:r>
        <w:rPr>
          <w:rFonts w:hint="eastAsia" w:ascii="宋体" w:hAnsi="宋体" w:cs="宋体"/>
          <w:szCs w:val="21"/>
        </w:rPr>
        <w:br w:type="page"/>
      </w:r>
      <w:r>
        <w:rPr>
          <w:rFonts w:hint="eastAsia" w:ascii="宋体" w:hAnsi="宋体" w:cs="宋体"/>
          <w:b/>
          <w:szCs w:val="21"/>
        </w:rPr>
        <w:t>附件一</w:t>
      </w:r>
    </w:p>
    <w:p>
      <w:pPr>
        <w:spacing w:line="400" w:lineRule="exact"/>
        <w:ind w:left="431" w:leftChars="172" w:hanging="70" w:hangingChars="25"/>
        <w:rPr>
          <w:rFonts w:ascii="宋体" w:hAnsi="宋体" w:cs="宋体"/>
          <w:b/>
          <w:sz w:val="28"/>
          <w:szCs w:val="28"/>
        </w:rPr>
      </w:pPr>
    </w:p>
    <w:p>
      <w:pPr>
        <w:spacing w:line="400" w:lineRule="exact"/>
        <w:jc w:val="center"/>
        <w:rPr>
          <w:rFonts w:ascii="宋体" w:hAnsi="宋体" w:cs="宋体"/>
          <w:b/>
          <w:sz w:val="32"/>
          <w:szCs w:val="32"/>
        </w:rPr>
      </w:pPr>
      <w:r>
        <w:rPr>
          <w:rFonts w:hint="eastAsia" w:ascii="宋体" w:hAnsi="宋体" w:cs="宋体"/>
          <w:b/>
          <w:sz w:val="32"/>
          <w:szCs w:val="32"/>
        </w:rPr>
        <w:t>磋 商 书</w:t>
      </w:r>
    </w:p>
    <w:p>
      <w:pPr>
        <w:spacing w:line="520" w:lineRule="exact"/>
        <w:rPr>
          <w:rFonts w:ascii="宋体" w:hAnsi="宋体" w:cs="宋体"/>
          <w:szCs w:val="21"/>
        </w:rPr>
      </w:pPr>
      <w:r>
        <w:rPr>
          <w:rFonts w:hint="eastAsia" w:ascii="宋体" w:hAnsi="宋体" w:cs="宋体"/>
          <w:szCs w:val="21"/>
          <w:u w:val="single"/>
        </w:rPr>
        <w:t>（采购代理机构）：</w:t>
      </w:r>
    </w:p>
    <w:p>
      <w:pPr>
        <w:spacing w:line="520" w:lineRule="exact"/>
        <w:ind w:left="-181" w:leftChars="-86" w:firstLine="420" w:firstLineChars="200"/>
        <w:rPr>
          <w:rFonts w:ascii="宋体" w:hAnsi="宋体" w:cs="宋体"/>
          <w:szCs w:val="21"/>
        </w:rPr>
      </w:pPr>
      <w:r>
        <w:rPr>
          <w:rFonts w:hint="eastAsia" w:ascii="宋体" w:hAnsi="宋体" w:cs="宋体"/>
          <w:szCs w:val="21"/>
        </w:rPr>
        <w:t>依据贵方</w:t>
      </w:r>
      <w:r>
        <w:rPr>
          <w:rFonts w:hint="eastAsia" w:ascii="宋体" w:hAnsi="宋体" w:cs="宋体"/>
          <w:szCs w:val="21"/>
          <w:u w:val="single"/>
        </w:rPr>
        <w:t>（项目名称/文件编号）</w:t>
      </w:r>
      <w:r>
        <w:rPr>
          <w:rFonts w:hint="eastAsia" w:ascii="宋体" w:hAnsi="宋体" w:cs="宋体"/>
          <w:szCs w:val="21"/>
        </w:rPr>
        <w:t>项目政府采购的磋商邀请，我方</w:t>
      </w:r>
      <w:r>
        <w:rPr>
          <w:rFonts w:hint="eastAsia" w:ascii="宋体" w:hAnsi="宋体" w:cs="宋体"/>
          <w:szCs w:val="21"/>
          <w:u w:val="single"/>
        </w:rPr>
        <w:t>（姓名和职务）</w:t>
      </w:r>
      <w:r>
        <w:rPr>
          <w:rFonts w:hint="eastAsia" w:ascii="宋体" w:hAnsi="宋体" w:cs="宋体"/>
          <w:szCs w:val="21"/>
        </w:rPr>
        <w:t>经正式授权并代表磋商供应商</w:t>
      </w:r>
      <w:r>
        <w:rPr>
          <w:rFonts w:hint="eastAsia" w:ascii="宋体" w:hAnsi="宋体" w:cs="宋体"/>
          <w:szCs w:val="21"/>
          <w:u w:val="single"/>
        </w:rPr>
        <w:t>（磋商供应商名称、地址）</w:t>
      </w:r>
      <w:r>
        <w:rPr>
          <w:rFonts w:hint="eastAsia" w:ascii="宋体" w:hAnsi="宋体" w:cs="宋体"/>
          <w:szCs w:val="21"/>
        </w:rPr>
        <w:t>提交下述竞争性磋商响应文件价格文件正本一份，（技术）服务文本正本一份和副本</w:t>
      </w:r>
      <w:r>
        <w:rPr>
          <w:rFonts w:hint="eastAsia" w:ascii="宋体" w:hAnsi="宋体" w:cs="宋体"/>
          <w:szCs w:val="21"/>
          <w:u w:val="single"/>
        </w:rPr>
        <w:t xml:space="preserve">    </w:t>
      </w:r>
      <w:r>
        <w:rPr>
          <w:rFonts w:hint="eastAsia" w:ascii="宋体" w:hAnsi="宋体" w:cs="宋体"/>
          <w:szCs w:val="21"/>
        </w:rPr>
        <w:t>份</w:t>
      </w:r>
    </w:p>
    <w:p>
      <w:pPr>
        <w:numPr>
          <w:ilvl w:val="1"/>
          <w:numId w:val="3"/>
        </w:numPr>
        <w:spacing w:line="520" w:lineRule="exact"/>
        <w:rPr>
          <w:rFonts w:ascii="宋体" w:hAnsi="宋体" w:cs="宋体"/>
          <w:szCs w:val="21"/>
        </w:rPr>
      </w:pPr>
      <w:r>
        <w:rPr>
          <w:rFonts w:hint="eastAsia" w:ascii="宋体" w:hAnsi="宋体" w:cs="宋体"/>
          <w:szCs w:val="21"/>
        </w:rPr>
        <w:t>报价表；</w:t>
      </w:r>
    </w:p>
    <w:p>
      <w:pPr>
        <w:numPr>
          <w:ilvl w:val="1"/>
          <w:numId w:val="3"/>
        </w:numPr>
        <w:spacing w:line="520" w:lineRule="exact"/>
        <w:rPr>
          <w:rFonts w:ascii="宋体" w:hAnsi="宋体" w:cs="宋体"/>
          <w:szCs w:val="21"/>
        </w:rPr>
      </w:pPr>
      <w:r>
        <w:rPr>
          <w:rFonts w:hint="eastAsia" w:ascii="宋体" w:hAnsi="宋体" w:cs="宋体"/>
          <w:szCs w:val="21"/>
        </w:rPr>
        <w:t>分项报价表；</w:t>
      </w:r>
    </w:p>
    <w:p>
      <w:pPr>
        <w:numPr>
          <w:ilvl w:val="1"/>
          <w:numId w:val="3"/>
        </w:numPr>
        <w:spacing w:line="520" w:lineRule="exact"/>
        <w:rPr>
          <w:rFonts w:ascii="宋体" w:hAnsi="宋体" w:cs="宋体"/>
          <w:szCs w:val="21"/>
        </w:rPr>
      </w:pPr>
      <w:r>
        <w:rPr>
          <w:rFonts w:hint="eastAsia" w:ascii="宋体" w:hAnsi="宋体" w:cs="宋体"/>
          <w:szCs w:val="21"/>
        </w:rPr>
        <w:t>供货范围一览表；</w:t>
      </w:r>
    </w:p>
    <w:p>
      <w:pPr>
        <w:numPr>
          <w:ilvl w:val="1"/>
          <w:numId w:val="3"/>
        </w:numPr>
        <w:spacing w:line="520" w:lineRule="exact"/>
        <w:rPr>
          <w:rFonts w:ascii="宋体" w:hAnsi="宋体" w:cs="宋体"/>
          <w:szCs w:val="21"/>
        </w:rPr>
      </w:pPr>
      <w:r>
        <w:rPr>
          <w:rFonts w:hint="eastAsia" w:ascii="宋体" w:hAnsi="宋体" w:cs="宋体"/>
          <w:szCs w:val="21"/>
        </w:rPr>
        <w:t>服务方案；</w:t>
      </w:r>
    </w:p>
    <w:p>
      <w:pPr>
        <w:numPr>
          <w:ilvl w:val="1"/>
          <w:numId w:val="3"/>
        </w:numPr>
        <w:spacing w:line="520" w:lineRule="exact"/>
        <w:rPr>
          <w:rFonts w:ascii="宋体" w:hAnsi="宋体" w:cs="宋体"/>
          <w:szCs w:val="21"/>
        </w:rPr>
      </w:pPr>
      <w:r>
        <w:rPr>
          <w:rFonts w:hint="eastAsia" w:ascii="宋体" w:hAnsi="宋体" w:cs="宋体"/>
          <w:szCs w:val="21"/>
        </w:rPr>
        <w:t>按竞争性磋商文件磋商须知和技术规格要求提供的有关文件；</w:t>
      </w:r>
    </w:p>
    <w:p>
      <w:pPr>
        <w:numPr>
          <w:ilvl w:val="1"/>
          <w:numId w:val="3"/>
        </w:numPr>
        <w:spacing w:line="520" w:lineRule="exact"/>
        <w:rPr>
          <w:rFonts w:ascii="宋体" w:hAnsi="宋体" w:cs="宋体"/>
          <w:szCs w:val="21"/>
        </w:rPr>
      </w:pPr>
      <w:r>
        <w:rPr>
          <w:rFonts w:hint="eastAsia" w:ascii="宋体" w:hAnsi="宋体" w:cs="宋体"/>
          <w:szCs w:val="21"/>
        </w:rPr>
        <w:t>资格证明文件。</w:t>
      </w:r>
    </w:p>
    <w:p>
      <w:pPr>
        <w:spacing w:line="520" w:lineRule="exact"/>
        <w:ind w:left="420"/>
        <w:rPr>
          <w:rFonts w:ascii="宋体" w:hAnsi="宋体" w:cs="宋体"/>
          <w:szCs w:val="21"/>
        </w:rPr>
      </w:pPr>
      <w:r>
        <w:rPr>
          <w:rFonts w:hint="eastAsia" w:ascii="宋体" w:hAnsi="宋体" w:cs="宋体"/>
          <w:szCs w:val="21"/>
        </w:rPr>
        <w:t>因此，授权代表宣布同意如下：</w:t>
      </w:r>
    </w:p>
    <w:p>
      <w:pPr>
        <w:numPr>
          <w:ilvl w:val="0"/>
          <w:numId w:val="4"/>
        </w:numPr>
        <w:spacing w:line="520" w:lineRule="exact"/>
        <w:rPr>
          <w:rFonts w:ascii="宋体" w:hAnsi="宋体" w:cs="宋体"/>
          <w:szCs w:val="21"/>
        </w:rPr>
      </w:pPr>
      <w:r>
        <w:rPr>
          <w:rFonts w:hint="eastAsia" w:ascii="宋体" w:hAnsi="宋体" w:cs="宋体"/>
          <w:szCs w:val="21"/>
        </w:rPr>
        <w:t>将按竞争性磋商文件的约定履行合同责任和义务；</w:t>
      </w:r>
    </w:p>
    <w:p>
      <w:pPr>
        <w:numPr>
          <w:ilvl w:val="0"/>
          <w:numId w:val="4"/>
        </w:numPr>
        <w:spacing w:line="520" w:lineRule="exact"/>
        <w:rPr>
          <w:rFonts w:ascii="宋体" w:hAnsi="宋体" w:cs="宋体"/>
          <w:szCs w:val="21"/>
        </w:rPr>
      </w:pPr>
      <w:r>
        <w:rPr>
          <w:rFonts w:hint="eastAsia" w:ascii="宋体" w:hAnsi="宋体" w:cs="宋体"/>
          <w:szCs w:val="21"/>
        </w:rPr>
        <w:t>已详细审查全部竞争性磋商文件，包括</w:t>
      </w:r>
      <w:r>
        <w:rPr>
          <w:rFonts w:hint="eastAsia" w:ascii="宋体" w:hAnsi="宋体" w:cs="宋体"/>
          <w:szCs w:val="21"/>
          <w:u w:val="single"/>
        </w:rPr>
        <w:t>(补遗文件)（如果有的话）；</w:t>
      </w:r>
      <w:r>
        <w:rPr>
          <w:rFonts w:hint="eastAsia" w:ascii="宋体" w:hAnsi="宋体" w:cs="宋体"/>
          <w:szCs w:val="21"/>
        </w:rPr>
        <w:t>我们完全理解并同意放弃对这方面有不明及误解的权力；</w:t>
      </w:r>
    </w:p>
    <w:p>
      <w:pPr>
        <w:numPr>
          <w:ilvl w:val="0"/>
          <w:numId w:val="4"/>
        </w:numPr>
        <w:spacing w:line="520" w:lineRule="exact"/>
        <w:rPr>
          <w:rFonts w:ascii="宋体" w:hAnsi="宋体" w:cs="宋体"/>
          <w:szCs w:val="21"/>
        </w:rPr>
      </w:pPr>
      <w:r>
        <w:rPr>
          <w:rFonts w:hint="eastAsia" w:ascii="宋体" w:hAnsi="宋体" w:cs="宋体"/>
          <w:szCs w:val="21"/>
        </w:rPr>
        <w:t>同意提供按照贵方可能要求的与其磋商有关的一切数据或资料；</w:t>
      </w:r>
    </w:p>
    <w:p>
      <w:pPr>
        <w:numPr>
          <w:ilvl w:val="0"/>
          <w:numId w:val="4"/>
        </w:numPr>
        <w:spacing w:line="520" w:lineRule="exact"/>
        <w:rPr>
          <w:rFonts w:ascii="宋体" w:hAnsi="宋体" w:cs="宋体"/>
          <w:szCs w:val="21"/>
        </w:rPr>
      </w:pPr>
      <w:r>
        <w:rPr>
          <w:rFonts w:hint="eastAsia" w:ascii="宋体" w:hAnsi="宋体" w:cs="宋体"/>
          <w:szCs w:val="21"/>
        </w:rPr>
        <w:t>与本磋商有关的一切正式往来信函请寄：</w:t>
      </w:r>
      <w:r>
        <w:rPr>
          <w:rFonts w:hint="eastAsia" w:ascii="宋体" w:hAnsi="宋体" w:cs="宋体"/>
          <w:szCs w:val="21"/>
          <w:u w:val="single"/>
        </w:rPr>
        <w:t xml:space="preserve">                                 </w:t>
      </w:r>
    </w:p>
    <w:p>
      <w:pPr>
        <w:spacing w:line="520" w:lineRule="exact"/>
        <w:ind w:left="420"/>
        <w:rPr>
          <w:rFonts w:ascii="宋体" w:hAnsi="宋体" w:cs="宋体"/>
          <w:szCs w:val="21"/>
          <w:u w:val="single"/>
        </w:rPr>
      </w:pPr>
      <w:r>
        <w:rPr>
          <w:rFonts w:hint="eastAsia" w:ascii="宋体" w:hAnsi="宋体" w:cs="宋体"/>
          <w:szCs w:val="21"/>
        </w:rPr>
        <w:t>电话/传真：</w:t>
      </w:r>
      <w:r>
        <w:rPr>
          <w:rFonts w:hint="eastAsia" w:ascii="宋体" w:hAnsi="宋体" w:cs="宋体"/>
          <w:szCs w:val="21"/>
          <w:u w:val="single"/>
        </w:rPr>
        <w:t xml:space="preserve">                               </w:t>
      </w:r>
      <w:r>
        <w:rPr>
          <w:rFonts w:hint="eastAsia" w:ascii="宋体" w:hAnsi="宋体" w:cs="宋体"/>
          <w:szCs w:val="21"/>
        </w:rPr>
        <w:t xml:space="preserve"> 电子函件：</w:t>
      </w:r>
      <w:r>
        <w:rPr>
          <w:rFonts w:hint="eastAsia" w:ascii="宋体" w:hAnsi="宋体" w:cs="宋体"/>
          <w:szCs w:val="21"/>
          <w:u w:val="single"/>
        </w:rPr>
        <w:t xml:space="preserve">              </w:t>
      </w:r>
    </w:p>
    <w:p>
      <w:pPr>
        <w:spacing w:line="520" w:lineRule="exact"/>
        <w:ind w:left="420"/>
        <w:rPr>
          <w:rFonts w:ascii="宋体" w:hAnsi="宋体" w:cs="宋体"/>
          <w:szCs w:val="21"/>
          <w:u w:val="single"/>
        </w:rPr>
      </w:pPr>
      <w:r>
        <w:rPr>
          <w:rFonts w:hint="eastAsia" w:ascii="宋体" w:hAnsi="宋体" w:cs="宋体"/>
          <w:szCs w:val="21"/>
        </w:rPr>
        <w:t>日期：</w:t>
      </w:r>
      <w:r>
        <w:rPr>
          <w:rFonts w:hint="eastAsia" w:ascii="宋体" w:hAnsi="宋体" w:cs="宋体"/>
          <w:szCs w:val="21"/>
          <w:u w:val="single"/>
        </w:rPr>
        <w:t xml:space="preserve">      年    月     日</w:t>
      </w:r>
    </w:p>
    <w:p>
      <w:pPr>
        <w:spacing w:line="520" w:lineRule="exact"/>
        <w:ind w:left="420"/>
        <w:rPr>
          <w:rFonts w:ascii="宋体" w:hAnsi="宋体" w:cs="宋体"/>
          <w:szCs w:val="21"/>
          <w:u w:val="single"/>
        </w:rPr>
      </w:pPr>
      <w:r>
        <w:rPr>
          <w:rFonts w:hint="eastAsia" w:ascii="宋体" w:hAnsi="宋体" w:cs="宋体"/>
          <w:szCs w:val="21"/>
        </w:rPr>
        <w:t>磋商供应商或授权代表签字</w:t>
      </w:r>
      <w:r>
        <w:rPr>
          <w:rFonts w:hint="eastAsia" w:ascii="宋体" w:hAnsi="宋体" w:cs="宋体"/>
          <w:szCs w:val="21"/>
          <w:u w:val="single"/>
        </w:rPr>
        <w:t xml:space="preserve">：                               </w:t>
      </w:r>
      <w:r>
        <w:rPr>
          <w:rFonts w:hint="eastAsia" w:ascii="宋体" w:hAnsi="宋体" w:cs="宋体"/>
          <w:szCs w:val="21"/>
        </w:rPr>
        <w:t xml:space="preserve"> </w:t>
      </w:r>
    </w:p>
    <w:p>
      <w:pPr>
        <w:spacing w:line="520" w:lineRule="exact"/>
        <w:ind w:left="420"/>
        <w:rPr>
          <w:rFonts w:ascii="宋体" w:hAnsi="宋体" w:cs="宋体"/>
          <w:szCs w:val="21"/>
          <w:u w:val="single"/>
        </w:rPr>
      </w:pPr>
      <w:r>
        <w:rPr>
          <w:rFonts w:hint="eastAsia" w:ascii="宋体" w:hAnsi="宋体" w:cs="宋体"/>
          <w:szCs w:val="21"/>
        </w:rPr>
        <w:t>磋商供应商名称（签章）：</w:t>
      </w:r>
      <w:r>
        <w:rPr>
          <w:rFonts w:hint="eastAsia" w:ascii="宋体" w:hAnsi="宋体" w:cs="宋体"/>
          <w:szCs w:val="21"/>
          <w:u w:val="single"/>
        </w:rPr>
        <w:t xml:space="preserve">                                            </w:t>
      </w:r>
    </w:p>
    <w:p>
      <w:pPr>
        <w:spacing w:line="520" w:lineRule="exact"/>
        <w:ind w:left="420"/>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p>
    <w:p>
      <w:pPr>
        <w:spacing w:line="520" w:lineRule="exact"/>
        <w:ind w:left="420"/>
        <w:rPr>
          <w:rFonts w:ascii="宋体" w:hAnsi="宋体" w:cs="宋体"/>
          <w:szCs w:val="21"/>
        </w:rPr>
      </w:pPr>
      <w:r>
        <w:rPr>
          <w:rFonts w:hint="eastAsia" w:ascii="宋体" w:hAnsi="宋体" w:cs="宋体"/>
          <w:szCs w:val="21"/>
        </w:rPr>
        <w:t>账号/行号：</w:t>
      </w:r>
      <w:r>
        <w:rPr>
          <w:rFonts w:hint="eastAsia" w:ascii="宋体" w:hAnsi="宋体" w:cs="宋体"/>
          <w:szCs w:val="21"/>
          <w:u w:val="single"/>
        </w:rPr>
        <w:t xml:space="preserve">                                        </w:t>
      </w:r>
    </w:p>
    <w:p>
      <w:pPr>
        <w:spacing w:line="500" w:lineRule="exact"/>
        <w:rPr>
          <w:rFonts w:ascii="宋体" w:hAnsi="宋体" w:cs="宋体"/>
          <w:b/>
          <w:szCs w:val="21"/>
        </w:rPr>
      </w:pPr>
      <w:r>
        <w:rPr>
          <w:rFonts w:hint="eastAsia" w:ascii="宋体" w:hAnsi="宋体" w:cs="宋体"/>
          <w:sz w:val="24"/>
          <w:u w:val="single"/>
        </w:rPr>
        <w:br w:type="page"/>
      </w:r>
      <w:r>
        <w:rPr>
          <w:rFonts w:hint="eastAsia" w:ascii="宋体" w:hAnsi="宋体" w:cs="宋体"/>
          <w:b/>
          <w:szCs w:val="21"/>
        </w:rPr>
        <w:t xml:space="preserve">附件二             </w:t>
      </w:r>
    </w:p>
    <w:p>
      <w:pPr>
        <w:spacing w:line="500" w:lineRule="exact"/>
        <w:jc w:val="center"/>
        <w:rPr>
          <w:rFonts w:ascii="宋体" w:hAnsi="宋体" w:cs="宋体"/>
          <w:b/>
          <w:sz w:val="32"/>
          <w:szCs w:val="32"/>
        </w:rPr>
      </w:pPr>
      <w:r>
        <w:rPr>
          <w:rFonts w:hint="eastAsia" w:ascii="宋体" w:hAnsi="宋体" w:cs="宋体"/>
          <w:b/>
          <w:sz w:val="32"/>
          <w:szCs w:val="32"/>
        </w:rPr>
        <w:t>报  价  表</w:t>
      </w:r>
    </w:p>
    <w:tbl>
      <w:tblPr>
        <w:tblStyle w:val="18"/>
        <w:tblW w:w="8780" w:type="dxa"/>
        <w:jc w:val="center"/>
        <w:tblLayout w:type="fixed"/>
        <w:tblCellMar>
          <w:top w:w="0" w:type="dxa"/>
          <w:left w:w="0" w:type="dxa"/>
          <w:bottom w:w="0" w:type="dxa"/>
          <w:right w:w="0" w:type="dxa"/>
        </w:tblCellMar>
      </w:tblPr>
      <w:tblGrid>
        <w:gridCol w:w="2006"/>
        <w:gridCol w:w="2594"/>
        <w:gridCol w:w="1892"/>
        <w:gridCol w:w="2288"/>
      </w:tblGrid>
      <w:tr>
        <w:tblPrEx>
          <w:tblCellMar>
            <w:top w:w="0" w:type="dxa"/>
            <w:left w:w="0" w:type="dxa"/>
            <w:bottom w:w="0" w:type="dxa"/>
            <w:right w:w="0" w:type="dxa"/>
          </w:tblCellMar>
        </w:tblPrEx>
        <w:trPr>
          <w:trHeight w:val="1247" w:hRule="exact"/>
          <w:jc w:val="center"/>
        </w:trPr>
        <w:tc>
          <w:tcPr>
            <w:tcW w:w="200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rPr>
            </w:pPr>
            <w:bookmarkStart w:id="55" w:name="OLE_LINK15"/>
            <w:r>
              <w:rPr>
                <w:rFonts w:hint="eastAsia" w:ascii="宋体" w:hAnsi="宋体" w:cs="宋体"/>
              </w:rPr>
              <w:t>项目名称</w:t>
            </w:r>
          </w:p>
        </w:tc>
        <w:tc>
          <w:tcPr>
            <w:tcW w:w="259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rPr>
            </w:pPr>
          </w:p>
        </w:tc>
        <w:tc>
          <w:tcPr>
            <w:tcW w:w="189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rPr>
            </w:pPr>
            <w:r>
              <w:rPr>
                <w:rFonts w:hint="eastAsia" w:ascii="宋体" w:hAnsi="宋体" w:cs="宋体"/>
              </w:rPr>
              <w:t>项目编号</w:t>
            </w:r>
          </w:p>
        </w:tc>
        <w:tc>
          <w:tcPr>
            <w:tcW w:w="2288"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rPr>
            </w:pPr>
          </w:p>
        </w:tc>
      </w:tr>
      <w:tr>
        <w:tblPrEx>
          <w:tblCellMar>
            <w:top w:w="0" w:type="dxa"/>
            <w:left w:w="0" w:type="dxa"/>
            <w:bottom w:w="0" w:type="dxa"/>
            <w:right w:w="0" w:type="dxa"/>
          </w:tblCellMar>
        </w:tblPrEx>
        <w:trPr>
          <w:trHeight w:val="1466" w:hRule="exact"/>
          <w:jc w:val="center"/>
        </w:trPr>
        <w:tc>
          <w:tcPr>
            <w:tcW w:w="200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rPr>
            </w:pPr>
            <w:r>
              <w:rPr>
                <w:rFonts w:hint="eastAsia" w:ascii="宋体" w:hAnsi="宋体" w:cs="宋体"/>
              </w:rPr>
              <w:t>竞标人名称</w:t>
            </w:r>
          </w:p>
        </w:tc>
        <w:tc>
          <w:tcPr>
            <w:tcW w:w="6774"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rPr>
            </w:pPr>
          </w:p>
        </w:tc>
      </w:tr>
      <w:tr>
        <w:tblPrEx>
          <w:tblCellMar>
            <w:top w:w="0" w:type="dxa"/>
            <w:left w:w="0" w:type="dxa"/>
            <w:bottom w:w="0" w:type="dxa"/>
            <w:right w:w="0" w:type="dxa"/>
          </w:tblCellMar>
        </w:tblPrEx>
        <w:trPr>
          <w:trHeight w:val="1414" w:hRule="atLeast"/>
          <w:jc w:val="center"/>
        </w:trPr>
        <w:tc>
          <w:tcPr>
            <w:tcW w:w="200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rPr>
            </w:pPr>
            <w:r>
              <w:rPr>
                <w:rFonts w:hint="eastAsia" w:ascii="宋体" w:hAnsi="宋体" w:cs="宋体"/>
              </w:rPr>
              <w:t>竞标报价</w:t>
            </w:r>
          </w:p>
        </w:tc>
        <w:tc>
          <w:tcPr>
            <w:tcW w:w="6774" w:type="dxa"/>
            <w:gridSpan w:val="3"/>
            <w:tcBorders>
              <w:top w:val="single" w:color="auto" w:sz="8" w:space="0"/>
              <w:left w:val="single" w:color="auto" w:sz="8" w:space="0"/>
              <w:bottom w:val="single" w:color="auto" w:sz="8" w:space="0"/>
              <w:right w:val="single" w:color="auto" w:sz="8" w:space="0"/>
            </w:tcBorders>
            <w:vAlign w:val="center"/>
          </w:tcPr>
          <w:p>
            <w:pPr>
              <w:spacing w:beforeLines="50" w:line="360" w:lineRule="auto"/>
              <w:ind w:firstLine="316" w:firstLineChars="150"/>
              <w:rPr>
                <w:rFonts w:ascii="宋体" w:hAnsi="宋体" w:cs="宋体"/>
                <w:b/>
              </w:rPr>
            </w:pPr>
          </w:p>
        </w:tc>
      </w:tr>
      <w:tr>
        <w:tblPrEx>
          <w:tblCellMar>
            <w:top w:w="0" w:type="dxa"/>
            <w:left w:w="0" w:type="dxa"/>
            <w:bottom w:w="0" w:type="dxa"/>
            <w:right w:w="0" w:type="dxa"/>
          </w:tblCellMar>
        </w:tblPrEx>
        <w:trPr>
          <w:trHeight w:val="1414" w:hRule="atLeast"/>
          <w:jc w:val="center"/>
        </w:trPr>
        <w:tc>
          <w:tcPr>
            <w:tcW w:w="2006" w:type="dxa"/>
            <w:tcBorders>
              <w:top w:val="single" w:color="auto" w:sz="8" w:space="0"/>
              <w:left w:val="single" w:color="auto" w:sz="8" w:space="0"/>
              <w:bottom w:val="single" w:color="auto" w:sz="4" w:space="0"/>
              <w:right w:val="single" w:color="auto" w:sz="8" w:space="0"/>
            </w:tcBorders>
            <w:vAlign w:val="center"/>
          </w:tcPr>
          <w:p>
            <w:pPr>
              <w:jc w:val="center"/>
              <w:rPr>
                <w:rFonts w:ascii="宋体" w:hAnsi="宋体" w:cs="宋体"/>
              </w:rPr>
            </w:pPr>
            <w:r>
              <w:rPr>
                <w:rFonts w:hint="eastAsia" w:ascii="宋体" w:hAnsi="宋体" w:cs="宋体"/>
              </w:rPr>
              <w:t>服务时间</w:t>
            </w:r>
          </w:p>
        </w:tc>
        <w:tc>
          <w:tcPr>
            <w:tcW w:w="6774" w:type="dxa"/>
            <w:gridSpan w:val="3"/>
            <w:tcBorders>
              <w:top w:val="single" w:color="auto" w:sz="8" w:space="0"/>
              <w:left w:val="single" w:color="auto" w:sz="8" w:space="0"/>
              <w:bottom w:val="single" w:color="auto" w:sz="4" w:space="0"/>
              <w:right w:val="single" w:color="auto" w:sz="8" w:space="0"/>
            </w:tcBorders>
            <w:vAlign w:val="center"/>
          </w:tcPr>
          <w:p>
            <w:pPr>
              <w:spacing w:beforeLines="50" w:line="360" w:lineRule="auto"/>
              <w:ind w:firstLine="316" w:firstLineChars="150"/>
              <w:rPr>
                <w:rFonts w:ascii="宋体" w:hAnsi="宋体" w:cs="宋体"/>
                <w:b/>
              </w:rPr>
            </w:pPr>
          </w:p>
        </w:tc>
      </w:tr>
      <w:bookmarkEnd w:id="55"/>
    </w:tbl>
    <w:p>
      <w:pPr>
        <w:spacing w:line="500" w:lineRule="exact"/>
        <w:jc w:val="center"/>
        <w:rPr>
          <w:rFonts w:ascii="宋体" w:hAnsi="宋体" w:cs="宋体"/>
          <w:b/>
          <w:sz w:val="32"/>
          <w:szCs w:val="32"/>
        </w:rPr>
      </w:pPr>
    </w:p>
    <w:p>
      <w:pPr>
        <w:spacing w:line="500" w:lineRule="exact"/>
        <w:jc w:val="center"/>
        <w:rPr>
          <w:rFonts w:ascii="宋体" w:hAnsi="宋体" w:cs="宋体"/>
          <w:b/>
          <w:sz w:val="32"/>
          <w:szCs w:val="32"/>
        </w:rPr>
      </w:pPr>
    </w:p>
    <w:p>
      <w:pPr>
        <w:spacing w:line="500" w:lineRule="exact"/>
        <w:rPr>
          <w:rFonts w:ascii="宋体" w:hAnsi="宋体" w:cs="宋体"/>
          <w:szCs w:val="21"/>
        </w:rPr>
      </w:pPr>
    </w:p>
    <w:p>
      <w:pPr>
        <w:spacing w:line="500" w:lineRule="exact"/>
        <w:rPr>
          <w:rFonts w:ascii="宋体" w:hAnsi="宋体" w:cs="宋体"/>
          <w:szCs w:val="21"/>
        </w:rPr>
      </w:pPr>
      <w:r>
        <w:rPr>
          <w:rFonts w:hint="eastAsia" w:ascii="宋体" w:hAnsi="宋体" w:cs="宋体"/>
          <w:szCs w:val="21"/>
        </w:rPr>
        <w:t>注：所有价格均用人民币表示，单位为元，精确到个位数。</w:t>
      </w:r>
    </w:p>
    <w:p>
      <w:pPr>
        <w:pStyle w:val="10"/>
        <w:spacing w:line="500" w:lineRule="exact"/>
        <w:rPr>
          <w:rFonts w:hAnsi="宋体" w:cs="宋体"/>
          <w:u w:val="single"/>
        </w:rPr>
      </w:pPr>
      <w:r>
        <w:rPr>
          <w:rFonts w:hint="eastAsia" w:hAnsi="宋体" w:cs="宋体"/>
        </w:rPr>
        <w:t>法定代表人或授权代表（签字）:</w:t>
      </w:r>
      <w:r>
        <w:rPr>
          <w:rFonts w:hint="eastAsia" w:hAnsi="宋体" w:cs="宋体"/>
          <w:u w:val="single"/>
        </w:rPr>
        <w:t xml:space="preserve">              </w:t>
      </w:r>
    </w:p>
    <w:p>
      <w:pPr>
        <w:pStyle w:val="10"/>
        <w:spacing w:line="500" w:lineRule="exact"/>
        <w:rPr>
          <w:rFonts w:hAnsi="宋体" w:cs="宋体"/>
          <w:u w:val="single"/>
        </w:rPr>
      </w:pPr>
      <w:r>
        <w:rPr>
          <w:rFonts w:hint="eastAsia" w:hAnsi="宋体" w:cs="宋体"/>
        </w:rPr>
        <w:t>磋商供应商名称（签章）：</w:t>
      </w:r>
      <w:r>
        <w:rPr>
          <w:rFonts w:hint="eastAsia" w:hAnsi="宋体" w:cs="宋体"/>
          <w:u w:val="single"/>
        </w:rPr>
        <w:t xml:space="preserve">                              </w:t>
      </w:r>
    </w:p>
    <w:p>
      <w:pPr>
        <w:pStyle w:val="10"/>
        <w:spacing w:line="500" w:lineRule="exact"/>
        <w:rPr>
          <w:rFonts w:hAnsi="宋体" w:cs="宋体"/>
          <w:u w:val="single"/>
        </w:rPr>
      </w:pPr>
      <w:r>
        <w:rPr>
          <w:rFonts w:hint="eastAsia" w:hAnsi="宋体" w:cs="宋体"/>
        </w:rPr>
        <w:t>报价时间：</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 xml:space="preserve">日 </w:t>
      </w:r>
    </w:p>
    <w:p>
      <w:pPr>
        <w:adjustRightInd w:val="0"/>
        <w:snapToGrid w:val="0"/>
        <w:spacing w:line="300" w:lineRule="auto"/>
        <w:ind w:left="-88" w:leftChars="-42"/>
        <w:rPr>
          <w:rFonts w:ascii="宋体" w:hAnsi="宋体" w:cs="宋体"/>
          <w:b/>
          <w:szCs w:val="21"/>
        </w:rPr>
      </w:pPr>
      <w:r>
        <w:rPr>
          <w:rFonts w:hint="eastAsia" w:ascii="宋体" w:hAnsi="宋体" w:cs="宋体"/>
          <w:szCs w:val="21"/>
        </w:rPr>
        <w:br w:type="page"/>
      </w:r>
      <w:r>
        <w:rPr>
          <w:rFonts w:hint="eastAsia" w:ascii="宋体" w:hAnsi="宋体" w:cs="宋体"/>
          <w:b/>
          <w:szCs w:val="21"/>
        </w:rPr>
        <w:t xml:space="preserve">附件三  </w:t>
      </w:r>
    </w:p>
    <w:p>
      <w:pPr>
        <w:adjustRightInd w:val="0"/>
        <w:snapToGrid w:val="0"/>
        <w:spacing w:line="300" w:lineRule="auto"/>
        <w:ind w:left="-88" w:leftChars="-42"/>
        <w:jc w:val="center"/>
        <w:rPr>
          <w:rFonts w:ascii="宋体" w:hAnsi="宋体" w:cs="宋体"/>
          <w:b/>
          <w:sz w:val="32"/>
          <w:szCs w:val="32"/>
        </w:rPr>
      </w:pPr>
      <w:r>
        <w:rPr>
          <w:rFonts w:hint="eastAsia" w:ascii="宋体" w:hAnsi="宋体" w:cs="宋体"/>
          <w:b/>
          <w:sz w:val="32"/>
          <w:szCs w:val="32"/>
        </w:rPr>
        <w:t>分 项 报 价 表</w:t>
      </w:r>
    </w:p>
    <w:p>
      <w:pPr>
        <w:adjustRightInd w:val="0"/>
        <w:snapToGrid w:val="0"/>
        <w:spacing w:line="300" w:lineRule="auto"/>
        <w:ind w:left="-88" w:leftChars="-42"/>
        <w:jc w:val="center"/>
        <w:rPr>
          <w:rFonts w:ascii="宋体" w:hAnsi="宋体" w:cs="宋体"/>
          <w:sz w:val="28"/>
          <w:szCs w:val="28"/>
        </w:rPr>
      </w:pPr>
    </w:p>
    <w:p>
      <w:pPr>
        <w:spacing w:line="300" w:lineRule="auto"/>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single"/>
        </w:rPr>
        <w:t xml:space="preserve">                 </w:t>
      </w:r>
    </w:p>
    <w:p>
      <w:pPr>
        <w:spacing w:line="300" w:lineRule="auto"/>
        <w:rPr>
          <w:rFonts w:ascii="宋体" w:hAnsi="宋体" w:cs="宋体"/>
          <w:szCs w:val="21"/>
          <w:u w:val="single"/>
        </w:rPr>
      </w:pPr>
      <w:r>
        <w:rPr>
          <w:rFonts w:hint="eastAsia" w:ascii="宋体" w:hAnsi="宋体" w:cs="宋体"/>
          <w:szCs w:val="21"/>
        </w:rPr>
        <w:t>采购项目名称:</w:t>
      </w:r>
      <w:r>
        <w:rPr>
          <w:rFonts w:hint="eastAsia" w:ascii="宋体" w:hAnsi="宋体" w:cs="宋体"/>
          <w:szCs w:val="21"/>
          <w:u w:val="single"/>
        </w:rPr>
        <w:t xml:space="preserve">                 </w:t>
      </w:r>
    </w:p>
    <w:p>
      <w:pPr>
        <w:pStyle w:val="24"/>
      </w:pPr>
    </w:p>
    <w:tbl>
      <w:tblPr>
        <w:tblStyle w:val="18"/>
        <w:tblW w:w="808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7"/>
        <w:gridCol w:w="2527"/>
        <w:gridCol w:w="2989"/>
        <w:gridCol w:w="857"/>
        <w:gridCol w:w="92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87" w:type="dxa"/>
            <w:tcBorders>
              <w:top w:val="single" w:color="auto" w:sz="4" w:space="0"/>
              <w:left w:val="single" w:color="auto" w:sz="4" w:space="0"/>
              <w:bottom w:val="single" w:color="auto" w:sz="6" w:space="0"/>
              <w:right w:val="single" w:color="auto" w:sz="6" w:space="0"/>
            </w:tcBorders>
            <w:vAlign w:val="center"/>
          </w:tcPr>
          <w:p>
            <w:pPr>
              <w:adjustRightInd w:val="0"/>
              <w:snapToGrid w:val="0"/>
              <w:spacing w:line="300" w:lineRule="auto"/>
              <w:ind w:left="-88" w:leftChars="-42"/>
              <w:jc w:val="center"/>
              <w:rPr>
                <w:rFonts w:ascii="宋体" w:hAnsi="宋体" w:cs="宋体"/>
                <w:szCs w:val="21"/>
              </w:rPr>
            </w:pPr>
            <w:r>
              <w:rPr>
                <w:rFonts w:hint="eastAsia" w:ascii="宋体" w:hAnsi="宋体" w:cs="宋体"/>
                <w:szCs w:val="21"/>
              </w:rPr>
              <w:t xml:space="preserve">                       序号</w:t>
            </w:r>
          </w:p>
        </w:tc>
        <w:tc>
          <w:tcPr>
            <w:tcW w:w="2527"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300" w:lineRule="auto"/>
              <w:ind w:left="-88" w:leftChars="-42"/>
              <w:jc w:val="center"/>
              <w:rPr>
                <w:rFonts w:ascii="宋体" w:hAnsi="宋体" w:cs="宋体"/>
                <w:szCs w:val="21"/>
              </w:rPr>
            </w:pPr>
            <w:r>
              <w:rPr>
                <w:rFonts w:hint="eastAsia" w:ascii="宋体" w:hAnsi="宋体" w:cs="宋体"/>
                <w:szCs w:val="21"/>
              </w:rPr>
              <w:t>服务项目</w:t>
            </w:r>
          </w:p>
        </w:tc>
        <w:tc>
          <w:tcPr>
            <w:tcW w:w="2989"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s="宋体"/>
                <w:szCs w:val="21"/>
              </w:rPr>
            </w:pPr>
            <w:r>
              <w:rPr>
                <w:rFonts w:hint="eastAsia" w:ascii="宋体" w:hAnsi="宋体" w:cs="宋体"/>
                <w:szCs w:val="21"/>
              </w:rPr>
              <w:t>服务时间</w:t>
            </w:r>
          </w:p>
        </w:tc>
        <w:tc>
          <w:tcPr>
            <w:tcW w:w="857" w:type="dxa"/>
            <w:tcBorders>
              <w:top w:val="single" w:color="auto" w:sz="4"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s="宋体"/>
                <w:szCs w:val="21"/>
              </w:rPr>
            </w:pPr>
            <w:r>
              <w:rPr>
                <w:rFonts w:hint="eastAsia" w:ascii="宋体" w:hAnsi="宋体" w:cs="宋体"/>
                <w:szCs w:val="21"/>
              </w:rPr>
              <w:t>单价</w:t>
            </w:r>
          </w:p>
        </w:tc>
        <w:tc>
          <w:tcPr>
            <w:tcW w:w="923" w:type="dxa"/>
            <w:tcBorders>
              <w:top w:val="single" w:color="auto" w:sz="4" w:space="0"/>
              <w:left w:val="single" w:color="auto" w:sz="6" w:space="0"/>
              <w:bottom w:val="single" w:color="auto" w:sz="6" w:space="0"/>
              <w:right w:val="single" w:color="auto" w:sz="4" w:space="0"/>
            </w:tcBorders>
            <w:vAlign w:val="center"/>
          </w:tcPr>
          <w:p>
            <w:pPr>
              <w:adjustRightInd w:val="0"/>
              <w:snapToGrid w:val="0"/>
              <w:spacing w:line="300" w:lineRule="auto"/>
              <w:jc w:val="center"/>
              <w:rPr>
                <w:rFonts w:ascii="宋体" w:hAnsi="宋体" w:cs="宋体"/>
                <w:szCs w:val="21"/>
              </w:rPr>
            </w:pPr>
            <w:r>
              <w:rPr>
                <w:rFonts w:hint="eastAsia" w:ascii="宋体" w:hAnsi="宋体" w:cs="宋体"/>
                <w:szCs w:val="21"/>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78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00" w:lineRule="auto"/>
              <w:ind w:left="-88" w:leftChars="-42"/>
              <w:jc w:val="center"/>
              <w:rPr>
                <w:rFonts w:ascii="宋体" w:hAnsi="宋体" w:cs="宋体"/>
                <w:szCs w:val="21"/>
              </w:rPr>
            </w:pPr>
            <w:r>
              <w:rPr>
                <w:rFonts w:hint="eastAsia" w:ascii="宋体" w:hAnsi="宋体" w:cs="宋体"/>
                <w:szCs w:val="21"/>
              </w:rPr>
              <w:t>1</w:t>
            </w:r>
          </w:p>
        </w:tc>
        <w:tc>
          <w:tcPr>
            <w:tcW w:w="25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ind w:left="-88" w:leftChars="-42"/>
              <w:jc w:val="center"/>
              <w:rPr>
                <w:rFonts w:ascii="宋体" w:hAnsi="宋体" w:cs="宋体"/>
                <w:szCs w:val="21"/>
              </w:rPr>
            </w:pPr>
            <w:r>
              <w:rPr>
                <w:rFonts w:hint="eastAsia" w:ascii="宋体" w:hAnsi="宋体" w:cs="宋体"/>
                <w:szCs w:val="21"/>
              </w:rPr>
              <w:t>主要服务</w:t>
            </w:r>
          </w:p>
        </w:tc>
        <w:tc>
          <w:tcPr>
            <w:tcW w:w="298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s="宋体"/>
                <w:szCs w:val="21"/>
              </w:rPr>
            </w:pPr>
          </w:p>
        </w:tc>
        <w:tc>
          <w:tcPr>
            <w:tcW w:w="85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s="宋体"/>
                <w:szCs w:val="21"/>
              </w:rPr>
            </w:pPr>
          </w:p>
        </w:tc>
        <w:tc>
          <w:tcPr>
            <w:tcW w:w="923"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0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8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00" w:lineRule="auto"/>
              <w:ind w:left="-88" w:leftChars="-42"/>
              <w:jc w:val="center"/>
              <w:rPr>
                <w:rFonts w:ascii="宋体" w:hAnsi="宋体" w:cs="宋体"/>
                <w:szCs w:val="21"/>
              </w:rPr>
            </w:pPr>
            <w:r>
              <w:rPr>
                <w:rFonts w:hint="eastAsia" w:ascii="宋体" w:hAnsi="宋体" w:cs="宋体"/>
                <w:szCs w:val="21"/>
              </w:rPr>
              <w:t>2</w:t>
            </w:r>
          </w:p>
        </w:tc>
        <w:tc>
          <w:tcPr>
            <w:tcW w:w="25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ind w:left="-88" w:leftChars="-42"/>
              <w:rPr>
                <w:rFonts w:ascii="宋体" w:hAnsi="宋体" w:cs="宋体"/>
                <w:szCs w:val="21"/>
              </w:rPr>
            </w:pPr>
          </w:p>
        </w:tc>
        <w:tc>
          <w:tcPr>
            <w:tcW w:w="298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s="宋体"/>
                <w:szCs w:val="21"/>
              </w:rPr>
            </w:pPr>
          </w:p>
        </w:tc>
        <w:tc>
          <w:tcPr>
            <w:tcW w:w="85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s="宋体"/>
                <w:szCs w:val="21"/>
              </w:rPr>
            </w:pPr>
          </w:p>
        </w:tc>
        <w:tc>
          <w:tcPr>
            <w:tcW w:w="923"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0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8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00" w:lineRule="auto"/>
              <w:ind w:left="-88" w:leftChars="-42"/>
              <w:jc w:val="center"/>
              <w:rPr>
                <w:rFonts w:ascii="宋体" w:hAnsi="宋体" w:cs="宋体"/>
                <w:szCs w:val="21"/>
              </w:rPr>
            </w:pPr>
            <w:r>
              <w:rPr>
                <w:rFonts w:hint="eastAsia" w:ascii="宋体" w:hAnsi="宋体" w:cs="宋体"/>
                <w:szCs w:val="21"/>
              </w:rPr>
              <w:t>3</w:t>
            </w:r>
          </w:p>
        </w:tc>
        <w:tc>
          <w:tcPr>
            <w:tcW w:w="25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ind w:left="-88" w:leftChars="-42"/>
              <w:rPr>
                <w:rFonts w:ascii="宋体" w:hAnsi="宋体" w:cs="宋体"/>
                <w:szCs w:val="21"/>
              </w:rPr>
            </w:pPr>
          </w:p>
        </w:tc>
        <w:tc>
          <w:tcPr>
            <w:tcW w:w="298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s="宋体"/>
                <w:szCs w:val="21"/>
              </w:rPr>
            </w:pPr>
          </w:p>
        </w:tc>
        <w:tc>
          <w:tcPr>
            <w:tcW w:w="85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s="宋体"/>
                <w:szCs w:val="21"/>
              </w:rPr>
            </w:pPr>
          </w:p>
        </w:tc>
        <w:tc>
          <w:tcPr>
            <w:tcW w:w="923"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0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78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00" w:lineRule="auto"/>
              <w:ind w:left="-88" w:leftChars="-42"/>
              <w:jc w:val="center"/>
              <w:rPr>
                <w:rFonts w:ascii="宋体" w:hAnsi="宋体" w:cs="宋体"/>
                <w:szCs w:val="21"/>
              </w:rPr>
            </w:pPr>
            <w:r>
              <w:rPr>
                <w:rFonts w:hint="eastAsia" w:ascii="宋体" w:hAnsi="宋体" w:cs="宋体"/>
                <w:szCs w:val="21"/>
              </w:rPr>
              <w:t>4</w:t>
            </w:r>
          </w:p>
        </w:tc>
        <w:tc>
          <w:tcPr>
            <w:tcW w:w="25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ind w:left="-88" w:leftChars="-42"/>
              <w:rPr>
                <w:rFonts w:ascii="宋体" w:hAnsi="宋体" w:cs="宋体"/>
                <w:szCs w:val="21"/>
              </w:rPr>
            </w:pPr>
          </w:p>
        </w:tc>
        <w:tc>
          <w:tcPr>
            <w:tcW w:w="298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s="宋体"/>
                <w:szCs w:val="21"/>
              </w:rPr>
            </w:pPr>
          </w:p>
        </w:tc>
        <w:tc>
          <w:tcPr>
            <w:tcW w:w="85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s="宋体"/>
                <w:szCs w:val="21"/>
              </w:rPr>
            </w:pPr>
          </w:p>
        </w:tc>
        <w:tc>
          <w:tcPr>
            <w:tcW w:w="923"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0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87" w:type="dxa"/>
            <w:tcBorders>
              <w:top w:val="single" w:color="auto" w:sz="6" w:space="0"/>
              <w:left w:val="single" w:color="auto" w:sz="4" w:space="0"/>
              <w:bottom w:val="single" w:color="auto" w:sz="6" w:space="0"/>
              <w:right w:val="single" w:color="auto" w:sz="6" w:space="0"/>
            </w:tcBorders>
            <w:vAlign w:val="center"/>
          </w:tcPr>
          <w:p>
            <w:pPr>
              <w:adjustRightInd w:val="0"/>
              <w:snapToGrid w:val="0"/>
              <w:spacing w:line="300" w:lineRule="auto"/>
              <w:ind w:left="-88" w:leftChars="-42"/>
              <w:jc w:val="center"/>
              <w:rPr>
                <w:rFonts w:ascii="宋体" w:hAnsi="宋体" w:cs="宋体"/>
                <w:szCs w:val="21"/>
              </w:rPr>
            </w:pPr>
            <w:r>
              <w:rPr>
                <w:rFonts w:hint="eastAsia" w:ascii="宋体" w:hAnsi="宋体" w:cs="宋体"/>
                <w:szCs w:val="21"/>
              </w:rPr>
              <w:t>5</w:t>
            </w:r>
          </w:p>
        </w:tc>
        <w:tc>
          <w:tcPr>
            <w:tcW w:w="252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ind w:left="-88" w:leftChars="-42"/>
              <w:rPr>
                <w:rFonts w:ascii="宋体" w:hAnsi="宋体" w:cs="宋体"/>
                <w:szCs w:val="21"/>
              </w:rPr>
            </w:pPr>
            <w:r>
              <w:rPr>
                <w:rFonts w:hint="eastAsia" w:ascii="宋体" w:hAnsi="宋体" w:cs="宋体"/>
                <w:szCs w:val="21"/>
              </w:rPr>
              <w:t>其它</w:t>
            </w:r>
          </w:p>
        </w:tc>
        <w:tc>
          <w:tcPr>
            <w:tcW w:w="298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s="宋体"/>
                <w:szCs w:val="21"/>
              </w:rPr>
            </w:pPr>
          </w:p>
        </w:tc>
        <w:tc>
          <w:tcPr>
            <w:tcW w:w="85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auto"/>
              <w:jc w:val="center"/>
              <w:rPr>
                <w:rFonts w:ascii="宋体" w:hAnsi="宋体" w:cs="宋体"/>
                <w:szCs w:val="21"/>
              </w:rPr>
            </w:pPr>
          </w:p>
        </w:tc>
        <w:tc>
          <w:tcPr>
            <w:tcW w:w="923" w:type="dxa"/>
            <w:tcBorders>
              <w:top w:val="single" w:color="auto" w:sz="6" w:space="0"/>
              <w:left w:val="single" w:color="auto" w:sz="6" w:space="0"/>
              <w:bottom w:val="single" w:color="auto" w:sz="6" w:space="0"/>
              <w:right w:val="single" w:color="auto" w:sz="4" w:space="0"/>
            </w:tcBorders>
            <w:vAlign w:val="center"/>
          </w:tcPr>
          <w:p>
            <w:pPr>
              <w:adjustRightInd w:val="0"/>
              <w:snapToGrid w:val="0"/>
              <w:spacing w:line="30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8083" w:type="dxa"/>
            <w:gridSpan w:val="5"/>
            <w:tcBorders>
              <w:top w:val="single" w:color="auto" w:sz="6" w:space="0"/>
              <w:left w:val="single" w:color="auto" w:sz="4" w:space="0"/>
              <w:bottom w:val="single" w:color="auto" w:sz="4" w:space="0"/>
              <w:right w:val="single" w:color="auto" w:sz="4" w:space="0"/>
            </w:tcBorders>
            <w:vAlign w:val="center"/>
          </w:tcPr>
          <w:p>
            <w:pPr>
              <w:adjustRightInd w:val="0"/>
              <w:snapToGrid w:val="0"/>
              <w:spacing w:line="300" w:lineRule="auto"/>
              <w:rPr>
                <w:rFonts w:ascii="宋体" w:hAnsi="宋体" w:cs="宋体"/>
                <w:szCs w:val="21"/>
              </w:rPr>
            </w:pPr>
            <w:r>
              <w:rPr>
                <w:rFonts w:hint="eastAsia" w:ascii="宋体" w:hAnsi="宋体" w:cs="宋体"/>
                <w:szCs w:val="21"/>
              </w:rPr>
              <w:t>总计：</w:t>
            </w:r>
          </w:p>
        </w:tc>
      </w:tr>
    </w:tbl>
    <w:p>
      <w:pPr>
        <w:adjustRightInd w:val="0"/>
        <w:snapToGrid w:val="0"/>
        <w:spacing w:line="300" w:lineRule="auto"/>
        <w:ind w:left="-88" w:leftChars="-42" w:firstLine="140"/>
        <w:rPr>
          <w:rFonts w:ascii="宋体" w:hAnsi="宋体" w:cs="宋体"/>
          <w:szCs w:val="21"/>
        </w:rPr>
      </w:pPr>
    </w:p>
    <w:p>
      <w:pPr>
        <w:pStyle w:val="24"/>
      </w:pPr>
    </w:p>
    <w:p>
      <w:pPr>
        <w:adjustRightInd w:val="0"/>
        <w:snapToGrid w:val="0"/>
        <w:spacing w:line="300" w:lineRule="auto"/>
        <w:ind w:left="-88" w:leftChars="-42" w:firstLine="140"/>
        <w:rPr>
          <w:rFonts w:ascii="宋体" w:hAnsi="宋体" w:cs="宋体"/>
          <w:szCs w:val="21"/>
        </w:rPr>
      </w:pPr>
      <w:r>
        <w:rPr>
          <w:rFonts w:hint="eastAsia" w:ascii="宋体" w:hAnsi="宋体" w:cs="宋体"/>
          <w:szCs w:val="21"/>
        </w:rPr>
        <w:t>说明：1、分项报价总计价格必须与报价表一致。</w:t>
      </w:r>
    </w:p>
    <w:p>
      <w:pPr>
        <w:adjustRightInd w:val="0"/>
        <w:snapToGrid w:val="0"/>
        <w:spacing w:line="300" w:lineRule="auto"/>
        <w:ind w:firstLine="630" w:firstLineChars="300"/>
        <w:rPr>
          <w:rFonts w:ascii="宋体" w:hAnsi="宋体" w:cs="宋体"/>
          <w:szCs w:val="21"/>
        </w:rPr>
      </w:pPr>
      <w:r>
        <w:rPr>
          <w:rFonts w:hint="eastAsia" w:ascii="宋体" w:hAnsi="宋体" w:cs="宋体"/>
          <w:szCs w:val="21"/>
        </w:rPr>
        <w:t>2、如果不提供详细的分项报价表将被视为没有实质性响应竞争性磋商文件。</w:t>
      </w:r>
    </w:p>
    <w:p>
      <w:pPr>
        <w:adjustRightInd w:val="0"/>
        <w:snapToGrid w:val="0"/>
        <w:spacing w:line="300" w:lineRule="auto"/>
        <w:ind w:left="676" w:leftChars="322"/>
        <w:rPr>
          <w:rFonts w:ascii="宋体" w:hAnsi="宋体" w:cs="宋体"/>
          <w:szCs w:val="21"/>
        </w:rPr>
      </w:pPr>
      <w:r>
        <w:rPr>
          <w:rFonts w:hint="eastAsia" w:ascii="宋体" w:hAnsi="宋体" w:cs="宋体"/>
          <w:szCs w:val="21"/>
        </w:rPr>
        <w:t>3、必须按此表格式中的对应栏目内容填写，若需增加栏目，请在栏目“其它”中填写，并作详细说明。</w:t>
      </w:r>
    </w:p>
    <w:p>
      <w:pPr>
        <w:adjustRightInd w:val="0"/>
        <w:snapToGrid w:val="0"/>
        <w:spacing w:line="300" w:lineRule="auto"/>
        <w:ind w:right="540"/>
        <w:rPr>
          <w:rFonts w:ascii="宋体" w:hAnsi="宋体" w:cs="宋体"/>
          <w:szCs w:val="21"/>
        </w:rPr>
      </w:pPr>
    </w:p>
    <w:p>
      <w:pPr>
        <w:adjustRightInd w:val="0"/>
        <w:snapToGrid w:val="0"/>
        <w:spacing w:line="300" w:lineRule="auto"/>
        <w:ind w:right="540"/>
        <w:rPr>
          <w:rFonts w:ascii="宋体" w:hAnsi="宋体" w:cs="宋体"/>
          <w:szCs w:val="21"/>
        </w:rPr>
      </w:pPr>
    </w:p>
    <w:p>
      <w:pPr>
        <w:adjustRightInd w:val="0"/>
        <w:snapToGrid w:val="0"/>
        <w:spacing w:line="360" w:lineRule="auto"/>
        <w:ind w:right="540" w:firstLine="3255" w:firstLineChars="1550"/>
        <w:rPr>
          <w:rFonts w:ascii="宋体" w:hAnsi="宋体" w:cs="宋体"/>
          <w:szCs w:val="21"/>
          <w:u w:val="single"/>
        </w:rPr>
      </w:pPr>
      <w:r>
        <w:rPr>
          <w:rFonts w:hint="eastAsia" w:ascii="宋体" w:hAnsi="宋体" w:cs="宋体"/>
          <w:szCs w:val="21"/>
        </w:rPr>
        <w:t xml:space="preserve">法定代表人或授权代表签字：      </w:t>
      </w:r>
    </w:p>
    <w:p>
      <w:pPr>
        <w:adjustRightInd w:val="0"/>
        <w:snapToGrid w:val="0"/>
        <w:spacing w:line="360" w:lineRule="auto"/>
        <w:ind w:right="420" w:firstLine="5250" w:firstLineChars="2500"/>
        <w:rPr>
          <w:rFonts w:ascii="宋体" w:hAnsi="宋体" w:cs="宋体"/>
          <w:szCs w:val="21"/>
          <w:u w:val="single"/>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spacing w:line="300" w:lineRule="auto"/>
        <w:rPr>
          <w:rFonts w:ascii="宋体" w:hAnsi="宋体" w:cs="宋体"/>
          <w:sz w:val="28"/>
          <w:szCs w:val="28"/>
        </w:rPr>
      </w:pPr>
    </w:p>
    <w:p>
      <w:pPr>
        <w:spacing w:line="300" w:lineRule="auto"/>
        <w:rPr>
          <w:rFonts w:ascii="宋体" w:hAnsi="宋体" w:cs="宋体"/>
          <w:b/>
          <w:szCs w:val="21"/>
        </w:rPr>
      </w:pPr>
      <w:r>
        <w:rPr>
          <w:rFonts w:hint="eastAsia" w:ascii="宋体" w:hAnsi="宋体" w:cs="宋体"/>
          <w:sz w:val="28"/>
          <w:szCs w:val="28"/>
        </w:rPr>
        <w:br w:type="page"/>
      </w:r>
    </w:p>
    <w:p>
      <w:pPr>
        <w:spacing w:line="300" w:lineRule="auto"/>
        <w:rPr>
          <w:rFonts w:ascii="宋体" w:hAnsi="宋体" w:cs="宋体"/>
          <w:b/>
          <w:szCs w:val="21"/>
        </w:rPr>
      </w:pPr>
    </w:p>
    <w:p>
      <w:pPr>
        <w:spacing w:line="300" w:lineRule="auto"/>
        <w:rPr>
          <w:rFonts w:ascii="宋体" w:hAnsi="宋体" w:cs="宋体"/>
          <w:b/>
          <w:szCs w:val="21"/>
        </w:rPr>
      </w:pPr>
      <w:r>
        <w:rPr>
          <w:rFonts w:hint="eastAsia" w:ascii="宋体" w:hAnsi="宋体" w:cs="宋体"/>
          <w:b/>
          <w:szCs w:val="21"/>
        </w:rPr>
        <w:t>附件四</w:t>
      </w:r>
    </w:p>
    <w:p>
      <w:pPr>
        <w:pStyle w:val="10"/>
        <w:spacing w:line="300" w:lineRule="auto"/>
        <w:jc w:val="center"/>
        <w:rPr>
          <w:rFonts w:hAnsi="宋体" w:cs="宋体"/>
          <w:sz w:val="28"/>
          <w:szCs w:val="28"/>
        </w:rPr>
      </w:pPr>
      <w:r>
        <w:rPr>
          <w:rFonts w:hint="eastAsia" w:hAnsi="宋体" w:cs="宋体"/>
          <w:b/>
          <w:sz w:val="32"/>
          <w:szCs w:val="32"/>
        </w:rPr>
        <w:t>服务方案（格式自拟）</w:t>
      </w:r>
    </w:p>
    <w:p>
      <w:pPr>
        <w:pStyle w:val="10"/>
        <w:spacing w:line="300" w:lineRule="auto"/>
        <w:rPr>
          <w:rFonts w:hAnsi="宋体" w:cs="宋体"/>
          <w:sz w:val="28"/>
          <w:szCs w:val="28"/>
        </w:rPr>
      </w:pPr>
    </w:p>
    <w:p>
      <w:pPr>
        <w:spacing w:line="300" w:lineRule="auto"/>
        <w:rPr>
          <w:rFonts w:ascii="宋体" w:hAnsi="宋体" w:cs="宋体"/>
          <w:sz w:val="28"/>
          <w:szCs w:val="28"/>
        </w:rPr>
      </w:pPr>
    </w:p>
    <w:p>
      <w:pPr>
        <w:spacing w:line="300" w:lineRule="auto"/>
        <w:rPr>
          <w:rFonts w:ascii="宋体" w:hAnsi="宋体" w:cs="宋体"/>
          <w:sz w:val="28"/>
          <w:szCs w:val="28"/>
        </w:rPr>
      </w:pPr>
    </w:p>
    <w:p>
      <w:pPr>
        <w:spacing w:line="300" w:lineRule="auto"/>
        <w:rPr>
          <w:rFonts w:ascii="宋体" w:hAnsi="宋体" w:cs="宋体"/>
          <w:sz w:val="28"/>
          <w:szCs w:val="28"/>
        </w:rPr>
      </w:pPr>
    </w:p>
    <w:p>
      <w:pPr>
        <w:spacing w:line="300" w:lineRule="auto"/>
        <w:rPr>
          <w:rFonts w:ascii="宋体" w:hAnsi="宋体" w:cs="宋体"/>
          <w:b/>
          <w:szCs w:val="21"/>
        </w:rPr>
      </w:pPr>
      <w:r>
        <w:rPr>
          <w:rFonts w:hint="eastAsia" w:ascii="宋体" w:hAnsi="宋体" w:cs="宋体"/>
          <w:sz w:val="28"/>
          <w:szCs w:val="28"/>
        </w:rPr>
        <w:br w:type="page"/>
      </w:r>
      <w:r>
        <w:rPr>
          <w:rFonts w:hint="eastAsia" w:ascii="宋体" w:hAnsi="宋体" w:cs="宋体"/>
          <w:b/>
          <w:szCs w:val="21"/>
        </w:rPr>
        <w:t>附件五</w:t>
      </w:r>
    </w:p>
    <w:p>
      <w:pPr>
        <w:adjustRightInd w:val="0"/>
        <w:snapToGrid w:val="0"/>
        <w:spacing w:line="300" w:lineRule="auto"/>
        <w:jc w:val="center"/>
        <w:rPr>
          <w:rFonts w:ascii="宋体" w:hAnsi="宋体" w:cs="宋体"/>
          <w:b/>
          <w:sz w:val="32"/>
          <w:szCs w:val="32"/>
        </w:rPr>
      </w:pPr>
      <w:r>
        <w:rPr>
          <w:rFonts w:hint="eastAsia" w:ascii="宋体" w:hAnsi="宋体" w:cs="宋体"/>
          <w:b/>
          <w:sz w:val="32"/>
          <w:szCs w:val="32"/>
        </w:rPr>
        <w:t>法定代表人授权书</w:t>
      </w:r>
    </w:p>
    <w:p>
      <w:pPr>
        <w:adjustRightInd w:val="0"/>
        <w:snapToGrid w:val="0"/>
        <w:spacing w:line="520" w:lineRule="exact"/>
        <w:rPr>
          <w:rFonts w:ascii="宋体" w:hAnsi="宋体" w:cs="宋体"/>
          <w:sz w:val="28"/>
          <w:szCs w:val="28"/>
        </w:rPr>
      </w:pPr>
    </w:p>
    <w:p>
      <w:pPr>
        <w:spacing w:line="520" w:lineRule="exact"/>
        <w:rPr>
          <w:rFonts w:ascii="宋体" w:hAnsi="宋体" w:cs="宋体"/>
          <w:szCs w:val="21"/>
        </w:rPr>
      </w:pPr>
      <w:r>
        <w:rPr>
          <w:rFonts w:hint="eastAsia" w:ascii="宋体" w:hAnsi="宋体" w:cs="宋体"/>
          <w:szCs w:val="21"/>
          <w:u w:val="single"/>
        </w:rPr>
        <w:t>（采购代理机构）</w:t>
      </w:r>
      <w:r>
        <w:rPr>
          <w:rFonts w:hint="eastAsia" w:ascii="宋体" w:hAnsi="宋体" w:cs="宋体"/>
          <w:szCs w:val="21"/>
        </w:rPr>
        <w:t>：</w:t>
      </w:r>
    </w:p>
    <w:p>
      <w:pPr>
        <w:spacing w:line="520" w:lineRule="exact"/>
        <w:ind w:firstLine="420" w:firstLineChars="200"/>
        <w:rPr>
          <w:rFonts w:ascii="宋体" w:hAnsi="宋体" w:cs="宋体"/>
          <w:szCs w:val="21"/>
        </w:rPr>
      </w:pPr>
      <w:r>
        <w:rPr>
          <w:rFonts w:hint="eastAsia" w:ascii="宋体" w:hAnsi="宋体" w:cs="宋体"/>
          <w:szCs w:val="21"/>
        </w:rPr>
        <w:t>兹授权</w:t>
      </w:r>
      <w:r>
        <w:rPr>
          <w:rFonts w:hint="eastAsia" w:ascii="宋体" w:hAnsi="宋体" w:cs="宋体"/>
          <w:szCs w:val="21"/>
          <w:u w:val="single"/>
        </w:rPr>
        <w:t xml:space="preserve">      </w:t>
      </w:r>
      <w:r>
        <w:rPr>
          <w:rFonts w:hint="eastAsia" w:ascii="宋体" w:hAnsi="宋体" w:cs="宋体"/>
          <w:szCs w:val="21"/>
        </w:rPr>
        <w:t>同志为我公司参加贵单位组织的</w:t>
      </w:r>
      <w:r>
        <w:rPr>
          <w:rFonts w:hint="eastAsia" w:ascii="宋体" w:hAnsi="宋体" w:cs="宋体"/>
          <w:szCs w:val="21"/>
          <w:u w:val="single"/>
        </w:rPr>
        <w:t>（项目名称）</w:t>
      </w:r>
      <w:r>
        <w:rPr>
          <w:rFonts w:hint="eastAsia" w:ascii="宋体" w:hAnsi="宋体" w:cs="宋体"/>
          <w:szCs w:val="21"/>
        </w:rPr>
        <w:t>招标活动的投标代表人，全权代表我公司处理在该项目活动中的一切事宜。代理期限从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日起至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日止。 </w:t>
      </w:r>
    </w:p>
    <w:p>
      <w:pPr>
        <w:spacing w:line="520" w:lineRule="exact"/>
        <w:rPr>
          <w:rFonts w:ascii="宋体" w:hAnsi="宋体" w:cs="宋体"/>
          <w:szCs w:val="21"/>
        </w:rPr>
      </w:pPr>
    </w:p>
    <w:p>
      <w:pPr>
        <w:spacing w:line="520" w:lineRule="exact"/>
        <w:rPr>
          <w:rFonts w:ascii="宋体" w:hAnsi="宋体" w:cs="宋体"/>
          <w:szCs w:val="21"/>
        </w:rPr>
      </w:pPr>
      <w:r>
        <w:rPr>
          <w:rFonts w:hint="eastAsia" w:ascii="宋体" w:hAnsi="宋体" w:cs="宋体"/>
          <w:szCs w:val="21"/>
        </w:rPr>
        <w:t>授权单位（签章）：</w:t>
      </w:r>
      <w:r>
        <w:rPr>
          <w:rFonts w:hint="eastAsia" w:ascii="宋体" w:hAnsi="宋体" w:cs="宋体"/>
          <w:szCs w:val="21"/>
          <w:u w:val="single"/>
        </w:rPr>
        <w:t xml:space="preserve">                         </w:t>
      </w:r>
    </w:p>
    <w:p>
      <w:pPr>
        <w:spacing w:line="520" w:lineRule="exact"/>
        <w:rPr>
          <w:rFonts w:ascii="宋体" w:hAnsi="宋体" w:cs="宋体"/>
          <w:szCs w:val="21"/>
          <w:u w:val="single"/>
        </w:rPr>
      </w:pPr>
      <w:r>
        <w:rPr>
          <w:rFonts w:hint="eastAsia" w:ascii="宋体" w:hAnsi="宋体" w:cs="宋体"/>
          <w:szCs w:val="21"/>
        </w:rPr>
        <w:t>法定代表人或分公司负责人（签字或盖章）：</w:t>
      </w:r>
      <w:r>
        <w:rPr>
          <w:rFonts w:hint="eastAsia" w:ascii="宋体" w:hAnsi="宋体" w:cs="宋体"/>
          <w:szCs w:val="21"/>
          <w:u w:val="single"/>
        </w:rPr>
        <w:t xml:space="preserve">                 </w:t>
      </w:r>
    </w:p>
    <w:p>
      <w:pPr>
        <w:spacing w:line="520" w:lineRule="exact"/>
        <w:rPr>
          <w:rFonts w:ascii="宋体" w:hAnsi="宋体" w:cs="宋体"/>
          <w:szCs w:val="21"/>
        </w:rPr>
      </w:pPr>
      <w:r>
        <w:rPr>
          <w:rFonts w:hint="eastAsia" w:ascii="宋体" w:hAnsi="宋体" w:cs="宋体"/>
          <w:szCs w:val="21"/>
        </w:rPr>
        <w:t>签发日期：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520" w:lineRule="exact"/>
        <w:rPr>
          <w:rFonts w:ascii="宋体" w:hAnsi="宋体" w:cs="宋体"/>
          <w:szCs w:val="21"/>
        </w:rPr>
      </w:pPr>
    </w:p>
    <w:p>
      <w:pPr>
        <w:spacing w:line="520" w:lineRule="exact"/>
        <w:rPr>
          <w:rFonts w:ascii="宋体" w:hAnsi="宋体" w:cs="宋体"/>
          <w:szCs w:val="21"/>
        </w:rPr>
      </w:pPr>
      <w:r>
        <w:rPr>
          <w:rFonts w:hint="eastAsia" w:ascii="宋体" w:hAnsi="宋体" w:cs="宋体"/>
          <w:szCs w:val="21"/>
        </w:rPr>
        <w:t>附：代理人工作单位：</w:t>
      </w:r>
      <w:r>
        <w:rPr>
          <w:rFonts w:hint="eastAsia" w:ascii="宋体" w:hAnsi="宋体" w:cs="宋体"/>
          <w:szCs w:val="21"/>
          <w:u w:val="single"/>
        </w:rPr>
        <w:t xml:space="preserve">                     </w:t>
      </w:r>
    </w:p>
    <w:p>
      <w:pPr>
        <w:spacing w:line="520" w:lineRule="exact"/>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p>
    <w:p>
      <w:pPr>
        <w:adjustRightInd w:val="0"/>
        <w:snapToGrid w:val="0"/>
        <w:spacing w:line="520" w:lineRule="exact"/>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pPr>
        <w:adjustRightInd w:val="0"/>
        <w:snapToGrid w:val="0"/>
        <w:spacing w:line="520" w:lineRule="exact"/>
        <w:ind w:firstLine="420" w:firstLineChars="200"/>
        <w:rPr>
          <w:rFonts w:ascii="宋体" w:hAnsi="宋体" w:cs="宋体"/>
          <w:szCs w:val="21"/>
          <w:u w:val="single"/>
        </w:rPr>
      </w:pPr>
    </w:p>
    <w:tbl>
      <w:tblPr>
        <w:tblStyle w:val="18"/>
        <w:tblW w:w="8351"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9" w:hRule="atLeast"/>
        </w:trPr>
        <w:tc>
          <w:tcPr>
            <w:tcW w:w="8351" w:type="dxa"/>
            <w:tcBorders>
              <w:top w:val="single" w:color="auto" w:sz="4" w:space="0"/>
              <w:left w:val="single" w:color="auto" w:sz="4" w:space="0"/>
              <w:bottom w:val="single" w:color="auto" w:sz="4" w:space="0"/>
              <w:right w:val="single" w:color="auto" w:sz="4" w:space="0"/>
            </w:tcBorders>
          </w:tcPr>
          <w:p>
            <w:pPr>
              <w:spacing w:line="300" w:lineRule="auto"/>
              <w:rPr>
                <w:rFonts w:ascii="宋体" w:hAnsi="宋体" w:cs="宋体"/>
                <w:szCs w:val="21"/>
              </w:rPr>
            </w:pPr>
            <w:r>
              <w:rPr>
                <w:rFonts w:hint="eastAsia" w:ascii="宋体" w:hAnsi="宋体" w:cs="宋体"/>
                <w:szCs w:val="21"/>
              </w:rPr>
              <w:t>粘贴被授权人身份证（复印件）</w:t>
            </w:r>
          </w:p>
        </w:tc>
      </w:tr>
    </w:tbl>
    <w:p>
      <w:pPr>
        <w:autoSpaceDE w:val="0"/>
        <w:autoSpaceDN w:val="0"/>
        <w:spacing w:line="300" w:lineRule="auto"/>
        <w:rPr>
          <w:rFonts w:ascii="宋体" w:hAnsi="宋体" w:cs="宋体"/>
          <w:sz w:val="28"/>
          <w:szCs w:val="28"/>
        </w:rPr>
      </w:pPr>
    </w:p>
    <w:p>
      <w:pPr>
        <w:pStyle w:val="10"/>
        <w:spacing w:line="300" w:lineRule="auto"/>
        <w:rPr>
          <w:rFonts w:hAnsi="宋体" w:cs="宋体"/>
          <w:b/>
          <w:sz w:val="24"/>
          <w:szCs w:val="24"/>
        </w:rPr>
      </w:pPr>
      <w:r>
        <w:rPr>
          <w:rFonts w:hint="eastAsia" w:hAnsi="宋体" w:cs="宋体"/>
          <w:sz w:val="28"/>
          <w:szCs w:val="28"/>
        </w:rPr>
        <w:br w:type="page"/>
      </w:r>
      <w:r>
        <w:rPr>
          <w:rFonts w:hint="eastAsia" w:hAnsi="宋体" w:cs="宋体"/>
          <w:b/>
          <w:sz w:val="24"/>
          <w:szCs w:val="24"/>
        </w:rPr>
        <w:t>附件六</w:t>
      </w:r>
    </w:p>
    <w:p>
      <w:pPr>
        <w:pStyle w:val="10"/>
        <w:spacing w:line="400" w:lineRule="exact"/>
        <w:jc w:val="center"/>
        <w:rPr>
          <w:rFonts w:hAnsi="宋体" w:cs="宋体"/>
          <w:b/>
          <w:sz w:val="32"/>
          <w:szCs w:val="32"/>
        </w:rPr>
      </w:pPr>
      <w:r>
        <w:rPr>
          <w:rFonts w:hint="eastAsia" w:hAnsi="宋体" w:cs="宋体"/>
          <w:b/>
          <w:sz w:val="32"/>
          <w:szCs w:val="32"/>
        </w:rPr>
        <w:t>其 他 文 件</w:t>
      </w:r>
    </w:p>
    <w:p>
      <w:pPr>
        <w:spacing w:line="400" w:lineRule="exact"/>
        <w:ind w:firstLine="560"/>
        <w:rPr>
          <w:rFonts w:ascii="宋体" w:hAnsi="宋体" w:cs="宋体"/>
          <w:sz w:val="28"/>
          <w:szCs w:val="28"/>
        </w:rPr>
      </w:pPr>
    </w:p>
    <w:p>
      <w:pPr>
        <w:spacing w:line="400" w:lineRule="exact"/>
        <w:rPr>
          <w:rFonts w:ascii="宋体" w:hAnsi="宋体" w:cs="宋体"/>
          <w:b/>
          <w:bCs/>
          <w:szCs w:val="21"/>
        </w:rPr>
      </w:pPr>
      <w:r>
        <w:rPr>
          <w:rFonts w:hint="eastAsia" w:ascii="宋体" w:hAnsi="宋体" w:cs="宋体"/>
          <w:b/>
          <w:bCs/>
          <w:szCs w:val="21"/>
        </w:rPr>
        <w:t>一、资格证明、服务方案、业绩证明文件</w:t>
      </w:r>
    </w:p>
    <w:p>
      <w:pPr>
        <w:spacing w:line="400" w:lineRule="exact"/>
        <w:rPr>
          <w:rFonts w:ascii="宋体" w:hAnsi="宋体" w:cs="宋体"/>
          <w:szCs w:val="21"/>
        </w:rPr>
      </w:pPr>
      <w:r>
        <w:rPr>
          <w:rFonts w:hint="eastAsia" w:ascii="宋体" w:hAnsi="宋体" w:cs="宋体"/>
          <w:szCs w:val="21"/>
        </w:rPr>
        <w:t>提供以下证明文件的加盖公章复印件</w:t>
      </w:r>
    </w:p>
    <w:p>
      <w:pPr>
        <w:spacing w:line="400" w:lineRule="exact"/>
        <w:rPr>
          <w:rFonts w:hAnsi="宋体"/>
          <w:b/>
          <w:color w:val="000000" w:themeColor="text1"/>
          <w14:textFill>
            <w14:solidFill>
              <w14:schemeClr w14:val="tx1"/>
            </w14:solidFill>
          </w14:textFill>
        </w:rPr>
      </w:pPr>
      <w:r>
        <w:rPr>
          <w:rFonts w:hint="eastAsia" w:hAnsi="宋体"/>
          <w:b/>
          <w:color w:val="000000" w:themeColor="text1"/>
          <w:lang w:val="en-US" w:eastAsia="zh-CN"/>
          <w14:textFill>
            <w14:solidFill>
              <w14:schemeClr w14:val="tx1"/>
            </w14:solidFill>
          </w14:textFill>
        </w:rPr>
        <w:t>1</w:t>
      </w:r>
      <w:r>
        <w:rPr>
          <w:rFonts w:hint="eastAsia" w:hAnsi="宋体"/>
          <w:b/>
          <w:color w:val="000000" w:themeColor="text1"/>
          <w14:textFill>
            <w14:solidFill>
              <w14:schemeClr w14:val="tx1"/>
            </w14:solidFill>
          </w14:textFill>
        </w:rPr>
        <w:t>） 有效的“企业法人营业执照”副本、组织机构代码证复印件、税务登记证复印件或“三证合一”企业提供营业执照副本复印件（必须提供，同时要加盖单位公章）；</w:t>
      </w:r>
    </w:p>
    <w:p>
      <w:pPr>
        <w:spacing w:line="400" w:lineRule="exact"/>
        <w:rPr>
          <w:rFonts w:hint="eastAsia" w:hAnsi="宋体"/>
          <w:b/>
          <w:color w:val="000000" w:themeColor="text1"/>
          <w14:textFill>
            <w14:solidFill>
              <w14:schemeClr w14:val="tx1"/>
            </w14:solidFill>
          </w14:textFill>
        </w:rPr>
      </w:pPr>
      <w:r>
        <w:rPr>
          <w:rFonts w:hint="eastAsia" w:hAnsi="宋体"/>
          <w:b/>
          <w:color w:val="000000" w:themeColor="text1"/>
          <w:lang w:val="en-US" w:eastAsia="zh-CN"/>
          <w14:textFill>
            <w14:solidFill>
              <w14:schemeClr w14:val="tx1"/>
            </w14:solidFill>
          </w14:textFill>
        </w:rPr>
        <w:t>2</w:t>
      </w:r>
      <w:r>
        <w:rPr>
          <w:rFonts w:hint="eastAsia" w:hAnsi="宋体"/>
          <w:b/>
          <w:color w:val="000000" w:themeColor="text1"/>
          <w14:textFill>
            <w14:solidFill>
              <w14:schemeClr w14:val="tx1"/>
            </w14:solidFill>
          </w14:textFill>
        </w:rPr>
        <w:t>）法定代表人身份证复印件；（必须提供，同时要加盖单位公章）</w:t>
      </w:r>
    </w:p>
    <w:p>
      <w:pPr>
        <w:spacing w:line="400" w:lineRule="exact"/>
        <w:rPr>
          <w:rFonts w:hAnsi="宋体"/>
          <w:b/>
          <w:color w:val="000000" w:themeColor="text1"/>
          <w:highlight w:val="none"/>
          <w14:textFill>
            <w14:solidFill>
              <w14:schemeClr w14:val="tx1"/>
            </w14:solidFill>
          </w14:textFill>
        </w:rPr>
      </w:pPr>
      <w:r>
        <w:rPr>
          <w:rFonts w:hint="eastAsia" w:hAnsi="宋体"/>
          <w:b/>
          <w:color w:val="000000" w:themeColor="text1"/>
          <w:highlight w:val="none"/>
          <w:lang w:val="en-US" w:eastAsia="zh-CN"/>
          <w14:textFill>
            <w14:solidFill>
              <w14:schemeClr w14:val="tx1"/>
            </w14:solidFill>
          </w14:textFill>
        </w:rPr>
        <w:t>3）</w:t>
      </w:r>
      <w:r>
        <w:rPr>
          <w:rFonts w:hint="eastAsia" w:hAnsi="宋体"/>
          <w:b/>
          <w:color w:val="000000" w:themeColor="text1"/>
          <w:highlight w:val="none"/>
          <w14:textFill>
            <w14:solidFill>
              <w14:schemeClr w14:val="tx1"/>
            </w14:solidFill>
          </w14:textFill>
        </w:rPr>
        <w:t>授权时必须提供法定代表人授权书原件及委托代理人身份证复印件；（</w:t>
      </w:r>
      <w:r>
        <w:rPr>
          <w:rFonts w:hint="eastAsia" w:hAnsi="宋体"/>
          <w:b/>
          <w:color w:val="000000" w:themeColor="text1"/>
          <w:highlight w:val="none"/>
          <w:lang w:eastAsia="zh-CN"/>
          <w14:textFill>
            <w14:solidFill>
              <w14:schemeClr w14:val="tx1"/>
            </w14:solidFill>
          </w14:textFill>
        </w:rPr>
        <w:t>如委托时</w:t>
      </w:r>
      <w:r>
        <w:rPr>
          <w:rFonts w:hint="eastAsia" w:hAnsi="宋体"/>
          <w:b/>
          <w:color w:val="000000" w:themeColor="text1"/>
          <w:highlight w:val="none"/>
          <w14:textFill>
            <w14:solidFill>
              <w14:schemeClr w14:val="tx1"/>
            </w14:solidFill>
          </w14:textFill>
        </w:rPr>
        <w:t>必须提供，同时要加盖单位公章）</w:t>
      </w:r>
    </w:p>
    <w:p>
      <w:pPr>
        <w:spacing w:line="400" w:lineRule="exact"/>
        <w:rPr>
          <w:rFonts w:hAnsi="宋体"/>
          <w:b/>
          <w:color w:val="000000" w:themeColor="text1"/>
          <w14:textFill>
            <w14:solidFill>
              <w14:schemeClr w14:val="tx1"/>
            </w14:solidFill>
          </w14:textFill>
        </w:rPr>
      </w:pPr>
      <w:r>
        <w:rPr>
          <w:rFonts w:hint="eastAsia" w:hAnsi="宋体"/>
          <w:b/>
          <w:color w:val="000000" w:themeColor="text1"/>
          <w:lang w:val="en-US" w:eastAsia="zh-CN"/>
          <w14:textFill>
            <w14:solidFill>
              <w14:schemeClr w14:val="tx1"/>
            </w14:solidFill>
          </w14:textFill>
        </w:rPr>
        <w:t>4</w:t>
      </w:r>
      <w:r>
        <w:rPr>
          <w:rFonts w:hint="eastAsia" w:hAnsi="宋体"/>
          <w:b/>
          <w:color w:val="000000" w:themeColor="text1"/>
          <w14:textFill>
            <w14:solidFill>
              <w14:schemeClr w14:val="tx1"/>
            </w14:solidFill>
          </w14:textFill>
        </w:rPr>
        <w:t>）具备行业主管部门颁发的有效医疗器械生产或经营许可证（必须提供，同时要加盖单位公章）。</w:t>
      </w:r>
    </w:p>
    <w:p>
      <w:pPr>
        <w:pStyle w:val="10"/>
        <w:spacing w:line="380" w:lineRule="atLeast"/>
        <w:rPr>
          <w:rFonts w:hAnsi="宋体" w:cs="宋体"/>
          <w:b/>
          <w:bCs/>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5</w:t>
      </w:r>
      <w:r>
        <w:rPr>
          <w:rFonts w:hint="eastAsia" w:hAnsi="宋体" w:cs="宋体"/>
          <w:color w:val="000000" w:themeColor="text1"/>
          <w14:textFill>
            <w14:solidFill>
              <w14:schemeClr w14:val="tx1"/>
            </w14:solidFill>
          </w14:textFill>
        </w:rPr>
        <w:t>)</w:t>
      </w:r>
      <w:r>
        <w:rPr>
          <w:rFonts w:hint="eastAsia" w:hAnsi="宋体" w:cs="宋体"/>
          <w:b/>
          <w:bCs/>
          <w:color w:val="000000" w:themeColor="text1"/>
          <w14:textFill>
            <w14:solidFill>
              <w14:schemeClr w14:val="tx1"/>
            </w14:solidFill>
          </w14:textFill>
        </w:rPr>
        <w:t>近半年来竞标人连续三个月（如属新成立的公司不足三个月的递交工商注册之月起的纳税证明）竞标人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竞标人所在地的税务部门出具的《依法纳税或依法免税证明》复印件；(必须提交，加盖公章)</w:t>
      </w:r>
    </w:p>
    <w:p>
      <w:pPr>
        <w:pStyle w:val="10"/>
        <w:spacing w:line="380" w:lineRule="atLeast"/>
        <w:rPr>
          <w:rFonts w:hAnsi="宋体" w:cs="宋体"/>
          <w:b/>
          <w:bCs/>
          <w:color w:val="000000" w:themeColor="text1"/>
          <w14:textFill>
            <w14:solidFill>
              <w14:schemeClr w14:val="tx1"/>
            </w14:solidFill>
          </w14:textFill>
        </w:rPr>
      </w:pPr>
      <w:r>
        <w:rPr>
          <w:rFonts w:hint="eastAsia" w:hAnsi="宋体" w:cs="宋体"/>
          <w:b/>
          <w:bCs/>
          <w:color w:val="000000" w:themeColor="text1"/>
          <w:lang w:val="en-US" w:eastAsia="zh-CN"/>
          <w14:textFill>
            <w14:solidFill>
              <w14:schemeClr w14:val="tx1"/>
            </w14:solidFill>
          </w14:textFill>
        </w:rPr>
        <w:t>6</w:t>
      </w:r>
      <w:r>
        <w:rPr>
          <w:rFonts w:hint="eastAsia" w:hAnsi="宋体" w:cs="宋体"/>
          <w:b/>
          <w:bCs/>
          <w:color w:val="000000" w:themeColor="text1"/>
          <w14:textFill>
            <w14:solidFill>
              <w14:schemeClr w14:val="tx1"/>
            </w14:solidFill>
          </w14:textFill>
        </w:rPr>
        <w:t>)近半年来竞标人连续三个月（如属新成立的公司不足三个月的递交工商注册之月起的社保证明竞标人依法缴纳社保费的缴费凭证（复印件，原件备查，格式自拟）（必须提供）；无缴费记录的，应提供由竞标人所在地社保部门出具的《依法缴纳或依法免缴社保费证明》（格式自拟，复印件，原件备查）。(必须提交，加盖公章)</w:t>
      </w:r>
    </w:p>
    <w:p>
      <w:pPr>
        <w:pStyle w:val="10"/>
        <w:spacing w:line="380" w:lineRule="atLeast"/>
        <w:rPr>
          <w:color w:val="000000" w:themeColor="text1"/>
          <w14:textFill>
            <w14:solidFill>
              <w14:schemeClr w14:val="tx1"/>
            </w14:solidFill>
          </w14:textFill>
        </w:rPr>
      </w:pPr>
      <w:r>
        <w:rPr>
          <w:rFonts w:hint="eastAsia" w:hAnsi="宋体" w:cs="宋体"/>
          <w:b/>
          <w:bCs/>
          <w:color w:val="000000" w:themeColor="text1"/>
          <w:lang w:val="en-US" w:eastAsia="zh-CN"/>
          <w14:textFill>
            <w14:solidFill>
              <w14:schemeClr w14:val="tx1"/>
            </w14:solidFill>
          </w14:textFill>
        </w:rPr>
        <w:t>7</w:t>
      </w:r>
      <w:r>
        <w:rPr>
          <w:rFonts w:hint="eastAsia" w:hAnsi="宋体" w:cs="宋体"/>
          <w:b/>
          <w:bCs/>
          <w:color w:val="000000" w:themeColor="text1"/>
          <w14:textFill>
            <w14:solidFill>
              <w14:schemeClr w14:val="tx1"/>
            </w14:solidFill>
          </w14:textFill>
        </w:rPr>
        <w:t>)竞标人</w:t>
      </w:r>
      <w:r>
        <w:rPr>
          <w:rFonts w:hint="eastAsia"/>
          <w:b/>
          <w:bCs/>
          <w:color w:val="000000" w:themeColor="text1"/>
          <w14:textFill>
            <w14:solidFill>
              <w14:schemeClr w14:val="tx1"/>
            </w14:solidFill>
          </w14:textFill>
        </w:rPr>
        <w:t>2019年度财务报表（新成立的公司递交工商注册后最近</w:t>
      </w:r>
      <w:r>
        <w:rPr>
          <w:rFonts w:hint="eastAsia" w:hAnsi="宋体" w:cs="宋体"/>
          <w:b/>
          <w:bCs/>
          <w:color w:val="000000" w:themeColor="text1"/>
          <w14:textFill>
            <w14:solidFill>
              <w14:schemeClr w14:val="tx1"/>
            </w14:solidFill>
          </w14:textFill>
        </w:rPr>
        <w:t>竞标</w:t>
      </w:r>
      <w:r>
        <w:rPr>
          <w:rFonts w:hint="eastAsia"/>
          <w:b/>
          <w:bCs/>
          <w:color w:val="000000" w:themeColor="text1"/>
          <w14:textFill>
            <w14:solidFill>
              <w14:schemeClr w14:val="tx1"/>
            </w14:solidFill>
          </w14:textFill>
        </w:rPr>
        <w:t>截止期一个月度的月度财务报表）；</w:t>
      </w:r>
      <w:r>
        <w:rPr>
          <w:rFonts w:hint="eastAsia" w:hAnsi="宋体" w:cs="宋体"/>
          <w:b/>
          <w:bCs/>
          <w:color w:val="000000" w:themeColor="text1"/>
          <w14:textFill>
            <w14:solidFill>
              <w14:schemeClr w14:val="tx1"/>
            </w14:solidFill>
          </w14:textFill>
        </w:rPr>
        <w:t>(必须提交，加盖公章)</w:t>
      </w:r>
    </w:p>
    <w:p>
      <w:pPr>
        <w:pStyle w:val="24"/>
        <w:spacing w:line="360" w:lineRule="auto"/>
      </w:pPr>
      <w:r>
        <w:rPr>
          <w:rFonts w:hint="eastAsia" w:ascii="宋体" w:hAnsi="宋体" w:cs="宋体"/>
          <w:bCs w:val="0"/>
          <w:color w:val="000000" w:themeColor="text1"/>
          <w:spacing w:val="0"/>
          <w:kern w:val="2"/>
          <w:sz w:val="21"/>
          <w:szCs w:val="21"/>
          <w:lang w:val="en-US" w:eastAsia="zh-CN"/>
          <w14:textFill>
            <w14:solidFill>
              <w14:schemeClr w14:val="tx1"/>
            </w14:solidFill>
          </w14:textFill>
        </w:rPr>
        <w:t>8</w:t>
      </w:r>
      <w:r>
        <w:rPr>
          <w:rFonts w:hint="eastAsia" w:ascii="宋体" w:hAnsi="宋体" w:cs="宋体"/>
          <w:bCs w:val="0"/>
          <w:color w:val="000000" w:themeColor="text1"/>
          <w:spacing w:val="0"/>
          <w:kern w:val="2"/>
          <w:sz w:val="21"/>
          <w:szCs w:val="21"/>
          <w14:textFill>
            <w14:solidFill>
              <w14:schemeClr w14:val="tx1"/>
            </w14:solidFill>
          </w14:textFill>
        </w:rPr>
        <w:t>）</w:t>
      </w:r>
      <w:r>
        <w:rPr>
          <w:rFonts w:hint="eastAsia" w:ascii="宋体" w:hAnsi="宋体"/>
          <w:color w:val="000000"/>
          <w:spacing w:val="0"/>
          <w:kern w:val="2"/>
          <w:sz w:val="21"/>
          <w:szCs w:val="32"/>
        </w:rPr>
        <w:t>采</w:t>
      </w:r>
      <w:r>
        <w:rPr>
          <w:rFonts w:hint="eastAsia" w:ascii="宋体" w:hAnsi="宋体" w:cs="Courier New"/>
          <w:color w:val="000000"/>
          <w:spacing w:val="2"/>
          <w:kern w:val="2"/>
          <w:sz w:val="21"/>
          <w:szCs w:val="32"/>
        </w:rPr>
        <w:t>购人或代理机构对供应商资格审查时进行信用查询</w:t>
      </w:r>
      <w:r>
        <w:rPr>
          <w:rFonts w:hint="eastAsia" w:ascii="宋体" w:hAnsi="宋体" w:cs="Courier New"/>
          <w:color w:val="000000"/>
          <w:spacing w:val="2"/>
          <w:kern w:val="2"/>
          <w:sz w:val="21"/>
          <w:szCs w:val="32"/>
        </w:rPr>
        <w:br w:type="textWrapping"/>
      </w:r>
      <w:r>
        <w:rPr>
          <w:rFonts w:hint="eastAsia" w:ascii="宋体" w:hAnsi="宋体" w:cs="Courier New"/>
          <w:color w:val="000000"/>
          <w:spacing w:val="2"/>
          <w:kern w:val="2"/>
          <w:sz w:val="21"/>
          <w:szCs w:val="32"/>
        </w:rPr>
        <w:t>查询渠道：“信用中国”网站(www.creditchina.gov.cn)、中国政府采购网(www.ccgp.gov.cn)等。</w:t>
      </w:r>
      <w:r>
        <w:rPr>
          <w:rFonts w:hint="eastAsia" w:ascii="宋体" w:hAnsi="宋体" w:cs="Courier New"/>
          <w:color w:val="000000"/>
          <w:spacing w:val="2"/>
          <w:kern w:val="2"/>
          <w:sz w:val="21"/>
          <w:szCs w:val="32"/>
        </w:rPr>
        <w:br w:type="textWrapping"/>
      </w:r>
      <w:r>
        <w:rPr>
          <w:rFonts w:hint="eastAsia" w:ascii="宋体" w:hAnsi="宋体" w:cs="Courier New"/>
          <w:color w:val="000000"/>
          <w:spacing w:val="2"/>
          <w:kern w:val="2"/>
          <w:sz w:val="21"/>
          <w:szCs w:val="32"/>
        </w:rPr>
        <w:t>查询起止时间：竞标截止时间前三年内。</w:t>
      </w:r>
      <w:r>
        <w:rPr>
          <w:rFonts w:hint="eastAsia" w:ascii="宋体" w:hAnsi="宋体" w:cs="Courier New"/>
          <w:color w:val="000000"/>
          <w:spacing w:val="2"/>
          <w:kern w:val="2"/>
          <w:sz w:val="21"/>
          <w:szCs w:val="32"/>
        </w:rPr>
        <w:br w:type="textWrapping"/>
      </w:r>
      <w:r>
        <w:rPr>
          <w:rFonts w:hint="eastAsia" w:ascii="宋体" w:hAnsi="宋体" w:cs="Courier New"/>
          <w:color w:val="000000"/>
          <w:spacing w:val="2"/>
          <w:kern w:val="2"/>
          <w:sz w:val="21"/>
          <w:szCs w:val="32"/>
        </w:rPr>
        <w:t>查询记录和证据留存方式：由代理公司开标后在查询网站中直接打印查询记录，打印材料作为评审资料保存。</w:t>
      </w:r>
      <w:r>
        <w:rPr>
          <w:rFonts w:hint="eastAsia" w:ascii="宋体" w:hAnsi="宋体" w:cs="Courier New"/>
          <w:color w:val="000000"/>
          <w:spacing w:val="2"/>
          <w:kern w:val="2"/>
          <w:sz w:val="21"/>
          <w:szCs w:val="32"/>
        </w:rPr>
        <w:br w:type="textWrapping"/>
      </w:r>
      <w:r>
        <w:rPr>
          <w:rFonts w:hint="eastAsia" w:ascii="宋体" w:hAnsi="宋体" w:cs="Courier New"/>
          <w:color w:val="000000"/>
          <w:spacing w:val="2"/>
          <w:kern w:val="2"/>
          <w:sz w:val="21"/>
          <w:szCs w:val="32"/>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资格审查不通过，不得参与政府采购活动。</w:t>
      </w:r>
    </w:p>
    <w:p>
      <w:pPr>
        <w:spacing w:line="400" w:lineRule="exact"/>
        <w:rPr>
          <w:rFonts w:ascii="宋体" w:hAnsi="宋体" w:cs="宋体"/>
          <w:szCs w:val="21"/>
          <w:shd w:val="clear" w:color="auto" w:fill="FFC000"/>
        </w:rPr>
      </w:pPr>
      <w:r>
        <w:rPr>
          <w:rFonts w:hint="eastAsia" w:ascii="宋体" w:hAnsi="宋体" w:cs="宋体"/>
          <w:szCs w:val="21"/>
          <w:lang w:val="en-US" w:eastAsia="zh-CN"/>
        </w:rPr>
        <w:t>9</w:t>
      </w:r>
      <w:r>
        <w:rPr>
          <w:rFonts w:hint="eastAsia" w:ascii="宋体" w:hAnsi="宋体" w:cs="宋体"/>
          <w:szCs w:val="21"/>
        </w:rPr>
        <w:t>）（技术）服务方案；</w:t>
      </w:r>
    </w:p>
    <w:p>
      <w:pPr>
        <w:spacing w:line="40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）类似服务的业绩（中标通知书或服务合同等复印件）</w:t>
      </w:r>
    </w:p>
    <w:p>
      <w:pPr>
        <w:spacing w:line="40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）磋商供应商认为需要提供的有关资料。</w:t>
      </w:r>
    </w:p>
    <w:p>
      <w:pPr>
        <w:spacing w:line="400" w:lineRule="exact"/>
        <w:jc w:val="center"/>
        <w:rPr>
          <w:rFonts w:ascii="宋体" w:hAnsi="宋体" w:cs="宋体"/>
          <w:szCs w:val="21"/>
        </w:rPr>
      </w:pPr>
    </w:p>
    <w:p>
      <w:pPr>
        <w:spacing w:line="400" w:lineRule="exact"/>
        <w:ind w:left="3170"/>
        <w:rPr>
          <w:rFonts w:hAnsi="宋体"/>
          <w:b/>
          <w:sz w:val="44"/>
        </w:rPr>
      </w:pPr>
      <w:r>
        <w:rPr>
          <w:rFonts w:hint="eastAsia" w:ascii="宋体" w:hAnsi="宋体" w:cs="宋体"/>
          <w:szCs w:val="21"/>
        </w:rPr>
        <w:br w:type="page"/>
      </w:r>
      <w:r>
        <w:rPr>
          <w:rFonts w:hint="eastAsia" w:ascii="宋体" w:hAnsi="宋体" w:cs="宋体"/>
          <w:b/>
          <w:sz w:val="32"/>
          <w:szCs w:val="32"/>
        </w:rPr>
        <w:t>第五章合同书（格式）</w:t>
      </w:r>
    </w:p>
    <w:p>
      <w:pPr>
        <w:pStyle w:val="24"/>
        <w:rPr>
          <w:b/>
          <w:sz w:val="40"/>
          <w:szCs w:val="40"/>
        </w:rPr>
      </w:pPr>
    </w:p>
    <w:p>
      <w:pPr>
        <w:autoSpaceDE w:val="0"/>
        <w:autoSpaceDN w:val="0"/>
        <w:adjustRightInd w:val="0"/>
        <w:spacing w:line="360" w:lineRule="auto"/>
        <w:jc w:val="center"/>
        <w:rPr>
          <w:b/>
          <w:sz w:val="40"/>
          <w:szCs w:val="40"/>
        </w:rPr>
      </w:pPr>
    </w:p>
    <w:p>
      <w:pPr>
        <w:spacing w:line="400" w:lineRule="exact"/>
        <w:ind w:firstLine="2891" w:firstLineChars="900"/>
        <w:rPr>
          <w:rFonts w:ascii="宋体" w:hAnsi="宋体" w:cs="宋体"/>
          <w:b/>
          <w:sz w:val="32"/>
          <w:szCs w:val="32"/>
        </w:rPr>
      </w:pPr>
      <w:r>
        <w:rPr>
          <w:rFonts w:hint="eastAsia" w:ascii="宋体" w:hAnsi="宋体" w:cs="宋体"/>
          <w:b/>
          <w:sz w:val="32"/>
          <w:szCs w:val="32"/>
        </w:rPr>
        <w:t>升级服务采购合同</w:t>
      </w:r>
    </w:p>
    <w:p>
      <w:pPr>
        <w:ind w:firstLine="643" w:firstLineChars="200"/>
        <w:rPr>
          <w:rFonts w:ascii="宋体" w:hAnsi="宋体" w:cs="宋体"/>
          <w:b/>
          <w:sz w:val="32"/>
          <w:szCs w:val="32"/>
        </w:rPr>
      </w:pPr>
    </w:p>
    <w:p>
      <w:pPr>
        <w:ind w:firstLine="643" w:firstLineChars="200"/>
        <w:rPr>
          <w:rFonts w:ascii="宋体" w:hAnsi="宋体" w:cs="宋体"/>
          <w:b/>
          <w:sz w:val="32"/>
          <w:szCs w:val="32"/>
        </w:rPr>
      </w:pPr>
    </w:p>
    <w:p>
      <w:pPr>
        <w:ind w:firstLine="964" w:firstLineChars="300"/>
        <w:rPr>
          <w:rFonts w:ascii="宋体" w:hAnsi="宋体"/>
          <w:color w:val="FF0000"/>
          <w:sz w:val="32"/>
          <w:szCs w:val="32"/>
        </w:rPr>
      </w:pPr>
      <w:r>
        <w:rPr>
          <w:rFonts w:hint="eastAsia" w:ascii="宋体" w:hAnsi="宋体" w:cs="宋体"/>
          <w:b/>
          <w:sz w:val="32"/>
          <w:szCs w:val="32"/>
        </w:rPr>
        <w:t xml:space="preserve">项目编号：QZZC2020-C3-60194-GXLJ </w:t>
      </w:r>
    </w:p>
    <w:p>
      <w:pPr>
        <w:autoSpaceDE w:val="0"/>
        <w:autoSpaceDN w:val="0"/>
        <w:adjustRightInd w:val="0"/>
        <w:spacing w:line="360" w:lineRule="auto"/>
        <w:jc w:val="center"/>
        <w:rPr>
          <w:b/>
          <w:sz w:val="44"/>
          <w:szCs w:val="44"/>
        </w:rPr>
      </w:pPr>
    </w:p>
    <w:p>
      <w:pPr>
        <w:autoSpaceDE w:val="0"/>
        <w:autoSpaceDN w:val="0"/>
        <w:adjustRightInd w:val="0"/>
        <w:spacing w:line="360" w:lineRule="auto"/>
        <w:jc w:val="center"/>
        <w:rPr>
          <w:b/>
          <w:sz w:val="44"/>
          <w:szCs w:val="44"/>
        </w:rPr>
      </w:pPr>
    </w:p>
    <w:p>
      <w:pPr>
        <w:autoSpaceDE w:val="0"/>
        <w:autoSpaceDN w:val="0"/>
        <w:adjustRightInd w:val="0"/>
        <w:spacing w:line="360" w:lineRule="auto"/>
        <w:jc w:val="center"/>
      </w:pPr>
    </w:p>
    <w:p>
      <w:pPr>
        <w:autoSpaceDE w:val="0"/>
        <w:autoSpaceDN w:val="0"/>
        <w:adjustRightInd w:val="0"/>
        <w:spacing w:line="360" w:lineRule="auto"/>
        <w:ind w:firstLine="420" w:firstLineChars="200"/>
        <w:jc w:val="center"/>
        <w:sectPr>
          <w:headerReference r:id="rId9" w:type="first"/>
          <w:footerReference r:id="rId12" w:type="first"/>
          <w:headerReference r:id="rId7" w:type="default"/>
          <w:footerReference r:id="rId10" w:type="default"/>
          <w:headerReference r:id="rId8" w:type="even"/>
          <w:footerReference r:id="rId11" w:type="even"/>
          <w:pgSz w:w="11907" w:h="16840"/>
          <w:pgMar w:top="1304" w:right="1247" w:bottom="1247" w:left="1247" w:header="1020" w:footer="1020" w:gutter="0"/>
          <w:cols w:space="720" w:num="1"/>
          <w:titlePg/>
        </w:sectPr>
      </w:pPr>
      <w:r>
        <mc:AlternateContent>
          <mc:Choice Requires="wps">
            <w:drawing>
              <wp:inline distT="0" distB="0" distL="114300" distR="114300">
                <wp:extent cx="5436235" cy="5201285"/>
                <wp:effectExtent l="4445" t="4445" r="7620" b="13970"/>
                <wp:docPr id="1029" name="文本框 9"/>
                <wp:cNvGraphicFramePr/>
                <a:graphic xmlns:a="http://schemas.openxmlformats.org/drawingml/2006/main">
                  <a:graphicData uri="http://schemas.microsoft.com/office/word/2010/wordprocessingShape">
                    <wps:wsp>
                      <wps:cNvSpPr/>
                      <wps:spPr>
                        <a:xfrm>
                          <a:off x="0" y="0"/>
                          <a:ext cx="5436235" cy="5201285"/>
                        </a:xfrm>
                        <a:prstGeom prst="rect">
                          <a:avLst/>
                        </a:prstGeom>
                        <a:noFill/>
                        <a:ln w="127" cap="rnd" cmpd="sng">
                          <a:solidFill>
                            <a:srgbClr val="EAEAEA"/>
                          </a:solidFill>
                          <a:prstDash val="sysDot"/>
                          <a:miter/>
                          <a:headEnd type="none" w="med" len="med"/>
                          <a:tailEnd type="none" w="med" len="med"/>
                        </a:ln>
                        <a:effectLst/>
                      </wps:spPr>
                      <wps:txbx>
                        <w:txbxContent>
                          <w:p>
                            <w:pPr>
                              <w:spacing w:line="960" w:lineRule="exact"/>
                              <w:ind w:left="1903" w:hanging="1903" w:hangingChars="790"/>
                              <w:rPr>
                                <w:b/>
                                <w:w w:val="90"/>
                                <w:sz w:val="28"/>
                                <w:szCs w:val="28"/>
                                <w:u w:val="single"/>
                              </w:rPr>
                            </w:pPr>
                            <w:r>
                              <w:rPr>
                                <w:rFonts w:hint="eastAsia"/>
                                <w:b/>
                                <w:sz w:val="24"/>
                              </w:rPr>
                              <w:t>项  目　名　称：</w:t>
                            </w:r>
                            <w:r>
                              <w:rPr>
                                <w:rFonts w:hint="eastAsia"/>
                                <w:b/>
                                <w:sz w:val="24"/>
                                <w:u w:val="single"/>
                              </w:rPr>
                              <w:t xml:space="preserve">     </w:t>
                            </w:r>
                            <w:r>
                              <w:rPr>
                                <w:rFonts w:hint="eastAsia"/>
                                <w:b/>
                                <w:w w:val="90"/>
                                <w:sz w:val="28"/>
                                <w:szCs w:val="28"/>
                                <w:u w:val="single"/>
                              </w:rPr>
                              <w:t xml:space="preserve">                     </w:t>
                            </w:r>
                            <w:r>
                              <w:rPr>
                                <w:rFonts w:hint="eastAsia"/>
                                <w:sz w:val="28"/>
                                <w:szCs w:val="28"/>
                                <w:u w:val="single"/>
                              </w:rPr>
                              <w:t xml:space="preserve">              </w:t>
                            </w:r>
                          </w:p>
                          <w:p>
                            <w:pPr>
                              <w:spacing w:line="960" w:lineRule="exact"/>
                              <w:rPr>
                                <w:sz w:val="28"/>
                                <w:szCs w:val="28"/>
                                <w:u w:val="single"/>
                              </w:rPr>
                            </w:pPr>
                            <w:r>
                              <w:rPr>
                                <w:rFonts w:hint="eastAsia"/>
                                <w:b/>
                                <w:sz w:val="24"/>
                              </w:rPr>
                              <w:t>项  目　地　点：</w:t>
                            </w:r>
                            <w:r>
                              <w:rPr>
                                <w:rFonts w:hint="eastAsia"/>
                                <w:b/>
                                <w:sz w:val="24"/>
                                <w:u w:val="single"/>
                              </w:rPr>
                              <w:t xml:space="preserve">     </w:t>
                            </w:r>
                            <w:r>
                              <w:rPr>
                                <w:rFonts w:hint="eastAsia"/>
                                <w:b/>
                                <w:w w:val="90"/>
                                <w:sz w:val="28"/>
                                <w:szCs w:val="28"/>
                                <w:u w:val="single"/>
                              </w:rPr>
                              <w:t xml:space="preserve">                     </w:t>
                            </w:r>
                            <w:r>
                              <w:rPr>
                                <w:rFonts w:hint="eastAsia"/>
                                <w:sz w:val="28"/>
                                <w:szCs w:val="28"/>
                                <w:u w:val="single"/>
                              </w:rPr>
                              <w:t xml:space="preserve">              </w:t>
                            </w:r>
                          </w:p>
                          <w:p>
                            <w:pPr>
                              <w:spacing w:line="960" w:lineRule="exact"/>
                              <w:rPr>
                                <w:sz w:val="28"/>
                                <w:szCs w:val="28"/>
                              </w:rPr>
                            </w:pPr>
                            <w:r>
                              <w:rPr>
                                <w:rFonts w:hint="eastAsia"/>
                                <w:b/>
                                <w:sz w:val="24"/>
                              </w:rPr>
                              <w:t>合　同　编　号：</w:t>
                            </w:r>
                            <w:r>
                              <w:rPr>
                                <w:rFonts w:hint="eastAsia"/>
                                <w:sz w:val="28"/>
                                <w:szCs w:val="28"/>
                                <w:u w:val="single"/>
                              </w:rPr>
                              <w:t>　　</w:t>
                            </w:r>
                            <w:r>
                              <w:rPr>
                                <w:rFonts w:hint="eastAsia"/>
                                <w:b/>
                                <w:sz w:val="28"/>
                                <w:szCs w:val="28"/>
                                <w:u w:val="single"/>
                              </w:rPr>
                              <w:t xml:space="preserve">            </w:t>
                            </w:r>
                            <w:r>
                              <w:rPr>
                                <w:rFonts w:hint="eastAsia"/>
                                <w:sz w:val="28"/>
                                <w:szCs w:val="28"/>
                                <w:u w:val="single"/>
                              </w:rPr>
                              <w:t xml:space="preserve">　　　　  　　       </w:t>
                            </w:r>
                            <w:r>
                              <w:rPr>
                                <w:rFonts w:hint="eastAsia"/>
                                <w:sz w:val="20"/>
                                <w:szCs w:val="22"/>
                                <w:u w:val="single"/>
                              </w:rPr>
                              <w:t xml:space="preserve"> </w:t>
                            </w:r>
                          </w:p>
                          <w:p>
                            <w:pPr>
                              <w:spacing w:line="960" w:lineRule="exact"/>
                              <w:rPr>
                                <w:b/>
                                <w:sz w:val="24"/>
                                <w:u w:val="single"/>
                              </w:rPr>
                            </w:pPr>
                            <w:r>
                              <w:rPr>
                                <w:rFonts w:hint="eastAsia"/>
                                <w:b/>
                                <w:sz w:val="24"/>
                              </w:rPr>
                              <w:t>甲         方：</w:t>
                            </w:r>
                            <w:r>
                              <w:rPr>
                                <w:rFonts w:hint="eastAsia"/>
                                <w:b/>
                                <w:sz w:val="24"/>
                                <w:u w:val="single"/>
                              </w:rPr>
                              <w:t xml:space="preserve">     </w:t>
                            </w:r>
                            <w:r>
                              <w:rPr>
                                <w:rFonts w:hint="eastAsia"/>
                                <w:b/>
                                <w:w w:val="90"/>
                                <w:sz w:val="28"/>
                                <w:szCs w:val="28"/>
                                <w:u w:val="single"/>
                              </w:rPr>
                              <w:t xml:space="preserve">                     </w:t>
                            </w:r>
                            <w:r>
                              <w:rPr>
                                <w:rFonts w:hint="eastAsia"/>
                                <w:sz w:val="28"/>
                                <w:szCs w:val="28"/>
                                <w:u w:val="single"/>
                              </w:rPr>
                              <w:t xml:space="preserve">              </w:t>
                            </w:r>
                            <w:r>
                              <w:rPr>
                                <w:rFonts w:hint="eastAsia"/>
                                <w:b/>
                                <w:sz w:val="24"/>
                                <w:u w:val="single"/>
                              </w:rPr>
                              <w:t xml:space="preserve">        </w:t>
                            </w:r>
                          </w:p>
                          <w:p>
                            <w:pPr>
                              <w:spacing w:line="960" w:lineRule="exact"/>
                              <w:rPr>
                                <w:sz w:val="28"/>
                                <w:szCs w:val="28"/>
                                <w:u w:val="single"/>
                              </w:rPr>
                            </w:pPr>
                            <w:r>
                              <w:rPr>
                                <w:rFonts w:hint="eastAsia"/>
                                <w:b/>
                                <w:sz w:val="24"/>
                              </w:rPr>
                              <w:t>乙         方：</w:t>
                            </w:r>
                            <w:r>
                              <w:rPr>
                                <w:rFonts w:hint="eastAsia"/>
                                <w:b/>
                                <w:sz w:val="24"/>
                                <w:u w:val="single"/>
                              </w:rPr>
                              <w:t xml:space="preserve">                       </w:t>
                            </w:r>
                            <w:r>
                              <w:rPr>
                                <w:rFonts w:hint="eastAsia"/>
                                <w:sz w:val="28"/>
                                <w:szCs w:val="28"/>
                                <w:u w:val="single"/>
                              </w:rPr>
                              <w:t xml:space="preserve"> 　                </w:t>
                            </w:r>
                          </w:p>
                          <w:p>
                            <w:pPr>
                              <w:spacing w:line="960" w:lineRule="exact"/>
                              <w:rPr>
                                <w:sz w:val="28"/>
                                <w:szCs w:val="28"/>
                                <w:u w:val="single"/>
                              </w:rPr>
                            </w:pPr>
                            <w:r>
                              <w:rPr>
                                <w:rFonts w:hint="eastAsia"/>
                                <w:b/>
                                <w:sz w:val="24"/>
                              </w:rPr>
                              <w:t>签　订　日　期：</w:t>
                            </w:r>
                            <w:r>
                              <w:rPr>
                                <w:rFonts w:hint="eastAsia"/>
                                <w:sz w:val="28"/>
                                <w:szCs w:val="28"/>
                                <w:u w:val="single"/>
                              </w:rPr>
                              <w:t xml:space="preserve">     </w:t>
                            </w:r>
                            <w:r>
                              <w:rPr>
                                <w:rFonts w:hint="eastAsia"/>
                                <w:b/>
                                <w:sz w:val="28"/>
                                <w:szCs w:val="28"/>
                                <w:u w:val="single"/>
                              </w:rPr>
                              <w:t xml:space="preserve">     年  月  日 </w:t>
                            </w:r>
                            <w:r>
                              <w:rPr>
                                <w:rFonts w:hint="eastAsia"/>
                                <w:sz w:val="28"/>
                                <w:szCs w:val="28"/>
                                <w:u w:val="single"/>
                              </w:rPr>
                              <w:t xml:space="preserve">                 </w:t>
                            </w:r>
                          </w:p>
                        </w:txbxContent>
                      </wps:txbx>
                      <wps:bodyPr upright="1"/>
                    </wps:wsp>
                  </a:graphicData>
                </a:graphic>
              </wp:inline>
            </w:drawing>
          </mc:Choice>
          <mc:Fallback>
            <w:pict>
              <v:rect id="文本框 9" o:spid="_x0000_s1026" o:spt="1" style="height:409.55pt;width:428.05pt;" filled="f" stroked="t" coordsize="21600,21600" o:gfxdata="UEsDBAoAAAAAAIdO4kAAAAAAAAAAAAAAAAAEAAAAZHJzL1BLAwQUAAAACACHTuJARL0kNtYAAAAF&#10;AQAADwAAAGRycy9kb3ducmV2LnhtbE2PzU7DMBCE70i8g7VIXBB1XCBqQ5yqqqjgWEoOPbrxNomI&#10;15Ht/vD2LFzgsprVrGa+LRcXN4gThth70qAmGQikxtueWg31x/p+BiImQ9YMnlDDF0ZYVNdXpSms&#10;P9M7nrapFRxCsTAaupTGQsrYdOhMnPgRib2DD84kXkMrbTBnDneDnGZZLp3piRs6M+Kqw+Zze3Qa&#10;NpQ/vrX5ztXLcKind6vX9fLlQevbG5U9g0h4SX/H8IPP6FAx094fyUYxaOBH0u9kb/aUKxB7Fmqu&#10;QFal/E9ffQNQSwMEFAAAAAgAh07iQPzcrjQLAgAAFAQAAA4AAABkcnMvZTJvRG9jLnhtbK1TzY7T&#10;MBC+I/EOlu80bZYuu1HTFaK7XBCstPAAU8dJLPlPHrdJXwDegBMX7jxXn2PHSSjLcukBRXLG9udv&#10;5vs8Xt30RrO9DKicLfliNudMWuEqZZuSf/l89+qKM4xgK9DOypIfJPKb9csXq84XMnet05UMjEgs&#10;Fp0veRujL7IMRSsN4Mx5aWmzdsFApGlosipAR+xGZ/l8fpl1LlQ+OCERaXUzbvKJMZxD6OpaCblx&#10;YmekjSNrkBoiScJWeeTrodq6liJ+qmuUkemSk9I4jJSE4m0as/UKiiaAb5WYSoBzSnimyYCylPRE&#10;tYEIbBfUP1RGieDQ1XEmnMlGIYMjpGIxf+bNQwteDlrIavQn0/H/0YqP+/vAVEWdMM+vObNg6M6P&#10;378df/w6/vzKrpNDnceCgA/+PkwzpDDJ7etg0p+EsH5w9XByVfaRCVpcvr64zC+WnAnaW5LM/GqZ&#10;WLM/x33A+F46w1JQ8kDXNrgJ+w8YR+hvSMpm3Z3Smtah0JZ1VHv+huiBujHYiiLjSRDaZiBBp1WV&#10;DiQ8hmb7Tge2B2qI27fpm2r5C5aybQDbEYcH3LiYcFAYFWVyAYpWQnVrKxYPniyz9Fh4qsVIqkBL&#10;elspGpARlD4HSY5om6jl0LmT9uT+6HeKYr/tiTSFW1cd6PJ2PqimJdsWg5K0Q80y+Ds1durGp3OK&#10;nz7m9S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vSQ21gAAAAUBAAAPAAAAAAAAAAEAIAAAACIA&#10;AABkcnMvZG93bnJldi54bWxQSwECFAAUAAAACACHTuJA/NyuNAsCAAAUBAAADgAAAAAAAAABACAA&#10;AAAlAQAAZHJzL2Uyb0RvYy54bWxQSwUGAAAAAAYABgBZAQAAogUAAAAA&#10;">
                <v:fill on="f" focussize="0,0"/>
                <v:stroke weight="0.01pt" color="#EAEAEA" joinstyle="miter" dashstyle="1 1" endcap="round"/>
                <v:imagedata o:title=""/>
                <o:lock v:ext="edit" aspectratio="f"/>
                <v:textbox>
                  <w:txbxContent>
                    <w:p>
                      <w:pPr>
                        <w:spacing w:line="960" w:lineRule="exact"/>
                        <w:ind w:left="1903" w:hanging="1903" w:hangingChars="790"/>
                        <w:rPr>
                          <w:b/>
                          <w:w w:val="90"/>
                          <w:sz w:val="28"/>
                          <w:szCs w:val="28"/>
                          <w:u w:val="single"/>
                        </w:rPr>
                      </w:pPr>
                      <w:r>
                        <w:rPr>
                          <w:rFonts w:hint="eastAsia"/>
                          <w:b/>
                          <w:sz w:val="24"/>
                        </w:rPr>
                        <w:t>项  目　名　称：</w:t>
                      </w:r>
                      <w:r>
                        <w:rPr>
                          <w:rFonts w:hint="eastAsia"/>
                          <w:b/>
                          <w:sz w:val="24"/>
                          <w:u w:val="single"/>
                        </w:rPr>
                        <w:t xml:space="preserve">     </w:t>
                      </w:r>
                      <w:r>
                        <w:rPr>
                          <w:rFonts w:hint="eastAsia"/>
                          <w:b/>
                          <w:w w:val="90"/>
                          <w:sz w:val="28"/>
                          <w:szCs w:val="28"/>
                          <w:u w:val="single"/>
                        </w:rPr>
                        <w:t xml:space="preserve">                     </w:t>
                      </w:r>
                      <w:r>
                        <w:rPr>
                          <w:rFonts w:hint="eastAsia"/>
                          <w:sz w:val="28"/>
                          <w:szCs w:val="28"/>
                          <w:u w:val="single"/>
                        </w:rPr>
                        <w:t xml:space="preserve">              </w:t>
                      </w:r>
                    </w:p>
                    <w:p>
                      <w:pPr>
                        <w:spacing w:line="960" w:lineRule="exact"/>
                        <w:rPr>
                          <w:sz w:val="28"/>
                          <w:szCs w:val="28"/>
                          <w:u w:val="single"/>
                        </w:rPr>
                      </w:pPr>
                      <w:r>
                        <w:rPr>
                          <w:rFonts w:hint="eastAsia"/>
                          <w:b/>
                          <w:sz w:val="24"/>
                        </w:rPr>
                        <w:t>项  目　地　点：</w:t>
                      </w:r>
                      <w:r>
                        <w:rPr>
                          <w:rFonts w:hint="eastAsia"/>
                          <w:b/>
                          <w:sz w:val="24"/>
                          <w:u w:val="single"/>
                        </w:rPr>
                        <w:t xml:space="preserve">     </w:t>
                      </w:r>
                      <w:r>
                        <w:rPr>
                          <w:rFonts w:hint="eastAsia"/>
                          <w:b/>
                          <w:w w:val="90"/>
                          <w:sz w:val="28"/>
                          <w:szCs w:val="28"/>
                          <w:u w:val="single"/>
                        </w:rPr>
                        <w:t xml:space="preserve">                     </w:t>
                      </w:r>
                      <w:r>
                        <w:rPr>
                          <w:rFonts w:hint="eastAsia"/>
                          <w:sz w:val="28"/>
                          <w:szCs w:val="28"/>
                          <w:u w:val="single"/>
                        </w:rPr>
                        <w:t xml:space="preserve">              </w:t>
                      </w:r>
                    </w:p>
                    <w:p>
                      <w:pPr>
                        <w:spacing w:line="960" w:lineRule="exact"/>
                        <w:rPr>
                          <w:sz w:val="28"/>
                          <w:szCs w:val="28"/>
                        </w:rPr>
                      </w:pPr>
                      <w:r>
                        <w:rPr>
                          <w:rFonts w:hint="eastAsia"/>
                          <w:b/>
                          <w:sz w:val="24"/>
                        </w:rPr>
                        <w:t>合　同　编　号：</w:t>
                      </w:r>
                      <w:r>
                        <w:rPr>
                          <w:rFonts w:hint="eastAsia"/>
                          <w:sz w:val="28"/>
                          <w:szCs w:val="28"/>
                          <w:u w:val="single"/>
                        </w:rPr>
                        <w:t>　　</w:t>
                      </w:r>
                      <w:r>
                        <w:rPr>
                          <w:rFonts w:hint="eastAsia"/>
                          <w:b/>
                          <w:sz w:val="28"/>
                          <w:szCs w:val="28"/>
                          <w:u w:val="single"/>
                        </w:rPr>
                        <w:t xml:space="preserve">            </w:t>
                      </w:r>
                      <w:r>
                        <w:rPr>
                          <w:rFonts w:hint="eastAsia"/>
                          <w:sz w:val="28"/>
                          <w:szCs w:val="28"/>
                          <w:u w:val="single"/>
                        </w:rPr>
                        <w:t xml:space="preserve">　　　　  　　       </w:t>
                      </w:r>
                      <w:r>
                        <w:rPr>
                          <w:rFonts w:hint="eastAsia"/>
                          <w:sz w:val="20"/>
                          <w:szCs w:val="22"/>
                          <w:u w:val="single"/>
                        </w:rPr>
                        <w:t xml:space="preserve"> </w:t>
                      </w:r>
                    </w:p>
                    <w:p>
                      <w:pPr>
                        <w:spacing w:line="960" w:lineRule="exact"/>
                        <w:rPr>
                          <w:b/>
                          <w:sz w:val="24"/>
                          <w:u w:val="single"/>
                        </w:rPr>
                      </w:pPr>
                      <w:r>
                        <w:rPr>
                          <w:rFonts w:hint="eastAsia"/>
                          <w:b/>
                          <w:sz w:val="24"/>
                        </w:rPr>
                        <w:t>甲         方：</w:t>
                      </w:r>
                      <w:r>
                        <w:rPr>
                          <w:rFonts w:hint="eastAsia"/>
                          <w:b/>
                          <w:sz w:val="24"/>
                          <w:u w:val="single"/>
                        </w:rPr>
                        <w:t xml:space="preserve">     </w:t>
                      </w:r>
                      <w:r>
                        <w:rPr>
                          <w:rFonts w:hint="eastAsia"/>
                          <w:b/>
                          <w:w w:val="90"/>
                          <w:sz w:val="28"/>
                          <w:szCs w:val="28"/>
                          <w:u w:val="single"/>
                        </w:rPr>
                        <w:t xml:space="preserve">                     </w:t>
                      </w:r>
                      <w:r>
                        <w:rPr>
                          <w:rFonts w:hint="eastAsia"/>
                          <w:sz w:val="28"/>
                          <w:szCs w:val="28"/>
                          <w:u w:val="single"/>
                        </w:rPr>
                        <w:t xml:space="preserve">              </w:t>
                      </w:r>
                      <w:r>
                        <w:rPr>
                          <w:rFonts w:hint="eastAsia"/>
                          <w:b/>
                          <w:sz w:val="24"/>
                          <w:u w:val="single"/>
                        </w:rPr>
                        <w:t xml:space="preserve">        </w:t>
                      </w:r>
                    </w:p>
                    <w:p>
                      <w:pPr>
                        <w:spacing w:line="960" w:lineRule="exact"/>
                        <w:rPr>
                          <w:sz w:val="28"/>
                          <w:szCs w:val="28"/>
                          <w:u w:val="single"/>
                        </w:rPr>
                      </w:pPr>
                      <w:r>
                        <w:rPr>
                          <w:rFonts w:hint="eastAsia"/>
                          <w:b/>
                          <w:sz w:val="24"/>
                        </w:rPr>
                        <w:t>乙         方：</w:t>
                      </w:r>
                      <w:r>
                        <w:rPr>
                          <w:rFonts w:hint="eastAsia"/>
                          <w:b/>
                          <w:sz w:val="24"/>
                          <w:u w:val="single"/>
                        </w:rPr>
                        <w:t xml:space="preserve">                       </w:t>
                      </w:r>
                      <w:r>
                        <w:rPr>
                          <w:rFonts w:hint="eastAsia"/>
                          <w:sz w:val="28"/>
                          <w:szCs w:val="28"/>
                          <w:u w:val="single"/>
                        </w:rPr>
                        <w:t xml:space="preserve"> 　                </w:t>
                      </w:r>
                    </w:p>
                    <w:p>
                      <w:pPr>
                        <w:spacing w:line="960" w:lineRule="exact"/>
                        <w:rPr>
                          <w:sz w:val="28"/>
                          <w:szCs w:val="28"/>
                          <w:u w:val="single"/>
                        </w:rPr>
                      </w:pPr>
                      <w:r>
                        <w:rPr>
                          <w:rFonts w:hint="eastAsia"/>
                          <w:b/>
                          <w:sz w:val="24"/>
                        </w:rPr>
                        <w:t>签　订　日　期：</w:t>
                      </w:r>
                      <w:r>
                        <w:rPr>
                          <w:rFonts w:hint="eastAsia"/>
                          <w:sz w:val="28"/>
                          <w:szCs w:val="28"/>
                          <w:u w:val="single"/>
                        </w:rPr>
                        <w:t xml:space="preserve">     </w:t>
                      </w:r>
                      <w:r>
                        <w:rPr>
                          <w:rFonts w:hint="eastAsia"/>
                          <w:b/>
                          <w:sz w:val="28"/>
                          <w:szCs w:val="28"/>
                          <w:u w:val="single"/>
                        </w:rPr>
                        <w:t xml:space="preserve">     年  月  日 </w:t>
                      </w:r>
                      <w:r>
                        <w:rPr>
                          <w:rFonts w:hint="eastAsia"/>
                          <w:sz w:val="28"/>
                          <w:szCs w:val="28"/>
                          <w:u w:val="single"/>
                        </w:rPr>
                        <w:t xml:space="preserve">                 </w:t>
                      </w:r>
                    </w:p>
                  </w:txbxContent>
                </v:textbox>
                <w10:wrap type="none"/>
                <w10:anchorlock/>
              </v:rect>
            </w:pict>
          </mc:Fallback>
        </mc:AlternateContent>
      </w:r>
    </w:p>
    <w:p>
      <w:pPr>
        <w:pStyle w:val="10"/>
        <w:spacing w:line="360" w:lineRule="exact"/>
        <w:rPr>
          <w:rFonts w:hAnsi="宋体"/>
          <w:b/>
          <w:bCs/>
          <w:color w:val="000000" w:themeColor="text1"/>
          <w:sz w:val="32"/>
          <w:szCs w:val="32"/>
          <w14:textFill>
            <w14:solidFill>
              <w14:schemeClr w14:val="tx1"/>
            </w14:solidFill>
          </w14:textFill>
        </w:rPr>
      </w:pPr>
    </w:p>
    <w:p>
      <w:pPr>
        <w:snapToGrid w:val="0"/>
        <w:spacing w:line="300" w:lineRule="exact"/>
        <w:ind w:leftChars="-7" w:right="480" w:hanging="14" w:hangingChars="7"/>
        <w:jc w:val="center"/>
        <w:rPr>
          <w:rFonts w:hAnsi="宋体"/>
          <w:bCs/>
          <w:color w:val="000000" w:themeColor="text1"/>
          <w:szCs w:val="21"/>
          <w14:textFill>
            <w14:solidFill>
              <w14:schemeClr w14:val="tx1"/>
            </w14:solidFill>
          </w14:textFill>
        </w:rPr>
      </w:pPr>
      <w:r>
        <w:rPr>
          <w:rFonts w:hint="eastAsia" w:hAnsi="宋体"/>
          <w:bCs/>
          <w:color w:val="000000" w:themeColor="text1"/>
          <w:szCs w:val="21"/>
          <w14:textFill>
            <w14:solidFill>
              <w14:schemeClr w14:val="tx1"/>
            </w14:solidFill>
          </w14:textFill>
        </w:rPr>
        <w:t xml:space="preserve">                                                    合同编号：</w:t>
      </w:r>
    </w:p>
    <w:p>
      <w:pPr>
        <w:snapToGrid w:val="0"/>
        <w:spacing w:line="360" w:lineRule="exact"/>
        <w:rPr>
          <w:rFonts w:ascii="宋体" w:hAnsi="宋体"/>
          <w:color w:val="000000" w:themeColor="text1"/>
          <w:szCs w:val="21"/>
          <w14:textFill>
            <w14:solidFill>
              <w14:schemeClr w14:val="tx1"/>
            </w14:solidFill>
          </w14:textFill>
        </w:rPr>
      </w:pPr>
    </w:p>
    <w:p>
      <w:pPr>
        <w:snapToGrid w:val="0"/>
        <w:spacing w:line="36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采购单位（甲方）：</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pacing w:val="-20"/>
          <w:szCs w:val="21"/>
          <w14:textFill>
            <w14:solidFill>
              <w14:schemeClr w14:val="tx1"/>
            </w14:solidFill>
          </w14:textFill>
        </w:rPr>
        <w:t>采 购 计 划 号 ：</w:t>
      </w:r>
      <w:r>
        <w:rPr>
          <w:rFonts w:hint="eastAsia" w:ascii="宋体" w:hAnsi="宋体"/>
          <w:color w:val="000000" w:themeColor="text1"/>
          <w:szCs w:val="21"/>
          <w:u w:val="single"/>
          <w14:textFill>
            <w14:solidFill>
              <w14:schemeClr w14:val="tx1"/>
            </w14:solidFill>
          </w14:textFill>
        </w:rPr>
        <w:t xml:space="preserve"> 浦采监〖    〗   号            </w:t>
      </w:r>
    </w:p>
    <w:p>
      <w:pPr>
        <w:snapToGrid w:val="0"/>
        <w:spacing w:line="36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供 应 商（乙方）：</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项 目 编 号：</w:t>
      </w:r>
      <w:r>
        <w:rPr>
          <w:rFonts w:hint="eastAsia" w:ascii="宋体" w:hAnsi="宋体"/>
          <w:color w:val="000000" w:themeColor="text1"/>
          <w:szCs w:val="21"/>
          <w:u w:val="single"/>
          <w14:textFill>
            <w14:solidFill>
              <w14:schemeClr w14:val="tx1"/>
            </w14:solidFill>
          </w14:textFill>
        </w:rPr>
        <w:t xml:space="preserve">                           </w:t>
      </w:r>
    </w:p>
    <w:p>
      <w:pPr>
        <w:snapToGrid w:val="0"/>
        <w:spacing w:line="36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签  订  地  点：</w:t>
      </w:r>
      <w:r>
        <w:rPr>
          <w:rFonts w:hint="eastAsia" w:ascii="宋体" w:hAnsi="宋体"/>
          <w:color w:val="000000" w:themeColor="text1"/>
          <w:szCs w:val="21"/>
          <w:u w:val="single"/>
          <w14:textFill>
            <w14:solidFill>
              <w14:schemeClr w14:val="tx1"/>
            </w14:solidFill>
          </w14:textFill>
        </w:rPr>
        <w:t xml:space="preserve">   采购人所在地           </w:t>
      </w:r>
      <w:r>
        <w:rPr>
          <w:rFonts w:hint="eastAsia" w:ascii="宋体" w:hAnsi="宋体"/>
          <w:color w:val="000000" w:themeColor="text1"/>
          <w:szCs w:val="21"/>
          <w14:textFill>
            <w14:solidFill>
              <w14:schemeClr w14:val="tx1"/>
            </w14:solidFill>
          </w14:textFill>
        </w:rPr>
        <w:t xml:space="preserve">  签 订 时 间：</w:t>
      </w:r>
      <w:r>
        <w:rPr>
          <w:rFonts w:hint="eastAsia" w:ascii="宋体" w:hAnsi="宋体"/>
          <w:color w:val="000000" w:themeColor="text1"/>
          <w:szCs w:val="21"/>
          <w:u w:val="single"/>
          <w14:textFill>
            <w14:solidFill>
              <w14:schemeClr w14:val="tx1"/>
            </w14:solidFill>
          </w14:textFill>
        </w:rPr>
        <w:t xml:space="preserve">                          </w:t>
      </w:r>
    </w:p>
    <w:p>
      <w:pPr>
        <w:pStyle w:val="10"/>
        <w:tabs>
          <w:tab w:val="left" w:pos="5220"/>
        </w:tabs>
        <w:spacing w:line="400" w:lineRule="exact"/>
        <w:ind w:firstLine="420" w:firstLineChars="200"/>
        <w:rPr>
          <w:rFonts w:hAnsi="宋体" w:cs="宋体"/>
        </w:rPr>
      </w:pPr>
      <w:r>
        <w:rPr>
          <w:rFonts w:hint="eastAsia" w:hAnsi="宋体" w:cs="宋体"/>
        </w:rPr>
        <w:t>根据《中华人民共和国政府采购法》、《中华人民共和国合同法》等法律、法规规定，按照磋商文件规定条款和成交供应商承诺，甲乙双方签订本合同。</w:t>
      </w:r>
    </w:p>
    <w:p>
      <w:pPr>
        <w:pStyle w:val="10"/>
        <w:tabs>
          <w:tab w:val="left" w:pos="5145"/>
        </w:tabs>
        <w:spacing w:line="400" w:lineRule="exact"/>
        <w:rPr>
          <w:rFonts w:hAnsi="宋体"/>
          <w:b/>
          <w:bCs/>
        </w:rPr>
      </w:pPr>
      <w:r>
        <w:rPr>
          <w:rFonts w:hint="eastAsia" w:hAnsi="宋体"/>
          <w:b/>
          <w:bCs/>
        </w:rPr>
        <w:t>第一条  项目</w:t>
      </w:r>
    </w:p>
    <w:p>
      <w:pPr>
        <w:pStyle w:val="10"/>
        <w:tabs>
          <w:tab w:val="left" w:pos="5220"/>
        </w:tabs>
        <w:spacing w:line="400" w:lineRule="exact"/>
        <w:ind w:firstLine="420" w:firstLineChars="200"/>
        <w:rPr>
          <w:rFonts w:hAnsi="宋体"/>
          <w:u w:val="single"/>
        </w:rPr>
      </w:pPr>
      <w:r>
        <w:rPr>
          <w:rFonts w:hint="eastAsia" w:hAnsi="宋体"/>
        </w:rPr>
        <w:t>1.服务一览表：</w:t>
      </w:r>
      <w:r>
        <w:rPr>
          <w:rFonts w:hint="eastAsia" w:hAnsi="宋体"/>
          <w:u w:val="single"/>
        </w:rPr>
        <w:t>详见附件中投标报价表</w:t>
      </w:r>
    </w:p>
    <w:p>
      <w:pPr>
        <w:pStyle w:val="10"/>
        <w:tabs>
          <w:tab w:val="left" w:pos="5220"/>
        </w:tabs>
        <w:spacing w:line="400" w:lineRule="exact"/>
        <w:ind w:firstLine="420" w:firstLineChars="200"/>
        <w:rPr>
          <w:rFonts w:hAnsi="宋体" w:cs="宋体"/>
        </w:rPr>
      </w:pPr>
      <w:r>
        <w:rPr>
          <w:rFonts w:hint="eastAsia" w:hAnsi="宋体" w:cs="宋体"/>
        </w:rPr>
        <w:t>2.合同价款即中标价款为：</w:t>
      </w:r>
      <w:r>
        <w:rPr>
          <w:rFonts w:hint="eastAsia" w:hAnsi="宋体" w:cs="宋体"/>
          <w:u w:val="single"/>
        </w:rPr>
        <w:t>（大写）人民币　　　　　　    （￥　　　　　　 元）</w:t>
      </w:r>
      <w:r>
        <w:rPr>
          <w:rFonts w:hint="eastAsia" w:hAnsi="宋体" w:cs="宋体"/>
        </w:rPr>
        <w:t>。（详见投标报价表）</w:t>
      </w:r>
    </w:p>
    <w:p>
      <w:pPr>
        <w:pStyle w:val="10"/>
        <w:tabs>
          <w:tab w:val="left" w:pos="5220"/>
        </w:tabs>
        <w:spacing w:line="400" w:lineRule="exact"/>
        <w:ind w:firstLine="420" w:firstLineChars="200"/>
        <w:rPr>
          <w:rFonts w:hAnsi="宋体" w:cs="宋体"/>
        </w:rPr>
      </w:pPr>
      <w:r>
        <w:rPr>
          <w:rFonts w:hint="eastAsia" w:hAnsi="宋体" w:cs="宋体"/>
        </w:rPr>
        <w:t>3.乙方须根据磋商文件的规定，完成系统的升级、运行维护工作。前述必须满足本项目《竞争性磋商文件》第三章采购项目需求一览表的各项要求及符合磋商文件的各项规定。</w:t>
      </w:r>
    </w:p>
    <w:p>
      <w:pPr>
        <w:pStyle w:val="10"/>
        <w:tabs>
          <w:tab w:val="left" w:pos="5145"/>
        </w:tabs>
        <w:spacing w:line="400" w:lineRule="exact"/>
        <w:rPr>
          <w:rFonts w:hAnsi="宋体"/>
          <w:b/>
          <w:bCs/>
        </w:rPr>
      </w:pPr>
      <w:r>
        <w:rPr>
          <w:rFonts w:hint="eastAsia" w:hAnsi="宋体"/>
          <w:b/>
          <w:bCs/>
        </w:rPr>
        <w:t>第二条  质量保证</w:t>
      </w:r>
    </w:p>
    <w:p>
      <w:pPr>
        <w:pStyle w:val="10"/>
        <w:tabs>
          <w:tab w:val="left" w:pos="5220"/>
        </w:tabs>
        <w:spacing w:line="400" w:lineRule="exact"/>
        <w:ind w:firstLine="420" w:firstLineChars="200"/>
        <w:rPr>
          <w:rFonts w:hAnsi="宋体" w:cs="宋体"/>
        </w:rPr>
      </w:pPr>
      <w:r>
        <w:rPr>
          <w:rFonts w:hint="eastAsia" w:hAnsi="宋体" w:cs="宋体"/>
        </w:rPr>
        <w:t>乙方所提供的服务成果、数量、项目技术参数等质量必须与</w:t>
      </w:r>
      <w:r>
        <w:rPr>
          <w:rFonts w:hint="eastAsia" w:hAnsi="宋体"/>
          <w:color w:val="000000" w:themeColor="text1"/>
          <w14:textFill>
            <w14:solidFill>
              <w14:schemeClr w14:val="tx1"/>
            </w14:solidFill>
          </w14:textFill>
        </w:rPr>
        <w:t>磋商文件和承诺相一致。</w:t>
      </w:r>
      <w:r>
        <w:rPr>
          <w:rFonts w:hint="eastAsia" w:hAnsi="宋体" w:cs="宋体"/>
        </w:rPr>
        <w:t>乙方所提供的服务成果在正常使用和保养条件下，其使用寿命期内各项指标均达到质量要求。涉及的节能和环保陈品必须是列入政府采购清单的产品。</w:t>
      </w:r>
    </w:p>
    <w:p>
      <w:pPr>
        <w:pStyle w:val="10"/>
        <w:tabs>
          <w:tab w:val="left" w:pos="5940"/>
        </w:tabs>
        <w:spacing w:line="400" w:lineRule="exact"/>
        <w:rPr>
          <w:rFonts w:hAnsi="宋体"/>
          <w:b/>
          <w:bCs/>
        </w:rPr>
      </w:pPr>
      <w:r>
        <w:rPr>
          <w:rFonts w:hint="eastAsia" w:hAnsi="宋体"/>
          <w:b/>
          <w:bCs/>
        </w:rPr>
        <w:t>第三条  付款方式</w:t>
      </w:r>
    </w:p>
    <w:p>
      <w:pPr>
        <w:pStyle w:val="10"/>
        <w:tabs>
          <w:tab w:val="left" w:pos="5220"/>
        </w:tabs>
        <w:spacing w:line="400" w:lineRule="exact"/>
        <w:ind w:firstLine="420" w:firstLineChars="200"/>
        <w:rPr>
          <w:rFonts w:hAnsi="宋体" w:cs="宋体"/>
        </w:rPr>
      </w:pPr>
      <w:r>
        <w:rPr>
          <w:rFonts w:hint="eastAsia" w:hAnsi="宋体" w:cs="宋体"/>
        </w:rPr>
        <w:t xml:space="preserve">付款方式： </w:t>
      </w:r>
      <w:r>
        <w:rPr>
          <w:rFonts w:hint="eastAsia" w:hAnsi="宋体" w:cs="宋体"/>
          <w:u w:val="single"/>
        </w:rPr>
        <w:t xml:space="preserve">                                                            </w:t>
      </w:r>
      <w:r>
        <w:rPr>
          <w:rFonts w:hint="eastAsia" w:hAnsi="宋体" w:cs="宋体"/>
        </w:rPr>
        <w:t xml:space="preserve"> </w:t>
      </w:r>
    </w:p>
    <w:p>
      <w:pPr>
        <w:pStyle w:val="10"/>
        <w:tabs>
          <w:tab w:val="left" w:pos="5940"/>
        </w:tabs>
        <w:spacing w:line="400" w:lineRule="exact"/>
        <w:rPr>
          <w:rFonts w:hAnsi="宋体"/>
          <w:b/>
          <w:bCs/>
        </w:rPr>
      </w:pPr>
      <w:r>
        <w:rPr>
          <w:rFonts w:hint="eastAsia" w:hAnsi="宋体"/>
          <w:b/>
          <w:bCs/>
        </w:rPr>
        <w:t>第四条  交付与验收</w:t>
      </w:r>
    </w:p>
    <w:p>
      <w:pPr>
        <w:pStyle w:val="10"/>
        <w:tabs>
          <w:tab w:val="left" w:pos="5940"/>
        </w:tabs>
        <w:spacing w:line="400" w:lineRule="exact"/>
        <w:ind w:firstLine="420" w:firstLineChars="200"/>
        <w:rPr>
          <w:rFonts w:hAnsi="宋体" w:cs="宋体"/>
        </w:rPr>
      </w:pPr>
      <w:r>
        <w:rPr>
          <w:rFonts w:hint="eastAsia" w:hAnsi="宋体" w:cs="宋体"/>
        </w:rPr>
        <w:t>1.交付服务时间：</w:t>
      </w:r>
      <w:r>
        <w:rPr>
          <w:rFonts w:hint="eastAsia" w:hAnsi="宋体" w:cs="宋体"/>
          <w:u w:val="single"/>
        </w:rPr>
        <w:t xml:space="preserve">                  </w:t>
      </w:r>
      <w:r>
        <w:rPr>
          <w:rFonts w:hint="eastAsia" w:hAnsi="宋体" w:cs="宋体"/>
        </w:rPr>
        <w:t>、交付服务地点：</w:t>
      </w:r>
      <w:r>
        <w:rPr>
          <w:rFonts w:hint="eastAsia" w:hAnsi="宋体" w:cs="宋体"/>
          <w:u w:val="single"/>
        </w:rPr>
        <w:t xml:space="preserve">                   </w:t>
      </w:r>
      <w:r>
        <w:rPr>
          <w:rFonts w:hint="eastAsia" w:hAnsi="宋体" w:cs="宋体"/>
        </w:rPr>
        <w:t xml:space="preserve"> 。 </w:t>
      </w:r>
    </w:p>
    <w:p>
      <w:pPr>
        <w:pStyle w:val="10"/>
        <w:tabs>
          <w:tab w:val="left" w:pos="5940"/>
        </w:tabs>
        <w:spacing w:line="400" w:lineRule="exact"/>
        <w:ind w:firstLine="420" w:firstLineChars="200"/>
        <w:rPr>
          <w:rFonts w:hAnsi="宋体" w:cs="宋体"/>
        </w:rPr>
      </w:pPr>
      <w:r>
        <w:rPr>
          <w:rFonts w:hint="eastAsia" w:hAnsi="宋体" w:cs="宋体"/>
        </w:rPr>
        <w:t>2.乙方提供不符合磋商文件和合同规定的服务成果，甲方有权拒绝接受。</w:t>
      </w:r>
    </w:p>
    <w:p>
      <w:pPr>
        <w:pStyle w:val="10"/>
        <w:tabs>
          <w:tab w:val="left" w:pos="5940"/>
        </w:tabs>
        <w:spacing w:line="400" w:lineRule="exact"/>
        <w:ind w:firstLine="420" w:firstLineChars="200"/>
        <w:rPr>
          <w:rFonts w:hAnsi="宋体" w:cs="宋体"/>
        </w:rPr>
      </w:pPr>
      <w:r>
        <w:rPr>
          <w:rFonts w:hint="eastAsia" w:hAnsi="宋体" w:cs="宋体"/>
        </w:rPr>
        <w:t>3.乙方必选按投标文件承诺的服务响应条款向甲方提供服务。</w:t>
      </w:r>
    </w:p>
    <w:p>
      <w:pPr>
        <w:pStyle w:val="10"/>
        <w:tabs>
          <w:tab w:val="left" w:pos="5940"/>
        </w:tabs>
        <w:spacing w:line="400" w:lineRule="exact"/>
        <w:ind w:firstLine="420" w:firstLineChars="200"/>
        <w:rPr>
          <w:rFonts w:hAnsi="宋体" w:cs="宋体"/>
        </w:rPr>
      </w:pPr>
      <w:r>
        <w:rPr>
          <w:rFonts w:hint="eastAsia" w:hAnsi="宋体" w:cs="宋体"/>
        </w:rPr>
        <w:t xml:space="preserve">4.乙方应对提交的服务成果作出全面检查和整理，并列出清单，作为甲方验收和使用的技术条件依据，清单应随提交的服务成果交给甲方。 </w:t>
      </w:r>
    </w:p>
    <w:p>
      <w:pPr>
        <w:pStyle w:val="10"/>
        <w:tabs>
          <w:tab w:val="left" w:pos="5940"/>
        </w:tabs>
        <w:spacing w:line="400" w:lineRule="exact"/>
        <w:ind w:firstLine="420" w:firstLineChars="200"/>
        <w:rPr>
          <w:rFonts w:hAnsi="宋体" w:cs="宋体"/>
        </w:rPr>
      </w:pPr>
      <w:r>
        <w:rPr>
          <w:rFonts w:hint="eastAsia" w:hAnsi="宋体" w:cs="宋体"/>
        </w:rPr>
        <w:t>5.乙方在指定地点提交服务成果后（调试完成），甲方应在七个工作日内依据磋商文件、乙方的投标文件等组织验收。逾期不验收的，乙方可视同验收合格。验收合格后由甲乙双方签署服务成果验收单并加盖甲乙双方单位公章，甲乙双方各执一份。</w:t>
      </w:r>
    </w:p>
    <w:p>
      <w:pPr>
        <w:pStyle w:val="10"/>
        <w:tabs>
          <w:tab w:val="left" w:pos="5940"/>
        </w:tabs>
        <w:spacing w:line="400" w:lineRule="exact"/>
        <w:ind w:firstLine="420" w:firstLineChars="200"/>
        <w:rPr>
          <w:rFonts w:hAnsi="宋体" w:cs="宋体"/>
        </w:rPr>
      </w:pPr>
      <w:r>
        <w:rPr>
          <w:rFonts w:hint="eastAsia" w:hAnsi="宋体" w:cs="宋体"/>
        </w:rPr>
        <w:t>6.甲方委托采购代理机构组织的验收项目，其验收时间以该项目验收方案确定的验收时间为准，验收结果以该项目验收报告结论为准。在验收过程中发现乙方由违约问题，可暂缓资金结算，待违约问题解决后，方可办理资金结算事宜。</w:t>
      </w:r>
    </w:p>
    <w:p>
      <w:pPr>
        <w:pStyle w:val="10"/>
        <w:tabs>
          <w:tab w:val="left" w:pos="5940"/>
        </w:tabs>
        <w:spacing w:line="400" w:lineRule="exact"/>
        <w:ind w:firstLine="420" w:firstLineChars="200"/>
        <w:rPr>
          <w:rFonts w:hAnsi="宋体" w:cs="宋体"/>
          <w:u w:val="single"/>
        </w:rPr>
      </w:pPr>
      <w:r>
        <w:rPr>
          <w:rFonts w:hint="eastAsia" w:hAnsi="宋体" w:cs="宋体"/>
        </w:rPr>
        <w:t>7.甲方对验收有异议的，在验收后五个工作日内以书面形式向乙方提出，乙方应自收到甲方书面异议后</w:t>
      </w:r>
      <w:r>
        <w:rPr>
          <w:rFonts w:hint="eastAsia" w:hAnsi="宋体" w:cs="宋体"/>
          <w:u w:val="single"/>
        </w:rPr>
        <w:t xml:space="preserve"> 7 </w:t>
      </w:r>
      <w:r>
        <w:rPr>
          <w:rFonts w:hint="eastAsia" w:hAnsi="宋体" w:cs="宋体"/>
        </w:rPr>
        <w:t>日内及时予以解决。</w:t>
      </w:r>
    </w:p>
    <w:p>
      <w:pPr>
        <w:pStyle w:val="10"/>
        <w:spacing w:line="400" w:lineRule="exact"/>
        <w:ind w:left="358" w:hanging="358" w:hangingChars="170"/>
        <w:rPr>
          <w:rFonts w:hAnsi="宋体"/>
          <w:b/>
        </w:rPr>
      </w:pPr>
      <w:r>
        <w:rPr>
          <w:rFonts w:hint="eastAsia" w:hAnsi="宋体"/>
          <w:b/>
          <w:bCs/>
        </w:rPr>
        <w:t>第五条  履约保证金</w:t>
      </w:r>
    </w:p>
    <w:p>
      <w:pPr>
        <w:pStyle w:val="10"/>
        <w:tabs>
          <w:tab w:val="left" w:pos="5145"/>
        </w:tabs>
        <w:spacing w:line="400" w:lineRule="exact"/>
        <w:ind w:firstLine="420" w:firstLineChars="200"/>
        <w:rPr>
          <w:rFonts w:hAnsi="宋体"/>
          <w:b/>
        </w:rPr>
      </w:pPr>
      <w:r>
        <w:rPr>
          <w:rFonts w:hint="eastAsia" w:hAnsi="宋体"/>
        </w:rPr>
        <w:t>1.乙方交纳（大写）人民币</w:t>
      </w:r>
      <w:r>
        <w:rPr>
          <w:rFonts w:hint="eastAsia" w:hAnsi="宋体"/>
          <w:u w:val="single"/>
        </w:rPr>
        <w:t xml:space="preserve">　　　　　　        </w:t>
      </w:r>
      <w:r>
        <w:rPr>
          <w:rFonts w:hint="eastAsia" w:hAnsi="宋体"/>
        </w:rPr>
        <w:t>（￥</w:t>
      </w:r>
      <w:r>
        <w:rPr>
          <w:rFonts w:hint="eastAsia" w:hAnsi="宋体"/>
          <w:u w:val="single"/>
        </w:rPr>
        <w:t xml:space="preserve">　　　　　　 </w:t>
      </w:r>
      <w:r>
        <w:rPr>
          <w:rFonts w:hint="eastAsia" w:hAnsi="宋体"/>
        </w:rPr>
        <w:t>元）作为本合同的履约保证金。</w:t>
      </w:r>
    </w:p>
    <w:p>
      <w:pPr>
        <w:pStyle w:val="10"/>
        <w:spacing w:line="400" w:lineRule="exact"/>
        <w:ind w:firstLine="420" w:firstLineChars="200"/>
        <w:rPr>
          <w:rFonts w:hAnsi="宋体"/>
        </w:rPr>
      </w:pPr>
      <w:r>
        <w:rPr>
          <w:rFonts w:hint="eastAsia" w:hAnsi="宋体"/>
        </w:rPr>
        <w:t>2.履约保证金作为违约金的一部分用于补偿甲方因乙方不能完成其合同义务而蒙受的损失。</w:t>
      </w:r>
    </w:p>
    <w:p>
      <w:pPr>
        <w:pStyle w:val="10"/>
        <w:spacing w:line="288" w:lineRule="auto"/>
        <w:rPr>
          <w:rFonts w:hAnsi="宋体"/>
          <w:color w:val="000000"/>
        </w:rPr>
      </w:pPr>
      <w:r>
        <w:rPr>
          <w:rFonts w:hint="eastAsia" w:hAnsi="宋体"/>
          <w:b/>
          <w:bCs/>
        </w:rPr>
        <w:t xml:space="preserve">第六条  </w:t>
      </w:r>
      <w:r>
        <w:rPr>
          <w:rFonts w:hint="eastAsia" w:hAnsi="宋体"/>
          <w:b/>
          <w:bCs/>
          <w:color w:val="000000"/>
        </w:rPr>
        <w:t>违约责任</w:t>
      </w:r>
    </w:p>
    <w:p>
      <w:pPr>
        <w:pStyle w:val="10"/>
        <w:spacing w:line="288" w:lineRule="auto"/>
        <w:ind w:firstLine="420"/>
        <w:rPr>
          <w:rFonts w:hAnsi="宋体"/>
          <w:color w:val="000000"/>
        </w:rPr>
      </w:pPr>
      <w:r>
        <w:rPr>
          <w:rFonts w:hint="eastAsia" w:hAnsi="宋体"/>
          <w:color w:val="000000"/>
        </w:rPr>
        <w:t>1.乙方所提供的货物规格、技术标准、材料等质量不合格的，应及时更换，更换不及时的按逾期交货处罚；因质量问题甲方不同意接收的或特殊情况甲方同意接收的，乙方应向甲方支付违约货款额5%违约金并赔偿甲方经济损失。</w:t>
      </w:r>
      <w:r>
        <w:rPr>
          <w:rFonts w:hint="eastAsia" w:hAnsi="宋体"/>
          <w:color w:val="000000"/>
        </w:rPr>
        <w:br w:type="textWrapping"/>
      </w:r>
      <w:r>
        <w:rPr>
          <w:rFonts w:hint="eastAsia" w:hAnsi="宋体"/>
          <w:color w:val="000000"/>
        </w:rPr>
        <w:t xml:space="preserve">   2.因包装、运输引起的货物损坏，按质量不合格处罚。</w:t>
      </w:r>
      <w:r>
        <w:rPr>
          <w:rFonts w:hint="eastAsia" w:hAnsi="宋体"/>
          <w:color w:val="000000"/>
        </w:rPr>
        <w:br w:type="textWrapping"/>
      </w:r>
      <w:r>
        <w:rPr>
          <w:rFonts w:hint="eastAsia" w:hAnsi="宋体"/>
          <w:color w:val="000000"/>
        </w:rPr>
        <w:t xml:space="preserve">   3.甲方无故延期接收货物、乙方逾期交货的，每天向对方偿付违约货款额3‰违约金，超过 30 天对方有权解除合同，违约方承担因此给对方造成经济损失；甲方延期付货款的，每天向乙方偿付延期货款额万分之五滞纳金。</w:t>
      </w:r>
      <w:r>
        <w:rPr>
          <w:rFonts w:hint="eastAsia" w:hAnsi="宋体"/>
          <w:color w:val="000000"/>
        </w:rPr>
        <w:br w:type="textWrapping"/>
      </w:r>
      <w:r>
        <w:rPr>
          <w:rFonts w:hint="eastAsia" w:hAnsi="宋体"/>
          <w:color w:val="000000"/>
        </w:rPr>
        <w:t xml:space="preserve">   4.乙方未按本合同和响应文件中规定的服务承诺提供服务的，乙方应按本合同合计金额10%向甲方支付违约金，甲方有权解除合同。</w:t>
      </w:r>
      <w:r>
        <w:rPr>
          <w:rFonts w:hint="eastAsia" w:hAnsi="宋体"/>
          <w:color w:val="000000"/>
        </w:rPr>
        <w:br w:type="textWrapping"/>
      </w:r>
      <w:r>
        <w:rPr>
          <w:rFonts w:hint="eastAsia" w:hAnsi="宋体"/>
          <w:color w:val="000000"/>
        </w:rPr>
        <w:t xml:space="preserve">   5.乙方提供的货物在质量保证期内，因设计、工艺或材料的缺陷和其它质量原因造成的问题，由乙方负责，费用从质量保证金中扣除，不足另补。</w:t>
      </w:r>
      <w:r>
        <w:rPr>
          <w:rFonts w:hint="eastAsia" w:hAnsi="宋体"/>
          <w:color w:val="000000"/>
        </w:rPr>
        <w:br w:type="textWrapping"/>
      </w:r>
      <w:r>
        <w:rPr>
          <w:rFonts w:hint="eastAsia" w:hAnsi="宋体"/>
          <w:color w:val="000000"/>
        </w:rPr>
        <w:t xml:space="preserve">   6.其它违约行为按违约货款额10%收取违约金。</w:t>
      </w:r>
      <w:r>
        <w:rPr>
          <w:rFonts w:hint="eastAsia" w:hAnsi="宋体"/>
          <w:color w:val="000000"/>
        </w:rPr>
        <w:br w:type="textWrapping"/>
      </w:r>
      <w:r>
        <w:rPr>
          <w:rFonts w:hint="eastAsia" w:hAnsi="宋体"/>
          <w:color w:val="000000"/>
        </w:rPr>
        <w:t xml:space="preserve">   7.乙方支付的违约金不足以弥补甲方损失的，还应承担赔偿责任。</w:t>
      </w:r>
    </w:p>
    <w:p>
      <w:pPr>
        <w:pStyle w:val="10"/>
        <w:spacing w:line="288" w:lineRule="auto"/>
        <w:rPr>
          <w:rFonts w:hAnsi="宋体"/>
          <w:b/>
          <w:bCs/>
          <w:color w:val="000000"/>
        </w:rPr>
      </w:pPr>
      <w:r>
        <w:rPr>
          <w:rFonts w:hint="eastAsia" w:hAnsi="宋体"/>
          <w:b/>
          <w:bCs/>
          <w:color w:val="000000"/>
        </w:rPr>
        <w:t>第七条  不可抗力事件处理</w:t>
      </w:r>
    </w:p>
    <w:p>
      <w:pPr>
        <w:pStyle w:val="10"/>
        <w:spacing w:line="288" w:lineRule="auto"/>
        <w:ind w:firstLine="420"/>
        <w:rPr>
          <w:rFonts w:hAnsi="宋体"/>
          <w:bCs/>
          <w:color w:val="000000"/>
        </w:rPr>
      </w:pPr>
      <w:r>
        <w:rPr>
          <w:rFonts w:hint="eastAsia" w:hAnsi="宋体"/>
          <w:bCs/>
          <w:color w:val="000000"/>
        </w:rPr>
        <w:t>1.在合同有效期限内，任何一方因不可抗力事件导致不能履行合同，则合同履行期可延长，其延长期与不可抗力影响期相同。由于不可抗力事件导致合同根本目的不能实现时，任何一方均可解除合同。</w:t>
      </w:r>
    </w:p>
    <w:p>
      <w:pPr>
        <w:pStyle w:val="10"/>
        <w:spacing w:line="288" w:lineRule="auto"/>
        <w:ind w:firstLine="420"/>
        <w:rPr>
          <w:rFonts w:hAnsi="宋体"/>
          <w:bCs/>
          <w:color w:val="000000"/>
        </w:rPr>
      </w:pPr>
      <w:r>
        <w:rPr>
          <w:rFonts w:hint="eastAsia" w:hAnsi="宋体"/>
          <w:bCs/>
          <w:color w:val="000000"/>
        </w:rPr>
        <w:t>2.不可抗力事件发生后，一方应及时通知对方，并在不可抗力事件发生的7天内提供有关权威机构出具的证明。</w:t>
      </w:r>
    </w:p>
    <w:p>
      <w:pPr>
        <w:pStyle w:val="10"/>
        <w:spacing w:line="288" w:lineRule="auto"/>
        <w:ind w:firstLine="420"/>
        <w:rPr>
          <w:rFonts w:hAnsi="宋体"/>
          <w:bCs/>
          <w:color w:val="000000"/>
        </w:rPr>
      </w:pPr>
      <w:r>
        <w:rPr>
          <w:rFonts w:hint="eastAsia" w:hAnsi="宋体"/>
          <w:bCs/>
          <w:color w:val="000000"/>
        </w:rPr>
        <w:t>3.不可抗力事件延续120天以上，双方应通过友好协商，确定是否继续履行合同。</w:t>
      </w:r>
    </w:p>
    <w:p>
      <w:pPr>
        <w:pStyle w:val="10"/>
        <w:spacing w:line="288" w:lineRule="auto"/>
        <w:ind w:firstLine="420" w:firstLineChars="200"/>
        <w:rPr>
          <w:rFonts w:hAnsi="宋体"/>
          <w:bCs/>
          <w:color w:val="000000"/>
        </w:rPr>
      </w:pPr>
      <w:r>
        <w:rPr>
          <w:rFonts w:hint="eastAsia" w:hAnsi="宋体"/>
          <w:bCs/>
          <w:color w:val="000000"/>
        </w:rPr>
        <w:t>4.“不可抗力事件”是指包括因战争、动乱、风雨、雪、洪、震等自然灾害、空中飞行物体坠落或其他非甲方、乙方责任造成的爆炸、火灾等。</w:t>
      </w:r>
    </w:p>
    <w:p>
      <w:pPr>
        <w:pStyle w:val="10"/>
        <w:spacing w:line="288" w:lineRule="auto"/>
        <w:rPr>
          <w:rFonts w:hAnsi="宋体"/>
          <w:b/>
          <w:bCs/>
          <w:color w:val="000000"/>
        </w:rPr>
      </w:pPr>
      <w:r>
        <w:rPr>
          <w:rFonts w:hint="eastAsia" w:hAnsi="宋体"/>
          <w:b/>
          <w:bCs/>
          <w:color w:val="000000"/>
        </w:rPr>
        <w:t xml:space="preserve">第八条 </w:t>
      </w:r>
      <w:r>
        <w:rPr>
          <w:rFonts w:hAnsi="宋体"/>
          <w:b/>
          <w:bCs/>
          <w:color w:val="000000"/>
        </w:rPr>
        <w:t>提出异议的时间和方法</w:t>
      </w:r>
    </w:p>
    <w:p>
      <w:pPr>
        <w:pStyle w:val="10"/>
        <w:spacing w:line="288" w:lineRule="auto"/>
        <w:ind w:firstLine="420"/>
        <w:rPr>
          <w:rFonts w:hAnsi="宋体"/>
          <w:bCs/>
        </w:rPr>
      </w:pPr>
      <w:r>
        <w:rPr>
          <w:rFonts w:hint="eastAsia" w:hAnsi="宋体"/>
          <w:bCs/>
        </w:rPr>
        <w:t>1.</w:t>
      </w:r>
      <w:r>
        <w:rPr>
          <w:rFonts w:hAnsi="宋体"/>
          <w:bCs/>
        </w:rPr>
        <w:t>甲方在验收中如发现货物的品种、型号、规格、花色和质量不合规定或约定，应在妥</w:t>
      </w:r>
      <w:r>
        <w:rPr>
          <w:rFonts w:hint="eastAsia" w:hAnsi="宋体"/>
          <w:bCs/>
        </w:rPr>
        <w:t>善</w:t>
      </w:r>
      <w:r>
        <w:rPr>
          <w:rFonts w:hAnsi="宋体"/>
          <w:bCs/>
        </w:rPr>
        <w:t>保管货物的同时，自收到货物后</w:t>
      </w:r>
      <w:r>
        <w:rPr>
          <w:rFonts w:hint="eastAsia" w:hAnsi="宋体"/>
          <w:bCs/>
        </w:rPr>
        <w:t>5</w:t>
      </w:r>
      <w:r>
        <w:rPr>
          <w:rFonts w:hAnsi="宋体"/>
          <w:bCs/>
        </w:rPr>
        <w:t>日内向乙方提出书面</w:t>
      </w:r>
      <w:r>
        <w:rPr>
          <w:rFonts w:hint="eastAsia" w:hAnsi="宋体"/>
          <w:bCs/>
        </w:rPr>
        <w:t>或口头</w:t>
      </w:r>
      <w:r>
        <w:rPr>
          <w:rFonts w:hAnsi="宋体"/>
          <w:bCs/>
        </w:rPr>
        <w:t>异议;</w:t>
      </w:r>
    </w:p>
    <w:p>
      <w:pPr>
        <w:pStyle w:val="10"/>
        <w:spacing w:line="288" w:lineRule="auto"/>
        <w:ind w:firstLine="420"/>
        <w:rPr>
          <w:rFonts w:hAnsi="宋体"/>
          <w:bCs/>
        </w:rPr>
      </w:pPr>
      <w:r>
        <w:rPr>
          <w:rFonts w:hint="eastAsia" w:hAnsi="宋体"/>
          <w:bCs/>
        </w:rPr>
        <w:t>2.</w:t>
      </w:r>
      <w:r>
        <w:rPr>
          <w:rFonts w:hAnsi="宋体"/>
          <w:bCs/>
        </w:rPr>
        <w:t>乙方在接到甲方书面</w:t>
      </w:r>
      <w:r>
        <w:rPr>
          <w:rFonts w:hint="eastAsia" w:hAnsi="宋体"/>
          <w:bCs/>
        </w:rPr>
        <w:t>或口头</w:t>
      </w:r>
      <w:r>
        <w:rPr>
          <w:rFonts w:hAnsi="宋体"/>
          <w:bCs/>
        </w:rPr>
        <w:t>异议后，应在</w:t>
      </w:r>
      <w:r>
        <w:rPr>
          <w:rFonts w:hint="eastAsia" w:hAnsi="宋体"/>
          <w:bCs/>
        </w:rPr>
        <w:t>3</w:t>
      </w:r>
      <w:r>
        <w:rPr>
          <w:rFonts w:hAnsi="宋体"/>
          <w:bCs/>
        </w:rPr>
        <w:t>日内负责处理并通知甲方处理情况，否则，即视为默认甲方提出的异议和处理意见。</w:t>
      </w:r>
    </w:p>
    <w:p>
      <w:pPr>
        <w:pStyle w:val="10"/>
        <w:spacing w:line="288" w:lineRule="auto"/>
        <w:rPr>
          <w:rFonts w:hAnsi="宋体"/>
          <w:b/>
          <w:bCs/>
          <w:color w:val="000000"/>
        </w:rPr>
      </w:pPr>
      <w:r>
        <w:rPr>
          <w:rFonts w:hint="eastAsia" w:hAnsi="宋体"/>
          <w:b/>
          <w:bCs/>
          <w:color w:val="000000"/>
        </w:rPr>
        <w:t>第九条  仲  裁</w:t>
      </w:r>
    </w:p>
    <w:p>
      <w:pPr>
        <w:pStyle w:val="10"/>
        <w:spacing w:line="288" w:lineRule="auto"/>
        <w:ind w:firstLine="420"/>
        <w:rPr>
          <w:rFonts w:hAnsi="宋体"/>
          <w:bCs/>
          <w:color w:val="000000"/>
        </w:rPr>
      </w:pPr>
      <w:r>
        <w:rPr>
          <w:rFonts w:hint="eastAsia" w:hAnsi="宋体"/>
          <w:bCs/>
          <w:color w:val="000000"/>
        </w:rPr>
        <w:t>1.双方在履行合同中所发生的一切争议，应通过协商解决。如协商不成，按合同事先约定的条款，向钦州仲裁委员会提起仲裁。</w:t>
      </w:r>
    </w:p>
    <w:p>
      <w:pPr>
        <w:pStyle w:val="10"/>
        <w:spacing w:line="288" w:lineRule="auto"/>
        <w:rPr>
          <w:rFonts w:hAnsi="宋体"/>
          <w:b/>
          <w:bCs/>
          <w:color w:val="000000"/>
        </w:rPr>
      </w:pPr>
      <w:r>
        <w:rPr>
          <w:rFonts w:hint="eastAsia" w:hAnsi="宋体"/>
          <w:b/>
          <w:bCs/>
          <w:color w:val="000000"/>
        </w:rPr>
        <w:t>第十条 知识产权</w:t>
      </w:r>
    </w:p>
    <w:p>
      <w:pPr>
        <w:pStyle w:val="10"/>
        <w:spacing w:line="288" w:lineRule="auto"/>
        <w:ind w:firstLine="420"/>
        <w:rPr>
          <w:rFonts w:hAnsi="宋体"/>
          <w:bCs/>
          <w:color w:val="000000"/>
        </w:rPr>
      </w:pPr>
      <w:r>
        <w:rPr>
          <w:rFonts w:hint="eastAsia" w:hAnsi="宋体"/>
          <w:bCs/>
          <w:color w:val="000000"/>
        </w:rPr>
        <w:t>1.乙方应保证所提供的货物或其任何一部分均不会侵犯任何第三方的专利权、商标权或著作权。</w:t>
      </w:r>
    </w:p>
    <w:p>
      <w:pPr>
        <w:ind w:firstLine="420" w:firstLineChars="200"/>
      </w:pPr>
      <w:r>
        <w:rPr>
          <w:rFonts w:hint="eastAsia" w:ascii="宋体" w:hAnsi="Courier New"/>
          <w:szCs w:val="22"/>
        </w:rPr>
        <w:t>2.乙方提供的货物如侵犯了第三方合法权益而引发的任何纠纷或诉讼，均由乙方负责交涉并承担全部责任。</w:t>
      </w:r>
    </w:p>
    <w:p/>
    <w:p>
      <w:pPr>
        <w:pStyle w:val="10"/>
        <w:spacing w:line="288" w:lineRule="auto"/>
        <w:rPr>
          <w:rFonts w:hAnsi="宋体"/>
          <w:b/>
          <w:bCs/>
          <w:color w:val="000000"/>
        </w:rPr>
      </w:pPr>
      <w:r>
        <w:rPr>
          <w:rFonts w:hint="eastAsia" w:hAnsi="宋体"/>
          <w:b/>
          <w:bCs/>
          <w:color w:val="000000"/>
        </w:rPr>
        <w:t>第十一条  合同生效及其它</w:t>
      </w:r>
    </w:p>
    <w:p>
      <w:pPr>
        <w:pStyle w:val="10"/>
        <w:spacing w:line="288" w:lineRule="auto"/>
        <w:ind w:firstLine="420"/>
        <w:rPr>
          <w:rFonts w:hAnsi="宋体"/>
          <w:bCs/>
          <w:color w:val="000000"/>
        </w:rPr>
      </w:pPr>
      <w:r>
        <w:rPr>
          <w:rFonts w:hint="eastAsia" w:hAnsi="宋体"/>
          <w:bCs/>
          <w:color w:val="000000"/>
        </w:rPr>
        <w:t>1.合同经双方法定代表人或委托代理人签字并加盖双方单位公章后生效。</w:t>
      </w:r>
    </w:p>
    <w:p>
      <w:pPr>
        <w:pStyle w:val="10"/>
        <w:spacing w:line="288" w:lineRule="auto"/>
        <w:ind w:firstLine="420"/>
        <w:rPr>
          <w:rFonts w:hAnsi="宋体"/>
          <w:color w:val="000000" w:themeColor="text1"/>
          <w14:textFill>
            <w14:solidFill>
              <w14:schemeClr w14:val="tx1"/>
            </w14:solidFill>
          </w14:textFill>
        </w:rPr>
      </w:pPr>
      <w:r>
        <w:rPr>
          <w:rFonts w:hint="eastAsia" w:hAnsi="宋体"/>
          <w:bCs/>
          <w:color w:val="000000"/>
        </w:rPr>
        <w:t>2.合同履行中，如需修改或补充合同内容，由双方协商另签署书面修改或补充协议并经政府采购监督管理部门备案后作为主合同不可分割的一部分。</w:t>
      </w:r>
    </w:p>
    <w:p>
      <w:pPr>
        <w:pStyle w:val="10"/>
        <w:spacing w:line="400" w:lineRule="exact"/>
        <w:rPr>
          <w:rFonts w:hAnsi="宋体"/>
          <w:b/>
          <w:bCs/>
        </w:rPr>
      </w:pPr>
      <w:r>
        <w:rPr>
          <w:rFonts w:hint="eastAsia" w:hAnsi="宋体"/>
          <w:b/>
          <w:bCs/>
        </w:rPr>
        <w:t>第十二条　签订本合同依据</w:t>
      </w:r>
    </w:p>
    <w:p>
      <w:pPr>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1.政府采购磋商文件；</w:t>
      </w:r>
    </w:p>
    <w:p>
      <w:pPr>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2.乙方提供的采购投标（或答应）文件；</w:t>
      </w:r>
    </w:p>
    <w:p>
      <w:pPr>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3.投标承诺书；</w:t>
      </w:r>
    </w:p>
    <w:p>
      <w:pPr>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4.中标或成交通知书。</w:t>
      </w:r>
    </w:p>
    <w:p>
      <w:pPr>
        <w:snapToGrid w:val="0"/>
        <w:spacing w:line="360" w:lineRule="exact"/>
        <w:rPr>
          <w:rFonts w:ascii="宋体" w:hAnsi="宋体"/>
          <w:color w:val="000000" w:themeColor="text1"/>
          <w:szCs w:val="21"/>
          <w14:textFill>
            <w14:solidFill>
              <w14:schemeClr w14:val="tx1"/>
            </w14:solidFill>
          </w14:textFill>
        </w:rPr>
      </w:pPr>
      <w:r>
        <w:rPr>
          <w:rFonts w:hint="eastAsia" w:ascii="宋体" w:hAnsi="宋体" w:cs="Courier New"/>
          <w:b/>
          <w:bCs/>
          <w:szCs w:val="21"/>
        </w:rPr>
        <w:t>第十三条　</w:t>
      </w:r>
      <w:r>
        <w:rPr>
          <w:rFonts w:hint="eastAsia" w:ascii="宋体" w:hAnsi="宋体"/>
          <w:color w:val="000000" w:themeColor="text1"/>
          <w:szCs w:val="21"/>
          <w14:textFill>
            <w14:solidFill>
              <w14:schemeClr w14:val="tx1"/>
            </w14:solidFill>
          </w14:textFill>
        </w:rPr>
        <w:t>本合同一式肆份，具有同等法律效力，财政部门（政府采购监管部门）、采购代理机构各一份，甲方乙方各执两份（可根据需要另增加）。</w:t>
      </w:r>
    </w:p>
    <w:p>
      <w:pPr>
        <w:snapToGrid w:val="0"/>
        <w:spacing w:line="36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本合同甲乙双方签字盖章后生效，自签订之日起七个工作日内，采购人或采购代理机构应当将合同副本报同级财政部门备案。</w:t>
      </w:r>
    </w:p>
    <w:p>
      <w:pPr>
        <w:snapToGrid w:val="0"/>
        <w:spacing w:line="360" w:lineRule="exact"/>
        <w:ind w:firstLine="424" w:firstLineChars="202"/>
        <w:rPr>
          <w:rFonts w:hAnsi="宋体"/>
          <w:bCs/>
          <w:color w:val="000000" w:themeColor="text1"/>
          <w:szCs w:val="21"/>
          <w14:textFill>
            <w14:solidFill>
              <w14:schemeClr w14:val="tx1"/>
            </w14:solidFill>
          </w14:textFill>
        </w:rPr>
      </w:pPr>
    </w:p>
    <w:tbl>
      <w:tblPr>
        <w:tblStyle w:val="18"/>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4516" w:type="dxa"/>
            <w:vAlign w:val="center"/>
          </w:tcPr>
          <w:p>
            <w:pPr>
              <w:snapToGrid w:val="0"/>
              <w:spacing w:line="3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甲方（章）          </w:t>
            </w:r>
          </w:p>
          <w:p>
            <w:pPr>
              <w:snapToGrid w:val="0"/>
              <w:spacing w:line="320" w:lineRule="exact"/>
              <w:ind w:firstLine="945" w:firstLineChars="450"/>
              <w:jc w:val="righ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年   月   日</w:t>
            </w:r>
          </w:p>
        </w:tc>
        <w:tc>
          <w:tcPr>
            <w:tcW w:w="4517" w:type="dxa"/>
            <w:vAlign w:val="center"/>
          </w:tcPr>
          <w:p>
            <w:pPr>
              <w:snapToGrid w:val="0"/>
              <w:spacing w:line="3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乙方（章）              </w:t>
            </w:r>
          </w:p>
          <w:p>
            <w:pPr>
              <w:snapToGrid w:val="0"/>
              <w:spacing w:line="320" w:lineRule="exact"/>
              <w:jc w:val="righ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pPr>
              <w:snapToGrid w:val="0"/>
              <w:spacing w:line="3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单位地址：</w:t>
            </w:r>
          </w:p>
        </w:tc>
        <w:tc>
          <w:tcPr>
            <w:tcW w:w="4517" w:type="dxa"/>
            <w:vAlign w:val="center"/>
          </w:tcPr>
          <w:p>
            <w:pPr>
              <w:snapToGrid w:val="0"/>
              <w:spacing w:line="3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4516" w:type="dxa"/>
            <w:vAlign w:val="center"/>
          </w:tcPr>
          <w:p>
            <w:pPr>
              <w:snapToGrid w:val="0"/>
              <w:spacing w:line="3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法定代表人：</w:t>
            </w:r>
          </w:p>
        </w:tc>
        <w:tc>
          <w:tcPr>
            <w:tcW w:w="4517" w:type="dxa"/>
            <w:vAlign w:val="center"/>
          </w:tcPr>
          <w:p>
            <w:pPr>
              <w:snapToGrid w:val="0"/>
              <w:spacing w:line="3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pPr>
              <w:snapToGrid w:val="0"/>
              <w:spacing w:line="3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委托代理人：</w:t>
            </w:r>
          </w:p>
        </w:tc>
        <w:tc>
          <w:tcPr>
            <w:tcW w:w="4517" w:type="dxa"/>
            <w:vAlign w:val="center"/>
          </w:tcPr>
          <w:p>
            <w:pPr>
              <w:snapToGrid w:val="0"/>
              <w:spacing w:line="3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4516" w:type="dxa"/>
            <w:vAlign w:val="center"/>
          </w:tcPr>
          <w:p>
            <w:pPr>
              <w:snapToGrid w:val="0"/>
              <w:spacing w:line="3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电话：</w:t>
            </w:r>
          </w:p>
        </w:tc>
        <w:tc>
          <w:tcPr>
            <w:tcW w:w="4517" w:type="dxa"/>
            <w:vAlign w:val="center"/>
          </w:tcPr>
          <w:p>
            <w:pPr>
              <w:snapToGrid w:val="0"/>
              <w:spacing w:line="3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3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电子邮箱：</w:t>
            </w:r>
          </w:p>
        </w:tc>
        <w:tc>
          <w:tcPr>
            <w:tcW w:w="4517" w:type="dxa"/>
            <w:vAlign w:val="center"/>
          </w:tcPr>
          <w:p>
            <w:pPr>
              <w:snapToGrid w:val="0"/>
              <w:spacing w:line="3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4516" w:type="dxa"/>
            <w:vAlign w:val="center"/>
          </w:tcPr>
          <w:p>
            <w:pPr>
              <w:snapToGrid w:val="0"/>
              <w:spacing w:line="3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开户银行：</w:t>
            </w:r>
          </w:p>
        </w:tc>
        <w:tc>
          <w:tcPr>
            <w:tcW w:w="4517" w:type="dxa"/>
            <w:vAlign w:val="center"/>
          </w:tcPr>
          <w:p>
            <w:pPr>
              <w:snapToGrid w:val="0"/>
              <w:spacing w:line="3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4516" w:type="dxa"/>
            <w:vAlign w:val="center"/>
          </w:tcPr>
          <w:p>
            <w:pPr>
              <w:snapToGrid w:val="0"/>
              <w:spacing w:line="3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账号：</w:t>
            </w:r>
          </w:p>
        </w:tc>
        <w:tc>
          <w:tcPr>
            <w:tcW w:w="4517" w:type="dxa"/>
            <w:vAlign w:val="center"/>
          </w:tcPr>
          <w:p>
            <w:pPr>
              <w:snapToGrid w:val="0"/>
              <w:spacing w:line="32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36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邮政编码：</w:t>
            </w:r>
          </w:p>
        </w:tc>
        <w:tc>
          <w:tcPr>
            <w:tcW w:w="4517" w:type="dxa"/>
            <w:vAlign w:val="center"/>
          </w:tcPr>
          <w:p>
            <w:pPr>
              <w:snapToGrid w:val="0"/>
              <w:spacing w:line="36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jc w:val="center"/>
        </w:trPr>
        <w:tc>
          <w:tcPr>
            <w:tcW w:w="9033" w:type="dxa"/>
            <w:gridSpan w:val="2"/>
            <w:vAlign w:val="center"/>
          </w:tcPr>
          <w:p>
            <w:pPr>
              <w:snapToGrid w:val="0"/>
              <w:spacing w:line="360" w:lineRule="exac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经办人：</w:t>
            </w:r>
          </w:p>
          <w:p>
            <w:pPr>
              <w:snapToGrid w:val="0"/>
              <w:spacing w:line="360" w:lineRule="exact"/>
              <w:ind w:firstLine="7140" w:firstLineChars="3400"/>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年    月    日</w:t>
            </w:r>
          </w:p>
        </w:tc>
      </w:tr>
    </w:tbl>
    <w:p>
      <w:pPr>
        <w:ind w:firstLine="3935" w:firstLineChars="1400"/>
        <w:rPr>
          <w:b/>
          <w:bCs/>
          <w:sz w:val="28"/>
          <w:szCs w:val="36"/>
        </w:rPr>
      </w:pPr>
    </w:p>
    <w:p>
      <w:pPr>
        <w:rPr>
          <w:b/>
          <w:bCs/>
          <w:sz w:val="28"/>
          <w:szCs w:val="36"/>
        </w:rPr>
      </w:pPr>
    </w:p>
    <w:p>
      <w:pPr>
        <w:pStyle w:val="24"/>
        <w:rPr>
          <w:b/>
          <w:sz w:val="28"/>
          <w:szCs w:val="36"/>
        </w:rPr>
      </w:pPr>
    </w:p>
    <w:p>
      <w:pPr>
        <w:pStyle w:val="24"/>
        <w:rPr>
          <w:b/>
          <w:sz w:val="28"/>
          <w:szCs w:val="36"/>
        </w:rPr>
      </w:pPr>
    </w:p>
    <w:p>
      <w:pPr>
        <w:pStyle w:val="24"/>
        <w:rPr>
          <w:b/>
          <w:sz w:val="28"/>
          <w:szCs w:val="36"/>
        </w:rPr>
      </w:pPr>
    </w:p>
    <w:p>
      <w:pPr>
        <w:pStyle w:val="24"/>
        <w:rPr>
          <w:b/>
          <w:sz w:val="28"/>
          <w:szCs w:val="36"/>
        </w:rPr>
      </w:pPr>
    </w:p>
    <w:p>
      <w:pPr>
        <w:pStyle w:val="24"/>
        <w:rPr>
          <w:b/>
          <w:sz w:val="28"/>
          <w:szCs w:val="36"/>
        </w:rPr>
      </w:pPr>
    </w:p>
    <w:p>
      <w:pPr>
        <w:pStyle w:val="24"/>
        <w:rPr>
          <w:b/>
          <w:sz w:val="28"/>
          <w:szCs w:val="36"/>
        </w:rPr>
      </w:pPr>
    </w:p>
    <w:p>
      <w:pPr>
        <w:ind w:firstLine="3935" w:firstLineChars="1400"/>
        <w:rPr>
          <w:b/>
          <w:bCs/>
          <w:sz w:val="28"/>
          <w:szCs w:val="36"/>
        </w:rPr>
      </w:pPr>
      <w:r>
        <w:rPr>
          <w:rFonts w:hint="eastAsia"/>
          <w:b/>
          <w:bCs/>
          <w:sz w:val="28"/>
          <w:szCs w:val="36"/>
        </w:rPr>
        <w:t>第六章  评分标准</w:t>
      </w:r>
    </w:p>
    <w:p>
      <w:pPr>
        <w:pStyle w:val="10"/>
        <w:numPr>
          <w:ilvl w:val="0"/>
          <w:numId w:val="5"/>
        </w:numPr>
        <w:spacing w:line="360" w:lineRule="exact"/>
        <w:rPr>
          <w:rFonts w:hAnsi="宋体" w:cs="宋体"/>
          <w:b/>
        </w:rPr>
      </w:pPr>
      <w:r>
        <w:rPr>
          <w:rFonts w:hint="eastAsia" w:hAnsi="宋体" w:cs="宋体"/>
          <w:b/>
        </w:rPr>
        <w:t>磋商原则</w:t>
      </w:r>
    </w:p>
    <w:p>
      <w:pPr>
        <w:pStyle w:val="10"/>
        <w:spacing w:line="360" w:lineRule="exact"/>
        <w:ind w:firstLine="420" w:firstLineChars="200"/>
        <w:rPr>
          <w:rFonts w:hAnsi="宋体" w:cs="宋体"/>
        </w:rPr>
      </w:pPr>
      <w:r>
        <w:rPr>
          <w:rFonts w:hint="eastAsia" w:hAnsi="宋体" w:cs="宋体"/>
        </w:rPr>
        <w:t>(一) 采购代理机构根据磋商项目的特点组建由三人以上（含三人）的单数组成的磋商小组，小组成员由采购人代表和有关专家组成，其中专家人数不少于成员总数的三分之二。在整个磋商过程中，磋商小组将负责对全部磋商文件进行审查、磋商及评标工作。</w:t>
      </w:r>
    </w:p>
    <w:p>
      <w:pPr>
        <w:spacing w:line="360" w:lineRule="exact"/>
        <w:ind w:firstLine="420" w:firstLineChars="200"/>
        <w:jc w:val="left"/>
        <w:rPr>
          <w:rFonts w:ascii="宋体" w:hAnsi="宋体" w:cs="宋体"/>
          <w:szCs w:val="21"/>
        </w:rPr>
      </w:pPr>
      <w:r>
        <w:rPr>
          <w:rFonts w:hint="eastAsia" w:ascii="宋体" w:hAnsi="宋体" w:cs="宋体"/>
          <w:szCs w:val="21"/>
        </w:rPr>
        <w:t>(二)综合评分法磋商依据：“磋商小组”将以磋商文件、响应文件为磋商依据，对符合资格审查的供应商的报价、技术、商务方面内容进行评审， 按百分制打分。</w:t>
      </w:r>
    </w:p>
    <w:p>
      <w:pPr>
        <w:pStyle w:val="10"/>
        <w:spacing w:line="360" w:lineRule="exact"/>
        <w:ind w:firstLine="420" w:firstLineChars="200"/>
        <w:rPr>
          <w:rFonts w:hAnsi="宋体" w:cs="宋体"/>
        </w:rPr>
      </w:pPr>
      <w:r>
        <w:rPr>
          <w:rFonts w:hint="eastAsia" w:hAnsi="宋体" w:cs="宋体"/>
        </w:rPr>
        <w:t>(三)磋商方式：以封闭方式进行磋商。磋商全过程中不允许供应商与“磋商小组”之间有可能影响到评审结果公正性的会面与谈话，以体现公平、公正的基本原则。</w:t>
      </w:r>
    </w:p>
    <w:p>
      <w:pPr>
        <w:pStyle w:val="10"/>
        <w:spacing w:line="360" w:lineRule="exact"/>
        <w:ind w:firstLine="422" w:firstLineChars="200"/>
        <w:rPr>
          <w:rFonts w:hAnsi="宋体" w:cs="宋体"/>
          <w:b/>
        </w:rPr>
      </w:pPr>
      <w:r>
        <w:rPr>
          <w:rFonts w:hint="eastAsia" w:hAnsi="宋体" w:cs="宋体"/>
          <w:b/>
        </w:rPr>
        <w:t>二、评分办法</w:t>
      </w:r>
    </w:p>
    <w:p>
      <w:pPr>
        <w:pStyle w:val="10"/>
        <w:tabs>
          <w:tab w:val="left" w:pos="5760"/>
        </w:tabs>
        <w:spacing w:line="360" w:lineRule="exact"/>
        <w:ind w:firstLine="420" w:firstLineChars="200"/>
        <w:rPr>
          <w:rFonts w:hAnsi="宋体" w:cs="宋体"/>
        </w:rPr>
      </w:pPr>
      <w:r>
        <w:rPr>
          <w:rFonts w:hint="eastAsia" w:hAnsi="宋体" w:cs="宋体"/>
        </w:rPr>
        <w:t>按照《政府采购促进中小企业发展暂行办法》 （财库[2011]181 号）之规定，投标产品被认定为小型和微型企业产品（以具有认定职能的部门出具的证明材料为准）的，对小型和微型企业产品的价格给予10%的扣除， 扣除后的价格为评标报价， 即评标价=投标报价×（1-10%）；除上述情况外，评标价=投标报价。</w:t>
      </w:r>
    </w:p>
    <w:p>
      <w:pPr>
        <w:pStyle w:val="10"/>
        <w:tabs>
          <w:tab w:val="left" w:pos="5760"/>
        </w:tabs>
        <w:spacing w:line="360" w:lineRule="exact"/>
        <w:ind w:firstLine="420" w:firstLineChars="200"/>
        <w:rPr>
          <w:rFonts w:hAnsi="宋体" w:cs="宋体"/>
        </w:rPr>
      </w:pPr>
      <w:r>
        <w:rPr>
          <w:rFonts w:hint="eastAsia" w:hAnsi="宋体" w:cs="宋体"/>
        </w:rPr>
        <w:t>按照《财政部、司法部关于政府采购支持监狱企业发展有关问题的通知》 （财库〔2014〕68</w:t>
      </w:r>
    </w:p>
    <w:p>
      <w:pPr>
        <w:pStyle w:val="10"/>
        <w:tabs>
          <w:tab w:val="left" w:pos="5760"/>
        </w:tabs>
        <w:spacing w:line="360" w:lineRule="exact"/>
        <w:ind w:firstLine="420" w:firstLineChars="200"/>
        <w:rPr>
          <w:rFonts w:hAnsi="宋体" w:cs="宋体"/>
        </w:rPr>
      </w:pPr>
      <w:r>
        <w:rPr>
          <w:rFonts w:hint="eastAsia" w:hAnsi="宋体" w:cs="宋体"/>
        </w:rPr>
        <w:t>号）之规定，监狱企业视同小型、微型企业。</w:t>
      </w:r>
    </w:p>
    <w:p>
      <w:pPr>
        <w:pStyle w:val="15"/>
        <w:adjustRightInd/>
        <w:spacing w:line="420" w:lineRule="exact"/>
        <w:ind w:left="0" w:firstLine="420" w:firstLineChars="200"/>
        <w:rPr>
          <w:color w:val="000000"/>
        </w:rPr>
      </w:pPr>
      <w:r>
        <w:rPr>
          <w:rFonts w:hint="eastAsia"/>
          <w:color w:val="000000"/>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pStyle w:val="10"/>
        <w:tabs>
          <w:tab w:val="left" w:pos="5760"/>
        </w:tabs>
        <w:spacing w:line="360" w:lineRule="exact"/>
        <w:ind w:firstLine="420" w:firstLineChars="200"/>
        <w:rPr>
          <w:rFonts w:hAnsi="宋体" w:cs="宋体"/>
        </w:rPr>
      </w:pPr>
      <w:r>
        <w:rPr>
          <w:rFonts w:hint="eastAsia" w:hAnsi="宋体" w:cs="宋体"/>
        </w:rPr>
        <w:t>本次采购，经采购单位市场调查，采购预算为合理市场价，超过采购预算的报价，将为无效报价；低于采购预算 20%，投标人需对价格进行说明和举证（包含成本分析及类似价格提供完善服务的案例），否则将被认定为无效报价。注：当评标委员会认为某投标人的投标报价明显不合理或者低于成本价，有可能影响服务质量和不能诚信履约的，有权要求其在规定的期限（20分钟）内提供书面文件予以解释说明，并提交相关证明材料，否则，评标委员会可认定其投标报价为无效报价。</w:t>
      </w:r>
    </w:p>
    <w:p>
      <w:pPr>
        <w:pStyle w:val="10"/>
        <w:tabs>
          <w:tab w:val="left" w:pos="5760"/>
        </w:tabs>
        <w:spacing w:line="360" w:lineRule="exact"/>
        <w:ind w:firstLine="420" w:firstLineChars="200"/>
        <w:rPr>
          <w:rFonts w:hAnsi="宋体" w:cs="宋体"/>
        </w:rPr>
      </w:pPr>
      <w:r>
        <w:rPr>
          <w:rFonts w:hint="eastAsia" w:hAnsi="宋体" w:cs="宋体"/>
        </w:rPr>
        <w:t>被评委接受的将按以下办法计算所有投标人的价格分数：</w:t>
      </w:r>
    </w:p>
    <w:p>
      <w:pPr>
        <w:pStyle w:val="10"/>
        <w:spacing w:line="264" w:lineRule="auto"/>
        <w:ind w:firstLine="420" w:firstLineChars="200"/>
        <w:rPr>
          <w:color w:val="000000"/>
        </w:rPr>
      </w:pPr>
      <w:r>
        <w:rPr>
          <w:rFonts w:hint="eastAsia"/>
          <w:color w:val="000000"/>
        </w:rPr>
        <w:t>综合评分法：</w:t>
      </w:r>
    </w:p>
    <w:p>
      <w:pPr>
        <w:pStyle w:val="10"/>
        <w:spacing w:line="360" w:lineRule="auto"/>
        <w:ind w:firstLine="420" w:firstLineChars="200"/>
        <w:rPr>
          <w:rFonts w:hAnsi="宋体" w:cs="宋体"/>
        </w:rPr>
      </w:pPr>
      <w:r>
        <w:rPr>
          <w:rFonts w:hint="eastAsia" w:hAnsi="宋体" w:cs="宋体"/>
        </w:rPr>
        <w:t>评分内容由报价分、技术分、商务分三部分组成，其中报价分30分，技术分60分，</w:t>
      </w:r>
      <w:r>
        <w:rPr>
          <w:rFonts w:hint="eastAsia" w:hAnsi="宋体" w:cs="宋体"/>
          <w:b/>
        </w:rPr>
        <w:t xml:space="preserve"> </w:t>
      </w:r>
      <w:r>
        <w:rPr>
          <w:rFonts w:hint="eastAsia" w:hAnsi="宋体" w:cs="宋体"/>
        </w:rPr>
        <w:t>商务分10。</w:t>
      </w:r>
    </w:p>
    <w:p>
      <w:pPr>
        <w:tabs>
          <w:tab w:val="left" w:pos="5760"/>
        </w:tabs>
        <w:spacing w:line="360" w:lineRule="auto"/>
        <w:ind w:firstLine="315" w:firstLineChars="150"/>
        <w:rPr>
          <w:rFonts w:ascii="宋体" w:hAnsi="宋体" w:cs="宋体"/>
          <w:szCs w:val="21"/>
        </w:rPr>
      </w:pPr>
      <w:r>
        <w:rPr>
          <w:rFonts w:hint="eastAsia" w:ascii="宋体" w:hAnsi="宋体" w:cs="宋体"/>
          <w:szCs w:val="21"/>
        </w:rPr>
        <w:t>（一）评标委员会对响应文件的报价、技术及商务文件进行审查，并按以下所列的评分标准进行打分。</w:t>
      </w:r>
    </w:p>
    <w:p>
      <w:pPr>
        <w:tabs>
          <w:tab w:val="left" w:pos="5760"/>
        </w:tabs>
        <w:spacing w:line="360" w:lineRule="auto"/>
        <w:ind w:firstLine="315" w:firstLineChars="150"/>
        <w:rPr>
          <w:rFonts w:ascii="宋体" w:hAnsi="宋体" w:cs="宋体"/>
          <w:szCs w:val="21"/>
        </w:rPr>
      </w:pPr>
      <w:r>
        <w:rPr>
          <w:rFonts w:hint="eastAsia" w:ascii="宋体" w:hAnsi="宋体" w:cs="宋体"/>
          <w:szCs w:val="21"/>
        </w:rPr>
        <w:t>（二）计分办法（按四舍五入取至百分位）：</w:t>
      </w:r>
    </w:p>
    <w:p>
      <w:pPr>
        <w:tabs>
          <w:tab w:val="left" w:pos="5760"/>
        </w:tabs>
        <w:spacing w:line="360" w:lineRule="auto"/>
        <w:jc w:val="left"/>
        <w:rPr>
          <w:rFonts w:ascii="宋体" w:hAnsi="宋体" w:cs="宋体"/>
          <w:b/>
          <w:sz w:val="24"/>
        </w:rPr>
      </w:pPr>
      <w:r>
        <w:rPr>
          <w:rFonts w:hint="eastAsia" w:ascii="宋体" w:hAnsi="宋体" w:cs="宋体"/>
          <w:b/>
          <w:sz w:val="24"/>
        </w:rPr>
        <w:t>1、报价分………………………………………………（满分30分）</w:t>
      </w:r>
    </w:p>
    <w:p>
      <w:pPr>
        <w:pStyle w:val="14"/>
        <w:spacing w:after="0" w:line="360" w:lineRule="auto"/>
        <w:rPr>
          <w:rFonts w:ascii="宋体" w:hAnsi="宋体" w:cs="宋体"/>
          <w:sz w:val="21"/>
          <w:szCs w:val="21"/>
        </w:rPr>
      </w:pPr>
      <w:r>
        <w:rPr>
          <w:rFonts w:hint="eastAsia" w:ascii="宋体" w:hAnsi="宋体" w:cs="宋体"/>
          <w:sz w:val="21"/>
          <w:szCs w:val="21"/>
        </w:rPr>
        <w:t>⑴本项目有效投标报价为:投标报价≤本项目采购预算价，不在此范围内的投标报价为无效报价，将被视为无效响应文件，不能进入详评。</w:t>
      </w:r>
    </w:p>
    <w:p>
      <w:pPr>
        <w:tabs>
          <w:tab w:val="left" w:pos="5760"/>
        </w:tabs>
        <w:spacing w:line="360" w:lineRule="auto"/>
        <w:ind w:firstLine="420" w:firstLineChars="200"/>
        <w:rPr>
          <w:rFonts w:ascii="宋体" w:hAnsi="宋体" w:cs="宋体"/>
          <w:szCs w:val="21"/>
        </w:rPr>
      </w:pPr>
      <w:r>
        <w:rPr>
          <w:rFonts w:hint="eastAsia" w:ascii="宋体" w:hAnsi="宋体" w:cs="宋体"/>
          <w:szCs w:val="21"/>
        </w:rPr>
        <w:t>⑵在有效报价范围内且通过符合性评审的投标人报价分采用低价优先法计算，即满足投标文件要求且最后报价最低的供应商，其价格分为满分。其他供应商的价格分按照下列公式计算：</w:t>
      </w:r>
    </w:p>
    <w:p>
      <w:pPr>
        <w:pStyle w:val="26"/>
        <w:spacing w:line="440" w:lineRule="exact"/>
        <w:ind w:firstLine="3675" w:firstLineChars="1750"/>
        <w:rPr>
          <w:rFonts w:hAnsi="宋体" w:cs="宋体"/>
        </w:rPr>
      </w:pPr>
      <w:r>
        <w:rPr>
          <w:rFonts w:hint="eastAsia" w:hAnsi="宋体" w:cs="宋体"/>
        </w:rPr>
        <w:t xml:space="preserve">最低投标人评标报价金额 </w:t>
      </w:r>
    </w:p>
    <w:p>
      <w:pPr>
        <w:pStyle w:val="26"/>
        <w:spacing w:line="440" w:lineRule="exact"/>
        <w:ind w:firstLine="420" w:firstLineChars="200"/>
        <w:rPr>
          <w:rFonts w:hAnsi="宋体" w:cs="宋体"/>
        </w:rPr>
      </w:pPr>
      <w:r>
        <w:rPr>
          <w:rFonts w:hAnsi="宋体" w:cs="宋体"/>
        </w:rPr>
        <mc:AlternateContent>
          <mc:Choice Requires="wps">
            <w:drawing>
              <wp:anchor distT="0" distB="0" distL="114300" distR="114300" simplePos="0" relativeHeight="251658240" behindDoc="0" locked="0" layoutInCell="1" allowOverlap="1">
                <wp:simplePos x="0" y="0"/>
                <wp:positionH relativeFrom="column">
                  <wp:posOffset>1603375</wp:posOffset>
                </wp:positionH>
                <wp:positionV relativeFrom="paragraph">
                  <wp:posOffset>170180</wp:posOffset>
                </wp:positionV>
                <wp:extent cx="2200275" cy="635"/>
                <wp:effectExtent l="0" t="0" r="0" b="0"/>
                <wp:wrapSquare wrapText="bothSides"/>
                <wp:docPr id="25" name="直接连接符 25"/>
                <wp:cNvGraphicFramePr/>
                <a:graphic xmlns:a="http://schemas.openxmlformats.org/drawingml/2006/main">
                  <a:graphicData uri="http://schemas.microsoft.com/office/word/2010/wordprocessingShape">
                    <wps:wsp>
                      <wps:cNvCnPr/>
                      <wps:spPr>
                        <a:xfrm>
                          <a:off x="0" y="0"/>
                          <a:ext cx="220027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6.25pt;margin-top:13.4pt;height:0.05pt;width:173.25pt;mso-wrap-distance-bottom:0pt;mso-wrap-distance-left:9pt;mso-wrap-distance-right:9pt;mso-wrap-distance-top:0pt;z-index:251658240;mso-width-relative:page;mso-height-relative:page;" filled="f" stroked="t" coordsize="21600,21600" o:gfxdata="UEsDBAoAAAAAAIdO4kAAAAAAAAAAAAAAAAAEAAAAZHJzL1BLAwQUAAAACACHTuJAUakSa9cAAAAJ&#10;AQAADwAAAGRycy9kb3ducmV2LnhtbE2PzU7DQAyE70i8w8pIXKp2t0GpmpBND0BuXCggrm5ikois&#10;N81uf+DpcU9wsz2j8TfF5uwGdaQp9J4tLBcGFHHtm55bC2+v1XwNKkTkBgfPZOGbAmzK66sC88af&#10;+IWO29gqCeGQo4UuxjHXOtQdOQwLPxKL9uknh1HWqdXNhCcJd4NOjFlphz3Lhw5Heuio/toenIVQ&#10;vdO++pnVM/Nx13pK9o/PT2jt7c3S3IOKdI5/ZrjgCzqUwrTzB26CGiwkaZKKVYaVVBBDmmVSbnc5&#10;ZKDLQv9vUP4CUEsDBBQAAAAIAIdO4kDfdb359AEAAOoDAAAOAAAAZHJzL2Uyb0RvYy54bWytU82O&#10;0zAQviPxDpbvNN2gXSBquoctywVBJeABprbTWPKfPN6mfQleAIkbnDhy5212eQzGTijLcumBHJyx&#10;Z+ab+T6PF5d7a9hORdTetfxsNudMOeGldtuWf3h//eQ5Z5jASTDeqZYfFPLL5eNHiyE0qva9N1JF&#10;RiAOmyG0vE8pNFWFolcWcOaDcuTsfLSQaBu3lYwwELo1VT2fX1SDjzJELxQina5GJ58Q4ymAvuu0&#10;UCsvbqxyaUSNykAiStjrgHxZuu06JdLbrkOVmGk5MU1lpSJkb/JaLRfQbCOEXoupBTilhQecLGhH&#10;RY9QK0jAbqL+B8pqET36Ls2Et9VIpChCLM7mD7R510NQhQtJjeEoOv4/WPFmt45My5bX55w5sHTj&#10;d5++33788vPHZ1rvvn1l5CGZhoANRV+5dZx2GNYxc9530eY/sWH7Iu3hKK3aJybosKarr59RCUG+&#10;i6cFsfqTGiKmV8pblo2WG+0yb2hg9xoTlaPQ3yH52Dg2tPzFee5ZAA1hR5dPpg1EBN225KI3Wl5r&#10;Y3IGxu3mykS2gzwI5cukCPevsFxkBdiPccU1jkivQL50kqVDIIUcvQyeW7BKcmYUPaRsESA0CbQ5&#10;JZJKG5cTVBnTiWdWedQ1WxsvD0XuKu9oBErH07jmGbu/J/v+E13+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GpEmvXAAAACQEAAA8AAAAAAAAAAQAgAAAAIgAAAGRycy9kb3ducmV2LnhtbFBLAQIU&#10;ABQAAAAIAIdO4kDfdb359AEAAOoDAAAOAAAAAAAAAAEAIAAAACYBAABkcnMvZTJvRG9jLnhtbFBL&#10;BQYAAAAABgAGAFkBAACMBQAAAAA=&#10;">
                <v:fill on="f" focussize="0,0"/>
                <v:stroke color="#000000" joinstyle="round"/>
                <v:imagedata o:title=""/>
                <o:lock v:ext="edit" aspectratio="f"/>
                <w10:wrap type="square"/>
              </v:line>
            </w:pict>
          </mc:Fallback>
        </mc:AlternateContent>
      </w:r>
      <w:r>
        <w:rPr>
          <w:rFonts w:hint="eastAsia" w:hAnsi="宋体" w:cs="宋体"/>
        </w:rPr>
        <w:t>投标人价格分 =                                                    ×30分</w:t>
      </w:r>
    </w:p>
    <w:p>
      <w:pPr>
        <w:pStyle w:val="26"/>
        <w:widowControl/>
        <w:shd w:val="clear" w:color="auto" w:fill="FFFFFF"/>
        <w:spacing w:line="440" w:lineRule="exact"/>
        <w:ind w:firstLine="420" w:firstLineChars="200"/>
        <w:jc w:val="left"/>
        <w:rPr>
          <w:rFonts w:hAnsi="宋体" w:cs="宋体"/>
        </w:rPr>
      </w:pPr>
      <w:r>
        <w:rPr>
          <w:rFonts w:hint="eastAsia" w:hAnsi="宋体" w:cs="宋体"/>
        </w:rPr>
        <w:t xml:space="preserve">                                投标人评标报价金额  </w:t>
      </w:r>
    </w:p>
    <w:p>
      <w:pPr>
        <w:tabs>
          <w:tab w:val="left" w:pos="5760"/>
        </w:tabs>
        <w:spacing w:line="360" w:lineRule="auto"/>
        <w:ind w:firstLine="420" w:firstLineChars="200"/>
        <w:rPr>
          <w:rFonts w:ascii="宋体" w:hAnsi="宋体" w:cs="宋体"/>
          <w:szCs w:val="21"/>
        </w:rPr>
      </w:pPr>
      <w:r>
        <w:rPr>
          <w:rFonts w:hint="eastAsia" w:ascii="宋体" w:hAnsi="宋体" w:cs="宋体"/>
          <w:szCs w:val="21"/>
        </w:rPr>
        <w:t>备注：“评标委员会在投标过程中发现供应商的报价过低，明显不合理或者低于成本，有可能影响服务质量或合同履约的，有权要求供应商现场做出书面说明并提供相关证明材料。供应商不能合理说明或者不能提供相关证明材料的，视作该供应商以低于成本报价，其报价分得分以0分计算。”</w:t>
      </w:r>
    </w:p>
    <w:p>
      <w:pPr>
        <w:pStyle w:val="26"/>
        <w:spacing w:line="360" w:lineRule="auto"/>
        <w:rPr>
          <w:rFonts w:hAnsi="宋体" w:cs="宋体"/>
          <w:b/>
          <w:sz w:val="24"/>
          <w:szCs w:val="24"/>
        </w:rPr>
      </w:pPr>
      <w:r>
        <w:rPr>
          <w:rFonts w:hint="eastAsia" w:hAnsi="宋体" w:cs="宋体"/>
          <w:b/>
          <w:sz w:val="24"/>
          <w:szCs w:val="24"/>
        </w:rPr>
        <w:t>2、技术分………………………………………………(满分60分)</w:t>
      </w:r>
    </w:p>
    <w:p>
      <w:pPr>
        <w:pStyle w:val="24"/>
        <w:rPr>
          <w:rFonts w:ascii="宋体" w:hAnsi="宋体" w:cs="宋体"/>
          <w:sz w:val="21"/>
          <w:szCs w:val="21"/>
        </w:rPr>
      </w:pPr>
    </w:p>
    <w:p>
      <w:pPr>
        <w:spacing w:line="420" w:lineRule="atLeast"/>
        <w:rPr>
          <w:rFonts w:ascii="宋体" w:hAnsi="宋体" w:cs="宋体"/>
          <w:b/>
          <w:szCs w:val="21"/>
        </w:rPr>
      </w:pPr>
      <w:r>
        <w:rPr>
          <w:rFonts w:hint="eastAsia" w:ascii="宋体" w:hAnsi="宋体" w:cs="宋体"/>
          <w:b/>
          <w:szCs w:val="21"/>
        </w:rPr>
        <w:t>（1）服务方案……………………………………………34分</w:t>
      </w:r>
    </w:p>
    <w:p>
      <w:pPr>
        <w:spacing w:line="420" w:lineRule="atLeast"/>
        <w:ind w:firstLine="420" w:firstLineChars="200"/>
        <w:rPr>
          <w:rFonts w:ascii="宋体" w:hAnsi="宋体" w:cs="宋体"/>
          <w:bCs/>
          <w:szCs w:val="21"/>
        </w:rPr>
      </w:pPr>
      <w:r>
        <w:rPr>
          <w:rFonts w:hint="eastAsia" w:ascii="宋体" w:hAnsi="宋体" w:cs="宋体"/>
          <w:szCs w:val="21"/>
        </w:rPr>
        <w:t>（1.1）</w:t>
      </w:r>
      <w:r>
        <w:rPr>
          <w:rFonts w:hint="eastAsia" w:ascii="宋体" w:hAnsi="宋体" w:cs="宋体"/>
          <w:bCs/>
          <w:szCs w:val="21"/>
        </w:rPr>
        <w:t>服务范围和内容其中至少一项高于招标文件的要求，每项得2分，有两项以上（含）得6分。</w:t>
      </w:r>
    </w:p>
    <w:p>
      <w:pPr>
        <w:pStyle w:val="24"/>
        <w:ind w:firstLine="460" w:firstLineChars="200"/>
      </w:pPr>
      <w:r>
        <w:rPr>
          <w:rFonts w:hint="eastAsia" w:ascii="宋体" w:hAnsi="宋体" w:cs="宋体"/>
          <w:sz w:val="21"/>
          <w:szCs w:val="21"/>
        </w:rPr>
        <w:t>（1.2）</w:t>
      </w:r>
      <w:r>
        <w:rPr>
          <w:rFonts w:hint="eastAsia" w:hAnsi="宋体" w:cs="宋体"/>
          <w:sz w:val="21"/>
          <w:szCs w:val="21"/>
        </w:rPr>
        <w:t>由磋商小组成员对供应商的服务方案进行比较，分档后在档次内独立打分。</w:t>
      </w:r>
    </w:p>
    <w:p>
      <w:pPr>
        <w:spacing w:line="420" w:lineRule="atLeast"/>
        <w:ind w:firstLine="420" w:firstLineChars="200"/>
        <w:rPr>
          <w:rFonts w:ascii="宋体" w:hAnsi="宋体" w:cs="宋体"/>
          <w:szCs w:val="21"/>
        </w:rPr>
      </w:pPr>
      <w:r>
        <w:rPr>
          <w:rFonts w:hint="eastAsia" w:ascii="宋体" w:hAnsi="宋体" w:cs="宋体"/>
          <w:szCs w:val="21"/>
        </w:rPr>
        <w:t>一档：项目实施方案简单，能提供对接方案；保证项目实施的技术力量和人力资源安排及工作进度安排满足项目要求，技术服务的服务内容和措施同比一般，得</w:t>
      </w:r>
      <w:r>
        <w:rPr>
          <w:rFonts w:ascii="宋体" w:hAnsi="宋体" w:cs="宋体"/>
          <w:szCs w:val="21"/>
        </w:rPr>
        <w:t xml:space="preserve"> </w:t>
      </w:r>
      <w:r>
        <w:rPr>
          <w:rFonts w:hint="eastAsia" w:ascii="宋体" w:hAnsi="宋体" w:cs="宋体"/>
          <w:szCs w:val="21"/>
        </w:rPr>
        <w:t>8分；</w:t>
      </w:r>
    </w:p>
    <w:p>
      <w:pPr>
        <w:spacing w:line="420" w:lineRule="atLeast"/>
        <w:ind w:firstLine="420" w:firstLineChars="200"/>
        <w:rPr>
          <w:rFonts w:ascii="宋体" w:hAnsi="宋体" w:cs="宋体"/>
          <w:szCs w:val="21"/>
        </w:rPr>
      </w:pPr>
      <w:r>
        <w:rPr>
          <w:rFonts w:hint="eastAsia" w:ascii="宋体" w:hAnsi="宋体" w:cs="宋体"/>
          <w:bCs/>
          <w:szCs w:val="21"/>
        </w:rPr>
        <w:t>二挡：项目实施方案较详细，能提供对接方案并且实施方法较合理；保证项目实施的技术力量和人力资源安排及工作进度安排完全满足项目实施要求，技术服务的服务内容和措施同比较完善，</w:t>
      </w:r>
      <w:r>
        <w:rPr>
          <w:rFonts w:hint="eastAsia" w:ascii="宋体" w:hAnsi="宋体" w:cs="宋体"/>
          <w:szCs w:val="21"/>
        </w:rPr>
        <w:t xml:space="preserve">得 </w:t>
      </w:r>
      <w:r>
        <w:rPr>
          <w:rFonts w:ascii="宋体" w:hAnsi="宋体" w:cs="宋体"/>
          <w:szCs w:val="21"/>
        </w:rPr>
        <w:t xml:space="preserve"> </w:t>
      </w:r>
      <w:r>
        <w:rPr>
          <w:rFonts w:hint="eastAsia" w:ascii="宋体" w:hAnsi="宋体" w:cs="宋体"/>
          <w:szCs w:val="21"/>
        </w:rPr>
        <w:t>18分；</w:t>
      </w:r>
    </w:p>
    <w:p>
      <w:pPr>
        <w:spacing w:line="420" w:lineRule="atLeast"/>
        <w:ind w:firstLine="420" w:firstLineChars="200"/>
        <w:rPr>
          <w:rFonts w:ascii="宋体" w:hAnsi="宋体" w:cs="宋体"/>
          <w:szCs w:val="21"/>
        </w:rPr>
      </w:pPr>
      <w:r>
        <w:rPr>
          <w:rFonts w:hint="eastAsia" w:ascii="宋体" w:hAnsi="宋体" w:cs="宋体"/>
          <w:bCs/>
          <w:szCs w:val="21"/>
        </w:rPr>
        <w:t>三挡：项目实施方案详实，能切合本项目实际提供对接方案，方案能清楚的表明对本项目的熟悉程度，实施方案优良，技术路线清晰可信；保证项目实施的技术力量和人力资源安排及工作进度安排充足，技术服务的服务内容和措施完善，建议验收方法或方案同比更完善有效、更优化、切实可行</w:t>
      </w:r>
      <w:r>
        <w:rPr>
          <w:rFonts w:hint="eastAsia" w:ascii="宋体" w:hAnsi="宋体" w:cs="宋体"/>
          <w:szCs w:val="21"/>
        </w:rPr>
        <w:t>，得28分。</w:t>
      </w:r>
    </w:p>
    <w:p>
      <w:pPr>
        <w:spacing w:line="420" w:lineRule="atLeast"/>
        <w:rPr>
          <w:rFonts w:ascii="宋体" w:hAnsi="宋体"/>
          <w:b/>
          <w:sz w:val="22"/>
          <w:szCs w:val="22"/>
        </w:rPr>
      </w:pPr>
      <w:r>
        <w:rPr>
          <w:rFonts w:hint="eastAsia" w:ascii="宋体" w:hAnsi="宋体"/>
          <w:b/>
          <w:sz w:val="22"/>
          <w:szCs w:val="22"/>
        </w:rPr>
        <w:t>(2)项目服务人员配置分………………………………………………8分</w:t>
      </w:r>
    </w:p>
    <w:p>
      <w:pPr>
        <w:spacing w:line="420" w:lineRule="atLeast"/>
        <w:ind w:firstLine="420" w:firstLineChars="200"/>
        <w:rPr>
          <w:rFonts w:ascii="宋体" w:hAnsi="宋体" w:cs="宋体"/>
          <w:bCs/>
          <w:szCs w:val="21"/>
        </w:rPr>
      </w:pPr>
      <w:r>
        <w:rPr>
          <w:rFonts w:hint="eastAsia" w:ascii="宋体" w:hAnsi="宋体" w:cs="宋体"/>
          <w:bCs/>
          <w:szCs w:val="21"/>
        </w:rPr>
        <w:t xml:space="preserve">（2.1）项目组织机构和各专业技术人员配备基本齐全，人员数量基本满足项目需要，人员构成基本合理，服务经验一般，得2分； </w:t>
      </w:r>
    </w:p>
    <w:p>
      <w:pPr>
        <w:spacing w:line="420" w:lineRule="atLeast"/>
        <w:ind w:firstLine="420" w:firstLineChars="200"/>
        <w:rPr>
          <w:rFonts w:ascii="宋体" w:hAnsi="宋体" w:cs="宋体"/>
          <w:bCs/>
          <w:szCs w:val="21"/>
        </w:rPr>
      </w:pPr>
      <w:r>
        <w:rPr>
          <w:rFonts w:hint="eastAsia" w:ascii="宋体" w:hAnsi="宋体" w:cs="宋体"/>
          <w:bCs/>
          <w:szCs w:val="21"/>
        </w:rPr>
        <w:t xml:space="preserve">（2.2）项目组织机构和各专业技术人员配备齐全，人员数量满足项目需要，人员构成较合理，分工明确，服务经验良好，得4分； </w:t>
      </w:r>
    </w:p>
    <w:p>
      <w:pPr>
        <w:spacing w:line="420" w:lineRule="atLeast"/>
        <w:ind w:firstLine="420" w:firstLineChars="200"/>
        <w:rPr>
          <w:rFonts w:ascii="宋体" w:hAnsi="宋体" w:cs="宋体"/>
          <w:bCs/>
          <w:szCs w:val="21"/>
        </w:rPr>
      </w:pPr>
      <w:r>
        <w:rPr>
          <w:rFonts w:hint="eastAsia" w:ascii="宋体" w:hAnsi="宋体" w:cs="宋体"/>
          <w:bCs/>
          <w:szCs w:val="21"/>
        </w:rPr>
        <w:t xml:space="preserve">（2.3）项目组织机构和各专业技术人员配备齐全，人员数量充分满足项目需要，人员构成合理，分工明确，服务经验丰富，得8分。 </w:t>
      </w:r>
    </w:p>
    <w:p>
      <w:pPr>
        <w:spacing w:line="420" w:lineRule="atLeast"/>
        <w:rPr>
          <w:rFonts w:ascii="宋体" w:hAnsi="宋体" w:cs="宋体"/>
          <w:szCs w:val="21"/>
        </w:rPr>
      </w:pPr>
      <w:r>
        <w:rPr>
          <w:rFonts w:hint="eastAsia" w:ascii="宋体" w:hAnsi="宋体" w:cs="宋体"/>
          <w:b/>
          <w:szCs w:val="21"/>
        </w:rPr>
        <w:t>（</w:t>
      </w:r>
      <w:r>
        <w:rPr>
          <w:rFonts w:ascii="宋体" w:hAnsi="宋体" w:cs="宋体"/>
          <w:b/>
          <w:szCs w:val="21"/>
        </w:rPr>
        <w:t>3</w:t>
      </w:r>
      <w:r>
        <w:rPr>
          <w:rFonts w:hint="eastAsia" w:ascii="宋体" w:hAnsi="宋体" w:cs="宋体"/>
          <w:b/>
          <w:szCs w:val="21"/>
        </w:rPr>
        <w:t>）服务承诺分………………………………………………………18分</w:t>
      </w:r>
    </w:p>
    <w:p>
      <w:pPr>
        <w:spacing w:line="420" w:lineRule="atLeast"/>
        <w:ind w:firstLine="420" w:firstLineChars="200"/>
        <w:rPr>
          <w:rFonts w:ascii="宋体" w:hAnsi="宋体" w:cs="宋体"/>
          <w:szCs w:val="21"/>
        </w:rPr>
      </w:pPr>
      <w:r>
        <w:rPr>
          <w:rFonts w:hint="eastAsia" w:ascii="宋体" w:hAnsi="宋体" w:cs="宋体"/>
          <w:bCs/>
          <w:szCs w:val="21"/>
        </w:rPr>
        <w:t>（3.1）同比一般，对本项目的服务没有正确理解与认识，售后服务方案表述不清晰或部分不具体，售后保障措施不具体，售后服务承诺及质量保证表述基本清晰，基本满足项目要求</w:t>
      </w:r>
      <w:r>
        <w:rPr>
          <w:rFonts w:hint="eastAsia" w:ascii="宋体" w:hAnsi="宋体" w:cs="宋体"/>
          <w:szCs w:val="21"/>
        </w:rPr>
        <w:t>,得6分；</w:t>
      </w:r>
    </w:p>
    <w:p>
      <w:pPr>
        <w:spacing w:line="420" w:lineRule="atLeast"/>
        <w:ind w:firstLine="420" w:firstLineChars="200"/>
        <w:rPr>
          <w:rFonts w:ascii="宋体" w:hAnsi="宋体" w:cs="宋体"/>
          <w:szCs w:val="21"/>
        </w:rPr>
      </w:pPr>
      <w:r>
        <w:rPr>
          <w:rFonts w:hint="eastAsia" w:ascii="宋体" w:hAnsi="宋体" w:cs="宋体"/>
          <w:szCs w:val="21"/>
        </w:rPr>
        <w:t>（3.2）</w:t>
      </w:r>
      <w:r>
        <w:rPr>
          <w:rFonts w:hint="eastAsia" w:ascii="宋体" w:hAnsi="宋体" w:cs="宋体"/>
          <w:bCs/>
          <w:szCs w:val="21"/>
        </w:rPr>
        <w:t>同比良好，对本项目的服务有正确理解与认识，售后服务方案表述清晰、完整，有定期回访计划且方案良好；售后服务承诺及质量保证表述清晰，完全满足项目要求</w:t>
      </w:r>
      <w:r>
        <w:rPr>
          <w:rFonts w:hint="eastAsia" w:ascii="宋体" w:hAnsi="宋体" w:cs="宋体"/>
          <w:szCs w:val="21"/>
        </w:rPr>
        <w:t>，得12分；</w:t>
      </w:r>
    </w:p>
    <w:p>
      <w:pPr>
        <w:spacing w:line="420" w:lineRule="atLeast"/>
        <w:ind w:firstLine="420" w:firstLineChars="200"/>
        <w:rPr>
          <w:rFonts w:ascii="宋体" w:hAnsi="宋体" w:cs="宋体"/>
          <w:szCs w:val="21"/>
        </w:rPr>
      </w:pPr>
      <w:r>
        <w:rPr>
          <w:rFonts w:hint="eastAsia" w:ascii="宋体" w:hAnsi="宋体" w:cs="宋体"/>
          <w:szCs w:val="21"/>
        </w:rPr>
        <w:t>（3.3）</w:t>
      </w:r>
      <w:r>
        <w:rPr>
          <w:rFonts w:hint="eastAsia" w:ascii="宋体" w:hAnsi="宋体" w:cs="宋体"/>
          <w:bCs/>
          <w:szCs w:val="21"/>
        </w:rPr>
        <w:t>同比优秀，对项目的服务有正确深刻理解与充分认识，售后服务方案表述清晰、完整、严谨、合理、有效、成熟，有定期回访计划且方案详细合理；服务承诺及质量保证完全满足且部分条款优于项目要求，有本地化服务网点</w:t>
      </w:r>
      <w:r>
        <w:rPr>
          <w:rFonts w:hint="eastAsia" w:ascii="宋体" w:hAnsi="宋体" w:cs="宋体"/>
          <w:szCs w:val="21"/>
        </w:rPr>
        <w:t>，得18分。</w:t>
      </w:r>
    </w:p>
    <w:p>
      <w:pPr>
        <w:pStyle w:val="24"/>
      </w:pPr>
    </w:p>
    <w:p>
      <w:pPr>
        <w:pStyle w:val="26"/>
        <w:spacing w:line="360" w:lineRule="auto"/>
        <w:rPr>
          <w:rFonts w:hAnsi="宋体" w:cs="宋体"/>
          <w:b/>
          <w:sz w:val="24"/>
          <w:szCs w:val="24"/>
        </w:rPr>
      </w:pPr>
      <w:r>
        <w:rPr>
          <w:rFonts w:hint="eastAsia" w:hAnsi="宋体" w:cs="宋体"/>
          <w:b/>
          <w:sz w:val="24"/>
          <w:szCs w:val="24"/>
        </w:rPr>
        <w:t>3. 商务分……………………………………………………(满分10分)</w:t>
      </w:r>
    </w:p>
    <w:p>
      <w:pPr>
        <w:pStyle w:val="8"/>
        <w:rPr>
          <w:rFonts w:hAnsi="Courier New"/>
          <w:bCs/>
          <w:kern w:val="2"/>
          <w:sz w:val="21"/>
          <w:szCs w:val="22"/>
        </w:rPr>
      </w:pPr>
      <w:bookmarkStart w:id="56" w:name="_Toc428350267"/>
      <w:bookmarkStart w:id="57" w:name="_Toc428266577"/>
      <w:bookmarkStart w:id="58" w:name="_Toc427745491"/>
      <w:bookmarkStart w:id="59" w:name="_Toc428350027"/>
      <w:r>
        <w:rPr>
          <w:rFonts w:hint="eastAsia" w:hAnsi="Courier New"/>
          <w:bCs/>
          <w:kern w:val="2"/>
          <w:sz w:val="21"/>
          <w:szCs w:val="22"/>
        </w:rPr>
        <w:t xml:space="preserve">（1）投标人或投标产品生产厂家具有同类产品政府采购项目业绩（以合同或中标通知书复印件为准），每个得 2分，满分8分； </w:t>
      </w:r>
    </w:p>
    <w:p>
      <w:pPr>
        <w:pStyle w:val="8"/>
        <w:rPr>
          <w:rFonts w:hAnsi="Courier New"/>
          <w:bCs/>
          <w:kern w:val="2"/>
          <w:sz w:val="21"/>
          <w:szCs w:val="22"/>
        </w:rPr>
      </w:pPr>
      <w:r>
        <w:rPr>
          <w:rFonts w:hint="eastAsia" w:hAnsi="Courier New"/>
          <w:bCs/>
          <w:kern w:val="2"/>
          <w:sz w:val="21"/>
          <w:szCs w:val="22"/>
        </w:rPr>
        <w:t xml:space="preserve">（2）投标人或投标产品生产厂家通过 ISO 9001/13485/CMD 质量体系认证的，得 2分； </w:t>
      </w:r>
    </w:p>
    <w:p>
      <w:pPr>
        <w:spacing w:line="420" w:lineRule="atLeast"/>
        <w:ind w:firstLine="315" w:firstLineChars="150"/>
        <w:rPr>
          <w:rFonts w:ascii="宋体" w:hAnsi="Courier New"/>
          <w:bCs/>
          <w:szCs w:val="22"/>
        </w:rPr>
      </w:pPr>
      <w:r>
        <w:rPr>
          <w:rFonts w:hint="eastAsia" w:ascii="宋体" w:hAnsi="Courier New"/>
          <w:bCs/>
          <w:szCs w:val="22"/>
        </w:rPr>
        <w:t>备注：以上信誉项必须提供有效证明材料并加盖投标人单位公章，否则不得分。</w:t>
      </w:r>
    </w:p>
    <w:p>
      <w:pPr>
        <w:spacing w:line="420" w:lineRule="atLeast"/>
        <w:ind w:firstLine="315" w:firstLineChars="150"/>
        <w:rPr>
          <w:rFonts w:ascii="宋体" w:hAnsi="宋体" w:cs="宋体"/>
          <w:szCs w:val="21"/>
        </w:rPr>
      </w:pPr>
      <w:r>
        <w:rPr>
          <w:rFonts w:hint="eastAsia" w:ascii="宋体" w:hAnsi="宋体" w:cs="宋体"/>
          <w:szCs w:val="21"/>
        </w:rPr>
        <w:t>（三）总得分=1 + 2 + 3 。</w:t>
      </w:r>
      <w:bookmarkEnd w:id="56"/>
      <w:bookmarkEnd w:id="57"/>
      <w:bookmarkEnd w:id="58"/>
      <w:bookmarkEnd w:id="59"/>
    </w:p>
    <w:p>
      <w:pPr>
        <w:pStyle w:val="24"/>
      </w:pPr>
    </w:p>
    <w:p>
      <w:pPr>
        <w:pStyle w:val="10"/>
        <w:adjustRightInd w:val="0"/>
        <w:spacing w:line="420" w:lineRule="atLeast"/>
        <w:ind w:firstLine="482" w:firstLineChars="200"/>
        <w:contextualSpacing/>
        <w:rPr>
          <w:rFonts w:hAnsi="宋体" w:cs="宋体"/>
          <w:b/>
          <w:sz w:val="24"/>
          <w:szCs w:val="24"/>
        </w:rPr>
      </w:pPr>
      <w:r>
        <w:rPr>
          <w:rFonts w:hAnsi="宋体" w:cs="宋体"/>
          <w:b/>
          <w:sz w:val="24"/>
          <w:szCs w:val="24"/>
        </w:rPr>
        <w:t>三、</w:t>
      </w:r>
      <w:r>
        <w:rPr>
          <w:rFonts w:hint="eastAsia" w:hAnsi="宋体" w:cs="宋体"/>
          <w:b/>
          <w:sz w:val="24"/>
          <w:szCs w:val="24"/>
        </w:rPr>
        <w:t>中标候选人推荐原则</w:t>
      </w:r>
    </w:p>
    <w:p>
      <w:pPr>
        <w:pStyle w:val="10"/>
        <w:adjustRightInd w:val="0"/>
        <w:spacing w:line="420" w:lineRule="atLeast"/>
        <w:ind w:firstLine="482" w:firstLineChars="200"/>
        <w:contextualSpacing/>
        <w:rPr>
          <w:rFonts w:hAnsi="宋体" w:cs="宋体"/>
          <w:b/>
          <w:sz w:val="24"/>
          <w:szCs w:val="24"/>
          <w:highlight w:val="green"/>
        </w:rPr>
      </w:pPr>
      <w:r>
        <w:rPr>
          <w:rFonts w:hint="eastAsia" w:hAnsi="宋体" w:cs="宋体"/>
          <w:b/>
          <w:sz w:val="24"/>
          <w:szCs w:val="24"/>
        </w:rPr>
        <w:t xml:space="preserve">   </w:t>
      </w:r>
      <w:r>
        <w:rPr>
          <w:rFonts w:hint="eastAsia" w:hAnsi="宋体" w:cs="宋体"/>
          <w:kern w:val="0"/>
        </w:rPr>
        <w:t xml:space="preserve"> 评标委员会将根据得分由高到低排列次序(得分相同时，以投标报价由低到高排列；得分相同且投标报价相同的，按技术、服务方案优劣顺序排列)并推荐中标候选供应商。招标采购单位应当确定评审委员会推荐排名第一的中标候选人为中标人。排名第一的中标候选人放弃中标、因不可抗力提出不能履行合同的，招标采购单位可以确定排名第二的中标候选人为中标人。排名第二的中标候选人因前款规定的同样原因不能签订合同的，招标采购单位可以确定排名第三的中标候选人为中标人。</w:t>
      </w:r>
    </w:p>
    <w:p>
      <w:pPr>
        <w:pStyle w:val="10"/>
        <w:adjustRightInd w:val="0"/>
        <w:spacing w:line="420" w:lineRule="atLeast"/>
        <w:ind w:firstLine="482" w:firstLineChars="200"/>
        <w:contextualSpacing/>
        <w:rPr>
          <w:rFonts w:hAnsi="宋体" w:cs="宋体"/>
          <w:bCs/>
          <w:sz w:val="24"/>
          <w:szCs w:val="24"/>
        </w:rPr>
      </w:pPr>
      <w:r>
        <w:rPr>
          <w:rFonts w:hAnsi="宋体" w:cs="宋体"/>
          <w:b/>
          <w:sz w:val="24"/>
          <w:szCs w:val="24"/>
        </w:rPr>
        <w:t>四、特别说明</w:t>
      </w:r>
    </w:p>
    <w:p>
      <w:pPr>
        <w:pStyle w:val="10"/>
        <w:adjustRightInd w:val="0"/>
        <w:spacing w:line="420" w:lineRule="atLeast"/>
        <w:ind w:firstLine="420" w:firstLineChars="200"/>
        <w:contextualSpacing/>
        <w:rPr>
          <w:rFonts w:hAnsi="宋体" w:cs="宋体"/>
        </w:rPr>
      </w:pPr>
      <w:r>
        <w:rPr>
          <w:rFonts w:hint="eastAsia" w:hAnsi="宋体" w:cs="宋体"/>
        </w:rPr>
        <w:t>评标委员会</w:t>
      </w:r>
      <w:r>
        <w:rPr>
          <w:rFonts w:hAnsi="宋体" w:cs="宋体"/>
        </w:rPr>
        <w:t>认为供应商的报价明显低于其他通过符合性审查供应商的报价，有可能影响产品质量或者不能诚信履约的，应当要求其在评审现场合理的时间内提供书面说明，必要时提交相关证明材料；供应商不能证明其报价合理性的，</w:t>
      </w:r>
      <w:r>
        <w:rPr>
          <w:rFonts w:hint="eastAsia" w:hAnsi="宋体" w:cs="宋体"/>
        </w:rPr>
        <w:t>评标委员会</w:t>
      </w:r>
      <w:r>
        <w:rPr>
          <w:rFonts w:hAnsi="宋体" w:cs="宋体"/>
        </w:rPr>
        <w:t>有权将其作为无效响应文件处理。</w:t>
      </w:r>
    </w:p>
    <w:p/>
    <w:p/>
    <w:sectPr>
      <w:headerReference r:id="rId13" w:type="default"/>
      <w:footerReference r:id="rId14" w:type="default"/>
      <w:pgSz w:w="11906" w:h="16838"/>
      <w:pgMar w:top="1134" w:right="1134" w:bottom="1134" w:left="1134" w:header="567" w:footer="567" w:gutter="56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0" b="0"/>
              <wp:wrapNone/>
              <wp:docPr id="4097" name="文本框 2"/>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0.35pt;width:4.55pt;mso-position-horizontal:center;mso-position-horizontal-relative:margin;mso-wrap-style:none;z-index:251657216;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CNScIayQEAAJEDAAAOAAAAZHJzL2Uyb0RvYy54bWytU82O0zAQviPx&#10;DpbvNGlp6W7UdIVULUJCsNLCA7iO3Vjynzxuk74AvAEnLtx5rj7Hjp20uyyXPXBxZsbjb+b7ZrK6&#10;6Y0mBxFAOVvT6aSkRFjuGmV3Nf329fbNFSUQmW2YdlbU9CiA3qxfv1p1vhIz1zrdiEAQxELV+Zq2&#10;MfqqKIC3wjCYOC8sXkoXDIvohl3RBNYhutHFrCzfFZ0LjQ+OCwCMboZLOiKGlwA6KRUXG8f3Rtg4&#10;oAahWURK0CoPdJ27lVLw+EVKEJHomiLTmE8sgvY2ncV6xapdYL5VfGyBvaSFZ5wMUxaLXqA2LDKy&#10;D+ofKKN4cOBknHBnioFIVgRZTMtn2ty3zIvMBaUGfxEd/h8s/3y4C0Q1NZ2X10tKLDM489PPH6df&#10;f06/v5NZUqjzUGHivb8LowdoJrq9DCZ9kQjps6rHi6qij4RjcLFcXi0o4XgzfTudzxcJsnh86wPE&#10;D8IZkoyaBpxZlpIdPkEcUs8pqZR1t0prjLNK278CiDlERB78+Do1P7SbrNhv+5HD1jVH5N7h8Gtq&#10;cdcp0R8tapv25GyEs7EdjVQR/Pt9xDZydwl1gEJWycFJZX7jVqVVeOrnrMc/af0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RY/VtEAAAACAQAADwAAAAAAAAABACAAAAAiAAAAZHJzL2Rvd25yZXYu&#10;eG1sUEsBAhQAFAAAAAgAh07iQI1JwhrJAQAAkQMAAA4AAAAAAAAAAQAgAAAAIA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1"/>
      </w:rPr>
    </w:pPr>
    <w:r>
      <w:fldChar w:fldCharType="begin"/>
    </w:r>
    <w:r>
      <w:rPr>
        <w:rStyle w:val="21"/>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57785" cy="131445"/>
              <wp:effectExtent l="0" t="0" r="0" b="0"/>
              <wp:wrapNone/>
              <wp:docPr id="4098" name="文本框 4"/>
              <wp:cNvGraphicFramePr/>
              <a:graphic xmlns:a="http://schemas.openxmlformats.org/drawingml/2006/main">
                <a:graphicData uri="http://schemas.microsoft.com/office/word/2010/wordprocessingShape">
                  <wps:wsp>
                    <wps:cNvSpPr/>
                    <wps:spPr>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a:spAutoFit/>
                    </wps:bodyPr>
                  </wps:wsp>
                </a:graphicData>
              </a:graphic>
            </wp:anchor>
          </w:drawing>
        </mc:Choice>
        <mc:Fallback>
          <w:pict>
            <v:rect id="文本框 4" o:spid="_x0000_s1026" o:spt="1" style="position:absolute;left:0pt;margin-top:0pt;height:10.35pt;width:4.55pt;mso-position-horizontal:center;mso-position-horizontal-relative:margin;mso-wrap-style:none;z-index:251656192;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BVMFsOyQEAAJEDAAAOAAAAZHJzL2Uyb0RvYy54bWytU0tu2zAQ3RfI&#10;HQjua8mp3SSC5aCAkaBA0QZIcgCaIi0C/IFDW/IF2ht01U33PZfPkSElO2m6yaIbamY4fDPvzWhx&#10;3RtNdiKAcram00lJibDcNcpuavr4cPP+khKIzDZMOytquhdAr5dn7xadr8S5a51uRCAIYqHqfE3b&#10;GH1VFMBbYRhMnBcWL6ULhkV0w6ZoAusQ3ejivCw/Fp0LjQ+OCwCMroZLOiKGtwA6KRUXK8e3Rtg4&#10;oAahWURK0CoPdJm7lVLw+E1KEJHomiLTmE8sgvY6ncVywapNYL5VfGyBvaWFV5wMUxaLnqBWLDKy&#10;DeofKKN4cOBknHBnioFIVgRZTMtX2ty3zIvMBaUGfxId/h8s/7q7C0Q1NZ2VVzh5ywzO/PDzx+HX&#10;n8Pv72SWFOo8VJh47+/C6AGaiW4vg0lfJEL6rOr+pKroI+EYnF9cXM4p4Xgz/TCdzeYJsnh+6wPE&#10;W+EMSUZNA84sS8l2XyAOqceUVMq6G6U1xlml7V8BxBwiIg9+fJ2aH9pNVuzX/chh7Zo9cu9w+DW1&#10;uOuU6M8WtU17cjTC0ViPRqoI/tM2Yhu5u4Q6QCGr5OCkMr9xq9IqvPRz1vOftH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RY/VtEAAAACAQAADwAAAAAAAAABACAAAAAiAAAAZHJzL2Rvd25yZXYu&#10;eG1sUEsBAhQAFAAAAAgAh07iQFUwWw7JAQAAkQMAAA4AAAAAAAAAAQAgAAAAIA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0" b="0"/>
              <wp:wrapNone/>
              <wp:docPr id="4099" name="文本框 8"/>
              <wp:cNvGraphicFramePr/>
              <a:graphic xmlns:a="http://schemas.openxmlformats.org/drawingml/2006/main">
                <a:graphicData uri="http://schemas.microsoft.com/office/word/2010/wordprocessingShape">
                  <wps:wsp>
                    <wps:cNvSpPr/>
                    <wps:spPr>
                      <a:xfrm>
                        <a:off x="0" y="0"/>
                        <a:ext cx="114934"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KcYSynQAQAAngMAAA4AAABkcnMvZTJvRG9jLnhtbK1TzY7TMBC+I/EO&#10;lu80yW5A26jpCqlahIRgpYUHcB27seQ/jd0mfQF4A05cuPNcfQ7GTtqF5bIHLs54PP7m+75xVrej&#10;0eQgIChnW1otSkqE5a5TdtfSL5/vXt1QEiKzHdPOipYeRaC365cvVoNvxJXrne4EEASxoRl8S/sY&#10;fVMUgffCsLBwXlg8lA4Mi7iFXdEBGxDd6OKqLN8Ug4POg+MiBMxupkM6I8JzAJ2UiouN43sjbJxQ&#10;QWgWUVLolQ90ndlKKXj8JGUQkeiWotKYV2yC8TatxXrFmh0w3ys+U2DPofBEk2HKYtML1IZFRvag&#10;/oEyioMLTsYFd6aYhGRHUEVVPvHmoWdeZC1odfAX08P/g+UfD/dAVNfSulwuKbHM4MxP37+dfvw6&#10;/fxKbpJDgw8NFj74e5h3AcMkd5Rg0heFkDG7ery4KsZIOCarql5e15RwPKquq7p+nTCLx8seQnwn&#10;nCEpaCng0LKX7PAhxKn0XJJ6WXentMY8a7T9K4GYU0bkyc+3E/uJb4riuB1nEVvXHVH8gNNvqcXH&#10;Tol+b9Hc9FDOAZyD7TnYe1C7HolWmWXwb/cRKWWmqcMEiwrTBseWtc5PLL2LP/e56vG3W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L/SwtAAAAADAQAADwAAAAAAAAABACAAAAAiAAAAZHJzL2Rv&#10;d25yZXYueG1sUEsBAhQAFAAAAAgAh07iQKcYSynQAQAAngMAAA4AAAAAAAAAAQAgAAAAHwEAAGRy&#10;cy9lMm9Eb2MueG1sUEsFBgAAAAAGAAYAWQEAAG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26</w:t>
                    </w:r>
                    <w:r>
                      <w:rPr>
                        <w:rFonts w:hint="eastAsia"/>
                        <w:sz w:val="1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1"/>
      </w:rPr>
    </w:pPr>
    <w:r>
      <w:fldChar w:fldCharType="begin"/>
    </w:r>
    <w:r>
      <w:rPr>
        <w:rStyle w:val="21"/>
      </w:rPr>
      <w:instrText xml:space="preserve">PAGE  </w:instrText>
    </w:r>
    <w:r>
      <w:fldChar w:fldCharType="end"/>
    </w:r>
  </w:p>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28905" cy="306705"/>
              <wp:effectExtent l="0" t="0" r="0" b="0"/>
              <wp:wrapNone/>
              <wp:docPr id="4100" name="文本框 10"/>
              <wp:cNvGraphicFramePr/>
              <a:graphic xmlns:a="http://schemas.openxmlformats.org/drawingml/2006/main">
                <a:graphicData uri="http://schemas.microsoft.com/office/word/2010/wordprocessingShape">
                  <wps:wsp>
                    <wps:cNvSpPr/>
                    <wps:spPr>
                      <a:xfrm>
                        <a:off x="0" y="0"/>
                        <a:ext cx="128905" cy="30670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p>
                      </w:txbxContent>
                    </wps:txbx>
                    <wps:bodyPr wrap="none" lIns="0" tIns="0" rIns="0" bIns="0" upright="1">
                      <a:spAutoFit/>
                    </wps:bodyPr>
                  </wps:wsp>
                </a:graphicData>
              </a:graphic>
            </wp:anchor>
          </w:drawing>
        </mc:Choice>
        <mc:Fallback>
          <w:pict>
            <v:rect id="文本框 10" o:spid="_x0000_s1026" o:spt="1" style="position:absolute;left:0pt;margin-top:0pt;height:24.15pt;width:10.15pt;mso-position-horizontal:center;mso-position-horizontal-relative:margin;mso-wrap-style:none;z-index:251658240;mso-width-relative:page;mso-height-relative:page;" filled="f" stroked="f" coordsize="21600,21600" o:gfxdata="UEsDBAoAAAAAAIdO4kAAAAAAAAAAAAAAAAAEAAAAZHJzL1BLAwQUAAAACACHTuJApNTjNdIAAAAD&#10;AQAADwAAAGRycy9kb3ducmV2LnhtbE2PzU7DMBCE70i8g7VI3KjdFKEoxOkBqRIgLk37AG68+RH2&#10;bmS7TXl7DBe4rDSa0cy39fbqnbhgiBOThvVKgUDq2E40aDgedg8liJgMWeOYUMMXRtg2tze1qSwv&#10;tMdLmwaRSyhWRsOY0lxJGbsRvYkrnpGy13PwJmUZBmmDWXK5d7JQ6kl6M1FeGM2MLyN2n+3Za5CH&#10;dreUrQuK34v+w7297ntkre/v1uoZRMJr+gvDD35GhyYznfhMNgqnIT+Sfm/2CrUBcdLwWG5ANrX8&#10;z958A1BLAwQUAAAACACHTuJALZg3rc4BAACfAwAADgAAAGRycy9lMm9Eb2MueG1srVPNjtMwEL4j&#10;8Q6W7zRJgWWpmq6QqkVICFZaeADXcRpL/tOM26QvAG/AiQt3nqvPsWMnbWG57IGLMzMefzPfN5Pl&#10;zWAN2ytA7V3Nq1nJmXLSN9pta/71y+2La84wCtcI452q+UEhv1k9f7bsw0LNfedNo4ARiMNFH2re&#10;xRgWRYGyU1bgzAfl6LL1YEUkF7ZFA6IndGuKeVleFb2HJoCXCpGi6/GST4jwFEDftlqqtZc7q1wc&#10;UUEZEYkSdjogX+Vu21bJ+LltUUVmak5MYz6pCNmbdBarpVhsQYROy6kF8ZQWHnGyQjsqeoZaiyjY&#10;DvQ/UFZL8OjbOJPeFiORrAixqMpH2tx3IqjMhaTGcBYd/x+s/LS/A6abmr+qShLFCUszP/74fvz5&#10;+/jrG6uyRH3ABWXehzsgwZKHZCa+Qws2fYkJG7Ksh7OsaohMUrCaX78tX3Mm6eplefWGbEIpLo8D&#10;YHyvvGXJqDnQ1LKYYv8R45h6Skm1nL/VxuTJGfdXgDDHiMqjn15f+k1WHDbDRGLjmwOx72n8NXe0&#10;7ZyZD47UTZtyMuBkbE7GLoDedtRolbvE8G4XqaXcaaowwhLD5NDcMtdpx9Ji/OnnrMt/tXo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NTjNdIAAAADAQAADwAAAAAAAAABACAAAAAiAAAAZHJzL2Rv&#10;d25yZXYueG1sUEsBAhQAFAAAAAgAh07iQC2YN63OAQAAnwMAAA4AAAAAAAAAAQAgAAAAIQEAAGRy&#10;cy9lMm9Eb2MueG1sUEsFBgAAAAAGAAYAWQEAAGE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18</w:t>
                    </w:r>
                    <w:r>
                      <w:rPr>
                        <w:rFonts w:hint="eastAsia"/>
                        <w:sz w:val="18"/>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101" name="文本框 7"/>
              <wp:cNvGraphicFramePr/>
              <a:graphic xmlns:a="http://schemas.openxmlformats.org/drawingml/2006/main">
                <a:graphicData uri="http://schemas.microsoft.com/office/word/2010/wordprocessingShape">
                  <wps:wsp>
                    <wps:cNvSpPr/>
                    <wps:spPr>
                      <a:xfrm>
                        <a:off x="0" y="0"/>
                        <a:ext cx="114934"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wps:txbx>
                    <wps:bodyPr wrap="none" lIns="0" tIns="0" rIns="0" bIns="0">
                      <a:spAutoFit/>
                    </wps:bodyPr>
                  </wps:wsp>
                </a:graphicData>
              </a:graphic>
            </wp:anchor>
          </w:drawing>
        </mc:Choice>
        <mc:Fallback>
          <w:pict>
            <v:rect id="文本框 7"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APH3WXIAQAAkgMAAA4AAABkcnMvZTJvRG9jLnhtbK1TS47bMAzdF+gd&#10;BO0b2zPuz4gzKBBMUaBoB5j2AIosxQL0g6jEzgXaG3TVTfc9V84xlOxkPt3MohuZpKhHvkd6eTUa&#10;TfYigHK2pdWipERY7jplty39/u361TtKIDLbMe2saOlBAL1avXyxHHwjLlzvdCcCQRALzeBb2sfo&#10;m6IA3gvDYOG8sHgpXTAsohu2RRfYgOhGFxdl+aYYXOh8cFwAYHQ9XdIZMTwH0EmpuFg7vjPCxgk1&#10;CM0iUoJeeaCr3K2UgsevUoKIRLcUmcZ8YhG0N+ksVkvWbAPzveJzC+w5LTzhZJiyWPQMtWaRkV1Q&#10;/0AZxYMDJ+OCO1NMRLIiyKIqn2hz2zMvMheUGvxZdPh/sPzL/iYQ1bW0rsqKEssMzvz46+fx99/j&#10;nx/kbVJo8NBg4q2/CbMHaCa6owwmfZEIGbOqh7OqYoyEY7Cq6veXNSUcr6rLqq5fJ8zi/rEPED8K&#10;Z0gyWhpwaFlLtv8McUo9paRa1l0rrTHOGm0fBRBziog8+fl16n7qN1lx3IwziY3rDkh+wOm31OKy&#10;U6I/WRQ3LcrJCCdjMxupIvgPu4ht5O4S6gSFrJKDo8r85rVKu/DQz1n3v9Lq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S/0sLQAAAAAwEAAA8AAAAAAAAAAQAgAAAAIgAAAGRycy9kb3ducmV2Lnht&#10;bFBLAQIUABQAAAAIAIdO4kADx91lyAEAAJIDAAAOAAAAAAAAAAEAIAAAAB8BAABkcnMvZTJvRG9j&#10;LnhtbFBLBQYAAAAABgAGAFkBAABZ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2"/>
      <w:numFmt w:val="japaneseCounting"/>
      <w:lvlText w:val="%1、"/>
      <w:lvlJc w:val="left"/>
      <w:pPr>
        <w:tabs>
          <w:tab w:val="left" w:pos="600"/>
        </w:tabs>
        <w:ind w:left="600" w:hanging="4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05956008"/>
    <w:multiLevelType w:val="multilevel"/>
    <w:tmpl w:val="05956008"/>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AB464C3"/>
    <w:multiLevelType w:val="singleLevel"/>
    <w:tmpl w:val="5AB464C3"/>
    <w:lvl w:ilvl="0" w:tentative="0">
      <w:start w:val="1"/>
      <w:numFmt w:val="chineseCounting"/>
      <w:suff w:val="nothing"/>
      <w:lvlText w:val="%1、"/>
      <w:lvlJc w:val="left"/>
    </w:lvl>
  </w:abstractNum>
  <w:abstractNum w:abstractNumId="3">
    <w:nsid w:val="5DAF1F34"/>
    <w:multiLevelType w:val="multilevel"/>
    <w:tmpl w:val="5DAF1F34"/>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DAF1F4A"/>
    <w:multiLevelType w:val="multilevel"/>
    <w:tmpl w:val="5DAF1F4A"/>
    <w:lvl w:ilvl="0" w:tentative="0">
      <w:start w:val="1"/>
      <w:numFmt w:val="decimal"/>
      <w:lvlText w:val="%1."/>
      <w:lvlJc w:val="left"/>
      <w:pPr>
        <w:tabs>
          <w:tab w:val="left" w:pos="780"/>
        </w:tabs>
        <w:ind w:left="7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A1"/>
    <w:rsid w:val="00046FB3"/>
    <w:rsid w:val="00182320"/>
    <w:rsid w:val="001A1CA1"/>
    <w:rsid w:val="00416A19"/>
    <w:rsid w:val="00492035"/>
    <w:rsid w:val="006432B3"/>
    <w:rsid w:val="007F7514"/>
    <w:rsid w:val="00886E4D"/>
    <w:rsid w:val="00D21652"/>
    <w:rsid w:val="00D91E59"/>
    <w:rsid w:val="00FB676E"/>
    <w:rsid w:val="024459EE"/>
    <w:rsid w:val="03FA01CF"/>
    <w:rsid w:val="04023833"/>
    <w:rsid w:val="047219EC"/>
    <w:rsid w:val="06523805"/>
    <w:rsid w:val="07F434B4"/>
    <w:rsid w:val="094729F8"/>
    <w:rsid w:val="0C2A0088"/>
    <w:rsid w:val="0E3132E9"/>
    <w:rsid w:val="0F3E15FD"/>
    <w:rsid w:val="10641250"/>
    <w:rsid w:val="15220A7D"/>
    <w:rsid w:val="15943E0B"/>
    <w:rsid w:val="198F6553"/>
    <w:rsid w:val="1A8502BD"/>
    <w:rsid w:val="1BCB5A0E"/>
    <w:rsid w:val="1C900C92"/>
    <w:rsid w:val="1F3E61D4"/>
    <w:rsid w:val="1FE05D50"/>
    <w:rsid w:val="24AD2C6D"/>
    <w:rsid w:val="253B3E34"/>
    <w:rsid w:val="2C3E4316"/>
    <w:rsid w:val="2CAE5944"/>
    <w:rsid w:val="2CD323E3"/>
    <w:rsid w:val="2D933BEF"/>
    <w:rsid w:val="2EDF6747"/>
    <w:rsid w:val="31CB7C04"/>
    <w:rsid w:val="32C4154D"/>
    <w:rsid w:val="33FB3868"/>
    <w:rsid w:val="355100D8"/>
    <w:rsid w:val="365A72E6"/>
    <w:rsid w:val="376A3245"/>
    <w:rsid w:val="3B61618C"/>
    <w:rsid w:val="3B642943"/>
    <w:rsid w:val="400702CB"/>
    <w:rsid w:val="42030454"/>
    <w:rsid w:val="46AB7896"/>
    <w:rsid w:val="47C63727"/>
    <w:rsid w:val="4B93351F"/>
    <w:rsid w:val="4E0F4611"/>
    <w:rsid w:val="4E1B2FF7"/>
    <w:rsid w:val="55321B93"/>
    <w:rsid w:val="56961CC5"/>
    <w:rsid w:val="5E2956CF"/>
    <w:rsid w:val="61F75067"/>
    <w:rsid w:val="62E35F36"/>
    <w:rsid w:val="645B0159"/>
    <w:rsid w:val="656A7F35"/>
    <w:rsid w:val="659F763E"/>
    <w:rsid w:val="662A7E25"/>
    <w:rsid w:val="67E32005"/>
    <w:rsid w:val="6C1F68BC"/>
    <w:rsid w:val="6CAE47C1"/>
    <w:rsid w:val="6DF863C7"/>
    <w:rsid w:val="6FA55D9E"/>
    <w:rsid w:val="71B11FDD"/>
    <w:rsid w:val="72B47396"/>
    <w:rsid w:val="748C47E6"/>
    <w:rsid w:val="74B534CD"/>
    <w:rsid w:val="769E2FF7"/>
    <w:rsid w:val="7BBA2FCB"/>
    <w:rsid w:val="7BC46F42"/>
    <w:rsid w:val="7C154B09"/>
    <w:rsid w:val="7CCD1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line="413" w:lineRule="auto"/>
      <w:outlineLvl w:val="1"/>
    </w:pPr>
    <w:rPr>
      <w:rFonts w:ascii="Arial" w:hAnsi="Arial" w:eastAsia="黑体"/>
      <w:b/>
      <w:bCs/>
      <w:sz w:val="32"/>
      <w:szCs w:val="32"/>
    </w:rPr>
  </w:style>
  <w:style w:type="paragraph" w:styleId="5">
    <w:name w:val="heading 4"/>
    <w:basedOn w:val="1"/>
    <w:next w:val="1"/>
    <w:qFormat/>
    <w:uiPriority w:val="0"/>
    <w:pPr>
      <w:spacing w:before="35"/>
      <w:ind w:left="142"/>
      <w:jc w:val="center"/>
      <w:outlineLvl w:val="3"/>
    </w:pPr>
    <w:rPr>
      <w:rFonts w:ascii="宋体" w:hAnsi="宋体" w:cs="宋体"/>
      <w:b/>
      <w:bCs/>
      <w:sz w:val="32"/>
      <w:szCs w:val="32"/>
      <w:lang w:val="zh-CN" w:bidi="zh-CN"/>
    </w:rPr>
  </w:style>
  <w:style w:type="paragraph" w:styleId="6">
    <w:name w:val="heading 7"/>
    <w:basedOn w:val="1"/>
    <w:next w:val="1"/>
    <w:qFormat/>
    <w:uiPriority w:val="0"/>
    <w:pPr>
      <w:ind w:left="448"/>
      <w:outlineLvl w:val="6"/>
    </w:pPr>
    <w:rPr>
      <w:rFonts w:ascii="宋体" w:hAnsi="宋体" w:cs="宋体"/>
      <w:sz w:val="24"/>
      <w:lang w:val="zh-CN" w:bidi="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7">
    <w:name w:val="annotation text"/>
    <w:basedOn w:val="1"/>
    <w:link w:val="28"/>
    <w:qFormat/>
    <w:uiPriority w:val="0"/>
    <w:pPr>
      <w:jc w:val="left"/>
    </w:pPr>
  </w:style>
  <w:style w:type="paragraph" w:styleId="8">
    <w:name w:val="Body Text"/>
    <w:basedOn w:val="1"/>
    <w:next w:val="1"/>
    <w:qFormat/>
    <w:uiPriority w:val="0"/>
    <w:pPr>
      <w:autoSpaceDE w:val="0"/>
      <w:autoSpaceDN w:val="0"/>
      <w:adjustRightInd w:val="0"/>
      <w:spacing w:after="120"/>
      <w:jc w:val="left"/>
    </w:pPr>
    <w:rPr>
      <w:rFonts w:ascii="宋体"/>
      <w:kern w:val="0"/>
      <w:sz w:val="34"/>
      <w:szCs w:val="20"/>
    </w:rPr>
  </w:style>
  <w:style w:type="paragraph" w:styleId="9">
    <w:name w:val="Body Text Indent"/>
    <w:basedOn w:val="1"/>
    <w:qFormat/>
    <w:uiPriority w:val="0"/>
    <w:pPr>
      <w:ind w:firstLine="830" w:firstLineChars="352"/>
    </w:pPr>
    <w:rPr>
      <w:rFonts w:ascii="仿宋_GB2312" w:eastAsia="仿宋_GB2312"/>
      <w:sz w:val="32"/>
      <w:szCs w:val="20"/>
    </w:rPr>
  </w:style>
  <w:style w:type="paragraph" w:styleId="10">
    <w:name w:val="Plain Text"/>
    <w:basedOn w:val="1"/>
    <w:next w:val="1"/>
    <w:qFormat/>
    <w:uiPriority w:val="0"/>
    <w:rPr>
      <w:rFonts w:ascii="宋体" w:hAnsi="Courier New" w:cs="Courier New"/>
      <w:szCs w:val="21"/>
    </w:rPr>
  </w:style>
  <w:style w:type="paragraph" w:styleId="11">
    <w:name w:val="Balloon Text"/>
    <w:basedOn w:val="1"/>
    <w:link w:val="30"/>
    <w:qFormat/>
    <w:uiPriority w:val="0"/>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Body Text Indent 3"/>
    <w:basedOn w:val="1"/>
    <w:qFormat/>
    <w:uiPriority w:val="0"/>
    <w:pPr>
      <w:spacing w:after="120"/>
      <w:ind w:left="420" w:leftChars="200"/>
    </w:pPr>
    <w:rPr>
      <w:sz w:val="16"/>
      <w:szCs w:val="16"/>
    </w:rPr>
  </w:style>
  <w:style w:type="paragraph" w:styleId="15">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16">
    <w:name w:val="annotation subject"/>
    <w:basedOn w:val="7"/>
    <w:next w:val="7"/>
    <w:link w:val="29"/>
    <w:qFormat/>
    <w:uiPriority w:val="0"/>
    <w:rPr>
      <w:b/>
      <w:bCs/>
    </w:rPr>
  </w:style>
  <w:style w:type="paragraph" w:styleId="17">
    <w:name w:val="Body Text First Indent"/>
    <w:basedOn w:val="8"/>
    <w:qFormat/>
    <w:uiPriority w:val="0"/>
    <w:pPr>
      <w:ind w:firstLine="420" w:firstLineChars="100"/>
    </w:pPr>
    <w:rPr>
      <w:rFonts w:ascii="Times New Roman"/>
      <w:sz w:val="21"/>
      <w:szCs w:val="24"/>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qFormat/>
    <w:uiPriority w:val="0"/>
    <w:rPr>
      <w:sz w:val="21"/>
      <w:szCs w:val="21"/>
    </w:rPr>
  </w:style>
  <w:style w:type="paragraph" w:customStyle="1" w:styleId="24">
    <w:name w:val="表格文字"/>
    <w:basedOn w:val="1"/>
    <w:qFormat/>
    <w:uiPriority w:val="99"/>
    <w:pPr>
      <w:spacing w:before="25" w:after="25"/>
      <w:jc w:val="left"/>
    </w:pPr>
    <w:rPr>
      <w:bCs/>
      <w:spacing w:val="10"/>
      <w:kern w:val="0"/>
      <w:sz w:val="24"/>
    </w:rPr>
  </w:style>
  <w:style w:type="paragraph" w:customStyle="1" w:styleId="25">
    <w:name w:val="List Paragraph_3289356c-35e3-49af-952e-8a80f29a2b93"/>
    <w:basedOn w:val="1"/>
    <w:qFormat/>
    <w:uiPriority w:val="34"/>
    <w:pPr>
      <w:ind w:firstLine="420" w:firstLineChars="200"/>
    </w:pPr>
  </w:style>
  <w:style w:type="paragraph" w:customStyle="1" w:styleId="26">
    <w:name w:val="Plain Text1"/>
    <w:basedOn w:val="1"/>
    <w:qFormat/>
    <w:uiPriority w:val="0"/>
    <w:rPr>
      <w:rFonts w:ascii="宋体" w:hAnsi="Courier New" w:cs="Courier New"/>
      <w:szCs w:val="21"/>
    </w:rPr>
  </w:style>
  <w:style w:type="paragraph" w:customStyle="1" w:styleId="27">
    <w:name w:val="Table Paragraph"/>
    <w:basedOn w:val="1"/>
    <w:qFormat/>
    <w:uiPriority w:val="1"/>
    <w:rPr>
      <w:rFonts w:ascii="宋体" w:hAnsi="宋体" w:cs="宋体"/>
      <w:lang w:val="zh-CN" w:bidi="zh-CN"/>
    </w:rPr>
  </w:style>
  <w:style w:type="character" w:customStyle="1" w:styleId="28">
    <w:name w:val="批注文字 Char"/>
    <w:basedOn w:val="20"/>
    <w:link w:val="7"/>
    <w:qFormat/>
    <w:uiPriority w:val="0"/>
    <w:rPr>
      <w:kern w:val="2"/>
      <w:sz w:val="21"/>
      <w:szCs w:val="24"/>
    </w:rPr>
  </w:style>
  <w:style w:type="character" w:customStyle="1" w:styleId="29">
    <w:name w:val="批注主题 Char"/>
    <w:basedOn w:val="28"/>
    <w:link w:val="16"/>
    <w:qFormat/>
    <w:uiPriority w:val="0"/>
    <w:rPr>
      <w:b/>
      <w:bCs/>
      <w:kern w:val="2"/>
      <w:sz w:val="21"/>
      <w:szCs w:val="24"/>
    </w:rPr>
  </w:style>
  <w:style w:type="character" w:customStyle="1" w:styleId="30">
    <w:name w:val="批注框文本 Char"/>
    <w:basedOn w:val="20"/>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3297</Words>
  <Characters>18793</Characters>
  <Lines>156</Lines>
  <Paragraphs>44</Paragraphs>
  <TotalTime>9</TotalTime>
  <ScaleCrop>false</ScaleCrop>
  <LinksUpToDate>false</LinksUpToDate>
  <CharactersWithSpaces>22046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2018-08-30T07:43:00Z</dcterms:created>
  <dc:creator>Administrator</dc:creator>
  <cp:lastModifiedBy>贤言贤语</cp:lastModifiedBy>
  <cp:lastPrinted>2020-11-18T02:28:22Z</cp:lastPrinted>
  <dcterms:modified xsi:type="dcterms:W3CDTF">2020-11-18T02:33:24Z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