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sz w:val="52"/>
          <w:szCs w:val="52"/>
          <w:highlight w:val="none"/>
          <w:u w:val="single"/>
        </w:rPr>
      </w:pPr>
      <w:bookmarkStart w:id="0" w:name="_Toc217446030"/>
      <w:bookmarkStart w:id="1" w:name="_Toc183682338"/>
      <w:r>
        <w:rPr>
          <w:rFonts w:hint="eastAsia" w:asciiTheme="minorEastAsia" w:hAnsiTheme="minorEastAsia" w:eastAsiaTheme="minorEastAsia" w:cstheme="minorEastAsia"/>
          <w:highlight w:val="none"/>
        </w:rPr>
        <w:drawing>
          <wp:inline distT="0" distB="0" distL="0" distR="0">
            <wp:extent cx="914400" cy="72453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2"/>
                    <a:srcRect/>
                    <a:stretch>
                      <a:fillRect/>
                    </a:stretch>
                  </pic:blipFill>
                  <pic:spPr>
                    <a:xfrm>
                      <a:off x="0" y="0"/>
                      <a:ext cx="914400" cy="724535"/>
                    </a:xfrm>
                    <a:prstGeom prst="rect">
                      <a:avLst/>
                    </a:prstGeom>
                    <a:noFill/>
                    <a:ln w="9525">
                      <a:noFill/>
                      <a:miter lim="800000"/>
                      <a:headEnd/>
                      <a:tailEnd/>
                    </a:ln>
                  </pic:spPr>
                </pic:pic>
              </a:graphicData>
            </a:graphic>
          </wp:inline>
        </w:drawing>
      </w:r>
      <w:r>
        <w:rPr>
          <w:rFonts w:hint="eastAsia" w:asciiTheme="minorEastAsia" w:hAnsiTheme="minorEastAsia" w:eastAsiaTheme="minorEastAsia" w:cstheme="minorEastAsia"/>
          <w:b/>
          <w:sz w:val="44"/>
          <w:szCs w:val="44"/>
          <w:highlight w:val="none"/>
        </w:rPr>
        <w:t xml:space="preserve"> 广西鸿业建设工程管理咨询有限公司 </w:t>
      </w:r>
    </w:p>
    <w:tbl>
      <w:tblPr>
        <w:tblStyle w:val="34"/>
        <w:tblW w:w="0" w:type="auto"/>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180" w:type="dxa"/>
            <w:tcBorders>
              <w:top w:val="thickThinSmallGap" w:color="auto" w:sz="24" w:space="0"/>
            </w:tcBorders>
          </w:tcPr>
          <w:p>
            <w:pPr>
              <w:spacing w:line="240" w:lineRule="exact"/>
              <w:jc w:val="center"/>
              <w:rPr>
                <w:rFonts w:hint="eastAsia" w:asciiTheme="minorEastAsia" w:hAnsiTheme="minorEastAsia" w:eastAsiaTheme="minorEastAsia" w:cstheme="minorEastAsia"/>
                <w:bCs/>
                <w:kern w:val="0"/>
                <w:sz w:val="28"/>
                <w:szCs w:val="28"/>
                <w:highlight w:val="none"/>
              </w:rPr>
            </w:pPr>
          </w:p>
        </w:tc>
      </w:tr>
    </w:tbl>
    <w:p>
      <w:pPr>
        <w:rPr>
          <w:rFonts w:hint="eastAsia" w:asciiTheme="minorEastAsia" w:hAnsiTheme="minorEastAsia" w:eastAsiaTheme="minorEastAsia" w:cstheme="minorEastAsia"/>
          <w:b/>
          <w:sz w:val="52"/>
          <w:szCs w:val="52"/>
          <w:highlight w:val="none"/>
          <w:u w:val="single"/>
        </w:rPr>
      </w:pPr>
    </w:p>
    <w:p>
      <w:pPr>
        <w:tabs>
          <w:tab w:val="left" w:pos="3090"/>
        </w:tabs>
        <w:rPr>
          <w:rFonts w:hint="eastAsia" w:asciiTheme="minorEastAsia" w:hAnsiTheme="minorEastAsia" w:eastAsiaTheme="minorEastAsia" w:cstheme="minorEastAsia"/>
          <w:sz w:val="52"/>
          <w:highlight w:val="none"/>
        </w:rPr>
      </w:pPr>
      <w:r>
        <w:rPr>
          <w:rFonts w:hint="eastAsia" w:asciiTheme="minorEastAsia" w:hAnsiTheme="minorEastAsia" w:eastAsiaTheme="minorEastAsia" w:cstheme="minorEastAsia"/>
          <w:sz w:val="52"/>
          <w:highlight w:val="none"/>
        </w:rPr>
        <w:tab/>
      </w:r>
    </w:p>
    <w:p>
      <w:pPr>
        <w:pStyle w:val="2"/>
        <w:ind w:firstLine="0" w:firstLineChars="0"/>
        <w:rPr>
          <w:rFonts w:hint="eastAsia" w:asciiTheme="minorEastAsia" w:hAnsiTheme="minorEastAsia" w:eastAsiaTheme="minorEastAsia" w:cstheme="minorEastAsia"/>
          <w:sz w:val="52"/>
          <w:highlight w:val="none"/>
        </w:rPr>
      </w:pPr>
    </w:p>
    <w:p>
      <w:pPr>
        <w:pStyle w:val="2"/>
        <w:ind w:firstLine="1080"/>
        <w:rPr>
          <w:rFonts w:hint="eastAsia" w:asciiTheme="minorEastAsia" w:hAnsiTheme="minorEastAsia" w:eastAsiaTheme="minorEastAsia" w:cstheme="minorEastAsia"/>
          <w:sz w:val="52"/>
          <w:highlight w:val="none"/>
        </w:rPr>
      </w:pPr>
    </w:p>
    <w:p>
      <w:pPr>
        <w:ind w:firstLine="22"/>
        <w:jc w:val="center"/>
        <w:rPr>
          <w:rFonts w:hint="eastAsia" w:asciiTheme="minorEastAsia" w:hAnsiTheme="minorEastAsia" w:eastAsiaTheme="minorEastAsia" w:cstheme="minorEastAsia"/>
          <w:b/>
          <w:sz w:val="80"/>
          <w:szCs w:val="80"/>
          <w:highlight w:val="none"/>
        </w:rPr>
      </w:pPr>
      <w:r>
        <w:rPr>
          <w:rFonts w:hint="eastAsia" w:asciiTheme="minorEastAsia" w:hAnsiTheme="minorEastAsia" w:eastAsiaTheme="minorEastAsia" w:cstheme="minorEastAsia"/>
          <w:b/>
          <w:sz w:val="80"/>
          <w:szCs w:val="80"/>
          <w:highlight w:val="none"/>
        </w:rPr>
        <w:t>公开招标文件</w:t>
      </w:r>
    </w:p>
    <w:p>
      <w:pPr>
        <w:spacing w:line="360" w:lineRule="auto"/>
        <w:rPr>
          <w:rFonts w:hint="eastAsia" w:asciiTheme="minorEastAsia" w:hAnsiTheme="minorEastAsia" w:eastAsiaTheme="minorEastAsia" w:cstheme="minorEastAsia"/>
          <w:b/>
          <w:sz w:val="32"/>
          <w:szCs w:val="32"/>
          <w:highlight w:val="none"/>
        </w:rPr>
      </w:pPr>
    </w:p>
    <w:p>
      <w:pPr>
        <w:pStyle w:val="18"/>
        <w:rPr>
          <w:rFonts w:hint="eastAsia" w:asciiTheme="minorEastAsia" w:hAnsiTheme="minorEastAsia" w:eastAsiaTheme="minorEastAsia" w:cstheme="minorEastAsia"/>
          <w:highlight w:val="none"/>
        </w:rPr>
      </w:pPr>
    </w:p>
    <w:p>
      <w:pPr>
        <w:spacing w:line="360" w:lineRule="auto"/>
        <w:rPr>
          <w:rFonts w:hint="eastAsia" w:asciiTheme="minorEastAsia" w:hAnsiTheme="minorEastAsia" w:eastAsiaTheme="minorEastAsia" w:cstheme="minorEastAsia"/>
          <w:b/>
          <w:sz w:val="32"/>
          <w:szCs w:val="32"/>
          <w:highlight w:val="none"/>
        </w:rPr>
      </w:pPr>
    </w:p>
    <w:p>
      <w:pPr>
        <w:spacing w:line="360" w:lineRule="auto"/>
        <w:ind w:firstLine="321" w:firstLineChars="100"/>
        <w:jc w:val="center"/>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 xml:space="preserve">     项目名称：防城港市城市道路“智慧交通“项目设备采购</w:t>
      </w:r>
    </w:p>
    <w:p>
      <w:pPr>
        <w:spacing w:before="156" w:line="360" w:lineRule="auto"/>
        <w:ind w:firstLine="2165" w:firstLineChars="700"/>
        <w:rPr>
          <w:rFonts w:hint="eastAsia" w:asciiTheme="minorEastAsia" w:hAnsiTheme="minorEastAsia" w:eastAsiaTheme="minorEastAsia" w:cstheme="minorEastAsia"/>
          <w:b/>
          <w:bCs/>
          <w:kern w:val="1"/>
          <w:sz w:val="32"/>
          <w:szCs w:val="32"/>
          <w:highlight w:val="none"/>
        </w:rPr>
      </w:pPr>
      <w:r>
        <w:rPr>
          <w:rFonts w:hint="eastAsia" w:asciiTheme="minorEastAsia" w:hAnsiTheme="minorEastAsia" w:eastAsiaTheme="minorEastAsia" w:cstheme="minorEastAsia"/>
          <w:b/>
          <w:spacing w:val="-6"/>
          <w:sz w:val="32"/>
          <w:szCs w:val="32"/>
          <w:highlight w:val="none"/>
        </w:rPr>
        <w:t>项目编号：FCZC2020-G1-10006-GXHY</w:t>
      </w:r>
    </w:p>
    <w:p>
      <w:pPr>
        <w:pStyle w:val="2"/>
        <w:ind w:firstLine="0" w:firstLineChars="0"/>
        <w:rPr>
          <w:rFonts w:hint="eastAsia" w:asciiTheme="minorEastAsia" w:hAnsiTheme="minorEastAsia" w:eastAsiaTheme="minorEastAsia" w:cstheme="minorEastAsia"/>
          <w:b/>
          <w:sz w:val="32"/>
          <w:szCs w:val="32"/>
          <w:highlight w:val="none"/>
        </w:rPr>
      </w:pPr>
    </w:p>
    <w:p>
      <w:pPr>
        <w:pStyle w:val="2"/>
        <w:ind w:firstLine="683"/>
        <w:rPr>
          <w:rFonts w:hint="eastAsia" w:asciiTheme="minorEastAsia" w:hAnsiTheme="minorEastAsia" w:eastAsiaTheme="minorEastAsia" w:cstheme="minorEastAsia"/>
          <w:b/>
          <w:sz w:val="32"/>
          <w:szCs w:val="32"/>
          <w:highlight w:val="none"/>
        </w:rPr>
      </w:pPr>
    </w:p>
    <w:p>
      <w:pPr>
        <w:pStyle w:val="2"/>
        <w:ind w:firstLine="683"/>
        <w:rPr>
          <w:rFonts w:hint="eastAsia" w:asciiTheme="minorEastAsia" w:hAnsiTheme="minorEastAsia" w:eastAsiaTheme="minorEastAsia" w:cstheme="minorEastAsia"/>
          <w:b/>
          <w:sz w:val="32"/>
          <w:szCs w:val="32"/>
          <w:highlight w:val="none"/>
        </w:rPr>
      </w:pPr>
    </w:p>
    <w:p>
      <w:pPr>
        <w:pStyle w:val="2"/>
        <w:ind w:firstLine="683"/>
        <w:rPr>
          <w:rFonts w:hint="eastAsia" w:asciiTheme="minorEastAsia" w:hAnsiTheme="minorEastAsia" w:eastAsiaTheme="minorEastAsia" w:cstheme="minorEastAsia"/>
          <w:b/>
          <w:sz w:val="32"/>
          <w:szCs w:val="32"/>
          <w:highlight w:val="none"/>
        </w:rPr>
      </w:pPr>
    </w:p>
    <w:p>
      <w:pPr>
        <w:spacing w:line="560" w:lineRule="exact"/>
        <w:ind w:firstLine="964" w:firstLineChars="300"/>
        <w:rPr>
          <w:rFonts w:hint="eastAsia" w:asciiTheme="minorEastAsia" w:hAnsiTheme="minorEastAsia" w:eastAsiaTheme="minorEastAsia" w:cstheme="minorEastAsia"/>
          <w:b/>
          <w:sz w:val="32"/>
          <w:szCs w:val="32"/>
          <w:highlight w:val="none"/>
          <w:u w:val="single"/>
        </w:rPr>
      </w:pPr>
      <w:r>
        <w:rPr>
          <w:rFonts w:hint="eastAsia" w:asciiTheme="minorEastAsia" w:hAnsiTheme="minorEastAsia" w:eastAsiaTheme="minorEastAsia" w:cstheme="minorEastAsia"/>
          <w:b/>
          <w:sz w:val="32"/>
          <w:szCs w:val="32"/>
          <w:highlight w:val="none"/>
        </w:rPr>
        <w:t xml:space="preserve">采购单位：防城港市公安局 </w:t>
      </w:r>
    </w:p>
    <w:p>
      <w:pPr>
        <w:spacing w:line="560" w:lineRule="exact"/>
        <w:ind w:firstLine="964" w:firstLineChars="300"/>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招标代理机构：广西鸿业建设工程管理咨询有限公司</w:t>
      </w:r>
    </w:p>
    <w:p>
      <w:pPr>
        <w:snapToGrid w:val="0"/>
        <w:spacing w:beforeLines="50" w:line="560" w:lineRule="exact"/>
        <w:ind w:firstLine="964" w:firstLineChars="300"/>
        <w:rPr>
          <w:rFonts w:hint="eastAsia" w:asciiTheme="minorEastAsia" w:hAnsiTheme="minorEastAsia" w:eastAsiaTheme="minorEastAsia" w:cstheme="minorEastAsia"/>
          <w:sz w:val="2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start="1"/>
          <w:cols w:space="720" w:num="1"/>
          <w:titlePg/>
          <w:docGrid w:linePitch="312" w:charSpace="0"/>
        </w:sectPr>
      </w:pPr>
      <w:r>
        <w:rPr>
          <w:rFonts w:hint="eastAsia" w:asciiTheme="minorEastAsia" w:hAnsiTheme="minorEastAsia" w:eastAsiaTheme="minorEastAsia" w:cstheme="minorEastAsia"/>
          <w:b/>
          <w:sz w:val="32"/>
          <w:szCs w:val="32"/>
          <w:highlight w:val="none"/>
        </w:rPr>
        <w:t>时    间：2020年7月</w:t>
      </w:r>
    </w:p>
    <w:p>
      <w:pPr>
        <w:snapToGrid w:val="0"/>
        <w:spacing w:beforeLines="50" w:line="360" w:lineRule="auto"/>
        <w:jc w:val="center"/>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b/>
          <w:sz w:val="36"/>
          <w:szCs w:val="36"/>
          <w:highlight w:val="none"/>
        </w:rPr>
        <w:t>目    录</w:t>
      </w:r>
    </w:p>
    <w:p>
      <w:pPr>
        <w:numPr>
          <w:ilvl w:val="0"/>
          <w:numId w:val="1"/>
        </w:numPr>
        <w:spacing w:beforeLines="50" w:line="480" w:lineRule="exact"/>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招标公告…………………………………………………………………………1</w:t>
      </w:r>
    </w:p>
    <w:p>
      <w:pPr>
        <w:numPr>
          <w:ilvl w:val="0"/>
          <w:numId w:val="2"/>
        </w:numPr>
        <w:tabs>
          <w:tab w:val="left" w:pos="1440"/>
        </w:tabs>
        <w:spacing w:beforeLines="50" w:line="480" w:lineRule="exact"/>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招标项目采购需求………………………………………………………………3</w:t>
      </w:r>
    </w:p>
    <w:p>
      <w:pPr>
        <w:numPr>
          <w:ilvl w:val="0"/>
          <w:numId w:val="2"/>
        </w:numPr>
        <w:tabs>
          <w:tab w:val="left" w:pos="1440"/>
        </w:tabs>
        <w:spacing w:beforeLines="50" w:line="480" w:lineRule="exact"/>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投标人须知………………………………………………………………………42</w:t>
      </w:r>
    </w:p>
    <w:p>
      <w:pPr>
        <w:numPr>
          <w:ilvl w:val="0"/>
          <w:numId w:val="2"/>
        </w:numPr>
        <w:tabs>
          <w:tab w:val="left" w:pos="1440"/>
        </w:tabs>
        <w:spacing w:beforeLines="50" w:line="480" w:lineRule="exact"/>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评标办法及评分标准……………………………………………………………54</w:t>
      </w:r>
    </w:p>
    <w:p>
      <w:pPr>
        <w:numPr>
          <w:ilvl w:val="0"/>
          <w:numId w:val="2"/>
        </w:numPr>
        <w:tabs>
          <w:tab w:val="left" w:pos="1440"/>
        </w:tabs>
        <w:spacing w:beforeLines="50" w:line="480" w:lineRule="exact"/>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政府采购合同及主要条款………………………………………………………60</w:t>
      </w:r>
    </w:p>
    <w:p>
      <w:pPr>
        <w:numPr>
          <w:ilvl w:val="0"/>
          <w:numId w:val="2"/>
        </w:numPr>
        <w:tabs>
          <w:tab w:val="left" w:pos="1440"/>
        </w:tabs>
        <w:spacing w:beforeLines="50" w:line="480" w:lineRule="exact"/>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投标文件格式……………………………………………………………………66</w:t>
      </w:r>
    </w:p>
    <w:p>
      <w:pPr>
        <w:rPr>
          <w:rFonts w:hint="eastAsia" w:asciiTheme="minorEastAsia" w:hAnsiTheme="minorEastAsia" w:eastAsiaTheme="minorEastAsia" w:cstheme="minorEastAsia"/>
          <w:highlight w:val="none"/>
        </w:rPr>
      </w:pPr>
    </w:p>
    <w:p>
      <w:pPr>
        <w:spacing w:beforeLines="50" w:line="480" w:lineRule="exact"/>
        <w:rPr>
          <w:rFonts w:hint="eastAsia" w:asciiTheme="minorEastAsia" w:hAnsiTheme="minorEastAsia" w:eastAsiaTheme="minorEastAsia" w:cstheme="minorEastAsia"/>
          <w:sz w:val="24"/>
          <w:highlight w:val="none"/>
        </w:rPr>
      </w:pPr>
    </w:p>
    <w:p>
      <w:pPr>
        <w:pStyle w:val="6"/>
        <w:spacing w:line="240" w:lineRule="auto"/>
        <w:rPr>
          <w:rFonts w:hint="eastAsia" w:asciiTheme="minorEastAsia" w:hAnsiTheme="minorEastAsia" w:eastAsiaTheme="minorEastAsia" w:cstheme="minorEastAsia"/>
          <w:b/>
          <w:bCs/>
          <w:sz w:val="32"/>
          <w:szCs w:val="32"/>
          <w:highlight w:val="none"/>
        </w:rPr>
        <w:sectPr>
          <w:footerReference r:id="rId12" w:type="first"/>
          <w:headerReference r:id="rId9" w:type="default"/>
          <w:footerReference r:id="rId10" w:type="default"/>
          <w:footerReference r:id="rId11" w:type="even"/>
          <w:type w:val="nextColumn"/>
          <w:pgSz w:w="11906" w:h="16838"/>
          <w:pgMar w:top="1134" w:right="1134" w:bottom="1134" w:left="1134" w:header="851" w:footer="992" w:gutter="0"/>
          <w:pgNumType w:start="1"/>
          <w:cols w:space="720" w:num="1"/>
          <w:titlePg/>
          <w:docGrid w:linePitch="312" w:charSpace="0"/>
        </w:sectPr>
      </w:pPr>
      <w:bookmarkStart w:id="2" w:name="_Toc254970489"/>
      <w:bookmarkStart w:id="3" w:name="_Toc254970630"/>
    </w:p>
    <w:p>
      <w:pPr>
        <w:pStyle w:val="6"/>
        <w:spacing w:line="240" w:lineRule="auto"/>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sz w:val="32"/>
          <w:szCs w:val="32"/>
          <w:highlight w:val="none"/>
        </w:rPr>
        <w:t>第一章  招标公告</w:t>
      </w:r>
      <w:bookmarkEnd w:id="2"/>
      <w:bookmarkEnd w:id="3"/>
    </w:p>
    <w:p>
      <w:pPr>
        <w:pStyle w:val="6"/>
        <w:spacing w:line="240" w:lineRule="auto"/>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sz w:val="32"/>
          <w:szCs w:val="32"/>
          <w:highlight w:val="none"/>
        </w:rPr>
        <w:t>防城港市公安局防城港市城市道路“智慧交通”项目设备采购公开招标公告</w:t>
      </w:r>
    </w:p>
    <w:p>
      <w:pPr>
        <w:snapToGrid w:val="0"/>
        <w:spacing w:line="288" w:lineRule="auto"/>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项目概况：</w:t>
      </w:r>
    </w:p>
    <w:p>
      <w:pPr>
        <w:snapToGrid w:val="0"/>
        <w:spacing w:line="288" w:lineRule="auto"/>
        <w:ind w:firstLine="422"/>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防城港市城市道路“智慧交通“项目设备采购招标项目的潜在投标人应在政采云平台（</w:t>
      </w: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"https://www.zcygov.cn/"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Cs/>
          <w:szCs w:val="21"/>
          <w:highlight w:val="none"/>
        </w:rPr>
        <w:t>https://www.zcygov.cn/</w:t>
      </w:r>
      <w:r>
        <w:rPr>
          <w:rFonts w:hint="eastAsia" w:asciiTheme="minorEastAsia" w:hAnsiTheme="minorEastAsia" w:eastAsiaTheme="minorEastAsia" w:cstheme="minorEastAsia"/>
          <w:bCs/>
          <w:szCs w:val="21"/>
          <w:highlight w:val="none"/>
        </w:rPr>
        <w:fldChar w:fldCharType="end"/>
      </w:r>
      <w:r>
        <w:rPr>
          <w:rFonts w:hint="eastAsia" w:asciiTheme="minorEastAsia" w:hAnsiTheme="minorEastAsia" w:eastAsiaTheme="minorEastAsia" w:cstheme="minorEastAsia"/>
          <w:bCs/>
          <w:szCs w:val="21"/>
          <w:highlight w:val="none"/>
        </w:rPr>
        <w:t>）获取公开招标文件，并于2020年</w:t>
      </w:r>
      <w:r>
        <w:rPr>
          <w:rFonts w:hint="eastAsia" w:asciiTheme="minorEastAsia" w:hAnsiTheme="minorEastAsia" w:eastAsiaTheme="minorEastAsia" w:cstheme="minorEastAsia"/>
          <w:bCs/>
          <w:szCs w:val="21"/>
          <w:highlight w:val="none"/>
          <w:lang w:val="en-US" w:eastAsia="zh-CN"/>
        </w:rPr>
        <w:t>8</w:t>
      </w:r>
      <w:r>
        <w:rPr>
          <w:rFonts w:hint="eastAsia" w:asciiTheme="minorEastAsia" w:hAnsiTheme="minorEastAsia" w:eastAsiaTheme="minorEastAsia" w:cstheme="minorEastAsia"/>
          <w:bCs/>
          <w:szCs w:val="21"/>
          <w:highlight w:val="none"/>
        </w:rPr>
        <w:t>月</w:t>
      </w:r>
      <w:r>
        <w:rPr>
          <w:rFonts w:hint="eastAsia" w:asciiTheme="minorEastAsia" w:hAnsiTheme="minorEastAsia" w:eastAsiaTheme="minorEastAsia" w:cstheme="minorEastAsia"/>
          <w:bCs/>
          <w:szCs w:val="21"/>
          <w:highlight w:val="none"/>
          <w:lang w:val="en-US" w:eastAsia="zh-CN"/>
        </w:rPr>
        <w:t>14</w:t>
      </w:r>
      <w:r>
        <w:rPr>
          <w:rFonts w:hint="eastAsia" w:asciiTheme="minorEastAsia" w:hAnsiTheme="minorEastAsia" w:eastAsiaTheme="minorEastAsia" w:cstheme="minorEastAsia"/>
          <w:bCs/>
          <w:szCs w:val="21"/>
          <w:highlight w:val="none"/>
        </w:rPr>
        <w:t>日</w:t>
      </w:r>
      <w:r>
        <w:rPr>
          <w:rFonts w:hint="eastAsia" w:asciiTheme="minorEastAsia" w:hAnsiTheme="minorEastAsia" w:eastAsiaTheme="minorEastAsia" w:cstheme="minorEastAsia"/>
          <w:bCs/>
          <w:szCs w:val="21"/>
          <w:highlight w:val="none"/>
          <w:lang w:val="en-US" w:eastAsia="zh-CN"/>
        </w:rPr>
        <w:t>9</w:t>
      </w:r>
      <w:r>
        <w:rPr>
          <w:rFonts w:hint="eastAsia" w:asciiTheme="minorEastAsia" w:hAnsiTheme="minorEastAsia" w:eastAsiaTheme="minorEastAsia" w:cstheme="minorEastAsia"/>
          <w:bCs/>
          <w:szCs w:val="21"/>
          <w:highlight w:val="none"/>
        </w:rPr>
        <w:t>点</w:t>
      </w:r>
      <w:r>
        <w:rPr>
          <w:rFonts w:hint="eastAsia" w:asciiTheme="minorEastAsia" w:hAnsiTheme="minorEastAsia" w:eastAsiaTheme="minorEastAsia" w:cstheme="minorEastAsia"/>
          <w:bCs/>
          <w:szCs w:val="21"/>
          <w:highlight w:val="none"/>
          <w:lang w:val="en-US" w:eastAsia="zh-CN"/>
        </w:rPr>
        <w:t>30</w:t>
      </w:r>
      <w:r>
        <w:rPr>
          <w:rFonts w:hint="eastAsia" w:asciiTheme="minorEastAsia" w:hAnsiTheme="minorEastAsia" w:eastAsiaTheme="minorEastAsia" w:cstheme="minorEastAsia"/>
          <w:bCs/>
          <w:szCs w:val="21"/>
          <w:highlight w:val="none"/>
        </w:rPr>
        <w:t>分（北京时间）前递交投标文件。</w:t>
      </w:r>
    </w:p>
    <w:p>
      <w:pPr>
        <w:snapToGrid w:val="0"/>
        <w:spacing w:line="288" w:lineRule="auto"/>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一、项目基本情况</w:t>
      </w:r>
      <w:bookmarkStart w:id="118" w:name="_GoBack"/>
      <w:bookmarkEnd w:id="118"/>
    </w:p>
    <w:p>
      <w:pPr>
        <w:snapToGrid w:val="0"/>
        <w:spacing w:line="288" w:lineRule="auto"/>
        <w:ind w:firstLine="422"/>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项目编号：FCZC2020-G1-10006-GXHY </w:t>
      </w:r>
    </w:p>
    <w:p>
      <w:pPr>
        <w:snapToGrid w:val="0"/>
        <w:spacing w:line="288" w:lineRule="auto"/>
        <w:ind w:firstLine="422"/>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项目名称：防城港市城市道路“智慧交通“项目设备采购</w:t>
      </w:r>
    </w:p>
    <w:p>
      <w:pPr>
        <w:snapToGrid w:val="0"/>
        <w:spacing w:line="288" w:lineRule="auto"/>
        <w:ind w:firstLine="422"/>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预算金</w:t>
      </w:r>
      <w:r>
        <w:rPr>
          <w:rFonts w:hint="eastAsia" w:asciiTheme="minorEastAsia" w:hAnsiTheme="minorEastAsia" w:eastAsiaTheme="minorEastAsia" w:cstheme="minorEastAsia"/>
          <w:color w:val="333333"/>
          <w:sz w:val="19"/>
          <w:szCs w:val="19"/>
          <w:highlight w:val="none"/>
          <w:shd w:val="clear" w:color="auto" w:fill="FFFFFF"/>
        </w:rPr>
        <w:t>额（</w:t>
      </w:r>
      <w:r>
        <w:rPr>
          <w:rFonts w:hint="eastAsia" w:asciiTheme="minorEastAsia" w:hAnsiTheme="minorEastAsia" w:eastAsiaTheme="minorEastAsia" w:cstheme="minorEastAsia"/>
          <w:bCs/>
          <w:szCs w:val="21"/>
          <w:highlight w:val="none"/>
        </w:rPr>
        <w:t>人民币）：贰仟捌佰贰拾万零叁仟伍佰叁拾元整（¥28203530.00）</w:t>
      </w:r>
    </w:p>
    <w:p>
      <w:pPr>
        <w:snapToGrid w:val="0"/>
        <w:spacing w:line="288" w:lineRule="auto"/>
        <w:ind w:firstLine="422"/>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采购需求：</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685"/>
        <w:gridCol w:w="750"/>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4" w:type="dxa"/>
            <w:noWrap/>
            <w:vAlign w:val="center"/>
          </w:tcPr>
          <w:p>
            <w:pPr>
              <w:snapToGrid w:val="0"/>
              <w:spacing w:line="288" w:lineRule="auto"/>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项号</w:t>
            </w:r>
          </w:p>
        </w:tc>
        <w:tc>
          <w:tcPr>
            <w:tcW w:w="1685" w:type="dxa"/>
            <w:noWrap/>
            <w:vAlign w:val="center"/>
          </w:tcPr>
          <w:p>
            <w:pPr>
              <w:snapToGrid w:val="0"/>
              <w:spacing w:line="288" w:lineRule="auto"/>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采购名称</w:t>
            </w:r>
          </w:p>
        </w:tc>
        <w:tc>
          <w:tcPr>
            <w:tcW w:w="750" w:type="dxa"/>
            <w:noWrap/>
            <w:vAlign w:val="center"/>
          </w:tcPr>
          <w:p>
            <w:pPr>
              <w:snapToGrid w:val="0"/>
              <w:spacing w:line="288" w:lineRule="auto"/>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数量</w:t>
            </w:r>
          </w:p>
        </w:tc>
        <w:tc>
          <w:tcPr>
            <w:tcW w:w="6067" w:type="dxa"/>
            <w:noWrap/>
            <w:vAlign w:val="center"/>
          </w:tcPr>
          <w:p>
            <w:pPr>
              <w:snapToGrid w:val="0"/>
              <w:spacing w:line="288" w:lineRule="auto"/>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项目基本情况及简要技术需求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noWrap/>
            <w:vAlign w:val="center"/>
          </w:tcPr>
          <w:p>
            <w:pPr>
              <w:snapToGrid w:val="0"/>
              <w:spacing w:line="288" w:lineRule="auto"/>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1</w:t>
            </w:r>
          </w:p>
        </w:tc>
        <w:tc>
          <w:tcPr>
            <w:tcW w:w="1685" w:type="dxa"/>
            <w:noWrap/>
            <w:vAlign w:val="center"/>
          </w:tcPr>
          <w:p>
            <w:pPr>
              <w:snapToGrid w:val="0"/>
              <w:spacing w:line="288" w:lineRule="auto"/>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color w:val="333333"/>
                <w:sz w:val="19"/>
                <w:szCs w:val="19"/>
                <w:highlight w:val="none"/>
                <w:shd w:val="clear" w:color="auto" w:fill="FFFFFF"/>
              </w:rPr>
              <w:t>防城港市城市道路“智慧交通“项目设备采购</w:t>
            </w:r>
          </w:p>
        </w:tc>
        <w:tc>
          <w:tcPr>
            <w:tcW w:w="750" w:type="dxa"/>
            <w:noWrap/>
            <w:vAlign w:val="center"/>
          </w:tcPr>
          <w:p>
            <w:pPr>
              <w:snapToGrid w:val="0"/>
              <w:spacing w:line="288" w:lineRule="auto"/>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1项</w:t>
            </w:r>
          </w:p>
        </w:tc>
        <w:tc>
          <w:tcPr>
            <w:tcW w:w="6067" w:type="dxa"/>
            <w:noWrap/>
            <w:vAlign w:val="center"/>
          </w:tcPr>
          <w:p>
            <w:pPr>
              <w:snapToGrid w:val="0"/>
              <w:spacing w:line="288" w:lineRule="auto"/>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color w:val="333333"/>
                <w:sz w:val="19"/>
                <w:szCs w:val="19"/>
                <w:highlight w:val="none"/>
                <w:shd w:val="clear" w:color="auto" w:fill="FFFFFF"/>
              </w:rPr>
              <w:t>防城港市城市道路“智慧交通“项目设备采购主要采购交通综合管控平台、交通违法AI检测平台、云存储系统建设、网络及安全系统建设、交通信号控制系统、电子警察抓拍系统等。如需进一步了解详细内容，详见招标文件。</w:t>
            </w:r>
          </w:p>
        </w:tc>
      </w:tr>
    </w:tbl>
    <w:p>
      <w:pPr>
        <w:pStyle w:val="18"/>
        <w:spacing w:line="288" w:lineRule="auto"/>
        <w:ind w:firstLine="420" w:firstLineChars="200"/>
        <w:rPr>
          <w:rFonts w:hint="eastAsia" w:asciiTheme="minorEastAsia" w:hAnsiTheme="minorEastAsia" w:eastAsiaTheme="minorEastAsia" w:cstheme="minorEastAsia"/>
          <w:bCs/>
          <w:kern w:val="2"/>
          <w:sz w:val="21"/>
          <w:szCs w:val="21"/>
          <w:highlight w:val="none"/>
        </w:rPr>
      </w:pPr>
      <w:r>
        <w:rPr>
          <w:rFonts w:hint="eastAsia" w:asciiTheme="minorEastAsia" w:hAnsiTheme="minorEastAsia" w:eastAsiaTheme="minorEastAsia" w:cstheme="minorEastAsia"/>
          <w:bCs/>
          <w:kern w:val="2"/>
          <w:sz w:val="21"/>
          <w:szCs w:val="21"/>
          <w:highlight w:val="none"/>
        </w:rPr>
        <w:t>合同履行期限：设备部分自采购合同签订之日起90个工作日；装饰装修部分自采购合同签订之日起60个工作日。</w:t>
      </w:r>
    </w:p>
    <w:p>
      <w:pPr>
        <w:spacing w:line="288" w:lineRule="auto"/>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二</w:t>
      </w: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b/>
          <w:szCs w:val="21"/>
          <w:highlight w:val="none"/>
        </w:rPr>
        <w:t>投标人的资格要求</w:t>
      </w:r>
    </w:p>
    <w:p>
      <w:pPr>
        <w:snapToGrid w:val="0"/>
        <w:spacing w:line="288" w:lineRule="auto"/>
        <w:ind w:firstLine="472" w:firstLineChars="225"/>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1.符合《中华人民共和国政府采购法》第二十二条规定的条件；</w:t>
      </w:r>
    </w:p>
    <w:p>
      <w:pPr>
        <w:snapToGrid w:val="0"/>
        <w:spacing w:line="288" w:lineRule="auto"/>
        <w:ind w:firstLine="472" w:firstLineChars="225"/>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szCs w:val="21"/>
          <w:highlight w:val="none"/>
          <w:lang w:val="en-US" w:eastAsia="zh-CN"/>
        </w:rPr>
        <w:t>2</w:t>
      </w:r>
      <w:r>
        <w:rPr>
          <w:rFonts w:hint="eastAsia" w:asciiTheme="minorEastAsia" w:hAnsiTheme="minorEastAsia" w:eastAsiaTheme="minorEastAsia" w:cstheme="minorEastAsia"/>
          <w:szCs w:val="21"/>
          <w:highlight w:val="none"/>
        </w:rPr>
        <w:t>.国内注册（指按国家有关规定要求注册的），生产或经营本次招标采购货物的供应商，根据《中华人民政府采购法实施条例》释义，银行、保险、石油石化、电力、电信等行业可以由分公司投标</w:t>
      </w:r>
      <w:r>
        <w:rPr>
          <w:rFonts w:hint="eastAsia" w:asciiTheme="minorEastAsia" w:hAnsiTheme="minorEastAsia" w:eastAsiaTheme="minorEastAsia" w:cstheme="minorEastAsia"/>
          <w:bCs/>
          <w:szCs w:val="21"/>
          <w:highlight w:val="none"/>
        </w:rPr>
        <w:t>；</w:t>
      </w:r>
    </w:p>
    <w:p>
      <w:pPr>
        <w:snapToGrid w:val="0"/>
        <w:spacing w:line="288" w:lineRule="auto"/>
        <w:ind w:firstLine="472" w:firstLineChars="225"/>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lang w:val="en-US" w:eastAsia="zh-CN"/>
        </w:rPr>
        <w:t>3</w:t>
      </w:r>
      <w:r>
        <w:rPr>
          <w:rFonts w:hint="eastAsia" w:asciiTheme="minorEastAsia" w:hAnsiTheme="minorEastAsia" w:eastAsiaTheme="minorEastAsia" w:cstheme="minorEastAsia"/>
          <w:bCs/>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288" w:lineRule="auto"/>
        <w:ind w:firstLine="472" w:firstLineChars="225"/>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lang w:val="en-US" w:eastAsia="zh-CN"/>
        </w:rPr>
        <w:t>4</w:t>
      </w:r>
      <w:r>
        <w:rPr>
          <w:rFonts w:hint="eastAsia" w:asciiTheme="minorEastAsia" w:hAnsiTheme="minorEastAsia" w:eastAsiaTheme="minorEastAsia" w:cstheme="minorEastAsia"/>
          <w:bCs/>
          <w:szCs w:val="21"/>
          <w:highlight w:val="none"/>
        </w:rPr>
        <w:t>.对在“信用中国”网站(www.creditchina.gov.cn)、中国政府采购网(www.ccgp.gov.cn)等渠道列入失信被执行人、重大税收违法案件当事人名单、政府采购严重违法失信行为记录名单的供应商，视为资格审查不通过，不得参与政府采购活动；</w:t>
      </w:r>
    </w:p>
    <w:p>
      <w:pPr>
        <w:snapToGrid w:val="0"/>
        <w:spacing w:line="288" w:lineRule="auto"/>
        <w:ind w:firstLine="472" w:firstLineChars="225"/>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lang w:val="en-US" w:eastAsia="zh-CN"/>
        </w:rPr>
        <w:t>5</w:t>
      </w:r>
      <w:r>
        <w:rPr>
          <w:rFonts w:hint="eastAsia" w:asciiTheme="minorEastAsia" w:hAnsiTheme="minorEastAsia" w:eastAsiaTheme="minorEastAsia" w:cstheme="minorEastAsia"/>
          <w:bCs/>
          <w:szCs w:val="21"/>
          <w:highlight w:val="none"/>
        </w:rPr>
        <w:t>.本项目不接受联合体和未购买采购文件的供应商。</w:t>
      </w:r>
    </w:p>
    <w:p>
      <w:pPr>
        <w:snapToGrid w:val="0"/>
        <w:spacing w:line="288" w:lineRule="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szCs w:val="21"/>
          <w:highlight w:val="none"/>
        </w:rPr>
        <w:t>三、获取招标文件</w:t>
      </w:r>
    </w:p>
    <w:p>
      <w:pPr>
        <w:snapToGrid w:val="0"/>
        <w:spacing w:line="288" w:lineRule="auto"/>
        <w:ind w:firstLine="42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color w:val="auto"/>
          <w:szCs w:val="21"/>
          <w:highlight w:val="none"/>
        </w:rPr>
        <w:t>时间：2020年</w:t>
      </w:r>
      <w:r>
        <w:rPr>
          <w:rFonts w:hint="eastAsia" w:asciiTheme="minorEastAsia" w:hAnsiTheme="minorEastAsia" w:eastAsiaTheme="minorEastAsia" w:cstheme="minorEastAsia"/>
          <w:bCs/>
          <w:color w:val="auto"/>
          <w:szCs w:val="21"/>
          <w:highlight w:val="none"/>
          <w:lang w:val="en-US" w:eastAsia="zh-CN"/>
        </w:rPr>
        <w:t>7</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lang w:val="en-US" w:eastAsia="zh-CN"/>
        </w:rPr>
        <w:t>24</w:t>
      </w:r>
      <w:r>
        <w:rPr>
          <w:rFonts w:hint="eastAsia" w:asciiTheme="minorEastAsia" w:hAnsiTheme="minorEastAsia" w:eastAsiaTheme="minorEastAsia" w:cstheme="minorEastAsia"/>
          <w:bCs/>
          <w:color w:val="auto"/>
          <w:szCs w:val="21"/>
          <w:highlight w:val="none"/>
        </w:rPr>
        <w:t>日至2020年</w:t>
      </w:r>
      <w:r>
        <w:rPr>
          <w:rFonts w:hint="eastAsia" w:asciiTheme="minorEastAsia" w:hAnsiTheme="minorEastAsia" w:eastAsiaTheme="minorEastAsia" w:cstheme="minorEastAsia"/>
          <w:bCs/>
          <w:color w:val="auto"/>
          <w:szCs w:val="21"/>
          <w:highlight w:val="none"/>
          <w:lang w:val="en-US" w:eastAsia="zh-CN"/>
        </w:rPr>
        <w:t>7</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lang w:val="en-US" w:eastAsia="zh-CN"/>
        </w:rPr>
        <w:t>31</w:t>
      </w:r>
      <w:r>
        <w:rPr>
          <w:rFonts w:hint="eastAsia" w:asciiTheme="minorEastAsia" w:hAnsiTheme="minorEastAsia" w:eastAsiaTheme="minorEastAsia" w:cstheme="minorEastAsia"/>
          <w:bCs/>
          <w:color w:val="auto"/>
          <w:szCs w:val="21"/>
          <w:highlight w:val="none"/>
        </w:rPr>
        <w:t>日，</w:t>
      </w:r>
      <w:r>
        <w:rPr>
          <w:rFonts w:hint="eastAsia" w:asciiTheme="minorEastAsia" w:hAnsiTheme="minorEastAsia" w:eastAsiaTheme="minorEastAsia" w:cstheme="minorEastAsia"/>
          <w:color w:val="auto"/>
          <w:szCs w:val="21"/>
          <w:highlight w:val="none"/>
          <w:shd w:val="clear" w:color="auto" w:fill="FFFFFF"/>
        </w:rPr>
        <w:t>每</w:t>
      </w:r>
      <w:r>
        <w:rPr>
          <w:rFonts w:hint="eastAsia" w:asciiTheme="minorEastAsia" w:hAnsiTheme="minorEastAsia" w:eastAsiaTheme="minorEastAsia" w:cstheme="minorEastAsia"/>
          <w:szCs w:val="21"/>
          <w:highlight w:val="none"/>
          <w:shd w:val="clear" w:color="auto" w:fill="FFFFFF"/>
        </w:rPr>
        <w:t>日上午8时00分到12时00分，下午15时00分到18时00分。</w:t>
      </w:r>
      <w:r>
        <w:rPr>
          <w:rFonts w:hint="eastAsia" w:asciiTheme="minorEastAsia" w:hAnsiTheme="minorEastAsia" w:eastAsiaTheme="minorEastAsia" w:cstheme="minorEastAsia"/>
          <w:bCs/>
          <w:szCs w:val="21"/>
          <w:highlight w:val="none"/>
        </w:rPr>
        <w:t>（北京时间，法定节假日除外）</w:t>
      </w:r>
    </w:p>
    <w:p>
      <w:pPr>
        <w:snapToGrid w:val="0"/>
        <w:spacing w:line="288" w:lineRule="auto"/>
        <w:ind w:firstLine="42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方式：本项目采用政采云平台（</w:t>
      </w: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"https://www.zcygov.cn/"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Cs/>
          <w:szCs w:val="21"/>
          <w:highlight w:val="none"/>
        </w:rPr>
        <w:t>https://www.zcygov.cn/</w:t>
      </w:r>
      <w:r>
        <w:rPr>
          <w:rFonts w:hint="eastAsia" w:asciiTheme="minorEastAsia" w:hAnsiTheme="minorEastAsia" w:eastAsiaTheme="minorEastAsia" w:cstheme="minorEastAsia"/>
          <w:bCs/>
          <w:szCs w:val="21"/>
          <w:highlight w:val="none"/>
        </w:rPr>
        <w:fldChar w:fldCharType="end"/>
      </w:r>
      <w:r>
        <w:rPr>
          <w:rFonts w:hint="eastAsia" w:asciiTheme="minorEastAsia" w:hAnsiTheme="minorEastAsia" w:eastAsiaTheme="minorEastAsia" w:cstheme="minorEastAsia"/>
          <w:bCs/>
          <w:szCs w:val="21"/>
          <w:highlight w:val="none"/>
        </w:rPr>
        <w:t>）进行网上报名（由潜在投标人登陆政采云平台（</w:t>
      </w: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"https://www.zcygov.cn/"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Cs/>
          <w:szCs w:val="21"/>
          <w:highlight w:val="none"/>
        </w:rPr>
        <w:t>https://www.zcygov.cn/</w:t>
      </w:r>
      <w:r>
        <w:rPr>
          <w:rFonts w:hint="eastAsia" w:asciiTheme="minorEastAsia" w:hAnsiTheme="minorEastAsia" w:eastAsiaTheme="minorEastAsia" w:cstheme="minorEastAsia"/>
          <w:bCs/>
          <w:szCs w:val="21"/>
          <w:highlight w:val="none"/>
        </w:rPr>
        <w:fldChar w:fldCharType="end"/>
      </w:r>
      <w:r>
        <w:rPr>
          <w:rFonts w:hint="eastAsia" w:asciiTheme="minorEastAsia" w:hAnsiTheme="minorEastAsia" w:eastAsiaTheme="minorEastAsia" w:cstheme="minorEastAsia"/>
          <w:bCs/>
          <w:szCs w:val="21"/>
          <w:highlight w:val="none"/>
        </w:rPr>
        <w:t>）进行网上报名，上传营业执照复印件（加盖公章），待审核通过后方可下载招标文件电子版,并根据招标文件规定的投标截止时间和地点提交投标文件。未注册的供应商可登录政采云平台进行注册，如在操作过程中遇到问题或者需要技术支持，请致电政采云客服热线：400-881-7190。潜在投标人申请报名后应及时联系代理机构审核报名，办理招标文件购买事宜。购买招标文件联系方式：0770-2862599/15677197511。（注：投标人通过审核下载招标文件，并在发售时间内购买招标文件，视为完成报名。未通过审核下载招标文件或未在发售时间内购买招标文件的，视为报名无效）</w:t>
      </w:r>
    </w:p>
    <w:p>
      <w:pPr>
        <w:snapToGrid w:val="0"/>
        <w:spacing w:line="288" w:lineRule="auto"/>
        <w:ind w:firstLine="42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售价：每本250元，招标采购文件售后不退； </w:t>
      </w:r>
    </w:p>
    <w:p>
      <w:pPr>
        <w:snapToGrid w:val="0"/>
        <w:spacing w:line="288" w:lineRule="auto"/>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四、提交投标文件截止时间、开标时间和地点</w:t>
      </w:r>
    </w:p>
    <w:p>
      <w:pPr>
        <w:snapToGrid w:val="0"/>
        <w:spacing w:line="288" w:lineRule="auto"/>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szCs w:val="21"/>
          <w:highlight w:val="none"/>
        </w:rPr>
        <w:t>截止时</w:t>
      </w:r>
      <w:r>
        <w:rPr>
          <w:rFonts w:hint="eastAsia" w:asciiTheme="minorEastAsia" w:hAnsiTheme="minorEastAsia" w:eastAsiaTheme="minorEastAsia" w:cstheme="minorEastAsia"/>
          <w:bCs/>
          <w:color w:val="auto"/>
          <w:szCs w:val="21"/>
          <w:highlight w:val="none"/>
        </w:rPr>
        <w:t>间：2020年</w:t>
      </w:r>
      <w:r>
        <w:rPr>
          <w:rFonts w:hint="eastAsia" w:asciiTheme="minorEastAsia" w:hAnsiTheme="minorEastAsia" w:eastAsiaTheme="minorEastAsia" w:cstheme="minorEastAsia"/>
          <w:bCs/>
          <w:color w:val="auto"/>
          <w:szCs w:val="21"/>
          <w:highlight w:val="none"/>
          <w:lang w:val="en-US" w:eastAsia="zh-CN"/>
        </w:rPr>
        <w:t>8</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lang w:val="en-US" w:eastAsia="zh-CN"/>
        </w:rPr>
        <w:t>14</w:t>
      </w:r>
      <w:r>
        <w:rPr>
          <w:rFonts w:hint="eastAsia" w:asciiTheme="minorEastAsia" w:hAnsiTheme="minorEastAsia" w:eastAsiaTheme="minorEastAsia" w:cstheme="minorEastAsia"/>
          <w:bCs/>
          <w:color w:val="auto"/>
          <w:szCs w:val="21"/>
          <w:highlight w:val="none"/>
        </w:rPr>
        <w:t>日</w:t>
      </w:r>
      <w:r>
        <w:rPr>
          <w:rFonts w:hint="eastAsia" w:asciiTheme="minorEastAsia" w:hAnsiTheme="minorEastAsia" w:eastAsiaTheme="minorEastAsia" w:cstheme="minorEastAsia"/>
          <w:bCs/>
          <w:color w:val="auto"/>
          <w:szCs w:val="21"/>
          <w:highlight w:val="none"/>
          <w:lang w:val="en-US" w:eastAsia="zh-CN"/>
        </w:rPr>
        <w:t>9</w:t>
      </w:r>
      <w:r>
        <w:rPr>
          <w:rFonts w:hint="eastAsia" w:asciiTheme="minorEastAsia" w:hAnsiTheme="minorEastAsia" w:eastAsiaTheme="minorEastAsia" w:cstheme="minorEastAsia"/>
          <w:bCs/>
          <w:color w:val="auto"/>
          <w:szCs w:val="21"/>
          <w:highlight w:val="none"/>
        </w:rPr>
        <w:t>时</w:t>
      </w:r>
      <w:r>
        <w:rPr>
          <w:rFonts w:hint="eastAsia" w:asciiTheme="minorEastAsia" w:hAnsiTheme="minorEastAsia" w:eastAsiaTheme="minorEastAsia" w:cstheme="minorEastAsia"/>
          <w:bCs/>
          <w:color w:val="auto"/>
          <w:szCs w:val="21"/>
          <w:highlight w:val="none"/>
          <w:lang w:val="en-US" w:eastAsia="zh-CN"/>
        </w:rPr>
        <w:t>30</w:t>
      </w:r>
      <w:r>
        <w:rPr>
          <w:rFonts w:hint="eastAsia" w:asciiTheme="minorEastAsia" w:hAnsiTheme="minorEastAsia" w:eastAsiaTheme="minorEastAsia" w:cstheme="minorEastAsia"/>
          <w:bCs/>
          <w:color w:val="auto"/>
          <w:szCs w:val="21"/>
          <w:highlight w:val="none"/>
        </w:rPr>
        <w:t>分00秒前</w:t>
      </w:r>
    </w:p>
    <w:p>
      <w:pPr>
        <w:snapToGrid w:val="0"/>
        <w:spacing w:line="288" w:lineRule="auto"/>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color w:val="auto"/>
          <w:szCs w:val="21"/>
          <w:highlight w:val="none"/>
        </w:rPr>
        <w:t>开标时间：2020年</w:t>
      </w:r>
      <w:r>
        <w:rPr>
          <w:rFonts w:hint="eastAsia" w:asciiTheme="minorEastAsia" w:hAnsiTheme="minorEastAsia" w:eastAsiaTheme="minorEastAsia" w:cstheme="minorEastAsia"/>
          <w:bCs/>
          <w:color w:val="auto"/>
          <w:szCs w:val="21"/>
          <w:highlight w:val="none"/>
          <w:lang w:val="en-US" w:eastAsia="zh-CN"/>
        </w:rPr>
        <w:t>8</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lang w:val="en-US" w:eastAsia="zh-CN"/>
        </w:rPr>
        <w:t>14</w:t>
      </w:r>
      <w:r>
        <w:rPr>
          <w:rFonts w:hint="eastAsia" w:asciiTheme="minorEastAsia" w:hAnsiTheme="minorEastAsia" w:eastAsiaTheme="minorEastAsia" w:cstheme="minorEastAsia"/>
          <w:bCs/>
          <w:color w:val="auto"/>
          <w:szCs w:val="21"/>
          <w:highlight w:val="none"/>
        </w:rPr>
        <w:t>日</w:t>
      </w:r>
      <w:r>
        <w:rPr>
          <w:rFonts w:hint="eastAsia" w:asciiTheme="minorEastAsia" w:hAnsiTheme="minorEastAsia" w:eastAsiaTheme="minorEastAsia" w:cstheme="minorEastAsia"/>
          <w:bCs/>
          <w:color w:val="auto"/>
          <w:szCs w:val="21"/>
          <w:highlight w:val="none"/>
          <w:lang w:val="en-US" w:eastAsia="zh-CN"/>
        </w:rPr>
        <w:t>9</w:t>
      </w:r>
      <w:r>
        <w:rPr>
          <w:rFonts w:hint="eastAsia" w:asciiTheme="minorEastAsia" w:hAnsiTheme="minorEastAsia" w:eastAsiaTheme="minorEastAsia" w:cstheme="minorEastAsia"/>
          <w:bCs/>
          <w:color w:val="auto"/>
          <w:szCs w:val="21"/>
          <w:highlight w:val="none"/>
        </w:rPr>
        <w:t>时</w:t>
      </w:r>
      <w:r>
        <w:rPr>
          <w:rFonts w:hint="eastAsia" w:asciiTheme="minorEastAsia" w:hAnsiTheme="minorEastAsia" w:eastAsiaTheme="minorEastAsia" w:cstheme="minorEastAsia"/>
          <w:bCs/>
          <w:color w:val="auto"/>
          <w:szCs w:val="21"/>
          <w:highlight w:val="none"/>
          <w:lang w:val="en-US" w:eastAsia="zh-CN"/>
        </w:rPr>
        <w:t>30</w:t>
      </w:r>
      <w:r>
        <w:rPr>
          <w:rFonts w:hint="eastAsia" w:asciiTheme="minorEastAsia" w:hAnsiTheme="minorEastAsia" w:eastAsiaTheme="minorEastAsia" w:cstheme="minorEastAsia"/>
          <w:bCs/>
          <w:color w:val="auto"/>
          <w:szCs w:val="21"/>
          <w:highlight w:val="none"/>
        </w:rPr>
        <w:t>分截标后（具</w:t>
      </w:r>
      <w:r>
        <w:rPr>
          <w:rFonts w:hint="eastAsia" w:asciiTheme="minorEastAsia" w:hAnsiTheme="minorEastAsia" w:eastAsiaTheme="minorEastAsia" w:cstheme="minorEastAsia"/>
          <w:bCs/>
          <w:szCs w:val="21"/>
          <w:highlight w:val="none"/>
        </w:rPr>
        <w:t>体时间另行通知）</w:t>
      </w:r>
    </w:p>
    <w:p>
      <w:pPr>
        <w:snapToGrid w:val="0"/>
        <w:spacing w:line="288" w:lineRule="auto"/>
        <w:ind w:firstLine="420" w:firstLineChars="200"/>
        <w:rPr>
          <w:rFonts w:hint="eastAsia" w:asciiTheme="minorEastAsia" w:hAnsiTheme="minorEastAsia" w:eastAsiaTheme="minorEastAsia" w:cstheme="minorEastAsia"/>
          <w:szCs w:val="21"/>
          <w:highlight w:val="none"/>
          <w:shd w:val="clear" w:color="auto" w:fill="FFFFFF"/>
        </w:rPr>
      </w:pPr>
      <w:r>
        <w:rPr>
          <w:rFonts w:hint="eastAsia" w:asciiTheme="minorEastAsia" w:hAnsiTheme="minorEastAsia" w:eastAsiaTheme="minorEastAsia" w:cstheme="minorEastAsia"/>
          <w:bCs/>
          <w:szCs w:val="21"/>
          <w:highlight w:val="none"/>
        </w:rPr>
        <w:t>地点：防城</w:t>
      </w:r>
      <w:r>
        <w:rPr>
          <w:rFonts w:hint="eastAsia" w:asciiTheme="minorEastAsia" w:hAnsiTheme="minorEastAsia" w:eastAsiaTheme="minorEastAsia" w:cstheme="minorEastAsia"/>
          <w:szCs w:val="21"/>
          <w:highlight w:val="none"/>
          <w:shd w:val="clear" w:color="auto" w:fill="FFFFFF"/>
        </w:rPr>
        <w:t>港市公共资源交易中心开标厅（防城港市迎宾路红树林大厦东塔，具体开标室详见6楼电子大屏安排）</w:t>
      </w:r>
    </w:p>
    <w:p>
      <w:pPr>
        <w:snapToGrid w:val="0"/>
        <w:spacing w:line="288"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shd w:val="clear" w:color="auto" w:fill="FFFFFF"/>
        </w:rPr>
        <w:t>逾期送达或未按规定密封的投标文件将被拒绝；没有购买招标文件的供应商的投标文件将被拒绝。</w:t>
      </w:r>
    </w:p>
    <w:p>
      <w:pPr>
        <w:snapToGrid w:val="0"/>
        <w:spacing w:line="288" w:lineRule="auto"/>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五、公告期限</w:t>
      </w:r>
    </w:p>
    <w:p>
      <w:pPr>
        <w:snapToGrid w:val="0"/>
        <w:spacing w:line="288" w:lineRule="auto"/>
        <w:ind w:firstLine="420"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szCs w:val="21"/>
          <w:highlight w:val="none"/>
          <w:shd w:val="clear" w:color="auto" w:fill="FFFFFF"/>
        </w:rPr>
        <w:t>自本公告发布之日起5个工作日</w:t>
      </w:r>
    </w:p>
    <w:p>
      <w:pPr>
        <w:numPr>
          <w:ilvl w:val="0"/>
          <w:numId w:val="3"/>
        </w:numPr>
        <w:snapToGrid w:val="0"/>
        <w:spacing w:line="288" w:lineRule="auto"/>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其他补充事宜：</w:t>
      </w:r>
    </w:p>
    <w:p>
      <w:pPr>
        <w:snapToGrid w:val="0"/>
        <w:spacing w:line="288" w:lineRule="auto"/>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lang w:val="en-US" w:eastAsia="zh-CN"/>
        </w:rPr>
        <w:t>1.</w:t>
      </w:r>
      <w:r>
        <w:rPr>
          <w:rFonts w:hint="eastAsia" w:asciiTheme="minorEastAsia" w:hAnsiTheme="minorEastAsia" w:eastAsiaTheme="minorEastAsia" w:cstheme="minorEastAsia"/>
          <w:bCs/>
          <w:szCs w:val="21"/>
          <w:highlight w:val="none"/>
        </w:rPr>
        <w:t>本项目需要落实的政府采购政策：政府采购促进中小企业发展</w:t>
      </w:r>
      <w:r>
        <w:rPr>
          <w:rFonts w:hint="eastAsia" w:asciiTheme="minorEastAsia" w:hAnsiTheme="minorEastAsia" w:eastAsiaTheme="minorEastAsia" w:cstheme="minorEastAsia"/>
          <w:bCs/>
          <w:szCs w:val="21"/>
          <w:highlight w:val="none"/>
          <w:lang w:eastAsia="zh-CN"/>
        </w:rPr>
        <w:t>、</w:t>
      </w:r>
      <w:r>
        <w:rPr>
          <w:rFonts w:hint="eastAsia" w:asciiTheme="minorEastAsia" w:hAnsiTheme="minorEastAsia" w:eastAsiaTheme="minorEastAsia" w:cstheme="minorEastAsia"/>
          <w:bCs/>
          <w:szCs w:val="21"/>
          <w:highlight w:val="none"/>
        </w:rPr>
        <w:t>政府采购支持采用本国产品的政策</w:t>
      </w:r>
      <w:r>
        <w:rPr>
          <w:rFonts w:hint="eastAsia" w:asciiTheme="minorEastAsia" w:hAnsiTheme="minorEastAsia" w:eastAsiaTheme="minorEastAsia" w:cstheme="minorEastAsia"/>
          <w:bCs/>
          <w:szCs w:val="21"/>
          <w:highlight w:val="none"/>
          <w:lang w:eastAsia="zh-CN"/>
        </w:rPr>
        <w:t>、</w:t>
      </w:r>
      <w:r>
        <w:rPr>
          <w:rFonts w:hint="eastAsia" w:asciiTheme="minorEastAsia" w:hAnsiTheme="minorEastAsia" w:eastAsiaTheme="minorEastAsia" w:cstheme="minorEastAsia"/>
          <w:bCs/>
          <w:szCs w:val="21"/>
          <w:highlight w:val="none"/>
        </w:rPr>
        <w:t>强制采购节能产品；优先采购节能产品、环境标志产品</w:t>
      </w:r>
      <w:r>
        <w:rPr>
          <w:rFonts w:hint="eastAsia" w:asciiTheme="minorEastAsia" w:hAnsiTheme="minorEastAsia" w:eastAsiaTheme="minorEastAsia" w:cstheme="minorEastAsia"/>
          <w:bCs/>
          <w:szCs w:val="21"/>
          <w:highlight w:val="none"/>
          <w:lang w:eastAsia="zh-CN"/>
        </w:rPr>
        <w:t>、</w:t>
      </w:r>
      <w:r>
        <w:rPr>
          <w:rFonts w:hint="eastAsia" w:asciiTheme="minorEastAsia" w:hAnsiTheme="minorEastAsia" w:eastAsiaTheme="minorEastAsia" w:cstheme="minorEastAsia"/>
          <w:bCs/>
          <w:szCs w:val="21"/>
          <w:highlight w:val="none"/>
        </w:rPr>
        <w:t>政府采购促进残疾人就业政策</w:t>
      </w:r>
      <w:r>
        <w:rPr>
          <w:rFonts w:hint="eastAsia" w:asciiTheme="minorEastAsia" w:hAnsiTheme="minorEastAsia" w:eastAsiaTheme="minorEastAsia" w:cstheme="minorEastAsia"/>
          <w:bCs/>
          <w:szCs w:val="21"/>
          <w:highlight w:val="none"/>
          <w:lang w:eastAsia="zh-CN"/>
        </w:rPr>
        <w:t>、</w:t>
      </w:r>
      <w:r>
        <w:rPr>
          <w:rFonts w:hint="eastAsia" w:asciiTheme="minorEastAsia" w:hAnsiTheme="minorEastAsia" w:eastAsiaTheme="minorEastAsia" w:cstheme="minorEastAsia"/>
          <w:bCs/>
          <w:szCs w:val="21"/>
          <w:highlight w:val="none"/>
        </w:rPr>
        <w:t>政府采购支持监狱企业发展。</w:t>
      </w:r>
    </w:p>
    <w:p>
      <w:pPr>
        <w:snapToGrid w:val="0"/>
        <w:spacing w:line="288" w:lineRule="auto"/>
        <w:ind w:firstLine="420" w:firstLineChars="200"/>
        <w:rPr>
          <w:rFonts w:hint="eastAsia" w:asciiTheme="minorEastAsia" w:hAnsiTheme="minorEastAsia" w:eastAsiaTheme="minorEastAsia" w:cstheme="minorEastAsia"/>
          <w:szCs w:val="21"/>
          <w:highlight w:val="none"/>
          <w:shd w:val="clear" w:color="auto" w:fill="FFFFFF"/>
        </w:rPr>
      </w:pPr>
      <w:r>
        <w:rPr>
          <w:rFonts w:hint="eastAsia" w:asciiTheme="minorEastAsia" w:hAnsiTheme="minorEastAsia" w:eastAsiaTheme="minorEastAsia" w:cstheme="minorEastAsia"/>
          <w:bCs/>
          <w:szCs w:val="21"/>
          <w:highlight w:val="none"/>
          <w:lang w:val="en-US" w:eastAsia="zh-CN"/>
        </w:rPr>
        <w:t>2.</w:t>
      </w:r>
      <w:r>
        <w:rPr>
          <w:rFonts w:hint="eastAsia" w:asciiTheme="minorEastAsia" w:hAnsiTheme="minorEastAsia" w:eastAsiaTheme="minorEastAsia" w:cstheme="minorEastAsia"/>
          <w:bCs/>
          <w:szCs w:val="21"/>
          <w:highlight w:val="none"/>
        </w:rPr>
        <w:t>网上查询</w:t>
      </w:r>
      <w:r>
        <w:rPr>
          <w:rFonts w:hint="eastAsia" w:asciiTheme="minorEastAsia" w:hAnsiTheme="minorEastAsia" w:eastAsiaTheme="minorEastAsia" w:cstheme="minorEastAsia"/>
          <w:szCs w:val="21"/>
          <w:highlight w:val="none"/>
          <w:shd w:val="clear" w:color="auto" w:fill="FFFFFF"/>
        </w:rPr>
        <w:t>地址：中国政府采购网（http://www.ccgp.gov.cn）、广西壮族自治区政府采购网（http://zfcg.gxzf.gov.cn）、广西防城港政府采购网站（http://zfcg.fcgs.gov.cn）、防城港市公共资源交易中心网（www.fcgggzy.cn）。</w:t>
      </w:r>
    </w:p>
    <w:p>
      <w:pPr>
        <w:snapToGrid w:val="0"/>
        <w:spacing w:line="288" w:lineRule="auto"/>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七、对本次招标提出询问、请按以下方式联系</w:t>
      </w:r>
    </w:p>
    <w:p>
      <w:pPr>
        <w:snapToGrid w:val="0"/>
        <w:spacing w:line="288" w:lineRule="auto"/>
        <w:ind w:firstLine="422"/>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1.采购人名称：防城港市公安局             </w:t>
      </w:r>
    </w:p>
    <w:p>
      <w:pPr>
        <w:snapToGrid w:val="0"/>
        <w:spacing w:line="288" w:lineRule="auto"/>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地址：防城港市港口区金花茶大道69号                 </w:t>
      </w:r>
    </w:p>
    <w:p>
      <w:pPr>
        <w:snapToGrid w:val="0"/>
        <w:spacing w:line="288" w:lineRule="auto"/>
        <w:ind w:firstLine="422"/>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  联系方式：吴美    0770-6126288               </w:t>
      </w:r>
    </w:p>
    <w:p>
      <w:pPr>
        <w:snapToGrid w:val="0"/>
        <w:spacing w:line="288" w:lineRule="auto"/>
        <w:ind w:firstLine="422"/>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2.采购代理机构名称：广西鸿业建设工程管理咨询有限公司            </w:t>
      </w:r>
    </w:p>
    <w:p>
      <w:pPr>
        <w:snapToGrid w:val="0"/>
        <w:spacing w:line="288" w:lineRule="auto"/>
        <w:ind w:firstLine="422"/>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  地址：防城港市港口区西湾广场财苑小区8栋                    </w:t>
      </w:r>
    </w:p>
    <w:p>
      <w:pPr>
        <w:snapToGrid w:val="0"/>
        <w:spacing w:line="288" w:lineRule="auto"/>
        <w:ind w:firstLine="422"/>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  联系方式：吕碧影 0770-2862599  15677197511     </w:t>
      </w:r>
    </w:p>
    <w:p>
      <w:pPr>
        <w:snapToGrid w:val="0"/>
        <w:spacing w:line="288" w:lineRule="auto"/>
        <w:ind w:left="42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3.监督部门：防城港市政府采购管理中心       电话：0770-6102319</w:t>
      </w:r>
    </w:p>
    <w:p>
      <w:pPr>
        <w:snapToGrid w:val="0"/>
        <w:spacing w:line="288" w:lineRule="auto"/>
        <w:rPr>
          <w:rFonts w:hint="eastAsia" w:asciiTheme="minorEastAsia" w:hAnsiTheme="minorEastAsia" w:eastAsiaTheme="minorEastAsia" w:cstheme="minorEastAsia"/>
          <w:bCs/>
          <w:szCs w:val="21"/>
          <w:highlight w:val="none"/>
        </w:rPr>
      </w:pPr>
    </w:p>
    <w:p>
      <w:pPr>
        <w:snapToGrid w:val="0"/>
        <w:spacing w:line="288" w:lineRule="auto"/>
        <w:ind w:firstLine="422"/>
        <w:rPr>
          <w:rFonts w:hint="eastAsia" w:asciiTheme="minorEastAsia" w:hAnsiTheme="minorEastAsia" w:eastAsiaTheme="minorEastAsia" w:cstheme="minorEastAsia"/>
          <w:bCs/>
          <w:szCs w:val="21"/>
          <w:highlight w:val="none"/>
        </w:rPr>
      </w:pPr>
    </w:p>
    <w:p>
      <w:pPr>
        <w:snapToGrid w:val="0"/>
        <w:spacing w:line="288" w:lineRule="auto"/>
        <w:ind w:firstLine="422"/>
        <w:rPr>
          <w:rFonts w:hint="eastAsia" w:asciiTheme="minorEastAsia" w:hAnsiTheme="minorEastAsia" w:eastAsiaTheme="minorEastAsia" w:cstheme="minorEastAsia"/>
          <w:bCs/>
          <w:szCs w:val="21"/>
          <w:highlight w:val="none"/>
        </w:rPr>
      </w:pPr>
    </w:p>
    <w:p>
      <w:pPr>
        <w:snapToGrid w:val="0"/>
        <w:spacing w:line="288" w:lineRule="auto"/>
        <w:ind w:firstLine="4620" w:firstLineChars="2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采购单位：防城港市公安局</w:t>
      </w:r>
    </w:p>
    <w:p>
      <w:pPr>
        <w:snapToGrid w:val="0"/>
        <w:spacing w:line="288" w:lineRule="auto"/>
        <w:ind w:left="238"/>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lang w:val="en-US" w:eastAsia="zh-CN"/>
        </w:rPr>
        <w:t xml:space="preserve">                                     </w:t>
      </w:r>
      <w:r>
        <w:rPr>
          <w:rFonts w:hint="eastAsia" w:asciiTheme="minorEastAsia" w:hAnsiTheme="minorEastAsia" w:eastAsiaTheme="minorEastAsia" w:cstheme="minorEastAsia"/>
          <w:szCs w:val="21"/>
          <w:highlight w:val="none"/>
        </w:rPr>
        <w:t>采购代理机构：广西鸿业建设工程管理咨询有限公司</w:t>
      </w:r>
    </w:p>
    <w:p>
      <w:pPr>
        <w:snapToGrid w:val="0"/>
        <w:spacing w:line="288" w:lineRule="auto"/>
        <w:ind w:left="238"/>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szCs w:val="21"/>
          <w:highlight w:val="none"/>
        </w:rPr>
        <w:t xml:space="preserve">                               </w:t>
      </w:r>
      <w:r>
        <w:rPr>
          <w:rFonts w:hint="eastAsia" w:asciiTheme="minorEastAsia" w:hAnsiTheme="minorEastAsia" w:eastAsiaTheme="minorEastAsia" w:cstheme="minorEastAsia"/>
          <w:szCs w:val="21"/>
          <w:highlight w:val="none"/>
          <w:lang w:val="en-US" w:eastAsia="zh-CN"/>
        </w:rPr>
        <w:t xml:space="preserve">    </w:t>
      </w:r>
      <w:r>
        <w:rPr>
          <w:rFonts w:hint="eastAsia" w:asciiTheme="minorEastAsia" w:hAnsiTheme="minorEastAsia" w:eastAsiaTheme="minorEastAsia" w:cstheme="minorEastAsia"/>
          <w:color w:val="auto"/>
          <w:szCs w:val="21"/>
          <w:highlight w:val="none"/>
          <w:lang w:val="en-US" w:eastAsia="zh-CN"/>
        </w:rPr>
        <w:t xml:space="preserve"> </w:t>
      </w: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bCs/>
          <w:color w:val="auto"/>
          <w:szCs w:val="21"/>
          <w:highlight w:val="none"/>
        </w:rPr>
        <w:t>2020年</w:t>
      </w:r>
      <w:r>
        <w:rPr>
          <w:rFonts w:hint="eastAsia" w:asciiTheme="minorEastAsia" w:hAnsiTheme="minorEastAsia" w:eastAsiaTheme="minorEastAsia" w:cstheme="minorEastAsia"/>
          <w:bCs/>
          <w:color w:val="auto"/>
          <w:szCs w:val="21"/>
          <w:highlight w:val="none"/>
          <w:lang w:val="en-US" w:eastAsia="zh-CN"/>
        </w:rPr>
        <w:t>7</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lang w:val="en-US" w:eastAsia="zh-CN"/>
        </w:rPr>
        <w:t>24</w:t>
      </w:r>
      <w:r>
        <w:rPr>
          <w:rFonts w:hint="eastAsia" w:asciiTheme="minorEastAsia" w:hAnsiTheme="minorEastAsia" w:eastAsiaTheme="minorEastAsia" w:cstheme="minorEastAsia"/>
          <w:bCs/>
          <w:color w:val="auto"/>
          <w:szCs w:val="21"/>
          <w:highlight w:val="none"/>
        </w:rPr>
        <w:t>日</w:t>
      </w:r>
    </w:p>
    <w:p>
      <w:pPr>
        <w:snapToGrid w:val="0"/>
        <w:spacing w:line="380" w:lineRule="exact"/>
        <w:ind w:left="238"/>
        <w:jc w:val="center"/>
        <w:rPr>
          <w:rFonts w:hint="eastAsia" w:asciiTheme="minorEastAsia" w:hAnsiTheme="minorEastAsia" w:eastAsiaTheme="minorEastAsia" w:cstheme="minorEastAsia"/>
          <w:szCs w:val="21"/>
          <w:highlight w:val="none"/>
        </w:rPr>
      </w:pPr>
    </w:p>
    <w:p>
      <w:pPr>
        <w:pStyle w:val="18"/>
        <w:rPr>
          <w:rFonts w:hint="eastAsia" w:asciiTheme="minorEastAsia" w:hAnsiTheme="minorEastAsia" w:eastAsiaTheme="minorEastAsia" w:cstheme="minorEastAsia"/>
          <w:szCs w:val="21"/>
          <w:highlight w:val="none"/>
        </w:rPr>
      </w:pPr>
    </w:p>
    <w:p>
      <w:pPr>
        <w:pStyle w:val="108"/>
        <w:numPr>
          <w:ilvl w:val="0"/>
          <w:numId w:val="4"/>
        </w:numPr>
        <w:spacing w:before="40" w:after="140"/>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r>
        <w:rPr>
          <w:rFonts w:hint="eastAsia" w:asciiTheme="minorEastAsia" w:hAnsiTheme="minorEastAsia" w:eastAsiaTheme="minorEastAsia" w:cstheme="minorEastAsia"/>
          <w:highlight w:val="none"/>
        </w:rPr>
        <w:t xml:space="preserve"> 招标项目采购需求</w:t>
      </w:r>
    </w:p>
    <w:p>
      <w:pPr>
        <w:spacing w:line="300" w:lineRule="exact"/>
        <w:ind w:firstLine="431"/>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说明：</w:t>
      </w:r>
    </w:p>
    <w:p>
      <w:pPr>
        <w:spacing w:line="260" w:lineRule="exact"/>
        <w:ind w:firstLine="431"/>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1、本需求的货物品牌型号、技术参数及其性能（配置）仅起参考作用，投标人可选用其他品牌型号替代，标明的专有技术、专利产品、特定品牌的字样只起说明作用，任何与其同等的技术均应被认为符合招标文件要求，但这些替代的产品要实质上相当于或优于参考品牌型号及其技术参数性能（配置）要求。</w:t>
      </w:r>
    </w:p>
    <w:p>
      <w:pPr>
        <w:spacing w:line="260" w:lineRule="exact"/>
        <w:ind w:left="6" w:firstLine="431"/>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2、本需求中参考品牌型号规格及技术参数不明确或有误的，或投标人选用其他品牌型号替代的，请以详细、正确的品牌型号、技术参数（配置）同时填写投标报价明细表和技术响应表。</w:t>
      </w:r>
    </w:p>
    <w:p>
      <w:pPr>
        <w:spacing w:line="260" w:lineRule="exact"/>
        <w:ind w:left="6" w:firstLine="431"/>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3、凡在“技术参数及性能（配置）要求”中表述为“标配”或“标准配置”的设备，投标人应在投标报价明细表中将其标配参数详细列明，否则该投标无效。</w:t>
      </w:r>
    </w:p>
    <w:p>
      <w:pPr>
        <w:spacing w:line="260" w:lineRule="exact"/>
        <w:ind w:left="6" w:firstLine="431"/>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4、评标时，若评标委员会认为本项目所采购的产品某个技术参数为某唯一品牌所特有，则该参数将不作为实质性响应条件。</w:t>
      </w:r>
    </w:p>
    <w:p>
      <w:pPr>
        <w:spacing w:line="260" w:lineRule="exact"/>
        <w:ind w:left="6" w:firstLine="431"/>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5、本项目采购产品如属于财政部、国家发改委《节能产品政府采购品目清单》政府强制采购节能产品范围，则竞标人所投的此类产品必须使用政府强制采购的节能产品，竞标人于竞标文件中必须提供所投产品属于现行政府强制采购节能产品的证明材料（加盖竞标人公章），否则相应竞标无效。</w:t>
      </w:r>
    </w:p>
    <w:p>
      <w:pPr>
        <w:spacing w:line="260" w:lineRule="exact"/>
        <w:ind w:left="6" w:firstLine="431"/>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6、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spacing w:line="260" w:lineRule="exact"/>
        <w:ind w:left="6" w:firstLine="431"/>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7、标注“▲”条款为重要技术指标，必须满足或优于该指标；标注“★”条款作为优质货物性能，将作为评分办法中的评审依据。采购人保留测试权利，如投标人虚假应标将承担响应的法律责任。</w:t>
      </w:r>
    </w:p>
    <w:p>
      <w:pPr>
        <w:spacing w:line="260" w:lineRule="exact"/>
        <w:ind w:left="6" w:firstLine="431"/>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szCs w:val="21"/>
          <w:highlight w:val="none"/>
        </w:rPr>
        <w:t>8、本项目核心产品为：交通综合管控平台、云存储系统、交通违法AI检测平台、网络及安全系统、电子警察抓拍系统、交通信号控制系统。</w:t>
      </w:r>
    </w:p>
    <w:p>
      <w:pPr>
        <w:spacing w:line="260" w:lineRule="exac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szCs w:val="21"/>
          <w:highlight w:val="none"/>
        </w:rPr>
        <w:t>一、项目采购一览表</w:t>
      </w:r>
    </w:p>
    <w:tbl>
      <w:tblPr>
        <w:tblStyle w:val="34"/>
        <w:tblW w:w="10447"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480"/>
        <w:gridCol w:w="6"/>
        <w:gridCol w:w="186"/>
        <w:gridCol w:w="648"/>
        <w:gridCol w:w="662"/>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adjustRightInd w:val="0"/>
              <w:snapToGrid w:val="0"/>
              <w:spacing w:before="50" w:after="50" w:line="360" w:lineRule="exact"/>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序号</w:t>
            </w:r>
          </w:p>
        </w:tc>
        <w:tc>
          <w:tcPr>
            <w:tcW w:w="1486" w:type="dxa"/>
            <w:gridSpan w:val="2"/>
            <w:vAlign w:val="center"/>
          </w:tcPr>
          <w:p>
            <w:pPr>
              <w:adjustRightInd w:val="0"/>
              <w:snapToGrid w:val="0"/>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货物名称</w:t>
            </w:r>
          </w:p>
        </w:tc>
        <w:tc>
          <w:tcPr>
            <w:tcW w:w="834" w:type="dxa"/>
            <w:gridSpan w:val="2"/>
            <w:vAlign w:val="center"/>
          </w:tcPr>
          <w:p>
            <w:pPr>
              <w:adjustRightInd w:val="0"/>
              <w:snapToGrid w:val="0"/>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数量</w:t>
            </w:r>
          </w:p>
        </w:tc>
        <w:tc>
          <w:tcPr>
            <w:tcW w:w="662" w:type="dxa"/>
            <w:vAlign w:val="center"/>
          </w:tcPr>
          <w:p>
            <w:pPr>
              <w:adjustRightInd w:val="0"/>
              <w:snapToGrid w:val="0"/>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单位</w:t>
            </w:r>
          </w:p>
        </w:tc>
        <w:tc>
          <w:tcPr>
            <w:tcW w:w="6853" w:type="dxa"/>
            <w:vAlign w:val="center"/>
          </w:tcPr>
          <w:p>
            <w:pPr>
              <w:adjustRightInd w:val="0"/>
              <w:snapToGrid w:val="0"/>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7" w:type="dxa"/>
            <w:gridSpan w:val="7"/>
            <w:vAlign w:val="center"/>
          </w:tcPr>
          <w:p>
            <w:pPr>
              <w:adjustRightInd w:val="0"/>
              <w:snapToGrid w:val="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 w:val="24"/>
                <w:highlight w:val="none"/>
              </w:rPr>
              <w:t>一、防城港市城市道路“智慧交通“项目设备采购-设备采购部分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7" w:type="dxa"/>
            <w:gridSpan w:val="7"/>
            <w:vAlign w:val="center"/>
          </w:tcPr>
          <w:p>
            <w:pPr>
              <w:pStyle w:val="18"/>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highlight w:val="none"/>
              </w:rPr>
              <w:t>（一）、交通综合管控平台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12" w:type="dxa"/>
            <w:vMerge w:val="restart"/>
            <w:vAlign w:val="center"/>
          </w:tcPr>
          <w:p>
            <w:pPr>
              <w:adjustRightInd w:val="0"/>
              <w:snapToGrid w:val="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p>
            <w:pPr>
              <w:widowControl/>
              <w:jc w:val="center"/>
              <w:rPr>
                <w:rFonts w:hint="eastAsia" w:asciiTheme="minorEastAsia" w:hAnsiTheme="minorEastAsia" w:eastAsiaTheme="minorEastAsia" w:cstheme="minorEastAsia"/>
                <w:kern w:val="0"/>
                <w:szCs w:val="21"/>
                <w:highlight w:val="none"/>
              </w:rPr>
            </w:pPr>
          </w:p>
        </w:tc>
        <w:tc>
          <w:tcPr>
            <w:tcW w:w="1486" w:type="dxa"/>
            <w:gridSpan w:val="2"/>
            <w:vMerge w:val="restart"/>
            <w:vAlign w:val="center"/>
          </w:tcPr>
          <w:p>
            <w:pPr>
              <w:widowControl/>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大数据交通违法研判平台</w:t>
            </w:r>
          </w:p>
        </w:tc>
        <w:tc>
          <w:tcPr>
            <w:tcW w:w="834" w:type="dxa"/>
            <w:gridSpan w:val="2"/>
            <w:vAlign w:val="center"/>
          </w:tcPr>
          <w:p>
            <w:pPr>
              <w:widowControl/>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662" w:type="dxa"/>
            <w:vAlign w:val="center"/>
          </w:tcPr>
          <w:p>
            <w:pPr>
              <w:widowControl/>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模块</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支持针对本项目新建或已建前端电警、卡口、后端云存储等设备的接入管理和应用,支持统一门户管理、系统用户权限管理、通用配置管理、资源配置管理、智能任务管理、应用配置管理等基础应用管理与配置。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12" w:type="dxa"/>
            <w:vMerge w:val="continue"/>
            <w:vAlign w:val="center"/>
          </w:tcPr>
          <w:p>
            <w:pPr>
              <w:adjustRightInd w:val="0"/>
              <w:snapToGrid w:val="0"/>
              <w:jc w:val="center"/>
              <w:rPr>
                <w:rFonts w:hint="eastAsia" w:asciiTheme="minorEastAsia" w:hAnsiTheme="minorEastAsia" w:eastAsiaTheme="minorEastAsia" w:cstheme="minorEastAsia"/>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szCs w:val="21"/>
                <w:highlight w:val="none"/>
              </w:rPr>
            </w:pPr>
          </w:p>
        </w:tc>
        <w:tc>
          <w:tcPr>
            <w:tcW w:w="834" w:type="dxa"/>
            <w:gridSpan w:val="2"/>
            <w:vAlign w:val="center"/>
          </w:tcPr>
          <w:p>
            <w:pPr>
              <w:widowControl/>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2000</w:t>
            </w:r>
          </w:p>
        </w:tc>
        <w:tc>
          <w:tcPr>
            <w:tcW w:w="662" w:type="dxa"/>
            <w:vAlign w:val="center"/>
          </w:tcPr>
          <w:p>
            <w:pPr>
              <w:widowControl/>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路数</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本级监控视频接入平台授权路数。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12" w:type="dxa"/>
            <w:vMerge w:val="continue"/>
            <w:vAlign w:val="center"/>
          </w:tcPr>
          <w:p>
            <w:pPr>
              <w:adjustRightInd w:val="0"/>
              <w:snapToGrid w:val="0"/>
              <w:jc w:val="center"/>
              <w:rPr>
                <w:rFonts w:hint="eastAsia" w:asciiTheme="minorEastAsia" w:hAnsiTheme="minorEastAsia" w:eastAsiaTheme="minorEastAsia" w:cstheme="minorEastAsia"/>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szCs w:val="21"/>
                <w:highlight w:val="none"/>
              </w:rPr>
            </w:pPr>
          </w:p>
        </w:tc>
        <w:tc>
          <w:tcPr>
            <w:tcW w:w="834" w:type="dxa"/>
            <w:gridSpan w:val="2"/>
            <w:vAlign w:val="center"/>
          </w:tcPr>
          <w:p>
            <w:pPr>
              <w:widowControl/>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5000</w:t>
            </w:r>
          </w:p>
        </w:tc>
        <w:tc>
          <w:tcPr>
            <w:tcW w:w="662" w:type="dxa"/>
            <w:vAlign w:val="center"/>
          </w:tcPr>
          <w:p>
            <w:pPr>
              <w:widowControl/>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路数</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本级车道接入平台授权路数。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12" w:type="dxa"/>
            <w:vMerge w:val="continue"/>
            <w:vAlign w:val="center"/>
          </w:tcPr>
          <w:p>
            <w:pPr>
              <w:adjustRightInd w:val="0"/>
              <w:snapToGrid w:val="0"/>
              <w:jc w:val="center"/>
              <w:rPr>
                <w:rFonts w:hint="eastAsia" w:asciiTheme="minorEastAsia" w:hAnsiTheme="minorEastAsia" w:eastAsiaTheme="minorEastAsia" w:cstheme="minorEastAsia"/>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szCs w:val="21"/>
                <w:highlight w:val="none"/>
              </w:rPr>
            </w:pPr>
          </w:p>
        </w:tc>
        <w:tc>
          <w:tcPr>
            <w:tcW w:w="834" w:type="dxa"/>
            <w:gridSpan w:val="2"/>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Style w:val="85"/>
                <w:rFonts w:hint="eastAsia" w:asciiTheme="minorEastAsia" w:hAnsiTheme="minorEastAsia" w:eastAsiaTheme="minorEastAsia" w:cstheme="minorEastAsia"/>
                <w:color w:val="auto"/>
                <w:sz w:val="21"/>
                <w:szCs w:val="21"/>
                <w:highlight w:val="none"/>
              </w:rPr>
              <w:t>1、为用户提供视频基础应用，视频实时预览、回放与控制应用，包括视频预案、视频收藏功能。平台可提供经典资源树模式进行视频相关应用，也可提供缩略图模式进行视频相关应用。</w:t>
            </w:r>
            <w:r>
              <w:rPr>
                <w:rStyle w:val="85"/>
                <w:rFonts w:hint="eastAsia" w:asciiTheme="minorEastAsia" w:hAnsiTheme="minorEastAsia" w:eastAsiaTheme="minorEastAsia" w:cstheme="minorEastAsia"/>
                <w:color w:val="auto"/>
                <w:sz w:val="21"/>
                <w:szCs w:val="21"/>
                <w:highlight w:val="none"/>
              </w:rPr>
              <w:br w:type="textWrapping"/>
            </w:r>
            <w:r>
              <w:rPr>
                <w:rStyle w:val="85"/>
                <w:rFonts w:hint="eastAsia" w:asciiTheme="minorEastAsia" w:hAnsiTheme="minorEastAsia" w:eastAsiaTheme="minorEastAsia" w:cstheme="minorEastAsia"/>
                <w:color w:val="auto"/>
                <w:sz w:val="21"/>
                <w:szCs w:val="21"/>
                <w:highlight w:val="none"/>
              </w:rPr>
              <w:t>2、支持视频巡查应用，支持选择在全部目录、收藏夹或预案中根据输入的点位名称进行搜索，支持拼音首字母进行搜索，支持在指定的监控组内，以固定的画面，按照设定的时间间隔进行图像轮巡显示。</w:t>
            </w:r>
            <w:r>
              <w:rPr>
                <w:rStyle w:val="85"/>
                <w:rFonts w:hint="eastAsia" w:asciiTheme="minorEastAsia" w:hAnsiTheme="minorEastAsia" w:eastAsiaTheme="minorEastAsia" w:cstheme="minorEastAsia"/>
                <w:color w:val="auto"/>
                <w:sz w:val="21"/>
                <w:szCs w:val="21"/>
                <w:highlight w:val="none"/>
              </w:rPr>
              <w:br w:type="textWrapping"/>
            </w:r>
            <w:r>
              <w:rPr>
                <w:rStyle w:val="85"/>
                <w:rFonts w:hint="eastAsia" w:asciiTheme="minorEastAsia" w:hAnsiTheme="minorEastAsia" w:eastAsiaTheme="minorEastAsia" w:cstheme="minorEastAsia"/>
                <w:color w:val="auto"/>
                <w:sz w:val="21"/>
                <w:szCs w:val="21"/>
                <w:highlight w:val="none"/>
              </w:rPr>
              <w:t>3、播放器支持1*1,2*2,3*3等多种规格画面的组合播放方式，在多画面显示模式下，支持鼠标拖拽调换播放窗口上的视频，同时双击任一监控画面可放大查看单一画面的监控画面，并支持用户自定义布局，支持画面自适应宽高比例(16:9和4:3两种方式自动切换)和全屏显示，支持在预览过程中对视频进行抓图，可多个画面同时抓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12" w:type="dxa"/>
            <w:vMerge w:val="continue"/>
            <w:vAlign w:val="center"/>
          </w:tcPr>
          <w:p>
            <w:pPr>
              <w:adjustRightInd w:val="0"/>
              <w:snapToGrid w:val="0"/>
              <w:jc w:val="center"/>
              <w:rPr>
                <w:rFonts w:hint="eastAsia" w:asciiTheme="minorEastAsia" w:hAnsiTheme="minorEastAsia" w:eastAsiaTheme="minorEastAsia" w:cstheme="minorEastAsia"/>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szCs w:val="21"/>
                <w:highlight w:val="none"/>
              </w:rPr>
            </w:pPr>
          </w:p>
        </w:tc>
        <w:tc>
          <w:tcPr>
            <w:tcW w:w="834" w:type="dxa"/>
            <w:gridSpan w:val="2"/>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可基于电子地图的视频应用，根据物联设备的经纬度信息在地图上进行显示，并根据地图缩放级别自动对区域内的设备进行聚合显示，提高地图资源显示效果。为用户提供视频预案、视频追踪、视域联动、智能围堵、网络规划、场所规划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12" w:type="dxa"/>
            <w:vMerge w:val="continue"/>
            <w:vAlign w:val="center"/>
          </w:tcPr>
          <w:p>
            <w:pPr>
              <w:adjustRightInd w:val="0"/>
              <w:snapToGrid w:val="0"/>
              <w:jc w:val="center"/>
              <w:rPr>
                <w:rFonts w:hint="eastAsia" w:asciiTheme="minorEastAsia" w:hAnsiTheme="minorEastAsia" w:eastAsiaTheme="minorEastAsia" w:cstheme="minorEastAsia"/>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szCs w:val="21"/>
                <w:highlight w:val="none"/>
              </w:rPr>
            </w:pPr>
          </w:p>
        </w:tc>
        <w:tc>
          <w:tcPr>
            <w:tcW w:w="834" w:type="dxa"/>
            <w:gridSpan w:val="2"/>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1、提供基础的车辆布控应用以及相关的车辆缉查研判技术手段，提供车辆布控、人脸布控、过车查询、以车搜车、车辆轨迹查询、缉查布控对接数据监测；</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2、支持实时过车与历史过车查看，支持查看对应卡口的实时过车图片及信息，支持显示报警抓拍车辆信息，可依据违法类型及布控类型分类查看，支持根据车辆特征查询。</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b/>
                <w:bCs/>
                <w:szCs w:val="21"/>
                <w:highlight w:val="none"/>
              </w:rPr>
              <w:t>▲</w:t>
            </w:r>
            <w:r>
              <w:rPr>
                <w:rFonts w:hint="eastAsia" w:asciiTheme="minorEastAsia" w:hAnsiTheme="minorEastAsia" w:eastAsiaTheme="minorEastAsia" w:cstheme="minorEastAsia"/>
                <w:kern w:val="0"/>
                <w:szCs w:val="21"/>
                <w:highlight w:val="none"/>
              </w:rPr>
              <w:t>3、支持过车数据分析，支持卡口总数、过车总数、异常过车次数、外地车、车辆总数、初次入城等数据统计，支持最活跃卡口TOP5排行、支持最活跃车辆Top5排行、属地分布Top5排行、支持品牌分布TOP5排行，支持显示高峰时段车辆信息、支持车辆类型分布、车辆颜色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12" w:type="dxa"/>
            <w:vMerge w:val="continue"/>
            <w:vAlign w:val="center"/>
          </w:tcPr>
          <w:p>
            <w:pPr>
              <w:adjustRightInd w:val="0"/>
              <w:snapToGrid w:val="0"/>
              <w:jc w:val="center"/>
              <w:rPr>
                <w:rFonts w:hint="eastAsia" w:asciiTheme="minorEastAsia" w:hAnsiTheme="minorEastAsia" w:eastAsiaTheme="minorEastAsia" w:cstheme="minorEastAsia"/>
                <w:szCs w:val="21"/>
                <w:highlight w:val="none"/>
              </w:rPr>
            </w:pPr>
          </w:p>
        </w:tc>
        <w:tc>
          <w:tcPr>
            <w:tcW w:w="1486" w:type="dxa"/>
            <w:gridSpan w:val="2"/>
            <w:vMerge w:val="continue"/>
            <w:vAlign w:val="center"/>
          </w:tcPr>
          <w:p>
            <w:pPr>
              <w:widowControl/>
              <w:rPr>
                <w:rFonts w:hint="eastAsia" w:asciiTheme="minorEastAsia" w:hAnsiTheme="minorEastAsia" w:eastAsiaTheme="minorEastAsia" w:cstheme="minorEastAsia"/>
                <w:szCs w:val="21"/>
                <w:highlight w:val="none"/>
              </w:rPr>
            </w:pPr>
          </w:p>
        </w:tc>
        <w:tc>
          <w:tcPr>
            <w:tcW w:w="834" w:type="dxa"/>
            <w:gridSpan w:val="2"/>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实现对系统中出现的车辆、人员、终端进行布控以及对应设备出现的报警进行综合管理与查询。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12" w:type="dxa"/>
            <w:vMerge w:val="continue"/>
            <w:vAlign w:val="center"/>
          </w:tcPr>
          <w:p>
            <w:pPr>
              <w:adjustRightInd w:val="0"/>
              <w:snapToGrid w:val="0"/>
              <w:jc w:val="center"/>
              <w:rPr>
                <w:rFonts w:hint="eastAsia" w:asciiTheme="minorEastAsia" w:hAnsiTheme="minorEastAsia" w:eastAsiaTheme="minorEastAsia" w:cstheme="minorEastAsia"/>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szCs w:val="21"/>
                <w:highlight w:val="none"/>
              </w:rPr>
            </w:pPr>
          </w:p>
        </w:tc>
        <w:tc>
          <w:tcPr>
            <w:tcW w:w="834" w:type="dxa"/>
            <w:gridSpan w:val="2"/>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1、针对非现场执法应用提供违法数据检索、初审、录入、复审以及违法数据分析、违法抓拍统计、审核工作量统计等相关应用。</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上传最多不少于6张违法过车图片，以缩略图的形式排列显示，默认按顺序填充在图片合成区，上传的违法过车图片可以切换布局（水平布局、垂直布局、田字布局）显示；支持拖拽图片改变排列次序，支持移除单张图片、清空所有违法过车图片；支持全屏切换图片操作区域大小、支持全屏时图片局部放大显示；支持合成违法过车图片；支持手动进行违法数据录入，手动上传车辆违法图片和输入违法信息，多张违法图片支持图片合成，支持统计和显示今日手动录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12" w:type="dxa"/>
            <w:vMerge w:val="continue"/>
            <w:vAlign w:val="center"/>
          </w:tcPr>
          <w:p>
            <w:pPr>
              <w:widowControl/>
              <w:jc w:val="center"/>
              <w:rPr>
                <w:rFonts w:hint="eastAsia" w:asciiTheme="minorEastAsia" w:hAnsiTheme="minorEastAsia" w:eastAsiaTheme="minorEastAsia" w:cstheme="minorEastAsia"/>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结合前端采集的各项交通数据以及大数据、云分析系统的分析能力，通过关联算法，挖掘和评估不同类别交通数据之间的关联性，支持区域碰撞、车辆落脚点、频繁过车、昼伏夜出等车辆技战法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Merge w:val="continue"/>
            <w:vAlign w:val="center"/>
          </w:tcPr>
          <w:p>
            <w:pPr>
              <w:widowControl/>
              <w:jc w:val="center"/>
              <w:rPr>
                <w:rFonts w:hint="eastAsia" w:asciiTheme="minorEastAsia" w:hAnsiTheme="minorEastAsia" w:eastAsiaTheme="minorEastAsia" w:cstheme="minorEastAsia"/>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通过视频网管用户可以快速的了解当前系统中相关视频点位以及视频质量的运行情况，以便针对运行异常的点位进行实时查看，保障系统的可用性。提供视频检测、告警查询、统计报表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数据级联管理支持对上下级平台级联、资源共享以及数据共享进行配置。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1、支持失驾人员管控应用，包含报警审核、报警查询、处理反馈、数据监测、失驾人员布控等功能应用；</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对失驾人员布控等级、布控名称、布控目标、布控范围、布控原因、有效期、相似度阈值进行设置；支持展示主驾驶人脸与失驾名单的比对信息，包括主驾驶人脸抠图、证件照图片、姓名、性别、身份证、抓拍地点、驾照吊销时间、失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spacing w:line="360" w:lineRule="auto"/>
              <w:jc w:val="left"/>
              <w:textAlignment w:val="top"/>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1、支持准驾车型管控应用，包含报警审核、报警查询、处理反馈、数据监测、驾驶人员布控等功能应用；</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对准驾人员布控等级、布控名称、布控目标、布控范围、布控原因、有效期、相似度阈值设置；支持展示准驾车型、时间地图位置、车辆详细信息，包括过车信息、详细图片、车辆属性、二次分析属性、车辆登记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tabs>
                <w:tab w:val="left" w:pos="595"/>
              </w:tabs>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智慧交通信号控制平台扩容</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17</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路</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1、对原智慧交通信号控制平台进行扩容，使其满足针对本次新建的交通信号机的接入需求。</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2、要求平台能无缝兼容接入，能正常进行联网控制，支持智慧信控、静态绿波、动态绿波、自动特勤、手动特勤、周期指标查询、运行方案查询等信号控制基础功能。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失驾准驾分析设备</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1、约19英寸机架式标准机箱，高性能≥64位CPU，集成专业级GPU芯片，支持热拔插高效冗余电源模块。</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szCs w:val="21"/>
                <w:highlight w:val="none"/>
              </w:rPr>
              <w:t>▲</w:t>
            </w:r>
            <w:r>
              <w:rPr>
                <w:rFonts w:hint="eastAsia" w:asciiTheme="minorEastAsia" w:hAnsiTheme="minorEastAsia" w:eastAsiaTheme="minorEastAsia" w:cstheme="minorEastAsia"/>
                <w:kern w:val="0"/>
                <w:szCs w:val="21"/>
                <w:highlight w:val="none"/>
              </w:rPr>
              <w:t>2、硬件性能：内存≥4GB DDR3 *2、硬盘≥240G SSD *1（系统盘）、≥2个千兆网口、≥1个VGA接口、≥4个USB 3.0接口。</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3、支持根据需求进行硬件计算资源预分配，达到任务秒级处理，支持对突发的任务进行计算资源动态分配，算法资源动态管理，支持通过界面展示查看每种算法已使用/预分配的总资源</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4、支持≥32路1080P实时视频流全帧率活动目标智能分析，支持对录像文件全帧率≥32倍加速进行活动目标智能分析。</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支持在地图上对车辆的轨迹进行刻画，对车辆的时空信息进行还原，支持通过授权的形式去调用算法仓库中的不同的算法，实现全分析，支持同一时间并发运行多种不同的算法，支持对视频进行人脸、车辆的全分析，支持对图片进行人脸、车辆的全分析。</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6、支持jpg、jpeg、png、gif、bmp，tif图片格式，支持检出水平转动不超过60度，俯仰角度不超过45度的人脸。</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7、支持对人脸图片在人脸被遮挡住半边脸的情况下，可正确检测人脸，检出率不小于99%，支持对人脸图片识别人脸性别，检出率不低于99%，识别准确率不低于99%。</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8、单个人脸检测结果，系统存储的人像特征数据大小不大于1K字节。</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支持通过界面展示查看算法仓库支持的算法列表，包括算法名称、分析类型、分析目标、算法厂商、芯片平台、算法版本和详情信息，算法仓库支持的算法包括人车分析算法，人脸检测算法、人脸分析算法、车辆分析算法和卡口车辆分析算法，并支持对算法进行查询，支持集成运行第三方算法，并支持对算法进行管理，支持对视频和图片中的无牌车辆进行识别，光线正常，图片无牌车识别准确率不低于99%。</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10、支持识别102×126～1600万像素、≤8MB、两眼瞳距≥18像素点、比对水平偏转≤60度，俯仰角度≤45度的人脸图片。</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 xml:space="preserve">11、支持使用视频中的人员截图或目标人员照片在监控视频中抓拍形成的图像库中搜索相似人员，得到相似度并排序。 </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支持一个画面中两眼瞳距18像素点以上的≥30张人脸同时进行检测，光线正常，人脸图片的检出率不低于99%，人脸检测后台响应时间不超过1秒，支持对视频和图片中车辆的子品牌进行识别，图片识别支持不少于5200种车辆子品牌和年款的识别（正向），支持不少于2600种车辆子品牌和年款的识别（背向），视频识别支持不少于2000种车辆子品牌和年款的识别，光线正常，图片车辆子品牌识别白天正向准确率不低于99%，背向准确率不低于95%。</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13、支持对人脸图片识别人脸是否微笑，检出率不低于99%，设备对抓拍的人脸图片进行分析，将分析后的结果与关联的黑名单库进行比较，比对成功时触发报警，并产生报警提示。</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14、支持对图片中的背向车辆进行检测识别，支持图片中背向车辆颜色、车辆类型、车辆子品牌识别。</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15、支持对时长≥180分钟的目标稀疏视频进行人员、车辆的结构化处理，处理时间小于80秒。</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szCs w:val="21"/>
                <w:highlight w:val="none"/>
              </w:rPr>
              <w:t>▲</w:t>
            </w:r>
            <w:r>
              <w:rPr>
                <w:rFonts w:hint="eastAsia" w:asciiTheme="minorEastAsia" w:hAnsiTheme="minorEastAsia" w:eastAsiaTheme="minorEastAsia" w:cstheme="minorEastAsia"/>
                <w:kern w:val="0"/>
                <w:szCs w:val="21"/>
                <w:highlight w:val="none"/>
              </w:rPr>
              <w:t>16、支持导入两张人脸照片进行一对一比对，输出比对相似度，比对速度不低于64次/s，1V1平均响应时间不超过1秒，大数据写入情况下，人脸图片建模速度不低于160张/s。</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17、支持视频和图片中主/副驾驶遮阳板打开检测识别，图片主/副遮阳板打开检测准确率不低于99%。</w:t>
            </w:r>
          </w:p>
          <w:p>
            <w:pPr>
              <w:widowControl/>
              <w:spacing w:line="360" w:lineRule="auto"/>
              <w:jc w:val="left"/>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18、支持集群部署，支持黑名单库容量≥150万张图片，支持将黑名单库分为≥15个库分别管理，每个库设置不同报警阈值或关联相机。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融合大数据服务设备</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1、支持在正常提供服务的情况下进行集群扩容，当集群中任意节点发生故障时，集群可保持正常工作且数据不会丢失。</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2、支持分析出几个区域通过的车辆的交集，并且能够查看分析出的车辆在这几个区域的过车记录。</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一车一档信息包含车牌号码、车牌颜色、车牌归属地、车牌类型、车牌状态、车辆类型、品牌、型号、年款、车辆颜色、颜色深度、黄标车、危化品、是否有装饰、过车记录、落脚点卡口、套牌次数、活跃区域、活跃卡口、危险行为统计等。</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4、支持以车牌、时间段、车牌颜色为条件，对可疑车辆的活动轨迹进行自动分析。</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5、支持根据轨迹以及设定的时间区间，查询匹配轨迹的车辆信息。</w:t>
            </w:r>
          </w:p>
          <w:p>
            <w:pPr>
              <w:widowControl/>
              <w:spacing w:line="360" w:lineRule="auto"/>
              <w:jc w:val="left"/>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6、单机支持人脸、车辆等结构化数据、半结构化数据（特征值）混合接入、存储，支持关联人脸、车辆进行综合查询。</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7、支持≥2亿数据的存储、查询、搜图，≥30个用户并发，查询检索效率≥4.5亿条数据/秒，以图搜图效率≥2000万条模型/秒。</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b/>
                <w:bCs/>
                <w:szCs w:val="21"/>
                <w:highlight w:val="none"/>
              </w:rPr>
              <w:t>▲</w:t>
            </w:r>
            <w:r>
              <w:rPr>
                <w:rFonts w:hint="eastAsia" w:asciiTheme="minorEastAsia" w:hAnsiTheme="minorEastAsia" w:eastAsiaTheme="minorEastAsia" w:cstheme="minorEastAsia"/>
                <w:kern w:val="0"/>
                <w:szCs w:val="21"/>
                <w:highlight w:val="none"/>
              </w:rPr>
              <w:t>8、约2U机架式，≥2*64位多核处理器, 内存≥128GB，≥2个千兆网口，≥1个BMC管理网口，支持1+1冗余电源。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大数据交通违法研判平台架构服务模块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软件平台配套基础支撑模块，安装软件平台统一基础技术构架和基础核心通用服务组件，提供设备资源的管理、权限、字典、配置、任务、组件注册、校时等基础能力；提供视频预览、回放、级联、云台控制等基础视频服务；以及面向应用的组织目录、物联资源、收藏分享、视频预案等服务。</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2、提供其它服务：包括地图服务、电视墙服务、视频网管、消息推送服务、授时服务以及邮件代理和短信代理服务等基础功能组件支撑。</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3、其硬件性能指标不低于：(16核2.4GHz)×1/64G DDR4/600GB 10K SAS×2（RAID_1）/SAS_HBA/1GbE×4/550W(1+1)/2U/16DIMM/USB-DVD。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大数据交通违法研判平台组件服务模块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1、软件平台配套通用组件服务支撑模块，支持提供对智能任务提供面向应用的编排调度能力。</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2、支持提供平台检索服务(elasticsearch) 、智能接入组件(iac)、日志服务（logservice）、智能任务执行(ait) 、智能调度(ais) 、智能任务管理(aim) 、智能调度数据源(aid) 、资源管理调度集成(edm) 、边缘节点可视化(ensv)、计算资源接入组件(cac) 、短信代理服务(smsps) 、邮件代理服务(mailps) 、数据汇聚平台（datai）、智能车辆数据服务(xvot) 、级联服务(xcascade)、智能数据传输服务（xtransfer）等服务能力组件支撑。</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3、其硬件性能指标不低于：(16核2.4GHz)×1/64G DDR4/600GB 10K SAS×2（RAID_1）/SAS_HBA/1GbE×4/550W(1+1)/2U/16DIMM/USB-DVD。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大数据交通违法研判平台应用服务模块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1、软件平台配套应用组件服务支撑模块，支持对智能任务提供面向应用的编排调度能力；</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2、支持提供面向物联资源数据的检索、查询、技战法服务，如：车牌搜索、人脸检索等，根据数据类型分为以下几类：人脸数据服务、车辆数据服务、多维数据服务等。</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3、支持提供平台地图应用(imap)、车辆非现场执法应用（itim）、失驾人员管控应用（itld）、车辆违法汇聚服务（vps） 、车辆违法数据网关（vvt）、车辆录像备份服务（vvk）、驾乘人员关联服务（dvas）、综合布控告警服务（ialarm）、准驾车型管控应用（itqd）、智能车辆研判应用(ivehicle) 、缉查布控数据对接服务（vsd）、 暂存架(ishelf) 、视频应用(bvideo) 、插件助手（btools） 、OpenAPI后端适配器(bff) 、布控报警（ balarm） 、内容存储服务（kms）、文档转存服务（openoffice）等应用服务组件支撑。</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4、其硬件性能指标不低于：(16核2.4GHz)×1/64G DDR4/600GB 10K SAS×2（RAID_1）/SAS_HBA/1GbE×4/550W(1+1)/2U/16DIMM/USB-DVD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Merge w:val="restart"/>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1486" w:type="dxa"/>
            <w:gridSpan w:val="2"/>
            <w:vMerge w:val="restart"/>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平台数据对接运维服务系统</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对接公安内网“公安交通集成指挥平台”，将实时视频数据、卡口数据、违法取证数据上传对接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对接公安内网“公安交通综合管理应用平台”，完成涉证涉牌违法研判相关数据上传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对接公安内网“防城港市神眼车辆图像大数据系统”，将车辆卡口数据汇总上传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对接视频专网“交通违法AI检测平台”，对接不系安全带、接打手机等违法数据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1486" w:type="dxa"/>
            <w:gridSpan w:val="2"/>
            <w:vMerge w:val="continue"/>
            <w:vAlign w:val="center"/>
          </w:tcPr>
          <w:p>
            <w:pPr>
              <w:widowControl/>
              <w:jc w:val="center"/>
              <w:rPr>
                <w:rFonts w:hint="eastAsia" w:asciiTheme="minorEastAsia" w:hAnsiTheme="minorEastAsia" w:eastAsiaTheme="minorEastAsia" w:cstheme="minorEastAsia"/>
                <w:kern w:val="0"/>
                <w:szCs w:val="21"/>
                <w:highlight w:val="none"/>
              </w:rPr>
            </w:pP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模块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接入交警总队视频平台，接入公安厅视频平台，对接公安厅卡口、汇聚区县交警卡口数据及第三方数据。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（二）、交通违法AI检测平台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12" w:type="dxa"/>
            <w:vAlign w:val="center"/>
          </w:tcPr>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AI预审管理服务模块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24" w:lineRule="atLeas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1、实现实时数据监控、近期统计趋势、违法类型比例展示和实时结果数据功能。</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2、硬件要求：</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1）CPU：Intel Xeon Bronze 3106。</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2）内存：32G RDIMM DDR4。</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3）硬盘存储：3*4TB SATA。</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4）八通道高性能 SAS RAID卡(2G缓存)。</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5）双电源。</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6）1000M*2网络接口。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安全带、打电话检测服务模块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pStyle w:val="2"/>
              <w:numPr>
                <w:ilvl w:val="0"/>
                <w:numId w:val="5"/>
              </w:numPr>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实现主/副驾驶未系安全带、驾驶员打电话行为自动检出分析。</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2、硬件要求：</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1）机箱：2U机架式机箱。</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2）处理器：intel 至强银牌4210*1</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3）显卡：nVidia RTX2080*1。</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4）内存：64G DDR4。</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5）硬盘：1TB 企业级固态*1。</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6）其它：USB*4，HDMI*1，千兆RJ45*2。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可视化展示模块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1、对系统运行情况进行实时的监控和统计：</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2、当日的检测数、主驾未系安全带数、副驾未系安全带数、主驾打电话数、检测点位数的数据统计；</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3、违法类型比例的图表展示；</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4、近期统计趋势的图表展示；</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5、实时结果数据的图文展示；</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6、用户组织机构与设备信息列表。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违法查询模块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1、支持查询数据功能，查询条件包括：时间段、卡口点位、车牌号码、驾驶位是否有系安全带、副驾驶位是否有系安全带、驾驶员是否打电话、数据处理状态等；</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2、查询结果包括数据的图片等基本信息展示、数量统计；</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3、可导出数据为电子表格（含有违法卡口点位、违法时间、车牌号码、违法类型等信息）。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平台管理模块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1、具备用户管理功能；</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2、具备用户操作日志管理功能；</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3、具备运行状态监控维护报告功能，方便维护。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任务管理模块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1、具备系统全局的任务管理、任务调度日志、任务运行报表功能；</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2、可以通过设置过车时段等参数，执行相应处理任务，处理延期数据。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数据接入模块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spacing w:line="24" w:lineRule="atLeas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1、支持海康、大华、蓝盾等卡口平台的数据接入。</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2、可选择用户网络使用低峰时段输入数据，减少网络资源占用对用户产生的影响。</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3、检测点位列表可展示组织机构下的卡口设备信息，并可进行增删改等管理，并可启动、停止对应设备的检测任务。</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4、按策略自动获取卡口数据，并进行处理，过程无需人工干预。</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5、支持卡口系统前端设备接口对接。</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6、支持卡口平台数据库对接。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违法数据上传模块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★1、违法行为去重：针对同一车辆，在同一卡口点位的不同时间内出现的相同违法行为（未系安全带和接打电话）进行去重（保留首次违法行为信息，其他违法信息显示已忽略状态）的功能。</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2、检测的结果数据需自动上传至集成指挥平台的非现场执法平台，过程无需人工干预。</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★3、多车道违法行为检测：对单张图片中多个车道存在的违法行为（未系安全带和接打电话）进行检测，并输出多车道违法行为</w:t>
            </w:r>
          </w:p>
          <w:p>
            <w:pPr>
              <w:pStyle w:val="2"/>
              <w:ind w:firstLine="0" w:firstLineChars="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 w:val="21"/>
                <w:szCs w:val="21"/>
                <w:highlight w:val="none"/>
              </w:rPr>
              <w:t>4、输出多种违法违规行为：驾驶员未系安全带、副驾驶未系安全带、驾驶员打电话等。</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5、违法图片上传图片加入车头特写图片，可直接提供人工筛选审核判断依据，无需放大原图。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未系安全带检测算法模块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spacing w:line="24" w:lineRule="atLeas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★1、对于白天光照正常、夜间补光正常，车辆和驾驶员特征清晰可辨识的图片，驾驶员未系安全带检出率≥90%，识别准确率≥95%。</w:t>
            </w:r>
          </w:p>
          <w:p>
            <w:pPr>
              <w:widowControl/>
              <w:spacing w:line="24" w:lineRule="atLeas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2、具备车辆识别定位功能。</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3、具备未系安全带违法行为检测功能。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驾驶员接打电话行为检测算法模块</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spacing w:line="24" w:lineRule="atLeas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★1、对于白天光照正常、夜间补光正常，车辆和驾驶员特征清晰可辨识的图片，驾驶员接打电话检出率≥90%，识别准确率≥90%。</w:t>
            </w:r>
          </w:p>
          <w:p>
            <w:pPr>
              <w:widowControl/>
              <w:spacing w:line="24" w:lineRule="atLeas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2、具备车辆识别定位功能。</w:t>
            </w:r>
          </w:p>
          <w:p>
            <w:pPr>
              <w:pStyle w:val="2"/>
              <w:ind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3、具备驾驶员打电话违规行为检测功能。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（三）、云存储系统建设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ind w:firstLine="211" w:firstLineChars="100"/>
              <w:rPr>
                <w:rFonts w:hint="eastAsia" w:asciiTheme="minorEastAsia" w:hAnsiTheme="minorEastAsia" w:eastAsiaTheme="minorEastAsia" w:cstheme="minorEastAsia"/>
                <w:b/>
                <w:bCs/>
                <w:kern w:val="0"/>
                <w:szCs w:val="21"/>
                <w:highlight w:val="none"/>
              </w:rPr>
            </w:pPr>
            <w:r>
              <w:rPr>
                <w:rFonts w:hint="eastAsia" w:asciiTheme="minorEastAsia" w:hAnsiTheme="minorEastAsia" w:eastAsiaTheme="minorEastAsia" w:cstheme="minorEastAsia"/>
                <w:b/>
                <w:bCs/>
                <w:kern w:val="0"/>
                <w:szCs w:val="21"/>
                <w:highlight w:val="none"/>
              </w:rPr>
              <w:t>（1）CVR改制云存储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szCs w:val="21"/>
                <w:highlight w:val="none"/>
              </w:rPr>
            </w:pPr>
          </w:p>
          <w:p>
            <w:pPr>
              <w:pStyle w:val="2"/>
              <w:ind w:firstLine="46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36盘位CVR设备改制(Ⅰ)</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项</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1、对原有36盘位CVR设备(种类Ⅰ)主板进行改制升级，接入本期项目建设的云存储系统。</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2、改制后的单台设备性能参数不低于：</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64位多核处理器；≥16GB缓存；冗余电源；支持≥36个盘位数，支持SATA硬盘；≥2个千兆网口；≥1个系统SSD盘；支持视音频、图片、直接写入，支持视频高速预览、回放、下载，支持云内容灾备份，支持一体化运维，支持GB/T28181-2011、Onvif、RTSP、H265、SVAC等标准视频协议。支持接入本期项目建设的云存储系统进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48盘位CVR设备改制(Ⅰ)</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项</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1、对原有48盘位CVR设备(种类Ⅰ)主板进行改制升级，接入本期项目建设的云存储系统。</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2、改制后的单台设备性能参数不低于：</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64位多核处理器；≥16GB缓存；冗余电源；支持≥48个盘位数，支持SATA硬盘；≥2个千兆网口；≥1个系统SSD盘。支持视音频、图片、直接写入，支持视频高速预览、回放、下载，支持云内容灾备份，支持一体化运维，支持GB/T28181-2011、Onvif、RTSP、H265、SVAC等标准视频协议。支持接入本期项目建设的云存储系统进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12" w:type="dxa"/>
            <w:vAlign w:val="center"/>
          </w:tcPr>
          <w:p>
            <w:pPr>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24盘位CVR设备改制</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项</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1、对原有24盘位CVR设备主板进行改制升级，接入本期项目建设的云存储系统。</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2、改制后的单台设备性能参数不低于：</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64位多核处理器；≥16GB缓存；冗余电源；支持≥24个盘位数，支持SATA硬盘；≥2个千兆网口；≥1个系统SSD盘。支持视音频、图片、直接写入，支持视频高速预览、回放、下载，支持云内容灾备份，支持一体化运维，支持GB/T28181-2011、Onvif、RTSP、H265、SVAC等标准视频协议。支持接入本期项目建设的云存储系统进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36盘位CVR设备改制(Ⅱ)</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项</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1、对原有36盘位CVR设备（种类Ⅱ）进行改造升级，接入本期项目建设的云存储系统。</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2、改制后的单台设备性能参数不低于：</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64位多核处理器；≥16GB缓存；冗余电源；支持≥36个盘位数，支持SATA硬盘；≥2个千兆网口；≥1个系统SSD盘；支持视音频、图片、直接写入，支持视频高速预览、回放、下载，支持云内容灾备份，支持一体化运维，支持GB/T28181-2011、Onvif、RTSP、H265、SVAC等标准视频协议。支持接入本期项目建设的云存储系统进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48盘位CVR设备改制(Ⅱ)</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项</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1、对原有48盘位CVR设备（种类Ⅱ）进行改造升级，接入本期项目建设的云存储系统。</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2、改制后的单台设备性能参数不低于：</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64位多核处理器；≥16GB缓存；冗余电源；支持≥48个盘位数，支持SATA硬盘；≥2个千兆网口；≥1个系统SSD盘。支持视音频、图片、直接写入，支持视频高速预览、回放、下载，支持云内容灾备份，支持一体化运维，支持GB/T28181-2011、Onvif、RTSP、H265、SVAC等标准视频协议。支持接入本期项目建设的云存储系统进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ind w:firstLine="211" w:firstLineChars="1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Cs w:val="21"/>
                <w:highlight w:val="none"/>
              </w:rPr>
              <w:t>（2）节点扩容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612" w:type="dxa"/>
            <w:vAlign w:val="center"/>
          </w:tcPr>
          <w:p>
            <w:pPr>
              <w:widowControl/>
              <w:jc w:val="center"/>
              <w:rPr>
                <w:rFonts w:hint="eastAsia" w:asciiTheme="minorEastAsia" w:hAnsiTheme="minorEastAsia" w:eastAsiaTheme="minorEastAsia" w:cstheme="minorEastAsia"/>
                <w:b/>
                <w:bCs/>
                <w:kern w:val="0"/>
                <w:szCs w:val="21"/>
                <w:highlight w:val="none"/>
              </w:rPr>
            </w:pPr>
          </w:p>
          <w:p>
            <w:pPr>
              <w:widowControl/>
              <w:jc w:val="center"/>
              <w:rPr>
                <w:rFonts w:hint="eastAsia" w:asciiTheme="minorEastAsia" w:hAnsiTheme="minorEastAsia" w:eastAsiaTheme="minorEastAsia" w:cstheme="minorEastAsia"/>
                <w:b/>
                <w:bCs/>
                <w:kern w:val="0"/>
                <w:szCs w:val="21"/>
                <w:highlight w:val="none"/>
              </w:rPr>
            </w:pPr>
            <w:r>
              <w:rPr>
                <w:rFonts w:hint="eastAsia" w:asciiTheme="minorEastAsia" w:hAnsiTheme="minorEastAsia" w:eastAsiaTheme="minorEastAsia" w:cstheme="minorEastAsia"/>
                <w:b/>
                <w:bCs/>
                <w:kern w:val="0"/>
                <w:szCs w:val="21"/>
                <w:highlight w:val="none"/>
              </w:rPr>
              <w:t>1</w:t>
            </w:r>
          </w:p>
          <w:p>
            <w:pPr>
              <w:widowControl/>
              <w:jc w:val="center"/>
              <w:rPr>
                <w:rFonts w:hint="eastAsia" w:asciiTheme="minorEastAsia" w:hAnsiTheme="minorEastAsia" w:eastAsiaTheme="minorEastAsia" w:cstheme="minorEastAsia"/>
                <w:b/>
                <w:bCs/>
                <w:kern w:val="0"/>
                <w:szCs w:val="21"/>
                <w:highlight w:val="none"/>
              </w:rPr>
            </w:pPr>
          </w:p>
          <w:p>
            <w:pPr>
              <w:widowControl/>
              <w:jc w:val="center"/>
              <w:rPr>
                <w:rFonts w:hint="eastAsia" w:asciiTheme="minorEastAsia" w:hAnsiTheme="minorEastAsia" w:eastAsiaTheme="minorEastAsia" w:cstheme="minorEastAsia"/>
                <w:b/>
                <w:bCs/>
                <w:kern w:val="0"/>
                <w:szCs w:val="21"/>
                <w:highlight w:val="none"/>
              </w:rPr>
            </w:pPr>
          </w:p>
          <w:p>
            <w:pPr>
              <w:widowControl/>
              <w:jc w:val="center"/>
              <w:rPr>
                <w:rFonts w:hint="eastAsia" w:asciiTheme="minorEastAsia" w:hAnsiTheme="minorEastAsia" w:eastAsiaTheme="minorEastAsia" w:cstheme="minorEastAsia"/>
                <w:b/>
                <w:bCs/>
                <w:kern w:val="0"/>
                <w:szCs w:val="21"/>
                <w:highlight w:val="none"/>
              </w:rPr>
            </w:pPr>
          </w:p>
          <w:p>
            <w:pPr>
              <w:widowControl/>
              <w:jc w:val="center"/>
              <w:rPr>
                <w:rFonts w:hint="eastAsia" w:asciiTheme="minorEastAsia" w:hAnsiTheme="minorEastAsia" w:eastAsiaTheme="minorEastAsia" w:cstheme="minorEastAsia"/>
                <w:b/>
                <w:bCs/>
                <w:kern w:val="0"/>
                <w:szCs w:val="21"/>
                <w:highlight w:val="none"/>
              </w:rPr>
            </w:pPr>
          </w:p>
        </w:tc>
        <w:tc>
          <w:tcPr>
            <w:tcW w:w="1486" w:type="dxa"/>
            <w:gridSpan w:val="2"/>
            <w:vAlign w:val="center"/>
          </w:tcPr>
          <w:p>
            <w:pPr>
              <w:widowControl/>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视频云存储节点扩容</w:t>
            </w:r>
          </w:p>
          <w:p>
            <w:pPr>
              <w:widowControl/>
              <w:rPr>
                <w:rFonts w:hint="eastAsia" w:asciiTheme="minorEastAsia" w:hAnsiTheme="minorEastAsia" w:eastAsiaTheme="minorEastAsia" w:cstheme="minorEastAsia"/>
                <w:kern w:val="0"/>
                <w:szCs w:val="21"/>
                <w:highlight w:val="none"/>
              </w:rPr>
            </w:pP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tcPr>
          <w:p>
            <w:pPr>
              <w:widowControl/>
              <w:spacing w:line="360" w:lineRule="auto"/>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▲1、采用64位多核处理器，内存≥4GB，可扩展至≥32GB，实现海量数据检索、分析及存储，信息深化应用。</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2、支持≥48个硬盘插槽，支持接入2T/3T/4T/6T/8T/10TSATA磁盘，支持磁盘交错启动和漫游，并支持在线热插拔。</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3、支持双系统，支持FCSAN、IPSAN、NAS存储功能。</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允许每组RAID中任意≥12块硬盘发生故障，业务不中断，支持块级重构，全盘参与重构速度不小于4TB/10min，高利用率模式下磁盘利用率为≥98%，可将损坏RAID按照RAID损坏等级进行重构，支持在最大画面分屏显示模式下播放录像时，可拖动改变各通道视频播放的时间位置。</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5、应能接入并存储≥1880Mbps视频图像，同时转发≥1880Mbps的视频图像，同时回放≥512Mbps的视频图像。</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6、可接入MPEG4、H.264、H.265、SVAC的前端设备并存储录像文件，设备应能预录报警触发前1-40分钟的视频录像。</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7、支持并发≥18路文件直接上传存储，单路上传与下载的速度可设，支持采用文件打包的方式将若干个小文件打包成一个较大的文件，可对文件、目录设置存储周期，当文件、目录的存储时长超过存储周期，则删除该文件、目录，可将数据随机分散存储至各个硬盘，可参与全盘某种业务。</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8、可扩展支持将前端一路视频流同时存入两台存储，支持双机间编码器和录像同步，故障时可进行互相接管，当开启智能录像时，设备可根据前端接入路数、存储周期、码率等参数，自动选择N+M冗余级别较高的数据保护方式。</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9、设备可同时支持视频、图片、智能流和文件直写存储，支持多路文件采用非NAS方式直接上传存储，且速度可设置。</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10、可对指定的录像段或指定事件的1个或多个前端的不同时间段的录像段添加标签，并自动备份到存档卷中，使之不会被覆盖删除。</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11、可根据事件名称查询所有相关联的不同前端或时间的录像段并进行回放和下载。</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12、名单库容量支持≥100万，支持检出两眼瞳距20像素点以上的人脸图片，支持人员频次报警功能，人员在设定时间内的出现次数超过设置阈值会产生报警。</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★13、支持新增单个智能分析任务和批量新增智能分析任务功能，支持检测区域、屏蔽区域规则配置和大目标模式开启，支持实时取流分析任务分析结果的动态展示。</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14、支持通过车牌号、时间进行布控，支持按照模板批量导入导出布控信息，支持历史布控记录检索。</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15、设备在不增加任何外围服务器硬件的情况下可由存储设备直接进行虚拟化系统部署。</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16、在视频画面上绘制区域或界线，检索指定范围内的报警录像，可输入车牌号码可查证出相关图片和视频。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企业级硬盘</w:t>
            </w: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192</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块</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容量≥8T，转速≥7200RPM，3.5寸，支持SATA。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云存储系统软件</w:t>
            </w:r>
          </w:p>
          <w:p>
            <w:pPr>
              <w:widowControl/>
              <w:jc w:val="center"/>
              <w:rPr>
                <w:rFonts w:hint="eastAsia" w:asciiTheme="minorEastAsia" w:hAnsiTheme="minorEastAsia" w:eastAsiaTheme="minorEastAsia" w:cstheme="minorEastAsia"/>
                <w:kern w:val="0"/>
                <w:szCs w:val="21"/>
                <w:highlight w:val="none"/>
              </w:rPr>
            </w:pP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tcPr>
          <w:p>
            <w:pPr>
              <w:widowControl/>
              <w:spacing w:line="360" w:lineRule="auto"/>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1、支持云存储系统一键部署，支持前端设备和存储设备之间直接存储。</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2、支持多存储设备容量整合，形成录像池，可根据用户业务分配通用、文件、视频、图片等类型存储空间。</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3、支持按照设备可用容量实现负载均衡，各存储节点上存储的数据量在稳定状态下保持均衡。</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4、支持单个客户端从多台存储设备并行高速下载指定时间段的录像。</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5、可实现视音频流直接在云系统上进行存储，支持采用流媒体直存转发方式，无需配置存储转发/流媒体服务器。</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6、支持聚合下载，即并发从多台存储节点中下载某一个时间段录像、图片、智能结构化数据、文件。</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7、支持云存储系统中内嵌智能和大数据分析功能，支持视频流实时结构化，海量摘要分析及查询等功能。</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8、支持云存储系统可视化，视频按天 统计写入量、图片和文件按天统计写入个数与容量、云存储系统容量（总容量、已用容量、剩余容量）、设备数量等信息，统计信息支持以RESTful协议对接。</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▲9、支持图片数据在SSD盘中存储，实现热数据从SSD中高速提取，实现即存即取，且图片数据可设置按周期或容量进行覆盖。</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10、云存储系统支持分域管理，当单个域中设备接入到同一个交换机时，可实现数据流分域控制管理，域内业务不受其他域影响。</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11、支持SAN/NAS文件以Restfull协议方式访问，支持每个文件写入后索引在多节点间异步同步，提取文件的URL可回调到应用平台服务器。</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12、支持回收站功能，防止数据误删，支持回收时间配置，支持录像完整率检测、监控点在线状态检测、硬盘状态检测，支持报警联动短信和邮件实现无人值守，支持≥50条/秒报警，支持配置≥30个用户接收报警信息，支持录像巡检功能，可显示秒级录像缺失结果。</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13、支持云存储容量自动检测功能，支持当前云存储容量不足时视频录像可根据策略自动切换到其它云存储中进行存储。</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14、支持对频繁上报的同一个告警信息进行分析过滤，经过告警分析规则的过滤后，支持在指定时间后再一次上报到运维平台，支持两朵云的数据灾备，可通过同一图片、对象的URL对主、备云上的数据进行访问，客户端无感，支持图片云间灾备，图片在主备云中URL一致，实现图片无缝提取。</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15、支持在运维监测功能页面显示存储硬盘的健康状态，便于存储硬盘的生命周期管理。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云存储管理服务模块</w:t>
            </w:r>
          </w:p>
          <w:p>
            <w:pPr>
              <w:widowControl/>
              <w:jc w:val="center"/>
              <w:rPr>
                <w:rFonts w:hint="eastAsia" w:asciiTheme="minorEastAsia" w:hAnsiTheme="minorEastAsia" w:eastAsiaTheme="minorEastAsia" w:cstheme="minorEastAsia"/>
                <w:kern w:val="0"/>
                <w:szCs w:val="21"/>
                <w:highlight w:val="none"/>
              </w:rPr>
            </w:pPr>
          </w:p>
        </w:tc>
        <w:tc>
          <w:tcPr>
            <w:tcW w:w="834" w:type="dxa"/>
            <w:gridSpan w:val="2"/>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66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tcPr>
          <w:p>
            <w:pPr>
              <w:widowControl/>
              <w:spacing w:line="360" w:lineRule="auto"/>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1、支持对管理节点和存储节点的硬件信息、云服务进程、服务软件版本、磁盘信息、系统容量进行实时监控，并对存储节点的风扇、温度、块设备信息进行实时监控。</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2、支持视频点位监控录像出现异常时及时告警，设备支持以分钟为精度对录像完整性监控。</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3、支持当前云存储容量不足时视频录像可根据策略自动切换到其它云存储中进行存储。</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4、支持文件的基本操作，支持单个或批量进行设置或查询文件属性。</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5、支持在管理节点全部故障、存储节点出现批量故障时，只要存在一台有效的存储，业务就不会中断。</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6、支持实时录像路数、录像回放路数、录像下载路数统计及展示。</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7、支持按毫秒级自定义时间段进行视频精准检索、回放、下载。</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8、硬件性能配置不低于：</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64位CPU，核数≧12/32GB ECC内存/3颗SSD硬盘/热插拔/以太网口1Gx2/冗余电源/2U。</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9、操作系统：CentOS7 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（四）、网络及安全系统建设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Cs w:val="21"/>
                <w:highlight w:val="none"/>
              </w:rPr>
              <w:t>（1）网络系统建设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核心交换机</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1、交换容量≥236Tbps，包转发率≥72000M。</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2、静态路由、RIP v1/2、OSPF、BGP、策略路由等IPv4特性,IPv6静态路由、RIPng、OSPFv3、BGP4+、IPv4向IPv6过渡隧道技术等。</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3、VLAN、STP、RSTP、MSTP、QinQ、灵活QinQ、Vlan mapping、全双工流控、背压式流控、链路聚合、跨板链路聚合、跨板端口/流镜像、端口广播/多播/未知单播风暴抑制、Jumbo Frame、基于端口、协议、子网和MAC的VLAN划分、PVLAN、GVRP、CoS优先级。</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4、支持L3 MPLS VPN、VPLS、VLL、分层VPLS、QinQ+VPLS接入、P/PE、LDP、MPLS OAM等。</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5、支持多虚一虚拟化技术，支持一虚多虚拟化技术，支持纵向虚拟化技术</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6、为了简化管理，可以根据应用层协议特征定义业务流，并按需指定流量经过的物理/逻辑业务模块。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12" w:type="dxa"/>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汇聚交换机</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20个10/100/1000Base-T以太网端口及以上,4个及以上万兆SFP+,交流供电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光模块</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20</w:t>
            </w:r>
          </w:p>
        </w:tc>
        <w:tc>
          <w:tcPr>
            <w:tcW w:w="662"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SFP光模块,多模,(850nm,0.3km,LC)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jc w:val="lef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bCs/>
                <w:kern w:val="0"/>
                <w:szCs w:val="21"/>
                <w:highlight w:val="none"/>
              </w:rPr>
              <w:t>（2）网络及安全系统建设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防火墙</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▲1、2U设备，配置≥6个10/100/1000M自适应电口，≥4个千兆光口（含4个千兆多模光口模块），≥4个万兆光口（含4个万兆多模光口模块），提供不少于128 SSD固态硬盘，双电源；含3年硬件质保和全功能模块升级服务；</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2、防火墙吞吐量≥26Gbps，并发连接数≥400，每秒新建连接数≥28万/秒，含应用控制、URL过滤、病毒防护、入侵防御、威胁情报检测功能模块；</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3、产品支持路由、透明、交换以及混合模式接入，满足复杂应用环境的接入需求；支持3G接入，可实现3G及有线链路之间的互为备份；</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4、支持基于IPv4/v6地址、应用的会话限制，限制动作包每IP新建、每IP并发、所有IP新建、所有IP并发，且可以基于安全域指定限制方向；</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5、支持防御IP地址欺骗，可将IP与安全域关联，即指定IP或网段从特定安全域流量流入，否则视为IP地址欺骗；</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6、支持在IPv6环境下配置安全策略、SSL解密策略等规则，实现漏洞防护、间谍软件防护、URL过滤、反病毒、内容过滤、文件过滤、邮件过滤、行为管控及带宽管理；</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7、支持MPLS流量透传；支持针对MPLS流量的安全审查，包括漏洞防护、反病毒、间谍软件防护、内容过滤、URL过滤、基于终端状态访问控制等安全防护功能；</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8、支持基于源安全域、目的安全域、源用户、源地址/地区、目的地址/地区、服务、应用、隧道、时间、VLAN等多种方式进行访问控制；</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9、支持冗余策略分析功能，系统可自动检测别列出与某一策略存在冗余关系的其他策略；</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10、支持虚拟防火墙功能，支持在虚系统内进行病毒防护、漏洞利用防护、间谍软件防护、URL过滤、文件过滤、内容过滤、邮件过滤、行为管控等安全功能。并可支持对本虚系统内产生的日志进行独立审计；</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11、支持与云端联动，实现病毒云查杀、URL云识别、应用云识别、云沙箱等功能。通过安全云系统提升识别库数量级，补充本地识别库，并加快防火墙对威胁的识别速度；</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12、支持面板下的异常、威胁、重点关注监控、接口信息、系统信息、内容日志、威胁日志、URl过滤日志、邮件过滤日志、并发连接数；</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13、支持实现HTTP、FTP、POP3、SMTP、IMAP、SMB六种应用协议的双向内容过滤，支持预定义敏感信息库及自定义敏感信息库两种方式进行敏感信息定义，支持阻断及日志两种处理动作；</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漏洞防护特征库要求包含高危漏洞攻击特征，至少包括“永恒之蓝”、“震网三代”、“暗云3”、“Struts”、“Struts2”、“Xshell后门代码”以及对应的攻击的名称、CVEID、CNNVDID、严重性、影响的平台、类型、描述等详细信息；</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支持自定义漏洞签名。可标识自定义漏洞的CVE编号或CNNVD编号。支持自定义基于TCP、UDP、HTTP协议的漏洞，并根据各协议的报文结构，指定一个或多个字段的特征值，这些特征值可以被以文本的形式或正则表达式的形式进行匹配，同时支持是否按顺序对这些特征值进行匹配检测。支持自定义漏洞的源端口范围及目的端口范围；</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▲16、支持与防病毒系统或终端安全管理系统进行联动，增强防火墙对应用特征及木马特征的识别（需提供功能界面截图）；</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17、支持基于受害主机的一键式阻断链接、记录日志等处置动作，处置周期至少包括1天、7天、30天、90天、永久等；</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18、支持在单条策略中启用病毒防护、入侵防御、网址过滤、文件过滤、文件内容过滤等安全功能选项；</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19、基于源目地址、源目端口、协议、域名、URL多维度的一键式快速运维处置；</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20. 日志支持模糊搜索和按精确策略条件搜索，协助定位异常行为，并通过带条件跳转实现指定行为在分析中心中的关联活动展示，确认异常行为是否具有威胁；</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21、支持基于网络活动，威胁活动、阻止活动等多维关联统计及分析，发现异常行为；</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★22、产品具备国家信息安全测评中心信息技术产品安全测评证书（EAL4+）；</w:t>
            </w:r>
          </w:p>
          <w:p>
            <w:pPr>
              <w:widowControl/>
              <w:jc w:val="left"/>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★23、产品具备国家信息安全测评中心自主原创产品测评证书。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日志审计</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▲1、标准1U机架式设备，配置≥6个10/100/1000M Base-T自适应电口，≥2个扩展槽，带1个Console口，≥4TB磁盘存储空间，单电源，包括125个日志审计节点许可，含3年硬件质保和软件升级服务；</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2、事件采集≥10000EPS，事件关联分析≥3000EPS；</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3、能够对企业和组织的IT资源中构成业务信息系统的各种网络设备、安全设备、安全系统、主机操作系统、虚拟化、云计算、数据库、中间件以及各种应用系统的日志、事件、告警等安全信息进行全面的审计；</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4、支持通过syslog、SNMP Trap、JDBC、Agent代理、WMI、(S)FTP、NetBIOS、文件\文件夹读取、Kafka等多种方式完成各种日志的收集功能（需提供功能界面截图）；</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5、能够将资产按照多种维度进行分组、分域管理，如地理位置、组织结构、业务系统等，提供便捷的添加、修改、删除、查询与统计功能；</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支持资产信息的批量导入和导出，便于安全管理和系统管理人员能方便地查找所需设备资产的信息，并对资产进行CIA赋值，自动计算资产价值，设置等保等级；在资产管理界面可查看每个资产的属性信息，情境信息，本身产生的事件信息、关联告警信息；</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7、支持对资产IP地址的地理信息进行管理，支持单个IP、IP段设置行政区及经纬度，支持地图显示；</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8、支持自定义资产类型及资产属性；支持对资产自定义标签，支持对标签内容进行查询和管理；</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9、支持对资产日志进行过滤，设置允许接收和拒绝接收日志，并可以对资产设置一定时间范围内未收到事件后进行主动告警；</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10、日志收集后进行字段和安全等级的归一化处理，系统归一化字段不少于95个字段,并支持动态扩展，扩展数量不限，扩展字段与原始字段具有相同功能，可参与统计分析、关联分析、报表生成等；</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11、系统可自动识别收集的日志并自动选择范化策略，也可由人工设置设备的范化策略。针对匹配的多条范化策略，系统支持用户手工设置策略匹配优先级，保证最佳范化策略匹配；</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系统具备全文检索的大数据处理能力，能够对事件进行非格式化的文本式处理，可将原始信息进行自动索引，快速搜索分析各类安全事件。系统提供即席查询功能，支持归一化字段及关键字搜索，从海量事件原始信息中获取与关键字匹配或部分匹配的所有事件。系统支持基于正则表达式的检索功能，用户可在搜索栏内输入正则表达式，系统可搜索出原始信息中与正则表达式相匹配的所有事件；</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13、系统支持在线查询，支持嵌套查询，可针对查询结果任意回退，收敛事件范围；查询结果可支持加密导出；</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14、系统具备丰富的事件可视化展示能力，具备多种展现手段，至少包括数值、动态事件移动图、事件统计图、饼状图、柱状图、堆积图、折线图、面积图、列表、地图等等；</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15、可以以图形化的方式形象的展示一段时间内的日志中IP节点之间的访问行为和关系；</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▲16、采用机器学习对原始日志进行聚类分析，能够对原始日志结构模式进行自动识别(无须范化)，使审计人员清晰了解采集的日志构成（需提供功能界面截图）；</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17、系统内置仪表板至少包括日志源事件分析仪表板，Windows事件分析仪表板，网络设备分析仪表板，防火墙事件总览分析仪表板，WEB事件总览分析仪表板，FTP服务器日志分析等；</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18、提供基于图形化方式的规则编辑器，能够对规则进行各种编辑和自定义，规则可实时启用和停用；</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19、提供丰富的报表管理功能，预定义了针对各类服务器、网络设备、防火墙、入侵检测系统、防病毒系统、终端安全管理系统、数据库、策略变更、流量，设备事件趋势以及总体报表，满足等保等其他合规性要求；根据时间、数据类型等生成报表，提供打印、导出以及邮件送达等服务；直观地为管理员提供决策和分析的数据基础，帮助管理员掌握网络及业务系统的状况。报表可以保存为html，excel，pdf等多种格式；</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20、系统支持提供安全运维报告，帮助运维人员快速生成日常日志分析和运维报告；</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21、支持按周期的方式选择备份，支持原始日志与分析后日志分离，支持历史日志恢复导入；</w:t>
            </w:r>
          </w:p>
          <w:p>
            <w:pPr>
              <w:widowControl/>
              <w:jc w:val="left"/>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★22、产品具有中国信息安全测评中心颁发的《信息技术产品安全测评证书（EAL3+）》。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终端安全准入系统</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控制中心：采用B/S架构，可在同一管理平台集中管理所有引擎，支持设备分组，权限管理，漫游管理、策略统一下发、统一认证，统一升级等操作，实现分布式部署、集中管理。客户端配置1040个准入授权。含三年维保升级服务。</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配套提供1台视频准入控制引擎，具备针对视频专网视频终端发现、视频终端准入、视频终端被仿冒识别、视频终端私接防护等功能，整机最大支持3000路高清码流。配置≥2个千兆电口，≥4千兆电口卡，≥4个扩展槽，≥2TB SATA硬盘，双电源；</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3、支持策略路由，透明网桥，旁路部署，无客户端、有客户端的部署等模式；</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 xml:space="preserve">4、支持设备性能及高可用情况监测，支持CPU、内存、系统盘、控制中心连接、bypass、SNMP服务、HA双机热备状态的检测，实时监控设备性能及高可用状态； </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5、通过快速扫描方法，实现对网络中终端数量和类型的分类统计，能够识别网内终端的设备类型，可识别包括计算机、网络设备、服务器、移动终端、Mac OS、IP电话、PDA、打印机、摄像机等终端类型，支持自动分类和手动自定义所属类型；</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6、使用视频协议对网内视频终端进行盘点，能够准确获取各类网络视频摄像机厂商及型号，能够准确区分网络视频摄像机及网络视频录像机（NVR）;</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7、视频终端厂商及型号信息获取不依赖于mac识别库，不依赖于snmp协议，跨三层网络场景下能够准确识别视频终端厂商及型号;</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8、能监听网络内终端设备的变更事件，记录网络内终端操作系统变更、端口变更、名称变更、类型变更等详细信息。</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▲9、支持仿冒终端发现处置，能够及时发现仿冒视频终端IP、MAC接入视频网的行为，产生告警信息并阻断仿冒终端入网（需提供功能界面截图）;</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10、支持指纹库管理，对于未识别成功的终端，可通过人工录入指纹的方式修正终端信息扫描结果，支持指纹库的外部导入及备份；</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11、支持可网管型交换机信息的图形化展示，通过面板的形式详尽展现了交换机型号信息、交换机的端口数、各接口状态以及各接口下联的终端详细信息，方便管理员掌握全网终端、网络设备信息。</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12、图形化展示网络拓扑，直观地展示摄像头、IPC、NVR、终端分布；以会话和矩阵的形式展现终端网络行为，直观表述终端在网络中的行为特征；</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▲13、支持基于摄像头唯一标识符UUID的自动审核入网策略，入网设备IP绑定MAC、操作系统、UUID，摄像头被仿冒后第一时间发现和阻断（需提供功能界面截图）;</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14、绑定终端接入交换机位置，限制终端只能从可信端口接入或无法从指定空闲端口接入，终端接入位置发生变化时告警。</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对入网终端使用的网络协议进行控制，只允许入网视频设备使用特定的视频传输协议及控制信令，支持市场主流摄像头厂商的私有视频传输协议及控制信令，支持GB/T28181国标视频传输协议及控制信令的协议控制。</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16、能检查终端外在静态指纹特征，支持多种特征维度，支持DHCP动态IP下的设备仿冒检查，支持PC之间的仿冒发现和同摄像头类型间的替换发现。</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17、支持与防病毒终端联动能力，支持大面积自动化部署防病毒客户端，保证客户端的安装覆盖率，防止卸载，规范终端入网流程，保障终端入网的安全可信。</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18、能检查终端发送与接收数据占用带宽的情况，判断是否满足上行与下行带宽的安全要求，能检查视频终端等一类流量稳定终端流量因带宽不足导致的传输率下降场景，能检查终端通讯的应用协议，判断是否满足白名单与黑名单的安全要求。</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19、能检查终端是否发生网中网（NAT）行为，判断是否满足网中网的安全要求；</w:t>
            </w:r>
          </w:p>
          <w:p>
            <w:pPr>
              <w:widowControl/>
              <w:jc w:val="left"/>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20、支持健康合规检查策略，采用动态检测技术，需支持多种检查机制，至少支持入网检查、定时检查、周期检查机制，针对接入内部网络的计算机终端实行多种安全检查策略，支持分组策略下发控制，拦截不安全终端接入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服务器杀毒软件</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1、控制中心：采用B/S架构管理端，具备设备分组管理、策略制定下发、全网健康状况监测、统一杀毒以及各种报表和查询等功能。</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2、配置10台Linux服务器、1台Windows服务器节点三年防病毒功能授权；</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3、服务器客户端支持安装:Windows Server 2003_SP2/Windows Server 2008/Windows Server 2012/SUSE Linux/Red Hat Linux。</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4、支持文件与目录自定义黑白名单的方式来管理全网终端的文件；</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5、支持漏洞利用防御，尤其对通过文件漏洞（尤其是0day漏洞）的攻击行为进行有效检测与防御；</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▲6、支持正版软件的正版序列号的读取功能，确保软件正版化（需提供功能界面截图）；</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7、支持网页访问部署、离线安装包部署、域推送等部署方式，可自定义部署通知邮件及部署通知公告；</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8、文件被加入白名单，客户端不再查杀，加入黑名单，客户端不可执行此文件；</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9、支持通过数字签名或者文件名的方式分别显示文件，方便管理员管理全网终端上报的文件；</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10、支持文件解压缩病毒查杀，支持对zip、rar、7z等多种格式的压缩文件查杀能力；</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▲11、对敲诈者病毒提供防护机制，同时提供解密工具，解密工具应为自主研发（需提供功能界面截图）；</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12、支持与防火墙等网关产品联动，达到网关边界联动防御效果；</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 建立统一病毒管理中心，准确掌握全局病毒情况，对全网计算机病毒情况进行统一和精细化的管控，确保对最新病毒的查杀能力；能够与市局视频专网防病毒控制中心级联管理，实现升级、状态同步；</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★14、产品具有中国信息安全测评中心信息技术产品安全测评证书EAL2。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b/>
                <w:bCs/>
                <w:kern w:val="0"/>
                <w:sz w:val="24"/>
                <w:highlight w:val="none"/>
              </w:rPr>
              <w:t>（五）、交通信号控制系统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道路交通信号控制机</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17</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tcPr>
          <w:p>
            <w:pPr>
              <w:widowControl/>
              <w:spacing w:line="360" w:lineRule="auto"/>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1、信号机应满足NTCIP通讯协议的体系结构，对NTCIP协议通讯方式的主要协议提供支持。</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2、支持接入电子警察，实时接收电子警察采集到的到达离开时间、车型、车牌、统计车道级和转向级交通流量数据，并应用于信号机协调控制。</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3、支持接入视频车检器并接收数据，可按固定间隔或信控周期获取每个车道的流量、平均车速、平均车头时距、时间占有率、排队长度数据。</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4、支持无缆线绿波协调控制功能，可利用信号机自身的时钟、通过设定相位差实现不同路口之间的离线协调，且支持自动按照时间段切换协调方案。</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5、支持自适应感应控制功能，在自适应感应控制方案中，动态调整最大绿时长，支持通过平台软件图形化配置路口方案、检测器、信号灯连接关系、配时方案与时段信息等。</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6、支持公交车辆优先功能，可接入RFID设备并检测相应的公交车辆，当公交车接近路口时信号机通过红灯早断、绿灯延长、插入相位的方式执行公交优先，支持用户自定义优先方式</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7、支持潮汐车道控制功能，按参数配置（执行时段、潮汐车道通行方向、清空时间）完成潮汐车道方向定时切换，支持人工实时切换方案，支持进行潮汐车道状态监控。</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8、支持≥16主相位+≥16跟随相位，支持≥40路灯控输出，设备包含：控制主机、配电单元、机柜、无线遥控器、GPS。</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9、支持≥1个RJ45接口，≥1个RS232接口，≥2个RS485接口，≥1个USB接口。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直行箭头灯</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tcPr>
          <w:p>
            <w:pPr>
              <w:widowControl/>
              <w:spacing w:line="360" w:lineRule="auto"/>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1、直行箭头灯：横装。</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2、包含：灯具、帽檐、装饰边、横连杆抱箍（直径：180mm）。</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3、产品尺寸：1380mm×455mm×130mm（铝壳灯体）。</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4、面罩规格：φ400mm。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5、面罩材质：玻璃。</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6、外壳材质：铝压铸。</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7、表面处理：黑色喷塑哑光。</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8、LED数量：红90个，黄90个，绿90个。</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9、LED波长：红：625nm；黄：590nm；绿：505nm。</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10、LED直径：φ5mm。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11、单管电流：＜18mA。</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12、LED寿命：≥70000小时。</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13、绝缘电阻：≥500MΩ。</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14、介电强度：≥1440V。</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15、中心亮度：5000 ~15000 cd/m2。</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16、可视距离：＞450m。</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17、可视角度：＞30°。</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18、工作电压：AC 220V±44V，50HZ。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19、功率：功率≤20W。</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20、工作温度：-40 ~ +80℃。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21、相对湿度：≤93%。</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22、防护等级：IP53。</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23、重量：29kg。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左转箭头灯</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38</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tcPr>
          <w:p>
            <w:pPr>
              <w:widowControl/>
              <w:spacing w:line="360" w:lineRule="auto"/>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 xml:space="preserve">1、左转箭头灯：横装。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2、包含：灯具、帽檐、装饰边、横连杆抱箍（直径：114mm）。</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3、产品尺寸：1380mm×455mm×130mm（铝壳灯体）。</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4、面罩规格：φ400mm。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5、面罩材质：玻璃。</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6、外壳材质：铝压铸。</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7、表面处理：黑色喷塑哑光。</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8、LED数量：红90个，黄90个，绿90个。</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9、LED波长：红：625nm；黄：590nm；绿：505nm。</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10、LED直径：φ5mm。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11、单管电流：＜18mA。</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12、LED寿命：≥70000小时。</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13、绝缘电阻：≥500MΩ。</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14、介电强度：≥1440V。</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15、中心亮度：5000 ~15000 cd/m2。</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16、可视距离：＞450m。</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17、可视角度：＞30°。</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18、工作电压：AC 220V±44V，50HZ。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19、功率：≤20W。</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20、工作温度：-40 ~ +80℃。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21、相对湿度：≤93%。</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22、防护等级：IP53。</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23、重量：29kg。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双8通讯式倒计时器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tcPr>
          <w:p>
            <w:pPr>
              <w:widowControl/>
              <w:spacing w:line="360" w:lineRule="auto"/>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 xml:space="preserve">1、七线制双8通讯式倒计时器。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2、包含：灯具、帽檐、装饰边、横连杆抱箍（直径：140mm）。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3、面罩规格：800mm×600mm×420mm（带帽檐）。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4、产品尺寸：770mm×581mm×120mm。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5、数字尺寸：500mm×260mm。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6、计时方式：跟随/触发/RS485通信。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7、显示数值：红99~1；绿99~1；黄9~1。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8、面罩材质：PC。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9、外壳材质：铝、黑色喷塑。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10、LED数量：红420个，黄210个，绿420个。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11、LED波长：红：625nm；黄：590nm；绿：505nm。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12、LED直径：φ5mm。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13、单管电流：＜18mA。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14、LED寿命：≥70000小时。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15、中心亮度：红＞5000 cd/m2；黄＞5000 cd/m2；绿＞5000 cd/m2。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16、可视距离：＞500m。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17、可视角度：＞30°。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18、工作电压：AC 220V±44V，50HZ。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19、功率：≤25W。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20、工作温度：-40 ~ +80℃。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21、相对湿度：≤93%。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22、防护等级：IP53。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23、重量：13kg。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双8静态倒计时人行灯</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tcPr>
          <w:p>
            <w:pPr>
              <w:widowControl/>
              <w:spacing w:line="360" w:lineRule="auto"/>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1、双8静态人行灯：竖装。</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2、包含：灯具、帽檐、装饰边、横连杆抱箍（直径：89mm）。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3、产品尺寸：1065mm×350mm×120mm（铝壳灯体）。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4、面罩规格：φ300mm。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5、面罩材质：玻璃。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6、外壳材质：铝压铸。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7、表面处理：黑色喷塑哑光。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8、LED数量：红60，绿56；倒计时：红140，绿140。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9、LED波长：红：625nm；绿：505nm。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10、LED直径：φ5mm。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11、单管电流：＜18mA。</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12、LED寿命：≥70000小时。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13、绝缘电阻：≥500MΩ。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14、介电强度：≥1440V。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15、中心光强：150~400 cd。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16、可视距离：＞300m。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17、可视角度：＞30°。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18、工作电压：AC 220V±44V，50HZ。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19、功率：功率≤15W。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20、工作温度：-40 ~ +80℃。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21、相对湿度：≤93%。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22、防护等级：IP53。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23、重量：19kg。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（六）、电子警察抓拍系统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300万环保型智能化电警抓拍单元</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▲1、分辨率≥2048*1536，须是一体化设备，包含摄像机、高清镜头、室外防护罩、内置补光灯、风扇、电源适配器、安装万向节等。</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2、视频帧率支持在1～50fps可调，视频压缩支持H.265、H.264、M-JPEG。</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★3、设备内置两个图像传感器，可分别输出黑白及彩色图像，设备可对视频图像和抓拍图片进行融合输出，爆闪灯支持白天、夜晚两种模式，支持配置时间自动切换日夜模式，白天为白光，夜晚为红外。</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4、支持流量整形、曝光补偿、OSD颜色自定义、自动开启补光设备、信息发布、断电保护、区域曝光、IP地址过滤等功能。</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5、支持车窗区域增强功能的开启和关闭，识别到车牌后，可以提升车窗区域图像通透性。</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6、采用≥1/1.8英寸GMOS图像传感器，亮度（灰度）鉴别等级不低于12级。</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设备支持人脸区域自动曝光，可根据人脸区域和光照变化自动调节人脸区域曝光参数，可通过IE浏览器设置人脸自动曝光的参考亮度、最短持续时间和人脸过滤时间，支持摩托车闯红灯、不按导向、闯禁令等违法行为抓拍。</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支持识别车头≥6600种车辆子品牌，车尾≥3600种车辆子品牌，在天气晴朗无雾，号牌无遮挡、无污损，白天环境光照度不低于200lx，晚上辅助光照度不高于30lx的条件下测试，白天识别准确率均98%，白晚上的识别准确率均≥96%。</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9、支持异常车牌检测功能，可对故意遮挡及污损车牌进行判断和识别。</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10、支持时间和车牌号自定义组合规则进行限行，支持对非机动车越线停车等检测抓拍。</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11、在IE浏览器下，应具有白平衡模式设置选项并可对≥10种白平衡模式进行选择。</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12、开启混合抓拍模式后，设备可同时对行人、非机动车、机动车进行检测、跟踪及抓拍，可支持人脸、车牌的抠图及车牌与车辆的关联显示，支持检测区域内车辆驶入驶离，停车时长检测功能。</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13、支持对设定区域内的天窗开启露出人部分身体、未交替让行、双车挤入单车道等行为进行图片抓拍。</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14、支持人脸特征识别功能，可识别主驾驶员男女功能白天准确率≥95% ，晚上准确率≥95%。</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15、设备可检测并抓拍喜、怒、哀、乐四种表情的人脸，可对监视画面汇总不小于40个人脸进行检测、跟踪和抓拍，并可将抓拍图片上传服务器 。</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16、设备可对视频画面中高度超过设定阈值的车辆进行检测并抓拍图片。</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17、工作温度支持﹣30℃～70℃，外壳防护等级应不低于IP65。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900万环保型智能化电警抓拍单元</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▲1、支持分辨率≥900万，采用不小于1英寸GMOS图像传感器，须是一体化设备，包含高清一体化嵌入式摄像机、高清镜头、室外防护罩、相机内置网络信号防雷器、电源适配器等。</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★2、设备内置两个图像传感器，可分别输出黑白及彩色图像，设备可对视频图像和抓拍图片进行融合输出，爆闪灯支持白天、夜晚两种模式，支持配置时间自动切换日夜模式，白天为白光，夜晚为红外。</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▲3、最大图像尺寸≥4096×2160像素，支持最低照度彩色≤0.0003Lux  黑色≤0.0001Lux，视频帧率支持在1～25fps之间调整。</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4、支持主码流同时输出不少于30路4096×2160像素、2Mbps的25帧/s图像以提供客户端浏览。</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★5、支持安全接入功能，设备开启安全接入功能后，只能被管理平台控制，不能通过其他方式登录或者控制设备，设备护罩支持后端开启方式。</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6、支持对设定区域内的机动车、非机动车是否悬挂车牌的情况进行检测并显示。</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7、支持闯红灯抓拍功能，在天气晴朗无雾，号牌无遮挡、无污损，白天环境光照度不低于200lx，晚上辅助光照度不高于30lx的条件下测试，白天和晚上闯红灯的捕获率均≥99%。</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8、支持事故检测功能且可上传设备位置信息及事故图片，事故包括两车相撞、多车相撞、人车相撞、非机动车与机动车相撞。</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支持多拍过滤功能，可设置多拍过滤时间段为0～320000ms，在此时间段内多次经过的车辆只抓拍一次，支持连续闯红灯事件检测功能，对某一时间段内连续多辆车闯红灯事件进行检测，并自动上传报警信息。支持违法视频存储功能，可根据抓拍图片关联查看违法视频片段。</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10、支持对机动车、非机动车和行人自动区分，区分准确率≥99.5%。</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11、可识别≥12种车身颜色，包括：红、黄、蓝、绿、青、橙、紫、粉、棕、白、黑、灰（银）等，准确率≥98%。</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12、可通过IE浏览器对布防时段进行设置，可设置≥8个布防时段。</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13、支持摩托车闯红灯、不按导向、闯禁令等违法行为抓拍，支持非机动车不戴头盔、载人、逆行、闯红灯等检测抓拍。</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14、可对经过设定区域内的机动车、非机动车是否悬挂车牌的情况进行检测并显示。</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15、支持识别车头≥6580种车辆子品牌，车尾≥3600种车辆子品牌，支持车辆子品牌白天识别准确率≥98%，晚上识别准确率≥96%。</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16、支持车牌黑名单设置，可设置≥4200条黑名单，支持本地存储，支持TF 卡存储，容量支持≥64GB。</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17、通讯接口：≥2个RJ45网络接口，≥3个RS485接口，≥1个RS232接口。</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18、电源电压在不小于220VAC±20%范围内变化时，设备能正常工作，功耗＜20W。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900万环保车辆人脸卡口抓拍单元</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166</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▲1、支持像素≥900万，须为一体化设备，包含高清一体化嵌入式摄像机、高清镜头、室外防护罩、电源适配器等。</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2、支持H.265、H.264、M-JPEG视频压缩，视频帧率在1～25fps内可调。</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3、内置不低于两个图像传感器，可分别输出黑白及彩色图像，可对视频图像和抓拍图片进行融合输出，支持去玻技术。</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▲4、设备的镜头和不低于两个sensor一体化设计，具有独立三角分光棱镜分光结构装置，分别接收可见光和红外光。</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★5、支持同时预览不低于两路sensor视频，设备场景中放置红外LED常亮灯，朝向摄像机镜头，可见光路视频图像中补光灯灯珠完全无光，同时红外路视频图像补光灯可清晰看到灯珠亮光。</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6、支持主码流同时输出不少于30路4096×2160像素、2Mbps的25帧/s图像以提供客户端浏览。</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7、支持通过视频监控自动识别道路当前环境状态（包含无雾、薄雾、大雾、浓雾），并依据当前道路环境状态自动变更限速值。</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支持对行人和非机动车的人脸进行检测与抠图，高像素状态下，抓拍人脸像素点约为150×150，可对人脸抠图的像素大小、亮度、边框放大倍数进行调节，抠图准确率≥99%，支持正向/背向行驶车辆抓拍，车辆检测绿框可跟随移动，支持抓拍优选功能，优选状态下上报最优抓图。</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9、支持车前窗挂坠、年检标识、抽烟、驾驶员人脸识别、驾驶室人脸抠图、遮阳板识别等检测功能。</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10、单车道场景下，主副驾驶员人脸抠图像素点≥120像素点×120像素点。</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11、可通过IE浏览器对布防时段进行设置，可设置≥8个布防时段。</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12、支持安全接入功能，设备开启安全接入功能后，只能被管理平台控制，不能通过其他方式登录或者控制设备。</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13、支持人脸区域自动曝光，可根据人脸区域和光照变化自动调节人脸区域曝光参数。</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14、支持通过IE浏览器设置人脸自动曝光的参考亮度、最短持续时间和人脸过滤时间。</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15、可识别≥340种机动车品牌标志，白天识别准确率≥99%，夜晚识别准确率≥99%。</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16、支持固定OSD叠加功能，叠加日期时间信息，≥3种字体可选，OSD像素0～2048pixel可调，支持在屏幕左上、左中、左下、中上、中下、右上、右中、右下位置进行叠加，位置可调，叠加字体大小不受视频主、副码流影响，支持除固定OSD叠加外，还可叠加设备点位标注的独立OSD、以及设备调试状态的滚动OSD。</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17、支持≥30种车型识别，支持异常车牌检测功能，可对故意遮挡及污损车牌进行判断和识别。</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18、开启混合抓拍模式后，支持正面/侧面/背面行人的抓拍，支持对骑自行车/三轮车/电动车、踩平衡车、骑车带人等非机动车的抓拍，支持对轿车、客车、面包车、货车、卡车、摩托车等机动车的抓拍。</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19、支持录像文件篡改提升功能，当录像文件被篡改后，可通过专用播放软件提出提示信息。</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20、支持工作电压范围：100VAC～240VAC，频率范围：48Hz～52Hz。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64G存储卡</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260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张</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存储容量≥64GB，TF卡。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白光红外爆闪灯</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266</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1、单车道气体红外白光爆闪一体灯，最小连闪时间≤65ms。</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2、光斑覆盖范围可调节，可覆盖1～2条车道。</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3、闪光亮度1～20级可调，可通过RS485设置。</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4、有效补光距离范围不小于18-28m。</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5、支持白天和夜晚用光转换（白光和红外），搭配环保车辆人脸卡口抓拍单元，可看清前排司乘人员面部特征，有效解决夜间光污染。</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6、电源（a.c.）引入端子与外壳裸露金属部件之间的绝缘电阻在正常大气条件下应≥10MΩ，接触电阻≤0.5MΩ。</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7、回电时间应≤50ms，防护等级≥IP65。</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8、在-30℃~70℃温度范围内均能正常工作。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环境补光灯</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支</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1、≥16颗原装大功率LED常亮灯。</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2、支持通过同步输出端口级联。</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3、补光灯自带光敏控制，在低照度下自动开启，低照度阀值可设。</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4、支持自闪、跟随、自动频闪（外部摄像机触发）模式，频率0-250HZ可调，支持通过调整占空比1%～39%进行亮度调节。</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5、支持通过RS485远程控制补光灯的亮度、开启/关闭。</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6、支持爆闪功能，爆闪持续时间、延迟时间及最小间隔时间可设。</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7、可远程显示补光灯故障、正常、开启、关闭等工作状态。</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8、可通过RS485对补光灯升级程序。</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9、电源电压在不小于AC80V～260V范围内变化时，设备能正常工作。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视频车检单元</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1、支持分辨率≥1920*1080像素，帧率在1-50fps可调，采用不小于1/1.8" CMOS传感器。</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2、支持主码流同时输出≥30路1920*1080像素、2Mbps的25帧/s图像以提供客户端浏览。</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3、最低照度彩色≤0.02Lux，黑白≤0.002 Lux。</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4、支持无线接入设备，可通过wifi无线接入设备。</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5、可对检测区域内经过断面的车流量进行统计，白天的准确率为97%，夜间的准确率92%。</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6、支持对单车道的平均速度进行统计，经过检测区域的平均速度测量误差白天≤5%，晚上≤10%。</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7、监测范围为车流量方向 15m-200m。</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8、支持车头间距、车头时距、车道空间占有率、车道时间占用率、排队长度、交通状态和车辆类型等。</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9、支持内部网络交换功能，支持将串口设备和指定IP网络设备进行数据传输</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10、电源电压在AC85V-AC264V范围内变化时，设备能正常工作能正常工作。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全景摄像机</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▲1、采用≥400万像素 CMOS传感器，具有不小于1/1.8"靶面尺寸。</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▲2、最低照度彩色≤0.0002 lx，黑白≤0.0001 lx。</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★3、内置≥1颗GPU芯片，可对监控画面中出现的行人目标的正面、背面、侧面进行检测、持续框选提示、抓拍图片并存储至指定路径。</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4、宽动态能力不小于120dB。</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5、在分辨率1920x1080 @ 25fps，延时不大于70ms。</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6、支持四码流技术，主码流分辨率不小于2560x1440@25fps，子码流不小于704x576@25fps。</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7、可同时对监控画面中≥110个行人目标进行检测，并框选提示，天气晴朗无遮挡，行人面朝设备镜头指向方向前进，通过监控区域100人次，捕获行人数量应大于等于98人。</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8、同一静止场景相同图像质量下，设备在H.265编码方式时，开启智能编码功能和不开启智能编码相比，码率节约≥80%。</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9、支持检出两眼瞳距20像素点以上的人脸图片。</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10、支持单场景同时检出不少于30张人脸图片，并支持面部跟踪，人脸检出率不小于99%。</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11、支持捕获、识别新能源汽车专用号牌。</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★12、可对车头、车尾两个方向的车型进行识别并显示，可显示车头方向的≥25种车型，可显示车尾方向的≥4种车型。</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13、可识别≥11种车辆颜色，车辆车身颜色识别准确率不小于95%。</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14、支持人脸区域自动曝光功能，可根据外部不同场景和光照变化自动调节人脸区域曝光参数。</w:t>
            </w:r>
          </w:p>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15、同时支持DC12V和POE供电，且在不小于DC12V±30%范围内变化时可以正常工作。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红灯检测器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支持≥16路信号灯的检测能力, ≥16路对应指示灯，≥6个RS485输出接口。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终端服务器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1、支持嵌入式操作系统，内置≥1块3.5寸2T硬盘，支持≥4路IPC接入。</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2、双网卡，具有≥4个100M以太网接口及≥2个1000M网络接口。</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3、支持VGA输出，支持区间测速功能。</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4、支持录像存储，支持对通行车辆的信息存储。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抱杆机柜</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复合控制单元抱杆空机柜，含强电模板；</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尺寸：480mm×230mm×580mm；防护等级不低于IP55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落地机柜</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tcPr>
          <w:p>
            <w:pPr>
              <w:widowControl/>
              <w:spacing w:line="360" w:lineRule="auto"/>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1、落地：只包含强电模块。</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2、尺寸：600mm（宽）×800mm（高）×450mm（深）。</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3、防护等级IP55。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汇聚交换机</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1、千兆全网管二层交换机， ≥24个千兆电口，≥4个千兆光口。</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2、交换容量支持≥256Gbps，包转发率≥42Mpps。</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3、支持通过console口管理，支持LACP，支持手工聚合。</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4、支持IPv4和IPv6双协议栈，支持IGMP Snooping、支持快速离开。</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5、支持Pingv6、Telnetv6、FTPv6、TFTPv6、ICMPv6。</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6、支持L2～L4包过滤功能，提供基于源MAC地址、目的MAC地址、源IP地址、目的IP地址、TCP/UDP端口、VLAN等定义ACL。</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7、支持802.1p/DSCP优先级映射，支持优先级标记Mark/Remark。</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8、支持特有的ARP入侵检测功能，可有效防止黑客或攻击者通过ARP报文实施日趋盛行的“ARP欺骗攻击”。</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9、支持IP Source Guard特性，防止包括MAC欺骗、IP欺骗、MAC/IP欺骗在内的非法地址仿冒，以及DoS攻击。</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10、提供802.1X和MAC认证方式对接入的用户进行认证，支持客户端软件版本检测、Guest VLAN等功能。</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11、支持以太网OAM和CFD，可以有效提高对以太网的管理和维护能力。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接入交换机</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spacing w:line="360" w:lineRule="auto"/>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1、可用百兆电口数量≥8，千兆光电复用口≥2。</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2、交换容量≥64Gbps，转发性能≥4.2Mpps。</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3、支持基于端口的VLAN、支持GVRP。</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4、支持 Diff-Serv QoS、支持 802.1p/DSCP 优先级映射、支持队列调度机制、每个端口支持≥8个输出队列。</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5、丰富的安全特性，支持ARP入侵检测功能，支持 IP Source Guard 特性，防止包括 MAC 欺骗、IP 欺骗、MAC/IP 欺骗在内的非法地址仿冒，以及 DoS 攻击。</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6、支持端口限速以及流限速功能，防止恶意侵占网络带宽。</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7、采用专业的内置防雷技术，支持业界领先的 6KV 业务端口防雷能力，使其在比较恶劣的工作环境中也能极大的降低雷击对设备的损坏率。</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8、采用无风扇静音设计，大幅度降低设备的功耗以及故障率，同时降低辐射，达到家用电器的辐射标准，对人体无伤害。</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9、支持 SSL，保障数据传输安全，支持广播报文抑制。</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10、支持SNMP V1/V2/V3，支持通过telnet方式进行配置和管理，支持用户的分级分权控制，支持用户访问控制。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光纤收发器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tcPr>
          <w:p>
            <w:pPr>
              <w:widowControl/>
              <w:spacing w:line="360" w:lineRule="auto"/>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 xml:space="preserve">1、1口千兆光纤收发器工业导轨式发送机。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2、光口：1个千兆光口。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3、距离20公里。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 xml:space="preserve">4、FC口，单模单纤，波长：Tx1310 nm/Rx1550 nm，灵敏度：优于或相当于-21 dB。 </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5、单模单纤；电口：1个千兆网口；安装方式：工业导轨式。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光纤收发器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tcPr>
          <w:p>
            <w:pPr>
              <w:widowControl/>
              <w:spacing w:line="360" w:lineRule="auto"/>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1、1口千兆光纤收发器工业导轨式接收机。</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2、光口：1个千兆光口。</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3、距离20公里。</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4、FC口，单模单纤，波长：Tx1310 nm/Rx1550 nm，灵敏度：优于或相当于-21 dB。</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5、单模单纤；电口：1个千兆网口；安装方式：工业导轨式。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（七）、电子警察及反向卡口前端施工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稳压电源</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1、额定容量：2KVA。</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2、电压范围：120~275V。</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3、频率范围：46~64Hz   50/60HZ自适应 ，输入功因：&gt;0.99，输出 电压范围：220×（1±1%）VAC。</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4、电流峰值比：3：1，额定功率因数：0.8。</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5、超载能力：Load&lt;105%,长期运行;  105%&lt;Load≤125%&gt;1min;  125%&lt;Load≤150% &gt;30sec。</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6、效率：up to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超五类网线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箱</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超五类双绞线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室外光缆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15120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单模4芯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室外防水电缆（材料+施工）</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13200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RVV3*4mm</w:t>
            </w:r>
            <w:r>
              <w:rPr>
                <w:rFonts w:hint="eastAsia" w:asciiTheme="minorEastAsia" w:hAnsiTheme="minorEastAsia" w:eastAsiaTheme="minorEastAsia" w:cstheme="minorEastAsia"/>
                <w:kern w:val="0"/>
                <w:szCs w:val="21"/>
                <w:highlight w:val="none"/>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室外屏蔽双绞线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13200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RVSP2*1.0mm</w:t>
            </w:r>
            <w:r>
              <w:rPr>
                <w:rFonts w:hint="eastAsia" w:asciiTheme="minorEastAsia" w:hAnsiTheme="minorEastAsia" w:eastAsiaTheme="minorEastAsia" w:cstheme="minorEastAsia"/>
                <w:kern w:val="0"/>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室外防水电源线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8000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RVV3*1.0mm</w:t>
            </w:r>
            <w:r>
              <w:rPr>
                <w:rFonts w:hint="eastAsia" w:asciiTheme="minorEastAsia" w:hAnsiTheme="minorEastAsia" w:eastAsiaTheme="minorEastAsia" w:cstheme="minorEastAsia"/>
                <w:kern w:val="0"/>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室外防水电源线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6060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RVV2*1.0mm</w:t>
            </w:r>
            <w:r>
              <w:rPr>
                <w:rFonts w:hint="eastAsia" w:asciiTheme="minorEastAsia" w:hAnsiTheme="minorEastAsia" w:eastAsiaTheme="minorEastAsia" w:cstheme="minorEastAsia"/>
                <w:kern w:val="0"/>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T型6.5*16+5M八角杆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360mm，下口径460mm，厚度10mm热镀锌管（国标）；底座660mm，厚度25mm；离地2.5米处开直径60mm穿线孔;；横臂长度16+5米(横臂为正八边锥管，小口径130mm，大口径350mm，厚度6+5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地笼:12-M30*2米，中心距560，法兰660*8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T型6.5*15+5M八角杆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360mm，下口径460mm，厚度8mm热镀锌管（国标）；底座660mm，厚度25mm；离地2.5米处开直径60mm穿线孔;；横臂长度15+5米(横臂为正八边锥管，小口径130mm，大口径350mm，厚度6+4mm)，横臂长度5米(横臂为正八边锥管，小口径90mm，大口径150mm，厚度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地笼:12-M30*2米 中心距560  法兰660*8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T型6.5*14+5M八角杆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320mm，下口径420mm，厚度8mm热镀锌管（国标）；底座650mm，厚度20mm；离地2.5米处开直径60mm穿线孔;；横臂长度14+5米(横臂为正八边锥管，小口径110mm，大口径280mm，厚度6+4mm)，横臂长度5米(横臂为正八边锥管，小口径90mm，大口径150mm，厚度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地笼:8-M30*1.8米，中心距500，法兰600*6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T型6.5*13+6M八角杆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300mm，下口径380mm，厚度8mm热镀锌管（国标）；底座600mm，厚度20mm；离地2.5米处开直径60mm穿线孔;；横臂长度13米(横臂为正八边锥管，小口径110mm，大口径280mm，厚度6mm)，横臂长度6米(横臂为正八边锥管，小口径90mm，大口径180mm，厚度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地笼:8-M30*1.8米，中心距500，法兰600*6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T型6.5*13+5M八角杆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300mm，下口径380mm，厚度8mm热镀锌管（国标）；底座600mm，厚度20mm；离地2.5米处开直径60mm穿线孔;；横臂长度13米(横臂为正八边锥管，小口径110mm，大口径280mm，厚度6mm)，横臂长度5米(横臂为正八边锥管，小口径90mm，大口径150mm，厚度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地笼:8-M30*1.8米，中心距500，法兰600*6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T型6.5*9+5M八角杆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260mm，下口径320mm，厚度6mm热镀锌管（国标）；底座550mm，厚度20mm；离地2.5米处开直径60mm穿线孔;；横臂长度9米(横臂为正八边锥管，小口径100mm，大口径220mm，厚度4mm)，横臂长度5米(横臂为正八边锥管，小口径90mm，大口径150mm，厚度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地笼:8-M27*1.5米，中心距450，法兰550*5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T型6.5*9+4M八角杆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260mm，下口径320mm，厚度6mm热镀锌管（国标）；底座550mm，厚度20mm；离地2.5米处开直径60mm穿线孔;；横臂长度9米(横臂为正八边锥管，小口径100mm，大口径220mm，厚度4mm)，横臂长度4米(横臂为正八边锥管，小口径80mm，大口径140mm，厚度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地笼:8-M27*1.5米，中心距450，法兰550*5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T型6.5*8+5M八角杆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260mm，下口径320mm，厚度6mm热镀锌管（国标）；底座550mm，厚度20mm；离地2.5米处开直径60mm穿线孔;；横臂长度8米(横臂为正八边锥管，小口径90mm，大口径200mm，厚度4mm)，横臂长度5米(横臂为正八边锥管，小口径80mm，大口径140mm，厚度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地笼:8-M27*1.5米，中心距450，法兰550*5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T型6.5*8+4M八角杆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260mm，下口径320mm，厚度6mm热镀锌管（国标）；底座550mm，厚度20mm；离地2.5米处开直径60mm穿线孔;；横臂长度8米(横臂为正八边锥管，小口径90mm，大口径200mm，厚度4mm)，横臂长度4米(横臂为正八边锥管，小口径80mm，大口径140mm，厚度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地笼:8-M27*1.5米，中心距450，法兰550*5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T型6.5*6+6M八角杆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220mm，下口径280mm，厚度6mm热镀锌管（国标）；底座500mm，厚度20mm；离地2.5米处开直径60mm穿线孔;；横臂长度6米(横臂为正八边锥管，小口径90mm，大口径180mm，厚度4mm)，横臂长度6米(横臂为正八边锥管，小口径90mm，大口径180mm，厚度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地笼:8-M24*1.5米，中心距400，法兰500*4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T型6.5*6+4M八角杆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180mm，下口径240mm，厚度6mm热镀锌管（国标）；底座450mm，厚度16mm；离地2.5米处开直径60mm穿线孔;；横臂长度6米(横臂为正八边锥管，小口径90mm，大口径180mm，厚度4mm)，横臂长度4米(横臂为正八边锥管，小口径80mm，大口径140mm，厚度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地笼：6-M24*1.2米，中心距350，法兰450*4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19</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L型6.5*18M八角杆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380mm，下口径460mm，厚度12mm热镀锌管（国标）；底座700mm，厚度25mm；离地2.5米处开直径60mm穿线孔;；横臂长度18米(横臂为正八边锥管，小口径130mm，大口径350mm，厚度8+5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地笼:12-M36*2.2米，中心距600，法兰700*8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20</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L型6.5*15M八角杆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360mm，下口径460mm，厚度8mm热镀锌管（国标）；底座660mm，厚度25mm；离地2.5米处开直径60mm穿线孔;；横臂长度15米(横臂为正八边锥管，小口径130mm，大口径350mm，厚度6+4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地笼:12-M30*2米，中心距560，法兰660*8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L型6.5*14M八角杆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320mm，下口径420mm，厚度8mm热镀锌管（国标）；底座650mm，厚度20mm；离地2.5米处开直径60mm穿线孔;；横臂长度14米(横臂为正八边锥管，小口径110mm，大口径280mm，厚度6+4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地笼:8-M30*1.8米，中心距500，法兰600*6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L型6.5*13M八角杆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300mm，下口径380mm，厚度8mm热镀锌管（国标）；底座600mm，厚度20mm；离地2.5米处开直径60mm穿线孔;；横臂长度13米(横臂为正八边锥管，小口径110mm，大口径280mm，厚度6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地笼:8-M30*1.8米，中心距500，法兰600*6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L型6.5*11M八角杆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260mm，下口径320mm，厚度8mm热镀锌管（国标）；底座550mm，厚度20mm；离地2.5米处开直径60mm穿线孔;；横臂长度11米(横臂为正八边锥管，小口径100mm，大口径250mm，厚度5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地笼:8-M27*1.5米，中心距450，法兰550*5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L型6.5*10M八角杆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260mm，下口径320mm，厚度6mm热镀锌管（国标）；底座550mm，厚度20mm；离地2.5米处开直径60mm穿线孔;；横臂长度10米(横臂为正八边锥管，小口径100mm，大口径245mm，厚度5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地笼:8-M27*1.5米，中心距450，法兰550*5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L型6.5*9M八角杆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220mm，下口径280mm，厚度6mm热镀锌管（国标）；底座550mm，厚度20mm；离地2.5米处开直径60mm穿线孔;；横臂长度9米(横臂为正八边锥管，小口径100mm，大口径220mm，厚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地笼:8-M27*1.5米，中心距450，法兰550*5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L型6.5*6M八角杆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180mm，下口径240mm，厚度6mm热镀锌管（国标）；底座450mm，厚度16mm；离地2.5米处开直径60mm穿线孔;；横臂长度6米(横臂为正八边锥管，小口径90mm，大口径180mm，厚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地笼:6-M24*1.2米，中心距350，法兰450*4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L型6.5*5M八角杆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180mm，下口径240mm，厚度5mm热镀锌管（国标）；底座450mm，厚度16mm；离地2.5米处开直径60mm穿线孔;；横臂长度5米(横臂为正八边锥管，小口径90mm，大口径150mm，厚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地笼:6-M24*1.2米，中心距350，法兰450*4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接线井</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291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座</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外径不小700mm，深度根据需求定制但不应低于600mm，（井盖，开挖，砌砖）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29</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光缆终端盒</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12口光缆终端盒子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30</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光纤尾纤</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170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条</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SC-SC/PC 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防雷接地</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处</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对地电阻小于10欧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顶管</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5290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订制，pe材质，直径110mm管，需满足现场需求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人工挖电缆沟、回填</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4865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开挖、清理、回填、子管布放、开挖宽度不少30cm，深度不低于40cm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U型底座</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760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材质：钢板，卡箍范围：Φ67-127mm，外形尺寸：127×46×250mm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不锈钢扎扣（带牙）</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1688</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材质：304不锈钢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不锈钢扎带</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1140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材质：304不锈钢 宽度：16mm 厚度：0.6mm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波纹管</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456</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Φ25PVC护套软管（黑）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水晶头</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1730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超五类水晶头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39</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电工胶布</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380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卷</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长度：9m 宽度：16mm 厚度：0.16mm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40</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理线扎带</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包</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长度：25cm 宽度：1.9mm 受重：10kg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不锈钢螺丝</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2280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枚</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M10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标签纸</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盒</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机打专用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网络费用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条</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100M，三年租用费 满足视频及图片流畅传输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（八）、交通信号灯前端施工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信号灯L型6.5*14m八角悬臂杆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tcPr>
          <w:p>
            <w:pPr>
              <w:widowControl/>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320mm，下口径420mm，厚度8mm热镀锌管（国标）；底座650mm，厚度20mm；离地2.5米处开直径60mm穿线孔;；横臂长度14米(横臂为正八边锥管，小口径110mm，大口径280mm，厚6+4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地笼:8-M30*1.8米，中心距550，法兰650*6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信号灯L型6.5*13m八角悬臂杆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tcPr>
          <w:p>
            <w:pPr>
              <w:widowControl/>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320mm，下口径420mm，厚度8mm热镀锌管（国标）；底座650mm，厚度20mm；离地2.5米处开直径60mm穿线孔;；横臂长度13米(横臂为正八边锥管，小口径110mm，大口径280mm，厚6+4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地笼:8-M30*1.8米，中心距550，法兰650*6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信号灯L型6.5*11m八角悬臂杆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tcPr>
          <w:p>
            <w:pPr>
              <w:widowControl/>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280mm，下口径340mm，厚度8mm热镀锌管（国标）；底座600mm，厚度20mm；离地2.5米处开直径60mm穿线孔;；横臂长度11米(横臂为正八边锥管，小口径100mm，大口径245mm，厚6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地笼:8-M27*1.5米，中心距500，法兰600*5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信号灯L型6.5*10m八角悬臂杆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tcPr>
          <w:p>
            <w:pPr>
              <w:widowControl/>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280mm，下口径340mm，厚度8mm热镀锌管（国标）；底座600mm，厚度20mm；离地2.5米处开直径60mm穿线孔;；横臂长度10米(横臂为正八边锥管，小口径100mm，大口径245mm，厚6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地笼:8-M27*1.5米，中心距500，法兰600*5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信号灯L型6.5*9m八角悬臂杆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tcPr>
          <w:p>
            <w:pPr>
              <w:widowControl/>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260mm，下口径320mm，厚度6mm热镀锌管（国标）；底座550mm，厚度20mm；离地2.5米处开直径60mm穿线孔;；横臂长度9米(横臂为正八边锥管，小口径90mm，大口径230mm，厚5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地笼:8-M24*1.5米，中心距450，法兰550*5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信号灯L型6.5*8m八角悬臂杆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tcPr>
          <w:p>
            <w:pPr>
              <w:widowControl/>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260mm，下口径320mm，厚度6mm热镀锌管（国标）；底座550mm，厚度20mm；离地2.5米处开直径60mm穿线孔;；横臂长度8米(横臂为正八边锥管，小口径90mm，大口径220mm，厚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地笼:8-M24*1.5米，中心距450，法兰550*5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信号灯L型6.5*7m八角悬臂杆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tcPr>
          <w:p>
            <w:pPr>
              <w:widowControl/>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6.5米(含避雷针高度50cm,直径1cm）；主杆为正八边形锥管，上口径220mm，下口径280mm，厚度6mm热镀锌管（国标）；底座500mm，厚度20mm；离地2.5米处开直径60mm穿线孔;；横臂长度7米(横臂为正八边锥管，小口径90mm，大口径200mm，厚4mm)横臂与主杆采用法兰连接；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地笼:8-M24*1.5米，中心距400，法兰500*5、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立柱式人行道灯杆4M高</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tcPr>
          <w:p>
            <w:pPr>
              <w:widowControl/>
              <w:jc w:val="left"/>
              <w:textAlignment w:val="top"/>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净高3.5米；上口径114mm，下口径114mm，厚度5mm热镀锌管（国标）；离地2.5米处开直径60mm穿线孔;；均配防锈型螺栓：表面处理：杆件整体热镀锌处理后再进行高温静电喷涂，能承受日晒雨淋，颜色可选；配件：防锈螺栓、维护孔（内六角）；地线接线端子（维护孔下方）；所有杆件及其安装、支撑装置均应承受8级地震造成的额外受力、冲击荷载和谐振影响；颜色可选. 地笼:4-M16*0.5米。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人行道牌</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212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现场定制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标志杆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杆</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现场定制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color w:val="0000FF"/>
                <w:kern w:val="0"/>
                <w:szCs w:val="21"/>
                <w:highlight w:val="none"/>
              </w:rPr>
            </w:pPr>
            <w:r>
              <w:rPr>
                <w:rFonts w:hint="eastAsia" w:asciiTheme="minorEastAsia" w:hAnsiTheme="minorEastAsia" w:eastAsiaTheme="minorEastAsia" w:cstheme="minorEastAsia"/>
                <w:color w:val="0000FF"/>
                <w:kern w:val="0"/>
                <w:szCs w:val="21"/>
                <w:highlight w:val="none"/>
              </w:rPr>
              <w:t>11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供电主电缆引接</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3800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kvv-3-6mm</w:t>
            </w:r>
            <w:r>
              <w:rPr>
                <w:rFonts w:hint="eastAsia" w:asciiTheme="minorEastAsia" w:hAnsiTheme="minorEastAsia" w:eastAsiaTheme="minorEastAsia" w:cstheme="minorEastAsia"/>
                <w:kern w:val="0"/>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信号灯控制电缆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29600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kvv-5*1.5mm</w:t>
            </w:r>
            <w:r>
              <w:rPr>
                <w:rFonts w:hint="eastAsia" w:asciiTheme="minorEastAsia" w:hAnsiTheme="minorEastAsia" w:eastAsiaTheme="minorEastAsia" w:cstheme="minorEastAsia"/>
                <w:kern w:val="0"/>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倒计时控制信号线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8500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RVSP2*1.0mm</w:t>
            </w:r>
            <w:r>
              <w:rPr>
                <w:rFonts w:hint="eastAsia" w:asciiTheme="minorEastAsia" w:hAnsiTheme="minorEastAsia" w:eastAsiaTheme="minorEastAsia" w:cstheme="minorEastAsia"/>
                <w:kern w:val="0"/>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防雷接地</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128</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对地电阻小于10欧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（九）、机房建设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9.1空调系统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风冷定频列间空调高温机组</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1、定频，单冷，常温型 定制600</w:t>
            </w:r>
            <w:r>
              <w:rPr>
                <w:rFonts w:hint="eastAsia" w:asciiTheme="minorEastAsia" w:hAnsiTheme="minorEastAsia" w:eastAsiaTheme="minorEastAsia" w:cstheme="minorEastAsia"/>
                <w:kern w:val="0"/>
                <w:szCs w:val="21"/>
                <w:highlight w:val="none"/>
                <w:lang w:val="en-US" w:eastAsia="zh-CN"/>
              </w:rPr>
              <w:t>mm</w:t>
            </w:r>
            <w:r>
              <w:rPr>
                <w:rFonts w:hint="eastAsia" w:asciiTheme="minorEastAsia" w:hAnsiTheme="minorEastAsia" w:eastAsiaTheme="minorEastAsia" w:cstheme="minorEastAsia"/>
                <w:kern w:val="0"/>
                <w:szCs w:val="21"/>
                <w:highlight w:val="none"/>
              </w:rPr>
              <w:t>*1200</w:t>
            </w:r>
            <w:r>
              <w:rPr>
                <w:rFonts w:hint="eastAsia" w:asciiTheme="minorEastAsia" w:hAnsiTheme="minorEastAsia" w:eastAsiaTheme="minorEastAsia" w:cstheme="minorEastAsia"/>
                <w:kern w:val="0"/>
                <w:szCs w:val="21"/>
                <w:highlight w:val="none"/>
                <w:lang w:val="en-US" w:eastAsia="zh-CN"/>
              </w:rPr>
              <w:t>mm</w:t>
            </w:r>
            <w:r>
              <w:rPr>
                <w:rFonts w:hint="eastAsia" w:asciiTheme="minorEastAsia" w:hAnsiTheme="minorEastAsia" w:eastAsiaTheme="minorEastAsia" w:cstheme="minorEastAsia"/>
                <w:kern w:val="0"/>
                <w:szCs w:val="21"/>
                <w:highlight w:val="none"/>
              </w:rPr>
              <w:t>*2000</w:t>
            </w:r>
            <w:r>
              <w:rPr>
                <w:rFonts w:hint="eastAsia" w:asciiTheme="minorEastAsia" w:hAnsiTheme="minorEastAsia" w:eastAsiaTheme="minorEastAsia" w:cstheme="minorEastAsia"/>
                <w:kern w:val="0"/>
                <w:szCs w:val="21"/>
                <w:highlight w:val="none"/>
                <w:lang w:val="en-US" w:eastAsia="zh-CN"/>
              </w:rPr>
              <w:t>mm</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2、制冷量为不小于42kw；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制冷剂</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桶</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R410A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铜管（回液管含保温管，数量暂定）</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Ф9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铜管（热气管含保温管，数量暂定）</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Ф16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进水管</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P-PRФ20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排水管</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P-PRФ32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室外机电源线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VVR-3*4mm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控制线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VVP-2*1.5mm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9.2机柜系统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服务器机柜</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1、服务器机柜，600mm*1200mm*2000mm (42U)。</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2、前门单开网孔门，后门双开网孔门，底板，带双侧竖直理线板，无侧板，含前后横挡风组件。</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3、静态承重≥1500kg。</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4、动态承重≥1000kg。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机柜侧板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机柜侧板，1200mm*2000mm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层板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层板，机柜配件-轻载托盘-19英寸50kg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L型托架</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对</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L型托架，适配19英寸机柜，承重50kg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盲板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盲板，1U高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盲板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盲板，2U高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封闭遮板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机柜顶后部遮板，适用于 600mm 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机柜底座</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机柜底座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tabs>
                <w:tab w:val="left" w:pos="762"/>
              </w:tabs>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9.3封闭通道系统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封闭通道-端门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通道端门-双开轨道门，内嵌钢化玻璃，高透视效果，门框可支持安装急停开关/声光报警器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封闭通道-端门封闭</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通道端门-封闭组建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封闭通道-天窗</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顶板控制套件，AC220V/DC12V，含联动继电器，控制翻转顶板电磁锁，紧急开启按钮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封闭通道-天窗</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翻转顶板，600mm宽可翻转顶板，优质冷轧板框架和支撑板，内嵌钢化玻璃。</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实现消防联动，需手动复位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封闭通道-天窗</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功能顶板，600mm钣金结构，优质冷轧板框架和支撑板，不可翻转。</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带安装孔，带走线功能，支持安装配套的微环境传感器/摄像头等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封闭通道-走线部件</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18</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机柜顶走线槽，适用于600mm宽设备，4个一组，支持两个对位机柜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封闭通道-照明</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内部照明控制-手动，1套，含端门照明手动控制开关，配套电源和线缆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封闭通道-照明</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18</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根</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内部照明（单根），1根，含通道内LED灯管，灯管配套线缆；配置数量按照顶板总数减1配置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9.4配电单元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配电柜</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1、总输入：双路输入400A/4P PC级ATS 切换时间≤0.2秒，市电配电回路：UPS 输入开关：250A/3P *2MCCB，空调配电：63A/3P*4 MCB，其他动力配电：32A/3P*2 MCB，其他配电：16A/1P*4 MCB，UPS输出回路：输出开关：250A/3P*2 MCCB，IT配电：32A/1P*2*36 MCB，智能监控，C级防雷，600mm*1200mm*2000mm。</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 xml:space="preserve">2、精密配电柜必须通过的CCC认证； </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3、良好的人机交互操作界面；63A及以上的开关选用塑壳断路器，63A以下采用微断系列。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PDU</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条</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1、PDU-竖装-输入250V/32A-输出20*10A国标+4*16A国标-总指示灯-接线盒-防脱扣-A。</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2、产品必需通过中国强制认证（CCC认证）。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UPS主机</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1、200kVA模块化。输入电压  380VAC ±25%，输入频率  50±10%；满载时，输入谐波电流总含量＜3%；输入功率因数＞0.99；输出电压：  380VAC，稳态精度：±1％；在输入频率为50Hz±10%时，输出频率应满足50Hz±0.5，±1，±1.5，±2Hz可调；输出功率因数≥0.9，00％负载时≥94％。</w:t>
            </w:r>
          </w:p>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2、为保证旁路抗冲击能力及扩容要求，要求采用统一的集中旁路模块，旁路模块应可插拔维护，故障和热插拨时UPS应能正常双变换输出；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模块化UPS-模块</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系统功率模块为≥50kVA，每台UPS系统配置3个功率模块。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电池柜</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电池柜-20节，可容纳12V200AH电池空间及重量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蓄电池（后备0.5H）</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节</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12V200AH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电池间连接线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项</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BVR95mm²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阻燃铜芯线（精密空调）</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m</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ZCYJV-5*16mm²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阻燃铜芯线（机柜）</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800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m</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ZC-YJV-3*4mm²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阻燃铜芯线（UPS输入输出）</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m</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ZCYJV-4*120+1*50mm²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9.5监控管理系统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声光告警器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1、工作电压范围: 市电AC110/12V(50/60Hz)；</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2、额定工作电流: 300mA；</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3、声压范围: 70DB±3dB (1米处)；</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4、规格尺寸:122*72*43（mm）。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烟感</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烟感，联网型烟感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温湿度传感器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温湿度传感器，带LCD，显示，485协议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门禁</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刷卡门禁，含双门密码刷卡器，门禁控制器，双门磁力锁，双门出门按钮，5张ID卡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摄像机</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监控摄像机，枪型，通道内安装，两百万像素高清网络摄像机，1080P高清录像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硬盘录像机</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八路网络硬盘录像机，含6T硬盘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交换机</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台</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网络交换机，接口数量要求大于8口百兆+2千兆光电互斥口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BM智能监控包</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BM动环监控包一套，含监控服务器主机一台，监控平台软件一套，可监控UPS、空调、智能精密配电柜等设备及环境检测传感器。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短信告警器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1、四频GSM/GPRS/EDGE MODEM(850/900/1800/1900MHz)；</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2、其设计及开发符合ETSI GSM Phase2+标准；</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3、输出功率：Class 4（2W @ 850/900MHz）；Class 1（1W @ 1800/1900MHz）；</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4、输入电压：5V/DC（USB接口直接供电,不需要外部电源）；</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5、输入电流：1A-2A；5mA 待机状态，140mA在GSM 850/900MHz @ 5V 通话状态；5mA 待机状态，100mA在GSM 1800/1900MHz @ 5V 通话状态；</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6、温度范围：-40℃-+80℃ 工作状态；-20℃-+70℃ 保存状态。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智能显示终端</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触摸显示屏及结构安装件，含端门门盒设计结构，智能终端嵌入式安装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9.6消防及气体灭火系统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消控柜</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1.600</w:t>
            </w:r>
            <w:r>
              <w:rPr>
                <w:rFonts w:hint="eastAsia" w:asciiTheme="minorEastAsia" w:hAnsiTheme="minorEastAsia" w:eastAsiaTheme="minorEastAsia" w:cstheme="minorEastAsia"/>
                <w:kern w:val="0"/>
                <w:szCs w:val="21"/>
                <w:highlight w:val="none"/>
                <w:lang w:val="en-US" w:eastAsia="zh-CN"/>
              </w:rPr>
              <w:t>mm</w:t>
            </w:r>
            <w:r>
              <w:rPr>
                <w:rFonts w:hint="eastAsia" w:asciiTheme="minorEastAsia" w:hAnsiTheme="minorEastAsia" w:eastAsiaTheme="minorEastAsia" w:cstheme="minorEastAsia"/>
                <w:kern w:val="0"/>
                <w:sz w:val="20"/>
                <w:szCs w:val="20"/>
                <w:highlight w:val="none"/>
              </w:rPr>
              <w:t>*1200</w:t>
            </w:r>
            <w:r>
              <w:rPr>
                <w:rFonts w:hint="eastAsia" w:asciiTheme="minorEastAsia" w:hAnsiTheme="minorEastAsia" w:eastAsiaTheme="minorEastAsia" w:cstheme="minorEastAsia"/>
                <w:kern w:val="0"/>
                <w:szCs w:val="21"/>
                <w:highlight w:val="none"/>
                <w:lang w:val="en-US" w:eastAsia="zh-CN"/>
              </w:rPr>
              <w:t>mm</w:t>
            </w:r>
            <w:r>
              <w:rPr>
                <w:rFonts w:hint="eastAsia" w:asciiTheme="minorEastAsia" w:hAnsiTheme="minorEastAsia" w:eastAsiaTheme="minorEastAsia" w:cstheme="minorEastAsia"/>
                <w:kern w:val="0"/>
                <w:sz w:val="20"/>
                <w:szCs w:val="20"/>
                <w:highlight w:val="none"/>
              </w:rPr>
              <w:t>*2000</w:t>
            </w:r>
            <w:r>
              <w:rPr>
                <w:rFonts w:hint="eastAsia" w:asciiTheme="minorEastAsia" w:hAnsiTheme="minorEastAsia" w:eastAsiaTheme="minorEastAsia" w:cstheme="minorEastAsia"/>
                <w:kern w:val="0"/>
                <w:szCs w:val="21"/>
                <w:highlight w:val="none"/>
                <w:lang w:val="en-US" w:eastAsia="zh-CN"/>
              </w:rPr>
              <w:t>mm</w:t>
            </w:r>
            <w:r>
              <w:rPr>
                <w:rFonts w:hint="eastAsia" w:asciiTheme="minorEastAsia" w:hAnsiTheme="minorEastAsia" w:eastAsiaTheme="minorEastAsia" w:cstheme="minorEastAsia"/>
                <w:kern w:val="0"/>
                <w:sz w:val="20"/>
                <w:szCs w:val="20"/>
                <w:highlight w:val="none"/>
              </w:rPr>
              <w:t>；90升无管网灭火装置</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2.充装压力（20℃时）：2.5Mpa；</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3.电磁阀工作电压：DC24V；</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4.启动电流：1～1.5A；</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5.喷射时间：≤10S；</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6.使用环境：温度：0℃～50℃。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消防及气体灭火系统</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 xml:space="preserve">1、纯度≥99.6﹪； </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2、水份/（mg/kg）≤10 ；</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3、酸度（以HF计）/（mg/kg）≤1；</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4、蒸发残留物/﹪≤0.01；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火灾报警控制器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容量：1区；回路容量≤160点；总线长度：≤1500m；具有历史记录存储功能，可自动打印保存火警、故障、联动、操作等信息。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消防排烟机装置</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排风量不小于2000m3/h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消防排烟机电源装置</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ZR-RVS2*1.5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排烟阀</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防火阀，常开，280℃关闭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泄压口装置</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有效泄压面积：0.1m2。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呼吸面具</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符合公安部标准GA209－1999规定，防护时间：≥40分钟。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声光报警器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1、工作电压：DC 19-24V；</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2、工作温度：-10～+50℃；</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3、贮存温度：-20～+50℃；</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4、相对湿度：≤95%(40±2℃) ；</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5、动作电流：≤80mA（24V）；</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6、报警音量：&gt;90dB；</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7、警灯频闪周期：≥1.5 秒；</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8、线 制：二线连接。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放气指示灯</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1、工作电压：24V；</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2、工作电流：≤280mA；</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3、线制：二线连接，无极性；</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4、用环境：温度：-10℃～+50℃；相对湿度≤95%。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紧急启停按钮</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指示灯：“按下启动”按键：红色，按下时常亮；“停止”按键：绿色，按下时常亮。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安全出口灯</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输入电压:AC220V/50HZ，光源类型: LED、应急时间:90min、挂壁式。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应急双头灯</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功率:3W LED，应急时间:90min。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烟温感</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1、监视电流：≤0.35mA ；</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 xml:space="preserve">2、报警电流：≤0.8mA； </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3、执行标准：GB4715-2005《点型感烟火灾探测器》、《点型感温火灾探测器》。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9.7机房供配电系统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ind w:firstLine="211" w:firstLineChars="1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Cs w:val="21"/>
                <w:highlight w:val="none"/>
              </w:rPr>
              <w:t>（1）配电柜、插座设备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新风系统</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800风量m³/h；落地式安装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10A五孔插座</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10A五孔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16A三孔插座</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16A三孔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ind w:firstLine="211" w:firstLineChars="1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Cs w:val="21"/>
                <w:highlight w:val="none"/>
              </w:rPr>
              <w:t>（2）照明系统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LED吸顶灯</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600*600mm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三联翘板开关</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套</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三联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ind w:firstLine="211" w:firstLineChars="1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Cs w:val="21"/>
                <w:highlight w:val="none"/>
              </w:rPr>
              <w:t>（3）线、管、槽部分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阻燃铜芯线（照明、插座）</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600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m</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ZCBV-2.5mm</w:t>
            </w:r>
            <w:r>
              <w:rPr>
                <w:rFonts w:hint="eastAsia" w:asciiTheme="minorEastAsia" w:hAnsiTheme="minorEastAsia" w:eastAsiaTheme="minorEastAsia" w:cstheme="minorEastAsia"/>
                <w:kern w:val="0"/>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总进线电缆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180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m</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ZCYJV-4*120+1*75mm²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9.8防雷接地系统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ind w:firstLine="211" w:firstLineChars="1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Cs w:val="21"/>
                <w:highlight w:val="none"/>
              </w:rPr>
              <w:t>（1）防雷部分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一级防雷器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1、最大持续运行电压：Uc385V（三相）；</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2、电压保护水平：Up≤2.0KV；</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3、雷电脉冲电流：limp 25KA；</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4、相时间≤100ns；</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5、有劣化显示（红色指示灯）、工作显示（绿色指标灯）；</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6、最大后备保险丝强度：100A/后备保护装置REP-FB-I；</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7、接线方式：并联；</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8、工作温度：-40℃～+80℃；</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9、保护等级：IP20；</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10、外壳材料：阻燃材料PC  UL94-VO。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二级防雷器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1、最大持续运行电压：Uc385V（三相）；</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2、电压保护水平：Up≤1.7KV；</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3、标称放电电流：In 40KA；</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4、最大放电电流：Imax 80KA；</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5、相时间≤25ns；</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6、有劣化显示（红色指示灯）、工作显示（绿色指标灯）；</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7、最大后备保险丝强度：63A/后备保护装置REP-FB-I；</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8、接线方式：并联；</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9、工作温度：-40℃～+80℃；</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10、保护等级：IP20；</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11、外壳材料：阻燃材料PC  UL94-VO。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三级防雷器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1、最大持续运行电压：Uc385V（单相）；</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2、电压保护水平：Up≤1.5KV；</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3、标称放电电流：In 10KA；</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4、最大放电电流：Imax 20KA；</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5、相时间≤25ns；</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6、有劣化显示（红色指示灯）、工作显示（绿色指标灯）；</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7、最大后备保险丝强度：63A/后备保护装置REP-FB-I；</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8、接线方式：并联；</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9、工作温度：-40℃～+80℃；</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10、保护等级：IP20；</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11、外壳材料：阻燃材料PC  UL94-VO。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安装配件（空开、铜线鼻、连接线等）</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组</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开关32A，连接跳线15根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Cs w:val="21"/>
                <w:highlight w:val="none"/>
              </w:rPr>
              <w:t xml:space="preserve">  （2）接地部分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接地线引线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BVR50mm²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等电位铜带</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68</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米</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40*4mm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 w:val="24"/>
                <w:highlight w:val="none"/>
              </w:rPr>
              <w:t>9.9综合布线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运营商到核心交换机光纤</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根</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24芯，用于机房的连接线路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网线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箱</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1、采用国际23AWG线规标准实芯铜线(芯径≥0.57mm)，全新无氧铜线提升衰减性能，全新优质塑料外皮，可靠耐用。</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2、采用十字骨架分隔结构，提供真正的六类性能。</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3、精确的绞距控制，提高其卓越的性能，最大化带宽、余量和ACR边际，满足千兆以太网要求，支持带宽≥350MHz。</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4、采用信号平衡技术（LCL）控制了电磁干扰，同时传送并行传输协议，优化参数平衡性，保证安装前后都具有稳定的串扰和阻抗性能。</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5、符合国际 ANSI/TIA-568、国际 ISO/IEC 11801、 欧洲EN50173、中国 GB50311-2007 六类标准。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理线器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1、优质冷轧钢板设计。</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2、单面线缆管理器，带扣入式盖板。</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3、提供极高的跳线存储和管理性能。</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4、对线缆提供灵活、有效、整齐的管理。</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5、用于线缆及跳线、插线的整理、固定和维护。</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6、符合1U机柜安装尺寸，标准19英寸机柜安装。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配线架</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0"/>
                <w:szCs w:val="20"/>
                <w:highlight w:val="none"/>
              </w:rPr>
              <w:t>1、前板优质工程塑料，后板优质冷轧钢板制作，防潮、抗冲击设计，机械物理性高，双层框架结构、配备后理线托架，方便固定线缆，防止线缆端接不良。</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2、配线架上模块阻燃、抗冲击、耐腐蚀材料注塑而成,强化模块固定和端接线缆的可靠性,前面可贴标签方便对端口进行标识管理。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sz w:val="24"/>
                <w:highlight w:val="none"/>
              </w:rPr>
              <w:t>二、防城港市城市道路“智慧交通”项目设备采购-装饰装修工程部分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rPr>
                <w:rFonts w:hint="eastAsia"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（一）主机房装饰装修系统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ind w:firstLine="211" w:firstLineChars="1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Cs w:val="21"/>
                <w:highlight w:val="none"/>
              </w:rPr>
              <w:t>（1）地面部分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地面防尘漆处理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环保型，刷防尘漆涂料，刷两遍。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地面保温处理（铝箔面）</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30mm带铝箔，建筑级铝箔层，高密度橡塑棉；B级阻燃；环保型。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无边全钢抗静电地板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1、材质：采用优质冷轧钢铁，上层钢板≥0.8mm,下层钢板≥0.7mm，经拉伸后点焊成型，外面经磷化后进行烤漆处理，上表面粘贴高耐磨防静电三聚氰胺贴面（HPL）或PVC贴面，四周镶嵌导电边条，底部中间特有双十字加强筋，另加增加凸点，半球深度达到21mm以上，底部四周边条加宽处理，上有直条压筋以增加强度；</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2、面层采用≥1.5厚防开裂防静电HPL贴面；45°倒角处理，表层三氧化二铝耐磨层厚度≥30g/cm2,耐磨转数≥2000转；</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3、承重：国标B型；</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4、电阻：1x106-1x1010Ω；</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5、填充：内腔填充发泡水泥，加发泡剂，保证水泥填充均匀，少许纤维，加强韧性；</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6、集中荷载：≥454KG（挠度≤2mm、永久变型≤0.25mm）；极限荷载：≥13350N，均布载荷：≥23000N/m2（挠度≤2mm）；表面 平面度：≤0.6mm；邻边垂直度：≤0.3mm；边长公差：&lt;0.3mm；板厚公差：≤0.3mm。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不锈钢收口条</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m</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100mm高（约）100mm，1mm厚304拉丝不锈钢。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踏步制安</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项</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现场制作，大理石装饰面。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40*4铜排及附件</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48</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m</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40*4mm铜条，紫铜，国标。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ind w:firstLine="211" w:firstLineChars="1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Cs w:val="21"/>
                <w:highlight w:val="none"/>
              </w:rPr>
              <w:t>（2）墙柱面部分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墙柱面防尘漆处理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环保型，刷防尘漆涂料，刷两遍。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保温</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1、主机房彩钢板以上的四周墙壁保温用；</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2、20mm厚B1级防火橡塑棉保温；</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3、专用胶带接缝密封；</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4、不龟裂，无裂纹，无针孔，不变形；</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5、使用的胶水等粘贴材料环保无毒，使用后无有害气体释放；                                            6、保温面上敷设0.5mm厚镀锌钢板。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彩钢墙板</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130</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浅灰色，A级防火，常规尺寸1200</w:t>
            </w:r>
            <w:r>
              <w:rPr>
                <w:rFonts w:hint="eastAsia" w:asciiTheme="minorEastAsia" w:hAnsiTheme="minorEastAsia" w:eastAsiaTheme="minorEastAsia" w:cstheme="minorEastAsia"/>
                <w:kern w:val="0"/>
                <w:szCs w:val="21"/>
                <w:highlight w:val="none"/>
              </w:rPr>
              <w:t>mm</w:t>
            </w:r>
            <w:r>
              <w:rPr>
                <w:rFonts w:hint="eastAsia" w:asciiTheme="minorEastAsia" w:hAnsiTheme="minorEastAsia" w:eastAsiaTheme="minorEastAsia" w:cstheme="minorEastAsia"/>
                <w:kern w:val="0"/>
                <w:sz w:val="20"/>
                <w:szCs w:val="20"/>
                <w:highlight w:val="none"/>
              </w:rPr>
              <w:t>*3000</w:t>
            </w:r>
            <w:r>
              <w:rPr>
                <w:rFonts w:hint="eastAsia" w:asciiTheme="minorEastAsia" w:hAnsiTheme="minorEastAsia" w:eastAsiaTheme="minorEastAsia" w:cstheme="minorEastAsia"/>
                <w:kern w:val="0"/>
                <w:szCs w:val="21"/>
                <w:highlight w:val="none"/>
              </w:rPr>
              <w:t>mm</w:t>
            </w:r>
            <w:r>
              <w:rPr>
                <w:rFonts w:hint="eastAsia" w:asciiTheme="minorEastAsia" w:hAnsiTheme="minorEastAsia" w:eastAsiaTheme="minorEastAsia" w:cstheme="minorEastAsia"/>
                <w:kern w:val="0"/>
                <w:sz w:val="20"/>
                <w:szCs w:val="20"/>
                <w:highlight w:val="none"/>
              </w:rPr>
              <w:t>*13</w:t>
            </w:r>
            <w:r>
              <w:rPr>
                <w:rFonts w:hint="eastAsia" w:asciiTheme="minorEastAsia" w:hAnsiTheme="minorEastAsia" w:eastAsiaTheme="minorEastAsia" w:cstheme="minorEastAsia"/>
                <w:kern w:val="0"/>
                <w:szCs w:val="21"/>
                <w:highlight w:val="none"/>
              </w:rPr>
              <w:t>mm</w:t>
            </w:r>
            <w:r>
              <w:rPr>
                <w:rFonts w:hint="eastAsia" w:asciiTheme="minorEastAsia" w:hAnsiTheme="minorEastAsia" w:eastAsiaTheme="minorEastAsia" w:cstheme="minorEastAsia"/>
                <w:kern w:val="0"/>
                <w:sz w:val="20"/>
                <w:szCs w:val="20"/>
                <w:highlight w:val="none"/>
              </w:rPr>
              <w:t>；烤漆钢板。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ind w:firstLine="211" w:firstLineChars="100"/>
              <w:rPr>
                <w:rFonts w:hint="eastAsia" w:asciiTheme="minorEastAsia" w:hAnsiTheme="minorEastAsia" w:eastAsiaTheme="minorEastAsia" w:cstheme="minorEastAsia"/>
                <w:b/>
                <w:bCs/>
                <w:kern w:val="0"/>
                <w:szCs w:val="21"/>
                <w:highlight w:val="none"/>
              </w:rPr>
            </w:pPr>
            <w:r>
              <w:rPr>
                <w:rFonts w:hint="eastAsia" w:asciiTheme="minorEastAsia" w:hAnsiTheme="minorEastAsia" w:eastAsiaTheme="minorEastAsia" w:cstheme="minorEastAsia"/>
                <w:b/>
                <w:bCs/>
                <w:kern w:val="0"/>
                <w:szCs w:val="21"/>
                <w:highlight w:val="none"/>
              </w:rPr>
              <w:t>（3）顶面部分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顶面防尘漆处理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92.16</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环保型，刷防尘漆涂料，刷两遍。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保温</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92.16</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30mm带铝箔，建筑级铝箔层，高密度橡塑棉；B级阻燃；环保型。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顶面吊顶</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92.16</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国产优质，规格：600</w:t>
            </w:r>
            <w:r>
              <w:rPr>
                <w:rFonts w:hint="eastAsia" w:asciiTheme="minorEastAsia" w:hAnsiTheme="minorEastAsia" w:eastAsiaTheme="minorEastAsia" w:cstheme="minorEastAsia"/>
                <w:kern w:val="0"/>
                <w:szCs w:val="21"/>
                <w:highlight w:val="none"/>
              </w:rPr>
              <w:t>mm</w:t>
            </w:r>
            <w:r>
              <w:rPr>
                <w:rFonts w:hint="eastAsia" w:asciiTheme="minorEastAsia" w:hAnsiTheme="minorEastAsia" w:eastAsiaTheme="minorEastAsia" w:cstheme="minorEastAsia"/>
                <w:kern w:val="0"/>
                <w:sz w:val="20"/>
                <w:szCs w:val="20"/>
                <w:highlight w:val="none"/>
              </w:rPr>
              <w:t>*600</w:t>
            </w:r>
            <w:r>
              <w:rPr>
                <w:rFonts w:hint="eastAsia" w:asciiTheme="minorEastAsia" w:hAnsiTheme="minorEastAsia" w:eastAsiaTheme="minorEastAsia" w:cstheme="minorEastAsia"/>
                <w:kern w:val="0"/>
                <w:szCs w:val="21"/>
                <w:highlight w:val="none"/>
              </w:rPr>
              <w:t>mm</w:t>
            </w:r>
            <w:r>
              <w:rPr>
                <w:rFonts w:hint="eastAsia" w:asciiTheme="minorEastAsia" w:hAnsiTheme="minorEastAsia" w:eastAsiaTheme="minorEastAsia" w:cstheme="minorEastAsia"/>
                <w:kern w:val="0"/>
                <w:sz w:val="20"/>
                <w:szCs w:val="20"/>
                <w:highlight w:val="none"/>
              </w:rPr>
              <w:t>，厚度：1.0mm，材质：铝合金</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天花吊杆为6-8厘热镀锌螺杆，主龙骨采用热镀锌30mmx30mm金属三角龙骨；配有专门的吊装系统，配置专用镀锌钢38主龙骨、38主龙骨吊码、三角镀锌钢龙骨、三角型吊件，吊杆间距≤1200mm，每件板均能独立装配和拆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ind w:firstLine="211" w:firstLineChars="1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Cs w:val="21"/>
                <w:highlight w:val="none"/>
              </w:rPr>
              <w:t>（4）外接电缆施工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道路开挖、铺设管道及路面恢复</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项</w:t>
            </w:r>
          </w:p>
        </w:tc>
        <w:tc>
          <w:tcPr>
            <w:tcW w:w="6853" w:type="dxa"/>
            <w:vAlign w:val="center"/>
          </w:tcPr>
          <w:p>
            <w:pPr>
              <w:widowControl/>
              <w:jc w:val="left"/>
              <w:textAlignment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kern w:val="0"/>
                <w:sz w:val="20"/>
                <w:szCs w:val="20"/>
                <w:highlight w:val="none"/>
              </w:rPr>
              <w:t>敷设管道长度200m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spacing w:line="24" w:lineRule="atLeast"/>
              <w:ind w:firstLine="211" w:firstLineChars="1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kern w:val="0"/>
                <w:szCs w:val="21"/>
                <w:highlight w:val="none"/>
              </w:rPr>
              <w:t>（5）门窗及灾害防护部分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钢制防火门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3.78</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定制，甲级；外开；1500 mm×2200mm；含防盗门锁安装门所需的一切配件。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闭门器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只</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轻钢龙骨不燃板封窗处理</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项</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采用砌砖墙封堵窗户，双面抹水泥砂浆及滚涂漆、挂网等饰面处理；</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6个大窗户，3个小窗户，封堵窗户尺寸共45m²，内外墙双面涂抹的水泥砂浆重量配比为1:3。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打墙、拆门、门洞封闭、地面防护</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项</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打平到大梁和立柱，批灰处理，拆除三扇墙体共96m²；四个门（单个门洞尺寸1.68m²）封两个门洞，修平2个门洞，地面保护修平墙面，内外墙双面涂抹的水泥砂浆重量配比为1:3。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防水围堰</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15</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m</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混凝土制作，防水处理，50mm高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超声波驱鼠器</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个</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7</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外界连接的管、线、槽口用专用防火泥封堵</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项</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防火水泥封堵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8</w:t>
            </w:r>
          </w:p>
        </w:tc>
        <w:tc>
          <w:tcPr>
            <w:tcW w:w="1486" w:type="dxa"/>
            <w:gridSpan w:val="2"/>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垃圾清运</w:t>
            </w:r>
          </w:p>
        </w:tc>
        <w:tc>
          <w:tcPr>
            <w:tcW w:w="834" w:type="dxa"/>
            <w:gridSpan w:val="2"/>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662" w:type="dxa"/>
            <w:vAlign w:val="center"/>
          </w:tcPr>
          <w:p>
            <w:pPr>
              <w:widowControl/>
              <w:jc w:val="center"/>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项</w:t>
            </w:r>
          </w:p>
        </w:tc>
        <w:tc>
          <w:tcPr>
            <w:tcW w:w="6853" w:type="dxa"/>
            <w:vAlign w:val="center"/>
          </w:tcPr>
          <w:p>
            <w:pPr>
              <w:widowControl/>
              <w:jc w:val="left"/>
              <w:textAlignment w:val="center"/>
              <w:rPr>
                <w:rFonts w:hint="eastAsia"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现场清理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7" w:type="dxa"/>
            <w:gridSpan w:val="7"/>
            <w:vAlign w:val="center"/>
          </w:tcPr>
          <w:p>
            <w:pPr>
              <w:widowControl/>
              <w:jc w:val="left"/>
              <w:textAlignment w:val="center"/>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（二）配套设施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w:t>
            </w:r>
          </w:p>
        </w:tc>
        <w:tc>
          <w:tcPr>
            <w:tcW w:w="1480"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安全岛现场砌筑</w:t>
            </w:r>
          </w:p>
        </w:tc>
        <w:tc>
          <w:tcPr>
            <w:tcW w:w="840" w:type="dxa"/>
            <w:gridSpan w:val="3"/>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650</w:t>
            </w:r>
          </w:p>
        </w:tc>
        <w:tc>
          <w:tcPr>
            <w:tcW w:w="66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米</w:t>
            </w:r>
          </w:p>
        </w:tc>
        <w:tc>
          <w:tcPr>
            <w:tcW w:w="6853"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1、新建安全岛周边原混凝土路面植￠14*30cm钢筋、间隔30cm。</w:t>
            </w:r>
            <w:r>
              <w:rPr>
                <w:rFonts w:hint="eastAsia" w:asciiTheme="minorEastAsia" w:hAnsiTheme="minorEastAsia" w:eastAsiaTheme="minorEastAsia" w:cstheme="minorEastAsia"/>
                <w:sz w:val="20"/>
                <w:szCs w:val="20"/>
                <w:highlight w:val="none"/>
              </w:rPr>
              <w:br w:type="textWrapping"/>
            </w:r>
            <w:r>
              <w:rPr>
                <w:rFonts w:hint="eastAsia" w:asciiTheme="minorEastAsia" w:hAnsiTheme="minorEastAsia" w:eastAsiaTheme="minorEastAsia" w:cstheme="minorEastAsia"/>
                <w:sz w:val="20"/>
                <w:szCs w:val="20"/>
                <w:highlight w:val="none"/>
              </w:rPr>
              <w:t>2、2*￠/10cm钢筋围周边绑扎。</w:t>
            </w:r>
            <w:r>
              <w:rPr>
                <w:rFonts w:hint="eastAsia" w:asciiTheme="minorEastAsia" w:hAnsiTheme="minorEastAsia" w:eastAsiaTheme="minorEastAsia" w:cstheme="minorEastAsia"/>
                <w:sz w:val="20"/>
                <w:szCs w:val="20"/>
                <w:highlight w:val="none"/>
              </w:rPr>
              <w:br w:type="textWrapping"/>
            </w:r>
            <w:r>
              <w:rPr>
                <w:rFonts w:hint="eastAsia" w:asciiTheme="minorEastAsia" w:hAnsiTheme="minorEastAsia" w:eastAsiaTheme="minorEastAsia" w:cstheme="minorEastAsia"/>
                <w:sz w:val="20"/>
                <w:szCs w:val="20"/>
                <w:highlight w:val="none"/>
              </w:rPr>
              <w:t>2、模板安装。</w:t>
            </w:r>
            <w:r>
              <w:rPr>
                <w:rFonts w:hint="eastAsia" w:asciiTheme="minorEastAsia" w:hAnsiTheme="minorEastAsia" w:eastAsiaTheme="minorEastAsia" w:cstheme="minorEastAsia"/>
                <w:sz w:val="20"/>
                <w:szCs w:val="20"/>
                <w:highlight w:val="none"/>
              </w:rPr>
              <w:br w:type="textWrapping"/>
            </w:r>
            <w:r>
              <w:rPr>
                <w:rFonts w:hint="eastAsia" w:asciiTheme="minorEastAsia" w:hAnsiTheme="minorEastAsia" w:eastAsiaTheme="minorEastAsia" w:cstheme="minorEastAsia"/>
                <w:sz w:val="20"/>
                <w:szCs w:val="20"/>
                <w:highlight w:val="none"/>
              </w:rPr>
              <w:t>3、c20混凝土捣制20*20cm。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w:t>
            </w:r>
          </w:p>
        </w:tc>
        <w:tc>
          <w:tcPr>
            <w:tcW w:w="1480"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安全岛周边抹灰</w:t>
            </w:r>
          </w:p>
        </w:tc>
        <w:tc>
          <w:tcPr>
            <w:tcW w:w="840" w:type="dxa"/>
            <w:gridSpan w:val="3"/>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544</w:t>
            </w:r>
          </w:p>
        </w:tc>
        <w:tc>
          <w:tcPr>
            <w:tcW w:w="66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w:t>
            </w:r>
          </w:p>
        </w:tc>
        <w:tc>
          <w:tcPr>
            <w:tcW w:w="6853"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m75水泥砂浆抹面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3</w:t>
            </w:r>
          </w:p>
        </w:tc>
        <w:tc>
          <w:tcPr>
            <w:tcW w:w="1480"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安全岛回填土</w:t>
            </w:r>
          </w:p>
        </w:tc>
        <w:tc>
          <w:tcPr>
            <w:tcW w:w="840" w:type="dxa"/>
            <w:gridSpan w:val="3"/>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109.5</w:t>
            </w:r>
          </w:p>
        </w:tc>
        <w:tc>
          <w:tcPr>
            <w:tcW w:w="66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m³</w:t>
            </w:r>
          </w:p>
        </w:tc>
        <w:tc>
          <w:tcPr>
            <w:tcW w:w="6853"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安全岛回填土10cm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4</w:t>
            </w:r>
          </w:p>
        </w:tc>
        <w:tc>
          <w:tcPr>
            <w:tcW w:w="1480"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安全岛垫层</w:t>
            </w:r>
          </w:p>
        </w:tc>
        <w:tc>
          <w:tcPr>
            <w:tcW w:w="840" w:type="dxa"/>
            <w:gridSpan w:val="3"/>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1050</w:t>
            </w:r>
          </w:p>
        </w:tc>
        <w:tc>
          <w:tcPr>
            <w:tcW w:w="66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m³</w:t>
            </w:r>
          </w:p>
        </w:tc>
        <w:tc>
          <w:tcPr>
            <w:tcW w:w="6853"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c15混凝土5cm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5</w:t>
            </w:r>
          </w:p>
        </w:tc>
        <w:tc>
          <w:tcPr>
            <w:tcW w:w="1480"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安全岛面层（透水砖）</w:t>
            </w:r>
          </w:p>
        </w:tc>
        <w:tc>
          <w:tcPr>
            <w:tcW w:w="840" w:type="dxa"/>
            <w:gridSpan w:val="3"/>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1020</w:t>
            </w:r>
          </w:p>
        </w:tc>
        <w:tc>
          <w:tcPr>
            <w:tcW w:w="66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w:t>
            </w:r>
          </w:p>
        </w:tc>
        <w:tc>
          <w:tcPr>
            <w:tcW w:w="6853"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10*20cm透水砖按业主要求铺贴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6</w:t>
            </w:r>
          </w:p>
        </w:tc>
        <w:tc>
          <w:tcPr>
            <w:tcW w:w="1480"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绿化</w:t>
            </w:r>
          </w:p>
        </w:tc>
        <w:tc>
          <w:tcPr>
            <w:tcW w:w="840" w:type="dxa"/>
            <w:gridSpan w:val="3"/>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1040</w:t>
            </w:r>
          </w:p>
        </w:tc>
        <w:tc>
          <w:tcPr>
            <w:tcW w:w="66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w:t>
            </w:r>
          </w:p>
        </w:tc>
        <w:tc>
          <w:tcPr>
            <w:tcW w:w="6853"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按业主要求品种种植绿化苗。</w:t>
            </w:r>
            <w:r>
              <w:rPr>
                <w:rFonts w:hint="eastAsia" w:asciiTheme="minorEastAsia" w:hAnsiTheme="minorEastAsia" w:eastAsiaTheme="minorEastAsia" w:cstheme="minorEastAsia"/>
                <w:sz w:val="20"/>
                <w:szCs w:val="20"/>
                <w:highlight w:val="none"/>
              </w:rPr>
              <w:br w:type="textWrapping"/>
            </w:r>
            <w:r>
              <w:rPr>
                <w:rFonts w:hint="eastAsia" w:asciiTheme="minorEastAsia" w:hAnsiTheme="minorEastAsia" w:eastAsiaTheme="minorEastAsia" w:cstheme="minorEastAsia"/>
                <w:sz w:val="20"/>
                <w:szCs w:val="20"/>
                <w:highlight w:val="none"/>
              </w:rPr>
              <w:t>苗木品种：黄素梅(1.自然高度10~15cm;2.冠幅10~15cm3.袋装苗,种植密度36株/㎡)。</w:t>
            </w:r>
            <w:r>
              <w:rPr>
                <w:rFonts w:hint="eastAsia" w:asciiTheme="minorEastAsia" w:hAnsiTheme="minorEastAsia" w:eastAsiaTheme="minorEastAsia" w:cstheme="minorEastAsia"/>
                <w:sz w:val="20"/>
                <w:szCs w:val="20"/>
                <w:highlight w:val="none"/>
              </w:rPr>
              <w:br w:type="textWrapping"/>
            </w:r>
            <w:r>
              <w:rPr>
                <w:rFonts w:hint="eastAsia" w:asciiTheme="minorEastAsia" w:hAnsiTheme="minorEastAsia" w:eastAsiaTheme="minorEastAsia" w:cstheme="minorEastAsia"/>
                <w:sz w:val="20"/>
                <w:szCs w:val="20"/>
                <w:highlight w:val="none"/>
              </w:rPr>
              <w:t>绿植范围：安全岛内除6米人行硬化通道外所有位置。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7</w:t>
            </w:r>
          </w:p>
        </w:tc>
        <w:tc>
          <w:tcPr>
            <w:tcW w:w="1480"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标志标线</w:t>
            </w:r>
          </w:p>
        </w:tc>
        <w:tc>
          <w:tcPr>
            <w:tcW w:w="840" w:type="dxa"/>
            <w:gridSpan w:val="3"/>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2740</w:t>
            </w:r>
          </w:p>
        </w:tc>
        <w:tc>
          <w:tcPr>
            <w:tcW w:w="66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w:t>
            </w:r>
          </w:p>
        </w:tc>
        <w:tc>
          <w:tcPr>
            <w:tcW w:w="6853"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1、热熔涂料施划。</w:t>
            </w:r>
            <w:r>
              <w:rPr>
                <w:rFonts w:hint="eastAsia" w:asciiTheme="minorEastAsia" w:hAnsiTheme="minorEastAsia" w:eastAsiaTheme="minorEastAsia" w:cstheme="minorEastAsia"/>
                <w:sz w:val="20"/>
                <w:szCs w:val="20"/>
                <w:highlight w:val="none"/>
              </w:rPr>
              <w:br w:type="textWrapping"/>
            </w:r>
            <w:r>
              <w:rPr>
                <w:rFonts w:hint="eastAsia" w:asciiTheme="minorEastAsia" w:hAnsiTheme="minorEastAsia" w:eastAsiaTheme="minorEastAsia" w:cstheme="minorEastAsia"/>
                <w:sz w:val="20"/>
                <w:szCs w:val="20"/>
                <w:highlight w:val="none"/>
              </w:rPr>
              <w:t>2、斑马线：40*600cm。</w:t>
            </w:r>
            <w:r>
              <w:rPr>
                <w:rFonts w:hint="eastAsia" w:asciiTheme="minorEastAsia" w:hAnsiTheme="minorEastAsia" w:eastAsiaTheme="minorEastAsia" w:cstheme="minorEastAsia"/>
                <w:sz w:val="20"/>
                <w:szCs w:val="20"/>
                <w:highlight w:val="none"/>
              </w:rPr>
              <w:br w:type="textWrapping"/>
            </w:r>
            <w:r>
              <w:rPr>
                <w:rFonts w:hint="eastAsia" w:asciiTheme="minorEastAsia" w:hAnsiTheme="minorEastAsia" w:eastAsiaTheme="minorEastAsia" w:cstheme="minorEastAsia"/>
                <w:sz w:val="20"/>
                <w:szCs w:val="20"/>
                <w:highlight w:val="none"/>
              </w:rPr>
              <w:t>3、导向箭头600cm。</w:t>
            </w:r>
            <w:r>
              <w:rPr>
                <w:rFonts w:hint="eastAsia" w:asciiTheme="minorEastAsia" w:hAnsiTheme="minorEastAsia" w:eastAsiaTheme="minorEastAsia" w:cstheme="minorEastAsia"/>
                <w:sz w:val="20"/>
                <w:szCs w:val="20"/>
                <w:highlight w:val="none"/>
              </w:rPr>
              <w:br w:type="textWrapping"/>
            </w:r>
            <w:r>
              <w:rPr>
                <w:rFonts w:hint="eastAsia" w:asciiTheme="minorEastAsia" w:hAnsiTheme="minorEastAsia" w:eastAsiaTheme="minorEastAsia" w:cstheme="minorEastAsia"/>
                <w:sz w:val="20"/>
                <w:szCs w:val="20"/>
                <w:highlight w:val="none"/>
              </w:rPr>
              <w:t>4、路口50米范围内分道标线施划15cm宽度实线。</w:t>
            </w:r>
            <w:r>
              <w:rPr>
                <w:rFonts w:hint="eastAsia" w:asciiTheme="minorEastAsia" w:hAnsiTheme="minorEastAsia" w:eastAsiaTheme="minorEastAsia" w:cstheme="minorEastAsia"/>
                <w:sz w:val="20"/>
                <w:szCs w:val="20"/>
                <w:highlight w:val="none"/>
              </w:rPr>
              <w:br w:type="textWrapping"/>
            </w:r>
            <w:r>
              <w:rPr>
                <w:rFonts w:hint="eastAsia" w:asciiTheme="minorEastAsia" w:hAnsiTheme="minorEastAsia" w:eastAsiaTheme="minorEastAsia" w:cstheme="minorEastAsia"/>
                <w:sz w:val="20"/>
                <w:szCs w:val="20"/>
                <w:highlight w:val="none"/>
              </w:rPr>
              <w:t>5、划线范围：路口每个方向停车线外50m处。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8</w:t>
            </w:r>
          </w:p>
        </w:tc>
        <w:tc>
          <w:tcPr>
            <w:tcW w:w="1480"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电子警察杆建基础</w:t>
            </w:r>
          </w:p>
        </w:tc>
        <w:tc>
          <w:tcPr>
            <w:tcW w:w="840" w:type="dxa"/>
            <w:gridSpan w:val="3"/>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5</w:t>
            </w:r>
          </w:p>
        </w:tc>
        <w:tc>
          <w:tcPr>
            <w:tcW w:w="66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处</w:t>
            </w:r>
          </w:p>
        </w:tc>
        <w:tc>
          <w:tcPr>
            <w:tcW w:w="6853"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杆建基础施工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9</w:t>
            </w:r>
          </w:p>
        </w:tc>
        <w:tc>
          <w:tcPr>
            <w:tcW w:w="1480"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交通信号杆建基础</w:t>
            </w:r>
          </w:p>
        </w:tc>
        <w:tc>
          <w:tcPr>
            <w:tcW w:w="840" w:type="dxa"/>
            <w:gridSpan w:val="3"/>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10</w:t>
            </w:r>
          </w:p>
        </w:tc>
        <w:tc>
          <w:tcPr>
            <w:tcW w:w="662" w:type="dxa"/>
            <w:vAlign w:val="center"/>
          </w:tcPr>
          <w:p>
            <w:pPr>
              <w:jc w:val="cente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处</w:t>
            </w:r>
          </w:p>
        </w:tc>
        <w:tc>
          <w:tcPr>
            <w:tcW w:w="6853" w:type="dxa"/>
            <w:vAlign w:val="center"/>
          </w:tcPr>
          <w:p>
            <w:pPr>
              <w:rPr>
                <w:rFonts w:hint="eastAsia" w:asciiTheme="minorEastAsia" w:hAnsiTheme="minorEastAsia" w:eastAsiaTheme="minorEastAsia" w:cstheme="minorEastAsia"/>
                <w:sz w:val="20"/>
                <w:szCs w:val="20"/>
                <w:highlight w:val="none"/>
              </w:rPr>
            </w:pPr>
            <w:r>
              <w:rPr>
                <w:rFonts w:hint="eastAsia" w:asciiTheme="minorEastAsia" w:hAnsiTheme="minorEastAsia" w:eastAsiaTheme="minorEastAsia" w:cstheme="minorEastAsia"/>
                <w:sz w:val="20"/>
                <w:szCs w:val="20"/>
                <w:highlight w:val="none"/>
              </w:rPr>
              <w:t>杆建基础施工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47" w:type="dxa"/>
            <w:gridSpan w:val="7"/>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三、商务条款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47" w:type="dxa"/>
            <w:gridSpan w:val="7"/>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sz w:val="24"/>
                <w:highlight w:val="none"/>
              </w:rPr>
              <w:t>（一）防城港市城市道路“智慧交通”项目设备采购-设备采购部分商务要求：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质保期</w:t>
            </w:r>
          </w:p>
        </w:tc>
        <w:tc>
          <w:tcPr>
            <w:tcW w:w="8163" w:type="dxa"/>
            <w:gridSpan w:val="3"/>
            <w:vAlign w:val="center"/>
          </w:tcPr>
          <w:p>
            <w:pP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按厂家承诺，但不少于3年（技术参数及性能配置要求有要求的按其规定）。质保期内免费维修、更换配件。质保期内如出现系统问题或设备故障的，免费提供相同规格型号的不低于原设备性能要求的替代品使用或者冗余服务。质保期内如出现48小时内无法修复系统问题或设备故障的，免费更换相同规格型号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交付日期</w:t>
            </w:r>
          </w:p>
        </w:tc>
        <w:tc>
          <w:tcPr>
            <w:tcW w:w="8163" w:type="dxa"/>
            <w:gridSpan w:val="3"/>
            <w:vAlign w:val="center"/>
          </w:tcPr>
          <w:p>
            <w:pPr>
              <w:spacing w:line="360" w:lineRule="exac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自采购合同签订之日起90个工作日。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交货安装地点</w:t>
            </w:r>
          </w:p>
        </w:tc>
        <w:tc>
          <w:tcPr>
            <w:tcW w:w="8163" w:type="dxa"/>
            <w:gridSpan w:val="3"/>
            <w:vAlign w:val="center"/>
          </w:tcPr>
          <w:p>
            <w:pPr>
              <w:spacing w:line="300" w:lineRule="exact"/>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防城港市指定地点</w:t>
            </w:r>
            <w:r>
              <w:rPr>
                <w:rFonts w:hint="eastAsia" w:asciiTheme="minorEastAsia" w:hAnsiTheme="minorEastAsia" w:eastAsiaTheme="minorEastAsia" w:cstheme="minorEastAsia"/>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签订合同日期</w:t>
            </w:r>
          </w:p>
        </w:tc>
        <w:tc>
          <w:tcPr>
            <w:tcW w:w="8163" w:type="dxa"/>
            <w:gridSpan w:val="3"/>
            <w:vAlign w:val="center"/>
          </w:tcPr>
          <w:p>
            <w:pPr>
              <w:spacing w:line="300" w:lineRule="exact"/>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Cs/>
                <w:szCs w:val="21"/>
                <w:highlight w:val="none"/>
              </w:rPr>
              <w:t>自中标通知书发出之日起25日内。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付款条件</w:t>
            </w:r>
          </w:p>
        </w:tc>
        <w:tc>
          <w:tcPr>
            <w:tcW w:w="8163" w:type="dxa"/>
            <w:gridSpan w:val="3"/>
            <w:vAlign w:val="center"/>
          </w:tcPr>
          <w:p>
            <w:pPr>
              <w:spacing w:line="300" w:lineRule="exact"/>
              <w:jc w:val="left"/>
              <w:rPr>
                <w:rFonts w:hint="eastAsia" w:asciiTheme="minorEastAsia" w:hAnsiTheme="minorEastAsia" w:eastAsiaTheme="minorEastAsia" w:cstheme="minorEastAsia"/>
                <w:szCs w:val="22"/>
                <w:highlight w:val="none"/>
              </w:rPr>
            </w:pPr>
            <w:r>
              <w:rPr>
                <w:rFonts w:hint="eastAsia" w:asciiTheme="minorEastAsia" w:hAnsiTheme="minorEastAsia" w:eastAsiaTheme="minorEastAsia" w:cstheme="minorEastAsia"/>
                <w:bCs/>
                <w:szCs w:val="21"/>
                <w:highlight w:val="none"/>
              </w:rPr>
              <w:t>该项目采用垫资建设分期付款方式，该项目签订合同后，乙方开具有效发票给甲方，甲方支付合同总金额的15%作为预付款，项目通过甲方聘请的监理和采购方同时验收后，乙方开具有效发票给甲方，甲方2021年支付余下合同总金额的60%，余下合同款在2022年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widowControl/>
              <w:spacing w:line="300" w:lineRule="exact"/>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Cs/>
                <w:szCs w:val="21"/>
                <w:highlight w:val="none"/>
              </w:rPr>
              <w:t>货物验收</w:t>
            </w:r>
          </w:p>
        </w:tc>
        <w:tc>
          <w:tcPr>
            <w:tcW w:w="8163" w:type="dxa"/>
            <w:gridSpan w:val="3"/>
            <w:vAlign w:val="center"/>
          </w:tcPr>
          <w:p>
            <w:pPr>
              <w:pStyle w:val="22"/>
              <w:snapToGrid w:val="0"/>
              <w:spacing w:line="300" w:lineRule="exact"/>
              <w:outlineLvl w:val="0"/>
              <w:rPr>
                <w:rFonts w:hint="eastAsia" w:asciiTheme="minorEastAsia" w:hAnsiTheme="minorEastAsia" w:eastAsiaTheme="minorEastAsia" w:cstheme="minorEastAsia"/>
                <w:bCs/>
                <w:kern w:val="2"/>
                <w:sz w:val="21"/>
                <w:highlight w:val="none"/>
              </w:rPr>
            </w:pPr>
            <w:r>
              <w:rPr>
                <w:rFonts w:hint="eastAsia" w:asciiTheme="minorEastAsia" w:hAnsiTheme="minorEastAsia" w:eastAsiaTheme="minorEastAsia" w:cstheme="minorEastAsia"/>
                <w:bCs/>
                <w:kern w:val="2"/>
                <w:sz w:val="21"/>
                <w:highlight w:val="none"/>
              </w:rPr>
              <w:t>1、交货安装调试完毕后，由采购人及中标供应商共同组织现场检测、检验，按招标文件要求及国家标准进行验收。</w:t>
            </w:r>
          </w:p>
          <w:p>
            <w:pPr>
              <w:pStyle w:val="22"/>
              <w:snapToGrid w:val="0"/>
              <w:spacing w:line="300" w:lineRule="exact"/>
              <w:outlineLvl w:val="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bCs/>
                <w:kern w:val="2"/>
                <w:sz w:val="21"/>
                <w:highlight w:val="none"/>
              </w:rPr>
              <w:t>2、采购人现场根据合同及投标文件承诺逐条对应进行核验，核验不合格的，采购人有权终止合同执行并全部退货，同时报相关监督管理部门处理，由此造成采购人经济损失的由成交供应商负责承担全部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spacing w:line="300" w:lineRule="exact"/>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售后服务及其他要求</w:t>
            </w:r>
          </w:p>
        </w:tc>
        <w:tc>
          <w:tcPr>
            <w:tcW w:w="8163" w:type="dxa"/>
            <w:gridSpan w:val="3"/>
            <w:vAlign w:val="center"/>
          </w:tcPr>
          <w:p>
            <w:pPr>
              <w:spacing w:line="360" w:lineRule="atLeas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1、所采购设备必须原厂生产的全新合格产品，产品质量符合国家相关标准和安全规范。</w:t>
            </w:r>
          </w:p>
          <w:p>
            <w:pPr>
              <w:pStyle w:val="22"/>
              <w:spacing w:line="360" w:lineRule="atLeas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2、采购货物价格包含货物、随配附件、备品备件、工具、运抵指定交货地点、现场安装调试的各种费用和售后服务、税金等所有成本费用的总和；</w:t>
            </w:r>
          </w:p>
          <w:p>
            <w:pPr>
              <w:pStyle w:val="22"/>
              <w:spacing w:line="360" w:lineRule="atLeas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3、产权归属：所有设备（含前端、后台设备等，不包括光纤电路）合同期满后产权仍归采购人所有。</w:t>
            </w:r>
          </w:p>
          <w:p>
            <w:pPr>
              <w:spacing w:line="3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4、中标人必须承诺跟采购人签定有关的系统安全保密、保障协议。</w:t>
            </w:r>
          </w:p>
          <w:p>
            <w:pPr>
              <w:spacing w:line="360" w:lineRule="exact"/>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szCs w:val="21"/>
                <w:highlight w:val="none"/>
              </w:rPr>
              <w:t>5、</w:t>
            </w:r>
            <w:r>
              <w:rPr>
                <w:rFonts w:hint="eastAsia" w:asciiTheme="minorEastAsia" w:hAnsiTheme="minorEastAsia" w:eastAsiaTheme="minorEastAsia" w:cstheme="minorEastAsia"/>
                <w:bCs/>
                <w:highlight w:val="none"/>
              </w:rPr>
              <w:t>投标人可以根据实际需要及所投产品需求自行开展调研工作，并在投标文件中明确承诺可以满足招标文件所要求的对接及软件功能的完全融合应用要求，否则投标无效。</w:t>
            </w:r>
          </w:p>
          <w:p>
            <w:pPr>
              <w:spacing w:line="3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Cs/>
                <w:highlight w:val="none"/>
              </w:rPr>
              <w:t>6、需派2名技术人员驻场在市交警支队，由交警支队负责统一管理、统一调配；</w:t>
            </w:r>
          </w:p>
          <w:p>
            <w:pPr>
              <w:spacing w:line="3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7、维护服务：</w:t>
            </w:r>
          </w:p>
          <w:p>
            <w:pPr>
              <w:spacing w:line="3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（1）质保期内免费提供软件升级维护服务，提供7×24小时热线电话服务</w:t>
            </w:r>
          </w:p>
          <w:p>
            <w:pPr>
              <w:spacing w:line="3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（2）该项目所有设备（含前端、平</w:t>
            </w:r>
            <w:r>
              <w:rPr>
                <w:rFonts w:hint="eastAsia" w:asciiTheme="minorEastAsia" w:hAnsiTheme="minorEastAsia" w:eastAsiaTheme="minorEastAsia" w:cstheme="minorEastAsia"/>
                <w:color w:val="auto"/>
                <w:szCs w:val="21"/>
                <w:highlight w:val="none"/>
              </w:rPr>
              <w:t>台、机房及线路，且前端设备通过防城港市公安局运维管理平台派单）故障处理响应时间需在30分钟以内，故障修复时间不超过6小时，特殊地点(超高、危险区域)特殊天气故障修复时间不超过24小时。现场故障一般处理时间段为8:00到18:00，技术人员赶到现场，如不能</w:t>
            </w:r>
            <w:r>
              <w:rPr>
                <w:rFonts w:hint="eastAsia" w:asciiTheme="minorEastAsia" w:hAnsiTheme="minorEastAsia" w:eastAsiaTheme="minorEastAsia" w:cstheme="minorEastAsia"/>
                <w:szCs w:val="21"/>
                <w:highlight w:val="none"/>
              </w:rPr>
              <w:t>确定设备故障原因，则安排替换设备进行替换，并将故障设备带回检修，考虑到前端障碍处理的安全要求及环境条件，18:00以后申报的故障原则上可以在第二天8:00后安排处理，案件需要等特殊原因除外。</w:t>
            </w:r>
          </w:p>
          <w:p>
            <w:pPr>
              <w:pStyle w:val="103"/>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（3）中标人需指定一名人员负责该项目的所有联系，姓名：，联系电话：，如有变更必须及时通知采购人。</w:t>
            </w:r>
          </w:p>
          <w:p>
            <w:pPr>
              <w:pStyle w:val="103"/>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（4）如售后服务没有按承诺的条款履行，本年度出现次数≥20次，将扣除本年度需支付金额的2%。</w:t>
            </w:r>
          </w:p>
          <w:p>
            <w:pPr>
              <w:pStyle w:val="103"/>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交通综合管控平台、云存储系统、交通违法AI检测平台、网络及安全系统、电子警察抓拍系统、交通信号控制系统、机房主要设备必须有投标产品原始厂商的书面授权委托书，并且要有原始厂商的售后服务承诺书；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47" w:type="dxa"/>
            <w:gridSpan w:val="7"/>
            <w:vAlign w:val="center"/>
          </w:tcPr>
          <w:p>
            <w:pPr>
              <w:widowControl/>
              <w:jc w:val="left"/>
              <w:textAlignment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
                <w:bCs/>
                <w:sz w:val="24"/>
                <w:highlight w:val="none"/>
              </w:rPr>
              <w:t>（二）防城港市城市道路“智慧交通”项目设备采购-装饰装修工程部分商务要求：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质保期</w:t>
            </w:r>
          </w:p>
        </w:tc>
        <w:tc>
          <w:tcPr>
            <w:tcW w:w="8163" w:type="dxa"/>
            <w:gridSpan w:val="3"/>
            <w:vAlign w:val="center"/>
          </w:tcPr>
          <w:p>
            <w:pP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按厂家承诺，但不少于3年（技术参数及性能配置要求有要求的按其规定）。质保期内免费维修、更换配件。质保期内如出现系统问题或设备故障的，免费提供相同规格型号的不低于原设备性能要求的替代品使用或者冗余服务。质保期内如出现48小时内无法修复系统问题或设备故障的，免费更换相同规格型号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交付日期</w:t>
            </w:r>
          </w:p>
        </w:tc>
        <w:tc>
          <w:tcPr>
            <w:tcW w:w="8163" w:type="dxa"/>
            <w:gridSpan w:val="3"/>
            <w:vAlign w:val="center"/>
          </w:tcPr>
          <w:p>
            <w:pPr>
              <w:spacing w:line="360" w:lineRule="exac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自采购合同签订之日起60个工作日。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交货安装地点</w:t>
            </w:r>
          </w:p>
        </w:tc>
        <w:tc>
          <w:tcPr>
            <w:tcW w:w="8163" w:type="dxa"/>
            <w:gridSpan w:val="3"/>
            <w:vAlign w:val="center"/>
          </w:tcPr>
          <w:p>
            <w:pPr>
              <w:spacing w:line="300" w:lineRule="exact"/>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防城港市采购人指定地点</w:t>
            </w:r>
            <w:r>
              <w:rPr>
                <w:rFonts w:hint="eastAsia" w:asciiTheme="minorEastAsia" w:hAnsiTheme="minorEastAsia" w:eastAsiaTheme="minorEastAsia" w:cstheme="minorEastAsia"/>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签订合同日期</w:t>
            </w:r>
          </w:p>
        </w:tc>
        <w:tc>
          <w:tcPr>
            <w:tcW w:w="8163" w:type="dxa"/>
            <w:gridSpan w:val="3"/>
            <w:vAlign w:val="center"/>
          </w:tcPr>
          <w:p>
            <w:pPr>
              <w:spacing w:line="300" w:lineRule="exact"/>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Cs/>
                <w:szCs w:val="21"/>
                <w:highlight w:val="none"/>
              </w:rPr>
              <w:t>自中标通知书发出之日起25日内。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付款条件</w:t>
            </w:r>
          </w:p>
        </w:tc>
        <w:tc>
          <w:tcPr>
            <w:tcW w:w="8163" w:type="dxa"/>
            <w:gridSpan w:val="3"/>
            <w:vAlign w:val="center"/>
          </w:tcPr>
          <w:p>
            <w:pPr>
              <w:spacing w:line="300" w:lineRule="exact"/>
              <w:jc w:val="left"/>
              <w:rPr>
                <w:rFonts w:hint="eastAsia" w:asciiTheme="minorEastAsia" w:hAnsiTheme="minorEastAsia" w:eastAsiaTheme="minorEastAsia" w:cstheme="minorEastAsia"/>
                <w:szCs w:val="22"/>
                <w:highlight w:val="none"/>
              </w:rPr>
            </w:pPr>
            <w:r>
              <w:rPr>
                <w:rFonts w:hint="eastAsia" w:asciiTheme="minorEastAsia" w:hAnsiTheme="minorEastAsia" w:eastAsiaTheme="minorEastAsia" w:cstheme="minorEastAsia"/>
                <w:bCs/>
                <w:szCs w:val="21"/>
                <w:highlight w:val="none"/>
              </w:rPr>
              <w:t>该项目采用垫资建设分期付款方式，本项目没有预付款，第一笔为项目竣工验收后，乙方开具有效发票给甲方，甲方支付合同总金额的80%，第二笔项目工程结算后，乙方开具有效发票给甲方，甲方支付合同总金额的15%，第三笔为项目质保期满后支付剩余的5%（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widowControl/>
              <w:spacing w:line="300" w:lineRule="exact"/>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bCs/>
                <w:szCs w:val="21"/>
                <w:highlight w:val="none"/>
              </w:rPr>
              <w:t>货物验收</w:t>
            </w:r>
          </w:p>
        </w:tc>
        <w:tc>
          <w:tcPr>
            <w:tcW w:w="8163" w:type="dxa"/>
            <w:gridSpan w:val="3"/>
            <w:vAlign w:val="center"/>
          </w:tcPr>
          <w:p>
            <w:pPr>
              <w:pStyle w:val="22"/>
              <w:snapToGrid w:val="0"/>
              <w:spacing w:line="300" w:lineRule="exact"/>
              <w:outlineLvl w:val="0"/>
              <w:rPr>
                <w:rFonts w:hint="eastAsia" w:asciiTheme="minorEastAsia" w:hAnsiTheme="minorEastAsia" w:eastAsiaTheme="minorEastAsia" w:cstheme="minorEastAsia"/>
                <w:bCs/>
                <w:kern w:val="2"/>
                <w:sz w:val="21"/>
                <w:highlight w:val="none"/>
              </w:rPr>
            </w:pPr>
            <w:r>
              <w:rPr>
                <w:rFonts w:hint="eastAsia" w:asciiTheme="minorEastAsia" w:hAnsiTheme="minorEastAsia" w:eastAsiaTheme="minorEastAsia" w:cstheme="minorEastAsia"/>
                <w:bCs/>
                <w:kern w:val="2"/>
                <w:sz w:val="21"/>
                <w:highlight w:val="none"/>
              </w:rPr>
              <w:t>1、交货安装调试完毕后，由采购人及中标供应商共同组织现场检测、检验，按招标文件要求及国家标准进行验收。</w:t>
            </w:r>
          </w:p>
          <w:p>
            <w:pPr>
              <w:pStyle w:val="22"/>
              <w:snapToGrid w:val="0"/>
              <w:spacing w:line="300" w:lineRule="exact"/>
              <w:outlineLvl w:val="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bCs/>
                <w:kern w:val="2"/>
                <w:sz w:val="21"/>
                <w:highlight w:val="none"/>
              </w:rPr>
              <w:t>2、采购人现场根据合同及投标文件承诺逐条对应进行核验，核验不合格的，采购人有权终止合同执行并全部退货，同时报相关监督管理部门处理，由此造成采购人经济损失的由中标供应商负责承担全部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spacing w:line="300" w:lineRule="exact"/>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售后服务及其他要求</w:t>
            </w:r>
          </w:p>
        </w:tc>
        <w:tc>
          <w:tcPr>
            <w:tcW w:w="8163" w:type="dxa"/>
            <w:gridSpan w:val="3"/>
            <w:vAlign w:val="center"/>
          </w:tcPr>
          <w:p>
            <w:pPr>
              <w:adjustRightInd w:val="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（1）按国家有关规定实行产品“三包”；</w:t>
            </w:r>
          </w:p>
          <w:p>
            <w:pPr>
              <w:adjustRightInd w:val="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（2）免费送货上门；</w:t>
            </w:r>
          </w:p>
          <w:p>
            <w:pPr>
              <w:adjustRightInd w:val="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（3）如在使用过程中发生质量问题，乙方在接到甲方通知后在48小时内到达甲方现场处理,在5个工作日内提出解决方案，并在10个工作日内解决相关问题；</w:t>
            </w:r>
          </w:p>
          <w:p>
            <w:pPr>
              <w:adjustRightInd w:val="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（4）定期回访以及维修；提供7x24小时热线电话服务；</w:t>
            </w:r>
          </w:p>
          <w:p>
            <w:pPr>
              <w:spacing w:line="3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（5）</w:t>
            </w:r>
            <w:r>
              <w:rPr>
                <w:rFonts w:hint="eastAsia" w:asciiTheme="minorEastAsia" w:hAnsiTheme="minorEastAsia" w:eastAsiaTheme="minorEastAsia" w:cstheme="minorEastAsia"/>
                <w:szCs w:val="21"/>
                <w:highlight w:val="none"/>
              </w:rPr>
              <w:t>质保期和免费维护期内定期对装饰装修材料进行免费保养和维</w:t>
            </w:r>
            <w:r>
              <w:rPr>
                <w:rFonts w:hint="eastAsia" w:asciiTheme="minorEastAsia" w:hAnsiTheme="minorEastAsia" w:eastAsiaTheme="minorEastAsia" w:cstheme="minorEastAsia"/>
                <w:bCs/>
                <w:highlight w:val="none"/>
              </w:rPr>
              <w:t>护（免费维修或更换配件），保修期内出现故障，需派出工人到达现场处理故障，并承担一切费用，保修期外发生维修只收材料成本费；</w:t>
            </w:r>
          </w:p>
          <w:p>
            <w:pPr>
              <w:spacing w:line="360" w:lineRule="exact"/>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（6）提供终身保修；</w:t>
            </w:r>
          </w:p>
          <w:p>
            <w:pPr>
              <w:spacing w:line="360" w:lineRule="exact"/>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（7）其余按厂家承诺进行。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4" w:type="dxa"/>
            <w:gridSpan w:val="4"/>
            <w:vAlign w:val="center"/>
          </w:tcPr>
          <w:p>
            <w:pPr>
              <w:spacing w:line="360" w:lineRule="exact"/>
              <w:jc w:val="left"/>
              <w:rPr>
                <w:rFonts w:hint="eastAsia" w:asciiTheme="minorEastAsia" w:hAnsiTheme="minorEastAsia" w:eastAsiaTheme="minorEastAsia" w:cstheme="minorEastAsia"/>
                <w:bCs/>
                <w:color w:val="0000FF"/>
                <w:highlight w:val="none"/>
              </w:rPr>
            </w:pPr>
            <w:r>
              <w:rPr>
                <w:rFonts w:hint="eastAsia" w:asciiTheme="minorEastAsia" w:hAnsiTheme="minorEastAsia" w:eastAsiaTheme="minorEastAsia" w:cstheme="minorEastAsia"/>
                <w:bCs/>
                <w:highlight w:val="none"/>
              </w:rPr>
              <w:t>现场勘察</w:t>
            </w:r>
          </w:p>
        </w:tc>
        <w:tc>
          <w:tcPr>
            <w:tcW w:w="8163" w:type="dxa"/>
            <w:gridSpan w:val="3"/>
            <w:vAlign w:val="center"/>
          </w:tcPr>
          <w:p>
            <w:pPr>
              <w:spacing w:line="360" w:lineRule="exact"/>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采购人集中组织现场踏勘：</w:t>
            </w:r>
          </w:p>
          <w:p>
            <w:pPr>
              <w:spacing w:line="360" w:lineRule="exact"/>
              <w:rPr>
                <w:rFonts w:hint="eastAsia"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（1）踏勘时间：2020年</w:t>
            </w:r>
            <w:r>
              <w:rPr>
                <w:rFonts w:hint="eastAsia" w:asciiTheme="minorEastAsia" w:hAnsiTheme="minorEastAsia" w:eastAsiaTheme="minorEastAsia" w:cstheme="minorEastAsia"/>
                <w:bCs/>
                <w:color w:val="auto"/>
                <w:highlight w:val="none"/>
                <w:lang w:val="en-US" w:eastAsia="zh-CN"/>
              </w:rPr>
              <w:t>8</w:t>
            </w:r>
            <w:r>
              <w:rPr>
                <w:rFonts w:hint="eastAsia" w:asciiTheme="minorEastAsia" w:hAnsiTheme="minorEastAsia" w:eastAsiaTheme="minorEastAsia" w:cstheme="minorEastAsia"/>
                <w:bCs/>
                <w:color w:val="auto"/>
                <w:highlight w:val="none"/>
              </w:rPr>
              <w:t>月</w:t>
            </w:r>
            <w:r>
              <w:rPr>
                <w:rFonts w:hint="eastAsia" w:asciiTheme="minorEastAsia" w:hAnsiTheme="minorEastAsia" w:eastAsiaTheme="minorEastAsia" w:cstheme="minorEastAsia"/>
                <w:bCs/>
                <w:color w:val="auto"/>
                <w:highlight w:val="none"/>
                <w:lang w:val="en-US" w:eastAsia="zh-CN"/>
              </w:rPr>
              <w:t>4</w:t>
            </w:r>
            <w:r>
              <w:rPr>
                <w:rFonts w:hint="eastAsia" w:asciiTheme="minorEastAsia" w:hAnsiTheme="minorEastAsia" w:eastAsiaTheme="minorEastAsia" w:cstheme="minorEastAsia"/>
                <w:bCs/>
                <w:color w:val="auto"/>
                <w:highlight w:val="none"/>
              </w:rPr>
              <w:t>日</w:t>
            </w:r>
            <w:r>
              <w:rPr>
                <w:rFonts w:hint="eastAsia" w:asciiTheme="minorEastAsia" w:hAnsiTheme="minorEastAsia" w:eastAsiaTheme="minorEastAsia" w:cstheme="minorEastAsia"/>
                <w:bCs/>
                <w:color w:val="auto"/>
                <w:highlight w:val="none"/>
                <w:lang w:val="en-US" w:eastAsia="zh-CN"/>
              </w:rPr>
              <w:t>09</w:t>
            </w:r>
            <w:r>
              <w:rPr>
                <w:rFonts w:hint="eastAsia" w:asciiTheme="minorEastAsia" w:hAnsiTheme="minorEastAsia" w:eastAsiaTheme="minorEastAsia" w:cstheme="minorEastAsia"/>
                <w:bCs/>
                <w:color w:val="auto"/>
                <w:highlight w:val="none"/>
              </w:rPr>
              <w:t>时</w:t>
            </w:r>
            <w:r>
              <w:rPr>
                <w:rFonts w:hint="eastAsia" w:asciiTheme="minorEastAsia" w:hAnsiTheme="minorEastAsia" w:eastAsiaTheme="minorEastAsia" w:cstheme="minorEastAsia"/>
                <w:bCs/>
                <w:color w:val="auto"/>
                <w:highlight w:val="none"/>
                <w:lang w:val="en-US" w:eastAsia="zh-CN"/>
              </w:rPr>
              <w:t>30</w:t>
            </w:r>
            <w:r>
              <w:rPr>
                <w:rFonts w:hint="eastAsia" w:asciiTheme="minorEastAsia" w:hAnsiTheme="minorEastAsia" w:eastAsiaTheme="minorEastAsia" w:cstheme="minorEastAsia"/>
                <w:bCs/>
                <w:color w:val="auto"/>
                <w:highlight w:val="none"/>
              </w:rPr>
              <w:t>分；</w:t>
            </w:r>
          </w:p>
          <w:p>
            <w:pPr>
              <w:spacing w:line="360" w:lineRule="exact"/>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（2）踏勘集中地点：防城港市港口区金花茶大道69号；</w:t>
            </w:r>
          </w:p>
          <w:p>
            <w:pPr>
              <w:spacing w:line="360" w:lineRule="exact"/>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（3）踏勘联系人及联系电话：吴美    0770-6126288；</w:t>
            </w:r>
          </w:p>
          <w:p>
            <w:pPr>
              <w:spacing w:line="360" w:lineRule="exact"/>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（4）踏勘人员由投标人的法定代表人(负责人)或受权委托代理人携带单位介绍信原件、本人身份证原件及已购买本项目的招标文件前往。</w:t>
            </w:r>
          </w:p>
          <w:p>
            <w:pPr>
              <w:spacing w:line="360" w:lineRule="exact"/>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（5）招标人统一组织踏勘，逾期不候，因不参加踏勘可能导致对本项目要求理解不清的后果自负；</w:t>
            </w:r>
          </w:p>
          <w:p>
            <w:pPr>
              <w:spacing w:line="360" w:lineRule="exact"/>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（6）投标人承担自己踏勘现场发生的费用；</w:t>
            </w:r>
          </w:p>
          <w:p>
            <w:pPr>
              <w:spacing w:line="360" w:lineRule="exact"/>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7）除招标人的原因外，投标人自行负责在踏勘现场中所发生的人员伤亡和财产损失；招标人在踏勘现场中介绍的工程场地和周边环境情况，供投标人在编制投标文件时参考，招标人不对投标人据此做出的判断和决策负责。</w:t>
            </w:r>
          </w:p>
          <w:p>
            <w:pPr>
              <w:spacing w:line="360" w:lineRule="exact"/>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（8）现场踏勘结束由采购人出具盖有单位公章的现场踏勘证明。投标人需将踏勘证明原件置于投标文件资格审查部分（副本可放踏勘证明复印件）。</w:t>
            </w:r>
            <w:r>
              <w:rPr>
                <w:rFonts w:hint="eastAsia" w:asciiTheme="minorEastAsia" w:hAnsiTheme="minorEastAsia" w:eastAsiaTheme="minorEastAsia" w:cstheme="minorEastAsia"/>
                <w:szCs w:val="21"/>
                <w:highlight w:val="none"/>
              </w:rPr>
              <w:t>各投标人完成21个路口设计工作（工勘点位名称见备注），投标人在投标文件中提供现场勘察回执复印件和工勘报告（含详细设计图纸、设备清单），否则投标无效。</w:t>
            </w:r>
          </w:p>
          <w:p>
            <w:pPr>
              <w:pStyle w:val="2"/>
              <w:ind w:firstLine="46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Cs/>
                <w:spacing w:val="0"/>
                <w:kern w:val="2"/>
                <w:sz w:val="21"/>
                <w:szCs w:val="24"/>
                <w:highlight w:val="none"/>
                <w:lang w:val="en-US" w:eastAsia="zh-CN" w:bidi="ar-SA"/>
              </w:rPr>
              <w:t>备注：1.江山大道与将军山路十字路口； 2.长山路与与祥云路十字路口；3.桃源路与珍珠路十字路口；4.广场北路与碧园路十字路口；5.渔万路与贵州路十字路口； 6.沙潭江大道富康市场旁十字路口； 7.沙企一级路22KM+500米与企沙镇北港大道T字路口； 8.金花茶大道与民安街十字路口（五中路口）； 9.防东公路河西武警支队十字路口； 10.企沙镇北港大道和兴企路十字路口； 11.企沙镇电厂联线公路和兴企路T字路口； 12.企沙镇电厂联线公路和港安路T字路口； 13.企沙镇电厂联线公路和德城大道T字路口； 14.企沙镇云约江南路与玉石摊大道十字路口； 15.沙潭江大道和新兴路十字路口（盛隆六号门）； 16.沙潭江大道与榕木江大道十字路口（盛隆新二号门）； 17.沙潭江大道港口区消防大队十字路口；18.金花茶大道与江山大道十字路口； 19.金花茶大道与民乐街十字路口； 20.北部湾大道与文昌大道十字路口； 21.金花茶大道与田口街路十字路口。</w:t>
            </w:r>
          </w:p>
        </w:tc>
      </w:tr>
    </w:tbl>
    <w:p>
      <w:pPr>
        <w:pStyle w:val="18"/>
        <w:rPr>
          <w:rFonts w:hint="eastAsia" w:asciiTheme="minorEastAsia" w:hAnsiTheme="minorEastAsia" w:eastAsiaTheme="minorEastAsia" w:cstheme="minorEastAsia"/>
          <w:sz w:val="21"/>
          <w:szCs w:val="21"/>
          <w:highlight w:val="none"/>
        </w:rPr>
      </w:pPr>
    </w:p>
    <w:p>
      <w:pPr>
        <w:pStyle w:val="108"/>
        <w:numPr>
          <w:ilvl w:val="0"/>
          <w:numId w:val="4"/>
        </w:numPr>
        <w:spacing w:before="40" w:after="140"/>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r>
        <w:rPr>
          <w:rFonts w:hint="eastAsia" w:asciiTheme="minorEastAsia" w:hAnsiTheme="minorEastAsia" w:eastAsiaTheme="minorEastAsia" w:cstheme="minorEastAsia"/>
          <w:highlight w:val="none"/>
        </w:rPr>
        <w:t>投标人须知</w:t>
      </w:r>
    </w:p>
    <w:p>
      <w:pPr>
        <w:pStyle w:val="103"/>
        <w:jc w:val="center"/>
        <w:rPr>
          <w:rFonts w:hint="eastAsia" w:asciiTheme="minorEastAsia" w:hAnsiTheme="minorEastAsia" w:eastAsiaTheme="minorEastAsia" w:cstheme="minorEastAsia"/>
          <w:szCs w:val="21"/>
          <w:highlight w:val="none"/>
        </w:rPr>
      </w:pPr>
      <w:bookmarkStart w:id="4" w:name="_Toc254970526"/>
      <w:bookmarkStart w:id="5" w:name="_Toc254970667"/>
      <w:bookmarkStart w:id="6" w:name="_Toc430110129"/>
      <w:r>
        <w:rPr>
          <w:rFonts w:hint="eastAsia" w:asciiTheme="minorEastAsia" w:hAnsiTheme="minorEastAsia" w:eastAsiaTheme="minorEastAsia" w:cstheme="minorEastAsia"/>
          <w:highlight w:val="none"/>
        </w:rPr>
        <w:t>投标人须知</w:t>
      </w:r>
      <w:r>
        <w:rPr>
          <w:rFonts w:hint="eastAsia" w:asciiTheme="minorEastAsia" w:hAnsiTheme="minorEastAsia" w:eastAsiaTheme="minorEastAsia" w:cstheme="minorEastAsia"/>
          <w:szCs w:val="21"/>
          <w:highlight w:val="none"/>
        </w:rPr>
        <w:t>前附表</w:t>
      </w:r>
      <w:bookmarkEnd w:id="4"/>
      <w:bookmarkEnd w:id="5"/>
      <w:bookmarkEnd w:id="6"/>
    </w:p>
    <w:tbl>
      <w:tblPr>
        <w:tblStyle w:val="34"/>
        <w:tblW w:w="95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9"/>
        <w:gridCol w:w="8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szCs w:val="21"/>
                <w:highlight w:val="none"/>
              </w:rPr>
              <w:t>项目名称：</w:t>
            </w:r>
            <w:r>
              <w:rPr>
                <w:rFonts w:hint="eastAsia" w:asciiTheme="minorEastAsia" w:hAnsiTheme="minorEastAsia" w:eastAsiaTheme="minorEastAsia" w:cstheme="minorEastAsia"/>
                <w:highlight w:val="none"/>
              </w:rPr>
              <w:t>防城港市智慧交通项目管理系统采购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采购单位：防城港市公安局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投标报价及代理服务费用</w:t>
            </w:r>
            <w:r>
              <w:rPr>
                <w:rFonts w:hint="eastAsia" w:asciiTheme="minorEastAsia" w:hAnsiTheme="minorEastAsia" w:eastAsiaTheme="minorEastAsia" w:cstheme="minorEastAsia"/>
                <w:szCs w:val="21"/>
                <w:highlight w:val="none"/>
              </w:rPr>
              <w:t>：1.本项目投标应以人民币报价，根据采购需求作完整唯一报价；2.不论投标结果如何，投标人均应自行承担所有与投标有关的全部费用；3.</w:t>
            </w:r>
            <w:r>
              <w:rPr>
                <w:rFonts w:hint="eastAsia" w:asciiTheme="minorEastAsia" w:hAnsiTheme="minorEastAsia" w:eastAsiaTheme="minorEastAsia" w:cstheme="minorEastAsia"/>
                <w:highlight w:val="none"/>
              </w:rPr>
              <w:t>本项目委</w:t>
            </w:r>
            <w:r>
              <w:rPr>
                <w:rFonts w:hint="eastAsia" w:asciiTheme="minorEastAsia" w:hAnsiTheme="minorEastAsia" w:eastAsiaTheme="minorEastAsia" w:cstheme="minorEastAsia"/>
                <w:szCs w:val="21"/>
                <w:highlight w:val="none"/>
              </w:rPr>
              <w:t>托招标代理服务费按国家发展计划委员会计价格[2002]1980号《招标代理服务费管理暂行办法》及发改价格〔2015〕299 号文规定的收费标准计取，</w:t>
            </w:r>
            <w:r>
              <w:rPr>
                <w:rFonts w:hint="eastAsia" w:asciiTheme="minorEastAsia" w:hAnsiTheme="minorEastAsia" w:eastAsiaTheme="minorEastAsia" w:cstheme="minorEastAsia"/>
                <w:bCs/>
                <w:szCs w:val="21"/>
                <w:highlight w:val="none"/>
              </w:rPr>
              <w:t>由中标人在领取中标通知书时一次性向采购代理机构支付。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8820"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sz w:val="21"/>
                <w:szCs w:val="21"/>
                <w:highlight w:val="none"/>
              </w:rPr>
              <w:t>投标保证金：</w:t>
            </w:r>
            <w:r>
              <w:rPr>
                <w:rFonts w:hint="eastAsia" w:asciiTheme="minorEastAsia" w:hAnsiTheme="minorEastAsia" w:eastAsiaTheme="minorEastAsia" w:cstheme="minorEastAsia"/>
                <w:sz w:val="21"/>
                <w:szCs w:val="21"/>
                <w:highlight w:val="none"/>
              </w:rPr>
              <w:t>无</w:t>
            </w:r>
            <w:r>
              <w:rPr>
                <w:rFonts w:hint="eastAsia" w:asciiTheme="minorEastAsia" w:hAnsiTheme="minorEastAsia" w:eastAsiaTheme="minorEastAsia" w:cs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答疑与澄清</w:t>
            </w:r>
            <w:r>
              <w:rPr>
                <w:rFonts w:hint="eastAsia" w:asciiTheme="minorEastAsia" w:hAnsiTheme="minorEastAsia" w:eastAsiaTheme="minorEastAsia" w:cstheme="minorEastAsia"/>
                <w:szCs w:val="21"/>
                <w:highlight w:val="none"/>
              </w:rPr>
              <w:t>：投标人如认为招标文件表述不清晰、存在歧视性、排他性或者其他违法内容的，应当在知道或者应知其权益受到损害之日起七个工作日内以书面形式向招标采购单位提出质疑，招标采购单位将以书面形式予以解释、澄清；答疑内容作为招标文件的组成部份，并以书面形式通知所有已购买招标文件的投标人；招标采购单位可以视采购具体情况，延长投标截止时间和开标时间，但至少应当在招标文件要求提交投标文件的截止时间三日前，将变更时间书面通知所有购买招标文件的投标人，并在财政部门指定的政府采购信息发布媒体上发布变更时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420" w:firstLineChars="200"/>
              <w:textAlignment w:val="bottom"/>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投标文件组成：开标一览表一份；资格审查文件、商务/报价文件、技术文件正本各一份，副本各六份，提供可编辑的响应文件电子版U盘一份（单独密封包装不装入响应文件袋内，加盖公章随投标文件同时递交）。</w:t>
            </w:r>
          </w:p>
          <w:p>
            <w:pPr>
              <w:pStyle w:val="2"/>
              <w:ind w:firstLine="420"/>
              <w:rPr>
                <w:rFonts w:hint="eastAsia" w:asciiTheme="minorEastAsia" w:hAnsiTheme="minorEastAsia" w:eastAsiaTheme="minorEastAsia" w:cstheme="minorEastAsia"/>
                <w:spacing w:val="0"/>
                <w:kern w:val="2"/>
                <w:sz w:val="21"/>
                <w:szCs w:val="24"/>
                <w:highlight w:val="none"/>
              </w:rPr>
            </w:pPr>
            <w:r>
              <w:rPr>
                <w:rFonts w:hint="eastAsia" w:asciiTheme="minorEastAsia" w:hAnsiTheme="minorEastAsia" w:eastAsiaTheme="minorEastAsia" w:cstheme="minorEastAsia"/>
                <w:spacing w:val="0"/>
                <w:kern w:val="2"/>
                <w:sz w:val="21"/>
                <w:szCs w:val="24"/>
                <w:highlight w:val="none"/>
              </w:rPr>
              <w:t>1.开标一览表（单独封装，格式见附件）（必须提供）；</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2.资格审查文件：</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▲（1）投标声明书 (格式见附件)（必须提供）；</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▲（2）法定代表人（负责人）完整有效的身份证正反面复印件（必须提供）；</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▲（3）投标人法定代表人（负责人）授权委托书原件和委托代理人完整有效的身份证正反面复印件（委托代理时必须提供)；</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▲（4）企业营业执照副本复印件（要求清晰反映经营范围）；（必须提供）</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▲（5）现场勘察证明原件；（必须提供）</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▲（6）投标文件递交截止之日前半年内投标人连续三个月依法缴纳税收的凭证复印件。无纳税记录的，应提供投标人所在地税务部门出具的《依法纳税或依法免税证明》复印件（格式自拟）（必须提供）；</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投标文件递交截止之日前半年内投标人连续三个月依法缴纳社会保障资金的凭证复印件。无缴费记录的，应提供投标人所在地社保部门出具的《依法缴纳或依法免缴社保费证明》复印件（格式自拟）（必须提供）；</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2018年度、2019年度财务状况报告（可以是财务报表或银行资信证明）复印件或有效的第三方具备审计资质的机构出具的审计报告复印件（格式自拟）；（新成立不足2年的提供从成立起至今财务状况报告或审计报告）（必须提供）；</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▲（9）投标人具备履行合同所必需的设备或专业技术能力的书面声明原件（格式自拟）（必须提供）</w:t>
            </w:r>
          </w:p>
          <w:p>
            <w:pPr>
              <w:snapToGrid w:val="0"/>
              <w:ind w:firstLine="630" w:firstLineChars="3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（10）招标文件要求必须提供的其他材料。</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3.商务/报价文件</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▲（1）投标函 （必须提供）；</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▲（2）投标报价明细表（必须提供）；</w:t>
            </w:r>
          </w:p>
          <w:p>
            <w:pPr>
              <w:snapToGrid w:val="0"/>
              <w:ind w:firstLine="630" w:firstLineChars="3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（3）投标人针对报价需要说明的其他文件和说明（格式自拟）；</w:t>
            </w:r>
          </w:p>
          <w:p>
            <w:pPr>
              <w:snapToGrid w:val="0"/>
              <w:ind w:firstLine="630" w:firstLineChars="3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（4）2017年1月1日至投标截止时间止投标人承接的类似项目业绩一览表（投标人同类项目实施情况一览表、合同复印件、用户验收报告、用户评价等）</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▲（5）设备配置清单（均不含报价）（必须提供）；</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▲（6）商务响应表（格式见附件）（必须提供）；</w:t>
            </w:r>
          </w:p>
          <w:p>
            <w:pPr>
              <w:snapToGrid w:val="0"/>
              <w:ind w:firstLine="630" w:firstLineChars="3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（7）投标人需要说明的其他文件和说明。</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4.技术文件：</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▲（1）投标人针对本项目的方案（必须包含技术服务方案、工程施工方案、各单元设备照片、设计简介、售后服务方案，自行编写，格式自拟）（必须提供）；</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▲（2）项目实施人员一览表；</w:t>
            </w:r>
          </w:p>
          <w:p>
            <w:pPr>
              <w:snapToGrid w:val="0"/>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▲（3）技术响应表（必须提供）；</w:t>
            </w:r>
          </w:p>
          <w:p>
            <w:pPr>
              <w:snapToGrid w:val="0"/>
              <w:ind w:firstLine="630" w:firstLineChars="3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（4）投标人需要说明的其他文件和说明。</w:t>
            </w:r>
          </w:p>
          <w:p>
            <w:pPr>
              <w:pStyle w:val="2"/>
              <w:ind w:firstLine="42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spacing w:val="0"/>
                <w:kern w:val="2"/>
                <w:sz w:val="21"/>
                <w:szCs w:val="21"/>
                <w:highlight w:val="none"/>
              </w:rPr>
              <w:t>▲注：法定代表人授权委托书、投标声明书、响应表、投标函、开标一览表等必须由法定代表人或授权代表签名或盖章并加盖单位公章。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投标截止时间及地点</w:t>
            </w:r>
            <w:r>
              <w:rPr>
                <w:rFonts w:hint="eastAsia" w:asciiTheme="minorEastAsia" w:hAnsiTheme="minorEastAsia" w:eastAsiaTheme="minorEastAsia" w:cstheme="minorEastAsia"/>
                <w:color w:val="auto"/>
                <w:szCs w:val="21"/>
                <w:highlight w:val="none"/>
              </w:rPr>
              <w:t>：投标人应于</w:t>
            </w:r>
            <w:r>
              <w:rPr>
                <w:rFonts w:hint="eastAsia" w:asciiTheme="minorEastAsia" w:hAnsiTheme="minorEastAsia" w:eastAsiaTheme="minorEastAsia" w:cstheme="minorEastAsia"/>
                <w:bCs/>
                <w:color w:val="auto"/>
                <w:szCs w:val="21"/>
                <w:highlight w:val="none"/>
              </w:rPr>
              <w:t>2020年</w:t>
            </w:r>
            <w:r>
              <w:rPr>
                <w:rFonts w:hint="eastAsia" w:asciiTheme="minorEastAsia" w:hAnsiTheme="minorEastAsia" w:eastAsiaTheme="minorEastAsia" w:cstheme="minorEastAsia"/>
                <w:bCs/>
                <w:color w:val="auto"/>
                <w:szCs w:val="21"/>
                <w:highlight w:val="none"/>
                <w:lang w:val="en-US" w:eastAsia="zh-CN"/>
              </w:rPr>
              <w:t>8</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lang w:val="en-US" w:eastAsia="zh-CN"/>
              </w:rPr>
              <w:t>14</w:t>
            </w:r>
            <w:r>
              <w:rPr>
                <w:rFonts w:hint="eastAsia" w:asciiTheme="minorEastAsia" w:hAnsiTheme="minorEastAsia" w:eastAsiaTheme="minorEastAsia" w:cstheme="minorEastAsia"/>
                <w:bCs/>
                <w:color w:val="auto"/>
                <w:szCs w:val="21"/>
                <w:highlight w:val="none"/>
              </w:rPr>
              <w:t>日</w:t>
            </w:r>
            <w:r>
              <w:rPr>
                <w:rFonts w:hint="eastAsia" w:asciiTheme="minorEastAsia" w:hAnsiTheme="minorEastAsia" w:eastAsiaTheme="minorEastAsia" w:cstheme="minorEastAsia"/>
                <w:bCs/>
                <w:color w:val="auto"/>
                <w:szCs w:val="21"/>
                <w:highlight w:val="none"/>
                <w:lang w:val="en-US" w:eastAsia="zh-CN"/>
              </w:rPr>
              <w:t>9</w:t>
            </w:r>
            <w:r>
              <w:rPr>
                <w:rFonts w:hint="eastAsia" w:asciiTheme="minorEastAsia" w:hAnsiTheme="minorEastAsia" w:eastAsiaTheme="minorEastAsia" w:cstheme="minorEastAsia"/>
                <w:bCs/>
                <w:color w:val="auto"/>
                <w:szCs w:val="21"/>
                <w:highlight w:val="none"/>
              </w:rPr>
              <w:t>时</w:t>
            </w:r>
            <w:r>
              <w:rPr>
                <w:rFonts w:hint="eastAsia" w:asciiTheme="minorEastAsia" w:hAnsiTheme="minorEastAsia" w:eastAsiaTheme="minorEastAsia" w:cstheme="minorEastAsia"/>
                <w:bCs/>
                <w:color w:val="auto"/>
                <w:szCs w:val="21"/>
                <w:highlight w:val="none"/>
                <w:lang w:val="en-US" w:eastAsia="zh-CN"/>
              </w:rPr>
              <w:t>30</w:t>
            </w:r>
            <w:r>
              <w:rPr>
                <w:rFonts w:hint="eastAsia" w:asciiTheme="minorEastAsia" w:hAnsiTheme="minorEastAsia" w:eastAsiaTheme="minorEastAsia" w:cstheme="minorEastAsia"/>
                <w:bCs/>
                <w:color w:val="auto"/>
                <w:szCs w:val="21"/>
                <w:highlight w:val="none"/>
              </w:rPr>
              <w:t>分00秒</w:t>
            </w:r>
            <w:r>
              <w:rPr>
                <w:rFonts w:hint="eastAsia" w:asciiTheme="minorEastAsia" w:hAnsiTheme="minorEastAsia" w:eastAsiaTheme="minorEastAsia" w:cstheme="minorEastAsia"/>
                <w:color w:val="auto"/>
                <w:szCs w:val="21"/>
                <w:highlight w:val="none"/>
              </w:rPr>
              <w:t>前将投标文件密封送交到</w:t>
            </w:r>
            <w:r>
              <w:rPr>
                <w:rFonts w:hint="eastAsia" w:asciiTheme="minorEastAsia" w:hAnsiTheme="minorEastAsia" w:eastAsiaTheme="minorEastAsia" w:cstheme="minorEastAsia"/>
                <w:color w:val="auto"/>
                <w:szCs w:val="21"/>
                <w:highlight w:val="none"/>
                <w:u w:val="single"/>
              </w:rPr>
              <w:t>防城港市公共资源交易中心（防城港市迎宾路红树林大厦东塔，</w:t>
            </w:r>
            <w:r>
              <w:rPr>
                <w:rFonts w:hint="eastAsia" w:asciiTheme="minorEastAsia" w:hAnsiTheme="minorEastAsia" w:eastAsiaTheme="minorEastAsia" w:cstheme="minorEastAsia"/>
                <w:bCs/>
                <w:color w:val="auto"/>
                <w:szCs w:val="21"/>
                <w:highlight w:val="none"/>
                <w:u w:val="single"/>
              </w:rPr>
              <w:t>具体开标室根据6楼电子屏幕显示的安排</w:t>
            </w:r>
            <w:r>
              <w:rPr>
                <w:rFonts w:hint="eastAsia" w:asciiTheme="minorEastAsia" w:hAnsiTheme="minorEastAsia" w:eastAsiaTheme="minorEastAsia" w:cstheme="minorEastAsia"/>
                <w:color w:val="auto"/>
                <w:szCs w:val="21"/>
                <w:highlight w:val="none"/>
                <w:u w:val="single"/>
              </w:rPr>
              <w:t>）</w:t>
            </w:r>
            <w:r>
              <w:rPr>
                <w:rFonts w:hint="eastAsia" w:asciiTheme="minorEastAsia" w:hAnsiTheme="minorEastAsia" w:eastAsiaTheme="minorEastAsia" w:cstheme="minorEastAsia"/>
                <w:color w:val="auto"/>
                <w:szCs w:val="21"/>
                <w:highlight w:val="none"/>
              </w:rPr>
              <w:t>，逾期送达或未密封将予以拒收（或作无效投标文件处理）。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b/>
                <w:color w:val="auto"/>
                <w:szCs w:val="21"/>
                <w:highlight w:val="none"/>
              </w:rPr>
              <w:t>开标时间及地点</w:t>
            </w:r>
            <w:r>
              <w:rPr>
                <w:rFonts w:hint="eastAsia" w:asciiTheme="minorEastAsia" w:hAnsiTheme="minorEastAsia" w:eastAsiaTheme="minorEastAsia" w:cstheme="minorEastAsia"/>
                <w:color w:val="auto"/>
                <w:szCs w:val="21"/>
                <w:highlight w:val="none"/>
              </w:rPr>
              <w:t>：本次招标将于</w:t>
            </w:r>
            <w:r>
              <w:rPr>
                <w:rFonts w:hint="eastAsia" w:asciiTheme="minorEastAsia" w:hAnsiTheme="minorEastAsia" w:eastAsiaTheme="minorEastAsia" w:cstheme="minorEastAsia"/>
                <w:bCs/>
                <w:color w:val="auto"/>
                <w:szCs w:val="21"/>
                <w:highlight w:val="none"/>
              </w:rPr>
              <w:t>2020年</w:t>
            </w:r>
            <w:r>
              <w:rPr>
                <w:rFonts w:hint="eastAsia" w:asciiTheme="minorEastAsia" w:hAnsiTheme="minorEastAsia" w:eastAsiaTheme="minorEastAsia" w:cstheme="minorEastAsia"/>
                <w:bCs/>
                <w:color w:val="auto"/>
                <w:szCs w:val="21"/>
                <w:highlight w:val="none"/>
                <w:lang w:val="en-US" w:eastAsia="zh-CN"/>
              </w:rPr>
              <w:t>8</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lang w:val="en-US" w:eastAsia="zh-CN"/>
              </w:rPr>
              <w:t>14</w:t>
            </w:r>
            <w:r>
              <w:rPr>
                <w:rFonts w:hint="eastAsia" w:asciiTheme="minorEastAsia" w:hAnsiTheme="minorEastAsia" w:eastAsiaTheme="minorEastAsia" w:cstheme="minorEastAsia"/>
                <w:bCs/>
                <w:color w:val="auto"/>
                <w:szCs w:val="21"/>
                <w:highlight w:val="none"/>
              </w:rPr>
              <w:t>日</w:t>
            </w:r>
            <w:r>
              <w:rPr>
                <w:rFonts w:hint="eastAsia" w:asciiTheme="minorEastAsia" w:hAnsiTheme="minorEastAsia" w:eastAsiaTheme="minorEastAsia" w:cstheme="minorEastAsia"/>
                <w:bCs/>
                <w:color w:val="auto"/>
                <w:szCs w:val="21"/>
                <w:highlight w:val="none"/>
                <w:lang w:val="en-US" w:eastAsia="zh-CN"/>
              </w:rPr>
              <w:t>9</w:t>
            </w:r>
            <w:r>
              <w:rPr>
                <w:rFonts w:hint="eastAsia" w:asciiTheme="minorEastAsia" w:hAnsiTheme="minorEastAsia" w:eastAsiaTheme="minorEastAsia" w:cstheme="minorEastAsia"/>
                <w:bCs/>
                <w:color w:val="auto"/>
                <w:szCs w:val="21"/>
                <w:highlight w:val="none"/>
              </w:rPr>
              <w:t>时</w:t>
            </w:r>
            <w:r>
              <w:rPr>
                <w:rFonts w:hint="eastAsia" w:asciiTheme="minorEastAsia" w:hAnsiTheme="minorEastAsia" w:eastAsiaTheme="minorEastAsia" w:cstheme="minorEastAsia"/>
                <w:bCs/>
                <w:color w:val="auto"/>
                <w:szCs w:val="21"/>
                <w:highlight w:val="none"/>
                <w:lang w:val="en-US" w:eastAsia="zh-CN"/>
              </w:rPr>
              <w:t>30</w:t>
            </w:r>
            <w:r>
              <w:rPr>
                <w:rFonts w:hint="eastAsia" w:asciiTheme="minorEastAsia" w:hAnsiTheme="minorEastAsia" w:eastAsiaTheme="minorEastAsia" w:cstheme="minorEastAsia"/>
                <w:bCs/>
                <w:color w:val="auto"/>
                <w:szCs w:val="21"/>
                <w:highlight w:val="none"/>
              </w:rPr>
              <w:t>分</w:t>
            </w:r>
            <w:r>
              <w:rPr>
                <w:rFonts w:hint="eastAsia" w:asciiTheme="minorEastAsia" w:hAnsiTheme="minorEastAsia" w:eastAsiaTheme="minorEastAsia" w:cstheme="minorEastAsia"/>
                <w:color w:val="auto"/>
                <w:szCs w:val="21"/>
                <w:highlight w:val="none"/>
              </w:rPr>
              <w:t>整在防城港市公共资源交易中心（防城港市迎宾路红树林大厦东塔，</w:t>
            </w:r>
            <w:r>
              <w:rPr>
                <w:rFonts w:hint="eastAsia" w:asciiTheme="minorEastAsia" w:hAnsiTheme="minorEastAsia" w:eastAsiaTheme="minorEastAsia" w:cstheme="minorEastAsia"/>
                <w:bCs/>
                <w:color w:val="auto"/>
                <w:szCs w:val="21"/>
                <w:highlight w:val="none"/>
              </w:rPr>
              <w:t>具体开标室根据6楼电子屏幕显示的安排</w:t>
            </w:r>
            <w:r>
              <w:rPr>
                <w:rFonts w:hint="eastAsia" w:asciiTheme="minorEastAsia" w:hAnsiTheme="minorEastAsia" w:eastAsiaTheme="minorEastAsia" w:cstheme="minorEastAsia"/>
                <w:color w:val="auto"/>
                <w:szCs w:val="21"/>
                <w:highlight w:val="none"/>
              </w:rPr>
              <w:t>）开标。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评标办法及评分标准</w:t>
            </w:r>
            <w:r>
              <w:rPr>
                <w:rFonts w:hint="eastAsia" w:asciiTheme="minorEastAsia" w:hAnsiTheme="minorEastAsia" w:eastAsiaTheme="minorEastAsia" w:cstheme="minorEastAsia"/>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中标公告及中标通知书</w:t>
            </w:r>
            <w:r>
              <w:rPr>
                <w:rFonts w:hint="eastAsia" w:asciiTheme="minorEastAsia" w:hAnsiTheme="minorEastAsia" w:eastAsiaTheme="minorEastAsia" w:cstheme="minorEastAsia"/>
                <w:szCs w:val="21"/>
                <w:highlight w:val="none"/>
              </w:rPr>
              <w:t>：采购代理机构在采购人依法确认中标人后二个工作日内发布中标公告和向中标人发出中标通知书，中标公告发布于财政部门指定的政府采购信息发布媒体。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11</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20" w:lineRule="exact"/>
              <w:textAlignment w:val="bottom"/>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履约保证金的收取</w:t>
            </w:r>
            <w:r>
              <w:rPr>
                <w:rFonts w:hint="eastAsia" w:asciiTheme="minorEastAsia" w:hAnsiTheme="minorEastAsia" w:eastAsiaTheme="minorEastAsia" w:cstheme="minorEastAsia"/>
                <w:szCs w:val="21"/>
                <w:highlight w:val="none"/>
              </w:rPr>
              <w:t>:按中标金额的</w:t>
            </w:r>
            <w:r>
              <w:rPr>
                <w:rFonts w:hint="eastAsia" w:asciiTheme="minorEastAsia" w:hAnsiTheme="minorEastAsia" w:eastAsiaTheme="minorEastAsia" w:cstheme="minorEastAsia"/>
                <w:szCs w:val="21"/>
                <w:highlight w:val="none"/>
                <w:u w:val="single"/>
              </w:rPr>
              <w:t>1</w:t>
            </w:r>
            <w:r>
              <w:rPr>
                <w:rFonts w:hint="eastAsia" w:asciiTheme="minorEastAsia" w:hAnsiTheme="minorEastAsia" w:eastAsiaTheme="minorEastAsia" w:cstheme="minorEastAsia"/>
                <w:szCs w:val="21"/>
                <w:highlight w:val="none"/>
              </w:rPr>
              <w:t>%计收，由中标人在签订合同前以中标人名义足额缴入采购人账户</w:t>
            </w:r>
            <w:r>
              <w:rPr>
                <w:rFonts w:hint="eastAsia" w:asciiTheme="minorEastAsia" w:hAnsiTheme="minorEastAsia" w:eastAsiaTheme="minorEastAsia" w:cstheme="minorEastAsia"/>
                <w:highlight w:val="none"/>
              </w:rPr>
              <w:t>，</w:t>
            </w:r>
            <w:r>
              <w:rPr>
                <w:rFonts w:hint="eastAsia" w:asciiTheme="minorEastAsia" w:hAnsiTheme="minorEastAsia" w:eastAsiaTheme="minorEastAsia" w:cstheme="minorEastAsia"/>
                <w:szCs w:val="21"/>
                <w:highlight w:val="none"/>
              </w:rPr>
              <w:t>账户如下：</w:t>
            </w:r>
          </w:p>
          <w:p>
            <w:pPr>
              <w:adjustRightInd w:val="0"/>
              <w:snapToGrid w:val="0"/>
              <w:spacing w:line="320" w:lineRule="exac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  开户名称：防城港市公安局 </w:t>
            </w:r>
          </w:p>
          <w:p>
            <w:pPr>
              <w:adjustRightInd w:val="0"/>
              <w:snapToGrid w:val="0"/>
              <w:spacing w:line="320" w:lineRule="exac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  开户银行：建行防城港分行营业部</w:t>
            </w:r>
          </w:p>
          <w:p>
            <w:pPr>
              <w:adjustRightInd w:val="0"/>
              <w:snapToGrid w:val="0"/>
              <w:spacing w:line="320" w:lineRule="exac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  银行账号：4500 1659 5880 5050 6883 </w:t>
            </w:r>
          </w:p>
          <w:p>
            <w:pPr>
              <w:autoSpaceDE w:val="0"/>
              <w:autoSpaceDN w:val="0"/>
              <w:snapToGrid w:val="0"/>
              <w:spacing w:line="400" w:lineRule="exact"/>
              <w:textAlignment w:val="bottom"/>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履约保证金的退还</w:t>
            </w:r>
            <w:r>
              <w:rPr>
                <w:rFonts w:hint="eastAsia" w:asciiTheme="minorEastAsia" w:hAnsiTheme="minorEastAsia" w:eastAsiaTheme="minorEastAsia" w:cstheme="minorEastAsia"/>
                <w:szCs w:val="21"/>
                <w:highlight w:val="none"/>
              </w:rPr>
              <w:t>:合同履行完毕由中标人提供申请材料给采购人，由采购人出具证明，自采购人在收到中标人提交的书面申请退付材料（详见附表一）之日起30个工作日内以银行转账方式如数退还（不计利息）。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12</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签订合同时间</w:t>
            </w:r>
            <w:r>
              <w:rPr>
                <w:rFonts w:hint="eastAsia" w:asciiTheme="minorEastAsia" w:hAnsiTheme="minorEastAsia" w:eastAsiaTheme="minorEastAsia" w:cstheme="minorEastAsia"/>
                <w:szCs w:val="21"/>
                <w:highlight w:val="none"/>
              </w:rPr>
              <w:t>：中标通知书发出后25日内。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13</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采购资金来源</w:t>
            </w:r>
            <w:r>
              <w:rPr>
                <w:rFonts w:hint="eastAsia" w:asciiTheme="minorEastAsia" w:hAnsiTheme="minorEastAsia" w:eastAsiaTheme="minorEastAsia" w:cstheme="minorEastAsia"/>
                <w:szCs w:val="21"/>
                <w:highlight w:val="none"/>
              </w:rPr>
              <w:t>：市财政统筹解决约 1500 万元，市公安局交警支队的非税收入保障约1800万元。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14</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付款方式：</w:t>
            </w:r>
          </w:p>
          <w:p>
            <w:pPr>
              <w:autoSpaceDE w:val="0"/>
              <w:autoSpaceDN w:val="0"/>
              <w:snapToGrid w:val="0"/>
              <w:spacing w:line="400" w:lineRule="exact"/>
              <w:ind w:firstLine="420" w:firstLineChars="200"/>
              <w:textAlignment w:val="bottom"/>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设备采购部分：该项目采用垫资建设分期付款方式，该项目签订合同后，乙方开具有效发票给甲方，甲方支付合同总金额的15%作为预付款，项目通过监理和采购方同时验收后，乙方开具有效发票给甲方，甲方2021年支付剩余合同总金额的60%，余下合同款在2022年付清。</w:t>
            </w:r>
          </w:p>
          <w:p>
            <w:pPr>
              <w:autoSpaceDE w:val="0"/>
              <w:autoSpaceDN w:val="0"/>
              <w:snapToGrid w:val="0"/>
              <w:spacing w:line="400" w:lineRule="exact"/>
              <w:ind w:firstLine="420" w:firstLineChars="200"/>
              <w:textAlignment w:val="bottom"/>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szCs w:val="21"/>
                <w:highlight w:val="none"/>
              </w:rPr>
              <w:t>装饰装修工程部分：采用垫资建设分期付款方式，本项目没有预付款，第一笔为项目竣工验收后，乙方开具有效发票给甲方，甲方支付合同总金额的80%，第二笔项目工程结算后，乙方开具有效发票给甲方，甲方支付合同总金额的15%，第三笔为项目质保期满后支付剩余的5%（无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15</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投标文件有效期</w:t>
            </w:r>
            <w:r>
              <w:rPr>
                <w:rFonts w:hint="eastAsia" w:asciiTheme="minorEastAsia" w:hAnsiTheme="minorEastAsia" w:eastAsiaTheme="minorEastAsia" w:cstheme="minorEastAsia"/>
                <w:szCs w:val="21"/>
                <w:highlight w:val="none"/>
              </w:rPr>
              <w:t>：自投标截止时间之日起</w:t>
            </w:r>
            <w:r>
              <w:rPr>
                <w:rFonts w:hint="eastAsia" w:asciiTheme="minorEastAsia" w:hAnsiTheme="minorEastAsia" w:eastAsiaTheme="minorEastAsia" w:cstheme="minorEastAsia"/>
                <w:highlight w:val="none"/>
                <w:u w:val="single"/>
              </w:rPr>
              <w:t>60</w:t>
            </w:r>
            <w:r>
              <w:rPr>
                <w:rFonts w:hint="eastAsia" w:asciiTheme="minorEastAsia" w:hAnsiTheme="minorEastAsia" w:eastAsiaTheme="minorEastAsia" w:cstheme="minorEastAsia"/>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16</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17</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采购预算价（</w:t>
            </w:r>
            <w:r>
              <w:rPr>
                <w:rFonts w:hint="eastAsia" w:asciiTheme="minorEastAsia" w:hAnsiTheme="minorEastAsia" w:eastAsiaTheme="minorEastAsia" w:cstheme="minorEastAsia"/>
                <w:bCs/>
                <w:highlight w:val="none"/>
              </w:rPr>
              <w:t>人民币</w:t>
            </w:r>
            <w:r>
              <w:rPr>
                <w:rFonts w:hint="eastAsia" w:asciiTheme="minorEastAsia" w:hAnsiTheme="minorEastAsia" w:eastAsiaTheme="minorEastAsia" w:cstheme="minorEastAsia"/>
                <w:szCs w:val="21"/>
                <w:highlight w:val="none"/>
              </w:rPr>
              <w:t>）：贰仟捌佰贰拾万零叁仟伍佰叁拾元整（¥28203530.00）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18</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信用信息查询渠道、截止时间、查询记录和证据留存方式</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递交投标文件截止时间后，由采购人或采购代理机构对供应商进行信用信息查询，具体规定如下：</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查询渠道：“信用中国”网站(www.creditchina.gov.cn)、中国政府采购网(www.ccgp.gov.cn)等</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“信用中国”网站查询内容：失信被执行人、重大税收违法案件当事人名单、政府采购严重违法失信行为记录名单查询结果或界面截图；查询或打印截止时点：递交投标文件截止时间。</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“中国政府采购网”的查询内容：政府采购严重违法失信行为信息记录；查询时间：递交投标文件截止时间前三年内。</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查询记录和证据留存方式：在查询网站中直接打印查询记录，打印材料作为评审资料保存。</w:t>
            </w:r>
          </w:p>
          <w:p>
            <w:pPr>
              <w:snapToGrid w:val="0"/>
              <w:spacing w:line="40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bl>
    <w:p>
      <w:pPr>
        <w:pStyle w:val="22"/>
        <w:snapToGrid w:val="0"/>
        <w:spacing w:before="120" w:after="120" w:line="400" w:lineRule="exact"/>
        <w:rPr>
          <w:rFonts w:hint="eastAsia" w:asciiTheme="minorEastAsia" w:hAnsiTheme="minorEastAsia" w:eastAsiaTheme="minorEastAsia" w:cstheme="minorEastAsia"/>
          <w:b/>
          <w:highlight w:val="none"/>
        </w:rPr>
      </w:pPr>
    </w:p>
    <w:p>
      <w:pPr>
        <w:pStyle w:val="22"/>
        <w:snapToGrid w:val="0"/>
        <w:spacing w:before="120" w:after="120" w:line="400" w:lineRule="exact"/>
        <w:rPr>
          <w:rFonts w:hint="eastAsia" w:asciiTheme="minorEastAsia" w:hAnsiTheme="minorEastAsia" w:eastAsiaTheme="minorEastAsia" w:cstheme="minorEastAsia"/>
          <w:b/>
          <w:highlight w:val="none"/>
        </w:rPr>
      </w:pPr>
    </w:p>
    <w:p>
      <w:pPr>
        <w:pStyle w:val="22"/>
        <w:snapToGrid w:val="0"/>
        <w:spacing w:before="120" w:after="120" w:line="400" w:lineRule="exact"/>
        <w:rPr>
          <w:rFonts w:hint="eastAsia" w:asciiTheme="minorEastAsia" w:hAnsiTheme="minorEastAsia" w:eastAsiaTheme="minorEastAsia" w:cstheme="minorEastAsia"/>
          <w:b/>
          <w:highlight w:val="none"/>
        </w:rPr>
      </w:pPr>
    </w:p>
    <w:p>
      <w:pPr>
        <w:pStyle w:val="22"/>
        <w:snapToGrid w:val="0"/>
        <w:spacing w:before="120" w:after="120" w:line="400" w:lineRule="exact"/>
        <w:rPr>
          <w:rFonts w:hint="eastAsia" w:asciiTheme="minorEastAsia" w:hAnsiTheme="minorEastAsia" w:eastAsiaTheme="minorEastAsia" w:cstheme="minorEastAsia"/>
          <w:b/>
          <w:highlight w:val="none"/>
        </w:rPr>
      </w:pPr>
    </w:p>
    <w:p>
      <w:pPr>
        <w:pStyle w:val="22"/>
        <w:snapToGrid w:val="0"/>
        <w:spacing w:before="120" w:after="120" w:line="400" w:lineRule="exact"/>
        <w:rPr>
          <w:rFonts w:hint="eastAsia" w:asciiTheme="minorEastAsia" w:hAnsiTheme="minorEastAsia" w:eastAsiaTheme="minorEastAsia" w:cstheme="minorEastAsia"/>
          <w:b/>
          <w:highlight w:val="none"/>
        </w:rPr>
      </w:pPr>
    </w:p>
    <w:p>
      <w:pPr>
        <w:pStyle w:val="22"/>
        <w:snapToGrid w:val="0"/>
        <w:spacing w:before="120" w:after="120" w:line="400" w:lineRule="exact"/>
        <w:rPr>
          <w:rFonts w:hint="eastAsia" w:asciiTheme="minorEastAsia" w:hAnsiTheme="minorEastAsia" w:eastAsiaTheme="minorEastAsia" w:cstheme="minorEastAsia"/>
          <w:b/>
          <w:highlight w:val="none"/>
        </w:rPr>
      </w:pPr>
    </w:p>
    <w:p>
      <w:pPr>
        <w:pStyle w:val="22"/>
        <w:snapToGrid w:val="0"/>
        <w:spacing w:before="120" w:after="120" w:line="400" w:lineRule="exact"/>
        <w:rPr>
          <w:rFonts w:hint="eastAsia" w:asciiTheme="minorEastAsia" w:hAnsiTheme="minorEastAsia" w:eastAsiaTheme="minorEastAsia" w:cstheme="minorEastAsia"/>
          <w:b/>
          <w:highlight w:val="none"/>
        </w:rPr>
      </w:pPr>
    </w:p>
    <w:p>
      <w:pPr>
        <w:pStyle w:val="22"/>
        <w:snapToGrid w:val="0"/>
        <w:spacing w:before="120" w:after="120" w:line="400" w:lineRule="exact"/>
        <w:rPr>
          <w:rFonts w:hint="eastAsia" w:asciiTheme="minorEastAsia" w:hAnsiTheme="minorEastAsia" w:eastAsiaTheme="minorEastAsia" w:cstheme="minorEastAsia"/>
          <w:b/>
          <w:highlight w:val="none"/>
        </w:rPr>
      </w:pPr>
    </w:p>
    <w:p>
      <w:pPr>
        <w:pStyle w:val="22"/>
        <w:snapToGrid w:val="0"/>
        <w:spacing w:before="120" w:after="120" w:line="400" w:lineRule="exact"/>
        <w:rPr>
          <w:rFonts w:hint="eastAsia" w:asciiTheme="minorEastAsia" w:hAnsiTheme="minorEastAsia" w:eastAsiaTheme="minorEastAsia" w:cstheme="minorEastAsia"/>
          <w:b/>
          <w:highlight w:val="none"/>
        </w:rPr>
      </w:pPr>
    </w:p>
    <w:p>
      <w:pPr>
        <w:pStyle w:val="22"/>
        <w:snapToGrid w:val="0"/>
        <w:spacing w:before="120" w:after="120" w:line="400" w:lineRule="exact"/>
        <w:rPr>
          <w:rFonts w:hint="eastAsia" w:asciiTheme="minorEastAsia" w:hAnsiTheme="minorEastAsia" w:eastAsiaTheme="minorEastAsia" w:cstheme="minorEastAsia"/>
          <w:b/>
          <w:highlight w:val="none"/>
        </w:rPr>
      </w:pPr>
    </w:p>
    <w:p>
      <w:pPr>
        <w:pStyle w:val="22"/>
        <w:snapToGrid w:val="0"/>
        <w:spacing w:before="120" w:after="120" w:line="400" w:lineRule="exact"/>
        <w:rPr>
          <w:rFonts w:hint="eastAsia" w:asciiTheme="minorEastAsia" w:hAnsiTheme="minorEastAsia" w:eastAsiaTheme="minorEastAsia" w:cstheme="minorEastAsia"/>
          <w:b/>
          <w:highlight w:val="none"/>
        </w:rPr>
      </w:pPr>
    </w:p>
    <w:p>
      <w:pPr>
        <w:pStyle w:val="22"/>
        <w:snapToGrid w:val="0"/>
        <w:spacing w:before="120" w:after="120" w:line="400" w:lineRule="exact"/>
        <w:rPr>
          <w:rFonts w:hint="eastAsia" w:asciiTheme="minorEastAsia" w:hAnsiTheme="minorEastAsia" w:eastAsiaTheme="minorEastAsia" w:cstheme="minorEastAsia"/>
          <w:b/>
          <w:highlight w:val="none"/>
        </w:rPr>
      </w:pPr>
    </w:p>
    <w:p>
      <w:pPr>
        <w:pStyle w:val="22"/>
        <w:snapToGrid w:val="0"/>
        <w:spacing w:before="120" w:after="120" w:line="400" w:lineRule="exact"/>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sz w:val="21"/>
          <w:highlight w:val="none"/>
        </w:rPr>
        <w:t>一、总  则</w:t>
      </w:r>
    </w:p>
    <w:p>
      <w:pPr>
        <w:snapToGrid w:val="0"/>
        <w:spacing w:line="400" w:lineRule="exact"/>
        <w:ind w:firstLine="413" w:firstLineChars="196"/>
        <w:jc w:val="left"/>
        <w:outlineLvl w:val="1"/>
        <w:rPr>
          <w:rFonts w:hint="eastAsia" w:asciiTheme="minorEastAsia" w:hAnsiTheme="minorEastAsia" w:eastAsiaTheme="minorEastAsia" w:cstheme="minorEastAsia"/>
          <w:b/>
          <w:szCs w:val="21"/>
          <w:highlight w:val="none"/>
        </w:rPr>
      </w:pPr>
      <w:bookmarkStart w:id="7" w:name="_Toc430110130"/>
      <w:bookmarkStart w:id="8" w:name="_Toc254970668"/>
      <w:bookmarkStart w:id="9" w:name="_Toc254970527"/>
      <w:r>
        <w:rPr>
          <w:rFonts w:hint="eastAsia" w:asciiTheme="minorEastAsia" w:hAnsiTheme="minorEastAsia" w:eastAsiaTheme="minorEastAsia" w:cstheme="minorEastAsia"/>
          <w:b/>
          <w:szCs w:val="21"/>
          <w:highlight w:val="none"/>
        </w:rPr>
        <w:t>（一） 适用范围</w:t>
      </w:r>
      <w:bookmarkEnd w:id="7"/>
      <w:bookmarkEnd w:id="8"/>
      <w:bookmarkEnd w:id="9"/>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本招标文件适用于</w:t>
      </w:r>
      <w:r>
        <w:rPr>
          <w:rFonts w:hint="eastAsia" w:asciiTheme="minorEastAsia" w:hAnsiTheme="minorEastAsia" w:eastAsiaTheme="minorEastAsia" w:cstheme="minorEastAsia"/>
          <w:highlight w:val="none"/>
        </w:rPr>
        <w:t>防城港市智慧交通项目管理系统采购</w:t>
      </w:r>
      <w:r>
        <w:rPr>
          <w:rFonts w:hint="eastAsia" w:asciiTheme="minorEastAsia" w:hAnsiTheme="minorEastAsia" w:eastAsiaTheme="minorEastAsia" w:cstheme="minorEastAsia"/>
          <w:szCs w:val="21"/>
          <w:highlight w:val="none"/>
        </w:rPr>
        <w:t>项目的招标、投标、评标、定标、验收、合同履约、付款等行为，法律、法规另有规定的，从其规定。</w:t>
      </w:r>
    </w:p>
    <w:p>
      <w:pPr>
        <w:snapToGrid w:val="0"/>
        <w:spacing w:beforeLines="50" w:line="400" w:lineRule="exact"/>
        <w:ind w:firstLine="310" w:firstLineChars="147"/>
        <w:jc w:val="left"/>
        <w:outlineLvl w:val="1"/>
        <w:rPr>
          <w:rFonts w:hint="eastAsia" w:asciiTheme="minorEastAsia" w:hAnsiTheme="minorEastAsia" w:eastAsiaTheme="minorEastAsia" w:cstheme="minorEastAsia"/>
          <w:b/>
          <w:szCs w:val="21"/>
          <w:highlight w:val="none"/>
        </w:rPr>
      </w:pPr>
      <w:bookmarkStart w:id="10" w:name="_Toc254970669"/>
      <w:bookmarkStart w:id="11" w:name="_Toc254970528"/>
      <w:bookmarkStart w:id="12" w:name="_Toc430110131"/>
      <w:r>
        <w:rPr>
          <w:rFonts w:hint="eastAsia" w:asciiTheme="minorEastAsia" w:hAnsiTheme="minorEastAsia" w:eastAsiaTheme="minorEastAsia" w:cstheme="minorEastAsia"/>
          <w:b/>
          <w:szCs w:val="21"/>
          <w:highlight w:val="none"/>
        </w:rPr>
        <w:t>（二）定义</w:t>
      </w:r>
      <w:bookmarkEnd w:id="10"/>
      <w:bookmarkEnd w:id="11"/>
      <w:bookmarkEnd w:id="12"/>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1.“招标采购单位”系指组织本次招标的采购人及采购代理机构。</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2.“投标人”系指向招标方提交投标文件的单位或自然人。</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3.“服务”系指招标项目采购内容的所有服务以及其他相关的义务。</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4.“项目”系指投标人按招标文件规定向采购人提供的服务。</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5.“书面形式”包括信函、传真、电报等。</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6.“▲”系指实质性要求条款。</w:t>
      </w:r>
    </w:p>
    <w:p>
      <w:pPr>
        <w:snapToGrid w:val="0"/>
        <w:spacing w:line="400" w:lineRule="exact"/>
        <w:ind w:firstLine="420" w:firstLineChars="200"/>
        <w:jc w:val="lef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7.“</w:t>
      </w: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highlight w:val="none"/>
        </w:rPr>
        <w:t>”系指主要技术参数指标，如果不满足将导致扣分。</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 投标人公章”系指投标人用自己法定主体行为名称制作的签名印章，不包含专用章。</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财政部门指定的政府采购信息发布媒体：中国政府采购网（http://www.ccgp.gov.cn）、广西壮族自治区政府采购网（http://zfcg.gxzf.gov.cn）、广西防城港政府采购网站（http://zfcg.fcgs.gov.cn）、防城港市公共资源交易中心网（www.fcgggzy.cn）。</w:t>
      </w:r>
    </w:p>
    <w:p>
      <w:pPr>
        <w:snapToGrid w:val="0"/>
        <w:spacing w:beforeLines="50" w:line="400" w:lineRule="exact"/>
        <w:ind w:firstLine="358" w:firstLineChars="170"/>
        <w:jc w:val="left"/>
        <w:outlineLvl w:val="1"/>
        <w:rPr>
          <w:rFonts w:hint="eastAsia" w:asciiTheme="minorEastAsia" w:hAnsiTheme="minorEastAsia" w:eastAsiaTheme="minorEastAsia" w:cstheme="minorEastAsia"/>
          <w:b/>
          <w:szCs w:val="21"/>
          <w:highlight w:val="none"/>
        </w:rPr>
      </w:pPr>
      <w:bookmarkStart w:id="13" w:name="_Toc254970670"/>
      <w:bookmarkStart w:id="14" w:name="_Toc254970529"/>
      <w:bookmarkStart w:id="15" w:name="_Toc430110132"/>
      <w:r>
        <w:rPr>
          <w:rFonts w:hint="eastAsia" w:asciiTheme="minorEastAsia" w:hAnsiTheme="minorEastAsia" w:eastAsiaTheme="minorEastAsia" w:cstheme="minorEastAsia"/>
          <w:b/>
          <w:szCs w:val="21"/>
          <w:highlight w:val="none"/>
        </w:rPr>
        <w:t>（三）招标方式</w:t>
      </w:r>
      <w:bookmarkEnd w:id="13"/>
      <w:bookmarkEnd w:id="14"/>
      <w:bookmarkEnd w:id="15"/>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公开招标。</w:t>
      </w:r>
    </w:p>
    <w:p>
      <w:pPr>
        <w:snapToGrid w:val="0"/>
        <w:spacing w:beforeLines="50" w:line="400" w:lineRule="exact"/>
        <w:ind w:firstLine="413" w:firstLineChars="196"/>
        <w:jc w:val="left"/>
        <w:outlineLvl w:val="1"/>
        <w:rPr>
          <w:rFonts w:hint="eastAsia" w:asciiTheme="minorEastAsia" w:hAnsiTheme="minorEastAsia" w:eastAsiaTheme="minorEastAsia" w:cstheme="minorEastAsia"/>
          <w:b/>
          <w:szCs w:val="21"/>
          <w:highlight w:val="none"/>
        </w:rPr>
      </w:pPr>
      <w:bookmarkStart w:id="16" w:name="_Toc254970671"/>
      <w:bookmarkStart w:id="17" w:name="_Toc254970530"/>
      <w:bookmarkStart w:id="18" w:name="_Toc430110133"/>
      <w:r>
        <w:rPr>
          <w:rFonts w:hint="eastAsia" w:asciiTheme="minorEastAsia" w:hAnsiTheme="minorEastAsia" w:eastAsiaTheme="minorEastAsia" w:cstheme="minorEastAsia"/>
          <w:b/>
          <w:szCs w:val="21"/>
          <w:highlight w:val="none"/>
        </w:rPr>
        <w:t>（四）投标委托</w:t>
      </w:r>
      <w:bookmarkEnd w:id="16"/>
      <w:bookmarkEnd w:id="17"/>
      <w:bookmarkEnd w:id="18"/>
    </w:p>
    <w:p>
      <w:pPr>
        <w:pStyle w:val="19"/>
        <w:snapToGrid w:val="0"/>
        <w:spacing w:line="400" w:lineRule="exact"/>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投标人代表须携带有效身份证件出席开标会。如投标人代表不是法定代表人，须有法定代表人出具的授权委托书（正本用原件，副本用复印件，格式见第六章）。</w:t>
      </w:r>
    </w:p>
    <w:p>
      <w:pPr>
        <w:snapToGrid w:val="0"/>
        <w:spacing w:beforeLines="50" w:line="400" w:lineRule="exact"/>
        <w:ind w:firstLine="413" w:firstLineChars="196"/>
        <w:jc w:val="left"/>
        <w:outlineLvl w:val="1"/>
        <w:rPr>
          <w:rFonts w:hint="eastAsia" w:asciiTheme="minorEastAsia" w:hAnsiTheme="minorEastAsia" w:eastAsiaTheme="minorEastAsia" w:cstheme="minorEastAsia"/>
          <w:b/>
          <w:szCs w:val="21"/>
          <w:highlight w:val="none"/>
        </w:rPr>
      </w:pPr>
      <w:bookmarkStart w:id="19" w:name="_Toc254970672"/>
      <w:bookmarkStart w:id="20" w:name="_Toc430110134"/>
      <w:bookmarkStart w:id="21" w:name="_Toc254970531"/>
      <w:r>
        <w:rPr>
          <w:rFonts w:hint="eastAsia" w:asciiTheme="minorEastAsia" w:hAnsiTheme="minorEastAsia" w:eastAsiaTheme="minorEastAsia" w:cstheme="minorEastAsia"/>
          <w:b/>
          <w:szCs w:val="21"/>
          <w:highlight w:val="none"/>
        </w:rPr>
        <w:t>（五）投标费用</w:t>
      </w:r>
      <w:bookmarkEnd w:id="19"/>
      <w:bookmarkEnd w:id="20"/>
      <w:bookmarkEnd w:id="21"/>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投标人均应自行承担所有与投标有关的全部费用（招标文件有相关的规定除外）。</w:t>
      </w:r>
    </w:p>
    <w:p>
      <w:pPr>
        <w:snapToGrid w:val="0"/>
        <w:spacing w:beforeLines="50" w:line="400" w:lineRule="exact"/>
        <w:ind w:firstLine="413" w:firstLineChars="196"/>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（六）联合体投标</w:t>
      </w:r>
    </w:p>
    <w:p>
      <w:pPr>
        <w:snapToGrid w:val="0"/>
        <w:spacing w:beforeLines="50" w:line="400" w:lineRule="exact"/>
        <w:ind w:firstLine="411" w:firstLineChars="196"/>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本项目不接受联合体投标。</w:t>
      </w:r>
    </w:p>
    <w:p>
      <w:pPr>
        <w:snapToGrid w:val="0"/>
        <w:spacing w:beforeLines="50" w:line="400" w:lineRule="exact"/>
        <w:ind w:firstLine="413" w:firstLineChars="196"/>
        <w:rPr>
          <w:rFonts w:hint="eastAsia"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szCs w:val="21"/>
          <w:highlight w:val="none"/>
        </w:rPr>
        <w:t>（七）</w:t>
      </w:r>
      <w:r>
        <w:rPr>
          <w:rFonts w:hint="eastAsia" w:asciiTheme="minorEastAsia" w:hAnsiTheme="minorEastAsia" w:eastAsiaTheme="minorEastAsia" w:cstheme="minorEastAsia"/>
          <w:b/>
          <w:kern w:val="0"/>
          <w:szCs w:val="21"/>
          <w:highlight w:val="none"/>
        </w:rPr>
        <w:t xml:space="preserve">转包与分包             </w:t>
      </w:r>
    </w:p>
    <w:p>
      <w:pPr>
        <w:snapToGrid w:val="0"/>
        <w:spacing w:line="400" w:lineRule="exact"/>
        <w:ind w:firstLine="420" w:firstLineChars="2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1.本项目不允许转包。</w:t>
      </w:r>
    </w:p>
    <w:p>
      <w:pPr>
        <w:snapToGrid w:val="0"/>
        <w:spacing w:line="400" w:lineRule="exact"/>
        <w:ind w:firstLine="420" w:firstLineChars="2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2.本项目不可以分包。</w:t>
      </w:r>
    </w:p>
    <w:p>
      <w:pPr>
        <w:snapToGrid w:val="0"/>
        <w:spacing w:beforeLines="50" w:line="400" w:lineRule="exact"/>
        <w:ind w:firstLine="413" w:firstLineChars="196"/>
        <w:jc w:val="left"/>
        <w:outlineLvl w:val="1"/>
        <w:rPr>
          <w:rFonts w:hint="eastAsia" w:asciiTheme="minorEastAsia" w:hAnsiTheme="minorEastAsia" w:eastAsiaTheme="minorEastAsia" w:cstheme="minorEastAsia"/>
          <w:b/>
          <w:szCs w:val="21"/>
          <w:highlight w:val="none"/>
        </w:rPr>
      </w:pPr>
      <w:bookmarkStart w:id="22" w:name="_Toc430110135"/>
      <w:bookmarkStart w:id="23" w:name="_Toc254970532"/>
      <w:bookmarkStart w:id="24" w:name="_Toc254970673"/>
      <w:r>
        <w:rPr>
          <w:rFonts w:hint="eastAsia" w:asciiTheme="minorEastAsia" w:hAnsiTheme="minorEastAsia" w:eastAsiaTheme="minorEastAsia" w:cstheme="minorEastAsia"/>
          <w:b/>
          <w:szCs w:val="21"/>
          <w:highlight w:val="none"/>
        </w:rPr>
        <w:t>（八）特别说明：</w:t>
      </w:r>
      <w:bookmarkEnd w:id="22"/>
      <w:bookmarkEnd w:id="23"/>
      <w:bookmarkEnd w:id="24"/>
    </w:p>
    <w:p>
      <w:pPr>
        <w:widowControl/>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▲1.投标人投标所使用的资格、信誉、荣誉、业绩与企业认证必须为本法人所拥有。投标人投标所使用的采购项目实施人员必须为本法人员工（或必须为本法人或控股公司正式员工）。</w:t>
      </w:r>
    </w:p>
    <w:p>
      <w:pPr>
        <w:pStyle w:val="22"/>
        <w:snapToGrid w:val="0"/>
        <w:spacing w:line="400" w:lineRule="exact"/>
        <w:ind w:left="2" w:leftChars="1"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▲2.投标人应仔细阅读招标文件的所有内容，按照招标文件的要求提交投标文件，并对所提供的全部资料的真实性承担法律责任。</w:t>
      </w:r>
    </w:p>
    <w:p>
      <w:pPr>
        <w:pStyle w:val="22"/>
        <w:snapToGrid w:val="0"/>
        <w:spacing w:line="400" w:lineRule="exact"/>
        <w:ind w:left="2" w:leftChars="1" w:firstLine="420" w:firstLineChars="20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sz w:val="21"/>
          <w:highlight w:val="none"/>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2"/>
        <w:snapToGrid w:val="0"/>
        <w:spacing w:line="400" w:lineRule="exact"/>
        <w:ind w:firstLine="413" w:firstLineChars="196"/>
        <w:outlineLvl w:val="1"/>
        <w:rPr>
          <w:rFonts w:hint="eastAsia" w:asciiTheme="minorEastAsia" w:hAnsiTheme="minorEastAsia" w:eastAsiaTheme="minorEastAsia" w:cstheme="minorEastAsia"/>
          <w:b/>
          <w:bCs/>
          <w:sz w:val="21"/>
          <w:highlight w:val="none"/>
        </w:rPr>
      </w:pPr>
      <w:bookmarkStart w:id="25" w:name="_Toc254970533"/>
      <w:bookmarkStart w:id="26" w:name="_Toc254970674"/>
      <w:bookmarkStart w:id="27" w:name="_Toc430110136"/>
      <w:r>
        <w:rPr>
          <w:rFonts w:hint="eastAsia" w:asciiTheme="minorEastAsia" w:hAnsiTheme="minorEastAsia" w:eastAsiaTheme="minorEastAsia" w:cstheme="minorEastAsia"/>
          <w:b/>
          <w:bCs/>
          <w:sz w:val="21"/>
          <w:highlight w:val="none"/>
        </w:rPr>
        <w:t>（九）质疑和投诉</w:t>
      </w:r>
      <w:bookmarkEnd w:id="25"/>
      <w:bookmarkEnd w:id="26"/>
      <w:bookmarkEnd w:id="27"/>
    </w:p>
    <w:p>
      <w:pPr>
        <w:pStyle w:val="22"/>
        <w:snapToGrid w:val="0"/>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1.投标人认为招标过程或中标结果使自己的合法权益受到损害的，应当在知道或者应知其权益受到损害之日起七个工作日内，以书面形式向采购人、采购代理机构提出质疑。</w:t>
      </w:r>
      <w:r>
        <w:rPr>
          <w:rFonts w:hint="eastAsia" w:asciiTheme="minorEastAsia" w:hAnsiTheme="minorEastAsia" w:eastAsiaTheme="minorEastAsia" w:cstheme="minorEastAsia"/>
          <w:sz w:val="21"/>
          <w:highlight w:val="none"/>
        </w:rPr>
        <w:t>投标人对招标采购单位的质疑答复不满意或者招标采购单位未在规定时间内作出答复的，可以在答复期满后十五个工作日内向同级政府采购监管部门投诉。</w:t>
      </w:r>
    </w:p>
    <w:p>
      <w:pPr>
        <w:pStyle w:val="22"/>
        <w:snapToGrid w:val="0"/>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2.质疑、投诉应当采用书面形式，质疑书、投诉书均应明确阐述招标过程或中标结果中使自己合法权益受到损害的实质性内容，提供相关事实、依据和证据及其来源或线索，便于有关单位调查、答复和处理。</w:t>
      </w:r>
    </w:p>
    <w:p>
      <w:pPr>
        <w:pStyle w:val="22"/>
        <w:snapToGrid w:val="0"/>
        <w:spacing w:line="400" w:lineRule="exact"/>
        <w:ind w:firstLine="422" w:firstLineChars="200"/>
        <w:rPr>
          <w:rFonts w:hint="eastAsia" w:asciiTheme="minorEastAsia" w:hAnsiTheme="minorEastAsia" w:eastAsiaTheme="minorEastAsia" w:cstheme="minorEastAsia"/>
          <w:b/>
          <w:bCs/>
          <w:sz w:val="21"/>
          <w:highlight w:val="none"/>
        </w:rPr>
      </w:pPr>
      <w:r>
        <w:rPr>
          <w:rFonts w:hint="eastAsia" w:asciiTheme="minorEastAsia" w:hAnsiTheme="minorEastAsia" w:eastAsiaTheme="minorEastAsia" w:cstheme="minorEastAsia"/>
          <w:b/>
          <w:bCs/>
          <w:sz w:val="21"/>
          <w:highlight w:val="none"/>
        </w:rPr>
        <w:t>3. 投标人认为招标文件使自己的合法权益受到损害的，按“二、招标文件；（三）招标文件的澄清与修改第一条款” 执行。</w:t>
      </w:r>
    </w:p>
    <w:p>
      <w:pPr>
        <w:pStyle w:val="22"/>
        <w:snapToGrid w:val="0"/>
        <w:spacing w:line="400" w:lineRule="exact"/>
        <w:ind w:firstLine="413" w:firstLineChars="196"/>
        <w:outlineLvl w:val="0"/>
        <w:rPr>
          <w:rFonts w:hint="eastAsia" w:asciiTheme="minorEastAsia" w:hAnsiTheme="minorEastAsia" w:eastAsiaTheme="minorEastAsia" w:cstheme="minorEastAsia"/>
          <w:b/>
          <w:sz w:val="21"/>
          <w:highlight w:val="none"/>
        </w:rPr>
      </w:pPr>
      <w:bookmarkStart w:id="28" w:name="_Toc430110263"/>
      <w:bookmarkStart w:id="29" w:name="_Toc254970534"/>
      <w:bookmarkStart w:id="30" w:name="_Toc254970675"/>
      <w:bookmarkStart w:id="31" w:name="_Toc430109945"/>
      <w:bookmarkStart w:id="32" w:name="_Toc430110137"/>
      <w:r>
        <w:rPr>
          <w:rFonts w:hint="eastAsia" w:asciiTheme="minorEastAsia" w:hAnsiTheme="minorEastAsia" w:eastAsiaTheme="minorEastAsia" w:cstheme="minorEastAsia"/>
          <w:b/>
          <w:sz w:val="21"/>
          <w:highlight w:val="none"/>
        </w:rPr>
        <w:t>二、招标文件</w:t>
      </w:r>
      <w:bookmarkEnd w:id="28"/>
      <w:bookmarkEnd w:id="29"/>
      <w:bookmarkEnd w:id="30"/>
      <w:bookmarkEnd w:id="31"/>
      <w:bookmarkEnd w:id="32"/>
    </w:p>
    <w:p>
      <w:pPr>
        <w:snapToGrid w:val="0"/>
        <w:spacing w:line="400" w:lineRule="exact"/>
        <w:ind w:firstLine="413" w:firstLineChars="196"/>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（一）招标文件的构成。本招标文件由以下部份组成：</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1.招标公告；</w:t>
      </w:r>
    </w:p>
    <w:p>
      <w:pPr>
        <w:snapToGrid w:val="0"/>
        <w:spacing w:line="400" w:lineRule="exact"/>
        <w:ind w:firstLine="420" w:firstLineChars="200"/>
        <w:jc w:val="lef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szCs w:val="21"/>
          <w:highlight w:val="none"/>
        </w:rPr>
        <w:t>2.招标项目采购需求；</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3.投标人须知；</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4.评标办法及评分标准；</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5.政府采购合同及主要条款；</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6.投标文件格式。</w:t>
      </w:r>
    </w:p>
    <w:p>
      <w:pPr>
        <w:snapToGrid w:val="0"/>
        <w:spacing w:beforeLines="50" w:line="400" w:lineRule="exact"/>
        <w:ind w:firstLine="413" w:firstLineChars="196"/>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（二）投标人的风险</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投标人没有按照招标文件要求提供全部资料，或者投标人没有对招标文件在各方面作出实质性响应是投标人的风险，并可能导致其投标被拒绝。</w:t>
      </w:r>
    </w:p>
    <w:p>
      <w:pPr>
        <w:pStyle w:val="13"/>
        <w:widowControl w:val="0"/>
        <w:tabs>
          <w:tab w:val="clear" w:pos="454"/>
        </w:tabs>
        <w:snapToGrid w:val="0"/>
        <w:spacing w:beforeLines="50" w:afterLines="0" w:line="400" w:lineRule="exact"/>
        <w:ind w:left="0" w:firstLine="413" w:firstLineChars="196"/>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 xml:space="preserve">（三）招标文件的澄清与修改 </w:t>
      </w:r>
    </w:p>
    <w:p>
      <w:pPr>
        <w:pStyle w:val="22"/>
        <w:snapToGrid w:val="0"/>
        <w:spacing w:line="400" w:lineRule="exact"/>
        <w:ind w:firstLine="420" w:firstLineChars="20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sz w:val="21"/>
          <w:highlight w:val="none"/>
        </w:rPr>
        <w:t>1.</w:t>
      </w:r>
      <w:r>
        <w:rPr>
          <w:rFonts w:hint="eastAsia" w:asciiTheme="minorEastAsia" w:hAnsiTheme="minorEastAsia" w:eastAsiaTheme="minorEastAsia" w:cstheme="minorEastAsia"/>
          <w:bCs/>
          <w:sz w:val="21"/>
          <w:highlight w:val="none"/>
        </w:rPr>
        <w:t>投标人应认真阅读本招标文件，发现其中有误或有不合理要求的，应当在知道或者应知其权益受到损害之日起七个工作日内</w:t>
      </w:r>
      <w:r>
        <w:rPr>
          <w:rFonts w:hint="eastAsia" w:asciiTheme="minorEastAsia" w:hAnsiTheme="minorEastAsia" w:eastAsiaTheme="minorEastAsia" w:cstheme="minorEastAsia"/>
          <w:sz w:val="21"/>
          <w:highlight w:val="none"/>
        </w:rPr>
        <w:t>以书面形式向招标采购单位提出质疑</w:t>
      </w:r>
      <w:r>
        <w:rPr>
          <w:rFonts w:hint="eastAsia" w:asciiTheme="minorEastAsia" w:hAnsiTheme="minorEastAsia" w:eastAsiaTheme="minorEastAsia" w:cstheme="minorEastAsia"/>
          <w:bCs/>
          <w:sz w:val="21"/>
          <w:highlight w:val="none"/>
        </w:rPr>
        <w:t>或疑问</w:t>
      </w:r>
      <w:r>
        <w:rPr>
          <w:rFonts w:hint="eastAsia" w:asciiTheme="minorEastAsia" w:hAnsiTheme="minorEastAsia" w:eastAsiaTheme="minorEastAsia" w:cstheme="minorEastAsia"/>
          <w:sz w:val="21"/>
          <w:highlight w:val="none"/>
        </w:rPr>
        <w:t>，</w:t>
      </w:r>
      <w:r>
        <w:rPr>
          <w:rFonts w:hint="eastAsia" w:asciiTheme="minorEastAsia" w:hAnsiTheme="minorEastAsia" w:eastAsiaTheme="minorEastAsia" w:cstheme="minorEastAsia"/>
          <w:bCs/>
          <w:sz w:val="21"/>
          <w:highlight w:val="none"/>
        </w:rPr>
        <w:t>送达</w:t>
      </w:r>
      <w:r>
        <w:rPr>
          <w:rFonts w:hint="eastAsia" w:asciiTheme="minorEastAsia" w:hAnsiTheme="minorEastAsia" w:eastAsiaTheme="minorEastAsia" w:cstheme="minorEastAsia"/>
          <w:sz w:val="21"/>
          <w:highlight w:val="none"/>
        </w:rPr>
        <w:t>招标采购单位并</w:t>
      </w:r>
      <w:r>
        <w:rPr>
          <w:rFonts w:hint="eastAsia" w:asciiTheme="minorEastAsia" w:hAnsiTheme="minorEastAsia" w:eastAsiaTheme="minorEastAsia" w:cstheme="minorEastAsia"/>
          <w:bCs/>
          <w:sz w:val="21"/>
          <w:highlight w:val="none"/>
        </w:rPr>
        <w:t>要求招标采购单位签收和澄清</w:t>
      </w:r>
      <w:r>
        <w:rPr>
          <w:rFonts w:hint="eastAsia" w:asciiTheme="minorEastAsia" w:hAnsiTheme="minorEastAsia" w:eastAsiaTheme="minorEastAsia" w:cstheme="minorEastAsia"/>
          <w:sz w:val="21"/>
          <w:highlight w:val="none"/>
        </w:rPr>
        <w:t>。</w:t>
      </w:r>
      <w:r>
        <w:rPr>
          <w:rFonts w:hint="eastAsia" w:asciiTheme="minorEastAsia" w:hAnsiTheme="minorEastAsia" w:eastAsiaTheme="minorEastAsia" w:cstheme="minorEastAsia"/>
          <w:b/>
          <w:sz w:val="21"/>
          <w:highlight w:val="none"/>
        </w:rPr>
        <w:t>如投标人未在规定时间内提出质疑或疑问的，视同投标人理解并接受本招标文件所有内容，并自己承担由此引起的投标损失。同时，不得在招标结束后针对招标文件所有内容提出质疑事项。</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招标采购单位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3.招标采购单位必须以书面形式答复投标人要求澄清的问题，并将不包含问题来源的答复书面通知所有购买招标文件的投标人；除书面答复以外的其他澄清方式及澄清内容均无效。</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4.招标文件澄清、答复、修改、补充的内容为招标文件的组成部分。当招标文件与招标文件的答复、澄清、修改、补充通知就同一内容的表述不一致时，以最后发出的书面文件为准。</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5.招标文件的澄清、答复、修改或补充都应该通过本采购代理机构以法定形式发布，招标人非通过本机构，不得擅自澄清、答复、修改或补充招标文件。</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6.招标采购单位可以视招标具体情况，延长投标截止时间和开标时间，但至少应当在招标文件要求提交投标文件的截止时间三日前将变更时间书面通知所有购买招标文件的收受人，并在财政部门指定的政府采购信息发布媒体上发布变更公告。</w:t>
      </w:r>
    </w:p>
    <w:p>
      <w:pPr>
        <w:pStyle w:val="22"/>
        <w:spacing w:line="420" w:lineRule="exact"/>
        <w:ind w:firstLine="420"/>
        <w:rPr>
          <w:rFonts w:hint="eastAsia" w:asciiTheme="minorEastAsia" w:hAnsiTheme="minorEastAsia" w:eastAsiaTheme="minorEastAsia" w:cstheme="minorEastAsia"/>
          <w:b/>
          <w:bCs/>
          <w:sz w:val="21"/>
          <w:highlight w:val="none"/>
        </w:rPr>
      </w:pPr>
      <w:r>
        <w:rPr>
          <w:rFonts w:hint="eastAsia" w:asciiTheme="minorEastAsia" w:hAnsiTheme="minorEastAsia" w:eastAsiaTheme="minorEastAsia" w:cstheme="minorEastAsia"/>
          <w:sz w:val="21"/>
          <w:highlight w:val="none"/>
        </w:rPr>
        <w:t>7．</w:t>
      </w:r>
      <w:r>
        <w:rPr>
          <w:rFonts w:hint="eastAsia" w:asciiTheme="minorEastAsia" w:hAnsiTheme="minorEastAsia" w:eastAsiaTheme="minorEastAsia" w:cstheme="minorEastAsia"/>
          <w:bCs/>
          <w:sz w:val="21"/>
          <w:highlight w:val="none"/>
        </w:rPr>
        <w:t>请投标人在接到采购代理机构的电话通知后到采购代理机构处领取以上澄清答复（或补充通知），或者在网上查询。该澄清答复（或补充通知）不用传真方式发出，如在电话通知后24小时内不上门领取的，则视为已在网上查询收到。该澄清或修改的内容为</w:t>
      </w:r>
      <w:r>
        <w:rPr>
          <w:rFonts w:hint="eastAsia" w:asciiTheme="minorEastAsia" w:hAnsiTheme="minorEastAsia" w:eastAsiaTheme="minorEastAsia" w:cstheme="minorEastAsia"/>
          <w:sz w:val="21"/>
          <w:highlight w:val="none"/>
        </w:rPr>
        <w:t>招标文件</w:t>
      </w:r>
      <w:r>
        <w:rPr>
          <w:rFonts w:hint="eastAsia" w:asciiTheme="minorEastAsia" w:hAnsiTheme="minorEastAsia" w:eastAsiaTheme="minorEastAsia" w:cstheme="minorEastAsia"/>
          <w:bCs/>
          <w:sz w:val="21"/>
          <w:highlight w:val="none"/>
        </w:rPr>
        <w:t>的组成部分。投标人在每一次收到澄清答复或补充通知后应立即以书面形式通知采购代理机构，确认已收到该澄清答复或补充通知。否则，由此造成的一切后果由投标人承担</w:t>
      </w:r>
      <w:r>
        <w:rPr>
          <w:rFonts w:hint="eastAsia" w:asciiTheme="minorEastAsia" w:hAnsiTheme="minorEastAsia" w:eastAsiaTheme="minorEastAsia" w:cstheme="minorEastAsia"/>
          <w:b/>
          <w:bCs/>
          <w:sz w:val="21"/>
          <w:highlight w:val="none"/>
        </w:rPr>
        <w:t>。</w:t>
      </w:r>
    </w:p>
    <w:p>
      <w:pPr>
        <w:pStyle w:val="22"/>
        <w:snapToGrid w:val="0"/>
        <w:spacing w:line="400" w:lineRule="exact"/>
        <w:ind w:firstLine="413" w:firstLineChars="196"/>
        <w:outlineLvl w:val="0"/>
        <w:rPr>
          <w:rFonts w:hint="eastAsia" w:asciiTheme="minorEastAsia" w:hAnsiTheme="minorEastAsia" w:eastAsiaTheme="minorEastAsia" w:cstheme="minorEastAsia"/>
          <w:b/>
          <w:sz w:val="21"/>
          <w:highlight w:val="none"/>
        </w:rPr>
      </w:pPr>
      <w:bookmarkStart w:id="33" w:name="_Toc254970676"/>
      <w:bookmarkStart w:id="34" w:name="_Toc254970535"/>
      <w:bookmarkStart w:id="35" w:name="_Toc430110138"/>
      <w:r>
        <w:rPr>
          <w:rFonts w:hint="eastAsia" w:asciiTheme="minorEastAsia" w:hAnsiTheme="minorEastAsia" w:eastAsiaTheme="minorEastAsia" w:cstheme="minorEastAsia"/>
          <w:b/>
          <w:sz w:val="21"/>
          <w:highlight w:val="none"/>
        </w:rPr>
        <w:t>三、投标文件的编制</w:t>
      </w:r>
      <w:bookmarkEnd w:id="33"/>
      <w:bookmarkEnd w:id="34"/>
      <w:bookmarkEnd w:id="35"/>
    </w:p>
    <w:p>
      <w:pPr>
        <w:snapToGrid w:val="0"/>
        <w:spacing w:line="400" w:lineRule="exact"/>
        <w:ind w:firstLine="413" w:firstLineChars="196"/>
        <w:jc w:val="left"/>
        <w:outlineLvl w:val="0"/>
        <w:rPr>
          <w:rFonts w:hint="eastAsia" w:asciiTheme="minorEastAsia" w:hAnsiTheme="minorEastAsia" w:eastAsiaTheme="minorEastAsia" w:cstheme="minorEastAsia"/>
          <w:bCs/>
          <w:szCs w:val="21"/>
          <w:highlight w:val="none"/>
        </w:rPr>
      </w:pPr>
      <w:bookmarkStart w:id="36" w:name="_Toc430109946"/>
      <w:bookmarkStart w:id="37" w:name="_Toc430110264"/>
      <w:bookmarkStart w:id="38" w:name="_Toc254970536"/>
      <w:bookmarkStart w:id="39" w:name="_Toc254970677"/>
      <w:bookmarkStart w:id="40" w:name="_Toc430110139"/>
      <w:r>
        <w:rPr>
          <w:rFonts w:hint="eastAsia" w:asciiTheme="minorEastAsia" w:hAnsiTheme="minorEastAsia" w:eastAsiaTheme="minorEastAsia" w:cstheme="minorEastAsia"/>
          <w:b/>
          <w:szCs w:val="21"/>
          <w:highlight w:val="none"/>
        </w:rPr>
        <w:t>（一）投标文件的组成</w:t>
      </w:r>
      <w:bookmarkEnd w:id="36"/>
      <w:bookmarkEnd w:id="37"/>
      <w:bookmarkEnd w:id="38"/>
      <w:bookmarkEnd w:id="39"/>
      <w:bookmarkEnd w:id="40"/>
      <w:r>
        <w:rPr>
          <w:rFonts w:hint="eastAsia" w:asciiTheme="minorEastAsia" w:hAnsiTheme="minorEastAsia" w:eastAsiaTheme="minorEastAsia" w:cstheme="minorEastAsia"/>
          <w:bCs/>
          <w:szCs w:val="21"/>
          <w:highlight w:val="none"/>
        </w:rPr>
        <w:t>：投标人须知前附表</w:t>
      </w:r>
    </w:p>
    <w:p>
      <w:pPr>
        <w:snapToGrid w:val="0"/>
        <w:spacing w:line="400" w:lineRule="exact"/>
        <w:ind w:firstLine="413" w:firstLineChars="196"/>
        <w:jc w:val="left"/>
        <w:outlineLvl w:val="0"/>
        <w:rPr>
          <w:rFonts w:hint="eastAsia" w:asciiTheme="minorEastAsia" w:hAnsiTheme="minorEastAsia" w:eastAsiaTheme="minorEastAsia" w:cstheme="minorEastAsia"/>
          <w:b/>
          <w:szCs w:val="21"/>
          <w:highlight w:val="none"/>
        </w:rPr>
      </w:pPr>
      <w:bookmarkStart w:id="41" w:name="_Toc254970678"/>
      <w:bookmarkStart w:id="42" w:name="_Toc254970537"/>
      <w:bookmarkStart w:id="43" w:name="_Toc430110265"/>
      <w:bookmarkStart w:id="44" w:name="_Toc430109947"/>
      <w:bookmarkStart w:id="45" w:name="_Toc430110140"/>
      <w:r>
        <w:rPr>
          <w:rFonts w:hint="eastAsia" w:asciiTheme="minorEastAsia" w:hAnsiTheme="minorEastAsia" w:eastAsiaTheme="minorEastAsia" w:cstheme="minorEastAsia"/>
          <w:b/>
          <w:szCs w:val="21"/>
          <w:highlight w:val="none"/>
        </w:rPr>
        <w:t>（二）投标文件的语言及计量</w:t>
      </w:r>
      <w:bookmarkEnd w:id="41"/>
      <w:bookmarkEnd w:id="42"/>
      <w:bookmarkEnd w:id="43"/>
      <w:bookmarkEnd w:id="44"/>
      <w:bookmarkEnd w:id="45"/>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▲1投标文件以及投标方与招标方就有关投标事宜的所有来往函电，均应以中文书写。签名、盖章、专用名称、相关证明文件等特殊情形为外文，需附上中文翻译件，否则投标文件视同未提交。</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beforeLines="50" w:line="400" w:lineRule="exact"/>
        <w:ind w:firstLine="413" w:firstLineChars="196"/>
        <w:jc w:val="left"/>
        <w:outlineLvl w:val="0"/>
        <w:rPr>
          <w:rFonts w:hint="eastAsia" w:asciiTheme="minorEastAsia" w:hAnsiTheme="minorEastAsia" w:eastAsiaTheme="minorEastAsia" w:cstheme="minorEastAsia"/>
          <w:b/>
          <w:szCs w:val="21"/>
          <w:highlight w:val="none"/>
        </w:rPr>
      </w:pPr>
      <w:bookmarkStart w:id="46" w:name="_Toc430110141"/>
      <w:bookmarkStart w:id="47" w:name="_Toc254970679"/>
      <w:bookmarkStart w:id="48" w:name="_Toc430109948"/>
      <w:bookmarkStart w:id="49" w:name="_Toc430110266"/>
      <w:bookmarkStart w:id="50" w:name="_Toc254970538"/>
      <w:r>
        <w:rPr>
          <w:rFonts w:hint="eastAsia" w:asciiTheme="minorEastAsia" w:hAnsiTheme="minorEastAsia" w:eastAsiaTheme="minorEastAsia" w:cstheme="minorEastAsia"/>
          <w:b/>
          <w:szCs w:val="21"/>
          <w:highlight w:val="none"/>
        </w:rPr>
        <w:t>（三）投标报价</w:t>
      </w:r>
      <w:bookmarkEnd w:id="46"/>
      <w:bookmarkEnd w:id="47"/>
      <w:bookmarkEnd w:id="48"/>
      <w:bookmarkEnd w:id="49"/>
      <w:bookmarkEnd w:id="50"/>
    </w:p>
    <w:p>
      <w:pPr>
        <w:pStyle w:val="22"/>
        <w:snapToGrid w:val="0"/>
        <w:spacing w:line="400" w:lineRule="exact"/>
        <w:ind w:firstLine="420" w:firstLineChars="200"/>
        <w:jc w:val="lef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1.投标报价应按招标文件中相关附表格式填写。</w:t>
      </w:r>
    </w:p>
    <w:p>
      <w:pPr>
        <w:tabs>
          <w:tab w:val="left" w:pos="525"/>
        </w:tabs>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 投标报价指提供本次项目实施和完成服务所需的劳务费、技术服务费、交通、通讯、办公场地、管理费、税费等相关成本费用的总和。</w:t>
      </w:r>
    </w:p>
    <w:p>
      <w:pPr>
        <w:tabs>
          <w:tab w:val="left" w:pos="525"/>
        </w:tabs>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▲3.投标文件只允许有一个报价，有选择的或有条件的报价将不予接受。</w:t>
      </w:r>
    </w:p>
    <w:p>
      <w:pPr>
        <w:tabs>
          <w:tab w:val="left" w:pos="525"/>
        </w:tabs>
        <w:snapToGrid w:val="0"/>
        <w:spacing w:line="400" w:lineRule="exact"/>
        <w:ind w:firstLine="630" w:firstLineChars="3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4.投标人可就《招标内容及要求》中的某个分标的服务内容作完整唯一报价，也可就多个或所有分标的服务内容作完整唯一报价。</w:t>
      </w:r>
    </w:p>
    <w:p>
      <w:pPr>
        <w:pStyle w:val="13"/>
        <w:widowControl w:val="0"/>
        <w:tabs>
          <w:tab w:val="clear" w:pos="454"/>
        </w:tabs>
        <w:snapToGrid w:val="0"/>
        <w:spacing w:beforeLines="50" w:after="120" w:line="400" w:lineRule="exact"/>
        <w:ind w:left="0" w:firstLine="413" w:firstLineChars="196"/>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（四）投标文件的有效期</w:t>
      </w:r>
    </w:p>
    <w:p>
      <w:pPr>
        <w:pStyle w:val="13"/>
        <w:widowControl w:val="0"/>
        <w:tabs>
          <w:tab w:val="clear" w:pos="454"/>
        </w:tabs>
        <w:snapToGrid w:val="0"/>
        <w:spacing w:after="120" w:line="400" w:lineRule="exact"/>
        <w:ind w:left="0"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 投标文件自投标截止日起</w:t>
      </w:r>
      <w:r>
        <w:rPr>
          <w:rFonts w:hint="eastAsia" w:asciiTheme="minorEastAsia" w:hAnsiTheme="minorEastAsia" w:eastAsiaTheme="minorEastAsia" w:cstheme="minorEastAsia"/>
          <w:sz w:val="21"/>
          <w:szCs w:val="21"/>
          <w:highlight w:val="none"/>
          <w:u w:val="single"/>
        </w:rPr>
        <w:t xml:space="preserve">60 </w:t>
      </w:r>
      <w:r>
        <w:rPr>
          <w:rFonts w:hint="eastAsia" w:asciiTheme="minorEastAsia" w:hAnsiTheme="minorEastAsia" w:eastAsiaTheme="minorEastAsia" w:cstheme="minorEastAsia"/>
          <w:sz w:val="21"/>
          <w:szCs w:val="21"/>
          <w:highlight w:val="none"/>
        </w:rPr>
        <w:t>天应保持有效。有效期不足的投标文件将被拒绝。</w:t>
      </w:r>
    </w:p>
    <w:p>
      <w:pPr>
        <w:pStyle w:val="13"/>
        <w:widowControl w:val="0"/>
        <w:tabs>
          <w:tab w:val="clear" w:pos="454"/>
        </w:tabs>
        <w:snapToGrid w:val="0"/>
        <w:spacing w:after="120" w:line="400" w:lineRule="exact"/>
        <w:ind w:left="0"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2.在特殊情况下，招标人可与投标人协商延长投标文件的有效期，这种要求和答复均以书面形式进行。</w:t>
      </w:r>
    </w:p>
    <w:p>
      <w:pPr>
        <w:snapToGrid w:val="0"/>
        <w:spacing w:line="400" w:lineRule="exact"/>
        <w:ind w:firstLine="420" w:firstLineChars="200"/>
        <w:jc w:val="left"/>
        <w:outlineLvl w:val="0"/>
        <w:rPr>
          <w:rFonts w:hint="eastAsia" w:asciiTheme="minorEastAsia" w:hAnsiTheme="minorEastAsia" w:eastAsiaTheme="minorEastAsia" w:cstheme="minorEastAsia"/>
          <w:b/>
          <w:szCs w:val="21"/>
          <w:highlight w:val="none"/>
        </w:rPr>
      </w:pPr>
      <w:bookmarkStart w:id="51" w:name="_Toc254970680"/>
      <w:bookmarkStart w:id="52" w:name="_Toc254970539"/>
      <w:bookmarkStart w:id="53" w:name="_Toc430109949"/>
      <w:bookmarkStart w:id="54" w:name="_Toc430110142"/>
      <w:bookmarkStart w:id="55" w:name="_Toc430110267"/>
      <w:r>
        <w:rPr>
          <w:rFonts w:hint="eastAsia" w:asciiTheme="minorEastAsia" w:hAnsiTheme="minorEastAsia" w:eastAsiaTheme="minorEastAsia" w:cstheme="minorEastAsia"/>
          <w:szCs w:val="21"/>
          <w:highlight w:val="none"/>
        </w:rPr>
        <w:t>3.投标人可拒绝接受延期要求，但不能修改投标文件。</w:t>
      </w:r>
      <w:bookmarkEnd w:id="51"/>
      <w:bookmarkEnd w:id="52"/>
      <w:bookmarkEnd w:id="53"/>
      <w:bookmarkEnd w:id="54"/>
      <w:bookmarkEnd w:id="55"/>
    </w:p>
    <w:p>
      <w:pPr>
        <w:snapToGrid w:val="0"/>
        <w:spacing w:line="400" w:lineRule="exact"/>
        <w:ind w:firstLine="420" w:firstLineChars="200"/>
        <w:jc w:val="left"/>
        <w:outlineLvl w:val="0"/>
        <w:rPr>
          <w:rFonts w:hint="eastAsia" w:asciiTheme="minorEastAsia" w:hAnsiTheme="minorEastAsia" w:eastAsiaTheme="minorEastAsia" w:cstheme="minorEastAsia"/>
          <w:b/>
          <w:szCs w:val="21"/>
          <w:highlight w:val="none"/>
        </w:rPr>
      </w:pPr>
      <w:bookmarkStart w:id="56" w:name="_Toc254970681"/>
      <w:bookmarkStart w:id="57" w:name="_Toc430109950"/>
      <w:bookmarkStart w:id="58" w:name="_Toc430110268"/>
      <w:bookmarkStart w:id="59" w:name="_Toc254970540"/>
      <w:bookmarkStart w:id="60" w:name="_Toc430110143"/>
      <w:r>
        <w:rPr>
          <w:rFonts w:hint="eastAsia" w:asciiTheme="minorEastAsia" w:hAnsiTheme="minorEastAsia" w:eastAsiaTheme="minorEastAsia" w:cstheme="minorEastAsia"/>
          <w:szCs w:val="21"/>
          <w:highlight w:val="none"/>
        </w:rPr>
        <w:t>4.中标人的投标文件自开标之日起至合同履行完毕止均应保持有效。</w:t>
      </w:r>
      <w:bookmarkEnd w:id="56"/>
      <w:bookmarkEnd w:id="57"/>
      <w:bookmarkEnd w:id="58"/>
      <w:bookmarkEnd w:id="59"/>
      <w:bookmarkEnd w:id="60"/>
    </w:p>
    <w:p>
      <w:pPr>
        <w:snapToGrid w:val="0"/>
        <w:spacing w:beforeLines="50" w:line="400" w:lineRule="exact"/>
        <w:ind w:firstLine="413" w:firstLineChars="196"/>
        <w:jc w:val="left"/>
        <w:outlineLvl w:val="0"/>
        <w:rPr>
          <w:rFonts w:hint="eastAsia" w:asciiTheme="minorEastAsia" w:hAnsiTheme="minorEastAsia" w:eastAsiaTheme="minorEastAsia" w:cstheme="minorEastAsia"/>
          <w:b/>
          <w:szCs w:val="21"/>
          <w:highlight w:val="none"/>
        </w:rPr>
      </w:pPr>
      <w:bookmarkStart w:id="61" w:name="_Toc430109951"/>
      <w:bookmarkStart w:id="62" w:name="_Toc430110269"/>
      <w:bookmarkStart w:id="63" w:name="_Toc254970682"/>
      <w:bookmarkStart w:id="64" w:name="_Toc430110144"/>
      <w:bookmarkStart w:id="65" w:name="_Toc254970541"/>
      <w:r>
        <w:rPr>
          <w:rFonts w:hint="eastAsia" w:asciiTheme="minorEastAsia" w:hAnsiTheme="minorEastAsia" w:eastAsiaTheme="minorEastAsia" w:cstheme="minorEastAsia"/>
          <w:b/>
          <w:szCs w:val="21"/>
          <w:highlight w:val="none"/>
        </w:rPr>
        <w:t>（五）投标保证金</w:t>
      </w:r>
      <w:bookmarkEnd w:id="61"/>
      <w:bookmarkEnd w:id="62"/>
      <w:bookmarkEnd w:id="63"/>
      <w:bookmarkEnd w:id="64"/>
      <w:bookmarkEnd w:id="65"/>
      <w:r>
        <w:rPr>
          <w:rFonts w:hint="eastAsia" w:asciiTheme="minorEastAsia" w:hAnsiTheme="minorEastAsia" w:eastAsiaTheme="minorEastAsia" w:cstheme="minorEastAsia"/>
          <w:b/>
          <w:szCs w:val="21"/>
          <w:highlight w:val="none"/>
        </w:rPr>
        <w:t>：无</w:t>
      </w:r>
    </w:p>
    <w:p>
      <w:pPr>
        <w:snapToGrid w:val="0"/>
        <w:spacing w:line="400" w:lineRule="exact"/>
        <w:ind w:firstLine="413" w:firstLineChars="196"/>
        <w:jc w:val="left"/>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6.投标人有下列情形之一的，报政府采购监督管理部门进行处理：</w:t>
      </w:r>
    </w:p>
    <w:p>
      <w:pPr>
        <w:snapToGrid w:val="0"/>
        <w:spacing w:line="400" w:lineRule="exact"/>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（1）投标人在投标有效期内撤回投标文件的；</w:t>
      </w:r>
    </w:p>
    <w:p>
      <w:pPr>
        <w:snapToGrid w:val="0"/>
        <w:spacing w:line="400" w:lineRule="exact"/>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（2）投标人在投标过程中弄虚作假，提供虚假材料的；</w:t>
      </w:r>
    </w:p>
    <w:p>
      <w:pPr>
        <w:snapToGrid w:val="0"/>
        <w:spacing w:line="400" w:lineRule="exact"/>
        <w:ind w:firstLine="411" w:firstLineChars="196"/>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（3）中标人无正当理由不与采购人签订合同的；</w:t>
      </w:r>
    </w:p>
    <w:p>
      <w:pPr>
        <w:snapToGrid w:val="0"/>
        <w:spacing w:line="400" w:lineRule="exact"/>
        <w:ind w:firstLine="411" w:firstLineChars="196"/>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（4）中标人</w:t>
      </w:r>
      <w:r>
        <w:rPr>
          <w:rFonts w:hint="eastAsia" w:asciiTheme="minorEastAsia" w:hAnsiTheme="minorEastAsia" w:eastAsiaTheme="minorEastAsia" w:cstheme="minorEastAsia"/>
          <w:bCs/>
          <w:szCs w:val="21"/>
          <w:highlight w:val="none"/>
        </w:rPr>
        <w:t>将中标项目转让给他人或者在投标文件中未说明且未经采购人同意，将中标项目分包给他人的；</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（5）中标人拒绝履行合同义务的；</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（6）投标人有其他严重扰乱招投标程序的。</w:t>
      </w:r>
    </w:p>
    <w:p>
      <w:pPr>
        <w:snapToGrid w:val="0"/>
        <w:spacing w:beforeLines="50" w:line="400" w:lineRule="exact"/>
        <w:ind w:firstLine="413" w:firstLineChars="196"/>
        <w:jc w:val="left"/>
        <w:outlineLvl w:val="0"/>
        <w:rPr>
          <w:rFonts w:hint="eastAsia" w:asciiTheme="minorEastAsia" w:hAnsiTheme="minorEastAsia" w:eastAsiaTheme="minorEastAsia" w:cstheme="minorEastAsia"/>
          <w:b/>
          <w:szCs w:val="21"/>
          <w:highlight w:val="none"/>
        </w:rPr>
      </w:pPr>
      <w:bookmarkStart w:id="66" w:name="_Toc254970683"/>
      <w:bookmarkStart w:id="67" w:name="_Toc430109952"/>
      <w:bookmarkStart w:id="68" w:name="_Toc430110270"/>
      <w:bookmarkStart w:id="69" w:name="_Toc254970542"/>
      <w:bookmarkStart w:id="70" w:name="_Toc430110145"/>
      <w:r>
        <w:rPr>
          <w:rFonts w:hint="eastAsia" w:asciiTheme="minorEastAsia" w:hAnsiTheme="minorEastAsia" w:eastAsiaTheme="minorEastAsia" w:cstheme="minorEastAsia"/>
          <w:b/>
          <w:szCs w:val="21"/>
          <w:highlight w:val="none"/>
        </w:rPr>
        <w:t>（六）投标文件的签署和份数</w:t>
      </w:r>
      <w:bookmarkEnd w:id="66"/>
      <w:bookmarkEnd w:id="67"/>
      <w:bookmarkEnd w:id="68"/>
      <w:bookmarkEnd w:id="69"/>
      <w:bookmarkEnd w:id="70"/>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1.投标人应按本招标文件规定的格式和顺序编制、装订投标文件并标注页码，投标文件内容不完整、编排混乱导致投标文件被误读、漏读或者查找不到相关内容的，是投标人的责任。</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2.投标人应按资格审查文件、商务/报价文件、技术文件正本各一份，副本各六份分别编制并单独装订成册，投标文件的封面应注明“正本”、“副本”字样。活页装订的投标文件将被拒绝。</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3.投标文件的正本需打印或用不褪色的墨水填写，投标文件正本除本《投标人须知》中规定的可提供复印件外均须提供原件。副本可以是正本的复印件。</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4.投标文件须由投标人在规定位置加盖单位公章并由法定代表人或法定代表人的授权委托人签署，投标人应写全称。</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5.投标文件不得涂改，若有修改错漏处，须加盖单位公章或者法定代表人或授权委托人签字。投标文件因字迹潦草或表达不清所引起的后果由投标人负责。</w:t>
      </w:r>
    </w:p>
    <w:p>
      <w:pPr>
        <w:snapToGrid w:val="0"/>
        <w:spacing w:beforeLines="50" w:line="400" w:lineRule="exact"/>
        <w:ind w:firstLine="310" w:firstLineChars="147"/>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（七）投标文件的包装、递交、修改和撤回</w:t>
      </w:r>
    </w:p>
    <w:p>
      <w:pPr>
        <w:snapToGrid w:val="0"/>
        <w:spacing w:line="400" w:lineRule="exact"/>
        <w:ind w:firstLine="420"/>
        <w:jc w:val="left"/>
        <w:rPr>
          <w:rFonts w:hint="eastAsia" w:asciiTheme="minorEastAsia" w:hAnsiTheme="minorEastAsia" w:eastAsiaTheme="minorEastAsia" w:cstheme="minorEastAsia"/>
          <w:szCs w:val="21"/>
          <w:highlight w:val="none"/>
        </w:rPr>
      </w:pPr>
      <w:bookmarkStart w:id="71" w:name="_Toc254970684"/>
      <w:bookmarkStart w:id="72" w:name="_Toc430110146"/>
      <w:bookmarkStart w:id="73" w:name="_Toc254970543"/>
      <w:r>
        <w:rPr>
          <w:rFonts w:hint="eastAsia" w:asciiTheme="minorEastAsia" w:hAnsiTheme="minorEastAsia" w:eastAsiaTheme="minorEastAsia" w:cstheme="minorEastAsia"/>
          <w:szCs w:val="21"/>
          <w:highlight w:val="none"/>
        </w:rPr>
        <w:t>1.投标人应按资格审查文件、商务/报价文件、技术文件三部分密封封装投标文件（即各部分的文件先单独包装，然后再将三个密封袋包装在一起），其中《开标一览表》（格式见附件）应单独用小信封密封,再与其他投标文件一起包封，最后提交时应为一个密封袋。</w:t>
      </w:r>
    </w:p>
    <w:p>
      <w:pPr>
        <w:snapToGrid w:val="0"/>
        <w:spacing w:line="400" w:lineRule="exact"/>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投标文件的包装封面上应注明：投标人名称、投标人地址、投标文件名称（资格审查文件或者商务/报价文件、技术文件、开标一览表等）、项目名称、项目编号及“开标时启封”字样，并加盖投标人公章。</w:t>
      </w:r>
    </w:p>
    <w:p>
      <w:pPr>
        <w:snapToGrid w:val="0"/>
        <w:spacing w:line="400" w:lineRule="exact"/>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2.逾期送达或投标文件的包装未按要求密封、盖章、标记的将予以拒收或作无效投标文件处理，由此造成的风险由投标人承担。</w:t>
      </w:r>
    </w:p>
    <w:p>
      <w:pPr>
        <w:snapToGrid w:val="0"/>
        <w:spacing w:line="400" w:lineRule="exact"/>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投标人在投标截止时间之前，可以对已提交的投标文件进行修改或撤回，并书面通知招标采购单位；投标时间截止后，投标人不得撤回、修改投标文件。修改后重新递交的投标文件应当按本招标文件的要求签署、盖章和密封。</w:t>
      </w:r>
    </w:p>
    <w:p>
      <w:pPr>
        <w:snapToGrid w:val="0"/>
        <w:spacing w:beforeLines="50" w:line="400" w:lineRule="exact"/>
        <w:ind w:firstLine="413" w:firstLineChars="196"/>
        <w:outlineLvl w:val="2"/>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（八）投标无效的情形</w:t>
      </w:r>
      <w:bookmarkEnd w:id="71"/>
      <w:bookmarkEnd w:id="72"/>
      <w:bookmarkEnd w:id="73"/>
    </w:p>
    <w:p>
      <w:pPr>
        <w:snapToGrid w:val="0"/>
        <w:spacing w:line="40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13" w:firstLineChars="196"/>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1.在符合性审查和资格性审查时，如发现有下列情形之一的，投标文件将被视为无效：</w:t>
      </w:r>
    </w:p>
    <w:p>
      <w:pPr>
        <w:pStyle w:val="19"/>
        <w:snapToGrid w:val="0"/>
        <w:spacing w:line="400" w:lineRule="exact"/>
        <w:ind w:firstLine="411" w:firstLineChars="196"/>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（1）投标人超越了按照法律法规规定必须获得行政许可或者行政审批的经营范围的。</w:t>
      </w:r>
    </w:p>
    <w:p>
      <w:pPr>
        <w:pStyle w:val="19"/>
        <w:snapToGrid w:val="0"/>
        <w:spacing w:line="400" w:lineRule="exact"/>
        <w:ind w:firstLine="411" w:firstLineChars="196"/>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（2）投标人资格证明文件不全的，或者不符合招标文件标明的资格要求的。</w:t>
      </w:r>
    </w:p>
    <w:p>
      <w:pPr>
        <w:pStyle w:val="19"/>
        <w:snapToGrid w:val="0"/>
        <w:spacing w:line="400" w:lineRule="exact"/>
        <w:ind w:firstLine="411" w:firstLineChars="196"/>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（3）投标人的投标文件无法定代表人签字或盖章、或由委托代理人签字但未提供法定代表人授权委托书，未提供投标声明书或者填写实质性要求项目不齐全的，或未按招标文件规定要求签署、盖章的。</w:t>
      </w:r>
    </w:p>
    <w:p>
      <w:pPr>
        <w:pStyle w:val="19"/>
        <w:snapToGrid w:val="0"/>
        <w:spacing w:line="400" w:lineRule="exact"/>
        <w:ind w:firstLine="411" w:firstLineChars="196"/>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（4）投标人的投标代表未能出具身份证明或与法定代表人授权委托人身份不符的。 </w:t>
      </w:r>
    </w:p>
    <w:p>
      <w:pPr>
        <w:pStyle w:val="19"/>
        <w:snapToGrid w:val="0"/>
        <w:spacing w:line="400" w:lineRule="exact"/>
        <w:ind w:firstLine="411" w:firstLineChars="196"/>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（5）投标人的投标文件项目不齐全或者内容虚假的。</w:t>
      </w:r>
    </w:p>
    <w:p>
      <w:pPr>
        <w:pStyle w:val="19"/>
        <w:snapToGrid w:val="0"/>
        <w:spacing w:line="400" w:lineRule="exact"/>
        <w:ind w:firstLine="411" w:firstLineChars="196"/>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（6）投标人的投标文件的实质性内容未使用中文表述、意思表述不明确、前后矛盾或者使用计量单位不符合招标文件要求的（经评标委员会认定并允许其当场更正的笔误除外）。</w:t>
      </w:r>
    </w:p>
    <w:p>
      <w:pPr>
        <w:pStyle w:val="19"/>
        <w:snapToGrid w:val="0"/>
        <w:spacing w:line="400" w:lineRule="exact"/>
        <w:ind w:firstLine="411" w:firstLineChars="196"/>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（7）投标人的投标有效期、服务时间等商务条款不能满足招标文件要求的。</w:t>
      </w:r>
    </w:p>
    <w:p>
      <w:pPr>
        <w:pStyle w:val="19"/>
        <w:snapToGrid w:val="0"/>
        <w:spacing w:line="400" w:lineRule="exact"/>
        <w:ind w:firstLine="411" w:firstLineChars="196"/>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（8）投标人未实质性响应招标文件或不符合法律、法规要求或投标文件有招标方不能接受的附加条件的。</w:t>
      </w:r>
    </w:p>
    <w:p>
      <w:pPr>
        <w:pStyle w:val="19"/>
        <w:snapToGrid w:val="0"/>
        <w:spacing w:line="400" w:lineRule="exact"/>
        <w:ind w:firstLine="413" w:firstLineChars="196"/>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2.在技术评审时，如发现下列情形之一的，投标文件将被视为无效：</w:t>
      </w:r>
    </w:p>
    <w:p>
      <w:pPr>
        <w:pStyle w:val="19"/>
        <w:snapToGrid w:val="0"/>
        <w:spacing w:line="400" w:lineRule="exact"/>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（1）投标人未提供或未如实提供投标服务的内容，或者投标文件标明的响应或偏离与事实不符或虚假投标的。</w:t>
      </w:r>
    </w:p>
    <w:p>
      <w:pPr>
        <w:pStyle w:val="19"/>
        <w:snapToGrid w:val="0"/>
        <w:spacing w:line="400" w:lineRule="exact"/>
        <w:ind w:firstLine="420"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sz w:val="21"/>
          <w:szCs w:val="21"/>
          <w:highlight w:val="none"/>
        </w:rPr>
        <w:t>（2）投标人的投标文件明显不符合招标文件要求的服务内容、质量标准，或者与招标文件中标“▲”的项目需求、发生实质性偏离的。</w:t>
      </w:r>
    </w:p>
    <w:p>
      <w:pPr>
        <w:pStyle w:val="19"/>
        <w:snapToGrid w:val="0"/>
        <w:spacing w:line="400" w:lineRule="exact"/>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（3）投标人的投标技术方案不明确，存在一个或一个以上备选（替代）投标方案的。</w:t>
      </w:r>
    </w:p>
    <w:p>
      <w:pPr>
        <w:pStyle w:val="19"/>
        <w:snapToGrid w:val="0"/>
        <w:spacing w:line="400" w:lineRule="exact"/>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（4）投标人的投标文件与其他参加本次投标供应商的投标文件（技术文件）的文字表述内容相同连续20行以上或者差错相同2处以上的。</w:t>
      </w:r>
    </w:p>
    <w:p>
      <w:pPr>
        <w:pStyle w:val="19"/>
        <w:snapToGrid w:val="0"/>
        <w:spacing w:line="400" w:lineRule="exact"/>
        <w:ind w:firstLine="413" w:firstLineChars="196"/>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3.在报价评审时，如发现下列情形之一的，投标文件将被视为无效：</w:t>
      </w:r>
    </w:p>
    <w:p>
      <w:pPr>
        <w:pStyle w:val="19"/>
        <w:snapToGrid w:val="0"/>
        <w:spacing w:line="400" w:lineRule="exact"/>
        <w:ind w:firstLine="411" w:firstLineChars="196"/>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（1）投标人未采用人民币报价或者未按照招标文件标明的币种报价的；</w:t>
      </w:r>
    </w:p>
    <w:p>
      <w:pPr>
        <w:pStyle w:val="19"/>
        <w:snapToGrid w:val="0"/>
        <w:spacing w:line="400" w:lineRule="exact"/>
        <w:ind w:firstLine="411" w:firstLineChars="196"/>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（2）投标人的报价超出最高限价，或者超出采购预算金额，采购人不能支付的；</w:t>
      </w:r>
    </w:p>
    <w:p>
      <w:pPr>
        <w:pStyle w:val="19"/>
        <w:snapToGrid w:val="0"/>
        <w:spacing w:line="400" w:lineRule="exact"/>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（3）投标人的投标报价具有选择性，或者开标价格与投标文件承诺的优惠（折扣）价格不一致的。</w:t>
      </w:r>
    </w:p>
    <w:p>
      <w:pPr>
        <w:pStyle w:val="19"/>
        <w:snapToGrid w:val="0"/>
        <w:spacing w:line="400" w:lineRule="exact"/>
        <w:ind w:firstLine="413" w:firstLineChars="196"/>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4.被拒绝的投标文件为无效投标。</w:t>
      </w:r>
    </w:p>
    <w:p>
      <w:pPr>
        <w:pStyle w:val="19"/>
        <w:snapToGrid w:val="0"/>
        <w:spacing w:line="400" w:lineRule="exact"/>
        <w:ind w:firstLine="413" w:firstLineChars="196"/>
        <w:outlineLvl w:val="1"/>
        <w:rPr>
          <w:rFonts w:hint="eastAsia" w:asciiTheme="minorEastAsia" w:hAnsiTheme="minorEastAsia" w:eastAsiaTheme="minorEastAsia" w:cstheme="minorEastAsia"/>
          <w:b/>
          <w:snapToGrid w:val="0"/>
          <w:sz w:val="21"/>
          <w:szCs w:val="21"/>
          <w:highlight w:val="none"/>
        </w:rPr>
      </w:pPr>
      <w:bookmarkStart w:id="74" w:name="_Toc254970685"/>
      <w:bookmarkStart w:id="75" w:name="_Toc254970544"/>
      <w:bookmarkStart w:id="76" w:name="_Toc430110147"/>
      <w:r>
        <w:rPr>
          <w:rFonts w:hint="eastAsia" w:asciiTheme="minorEastAsia" w:hAnsiTheme="minorEastAsia" w:eastAsiaTheme="minorEastAsia" w:cstheme="minorEastAsia"/>
          <w:b/>
          <w:sz w:val="21"/>
          <w:szCs w:val="21"/>
          <w:highlight w:val="none"/>
        </w:rPr>
        <w:t>四、开标</w:t>
      </w:r>
      <w:bookmarkEnd w:id="74"/>
      <w:bookmarkEnd w:id="75"/>
      <w:bookmarkEnd w:id="76"/>
    </w:p>
    <w:p>
      <w:pPr>
        <w:pStyle w:val="22"/>
        <w:snapToGrid w:val="0"/>
        <w:spacing w:line="400" w:lineRule="exact"/>
        <w:ind w:firstLine="413" w:firstLineChars="196"/>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（一）开标准备</w:t>
      </w:r>
    </w:p>
    <w:p>
      <w:pPr>
        <w:pStyle w:val="22"/>
        <w:snapToGrid w:val="0"/>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采购代理机构将在规定的时间和地点进行开标，投标人的法定代表人或委托代理人必须持证件</w:t>
      </w:r>
      <w:r>
        <w:rPr>
          <w:rFonts w:hint="eastAsia" w:asciiTheme="minorEastAsia" w:hAnsiTheme="minorEastAsia" w:eastAsiaTheme="minorEastAsia" w:cstheme="minorEastAsia"/>
          <w:b/>
          <w:sz w:val="21"/>
          <w:highlight w:val="none"/>
        </w:rPr>
        <w:t>(法定代表人（负责人）须携带法定代表人（负责人）身份证明书原件、营业执照复印件加盖公章、本人身份证原件及复印件加盖公章出席；委托代理人须携带本人身份证原件及复印件加盖公章、营业执照复印件加盖公章、法定代表人（负责人）授权委托书原件出席)</w:t>
      </w:r>
      <w:r>
        <w:rPr>
          <w:rFonts w:hint="eastAsia" w:asciiTheme="minorEastAsia" w:hAnsiTheme="minorEastAsia" w:eastAsiaTheme="minorEastAsia" w:cstheme="minorEastAsia"/>
          <w:bCs/>
          <w:sz w:val="21"/>
          <w:highlight w:val="none"/>
        </w:rPr>
        <w:t>参加开标会并签到。投标时间截止后，参加投标的投标人不足三家的，应予废标。</w:t>
      </w:r>
    </w:p>
    <w:p>
      <w:pPr>
        <w:pStyle w:val="22"/>
        <w:snapToGrid w:val="0"/>
        <w:spacing w:line="400" w:lineRule="exact"/>
        <w:ind w:firstLine="413" w:firstLineChars="196"/>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（二） 开标程序：</w:t>
      </w:r>
    </w:p>
    <w:p>
      <w:pPr>
        <w:snapToGrid w:val="0"/>
        <w:spacing w:line="400" w:lineRule="exact"/>
        <w:ind w:firstLine="420"/>
        <w:jc w:val="left"/>
        <w:rPr>
          <w:rFonts w:hint="eastAsia" w:asciiTheme="minorEastAsia" w:hAnsiTheme="minorEastAsia" w:eastAsiaTheme="minorEastAsia" w:cstheme="minorEastAsia"/>
          <w:szCs w:val="21"/>
          <w:highlight w:val="none"/>
        </w:rPr>
      </w:pPr>
      <w:bookmarkStart w:id="77" w:name="_Toc254970686"/>
      <w:bookmarkStart w:id="78" w:name="_Toc430110148"/>
      <w:bookmarkStart w:id="79" w:name="_Toc254970545"/>
      <w:r>
        <w:rPr>
          <w:rFonts w:hint="eastAsia" w:asciiTheme="minorEastAsia" w:hAnsiTheme="minorEastAsia" w:eastAsiaTheme="minorEastAsia" w:cstheme="minorEastAsia"/>
          <w:szCs w:val="21"/>
          <w:highlight w:val="none"/>
        </w:rPr>
        <w:t>1.开标会由采购代理机构主持，主持人宣布开标会议开始；</w:t>
      </w:r>
    </w:p>
    <w:p>
      <w:pPr>
        <w:snapToGrid w:val="0"/>
        <w:spacing w:line="400" w:lineRule="exact"/>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2.主持人介绍参加开标会的人员名单； </w:t>
      </w:r>
    </w:p>
    <w:p>
      <w:pPr>
        <w:snapToGrid w:val="0"/>
        <w:spacing w:line="400" w:lineRule="exact"/>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3.主持人宣布评标期间的有关事项，并告知应当回避的情形，提请有关人员回避；</w:t>
      </w:r>
    </w:p>
    <w:p>
      <w:pPr>
        <w:snapToGrid w:val="0"/>
        <w:spacing w:line="400" w:lineRule="exact"/>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4.投标人或其当场推荐的代表及监督人员一同检查投标文件密封的完整性并签字确认；</w:t>
      </w:r>
    </w:p>
    <w:p>
      <w:pPr>
        <w:snapToGrid w:val="0"/>
        <w:spacing w:line="400" w:lineRule="exact"/>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 随机打开资格审查文件、商务/报价文件、技术文件外包装；</w:t>
      </w:r>
    </w:p>
    <w:p>
      <w:pPr>
        <w:snapToGrid w:val="0"/>
        <w:spacing w:line="400" w:lineRule="exact"/>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 启封《开标一览表》，唱标；</w:t>
      </w:r>
    </w:p>
    <w:p>
      <w:pPr>
        <w:snapToGrid w:val="0"/>
        <w:spacing w:line="400" w:lineRule="exact"/>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7.采购代理机构做开标记录， 投标人代表对开标记录进行当场校核及勘误，并签字确认；同时由记录人、监督人当场签字确认。投标人代表未到场签字确认或者拒绝签字确认的，不影响评标过程；</w:t>
      </w:r>
    </w:p>
    <w:p>
      <w:pPr>
        <w:snapToGrid w:val="0"/>
        <w:spacing w:line="400" w:lineRule="exact"/>
        <w:ind w:firstLine="42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8.开标会议结束。</w:t>
      </w:r>
    </w:p>
    <w:p>
      <w:pPr>
        <w:pStyle w:val="22"/>
        <w:snapToGrid w:val="0"/>
        <w:spacing w:line="400" w:lineRule="exact"/>
        <w:ind w:firstLine="413" w:firstLineChars="196"/>
        <w:outlineLvl w:val="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五、评标</w:t>
      </w:r>
      <w:bookmarkEnd w:id="77"/>
      <w:bookmarkEnd w:id="78"/>
      <w:bookmarkEnd w:id="79"/>
    </w:p>
    <w:p>
      <w:pPr>
        <w:pStyle w:val="22"/>
        <w:snapToGrid w:val="0"/>
        <w:spacing w:line="400" w:lineRule="exact"/>
        <w:ind w:left="690" w:leftChars="228" w:hanging="211" w:hangingChars="10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（一）组建评标委员会</w:t>
      </w:r>
    </w:p>
    <w:p>
      <w:pPr>
        <w:pStyle w:val="22"/>
        <w:snapToGrid w:val="0"/>
        <w:spacing w:line="400" w:lineRule="exact"/>
        <w:ind w:left="689" w:leftChars="228" w:hanging="210" w:hangingChars="1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本项目评标委员会由采购人代表和采购评审专家共7人组成。</w:t>
      </w:r>
    </w:p>
    <w:p>
      <w:pPr>
        <w:pStyle w:val="22"/>
        <w:snapToGrid w:val="0"/>
        <w:spacing w:line="400" w:lineRule="exact"/>
        <w:ind w:left="690" w:leftChars="228" w:hanging="211" w:hangingChars="10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（二）评标的方式</w:t>
      </w:r>
    </w:p>
    <w:p>
      <w:pPr>
        <w:pStyle w:val="22"/>
        <w:snapToGrid w:val="0"/>
        <w:spacing w:line="400" w:lineRule="exact"/>
        <w:ind w:left="689" w:leftChars="228" w:hanging="210" w:hangingChars="1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本项目采用不公开方式评标，评标的依据为招标文件和投标文件。</w:t>
      </w:r>
    </w:p>
    <w:p>
      <w:pPr>
        <w:pStyle w:val="22"/>
        <w:snapToGrid w:val="0"/>
        <w:spacing w:line="400" w:lineRule="exact"/>
        <w:ind w:left="690" w:leftChars="228" w:hanging="211" w:hangingChars="10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（三）</w:t>
      </w:r>
      <w:r>
        <w:rPr>
          <w:rFonts w:hint="eastAsia" w:asciiTheme="minorEastAsia" w:hAnsiTheme="minorEastAsia" w:eastAsiaTheme="minorEastAsia" w:cstheme="minorEastAsia"/>
          <w:b/>
          <w:bCs/>
          <w:sz w:val="21"/>
          <w:highlight w:val="none"/>
        </w:rPr>
        <w:t>评标程序</w:t>
      </w:r>
    </w:p>
    <w:p>
      <w:pPr>
        <w:snapToGrid w:val="0"/>
        <w:spacing w:line="400" w:lineRule="exact"/>
        <w:ind w:firstLine="422" w:firstLineChars="200"/>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1.形式审查</w:t>
      </w:r>
    </w:p>
    <w:p>
      <w:pPr>
        <w:snapToGrid w:val="0"/>
        <w:spacing w:line="40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招标人代表和采购代理机构工作人员协助评标委员会对投标人的资格和投标文件的完整性、合法性等进行审查。</w:t>
      </w:r>
    </w:p>
    <w:p>
      <w:pPr>
        <w:snapToGrid w:val="0"/>
        <w:spacing w:line="400" w:lineRule="exact"/>
        <w:ind w:firstLine="422" w:firstLineChars="200"/>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2.实质审查与比较</w:t>
      </w:r>
    </w:p>
    <w:p>
      <w:pPr>
        <w:snapToGrid w:val="0"/>
        <w:spacing w:line="40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（1）评标委员会审查投标文件的实质性内容是否符合招标文件的实质性要求。</w:t>
      </w:r>
    </w:p>
    <w:p>
      <w:pPr>
        <w:snapToGrid w:val="0"/>
        <w:spacing w:line="40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（2）评标委员会将根据投标人的投标文件进行审查、核对，如有疑问，将对投标人进行询标，投标人要向评标委员会澄清有关问题，并最终以书面形式进行答复。</w:t>
      </w:r>
    </w:p>
    <w:p>
      <w:pPr>
        <w:snapToGrid w:val="0"/>
        <w:spacing w:line="40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投标人代表未到场或者拒绝澄清或者澄清的内容改变了投标文件的实质性内容的，评标委员会有权视该投标文件无效。</w:t>
      </w:r>
    </w:p>
    <w:p>
      <w:pPr>
        <w:snapToGrid w:val="0"/>
        <w:spacing w:line="40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（3）投标人的技术得分为所有评委的有效评分的算术平均数，并指定专人进行计算复核。</w:t>
      </w:r>
    </w:p>
    <w:p>
      <w:pPr>
        <w:snapToGrid w:val="0"/>
        <w:spacing w:line="40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（4）采购代理机构工作人员协助评标委员会根据本项目的评分标准计算各投标人的商务报价得分。</w:t>
      </w:r>
    </w:p>
    <w:p>
      <w:pPr>
        <w:snapToGrid w:val="0"/>
        <w:spacing w:line="40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（5）评标委员会完成评标后，评委对各部分得分汇总，计算出本项目最终得分、性价比、评标价等。评标委员会按评标原则推荐中标候选人同时起草评标报告。</w:t>
      </w:r>
    </w:p>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（四）澄清问题的形式</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对投标文件中含义不明确、同类问题表述不一致或者有明显文字和计算错误的内容，评标委员会可要求投标人作出必要的澄清、说明或者纠正。投标人的澄清、说明或者补正应当采用书面形式，由其</w:t>
      </w:r>
      <w:r>
        <w:rPr>
          <w:rFonts w:hint="eastAsia" w:asciiTheme="minorEastAsia" w:hAnsiTheme="minorEastAsia" w:eastAsiaTheme="minorEastAsia" w:cstheme="minorEastAsia"/>
          <w:bCs/>
          <w:szCs w:val="21"/>
          <w:highlight w:val="none"/>
        </w:rPr>
        <w:t>法定代表人或委托代理人</w:t>
      </w:r>
      <w:r>
        <w:rPr>
          <w:rFonts w:hint="eastAsia" w:asciiTheme="minorEastAsia" w:hAnsiTheme="minorEastAsia" w:eastAsiaTheme="minorEastAsia" w:cstheme="minorEastAsia"/>
          <w:szCs w:val="21"/>
          <w:highlight w:val="none"/>
        </w:rPr>
        <w:t>签字确认，但不得超出投标文件的范围或者改变投标文件的实质性内容。</w:t>
      </w:r>
    </w:p>
    <w:p>
      <w:pPr>
        <w:pStyle w:val="22"/>
        <w:snapToGrid w:val="0"/>
        <w:spacing w:line="400" w:lineRule="exact"/>
        <w:ind w:left="690" w:leftChars="228" w:hanging="211" w:hangingChars="10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（五）错误修正</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投标文件如果出现计算或表达上的错误，修正错误的原则如下：</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1.开标一览表总价与投标报价明细表汇总数不一致的，以开标一览表为准；</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2.投标文件的大写金额和小写金额不一致的，以大写金额为准；</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3.总价金额与按单价汇总金额不一致的，以单价金额计算结果为准；</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4.单价金额小数点有明显错误的，应以总价为准并修改单价；</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5.对不同文字文本的投标文件的解释发生异议的，以中文文本为准。</w:t>
      </w:r>
    </w:p>
    <w:p>
      <w:pPr>
        <w:pStyle w:val="22"/>
        <w:snapToGrid w:val="0"/>
        <w:spacing w:line="400" w:lineRule="exact"/>
        <w:ind w:firstLine="422" w:firstLineChars="200"/>
        <w:rPr>
          <w:rFonts w:hint="eastAsia" w:asciiTheme="minorEastAsia" w:hAnsiTheme="minorEastAsia" w:eastAsiaTheme="minorEastAsia" w:cstheme="minorEastAsia"/>
          <w:b/>
          <w:bCs/>
          <w:sz w:val="21"/>
          <w:highlight w:val="none"/>
        </w:rPr>
      </w:pPr>
      <w:r>
        <w:rPr>
          <w:rFonts w:hint="eastAsia" w:asciiTheme="minorEastAsia" w:hAnsiTheme="minorEastAsia" w:eastAsiaTheme="minorEastAsia" w:cstheme="minorEastAsia"/>
          <w:b/>
          <w:bCs/>
          <w:sz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2"/>
        <w:tabs>
          <w:tab w:val="left" w:pos="630"/>
        </w:tabs>
        <w:snapToGrid w:val="0"/>
        <w:spacing w:line="400" w:lineRule="exact"/>
        <w:ind w:firstLine="413" w:firstLineChars="196"/>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（六）评标原则和评标办法</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 评标原则。评标委员会必须公平、公正、客观，不带任何倾向性和启发性；不得向外界透露任何与评标有关的内容；任何单位和个人不得干扰、影响评标的正常进行；评标委员会及有关工作人员不得私下与投标人接触。在评标期间，出现符合专业条件的投标人或者对招标文件作出实质响应的投标人不足三家时，采购代理机构将按政府采购相关规定作相应处理。</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2.评标办法。本项目评标办法采用</w:t>
      </w:r>
      <w:r>
        <w:rPr>
          <w:rFonts w:hint="eastAsia" w:asciiTheme="minorEastAsia" w:hAnsiTheme="minorEastAsia" w:eastAsiaTheme="minorEastAsia" w:cstheme="minorEastAsia"/>
          <w:b/>
          <w:sz w:val="21"/>
          <w:highlight w:val="none"/>
          <w:u w:val="single"/>
        </w:rPr>
        <w:t>综合评分法</w:t>
      </w:r>
      <w:r>
        <w:rPr>
          <w:rFonts w:hint="eastAsia" w:asciiTheme="minorEastAsia" w:hAnsiTheme="minorEastAsia" w:eastAsiaTheme="minorEastAsia" w:cstheme="minorEastAsia"/>
          <w:sz w:val="21"/>
          <w:highlight w:val="none"/>
        </w:rPr>
        <w:t>，具体评标内容及评分标准等详见《第四章：评标办法及评分标准》。</w:t>
      </w:r>
    </w:p>
    <w:p>
      <w:pPr>
        <w:pStyle w:val="22"/>
        <w:snapToGrid w:val="0"/>
        <w:spacing w:line="400" w:lineRule="exact"/>
        <w:ind w:firstLine="413" w:firstLineChars="196"/>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（七）评标过程的监控</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本项目评标过程实行全程录音、录像监控，投标人在评标过程中所进行的试图影响评标结果的不公正活动，可能导致其投标被拒绝。</w:t>
      </w:r>
    </w:p>
    <w:p>
      <w:pPr>
        <w:pStyle w:val="22"/>
        <w:snapToGrid w:val="0"/>
        <w:spacing w:line="400" w:lineRule="exact"/>
        <w:ind w:firstLine="413" w:firstLineChars="196"/>
        <w:outlineLvl w:val="0"/>
        <w:rPr>
          <w:rFonts w:hint="eastAsia" w:asciiTheme="minorEastAsia" w:hAnsiTheme="minorEastAsia" w:eastAsiaTheme="minorEastAsia" w:cstheme="minorEastAsia"/>
          <w:b/>
          <w:sz w:val="21"/>
          <w:highlight w:val="none"/>
        </w:rPr>
      </w:pPr>
      <w:bookmarkStart w:id="80" w:name="_Toc254970687"/>
      <w:bookmarkStart w:id="81" w:name="_Toc254970546"/>
      <w:bookmarkStart w:id="82" w:name="_Toc430110149"/>
      <w:r>
        <w:rPr>
          <w:rFonts w:hint="eastAsia" w:asciiTheme="minorEastAsia" w:hAnsiTheme="minorEastAsia" w:eastAsiaTheme="minorEastAsia" w:cstheme="minorEastAsia"/>
          <w:b/>
          <w:sz w:val="21"/>
          <w:highlight w:val="none"/>
        </w:rPr>
        <w:t>六、评标结果</w:t>
      </w:r>
      <w:bookmarkEnd w:id="80"/>
      <w:bookmarkEnd w:id="81"/>
      <w:bookmarkEnd w:id="82"/>
    </w:p>
    <w:p>
      <w:pPr>
        <w:pStyle w:val="22"/>
        <w:spacing w:line="400" w:lineRule="exact"/>
        <w:ind w:firstLine="42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（一）采购代理机构将在评标结束后二个工作日内将评标报告送招标人，招标人在五个工作日内按照评标报告中推荐的中标候选人顺序确定中标人。招标人也可以事先授权评标委员会直接确定中标人。</w:t>
      </w:r>
    </w:p>
    <w:p>
      <w:pPr>
        <w:pStyle w:val="22"/>
        <w:spacing w:line="400" w:lineRule="exact"/>
        <w:ind w:firstLine="42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（二）中标人确定后，采购代理机构在中国政府采购网、广西壮族自治区政府采购网、广西防城港政府采购网站、防城港市公共资源交易中心网发布中标公告。</w:t>
      </w:r>
    </w:p>
    <w:p>
      <w:pPr>
        <w:pStyle w:val="22"/>
        <w:spacing w:line="400" w:lineRule="exact"/>
        <w:ind w:firstLine="42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（三）在发布中标公告的同时，采购代理机构向中标人发出中标通知书。</w:t>
      </w:r>
    </w:p>
    <w:p>
      <w:pPr>
        <w:pStyle w:val="22"/>
        <w:spacing w:line="400" w:lineRule="exact"/>
        <w:ind w:firstLine="42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（四）投标人认为招标过程和中标结果使自己的权益受到损害的，可以在知道或者应知其权益受到损害之日起七个工作日内，以书面形式向采购代理机构提出质疑，并及时索要书面回执。</w:t>
      </w:r>
    </w:p>
    <w:p>
      <w:pPr>
        <w:pStyle w:val="22"/>
        <w:spacing w:line="400" w:lineRule="exact"/>
        <w:ind w:firstLine="42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（五）采购代理机构应当按照有关规定就采购人委托授权范围内的事项在收到投标人的书面质疑后七个工作日内做出答复，但答复的内容不得涉及商业秘密。</w:t>
      </w:r>
    </w:p>
    <w:p>
      <w:pPr>
        <w:pStyle w:val="22"/>
        <w:spacing w:line="400" w:lineRule="exact"/>
        <w:ind w:firstLine="42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（六）采购代理机构无义务向未中标的供应商解释未中标原因和退还投标文件。</w:t>
      </w:r>
    </w:p>
    <w:p>
      <w:pPr>
        <w:pStyle w:val="22"/>
        <w:snapToGrid w:val="0"/>
        <w:spacing w:line="400" w:lineRule="exact"/>
        <w:ind w:firstLine="413" w:firstLineChars="196"/>
        <w:outlineLvl w:val="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七 、签订合同</w:t>
      </w:r>
    </w:p>
    <w:p>
      <w:pPr>
        <w:pStyle w:val="22"/>
        <w:spacing w:line="400" w:lineRule="exact"/>
        <w:ind w:firstLine="358" w:firstLineChars="17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（一）合同授予标准</w:t>
      </w:r>
    </w:p>
    <w:p>
      <w:pPr>
        <w:pStyle w:val="22"/>
        <w:spacing w:line="400" w:lineRule="exact"/>
        <w:ind w:firstLine="42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合同将授予被确定实质上响应招标文件要求，具备履行合同能力，综合评分排名第一的投标人。</w:t>
      </w:r>
    </w:p>
    <w:p>
      <w:pPr>
        <w:pStyle w:val="22"/>
        <w:spacing w:line="400" w:lineRule="exact"/>
        <w:ind w:firstLine="358" w:firstLineChars="17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b/>
          <w:sz w:val="21"/>
          <w:highlight w:val="none"/>
        </w:rPr>
        <w:t>（二）签订合同</w:t>
      </w:r>
    </w:p>
    <w:p>
      <w:pPr>
        <w:pStyle w:val="22"/>
        <w:spacing w:line="400" w:lineRule="exact"/>
        <w:ind w:firstLine="420" w:firstLineChars="200"/>
        <w:outlineLvl w:val="0"/>
        <w:rPr>
          <w:rFonts w:hint="eastAsia" w:asciiTheme="minorEastAsia" w:hAnsiTheme="minorEastAsia" w:eastAsiaTheme="minorEastAsia" w:cstheme="minorEastAsia"/>
          <w:sz w:val="21"/>
          <w:highlight w:val="none"/>
        </w:rPr>
      </w:pPr>
      <w:bookmarkStart w:id="83" w:name="_Toc430110150"/>
      <w:bookmarkStart w:id="84" w:name="_Toc430110271"/>
      <w:bookmarkStart w:id="85" w:name="_Toc430109953"/>
      <w:r>
        <w:rPr>
          <w:rFonts w:hint="eastAsia" w:asciiTheme="minorEastAsia" w:hAnsiTheme="minorEastAsia" w:eastAsiaTheme="minorEastAsia" w:cstheme="minorEastAsia"/>
          <w:sz w:val="21"/>
          <w:highlight w:val="none"/>
        </w:rPr>
        <w:t>（1）投标人接到中标通知书后，应按中标通知书规定的时间、地点与采购人签订合同。</w:t>
      </w:r>
      <w:bookmarkEnd w:id="83"/>
      <w:bookmarkEnd w:id="84"/>
      <w:bookmarkEnd w:id="85"/>
    </w:p>
    <w:p>
      <w:pPr>
        <w:pStyle w:val="22"/>
        <w:spacing w:line="400" w:lineRule="exact"/>
        <w:ind w:firstLine="420" w:firstLineChars="200"/>
        <w:outlineLvl w:val="0"/>
        <w:rPr>
          <w:rFonts w:hint="eastAsia" w:asciiTheme="minorEastAsia" w:hAnsiTheme="minorEastAsia" w:eastAsiaTheme="minorEastAsia" w:cstheme="minorEastAsia"/>
          <w:sz w:val="21"/>
          <w:highlight w:val="none"/>
        </w:rPr>
      </w:pPr>
      <w:bookmarkStart w:id="86" w:name="_Toc430110151"/>
      <w:bookmarkStart w:id="87" w:name="_Toc430109954"/>
      <w:bookmarkStart w:id="88" w:name="_Toc430110272"/>
      <w:r>
        <w:rPr>
          <w:rFonts w:hint="eastAsia" w:asciiTheme="minorEastAsia" w:hAnsiTheme="minorEastAsia" w:eastAsiaTheme="minorEastAsia" w:cstheme="minorEastAsia"/>
          <w:sz w:val="21"/>
          <w:highlight w:val="none"/>
        </w:rPr>
        <w:t>（2）如中标人不按中标通知书的规定签订合同，则按中标人违约处理，采购代理机构将报政府采购监督管理部门进行处理。</w:t>
      </w:r>
      <w:bookmarkEnd w:id="86"/>
      <w:bookmarkEnd w:id="87"/>
      <w:bookmarkEnd w:id="88"/>
    </w:p>
    <w:p>
      <w:pPr>
        <w:pStyle w:val="22"/>
        <w:spacing w:line="400" w:lineRule="exact"/>
        <w:ind w:firstLine="420" w:firstLineChars="200"/>
        <w:outlineLvl w:val="0"/>
        <w:rPr>
          <w:rFonts w:hint="eastAsia" w:asciiTheme="minorEastAsia" w:hAnsiTheme="minorEastAsia" w:eastAsiaTheme="minorEastAsia" w:cstheme="minorEastAsia"/>
          <w:sz w:val="21"/>
          <w:highlight w:val="none"/>
        </w:rPr>
      </w:pPr>
      <w:bookmarkStart w:id="89" w:name="_Toc430110273"/>
      <w:bookmarkStart w:id="90" w:name="_Toc430109955"/>
      <w:bookmarkStart w:id="91" w:name="_Toc430110152"/>
      <w:r>
        <w:rPr>
          <w:rFonts w:hint="eastAsia" w:asciiTheme="minorEastAsia" w:hAnsiTheme="minorEastAsia" w:eastAsiaTheme="minorEastAsia" w:cstheme="minorEastAsia"/>
          <w:sz w:val="21"/>
          <w:highlight w:val="none"/>
        </w:rPr>
        <w:t>（3）中标人因不可抗力或者自身原因不能履行采购合同的，采购人可以与中标人之后排名第一的中标候选人签订采购合同，以此类推。</w:t>
      </w:r>
      <w:bookmarkEnd w:id="89"/>
      <w:bookmarkEnd w:id="90"/>
      <w:bookmarkEnd w:id="91"/>
    </w:p>
    <w:p>
      <w:pPr>
        <w:pStyle w:val="22"/>
        <w:spacing w:line="400" w:lineRule="exact"/>
        <w:ind w:firstLine="420" w:firstLineChars="200"/>
        <w:outlineLvl w:val="0"/>
        <w:rPr>
          <w:rFonts w:hint="eastAsia" w:asciiTheme="minorEastAsia" w:hAnsiTheme="minorEastAsia" w:eastAsiaTheme="minorEastAsia" w:cstheme="minorEastAsia"/>
          <w:sz w:val="21"/>
          <w:highlight w:val="none"/>
        </w:rPr>
      </w:pPr>
      <w:bookmarkStart w:id="92" w:name="_Toc430110153"/>
      <w:bookmarkStart w:id="93" w:name="_Toc430110274"/>
      <w:bookmarkStart w:id="94" w:name="_Toc430109956"/>
      <w:r>
        <w:rPr>
          <w:rFonts w:hint="eastAsia" w:asciiTheme="minorEastAsia" w:hAnsiTheme="minorEastAsia" w:eastAsiaTheme="minorEastAsia" w:cstheme="minorEastAsia"/>
          <w:sz w:val="21"/>
          <w:highlight w:val="none"/>
        </w:rPr>
        <w:t>（4）</w:t>
      </w:r>
      <w:r>
        <w:rPr>
          <w:rFonts w:hint="eastAsia" w:asciiTheme="minorEastAsia" w:hAnsiTheme="minorEastAsia" w:eastAsiaTheme="minorEastAsia" w:cstheme="minorEastAsia"/>
          <w:b/>
          <w:sz w:val="21"/>
          <w:highlight w:val="none"/>
        </w:rPr>
        <w:t>由于中标人放弃中标或未按规定签订合同，造成本项目的合同中标价提高（指采购人选择第二中标候选人或重新采购导致中标金额高于违约中标人的中标价），所超出违约中标人的中标价部分由违约中标人承担赔偿责任，并将赔偿金额上缴同级财政国库。若中标人拒绝交纳赔偿金，除按相关法规追收赔偿金外，列入不良行为记录名单，在一至三年内禁止其参加政府采购活动。</w:t>
      </w:r>
      <w:bookmarkEnd w:id="92"/>
      <w:bookmarkEnd w:id="93"/>
      <w:bookmarkEnd w:id="94"/>
    </w:p>
    <w:p>
      <w:pPr>
        <w:pStyle w:val="22"/>
        <w:spacing w:line="400" w:lineRule="exact"/>
        <w:ind w:firstLine="420" w:firstLineChars="200"/>
        <w:outlineLvl w:val="0"/>
        <w:rPr>
          <w:rFonts w:hint="eastAsia" w:asciiTheme="minorEastAsia" w:hAnsiTheme="minorEastAsia" w:eastAsiaTheme="minorEastAsia" w:cstheme="minorEastAsia"/>
          <w:sz w:val="21"/>
          <w:highlight w:val="none"/>
        </w:rPr>
      </w:pPr>
      <w:bookmarkStart w:id="95" w:name="_Toc430109957"/>
      <w:bookmarkStart w:id="96" w:name="_Toc430110154"/>
      <w:bookmarkStart w:id="97" w:name="_Toc430110275"/>
      <w:r>
        <w:rPr>
          <w:rFonts w:hint="eastAsia" w:asciiTheme="minorEastAsia" w:hAnsiTheme="minorEastAsia" w:eastAsiaTheme="minorEastAsia" w:cstheme="minorEastAsia"/>
          <w:sz w:val="21"/>
          <w:highlight w:val="none"/>
        </w:rPr>
        <w:t>（5）</w:t>
      </w:r>
      <w:r>
        <w:rPr>
          <w:rFonts w:hint="eastAsia" w:asciiTheme="minorEastAsia" w:hAnsiTheme="minorEastAsia" w:eastAsiaTheme="minorEastAsia" w:cstheme="minorEastAsia"/>
          <w:sz w:val="21"/>
          <w:highlight w:val="none"/>
          <w:u w:val="single"/>
        </w:rPr>
        <w:t>采购合同签订必须按照《中华人民共和国政府采购法》和《中华人民共和国合同法》相关规定执行，且签订的合同必须与本招标文件中的合同书格式(包括内容和结构）相一致，不能改变主要条款，否则由此造成的后果由招标人负责</w:t>
      </w:r>
      <w:r>
        <w:rPr>
          <w:rFonts w:hint="eastAsia" w:asciiTheme="minorEastAsia" w:hAnsiTheme="minorEastAsia" w:eastAsiaTheme="minorEastAsia" w:cstheme="minorEastAsia"/>
          <w:sz w:val="21"/>
          <w:highlight w:val="none"/>
        </w:rPr>
        <w:t>。</w:t>
      </w:r>
      <w:bookmarkEnd w:id="95"/>
      <w:bookmarkEnd w:id="96"/>
      <w:bookmarkEnd w:id="97"/>
    </w:p>
    <w:p>
      <w:pPr>
        <w:pStyle w:val="22"/>
        <w:spacing w:line="400" w:lineRule="exact"/>
        <w:ind w:firstLine="420" w:firstLineChars="200"/>
        <w:outlineLvl w:val="0"/>
        <w:rPr>
          <w:rFonts w:hint="eastAsia" w:asciiTheme="minorEastAsia" w:hAnsiTheme="minorEastAsia" w:eastAsiaTheme="minorEastAsia" w:cstheme="minorEastAsia"/>
          <w:sz w:val="21"/>
          <w:highlight w:val="none"/>
        </w:rPr>
      </w:pPr>
      <w:bookmarkStart w:id="98" w:name="_Toc430109958"/>
      <w:bookmarkStart w:id="99" w:name="_Toc430110155"/>
      <w:bookmarkStart w:id="100" w:name="_Toc430110276"/>
      <w:r>
        <w:rPr>
          <w:rFonts w:hint="eastAsia" w:asciiTheme="minorEastAsia" w:hAnsiTheme="minorEastAsia" w:eastAsiaTheme="minorEastAsia" w:cstheme="minorEastAsia"/>
          <w:sz w:val="21"/>
          <w:highlight w:val="none"/>
        </w:rPr>
        <w:t>（6）中标人在签订合同后，必须严格履行合同，否则视为违约，招标人将有充分理由解除合同，其履约保证金将被没收。</w:t>
      </w:r>
      <w:bookmarkEnd w:id="98"/>
      <w:bookmarkEnd w:id="99"/>
      <w:bookmarkEnd w:id="100"/>
    </w:p>
    <w:p>
      <w:pPr>
        <w:spacing w:beforeLines="50" w:afterLines="50"/>
        <w:ind w:left="238"/>
        <w:jc w:val="left"/>
        <w:outlineLvl w:val="1"/>
        <w:rPr>
          <w:rFonts w:hint="eastAsia" w:asciiTheme="minorEastAsia" w:hAnsiTheme="minorEastAsia" w:eastAsiaTheme="minorEastAsia" w:cstheme="minorEastAsia"/>
          <w:b/>
          <w:highlight w:val="none"/>
        </w:rPr>
      </w:pPr>
      <w:bookmarkStart w:id="101" w:name="_Toc304819842"/>
      <w:r>
        <w:rPr>
          <w:rFonts w:hint="eastAsia" w:asciiTheme="minorEastAsia" w:hAnsiTheme="minorEastAsia" w:eastAsiaTheme="minorEastAsia" w:cstheme="minorEastAsia"/>
          <w:b/>
          <w:highlight w:val="none"/>
        </w:rPr>
        <w:t>八、履约保证金</w:t>
      </w:r>
      <w:bookmarkEnd w:id="101"/>
      <w:bookmarkStart w:id="102" w:name="_Toc430110156"/>
      <w:r>
        <w:rPr>
          <w:rFonts w:hint="eastAsia" w:asciiTheme="minorEastAsia" w:hAnsiTheme="minorEastAsia" w:eastAsiaTheme="minorEastAsia" w:cstheme="minorEastAsia"/>
          <w:b/>
          <w:highlight w:val="none"/>
        </w:rPr>
        <w:t>：见</w:t>
      </w:r>
      <w:r>
        <w:rPr>
          <w:rFonts w:hint="eastAsia" w:asciiTheme="minorEastAsia" w:hAnsiTheme="minorEastAsia" w:eastAsiaTheme="minorEastAsia" w:cstheme="minorEastAsia"/>
          <w:b/>
          <w:szCs w:val="21"/>
          <w:highlight w:val="none"/>
        </w:rPr>
        <w:t>投标人须知前附表</w:t>
      </w:r>
    </w:p>
    <w:p>
      <w:pPr>
        <w:pStyle w:val="22"/>
        <w:snapToGrid w:val="0"/>
        <w:spacing w:line="400" w:lineRule="exact"/>
        <w:ind w:firstLine="413" w:firstLineChars="196"/>
        <w:outlineLvl w:val="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bCs/>
          <w:sz w:val="21"/>
          <w:highlight w:val="none"/>
        </w:rPr>
        <w:t>九、纪律和监督</w:t>
      </w:r>
      <w:bookmarkEnd w:id="102"/>
    </w:p>
    <w:p>
      <w:pPr>
        <w:pStyle w:val="22"/>
        <w:spacing w:line="440" w:lineRule="exact"/>
        <w:ind w:firstLine="382" w:firstLineChars="181"/>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1. 对招标人的纪律要求</w:t>
      </w:r>
    </w:p>
    <w:p>
      <w:pPr>
        <w:pStyle w:val="22"/>
        <w:spacing w:line="440" w:lineRule="exact"/>
        <w:ind w:firstLine="380" w:firstLineChars="181"/>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招标人不得泄漏招标投标活动中应当保密的情况和资料，不得与投标人串通损害国家利益、社会公共利益或者他人合法权益。</w:t>
      </w:r>
    </w:p>
    <w:p>
      <w:pPr>
        <w:pStyle w:val="22"/>
        <w:spacing w:line="440" w:lineRule="exact"/>
        <w:ind w:firstLine="382" w:firstLineChars="181"/>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2. 对投标人的纪律要求</w:t>
      </w:r>
    </w:p>
    <w:p>
      <w:pPr>
        <w:pStyle w:val="22"/>
        <w:spacing w:line="440" w:lineRule="exact"/>
        <w:ind w:firstLine="380" w:firstLineChars="181"/>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2"/>
        <w:spacing w:line="440" w:lineRule="exact"/>
        <w:ind w:firstLine="382" w:firstLineChars="181"/>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3. 对评标委员会成员的纪律要求</w:t>
      </w:r>
    </w:p>
    <w:p>
      <w:pPr>
        <w:pStyle w:val="22"/>
        <w:spacing w:line="440" w:lineRule="exact"/>
        <w:ind w:firstLine="380" w:firstLineChars="181"/>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四章“评标办法”没有规定的评审因素和标准进行评标。</w:t>
      </w:r>
    </w:p>
    <w:p>
      <w:pPr>
        <w:pStyle w:val="22"/>
        <w:spacing w:line="440" w:lineRule="exact"/>
        <w:ind w:firstLine="382" w:firstLineChars="181"/>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4. 对与评标活动有关的工作人员的纪律要求</w:t>
      </w:r>
    </w:p>
    <w:p>
      <w:pPr>
        <w:pStyle w:val="22"/>
        <w:spacing w:line="440" w:lineRule="exact"/>
        <w:ind w:firstLine="380" w:firstLineChars="181"/>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2"/>
        <w:snapToGrid w:val="0"/>
        <w:spacing w:line="400" w:lineRule="exact"/>
        <w:ind w:firstLine="413" w:firstLineChars="196"/>
        <w:outlineLvl w:val="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十、其他事项</w:t>
      </w:r>
    </w:p>
    <w:p>
      <w:pPr>
        <w:pStyle w:val="22"/>
        <w:spacing w:line="400" w:lineRule="exact"/>
        <w:ind w:firstLine="413" w:firstLineChars="196"/>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中标服务费</w:t>
      </w:r>
    </w:p>
    <w:p>
      <w:pPr>
        <w:pStyle w:val="22"/>
        <w:spacing w:line="440" w:lineRule="exact"/>
        <w:ind w:firstLine="380" w:firstLineChars="181"/>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（1）中标服务收费按国家发展计划委员会计价格[2002]1980号《招标代理服务费管理暂行办法》及发改价格〔2015〕299 号文规定的收费标准向中标人收取。在领取中标通知书前，中标人应向招标代理机构一次付清中标服务费。否则，招标代理机构将视之为违约，取消该中标决定并对中标人上报政府采购监督管理部门进行处理。</w:t>
      </w:r>
    </w:p>
    <w:p>
      <w:pPr>
        <w:pStyle w:val="22"/>
        <w:spacing w:line="440" w:lineRule="exact"/>
        <w:ind w:firstLine="380" w:firstLineChars="181"/>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（2）代理服务收费标准：</w:t>
      </w:r>
    </w:p>
    <w:tbl>
      <w:tblPr>
        <w:tblStyle w:val="3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1998"/>
        <w:gridCol w:w="1988"/>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720" w:type="dxa"/>
          </w:tcPr>
          <w:p>
            <w:pPr>
              <w:pStyle w:val="22"/>
              <w:spacing w:line="40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pict>
                <v:line id="_x0000_s1026" o:spid="_x0000_s1026" o:spt="20" style="position:absolute;left:0pt;margin-left:23.1pt;margin-top:-0.1pt;height:54.6pt;width:108pt;z-index:251657216;mso-width-relative:page;mso-height-relative:page;" coordsize="21600,21600" o:gfxdata="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zifItYAAAAI&#10;AQAADwAAAAAAAAABACAAAAAiAAAAZHJzL2Rvd25yZXYueG1sUEsBAhQAFAAAAAgAh07iQHRKb2bl&#10;AQAAqQMAAA4AAAAAAAAAAQAgAAAAJQEAAGRycy9lMm9Eb2MueG1sUEsFBgAAAAAGAAYAWQEAAHwF&#10;AAAAAA==&#10;">
                  <v:path arrowok="t"/>
                  <v:fill focussize="0,0"/>
                  <v:stroke/>
                  <v:imagedata o:title=""/>
                  <o:lock v:ext="edit"/>
                </v:line>
              </w:pict>
            </w:r>
            <w:r>
              <w:rPr>
                <w:rFonts w:hint="eastAsia" w:asciiTheme="minorEastAsia" w:hAnsiTheme="minorEastAsia" w:eastAsiaTheme="minorEastAsia" w:cstheme="minorEastAsia"/>
                <w:sz w:val="24"/>
                <w:szCs w:val="24"/>
                <w:highlight w:val="none"/>
              </w:rPr>
              <w:t>费率        服务类型</w:t>
            </w:r>
          </w:p>
          <w:p>
            <w:pPr>
              <w:pStyle w:val="22"/>
              <w:spacing w:line="40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pict>
                <v:line id="直接连接符 1" o:spid="_x0000_s1028" o:spt="20" style="position:absolute;left:0pt;margin-left:-5.35pt;margin-top:3.55pt;height:31.2pt;width:135pt;z-index:251658240;mso-width-relative:page;mso-height-relative:page;" coordsize="21600,21600" o:gfxdata="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usYndgA&#10;AAAIAQAADwAAAAAAAAABACAAAAAiAAAAZHJzL2Rvd25yZXYueG1sUEsBAhQAFAAAAAgAh07iQGes&#10;3g3mAQAAqQMAAA4AAAAAAAAAAQAgAAAAJwEAAGRycy9lMm9Eb2MueG1sUEsFBgAAAAAGAAYAWQEA&#10;AH8FAAAAAA==&#10;">
                  <v:path arrowok="t"/>
                  <v:fill focussize="0,0"/>
                  <v:stroke/>
                  <v:imagedata o:title=""/>
                  <o:lock v:ext="edit"/>
                </v:line>
              </w:pict>
            </w:r>
          </w:p>
          <w:p>
            <w:pPr>
              <w:pStyle w:val="22"/>
              <w:spacing w:line="40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中标金额（万元）</w:t>
            </w:r>
          </w:p>
        </w:tc>
        <w:tc>
          <w:tcPr>
            <w:tcW w:w="1998" w:type="dxa"/>
            <w:vAlign w:val="center"/>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货物招标</w:t>
            </w:r>
          </w:p>
        </w:tc>
        <w:tc>
          <w:tcPr>
            <w:tcW w:w="1988" w:type="dxa"/>
            <w:vAlign w:val="center"/>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服务招标</w:t>
            </w:r>
          </w:p>
        </w:tc>
        <w:tc>
          <w:tcPr>
            <w:tcW w:w="2292" w:type="dxa"/>
            <w:vAlign w:val="center"/>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100以下</w:t>
            </w:r>
          </w:p>
        </w:tc>
        <w:tc>
          <w:tcPr>
            <w:tcW w:w="199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w:t>
            </w:r>
          </w:p>
        </w:tc>
        <w:tc>
          <w:tcPr>
            <w:tcW w:w="198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w:t>
            </w:r>
          </w:p>
        </w:tc>
        <w:tc>
          <w:tcPr>
            <w:tcW w:w="2292"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100-500</w:t>
            </w:r>
          </w:p>
        </w:tc>
        <w:tc>
          <w:tcPr>
            <w:tcW w:w="199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w:t>
            </w:r>
          </w:p>
        </w:tc>
        <w:tc>
          <w:tcPr>
            <w:tcW w:w="198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0.8%</w:t>
            </w:r>
          </w:p>
        </w:tc>
        <w:tc>
          <w:tcPr>
            <w:tcW w:w="2292"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500-1000</w:t>
            </w:r>
          </w:p>
        </w:tc>
        <w:tc>
          <w:tcPr>
            <w:tcW w:w="199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0.8%</w:t>
            </w:r>
          </w:p>
        </w:tc>
        <w:tc>
          <w:tcPr>
            <w:tcW w:w="198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0.45%</w:t>
            </w:r>
          </w:p>
        </w:tc>
        <w:tc>
          <w:tcPr>
            <w:tcW w:w="2292"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1000-5000</w:t>
            </w:r>
          </w:p>
        </w:tc>
        <w:tc>
          <w:tcPr>
            <w:tcW w:w="199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0.5%</w:t>
            </w:r>
          </w:p>
        </w:tc>
        <w:tc>
          <w:tcPr>
            <w:tcW w:w="198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0.25%</w:t>
            </w:r>
          </w:p>
        </w:tc>
        <w:tc>
          <w:tcPr>
            <w:tcW w:w="2292"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5000-10000</w:t>
            </w:r>
          </w:p>
        </w:tc>
        <w:tc>
          <w:tcPr>
            <w:tcW w:w="199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0.25%</w:t>
            </w:r>
          </w:p>
        </w:tc>
        <w:tc>
          <w:tcPr>
            <w:tcW w:w="198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0.1%</w:t>
            </w:r>
          </w:p>
        </w:tc>
        <w:tc>
          <w:tcPr>
            <w:tcW w:w="2292"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10000-100000</w:t>
            </w:r>
          </w:p>
        </w:tc>
        <w:tc>
          <w:tcPr>
            <w:tcW w:w="199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0.05%</w:t>
            </w:r>
          </w:p>
        </w:tc>
        <w:tc>
          <w:tcPr>
            <w:tcW w:w="198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0.05%</w:t>
            </w:r>
          </w:p>
        </w:tc>
        <w:tc>
          <w:tcPr>
            <w:tcW w:w="2292"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100000以上</w:t>
            </w:r>
          </w:p>
        </w:tc>
        <w:tc>
          <w:tcPr>
            <w:tcW w:w="199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0.01%</w:t>
            </w:r>
          </w:p>
        </w:tc>
        <w:tc>
          <w:tcPr>
            <w:tcW w:w="1988"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0.01%</w:t>
            </w:r>
          </w:p>
        </w:tc>
        <w:tc>
          <w:tcPr>
            <w:tcW w:w="2292" w:type="dxa"/>
          </w:tcPr>
          <w:p>
            <w:pPr>
              <w:pStyle w:val="22"/>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0.01%</w:t>
            </w:r>
          </w:p>
        </w:tc>
      </w:tr>
    </w:tbl>
    <w:p>
      <w:pPr>
        <w:pStyle w:val="22"/>
        <w:ind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注：招标代理服务收费按差额定率累进法计算。</w:t>
      </w:r>
    </w:p>
    <w:p>
      <w:pPr>
        <w:pStyle w:val="99"/>
        <w:ind w:left="560" w:hanging="56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例如：某工程招标代理业务成交金额为1000万元，计算招标代理服务费额如下：</w:t>
      </w:r>
      <w:r>
        <w:rPr>
          <w:rFonts w:hint="eastAsia" w:asciiTheme="minorEastAsia" w:hAnsiTheme="minorEastAsia" w:eastAsiaTheme="minorEastAsia" w:cstheme="minorEastAsia"/>
          <w:highlight w:val="none"/>
        </w:rPr>
        <w:br w:type="textWrapping"/>
      </w:r>
      <w:r>
        <w:rPr>
          <w:rFonts w:hint="eastAsia" w:asciiTheme="minorEastAsia" w:hAnsiTheme="minorEastAsia" w:eastAsiaTheme="minorEastAsia" w:cstheme="minorEastAsia"/>
          <w:highlight w:val="none"/>
        </w:rPr>
        <w:t>      100万元×1.0％＝1.0万元</w:t>
      </w:r>
      <w:r>
        <w:rPr>
          <w:rFonts w:hint="eastAsia" w:asciiTheme="minorEastAsia" w:hAnsiTheme="minorEastAsia" w:eastAsiaTheme="minorEastAsia" w:cstheme="minorEastAsia"/>
          <w:highlight w:val="none"/>
        </w:rPr>
        <w:br w:type="textWrapping"/>
      </w:r>
      <w:r>
        <w:rPr>
          <w:rFonts w:hint="eastAsia" w:asciiTheme="minorEastAsia" w:hAnsiTheme="minorEastAsia" w:eastAsiaTheme="minorEastAsia" w:cstheme="minorEastAsia"/>
          <w:highlight w:val="none"/>
        </w:rPr>
        <w:t>     （500－100）万元×0.7％＝2.8万元</w:t>
      </w:r>
      <w:r>
        <w:rPr>
          <w:rFonts w:hint="eastAsia" w:asciiTheme="minorEastAsia" w:hAnsiTheme="minorEastAsia" w:eastAsiaTheme="minorEastAsia" w:cstheme="minorEastAsia"/>
          <w:highlight w:val="none"/>
        </w:rPr>
        <w:br w:type="textWrapping"/>
      </w:r>
      <w:r>
        <w:rPr>
          <w:rFonts w:hint="eastAsia" w:asciiTheme="minorEastAsia" w:hAnsiTheme="minorEastAsia" w:eastAsiaTheme="minorEastAsia" w:cstheme="minorEastAsia"/>
          <w:highlight w:val="none"/>
        </w:rPr>
        <w:t>     （1000－500）万元×0.55％＝2.75万元</w:t>
      </w:r>
      <w:r>
        <w:rPr>
          <w:rFonts w:hint="eastAsia" w:asciiTheme="minorEastAsia" w:hAnsiTheme="minorEastAsia" w:eastAsiaTheme="minorEastAsia" w:cstheme="minorEastAsia"/>
          <w:highlight w:val="none"/>
        </w:rPr>
        <w:br w:type="textWrapping"/>
      </w:r>
      <w:r>
        <w:rPr>
          <w:rFonts w:hint="eastAsia" w:asciiTheme="minorEastAsia" w:hAnsiTheme="minorEastAsia" w:eastAsiaTheme="minorEastAsia" w:cstheme="minorEastAsia"/>
          <w:sz w:val="22"/>
          <w:szCs w:val="22"/>
          <w:highlight w:val="none"/>
        </w:rPr>
        <w:t xml:space="preserve">           </w:t>
      </w:r>
      <w:r>
        <w:rPr>
          <w:rFonts w:hint="eastAsia" w:asciiTheme="minorEastAsia" w:hAnsiTheme="minorEastAsia" w:eastAsiaTheme="minorEastAsia" w:cstheme="minorEastAsia"/>
          <w:highlight w:val="none"/>
        </w:rPr>
        <w:t xml:space="preserve"> 合计收费＝1.0＋2.8＋2.75＝6.55(万元)</w:t>
      </w:r>
    </w:p>
    <w:p>
      <w:pPr>
        <w:spacing w:line="400" w:lineRule="exact"/>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 广西鸿业建设工程管理咨询有限公司的委托代理服务费请交至如下账户：</w:t>
      </w:r>
    </w:p>
    <w:p>
      <w:pPr>
        <w:spacing w:line="400" w:lineRule="exact"/>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开户名称：广西鸿业建设工程管理咨询有限公司第三分公司</w:t>
      </w:r>
    </w:p>
    <w:p>
      <w:pPr>
        <w:spacing w:line="400" w:lineRule="exact"/>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开户银行：广西北部湾银行股份有限公司南宁市琅东支行</w:t>
      </w:r>
    </w:p>
    <w:p>
      <w:pPr>
        <w:spacing w:line="400" w:lineRule="exact"/>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账号：8001 1224 2500 017</w:t>
      </w:r>
    </w:p>
    <w:p>
      <w:pPr>
        <w:pStyle w:val="22"/>
        <w:snapToGrid w:val="0"/>
        <w:spacing w:before="120" w:after="120" w:line="400" w:lineRule="exact"/>
        <w:rPr>
          <w:rFonts w:hint="eastAsia" w:asciiTheme="minorEastAsia" w:hAnsiTheme="minorEastAsia" w:eastAsiaTheme="minorEastAsia" w:cstheme="minorEastAsia"/>
          <w:b/>
          <w:sz w:val="32"/>
          <w:szCs w:val="32"/>
          <w:highlight w:val="none"/>
        </w:rPr>
      </w:pPr>
    </w:p>
    <w:p>
      <w:pPr>
        <w:pStyle w:val="22"/>
        <w:snapToGrid w:val="0"/>
        <w:spacing w:before="120" w:after="120" w:line="400" w:lineRule="exact"/>
        <w:rPr>
          <w:rFonts w:hint="eastAsia" w:asciiTheme="minorEastAsia" w:hAnsiTheme="minorEastAsia" w:eastAsiaTheme="minorEastAsia" w:cstheme="minorEastAsia"/>
          <w:b/>
          <w:sz w:val="32"/>
          <w:szCs w:val="32"/>
          <w:highlight w:val="none"/>
        </w:rPr>
      </w:pPr>
    </w:p>
    <w:p>
      <w:pPr>
        <w:pStyle w:val="22"/>
        <w:snapToGrid w:val="0"/>
        <w:spacing w:before="120" w:after="120" w:line="400" w:lineRule="exact"/>
        <w:rPr>
          <w:rFonts w:hint="eastAsia" w:asciiTheme="minorEastAsia" w:hAnsiTheme="minorEastAsia" w:eastAsiaTheme="minorEastAsia" w:cstheme="minorEastAsia"/>
          <w:b/>
          <w:sz w:val="32"/>
          <w:szCs w:val="32"/>
          <w:highlight w:val="none"/>
        </w:rPr>
      </w:pPr>
    </w:p>
    <w:p>
      <w:pPr>
        <w:rPr>
          <w:rFonts w:hint="eastAsia" w:asciiTheme="minorEastAsia" w:hAnsiTheme="minorEastAsia" w:eastAsiaTheme="minorEastAsia" w:cstheme="minorEastAsia"/>
          <w:b/>
          <w:sz w:val="32"/>
          <w:szCs w:val="32"/>
          <w:highlight w:val="none"/>
        </w:rPr>
      </w:pPr>
    </w:p>
    <w:p>
      <w:pPr>
        <w:pStyle w:val="6"/>
        <w:rPr>
          <w:rFonts w:hint="eastAsia" w:asciiTheme="minorEastAsia" w:hAnsiTheme="minorEastAsia" w:eastAsiaTheme="minorEastAsia" w:cstheme="minorEastAsia"/>
          <w:b/>
          <w:sz w:val="32"/>
          <w:szCs w:val="32"/>
          <w:highlight w:val="none"/>
        </w:rPr>
      </w:pPr>
    </w:p>
    <w:p>
      <w:pPr>
        <w:rPr>
          <w:rFonts w:hint="eastAsia" w:asciiTheme="minorEastAsia" w:hAnsiTheme="minorEastAsia" w:eastAsiaTheme="minorEastAsia" w:cstheme="minorEastAsia"/>
          <w:b/>
          <w:sz w:val="32"/>
          <w:szCs w:val="32"/>
          <w:highlight w:val="none"/>
        </w:rPr>
      </w:pPr>
    </w:p>
    <w:p>
      <w:pPr>
        <w:pStyle w:val="6"/>
        <w:rPr>
          <w:rFonts w:hint="eastAsia" w:asciiTheme="minorEastAsia" w:hAnsiTheme="minorEastAsia" w:eastAsiaTheme="minorEastAsia" w:cstheme="minorEastAsia"/>
          <w:highlight w:val="none"/>
        </w:rPr>
      </w:pPr>
    </w:p>
    <w:p>
      <w:pPr>
        <w:pStyle w:val="22"/>
        <w:snapToGrid w:val="0"/>
        <w:spacing w:before="120" w:after="120" w:line="400" w:lineRule="exact"/>
        <w:rPr>
          <w:rFonts w:hint="eastAsia" w:asciiTheme="minorEastAsia" w:hAnsiTheme="minorEastAsia" w:eastAsiaTheme="minorEastAsia" w:cstheme="minorEastAsia"/>
          <w:b/>
          <w:sz w:val="32"/>
          <w:szCs w:val="32"/>
          <w:highlight w:val="none"/>
        </w:rPr>
      </w:pPr>
    </w:p>
    <w:p>
      <w:pPr>
        <w:pStyle w:val="22"/>
        <w:snapToGrid w:val="0"/>
        <w:spacing w:before="120" w:after="120" w:line="400" w:lineRule="exact"/>
        <w:rPr>
          <w:rFonts w:hint="eastAsia" w:asciiTheme="minorEastAsia" w:hAnsiTheme="minorEastAsia" w:eastAsiaTheme="minorEastAsia" w:cstheme="minorEastAsia"/>
          <w:b/>
          <w:sz w:val="32"/>
          <w:szCs w:val="32"/>
          <w:highlight w:val="none"/>
        </w:rPr>
      </w:pPr>
    </w:p>
    <w:p>
      <w:pPr>
        <w:pStyle w:val="22"/>
        <w:snapToGrid w:val="0"/>
        <w:spacing w:before="120" w:after="120" w:line="400" w:lineRule="exact"/>
        <w:rPr>
          <w:rFonts w:hint="eastAsia" w:asciiTheme="minorEastAsia" w:hAnsiTheme="minorEastAsia" w:eastAsiaTheme="minorEastAsia" w:cstheme="minorEastAsia"/>
          <w:b/>
          <w:sz w:val="32"/>
          <w:szCs w:val="32"/>
          <w:highlight w:val="none"/>
        </w:rPr>
      </w:pPr>
    </w:p>
    <w:p>
      <w:pPr>
        <w:pStyle w:val="22"/>
        <w:snapToGrid w:val="0"/>
        <w:spacing w:before="120" w:after="120" w:line="400" w:lineRule="exact"/>
        <w:jc w:val="center"/>
        <w:rPr>
          <w:rFonts w:hint="eastAsia" w:asciiTheme="minorEastAsia" w:hAnsiTheme="minorEastAsia" w:eastAsiaTheme="minorEastAsia" w:cstheme="minorEastAsia"/>
          <w:b/>
          <w:sz w:val="30"/>
          <w:highlight w:val="none"/>
        </w:rPr>
      </w:pPr>
      <w:r>
        <w:rPr>
          <w:rFonts w:hint="eastAsia" w:asciiTheme="minorEastAsia" w:hAnsiTheme="minorEastAsia" w:eastAsiaTheme="minorEastAsia" w:cstheme="minorEastAsia"/>
          <w:b/>
          <w:sz w:val="32"/>
          <w:szCs w:val="32"/>
          <w:highlight w:val="none"/>
        </w:rPr>
        <w:t xml:space="preserve">第四章 </w:t>
      </w:r>
      <w:bookmarkStart w:id="103" w:name="_Toc359506567"/>
      <w:r>
        <w:rPr>
          <w:rFonts w:hint="eastAsia" w:asciiTheme="minorEastAsia" w:hAnsiTheme="minorEastAsia" w:eastAsiaTheme="minorEastAsia" w:cstheme="minorEastAsia"/>
          <w:b/>
          <w:sz w:val="32"/>
          <w:szCs w:val="32"/>
          <w:highlight w:val="none"/>
        </w:rPr>
        <w:t xml:space="preserve"> 评标办法及评分标准</w:t>
      </w:r>
      <w:bookmarkEnd w:id="103"/>
    </w:p>
    <w:p>
      <w:pPr>
        <w:pStyle w:val="22"/>
        <w:spacing w:line="400" w:lineRule="exact"/>
        <w:ind w:firstLine="42" w:firstLineChars="2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一、评标原则</w:t>
      </w:r>
    </w:p>
    <w:p>
      <w:pPr>
        <w:pStyle w:val="22"/>
        <w:spacing w:line="400" w:lineRule="exact"/>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（一）评委构成：本招标采购项目的评委由采购人代表和政府采购评审专家共7人构成，参加过采购项目前期咨询论证的专家，不得参加该采购项目的评审活动。</w:t>
      </w:r>
    </w:p>
    <w:p>
      <w:pPr>
        <w:pStyle w:val="22"/>
        <w:spacing w:line="400" w:lineRule="exac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bCs/>
          <w:sz w:val="21"/>
          <w:highlight w:val="none"/>
        </w:rPr>
        <w:t>（二）评标依据：评标委员会将以招投标文件为评标依据，对投标人的投标报价、设备性能、技术方案、技术设计、工程施工方案、企业信誉实力、政策功能等七方面内容按百分制打分。</w:t>
      </w:r>
    </w:p>
    <w:p>
      <w:pPr>
        <w:pStyle w:val="22"/>
        <w:spacing w:line="400" w:lineRule="exact"/>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（三）评标方式：以封闭方式进行。</w:t>
      </w:r>
    </w:p>
    <w:p>
      <w:pPr>
        <w:pStyle w:val="22"/>
        <w:spacing w:line="400" w:lineRule="exact"/>
        <w:ind w:firstLine="148" w:firstLineChars="7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二、评定方法</w:t>
      </w:r>
    </w:p>
    <w:p>
      <w:pPr>
        <w:pStyle w:val="22"/>
        <w:spacing w:line="400" w:lineRule="exact"/>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（一）对进入详评的，采用百分制综合评分法。</w:t>
      </w:r>
    </w:p>
    <w:p>
      <w:pPr>
        <w:pStyle w:val="22"/>
        <w:spacing w:line="400" w:lineRule="exact"/>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（二）计分办法（按四舍五入取至百分位）：</w:t>
      </w:r>
    </w:p>
    <w:p>
      <w:pPr>
        <w:pStyle w:val="22"/>
        <w:spacing w:line="400" w:lineRule="exact"/>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（三）评标程序</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1.符合性审查</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评标委员会应当对符合资格的投标人的投标文件进行投标报价、商务、技术等实质性要求符合性审查，以确定其是否满足招标文件的实质性要求。</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2.符合性审查不通过而导致投标无效的情形</w:t>
      </w:r>
    </w:p>
    <w:p>
      <w:pPr>
        <w:pStyle w:val="22"/>
        <w:spacing w:line="400" w:lineRule="exact"/>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投标人的投标文件中存在对招标文件的任何实质性要求和条件的负偏离，其投标将被视为投标无效。</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3.澄清补正</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4.比较与评价</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（1）评标委员会按照招标文件中规定的评标方法和评标标准，对符合性审查合格的投标文件进行商务和技术评估，综合比较与评价。</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（2）评标委员会应当独立对每个投标人的投标文件进行评价，并汇总每个投标人的得分。</w:t>
      </w:r>
    </w:p>
    <w:p>
      <w:pPr>
        <w:pStyle w:val="22"/>
        <w:spacing w:line="400" w:lineRule="exact"/>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（3）评标委员会按照招标文件中规定的评标方法和标准计算各投标人的报价得分。在计算过程中，不得去掉最高报价或最低报价。</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（4）各投标人的得分为所有评委的有效评分的算术平均数。</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（5）评标委员会按照招标文件中的规定推荐中标候选人。</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5投标文件修正</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 xml:space="preserve">5.1投标文件报价出现前后不一致的，按照下列规定修正： </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（1）投标文件中开标一览表（报价表）内容与投标文件中相应内容不一致的，以开标一览表（报价表）为准；</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（2）大写金额和小写金额不一致的，以大写金额为准；</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（3）单价金额小数点或者百分比有明显错位的，以开标一览表的总价为准，并修改单价；</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4）总价金额与按单价汇总金额不一致的，以单价金额计算结果为准。同时出现两种以上不一致的，按照以上（1）-（4）规定的顺序修正。修正后的报价经投标人确认后产生约束力，投标人不确认的，其投标无效。</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5.2经投标人确认修正后的报价若超过采购预算金额，投标人的投标文件作无效投标处理。</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5.3经投标人确认修正后的报价作为签订合同的一个依据，并以此报价计算价格分。</w:t>
      </w:r>
    </w:p>
    <w:p>
      <w:pPr>
        <w:pStyle w:val="22"/>
        <w:spacing w:line="400" w:lineRule="exact"/>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三、评标标准</w:t>
      </w:r>
    </w:p>
    <w:p>
      <w:pPr>
        <w:pStyle w:val="22"/>
        <w:spacing w:line="400" w:lineRule="exact"/>
        <w:rPr>
          <w:rFonts w:hint="eastAsia" w:asciiTheme="minorEastAsia" w:hAnsiTheme="minorEastAsia" w:eastAsiaTheme="minorEastAsia" w:cstheme="minorEastAsia"/>
          <w:b/>
          <w:sz w:val="21"/>
          <w:highlight w:val="none"/>
        </w:rPr>
      </w:pPr>
    </w:p>
    <w:p>
      <w:pPr>
        <w:pStyle w:val="22"/>
        <w:spacing w:line="400" w:lineRule="exact"/>
        <w:rPr>
          <w:rFonts w:hint="eastAsia" w:asciiTheme="minorEastAsia" w:hAnsiTheme="minorEastAsia" w:eastAsiaTheme="minorEastAsia" w:cstheme="minorEastAsia"/>
          <w:b/>
          <w:sz w:val="21"/>
          <w:highlight w:val="none"/>
        </w:rPr>
      </w:pPr>
      <w:bookmarkStart w:id="104" w:name="_Toc430110277"/>
      <w:bookmarkStart w:id="105" w:name="_Toc430109959"/>
      <w:bookmarkStart w:id="106" w:name="_Toc430110157"/>
      <w:r>
        <w:rPr>
          <w:rFonts w:hint="eastAsia" w:asciiTheme="minorEastAsia" w:hAnsiTheme="minorEastAsia" w:eastAsiaTheme="minorEastAsia" w:cstheme="minorEastAsia"/>
          <w:b/>
          <w:sz w:val="21"/>
          <w:highlight w:val="none"/>
        </w:rPr>
        <w:t>1.价格分………………………………………………………………………………………………30分</w:t>
      </w:r>
      <w:bookmarkEnd w:id="104"/>
      <w:bookmarkEnd w:id="105"/>
      <w:bookmarkEnd w:id="106"/>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投标产品提供企业按《政府采购促进中小企业发展暂行办法》（财库[2011]181号）认定为小型和微型企业的（以投标文件提供的符合规定生产厂家有关证明材料为准），对其投标价给予6%的扣除，扣除后的价格为评标价，即评标价=投标价×（1-6%）；除上述情况外，评标价=投标价。</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22"/>
        <w:snapToGrid w:val="0"/>
        <w:spacing w:line="400" w:lineRule="exact"/>
        <w:ind w:firstLine="3387" w:firstLineChars="1613"/>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 xml:space="preserve"> 有效投标人最低投标报价金额（元）</w:t>
      </w:r>
    </w:p>
    <w:p>
      <w:pPr>
        <w:pStyle w:val="22"/>
        <w:snapToGrid w:val="0"/>
        <w:spacing w:line="400" w:lineRule="exact"/>
        <w:ind w:firstLine="840" w:firstLineChars="4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pict>
          <v:line id="直线 6" o:spid="_x0000_s1027" o:spt="20" style="position:absolute;left:0pt;margin-left:162.6pt;margin-top:10.8pt;height:1.6pt;width:179.9pt;z-index:251658240;mso-width-relative:page;mso-height-relative:page;" coordsize="21600,21600" o:gfxdata="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lU3U9kAAAAJAQAADwAAAAAA&#10;AAABACAAAAAiAAAAZHJzL2Rvd25yZXYueG1sUEsBAhQAFAAAAAgAh07iQOtaJGPZAQAAoAMAAA4A&#10;AAAAAAAAAQAgAAAAKAEAAGRycy9lMm9Eb2MueG1sUEsFBgAAAAAGAAYAWQEAAHMFAAAAAA==&#10;">
            <v:path arrowok="t"/>
            <v:fill focussize="0,0"/>
            <v:stroke weight="1.25pt"/>
            <v:imagedata o:title=""/>
            <o:lock v:ext="edit"/>
          </v:line>
        </w:pict>
      </w:r>
      <w:r>
        <w:rPr>
          <w:rFonts w:hint="eastAsia" w:asciiTheme="minorEastAsia" w:hAnsiTheme="minorEastAsia" w:eastAsiaTheme="minorEastAsia" w:cstheme="minorEastAsia"/>
          <w:sz w:val="21"/>
          <w:highlight w:val="none"/>
        </w:rPr>
        <w:t>某有效投标人价格分 =                                      ×30分</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 xml:space="preserve">                             某投标人投标报价金额（元）</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书面说明和相关证明材料包括但不限于以下支撑证明材料：①行政机构税务部门开具的拟派项目组人员的《依法缴纳个人所得税或依法免缴个人所得税的凭证(与本次磋商所提供社保同月份)》；②2017 年度～2019年度经第三方具备审计资质的机构出具的审计报告（包括其固定资产成本及折旧、管理成本、人工费成本（如人员工资、奖金、福利及差旅等费用）、技术成本、税收等所有成本及利润）复印件（原件现场核查），③提供至少 2 个类似调查业绩的费用成本组成明细（有合同双方盖章证明，提供复印件，原件现场核查）</w:t>
      </w:r>
    </w:p>
    <w:p>
      <w:pPr>
        <w:pStyle w:val="2"/>
        <w:ind w:firstLine="460"/>
        <w:rPr>
          <w:rFonts w:hint="eastAsia" w:asciiTheme="minorEastAsia" w:hAnsiTheme="minorEastAsia" w:eastAsiaTheme="minorEastAsia" w:cstheme="minorEastAsia"/>
          <w:sz w:val="21"/>
          <w:szCs w:val="21"/>
          <w:highlight w:val="none"/>
        </w:rPr>
      </w:pPr>
    </w:p>
    <w:p>
      <w:pPr>
        <w:pStyle w:val="22"/>
        <w:spacing w:line="400" w:lineRule="exact"/>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2、设备性能分……………………………………………………………………………………………26分</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（1）品牌分（满分3分）</w:t>
      </w:r>
    </w:p>
    <w:p>
      <w:pPr>
        <w:pStyle w:val="22"/>
        <w:spacing w:line="400" w:lineRule="exact"/>
        <w:ind w:firstLine="420" w:firstLineChars="200"/>
        <w:rPr>
          <w:rFonts w:hint="eastAsia" w:asciiTheme="minorEastAsia" w:hAnsiTheme="minorEastAsia" w:eastAsiaTheme="minorEastAsia" w:cstheme="minorEastAsia"/>
          <w:bCs/>
          <w:color w:val="FF0000"/>
          <w:sz w:val="21"/>
          <w:highlight w:val="none"/>
        </w:rPr>
      </w:pPr>
      <w:r>
        <w:rPr>
          <w:rFonts w:hint="eastAsia" w:asciiTheme="minorEastAsia" w:hAnsiTheme="minorEastAsia" w:eastAsiaTheme="minorEastAsia" w:cstheme="minorEastAsia"/>
          <w:bCs/>
          <w:sz w:val="21"/>
          <w:highlight w:val="none"/>
        </w:rPr>
        <w:t>评委根据各投标人提供的主要产品（交通综合管控平台、云存储系统、交通违法AI检测平台、网络及安全系统、电子警察抓拍系统、交通信号控制系统）品牌表中主要产品品牌的知名度、国内市场占有率、产品信誉，集体讨论确定品牌“一档、二档、三档”各所属档次，同一品牌不同型号的，应同一分值</w:t>
      </w:r>
      <w:r>
        <w:rPr>
          <w:rFonts w:hint="eastAsia" w:asciiTheme="minorEastAsia" w:hAnsiTheme="minorEastAsia" w:eastAsiaTheme="minorEastAsia" w:cstheme="minorEastAsia"/>
          <w:bCs/>
          <w:color w:val="FF0000"/>
          <w:sz w:val="21"/>
          <w:highlight w:val="none"/>
        </w:rPr>
        <w:t>。</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一档（0.1～1分）：一般品牌，产品信誉一般，市场占有率低；</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二档（1.1～2分）：同行认可品牌，产品信誉较好，市场占有率较高；</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三档（2.1～3分）：知名品牌，产品信誉好，市场占有率高。</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（2）产品基础分（满分13分）</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1）投标人所投产品的技术参数，非标注“★”或“▲”的技术参数全部无负偏离的，得9分，每项负偏离减1分，扣完本项分为止，不计负分。（满分9分）</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2）为实现产品统一规划、统一交付、统一维护。投标人所投的“大数据交通违法研判平台、视频云存储节点扩容、云存储系统软件、300万环保型智能化电警抓拍单元、900万环保型智能化电警抓拍单元、900万环保车辆人脸卡口抓拍单元”为同一品牌且非标注“★”或“▲”的技术参数全部无负偏离的，得4分。（满分4分）</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（3）产品性能分（满分10分）</w:t>
      </w:r>
    </w:p>
    <w:p>
      <w:pPr>
        <w:pStyle w:val="22"/>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bCs/>
          <w:sz w:val="21"/>
          <w:highlight w:val="none"/>
        </w:rPr>
        <w:t>主要技术参数完全满足采购文件要求，标“★”的内容系指与产品性能相关紧密的技术指标、功能项目条款，作为评审依据。标注“★”的技术指标、功能项目条款均能提供国家认证认可的检测机构出具的检验报告复印件并加盖厂商印章的（标注“★”的内容在投标文件中逐点应答出检验报告具体位置），得满分10分；未能提供国家认证认可的检测机构出具的检验报告复印件并加盖厂商印章，每存在一项扣1分，直到扣完产品性能分为止，不计负分。（满分10分）</w:t>
      </w:r>
    </w:p>
    <w:p>
      <w:pPr>
        <w:pStyle w:val="22"/>
        <w:spacing w:line="400" w:lineRule="exact"/>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3、技术方案分……………………………………………………………………………………14分</w:t>
      </w:r>
    </w:p>
    <w:p>
      <w:pPr>
        <w:pStyle w:val="22"/>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bCs/>
          <w:sz w:val="21"/>
          <w:highlight w:val="none"/>
        </w:rPr>
        <w:t>由评委在打分前根据投标人提供的对项目</w:t>
      </w:r>
      <w:r>
        <w:rPr>
          <w:rFonts w:hint="eastAsia" w:asciiTheme="minorEastAsia" w:hAnsiTheme="minorEastAsia" w:eastAsiaTheme="minorEastAsia" w:cstheme="minorEastAsia"/>
          <w:sz w:val="21"/>
          <w:highlight w:val="none"/>
        </w:rPr>
        <w:t>需求功能描述，技术方案</w:t>
      </w:r>
      <w:r>
        <w:rPr>
          <w:rFonts w:hint="eastAsia" w:asciiTheme="minorEastAsia" w:hAnsiTheme="minorEastAsia" w:eastAsiaTheme="minorEastAsia" w:cstheme="minorEastAsia"/>
          <w:bCs/>
          <w:sz w:val="21"/>
          <w:highlight w:val="none"/>
        </w:rPr>
        <w:t>等内容集体讨论确定投标人所属档次后,在相应档次内由评委独立打分。</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（1）技术方案分（满分7分）</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一档（0.1—3分）：对总体需求功能描述不全，技术方案简单，对上述要求关键技术点描述不全面，基本满足建设需求。</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二档（3.1—5分）：对总体需求功能描述全面，技术方案较详细、可行，对上述要求关键技术点基本描述到位，能保证业务系统基本不受影响。且投标人或投标产品厂商具有优秀安防系统集成商证书，能提供相关证明复印件并加盖单位公章，满足以上相关要求的，进入二档。</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三档（5.1—7分）：对总体需求功能描述透彻，技术方案详细、先进，对上述要求关键技术点描述清晰、到位，具有很高的稳定性和安全性，能保证业务系统完全不受影响。且投标人或投标产品厂商具有优秀安防系统集成商证书，能提供相关证明复印件并加盖单位公章；为了保证安防系统集成及安防工程建设水平，投标人或者投标产品的生产厂商应符合具备较强的运维技术服务和音视频技术服务，提供信息技术服务运行维护标准壹级证书、音视频集成工程企业资质壹级的有效证明材料复印件并加盖公章，满足以上相关要求的，进入三档。</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（2）技术设计分（满分7分)</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一档（0.1—3分）：对工勘的各点位信息了解，能提供设计图纸，满足用户的基本建设需求。</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二档（3.1—5分）：对工勘的各点位信息充分了解，提供各点位的设计图纸及设备清单，图纸及清单能反映每个点位的设备布局布置。</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sz w:val="21"/>
          <w:highlight w:val="none"/>
        </w:rPr>
        <w:t>三档（5.1—7分）：对工勘的各点位信息充分了解，提供各点位详细的布局布置设计图纸及设备用量清单；图纸上能反映各点位的管道线缆路由路径、杆件基础位置、设备布局、设备间的连接关</w:t>
      </w:r>
      <w:r>
        <w:rPr>
          <w:rFonts w:hint="eastAsia" w:asciiTheme="minorEastAsia" w:hAnsiTheme="minorEastAsia" w:eastAsiaTheme="minorEastAsia" w:cstheme="minorEastAsia"/>
          <w:color w:val="auto"/>
          <w:sz w:val="21"/>
          <w:highlight w:val="none"/>
        </w:rPr>
        <w:t>系等；设备清单能反映每个点位的设备用量、设备规格指标、设备用量说明及线缆辅材用量等。</w:t>
      </w:r>
    </w:p>
    <w:p>
      <w:pPr>
        <w:pStyle w:val="22"/>
        <w:spacing w:line="400" w:lineRule="exact"/>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4、工程施工方案………………………………………………………………………………………9分</w:t>
      </w:r>
    </w:p>
    <w:p>
      <w:pPr>
        <w:pStyle w:val="22"/>
        <w:spacing w:line="480" w:lineRule="exact"/>
        <w:ind w:firstLine="42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一档（0～3分）：对项目总体有基本认识，具有合理的安装调试方法，施工段划分合理并符合规范要求，具有劳动力和材料投入计划与进度计划、项目实施管理文档计划。针对本项目配备项目人员投入为5人及以上（附实施人员一览表，提供本单位近半年内连续三个月为其缴纳社保的证明并加盖投标人单位公章），总体实施方案一般的进入一档。</w:t>
      </w:r>
    </w:p>
    <w:p>
      <w:pPr>
        <w:pStyle w:val="22"/>
        <w:spacing w:line="480" w:lineRule="exact"/>
        <w:ind w:firstLine="42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二档（3.1～6分）：投标人参加了现场勘察（提供经采购人确认的现场勘察回执证明），有施工组织机构，对项目总体有较全认识，具有合理的安装调试方法，施工段划分合理，具有劳动力和材料投入计划与进度计划、项目实施管理文档计划、安全及质量保证措施，提供合理的工期保证措施。针对本项目配备项目人员投入为10人及以上（附实施人员一览表），且其中2人具备高级职称（提供有效资格证书证明材料及本单位近半年内连续三个月为其缴纳社保的证明并加盖投标人单位公章），总体实施方案较好满足系统建设要求的进入二档。</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sz w:val="21"/>
          <w:highlight w:val="none"/>
        </w:rPr>
        <w:t>三档（6.1～9分）：投标人有施工组织机构，对项目总体有深刻认识且表述清晰、完整、严谨、合理，具有合理的安装调试方法，施工段划分合理，具有劳动力和材料投入计划与进度计划、项目实施管理文档计划、安全及质量保</w:t>
      </w:r>
      <w:r>
        <w:rPr>
          <w:rFonts w:hint="eastAsia" w:asciiTheme="minorEastAsia" w:hAnsiTheme="minorEastAsia" w:eastAsiaTheme="minorEastAsia" w:cstheme="minorEastAsia"/>
          <w:color w:val="auto"/>
          <w:sz w:val="21"/>
          <w:highlight w:val="none"/>
        </w:rPr>
        <w:t>证措施，提供合理的工期保证措施、赶工计划、项目风险管理措施、验收方案，对实施重点、难点有先进合理的建议。针对本项目配备项目人员投入为30人及以上（附实施人员一览表），其中8名及以上高级工程师、14名及以上中级工程师、4名及以上安防工程技术员、2名及以上安全生产管理员、2名及以上国家技术质量检测资格证书的质量师（提供有效资格证书证明材料及本单位近半年内连续三个月为其缴纳社保的证明并加盖投标人单位公章），总体实施方案完全满足系统建设要求的进入三档。</w:t>
      </w:r>
    </w:p>
    <w:p>
      <w:pPr>
        <w:pStyle w:val="22"/>
        <w:numPr>
          <w:ilvl w:val="255"/>
          <w:numId w:val="0"/>
        </w:numPr>
        <w:spacing w:line="400" w:lineRule="exact"/>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5、售后服务方案………………………………………………………………………………………8分</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由评委在打分前根据投标人提供的系统维护方案服务方案论述、售后保障措施等内容集体讨论确定投标人所属档次后,在相应档次内由评委独立打分。</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color w:val="auto"/>
          <w:sz w:val="21"/>
          <w:highlight w:val="none"/>
        </w:rPr>
        <w:t>一档（0～3分）：投标人的售后服务方案简单，对质保期、响应时间、服务团队配备（至少提供3名及以上售后人员，至少2名现场驻点售后人员。附售后人员一览表；提供售后人员最近三个月在投标人单位的社保证明并加盖投标人单位公章）、培训计划、备品</w:t>
      </w:r>
      <w:r>
        <w:rPr>
          <w:rFonts w:hint="eastAsia" w:asciiTheme="minorEastAsia" w:hAnsiTheme="minorEastAsia" w:eastAsiaTheme="minorEastAsia" w:cstheme="minorEastAsia"/>
          <w:bCs/>
          <w:sz w:val="21"/>
          <w:highlight w:val="none"/>
        </w:rPr>
        <w:t>备件等有所描述，的进入一档。</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二档（3.1～5分）：投标人的售后服务方案较详细可行，对质保期、响应时间、服务团队配备（至少提供6名及以上售后人员，至少2名现场驻点售后人员。附售后人员一览表；提供售后人员最近三个月在投标人单位的社保证明并加盖投标人单位公章）、培训计划、备品备件、应急预案、保密承诺、故障解决方案等有所描述，服务保障措施较全面，售后服务方案能较好满足招标要求的进入二档。</w:t>
      </w:r>
    </w:p>
    <w:p>
      <w:pPr>
        <w:pStyle w:val="22"/>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bCs/>
          <w:sz w:val="21"/>
          <w:highlight w:val="none"/>
        </w:rPr>
        <w:t>三档（5.1～8分）：投标人的售后服务方案全面详细，对质保期、响应时间、服务团队配备（至少提供12名及以上售后人员，至少2名现场驻点售后人员。附售后人员一览表；提供售后人员最近三个月在投标人单位的社保证明并加盖投标人单位公章）、培训计划、备品备件、应急预案、保密承诺、故障解决方案等有所描述，有合理的服务流程，服务保障措施全面，在广西区内注册有服务机构，售后服务方案完全满足招标要求，且投标人或投标人所投的投标产品厂商具备工业信息安全应急服务支撑单位证书的，提供相关证明复印件并加盖单位公章，满足以上相关要求的进入三档。</w:t>
      </w:r>
    </w:p>
    <w:p>
      <w:pPr>
        <w:pStyle w:val="22"/>
        <w:spacing w:line="400" w:lineRule="exact"/>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6、企业信誉实力分………………………………………………………… 10分</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（1）</w:t>
      </w:r>
      <w:r>
        <w:rPr>
          <w:rFonts w:hint="eastAsia" w:asciiTheme="minorEastAsia" w:hAnsiTheme="minorEastAsia" w:eastAsiaTheme="minorEastAsia" w:cstheme="minorEastAsia"/>
          <w:color w:val="auto"/>
          <w:sz w:val="21"/>
          <w:highlight w:val="none"/>
        </w:rPr>
        <w:t>2017年1月1日至投标截止时间止投标人承接的</w:t>
      </w:r>
      <w:r>
        <w:rPr>
          <w:rFonts w:hint="eastAsia" w:asciiTheme="minorEastAsia" w:hAnsiTheme="minorEastAsia" w:eastAsiaTheme="minorEastAsia" w:cstheme="minorEastAsia"/>
          <w:color w:val="auto"/>
          <w:sz w:val="21"/>
          <w:highlight w:val="none"/>
          <w:lang w:val="en-US" w:eastAsia="zh-CN"/>
        </w:rPr>
        <w:t>类似</w:t>
      </w:r>
      <w:r>
        <w:rPr>
          <w:rFonts w:hint="eastAsia" w:asciiTheme="minorEastAsia" w:hAnsiTheme="minorEastAsia" w:eastAsiaTheme="minorEastAsia" w:cstheme="minorEastAsia"/>
          <w:color w:val="auto"/>
          <w:sz w:val="21"/>
          <w:highlight w:val="none"/>
        </w:rPr>
        <w:t>项目业绩得1分，满分</w:t>
      </w:r>
      <w:r>
        <w:rPr>
          <w:rFonts w:hint="eastAsia" w:asciiTheme="minorEastAsia" w:hAnsiTheme="minorEastAsia" w:eastAsiaTheme="minorEastAsia" w:cstheme="minorEastAsia"/>
          <w:color w:val="auto"/>
          <w:sz w:val="21"/>
          <w:highlight w:val="none"/>
          <w:lang w:val="en-US" w:eastAsia="zh-CN"/>
        </w:rPr>
        <w:t>1</w:t>
      </w:r>
      <w:r>
        <w:rPr>
          <w:rFonts w:hint="eastAsia" w:asciiTheme="minorEastAsia" w:hAnsiTheme="minorEastAsia" w:eastAsiaTheme="minorEastAsia" w:cstheme="minorEastAsia"/>
          <w:color w:val="auto"/>
          <w:sz w:val="21"/>
          <w:highlight w:val="none"/>
        </w:rPr>
        <w:t>分。（提供合同复印件、用户验收报告复印件、用户评价复印件并加盖公章）</w:t>
      </w:r>
      <w:r>
        <w:rPr>
          <w:rFonts w:hint="eastAsia" w:asciiTheme="minorEastAsia" w:hAnsiTheme="minorEastAsia" w:eastAsiaTheme="minorEastAsia" w:cstheme="minorEastAsia"/>
          <w:bCs/>
          <w:color w:val="auto"/>
          <w:sz w:val="21"/>
          <w:highlight w:val="none"/>
        </w:rPr>
        <w:t>。</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（2）投标人具备安防工程企业设计施工维护能力证书一级企业资质的得</w:t>
      </w:r>
      <w:r>
        <w:rPr>
          <w:rFonts w:hint="eastAsia" w:asciiTheme="minorEastAsia" w:hAnsiTheme="minorEastAsia" w:eastAsiaTheme="minorEastAsia" w:cstheme="minorEastAsia"/>
          <w:bCs/>
          <w:sz w:val="21"/>
          <w:highlight w:val="none"/>
          <w:lang w:val="en-US" w:eastAsia="zh-CN"/>
        </w:rPr>
        <w:t>2</w:t>
      </w:r>
      <w:r>
        <w:rPr>
          <w:rFonts w:hint="eastAsia" w:asciiTheme="minorEastAsia" w:hAnsiTheme="minorEastAsia" w:eastAsiaTheme="minorEastAsia" w:cstheme="minorEastAsia"/>
          <w:bCs/>
          <w:sz w:val="21"/>
          <w:highlight w:val="none"/>
        </w:rPr>
        <w:t>分。（满分</w:t>
      </w:r>
      <w:r>
        <w:rPr>
          <w:rFonts w:hint="eastAsia" w:asciiTheme="minorEastAsia" w:hAnsiTheme="minorEastAsia" w:eastAsiaTheme="minorEastAsia" w:cstheme="minorEastAsia"/>
          <w:bCs/>
          <w:sz w:val="21"/>
          <w:highlight w:val="none"/>
          <w:lang w:val="en-US" w:eastAsia="zh-CN"/>
        </w:rPr>
        <w:t>2</w:t>
      </w:r>
      <w:r>
        <w:rPr>
          <w:rFonts w:hint="eastAsia" w:asciiTheme="minorEastAsia" w:hAnsiTheme="minorEastAsia" w:eastAsiaTheme="minorEastAsia" w:cstheme="minorEastAsia"/>
          <w:bCs/>
          <w:sz w:val="21"/>
          <w:highlight w:val="none"/>
        </w:rPr>
        <w:t>分）</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（3）投标人具备国家一级保密资格证书得2分，二级保密资格证书得1分。（满分2分）。</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（4）投标人具备信息系统集成资质证书二级及以上企业资质的得1分。（满分1分）。</w:t>
      </w:r>
    </w:p>
    <w:p>
      <w:pPr>
        <w:pStyle w:val="22"/>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（5）投标人具备博士后工作站资质、高新技术企业资质、质量管理体系认证、省级及以上技术中心资质，每一项得0.5分（满分2分）</w:t>
      </w:r>
    </w:p>
    <w:p>
      <w:pPr>
        <w:pStyle w:val="22"/>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bCs/>
          <w:sz w:val="21"/>
          <w:highlight w:val="none"/>
        </w:rPr>
        <w:t>（6）投标人具备交通类产品软件著作权或专利或公安部检测报告，每一项得0.5分（满分2分）</w:t>
      </w:r>
    </w:p>
    <w:p>
      <w:pPr>
        <w:pStyle w:val="22"/>
        <w:spacing w:line="400" w:lineRule="exact"/>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7、政策功能分（节能、环保、区内产品等）…………………………………………………………3分</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（1）投标产品纳入《财政部 发展改革委 生态环境部 市场监管总局关于调整优化节能产品 环境标志产品政府采购执行机制的通知》（财库〔2019〕9号）中节能产品政府采购品目清单的（适用于非强制采购节能产品，产品提供投标产品所属节能产品认证证书复印件并加盖单位公章），得1分。</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（2）投标产品纳入《财政部发展改革委 生态环境部 市场监管总局关于调整优化节能产品 环境标志产品政府采购执行机制的通知》（财库〔2019〕9号）中环境标志产品政府采购品目清单的（提供投标产品所属环境标志产品认证证书复印件并加盖单位公章），得1分。</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（3）采用广西工业产品的金额占本次投标总金额的80%以上（含）的1分。</w:t>
      </w:r>
    </w:p>
    <w:p>
      <w:pPr>
        <w:pStyle w:val="22"/>
        <w:spacing w:line="400" w:lineRule="exact"/>
        <w:ind w:firstLine="482" w:firstLineChars="23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p>
    <w:p>
      <w:pPr>
        <w:pStyle w:val="22"/>
        <w:spacing w:line="400" w:lineRule="exact"/>
        <w:ind w:right="1" w:firstLine="410" w:firstLineChars="202"/>
        <w:rPr>
          <w:rFonts w:hint="eastAsia" w:asciiTheme="minorEastAsia" w:hAnsiTheme="minorEastAsia" w:eastAsiaTheme="minorEastAsia" w:cstheme="minorEastAsia"/>
          <w:b/>
          <w:sz w:val="18"/>
          <w:highlight w:val="none"/>
        </w:rPr>
      </w:pPr>
      <w:r>
        <w:rPr>
          <w:rFonts w:hint="eastAsia" w:asciiTheme="minorEastAsia" w:hAnsiTheme="minorEastAsia" w:eastAsiaTheme="minorEastAsia" w:cstheme="minorEastAsia"/>
          <w:b/>
          <w:spacing w:val="-4"/>
          <w:sz w:val="21"/>
          <w:szCs w:val="24"/>
          <w:highlight w:val="none"/>
        </w:rPr>
        <w:t>（三）总得分=1+2+3+4+5+6+7。</w:t>
      </w:r>
    </w:p>
    <w:p>
      <w:pPr>
        <w:pStyle w:val="22"/>
        <w:spacing w:line="340" w:lineRule="exact"/>
        <w:ind w:firstLine="464" w:firstLineChars="22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三、中标候选人推荐原则</w:t>
      </w:r>
    </w:p>
    <w:p>
      <w:pPr>
        <w:pStyle w:val="22"/>
        <w:spacing w:before="120" w:after="120" w:line="420" w:lineRule="exact"/>
        <w:ind w:firstLine="422" w:firstLineChars="20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评标委员会按照评标总得分由高到低顺序排列（投标人得分相同的，按投标报价由低到高顺序排列，得分且投标报价相同的，按技术指标优劣顺序排列）</w:t>
      </w:r>
      <w:r>
        <w:rPr>
          <w:rFonts w:hint="eastAsia" w:asciiTheme="minorEastAsia" w:hAnsiTheme="minorEastAsia" w:eastAsiaTheme="minorEastAsia" w:cstheme="minorEastAsia"/>
          <w:b/>
          <w:bCs/>
          <w:sz w:val="21"/>
          <w:highlight w:val="none"/>
        </w:rPr>
        <w:t>并推荐3名中标候选人</w:t>
      </w:r>
      <w:r>
        <w:rPr>
          <w:rFonts w:hint="eastAsia" w:asciiTheme="minorEastAsia" w:hAnsiTheme="minorEastAsia" w:eastAsiaTheme="minorEastAsia" w:cstheme="minorEastAsia"/>
          <w:b/>
          <w:sz w:val="21"/>
          <w:highlight w:val="none"/>
        </w:rPr>
        <w:t>。排名第一的中标候选人被确认为中标人。排名第一的中标人放弃中标、因不可抗力提出不能履行合同，或者招标文件规定应当提交履约保证金而在规定的期限内未能提交的，采购人可以确定排名第二的中标候选人为中标人。其余以此类推。</w:t>
      </w: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rPr>
          <w:rFonts w:hint="eastAsia" w:asciiTheme="minorEastAsia" w:hAnsiTheme="minorEastAsia" w:eastAsiaTheme="minorEastAsia" w:cstheme="minorEastAsia"/>
          <w:highlight w:val="none"/>
        </w:rPr>
      </w:pPr>
    </w:p>
    <w:p>
      <w:pPr>
        <w:pStyle w:val="2"/>
        <w:ind w:firstLine="460"/>
        <w:rPr>
          <w:rFonts w:hint="eastAsia" w:asciiTheme="minorEastAsia" w:hAnsiTheme="minorEastAsia" w:eastAsiaTheme="minorEastAsia" w:cstheme="minorEastAsia"/>
          <w:sz w:val="21"/>
          <w:highlight w:val="none"/>
        </w:rPr>
      </w:pPr>
    </w:p>
    <w:p>
      <w:pPr>
        <w:pStyle w:val="2"/>
        <w:ind w:firstLine="460"/>
        <w:rPr>
          <w:rFonts w:hint="eastAsia" w:asciiTheme="minorEastAsia" w:hAnsiTheme="minorEastAsia" w:eastAsiaTheme="minorEastAsia" w:cstheme="minorEastAsia"/>
          <w:sz w:val="21"/>
          <w:highlight w:val="none"/>
        </w:rPr>
      </w:pPr>
    </w:p>
    <w:p>
      <w:pPr>
        <w:pStyle w:val="2"/>
        <w:ind w:firstLine="460"/>
        <w:rPr>
          <w:rFonts w:hint="eastAsia" w:asciiTheme="minorEastAsia" w:hAnsiTheme="minorEastAsia" w:eastAsiaTheme="minorEastAsia" w:cstheme="minorEastAsia"/>
          <w:sz w:val="21"/>
          <w:highlight w:val="none"/>
        </w:rPr>
      </w:pPr>
    </w:p>
    <w:p>
      <w:pPr>
        <w:pStyle w:val="2"/>
        <w:ind w:firstLine="46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p>
      <w:pPr>
        <w:pStyle w:val="22"/>
        <w:spacing w:line="440" w:lineRule="exact"/>
        <w:ind w:firstLine="420" w:firstLineChars="200"/>
        <w:rPr>
          <w:rFonts w:hint="eastAsia" w:asciiTheme="minorEastAsia" w:hAnsiTheme="minorEastAsia" w:eastAsiaTheme="minorEastAsia" w:cstheme="minorEastAsia"/>
          <w:sz w:val="21"/>
          <w:highlight w:val="none"/>
        </w:rPr>
      </w:pPr>
    </w:p>
    <w:bookmarkEnd w:id="0"/>
    <w:bookmarkEnd w:id="1"/>
    <w:p>
      <w:pPr>
        <w:rPr>
          <w:rFonts w:hint="eastAsia" w:asciiTheme="minorEastAsia" w:hAnsiTheme="minorEastAsia" w:eastAsiaTheme="minorEastAsia" w:cstheme="minorEastAsia"/>
          <w:highlight w:val="none"/>
        </w:rPr>
      </w:pPr>
    </w:p>
    <w:p>
      <w:pPr>
        <w:pStyle w:val="6"/>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第五章  政府采购合同及主要条款格式</w:t>
      </w:r>
    </w:p>
    <w:p>
      <w:pPr>
        <w:rPr>
          <w:rFonts w:hint="eastAsia" w:asciiTheme="minorEastAsia" w:hAnsiTheme="minorEastAsia" w:eastAsiaTheme="minorEastAsia" w:cstheme="minorEastAsia"/>
          <w:highlight w:val="none"/>
        </w:rPr>
      </w:pPr>
    </w:p>
    <w:p>
      <w:pPr>
        <w:snapToGrid w:val="0"/>
        <w:spacing w:line="480" w:lineRule="auto"/>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bCs/>
          <w:szCs w:val="21"/>
          <w:highlight w:val="none"/>
        </w:rPr>
        <w:t>防城港市政府采购合同</w:t>
      </w:r>
      <w:r>
        <w:rPr>
          <w:rFonts w:hint="eastAsia" w:asciiTheme="minorEastAsia" w:hAnsiTheme="minorEastAsia" w:eastAsiaTheme="minorEastAsia" w:cstheme="minorEastAsia"/>
          <w:b/>
          <w:szCs w:val="21"/>
          <w:highlight w:val="none"/>
        </w:rPr>
        <w:t>（试行）</w:t>
      </w:r>
    </w:p>
    <w:p>
      <w:pPr>
        <w:snapToGrid w:val="0"/>
        <w:spacing w:line="360" w:lineRule="exact"/>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采购单位（甲方）</w:t>
      </w:r>
      <w:r>
        <w:rPr>
          <w:rFonts w:hint="eastAsia" w:asciiTheme="minorEastAsia" w:hAnsiTheme="minorEastAsia" w:eastAsiaTheme="minorEastAsia" w:cstheme="minorEastAsia"/>
          <w:spacing w:val="-20"/>
          <w:szCs w:val="21"/>
          <w:highlight w:val="none"/>
        </w:rPr>
        <w:t>采 购 计 划 号</w:t>
      </w:r>
    </w:p>
    <w:p>
      <w:pPr>
        <w:snapToGrid w:val="0"/>
        <w:spacing w:line="360" w:lineRule="exact"/>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供 应 商（乙方）</w:t>
      </w:r>
      <w:r>
        <w:rPr>
          <w:rFonts w:hint="eastAsia" w:asciiTheme="minorEastAsia" w:hAnsiTheme="minorEastAsia" w:eastAsiaTheme="minorEastAsia" w:cstheme="minorEastAsia"/>
          <w:spacing w:val="-20"/>
          <w:szCs w:val="21"/>
          <w:highlight w:val="none"/>
        </w:rPr>
        <w:t>招  标  编  号</w:t>
      </w:r>
    </w:p>
    <w:p>
      <w:pPr>
        <w:snapToGrid w:val="0"/>
        <w:spacing w:line="360" w:lineRule="exact"/>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签  订  地  点    签 订 时 间</w:t>
      </w:r>
    </w:p>
    <w:p>
      <w:pPr>
        <w:snapToGrid w:val="0"/>
        <w:spacing w:line="360" w:lineRule="exact"/>
        <w:ind w:firstLine="420" w:firstLineChars="200"/>
        <w:rPr>
          <w:rFonts w:hint="eastAsia" w:asciiTheme="minorEastAsia" w:hAnsiTheme="minorEastAsia" w:eastAsiaTheme="minorEastAsia" w:cstheme="minorEastAsia"/>
          <w:szCs w:val="21"/>
          <w:highlight w:val="none"/>
        </w:rPr>
      </w:pP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根据《中华人民共和国政府采购法》、《中华人民共和国合同法》等法律、法规规定，按照招标文件规定条款和中标供应商承诺，甲乙双方签订本合同。</w:t>
      </w:r>
    </w:p>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第一条　合同标的</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1.供货一览表</w:t>
      </w:r>
    </w:p>
    <w:tbl>
      <w:tblPr>
        <w:tblStyle w:val="34"/>
        <w:tblW w:w="0" w:type="auto"/>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908"/>
        <w:gridCol w:w="668"/>
        <w:gridCol w:w="947"/>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1233"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产品名称</w:t>
            </w:r>
          </w:p>
        </w:tc>
        <w:tc>
          <w:tcPr>
            <w:tcW w:w="105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商标品牌</w:t>
            </w:r>
          </w:p>
        </w:tc>
        <w:tc>
          <w:tcPr>
            <w:tcW w:w="1233"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规格型号</w:t>
            </w:r>
          </w:p>
        </w:tc>
        <w:tc>
          <w:tcPr>
            <w:tcW w:w="1210"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生产厂家</w:t>
            </w:r>
          </w:p>
        </w:tc>
        <w:tc>
          <w:tcPr>
            <w:tcW w:w="908"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数  量</w:t>
            </w:r>
          </w:p>
        </w:tc>
        <w:tc>
          <w:tcPr>
            <w:tcW w:w="668"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单位</w:t>
            </w:r>
          </w:p>
        </w:tc>
        <w:tc>
          <w:tcPr>
            <w:tcW w:w="947"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  价</w:t>
            </w:r>
          </w:p>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（元）</w:t>
            </w:r>
          </w:p>
        </w:tc>
        <w:tc>
          <w:tcPr>
            <w:tcW w:w="118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金  额</w:t>
            </w:r>
          </w:p>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1233"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05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233"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210" w:type="dxa"/>
          </w:tcPr>
          <w:p>
            <w:pPr>
              <w:snapToGrid w:val="0"/>
              <w:spacing w:line="400" w:lineRule="exact"/>
              <w:jc w:val="center"/>
              <w:rPr>
                <w:rFonts w:hint="eastAsia" w:asciiTheme="minorEastAsia" w:hAnsiTheme="minorEastAsia" w:eastAsiaTheme="minorEastAsia" w:cstheme="minorEastAsia"/>
                <w:szCs w:val="21"/>
                <w:highlight w:val="none"/>
              </w:rPr>
            </w:pPr>
          </w:p>
        </w:tc>
        <w:tc>
          <w:tcPr>
            <w:tcW w:w="908" w:type="dxa"/>
          </w:tcPr>
          <w:p>
            <w:pPr>
              <w:snapToGrid w:val="0"/>
              <w:spacing w:line="400" w:lineRule="exact"/>
              <w:jc w:val="center"/>
              <w:rPr>
                <w:rFonts w:hint="eastAsia" w:asciiTheme="minorEastAsia" w:hAnsiTheme="minorEastAsia" w:eastAsiaTheme="minorEastAsia" w:cstheme="minorEastAsia"/>
                <w:szCs w:val="21"/>
                <w:highlight w:val="none"/>
              </w:rPr>
            </w:pPr>
          </w:p>
        </w:tc>
        <w:tc>
          <w:tcPr>
            <w:tcW w:w="668" w:type="dxa"/>
          </w:tcPr>
          <w:p>
            <w:pPr>
              <w:snapToGrid w:val="0"/>
              <w:spacing w:line="400" w:lineRule="exact"/>
              <w:jc w:val="center"/>
              <w:rPr>
                <w:rFonts w:hint="eastAsia" w:asciiTheme="minorEastAsia" w:hAnsiTheme="minorEastAsia" w:eastAsiaTheme="minorEastAsia" w:cstheme="minorEastAsia"/>
                <w:szCs w:val="21"/>
                <w:highlight w:val="none"/>
              </w:rPr>
            </w:pPr>
          </w:p>
        </w:tc>
        <w:tc>
          <w:tcPr>
            <w:tcW w:w="947"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18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1233"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05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233"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210" w:type="dxa"/>
          </w:tcPr>
          <w:p>
            <w:pPr>
              <w:snapToGrid w:val="0"/>
              <w:spacing w:line="400" w:lineRule="exact"/>
              <w:jc w:val="center"/>
              <w:rPr>
                <w:rFonts w:hint="eastAsia" w:asciiTheme="minorEastAsia" w:hAnsiTheme="minorEastAsia" w:eastAsiaTheme="minorEastAsia" w:cstheme="minorEastAsia"/>
                <w:szCs w:val="21"/>
                <w:highlight w:val="none"/>
              </w:rPr>
            </w:pPr>
          </w:p>
        </w:tc>
        <w:tc>
          <w:tcPr>
            <w:tcW w:w="908" w:type="dxa"/>
          </w:tcPr>
          <w:p>
            <w:pPr>
              <w:snapToGrid w:val="0"/>
              <w:spacing w:line="400" w:lineRule="exact"/>
              <w:jc w:val="center"/>
              <w:rPr>
                <w:rFonts w:hint="eastAsia" w:asciiTheme="minorEastAsia" w:hAnsiTheme="minorEastAsia" w:eastAsiaTheme="minorEastAsia" w:cstheme="minorEastAsia"/>
                <w:szCs w:val="21"/>
                <w:highlight w:val="none"/>
              </w:rPr>
            </w:pPr>
          </w:p>
        </w:tc>
        <w:tc>
          <w:tcPr>
            <w:tcW w:w="668" w:type="dxa"/>
          </w:tcPr>
          <w:p>
            <w:pPr>
              <w:snapToGrid w:val="0"/>
              <w:spacing w:line="400" w:lineRule="exact"/>
              <w:jc w:val="center"/>
              <w:rPr>
                <w:rFonts w:hint="eastAsia" w:asciiTheme="minorEastAsia" w:hAnsiTheme="minorEastAsia" w:eastAsiaTheme="minorEastAsia" w:cstheme="minorEastAsia"/>
                <w:szCs w:val="21"/>
                <w:highlight w:val="none"/>
              </w:rPr>
            </w:pPr>
          </w:p>
        </w:tc>
        <w:tc>
          <w:tcPr>
            <w:tcW w:w="947"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18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1233"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05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233"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210" w:type="dxa"/>
          </w:tcPr>
          <w:p>
            <w:pPr>
              <w:snapToGrid w:val="0"/>
              <w:spacing w:line="400" w:lineRule="exact"/>
              <w:jc w:val="center"/>
              <w:rPr>
                <w:rFonts w:hint="eastAsia" w:asciiTheme="minorEastAsia" w:hAnsiTheme="minorEastAsia" w:eastAsiaTheme="minorEastAsia" w:cstheme="minorEastAsia"/>
                <w:szCs w:val="21"/>
                <w:highlight w:val="none"/>
              </w:rPr>
            </w:pPr>
          </w:p>
        </w:tc>
        <w:tc>
          <w:tcPr>
            <w:tcW w:w="908" w:type="dxa"/>
          </w:tcPr>
          <w:p>
            <w:pPr>
              <w:snapToGrid w:val="0"/>
              <w:spacing w:line="400" w:lineRule="exact"/>
              <w:jc w:val="center"/>
              <w:rPr>
                <w:rFonts w:hint="eastAsia" w:asciiTheme="minorEastAsia" w:hAnsiTheme="minorEastAsia" w:eastAsiaTheme="minorEastAsia" w:cstheme="minorEastAsia"/>
                <w:szCs w:val="21"/>
                <w:highlight w:val="none"/>
              </w:rPr>
            </w:pPr>
          </w:p>
        </w:tc>
        <w:tc>
          <w:tcPr>
            <w:tcW w:w="668" w:type="dxa"/>
          </w:tcPr>
          <w:p>
            <w:pPr>
              <w:snapToGrid w:val="0"/>
              <w:spacing w:line="400" w:lineRule="exact"/>
              <w:jc w:val="center"/>
              <w:rPr>
                <w:rFonts w:hint="eastAsia" w:asciiTheme="minorEastAsia" w:hAnsiTheme="minorEastAsia" w:eastAsiaTheme="minorEastAsia" w:cstheme="minorEastAsia"/>
                <w:szCs w:val="21"/>
                <w:highlight w:val="none"/>
              </w:rPr>
            </w:pPr>
          </w:p>
        </w:tc>
        <w:tc>
          <w:tcPr>
            <w:tcW w:w="947"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18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c>
          <w:tcPr>
            <w:tcW w:w="1233"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05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233"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210" w:type="dxa"/>
          </w:tcPr>
          <w:p>
            <w:pPr>
              <w:snapToGrid w:val="0"/>
              <w:spacing w:line="400" w:lineRule="exact"/>
              <w:jc w:val="center"/>
              <w:rPr>
                <w:rFonts w:hint="eastAsia" w:asciiTheme="minorEastAsia" w:hAnsiTheme="minorEastAsia" w:eastAsiaTheme="minorEastAsia" w:cstheme="minorEastAsia"/>
                <w:szCs w:val="21"/>
                <w:highlight w:val="none"/>
              </w:rPr>
            </w:pPr>
          </w:p>
        </w:tc>
        <w:tc>
          <w:tcPr>
            <w:tcW w:w="908" w:type="dxa"/>
          </w:tcPr>
          <w:p>
            <w:pPr>
              <w:snapToGrid w:val="0"/>
              <w:spacing w:line="400" w:lineRule="exact"/>
              <w:jc w:val="center"/>
              <w:rPr>
                <w:rFonts w:hint="eastAsia" w:asciiTheme="minorEastAsia" w:hAnsiTheme="minorEastAsia" w:eastAsiaTheme="minorEastAsia" w:cstheme="minorEastAsia"/>
                <w:szCs w:val="21"/>
                <w:highlight w:val="none"/>
              </w:rPr>
            </w:pPr>
          </w:p>
        </w:tc>
        <w:tc>
          <w:tcPr>
            <w:tcW w:w="668" w:type="dxa"/>
          </w:tcPr>
          <w:p>
            <w:pPr>
              <w:snapToGrid w:val="0"/>
              <w:spacing w:line="400" w:lineRule="exact"/>
              <w:jc w:val="center"/>
              <w:rPr>
                <w:rFonts w:hint="eastAsia" w:asciiTheme="minorEastAsia" w:hAnsiTheme="minorEastAsia" w:eastAsiaTheme="minorEastAsia" w:cstheme="minorEastAsia"/>
                <w:szCs w:val="21"/>
                <w:highlight w:val="none"/>
              </w:rPr>
            </w:pPr>
          </w:p>
        </w:tc>
        <w:tc>
          <w:tcPr>
            <w:tcW w:w="947"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c>
          <w:tcPr>
            <w:tcW w:w="1189" w:type="dxa"/>
            <w:vAlign w:val="center"/>
          </w:tcPr>
          <w:p>
            <w:pPr>
              <w:snapToGrid w:val="0"/>
              <w:spacing w:line="400" w:lineRule="exact"/>
              <w:jc w:val="center"/>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56" w:type="dxa"/>
            <w:gridSpan w:val="9"/>
            <w:vAlign w:val="center"/>
          </w:tcPr>
          <w:p>
            <w:pPr>
              <w:snapToGrid w:val="0"/>
              <w:spacing w:line="40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人民币合计金额（大写）                          （小写）                 </w:t>
            </w:r>
          </w:p>
        </w:tc>
      </w:tr>
    </w:tbl>
    <w:p>
      <w:pPr>
        <w:snapToGrid w:val="0"/>
        <w:spacing w:line="400" w:lineRule="exact"/>
        <w:ind w:right="420"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2.合同合计金额包括货物价款，备件、专用工具、安装、调试、检验、技术培训及技术资料和包装、运输等全部费用。如招标文件对其另有规定的，从其规定。</w:t>
      </w:r>
    </w:p>
    <w:p>
      <w:pPr>
        <w:snapToGrid w:val="0"/>
        <w:spacing w:line="400" w:lineRule="exact"/>
        <w:ind w:firstLine="422"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第二条　质量保证</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1.乙方所提供的货物型号、技术规格、技术参数等质量必须与招标文件、投标文件和承诺相一致。乙方提供的节能和环保产品必须是列入政府采购清单的产品。</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2.乙方所提供的货物必须是原厂生产的全新、未使用的合格产品，且在正常安装、使用和保养条件下，其使用寿命期内各项指标均达到质量要求。</w:t>
      </w:r>
    </w:p>
    <w:p>
      <w:pPr>
        <w:snapToGrid w:val="0"/>
        <w:spacing w:line="400" w:lineRule="exact"/>
        <w:ind w:firstLine="420"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3.乙方</w:t>
      </w:r>
      <w:r>
        <w:rPr>
          <w:rFonts w:hint="eastAsia" w:asciiTheme="minorEastAsia" w:hAnsiTheme="minorEastAsia" w:eastAsiaTheme="minorEastAsia" w:cstheme="minorEastAsia"/>
          <w:szCs w:val="21"/>
          <w:highlight w:val="none"/>
        </w:rPr>
        <w:t>提供</w:t>
      </w:r>
      <w:r>
        <w:rPr>
          <w:rFonts w:hint="eastAsia" w:asciiTheme="minorEastAsia" w:hAnsiTheme="minorEastAsia" w:eastAsiaTheme="minorEastAsia" w:cstheme="minorEastAsia"/>
          <w:highlight w:val="none"/>
        </w:rPr>
        <w:t>货物的质量保证期按交货（含安装）验收合格之日起计（期限按投标文件承诺的时间），</w:t>
      </w:r>
      <w:r>
        <w:rPr>
          <w:rFonts w:hint="eastAsia" w:asciiTheme="minorEastAsia" w:hAnsiTheme="minorEastAsia" w:eastAsiaTheme="minorEastAsia" w:cstheme="minorEastAsia"/>
          <w:bCs/>
          <w:highlight w:val="none"/>
        </w:rPr>
        <w:t>属于国家《计量器具强检目录》规定的仪器设备，必须经具有法定资质检定机构进行首次周期检定合格，方可验收，首次周期检定费用由</w:t>
      </w:r>
      <w:r>
        <w:rPr>
          <w:rFonts w:hint="eastAsia" w:asciiTheme="minorEastAsia" w:hAnsiTheme="minorEastAsia" w:eastAsiaTheme="minorEastAsia" w:cstheme="minorEastAsia"/>
          <w:highlight w:val="none"/>
        </w:rPr>
        <w:t>乙方支付。在保证期内因货物本身的质量问题发生故障，乙方应负责免费修理和更换零部件。对达不到技术要求者，根据实际情况，经双方协商，可按以下办法处理：</w:t>
      </w:r>
    </w:p>
    <w:p>
      <w:pPr>
        <w:pStyle w:val="22"/>
        <w:spacing w:line="400" w:lineRule="exact"/>
        <w:ind w:firstLine="462" w:firstLineChars="22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⑴ 更换：由乙方承担所发生的全部费用。</w:t>
      </w:r>
    </w:p>
    <w:p>
      <w:pPr>
        <w:pStyle w:val="22"/>
        <w:spacing w:line="400" w:lineRule="exact"/>
        <w:ind w:firstLine="42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⑵ 贬值处理：由甲乙双方合议定价。</w:t>
      </w:r>
    </w:p>
    <w:p>
      <w:pPr>
        <w:pStyle w:val="22"/>
        <w:spacing w:line="400" w:lineRule="exact"/>
        <w:ind w:firstLine="42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⑶ 退货处理：乙方应退还甲方支付的货物款，同时应承担该货物的直接费用(运输、保险、检验、货款利息及银行手续费等)。</w:t>
      </w:r>
    </w:p>
    <w:p>
      <w:pPr>
        <w:pStyle w:val="22"/>
        <w:spacing w:line="400" w:lineRule="exact"/>
        <w:ind w:firstLine="42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4.如货物在使用过程中发生质量问题，乙方在接到甲方通知后按</w:t>
      </w:r>
      <w:r>
        <w:rPr>
          <w:rFonts w:hint="eastAsia" w:asciiTheme="minorEastAsia" w:hAnsiTheme="minorEastAsia" w:eastAsiaTheme="minorEastAsia" w:cstheme="minorEastAsia"/>
          <w:sz w:val="21"/>
          <w:highlight w:val="none"/>
          <w:u w:val="single"/>
        </w:rPr>
        <w:t>投标文件承诺的时间内</w:t>
      </w:r>
      <w:r>
        <w:rPr>
          <w:rFonts w:hint="eastAsia" w:asciiTheme="minorEastAsia" w:hAnsiTheme="minorEastAsia" w:eastAsiaTheme="minorEastAsia" w:cstheme="minorEastAsia"/>
          <w:sz w:val="21"/>
          <w:highlight w:val="none"/>
        </w:rPr>
        <w:t>到达甲方现场处理。</w:t>
      </w:r>
    </w:p>
    <w:p>
      <w:pPr>
        <w:pStyle w:val="22"/>
        <w:spacing w:line="400" w:lineRule="exact"/>
        <w:ind w:firstLine="42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5.在质保期内，乙方应对货物出现的质量及安全问题负责处理解决并承担一切费用。</w:t>
      </w:r>
    </w:p>
    <w:p>
      <w:pPr>
        <w:snapToGrid w:val="0"/>
        <w:spacing w:line="400" w:lineRule="exact"/>
        <w:ind w:firstLine="422"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第三条　权力保证</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1.乙方应保证所提供货物在使用时不会侵犯任何第三方的专利权、商标权、工业设计权或其他权利。</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2.乙方应按招标文件规定的时间向甲方提供使用货物的有关技术资料。</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4.乙方保证所交付的货物的所有权完全属于乙方且无任何抵押、质押、查封等产权瑕疵。</w:t>
      </w:r>
    </w:p>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第四条　包装和运输</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1.乙方提供的货物均应按招标文件文件要求的包装材料、包装标准、包装方式进行包装，每一包装单元内应附详细的装箱单和质量合格证。</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2.货物的运输方式：。</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3.乙方负责货物运输，货物运输合理损耗及计算方法：。</w:t>
      </w:r>
    </w:p>
    <w:p>
      <w:pPr>
        <w:snapToGrid w:val="0"/>
        <w:spacing w:line="400" w:lineRule="exact"/>
        <w:ind w:firstLine="422"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第五条　交付和验收</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1.交货时间：；地点：。</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2.乙方提供不符合招标文件、投标文件和本合同规定的货物，甲方有权拒绝接受。</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3.乙方应将所提供货物的装箱清单、用户手册、原厂保修卡、随机资料、工具和备品、备件等交付给甲方，如有缺失应及时补齐，否则视为逾期交货。</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4.甲方应当在货物到（安装、调试完毕并收到乙方的验收申请）后，双方七个工作日内共同组织进行验收，逾期不验收的，乙方可视同验收合格。</w:t>
      </w:r>
      <w:r>
        <w:rPr>
          <w:rFonts w:hint="eastAsia" w:asciiTheme="minorEastAsia" w:hAnsiTheme="minorEastAsia" w:eastAsiaTheme="minorEastAsia" w:cstheme="minorEastAsia"/>
          <w:bCs/>
          <w:szCs w:val="21"/>
          <w:highlight w:val="none"/>
        </w:rPr>
        <w:t>属于国家《计量器具强检目录》规定的仪器设备，必须经具有法定资质检定机构进行首次周期检定合格，方可验收，首次周期检定费用由</w:t>
      </w:r>
      <w:r>
        <w:rPr>
          <w:rFonts w:hint="eastAsia" w:asciiTheme="minorEastAsia" w:hAnsiTheme="minorEastAsia" w:eastAsiaTheme="minorEastAsia" w:cstheme="minorEastAsia"/>
          <w:szCs w:val="21"/>
          <w:highlight w:val="none"/>
        </w:rPr>
        <w:t>乙方支付。货物验收合格后，由甲乙双方签署货物验收单并加盖采购单位公章，甲乙双方各执一份。</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采购人委托相关检测机构组织的验收项目，其验收时间以该项目验收方案确定的验收时间为准，验收结果以该项目验收报告结论为准。在验收过程中如发现乙方有违约问题，可暂缓资金结算，待违约问题解决后，方可办理资金结算事宜。</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6.甲方对货物验收有异议的，在验收后五个工作日内以书面形式向乙方提出，乙方应自收到甲方书面异议后日内及时予以解决。</w:t>
      </w:r>
    </w:p>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第六条　安装和培训</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1.甲方应提供必要的安装条件（如场地、电源、水源等）。</w:t>
      </w:r>
    </w:p>
    <w:p>
      <w:pPr>
        <w:snapToGrid w:val="0"/>
        <w:spacing w:line="400" w:lineRule="exact"/>
        <w:ind w:firstLine="420" w:firstLineChars="200"/>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2.乙方负责甲方有关人员的培训。培训时间及地点：。</w:t>
      </w:r>
    </w:p>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第七条  售后服务、保修期</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1.乙方应按照国家有关法律法规和“三包”规定以及招标文件、投标文件和本合同所附的《服务承诺》，为甲方提供售后服务。</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2.货物保修期：。</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3.乙方提供的服务承诺和售后服务及保修期责任等其它具体约定事项（见合同附件）。</w:t>
      </w:r>
    </w:p>
    <w:p>
      <w:pPr>
        <w:snapToGrid w:val="0"/>
        <w:spacing w:line="400" w:lineRule="exact"/>
        <w:ind w:left="-61" w:firstLine="514"/>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4.上述货物的免费保修期为</w:t>
      </w:r>
      <w:r>
        <w:rPr>
          <w:rFonts w:hint="eastAsia" w:asciiTheme="minorEastAsia" w:hAnsiTheme="minorEastAsia" w:eastAsiaTheme="minorEastAsia" w:cstheme="minorEastAsia"/>
          <w:szCs w:val="21"/>
          <w:highlight w:val="none"/>
          <w:u w:val="single"/>
        </w:rPr>
        <w:t xml:space="preserve">  3   </w:t>
      </w:r>
      <w:r>
        <w:rPr>
          <w:rFonts w:hint="eastAsia" w:asciiTheme="minorEastAsia" w:hAnsiTheme="minorEastAsia" w:eastAsiaTheme="minorEastAsia" w:cstheme="minorEastAsia"/>
          <w:szCs w:val="21"/>
          <w:highlight w:val="none"/>
        </w:rPr>
        <w:t>年，因人为因素出现的故障不在免费保修范围内。超过保修期的机器设备，终生维修，维修时只收部件成本费。</w:t>
      </w:r>
    </w:p>
    <w:p>
      <w:pPr>
        <w:snapToGrid w:val="0"/>
        <w:spacing w:line="400" w:lineRule="exact"/>
        <w:ind w:firstLine="422"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第八条　付款方式和保证金</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bCs/>
          <w:sz w:val="21"/>
          <w:highlight w:val="none"/>
        </w:rPr>
        <w:t>1.</w:t>
      </w:r>
      <w:r>
        <w:rPr>
          <w:rFonts w:hint="eastAsia" w:asciiTheme="minorEastAsia" w:hAnsiTheme="minorEastAsia" w:eastAsiaTheme="minorEastAsia" w:cstheme="minorEastAsia"/>
          <w:sz w:val="21"/>
          <w:highlight w:val="none"/>
        </w:rPr>
        <w:t>当货物采购数量与实际使用数量不一致时，乙方应根据实际使用量供货，合同的最终结算金额按实际使用量乘以成交单价进行计算。</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2.资金性质；预算内资金 。</w:t>
      </w:r>
    </w:p>
    <w:p>
      <w:pPr>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 付款方式：</w:t>
      </w:r>
    </w:p>
    <w:p>
      <w:pPr>
        <w:autoSpaceDE w:val="0"/>
        <w:autoSpaceDN w:val="0"/>
        <w:snapToGrid w:val="0"/>
        <w:spacing w:line="400" w:lineRule="exact"/>
        <w:ind w:firstLine="420" w:firstLineChars="200"/>
        <w:textAlignment w:val="bottom"/>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highlight w:val="none"/>
        </w:rPr>
        <w:t>设备采购部分：</w:t>
      </w:r>
      <w:r>
        <w:rPr>
          <w:rFonts w:hint="eastAsia" w:asciiTheme="minorEastAsia" w:hAnsiTheme="minorEastAsia" w:eastAsiaTheme="minorEastAsia" w:cstheme="minorEastAsia"/>
          <w:bCs/>
          <w:szCs w:val="21"/>
          <w:highlight w:val="none"/>
        </w:rPr>
        <w:t>该项目采用垫资建设分期付款方式，该项目签订合同后，乙方开具有效发票给甲方，甲方支付合同总金额的15%作为预付款，项目通过监理和采购方同时验收后，乙方开具有效发票给甲方，甲方2021年支付剩余合同总金额的60%，余下合同款在2022年付清。</w:t>
      </w:r>
    </w:p>
    <w:p>
      <w:pPr>
        <w:autoSpaceDE w:val="0"/>
        <w:autoSpaceDN w:val="0"/>
        <w:snapToGrid w:val="0"/>
        <w:spacing w:line="400" w:lineRule="exact"/>
        <w:ind w:firstLine="482" w:firstLineChars="200"/>
        <w:textAlignment w:val="bottom"/>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
          <w:bCs/>
          <w:sz w:val="24"/>
          <w:highlight w:val="none"/>
        </w:rPr>
        <w:t>装饰装修工程部分</w:t>
      </w:r>
      <w:r>
        <w:rPr>
          <w:rFonts w:hint="eastAsia" w:asciiTheme="minorEastAsia" w:hAnsiTheme="minorEastAsia" w:eastAsiaTheme="minorEastAsia" w:cstheme="minorEastAsia"/>
          <w:bCs/>
          <w:szCs w:val="21"/>
          <w:highlight w:val="none"/>
        </w:rPr>
        <w:t>：采用垫资建设分期付款方式，本项目没有预付款，第一笔为项目竣工验收后，乙方开具有效发票给甲方，甲方支付合同总金额的80%，第二笔项目工程结算后，乙方开具有效发票给甲方，甲方支付合同总金额的15%，第三笔为项目质保期满后支付剩余的5%（无息）。</w:t>
      </w:r>
    </w:p>
    <w:p>
      <w:pPr>
        <w:spacing w:line="320" w:lineRule="exact"/>
        <w:ind w:firstLine="422" w:firstLineChars="200"/>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第九条  税费</w:t>
      </w:r>
    </w:p>
    <w:p>
      <w:pPr>
        <w:snapToGrid w:val="0"/>
        <w:spacing w:line="400" w:lineRule="exact"/>
        <w:ind w:left="-61" w:firstLine="514"/>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本合同执行中相关的一切税费均由乙方负担。</w:t>
      </w:r>
    </w:p>
    <w:p>
      <w:pPr>
        <w:snapToGrid w:val="0"/>
        <w:spacing w:line="400" w:lineRule="exact"/>
        <w:ind w:left="-61" w:firstLine="514"/>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第十条  调试和验收</w:t>
      </w:r>
    </w:p>
    <w:p>
      <w:pPr>
        <w:pStyle w:val="22"/>
        <w:snapToGrid w:val="0"/>
        <w:spacing w:line="400" w:lineRule="exact"/>
        <w:ind w:firstLine="420" w:firstLineChars="200"/>
        <w:jc w:val="lef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 甲方对乙方提交的货物依据招标文件上的技术规格要求和国家有关质量标准进行现场初步验收，外观、说明书符合招标文件技术要求的，给予签收，初步验收不合格的不予签收。货物到达指定交货地后，甲方应当在货物到（安装、调试完毕并收到乙方的验收申请）后，双方在七个工作日内共同组织进行验收。</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 乙方在货物交付前应对产品作全面检查和对验收文件进行整理，并列出移交清单，作为甲方验收货物和使用的技术条件依据，检验结果应随货物交给甲方（项目地点）。</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3. 甲方对乙方提供的货物在使用前进行调试时，乙方须负责安装并培训甲方的使用操作人员，并协助甲方一起调试，直到符合技术要求，甲方才作最终验收。</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4. 对技术复杂的货物，甲方应请国家认可的专业检测机构参与初步验收及最终验收，并由其出具质量检测报告。</w:t>
      </w:r>
    </w:p>
    <w:p>
      <w:pPr>
        <w:snapToGrid w:val="0"/>
        <w:spacing w:line="400" w:lineRule="exact"/>
        <w:ind w:left="-61" w:firstLine="514"/>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 货物验收时乙方必须在现场，货物验收完毕后应作出验收结果报告。</w:t>
      </w:r>
    </w:p>
    <w:p>
      <w:pPr>
        <w:snapToGrid w:val="0"/>
        <w:spacing w:line="400" w:lineRule="exact"/>
        <w:ind w:left="-61" w:firstLine="514"/>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6.甲方聘请监理公司对本项目进行验收并出具验收报告。</w:t>
      </w:r>
    </w:p>
    <w:p>
      <w:pPr>
        <w:pStyle w:val="22"/>
        <w:snapToGrid w:val="0"/>
        <w:spacing w:line="400" w:lineRule="exact"/>
        <w:ind w:firstLine="413" w:firstLineChars="196"/>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第十一条 货物包装、发运及运输</w:t>
      </w:r>
    </w:p>
    <w:p>
      <w:pPr>
        <w:pStyle w:val="22"/>
        <w:snapToGrid w:val="0"/>
        <w:spacing w:line="400" w:lineRule="exact"/>
        <w:ind w:left="420" w:left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 乙方应在货物发运前对其进行满足运输距离、防潮、防震、防锈和防破损装卸等要求包装，以保证货物安全运达甲方指定地点。</w:t>
      </w:r>
    </w:p>
    <w:p>
      <w:pPr>
        <w:pStyle w:val="22"/>
        <w:snapToGrid w:val="0"/>
        <w:spacing w:line="400" w:lineRule="exact"/>
        <w:ind w:left="420" w:left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 货物使用说明书、货物质量检验证明书、随配附件和工具以及货物清单一并附于货物内。</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3. 乙方在货物发运手续办理完毕后二十四小时内或货物到达甲方指定交货地点四十八小时前通知甲方，以便准备接收货物。</w:t>
      </w:r>
    </w:p>
    <w:p>
      <w:pPr>
        <w:pStyle w:val="22"/>
        <w:snapToGrid w:val="0"/>
        <w:spacing w:line="400" w:lineRule="exact"/>
        <w:ind w:left="420" w:left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4. 货物在验收合格前发生的风险均由乙方负责。</w:t>
      </w:r>
    </w:p>
    <w:p>
      <w:pPr>
        <w:snapToGrid w:val="0"/>
        <w:spacing w:line="400" w:lineRule="exact"/>
        <w:ind w:left="-61" w:firstLine="514"/>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 货</w:t>
      </w:r>
      <w:r>
        <w:rPr>
          <w:rFonts w:hint="eastAsia" w:asciiTheme="minorEastAsia" w:hAnsiTheme="minorEastAsia" w:eastAsiaTheme="minorEastAsia" w:cstheme="minorEastAsia"/>
          <w:spacing w:val="-8"/>
          <w:szCs w:val="21"/>
          <w:highlight w:val="none"/>
        </w:rPr>
        <w:t>物在规定的交付期限内由乙方送达甲方指定的地点视为交付，乙方同时需通知甲方货物已送达。</w:t>
      </w:r>
    </w:p>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第十二条　违约责任</w:t>
      </w:r>
    </w:p>
    <w:p>
      <w:pPr>
        <w:snapToGrid w:val="0"/>
        <w:spacing w:line="400" w:lineRule="exact"/>
        <w:ind w:firstLine="525" w:firstLineChars="25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1.乙方所提供的货物规格、技术标准、材料等质量不合格的，应及时更换，更换不及时的按逾期交货处罚；因质量问题甲方不同意接收的或特殊情况甲方同意接收的，乙方应向甲方支付违约货款额</w:t>
      </w:r>
      <w:r>
        <w:rPr>
          <w:rFonts w:hint="eastAsia" w:asciiTheme="minorEastAsia" w:hAnsiTheme="minorEastAsia" w:eastAsiaTheme="minorEastAsia" w:cstheme="minorEastAsia"/>
          <w:szCs w:val="21"/>
          <w:highlight w:val="none"/>
          <w:u w:val="single"/>
        </w:rPr>
        <w:t xml:space="preserve"> 5%</w:t>
      </w:r>
      <w:r>
        <w:rPr>
          <w:rFonts w:hint="eastAsia" w:asciiTheme="minorEastAsia" w:hAnsiTheme="minorEastAsia" w:eastAsiaTheme="minorEastAsia" w:cstheme="minorEastAsia"/>
          <w:szCs w:val="21"/>
          <w:highlight w:val="none"/>
        </w:rPr>
        <w:t xml:space="preserve">的违约金并赔偿甲方经济损失。                                       </w:t>
      </w:r>
    </w:p>
    <w:p>
      <w:pPr>
        <w:snapToGrid w:val="0"/>
        <w:spacing w:line="400" w:lineRule="exact"/>
        <w:ind w:firstLine="472" w:firstLineChars="225"/>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2.乙方提供的货物如侵犯了第三方合法权益而引发的任何纠纷或诉讼，均由乙方负责交涉并承担全部责任。</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3.因包装、运输引起的货物损坏，按质量不合格处置。</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4.甲方无故延期接收货物、乙方逾期交货的，每天向对方偿付违约货款额</w:t>
      </w:r>
      <w:r>
        <w:rPr>
          <w:rFonts w:hint="eastAsia" w:asciiTheme="minorEastAsia" w:hAnsiTheme="minorEastAsia" w:eastAsiaTheme="minorEastAsia" w:cstheme="minorEastAsia"/>
          <w:szCs w:val="21"/>
          <w:highlight w:val="none"/>
          <w:u w:val="single"/>
        </w:rPr>
        <w:t>3‰</w:t>
      </w:r>
      <w:r>
        <w:rPr>
          <w:rFonts w:hint="eastAsia" w:asciiTheme="minorEastAsia" w:hAnsiTheme="minorEastAsia" w:eastAsiaTheme="minorEastAsia" w:cstheme="minorEastAsia"/>
          <w:szCs w:val="21"/>
          <w:highlight w:val="none"/>
        </w:rPr>
        <w:t>的违约金，但违约金累计不得超过违约货款额的</w:t>
      </w:r>
      <w:r>
        <w:rPr>
          <w:rFonts w:hint="eastAsia" w:asciiTheme="minorEastAsia" w:hAnsiTheme="minorEastAsia" w:eastAsiaTheme="minorEastAsia" w:cstheme="minorEastAsia"/>
          <w:szCs w:val="21"/>
          <w:highlight w:val="none"/>
          <w:u w:val="single"/>
        </w:rPr>
        <w:t>5%</w:t>
      </w:r>
      <w:r>
        <w:rPr>
          <w:rFonts w:hint="eastAsia" w:asciiTheme="minorEastAsia" w:hAnsiTheme="minorEastAsia" w:eastAsiaTheme="minorEastAsia" w:cstheme="minorEastAsia"/>
          <w:szCs w:val="21"/>
          <w:highlight w:val="none"/>
        </w:rPr>
        <w:t>，超过</w:t>
      </w:r>
      <w:r>
        <w:rPr>
          <w:rFonts w:hint="eastAsia" w:asciiTheme="minorEastAsia" w:hAnsiTheme="minorEastAsia" w:eastAsiaTheme="minorEastAsia" w:cstheme="minorEastAsia"/>
          <w:b/>
          <w:szCs w:val="21"/>
          <w:highlight w:val="none"/>
          <w:u w:val="single"/>
        </w:rPr>
        <w:t>15</w:t>
      </w:r>
      <w:r>
        <w:rPr>
          <w:rFonts w:hint="eastAsia" w:asciiTheme="minorEastAsia" w:hAnsiTheme="minorEastAsia" w:eastAsiaTheme="minorEastAsia" w:cstheme="minorEastAsia"/>
          <w:szCs w:val="21"/>
          <w:highlight w:val="none"/>
        </w:rPr>
        <w:t>天对方有权解除合同，违约方承担因此给对方造成经济损失；甲方延期付货款的，每天向乙方偿付延期货款额</w:t>
      </w:r>
      <w:r>
        <w:rPr>
          <w:rFonts w:hint="eastAsia" w:asciiTheme="minorEastAsia" w:hAnsiTheme="minorEastAsia" w:eastAsiaTheme="minorEastAsia" w:cstheme="minorEastAsia"/>
          <w:szCs w:val="21"/>
          <w:highlight w:val="none"/>
          <w:u w:val="single"/>
        </w:rPr>
        <w:t>3‰</w:t>
      </w:r>
      <w:r>
        <w:rPr>
          <w:rFonts w:hint="eastAsia" w:asciiTheme="minorEastAsia" w:hAnsiTheme="minorEastAsia" w:eastAsiaTheme="minorEastAsia" w:cstheme="minorEastAsia"/>
          <w:szCs w:val="21"/>
          <w:highlight w:val="none"/>
        </w:rPr>
        <w:t>的滞纳金，但滞纳金累计不得超过延期货款额的</w:t>
      </w:r>
      <w:r>
        <w:rPr>
          <w:rFonts w:hint="eastAsia" w:asciiTheme="minorEastAsia" w:hAnsiTheme="minorEastAsia" w:eastAsiaTheme="minorEastAsia" w:cstheme="minorEastAsia"/>
          <w:szCs w:val="21"/>
          <w:highlight w:val="none"/>
          <w:u w:val="single"/>
        </w:rPr>
        <w:t>5%</w:t>
      </w:r>
      <w:r>
        <w:rPr>
          <w:rFonts w:hint="eastAsia" w:asciiTheme="minorEastAsia" w:hAnsiTheme="minorEastAsia" w:eastAsiaTheme="minorEastAsia" w:cstheme="minorEastAsia"/>
          <w:szCs w:val="21"/>
          <w:highlight w:val="none"/>
        </w:rPr>
        <w:t>。</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5.乙方未按本合同和投标文件中规定的服务承诺提供售后服务的，乙方应按本合同合计金额的</w:t>
      </w:r>
      <w:r>
        <w:rPr>
          <w:rFonts w:hint="eastAsia" w:asciiTheme="minorEastAsia" w:hAnsiTheme="minorEastAsia" w:eastAsiaTheme="minorEastAsia" w:cstheme="minorEastAsia"/>
          <w:szCs w:val="21"/>
          <w:highlight w:val="none"/>
          <w:u w:val="single"/>
        </w:rPr>
        <w:t xml:space="preserve"> 5%</w:t>
      </w:r>
      <w:r>
        <w:rPr>
          <w:rFonts w:hint="eastAsia" w:asciiTheme="minorEastAsia" w:hAnsiTheme="minorEastAsia" w:eastAsiaTheme="minorEastAsia" w:cstheme="minorEastAsia"/>
          <w:szCs w:val="21"/>
          <w:highlight w:val="none"/>
        </w:rPr>
        <w:t>向甲方支付违约金。</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6.乙方提供的货物在质量保证期内，因设计、工艺或材料的缺陷和其它质量原因造成的问题，由乙方负责，费用从质量保证金中扣除，不足部分需补交。</w:t>
      </w:r>
    </w:p>
    <w:p>
      <w:pPr>
        <w:snapToGrid w:val="0"/>
        <w:spacing w:line="400" w:lineRule="exact"/>
        <w:ind w:left="-61" w:firstLine="514"/>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7.其它违约行为按违约货款额的</w:t>
      </w:r>
      <w:r>
        <w:rPr>
          <w:rFonts w:hint="eastAsia" w:asciiTheme="minorEastAsia" w:hAnsiTheme="minorEastAsia" w:eastAsiaTheme="minorEastAsia" w:cstheme="minorEastAsia"/>
          <w:szCs w:val="21"/>
          <w:highlight w:val="none"/>
          <w:u w:val="single"/>
        </w:rPr>
        <w:t>5%</w:t>
      </w:r>
      <w:r>
        <w:rPr>
          <w:rFonts w:hint="eastAsia" w:asciiTheme="minorEastAsia" w:hAnsiTheme="minorEastAsia" w:eastAsiaTheme="minorEastAsia" w:cstheme="minorEastAsia"/>
          <w:szCs w:val="21"/>
          <w:highlight w:val="none"/>
        </w:rPr>
        <w:t>收取违约金并赔偿经济损失。</w:t>
      </w:r>
    </w:p>
    <w:p>
      <w:pPr>
        <w:pStyle w:val="22"/>
        <w:snapToGrid w:val="0"/>
        <w:spacing w:line="400" w:lineRule="exact"/>
        <w:ind w:firstLine="413" w:firstLineChars="196"/>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第十三条 不可抗力事件处理</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 在合同有效期内，任何一方因不可抗力事件导致不能履行合同的，则合同履行期可延长，其延长期与不可抗力影响期相同。</w:t>
      </w:r>
    </w:p>
    <w:p>
      <w:pPr>
        <w:pStyle w:val="22"/>
        <w:snapToGrid w:val="0"/>
        <w:spacing w:line="400" w:lineRule="exact"/>
        <w:ind w:firstLine="420" w:firstLine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 不可抗力事件发生后，应立即通知对方，并寄送有关权威机构出具的证明。</w:t>
      </w:r>
    </w:p>
    <w:p>
      <w:pPr>
        <w:snapToGrid w:val="0"/>
        <w:spacing w:line="400" w:lineRule="exact"/>
        <w:ind w:left="-61" w:firstLine="514"/>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 不可抗力事件延续一百二十天以上的，双方应通过友好协商，确定是否继续履行合同。</w:t>
      </w:r>
    </w:p>
    <w:p>
      <w:pPr>
        <w:snapToGrid w:val="0"/>
        <w:spacing w:line="400" w:lineRule="exact"/>
        <w:ind w:firstLine="422"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第十四条  合同争议的解决</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1.因货物质量问题发生争议的，应邀请国家认可的质量检测机构对货物质量进行鉴定。货物质量符合国家相关标准的，鉴定费由甲方承担；货物质量不符合国家相关标准的，鉴定费由乙方承担。</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2.因履行本合同引起的或与本合同有关的争议，甲乙双方应首先通过友好协商解决，如果协商不能解决，可向甲方所在地仲裁委员会申请仲裁或向甲方所在地人民法院提起诉讼。</w:t>
      </w:r>
    </w:p>
    <w:p>
      <w:pPr>
        <w:snapToGrid w:val="0"/>
        <w:spacing w:line="400" w:lineRule="exact"/>
        <w:ind w:left="-61" w:firstLine="514"/>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3.诉讼期间，本合同继续履行。</w:t>
      </w:r>
    </w:p>
    <w:p>
      <w:pPr>
        <w:pStyle w:val="22"/>
        <w:snapToGrid w:val="0"/>
        <w:spacing w:line="400" w:lineRule="exact"/>
        <w:ind w:firstLine="413" w:firstLineChars="196"/>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第十五条 合同生效及其它</w:t>
      </w:r>
    </w:p>
    <w:p>
      <w:pPr>
        <w:pStyle w:val="22"/>
        <w:snapToGrid w:val="0"/>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1. 合同经八甲乙双方法定代表人或授权代表签字并加盖单位公章后生效。</w:t>
      </w:r>
    </w:p>
    <w:p>
      <w:pPr>
        <w:pStyle w:val="22"/>
        <w:snapToGrid w:val="0"/>
        <w:spacing w:line="400" w:lineRule="exact"/>
        <w:ind w:firstLine="420" w:firstLine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2.合同执行中涉及采购资金和采购内容需要修改或补充的，须经财政部门审批，并签订书面补充协议报财政部门备案，方可作为主合同不可分割的一部分。</w:t>
      </w:r>
    </w:p>
    <w:p>
      <w:pPr>
        <w:pStyle w:val="22"/>
        <w:snapToGrid w:val="0"/>
        <w:spacing w:line="400" w:lineRule="exact"/>
        <w:ind w:left="420" w:leftChars="200"/>
        <w:rPr>
          <w:rFonts w:hint="eastAsia" w:asciiTheme="minorEastAsia" w:hAnsiTheme="minorEastAsia" w:eastAsiaTheme="minorEastAsia" w:cstheme="minorEastAsia"/>
          <w:bCs/>
          <w:sz w:val="21"/>
          <w:highlight w:val="none"/>
        </w:rPr>
      </w:pPr>
      <w:r>
        <w:rPr>
          <w:rFonts w:hint="eastAsia" w:asciiTheme="minorEastAsia" w:hAnsiTheme="minorEastAsia" w:eastAsiaTheme="minorEastAsia" w:cstheme="minorEastAsia"/>
          <w:bCs/>
          <w:sz w:val="21"/>
          <w:highlight w:val="none"/>
        </w:rPr>
        <w:t>3.本合同未尽事宜，遵照《中华人民共和国合同法》有关规定执行。</w:t>
      </w:r>
    </w:p>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第十六条　合同的变更、终止与转让</w:t>
      </w:r>
    </w:p>
    <w:p>
      <w:pPr>
        <w:snapToGrid w:val="0"/>
        <w:spacing w:line="40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1.除《中华人民共和国政府采购法》第五十条规定的情形外，本合同一经签订，甲乙双方不得擅自变更、中止或终止。</w:t>
      </w:r>
    </w:p>
    <w:p>
      <w:pPr>
        <w:snapToGrid w:val="0"/>
        <w:spacing w:line="400" w:lineRule="exact"/>
        <w:ind w:left="-61" w:firstLine="514"/>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2.乙方不得擅自转让（无进口资格的供应商委托进口货物除外）其应履行的合同义务。</w:t>
      </w:r>
    </w:p>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第十七条　签订本合同依据</w:t>
      </w:r>
    </w:p>
    <w:p>
      <w:pPr>
        <w:pStyle w:val="22"/>
        <w:snapToGrid w:val="0"/>
        <w:spacing w:before="120" w:after="120" w:line="300" w:lineRule="exact"/>
        <w:ind w:left="420" w:left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1．政府采购招标文件；</w:t>
      </w:r>
    </w:p>
    <w:p>
      <w:pPr>
        <w:pStyle w:val="22"/>
        <w:snapToGrid w:val="0"/>
        <w:spacing w:before="120" w:after="120" w:line="300" w:lineRule="exact"/>
        <w:ind w:left="420" w:left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2．乙方提供的采购投标（或应答）文件；</w:t>
      </w:r>
    </w:p>
    <w:p>
      <w:pPr>
        <w:pStyle w:val="22"/>
        <w:snapToGrid w:val="0"/>
        <w:spacing w:before="120" w:after="120" w:line="300" w:lineRule="exact"/>
        <w:ind w:left="420" w:leftChars="200"/>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3．投标承诺书；</w:t>
      </w:r>
    </w:p>
    <w:p>
      <w:pPr>
        <w:pStyle w:val="22"/>
        <w:snapToGrid w:val="0"/>
        <w:spacing w:before="120" w:after="120" w:line="300" w:lineRule="exact"/>
        <w:ind w:left="420" w:leftChars="200"/>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sz w:val="21"/>
          <w:highlight w:val="none"/>
        </w:rPr>
        <w:t>4．中标通知书。</w:t>
      </w:r>
    </w:p>
    <w:p>
      <w:pPr>
        <w:snapToGrid w:val="0"/>
        <w:spacing w:line="400" w:lineRule="exact"/>
        <w:ind w:firstLine="422"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
          <w:szCs w:val="21"/>
          <w:highlight w:val="none"/>
        </w:rPr>
        <w:t>第十八条　</w:t>
      </w:r>
      <w:r>
        <w:rPr>
          <w:rFonts w:hint="eastAsia" w:asciiTheme="minorEastAsia" w:hAnsiTheme="minorEastAsia" w:eastAsiaTheme="minorEastAsia" w:cstheme="minorEastAsia"/>
          <w:bCs/>
          <w:szCs w:val="21"/>
          <w:highlight w:val="none"/>
        </w:rPr>
        <w:t>本合同一式七份，具有同等法律效力，财政部门（政府采购监管部门）、市公共资源交易中心、采购代理机构各一份，甲乙双方各两份（可根据需要另增加），本合同甲乙双方签字盖章后生效。</w:t>
      </w:r>
    </w:p>
    <w:p>
      <w:pPr>
        <w:snapToGrid w:val="0"/>
        <w:spacing w:line="400" w:lineRule="exact"/>
        <w:ind w:left="-61" w:firstLine="514"/>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本合同甲乙双方签字盖章后生效，自签订之日起七个工作日内，采购人或采购代理机构应当将合同副本报同级财政部门备案。</w:t>
      </w:r>
    </w:p>
    <w:p>
      <w:pPr>
        <w:snapToGrid w:val="0"/>
        <w:spacing w:line="300" w:lineRule="exact"/>
        <w:rPr>
          <w:rFonts w:hint="eastAsia" w:asciiTheme="minorEastAsia" w:hAnsiTheme="minorEastAsia" w:eastAsiaTheme="minorEastAsia" w:cstheme="minorEastAsia"/>
          <w:szCs w:val="21"/>
          <w:highlight w:val="none"/>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trPr>
        <w:tc>
          <w:tcPr>
            <w:tcW w:w="4829"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甲方（章）           </w:t>
            </w:r>
          </w:p>
          <w:p>
            <w:pPr>
              <w:snapToGrid w:val="0"/>
              <w:rPr>
                <w:rFonts w:hint="eastAsia" w:asciiTheme="minorEastAsia" w:hAnsiTheme="minorEastAsia" w:eastAsiaTheme="minorEastAsia" w:cstheme="minorEastAsia"/>
                <w:szCs w:val="21"/>
                <w:highlight w:val="none"/>
              </w:rPr>
            </w:pPr>
          </w:p>
          <w:p>
            <w:pPr>
              <w:snapToGrid w:val="0"/>
              <w:ind w:firstLine="945" w:firstLineChars="450"/>
              <w:jc w:val="righ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年   月   日</w:t>
            </w:r>
          </w:p>
        </w:tc>
        <w:tc>
          <w:tcPr>
            <w:tcW w:w="4830"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乙方（章）              </w:t>
            </w:r>
          </w:p>
          <w:p>
            <w:pPr>
              <w:snapToGrid w:val="0"/>
              <w:rPr>
                <w:rFonts w:hint="eastAsia" w:asciiTheme="minorEastAsia" w:hAnsiTheme="minorEastAsia" w:eastAsiaTheme="minorEastAsia" w:cstheme="minorEastAsia"/>
                <w:szCs w:val="21"/>
                <w:highlight w:val="none"/>
              </w:rPr>
            </w:pPr>
          </w:p>
          <w:p>
            <w:pPr>
              <w:snapToGrid w:val="0"/>
              <w:jc w:val="righ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829"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单位地址：</w:t>
            </w:r>
          </w:p>
        </w:tc>
        <w:tc>
          <w:tcPr>
            <w:tcW w:w="4830"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4829"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法定代表人：</w:t>
            </w:r>
          </w:p>
        </w:tc>
        <w:tc>
          <w:tcPr>
            <w:tcW w:w="4830"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4829"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委托代理人：</w:t>
            </w:r>
          </w:p>
        </w:tc>
        <w:tc>
          <w:tcPr>
            <w:tcW w:w="4830"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829"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  话：</w:t>
            </w:r>
          </w:p>
        </w:tc>
        <w:tc>
          <w:tcPr>
            <w:tcW w:w="4830"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4829"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电子邮箱：</w:t>
            </w:r>
          </w:p>
        </w:tc>
        <w:tc>
          <w:tcPr>
            <w:tcW w:w="4830"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4829"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开户银行：</w:t>
            </w:r>
          </w:p>
        </w:tc>
        <w:tc>
          <w:tcPr>
            <w:tcW w:w="4830"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4829"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账  号：</w:t>
            </w:r>
          </w:p>
        </w:tc>
        <w:tc>
          <w:tcPr>
            <w:tcW w:w="4830"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829"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邮政编码：</w:t>
            </w:r>
          </w:p>
        </w:tc>
        <w:tc>
          <w:tcPr>
            <w:tcW w:w="4830" w:type="dxa"/>
            <w:vAlign w:val="center"/>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9659" w:type="dxa"/>
            <w:gridSpan w:val="2"/>
          </w:tcPr>
          <w:p>
            <w:pPr>
              <w:snapToGrid w:val="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经办人：</w:t>
            </w:r>
          </w:p>
          <w:p>
            <w:pPr>
              <w:snapToGrid w:val="0"/>
              <w:rPr>
                <w:rFonts w:hint="eastAsia" w:asciiTheme="minorEastAsia" w:hAnsiTheme="minorEastAsia" w:eastAsiaTheme="minorEastAsia" w:cstheme="minorEastAsia"/>
                <w:szCs w:val="21"/>
                <w:highlight w:val="none"/>
              </w:rPr>
            </w:pPr>
          </w:p>
          <w:p>
            <w:pPr>
              <w:snapToGrid w:val="0"/>
              <w:ind w:firstLine="630" w:firstLineChars="300"/>
              <w:jc w:val="righ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年    月    日</w:t>
            </w:r>
          </w:p>
        </w:tc>
      </w:tr>
    </w:tbl>
    <w:p>
      <w:pPr>
        <w:snapToGrid w:val="0"/>
        <w:ind w:left="420" w:hanging="420" w:hangingChars="200"/>
        <w:rPr>
          <w:rFonts w:hint="eastAsia" w:asciiTheme="minorEastAsia" w:hAnsiTheme="minorEastAsia" w:eastAsiaTheme="minorEastAsia" w:cstheme="minorEastAsia"/>
          <w:szCs w:val="21"/>
          <w:highlight w:val="none"/>
        </w:rPr>
      </w:pPr>
    </w:p>
    <w:p>
      <w:pPr>
        <w:snapToGrid w:val="0"/>
        <w:spacing w:line="360" w:lineRule="auto"/>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br w:type="page"/>
      </w:r>
      <w:r>
        <w:rPr>
          <w:rFonts w:hint="eastAsia" w:asciiTheme="minorEastAsia" w:hAnsiTheme="minorEastAsia" w:eastAsiaTheme="minorEastAsia" w:cstheme="minorEastAsia"/>
          <w:b/>
          <w:szCs w:val="21"/>
          <w:highlight w:val="none"/>
        </w:rPr>
        <w:t>合 同 附 件</w:t>
      </w:r>
    </w:p>
    <w:p>
      <w:pPr>
        <w:snapToGrid w:val="0"/>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一般货物类</w:t>
      </w:r>
    </w:p>
    <w:tbl>
      <w:tblPr>
        <w:tblStyle w:val="34"/>
        <w:tblW w:w="0" w:type="auto"/>
        <w:jc w:val="center"/>
        <w:tblLayout w:type="fixed"/>
        <w:tblCellMar>
          <w:top w:w="0" w:type="dxa"/>
          <w:left w:w="108" w:type="dxa"/>
          <w:bottom w:w="0" w:type="dxa"/>
          <w:right w:w="108" w:type="dxa"/>
        </w:tblCellMar>
      </w:tblPr>
      <w:tblGrid>
        <w:gridCol w:w="4462"/>
        <w:gridCol w:w="4490"/>
      </w:tblGrid>
      <w:tr>
        <w:tblPrEx>
          <w:tblCellMar>
            <w:top w:w="0" w:type="dxa"/>
            <w:left w:w="108" w:type="dxa"/>
            <w:bottom w:w="0" w:type="dxa"/>
            <w:right w:w="108" w:type="dxa"/>
          </w:tblCellMar>
        </w:tblPrEx>
        <w:trPr>
          <w:trHeight w:val="1256" w:hRule="atLeast"/>
          <w:jc w:val="center"/>
        </w:trPr>
        <w:tc>
          <w:tcPr>
            <w:tcW w:w="8952" w:type="dxa"/>
            <w:gridSpan w:val="2"/>
            <w:tcBorders>
              <w:top w:val="single" w:color="auto" w:sz="4" w:space="0"/>
              <w:left w:val="single" w:color="auto" w:sz="4" w:space="0"/>
              <w:right w:val="single" w:color="auto" w:sz="4" w:space="0"/>
            </w:tcBorders>
          </w:tcPr>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1.供应商承诺具体事项：</w:t>
            </w:r>
          </w:p>
        </w:tc>
      </w:tr>
      <w:tr>
        <w:tblPrEx>
          <w:tblCellMar>
            <w:top w:w="0" w:type="dxa"/>
            <w:left w:w="108" w:type="dxa"/>
            <w:bottom w:w="0" w:type="dxa"/>
            <w:right w:w="108" w:type="dxa"/>
          </w:tblCellMar>
        </w:tblPrEx>
        <w:trPr>
          <w:trHeight w:val="1258" w:hRule="atLeast"/>
          <w:jc w:val="center"/>
        </w:trPr>
        <w:tc>
          <w:tcPr>
            <w:tcW w:w="8952" w:type="dxa"/>
            <w:gridSpan w:val="2"/>
            <w:tcBorders>
              <w:top w:val="single" w:color="auto" w:sz="4" w:space="0"/>
              <w:left w:val="single" w:color="auto" w:sz="4" w:space="0"/>
              <w:right w:val="single" w:color="auto" w:sz="4" w:space="0"/>
            </w:tcBorders>
          </w:tcPr>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2.售后服务具体事项：</w:t>
            </w:r>
          </w:p>
        </w:tc>
      </w:tr>
      <w:tr>
        <w:tblPrEx>
          <w:tblCellMar>
            <w:top w:w="0" w:type="dxa"/>
            <w:left w:w="108" w:type="dxa"/>
            <w:bottom w:w="0" w:type="dxa"/>
            <w:right w:w="108" w:type="dxa"/>
          </w:tblCellMar>
        </w:tblPrEx>
        <w:trPr>
          <w:trHeight w:val="1114" w:hRule="atLeast"/>
          <w:jc w:val="center"/>
        </w:trPr>
        <w:tc>
          <w:tcPr>
            <w:tcW w:w="8952" w:type="dxa"/>
            <w:gridSpan w:val="2"/>
            <w:tcBorders>
              <w:top w:val="single" w:color="auto" w:sz="4" w:space="0"/>
              <w:left w:val="single" w:color="auto" w:sz="4" w:space="0"/>
              <w:right w:val="single" w:color="auto" w:sz="4" w:space="0"/>
            </w:tcBorders>
          </w:tcPr>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3.保修期责任：</w:t>
            </w:r>
          </w:p>
        </w:tc>
      </w:tr>
      <w:tr>
        <w:tblPrEx>
          <w:tblCellMar>
            <w:top w:w="0" w:type="dxa"/>
            <w:left w:w="108" w:type="dxa"/>
            <w:bottom w:w="0" w:type="dxa"/>
            <w:right w:w="108" w:type="dxa"/>
          </w:tblCellMar>
        </w:tblPrEx>
        <w:trPr>
          <w:trHeight w:val="1393" w:hRule="atLeast"/>
          <w:jc w:val="center"/>
        </w:trPr>
        <w:tc>
          <w:tcPr>
            <w:tcW w:w="8952" w:type="dxa"/>
            <w:gridSpan w:val="2"/>
            <w:tcBorders>
              <w:top w:val="single" w:color="auto" w:sz="4" w:space="0"/>
              <w:left w:val="single" w:color="auto" w:sz="4" w:space="0"/>
              <w:right w:val="single" w:color="auto" w:sz="4" w:space="0"/>
            </w:tcBorders>
          </w:tcPr>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4.其他具体事项：</w:t>
            </w:r>
          </w:p>
        </w:tc>
      </w:tr>
      <w:tr>
        <w:tblPrEx>
          <w:tblCellMar>
            <w:top w:w="0" w:type="dxa"/>
            <w:left w:w="108" w:type="dxa"/>
            <w:bottom w:w="0" w:type="dxa"/>
            <w:right w:w="108" w:type="dxa"/>
          </w:tblCellMar>
        </w:tblPrEx>
        <w:trPr>
          <w:trHeight w:val="1744" w:hRule="atLeast"/>
          <w:jc w:val="center"/>
        </w:trPr>
        <w:tc>
          <w:tcPr>
            <w:tcW w:w="4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甲方（章）</w:t>
            </w:r>
          </w:p>
          <w:p>
            <w:pPr>
              <w:snapToGrid w:val="0"/>
              <w:spacing w:line="400" w:lineRule="exact"/>
              <w:ind w:firstLine="422" w:firstLineChars="200"/>
              <w:rPr>
                <w:rFonts w:hint="eastAsia" w:asciiTheme="minorEastAsia" w:hAnsiTheme="minorEastAsia" w:eastAsiaTheme="minorEastAsia" w:cstheme="minorEastAsia"/>
                <w:b/>
                <w:szCs w:val="21"/>
                <w:highlight w:val="none"/>
              </w:rPr>
            </w:pPr>
          </w:p>
          <w:p>
            <w:pPr>
              <w:snapToGrid w:val="0"/>
              <w:spacing w:line="400" w:lineRule="exact"/>
              <w:rPr>
                <w:rFonts w:hint="eastAsia" w:asciiTheme="minorEastAsia" w:hAnsiTheme="minorEastAsia" w:eastAsiaTheme="minorEastAsia" w:cstheme="minorEastAsia"/>
                <w:b/>
                <w:szCs w:val="21"/>
                <w:highlight w:val="none"/>
              </w:rPr>
            </w:pPr>
          </w:p>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 xml:space="preserve">                 年   月   日 </w:t>
            </w:r>
          </w:p>
        </w:tc>
        <w:tc>
          <w:tcPr>
            <w:tcW w:w="44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乙方（章）</w:t>
            </w:r>
          </w:p>
          <w:p>
            <w:pPr>
              <w:snapToGrid w:val="0"/>
              <w:spacing w:line="400" w:lineRule="exact"/>
              <w:ind w:firstLine="422" w:firstLineChars="200"/>
              <w:rPr>
                <w:rFonts w:hint="eastAsia" w:asciiTheme="minorEastAsia" w:hAnsiTheme="minorEastAsia" w:eastAsiaTheme="minorEastAsia" w:cstheme="minorEastAsia"/>
                <w:b/>
                <w:szCs w:val="21"/>
                <w:highlight w:val="none"/>
              </w:rPr>
            </w:pPr>
          </w:p>
          <w:p>
            <w:pPr>
              <w:snapToGrid w:val="0"/>
              <w:spacing w:line="400" w:lineRule="exact"/>
              <w:rPr>
                <w:rFonts w:hint="eastAsia" w:asciiTheme="minorEastAsia" w:hAnsiTheme="minorEastAsia" w:eastAsiaTheme="minorEastAsia" w:cstheme="minorEastAsia"/>
                <w:b/>
                <w:szCs w:val="21"/>
                <w:highlight w:val="none"/>
              </w:rPr>
            </w:pPr>
          </w:p>
          <w:p>
            <w:pPr>
              <w:snapToGrid w:val="0"/>
              <w:spacing w:line="400" w:lineRule="exact"/>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 xml:space="preserve">                年   月   日</w:t>
            </w:r>
          </w:p>
        </w:tc>
      </w:tr>
    </w:tbl>
    <w:p>
      <w:pPr>
        <w:snapToGrid w:val="0"/>
        <w:ind w:firstLine="413" w:firstLineChars="196"/>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注：售后服务事项填写不完的可另加附页。</w:t>
      </w:r>
    </w:p>
    <w:p>
      <w:pPr>
        <w:pStyle w:val="6"/>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sz w:val="21"/>
          <w:szCs w:val="21"/>
          <w:highlight w:val="none"/>
        </w:rPr>
        <w:br w:type="page"/>
      </w:r>
      <w:r>
        <w:rPr>
          <w:rFonts w:hint="eastAsia" w:asciiTheme="minorEastAsia" w:hAnsiTheme="minorEastAsia" w:eastAsiaTheme="minorEastAsia" w:cstheme="minorEastAsia"/>
          <w:highlight w:val="none"/>
        </w:rPr>
        <w:t>第六章　投标文件格式</w:t>
      </w:r>
    </w:p>
    <w:p>
      <w:pPr>
        <w:jc w:val="center"/>
        <w:rPr>
          <w:rFonts w:hint="eastAsia" w:asciiTheme="minorEastAsia" w:hAnsiTheme="minorEastAsia" w:eastAsiaTheme="minorEastAsia" w:cstheme="minorEastAsia"/>
          <w:szCs w:val="21"/>
          <w:highlight w:val="none"/>
        </w:rPr>
      </w:pPr>
    </w:p>
    <w:p>
      <w:pPr>
        <w:pStyle w:val="22"/>
        <w:spacing w:line="380" w:lineRule="exact"/>
        <w:ind w:firstLine="420"/>
        <w:jc w:val="center"/>
        <w:rPr>
          <w:rFonts w:hint="eastAsia" w:asciiTheme="minorEastAsia" w:hAnsiTheme="minorEastAsia" w:eastAsiaTheme="minorEastAsia" w:cstheme="minorEastAsia"/>
          <w:b/>
          <w:highlight w:val="none"/>
        </w:rPr>
      </w:pPr>
    </w:p>
    <w:p>
      <w:pPr>
        <w:snapToGrid w:val="0"/>
        <w:spacing w:beforeLines="50" w:after="50" w:line="440" w:lineRule="exact"/>
        <w:jc w:val="center"/>
        <w:outlineLvl w:val="1"/>
        <w:rPr>
          <w:rFonts w:hint="eastAsia" w:asciiTheme="minorEastAsia" w:hAnsiTheme="minorEastAsia" w:eastAsiaTheme="minorEastAsia" w:cstheme="minorEastAsia"/>
          <w:b/>
          <w:bCs/>
          <w:szCs w:val="21"/>
          <w:highlight w:val="none"/>
        </w:rPr>
      </w:pPr>
      <w:bookmarkStart w:id="107" w:name="_Toc254970556"/>
      <w:bookmarkStart w:id="108" w:name="_Toc430110180"/>
      <w:bookmarkStart w:id="109" w:name="_Toc254970697"/>
      <w:r>
        <w:rPr>
          <w:rFonts w:hint="eastAsia" w:asciiTheme="minorEastAsia" w:hAnsiTheme="minorEastAsia" w:eastAsiaTheme="minorEastAsia" w:cstheme="minorEastAsia"/>
          <w:b/>
          <w:bCs/>
          <w:szCs w:val="21"/>
          <w:highlight w:val="none"/>
        </w:rPr>
        <w:t>一、投标文件外层包装封面格式</w:t>
      </w:r>
      <w:bookmarkEnd w:id="107"/>
      <w:bookmarkEnd w:id="108"/>
      <w:bookmarkEnd w:id="109"/>
    </w:p>
    <w:p>
      <w:pPr>
        <w:snapToGrid w:val="0"/>
        <w:spacing w:beforeLines="50" w:after="50" w:line="440" w:lineRule="exac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1.所有投标文件的外包装封面格式：</w:t>
      </w:r>
    </w:p>
    <w:p>
      <w:pPr>
        <w:snapToGrid w:val="0"/>
        <w:spacing w:beforeLines="50" w:after="50" w:line="440" w:lineRule="exact"/>
        <w:rPr>
          <w:rFonts w:hint="eastAsia" w:asciiTheme="minorEastAsia" w:hAnsiTheme="minorEastAsia" w:eastAsiaTheme="minorEastAsia" w:cstheme="minorEastAsia"/>
          <w:szCs w:val="21"/>
          <w:highlight w:val="none"/>
        </w:rPr>
      </w:pPr>
    </w:p>
    <w:p>
      <w:pPr>
        <w:snapToGrid w:val="0"/>
        <w:spacing w:beforeLines="50" w:after="50" w:line="440" w:lineRule="exact"/>
        <w:rPr>
          <w:rFonts w:hint="eastAsia" w:asciiTheme="minorEastAsia" w:hAnsiTheme="minorEastAsia" w:eastAsiaTheme="minorEastAsia" w:cstheme="minorEastAsia"/>
          <w:szCs w:val="21"/>
          <w:highlight w:val="none"/>
        </w:rPr>
      </w:pPr>
    </w:p>
    <w:p>
      <w:pPr>
        <w:snapToGrid w:val="0"/>
        <w:spacing w:beforeLines="50" w:after="50" w:line="440" w:lineRule="exact"/>
        <w:jc w:val="center"/>
        <w:rPr>
          <w:rFonts w:hint="eastAsia" w:asciiTheme="minorEastAsia" w:hAnsiTheme="minorEastAsia" w:eastAsiaTheme="minorEastAsia" w:cstheme="minorEastAsia"/>
          <w:bCs/>
          <w:szCs w:val="21"/>
          <w:highlight w:val="none"/>
        </w:rPr>
      </w:pPr>
    </w:p>
    <w:p>
      <w:pPr>
        <w:snapToGrid w:val="0"/>
        <w:spacing w:beforeLines="50" w:after="50" w:line="440" w:lineRule="exact"/>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投 标 文 件</w:t>
      </w:r>
    </w:p>
    <w:p>
      <w:pPr>
        <w:snapToGrid w:val="0"/>
        <w:spacing w:beforeLines="50" w:after="50" w:line="440" w:lineRule="exact"/>
        <w:rPr>
          <w:rFonts w:hint="eastAsia" w:asciiTheme="minorEastAsia" w:hAnsiTheme="minorEastAsia" w:eastAsiaTheme="minorEastAsia" w:cstheme="minorEastAsia"/>
          <w:bCs/>
          <w:szCs w:val="21"/>
          <w:highlight w:val="none"/>
        </w:rPr>
      </w:pP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项目名称： </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项目编号： </w:t>
      </w:r>
    </w:p>
    <w:p>
      <w:pPr>
        <w:pStyle w:val="8"/>
        <w:snapToGrid w:val="0"/>
        <w:spacing w:before="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投标文件名称：资格审查文件、商务/报价文件、技术文件、开标一览表</w:t>
      </w:r>
    </w:p>
    <w:p>
      <w:pPr>
        <w:pStyle w:val="8"/>
        <w:snapToGrid w:val="0"/>
        <w:spacing w:before="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投标人名称：</w:t>
      </w:r>
    </w:p>
    <w:p>
      <w:pPr>
        <w:pStyle w:val="8"/>
        <w:snapToGrid w:val="0"/>
        <w:spacing w:before="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投标人地址：</w:t>
      </w:r>
    </w:p>
    <w:p>
      <w:pPr>
        <w:pStyle w:val="8"/>
        <w:snapToGrid w:val="0"/>
        <w:spacing w:before="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在       年  月  日  时  分之前不得启封</w:t>
      </w:r>
    </w:p>
    <w:p>
      <w:pPr>
        <w:pStyle w:val="8"/>
        <w:snapToGrid w:val="0"/>
        <w:spacing w:before="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开标时启封</w:t>
      </w:r>
    </w:p>
    <w:p>
      <w:pPr>
        <w:snapToGrid w:val="0"/>
        <w:spacing w:beforeLines="50" w:after="50" w:line="440" w:lineRule="exact"/>
        <w:ind w:firstLine="3570" w:firstLineChars="1700"/>
        <w:rPr>
          <w:rFonts w:hint="eastAsia" w:asciiTheme="minorEastAsia" w:hAnsiTheme="minorEastAsia" w:eastAsiaTheme="minorEastAsia" w:cstheme="minorEastAsia"/>
          <w:bCs/>
          <w:szCs w:val="21"/>
          <w:highlight w:val="none"/>
        </w:rPr>
      </w:pPr>
    </w:p>
    <w:p>
      <w:pPr>
        <w:snapToGrid w:val="0"/>
        <w:spacing w:beforeLines="50" w:after="50" w:line="440" w:lineRule="exact"/>
        <w:ind w:firstLine="645"/>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                        年   月   日</w:t>
      </w: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snapToGrid w:val="0"/>
        <w:spacing w:beforeLines="50" w:after="50" w:line="440" w:lineRule="exact"/>
        <w:jc w:val="center"/>
        <w:outlineLvl w:val="1"/>
        <w:rPr>
          <w:rFonts w:hint="eastAsia" w:asciiTheme="minorEastAsia" w:hAnsiTheme="minorEastAsia" w:eastAsiaTheme="minorEastAsia" w:cstheme="minorEastAsia"/>
          <w:b/>
          <w:bCs/>
          <w:szCs w:val="21"/>
          <w:highlight w:val="none"/>
        </w:rPr>
      </w:pPr>
      <w:bookmarkStart w:id="110" w:name="_Toc430110181"/>
      <w:bookmarkStart w:id="111" w:name="_Toc254970698"/>
      <w:bookmarkStart w:id="112" w:name="_Toc254970557"/>
      <w:r>
        <w:rPr>
          <w:rFonts w:hint="eastAsia" w:asciiTheme="minorEastAsia" w:hAnsiTheme="minorEastAsia" w:eastAsiaTheme="minorEastAsia" w:cstheme="minorEastAsia"/>
          <w:b/>
          <w:bCs/>
          <w:szCs w:val="21"/>
          <w:highlight w:val="none"/>
        </w:rPr>
        <w:t>二、资格审查文件格式</w:t>
      </w:r>
      <w:bookmarkEnd w:id="110"/>
      <w:bookmarkEnd w:id="111"/>
      <w:bookmarkEnd w:id="112"/>
    </w:p>
    <w:p>
      <w:pPr>
        <w:snapToGrid w:val="0"/>
        <w:spacing w:beforeLines="50" w:after="50" w:line="440" w:lineRule="exact"/>
        <w:jc w:val="center"/>
        <w:rPr>
          <w:rFonts w:hint="eastAsia" w:asciiTheme="minorEastAsia" w:hAnsiTheme="minorEastAsia" w:eastAsiaTheme="minorEastAsia" w:cstheme="minorEastAsia"/>
          <w:szCs w:val="21"/>
          <w:highlight w:val="none"/>
        </w:rPr>
      </w:pPr>
    </w:p>
    <w:p>
      <w:pPr>
        <w:snapToGrid w:val="0"/>
        <w:spacing w:beforeLines="50" w:after="50" w:line="440" w:lineRule="exact"/>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szCs w:val="21"/>
          <w:highlight w:val="none"/>
        </w:rPr>
        <w:t>2.资格审查</w:t>
      </w:r>
      <w:r>
        <w:rPr>
          <w:rFonts w:hint="eastAsia" w:asciiTheme="minorEastAsia" w:hAnsiTheme="minorEastAsia" w:eastAsiaTheme="minorEastAsia" w:cstheme="minorEastAsia"/>
          <w:b/>
          <w:bCs/>
          <w:szCs w:val="21"/>
          <w:highlight w:val="none"/>
        </w:rPr>
        <w:t>文件的外包装封面格式：</w:t>
      </w:r>
    </w:p>
    <w:p>
      <w:pPr>
        <w:snapToGrid w:val="0"/>
        <w:spacing w:beforeLines="50" w:after="50" w:line="440" w:lineRule="exact"/>
        <w:rPr>
          <w:rFonts w:hint="eastAsia" w:asciiTheme="minorEastAsia" w:hAnsiTheme="minorEastAsia" w:eastAsiaTheme="minorEastAsia" w:cstheme="minorEastAsia"/>
          <w:bCs/>
          <w:szCs w:val="21"/>
          <w:highlight w:val="none"/>
        </w:rPr>
      </w:pPr>
    </w:p>
    <w:p>
      <w:pPr>
        <w:snapToGrid w:val="0"/>
        <w:spacing w:beforeLines="50" w:after="50" w:line="440" w:lineRule="exact"/>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资格审查文件</w:t>
      </w:r>
    </w:p>
    <w:p>
      <w:pPr>
        <w:snapToGrid w:val="0"/>
        <w:spacing w:beforeLines="50" w:after="50" w:line="440" w:lineRule="exact"/>
        <w:rPr>
          <w:rFonts w:hint="eastAsia" w:asciiTheme="minorEastAsia" w:hAnsiTheme="minorEastAsia" w:eastAsiaTheme="minorEastAsia" w:cstheme="minorEastAsia"/>
          <w:bCs/>
          <w:szCs w:val="21"/>
          <w:highlight w:val="none"/>
        </w:rPr>
      </w:pP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项目名称： </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项目编号： </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投标人名称：</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投标人地址：</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在      年  月  日  时  分之前不得启封</w:t>
      </w:r>
    </w:p>
    <w:p>
      <w:pPr>
        <w:pStyle w:val="8"/>
        <w:snapToGrid w:val="0"/>
        <w:spacing w:before="50" w:after="50" w:line="440" w:lineRule="exact"/>
        <w:ind w:firstLine="873" w:firstLineChars="416"/>
        <w:rPr>
          <w:rFonts w:hint="eastAsia" w:asciiTheme="minorEastAsia" w:hAnsiTheme="minorEastAsia" w:eastAsiaTheme="minorEastAsia" w:cstheme="minorEastAsia"/>
          <w:szCs w:val="21"/>
          <w:highlight w:val="none"/>
        </w:rPr>
      </w:pPr>
    </w:p>
    <w:p>
      <w:pPr>
        <w:snapToGrid w:val="0"/>
        <w:spacing w:beforeLines="50" w:after="50" w:line="440" w:lineRule="exact"/>
        <w:ind w:firstLine="645"/>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年   月   日</w:t>
      </w: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 xml:space="preserve">3.资格审查文件封面格式： </w:t>
      </w:r>
    </w:p>
    <w:p>
      <w:pPr>
        <w:snapToGrid w:val="0"/>
        <w:spacing w:beforeLines="50" w:after="50" w:line="440" w:lineRule="exact"/>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正本/或副本</w:t>
      </w:r>
    </w:p>
    <w:p>
      <w:pPr>
        <w:snapToGrid w:val="0"/>
        <w:spacing w:beforeLines="50" w:after="50" w:line="440" w:lineRule="exact"/>
        <w:rPr>
          <w:rFonts w:hint="eastAsia" w:asciiTheme="minorEastAsia" w:hAnsiTheme="minorEastAsia" w:eastAsiaTheme="minorEastAsia" w:cstheme="minorEastAsia"/>
          <w:szCs w:val="21"/>
          <w:highlight w:val="none"/>
        </w:rPr>
      </w:pPr>
    </w:p>
    <w:p>
      <w:pPr>
        <w:snapToGrid w:val="0"/>
        <w:spacing w:beforeLines="50" w:after="50" w:line="440" w:lineRule="exact"/>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资格审查文件</w:t>
      </w:r>
    </w:p>
    <w:p>
      <w:pPr>
        <w:snapToGrid w:val="0"/>
        <w:spacing w:beforeLines="50" w:after="50" w:line="440" w:lineRule="exact"/>
        <w:rPr>
          <w:rFonts w:hint="eastAsia" w:asciiTheme="minorEastAsia" w:hAnsiTheme="minorEastAsia" w:eastAsiaTheme="minorEastAsia" w:cstheme="minorEastAsia"/>
          <w:bCs/>
          <w:szCs w:val="21"/>
          <w:highlight w:val="none"/>
        </w:rPr>
      </w:pP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项目名称： </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项目编号： </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投标人名称：</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投标人地址：</w:t>
      </w:r>
    </w:p>
    <w:p>
      <w:pPr>
        <w:pStyle w:val="8"/>
        <w:snapToGrid w:val="0"/>
        <w:spacing w:before="50" w:after="50" w:line="440" w:lineRule="exact"/>
        <w:ind w:firstLine="840" w:firstLineChars="400"/>
        <w:rPr>
          <w:rFonts w:hint="eastAsia" w:asciiTheme="minorEastAsia" w:hAnsiTheme="minorEastAsia" w:eastAsiaTheme="minorEastAsia" w:cstheme="minorEastAsia"/>
          <w:bCs/>
          <w:szCs w:val="21"/>
          <w:highlight w:val="none"/>
        </w:rPr>
      </w:pPr>
    </w:p>
    <w:p>
      <w:pPr>
        <w:pStyle w:val="8"/>
        <w:snapToGrid w:val="0"/>
        <w:spacing w:before="50" w:after="50" w:line="440" w:lineRule="exact"/>
        <w:ind w:firstLine="840" w:firstLineChars="400"/>
        <w:rPr>
          <w:rFonts w:hint="eastAsia" w:asciiTheme="minorEastAsia" w:hAnsiTheme="minorEastAsia" w:eastAsiaTheme="minorEastAsia" w:cstheme="minorEastAsia"/>
          <w:bCs/>
          <w:szCs w:val="21"/>
          <w:highlight w:val="none"/>
        </w:rPr>
      </w:pPr>
    </w:p>
    <w:p>
      <w:pPr>
        <w:pStyle w:val="8"/>
        <w:snapToGrid w:val="0"/>
        <w:spacing w:before="50" w:after="50" w:line="440" w:lineRule="exact"/>
        <w:ind w:firstLine="840" w:firstLineChars="400"/>
        <w:rPr>
          <w:rFonts w:hint="eastAsia" w:asciiTheme="minorEastAsia" w:hAnsiTheme="minorEastAsia" w:eastAsiaTheme="minorEastAsia" w:cstheme="minorEastAsia"/>
          <w:bCs/>
          <w:szCs w:val="21"/>
          <w:highlight w:val="none"/>
        </w:rPr>
      </w:pPr>
    </w:p>
    <w:p>
      <w:pPr>
        <w:snapToGrid w:val="0"/>
        <w:spacing w:beforeLines="50" w:after="50" w:line="440" w:lineRule="exact"/>
        <w:ind w:firstLine="645"/>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年  月  日</w:t>
      </w: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line="400" w:lineRule="exact"/>
        <w:ind w:firstLine="420" w:firstLineChars="20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目录</w:t>
      </w:r>
    </w:p>
    <w:p>
      <w:pPr>
        <w:snapToGrid w:val="0"/>
        <w:spacing w:line="400" w:lineRule="exact"/>
        <w:ind w:firstLine="420" w:firstLineChars="200"/>
        <w:jc w:val="righ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（自行编写页码）</w:t>
      </w:r>
    </w:p>
    <w:p>
      <w:pPr>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▲（1）投标声明书 (格式见附件)（必须提供）；</w:t>
      </w:r>
    </w:p>
    <w:p>
      <w:pPr>
        <w:snapToGrid w:val="0"/>
        <w:spacing w:line="34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▲（2）法定代表人（负责人）完整有效的身份证正反面复印件（必须提供）；</w:t>
      </w:r>
    </w:p>
    <w:p>
      <w:pPr>
        <w:snapToGrid w:val="0"/>
        <w:spacing w:line="34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▲（3）投标人法定代表人（负责人）授权委托书原件和委托代理人完整有效的身份证正反面复印件（委托代理时必须提供)；</w:t>
      </w:r>
    </w:p>
    <w:p>
      <w:pPr>
        <w:snapToGrid w:val="0"/>
        <w:spacing w:line="400" w:lineRule="exact"/>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▲（4）企业营业执照副本复印件（要求清晰反映经营范围）；（必须提供）</w:t>
      </w:r>
    </w:p>
    <w:p>
      <w:pPr>
        <w:pStyle w:val="18"/>
        <w:ind w:firstLine="420" w:firstLineChars="200"/>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▲（5）现场勘察证明原件；（必须提供）</w:t>
      </w:r>
    </w:p>
    <w:p>
      <w:pPr>
        <w:snapToGrid w:val="0"/>
        <w:spacing w:line="400" w:lineRule="exact"/>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▲（6）投标文件递交截止之日前半年内投标人连续三个月依法缴纳税收的凭证复印件。无纳税记录的，应提供投标人所在地税务部门出具的《依法纳税或依法免税证明》复印件（格式自拟）；</w:t>
      </w:r>
    </w:p>
    <w:p>
      <w:pPr>
        <w:snapToGrid w:val="0"/>
        <w:spacing w:line="400" w:lineRule="exact"/>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▲（7）投标文件递交截止之日前半年内投标人连续三个月依法缴纳社会保障资金的凭证复印件。无缴费记录的，应提供投标人所在地社保部门出具的《依法缴纳或依法免缴社保费证明》复印件（格式自拟）；</w:t>
      </w:r>
    </w:p>
    <w:p>
      <w:pPr>
        <w:snapToGrid w:val="0"/>
        <w:spacing w:line="400" w:lineRule="exact"/>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2018年度、2019年度财务状况报告（可以是财务报表或银行资信证明）复印件或有效的第三方具备审计资质的机构出具的审计报告复印件（格式自拟）；（新成立不足2年的提供从成立起至今财务状况报告或审计报告）（必须提供）；</w:t>
      </w:r>
    </w:p>
    <w:p>
      <w:pPr>
        <w:snapToGrid w:val="0"/>
        <w:spacing w:line="400" w:lineRule="exact"/>
        <w:ind w:firstLine="411" w:firstLineChars="196"/>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▲（9）投标人具备履行合同所必需的设备或专业技术能力的书面声明原件（格式自拟）（必须提供）</w:t>
      </w:r>
    </w:p>
    <w:p>
      <w:pPr>
        <w:snapToGrid w:val="0"/>
        <w:spacing w:line="400" w:lineRule="exact"/>
        <w:ind w:firstLine="411" w:firstLineChars="196"/>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Cs w:val="21"/>
          <w:highlight w:val="none"/>
        </w:rPr>
        <w:t xml:space="preserve">  （10）招标文件要求必须提供的其他材料。</w:t>
      </w:r>
    </w:p>
    <w:p>
      <w:pPr>
        <w:snapToGrid w:val="0"/>
        <w:spacing w:before="50" w:afterLines="50" w:line="440" w:lineRule="exact"/>
        <w:jc w:val="left"/>
        <w:rPr>
          <w:rFonts w:hint="eastAsia" w:asciiTheme="minorEastAsia" w:hAnsiTheme="minorEastAsia" w:eastAsiaTheme="minorEastAsia" w:cstheme="minorEastAsia"/>
          <w:b/>
          <w:szCs w:val="21"/>
          <w:highlight w:val="none"/>
        </w:rPr>
      </w:pPr>
    </w:p>
    <w:p>
      <w:pPr>
        <w:snapToGrid w:val="0"/>
        <w:spacing w:before="50" w:afterLines="50" w:line="400" w:lineRule="exact"/>
        <w:jc w:val="left"/>
        <w:rPr>
          <w:rFonts w:hint="eastAsia" w:asciiTheme="minorEastAsia" w:hAnsiTheme="minorEastAsia" w:eastAsiaTheme="minorEastAsia" w:cstheme="minorEastAsia"/>
          <w:b/>
          <w:szCs w:val="21"/>
          <w:highlight w:val="none"/>
        </w:rPr>
      </w:pPr>
    </w:p>
    <w:p>
      <w:pPr>
        <w:snapToGrid w:val="0"/>
        <w:spacing w:before="50" w:afterLines="50" w:line="400" w:lineRule="exact"/>
        <w:jc w:val="left"/>
        <w:rPr>
          <w:rFonts w:hint="eastAsia" w:asciiTheme="minorEastAsia" w:hAnsiTheme="minorEastAsia" w:eastAsiaTheme="minorEastAsia" w:cstheme="minorEastAsia"/>
          <w:b/>
          <w:szCs w:val="21"/>
          <w:highlight w:val="none"/>
        </w:rPr>
      </w:pPr>
    </w:p>
    <w:p>
      <w:pPr>
        <w:snapToGrid w:val="0"/>
        <w:spacing w:before="50" w:afterLines="50" w:line="400" w:lineRule="exact"/>
        <w:jc w:val="left"/>
        <w:rPr>
          <w:rFonts w:hint="eastAsia" w:asciiTheme="minorEastAsia" w:hAnsiTheme="minorEastAsia" w:eastAsiaTheme="minorEastAsia" w:cstheme="minorEastAsia"/>
          <w:b/>
          <w:szCs w:val="21"/>
          <w:highlight w:val="none"/>
        </w:rPr>
      </w:pPr>
    </w:p>
    <w:p>
      <w:pPr>
        <w:snapToGrid w:val="0"/>
        <w:spacing w:before="50" w:afterLines="50" w:line="400" w:lineRule="exact"/>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br w:type="page"/>
      </w:r>
      <w:r>
        <w:rPr>
          <w:rFonts w:hint="eastAsia" w:asciiTheme="minorEastAsia" w:hAnsiTheme="minorEastAsia" w:eastAsiaTheme="minorEastAsia" w:cstheme="minorEastAsia"/>
          <w:b/>
          <w:szCs w:val="21"/>
          <w:highlight w:val="none"/>
        </w:rPr>
        <w:t>（1）投标声明书格式：</w:t>
      </w:r>
    </w:p>
    <w:p>
      <w:pPr>
        <w:snapToGrid w:val="0"/>
        <w:spacing w:beforeLines="50" w:after="50" w:line="360" w:lineRule="exact"/>
        <w:jc w:val="center"/>
        <w:rPr>
          <w:rFonts w:hint="eastAsia" w:asciiTheme="minorEastAsia" w:hAnsiTheme="minorEastAsia" w:eastAsiaTheme="minorEastAsia" w:cstheme="minorEastAsia"/>
          <w:szCs w:val="21"/>
          <w:highlight w:val="none"/>
        </w:rPr>
      </w:pPr>
    </w:p>
    <w:p>
      <w:pPr>
        <w:snapToGrid w:val="0"/>
        <w:spacing w:beforeLines="50" w:after="50" w:line="3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致：（招标采购单位名称）：</w:t>
      </w:r>
    </w:p>
    <w:p>
      <w:pPr>
        <w:snapToGrid w:val="0"/>
        <w:spacing w:beforeLines="50" w:after="50" w:line="3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u w:val="single"/>
        </w:rPr>
        <w:t>（投标人名称）</w:t>
      </w:r>
      <w:r>
        <w:rPr>
          <w:rFonts w:hint="eastAsia" w:asciiTheme="minorEastAsia" w:hAnsiTheme="minorEastAsia" w:eastAsiaTheme="minorEastAsia" w:cstheme="minorEastAsia"/>
          <w:szCs w:val="21"/>
          <w:highlight w:val="none"/>
        </w:rPr>
        <w:t>系中华人民共和国合法企业，经营地址</w:t>
      </w:r>
      <w:r>
        <w:rPr>
          <w:rFonts w:hint="eastAsia" w:asciiTheme="minorEastAsia" w:hAnsiTheme="minorEastAsia" w:eastAsia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rPr>
        <w:t>。</w:t>
      </w:r>
    </w:p>
    <w:p>
      <w:pPr>
        <w:snapToGrid w:val="0"/>
        <w:spacing w:beforeLines="50" w:after="50" w:line="360" w:lineRule="exact"/>
        <w:ind w:firstLine="645"/>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我</w:t>
      </w:r>
      <w:r>
        <w:rPr>
          <w:rFonts w:hint="eastAsia" w:asciiTheme="minorEastAsia" w:hAnsiTheme="minorEastAsia" w:eastAsia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u w:val="single"/>
        </w:rPr>
        <w:t>（姓名）</w:t>
      </w:r>
      <w:r>
        <w:rPr>
          <w:rFonts w:hint="eastAsia" w:asciiTheme="minorEastAsia" w:hAnsiTheme="minorEastAsia" w:eastAsia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rPr>
        <w:t>系</w:t>
      </w:r>
      <w:r>
        <w:rPr>
          <w:rFonts w:hint="eastAsia" w:asciiTheme="minorEastAsia" w:hAnsiTheme="minorEastAsia" w:eastAsiaTheme="minorEastAsia" w:cstheme="minorEastAsia"/>
          <w:szCs w:val="21"/>
          <w:highlight w:val="none"/>
          <w:u w:val="single"/>
          <w:lang w:val="en-US" w:eastAsia="zh-CN"/>
        </w:rPr>
        <w:t xml:space="preserve">         （投标人名称）</w:t>
      </w:r>
      <w:r>
        <w:rPr>
          <w:rFonts w:hint="eastAsia" w:asciiTheme="minorEastAsia" w:hAnsiTheme="minorEastAsia" w:eastAsiaTheme="minorEastAsia" w:cstheme="minorEastAsia"/>
          <w:szCs w:val="21"/>
          <w:highlight w:val="none"/>
        </w:rPr>
        <w:t>的法定代表人（负责人），我方愿意参加贵方组织的</w:t>
      </w:r>
      <w:r>
        <w:rPr>
          <w:rFonts w:hint="eastAsia" w:asciiTheme="minorEastAsia" w:hAnsiTheme="minorEastAsia" w:eastAsia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rPr>
        <w:t>项目的投标，为便于贵方公正、择优地确定中标人及其投标产品和服务，我方就本次投标有关事项郑重声明如下：</w:t>
      </w:r>
    </w:p>
    <w:p>
      <w:pPr>
        <w:snapToGrid w:val="0"/>
        <w:spacing w:line="3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1.我方向贵方提交的所有投标文件、资料都是准确的和真实的。</w:t>
      </w:r>
    </w:p>
    <w:p>
      <w:pPr>
        <w:snapToGrid w:val="0"/>
        <w:spacing w:beforeLines="50" w:line="3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2.我方不是采购人的附属机构；在获知本项目采购信息后，与采购人聘请的为此项目提供咨询服务的公司及其附属机构没有任何联系。</w:t>
      </w:r>
    </w:p>
    <w:p>
      <w:pPr>
        <w:snapToGrid w:val="0"/>
        <w:spacing w:beforeLines="50" w:line="3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3.我方诚意提请贵方关注：近期有关该服务产品的服务内容方面的重大决策和事项有：</w:t>
      </w:r>
    </w:p>
    <w:p>
      <w:pPr>
        <w:snapToGrid w:val="0"/>
        <w:spacing w:beforeLines="50" w:line="360" w:lineRule="exact"/>
        <w:ind w:firstLine="420" w:firstLineChars="200"/>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u w:val="single"/>
        </w:rPr>
        <w:t>　　　　　　　　　　　　　　　　　　　　　　　　　　　</w:t>
      </w:r>
    </w:p>
    <w:p>
      <w:pPr>
        <w:snapToGrid w:val="0"/>
        <w:spacing w:beforeLines="50" w:line="3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u w:val="single"/>
        </w:rPr>
        <w:t>　　　　　　　　　　　　　　　　　　　　　　　　　　　</w:t>
      </w:r>
    </w:p>
    <w:p>
      <w:pPr>
        <w:pStyle w:val="19"/>
        <w:snapToGrid w:val="0"/>
        <w:spacing w:line="360" w:lineRule="exact"/>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4.我方及由本人担任法定代表人（负责人）的其他机构最近三年内被通报或者被处罚的违法行为有：</w:t>
      </w:r>
    </w:p>
    <w:p>
      <w:pPr>
        <w:snapToGrid w:val="0"/>
        <w:spacing w:beforeLines="50" w:line="360" w:lineRule="exact"/>
        <w:ind w:firstLine="420" w:firstLineChars="200"/>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u w:val="single"/>
        </w:rPr>
        <w:t>　　　　　　　　　　　　　　　　　　　　　　　　　　　</w:t>
      </w:r>
    </w:p>
    <w:p>
      <w:pPr>
        <w:snapToGrid w:val="0"/>
        <w:spacing w:beforeLines="50" w:line="360" w:lineRule="exact"/>
        <w:ind w:firstLine="420" w:firstLineChars="200"/>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u w:val="single"/>
        </w:rPr>
        <w:t>　　　　　　　　　　　　　　　　　　　　　　　　　　　</w:t>
      </w:r>
    </w:p>
    <w:p>
      <w:pPr>
        <w:snapToGrid w:val="0"/>
        <w:spacing w:line="3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5.以上事项如有虚假或隐瞒，我方愿意承担一切后果，并不再寻求任何旨在减轻或免除法律责任的辩解。</w:t>
      </w:r>
    </w:p>
    <w:p>
      <w:pPr>
        <w:pStyle w:val="21"/>
        <w:tabs>
          <w:tab w:val="left" w:pos="939"/>
        </w:tabs>
        <w:snapToGrid w:val="0"/>
        <w:spacing w:line="360" w:lineRule="exact"/>
        <w:ind w:left="716" w:leftChars="150" w:hanging="401" w:hangingChars="191"/>
        <w:rPr>
          <w:rFonts w:hint="eastAsia" w:asciiTheme="minorEastAsia" w:hAnsiTheme="minorEastAsia" w:eastAsiaTheme="minorEastAsia" w:cstheme="minorEastAsia"/>
          <w:sz w:val="21"/>
          <w:szCs w:val="21"/>
          <w:highlight w:val="none"/>
        </w:rPr>
      </w:pPr>
    </w:p>
    <w:p>
      <w:pPr>
        <w:pStyle w:val="94"/>
        <w:snapToGrid w:val="0"/>
        <w:spacing w:beforeLines="50" w:line="360" w:lineRule="exact"/>
        <w:ind w:firstLine="200"/>
        <w:rPr>
          <w:rFonts w:hint="eastAsia" w:asciiTheme="minorEastAsia" w:hAnsiTheme="minorEastAsia" w:eastAsiaTheme="minorEastAsia" w:cstheme="minorEastAsia"/>
          <w:sz w:val="21"/>
          <w:szCs w:val="21"/>
          <w:highlight w:val="none"/>
        </w:rPr>
      </w:pPr>
    </w:p>
    <w:p>
      <w:pPr>
        <w:snapToGrid w:val="0"/>
        <w:spacing w:beforeLines="50" w:line="360" w:lineRule="exact"/>
        <w:ind w:firstLine="3509" w:firstLineChars="1671"/>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法定代表人（负责人）签字：</w:t>
      </w:r>
    </w:p>
    <w:p>
      <w:pPr>
        <w:snapToGrid w:val="0"/>
        <w:spacing w:beforeLines="50" w:after="50" w:line="360" w:lineRule="exact"/>
        <w:ind w:firstLine="3570" w:firstLineChars="17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投标人公章：</w:t>
      </w:r>
    </w:p>
    <w:p>
      <w:pPr>
        <w:snapToGrid w:val="0"/>
        <w:spacing w:beforeLines="50" w:after="50" w:line="360" w:lineRule="exact"/>
        <w:ind w:firstLine="210" w:firstLineChars="1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年    月    日</w:t>
      </w:r>
    </w:p>
    <w:p>
      <w:pPr>
        <w:snapToGrid w:val="0"/>
        <w:spacing w:before="50" w:afterLines="50" w:line="440" w:lineRule="exact"/>
        <w:jc w:val="left"/>
        <w:rPr>
          <w:rFonts w:hint="eastAsia" w:asciiTheme="minorEastAsia" w:hAnsiTheme="minorEastAsia" w:eastAsiaTheme="minorEastAsia" w:cstheme="minorEastAsia"/>
          <w:b/>
          <w:szCs w:val="21"/>
          <w:highlight w:val="none"/>
        </w:rPr>
      </w:pPr>
    </w:p>
    <w:p>
      <w:pPr>
        <w:snapToGrid w:val="0"/>
        <w:spacing w:before="50" w:afterLines="50" w:line="440" w:lineRule="exact"/>
        <w:jc w:val="left"/>
        <w:rPr>
          <w:rFonts w:hint="eastAsia" w:asciiTheme="minorEastAsia" w:hAnsiTheme="minorEastAsia" w:eastAsiaTheme="minorEastAsia" w:cstheme="minorEastAsia"/>
          <w:b/>
          <w:szCs w:val="21"/>
          <w:highlight w:val="none"/>
        </w:rPr>
      </w:pPr>
    </w:p>
    <w:p>
      <w:pPr>
        <w:snapToGrid w:val="0"/>
        <w:spacing w:before="50" w:afterLines="50" w:line="440" w:lineRule="exact"/>
        <w:jc w:val="left"/>
        <w:rPr>
          <w:rFonts w:hint="eastAsia" w:asciiTheme="minorEastAsia" w:hAnsiTheme="minorEastAsia" w:eastAsiaTheme="minorEastAsia" w:cstheme="minorEastAsia"/>
          <w:b/>
          <w:szCs w:val="21"/>
          <w:highlight w:val="none"/>
        </w:rPr>
      </w:pPr>
    </w:p>
    <w:p>
      <w:pPr>
        <w:snapToGrid w:val="0"/>
        <w:spacing w:before="50" w:afterLines="50" w:line="440" w:lineRule="exact"/>
        <w:jc w:val="left"/>
        <w:rPr>
          <w:rFonts w:hint="eastAsia" w:asciiTheme="minorEastAsia" w:hAnsiTheme="minorEastAsia" w:eastAsiaTheme="minorEastAsia" w:cstheme="minorEastAsia"/>
          <w:b/>
          <w:szCs w:val="21"/>
          <w:highlight w:val="none"/>
        </w:rPr>
      </w:pPr>
    </w:p>
    <w:p>
      <w:pPr>
        <w:pStyle w:val="2"/>
        <w:ind w:firstLine="520"/>
        <w:rPr>
          <w:rFonts w:hint="eastAsia" w:asciiTheme="minorEastAsia" w:hAnsiTheme="minorEastAsia" w:eastAsiaTheme="minorEastAsia" w:cstheme="minorEastAsia"/>
          <w:highlight w:val="none"/>
        </w:rPr>
      </w:pPr>
    </w:p>
    <w:p>
      <w:pPr>
        <w:snapToGrid w:val="0"/>
        <w:spacing w:before="50" w:afterLines="50" w:line="440" w:lineRule="exact"/>
        <w:jc w:val="left"/>
        <w:rPr>
          <w:rFonts w:hint="eastAsia" w:asciiTheme="minorEastAsia" w:hAnsiTheme="minorEastAsia" w:eastAsiaTheme="minorEastAsia" w:cstheme="minorEastAsia"/>
          <w:b/>
          <w:szCs w:val="21"/>
          <w:highlight w:val="none"/>
        </w:rPr>
      </w:pPr>
    </w:p>
    <w:p>
      <w:pPr>
        <w:pStyle w:val="2"/>
        <w:ind w:firstLine="522"/>
        <w:rPr>
          <w:rFonts w:hint="eastAsia" w:asciiTheme="minorEastAsia" w:hAnsiTheme="minorEastAsia" w:eastAsiaTheme="minorEastAsia" w:cstheme="minorEastAsia"/>
          <w:b/>
          <w:szCs w:val="21"/>
          <w:highlight w:val="none"/>
        </w:rPr>
      </w:pPr>
    </w:p>
    <w:p>
      <w:pPr>
        <w:pStyle w:val="2"/>
        <w:ind w:firstLine="522"/>
        <w:rPr>
          <w:rFonts w:hint="eastAsia" w:asciiTheme="minorEastAsia" w:hAnsiTheme="minorEastAsia" w:eastAsiaTheme="minorEastAsia" w:cstheme="minorEastAsia"/>
          <w:b/>
          <w:szCs w:val="21"/>
          <w:highlight w:val="none"/>
        </w:rPr>
      </w:pPr>
    </w:p>
    <w:p>
      <w:pPr>
        <w:snapToGrid w:val="0"/>
        <w:spacing w:before="50" w:afterLines="50" w:line="440" w:lineRule="exact"/>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（2）法定代表人（负责人）完整有效的身份证正反面复印件</w:t>
      </w:r>
    </w:p>
    <w:p>
      <w:pPr>
        <w:snapToGrid w:val="0"/>
        <w:spacing w:before="50" w:afterLines="50" w:line="440" w:lineRule="exact"/>
        <w:jc w:val="center"/>
        <w:rPr>
          <w:rFonts w:hint="eastAsia" w:asciiTheme="minorEastAsia" w:hAnsiTheme="minorEastAsia" w:eastAsiaTheme="minorEastAsia" w:cstheme="minorEastAsia"/>
          <w:b/>
          <w:szCs w:val="21"/>
          <w:highlight w:val="none"/>
        </w:rPr>
      </w:pPr>
    </w:p>
    <w:p>
      <w:pPr>
        <w:snapToGrid w:val="0"/>
        <w:spacing w:before="50" w:afterLines="50" w:line="440" w:lineRule="exact"/>
        <w:jc w:val="center"/>
        <w:rPr>
          <w:rFonts w:hint="eastAsia" w:asciiTheme="minorEastAsia" w:hAnsiTheme="minorEastAsia" w:eastAsiaTheme="minorEastAsia" w:cstheme="minorEastAsia"/>
          <w:b/>
          <w:szCs w:val="21"/>
          <w:highlight w:val="none"/>
        </w:rPr>
      </w:pPr>
    </w:p>
    <w:p>
      <w:pPr>
        <w:pStyle w:val="2"/>
        <w:ind w:firstLine="520"/>
        <w:rPr>
          <w:rFonts w:hint="eastAsia" w:asciiTheme="minorEastAsia" w:hAnsiTheme="minorEastAsia" w:eastAsiaTheme="minorEastAsia" w:cstheme="minorEastAsia"/>
          <w:highlight w:val="none"/>
        </w:rPr>
      </w:pPr>
    </w:p>
    <w:p>
      <w:pPr>
        <w:snapToGrid w:val="0"/>
        <w:spacing w:before="50" w:afterLines="50" w:line="440" w:lineRule="exact"/>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（3）投标人法定代表人（负责人）授权委托书原件和委托代理人完整有效的身份证正反面复印件（委托代理时必须提供)：</w:t>
      </w:r>
    </w:p>
    <w:p>
      <w:pPr>
        <w:snapToGrid w:val="0"/>
        <w:spacing w:beforeLines="50" w:after="50" w:line="440" w:lineRule="exact"/>
        <w:jc w:val="center"/>
        <w:rPr>
          <w:rFonts w:hint="eastAsia" w:asciiTheme="minorEastAsia" w:hAnsiTheme="minorEastAsia" w:eastAsiaTheme="minorEastAsia" w:cstheme="minorEastAsia"/>
          <w:szCs w:val="21"/>
          <w:highlight w:val="none"/>
        </w:rPr>
      </w:pPr>
    </w:p>
    <w:p>
      <w:pPr>
        <w:snapToGrid w:val="0"/>
        <w:spacing w:beforeLines="50" w:after="50" w:line="440" w:lineRule="exact"/>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法定代表人（负责人）授权委托书</w:t>
      </w:r>
    </w:p>
    <w:p>
      <w:pPr>
        <w:snapToGrid w:val="0"/>
        <w:spacing w:beforeLines="50" w:after="50" w:line="440" w:lineRule="exact"/>
        <w:rPr>
          <w:rFonts w:hint="eastAsia" w:asciiTheme="minorEastAsia" w:hAnsiTheme="minorEastAsia" w:eastAsiaTheme="minorEastAsia" w:cstheme="minorEastAsia"/>
          <w:bCs/>
          <w:szCs w:val="21"/>
          <w:highlight w:val="none"/>
        </w:rPr>
      </w:pPr>
    </w:p>
    <w:p>
      <w:pPr>
        <w:snapToGrid w:val="0"/>
        <w:spacing w:beforeLines="50" w:after="50" w:line="440" w:lineRule="exac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Cs/>
          <w:szCs w:val="21"/>
          <w:highlight w:val="none"/>
        </w:rPr>
        <w:t>致：</w:t>
      </w:r>
      <w:r>
        <w:rPr>
          <w:rFonts w:hint="eastAsia" w:asciiTheme="minorEastAsia" w:hAnsiTheme="minorEastAsia" w:eastAsiaTheme="minorEastAsia" w:cstheme="minorEastAsia"/>
          <w:szCs w:val="21"/>
          <w:highlight w:val="none"/>
        </w:rPr>
        <w:t>（招标</w:t>
      </w:r>
      <w:r>
        <w:rPr>
          <w:rFonts w:hint="eastAsia" w:asciiTheme="minorEastAsia" w:hAnsiTheme="minorEastAsia" w:eastAsiaTheme="minorEastAsia" w:cstheme="minorEastAsia"/>
          <w:color w:val="auto"/>
          <w:szCs w:val="21"/>
          <w:highlight w:val="none"/>
        </w:rPr>
        <w:t>采购单位名称）：</w:t>
      </w:r>
    </w:p>
    <w:p>
      <w:pPr>
        <w:snapToGrid w:val="0"/>
        <w:spacing w:beforeLines="50" w:after="50" w:line="440" w:lineRule="exact"/>
        <w:ind w:firstLine="630" w:firstLineChars="300"/>
        <w:rPr>
          <w:rFonts w:hint="eastAsia" w:asciiTheme="minorEastAsia" w:hAnsiTheme="minorEastAsia" w:eastAsiaTheme="minorEastAsia" w:cstheme="minorEastAsia"/>
          <w:color w:val="auto"/>
          <w:szCs w:val="21"/>
          <w:highlight w:val="non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w:t>
      </w:r>
      <w:r>
        <w:rPr>
          <w:rFonts w:hint="eastAsia" w:asciiTheme="minorEastAsia" w:hAnsiTheme="minorEastAsia" w:eastAsiaTheme="minorEastAsia" w:cstheme="minorEastAsia"/>
          <w:color w:val="auto"/>
          <w:szCs w:val="21"/>
          <w:highlight w:val="none"/>
        </w:rPr>
        <w:t>的法定代表人（负责人），现授权委托本单位在职职工</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u w:val="single"/>
        </w:rPr>
        <w:t>（姓名）</w:t>
      </w:r>
      <w:r>
        <w:rPr>
          <w:rFonts w:hint="eastAsia" w:asciiTheme="minorEastAsia" w:hAnsiTheme="minorEastAsia" w:eastAsiaTheme="minorEastAsia" w:cstheme="minorEastAsia"/>
          <w:color w:val="auto"/>
          <w:szCs w:val="21"/>
          <w:highlight w:val="none"/>
        </w:rPr>
        <w:t>以我方的名义参加项目的投标活动，并代表我方全权办理针对上述项目的投标、开标、评标、签约等具体事务和签署相关文件。</w:t>
      </w:r>
    </w:p>
    <w:p>
      <w:pPr>
        <w:snapToGrid w:val="0"/>
        <w:spacing w:beforeLines="50" w:after="50" w:line="44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我方对被授权人的签名事项负全部责任。</w:t>
      </w:r>
    </w:p>
    <w:p>
      <w:pPr>
        <w:snapToGrid w:val="0"/>
        <w:spacing w:beforeLines="50" w:after="50" w:line="440" w:lineRule="exact"/>
        <w:ind w:firstLine="48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u w:val="single"/>
        </w:rPr>
        <w:t>在撤销授权的书面通知以前，本授权书一直有效。</w:t>
      </w:r>
      <w:r>
        <w:rPr>
          <w:rFonts w:hint="eastAsia" w:asciiTheme="minorEastAsia" w:hAnsiTheme="minorEastAsia" w:eastAsiaTheme="minorEastAsia" w:cstheme="minorEastAsia"/>
          <w:szCs w:val="21"/>
          <w:highlight w:val="none"/>
        </w:rPr>
        <w:t>被授权人在授权书有效期内签署的所有文件不因授权的撤销而失效。</w:t>
      </w:r>
    </w:p>
    <w:p>
      <w:pPr>
        <w:snapToGrid w:val="0"/>
        <w:spacing w:beforeLines="50" w:after="50" w:line="440" w:lineRule="exact"/>
        <w:ind w:firstLine="48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被授权人无转委托权，特此委托。</w:t>
      </w:r>
    </w:p>
    <w:p>
      <w:pPr>
        <w:snapToGrid w:val="0"/>
        <w:spacing w:beforeLines="50" w:after="50" w:line="440" w:lineRule="exact"/>
        <w:rPr>
          <w:rFonts w:hint="eastAsia" w:asciiTheme="minorEastAsia" w:hAnsiTheme="minorEastAsia" w:eastAsiaTheme="minorEastAsia" w:cstheme="minorEastAsia"/>
          <w:szCs w:val="21"/>
          <w:highlight w:val="none"/>
        </w:rPr>
      </w:pPr>
    </w:p>
    <w:p>
      <w:pPr>
        <w:snapToGrid w:val="0"/>
        <w:spacing w:beforeLines="50" w:after="50" w:line="440" w:lineRule="exact"/>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被授权人签名：                 法定代表人（负责人）签名：</w:t>
      </w:r>
    </w:p>
    <w:p>
      <w:pPr>
        <w:snapToGrid w:val="0"/>
        <w:spacing w:beforeLines="50" w:after="50" w:line="44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所在部门职务：                          职务：</w:t>
      </w:r>
    </w:p>
    <w:p>
      <w:pPr>
        <w:snapToGrid w:val="0"/>
        <w:spacing w:beforeLines="50" w:after="50" w:line="44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被授权人身份证号码：</w:t>
      </w:r>
    </w:p>
    <w:p>
      <w:pPr>
        <w:snapToGrid w:val="0"/>
        <w:spacing w:beforeLines="50" w:after="50" w:line="440" w:lineRule="exact"/>
        <w:rPr>
          <w:rFonts w:hint="eastAsia" w:asciiTheme="minorEastAsia" w:hAnsiTheme="minorEastAsia" w:eastAsiaTheme="minorEastAsia" w:cstheme="minorEastAsia"/>
          <w:szCs w:val="21"/>
          <w:highlight w:val="none"/>
        </w:rPr>
      </w:pPr>
    </w:p>
    <w:p>
      <w:pPr>
        <w:snapToGrid w:val="0"/>
        <w:spacing w:beforeLines="50" w:after="50" w:line="440" w:lineRule="exact"/>
        <w:rPr>
          <w:rFonts w:hint="eastAsia" w:asciiTheme="minorEastAsia" w:hAnsiTheme="minorEastAsia" w:eastAsiaTheme="minorEastAsia" w:cstheme="minorEastAsia"/>
          <w:szCs w:val="21"/>
          <w:highlight w:val="none"/>
        </w:rPr>
      </w:pPr>
    </w:p>
    <w:p>
      <w:pPr>
        <w:snapToGrid w:val="0"/>
        <w:spacing w:beforeLines="50" w:after="50" w:line="440" w:lineRule="exact"/>
        <w:ind w:firstLine="4620" w:firstLineChars="2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投标人公章：</w:t>
      </w:r>
    </w:p>
    <w:p>
      <w:pPr>
        <w:snapToGrid w:val="0"/>
        <w:spacing w:beforeLines="50" w:after="50" w:line="44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年    月    日</w:t>
      </w:r>
    </w:p>
    <w:p>
      <w:pPr>
        <w:snapToGrid w:val="0"/>
        <w:spacing w:beforeLines="50" w:after="50" w:line="440" w:lineRule="exact"/>
        <w:rPr>
          <w:rFonts w:hint="eastAsia" w:asciiTheme="minorEastAsia" w:hAnsiTheme="minorEastAsia" w:eastAsiaTheme="minorEastAsia" w:cstheme="minorEastAsia"/>
          <w:szCs w:val="21"/>
          <w:highlight w:val="none"/>
        </w:rPr>
      </w:pPr>
    </w:p>
    <w:p>
      <w:pPr>
        <w:snapToGrid w:val="0"/>
        <w:spacing w:beforeLines="50" w:after="50" w:line="440" w:lineRule="exact"/>
        <w:rPr>
          <w:rFonts w:hint="eastAsia" w:asciiTheme="minorEastAsia" w:hAnsiTheme="minorEastAsia" w:eastAsiaTheme="minorEastAsia" w:cstheme="minorEastAsia"/>
          <w:szCs w:val="21"/>
          <w:highlight w:val="none"/>
        </w:rPr>
      </w:pPr>
    </w:p>
    <w:p>
      <w:pPr>
        <w:snapToGrid w:val="0"/>
        <w:spacing w:line="400" w:lineRule="exact"/>
        <w:ind w:firstLine="413" w:firstLineChars="196"/>
        <w:jc w:val="left"/>
        <w:rPr>
          <w:rFonts w:hint="eastAsia" w:asciiTheme="minorEastAsia" w:hAnsiTheme="minorEastAsia" w:eastAsiaTheme="minorEastAsia" w:cstheme="minorEastAsia"/>
          <w:b/>
          <w:szCs w:val="21"/>
          <w:highlight w:val="none"/>
        </w:rPr>
      </w:pPr>
    </w:p>
    <w:p>
      <w:pPr>
        <w:snapToGrid w:val="0"/>
        <w:spacing w:line="400" w:lineRule="exact"/>
        <w:ind w:firstLine="413" w:firstLineChars="196"/>
        <w:jc w:val="left"/>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（4）企业营业执照副本复印件（要求清晰反映经营范围）；（必须提供）</w:t>
      </w:r>
    </w:p>
    <w:p>
      <w:pPr>
        <w:snapToGrid w:val="0"/>
        <w:spacing w:line="400" w:lineRule="exact"/>
        <w:ind w:firstLine="413" w:firstLineChars="196"/>
        <w:jc w:val="left"/>
        <w:rPr>
          <w:rFonts w:hint="eastAsia" w:asciiTheme="minorEastAsia" w:hAnsiTheme="minorEastAsia" w:eastAsiaTheme="minorEastAsia" w:cstheme="minorEastAsia"/>
          <w:b/>
          <w:bCs/>
          <w:szCs w:val="21"/>
          <w:highlight w:val="none"/>
        </w:rPr>
      </w:pPr>
    </w:p>
    <w:p>
      <w:pPr>
        <w:snapToGrid w:val="0"/>
        <w:spacing w:line="400" w:lineRule="exact"/>
        <w:ind w:firstLine="421"/>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（5）现场勘察证明原件；（必须提供）</w:t>
      </w:r>
    </w:p>
    <w:p>
      <w:pPr>
        <w:snapToGrid w:val="0"/>
        <w:spacing w:line="400" w:lineRule="exact"/>
        <w:jc w:val="left"/>
        <w:rPr>
          <w:rFonts w:hint="eastAsia" w:asciiTheme="minorEastAsia" w:hAnsiTheme="minorEastAsia" w:eastAsiaTheme="minorEastAsia" w:cstheme="minorEastAsia"/>
          <w:b/>
          <w:bCs/>
          <w:szCs w:val="21"/>
          <w:highlight w:val="none"/>
        </w:rPr>
      </w:pPr>
    </w:p>
    <w:p>
      <w:pPr>
        <w:snapToGrid w:val="0"/>
        <w:spacing w:line="400" w:lineRule="exact"/>
        <w:ind w:firstLine="422" w:firstLineChars="200"/>
        <w:jc w:val="left"/>
        <w:rPr>
          <w:rFonts w:hint="eastAsia" w:asciiTheme="minorEastAsia" w:hAnsiTheme="minorEastAsia" w:eastAsiaTheme="minorEastAsia" w:cstheme="minorEastAsia"/>
          <w:b/>
          <w:bCs/>
          <w:szCs w:val="21"/>
          <w:highlight w:val="none"/>
        </w:rPr>
      </w:pPr>
    </w:p>
    <w:p>
      <w:pPr>
        <w:snapToGrid w:val="0"/>
        <w:spacing w:beforeLines="50" w:after="50"/>
        <w:ind w:firstLine="422" w:firstLineChars="200"/>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（6）投标文件递交截止之日前半年内投标人连续三个月依法缴纳税收的凭证复印件。无纳税记录的，应提供投标人所在地税务部门出具的《依法纳税或依法免税证明》复印件（格式自拟，原件备查）；</w:t>
      </w:r>
    </w:p>
    <w:p>
      <w:pPr>
        <w:snapToGrid w:val="0"/>
        <w:spacing w:beforeLines="50" w:after="50"/>
        <w:rPr>
          <w:rFonts w:hint="eastAsia" w:asciiTheme="minorEastAsia" w:hAnsiTheme="minorEastAsia" w:eastAsiaTheme="minorEastAsia" w:cstheme="minorEastAsia"/>
          <w:b/>
          <w:bCs/>
          <w:szCs w:val="21"/>
          <w:highlight w:val="none"/>
        </w:rPr>
      </w:pPr>
    </w:p>
    <w:p>
      <w:pPr>
        <w:snapToGrid w:val="0"/>
        <w:spacing w:beforeLines="50" w:after="50"/>
        <w:rPr>
          <w:rFonts w:hint="eastAsia" w:asciiTheme="minorEastAsia" w:hAnsiTheme="minorEastAsia" w:eastAsiaTheme="minorEastAsia" w:cstheme="minorEastAsia"/>
          <w:b/>
          <w:bCs/>
          <w:szCs w:val="21"/>
          <w:highlight w:val="none"/>
        </w:rPr>
      </w:pPr>
    </w:p>
    <w:p>
      <w:pPr>
        <w:snapToGrid w:val="0"/>
        <w:spacing w:beforeLines="50" w:after="50"/>
        <w:ind w:firstLine="422" w:firstLineChars="200"/>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7）投标文件递交截止之日前半年内投标人连续三个月依法缴纳社会保障资金的凭证复印件。无缴费记录的，应提供投标人所在地社保部门出具的《依法缴纳或依法免缴社保费证明》复印件（格式自拟，原件备查）；</w:t>
      </w:r>
    </w:p>
    <w:p>
      <w:pPr>
        <w:snapToGrid w:val="0"/>
        <w:spacing w:beforeLines="50" w:after="50"/>
        <w:rPr>
          <w:rFonts w:hint="eastAsia" w:asciiTheme="minorEastAsia" w:hAnsiTheme="minorEastAsia" w:eastAsiaTheme="minorEastAsia" w:cstheme="minorEastAsia"/>
          <w:b/>
          <w:bCs/>
          <w:szCs w:val="21"/>
          <w:highlight w:val="none"/>
        </w:rPr>
      </w:pPr>
    </w:p>
    <w:p>
      <w:pPr>
        <w:snapToGrid w:val="0"/>
        <w:spacing w:beforeLines="50" w:after="50"/>
        <w:rPr>
          <w:rFonts w:hint="eastAsia" w:asciiTheme="minorEastAsia" w:hAnsiTheme="minorEastAsia" w:eastAsiaTheme="minorEastAsia" w:cstheme="minorEastAsia"/>
          <w:b/>
          <w:bCs/>
          <w:szCs w:val="21"/>
          <w:highlight w:val="none"/>
        </w:rPr>
      </w:pPr>
    </w:p>
    <w:p>
      <w:pPr>
        <w:snapToGrid w:val="0"/>
        <w:spacing w:beforeLines="50" w:after="50"/>
        <w:ind w:firstLine="422" w:firstLineChars="200"/>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8）2018年度、2019年度财务状况报告（可以是财务报表或银行资信证明）复印件或有效的第三方具备审计资质的机构出具的审计报告复印件（格式自拟）；（新成立不足2年的提供从成立起至今财务状况报告或审计报告）（必须提供）；</w:t>
      </w:r>
    </w:p>
    <w:p>
      <w:pPr>
        <w:snapToGrid w:val="0"/>
        <w:spacing w:beforeLines="50" w:after="50"/>
        <w:rPr>
          <w:rFonts w:hint="eastAsia" w:asciiTheme="minorEastAsia" w:hAnsiTheme="minorEastAsia" w:eastAsiaTheme="minorEastAsia" w:cstheme="minorEastAsia"/>
          <w:b/>
          <w:bCs/>
          <w:szCs w:val="21"/>
          <w:highlight w:val="none"/>
        </w:rPr>
      </w:pPr>
    </w:p>
    <w:p>
      <w:pPr>
        <w:snapToGrid w:val="0"/>
        <w:spacing w:beforeLines="50" w:after="50"/>
        <w:rPr>
          <w:rFonts w:hint="eastAsia" w:asciiTheme="minorEastAsia" w:hAnsiTheme="minorEastAsia" w:eastAsiaTheme="minorEastAsia" w:cstheme="minorEastAsia"/>
          <w:b/>
          <w:bCs/>
          <w:szCs w:val="21"/>
          <w:highlight w:val="none"/>
        </w:rPr>
      </w:pPr>
    </w:p>
    <w:p>
      <w:pPr>
        <w:snapToGrid w:val="0"/>
        <w:spacing w:beforeLines="50" w:after="50"/>
        <w:ind w:firstLine="422" w:firstLineChars="200"/>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（9）投标人具备履行合同所必需的设备或专业技术能力的书面声明原件（格式自拟）（必须提供）</w:t>
      </w:r>
    </w:p>
    <w:p>
      <w:pPr>
        <w:snapToGrid w:val="0"/>
        <w:spacing w:beforeLines="50" w:after="50"/>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 xml:space="preserve">   （10）招标文件要求必须提供的其他材料。</w:t>
      </w:r>
    </w:p>
    <w:p>
      <w:pPr>
        <w:autoSpaceDE w:val="0"/>
        <w:autoSpaceDN w:val="0"/>
        <w:snapToGrid w:val="0"/>
        <w:spacing w:before="50" w:afterLines="50"/>
        <w:jc w:val="left"/>
        <w:textAlignment w:val="bottom"/>
        <w:rPr>
          <w:rFonts w:hint="eastAsia" w:asciiTheme="minorEastAsia" w:hAnsiTheme="minorEastAsia" w:eastAsiaTheme="minorEastAsia" w:cstheme="minorEastAsia"/>
          <w:szCs w:val="21"/>
          <w:highlight w:val="none"/>
        </w:rPr>
        <w:sectPr>
          <w:footerReference r:id="rId16" w:type="first"/>
          <w:headerReference r:id="rId13" w:type="default"/>
          <w:footerReference r:id="rId14" w:type="default"/>
          <w:footerReference r:id="rId15" w:type="even"/>
          <w:pgSz w:w="11906" w:h="16838"/>
          <w:pgMar w:top="1134" w:right="1361" w:bottom="1134" w:left="1361" w:header="851" w:footer="992" w:gutter="0"/>
          <w:pgNumType w:start="1"/>
          <w:cols w:space="720" w:num="1"/>
          <w:titlePg/>
          <w:docGrid w:linePitch="312" w:charSpace="0"/>
        </w:sectPr>
      </w:pPr>
    </w:p>
    <w:p>
      <w:pPr>
        <w:snapToGrid w:val="0"/>
        <w:spacing w:beforeLines="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三、商务/报价文件格式</w:t>
      </w:r>
    </w:p>
    <w:p>
      <w:pPr>
        <w:snapToGrid w:val="0"/>
        <w:spacing w:beforeLines="50" w:after="50" w:line="340" w:lineRule="exact"/>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1.商务/报价文件的外包装封面格式：</w:t>
      </w:r>
    </w:p>
    <w:p>
      <w:pPr>
        <w:snapToGrid w:val="0"/>
        <w:spacing w:beforeLines="50" w:after="50" w:line="340" w:lineRule="exact"/>
        <w:rPr>
          <w:rFonts w:hint="eastAsia" w:asciiTheme="minorEastAsia" w:hAnsiTheme="minorEastAsia" w:eastAsiaTheme="minorEastAsia" w:cstheme="minorEastAsia"/>
          <w:bCs/>
          <w:szCs w:val="21"/>
          <w:highlight w:val="none"/>
        </w:rPr>
      </w:pPr>
    </w:p>
    <w:p>
      <w:pPr>
        <w:snapToGrid w:val="0"/>
        <w:spacing w:beforeLines="50" w:after="50" w:line="340" w:lineRule="exact"/>
        <w:jc w:val="center"/>
        <w:rPr>
          <w:rFonts w:hint="eastAsia" w:asciiTheme="minorEastAsia" w:hAnsiTheme="minorEastAsia" w:eastAsiaTheme="minorEastAsia" w:cstheme="minorEastAsia"/>
          <w:b/>
          <w:bCs/>
          <w:szCs w:val="21"/>
          <w:highlight w:val="none"/>
        </w:rPr>
      </w:pPr>
    </w:p>
    <w:p>
      <w:pPr>
        <w:snapToGrid w:val="0"/>
        <w:spacing w:beforeLines="50" w:after="50" w:line="340" w:lineRule="exact"/>
        <w:jc w:val="center"/>
        <w:rPr>
          <w:rFonts w:hint="eastAsia" w:asciiTheme="minorEastAsia" w:hAnsiTheme="minorEastAsia" w:eastAsiaTheme="minorEastAsia" w:cstheme="minorEastAsia"/>
          <w:b/>
          <w:bCs/>
          <w:szCs w:val="21"/>
          <w:highlight w:val="none"/>
        </w:rPr>
      </w:pPr>
    </w:p>
    <w:p>
      <w:pPr>
        <w:snapToGrid w:val="0"/>
        <w:spacing w:beforeLines="50" w:after="50" w:line="340" w:lineRule="exact"/>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szCs w:val="21"/>
          <w:highlight w:val="none"/>
        </w:rPr>
        <w:t>商务/报价</w:t>
      </w:r>
      <w:r>
        <w:rPr>
          <w:rFonts w:hint="eastAsia" w:asciiTheme="minorEastAsia" w:hAnsiTheme="minorEastAsia" w:eastAsiaTheme="minorEastAsia" w:cstheme="minorEastAsia"/>
          <w:b/>
          <w:bCs/>
          <w:szCs w:val="21"/>
          <w:highlight w:val="none"/>
        </w:rPr>
        <w:t>文件</w:t>
      </w:r>
    </w:p>
    <w:p>
      <w:pPr>
        <w:snapToGrid w:val="0"/>
        <w:spacing w:beforeLines="50" w:after="50" w:line="340" w:lineRule="exact"/>
        <w:rPr>
          <w:rFonts w:hint="eastAsia" w:asciiTheme="minorEastAsia" w:hAnsiTheme="minorEastAsia" w:eastAsiaTheme="minorEastAsia" w:cstheme="minorEastAsia"/>
          <w:bCs/>
          <w:szCs w:val="21"/>
          <w:highlight w:val="none"/>
        </w:rPr>
      </w:pPr>
    </w:p>
    <w:p>
      <w:pPr>
        <w:snapToGrid w:val="0"/>
        <w:spacing w:beforeLines="50" w:after="50" w:line="340" w:lineRule="exact"/>
        <w:rPr>
          <w:rFonts w:hint="eastAsia" w:asciiTheme="minorEastAsia" w:hAnsiTheme="minorEastAsia" w:eastAsiaTheme="minorEastAsia" w:cstheme="minorEastAsia"/>
          <w:bCs/>
          <w:szCs w:val="21"/>
          <w:highlight w:val="none"/>
        </w:rPr>
      </w:pPr>
    </w:p>
    <w:p>
      <w:pPr>
        <w:snapToGrid w:val="0"/>
        <w:spacing w:beforeLines="50" w:after="50" w:line="340" w:lineRule="exact"/>
        <w:rPr>
          <w:rFonts w:hint="eastAsia" w:asciiTheme="minorEastAsia" w:hAnsiTheme="minorEastAsia" w:eastAsiaTheme="minorEastAsia" w:cstheme="minorEastAsia"/>
          <w:bCs/>
          <w:szCs w:val="21"/>
          <w:highlight w:val="none"/>
        </w:rPr>
      </w:pPr>
    </w:p>
    <w:p>
      <w:pPr>
        <w:snapToGrid w:val="0"/>
        <w:spacing w:beforeLines="50" w:after="50" w:line="340" w:lineRule="exact"/>
        <w:rPr>
          <w:rFonts w:hint="eastAsia" w:asciiTheme="minorEastAsia" w:hAnsiTheme="minorEastAsia" w:eastAsiaTheme="minorEastAsia" w:cstheme="minorEastAsia"/>
          <w:bCs/>
          <w:szCs w:val="21"/>
          <w:highlight w:val="none"/>
        </w:rPr>
      </w:pPr>
    </w:p>
    <w:p>
      <w:pPr>
        <w:snapToGrid w:val="0"/>
        <w:spacing w:beforeLines="50" w:after="50" w:line="340" w:lineRule="exact"/>
        <w:rPr>
          <w:rFonts w:hint="eastAsia" w:asciiTheme="minorEastAsia" w:hAnsiTheme="minorEastAsia" w:eastAsiaTheme="minorEastAsia" w:cstheme="minorEastAsia"/>
          <w:bCs/>
          <w:szCs w:val="21"/>
          <w:highlight w:val="none"/>
        </w:rPr>
      </w:pPr>
    </w:p>
    <w:p>
      <w:pPr>
        <w:snapToGrid w:val="0"/>
        <w:spacing w:beforeLines="50" w:after="50" w:line="34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项目名称： </w:t>
      </w:r>
    </w:p>
    <w:p>
      <w:pPr>
        <w:snapToGrid w:val="0"/>
        <w:spacing w:beforeLines="50" w:after="50" w:line="34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项目编号： </w:t>
      </w:r>
    </w:p>
    <w:p>
      <w:pPr>
        <w:pStyle w:val="8"/>
        <w:snapToGrid w:val="0"/>
        <w:spacing w:before="50" w:after="50" w:line="340" w:lineRule="exact"/>
        <w:ind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投标人名称：</w:t>
      </w:r>
    </w:p>
    <w:p>
      <w:pPr>
        <w:pStyle w:val="8"/>
        <w:snapToGrid w:val="0"/>
        <w:spacing w:before="50" w:after="50" w:line="340" w:lineRule="exact"/>
        <w:ind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投标人地址：</w:t>
      </w:r>
    </w:p>
    <w:p>
      <w:pPr>
        <w:pStyle w:val="8"/>
        <w:snapToGrid w:val="0"/>
        <w:spacing w:before="50" w:after="50" w:line="340" w:lineRule="exact"/>
        <w:ind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在  年  月  日  时  分之前不得启封</w:t>
      </w:r>
    </w:p>
    <w:p>
      <w:pPr>
        <w:snapToGrid w:val="0"/>
        <w:spacing w:beforeLines="50" w:after="50" w:line="340" w:lineRule="exact"/>
        <w:ind w:firstLine="645"/>
        <w:jc w:val="center"/>
        <w:rPr>
          <w:rFonts w:hint="eastAsia" w:asciiTheme="minorEastAsia" w:hAnsiTheme="minorEastAsia" w:eastAsiaTheme="minorEastAsia" w:cstheme="minorEastAsia"/>
          <w:szCs w:val="21"/>
          <w:highlight w:val="none"/>
        </w:rPr>
      </w:pPr>
    </w:p>
    <w:p>
      <w:pPr>
        <w:snapToGrid w:val="0"/>
        <w:spacing w:beforeLines="50" w:after="50" w:line="340" w:lineRule="exact"/>
        <w:ind w:firstLine="645"/>
        <w:jc w:val="center"/>
        <w:rPr>
          <w:rFonts w:hint="eastAsia" w:asciiTheme="minorEastAsia" w:hAnsiTheme="minorEastAsia" w:eastAsiaTheme="minorEastAsia" w:cstheme="minorEastAsia"/>
          <w:szCs w:val="21"/>
          <w:highlight w:val="none"/>
        </w:rPr>
      </w:pPr>
    </w:p>
    <w:p>
      <w:pPr>
        <w:snapToGrid w:val="0"/>
        <w:spacing w:beforeLines="50" w:after="50" w:line="340" w:lineRule="exact"/>
        <w:ind w:firstLine="645"/>
        <w:jc w:val="center"/>
        <w:rPr>
          <w:rFonts w:hint="eastAsia" w:asciiTheme="minorEastAsia" w:hAnsiTheme="minorEastAsia" w:eastAsiaTheme="minorEastAsia" w:cstheme="minorEastAsia"/>
          <w:szCs w:val="21"/>
          <w:highlight w:val="none"/>
        </w:rPr>
      </w:pPr>
    </w:p>
    <w:p>
      <w:pPr>
        <w:snapToGrid w:val="0"/>
        <w:spacing w:beforeLines="50" w:after="50" w:line="340" w:lineRule="exact"/>
        <w:ind w:firstLine="645"/>
        <w:jc w:val="center"/>
        <w:rPr>
          <w:rFonts w:hint="eastAsia" w:asciiTheme="minorEastAsia" w:hAnsiTheme="minorEastAsia" w:eastAsiaTheme="minorEastAsia" w:cstheme="minorEastAsia"/>
          <w:szCs w:val="21"/>
          <w:highlight w:val="none"/>
        </w:rPr>
      </w:pPr>
    </w:p>
    <w:p>
      <w:pPr>
        <w:snapToGrid w:val="0"/>
        <w:spacing w:beforeLines="50" w:after="50" w:line="340" w:lineRule="exact"/>
        <w:ind w:firstLine="645"/>
        <w:jc w:val="center"/>
        <w:rPr>
          <w:rFonts w:hint="eastAsia" w:asciiTheme="minorEastAsia" w:hAnsiTheme="minorEastAsia" w:eastAsiaTheme="minorEastAsia" w:cstheme="minorEastAsia"/>
          <w:szCs w:val="21"/>
          <w:highlight w:val="none"/>
        </w:rPr>
      </w:pPr>
    </w:p>
    <w:p>
      <w:pPr>
        <w:snapToGrid w:val="0"/>
        <w:spacing w:beforeLines="50" w:after="50" w:line="340" w:lineRule="exact"/>
        <w:ind w:firstLine="645"/>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年  月  日</w:t>
      </w:r>
    </w:p>
    <w:p>
      <w:pPr>
        <w:snapToGrid w:val="0"/>
        <w:spacing w:beforeLines="50" w:after="50"/>
        <w:rPr>
          <w:rFonts w:hint="eastAsia" w:asciiTheme="minorEastAsia" w:hAnsiTheme="minorEastAsia" w:eastAsiaTheme="minorEastAsia" w:cstheme="minorEastAsia"/>
          <w:szCs w:val="21"/>
          <w:highlight w:val="none"/>
        </w:rPr>
      </w:pPr>
    </w:p>
    <w:p>
      <w:pPr>
        <w:snapToGrid w:val="0"/>
        <w:spacing w:beforeLines="50" w:after="50" w:line="320" w:lineRule="exact"/>
        <w:rPr>
          <w:rFonts w:hint="eastAsia" w:asciiTheme="minorEastAsia" w:hAnsiTheme="minorEastAsia" w:eastAsiaTheme="minorEastAsia" w:cstheme="minorEastAsia"/>
          <w:b/>
          <w:szCs w:val="21"/>
          <w:highlight w:val="none"/>
        </w:rPr>
      </w:pPr>
    </w:p>
    <w:p>
      <w:pPr>
        <w:snapToGrid w:val="0"/>
        <w:spacing w:beforeLines="50" w:after="50" w:line="320" w:lineRule="exact"/>
        <w:rPr>
          <w:rFonts w:hint="eastAsia" w:asciiTheme="minorEastAsia" w:hAnsiTheme="minorEastAsia" w:eastAsiaTheme="minorEastAsia" w:cstheme="minorEastAsia"/>
          <w:b/>
          <w:szCs w:val="21"/>
          <w:highlight w:val="none"/>
        </w:rPr>
      </w:pPr>
    </w:p>
    <w:p>
      <w:pPr>
        <w:snapToGrid w:val="0"/>
        <w:spacing w:beforeLines="50" w:after="50" w:line="320" w:lineRule="exact"/>
        <w:rPr>
          <w:rFonts w:hint="eastAsia" w:asciiTheme="minorEastAsia" w:hAnsiTheme="minorEastAsia" w:eastAsiaTheme="minorEastAsia" w:cstheme="minorEastAsia"/>
          <w:b/>
          <w:szCs w:val="21"/>
          <w:highlight w:val="none"/>
        </w:rPr>
      </w:pPr>
    </w:p>
    <w:p>
      <w:pPr>
        <w:snapToGrid w:val="0"/>
        <w:spacing w:beforeLines="50" w:after="50" w:line="320" w:lineRule="exact"/>
        <w:rPr>
          <w:rFonts w:hint="eastAsia" w:asciiTheme="minorEastAsia" w:hAnsiTheme="minorEastAsia" w:eastAsiaTheme="minorEastAsia" w:cstheme="minorEastAsia"/>
          <w:b/>
          <w:szCs w:val="21"/>
          <w:highlight w:val="none"/>
        </w:rPr>
      </w:pPr>
    </w:p>
    <w:p>
      <w:pPr>
        <w:snapToGrid w:val="0"/>
        <w:spacing w:beforeLines="50" w:after="50" w:line="320" w:lineRule="exact"/>
        <w:rPr>
          <w:rFonts w:hint="eastAsia" w:asciiTheme="minorEastAsia" w:hAnsiTheme="minorEastAsia" w:eastAsiaTheme="minorEastAsia" w:cstheme="minorEastAsia"/>
          <w:b/>
          <w:szCs w:val="21"/>
          <w:highlight w:val="none"/>
        </w:rPr>
      </w:pPr>
    </w:p>
    <w:p>
      <w:pPr>
        <w:snapToGrid w:val="0"/>
        <w:spacing w:beforeLines="50" w:after="50" w:line="320" w:lineRule="exact"/>
        <w:rPr>
          <w:rFonts w:hint="eastAsia" w:asciiTheme="minorEastAsia" w:hAnsiTheme="minorEastAsia" w:eastAsiaTheme="minorEastAsia" w:cstheme="minorEastAsia"/>
          <w:b/>
          <w:szCs w:val="21"/>
          <w:highlight w:val="none"/>
        </w:rPr>
      </w:pPr>
    </w:p>
    <w:p>
      <w:pPr>
        <w:snapToGrid w:val="0"/>
        <w:spacing w:beforeLines="50" w:after="50" w:line="320" w:lineRule="exact"/>
        <w:rPr>
          <w:rFonts w:hint="eastAsia" w:asciiTheme="minorEastAsia" w:hAnsiTheme="minorEastAsia" w:eastAsiaTheme="minorEastAsia" w:cstheme="minorEastAsia"/>
          <w:b/>
          <w:szCs w:val="21"/>
          <w:highlight w:val="none"/>
        </w:rPr>
      </w:pPr>
    </w:p>
    <w:p>
      <w:pPr>
        <w:snapToGrid w:val="0"/>
        <w:spacing w:beforeLines="50" w:after="50" w:line="320" w:lineRule="exact"/>
        <w:rPr>
          <w:rFonts w:hint="eastAsia" w:asciiTheme="minorEastAsia" w:hAnsiTheme="minorEastAsia" w:eastAsiaTheme="minorEastAsia" w:cstheme="minorEastAsia"/>
          <w:b/>
          <w:szCs w:val="21"/>
          <w:highlight w:val="none"/>
        </w:rPr>
      </w:pPr>
    </w:p>
    <w:p>
      <w:pPr>
        <w:snapToGrid w:val="0"/>
        <w:spacing w:beforeLines="50" w:after="50" w:line="320" w:lineRule="exact"/>
        <w:rPr>
          <w:rFonts w:hint="eastAsia" w:asciiTheme="minorEastAsia" w:hAnsiTheme="minorEastAsia" w:eastAsiaTheme="minorEastAsia" w:cstheme="minorEastAsia"/>
          <w:b/>
          <w:szCs w:val="21"/>
          <w:highlight w:val="none"/>
        </w:rPr>
      </w:pPr>
    </w:p>
    <w:p>
      <w:pPr>
        <w:snapToGrid w:val="0"/>
        <w:spacing w:beforeLines="50" w:after="50" w:line="320" w:lineRule="exact"/>
        <w:rPr>
          <w:rFonts w:hint="eastAsia" w:asciiTheme="minorEastAsia" w:hAnsiTheme="minorEastAsia" w:eastAsiaTheme="minorEastAsia" w:cstheme="minorEastAsia"/>
          <w:b/>
          <w:szCs w:val="21"/>
          <w:highlight w:val="none"/>
        </w:rPr>
      </w:pPr>
    </w:p>
    <w:p>
      <w:pPr>
        <w:snapToGrid w:val="0"/>
        <w:spacing w:beforeLines="50" w:after="50" w:line="320" w:lineRule="exac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 xml:space="preserve">2.商务/报价文件封面格式： </w:t>
      </w:r>
    </w:p>
    <w:p>
      <w:pPr>
        <w:snapToGrid w:val="0"/>
        <w:spacing w:beforeLines="50" w:after="50" w:line="320" w:lineRule="exact"/>
        <w:rPr>
          <w:rFonts w:hint="eastAsia" w:asciiTheme="minorEastAsia" w:hAnsiTheme="minorEastAsia" w:eastAsiaTheme="minorEastAsia" w:cstheme="minorEastAsia"/>
          <w:szCs w:val="21"/>
          <w:highlight w:val="none"/>
        </w:rPr>
      </w:pPr>
    </w:p>
    <w:p>
      <w:pPr>
        <w:snapToGrid w:val="0"/>
        <w:spacing w:beforeLines="50" w:after="50" w:line="320" w:lineRule="exact"/>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正本/或副本</w:t>
      </w:r>
    </w:p>
    <w:p>
      <w:pPr>
        <w:snapToGrid w:val="0"/>
        <w:spacing w:beforeLines="50" w:after="50" w:line="320" w:lineRule="exact"/>
        <w:rPr>
          <w:rFonts w:hint="eastAsia" w:asciiTheme="minorEastAsia" w:hAnsiTheme="minorEastAsia" w:eastAsiaTheme="minorEastAsia" w:cstheme="minorEastAsia"/>
          <w:szCs w:val="21"/>
          <w:highlight w:val="none"/>
        </w:rPr>
      </w:pPr>
    </w:p>
    <w:p>
      <w:pPr>
        <w:snapToGrid w:val="0"/>
        <w:spacing w:beforeLines="50" w:after="50" w:line="320" w:lineRule="exact"/>
        <w:jc w:val="center"/>
        <w:rPr>
          <w:rFonts w:hint="eastAsia" w:asciiTheme="minorEastAsia" w:hAnsiTheme="minorEastAsia" w:eastAsiaTheme="minorEastAsia" w:cstheme="minorEastAsia"/>
          <w:b/>
          <w:bCs/>
          <w:szCs w:val="21"/>
          <w:highlight w:val="none"/>
        </w:rPr>
      </w:pPr>
    </w:p>
    <w:p>
      <w:pPr>
        <w:snapToGrid w:val="0"/>
        <w:spacing w:beforeLines="50" w:after="50" w:line="320" w:lineRule="exact"/>
        <w:jc w:val="center"/>
        <w:rPr>
          <w:rFonts w:hint="eastAsia" w:asciiTheme="minorEastAsia" w:hAnsiTheme="minorEastAsia" w:eastAsiaTheme="minorEastAsia" w:cstheme="minorEastAsia"/>
          <w:b/>
          <w:bCs/>
          <w:szCs w:val="21"/>
          <w:highlight w:val="none"/>
        </w:rPr>
      </w:pPr>
    </w:p>
    <w:p>
      <w:pPr>
        <w:snapToGrid w:val="0"/>
        <w:spacing w:beforeLines="50" w:after="50" w:line="320" w:lineRule="exact"/>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szCs w:val="21"/>
          <w:highlight w:val="none"/>
        </w:rPr>
        <w:t>商务/报价</w:t>
      </w:r>
      <w:r>
        <w:rPr>
          <w:rFonts w:hint="eastAsia" w:asciiTheme="minorEastAsia" w:hAnsiTheme="minorEastAsia" w:eastAsiaTheme="minorEastAsia" w:cstheme="minorEastAsia"/>
          <w:b/>
          <w:bCs/>
          <w:szCs w:val="21"/>
          <w:highlight w:val="none"/>
        </w:rPr>
        <w:t>文件</w:t>
      </w:r>
    </w:p>
    <w:p>
      <w:pPr>
        <w:snapToGrid w:val="0"/>
        <w:spacing w:beforeLines="50" w:after="50" w:line="320" w:lineRule="exact"/>
        <w:rPr>
          <w:rFonts w:hint="eastAsia" w:asciiTheme="minorEastAsia" w:hAnsiTheme="minorEastAsia" w:eastAsiaTheme="minorEastAsia" w:cstheme="minorEastAsia"/>
          <w:bCs/>
          <w:szCs w:val="21"/>
          <w:highlight w:val="none"/>
        </w:rPr>
      </w:pPr>
    </w:p>
    <w:p>
      <w:pPr>
        <w:snapToGrid w:val="0"/>
        <w:spacing w:beforeLines="50" w:after="50" w:line="320" w:lineRule="exact"/>
        <w:ind w:firstLine="420" w:firstLineChars="200"/>
        <w:rPr>
          <w:rFonts w:hint="eastAsia" w:asciiTheme="minorEastAsia" w:hAnsiTheme="minorEastAsia" w:eastAsiaTheme="minorEastAsia" w:cstheme="minorEastAsia"/>
          <w:bCs/>
          <w:szCs w:val="21"/>
          <w:highlight w:val="none"/>
        </w:rPr>
      </w:pPr>
    </w:p>
    <w:p>
      <w:pPr>
        <w:snapToGrid w:val="0"/>
        <w:spacing w:beforeLines="50" w:after="50" w:line="320" w:lineRule="exact"/>
        <w:ind w:firstLine="420" w:firstLineChars="200"/>
        <w:rPr>
          <w:rFonts w:hint="eastAsia" w:asciiTheme="minorEastAsia" w:hAnsiTheme="minorEastAsia" w:eastAsiaTheme="minorEastAsia" w:cstheme="minorEastAsia"/>
          <w:bCs/>
          <w:szCs w:val="21"/>
          <w:highlight w:val="none"/>
        </w:rPr>
      </w:pPr>
    </w:p>
    <w:p>
      <w:pPr>
        <w:snapToGrid w:val="0"/>
        <w:spacing w:beforeLines="50" w:after="50" w:line="32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项目名称： </w:t>
      </w:r>
    </w:p>
    <w:p>
      <w:pPr>
        <w:snapToGrid w:val="0"/>
        <w:spacing w:beforeLines="50" w:after="50" w:line="32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项目编号：</w:t>
      </w:r>
    </w:p>
    <w:p>
      <w:pPr>
        <w:snapToGrid w:val="0"/>
        <w:spacing w:beforeLines="50" w:after="50" w:line="32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投标人名称：</w:t>
      </w:r>
    </w:p>
    <w:p>
      <w:pPr>
        <w:snapToGrid w:val="0"/>
        <w:spacing w:beforeLines="50" w:after="50" w:line="320" w:lineRule="exact"/>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投标人地址：</w:t>
      </w:r>
    </w:p>
    <w:p>
      <w:pPr>
        <w:snapToGrid w:val="0"/>
        <w:spacing w:beforeLines="50" w:after="50" w:line="320" w:lineRule="exact"/>
        <w:ind w:firstLine="3570" w:firstLineChars="1700"/>
        <w:rPr>
          <w:rFonts w:hint="eastAsia" w:asciiTheme="minorEastAsia" w:hAnsiTheme="minorEastAsia" w:eastAsiaTheme="minorEastAsia" w:cstheme="minorEastAsia"/>
          <w:szCs w:val="21"/>
          <w:highlight w:val="none"/>
        </w:rPr>
      </w:pPr>
    </w:p>
    <w:p>
      <w:pPr>
        <w:snapToGrid w:val="0"/>
        <w:spacing w:beforeLines="50" w:after="50" w:line="320" w:lineRule="exact"/>
        <w:ind w:firstLine="3570" w:firstLineChars="1700"/>
        <w:rPr>
          <w:rFonts w:hint="eastAsia" w:asciiTheme="minorEastAsia" w:hAnsiTheme="minorEastAsia" w:eastAsiaTheme="minorEastAsia" w:cstheme="minorEastAsia"/>
          <w:szCs w:val="21"/>
          <w:highlight w:val="none"/>
        </w:rPr>
      </w:pPr>
    </w:p>
    <w:p>
      <w:pPr>
        <w:snapToGrid w:val="0"/>
        <w:spacing w:beforeLines="50" w:after="50" w:line="320" w:lineRule="exact"/>
        <w:ind w:firstLine="3570" w:firstLineChars="1700"/>
        <w:rPr>
          <w:rFonts w:hint="eastAsia" w:asciiTheme="minorEastAsia" w:hAnsiTheme="minorEastAsia" w:eastAsiaTheme="minorEastAsia" w:cstheme="minorEastAsia"/>
          <w:szCs w:val="21"/>
          <w:highlight w:val="none"/>
        </w:rPr>
      </w:pPr>
    </w:p>
    <w:p>
      <w:pPr>
        <w:snapToGrid w:val="0"/>
        <w:spacing w:beforeLines="50" w:after="50" w:line="320" w:lineRule="exact"/>
        <w:ind w:firstLine="3570" w:firstLineChars="1700"/>
        <w:rPr>
          <w:rFonts w:hint="eastAsia" w:asciiTheme="minorEastAsia" w:hAnsiTheme="minorEastAsia" w:eastAsiaTheme="minorEastAsia" w:cstheme="minorEastAsia"/>
          <w:szCs w:val="21"/>
          <w:highlight w:val="none"/>
        </w:rPr>
      </w:pPr>
    </w:p>
    <w:p>
      <w:pPr>
        <w:snapToGrid w:val="0"/>
        <w:spacing w:beforeLines="50" w:after="50" w:line="320" w:lineRule="exact"/>
        <w:ind w:firstLine="3570" w:firstLineChars="1700"/>
        <w:rPr>
          <w:rFonts w:hint="eastAsia" w:asciiTheme="minorEastAsia" w:hAnsiTheme="minorEastAsia" w:eastAsiaTheme="minorEastAsia" w:cstheme="minorEastAsia"/>
          <w:szCs w:val="21"/>
          <w:highlight w:val="none"/>
        </w:rPr>
      </w:pPr>
    </w:p>
    <w:p>
      <w:pPr>
        <w:snapToGrid w:val="0"/>
        <w:spacing w:beforeLines="50" w:after="50" w:line="320" w:lineRule="exact"/>
        <w:ind w:firstLine="645"/>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年  月  日</w:t>
      </w: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szCs w:val="21"/>
          <w:highlight w:val="none"/>
        </w:rPr>
        <w:t>3.商务/</w:t>
      </w:r>
      <w:r>
        <w:rPr>
          <w:rFonts w:hint="eastAsia" w:asciiTheme="minorEastAsia" w:hAnsiTheme="minorEastAsia" w:eastAsiaTheme="minorEastAsia" w:cstheme="minorEastAsia"/>
          <w:b/>
          <w:bCs/>
          <w:szCs w:val="21"/>
          <w:highlight w:val="none"/>
        </w:rPr>
        <w:t>报价文件目录</w:t>
      </w:r>
    </w:p>
    <w:p>
      <w:pPr>
        <w:snapToGrid w:val="0"/>
        <w:spacing w:line="360" w:lineRule="auto"/>
        <w:ind w:firstLine="422" w:firstLineChars="20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▲（1）投标函 （必须提供）；</w:t>
      </w:r>
    </w:p>
    <w:p>
      <w:pPr>
        <w:snapToGrid w:val="0"/>
        <w:spacing w:line="360" w:lineRule="auto"/>
        <w:ind w:firstLine="422" w:firstLineChars="20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▲（2）投标报价明细表（必须提供）；</w:t>
      </w:r>
    </w:p>
    <w:p>
      <w:pPr>
        <w:snapToGrid w:val="0"/>
        <w:spacing w:line="360" w:lineRule="auto"/>
        <w:ind w:firstLine="632" w:firstLineChars="30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（3）投标人针对报价需要说明的其他文件和说明（格式自拟）；</w:t>
      </w:r>
    </w:p>
    <w:p>
      <w:pPr>
        <w:snapToGrid w:val="0"/>
        <w:spacing w:line="360" w:lineRule="auto"/>
        <w:ind w:firstLine="632" w:firstLineChars="30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（4）2017年1月1日至投标截止时间止投标人承接的类似项目业绩一览表（投标人同类项目实施情况一览表、合同复印件、用户验收报告、用户评价等）</w:t>
      </w:r>
    </w:p>
    <w:p>
      <w:pPr>
        <w:snapToGrid w:val="0"/>
        <w:spacing w:line="360" w:lineRule="auto"/>
        <w:ind w:firstLine="422" w:firstLineChars="20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▲（5）设备配置清单（均不含报价）（必须提供）；</w:t>
      </w:r>
    </w:p>
    <w:p>
      <w:pPr>
        <w:snapToGrid w:val="0"/>
        <w:spacing w:line="360" w:lineRule="auto"/>
        <w:ind w:firstLine="422" w:firstLineChars="20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▲（6）商务响应表（格式见附件）（必须提供）；</w:t>
      </w:r>
    </w:p>
    <w:p>
      <w:pPr>
        <w:snapToGrid w:val="0"/>
        <w:spacing w:line="360" w:lineRule="auto"/>
        <w:ind w:firstLine="632" w:firstLineChars="30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（7）投标人需要说明的其他文件和说明。</w:t>
      </w: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pStyle w:val="6"/>
        <w:rPr>
          <w:rFonts w:hint="eastAsia" w:asciiTheme="minorEastAsia" w:hAnsiTheme="minorEastAsia" w:eastAsiaTheme="minorEastAsia" w:cstheme="minorEastAsia"/>
          <w:highlight w:val="none"/>
        </w:rPr>
      </w:pPr>
    </w:p>
    <w:p>
      <w:pPr>
        <w:pStyle w:val="2"/>
        <w:ind w:firstLine="520"/>
        <w:rPr>
          <w:rFonts w:hint="eastAsia" w:asciiTheme="minorEastAsia" w:hAnsiTheme="minorEastAsia" w:eastAsiaTheme="minorEastAsia" w:cstheme="minorEastAsia"/>
          <w:highlight w:val="none"/>
        </w:rPr>
      </w:pPr>
    </w:p>
    <w:p>
      <w:pPr>
        <w:snapToGrid w:val="0"/>
        <w:spacing w:before="50" w:afterLines="50" w:line="440" w:lineRule="exact"/>
        <w:jc w:val="left"/>
        <w:rPr>
          <w:rFonts w:hint="eastAsia" w:asciiTheme="minorEastAsia" w:hAnsiTheme="minorEastAsia" w:eastAsiaTheme="minorEastAsia" w:cstheme="minorEastAsia"/>
          <w:szCs w:val="21"/>
          <w:highlight w:val="none"/>
        </w:rPr>
      </w:pPr>
    </w:p>
    <w:p>
      <w:pPr>
        <w:adjustRightInd w:val="0"/>
        <w:snapToGrid w:val="0"/>
        <w:spacing w:line="400" w:lineRule="exact"/>
        <w:ind w:firstLine="413" w:firstLineChars="196"/>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（1）投标函（必须提供）</w:t>
      </w:r>
    </w:p>
    <w:p>
      <w:pPr>
        <w:snapToGrid w:val="0"/>
        <w:spacing w:beforeLines="50" w:after="50" w:line="460" w:lineRule="exact"/>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投 标 函</w:t>
      </w:r>
    </w:p>
    <w:p>
      <w:pPr>
        <w:snapToGrid w:val="0"/>
        <w:spacing w:beforeLines="50" w:after="50" w:line="460" w:lineRule="exact"/>
        <w:jc w:val="center"/>
        <w:rPr>
          <w:rFonts w:hint="eastAsia" w:asciiTheme="minorEastAsia" w:hAnsiTheme="minorEastAsia" w:eastAsiaTheme="minorEastAsia" w:cstheme="minorEastAsia"/>
          <w:b/>
          <w:szCs w:val="21"/>
          <w:highlight w:val="none"/>
        </w:rPr>
      </w:pPr>
    </w:p>
    <w:p>
      <w:pPr>
        <w:snapToGrid w:val="0"/>
        <w:spacing w:line="460" w:lineRule="exact"/>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（招标采购单位名称）：</w:t>
      </w:r>
    </w:p>
    <w:p>
      <w:pPr>
        <w:snapToGrid w:val="0"/>
        <w:spacing w:line="460" w:lineRule="exact"/>
        <w:ind w:firstLine="480"/>
        <w:rPr>
          <w:rFonts w:ascii="宋体" w:hAnsi="宋体"/>
          <w:color w:val="auto"/>
          <w:szCs w:val="21"/>
          <w:highlight w:val="none"/>
        </w:rPr>
      </w:pPr>
      <w:r>
        <w:rPr>
          <w:rFonts w:hint="eastAsia" w:ascii="宋体" w:hAnsi="宋体"/>
          <w:color w:val="auto"/>
          <w:szCs w:val="21"/>
          <w:highlight w:val="none"/>
        </w:rPr>
        <w:t>根据贵方为</w:t>
      </w:r>
      <w:r>
        <w:rPr>
          <w:rFonts w:hint="eastAsia" w:ascii="宋体" w:hAnsi="宋体"/>
          <w:color w:val="auto"/>
          <w:szCs w:val="21"/>
          <w:highlight w:val="none"/>
          <w:u w:val="single"/>
        </w:rPr>
        <w:t xml:space="preserve">                             </w:t>
      </w:r>
      <w:r>
        <w:rPr>
          <w:rFonts w:hint="eastAsia" w:ascii="宋体" w:hAnsi="宋体"/>
          <w:color w:val="auto"/>
          <w:szCs w:val="21"/>
          <w:highlight w:val="none"/>
        </w:rPr>
        <w:t>项目的招标公告（项目编号：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），签字代表</w:t>
      </w:r>
      <w:r>
        <w:rPr>
          <w:rFonts w:hint="eastAsia" w:ascii="宋体" w:hAnsi="宋体"/>
          <w:color w:val="auto"/>
          <w:szCs w:val="21"/>
          <w:highlight w:val="none"/>
          <w:u w:val="single"/>
        </w:rPr>
        <w:t xml:space="preserve">              </w:t>
      </w:r>
      <w:r>
        <w:rPr>
          <w:rFonts w:hint="eastAsia" w:ascii="宋体" w:hAnsi="宋体"/>
          <w:color w:val="auto"/>
          <w:szCs w:val="21"/>
          <w:highlight w:val="none"/>
        </w:rPr>
        <w:t>（全名）经正式授权并代表投标人</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（投标人名称）提交资格审查文件、商务/报价文件、技术文件正本各一份、副本各</w:t>
      </w:r>
      <w:r>
        <w:rPr>
          <w:rFonts w:hint="eastAsia" w:ascii="宋体" w:hAnsi="宋体"/>
          <w:color w:val="auto"/>
          <w:szCs w:val="21"/>
          <w:highlight w:val="none"/>
          <w:u w:val="single"/>
          <w:lang w:eastAsia="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份。</w:t>
      </w:r>
    </w:p>
    <w:p>
      <w:pPr>
        <w:snapToGrid w:val="0"/>
        <w:spacing w:line="4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据此函，签字代表宣布同意如下：</w:t>
      </w:r>
    </w:p>
    <w:p>
      <w:pPr>
        <w:snapToGrid w:val="0"/>
        <w:spacing w:line="4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2.投标人在投标之前已经与贵方进行了充分的沟通，完全理解并接受招标文件的各项规定和要求，对招标文件的合理性、合法性不再有异议。</w:t>
      </w:r>
    </w:p>
    <w:p>
      <w:pPr>
        <w:snapToGrid w:val="0"/>
        <w:spacing w:line="4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3.本投标有效期自开标日起</w:t>
      </w:r>
      <w:r>
        <w:rPr>
          <w:rFonts w:hint="eastAsia" w:asciiTheme="minorEastAsia" w:hAnsiTheme="minorEastAsia" w:eastAsiaTheme="minorEastAsia" w:cstheme="minorEastAsia"/>
          <w:szCs w:val="21"/>
          <w:highlight w:val="none"/>
          <w:u w:val="single"/>
        </w:rPr>
        <w:t xml:space="preserve">   天</w:t>
      </w:r>
      <w:r>
        <w:rPr>
          <w:rFonts w:hint="eastAsia" w:asciiTheme="minorEastAsia" w:hAnsiTheme="minorEastAsia" w:eastAsiaTheme="minorEastAsia" w:cstheme="minorEastAsia"/>
          <w:szCs w:val="21"/>
          <w:highlight w:val="none"/>
        </w:rPr>
        <w:t>。</w:t>
      </w:r>
    </w:p>
    <w:p>
      <w:pPr>
        <w:snapToGrid w:val="0"/>
        <w:spacing w:line="4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4.如中标，本投标文件至本项目合同履行完毕止均保持有效，本投标人将按“招标文件”及政府采购法律、法规的规定履行合同责任和义务。</w:t>
      </w:r>
    </w:p>
    <w:p>
      <w:pPr>
        <w:snapToGrid w:val="0"/>
        <w:spacing w:line="4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5.投标人同意按照贵方要求提供与投标有关的一切数据或资料。</w:t>
      </w:r>
    </w:p>
    <w:p>
      <w:pPr>
        <w:snapToGrid w:val="0"/>
        <w:spacing w:line="46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6.与本投标有关的一切正式往来信函请寄：</w:t>
      </w:r>
    </w:p>
    <w:p>
      <w:pPr>
        <w:snapToGrid w:val="0"/>
        <w:spacing w:line="4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地址：邮编：  电话：</w:t>
      </w:r>
    </w:p>
    <w:p>
      <w:pPr>
        <w:snapToGrid w:val="0"/>
        <w:spacing w:line="4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传真：  投标人代表姓名  职务：</w:t>
      </w:r>
    </w:p>
    <w:p>
      <w:pPr>
        <w:snapToGrid w:val="0"/>
        <w:spacing w:line="4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投标人名称(公章)：</w:t>
      </w:r>
    </w:p>
    <w:p>
      <w:pPr>
        <w:snapToGrid w:val="0"/>
        <w:spacing w:line="4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开户银行：   银行帐号：</w:t>
      </w:r>
    </w:p>
    <w:p>
      <w:pPr>
        <w:snapToGrid w:val="0"/>
        <w:spacing w:line="4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法定代表人或授权代表（签字或盖章）：</w:t>
      </w:r>
    </w:p>
    <w:p>
      <w:pPr>
        <w:snapToGrid w:val="0"/>
        <w:spacing w:line="460" w:lineRule="exac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日期：年月日</w:t>
      </w:r>
    </w:p>
    <w:p>
      <w:pPr>
        <w:pStyle w:val="22"/>
        <w:snapToGrid w:val="0"/>
        <w:spacing w:before="295" w:after="295" w:line="400" w:lineRule="exact"/>
        <w:rPr>
          <w:rFonts w:hint="eastAsia" w:asciiTheme="minorEastAsia" w:hAnsiTheme="minorEastAsia" w:eastAsiaTheme="minorEastAsia" w:cstheme="minorEastAsia"/>
          <w:highlight w:val="none"/>
        </w:rPr>
      </w:pPr>
    </w:p>
    <w:p>
      <w:pPr>
        <w:snapToGrid w:val="0"/>
        <w:spacing w:line="460" w:lineRule="exact"/>
        <w:rPr>
          <w:rFonts w:hint="eastAsia" w:asciiTheme="minorEastAsia" w:hAnsiTheme="minorEastAsia" w:eastAsiaTheme="minorEastAsia" w:cstheme="minorEastAsia"/>
          <w:szCs w:val="21"/>
          <w:highlight w:val="none"/>
        </w:rPr>
      </w:pPr>
    </w:p>
    <w:p>
      <w:pPr>
        <w:snapToGrid w:val="0"/>
        <w:spacing w:line="320" w:lineRule="exact"/>
        <w:ind w:firstLine="211" w:firstLineChars="100"/>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szCs w:val="21"/>
          <w:highlight w:val="none"/>
        </w:rPr>
        <w:br w:type="page"/>
      </w:r>
      <w:r>
        <w:rPr>
          <w:rFonts w:hint="eastAsia" w:asciiTheme="minorEastAsia" w:hAnsiTheme="minorEastAsia" w:eastAsiaTheme="minorEastAsia" w:cstheme="minorEastAsia"/>
          <w:b/>
          <w:szCs w:val="21"/>
          <w:highlight w:val="none"/>
        </w:rPr>
        <w:t>（2）</w:t>
      </w:r>
      <w:r>
        <w:rPr>
          <w:rFonts w:hint="eastAsia" w:asciiTheme="minorEastAsia" w:hAnsiTheme="minorEastAsia" w:eastAsiaTheme="minorEastAsia" w:cstheme="minorEastAsia"/>
          <w:b/>
          <w:bCs/>
          <w:szCs w:val="21"/>
          <w:highlight w:val="none"/>
        </w:rPr>
        <w:t>投标报价明细表；（必须提供）</w:t>
      </w:r>
    </w:p>
    <w:p>
      <w:pPr>
        <w:pStyle w:val="22"/>
        <w:snapToGrid w:val="0"/>
        <w:spacing w:before="295" w:after="295" w:line="400" w:lineRule="exact"/>
        <w:jc w:val="center"/>
        <w:rPr>
          <w:rFonts w:hint="eastAsia" w:asciiTheme="minorEastAsia" w:hAnsiTheme="minorEastAsia" w:eastAsiaTheme="minorEastAsia" w:cstheme="minorEastAsia"/>
          <w:b/>
          <w:sz w:val="21"/>
          <w:highlight w:val="none"/>
        </w:rPr>
      </w:pPr>
      <w:r>
        <w:rPr>
          <w:rFonts w:hint="eastAsia" w:asciiTheme="minorEastAsia" w:hAnsiTheme="minorEastAsia" w:eastAsiaTheme="minorEastAsia" w:cstheme="minorEastAsia"/>
          <w:b/>
          <w:sz w:val="21"/>
          <w:highlight w:val="none"/>
        </w:rPr>
        <w:t>投标报价明细表</w:t>
      </w:r>
    </w:p>
    <w:p>
      <w:pPr>
        <w:pStyle w:val="22"/>
        <w:snapToGrid w:val="0"/>
        <w:spacing w:before="295" w:after="295" w:line="400" w:lineRule="exact"/>
        <w:ind w:firstLine="3570" w:firstLineChars="17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sz w:val="21"/>
          <w:highlight w:val="none"/>
        </w:rPr>
        <w:t xml:space="preserve">                 金额单位：人民币</w:t>
      </w:r>
      <w:r>
        <w:rPr>
          <w:rFonts w:hint="eastAsia" w:asciiTheme="minorEastAsia" w:hAnsiTheme="minorEastAsia" w:eastAsiaTheme="minorEastAsia" w:cstheme="minorEastAsia"/>
          <w:highlight w:val="none"/>
        </w:rPr>
        <w:t>（元）</w:t>
      </w:r>
    </w:p>
    <w:tbl>
      <w:tblPr>
        <w:tblStyle w:val="34"/>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2520"/>
        <w:gridCol w:w="8"/>
        <w:gridCol w:w="1612"/>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r>
              <w:rPr>
                <w:rFonts w:hint="eastAsia" w:asciiTheme="minorEastAsia" w:hAnsiTheme="minorEastAsia" w:eastAsiaTheme="minorEastAsia" w:cstheme="minorEastAsia"/>
                <w:szCs w:val="21"/>
                <w:highlight w:val="none"/>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项目名称</w:t>
            </w: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项目内容</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r>
              <w:rPr>
                <w:rFonts w:hint="eastAsia" w:asciiTheme="minorEastAsia" w:hAnsiTheme="minorEastAsia" w:eastAsiaTheme="minorEastAsia" w:cstheme="minorEastAsia"/>
                <w:spacing w:val="20"/>
                <w:szCs w:val="21"/>
                <w:highlight w:val="none"/>
              </w:rPr>
              <w:t>1</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25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r>
              <w:rPr>
                <w:rFonts w:hint="eastAsia" w:asciiTheme="minorEastAsia" w:hAnsiTheme="minorEastAsia" w:eastAsiaTheme="minorEastAsia" w:cstheme="minorEastAsia"/>
                <w:spacing w:val="20"/>
                <w:szCs w:val="21"/>
                <w:highlight w:val="none"/>
              </w:rPr>
              <w:t>2</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25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r>
              <w:rPr>
                <w:rFonts w:hint="eastAsia" w:asciiTheme="minorEastAsia" w:hAnsiTheme="minorEastAsia" w:eastAsiaTheme="minorEastAsia" w:cstheme="minorEastAsia"/>
                <w:spacing w:val="20"/>
                <w:szCs w:val="21"/>
                <w:highlight w:val="none"/>
              </w:rPr>
              <w:t>…</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25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0" w:type="dxa"/>
            <w:gridSpan w:val="7"/>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r>
              <w:rPr>
                <w:rFonts w:hint="eastAsia" w:asciiTheme="minorEastAsia" w:hAnsiTheme="minorEastAsia" w:eastAsiaTheme="minorEastAsia" w:cstheme="minorEastAsia"/>
                <w:spacing w:val="20"/>
                <w:szCs w:val="21"/>
                <w:highlight w:val="none"/>
              </w:rPr>
              <w:t>投标费用及利润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4140" w:type="dxa"/>
            <w:gridSpan w:val="2"/>
            <w:tcBorders>
              <w:top w:val="single" w:color="auto" w:sz="4" w:space="0"/>
              <w:left w:val="single" w:color="auto" w:sz="4" w:space="0"/>
              <w:bottom w:val="single" w:color="auto" w:sz="4" w:space="0"/>
              <w:right w:val="single" w:color="auto" w:sz="4" w:space="0"/>
            </w:tcBorders>
          </w:tcPr>
          <w:p>
            <w:pPr>
              <w:pStyle w:val="94"/>
              <w:tabs>
                <w:tab w:val="left" w:pos="1418"/>
              </w:tabs>
              <w:snapToGrid w:val="0"/>
              <w:spacing w:before="50" w:after="50" w:line="400" w:lineRule="exact"/>
              <w:rPr>
                <w:rFonts w:hint="eastAsia" w:asciiTheme="minorEastAsia" w:hAnsiTheme="minorEastAsia" w:eastAsiaTheme="minorEastAsia" w:cstheme="minorEastAsia"/>
                <w:spacing w:val="20"/>
                <w:sz w:val="21"/>
                <w:szCs w:val="21"/>
                <w:highlight w:val="none"/>
              </w:rPr>
            </w:pPr>
            <w:r>
              <w:rPr>
                <w:rFonts w:hint="eastAsia" w:asciiTheme="minorEastAsia" w:hAnsiTheme="minorEastAsia" w:eastAsiaTheme="minorEastAsia" w:cstheme="minorEastAsia"/>
                <w:spacing w:val="20"/>
                <w:sz w:val="21"/>
                <w:szCs w:val="21"/>
                <w:highlight w:val="none"/>
              </w:rPr>
              <w:t>其他：</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4148"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rPr>
                <w:rFonts w:hint="eastAsia" w:asciiTheme="minorEastAsia" w:hAnsiTheme="minorEastAsia" w:eastAsiaTheme="minorEastAsia" w:cstheme="minorEastAsia"/>
                <w:spacing w:val="20"/>
                <w:szCs w:val="21"/>
                <w:highlight w:val="none"/>
              </w:rPr>
            </w:pPr>
            <w:r>
              <w:rPr>
                <w:rFonts w:hint="eastAsia" w:asciiTheme="minorEastAsia" w:hAnsiTheme="minorEastAsia" w:eastAsiaTheme="minorEastAsia" w:cstheme="minorEastAsia"/>
                <w:spacing w:val="20"/>
                <w:szCs w:val="21"/>
                <w:highlight w:val="none"/>
              </w:rPr>
              <w:t>税费及附加</w:t>
            </w:r>
          </w:p>
        </w:tc>
        <w:tc>
          <w:tcPr>
            <w:tcW w:w="287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ind w:left="8"/>
              <w:rPr>
                <w:rFonts w:hint="eastAsia" w:asciiTheme="minorEastAsia" w:hAnsiTheme="minorEastAsia" w:eastAsiaTheme="minorEastAsia" w:cstheme="minorEastAsia"/>
                <w:spacing w:val="20"/>
                <w:szCs w:val="21"/>
                <w:highlight w:val="none"/>
              </w:rPr>
            </w:pPr>
            <w:r>
              <w:rPr>
                <w:rFonts w:hint="eastAsia" w:asciiTheme="minorEastAsia" w:hAnsiTheme="minorEastAsia" w:eastAsiaTheme="minorEastAsia" w:cstheme="minorEastAsia"/>
                <w:spacing w:val="20"/>
                <w:szCs w:val="21"/>
                <w:highlight w:val="none"/>
              </w:rPr>
              <w:t>税费率：%</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c>
          <w:tcPr>
            <w:tcW w:w="4148"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rPr>
                <w:rFonts w:hint="eastAsia" w:asciiTheme="minorEastAsia" w:hAnsiTheme="minorEastAsia" w:eastAsiaTheme="minorEastAsia" w:cstheme="minorEastAsia"/>
                <w:spacing w:val="20"/>
                <w:szCs w:val="21"/>
                <w:highlight w:val="none"/>
              </w:rPr>
            </w:pPr>
            <w:r>
              <w:rPr>
                <w:rFonts w:hint="eastAsia" w:asciiTheme="minorEastAsia" w:hAnsiTheme="minorEastAsia" w:eastAsiaTheme="minorEastAsia" w:cstheme="minorEastAsia"/>
                <w:spacing w:val="20"/>
                <w:szCs w:val="21"/>
                <w:highlight w:val="none"/>
              </w:rPr>
              <w:t>项目毛利</w:t>
            </w:r>
          </w:p>
        </w:tc>
        <w:tc>
          <w:tcPr>
            <w:tcW w:w="287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ind w:left="8"/>
              <w:rPr>
                <w:rFonts w:hint="eastAsia" w:asciiTheme="minorEastAsia" w:hAnsiTheme="minorEastAsia" w:eastAsiaTheme="minorEastAsia" w:cstheme="minorEastAsia"/>
                <w:spacing w:val="20"/>
                <w:szCs w:val="21"/>
                <w:highlight w:val="none"/>
              </w:rPr>
            </w:pPr>
            <w:r>
              <w:rPr>
                <w:rFonts w:hint="eastAsia" w:asciiTheme="minorEastAsia" w:hAnsiTheme="minorEastAsia" w:eastAsiaTheme="minorEastAsia" w:cstheme="minorEastAsia"/>
                <w:spacing w:val="20"/>
                <w:szCs w:val="21"/>
                <w:highlight w:val="none"/>
              </w:rPr>
              <w:t>毛利率：%</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60" w:type="dxa"/>
            <w:gridSpan w:val="6"/>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r>
              <w:rPr>
                <w:rFonts w:hint="eastAsia" w:asciiTheme="minorEastAsia" w:hAnsiTheme="minorEastAsia" w:eastAsiaTheme="minorEastAsia" w:cstheme="minorEastAsia"/>
                <w:spacing w:val="20"/>
                <w:szCs w:val="21"/>
                <w:highlight w:val="none"/>
              </w:rPr>
              <w:t>投 标 总  价</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spacing w:val="20"/>
                <w:szCs w:val="21"/>
                <w:highlight w:val="none"/>
              </w:rPr>
            </w:pPr>
          </w:p>
        </w:tc>
      </w:tr>
    </w:tbl>
    <w:p>
      <w:pPr>
        <w:tabs>
          <w:tab w:val="left" w:pos="1418"/>
        </w:tabs>
        <w:snapToGrid w:val="0"/>
        <w:spacing w:before="50" w:after="50" w:line="400" w:lineRule="exact"/>
        <w:ind w:left="1418" w:hanging="567"/>
        <w:jc w:val="center"/>
        <w:rPr>
          <w:rFonts w:hint="eastAsia" w:asciiTheme="minorEastAsia" w:hAnsiTheme="minorEastAsia" w:eastAsiaTheme="minorEastAsia" w:cstheme="minorEastAsia"/>
          <w:spacing w:val="20"/>
          <w:szCs w:val="21"/>
          <w:highlight w:val="none"/>
          <w:u w:val="single"/>
        </w:rPr>
      </w:pPr>
    </w:p>
    <w:p>
      <w:pPr>
        <w:snapToGrid w:val="0"/>
        <w:spacing w:before="50" w:after="50" w:line="320" w:lineRule="exact"/>
        <w:ind w:left="-2" w:right="-817" w:rightChars="-389"/>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法定代表人或授权代表（签字或盖章）：</w:t>
      </w:r>
    </w:p>
    <w:p>
      <w:pPr>
        <w:pStyle w:val="22"/>
        <w:snapToGrid w:val="0"/>
        <w:spacing w:before="295" w:after="295" w:line="400" w:lineRule="exac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投标人名称（公章）：</w:t>
      </w:r>
    </w:p>
    <w:p>
      <w:pPr>
        <w:pStyle w:val="22"/>
        <w:snapToGrid w:val="0"/>
        <w:spacing w:before="295" w:after="295" w:line="400" w:lineRule="exac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日期：年月日</w:t>
      </w:r>
    </w:p>
    <w:p>
      <w:pPr>
        <w:snapToGrid w:val="0"/>
        <w:spacing w:line="320" w:lineRule="exact"/>
        <w:jc w:val="left"/>
        <w:rPr>
          <w:rFonts w:hint="eastAsia" w:asciiTheme="minorEastAsia" w:hAnsiTheme="minorEastAsia" w:eastAsiaTheme="minorEastAsia" w:cstheme="minorEastAsia"/>
          <w:szCs w:val="21"/>
          <w:highlight w:val="none"/>
        </w:rPr>
      </w:pPr>
    </w:p>
    <w:p>
      <w:pPr>
        <w:snapToGrid w:val="0"/>
        <w:spacing w:line="320" w:lineRule="exact"/>
        <w:ind w:firstLine="211" w:firstLineChars="100"/>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br w:type="page"/>
      </w:r>
      <w:r>
        <w:rPr>
          <w:rFonts w:hint="eastAsia" w:asciiTheme="minorEastAsia" w:hAnsiTheme="minorEastAsia" w:eastAsiaTheme="minorEastAsia" w:cstheme="minorEastAsia"/>
          <w:b/>
          <w:bCs/>
          <w:szCs w:val="21"/>
          <w:highlight w:val="none"/>
        </w:rPr>
        <w:t>（3）投标人针对报价需要说明的其他文件和说明（格式自拟）</w:t>
      </w:r>
    </w:p>
    <w:p>
      <w:pPr>
        <w:snapToGrid w:val="0"/>
        <w:spacing w:line="320" w:lineRule="exact"/>
        <w:ind w:firstLine="210" w:firstLineChars="100"/>
        <w:jc w:val="left"/>
        <w:rPr>
          <w:rFonts w:hint="eastAsia" w:asciiTheme="minorEastAsia" w:hAnsiTheme="minorEastAsia" w:eastAsiaTheme="minorEastAsia" w:cstheme="minorEastAsia"/>
          <w:szCs w:val="21"/>
          <w:highlight w:val="none"/>
        </w:rPr>
      </w:pPr>
    </w:p>
    <w:p>
      <w:pPr>
        <w:numPr>
          <w:ilvl w:val="255"/>
          <w:numId w:val="0"/>
        </w:numPr>
        <w:snapToGrid w:val="0"/>
        <w:spacing w:line="320" w:lineRule="exact"/>
        <w:jc w:val="center"/>
        <w:rPr>
          <w:rFonts w:hint="eastAsia" w:asciiTheme="minorEastAsia" w:hAnsiTheme="minorEastAsia" w:eastAsiaTheme="minorEastAsia" w:cstheme="minorEastAsia"/>
          <w:b/>
          <w:bCs/>
          <w:szCs w:val="21"/>
          <w:highlight w:val="none"/>
        </w:rPr>
      </w:pPr>
    </w:p>
    <w:p>
      <w:pPr>
        <w:pStyle w:val="2"/>
        <w:ind w:firstLine="522"/>
        <w:rPr>
          <w:rFonts w:hint="eastAsia" w:asciiTheme="minorEastAsia" w:hAnsiTheme="minorEastAsia" w:eastAsiaTheme="minorEastAsia" w:cstheme="minorEastAsia"/>
          <w:b/>
          <w:bCs/>
          <w:szCs w:val="21"/>
          <w:highlight w:val="none"/>
        </w:rPr>
      </w:pPr>
    </w:p>
    <w:p>
      <w:pPr>
        <w:adjustRightInd w:val="0"/>
        <w:snapToGrid w:val="0"/>
        <w:spacing w:line="400" w:lineRule="exact"/>
        <w:ind w:firstLine="422"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（4）2017年1月1日至投标截止时间止投标人承接的类似项目业绩一览表（投标人同类项目实施情况一览表、合同复印件、用户验收报告、用户评价等）。</w:t>
      </w:r>
    </w:p>
    <w:p>
      <w:pPr>
        <w:pStyle w:val="2"/>
        <w:ind w:firstLine="522"/>
        <w:rPr>
          <w:rFonts w:hint="eastAsia" w:asciiTheme="minorEastAsia" w:hAnsiTheme="minorEastAsia" w:eastAsiaTheme="minorEastAsia" w:cstheme="minorEastAsia"/>
          <w:b/>
          <w:bCs/>
          <w:szCs w:val="21"/>
          <w:highlight w:val="none"/>
        </w:rPr>
      </w:pPr>
    </w:p>
    <w:p>
      <w:pPr>
        <w:pStyle w:val="2"/>
        <w:ind w:firstLine="522"/>
        <w:rPr>
          <w:rFonts w:hint="eastAsia" w:asciiTheme="minorEastAsia" w:hAnsiTheme="minorEastAsia" w:eastAsiaTheme="minorEastAsia" w:cstheme="minorEastAsia"/>
          <w:b/>
          <w:bCs/>
          <w:szCs w:val="21"/>
          <w:highlight w:val="none"/>
        </w:rPr>
      </w:pP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3"/>
        <w:gridCol w:w="2384"/>
        <w:gridCol w:w="753"/>
        <w:gridCol w:w="754"/>
        <w:gridCol w:w="1004"/>
        <w:gridCol w:w="502"/>
        <w:gridCol w:w="502"/>
        <w:gridCol w:w="502"/>
        <w:gridCol w:w="15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9" w:hRule="atLeast"/>
        </w:trPr>
        <w:tc>
          <w:tcPr>
            <w:tcW w:w="183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采购单位名称</w:t>
            </w:r>
          </w:p>
        </w:tc>
        <w:tc>
          <w:tcPr>
            <w:tcW w:w="238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设备或项目名称</w:t>
            </w:r>
          </w:p>
        </w:tc>
        <w:tc>
          <w:tcPr>
            <w:tcW w:w="75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采购</w:t>
            </w:r>
          </w:p>
          <w:p>
            <w:pPr>
              <w:snapToGrid w:val="0"/>
              <w:spacing w:line="24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数量</w:t>
            </w:r>
          </w:p>
        </w:tc>
        <w:tc>
          <w:tcPr>
            <w:tcW w:w="75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单价</w:t>
            </w: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合同</w:t>
            </w:r>
          </w:p>
          <w:p>
            <w:pPr>
              <w:snapToGrid w:val="0"/>
              <w:spacing w:line="24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金额</w:t>
            </w:r>
          </w:p>
          <w:p>
            <w:pPr>
              <w:snapToGrid w:val="0"/>
              <w:spacing w:line="24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（万元）</w:t>
            </w:r>
          </w:p>
        </w:tc>
        <w:tc>
          <w:tcPr>
            <w:tcW w:w="150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附件页码</w:t>
            </w:r>
          </w:p>
        </w:tc>
        <w:tc>
          <w:tcPr>
            <w:tcW w:w="15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采购单位联系人及</w:t>
            </w:r>
          </w:p>
          <w:p>
            <w:pPr>
              <w:snapToGrid w:val="0"/>
              <w:spacing w:line="24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8" w:hRule="atLeast"/>
        </w:trPr>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highlight w:val="none"/>
              </w:rPr>
            </w:pPr>
          </w:p>
        </w:tc>
        <w:tc>
          <w:tcPr>
            <w:tcW w:w="2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highlight w:val="none"/>
              </w:rPr>
            </w:pPr>
          </w:p>
        </w:tc>
        <w:tc>
          <w:tcPr>
            <w:tcW w:w="7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highlight w:val="none"/>
              </w:rPr>
            </w:pP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highlight w:val="none"/>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highlight w:val="none"/>
              </w:rPr>
            </w:pPr>
          </w:p>
        </w:tc>
        <w:tc>
          <w:tcPr>
            <w:tcW w:w="150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合同</w:t>
            </w: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sz w:val="24"/>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sz w:val="24"/>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sz w:val="24"/>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sz w:val="24"/>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sz w:val="24"/>
                <w:highlight w:val="none"/>
              </w:rPr>
            </w:pPr>
          </w:p>
        </w:tc>
      </w:tr>
    </w:tbl>
    <w:p>
      <w:pPr>
        <w:adjustRightInd w:val="0"/>
        <w:snapToGrid w:val="0"/>
        <w:spacing w:line="400" w:lineRule="exact"/>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br w:type="page"/>
      </w:r>
      <w:r>
        <w:rPr>
          <w:rFonts w:hint="eastAsia" w:asciiTheme="minorEastAsia" w:hAnsiTheme="minorEastAsia" w:eastAsiaTheme="minorEastAsia" w:cstheme="minorEastAsia"/>
          <w:b/>
          <w:bCs/>
          <w:szCs w:val="21"/>
          <w:highlight w:val="none"/>
        </w:rPr>
        <w:t>（5）设备配置清单（均不含报价）；（必须提供）</w:t>
      </w:r>
    </w:p>
    <w:p>
      <w:pPr>
        <w:pStyle w:val="2"/>
        <w:ind w:firstLine="0" w:firstLineChars="0"/>
        <w:rPr>
          <w:rFonts w:hint="eastAsia" w:asciiTheme="minorEastAsia" w:hAnsiTheme="minorEastAsia" w:eastAsiaTheme="minorEastAsia" w:cstheme="minorEastAsia"/>
          <w:highlight w:val="none"/>
        </w:rPr>
      </w:pPr>
    </w:p>
    <w:tbl>
      <w:tblPr>
        <w:tblStyle w:val="3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规格型号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单位及数量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r>
    </w:tbl>
    <w:p>
      <w:pPr>
        <w:adjustRightInd w:val="0"/>
        <w:snapToGrid w:val="0"/>
        <w:spacing w:line="400" w:lineRule="exact"/>
        <w:ind w:firstLine="211" w:firstLineChars="100"/>
        <w:jc w:val="left"/>
        <w:rPr>
          <w:rFonts w:hint="eastAsia" w:asciiTheme="minorEastAsia" w:hAnsiTheme="minorEastAsia" w:eastAsiaTheme="minorEastAsia" w:cstheme="minorEastAsia"/>
          <w:b/>
          <w:bCs/>
          <w:szCs w:val="21"/>
          <w:highlight w:val="none"/>
        </w:rPr>
      </w:pPr>
    </w:p>
    <w:p>
      <w:pPr>
        <w:pStyle w:val="2"/>
        <w:ind w:firstLine="522"/>
        <w:rPr>
          <w:rFonts w:hint="eastAsia" w:asciiTheme="minorEastAsia" w:hAnsiTheme="minorEastAsia" w:eastAsiaTheme="minorEastAsia" w:cstheme="minorEastAsia"/>
          <w:b/>
          <w:bCs/>
          <w:szCs w:val="21"/>
          <w:highlight w:val="none"/>
        </w:rPr>
      </w:pPr>
    </w:p>
    <w:p>
      <w:pPr>
        <w:pStyle w:val="2"/>
        <w:ind w:firstLine="522"/>
        <w:rPr>
          <w:rFonts w:hint="eastAsia" w:asciiTheme="minorEastAsia" w:hAnsiTheme="minorEastAsia" w:eastAsiaTheme="minorEastAsia" w:cstheme="minorEastAsia"/>
          <w:b/>
          <w:bCs/>
          <w:szCs w:val="21"/>
          <w:highlight w:val="none"/>
        </w:rPr>
      </w:pPr>
    </w:p>
    <w:p>
      <w:pPr>
        <w:pStyle w:val="2"/>
        <w:ind w:firstLine="522"/>
        <w:rPr>
          <w:rFonts w:hint="eastAsia" w:asciiTheme="minorEastAsia" w:hAnsiTheme="minorEastAsia" w:eastAsiaTheme="minorEastAsia" w:cstheme="minorEastAsia"/>
          <w:b/>
          <w:bCs/>
          <w:szCs w:val="21"/>
          <w:highlight w:val="none"/>
        </w:rPr>
      </w:pPr>
    </w:p>
    <w:p>
      <w:pPr>
        <w:snapToGrid w:val="0"/>
        <w:spacing w:line="440" w:lineRule="exact"/>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法定代表人或授权代表签名：</w:t>
      </w:r>
    </w:p>
    <w:p>
      <w:pPr>
        <w:snapToGrid w:val="0"/>
        <w:spacing w:line="440" w:lineRule="exact"/>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投标人盖章：</w:t>
      </w:r>
    </w:p>
    <w:p>
      <w:pPr>
        <w:adjustRightInd w:val="0"/>
        <w:snapToGrid w:val="0"/>
        <w:spacing w:line="400" w:lineRule="exact"/>
        <w:ind w:firstLine="420" w:firstLineChars="200"/>
        <w:jc w:val="left"/>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日期：</w:t>
      </w:r>
    </w:p>
    <w:p>
      <w:pPr>
        <w:pStyle w:val="2"/>
        <w:ind w:firstLine="520"/>
        <w:rPr>
          <w:rFonts w:hint="eastAsia" w:asciiTheme="minorEastAsia" w:hAnsiTheme="minorEastAsia" w:eastAsiaTheme="minorEastAsia" w:cstheme="minorEastAsia"/>
          <w:szCs w:val="21"/>
          <w:highlight w:val="none"/>
          <w:u w:val="single"/>
        </w:rPr>
      </w:pPr>
    </w:p>
    <w:p>
      <w:pPr>
        <w:pStyle w:val="2"/>
        <w:ind w:firstLine="520"/>
        <w:rPr>
          <w:rFonts w:hint="eastAsia" w:asciiTheme="minorEastAsia" w:hAnsiTheme="minorEastAsia" w:eastAsiaTheme="minorEastAsia" w:cstheme="minorEastAsia"/>
          <w:szCs w:val="21"/>
          <w:highlight w:val="none"/>
          <w:u w:val="single"/>
        </w:rPr>
      </w:pPr>
    </w:p>
    <w:p>
      <w:pPr>
        <w:pStyle w:val="2"/>
        <w:ind w:firstLine="522"/>
        <w:jc w:val="center"/>
        <w:rPr>
          <w:rFonts w:hint="eastAsia" w:asciiTheme="minorEastAsia" w:hAnsiTheme="minorEastAsia" w:eastAsiaTheme="minorEastAsia" w:cstheme="minorEastAsia"/>
          <w:b/>
          <w:bCs/>
          <w:szCs w:val="21"/>
          <w:highlight w:val="none"/>
          <w:u w:val="single"/>
        </w:rPr>
      </w:pPr>
      <w:r>
        <w:rPr>
          <w:rFonts w:hint="eastAsia" w:asciiTheme="minorEastAsia" w:hAnsiTheme="minorEastAsia" w:eastAsiaTheme="minorEastAsia" w:cstheme="minorEastAsia"/>
          <w:b/>
          <w:bCs/>
          <w:szCs w:val="21"/>
          <w:highlight w:val="none"/>
        </w:rPr>
        <w:br w:type="page"/>
      </w:r>
      <w:r>
        <w:rPr>
          <w:rFonts w:hint="eastAsia" w:asciiTheme="minorEastAsia" w:hAnsiTheme="minorEastAsia" w:eastAsiaTheme="minorEastAsia" w:cstheme="minorEastAsia"/>
          <w:b/>
          <w:bCs/>
          <w:spacing w:val="0"/>
          <w:kern w:val="2"/>
          <w:sz w:val="21"/>
          <w:szCs w:val="21"/>
          <w:highlight w:val="none"/>
        </w:rPr>
        <w:t>（6）商务响应表（格式见附件）（必须提供）</w:t>
      </w:r>
    </w:p>
    <w:p>
      <w:pPr>
        <w:pStyle w:val="2"/>
        <w:ind w:firstLine="520"/>
        <w:rPr>
          <w:rFonts w:hint="eastAsia" w:asciiTheme="minorEastAsia" w:hAnsiTheme="minorEastAsia" w:eastAsiaTheme="minorEastAsia" w:cstheme="minorEastAsia"/>
          <w:szCs w:val="21"/>
          <w:highlight w:val="none"/>
          <w:u w:val="single"/>
        </w:rPr>
      </w:pP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1"/>
        <w:gridCol w:w="3037"/>
        <w:gridCol w:w="1443"/>
        <w:gridCol w:w="26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9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项目</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招标文件要求</w:t>
            </w: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是否响应</w:t>
            </w: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Cs w:val="21"/>
                <w:highlight w:val="none"/>
              </w:rPr>
              <w:t>质保期</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Cs w:val="21"/>
                <w:highlight w:val="none"/>
              </w:rPr>
              <w:t>投标报价</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Cs w:val="21"/>
                <w:highlight w:val="none"/>
              </w:rPr>
              <w:t>服务要求</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hint="eastAsia" w:asciiTheme="minorEastAsia" w:hAnsiTheme="minorEastAsia" w:eastAsiaTheme="minorEastAsia" w:cstheme="minorEastAsia"/>
                <w:sz w:val="24"/>
                <w:highlight w:val="none"/>
                <w:u w:val="singl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ind w:left="43"/>
              <w:jc w:val="center"/>
              <w:rPr>
                <w:rFonts w:hint="eastAsia" w:asciiTheme="minorEastAsia" w:hAnsiTheme="minorEastAsia" w:eastAsiaTheme="minorEastAsia" w:cstheme="minorEastAsia"/>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ind w:left="43"/>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Cs w:val="21"/>
                <w:highlight w:val="none"/>
              </w:rPr>
              <w:t>交货时间及地点</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hint="eastAsia" w:asciiTheme="minorEastAsia" w:hAnsiTheme="minorEastAsia" w:eastAsiaTheme="minorEastAsia" w:cstheme="minorEastAsia"/>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Cs w:val="21"/>
                <w:highlight w:val="none"/>
              </w:rPr>
              <w:t>签订合同日期</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Cs w:val="21"/>
                <w:highlight w:val="none"/>
              </w:rPr>
              <w:t>付款方式</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Cs/>
                <w:szCs w:val="21"/>
                <w:highlight w:val="none"/>
              </w:rPr>
              <w:t>货物验收</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szCs w:val="21"/>
                <w:highlight w:val="none"/>
              </w:rPr>
              <w:t>其他要求</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sz w:val="24"/>
                <w:highlight w:val="none"/>
              </w:rPr>
            </w:pPr>
          </w:p>
        </w:tc>
      </w:tr>
    </w:tbl>
    <w:p>
      <w:pPr>
        <w:snapToGrid w:val="0"/>
        <w:spacing w:line="320" w:lineRule="exact"/>
        <w:jc w:val="left"/>
        <w:rPr>
          <w:rFonts w:hint="eastAsia" w:asciiTheme="minorEastAsia" w:hAnsiTheme="minorEastAsia" w:eastAsiaTheme="minorEastAsia" w:cstheme="minorEastAsia"/>
          <w:szCs w:val="21"/>
          <w:highlight w:val="none"/>
        </w:rPr>
      </w:pPr>
    </w:p>
    <w:p>
      <w:pPr>
        <w:snapToGrid w:val="0"/>
        <w:spacing w:line="320" w:lineRule="exact"/>
        <w:jc w:val="left"/>
        <w:rPr>
          <w:rFonts w:hint="eastAsia" w:asciiTheme="minorEastAsia" w:hAnsiTheme="minorEastAsia" w:eastAsiaTheme="minorEastAsia" w:cstheme="minorEastAsia"/>
          <w:szCs w:val="21"/>
          <w:highlight w:val="none"/>
        </w:rPr>
      </w:pPr>
    </w:p>
    <w:p>
      <w:pPr>
        <w:snapToGrid w:val="0"/>
        <w:spacing w:line="320" w:lineRule="exact"/>
        <w:jc w:val="left"/>
        <w:rPr>
          <w:rFonts w:hint="eastAsia" w:asciiTheme="minorEastAsia" w:hAnsiTheme="minorEastAsia" w:eastAsiaTheme="minorEastAsia" w:cstheme="minorEastAsia"/>
          <w:szCs w:val="21"/>
          <w:highlight w:val="none"/>
        </w:rPr>
      </w:pPr>
    </w:p>
    <w:p>
      <w:pPr>
        <w:snapToGrid w:val="0"/>
        <w:spacing w:line="320" w:lineRule="exact"/>
        <w:jc w:val="left"/>
        <w:rPr>
          <w:rFonts w:hint="eastAsia" w:asciiTheme="minorEastAsia" w:hAnsiTheme="minorEastAsia" w:eastAsiaTheme="minorEastAsia" w:cstheme="minorEastAsia"/>
          <w:szCs w:val="21"/>
          <w:highlight w:val="none"/>
        </w:rPr>
      </w:pPr>
    </w:p>
    <w:p>
      <w:pPr>
        <w:snapToGrid w:val="0"/>
        <w:spacing w:line="320" w:lineRule="exact"/>
        <w:jc w:val="left"/>
        <w:rPr>
          <w:rFonts w:hint="eastAsia" w:asciiTheme="minorEastAsia" w:hAnsiTheme="minorEastAsia" w:eastAsiaTheme="minorEastAsia" w:cstheme="minorEastAsia"/>
          <w:szCs w:val="21"/>
          <w:highlight w:val="none"/>
        </w:rPr>
      </w:pPr>
    </w:p>
    <w:p>
      <w:pPr>
        <w:snapToGrid w:val="0"/>
        <w:spacing w:line="440" w:lineRule="exact"/>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法定代表人或授权代表签名：</w:t>
      </w:r>
    </w:p>
    <w:p>
      <w:pPr>
        <w:snapToGrid w:val="0"/>
        <w:spacing w:line="440" w:lineRule="exact"/>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投标人盖章：</w:t>
      </w:r>
    </w:p>
    <w:p>
      <w:pPr>
        <w:snapToGrid w:val="0"/>
        <w:spacing w:line="320" w:lineRule="exact"/>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日期：</w:t>
      </w:r>
    </w:p>
    <w:p>
      <w:pPr>
        <w:adjustRightInd w:val="0"/>
        <w:snapToGrid w:val="0"/>
        <w:spacing w:line="400" w:lineRule="exact"/>
        <w:rPr>
          <w:rFonts w:hint="eastAsia" w:asciiTheme="minorEastAsia" w:hAnsiTheme="minorEastAsia" w:eastAsiaTheme="minorEastAsia" w:cstheme="minorEastAsia"/>
          <w:b/>
          <w:bCs/>
          <w:szCs w:val="21"/>
          <w:highlight w:val="none"/>
        </w:rPr>
      </w:pPr>
    </w:p>
    <w:p>
      <w:pPr>
        <w:adjustRightInd w:val="0"/>
        <w:snapToGrid w:val="0"/>
        <w:spacing w:line="400" w:lineRule="exact"/>
        <w:rPr>
          <w:rFonts w:hint="eastAsia" w:asciiTheme="minorEastAsia" w:hAnsiTheme="minorEastAsia" w:eastAsiaTheme="minorEastAsia" w:cstheme="minorEastAsia"/>
          <w:b/>
          <w:bCs/>
          <w:szCs w:val="21"/>
          <w:highlight w:val="none"/>
        </w:rPr>
      </w:pPr>
    </w:p>
    <w:p>
      <w:pPr>
        <w:adjustRightInd w:val="0"/>
        <w:snapToGrid w:val="0"/>
        <w:spacing w:line="400" w:lineRule="exact"/>
        <w:rPr>
          <w:rFonts w:hint="eastAsia" w:asciiTheme="minorEastAsia" w:hAnsiTheme="minorEastAsia" w:eastAsiaTheme="minorEastAsia" w:cstheme="minorEastAsia"/>
          <w:b/>
          <w:bCs/>
          <w:szCs w:val="21"/>
          <w:highlight w:val="none"/>
        </w:rPr>
      </w:pPr>
    </w:p>
    <w:p>
      <w:pPr>
        <w:adjustRightInd w:val="0"/>
        <w:snapToGrid w:val="0"/>
        <w:spacing w:line="400" w:lineRule="exact"/>
        <w:rPr>
          <w:rFonts w:hint="eastAsia" w:asciiTheme="minorEastAsia" w:hAnsiTheme="minorEastAsia" w:eastAsiaTheme="minorEastAsia" w:cstheme="minorEastAsia"/>
          <w:b/>
          <w:bCs/>
          <w:szCs w:val="21"/>
          <w:highlight w:val="none"/>
        </w:rPr>
      </w:pPr>
    </w:p>
    <w:p>
      <w:pPr>
        <w:adjustRightInd w:val="0"/>
        <w:snapToGrid w:val="0"/>
        <w:spacing w:line="40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（7）投标人需要说明的其他文件和说明</w:t>
      </w:r>
    </w:p>
    <w:p>
      <w:pPr>
        <w:snapToGrid w:val="0"/>
        <w:spacing w:beforeLines="50" w:after="50" w:line="440" w:lineRule="exact"/>
        <w:jc w:val="center"/>
        <w:outlineLvl w:val="1"/>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br w:type="page"/>
      </w:r>
      <w:r>
        <w:rPr>
          <w:rFonts w:hint="eastAsia" w:asciiTheme="minorEastAsia" w:hAnsiTheme="minorEastAsia" w:eastAsiaTheme="minorEastAsia" w:cstheme="minorEastAsia"/>
          <w:b/>
          <w:bCs/>
          <w:szCs w:val="21"/>
          <w:highlight w:val="none"/>
        </w:rPr>
        <w:t>四、技术文件格式</w:t>
      </w:r>
    </w:p>
    <w:p>
      <w:pPr>
        <w:snapToGrid w:val="0"/>
        <w:spacing w:beforeLines="50" w:after="50" w:line="440" w:lineRule="exact"/>
        <w:jc w:val="center"/>
        <w:rPr>
          <w:rFonts w:hint="eastAsia" w:asciiTheme="minorEastAsia" w:hAnsiTheme="minorEastAsia" w:eastAsiaTheme="minorEastAsia" w:cstheme="minorEastAsia"/>
          <w:szCs w:val="21"/>
          <w:highlight w:val="none"/>
        </w:rPr>
      </w:pPr>
    </w:p>
    <w:p>
      <w:pPr>
        <w:snapToGrid w:val="0"/>
        <w:spacing w:beforeLines="50" w:after="50" w:line="440" w:lineRule="exact"/>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szCs w:val="21"/>
          <w:highlight w:val="none"/>
        </w:rPr>
        <w:t>1.</w:t>
      </w:r>
      <w:r>
        <w:rPr>
          <w:rFonts w:hint="eastAsia" w:asciiTheme="minorEastAsia" w:hAnsiTheme="minorEastAsia" w:eastAsiaTheme="minorEastAsia" w:cstheme="minorEastAsia"/>
          <w:b/>
          <w:bCs/>
          <w:szCs w:val="21"/>
          <w:highlight w:val="none"/>
        </w:rPr>
        <w:t>技术文件的外包装封面格式：</w:t>
      </w:r>
    </w:p>
    <w:p>
      <w:pPr>
        <w:snapToGrid w:val="0"/>
        <w:spacing w:beforeLines="50" w:after="50" w:line="440" w:lineRule="exact"/>
        <w:rPr>
          <w:rFonts w:hint="eastAsia" w:asciiTheme="minorEastAsia" w:hAnsiTheme="minorEastAsia" w:eastAsiaTheme="minorEastAsia" w:cstheme="minorEastAsia"/>
          <w:bCs/>
          <w:szCs w:val="21"/>
          <w:highlight w:val="none"/>
        </w:rPr>
      </w:pPr>
    </w:p>
    <w:p>
      <w:pPr>
        <w:snapToGrid w:val="0"/>
        <w:spacing w:beforeLines="50" w:after="50" w:line="440" w:lineRule="exact"/>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技术文件</w:t>
      </w:r>
    </w:p>
    <w:p>
      <w:pPr>
        <w:snapToGrid w:val="0"/>
        <w:spacing w:beforeLines="50" w:after="50" w:line="440" w:lineRule="exact"/>
        <w:rPr>
          <w:rFonts w:hint="eastAsia" w:asciiTheme="minorEastAsia" w:hAnsiTheme="minorEastAsia" w:eastAsiaTheme="minorEastAsia" w:cstheme="minorEastAsia"/>
          <w:bCs/>
          <w:szCs w:val="21"/>
          <w:highlight w:val="none"/>
        </w:rPr>
      </w:pP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项目名称： </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项目编号： </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投标人名称：</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投标人地址：</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在      年  月  日  时  分之前不得启封</w:t>
      </w:r>
    </w:p>
    <w:p>
      <w:pPr>
        <w:pStyle w:val="8"/>
        <w:snapToGrid w:val="0"/>
        <w:spacing w:before="50" w:after="50" w:line="440" w:lineRule="exact"/>
        <w:ind w:firstLine="873" w:firstLineChars="416"/>
        <w:rPr>
          <w:rFonts w:hint="eastAsia" w:asciiTheme="minorEastAsia" w:hAnsiTheme="minorEastAsia" w:eastAsiaTheme="minorEastAsia" w:cstheme="minorEastAsia"/>
          <w:szCs w:val="21"/>
          <w:highlight w:val="none"/>
        </w:rPr>
      </w:pPr>
    </w:p>
    <w:p>
      <w:pPr>
        <w:snapToGrid w:val="0"/>
        <w:spacing w:beforeLines="50" w:after="50" w:line="440" w:lineRule="exact"/>
        <w:ind w:firstLine="645"/>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年   月   日</w:t>
      </w: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p>
    <w:p>
      <w:pPr>
        <w:snapToGrid w:val="0"/>
        <w:spacing w:before="50" w:after="50" w:line="440" w:lineRule="exac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w:t>
      </w:r>
      <w:r>
        <w:rPr>
          <w:rFonts w:hint="eastAsia" w:asciiTheme="minorEastAsia" w:hAnsiTheme="minorEastAsia" w:eastAsiaTheme="minorEastAsia" w:cstheme="minorEastAsia"/>
          <w:b/>
          <w:bCs/>
          <w:szCs w:val="21"/>
          <w:highlight w:val="none"/>
        </w:rPr>
        <w:t>技术</w:t>
      </w:r>
      <w:r>
        <w:rPr>
          <w:rFonts w:hint="eastAsia" w:asciiTheme="minorEastAsia" w:hAnsiTheme="minorEastAsia" w:eastAsiaTheme="minorEastAsia" w:cstheme="minorEastAsia"/>
          <w:b/>
          <w:szCs w:val="21"/>
          <w:highlight w:val="none"/>
        </w:rPr>
        <w:t xml:space="preserve">文件封面格式： </w:t>
      </w:r>
    </w:p>
    <w:p>
      <w:pPr>
        <w:snapToGrid w:val="0"/>
        <w:spacing w:beforeLines="50" w:after="50" w:line="440" w:lineRule="exact"/>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正本/或副本</w:t>
      </w:r>
    </w:p>
    <w:p>
      <w:pPr>
        <w:snapToGrid w:val="0"/>
        <w:spacing w:beforeLines="50" w:after="50" w:line="440" w:lineRule="exact"/>
        <w:rPr>
          <w:rFonts w:hint="eastAsia" w:asciiTheme="minorEastAsia" w:hAnsiTheme="minorEastAsia" w:eastAsiaTheme="minorEastAsia" w:cstheme="minorEastAsia"/>
          <w:szCs w:val="21"/>
          <w:highlight w:val="none"/>
        </w:rPr>
      </w:pPr>
    </w:p>
    <w:p>
      <w:pPr>
        <w:snapToGrid w:val="0"/>
        <w:spacing w:beforeLines="50" w:after="50" w:line="440" w:lineRule="exact"/>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技术文件</w:t>
      </w:r>
    </w:p>
    <w:p>
      <w:pPr>
        <w:snapToGrid w:val="0"/>
        <w:spacing w:beforeLines="50" w:after="50" w:line="440" w:lineRule="exact"/>
        <w:rPr>
          <w:rFonts w:hint="eastAsia" w:asciiTheme="minorEastAsia" w:hAnsiTheme="minorEastAsia" w:eastAsiaTheme="minorEastAsia" w:cstheme="minorEastAsia"/>
          <w:bCs/>
          <w:szCs w:val="21"/>
          <w:highlight w:val="none"/>
        </w:rPr>
      </w:pP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项目名称： </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项目编号： </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投标人名称：</w:t>
      </w:r>
    </w:p>
    <w:p>
      <w:pPr>
        <w:snapToGrid w:val="0"/>
        <w:spacing w:beforeLines="50" w:after="50" w:line="440" w:lineRule="exact"/>
        <w:ind w:firstLine="630" w:firstLineChars="3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投标人地址：</w:t>
      </w:r>
    </w:p>
    <w:p>
      <w:pPr>
        <w:pStyle w:val="8"/>
        <w:snapToGrid w:val="0"/>
        <w:spacing w:before="50" w:after="50" w:line="440" w:lineRule="exact"/>
        <w:ind w:firstLine="840" w:firstLineChars="400"/>
        <w:rPr>
          <w:rFonts w:hint="eastAsia" w:asciiTheme="minorEastAsia" w:hAnsiTheme="minorEastAsia" w:eastAsiaTheme="minorEastAsia" w:cstheme="minorEastAsia"/>
          <w:bCs/>
          <w:szCs w:val="21"/>
          <w:highlight w:val="none"/>
        </w:rPr>
      </w:pPr>
    </w:p>
    <w:p>
      <w:pPr>
        <w:pStyle w:val="8"/>
        <w:snapToGrid w:val="0"/>
        <w:spacing w:before="50" w:after="50" w:line="440" w:lineRule="exact"/>
        <w:ind w:firstLine="840" w:firstLineChars="400"/>
        <w:rPr>
          <w:rFonts w:hint="eastAsia" w:asciiTheme="minorEastAsia" w:hAnsiTheme="minorEastAsia" w:eastAsiaTheme="minorEastAsia" w:cstheme="minorEastAsia"/>
          <w:bCs/>
          <w:szCs w:val="21"/>
          <w:highlight w:val="none"/>
        </w:rPr>
      </w:pPr>
    </w:p>
    <w:p>
      <w:pPr>
        <w:pStyle w:val="8"/>
        <w:snapToGrid w:val="0"/>
        <w:spacing w:before="50" w:after="50" w:line="440" w:lineRule="exact"/>
        <w:ind w:firstLine="840" w:firstLineChars="400"/>
        <w:rPr>
          <w:rFonts w:hint="eastAsia" w:asciiTheme="minorEastAsia" w:hAnsiTheme="minorEastAsia" w:eastAsiaTheme="minorEastAsia" w:cstheme="minorEastAsia"/>
          <w:bCs/>
          <w:szCs w:val="21"/>
          <w:highlight w:val="none"/>
        </w:rPr>
      </w:pPr>
    </w:p>
    <w:p>
      <w:pPr>
        <w:snapToGrid w:val="0"/>
        <w:spacing w:beforeLines="50" w:after="50" w:line="440" w:lineRule="exact"/>
        <w:ind w:firstLine="645"/>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年  月  日</w:t>
      </w: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before="50" w:after="50" w:line="440" w:lineRule="exact"/>
        <w:rPr>
          <w:rFonts w:hint="eastAsia" w:asciiTheme="minorEastAsia" w:hAnsiTheme="minorEastAsia" w:eastAsiaTheme="minorEastAsia" w:cstheme="minorEastAsia"/>
          <w:szCs w:val="21"/>
          <w:highlight w:val="none"/>
        </w:rPr>
      </w:pPr>
    </w:p>
    <w:p>
      <w:pPr>
        <w:snapToGrid w:val="0"/>
        <w:spacing w:line="320" w:lineRule="exact"/>
        <w:jc w:val="left"/>
        <w:rPr>
          <w:rFonts w:hint="eastAsia" w:asciiTheme="minorEastAsia" w:hAnsiTheme="minorEastAsia" w:eastAsiaTheme="minorEastAsia" w:cstheme="minorEastAsia"/>
          <w:szCs w:val="21"/>
          <w:highlight w:val="none"/>
        </w:rPr>
      </w:pPr>
    </w:p>
    <w:p>
      <w:pPr>
        <w:snapToGrid w:val="0"/>
        <w:spacing w:line="320" w:lineRule="exact"/>
        <w:jc w:val="left"/>
        <w:rPr>
          <w:rFonts w:hint="eastAsia" w:asciiTheme="minorEastAsia" w:hAnsiTheme="minorEastAsia" w:eastAsiaTheme="minorEastAsia" w:cstheme="minorEastAsia"/>
          <w:szCs w:val="21"/>
          <w:highlight w:val="none"/>
        </w:rPr>
      </w:pPr>
    </w:p>
    <w:p>
      <w:pPr>
        <w:adjustRightInd w:val="0"/>
        <w:snapToGrid w:val="0"/>
        <w:spacing w:line="400" w:lineRule="exact"/>
        <w:ind w:firstLine="211" w:firstLineChars="10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br w:type="page"/>
      </w:r>
      <w:r>
        <w:rPr>
          <w:rFonts w:hint="eastAsia" w:asciiTheme="minorEastAsia" w:hAnsiTheme="minorEastAsia" w:eastAsiaTheme="minorEastAsia" w:cstheme="minorEastAsia"/>
          <w:szCs w:val="21"/>
          <w:highlight w:val="none"/>
        </w:rPr>
        <w:t>目录</w:t>
      </w:r>
    </w:p>
    <w:p>
      <w:pPr>
        <w:adjustRightInd w:val="0"/>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▲（1）投标人针对本项目的方案（必须包含技术服务方案、工程施工方案、各单元设备照片、设计简介、售后服务方案，自行编写，格式自拟）（必须提供）</w:t>
      </w:r>
    </w:p>
    <w:p>
      <w:pPr>
        <w:adjustRightInd w:val="0"/>
        <w:snapToGrid w:val="0"/>
        <w:spacing w:line="400" w:lineRule="exact"/>
        <w:ind w:firstLine="630" w:firstLineChars="3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（2）项目实施人员一览表；</w:t>
      </w:r>
    </w:p>
    <w:p>
      <w:pPr>
        <w:adjustRightInd w:val="0"/>
        <w:snapToGrid w:val="0"/>
        <w:spacing w:line="40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▲（3）技术响应表（必须提供）</w:t>
      </w:r>
    </w:p>
    <w:p>
      <w:pPr>
        <w:adjustRightInd w:val="0"/>
        <w:snapToGrid w:val="0"/>
        <w:spacing w:line="400" w:lineRule="exact"/>
        <w:ind w:firstLine="630" w:firstLineChars="300"/>
        <w:jc w:val="lef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（4）投标人需要说明的其他文件和说明。</w:t>
      </w:r>
    </w:p>
    <w:p>
      <w:pPr>
        <w:adjustRightInd w:val="0"/>
        <w:snapToGrid w:val="0"/>
        <w:spacing w:line="400" w:lineRule="exact"/>
        <w:ind w:firstLine="422" w:firstLineChars="200"/>
        <w:jc w:val="left"/>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br w:type="page"/>
      </w:r>
      <w:r>
        <w:rPr>
          <w:rFonts w:hint="eastAsia" w:asciiTheme="minorEastAsia" w:hAnsiTheme="minorEastAsia" w:eastAsiaTheme="minorEastAsia" w:cstheme="minorEastAsia"/>
          <w:b/>
          <w:bCs/>
          <w:szCs w:val="21"/>
          <w:highlight w:val="none"/>
        </w:rPr>
        <w:t>（1）投标人针对本项目的方案（必须包含技术服务方案、工程施工方案、各单元设备照片、设计简介、售后服务方案，自行编写，格式自拟）（必须提供）</w:t>
      </w:r>
    </w:p>
    <w:p>
      <w:pPr>
        <w:adjustRightInd w:val="0"/>
        <w:snapToGrid w:val="0"/>
        <w:spacing w:line="400" w:lineRule="exact"/>
        <w:jc w:val="left"/>
        <w:rPr>
          <w:rFonts w:hint="eastAsia" w:asciiTheme="minorEastAsia" w:hAnsiTheme="minorEastAsia" w:eastAsiaTheme="minorEastAsia" w:cstheme="minorEastAsia"/>
          <w:b/>
          <w:bCs/>
          <w:szCs w:val="21"/>
          <w:highlight w:val="none"/>
        </w:rPr>
      </w:pPr>
    </w:p>
    <w:p>
      <w:pPr>
        <w:pStyle w:val="2"/>
        <w:ind w:firstLine="522"/>
        <w:rPr>
          <w:rFonts w:hint="eastAsia" w:asciiTheme="minorEastAsia" w:hAnsiTheme="minorEastAsia" w:eastAsiaTheme="minorEastAsia" w:cstheme="minorEastAsia"/>
          <w:b/>
          <w:bCs/>
          <w:szCs w:val="21"/>
          <w:highlight w:val="none"/>
        </w:rPr>
      </w:pPr>
    </w:p>
    <w:p>
      <w:pPr>
        <w:pStyle w:val="2"/>
        <w:ind w:firstLine="422"/>
        <w:jc w:val="center"/>
        <w:rPr>
          <w:rFonts w:hint="eastAsia" w:asciiTheme="minorEastAsia" w:hAnsiTheme="minorEastAsia" w:eastAsiaTheme="minorEastAsia" w:cstheme="minorEastAsia"/>
          <w:b/>
          <w:bCs/>
          <w:spacing w:val="0"/>
          <w:kern w:val="2"/>
          <w:sz w:val="21"/>
          <w:szCs w:val="21"/>
          <w:highlight w:val="none"/>
        </w:rPr>
      </w:pPr>
    </w:p>
    <w:p>
      <w:pPr>
        <w:pStyle w:val="2"/>
        <w:ind w:firstLine="422"/>
        <w:jc w:val="center"/>
        <w:rPr>
          <w:rFonts w:hint="eastAsia" w:asciiTheme="minorEastAsia" w:hAnsiTheme="minorEastAsia" w:eastAsiaTheme="minorEastAsia" w:cstheme="minorEastAsia"/>
          <w:b/>
          <w:bCs/>
          <w:spacing w:val="0"/>
          <w:kern w:val="2"/>
          <w:sz w:val="21"/>
          <w:szCs w:val="21"/>
          <w:highlight w:val="none"/>
        </w:rPr>
      </w:pPr>
    </w:p>
    <w:p>
      <w:pPr>
        <w:pStyle w:val="2"/>
        <w:ind w:firstLine="422"/>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pacing w:val="0"/>
          <w:kern w:val="2"/>
          <w:sz w:val="21"/>
          <w:szCs w:val="21"/>
          <w:highlight w:val="none"/>
        </w:rPr>
        <w:t>（2）项目实施人员一览表</w:t>
      </w:r>
    </w:p>
    <w:tbl>
      <w:tblPr>
        <w:tblStyle w:val="34"/>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260"/>
        <w:gridCol w:w="1817"/>
        <w:gridCol w:w="3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职务</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专业技术资格</w:t>
            </w: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证书编号</w:t>
            </w: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szCs w:val="21"/>
                <w:highlight w:val="none"/>
              </w:rPr>
            </w:pPr>
          </w:p>
        </w:tc>
      </w:tr>
    </w:tbl>
    <w:p>
      <w:pPr>
        <w:snapToGrid w:val="0"/>
        <w:spacing w:before="50" w:afterLines="50" w:line="440" w:lineRule="exact"/>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注：在填写时，如本表格不适合投标单位的实际情况，可根据本表格式自行划表填写。</w:t>
      </w:r>
    </w:p>
    <w:p>
      <w:pPr>
        <w:snapToGrid w:val="0"/>
        <w:spacing w:before="50" w:after="50" w:line="320" w:lineRule="exact"/>
        <w:ind w:left="-2" w:right="-817" w:rightChars="-389"/>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法定代表人或授权代表（签字或盖章）：</w:t>
      </w:r>
    </w:p>
    <w:p>
      <w:pPr>
        <w:pStyle w:val="22"/>
        <w:snapToGrid w:val="0"/>
        <w:spacing w:before="295" w:after="295" w:line="400" w:lineRule="exac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投标人名称（公章）：</w:t>
      </w:r>
    </w:p>
    <w:p>
      <w:pPr>
        <w:pStyle w:val="22"/>
        <w:snapToGrid w:val="0"/>
        <w:spacing w:before="295" w:after="295" w:line="400" w:lineRule="exact"/>
        <w:rPr>
          <w:rFonts w:hint="eastAsia" w:asciiTheme="minorEastAsia" w:hAnsiTheme="minorEastAsia" w:eastAsiaTheme="minorEastAsia" w:cstheme="minorEastAsia"/>
          <w:sz w:val="21"/>
          <w:highlight w:val="none"/>
        </w:rPr>
      </w:pPr>
      <w:r>
        <w:rPr>
          <w:rFonts w:hint="eastAsia" w:asciiTheme="minorEastAsia" w:hAnsiTheme="minorEastAsia" w:eastAsiaTheme="minorEastAsia" w:cstheme="minorEastAsia"/>
          <w:sz w:val="21"/>
          <w:highlight w:val="none"/>
        </w:rPr>
        <w:t>日期：    年   月   日</w:t>
      </w:r>
    </w:p>
    <w:p>
      <w:pPr>
        <w:adjustRightInd w:val="0"/>
        <w:snapToGrid w:val="0"/>
        <w:spacing w:line="400" w:lineRule="exact"/>
        <w:ind w:firstLine="422" w:firstLineChars="200"/>
        <w:jc w:val="left"/>
        <w:rPr>
          <w:rFonts w:hint="eastAsia" w:asciiTheme="minorEastAsia" w:hAnsiTheme="minorEastAsia" w:eastAsiaTheme="minorEastAsia" w:cstheme="minorEastAsia"/>
          <w:b/>
          <w:bCs/>
          <w:szCs w:val="21"/>
          <w:highlight w:val="none"/>
        </w:rPr>
      </w:pPr>
    </w:p>
    <w:p>
      <w:pPr>
        <w:adjustRightInd w:val="0"/>
        <w:snapToGrid w:val="0"/>
        <w:spacing w:line="400" w:lineRule="exact"/>
        <w:ind w:firstLine="422" w:firstLineChars="200"/>
        <w:jc w:val="left"/>
        <w:rPr>
          <w:rFonts w:hint="eastAsia" w:asciiTheme="minorEastAsia" w:hAnsiTheme="minorEastAsia" w:eastAsiaTheme="minorEastAsia" w:cstheme="minorEastAsia"/>
          <w:b/>
          <w:bCs/>
          <w:szCs w:val="21"/>
          <w:highlight w:val="none"/>
        </w:rPr>
      </w:pPr>
    </w:p>
    <w:p>
      <w:pPr>
        <w:adjustRightInd w:val="0"/>
        <w:snapToGrid w:val="0"/>
        <w:spacing w:line="400" w:lineRule="exact"/>
        <w:ind w:firstLine="422" w:firstLineChars="200"/>
        <w:jc w:val="left"/>
        <w:rPr>
          <w:rFonts w:hint="eastAsia" w:asciiTheme="minorEastAsia" w:hAnsiTheme="minorEastAsia" w:eastAsiaTheme="minorEastAsia" w:cstheme="minorEastAsia"/>
          <w:b/>
          <w:bCs/>
          <w:szCs w:val="21"/>
          <w:highlight w:val="none"/>
        </w:rPr>
      </w:pPr>
    </w:p>
    <w:p>
      <w:pPr>
        <w:adjustRightInd w:val="0"/>
        <w:snapToGrid w:val="0"/>
        <w:spacing w:line="400" w:lineRule="exact"/>
        <w:ind w:firstLine="422" w:firstLineChars="200"/>
        <w:jc w:val="left"/>
        <w:rPr>
          <w:rFonts w:hint="eastAsia" w:asciiTheme="minorEastAsia" w:hAnsiTheme="minorEastAsia" w:eastAsiaTheme="minorEastAsia" w:cstheme="minorEastAsia"/>
          <w:b/>
          <w:bCs/>
          <w:szCs w:val="21"/>
          <w:highlight w:val="none"/>
        </w:rPr>
      </w:pPr>
    </w:p>
    <w:p>
      <w:pPr>
        <w:adjustRightInd w:val="0"/>
        <w:snapToGrid w:val="0"/>
        <w:spacing w:line="400" w:lineRule="exact"/>
        <w:ind w:firstLine="422" w:firstLineChars="200"/>
        <w:jc w:val="left"/>
        <w:rPr>
          <w:rFonts w:hint="eastAsia" w:asciiTheme="minorEastAsia" w:hAnsiTheme="minorEastAsia" w:eastAsiaTheme="minorEastAsia" w:cstheme="minorEastAsia"/>
          <w:b/>
          <w:bCs/>
          <w:szCs w:val="21"/>
          <w:highlight w:val="none"/>
        </w:rPr>
      </w:pPr>
    </w:p>
    <w:p>
      <w:pPr>
        <w:pStyle w:val="14"/>
        <w:snapToGrid w:val="0"/>
        <w:rPr>
          <w:rFonts w:hint="eastAsia" w:asciiTheme="minorEastAsia" w:hAnsiTheme="minorEastAsia" w:eastAsiaTheme="minorEastAsia" w:cstheme="minorEastAsia"/>
          <w:sz w:val="24"/>
          <w:szCs w:val="24"/>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szCs w:val="21"/>
          <w:highlight w:val="none"/>
        </w:rPr>
      </w:pPr>
    </w:p>
    <w:p>
      <w:pPr>
        <w:adjustRightInd w:val="0"/>
        <w:snapToGrid w:val="0"/>
        <w:spacing w:line="400" w:lineRule="exact"/>
        <w:ind w:firstLine="211" w:firstLineChars="100"/>
        <w:jc w:val="center"/>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br w:type="page"/>
      </w:r>
      <w:r>
        <w:rPr>
          <w:rFonts w:hint="eastAsia" w:asciiTheme="minorEastAsia" w:hAnsiTheme="minorEastAsia" w:eastAsiaTheme="minorEastAsia" w:cstheme="minorEastAsia"/>
          <w:b/>
          <w:bCs/>
          <w:szCs w:val="21"/>
          <w:highlight w:val="none"/>
        </w:rPr>
        <w:t>（3）技术响应表（必须提供）</w:t>
      </w:r>
    </w:p>
    <w:p>
      <w:pPr>
        <w:snapToGrid w:val="0"/>
        <w:spacing w:before="50" w:afterLines="50"/>
        <w:jc w:val="center"/>
        <w:rPr>
          <w:rFonts w:hint="eastAsia" w:asciiTheme="minorEastAsia" w:hAnsiTheme="minorEastAsia" w:eastAsiaTheme="minorEastAsia" w:cstheme="minorEastAsia"/>
          <w:b/>
          <w:sz w:val="24"/>
          <w:highlight w:val="none"/>
        </w:rPr>
      </w:pPr>
    </w:p>
    <w:p>
      <w:pPr>
        <w:snapToGrid w:val="0"/>
        <w:spacing w:before="50" w:afterLines="50"/>
        <w:jc w:val="center"/>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技术响应表（格式）</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22"/>
              <w:spacing w:line="400" w:lineRule="exact"/>
              <w:jc w:val="center"/>
              <w:rPr>
                <w:rFonts w:hint="eastAsia" w:asciiTheme="minorEastAsia" w:hAnsiTheme="minorEastAsia" w:eastAsiaTheme="minorEastAsia" w:cstheme="minorEastAsia"/>
                <w:kern w:val="2"/>
                <w:sz w:val="21"/>
                <w:highlight w:val="none"/>
              </w:rPr>
            </w:pPr>
            <w:r>
              <w:rPr>
                <w:rFonts w:hint="eastAsia" w:asciiTheme="minorEastAsia" w:hAnsiTheme="minorEastAsia" w:eastAsiaTheme="minorEastAsia" w:cstheme="minorEastAsia"/>
                <w:kern w:val="2"/>
                <w:sz w:val="21"/>
                <w:highlight w:val="none"/>
              </w:rPr>
              <w:t>项号</w:t>
            </w:r>
          </w:p>
        </w:tc>
        <w:tc>
          <w:tcPr>
            <w:tcW w:w="2143" w:type="dxa"/>
            <w:vAlign w:val="center"/>
          </w:tcPr>
          <w:p>
            <w:pPr>
              <w:pStyle w:val="22"/>
              <w:spacing w:line="400" w:lineRule="exact"/>
              <w:jc w:val="center"/>
              <w:rPr>
                <w:rFonts w:hint="eastAsia" w:asciiTheme="minorEastAsia" w:hAnsiTheme="minorEastAsia" w:eastAsiaTheme="minorEastAsia" w:cstheme="minorEastAsia"/>
                <w:kern w:val="2"/>
                <w:sz w:val="21"/>
                <w:highlight w:val="none"/>
              </w:rPr>
            </w:pPr>
            <w:r>
              <w:rPr>
                <w:rFonts w:hint="eastAsia" w:asciiTheme="minorEastAsia" w:hAnsiTheme="minorEastAsia" w:eastAsiaTheme="minorEastAsia" w:cstheme="minorEastAsia"/>
                <w:kern w:val="2"/>
                <w:sz w:val="24"/>
                <w:highlight w:val="none"/>
              </w:rPr>
              <w:t>项目名称</w:t>
            </w:r>
          </w:p>
        </w:tc>
        <w:tc>
          <w:tcPr>
            <w:tcW w:w="1834" w:type="dxa"/>
            <w:vAlign w:val="center"/>
          </w:tcPr>
          <w:p>
            <w:pPr>
              <w:pStyle w:val="22"/>
              <w:spacing w:line="400" w:lineRule="exact"/>
              <w:jc w:val="center"/>
              <w:rPr>
                <w:rFonts w:hint="eastAsia" w:asciiTheme="minorEastAsia" w:hAnsiTheme="minorEastAsia" w:eastAsiaTheme="minorEastAsia" w:cstheme="minorEastAsia"/>
                <w:kern w:val="2"/>
                <w:sz w:val="21"/>
                <w:highlight w:val="none"/>
              </w:rPr>
            </w:pPr>
            <w:r>
              <w:rPr>
                <w:rFonts w:hint="eastAsia" w:asciiTheme="minorEastAsia" w:hAnsiTheme="minorEastAsia" w:eastAsiaTheme="minorEastAsia" w:cstheme="minorEastAsia"/>
                <w:kern w:val="2"/>
                <w:sz w:val="21"/>
                <w:highlight w:val="none"/>
              </w:rPr>
              <w:t>招标要求</w:t>
            </w:r>
          </w:p>
        </w:tc>
        <w:tc>
          <w:tcPr>
            <w:tcW w:w="2181" w:type="dxa"/>
            <w:vAlign w:val="center"/>
          </w:tcPr>
          <w:p>
            <w:pPr>
              <w:pStyle w:val="22"/>
              <w:spacing w:line="400" w:lineRule="exact"/>
              <w:jc w:val="center"/>
              <w:rPr>
                <w:rFonts w:hint="eastAsia" w:asciiTheme="minorEastAsia" w:hAnsiTheme="minorEastAsia" w:eastAsiaTheme="minorEastAsia" w:cstheme="minorEastAsia"/>
                <w:kern w:val="2"/>
                <w:sz w:val="21"/>
                <w:highlight w:val="none"/>
              </w:rPr>
            </w:pPr>
            <w:r>
              <w:rPr>
                <w:rFonts w:hint="eastAsia" w:asciiTheme="minorEastAsia" w:hAnsiTheme="minorEastAsia" w:eastAsiaTheme="minorEastAsia" w:cstheme="minorEastAsia"/>
                <w:kern w:val="2"/>
                <w:sz w:val="21"/>
                <w:highlight w:val="none"/>
              </w:rPr>
              <w:t>投标规格</w:t>
            </w:r>
          </w:p>
        </w:tc>
        <w:tc>
          <w:tcPr>
            <w:tcW w:w="1934" w:type="dxa"/>
            <w:vAlign w:val="center"/>
          </w:tcPr>
          <w:p>
            <w:pPr>
              <w:pStyle w:val="22"/>
              <w:spacing w:line="400" w:lineRule="exact"/>
              <w:jc w:val="center"/>
              <w:rPr>
                <w:rFonts w:hint="eastAsia" w:asciiTheme="minorEastAsia" w:hAnsiTheme="minorEastAsia" w:eastAsiaTheme="minorEastAsia" w:cstheme="minorEastAsia"/>
                <w:kern w:val="2"/>
                <w:sz w:val="21"/>
                <w:highlight w:val="none"/>
              </w:rPr>
            </w:pPr>
            <w:r>
              <w:rPr>
                <w:rFonts w:hint="eastAsia" w:asciiTheme="minorEastAsia" w:hAnsiTheme="minorEastAsia" w:eastAsiaTheme="minorEastAsia" w:cstheme="minorEastAsia"/>
                <w:kern w:val="2"/>
                <w:sz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jc w:val="center"/>
              <w:rPr>
                <w:rFonts w:hint="eastAsia" w:asciiTheme="minorEastAsia" w:hAnsiTheme="minorEastAsia" w:eastAsiaTheme="minorEastAsia" w:cstheme="minorEastAsia"/>
                <w:kern w:val="2"/>
                <w:sz w:val="21"/>
                <w:highlight w:val="none"/>
              </w:rPr>
            </w:pPr>
          </w:p>
        </w:tc>
        <w:tc>
          <w:tcPr>
            <w:tcW w:w="2143" w:type="dxa"/>
            <w:vAlign w:val="center"/>
          </w:tcPr>
          <w:p>
            <w:pPr>
              <w:pStyle w:val="22"/>
              <w:spacing w:line="600" w:lineRule="exact"/>
              <w:jc w:val="center"/>
              <w:rPr>
                <w:rFonts w:hint="eastAsia" w:asciiTheme="minorEastAsia" w:hAnsiTheme="minorEastAsia" w:eastAsiaTheme="minorEastAsia" w:cstheme="minorEastAsia"/>
                <w:kern w:val="2"/>
                <w:sz w:val="21"/>
                <w:highlight w:val="none"/>
              </w:rPr>
            </w:pPr>
          </w:p>
        </w:tc>
        <w:tc>
          <w:tcPr>
            <w:tcW w:w="1834" w:type="dxa"/>
            <w:vAlign w:val="center"/>
          </w:tcPr>
          <w:p>
            <w:pPr>
              <w:pStyle w:val="22"/>
              <w:spacing w:line="600" w:lineRule="exact"/>
              <w:jc w:val="center"/>
              <w:rPr>
                <w:rFonts w:hint="eastAsia" w:asciiTheme="minorEastAsia" w:hAnsiTheme="minorEastAsia" w:eastAsiaTheme="minorEastAsia" w:cstheme="minorEastAsia"/>
                <w:kern w:val="2"/>
                <w:sz w:val="21"/>
                <w:highlight w:val="none"/>
              </w:rPr>
            </w:pPr>
          </w:p>
        </w:tc>
        <w:tc>
          <w:tcPr>
            <w:tcW w:w="2181" w:type="dxa"/>
            <w:vAlign w:val="center"/>
          </w:tcPr>
          <w:p>
            <w:pPr>
              <w:pStyle w:val="22"/>
              <w:spacing w:line="600" w:lineRule="exact"/>
              <w:jc w:val="center"/>
              <w:rPr>
                <w:rFonts w:hint="eastAsia" w:asciiTheme="minorEastAsia" w:hAnsiTheme="minorEastAsia" w:eastAsiaTheme="minorEastAsia" w:cstheme="minorEastAsia"/>
                <w:kern w:val="2"/>
                <w:sz w:val="21"/>
                <w:highlight w:val="none"/>
              </w:rPr>
            </w:pPr>
          </w:p>
        </w:tc>
        <w:tc>
          <w:tcPr>
            <w:tcW w:w="1934" w:type="dxa"/>
            <w:vAlign w:val="center"/>
          </w:tcPr>
          <w:p>
            <w:pPr>
              <w:pStyle w:val="22"/>
              <w:spacing w:line="600" w:lineRule="exact"/>
              <w:jc w:val="center"/>
              <w:rPr>
                <w:rFonts w:hint="eastAsia" w:asciiTheme="minorEastAsia" w:hAnsiTheme="minorEastAsia" w:eastAsiaTheme="minorEastAsia" w:cstheme="minorEastAsia"/>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rPr>
                <w:rFonts w:hint="eastAsia" w:asciiTheme="minorEastAsia" w:hAnsiTheme="minorEastAsia" w:eastAsiaTheme="minorEastAsia" w:cstheme="minorEastAsia"/>
                <w:kern w:val="2"/>
                <w:sz w:val="21"/>
                <w:highlight w:val="none"/>
              </w:rPr>
            </w:pPr>
          </w:p>
        </w:tc>
        <w:tc>
          <w:tcPr>
            <w:tcW w:w="2143" w:type="dxa"/>
          </w:tcPr>
          <w:p>
            <w:pPr>
              <w:pStyle w:val="22"/>
              <w:spacing w:line="600" w:lineRule="exact"/>
              <w:rPr>
                <w:rFonts w:hint="eastAsia" w:asciiTheme="minorEastAsia" w:hAnsiTheme="minorEastAsia" w:eastAsiaTheme="minorEastAsia" w:cstheme="minorEastAsia"/>
                <w:kern w:val="2"/>
                <w:sz w:val="21"/>
                <w:highlight w:val="none"/>
              </w:rPr>
            </w:pPr>
          </w:p>
        </w:tc>
        <w:tc>
          <w:tcPr>
            <w:tcW w:w="1834" w:type="dxa"/>
          </w:tcPr>
          <w:p>
            <w:pPr>
              <w:pStyle w:val="22"/>
              <w:spacing w:line="600" w:lineRule="exact"/>
              <w:rPr>
                <w:rFonts w:hint="eastAsia" w:asciiTheme="minorEastAsia" w:hAnsiTheme="minorEastAsia" w:eastAsiaTheme="minorEastAsia" w:cstheme="minorEastAsia"/>
                <w:kern w:val="2"/>
                <w:sz w:val="21"/>
                <w:highlight w:val="none"/>
              </w:rPr>
            </w:pPr>
          </w:p>
        </w:tc>
        <w:tc>
          <w:tcPr>
            <w:tcW w:w="2181" w:type="dxa"/>
          </w:tcPr>
          <w:p>
            <w:pPr>
              <w:pStyle w:val="22"/>
              <w:spacing w:line="600" w:lineRule="exact"/>
              <w:rPr>
                <w:rFonts w:hint="eastAsia" w:asciiTheme="minorEastAsia" w:hAnsiTheme="minorEastAsia" w:eastAsiaTheme="minorEastAsia" w:cstheme="minorEastAsia"/>
                <w:kern w:val="2"/>
                <w:sz w:val="21"/>
                <w:highlight w:val="none"/>
              </w:rPr>
            </w:pPr>
          </w:p>
        </w:tc>
        <w:tc>
          <w:tcPr>
            <w:tcW w:w="1934" w:type="dxa"/>
          </w:tcPr>
          <w:p>
            <w:pPr>
              <w:pStyle w:val="22"/>
              <w:spacing w:line="600" w:lineRule="exact"/>
              <w:rPr>
                <w:rFonts w:hint="eastAsia" w:asciiTheme="minorEastAsia" w:hAnsiTheme="minorEastAsia" w:eastAsiaTheme="minorEastAsia" w:cstheme="minorEastAsia"/>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rPr>
                <w:rFonts w:hint="eastAsia" w:asciiTheme="minorEastAsia" w:hAnsiTheme="minorEastAsia" w:eastAsiaTheme="minorEastAsia" w:cstheme="minorEastAsia"/>
                <w:kern w:val="2"/>
                <w:sz w:val="21"/>
                <w:highlight w:val="none"/>
              </w:rPr>
            </w:pPr>
          </w:p>
        </w:tc>
        <w:tc>
          <w:tcPr>
            <w:tcW w:w="2143" w:type="dxa"/>
          </w:tcPr>
          <w:p>
            <w:pPr>
              <w:pStyle w:val="22"/>
              <w:spacing w:line="600" w:lineRule="exact"/>
              <w:rPr>
                <w:rFonts w:hint="eastAsia" w:asciiTheme="minorEastAsia" w:hAnsiTheme="minorEastAsia" w:eastAsiaTheme="minorEastAsia" w:cstheme="minorEastAsia"/>
                <w:kern w:val="2"/>
                <w:sz w:val="21"/>
                <w:highlight w:val="none"/>
              </w:rPr>
            </w:pPr>
          </w:p>
        </w:tc>
        <w:tc>
          <w:tcPr>
            <w:tcW w:w="1834" w:type="dxa"/>
          </w:tcPr>
          <w:p>
            <w:pPr>
              <w:pStyle w:val="22"/>
              <w:spacing w:line="600" w:lineRule="exact"/>
              <w:rPr>
                <w:rFonts w:hint="eastAsia" w:asciiTheme="minorEastAsia" w:hAnsiTheme="minorEastAsia" w:eastAsiaTheme="minorEastAsia" w:cstheme="minorEastAsia"/>
                <w:kern w:val="2"/>
                <w:sz w:val="21"/>
                <w:highlight w:val="none"/>
              </w:rPr>
            </w:pPr>
          </w:p>
        </w:tc>
        <w:tc>
          <w:tcPr>
            <w:tcW w:w="2181" w:type="dxa"/>
          </w:tcPr>
          <w:p>
            <w:pPr>
              <w:pStyle w:val="22"/>
              <w:spacing w:line="600" w:lineRule="exact"/>
              <w:rPr>
                <w:rFonts w:hint="eastAsia" w:asciiTheme="minorEastAsia" w:hAnsiTheme="minorEastAsia" w:eastAsiaTheme="minorEastAsia" w:cstheme="minorEastAsia"/>
                <w:kern w:val="2"/>
                <w:sz w:val="21"/>
                <w:highlight w:val="none"/>
              </w:rPr>
            </w:pPr>
          </w:p>
        </w:tc>
        <w:tc>
          <w:tcPr>
            <w:tcW w:w="1934" w:type="dxa"/>
          </w:tcPr>
          <w:p>
            <w:pPr>
              <w:pStyle w:val="22"/>
              <w:spacing w:line="600" w:lineRule="exact"/>
              <w:rPr>
                <w:rFonts w:hint="eastAsia" w:asciiTheme="minorEastAsia" w:hAnsiTheme="minorEastAsia" w:eastAsiaTheme="minorEastAsia" w:cstheme="minorEastAsia"/>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rPr>
                <w:rFonts w:hint="eastAsia" w:asciiTheme="minorEastAsia" w:hAnsiTheme="minorEastAsia" w:eastAsiaTheme="minorEastAsia" w:cstheme="minorEastAsia"/>
                <w:kern w:val="2"/>
                <w:sz w:val="21"/>
                <w:highlight w:val="none"/>
              </w:rPr>
            </w:pPr>
          </w:p>
        </w:tc>
        <w:tc>
          <w:tcPr>
            <w:tcW w:w="2143" w:type="dxa"/>
          </w:tcPr>
          <w:p>
            <w:pPr>
              <w:pStyle w:val="22"/>
              <w:spacing w:line="600" w:lineRule="exact"/>
              <w:rPr>
                <w:rFonts w:hint="eastAsia" w:asciiTheme="minorEastAsia" w:hAnsiTheme="minorEastAsia" w:eastAsiaTheme="minorEastAsia" w:cstheme="minorEastAsia"/>
                <w:kern w:val="2"/>
                <w:sz w:val="21"/>
                <w:highlight w:val="none"/>
              </w:rPr>
            </w:pPr>
          </w:p>
        </w:tc>
        <w:tc>
          <w:tcPr>
            <w:tcW w:w="1834" w:type="dxa"/>
          </w:tcPr>
          <w:p>
            <w:pPr>
              <w:pStyle w:val="22"/>
              <w:spacing w:line="600" w:lineRule="exact"/>
              <w:rPr>
                <w:rFonts w:hint="eastAsia" w:asciiTheme="minorEastAsia" w:hAnsiTheme="minorEastAsia" w:eastAsiaTheme="minorEastAsia" w:cstheme="minorEastAsia"/>
                <w:kern w:val="2"/>
                <w:sz w:val="21"/>
                <w:highlight w:val="none"/>
              </w:rPr>
            </w:pPr>
          </w:p>
        </w:tc>
        <w:tc>
          <w:tcPr>
            <w:tcW w:w="2181" w:type="dxa"/>
          </w:tcPr>
          <w:p>
            <w:pPr>
              <w:pStyle w:val="22"/>
              <w:spacing w:line="600" w:lineRule="exact"/>
              <w:rPr>
                <w:rFonts w:hint="eastAsia" w:asciiTheme="minorEastAsia" w:hAnsiTheme="minorEastAsia" w:eastAsiaTheme="minorEastAsia" w:cstheme="minorEastAsia"/>
                <w:kern w:val="2"/>
                <w:sz w:val="21"/>
                <w:highlight w:val="none"/>
              </w:rPr>
            </w:pPr>
          </w:p>
        </w:tc>
        <w:tc>
          <w:tcPr>
            <w:tcW w:w="1934" w:type="dxa"/>
          </w:tcPr>
          <w:p>
            <w:pPr>
              <w:pStyle w:val="22"/>
              <w:spacing w:line="600" w:lineRule="exact"/>
              <w:rPr>
                <w:rFonts w:hint="eastAsia" w:asciiTheme="minorEastAsia" w:hAnsiTheme="minorEastAsia" w:eastAsiaTheme="minorEastAsia" w:cstheme="minorEastAsia"/>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rPr>
                <w:rFonts w:hint="eastAsia" w:asciiTheme="minorEastAsia" w:hAnsiTheme="minorEastAsia" w:eastAsiaTheme="minorEastAsia" w:cstheme="minorEastAsia"/>
                <w:kern w:val="2"/>
                <w:sz w:val="21"/>
                <w:highlight w:val="none"/>
              </w:rPr>
            </w:pPr>
          </w:p>
        </w:tc>
        <w:tc>
          <w:tcPr>
            <w:tcW w:w="2143" w:type="dxa"/>
          </w:tcPr>
          <w:p>
            <w:pPr>
              <w:pStyle w:val="22"/>
              <w:spacing w:line="600" w:lineRule="exact"/>
              <w:rPr>
                <w:rFonts w:hint="eastAsia" w:asciiTheme="minorEastAsia" w:hAnsiTheme="minorEastAsia" w:eastAsiaTheme="minorEastAsia" w:cstheme="minorEastAsia"/>
                <w:kern w:val="2"/>
                <w:sz w:val="21"/>
                <w:highlight w:val="none"/>
              </w:rPr>
            </w:pPr>
          </w:p>
        </w:tc>
        <w:tc>
          <w:tcPr>
            <w:tcW w:w="1834" w:type="dxa"/>
          </w:tcPr>
          <w:p>
            <w:pPr>
              <w:pStyle w:val="22"/>
              <w:spacing w:line="600" w:lineRule="exact"/>
              <w:rPr>
                <w:rFonts w:hint="eastAsia" w:asciiTheme="minorEastAsia" w:hAnsiTheme="minorEastAsia" w:eastAsiaTheme="minorEastAsia" w:cstheme="minorEastAsia"/>
                <w:kern w:val="2"/>
                <w:sz w:val="21"/>
                <w:highlight w:val="none"/>
              </w:rPr>
            </w:pPr>
          </w:p>
        </w:tc>
        <w:tc>
          <w:tcPr>
            <w:tcW w:w="2181" w:type="dxa"/>
          </w:tcPr>
          <w:p>
            <w:pPr>
              <w:pStyle w:val="22"/>
              <w:spacing w:line="600" w:lineRule="exact"/>
              <w:rPr>
                <w:rFonts w:hint="eastAsia" w:asciiTheme="minorEastAsia" w:hAnsiTheme="minorEastAsia" w:eastAsiaTheme="minorEastAsia" w:cstheme="minorEastAsia"/>
                <w:kern w:val="2"/>
                <w:sz w:val="21"/>
                <w:highlight w:val="none"/>
              </w:rPr>
            </w:pPr>
          </w:p>
        </w:tc>
        <w:tc>
          <w:tcPr>
            <w:tcW w:w="1934" w:type="dxa"/>
          </w:tcPr>
          <w:p>
            <w:pPr>
              <w:pStyle w:val="22"/>
              <w:spacing w:line="600" w:lineRule="exact"/>
              <w:rPr>
                <w:rFonts w:hint="eastAsia" w:asciiTheme="minorEastAsia" w:hAnsiTheme="minorEastAsia" w:eastAsiaTheme="minorEastAsia" w:cstheme="minorEastAsia"/>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rPr>
                <w:rFonts w:hint="eastAsia" w:asciiTheme="minorEastAsia" w:hAnsiTheme="minorEastAsia" w:eastAsiaTheme="minorEastAsia" w:cstheme="minorEastAsia"/>
                <w:kern w:val="2"/>
                <w:sz w:val="21"/>
                <w:highlight w:val="none"/>
              </w:rPr>
            </w:pPr>
          </w:p>
        </w:tc>
        <w:tc>
          <w:tcPr>
            <w:tcW w:w="2143" w:type="dxa"/>
          </w:tcPr>
          <w:p>
            <w:pPr>
              <w:pStyle w:val="22"/>
              <w:spacing w:line="600" w:lineRule="exact"/>
              <w:rPr>
                <w:rFonts w:hint="eastAsia" w:asciiTheme="minorEastAsia" w:hAnsiTheme="minorEastAsia" w:eastAsiaTheme="minorEastAsia" w:cstheme="minorEastAsia"/>
                <w:kern w:val="2"/>
                <w:sz w:val="21"/>
                <w:highlight w:val="none"/>
              </w:rPr>
            </w:pPr>
          </w:p>
        </w:tc>
        <w:tc>
          <w:tcPr>
            <w:tcW w:w="1834" w:type="dxa"/>
          </w:tcPr>
          <w:p>
            <w:pPr>
              <w:pStyle w:val="22"/>
              <w:spacing w:line="600" w:lineRule="exact"/>
              <w:rPr>
                <w:rFonts w:hint="eastAsia" w:asciiTheme="minorEastAsia" w:hAnsiTheme="minorEastAsia" w:eastAsiaTheme="minorEastAsia" w:cstheme="minorEastAsia"/>
                <w:kern w:val="2"/>
                <w:sz w:val="21"/>
                <w:highlight w:val="none"/>
              </w:rPr>
            </w:pPr>
          </w:p>
        </w:tc>
        <w:tc>
          <w:tcPr>
            <w:tcW w:w="2181" w:type="dxa"/>
          </w:tcPr>
          <w:p>
            <w:pPr>
              <w:pStyle w:val="22"/>
              <w:spacing w:line="600" w:lineRule="exact"/>
              <w:rPr>
                <w:rFonts w:hint="eastAsia" w:asciiTheme="minorEastAsia" w:hAnsiTheme="minorEastAsia" w:eastAsiaTheme="minorEastAsia" w:cstheme="minorEastAsia"/>
                <w:kern w:val="2"/>
                <w:sz w:val="21"/>
                <w:highlight w:val="none"/>
              </w:rPr>
            </w:pPr>
          </w:p>
        </w:tc>
        <w:tc>
          <w:tcPr>
            <w:tcW w:w="1934" w:type="dxa"/>
          </w:tcPr>
          <w:p>
            <w:pPr>
              <w:pStyle w:val="22"/>
              <w:spacing w:line="600" w:lineRule="exact"/>
              <w:rPr>
                <w:rFonts w:hint="eastAsia" w:asciiTheme="minorEastAsia" w:hAnsiTheme="minorEastAsia" w:eastAsiaTheme="minorEastAsia" w:cstheme="minorEastAsia"/>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rPr>
                <w:rFonts w:hint="eastAsia" w:asciiTheme="minorEastAsia" w:hAnsiTheme="minorEastAsia" w:eastAsiaTheme="minorEastAsia" w:cstheme="minorEastAsia"/>
                <w:kern w:val="2"/>
                <w:sz w:val="21"/>
                <w:highlight w:val="none"/>
              </w:rPr>
            </w:pPr>
          </w:p>
        </w:tc>
        <w:tc>
          <w:tcPr>
            <w:tcW w:w="2143" w:type="dxa"/>
          </w:tcPr>
          <w:p>
            <w:pPr>
              <w:pStyle w:val="22"/>
              <w:spacing w:line="600" w:lineRule="exact"/>
              <w:rPr>
                <w:rFonts w:hint="eastAsia" w:asciiTheme="minorEastAsia" w:hAnsiTheme="minorEastAsia" w:eastAsiaTheme="minorEastAsia" w:cstheme="minorEastAsia"/>
                <w:kern w:val="2"/>
                <w:sz w:val="21"/>
                <w:highlight w:val="none"/>
              </w:rPr>
            </w:pPr>
          </w:p>
        </w:tc>
        <w:tc>
          <w:tcPr>
            <w:tcW w:w="1834" w:type="dxa"/>
          </w:tcPr>
          <w:p>
            <w:pPr>
              <w:pStyle w:val="22"/>
              <w:spacing w:line="600" w:lineRule="exact"/>
              <w:rPr>
                <w:rFonts w:hint="eastAsia" w:asciiTheme="minorEastAsia" w:hAnsiTheme="minorEastAsia" w:eastAsiaTheme="minorEastAsia" w:cstheme="minorEastAsia"/>
                <w:kern w:val="2"/>
                <w:sz w:val="21"/>
                <w:highlight w:val="none"/>
              </w:rPr>
            </w:pPr>
          </w:p>
        </w:tc>
        <w:tc>
          <w:tcPr>
            <w:tcW w:w="2181" w:type="dxa"/>
          </w:tcPr>
          <w:p>
            <w:pPr>
              <w:pStyle w:val="22"/>
              <w:spacing w:line="600" w:lineRule="exact"/>
              <w:rPr>
                <w:rFonts w:hint="eastAsia" w:asciiTheme="minorEastAsia" w:hAnsiTheme="minorEastAsia" w:eastAsiaTheme="minorEastAsia" w:cstheme="minorEastAsia"/>
                <w:kern w:val="2"/>
                <w:sz w:val="21"/>
                <w:highlight w:val="none"/>
              </w:rPr>
            </w:pPr>
          </w:p>
        </w:tc>
        <w:tc>
          <w:tcPr>
            <w:tcW w:w="1934" w:type="dxa"/>
          </w:tcPr>
          <w:p>
            <w:pPr>
              <w:pStyle w:val="22"/>
              <w:spacing w:line="600" w:lineRule="exact"/>
              <w:rPr>
                <w:rFonts w:hint="eastAsia" w:asciiTheme="minorEastAsia" w:hAnsiTheme="minorEastAsia" w:eastAsiaTheme="minorEastAsia" w:cstheme="minorEastAsia"/>
                <w:kern w:val="2"/>
                <w:sz w:val="21"/>
                <w:highlight w:val="none"/>
              </w:rPr>
            </w:pPr>
          </w:p>
        </w:tc>
      </w:tr>
    </w:tbl>
    <w:p>
      <w:pPr>
        <w:pStyle w:val="17"/>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注：投标人应根据投标设备的性能指标、对照招标文件要求在“偏离情况”栏注明“正偏离”、“负偏离”或“无偏离”。</w:t>
      </w:r>
    </w:p>
    <w:p>
      <w:pPr>
        <w:snapToGrid w:val="0"/>
        <w:spacing w:line="440" w:lineRule="exact"/>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法定代表人或授权代表签名：</w:t>
      </w:r>
    </w:p>
    <w:p>
      <w:pPr>
        <w:snapToGrid w:val="0"/>
        <w:spacing w:line="440" w:lineRule="exact"/>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投标人盖章：</w:t>
      </w:r>
    </w:p>
    <w:p>
      <w:pPr>
        <w:snapToGrid w:val="0"/>
        <w:spacing w:line="440" w:lineRule="exact"/>
        <w:jc w:val="left"/>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日期：</w:t>
      </w:r>
    </w:p>
    <w:p>
      <w:pPr>
        <w:snapToGrid w:val="0"/>
        <w:spacing w:before="50" w:afterLines="50"/>
        <w:jc w:val="left"/>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Cs w:val="21"/>
          <w:highlight w:val="none"/>
        </w:rPr>
        <w:t>说明：若此表由多页构成，应逐页加盖投标人公章或由法定代表人（负责人）或授权代表签名。</w:t>
      </w:r>
    </w:p>
    <w:p>
      <w:pPr>
        <w:snapToGrid w:val="0"/>
        <w:spacing w:before="50" w:afterLines="50"/>
        <w:jc w:val="left"/>
        <w:rPr>
          <w:rFonts w:hint="eastAsia" w:asciiTheme="minorEastAsia" w:hAnsiTheme="minorEastAsia" w:eastAsiaTheme="minorEastAsia" w:cstheme="minorEastAsia"/>
          <w:b/>
          <w:szCs w:val="21"/>
          <w:highlight w:val="none"/>
        </w:rPr>
      </w:pPr>
    </w:p>
    <w:p>
      <w:pPr>
        <w:snapToGrid w:val="0"/>
        <w:spacing w:before="50" w:afterLines="50"/>
        <w:jc w:val="left"/>
        <w:rPr>
          <w:rFonts w:hint="eastAsia" w:asciiTheme="minorEastAsia" w:hAnsiTheme="minorEastAsia" w:eastAsiaTheme="minorEastAsia" w:cstheme="minorEastAsia"/>
          <w:b/>
          <w:szCs w:val="21"/>
          <w:highlight w:val="none"/>
        </w:rPr>
      </w:pPr>
    </w:p>
    <w:p>
      <w:pPr>
        <w:snapToGrid w:val="0"/>
        <w:spacing w:before="50" w:afterLines="50"/>
        <w:jc w:val="left"/>
        <w:rPr>
          <w:rFonts w:hint="eastAsia" w:asciiTheme="minorEastAsia" w:hAnsiTheme="minorEastAsia" w:eastAsiaTheme="minorEastAsia" w:cstheme="minorEastAsia"/>
          <w:b/>
          <w:szCs w:val="21"/>
          <w:highlight w:val="none"/>
        </w:rPr>
      </w:pPr>
    </w:p>
    <w:p>
      <w:pPr>
        <w:snapToGrid w:val="0"/>
        <w:spacing w:before="50" w:afterLines="50"/>
        <w:jc w:val="left"/>
        <w:rPr>
          <w:rFonts w:hint="eastAsia" w:asciiTheme="minorEastAsia" w:hAnsiTheme="minorEastAsia" w:eastAsiaTheme="minorEastAsia" w:cstheme="minorEastAsia"/>
          <w:b/>
          <w:szCs w:val="21"/>
          <w:highlight w:val="none"/>
        </w:rPr>
      </w:pPr>
    </w:p>
    <w:p>
      <w:pPr>
        <w:adjustRightInd w:val="0"/>
        <w:snapToGrid w:val="0"/>
        <w:spacing w:line="400" w:lineRule="exact"/>
        <w:ind w:firstLine="632" w:firstLineChars="300"/>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szCs w:val="21"/>
          <w:highlight w:val="none"/>
        </w:rPr>
        <w:t>（4）投标人需要说明的其他文件和说明</w:t>
      </w:r>
    </w:p>
    <w:p>
      <w:pPr>
        <w:snapToGrid w:val="0"/>
        <w:spacing w:before="50" w:afterLines="50"/>
        <w:jc w:val="left"/>
        <w:rPr>
          <w:rFonts w:hint="eastAsia" w:asciiTheme="minorEastAsia" w:hAnsiTheme="minorEastAsia" w:eastAsiaTheme="minorEastAsia" w:cstheme="minorEastAsia"/>
          <w:b/>
          <w:szCs w:val="21"/>
          <w:highlight w:val="none"/>
        </w:rPr>
      </w:pPr>
    </w:p>
    <w:p>
      <w:pPr>
        <w:snapToGrid w:val="0"/>
        <w:spacing w:before="50" w:afterLines="50"/>
        <w:jc w:val="left"/>
        <w:rPr>
          <w:rFonts w:hint="eastAsia" w:asciiTheme="minorEastAsia" w:hAnsiTheme="minorEastAsia" w:eastAsiaTheme="minorEastAsia" w:cstheme="minorEastAsia"/>
          <w:b/>
          <w:szCs w:val="21"/>
          <w:highlight w:val="none"/>
        </w:rPr>
      </w:pPr>
    </w:p>
    <w:p>
      <w:pPr>
        <w:snapToGrid w:val="0"/>
        <w:spacing w:before="50" w:afterLines="50"/>
        <w:jc w:val="left"/>
        <w:rPr>
          <w:rFonts w:hint="eastAsia" w:asciiTheme="minorEastAsia" w:hAnsiTheme="minorEastAsia" w:eastAsiaTheme="minorEastAsia" w:cstheme="minorEastAsia"/>
          <w:b/>
          <w:szCs w:val="21"/>
          <w:highlight w:val="none"/>
        </w:rPr>
      </w:pPr>
    </w:p>
    <w:p>
      <w:pPr>
        <w:snapToGrid w:val="0"/>
        <w:spacing w:beforeLines="50" w:after="50"/>
        <w:rPr>
          <w:rFonts w:hint="eastAsia" w:asciiTheme="minorEastAsia" w:hAnsiTheme="minorEastAsia" w:eastAsiaTheme="minorEastAsia" w:cstheme="minorEastAsia"/>
          <w:b/>
          <w:szCs w:val="21"/>
          <w:highlight w:val="none"/>
        </w:rPr>
      </w:pPr>
    </w:p>
    <w:p>
      <w:pPr>
        <w:snapToGrid w:val="0"/>
        <w:spacing w:beforeLines="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br w:type="page"/>
      </w:r>
      <w:r>
        <w:rPr>
          <w:rFonts w:hint="eastAsia" w:asciiTheme="minorEastAsia" w:hAnsiTheme="minorEastAsia" w:eastAsiaTheme="minorEastAsia" w:cstheme="minorEastAsia"/>
          <w:b/>
          <w:szCs w:val="21"/>
          <w:highlight w:val="none"/>
        </w:rPr>
        <w:t>（五）开标一览表信封封面格式（可以手写，密封）：</w:t>
      </w:r>
    </w:p>
    <w:p>
      <w:pPr>
        <w:snapToGrid w:val="0"/>
        <w:spacing w:before="50" w:after="50" w:line="380" w:lineRule="exact"/>
        <w:rPr>
          <w:rFonts w:hint="eastAsia" w:asciiTheme="minorEastAsia" w:hAnsiTheme="minorEastAsia" w:eastAsiaTheme="minorEastAsia" w:cstheme="minorEastAsia"/>
          <w:szCs w:val="21"/>
          <w:highlight w:val="none"/>
        </w:rPr>
      </w:pPr>
    </w:p>
    <w:p>
      <w:pPr>
        <w:snapToGrid w:val="0"/>
        <w:spacing w:before="50" w:after="50" w:line="380" w:lineRule="exact"/>
        <w:ind w:firstLine="630" w:firstLineChars="3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招标编号：                     </w:t>
      </w:r>
    </w:p>
    <w:p>
      <w:pPr>
        <w:snapToGrid w:val="0"/>
        <w:spacing w:before="50" w:after="50" w:line="380" w:lineRule="exact"/>
        <w:ind w:firstLine="630" w:firstLineChars="3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标项：               </w:t>
      </w:r>
    </w:p>
    <w:p>
      <w:pPr>
        <w:snapToGrid w:val="0"/>
        <w:spacing w:before="50" w:after="50" w:line="380" w:lineRule="exact"/>
        <w:ind w:firstLine="630" w:firstLineChars="3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投标人名称：</w:t>
      </w:r>
    </w:p>
    <w:p>
      <w:pPr>
        <w:snapToGrid w:val="0"/>
        <w:spacing w:before="50" w:after="50" w:line="380" w:lineRule="exact"/>
        <w:rPr>
          <w:rFonts w:hint="eastAsia" w:asciiTheme="minorEastAsia" w:hAnsiTheme="minorEastAsia" w:eastAsiaTheme="minorEastAsia" w:cstheme="minorEastAsia"/>
          <w:b/>
          <w:szCs w:val="21"/>
          <w:highlight w:val="none"/>
        </w:rPr>
      </w:pPr>
    </w:p>
    <w:p>
      <w:pPr>
        <w:spacing w:line="380" w:lineRule="exact"/>
        <w:rPr>
          <w:rFonts w:hint="eastAsia" w:asciiTheme="minorEastAsia" w:hAnsiTheme="minorEastAsia" w:eastAsiaTheme="minorEastAsia" w:cstheme="minorEastAsia"/>
          <w:szCs w:val="21"/>
          <w:highlight w:val="none"/>
        </w:rPr>
      </w:pPr>
    </w:p>
    <w:p>
      <w:pPr>
        <w:spacing w:line="380" w:lineRule="exact"/>
        <w:rPr>
          <w:rFonts w:hint="eastAsia" w:asciiTheme="minorEastAsia" w:hAnsiTheme="minorEastAsia" w:eastAsiaTheme="minorEastAsia" w:cstheme="minorEastAsia"/>
          <w:szCs w:val="21"/>
          <w:highlight w:val="none"/>
        </w:rPr>
      </w:pPr>
    </w:p>
    <w:p>
      <w:pPr>
        <w:rPr>
          <w:rFonts w:hint="eastAsia" w:asciiTheme="minorEastAsia" w:hAnsiTheme="minorEastAsia" w:eastAsiaTheme="minorEastAsia" w:cstheme="minorEastAsia"/>
          <w:szCs w:val="21"/>
          <w:highlight w:val="none"/>
        </w:rPr>
      </w:pPr>
    </w:p>
    <w:p>
      <w:pPr>
        <w:snapToGrid w:val="0"/>
        <w:spacing w:before="50" w:after="5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br w:type="page"/>
      </w:r>
      <w:r>
        <w:rPr>
          <w:rFonts w:hint="eastAsia" w:asciiTheme="minorEastAsia" w:hAnsiTheme="minorEastAsia" w:eastAsiaTheme="minorEastAsia" w:cstheme="minorEastAsia"/>
          <w:b/>
          <w:szCs w:val="21"/>
          <w:highlight w:val="none"/>
        </w:rPr>
        <w:t xml:space="preserve">1.开标一览表 </w:t>
      </w:r>
    </w:p>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开标一览表</w:t>
      </w:r>
    </w:p>
    <w:p>
      <w:pPr>
        <w:snapToGrid w:val="0"/>
        <w:spacing w:before="50" w:after="50"/>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项目名称：</w:t>
      </w:r>
    </w:p>
    <w:p>
      <w:pPr>
        <w:snapToGrid w:val="0"/>
        <w:spacing w:before="50" w:after="5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项目编号：                               单位：元</w:t>
      </w:r>
    </w:p>
    <w:tbl>
      <w:tblPr>
        <w:tblStyle w:val="34"/>
        <w:tblW w:w="96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4"/>
        <w:gridCol w:w="1495"/>
        <w:gridCol w:w="1185"/>
        <w:gridCol w:w="879"/>
        <w:gridCol w:w="993"/>
        <w:gridCol w:w="1275"/>
        <w:gridCol w:w="991"/>
        <w:gridCol w:w="727"/>
        <w:gridCol w:w="13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项号</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产品名称</w:t>
            </w:r>
          </w:p>
        </w:tc>
        <w:tc>
          <w:tcPr>
            <w:tcW w:w="11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产地</w:t>
            </w:r>
          </w:p>
        </w:tc>
        <w:tc>
          <w:tcPr>
            <w:tcW w:w="8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品牌及厂家</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规格型号</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计量单位</w:t>
            </w:r>
          </w:p>
        </w:tc>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数量</w:t>
            </w:r>
          </w:p>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①</w:t>
            </w: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单价</w:t>
            </w:r>
          </w:p>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②</w:t>
            </w: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投标报价</w:t>
            </w:r>
          </w:p>
          <w:p>
            <w:pPr>
              <w:snapToGrid w:val="0"/>
              <w:spacing w:before="50" w:after="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Cs w:val="21"/>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2"/>
                <w:szCs w:val="22"/>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szCs w:val="21"/>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szCs w:val="21"/>
                <w:highlight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4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Cs w:val="21"/>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2"/>
                <w:szCs w:val="22"/>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szCs w:val="21"/>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szCs w:val="21"/>
                <w:highlight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合计</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2"/>
                <w:szCs w:val="22"/>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szCs w:val="21"/>
                <w:highlight w:val="none"/>
              </w:rPr>
            </w:pPr>
          </w:p>
        </w:tc>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szCs w:val="21"/>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szCs w:val="21"/>
                <w:highlight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合计金额大写：</w:t>
            </w:r>
            <w:r>
              <w:rPr>
                <w:rFonts w:hint="eastAsia" w:asciiTheme="minorEastAsia" w:hAnsiTheme="minorEastAsia" w:eastAsiaTheme="minorEastAsia" w:cstheme="minorEastAsia"/>
                <w:spacing w:val="20"/>
                <w:szCs w:val="21"/>
                <w:highlight w:val="none"/>
                <w:u w:val="single"/>
              </w:rPr>
              <w:t>人民币（¥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交货地点：</w:t>
            </w:r>
          </w:p>
        </w:tc>
      </w:tr>
    </w:tbl>
    <w:p>
      <w:pPr>
        <w:snapToGrid w:val="0"/>
        <w:spacing w:before="50" w:after="50" w:line="32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注：1.报价一经涂改，应在涂改处加盖单位公章或者由法定代表人或授权委托人签字或盖章，否则其投标作无效标处理。</w:t>
      </w:r>
    </w:p>
    <w:p>
      <w:pPr>
        <w:snapToGrid w:val="0"/>
        <w:spacing w:before="50" w:after="50" w:line="32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2.投标费用包括项目实施所需的人工费、服务费、购买及制作标书费、税费及其他一切费用。</w:t>
      </w:r>
    </w:p>
    <w:p>
      <w:pPr>
        <w:snapToGrid w:val="0"/>
        <w:spacing w:before="50" w:after="50" w:line="320" w:lineRule="exact"/>
        <w:ind w:firstLine="420" w:firstLineChars="20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3.以上报价应与“投标报价明细表”中的“投标总价”相一致。</w:t>
      </w:r>
    </w:p>
    <w:p>
      <w:pPr>
        <w:snapToGrid w:val="0"/>
        <w:spacing w:before="50" w:after="50" w:line="320" w:lineRule="exact"/>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4.此表请单独装信封放入投标文件袋，信封封面请注明招标编号、标项、投标人名称及“开标一览表”字样。</w:t>
      </w:r>
    </w:p>
    <w:p>
      <w:pPr>
        <w:snapToGrid w:val="0"/>
        <w:spacing w:before="50" w:after="50"/>
        <w:ind w:left="-2" w:leftChars="-1" w:right="-817" w:rightChars="-389"/>
        <w:rPr>
          <w:rFonts w:hint="eastAsia" w:asciiTheme="minorEastAsia" w:hAnsiTheme="minorEastAsia" w:eastAsiaTheme="minorEastAsia" w:cstheme="minorEastAsia"/>
          <w:szCs w:val="21"/>
          <w:highlight w:val="none"/>
        </w:rPr>
      </w:pPr>
    </w:p>
    <w:p>
      <w:pPr>
        <w:jc w:val="center"/>
        <w:rPr>
          <w:rFonts w:hint="eastAsia" w:asciiTheme="minorEastAsia" w:hAnsiTheme="minorEastAsia" w:eastAsiaTheme="minorEastAsia" w:cstheme="minorEastAsia"/>
          <w:szCs w:val="21"/>
          <w:highlight w:val="none"/>
        </w:rPr>
      </w:pPr>
    </w:p>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法定代表人或授权代表（签字或盖章）：</w:t>
      </w:r>
    </w:p>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投标人名称（公章）：</w:t>
      </w:r>
    </w:p>
    <w:p>
      <w:pPr>
        <w:snapToGrid w:val="0"/>
        <w:spacing w:before="50" w:after="50"/>
        <w:jc w:val="center"/>
        <w:rPr>
          <w:rFonts w:hint="eastAsia" w:asciiTheme="minorEastAsia" w:hAnsiTheme="minorEastAsia" w:eastAsiaTheme="minorEastAsia" w:cstheme="minorEastAsia"/>
          <w:spacing w:val="20"/>
          <w:szCs w:val="21"/>
          <w:highlight w:val="none"/>
        </w:rPr>
      </w:pPr>
      <w:r>
        <w:rPr>
          <w:rFonts w:hint="eastAsia" w:asciiTheme="minorEastAsia" w:hAnsiTheme="minorEastAsia" w:eastAsiaTheme="minorEastAsia" w:cstheme="minorEastAsia"/>
          <w:szCs w:val="21"/>
          <w:highlight w:val="none"/>
        </w:rPr>
        <w:t>日期：    年   月   日</w:t>
      </w:r>
    </w:p>
    <w:p>
      <w:pPr>
        <w:snapToGrid w:val="0"/>
        <w:spacing w:before="50" w:after="50"/>
        <w:rPr>
          <w:rFonts w:hint="eastAsia" w:asciiTheme="minorEastAsia" w:hAnsiTheme="minorEastAsia" w:eastAsiaTheme="minorEastAsia" w:cstheme="minorEastAsia"/>
          <w:b/>
          <w:szCs w:val="21"/>
          <w:highlight w:val="none"/>
        </w:rPr>
      </w:pPr>
    </w:p>
    <w:p>
      <w:pPr>
        <w:snapToGrid w:val="0"/>
        <w:spacing w:before="50" w:after="50"/>
        <w:rPr>
          <w:rFonts w:hint="eastAsia" w:asciiTheme="minorEastAsia" w:hAnsiTheme="minorEastAsia" w:eastAsiaTheme="minorEastAsia" w:cstheme="minorEastAsia"/>
          <w:b/>
          <w:szCs w:val="21"/>
          <w:highlight w:val="none"/>
        </w:rPr>
      </w:pP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p>
    <w:p>
      <w:pPr>
        <w:rPr>
          <w:rFonts w:hint="eastAsia" w:asciiTheme="minorEastAsia" w:hAnsiTheme="minorEastAsia" w:eastAsiaTheme="minorEastAsia" w:cstheme="minorEastAsia"/>
          <w:b/>
          <w:bCs/>
          <w:highlight w:val="none"/>
        </w:rPr>
      </w:pPr>
      <w:bookmarkStart w:id="113" w:name="_Toc19686840"/>
      <w:r>
        <w:rPr>
          <w:rFonts w:hint="eastAsia" w:asciiTheme="minorEastAsia" w:hAnsiTheme="minorEastAsia" w:eastAsiaTheme="minorEastAsia" w:cstheme="minorEastAsia"/>
          <w:b/>
          <w:bCs/>
          <w:highlight w:val="none"/>
        </w:rPr>
        <w:t>其他文书、文件格式</w:t>
      </w:r>
      <w:bookmarkEnd w:id="113"/>
    </w:p>
    <w:p>
      <w:pPr>
        <w:snapToGrid w:val="0"/>
        <w:spacing w:beforeLines="50" w:after="50"/>
        <w:jc w:val="center"/>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广西工业产品声明函格式</w:t>
      </w:r>
    </w:p>
    <w:p>
      <w:pPr>
        <w:rPr>
          <w:rFonts w:hint="eastAsia" w:asciiTheme="minorEastAsia" w:hAnsiTheme="minorEastAsia" w:eastAsiaTheme="minorEastAsia" w:cstheme="minorEastAsia"/>
          <w:color w:val="000000"/>
          <w:highlight w:val="none"/>
        </w:rPr>
      </w:pPr>
    </w:p>
    <w:p>
      <w:pPr>
        <w:spacing w:line="588" w:lineRule="exact"/>
        <w:jc w:val="center"/>
        <w:rPr>
          <w:rFonts w:hint="eastAsia" w:asciiTheme="minorEastAsia" w:hAnsiTheme="minorEastAsia" w:eastAsiaTheme="minorEastAsia" w:cstheme="minorEastAsia"/>
          <w:b/>
          <w:color w:val="000000"/>
          <w:sz w:val="36"/>
          <w:szCs w:val="36"/>
          <w:highlight w:val="none"/>
        </w:rPr>
      </w:pPr>
      <w:r>
        <w:rPr>
          <w:rFonts w:hint="eastAsia" w:asciiTheme="minorEastAsia" w:hAnsiTheme="minorEastAsia" w:eastAsiaTheme="minorEastAsia" w:cstheme="minorEastAsia"/>
          <w:b/>
          <w:color w:val="000000"/>
          <w:spacing w:val="6"/>
          <w:sz w:val="32"/>
          <w:szCs w:val="32"/>
          <w:highlight w:val="none"/>
        </w:rPr>
        <w:t>广西工业产品声明函</w:t>
      </w:r>
    </w:p>
    <w:p>
      <w:pPr>
        <w:rPr>
          <w:rFonts w:hint="eastAsia" w:asciiTheme="minorEastAsia" w:hAnsiTheme="minorEastAsia" w:eastAsiaTheme="minorEastAsia" w:cstheme="minorEastAsia"/>
          <w:color w:val="000000"/>
          <w:highlight w:val="none"/>
        </w:rPr>
      </w:pPr>
    </w:p>
    <w:p>
      <w:pPr>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本公司郑重声明，根据《招标采购促进广西工业产品产销对接实施细则》的规定，本公司在本次投标中提供的下述产品为广西工业产品，详情如下：</w:t>
      </w:r>
    </w:p>
    <w:p>
      <w:pPr>
        <w:rPr>
          <w:rFonts w:hint="eastAsia" w:asciiTheme="minorEastAsia" w:hAnsiTheme="minorEastAsia" w:eastAsiaTheme="minorEastAsia" w:cstheme="minorEastAsia"/>
          <w:color w:val="000000"/>
          <w:sz w:val="24"/>
          <w:highlight w:val="none"/>
        </w:rPr>
      </w:pPr>
    </w:p>
    <w:tbl>
      <w:tblPr>
        <w:tblStyle w:val="3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39"/>
        <w:gridCol w:w="1417"/>
        <w:gridCol w:w="709"/>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vAlign w:val="center"/>
          </w:tcPr>
          <w:p>
            <w:pPr>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序号</w:t>
            </w:r>
          </w:p>
        </w:tc>
        <w:tc>
          <w:tcPr>
            <w:tcW w:w="1539" w:type="dxa"/>
            <w:vAlign w:val="center"/>
          </w:tcPr>
          <w:p>
            <w:pPr>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产品名称</w:t>
            </w:r>
          </w:p>
        </w:tc>
        <w:tc>
          <w:tcPr>
            <w:tcW w:w="1417" w:type="dxa"/>
            <w:vAlign w:val="center"/>
          </w:tcPr>
          <w:p>
            <w:pPr>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型号和规格</w:t>
            </w:r>
          </w:p>
        </w:tc>
        <w:tc>
          <w:tcPr>
            <w:tcW w:w="709" w:type="dxa"/>
            <w:vAlign w:val="center"/>
          </w:tcPr>
          <w:p>
            <w:pPr>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数量</w:t>
            </w:r>
          </w:p>
        </w:tc>
        <w:tc>
          <w:tcPr>
            <w:tcW w:w="2268" w:type="dxa"/>
            <w:vAlign w:val="center"/>
          </w:tcPr>
          <w:p>
            <w:pPr>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制造厂商及原产地</w:t>
            </w:r>
          </w:p>
        </w:tc>
        <w:tc>
          <w:tcPr>
            <w:tcW w:w="992" w:type="dxa"/>
            <w:vAlign w:val="center"/>
          </w:tcPr>
          <w:p>
            <w:pPr>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投标价</w:t>
            </w:r>
          </w:p>
        </w:tc>
        <w:tc>
          <w:tcPr>
            <w:tcW w:w="851" w:type="dxa"/>
            <w:vAlign w:val="center"/>
          </w:tcPr>
          <w:p>
            <w:pPr>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96" w:type="dxa"/>
            <w:vAlign w:val="center"/>
          </w:tcPr>
          <w:p>
            <w:pPr>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w:t>
            </w:r>
          </w:p>
        </w:tc>
        <w:tc>
          <w:tcPr>
            <w:tcW w:w="1539" w:type="dxa"/>
            <w:vAlign w:val="center"/>
          </w:tcPr>
          <w:p>
            <w:pPr>
              <w:jc w:val="center"/>
              <w:rPr>
                <w:rFonts w:hint="eastAsia" w:asciiTheme="minorEastAsia" w:hAnsiTheme="minorEastAsia" w:eastAsiaTheme="minorEastAsia" w:cstheme="minorEastAsia"/>
                <w:color w:val="000000"/>
                <w:sz w:val="24"/>
                <w:highlight w:val="none"/>
              </w:rPr>
            </w:pPr>
          </w:p>
        </w:tc>
        <w:tc>
          <w:tcPr>
            <w:tcW w:w="1417" w:type="dxa"/>
            <w:vAlign w:val="center"/>
          </w:tcPr>
          <w:p>
            <w:pPr>
              <w:jc w:val="center"/>
              <w:rPr>
                <w:rFonts w:hint="eastAsia" w:asciiTheme="minorEastAsia" w:hAnsiTheme="minorEastAsia" w:eastAsiaTheme="minorEastAsia" w:cstheme="minorEastAsia"/>
                <w:color w:val="000000"/>
                <w:sz w:val="24"/>
                <w:highlight w:val="none"/>
              </w:rPr>
            </w:pPr>
          </w:p>
        </w:tc>
        <w:tc>
          <w:tcPr>
            <w:tcW w:w="709" w:type="dxa"/>
            <w:vAlign w:val="center"/>
          </w:tcPr>
          <w:p>
            <w:pPr>
              <w:jc w:val="center"/>
              <w:rPr>
                <w:rFonts w:hint="eastAsia" w:asciiTheme="minorEastAsia" w:hAnsiTheme="minorEastAsia" w:eastAsiaTheme="minorEastAsia" w:cstheme="minorEastAsia"/>
                <w:color w:val="000000"/>
                <w:sz w:val="24"/>
                <w:highlight w:val="none"/>
              </w:rPr>
            </w:pPr>
          </w:p>
        </w:tc>
        <w:tc>
          <w:tcPr>
            <w:tcW w:w="2268" w:type="dxa"/>
            <w:vAlign w:val="center"/>
          </w:tcPr>
          <w:p>
            <w:pPr>
              <w:jc w:val="center"/>
              <w:rPr>
                <w:rFonts w:hint="eastAsia" w:asciiTheme="minorEastAsia" w:hAnsiTheme="minorEastAsia" w:eastAsiaTheme="minorEastAsia" w:cstheme="minorEastAsia"/>
                <w:color w:val="000000"/>
                <w:sz w:val="24"/>
                <w:highlight w:val="none"/>
              </w:rPr>
            </w:pPr>
          </w:p>
        </w:tc>
        <w:tc>
          <w:tcPr>
            <w:tcW w:w="992" w:type="dxa"/>
            <w:vAlign w:val="center"/>
          </w:tcPr>
          <w:p>
            <w:pPr>
              <w:jc w:val="center"/>
              <w:rPr>
                <w:rFonts w:hint="eastAsia" w:asciiTheme="minorEastAsia" w:hAnsiTheme="minorEastAsia" w:eastAsiaTheme="minorEastAsia" w:cstheme="minorEastAsia"/>
                <w:color w:val="000000"/>
                <w:sz w:val="24"/>
                <w:highlight w:val="none"/>
              </w:rPr>
            </w:pPr>
          </w:p>
        </w:tc>
        <w:tc>
          <w:tcPr>
            <w:tcW w:w="851" w:type="dxa"/>
            <w:vAlign w:val="center"/>
          </w:tcPr>
          <w:p>
            <w:pPr>
              <w:jc w:val="center"/>
              <w:rPr>
                <w:rFonts w:hint="eastAsia" w:asciiTheme="minorEastAsia" w:hAnsiTheme="minorEastAsia" w:eastAsiaTheme="minorEastAsia" w:cstheme="minorEastAsia"/>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96" w:type="dxa"/>
            <w:vAlign w:val="center"/>
          </w:tcPr>
          <w:p>
            <w:pPr>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w:t>
            </w:r>
          </w:p>
        </w:tc>
        <w:tc>
          <w:tcPr>
            <w:tcW w:w="1539" w:type="dxa"/>
            <w:vAlign w:val="center"/>
          </w:tcPr>
          <w:p>
            <w:pPr>
              <w:jc w:val="center"/>
              <w:rPr>
                <w:rFonts w:hint="eastAsia" w:asciiTheme="minorEastAsia" w:hAnsiTheme="minorEastAsia" w:eastAsiaTheme="minorEastAsia" w:cstheme="minorEastAsia"/>
                <w:color w:val="000000"/>
                <w:sz w:val="24"/>
                <w:highlight w:val="none"/>
              </w:rPr>
            </w:pPr>
          </w:p>
        </w:tc>
        <w:tc>
          <w:tcPr>
            <w:tcW w:w="1417" w:type="dxa"/>
            <w:vAlign w:val="center"/>
          </w:tcPr>
          <w:p>
            <w:pPr>
              <w:jc w:val="center"/>
              <w:rPr>
                <w:rFonts w:hint="eastAsia" w:asciiTheme="minorEastAsia" w:hAnsiTheme="minorEastAsia" w:eastAsiaTheme="minorEastAsia" w:cstheme="minorEastAsia"/>
                <w:color w:val="000000"/>
                <w:sz w:val="24"/>
                <w:highlight w:val="none"/>
              </w:rPr>
            </w:pPr>
          </w:p>
        </w:tc>
        <w:tc>
          <w:tcPr>
            <w:tcW w:w="709" w:type="dxa"/>
            <w:vAlign w:val="center"/>
          </w:tcPr>
          <w:p>
            <w:pPr>
              <w:jc w:val="center"/>
              <w:rPr>
                <w:rFonts w:hint="eastAsia" w:asciiTheme="minorEastAsia" w:hAnsiTheme="minorEastAsia" w:eastAsiaTheme="minorEastAsia" w:cstheme="minorEastAsia"/>
                <w:color w:val="000000"/>
                <w:sz w:val="24"/>
                <w:highlight w:val="none"/>
              </w:rPr>
            </w:pPr>
          </w:p>
        </w:tc>
        <w:tc>
          <w:tcPr>
            <w:tcW w:w="2268" w:type="dxa"/>
            <w:vAlign w:val="center"/>
          </w:tcPr>
          <w:p>
            <w:pPr>
              <w:jc w:val="center"/>
              <w:rPr>
                <w:rFonts w:hint="eastAsia" w:asciiTheme="minorEastAsia" w:hAnsiTheme="minorEastAsia" w:eastAsiaTheme="minorEastAsia" w:cstheme="minorEastAsia"/>
                <w:color w:val="000000"/>
                <w:sz w:val="24"/>
                <w:highlight w:val="none"/>
              </w:rPr>
            </w:pPr>
          </w:p>
        </w:tc>
        <w:tc>
          <w:tcPr>
            <w:tcW w:w="992" w:type="dxa"/>
            <w:vAlign w:val="center"/>
          </w:tcPr>
          <w:p>
            <w:pPr>
              <w:jc w:val="center"/>
              <w:rPr>
                <w:rFonts w:hint="eastAsia" w:asciiTheme="minorEastAsia" w:hAnsiTheme="minorEastAsia" w:eastAsiaTheme="minorEastAsia" w:cstheme="minorEastAsia"/>
                <w:color w:val="000000"/>
                <w:sz w:val="24"/>
                <w:highlight w:val="none"/>
              </w:rPr>
            </w:pPr>
          </w:p>
        </w:tc>
        <w:tc>
          <w:tcPr>
            <w:tcW w:w="851" w:type="dxa"/>
            <w:vAlign w:val="center"/>
          </w:tcPr>
          <w:p>
            <w:pPr>
              <w:jc w:val="center"/>
              <w:rPr>
                <w:rFonts w:hint="eastAsia" w:asciiTheme="minorEastAsia" w:hAnsiTheme="minorEastAsia" w:eastAsiaTheme="minorEastAsia" w:cstheme="minorEastAsia"/>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96" w:type="dxa"/>
            <w:vAlign w:val="center"/>
          </w:tcPr>
          <w:p>
            <w:pPr>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w:t>
            </w:r>
          </w:p>
        </w:tc>
        <w:tc>
          <w:tcPr>
            <w:tcW w:w="1539" w:type="dxa"/>
            <w:vAlign w:val="center"/>
          </w:tcPr>
          <w:p>
            <w:pPr>
              <w:jc w:val="center"/>
              <w:rPr>
                <w:rFonts w:hint="eastAsia" w:asciiTheme="minorEastAsia" w:hAnsiTheme="minorEastAsia" w:eastAsiaTheme="minorEastAsia" w:cstheme="minorEastAsia"/>
                <w:color w:val="000000"/>
                <w:sz w:val="24"/>
                <w:highlight w:val="none"/>
              </w:rPr>
            </w:pPr>
          </w:p>
        </w:tc>
        <w:tc>
          <w:tcPr>
            <w:tcW w:w="1417" w:type="dxa"/>
            <w:vAlign w:val="center"/>
          </w:tcPr>
          <w:p>
            <w:pPr>
              <w:jc w:val="center"/>
              <w:rPr>
                <w:rFonts w:hint="eastAsia" w:asciiTheme="minorEastAsia" w:hAnsiTheme="minorEastAsia" w:eastAsiaTheme="minorEastAsia" w:cstheme="minorEastAsia"/>
                <w:color w:val="000000"/>
                <w:sz w:val="24"/>
                <w:highlight w:val="none"/>
              </w:rPr>
            </w:pPr>
          </w:p>
        </w:tc>
        <w:tc>
          <w:tcPr>
            <w:tcW w:w="709" w:type="dxa"/>
            <w:vAlign w:val="center"/>
          </w:tcPr>
          <w:p>
            <w:pPr>
              <w:jc w:val="center"/>
              <w:rPr>
                <w:rFonts w:hint="eastAsia" w:asciiTheme="minorEastAsia" w:hAnsiTheme="minorEastAsia" w:eastAsiaTheme="minorEastAsia" w:cstheme="minorEastAsia"/>
                <w:color w:val="000000"/>
                <w:sz w:val="24"/>
                <w:highlight w:val="none"/>
              </w:rPr>
            </w:pPr>
          </w:p>
        </w:tc>
        <w:tc>
          <w:tcPr>
            <w:tcW w:w="2268" w:type="dxa"/>
            <w:vAlign w:val="center"/>
          </w:tcPr>
          <w:p>
            <w:pPr>
              <w:jc w:val="center"/>
              <w:rPr>
                <w:rFonts w:hint="eastAsia" w:asciiTheme="minorEastAsia" w:hAnsiTheme="minorEastAsia" w:eastAsiaTheme="minorEastAsia" w:cstheme="minorEastAsia"/>
                <w:color w:val="000000"/>
                <w:sz w:val="24"/>
                <w:highlight w:val="none"/>
              </w:rPr>
            </w:pPr>
          </w:p>
        </w:tc>
        <w:tc>
          <w:tcPr>
            <w:tcW w:w="992" w:type="dxa"/>
            <w:vAlign w:val="center"/>
          </w:tcPr>
          <w:p>
            <w:pPr>
              <w:jc w:val="center"/>
              <w:rPr>
                <w:rFonts w:hint="eastAsia" w:asciiTheme="minorEastAsia" w:hAnsiTheme="minorEastAsia" w:eastAsiaTheme="minorEastAsia" w:cstheme="minorEastAsia"/>
                <w:color w:val="000000"/>
                <w:sz w:val="24"/>
                <w:highlight w:val="none"/>
              </w:rPr>
            </w:pPr>
          </w:p>
        </w:tc>
        <w:tc>
          <w:tcPr>
            <w:tcW w:w="851" w:type="dxa"/>
            <w:vAlign w:val="center"/>
          </w:tcPr>
          <w:p>
            <w:pPr>
              <w:jc w:val="center"/>
              <w:rPr>
                <w:rFonts w:hint="eastAsia" w:asciiTheme="minorEastAsia" w:hAnsiTheme="minorEastAsia" w:eastAsiaTheme="minorEastAsia" w:cstheme="minorEastAsia"/>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Theme="minorEastAsia" w:hAnsiTheme="minorEastAsia" w:eastAsiaTheme="minorEastAsia" w:cstheme="minorEastAsia"/>
                <w:color w:val="000000"/>
                <w:sz w:val="24"/>
                <w:highlight w:val="none"/>
              </w:rPr>
            </w:pPr>
          </w:p>
        </w:tc>
        <w:tc>
          <w:tcPr>
            <w:tcW w:w="1539" w:type="dxa"/>
            <w:vAlign w:val="center"/>
          </w:tcPr>
          <w:p>
            <w:pPr>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广西工业产品合计价格：</w:t>
            </w:r>
          </w:p>
        </w:tc>
        <w:tc>
          <w:tcPr>
            <w:tcW w:w="2126" w:type="dxa"/>
            <w:gridSpan w:val="2"/>
            <w:vAlign w:val="center"/>
          </w:tcPr>
          <w:p>
            <w:pPr>
              <w:jc w:val="center"/>
              <w:rPr>
                <w:rFonts w:hint="eastAsia" w:asciiTheme="minorEastAsia" w:hAnsiTheme="minorEastAsia" w:eastAsiaTheme="minorEastAsia" w:cstheme="minorEastAsia"/>
                <w:color w:val="000000"/>
                <w:sz w:val="24"/>
                <w:highlight w:val="none"/>
              </w:rPr>
            </w:pPr>
          </w:p>
        </w:tc>
        <w:tc>
          <w:tcPr>
            <w:tcW w:w="2268" w:type="dxa"/>
            <w:vAlign w:val="center"/>
          </w:tcPr>
          <w:p>
            <w:pPr>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占投标总价比例：</w:t>
            </w:r>
          </w:p>
        </w:tc>
        <w:tc>
          <w:tcPr>
            <w:tcW w:w="1843" w:type="dxa"/>
            <w:gridSpan w:val="2"/>
            <w:vAlign w:val="center"/>
          </w:tcPr>
          <w:p>
            <w:pPr>
              <w:jc w:val="center"/>
              <w:rPr>
                <w:rFonts w:hint="eastAsia" w:asciiTheme="minorEastAsia" w:hAnsiTheme="minorEastAsia" w:eastAsiaTheme="minorEastAsia" w:cstheme="minorEastAsia"/>
                <w:color w:val="000000"/>
                <w:sz w:val="24"/>
                <w:highlight w:val="none"/>
              </w:rPr>
            </w:pPr>
          </w:p>
        </w:tc>
      </w:tr>
    </w:tbl>
    <w:p>
      <w:pPr>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本公司对上述声明的真实性负责。如有虚假，将依法承担相应责任。</w:t>
      </w:r>
    </w:p>
    <w:p>
      <w:pPr>
        <w:ind w:firstLine="480" w:firstLineChars="200"/>
        <w:rPr>
          <w:rFonts w:hint="eastAsia" w:asciiTheme="minorEastAsia" w:hAnsiTheme="minorEastAsia" w:eastAsiaTheme="minorEastAsia" w:cstheme="minorEastAsia"/>
          <w:color w:val="000000"/>
          <w:sz w:val="24"/>
          <w:highlight w:val="none"/>
        </w:rPr>
      </w:pPr>
    </w:p>
    <w:p>
      <w:pPr>
        <w:ind w:firstLine="480" w:firstLineChars="200"/>
        <w:rPr>
          <w:rFonts w:hint="eastAsia" w:asciiTheme="minorEastAsia" w:hAnsiTheme="minorEastAsia" w:eastAsiaTheme="minorEastAsia" w:cstheme="minorEastAsia"/>
          <w:color w:val="000000"/>
          <w:sz w:val="24"/>
          <w:highlight w:val="none"/>
        </w:rPr>
      </w:pPr>
    </w:p>
    <w:p>
      <w:pPr>
        <w:ind w:firstLine="2880" w:firstLineChars="1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投标人盖公章：</w:t>
      </w:r>
    </w:p>
    <w:p>
      <w:pPr>
        <w:ind w:firstLine="1440" w:firstLineChars="6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 xml:space="preserve">法定代表人或委托代理人签字：        </w:t>
      </w:r>
    </w:p>
    <w:p>
      <w:pPr>
        <w:ind w:firstLine="480" w:firstLineChars="200"/>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4"/>
          <w:highlight w:val="none"/>
        </w:rPr>
        <w:t xml:space="preserve">                           日 期：</w:t>
      </w:r>
    </w:p>
    <w:p>
      <w:pPr>
        <w:rPr>
          <w:rFonts w:hint="eastAsia" w:asciiTheme="minorEastAsia" w:hAnsiTheme="minorEastAsia" w:eastAsiaTheme="minorEastAsia" w:cstheme="minorEastAsia"/>
          <w:color w:val="000000"/>
          <w:highlight w:val="none"/>
        </w:rPr>
      </w:pPr>
    </w:p>
    <w:p>
      <w:pPr>
        <w:snapToGrid w:val="0"/>
        <w:spacing w:beforeLines="50" w:after="50"/>
        <w:jc w:val="left"/>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br w:type="page"/>
      </w:r>
      <w:r>
        <w:rPr>
          <w:rFonts w:hint="eastAsia" w:asciiTheme="minorEastAsia" w:hAnsiTheme="minorEastAsia" w:eastAsiaTheme="minorEastAsia" w:cstheme="minorEastAsia"/>
          <w:b/>
          <w:color w:val="000000"/>
          <w:sz w:val="24"/>
          <w:highlight w:val="none"/>
        </w:rPr>
        <w:t xml:space="preserve"> 中小企业声明函格式</w:t>
      </w:r>
    </w:p>
    <w:p>
      <w:pPr>
        <w:rPr>
          <w:rFonts w:hint="eastAsia" w:asciiTheme="minorEastAsia" w:hAnsiTheme="minorEastAsia" w:eastAsiaTheme="minorEastAsia" w:cstheme="minorEastAsia"/>
          <w:color w:val="000000"/>
          <w:highlight w:val="none"/>
        </w:rPr>
      </w:pPr>
    </w:p>
    <w:p>
      <w:pPr>
        <w:spacing w:line="588" w:lineRule="exact"/>
        <w:jc w:val="center"/>
        <w:rPr>
          <w:rFonts w:hint="eastAsia" w:asciiTheme="minorEastAsia" w:hAnsiTheme="minorEastAsia" w:eastAsiaTheme="minorEastAsia" w:cstheme="minorEastAsia"/>
          <w:b/>
          <w:color w:val="000000"/>
          <w:spacing w:val="6"/>
          <w:sz w:val="32"/>
          <w:szCs w:val="32"/>
          <w:highlight w:val="none"/>
        </w:rPr>
      </w:pPr>
      <w:r>
        <w:rPr>
          <w:rFonts w:hint="eastAsia" w:asciiTheme="minorEastAsia" w:hAnsiTheme="minorEastAsia" w:eastAsiaTheme="minorEastAsia" w:cstheme="minorEastAsia"/>
          <w:b/>
          <w:color w:val="000000"/>
          <w:spacing w:val="6"/>
          <w:sz w:val="32"/>
          <w:szCs w:val="32"/>
          <w:highlight w:val="none"/>
        </w:rPr>
        <w:t>中小企业声明函</w:t>
      </w:r>
    </w:p>
    <w:p>
      <w:pPr>
        <w:spacing w:line="588" w:lineRule="exact"/>
        <w:rPr>
          <w:rFonts w:hint="eastAsia" w:asciiTheme="minorEastAsia" w:hAnsiTheme="minorEastAsia" w:eastAsiaTheme="minorEastAsia" w:cstheme="minorEastAsia"/>
          <w:b/>
          <w:color w:val="000000"/>
          <w:spacing w:val="6"/>
          <w:sz w:val="30"/>
          <w:szCs w:val="30"/>
          <w:highlight w:val="none"/>
        </w:rPr>
      </w:pPr>
    </w:p>
    <w:p>
      <w:pPr>
        <w:spacing w:line="588" w:lineRule="exact"/>
        <w:ind w:firstLine="504" w:firstLineChars="200"/>
        <w:rPr>
          <w:rFonts w:hint="eastAsia" w:asciiTheme="minorEastAsia" w:hAnsiTheme="minorEastAsia" w:eastAsiaTheme="minorEastAsia" w:cstheme="minorEastAsia"/>
          <w:color w:val="000000"/>
          <w:spacing w:val="6"/>
          <w:sz w:val="24"/>
          <w:highlight w:val="none"/>
        </w:rPr>
      </w:pPr>
      <w:r>
        <w:rPr>
          <w:rFonts w:hint="eastAsia" w:asciiTheme="minorEastAsia" w:hAnsiTheme="minorEastAsia" w:eastAsiaTheme="minorEastAsia" w:cstheme="minorEastAsia"/>
          <w:color w:val="000000"/>
          <w:spacing w:val="6"/>
          <w:sz w:val="24"/>
          <w:highlight w:val="none"/>
        </w:rPr>
        <w:t>本公司郑重声明，根据《政府采购促进中小企业发展暂行办法》（财库[2011]181号）的规定，本公司为</w:t>
      </w:r>
      <w:bookmarkStart w:id="114" w:name="OLE_LINK2"/>
      <w:bookmarkStart w:id="115" w:name="OLE_LINK5"/>
      <w:r>
        <w:rPr>
          <w:rFonts w:hint="eastAsia" w:asciiTheme="minorEastAsia" w:hAnsiTheme="minorEastAsia" w:eastAsiaTheme="minorEastAsia" w:cstheme="minorEastAsia"/>
          <w:color w:val="000000"/>
          <w:spacing w:val="6"/>
          <w:sz w:val="24"/>
          <w:highlight w:val="none"/>
        </w:rPr>
        <w:t>______（请填写：中型、小型、微型）企业</w:t>
      </w:r>
      <w:bookmarkEnd w:id="114"/>
      <w:bookmarkEnd w:id="115"/>
      <w:r>
        <w:rPr>
          <w:rFonts w:hint="eastAsia" w:asciiTheme="minorEastAsia" w:hAnsiTheme="minorEastAsia" w:eastAsiaTheme="minorEastAsia" w:cstheme="minorEastAsia"/>
          <w:color w:val="000000"/>
          <w:spacing w:val="6"/>
          <w:sz w:val="24"/>
          <w:highlight w:val="none"/>
        </w:rPr>
        <w:t>。即本公司同时满足以下条件：</w:t>
      </w:r>
    </w:p>
    <w:p>
      <w:pPr>
        <w:spacing w:line="588" w:lineRule="exact"/>
        <w:ind w:firstLine="504" w:firstLineChars="200"/>
        <w:rPr>
          <w:rFonts w:hint="eastAsia" w:asciiTheme="minorEastAsia" w:hAnsiTheme="minorEastAsia" w:eastAsiaTheme="minorEastAsia" w:cstheme="minorEastAsia"/>
          <w:color w:val="000000"/>
          <w:spacing w:val="6"/>
          <w:sz w:val="24"/>
          <w:highlight w:val="none"/>
        </w:rPr>
      </w:pPr>
      <w:r>
        <w:rPr>
          <w:rFonts w:hint="eastAsia" w:asciiTheme="minorEastAsia" w:hAnsiTheme="minorEastAsia" w:eastAsiaTheme="minorEastAsia" w:cstheme="minorEastAsia"/>
          <w:color w:val="000000"/>
          <w:spacing w:val="6"/>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504" w:firstLineChars="200"/>
        <w:rPr>
          <w:rFonts w:hint="eastAsia" w:asciiTheme="minorEastAsia" w:hAnsiTheme="minorEastAsia" w:eastAsiaTheme="minorEastAsia" w:cstheme="minorEastAsia"/>
          <w:color w:val="000000"/>
          <w:spacing w:val="6"/>
          <w:sz w:val="24"/>
          <w:highlight w:val="none"/>
        </w:rPr>
      </w:pPr>
      <w:r>
        <w:rPr>
          <w:rFonts w:hint="eastAsia" w:asciiTheme="minorEastAsia" w:hAnsiTheme="minorEastAsia" w:eastAsiaTheme="minorEastAsia" w:cstheme="minorEastAsia"/>
          <w:color w:val="000000"/>
          <w:spacing w:val="6"/>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504" w:firstLineChars="200"/>
        <w:rPr>
          <w:rFonts w:hint="eastAsia" w:asciiTheme="minorEastAsia" w:hAnsiTheme="minorEastAsia" w:eastAsiaTheme="minorEastAsia" w:cstheme="minorEastAsia"/>
          <w:color w:val="000000"/>
          <w:spacing w:val="6"/>
          <w:sz w:val="24"/>
          <w:highlight w:val="none"/>
        </w:rPr>
      </w:pPr>
      <w:r>
        <w:rPr>
          <w:rFonts w:hint="eastAsia" w:asciiTheme="minorEastAsia" w:hAnsiTheme="minorEastAsia" w:eastAsiaTheme="minorEastAsia" w:cstheme="minorEastAsia"/>
          <w:color w:val="000000"/>
          <w:spacing w:val="6"/>
          <w:sz w:val="24"/>
          <w:highlight w:val="none"/>
        </w:rPr>
        <w:t>本公司对上述声明的真实性负责。如有虚假，将依法承担相应责任。</w:t>
      </w:r>
    </w:p>
    <w:p>
      <w:pPr>
        <w:spacing w:line="588" w:lineRule="exact"/>
        <w:ind w:firstLine="504" w:firstLineChars="200"/>
        <w:rPr>
          <w:rFonts w:hint="eastAsia" w:asciiTheme="minorEastAsia" w:hAnsiTheme="minorEastAsia" w:eastAsiaTheme="minorEastAsia" w:cstheme="minorEastAsia"/>
          <w:color w:val="000000"/>
          <w:spacing w:val="6"/>
          <w:sz w:val="24"/>
          <w:highlight w:val="none"/>
        </w:rPr>
      </w:pPr>
    </w:p>
    <w:p>
      <w:pPr>
        <w:spacing w:line="588" w:lineRule="exact"/>
        <w:ind w:firstLine="504" w:firstLineChars="200"/>
        <w:rPr>
          <w:rFonts w:hint="eastAsia" w:asciiTheme="minorEastAsia" w:hAnsiTheme="minorEastAsia" w:eastAsiaTheme="minorEastAsia" w:cstheme="minorEastAsia"/>
          <w:color w:val="000000"/>
          <w:spacing w:val="6"/>
          <w:sz w:val="24"/>
          <w:highlight w:val="none"/>
        </w:rPr>
      </w:pPr>
    </w:p>
    <w:p>
      <w:pPr>
        <w:tabs>
          <w:tab w:val="left" w:pos="4860"/>
        </w:tabs>
        <w:spacing w:line="588" w:lineRule="exact"/>
        <w:ind w:right="1560" w:firstLine="504" w:firstLineChars="200"/>
        <w:jc w:val="center"/>
        <w:rPr>
          <w:rFonts w:hint="eastAsia" w:asciiTheme="minorEastAsia" w:hAnsiTheme="minorEastAsia" w:eastAsiaTheme="minorEastAsia" w:cstheme="minorEastAsia"/>
          <w:color w:val="000000"/>
          <w:spacing w:val="6"/>
          <w:sz w:val="24"/>
          <w:highlight w:val="none"/>
        </w:rPr>
      </w:pPr>
      <w:r>
        <w:rPr>
          <w:rFonts w:hint="eastAsia" w:asciiTheme="minorEastAsia" w:hAnsiTheme="minorEastAsia" w:eastAsiaTheme="minorEastAsia" w:cstheme="minorEastAsia"/>
          <w:color w:val="000000"/>
          <w:spacing w:val="6"/>
          <w:sz w:val="24"/>
          <w:highlight w:val="none"/>
        </w:rPr>
        <w:t xml:space="preserve">               企业名称（盖章）： </w:t>
      </w:r>
    </w:p>
    <w:p>
      <w:pP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pacing w:val="6"/>
          <w:sz w:val="24"/>
          <w:highlight w:val="none"/>
        </w:rPr>
        <w:t xml:space="preserve">                               日  期：         </w:t>
      </w:r>
    </w:p>
    <w:p>
      <w:pPr>
        <w:rPr>
          <w:rFonts w:hint="eastAsia" w:asciiTheme="minorEastAsia" w:hAnsiTheme="minorEastAsia" w:eastAsiaTheme="minorEastAsia" w:cstheme="minorEastAsia"/>
          <w:color w:val="000000"/>
          <w:sz w:val="24"/>
          <w:highlight w:val="none"/>
        </w:rPr>
      </w:pPr>
    </w:p>
    <w:p>
      <w:pPr>
        <w:rPr>
          <w:rFonts w:hint="eastAsia" w:asciiTheme="minorEastAsia" w:hAnsiTheme="minorEastAsia" w:eastAsiaTheme="minorEastAsia" w:cstheme="minorEastAsia"/>
          <w:color w:val="000000"/>
          <w:sz w:val="24"/>
          <w:highlight w:val="none"/>
        </w:rPr>
      </w:pPr>
    </w:p>
    <w:p>
      <w:pPr>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sz w:val="24"/>
          <w:highlight w:val="none"/>
        </w:rPr>
        <w:t>注：请根据自己的真实情况出具《中小企业声明函》。依法享受中小企业优惠政策的，采购人或采购代理机构在公告中标结果时，同时公告其《中小企业声明函》，接受社会监督。</w:t>
      </w:r>
      <w:r>
        <w:rPr>
          <w:rFonts w:hint="eastAsia" w:asciiTheme="minorEastAsia" w:hAnsiTheme="minorEastAsia" w:eastAsiaTheme="minorEastAsia" w:cstheme="minorEastAsia"/>
          <w:color w:val="000000"/>
          <w:highlight w:val="none"/>
        </w:rPr>
        <w:br w:type="page"/>
      </w:r>
    </w:p>
    <w:p>
      <w:pPr>
        <w:snapToGrid w:val="0"/>
        <w:spacing w:beforeLines="50" w:after="50"/>
        <w:ind w:left="142"/>
        <w:jc w:val="left"/>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残疾人福利性单位声明函格式</w:t>
      </w:r>
    </w:p>
    <w:p>
      <w:pPr>
        <w:spacing w:line="588" w:lineRule="exact"/>
        <w:jc w:val="center"/>
        <w:rPr>
          <w:rFonts w:hint="eastAsia" w:asciiTheme="minorEastAsia" w:hAnsiTheme="minorEastAsia" w:eastAsiaTheme="minorEastAsia" w:cstheme="minorEastAsia"/>
          <w:b/>
          <w:color w:val="000000"/>
          <w:spacing w:val="6"/>
          <w:sz w:val="32"/>
          <w:szCs w:val="32"/>
          <w:highlight w:val="none"/>
        </w:rPr>
      </w:pPr>
      <w:bookmarkStart w:id="116" w:name="OLE_LINK14"/>
      <w:bookmarkStart w:id="117" w:name="OLE_LINK13"/>
    </w:p>
    <w:p>
      <w:pPr>
        <w:spacing w:line="588" w:lineRule="exact"/>
        <w:jc w:val="center"/>
        <w:rPr>
          <w:rFonts w:hint="eastAsia" w:asciiTheme="minorEastAsia" w:hAnsiTheme="minorEastAsia" w:eastAsiaTheme="minorEastAsia" w:cstheme="minorEastAsia"/>
          <w:b/>
          <w:color w:val="000000"/>
          <w:spacing w:val="6"/>
          <w:sz w:val="32"/>
          <w:szCs w:val="32"/>
          <w:highlight w:val="none"/>
        </w:rPr>
      </w:pPr>
      <w:r>
        <w:rPr>
          <w:rFonts w:hint="eastAsia" w:asciiTheme="minorEastAsia" w:hAnsiTheme="minorEastAsia" w:eastAsiaTheme="minorEastAsia" w:cstheme="minorEastAsia"/>
          <w:b/>
          <w:color w:val="000000"/>
          <w:spacing w:val="6"/>
          <w:sz w:val="32"/>
          <w:szCs w:val="32"/>
          <w:highlight w:val="none"/>
        </w:rPr>
        <w:t>残疾人福利性单位声明函</w:t>
      </w:r>
    </w:p>
    <w:bookmarkEnd w:id="116"/>
    <w:bookmarkEnd w:id="117"/>
    <w:p>
      <w:pPr>
        <w:spacing w:line="588" w:lineRule="exact"/>
        <w:rPr>
          <w:rFonts w:hint="eastAsia" w:asciiTheme="minorEastAsia" w:hAnsiTheme="minorEastAsia" w:eastAsiaTheme="minorEastAsia" w:cstheme="minorEastAsia"/>
          <w:b/>
          <w:color w:val="000000"/>
          <w:spacing w:val="6"/>
          <w:sz w:val="30"/>
          <w:szCs w:val="30"/>
          <w:highlight w:val="none"/>
        </w:rPr>
      </w:pPr>
    </w:p>
    <w:p>
      <w:pPr>
        <w:spacing w:line="588" w:lineRule="exact"/>
        <w:ind w:firstLine="504" w:firstLineChars="200"/>
        <w:rPr>
          <w:rFonts w:hint="eastAsia" w:asciiTheme="minorEastAsia" w:hAnsiTheme="minorEastAsia" w:eastAsiaTheme="minorEastAsia" w:cstheme="minorEastAsia"/>
          <w:color w:val="000000"/>
          <w:spacing w:val="6"/>
          <w:sz w:val="24"/>
          <w:highlight w:val="none"/>
        </w:rPr>
      </w:pPr>
      <w:r>
        <w:rPr>
          <w:rFonts w:hint="eastAsia" w:asciiTheme="minorEastAsia" w:hAnsiTheme="minorEastAsia" w:eastAsiaTheme="minorEastAsia" w:cstheme="minorEastAsia"/>
          <w:color w:val="000000"/>
          <w:spacing w:val="6"/>
          <w:sz w:val="24"/>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000000"/>
          <w:sz w:val="24"/>
          <w:highlight w:val="none"/>
        </w:rPr>
        <w:t>〔2017〕 141</w:t>
      </w:r>
      <w:r>
        <w:rPr>
          <w:rFonts w:hint="eastAsia" w:asciiTheme="minorEastAsia" w:hAnsiTheme="minorEastAsia" w:eastAsiaTheme="minorEastAsia" w:cstheme="minorEastAsia"/>
          <w:color w:val="000000"/>
          <w:spacing w:val="6"/>
          <w:sz w:val="24"/>
          <w:highlight w:val="none"/>
        </w:rPr>
        <w:t>号）的规定，本单位为符合条件的残疾人福利性单位，且本单位参加______单位的______项目采购活动提供本单位制造的货物（由本单位承担工程/提供服务），或者提供其他残</w:t>
      </w:r>
      <w:r>
        <w:rPr>
          <w:rFonts w:hint="eastAsia" w:asciiTheme="minorEastAsia" w:hAnsiTheme="minorEastAsia" w:eastAsiaTheme="minorEastAsia" w:cstheme="minorEastAsia"/>
          <w:color w:val="000000"/>
          <w:spacing w:val="-6"/>
          <w:sz w:val="24"/>
          <w:highlight w:val="none"/>
        </w:rPr>
        <w:t>疾人福利性单位制造的货物（不包括使用非残疾人福利性单位注册商标的货物）。</w:t>
      </w:r>
    </w:p>
    <w:p>
      <w:pPr>
        <w:spacing w:line="588" w:lineRule="exact"/>
        <w:ind w:firstLine="504" w:firstLineChars="200"/>
        <w:rPr>
          <w:rFonts w:hint="eastAsia" w:asciiTheme="minorEastAsia" w:hAnsiTheme="minorEastAsia" w:eastAsiaTheme="minorEastAsia" w:cstheme="minorEastAsia"/>
          <w:color w:val="000000"/>
          <w:spacing w:val="6"/>
          <w:sz w:val="24"/>
          <w:highlight w:val="none"/>
        </w:rPr>
      </w:pPr>
      <w:r>
        <w:rPr>
          <w:rFonts w:hint="eastAsia" w:asciiTheme="minorEastAsia" w:hAnsiTheme="minorEastAsia" w:eastAsiaTheme="minorEastAsia" w:cstheme="minorEastAsia"/>
          <w:color w:val="000000"/>
          <w:spacing w:val="6"/>
          <w:sz w:val="24"/>
          <w:highlight w:val="none"/>
        </w:rPr>
        <w:t>本单位对上述声明的真实性负责。如有虚假，将依法承担相应责任。</w:t>
      </w:r>
    </w:p>
    <w:p>
      <w:pPr>
        <w:spacing w:line="588" w:lineRule="exact"/>
        <w:ind w:firstLine="504" w:firstLineChars="200"/>
        <w:rPr>
          <w:rFonts w:hint="eastAsia" w:asciiTheme="minorEastAsia" w:hAnsiTheme="minorEastAsia" w:eastAsiaTheme="minorEastAsia" w:cstheme="minorEastAsia"/>
          <w:color w:val="000000"/>
          <w:spacing w:val="6"/>
          <w:sz w:val="24"/>
          <w:highlight w:val="none"/>
        </w:rPr>
      </w:pPr>
    </w:p>
    <w:p>
      <w:pPr>
        <w:spacing w:line="588" w:lineRule="exact"/>
        <w:ind w:firstLine="504" w:firstLineChars="200"/>
        <w:rPr>
          <w:rFonts w:hint="eastAsia" w:asciiTheme="minorEastAsia" w:hAnsiTheme="minorEastAsia" w:eastAsiaTheme="minorEastAsia" w:cstheme="minorEastAsia"/>
          <w:color w:val="000000"/>
          <w:spacing w:val="6"/>
          <w:sz w:val="24"/>
          <w:highlight w:val="none"/>
        </w:rPr>
      </w:pPr>
    </w:p>
    <w:p>
      <w:pPr>
        <w:tabs>
          <w:tab w:val="left" w:pos="4860"/>
        </w:tabs>
        <w:spacing w:line="588" w:lineRule="exact"/>
        <w:ind w:right="1560" w:firstLine="504" w:firstLineChars="200"/>
        <w:jc w:val="center"/>
        <w:rPr>
          <w:rFonts w:hint="eastAsia" w:asciiTheme="minorEastAsia" w:hAnsiTheme="minorEastAsia" w:eastAsiaTheme="minorEastAsia" w:cstheme="minorEastAsia"/>
          <w:color w:val="000000"/>
          <w:spacing w:val="6"/>
          <w:sz w:val="24"/>
          <w:highlight w:val="none"/>
        </w:rPr>
      </w:pPr>
      <w:r>
        <w:rPr>
          <w:rFonts w:hint="eastAsia" w:asciiTheme="minorEastAsia" w:hAnsiTheme="minorEastAsia" w:eastAsiaTheme="minorEastAsia" w:cstheme="minorEastAsia"/>
          <w:color w:val="000000"/>
          <w:spacing w:val="6"/>
          <w:sz w:val="24"/>
          <w:highlight w:val="none"/>
        </w:rPr>
        <w:t>单位名称（盖章）：</w:t>
      </w:r>
    </w:p>
    <w:p>
      <w:pPr>
        <w:tabs>
          <w:tab w:val="left" w:pos="4860"/>
        </w:tabs>
        <w:spacing w:line="588" w:lineRule="exact"/>
        <w:ind w:right="1560" w:firstLine="504" w:firstLineChars="200"/>
        <w:jc w:val="center"/>
        <w:rPr>
          <w:rFonts w:hint="eastAsia" w:asciiTheme="minorEastAsia" w:hAnsiTheme="minorEastAsia" w:eastAsiaTheme="minorEastAsia" w:cstheme="minorEastAsia"/>
          <w:color w:val="000000"/>
          <w:spacing w:val="6"/>
          <w:sz w:val="24"/>
          <w:highlight w:val="none"/>
        </w:rPr>
      </w:pPr>
      <w:r>
        <w:rPr>
          <w:rFonts w:hint="eastAsia" w:asciiTheme="minorEastAsia" w:hAnsiTheme="minorEastAsia" w:eastAsiaTheme="minorEastAsia" w:cstheme="minorEastAsia"/>
          <w:color w:val="000000"/>
          <w:spacing w:val="6"/>
          <w:sz w:val="24"/>
          <w:highlight w:val="none"/>
        </w:rPr>
        <w:t>日  期：</w:t>
      </w:r>
    </w:p>
    <w:p>
      <w:pPr>
        <w:rPr>
          <w:rFonts w:hint="eastAsia" w:asciiTheme="minorEastAsia" w:hAnsiTheme="minorEastAsia" w:eastAsiaTheme="minorEastAsia" w:cstheme="minorEastAsia"/>
          <w:color w:val="000000"/>
          <w:sz w:val="24"/>
          <w:highlight w:val="none"/>
        </w:rPr>
      </w:pPr>
    </w:p>
    <w:p>
      <w:pPr>
        <w:rPr>
          <w:rFonts w:hint="eastAsia" w:asciiTheme="minorEastAsia" w:hAnsiTheme="minorEastAsia" w:eastAsiaTheme="minorEastAsia" w:cstheme="minorEastAsia"/>
          <w:color w:val="000000"/>
          <w:sz w:val="24"/>
          <w:highlight w:val="none"/>
        </w:rPr>
      </w:pPr>
    </w:p>
    <w:p>
      <w:pPr>
        <w:rPr>
          <w:rFonts w:hint="eastAsia" w:asciiTheme="minorEastAsia" w:hAnsiTheme="minorEastAsia" w:eastAsiaTheme="minorEastAsia" w:cstheme="minorEastAsia"/>
          <w:color w:val="000000"/>
          <w:sz w:val="24"/>
          <w:highlight w:val="none"/>
        </w:rPr>
      </w:pPr>
    </w:p>
    <w:p>
      <w:pP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注：请根据自己的真实情况出具《残疾人福利性单位声明函》。依法享受中小企业优惠政策的，采购人或采购代理机构在公告中标结果时，同时公告其《残疾人福利性单位声明函》，接受社会监督。</w:t>
      </w:r>
    </w:p>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2"/>
        <w:ind w:firstLine="520"/>
        <w:rPr>
          <w:rFonts w:hint="eastAsia" w:asciiTheme="minorEastAsia" w:hAnsiTheme="minorEastAsia" w:eastAsiaTheme="minorEastAsia" w:cstheme="minorEastAsia"/>
          <w:highlight w:val="none"/>
        </w:rPr>
      </w:pPr>
    </w:p>
    <w:p>
      <w:pPr>
        <w:pStyle w:val="2"/>
        <w:ind w:firstLine="520"/>
        <w:rPr>
          <w:rFonts w:hint="eastAsia" w:asciiTheme="minorEastAsia" w:hAnsiTheme="minorEastAsia" w:eastAsiaTheme="minorEastAsia" w:cstheme="minorEastAsia"/>
          <w:highlight w:val="none"/>
        </w:rPr>
      </w:pPr>
    </w:p>
    <w:p>
      <w:pPr>
        <w:pStyle w:val="2"/>
        <w:ind w:firstLine="520"/>
        <w:rPr>
          <w:rFonts w:hint="eastAsia" w:asciiTheme="minorEastAsia" w:hAnsiTheme="minorEastAsia" w:eastAsiaTheme="minorEastAsia" w:cstheme="minorEastAsia"/>
          <w:highlight w:val="none"/>
        </w:rPr>
      </w:pPr>
    </w:p>
    <w:p>
      <w:pPr>
        <w:pStyle w:val="2"/>
        <w:ind w:firstLine="520"/>
        <w:rPr>
          <w:rFonts w:hint="eastAsia" w:asciiTheme="minorEastAsia" w:hAnsiTheme="minorEastAsia" w:eastAsiaTheme="minorEastAsia" w:cstheme="minorEastAsia"/>
          <w:highlight w:val="none"/>
        </w:rPr>
      </w:pPr>
    </w:p>
    <w:p>
      <w:pPr>
        <w:pStyle w:val="2"/>
        <w:ind w:firstLine="520"/>
        <w:rPr>
          <w:rFonts w:hint="eastAsia" w:asciiTheme="minorEastAsia" w:hAnsiTheme="minorEastAsia" w:eastAsiaTheme="minorEastAsia" w:cstheme="minorEastAsia"/>
          <w:highlight w:val="none"/>
        </w:rPr>
      </w:pPr>
    </w:p>
    <w:p>
      <w:pPr>
        <w:pStyle w:val="2"/>
        <w:ind w:firstLine="520"/>
        <w:rPr>
          <w:rFonts w:hint="eastAsia" w:asciiTheme="minorEastAsia" w:hAnsiTheme="minorEastAsia" w:eastAsiaTheme="minorEastAsia" w:cstheme="minorEastAsia"/>
          <w:highlight w:val="none"/>
        </w:rPr>
      </w:pPr>
    </w:p>
    <w:p>
      <w:pPr>
        <w:pStyle w:val="2"/>
        <w:ind w:firstLine="520"/>
        <w:rPr>
          <w:rFonts w:hint="eastAsia" w:asciiTheme="minorEastAsia" w:hAnsiTheme="minorEastAsia" w:eastAsiaTheme="minorEastAsia" w:cstheme="minorEastAsia"/>
          <w:highlight w:val="none"/>
        </w:rPr>
      </w:pPr>
    </w:p>
    <w:p>
      <w:pPr>
        <w:pStyle w:val="2"/>
        <w:ind w:firstLine="520"/>
        <w:rPr>
          <w:rFonts w:hint="eastAsia" w:asciiTheme="minorEastAsia" w:hAnsiTheme="minorEastAsia" w:eastAsiaTheme="minorEastAsia" w:cstheme="minorEastAsia"/>
          <w:highlight w:val="none"/>
        </w:rPr>
      </w:pPr>
    </w:p>
    <w:p>
      <w:pPr>
        <w:pStyle w:val="2"/>
        <w:ind w:firstLine="520"/>
        <w:rPr>
          <w:rFonts w:hint="eastAsia" w:asciiTheme="minorEastAsia" w:hAnsiTheme="minorEastAsia" w:eastAsiaTheme="minorEastAsia" w:cstheme="minorEastAsia"/>
          <w:highlight w:val="none"/>
        </w:rPr>
      </w:pPr>
    </w:p>
    <w:p>
      <w:pPr>
        <w:pStyle w:val="2"/>
        <w:ind w:firstLine="520"/>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附表一：</w:t>
      </w:r>
    </w:p>
    <w:p>
      <w:pPr>
        <w:jc w:val="center"/>
        <w:rPr>
          <w:rFonts w:hint="eastAsia" w:asciiTheme="minorEastAsia" w:hAnsiTheme="minorEastAsia" w:eastAsiaTheme="minorEastAsia" w:cstheme="minorEastAsia"/>
          <w:b/>
          <w:sz w:val="30"/>
          <w:szCs w:val="30"/>
          <w:highlight w:val="none"/>
        </w:rPr>
      </w:pPr>
      <w:r>
        <w:rPr>
          <w:rFonts w:hint="eastAsia" w:asciiTheme="minorEastAsia" w:hAnsiTheme="minorEastAsia" w:eastAsiaTheme="minorEastAsia" w:cstheme="minorEastAsia"/>
          <w:b/>
          <w:sz w:val="30"/>
          <w:szCs w:val="30"/>
          <w:highlight w:val="none"/>
        </w:rPr>
        <w:t>广西壮族自治区政府采购项目合同验收书</w:t>
      </w:r>
    </w:p>
    <w:p>
      <w:pPr>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根据政府采购项目（采购合同编号：­  ）的约定，我单位对（项目名称）政府采购项目中标（或成交）供应商（公司名称）提供的货物（或工程、服务）进行了验收，验收情况如下：</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6"/>
        <w:gridCol w:w="1843"/>
        <w:gridCol w:w="2126"/>
        <w:gridCol w:w="1567"/>
        <w:gridCol w:w="1947"/>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949" w:type="dxa"/>
            <w:gridSpan w:val="2"/>
            <w:vAlign w:val="center"/>
          </w:tcPr>
          <w:p>
            <w:pPr>
              <w:widowControl/>
              <w:spacing w:line="320" w:lineRule="atLeast"/>
              <w:ind w:firstLine="5"/>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验收方式：</w:t>
            </w:r>
          </w:p>
        </w:tc>
        <w:tc>
          <w:tcPr>
            <w:tcW w:w="7286" w:type="dxa"/>
            <w:gridSpan w:val="4"/>
            <w:vAlign w:val="center"/>
          </w:tcPr>
          <w:p>
            <w:pPr>
              <w:widowControl/>
              <w:spacing w:line="320" w:lineRule="atLeast"/>
              <w:ind w:firstLine="480"/>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□自行验收        □委托验收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1106" w:type="dxa"/>
            <w:vAlign w:val="center"/>
          </w:tcPr>
          <w:p>
            <w:pPr>
              <w:widowControl/>
              <w:spacing w:line="320" w:lineRule="atLeast"/>
              <w:ind w:firstLine="2"/>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序号</w:t>
            </w:r>
          </w:p>
        </w:tc>
        <w:tc>
          <w:tcPr>
            <w:tcW w:w="1843" w:type="dxa"/>
            <w:vAlign w:val="center"/>
          </w:tcPr>
          <w:p>
            <w:pPr>
              <w:widowControl/>
              <w:spacing w:line="320" w:lineRule="atLeast"/>
              <w:ind w:firstLine="2"/>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名 称</w:t>
            </w:r>
          </w:p>
        </w:tc>
        <w:tc>
          <w:tcPr>
            <w:tcW w:w="3693" w:type="dxa"/>
            <w:gridSpan w:val="2"/>
            <w:vAlign w:val="center"/>
          </w:tcPr>
          <w:p>
            <w:pPr>
              <w:widowControl/>
              <w:spacing w:line="320" w:lineRule="atLeast"/>
              <w:ind w:firstLine="2"/>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货物型号规格、标准及配置等（或服务内容、标准）</w:t>
            </w:r>
          </w:p>
        </w:tc>
        <w:tc>
          <w:tcPr>
            <w:tcW w:w="1947" w:type="dxa"/>
            <w:vAlign w:val="center"/>
          </w:tcPr>
          <w:p>
            <w:pPr>
              <w:widowControl/>
              <w:spacing w:line="320" w:lineRule="atLeast"/>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数量</w:t>
            </w:r>
          </w:p>
        </w:tc>
        <w:tc>
          <w:tcPr>
            <w:tcW w:w="1646" w:type="dxa"/>
            <w:vAlign w:val="center"/>
          </w:tcPr>
          <w:p>
            <w:pPr>
              <w:widowControl/>
              <w:spacing w:line="320" w:lineRule="atLeast"/>
              <w:ind w:firstLine="2"/>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106" w:type="dxa"/>
            <w:vAlign w:val="center"/>
          </w:tcPr>
          <w:p>
            <w:pPr>
              <w:widowControl/>
              <w:spacing w:line="320" w:lineRule="atLeast"/>
              <w:ind w:firstLine="5"/>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1843"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3693" w:type="dxa"/>
            <w:gridSpan w:val="2"/>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1947"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1646"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106"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1843"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3693" w:type="dxa"/>
            <w:gridSpan w:val="2"/>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1947"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1646"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106"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1843"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3693" w:type="dxa"/>
            <w:gridSpan w:val="2"/>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1947"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1646"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6642" w:type="dxa"/>
            <w:gridSpan w:val="4"/>
            <w:vAlign w:val="center"/>
          </w:tcPr>
          <w:p>
            <w:pPr>
              <w:widowControl/>
              <w:spacing w:line="320" w:lineRule="atLeast"/>
              <w:ind w:firstLine="5"/>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合       计</w:t>
            </w:r>
          </w:p>
        </w:tc>
        <w:tc>
          <w:tcPr>
            <w:tcW w:w="1947"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1646"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10235" w:type="dxa"/>
            <w:gridSpan w:val="6"/>
            <w:vAlign w:val="center"/>
          </w:tcPr>
          <w:p>
            <w:pPr>
              <w:widowControl/>
              <w:spacing w:line="320" w:lineRule="atLeast"/>
              <w:ind w:firstLine="2"/>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合计大写金额：仟佰拾万仟佰拾元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1106" w:type="dxa"/>
            <w:vAlign w:val="center"/>
          </w:tcPr>
          <w:p>
            <w:pPr>
              <w:widowControl/>
              <w:spacing w:line="320" w:lineRule="atLeast"/>
              <w:ind w:firstLine="2"/>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实际供货日期</w:t>
            </w:r>
          </w:p>
        </w:tc>
        <w:tc>
          <w:tcPr>
            <w:tcW w:w="3969" w:type="dxa"/>
            <w:gridSpan w:val="2"/>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3514" w:type="dxa"/>
            <w:gridSpan w:val="2"/>
            <w:vAlign w:val="center"/>
          </w:tcPr>
          <w:p>
            <w:pPr>
              <w:widowControl/>
              <w:spacing w:line="320" w:lineRule="atLeast"/>
              <w:ind w:firstLine="46"/>
              <w:jc w:val="center"/>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合同交货验收日期</w:t>
            </w:r>
          </w:p>
        </w:tc>
        <w:tc>
          <w:tcPr>
            <w:tcW w:w="1646"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1106"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3969" w:type="dxa"/>
            <w:gridSpan w:val="2"/>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3514" w:type="dxa"/>
            <w:gridSpan w:val="2"/>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c>
          <w:tcPr>
            <w:tcW w:w="1646" w:type="dxa"/>
            <w:vAlign w:val="center"/>
          </w:tcPr>
          <w:p>
            <w:pPr>
              <w:widowControl/>
              <w:spacing w:line="320" w:lineRule="atLeast"/>
              <w:ind w:firstLine="48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7" w:hRule="atLeast"/>
          <w:jc w:val="center"/>
        </w:trPr>
        <w:tc>
          <w:tcPr>
            <w:tcW w:w="1106" w:type="dxa"/>
            <w:tcMar>
              <w:top w:w="0" w:type="dxa"/>
              <w:left w:w="108" w:type="dxa"/>
              <w:bottom w:w="0" w:type="dxa"/>
              <w:right w:w="108" w:type="dxa"/>
            </w:tcMar>
            <w:vAlign w:val="center"/>
          </w:tcPr>
          <w:p>
            <w:pPr>
              <w:widowControl/>
              <w:spacing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验收具体内容</w:t>
            </w:r>
          </w:p>
        </w:tc>
        <w:tc>
          <w:tcPr>
            <w:tcW w:w="9129" w:type="dxa"/>
            <w:gridSpan w:val="5"/>
            <w:tcMar>
              <w:top w:w="0" w:type="dxa"/>
              <w:left w:w="108" w:type="dxa"/>
              <w:bottom w:w="0" w:type="dxa"/>
              <w:right w:w="108" w:type="dxa"/>
            </w:tcMar>
            <w:vAlign w:val="center"/>
          </w:tcPr>
          <w:p>
            <w:pPr>
              <w:widowControl/>
              <w:spacing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106" w:type="dxa"/>
            <w:vMerge w:val="restart"/>
            <w:tcMar>
              <w:top w:w="0" w:type="dxa"/>
              <w:left w:w="108" w:type="dxa"/>
              <w:bottom w:w="0" w:type="dxa"/>
              <w:right w:w="108" w:type="dxa"/>
            </w:tcMar>
            <w:vAlign w:val="center"/>
          </w:tcPr>
          <w:p>
            <w:pPr>
              <w:widowControl/>
              <w:spacing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验收小组意见</w:t>
            </w:r>
          </w:p>
        </w:tc>
        <w:tc>
          <w:tcPr>
            <w:tcW w:w="9129" w:type="dxa"/>
            <w:gridSpan w:val="5"/>
          </w:tcPr>
          <w:p>
            <w:pPr>
              <w:widowControl/>
              <w:spacing w:line="320" w:lineRule="atLeas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验收结论性意见：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jc w:val="center"/>
        </w:trPr>
        <w:tc>
          <w:tcPr>
            <w:tcW w:w="1106" w:type="dxa"/>
            <w:vMerge w:val="continue"/>
            <w:vAlign w:val="center"/>
          </w:tcPr>
          <w:p>
            <w:pPr>
              <w:widowControl/>
              <w:jc w:val="left"/>
              <w:rPr>
                <w:rFonts w:hint="eastAsia" w:asciiTheme="minorEastAsia" w:hAnsiTheme="minorEastAsia" w:eastAsiaTheme="minorEastAsia" w:cstheme="minorEastAsia"/>
                <w:kern w:val="0"/>
                <w:sz w:val="24"/>
                <w:highlight w:val="none"/>
              </w:rPr>
            </w:pPr>
          </w:p>
        </w:tc>
        <w:tc>
          <w:tcPr>
            <w:tcW w:w="9129" w:type="dxa"/>
            <w:gridSpan w:val="5"/>
            <w:vAlign w:val="center"/>
          </w:tcPr>
          <w:p>
            <w:pPr>
              <w:widowControl/>
              <w:spacing w:line="320" w:lineRule="atLeast"/>
              <w:ind w:firstLine="96"/>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有异议的意见和说明理由：</w:t>
            </w:r>
          </w:p>
          <w:p>
            <w:pPr>
              <w:widowControl/>
              <w:spacing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10235" w:type="dxa"/>
            <w:gridSpan w:val="6"/>
            <w:tcMar>
              <w:top w:w="0" w:type="dxa"/>
              <w:left w:w="108" w:type="dxa"/>
              <w:bottom w:w="0" w:type="dxa"/>
              <w:right w:w="108" w:type="dxa"/>
            </w:tcMar>
            <w:vAlign w:val="center"/>
          </w:tcPr>
          <w:p>
            <w:pPr>
              <w:widowControl/>
              <w:spacing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10235" w:type="dxa"/>
            <w:gridSpan w:val="6"/>
            <w:tcMar>
              <w:top w:w="0" w:type="dxa"/>
              <w:left w:w="108" w:type="dxa"/>
              <w:bottom w:w="0" w:type="dxa"/>
              <w:right w:w="108" w:type="dxa"/>
            </w:tcMar>
            <w:vAlign w:val="center"/>
          </w:tcPr>
          <w:p>
            <w:pPr>
              <w:widowControl/>
              <w:spacing w:line="320" w:lineRule="atLeast"/>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监督人员或其他相关人员签字：</w:t>
            </w:r>
          </w:p>
          <w:p>
            <w:pPr>
              <w:widowControl/>
              <w:spacing w:line="320" w:lineRule="atLeast"/>
              <w:ind w:firstLine="74"/>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7" w:hRule="atLeast"/>
          <w:jc w:val="center"/>
        </w:trPr>
        <w:tc>
          <w:tcPr>
            <w:tcW w:w="5075" w:type="dxa"/>
            <w:gridSpan w:val="3"/>
            <w:tcMar>
              <w:top w:w="0" w:type="dxa"/>
              <w:left w:w="108" w:type="dxa"/>
              <w:bottom w:w="0" w:type="dxa"/>
              <w:right w:w="108" w:type="dxa"/>
            </w:tcMar>
          </w:tcPr>
          <w:p>
            <w:pPr>
              <w:widowControl/>
              <w:spacing w:line="320" w:lineRule="atLeas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中标或者成交供应商负责人签字或盖章：</w:t>
            </w:r>
          </w:p>
          <w:p>
            <w:pPr>
              <w:widowControl/>
              <w:spacing w:line="320" w:lineRule="atLeast"/>
              <w:rPr>
                <w:rFonts w:hint="eastAsia" w:asciiTheme="minorEastAsia" w:hAnsiTheme="minorEastAsia" w:eastAsiaTheme="minorEastAsia" w:cstheme="minorEastAsia"/>
                <w:kern w:val="0"/>
                <w:sz w:val="24"/>
                <w:highlight w:val="none"/>
              </w:rPr>
            </w:pPr>
          </w:p>
          <w:p>
            <w:pPr>
              <w:widowControl/>
              <w:spacing w:line="320" w:lineRule="atLeas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联系电话：  </w:t>
            </w:r>
          </w:p>
          <w:p>
            <w:pPr>
              <w:widowControl/>
              <w:spacing w:line="320" w:lineRule="atLeast"/>
              <w:rPr>
                <w:rFonts w:hint="eastAsia" w:asciiTheme="minorEastAsia" w:hAnsiTheme="minorEastAsia" w:eastAsiaTheme="minorEastAsia" w:cstheme="minorEastAsia"/>
                <w:kern w:val="0"/>
                <w:sz w:val="24"/>
                <w:highlight w:val="none"/>
              </w:rPr>
            </w:pPr>
          </w:p>
          <w:p>
            <w:pPr>
              <w:widowControl/>
              <w:spacing w:line="320" w:lineRule="atLeast"/>
              <w:rPr>
                <w:rFonts w:hint="eastAsia" w:asciiTheme="minorEastAsia" w:hAnsiTheme="minorEastAsia" w:eastAsiaTheme="minorEastAsia" w:cstheme="minorEastAsia"/>
                <w:kern w:val="0"/>
                <w:sz w:val="24"/>
                <w:highlight w:val="none"/>
              </w:rPr>
            </w:pPr>
          </w:p>
          <w:p>
            <w:pPr>
              <w:widowControl/>
              <w:spacing w:line="320" w:lineRule="atLeas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w:t>
            </w:r>
          </w:p>
          <w:p>
            <w:pPr>
              <w:widowControl/>
              <w:spacing w:line="320" w:lineRule="atLeast"/>
              <w:jc w:val="right"/>
              <w:rPr>
                <w:rFonts w:hint="eastAsia" w:asciiTheme="minorEastAsia" w:hAnsiTheme="minorEastAsia" w:eastAsiaTheme="minorEastAsia" w:cstheme="minorEastAsia"/>
                <w:kern w:val="0"/>
                <w:sz w:val="24"/>
                <w:highlight w:val="none"/>
              </w:rPr>
            </w:pPr>
          </w:p>
          <w:p>
            <w:pPr>
              <w:widowControl/>
              <w:spacing w:line="320" w:lineRule="atLeast"/>
              <w:jc w:val="righ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年 月 日</w:t>
            </w:r>
          </w:p>
        </w:tc>
        <w:tc>
          <w:tcPr>
            <w:tcW w:w="5160" w:type="dxa"/>
            <w:gridSpan w:val="3"/>
          </w:tcPr>
          <w:p>
            <w:pPr>
              <w:widowControl/>
              <w:spacing w:line="320" w:lineRule="atLeas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采购人或受托机构的意见（盖章）：</w:t>
            </w:r>
          </w:p>
          <w:p>
            <w:pPr>
              <w:widowControl/>
              <w:spacing w:line="320" w:lineRule="atLeast"/>
              <w:rPr>
                <w:rFonts w:hint="eastAsia" w:asciiTheme="minorEastAsia" w:hAnsiTheme="minorEastAsia" w:eastAsiaTheme="minorEastAsia" w:cstheme="minorEastAsia"/>
                <w:kern w:val="0"/>
                <w:sz w:val="24"/>
                <w:highlight w:val="none"/>
              </w:rPr>
            </w:pPr>
          </w:p>
          <w:p>
            <w:pPr>
              <w:widowControl/>
              <w:spacing w:line="320" w:lineRule="atLeas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联系电话：  </w:t>
            </w:r>
          </w:p>
          <w:p>
            <w:pPr>
              <w:widowControl/>
              <w:spacing w:line="320" w:lineRule="atLeast"/>
              <w:rPr>
                <w:rFonts w:hint="eastAsia" w:asciiTheme="minorEastAsia" w:hAnsiTheme="minorEastAsia" w:eastAsiaTheme="minorEastAsia" w:cstheme="minorEastAsia"/>
                <w:kern w:val="0"/>
                <w:sz w:val="24"/>
                <w:highlight w:val="none"/>
              </w:rPr>
            </w:pPr>
          </w:p>
          <w:p>
            <w:pPr>
              <w:widowControl/>
              <w:spacing w:line="320" w:lineRule="atLeast"/>
              <w:rPr>
                <w:rFonts w:hint="eastAsia" w:asciiTheme="minorEastAsia" w:hAnsiTheme="minorEastAsia" w:eastAsiaTheme="minorEastAsia" w:cstheme="minorEastAsia"/>
                <w:kern w:val="0"/>
                <w:sz w:val="24"/>
                <w:highlight w:val="none"/>
              </w:rPr>
            </w:pPr>
          </w:p>
          <w:p>
            <w:pPr>
              <w:widowControl/>
              <w:spacing w:line="320" w:lineRule="atLeast"/>
              <w:rPr>
                <w:rFonts w:hint="eastAsia" w:asciiTheme="minorEastAsia" w:hAnsiTheme="minorEastAsia" w:eastAsiaTheme="minorEastAsia" w:cstheme="minorEastAsia"/>
                <w:kern w:val="0"/>
                <w:sz w:val="24"/>
                <w:highlight w:val="none"/>
              </w:rPr>
            </w:pPr>
          </w:p>
          <w:p>
            <w:pPr>
              <w:widowControl/>
              <w:spacing w:line="320" w:lineRule="atLeast"/>
              <w:rPr>
                <w:rFonts w:hint="eastAsia" w:asciiTheme="minorEastAsia" w:hAnsiTheme="minorEastAsia" w:eastAsiaTheme="minorEastAsia" w:cstheme="minorEastAsia"/>
                <w:kern w:val="0"/>
                <w:sz w:val="24"/>
                <w:highlight w:val="none"/>
              </w:rPr>
            </w:pPr>
          </w:p>
          <w:p>
            <w:pPr>
              <w:widowControl/>
              <w:wordWrap w:val="0"/>
              <w:spacing w:line="320" w:lineRule="atLeast"/>
              <w:jc w:val="righ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年月日</w:t>
            </w:r>
          </w:p>
        </w:tc>
      </w:tr>
    </w:tbl>
    <w:p>
      <w:pPr>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附表二：</w:t>
      </w:r>
    </w:p>
    <w:p>
      <w:pPr>
        <w:jc w:val="center"/>
        <w:rPr>
          <w:rFonts w:hint="eastAsia" w:asciiTheme="minorEastAsia" w:hAnsiTheme="minorEastAsia" w:eastAsiaTheme="minorEastAsia" w:cstheme="minorEastAsia"/>
          <w:sz w:val="48"/>
          <w:highlight w:val="none"/>
        </w:rPr>
      </w:pPr>
      <w:r>
        <w:rPr>
          <w:rFonts w:hint="eastAsia" w:asciiTheme="minorEastAsia" w:hAnsiTheme="minorEastAsia" w:eastAsiaTheme="minorEastAsia" w:cstheme="minorEastAsia"/>
          <w:sz w:val="44"/>
          <w:highlight w:val="none"/>
        </w:rPr>
        <w:t>政府采购项目履约保证金退付意见书</w:t>
      </w: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供</w:t>
            </w:r>
          </w:p>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应</w:t>
            </w:r>
          </w:p>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商</w:t>
            </w:r>
          </w:p>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申</w:t>
            </w:r>
          </w:p>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请</w:t>
            </w:r>
          </w:p>
        </w:tc>
        <w:tc>
          <w:tcPr>
            <w:tcW w:w="864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采购编号：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highlight w:val="none"/>
              </w:rPr>
            </w:pPr>
          </w:p>
        </w:tc>
        <w:tc>
          <w:tcPr>
            <w:tcW w:w="864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85"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highlight w:val="none"/>
              </w:rPr>
            </w:pPr>
          </w:p>
        </w:tc>
        <w:tc>
          <w:tcPr>
            <w:tcW w:w="8640"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4"/>
                <w:highlight w:val="none"/>
              </w:rPr>
            </w:pPr>
          </w:p>
          <w:p>
            <w:pPr>
              <w:spacing w:line="400" w:lineRule="exact"/>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该项目已于年月日验收并交付使用。根据合同规定，该项目的履约保证金期限于年月日已满，请将履约保证金</w:t>
            </w:r>
          </w:p>
          <w:p>
            <w:pPr>
              <w:spacing w:line="400" w:lineRule="exact"/>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（大写）￥（小写）退付到达以下帐户。</w:t>
            </w:r>
          </w:p>
          <w:p>
            <w:pPr>
              <w:spacing w:line="400" w:lineRule="exact"/>
              <w:ind w:firstLine="705"/>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单位名称：</w:t>
            </w:r>
          </w:p>
          <w:p>
            <w:pPr>
              <w:spacing w:line="400" w:lineRule="exact"/>
              <w:ind w:firstLine="705"/>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开户银行：</w:t>
            </w:r>
          </w:p>
          <w:p>
            <w:pPr>
              <w:spacing w:line="400" w:lineRule="exact"/>
              <w:ind w:firstLine="705"/>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帐号：</w:t>
            </w:r>
          </w:p>
          <w:p>
            <w:pPr>
              <w:spacing w:line="400" w:lineRule="exact"/>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联系人及电话：</w:t>
            </w:r>
          </w:p>
          <w:p>
            <w:pPr>
              <w:spacing w:line="400" w:lineRule="exact"/>
              <w:rPr>
                <w:rFonts w:hint="eastAsia" w:asciiTheme="minorEastAsia" w:hAnsiTheme="minorEastAsia" w:eastAsiaTheme="minorEastAsia" w:cstheme="minorEastAsia"/>
                <w:sz w:val="24"/>
                <w:highlight w:val="none"/>
              </w:rPr>
            </w:pPr>
          </w:p>
          <w:p>
            <w:pPr>
              <w:spacing w:line="52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供应商签章：</w:t>
            </w:r>
          </w:p>
          <w:p>
            <w:pPr>
              <w:spacing w:line="52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年月日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4"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采</w:t>
            </w:r>
          </w:p>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购</w:t>
            </w:r>
          </w:p>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单</w:t>
            </w:r>
          </w:p>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位</w:t>
            </w:r>
          </w:p>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意</w:t>
            </w:r>
          </w:p>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见</w:t>
            </w:r>
          </w:p>
        </w:tc>
        <w:tc>
          <w:tcPr>
            <w:tcW w:w="8640"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4"/>
                <w:highlight w:val="none"/>
              </w:rPr>
            </w:pPr>
          </w:p>
          <w:p>
            <w:pP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退付意见：是否同意退付履约保证金及退付金额</w:t>
            </w:r>
          </w:p>
          <w:p>
            <w:pPr>
              <w:rPr>
                <w:rFonts w:hint="eastAsia" w:asciiTheme="minorEastAsia" w:hAnsiTheme="minorEastAsia" w:eastAsiaTheme="minorEastAsia" w:cstheme="minorEastAsia"/>
                <w:sz w:val="24"/>
                <w:highlight w:val="none"/>
              </w:rPr>
            </w:pPr>
          </w:p>
          <w:p>
            <w:pPr>
              <w:rPr>
                <w:rFonts w:hint="eastAsia" w:asciiTheme="minorEastAsia" w:hAnsiTheme="minorEastAsia" w:eastAsiaTheme="minorEastAsia" w:cstheme="minorEastAsia"/>
                <w:sz w:val="24"/>
                <w:highlight w:val="none"/>
              </w:rPr>
            </w:pPr>
          </w:p>
          <w:p>
            <w:pPr>
              <w:rPr>
                <w:rFonts w:hint="eastAsia" w:asciiTheme="minorEastAsia" w:hAnsiTheme="minorEastAsia" w:eastAsiaTheme="minorEastAsia" w:cstheme="minorEastAsia"/>
                <w:sz w:val="24"/>
                <w:highlight w:val="none"/>
              </w:rPr>
            </w:pPr>
          </w:p>
          <w:p>
            <w:pPr>
              <w:rPr>
                <w:rFonts w:hint="eastAsia" w:asciiTheme="minorEastAsia" w:hAnsiTheme="minorEastAsia" w:eastAsiaTheme="minorEastAsia" w:cstheme="minorEastAsia"/>
                <w:sz w:val="24"/>
                <w:highlight w:val="none"/>
              </w:rPr>
            </w:pPr>
          </w:p>
          <w:p>
            <w:pPr>
              <w:rPr>
                <w:rFonts w:hint="eastAsia" w:asciiTheme="minorEastAsia" w:hAnsiTheme="minorEastAsia" w:eastAsiaTheme="minorEastAsia" w:cstheme="minorEastAsia"/>
                <w:sz w:val="24"/>
                <w:highlight w:val="none"/>
              </w:rPr>
            </w:pPr>
          </w:p>
          <w:p>
            <w:pPr>
              <w:spacing w:line="520" w:lineRule="exact"/>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联系人及电话：采购单位签章</w:t>
            </w:r>
          </w:p>
          <w:p>
            <w:pPr>
              <w:spacing w:line="520" w:lineRule="exact"/>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年月日</w:t>
            </w:r>
          </w:p>
        </w:tc>
      </w:tr>
    </w:tbl>
    <w:p>
      <w:pPr>
        <w:pStyle w:val="22"/>
        <w:spacing w:line="288" w:lineRule="auto"/>
        <w:ind w:firstLine="361"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bCs/>
          <w:sz w:val="18"/>
          <w:highlight w:val="none"/>
        </w:rPr>
        <w:t>注：中标人凭经审批的退付意见书到采购人处办理履约保证金退付事宜。</w:t>
      </w:r>
    </w:p>
    <w:p>
      <w:pPr>
        <w:rPr>
          <w:rFonts w:hint="eastAsia" w:asciiTheme="minorEastAsia" w:hAnsiTheme="minorEastAsia" w:eastAsiaTheme="minorEastAsia" w:cstheme="minorEastAsia"/>
          <w:highlight w:val="none"/>
        </w:rPr>
      </w:pPr>
    </w:p>
    <w:sectPr>
      <w:footerReference r:id="rId20" w:type="first"/>
      <w:headerReference r:id="rId17" w:type="default"/>
      <w:footerReference r:id="rId18" w:type="default"/>
      <w:footerReference r:id="rId19" w:type="even"/>
      <w:type w:val="nextColumn"/>
      <w:pgSz w:w="11906" w:h="16838"/>
      <w:pgMar w:top="1304" w:right="1418" w:bottom="130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0" w:usb3="00000000" w:csb0="00100000" w:csb1="00000000"/>
  </w:font>
  <w:font w:name="Cambria">
    <w:panose1 w:val="02040503050406030204"/>
    <w:charset w:val="00"/>
    <w:family w:val="roman"/>
    <w:pitch w:val="default"/>
    <w:sig w:usb0="E00006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文本框 6"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Mk8KQe4AQAAVQMAAA4AAAAAAAAAAQAgAAAAIgEAAGRycy9lMm9Eb2MueG1sUEsFBgAAAAAG&#10;AAYAWQEAAEwFAAAAAA==&#10;">
          <v:path/>
          <v:fill on="f" focussize="0,0"/>
          <v:stroke on="f" weight="1.2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92</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7"/>
      </w:rPr>
    </w:pPr>
    <w:r>
      <w:fldChar w:fldCharType="begin"/>
    </w:r>
    <w:r>
      <w:rPr>
        <w:rStyle w:val="37"/>
      </w:rPr>
      <w:instrText xml:space="preserve">PAGE  </w:instrText>
    </w:r>
    <w:r>
      <w:fldChar w:fldCharType="separate"/>
    </w:r>
    <w:r>
      <w:rPr>
        <w:rStyle w:val="37"/>
      </w:rPr>
      <w:t>28</w:t>
    </w:r>
    <w:r>
      <w:fldChar w:fldCharType="end"/>
    </w:r>
  </w:p>
  <w:p>
    <w:pPr>
      <w:pStyle w:val="2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7"/>
      </w:rPr>
    </w:pPr>
    <w:r>
      <w:fldChar w:fldCharType="begin"/>
    </w:r>
    <w:r>
      <w:rPr>
        <w:rStyle w:val="37"/>
      </w:rPr>
      <w:instrText xml:space="preserve">PAGE  </w:instrText>
    </w:r>
    <w:r>
      <w:fldChar w:fldCharType="separate"/>
    </w:r>
    <w:r>
      <w:rPr>
        <w:rStyle w:val="37"/>
      </w:rPr>
      <w:t>28</w:t>
    </w:r>
    <w:r>
      <w:fldChar w:fldCharType="end"/>
    </w:r>
  </w:p>
  <w:p>
    <w:pPr>
      <w:pStyle w:val="26"/>
      <w:ind w:right="360"/>
      <w:jc w:val="both"/>
    </w:pPr>
    <w:r>
      <w:rPr>
        <w:rFonts w:hint="eastAsia"/>
      </w:rPr>
      <w:t>121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7"/>
      </w:rPr>
    </w:pPr>
    <w:r>
      <w:fldChar w:fldCharType="begin"/>
    </w:r>
    <w:r>
      <w:rPr>
        <w:rStyle w:val="37"/>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7"/>
      </w:rPr>
    </w:pPr>
    <w:r>
      <w:fldChar w:fldCharType="begin"/>
    </w:r>
    <w:r>
      <w:rPr>
        <w:rStyle w:val="37"/>
      </w:rPr>
      <w:instrText xml:space="preserve">PAGE  </w:instrText>
    </w:r>
    <w:r>
      <w:fldChar w:fldCharType="end"/>
    </w:r>
  </w:p>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26"/>
                  <w:rPr>
                    <w:rStyle w:val="37"/>
                  </w:rPr>
                </w:pPr>
                <w:r>
                  <w:fldChar w:fldCharType="begin"/>
                </w:r>
                <w:r>
                  <w:rPr>
                    <w:rStyle w:val="37"/>
                  </w:rPr>
                  <w:instrText xml:space="preserve">PAGE  </w:instrText>
                </w:r>
                <w:r>
                  <w:fldChar w:fldCharType="separate"/>
                </w:r>
                <w:r>
                  <w:rPr>
                    <w:rStyle w:val="37"/>
                  </w:rPr>
                  <w:t>42</w:t>
                </w:r>
                <w:r>
                  <w:fldChar w:fldCharType="end"/>
                </w:r>
              </w:p>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7"/>
      </w:rPr>
    </w:pPr>
    <w:r>
      <w:fldChar w:fldCharType="begin"/>
    </w:r>
    <w:r>
      <w:rPr>
        <w:rStyle w:val="37"/>
      </w:rPr>
      <w:instrText xml:space="preserve">PAGE  </w:instrText>
    </w:r>
    <w:r>
      <w:fldChar w:fldCharType="end"/>
    </w:r>
  </w:p>
  <w:p>
    <w:pPr>
      <w:pStyle w:val="2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both"/>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lef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6C497B"/>
    <w:multiLevelType w:val="singleLevel"/>
    <w:tmpl w:val="866C497B"/>
    <w:lvl w:ilvl="0" w:tentative="0">
      <w:start w:val="6"/>
      <w:numFmt w:val="chineseCounting"/>
      <w:suff w:val="nothing"/>
      <w:lvlText w:val="%1、"/>
      <w:lvlJc w:val="left"/>
      <w:rPr>
        <w:rFonts w:hint="eastAsia"/>
      </w:rPr>
    </w:lvl>
  </w:abstractNum>
  <w:abstractNum w:abstractNumId="1">
    <w:nsid w:val="43A72520"/>
    <w:multiLevelType w:val="singleLevel"/>
    <w:tmpl w:val="43A72520"/>
    <w:lvl w:ilvl="0" w:tentative="0">
      <w:start w:val="1"/>
      <w:numFmt w:val="decimal"/>
      <w:suff w:val="nothing"/>
      <w:lvlText w:val="%1、"/>
      <w:lvlJc w:val="left"/>
    </w:lvl>
  </w:abstractNum>
  <w:abstractNum w:abstractNumId="2">
    <w:nsid w:val="59A7D8A2"/>
    <w:multiLevelType w:val="singleLevel"/>
    <w:tmpl w:val="59A7D8A2"/>
    <w:lvl w:ilvl="0" w:tentative="0">
      <w:start w:val="2"/>
      <w:numFmt w:val="chineseCounting"/>
      <w:suff w:val="space"/>
      <w:lvlText w:val="第%1章"/>
      <w:lvlJc w:val="left"/>
    </w:lvl>
  </w:abstractNum>
  <w:abstractNum w:abstractNumId="3">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3"/>
    <w:lvlOverride w:ilvl="0">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6CED"/>
    <w:rsid w:val="00000B39"/>
    <w:rsid w:val="00004A9F"/>
    <w:rsid w:val="00005785"/>
    <w:rsid w:val="000066DA"/>
    <w:rsid w:val="000108E5"/>
    <w:rsid w:val="000207C0"/>
    <w:rsid w:val="00020C5C"/>
    <w:rsid w:val="00021B62"/>
    <w:rsid w:val="0002619D"/>
    <w:rsid w:val="00034045"/>
    <w:rsid w:val="00035183"/>
    <w:rsid w:val="00037F0A"/>
    <w:rsid w:val="000442DF"/>
    <w:rsid w:val="00056314"/>
    <w:rsid w:val="00056502"/>
    <w:rsid w:val="0006508D"/>
    <w:rsid w:val="00066FF6"/>
    <w:rsid w:val="0007009D"/>
    <w:rsid w:val="0007110D"/>
    <w:rsid w:val="00071742"/>
    <w:rsid w:val="00076CED"/>
    <w:rsid w:val="00077AFB"/>
    <w:rsid w:val="00093BDF"/>
    <w:rsid w:val="000A0288"/>
    <w:rsid w:val="000A111E"/>
    <w:rsid w:val="000B08E0"/>
    <w:rsid w:val="000C589C"/>
    <w:rsid w:val="000C5CE0"/>
    <w:rsid w:val="000D2368"/>
    <w:rsid w:val="000D7C89"/>
    <w:rsid w:val="000E0CDB"/>
    <w:rsid w:val="000E1D6B"/>
    <w:rsid w:val="000E3E0D"/>
    <w:rsid w:val="000E55F0"/>
    <w:rsid w:val="000E68DE"/>
    <w:rsid w:val="000E7DE5"/>
    <w:rsid w:val="00101A18"/>
    <w:rsid w:val="00102E11"/>
    <w:rsid w:val="0010435B"/>
    <w:rsid w:val="001073A3"/>
    <w:rsid w:val="001142A0"/>
    <w:rsid w:val="001142F0"/>
    <w:rsid w:val="00121F5D"/>
    <w:rsid w:val="00134104"/>
    <w:rsid w:val="00135838"/>
    <w:rsid w:val="001377BF"/>
    <w:rsid w:val="00140C1D"/>
    <w:rsid w:val="00140D9B"/>
    <w:rsid w:val="00141A9F"/>
    <w:rsid w:val="00142594"/>
    <w:rsid w:val="00147E34"/>
    <w:rsid w:val="00150FA9"/>
    <w:rsid w:val="00152BCA"/>
    <w:rsid w:val="0015339D"/>
    <w:rsid w:val="00153F35"/>
    <w:rsid w:val="001617BD"/>
    <w:rsid w:val="0016451C"/>
    <w:rsid w:val="001722FB"/>
    <w:rsid w:val="00175CEE"/>
    <w:rsid w:val="001764D5"/>
    <w:rsid w:val="00176C95"/>
    <w:rsid w:val="00180453"/>
    <w:rsid w:val="00181DF5"/>
    <w:rsid w:val="00186CA4"/>
    <w:rsid w:val="001922C2"/>
    <w:rsid w:val="00192562"/>
    <w:rsid w:val="00194212"/>
    <w:rsid w:val="00195EFB"/>
    <w:rsid w:val="001A118A"/>
    <w:rsid w:val="001B0C93"/>
    <w:rsid w:val="001B451F"/>
    <w:rsid w:val="001B4DD8"/>
    <w:rsid w:val="001B4E8D"/>
    <w:rsid w:val="001C2271"/>
    <w:rsid w:val="001C5FB1"/>
    <w:rsid w:val="001C727A"/>
    <w:rsid w:val="001D0D2D"/>
    <w:rsid w:val="001E328E"/>
    <w:rsid w:val="001E5103"/>
    <w:rsid w:val="001E5F45"/>
    <w:rsid w:val="001F1794"/>
    <w:rsid w:val="002153A6"/>
    <w:rsid w:val="00217C52"/>
    <w:rsid w:val="00233A0D"/>
    <w:rsid w:val="0023600F"/>
    <w:rsid w:val="0024129A"/>
    <w:rsid w:val="002547D1"/>
    <w:rsid w:val="002574ED"/>
    <w:rsid w:val="00267AB9"/>
    <w:rsid w:val="0027216E"/>
    <w:rsid w:val="00286687"/>
    <w:rsid w:val="00290257"/>
    <w:rsid w:val="00296C9F"/>
    <w:rsid w:val="002A13A5"/>
    <w:rsid w:val="002B1C49"/>
    <w:rsid w:val="002B3CA5"/>
    <w:rsid w:val="002C1258"/>
    <w:rsid w:val="002C27DD"/>
    <w:rsid w:val="002C534E"/>
    <w:rsid w:val="002D2E7B"/>
    <w:rsid w:val="002D4364"/>
    <w:rsid w:val="002D5A86"/>
    <w:rsid w:val="002E1F8A"/>
    <w:rsid w:val="002F6586"/>
    <w:rsid w:val="002F70AD"/>
    <w:rsid w:val="00301FA7"/>
    <w:rsid w:val="00302300"/>
    <w:rsid w:val="00303307"/>
    <w:rsid w:val="003054C4"/>
    <w:rsid w:val="00312E80"/>
    <w:rsid w:val="00315F24"/>
    <w:rsid w:val="00317852"/>
    <w:rsid w:val="0032073C"/>
    <w:rsid w:val="003210AE"/>
    <w:rsid w:val="00324B3C"/>
    <w:rsid w:val="003251C1"/>
    <w:rsid w:val="00325DEC"/>
    <w:rsid w:val="00325FA1"/>
    <w:rsid w:val="0032709C"/>
    <w:rsid w:val="00334F6E"/>
    <w:rsid w:val="003374BC"/>
    <w:rsid w:val="00340F82"/>
    <w:rsid w:val="00342C49"/>
    <w:rsid w:val="0034518B"/>
    <w:rsid w:val="00345852"/>
    <w:rsid w:val="0035130D"/>
    <w:rsid w:val="003564F6"/>
    <w:rsid w:val="00361063"/>
    <w:rsid w:val="00361EE7"/>
    <w:rsid w:val="00362718"/>
    <w:rsid w:val="00363DA8"/>
    <w:rsid w:val="00366C10"/>
    <w:rsid w:val="00375835"/>
    <w:rsid w:val="0038253D"/>
    <w:rsid w:val="00383B6B"/>
    <w:rsid w:val="00385FCC"/>
    <w:rsid w:val="00386AEC"/>
    <w:rsid w:val="003955CE"/>
    <w:rsid w:val="00396C53"/>
    <w:rsid w:val="003A00B2"/>
    <w:rsid w:val="003A7478"/>
    <w:rsid w:val="003B0CBE"/>
    <w:rsid w:val="003B3E02"/>
    <w:rsid w:val="003B6A21"/>
    <w:rsid w:val="003B75DA"/>
    <w:rsid w:val="003B766D"/>
    <w:rsid w:val="003C0DCF"/>
    <w:rsid w:val="003C24DF"/>
    <w:rsid w:val="003C330C"/>
    <w:rsid w:val="003C3F0B"/>
    <w:rsid w:val="003D301B"/>
    <w:rsid w:val="003D6BBA"/>
    <w:rsid w:val="003E2DFB"/>
    <w:rsid w:val="003F782F"/>
    <w:rsid w:val="003F79FD"/>
    <w:rsid w:val="0040103D"/>
    <w:rsid w:val="00401A4E"/>
    <w:rsid w:val="00403AD0"/>
    <w:rsid w:val="00411495"/>
    <w:rsid w:val="00412734"/>
    <w:rsid w:val="00417962"/>
    <w:rsid w:val="00436451"/>
    <w:rsid w:val="004401F3"/>
    <w:rsid w:val="00444300"/>
    <w:rsid w:val="0044453D"/>
    <w:rsid w:val="00445545"/>
    <w:rsid w:val="00447703"/>
    <w:rsid w:val="00457883"/>
    <w:rsid w:val="00465900"/>
    <w:rsid w:val="004679EA"/>
    <w:rsid w:val="00471227"/>
    <w:rsid w:val="004747AC"/>
    <w:rsid w:val="00493BD2"/>
    <w:rsid w:val="004A4EA8"/>
    <w:rsid w:val="004B4E18"/>
    <w:rsid w:val="004C76BB"/>
    <w:rsid w:val="004D29A5"/>
    <w:rsid w:val="004D5276"/>
    <w:rsid w:val="004D7BC2"/>
    <w:rsid w:val="004E6090"/>
    <w:rsid w:val="005102C5"/>
    <w:rsid w:val="00511498"/>
    <w:rsid w:val="005228E1"/>
    <w:rsid w:val="00524BFA"/>
    <w:rsid w:val="00527C8E"/>
    <w:rsid w:val="005339A1"/>
    <w:rsid w:val="00537514"/>
    <w:rsid w:val="00546F8D"/>
    <w:rsid w:val="00552117"/>
    <w:rsid w:val="00552521"/>
    <w:rsid w:val="005544E9"/>
    <w:rsid w:val="00555A8A"/>
    <w:rsid w:val="00556076"/>
    <w:rsid w:val="00561C76"/>
    <w:rsid w:val="00563877"/>
    <w:rsid w:val="00572F7F"/>
    <w:rsid w:val="00577496"/>
    <w:rsid w:val="00577DAA"/>
    <w:rsid w:val="00581258"/>
    <w:rsid w:val="0058165F"/>
    <w:rsid w:val="00582284"/>
    <w:rsid w:val="00585A75"/>
    <w:rsid w:val="00587F7C"/>
    <w:rsid w:val="005A0B14"/>
    <w:rsid w:val="005A43ED"/>
    <w:rsid w:val="005B1E9F"/>
    <w:rsid w:val="005B6DD4"/>
    <w:rsid w:val="005C3828"/>
    <w:rsid w:val="005D2002"/>
    <w:rsid w:val="005D470E"/>
    <w:rsid w:val="005E177A"/>
    <w:rsid w:val="005E366A"/>
    <w:rsid w:val="005F0F6B"/>
    <w:rsid w:val="005F3DC3"/>
    <w:rsid w:val="005F65A1"/>
    <w:rsid w:val="005F669F"/>
    <w:rsid w:val="00603842"/>
    <w:rsid w:val="00605AE5"/>
    <w:rsid w:val="00610148"/>
    <w:rsid w:val="00613584"/>
    <w:rsid w:val="00615A04"/>
    <w:rsid w:val="006208F9"/>
    <w:rsid w:val="00622C4F"/>
    <w:rsid w:val="006232D3"/>
    <w:rsid w:val="00627C65"/>
    <w:rsid w:val="00637C13"/>
    <w:rsid w:val="00642CF5"/>
    <w:rsid w:val="0065072E"/>
    <w:rsid w:val="00651A93"/>
    <w:rsid w:val="006624B1"/>
    <w:rsid w:val="00665038"/>
    <w:rsid w:val="006665D1"/>
    <w:rsid w:val="006762B3"/>
    <w:rsid w:val="00680E89"/>
    <w:rsid w:val="0068212A"/>
    <w:rsid w:val="006852AC"/>
    <w:rsid w:val="00687918"/>
    <w:rsid w:val="00693388"/>
    <w:rsid w:val="006A2FDA"/>
    <w:rsid w:val="006A32E0"/>
    <w:rsid w:val="006A36BF"/>
    <w:rsid w:val="006A5810"/>
    <w:rsid w:val="006B1F38"/>
    <w:rsid w:val="006C3B6C"/>
    <w:rsid w:val="006C3DA1"/>
    <w:rsid w:val="006D388B"/>
    <w:rsid w:val="006D3C6E"/>
    <w:rsid w:val="006D5CFB"/>
    <w:rsid w:val="006F178C"/>
    <w:rsid w:val="006F1C6B"/>
    <w:rsid w:val="006F2914"/>
    <w:rsid w:val="006F4E9B"/>
    <w:rsid w:val="00707BA4"/>
    <w:rsid w:val="00716402"/>
    <w:rsid w:val="007208C9"/>
    <w:rsid w:val="00722301"/>
    <w:rsid w:val="00723416"/>
    <w:rsid w:val="007432DF"/>
    <w:rsid w:val="0074357E"/>
    <w:rsid w:val="00744491"/>
    <w:rsid w:val="00744B1B"/>
    <w:rsid w:val="007450CA"/>
    <w:rsid w:val="007451CC"/>
    <w:rsid w:val="00750766"/>
    <w:rsid w:val="0075377E"/>
    <w:rsid w:val="00754101"/>
    <w:rsid w:val="00763EA7"/>
    <w:rsid w:val="0076508E"/>
    <w:rsid w:val="00776800"/>
    <w:rsid w:val="00784155"/>
    <w:rsid w:val="007853F3"/>
    <w:rsid w:val="00785B50"/>
    <w:rsid w:val="00793BF3"/>
    <w:rsid w:val="007977AE"/>
    <w:rsid w:val="007A28A7"/>
    <w:rsid w:val="007A7982"/>
    <w:rsid w:val="007B0EB5"/>
    <w:rsid w:val="007B2A06"/>
    <w:rsid w:val="007C1589"/>
    <w:rsid w:val="007C23DB"/>
    <w:rsid w:val="007C6EFC"/>
    <w:rsid w:val="007D4E5A"/>
    <w:rsid w:val="007E2E8D"/>
    <w:rsid w:val="007E5BE8"/>
    <w:rsid w:val="007E62CE"/>
    <w:rsid w:val="007F12EB"/>
    <w:rsid w:val="007F2E26"/>
    <w:rsid w:val="007F39EB"/>
    <w:rsid w:val="007F5C96"/>
    <w:rsid w:val="008141B0"/>
    <w:rsid w:val="00816C37"/>
    <w:rsid w:val="00825439"/>
    <w:rsid w:val="00826D1B"/>
    <w:rsid w:val="0083262A"/>
    <w:rsid w:val="00835E53"/>
    <w:rsid w:val="008375FD"/>
    <w:rsid w:val="008505A3"/>
    <w:rsid w:val="0085221F"/>
    <w:rsid w:val="00857250"/>
    <w:rsid w:val="00860380"/>
    <w:rsid w:val="00861A00"/>
    <w:rsid w:val="00862B7B"/>
    <w:rsid w:val="00864B18"/>
    <w:rsid w:val="008655A3"/>
    <w:rsid w:val="00870C8D"/>
    <w:rsid w:val="00871DA8"/>
    <w:rsid w:val="00873B3C"/>
    <w:rsid w:val="00877E08"/>
    <w:rsid w:val="00884494"/>
    <w:rsid w:val="00885B16"/>
    <w:rsid w:val="0088729E"/>
    <w:rsid w:val="00887E49"/>
    <w:rsid w:val="008910AC"/>
    <w:rsid w:val="00894147"/>
    <w:rsid w:val="008972FC"/>
    <w:rsid w:val="008A0846"/>
    <w:rsid w:val="008B6847"/>
    <w:rsid w:val="008C2C08"/>
    <w:rsid w:val="008D1A02"/>
    <w:rsid w:val="008D1D9D"/>
    <w:rsid w:val="008E42AB"/>
    <w:rsid w:val="008F16BD"/>
    <w:rsid w:val="008F3623"/>
    <w:rsid w:val="008F6E6A"/>
    <w:rsid w:val="00902F21"/>
    <w:rsid w:val="00904E99"/>
    <w:rsid w:val="00905117"/>
    <w:rsid w:val="00907FCB"/>
    <w:rsid w:val="009118B2"/>
    <w:rsid w:val="009176E4"/>
    <w:rsid w:val="00917C90"/>
    <w:rsid w:val="009264AB"/>
    <w:rsid w:val="00931696"/>
    <w:rsid w:val="00936725"/>
    <w:rsid w:val="00937DDC"/>
    <w:rsid w:val="00942597"/>
    <w:rsid w:val="00947D47"/>
    <w:rsid w:val="00955415"/>
    <w:rsid w:val="009653A5"/>
    <w:rsid w:val="00965885"/>
    <w:rsid w:val="00971A11"/>
    <w:rsid w:val="009732F7"/>
    <w:rsid w:val="00983CBB"/>
    <w:rsid w:val="009973FD"/>
    <w:rsid w:val="00997550"/>
    <w:rsid w:val="00997FB0"/>
    <w:rsid w:val="009A1DDA"/>
    <w:rsid w:val="009B3198"/>
    <w:rsid w:val="009B323F"/>
    <w:rsid w:val="009B509C"/>
    <w:rsid w:val="009C5200"/>
    <w:rsid w:val="009D0068"/>
    <w:rsid w:val="009D24C7"/>
    <w:rsid w:val="009D4667"/>
    <w:rsid w:val="009E6ED6"/>
    <w:rsid w:val="009F1285"/>
    <w:rsid w:val="009F259E"/>
    <w:rsid w:val="009F4EAA"/>
    <w:rsid w:val="009F6DF1"/>
    <w:rsid w:val="00A02C9B"/>
    <w:rsid w:val="00A166F6"/>
    <w:rsid w:val="00A21A06"/>
    <w:rsid w:val="00A22D39"/>
    <w:rsid w:val="00A31C3D"/>
    <w:rsid w:val="00A356FB"/>
    <w:rsid w:val="00A40212"/>
    <w:rsid w:val="00A4147A"/>
    <w:rsid w:val="00A42F60"/>
    <w:rsid w:val="00A43AD8"/>
    <w:rsid w:val="00A471BF"/>
    <w:rsid w:val="00A52FFD"/>
    <w:rsid w:val="00A5382D"/>
    <w:rsid w:val="00A57848"/>
    <w:rsid w:val="00A60497"/>
    <w:rsid w:val="00A6392C"/>
    <w:rsid w:val="00A6638A"/>
    <w:rsid w:val="00A758B3"/>
    <w:rsid w:val="00A776F0"/>
    <w:rsid w:val="00A80C6A"/>
    <w:rsid w:val="00A8231F"/>
    <w:rsid w:val="00A874C1"/>
    <w:rsid w:val="00AB4157"/>
    <w:rsid w:val="00AB6082"/>
    <w:rsid w:val="00AC0324"/>
    <w:rsid w:val="00AD462A"/>
    <w:rsid w:val="00AD5717"/>
    <w:rsid w:val="00AD7900"/>
    <w:rsid w:val="00AE0569"/>
    <w:rsid w:val="00AE3F2F"/>
    <w:rsid w:val="00AF18AE"/>
    <w:rsid w:val="00AF3AD2"/>
    <w:rsid w:val="00AF7104"/>
    <w:rsid w:val="00B07891"/>
    <w:rsid w:val="00B137DA"/>
    <w:rsid w:val="00B15B23"/>
    <w:rsid w:val="00B30501"/>
    <w:rsid w:val="00B31569"/>
    <w:rsid w:val="00B372F2"/>
    <w:rsid w:val="00B408D4"/>
    <w:rsid w:val="00B55E3B"/>
    <w:rsid w:val="00B562D0"/>
    <w:rsid w:val="00B57B73"/>
    <w:rsid w:val="00B63C6F"/>
    <w:rsid w:val="00B64046"/>
    <w:rsid w:val="00B6693A"/>
    <w:rsid w:val="00B733E8"/>
    <w:rsid w:val="00B7382C"/>
    <w:rsid w:val="00B80AE5"/>
    <w:rsid w:val="00B926C6"/>
    <w:rsid w:val="00BA4A6C"/>
    <w:rsid w:val="00BA657E"/>
    <w:rsid w:val="00BB1A2C"/>
    <w:rsid w:val="00BB3CF3"/>
    <w:rsid w:val="00BB6FFE"/>
    <w:rsid w:val="00BC68C5"/>
    <w:rsid w:val="00BC7408"/>
    <w:rsid w:val="00BD2334"/>
    <w:rsid w:val="00BD5578"/>
    <w:rsid w:val="00BE16F0"/>
    <w:rsid w:val="00BE27B5"/>
    <w:rsid w:val="00BE2C84"/>
    <w:rsid w:val="00BE3361"/>
    <w:rsid w:val="00BE4E5E"/>
    <w:rsid w:val="00BE64DF"/>
    <w:rsid w:val="00BE6811"/>
    <w:rsid w:val="00BF1877"/>
    <w:rsid w:val="00BF38C7"/>
    <w:rsid w:val="00BF51BA"/>
    <w:rsid w:val="00BF5CE3"/>
    <w:rsid w:val="00C07FD4"/>
    <w:rsid w:val="00C20556"/>
    <w:rsid w:val="00C23DA8"/>
    <w:rsid w:val="00C25100"/>
    <w:rsid w:val="00C25B4D"/>
    <w:rsid w:val="00C30970"/>
    <w:rsid w:val="00C35CF0"/>
    <w:rsid w:val="00C40979"/>
    <w:rsid w:val="00C47B23"/>
    <w:rsid w:val="00C57329"/>
    <w:rsid w:val="00C703B3"/>
    <w:rsid w:val="00C70909"/>
    <w:rsid w:val="00C76F44"/>
    <w:rsid w:val="00C831FC"/>
    <w:rsid w:val="00C85D6D"/>
    <w:rsid w:val="00C8684B"/>
    <w:rsid w:val="00C96942"/>
    <w:rsid w:val="00C97BC8"/>
    <w:rsid w:val="00CA4FFC"/>
    <w:rsid w:val="00CC75F6"/>
    <w:rsid w:val="00CD1D0D"/>
    <w:rsid w:val="00CE0C3E"/>
    <w:rsid w:val="00CE5632"/>
    <w:rsid w:val="00CF33A4"/>
    <w:rsid w:val="00CF5FD8"/>
    <w:rsid w:val="00D00BEE"/>
    <w:rsid w:val="00D037D8"/>
    <w:rsid w:val="00D052AF"/>
    <w:rsid w:val="00D0759F"/>
    <w:rsid w:val="00D17F08"/>
    <w:rsid w:val="00D20AE6"/>
    <w:rsid w:val="00D21D9D"/>
    <w:rsid w:val="00D23157"/>
    <w:rsid w:val="00D23C72"/>
    <w:rsid w:val="00D35CA8"/>
    <w:rsid w:val="00D36D4C"/>
    <w:rsid w:val="00D4268E"/>
    <w:rsid w:val="00D42DF2"/>
    <w:rsid w:val="00D478C1"/>
    <w:rsid w:val="00D51106"/>
    <w:rsid w:val="00D52A25"/>
    <w:rsid w:val="00D61281"/>
    <w:rsid w:val="00D625EF"/>
    <w:rsid w:val="00D6496D"/>
    <w:rsid w:val="00D66259"/>
    <w:rsid w:val="00D81953"/>
    <w:rsid w:val="00D90F60"/>
    <w:rsid w:val="00D92FF7"/>
    <w:rsid w:val="00D94A57"/>
    <w:rsid w:val="00DA051F"/>
    <w:rsid w:val="00DA1DD1"/>
    <w:rsid w:val="00DA2BF5"/>
    <w:rsid w:val="00DC2290"/>
    <w:rsid w:val="00DD23B1"/>
    <w:rsid w:val="00DD2788"/>
    <w:rsid w:val="00DD434C"/>
    <w:rsid w:val="00DD5834"/>
    <w:rsid w:val="00DD7EA2"/>
    <w:rsid w:val="00DE5F89"/>
    <w:rsid w:val="00DE687C"/>
    <w:rsid w:val="00DF082A"/>
    <w:rsid w:val="00DF1999"/>
    <w:rsid w:val="00DF3E55"/>
    <w:rsid w:val="00DF7EB6"/>
    <w:rsid w:val="00DF7F95"/>
    <w:rsid w:val="00E0388D"/>
    <w:rsid w:val="00E05083"/>
    <w:rsid w:val="00E0643D"/>
    <w:rsid w:val="00E07900"/>
    <w:rsid w:val="00E128DF"/>
    <w:rsid w:val="00E136EA"/>
    <w:rsid w:val="00E15BEA"/>
    <w:rsid w:val="00E16514"/>
    <w:rsid w:val="00E31D7F"/>
    <w:rsid w:val="00E46CF9"/>
    <w:rsid w:val="00E63FDB"/>
    <w:rsid w:val="00E66DAC"/>
    <w:rsid w:val="00E80223"/>
    <w:rsid w:val="00E939F0"/>
    <w:rsid w:val="00E93EB6"/>
    <w:rsid w:val="00EA7332"/>
    <w:rsid w:val="00EB209A"/>
    <w:rsid w:val="00EB383F"/>
    <w:rsid w:val="00EB6476"/>
    <w:rsid w:val="00EC11A3"/>
    <w:rsid w:val="00EC66BC"/>
    <w:rsid w:val="00EC7AB6"/>
    <w:rsid w:val="00ED1AEF"/>
    <w:rsid w:val="00ED2B9B"/>
    <w:rsid w:val="00ED43D1"/>
    <w:rsid w:val="00EE5EAA"/>
    <w:rsid w:val="00EF0A5E"/>
    <w:rsid w:val="00EF2220"/>
    <w:rsid w:val="00F10A44"/>
    <w:rsid w:val="00F20D9C"/>
    <w:rsid w:val="00F22DC4"/>
    <w:rsid w:val="00F237D2"/>
    <w:rsid w:val="00F25094"/>
    <w:rsid w:val="00F25CAC"/>
    <w:rsid w:val="00F3078A"/>
    <w:rsid w:val="00F361B0"/>
    <w:rsid w:val="00F529E8"/>
    <w:rsid w:val="00F634CA"/>
    <w:rsid w:val="00F645AE"/>
    <w:rsid w:val="00F65776"/>
    <w:rsid w:val="00F658F3"/>
    <w:rsid w:val="00F66E49"/>
    <w:rsid w:val="00F7544A"/>
    <w:rsid w:val="00F813DE"/>
    <w:rsid w:val="00F82F61"/>
    <w:rsid w:val="00F84143"/>
    <w:rsid w:val="00F87819"/>
    <w:rsid w:val="00F87D5B"/>
    <w:rsid w:val="00F91EF2"/>
    <w:rsid w:val="00F95DCA"/>
    <w:rsid w:val="00FB0FCD"/>
    <w:rsid w:val="00FB4E56"/>
    <w:rsid w:val="00FC7903"/>
    <w:rsid w:val="00FD1C62"/>
    <w:rsid w:val="00FD6D37"/>
    <w:rsid w:val="00FE5493"/>
    <w:rsid w:val="00FE67AA"/>
    <w:rsid w:val="00FE6808"/>
    <w:rsid w:val="00FF7FE5"/>
    <w:rsid w:val="01023771"/>
    <w:rsid w:val="010C0E1C"/>
    <w:rsid w:val="01150849"/>
    <w:rsid w:val="0119734C"/>
    <w:rsid w:val="01390DCA"/>
    <w:rsid w:val="013D1C79"/>
    <w:rsid w:val="015938EF"/>
    <w:rsid w:val="015D3EC1"/>
    <w:rsid w:val="01841555"/>
    <w:rsid w:val="018873B9"/>
    <w:rsid w:val="019175FE"/>
    <w:rsid w:val="01B62B64"/>
    <w:rsid w:val="01B657C6"/>
    <w:rsid w:val="01ED288A"/>
    <w:rsid w:val="01FF40F4"/>
    <w:rsid w:val="020B7EEF"/>
    <w:rsid w:val="0234604E"/>
    <w:rsid w:val="0264178D"/>
    <w:rsid w:val="02777BE0"/>
    <w:rsid w:val="027949BA"/>
    <w:rsid w:val="028356A6"/>
    <w:rsid w:val="02881090"/>
    <w:rsid w:val="029E7D5F"/>
    <w:rsid w:val="02A52DFE"/>
    <w:rsid w:val="02BA130F"/>
    <w:rsid w:val="02C34150"/>
    <w:rsid w:val="02C5606F"/>
    <w:rsid w:val="02CA3B17"/>
    <w:rsid w:val="02CE5D18"/>
    <w:rsid w:val="02EA1BB4"/>
    <w:rsid w:val="031E30F6"/>
    <w:rsid w:val="032319D6"/>
    <w:rsid w:val="0330227A"/>
    <w:rsid w:val="03382D0D"/>
    <w:rsid w:val="0342448F"/>
    <w:rsid w:val="03732A62"/>
    <w:rsid w:val="03837148"/>
    <w:rsid w:val="0393309C"/>
    <w:rsid w:val="03A738E4"/>
    <w:rsid w:val="03A7746A"/>
    <w:rsid w:val="03BC3B40"/>
    <w:rsid w:val="03BD637F"/>
    <w:rsid w:val="03F04C55"/>
    <w:rsid w:val="03F42C45"/>
    <w:rsid w:val="040010AA"/>
    <w:rsid w:val="040F0BD4"/>
    <w:rsid w:val="04122F6F"/>
    <w:rsid w:val="04133845"/>
    <w:rsid w:val="042D21BC"/>
    <w:rsid w:val="043938B5"/>
    <w:rsid w:val="043F5FC6"/>
    <w:rsid w:val="0456341A"/>
    <w:rsid w:val="04590E6A"/>
    <w:rsid w:val="045F48C5"/>
    <w:rsid w:val="046504AC"/>
    <w:rsid w:val="046C2F44"/>
    <w:rsid w:val="049B7542"/>
    <w:rsid w:val="049E0A67"/>
    <w:rsid w:val="04A85921"/>
    <w:rsid w:val="04B05B78"/>
    <w:rsid w:val="04C529A5"/>
    <w:rsid w:val="04C631A0"/>
    <w:rsid w:val="04CA4590"/>
    <w:rsid w:val="04DE3836"/>
    <w:rsid w:val="050C2C39"/>
    <w:rsid w:val="050C4C58"/>
    <w:rsid w:val="055951D7"/>
    <w:rsid w:val="05625264"/>
    <w:rsid w:val="05755885"/>
    <w:rsid w:val="05821104"/>
    <w:rsid w:val="05895617"/>
    <w:rsid w:val="05970C55"/>
    <w:rsid w:val="05AC2ADB"/>
    <w:rsid w:val="05C26597"/>
    <w:rsid w:val="05F44019"/>
    <w:rsid w:val="063511C2"/>
    <w:rsid w:val="066E6F03"/>
    <w:rsid w:val="069F64F0"/>
    <w:rsid w:val="06A617E7"/>
    <w:rsid w:val="06B55FF7"/>
    <w:rsid w:val="06BE2377"/>
    <w:rsid w:val="06C26140"/>
    <w:rsid w:val="06C91ABC"/>
    <w:rsid w:val="06CC743A"/>
    <w:rsid w:val="06E81260"/>
    <w:rsid w:val="070249D9"/>
    <w:rsid w:val="071C0C9D"/>
    <w:rsid w:val="071C12A2"/>
    <w:rsid w:val="072336F9"/>
    <w:rsid w:val="07316F92"/>
    <w:rsid w:val="073F7321"/>
    <w:rsid w:val="07417B2D"/>
    <w:rsid w:val="074F5C76"/>
    <w:rsid w:val="07550886"/>
    <w:rsid w:val="0761283C"/>
    <w:rsid w:val="076D5E6B"/>
    <w:rsid w:val="077D675D"/>
    <w:rsid w:val="07805BCA"/>
    <w:rsid w:val="07905AD1"/>
    <w:rsid w:val="0793331E"/>
    <w:rsid w:val="07976B55"/>
    <w:rsid w:val="07A56879"/>
    <w:rsid w:val="07E7408B"/>
    <w:rsid w:val="07E9273F"/>
    <w:rsid w:val="08025F64"/>
    <w:rsid w:val="08113BD8"/>
    <w:rsid w:val="081F2C5A"/>
    <w:rsid w:val="0837580D"/>
    <w:rsid w:val="08376A1C"/>
    <w:rsid w:val="083F4910"/>
    <w:rsid w:val="08446786"/>
    <w:rsid w:val="08575D07"/>
    <w:rsid w:val="0863701C"/>
    <w:rsid w:val="0871383F"/>
    <w:rsid w:val="088A5FAE"/>
    <w:rsid w:val="08B93680"/>
    <w:rsid w:val="08CA0E2B"/>
    <w:rsid w:val="08CE3ADD"/>
    <w:rsid w:val="08E06054"/>
    <w:rsid w:val="08E4439C"/>
    <w:rsid w:val="08E52A9B"/>
    <w:rsid w:val="08E81211"/>
    <w:rsid w:val="0902357C"/>
    <w:rsid w:val="094E78B6"/>
    <w:rsid w:val="09681374"/>
    <w:rsid w:val="09760045"/>
    <w:rsid w:val="098C6236"/>
    <w:rsid w:val="09954E16"/>
    <w:rsid w:val="09B33CB8"/>
    <w:rsid w:val="09CA356D"/>
    <w:rsid w:val="0A0E682D"/>
    <w:rsid w:val="0A3455C6"/>
    <w:rsid w:val="0A50795C"/>
    <w:rsid w:val="0A703B22"/>
    <w:rsid w:val="0A7A3995"/>
    <w:rsid w:val="0AA31DC3"/>
    <w:rsid w:val="0AB70798"/>
    <w:rsid w:val="0ABB46C7"/>
    <w:rsid w:val="0AC60CEB"/>
    <w:rsid w:val="0AD97F15"/>
    <w:rsid w:val="0AE16835"/>
    <w:rsid w:val="0AF5269B"/>
    <w:rsid w:val="0AF93C1F"/>
    <w:rsid w:val="0B16776D"/>
    <w:rsid w:val="0B1F2E8E"/>
    <w:rsid w:val="0B27491F"/>
    <w:rsid w:val="0B280CF9"/>
    <w:rsid w:val="0B362D27"/>
    <w:rsid w:val="0B6D2220"/>
    <w:rsid w:val="0B717654"/>
    <w:rsid w:val="0B887199"/>
    <w:rsid w:val="0B97734B"/>
    <w:rsid w:val="0BA0637E"/>
    <w:rsid w:val="0BA7654C"/>
    <w:rsid w:val="0BAF1159"/>
    <w:rsid w:val="0BBD3512"/>
    <w:rsid w:val="0BCA5F92"/>
    <w:rsid w:val="0BD119CD"/>
    <w:rsid w:val="0BF31813"/>
    <w:rsid w:val="0C011728"/>
    <w:rsid w:val="0C01453A"/>
    <w:rsid w:val="0C0D68B7"/>
    <w:rsid w:val="0C340984"/>
    <w:rsid w:val="0C4D1256"/>
    <w:rsid w:val="0C5114EB"/>
    <w:rsid w:val="0C7C6AB0"/>
    <w:rsid w:val="0C9934B5"/>
    <w:rsid w:val="0C9E1BD9"/>
    <w:rsid w:val="0C9E62FB"/>
    <w:rsid w:val="0CB24FC6"/>
    <w:rsid w:val="0CB671FE"/>
    <w:rsid w:val="0CCF7D28"/>
    <w:rsid w:val="0CEB57E3"/>
    <w:rsid w:val="0D40457E"/>
    <w:rsid w:val="0D444D46"/>
    <w:rsid w:val="0D8B3285"/>
    <w:rsid w:val="0D9E1718"/>
    <w:rsid w:val="0DA37263"/>
    <w:rsid w:val="0DAF078D"/>
    <w:rsid w:val="0DB2161D"/>
    <w:rsid w:val="0DBD64BF"/>
    <w:rsid w:val="0E05767A"/>
    <w:rsid w:val="0E133735"/>
    <w:rsid w:val="0E174C3B"/>
    <w:rsid w:val="0E1C5231"/>
    <w:rsid w:val="0E2061EF"/>
    <w:rsid w:val="0E2255F1"/>
    <w:rsid w:val="0E245F7E"/>
    <w:rsid w:val="0E2C69B5"/>
    <w:rsid w:val="0E3D7589"/>
    <w:rsid w:val="0E402BDE"/>
    <w:rsid w:val="0E837247"/>
    <w:rsid w:val="0E8D164C"/>
    <w:rsid w:val="0E8E6C80"/>
    <w:rsid w:val="0E90231E"/>
    <w:rsid w:val="0E9D3178"/>
    <w:rsid w:val="0EB024AB"/>
    <w:rsid w:val="0EB8142E"/>
    <w:rsid w:val="0EBC393D"/>
    <w:rsid w:val="0ED462E4"/>
    <w:rsid w:val="0EE621B3"/>
    <w:rsid w:val="0F026F2F"/>
    <w:rsid w:val="0F047D80"/>
    <w:rsid w:val="0F096BF8"/>
    <w:rsid w:val="0F1F13BD"/>
    <w:rsid w:val="0F247E16"/>
    <w:rsid w:val="0F396C0F"/>
    <w:rsid w:val="0F4668DF"/>
    <w:rsid w:val="0F6615A5"/>
    <w:rsid w:val="0FB479B1"/>
    <w:rsid w:val="0FBF5C13"/>
    <w:rsid w:val="0FD5311C"/>
    <w:rsid w:val="0FD81885"/>
    <w:rsid w:val="0FE11630"/>
    <w:rsid w:val="0FEA248F"/>
    <w:rsid w:val="10122AAE"/>
    <w:rsid w:val="10200D64"/>
    <w:rsid w:val="10282322"/>
    <w:rsid w:val="10361334"/>
    <w:rsid w:val="1053267A"/>
    <w:rsid w:val="10595434"/>
    <w:rsid w:val="10722BEF"/>
    <w:rsid w:val="107E43F9"/>
    <w:rsid w:val="108D1003"/>
    <w:rsid w:val="10B65B69"/>
    <w:rsid w:val="10C02A88"/>
    <w:rsid w:val="10E152D3"/>
    <w:rsid w:val="10EB55C9"/>
    <w:rsid w:val="10EE6697"/>
    <w:rsid w:val="10FE25C3"/>
    <w:rsid w:val="11035E2E"/>
    <w:rsid w:val="11145FD9"/>
    <w:rsid w:val="11226E10"/>
    <w:rsid w:val="112E20A6"/>
    <w:rsid w:val="114610C6"/>
    <w:rsid w:val="11465A17"/>
    <w:rsid w:val="1161116C"/>
    <w:rsid w:val="117D5D2A"/>
    <w:rsid w:val="11A80648"/>
    <w:rsid w:val="11B14820"/>
    <w:rsid w:val="11EE4FF2"/>
    <w:rsid w:val="12001BE9"/>
    <w:rsid w:val="1220726B"/>
    <w:rsid w:val="12440859"/>
    <w:rsid w:val="125E52EB"/>
    <w:rsid w:val="125F65CE"/>
    <w:rsid w:val="127E7E8B"/>
    <w:rsid w:val="12852D73"/>
    <w:rsid w:val="12976149"/>
    <w:rsid w:val="12AC51E6"/>
    <w:rsid w:val="12B4687B"/>
    <w:rsid w:val="12BF619B"/>
    <w:rsid w:val="12C40817"/>
    <w:rsid w:val="12D474A0"/>
    <w:rsid w:val="1304289C"/>
    <w:rsid w:val="130644B3"/>
    <w:rsid w:val="13223D1D"/>
    <w:rsid w:val="13245E4F"/>
    <w:rsid w:val="135A7986"/>
    <w:rsid w:val="135B4E3A"/>
    <w:rsid w:val="136565A8"/>
    <w:rsid w:val="136A461D"/>
    <w:rsid w:val="137F3A93"/>
    <w:rsid w:val="13850E58"/>
    <w:rsid w:val="13AE46A6"/>
    <w:rsid w:val="13C406B9"/>
    <w:rsid w:val="13E80F0C"/>
    <w:rsid w:val="13EB49A8"/>
    <w:rsid w:val="140641A3"/>
    <w:rsid w:val="140A16E8"/>
    <w:rsid w:val="143560CA"/>
    <w:rsid w:val="143602DA"/>
    <w:rsid w:val="14360994"/>
    <w:rsid w:val="14454F30"/>
    <w:rsid w:val="144E18F7"/>
    <w:rsid w:val="144F2C8E"/>
    <w:rsid w:val="146E06B1"/>
    <w:rsid w:val="14767AAB"/>
    <w:rsid w:val="147A76D2"/>
    <w:rsid w:val="1483099F"/>
    <w:rsid w:val="148404D0"/>
    <w:rsid w:val="14857209"/>
    <w:rsid w:val="14864C05"/>
    <w:rsid w:val="149B361E"/>
    <w:rsid w:val="149E4E8D"/>
    <w:rsid w:val="14B85166"/>
    <w:rsid w:val="14C56363"/>
    <w:rsid w:val="14CA77EA"/>
    <w:rsid w:val="14CC229D"/>
    <w:rsid w:val="14CD1891"/>
    <w:rsid w:val="14CE05C9"/>
    <w:rsid w:val="151F3D36"/>
    <w:rsid w:val="15275EDE"/>
    <w:rsid w:val="15413743"/>
    <w:rsid w:val="1544143F"/>
    <w:rsid w:val="155F0CDF"/>
    <w:rsid w:val="15922EEE"/>
    <w:rsid w:val="15A10E74"/>
    <w:rsid w:val="15C80872"/>
    <w:rsid w:val="15CB6CF5"/>
    <w:rsid w:val="15DA41F0"/>
    <w:rsid w:val="15EE039A"/>
    <w:rsid w:val="16021421"/>
    <w:rsid w:val="162E6DFD"/>
    <w:rsid w:val="1637307F"/>
    <w:rsid w:val="164327BE"/>
    <w:rsid w:val="164640F2"/>
    <w:rsid w:val="164D532D"/>
    <w:rsid w:val="16652B20"/>
    <w:rsid w:val="16997F73"/>
    <w:rsid w:val="169D5615"/>
    <w:rsid w:val="16AB26A9"/>
    <w:rsid w:val="16B86E75"/>
    <w:rsid w:val="16F04FBA"/>
    <w:rsid w:val="16FD7933"/>
    <w:rsid w:val="170C50FF"/>
    <w:rsid w:val="17203C5B"/>
    <w:rsid w:val="17295F48"/>
    <w:rsid w:val="17312085"/>
    <w:rsid w:val="17314875"/>
    <w:rsid w:val="176B0783"/>
    <w:rsid w:val="177A2A26"/>
    <w:rsid w:val="177F2A36"/>
    <w:rsid w:val="179870BF"/>
    <w:rsid w:val="1799030D"/>
    <w:rsid w:val="17AB1A02"/>
    <w:rsid w:val="17B11FD7"/>
    <w:rsid w:val="17B47048"/>
    <w:rsid w:val="17B5111C"/>
    <w:rsid w:val="17D33C7B"/>
    <w:rsid w:val="17D47825"/>
    <w:rsid w:val="17DC2BA4"/>
    <w:rsid w:val="17F2556A"/>
    <w:rsid w:val="17F27030"/>
    <w:rsid w:val="184B7E23"/>
    <w:rsid w:val="18627784"/>
    <w:rsid w:val="186C7165"/>
    <w:rsid w:val="187877BC"/>
    <w:rsid w:val="18900955"/>
    <w:rsid w:val="18C56387"/>
    <w:rsid w:val="18CB0422"/>
    <w:rsid w:val="190A0E42"/>
    <w:rsid w:val="1957186A"/>
    <w:rsid w:val="19755554"/>
    <w:rsid w:val="19B706BE"/>
    <w:rsid w:val="19E22FF2"/>
    <w:rsid w:val="19F705CF"/>
    <w:rsid w:val="1A0A31D8"/>
    <w:rsid w:val="1A0B64A9"/>
    <w:rsid w:val="1A0D7494"/>
    <w:rsid w:val="1A31653B"/>
    <w:rsid w:val="1A420CDF"/>
    <w:rsid w:val="1A566AAC"/>
    <w:rsid w:val="1A605508"/>
    <w:rsid w:val="1A63188C"/>
    <w:rsid w:val="1A772738"/>
    <w:rsid w:val="1A8A6376"/>
    <w:rsid w:val="1A981140"/>
    <w:rsid w:val="1AAB24C4"/>
    <w:rsid w:val="1AAC36A1"/>
    <w:rsid w:val="1AC55F68"/>
    <w:rsid w:val="1AD31A4C"/>
    <w:rsid w:val="1AD93A90"/>
    <w:rsid w:val="1AF06A9C"/>
    <w:rsid w:val="1AF833A0"/>
    <w:rsid w:val="1B136CE7"/>
    <w:rsid w:val="1B2F769B"/>
    <w:rsid w:val="1B3608F4"/>
    <w:rsid w:val="1B5D39F6"/>
    <w:rsid w:val="1B7D5571"/>
    <w:rsid w:val="1B8042BD"/>
    <w:rsid w:val="1B8215F9"/>
    <w:rsid w:val="1B9458CF"/>
    <w:rsid w:val="1BB0364E"/>
    <w:rsid w:val="1BC23047"/>
    <w:rsid w:val="1BC535F5"/>
    <w:rsid w:val="1BE96641"/>
    <w:rsid w:val="1C0011BE"/>
    <w:rsid w:val="1C08449B"/>
    <w:rsid w:val="1C124FDB"/>
    <w:rsid w:val="1C192EAD"/>
    <w:rsid w:val="1C1A2E0D"/>
    <w:rsid w:val="1C2D36C6"/>
    <w:rsid w:val="1C2D55D1"/>
    <w:rsid w:val="1C3D79CF"/>
    <w:rsid w:val="1C6D12F7"/>
    <w:rsid w:val="1C6E43FC"/>
    <w:rsid w:val="1C8717F6"/>
    <w:rsid w:val="1C8D29B6"/>
    <w:rsid w:val="1C9311A3"/>
    <w:rsid w:val="1C98484E"/>
    <w:rsid w:val="1CB3572F"/>
    <w:rsid w:val="1CC808B7"/>
    <w:rsid w:val="1CD367E0"/>
    <w:rsid w:val="1CF434A4"/>
    <w:rsid w:val="1D381879"/>
    <w:rsid w:val="1D555BB0"/>
    <w:rsid w:val="1D655D2D"/>
    <w:rsid w:val="1D745246"/>
    <w:rsid w:val="1D9D384A"/>
    <w:rsid w:val="1DAF3CE7"/>
    <w:rsid w:val="1DBE61CE"/>
    <w:rsid w:val="1DCC3463"/>
    <w:rsid w:val="1DD14948"/>
    <w:rsid w:val="1DDA2A9B"/>
    <w:rsid w:val="1DEC4B78"/>
    <w:rsid w:val="1E085BF5"/>
    <w:rsid w:val="1E2A443E"/>
    <w:rsid w:val="1E3C7A21"/>
    <w:rsid w:val="1E5063C0"/>
    <w:rsid w:val="1E7A7F83"/>
    <w:rsid w:val="1E7C4E8D"/>
    <w:rsid w:val="1E8D0959"/>
    <w:rsid w:val="1E8E57CD"/>
    <w:rsid w:val="1EAE16AE"/>
    <w:rsid w:val="1EB618B9"/>
    <w:rsid w:val="1EC05F6F"/>
    <w:rsid w:val="1EC0775A"/>
    <w:rsid w:val="1EDF39EE"/>
    <w:rsid w:val="1EE460F3"/>
    <w:rsid w:val="1EE9427E"/>
    <w:rsid w:val="1EEF6104"/>
    <w:rsid w:val="1EF86DA4"/>
    <w:rsid w:val="1F12346C"/>
    <w:rsid w:val="1F145870"/>
    <w:rsid w:val="1F1B6419"/>
    <w:rsid w:val="1F2F4BF1"/>
    <w:rsid w:val="1F380B8E"/>
    <w:rsid w:val="1F5865C5"/>
    <w:rsid w:val="1F5D4459"/>
    <w:rsid w:val="1F683F25"/>
    <w:rsid w:val="1F6A12A7"/>
    <w:rsid w:val="1F6B0EC8"/>
    <w:rsid w:val="1F741D38"/>
    <w:rsid w:val="1F7B6D3A"/>
    <w:rsid w:val="1F8631CE"/>
    <w:rsid w:val="1F8D7A71"/>
    <w:rsid w:val="1F90263E"/>
    <w:rsid w:val="1FC34640"/>
    <w:rsid w:val="1FD75A17"/>
    <w:rsid w:val="1FE15823"/>
    <w:rsid w:val="20136B0F"/>
    <w:rsid w:val="20226963"/>
    <w:rsid w:val="203A6908"/>
    <w:rsid w:val="203E3748"/>
    <w:rsid w:val="203E70BC"/>
    <w:rsid w:val="204E0864"/>
    <w:rsid w:val="20593A74"/>
    <w:rsid w:val="205E736C"/>
    <w:rsid w:val="20751499"/>
    <w:rsid w:val="207C70DE"/>
    <w:rsid w:val="20FF193A"/>
    <w:rsid w:val="21064CA1"/>
    <w:rsid w:val="210D5A37"/>
    <w:rsid w:val="211814F3"/>
    <w:rsid w:val="2124424B"/>
    <w:rsid w:val="2129178D"/>
    <w:rsid w:val="21317C3A"/>
    <w:rsid w:val="21507358"/>
    <w:rsid w:val="2151401B"/>
    <w:rsid w:val="215F46CD"/>
    <w:rsid w:val="21766C85"/>
    <w:rsid w:val="217F2AC9"/>
    <w:rsid w:val="2186518C"/>
    <w:rsid w:val="21A61A33"/>
    <w:rsid w:val="21C405E5"/>
    <w:rsid w:val="21D90548"/>
    <w:rsid w:val="220010B2"/>
    <w:rsid w:val="22013D2E"/>
    <w:rsid w:val="22044770"/>
    <w:rsid w:val="22122E02"/>
    <w:rsid w:val="22125141"/>
    <w:rsid w:val="222D36A8"/>
    <w:rsid w:val="223139DF"/>
    <w:rsid w:val="22315EBA"/>
    <w:rsid w:val="223F1C31"/>
    <w:rsid w:val="22415974"/>
    <w:rsid w:val="22485C42"/>
    <w:rsid w:val="2252773A"/>
    <w:rsid w:val="22763E27"/>
    <w:rsid w:val="229A2A8F"/>
    <w:rsid w:val="22A31932"/>
    <w:rsid w:val="22A722CA"/>
    <w:rsid w:val="22AA0C28"/>
    <w:rsid w:val="22B859D1"/>
    <w:rsid w:val="22C0088D"/>
    <w:rsid w:val="22E1702D"/>
    <w:rsid w:val="22E46E7B"/>
    <w:rsid w:val="23081B8B"/>
    <w:rsid w:val="23250946"/>
    <w:rsid w:val="23275B29"/>
    <w:rsid w:val="233E4127"/>
    <w:rsid w:val="234102F9"/>
    <w:rsid w:val="236A3FD1"/>
    <w:rsid w:val="236C72D0"/>
    <w:rsid w:val="2376467A"/>
    <w:rsid w:val="237C5B34"/>
    <w:rsid w:val="23834D5F"/>
    <w:rsid w:val="23A05904"/>
    <w:rsid w:val="23A37CAD"/>
    <w:rsid w:val="23AE66F7"/>
    <w:rsid w:val="23AE70C0"/>
    <w:rsid w:val="23B95D8E"/>
    <w:rsid w:val="23D22575"/>
    <w:rsid w:val="23DB6272"/>
    <w:rsid w:val="23E37747"/>
    <w:rsid w:val="23F141C2"/>
    <w:rsid w:val="23F438DD"/>
    <w:rsid w:val="23F66A4B"/>
    <w:rsid w:val="23FF3684"/>
    <w:rsid w:val="24095DB1"/>
    <w:rsid w:val="243162BE"/>
    <w:rsid w:val="2434041C"/>
    <w:rsid w:val="243A0C7B"/>
    <w:rsid w:val="244E0177"/>
    <w:rsid w:val="24616BBD"/>
    <w:rsid w:val="24A90979"/>
    <w:rsid w:val="24C83D38"/>
    <w:rsid w:val="24CC1B03"/>
    <w:rsid w:val="25131B45"/>
    <w:rsid w:val="25190615"/>
    <w:rsid w:val="252470B2"/>
    <w:rsid w:val="252E6330"/>
    <w:rsid w:val="253766E3"/>
    <w:rsid w:val="254919FD"/>
    <w:rsid w:val="254E7B98"/>
    <w:rsid w:val="255E3046"/>
    <w:rsid w:val="25620B4E"/>
    <w:rsid w:val="256810BB"/>
    <w:rsid w:val="25723DC6"/>
    <w:rsid w:val="258D133E"/>
    <w:rsid w:val="2594718E"/>
    <w:rsid w:val="25AF720C"/>
    <w:rsid w:val="25B125E8"/>
    <w:rsid w:val="25B51989"/>
    <w:rsid w:val="25C11975"/>
    <w:rsid w:val="25C2768C"/>
    <w:rsid w:val="25CE2D0C"/>
    <w:rsid w:val="25CF654A"/>
    <w:rsid w:val="25DC3898"/>
    <w:rsid w:val="25E252B5"/>
    <w:rsid w:val="25F26EDC"/>
    <w:rsid w:val="260A6D95"/>
    <w:rsid w:val="261B4424"/>
    <w:rsid w:val="26220C7C"/>
    <w:rsid w:val="262E6E4B"/>
    <w:rsid w:val="264E3E95"/>
    <w:rsid w:val="26605DF8"/>
    <w:rsid w:val="26606E33"/>
    <w:rsid w:val="266B769F"/>
    <w:rsid w:val="266F2583"/>
    <w:rsid w:val="26BB08F9"/>
    <w:rsid w:val="26EB300A"/>
    <w:rsid w:val="26EE6EA2"/>
    <w:rsid w:val="26F472A9"/>
    <w:rsid w:val="26FE0C5A"/>
    <w:rsid w:val="2729230E"/>
    <w:rsid w:val="273504A8"/>
    <w:rsid w:val="273F1DC0"/>
    <w:rsid w:val="27460787"/>
    <w:rsid w:val="2754129F"/>
    <w:rsid w:val="27610471"/>
    <w:rsid w:val="279216C5"/>
    <w:rsid w:val="279647C5"/>
    <w:rsid w:val="27C77EA0"/>
    <w:rsid w:val="27D71847"/>
    <w:rsid w:val="27D96E9D"/>
    <w:rsid w:val="27DE3569"/>
    <w:rsid w:val="27E27542"/>
    <w:rsid w:val="27F549F5"/>
    <w:rsid w:val="28062448"/>
    <w:rsid w:val="28163A68"/>
    <w:rsid w:val="28260757"/>
    <w:rsid w:val="282A422C"/>
    <w:rsid w:val="28586999"/>
    <w:rsid w:val="285F46AE"/>
    <w:rsid w:val="28781DFF"/>
    <w:rsid w:val="28AA46A8"/>
    <w:rsid w:val="28CE7F8C"/>
    <w:rsid w:val="28F06A59"/>
    <w:rsid w:val="28F44133"/>
    <w:rsid w:val="292A0CE1"/>
    <w:rsid w:val="29395B25"/>
    <w:rsid w:val="294249CF"/>
    <w:rsid w:val="295B422E"/>
    <w:rsid w:val="295C6319"/>
    <w:rsid w:val="296C52B8"/>
    <w:rsid w:val="2973754C"/>
    <w:rsid w:val="29B5428D"/>
    <w:rsid w:val="29B83C56"/>
    <w:rsid w:val="29C2149E"/>
    <w:rsid w:val="29D5474B"/>
    <w:rsid w:val="29DC1A5C"/>
    <w:rsid w:val="29FF1D9B"/>
    <w:rsid w:val="2A1B4874"/>
    <w:rsid w:val="2A1B79CB"/>
    <w:rsid w:val="2A20599C"/>
    <w:rsid w:val="2A3A74B3"/>
    <w:rsid w:val="2A6D48CD"/>
    <w:rsid w:val="2A7D158D"/>
    <w:rsid w:val="2A8518E1"/>
    <w:rsid w:val="2AD50D2C"/>
    <w:rsid w:val="2AE134CE"/>
    <w:rsid w:val="2AFF3F54"/>
    <w:rsid w:val="2B0C2803"/>
    <w:rsid w:val="2B0E7475"/>
    <w:rsid w:val="2B1718FD"/>
    <w:rsid w:val="2B415A9D"/>
    <w:rsid w:val="2B467E45"/>
    <w:rsid w:val="2B6B1424"/>
    <w:rsid w:val="2B702AD8"/>
    <w:rsid w:val="2B8F4C5C"/>
    <w:rsid w:val="2BAE7D6C"/>
    <w:rsid w:val="2BC42B99"/>
    <w:rsid w:val="2BCC2AC0"/>
    <w:rsid w:val="2BCD5B7E"/>
    <w:rsid w:val="2BE1592E"/>
    <w:rsid w:val="2C04368C"/>
    <w:rsid w:val="2C047D5A"/>
    <w:rsid w:val="2C171956"/>
    <w:rsid w:val="2C5529F3"/>
    <w:rsid w:val="2C9D7B06"/>
    <w:rsid w:val="2CBD0A21"/>
    <w:rsid w:val="2CC82496"/>
    <w:rsid w:val="2CD461D8"/>
    <w:rsid w:val="2CD87A70"/>
    <w:rsid w:val="2D117CFD"/>
    <w:rsid w:val="2D5E128C"/>
    <w:rsid w:val="2D6562BE"/>
    <w:rsid w:val="2D895343"/>
    <w:rsid w:val="2D923DC1"/>
    <w:rsid w:val="2DAD524F"/>
    <w:rsid w:val="2DB16238"/>
    <w:rsid w:val="2DC12AE6"/>
    <w:rsid w:val="2DE05183"/>
    <w:rsid w:val="2DEB4343"/>
    <w:rsid w:val="2DF6028D"/>
    <w:rsid w:val="2DF77885"/>
    <w:rsid w:val="2DFA6EDF"/>
    <w:rsid w:val="2E0A74A4"/>
    <w:rsid w:val="2E0F0AAD"/>
    <w:rsid w:val="2E2C5700"/>
    <w:rsid w:val="2E3165D9"/>
    <w:rsid w:val="2E3203B1"/>
    <w:rsid w:val="2E690A2F"/>
    <w:rsid w:val="2E6B6D11"/>
    <w:rsid w:val="2E8A733B"/>
    <w:rsid w:val="2EAD6CA6"/>
    <w:rsid w:val="2EB662B6"/>
    <w:rsid w:val="2EC40968"/>
    <w:rsid w:val="2EC56471"/>
    <w:rsid w:val="2ECD50F9"/>
    <w:rsid w:val="2EED43E4"/>
    <w:rsid w:val="2EFC7BA9"/>
    <w:rsid w:val="2F0852E8"/>
    <w:rsid w:val="2F3A51FF"/>
    <w:rsid w:val="2F4D073E"/>
    <w:rsid w:val="2F931B96"/>
    <w:rsid w:val="2F986487"/>
    <w:rsid w:val="2FA606FF"/>
    <w:rsid w:val="2FA9199A"/>
    <w:rsid w:val="2FB31916"/>
    <w:rsid w:val="2FB71284"/>
    <w:rsid w:val="2FBA1C84"/>
    <w:rsid w:val="2FC06245"/>
    <w:rsid w:val="2FC661DC"/>
    <w:rsid w:val="2FD14257"/>
    <w:rsid w:val="2FD17E26"/>
    <w:rsid w:val="2FDA194E"/>
    <w:rsid w:val="2FE14CD7"/>
    <w:rsid w:val="2FF04C73"/>
    <w:rsid w:val="30041D60"/>
    <w:rsid w:val="300B4353"/>
    <w:rsid w:val="302E241A"/>
    <w:rsid w:val="303261DB"/>
    <w:rsid w:val="305C0679"/>
    <w:rsid w:val="307C09A6"/>
    <w:rsid w:val="307D0160"/>
    <w:rsid w:val="3085161F"/>
    <w:rsid w:val="30960141"/>
    <w:rsid w:val="30C66E3E"/>
    <w:rsid w:val="30EC0749"/>
    <w:rsid w:val="30F01519"/>
    <w:rsid w:val="310C3B6A"/>
    <w:rsid w:val="312573D4"/>
    <w:rsid w:val="31261E21"/>
    <w:rsid w:val="314D41F7"/>
    <w:rsid w:val="31533EA7"/>
    <w:rsid w:val="316B7829"/>
    <w:rsid w:val="318F0BDC"/>
    <w:rsid w:val="319D304D"/>
    <w:rsid w:val="31A80B8F"/>
    <w:rsid w:val="31B1631B"/>
    <w:rsid w:val="31B858BF"/>
    <w:rsid w:val="31C728F2"/>
    <w:rsid w:val="31CD01C9"/>
    <w:rsid w:val="31D2228B"/>
    <w:rsid w:val="31EF6A5C"/>
    <w:rsid w:val="31F265F3"/>
    <w:rsid w:val="31FB18E6"/>
    <w:rsid w:val="320211F5"/>
    <w:rsid w:val="320901DD"/>
    <w:rsid w:val="320A2541"/>
    <w:rsid w:val="320A2C2A"/>
    <w:rsid w:val="322E384A"/>
    <w:rsid w:val="3240675D"/>
    <w:rsid w:val="32436EA5"/>
    <w:rsid w:val="324B7FF2"/>
    <w:rsid w:val="32520EB0"/>
    <w:rsid w:val="325A01E0"/>
    <w:rsid w:val="326007D1"/>
    <w:rsid w:val="32810F47"/>
    <w:rsid w:val="328A1E00"/>
    <w:rsid w:val="328C1A3B"/>
    <w:rsid w:val="32934B61"/>
    <w:rsid w:val="329D04B4"/>
    <w:rsid w:val="32B64D14"/>
    <w:rsid w:val="32B8676B"/>
    <w:rsid w:val="32C22D13"/>
    <w:rsid w:val="32CA41CD"/>
    <w:rsid w:val="32D85D87"/>
    <w:rsid w:val="32DB6C17"/>
    <w:rsid w:val="32DF4D23"/>
    <w:rsid w:val="32E954E6"/>
    <w:rsid w:val="332D3C73"/>
    <w:rsid w:val="333744E1"/>
    <w:rsid w:val="33527590"/>
    <w:rsid w:val="33771BB3"/>
    <w:rsid w:val="337E1611"/>
    <w:rsid w:val="337F494C"/>
    <w:rsid w:val="338F548A"/>
    <w:rsid w:val="33BD1E6D"/>
    <w:rsid w:val="33C9777D"/>
    <w:rsid w:val="34105F20"/>
    <w:rsid w:val="342C223A"/>
    <w:rsid w:val="34311085"/>
    <w:rsid w:val="3434266F"/>
    <w:rsid w:val="345B7852"/>
    <w:rsid w:val="3461080B"/>
    <w:rsid w:val="34890522"/>
    <w:rsid w:val="348E3DBF"/>
    <w:rsid w:val="348F7349"/>
    <w:rsid w:val="34A06D7B"/>
    <w:rsid w:val="34AA10F6"/>
    <w:rsid w:val="34B25BE6"/>
    <w:rsid w:val="34C65E1B"/>
    <w:rsid w:val="34E1586E"/>
    <w:rsid w:val="351E01FE"/>
    <w:rsid w:val="352E6E6B"/>
    <w:rsid w:val="35344DCF"/>
    <w:rsid w:val="3537059B"/>
    <w:rsid w:val="35371982"/>
    <w:rsid w:val="35455386"/>
    <w:rsid w:val="35650461"/>
    <w:rsid w:val="356A07D4"/>
    <w:rsid w:val="356B737A"/>
    <w:rsid w:val="3585489F"/>
    <w:rsid w:val="358647AE"/>
    <w:rsid w:val="359E56BA"/>
    <w:rsid w:val="35AA62C8"/>
    <w:rsid w:val="35B07E80"/>
    <w:rsid w:val="35B213D8"/>
    <w:rsid w:val="35D01972"/>
    <w:rsid w:val="35DF0FB7"/>
    <w:rsid w:val="35E93A58"/>
    <w:rsid w:val="35ED2B2C"/>
    <w:rsid w:val="35FB2970"/>
    <w:rsid w:val="361E073F"/>
    <w:rsid w:val="36241840"/>
    <w:rsid w:val="366B3635"/>
    <w:rsid w:val="36721E74"/>
    <w:rsid w:val="367C0B7D"/>
    <w:rsid w:val="368E77E9"/>
    <w:rsid w:val="36961A3D"/>
    <w:rsid w:val="369E248C"/>
    <w:rsid w:val="36AA257B"/>
    <w:rsid w:val="36AF317A"/>
    <w:rsid w:val="36AF55D0"/>
    <w:rsid w:val="36D22FE4"/>
    <w:rsid w:val="36DB5ADE"/>
    <w:rsid w:val="36F43BAC"/>
    <w:rsid w:val="370A4C8B"/>
    <w:rsid w:val="3729606A"/>
    <w:rsid w:val="37296EB8"/>
    <w:rsid w:val="37301E82"/>
    <w:rsid w:val="373971E6"/>
    <w:rsid w:val="376F3E63"/>
    <w:rsid w:val="377249CC"/>
    <w:rsid w:val="378F118C"/>
    <w:rsid w:val="379430FD"/>
    <w:rsid w:val="379907A6"/>
    <w:rsid w:val="379A635F"/>
    <w:rsid w:val="37A4301F"/>
    <w:rsid w:val="37AC62D0"/>
    <w:rsid w:val="37C80F8E"/>
    <w:rsid w:val="37D93725"/>
    <w:rsid w:val="37E26DF3"/>
    <w:rsid w:val="37F773C6"/>
    <w:rsid w:val="381923E5"/>
    <w:rsid w:val="381C3294"/>
    <w:rsid w:val="382635B9"/>
    <w:rsid w:val="3870391E"/>
    <w:rsid w:val="387C16D2"/>
    <w:rsid w:val="388129BA"/>
    <w:rsid w:val="38874C32"/>
    <w:rsid w:val="3888365F"/>
    <w:rsid w:val="38BA57DA"/>
    <w:rsid w:val="38C5624A"/>
    <w:rsid w:val="39261397"/>
    <w:rsid w:val="39495D99"/>
    <w:rsid w:val="397E60CE"/>
    <w:rsid w:val="399311E4"/>
    <w:rsid w:val="39977EAF"/>
    <w:rsid w:val="39A211DC"/>
    <w:rsid w:val="39AB3504"/>
    <w:rsid w:val="39BA4D30"/>
    <w:rsid w:val="39C05B63"/>
    <w:rsid w:val="39C11CE3"/>
    <w:rsid w:val="39C47912"/>
    <w:rsid w:val="39FD011A"/>
    <w:rsid w:val="39FE2333"/>
    <w:rsid w:val="3A10527B"/>
    <w:rsid w:val="3A336C99"/>
    <w:rsid w:val="3A360C7C"/>
    <w:rsid w:val="3A6F7AC5"/>
    <w:rsid w:val="3A873717"/>
    <w:rsid w:val="3A8D22A6"/>
    <w:rsid w:val="3A960009"/>
    <w:rsid w:val="3A9631C6"/>
    <w:rsid w:val="3A9C2702"/>
    <w:rsid w:val="3AAD0773"/>
    <w:rsid w:val="3AB676AE"/>
    <w:rsid w:val="3AB877D1"/>
    <w:rsid w:val="3AC20404"/>
    <w:rsid w:val="3B117765"/>
    <w:rsid w:val="3B2D242F"/>
    <w:rsid w:val="3B320725"/>
    <w:rsid w:val="3B397D7B"/>
    <w:rsid w:val="3B4D3A1D"/>
    <w:rsid w:val="3B624AD7"/>
    <w:rsid w:val="3B6B0D64"/>
    <w:rsid w:val="3B7802D0"/>
    <w:rsid w:val="3B9F5739"/>
    <w:rsid w:val="3BA83592"/>
    <w:rsid w:val="3BAD49AE"/>
    <w:rsid w:val="3BB609A2"/>
    <w:rsid w:val="3BC66F61"/>
    <w:rsid w:val="3BCC7E39"/>
    <w:rsid w:val="3BD55FF8"/>
    <w:rsid w:val="3BE23439"/>
    <w:rsid w:val="3C0F6B83"/>
    <w:rsid w:val="3C2001DB"/>
    <w:rsid w:val="3C261AB5"/>
    <w:rsid w:val="3C370717"/>
    <w:rsid w:val="3C3E1B1F"/>
    <w:rsid w:val="3C4468B5"/>
    <w:rsid w:val="3C466F80"/>
    <w:rsid w:val="3C4871E9"/>
    <w:rsid w:val="3C491715"/>
    <w:rsid w:val="3C5509A3"/>
    <w:rsid w:val="3C5B0F1B"/>
    <w:rsid w:val="3C5E6615"/>
    <w:rsid w:val="3C630E42"/>
    <w:rsid w:val="3C6460D2"/>
    <w:rsid w:val="3C690CC6"/>
    <w:rsid w:val="3C6D2FBF"/>
    <w:rsid w:val="3C7875E3"/>
    <w:rsid w:val="3C7E7BCD"/>
    <w:rsid w:val="3C8A654E"/>
    <w:rsid w:val="3C9722FA"/>
    <w:rsid w:val="3C9D2ED9"/>
    <w:rsid w:val="3CBE31E4"/>
    <w:rsid w:val="3D293DD4"/>
    <w:rsid w:val="3D3167F3"/>
    <w:rsid w:val="3D363818"/>
    <w:rsid w:val="3D3E6D96"/>
    <w:rsid w:val="3D415BA5"/>
    <w:rsid w:val="3D4E0EBA"/>
    <w:rsid w:val="3D5F0D66"/>
    <w:rsid w:val="3D790C3F"/>
    <w:rsid w:val="3D8E0012"/>
    <w:rsid w:val="3D944CF4"/>
    <w:rsid w:val="3D9B7725"/>
    <w:rsid w:val="3DBF4B74"/>
    <w:rsid w:val="3DC02A91"/>
    <w:rsid w:val="3DC101E8"/>
    <w:rsid w:val="3DEA46D5"/>
    <w:rsid w:val="3DF13F1C"/>
    <w:rsid w:val="3DF20106"/>
    <w:rsid w:val="3E0403C0"/>
    <w:rsid w:val="3E155022"/>
    <w:rsid w:val="3E2E233A"/>
    <w:rsid w:val="3E3E530B"/>
    <w:rsid w:val="3E574112"/>
    <w:rsid w:val="3E770242"/>
    <w:rsid w:val="3E801400"/>
    <w:rsid w:val="3E8A767A"/>
    <w:rsid w:val="3E955635"/>
    <w:rsid w:val="3E977E85"/>
    <w:rsid w:val="3E9E4925"/>
    <w:rsid w:val="3EFC776F"/>
    <w:rsid w:val="3F420D51"/>
    <w:rsid w:val="3F431188"/>
    <w:rsid w:val="3F643952"/>
    <w:rsid w:val="3F6D472F"/>
    <w:rsid w:val="3F744EBC"/>
    <w:rsid w:val="3F7649C6"/>
    <w:rsid w:val="3F7E204D"/>
    <w:rsid w:val="3F841709"/>
    <w:rsid w:val="3F9C5609"/>
    <w:rsid w:val="3FAE225D"/>
    <w:rsid w:val="3FD665A3"/>
    <w:rsid w:val="3FD82B5A"/>
    <w:rsid w:val="3FE31272"/>
    <w:rsid w:val="3FE42023"/>
    <w:rsid w:val="40003BD7"/>
    <w:rsid w:val="40006F5E"/>
    <w:rsid w:val="4009091C"/>
    <w:rsid w:val="4017610A"/>
    <w:rsid w:val="40350836"/>
    <w:rsid w:val="40410061"/>
    <w:rsid w:val="40424AC1"/>
    <w:rsid w:val="405F61DB"/>
    <w:rsid w:val="408641E4"/>
    <w:rsid w:val="40865093"/>
    <w:rsid w:val="40947803"/>
    <w:rsid w:val="40A13EFB"/>
    <w:rsid w:val="40A77F32"/>
    <w:rsid w:val="40B45979"/>
    <w:rsid w:val="40CA5658"/>
    <w:rsid w:val="40D313FA"/>
    <w:rsid w:val="40DE4A1C"/>
    <w:rsid w:val="40E06609"/>
    <w:rsid w:val="40EB04F9"/>
    <w:rsid w:val="410B4CE3"/>
    <w:rsid w:val="411241E4"/>
    <w:rsid w:val="41183291"/>
    <w:rsid w:val="41486EBE"/>
    <w:rsid w:val="41734251"/>
    <w:rsid w:val="417B3060"/>
    <w:rsid w:val="41815447"/>
    <w:rsid w:val="4189427E"/>
    <w:rsid w:val="418A539A"/>
    <w:rsid w:val="418E13EF"/>
    <w:rsid w:val="41A07C34"/>
    <w:rsid w:val="41B53960"/>
    <w:rsid w:val="41B55069"/>
    <w:rsid w:val="41C90D50"/>
    <w:rsid w:val="41CF5D2F"/>
    <w:rsid w:val="41DA336E"/>
    <w:rsid w:val="41E52FB1"/>
    <w:rsid w:val="41E76A28"/>
    <w:rsid w:val="41E92C99"/>
    <w:rsid w:val="421B389D"/>
    <w:rsid w:val="422451C8"/>
    <w:rsid w:val="423B22D1"/>
    <w:rsid w:val="426454D7"/>
    <w:rsid w:val="427D7596"/>
    <w:rsid w:val="42811A27"/>
    <w:rsid w:val="42961197"/>
    <w:rsid w:val="42A6354C"/>
    <w:rsid w:val="42B779CA"/>
    <w:rsid w:val="42C56AE1"/>
    <w:rsid w:val="42CE0786"/>
    <w:rsid w:val="42D22633"/>
    <w:rsid w:val="42D65AB3"/>
    <w:rsid w:val="42E920CF"/>
    <w:rsid w:val="42F83571"/>
    <w:rsid w:val="43045DB7"/>
    <w:rsid w:val="43162C40"/>
    <w:rsid w:val="43327D5C"/>
    <w:rsid w:val="433D5661"/>
    <w:rsid w:val="43494B76"/>
    <w:rsid w:val="434D7524"/>
    <w:rsid w:val="436C06A6"/>
    <w:rsid w:val="43770B96"/>
    <w:rsid w:val="437E1E2F"/>
    <w:rsid w:val="43A715E2"/>
    <w:rsid w:val="43B00B42"/>
    <w:rsid w:val="43B03EB1"/>
    <w:rsid w:val="43B17578"/>
    <w:rsid w:val="43C010DA"/>
    <w:rsid w:val="43D60D1B"/>
    <w:rsid w:val="43E16ACE"/>
    <w:rsid w:val="43EE7A3C"/>
    <w:rsid w:val="43F80CCC"/>
    <w:rsid w:val="440608E7"/>
    <w:rsid w:val="44394CA0"/>
    <w:rsid w:val="44586369"/>
    <w:rsid w:val="44744954"/>
    <w:rsid w:val="44800C16"/>
    <w:rsid w:val="44A07C36"/>
    <w:rsid w:val="44B23219"/>
    <w:rsid w:val="44D044C0"/>
    <w:rsid w:val="44D050AC"/>
    <w:rsid w:val="44F37031"/>
    <w:rsid w:val="44F97CDE"/>
    <w:rsid w:val="44FF6CF8"/>
    <w:rsid w:val="451C3E8F"/>
    <w:rsid w:val="452B4FDD"/>
    <w:rsid w:val="452E5FDE"/>
    <w:rsid w:val="453714B3"/>
    <w:rsid w:val="4546260A"/>
    <w:rsid w:val="454E777F"/>
    <w:rsid w:val="45600F70"/>
    <w:rsid w:val="456135DD"/>
    <w:rsid w:val="45667375"/>
    <w:rsid w:val="456E34D0"/>
    <w:rsid w:val="45787DA5"/>
    <w:rsid w:val="45791715"/>
    <w:rsid w:val="45A92121"/>
    <w:rsid w:val="45B16ED9"/>
    <w:rsid w:val="45CA7004"/>
    <w:rsid w:val="45D05760"/>
    <w:rsid w:val="45E53C2D"/>
    <w:rsid w:val="45EA16CE"/>
    <w:rsid w:val="45EB19DB"/>
    <w:rsid w:val="45F32936"/>
    <w:rsid w:val="45FD1A76"/>
    <w:rsid w:val="46063582"/>
    <w:rsid w:val="461E0458"/>
    <w:rsid w:val="464727B9"/>
    <w:rsid w:val="465D42CC"/>
    <w:rsid w:val="4662720D"/>
    <w:rsid w:val="46677FED"/>
    <w:rsid w:val="467E2DFD"/>
    <w:rsid w:val="468907E3"/>
    <w:rsid w:val="46990F0D"/>
    <w:rsid w:val="46D02D1B"/>
    <w:rsid w:val="46D22EEE"/>
    <w:rsid w:val="46D85245"/>
    <w:rsid w:val="46DA0905"/>
    <w:rsid w:val="46E6067F"/>
    <w:rsid w:val="46EC5A1E"/>
    <w:rsid w:val="47166E06"/>
    <w:rsid w:val="47241BF1"/>
    <w:rsid w:val="473048FA"/>
    <w:rsid w:val="47732A4F"/>
    <w:rsid w:val="477B0FAE"/>
    <w:rsid w:val="47953DCD"/>
    <w:rsid w:val="47BF249E"/>
    <w:rsid w:val="47D747CC"/>
    <w:rsid w:val="47D97D30"/>
    <w:rsid w:val="47EA2329"/>
    <w:rsid w:val="480A5D17"/>
    <w:rsid w:val="483E654F"/>
    <w:rsid w:val="483F48EF"/>
    <w:rsid w:val="484D4AC7"/>
    <w:rsid w:val="485C2B86"/>
    <w:rsid w:val="48633745"/>
    <w:rsid w:val="486E6B54"/>
    <w:rsid w:val="4872429F"/>
    <w:rsid w:val="48851FAD"/>
    <w:rsid w:val="48872366"/>
    <w:rsid w:val="48964250"/>
    <w:rsid w:val="489807E4"/>
    <w:rsid w:val="48A40FBC"/>
    <w:rsid w:val="48AC1B39"/>
    <w:rsid w:val="48BC45C2"/>
    <w:rsid w:val="48D13DCE"/>
    <w:rsid w:val="49054DF7"/>
    <w:rsid w:val="49066F67"/>
    <w:rsid w:val="49100386"/>
    <w:rsid w:val="49483FE1"/>
    <w:rsid w:val="494C3BA8"/>
    <w:rsid w:val="49661953"/>
    <w:rsid w:val="49934B11"/>
    <w:rsid w:val="49983BEF"/>
    <w:rsid w:val="49B27460"/>
    <w:rsid w:val="49CA06DB"/>
    <w:rsid w:val="49F64783"/>
    <w:rsid w:val="49F814AD"/>
    <w:rsid w:val="4A0A0677"/>
    <w:rsid w:val="4A0A1227"/>
    <w:rsid w:val="4A2113F8"/>
    <w:rsid w:val="4A292F77"/>
    <w:rsid w:val="4A2E53C5"/>
    <w:rsid w:val="4A4B4E6C"/>
    <w:rsid w:val="4A55012A"/>
    <w:rsid w:val="4A797FDB"/>
    <w:rsid w:val="4AE242BC"/>
    <w:rsid w:val="4AF03F48"/>
    <w:rsid w:val="4AF533E2"/>
    <w:rsid w:val="4B0160AE"/>
    <w:rsid w:val="4B04184C"/>
    <w:rsid w:val="4B1018B0"/>
    <w:rsid w:val="4B4B1E08"/>
    <w:rsid w:val="4B555B0D"/>
    <w:rsid w:val="4B696477"/>
    <w:rsid w:val="4B6F0F45"/>
    <w:rsid w:val="4B8C2AF8"/>
    <w:rsid w:val="4B9D61DC"/>
    <w:rsid w:val="4BB728B4"/>
    <w:rsid w:val="4BCB4C63"/>
    <w:rsid w:val="4BDD0AB9"/>
    <w:rsid w:val="4BED5F80"/>
    <w:rsid w:val="4C056A6E"/>
    <w:rsid w:val="4C0F2599"/>
    <w:rsid w:val="4C2D2471"/>
    <w:rsid w:val="4C4B6EE9"/>
    <w:rsid w:val="4C764A49"/>
    <w:rsid w:val="4C80347A"/>
    <w:rsid w:val="4C906144"/>
    <w:rsid w:val="4C996965"/>
    <w:rsid w:val="4CCC49E5"/>
    <w:rsid w:val="4CD1582C"/>
    <w:rsid w:val="4CDC0D9A"/>
    <w:rsid w:val="4CF67CF9"/>
    <w:rsid w:val="4D0C336B"/>
    <w:rsid w:val="4D1376D4"/>
    <w:rsid w:val="4D18444C"/>
    <w:rsid w:val="4D190E36"/>
    <w:rsid w:val="4D3346F4"/>
    <w:rsid w:val="4D3D2E8C"/>
    <w:rsid w:val="4D422BF2"/>
    <w:rsid w:val="4D444053"/>
    <w:rsid w:val="4D493942"/>
    <w:rsid w:val="4D49496A"/>
    <w:rsid w:val="4D636440"/>
    <w:rsid w:val="4D645DC9"/>
    <w:rsid w:val="4D7A25BB"/>
    <w:rsid w:val="4D9F0A87"/>
    <w:rsid w:val="4DA36C6A"/>
    <w:rsid w:val="4DA72428"/>
    <w:rsid w:val="4DC4702B"/>
    <w:rsid w:val="4DCF6991"/>
    <w:rsid w:val="4DE252E9"/>
    <w:rsid w:val="4E2056FC"/>
    <w:rsid w:val="4E2B3E36"/>
    <w:rsid w:val="4E3C7075"/>
    <w:rsid w:val="4E4B2E6B"/>
    <w:rsid w:val="4E545779"/>
    <w:rsid w:val="4E547246"/>
    <w:rsid w:val="4E723F26"/>
    <w:rsid w:val="4E9537A7"/>
    <w:rsid w:val="4E9F2A76"/>
    <w:rsid w:val="4EAA102B"/>
    <w:rsid w:val="4ECB5752"/>
    <w:rsid w:val="4EE13B5C"/>
    <w:rsid w:val="4EE37B00"/>
    <w:rsid w:val="4EFB6255"/>
    <w:rsid w:val="4F020C70"/>
    <w:rsid w:val="4F3E64BB"/>
    <w:rsid w:val="4F47234B"/>
    <w:rsid w:val="4F4A1847"/>
    <w:rsid w:val="4F4F580A"/>
    <w:rsid w:val="4F6644EB"/>
    <w:rsid w:val="4F741B49"/>
    <w:rsid w:val="4F9E5B7F"/>
    <w:rsid w:val="4FC27814"/>
    <w:rsid w:val="4FCA4651"/>
    <w:rsid w:val="4FCB3060"/>
    <w:rsid w:val="4FCD5C42"/>
    <w:rsid w:val="4FDA2A2E"/>
    <w:rsid w:val="4FED2A6F"/>
    <w:rsid w:val="500C7385"/>
    <w:rsid w:val="500E1573"/>
    <w:rsid w:val="501D5EFF"/>
    <w:rsid w:val="502717CF"/>
    <w:rsid w:val="503E28FF"/>
    <w:rsid w:val="5049298E"/>
    <w:rsid w:val="50714293"/>
    <w:rsid w:val="507B2B20"/>
    <w:rsid w:val="50880735"/>
    <w:rsid w:val="50AE732F"/>
    <w:rsid w:val="50D335E5"/>
    <w:rsid w:val="50D75A27"/>
    <w:rsid w:val="50DE637D"/>
    <w:rsid w:val="50EC00EC"/>
    <w:rsid w:val="50F94A7F"/>
    <w:rsid w:val="50FF5F64"/>
    <w:rsid w:val="51387440"/>
    <w:rsid w:val="51487A56"/>
    <w:rsid w:val="517501A3"/>
    <w:rsid w:val="519262A8"/>
    <w:rsid w:val="51C5598C"/>
    <w:rsid w:val="51D51B21"/>
    <w:rsid w:val="51E85F8C"/>
    <w:rsid w:val="51EC651E"/>
    <w:rsid w:val="51F0602C"/>
    <w:rsid w:val="521240E6"/>
    <w:rsid w:val="522A031D"/>
    <w:rsid w:val="523F3A6F"/>
    <w:rsid w:val="52486EE7"/>
    <w:rsid w:val="524C6A9B"/>
    <w:rsid w:val="527E5F8F"/>
    <w:rsid w:val="52D50A45"/>
    <w:rsid w:val="52DD453E"/>
    <w:rsid w:val="52EB6D8A"/>
    <w:rsid w:val="531B23C7"/>
    <w:rsid w:val="531E2FF5"/>
    <w:rsid w:val="532E4F4A"/>
    <w:rsid w:val="53515C86"/>
    <w:rsid w:val="538F19CC"/>
    <w:rsid w:val="53AE701D"/>
    <w:rsid w:val="53B745E4"/>
    <w:rsid w:val="53C233F2"/>
    <w:rsid w:val="53C709E5"/>
    <w:rsid w:val="53E734E5"/>
    <w:rsid w:val="53F00CC3"/>
    <w:rsid w:val="5416714F"/>
    <w:rsid w:val="541A087C"/>
    <w:rsid w:val="542A2E03"/>
    <w:rsid w:val="54500B1E"/>
    <w:rsid w:val="5476794E"/>
    <w:rsid w:val="547827ED"/>
    <w:rsid w:val="548742B8"/>
    <w:rsid w:val="54BB4BB9"/>
    <w:rsid w:val="54CC5F6E"/>
    <w:rsid w:val="54D862D7"/>
    <w:rsid w:val="54F53FFF"/>
    <w:rsid w:val="55136D04"/>
    <w:rsid w:val="551502AF"/>
    <w:rsid w:val="551D4DE4"/>
    <w:rsid w:val="55201442"/>
    <w:rsid w:val="55675E27"/>
    <w:rsid w:val="556B32DB"/>
    <w:rsid w:val="558C5D68"/>
    <w:rsid w:val="55973CD1"/>
    <w:rsid w:val="55E173D6"/>
    <w:rsid w:val="55E85838"/>
    <w:rsid w:val="560A0AF4"/>
    <w:rsid w:val="563162C5"/>
    <w:rsid w:val="564C6C5E"/>
    <w:rsid w:val="564E3B8D"/>
    <w:rsid w:val="568615CD"/>
    <w:rsid w:val="56CB29CC"/>
    <w:rsid w:val="56DA4F77"/>
    <w:rsid w:val="56E878B0"/>
    <w:rsid w:val="56ED063C"/>
    <w:rsid w:val="570006C7"/>
    <w:rsid w:val="570B761B"/>
    <w:rsid w:val="57147E6C"/>
    <w:rsid w:val="57397116"/>
    <w:rsid w:val="573B493E"/>
    <w:rsid w:val="57404D35"/>
    <w:rsid w:val="578E771E"/>
    <w:rsid w:val="5795777F"/>
    <w:rsid w:val="57D33E66"/>
    <w:rsid w:val="57D3604F"/>
    <w:rsid w:val="57F70705"/>
    <w:rsid w:val="580148C3"/>
    <w:rsid w:val="582E3BDE"/>
    <w:rsid w:val="58362601"/>
    <w:rsid w:val="58400AA3"/>
    <w:rsid w:val="584D0A43"/>
    <w:rsid w:val="5852556F"/>
    <w:rsid w:val="586A1B8D"/>
    <w:rsid w:val="586F4DF8"/>
    <w:rsid w:val="5875653F"/>
    <w:rsid w:val="587D4809"/>
    <w:rsid w:val="588F069B"/>
    <w:rsid w:val="589D17DA"/>
    <w:rsid w:val="58A53D08"/>
    <w:rsid w:val="58A801FE"/>
    <w:rsid w:val="58AA5211"/>
    <w:rsid w:val="58C5537A"/>
    <w:rsid w:val="58F90017"/>
    <w:rsid w:val="58FC714B"/>
    <w:rsid w:val="59035EE5"/>
    <w:rsid w:val="5905760B"/>
    <w:rsid w:val="59144FF0"/>
    <w:rsid w:val="59157CB1"/>
    <w:rsid w:val="5920264B"/>
    <w:rsid w:val="59305058"/>
    <w:rsid w:val="59400D88"/>
    <w:rsid w:val="595859E9"/>
    <w:rsid w:val="595A2201"/>
    <w:rsid w:val="5962277A"/>
    <w:rsid w:val="59AE73DD"/>
    <w:rsid w:val="59B101A6"/>
    <w:rsid w:val="59D05FE8"/>
    <w:rsid w:val="59E473DD"/>
    <w:rsid w:val="59F75BD4"/>
    <w:rsid w:val="59F80620"/>
    <w:rsid w:val="59FA7581"/>
    <w:rsid w:val="5A064B2F"/>
    <w:rsid w:val="5A18112D"/>
    <w:rsid w:val="5A2C44A7"/>
    <w:rsid w:val="5A2C4F69"/>
    <w:rsid w:val="5A3A7FC7"/>
    <w:rsid w:val="5A964FA8"/>
    <w:rsid w:val="5AC02173"/>
    <w:rsid w:val="5AC73EB8"/>
    <w:rsid w:val="5AC7666D"/>
    <w:rsid w:val="5ACE29D8"/>
    <w:rsid w:val="5B042879"/>
    <w:rsid w:val="5B065902"/>
    <w:rsid w:val="5B0870B7"/>
    <w:rsid w:val="5B0B72FA"/>
    <w:rsid w:val="5B11668A"/>
    <w:rsid w:val="5B205295"/>
    <w:rsid w:val="5B27267B"/>
    <w:rsid w:val="5B323DBA"/>
    <w:rsid w:val="5B48195C"/>
    <w:rsid w:val="5B4832EB"/>
    <w:rsid w:val="5B651582"/>
    <w:rsid w:val="5B687B05"/>
    <w:rsid w:val="5B6C704A"/>
    <w:rsid w:val="5B761DD5"/>
    <w:rsid w:val="5B831781"/>
    <w:rsid w:val="5BA40892"/>
    <w:rsid w:val="5BBB792A"/>
    <w:rsid w:val="5BBC3AC7"/>
    <w:rsid w:val="5BC32004"/>
    <w:rsid w:val="5BD946C9"/>
    <w:rsid w:val="5BDD472D"/>
    <w:rsid w:val="5BF455C3"/>
    <w:rsid w:val="5C123DB5"/>
    <w:rsid w:val="5C1C11CA"/>
    <w:rsid w:val="5C54069A"/>
    <w:rsid w:val="5C753DBD"/>
    <w:rsid w:val="5CA62DE1"/>
    <w:rsid w:val="5CC242D5"/>
    <w:rsid w:val="5D145CD2"/>
    <w:rsid w:val="5D2C0676"/>
    <w:rsid w:val="5D3D2D8E"/>
    <w:rsid w:val="5D500E2A"/>
    <w:rsid w:val="5D516FF5"/>
    <w:rsid w:val="5D652437"/>
    <w:rsid w:val="5D6E2167"/>
    <w:rsid w:val="5D782A46"/>
    <w:rsid w:val="5D9326AE"/>
    <w:rsid w:val="5DA53CEA"/>
    <w:rsid w:val="5DAE2C08"/>
    <w:rsid w:val="5DBD3B62"/>
    <w:rsid w:val="5DC64693"/>
    <w:rsid w:val="5DD06409"/>
    <w:rsid w:val="5DD6687C"/>
    <w:rsid w:val="5DDB73F8"/>
    <w:rsid w:val="5DEA5282"/>
    <w:rsid w:val="5E11731A"/>
    <w:rsid w:val="5E2228AA"/>
    <w:rsid w:val="5E2B7BBA"/>
    <w:rsid w:val="5E303E71"/>
    <w:rsid w:val="5E3F41F9"/>
    <w:rsid w:val="5E75134C"/>
    <w:rsid w:val="5EA32DE9"/>
    <w:rsid w:val="5EC101DF"/>
    <w:rsid w:val="5ED41206"/>
    <w:rsid w:val="5ED56402"/>
    <w:rsid w:val="5EDA2C3E"/>
    <w:rsid w:val="5F064FC7"/>
    <w:rsid w:val="5F666932"/>
    <w:rsid w:val="5F994336"/>
    <w:rsid w:val="5FA269A1"/>
    <w:rsid w:val="5FAF6B9C"/>
    <w:rsid w:val="5FB93603"/>
    <w:rsid w:val="5FC82060"/>
    <w:rsid w:val="60231CAE"/>
    <w:rsid w:val="60381821"/>
    <w:rsid w:val="60657E76"/>
    <w:rsid w:val="606D7F04"/>
    <w:rsid w:val="607531F6"/>
    <w:rsid w:val="608E392B"/>
    <w:rsid w:val="60AA0102"/>
    <w:rsid w:val="60AD5460"/>
    <w:rsid w:val="60B34A5A"/>
    <w:rsid w:val="60BB3570"/>
    <w:rsid w:val="60C25BFE"/>
    <w:rsid w:val="60E941A4"/>
    <w:rsid w:val="60FB0785"/>
    <w:rsid w:val="612227F3"/>
    <w:rsid w:val="614323E0"/>
    <w:rsid w:val="61BF4CAD"/>
    <w:rsid w:val="61CE6627"/>
    <w:rsid w:val="61E04A9A"/>
    <w:rsid w:val="61F44F3F"/>
    <w:rsid w:val="62044F25"/>
    <w:rsid w:val="622B34CF"/>
    <w:rsid w:val="624746A6"/>
    <w:rsid w:val="626163DF"/>
    <w:rsid w:val="627929CB"/>
    <w:rsid w:val="62CE4ADA"/>
    <w:rsid w:val="62E03215"/>
    <w:rsid w:val="62F4504B"/>
    <w:rsid w:val="62FB58A2"/>
    <w:rsid w:val="63091C01"/>
    <w:rsid w:val="631844AF"/>
    <w:rsid w:val="63210B8F"/>
    <w:rsid w:val="63397440"/>
    <w:rsid w:val="63514D2D"/>
    <w:rsid w:val="635674F7"/>
    <w:rsid w:val="63576583"/>
    <w:rsid w:val="635A7635"/>
    <w:rsid w:val="635D7873"/>
    <w:rsid w:val="637850C9"/>
    <w:rsid w:val="63BA0158"/>
    <w:rsid w:val="63BF5271"/>
    <w:rsid w:val="63D52C35"/>
    <w:rsid w:val="63DA1221"/>
    <w:rsid w:val="63DA2E8F"/>
    <w:rsid w:val="63DE6D28"/>
    <w:rsid w:val="640C1A79"/>
    <w:rsid w:val="641E29A4"/>
    <w:rsid w:val="64256A30"/>
    <w:rsid w:val="64301E5B"/>
    <w:rsid w:val="643444B9"/>
    <w:rsid w:val="644A2A2C"/>
    <w:rsid w:val="64501A95"/>
    <w:rsid w:val="645A0F55"/>
    <w:rsid w:val="646B052F"/>
    <w:rsid w:val="648D5B5D"/>
    <w:rsid w:val="64916352"/>
    <w:rsid w:val="649A123A"/>
    <w:rsid w:val="64A15FB2"/>
    <w:rsid w:val="64BF519D"/>
    <w:rsid w:val="64C41D88"/>
    <w:rsid w:val="64D1414D"/>
    <w:rsid w:val="64DD4657"/>
    <w:rsid w:val="64E95E0C"/>
    <w:rsid w:val="64ED281F"/>
    <w:rsid w:val="64EF45C2"/>
    <w:rsid w:val="65041530"/>
    <w:rsid w:val="650A6BE7"/>
    <w:rsid w:val="65257BCD"/>
    <w:rsid w:val="654464FD"/>
    <w:rsid w:val="654A41FE"/>
    <w:rsid w:val="657C02A9"/>
    <w:rsid w:val="65AE2A1E"/>
    <w:rsid w:val="65B84D3A"/>
    <w:rsid w:val="65D93D96"/>
    <w:rsid w:val="65E23F55"/>
    <w:rsid w:val="65ED7258"/>
    <w:rsid w:val="65F0671D"/>
    <w:rsid w:val="65F8212C"/>
    <w:rsid w:val="65FA1E2E"/>
    <w:rsid w:val="65FC4AB4"/>
    <w:rsid w:val="660333D5"/>
    <w:rsid w:val="66085D80"/>
    <w:rsid w:val="66117202"/>
    <w:rsid w:val="66367510"/>
    <w:rsid w:val="6647071B"/>
    <w:rsid w:val="66494120"/>
    <w:rsid w:val="664F0A1D"/>
    <w:rsid w:val="66B567A9"/>
    <w:rsid w:val="66F11C40"/>
    <w:rsid w:val="67072EC9"/>
    <w:rsid w:val="670F41CD"/>
    <w:rsid w:val="672225AD"/>
    <w:rsid w:val="67372CF0"/>
    <w:rsid w:val="67542B28"/>
    <w:rsid w:val="67813ED1"/>
    <w:rsid w:val="67865ABB"/>
    <w:rsid w:val="67B162EA"/>
    <w:rsid w:val="67C9535F"/>
    <w:rsid w:val="67DB7ADF"/>
    <w:rsid w:val="680C210A"/>
    <w:rsid w:val="681504DA"/>
    <w:rsid w:val="6858541E"/>
    <w:rsid w:val="689331BB"/>
    <w:rsid w:val="68AA0CD2"/>
    <w:rsid w:val="68B62594"/>
    <w:rsid w:val="68B8614E"/>
    <w:rsid w:val="68C628AB"/>
    <w:rsid w:val="68E01C08"/>
    <w:rsid w:val="68E354D5"/>
    <w:rsid w:val="68F8373E"/>
    <w:rsid w:val="696C40AB"/>
    <w:rsid w:val="6974143A"/>
    <w:rsid w:val="697A4694"/>
    <w:rsid w:val="697B28DC"/>
    <w:rsid w:val="697C12B6"/>
    <w:rsid w:val="69A6281C"/>
    <w:rsid w:val="69A745D2"/>
    <w:rsid w:val="69AC1324"/>
    <w:rsid w:val="69AD139E"/>
    <w:rsid w:val="69C32682"/>
    <w:rsid w:val="69D0365E"/>
    <w:rsid w:val="69E34649"/>
    <w:rsid w:val="69F37CAC"/>
    <w:rsid w:val="69F76760"/>
    <w:rsid w:val="6A1F58CC"/>
    <w:rsid w:val="6A243797"/>
    <w:rsid w:val="6A251AC6"/>
    <w:rsid w:val="6A2F7233"/>
    <w:rsid w:val="6A477762"/>
    <w:rsid w:val="6A8E207B"/>
    <w:rsid w:val="6A905FD3"/>
    <w:rsid w:val="6AA27119"/>
    <w:rsid w:val="6AB54118"/>
    <w:rsid w:val="6AB94D31"/>
    <w:rsid w:val="6AC94406"/>
    <w:rsid w:val="6AEC78FF"/>
    <w:rsid w:val="6B1A4C57"/>
    <w:rsid w:val="6B1D0576"/>
    <w:rsid w:val="6B5E2205"/>
    <w:rsid w:val="6B6850D8"/>
    <w:rsid w:val="6B6A7516"/>
    <w:rsid w:val="6B7919D9"/>
    <w:rsid w:val="6B936AF5"/>
    <w:rsid w:val="6B947E78"/>
    <w:rsid w:val="6B992F35"/>
    <w:rsid w:val="6B9E57F0"/>
    <w:rsid w:val="6BA67816"/>
    <w:rsid w:val="6BB250C4"/>
    <w:rsid w:val="6BDC11E4"/>
    <w:rsid w:val="6BDE110A"/>
    <w:rsid w:val="6BF8736B"/>
    <w:rsid w:val="6C0572BF"/>
    <w:rsid w:val="6C070855"/>
    <w:rsid w:val="6C126828"/>
    <w:rsid w:val="6C265AE8"/>
    <w:rsid w:val="6C326949"/>
    <w:rsid w:val="6C376592"/>
    <w:rsid w:val="6C3923F2"/>
    <w:rsid w:val="6C666BDE"/>
    <w:rsid w:val="6C68714C"/>
    <w:rsid w:val="6CB12D32"/>
    <w:rsid w:val="6CBD63D6"/>
    <w:rsid w:val="6CC215AA"/>
    <w:rsid w:val="6CCD5291"/>
    <w:rsid w:val="6CCF682B"/>
    <w:rsid w:val="6CEF6BDD"/>
    <w:rsid w:val="6CFD3E4D"/>
    <w:rsid w:val="6D2A281F"/>
    <w:rsid w:val="6D2E0F91"/>
    <w:rsid w:val="6D54598D"/>
    <w:rsid w:val="6D592DD9"/>
    <w:rsid w:val="6D764F70"/>
    <w:rsid w:val="6DBB6E7D"/>
    <w:rsid w:val="6DBC2823"/>
    <w:rsid w:val="6DBF5462"/>
    <w:rsid w:val="6DF75B8C"/>
    <w:rsid w:val="6E0637D2"/>
    <w:rsid w:val="6E1752AE"/>
    <w:rsid w:val="6E56762D"/>
    <w:rsid w:val="6E5E61B6"/>
    <w:rsid w:val="6E86393B"/>
    <w:rsid w:val="6E8721E4"/>
    <w:rsid w:val="6E8C3330"/>
    <w:rsid w:val="6E9D049B"/>
    <w:rsid w:val="6EAB0539"/>
    <w:rsid w:val="6EC07FA6"/>
    <w:rsid w:val="6ECB6CCA"/>
    <w:rsid w:val="6ED72B76"/>
    <w:rsid w:val="6F006865"/>
    <w:rsid w:val="6F4B42A8"/>
    <w:rsid w:val="6F521A9F"/>
    <w:rsid w:val="6F6B41AD"/>
    <w:rsid w:val="6F711B0B"/>
    <w:rsid w:val="6F7D6959"/>
    <w:rsid w:val="6F835029"/>
    <w:rsid w:val="6F873F32"/>
    <w:rsid w:val="6F983015"/>
    <w:rsid w:val="6FA34B46"/>
    <w:rsid w:val="6FAD1578"/>
    <w:rsid w:val="6FB5195B"/>
    <w:rsid w:val="6FC44DB9"/>
    <w:rsid w:val="6FE43A29"/>
    <w:rsid w:val="6FE93B5D"/>
    <w:rsid w:val="6FFE0B43"/>
    <w:rsid w:val="700A4320"/>
    <w:rsid w:val="703C47B8"/>
    <w:rsid w:val="70466F44"/>
    <w:rsid w:val="70652C02"/>
    <w:rsid w:val="708B36FE"/>
    <w:rsid w:val="70BA61FB"/>
    <w:rsid w:val="70BC25D9"/>
    <w:rsid w:val="70BD1F79"/>
    <w:rsid w:val="70C20E98"/>
    <w:rsid w:val="70CB558A"/>
    <w:rsid w:val="70D77960"/>
    <w:rsid w:val="70E03F85"/>
    <w:rsid w:val="70E13A81"/>
    <w:rsid w:val="70E83967"/>
    <w:rsid w:val="7104244E"/>
    <w:rsid w:val="71084F33"/>
    <w:rsid w:val="7146085A"/>
    <w:rsid w:val="71473033"/>
    <w:rsid w:val="715579D2"/>
    <w:rsid w:val="7177667D"/>
    <w:rsid w:val="718A1D8B"/>
    <w:rsid w:val="71D23344"/>
    <w:rsid w:val="71EE4E53"/>
    <w:rsid w:val="71FA0E02"/>
    <w:rsid w:val="71FE4F06"/>
    <w:rsid w:val="7218021F"/>
    <w:rsid w:val="72292FF4"/>
    <w:rsid w:val="72396020"/>
    <w:rsid w:val="725429C8"/>
    <w:rsid w:val="726E40EF"/>
    <w:rsid w:val="726E4DD3"/>
    <w:rsid w:val="7293466D"/>
    <w:rsid w:val="72A0725D"/>
    <w:rsid w:val="72A54F4A"/>
    <w:rsid w:val="72A7149E"/>
    <w:rsid w:val="72B52FE0"/>
    <w:rsid w:val="72C93237"/>
    <w:rsid w:val="72CA7A30"/>
    <w:rsid w:val="72D24843"/>
    <w:rsid w:val="72D617F5"/>
    <w:rsid w:val="72E87B8F"/>
    <w:rsid w:val="72EE7189"/>
    <w:rsid w:val="731D7E70"/>
    <w:rsid w:val="7343072A"/>
    <w:rsid w:val="734A30C2"/>
    <w:rsid w:val="7350035C"/>
    <w:rsid w:val="73603795"/>
    <w:rsid w:val="73621167"/>
    <w:rsid w:val="738131E1"/>
    <w:rsid w:val="73841583"/>
    <w:rsid w:val="73986747"/>
    <w:rsid w:val="739F712F"/>
    <w:rsid w:val="73CA351D"/>
    <w:rsid w:val="73F554C8"/>
    <w:rsid w:val="74206E22"/>
    <w:rsid w:val="743108E6"/>
    <w:rsid w:val="743D3B9E"/>
    <w:rsid w:val="743D5BD4"/>
    <w:rsid w:val="744F70DF"/>
    <w:rsid w:val="74545F19"/>
    <w:rsid w:val="74656716"/>
    <w:rsid w:val="746F25EB"/>
    <w:rsid w:val="747754F3"/>
    <w:rsid w:val="747E3947"/>
    <w:rsid w:val="74874737"/>
    <w:rsid w:val="74A6218F"/>
    <w:rsid w:val="74A62B85"/>
    <w:rsid w:val="74D80014"/>
    <w:rsid w:val="74FA5A43"/>
    <w:rsid w:val="750E7898"/>
    <w:rsid w:val="752B0F92"/>
    <w:rsid w:val="75523ADD"/>
    <w:rsid w:val="75707059"/>
    <w:rsid w:val="75716351"/>
    <w:rsid w:val="75A67FBD"/>
    <w:rsid w:val="75AA796B"/>
    <w:rsid w:val="75B73E41"/>
    <w:rsid w:val="75D02D53"/>
    <w:rsid w:val="75DD4C7F"/>
    <w:rsid w:val="75DE4713"/>
    <w:rsid w:val="760A5B62"/>
    <w:rsid w:val="760C1BCE"/>
    <w:rsid w:val="76113CA0"/>
    <w:rsid w:val="76113E69"/>
    <w:rsid w:val="761F1A53"/>
    <w:rsid w:val="76432212"/>
    <w:rsid w:val="765537EE"/>
    <w:rsid w:val="766F2600"/>
    <w:rsid w:val="767379EA"/>
    <w:rsid w:val="767B6016"/>
    <w:rsid w:val="76856A0D"/>
    <w:rsid w:val="76CD05DA"/>
    <w:rsid w:val="771C3687"/>
    <w:rsid w:val="774D3122"/>
    <w:rsid w:val="77536D59"/>
    <w:rsid w:val="776770BE"/>
    <w:rsid w:val="777951F6"/>
    <w:rsid w:val="778A5E2E"/>
    <w:rsid w:val="77952A9A"/>
    <w:rsid w:val="77A04E70"/>
    <w:rsid w:val="77AD4C31"/>
    <w:rsid w:val="77BC4761"/>
    <w:rsid w:val="77CE51B5"/>
    <w:rsid w:val="77DF10C6"/>
    <w:rsid w:val="77FC2C5B"/>
    <w:rsid w:val="78050045"/>
    <w:rsid w:val="780F324D"/>
    <w:rsid w:val="781D5642"/>
    <w:rsid w:val="78237CA2"/>
    <w:rsid w:val="78754926"/>
    <w:rsid w:val="787D3746"/>
    <w:rsid w:val="789960B0"/>
    <w:rsid w:val="78A863D7"/>
    <w:rsid w:val="78C27CCD"/>
    <w:rsid w:val="78E55267"/>
    <w:rsid w:val="79083C8A"/>
    <w:rsid w:val="794D518C"/>
    <w:rsid w:val="79857371"/>
    <w:rsid w:val="79906428"/>
    <w:rsid w:val="799E40D9"/>
    <w:rsid w:val="79AF7BD5"/>
    <w:rsid w:val="79B14895"/>
    <w:rsid w:val="79B82FD0"/>
    <w:rsid w:val="79D44A0C"/>
    <w:rsid w:val="7A09063D"/>
    <w:rsid w:val="7A0C52FF"/>
    <w:rsid w:val="7A57698A"/>
    <w:rsid w:val="7A6444BB"/>
    <w:rsid w:val="7A6826EA"/>
    <w:rsid w:val="7A7867BC"/>
    <w:rsid w:val="7A7F127B"/>
    <w:rsid w:val="7A8D34F1"/>
    <w:rsid w:val="7AA300F2"/>
    <w:rsid w:val="7ABA532F"/>
    <w:rsid w:val="7AC50F97"/>
    <w:rsid w:val="7AF17505"/>
    <w:rsid w:val="7B173384"/>
    <w:rsid w:val="7B225000"/>
    <w:rsid w:val="7B311BA9"/>
    <w:rsid w:val="7B3779EB"/>
    <w:rsid w:val="7B3B4243"/>
    <w:rsid w:val="7B5718EB"/>
    <w:rsid w:val="7B592134"/>
    <w:rsid w:val="7B7313DE"/>
    <w:rsid w:val="7B8F33C6"/>
    <w:rsid w:val="7B9D4AF2"/>
    <w:rsid w:val="7BAC43A7"/>
    <w:rsid w:val="7BB93B9F"/>
    <w:rsid w:val="7BDC197E"/>
    <w:rsid w:val="7BF31F43"/>
    <w:rsid w:val="7C100EB0"/>
    <w:rsid w:val="7C560B61"/>
    <w:rsid w:val="7C612E07"/>
    <w:rsid w:val="7C87658F"/>
    <w:rsid w:val="7C896F40"/>
    <w:rsid w:val="7C992CCF"/>
    <w:rsid w:val="7CA44D30"/>
    <w:rsid w:val="7CCA69BF"/>
    <w:rsid w:val="7D1C0746"/>
    <w:rsid w:val="7D224F44"/>
    <w:rsid w:val="7D2367A6"/>
    <w:rsid w:val="7D416CB4"/>
    <w:rsid w:val="7D481B0F"/>
    <w:rsid w:val="7D5F1F92"/>
    <w:rsid w:val="7D6902C5"/>
    <w:rsid w:val="7D6D2D05"/>
    <w:rsid w:val="7D7E271D"/>
    <w:rsid w:val="7D860F6B"/>
    <w:rsid w:val="7D9656C4"/>
    <w:rsid w:val="7DA4311D"/>
    <w:rsid w:val="7DB31065"/>
    <w:rsid w:val="7DBC23F3"/>
    <w:rsid w:val="7DCE594D"/>
    <w:rsid w:val="7DDF6297"/>
    <w:rsid w:val="7DE5684C"/>
    <w:rsid w:val="7E417769"/>
    <w:rsid w:val="7E445B43"/>
    <w:rsid w:val="7E551462"/>
    <w:rsid w:val="7E6279DC"/>
    <w:rsid w:val="7E670261"/>
    <w:rsid w:val="7E7A494C"/>
    <w:rsid w:val="7E921C36"/>
    <w:rsid w:val="7E9862EA"/>
    <w:rsid w:val="7EB06F4F"/>
    <w:rsid w:val="7EBD6085"/>
    <w:rsid w:val="7EC16237"/>
    <w:rsid w:val="7EC4613E"/>
    <w:rsid w:val="7ECF4948"/>
    <w:rsid w:val="7ED72608"/>
    <w:rsid w:val="7EE35A68"/>
    <w:rsid w:val="7EF0729B"/>
    <w:rsid w:val="7F1E3E36"/>
    <w:rsid w:val="7F2C56FE"/>
    <w:rsid w:val="7F3608F2"/>
    <w:rsid w:val="7F380E88"/>
    <w:rsid w:val="7F523F25"/>
    <w:rsid w:val="7F57461E"/>
    <w:rsid w:val="7F751224"/>
    <w:rsid w:val="7F76147D"/>
    <w:rsid w:val="7F77760E"/>
    <w:rsid w:val="7F7E5CC0"/>
    <w:rsid w:val="7F820D62"/>
    <w:rsid w:val="7F926731"/>
    <w:rsid w:val="7FC0066B"/>
    <w:rsid w:val="7FEB37C4"/>
    <w:rsid w:val="7FF01A76"/>
    <w:rsid w:val="7FFD33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99" w:semiHidden="0"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8"/>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49"/>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50"/>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link w:val="80"/>
    <w:qFormat/>
    <w:uiPriority w:val="0"/>
    <w:pPr>
      <w:keepNext/>
      <w:keepLines/>
      <w:spacing w:before="280" w:after="290" w:line="376" w:lineRule="auto"/>
      <w:outlineLvl w:val="4"/>
    </w:pPr>
    <w:rPr>
      <w:b/>
      <w:kern w:val="0"/>
      <w:sz w:val="28"/>
    </w:rPr>
  </w:style>
  <w:style w:type="paragraph" w:styleId="9">
    <w:name w:val="heading 6"/>
    <w:basedOn w:val="1"/>
    <w:next w:val="8"/>
    <w:link w:val="62"/>
    <w:qFormat/>
    <w:uiPriority w:val="0"/>
    <w:pPr>
      <w:keepNext/>
      <w:keepLines/>
      <w:spacing w:before="240" w:after="64" w:line="320" w:lineRule="auto"/>
      <w:outlineLvl w:val="5"/>
    </w:pPr>
    <w:rPr>
      <w:rFonts w:ascii="Arial" w:hAnsi="Arial" w:eastAsia="黑体"/>
      <w:b/>
      <w:kern w:val="0"/>
      <w:sz w:val="24"/>
    </w:rPr>
  </w:style>
  <w:style w:type="paragraph" w:styleId="10">
    <w:name w:val="heading 7"/>
    <w:basedOn w:val="1"/>
    <w:next w:val="8"/>
    <w:link w:val="51"/>
    <w:qFormat/>
    <w:uiPriority w:val="0"/>
    <w:pPr>
      <w:keepNext/>
      <w:keepLines/>
      <w:spacing w:before="240" w:after="64" w:line="320" w:lineRule="auto"/>
      <w:outlineLvl w:val="6"/>
    </w:pPr>
    <w:rPr>
      <w:b/>
      <w:kern w:val="0"/>
      <w:sz w:val="24"/>
    </w:rPr>
  </w:style>
  <w:style w:type="paragraph" w:styleId="11">
    <w:name w:val="heading 8"/>
    <w:basedOn w:val="1"/>
    <w:next w:val="8"/>
    <w:link w:val="89"/>
    <w:qFormat/>
    <w:uiPriority w:val="0"/>
    <w:pPr>
      <w:keepNext/>
      <w:keepLines/>
      <w:spacing w:before="240" w:after="64" w:line="320" w:lineRule="auto"/>
      <w:outlineLvl w:val="7"/>
    </w:pPr>
    <w:rPr>
      <w:rFonts w:ascii="Arial" w:hAnsi="Arial" w:eastAsia="黑体"/>
      <w:kern w:val="0"/>
      <w:sz w:val="24"/>
    </w:rPr>
  </w:style>
  <w:style w:type="paragraph" w:styleId="12">
    <w:name w:val="heading 9"/>
    <w:basedOn w:val="1"/>
    <w:next w:val="8"/>
    <w:link w:val="76"/>
    <w:qFormat/>
    <w:uiPriority w:val="0"/>
    <w:pPr>
      <w:keepNext/>
      <w:keepLines/>
      <w:spacing w:before="240" w:after="64" w:line="320" w:lineRule="auto"/>
      <w:outlineLvl w:val="8"/>
    </w:pPr>
    <w:rPr>
      <w:rFonts w:ascii="Arial" w:hAnsi="Arial" w:eastAsia="黑体"/>
      <w:kern w:val="0"/>
      <w:sz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line="300" w:lineRule="auto"/>
      <w:ind w:firstLine="200" w:firstLineChars="200"/>
    </w:pPr>
    <w:rPr>
      <w:spacing w:val="10"/>
      <w:kern w:val="0"/>
      <w:sz w:val="24"/>
      <w:szCs w:val="20"/>
    </w:rPr>
  </w:style>
  <w:style w:type="paragraph" w:styleId="8">
    <w:name w:val="Normal Indent"/>
    <w:basedOn w:val="1"/>
    <w:qFormat/>
    <w:uiPriority w:val="0"/>
    <w:pPr>
      <w:ind w:firstLine="420"/>
    </w:pPr>
    <w:rPr>
      <w:szCs w:val="20"/>
    </w:rPr>
  </w:style>
  <w:style w:type="paragraph" w:styleId="13">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59"/>
    <w:qFormat/>
    <w:uiPriority w:val="0"/>
    <w:pPr>
      <w:shd w:val="clear" w:color="auto" w:fill="000080"/>
      <w:adjustRightInd w:val="0"/>
      <w:spacing w:line="312" w:lineRule="atLeast"/>
      <w:textAlignment w:val="baseline"/>
    </w:pPr>
    <w:rPr>
      <w:kern w:val="0"/>
      <w:sz w:val="20"/>
      <w:szCs w:val="20"/>
    </w:rPr>
  </w:style>
  <w:style w:type="paragraph" w:styleId="16">
    <w:name w:val="annotation text"/>
    <w:basedOn w:val="1"/>
    <w:link w:val="77"/>
    <w:unhideWhenUsed/>
    <w:qFormat/>
    <w:uiPriority w:val="99"/>
    <w:pPr>
      <w:jc w:val="left"/>
    </w:pPr>
    <w:rPr>
      <w:kern w:val="0"/>
      <w:sz w:val="20"/>
    </w:rPr>
  </w:style>
  <w:style w:type="paragraph" w:styleId="17">
    <w:name w:val="Body Text 3"/>
    <w:basedOn w:val="1"/>
    <w:link w:val="90"/>
    <w:qFormat/>
    <w:uiPriority w:val="0"/>
    <w:pPr>
      <w:spacing w:line="500" w:lineRule="exact"/>
    </w:pPr>
    <w:rPr>
      <w:b/>
      <w:bCs/>
      <w:kern w:val="0"/>
      <w:sz w:val="24"/>
    </w:rPr>
  </w:style>
  <w:style w:type="paragraph" w:styleId="18">
    <w:name w:val="Body Text"/>
    <w:basedOn w:val="1"/>
    <w:link w:val="73"/>
    <w:qFormat/>
    <w:uiPriority w:val="0"/>
    <w:pPr>
      <w:spacing w:line="380" w:lineRule="exact"/>
    </w:pPr>
    <w:rPr>
      <w:kern w:val="0"/>
      <w:sz w:val="24"/>
    </w:rPr>
  </w:style>
  <w:style w:type="paragraph" w:styleId="19">
    <w:name w:val="Body Text Indent"/>
    <w:basedOn w:val="1"/>
    <w:link w:val="64"/>
    <w:qFormat/>
    <w:uiPriority w:val="0"/>
    <w:pPr>
      <w:ind w:firstLine="830" w:firstLineChars="352"/>
    </w:pPr>
    <w:rPr>
      <w:rFonts w:ascii="仿宋_GB2312" w:eastAsia="仿宋_GB2312"/>
      <w:kern w:val="0"/>
      <w:sz w:val="32"/>
      <w:szCs w:val="20"/>
    </w:rPr>
  </w:style>
  <w:style w:type="paragraph" w:styleId="20">
    <w:name w:val="List Number 3"/>
    <w:basedOn w:val="1"/>
    <w:qFormat/>
    <w:uiPriority w:val="0"/>
    <w:pPr>
      <w:tabs>
        <w:tab w:val="left" w:pos="1200"/>
      </w:tabs>
      <w:ind w:left="360" w:hanging="360"/>
    </w:pPr>
  </w:style>
  <w:style w:type="paragraph" w:styleId="21">
    <w:name w:val="List 2"/>
    <w:basedOn w:val="1"/>
    <w:qFormat/>
    <w:uiPriority w:val="0"/>
    <w:pPr>
      <w:ind w:left="100" w:leftChars="200" w:hanging="200" w:hangingChars="200"/>
    </w:pPr>
    <w:rPr>
      <w:sz w:val="28"/>
    </w:rPr>
  </w:style>
  <w:style w:type="paragraph" w:styleId="22">
    <w:name w:val="Plain Text"/>
    <w:basedOn w:val="1"/>
    <w:next w:val="1"/>
    <w:link w:val="84"/>
    <w:qFormat/>
    <w:uiPriority w:val="0"/>
    <w:rPr>
      <w:rFonts w:ascii="宋体" w:hAnsi="Courier New"/>
      <w:kern w:val="0"/>
      <w:sz w:val="20"/>
      <w:szCs w:val="21"/>
    </w:rPr>
  </w:style>
  <w:style w:type="paragraph" w:styleId="23">
    <w:name w:val="Date"/>
    <w:basedOn w:val="1"/>
    <w:next w:val="1"/>
    <w:link w:val="60"/>
    <w:qFormat/>
    <w:uiPriority w:val="0"/>
    <w:pPr>
      <w:ind w:left="100" w:leftChars="2500"/>
    </w:pPr>
    <w:rPr>
      <w:rFonts w:ascii="宋体" w:hAnsi="Courier New"/>
      <w:kern w:val="0"/>
      <w:sz w:val="20"/>
      <w:szCs w:val="21"/>
    </w:rPr>
  </w:style>
  <w:style w:type="paragraph" w:styleId="24">
    <w:name w:val="Body Text Indent 2"/>
    <w:basedOn w:val="1"/>
    <w:link w:val="52"/>
    <w:qFormat/>
    <w:uiPriority w:val="0"/>
    <w:pPr>
      <w:ind w:firstLine="630"/>
    </w:pPr>
    <w:rPr>
      <w:kern w:val="0"/>
      <w:sz w:val="32"/>
      <w:szCs w:val="20"/>
    </w:rPr>
  </w:style>
  <w:style w:type="paragraph" w:styleId="25">
    <w:name w:val="Balloon Text"/>
    <w:basedOn w:val="1"/>
    <w:link w:val="53"/>
    <w:semiHidden/>
    <w:qFormat/>
    <w:uiPriority w:val="0"/>
    <w:rPr>
      <w:kern w:val="0"/>
      <w:sz w:val="18"/>
      <w:szCs w:val="18"/>
    </w:rPr>
  </w:style>
  <w:style w:type="paragraph" w:styleId="26">
    <w:name w:val="footer"/>
    <w:basedOn w:val="1"/>
    <w:link w:val="78"/>
    <w:unhideWhenUsed/>
    <w:qFormat/>
    <w:uiPriority w:val="99"/>
    <w:pPr>
      <w:tabs>
        <w:tab w:val="center" w:pos="4153"/>
        <w:tab w:val="right" w:pos="8306"/>
      </w:tabs>
      <w:snapToGrid w:val="0"/>
      <w:jc w:val="left"/>
    </w:pPr>
    <w:rPr>
      <w:kern w:val="0"/>
      <w:sz w:val="18"/>
      <w:szCs w:val="18"/>
    </w:rPr>
  </w:style>
  <w:style w:type="paragraph" w:styleId="27">
    <w:name w:val="header"/>
    <w:basedOn w:val="1"/>
    <w:next w:val="1"/>
    <w:link w:val="5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8">
    <w:name w:val="Body Text Indent 3"/>
    <w:basedOn w:val="1"/>
    <w:link w:val="86"/>
    <w:qFormat/>
    <w:uiPriority w:val="0"/>
    <w:pPr>
      <w:spacing w:after="120"/>
      <w:ind w:left="420" w:leftChars="200"/>
    </w:pPr>
    <w:rPr>
      <w:kern w:val="0"/>
      <w:sz w:val="16"/>
      <w:szCs w:val="16"/>
    </w:rPr>
  </w:style>
  <w:style w:type="paragraph" w:styleId="29">
    <w:name w:val="Body Text 2"/>
    <w:basedOn w:val="1"/>
    <w:link w:val="61"/>
    <w:qFormat/>
    <w:uiPriority w:val="0"/>
    <w:pPr>
      <w:spacing w:after="120" w:line="480" w:lineRule="auto"/>
    </w:pPr>
    <w:rPr>
      <w:kern w:val="0"/>
      <w:sz w:val="20"/>
    </w:rPr>
  </w:style>
  <w:style w:type="paragraph" w:styleId="30">
    <w:name w:val="HTML Preformatted"/>
    <w:basedOn w:val="1"/>
    <w:link w:val="6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1">
    <w:name w:val="Normal (Web)"/>
    <w:basedOn w:val="1"/>
    <w:unhideWhenUsed/>
    <w:qFormat/>
    <w:uiPriority w:val="0"/>
    <w:pPr>
      <w:spacing w:before="0" w:beforeAutospacing="1" w:after="0" w:afterAutospacing="1"/>
      <w:ind w:left="0" w:right="0"/>
      <w:jc w:val="left"/>
    </w:pPr>
    <w:rPr>
      <w:kern w:val="0"/>
      <w:sz w:val="24"/>
      <w:lang w:val="en-US" w:eastAsia="zh-CN" w:bidi="ar"/>
    </w:rPr>
  </w:style>
  <w:style w:type="paragraph" w:styleId="32">
    <w:name w:val="Title"/>
    <w:basedOn w:val="1"/>
    <w:qFormat/>
    <w:uiPriority w:val="10"/>
    <w:pPr>
      <w:spacing w:before="240" w:after="60"/>
      <w:jc w:val="center"/>
      <w:outlineLvl w:val="0"/>
    </w:pPr>
    <w:rPr>
      <w:rFonts w:ascii="Arial" w:hAnsi="Arial" w:cs="Arial"/>
      <w:b/>
      <w:bCs/>
      <w:sz w:val="32"/>
      <w:szCs w:val="32"/>
    </w:rPr>
  </w:style>
  <w:style w:type="paragraph" w:styleId="33">
    <w:name w:val="annotation subject"/>
    <w:basedOn w:val="16"/>
    <w:next w:val="16"/>
    <w:link w:val="65"/>
    <w:semiHidden/>
    <w:qFormat/>
    <w:uiPriority w:val="0"/>
    <w:rPr>
      <w:b/>
      <w:bCs/>
    </w:rPr>
  </w:style>
  <w:style w:type="table" w:styleId="35">
    <w:name w:val="Table Grid"/>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page number"/>
    <w:basedOn w:val="36"/>
    <w:qFormat/>
    <w:uiPriority w:val="0"/>
  </w:style>
  <w:style w:type="character" w:styleId="38">
    <w:name w:val="FollowedHyperlink"/>
    <w:unhideWhenUsed/>
    <w:qFormat/>
    <w:uiPriority w:val="0"/>
    <w:rPr>
      <w:color w:val="3F88BF"/>
      <w:u w:val="none"/>
    </w:rPr>
  </w:style>
  <w:style w:type="character" w:styleId="39">
    <w:name w:val="Emphasis"/>
    <w:qFormat/>
    <w:uiPriority w:val="20"/>
  </w:style>
  <w:style w:type="character" w:styleId="40">
    <w:name w:val="HTML Definition"/>
    <w:unhideWhenUsed/>
    <w:qFormat/>
    <w:uiPriority w:val="99"/>
  </w:style>
  <w:style w:type="character" w:styleId="41">
    <w:name w:val="HTML Variable"/>
    <w:unhideWhenUsed/>
    <w:qFormat/>
    <w:uiPriority w:val="99"/>
  </w:style>
  <w:style w:type="character" w:styleId="42">
    <w:name w:val="Hyperlink"/>
    <w:unhideWhenUsed/>
    <w:qFormat/>
    <w:uiPriority w:val="99"/>
    <w:rPr>
      <w:rFonts w:cs="Times New Roman"/>
      <w:color w:val="0000FF"/>
      <w:u w:val="single"/>
    </w:rPr>
  </w:style>
  <w:style w:type="character" w:styleId="43">
    <w:name w:val="HTML Code"/>
    <w:unhideWhenUsed/>
    <w:qFormat/>
    <w:uiPriority w:val="99"/>
    <w:rPr>
      <w:rFonts w:hint="eastAsia" w:ascii="微软雅黑" w:hAnsi="微软雅黑" w:eastAsia="微软雅黑" w:cs="微软雅黑"/>
      <w:sz w:val="20"/>
    </w:rPr>
  </w:style>
  <w:style w:type="character" w:styleId="44">
    <w:name w:val="annotation reference"/>
    <w:unhideWhenUsed/>
    <w:qFormat/>
    <w:uiPriority w:val="0"/>
    <w:rPr>
      <w:sz w:val="21"/>
      <w:szCs w:val="21"/>
    </w:rPr>
  </w:style>
  <w:style w:type="character" w:styleId="45">
    <w:name w:val="HTML Cite"/>
    <w:unhideWhenUsed/>
    <w:qFormat/>
    <w:uiPriority w:val="99"/>
  </w:style>
  <w:style w:type="character" w:styleId="46">
    <w:name w:val="HTML Keyboard"/>
    <w:unhideWhenUsed/>
    <w:qFormat/>
    <w:uiPriority w:val="99"/>
    <w:rPr>
      <w:rFonts w:hint="eastAsia" w:ascii="微软雅黑" w:hAnsi="微软雅黑" w:eastAsia="微软雅黑" w:cs="微软雅黑"/>
      <w:sz w:val="20"/>
    </w:rPr>
  </w:style>
  <w:style w:type="character" w:styleId="47">
    <w:name w:val="HTML Sample"/>
    <w:unhideWhenUsed/>
    <w:qFormat/>
    <w:uiPriority w:val="99"/>
    <w:rPr>
      <w:rFonts w:hint="eastAsia" w:ascii="微软雅黑" w:hAnsi="微软雅黑" w:eastAsia="微软雅黑" w:cs="微软雅黑"/>
    </w:rPr>
  </w:style>
  <w:style w:type="character" w:customStyle="1" w:styleId="48">
    <w:name w:val="标题 2 Char"/>
    <w:link w:val="4"/>
    <w:qFormat/>
    <w:uiPriority w:val="0"/>
    <w:rPr>
      <w:rFonts w:ascii="Arial" w:hAnsi="Arial" w:eastAsia="黑体" w:cs="Times New Roman"/>
      <w:b/>
      <w:bCs/>
      <w:sz w:val="32"/>
      <w:szCs w:val="32"/>
    </w:rPr>
  </w:style>
  <w:style w:type="character" w:customStyle="1" w:styleId="49">
    <w:name w:val="标题 3 Char"/>
    <w:link w:val="5"/>
    <w:qFormat/>
    <w:uiPriority w:val="0"/>
    <w:rPr>
      <w:rFonts w:ascii="Times New Roman" w:hAnsi="Times New Roman" w:eastAsia="宋体" w:cs="Times New Roman"/>
      <w:b/>
      <w:bCs/>
      <w:sz w:val="32"/>
      <w:szCs w:val="32"/>
    </w:rPr>
  </w:style>
  <w:style w:type="character" w:customStyle="1" w:styleId="50">
    <w:name w:val="标题 4 Char"/>
    <w:link w:val="6"/>
    <w:qFormat/>
    <w:uiPriority w:val="0"/>
    <w:rPr>
      <w:rFonts w:ascii="Arial" w:hAnsi="Arial" w:eastAsia="黑体" w:cs="Times New Roman"/>
      <w:kern w:val="0"/>
      <w:sz w:val="28"/>
      <w:szCs w:val="20"/>
    </w:rPr>
  </w:style>
  <w:style w:type="character" w:customStyle="1" w:styleId="51">
    <w:name w:val="标题 7 Char"/>
    <w:link w:val="10"/>
    <w:qFormat/>
    <w:uiPriority w:val="0"/>
    <w:rPr>
      <w:b/>
      <w:sz w:val="24"/>
      <w:szCs w:val="24"/>
    </w:rPr>
  </w:style>
  <w:style w:type="character" w:customStyle="1" w:styleId="52">
    <w:name w:val="正文文本缩进 2 Char"/>
    <w:link w:val="24"/>
    <w:qFormat/>
    <w:uiPriority w:val="0"/>
    <w:rPr>
      <w:rFonts w:ascii="Times New Roman" w:hAnsi="Times New Roman" w:eastAsia="宋体" w:cs="Times New Roman"/>
      <w:sz w:val="32"/>
      <w:szCs w:val="20"/>
    </w:rPr>
  </w:style>
  <w:style w:type="character" w:customStyle="1" w:styleId="53">
    <w:name w:val="批注框文本 Char"/>
    <w:link w:val="25"/>
    <w:semiHidden/>
    <w:qFormat/>
    <w:uiPriority w:val="0"/>
    <w:rPr>
      <w:rFonts w:ascii="Times New Roman" w:hAnsi="Times New Roman" w:eastAsia="宋体" w:cs="Times New Roman"/>
      <w:sz w:val="18"/>
      <w:szCs w:val="18"/>
    </w:rPr>
  </w:style>
  <w:style w:type="character" w:customStyle="1" w:styleId="54">
    <w:name w:val="页眉 Char"/>
    <w:link w:val="27"/>
    <w:semiHidden/>
    <w:qFormat/>
    <w:uiPriority w:val="99"/>
    <w:rPr>
      <w:sz w:val="18"/>
      <w:szCs w:val="18"/>
    </w:rPr>
  </w:style>
  <w:style w:type="character" w:customStyle="1" w:styleId="55">
    <w:name w:val="纯文本 Char"/>
    <w:qFormat/>
    <w:uiPriority w:val="0"/>
    <w:rPr>
      <w:rFonts w:ascii="宋体" w:hAnsi="Courier New" w:eastAsia="宋体" w:cs="Courier New"/>
      <w:szCs w:val="21"/>
    </w:rPr>
  </w:style>
  <w:style w:type="character" w:customStyle="1" w:styleId="56">
    <w:name w:val="select"/>
    <w:qFormat/>
    <w:uiPriority w:val="0"/>
    <w:rPr>
      <w:color w:val="1E8AE5"/>
    </w:rPr>
  </w:style>
  <w:style w:type="character" w:customStyle="1" w:styleId="57">
    <w:name w:val="num"/>
    <w:qFormat/>
    <w:uiPriority w:val="0"/>
    <w:rPr>
      <w:b/>
      <w:color w:val="FF7800"/>
    </w:rPr>
  </w:style>
  <w:style w:type="character" w:customStyle="1" w:styleId="58">
    <w:name w:val="font21"/>
    <w:qFormat/>
    <w:uiPriority w:val="0"/>
    <w:rPr>
      <w:rFonts w:hint="eastAsia" w:ascii="宋体" w:hAnsi="宋体" w:eastAsia="宋体" w:cs="宋体"/>
      <w:color w:val="000000"/>
      <w:sz w:val="24"/>
      <w:szCs w:val="24"/>
      <w:u w:val="none"/>
    </w:rPr>
  </w:style>
  <w:style w:type="character" w:customStyle="1" w:styleId="59">
    <w:name w:val="文档结构图 Char"/>
    <w:link w:val="15"/>
    <w:qFormat/>
    <w:uiPriority w:val="0"/>
    <w:rPr>
      <w:rFonts w:ascii="Times New Roman" w:hAnsi="Times New Roman" w:eastAsia="宋体" w:cs="Times New Roman"/>
      <w:kern w:val="0"/>
      <w:szCs w:val="20"/>
      <w:shd w:val="clear" w:color="auto" w:fill="000080"/>
    </w:rPr>
  </w:style>
  <w:style w:type="character" w:customStyle="1" w:styleId="60">
    <w:name w:val="日期 Char"/>
    <w:link w:val="23"/>
    <w:qFormat/>
    <w:uiPriority w:val="0"/>
    <w:rPr>
      <w:rFonts w:ascii="宋体" w:hAnsi="Courier New" w:eastAsia="宋体" w:cs="Courier New"/>
      <w:szCs w:val="21"/>
    </w:rPr>
  </w:style>
  <w:style w:type="character" w:customStyle="1" w:styleId="61">
    <w:name w:val="正文文本 2 Char"/>
    <w:link w:val="29"/>
    <w:qFormat/>
    <w:uiPriority w:val="0"/>
    <w:rPr>
      <w:rFonts w:ascii="Times New Roman" w:hAnsi="Times New Roman" w:eastAsia="宋体" w:cs="Times New Roman"/>
      <w:szCs w:val="24"/>
    </w:rPr>
  </w:style>
  <w:style w:type="character" w:customStyle="1" w:styleId="62">
    <w:name w:val="标题 6 Char"/>
    <w:link w:val="9"/>
    <w:qFormat/>
    <w:uiPriority w:val="0"/>
    <w:rPr>
      <w:rFonts w:ascii="Arial" w:hAnsi="Arial" w:eastAsia="黑体"/>
      <w:b/>
      <w:sz w:val="24"/>
      <w:szCs w:val="24"/>
    </w:rPr>
  </w:style>
  <w:style w:type="character" w:customStyle="1" w:styleId="63">
    <w:name w:val="answer-title"/>
    <w:basedOn w:val="36"/>
    <w:qFormat/>
    <w:uiPriority w:val="0"/>
  </w:style>
  <w:style w:type="character" w:customStyle="1" w:styleId="64">
    <w:name w:val="正文文本缩进 Char"/>
    <w:link w:val="19"/>
    <w:qFormat/>
    <w:uiPriority w:val="0"/>
    <w:rPr>
      <w:rFonts w:ascii="仿宋_GB2312" w:hAnsi="Times New Roman" w:eastAsia="仿宋_GB2312" w:cs="Times New Roman"/>
      <w:sz w:val="32"/>
      <w:szCs w:val="20"/>
    </w:rPr>
  </w:style>
  <w:style w:type="character" w:customStyle="1" w:styleId="65">
    <w:name w:val="批注主题 Char"/>
    <w:link w:val="33"/>
    <w:semiHidden/>
    <w:qFormat/>
    <w:uiPriority w:val="0"/>
    <w:rPr>
      <w:rFonts w:ascii="Times New Roman" w:hAnsi="Times New Roman" w:eastAsia="宋体" w:cs="Times New Roman"/>
      <w:b/>
      <w:bCs/>
      <w:szCs w:val="24"/>
    </w:rPr>
  </w:style>
  <w:style w:type="character" w:customStyle="1" w:styleId="66">
    <w:name w:val="HTML 预设格式 Char"/>
    <w:link w:val="30"/>
    <w:qFormat/>
    <w:uiPriority w:val="99"/>
    <w:rPr>
      <w:rFonts w:ascii="黑体" w:hAnsi="Courier New" w:eastAsia="黑体" w:cs="Courier New"/>
      <w:kern w:val="0"/>
      <w:sz w:val="20"/>
      <w:szCs w:val="20"/>
    </w:rPr>
  </w:style>
  <w:style w:type="character" w:customStyle="1" w:styleId="67">
    <w:name w:val="正文格式 Char"/>
    <w:link w:val="68"/>
    <w:qFormat/>
    <w:uiPriority w:val="0"/>
    <w:rPr>
      <w:color w:val="000000"/>
      <w:sz w:val="24"/>
    </w:rPr>
  </w:style>
  <w:style w:type="paragraph" w:customStyle="1" w:styleId="68">
    <w:name w:val="正文格式"/>
    <w:basedOn w:val="1"/>
    <w:link w:val="67"/>
    <w:qFormat/>
    <w:uiPriority w:val="0"/>
    <w:pPr>
      <w:widowControl/>
      <w:adjustRightInd w:val="0"/>
      <w:snapToGrid w:val="0"/>
      <w:spacing w:line="360" w:lineRule="auto"/>
      <w:ind w:firstLine="480" w:firstLineChars="200"/>
      <w:jc w:val="left"/>
      <w:textAlignment w:val="baseline"/>
    </w:pPr>
    <w:rPr>
      <w:color w:val="000000"/>
      <w:kern w:val="0"/>
      <w:sz w:val="24"/>
      <w:szCs w:val="20"/>
    </w:rPr>
  </w:style>
  <w:style w:type="character" w:customStyle="1" w:styleId="69">
    <w:name w:val="普通文字 Char Char2"/>
    <w:qFormat/>
    <w:uiPriority w:val="0"/>
    <w:rPr>
      <w:rFonts w:ascii="宋体" w:hAnsi="Courier New" w:eastAsia="宋体"/>
      <w:kern w:val="2"/>
      <w:sz w:val="21"/>
      <w:lang w:val="en-US" w:eastAsia="zh-CN" w:bidi="ar-SA"/>
    </w:rPr>
  </w:style>
  <w:style w:type="character" w:customStyle="1" w:styleId="70">
    <w:name w:val="标题 1 Char"/>
    <w:link w:val="3"/>
    <w:qFormat/>
    <w:uiPriority w:val="0"/>
    <w:rPr>
      <w:rFonts w:ascii="Times New Roman" w:hAnsi="Times New Roman" w:eastAsia="宋体" w:cs="Times New Roman"/>
      <w:b/>
      <w:bCs/>
      <w:kern w:val="44"/>
      <w:sz w:val="44"/>
      <w:szCs w:val="44"/>
    </w:rPr>
  </w:style>
  <w:style w:type="character" w:customStyle="1" w:styleId="71">
    <w:name w:val="first-child"/>
    <w:basedOn w:val="36"/>
    <w:qFormat/>
    <w:uiPriority w:val="0"/>
  </w:style>
  <w:style w:type="character" w:customStyle="1" w:styleId="72">
    <w:name w:val="font11"/>
    <w:qFormat/>
    <w:uiPriority w:val="0"/>
    <w:rPr>
      <w:rFonts w:hint="eastAsia" w:ascii="宋体" w:hAnsi="宋体" w:eastAsia="宋体" w:cs="宋体"/>
      <w:color w:val="000000"/>
      <w:sz w:val="24"/>
      <w:szCs w:val="24"/>
      <w:u w:val="none"/>
    </w:rPr>
  </w:style>
  <w:style w:type="character" w:customStyle="1" w:styleId="73">
    <w:name w:val="正文文本 Char"/>
    <w:link w:val="18"/>
    <w:qFormat/>
    <w:uiPriority w:val="0"/>
    <w:rPr>
      <w:rFonts w:ascii="Times New Roman" w:hAnsi="Times New Roman" w:eastAsia="宋体" w:cs="Times New Roman"/>
      <w:sz w:val="24"/>
      <w:szCs w:val="24"/>
    </w:rPr>
  </w:style>
  <w:style w:type="character" w:customStyle="1" w:styleId="74">
    <w:name w:val="zhuti"/>
    <w:basedOn w:val="36"/>
    <w:qFormat/>
    <w:uiPriority w:val="0"/>
  </w:style>
  <w:style w:type="character" w:customStyle="1" w:styleId="75">
    <w:name w:val="layui-this"/>
    <w:qFormat/>
    <w:uiPriority w:val="0"/>
    <w:rPr>
      <w:bdr w:val="single" w:color="EEEEEE" w:sz="4" w:space="0"/>
      <w:shd w:val="clear" w:color="auto" w:fill="FFFFFF"/>
    </w:rPr>
  </w:style>
  <w:style w:type="character" w:customStyle="1" w:styleId="76">
    <w:name w:val="标题 9 Char"/>
    <w:link w:val="12"/>
    <w:qFormat/>
    <w:uiPriority w:val="0"/>
    <w:rPr>
      <w:rFonts w:ascii="Arial" w:hAnsi="Arial" w:eastAsia="黑体"/>
      <w:szCs w:val="24"/>
    </w:rPr>
  </w:style>
  <w:style w:type="character" w:customStyle="1" w:styleId="77">
    <w:name w:val="批注文字 Char"/>
    <w:link w:val="16"/>
    <w:semiHidden/>
    <w:qFormat/>
    <w:uiPriority w:val="99"/>
    <w:rPr>
      <w:rFonts w:ascii="Times New Roman" w:hAnsi="Times New Roman" w:eastAsia="宋体" w:cs="Times New Roman"/>
      <w:szCs w:val="24"/>
    </w:rPr>
  </w:style>
  <w:style w:type="character" w:customStyle="1" w:styleId="78">
    <w:name w:val="页脚 Char"/>
    <w:link w:val="26"/>
    <w:semiHidden/>
    <w:qFormat/>
    <w:uiPriority w:val="99"/>
    <w:rPr>
      <w:sz w:val="18"/>
      <w:szCs w:val="18"/>
    </w:rPr>
  </w:style>
  <w:style w:type="character" w:customStyle="1" w:styleId="79">
    <w:name w:val="标题 #2 + 间距 2 pt"/>
    <w:qFormat/>
    <w:uiPriority w:val="0"/>
    <w:rPr>
      <w:rFonts w:ascii="MingLiU" w:hAnsi="MingLiU" w:eastAsia="MingLiU" w:cs="MingLiU"/>
      <w:color w:val="000000"/>
      <w:spacing w:val="50"/>
      <w:w w:val="100"/>
      <w:position w:val="0"/>
      <w:sz w:val="32"/>
      <w:szCs w:val="32"/>
      <w:u w:val="none"/>
      <w:lang w:val="zh-TW" w:eastAsia="zh-TW"/>
    </w:rPr>
  </w:style>
  <w:style w:type="character" w:customStyle="1" w:styleId="80">
    <w:name w:val="标题 5 Char"/>
    <w:link w:val="7"/>
    <w:qFormat/>
    <w:uiPriority w:val="0"/>
    <w:rPr>
      <w:b/>
      <w:sz w:val="28"/>
      <w:szCs w:val="24"/>
    </w:rPr>
  </w:style>
  <w:style w:type="character" w:customStyle="1" w:styleId="81">
    <w:name w:val="font01"/>
    <w:qFormat/>
    <w:uiPriority w:val="0"/>
    <w:rPr>
      <w:rFonts w:hint="eastAsia" w:ascii="宋体" w:hAnsi="宋体" w:eastAsia="宋体" w:cs="宋体"/>
      <w:color w:val="000000"/>
      <w:sz w:val="22"/>
      <w:szCs w:val="22"/>
      <w:u w:val="none"/>
      <w:vertAlign w:val="superscript"/>
    </w:rPr>
  </w:style>
  <w:style w:type="character" w:customStyle="1" w:styleId="82">
    <w:name w:val="1ji Char"/>
    <w:link w:val="83"/>
    <w:qFormat/>
    <w:uiPriority w:val="0"/>
    <w:rPr>
      <w:rFonts w:ascii="宋体" w:hAnsi="宋体" w:eastAsia="宋体" w:cs="Times New Roman"/>
      <w:b/>
      <w:bCs/>
      <w:kern w:val="44"/>
      <w:sz w:val="36"/>
      <w:szCs w:val="44"/>
    </w:rPr>
  </w:style>
  <w:style w:type="paragraph" w:customStyle="1" w:styleId="83">
    <w:name w:val="1ji"/>
    <w:basedOn w:val="3"/>
    <w:link w:val="82"/>
    <w:qFormat/>
    <w:uiPriority w:val="0"/>
    <w:pPr>
      <w:widowControl/>
      <w:spacing w:before="0" w:after="0" w:line="240" w:lineRule="auto"/>
      <w:jc w:val="center"/>
    </w:pPr>
    <w:rPr>
      <w:rFonts w:ascii="宋体" w:hAnsi="宋体"/>
      <w:sz w:val="36"/>
    </w:rPr>
  </w:style>
  <w:style w:type="character" w:customStyle="1" w:styleId="84">
    <w:name w:val="纯文本 Char1"/>
    <w:link w:val="22"/>
    <w:qFormat/>
    <w:uiPriority w:val="0"/>
    <w:rPr>
      <w:rFonts w:ascii="宋体" w:hAnsi="Courier New" w:eastAsia="宋体" w:cs="Courier New"/>
      <w:szCs w:val="21"/>
    </w:rPr>
  </w:style>
  <w:style w:type="character" w:customStyle="1" w:styleId="85">
    <w:name w:val="font31"/>
    <w:qFormat/>
    <w:uiPriority w:val="0"/>
    <w:rPr>
      <w:rFonts w:ascii="宋体" w:hAnsi="宋体" w:eastAsia="宋体" w:cs="宋体"/>
      <w:color w:val="000000"/>
      <w:sz w:val="22"/>
      <w:szCs w:val="22"/>
      <w:u w:val="none"/>
    </w:rPr>
  </w:style>
  <w:style w:type="character" w:customStyle="1" w:styleId="86">
    <w:name w:val="正文文本缩进 3 Char"/>
    <w:link w:val="28"/>
    <w:qFormat/>
    <w:uiPriority w:val="0"/>
    <w:rPr>
      <w:rFonts w:ascii="Times New Roman" w:hAnsi="Times New Roman" w:eastAsia="宋体" w:cs="Times New Roman"/>
      <w:sz w:val="16"/>
      <w:szCs w:val="16"/>
    </w:rPr>
  </w:style>
  <w:style w:type="character" w:customStyle="1" w:styleId="87">
    <w:name w:val="font51"/>
    <w:qFormat/>
    <w:uiPriority w:val="0"/>
    <w:rPr>
      <w:rFonts w:hint="eastAsia" w:ascii="宋体" w:hAnsi="宋体" w:eastAsia="宋体" w:cs="宋体"/>
      <w:color w:val="000000"/>
      <w:sz w:val="22"/>
      <w:szCs w:val="22"/>
      <w:u w:val="none"/>
    </w:rPr>
  </w:style>
  <w:style w:type="character" w:customStyle="1" w:styleId="88">
    <w:name w:val="正文文本 字符"/>
    <w:qFormat/>
    <w:uiPriority w:val="0"/>
    <w:rPr>
      <w:sz w:val="24"/>
      <w:szCs w:val="24"/>
    </w:rPr>
  </w:style>
  <w:style w:type="character" w:customStyle="1" w:styleId="89">
    <w:name w:val="标题 8 Char"/>
    <w:link w:val="11"/>
    <w:qFormat/>
    <w:uiPriority w:val="0"/>
    <w:rPr>
      <w:rFonts w:ascii="Arial" w:hAnsi="Arial" w:eastAsia="黑体"/>
      <w:sz w:val="24"/>
      <w:szCs w:val="24"/>
    </w:rPr>
  </w:style>
  <w:style w:type="character" w:customStyle="1" w:styleId="90">
    <w:name w:val="正文文本 3 Char"/>
    <w:link w:val="17"/>
    <w:qFormat/>
    <w:uiPriority w:val="0"/>
    <w:rPr>
      <w:rFonts w:ascii="Times New Roman" w:hAnsi="Times New Roman" w:eastAsia="宋体" w:cs="Times New Roman"/>
      <w:b/>
      <w:bCs/>
      <w:sz w:val="24"/>
      <w:szCs w:val="24"/>
    </w:rPr>
  </w:style>
  <w:style w:type="paragraph" w:customStyle="1" w:styleId="91">
    <w:name w:val="纯文本1"/>
    <w:basedOn w:val="1"/>
    <w:qFormat/>
    <w:uiPriority w:val="0"/>
    <w:pPr>
      <w:suppressAutoHyphens/>
    </w:pPr>
    <w:rPr>
      <w:rFonts w:ascii="宋体" w:hAnsi="宋体" w:cs="Calibri"/>
      <w:kern w:val="1"/>
      <w:sz w:val="20"/>
      <w:szCs w:val="21"/>
      <w:lang w:eastAsia="ar-SA"/>
    </w:rPr>
  </w:style>
  <w:style w:type="paragraph" w:customStyle="1" w:styleId="92">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3">
    <w:name w:val="_Style 1"/>
    <w:basedOn w:val="1"/>
    <w:unhideWhenUsed/>
    <w:qFormat/>
    <w:uiPriority w:val="34"/>
    <w:pPr>
      <w:ind w:firstLine="420" w:firstLineChars="200"/>
    </w:pPr>
  </w:style>
  <w:style w:type="paragraph" w:customStyle="1" w:styleId="94">
    <w:name w:val="默认段落字体 Para Char Char Char Char Char Char Char Char Char1 Char Char Char Char"/>
    <w:basedOn w:val="1"/>
    <w:qFormat/>
    <w:uiPriority w:val="0"/>
    <w:rPr>
      <w:rFonts w:ascii="Tahoma" w:hAnsi="Tahoma"/>
      <w:sz w:val="24"/>
      <w:szCs w:val="20"/>
    </w:rPr>
  </w:style>
  <w:style w:type="paragraph" w:customStyle="1" w:styleId="95">
    <w:name w:val="彩色列表 - 强调文字颜色 11"/>
    <w:basedOn w:val="1"/>
    <w:qFormat/>
    <w:uiPriority w:val="34"/>
    <w:pPr>
      <w:widowControl/>
      <w:ind w:firstLine="420" w:firstLineChars="200"/>
      <w:jc w:val="left"/>
    </w:pPr>
    <w:rPr>
      <w:kern w:val="0"/>
    </w:rPr>
  </w:style>
  <w:style w:type="paragraph" w:customStyle="1" w:styleId="96">
    <w:name w:val="_Style 2"/>
    <w:basedOn w:val="1"/>
    <w:unhideWhenUsed/>
    <w:qFormat/>
    <w:uiPriority w:val="34"/>
    <w:pPr>
      <w:ind w:firstLine="420" w:firstLineChars="200"/>
    </w:pPr>
  </w:style>
  <w:style w:type="paragraph" w:customStyle="1" w:styleId="9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8">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99">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00">
    <w:name w:val="L4目录"/>
    <w:basedOn w:val="101"/>
    <w:qFormat/>
    <w:uiPriority w:val="0"/>
    <w:pPr>
      <w:ind w:left="1006" w:hanging="864"/>
      <w:outlineLvl w:val="3"/>
    </w:pPr>
    <w:rPr>
      <w:b/>
      <w:sz w:val="30"/>
    </w:rPr>
  </w:style>
  <w:style w:type="paragraph" w:customStyle="1" w:styleId="101">
    <w:name w:val="列出段落1"/>
    <w:basedOn w:val="1"/>
    <w:qFormat/>
    <w:uiPriority w:val="0"/>
    <w:pPr>
      <w:ind w:firstLine="420"/>
    </w:pPr>
  </w:style>
  <w:style w:type="paragraph" w:customStyle="1" w:styleId="102">
    <w:name w:val="彩色列表 - 着色 11"/>
    <w:basedOn w:val="1"/>
    <w:qFormat/>
    <w:uiPriority w:val="34"/>
    <w:pPr>
      <w:ind w:firstLine="420"/>
    </w:pPr>
  </w:style>
  <w:style w:type="paragraph" w:customStyle="1" w:styleId="103">
    <w:name w:val="【正文】"/>
    <w:basedOn w:val="1"/>
    <w:qFormat/>
    <w:uiPriority w:val="0"/>
    <w:pPr>
      <w:spacing w:line="360" w:lineRule="auto"/>
    </w:pPr>
    <w:rPr>
      <w:rFonts w:cs="黑体"/>
      <w:sz w:val="24"/>
    </w:rPr>
  </w:style>
  <w:style w:type="paragraph" w:customStyle="1" w:styleId="104">
    <w:name w:val="正文 New New New New New New New New New New New New New New New New New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05">
    <w:name w:val="正文段"/>
    <w:basedOn w:val="1"/>
    <w:qFormat/>
    <w:uiPriority w:val="0"/>
    <w:pPr>
      <w:widowControl/>
      <w:snapToGrid w:val="0"/>
      <w:spacing w:afterLines="50"/>
      <w:ind w:firstLine="200" w:firstLineChars="200"/>
    </w:pPr>
    <w:rPr>
      <w:kern w:val="0"/>
      <w:sz w:val="24"/>
      <w:szCs w:val="20"/>
    </w:rPr>
  </w:style>
  <w:style w:type="paragraph" w:customStyle="1" w:styleId="106">
    <w:name w:val="列出段落11"/>
    <w:basedOn w:val="1"/>
    <w:qFormat/>
    <w:uiPriority w:val="0"/>
    <w:pPr>
      <w:ind w:firstLine="420" w:firstLineChars="200"/>
    </w:pPr>
    <w:rPr>
      <w:rFonts w:cs="黑体"/>
    </w:rPr>
  </w:style>
  <w:style w:type="paragraph" w:customStyle="1" w:styleId="107">
    <w:name w:val="p0"/>
    <w:basedOn w:val="1"/>
    <w:qFormat/>
    <w:uiPriority w:val="0"/>
    <w:pPr>
      <w:widowControl/>
    </w:pPr>
    <w:rPr>
      <w:kern w:val="0"/>
      <w:szCs w:val="21"/>
    </w:rPr>
  </w:style>
  <w:style w:type="paragraph" w:customStyle="1" w:styleId="108">
    <w:name w:val="L3目录"/>
    <w:basedOn w:val="101"/>
    <w:qFormat/>
    <w:uiPriority w:val="0"/>
    <w:pPr>
      <w:ind w:left="720" w:hanging="720"/>
      <w:outlineLvl w:val="2"/>
    </w:pPr>
    <w:rPr>
      <w:b/>
      <w:sz w:val="32"/>
    </w:rPr>
  </w:style>
  <w:style w:type="paragraph" w:styleId="109">
    <w:name w:val="List Paragraph"/>
    <w:basedOn w:val="1"/>
    <w:qFormat/>
    <w:uiPriority w:val="34"/>
    <w:pPr>
      <w:ind w:firstLine="420" w:firstLineChars="200"/>
    </w:pPr>
    <w:rPr>
      <w:rFonts w:ascii="等线" w:hAnsi="等线" w:eastAsia="等线"/>
      <w:szCs w:val="22"/>
    </w:rPr>
  </w:style>
  <w:style w:type="paragraph" w:customStyle="1" w:styleId="110">
    <w:name w:val="列出段落2"/>
    <w:basedOn w:val="1"/>
    <w:qFormat/>
    <w:uiPriority w:val="0"/>
    <w:pPr>
      <w:spacing w:before="100" w:beforeAutospacing="1" w:after="100" w:afterAutospacing="1"/>
      <w:ind w:firstLine="420"/>
    </w:pPr>
  </w:style>
  <w:style w:type="paragraph" w:customStyle="1" w:styleId="111">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12">
    <w:name w:val="表内文字"/>
    <w:basedOn w:val="1"/>
    <w:qFormat/>
    <w:uiPriority w:val="0"/>
    <w:pPr>
      <w:snapToGrid w:val="0"/>
      <w:spacing w:before="50" w:after="50"/>
      <w:jc w:val="center"/>
    </w:pPr>
    <w:rPr>
      <w:rFonts w:ascii="仿宋_GB2312" w:hAnsi="宋体" w:eastAsia="仿宋_GB2312"/>
      <w:b/>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94</Pages>
  <Words>12097</Words>
  <Characters>68955</Characters>
  <Lines>574</Lines>
  <Paragraphs>161</Paragraphs>
  <TotalTime>2</TotalTime>
  <ScaleCrop>false</ScaleCrop>
  <LinksUpToDate>false</LinksUpToDate>
  <CharactersWithSpaces>80891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2020-07-10T02:21:00Z</dcterms:created>
  <dc:creator>Administrator</dc:creator>
  <cp:lastModifiedBy>Leligo</cp:lastModifiedBy>
  <cp:lastPrinted>2020-07-15T10:40:00Z</cp:lastPrinted>
  <dcterms:modified xsi:type="dcterms:W3CDTF">2020-07-24T04:07:19Z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