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highlight w:val="none"/>
        </w:rPr>
      </w:pPr>
      <w:bookmarkStart w:id="0" w:name="_Toc217446030"/>
      <w:bookmarkStart w:id="1" w:name="_Toc183682338"/>
      <w:r>
        <w:rPr>
          <w:rFonts w:hint="eastAsia" w:ascii="宋体" w:hAnsi="宋体"/>
          <w:sz w:val="24"/>
          <w:highlight w:val="none"/>
        </w:rPr>
        <w:t xml:space="preserve"> </w:t>
      </w:r>
    </w:p>
    <w:p>
      <w:pPr>
        <w:ind w:left="187" w:leftChars="89"/>
        <w:jc w:val="right"/>
        <w:rPr>
          <w:rFonts w:ascii="宋体" w:hAnsi="宋体"/>
          <w:sz w:val="24"/>
          <w:highlight w:val="none"/>
        </w:rPr>
      </w:pPr>
    </w:p>
    <w:p>
      <w:pPr>
        <w:rPr>
          <w:rFonts w:ascii="宋体" w:hAnsi="宋体" w:cs="宋体"/>
          <w:b/>
          <w:sz w:val="52"/>
          <w:szCs w:val="52"/>
          <w:highlight w:val="none"/>
          <w:u w:val="single"/>
        </w:rPr>
      </w:pPr>
      <w:bookmarkStart w:id="2" w:name="jinjicd"/>
      <w:bookmarkEnd w:id="2"/>
      <w:bookmarkStart w:id="3" w:name="csmb"/>
      <w:bookmarkEnd w:id="3"/>
      <w:r>
        <w:rPr>
          <w:rFonts w:hint="eastAsia"/>
          <w:highlight w:val="none"/>
        </w:rPr>
        <w:t xml:space="preserve"> </w:t>
      </w:r>
      <w:r>
        <w:rPr>
          <w:highlight w:val="none"/>
        </w:rPr>
        <w:drawing>
          <wp:inline distT="0" distB="0" distL="114300" distR="114300">
            <wp:extent cx="913765" cy="726440"/>
            <wp:effectExtent l="0" t="0" r="635"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913765" cy="726440"/>
                    </a:xfrm>
                    <a:prstGeom prst="rect">
                      <a:avLst/>
                    </a:prstGeom>
                    <a:noFill/>
                    <a:ln>
                      <a:noFill/>
                    </a:ln>
                  </pic:spPr>
                </pic:pic>
              </a:graphicData>
            </a:graphic>
          </wp:inline>
        </w:drawing>
      </w:r>
      <w:r>
        <w:rPr>
          <w:rFonts w:hint="eastAsia" w:ascii="宋体" w:hAnsi="宋体" w:cs="宋体"/>
          <w:b/>
          <w:sz w:val="44"/>
          <w:szCs w:val="44"/>
          <w:highlight w:val="none"/>
        </w:rPr>
        <w:t xml:space="preserve"> 广西鸿业建设工程管理咨询有限公司 </w:t>
      </w:r>
    </w:p>
    <w:tbl>
      <w:tblPr>
        <w:tblStyle w:val="35"/>
        <w:tblW w:w="9180"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8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9180" w:type="dxa"/>
            <w:tcBorders>
              <w:top w:val="thickThinSmallGap" w:color="auto" w:sz="24" w:space="0"/>
            </w:tcBorders>
          </w:tcPr>
          <w:p>
            <w:pPr>
              <w:spacing w:line="240" w:lineRule="exact"/>
              <w:jc w:val="center"/>
              <w:rPr>
                <w:rFonts w:ascii="楷体_GB2312" w:hAnsi="宋体" w:eastAsia="楷体_GB2312" w:cs="宋体"/>
                <w:bCs/>
                <w:kern w:val="0"/>
                <w:sz w:val="28"/>
                <w:szCs w:val="28"/>
                <w:highlight w:val="none"/>
              </w:rPr>
            </w:pPr>
          </w:p>
        </w:tc>
      </w:tr>
    </w:tbl>
    <w:p>
      <w:pPr>
        <w:spacing w:line="720" w:lineRule="exact"/>
        <w:jc w:val="center"/>
        <w:rPr>
          <w:rFonts w:ascii="宋体" w:hAnsi="宋体" w:cs="宋体"/>
          <w:sz w:val="52"/>
          <w:highlight w:val="none"/>
        </w:rPr>
      </w:pPr>
    </w:p>
    <w:p>
      <w:pPr>
        <w:spacing w:line="800" w:lineRule="exact"/>
        <w:jc w:val="center"/>
        <w:rPr>
          <w:rFonts w:ascii="宋体" w:hAnsi="宋体" w:cs="宋体"/>
          <w:sz w:val="52"/>
          <w:highlight w:val="none"/>
        </w:rPr>
      </w:pPr>
    </w:p>
    <w:p>
      <w:pPr>
        <w:spacing w:line="1000" w:lineRule="exact"/>
        <w:jc w:val="center"/>
        <w:rPr>
          <w:rFonts w:ascii="宋体" w:hAnsi="宋体" w:cs="宋体"/>
          <w:b/>
          <w:sz w:val="84"/>
          <w:szCs w:val="84"/>
          <w:highlight w:val="none"/>
        </w:rPr>
      </w:pPr>
      <w:r>
        <w:rPr>
          <w:rFonts w:hint="eastAsia" w:ascii="宋体" w:hAnsi="宋体" w:cs="宋体"/>
          <w:b/>
          <w:sz w:val="84"/>
          <w:szCs w:val="84"/>
          <w:highlight w:val="none"/>
        </w:rPr>
        <w:t xml:space="preserve"> 公开招标文件</w:t>
      </w:r>
      <w:r>
        <w:rPr>
          <w:rFonts w:hint="eastAsia" w:ascii="宋体" w:hAnsi="宋体" w:cs="宋体"/>
          <w:b/>
          <w:sz w:val="84"/>
          <w:szCs w:val="84"/>
          <w:highlight w:val="none"/>
        </w:rPr>
        <w:cr/>
      </w:r>
      <w:r>
        <w:rPr>
          <w:rFonts w:hint="eastAsia" w:ascii="宋体" w:hAnsi="宋体" w:cs="宋体"/>
          <w:b/>
          <w:sz w:val="84"/>
          <w:szCs w:val="84"/>
          <w:highlight w:val="none"/>
        </w:rPr>
        <w:cr/>
      </w:r>
    </w:p>
    <w:p>
      <w:pPr>
        <w:pStyle w:val="22"/>
        <w:rPr>
          <w:rFonts w:hAnsi="宋体" w:cs="宋体"/>
          <w:highlight w:val="none"/>
        </w:rPr>
      </w:pPr>
    </w:p>
    <w:p>
      <w:pPr>
        <w:ind w:left="2731" w:hanging="2731" w:hangingChars="850"/>
        <w:jc w:val="left"/>
        <w:rPr>
          <w:rFonts w:ascii="宋体" w:hAnsi="宋体" w:cs="宋体"/>
          <w:b/>
          <w:bCs/>
          <w:kern w:val="0"/>
          <w:sz w:val="32"/>
          <w:highlight w:val="none"/>
        </w:rPr>
      </w:pPr>
      <w:r>
        <w:rPr>
          <w:rFonts w:hint="eastAsia" w:ascii="宋体" w:hAnsi="宋体" w:cs="宋体"/>
          <w:b/>
          <w:bCs/>
          <w:kern w:val="0"/>
          <w:sz w:val="32"/>
          <w:highlight w:val="none"/>
        </w:rPr>
        <w:t xml:space="preserve">  项目名称：防城港市防城区边境智能化卡口云建设项目设备采购</w:t>
      </w:r>
      <w:r>
        <w:rPr>
          <w:rFonts w:hint="eastAsia" w:ascii="宋体" w:hAnsi="宋体" w:cs="宋体"/>
          <w:b/>
          <w:bCs/>
          <w:color w:val="0E0EE2"/>
          <w:kern w:val="0"/>
          <w:sz w:val="32"/>
          <w:highlight w:val="none"/>
        </w:rPr>
        <w:t xml:space="preserve"> </w:t>
      </w:r>
      <w:r>
        <w:rPr>
          <w:rFonts w:hint="eastAsia" w:ascii="宋体" w:hAnsi="宋体" w:cs="宋体"/>
          <w:b/>
          <w:bCs/>
          <w:kern w:val="0"/>
          <w:sz w:val="32"/>
          <w:highlight w:val="none"/>
        </w:rPr>
        <w:t xml:space="preserve">     </w:t>
      </w:r>
    </w:p>
    <w:p>
      <w:pPr>
        <w:ind w:firstLine="321" w:firstLineChars="100"/>
        <w:jc w:val="left"/>
        <w:rPr>
          <w:rFonts w:ascii="宋体" w:hAnsi="宋体" w:cs="宋体"/>
          <w:b/>
          <w:spacing w:val="40"/>
          <w:sz w:val="32"/>
          <w:szCs w:val="32"/>
          <w:highlight w:val="none"/>
        </w:rPr>
      </w:pPr>
      <w:r>
        <w:rPr>
          <w:rFonts w:hint="eastAsia" w:ascii="宋体" w:hAnsi="宋体" w:cs="宋体"/>
          <w:b/>
          <w:bCs/>
          <w:kern w:val="0"/>
          <w:sz w:val="32"/>
          <w:highlight w:val="none"/>
        </w:rPr>
        <w:t>项目编号：FCZC2020-G1-10004-GXHY</w:t>
      </w:r>
    </w:p>
    <w:p>
      <w:pPr>
        <w:ind w:firstLine="1050" w:firstLineChars="500"/>
        <w:rPr>
          <w:rFonts w:ascii="宋体" w:hAnsi="宋体" w:cs="宋体"/>
          <w:highlight w:val="none"/>
        </w:rPr>
      </w:pPr>
      <w:r>
        <w:rPr>
          <w:rFonts w:hint="eastAsia" w:ascii="宋体" w:hAnsi="宋体" w:cs="宋体"/>
          <w:highlight w:val="none"/>
        </w:rPr>
        <w:cr/>
      </w:r>
    </w:p>
    <w:p>
      <w:pPr>
        <w:ind w:firstLine="1050" w:firstLineChars="500"/>
        <w:rPr>
          <w:rFonts w:ascii="宋体" w:hAnsi="宋体" w:cs="宋体"/>
          <w:highlight w:val="none"/>
        </w:rPr>
      </w:pPr>
    </w:p>
    <w:p>
      <w:pPr>
        <w:ind w:firstLine="1050" w:firstLineChars="500"/>
        <w:rPr>
          <w:rFonts w:ascii="宋体" w:hAnsi="宋体" w:cs="宋体"/>
          <w:highlight w:val="none"/>
        </w:rPr>
      </w:pPr>
    </w:p>
    <w:p>
      <w:pPr>
        <w:rPr>
          <w:rFonts w:ascii="宋体" w:hAnsi="宋体" w:cs="宋体"/>
          <w:highlight w:val="none"/>
        </w:rPr>
      </w:pPr>
    </w:p>
    <w:p>
      <w:pPr>
        <w:ind w:firstLine="1050" w:firstLineChars="500"/>
        <w:rPr>
          <w:rFonts w:ascii="宋体" w:hAnsi="宋体" w:cs="宋体"/>
          <w:highlight w:val="none"/>
        </w:rPr>
      </w:pPr>
    </w:p>
    <w:p>
      <w:pPr>
        <w:ind w:firstLine="1050" w:firstLineChars="500"/>
        <w:rPr>
          <w:rFonts w:ascii="宋体" w:hAnsi="宋体" w:cs="宋体"/>
          <w:highlight w:val="none"/>
        </w:rPr>
      </w:pPr>
    </w:p>
    <w:p>
      <w:pPr>
        <w:pStyle w:val="2"/>
        <w:rPr>
          <w:rFonts w:ascii="宋体" w:hAnsi="宋体" w:cs="宋体"/>
          <w:highlight w:val="none"/>
        </w:rPr>
      </w:pPr>
    </w:p>
    <w:p>
      <w:pPr>
        <w:pStyle w:val="2"/>
        <w:rPr>
          <w:rFonts w:ascii="宋体" w:hAnsi="宋体" w:cs="宋体"/>
          <w:highlight w:val="none"/>
        </w:rPr>
      </w:pPr>
    </w:p>
    <w:p>
      <w:pPr>
        <w:pStyle w:val="2"/>
        <w:rPr>
          <w:rFonts w:ascii="宋体" w:hAnsi="宋体" w:cs="宋体"/>
          <w:highlight w:val="none"/>
        </w:rPr>
      </w:pPr>
    </w:p>
    <w:p>
      <w:pPr>
        <w:pStyle w:val="2"/>
        <w:rPr>
          <w:rFonts w:ascii="宋体" w:hAnsi="宋体" w:cs="宋体"/>
          <w:highlight w:val="none"/>
        </w:rPr>
      </w:pPr>
    </w:p>
    <w:p>
      <w:pPr>
        <w:ind w:firstLine="1050" w:firstLineChars="500"/>
        <w:rPr>
          <w:rFonts w:ascii="宋体" w:hAnsi="宋体" w:cs="宋体"/>
          <w:highlight w:val="none"/>
        </w:rPr>
      </w:pPr>
    </w:p>
    <w:p>
      <w:pPr>
        <w:pStyle w:val="22"/>
        <w:tabs>
          <w:tab w:val="left" w:pos="8860"/>
          <w:tab w:val="left" w:pos="9140"/>
        </w:tabs>
        <w:ind w:firstLine="1285" w:firstLineChars="400"/>
        <w:rPr>
          <w:rFonts w:hAnsi="宋体" w:cs="宋体"/>
          <w:b/>
          <w:sz w:val="32"/>
          <w:szCs w:val="32"/>
          <w:highlight w:val="none"/>
        </w:rPr>
      </w:pPr>
      <w:r>
        <w:rPr>
          <w:rFonts w:hint="eastAsia" w:hAnsi="宋体" w:cs="宋体"/>
          <w:b/>
          <w:sz w:val="32"/>
          <w:szCs w:val="32"/>
          <w:highlight w:val="none"/>
        </w:rPr>
        <w:t>采 购 人：防城港市公安局防城分局</w:t>
      </w:r>
    </w:p>
    <w:p>
      <w:pPr>
        <w:pStyle w:val="22"/>
        <w:tabs>
          <w:tab w:val="left" w:pos="8860"/>
          <w:tab w:val="left" w:pos="9140"/>
        </w:tabs>
        <w:ind w:firstLine="643" w:firstLineChars="200"/>
        <w:rPr>
          <w:rFonts w:hAnsi="宋体" w:cs="宋体"/>
          <w:sz w:val="44"/>
          <w:highlight w:val="none"/>
        </w:rPr>
      </w:pPr>
      <w:r>
        <w:rPr>
          <w:rFonts w:hint="eastAsia" w:hAnsi="宋体" w:cs="宋体"/>
          <w:b/>
          <w:sz w:val="32"/>
          <w:szCs w:val="32"/>
          <w:highlight w:val="none"/>
        </w:rPr>
        <w:t>采购代理机构：广西鸿业建设工程管理咨询有限公司</w:t>
      </w:r>
      <w:r>
        <w:rPr>
          <w:rFonts w:hint="eastAsia" w:hAnsi="宋体" w:cs="宋体"/>
          <w:b/>
          <w:sz w:val="32"/>
          <w:szCs w:val="32"/>
          <w:highlight w:val="none"/>
        </w:rPr>
        <w:cr/>
      </w:r>
      <w:r>
        <w:rPr>
          <w:rFonts w:hint="eastAsia" w:hAnsi="宋体" w:cs="宋体"/>
          <w:b/>
          <w:bCs/>
          <w:spacing w:val="40"/>
          <w:sz w:val="32"/>
          <w:highlight w:val="none"/>
        </w:rPr>
        <w:t xml:space="preserve">              </w:t>
      </w:r>
      <w:r>
        <w:rPr>
          <w:rFonts w:hint="eastAsia" w:hAnsi="宋体" w:cs="宋体"/>
          <w:b/>
          <w:sz w:val="32"/>
          <w:szCs w:val="32"/>
          <w:highlight w:val="none"/>
        </w:rPr>
        <w:t>2020</w:t>
      </w:r>
      <w:r>
        <w:rPr>
          <w:rFonts w:hint="eastAsia" w:hAnsi="宋体" w:cs="宋体"/>
          <w:b/>
          <w:bCs/>
          <w:sz w:val="32"/>
          <w:highlight w:val="none"/>
        </w:rPr>
        <w:t>年</w:t>
      </w:r>
      <w:r>
        <w:rPr>
          <w:rFonts w:hint="eastAsia" w:hAnsi="宋体" w:cs="宋体"/>
          <w:b/>
          <w:sz w:val="32"/>
          <w:szCs w:val="32"/>
          <w:highlight w:val="none"/>
          <w:lang w:val="en-US" w:eastAsia="zh-CN"/>
        </w:rPr>
        <w:t>7</w:t>
      </w:r>
      <w:r>
        <w:rPr>
          <w:rFonts w:hint="eastAsia" w:hAnsi="宋体" w:cs="宋体"/>
          <w:b/>
          <w:sz w:val="32"/>
          <w:szCs w:val="32"/>
          <w:highlight w:val="none"/>
        </w:rPr>
        <w:t>月</w:t>
      </w:r>
    </w:p>
    <w:p>
      <w:pPr>
        <w:pStyle w:val="22"/>
        <w:spacing w:before="120" w:after="120" w:line="360" w:lineRule="auto"/>
        <w:jc w:val="center"/>
        <w:rPr>
          <w:rFonts w:hAnsi="宋体"/>
          <w:b/>
          <w:sz w:val="36"/>
          <w:szCs w:val="36"/>
          <w:highlight w:val="none"/>
        </w:rPr>
      </w:pPr>
      <w:r>
        <w:rPr>
          <w:rFonts w:hAnsi="宋体"/>
          <w:b/>
          <w:sz w:val="24"/>
          <w:szCs w:val="24"/>
          <w:highlight w:val="none"/>
        </w:rPr>
        <w:br w:type="page"/>
      </w:r>
      <w:r>
        <w:rPr>
          <w:rFonts w:hint="eastAsia" w:hAnsi="宋体"/>
          <w:b/>
          <w:sz w:val="36"/>
          <w:szCs w:val="36"/>
          <w:highlight w:val="none"/>
        </w:rPr>
        <w:t>目    录</w:t>
      </w:r>
    </w:p>
    <w:p>
      <w:pPr>
        <w:numPr>
          <w:ilvl w:val="0"/>
          <w:numId w:val="5"/>
        </w:numPr>
        <w:spacing w:before="120" w:beforeLines="50" w:line="480" w:lineRule="exact"/>
        <w:rPr>
          <w:rFonts w:ascii="宋体" w:hAnsi="宋体"/>
          <w:b/>
          <w:sz w:val="24"/>
          <w:highlight w:val="none"/>
        </w:rPr>
      </w:pPr>
      <w:r>
        <w:rPr>
          <w:rFonts w:hint="eastAsia" w:ascii="宋体" w:hAnsi="宋体"/>
          <w:b/>
          <w:sz w:val="24"/>
          <w:highlight w:val="none"/>
        </w:rPr>
        <w:t>公开招标公告……………………………………………………………2</w:t>
      </w:r>
    </w:p>
    <w:p>
      <w:pPr>
        <w:numPr>
          <w:ilvl w:val="0"/>
          <w:numId w:val="5"/>
        </w:numPr>
        <w:spacing w:before="120" w:beforeLines="50" w:line="480" w:lineRule="exact"/>
        <w:rPr>
          <w:rFonts w:ascii="宋体" w:hAnsi="宋体"/>
          <w:b/>
          <w:sz w:val="24"/>
          <w:highlight w:val="none"/>
        </w:rPr>
      </w:pPr>
      <w:r>
        <w:rPr>
          <w:rFonts w:hint="eastAsia" w:ascii="宋体" w:hAnsi="宋体"/>
          <w:b/>
          <w:sz w:val="24"/>
          <w:highlight w:val="none"/>
        </w:rPr>
        <w:t>招标项目采购需求………………………………………………………4</w:t>
      </w:r>
    </w:p>
    <w:p>
      <w:pPr>
        <w:numPr>
          <w:ilvl w:val="0"/>
          <w:numId w:val="5"/>
        </w:numPr>
        <w:spacing w:before="120" w:beforeLines="50" w:line="480" w:lineRule="exact"/>
        <w:rPr>
          <w:rFonts w:ascii="宋体" w:hAnsi="宋体"/>
          <w:b/>
          <w:sz w:val="24"/>
          <w:highlight w:val="none"/>
        </w:rPr>
      </w:pPr>
      <w:r>
        <w:rPr>
          <w:rFonts w:hint="eastAsia" w:ascii="宋体" w:hAnsi="宋体"/>
          <w:b/>
          <w:sz w:val="24"/>
          <w:highlight w:val="none"/>
        </w:rPr>
        <w:t>投标人须知………………………………………………………………9</w:t>
      </w:r>
    </w:p>
    <w:p>
      <w:pPr>
        <w:numPr>
          <w:ilvl w:val="0"/>
          <w:numId w:val="5"/>
        </w:numPr>
        <w:spacing w:before="120" w:beforeLines="50" w:line="480" w:lineRule="exact"/>
        <w:rPr>
          <w:rFonts w:ascii="宋体" w:hAnsi="宋体"/>
          <w:b/>
          <w:sz w:val="24"/>
          <w:highlight w:val="none"/>
        </w:rPr>
      </w:pPr>
      <w:r>
        <w:rPr>
          <w:rFonts w:hint="eastAsia" w:ascii="宋体" w:hAnsi="宋体"/>
          <w:b/>
          <w:sz w:val="24"/>
          <w:highlight w:val="none"/>
        </w:rPr>
        <w:t>评标办法及评分标准……………………………………………………21</w:t>
      </w:r>
    </w:p>
    <w:p>
      <w:pPr>
        <w:numPr>
          <w:ilvl w:val="0"/>
          <w:numId w:val="5"/>
        </w:numPr>
        <w:spacing w:before="120" w:beforeLines="50" w:line="480" w:lineRule="exact"/>
        <w:rPr>
          <w:rFonts w:ascii="宋体" w:hAnsi="宋体"/>
          <w:b/>
          <w:sz w:val="24"/>
          <w:highlight w:val="none"/>
        </w:rPr>
      </w:pPr>
      <w:r>
        <w:rPr>
          <w:rFonts w:hint="eastAsia" w:ascii="宋体" w:hAnsi="宋体"/>
          <w:b/>
          <w:sz w:val="24"/>
          <w:highlight w:val="none"/>
        </w:rPr>
        <w:t>政府采购合同主要条款…………………………………………………26</w:t>
      </w:r>
    </w:p>
    <w:p>
      <w:pPr>
        <w:numPr>
          <w:ilvl w:val="0"/>
          <w:numId w:val="5"/>
        </w:numPr>
        <w:spacing w:before="120" w:beforeLines="50" w:line="480" w:lineRule="exact"/>
        <w:rPr>
          <w:rFonts w:ascii="宋体" w:hAnsi="宋体"/>
          <w:b/>
          <w:sz w:val="24"/>
          <w:highlight w:val="none"/>
        </w:rPr>
      </w:pPr>
      <w:r>
        <w:rPr>
          <w:rFonts w:hint="eastAsia" w:ascii="宋体" w:hAnsi="宋体"/>
          <w:b/>
          <w:sz w:val="24"/>
          <w:highlight w:val="none"/>
        </w:rPr>
        <w:t>投标文件格式……………………………………………………………32</w:t>
      </w:r>
    </w:p>
    <w:p>
      <w:pPr>
        <w:rPr>
          <w:highlight w:val="none"/>
        </w:rPr>
      </w:pPr>
    </w:p>
    <w:p>
      <w:pPr>
        <w:spacing w:before="120" w:beforeLines="50" w:line="480" w:lineRule="exact"/>
        <w:rPr>
          <w:rFonts w:ascii="宋体" w:hAnsi="宋体"/>
          <w:sz w:val="24"/>
          <w:highlight w:val="none"/>
        </w:rPr>
      </w:pPr>
    </w:p>
    <w:p>
      <w:pPr>
        <w:pStyle w:val="6"/>
        <w:spacing w:line="240" w:lineRule="auto"/>
        <w:rPr>
          <w:b/>
          <w:bCs/>
          <w:highlight w:val="none"/>
        </w:rPr>
      </w:pPr>
      <w:r>
        <w:rPr>
          <w:highlight w:val="none"/>
        </w:rPr>
        <w:br w:type="page"/>
      </w:r>
      <w:bookmarkStart w:id="4" w:name="_Toc254970489"/>
      <w:bookmarkStart w:id="5" w:name="_Toc254970630"/>
      <w:r>
        <w:rPr>
          <w:rFonts w:hint="eastAsia"/>
          <w:b/>
          <w:bCs/>
          <w:highlight w:val="none"/>
        </w:rPr>
        <w:t xml:space="preserve">第一章     招标公告  </w:t>
      </w:r>
      <w:bookmarkEnd w:id="4"/>
      <w:bookmarkEnd w:id="5"/>
    </w:p>
    <w:p>
      <w:pPr>
        <w:pStyle w:val="6"/>
        <w:spacing w:line="240" w:lineRule="auto"/>
        <w:rPr>
          <w:rFonts w:hAnsi="宋体" w:cs="宋体"/>
          <w:b/>
          <w:sz w:val="32"/>
          <w:szCs w:val="32"/>
          <w:highlight w:val="none"/>
        </w:rPr>
      </w:pPr>
      <w:r>
        <w:rPr>
          <w:rFonts w:hint="eastAsia" w:hAnsi="宋体" w:cs="宋体"/>
          <w:b/>
          <w:sz w:val="32"/>
          <w:szCs w:val="32"/>
          <w:highlight w:val="none"/>
        </w:rPr>
        <w:t>防城港市公安局防城分局</w:t>
      </w:r>
    </w:p>
    <w:p>
      <w:pPr>
        <w:pStyle w:val="6"/>
        <w:spacing w:line="240" w:lineRule="auto"/>
        <w:rPr>
          <w:rFonts w:ascii="宋体" w:hAnsi="宋体"/>
          <w:b/>
          <w:bCs/>
          <w:sz w:val="32"/>
          <w:szCs w:val="32"/>
          <w:highlight w:val="none"/>
        </w:rPr>
      </w:pPr>
      <w:r>
        <w:rPr>
          <w:rFonts w:hint="eastAsia" w:ascii="宋体" w:hAnsi="宋体"/>
          <w:b/>
          <w:bCs/>
          <w:sz w:val="32"/>
          <w:szCs w:val="32"/>
          <w:highlight w:val="none"/>
        </w:rPr>
        <w:t>防城港市防城区边境智能化卡口云建设项目设备采购</w:t>
      </w:r>
    </w:p>
    <w:p>
      <w:pPr>
        <w:pStyle w:val="6"/>
        <w:spacing w:line="240" w:lineRule="auto"/>
        <w:rPr>
          <w:b/>
          <w:bCs/>
          <w:highlight w:val="none"/>
        </w:rPr>
      </w:pPr>
      <w:r>
        <w:rPr>
          <w:rFonts w:hint="eastAsia"/>
          <w:b/>
          <w:bCs/>
          <w:sz w:val="32"/>
          <w:szCs w:val="32"/>
          <w:highlight w:val="none"/>
        </w:rPr>
        <w:t>公开招标公告</w:t>
      </w:r>
    </w:p>
    <w:p>
      <w:pPr>
        <w:snapToGrid w:val="0"/>
        <w:spacing w:line="380" w:lineRule="exact"/>
        <w:rPr>
          <w:rFonts w:ascii="宋体" w:hAnsi="宋体"/>
          <w:szCs w:val="21"/>
          <w:highlight w:val="none"/>
        </w:rPr>
      </w:pPr>
      <w:r>
        <w:rPr>
          <w:rFonts w:hint="eastAsia" w:ascii="宋体" w:hAnsi="宋体"/>
          <w:szCs w:val="21"/>
          <w:highlight w:val="none"/>
        </w:rPr>
        <w:t xml:space="preserve">    </w:t>
      </w:r>
      <w:r>
        <w:rPr>
          <w:rFonts w:hint="eastAsia" w:ascii="宋体" w:hAnsi="宋体"/>
          <w:szCs w:val="21"/>
          <w:highlight w:val="none"/>
          <w:u w:val="single"/>
        </w:rPr>
        <w:t>广西鸿业建设工程管理咨询有限公司</w:t>
      </w:r>
      <w:r>
        <w:rPr>
          <w:rFonts w:hint="eastAsia" w:ascii="宋体" w:hAnsi="宋体"/>
          <w:szCs w:val="21"/>
          <w:highlight w:val="none"/>
        </w:rPr>
        <w:t>受</w:t>
      </w:r>
      <w:r>
        <w:rPr>
          <w:rFonts w:hint="eastAsia" w:ascii="宋体" w:hAnsi="宋体"/>
          <w:szCs w:val="21"/>
          <w:highlight w:val="none"/>
          <w:u w:val="single"/>
        </w:rPr>
        <w:t>防城港市公安局防城分局</w:t>
      </w:r>
      <w:r>
        <w:rPr>
          <w:rFonts w:hint="eastAsia" w:ascii="宋体" w:hAnsi="宋体"/>
          <w:szCs w:val="21"/>
          <w:highlight w:val="none"/>
        </w:rPr>
        <w:t>委托，根据《中华人民共和国政府采购法》等有关规定，现对</w:t>
      </w:r>
      <w:r>
        <w:rPr>
          <w:rFonts w:hint="eastAsia" w:ascii="宋体" w:hAnsi="宋体"/>
          <w:szCs w:val="21"/>
          <w:highlight w:val="none"/>
          <w:u w:val="single"/>
        </w:rPr>
        <w:t>防城港市防城区边境智能化卡口云建设项目设备采购</w:t>
      </w:r>
      <w:r>
        <w:rPr>
          <w:rFonts w:hint="eastAsia" w:ascii="宋体" w:hAnsi="宋体"/>
          <w:szCs w:val="21"/>
          <w:highlight w:val="none"/>
        </w:rPr>
        <w:t>项目进行公开招标，现将本次公开招标有关事项公告如下:</w:t>
      </w:r>
    </w:p>
    <w:p>
      <w:pPr>
        <w:snapToGrid w:val="0"/>
        <w:spacing w:line="380" w:lineRule="exact"/>
        <w:ind w:firstLine="422"/>
        <w:rPr>
          <w:rFonts w:ascii="宋体" w:hAnsi="宋体" w:cs="Arial"/>
          <w:b/>
          <w:szCs w:val="21"/>
          <w:highlight w:val="none"/>
        </w:rPr>
      </w:pPr>
      <w:r>
        <w:rPr>
          <w:rFonts w:hint="eastAsia" w:ascii="宋体" w:hAnsi="宋体" w:cs="Arial"/>
          <w:b/>
          <w:szCs w:val="21"/>
          <w:highlight w:val="none"/>
        </w:rPr>
        <w:t>一、项目基本情况</w:t>
      </w:r>
    </w:p>
    <w:p>
      <w:pPr>
        <w:snapToGrid w:val="0"/>
        <w:spacing w:line="380" w:lineRule="exact"/>
        <w:ind w:firstLine="422"/>
        <w:rPr>
          <w:rFonts w:ascii="宋体" w:hAnsi="宋体" w:cs="Arial"/>
          <w:bCs/>
          <w:szCs w:val="21"/>
          <w:highlight w:val="none"/>
        </w:rPr>
      </w:pPr>
      <w:r>
        <w:rPr>
          <w:rFonts w:hint="eastAsia" w:ascii="宋体" w:hAnsi="宋体" w:cs="Arial"/>
          <w:bCs/>
          <w:szCs w:val="21"/>
          <w:highlight w:val="none"/>
        </w:rPr>
        <w:t xml:space="preserve">项目编号：FCZC2020-G1-10004-GXHY </w:t>
      </w:r>
    </w:p>
    <w:p>
      <w:pPr>
        <w:snapToGrid w:val="0"/>
        <w:spacing w:line="380" w:lineRule="exact"/>
        <w:ind w:firstLine="422"/>
        <w:rPr>
          <w:rFonts w:ascii="宋体" w:hAnsi="宋体" w:cs="Arial"/>
          <w:bCs/>
          <w:szCs w:val="21"/>
          <w:highlight w:val="none"/>
        </w:rPr>
      </w:pPr>
      <w:r>
        <w:rPr>
          <w:rFonts w:hint="eastAsia" w:ascii="宋体" w:hAnsi="宋体" w:cs="Arial"/>
          <w:bCs/>
          <w:szCs w:val="21"/>
          <w:highlight w:val="none"/>
        </w:rPr>
        <w:t xml:space="preserve">项目名称：防城港市防城区边境智能化卡口云建设项目设备采购   </w:t>
      </w:r>
    </w:p>
    <w:p>
      <w:pPr>
        <w:snapToGrid w:val="0"/>
        <w:spacing w:line="380" w:lineRule="exact"/>
        <w:ind w:firstLine="422"/>
        <w:rPr>
          <w:rFonts w:ascii="宋体" w:hAnsi="宋体" w:cs="Arial"/>
          <w:bCs/>
          <w:szCs w:val="21"/>
          <w:highlight w:val="none"/>
        </w:rPr>
      </w:pPr>
      <w:r>
        <w:rPr>
          <w:rFonts w:hint="eastAsia" w:ascii="宋体" w:hAnsi="宋体" w:cs="Arial"/>
          <w:bCs/>
          <w:szCs w:val="21"/>
          <w:highlight w:val="none"/>
        </w:rPr>
        <w:t>预算金额（人民币）：叁佰零壹万柒仟玖佰伍拾贰元玖角叁分（¥3017952.93）</w:t>
      </w:r>
    </w:p>
    <w:p>
      <w:pPr>
        <w:snapToGrid w:val="0"/>
        <w:spacing w:line="380" w:lineRule="exact"/>
        <w:ind w:firstLine="422"/>
        <w:rPr>
          <w:rFonts w:ascii="宋体" w:hAnsi="宋体" w:cs="Arial"/>
          <w:bCs/>
          <w:szCs w:val="21"/>
          <w:highlight w:val="none"/>
        </w:rPr>
      </w:pPr>
      <w:r>
        <w:rPr>
          <w:rFonts w:hint="eastAsia" w:ascii="宋体" w:hAnsi="宋体" w:cs="Arial"/>
          <w:bCs/>
          <w:szCs w:val="21"/>
          <w:highlight w:val="none"/>
        </w:rPr>
        <w:t>采购需求：防城港市防城区边境智能化卡口云建设项目设备采购 1项。如需进一步了解详细内容，详见招标文件。</w:t>
      </w:r>
    </w:p>
    <w:p>
      <w:pPr>
        <w:pStyle w:val="18"/>
        <w:ind w:firstLine="420" w:firstLineChars="200"/>
        <w:rPr>
          <w:rFonts w:ascii="宋体" w:hAnsi="宋体" w:cs="Arial"/>
          <w:bCs/>
          <w:color w:val="auto"/>
          <w:kern w:val="2"/>
          <w:sz w:val="21"/>
          <w:szCs w:val="21"/>
          <w:highlight w:val="none"/>
        </w:rPr>
      </w:pPr>
      <w:r>
        <w:rPr>
          <w:rFonts w:hint="eastAsia" w:ascii="宋体" w:hAnsi="宋体" w:cs="Arial"/>
          <w:bCs/>
          <w:color w:val="auto"/>
          <w:kern w:val="2"/>
          <w:sz w:val="21"/>
          <w:szCs w:val="21"/>
          <w:highlight w:val="none"/>
        </w:rPr>
        <w:t>合同履行期限：自采购合同签订之日起</w:t>
      </w:r>
      <w:r>
        <w:rPr>
          <w:rFonts w:ascii="宋体" w:hAnsi="宋体" w:cs="Arial"/>
          <w:bCs/>
          <w:color w:val="auto"/>
          <w:kern w:val="2"/>
          <w:sz w:val="21"/>
          <w:szCs w:val="21"/>
          <w:highlight w:val="none"/>
        </w:rPr>
        <w:t>20</w:t>
      </w:r>
      <w:r>
        <w:rPr>
          <w:rFonts w:hint="eastAsia" w:ascii="宋体" w:hAnsi="宋体" w:cs="Arial"/>
          <w:bCs/>
          <w:color w:val="auto"/>
          <w:kern w:val="2"/>
          <w:sz w:val="21"/>
          <w:szCs w:val="21"/>
          <w:highlight w:val="none"/>
        </w:rPr>
        <w:t>个日历天</w:t>
      </w:r>
    </w:p>
    <w:p>
      <w:pPr>
        <w:snapToGrid w:val="0"/>
        <w:spacing w:line="400" w:lineRule="exact"/>
        <w:ind w:firstLine="422" w:firstLineChars="200"/>
        <w:rPr>
          <w:rFonts w:ascii="宋体" w:hAnsi="宋体" w:cs="Arial"/>
          <w:b/>
          <w:szCs w:val="21"/>
          <w:highlight w:val="none"/>
        </w:rPr>
      </w:pPr>
      <w:r>
        <w:rPr>
          <w:rFonts w:hint="eastAsia" w:ascii="宋体" w:hAnsi="宋体" w:cs="Arial"/>
          <w:b/>
          <w:szCs w:val="21"/>
          <w:highlight w:val="none"/>
        </w:rPr>
        <w:t>二</w:t>
      </w:r>
      <w:r>
        <w:rPr>
          <w:rFonts w:hint="eastAsia" w:ascii="宋体" w:hAnsi="宋体" w:cs="Arial"/>
          <w:szCs w:val="21"/>
          <w:highlight w:val="none"/>
        </w:rPr>
        <w:t>、</w:t>
      </w:r>
      <w:r>
        <w:rPr>
          <w:rFonts w:hint="eastAsia" w:ascii="宋体" w:hAnsi="宋体" w:cs="Arial"/>
          <w:b/>
          <w:szCs w:val="21"/>
          <w:highlight w:val="none"/>
        </w:rPr>
        <w:t>投标人的资格要求</w:t>
      </w:r>
    </w:p>
    <w:p>
      <w:pPr>
        <w:snapToGrid w:val="0"/>
        <w:spacing w:line="400" w:lineRule="exact"/>
        <w:ind w:firstLine="472" w:firstLineChars="225"/>
        <w:rPr>
          <w:rFonts w:ascii="宋体" w:hAnsi="宋体" w:cs="Arial"/>
          <w:bCs/>
          <w:szCs w:val="21"/>
          <w:highlight w:val="none"/>
        </w:rPr>
      </w:pPr>
      <w:r>
        <w:rPr>
          <w:rFonts w:hint="eastAsia" w:ascii="宋体" w:hAnsi="宋体" w:cs="Arial"/>
          <w:bCs/>
          <w:szCs w:val="21"/>
          <w:highlight w:val="none"/>
        </w:rPr>
        <w:t>1.</w:t>
      </w:r>
      <w:r>
        <w:rPr>
          <w:rFonts w:hint="eastAsia" w:ascii="宋体" w:hAnsi="宋体" w:cs="Arial"/>
          <w:szCs w:val="21"/>
          <w:highlight w:val="none"/>
        </w:rPr>
        <w:t>国内注册（指按国家有关规定要求注册的），生产或经营本次招标采购货物的供应商，根据《中华人民政府采购法实施条例》释义，银行、保险、石油石化、电力、电信等行业可以由分公司投标</w:t>
      </w:r>
      <w:r>
        <w:rPr>
          <w:rFonts w:hint="eastAsia" w:ascii="宋体" w:hAnsi="宋体" w:cs="Arial"/>
          <w:bCs/>
          <w:szCs w:val="21"/>
          <w:highlight w:val="none"/>
        </w:rPr>
        <w:t>；</w:t>
      </w:r>
    </w:p>
    <w:p>
      <w:pPr>
        <w:snapToGrid w:val="0"/>
        <w:spacing w:line="400" w:lineRule="exact"/>
        <w:ind w:firstLine="472" w:firstLineChars="225"/>
        <w:rPr>
          <w:rFonts w:ascii="宋体" w:hAnsi="宋体" w:cs="Arial"/>
          <w:bCs/>
          <w:szCs w:val="21"/>
          <w:highlight w:val="none"/>
        </w:rPr>
      </w:pPr>
      <w:r>
        <w:rPr>
          <w:rFonts w:hint="eastAsia" w:ascii="宋体" w:hAnsi="宋体" w:cs="Arial"/>
          <w:bCs/>
          <w:szCs w:val="21"/>
          <w:highlight w:val="none"/>
        </w:rPr>
        <w:t>2.符合《中华人民共和国政府采购法》第二十二条规定的条件；</w:t>
      </w:r>
    </w:p>
    <w:p>
      <w:pPr>
        <w:snapToGrid w:val="0"/>
        <w:spacing w:line="400" w:lineRule="exact"/>
        <w:ind w:firstLine="472" w:firstLineChars="225"/>
        <w:rPr>
          <w:rFonts w:ascii="宋体" w:hAnsi="宋体" w:cs="Arial"/>
          <w:bCs/>
          <w:szCs w:val="21"/>
          <w:highlight w:val="none"/>
        </w:rPr>
      </w:pPr>
      <w:r>
        <w:rPr>
          <w:rFonts w:hint="eastAsia" w:ascii="宋体" w:hAnsi="宋体" w:cs="Arial"/>
          <w:bCs/>
          <w:szCs w:val="21"/>
          <w:highlight w:val="none"/>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400" w:lineRule="exact"/>
        <w:ind w:firstLine="472" w:firstLineChars="225"/>
        <w:rPr>
          <w:rFonts w:ascii="宋体" w:hAnsi="宋体" w:cs="Arial"/>
          <w:bCs/>
          <w:szCs w:val="21"/>
          <w:highlight w:val="none"/>
        </w:rPr>
      </w:pPr>
      <w:r>
        <w:rPr>
          <w:rFonts w:hint="eastAsia" w:ascii="宋体" w:hAnsi="宋体" w:cs="Arial"/>
          <w:bCs/>
          <w:szCs w:val="21"/>
          <w:highlight w:val="none"/>
        </w:rPr>
        <w:t>4.对在“信用中国”网站(www.creditchina.gov.cn)、中国政府采购网(www.ccgp.gov.cn)等渠道列入失信被执行人、重大税收违法案件当事人名单、政府采购严重违法失信行为记录名单的供应商，视为资格审查不通过，不得参与政府采购活动；</w:t>
      </w:r>
    </w:p>
    <w:p>
      <w:pPr>
        <w:snapToGrid w:val="0"/>
        <w:spacing w:line="400" w:lineRule="exact"/>
        <w:ind w:firstLine="472" w:firstLineChars="225"/>
        <w:rPr>
          <w:rFonts w:ascii="宋体" w:hAnsi="宋体" w:cs="Arial"/>
          <w:bCs/>
          <w:szCs w:val="21"/>
          <w:highlight w:val="none"/>
        </w:rPr>
      </w:pPr>
      <w:r>
        <w:rPr>
          <w:rFonts w:hint="eastAsia" w:ascii="宋体" w:hAnsi="宋体" w:cs="Arial"/>
          <w:bCs/>
          <w:szCs w:val="21"/>
          <w:highlight w:val="none"/>
        </w:rPr>
        <w:t>5.本项目不接受联合体和未购买采购文件的供应商。</w:t>
      </w:r>
    </w:p>
    <w:p>
      <w:pPr>
        <w:snapToGrid w:val="0"/>
        <w:spacing w:line="380" w:lineRule="exact"/>
        <w:rPr>
          <w:rFonts w:ascii="宋体" w:hAnsi="宋体" w:cs="Arial"/>
          <w:bCs/>
          <w:szCs w:val="21"/>
          <w:highlight w:val="none"/>
        </w:rPr>
      </w:pPr>
      <w:r>
        <w:rPr>
          <w:rFonts w:hint="eastAsia" w:ascii="宋体" w:hAnsi="宋体" w:cs="Arial"/>
          <w:b/>
          <w:szCs w:val="21"/>
          <w:highlight w:val="none"/>
        </w:rPr>
        <w:t xml:space="preserve">    三、获取招标文件</w:t>
      </w:r>
    </w:p>
    <w:p>
      <w:pPr>
        <w:snapToGrid w:val="0"/>
        <w:spacing w:line="380" w:lineRule="exact"/>
        <w:rPr>
          <w:rFonts w:ascii="宋体" w:hAnsi="宋体" w:cs="Arial"/>
          <w:bCs/>
          <w:szCs w:val="21"/>
          <w:highlight w:val="none"/>
        </w:rPr>
      </w:pPr>
      <w:r>
        <w:rPr>
          <w:rFonts w:hint="eastAsia" w:ascii="宋体" w:hAnsi="宋体" w:cs="Arial"/>
          <w:bCs/>
          <w:szCs w:val="21"/>
          <w:highlight w:val="none"/>
        </w:rPr>
        <w:t xml:space="preserve">    时间：</w:t>
      </w:r>
      <w:r>
        <w:rPr>
          <w:rFonts w:hint="eastAsia" w:ascii="宋体" w:hAnsi="宋体" w:cs="宋体"/>
          <w:szCs w:val="21"/>
          <w:highlight w:val="none"/>
          <w:shd w:val="clear" w:color="auto" w:fill="FFFFFF"/>
        </w:rPr>
        <w:t>2020年</w:t>
      </w:r>
      <w:r>
        <w:rPr>
          <w:rFonts w:hint="eastAsia" w:ascii="宋体" w:hAnsi="宋体" w:cs="宋体"/>
          <w:szCs w:val="21"/>
          <w:highlight w:val="none"/>
          <w:shd w:val="clear" w:color="auto" w:fill="FFFFFF"/>
          <w:lang w:val="en-US" w:eastAsia="zh-CN"/>
        </w:rPr>
        <w:t>7</w:t>
      </w:r>
      <w:r>
        <w:rPr>
          <w:rFonts w:hint="eastAsia" w:ascii="宋体" w:hAnsi="宋体" w:cs="宋体"/>
          <w:szCs w:val="21"/>
          <w:highlight w:val="none"/>
          <w:shd w:val="clear" w:color="auto" w:fill="FFFFFF"/>
        </w:rPr>
        <w:t>月</w:t>
      </w:r>
      <w:r>
        <w:rPr>
          <w:rFonts w:hint="eastAsia" w:ascii="宋体" w:hAnsi="宋体" w:cs="宋体"/>
          <w:szCs w:val="21"/>
          <w:highlight w:val="none"/>
          <w:shd w:val="clear" w:color="auto" w:fill="FFFFFF"/>
          <w:lang w:val="en-US" w:eastAsia="zh-CN"/>
        </w:rPr>
        <w:t>22</w:t>
      </w:r>
      <w:r>
        <w:rPr>
          <w:rFonts w:hint="eastAsia" w:ascii="宋体" w:hAnsi="宋体" w:cs="宋体"/>
          <w:szCs w:val="21"/>
          <w:highlight w:val="none"/>
          <w:shd w:val="clear" w:color="auto" w:fill="FFFFFF"/>
        </w:rPr>
        <w:t>日至2020年</w:t>
      </w:r>
      <w:r>
        <w:rPr>
          <w:rFonts w:hint="eastAsia" w:ascii="宋体" w:hAnsi="宋体" w:cs="宋体"/>
          <w:szCs w:val="21"/>
          <w:highlight w:val="none"/>
          <w:shd w:val="clear" w:color="auto" w:fill="FFFFFF"/>
          <w:lang w:val="en-US" w:eastAsia="zh-CN"/>
        </w:rPr>
        <w:t>7</w:t>
      </w:r>
      <w:r>
        <w:rPr>
          <w:rFonts w:hint="eastAsia" w:ascii="宋体" w:hAnsi="宋体" w:cs="宋体"/>
          <w:szCs w:val="21"/>
          <w:highlight w:val="none"/>
          <w:shd w:val="clear" w:color="auto" w:fill="FFFFFF"/>
        </w:rPr>
        <w:t>月</w:t>
      </w:r>
      <w:r>
        <w:rPr>
          <w:rFonts w:hint="eastAsia" w:ascii="宋体" w:hAnsi="宋体" w:cs="宋体"/>
          <w:szCs w:val="21"/>
          <w:highlight w:val="none"/>
          <w:shd w:val="clear" w:color="auto" w:fill="FFFFFF"/>
          <w:lang w:val="en-US" w:eastAsia="zh-CN"/>
        </w:rPr>
        <w:t>29</w:t>
      </w:r>
      <w:r>
        <w:rPr>
          <w:rFonts w:hint="eastAsia" w:ascii="宋体" w:hAnsi="宋体" w:cs="宋体"/>
          <w:szCs w:val="21"/>
          <w:highlight w:val="none"/>
          <w:shd w:val="clear" w:color="auto" w:fill="FFFFFF"/>
        </w:rPr>
        <w:t>日，</w:t>
      </w:r>
      <w:r>
        <w:rPr>
          <w:rFonts w:hint="eastAsia" w:ascii="宋体" w:hAnsi="宋体" w:cs="宋体"/>
          <w:szCs w:val="21"/>
          <w:highlight w:val="none"/>
          <w:shd w:val="clear" w:color="auto" w:fill="FFFFFF"/>
        </w:rPr>
        <w:t>每日上午9时00分到12时00分，下午13时30分到16时30分。</w:t>
      </w:r>
      <w:r>
        <w:rPr>
          <w:rFonts w:hint="eastAsia" w:ascii="宋体" w:hAnsi="宋体" w:cs="Arial"/>
          <w:bCs/>
          <w:szCs w:val="21"/>
          <w:highlight w:val="none"/>
        </w:rPr>
        <w:t>（北京时间，法定节假日除外）</w:t>
      </w:r>
    </w:p>
    <w:p>
      <w:pPr>
        <w:snapToGrid w:val="0"/>
        <w:spacing w:line="380" w:lineRule="exact"/>
        <w:ind w:firstLine="420" w:firstLineChars="200"/>
        <w:rPr>
          <w:rFonts w:ascii="宋体" w:hAnsi="宋体" w:cs="Arial"/>
          <w:bCs/>
          <w:szCs w:val="21"/>
          <w:highlight w:val="none"/>
        </w:rPr>
      </w:pPr>
      <w:r>
        <w:rPr>
          <w:rFonts w:hint="eastAsia" w:ascii="宋体" w:hAnsi="宋体" w:cs="Arial"/>
          <w:bCs/>
          <w:szCs w:val="21"/>
          <w:highlight w:val="none"/>
        </w:rPr>
        <w:t>方式：</w:t>
      </w:r>
      <w:r>
        <w:rPr>
          <w:rFonts w:hint="eastAsia" w:ascii="宋体" w:hAnsi="宋体" w:cs="宋体"/>
          <w:bCs/>
          <w:szCs w:val="21"/>
          <w:highlight w:val="none"/>
        </w:rPr>
        <w:t>本项目采用网上报名获取采购文件，请潜在投标单位提供以下资料扫描件发送至</w:t>
      </w:r>
      <w:r>
        <w:rPr>
          <w:highlight w:val="none"/>
        </w:rPr>
        <w:fldChar w:fldCharType="begin"/>
      </w:r>
      <w:r>
        <w:rPr>
          <w:highlight w:val="none"/>
        </w:rPr>
        <w:instrText xml:space="preserve"> HYPERLINK "mailto:814774189@qq.com" </w:instrText>
      </w:r>
      <w:r>
        <w:rPr>
          <w:highlight w:val="none"/>
        </w:rPr>
        <w:fldChar w:fldCharType="separate"/>
      </w:r>
      <w:r>
        <w:rPr>
          <w:rFonts w:hint="eastAsia" w:ascii="宋体" w:hAnsi="宋体" w:cs="宋体"/>
          <w:bCs/>
          <w:szCs w:val="21"/>
          <w:highlight w:val="none"/>
        </w:rPr>
        <w:t>814774189@qq.com</w:t>
      </w:r>
      <w:r>
        <w:rPr>
          <w:rFonts w:hint="eastAsia" w:ascii="宋体" w:hAnsi="宋体" w:cs="宋体"/>
          <w:bCs/>
          <w:szCs w:val="21"/>
          <w:highlight w:val="none"/>
        </w:rPr>
        <w:fldChar w:fldCharType="end"/>
      </w:r>
      <w:r>
        <w:rPr>
          <w:rFonts w:hint="eastAsia" w:ascii="宋体" w:hAnsi="宋体" w:cs="宋体"/>
          <w:bCs/>
          <w:szCs w:val="21"/>
          <w:highlight w:val="none"/>
        </w:rPr>
        <w:t>电子邮箱：法定代表人（负责人）或委托代理人身份证复印件、有效的企业法人（负责人）授权委托书原件（如委托须提供）、企业营业执照副本复印件、本人身份证原件及复印件。（上述复印件均须加盖公章，报名材料通过核查方可购买招标文件，已获取招标文件的供应商不等于符合本项目的投标人资格。</w:t>
      </w:r>
    </w:p>
    <w:p>
      <w:pPr>
        <w:snapToGrid w:val="0"/>
        <w:spacing w:line="380" w:lineRule="exact"/>
        <w:ind w:firstLine="420" w:firstLineChars="200"/>
        <w:rPr>
          <w:rFonts w:ascii="宋体" w:hAnsi="宋体" w:cs="宋体"/>
          <w:bCs/>
          <w:szCs w:val="21"/>
          <w:highlight w:val="none"/>
        </w:rPr>
      </w:pPr>
      <w:r>
        <w:rPr>
          <w:rFonts w:hint="eastAsia" w:ascii="宋体" w:hAnsi="宋体" w:cs="宋体"/>
          <w:bCs/>
          <w:szCs w:val="21"/>
          <w:highlight w:val="none"/>
        </w:rPr>
        <w:t xml:space="preserve">售价：每本250元，招标采购文件售后不退； </w:t>
      </w:r>
    </w:p>
    <w:p>
      <w:pPr>
        <w:snapToGrid w:val="0"/>
        <w:spacing w:line="380" w:lineRule="exact"/>
        <w:rPr>
          <w:rFonts w:ascii="宋体" w:hAnsi="宋体" w:cs="Arial"/>
          <w:b/>
          <w:szCs w:val="21"/>
          <w:highlight w:val="none"/>
        </w:rPr>
      </w:pPr>
      <w:bookmarkStart w:id="6" w:name="_Toc28359005"/>
      <w:bookmarkStart w:id="7" w:name="_Toc28359082"/>
      <w:bookmarkStart w:id="8" w:name="_Toc35393793"/>
      <w:bookmarkStart w:id="9" w:name="_Toc35393624"/>
      <w:r>
        <w:rPr>
          <w:rFonts w:hint="eastAsia" w:ascii="宋体" w:hAnsi="宋体" w:cs="Arial"/>
          <w:b/>
          <w:szCs w:val="21"/>
          <w:highlight w:val="none"/>
        </w:rPr>
        <w:t>四、提交投标文件</w:t>
      </w:r>
      <w:bookmarkEnd w:id="6"/>
      <w:bookmarkEnd w:id="7"/>
      <w:r>
        <w:rPr>
          <w:rFonts w:hint="eastAsia" w:ascii="宋体" w:hAnsi="宋体" w:cs="Arial"/>
          <w:b/>
          <w:szCs w:val="21"/>
          <w:highlight w:val="none"/>
        </w:rPr>
        <w:t>截止时间、开标时间和地点</w:t>
      </w:r>
      <w:bookmarkEnd w:id="8"/>
      <w:bookmarkEnd w:id="9"/>
    </w:p>
    <w:p>
      <w:pPr>
        <w:snapToGrid w:val="0"/>
        <w:spacing w:line="38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截止时间：2020年</w:t>
      </w:r>
      <w:r>
        <w:rPr>
          <w:rFonts w:hint="eastAsia" w:ascii="宋体" w:hAnsi="宋体" w:cs="宋体"/>
          <w:bCs/>
          <w:color w:val="auto"/>
          <w:szCs w:val="21"/>
          <w:highlight w:val="none"/>
          <w:lang w:val="en-US" w:eastAsia="zh-CN"/>
        </w:rPr>
        <w:t>8</w:t>
      </w:r>
      <w:r>
        <w:rPr>
          <w:rFonts w:hint="eastAsia" w:ascii="宋体" w:hAnsi="宋体" w:cs="宋体"/>
          <w:bCs/>
          <w:color w:val="auto"/>
          <w:szCs w:val="21"/>
          <w:highlight w:val="none"/>
        </w:rPr>
        <w:t>月</w:t>
      </w:r>
      <w:r>
        <w:rPr>
          <w:rFonts w:hint="eastAsia" w:ascii="宋体" w:hAnsi="宋体" w:cs="宋体"/>
          <w:bCs/>
          <w:color w:val="auto"/>
          <w:szCs w:val="21"/>
          <w:highlight w:val="none"/>
          <w:lang w:val="en-US" w:eastAsia="zh-CN"/>
        </w:rPr>
        <w:t>13</w:t>
      </w:r>
      <w:r>
        <w:rPr>
          <w:rFonts w:hint="eastAsia" w:ascii="宋体" w:hAnsi="宋体" w:cs="宋体"/>
          <w:bCs/>
          <w:color w:val="auto"/>
          <w:szCs w:val="21"/>
          <w:highlight w:val="none"/>
        </w:rPr>
        <w:t>日</w:t>
      </w:r>
      <w:r>
        <w:rPr>
          <w:rFonts w:hint="eastAsia" w:ascii="宋体" w:hAnsi="宋体" w:cs="宋体"/>
          <w:bCs/>
          <w:color w:val="auto"/>
          <w:szCs w:val="21"/>
          <w:highlight w:val="none"/>
          <w:lang w:val="en-US" w:eastAsia="zh-CN"/>
        </w:rPr>
        <w:t>9</w:t>
      </w:r>
      <w:r>
        <w:rPr>
          <w:rFonts w:hint="eastAsia" w:ascii="宋体" w:hAnsi="宋体" w:cs="宋体"/>
          <w:bCs/>
          <w:color w:val="auto"/>
          <w:szCs w:val="21"/>
          <w:highlight w:val="none"/>
        </w:rPr>
        <w:t>时</w:t>
      </w:r>
      <w:r>
        <w:rPr>
          <w:rFonts w:hint="eastAsia" w:ascii="宋体" w:hAnsi="宋体" w:cs="宋体"/>
          <w:bCs/>
          <w:color w:val="auto"/>
          <w:szCs w:val="21"/>
          <w:highlight w:val="none"/>
          <w:lang w:val="en-US" w:eastAsia="zh-CN"/>
        </w:rPr>
        <w:t>30</w:t>
      </w:r>
      <w:r>
        <w:rPr>
          <w:rFonts w:hint="eastAsia" w:ascii="宋体" w:hAnsi="宋体" w:cs="宋体"/>
          <w:bCs/>
          <w:color w:val="auto"/>
          <w:szCs w:val="21"/>
          <w:highlight w:val="none"/>
        </w:rPr>
        <w:t>分00秒前</w:t>
      </w:r>
    </w:p>
    <w:p>
      <w:pPr>
        <w:snapToGrid w:val="0"/>
        <w:spacing w:line="380" w:lineRule="exact"/>
        <w:ind w:firstLine="420" w:firstLineChars="200"/>
        <w:rPr>
          <w:rFonts w:ascii="宋体" w:hAnsi="宋体" w:cs="宋体"/>
          <w:bCs/>
          <w:color w:val="0000FF"/>
          <w:szCs w:val="21"/>
          <w:highlight w:val="none"/>
        </w:rPr>
      </w:pPr>
      <w:r>
        <w:rPr>
          <w:rFonts w:hint="eastAsia" w:ascii="宋体" w:hAnsi="宋体" w:cs="宋体"/>
          <w:bCs/>
          <w:color w:val="auto"/>
          <w:szCs w:val="21"/>
          <w:highlight w:val="none"/>
        </w:rPr>
        <w:t>开标时间：2020年</w:t>
      </w:r>
      <w:r>
        <w:rPr>
          <w:rFonts w:hint="eastAsia" w:ascii="宋体" w:hAnsi="宋体" w:cs="宋体"/>
          <w:bCs/>
          <w:color w:val="auto"/>
          <w:szCs w:val="21"/>
          <w:highlight w:val="none"/>
          <w:lang w:val="en-US" w:eastAsia="zh-CN"/>
        </w:rPr>
        <w:t>8</w:t>
      </w:r>
      <w:r>
        <w:rPr>
          <w:rFonts w:hint="eastAsia" w:ascii="宋体" w:hAnsi="宋体" w:cs="宋体"/>
          <w:bCs/>
          <w:color w:val="auto"/>
          <w:szCs w:val="21"/>
          <w:highlight w:val="none"/>
        </w:rPr>
        <w:t>月</w:t>
      </w:r>
      <w:r>
        <w:rPr>
          <w:rFonts w:hint="eastAsia" w:ascii="宋体" w:hAnsi="宋体" w:cs="宋体"/>
          <w:bCs/>
          <w:color w:val="auto"/>
          <w:szCs w:val="21"/>
          <w:highlight w:val="none"/>
          <w:lang w:val="en-US" w:eastAsia="zh-CN"/>
        </w:rPr>
        <w:t>13</w:t>
      </w:r>
      <w:r>
        <w:rPr>
          <w:rFonts w:hint="eastAsia" w:ascii="宋体" w:hAnsi="宋体" w:cs="宋体"/>
          <w:bCs/>
          <w:color w:val="auto"/>
          <w:szCs w:val="21"/>
          <w:highlight w:val="none"/>
        </w:rPr>
        <w:t>日</w:t>
      </w:r>
      <w:r>
        <w:rPr>
          <w:rFonts w:hint="eastAsia" w:ascii="宋体" w:hAnsi="宋体" w:cs="宋体"/>
          <w:bCs/>
          <w:color w:val="auto"/>
          <w:szCs w:val="21"/>
          <w:highlight w:val="none"/>
          <w:lang w:val="en-US" w:eastAsia="zh-CN"/>
        </w:rPr>
        <w:t>9</w:t>
      </w:r>
      <w:r>
        <w:rPr>
          <w:rFonts w:hint="eastAsia" w:ascii="宋体" w:hAnsi="宋体" w:cs="宋体"/>
          <w:bCs/>
          <w:color w:val="auto"/>
          <w:szCs w:val="21"/>
          <w:highlight w:val="none"/>
        </w:rPr>
        <w:t>时</w:t>
      </w:r>
      <w:r>
        <w:rPr>
          <w:rFonts w:hint="eastAsia" w:ascii="宋体" w:hAnsi="宋体" w:cs="宋体"/>
          <w:bCs/>
          <w:color w:val="auto"/>
          <w:szCs w:val="21"/>
          <w:highlight w:val="none"/>
          <w:lang w:val="en-US" w:eastAsia="zh-CN"/>
        </w:rPr>
        <w:t>30</w:t>
      </w:r>
      <w:r>
        <w:rPr>
          <w:rFonts w:hint="eastAsia" w:ascii="宋体" w:hAnsi="宋体" w:cs="宋体"/>
          <w:bCs/>
          <w:color w:val="auto"/>
          <w:szCs w:val="21"/>
          <w:highlight w:val="none"/>
        </w:rPr>
        <w:t>分截标后（具体时间另行通知）</w:t>
      </w:r>
    </w:p>
    <w:p>
      <w:pPr>
        <w:snapToGrid w:val="0"/>
        <w:spacing w:line="380" w:lineRule="exact"/>
        <w:ind w:firstLine="420" w:firstLineChars="200"/>
        <w:rPr>
          <w:rFonts w:ascii="宋体" w:hAnsi="宋体" w:cs="Arial"/>
          <w:b/>
          <w:szCs w:val="21"/>
          <w:highlight w:val="none"/>
        </w:rPr>
      </w:pPr>
      <w:r>
        <w:rPr>
          <w:rFonts w:hint="eastAsia" w:ascii="宋体" w:hAnsi="宋体" w:cs="宋体"/>
          <w:bCs/>
          <w:szCs w:val="21"/>
          <w:highlight w:val="none"/>
        </w:rPr>
        <w:t>地点：防城</w:t>
      </w:r>
      <w:r>
        <w:rPr>
          <w:rFonts w:hint="eastAsia" w:ascii="宋体" w:hAnsi="宋体" w:cs="宋体"/>
          <w:szCs w:val="21"/>
          <w:highlight w:val="none"/>
          <w:shd w:val="clear" w:color="auto" w:fill="FFFFFF"/>
        </w:rPr>
        <w:t>港市公共资源交易中心开标厅（防城港市迎宾路红树林大厦东塔，具体开标室详见6楼电子大屏安排）</w:t>
      </w:r>
    </w:p>
    <w:p>
      <w:pPr>
        <w:snapToGrid w:val="0"/>
        <w:spacing w:line="380" w:lineRule="exact"/>
        <w:rPr>
          <w:rFonts w:ascii="宋体" w:hAnsi="宋体" w:cs="Arial"/>
          <w:b/>
          <w:szCs w:val="21"/>
          <w:highlight w:val="none"/>
        </w:rPr>
      </w:pPr>
      <w:r>
        <w:rPr>
          <w:rFonts w:hint="eastAsia" w:ascii="宋体" w:hAnsi="宋体" w:cs="Arial"/>
          <w:b/>
          <w:szCs w:val="21"/>
          <w:highlight w:val="none"/>
        </w:rPr>
        <w:t>五、公告期限</w:t>
      </w:r>
    </w:p>
    <w:p>
      <w:pPr>
        <w:snapToGrid w:val="0"/>
        <w:spacing w:line="380" w:lineRule="exact"/>
        <w:ind w:firstLine="420" w:firstLineChars="200"/>
        <w:rPr>
          <w:highlight w:val="none"/>
        </w:rPr>
      </w:pPr>
      <w:r>
        <w:rPr>
          <w:rFonts w:hint="eastAsia" w:ascii="宋体" w:hAnsi="宋体" w:cs="宋体"/>
          <w:szCs w:val="21"/>
          <w:highlight w:val="none"/>
          <w:shd w:val="clear" w:color="auto" w:fill="FFFFFF"/>
        </w:rPr>
        <w:t>自本公告发布之日起5个工作日</w:t>
      </w:r>
    </w:p>
    <w:p>
      <w:pPr>
        <w:snapToGrid w:val="0"/>
        <w:spacing w:line="380" w:lineRule="exact"/>
        <w:rPr>
          <w:rFonts w:ascii="宋体" w:hAnsi="宋体" w:cs="Arial"/>
          <w:b/>
          <w:szCs w:val="21"/>
          <w:highlight w:val="none"/>
        </w:rPr>
      </w:pPr>
      <w:r>
        <w:rPr>
          <w:rFonts w:hint="eastAsia" w:ascii="宋体" w:hAnsi="宋体" w:cs="Arial"/>
          <w:b/>
          <w:szCs w:val="21"/>
          <w:highlight w:val="none"/>
        </w:rPr>
        <w:t>六、其他补充事宜</w:t>
      </w:r>
    </w:p>
    <w:p>
      <w:pPr>
        <w:snapToGrid w:val="0"/>
        <w:spacing w:line="400" w:lineRule="exact"/>
        <w:ind w:firstLine="472" w:firstLineChars="225"/>
        <w:rPr>
          <w:rFonts w:ascii="宋体" w:hAnsi="宋体" w:cs="Arial"/>
          <w:b/>
          <w:szCs w:val="21"/>
          <w:highlight w:val="none"/>
        </w:rPr>
      </w:pPr>
      <w:r>
        <w:rPr>
          <w:rFonts w:hint="eastAsia" w:ascii="宋体" w:hAnsi="宋体" w:cs="Arial"/>
          <w:bCs/>
          <w:szCs w:val="21"/>
          <w:highlight w:val="none"/>
        </w:rPr>
        <w:t>本项目需要落实的政府采购政策：政府采购促进中小企业发展、政府采购支持采用本国产品的政策、强制采购、优先采购环境标志产品、节能产品、支持监狱企业发展政策、政府采购促进残疾人就业政策。</w:t>
      </w:r>
    </w:p>
    <w:p>
      <w:pPr>
        <w:snapToGrid w:val="0"/>
        <w:spacing w:line="380" w:lineRule="exact"/>
        <w:rPr>
          <w:rFonts w:ascii="宋体" w:hAnsi="宋体" w:cs="Arial"/>
          <w:b/>
          <w:szCs w:val="21"/>
          <w:highlight w:val="none"/>
        </w:rPr>
      </w:pPr>
      <w:r>
        <w:rPr>
          <w:rFonts w:hint="eastAsia" w:ascii="宋体" w:hAnsi="宋体" w:cs="Arial"/>
          <w:b/>
          <w:szCs w:val="21"/>
          <w:highlight w:val="none"/>
        </w:rPr>
        <w:t>七、对本次招标提出询问、请按以下方式联系</w:t>
      </w:r>
    </w:p>
    <w:p>
      <w:pPr>
        <w:snapToGrid w:val="0"/>
        <w:spacing w:line="380" w:lineRule="exact"/>
        <w:ind w:firstLine="422"/>
        <w:rPr>
          <w:rFonts w:ascii="宋体" w:hAnsi="宋体" w:cs="宋体"/>
          <w:bCs/>
          <w:szCs w:val="21"/>
          <w:highlight w:val="none"/>
        </w:rPr>
      </w:pPr>
      <w:r>
        <w:rPr>
          <w:rFonts w:hint="eastAsia" w:ascii="宋体" w:hAnsi="宋体" w:cs="宋体"/>
          <w:bCs/>
          <w:szCs w:val="21"/>
          <w:highlight w:val="none"/>
        </w:rPr>
        <w:t>1.采购人：</w:t>
      </w:r>
      <w:r>
        <w:rPr>
          <w:rFonts w:hint="eastAsia" w:ascii="宋体" w:hAnsi="宋体" w:cs="Arial"/>
          <w:bCs/>
          <w:szCs w:val="21"/>
          <w:highlight w:val="none"/>
        </w:rPr>
        <w:t>防城港市公安局防城分局</w:t>
      </w:r>
      <w:r>
        <w:rPr>
          <w:rFonts w:hint="eastAsia" w:ascii="宋体" w:hAnsi="宋体" w:cs="宋体"/>
          <w:bCs/>
          <w:szCs w:val="21"/>
          <w:highlight w:val="none"/>
        </w:rPr>
        <w:t xml:space="preserve">             </w:t>
      </w:r>
    </w:p>
    <w:p>
      <w:pPr>
        <w:snapToGrid w:val="0"/>
        <w:spacing w:line="380" w:lineRule="exact"/>
        <w:ind w:firstLine="630" w:firstLineChars="300"/>
        <w:rPr>
          <w:rFonts w:ascii="宋体" w:hAnsi="宋体" w:cs="宋体"/>
          <w:bCs/>
          <w:szCs w:val="21"/>
          <w:highlight w:val="none"/>
        </w:rPr>
      </w:pPr>
      <w:r>
        <w:rPr>
          <w:rFonts w:hint="eastAsia" w:ascii="宋体" w:hAnsi="宋体" w:cs="宋体"/>
          <w:bCs/>
          <w:szCs w:val="21"/>
          <w:highlight w:val="none"/>
        </w:rPr>
        <w:t>地址：</w:t>
      </w:r>
      <w:r>
        <w:rPr>
          <w:rFonts w:hint="eastAsia" w:ascii="宋体" w:hAnsi="宋体" w:cs="宋体"/>
          <w:szCs w:val="21"/>
          <w:highlight w:val="none"/>
        </w:rPr>
        <w:t>防城港市防城区防港路250号</w:t>
      </w:r>
      <w:r>
        <w:rPr>
          <w:rFonts w:hint="eastAsia" w:ascii="宋体" w:hAnsi="宋体" w:cs="宋体"/>
          <w:bCs/>
          <w:szCs w:val="21"/>
          <w:highlight w:val="none"/>
        </w:rPr>
        <w:t xml:space="preserve">               </w:t>
      </w:r>
    </w:p>
    <w:p>
      <w:pPr>
        <w:snapToGrid w:val="0"/>
        <w:spacing w:line="380" w:lineRule="exact"/>
        <w:ind w:firstLine="422"/>
        <w:rPr>
          <w:rFonts w:ascii="宋体" w:hAnsi="宋体" w:cs="宋体"/>
          <w:bCs/>
          <w:szCs w:val="21"/>
          <w:highlight w:val="none"/>
        </w:rPr>
      </w:pPr>
      <w:r>
        <w:rPr>
          <w:rFonts w:hint="eastAsia" w:ascii="宋体" w:hAnsi="宋体" w:cs="宋体"/>
          <w:bCs/>
          <w:szCs w:val="21"/>
          <w:highlight w:val="none"/>
        </w:rPr>
        <w:t xml:space="preserve">  联系方式：</w:t>
      </w:r>
      <w:r>
        <w:rPr>
          <w:rFonts w:hint="eastAsia" w:ascii="宋体" w:hAnsi="宋体" w:cs="宋体"/>
          <w:szCs w:val="21"/>
          <w:highlight w:val="none"/>
        </w:rPr>
        <w:t>郑毅    13977011333</w:t>
      </w:r>
      <w:r>
        <w:rPr>
          <w:rFonts w:hint="eastAsia" w:ascii="宋体" w:hAnsi="宋体" w:cs="Arial"/>
          <w:bCs/>
          <w:szCs w:val="21"/>
          <w:highlight w:val="none"/>
        </w:rPr>
        <w:t xml:space="preserve">  </w:t>
      </w:r>
      <w:r>
        <w:rPr>
          <w:rFonts w:hint="eastAsia" w:ascii="宋体" w:hAnsi="宋体" w:cs="宋体"/>
          <w:bCs/>
          <w:szCs w:val="21"/>
          <w:highlight w:val="none"/>
        </w:rPr>
        <w:t xml:space="preserve">              </w:t>
      </w:r>
    </w:p>
    <w:p>
      <w:pPr>
        <w:snapToGrid w:val="0"/>
        <w:spacing w:line="380" w:lineRule="exact"/>
        <w:ind w:firstLine="422"/>
        <w:rPr>
          <w:rFonts w:ascii="宋体" w:hAnsi="宋体" w:cs="宋体"/>
          <w:bCs/>
          <w:szCs w:val="21"/>
          <w:highlight w:val="none"/>
        </w:rPr>
      </w:pPr>
      <w:r>
        <w:rPr>
          <w:rFonts w:hint="eastAsia" w:ascii="宋体" w:hAnsi="宋体" w:cs="宋体"/>
          <w:bCs/>
          <w:szCs w:val="21"/>
          <w:highlight w:val="none"/>
        </w:rPr>
        <w:t xml:space="preserve">2.采购代理机构名称：广西鸿业建设工程管理咨询有限公司            </w:t>
      </w:r>
    </w:p>
    <w:p>
      <w:pPr>
        <w:snapToGrid w:val="0"/>
        <w:spacing w:line="380" w:lineRule="exact"/>
        <w:ind w:firstLine="422"/>
        <w:rPr>
          <w:rFonts w:ascii="宋体" w:hAnsi="宋体" w:cs="宋体"/>
          <w:bCs/>
          <w:szCs w:val="21"/>
          <w:highlight w:val="none"/>
        </w:rPr>
      </w:pPr>
      <w:r>
        <w:rPr>
          <w:rFonts w:hint="eastAsia" w:ascii="宋体" w:hAnsi="宋体" w:cs="宋体"/>
          <w:bCs/>
          <w:szCs w:val="21"/>
          <w:highlight w:val="none"/>
        </w:rPr>
        <w:t xml:space="preserve">  地址：防城港市港口区西湾广场财苑小区8栋                    </w:t>
      </w:r>
    </w:p>
    <w:p>
      <w:pPr>
        <w:snapToGrid w:val="0"/>
        <w:spacing w:line="380" w:lineRule="exact"/>
        <w:ind w:firstLine="422"/>
        <w:rPr>
          <w:rFonts w:ascii="宋体" w:hAnsi="宋体" w:cs="宋体"/>
          <w:bCs/>
          <w:szCs w:val="21"/>
          <w:highlight w:val="none"/>
        </w:rPr>
      </w:pPr>
      <w:r>
        <w:rPr>
          <w:rFonts w:hint="eastAsia" w:ascii="宋体" w:hAnsi="宋体" w:cs="宋体"/>
          <w:bCs/>
          <w:szCs w:val="21"/>
          <w:highlight w:val="none"/>
        </w:rPr>
        <w:t xml:space="preserve">  联系方式：吕碧影 0770-2862599 15677197511     </w:t>
      </w:r>
    </w:p>
    <w:p>
      <w:pPr>
        <w:snapToGrid w:val="0"/>
        <w:spacing w:line="380" w:lineRule="exact"/>
        <w:ind w:left="420"/>
        <w:rPr>
          <w:rFonts w:ascii="宋体" w:hAnsi="宋体" w:cs="宋体"/>
          <w:bCs/>
          <w:szCs w:val="21"/>
          <w:highlight w:val="none"/>
        </w:rPr>
      </w:pPr>
      <w:r>
        <w:rPr>
          <w:rFonts w:hint="eastAsia" w:ascii="宋体" w:hAnsi="宋体" w:cs="宋体"/>
          <w:bCs/>
          <w:szCs w:val="21"/>
          <w:highlight w:val="none"/>
        </w:rPr>
        <w:t>3.监督部门：防城港市政府采购管理中心       电话：0770-6102319</w:t>
      </w:r>
    </w:p>
    <w:p>
      <w:pPr>
        <w:snapToGrid w:val="0"/>
        <w:spacing w:line="380" w:lineRule="exact"/>
        <w:rPr>
          <w:rFonts w:hint="eastAsia" w:ascii="宋体" w:hAnsi="宋体" w:cs="宋体"/>
          <w:bCs/>
          <w:szCs w:val="21"/>
          <w:highlight w:val="none"/>
        </w:rPr>
      </w:pPr>
      <w:r>
        <w:rPr>
          <w:rFonts w:hint="eastAsia" w:ascii="宋体" w:hAnsi="宋体" w:cs="Arial"/>
          <w:bCs/>
          <w:szCs w:val="21"/>
          <w:highlight w:val="none"/>
        </w:rPr>
        <w:t xml:space="preserve"> </w:t>
      </w:r>
      <w:r>
        <w:rPr>
          <w:rFonts w:hint="eastAsia" w:ascii="宋体" w:hAnsi="宋体" w:cs="Arial"/>
          <w:b/>
          <w:szCs w:val="21"/>
          <w:highlight w:val="none"/>
        </w:rPr>
        <w:t xml:space="preserve"> 八、网上查询地址：</w:t>
      </w:r>
      <w:r>
        <w:rPr>
          <w:rFonts w:hint="eastAsia" w:ascii="宋体" w:hAnsi="宋体" w:cs="宋体"/>
          <w:bCs/>
          <w:szCs w:val="21"/>
          <w:highlight w:val="none"/>
        </w:rPr>
        <w:t>中国政府采购网（http://www.ccgp.gov.cn）、广西壮族自治区政府采购网（http://zfcg.gxzf.gov.cn）、广西防城港政府采购网站（http://zfcg.fcgs.gov.cn）、防城港市公共资源交易中心网（www.fcgggzy.cn）。</w:t>
      </w:r>
    </w:p>
    <w:p>
      <w:pPr>
        <w:snapToGrid w:val="0"/>
        <w:spacing w:line="380" w:lineRule="exact"/>
        <w:ind w:firstLine="422"/>
        <w:rPr>
          <w:rFonts w:ascii="宋体" w:hAnsi="宋体" w:cs="Arial"/>
          <w:bCs/>
          <w:szCs w:val="21"/>
          <w:highlight w:val="none"/>
        </w:rPr>
      </w:pPr>
    </w:p>
    <w:p>
      <w:pPr>
        <w:snapToGrid w:val="0"/>
        <w:spacing w:line="380" w:lineRule="exact"/>
        <w:ind w:firstLine="422"/>
        <w:rPr>
          <w:rFonts w:ascii="宋体" w:hAnsi="宋体" w:cs="Arial"/>
          <w:bCs/>
          <w:szCs w:val="21"/>
          <w:highlight w:val="none"/>
        </w:rPr>
      </w:pPr>
    </w:p>
    <w:p>
      <w:pPr>
        <w:snapToGrid w:val="0"/>
        <w:spacing w:line="380" w:lineRule="exact"/>
        <w:ind w:firstLine="4620" w:firstLineChars="2200"/>
        <w:rPr>
          <w:rFonts w:ascii="宋体" w:hAnsi="宋体" w:cs="Arial"/>
          <w:bCs/>
          <w:szCs w:val="21"/>
          <w:highlight w:val="none"/>
        </w:rPr>
      </w:pPr>
      <w:r>
        <w:rPr>
          <w:rFonts w:hint="eastAsia" w:ascii="宋体" w:hAnsi="宋体" w:cs="Arial"/>
          <w:bCs/>
          <w:szCs w:val="21"/>
          <w:highlight w:val="none"/>
        </w:rPr>
        <w:t>采购单位：防城港市公安局防城分局</w:t>
      </w:r>
    </w:p>
    <w:p>
      <w:pPr>
        <w:snapToGrid w:val="0"/>
        <w:spacing w:line="380" w:lineRule="exact"/>
        <w:ind w:left="238"/>
        <w:jc w:val="center"/>
        <w:rPr>
          <w:rFonts w:ascii="宋体" w:hAnsi="宋体"/>
          <w:szCs w:val="21"/>
          <w:highlight w:val="none"/>
        </w:rPr>
      </w:pPr>
      <w:r>
        <w:rPr>
          <w:rFonts w:hint="eastAsia" w:ascii="宋体" w:hAnsi="宋体" w:cs="Arial"/>
          <w:bCs/>
          <w:szCs w:val="21"/>
          <w:highlight w:val="none"/>
        </w:rPr>
        <w:t xml:space="preserve">                                 </w:t>
      </w:r>
      <w:r>
        <w:rPr>
          <w:rFonts w:hint="eastAsia" w:ascii="宋体" w:hAnsi="宋体"/>
          <w:szCs w:val="21"/>
          <w:highlight w:val="none"/>
        </w:rPr>
        <w:t>采购代理机构：</w:t>
      </w:r>
      <w:r>
        <w:rPr>
          <w:rFonts w:hint="eastAsia" w:hAnsi="宋体" w:cs="Arial"/>
          <w:szCs w:val="21"/>
          <w:highlight w:val="none"/>
        </w:rPr>
        <w:t>广西鸿业建设工程管理咨询有限公司</w:t>
      </w:r>
      <w:r>
        <w:rPr>
          <w:rFonts w:hint="eastAsia" w:ascii="宋体" w:hAnsi="宋体"/>
          <w:szCs w:val="21"/>
          <w:highlight w:val="none"/>
        </w:rPr>
        <w:t xml:space="preserve">   </w:t>
      </w:r>
    </w:p>
    <w:p>
      <w:pPr>
        <w:snapToGrid w:val="0"/>
        <w:spacing w:line="380" w:lineRule="exact"/>
        <w:ind w:left="238"/>
        <w:jc w:val="center"/>
        <w:rPr>
          <w:rFonts w:ascii="宋体" w:hAnsi="宋体"/>
          <w:szCs w:val="21"/>
          <w:highlight w:val="none"/>
        </w:rPr>
      </w:pPr>
      <w:r>
        <w:rPr>
          <w:rFonts w:hint="eastAsia" w:ascii="宋体" w:hAnsi="宋体"/>
          <w:szCs w:val="21"/>
          <w:highlight w:val="none"/>
        </w:rPr>
        <w:t xml:space="preserve">                             </w:t>
      </w:r>
      <w:r>
        <w:rPr>
          <w:rFonts w:hint="eastAsia" w:ascii="宋体" w:hAnsi="宋体"/>
          <w:color w:val="0000FF"/>
          <w:szCs w:val="21"/>
          <w:highlight w:val="none"/>
        </w:rPr>
        <w:t xml:space="preserve">  </w:t>
      </w:r>
      <w:r>
        <w:rPr>
          <w:rFonts w:hint="eastAsia" w:ascii="宋体" w:hAnsi="宋体"/>
          <w:color w:val="auto"/>
          <w:szCs w:val="21"/>
          <w:highlight w:val="none"/>
        </w:rPr>
        <w:t xml:space="preserve"> 2020年</w:t>
      </w:r>
      <w:r>
        <w:rPr>
          <w:rFonts w:hint="eastAsia" w:ascii="宋体" w:hAnsi="宋体"/>
          <w:color w:val="auto"/>
          <w:szCs w:val="21"/>
          <w:highlight w:val="none"/>
          <w:lang w:val="en-US" w:eastAsia="zh-CN"/>
        </w:rPr>
        <w:t>7</w:t>
      </w:r>
      <w:r>
        <w:rPr>
          <w:rFonts w:hint="eastAsia" w:ascii="宋体" w:hAnsi="宋体"/>
          <w:color w:val="auto"/>
          <w:szCs w:val="21"/>
          <w:highlight w:val="none"/>
        </w:rPr>
        <w:t>月</w:t>
      </w:r>
      <w:r>
        <w:rPr>
          <w:rFonts w:hint="eastAsia" w:ascii="宋体" w:hAnsi="宋体"/>
          <w:color w:val="auto"/>
          <w:szCs w:val="21"/>
          <w:highlight w:val="none"/>
          <w:lang w:val="en-US" w:eastAsia="zh-CN"/>
        </w:rPr>
        <w:t>22</w:t>
      </w:r>
      <w:r>
        <w:rPr>
          <w:rFonts w:hint="eastAsia" w:ascii="宋体" w:hAnsi="宋体"/>
          <w:color w:val="auto"/>
          <w:szCs w:val="21"/>
          <w:highlight w:val="none"/>
        </w:rPr>
        <w:t>日</w:t>
      </w:r>
    </w:p>
    <w:p>
      <w:pPr>
        <w:snapToGrid w:val="0"/>
        <w:spacing w:line="380" w:lineRule="exact"/>
        <w:ind w:left="238"/>
        <w:jc w:val="center"/>
        <w:rPr>
          <w:rFonts w:ascii="宋体" w:hAnsi="宋体"/>
          <w:szCs w:val="21"/>
          <w:highlight w:val="none"/>
        </w:rPr>
      </w:pPr>
    </w:p>
    <w:p>
      <w:pPr>
        <w:snapToGrid w:val="0"/>
        <w:spacing w:line="400" w:lineRule="exact"/>
        <w:rPr>
          <w:rFonts w:ascii="宋体" w:hAnsi="宋体"/>
          <w:szCs w:val="21"/>
          <w:highlight w:val="none"/>
        </w:rPr>
      </w:pPr>
    </w:p>
    <w:p>
      <w:pPr>
        <w:pStyle w:val="84"/>
        <w:numPr>
          <w:ilvl w:val="0"/>
          <w:numId w:val="0"/>
        </w:numPr>
        <w:spacing w:before="40" w:after="140"/>
        <w:jc w:val="center"/>
        <w:rPr>
          <w:rFonts w:ascii="仿宋" w:hAnsi="仿宋" w:eastAsia="仿宋"/>
          <w:sz w:val="25"/>
          <w:szCs w:val="25"/>
          <w:highlight w:val="none"/>
        </w:rPr>
      </w:pPr>
      <w:r>
        <w:rPr>
          <w:rFonts w:hint="eastAsia"/>
          <w:highlight w:val="none"/>
        </w:rPr>
        <w:br w:type="page"/>
      </w:r>
      <w:r>
        <w:rPr>
          <w:rFonts w:hint="eastAsia"/>
          <w:highlight w:val="none"/>
        </w:rPr>
        <w:t>第二章  招标项目采购需求</w:t>
      </w:r>
    </w:p>
    <w:p>
      <w:pPr>
        <w:spacing w:line="360" w:lineRule="auto"/>
        <w:rPr>
          <w:rFonts w:ascii="宋体" w:hAnsi="宋体"/>
          <w:b/>
          <w:sz w:val="24"/>
          <w:highlight w:val="none"/>
        </w:rPr>
      </w:pPr>
      <w:r>
        <w:rPr>
          <w:rFonts w:hint="eastAsia" w:ascii="宋体" w:hAnsi="宋体"/>
          <w:b/>
          <w:sz w:val="24"/>
          <w:highlight w:val="none"/>
        </w:rPr>
        <w:t>说明：</w:t>
      </w:r>
    </w:p>
    <w:p>
      <w:pPr>
        <w:spacing w:line="260" w:lineRule="exact"/>
        <w:ind w:firstLine="431"/>
        <w:rPr>
          <w:rFonts w:ascii="宋体" w:hAnsi="宋体" w:cs="宋体"/>
          <w:b/>
          <w:bCs/>
          <w:szCs w:val="21"/>
          <w:highlight w:val="none"/>
        </w:rPr>
      </w:pPr>
      <w:r>
        <w:rPr>
          <w:rFonts w:hint="eastAsia" w:ascii="宋体" w:hAnsi="宋体" w:cs="宋体"/>
          <w:b/>
          <w:bCs/>
          <w:szCs w:val="21"/>
          <w:highlight w:val="none"/>
        </w:rPr>
        <w:t>1、本需求的货物品牌型号、技术参数及其性能（配置）仅起参考作用，投标人可选用其他品牌型号替代，但这些替代的产品要实质上相当于或优于参考品牌型号及其技术参数性能（配置）要求。</w:t>
      </w:r>
    </w:p>
    <w:p>
      <w:pPr>
        <w:spacing w:line="260" w:lineRule="exact"/>
        <w:ind w:left="6" w:firstLine="431"/>
        <w:rPr>
          <w:rFonts w:ascii="宋体" w:hAnsi="宋体" w:cs="宋体"/>
          <w:b/>
          <w:bCs/>
          <w:szCs w:val="21"/>
          <w:highlight w:val="none"/>
        </w:rPr>
      </w:pPr>
      <w:r>
        <w:rPr>
          <w:rFonts w:hint="eastAsia" w:ascii="宋体" w:hAnsi="宋体" w:cs="宋体"/>
          <w:b/>
          <w:bCs/>
          <w:szCs w:val="21"/>
          <w:highlight w:val="none"/>
        </w:rPr>
        <w:t>2、本需求中参考品牌型号规格及技术参数不明确或有误的，或投标人选用其他品牌型号替代的，请以详细、正确的品牌型号、技术参数（配置）同时填写投标报价明细表和技术响应表。</w:t>
      </w:r>
    </w:p>
    <w:p>
      <w:pPr>
        <w:spacing w:line="260" w:lineRule="exact"/>
        <w:ind w:left="6" w:firstLine="431"/>
        <w:rPr>
          <w:rFonts w:ascii="宋体" w:hAnsi="宋体" w:cs="宋体"/>
          <w:b/>
          <w:bCs/>
          <w:szCs w:val="21"/>
          <w:highlight w:val="none"/>
        </w:rPr>
      </w:pPr>
      <w:r>
        <w:rPr>
          <w:rFonts w:hint="eastAsia" w:ascii="宋体" w:hAnsi="宋体" w:cs="宋体"/>
          <w:b/>
          <w:bCs/>
          <w:szCs w:val="21"/>
          <w:highlight w:val="none"/>
        </w:rPr>
        <w:t>3、凡在“技术参数及性能（配置）要求”中表述为“标配”或“标准配置”的设备，投标人应在投标报价明细表中将其标配参数详细列明。</w:t>
      </w:r>
    </w:p>
    <w:p>
      <w:pPr>
        <w:spacing w:line="260" w:lineRule="exact"/>
        <w:ind w:left="6" w:firstLine="431"/>
        <w:rPr>
          <w:rFonts w:ascii="宋体" w:hAnsi="宋体" w:cs="宋体"/>
          <w:szCs w:val="21"/>
          <w:highlight w:val="none"/>
        </w:rPr>
      </w:pPr>
      <w:r>
        <w:rPr>
          <w:rFonts w:hint="eastAsia" w:ascii="宋体" w:hAnsi="宋体" w:cs="宋体"/>
          <w:b/>
          <w:bCs/>
          <w:szCs w:val="21"/>
          <w:highlight w:val="none"/>
        </w:rPr>
        <w:t>4、评标时，若评标委员会认为本项目所采购的产品某个技术参数为某唯一品牌所特有，则该参数将不作为实质性响应条件。</w:t>
      </w:r>
    </w:p>
    <w:p>
      <w:pPr>
        <w:spacing w:line="260" w:lineRule="exact"/>
        <w:ind w:left="6" w:firstLine="431"/>
        <w:rPr>
          <w:rFonts w:ascii="宋体" w:hAnsi="宋体" w:cs="宋体"/>
          <w:b/>
          <w:bCs/>
          <w:szCs w:val="21"/>
          <w:highlight w:val="none"/>
        </w:rPr>
      </w:pPr>
      <w:r>
        <w:rPr>
          <w:rFonts w:hint="eastAsia" w:ascii="宋体" w:hAnsi="宋体" w:cs="宋体"/>
          <w:b/>
          <w:bCs/>
          <w:szCs w:val="21"/>
          <w:highlight w:val="none"/>
        </w:rPr>
        <w:t>5、本项目采购产品如属于财政部、国家发改委《节能产品政府采购品目清单》政府强制采购节能产品范围，则竞标人所投的此类产品必须使用政府强制采购的节能产品，竞标人于竞标文件中必须提供所投产品属于现行政府强制采购节能产品的证明材料（加盖竞标人公章），否则相应竞标无效。</w:t>
      </w:r>
    </w:p>
    <w:p>
      <w:pPr>
        <w:spacing w:line="260" w:lineRule="exact"/>
        <w:ind w:left="6" w:firstLine="431"/>
        <w:rPr>
          <w:rFonts w:ascii="宋体" w:hAnsi="宋体" w:cs="宋体"/>
          <w:b/>
          <w:bCs/>
          <w:szCs w:val="21"/>
          <w:highlight w:val="none"/>
        </w:rPr>
      </w:pPr>
      <w:r>
        <w:rPr>
          <w:rFonts w:hint="eastAsia" w:ascii="宋体" w:hAnsi="宋体" w:cs="宋体"/>
          <w:b/>
          <w:bCs/>
          <w:szCs w:val="21"/>
          <w:highlight w:val="none"/>
        </w:rPr>
        <w:t>6、</w:t>
      </w:r>
      <w:r>
        <w:rPr>
          <w:rFonts w:hint="eastAsia"/>
          <w:b/>
          <w:bCs/>
          <w:highlight w:val="none"/>
        </w:rPr>
        <w:t>标“▲”条款为重要技术指标，必须满足或优于该指标</w:t>
      </w:r>
      <w:r>
        <w:rPr>
          <w:rFonts w:hint="eastAsia"/>
          <w:b/>
          <w:bCs/>
          <w:highlight w:val="none"/>
          <w:lang w:eastAsia="zh-CN"/>
        </w:rPr>
        <w:t>；</w:t>
      </w:r>
      <w:r>
        <w:rPr>
          <w:rFonts w:hint="eastAsia"/>
          <w:b/>
          <w:bCs/>
          <w:highlight w:val="none"/>
          <w:lang w:val="en-US" w:eastAsia="zh-CN"/>
        </w:rPr>
        <w:t>不标</w:t>
      </w:r>
      <w:r>
        <w:rPr>
          <w:rFonts w:hint="eastAsia"/>
          <w:b/>
          <w:bCs/>
          <w:highlight w:val="none"/>
        </w:rPr>
        <w:t>“▲”</w:t>
      </w:r>
      <w:r>
        <w:rPr>
          <w:rFonts w:hint="eastAsia"/>
          <w:b/>
          <w:bCs/>
          <w:highlight w:val="none"/>
          <w:lang w:val="en-US" w:eastAsia="zh-CN"/>
        </w:rPr>
        <w:t>或</w:t>
      </w:r>
      <w:r>
        <w:rPr>
          <w:rFonts w:hint="eastAsia"/>
          <w:b/>
          <w:bCs/>
          <w:highlight w:val="none"/>
        </w:rPr>
        <w:t>“★”技术参数允许偏离技术、性能指标或辅助功能项目发生负偏离≤ 2项；标“★”条款作为优质货物性能，将作为评分办法中的</w:t>
      </w:r>
      <w:r>
        <w:rPr>
          <w:rFonts w:hint="eastAsia"/>
          <w:b/>
          <w:bCs/>
          <w:highlight w:val="none"/>
          <w:lang w:val="en-US" w:eastAsia="zh-CN"/>
        </w:rPr>
        <w:t>评审</w:t>
      </w:r>
      <w:r>
        <w:rPr>
          <w:rFonts w:hint="eastAsia"/>
          <w:b/>
          <w:bCs/>
          <w:highlight w:val="none"/>
        </w:rPr>
        <w:t>依据。采购人保留测试权利，如投标人虚假应标将承担响应的法律责任。</w:t>
      </w:r>
    </w:p>
    <w:p>
      <w:pPr>
        <w:spacing w:line="360" w:lineRule="auto"/>
        <w:ind w:firstLine="422" w:firstLineChars="200"/>
        <w:rPr>
          <w:rFonts w:ascii="宋体" w:hAnsi="宋体" w:cs="宋体"/>
          <w:bCs/>
          <w:kern w:val="0"/>
          <w:szCs w:val="21"/>
          <w:highlight w:val="none"/>
        </w:rPr>
      </w:pPr>
      <w:r>
        <w:rPr>
          <w:rFonts w:hint="eastAsia" w:ascii="宋体" w:hAnsi="宋体"/>
          <w:b/>
          <w:bCs/>
          <w:szCs w:val="21"/>
          <w:highlight w:val="none"/>
        </w:rPr>
        <w:t>7、本项目核心产品为：“</w:t>
      </w:r>
      <w:r>
        <w:rPr>
          <w:rFonts w:ascii="宋体" w:hAnsi="宋体"/>
          <w:b/>
          <w:bCs/>
          <w:szCs w:val="21"/>
          <w:highlight w:val="none"/>
        </w:rPr>
        <w:t>900万人脸智能卡口抓拍单元</w:t>
      </w:r>
      <w:r>
        <w:rPr>
          <w:rFonts w:hint="eastAsia" w:ascii="宋体" w:hAnsi="宋体"/>
          <w:b/>
          <w:bCs/>
          <w:szCs w:val="21"/>
          <w:highlight w:val="none"/>
        </w:rPr>
        <w:t>”</w:t>
      </w:r>
      <w:r>
        <w:rPr>
          <w:rFonts w:hint="eastAsia" w:ascii="宋体" w:hAnsi="宋体"/>
          <w:b/>
          <w:szCs w:val="21"/>
          <w:highlight w:val="none"/>
        </w:rPr>
        <w:t>。</w:t>
      </w:r>
    </w:p>
    <w:tbl>
      <w:tblPr>
        <w:tblStyle w:val="35"/>
        <w:tblW w:w="51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201"/>
        <w:gridCol w:w="79"/>
        <w:gridCol w:w="651"/>
        <w:gridCol w:w="624"/>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5000" w:type="pct"/>
            <w:gridSpan w:val="6"/>
            <w:shd w:val="clear" w:color="auto" w:fill="auto"/>
            <w:noWrap/>
            <w:vAlign w:val="center"/>
          </w:tcPr>
          <w:p>
            <w:pPr>
              <w:widowControl/>
              <w:jc w:val="left"/>
              <w:rPr>
                <w:rFonts w:ascii="宋体" w:hAnsi="宋体" w:cs="宋体"/>
                <w:b/>
                <w:bCs/>
                <w:kern w:val="0"/>
                <w:sz w:val="22"/>
                <w:highlight w:val="none"/>
              </w:rPr>
            </w:pPr>
            <w:r>
              <w:rPr>
                <w:rFonts w:hint="eastAsia" w:ascii="宋体" w:hAnsi="宋体" w:cs="宋体"/>
                <w:b/>
                <w:bCs/>
                <w:kern w:val="0"/>
                <w:sz w:val="22"/>
                <w:highlight w:val="none"/>
              </w:rPr>
              <w:t>一</w:t>
            </w:r>
            <w:r>
              <w:rPr>
                <w:rFonts w:ascii="宋体" w:hAnsi="宋体" w:cs="宋体"/>
                <w:b/>
                <w:bCs/>
                <w:kern w:val="0"/>
                <w:sz w:val="22"/>
                <w:highlight w:val="none"/>
              </w:rPr>
              <w:t>、货物需求表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330" w:type="pct"/>
            <w:shd w:val="clear" w:color="auto" w:fill="auto"/>
            <w:noWrap/>
            <w:vAlign w:val="center"/>
          </w:tcPr>
          <w:p>
            <w:pPr>
              <w:widowControl/>
              <w:jc w:val="center"/>
              <w:rPr>
                <w:rFonts w:ascii="宋体" w:hAnsi="宋体" w:cs="宋体"/>
                <w:b/>
                <w:bCs/>
                <w:kern w:val="0"/>
                <w:sz w:val="22"/>
                <w:highlight w:val="none"/>
              </w:rPr>
            </w:pPr>
            <w:r>
              <w:rPr>
                <w:rFonts w:hint="eastAsia" w:ascii="宋体" w:hAnsi="宋体" w:cs="宋体"/>
                <w:b/>
                <w:bCs/>
                <w:kern w:val="0"/>
                <w:sz w:val="22"/>
                <w:highlight w:val="none"/>
              </w:rPr>
              <w:t>序号</w:t>
            </w:r>
          </w:p>
        </w:tc>
        <w:tc>
          <w:tcPr>
            <w:tcW w:w="665" w:type="pct"/>
            <w:gridSpan w:val="2"/>
            <w:shd w:val="clear" w:color="auto" w:fill="auto"/>
            <w:noWrap/>
            <w:vAlign w:val="center"/>
          </w:tcPr>
          <w:p>
            <w:pPr>
              <w:widowControl/>
              <w:jc w:val="center"/>
              <w:rPr>
                <w:rFonts w:ascii="宋体" w:hAnsi="宋体" w:cs="宋体"/>
                <w:b/>
                <w:bCs/>
                <w:kern w:val="0"/>
                <w:sz w:val="22"/>
                <w:highlight w:val="none"/>
              </w:rPr>
            </w:pPr>
            <w:r>
              <w:rPr>
                <w:rFonts w:hint="eastAsia" w:ascii="宋体" w:hAnsi="宋体" w:cs="宋体"/>
                <w:b/>
                <w:bCs/>
                <w:kern w:val="0"/>
                <w:sz w:val="22"/>
                <w:highlight w:val="none"/>
              </w:rPr>
              <w:t>设备名称</w:t>
            </w:r>
          </w:p>
        </w:tc>
        <w:tc>
          <w:tcPr>
            <w:tcW w:w="338" w:type="pct"/>
            <w:shd w:val="clear" w:color="auto" w:fill="auto"/>
            <w:noWrap/>
            <w:vAlign w:val="center"/>
          </w:tcPr>
          <w:p>
            <w:pPr>
              <w:widowControl/>
              <w:jc w:val="center"/>
              <w:rPr>
                <w:rFonts w:ascii="宋体" w:hAnsi="宋体" w:cs="宋体"/>
                <w:b/>
                <w:bCs/>
                <w:kern w:val="0"/>
                <w:sz w:val="22"/>
                <w:highlight w:val="none"/>
              </w:rPr>
            </w:pPr>
            <w:r>
              <w:rPr>
                <w:rFonts w:hint="eastAsia" w:ascii="宋体" w:hAnsi="宋体" w:cs="宋体"/>
                <w:b/>
                <w:bCs/>
                <w:kern w:val="0"/>
                <w:sz w:val="22"/>
                <w:highlight w:val="none"/>
              </w:rPr>
              <w:t>数量</w:t>
            </w:r>
          </w:p>
        </w:tc>
        <w:tc>
          <w:tcPr>
            <w:tcW w:w="324" w:type="pct"/>
            <w:shd w:val="clear" w:color="auto" w:fill="auto"/>
            <w:noWrap/>
            <w:vAlign w:val="center"/>
          </w:tcPr>
          <w:p>
            <w:pPr>
              <w:widowControl/>
              <w:jc w:val="center"/>
              <w:rPr>
                <w:rFonts w:ascii="宋体" w:hAnsi="宋体" w:cs="宋体"/>
                <w:b/>
                <w:bCs/>
                <w:kern w:val="0"/>
                <w:sz w:val="22"/>
                <w:highlight w:val="none"/>
              </w:rPr>
            </w:pPr>
            <w:r>
              <w:rPr>
                <w:rFonts w:hint="eastAsia" w:ascii="宋体" w:hAnsi="宋体" w:cs="宋体"/>
                <w:b/>
                <w:bCs/>
                <w:kern w:val="0"/>
                <w:sz w:val="22"/>
                <w:highlight w:val="none"/>
              </w:rPr>
              <w:t>单位</w:t>
            </w:r>
          </w:p>
        </w:tc>
        <w:tc>
          <w:tcPr>
            <w:tcW w:w="3343" w:type="pct"/>
            <w:shd w:val="clear" w:color="auto" w:fill="auto"/>
            <w:noWrap/>
            <w:vAlign w:val="center"/>
          </w:tcPr>
          <w:p>
            <w:pPr>
              <w:widowControl/>
              <w:jc w:val="center"/>
              <w:rPr>
                <w:rFonts w:ascii="宋体" w:hAnsi="宋体" w:cs="宋体"/>
                <w:b/>
                <w:bCs/>
                <w:kern w:val="0"/>
                <w:sz w:val="22"/>
                <w:highlight w:val="none"/>
              </w:rPr>
            </w:pPr>
            <w:r>
              <w:rPr>
                <w:rFonts w:hint="eastAsia" w:ascii="宋体" w:hAnsi="宋体" w:cs="宋体"/>
                <w:b/>
                <w:bCs/>
                <w:kern w:val="0"/>
                <w:sz w:val="22"/>
                <w:highlight w:val="none"/>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330" w:type="pct"/>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665" w:type="pct"/>
            <w:gridSpan w:val="2"/>
            <w:shd w:val="clear" w:color="auto" w:fill="auto"/>
            <w:noWrap/>
            <w:vAlign w:val="center"/>
          </w:tcPr>
          <w:p>
            <w:pPr>
              <w:widowControl/>
              <w:jc w:val="left"/>
              <w:rPr>
                <w:rFonts w:ascii="宋体" w:hAnsi="宋体" w:cs="宋体"/>
                <w:kern w:val="0"/>
                <w:szCs w:val="21"/>
                <w:highlight w:val="none"/>
              </w:rPr>
            </w:pPr>
            <w:r>
              <w:rPr>
                <w:rFonts w:hint="eastAsia" w:ascii="宋体" w:hAnsi="宋体" w:cs="宋体"/>
                <w:color w:val="000000"/>
                <w:kern w:val="0"/>
                <w:szCs w:val="21"/>
                <w:highlight w:val="none"/>
              </w:rPr>
              <w:t>900万人脸智能卡口抓拍单元</w:t>
            </w:r>
          </w:p>
        </w:tc>
        <w:tc>
          <w:tcPr>
            <w:tcW w:w="338" w:type="pct"/>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21</w:t>
            </w:r>
          </w:p>
        </w:tc>
        <w:tc>
          <w:tcPr>
            <w:tcW w:w="324" w:type="pct"/>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3343" w:type="pct"/>
            <w:shd w:val="clear" w:color="auto" w:fill="auto"/>
            <w:noWrap/>
          </w:tcPr>
          <w:p>
            <w:pPr>
              <w:widowControl/>
              <w:jc w:val="left"/>
              <w:rPr>
                <w:highlight w:val="none"/>
              </w:rPr>
            </w:pPr>
            <w:r>
              <w:rPr>
                <w:rFonts w:hint="eastAsia" w:ascii="宋体" w:hAnsi="宋体" w:cs="宋体"/>
                <w:kern w:val="0"/>
                <w:szCs w:val="21"/>
                <w:highlight w:val="none"/>
              </w:rPr>
              <w:t>▲</w:t>
            </w:r>
            <w:r>
              <w:rPr>
                <w:rFonts w:ascii="宋体" w:hAnsi="宋体"/>
                <w:color w:val="000000"/>
                <w:kern w:val="0"/>
                <w:sz w:val="18"/>
                <w:szCs w:val="18"/>
                <w:highlight w:val="none"/>
              </w:rPr>
              <w:t>1、采用≥1英寸GMOS图像传感器，须为一体化设计，设备分辨率≥900万，视频帧率在1～25fps可调。</w:t>
            </w:r>
          </w:p>
          <w:p>
            <w:pPr>
              <w:widowControl/>
              <w:jc w:val="left"/>
              <w:rPr>
                <w:highlight w:val="none"/>
              </w:rPr>
            </w:pPr>
            <w:r>
              <w:rPr>
                <w:rFonts w:ascii="宋体" w:hAnsi="宋体"/>
                <w:color w:val="000000"/>
                <w:kern w:val="0"/>
                <w:sz w:val="18"/>
                <w:szCs w:val="18"/>
                <w:highlight w:val="none"/>
              </w:rPr>
              <w:t>2、支持主码流同时输出不少于30路4096×2160、2Mbps的25帧/s图像以提供客户端浏览。</w:t>
            </w:r>
          </w:p>
          <w:p>
            <w:pPr>
              <w:widowControl/>
              <w:jc w:val="left"/>
              <w:rPr>
                <w:highlight w:val="none"/>
              </w:rPr>
            </w:pPr>
            <w:r>
              <w:rPr>
                <w:rFonts w:hint="eastAsia" w:ascii="宋体" w:hAnsi="宋体" w:cs="宋体"/>
                <w:kern w:val="0"/>
                <w:szCs w:val="21"/>
                <w:highlight w:val="none"/>
              </w:rPr>
              <w:t>▲</w:t>
            </w:r>
            <w:r>
              <w:rPr>
                <w:rFonts w:ascii="宋体" w:hAnsi="宋体"/>
                <w:color w:val="000000"/>
                <w:kern w:val="0"/>
                <w:sz w:val="18"/>
                <w:szCs w:val="18"/>
                <w:highlight w:val="none"/>
              </w:rPr>
              <w:t>3、设备支持检测并抓拍喜、怒、哀、乐四种表情的人脸；可对监视画面中不小于40个人脸进行检测、跟踪和抓拍，并可将抓拍图片上传服务器。</w:t>
            </w:r>
          </w:p>
          <w:p>
            <w:pPr>
              <w:widowControl/>
              <w:jc w:val="left"/>
              <w:rPr>
                <w:highlight w:val="none"/>
              </w:rPr>
            </w:pPr>
            <w:r>
              <w:rPr>
                <w:rFonts w:ascii="宋体" w:hAnsi="宋体"/>
                <w:color w:val="000000"/>
                <w:kern w:val="0"/>
                <w:sz w:val="18"/>
                <w:szCs w:val="18"/>
                <w:highlight w:val="none"/>
              </w:rPr>
              <w:t>★4、可对设定区域内的天窗开启露出人部分身体、未交替让行、双车挤入单车道等行为进行图片抓拍，抓拍JPEG格式的图片后，可查看抓拍图片的压缩因子。</w:t>
            </w:r>
          </w:p>
          <w:p>
            <w:pPr>
              <w:widowControl/>
              <w:jc w:val="left"/>
              <w:rPr>
                <w:highlight w:val="none"/>
              </w:rPr>
            </w:pPr>
            <w:r>
              <w:rPr>
                <w:rFonts w:ascii="宋体" w:hAnsi="宋体"/>
                <w:color w:val="000000"/>
                <w:kern w:val="0"/>
                <w:sz w:val="18"/>
                <w:szCs w:val="18"/>
                <w:highlight w:val="none"/>
              </w:rPr>
              <w:t>5、支持非机动车不戴头盔，载人，逆行，闯红灯，支持违法抓拍上传，支持检测区域内车辆驶入驶离，停车时长检测功能。</w:t>
            </w:r>
          </w:p>
          <w:p>
            <w:pPr>
              <w:widowControl/>
              <w:jc w:val="left"/>
              <w:rPr>
                <w:highlight w:val="none"/>
              </w:rPr>
            </w:pPr>
            <w:r>
              <w:rPr>
                <w:rFonts w:ascii="宋体" w:hAnsi="宋体"/>
                <w:color w:val="000000"/>
                <w:kern w:val="0"/>
                <w:sz w:val="18"/>
                <w:szCs w:val="18"/>
                <w:highlight w:val="none"/>
              </w:rPr>
              <w:t>6、支持对某一时间段内连续多辆车闯红灯时间进行检测并自动上传报警信息。</w:t>
            </w:r>
          </w:p>
          <w:p>
            <w:pPr>
              <w:widowControl/>
              <w:jc w:val="left"/>
              <w:rPr>
                <w:highlight w:val="none"/>
              </w:rPr>
            </w:pPr>
            <w:r>
              <w:rPr>
                <w:rFonts w:ascii="宋体" w:hAnsi="宋体"/>
                <w:color w:val="000000"/>
                <w:kern w:val="0"/>
                <w:sz w:val="18"/>
                <w:szCs w:val="18"/>
                <w:highlight w:val="none"/>
              </w:rPr>
              <w:t>★7、对车头进行试验，设备可识别≥6600种车辆子品牌，对车尾进行试验，设备可识别≥3600种车辆子品牌，可显示设定区域内各像素点的RGB分量值。</w:t>
            </w:r>
          </w:p>
          <w:p>
            <w:pPr>
              <w:widowControl/>
              <w:jc w:val="left"/>
              <w:rPr>
                <w:highlight w:val="none"/>
              </w:rPr>
            </w:pPr>
            <w:r>
              <w:rPr>
                <w:rFonts w:ascii="宋体" w:hAnsi="宋体"/>
                <w:color w:val="000000"/>
                <w:kern w:val="0"/>
                <w:sz w:val="18"/>
                <w:szCs w:val="18"/>
                <w:highlight w:val="none"/>
              </w:rPr>
              <w:t>8、支持按照时间、通道、违章类型、车速、车牌、车道对车辆信息进行查询。</w:t>
            </w:r>
          </w:p>
          <w:p>
            <w:pPr>
              <w:widowControl/>
              <w:jc w:val="left"/>
              <w:rPr>
                <w:highlight w:val="none"/>
              </w:rPr>
            </w:pPr>
            <w:r>
              <w:rPr>
                <w:rFonts w:ascii="宋体" w:hAnsi="宋体"/>
                <w:color w:val="000000"/>
                <w:kern w:val="0"/>
                <w:sz w:val="18"/>
                <w:szCs w:val="18"/>
                <w:highlight w:val="none"/>
              </w:rPr>
              <w:t>★9、设备可外接电池供电，可对监控画面中经过行人道未减速至设定阈值的机动车进行图片抓拍，可对视频画面中高度超过设定阈值的车辆进行检测并抓拍图片。</w:t>
            </w:r>
          </w:p>
          <w:p>
            <w:pPr>
              <w:widowControl/>
              <w:jc w:val="left"/>
              <w:rPr>
                <w:highlight w:val="none"/>
              </w:rPr>
            </w:pPr>
            <w:r>
              <w:rPr>
                <w:rFonts w:ascii="宋体" w:hAnsi="宋体"/>
                <w:color w:val="000000"/>
                <w:kern w:val="0"/>
                <w:sz w:val="18"/>
                <w:szCs w:val="18"/>
                <w:highlight w:val="none"/>
              </w:rPr>
              <w:t>10、在相同图片质量下，使用H.265编码格式开启智能编码模式后，平均码率可节省≥85%，支持叠加≥10行字符显示。</w:t>
            </w:r>
          </w:p>
          <w:p>
            <w:pPr>
              <w:widowControl/>
              <w:jc w:val="left"/>
              <w:rPr>
                <w:highlight w:val="none"/>
              </w:rPr>
            </w:pPr>
            <w:r>
              <w:rPr>
                <w:rFonts w:ascii="宋体" w:hAnsi="宋体"/>
                <w:color w:val="000000"/>
                <w:kern w:val="0"/>
                <w:sz w:val="18"/>
                <w:szCs w:val="18"/>
                <w:highlight w:val="none"/>
              </w:rPr>
              <w:t>11、内置加热器，低温环境下，能自动进行预加热，内置风扇，及时散热确保设备正常工作。</w:t>
            </w:r>
          </w:p>
          <w:p>
            <w:pPr>
              <w:widowControl/>
              <w:jc w:val="left"/>
              <w:rPr>
                <w:highlight w:val="none"/>
              </w:rPr>
            </w:pPr>
            <w:r>
              <w:rPr>
                <w:rFonts w:ascii="宋体" w:hAnsi="宋体"/>
                <w:color w:val="000000"/>
                <w:kern w:val="0"/>
                <w:sz w:val="18"/>
                <w:szCs w:val="18"/>
                <w:highlight w:val="none"/>
              </w:rPr>
              <w:t>★12、开启混合抓拍模式后，设备支持正面/侧面/背面行人（包括成年人和儿童）的抓拍；支持对骑自行车、骑三轮车、骑电动车、踩平衡车、骑车带人等非机动车的抓拍；支持对轿车、客车、面包车、货车、卡车、摩托车等机动车的抓拍。</w:t>
            </w:r>
          </w:p>
          <w:p>
            <w:pPr>
              <w:widowControl/>
              <w:jc w:val="left"/>
              <w:rPr>
                <w:highlight w:val="none"/>
              </w:rPr>
            </w:pPr>
            <w:r>
              <w:rPr>
                <w:rFonts w:ascii="宋体" w:hAnsi="宋体"/>
                <w:color w:val="000000"/>
                <w:kern w:val="0"/>
                <w:sz w:val="18"/>
                <w:szCs w:val="18"/>
                <w:highlight w:val="none"/>
              </w:rPr>
              <w:t>13、设备支持后端开启方式，支持违法视频存储功能，可根据抓拍图片关联查看违法视频片段。</w:t>
            </w:r>
          </w:p>
          <w:p>
            <w:pPr>
              <w:widowControl/>
              <w:jc w:val="left"/>
              <w:rPr>
                <w:highlight w:val="none"/>
              </w:rPr>
            </w:pPr>
            <w:r>
              <w:rPr>
                <w:rFonts w:ascii="宋体" w:hAnsi="宋体"/>
                <w:color w:val="000000"/>
                <w:kern w:val="0"/>
                <w:sz w:val="18"/>
                <w:szCs w:val="18"/>
                <w:highlight w:val="none"/>
              </w:rPr>
              <w:t>★14、支持节假日/工作日按时间段或者全天方式限行，支持车牌号按单双号/任意尾号进行限行，支持时间和车牌号自定义组合规则进行限行，对高速跟车过近进行检测抓拍，内置陀螺仪，可实现姿态异常检测，并报警输出。</w:t>
            </w:r>
          </w:p>
          <w:p>
            <w:pPr>
              <w:widowControl/>
              <w:jc w:val="left"/>
              <w:rPr>
                <w:highlight w:val="none"/>
              </w:rPr>
            </w:pPr>
            <w:r>
              <w:rPr>
                <w:rFonts w:ascii="宋体" w:hAnsi="宋体"/>
                <w:color w:val="000000"/>
                <w:kern w:val="0"/>
                <w:sz w:val="18"/>
                <w:szCs w:val="18"/>
                <w:highlight w:val="none"/>
              </w:rPr>
              <w:t>15、设备可识别不低于蓝、黄、黑、白、绿5种颜色的车牌，支持对黑烟车进行检测并识别。</w:t>
            </w:r>
          </w:p>
          <w:p>
            <w:pPr>
              <w:widowControl/>
              <w:jc w:val="left"/>
              <w:rPr>
                <w:highlight w:val="none"/>
              </w:rPr>
            </w:pPr>
            <w:r>
              <w:rPr>
                <w:rFonts w:ascii="宋体" w:hAnsi="宋体"/>
                <w:color w:val="000000"/>
                <w:kern w:val="0"/>
                <w:sz w:val="18"/>
                <w:szCs w:val="18"/>
                <w:highlight w:val="none"/>
              </w:rPr>
              <w:t>16、支持在一张内存卡中实现图片和视频分区存储。</w:t>
            </w:r>
          </w:p>
          <w:p>
            <w:pPr>
              <w:widowControl/>
              <w:jc w:val="left"/>
              <w:rPr>
                <w:highlight w:val="none"/>
              </w:rPr>
            </w:pPr>
            <w:r>
              <w:rPr>
                <w:rFonts w:ascii="宋体" w:hAnsi="宋体"/>
                <w:color w:val="000000"/>
                <w:kern w:val="0"/>
                <w:sz w:val="18"/>
                <w:szCs w:val="18"/>
                <w:highlight w:val="none"/>
              </w:rPr>
              <w:t>17、设备支持人脸区域自动曝光，可根据人脸区域和光照变化自动调节人脸区域曝光参数；可通过IE浏览器设置人脸自动曝光的参考亮度、最短持续时间和人脸过滤时间。</w:t>
            </w:r>
          </w:p>
          <w:p>
            <w:pPr>
              <w:widowControl/>
              <w:jc w:val="left"/>
              <w:rPr>
                <w:rFonts w:ascii="宋体" w:hAnsi="宋体"/>
                <w:color w:val="000000"/>
                <w:kern w:val="0"/>
                <w:sz w:val="18"/>
                <w:szCs w:val="18"/>
                <w:highlight w:val="none"/>
              </w:rPr>
            </w:pPr>
            <w:r>
              <w:rPr>
                <w:rFonts w:ascii="宋体" w:hAnsi="宋体"/>
                <w:color w:val="000000"/>
                <w:kern w:val="0"/>
                <w:sz w:val="18"/>
                <w:szCs w:val="18"/>
                <w:highlight w:val="none"/>
              </w:rPr>
              <w:t>18、外壳防护等级应不低于IP66，支持异常车牌检测功能，可对故意遮挡及污损车牌进行判断和识别。</w:t>
            </w:r>
          </w:p>
          <w:p>
            <w:pPr>
              <w:widowControl/>
              <w:jc w:val="left"/>
              <w:rPr>
                <w:rFonts w:ascii="宋体" w:hAnsi="宋体"/>
                <w:highlight w:val="none"/>
              </w:rPr>
            </w:pPr>
            <w:r>
              <w:rPr>
                <w:rFonts w:ascii="宋体" w:hAnsi="宋体"/>
                <w:highlight w:val="none"/>
              </w:rPr>
              <w:t>19</w:t>
            </w:r>
            <w:r>
              <w:rPr>
                <w:rFonts w:hint="eastAsia" w:ascii="宋体" w:hAnsi="宋体"/>
                <w:highlight w:val="none"/>
              </w:rPr>
              <w:t>、配备不低于</w:t>
            </w:r>
            <w:r>
              <w:rPr>
                <w:rFonts w:ascii="宋体" w:hAnsi="宋体"/>
                <w:highlight w:val="none"/>
              </w:rPr>
              <w:t>64GB</w:t>
            </w:r>
            <w:r>
              <w:rPr>
                <w:rFonts w:hint="eastAsia" w:ascii="宋体" w:hAnsi="宋体"/>
                <w:highlight w:val="none"/>
              </w:rPr>
              <w:t>的</w:t>
            </w:r>
            <w:r>
              <w:rPr>
                <w:rFonts w:ascii="宋体" w:hAnsi="宋体"/>
                <w:highlight w:val="none"/>
              </w:rPr>
              <w:t>TB</w:t>
            </w:r>
            <w:r>
              <w:rPr>
                <w:rFonts w:hint="eastAsia" w:ascii="宋体" w:hAnsi="宋体"/>
                <w:highlight w:val="none"/>
              </w:rPr>
              <w:t>存储卡；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330" w:type="pct"/>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w:t>
            </w:r>
          </w:p>
        </w:tc>
        <w:tc>
          <w:tcPr>
            <w:tcW w:w="665" w:type="pct"/>
            <w:gridSpan w:val="2"/>
            <w:shd w:val="clear" w:color="auto" w:fill="auto"/>
            <w:noWrap/>
            <w:vAlign w:val="center"/>
          </w:tcPr>
          <w:p>
            <w:pPr>
              <w:widowControl/>
              <w:jc w:val="left"/>
              <w:rPr>
                <w:rFonts w:ascii="宋体" w:hAnsi="宋体" w:cs="宋体"/>
                <w:kern w:val="0"/>
                <w:szCs w:val="21"/>
                <w:highlight w:val="none"/>
              </w:rPr>
            </w:pPr>
            <w:r>
              <w:rPr>
                <w:rFonts w:hint="eastAsia" w:ascii="宋体" w:hAnsi="宋体" w:cs="宋体"/>
                <w:color w:val="000000"/>
                <w:kern w:val="0"/>
                <w:szCs w:val="21"/>
                <w:highlight w:val="none"/>
              </w:rPr>
              <w:t>全景摄像机</w:t>
            </w:r>
          </w:p>
        </w:tc>
        <w:tc>
          <w:tcPr>
            <w:tcW w:w="338" w:type="pct"/>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11</w:t>
            </w:r>
          </w:p>
        </w:tc>
        <w:tc>
          <w:tcPr>
            <w:tcW w:w="324" w:type="pct"/>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3343" w:type="pct"/>
            <w:shd w:val="clear" w:color="auto" w:fill="auto"/>
            <w:noWrap/>
            <w:vAlign w:val="center"/>
          </w:tcPr>
          <w:p>
            <w:pPr>
              <w:widowControl/>
              <w:jc w:val="left"/>
              <w:rPr>
                <w:highlight w:val="none"/>
              </w:rPr>
            </w:pPr>
            <w:r>
              <w:rPr>
                <w:rFonts w:hint="eastAsia" w:ascii="宋体" w:hAnsi="宋体" w:cs="宋体"/>
                <w:kern w:val="0"/>
                <w:szCs w:val="21"/>
                <w:highlight w:val="none"/>
              </w:rPr>
              <w:t>▲</w:t>
            </w:r>
            <w:r>
              <w:rPr>
                <w:rFonts w:ascii="宋体" w:hAnsi="宋体"/>
                <w:color w:val="000000"/>
                <w:kern w:val="0"/>
                <w:sz w:val="18"/>
                <w:szCs w:val="18"/>
                <w:highlight w:val="none"/>
              </w:rPr>
              <w:t>1、视频分辨率应≥2688x1520，可输出≥2688x1520@25fps高质量图像信号，充分满足高清图像的应用需求；</w:t>
            </w:r>
          </w:p>
          <w:p>
            <w:pPr>
              <w:widowControl/>
              <w:jc w:val="left"/>
              <w:rPr>
                <w:highlight w:val="none"/>
              </w:rPr>
            </w:pPr>
            <w:r>
              <w:rPr>
                <w:rFonts w:ascii="宋体" w:hAnsi="宋体"/>
                <w:color w:val="000000"/>
                <w:kern w:val="0"/>
                <w:sz w:val="18"/>
                <w:szCs w:val="18"/>
                <w:highlight w:val="none"/>
              </w:rPr>
              <w:t>2、最低照度彩色不大于0.0002 lx，黑白不大于0.0001 lx。，水平中心分辨力≥1500TVL；</w:t>
            </w:r>
          </w:p>
          <w:p>
            <w:pPr>
              <w:widowControl/>
              <w:jc w:val="left"/>
              <w:rPr>
                <w:highlight w:val="none"/>
              </w:rPr>
            </w:pPr>
            <w:r>
              <w:rPr>
                <w:rFonts w:ascii="宋体" w:hAnsi="宋体"/>
                <w:color w:val="000000"/>
                <w:kern w:val="0"/>
                <w:sz w:val="18"/>
                <w:szCs w:val="18"/>
                <w:highlight w:val="none"/>
              </w:rPr>
              <w:t>3、具备四码流套餐能力，支持≥2688x1520@30fps，满足不同带宽及帧率的实时流、存储流需求；</w:t>
            </w:r>
          </w:p>
          <w:p>
            <w:pPr>
              <w:widowControl/>
              <w:jc w:val="left"/>
              <w:rPr>
                <w:highlight w:val="none"/>
              </w:rPr>
            </w:pPr>
            <w:r>
              <w:rPr>
                <w:rFonts w:ascii="宋体" w:hAnsi="宋体"/>
                <w:color w:val="000000"/>
                <w:kern w:val="0"/>
                <w:sz w:val="18"/>
                <w:szCs w:val="18"/>
                <w:highlight w:val="none"/>
              </w:rPr>
              <w:t>4、先进的H.265编码算法，压缩效率更高，在丢包率设置≥20%的网络环境下，可正常显示监视画面；</w:t>
            </w:r>
          </w:p>
          <w:p>
            <w:pPr>
              <w:widowControl/>
              <w:jc w:val="left"/>
              <w:rPr>
                <w:highlight w:val="none"/>
              </w:rPr>
            </w:pPr>
            <w:r>
              <w:rPr>
                <w:rFonts w:ascii="宋体" w:hAnsi="宋体"/>
                <w:color w:val="000000"/>
                <w:kern w:val="0"/>
                <w:sz w:val="18"/>
                <w:szCs w:val="18"/>
                <w:highlight w:val="none"/>
              </w:rPr>
              <w:t>★5、可将视频图像存储至SD卡或客户端，支持SD卡热插拔，支持≥512GB SD卡，与客户端之间用≥200m五类非屏蔽网线直接连接，使用丢包测试软件发送≥1000个数据包，重复测试≥3次，每次丢包数不大于1个；</w:t>
            </w:r>
          </w:p>
          <w:p>
            <w:pPr>
              <w:widowControl/>
              <w:jc w:val="left"/>
              <w:rPr>
                <w:highlight w:val="none"/>
              </w:rPr>
            </w:pPr>
            <w:r>
              <w:rPr>
                <w:rFonts w:ascii="宋体" w:hAnsi="宋体"/>
                <w:color w:val="000000"/>
                <w:kern w:val="0"/>
                <w:sz w:val="18"/>
                <w:szCs w:val="18"/>
                <w:highlight w:val="none"/>
              </w:rPr>
              <w:t>6、水平视场角≥100°，开启视频水印功能后，可通过专用播放软件检测到录像文件中的水印信息；</w:t>
            </w:r>
          </w:p>
          <w:p>
            <w:pPr>
              <w:widowControl/>
              <w:jc w:val="left"/>
              <w:rPr>
                <w:highlight w:val="none"/>
              </w:rPr>
            </w:pPr>
            <w:r>
              <w:rPr>
                <w:rFonts w:ascii="宋体" w:hAnsi="宋体"/>
                <w:color w:val="000000"/>
                <w:kern w:val="0"/>
                <w:sz w:val="18"/>
                <w:szCs w:val="18"/>
                <w:highlight w:val="none"/>
              </w:rPr>
              <w:t>7、支持人脸抓拍功能，可对经过设定区域的行人进行人脸检测和人脸跟踪，可抓拍人脸图片且数量可设；</w:t>
            </w:r>
          </w:p>
          <w:p>
            <w:pPr>
              <w:widowControl/>
              <w:jc w:val="left"/>
              <w:rPr>
                <w:highlight w:val="none"/>
              </w:rPr>
            </w:pPr>
            <w:r>
              <w:rPr>
                <w:rFonts w:ascii="宋体" w:hAnsi="宋体"/>
                <w:color w:val="000000"/>
                <w:kern w:val="0"/>
                <w:sz w:val="18"/>
                <w:szCs w:val="18"/>
                <w:highlight w:val="none"/>
              </w:rPr>
              <w:t>★8、支持透雾自动切换功能，当检测到雾的浓度达到设定的阈值时，可自动在算法透雾和光学透雾之间进行切换，可通过客户端软件和IE浏览器对录像文件进行剪辑；</w:t>
            </w:r>
          </w:p>
          <w:p>
            <w:pPr>
              <w:widowControl/>
              <w:jc w:val="left"/>
              <w:rPr>
                <w:highlight w:val="none"/>
              </w:rPr>
            </w:pPr>
            <w:r>
              <w:rPr>
                <w:rFonts w:hint="eastAsia" w:ascii="宋体" w:hAnsi="宋体" w:cs="宋体"/>
                <w:kern w:val="0"/>
                <w:szCs w:val="21"/>
                <w:highlight w:val="none"/>
              </w:rPr>
              <w:t>▲</w:t>
            </w:r>
            <w:r>
              <w:rPr>
                <w:rFonts w:ascii="宋体" w:hAnsi="宋体"/>
                <w:color w:val="000000"/>
                <w:kern w:val="0"/>
                <w:sz w:val="18"/>
                <w:szCs w:val="18"/>
                <w:highlight w:val="none"/>
              </w:rPr>
              <w:t>9、支持车辆捕获功能，白天和晚上的捕获次数≥98%，支持车牌识别，白天和晚上的捕获次数≥98%；</w:t>
            </w:r>
          </w:p>
          <w:p>
            <w:pPr>
              <w:widowControl/>
              <w:jc w:val="left"/>
              <w:rPr>
                <w:highlight w:val="none"/>
              </w:rPr>
            </w:pPr>
            <w:r>
              <w:rPr>
                <w:rFonts w:ascii="宋体" w:hAnsi="宋体"/>
                <w:color w:val="000000"/>
                <w:kern w:val="0"/>
                <w:sz w:val="18"/>
                <w:szCs w:val="18"/>
                <w:highlight w:val="none"/>
              </w:rPr>
              <w:t>10、具备区域入侵、徘徊、停车、快速移动、人员聚集、物体遗留/消失、进入/离开区域等智能行为分析功能；</w:t>
            </w:r>
          </w:p>
          <w:p>
            <w:pPr>
              <w:widowControl/>
              <w:jc w:val="left"/>
              <w:rPr>
                <w:highlight w:val="none"/>
              </w:rPr>
            </w:pPr>
            <w:r>
              <w:rPr>
                <w:rFonts w:ascii="宋体" w:hAnsi="宋体"/>
                <w:color w:val="000000"/>
                <w:kern w:val="0"/>
                <w:sz w:val="18"/>
                <w:szCs w:val="18"/>
                <w:highlight w:val="none"/>
              </w:rPr>
              <w:t>★11、支持对行人目标的正面、侧面、背面进行检测、跟踪、抓拍，并实时上报，上报时延不超过3秒，行人目标支持 步行、骑自行车、骑电平车、骑三轮车，踩平衡车等，抓拍支持实时抓拍和最佳抓拍，可同时抓拍人脸照、全身照、全景照，并支持在客户端进行人脸、人体的关联显示；</w:t>
            </w:r>
          </w:p>
          <w:p>
            <w:pPr>
              <w:widowControl/>
              <w:jc w:val="left"/>
              <w:rPr>
                <w:highlight w:val="none"/>
              </w:rPr>
            </w:pPr>
            <w:r>
              <w:rPr>
                <w:rFonts w:hint="eastAsia" w:ascii="宋体" w:hAnsi="宋体" w:cs="宋体"/>
                <w:kern w:val="0"/>
                <w:szCs w:val="21"/>
                <w:highlight w:val="none"/>
              </w:rPr>
              <w:t>▲</w:t>
            </w:r>
            <w:r>
              <w:rPr>
                <w:rFonts w:ascii="宋体" w:hAnsi="宋体"/>
                <w:color w:val="000000"/>
                <w:kern w:val="0"/>
                <w:sz w:val="18"/>
                <w:szCs w:val="18"/>
                <w:highlight w:val="none"/>
              </w:rPr>
              <w:t>12、人脸检出率不小于99%，支持检出齐刘海遮挡眉毛、头发遮挡眼睛、戴普通眼镜、戴墨镜、戴彩色眼镜、戴帽子、戴头戴式耳机等遮挡方式的人脸，支持检出多种肤色的人脸；</w:t>
            </w:r>
          </w:p>
          <w:p>
            <w:pPr>
              <w:widowControl/>
              <w:jc w:val="left"/>
              <w:rPr>
                <w:highlight w:val="none"/>
              </w:rPr>
            </w:pPr>
            <w:r>
              <w:rPr>
                <w:rFonts w:ascii="宋体" w:hAnsi="宋体"/>
                <w:color w:val="000000"/>
                <w:kern w:val="0"/>
                <w:sz w:val="18"/>
                <w:szCs w:val="18"/>
                <w:highlight w:val="none"/>
              </w:rPr>
              <w:t>13、支持检出两眼瞳距20像素点以上的人脸图片，支持单场景同时检出不少于30张人脸图片，并支持面部跟踪，支持检出多种表情的人脸；</w:t>
            </w:r>
          </w:p>
          <w:p>
            <w:pPr>
              <w:widowControl/>
              <w:jc w:val="left"/>
              <w:rPr>
                <w:highlight w:val="none"/>
              </w:rPr>
            </w:pPr>
            <w:r>
              <w:rPr>
                <w:rFonts w:ascii="宋体" w:hAnsi="宋体"/>
                <w:color w:val="000000"/>
                <w:kern w:val="0"/>
                <w:sz w:val="18"/>
                <w:szCs w:val="18"/>
                <w:highlight w:val="none"/>
              </w:rPr>
              <w:t>14、具有客流量、车流量统计功能，在同一客户端上，可最多同时开启22个视频窗口进行画面预览；</w:t>
            </w:r>
          </w:p>
          <w:p>
            <w:pPr>
              <w:widowControl/>
              <w:jc w:val="left"/>
              <w:rPr>
                <w:highlight w:val="none"/>
              </w:rPr>
            </w:pPr>
            <w:r>
              <w:rPr>
                <w:rFonts w:ascii="宋体" w:hAnsi="宋体"/>
                <w:color w:val="000000"/>
                <w:kern w:val="0"/>
                <w:sz w:val="18"/>
                <w:szCs w:val="18"/>
                <w:highlight w:val="none"/>
              </w:rPr>
              <w:t>15、支持≥IP67防尘防水，红外补光距离≥180米，摄像机能够在-40~70摄氏度，湿度小于93%环境下稳定工作。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330" w:type="pct"/>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665" w:type="pct"/>
            <w:gridSpan w:val="2"/>
            <w:shd w:val="clear" w:color="auto" w:fill="auto"/>
            <w:noWrap/>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终端服务系统</w:t>
            </w:r>
          </w:p>
        </w:tc>
        <w:tc>
          <w:tcPr>
            <w:tcW w:w="338" w:type="pct"/>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324" w:type="pct"/>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3343" w:type="pct"/>
            <w:shd w:val="clear" w:color="auto" w:fill="auto"/>
            <w:noWrap/>
            <w:vAlign w:val="center"/>
          </w:tcPr>
          <w:p>
            <w:pPr>
              <w:widowControl/>
              <w:jc w:val="left"/>
              <w:rPr>
                <w:highlight w:val="none"/>
              </w:rPr>
            </w:pPr>
            <w:r>
              <w:rPr>
                <w:rFonts w:ascii="宋体" w:hAnsi="宋体"/>
                <w:color w:val="000000"/>
                <w:kern w:val="0"/>
                <w:sz w:val="18"/>
                <w:szCs w:val="18"/>
                <w:highlight w:val="none"/>
              </w:rPr>
              <w:t>1、支持嵌入式操作系统，内置≥1块3.5寸2T硬盘，支持≥4路IPC接入。</w:t>
            </w:r>
          </w:p>
          <w:p>
            <w:pPr>
              <w:widowControl/>
              <w:jc w:val="left"/>
              <w:rPr>
                <w:highlight w:val="none"/>
              </w:rPr>
            </w:pPr>
            <w:r>
              <w:rPr>
                <w:rFonts w:ascii="宋体" w:hAnsi="宋体"/>
                <w:color w:val="000000"/>
                <w:kern w:val="0"/>
                <w:sz w:val="18"/>
                <w:szCs w:val="18"/>
                <w:highlight w:val="none"/>
              </w:rPr>
              <w:t>2、双网卡，具有≥4个100M以太网接口及≥2个1000M网络接口。</w:t>
            </w:r>
          </w:p>
          <w:p>
            <w:pPr>
              <w:widowControl/>
              <w:jc w:val="left"/>
              <w:rPr>
                <w:highlight w:val="none"/>
              </w:rPr>
            </w:pPr>
            <w:r>
              <w:rPr>
                <w:rFonts w:ascii="宋体" w:hAnsi="宋体"/>
                <w:color w:val="000000"/>
                <w:kern w:val="0"/>
                <w:sz w:val="18"/>
                <w:szCs w:val="18"/>
                <w:highlight w:val="none"/>
              </w:rPr>
              <w:t>3、支持VGA输出，支持区间测速功能。</w:t>
            </w:r>
          </w:p>
          <w:p>
            <w:pPr>
              <w:widowControl/>
              <w:jc w:val="left"/>
              <w:rPr>
                <w:highlight w:val="none"/>
              </w:rPr>
            </w:pPr>
            <w:r>
              <w:rPr>
                <w:rFonts w:ascii="宋体" w:hAnsi="宋体"/>
                <w:color w:val="000000"/>
                <w:kern w:val="0"/>
                <w:sz w:val="18"/>
                <w:szCs w:val="18"/>
                <w:highlight w:val="none"/>
              </w:rPr>
              <w:t>4、支持录像存储，支持对通行车辆的信息存储。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330" w:type="pct"/>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w:t>
            </w:r>
          </w:p>
        </w:tc>
        <w:tc>
          <w:tcPr>
            <w:tcW w:w="665" w:type="pct"/>
            <w:gridSpan w:val="2"/>
            <w:shd w:val="clear" w:color="auto" w:fill="auto"/>
            <w:noWrap/>
            <w:vAlign w:val="center"/>
          </w:tcPr>
          <w:p>
            <w:pPr>
              <w:widowControl/>
              <w:jc w:val="left"/>
              <w:rPr>
                <w:rFonts w:ascii="宋体" w:hAnsi="宋体" w:cs="宋体"/>
                <w:kern w:val="0"/>
                <w:szCs w:val="21"/>
                <w:highlight w:val="none"/>
              </w:rPr>
            </w:pPr>
            <w:r>
              <w:rPr>
                <w:rFonts w:hint="eastAsia" w:ascii="宋体" w:hAnsi="宋体" w:cs="宋体"/>
                <w:color w:val="000000"/>
                <w:kern w:val="0"/>
                <w:szCs w:val="21"/>
                <w:highlight w:val="none"/>
              </w:rPr>
              <w:t>爆闪灯</w:t>
            </w:r>
          </w:p>
        </w:tc>
        <w:tc>
          <w:tcPr>
            <w:tcW w:w="338" w:type="pct"/>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23</w:t>
            </w:r>
          </w:p>
        </w:tc>
        <w:tc>
          <w:tcPr>
            <w:tcW w:w="324" w:type="pct"/>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3343" w:type="pct"/>
            <w:shd w:val="clear" w:color="auto" w:fill="auto"/>
            <w:noWrap/>
          </w:tcPr>
          <w:p>
            <w:pPr>
              <w:widowControl/>
              <w:jc w:val="left"/>
              <w:rPr>
                <w:highlight w:val="none"/>
              </w:rPr>
            </w:pPr>
            <w:r>
              <w:rPr>
                <w:rFonts w:ascii="宋体" w:hAnsi="宋体"/>
                <w:color w:val="000000"/>
                <w:kern w:val="0"/>
                <w:sz w:val="18"/>
                <w:szCs w:val="18"/>
                <w:highlight w:val="none"/>
              </w:rPr>
              <w:t>1、单车道气体爆闪灯， 最小连闪时间≤50ms。</w:t>
            </w:r>
          </w:p>
          <w:p>
            <w:pPr>
              <w:widowControl/>
              <w:jc w:val="left"/>
              <w:rPr>
                <w:highlight w:val="none"/>
              </w:rPr>
            </w:pPr>
            <w:r>
              <w:rPr>
                <w:rFonts w:ascii="宋体" w:hAnsi="宋体"/>
                <w:color w:val="000000"/>
                <w:kern w:val="0"/>
                <w:sz w:val="18"/>
                <w:szCs w:val="18"/>
                <w:highlight w:val="none"/>
              </w:rPr>
              <w:t>2、光斑覆盖范围可调节， 可覆盖 1～3 条车道。</w:t>
            </w:r>
          </w:p>
          <w:p>
            <w:pPr>
              <w:widowControl/>
              <w:jc w:val="left"/>
              <w:rPr>
                <w:highlight w:val="none"/>
              </w:rPr>
            </w:pPr>
            <w:r>
              <w:rPr>
                <w:rFonts w:ascii="宋体" w:hAnsi="宋体"/>
                <w:color w:val="000000"/>
                <w:kern w:val="0"/>
                <w:sz w:val="18"/>
                <w:szCs w:val="18"/>
                <w:highlight w:val="none"/>
              </w:rPr>
              <w:t>3、闪光亮度 1～20 级可调， 可通过 RS485 设置。</w:t>
            </w:r>
          </w:p>
          <w:p>
            <w:pPr>
              <w:widowControl/>
              <w:jc w:val="left"/>
              <w:rPr>
                <w:highlight w:val="none"/>
              </w:rPr>
            </w:pPr>
            <w:r>
              <w:rPr>
                <w:rFonts w:ascii="宋体" w:hAnsi="宋体"/>
                <w:color w:val="000000"/>
                <w:kern w:val="0"/>
                <w:sz w:val="18"/>
                <w:szCs w:val="18"/>
                <w:highlight w:val="none"/>
              </w:rPr>
              <w:t>4、有效补光距离范围不小于 16m～25。</w:t>
            </w:r>
          </w:p>
          <w:p>
            <w:pPr>
              <w:widowControl/>
              <w:jc w:val="left"/>
              <w:rPr>
                <w:highlight w:val="none"/>
              </w:rPr>
            </w:pPr>
            <w:r>
              <w:rPr>
                <w:rFonts w:ascii="宋体" w:hAnsi="宋体"/>
                <w:color w:val="000000"/>
                <w:kern w:val="0"/>
                <w:sz w:val="18"/>
                <w:szCs w:val="18"/>
                <w:highlight w:val="none"/>
              </w:rPr>
              <w:t>★5、具有爆闪保护功能，补光灯高频爆闪后，设备持续一定时间不闪光，信号恢复后可正常闪光。</w:t>
            </w:r>
          </w:p>
          <w:p>
            <w:pPr>
              <w:widowControl/>
              <w:jc w:val="left"/>
              <w:rPr>
                <w:highlight w:val="none"/>
              </w:rPr>
            </w:pPr>
            <w:r>
              <w:rPr>
                <w:rFonts w:ascii="宋体" w:hAnsi="宋体"/>
                <w:color w:val="000000"/>
                <w:kern w:val="0"/>
                <w:sz w:val="18"/>
                <w:szCs w:val="18"/>
                <w:highlight w:val="none"/>
              </w:rPr>
              <w:t>★6、电源（a.c.）引入端子与外壳裸露金属部件之间的绝缘电阻在正常大气条件下应≥10MΩ， 湿热条件下应≥5MΩ。</w:t>
            </w:r>
          </w:p>
          <w:p>
            <w:pPr>
              <w:widowControl/>
              <w:jc w:val="left"/>
              <w:rPr>
                <w:highlight w:val="none"/>
              </w:rPr>
            </w:pPr>
            <w:r>
              <w:rPr>
                <w:rFonts w:ascii="宋体" w:hAnsi="宋体"/>
                <w:color w:val="000000"/>
                <w:kern w:val="0"/>
                <w:sz w:val="18"/>
                <w:szCs w:val="18"/>
                <w:highlight w:val="none"/>
              </w:rPr>
              <w:t>7、回电时间应≤50ms， 防护等级≥IP66。</w:t>
            </w:r>
          </w:p>
          <w:p>
            <w:pPr>
              <w:widowControl/>
              <w:jc w:val="left"/>
              <w:rPr>
                <w:highlight w:val="none"/>
              </w:rPr>
            </w:pPr>
            <w:r>
              <w:rPr>
                <w:rFonts w:ascii="宋体" w:hAnsi="宋体"/>
                <w:color w:val="000000"/>
                <w:kern w:val="0"/>
                <w:sz w:val="18"/>
                <w:szCs w:val="18"/>
                <w:highlight w:val="none"/>
              </w:rPr>
              <w:t>8、在-30℃~70℃温度范围内均能正常工作。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pct"/>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665" w:type="pct"/>
            <w:gridSpan w:val="2"/>
            <w:shd w:val="clear" w:color="auto" w:fill="auto"/>
            <w:noWrap/>
            <w:vAlign w:val="center"/>
          </w:tcPr>
          <w:p>
            <w:pPr>
              <w:widowControl/>
              <w:jc w:val="left"/>
              <w:rPr>
                <w:rFonts w:ascii="宋体" w:hAnsi="宋体" w:cs="宋体"/>
                <w:kern w:val="0"/>
                <w:szCs w:val="21"/>
                <w:highlight w:val="none"/>
              </w:rPr>
            </w:pPr>
            <w:r>
              <w:rPr>
                <w:rFonts w:hint="eastAsia" w:ascii="宋体" w:hAnsi="宋体" w:cs="宋体"/>
                <w:color w:val="000000"/>
                <w:kern w:val="0"/>
                <w:szCs w:val="21"/>
                <w:highlight w:val="none"/>
              </w:rPr>
              <w:t>环境补光灯</w:t>
            </w:r>
          </w:p>
        </w:tc>
        <w:tc>
          <w:tcPr>
            <w:tcW w:w="338" w:type="pct"/>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23</w:t>
            </w:r>
          </w:p>
        </w:tc>
        <w:tc>
          <w:tcPr>
            <w:tcW w:w="324" w:type="pct"/>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3343" w:type="pct"/>
            <w:shd w:val="clear" w:color="auto" w:fill="auto"/>
            <w:noWrap/>
            <w:vAlign w:val="center"/>
          </w:tcPr>
          <w:p>
            <w:pPr>
              <w:widowControl/>
              <w:jc w:val="left"/>
              <w:rPr>
                <w:highlight w:val="none"/>
              </w:rPr>
            </w:pPr>
            <w:r>
              <w:rPr>
                <w:rFonts w:ascii="宋体" w:hAnsi="宋体"/>
                <w:color w:val="000000"/>
                <w:kern w:val="0"/>
                <w:sz w:val="18"/>
                <w:szCs w:val="18"/>
                <w:highlight w:val="none"/>
              </w:rPr>
              <w:t>1、≥28颗原装大功率 LED 灯珠。</w:t>
            </w:r>
          </w:p>
          <w:p>
            <w:pPr>
              <w:widowControl/>
              <w:jc w:val="left"/>
              <w:rPr>
                <w:highlight w:val="none"/>
              </w:rPr>
            </w:pPr>
            <w:r>
              <w:rPr>
                <w:rFonts w:ascii="宋体" w:hAnsi="宋体"/>
                <w:color w:val="000000"/>
                <w:kern w:val="0"/>
                <w:sz w:val="18"/>
                <w:szCs w:val="18"/>
                <w:highlight w:val="none"/>
              </w:rPr>
              <w:t>2、支持通过同步输出端口级联。</w:t>
            </w:r>
          </w:p>
          <w:p>
            <w:pPr>
              <w:widowControl/>
              <w:jc w:val="left"/>
              <w:rPr>
                <w:highlight w:val="none"/>
              </w:rPr>
            </w:pPr>
            <w:r>
              <w:rPr>
                <w:rFonts w:ascii="宋体" w:hAnsi="宋体"/>
                <w:color w:val="000000"/>
                <w:kern w:val="0"/>
                <w:sz w:val="18"/>
                <w:szCs w:val="18"/>
                <w:highlight w:val="none"/>
              </w:rPr>
              <w:t>3、补光灯自带光敏控制，在低照度下自动开启，低照度阀值可设。</w:t>
            </w:r>
          </w:p>
          <w:p>
            <w:pPr>
              <w:widowControl/>
              <w:jc w:val="left"/>
              <w:rPr>
                <w:highlight w:val="none"/>
              </w:rPr>
            </w:pPr>
            <w:r>
              <w:rPr>
                <w:rFonts w:ascii="宋体" w:hAnsi="宋体"/>
                <w:color w:val="000000"/>
                <w:kern w:val="0"/>
                <w:sz w:val="18"/>
                <w:szCs w:val="18"/>
                <w:highlight w:val="none"/>
              </w:rPr>
              <w:t>4、支持自动感光功能，支持亮度多级可调，补光装置的泄露电流应不大于5mA（a.c.峰值）。</w:t>
            </w:r>
          </w:p>
          <w:p>
            <w:pPr>
              <w:widowControl/>
              <w:jc w:val="left"/>
              <w:rPr>
                <w:highlight w:val="none"/>
              </w:rPr>
            </w:pPr>
            <w:r>
              <w:rPr>
                <w:rFonts w:ascii="宋体" w:hAnsi="宋体"/>
                <w:color w:val="000000"/>
                <w:kern w:val="0"/>
                <w:sz w:val="18"/>
                <w:szCs w:val="18"/>
                <w:highlight w:val="none"/>
              </w:rPr>
              <w:t>5、支持通过 RS485 远程控制补光灯的亮度、开启/关闭。</w:t>
            </w:r>
          </w:p>
          <w:p>
            <w:pPr>
              <w:widowControl/>
              <w:jc w:val="left"/>
              <w:rPr>
                <w:highlight w:val="none"/>
              </w:rPr>
            </w:pPr>
            <w:r>
              <w:rPr>
                <w:rFonts w:ascii="宋体" w:hAnsi="宋体"/>
                <w:color w:val="000000"/>
                <w:kern w:val="0"/>
                <w:sz w:val="18"/>
                <w:szCs w:val="18"/>
                <w:highlight w:val="none"/>
              </w:rPr>
              <w:t>★6、支持爆闪功能， 爆闪持续时间、延迟时间及最小间隔时间可设。</w:t>
            </w:r>
          </w:p>
          <w:p>
            <w:pPr>
              <w:widowControl/>
              <w:jc w:val="left"/>
              <w:rPr>
                <w:highlight w:val="none"/>
              </w:rPr>
            </w:pPr>
            <w:r>
              <w:rPr>
                <w:rFonts w:ascii="宋体" w:hAnsi="宋体"/>
                <w:color w:val="000000"/>
                <w:kern w:val="0"/>
                <w:sz w:val="18"/>
                <w:szCs w:val="18"/>
                <w:highlight w:val="none"/>
              </w:rPr>
              <w:t>7、可远程显示补光灯故障、正常、开启、关闭等工作状态。</w:t>
            </w:r>
          </w:p>
          <w:p>
            <w:pPr>
              <w:widowControl/>
              <w:jc w:val="left"/>
              <w:rPr>
                <w:highlight w:val="none"/>
              </w:rPr>
            </w:pPr>
            <w:r>
              <w:rPr>
                <w:rFonts w:ascii="宋体" w:hAnsi="宋体"/>
                <w:color w:val="000000"/>
                <w:kern w:val="0"/>
                <w:sz w:val="18"/>
                <w:szCs w:val="18"/>
                <w:highlight w:val="none"/>
              </w:rPr>
              <w:t>8、可通过 RS485 对补光灯升级程序。</w:t>
            </w:r>
          </w:p>
          <w:p>
            <w:pPr>
              <w:widowControl/>
              <w:jc w:val="left"/>
              <w:rPr>
                <w:highlight w:val="none"/>
              </w:rPr>
            </w:pPr>
            <w:r>
              <w:rPr>
                <w:rFonts w:ascii="宋体" w:hAnsi="宋体"/>
                <w:color w:val="000000"/>
                <w:kern w:val="0"/>
                <w:sz w:val="18"/>
                <w:szCs w:val="18"/>
                <w:highlight w:val="none"/>
              </w:rPr>
              <w:t>9、支持自闪、跟随、自动频闪模式，频率0-250HZ可调，支持通过调整占空比 1%～39%进行亮度调节。</w:t>
            </w:r>
          </w:p>
          <w:p>
            <w:pPr>
              <w:widowControl/>
              <w:jc w:val="left"/>
              <w:rPr>
                <w:highlight w:val="none"/>
              </w:rPr>
            </w:pPr>
            <w:r>
              <w:rPr>
                <w:rFonts w:ascii="宋体" w:hAnsi="宋体"/>
                <w:color w:val="000000"/>
                <w:kern w:val="0"/>
                <w:sz w:val="18"/>
                <w:szCs w:val="18"/>
                <w:highlight w:val="none"/>
              </w:rPr>
              <w:t>10、电源电压在不小于 AC80V～260V 范围内变化时， 设备能正常工作。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30" w:type="pct"/>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665" w:type="pct"/>
            <w:gridSpan w:val="2"/>
            <w:shd w:val="clear" w:color="auto" w:fill="auto"/>
            <w:noWrap/>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接入交换机</w:t>
            </w:r>
          </w:p>
        </w:tc>
        <w:tc>
          <w:tcPr>
            <w:tcW w:w="338" w:type="pct"/>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324" w:type="pct"/>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3343" w:type="pct"/>
            <w:shd w:val="clear" w:color="auto" w:fill="auto"/>
            <w:noWrap/>
            <w:vAlign w:val="center"/>
          </w:tcPr>
          <w:p>
            <w:pPr>
              <w:widowControl/>
              <w:jc w:val="left"/>
              <w:rPr>
                <w:highlight w:val="none"/>
              </w:rPr>
            </w:pPr>
            <w:r>
              <w:rPr>
                <w:rFonts w:ascii="宋体" w:hAnsi="宋体"/>
                <w:color w:val="000000"/>
                <w:kern w:val="0"/>
                <w:sz w:val="18"/>
                <w:szCs w:val="18"/>
                <w:highlight w:val="none"/>
              </w:rPr>
              <w:t>1、可用百兆电口数量≥8，千兆光电复用口≥2。</w:t>
            </w:r>
            <w:r>
              <w:rPr>
                <w:rFonts w:ascii="宋体" w:hAnsi="宋体"/>
                <w:color w:val="000000"/>
                <w:kern w:val="0"/>
                <w:sz w:val="18"/>
                <w:szCs w:val="18"/>
                <w:highlight w:val="none"/>
              </w:rPr>
              <w:br w:type="textWrapping"/>
            </w:r>
            <w:r>
              <w:rPr>
                <w:rFonts w:ascii="宋体" w:hAnsi="宋体"/>
                <w:color w:val="000000"/>
                <w:kern w:val="0"/>
                <w:sz w:val="18"/>
                <w:szCs w:val="18"/>
                <w:highlight w:val="none"/>
              </w:rPr>
              <w:t>2、交换容量≥64Gbps，转发性能≥4.2Mpps。</w:t>
            </w:r>
            <w:r>
              <w:rPr>
                <w:rFonts w:ascii="宋体" w:hAnsi="宋体"/>
                <w:color w:val="000000"/>
                <w:kern w:val="0"/>
                <w:sz w:val="18"/>
                <w:szCs w:val="18"/>
                <w:highlight w:val="none"/>
              </w:rPr>
              <w:br w:type="textWrapping"/>
            </w:r>
            <w:r>
              <w:rPr>
                <w:rFonts w:ascii="宋体" w:hAnsi="宋体"/>
                <w:color w:val="000000"/>
                <w:kern w:val="0"/>
                <w:sz w:val="18"/>
                <w:szCs w:val="18"/>
                <w:highlight w:val="none"/>
              </w:rPr>
              <w:t>3、支持基于端口的VLAN、支持GVRP。</w:t>
            </w:r>
            <w:r>
              <w:rPr>
                <w:rFonts w:ascii="宋体" w:hAnsi="宋体"/>
                <w:color w:val="000000"/>
                <w:kern w:val="0"/>
                <w:sz w:val="18"/>
                <w:szCs w:val="18"/>
                <w:highlight w:val="none"/>
              </w:rPr>
              <w:br w:type="textWrapping"/>
            </w:r>
            <w:r>
              <w:rPr>
                <w:rFonts w:ascii="宋体" w:hAnsi="宋体"/>
                <w:color w:val="000000"/>
                <w:kern w:val="0"/>
                <w:sz w:val="18"/>
                <w:szCs w:val="18"/>
                <w:highlight w:val="none"/>
              </w:rPr>
              <w:t>4、支持 Diff-Serv QoS、支持 802.1p/DSCP 优先级映射、支持队列调度机制、每个端口支持≥8个输出队列。</w:t>
            </w:r>
            <w:r>
              <w:rPr>
                <w:rFonts w:ascii="宋体" w:hAnsi="宋体"/>
                <w:color w:val="000000"/>
                <w:kern w:val="0"/>
                <w:sz w:val="18"/>
                <w:szCs w:val="18"/>
                <w:highlight w:val="none"/>
              </w:rPr>
              <w:br w:type="textWrapping"/>
            </w:r>
            <w:r>
              <w:rPr>
                <w:rFonts w:ascii="宋体" w:hAnsi="宋体"/>
                <w:color w:val="000000"/>
                <w:kern w:val="0"/>
                <w:sz w:val="18"/>
                <w:szCs w:val="18"/>
                <w:highlight w:val="none"/>
              </w:rPr>
              <w:t>5、丰富的安全特性，支持ARP入侵检测功能，支持 IP Source Guard 特性，防止包括 MAC 欺骗、IP 欺骗、MAC/IP 欺骗在内的非法地址仿冒，以及 DoS 攻击。</w:t>
            </w:r>
            <w:r>
              <w:rPr>
                <w:rFonts w:ascii="宋体" w:hAnsi="宋体"/>
                <w:color w:val="000000"/>
                <w:kern w:val="0"/>
                <w:sz w:val="18"/>
                <w:szCs w:val="18"/>
                <w:highlight w:val="none"/>
              </w:rPr>
              <w:br w:type="textWrapping"/>
            </w:r>
            <w:r>
              <w:rPr>
                <w:rFonts w:ascii="宋体" w:hAnsi="宋体"/>
                <w:color w:val="000000"/>
                <w:kern w:val="0"/>
                <w:sz w:val="18"/>
                <w:szCs w:val="18"/>
                <w:highlight w:val="none"/>
              </w:rPr>
              <w:t>6、支持端口限速以及流限速功能，防止恶意侵占网络带宽。</w:t>
            </w:r>
            <w:r>
              <w:rPr>
                <w:rFonts w:ascii="宋体" w:hAnsi="宋体"/>
                <w:color w:val="000000"/>
                <w:kern w:val="0"/>
                <w:sz w:val="18"/>
                <w:szCs w:val="18"/>
                <w:highlight w:val="none"/>
              </w:rPr>
              <w:br w:type="textWrapping"/>
            </w:r>
            <w:r>
              <w:rPr>
                <w:rFonts w:ascii="宋体" w:hAnsi="宋体"/>
                <w:color w:val="000000"/>
                <w:kern w:val="0"/>
                <w:sz w:val="18"/>
                <w:szCs w:val="18"/>
                <w:highlight w:val="none"/>
              </w:rPr>
              <w:t>7、采用专业的内置防雷技术，支持业界领先的 6KV 业务端口防雷能力，使其在比较恶劣的工作环境中也能极大的降低雷击对设备的损坏率。</w:t>
            </w:r>
            <w:r>
              <w:rPr>
                <w:rFonts w:ascii="宋体" w:hAnsi="宋体"/>
                <w:color w:val="000000"/>
                <w:kern w:val="0"/>
                <w:sz w:val="18"/>
                <w:szCs w:val="18"/>
                <w:highlight w:val="none"/>
              </w:rPr>
              <w:br w:type="textWrapping"/>
            </w:r>
            <w:r>
              <w:rPr>
                <w:rFonts w:ascii="宋体" w:hAnsi="宋体"/>
                <w:color w:val="000000"/>
                <w:kern w:val="0"/>
                <w:sz w:val="18"/>
                <w:szCs w:val="18"/>
                <w:highlight w:val="none"/>
              </w:rPr>
              <w:t>8、采用无风扇静音设计，大幅度降低设备的功耗以及故障率，同时降低辐射，达到家用电器的辐射标准，对人体无伤害。</w:t>
            </w:r>
            <w:r>
              <w:rPr>
                <w:rFonts w:ascii="宋体" w:hAnsi="宋体"/>
                <w:color w:val="000000"/>
                <w:kern w:val="0"/>
                <w:sz w:val="18"/>
                <w:szCs w:val="18"/>
                <w:highlight w:val="none"/>
              </w:rPr>
              <w:br w:type="textWrapping"/>
            </w:r>
            <w:r>
              <w:rPr>
                <w:rFonts w:ascii="宋体" w:hAnsi="宋体"/>
                <w:color w:val="000000"/>
                <w:kern w:val="0"/>
                <w:sz w:val="18"/>
                <w:szCs w:val="18"/>
                <w:highlight w:val="none"/>
              </w:rPr>
              <w:t>9、支持 SSL，保障数据传输安全，支持广播报文抑制。</w:t>
            </w:r>
            <w:r>
              <w:rPr>
                <w:rFonts w:ascii="宋体" w:hAnsi="宋体"/>
                <w:color w:val="000000"/>
                <w:kern w:val="0"/>
                <w:sz w:val="18"/>
                <w:szCs w:val="18"/>
                <w:highlight w:val="none"/>
              </w:rPr>
              <w:br w:type="textWrapping"/>
            </w:r>
            <w:r>
              <w:rPr>
                <w:rFonts w:ascii="宋体" w:hAnsi="宋体"/>
                <w:color w:val="000000"/>
                <w:kern w:val="0"/>
                <w:sz w:val="18"/>
                <w:szCs w:val="18"/>
                <w:highlight w:val="none"/>
              </w:rPr>
              <w:t>10、支持SNMP V1/V2/V3，支持通过telnet方式进行配置和管理，支持用户的分级分权控制，支持用户访问控制。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330" w:type="pct"/>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8</w:t>
            </w:r>
          </w:p>
        </w:tc>
        <w:tc>
          <w:tcPr>
            <w:tcW w:w="665" w:type="pct"/>
            <w:gridSpan w:val="2"/>
            <w:shd w:val="clear" w:color="auto" w:fill="auto"/>
            <w:noWrap/>
            <w:vAlign w:val="center"/>
          </w:tcPr>
          <w:p>
            <w:pPr>
              <w:widowControl/>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信息采集设备</w:t>
            </w:r>
          </w:p>
        </w:tc>
        <w:tc>
          <w:tcPr>
            <w:tcW w:w="338" w:type="pct"/>
            <w:shd w:val="clear" w:color="auto" w:fill="auto"/>
            <w:noWrap/>
            <w:vAlign w:val="center"/>
          </w:tcPr>
          <w:p>
            <w:pPr>
              <w:widowControl/>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11</w:t>
            </w:r>
          </w:p>
        </w:tc>
        <w:tc>
          <w:tcPr>
            <w:tcW w:w="324" w:type="pct"/>
            <w:shd w:val="clear" w:color="auto" w:fill="auto"/>
            <w:noWrap/>
            <w:vAlign w:val="center"/>
          </w:tcPr>
          <w:p>
            <w:pPr>
              <w:widowControl/>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套</w:t>
            </w:r>
          </w:p>
        </w:tc>
        <w:tc>
          <w:tcPr>
            <w:tcW w:w="3343" w:type="pct"/>
            <w:shd w:val="clear" w:color="auto" w:fill="auto"/>
            <w:noWrap/>
          </w:tcPr>
          <w:p>
            <w:pPr>
              <w:widowControl/>
              <w:jc w:val="left"/>
              <w:rPr>
                <w:rFonts w:hint="eastAsia" w:ascii="宋体" w:hAnsi="宋体" w:eastAsia="宋体"/>
                <w:color w:val="000000"/>
                <w:kern w:val="0"/>
                <w:sz w:val="18"/>
                <w:szCs w:val="18"/>
                <w:highlight w:val="none"/>
                <w:lang w:eastAsia="zh-CN"/>
              </w:rPr>
            </w:pPr>
            <w:r>
              <w:rPr>
                <w:rFonts w:hint="eastAsia" w:ascii="宋体" w:hAnsi="宋体"/>
                <w:color w:val="000000"/>
                <w:kern w:val="0"/>
                <w:sz w:val="18"/>
                <w:szCs w:val="18"/>
                <w:highlight w:val="none"/>
              </w:rPr>
              <w:t>1</w:t>
            </w:r>
            <w:r>
              <w:rPr>
                <w:rFonts w:hint="eastAsia" w:ascii="宋体" w:hAnsi="宋体"/>
                <w:color w:val="000000"/>
                <w:kern w:val="0"/>
                <w:sz w:val="18"/>
                <w:szCs w:val="18"/>
                <w:highlight w:val="none"/>
                <w:lang w:eastAsia="zh-CN"/>
              </w:rPr>
              <w:t>、</w:t>
            </w:r>
            <w:r>
              <w:rPr>
                <w:rFonts w:hint="eastAsia" w:ascii="宋体" w:hAnsi="宋体"/>
                <w:color w:val="000000"/>
                <w:kern w:val="0"/>
                <w:sz w:val="18"/>
                <w:szCs w:val="18"/>
                <w:highlight w:val="none"/>
              </w:rPr>
              <w:t>支持制式：GSM/TD-LTE/FDD-LTE/WIFI</w:t>
            </w:r>
            <w:r>
              <w:rPr>
                <w:rFonts w:hint="eastAsia" w:ascii="宋体" w:hAnsi="宋体"/>
                <w:color w:val="000000"/>
                <w:kern w:val="0"/>
                <w:sz w:val="18"/>
                <w:szCs w:val="18"/>
                <w:highlight w:val="none"/>
                <w:lang w:eastAsia="zh-CN"/>
              </w:rPr>
              <w:t>。</w:t>
            </w:r>
          </w:p>
          <w:p>
            <w:pPr>
              <w:widowControl/>
              <w:jc w:val="left"/>
              <w:rPr>
                <w:rFonts w:hint="eastAsia" w:ascii="宋体" w:hAnsi="宋体" w:eastAsia="宋体"/>
                <w:color w:val="000000"/>
                <w:kern w:val="0"/>
                <w:sz w:val="18"/>
                <w:szCs w:val="18"/>
                <w:highlight w:val="none"/>
                <w:lang w:eastAsia="zh-CN"/>
              </w:rPr>
            </w:pPr>
            <w:r>
              <w:rPr>
                <w:rFonts w:hint="eastAsia" w:ascii="宋体" w:hAnsi="宋体"/>
                <w:color w:val="000000"/>
                <w:kern w:val="0"/>
                <w:sz w:val="18"/>
                <w:szCs w:val="18"/>
                <w:highlight w:val="none"/>
              </w:rPr>
              <w:t>2</w:t>
            </w:r>
            <w:r>
              <w:rPr>
                <w:rFonts w:hint="eastAsia" w:ascii="宋体" w:hAnsi="宋体"/>
                <w:color w:val="000000"/>
                <w:kern w:val="0"/>
                <w:sz w:val="18"/>
                <w:szCs w:val="18"/>
                <w:highlight w:val="none"/>
                <w:lang w:eastAsia="zh-CN"/>
              </w:rPr>
              <w:t>、</w:t>
            </w:r>
            <w:r>
              <w:rPr>
                <w:rFonts w:hint="eastAsia" w:ascii="宋体" w:hAnsi="宋体"/>
                <w:color w:val="000000"/>
                <w:kern w:val="0"/>
                <w:sz w:val="18"/>
                <w:szCs w:val="18"/>
                <w:highlight w:val="none"/>
              </w:rPr>
              <w:t>捕获率：＞90%</w:t>
            </w:r>
            <w:r>
              <w:rPr>
                <w:rFonts w:hint="eastAsia" w:ascii="宋体" w:hAnsi="宋体"/>
                <w:color w:val="000000"/>
                <w:kern w:val="0"/>
                <w:sz w:val="18"/>
                <w:szCs w:val="18"/>
                <w:highlight w:val="none"/>
                <w:lang w:eastAsia="zh-CN"/>
              </w:rPr>
              <w:t>。</w:t>
            </w:r>
          </w:p>
          <w:p>
            <w:pPr>
              <w:widowControl/>
              <w:jc w:val="left"/>
              <w:rPr>
                <w:rFonts w:hint="eastAsia" w:ascii="宋体" w:hAnsi="宋体" w:eastAsia="宋体"/>
                <w:color w:val="000000"/>
                <w:kern w:val="0"/>
                <w:sz w:val="18"/>
                <w:szCs w:val="18"/>
                <w:highlight w:val="none"/>
                <w:lang w:eastAsia="zh-CN"/>
              </w:rPr>
            </w:pPr>
            <w:r>
              <w:rPr>
                <w:rFonts w:hint="eastAsia" w:ascii="宋体" w:hAnsi="宋体"/>
                <w:color w:val="000000"/>
                <w:kern w:val="0"/>
                <w:sz w:val="18"/>
                <w:szCs w:val="18"/>
                <w:highlight w:val="none"/>
              </w:rPr>
              <w:t>3</w:t>
            </w:r>
            <w:r>
              <w:rPr>
                <w:rFonts w:hint="eastAsia" w:ascii="宋体" w:hAnsi="宋体"/>
                <w:color w:val="000000"/>
                <w:kern w:val="0"/>
                <w:sz w:val="18"/>
                <w:szCs w:val="18"/>
                <w:highlight w:val="none"/>
                <w:lang w:eastAsia="zh-CN"/>
              </w:rPr>
              <w:t>、</w:t>
            </w:r>
            <w:r>
              <w:rPr>
                <w:rFonts w:hint="eastAsia" w:ascii="宋体" w:hAnsi="宋体"/>
                <w:color w:val="000000"/>
                <w:kern w:val="0"/>
                <w:sz w:val="18"/>
                <w:szCs w:val="18"/>
                <w:highlight w:val="none"/>
              </w:rPr>
              <w:t>数据回传方式：支持VPDN、有线</w:t>
            </w:r>
            <w:r>
              <w:rPr>
                <w:rFonts w:hint="eastAsia" w:ascii="宋体" w:hAnsi="宋体"/>
                <w:color w:val="000000"/>
                <w:kern w:val="0"/>
                <w:sz w:val="18"/>
                <w:szCs w:val="18"/>
                <w:highlight w:val="none"/>
                <w:lang w:eastAsia="zh-CN"/>
              </w:rPr>
              <w:t>。</w:t>
            </w:r>
          </w:p>
          <w:p>
            <w:pPr>
              <w:widowControl/>
              <w:jc w:val="left"/>
              <w:rPr>
                <w:rFonts w:hint="eastAsia" w:ascii="宋体" w:hAnsi="宋体" w:eastAsia="宋体"/>
                <w:color w:val="000000"/>
                <w:kern w:val="0"/>
                <w:sz w:val="18"/>
                <w:szCs w:val="18"/>
                <w:highlight w:val="none"/>
                <w:lang w:eastAsia="zh-CN"/>
              </w:rPr>
            </w:pPr>
            <w:r>
              <w:rPr>
                <w:rFonts w:hint="eastAsia" w:ascii="宋体" w:hAnsi="宋体"/>
                <w:color w:val="000000"/>
                <w:kern w:val="0"/>
                <w:sz w:val="18"/>
                <w:szCs w:val="18"/>
                <w:highlight w:val="none"/>
              </w:rPr>
              <w:t>4</w:t>
            </w:r>
            <w:r>
              <w:rPr>
                <w:rFonts w:hint="eastAsia" w:ascii="宋体" w:hAnsi="宋体"/>
                <w:color w:val="000000"/>
                <w:kern w:val="0"/>
                <w:sz w:val="18"/>
                <w:szCs w:val="18"/>
                <w:highlight w:val="none"/>
                <w:lang w:eastAsia="zh-CN"/>
              </w:rPr>
              <w:t>、</w:t>
            </w:r>
            <w:r>
              <w:rPr>
                <w:rFonts w:hint="eastAsia" w:ascii="宋体" w:hAnsi="宋体"/>
                <w:color w:val="000000"/>
                <w:kern w:val="0"/>
                <w:sz w:val="18"/>
                <w:szCs w:val="18"/>
                <w:highlight w:val="none"/>
              </w:rPr>
              <w:t>环境扫描：能够远程扫描周边运营商网络参数</w:t>
            </w:r>
            <w:r>
              <w:rPr>
                <w:rFonts w:hint="eastAsia" w:ascii="宋体" w:hAnsi="宋体"/>
                <w:color w:val="000000"/>
                <w:kern w:val="0"/>
                <w:sz w:val="18"/>
                <w:szCs w:val="18"/>
                <w:highlight w:val="none"/>
                <w:lang w:eastAsia="zh-CN"/>
              </w:rPr>
              <w:t>。</w:t>
            </w:r>
          </w:p>
          <w:p>
            <w:pPr>
              <w:widowControl/>
              <w:jc w:val="left"/>
              <w:rPr>
                <w:rFonts w:hint="eastAsia" w:ascii="宋体" w:hAnsi="宋体"/>
                <w:color w:val="000000"/>
                <w:kern w:val="0"/>
                <w:sz w:val="18"/>
                <w:szCs w:val="18"/>
                <w:highlight w:val="none"/>
              </w:rPr>
            </w:pPr>
            <w:r>
              <w:rPr>
                <w:rFonts w:hint="eastAsia" w:ascii="宋体" w:hAnsi="宋体"/>
                <w:color w:val="000000"/>
                <w:kern w:val="0"/>
                <w:sz w:val="18"/>
                <w:szCs w:val="18"/>
                <w:highlight w:val="none"/>
              </w:rPr>
              <w:t>5</w:t>
            </w:r>
            <w:r>
              <w:rPr>
                <w:rFonts w:hint="eastAsia" w:ascii="宋体" w:hAnsi="宋体"/>
                <w:color w:val="000000"/>
                <w:kern w:val="0"/>
                <w:sz w:val="18"/>
                <w:szCs w:val="18"/>
                <w:highlight w:val="none"/>
                <w:lang w:eastAsia="zh-CN"/>
              </w:rPr>
              <w:t>、</w:t>
            </w:r>
            <w:r>
              <w:rPr>
                <w:rFonts w:hint="eastAsia" w:ascii="宋体" w:hAnsi="宋体"/>
                <w:color w:val="000000"/>
                <w:kern w:val="0"/>
                <w:sz w:val="18"/>
                <w:szCs w:val="18"/>
                <w:highlight w:val="none"/>
              </w:rPr>
              <w:t>同步方式：GPS同步、空口同步。</w:t>
            </w:r>
          </w:p>
          <w:p>
            <w:pPr>
              <w:widowControl/>
              <w:jc w:val="left"/>
              <w:rPr>
                <w:rFonts w:hint="eastAsia" w:ascii="宋体" w:hAnsi="宋体" w:eastAsia="宋体"/>
                <w:color w:val="000000"/>
                <w:kern w:val="0"/>
                <w:sz w:val="18"/>
                <w:szCs w:val="18"/>
                <w:highlight w:val="none"/>
                <w:lang w:eastAsia="zh-CN"/>
              </w:rPr>
            </w:pPr>
            <w:r>
              <w:rPr>
                <w:rFonts w:hint="eastAsia" w:ascii="宋体" w:hAnsi="宋体"/>
                <w:color w:val="000000"/>
                <w:kern w:val="0"/>
                <w:sz w:val="18"/>
                <w:szCs w:val="18"/>
                <w:highlight w:val="none"/>
              </w:rPr>
              <w:t>6</w:t>
            </w:r>
            <w:r>
              <w:rPr>
                <w:rFonts w:hint="eastAsia" w:ascii="宋体" w:hAnsi="宋体"/>
                <w:color w:val="000000"/>
                <w:kern w:val="0"/>
                <w:sz w:val="18"/>
                <w:szCs w:val="18"/>
                <w:highlight w:val="none"/>
                <w:lang w:eastAsia="zh-CN"/>
              </w:rPr>
              <w:t>、</w:t>
            </w:r>
            <w:r>
              <w:rPr>
                <w:rFonts w:hint="eastAsia" w:ascii="宋体" w:hAnsi="宋体"/>
                <w:color w:val="000000"/>
                <w:kern w:val="0"/>
                <w:sz w:val="18"/>
                <w:szCs w:val="18"/>
                <w:highlight w:val="none"/>
              </w:rPr>
              <w:t>电源适应性：AC90V~290V</w:t>
            </w:r>
            <w:r>
              <w:rPr>
                <w:rFonts w:hint="eastAsia" w:ascii="宋体" w:hAnsi="宋体"/>
                <w:color w:val="000000"/>
                <w:kern w:val="0"/>
                <w:sz w:val="18"/>
                <w:szCs w:val="18"/>
                <w:highlight w:val="none"/>
                <w:lang w:eastAsia="zh-CN"/>
              </w:rPr>
              <w:t>。</w:t>
            </w:r>
          </w:p>
          <w:p>
            <w:pPr>
              <w:widowControl/>
              <w:jc w:val="left"/>
              <w:rPr>
                <w:rFonts w:hint="eastAsia" w:ascii="宋体" w:hAnsi="宋体" w:eastAsia="宋体"/>
                <w:color w:val="000000"/>
                <w:kern w:val="0"/>
                <w:sz w:val="18"/>
                <w:szCs w:val="18"/>
                <w:highlight w:val="none"/>
                <w:lang w:eastAsia="zh-CN"/>
              </w:rPr>
            </w:pPr>
            <w:r>
              <w:rPr>
                <w:rFonts w:hint="eastAsia" w:ascii="宋体" w:hAnsi="宋体"/>
                <w:color w:val="000000"/>
                <w:kern w:val="0"/>
                <w:sz w:val="18"/>
                <w:szCs w:val="18"/>
                <w:highlight w:val="none"/>
              </w:rPr>
              <w:t>7</w:t>
            </w:r>
            <w:r>
              <w:rPr>
                <w:rFonts w:hint="eastAsia" w:ascii="宋体" w:hAnsi="宋体"/>
                <w:color w:val="000000"/>
                <w:kern w:val="0"/>
                <w:sz w:val="18"/>
                <w:szCs w:val="18"/>
                <w:highlight w:val="none"/>
                <w:lang w:eastAsia="zh-CN"/>
              </w:rPr>
              <w:t>、</w:t>
            </w:r>
            <w:r>
              <w:rPr>
                <w:rFonts w:hint="eastAsia" w:ascii="宋体" w:hAnsi="宋体"/>
                <w:color w:val="000000"/>
                <w:kern w:val="0"/>
                <w:sz w:val="18"/>
                <w:szCs w:val="18"/>
                <w:highlight w:val="none"/>
              </w:rPr>
              <w:t>环境要求：-40℃~55℃</w:t>
            </w:r>
            <w:r>
              <w:rPr>
                <w:rFonts w:hint="eastAsia" w:ascii="宋体" w:hAnsi="宋体"/>
                <w:color w:val="000000"/>
                <w:kern w:val="0"/>
                <w:sz w:val="18"/>
                <w:szCs w:val="18"/>
                <w:highlight w:val="none"/>
                <w:lang w:eastAsia="zh-CN"/>
              </w:rPr>
              <w:t>。</w:t>
            </w:r>
          </w:p>
          <w:p>
            <w:pPr>
              <w:widowControl/>
              <w:jc w:val="left"/>
              <w:rPr>
                <w:rFonts w:hint="eastAsia" w:ascii="宋体" w:hAnsi="宋体" w:eastAsia="宋体"/>
                <w:color w:val="000000"/>
                <w:kern w:val="0"/>
                <w:sz w:val="18"/>
                <w:szCs w:val="18"/>
                <w:highlight w:val="none"/>
                <w:lang w:eastAsia="zh-CN"/>
              </w:rPr>
            </w:pPr>
            <w:r>
              <w:rPr>
                <w:rFonts w:hint="eastAsia" w:ascii="宋体" w:hAnsi="宋体"/>
                <w:color w:val="000000"/>
                <w:kern w:val="0"/>
                <w:sz w:val="18"/>
                <w:szCs w:val="18"/>
                <w:highlight w:val="none"/>
              </w:rPr>
              <w:t>8</w:t>
            </w:r>
            <w:r>
              <w:rPr>
                <w:rFonts w:hint="eastAsia" w:ascii="宋体" w:hAnsi="宋体"/>
                <w:color w:val="000000"/>
                <w:kern w:val="0"/>
                <w:sz w:val="18"/>
                <w:szCs w:val="18"/>
                <w:highlight w:val="none"/>
                <w:lang w:eastAsia="zh-CN"/>
              </w:rPr>
              <w:t>、</w:t>
            </w:r>
            <w:r>
              <w:rPr>
                <w:rFonts w:hint="eastAsia" w:ascii="宋体" w:hAnsi="宋体"/>
                <w:color w:val="000000"/>
                <w:kern w:val="0"/>
                <w:sz w:val="18"/>
                <w:szCs w:val="18"/>
                <w:highlight w:val="none"/>
              </w:rPr>
              <w:t>功耗：＜350W</w:t>
            </w:r>
            <w:r>
              <w:rPr>
                <w:rFonts w:hint="eastAsia" w:ascii="宋体" w:hAnsi="宋体"/>
                <w:color w:val="000000"/>
                <w:kern w:val="0"/>
                <w:sz w:val="18"/>
                <w:szCs w:val="18"/>
                <w:highlight w:val="none"/>
                <w:lang w:eastAsia="zh-CN"/>
              </w:rPr>
              <w:t>。</w:t>
            </w:r>
          </w:p>
          <w:p>
            <w:pPr>
              <w:widowControl/>
              <w:jc w:val="left"/>
              <w:rPr>
                <w:rFonts w:hint="eastAsia" w:ascii="宋体" w:hAnsi="宋体"/>
                <w:color w:val="000000"/>
                <w:kern w:val="0"/>
                <w:sz w:val="18"/>
                <w:szCs w:val="18"/>
                <w:highlight w:val="none"/>
              </w:rPr>
            </w:pPr>
            <w:r>
              <w:rPr>
                <w:rFonts w:ascii="宋体" w:hAnsi="宋体"/>
                <w:color w:val="000000"/>
                <w:kern w:val="0"/>
                <w:sz w:val="18"/>
                <w:szCs w:val="18"/>
              </w:rPr>
              <w:t>★</w:t>
            </w:r>
            <w:r>
              <w:rPr>
                <w:rFonts w:hint="eastAsia" w:ascii="宋体" w:hAnsi="宋体"/>
                <w:color w:val="000000"/>
                <w:kern w:val="0"/>
                <w:sz w:val="18"/>
                <w:szCs w:val="18"/>
                <w:highlight w:val="none"/>
              </w:rPr>
              <w:t>9</w:t>
            </w:r>
            <w:r>
              <w:rPr>
                <w:rFonts w:hint="eastAsia" w:ascii="宋体" w:hAnsi="宋体"/>
                <w:color w:val="000000"/>
                <w:kern w:val="0"/>
                <w:sz w:val="18"/>
                <w:szCs w:val="18"/>
                <w:highlight w:val="none"/>
                <w:lang w:eastAsia="zh-CN"/>
              </w:rPr>
              <w:t>、</w:t>
            </w:r>
            <w:r>
              <w:rPr>
                <w:rFonts w:hint="eastAsia" w:ascii="宋体" w:hAnsi="宋体"/>
                <w:color w:val="000000"/>
                <w:kern w:val="0"/>
                <w:sz w:val="18"/>
                <w:szCs w:val="18"/>
                <w:highlight w:val="none"/>
              </w:rPr>
              <w:t xml:space="preserve"> 防护等级：设备满足IP68，可提供相关检测报告（检测机构通过CNAS实验室认可或CMA实验室资质认定）。</w:t>
            </w:r>
          </w:p>
          <w:p>
            <w:pPr>
              <w:widowControl/>
              <w:jc w:val="left"/>
              <w:rPr>
                <w:rFonts w:hint="eastAsia" w:ascii="宋体" w:hAnsi="宋体"/>
                <w:color w:val="000000"/>
                <w:kern w:val="0"/>
                <w:sz w:val="18"/>
                <w:szCs w:val="18"/>
                <w:highlight w:val="none"/>
              </w:rPr>
            </w:pPr>
            <w:r>
              <w:rPr>
                <w:rFonts w:ascii="宋体" w:hAnsi="宋体"/>
                <w:color w:val="000000"/>
                <w:kern w:val="0"/>
                <w:sz w:val="18"/>
                <w:szCs w:val="18"/>
              </w:rPr>
              <w:t>★</w:t>
            </w:r>
            <w:r>
              <w:rPr>
                <w:rFonts w:hint="eastAsia" w:ascii="宋体" w:hAnsi="宋体"/>
                <w:color w:val="000000"/>
                <w:kern w:val="0"/>
                <w:sz w:val="18"/>
                <w:szCs w:val="18"/>
                <w:highlight w:val="none"/>
              </w:rPr>
              <w:t>10</w:t>
            </w:r>
            <w:r>
              <w:rPr>
                <w:rFonts w:hint="eastAsia" w:ascii="宋体" w:hAnsi="宋体"/>
                <w:color w:val="000000"/>
                <w:kern w:val="0"/>
                <w:sz w:val="18"/>
                <w:szCs w:val="18"/>
                <w:highlight w:val="none"/>
                <w:lang w:eastAsia="zh-CN"/>
              </w:rPr>
              <w:t>、</w:t>
            </w:r>
            <w:r>
              <w:rPr>
                <w:rFonts w:hint="eastAsia" w:ascii="宋体" w:hAnsi="宋体"/>
                <w:color w:val="000000"/>
                <w:kern w:val="0"/>
                <w:sz w:val="18"/>
                <w:szCs w:val="18"/>
                <w:highlight w:val="none"/>
              </w:rPr>
              <w:t>产品符合电磁环境控制限值，测试标准：GB8702-2014，设备在额定功率使用情况下经过测试符合GB8702-2014《电磁环境控制限值》，处于安全工作状态，对人体无害。可提供相关检测报告（检测机构通过CNAS实验室认可或CMA实验室资质认定）。</w:t>
            </w:r>
          </w:p>
          <w:p>
            <w:pPr>
              <w:widowControl/>
              <w:jc w:val="left"/>
              <w:rPr>
                <w:rFonts w:hint="eastAsia" w:ascii="宋体" w:hAnsi="宋体"/>
                <w:color w:val="000000"/>
                <w:kern w:val="0"/>
                <w:sz w:val="18"/>
                <w:szCs w:val="18"/>
                <w:highlight w:val="none"/>
              </w:rPr>
            </w:pPr>
            <w:r>
              <w:rPr>
                <w:rFonts w:ascii="宋体" w:hAnsi="宋体"/>
                <w:color w:val="000000"/>
                <w:kern w:val="0"/>
                <w:sz w:val="18"/>
                <w:szCs w:val="18"/>
              </w:rPr>
              <w:t>★</w:t>
            </w:r>
            <w:r>
              <w:rPr>
                <w:rFonts w:hint="eastAsia" w:ascii="宋体" w:hAnsi="宋体"/>
                <w:color w:val="000000"/>
                <w:kern w:val="0"/>
                <w:sz w:val="18"/>
                <w:szCs w:val="18"/>
                <w:highlight w:val="none"/>
              </w:rPr>
              <w:t>11</w:t>
            </w:r>
            <w:r>
              <w:rPr>
                <w:rFonts w:hint="eastAsia" w:ascii="宋体" w:hAnsi="宋体"/>
                <w:color w:val="000000"/>
                <w:kern w:val="0"/>
                <w:sz w:val="18"/>
                <w:szCs w:val="18"/>
                <w:highlight w:val="none"/>
                <w:lang w:eastAsia="zh-CN"/>
              </w:rPr>
              <w:t>、</w:t>
            </w:r>
            <w:r>
              <w:rPr>
                <w:rFonts w:hint="eastAsia" w:ascii="宋体" w:hAnsi="宋体"/>
                <w:color w:val="000000"/>
                <w:kern w:val="0"/>
                <w:sz w:val="18"/>
                <w:szCs w:val="18"/>
                <w:highlight w:val="none"/>
              </w:rPr>
              <w:t>产品通过电磁兼容检测，可提供相关检测报告（检测机构通过CNAS实验室认可或CMA实验室资质认定）。</w:t>
            </w:r>
          </w:p>
          <w:p>
            <w:pPr>
              <w:widowControl/>
              <w:jc w:val="left"/>
              <w:rPr>
                <w:rFonts w:ascii="宋体" w:hAnsi="宋体"/>
                <w:color w:val="000000"/>
                <w:kern w:val="0"/>
                <w:sz w:val="18"/>
                <w:szCs w:val="18"/>
                <w:highlight w:val="none"/>
              </w:rPr>
            </w:pPr>
            <w:r>
              <w:rPr>
                <w:rFonts w:ascii="宋体" w:hAnsi="宋体"/>
                <w:color w:val="000000"/>
                <w:kern w:val="0"/>
                <w:sz w:val="18"/>
                <w:szCs w:val="18"/>
              </w:rPr>
              <w:t>★</w:t>
            </w:r>
            <w:r>
              <w:rPr>
                <w:rFonts w:hint="eastAsia" w:ascii="宋体" w:hAnsi="宋体"/>
                <w:color w:val="000000"/>
                <w:kern w:val="0"/>
                <w:sz w:val="18"/>
                <w:szCs w:val="18"/>
                <w:highlight w:val="none"/>
              </w:rPr>
              <w:t>12</w:t>
            </w:r>
            <w:r>
              <w:rPr>
                <w:rFonts w:hint="eastAsia" w:ascii="宋体" w:hAnsi="宋体"/>
                <w:color w:val="000000"/>
                <w:kern w:val="0"/>
                <w:sz w:val="18"/>
                <w:szCs w:val="18"/>
                <w:highlight w:val="none"/>
                <w:lang w:eastAsia="zh-CN"/>
              </w:rPr>
              <w:t>、</w:t>
            </w:r>
            <w:r>
              <w:rPr>
                <w:rFonts w:hint="eastAsia" w:ascii="宋体" w:hAnsi="宋体"/>
                <w:color w:val="000000"/>
                <w:kern w:val="0"/>
                <w:sz w:val="18"/>
                <w:szCs w:val="18"/>
                <w:highlight w:val="none"/>
              </w:rPr>
              <w:t>产品需通过国军标GJB150.16A振动试验，可提供相关检测报告（检测机构通过CNAS实验室认可或CMA实验室资质认定）。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330" w:type="pct"/>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9</w:t>
            </w:r>
          </w:p>
        </w:tc>
        <w:tc>
          <w:tcPr>
            <w:tcW w:w="665" w:type="pct"/>
            <w:gridSpan w:val="2"/>
            <w:shd w:val="clear" w:color="auto" w:fill="auto"/>
            <w:noWrap/>
            <w:vAlign w:val="center"/>
          </w:tcPr>
          <w:p>
            <w:pPr>
              <w:widowControl/>
              <w:jc w:val="left"/>
              <w:rPr>
                <w:rFonts w:ascii="宋体" w:hAnsi="宋体" w:cs="宋体"/>
                <w:kern w:val="0"/>
                <w:szCs w:val="21"/>
                <w:highlight w:val="none"/>
              </w:rPr>
            </w:pPr>
            <w:r>
              <w:rPr>
                <w:rFonts w:hint="eastAsia" w:ascii="宋体" w:hAnsi="宋体" w:cs="宋体"/>
                <w:color w:val="000000"/>
                <w:kern w:val="0"/>
                <w:szCs w:val="21"/>
                <w:highlight w:val="none"/>
              </w:rPr>
              <w:t>线路租用费</w:t>
            </w:r>
          </w:p>
        </w:tc>
        <w:tc>
          <w:tcPr>
            <w:tcW w:w="338" w:type="pct"/>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324" w:type="pct"/>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3343" w:type="pct"/>
            <w:shd w:val="clear" w:color="auto" w:fill="auto"/>
            <w:noWrap/>
          </w:tcPr>
          <w:p>
            <w:pPr>
              <w:widowControl/>
              <w:jc w:val="left"/>
              <w:rPr>
                <w:rFonts w:hint="eastAsia" w:eastAsia="宋体"/>
                <w:highlight w:val="none"/>
                <w:lang w:eastAsia="zh-CN"/>
              </w:rPr>
            </w:pPr>
            <w:r>
              <w:rPr>
                <w:rFonts w:ascii="宋体" w:hAnsi="宋体"/>
                <w:color w:val="000000"/>
                <w:kern w:val="0"/>
                <w:sz w:val="18"/>
                <w:szCs w:val="18"/>
                <w:highlight w:val="none"/>
              </w:rPr>
              <w:t>不低于100M，三年</w:t>
            </w:r>
            <w:r>
              <w:rPr>
                <w:rFonts w:hint="eastAsia" w:ascii="宋体" w:hAnsi="宋体"/>
                <w:color w:val="000000"/>
                <w:kern w:val="0"/>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330" w:type="pct"/>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10</w:t>
            </w:r>
          </w:p>
        </w:tc>
        <w:tc>
          <w:tcPr>
            <w:tcW w:w="665" w:type="pct"/>
            <w:gridSpan w:val="2"/>
            <w:shd w:val="clear" w:color="auto" w:fill="auto"/>
            <w:noWrap/>
            <w:vAlign w:val="center"/>
          </w:tcPr>
          <w:p>
            <w:pPr>
              <w:widowControl/>
              <w:jc w:val="left"/>
              <w:rPr>
                <w:rFonts w:ascii="宋体" w:hAnsi="宋体" w:cs="宋体"/>
                <w:kern w:val="0"/>
                <w:szCs w:val="21"/>
                <w:highlight w:val="none"/>
              </w:rPr>
            </w:pPr>
            <w:r>
              <w:rPr>
                <w:rFonts w:hint="eastAsia" w:ascii="宋体" w:hAnsi="宋体" w:cs="宋体"/>
                <w:color w:val="000000"/>
                <w:kern w:val="0"/>
                <w:szCs w:val="21"/>
                <w:highlight w:val="none"/>
              </w:rPr>
              <w:t>系统集成服务</w:t>
            </w:r>
          </w:p>
        </w:tc>
        <w:tc>
          <w:tcPr>
            <w:tcW w:w="338" w:type="pct"/>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324" w:type="pct"/>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3343" w:type="pct"/>
            <w:shd w:val="clear" w:color="auto" w:fill="auto"/>
            <w:noWrap/>
            <w:vAlign w:val="center"/>
          </w:tcPr>
          <w:p>
            <w:pPr>
              <w:widowControl/>
              <w:jc w:val="left"/>
              <w:rPr>
                <w:rFonts w:hint="eastAsia" w:eastAsia="宋体"/>
                <w:highlight w:val="none"/>
                <w:lang w:eastAsia="zh-CN"/>
              </w:rPr>
            </w:pPr>
            <w:r>
              <w:rPr>
                <w:rFonts w:hint="eastAsia" w:ascii="宋体" w:hAnsi="宋体"/>
                <w:color w:val="000000"/>
                <w:kern w:val="0"/>
                <w:sz w:val="18"/>
                <w:szCs w:val="18"/>
                <w:highlight w:val="none"/>
              </w:rPr>
              <w:t>包含前端供电电费、系统集成、质保3年维护、施工安装、监控立杆、摄像机安装支架、设备箱、取电线缆、超五类网线、PE32子管、施工辅材等</w:t>
            </w:r>
            <w:r>
              <w:rPr>
                <w:rFonts w:hint="eastAsia" w:ascii="宋体" w:hAnsi="宋体"/>
                <w:color w:val="000000"/>
                <w:kern w:val="0"/>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5000" w:type="pct"/>
            <w:gridSpan w:val="6"/>
            <w:shd w:val="clear" w:color="auto" w:fill="auto"/>
            <w:noWrap/>
            <w:vAlign w:val="center"/>
          </w:tcPr>
          <w:p>
            <w:pPr>
              <w:widowControl/>
              <w:rPr>
                <w:rFonts w:ascii="宋体" w:hAnsi="宋体" w:cs="宋体"/>
                <w:kern w:val="0"/>
                <w:sz w:val="22"/>
                <w:highlight w:val="none"/>
              </w:rPr>
            </w:pPr>
            <w:r>
              <w:rPr>
                <w:rFonts w:hint="eastAsia" w:ascii="宋体" w:hAnsi="宋体" w:cs="宋体"/>
                <w:b/>
                <w:bCs/>
                <w:kern w:val="0"/>
                <w:sz w:val="22"/>
                <w:highlight w:val="none"/>
              </w:rPr>
              <w:t>二</w:t>
            </w:r>
            <w:r>
              <w:rPr>
                <w:rFonts w:ascii="宋体" w:hAnsi="宋体" w:cs="宋体"/>
                <w:b/>
                <w:bCs/>
                <w:kern w:val="0"/>
                <w:sz w:val="22"/>
                <w:highlight w:val="none"/>
              </w:rPr>
              <w:t>、</w:t>
            </w:r>
            <w:r>
              <w:rPr>
                <w:rFonts w:hint="eastAsia" w:ascii="宋体" w:hAnsi="宋体" w:cs="宋体"/>
                <w:b/>
                <w:bCs/>
                <w:kern w:val="0"/>
                <w:sz w:val="22"/>
                <w:highlight w:val="none"/>
              </w:rPr>
              <w:t>商务</w:t>
            </w:r>
            <w:r>
              <w:rPr>
                <w:rFonts w:ascii="宋体" w:hAnsi="宋体" w:cs="宋体"/>
                <w:b/>
                <w:bCs/>
                <w:kern w:val="0"/>
                <w:sz w:val="22"/>
                <w:highlight w:val="none"/>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4" w:type="pct"/>
            <w:gridSpan w:val="2"/>
            <w:shd w:val="clear" w:color="auto" w:fill="auto"/>
            <w:noWrap/>
            <w:vAlign w:val="center"/>
          </w:tcPr>
          <w:p>
            <w:pPr>
              <w:widowControl/>
              <w:rPr>
                <w:rFonts w:ascii="宋体" w:hAnsi="宋体" w:cs="宋体"/>
                <w:bCs/>
                <w:kern w:val="0"/>
                <w:szCs w:val="21"/>
                <w:highlight w:val="none"/>
              </w:rPr>
            </w:pPr>
            <w:r>
              <w:rPr>
                <w:rFonts w:hint="eastAsia" w:ascii="宋体" w:hAnsi="宋体" w:cs="宋体"/>
                <w:bCs/>
                <w:kern w:val="0"/>
                <w:szCs w:val="21"/>
                <w:highlight w:val="none"/>
              </w:rPr>
              <w:t>质保</w:t>
            </w:r>
            <w:r>
              <w:rPr>
                <w:rFonts w:ascii="宋体" w:hAnsi="宋体" w:cs="宋体"/>
                <w:bCs/>
                <w:kern w:val="0"/>
                <w:szCs w:val="21"/>
                <w:highlight w:val="none"/>
              </w:rPr>
              <w:t>期</w:t>
            </w:r>
          </w:p>
        </w:tc>
        <w:tc>
          <w:tcPr>
            <w:tcW w:w="4046" w:type="pct"/>
            <w:gridSpan w:val="4"/>
            <w:shd w:val="clear" w:color="auto" w:fill="auto"/>
            <w:vAlign w:val="center"/>
          </w:tcPr>
          <w:p>
            <w:pPr>
              <w:widowControl/>
              <w:rPr>
                <w:rFonts w:ascii="宋体" w:hAnsi="宋体" w:cs="宋体"/>
                <w:bCs/>
                <w:kern w:val="0"/>
                <w:szCs w:val="21"/>
                <w:highlight w:val="none"/>
              </w:rPr>
            </w:pPr>
            <w:r>
              <w:rPr>
                <w:rFonts w:hint="eastAsia" w:ascii="宋体" w:hAnsi="宋体" w:cs="宋体"/>
                <w:bCs/>
                <w:kern w:val="0"/>
                <w:szCs w:val="21"/>
                <w:highlight w:val="none"/>
              </w:rPr>
              <w:t>按厂家承诺，但不少于</w:t>
            </w:r>
            <w:r>
              <w:rPr>
                <w:rFonts w:ascii="宋体" w:hAnsi="宋体" w:cs="宋体"/>
                <w:bCs/>
                <w:kern w:val="0"/>
                <w:szCs w:val="21"/>
                <w:highlight w:val="none"/>
              </w:rPr>
              <w:t>3年（技术参数及性能配置要求有要求的按其规定）。质保期内免费维修、更换配件。质保期内如出现系统问题或设备故障的，免费提供相同规格型号的不低于原设备性能要求的替代品使用或者冗余服务。质保期内如出现48小时内无法修复系统问题或设备故障的，免费更换相同规格型号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4" w:type="pct"/>
            <w:gridSpan w:val="2"/>
            <w:shd w:val="clear" w:color="auto" w:fill="auto"/>
            <w:noWrap/>
            <w:vAlign w:val="center"/>
          </w:tcPr>
          <w:p>
            <w:pPr>
              <w:widowControl/>
              <w:rPr>
                <w:rFonts w:ascii="宋体" w:hAnsi="宋体" w:cs="宋体"/>
                <w:bCs/>
                <w:kern w:val="0"/>
                <w:szCs w:val="21"/>
                <w:highlight w:val="none"/>
              </w:rPr>
            </w:pPr>
            <w:r>
              <w:rPr>
                <w:rFonts w:hint="eastAsia" w:ascii="宋体" w:hAnsi="宋体" w:cs="宋体"/>
                <w:bCs/>
                <w:kern w:val="0"/>
                <w:szCs w:val="21"/>
                <w:highlight w:val="none"/>
              </w:rPr>
              <w:t>交付使用期</w:t>
            </w:r>
          </w:p>
        </w:tc>
        <w:tc>
          <w:tcPr>
            <w:tcW w:w="4046" w:type="pct"/>
            <w:gridSpan w:val="4"/>
            <w:shd w:val="clear" w:color="auto" w:fill="auto"/>
            <w:vAlign w:val="center"/>
          </w:tcPr>
          <w:p>
            <w:pPr>
              <w:widowControl/>
              <w:rPr>
                <w:rFonts w:ascii="宋体" w:hAnsi="宋体" w:cs="宋体"/>
                <w:bCs/>
                <w:kern w:val="0"/>
                <w:szCs w:val="21"/>
                <w:highlight w:val="none"/>
              </w:rPr>
            </w:pPr>
            <w:r>
              <w:rPr>
                <w:rFonts w:hint="eastAsia" w:ascii="宋体" w:hAnsi="宋体" w:cs="宋体"/>
                <w:bCs/>
                <w:kern w:val="0"/>
                <w:szCs w:val="21"/>
                <w:highlight w:val="none"/>
              </w:rPr>
              <w:t>自采购合同签订之日起</w:t>
            </w:r>
            <w:r>
              <w:rPr>
                <w:rFonts w:ascii="宋体" w:hAnsi="宋体" w:cs="宋体"/>
                <w:bCs/>
                <w:kern w:val="0"/>
                <w:szCs w:val="21"/>
                <w:highlight w:val="none"/>
              </w:rPr>
              <w:t>20个日历天。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bCs/>
                <w:kern w:val="0"/>
                <w:szCs w:val="21"/>
                <w:highlight w:val="none"/>
              </w:rPr>
            </w:pPr>
            <w:r>
              <w:rPr>
                <w:rFonts w:hint="eastAsia" w:ascii="宋体" w:hAnsi="宋体" w:cs="宋体"/>
                <w:bCs/>
                <w:kern w:val="0"/>
                <w:szCs w:val="21"/>
                <w:highlight w:val="none"/>
              </w:rPr>
              <w:t>交货安装地点</w:t>
            </w:r>
          </w:p>
        </w:tc>
        <w:tc>
          <w:tcPr>
            <w:tcW w:w="404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Cs w:val="21"/>
                <w:highlight w:val="none"/>
              </w:rPr>
            </w:pPr>
            <w:r>
              <w:rPr>
                <w:rFonts w:hint="eastAsia" w:ascii="宋体" w:hAnsi="宋体" w:cs="宋体"/>
                <w:bCs/>
                <w:kern w:val="0"/>
                <w:szCs w:val="21"/>
                <w:highlight w:val="none"/>
              </w:rPr>
              <w:t>防城区指定地点。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bCs/>
                <w:kern w:val="0"/>
                <w:szCs w:val="21"/>
                <w:highlight w:val="none"/>
              </w:rPr>
            </w:pPr>
            <w:r>
              <w:rPr>
                <w:rFonts w:hint="eastAsia" w:ascii="宋体" w:hAnsi="宋体" w:cs="宋体"/>
                <w:bCs/>
                <w:kern w:val="0"/>
                <w:szCs w:val="21"/>
                <w:highlight w:val="none"/>
              </w:rPr>
              <w:t>签订合同日期</w:t>
            </w:r>
          </w:p>
        </w:tc>
        <w:tc>
          <w:tcPr>
            <w:tcW w:w="404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Cs w:val="21"/>
                <w:highlight w:val="none"/>
              </w:rPr>
            </w:pPr>
            <w:r>
              <w:rPr>
                <w:rFonts w:hint="eastAsia" w:ascii="宋体" w:hAnsi="宋体" w:cs="宋体"/>
                <w:bCs/>
                <w:kern w:val="0"/>
                <w:szCs w:val="21"/>
                <w:highlight w:val="none"/>
              </w:rPr>
              <w:t>自中标通知书发出之日起25日内。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bCs/>
                <w:kern w:val="0"/>
                <w:szCs w:val="21"/>
                <w:highlight w:val="none"/>
              </w:rPr>
            </w:pPr>
            <w:r>
              <w:rPr>
                <w:rFonts w:hint="eastAsia" w:ascii="宋体" w:hAnsi="宋体" w:cs="宋体"/>
                <w:bCs/>
                <w:kern w:val="0"/>
                <w:szCs w:val="21"/>
                <w:highlight w:val="none"/>
              </w:rPr>
              <w:t>付款方式</w:t>
            </w:r>
          </w:p>
        </w:tc>
        <w:tc>
          <w:tcPr>
            <w:tcW w:w="404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Cs w:val="21"/>
                <w:highlight w:val="none"/>
              </w:rPr>
            </w:pPr>
            <w:r>
              <w:rPr>
                <w:rFonts w:hint="eastAsia" w:ascii="宋体" w:hAnsi="宋体" w:cs="宋体"/>
                <w:bCs/>
                <w:kern w:val="0"/>
                <w:szCs w:val="21"/>
                <w:highlight w:val="none"/>
              </w:rPr>
              <w:t>合同签订之日起5</w:t>
            </w:r>
            <w:r>
              <w:rPr>
                <w:rFonts w:hint="eastAsia" w:ascii="宋体" w:hAnsi="宋体" w:cs="宋体"/>
                <w:bCs/>
                <w:color w:val="auto"/>
                <w:kern w:val="0"/>
                <w:szCs w:val="21"/>
                <w:highlight w:val="none"/>
              </w:rPr>
              <w:t>个工作日内，甲方向市财政部门提交合同总金额30%的经费请示，付款时间以市财政部门审核通过的时间为准。系统调试安装验收后5个工作日内，甲方向市财政部门提交合同总金额65%的经费请示，付款时间以市财政部门审核通过的时间为准。留存</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合同价的5%作为质保金。质保期（365天）满，乙方于30天内提出申请，甲方使用部门及验收组出具同意返还工程质保金意见书后，甲方5个工作日内向市财政部门提交合同总金额5%的质保金返</w:t>
            </w:r>
            <w:r>
              <w:rPr>
                <w:rFonts w:hint="eastAsia" w:ascii="宋体" w:hAnsi="宋体" w:cs="宋体"/>
                <w:bCs/>
                <w:kern w:val="0"/>
                <w:szCs w:val="21"/>
                <w:highlight w:val="none"/>
              </w:rPr>
              <w:t>还请示，付款时间以市财政部门审核通过的时间为准。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bCs/>
                <w:kern w:val="0"/>
                <w:szCs w:val="21"/>
                <w:highlight w:val="none"/>
              </w:rPr>
            </w:pPr>
            <w:r>
              <w:rPr>
                <w:rFonts w:hint="eastAsia" w:ascii="宋体" w:hAnsi="宋体" w:cs="宋体"/>
                <w:bCs/>
                <w:kern w:val="0"/>
                <w:szCs w:val="21"/>
                <w:highlight w:val="none"/>
              </w:rPr>
              <w:t>货物验收</w:t>
            </w:r>
          </w:p>
        </w:tc>
        <w:tc>
          <w:tcPr>
            <w:tcW w:w="404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Cs w:val="21"/>
                <w:highlight w:val="none"/>
              </w:rPr>
            </w:pPr>
            <w:r>
              <w:rPr>
                <w:rFonts w:hint="eastAsia" w:ascii="宋体" w:hAnsi="宋体" w:cs="宋体"/>
                <w:bCs/>
                <w:kern w:val="0"/>
                <w:szCs w:val="21"/>
                <w:highlight w:val="none"/>
              </w:rPr>
              <w:t>1、采购人现场根据中标通知书要求及投标文件承诺逐条对应进行核验，核验不合格的，采购人有权终止合同执行并全部退货，同时报相关监督管理部门处理，由此造成采购人经济损失的由成交供应商负责承担全部赔偿责任。</w:t>
            </w:r>
          </w:p>
          <w:p>
            <w:pPr>
              <w:widowControl/>
              <w:rPr>
                <w:rFonts w:ascii="宋体" w:hAnsi="宋体" w:cs="宋体"/>
                <w:bCs/>
                <w:kern w:val="0"/>
                <w:szCs w:val="21"/>
                <w:highlight w:val="none"/>
              </w:rPr>
            </w:pPr>
            <w:r>
              <w:rPr>
                <w:rFonts w:hint="eastAsia" w:ascii="宋体" w:hAnsi="宋体" w:cs="宋体"/>
                <w:bCs/>
                <w:kern w:val="0"/>
                <w:szCs w:val="21"/>
                <w:highlight w:val="none"/>
              </w:rPr>
              <w:t>2、验收程序：</w:t>
            </w:r>
          </w:p>
          <w:p>
            <w:pPr>
              <w:widowControl/>
              <w:rPr>
                <w:rFonts w:ascii="宋体" w:hAnsi="宋体" w:cs="宋体"/>
                <w:bCs/>
                <w:kern w:val="0"/>
                <w:szCs w:val="21"/>
                <w:highlight w:val="none"/>
              </w:rPr>
            </w:pPr>
            <w:r>
              <w:rPr>
                <w:rFonts w:hint="eastAsia" w:ascii="宋体" w:hAnsi="宋体" w:cs="宋体"/>
                <w:bCs/>
                <w:kern w:val="0"/>
                <w:szCs w:val="21"/>
                <w:highlight w:val="none"/>
              </w:rPr>
              <w:t>①、采购人有权要求中标供应商提供所投的设备到采购单位进行参数性能检测，并提供生产厂家盖章的授权文件、售后服务承诺及供货证明文件备查，不能提供的则有权不予验收。</w:t>
            </w:r>
          </w:p>
          <w:p>
            <w:pPr>
              <w:widowControl/>
              <w:rPr>
                <w:rFonts w:ascii="宋体" w:hAnsi="宋体" w:cs="宋体"/>
                <w:bCs/>
                <w:kern w:val="0"/>
                <w:szCs w:val="21"/>
                <w:highlight w:val="none"/>
              </w:rPr>
            </w:pPr>
            <w:r>
              <w:rPr>
                <w:rFonts w:hint="eastAsia" w:ascii="宋体" w:hAnsi="宋体" w:cs="宋体"/>
                <w:bCs/>
                <w:kern w:val="0"/>
                <w:szCs w:val="21"/>
                <w:highlight w:val="none"/>
              </w:rPr>
              <w:t>②设备材料到货验收：设备材料在工期内按现场进度、业主要求到货，在安装与实施前，设备材料必须进行到货验收。设备材料到货验收由业主代表（或采购人委托的监理方）、中标单位共同进行，验收时间为按到货时间后二个工作日内。设备材料到货后，如该设备属于投标的设备，如产品品牌、型号不相符，采购方可拒绝接收该系列产品并保留进一步追究中标人法律责任的权利。</w:t>
            </w:r>
          </w:p>
          <w:p>
            <w:pPr>
              <w:widowControl/>
              <w:rPr>
                <w:rFonts w:ascii="宋体" w:hAnsi="宋体" w:cs="宋体"/>
                <w:bCs/>
                <w:kern w:val="0"/>
                <w:szCs w:val="21"/>
                <w:highlight w:val="none"/>
              </w:rPr>
            </w:pPr>
            <w:r>
              <w:rPr>
                <w:rFonts w:hint="eastAsia" w:ascii="宋体" w:hAnsi="宋体" w:cs="宋体"/>
                <w:bCs/>
                <w:kern w:val="0"/>
                <w:szCs w:val="21"/>
                <w:highlight w:val="none"/>
              </w:rPr>
              <w:t>③交货安装调试完毕后，由采购人及中标供应商共同组织现场检测、检验，按招标文件要求及国家标准进行验收，验收费用由中标供应商支付。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bCs/>
                <w:kern w:val="0"/>
                <w:szCs w:val="21"/>
                <w:highlight w:val="none"/>
              </w:rPr>
            </w:pPr>
            <w:r>
              <w:rPr>
                <w:rFonts w:hint="eastAsia" w:ascii="宋体" w:hAnsi="宋体" w:cs="宋体"/>
                <w:bCs/>
                <w:kern w:val="0"/>
                <w:szCs w:val="21"/>
                <w:highlight w:val="none"/>
              </w:rPr>
              <w:t>售后服务及其他要求</w:t>
            </w:r>
          </w:p>
        </w:tc>
        <w:tc>
          <w:tcPr>
            <w:tcW w:w="404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Cs w:val="21"/>
                <w:highlight w:val="none"/>
              </w:rPr>
            </w:pPr>
            <w:r>
              <w:rPr>
                <w:rFonts w:hint="eastAsia" w:ascii="宋体" w:hAnsi="宋体" w:cs="宋体"/>
                <w:bCs/>
                <w:kern w:val="0"/>
                <w:szCs w:val="21"/>
                <w:highlight w:val="none"/>
              </w:rPr>
              <w:t>1、所采购设备必须原厂生产的全新合格产品，产品质量符合国家相关标准和安全规范。</w:t>
            </w:r>
          </w:p>
          <w:p>
            <w:pPr>
              <w:widowControl/>
              <w:rPr>
                <w:rFonts w:ascii="宋体" w:hAnsi="宋体" w:cs="宋体"/>
                <w:bCs/>
                <w:kern w:val="0"/>
                <w:szCs w:val="21"/>
                <w:highlight w:val="none"/>
              </w:rPr>
            </w:pPr>
            <w:r>
              <w:rPr>
                <w:rFonts w:hint="eastAsia" w:ascii="宋体" w:hAnsi="宋体" w:cs="宋体"/>
                <w:bCs/>
                <w:kern w:val="0"/>
                <w:szCs w:val="21"/>
                <w:highlight w:val="none"/>
              </w:rPr>
              <w:t>2、采购货物价格包含货物、随配附件、备品备件、工具、运抵指定交货地点、现场安装调试的各种费用和售后服务、税金等所有成本费用的总和。但货物价格不包含建设过程中如有产生的行政事业性的赔补费用，现场施工应按市政施工办理，一切相关的行政事业性收费，系统前端供电接入及系统所使用的电费由防城港市公安局防城区</w:t>
            </w:r>
            <w:r>
              <w:rPr>
                <w:rFonts w:ascii="宋体" w:hAnsi="宋体" w:cs="宋体"/>
                <w:bCs/>
                <w:kern w:val="0"/>
                <w:szCs w:val="21"/>
                <w:highlight w:val="none"/>
              </w:rPr>
              <w:t>分局</w:t>
            </w:r>
            <w:r>
              <w:rPr>
                <w:rFonts w:hint="eastAsia" w:ascii="宋体" w:hAnsi="宋体" w:cs="宋体"/>
                <w:bCs/>
                <w:kern w:val="0"/>
                <w:szCs w:val="21"/>
                <w:highlight w:val="none"/>
              </w:rPr>
              <w:t>负责协调解决；</w:t>
            </w:r>
          </w:p>
          <w:p>
            <w:pPr>
              <w:widowControl/>
              <w:rPr>
                <w:rFonts w:ascii="宋体" w:hAnsi="宋体" w:cs="宋体"/>
                <w:bCs/>
                <w:kern w:val="0"/>
                <w:szCs w:val="21"/>
                <w:highlight w:val="none"/>
              </w:rPr>
            </w:pPr>
            <w:r>
              <w:rPr>
                <w:rFonts w:hint="eastAsia" w:ascii="宋体" w:hAnsi="宋体" w:cs="宋体"/>
                <w:bCs/>
                <w:kern w:val="0"/>
                <w:szCs w:val="21"/>
                <w:highlight w:val="none"/>
              </w:rPr>
              <w:t>3、为了能够得到更好的本地化服务，供应商应在响应文件中承诺在防城港市内设有售后服务站。</w:t>
            </w:r>
          </w:p>
          <w:p>
            <w:pPr>
              <w:widowControl/>
              <w:rPr>
                <w:rFonts w:ascii="宋体" w:hAnsi="宋体" w:cs="宋体"/>
                <w:bCs/>
                <w:kern w:val="0"/>
                <w:szCs w:val="21"/>
                <w:highlight w:val="none"/>
              </w:rPr>
            </w:pPr>
            <w:r>
              <w:rPr>
                <w:rFonts w:hint="eastAsia" w:ascii="宋体" w:hAnsi="宋体" w:cs="宋体"/>
                <w:bCs/>
                <w:kern w:val="0"/>
                <w:szCs w:val="21"/>
                <w:highlight w:val="none"/>
              </w:rPr>
              <w:t>4、产权归属：所有设备（不包括光纤电路）合同期满后产权仍归采购人所有。</w:t>
            </w:r>
          </w:p>
          <w:p>
            <w:pPr>
              <w:widowControl/>
              <w:rPr>
                <w:rFonts w:ascii="宋体" w:hAnsi="宋体" w:cs="宋体"/>
                <w:bCs/>
                <w:kern w:val="0"/>
                <w:szCs w:val="21"/>
                <w:highlight w:val="none"/>
              </w:rPr>
            </w:pPr>
            <w:r>
              <w:rPr>
                <w:rFonts w:hint="eastAsia" w:ascii="宋体" w:hAnsi="宋体" w:cs="宋体"/>
                <w:bCs/>
                <w:kern w:val="0"/>
                <w:szCs w:val="21"/>
                <w:highlight w:val="none"/>
              </w:rPr>
              <w:t>5、必须承诺：质保期内免费提供软件升级维护服务，提供7×24小时热线电话服务，并指定专人负责上门受理日常维护及平时方维护检测等工作。</w:t>
            </w:r>
          </w:p>
          <w:p>
            <w:pPr>
              <w:widowControl/>
              <w:rPr>
                <w:rFonts w:ascii="宋体" w:hAnsi="宋体" w:cs="宋体"/>
                <w:bCs/>
                <w:kern w:val="0"/>
                <w:szCs w:val="21"/>
                <w:highlight w:val="none"/>
              </w:rPr>
            </w:pPr>
            <w:r>
              <w:rPr>
                <w:rFonts w:hint="eastAsia" w:ascii="宋体" w:hAnsi="宋体" w:cs="宋体"/>
                <w:bCs/>
                <w:kern w:val="0"/>
                <w:szCs w:val="21"/>
                <w:highlight w:val="none"/>
              </w:rPr>
              <w:t>6、供货方必须承诺跟采购人签定有关的系统安全保密、保障协议。</w:t>
            </w:r>
          </w:p>
          <w:p>
            <w:pPr>
              <w:widowControl/>
              <w:rPr>
                <w:rFonts w:ascii="宋体" w:hAnsi="宋体"/>
                <w:szCs w:val="21"/>
                <w:highlight w:val="none"/>
              </w:rPr>
            </w:pPr>
            <w:r>
              <w:rPr>
                <w:rFonts w:hint="eastAsia"/>
                <w:highlight w:val="none"/>
              </w:rPr>
              <w:t>7、</w:t>
            </w:r>
            <w:r>
              <w:rPr>
                <w:rFonts w:hint="eastAsia" w:ascii="宋体" w:hAnsi="宋体"/>
                <w:szCs w:val="21"/>
                <w:highlight w:val="none"/>
              </w:rPr>
              <w:t>投标人的报价须包含立杆施工所需的取电接电所需费用，同时在维保期间所产生的前端监控等设备的电费由投标人承担。</w:t>
            </w:r>
          </w:p>
          <w:p>
            <w:pPr>
              <w:widowControl/>
              <w:rPr>
                <w:rFonts w:ascii="宋体" w:hAnsi="宋体" w:cs="宋体"/>
                <w:bCs/>
                <w:kern w:val="0"/>
                <w:szCs w:val="21"/>
                <w:highlight w:val="none"/>
              </w:rPr>
            </w:pPr>
            <w:r>
              <w:rPr>
                <w:rFonts w:hint="eastAsia" w:ascii="宋体" w:hAnsi="宋体" w:cs="宋体"/>
                <w:bCs/>
                <w:kern w:val="0"/>
                <w:szCs w:val="21"/>
                <w:highlight w:val="none"/>
              </w:rPr>
              <w:t>8、为保证数据互通以及充分共享，投标人所选用的产品（货物需求表中第1项900万人脸智能卡口抓拍单元、第2项全景摄像机、第3项终端服务系统）能与防城港市公安局防城区</w:t>
            </w:r>
            <w:r>
              <w:rPr>
                <w:rFonts w:ascii="宋体" w:hAnsi="宋体" w:cs="宋体"/>
                <w:bCs/>
                <w:kern w:val="0"/>
                <w:szCs w:val="21"/>
                <w:highlight w:val="none"/>
              </w:rPr>
              <w:t>分局</w:t>
            </w:r>
            <w:r>
              <w:rPr>
                <w:rFonts w:hint="eastAsia" w:ascii="宋体" w:hAnsi="宋体" w:cs="宋体"/>
                <w:bCs/>
                <w:kern w:val="0"/>
                <w:szCs w:val="21"/>
                <w:highlight w:val="none"/>
              </w:rPr>
              <w:t>已有天网平台实现顺利对接，互联互通、统一管理（可通过国标GB28181-2011协议或国标GB28181-2016协议进行对接），能统一调取、查看、检索分析本次所采集、存储的视频数据。</w:t>
            </w:r>
          </w:p>
          <w:p>
            <w:pPr>
              <w:widowControl/>
              <w:rPr>
                <w:rFonts w:ascii="宋体" w:hAnsi="宋体" w:cs="宋体"/>
                <w:bCs/>
                <w:kern w:val="0"/>
                <w:szCs w:val="21"/>
                <w:highlight w:val="none"/>
              </w:rPr>
            </w:pPr>
            <w:r>
              <w:rPr>
                <w:rFonts w:hint="eastAsia" w:ascii="宋体" w:hAnsi="宋体" w:cs="宋体"/>
                <w:bCs/>
                <w:kern w:val="0"/>
                <w:szCs w:val="21"/>
                <w:highlight w:val="none"/>
              </w:rPr>
              <w:t>9、维护响应：</w:t>
            </w:r>
          </w:p>
          <w:p>
            <w:pPr>
              <w:widowControl/>
              <w:rPr>
                <w:rFonts w:ascii="宋体" w:hAnsi="宋体" w:cs="宋体"/>
                <w:bCs/>
                <w:kern w:val="0"/>
                <w:szCs w:val="21"/>
                <w:highlight w:val="none"/>
              </w:rPr>
            </w:pPr>
            <w:r>
              <w:rPr>
                <w:rFonts w:hint="eastAsia" w:ascii="宋体" w:hAnsi="宋体" w:cs="宋体"/>
                <w:bCs/>
                <w:kern w:val="0"/>
                <w:szCs w:val="21"/>
                <w:highlight w:val="none"/>
              </w:rPr>
              <w:t>（1）全景摄像机、接入交换机、终端服务系统的故障处理响应时间需在60分钟以内，故障修复时间不超过6小时，特殊地点(超高、危险区域)特殊天气故障修复时间不超过24小时。现场故障一般处理时间段为8:00到18:00，技术人员赶到现场，如不能确定设备故障原因，则安排替换设备进行替换，并将故障设备带回检修，考虑到某些外场设备障碍处理的安全要求及环境条件，18:00以后申报的故障原则上可以在第二天8:00后安排处理，案件需要等特殊原因除外。</w:t>
            </w:r>
          </w:p>
          <w:p>
            <w:pPr>
              <w:widowControl/>
              <w:rPr>
                <w:rFonts w:ascii="宋体" w:hAnsi="宋体" w:cs="宋体"/>
                <w:bCs/>
                <w:kern w:val="0"/>
                <w:szCs w:val="21"/>
                <w:highlight w:val="none"/>
              </w:rPr>
            </w:pPr>
            <w:r>
              <w:rPr>
                <w:rFonts w:hint="eastAsia" w:ascii="宋体" w:hAnsi="宋体" w:cs="宋体"/>
                <w:bCs/>
                <w:kern w:val="0"/>
                <w:szCs w:val="21"/>
                <w:highlight w:val="none"/>
              </w:rPr>
              <w:t>（2）遇重大活动或会议，须派遣技术人员到现场驻守，提供技术保障。</w:t>
            </w:r>
          </w:p>
          <w:p>
            <w:pPr>
              <w:widowControl/>
              <w:rPr>
                <w:highlight w:val="none"/>
              </w:rPr>
            </w:pPr>
            <w:r>
              <w:rPr>
                <w:rFonts w:ascii="宋体" w:hAnsi="宋体" w:cs="宋体"/>
                <w:bCs/>
                <w:kern w:val="0"/>
                <w:szCs w:val="21"/>
                <w:highlight w:val="none"/>
              </w:rPr>
              <w:t>10</w:t>
            </w:r>
            <w:r>
              <w:rPr>
                <w:rFonts w:hint="eastAsia" w:ascii="宋体" w:hAnsi="宋体" w:cs="宋体"/>
                <w:bCs/>
                <w:kern w:val="0"/>
                <w:szCs w:val="21"/>
                <w:highlight w:val="none"/>
              </w:rPr>
              <w:t>、投标文件中所提供厂商证书或检测报告等文件均须针对本项目，应注明“仅用于防城港市防城区边境智能化卡口云建设项目（</w:t>
            </w:r>
            <w:r>
              <w:rPr>
                <w:rFonts w:ascii="宋体" w:hAnsi="宋体" w:cs="宋体"/>
                <w:bCs/>
                <w:kern w:val="0"/>
                <w:szCs w:val="21"/>
                <w:highlight w:val="none"/>
              </w:rPr>
              <w:t>FCZC2020-G1-10004-GXHY</w:t>
            </w:r>
            <w:r>
              <w:rPr>
                <w:rFonts w:hint="eastAsia" w:ascii="宋体" w:hAnsi="宋体" w:cs="宋体"/>
                <w:bCs/>
                <w:kern w:val="0"/>
                <w:szCs w:val="21"/>
                <w:highlight w:val="none"/>
              </w:rPr>
              <w:t>）投标使用”，无针对本项目的文件视为无效。</w:t>
            </w:r>
          </w:p>
        </w:tc>
      </w:tr>
    </w:tbl>
    <w:p>
      <w:pPr>
        <w:spacing w:after="120" w:afterLines="50"/>
        <w:rPr>
          <w:rFonts w:ascii="宋体" w:hAnsi="宋体" w:cs="宋体"/>
          <w:b/>
          <w:szCs w:val="21"/>
          <w:highlight w:val="none"/>
        </w:rPr>
      </w:pPr>
    </w:p>
    <w:p>
      <w:pPr>
        <w:spacing w:after="120" w:afterLines="50"/>
        <w:rPr>
          <w:b/>
          <w:sz w:val="24"/>
          <w:highlight w:val="none"/>
        </w:rPr>
      </w:pPr>
    </w:p>
    <w:p>
      <w:pPr>
        <w:spacing w:after="120" w:afterLines="50"/>
        <w:rPr>
          <w:b/>
          <w:sz w:val="24"/>
          <w:highlight w:val="none"/>
        </w:rPr>
      </w:pPr>
    </w:p>
    <w:p>
      <w:pPr>
        <w:spacing w:after="120" w:afterLines="50"/>
        <w:rPr>
          <w:b/>
          <w:sz w:val="24"/>
          <w:highlight w:val="none"/>
        </w:rPr>
      </w:pPr>
    </w:p>
    <w:p>
      <w:pPr>
        <w:pStyle w:val="2"/>
        <w:rPr>
          <w:b/>
          <w:sz w:val="24"/>
          <w:highlight w:val="none"/>
        </w:rPr>
      </w:pPr>
    </w:p>
    <w:p>
      <w:pPr>
        <w:pStyle w:val="2"/>
        <w:rPr>
          <w:b/>
          <w:sz w:val="24"/>
          <w:highlight w:val="none"/>
        </w:rPr>
      </w:pPr>
    </w:p>
    <w:p>
      <w:pPr>
        <w:pStyle w:val="2"/>
        <w:rPr>
          <w:b/>
          <w:sz w:val="24"/>
          <w:highlight w:val="none"/>
        </w:rPr>
      </w:pPr>
    </w:p>
    <w:p>
      <w:pPr>
        <w:rPr>
          <w:b/>
          <w:bCs/>
          <w:highlight w:val="none"/>
        </w:rPr>
      </w:pPr>
      <w:bookmarkStart w:id="10" w:name="_Toc254970667"/>
      <w:bookmarkStart w:id="11" w:name="_Toc430110129"/>
      <w:bookmarkStart w:id="12" w:name="_Toc254970526"/>
    </w:p>
    <w:p>
      <w:pPr>
        <w:pStyle w:val="6"/>
        <w:rPr>
          <w:rFonts w:hAnsi="宋体"/>
          <w:b/>
          <w:highlight w:val="none"/>
        </w:rPr>
      </w:pPr>
      <w:r>
        <w:rPr>
          <w:rFonts w:hint="eastAsia"/>
          <w:b/>
          <w:bCs/>
          <w:highlight w:val="none"/>
        </w:rPr>
        <w:t>第三章  投标人须知</w:t>
      </w:r>
    </w:p>
    <w:p>
      <w:pPr>
        <w:snapToGrid w:val="0"/>
        <w:spacing w:before="120" w:beforeLines="50" w:after="120" w:afterLines="50"/>
        <w:ind w:left="238"/>
        <w:jc w:val="center"/>
        <w:outlineLvl w:val="1"/>
        <w:rPr>
          <w:rFonts w:ascii="宋体" w:hAnsi="宋体"/>
          <w:b/>
          <w:szCs w:val="21"/>
          <w:highlight w:val="none"/>
        </w:rPr>
      </w:pPr>
      <w:r>
        <w:rPr>
          <w:rFonts w:hint="eastAsia" w:hAnsi="宋体"/>
          <w:b/>
          <w:highlight w:val="none"/>
        </w:rPr>
        <w:t>投标人须知</w:t>
      </w:r>
      <w:r>
        <w:rPr>
          <w:rFonts w:hint="eastAsia" w:ascii="宋体" w:hAnsi="宋体"/>
          <w:b/>
          <w:szCs w:val="21"/>
          <w:highlight w:val="none"/>
        </w:rPr>
        <w:t>前附表</w:t>
      </w:r>
      <w:bookmarkEnd w:id="10"/>
      <w:bookmarkEnd w:id="11"/>
      <w:bookmarkEnd w:id="12"/>
    </w:p>
    <w:tbl>
      <w:tblPr>
        <w:tblStyle w:val="35"/>
        <w:tblW w:w="955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9"/>
        <w:gridCol w:w="88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Cs w:val="21"/>
                <w:highlight w:val="none"/>
              </w:rPr>
            </w:pPr>
            <w:r>
              <w:rPr>
                <w:rFonts w:hint="eastAsia" w:ascii="宋体" w:hAnsi="宋体"/>
                <w:szCs w:val="21"/>
                <w:highlight w:val="none"/>
              </w:rPr>
              <w:t>序号</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Cs w:val="21"/>
                <w:highlight w:val="none"/>
              </w:rPr>
            </w:pPr>
            <w:r>
              <w:rPr>
                <w:rFonts w:hint="eastAsia" w:ascii="宋体" w:hAnsi="宋体"/>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Cs w:val="21"/>
                <w:highlight w:val="none"/>
              </w:rPr>
            </w:pPr>
            <w:r>
              <w:rPr>
                <w:rFonts w:hint="eastAsia" w:ascii="宋体" w:hAnsi="宋体"/>
                <w:szCs w:val="21"/>
                <w:highlight w:val="none"/>
              </w:rPr>
              <w:t>1</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bCs/>
                <w:szCs w:val="21"/>
                <w:highlight w:val="none"/>
              </w:rPr>
            </w:pPr>
            <w:r>
              <w:rPr>
                <w:rFonts w:hint="eastAsia" w:ascii="宋体" w:hAnsi="宋体"/>
                <w:szCs w:val="21"/>
                <w:highlight w:val="none"/>
              </w:rPr>
              <w:t>项目名称：</w:t>
            </w:r>
            <w:r>
              <w:rPr>
                <w:rFonts w:hint="eastAsia" w:ascii="宋体"/>
                <w:highlight w:val="none"/>
              </w:rPr>
              <w:t xml:space="preserve">防城港市防城区边境智能化卡口云建设项目采购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Cs w:val="21"/>
                <w:highlight w:val="none"/>
              </w:rPr>
            </w:pPr>
            <w:r>
              <w:rPr>
                <w:rFonts w:hint="eastAsia" w:ascii="宋体" w:hAnsi="宋体"/>
                <w:szCs w:val="21"/>
                <w:highlight w:val="none"/>
              </w:rPr>
              <w:t>2</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Cs w:val="21"/>
                <w:highlight w:val="none"/>
              </w:rPr>
            </w:pPr>
            <w:r>
              <w:rPr>
                <w:rFonts w:hint="eastAsia" w:ascii="宋体" w:hAnsi="宋体"/>
                <w:szCs w:val="21"/>
                <w:highlight w:val="none"/>
              </w:rPr>
              <w:t>采购单位：防城港市公安局防城分局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Cs w:val="21"/>
                <w:highlight w:val="none"/>
              </w:rPr>
            </w:pPr>
            <w:r>
              <w:rPr>
                <w:rFonts w:hint="eastAsia" w:ascii="宋体" w:hAnsi="宋体"/>
                <w:szCs w:val="21"/>
                <w:highlight w:val="none"/>
              </w:rPr>
              <w:t>3</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Cs w:val="21"/>
                <w:highlight w:val="none"/>
              </w:rPr>
            </w:pPr>
            <w:r>
              <w:rPr>
                <w:rFonts w:hint="eastAsia" w:ascii="宋体" w:hAnsi="宋体"/>
                <w:b/>
                <w:szCs w:val="21"/>
                <w:highlight w:val="none"/>
              </w:rPr>
              <w:t>投标报价及费用</w:t>
            </w:r>
            <w:r>
              <w:rPr>
                <w:rFonts w:hint="eastAsia" w:ascii="宋体" w:hAnsi="宋体"/>
                <w:szCs w:val="21"/>
                <w:highlight w:val="none"/>
              </w:rPr>
              <w:t>：1.本项目投标应以人民币报价，根据采购需求作完整唯一报价；2.不论投标结果如何，投标人均应自行承担所有与投标有关的全部费用；3.本项目代理服务费</w:t>
            </w:r>
            <w:r>
              <w:rPr>
                <w:rFonts w:hint="eastAsia"/>
                <w:highlight w:val="none"/>
              </w:rPr>
              <w:t>按国家发展计划委员会计价格[2002]1980号《招标代理服务费管理暂行办法》及发改价格[2015]299号文规定的（货物招标）收费标准收取</w:t>
            </w:r>
            <w:r>
              <w:rPr>
                <w:rFonts w:hint="eastAsia" w:hAnsi="宋体"/>
                <w:highlight w:val="none"/>
              </w:rPr>
              <w:t>，由中标供应商在签订合同前向采购代理机构一次性支付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Cs w:val="21"/>
                <w:highlight w:val="none"/>
              </w:rPr>
            </w:pPr>
            <w:r>
              <w:rPr>
                <w:rFonts w:hint="eastAsia" w:ascii="宋体" w:hAnsi="宋体"/>
                <w:szCs w:val="21"/>
                <w:highlight w:val="none"/>
              </w:rPr>
              <w:t>5</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Cs w:val="21"/>
                <w:highlight w:val="none"/>
              </w:rPr>
            </w:pPr>
            <w:r>
              <w:rPr>
                <w:rFonts w:hint="eastAsia" w:ascii="宋体" w:hAnsi="宋体"/>
                <w:b/>
                <w:szCs w:val="21"/>
                <w:highlight w:val="none"/>
              </w:rPr>
              <w:t>答疑与澄清</w:t>
            </w:r>
            <w:r>
              <w:rPr>
                <w:rFonts w:hint="eastAsia" w:ascii="宋体" w:hAnsi="宋体"/>
                <w:szCs w:val="21"/>
                <w:highlight w:val="none"/>
              </w:rPr>
              <w:t>：投标人如认为招标文件表述不清晰、存在歧视性、排他性或者其他违法内容的，应当于</w:t>
            </w:r>
            <w:r>
              <w:rPr>
                <w:rFonts w:hint="eastAsia" w:ascii="宋体" w:hAnsi="宋体" w:cs="Arial"/>
                <w:szCs w:val="21"/>
                <w:highlight w:val="none"/>
              </w:rPr>
              <w:t>投标截</w:t>
            </w:r>
            <w:r>
              <w:rPr>
                <w:rFonts w:hint="eastAsia" w:ascii="宋体" w:hAnsi="宋体"/>
                <w:szCs w:val="21"/>
                <w:highlight w:val="none"/>
              </w:rPr>
              <w:t>止时间四天前，以书面形式向</w:t>
            </w:r>
            <w:r>
              <w:rPr>
                <w:rFonts w:hint="eastAsia" w:ascii="宋体" w:hAnsi="宋体" w:cs="Courier New"/>
                <w:szCs w:val="21"/>
                <w:highlight w:val="none"/>
              </w:rPr>
              <w:t>招标采购单位</w:t>
            </w:r>
            <w:r>
              <w:rPr>
                <w:rFonts w:hint="eastAsia" w:ascii="宋体" w:hAnsi="宋体"/>
                <w:szCs w:val="21"/>
                <w:highlight w:val="none"/>
              </w:rPr>
              <w:t>提出质疑，</w:t>
            </w:r>
            <w:r>
              <w:rPr>
                <w:rFonts w:hint="eastAsia" w:ascii="宋体" w:hAnsi="宋体" w:cs="Courier New"/>
                <w:szCs w:val="21"/>
                <w:highlight w:val="none"/>
              </w:rPr>
              <w:t>招标采购单位</w:t>
            </w:r>
            <w:r>
              <w:rPr>
                <w:rFonts w:hint="eastAsia" w:ascii="宋体" w:hAnsi="宋体"/>
                <w:szCs w:val="21"/>
                <w:highlight w:val="none"/>
              </w:rPr>
              <w:t>将以书面形式予以解释、澄清；答疑内容作为招标文件的组成部份，并以书面形式通知所有已购买招标文件的投标人；</w:t>
            </w:r>
            <w:r>
              <w:rPr>
                <w:rFonts w:hint="eastAsia" w:ascii="宋体" w:hAnsi="宋体" w:cs="Courier New"/>
                <w:szCs w:val="21"/>
                <w:highlight w:val="none"/>
              </w:rPr>
              <w:t>招标采购单位可以视采购具体情况，延长投标截止时间和开标时间，但至少应当在招标文件要求提交投标文件的截止时间三日前，将变更时间书面通知所有购买招标文件的投标人，并在财政部门指定的政府采购信息发布媒体上发布变更时间公告</w:t>
            </w:r>
            <w:r>
              <w:rPr>
                <w:rFonts w:hint="eastAsia"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Cs w:val="21"/>
                <w:highlight w:val="none"/>
              </w:rPr>
            </w:pPr>
            <w:r>
              <w:rPr>
                <w:rFonts w:hint="eastAsia" w:ascii="宋体" w:hAnsi="宋体"/>
                <w:szCs w:val="21"/>
                <w:highlight w:val="none"/>
              </w:rPr>
              <w:t>6</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szCs w:val="21"/>
                <w:highlight w:val="none"/>
              </w:rPr>
            </w:pPr>
            <w:r>
              <w:rPr>
                <w:rFonts w:hint="eastAsia" w:ascii="宋体" w:hAnsi="宋体"/>
                <w:b/>
                <w:szCs w:val="21"/>
                <w:highlight w:val="none"/>
              </w:rPr>
              <w:t>投标文件组成</w:t>
            </w:r>
            <w:r>
              <w:rPr>
                <w:rFonts w:hint="eastAsia" w:ascii="宋体" w:hAnsi="宋体"/>
                <w:szCs w:val="21"/>
                <w:highlight w:val="none"/>
              </w:rPr>
              <w:t>：开标一览表</w:t>
            </w:r>
            <w:r>
              <w:rPr>
                <w:rFonts w:hint="eastAsia" w:ascii="宋体" w:hAnsi="宋体" w:cs="Arial"/>
                <w:szCs w:val="21"/>
                <w:highlight w:val="none"/>
              </w:rPr>
              <w:t>一份；资格审查、商务/技术、报价文件</w:t>
            </w:r>
            <w:r>
              <w:rPr>
                <w:rFonts w:hint="eastAsia" w:ascii="宋体" w:hAnsi="宋体"/>
                <w:szCs w:val="21"/>
                <w:highlight w:val="none"/>
              </w:rPr>
              <w:t>正本各</w:t>
            </w:r>
            <w:r>
              <w:rPr>
                <w:rFonts w:hint="eastAsia" w:ascii="宋体" w:hAnsi="宋体" w:cs="Arial"/>
                <w:szCs w:val="21"/>
                <w:highlight w:val="none"/>
              </w:rPr>
              <w:t>一</w:t>
            </w:r>
            <w:r>
              <w:rPr>
                <w:rFonts w:hint="eastAsia" w:ascii="宋体" w:hAnsi="宋体"/>
                <w:szCs w:val="21"/>
                <w:highlight w:val="none"/>
              </w:rPr>
              <w:t>份，副本各</w:t>
            </w:r>
            <w:r>
              <w:rPr>
                <w:rFonts w:hint="eastAsia" w:ascii="宋体" w:hAnsi="宋体" w:cs="Arial"/>
                <w:szCs w:val="21"/>
                <w:highlight w:val="none"/>
              </w:rPr>
              <w:t>四</w:t>
            </w:r>
            <w:r>
              <w:rPr>
                <w:rFonts w:hint="eastAsia" w:ascii="宋体" w:hAnsi="宋体"/>
                <w:szCs w:val="21"/>
                <w:highlight w:val="none"/>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Cs w:val="21"/>
                <w:highlight w:val="none"/>
              </w:rPr>
            </w:pPr>
            <w:r>
              <w:rPr>
                <w:rFonts w:hint="eastAsia" w:ascii="宋体" w:hAnsi="宋体"/>
                <w:szCs w:val="21"/>
                <w:highlight w:val="none"/>
              </w:rPr>
              <w:t>7</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b/>
                <w:color w:val="auto"/>
                <w:szCs w:val="21"/>
                <w:highlight w:val="none"/>
              </w:rPr>
              <w:t>投标截止时间及地点</w:t>
            </w:r>
            <w:r>
              <w:rPr>
                <w:rFonts w:hint="eastAsia" w:ascii="宋体" w:hAnsi="宋体"/>
                <w:color w:val="auto"/>
                <w:szCs w:val="21"/>
                <w:highlight w:val="none"/>
              </w:rPr>
              <w:t>：投标人应于</w:t>
            </w:r>
            <w:r>
              <w:rPr>
                <w:rFonts w:hint="eastAsia" w:ascii="宋体" w:hAnsi="宋体" w:cs="宋体"/>
                <w:bCs/>
                <w:color w:val="auto"/>
                <w:szCs w:val="21"/>
                <w:highlight w:val="none"/>
              </w:rPr>
              <w:t>2020年</w:t>
            </w:r>
            <w:r>
              <w:rPr>
                <w:rFonts w:hint="eastAsia" w:ascii="宋体" w:hAnsi="宋体" w:cs="宋体"/>
                <w:bCs/>
                <w:color w:val="auto"/>
                <w:szCs w:val="21"/>
                <w:highlight w:val="none"/>
                <w:lang w:val="en-US" w:eastAsia="zh-CN"/>
              </w:rPr>
              <w:t>8</w:t>
            </w:r>
            <w:r>
              <w:rPr>
                <w:rFonts w:hint="eastAsia" w:ascii="宋体" w:hAnsi="宋体" w:cs="宋体"/>
                <w:bCs/>
                <w:color w:val="auto"/>
                <w:szCs w:val="21"/>
                <w:highlight w:val="none"/>
              </w:rPr>
              <w:t>月</w:t>
            </w:r>
            <w:r>
              <w:rPr>
                <w:rFonts w:hint="eastAsia" w:ascii="宋体" w:hAnsi="宋体" w:cs="宋体"/>
                <w:bCs/>
                <w:color w:val="auto"/>
                <w:szCs w:val="21"/>
                <w:highlight w:val="none"/>
                <w:lang w:val="en-US" w:eastAsia="zh-CN"/>
              </w:rPr>
              <w:t>13</w:t>
            </w:r>
            <w:r>
              <w:rPr>
                <w:rFonts w:hint="eastAsia" w:ascii="宋体" w:hAnsi="宋体" w:cs="宋体"/>
                <w:bCs/>
                <w:color w:val="auto"/>
                <w:szCs w:val="21"/>
                <w:highlight w:val="none"/>
              </w:rPr>
              <w:t>日</w:t>
            </w:r>
            <w:r>
              <w:rPr>
                <w:rFonts w:hint="eastAsia" w:ascii="宋体" w:hAnsi="宋体" w:cs="宋体"/>
                <w:bCs/>
                <w:color w:val="auto"/>
                <w:szCs w:val="21"/>
                <w:highlight w:val="none"/>
                <w:lang w:val="en-US" w:eastAsia="zh-CN"/>
              </w:rPr>
              <w:t>9</w:t>
            </w:r>
            <w:r>
              <w:rPr>
                <w:rFonts w:hint="eastAsia" w:ascii="宋体" w:hAnsi="宋体" w:cs="宋体"/>
                <w:bCs/>
                <w:color w:val="auto"/>
                <w:szCs w:val="21"/>
                <w:highlight w:val="none"/>
              </w:rPr>
              <w:t>时</w:t>
            </w:r>
            <w:r>
              <w:rPr>
                <w:rFonts w:hint="eastAsia" w:ascii="宋体" w:hAnsi="宋体" w:cs="宋体"/>
                <w:bCs/>
                <w:color w:val="auto"/>
                <w:szCs w:val="21"/>
                <w:highlight w:val="none"/>
                <w:lang w:val="en-US" w:eastAsia="zh-CN"/>
              </w:rPr>
              <w:t>30</w:t>
            </w:r>
            <w:r>
              <w:rPr>
                <w:rFonts w:hint="eastAsia" w:ascii="宋体" w:hAnsi="宋体" w:cs="宋体"/>
                <w:bCs/>
                <w:color w:val="auto"/>
                <w:szCs w:val="21"/>
                <w:highlight w:val="none"/>
              </w:rPr>
              <w:t>分00秒</w:t>
            </w:r>
            <w:r>
              <w:rPr>
                <w:rFonts w:hint="eastAsia" w:ascii="宋体" w:hAnsi="宋体"/>
                <w:color w:val="auto"/>
                <w:szCs w:val="21"/>
                <w:highlight w:val="none"/>
              </w:rPr>
              <w:t>前将投标文件密封送交到</w:t>
            </w:r>
            <w:r>
              <w:rPr>
                <w:rFonts w:hint="eastAsia" w:ascii="宋体" w:hAnsi="宋体" w:cs="宋体"/>
                <w:bCs/>
                <w:color w:val="auto"/>
                <w:szCs w:val="21"/>
                <w:highlight w:val="none"/>
              </w:rPr>
              <w:t>防城</w:t>
            </w:r>
            <w:r>
              <w:rPr>
                <w:rFonts w:hint="eastAsia" w:ascii="宋体" w:hAnsi="宋体" w:cs="宋体"/>
                <w:color w:val="auto"/>
                <w:szCs w:val="21"/>
                <w:highlight w:val="none"/>
                <w:shd w:val="clear" w:color="auto" w:fill="FFFFFF"/>
              </w:rPr>
              <w:t>港市公共资源交易中心开标厅（防城港市迎宾路红树林大厦东</w:t>
            </w:r>
            <w:bookmarkStart w:id="124" w:name="_GoBack"/>
            <w:bookmarkEnd w:id="124"/>
            <w:r>
              <w:rPr>
                <w:rFonts w:hint="eastAsia" w:ascii="宋体" w:hAnsi="宋体" w:cs="宋体"/>
                <w:color w:val="auto"/>
                <w:szCs w:val="21"/>
                <w:highlight w:val="none"/>
                <w:shd w:val="clear" w:color="auto" w:fill="FFFFFF"/>
              </w:rPr>
              <w:t>塔，具体开标室详见6楼电子大屏安排）</w:t>
            </w:r>
            <w:r>
              <w:rPr>
                <w:rFonts w:hint="eastAsia" w:ascii="宋体" w:hAnsi="宋体"/>
                <w:color w:val="auto"/>
                <w:szCs w:val="21"/>
                <w:highlight w:val="none"/>
              </w:rPr>
              <w:t>，逾期送达或未密封将予以拒收（或作无效投标文件处理）。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Cs w:val="21"/>
                <w:highlight w:val="none"/>
              </w:rPr>
            </w:pPr>
            <w:r>
              <w:rPr>
                <w:rFonts w:hint="eastAsia" w:ascii="宋体" w:hAnsi="宋体"/>
                <w:szCs w:val="21"/>
                <w:highlight w:val="none"/>
              </w:rPr>
              <w:t>8</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Arial"/>
                <w:color w:val="auto"/>
                <w:szCs w:val="21"/>
                <w:highlight w:val="none"/>
                <w:u w:val="single"/>
              </w:rPr>
            </w:pPr>
            <w:r>
              <w:rPr>
                <w:rFonts w:hint="eastAsia" w:ascii="宋体" w:hAnsi="宋体"/>
                <w:b/>
                <w:color w:val="auto"/>
                <w:szCs w:val="21"/>
                <w:highlight w:val="none"/>
              </w:rPr>
              <w:t>开标时间及地点</w:t>
            </w:r>
            <w:r>
              <w:rPr>
                <w:rFonts w:hint="eastAsia" w:ascii="宋体" w:hAnsi="宋体"/>
                <w:color w:val="auto"/>
                <w:szCs w:val="21"/>
                <w:highlight w:val="none"/>
              </w:rPr>
              <w:t>：本次招标将于</w:t>
            </w:r>
            <w:r>
              <w:rPr>
                <w:rFonts w:hint="eastAsia" w:ascii="宋体" w:hAnsi="宋体" w:cs="Arial"/>
                <w:bCs/>
                <w:color w:val="auto"/>
                <w:szCs w:val="21"/>
                <w:highlight w:val="none"/>
              </w:rPr>
              <w:t xml:space="preserve"> </w:t>
            </w:r>
            <w:r>
              <w:rPr>
                <w:rFonts w:hint="eastAsia" w:ascii="宋体" w:hAnsi="宋体" w:cs="宋体"/>
                <w:bCs/>
                <w:color w:val="auto"/>
                <w:szCs w:val="21"/>
                <w:highlight w:val="none"/>
              </w:rPr>
              <w:t>2020年</w:t>
            </w:r>
            <w:r>
              <w:rPr>
                <w:rFonts w:hint="eastAsia" w:ascii="宋体" w:hAnsi="宋体" w:cs="宋体"/>
                <w:bCs/>
                <w:color w:val="auto"/>
                <w:szCs w:val="21"/>
                <w:highlight w:val="none"/>
                <w:lang w:val="en-US" w:eastAsia="zh-CN"/>
              </w:rPr>
              <w:t>8</w:t>
            </w:r>
            <w:r>
              <w:rPr>
                <w:rFonts w:hint="eastAsia" w:ascii="宋体" w:hAnsi="宋体" w:cs="宋体"/>
                <w:bCs/>
                <w:color w:val="auto"/>
                <w:szCs w:val="21"/>
                <w:highlight w:val="none"/>
              </w:rPr>
              <w:t>月</w:t>
            </w:r>
            <w:r>
              <w:rPr>
                <w:rFonts w:hint="eastAsia" w:ascii="宋体" w:hAnsi="宋体" w:cs="宋体"/>
                <w:bCs/>
                <w:color w:val="auto"/>
                <w:szCs w:val="21"/>
                <w:highlight w:val="none"/>
                <w:lang w:val="en-US" w:eastAsia="zh-CN"/>
              </w:rPr>
              <w:t>13</w:t>
            </w:r>
            <w:r>
              <w:rPr>
                <w:rFonts w:hint="eastAsia" w:ascii="宋体" w:hAnsi="宋体" w:cs="宋体"/>
                <w:bCs/>
                <w:color w:val="auto"/>
                <w:szCs w:val="21"/>
                <w:highlight w:val="none"/>
              </w:rPr>
              <w:t>日</w:t>
            </w:r>
            <w:r>
              <w:rPr>
                <w:rFonts w:hint="eastAsia" w:ascii="宋体" w:hAnsi="宋体" w:cs="宋体"/>
                <w:bCs/>
                <w:color w:val="auto"/>
                <w:szCs w:val="21"/>
                <w:highlight w:val="none"/>
                <w:lang w:val="en-US" w:eastAsia="zh-CN"/>
              </w:rPr>
              <w:t>9</w:t>
            </w:r>
            <w:r>
              <w:rPr>
                <w:rFonts w:hint="eastAsia" w:ascii="宋体" w:hAnsi="宋体" w:cs="宋体"/>
                <w:bCs/>
                <w:color w:val="auto"/>
                <w:szCs w:val="21"/>
                <w:highlight w:val="none"/>
              </w:rPr>
              <w:t>时</w:t>
            </w:r>
            <w:r>
              <w:rPr>
                <w:rFonts w:hint="eastAsia" w:ascii="宋体" w:hAnsi="宋体" w:cs="宋体"/>
                <w:bCs/>
                <w:color w:val="auto"/>
                <w:szCs w:val="21"/>
                <w:highlight w:val="none"/>
                <w:lang w:val="en-US" w:eastAsia="zh-CN"/>
              </w:rPr>
              <w:t>30</w:t>
            </w:r>
            <w:r>
              <w:rPr>
                <w:rFonts w:hint="eastAsia" w:ascii="宋体" w:hAnsi="宋体" w:cs="宋体"/>
                <w:bCs/>
                <w:color w:val="auto"/>
                <w:szCs w:val="21"/>
                <w:highlight w:val="none"/>
              </w:rPr>
              <w:t>分</w:t>
            </w:r>
            <w:r>
              <w:rPr>
                <w:rFonts w:hint="eastAsia" w:ascii="宋体" w:hAnsi="宋体"/>
                <w:color w:val="auto"/>
                <w:szCs w:val="21"/>
                <w:highlight w:val="none"/>
              </w:rPr>
              <w:t>整在</w:t>
            </w:r>
            <w:r>
              <w:rPr>
                <w:rFonts w:hint="eastAsia" w:ascii="宋体" w:hAnsi="宋体" w:cs="宋体"/>
                <w:bCs/>
                <w:color w:val="auto"/>
                <w:szCs w:val="21"/>
                <w:highlight w:val="none"/>
              </w:rPr>
              <w:t>防城</w:t>
            </w:r>
            <w:r>
              <w:rPr>
                <w:rFonts w:hint="eastAsia" w:ascii="宋体" w:hAnsi="宋体" w:cs="宋体"/>
                <w:color w:val="auto"/>
                <w:szCs w:val="21"/>
                <w:highlight w:val="none"/>
                <w:shd w:val="clear" w:color="auto" w:fill="FFFFFF"/>
              </w:rPr>
              <w:t>港市公共资源交易中心开标厅（防城港市迎宾路红树林大厦东塔，具体开标室详见6楼电子大屏安排）开标</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Cs w:val="21"/>
                <w:highlight w:val="none"/>
              </w:rPr>
            </w:pPr>
            <w:r>
              <w:rPr>
                <w:rFonts w:hint="eastAsia" w:ascii="宋体" w:hAnsi="宋体"/>
                <w:szCs w:val="21"/>
                <w:highlight w:val="none"/>
              </w:rPr>
              <w:t>9</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szCs w:val="21"/>
                <w:highlight w:val="none"/>
              </w:rPr>
            </w:pPr>
            <w:r>
              <w:rPr>
                <w:rFonts w:hint="eastAsia" w:ascii="宋体" w:hAnsi="宋体"/>
                <w:b/>
                <w:szCs w:val="21"/>
                <w:highlight w:val="none"/>
              </w:rPr>
              <w:t>评标办法及评分标准</w:t>
            </w:r>
            <w:r>
              <w:rPr>
                <w:rFonts w:hint="eastAsia" w:ascii="宋体" w:hAnsi="宋体"/>
                <w:szCs w:val="21"/>
                <w:highlight w:val="non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Cs w:val="21"/>
                <w:highlight w:val="none"/>
              </w:rPr>
            </w:pPr>
            <w:r>
              <w:rPr>
                <w:rFonts w:hint="eastAsia" w:ascii="宋体" w:hAnsi="宋体"/>
                <w:szCs w:val="21"/>
                <w:highlight w:val="none"/>
              </w:rPr>
              <w:t>10</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szCs w:val="21"/>
                <w:highlight w:val="none"/>
              </w:rPr>
            </w:pPr>
            <w:r>
              <w:rPr>
                <w:rFonts w:hint="eastAsia" w:ascii="宋体" w:hAnsi="宋体"/>
                <w:b/>
                <w:szCs w:val="21"/>
                <w:highlight w:val="none"/>
              </w:rPr>
              <w:t>中标公告及中标通知书</w:t>
            </w:r>
            <w:r>
              <w:rPr>
                <w:rFonts w:hint="eastAsia" w:ascii="宋体" w:hAnsi="宋体"/>
                <w:szCs w:val="21"/>
                <w:highlight w:val="none"/>
              </w:rPr>
              <w:t>：采购代理机构在采购人依法确认中标人后二个工作日内发布中标公告和</w:t>
            </w:r>
            <w:r>
              <w:rPr>
                <w:rFonts w:hint="eastAsia" w:ascii="宋体" w:hAnsi="宋体" w:cs="Courier New"/>
                <w:szCs w:val="21"/>
                <w:highlight w:val="none"/>
              </w:rPr>
              <w:t>向中标人发出中标通知书</w:t>
            </w:r>
            <w:r>
              <w:rPr>
                <w:rFonts w:hint="eastAsia" w:ascii="宋体" w:hAnsi="宋体"/>
                <w:szCs w:val="21"/>
                <w:highlight w:val="none"/>
              </w:rPr>
              <w:t>，中标公告发布于</w:t>
            </w:r>
            <w:r>
              <w:rPr>
                <w:rFonts w:hint="eastAsia" w:ascii="宋体" w:hAnsi="宋体" w:cs="Courier New"/>
                <w:szCs w:val="21"/>
                <w:highlight w:val="none"/>
              </w:rPr>
              <w:t>财政部门指定的政府采购信息发布媒体</w:t>
            </w:r>
            <w:r>
              <w:rPr>
                <w:rFonts w:hint="eastAsia"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Cs w:val="21"/>
                <w:highlight w:val="none"/>
              </w:rPr>
            </w:pPr>
            <w:r>
              <w:rPr>
                <w:rFonts w:hint="eastAsia" w:ascii="宋体" w:hAnsi="宋体"/>
                <w:szCs w:val="21"/>
                <w:highlight w:val="none"/>
              </w:rPr>
              <w:t>12</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0" w:lineRule="exact"/>
              <w:textAlignment w:val="bottom"/>
              <w:rPr>
                <w:rFonts w:ascii="宋体" w:hAnsi="宋体"/>
                <w:szCs w:val="21"/>
                <w:highlight w:val="none"/>
              </w:rPr>
            </w:pPr>
            <w:r>
              <w:rPr>
                <w:rFonts w:hint="eastAsia" w:ascii="宋体" w:hAnsi="宋体"/>
                <w:b/>
                <w:szCs w:val="21"/>
                <w:highlight w:val="none"/>
              </w:rPr>
              <w:t>履约保证金的收取</w:t>
            </w:r>
            <w:r>
              <w:rPr>
                <w:rFonts w:hint="eastAsia" w:ascii="宋体" w:hAnsi="宋体"/>
                <w:szCs w:val="21"/>
                <w:highlight w:val="none"/>
              </w:rPr>
              <w:t>:按中标金额的</w:t>
            </w:r>
            <w:r>
              <w:rPr>
                <w:rFonts w:hint="eastAsia" w:ascii="宋体" w:hAnsi="宋体"/>
                <w:szCs w:val="21"/>
                <w:highlight w:val="none"/>
                <w:u w:val="single"/>
              </w:rPr>
              <w:t xml:space="preserve"> </w:t>
            </w:r>
            <w:r>
              <w:rPr>
                <w:rFonts w:hint="eastAsia" w:ascii="宋体" w:hAnsi="宋体"/>
                <w:szCs w:val="21"/>
                <w:highlight w:val="none"/>
                <w:u w:val="single"/>
                <w:lang w:val="en-US" w:eastAsia="zh-CN"/>
              </w:rPr>
              <w:t>5</w:t>
            </w:r>
            <w:r>
              <w:rPr>
                <w:rFonts w:hint="eastAsia" w:ascii="宋体" w:hAnsi="宋体"/>
                <w:szCs w:val="21"/>
                <w:highlight w:val="none"/>
                <w:u w:val="single"/>
              </w:rPr>
              <w:t xml:space="preserve"> </w:t>
            </w:r>
            <w:r>
              <w:rPr>
                <w:rFonts w:hint="eastAsia" w:ascii="宋体" w:hAnsi="宋体"/>
                <w:szCs w:val="21"/>
                <w:highlight w:val="none"/>
              </w:rPr>
              <w:t>%计收，由中标人在签订合同前以中标人名义足额缴入采购人账户</w:t>
            </w:r>
            <w:r>
              <w:rPr>
                <w:rFonts w:hint="eastAsia" w:hAnsi="宋体"/>
                <w:highlight w:val="none"/>
              </w:rPr>
              <w:t>，</w:t>
            </w:r>
            <w:r>
              <w:rPr>
                <w:rFonts w:hint="eastAsia" w:ascii="宋体" w:hAnsi="宋体"/>
                <w:szCs w:val="21"/>
                <w:highlight w:val="none"/>
              </w:rPr>
              <w:t>账户如下：</w:t>
            </w:r>
          </w:p>
          <w:p>
            <w:pPr>
              <w:autoSpaceDE w:val="0"/>
              <w:autoSpaceDN w:val="0"/>
              <w:snapToGrid w:val="0"/>
              <w:spacing w:line="320" w:lineRule="exact"/>
              <w:textAlignment w:val="bottom"/>
              <w:rPr>
                <w:rFonts w:ascii="宋体" w:hAnsi="宋体"/>
                <w:szCs w:val="21"/>
                <w:highlight w:val="none"/>
              </w:rPr>
            </w:pPr>
            <w:r>
              <w:rPr>
                <w:rFonts w:hint="eastAsia" w:hAnsi="宋体"/>
                <w:highlight w:val="none"/>
              </w:rPr>
              <w:t xml:space="preserve">  </w:t>
            </w:r>
            <w:r>
              <w:rPr>
                <w:rFonts w:hint="eastAsia" w:ascii="宋体" w:hAnsi="宋体"/>
                <w:szCs w:val="21"/>
                <w:highlight w:val="none"/>
              </w:rPr>
              <w:t xml:space="preserve">开户名称： 防城港市公安局防城区分局 </w:t>
            </w:r>
          </w:p>
          <w:p>
            <w:pPr>
              <w:autoSpaceDE w:val="0"/>
              <w:autoSpaceDN w:val="0"/>
              <w:snapToGrid w:val="0"/>
              <w:spacing w:line="320" w:lineRule="exact"/>
              <w:textAlignment w:val="bottom"/>
              <w:rPr>
                <w:rFonts w:ascii="宋体" w:hAnsi="宋体"/>
                <w:szCs w:val="21"/>
                <w:highlight w:val="none"/>
              </w:rPr>
            </w:pPr>
            <w:r>
              <w:rPr>
                <w:rFonts w:hint="eastAsia" w:ascii="宋体" w:hAnsi="宋体"/>
                <w:szCs w:val="21"/>
                <w:highlight w:val="none"/>
              </w:rPr>
              <w:t xml:space="preserve">  开户银行：中国工商银行防城港防城支行 </w:t>
            </w:r>
          </w:p>
          <w:p>
            <w:pPr>
              <w:autoSpaceDE w:val="0"/>
              <w:autoSpaceDN w:val="0"/>
              <w:snapToGrid w:val="0"/>
              <w:spacing w:line="320" w:lineRule="exact"/>
              <w:textAlignment w:val="bottom"/>
              <w:rPr>
                <w:rFonts w:ascii="宋体" w:hAnsi="宋体"/>
                <w:szCs w:val="21"/>
                <w:highlight w:val="none"/>
              </w:rPr>
            </w:pPr>
            <w:r>
              <w:rPr>
                <w:rFonts w:hint="eastAsia" w:ascii="宋体" w:hAnsi="宋体"/>
                <w:szCs w:val="21"/>
                <w:highlight w:val="none"/>
              </w:rPr>
              <w:t xml:space="preserve">  银行账号：210 7575 0092 6400 0868 </w:t>
            </w:r>
          </w:p>
          <w:p>
            <w:pPr>
              <w:autoSpaceDE w:val="0"/>
              <w:autoSpaceDN w:val="0"/>
              <w:snapToGrid w:val="0"/>
              <w:spacing w:line="400" w:lineRule="exact"/>
              <w:textAlignment w:val="bottom"/>
              <w:rPr>
                <w:rFonts w:ascii="宋体" w:hAnsi="宋体"/>
                <w:szCs w:val="21"/>
                <w:highlight w:val="none"/>
              </w:rPr>
            </w:pPr>
            <w:r>
              <w:rPr>
                <w:rFonts w:hint="eastAsia" w:ascii="宋体" w:hAnsi="宋体"/>
                <w:b/>
                <w:szCs w:val="21"/>
                <w:highlight w:val="none"/>
              </w:rPr>
              <w:t>履约保证金的退还</w:t>
            </w:r>
            <w:r>
              <w:rPr>
                <w:rFonts w:hint="eastAsia" w:ascii="宋体" w:hAnsi="宋体"/>
                <w:szCs w:val="21"/>
                <w:highlight w:val="none"/>
              </w:rPr>
              <w:t>:合同履行完毕由采购人出具证明，自采购人在收到中标人提交的书面申请退付材料（详见附表一）之日起15个工作日内以银行转账方式如数退还（不计利息）。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Cs w:val="21"/>
                <w:highlight w:val="none"/>
              </w:rPr>
            </w:pPr>
            <w:r>
              <w:rPr>
                <w:rFonts w:hint="eastAsia" w:ascii="宋体" w:hAnsi="宋体"/>
                <w:szCs w:val="21"/>
                <w:highlight w:val="none"/>
              </w:rPr>
              <w:t>13</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szCs w:val="21"/>
                <w:highlight w:val="none"/>
              </w:rPr>
            </w:pPr>
            <w:r>
              <w:rPr>
                <w:rFonts w:hint="eastAsia" w:ascii="宋体" w:hAnsi="宋体"/>
                <w:b/>
                <w:szCs w:val="21"/>
                <w:highlight w:val="none"/>
              </w:rPr>
              <w:t>签订合同时间</w:t>
            </w:r>
            <w:r>
              <w:rPr>
                <w:rFonts w:hint="eastAsia" w:ascii="宋体" w:hAnsi="宋体"/>
                <w:szCs w:val="21"/>
                <w:highlight w:val="none"/>
              </w:rPr>
              <w:t>：</w:t>
            </w:r>
            <w:r>
              <w:rPr>
                <w:rFonts w:hint="eastAsia" w:ascii="宋体" w:hAnsi="宋体" w:cs="宋体"/>
                <w:bCs/>
                <w:kern w:val="0"/>
                <w:szCs w:val="21"/>
                <w:highlight w:val="none"/>
              </w:rPr>
              <w:t>自中标通知书发出之日起25日内。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Cs w:val="21"/>
                <w:highlight w:val="none"/>
              </w:rPr>
            </w:pPr>
            <w:r>
              <w:rPr>
                <w:rFonts w:hint="eastAsia" w:ascii="宋体" w:hAnsi="宋体"/>
                <w:szCs w:val="21"/>
                <w:highlight w:val="none"/>
              </w:rPr>
              <w:t>14</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szCs w:val="21"/>
                <w:highlight w:val="none"/>
              </w:rPr>
            </w:pPr>
            <w:r>
              <w:rPr>
                <w:rFonts w:hint="eastAsia" w:ascii="宋体" w:hAnsi="宋体"/>
                <w:b/>
                <w:szCs w:val="21"/>
                <w:highlight w:val="none"/>
              </w:rPr>
              <w:t>采购资金来源</w:t>
            </w:r>
            <w:r>
              <w:rPr>
                <w:rFonts w:hint="eastAsia" w:ascii="宋体" w:hAnsi="宋体"/>
                <w:szCs w:val="21"/>
                <w:highlight w:val="none"/>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Cs w:val="21"/>
                <w:highlight w:val="none"/>
              </w:rPr>
            </w:pPr>
            <w:r>
              <w:rPr>
                <w:rFonts w:hint="eastAsia" w:ascii="宋体" w:hAnsi="宋体"/>
                <w:szCs w:val="21"/>
                <w:highlight w:val="none"/>
              </w:rPr>
              <w:t>15</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Cs w:val="21"/>
                <w:highlight w:val="none"/>
              </w:rPr>
            </w:pPr>
            <w:r>
              <w:rPr>
                <w:rFonts w:hint="eastAsia" w:ascii="宋体" w:hAnsi="宋体"/>
                <w:b/>
                <w:szCs w:val="21"/>
                <w:highlight w:val="none"/>
              </w:rPr>
              <w:t>付款方式</w:t>
            </w:r>
            <w:r>
              <w:rPr>
                <w:rFonts w:hint="eastAsia" w:ascii="宋体" w:hAnsi="宋体"/>
                <w:szCs w:val="21"/>
                <w:highlight w:val="none"/>
              </w:rPr>
              <w:t>：合同签订之日起5个工作日内，甲方向市财政部门提交合同总金额30%的经费请示，付款时间以市财政部门审核通过的时间为准。系统调试安装验收后5个工作日内，甲方向市财政部门提交合同总金额65%的经费请示，付款时间以市财政部门审核通过的时间为准。留存采购合同价的5%作为质保金。质保期（365天）满，乙方于30天内提出申请，甲方使用部门及验收组出具同意返还工程质保金意见书后，甲方5个工作日内向市财政部门提交合同总金额5%的质保金返还请示，付款时间以市财政部门审核通过的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Cs w:val="21"/>
                <w:highlight w:val="none"/>
              </w:rPr>
            </w:pPr>
            <w:r>
              <w:rPr>
                <w:rFonts w:hint="eastAsia" w:ascii="宋体" w:hAnsi="宋体"/>
                <w:szCs w:val="21"/>
                <w:highlight w:val="none"/>
              </w:rPr>
              <w:t>16</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Cs w:val="21"/>
                <w:highlight w:val="none"/>
              </w:rPr>
            </w:pPr>
            <w:r>
              <w:rPr>
                <w:rFonts w:hint="eastAsia" w:ascii="宋体" w:hAnsi="宋体"/>
                <w:b/>
                <w:szCs w:val="21"/>
                <w:highlight w:val="none"/>
              </w:rPr>
              <w:t>投标文件有效期</w:t>
            </w:r>
            <w:r>
              <w:rPr>
                <w:rFonts w:hint="eastAsia" w:ascii="宋体" w:hAnsi="宋体"/>
                <w:szCs w:val="21"/>
                <w:highlight w:val="none"/>
              </w:rPr>
              <w:t>：自投标截止时间之日起</w:t>
            </w:r>
            <w:r>
              <w:rPr>
                <w:rFonts w:hint="eastAsia" w:ascii="宋体" w:hAnsi="宋体"/>
                <w:highlight w:val="none"/>
                <w:u w:val="single"/>
              </w:rPr>
              <w:t>60</w:t>
            </w:r>
            <w:r>
              <w:rPr>
                <w:rFonts w:hint="eastAsia" w:ascii="宋体" w:hAnsi="宋体"/>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Cs w:val="21"/>
                <w:highlight w:val="none"/>
              </w:rPr>
            </w:pPr>
            <w:r>
              <w:rPr>
                <w:rFonts w:hint="eastAsia" w:ascii="宋体" w:hAnsi="宋体"/>
                <w:szCs w:val="21"/>
                <w:highlight w:val="none"/>
              </w:rPr>
              <w:t>17</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Cs w:val="21"/>
                <w:highlight w:val="none"/>
              </w:rPr>
            </w:pPr>
            <w:r>
              <w:rPr>
                <w:rFonts w:hint="eastAsia" w:ascii="宋体" w:hAnsi="宋体"/>
                <w:szCs w:val="21"/>
                <w:highlight w:val="none"/>
              </w:rPr>
              <w:t>解释：本招标文件的解释权属于招标采购单位。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Cs w:val="21"/>
                <w:highlight w:val="none"/>
              </w:rPr>
            </w:pPr>
            <w:r>
              <w:rPr>
                <w:rFonts w:hint="eastAsia" w:ascii="宋体" w:hAnsi="宋体"/>
                <w:szCs w:val="21"/>
                <w:highlight w:val="none"/>
              </w:rPr>
              <w:t>18</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Cs w:val="21"/>
                <w:highlight w:val="none"/>
              </w:rPr>
            </w:pPr>
            <w:r>
              <w:rPr>
                <w:rFonts w:hint="eastAsia" w:ascii="宋体" w:hAnsi="宋体"/>
                <w:szCs w:val="21"/>
                <w:highlight w:val="none"/>
              </w:rPr>
              <w:t>采购预算价（人民币）：叁佰零壹万柒仟玖佰伍拾贰元玖角叁分（¥3017952.93）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Cs w:val="21"/>
                <w:highlight w:val="none"/>
              </w:rPr>
            </w:pPr>
            <w:r>
              <w:rPr>
                <w:rFonts w:hint="eastAsia" w:ascii="宋体" w:hAnsi="宋体"/>
                <w:szCs w:val="21"/>
                <w:highlight w:val="none"/>
              </w:rPr>
              <w:t>19</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s="宋体"/>
                <w:b/>
                <w:szCs w:val="21"/>
                <w:highlight w:val="none"/>
              </w:rPr>
            </w:pPr>
            <w:r>
              <w:rPr>
                <w:rFonts w:hint="eastAsia" w:ascii="宋体" w:hAnsi="宋体" w:cs="宋体"/>
                <w:b/>
                <w:szCs w:val="21"/>
                <w:highlight w:val="none"/>
              </w:rPr>
              <w:t>在对投标人资格审查时进行信用查询</w:t>
            </w:r>
          </w:p>
          <w:p>
            <w:pPr>
              <w:snapToGrid w:val="0"/>
              <w:spacing w:line="320" w:lineRule="exact"/>
              <w:rPr>
                <w:rFonts w:ascii="宋体" w:hAnsi="宋体" w:cs="宋体"/>
                <w:b/>
                <w:szCs w:val="21"/>
                <w:highlight w:val="none"/>
              </w:rPr>
            </w:pPr>
            <w:r>
              <w:rPr>
                <w:rFonts w:hint="eastAsia" w:ascii="宋体" w:hAnsi="宋体" w:cs="宋体"/>
                <w:b/>
                <w:szCs w:val="21"/>
                <w:highlight w:val="none"/>
              </w:rPr>
              <w:t>查询渠道：</w:t>
            </w:r>
            <w:r>
              <w:rPr>
                <w:rFonts w:hint="eastAsia" w:ascii="宋体" w:hAnsi="宋体" w:cs="宋体"/>
                <w:bCs/>
                <w:szCs w:val="21"/>
                <w:highlight w:val="none"/>
              </w:rPr>
              <w:t>“信用中国”网站(www.creditchina.gov.cn)、中国政府采购网(www.ccgp.gov.cn)等</w:t>
            </w:r>
          </w:p>
          <w:p>
            <w:pPr>
              <w:snapToGrid w:val="0"/>
              <w:spacing w:line="320" w:lineRule="exact"/>
              <w:rPr>
                <w:rFonts w:ascii="宋体" w:hAnsi="宋体" w:cs="宋体"/>
                <w:bCs/>
                <w:szCs w:val="21"/>
                <w:highlight w:val="none"/>
              </w:rPr>
            </w:pPr>
            <w:r>
              <w:rPr>
                <w:rFonts w:hint="eastAsia" w:ascii="宋体" w:hAnsi="宋体" w:cs="宋体"/>
                <w:b/>
                <w:szCs w:val="21"/>
                <w:highlight w:val="none"/>
              </w:rPr>
              <w:t>查询时间：</w:t>
            </w:r>
            <w:r>
              <w:rPr>
                <w:rFonts w:hint="eastAsia" w:ascii="宋体" w:hAnsi="宋体" w:cs="宋体"/>
                <w:bCs/>
                <w:szCs w:val="21"/>
                <w:highlight w:val="none"/>
              </w:rPr>
              <w:t>投标截止时间前。</w:t>
            </w:r>
          </w:p>
          <w:p>
            <w:pPr>
              <w:snapToGrid w:val="0"/>
              <w:spacing w:line="320" w:lineRule="exact"/>
              <w:rPr>
                <w:rFonts w:ascii="宋体" w:hAnsi="宋体" w:cs="宋体"/>
                <w:bCs/>
                <w:szCs w:val="21"/>
                <w:highlight w:val="none"/>
              </w:rPr>
            </w:pPr>
            <w:r>
              <w:rPr>
                <w:rFonts w:hint="eastAsia" w:ascii="宋体" w:hAnsi="宋体" w:cs="宋体"/>
                <w:b/>
                <w:szCs w:val="21"/>
                <w:highlight w:val="none"/>
              </w:rPr>
              <w:t>查询记录和证据留存方式：</w:t>
            </w:r>
            <w:r>
              <w:rPr>
                <w:rFonts w:hint="eastAsia" w:ascii="宋体" w:hAnsi="宋体" w:cs="宋体"/>
                <w:bCs/>
                <w:szCs w:val="21"/>
                <w:highlight w:val="none"/>
              </w:rPr>
              <w:t>由投标人在查询网站中直接打印查询记录，并将打印材料装订进投标文件，作为评审资料保存。</w:t>
            </w:r>
          </w:p>
          <w:p>
            <w:pPr>
              <w:snapToGrid w:val="0"/>
              <w:spacing w:line="400" w:lineRule="exact"/>
              <w:rPr>
                <w:rFonts w:ascii="宋体" w:hAnsi="宋体"/>
                <w:szCs w:val="21"/>
                <w:highlight w:val="none"/>
              </w:rPr>
            </w:pPr>
            <w:r>
              <w:rPr>
                <w:rFonts w:hint="eastAsia" w:ascii="宋体" w:hAnsi="宋体" w:cs="宋体"/>
                <w:b/>
                <w:szCs w:val="21"/>
                <w:highlight w:val="none"/>
              </w:rPr>
              <w:t>信用信息使用规则：</w:t>
            </w:r>
            <w:r>
              <w:rPr>
                <w:rFonts w:hint="eastAsia" w:ascii="宋体" w:hAnsi="宋体" w:cs="宋体"/>
                <w:bCs/>
                <w:szCs w:val="21"/>
                <w:highlight w:val="none"/>
              </w:rPr>
              <w:t>对在“信用中国”网站(www.creditchina.gov.cn)、中国政府采购网(www.ccgp.gov.cn)等渠道列入失信被执行人、重大税收违法案件当事人名单、政府采购严重违法失信行为记录名单的供应商，资格审查不通过，不得参与本次采购活动</w:t>
            </w:r>
            <w:r>
              <w:rPr>
                <w:rFonts w:hint="eastAsia" w:ascii="宋体" w:hAnsi="宋体" w:cs="宋体"/>
                <w:szCs w:val="21"/>
                <w:highlight w:val="none"/>
              </w:rPr>
              <w:t>。</w:t>
            </w:r>
          </w:p>
        </w:tc>
      </w:tr>
    </w:tbl>
    <w:p>
      <w:pPr>
        <w:pStyle w:val="22"/>
        <w:snapToGrid w:val="0"/>
        <w:spacing w:before="120" w:after="120" w:line="400" w:lineRule="exact"/>
        <w:rPr>
          <w:rFonts w:hAnsi="宋体"/>
          <w:b/>
          <w:highlight w:val="none"/>
        </w:rPr>
      </w:pPr>
    </w:p>
    <w:p>
      <w:pPr>
        <w:pStyle w:val="22"/>
        <w:snapToGrid w:val="0"/>
        <w:spacing w:before="120" w:after="120" w:line="400" w:lineRule="exact"/>
        <w:rPr>
          <w:rFonts w:hAnsi="宋体"/>
          <w:b/>
          <w:highlight w:val="none"/>
        </w:rPr>
      </w:pPr>
    </w:p>
    <w:p>
      <w:pPr>
        <w:pStyle w:val="22"/>
        <w:snapToGrid w:val="0"/>
        <w:spacing w:before="120" w:after="120" w:line="400" w:lineRule="exact"/>
        <w:rPr>
          <w:rFonts w:hAnsi="宋体"/>
          <w:b/>
          <w:highlight w:val="none"/>
        </w:rPr>
      </w:pPr>
      <w:r>
        <w:rPr>
          <w:rFonts w:hAnsi="宋体"/>
          <w:b/>
          <w:highlight w:val="none"/>
        </w:rPr>
        <w:br w:type="page"/>
      </w:r>
      <w:r>
        <w:rPr>
          <w:rFonts w:hint="eastAsia" w:hAnsi="宋体"/>
          <w:b/>
          <w:highlight w:val="none"/>
        </w:rPr>
        <w:t xml:space="preserve">                                   一、总  则</w:t>
      </w:r>
    </w:p>
    <w:p>
      <w:pPr>
        <w:snapToGrid w:val="0"/>
        <w:spacing w:line="400" w:lineRule="exact"/>
        <w:ind w:firstLine="413" w:firstLineChars="196"/>
        <w:jc w:val="left"/>
        <w:outlineLvl w:val="1"/>
        <w:rPr>
          <w:rFonts w:ascii="宋体" w:hAnsi="宋体"/>
          <w:b/>
          <w:szCs w:val="21"/>
          <w:highlight w:val="none"/>
        </w:rPr>
      </w:pPr>
      <w:bookmarkStart w:id="13" w:name="_Toc254970527"/>
      <w:bookmarkStart w:id="14" w:name="_Toc254970668"/>
      <w:bookmarkStart w:id="15" w:name="_Toc430110130"/>
      <w:r>
        <w:rPr>
          <w:rFonts w:hint="eastAsia" w:ascii="宋体" w:hAnsi="宋体"/>
          <w:b/>
          <w:szCs w:val="21"/>
          <w:highlight w:val="none"/>
        </w:rPr>
        <w:t>（一） 适用范围</w:t>
      </w:r>
      <w:bookmarkEnd w:id="13"/>
      <w:bookmarkEnd w:id="14"/>
      <w:bookmarkEnd w:id="15"/>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本招标文件适用于</w:t>
      </w:r>
      <w:r>
        <w:rPr>
          <w:rFonts w:hint="eastAsia" w:ascii="宋体"/>
          <w:highlight w:val="none"/>
        </w:rPr>
        <w:t>防城港市公安局防城分局</w:t>
      </w:r>
      <w:r>
        <w:rPr>
          <w:rFonts w:hint="eastAsia" w:ascii="宋体"/>
          <w:szCs w:val="21"/>
          <w:highlight w:val="none"/>
        </w:rPr>
        <w:t xml:space="preserve">防城港市防城区边境智能化卡口云建设项目采购 </w:t>
      </w:r>
      <w:r>
        <w:rPr>
          <w:rFonts w:hint="eastAsia" w:ascii="宋体" w:hAnsi="宋体"/>
          <w:szCs w:val="21"/>
          <w:highlight w:val="none"/>
        </w:rPr>
        <w:t>的招标、投标、评标、定标、验收、合同履约、付款等行为，法律、法规另有规定的，从其规定。</w:t>
      </w:r>
    </w:p>
    <w:p>
      <w:pPr>
        <w:snapToGrid w:val="0"/>
        <w:spacing w:before="120" w:beforeLines="50" w:line="400" w:lineRule="exact"/>
        <w:ind w:firstLine="310" w:firstLineChars="147"/>
        <w:jc w:val="left"/>
        <w:outlineLvl w:val="1"/>
        <w:rPr>
          <w:rFonts w:ascii="宋体" w:hAnsi="宋体"/>
          <w:b/>
          <w:szCs w:val="21"/>
          <w:highlight w:val="none"/>
        </w:rPr>
      </w:pPr>
      <w:bookmarkStart w:id="16" w:name="_Toc254970669"/>
      <w:bookmarkStart w:id="17" w:name="_Toc430110131"/>
      <w:bookmarkStart w:id="18" w:name="_Toc254970528"/>
      <w:r>
        <w:rPr>
          <w:rFonts w:hint="eastAsia" w:ascii="宋体" w:hAnsi="宋体"/>
          <w:b/>
          <w:szCs w:val="21"/>
          <w:highlight w:val="none"/>
        </w:rPr>
        <w:t>（二）定义</w:t>
      </w:r>
      <w:bookmarkEnd w:id="16"/>
      <w:bookmarkEnd w:id="17"/>
      <w:bookmarkEnd w:id="18"/>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1.“招标采购单位”系指组织本次招标的采购人及采购代理机构。</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2.“投标人”系指向招标方提交投标文件的单位或自然人。</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3.“服务”系指招标项目采购内容的所有服务以及其他相关的义务。</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4.“项目”系指投标人按招标文件规定向采购人提供的服务。</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5.“书面形式”包括信函、传真、电报等。</w:t>
      </w:r>
    </w:p>
    <w:p>
      <w:pPr>
        <w:snapToGrid w:val="0"/>
        <w:spacing w:line="400" w:lineRule="exact"/>
        <w:ind w:firstLine="420" w:firstLineChars="200"/>
        <w:jc w:val="left"/>
        <w:rPr>
          <w:rFonts w:ascii="宋体" w:hAnsi="宋体"/>
          <w:szCs w:val="21"/>
          <w:highlight w:val="none"/>
        </w:rPr>
      </w:pPr>
      <w:bookmarkStart w:id="19" w:name="_Toc254970670"/>
      <w:bookmarkStart w:id="20" w:name="_Toc254970529"/>
      <w:bookmarkStart w:id="21" w:name="_Toc430110132"/>
      <w:r>
        <w:rPr>
          <w:rFonts w:hint="eastAsia" w:ascii="宋体" w:hAnsi="宋体"/>
          <w:szCs w:val="21"/>
          <w:highlight w:val="none"/>
        </w:rPr>
        <w:t>6.“▲”系指实质性要求条款。</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8.“ 投标人公章”系指投标人</w:t>
      </w:r>
      <w:r>
        <w:rPr>
          <w:rFonts w:ascii="宋体" w:hAnsi="宋体"/>
          <w:szCs w:val="21"/>
          <w:highlight w:val="none"/>
        </w:rPr>
        <w:t>用自己法定主体行为名称制作的签名印章</w:t>
      </w:r>
      <w:r>
        <w:rPr>
          <w:rFonts w:hint="eastAsia" w:ascii="宋体" w:hAnsi="宋体"/>
          <w:szCs w:val="21"/>
          <w:highlight w:val="none"/>
        </w:rPr>
        <w:t>，不包含专用章。</w:t>
      </w:r>
    </w:p>
    <w:p>
      <w:pPr>
        <w:widowControl/>
        <w:spacing w:line="400" w:lineRule="exact"/>
        <w:ind w:firstLine="420" w:firstLineChars="200"/>
        <w:jc w:val="left"/>
        <w:rPr>
          <w:rFonts w:ascii="宋体" w:hAnsi="宋体"/>
          <w:szCs w:val="21"/>
          <w:highlight w:val="none"/>
        </w:rPr>
      </w:pPr>
      <w:r>
        <w:rPr>
          <w:rFonts w:hint="eastAsia" w:ascii="宋体" w:hAnsi="宋体"/>
          <w:szCs w:val="21"/>
          <w:highlight w:val="none"/>
        </w:rPr>
        <w:t>9．财政部门指定的政府采购信息发布媒体：中国政府采购网（http://www.ccgp.gov.cn）、广西壮族自治区政府采购网（http://zfcg.gxzf.gov.cn/）、广西防城港政府采购网站（http://zfcg.fcgs.gov.cn）、防城港市公共资源交易中心网（www.fcgggzy.cn）。</w:t>
      </w:r>
    </w:p>
    <w:p>
      <w:pPr>
        <w:snapToGrid w:val="0"/>
        <w:spacing w:before="120" w:beforeLines="50" w:line="400" w:lineRule="exact"/>
        <w:ind w:firstLine="358" w:firstLineChars="170"/>
        <w:jc w:val="left"/>
        <w:outlineLvl w:val="1"/>
        <w:rPr>
          <w:rFonts w:ascii="宋体" w:hAnsi="宋体"/>
          <w:b/>
          <w:szCs w:val="21"/>
          <w:highlight w:val="none"/>
        </w:rPr>
      </w:pPr>
      <w:r>
        <w:rPr>
          <w:rFonts w:hint="eastAsia" w:ascii="宋体" w:hAnsi="宋体"/>
          <w:b/>
          <w:szCs w:val="21"/>
          <w:highlight w:val="none"/>
        </w:rPr>
        <w:t>（三）招标方式</w:t>
      </w:r>
      <w:bookmarkEnd w:id="19"/>
      <w:bookmarkEnd w:id="20"/>
      <w:bookmarkEnd w:id="21"/>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公开招标。</w:t>
      </w:r>
    </w:p>
    <w:p>
      <w:pPr>
        <w:snapToGrid w:val="0"/>
        <w:spacing w:before="120" w:beforeLines="50" w:line="400" w:lineRule="exact"/>
        <w:ind w:firstLine="413" w:firstLineChars="196"/>
        <w:jc w:val="left"/>
        <w:outlineLvl w:val="1"/>
        <w:rPr>
          <w:rFonts w:ascii="宋体" w:hAnsi="宋体"/>
          <w:b/>
          <w:szCs w:val="21"/>
          <w:highlight w:val="none"/>
        </w:rPr>
      </w:pPr>
      <w:bookmarkStart w:id="22" w:name="_Toc430110133"/>
      <w:bookmarkStart w:id="23" w:name="_Toc254970530"/>
      <w:bookmarkStart w:id="24" w:name="_Toc254970671"/>
      <w:r>
        <w:rPr>
          <w:rFonts w:hint="eastAsia" w:ascii="宋体" w:hAnsi="宋体"/>
          <w:b/>
          <w:szCs w:val="21"/>
          <w:highlight w:val="none"/>
        </w:rPr>
        <w:t>（四）投标委托</w:t>
      </w:r>
      <w:bookmarkEnd w:id="22"/>
      <w:bookmarkEnd w:id="23"/>
      <w:bookmarkEnd w:id="24"/>
    </w:p>
    <w:p>
      <w:pPr>
        <w:pStyle w:val="19"/>
        <w:snapToGrid w:val="0"/>
        <w:spacing w:line="400" w:lineRule="exact"/>
        <w:ind w:firstLine="420" w:firstLineChars="200"/>
        <w:jc w:val="left"/>
        <w:rPr>
          <w:rFonts w:ascii="宋体" w:hAnsi="宋体" w:eastAsia="宋体"/>
          <w:sz w:val="21"/>
          <w:szCs w:val="21"/>
          <w:highlight w:val="none"/>
        </w:rPr>
      </w:pPr>
      <w:r>
        <w:rPr>
          <w:rFonts w:hint="eastAsia" w:ascii="宋体" w:hAnsi="宋体" w:eastAsia="宋体"/>
          <w:sz w:val="21"/>
          <w:szCs w:val="21"/>
          <w:highlight w:val="none"/>
        </w:rPr>
        <w:t>投标人代表须携带有效身份证件出席开标会。如投标人代表不是法定代表人（负责人），须有法定代表人（负责人）出具的授权委托书（正本用原件，副本用复印件，格式见第六章）。</w:t>
      </w:r>
    </w:p>
    <w:p>
      <w:pPr>
        <w:snapToGrid w:val="0"/>
        <w:spacing w:before="120" w:beforeLines="50" w:line="400" w:lineRule="exact"/>
        <w:ind w:firstLine="413" w:firstLineChars="196"/>
        <w:jc w:val="left"/>
        <w:outlineLvl w:val="1"/>
        <w:rPr>
          <w:rFonts w:ascii="宋体" w:hAnsi="宋体"/>
          <w:b/>
          <w:szCs w:val="21"/>
          <w:highlight w:val="none"/>
        </w:rPr>
      </w:pPr>
      <w:bookmarkStart w:id="25" w:name="_Toc254970672"/>
      <w:bookmarkStart w:id="26" w:name="_Toc430110134"/>
      <w:bookmarkStart w:id="27" w:name="_Toc254970531"/>
      <w:r>
        <w:rPr>
          <w:rFonts w:hint="eastAsia" w:ascii="宋体" w:hAnsi="宋体"/>
          <w:b/>
          <w:szCs w:val="21"/>
          <w:highlight w:val="none"/>
        </w:rPr>
        <w:t>（五）投标费用</w:t>
      </w:r>
      <w:bookmarkEnd w:id="25"/>
      <w:bookmarkEnd w:id="26"/>
      <w:bookmarkEnd w:id="27"/>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投标人均应自行承担所有与投标有关的全部费用（招标文件有相关的规定除外）。</w:t>
      </w:r>
    </w:p>
    <w:p>
      <w:pPr>
        <w:snapToGrid w:val="0"/>
        <w:spacing w:before="120" w:beforeLines="50" w:line="400" w:lineRule="exact"/>
        <w:ind w:firstLine="413" w:firstLineChars="196"/>
        <w:jc w:val="left"/>
        <w:rPr>
          <w:rFonts w:ascii="宋体" w:hAnsi="宋体"/>
          <w:b/>
          <w:szCs w:val="21"/>
          <w:highlight w:val="none"/>
        </w:rPr>
      </w:pPr>
      <w:r>
        <w:rPr>
          <w:rFonts w:hint="eastAsia" w:ascii="宋体" w:hAnsi="宋体"/>
          <w:b/>
          <w:szCs w:val="21"/>
          <w:highlight w:val="none"/>
        </w:rPr>
        <w:t>（六）联合体投标</w:t>
      </w:r>
    </w:p>
    <w:p>
      <w:pPr>
        <w:snapToGrid w:val="0"/>
        <w:spacing w:before="120" w:beforeLines="50" w:line="400" w:lineRule="exact"/>
        <w:ind w:firstLine="411" w:firstLineChars="196"/>
        <w:rPr>
          <w:rFonts w:ascii="宋体" w:hAnsi="宋体"/>
          <w:szCs w:val="21"/>
          <w:highlight w:val="none"/>
        </w:rPr>
      </w:pPr>
      <w:r>
        <w:rPr>
          <w:rFonts w:hint="eastAsia" w:ascii="宋体" w:hAnsi="宋体"/>
          <w:szCs w:val="21"/>
          <w:highlight w:val="none"/>
        </w:rPr>
        <w:t>本项目不接受联合体投标。</w:t>
      </w:r>
    </w:p>
    <w:p>
      <w:pPr>
        <w:snapToGrid w:val="0"/>
        <w:spacing w:before="120" w:beforeLines="50" w:line="400" w:lineRule="exact"/>
        <w:ind w:firstLine="413" w:firstLineChars="196"/>
        <w:rPr>
          <w:rFonts w:ascii="宋体" w:hAnsi="宋体" w:cs="宋体"/>
          <w:b/>
          <w:kern w:val="0"/>
          <w:szCs w:val="21"/>
          <w:highlight w:val="none"/>
        </w:rPr>
      </w:pPr>
      <w:r>
        <w:rPr>
          <w:rFonts w:hint="eastAsia" w:ascii="宋体" w:hAnsi="宋体"/>
          <w:b/>
          <w:szCs w:val="21"/>
          <w:highlight w:val="none"/>
        </w:rPr>
        <w:t>（七）</w:t>
      </w:r>
      <w:r>
        <w:rPr>
          <w:rFonts w:hint="eastAsia" w:ascii="宋体" w:hAnsi="宋体" w:cs="宋体"/>
          <w:b/>
          <w:kern w:val="0"/>
          <w:szCs w:val="21"/>
          <w:highlight w:val="none"/>
        </w:rPr>
        <w:t xml:space="preserve">转包与分包             </w:t>
      </w:r>
    </w:p>
    <w:p>
      <w:pPr>
        <w:snapToGrid w:val="0"/>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1.本项目不允许转包。</w:t>
      </w:r>
    </w:p>
    <w:p>
      <w:pPr>
        <w:snapToGrid w:val="0"/>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2.本项目不可以分包。</w:t>
      </w:r>
    </w:p>
    <w:p>
      <w:pPr>
        <w:snapToGrid w:val="0"/>
        <w:spacing w:before="120" w:beforeLines="50" w:line="400" w:lineRule="exact"/>
        <w:ind w:firstLine="413" w:firstLineChars="196"/>
        <w:jc w:val="left"/>
        <w:outlineLvl w:val="1"/>
        <w:rPr>
          <w:rFonts w:ascii="宋体" w:hAnsi="宋体"/>
          <w:b/>
          <w:szCs w:val="21"/>
          <w:highlight w:val="none"/>
        </w:rPr>
      </w:pPr>
      <w:bookmarkStart w:id="28" w:name="_Toc254970673"/>
      <w:bookmarkStart w:id="29" w:name="_Toc430110135"/>
      <w:bookmarkStart w:id="30" w:name="_Toc254970532"/>
      <w:r>
        <w:rPr>
          <w:rFonts w:hint="eastAsia" w:ascii="宋体" w:hAnsi="宋体"/>
          <w:b/>
          <w:szCs w:val="21"/>
          <w:highlight w:val="none"/>
        </w:rPr>
        <w:t>（八）特别说明：</w:t>
      </w:r>
      <w:bookmarkEnd w:id="28"/>
      <w:bookmarkEnd w:id="29"/>
      <w:bookmarkEnd w:id="30"/>
    </w:p>
    <w:p>
      <w:pPr>
        <w:widowControl/>
        <w:spacing w:line="400" w:lineRule="exact"/>
        <w:ind w:firstLine="420" w:firstLineChars="200"/>
        <w:jc w:val="left"/>
        <w:rPr>
          <w:rFonts w:ascii="宋体" w:hAnsi="宋体"/>
          <w:szCs w:val="21"/>
          <w:highlight w:val="none"/>
        </w:rPr>
      </w:pPr>
      <w:r>
        <w:rPr>
          <w:rFonts w:hint="eastAsia" w:ascii="宋体" w:hAnsi="宋体"/>
          <w:szCs w:val="21"/>
          <w:highlight w:val="none"/>
        </w:rPr>
        <w:t>▲1.投标人投标所使用的资格、信誉、荣誉、业绩与企业认证必须为本法人所拥有。投标人投标所使用的采购项目实施人员必须为本法人员工（或必须为本法人或控股公司正式员工）。</w:t>
      </w:r>
    </w:p>
    <w:p>
      <w:pPr>
        <w:pStyle w:val="22"/>
        <w:snapToGrid w:val="0"/>
        <w:spacing w:line="400" w:lineRule="exact"/>
        <w:ind w:left="2" w:leftChars="1" w:firstLine="400" w:firstLineChars="200"/>
        <w:rPr>
          <w:rFonts w:hAnsi="宋体"/>
          <w:sz w:val="21"/>
          <w:highlight w:val="none"/>
        </w:rPr>
      </w:pPr>
      <w:r>
        <w:rPr>
          <w:rFonts w:hint="eastAsia" w:hAnsi="宋体"/>
          <w:highlight w:val="none"/>
        </w:rPr>
        <w:t>▲</w:t>
      </w:r>
      <w:r>
        <w:rPr>
          <w:rFonts w:hint="eastAsia" w:hAnsi="宋体"/>
          <w:sz w:val="21"/>
          <w:highlight w:val="none"/>
        </w:rPr>
        <w:t>2.投标人应仔细阅读招标文件的所有内容，按照招标文件的要求提交投标文件，并对所提供的全部资料的真实性承担法律责任。</w:t>
      </w:r>
    </w:p>
    <w:p>
      <w:pPr>
        <w:pStyle w:val="22"/>
        <w:snapToGrid w:val="0"/>
        <w:spacing w:line="400" w:lineRule="exact"/>
        <w:ind w:left="2" w:leftChars="1" w:firstLine="400" w:firstLineChars="200"/>
        <w:rPr>
          <w:rFonts w:hAnsi="宋体"/>
          <w:b/>
          <w:sz w:val="21"/>
          <w:highlight w:val="none"/>
        </w:rPr>
      </w:pPr>
      <w:r>
        <w:rPr>
          <w:rFonts w:hint="eastAsia" w:hAnsi="宋体"/>
          <w:highlight w:val="none"/>
        </w:rPr>
        <w:t>▲</w:t>
      </w:r>
      <w:r>
        <w:rPr>
          <w:rFonts w:hint="eastAsia" w:hAnsi="宋体"/>
          <w:sz w:val="21"/>
          <w:highlight w:val="none"/>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2"/>
        <w:snapToGrid w:val="0"/>
        <w:spacing w:line="400" w:lineRule="exact"/>
        <w:ind w:firstLine="413" w:firstLineChars="196"/>
        <w:outlineLvl w:val="1"/>
        <w:rPr>
          <w:rFonts w:hAnsi="宋体"/>
          <w:b/>
          <w:bCs/>
          <w:sz w:val="21"/>
          <w:highlight w:val="none"/>
        </w:rPr>
      </w:pPr>
      <w:bookmarkStart w:id="31" w:name="_Toc430110136"/>
      <w:bookmarkStart w:id="32" w:name="_Toc254970533"/>
      <w:bookmarkStart w:id="33" w:name="_Toc254970674"/>
      <w:r>
        <w:rPr>
          <w:rFonts w:hint="eastAsia" w:hAnsi="宋体"/>
          <w:b/>
          <w:bCs/>
          <w:sz w:val="21"/>
          <w:highlight w:val="none"/>
        </w:rPr>
        <w:t>（九）质疑和投诉</w:t>
      </w:r>
      <w:bookmarkEnd w:id="31"/>
      <w:bookmarkEnd w:id="32"/>
      <w:bookmarkEnd w:id="33"/>
    </w:p>
    <w:p>
      <w:pPr>
        <w:pStyle w:val="22"/>
        <w:snapToGrid w:val="0"/>
        <w:spacing w:line="400" w:lineRule="exact"/>
        <w:ind w:firstLine="420" w:firstLineChars="200"/>
        <w:rPr>
          <w:rFonts w:hAnsi="宋体"/>
          <w:bCs/>
          <w:sz w:val="21"/>
          <w:highlight w:val="none"/>
        </w:rPr>
      </w:pPr>
      <w:r>
        <w:rPr>
          <w:rFonts w:hint="eastAsia" w:hAnsi="宋体"/>
          <w:bCs/>
          <w:sz w:val="21"/>
          <w:highlight w:val="none"/>
        </w:rPr>
        <w:t>1.投标人认为招标过程或中标结果使自己的合法权益受到损害的，应当在知道或者应知其权益受到损害之日起七个工作日内，以书面形式向采购人、采购代理机构提出质疑。</w:t>
      </w:r>
      <w:r>
        <w:rPr>
          <w:rFonts w:hint="eastAsia" w:hAnsi="宋体"/>
          <w:sz w:val="21"/>
          <w:highlight w:val="none"/>
        </w:rPr>
        <w:t>投标人对招标采购单位的质疑答复不满意或者招标采购单位未在规定时间内作出答复的，可以在答复期满后十五个工作日内向同级政府采购监管部门投诉。</w:t>
      </w:r>
    </w:p>
    <w:p>
      <w:pPr>
        <w:pStyle w:val="22"/>
        <w:snapToGrid w:val="0"/>
        <w:spacing w:line="400" w:lineRule="exact"/>
        <w:ind w:firstLine="420" w:firstLineChars="200"/>
        <w:rPr>
          <w:rFonts w:hAnsi="宋体"/>
          <w:bCs/>
          <w:sz w:val="21"/>
          <w:highlight w:val="none"/>
        </w:rPr>
      </w:pPr>
      <w:r>
        <w:rPr>
          <w:rFonts w:hint="eastAsia" w:hAnsi="宋体"/>
          <w:bCs/>
          <w:sz w:val="21"/>
          <w:highlight w:val="none"/>
        </w:rPr>
        <w:t>2.质疑、投诉应当采用书面形式，质疑书、投诉书均应明确阐述招标过程或中标结果中使自己合法权益受到损害的实质性内容，提供相关事实、依据和证据及其来源或线索，便于有关单位调查、答复和处理。</w:t>
      </w:r>
    </w:p>
    <w:p>
      <w:pPr>
        <w:pStyle w:val="22"/>
        <w:snapToGrid w:val="0"/>
        <w:spacing w:line="400" w:lineRule="exact"/>
        <w:ind w:firstLine="413" w:firstLineChars="196"/>
        <w:outlineLvl w:val="1"/>
        <w:rPr>
          <w:rFonts w:hAnsi="宋体"/>
          <w:b/>
          <w:bCs/>
          <w:sz w:val="21"/>
          <w:highlight w:val="none"/>
        </w:rPr>
      </w:pPr>
      <w:r>
        <w:rPr>
          <w:rFonts w:hint="eastAsia" w:hAnsi="宋体"/>
          <w:b/>
          <w:bCs/>
          <w:sz w:val="21"/>
          <w:highlight w:val="none"/>
        </w:rPr>
        <w:t>3. 投标人认为招标文件使自己的合法权益受到损害的，按“二、招标文件（三）招标文件的澄清与修改第一条款” 执行。</w:t>
      </w:r>
    </w:p>
    <w:p>
      <w:pPr>
        <w:pStyle w:val="22"/>
        <w:snapToGrid w:val="0"/>
        <w:spacing w:line="400" w:lineRule="exact"/>
        <w:ind w:firstLine="413" w:firstLineChars="196"/>
        <w:outlineLvl w:val="0"/>
        <w:rPr>
          <w:rFonts w:hAnsi="宋体"/>
          <w:b/>
          <w:sz w:val="21"/>
          <w:highlight w:val="none"/>
        </w:rPr>
      </w:pPr>
      <w:bookmarkStart w:id="34" w:name="_Toc430110263"/>
      <w:bookmarkStart w:id="35" w:name="_Toc254970675"/>
      <w:bookmarkStart w:id="36" w:name="_Toc430110137"/>
      <w:bookmarkStart w:id="37" w:name="_Toc430109945"/>
      <w:bookmarkStart w:id="38" w:name="_Toc254970534"/>
      <w:r>
        <w:rPr>
          <w:rFonts w:hint="eastAsia" w:hAnsi="宋体"/>
          <w:b/>
          <w:sz w:val="21"/>
          <w:highlight w:val="none"/>
        </w:rPr>
        <w:t>二、招标文件</w:t>
      </w:r>
      <w:bookmarkEnd w:id="34"/>
      <w:bookmarkEnd w:id="35"/>
      <w:bookmarkEnd w:id="36"/>
      <w:bookmarkEnd w:id="37"/>
      <w:bookmarkEnd w:id="38"/>
    </w:p>
    <w:p>
      <w:pPr>
        <w:snapToGrid w:val="0"/>
        <w:spacing w:line="400" w:lineRule="exact"/>
        <w:ind w:firstLine="413" w:firstLineChars="196"/>
        <w:jc w:val="left"/>
        <w:rPr>
          <w:rFonts w:ascii="宋体" w:hAnsi="宋体"/>
          <w:b/>
          <w:szCs w:val="21"/>
          <w:highlight w:val="none"/>
        </w:rPr>
      </w:pPr>
      <w:r>
        <w:rPr>
          <w:rFonts w:hint="eastAsia" w:ascii="宋体" w:hAnsi="宋体"/>
          <w:b/>
          <w:szCs w:val="21"/>
          <w:highlight w:val="none"/>
        </w:rPr>
        <w:t>（一）招标文件的构成。本招标文件由以下部份组成：</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1.招标公告；</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2.投标人须知；</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3.评标办法及标准；</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4.合同主要条款；</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5.招标需求；</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6.投标文件格式。</w:t>
      </w:r>
    </w:p>
    <w:p>
      <w:pPr>
        <w:snapToGrid w:val="0"/>
        <w:spacing w:before="120" w:beforeLines="50" w:line="400" w:lineRule="exact"/>
        <w:ind w:firstLine="413" w:firstLineChars="196"/>
        <w:jc w:val="left"/>
        <w:rPr>
          <w:rFonts w:ascii="宋体" w:hAnsi="宋体"/>
          <w:b/>
          <w:szCs w:val="21"/>
          <w:highlight w:val="none"/>
        </w:rPr>
      </w:pPr>
      <w:r>
        <w:rPr>
          <w:rFonts w:hint="eastAsia" w:ascii="宋体" w:hAnsi="宋体"/>
          <w:b/>
          <w:szCs w:val="21"/>
          <w:highlight w:val="none"/>
        </w:rPr>
        <w:t>（二）投标人的风险</w:t>
      </w:r>
    </w:p>
    <w:p>
      <w:pPr>
        <w:pStyle w:val="22"/>
        <w:snapToGrid w:val="0"/>
        <w:spacing w:line="400" w:lineRule="exact"/>
        <w:ind w:firstLine="420" w:firstLineChars="200"/>
        <w:rPr>
          <w:rFonts w:hAnsi="宋体"/>
          <w:sz w:val="21"/>
          <w:highlight w:val="none"/>
        </w:rPr>
      </w:pPr>
      <w:r>
        <w:rPr>
          <w:rFonts w:hint="eastAsia" w:hAnsi="宋体"/>
          <w:sz w:val="21"/>
          <w:highlight w:val="none"/>
        </w:rPr>
        <w:t>投标人没有按照招标文件要求提供全部资料，或者投标人没有对招标文件在各方面作出实质性响应是投标人的风险，并可能导致其投标被拒绝。</w:t>
      </w:r>
    </w:p>
    <w:p>
      <w:pPr>
        <w:pStyle w:val="13"/>
        <w:widowControl w:val="0"/>
        <w:tabs>
          <w:tab w:val="clear" w:pos="454"/>
        </w:tabs>
        <w:snapToGrid w:val="0"/>
        <w:spacing w:before="120" w:beforeLines="50" w:afterLines="0" w:line="400" w:lineRule="exact"/>
        <w:ind w:left="0" w:firstLine="413" w:firstLineChars="196"/>
        <w:rPr>
          <w:rFonts w:ascii="宋体" w:hAnsi="宋体"/>
          <w:b/>
          <w:sz w:val="21"/>
          <w:szCs w:val="21"/>
          <w:highlight w:val="none"/>
        </w:rPr>
      </w:pPr>
      <w:r>
        <w:rPr>
          <w:rFonts w:hint="eastAsia" w:ascii="宋体" w:hAnsi="宋体"/>
          <w:b/>
          <w:sz w:val="21"/>
          <w:szCs w:val="21"/>
          <w:highlight w:val="none"/>
        </w:rPr>
        <w:t xml:space="preserve">（三）招标文件的澄清与修改 </w:t>
      </w:r>
    </w:p>
    <w:p>
      <w:pPr>
        <w:pStyle w:val="22"/>
        <w:snapToGrid w:val="0"/>
        <w:spacing w:line="400" w:lineRule="exact"/>
        <w:ind w:firstLine="420" w:firstLineChars="200"/>
        <w:rPr>
          <w:rFonts w:hAnsi="宋体"/>
          <w:b/>
          <w:sz w:val="21"/>
          <w:highlight w:val="none"/>
        </w:rPr>
      </w:pPr>
      <w:r>
        <w:rPr>
          <w:rFonts w:hint="eastAsia" w:hAnsi="宋体"/>
          <w:sz w:val="21"/>
          <w:highlight w:val="none"/>
        </w:rPr>
        <w:t>1.</w:t>
      </w:r>
      <w:r>
        <w:rPr>
          <w:rFonts w:hint="eastAsia" w:hAnsi="宋体"/>
          <w:bCs/>
          <w:sz w:val="21"/>
          <w:highlight w:val="none"/>
        </w:rPr>
        <w:t>投标人应认真阅读本招标文件，发现其中有误或有不合理要求的，投标人须根据【中华人民共和国财政部令第94号《政府采购质疑和投诉办法》】规定</w:t>
      </w:r>
      <w:r>
        <w:rPr>
          <w:rFonts w:hint="eastAsia" w:hAnsi="宋体"/>
          <w:sz w:val="21"/>
          <w:highlight w:val="none"/>
        </w:rPr>
        <w:t>以书面形式向采购人或采购代理机构提出质疑</w:t>
      </w:r>
      <w:r>
        <w:rPr>
          <w:rFonts w:hint="eastAsia" w:hAnsi="宋体"/>
          <w:bCs/>
          <w:sz w:val="21"/>
          <w:highlight w:val="none"/>
        </w:rPr>
        <w:t>或疑问</w:t>
      </w:r>
      <w:r>
        <w:rPr>
          <w:rFonts w:hint="eastAsia" w:hAnsi="宋体"/>
          <w:sz w:val="21"/>
          <w:highlight w:val="none"/>
        </w:rPr>
        <w:t>，</w:t>
      </w:r>
      <w:r>
        <w:rPr>
          <w:rFonts w:hint="eastAsia" w:hAnsi="宋体"/>
          <w:bCs/>
          <w:sz w:val="21"/>
          <w:highlight w:val="none"/>
        </w:rPr>
        <w:t>送达</w:t>
      </w:r>
      <w:r>
        <w:rPr>
          <w:rFonts w:hint="eastAsia" w:hAnsi="宋体"/>
          <w:sz w:val="21"/>
          <w:highlight w:val="none"/>
        </w:rPr>
        <w:t>采购人或采购代理机构并</w:t>
      </w:r>
      <w:r>
        <w:rPr>
          <w:rFonts w:hint="eastAsia" w:hAnsi="宋体"/>
          <w:bCs/>
          <w:sz w:val="21"/>
          <w:highlight w:val="none"/>
        </w:rPr>
        <w:t>要求</w:t>
      </w:r>
      <w:r>
        <w:rPr>
          <w:rFonts w:hint="eastAsia" w:hAnsi="宋体"/>
          <w:sz w:val="21"/>
          <w:highlight w:val="none"/>
        </w:rPr>
        <w:t>采购人或采购代理机构</w:t>
      </w:r>
      <w:r>
        <w:rPr>
          <w:rFonts w:hint="eastAsia" w:hAnsi="宋体"/>
          <w:bCs/>
          <w:sz w:val="21"/>
          <w:highlight w:val="none"/>
        </w:rPr>
        <w:t>单位签收和澄清</w:t>
      </w:r>
      <w:r>
        <w:rPr>
          <w:rFonts w:hint="eastAsia" w:hAnsi="宋体"/>
          <w:sz w:val="21"/>
          <w:highlight w:val="none"/>
        </w:rPr>
        <w:t>。</w:t>
      </w:r>
      <w:r>
        <w:rPr>
          <w:rFonts w:hint="eastAsia" w:hAnsi="宋体"/>
          <w:b/>
          <w:sz w:val="21"/>
          <w:highlight w:val="none"/>
        </w:rPr>
        <w:t>如投标人未在规定时间内提出质疑或疑问的，视同投标人理解并接受本招标文件所有内容，并自己承担由此引起的投标损失。同时，不得在招标结束后针对招标文件所有内容提出质疑事项。</w:t>
      </w:r>
    </w:p>
    <w:p>
      <w:pPr>
        <w:pStyle w:val="22"/>
        <w:snapToGrid w:val="0"/>
        <w:spacing w:line="400" w:lineRule="exact"/>
        <w:ind w:firstLine="420" w:firstLineChars="200"/>
        <w:rPr>
          <w:rFonts w:hAnsi="宋体"/>
          <w:sz w:val="21"/>
          <w:highlight w:val="none"/>
        </w:rPr>
      </w:pPr>
      <w:r>
        <w:rPr>
          <w:rFonts w:hint="eastAsia" w:hAnsi="宋体"/>
          <w:sz w:val="21"/>
          <w:highlight w:val="none"/>
        </w:rPr>
        <w:t>2.招标采购单位对已发出的招标文件进行必要澄清、答复、修改或补充的，应当在招标文件要求提交投标文件截止时间十五日前，在财政部门指定的政府采购信息发布媒体上发布更正公告，并以书面形式通知所有招标文件收受人。该澄清或者修改的内容为招标文件的组成部分。</w:t>
      </w:r>
    </w:p>
    <w:p>
      <w:pPr>
        <w:pStyle w:val="22"/>
        <w:snapToGrid w:val="0"/>
        <w:spacing w:line="400" w:lineRule="exact"/>
        <w:ind w:firstLine="420" w:firstLineChars="200"/>
        <w:rPr>
          <w:rFonts w:hAnsi="宋体"/>
          <w:sz w:val="21"/>
          <w:highlight w:val="none"/>
        </w:rPr>
      </w:pPr>
      <w:r>
        <w:rPr>
          <w:rFonts w:hint="eastAsia" w:hAnsi="宋体"/>
          <w:sz w:val="21"/>
          <w:highlight w:val="none"/>
        </w:rPr>
        <w:t>3.招标采购单位必须以书面形式答复投标人要求澄清的问题，并将不包含问题来源的答复书面通知所有购买招标文件的投标人；除书面答复以外的其他澄清方式及澄清内容均无效。</w:t>
      </w:r>
    </w:p>
    <w:p>
      <w:pPr>
        <w:pStyle w:val="22"/>
        <w:snapToGrid w:val="0"/>
        <w:spacing w:line="400" w:lineRule="exact"/>
        <w:ind w:firstLine="420" w:firstLineChars="200"/>
        <w:rPr>
          <w:rFonts w:hAnsi="宋体"/>
          <w:sz w:val="21"/>
          <w:highlight w:val="none"/>
        </w:rPr>
      </w:pPr>
      <w:r>
        <w:rPr>
          <w:rFonts w:hint="eastAsia" w:hAnsi="宋体"/>
          <w:sz w:val="21"/>
          <w:highlight w:val="none"/>
        </w:rPr>
        <w:t>4.招标文件澄清、答复、修改、补充的内容为招标文件的组成部分。当招标文件与招标文件的答复、澄清、修改、补充通知就同一内容的表述不一致时，以最后发出的书面文件为准。</w:t>
      </w:r>
    </w:p>
    <w:p>
      <w:pPr>
        <w:pStyle w:val="22"/>
        <w:snapToGrid w:val="0"/>
        <w:spacing w:line="400" w:lineRule="exact"/>
        <w:ind w:firstLine="420" w:firstLineChars="200"/>
        <w:rPr>
          <w:rFonts w:hAnsi="宋体"/>
          <w:sz w:val="21"/>
          <w:highlight w:val="none"/>
        </w:rPr>
      </w:pPr>
      <w:r>
        <w:rPr>
          <w:rFonts w:hint="eastAsia" w:hAnsi="宋体"/>
          <w:sz w:val="21"/>
          <w:highlight w:val="none"/>
        </w:rPr>
        <w:t>5.招标文件的澄清、答复、修改或补充都应该通过本采购代理机构以法定形式发布，采购人非通过本机构，不得擅自澄清、答复、修改或补充招标文件。</w:t>
      </w:r>
    </w:p>
    <w:p>
      <w:pPr>
        <w:pStyle w:val="22"/>
        <w:snapToGrid w:val="0"/>
        <w:spacing w:line="400" w:lineRule="exact"/>
        <w:ind w:firstLine="420" w:firstLineChars="200"/>
        <w:rPr>
          <w:rFonts w:hAnsi="宋体"/>
          <w:sz w:val="21"/>
          <w:highlight w:val="none"/>
        </w:rPr>
      </w:pPr>
      <w:r>
        <w:rPr>
          <w:rFonts w:hint="eastAsia" w:hAnsi="宋体"/>
          <w:sz w:val="21"/>
          <w:highlight w:val="none"/>
        </w:rPr>
        <w:t>6.招标采购单位可以视招标具体情况，延长投标截止时间和开标时间，但至少应当在招标文件要求提交投标文件的截止时间三日前将变更时间书面通知所有购买招标文件的收受人，并在财政部门指定的政府采购信息发布媒体上发布变更公告。</w:t>
      </w:r>
    </w:p>
    <w:p>
      <w:pPr>
        <w:pStyle w:val="22"/>
        <w:spacing w:line="420" w:lineRule="exact"/>
        <w:ind w:firstLine="420"/>
        <w:rPr>
          <w:rFonts w:hAnsi="宋体"/>
          <w:b/>
          <w:bCs/>
          <w:sz w:val="21"/>
          <w:highlight w:val="none"/>
        </w:rPr>
      </w:pPr>
      <w:r>
        <w:rPr>
          <w:rFonts w:hint="eastAsia" w:hAnsi="宋体"/>
          <w:sz w:val="21"/>
          <w:highlight w:val="none"/>
        </w:rPr>
        <w:t>7．</w:t>
      </w:r>
      <w:r>
        <w:rPr>
          <w:rFonts w:hint="eastAsia" w:hAnsi="宋体"/>
          <w:bCs/>
          <w:sz w:val="21"/>
          <w:highlight w:val="none"/>
        </w:rPr>
        <w:t>请投标人在接到采购代理机构的电话通知后到采购代理机构处领取以上澄清答复（或补充通知），或者在网上查询。该澄清答复（或补充通知）不用传真方式发出，如在电话通知后24小时内不上门领取的，则视为已在网上查询收到。该澄清或修改的内容为</w:t>
      </w:r>
      <w:r>
        <w:rPr>
          <w:rFonts w:hint="eastAsia" w:hAnsi="宋体"/>
          <w:sz w:val="21"/>
          <w:highlight w:val="none"/>
        </w:rPr>
        <w:t>招标文件</w:t>
      </w:r>
      <w:r>
        <w:rPr>
          <w:rFonts w:hint="eastAsia" w:hAnsi="宋体"/>
          <w:bCs/>
          <w:sz w:val="21"/>
          <w:highlight w:val="none"/>
        </w:rPr>
        <w:t>的组成部分。投标人在每一次收到澄清答复或补充通知后应立即以书面形式通知采购代理机构，确认已收到该澄清答复或补充通知。否则，由此造成的一切后果由投标人承担</w:t>
      </w:r>
      <w:r>
        <w:rPr>
          <w:rFonts w:hint="eastAsia" w:hAnsi="宋体"/>
          <w:b/>
          <w:bCs/>
          <w:sz w:val="21"/>
          <w:highlight w:val="none"/>
        </w:rPr>
        <w:t>。</w:t>
      </w:r>
    </w:p>
    <w:p>
      <w:pPr>
        <w:pStyle w:val="22"/>
        <w:snapToGrid w:val="0"/>
        <w:spacing w:line="400" w:lineRule="exact"/>
        <w:ind w:firstLine="394" w:firstLineChars="196"/>
        <w:outlineLvl w:val="1"/>
        <w:rPr>
          <w:rFonts w:hAnsi="宋体"/>
          <w:b/>
          <w:highlight w:val="none"/>
        </w:rPr>
      </w:pPr>
      <w:bookmarkStart w:id="39" w:name="_Toc254970676"/>
      <w:bookmarkStart w:id="40" w:name="_Toc254970535"/>
      <w:bookmarkStart w:id="41" w:name="_Toc430110138"/>
      <w:r>
        <w:rPr>
          <w:rFonts w:hint="eastAsia" w:hAnsi="宋体"/>
          <w:b/>
          <w:highlight w:val="none"/>
        </w:rPr>
        <w:t>三、投标文件的编制</w:t>
      </w:r>
      <w:bookmarkEnd w:id="39"/>
      <w:bookmarkEnd w:id="40"/>
      <w:bookmarkEnd w:id="41"/>
    </w:p>
    <w:p>
      <w:pPr>
        <w:snapToGrid w:val="0"/>
        <w:spacing w:line="400" w:lineRule="exact"/>
        <w:ind w:firstLine="413" w:firstLineChars="196"/>
        <w:jc w:val="left"/>
        <w:outlineLvl w:val="0"/>
        <w:rPr>
          <w:rFonts w:ascii="宋体" w:hAnsi="宋体"/>
          <w:b/>
          <w:szCs w:val="21"/>
          <w:highlight w:val="none"/>
        </w:rPr>
      </w:pPr>
      <w:bookmarkStart w:id="42" w:name="_Toc254970677"/>
      <w:bookmarkStart w:id="43" w:name="_Toc430110139"/>
      <w:bookmarkStart w:id="44" w:name="_Toc430110264"/>
      <w:bookmarkStart w:id="45" w:name="_Toc254970536"/>
      <w:bookmarkStart w:id="46" w:name="_Toc430109946"/>
      <w:r>
        <w:rPr>
          <w:rFonts w:hint="eastAsia" w:ascii="宋体" w:hAnsi="宋体"/>
          <w:b/>
          <w:szCs w:val="21"/>
          <w:highlight w:val="none"/>
        </w:rPr>
        <w:t>（一）投标文件的组成</w:t>
      </w:r>
      <w:bookmarkEnd w:id="42"/>
      <w:bookmarkEnd w:id="43"/>
      <w:bookmarkEnd w:id="44"/>
      <w:bookmarkEnd w:id="45"/>
      <w:bookmarkEnd w:id="46"/>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投标文件由资格审查文件、商务/技术文件、报价文件三部份组成。</w:t>
      </w:r>
    </w:p>
    <w:p>
      <w:pPr>
        <w:snapToGrid w:val="0"/>
        <w:spacing w:before="120" w:beforeLines="50" w:line="400" w:lineRule="exact"/>
        <w:ind w:firstLine="413" w:firstLineChars="196"/>
        <w:jc w:val="left"/>
        <w:rPr>
          <w:rFonts w:ascii="宋体" w:hAnsi="宋体"/>
          <w:b/>
          <w:szCs w:val="21"/>
          <w:highlight w:val="none"/>
        </w:rPr>
      </w:pPr>
      <w:r>
        <w:rPr>
          <w:rFonts w:hint="eastAsia" w:ascii="宋体" w:hAnsi="宋体"/>
          <w:b/>
          <w:szCs w:val="21"/>
          <w:highlight w:val="none"/>
        </w:rPr>
        <w:t>1.资格审查文件（属复印件的必须加盖投标单位公章）：</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▲（1）投标声明书 (格式见附件)（必须提供）；</w:t>
      </w:r>
    </w:p>
    <w:p>
      <w:pPr>
        <w:snapToGrid w:val="0"/>
        <w:spacing w:line="340" w:lineRule="exact"/>
        <w:ind w:firstLine="420" w:firstLineChars="200"/>
        <w:jc w:val="left"/>
        <w:rPr>
          <w:rFonts w:ascii="宋体" w:hAnsi="宋体"/>
          <w:szCs w:val="21"/>
          <w:highlight w:val="none"/>
        </w:rPr>
      </w:pPr>
      <w:r>
        <w:rPr>
          <w:rFonts w:hint="eastAsia" w:ascii="宋体" w:hAnsi="宋体"/>
          <w:szCs w:val="21"/>
          <w:highlight w:val="none"/>
        </w:rPr>
        <w:t>▲（2）法定代表人（负责人）完整有效的身份证正反面复印件（必须提供）；</w:t>
      </w:r>
    </w:p>
    <w:p>
      <w:pPr>
        <w:snapToGrid w:val="0"/>
        <w:spacing w:line="340" w:lineRule="exact"/>
        <w:ind w:firstLine="420" w:firstLineChars="200"/>
        <w:jc w:val="left"/>
        <w:rPr>
          <w:rFonts w:ascii="宋体" w:hAnsi="宋体"/>
          <w:szCs w:val="21"/>
          <w:highlight w:val="none"/>
        </w:rPr>
      </w:pPr>
      <w:r>
        <w:rPr>
          <w:rFonts w:hint="eastAsia" w:ascii="宋体" w:hAnsi="宋体"/>
          <w:szCs w:val="21"/>
          <w:highlight w:val="none"/>
        </w:rPr>
        <w:t>▲（3）投标人法定代表人（负责人）授权委托书原件和委托代理人完整有效的身份证正反面复印件（委托代理时必须提供)；</w:t>
      </w:r>
    </w:p>
    <w:p>
      <w:pPr>
        <w:snapToGrid w:val="0"/>
        <w:spacing w:line="400" w:lineRule="exact"/>
        <w:ind w:firstLine="411" w:firstLineChars="196"/>
        <w:jc w:val="left"/>
        <w:rPr>
          <w:rFonts w:ascii="宋体" w:hAnsi="宋体"/>
          <w:szCs w:val="21"/>
          <w:highlight w:val="none"/>
        </w:rPr>
      </w:pPr>
      <w:r>
        <w:rPr>
          <w:rFonts w:hint="eastAsia" w:ascii="宋体" w:hAnsi="宋体"/>
          <w:szCs w:val="21"/>
          <w:highlight w:val="none"/>
        </w:rPr>
        <w:t>▲（4）</w:t>
      </w:r>
      <w:r>
        <w:rPr>
          <w:rFonts w:hint="eastAsia" w:ascii="宋体"/>
          <w:szCs w:val="21"/>
          <w:highlight w:val="none"/>
        </w:rPr>
        <w:t>企业营业执照副本复印件（要求清晰反映经营范围）；（必须提供）</w:t>
      </w:r>
      <w:r>
        <w:rPr>
          <w:rFonts w:hint="eastAsia" w:ascii="宋体" w:hAnsi="宋体"/>
          <w:szCs w:val="21"/>
          <w:highlight w:val="none"/>
        </w:rPr>
        <w:t xml:space="preserve"> </w:t>
      </w:r>
    </w:p>
    <w:p>
      <w:pPr>
        <w:snapToGrid w:val="0"/>
        <w:spacing w:line="400" w:lineRule="exact"/>
        <w:ind w:firstLine="411" w:firstLineChars="196"/>
        <w:jc w:val="left"/>
        <w:rPr>
          <w:rFonts w:ascii="宋体" w:hAnsi="宋体"/>
          <w:szCs w:val="21"/>
          <w:highlight w:val="none"/>
        </w:rPr>
      </w:pPr>
      <w:r>
        <w:rPr>
          <w:rFonts w:hint="eastAsia" w:ascii="宋体" w:hAnsi="宋体"/>
          <w:szCs w:val="21"/>
          <w:highlight w:val="none"/>
        </w:rPr>
        <w:t>▲（5）提供信用中国网站（www.creditchina.gov.cn）“失信被执行人”、“重大税收违法案件当事人名单”及中国政府采购网（www.ccgp.gov.cn）“政府采购严重违法失信行为记录名单”的信用查询记录（必须提供）；</w:t>
      </w:r>
    </w:p>
    <w:p>
      <w:pPr>
        <w:snapToGrid w:val="0"/>
        <w:spacing w:line="400" w:lineRule="exact"/>
        <w:ind w:firstLine="411" w:firstLineChars="196"/>
        <w:jc w:val="left"/>
        <w:rPr>
          <w:rFonts w:ascii="宋体" w:hAnsi="宋体"/>
          <w:szCs w:val="21"/>
          <w:highlight w:val="none"/>
        </w:rPr>
      </w:pPr>
      <w:r>
        <w:rPr>
          <w:rFonts w:hint="eastAsia" w:ascii="宋体" w:hAnsi="宋体"/>
          <w:szCs w:val="21"/>
          <w:highlight w:val="none"/>
        </w:rPr>
        <w:t>▲（6）投标文件递交截止之日前半年内投标人连续三个月依法缴纳税收的凭证复印件。无纳税记录的，应提供投标人所在地税务部门出具的《依法纳税或依法免税证明》复印件（格式自拟，原件备查）；</w:t>
      </w:r>
    </w:p>
    <w:p>
      <w:pPr>
        <w:snapToGrid w:val="0"/>
        <w:spacing w:line="400" w:lineRule="exact"/>
        <w:ind w:firstLine="411" w:firstLineChars="196"/>
        <w:jc w:val="left"/>
        <w:rPr>
          <w:rFonts w:ascii="宋体" w:hAnsi="宋体"/>
          <w:szCs w:val="21"/>
          <w:highlight w:val="none"/>
        </w:rPr>
      </w:pPr>
      <w:r>
        <w:rPr>
          <w:rFonts w:hint="eastAsia" w:ascii="宋体" w:hAnsi="宋体"/>
          <w:szCs w:val="21"/>
          <w:highlight w:val="none"/>
        </w:rPr>
        <w:t>▲（7）投标文件递交截止之日前半年内投标人连续三个月依法缴纳社会保障资金的凭证复印件。无缴费记录的，应提供投标人所在地社保部门出具的《依法缴纳或依法免缴社保费证明》复印件（格式自拟，原件备查）；</w:t>
      </w:r>
    </w:p>
    <w:p>
      <w:pPr>
        <w:snapToGrid w:val="0"/>
        <w:spacing w:line="400" w:lineRule="exact"/>
        <w:ind w:firstLine="411" w:firstLineChars="196"/>
        <w:jc w:val="left"/>
        <w:rPr>
          <w:rFonts w:ascii="宋体" w:hAnsi="宋体"/>
          <w:szCs w:val="21"/>
          <w:highlight w:val="none"/>
        </w:rPr>
      </w:pPr>
      <w:r>
        <w:rPr>
          <w:rFonts w:hint="eastAsia" w:ascii="宋体" w:hAnsi="宋体"/>
          <w:szCs w:val="21"/>
          <w:highlight w:val="none"/>
        </w:rPr>
        <w:t>▲（8）2019年财务状况报告（可以是财务报表或银行资信证明）复印件或有效的第三方具备审计资质的机构出具的审计报告复印件（格式自拟，原件备查）；（新成立不足2年的提供从成立起至今财务状况报告或审计报告）；</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 xml:space="preserve">  （9）招标文件要求必须提供的其他材料。</w:t>
      </w:r>
    </w:p>
    <w:p>
      <w:pPr>
        <w:snapToGrid w:val="0"/>
        <w:spacing w:line="400" w:lineRule="exact"/>
        <w:ind w:firstLine="413" w:firstLineChars="196"/>
        <w:jc w:val="left"/>
        <w:rPr>
          <w:rFonts w:ascii="宋体" w:hAnsi="宋体"/>
          <w:b/>
          <w:bCs/>
          <w:szCs w:val="21"/>
          <w:highlight w:val="none"/>
        </w:rPr>
      </w:pPr>
      <w:r>
        <w:rPr>
          <w:rFonts w:hint="eastAsia" w:ascii="宋体" w:hAnsi="宋体"/>
          <w:b/>
          <w:bCs/>
          <w:szCs w:val="21"/>
          <w:highlight w:val="none"/>
        </w:rPr>
        <w:t>2.商务/技术文件</w:t>
      </w:r>
    </w:p>
    <w:p>
      <w:pPr>
        <w:adjustRightInd w:val="0"/>
        <w:snapToGrid w:val="0"/>
        <w:spacing w:line="400" w:lineRule="exact"/>
        <w:ind w:firstLine="411" w:firstLineChars="196"/>
        <w:jc w:val="left"/>
        <w:rPr>
          <w:rFonts w:ascii="宋体" w:hAnsi="宋体"/>
          <w:szCs w:val="21"/>
          <w:highlight w:val="none"/>
        </w:rPr>
      </w:pPr>
      <w:r>
        <w:rPr>
          <w:rFonts w:hint="eastAsia" w:ascii="宋体" w:hAnsi="宋体"/>
          <w:szCs w:val="21"/>
          <w:highlight w:val="none"/>
        </w:rPr>
        <w:t>（1）投标人情况介绍；</w:t>
      </w:r>
    </w:p>
    <w:p>
      <w:pPr>
        <w:snapToGrid w:val="0"/>
        <w:spacing w:line="320" w:lineRule="exact"/>
        <w:ind w:firstLine="210" w:firstLineChars="100"/>
        <w:jc w:val="left"/>
        <w:rPr>
          <w:rFonts w:ascii="宋体" w:hAnsi="宋体"/>
          <w:b/>
          <w:szCs w:val="21"/>
          <w:highlight w:val="none"/>
        </w:rPr>
      </w:pPr>
      <w:r>
        <w:rPr>
          <w:rFonts w:hint="eastAsia" w:ascii="宋体" w:hAnsi="宋体"/>
          <w:szCs w:val="21"/>
          <w:highlight w:val="none"/>
        </w:rPr>
        <w:t>▲（2）商务响应表（格式见附件）；</w:t>
      </w:r>
      <w:r>
        <w:rPr>
          <w:rFonts w:hint="eastAsia" w:ascii="宋体"/>
          <w:szCs w:val="21"/>
          <w:highlight w:val="none"/>
        </w:rPr>
        <w:t>（必须提供）</w:t>
      </w:r>
      <w:r>
        <w:rPr>
          <w:rFonts w:hint="eastAsia" w:ascii="宋体" w:hAnsi="宋体"/>
          <w:szCs w:val="21"/>
          <w:highlight w:val="none"/>
        </w:rPr>
        <w:t xml:space="preserve"> </w:t>
      </w:r>
    </w:p>
    <w:p>
      <w:pPr>
        <w:adjustRightInd w:val="0"/>
        <w:snapToGrid w:val="0"/>
        <w:spacing w:line="400" w:lineRule="exact"/>
        <w:ind w:firstLine="210" w:firstLineChars="100"/>
        <w:jc w:val="left"/>
        <w:rPr>
          <w:rFonts w:ascii="宋体" w:hAnsi="宋体"/>
          <w:b/>
          <w:szCs w:val="21"/>
          <w:highlight w:val="none"/>
        </w:rPr>
      </w:pPr>
      <w:r>
        <w:rPr>
          <w:rFonts w:hint="eastAsia" w:ascii="宋体" w:hAnsi="宋体"/>
          <w:szCs w:val="21"/>
          <w:highlight w:val="none"/>
        </w:rPr>
        <w:t>▲（3）投标人针对本项目的方案（必须包含技术服务方案、施工方案、售后服务方案，自行编写，格式自拟）</w:t>
      </w:r>
      <w:r>
        <w:rPr>
          <w:rFonts w:hint="eastAsia" w:ascii="宋体" w:hAnsi="宋体"/>
          <w:b/>
          <w:szCs w:val="21"/>
          <w:highlight w:val="none"/>
        </w:rPr>
        <w:t>（必须提供）</w:t>
      </w:r>
    </w:p>
    <w:p>
      <w:pPr>
        <w:adjustRightInd w:val="0"/>
        <w:snapToGrid w:val="0"/>
        <w:spacing w:line="400" w:lineRule="exact"/>
        <w:ind w:firstLine="420" w:firstLineChars="200"/>
        <w:jc w:val="left"/>
        <w:rPr>
          <w:rFonts w:ascii="宋体" w:hAnsi="宋体"/>
          <w:b/>
          <w:szCs w:val="21"/>
          <w:highlight w:val="none"/>
        </w:rPr>
      </w:pPr>
      <w:r>
        <w:rPr>
          <w:rFonts w:hint="eastAsia" w:ascii="宋体" w:hAnsi="宋体"/>
          <w:szCs w:val="21"/>
          <w:highlight w:val="none"/>
        </w:rPr>
        <w:t>（4）2017年1月1日至投标截止时间止投标人承接的同类项目业绩一览表（投标人同类项目实施情况一览表、合同复印件、用户验收报告、用户评价）；</w:t>
      </w:r>
    </w:p>
    <w:p>
      <w:pPr>
        <w:adjustRightInd w:val="0"/>
        <w:snapToGrid w:val="0"/>
        <w:spacing w:line="400" w:lineRule="exact"/>
        <w:ind w:firstLine="210" w:firstLineChars="100"/>
        <w:jc w:val="left"/>
        <w:rPr>
          <w:rFonts w:ascii="宋体" w:hAnsi="宋体"/>
          <w:szCs w:val="21"/>
          <w:highlight w:val="none"/>
        </w:rPr>
      </w:pPr>
      <w:r>
        <w:rPr>
          <w:rFonts w:hint="eastAsia" w:ascii="宋体" w:hAnsi="宋体"/>
          <w:szCs w:val="21"/>
          <w:highlight w:val="none"/>
        </w:rPr>
        <w:t>▲（5）设备配置清单（均不含报价）；</w:t>
      </w:r>
      <w:r>
        <w:rPr>
          <w:rFonts w:hint="eastAsia" w:ascii="宋体"/>
          <w:szCs w:val="21"/>
          <w:highlight w:val="none"/>
        </w:rPr>
        <w:t>（必须提供）</w:t>
      </w:r>
    </w:p>
    <w:p>
      <w:pPr>
        <w:adjustRightInd w:val="0"/>
        <w:snapToGrid w:val="0"/>
        <w:spacing w:line="400" w:lineRule="exact"/>
        <w:ind w:firstLine="210" w:firstLineChars="100"/>
        <w:jc w:val="left"/>
        <w:rPr>
          <w:rFonts w:ascii="宋体" w:hAnsi="宋体"/>
          <w:szCs w:val="21"/>
          <w:highlight w:val="none"/>
        </w:rPr>
      </w:pPr>
      <w:r>
        <w:rPr>
          <w:rFonts w:hint="eastAsia" w:ascii="宋体" w:hAnsi="宋体"/>
          <w:szCs w:val="21"/>
          <w:highlight w:val="none"/>
        </w:rPr>
        <w:t>▲（6）技术响应表；</w:t>
      </w:r>
      <w:r>
        <w:rPr>
          <w:rFonts w:hint="eastAsia" w:ascii="宋体"/>
          <w:szCs w:val="21"/>
          <w:highlight w:val="none"/>
        </w:rPr>
        <w:t>（必须提供）</w:t>
      </w:r>
    </w:p>
    <w:p>
      <w:pPr>
        <w:adjustRightInd w:val="0"/>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（7）项目实施人员一览表；</w:t>
      </w:r>
    </w:p>
    <w:p>
      <w:pPr>
        <w:adjustRightInd w:val="0"/>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（8）投标人需要说明的其他文件和说明。</w:t>
      </w:r>
    </w:p>
    <w:p>
      <w:pPr>
        <w:snapToGrid w:val="0"/>
        <w:spacing w:line="400" w:lineRule="exact"/>
        <w:ind w:firstLine="413" w:firstLineChars="196"/>
        <w:jc w:val="left"/>
        <w:rPr>
          <w:rFonts w:ascii="宋体" w:hAnsi="宋体"/>
          <w:b/>
          <w:szCs w:val="21"/>
          <w:highlight w:val="none"/>
        </w:rPr>
      </w:pPr>
      <w:r>
        <w:rPr>
          <w:rFonts w:hint="eastAsia" w:ascii="宋体" w:hAnsi="宋体"/>
          <w:b/>
          <w:szCs w:val="21"/>
          <w:highlight w:val="none"/>
        </w:rPr>
        <w:t>3.报价文件：</w:t>
      </w:r>
    </w:p>
    <w:p>
      <w:pPr>
        <w:tabs>
          <w:tab w:val="left" w:pos="3870"/>
          <w:tab w:val="left" w:pos="4085"/>
        </w:tabs>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 xml:space="preserve">▲（1）投标函； </w:t>
      </w:r>
    </w:p>
    <w:p>
      <w:pPr>
        <w:tabs>
          <w:tab w:val="left" w:pos="3870"/>
          <w:tab w:val="left" w:pos="4085"/>
        </w:tabs>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▲（2）投标报价明细表；</w:t>
      </w:r>
    </w:p>
    <w:p>
      <w:pPr>
        <w:tabs>
          <w:tab w:val="left" w:pos="3870"/>
          <w:tab w:val="left" w:pos="4085"/>
        </w:tabs>
        <w:snapToGrid w:val="0"/>
        <w:spacing w:line="400" w:lineRule="exact"/>
        <w:ind w:firstLine="630" w:firstLineChars="300"/>
        <w:jc w:val="left"/>
        <w:rPr>
          <w:rFonts w:ascii="宋体" w:hAnsi="宋体"/>
          <w:szCs w:val="21"/>
          <w:highlight w:val="none"/>
        </w:rPr>
      </w:pPr>
      <w:r>
        <w:rPr>
          <w:rFonts w:hint="eastAsia" w:ascii="宋体" w:hAnsi="宋体"/>
          <w:szCs w:val="21"/>
          <w:highlight w:val="none"/>
        </w:rPr>
        <w:t>（3）投标人针对报价需要说明的其他文件和说明（格式自拟）；</w:t>
      </w:r>
    </w:p>
    <w:p>
      <w:pPr>
        <w:tabs>
          <w:tab w:val="left" w:pos="3870"/>
          <w:tab w:val="left" w:pos="4085"/>
        </w:tabs>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▲（4）开标一览表（单独封装，格式见附件）。</w:t>
      </w:r>
    </w:p>
    <w:p>
      <w:pPr>
        <w:pStyle w:val="29"/>
        <w:spacing w:line="400" w:lineRule="exact"/>
        <w:ind w:firstLine="400" w:firstLineChars="200"/>
        <w:rPr>
          <w:rFonts w:ascii="宋体" w:hAnsi="宋体"/>
          <w:sz w:val="21"/>
          <w:szCs w:val="21"/>
          <w:highlight w:val="none"/>
        </w:rPr>
      </w:pPr>
      <w:r>
        <w:rPr>
          <w:rFonts w:hint="eastAsia" w:ascii="宋体" w:hAnsi="宋体"/>
          <w:szCs w:val="21"/>
          <w:highlight w:val="none"/>
        </w:rPr>
        <w:t>▲</w:t>
      </w:r>
      <w:r>
        <w:rPr>
          <w:rFonts w:hint="eastAsia" w:ascii="宋体" w:hAnsi="宋体"/>
          <w:b/>
          <w:bCs/>
          <w:sz w:val="21"/>
          <w:szCs w:val="21"/>
          <w:highlight w:val="none"/>
        </w:rPr>
        <w:t>注：法定代表人（负责人）授权委托书、投标声明书、投标函、开标一览表必须由法定代表人（负责人）或授权代表签名并加盖单位公章。</w:t>
      </w:r>
    </w:p>
    <w:p>
      <w:pPr>
        <w:snapToGrid w:val="0"/>
        <w:spacing w:line="400" w:lineRule="exact"/>
        <w:ind w:firstLine="413" w:firstLineChars="196"/>
        <w:jc w:val="left"/>
        <w:outlineLvl w:val="0"/>
        <w:rPr>
          <w:rFonts w:ascii="宋体" w:hAnsi="宋体"/>
          <w:b/>
          <w:szCs w:val="21"/>
          <w:highlight w:val="none"/>
        </w:rPr>
      </w:pPr>
      <w:bookmarkStart w:id="47" w:name="_Toc254970537"/>
      <w:bookmarkStart w:id="48" w:name="_Toc430110140"/>
      <w:bookmarkStart w:id="49" w:name="_Toc254970678"/>
      <w:bookmarkStart w:id="50" w:name="_Toc430109947"/>
      <w:bookmarkStart w:id="51" w:name="_Toc430110265"/>
      <w:r>
        <w:rPr>
          <w:rFonts w:hint="eastAsia" w:ascii="宋体" w:hAnsi="宋体"/>
          <w:b/>
          <w:szCs w:val="21"/>
          <w:highlight w:val="none"/>
        </w:rPr>
        <w:t>（二）投标文件的语言及计量</w:t>
      </w:r>
      <w:bookmarkEnd w:id="47"/>
      <w:bookmarkEnd w:id="48"/>
      <w:bookmarkEnd w:id="49"/>
      <w:bookmarkEnd w:id="50"/>
      <w:bookmarkEnd w:id="51"/>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▲1投标文件以及投标方与招标方就有关投标事宜的所有来往函电，均应以中文书写。除签名、盖章、专用名称等特殊情形外，以中文以外的文字表述的投标文件视同未提交。</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▲2投标计量单位，招标文件已有明确规定的，使用招标文件规定的计量单位；招标文件没有规定的，应采用中华人民共和国法定计量单位（货币单位：人民币元），否则视同未响应。</w:t>
      </w:r>
    </w:p>
    <w:p>
      <w:pPr>
        <w:snapToGrid w:val="0"/>
        <w:spacing w:before="120" w:beforeLines="50" w:line="400" w:lineRule="exact"/>
        <w:ind w:firstLine="413" w:firstLineChars="196"/>
        <w:jc w:val="left"/>
        <w:outlineLvl w:val="0"/>
        <w:rPr>
          <w:rFonts w:ascii="宋体" w:hAnsi="宋体"/>
          <w:b/>
          <w:szCs w:val="21"/>
          <w:highlight w:val="none"/>
        </w:rPr>
      </w:pPr>
      <w:bookmarkStart w:id="52" w:name="_Toc430110266"/>
      <w:bookmarkStart w:id="53" w:name="_Toc254970538"/>
      <w:bookmarkStart w:id="54" w:name="_Toc430110141"/>
      <w:bookmarkStart w:id="55" w:name="_Toc430109948"/>
      <w:bookmarkStart w:id="56" w:name="_Toc254970679"/>
      <w:r>
        <w:rPr>
          <w:rFonts w:hint="eastAsia" w:ascii="宋体" w:hAnsi="宋体"/>
          <w:b/>
          <w:szCs w:val="21"/>
          <w:highlight w:val="none"/>
        </w:rPr>
        <w:t>（三）投标报价</w:t>
      </w:r>
      <w:bookmarkEnd w:id="52"/>
      <w:bookmarkEnd w:id="53"/>
      <w:bookmarkEnd w:id="54"/>
      <w:bookmarkEnd w:id="55"/>
      <w:bookmarkEnd w:id="56"/>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1.投标报价应按招标文件中相关附表格式填写。</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▲2. 投标报价指</w:t>
      </w:r>
      <w:r>
        <w:rPr>
          <w:rFonts w:hint="eastAsia" w:ascii="宋体" w:hAnsi="宋体" w:cs="宋体"/>
          <w:bCs/>
          <w:szCs w:val="21"/>
          <w:highlight w:val="none"/>
        </w:rPr>
        <w:t>包括设备、运费、安装、调试验收、安装附件及配件、税金等直至货物交付正常使用的所有费用以及售后服务、人员培训等费用</w:t>
      </w:r>
      <w:r>
        <w:rPr>
          <w:rFonts w:hint="eastAsia" w:ascii="宋体" w:hAnsi="宋体"/>
          <w:szCs w:val="21"/>
          <w:highlight w:val="none"/>
        </w:rPr>
        <w:t>。</w:t>
      </w:r>
    </w:p>
    <w:p>
      <w:pPr>
        <w:tabs>
          <w:tab w:val="left" w:pos="525"/>
        </w:tabs>
        <w:snapToGrid w:val="0"/>
        <w:spacing w:line="400" w:lineRule="exact"/>
        <w:ind w:firstLine="420" w:firstLineChars="200"/>
        <w:jc w:val="left"/>
        <w:rPr>
          <w:rFonts w:ascii="宋体" w:hAnsi="宋体" w:cs="Courier New"/>
          <w:szCs w:val="21"/>
          <w:highlight w:val="none"/>
        </w:rPr>
      </w:pPr>
      <w:r>
        <w:rPr>
          <w:rFonts w:hint="eastAsia" w:ascii="宋体" w:hAnsi="宋体"/>
          <w:szCs w:val="21"/>
          <w:highlight w:val="none"/>
        </w:rPr>
        <w:t>▲</w:t>
      </w:r>
      <w:r>
        <w:rPr>
          <w:rFonts w:hint="eastAsia" w:ascii="宋体" w:hAnsi="宋体" w:cs="Courier New"/>
          <w:szCs w:val="21"/>
          <w:highlight w:val="none"/>
        </w:rPr>
        <w:t>3.投标文件只允许有一个报价，有选择的或有条件的报价将不予接受。</w:t>
      </w:r>
    </w:p>
    <w:p>
      <w:pPr>
        <w:tabs>
          <w:tab w:val="left" w:pos="525"/>
        </w:tabs>
        <w:snapToGrid w:val="0"/>
        <w:spacing w:line="400" w:lineRule="exact"/>
        <w:ind w:firstLine="420" w:firstLineChars="200"/>
        <w:jc w:val="left"/>
        <w:rPr>
          <w:rFonts w:ascii="宋体" w:hAnsi="宋体" w:cs="Courier New"/>
          <w:szCs w:val="21"/>
          <w:highlight w:val="none"/>
        </w:rPr>
      </w:pPr>
      <w:r>
        <w:rPr>
          <w:rFonts w:hint="eastAsia" w:ascii="宋体" w:hAnsi="宋体" w:cs="Courier New"/>
          <w:szCs w:val="21"/>
          <w:highlight w:val="none"/>
        </w:rPr>
        <w:t>4.</w:t>
      </w:r>
      <w:r>
        <w:rPr>
          <w:rFonts w:hint="eastAsia" w:ascii="宋体" w:hAnsi="宋体"/>
          <w:szCs w:val="21"/>
          <w:highlight w:val="none"/>
        </w:rPr>
        <w:t xml:space="preserve"> </w:t>
      </w:r>
      <w:r>
        <w:rPr>
          <w:rFonts w:hint="eastAsia" w:ascii="宋体" w:hAnsi="宋体" w:cs="Courier New"/>
          <w:szCs w:val="21"/>
          <w:highlight w:val="none"/>
        </w:rPr>
        <w:t>投标人可就《招标内容及要求》中的某个分标的服务内容作完整唯一报价，也可就多个或所有分标的服务内容作完整唯一报价。</w:t>
      </w:r>
    </w:p>
    <w:p>
      <w:pPr>
        <w:pStyle w:val="13"/>
        <w:widowControl w:val="0"/>
        <w:tabs>
          <w:tab w:val="clear" w:pos="454"/>
        </w:tabs>
        <w:snapToGrid w:val="0"/>
        <w:spacing w:before="120" w:beforeLines="50" w:after="120" w:line="400" w:lineRule="exact"/>
        <w:ind w:left="0" w:firstLine="413" w:firstLineChars="196"/>
        <w:rPr>
          <w:rFonts w:ascii="宋体" w:hAnsi="宋体"/>
          <w:b/>
          <w:sz w:val="21"/>
          <w:szCs w:val="21"/>
          <w:highlight w:val="none"/>
        </w:rPr>
      </w:pPr>
      <w:r>
        <w:rPr>
          <w:rFonts w:hint="eastAsia" w:ascii="宋体" w:hAnsi="宋体"/>
          <w:b/>
          <w:sz w:val="21"/>
          <w:szCs w:val="21"/>
          <w:highlight w:val="none"/>
        </w:rPr>
        <w:t>（四）投标文件的有效期</w:t>
      </w:r>
    </w:p>
    <w:p>
      <w:pPr>
        <w:pStyle w:val="13"/>
        <w:widowControl w:val="0"/>
        <w:tabs>
          <w:tab w:val="clear" w:pos="454"/>
        </w:tabs>
        <w:snapToGrid w:val="0"/>
        <w:spacing w:after="120" w:line="400" w:lineRule="exact"/>
        <w:ind w:left="0" w:firstLine="480" w:firstLineChars="200"/>
        <w:rPr>
          <w:rFonts w:ascii="宋体" w:hAnsi="宋体"/>
          <w:sz w:val="21"/>
          <w:szCs w:val="21"/>
          <w:highlight w:val="none"/>
        </w:rPr>
      </w:pPr>
      <w:r>
        <w:rPr>
          <w:rFonts w:hint="eastAsia" w:ascii="宋体" w:hAnsi="宋体"/>
          <w:szCs w:val="21"/>
          <w:highlight w:val="none"/>
        </w:rPr>
        <w:t>▲</w:t>
      </w:r>
      <w:r>
        <w:rPr>
          <w:rFonts w:hint="eastAsia" w:ascii="宋体" w:hAnsi="宋体"/>
          <w:sz w:val="21"/>
          <w:szCs w:val="21"/>
          <w:highlight w:val="none"/>
        </w:rPr>
        <w:t>1. 投标文件自投标截止日起</w:t>
      </w:r>
      <w:r>
        <w:rPr>
          <w:rFonts w:hint="eastAsia" w:ascii="宋体" w:hAnsi="宋体"/>
          <w:sz w:val="21"/>
          <w:szCs w:val="21"/>
          <w:highlight w:val="none"/>
          <w:u w:val="single"/>
        </w:rPr>
        <w:t xml:space="preserve">60 </w:t>
      </w:r>
      <w:r>
        <w:rPr>
          <w:rFonts w:hint="eastAsia" w:ascii="宋体" w:hAnsi="宋体"/>
          <w:sz w:val="21"/>
          <w:szCs w:val="21"/>
          <w:highlight w:val="none"/>
        </w:rPr>
        <w:t>天应保持有效。有效期不足的投标文件将被拒绝。</w:t>
      </w:r>
    </w:p>
    <w:p>
      <w:pPr>
        <w:pStyle w:val="13"/>
        <w:widowControl w:val="0"/>
        <w:tabs>
          <w:tab w:val="clear" w:pos="454"/>
        </w:tabs>
        <w:snapToGrid w:val="0"/>
        <w:spacing w:after="120" w:line="400" w:lineRule="exact"/>
        <w:ind w:left="0" w:firstLine="420" w:firstLineChars="200"/>
        <w:rPr>
          <w:rFonts w:ascii="宋体" w:hAnsi="宋体"/>
          <w:sz w:val="21"/>
          <w:szCs w:val="21"/>
          <w:highlight w:val="none"/>
        </w:rPr>
      </w:pPr>
      <w:r>
        <w:rPr>
          <w:rFonts w:hint="eastAsia" w:ascii="宋体" w:hAnsi="宋体"/>
          <w:sz w:val="21"/>
          <w:szCs w:val="21"/>
          <w:highlight w:val="none"/>
        </w:rPr>
        <w:t>2.在特殊情况下，采购人可与投标人协商延长投标文件的有效期，这种要求和答复均以书面形式进行。</w:t>
      </w:r>
    </w:p>
    <w:p>
      <w:pPr>
        <w:snapToGrid w:val="0"/>
        <w:spacing w:line="400" w:lineRule="exact"/>
        <w:ind w:firstLine="420" w:firstLineChars="200"/>
        <w:jc w:val="left"/>
        <w:outlineLvl w:val="0"/>
        <w:rPr>
          <w:rFonts w:ascii="宋体" w:hAnsi="宋体"/>
          <w:b/>
          <w:szCs w:val="21"/>
          <w:highlight w:val="none"/>
        </w:rPr>
      </w:pPr>
      <w:bookmarkStart w:id="57" w:name="_Toc430110267"/>
      <w:bookmarkStart w:id="58" w:name="_Toc254970680"/>
      <w:bookmarkStart w:id="59" w:name="_Toc254970539"/>
      <w:bookmarkStart w:id="60" w:name="_Toc430110142"/>
      <w:bookmarkStart w:id="61" w:name="_Toc430109949"/>
      <w:r>
        <w:rPr>
          <w:rFonts w:hint="eastAsia" w:ascii="宋体" w:hAnsi="宋体"/>
          <w:szCs w:val="21"/>
          <w:highlight w:val="none"/>
        </w:rPr>
        <w:t>3.投标人可拒绝接受延期要求。同意延长有效期的投标人需要相应延长，但不能修改投标文件。</w:t>
      </w:r>
      <w:bookmarkEnd w:id="57"/>
      <w:bookmarkEnd w:id="58"/>
      <w:bookmarkEnd w:id="59"/>
      <w:bookmarkEnd w:id="60"/>
      <w:bookmarkEnd w:id="61"/>
      <w:r>
        <w:rPr>
          <w:rFonts w:hint="eastAsia" w:ascii="宋体" w:hAnsi="宋体"/>
          <w:b/>
          <w:szCs w:val="21"/>
          <w:highlight w:val="none"/>
        </w:rPr>
        <w:t xml:space="preserve"> </w:t>
      </w:r>
    </w:p>
    <w:p>
      <w:pPr>
        <w:snapToGrid w:val="0"/>
        <w:spacing w:line="400" w:lineRule="exact"/>
        <w:ind w:firstLine="420" w:firstLineChars="200"/>
        <w:jc w:val="left"/>
        <w:outlineLvl w:val="0"/>
        <w:rPr>
          <w:rFonts w:ascii="宋体" w:hAnsi="宋体"/>
          <w:b/>
          <w:szCs w:val="21"/>
          <w:highlight w:val="none"/>
        </w:rPr>
      </w:pPr>
      <w:bookmarkStart w:id="62" w:name="_Toc254970681"/>
      <w:bookmarkStart w:id="63" w:name="_Toc430109950"/>
      <w:bookmarkStart w:id="64" w:name="_Toc430110143"/>
      <w:bookmarkStart w:id="65" w:name="_Toc430110268"/>
      <w:bookmarkStart w:id="66" w:name="_Toc254970540"/>
      <w:r>
        <w:rPr>
          <w:rFonts w:hint="eastAsia" w:ascii="宋体" w:hAnsi="宋体"/>
          <w:szCs w:val="21"/>
          <w:highlight w:val="none"/>
        </w:rPr>
        <w:t>4.中标人的投标文件自开标之日起至合同履行完毕止均应保持有效。</w:t>
      </w:r>
      <w:bookmarkEnd w:id="62"/>
      <w:bookmarkEnd w:id="63"/>
      <w:bookmarkEnd w:id="64"/>
      <w:bookmarkEnd w:id="65"/>
      <w:bookmarkEnd w:id="66"/>
    </w:p>
    <w:p>
      <w:pPr>
        <w:snapToGrid w:val="0"/>
        <w:spacing w:before="120" w:beforeLines="50" w:line="400" w:lineRule="exact"/>
        <w:ind w:firstLine="413" w:firstLineChars="196"/>
        <w:jc w:val="left"/>
        <w:outlineLvl w:val="0"/>
        <w:rPr>
          <w:rFonts w:ascii="宋体" w:hAnsi="宋体"/>
          <w:b/>
          <w:szCs w:val="21"/>
          <w:highlight w:val="none"/>
        </w:rPr>
      </w:pPr>
      <w:bookmarkStart w:id="67" w:name="_Toc254970542"/>
      <w:bookmarkStart w:id="68" w:name="_Toc430110145"/>
      <w:bookmarkStart w:id="69" w:name="_Toc430109952"/>
      <w:bookmarkStart w:id="70" w:name="_Toc430110270"/>
      <w:bookmarkStart w:id="71" w:name="_Toc254970683"/>
      <w:r>
        <w:rPr>
          <w:rFonts w:hint="eastAsia" w:ascii="宋体" w:hAnsi="宋体"/>
          <w:b/>
          <w:szCs w:val="21"/>
          <w:highlight w:val="none"/>
        </w:rPr>
        <w:t>（五）投标文件的签署和份数</w:t>
      </w:r>
      <w:bookmarkEnd w:id="67"/>
      <w:bookmarkEnd w:id="68"/>
      <w:bookmarkEnd w:id="69"/>
      <w:bookmarkEnd w:id="70"/>
      <w:bookmarkEnd w:id="71"/>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1.投标人应按本招标文件规定的格式和顺序编制、装订投标文件并标注页码，投标文件内容不完整、编排混乱导致投标文件被误读、漏读或者查找不到相关内容的，是投标人的责任。</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2.投标人应按资格审查文件、商务/技术文件、报价文件正本各一份，副本各四份分别编制并单独装订成册，投标文件的封面应注明“正本”、“副本”字样。活页装订的投标文件将被拒绝。</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3.投标文件的正本需打印或用不褪色的墨水填写，投标文件正本除本《投标人须知》中规定的可提供复印件外均须提供原件。副本可以是正本的复印件。</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4.投标文件须由投标人在规定位置加盖单位公章并由法定代表人（负责人）或法定代表人（负责人）的授权委托人签署，投标人应写全称。</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5.投标文件不得涂改，若有修改错漏处，须加盖单位公章或者法定代表人（负责人）或授权委托人签字。投标文件因字迹潦草或表达不清所引起的后果由投标人负责。</w:t>
      </w:r>
    </w:p>
    <w:p>
      <w:pPr>
        <w:snapToGrid w:val="0"/>
        <w:spacing w:before="120" w:beforeLines="50" w:line="400" w:lineRule="exact"/>
        <w:ind w:firstLine="310" w:firstLineChars="147"/>
        <w:jc w:val="left"/>
        <w:rPr>
          <w:rFonts w:ascii="宋体" w:hAnsi="宋体"/>
          <w:b/>
          <w:szCs w:val="21"/>
          <w:highlight w:val="none"/>
        </w:rPr>
      </w:pPr>
      <w:r>
        <w:rPr>
          <w:rFonts w:hint="eastAsia" w:ascii="宋体" w:hAnsi="宋体"/>
          <w:b/>
          <w:szCs w:val="21"/>
          <w:highlight w:val="none"/>
        </w:rPr>
        <w:t>（七）投标文件的包装、递交、修改和撤回</w:t>
      </w:r>
    </w:p>
    <w:p>
      <w:pPr>
        <w:snapToGrid w:val="0"/>
        <w:spacing w:line="400" w:lineRule="exact"/>
        <w:ind w:firstLine="420"/>
        <w:jc w:val="left"/>
        <w:rPr>
          <w:rFonts w:ascii="宋体" w:hAnsi="宋体"/>
          <w:szCs w:val="21"/>
          <w:highlight w:val="none"/>
        </w:rPr>
      </w:pPr>
      <w:r>
        <w:rPr>
          <w:rFonts w:hint="eastAsia" w:ascii="宋体" w:hAnsi="宋体"/>
          <w:szCs w:val="21"/>
          <w:highlight w:val="none"/>
        </w:rPr>
        <w:t>1.投标人应按资格审查文件、商务/技术文件、报价文件三部分密封封装投标文件（即各部分的文件先单独包装，然后再将三个密封袋包装在一起），其中《开标一览表》（格式见附件）应单独用小信封密封,再与其他投标文件一起包封，最后提交时应为一个密封袋。并提供可编辑的投标文件电子版U盘一份</w:t>
      </w:r>
    </w:p>
    <w:p>
      <w:pPr>
        <w:snapToGrid w:val="0"/>
        <w:spacing w:line="400" w:lineRule="exact"/>
        <w:ind w:firstLine="420"/>
        <w:jc w:val="left"/>
        <w:rPr>
          <w:rFonts w:ascii="宋体" w:hAnsi="宋体"/>
          <w:szCs w:val="21"/>
          <w:highlight w:val="none"/>
        </w:rPr>
      </w:pPr>
      <w:r>
        <w:rPr>
          <w:rFonts w:hint="eastAsia" w:ascii="宋体" w:hAnsi="宋体"/>
          <w:szCs w:val="21"/>
          <w:highlight w:val="none"/>
        </w:rPr>
        <w:t>投标文件的包装封面上应注明：投标人名称、投标人地址、投标文件名称（资格审查文件或者商务/技术文件、报价文件、开标一览表等）、投标项目名称、项目编号及“开标时启封”字样，并加盖投标人公章。</w:t>
      </w:r>
    </w:p>
    <w:p>
      <w:pPr>
        <w:snapToGrid w:val="0"/>
        <w:spacing w:line="400" w:lineRule="exact"/>
        <w:ind w:firstLine="420"/>
        <w:jc w:val="left"/>
        <w:rPr>
          <w:rFonts w:ascii="宋体" w:hAnsi="宋体"/>
          <w:szCs w:val="21"/>
          <w:highlight w:val="none"/>
        </w:rPr>
      </w:pPr>
      <w:r>
        <w:rPr>
          <w:rFonts w:hint="eastAsia" w:ascii="宋体" w:hAnsi="宋体"/>
          <w:szCs w:val="21"/>
          <w:highlight w:val="none"/>
        </w:rPr>
        <w:t>2.逾期送达或投标文件的包装未按要求密封、盖章、标记的将予以拒收或作无效投标文件处理，由此造成的风险由投标人承担。</w:t>
      </w:r>
    </w:p>
    <w:p>
      <w:pPr>
        <w:snapToGrid w:val="0"/>
        <w:spacing w:line="400" w:lineRule="exact"/>
        <w:ind w:firstLine="420"/>
        <w:jc w:val="left"/>
        <w:rPr>
          <w:rFonts w:ascii="宋体" w:hAnsi="宋体"/>
          <w:szCs w:val="21"/>
          <w:highlight w:val="none"/>
        </w:rPr>
      </w:pPr>
      <w:r>
        <w:rPr>
          <w:rFonts w:hint="eastAsia" w:ascii="宋体" w:hAnsi="宋体"/>
          <w:szCs w:val="21"/>
          <w:highlight w:val="none"/>
        </w:rPr>
        <w:t>3.投标人在投标截止时间之前，可以对已提交的投标文件进行修改或撤回，并书面通知招标采购单位；投标时间截止后，投标人不得撤回、修改投标文件。修改后重新递交的投标文件应当按本招标文件的要求签署、盖章和密封。</w:t>
      </w:r>
    </w:p>
    <w:p>
      <w:pPr>
        <w:snapToGrid w:val="0"/>
        <w:spacing w:before="120" w:beforeLines="50" w:line="400" w:lineRule="exact"/>
        <w:ind w:firstLine="413" w:firstLineChars="196"/>
        <w:outlineLvl w:val="2"/>
        <w:rPr>
          <w:rFonts w:ascii="宋体" w:hAnsi="宋体"/>
          <w:b/>
          <w:szCs w:val="21"/>
          <w:highlight w:val="none"/>
        </w:rPr>
      </w:pPr>
      <w:bookmarkStart w:id="72" w:name="_Toc254970684"/>
      <w:bookmarkStart w:id="73" w:name="_Toc254970543"/>
      <w:bookmarkStart w:id="74" w:name="_Toc430110146"/>
      <w:r>
        <w:rPr>
          <w:rFonts w:hint="eastAsia" w:ascii="宋体" w:hAnsi="宋体"/>
          <w:b/>
          <w:szCs w:val="21"/>
          <w:highlight w:val="none"/>
        </w:rPr>
        <w:t>（八）投标无效的情形</w:t>
      </w:r>
      <w:bookmarkEnd w:id="72"/>
      <w:bookmarkEnd w:id="73"/>
      <w:bookmarkEnd w:id="74"/>
    </w:p>
    <w:p>
      <w:pPr>
        <w:snapToGrid w:val="0"/>
        <w:spacing w:line="400" w:lineRule="exact"/>
        <w:ind w:firstLine="420" w:firstLineChars="200"/>
        <w:rPr>
          <w:rFonts w:ascii="宋体" w:hAnsi="宋体"/>
          <w:bCs/>
          <w:szCs w:val="21"/>
          <w:highlight w:val="none"/>
        </w:rPr>
      </w:pPr>
      <w:r>
        <w:rPr>
          <w:rFonts w:hint="eastAsia" w:ascii="宋体" w:hAnsi="宋体"/>
          <w:bCs/>
          <w:szCs w:val="21"/>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13" w:firstLineChars="196"/>
        <w:rPr>
          <w:rFonts w:ascii="宋体" w:hAnsi="宋体"/>
          <w:b/>
          <w:bCs/>
          <w:szCs w:val="21"/>
          <w:highlight w:val="none"/>
        </w:rPr>
      </w:pPr>
      <w:r>
        <w:rPr>
          <w:rFonts w:hint="eastAsia" w:ascii="宋体" w:hAnsi="宋体"/>
          <w:b/>
          <w:bCs/>
          <w:szCs w:val="21"/>
          <w:highlight w:val="none"/>
        </w:rPr>
        <w:t>1.在符合性审查和</w:t>
      </w:r>
      <w:r>
        <w:rPr>
          <w:rFonts w:hint="eastAsia" w:ascii="宋体" w:hAnsi="宋体" w:cs="Courier New"/>
          <w:b/>
          <w:bCs/>
          <w:szCs w:val="21"/>
          <w:highlight w:val="none"/>
        </w:rPr>
        <w:t>资格性审查时</w:t>
      </w:r>
      <w:r>
        <w:rPr>
          <w:rFonts w:hint="eastAsia" w:ascii="宋体" w:hAnsi="宋体"/>
          <w:b/>
          <w:bCs/>
          <w:szCs w:val="21"/>
          <w:highlight w:val="none"/>
        </w:rPr>
        <w:t>，如发现有下列情形之一的，投标文件将被视为无效：</w:t>
      </w:r>
    </w:p>
    <w:p>
      <w:pPr>
        <w:pStyle w:val="19"/>
        <w:snapToGrid w:val="0"/>
        <w:spacing w:line="400" w:lineRule="exact"/>
        <w:ind w:firstLine="411" w:firstLineChars="196"/>
        <w:rPr>
          <w:rFonts w:ascii="宋体" w:hAnsi="宋体" w:eastAsia="宋体"/>
          <w:sz w:val="21"/>
          <w:szCs w:val="21"/>
          <w:highlight w:val="none"/>
        </w:rPr>
      </w:pPr>
      <w:r>
        <w:rPr>
          <w:rFonts w:hint="eastAsia" w:ascii="宋体" w:hAnsi="宋体" w:eastAsia="宋体"/>
          <w:sz w:val="21"/>
          <w:szCs w:val="21"/>
          <w:highlight w:val="none"/>
        </w:rPr>
        <w:t>（1）投标人超越了按照法律法规规定必须获得行政许可或者行政审批的经营范围的。</w:t>
      </w:r>
    </w:p>
    <w:p>
      <w:pPr>
        <w:pStyle w:val="19"/>
        <w:snapToGrid w:val="0"/>
        <w:spacing w:line="400" w:lineRule="exact"/>
        <w:ind w:firstLine="411" w:firstLineChars="196"/>
        <w:rPr>
          <w:rFonts w:ascii="宋体" w:hAnsi="宋体" w:eastAsia="宋体"/>
          <w:sz w:val="21"/>
          <w:szCs w:val="21"/>
          <w:highlight w:val="none"/>
        </w:rPr>
      </w:pPr>
      <w:r>
        <w:rPr>
          <w:rFonts w:hint="eastAsia" w:ascii="宋体" w:hAnsi="宋体" w:eastAsia="宋体"/>
          <w:sz w:val="21"/>
          <w:szCs w:val="21"/>
          <w:highlight w:val="none"/>
        </w:rPr>
        <w:t>（2）投标人资格证明文件不全的，或者不符合招标文件标明的资格要求的。</w:t>
      </w:r>
    </w:p>
    <w:p>
      <w:pPr>
        <w:pStyle w:val="19"/>
        <w:snapToGrid w:val="0"/>
        <w:spacing w:line="400" w:lineRule="exact"/>
        <w:ind w:firstLine="411" w:firstLineChars="196"/>
        <w:rPr>
          <w:rFonts w:ascii="宋体" w:hAnsi="宋体" w:eastAsia="宋体"/>
          <w:sz w:val="21"/>
          <w:szCs w:val="21"/>
          <w:highlight w:val="none"/>
        </w:rPr>
      </w:pPr>
      <w:r>
        <w:rPr>
          <w:rFonts w:hint="eastAsia" w:ascii="宋体" w:hAnsi="宋体" w:eastAsia="宋体"/>
          <w:sz w:val="21"/>
          <w:szCs w:val="21"/>
          <w:highlight w:val="none"/>
        </w:rPr>
        <w:t>（3）投标人的投标文件无法定代表人（负责人）签字、或由委托代理人签字但未提供法定代表人（负责人）授权委托书，未提供投标声明书或者填写实质性要求项目不齐全的，或未按招标文件规定要求签署、盖章的。</w:t>
      </w:r>
    </w:p>
    <w:p>
      <w:pPr>
        <w:pStyle w:val="19"/>
        <w:snapToGrid w:val="0"/>
        <w:spacing w:line="400" w:lineRule="exact"/>
        <w:ind w:firstLine="411" w:firstLineChars="196"/>
        <w:rPr>
          <w:rFonts w:ascii="宋体" w:hAnsi="宋体" w:eastAsia="宋体"/>
          <w:sz w:val="21"/>
          <w:szCs w:val="21"/>
          <w:highlight w:val="none"/>
        </w:rPr>
      </w:pPr>
      <w:r>
        <w:rPr>
          <w:rFonts w:hint="eastAsia" w:ascii="宋体" w:hAnsi="宋体" w:eastAsia="宋体"/>
          <w:sz w:val="21"/>
          <w:szCs w:val="21"/>
          <w:highlight w:val="none"/>
        </w:rPr>
        <w:t xml:space="preserve">（4）投标人的投标代表未能出具身份证明或与法定代表人（负责人）授权委托人身份不符的。 </w:t>
      </w:r>
    </w:p>
    <w:p>
      <w:pPr>
        <w:pStyle w:val="19"/>
        <w:snapToGrid w:val="0"/>
        <w:spacing w:line="400" w:lineRule="exact"/>
        <w:ind w:firstLine="411" w:firstLineChars="196"/>
        <w:rPr>
          <w:rFonts w:ascii="宋体" w:hAnsi="宋体" w:eastAsia="宋体"/>
          <w:sz w:val="21"/>
          <w:szCs w:val="21"/>
          <w:highlight w:val="none"/>
        </w:rPr>
      </w:pPr>
      <w:r>
        <w:rPr>
          <w:rFonts w:hint="eastAsia" w:ascii="宋体" w:hAnsi="宋体" w:eastAsia="宋体"/>
          <w:sz w:val="21"/>
          <w:szCs w:val="21"/>
          <w:highlight w:val="none"/>
        </w:rPr>
        <w:t>（5）投标人的投标文件项目不齐全或者内容虚假的。</w:t>
      </w:r>
    </w:p>
    <w:p>
      <w:pPr>
        <w:pStyle w:val="19"/>
        <w:snapToGrid w:val="0"/>
        <w:spacing w:line="400" w:lineRule="exact"/>
        <w:ind w:firstLine="411" w:firstLineChars="196"/>
        <w:rPr>
          <w:rFonts w:ascii="宋体" w:hAnsi="宋体" w:eastAsia="宋体"/>
          <w:sz w:val="21"/>
          <w:szCs w:val="21"/>
          <w:highlight w:val="none"/>
        </w:rPr>
      </w:pPr>
      <w:r>
        <w:rPr>
          <w:rFonts w:hint="eastAsia" w:ascii="宋体" w:hAnsi="宋体" w:eastAsia="宋体"/>
          <w:sz w:val="21"/>
          <w:szCs w:val="21"/>
          <w:highlight w:val="none"/>
        </w:rPr>
        <w:t>（6）投标人的投标文件的实质性内容未使用中文表述、意思表述不明确、前后矛盾或者使用计量单位不符合招标文件要求的（经评标委员会认定并允许其当场更正的笔误除外）。</w:t>
      </w:r>
    </w:p>
    <w:p>
      <w:pPr>
        <w:pStyle w:val="19"/>
        <w:snapToGrid w:val="0"/>
        <w:spacing w:line="400" w:lineRule="exact"/>
        <w:ind w:firstLine="411" w:firstLineChars="196"/>
        <w:rPr>
          <w:rFonts w:ascii="宋体" w:hAnsi="宋体" w:eastAsia="宋体"/>
          <w:sz w:val="21"/>
          <w:szCs w:val="21"/>
          <w:highlight w:val="none"/>
        </w:rPr>
      </w:pPr>
      <w:r>
        <w:rPr>
          <w:rFonts w:hint="eastAsia" w:ascii="宋体" w:hAnsi="宋体" w:eastAsia="宋体"/>
          <w:sz w:val="21"/>
          <w:szCs w:val="21"/>
          <w:highlight w:val="none"/>
        </w:rPr>
        <w:t>（7）投标人的投标有效期、服务时间等商务条款不能满足招标文件要求的。</w:t>
      </w:r>
    </w:p>
    <w:p>
      <w:pPr>
        <w:pStyle w:val="19"/>
        <w:snapToGrid w:val="0"/>
        <w:spacing w:line="400" w:lineRule="exact"/>
        <w:ind w:firstLine="411" w:firstLineChars="196"/>
        <w:rPr>
          <w:rFonts w:ascii="宋体" w:hAnsi="宋体" w:eastAsia="宋体"/>
          <w:sz w:val="21"/>
          <w:szCs w:val="21"/>
          <w:highlight w:val="none"/>
        </w:rPr>
      </w:pPr>
      <w:r>
        <w:rPr>
          <w:rFonts w:hint="eastAsia" w:ascii="宋体" w:hAnsi="宋体" w:eastAsia="宋体"/>
          <w:sz w:val="21"/>
          <w:szCs w:val="21"/>
          <w:highlight w:val="none"/>
        </w:rPr>
        <w:t>（8）投标人未实质性响应招标文件或不符合法律、法规要求或投标文件有招标方不能接受的附加条件的。</w:t>
      </w:r>
    </w:p>
    <w:p>
      <w:pPr>
        <w:pStyle w:val="19"/>
        <w:snapToGrid w:val="0"/>
        <w:spacing w:line="400" w:lineRule="exact"/>
        <w:ind w:firstLine="413" w:firstLineChars="196"/>
        <w:rPr>
          <w:rFonts w:ascii="宋体" w:hAnsi="宋体" w:eastAsia="宋体"/>
          <w:b/>
          <w:bCs/>
          <w:sz w:val="21"/>
          <w:szCs w:val="21"/>
          <w:highlight w:val="none"/>
        </w:rPr>
      </w:pPr>
      <w:r>
        <w:rPr>
          <w:rFonts w:hint="eastAsia" w:ascii="宋体" w:hAnsi="宋体" w:eastAsia="宋体"/>
          <w:b/>
          <w:bCs/>
          <w:sz w:val="21"/>
          <w:szCs w:val="21"/>
          <w:highlight w:val="none"/>
        </w:rPr>
        <w:t>2.在技术评审时，如发现下列情形之一的，投标文件将被视为无效：</w:t>
      </w:r>
    </w:p>
    <w:p>
      <w:pPr>
        <w:pStyle w:val="19"/>
        <w:snapToGrid w:val="0"/>
        <w:spacing w:line="400" w:lineRule="exact"/>
        <w:ind w:firstLine="420" w:firstLineChars="200"/>
        <w:rPr>
          <w:rFonts w:ascii="宋体" w:hAnsi="宋体" w:eastAsia="宋体"/>
          <w:sz w:val="21"/>
          <w:szCs w:val="21"/>
          <w:highlight w:val="none"/>
        </w:rPr>
      </w:pPr>
      <w:r>
        <w:rPr>
          <w:rFonts w:hint="eastAsia" w:ascii="宋体" w:hAnsi="宋体" w:eastAsia="宋体"/>
          <w:sz w:val="21"/>
          <w:szCs w:val="21"/>
          <w:highlight w:val="none"/>
        </w:rPr>
        <w:t>（1）投标人未提供或未如实提供投标服务的内容，或者投标文件标明的响应或偏离与事实不符或虚假投标的。</w:t>
      </w:r>
    </w:p>
    <w:p>
      <w:pPr>
        <w:pStyle w:val="19"/>
        <w:snapToGrid w:val="0"/>
        <w:spacing w:line="400" w:lineRule="exact"/>
        <w:ind w:firstLine="420" w:firstLineChars="200"/>
        <w:rPr>
          <w:rFonts w:ascii="宋体" w:hAnsi="宋体" w:eastAsia="宋体"/>
          <w:sz w:val="21"/>
          <w:szCs w:val="21"/>
          <w:highlight w:val="none"/>
        </w:rPr>
      </w:pPr>
      <w:r>
        <w:rPr>
          <w:rFonts w:hint="eastAsia" w:ascii="宋体" w:hAnsi="宋体" w:eastAsia="宋体"/>
          <w:sz w:val="21"/>
          <w:szCs w:val="21"/>
          <w:highlight w:val="none"/>
        </w:rPr>
        <w:t>（2）投标人的投标文件明显不符合招标文件要求的服务内容、质量标准。</w:t>
      </w:r>
    </w:p>
    <w:p>
      <w:pPr>
        <w:pStyle w:val="19"/>
        <w:snapToGrid w:val="0"/>
        <w:spacing w:line="400" w:lineRule="exact"/>
        <w:ind w:firstLine="420" w:firstLineChars="200"/>
        <w:rPr>
          <w:rFonts w:ascii="宋体" w:hAnsi="宋体" w:eastAsia="宋体"/>
          <w:sz w:val="21"/>
          <w:szCs w:val="21"/>
          <w:highlight w:val="none"/>
        </w:rPr>
      </w:pPr>
      <w:r>
        <w:rPr>
          <w:rFonts w:hint="eastAsia" w:ascii="宋体" w:hAnsi="宋体" w:eastAsia="宋体"/>
          <w:sz w:val="21"/>
          <w:szCs w:val="21"/>
          <w:highlight w:val="none"/>
        </w:rPr>
        <w:t>（3）投标人的投标技术方案不明确，存在一个或一个以上备选（替代）投标方案的。</w:t>
      </w:r>
    </w:p>
    <w:p>
      <w:pPr>
        <w:pStyle w:val="19"/>
        <w:snapToGrid w:val="0"/>
        <w:spacing w:line="400" w:lineRule="exact"/>
        <w:ind w:firstLine="420" w:firstLineChars="200"/>
        <w:rPr>
          <w:rFonts w:ascii="宋体" w:hAnsi="宋体" w:eastAsia="宋体"/>
          <w:sz w:val="21"/>
          <w:szCs w:val="21"/>
          <w:highlight w:val="none"/>
        </w:rPr>
      </w:pPr>
      <w:r>
        <w:rPr>
          <w:rFonts w:hint="eastAsia" w:ascii="宋体" w:hAnsi="宋体" w:eastAsia="宋体"/>
          <w:sz w:val="21"/>
          <w:szCs w:val="21"/>
          <w:highlight w:val="none"/>
        </w:rPr>
        <w:t>（4）投标人的投标文件与其他参加本次投标供应商的投标文件（技术文件）的文字表述内容相同连续20行以上或者差错相同2处以上的。</w:t>
      </w:r>
    </w:p>
    <w:p>
      <w:pPr>
        <w:pStyle w:val="19"/>
        <w:snapToGrid w:val="0"/>
        <w:spacing w:line="400" w:lineRule="exact"/>
        <w:ind w:firstLine="413" w:firstLineChars="196"/>
        <w:rPr>
          <w:rFonts w:ascii="宋体" w:hAnsi="宋体" w:eastAsia="宋体"/>
          <w:b/>
          <w:bCs/>
          <w:sz w:val="21"/>
          <w:szCs w:val="21"/>
          <w:highlight w:val="none"/>
        </w:rPr>
      </w:pPr>
      <w:r>
        <w:rPr>
          <w:rFonts w:hint="eastAsia" w:ascii="宋体" w:hAnsi="宋体" w:eastAsia="宋体"/>
          <w:b/>
          <w:bCs/>
          <w:sz w:val="21"/>
          <w:szCs w:val="21"/>
          <w:highlight w:val="none"/>
        </w:rPr>
        <w:t>3.在报价评审时，如发现下列情形之一的，投标文件将被视为无效：</w:t>
      </w:r>
    </w:p>
    <w:p>
      <w:pPr>
        <w:pStyle w:val="19"/>
        <w:snapToGrid w:val="0"/>
        <w:spacing w:line="400" w:lineRule="exact"/>
        <w:ind w:firstLine="411" w:firstLineChars="196"/>
        <w:rPr>
          <w:rFonts w:ascii="宋体" w:hAnsi="宋体" w:eastAsia="宋体"/>
          <w:sz w:val="21"/>
          <w:szCs w:val="21"/>
          <w:highlight w:val="none"/>
        </w:rPr>
      </w:pPr>
      <w:r>
        <w:rPr>
          <w:rFonts w:hint="eastAsia" w:ascii="宋体" w:hAnsi="宋体" w:eastAsia="宋体"/>
          <w:sz w:val="21"/>
          <w:szCs w:val="21"/>
          <w:highlight w:val="none"/>
        </w:rPr>
        <w:t>（1）投标人未采用人民币报价或者未按照招标文件标明的币种报价的；</w:t>
      </w:r>
    </w:p>
    <w:p>
      <w:pPr>
        <w:pStyle w:val="19"/>
        <w:snapToGrid w:val="0"/>
        <w:spacing w:line="400" w:lineRule="exact"/>
        <w:ind w:firstLine="411" w:firstLineChars="196"/>
        <w:rPr>
          <w:rFonts w:ascii="宋体" w:hAnsi="宋体" w:eastAsia="宋体"/>
          <w:sz w:val="21"/>
          <w:szCs w:val="21"/>
          <w:highlight w:val="none"/>
        </w:rPr>
      </w:pPr>
      <w:r>
        <w:rPr>
          <w:rFonts w:hint="eastAsia" w:ascii="宋体" w:hAnsi="宋体" w:eastAsia="宋体"/>
          <w:sz w:val="21"/>
          <w:szCs w:val="21"/>
          <w:highlight w:val="none"/>
        </w:rPr>
        <w:t>（2）投标人的报价超出最高限价，或者超出采购预算金额，采购人不能支付的；</w:t>
      </w:r>
    </w:p>
    <w:p>
      <w:pPr>
        <w:pStyle w:val="19"/>
        <w:snapToGrid w:val="0"/>
        <w:spacing w:line="400" w:lineRule="exact"/>
        <w:ind w:firstLine="420" w:firstLineChars="200"/>
        <w:rPr>
          <w:rFonts w:ascii="宋体" w:hAnsi="宋体" w:eastAsia="宋体"/>
          <w:sz w:val="21"/>
          <w:szCs w:val="21"/>
          <w:highlight w:val="none"/>
        </w:rPr>
      </w:pPr>
      <w:r>
        <w:rPr>
          <w:rFonts w:hint="eastAsia" w:ascii="宋体" w:hAnsi="宋体" w:eastAsia="宋体"/>
          <w:sz w:val="21"/>
          <w:szCs w:val="21"/>
          <w:highlight w:val="none"/>
        </w:rPr>
        <w:t>（3）投标人的投标报价具有选择性，或者开标价格与投标文件承诺的优惠（折扣）价格不一致的。</w:t>
      </w:r>
    </w:p>
    <w:p>
      <w:pPr>
        <w:pStyle w:val="19"/>
        <w:snapToGrid w:val="0"/>
        <w:spacing w:line="400" w:lineRule="exact"/>
        <w:ind w:firstLine="413" w:firstLineChars="196"/>
        <w:rPr>
          <w:rFonts w:ascii="宋体" w:hAnsi="宋体" w:eastAsia="宋体"/>
          <w:b/>
          <w:sz w:val="21"/>
          <w:szCs w:val="21"/>
          <w:highlight w:val="none"/>
        </w:rPr>
      </w:pPr>
      <w:r>
        <w:rPr>
          <w:rFonts w:hint="eastAsia" w:ascii="宋体" w:hAnsi="宋体" w:eastAsia="宋体"/>
          <w:b/>
          <w:sz w:val="21"/>
          <w:szCs w:val="21"/>
          <w:highlight w:val="none"/>
        </w:rPr>
        <w:t>4.被拒绝的投标文件为无效投标。</w:t>
      </w:r>
    </w:p>
    <w:p>
      <w:pPr>
        <w:pStyle w:val="19"/>
        <w:snapToGrid w:val="0"/>
        <w:spacing w:line="400" w:lineRule="exact"/>
        <w:ind w:firstLine="413" w:firstLineChars="196"/>
        <w:outlineLvl w:val="1"/>
        <w:rPr>
          <w:rFonts w:ascii="宋体" w:hAnsi="宋体" w:eastAsia="宋体"/>
          <w:b/>
          <w:snapToGrid w:val="0"/>
          <w:sz w:val="21"/>
          <w:szCs w:val="21"/>
          <w:highlight w:val="none"/>
        </w:rPr>
      </w:pPr>
      <w:bookmarkStart w:id="75" w:name="_Toc254970685"/>
      <w:bookmarkStart w:id="76" w:name="_Toc430110147"/>
      <w:bookmarkStart w:id="77" w:name="_Toc254970544"/>
      <w:r>
        <w:rPr>
          <w:rFonts w:hint="eastAsia" w:ascii="宋体" w:hAnsi="宋体" w:eastAsia="宋体"/>
          <w:b/>
          <w:sz w:val="21"/>
          <w:szCs w:val="21"/>
          <w:highlight w:val="none"/>
        </w:rPr>
        <w:t>四、开标</w:t>
      </w:r>
      <w:bookmarkEnd w:id="75"/>
      <w:bookmarkEnd w:id="76"/>
      <w:bookmarkEnd w:id="77"/>
    </w:p>
    <w:p>
      <w:pPr>
        <w:pStyle w:val="22"/>
        <w:snapToGrid w:val="0"/>
        <w:spacing w:line="400" w:lineRule="exact"/>
        <w:ind w:firstLine="413" w:firstLineChars="196"/>
        <w:rPr>
          <w:rFonts w:hAnsi="宋体"/>
          <w:b/>
          <w:sz w:val="21"/>
          <w:highlight w:val="none"/>
        </w:rPr>
      </w:pPr>
      <w:r>
        <w:rPr>
          <w:rFonts w:hint="eastAsia" w:hAnsi="宋体"/>
          <w:b/>
          <w:sz w:val="21"/>
          <w:highlight w:val="none"/>
        </w:rPr>
        <w:t>（一）开标准备</w:t>
      </w:r>
    </w:p>
    <w:p>
      <w:pPr>
        <w:pStyle w:val="22"/>
        <w:snapToGrid w:val="0"/>
        <w:spacing w:line="400" w:lineRule="exact"/>
        <w:ind w:firstLine="420" w:firstLineChars="200"/>
        <w:rPr>
          <w:rFonts w:hAnsi="宋体"/>
          <w:bCs/>
          <w:sz w:val="21"/>
          <w:highlight w:val="none"/>
        </w:rPr>
      </w:pPr>
      <w:r>
        <w:rPr>
          <w:rFonts w:hint="eastAsia" w:hAnsi="宋体"/>
          <w:bCs/>
          <w:sz w:val="21"/>
          <w:highlight w:val="none"/>
        </w:rPr>
        <w:t>采购代理机构将在规定的时间和地点进行开标，投标人的法定代表人（负责人）或委托代理人必须持证件</w:t>
      </w:r>
      <w:r>
        <w:rPr>
          <w:rFonts w:hint="eastAsia" w:hAnsi="宋体" w:cs="Arial"/>
          <w:b/>
          <w:sz w:val="21"/>
          <w:highlight w:val="none"/>
        </w:rPr>
        <w:t>(法定代表人（负责人）须携带法定代表人（负责人）身份证明书原件、身份证原件出席；委托代理人须携带本人身份证原件、法定代表人（负责人）授权委托书原件出席)</w:t>
      </w:r>
      <w:r>
        <w:rPr>
          <w:rFonts w:hint="eastAsia" w:hAnsi="宋体"/>
          <w:bCs/>
          <w:sz w:val="21"/>
          <w:highlight w:val="none"/>
        </w:rPr>
        <w:t>参加开标会并签到。投标时间截止后，参加投标的投标人不足三家的，应予废标。</w:t>
      </w:r>
    </w:p>
    <w:p>
      <w:pPr>
        <w:pStyle w:val="22"/>
        <w:snapToGrid w:val="0"/>
        <w:spacing w:line="400" w:lineRule="exact"/>
        <w:ind w:firstLine="413" w:firstLineChars="196"/>
        <w:rPr>
          <w:rFonts w:hAnsi="宋体"/>
          <w:b/>
          <w:sz w:val="21"/>
          <w:highlight w:val="none"/>
        </w:rPr>
      </w:pPr>
      <w:r>
        <w:rPr>
          <w:rFonts w:hint="eastAsia" w:hAnsi="宋体"/>
          <w:b/>
          <w:sz w:val="21"/>
          <w:highlight w:val="none"/>
        </w:rPr>
        <w:t>（二） 开标程序：</w:t>
      </w:r>
    </w:p>
    <w:p>
      <w:pPr>
        <w:snapToGrid w:val="0"/>
        <w:spacing w:line="400" w:lineRule="exact"/>
        <w:ind w:firstLine="420"/>
        <w:jc w:val="left"/>
        <w:rPr>
          <w:rFonts w:ascii="宋体" w:hAnsi="宋体"/>
          <w:szCs w:val="21"/>
          <w:highlight w:val="none"/>
        </w:rPr>
      </w:pPr>
      <w:r>
        <w:rPr>
          <w:rFonts w:hint="eastAsia" w:ascii="宋体" w:hAnsi="宋体"/>
          <w:szCs w:val="21"/>
          <w:highlight w:val="none"/>
        </w:rPr>
        <w:t>1.开标会由采购代理机构主持，主持人宣布开标会议开始；</w:t>
      </w:r>
    </w:p>
    <w:p>
      <w:pPr>
        <w:snapToGrid w:val="0"/>
        <w:spacing w:line="400" w:lineRule="exact"/>
        <w:ind w:firstLine="420"/>
        <w:jc w:val="left"/>
        <w:rPr>
          <w:rFonts w:ascii="宋体" w:hAnsi="宋体"/>
          <w:szCs w:val="21"/>
          <w:highlight w:val="none"/>
        </w:rPr>
      </w:pPr>
      <w:r>
        <w:rPr>
          <w:rFonts w:hint="eastAsia" w:ascii="宋体" w:hAnsi="宋体"/>
          <w:szCs w:val="21"/>
          <w:highlight w:val="none"/>
        </w:rPr>
        <w:t xml:space="preserve">2.主持人介绍参加开标会的人员名单； </w:t>
      </w:r>
    </w:p>
    <w:p>
      <w:pPr>
        <w:snapToGrid w:val="0"/>
        <w:spacing w:line="400" w:lineRule="exact"/>
        <w:ind w:firstLine="420"/>
        <w:jc w:val="left"/>
        <w:rPr>
          <w:rFonts w:ascii="宋体" w:hAnsi="宋体"/>
          <w:szCs w:val="21"/>
          <w:highlight w:val="none"/>
        </w:rPr>
      </w:pPr>
      <w:r>
        <w:rPr>
          <w:rFonts w:hint="eastAsia" w:ascii="宋体" w:hAnsi="宋体"/>
          <w:szCs w:val="21"/>
          <w:highlight w:val="none"/>
        </w:rPr>
        <w:t>3.主持人宣布评标期间的有关事项，并告知应当回避的情形，提请有关人员回避；</w:t>
      </w:r>
    </w:p>
    <w:p>
      <w:pPr>
        <w:snapToGrid w:val="0"/>
        <w:spacing w:line="400" w:lineRule="exact"/>
        <w:ind w:firstLine="420"/>
        <w:jc w:val="left"/>
        <w:rPr>
          <w:rFonts w:ascii="宋体" w:hAnsi="宋体"/>
          <w:szCs w:val="21"/>
          <w:highlight w:val="none"/>
        </w:rPr>
      </w:pPr>
      <w:r>
        <w:rPr>
          <w:rFonts w:hint="eastAsia" w:ascii="宋体" w:hAnsi="宋体"/>
          <w:szCs w:val="21"/>
          <w:highlight w:val="none"/>
        </w:rPr>
        <w:t>4.</w:t>
      </w:r>
      <w:r>
        <w:rPr>
          <w:rFonts w:hint="eastAsia" w:hAnsi="宋体"/>
          <w:szCs w:val="21"/>
          <w:highlight w:val="none"/>
        </w:rPr>
        <w:t>投标人或其当场推荐的代表及监督人员一同检查投标文件密封的完整性并签字确认；</w:t>
      </w:r>
    </w:p>
    <w:p>
      <w:pPr>
        <w:snapToGrid w:val="0"/>
        <w:spacing w:line="400" w:lineRule="exact"/>
        <w:ind w:firstLine="420"/>
        <w:jc w:val="left"/>
        <w:rPr>
          <w:rFonts w:ascii="宋体" w:hAnsi="宋体"/>
          <w:szCs w:val="21"/>
          <w:highlight w:val="none"/>
        </w:rPr>
      </w:pPr>
      <w:r>
        <w:rPr>
          <w:rFonts w:hint="eastAsia" w:ascii="宋体" w:hAnsi="宋体"/>
          <w:szCs w:val="21"/>
          <w:highlight w:val="none"/>
        </w:rPr>
        <w:t>5.</w:t>
      </w:r>
      <w:r>
        <w:rPr>
          <w:rFonts w:hint="eastAsia" w:hAnsi="宋体"/>
          <w:szCs w:val="21"/>
          <w:highlight w:val="none"/>
        </w:rPr>
        <w:t xml:space="preserve"> 随机打开资格审查文件、商务/技术文件、报价文件外包装；</w:t>
      </w:r>
    </w:p>
    <w:p>
      <w:pPr>
        <w:snapToGrid w:val="0"/>
        <w:spacing w:line="400" w:lineRule="exact"/>
        <w:ind w:firstLine="420"/>
        <w:jc w:val="left"/>
        <w:rPr>
          <w:rFonts w:ascii="宋体" w:hAnsi="宋体"/>
          <w:szCs w:val="21"/>
          <w:highlight w:val="none"/>
        </w:rPr>
      </w:pPr>
      <w:r>
        <w:rPr>
          <w:rFonts w:hint="eastAsia" w:ascii="宋体" w:hAnsi="宋体"/>
          <w:szCs w:val="21"/>
          <w:highlight w:val="none"/>
        </w:rPr>
        <w:t>6.</w:t>
      </w:r>
      <w:r>
        <w:rPr>
          <w:rFonts w:hint="eastAsia" w:hAnsi="宋体"/>
          <w:szCs w:val="21"/>
          <w:highlight w:val="none"/>
        </w:rPr>
        <w:t xml:space="preserve"> 启封《开标一览表》，</w:t>
      </w:r>
      <w:r>
        <w:rPr>
          <w:rFonts w:hint="eastAsia" w:ascii="宋体" w:hAnsi="宋体"/>
          <w:szCs w:val="21"/>
          <w:highlight w:val="none"/>
        </w:rPr>
        <w:t>唱标；</w:t>
      </w:r>
    </w:p>
    <w:p>
      <w:pPr>
        <w:snapToGrid w:val="0"/>
        <w:spacing w:line="400" w:lineRule="exact"/>
        <w:ind w:firstLine="420"/>
        <w:jc w:val="left"/>
        <w:rPr>
          <w:rFonts w:ascii="宋体" w:hAnsi="宋体"/>
          <w:szCs w:val="21"/>
          <w:highlight w:val="none"/>
        </w:rPr>
      </w:pPr>
      <w:r>
        <w:rPr>
          <w:rFonts w:hint="eastAsia" w:ascii="宋体" w:hAnsi="宋体"/>
          <w:szCs w:val="21"/>
          <w:highlight w:val="none"/>
        </w:rPr>
        <w:t>7.采购代理机构做开标记录， 投标人代表对开标记录进行当场校核及勘误，并签字确认；同时由记录人、监督人当场签字确认。投标人代表未到场签字确认或者拒绝签字确认的，不影响评标过程；</w:t>
      </w:r>
    </w:p>
    <w:p>
      <w:pPr>
        <w:snapToGrid w:val="0"/>
        <w:spacing w:line="400" w:lineRule="exact"/>
        <w:ind w:firstLine="420"/>
        <w:jc w:val="left"/>
        <w:rPr>
          <w:rFonts w:ascii="宋体" w:hAnsi="宋体"/>
          <w:szCs w:val="21"/>
          <w:highlight w:val="none"/>
        </w:rPr>
      </w:pPr>
      <w:r>
        <w:rPr>
          <w:rFonts w:hint="eastAsia" w:ascii="宋体" w:hAnsi="宋体"/>
          <w:szCs w:val="21"/>
          <w:highlight w:val="none"/>
        </w:rPr>
        <w:t>8.开标会议结束。</w:t>
      </w:r>
    </w:p>
    <w:p>
      <w:pPr>
        <w:pStyle w:val="22"/>
        <w:snapToGrid w:val="0"/>
        <w:spacing w:line="400" w:lineRule="exact"/>
        <w:ind w:left="772" w:leftChars="267" w:hanging="211" w:hangingChars="100"/>
        <w:outlineLvl w:val="1"/>
        <w:rPr>
          <w:rFonts w:hAnsi="宋体"/>
          <w:b/>
          <w:sz w:val="21"/>
          <w:highlight w:val="none"/>
        </w:rPr>
      </w:pPr>
      <w:bookmarkStart w:id="78" w:name="_Toc254970545"/>
      <w:bookmarkStart w:id="79" w:name="_Toc430110148"/>
      <w:bookmarkStart w:id="80" w:name="_Toc254970686"/>
      <w:r>
        <w:rPr>
          <w:rFonts w:hint="eastAsia" w:hAnsi="宋体"/>
          <w:b/>
          <w:sz w:val="21"/>
          <w:highlight w:val="none"/>
        </w:rPr>
        <w:t>五、评标</w:t>
      </w:r>
      <w:bookmarkEnd w:id="78"/>
      <w:bookmarkEnd w:id="79"/>
      <w:bookmarkEnd w:id="80"/>
    </w:p>
    <w:p>
      <w:pPr>
        <w:pStyle w:val="22"/>
        <w:snapToGrid w:val="0"/>
        <w:spacing w:line="400" w:lineRule="exact"/>
        <w:ind w:left="690" w:leftChars="228" w:hanging="211" w:hangingChars="100"/>
        <w:rPr>
          <w:rFonts w:hAnsi="宋体"/>
          <w:b/>
          <w:sz w:val="21"/>
          <w:highlight w:val="none"/>
        </w:rPr>
      </w:pPr>
      <w:r>
        <w:rPr>
          <w:rFonts w:hint="eastAsia" w:hAnsi="宋体"/>
          <w:b/>
          <w:sz w:val="21"/>
          <w:highlight w:val="none"/>
        </w:rPr>
        <w:t>（一）组建评标委员会</w:t>
      </w:r>
    </w:p>
    <w:p>
      <w:pPr>
        <w:pStyle w:val="22"/>
        <w:snapToGrid w:val="0"/>
        <w:spacing w:line="400" w:lineRule="exact"/>
        <w:ind w:firstLine="420" w:firstLineChars="200"/>
        <w:rPr>
          <w:rFonts w:hAnsi="宋体"/>
          <w:sz w:val="21"/>
          <w:highlight w:val="none"/>
        </w:rPr>
      </w:pPr>
      <w:r>
        <w:rPr>
          <w:rFonts w:hint="eastAsia" w:hAnsi="宋体"/>
          <w:sz w:val="21"/>
          <w:highlight w:val="none"/>
        </w:rPr>
        <w:t>本项目评标委员会由采购人代表和采购评审专家共</w:t>
      </w:r>
      <w:r>
        <w:rPr>
          <w:rFonts w:hint="eastAsia" w:hAnsi="宋体"/>
          <w:sz w:val="21"/>
          <w:highlight w:val="none"/>
          <w:u w:val="single"/>
        </w:rPr>
        <w:t>5</w:t>
      </w:r>
      <w:r>
        <w:rPr>
          <w:rFonts w:hint="eastAsia" w:hAnsi="宋体"/>
          <w:sz w:val="21"/>
          <w:highlight w:val="none"/>
        </w:rPr>
        <w:t>人组成。</w:t>
      </w:r>
    </w:p>
    <w:p>
      <w:pPr>
        <w:pStyle w:val="22"/>
        <w:snapToGrid w:val="0"/>
        <w:spacing w:line="400" w:lineRule="exact"/>
        <w:ind w:left="690" w:leftChars="228" w:hanging="211" w:hangingChars="100"/>
        <w:rPr>
          <w:rFonts w:hAnsi="宋体"/>
          <w:b/>
          <w:sz w:val="21"/>
          <w:highlight w:val="none"/>
        </w:rPr>
      </w:pPr>
      <w:r>
        <w:rPr>
          <w:rFonts w:hint="eastAsia" w:hAnsi="宋体"/>
          <w:b/>
          <w:sz w:val="21"/>
          <w:highlight w:val="none"/>
        </w:rPr>
        <w:t>（二）评标的方式</w:t>
      </w:r>
    </w:p>
    <w:p>
      <w:pPr>
        <w:pStyle w:val="22"/>
        <w:snapToGrid w:val="0"/>
        <w:spacing w:line="400" w:lineRule="exact"/>
        <w:ind w:left="689" w:leftChars="228" w:hanging="210" w:hangingChars="100"/>
        <w:rPr>
          <w:rFonts w:hAnsi="宋体"/>
          <w:sz w:val="21"/>
          <w:highlight w:val="none"/>
        </w:rPr>
      </w:pPr>
      <w:r>
        <w:rPr>
          <w:rFonts w:hint="eastAsia" w:hAnsi="宋体"/>
          <w:sz w:val="21"/>
          <w:highlight w:val="none"/>
        </w:rPr>
        <w:t>本项目采用不公开方式评标，评标的依据为招标文件和投标文件。</w:t>
      </w:r>
    </w:p>
    <w:p>
      <w:pPr>
        <w:pStyle w:val="22"/>
        <w:snapToGrid w:val="0"/>
        <w:spacing w:line="400" w:lineRule="exact"/>
        <w:ind w:left="690" w:leftChars="228" w:hanging="211" w:hangingChars="100"/>
        <w:rPr>
          <w:rFonts w:hAnsi="宋体"/>
          <w:b/>
          <w:sz w:val="21"/>
          <w:highlight w:val="none"/>
        </w:rPr>
      </w:pPr>
      <w:r>
        <w:rPr>
          <w:rFonts w:hint="eastAsia" w:hAnsi="宋体"/>
          <w:b/>
          <w:sz w:val="21"/>
          <w:highlight w:val="none"/>
        </w:rPr>
        <w:t>（三）</w:t>
      </w:r>
      <w:r>
        <w:rPr>
          <w:rFonts w:hint="eastAsia" w:hAnsi="宋体"/>
          <w:b/>
          <w:bCs/>
          <w:sz w:val="21"/>
          <w:highlight w:val="none"/>
        </w:rPr>
        <w:t>评标程序</w:t>
      </w:r>
    </w:p>
    <w:p>
      <w:pPr>
        <w:snapToGrid w:val="0"/>
        <w:spacing w:line="400" w:lineRule="exact"/>
        <w:ind w:firstLine="422" w:firstLineChars="200"/>
        <w:rPr>
          <w:rFonts w:ascii="宋体" w:hAnsi="宋体"/>
          <w:b/>
          <w:bCs/>
          <w:szCs w:val="21"/>
          <w:highlight w:val="none"/>
        </w:rPr>
      </w:pPr>
      <w:r>
        <w:rPr>
          <w:rFonts w:hint="eastAsia" w:ascii="宋体" w:hAnsi="宋体"/>
          <w:b/>
          <w:bCs/>
          <w:szCs w:val="21"/>
          <w:highlight w:val="none"/>
        </w:rPr>
        <w:t>1.资格审查</w:t>
      </w:r>
    </w:p>
    <w:p>
      <w:pPr>
        <w:snapToGrid w:val="0"/>
        <w:spacing w:line="400" w:lineRule="exact"/>
        <w:ind w:firstLine="420" w:firstLineChars="200"/>
        <w:rPr>
          <w:rFonts w:ascii="宋体" w:hAnsi="宋体"/>
          <w:bCs/>
          <w:szCs w:val="21"/>
          <w:highlight w:val="none"/>
        </w:rPr>
      </w:pPr>
      <w:r>
        <w:rPr>
          <w:rFonts w:hint="eastAsia" w:ascii="宋体" w:hAnsi="宋体"/>
          <w:bCs/>
          <w:szCs w:val="21"/>
          <w:highlight w:val="none"/>
        </w:rPr>
        <w:t>采购人代表对投标人的资格文件就行审查，资格文件不符合要求的，资格审查不通过，不进入详细评审。</w:t>
      </w:r>
    </w:p>
    <w:p>
      <w:pPr>
        <w:snapToGrid w:val="0"/>
        <w:spacing w:line="400" w:lineRule="exact"/>
        <w:ind w:firstLine="422" w:firstLineChars="200"/>
        <w:rPr>
          <w:rFonts w:ascii="宋体" w:hAnsi="宋体"/>
          <w:b/>
          <w:bCs/>
          <w:szCs w:val="21"/>
          <w:highlight w:val="none"/>
        </w:rPr>
      </w:pPr>
      <w:r>
        <w:rPr>
          <w:rFonts w:hint="eastAsia" w:ascii="宋体" w:hAnsi="宋体"/>
          <w:b/>
          <w:bCs/>
          <w:szCs w:val="21"/>
          <w:highlight w:val="none"/>
        </w:rPr>
        <w:t>2.实质审查与比较</w:t>
      </w:r>
    </w:p>
    <w:p>
      <w:pPr>
        <w:snapToGrid w:val="0"/>
        <w:spacing w:line="400" w:lineRule="exact"/>
        <w:ind w:firstLine="420" w:firstLineChars="200"/>
        <w:rPr>
          <w:rFonts w:ascii="宋体" w:hAnsi="宋体"/>
          <w:bCs/>
          <w:szCs w:val="21"/>
          <w:highlight w:val="none"/>
        </w:rPr>
      </w:pPr>
      <w:r>
        <w:rPr>
          <w:rFonts w:hint="eastAsia" w:ascii="宋体" w:hAnsi="宋体"/>
          <w:bCs/>
          <w:szCs w:val="21"/>
          <w:highlight w:val="none"/>
        </w:rPr>
        <w:t>（1）评标委员会审查投标文件的实质性内容是否符合招标文件的实质性要求。</w:t>
      </w:r>
    </w:p>
    <w:p>
      <w:pPr>
        <w:snapToGrid w:val="0"/>
        <w:spacing w:line="400" w:lineRule="exact"/>
        <w:ind w:firstLine="420" w:firstLineChars="200"/>
        <w:rPr>
          <w:rFonts w:ascii="宋体" w:hAnsi="宋体"/>
          <w:bCs/>
          <w:szCs w:val="21"/>
          <w:highlight w:val="none"/>
        </w:rPr>
      </w:pPr>
      <w:r>
        <w:rPr>
          <w:rFonts w:hint="eastAsia" w:ascii="宋体" w:hAnsi="宋体"/>
          <w:bCs/>
          <w:szCs w:val="21"/>
          <w:highlight w:val="none"/>
        </w:rPr>
        <w:t>（2）评标委员会将根据投标人的投标文件进行审查、核对，如有疑问，将对投标人进行询标，投标人要向评标委员会澄清有关问题，并最终以书面形式进行答复。</w:t>
      </w:r>
    </w:p>
    <w:p>
      <w:pPr>
        <w:snapToGrid w:val="0"/>
        <w:spacing w:line="400" w:lineRule="exact"/>
        <w:ind w:firstLine="420" w:firstLineChars="200"/>
        <w:rPr>
          <w:rFonts w:ascii="宋体" w:hAnsi="宋体"/>
          <w:bCs/>
          <w:szCs w:val="21"/>
          <w:highlight w:val="none"/>
        </w:rPr>
      </w:pPr>
      <w:r>
        <w:rPr>
          <w:rFonts w:hint="eastAsia" w:ascii="宋体" w:hAnsi="宋体"/>
          <w:bCs/>
          <w:szCs w:val="21"/>
          <w:highlight w:val="none"/>
        </w:rPr>
        <w:t>投标人代表未到场或者拒绝澄清或者澄清的内容改变了投标文件的实质性内容的，评标委员会有权视该投标文件无效。</w:t>
      </w:r>
    </w:p>
    <w:p>
      <w:pPr>
        <w:snapToGrid w:val="0"/>
        <w:spacing w:line="400" w:lineRule="exact"/>
        <w:ind w:firstLine="420" w:firstLineChars="200"/>
        <w:rPr>
          <w:rFonts w:ascii="宋体" w:hAnsi="宋体"/>
          <w:bCs/>
          <w:szCs w:val="21"/>
          <w:highlight w:val="none"/>
        </w:rPr>
      </w:pPr>
      <w:r>
        <w:rPr>
          <w:rFonts w:hint="eastAsia" w:ascii="宋体" w:hAnsi="宋体"/>
          <w:bCs/>
          <w:szCs w:val="21"/>
          <w:highlight w:val="none"/>
        </w:rPr>
        <w:t>（3）投标人的技术得分为所有评委的有效评分的算术平均数，并指定专人进行计算复核。</w:t>
      </w:r>
    </w:p>
    <w:p>
      <w:pPr>
        <w:snapToGrid w:val="0"/>
        <w:spacing w:line="400" w:lineRule="exact"/>
        <w:ind w:firstLine="420" w:firstLineChars="200"/>
        <w:rPr>
          <w:rFonts w:ascii="宋体" w:hAnsi="宋体"/>
          <w:bCs/>
          <w:szCs w:val="21"/>
          <w:highlight w:val="none"/>
        </w:rPr>
      </w:pPr>
      <w:r>
        <w:rPr>
          <w:rFonts w:hint="eastAsia" w:ascii="宋体" w:hAnsi="宋体"/>
          <w:bCs/>
          <w:szCs w:val="21"/>
          <w:highlight w:val="none"/>
        </w:rPr>
        <w:t>（4）采购代理机构工作人员协助评标委员会根据本项目的评分标准计算各投标人的商务报价得分。</w:t>
      </w:r>
    </w:p>
    <w:p>
      <w:pPr>
        <w:snapToGrid w:val="0"/>
        <w:spacing w:line="400" w:lineRule="exact"/>
        <w:ind w:firstLine="420" w:firstLineChars="200"/>
        <w:rPr>
          <w:rFonts w:ascii="宋体" w:hAnsi="宋体"/>
          <w:bCs/>
          <w:szCs w:val="21"/>
          <w:highlight w:val="none"/>
        </w:rPr>
      </w:pPr>
      <w:r>
        <w:rPr>
          <w:rFonts w:hint="eastAsia" w:ascii="宋体" w:hAnsi="宋体"/>
          <w:bCs/>
          <w:szCs w:val="21"/>
          <w:highlight w:val="none"/>
        </w:rPr>
        <w:t>（5）评标委员会完成评标后，评委对各部分得分汇总，计算出本项目最终得分、性价比、评标价等。评标委员会按评标原则推荐中标候选人同时起草评标报告。</w:t>
      </w:r>
    </w:p>
    <w:p>
      <w:pPr>
        <w:snapToGrid w:val="0"/>
        <w:spacing w:line="400" w:lineRule="exact"/>
        <w:ind w:firstLine="422" w:firstLineChars="200"/>
        <w:rPr>
          <w:rFonts w:ascii="宋体" w:hAnsi="宋体"/>
          <w:b/>
          <w:szCs w:val="21"/>
          <w:highlight w:val="none"/>
        </w:rPr>
      </w:pPr>
      <w:r>
        <w:rPr>
          <w:rFonts w:hint="eastAsia" w:ascii="宋体" w:hAnsi="宋体"/>
          <w:b/>
          <w:szCs w:val="21"/>
          <w:highlight w:val="none"/>
        </w:rPr>
        <w:t>（四）澄清问题的形式</w:t>
      </w:r>
    </w:p>
    <w:p>
      <w:pPr>
        <w:snapToGrid w:val="0"/>
        <w:spacing w:line="400" w:lineRule="exact"/>
        <w:ind w:firstLine="420" w:firstLineChars="200"/>
        <w:rPr>
          <w:rFonts w:ascii="宋体" w:hAnsi="宋体"/>
          <w:szCs w:val="21"/>
          <w:highlight w:val="none"/>
        </w:rPr>
      </w:pPr>
      <w:r>
        <w:rPr>
          <w:rFonts w:hint="eastAsia" w:ascii="宋体" w:hAnsi="宋体"/>
          <w:szCs w:val="21"/>
          <w:highlight w:val="none"/>
        </w:rPr>
        <w:t>对投标文件中含义不明确、同类问题表述不一致或者有明显文字和计算错误的内容，评标委员会可要求投标人作出必要的澄清、说明或者纠正。投标人的澄清、说明或者补正应当采用书面形式，由其</w:t>
      </w:r>
      <w:r>
        <w:rPr>
          <w:rFonts w:hint="eastAsia" w:hAnsi="宋体"/>
          <w:bCs/>
          <w:szCs w:val="21"/>
          <w:highlight w:val="none"/>
        </w:rPr>
        <w:t>法定代表人（负责人）或委托代理人</w:t>
      </w:r>
      <w:r>
        <w:rPr>
          <w:rFonts w:hint="eastAsia" w:ascii="宋体" w:hAnsi="宋体"/>
          <w:szCs w:val="21"/>
          <w:highlight w:val="none"/>
        </w:rPr>
        <w:t>签字确认，但不得超出投标文件的范围或者改变投标文件的实质性内容。</w:t>
      </w:r>
    </w:p>
    <w:p>
      <w:pPr>
        <w:pStyle w:val="22"/>
        <w:snapToGrid w:val="0"/>
        <w:spacing w:line="400" w:lineRule="exact"/>
        <w:ind w:left="690" w:leftChars="228" w:hanging="211" w:hangingChars="100"/>
        <w:rPr>
          <w:rFonts w:hAnsi="宋体"/>
          <w:b/>
          <w:sz w:val="21"/>
          <w:highlight w:val="none"/>
        </w:rPr>
      </w:pPr>
      <w:r>
        <w:rPr>
          <w:rFonts w:hint="eastAsia" w:hAnsi="宋体"/>
          <w:b/>
          <w:sz w:val="21"/>
          <w:highlight w:val="none"/>
        </w:rPr>
        <w:t>（五）错误修正</w:t>
      </w:r>
    </w:p>
    <w:p>
      <w:pPr>
        <w:pStyle w:val="22"/>
        <w:snapToGrid w:val="0"/>
        <w:spacing w:line="400" w:lineRule="exact"/>
        <w:ind w:firstLine="420" w:firstLineChars="200"/>
        <w:rPr>
          <w:rFonts w:hAnsi="宋体"/>
          <w:sz w:val="21"/>
          <w:highlight w:val="none"/>
        </w:rPr>
      </w:pPr>
      <w:r>
        <w:rPr>
          <w:rFonts w:hint="eastAsia" w:hAnsi="宋体"/>
          <w:sz w:val="21"/>
          <w:highlight w:val="none"/>
        </w:rPr>
        <w:t>投标文件如果出现计算或表达上的错误，修正错误的原则如下：</w:t>
      </w:r>
    </w:p>
    <w:p>
      <w:pPr>
        <w:pStyle w:val="22"/>
        <w:snapToGrid w:val="0"/>
        <w:spacing w:line="400" w:lineRule="exact"/>
        <w:ind w:firstLine="420" w:firstLineChars="200"/>
        <w:rPr>
          <w:rFonts w:hAnsi="宋体"/>
          <w:sz w:val="21"/>
          <w:highlight w:val="none"/>
        </w:rPr>
      </w:pPr>
      <w:r>
        <w:rPr>
          <w:rFonts w:hint="eastAsia" w:hAnsi="宋体"/>
          <w:sz w:val="21"/>
          <w:highlight w:val="none"/>
        </w:rPr>
        <w:t>1.开标一览表总价与投标报价明细表汇总数不一致的，以开标一览表为准；</w:t>
      </w:r>
    </w:p>
    <w:p>
      <w:pPr>
        <w:pStyle w:val="22"/>
        <w:snapToGrid w:val="0"/>
        <w:spacing w:line="400" w:lineRule="exact"/>
        <w:ind w:firstLine="420" w:firstLineChars="200"/>
        <w:rPr>
          <w:rFonts w:hAnsi="宋体"/>
          <w:sz w:val="21"/>
          <w:highlight w:val="none"/>
        </w:rPr>
      </w:pPr>
      <w:r>
        <w:rPr>
          <w:rFonts w:hint="eastAsia" w:hAnsi="宋体"/>
          <w:sz w:val="21"/>
          <w:highlight w:val="none"/>
        </w:rPr>
        <w:t>2.投标文件的大写金额和小写金额不一致的，以大写金额为准；</w:t>
      </w:r>
    </w:p>
    <w:p>
      <w:pPr>
        <w:pStyle w:val="22"/>
        <w:snapToGrid w:val="0"/>
        <w:spacing w:line="400" w:lineRule="exact"/>
        <w:ind w:firstLine="420" w:firstLineChars="200"/>
        <w:rPr>
          <w:rFonts w:hAnsi="宋体"/>
          <w:sz w:val="21"/>
          <w:highlight w:val="none"/>
        </w:rPr>
      </w:pPr>
      <w:r>
        <w:rPr>
          <w:rFonts w:hint="eastAsia" w:hAnsi="宋体"/>
          <w:sz w:val="21"/>
          <w:highlight w:val="none"/>
        </w:rPr>
        <w:t>3.总价金额与按单价汇总金额不一致的，以单价金额计算结果为准；</w:t>
      </w:r>
    </w:p>
    <w:p>
      <w:pPr>
        <w:pStyle w:val="22"/>
        <w:snapToGrid w:val="0"/>
        <w:spacing w:line="400" w:lineRule="exact"/>
        <w:ind w:firstLine="420" w:firstLineChars="200"/>
        <w:rPr>
          <w:rFonts w:hAnsi="宋体"/>
          <w:sz w:val="21"/>
          <w:highlight w:val="none"/>
        </w:rPr>
      </w:pPr>
      <w:r>
        <w:rPr>
          <w:rFonts w:hint="eastAsia" w:hAnsi="宋体"/>
          <w:sz w:val="21"/>
          <w:highlight w:val="none"/>
        </w:rPr>
        <w:t>4.单价金额小数点有明显错误的，应以总价为准并修改单价；</w:t>
      </w:r>
    </w:p>
    <w:p>
      <w:pPr>
        <w:pStyle w:val="22"/>
        <w:snapToGrid w:val="0"/>
        <w:spacing w:line="400" w:lineRule="exact"/>
        <w:ind w:firstLine="420" w:firstLineChars="200"/>
        <w:rPr>
          <w:rFonts w:hAnsi="宋体"/>
          <w:sz w:val="21"/>
          <w:highlight w:val="none"/>
        </w:rPr>
      </w:pPr>
      <w:r>
        <w:rPr>
          <w:rFonts w:hint="eastAsia" w:hAnsi="宋体"/>
          <w:sz w:val="21"/>
          <w:highlight w:val="none"/>
        </w:rPr>
        <w:t>5.对不同文字文本的投标文件的解释发生异议的，以中文文本为准。</w:t>
      </w:r>
    </w:p>
    <w:p>
      <w:pPr>
        <w:pStyle w:val="22"/>
        <w:snapToGrid w:val="0"/>
        <w:spacing w:line="400" w:lineRule="exact"/>
        <w:ind w:firstLine="422" w:firstLineChars="200"/>
        <w:rPr>
          <w:rFonts w:hAnsi="宋体"/>
          <w:b/>
          <w:bCs/>
          <w:sz w:val="21"/>
          <w:highlight w:val="none"/>
        </w:rPr>
      </w:pPr>
      <w:r>
        <w:rPr>
          <w:rFonts w:hint="eastAsia" w:hAnsi="宋体"/>
          <w:b/>
          <w:bCs/>
          <w:sz w:val="21"/>
          <w:highlight w:val="none"/>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22"/>
        <w:tabs>
          <w:tab w:val="left" w:pos="630"/>
        </w:tabs>
        <w:snapToGrid w:val="0"/>
        <w:spacing w:line="400" w:lineRule="exact"/>
        <w:ind w:firstLine="413" w:firstLineChars="196"/>
        <w:rPr>
          <w:rFonts w:hAnsi="宋体"/>
          <w:b/>
          <w:sz w:val="21"/>
          <w:highlight w:val="none"/>
        </w:rPr>
      </w:pPr>
      <w:r>
        <w:rPr>
          <w:rFonts w:hint="eastAsia" w:hAnsi="宋体"/>
          <w:b/>
          <w:sz w:val="21"/>
          <w:highlight w:val="none"/>
        </w:rPr>
        <w:t>（六）评标原则和评标办法</w:t>
      </w:r>
    </w:p>
    <w:p>
      <w:pPr>
        <w:pStyle w:val="22"/>
        <w:snapToGrid w:val="0"/>
        <w:spacing w:line="400" w:lineRule="exact"/>
        <w:ind w:firstLine="420" w:firstLineChars="200"/>
        <w:rPr>
          <w:rFonts w:hAnsi="宋体"/>
          <w:sz w:val="21"/>
          <w:highlight w:val="none"/>
        </w:rPr>
      </w:pPr>
      <w:r>
        <w:rPr>
          <w:rFonts w:hint="eastAsia" w:hAnsi="宋体"/>
          <w:sz w:val="21"/>
          <w:highlight w:val="none"/>
        </w:rPr>
        <w:t>1. 评标原则。评标委员会必须公平、公正、客观，不带任何倾向性和启发性；不得向外界透露任何与评标有关的内容；任何单位和个人不得干扰、影响评标的正常进行；评标委员会及有关工作人员不得私下与投标人接触。在评标期间，出现符合专业条件的投标人或者对招标文件作出实质响应的投标人不足三家时，采购代理机构将按政府采购相关规定作相应处理。</w:t>
      </w:r>
    </w:p>
    <w:p>
      <w:pPr>
        <w:pStyle w:val="22"/>
        <w:snapToGrid w:val="0"/>
        <w:spacing w:line="400" w:lineRule="exact"/>
        <w:ind w:firstLine="420" w:firstLineChars="200"/>
        <w:rPr>
          <w:rFonts w:hAnsi="宋体"/>
          <w:sz w:val="21"/>
          <w:highlight w:val="none"/>
        </w:rPr>
      </w:pPr>
      <w:r>
        <w:rPr>
          <w:rFonts w:hint="eastAsia" w:hAnsi="宋体"/>
          <w:sz w:val="21"/>
          <w:highlight w:val="none"/>
        </w:rPr>
        <w:t>2.评标办法。本项目评标办法采用</w:t>
      </w:r>
      <w:r>
        <w:rPr>
          <w:rFonts w:hint="eastAsia" w:hAnsi="宋体"/>
          <w:b/>
          <w:sz w:val="21"/>
          <w:highlight w:val="none"/>
          <w:u w:val="single"/>
        </w:rPr>
        <w:t>综合评分法</w:t>
      </w:r>
      <w:r>
        <w:rPr>
          <w:rFonts w:hint="eastAsia" w:hAnsi="宋体"/>
          <w:sz w:val="21"/>
          <w:highlight w:val="none"/>
        </w:rPr>
        <w:t>，具体评标内容及评分标准等详见《第四章：评标办法及评分标准》。</w:t>
      </w:r>
    </w:p>
    <w:p>
      <w:pPr>
        <w:pStyle w:val="22"/>
        <w:snapToGrid w:val="0"/>
        <w:spacing w:line="400" w:lineRule="exact"/>
        <w:ind w:firstLine="413" w:firstLineChars="196"/>
        <w:rPr>
          <w:rFonts w:hAnsi="宋体"/>
          <w:b/>
          <w:sz w:val="21"/>
          <w:highlight w:val="none"/>
        </w:rPr>
      </w:pPr>
      <w:r>
        <w:rPr>
          <w:rFonts w:hint="eastAsia" w:hAnsi="宋体"/>
          <w:b/>
          <w:sz w:val="21"/>
          <w:highlight w:val="none"/>
        </w:rPr>
        <w:t>（七）评标过程的监控</w:t>
      </w:r>
    </w:p>
    <w:p>
      <w:pPr>
        <w:pStyle w:val="22"/>
        <w:snapToGrid w:val="0"/>
        <w:spacing w:line="400" w:lineRule="exact"/>
        <w:ind w:firstLine="420" w:firstLineChars="200"/>
        <w:rPr>
          <w:rFonts w:hAnsi="宋体"/>
          <w:sz w:val="21"/>
          <w:highlight w:val="none"/>
        </w:rPr>
      </w:pPr>
      <w:r>
        <w:rPr>
          <w:rFonts w:hint="eastAsia" w:hAnsi="宋体"/>
          <w:sz w:val="21"/>
          <w:highlight w:val="none"/>
        </w:rPr>
        <w:t>本项目评标过程实行全程录音、录像监控，投标人在评标过程中所进行的试图影响评标结果的不公正活动，可能导致其投标被拒绝。</w:t>
      </w:r>
    </w:p>
    <w:p>
      <w:pPr>
        <w:pStyle w:val="22"/>
        <w:snapToGrid w:val="0"/>
        <w:spacing w:line="400" w:lineRule="exact"/>
        <w:ind w:firstLine="413" w:firstLineChars="196"/>
        <w:outlineLvl w:val="1"/>
        <w:rPr>
          <w:rFonts w:hAnsi="宋体"/>
          <w:b/>
          <w:sz w:val="21"/>
          <w:highlight w:val="none"/>
        </w:rPr>
      </w:pPr>
      <w:bookmarkStart w:id="81" w:name="_Toc254970546"/>
      <w:bookmarkStart w:id="82" w:name="_Toc254970687"/>
      <w:bookmarkStart w:id="83" w:name="_Toc430110149"/>
      <w:r>
        <w:rPr>
          <w:rFonts w:hint="eastAsia" w:hAnsi="宋体"/>
          <w:b/>
          <w:sz w:val="21"/>
          <w:highlight w:val="none"/>
        </w:rPr>
        <w:t>六、评标结果</w:t>
      </w:r>
      <w:bookmarkEnd w:id="81"/>
      <w:bookmarkEnd w:id="82"/>
      <w:bookmarkEnd w:id="83"/>
    </w:p>
    <w:p>
      <w:pPr>
        <w:pStyle w:val="22"/>
        <w:spacing w:line="400" w:lineRule="exact"/>
        <w:ind w:firstLine="420"/>
        <w:rPr>
          <w:rFonts w:hAnsi="宋体"/>
          <w:bCs/>
          <w:sz w:val="21"/>
          <w:highlight w:val="none"/>
        </w:rPr>
      </w:pPr>
      <w:r>
        <w:rPr>
          <w:rFonts w:hint="eastAsia" w:hAnsi="宋体"/>
          <w:bCs/>
          <w:sz w:val="21"/>
          <w:highlight w:val="none"/>
        </w:rPr>
        <w:t>（一）采购代理机构将在评标结束后二个工作日内将评标报告送采购人，采购人在五个工作日内按照评标报告中推荐的中标候选人顺序确定中标人。采购人也可以事先授权评标委员会直接确定中标人。</w:t>
      </w:r>
    </w:p>
    <w:p>
      <w:pPr>
        <w:pStyle w:val="22"/>
        <w:spacing w:line="400" w:lineRule="exact"/>
        <w:ind w:firstLine="420"/>
        <w:rPr>
          <w:rFonts w:hAnsi="宋体"/>
          <w:bCs/>
          <w:sz w:val="21"/>
          <w:highlight w:val="none"/>
        </w:rPr>
      </w:pPr>
      <w:r>
        <w:rPr>
          <w:rFonts w:hint="eastAsia" w:hAnsi="宋体"/>
          <w:bCs/>
          <w:sz w:val="21"/>
          <w:highlight w:val="none"/>
        </w:rPr>
        <w:t>（二）中标人确定后，采购代理机构在中国政府采购网、广西政府采购网、</w:t>
      </w:r>
      <w:r>
        <w:rPr>
          <w:rFonts w:hint="eastAsia" w:hAnsi="宋体" w:cs="Arial"/>
          <w:bCs/>
          <w:highlight w:val="none"/>
        </w:rPr>
        <w:t>广西防城港政府采购网站</w:t>
      </w:r>
      <w:r>
        <w:rPr>
          <w:rFonts w:hint="eastAsia" w:hAnsi="宋体"/>
          <w:bCs/>
          <w:sz w:val="21"/>
          <w:highlight w:val="none"/>
        </w:rPr>
        <w:t>、防城港市公共资源交易中心网发布中标公告。</w:t>
      </w:r>
    </w:p>
    <w:p>
      <w:pPr>
        <w:pStyle w:val="22"/>
        <w:spacing w:line="400" w:lineRule="exact"/>
        <w:ind w:firstLine="420"/>
        <w:rPr>
          <w:rFonts w:hAnsi="宋体"/>
          <w:bCs/>
          <w:sz w:val="21"/>
          <w:highlight w:val="none"/>
        </w:rPr>
      </w:pPr>
      <w:r>
        <w:rPr>
          <w:rFonts w:hint="eastAsia" w:hAnsi="宋体"/>
          <w:bCs/>
          <w:sz w:val="21"/>
          <w:highlight w:val="none"/>
        </w:rPr>
        <w:t>（三）在发布中标公告的同时，采购代理机构向中标人发出中标通知书。</w:t>
      </w:r>
    </w:p>
    <w:p>
      <w:pPr>
        <w:pStyle w:val="22"/>
        <w:spacing w:line="400" w:lineRule="exact"/>
        <w:ind w:firstLine="420"/>
        <w:rPr>
          <w:rFonts w:hAnsi="宋体"/>
          <w:bCs/>
          <w:sz w:val="21"/>
          <w:highlight w:val="none"/>
        </w:rPr>
      </w:pPr>
      <w:r>
        <w:rPr>
          <w:rFonts w:hint="eastAsia" w:hAnsi="宋体"/>
          <w:bCs/>
          <w:sz w:val="21"/>
          <w:highlight w:val="none"/>
        </w:rPr>
        <w:t>（四）投标人认为招标过程和中标结果使自己的权益受到损害的，可以在知道或者应知其权益受到损害之日起七个工作日内，以书面形式向采购代理机构提出质疑，并及时索要书面回执。</w:t>
      </w:r>
    </w:p>
    <w:p>
      <w:pPr>
        <w:pStyle w:val="22"/>
        <w:spacing w:line="400" w:lineRule="exact"/>
        <w:ind w:firstLine="420"/>
        <w:rPr>
          <w:rFonts w:hAnsi="宋体"/>
          <w:bCs/>
          <w:sz w:val="21"/>
          <w:highlight w:val="none"/>
        </w:rPr>
      </w:pPr>
      <w:r>
        <w:rPr>
          <w:rFonts w:hint="eastAsia" w:hAnsi="宋体"/>
          <w:bCs/>
          <w:sz w:val="21"/>
          <w:highlight w:val="none"/>
        </w:rPr>
        <w:t>（五）采购代理机构应当按照有关规定就采购人委托授权范围内的事项在收到投标人的书面质疑后七个工作日内做出答复，但答复的内容不得涉及商业秘密。</w:t>
      </w:r>
    </w:p>
    <w:p>
      <w:pPr>
        <w:pStyle w:val="22"/>
        <w:spacing w:line="400" w:lineRule="exact"/>
        <w:ind w:firstLine="420"/>
        <w:rPr>
          <w:rFonts w:hAnsi="宋体"/>
          <w:bCs/>
          <w:sz w:val="21"/>
          <w:highlight w:val="none"/>
        </w:rPr>
      </w:pPr>
      <w:r>
        <w:rPr>
          <w:rFonts w:hint="eastAsia" w:hAnsi="宋体"/>
          <w:bCs/>
          <w:sz w:val="21"/>
          <w:highlight w:val="none"/>
        </w:rPr>
        <w:t>（六）采购代理机构无义务向未中标的供应商解释未中标原因和退还投标文件。</w:t>
      </w:r>
    </w:p>
    <w:p>
      <w:pPr>
        <w:pStyle w:val="22"/>
        <w:spacing w:line="400" w:lineRule="exact"/>
        <w:ind w:firstLine="538" w:firstLineChars="255"/>
        <w:rPr>
          <w:rFonts w:hAnsi="宋体"/>
          <w:b/>
          <w:sz w:val="21"/>
          <w:highlight w:val="none"/>
        </w:rPr>
      </w:pPr>
      <w:r>
        <w:rPr>
          <w:rFonts w:hint="eastAsia" w:hAnsi="宋体"/>
          <w:b/>
          <w:sz w:val="21"/>
          <w:highlight w:val="none"/>
        </w:rPr>
        <w:t>七 、签订合同</w:t>
      </w:r>
    </w:p>
    <w:p>
      <w:pPr>
        <w:pStyle w:val="22"/>
        <w:spacing w:line="400" w:lineRule="exact"/>
        <w:ind w:firstLine="358" w:firstLineChars="170"/>
        <w:rPr>
          <w:rFonts w:asciiTheme="minorEastAsia" w:hAnsiTheme="minorEastAsia" w:eastAsiaTheme="minorEastAsia" w:cstheme="minorEastAsia"/>
          <w:b/>
          <w:sz w:val="21"/>
          <w:highlight w:val="none"/>
        </w:rPr>
      </w:pPr>
      <w:bookmarkStart w:id="84" w:name="_Toc304819842"/>
      <w:r>
        <w:rPr>
          <w:rFonts w:hint="eastAsia" w:asciiTheme="minorEastAsia" w:hAnsiTheme="minorEastAsia" w:eastAsiaTheme="minorEastAsia" w:cstheme="minorEastAsia"/>
          <w:b/>
          <w:sz w:val="21"/>
          <w:highlight w:val="none"/>
        </w:rPr>
        <w:t>（一）合同授予标准</w:t>
      </w:r>
    </w:p>
    <w:p>
      <w:pPr>
        <w:pStyle w:val="22"/>
        <w:spacing w:line="400" w:lineRule="exact"/>
        <w:ind w:firstLine="420"/>
        <w:rPr>
          <w:rFonts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合同将授予被确定实质上响应招标文件要求，具备履行合同能力，综合评分排名第一的投标人。</w:t>
      </w:r>
    </w:p>
    <w:p>
      <w:pPr>
        <w:pStyle w:val="22"/>
        <w:spacing w:line="400" w:lineRule="exact"/>
        <w:ind w:firstLine="358" w:firstLineChars="170"/>
        <w:rPr>
          <w:rFonts w:asciiTheme="minorEastAsia" w:hAnsiTheme="minorEastAsia" w:eastAsiaTheme="minorEastAsia" w:cstheme="minorEastAsia"/>
          <w:sz w:val="21"/>
          <w:highlight w:val="none"/>
        </w:rPr>
      </w:pPr>
      <w:r>
        <w:rPr>
          <w:rFonts w:hint="eastAsia" w:asciiTheme="minorEastAsia" w:hAnsiTheme="minorEastAsia" w:eastAsiaTheme="minorEastAsia" w:cstheme="minorEastAsia"/>
          <w:b/>
          <w:sz w:val="21"/>
          <w:highlight w:val="none"/>
        </w:rPr>
        <w:t>（二）签订合同</w:t>
      </w:r>
    </w:p>
    <w:p>
      <w:pPr>
        <w:pStyle w:val="22"/>
        <w:spacing w:line="400" w:lineRule="exact"/>
        <w:ind w:firstLine="420" w:firstLineChars="200"/>
        <w:outlineLvl w:val="0"/>
        <w:rPr>
          <w:rFonts w:asciiTheme="minorEastAsia" w:hAnsiTheme="minorEastAsia" w:eastAsiaTheme="minorEastAsia" w:cstheme="minorEastAsia"/>
          <w:sz w:val="21"/>
          <w:highlight w:val="none"/>
        </w:rPr>
      </w:pPr>
      <w:bookmarkStart w:id="85" w:name="_Toc430110271"/>
      <w:bookmarkStart w:id="86" w:name="_Toc430110150"/>
      <w:bookmarkStart w:id="87" w:name="_Toc430109953"/>
      <w:r>
        <w:rPr>
          <w:rFonts w:hint="eastAsia" w:asciiTheme="minorEastAsia" w:hAnsiTheme="minorEastAsia" w:eastAsiaTheme="minorEastAsia" w:cstheme="minorEastAsia"/>
          <w:sz w:val="21"/>
          <w:highlight w:val="none"/>
        </w:rPr>
        <w:t>（1）投标人接到中标通知书后，应按中标通知书规定的时间、地点与采购人签订合同。</w:t>
      </w:r>
      <w:bookmarkEnd w:id="85"/>
      <w:bookmarkEnd w:id="86"/>
      <w:bookmarkEnd w:id="87"/>
    </w:p>
    <w:p>
      <w:pPr>
        <w:pStyle w:val="22"/>
        <w:spacing w:line="400" w:lineRule="exact"/>
        <w:ind w:firstLine="420"/>
        <w:rPr>
          <w:rFonts w:asciiTheme="minorEastAsia" w:hAnsiTheme="minorEastAsia" w:eastAsiaTheme="minorEastAsia" w:cstheme="minorEastAsia"/>
          <w:sz w:val="21"/>
          <w:highlight w:val="none"/>
        </w:rPr>
      </w:pPr>
      <w:bookmarkStart w:id="88" w:name="_Toc430110151"/>
      <w:bookmarkStart w:id="89" w:name="_Toc430110272"/>
      <w:bookmarkStart w:id="90" w:name="_Toc430109954"/>
      <w:r>
        <w:rPr>
          <w:rFonts w:hint="eastAsia" w:asciiTheme="minorEastAsia" w:hAnsiTheme="minorEastAsia" w:eastAsiaTheme="minorEastAsia" w:cstheme="minorEastAsia"/>
          <w:sz w:val="21"/>
          <w:highlight w:val="none"/>
        </w:rPr>
        <w:t>（2）如中标人不按中标通知书的规定签订合同，则按中标人违约处理，</w:t>
      </w:r>
      <w:bookmarkEnd w:id="88"/>
      <w:bookmarkEnd w:id="89"/>
      <w:bookmarkEnd w:id="90"/>
      <w:r>
        <w:rPr>
          <w:rFonts w:hint="eastAsia" w:asciiTheme="minorEastAsia" w:hAnsiTheme="minorEastAsia" w:eastAsiaTheme="minorEastAsia" w:cstheme="minorEastAsia"/>
          <w:sz w:val="21"/>
          <w:highlight w:val="none"/>
        </w:rPr>
        <w:t>将报相关的政府采购监督管理部门进行处理。</w:t>
      </w:r>
    </w:p>
    <w:p>
      <w:pPr>
        <w:pStyle w:val="22"/>
        <w:spacing w:line="400" w:lineRule="exact"/>
        <w:ind w:firstLine="420"/>
        <w:rPr>
          <w:rFonts w:asciiTheme="minorEastAsia" w:hAnsiTheme="minorEastAsia" w:eastAsiaTheme="minorEastAsia" w:cstheme="minorEastAsia"/>
          <w:sz w:val="21"/>
          <w:highlight w:val="none"/>
        </w:rPr>
      </w:pPr>
      <w:bookmarkStart w:id="91" w:name="_Toc430110152"/>
      <w:bookmarkStart w:id="92" w:name="_Toc430109955"/>
      <w:bookmarkStart w:id="93" w:name="_Toc430110273"/>
      <w:r>
        <w:rPr>
          <w:rFonts w:hint="eastAsia" w:asciiTheme="minorEastAsia" w:hAnsiTheme="minorEastAsia" w:eastAsiaTheme="minorEastAsia" w:cstheme="minorEastAsia"/>
          <w:sz w:val="21"/>
          <w:highlight w:val="none"/>
        </w:rPr>
        <w:t>（3）中标人因不可抗力或者自身原因不能履行采购合同的，采购人可以与中标人之后排名第一的中标候选人签订采购合同，以此类推。</w:t>
      </w:r>
      <w:bookmarkEnd w:id="91"/>
      <w:bookmarkEnd w:id="92"/>
      <w:bookmarkEnd w:id="93"/>
    </w:p>
    <w:p>
      <w:pPr>
        <w:pStyle w:val="22"/>
        <w:spacing w:line="400" w:lineRule="exact"/>
        <w:ind w:firstLine="420" w:firstLineChars="200"/>
        <w:outlineLvl w:val="0"/>
        <w:rPr>
          <w:rFonts w:asciiTheme="minorEastAsia" w:hAnsiTheme="minorEastAsia" w:eastAsiaTheme="minorEastAsia" w:cstheme="minorEastAsia"/>
          <w:sz w:val="21"/>
          <w:highlight w:val="none"/>
        </w:rPr>
      </w:pPr>
      <w:bookmarkStart w:id="94" w:name="_Toc430109956"/>
      <w:bookmarkStart w:id="95" w:name="_Toc430110153"/>
      <w:bookmarkStart w:id="96" w:name="_Toc430110274"/>
      <w:r>
        <w:rPr>
          <w:rFonts w:hint="eastAsia" w:asciiTheme="minorEastAsia" w:hAnsiTheme="minorEastAsia" w:eastAsiaTheme="minorEastAsia" w:cstheme="minorEastAsia"/>
          <w:sz w:val="21"/>
          <w:highlight w:val="none"/>
        </w:rPr>
        <w:t>（4）</w:t>
      </w:r>
      <w:r>
        <w:rPr>
          <w:rFonts w:hint="eastAsia" w:asciiTheme="minorEastAsia" w:hAnsiTheme="minorEastAsia" w:eastAsiaTheme="minorEastAsia" w:cstheme="minorEastAsia"/>
          <w:b/>
          <w:sz w:val="21"/>
          <w:highlight w:val="none"/>
        </w:rPr>
        <w:t>由于中标人放弃中标或未按规定签订合同，造成本项目的合同中标价提高（指采购人选择第二中标候选人或重新采购导致中标金额高于违约中标人的中标价），所超出违约中标人的中标价部分由违约中标人承担赔偿责任，并将赔偿金额上缴同级财政国库。若中标人拒绝交纳赔偿金，除按相关法规追收赔偿金外，列入不良行为记录名单，在一至三年内禁止其参加政府采购活动。</w:t>
      </w:r>
      <w:bookmarkEnd w:id="94"/>
      <w:bookmarkEnd w:id="95"/>
      <w:bookmarkEnd w:id="96"/>
    </w:p>
    <w:p>
      <w:pPr>
        <w:pStyle w:val="22"/>
        <w:spacing w:line="400" w:lineRule="exact"/>
        <w:ind w:firstLine="420" w:firstLineChars="200"/>
        <w:outlineLvl w:val="0"/>
        <w:rPr>
          <w:rFonts w:asciiTheme="minorEastAsia" w:hAnsiTheme="minorEastAsia" w:eastAsiaTheme="minorEastAsia" w:cstheme="minorEastAsia"/>
          <w:sz w:val="21"/>
          <w:highlight w:val="none"/>
        </w:rPr>
      </w:pPr>
      <w:bookmarkStart w:id="97" w:name="_Toc430110275"/>
      <w:bookmarkStart w:id="98" w:name="_Toc430110154"/>
      <w:bookmarkStart w:id="99" w:name="_Toc430109957"/>
      <w:r>
        <w:rPr>
          <w:rFonts w:hint="eastAsia" w:asciiTheme="minorEastAsia" w:hAnsiTheme="minorEastAsia" w:eastAsiaTheme="minorEastAsia" w:cstheme="minorEastAsia"/>
          <w:sz w:val="21"/>
          <w:highlight w:val="none"/>
        </w:rPr>
        <w:t>（5）</w:t>
      </w:r>
      <w:r>
        <w:rPr>
          <w:rFonts w:hint="eastAsia" w:asciiTheme="minorEastAsia" w:hAnsiTheme="minorEastAsia" w:eastAsiaTheme="minorEastAsia" w:cstheme="minorEastAsia"/>
          <w:sz w:val="21"/>
          <w:highlight w:val="none"/>
          <w:u w:val="single"/>
        </w:rPr>
        <w:t>采购合同签订必须按照《中华人民共和国政府采购法》和《中华人民共和国合同法》相关规定执行，且签订的合同必须与本招标文件中的合同书格式(包括内容和结构)相一致，不能改变主要条款，否则由此造成的后果由采购人负责</w:t>
      </w:r>
      <w:r>
        <w:rPr>
          <w:rFonts w:hint="eastAsia" w:asciiTheme="minorEastAsia" w:hAnsiTheme="minorEastAsia" w:eastAsiaTheme="minorEastAsia" w:cstheme="minorEastAsia"/>
          <w:sz w:val="21"/>
          <w:highlight w:val="none"/>
        </w:rPr>
        <w:t>。</w:t>
      </w:r>
      <w:bookmarkEnd w:id="97"/>
      <w:bookmarkEnd w:id="98"/>
      <w:bookmarkEnd w:id="99"/>
    </w:p>
    <w:p>
      <w:pPr>
        <w:pStyle w:val="22"/>
        <w:spacing w:line="400" w:lineRule="exact"/>
        <w:ind w:firstLine="420" w:firstLineChars="200"/>
        <w:outlineLvl w:val="0"/>
        <w:rPr>
          <w:rFonts w:asciiTheme="minorEastAsia" w:hAnsiTheme="minorEastAsia" w:eastAsiaTheme="minorEastAsia" w:cstheme="minorEastAsia"/>
          <w:sz w:val="21"/>
          <w:highlight w:val="none"/>
        </w:rPr>
      </w:pPr>
      <w:bookmarkStart w:id="100" w:name="_Toc430110276"/>
      <w:bookmarkStart w:id="101" w:name="_Toc430109958"/>
      <w:bookmarkStart w:id="102" w:name="_Toc430110155"/>
      <w:r>
        <w:rPr>
          <w:rFonts w:hint="eastAsia" w:asciiTheme="minorEastAsia" w:hAnsiTheme="minorEastAsia" w:eastAsiaTheme="minorEastAsia" w:cstheme="minorEastAsia"/>
          <w:sz w:val="21"/>
          <w:highlight w:val="none"/>
        </w:rPr>
        <w:t>（6）中标人在签订合同后，必须严格履行合同，否则视为违约，采购人将有充分理由解除合同，其履约保证金将被没收。</w:t>
      </w:r>
      <w:bookmarkEnd w:id="100"/>
      <w:bookmarkEnd w:id="101"/>
      <w:bookmarkEnd w:id="102"/>
    </w:p>
    <w:p>
      <w:pPr>
        <w:pStyle w:val="22"/>
        <w:spacing w:line="440" w:lineRule="exact"/>
        <w:ind w:firstLine="358" w:firstLineChars="170"/>
        <w:rPr>
          <w:rFonts w:hAnsi="宋体"/>
          <w:b/>
          <w:sz w:val="21"/>
          <w:highlight w:val="none"/>
        </w:rPr>
      </w:pPr>
      <w:r>
        <w:rPr>
          <w:rFonts w:hint="eastAsia" w:hAnsi="宋体"/>
          <w:b/>
          <w:sz w:val="21"/>
          <w:highlight w:val="none"/>
        </w:rPr>
        <w:t>八、履约保证金</w:t>
      </w:r>
      <w:bookmarkEnd w:id="84"/>
    </w:p>
    <w:p>
      <w:pPr>
        <w:pStyle w:val="22"/>
        <w:spacing w:line="440" w:lineRule="exact"/>
        <w:ind w:firstLine="411" w:firstLineChars="196"/>
        <w:rPr>
          <w:rFonts w:hAnsi="宋体"/>
          <w:sz w:val="21"/>
          <w:highlight w:val="none"/>
        </w:rPr>
      </w:pPr>
      <w:r>
        <w:rPr>
          <w:rFonts w:hint="eastAsia" w:hAnsi="宋体"/>
          <w:sz w:val="21"/>
          <w:highlight w:val="none"/>
        </w:rPr>
        <w:t>1．在收到中标通知书后，中标人须在签订合同前向采购人提交履约保证金，履约保证金金额为中标价款的</w:t>
      </w:r>
      <w:r>
        <w:rPr>
          <w:rFonts w:hint="eastAsia" w:hAnsi="宋体"/>
          <w:sz w:val="21"/>
          <w:highlight w:val="none"/>
          <w:u w:val="single"/>
        </w:rPr>
        <w:t>2</w:t>
      </w:r>
      <w:r>
        <w:rPr>
          <w:rFonts w:hint="eastAsia" w:hAnsi="宋体"/>
          <w:sz w:val="21"/>
          <w:highlight w:val="none"/>
        </w:rPr>
        <w:t>%，否则采购人将取消其中标资格。</w:t>
      </w:r>
    </w:p>
    <w:p>
      <w:pPr>
        <w:pStyle w:val="22"/>
        <w:spacing w:line="440" w:lineRule="exact"/>
        <w:ind w:firstLine="411" w:firstLineChars="196"/>
        <w:rPr>
          <w:rFonts w:hAnsi="宋体"/>
          <w:sz w:val="21"/>
          <w:highlight w:val="none"/>
        </w:rPr>
      </w:pPr>
      <w:r>
        <w:rPr>
          <w:rFonts w:hint="eastAsia" w:hAnsi="宋体"/>
          <w:sz w:val="21"/>
          <w:highlight w:val="none"/>
        </w:rPr>
        <w:t>2．签订合同后，如中标人不按双方签订的合同规定履约，则没收其全部履约保证金，履约保证金不足以赔偿损失的，按实际损失赔偿。</w:t>
      </w:r>
    </w:p>
    <w:p>
      <w:pPr>
        <w:pStyle w:val="22"/>
        <w:spacing w:line="440" w:lineRule="exact"/>
        <w:ind w:firstLine="411" w:firstLineChars="196"/>
        <w:rPr>
          <w:rFonts w:hAnsi="宋体"/>
          <w:sz w:val="21"/>
          <w:highlight w:val="none"/>
        </w:rPr>
      </w:pPr>
      <w:r>
        <w:rPr>
          <w:rFonts w:hint="eastAsia" w:hAnsi="宋体"/>
          <w:sz w:val="21"/>
          <w:highlight w:val="none"/>
        </w:rPr>
        <w:t>3．履约保证金将于项目实施完毕后在采购人接到中标人提交的书面申请退付材料（详见附表一）后15个工作日内以银行转账方式如数退还（不计利息）。</w:t>
      </w:r>
    </w:p>
    <w:p>
      <w:pPr>
        <w:pStyle w:val="22"/>
        <w:spacing w:line="440" w:lineRule="exact"/>
        <w:ind w:firstLine="411" w:firstLineChars="196"/>
        <w:rPr>
          <w:rFonts w:hAnsi="宋体"/>
          <w:sz w:val="21"/>
          <w:highlight w:val="none"/>
        </w:rPr>
      </w:pPr>
      <w:r>
        <w:rPr>
          <w:rFonts w:hint="eastAsia" w:hAnsi="宋体"/>
          <w:sz w:val="21"/>
          <w:highlight w:val="none"/>
        </w:rPr>
        <w:t>4．在履约保证金退还日期前，若中标人的开户名称、开户银行、帐号有变动的，请以书面形式通知采购人，否则由此产生的后果由中标人自负。</w:t>
      </w:r>
    </w:p>
    <w:p>
      <w:pPr>
        <w:pStyle w:val="5"/>
        <w:spacing w:line="340" w:lineRule="exact"/>
        <w:ind w:firstLine="316" w:firstLineChars="150"/>
        <w:rPr>
          <w:sz w:val="21"/>
          <w:szCs w:val="21"/>
          <w:highlight w:val="none"/>
        </w:rPr>
      </w:pPr>
      <w:bookmarkStart w:id="103" w:name="_Toc430110156"/>
      <w:r>
        <w:rPr>
          <w:rFonts w:hint="eastAsia" w:hAnsi="宋体"/>
          <w:sz w:val="21"/>
          <w:szCs w:val="21"/>
          <w:highlight w:val="none"/>
        </w:rPr>
        <w:t>九、</w:t>
      </w:r>
      <w:r>
        <w:rPr>
          <w:sz w:val="21"/>
          <w:szCs w:val="21"/>
          <w:highlight w:val="none"/>
        </w:rPr>
        <w:t>纪律和监督</w:t>
      </w:r>
      <w:bookmarkEnd w:id="103"/>
    </w:p>
    <w:p>
      <w:pPr>
        <w:pStyle w:val="22"/>
        <w:spacing w:line="440" w:lineRule="exact"/>
        <w:ind w:firstLine="382" w:firstLineChars="181"/>
        <w:rPr>
          <w:rFonts w:hAnsi="宋体"/>
          <w:b/>
          <w:sz w:val="21"/>
          <w:highlight w:val="none"/>
        </w:rPr>
      </w:pPr>
      <w:r>
        <w:rPr>
          <w:rFonts w:hint="eastAsia" w:hAnsi="宋体"/>
          <w:b/>
          <w:sz w:val="21"/>
          <w:highlight w:val="none"/>
        </w:rPr>
        <w:t>1. 对采购人的纪律要求</w:t>
      </w:r>
    </w:p>
    <w:p>
      <w:pPr>
        <w:pStyle w:val="22"/>
        <w:spacing w:line="440" w:lineRule="exact"/>
        <w:ind w:firstLine="380" w:firstLineChars="181"/>
        <w:rPr>
          <w:rFonts w:hAnsi="宋体"/>
          <w:sz w:val="21"/>
          <w:highlight w:val="none"/>
        </w:rPr>
      </w:pPr>
      <w:r>
        <w:rPr>
          <w:rFonts w:hint="eastAsia" w:hAnsi="宋体"/>
          <w:sz w:val="21"/>
          <w:highlight w:val="none"/>
        </w:rPr>
        <w:t>采购人不得泄漏招标投标活动中应当保密的情况和资料，不得与投标人串通损害国家利益、社会公共利益或者他人合法权益。</w:t>
      </w:r>
    </w:p>
    <w:p>
      <w:pPr>
        <w:pStyle w:val="22"/>
        <w:spacing w:line="440" w:lineRule="exact"/>
        <w:ind w:firstLine="382" w:firstLineChars="181"/>
        <w:rPr>
          <w:rFonts w:hAnsi="宋体"/>
          <w:b/>
          <w:sz w:val="21"/>
          <w:highlight w:val="none"/>
        </w:rPr>
      </w:pPr>
      <w:r>
        <w:rPr>
          <w:rFonts w:hint="eastAsia" w:hAnsi="宋体"/>
          <w:b/>
          <w:sz w:val="21"/>
          <w:highlight w:val="none"/>
        </w:rPr>
        <w:t>2. 对投标人的纪律要求</w:t>
      </w:r>
    </w:p>
    <w:p>
      <w:pPr>
        <w:pStyle w:val="22"/>
        <w:spacing w:line="440" w:lineRule="exact"/>
        <w:ind w:firstLine="380" w:firstLineChars="181"/>
        <w:rPr>
          <w:rFonts w:hAnsi="宋体"/>
          <w:sz w:val="21"/>
          <w:highlight w:val="none"/>
        </w:rPr>
      </w:pPr>
      <w:r>
        <w:rPr>
          <w:rFonts w:hint="eastAsia" w:hAnsi="宋体"/>
          <w:sz w:val="21"/>
          <w:highlight w:val="none"/>
        </w:rPr>
        <w:t>投标人不得相互串通投标或者与采购人串通投标，不得向采购人或者评标委员会成员行贿谋取中标，不得以他人名义投标或者以其他方式弄虚作假骗取中标；投标人不得以任何方式干扰、影响评标工作。</w:t>
      </w:r>
    </w:p>
    <w:p>
      <w:pPr>
        <w:pStyle w:val="22"/>
        <w:spacing w:line="440" w:lineRule="exact"/>
        <w:ind w:firstLine="382" w:firstLineChars="181"/>
        <w:rPr>
          <w:rFonts w:hAnsi="宋体"/>
          <w:b/>
          <w:sz w:val="21"/>
          <w:highlight w:val="none"/>
        </w:rPr>
      </w:pPr>
      <w:r>
        <w:rPr>
          <w:rFonts w:hint="eastAsia" w:hAnsi="宋体"/>
          <w:b/>
          <w:sz w:val="21"/>
          <w:highlight w:val="none"/>
        </w:rPr>
        <w:t>3. 对评标委员会成员的纪律要求</w:t>
      </w:r>
    </w:p>
    <w:p>
      <w:pPr>
        <w:pStyle w:val="22"/>
        <w:spacing w:line="440" w:lineRule="exact"/>
        <w:ind w:firstLine="380" w:firstLineChars="181"/>
        <w:rPr>
          <w:rFonts w:hAnsi="宋体"/>
          <w:sz w:val="21"/>
          <w:highlight w:val="none"/>
        </w:rPr>
      </w:pPr>
      <w:r>
        <w:rPr>
          <w:rFonts w:hint="eastAsia" w:hAnsi="宋体"/>
          <w:sz w:val="21"/>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七章“评标办法”没有规定的评审因素和标准进行评标。</w:t>
      </w:r>
    </w:p>
    <w:p>
      <w:pPr>
        <w:pStyle w:val="22"/>
        <w:spacing w:line="440" w:lineRule="exact"/>
        <w:ind w:firstLine="382" w:firstLineChars="181"/>
        <w:rPr>
          <w:rFonts w:hAnsi="宋体"/>
          <w:b/>
          <w:sz w:val="21"/>
          <w:highlight w:val="none"/>
        </w:rPr>
      </w:pPr>
      <w:r>
        <w:rPr>
          <w:rFonts w:hint="eastAsia" w:hAnsi="宋体"/>
          <w:b/>
          <w:sz w:val="21"/>
          <w:highlight w:val="none"/>
        </w:rPr>
        <w:t>4. 对与评标活动有关的工作人员的纪律要求</w:t>
      </w:r>
    </w:p>
    <w:p>
      <w:pPr>
        <w:pStyle w:val="22"/>
        <w:spacing w:line="440" w:lineRule="exact"/>
        <w:ind w:firstLine="380" w:firstLineChars="181"/>
        <w:rPr>
          <w:rFonts w:hAnsi="宋体"/>
          <w:sz w:val="21"/>
          <w:highlight w:val="none"/>
        </w:rPr>
      </w:pPr>
      <w:r>
        <w:rPr>
          <w:rFonts w:hint="eastAsia"/>
          <w:sz w:val="2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22"/>
        <w:spacing w:line="400" w:lineRule="exact"/>
        <w:ind w:firstLine="462" w:firstLineChars="219"/>
        <w:rPr>
          <w:rFonts w:hAnsi="宋体"/>
          <w:b/>
          <w:sz w:val="21"/>
          <w:highlight w:val="none"/>
        </w:rPr>
      </w:pPr>
      <w:r>
        <w:rPr>
          <w:rFonts w:hint="eastAsia" w:hAnsi="宋体"/>
          <w:b/>
          <w:sz w:val="21"/>
          <w:highlight w:val="none"/>
        </w:rPr>
        <w:t>十、其他事项</w:t>
      </w:r>
    </w:p>
    <w:p>
      <w:pPr>
        <w:pStyle w:val="22"/>
        <w:spacing w:line="400" w:lineRule="exact"/>
        <w:ind w:firstLine="413" w:firstLineChars="196"/>
        <w:rPr>
          <w:rFonts w:hAnsi="宋体"/>
          <w:b/>
          <w:sz w:val="21"/>
          <w:highlight w:val="none"/>
        </w:rPr>
      </w:pPr>
      <w:r>
        <w:rPr>
          <w:rFonts w:hint="eastAsia" w:hAnsi="宋体"/>
          <w:b/>
          <w:sz w:val="21"/>
          <w:highlight w:val="none"/>
        </w:rPr>
        <w:t>中标服务费</w:t>
      </w:r>
    </w:p>
    <w:p>
      <w:pPr>
        <w:pStyle w:val="22"/>
        <w:spacing w:line="400" w:lineRule="exact"/>
        <w:ind w:firstLine="420" w:firstLineChars="200"/>
        <w:rPr>
          <w:rFonts w:hAnsi="宋体"/>
          <w:sz w:val="21"/>
          <w:highlight w:val="none"/>
        </w:rPr>
      </w:pPr>
      <w:r>
        <w:rPr>
          <w:rFonts w:hint="eastAsia" w:hAnsi="宋体"/>
          <w:sz w:val="21"/>
          <w:highlight w:val="none"/>
        </w:rPr>
        <w:t>（1）中标服务收费本项目代理服务费按国家发展计划委员会计价格[2002]1980号《招标代理服务费管理暂行办法》及发改价格[2015]299号文规定的收费标准收取。签订合同前，</w:t>
      </w:r>
      <w:r>
        <w:rPr>
          <w:rFonts w:hint="eastAsia" w:asciiTheme="minorEastAsia" w:hAnsiTheme="minorEastAsia" w:eastAsiaTheme="minorEastAsia" w:cstheme="minorEastAsia"/>
          <w:sz w:val="21"/>
          <w:highlight w:val="none"/>
        </w:rPr>
        <w:t>中标人应向采购代理机构一次付清中标服务费。否则，采购代理机构将视之为违约，取消该中标决定并报政府采购监督管理部门进行处理。</w:t>
      </w:r>
    </w:p>
    <w:p>
      <w:pPr>
        <w:pStyle w:val="22"/>
        <w:spacing w:line="400" w:lineRule="exact"/>
        <w:ind w:firstLine="420"/>
        <w:rPr>
          <w:rFonts w:hAnsi="宋体"/>
          <w:sz w:val="21"/>
          <w:highlight w:val="none"/>
        </w:rPr>
      </w:pPr>
      <w:r>
        <w:rPr>
          <w:rFonts w:hint="eastAsia" w:hAnsi="宋体"/>
          <w:sz w:val="21"/>
          <w:highlight w:val="none"/>
        </w:rPr>
        <w:t>（2）代理服务收费标准：</w:t>
      </w:r>
    </w:p>
    <w:tbl>
      <w:tblPr>
        <w:tblStyle w:val="35"/>
        <w:tblW w:w="899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0"/>
        <w:gridCol w:w="1998"/>
        <w:gridCol w:w="1988"/>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2720" w:type="dxa"/>
          </w:tcPr>
          <w:p>
            <w:pPr>
              <w:pStyle w:val="22"/>
              <w:spacing w:line="400" w:lineRule="exact"/>
              <w:rPr>
                <w:rFonts w:hAnsi="宋体" w:cs="Courier New"/>
                <w:kern w:val="2"/>
                <w:sz w:val="21"/>
                <w:highlight w:val="none"/>
              </w:rPr>
            </w:pPr>
            <w:r>
              <w:rPr>
                <w:rFonts w:hAnsi="宋体" w:cs="Courier New"/>
                <w:kern w:val="2"/>
                <w:sz w:val="21"/>
                <w:highlight w:val="none"/>
              </w:rPr>
              <mc:AlternateContent>
                <mc:Choice Requires="wps">
                  <w:drawing>
                    <wp:anchor distT="0" distB="0" distL="114300" distR="114300" simplePos="0" relativeHeight="251657216" behindDoc="0" locked="0" layoutInCell="1" allowOverlap="1">
                      <wp:simplePos x="0" y="0"/>
                      <wp:positionH relativeFrom="column">
                        <wp:posOffset>274955</wp:posOffset>
                      </wp:positionH>
                      <wp:positionV relativeFrom="paragraph">
                        <wp:posOffset>43815</wp:posOffset>
                      </wp:positionV>
                      <wp:extent cx="1371600" cy="693420"/>
                      <wp:effectExtent l="8255" t="5715" r="10795" b="5715"/>
                      <wp:wrapNone/>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1371600" cy="69342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21.65pt;margin-top:3.45pt;height:54.6pt;width:108pt;z-index:251657216;mso-width-relative:page;mso-height-relative:page;" filled="f" stroked="t" coordsize="21600,21600" o:gfxdata="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Y&#10;HXH71gAAAAgBAAAPAAAAAAAAAAEAIAAAACIAAABkcnMvZG93bnJldi54bWxQSwECFAAUAAAACACH&#10;TuJAidgm6rQBAABWAwAADgAAAAAAAAABACAAAAAlAQAAZHJzL2Uyb0RvYy54bWxQSwUGAAAAAAYA&#10;BgBZAQAASwUAAAAA&#10;">
                      <v:fill on="f" focussize="0,0"/>
                      <v:stroke color="#000000" joinstyle="round"/>
                      <v:imagedata o:title=""/>
                      <o:lock v:ext="edit" aspectratio="f"/>
                    </v:line>
                  </w:pict>
                </mc:Fallback>
              </mc:AlternateContent>
            </w:r>
            <w:r>
              <w:rPr>
                <w:rFonts w:hint="eastAsia" w:hAnsi="宋体" w:cs="Courier New"/>
                <w:kern w:val="2"/>
                <w:sz w:val="21"/>
                <w:highlight w:val="none"/>
              </w:rPr>
              <w:t>费率        服务类型</w:t>
            </w:r>
          </w:p>
          <w:p>
            <w:pPr>
              <w:pStyle w:val="22"/>
              <w:spacing w:line="400" w:lineRule="exact"/>
              <w:rPr>
                <w:rFonts w:hAnsi="宋体" w:cs="Courier New"/>
                <w:kern w:val="2"/>
                <w:sz w:val="21"/>
                <w:highlight w:val="none"/>
              </w:rPr>
            </w:pPr>
            <w:r>
              <w:rPr>
                <w:rFonts w:hAnsi="宋体" w:cs="Courier New"/>
                <w:kern w:val="2"/>
                <w:sz w:val="21"/>
                <w:highlight w:val="none"/>
              </w:rPr>
              <mc:AlternateContent>
                <mc:Choice Requires="wps">
                  <w:drawing>
                    <wp:anchor distT="0" distB="0" distL="114300" distR="114300" simplePos="0" relativeHeight="251658240" behindDoc="0" locked="0" layoutInCell="1" allowOverlap="1">
                      <wp:simplePos x="0" y="0"/>
                      <wp:positionH relativeFrom="column">
                        <wp:posOffset>-45085</wp:posOffset>
                      </wp:positionH>
                      <wp:positionV relativeFrom="paragraph">
                        <wp:posOffset>149860</wp:posOffset>
                      </wp:positionV>
                      <wp:extent cx="1691640" cy="333375"/>
                      <wp:effectExtent l="12065" t="6985" r="10795" b="12065"/>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1691640" cy="333375"/>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3.55pt;margin-top:11.8pt;height:26.25pt;width:133.2pt;z-index:251658240;mso-width-relative:page;mso-height-relative:page;" filled="f" stroked="t" coordsize="21600,21600" o:gfxdata="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HdE&#10;/qLXAAAACAEAAA8AAAAAAAAAAQAgAAAAIgAAAGRycy9kb3ducmV2LnhtbFBLAQIUABQAAAAIAIdO&#10;4kAfwmlOsgEAAFYDAAAOAAAAAAAAAAEAIAAAACYBAABkcnMvZTJvRG9jLnhtbFBLBQYAAAAABgAG&#10;AFkBAABKBQAAAAA=&#10;">
                      <v:fill on="f" focussize="0,0"/>
                      <v:stroke color="#000000" joinstyle="round"/>
                      <v:imagedata o:title=""/>
                      <o:lock v:ext="edit" aspectratio="f"/>
                    </v:line>
                  </w:pict>
                </mc:Fallback>
              </mc:AlternateContent>
            </w:r>
          </w:p>
          <w:p>
            <w:pPr>
              <w:pStyle w:val="22"/>
              <w:spacing w:line="400" w:lineRule="exact"/>
              <w:rPr>
                <w:rFonts w:hAnsi="宋体" w:cs="Courier New"/>
                <w:kern w:val="2"/>
                <w:sz w:val="21"/>
                <w:highlight w:val="none"/>
              </w:rPr>
            </w:pPr>
            <w:r>
              <w:rPr>
                <w:rFonts w:hint="eastAsia" w:hAnsi="宋体" w:cs="Courier New"/>
                <w:kern w:val="2"/>
                <w:sz w:val="21"/>
                <w:highlight w:val="none"/>
              </w:rPr>
              <w:t>中标金额（万元）</w:t>
            </w:r>
          </w:p>
        </w:tc>
        <w:tc>
          <w:tcPr>
            <w:tcW w:w="1998" w:type="dxa"/>
            <w:vAlign w:val="center"/>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货物招标</w:t>
            </w:r>
          </w:p>
        </w:tc>
        <w:tc>
          <w:tcPr>
            <w:tcW w:w="1988" w:type="dxa"/>
            <w:vAlign w:val="center"/>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服务招标</w:t>
            </w:r>
          </w:p>
        </w:tc>
        <w:tc>
          <w:tcPr>
            <w:tcW w:w="2292" w:type="dxa"/>
            <w:vAlign w:val="center"/>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2"/>
              <w:spacing w:line="400" w:lineRule="exact"/>
              <w:rPr>
                <w:rFonts w:hAnsi="宋体" w:cs="Courier New"/>
                <w:kern w:val="2"/>
                <w:sz w:val="21"/>
                <w:highlight w:val="none"/>
              </w:rPr>
            </w:pPr>
            <w:r>
              <w:rPr>
                <w:rFonts w:hint="eastAsia" w:hAnsi="宋体" w:cs="Courier New"/>
                <w:kern w:val="2"/>
                <w:sz w:val="21"/>
                <w:highlight w:val="none"/>
              </w:rPr>
              <w:t>100以下</w:t>
            </w:r>
          </w:p>
        </w:tc>
        <w:tc>
          <w:tcPr>
            <w:tcW w:w="1998" w:type="dxa"/>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1.5%</w:t>
            </w:r>
          </w:p>
        </w:tc>
        <w:tc>
          <w:tcPr>
            <w:tcW w:w="1988" w:type="dxa"/>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1.5%</w:t>
            </w:r>
          </w:p>
        </w:tc>
        <w:tc>
          <w:tcPr>
            <w:tcW w:w="2292" w:type="dxa"/>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2"/>
              <w:spacing w:line="400" w:lineRule="exact"/>
              <w:rPr>
                <w:rFonts w:hAnsi="宋体" w:cs="Courier New"/>
                <w:kern w:val="2"/>
                <w:sz w:val="21"/>
                <w:highlight w:val="none"/>
              </w:rPr>
            </w:pPr>
            <w:r>
              <w:rPr>
                <w:rFonts w:hint="eastAsia" w:hAnsi="宋体" w:cs="Courier New"/>
                <w:kern w:val="2"/>
                <w:sz w:val="21"/>
                <w:highlight w:val="none"/>
              </w:rPr>
              <w:t>100-500</w:t>
            </w:r>
          </w:p>
        </w:tc>
        <w:tc>
          <w:tcPr>
            <w:tcW w:w="1998" w:type="dxa"/>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1.1%</w:t>
            </w:r>
          </w:p>
        </w:tc>
        <w:tc>
          <w:tcPr>
            <w:tcW w:w="1988" w:type="dxa"/>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0.8%</w:t>
            </w:r>
          </w:p>
        </w:tc>
        <w:tc>
          <w:tcPr>
            <w:tcW w:w="2292" w:type="dxa"/>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2"/>
              <w:spacing w:line="400" w:lineRule="exact"/>
              <w:rPr>
                <w:rFonts w:hAnsi="宋体" w:cs="Courier New"/>
                <w:kern w:val="2"/>
                <w:sz w:val="21"/>
                <w:highlight w:val="none"/>
              </w:rPr>
            </w:pPr>
            <w:r>
              <w:rPr>
                <w:rFonts w:hint="eastAsia" w:hAnsi="宋体" w:cs="Courier New"/>
                <w:kern w:val="2"/>
                <w:sz w:val="21"/>
                <w:highlight w:val="none"/>
              </w:rPr>
              <w:t>500-1000</w:t>
            </w:r>
          </w:p>
        </w:tc>
        <w:tc>
          <w:tcPr>
            <w:tcW w:w="1998" w:type="dxa"/>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0.8%</w:t>
            </w:r>
          </w:p>
        </w:tc>
        <w:tc>
          <w:tcPr>
            <w:tcW w:w="1988" w:type="dxa"/>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0.45%</w:t>
            </w:r>
          </w:p>
        </w:tc>
        <w:tc>
          <w:tcPr>
            <w:tcW w:w="2292" w:type="dxa"/>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2"/>
              <w:spacing w:line="400" w:lineRule="exact"/>
              <w:rPr>
                <w:rFonts w:hAnsi="宋体" w:cs="Courier New"/>
                <w:kern w:val="2"/>
                <w:sz w:val="21"/>
                <w:highlight w:val="none"/>
              </w:rPr>
            </w:pPr>
            <w:r>
              <w:rPr>
                <w:rFonts w:hint="eastAsia" w:hAnsi="宋体" w:cs="Courier New"/>
                <w:kern w:val="2"/>
                <w:sz w:val="21"/>
                <w:highlight w:val="none"/>
              </w:rPr>
              <w:t>1000-5000</w:t>
            </w:r>
          </w:p>
        </w:tc>
        <w:tc>
          <w:tcPr>
            <w:tcW w:w="1998" w:type="dxa"/>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0.5%</w:t>
            </w:r>
          </w:p>
        </w:tc>
        <w:tc>
          <w:tcPr>
            <w:tcW w:w="1988" w:type="dxa"/>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0.25%</w:t>
            </w:r>
          </w:p>
        </w:tc>
        <w:tc>
          <w:tcPr>
            <w:tcW w:w="2292" w:type="dxa"/>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2"/>
              <w:spacing w:line="400" w:lineRule="exact"/>
              <w:rPr>
                <w:rFonts w:hAnsi="宋体" w:cs="Courier New"/>
                <w:kern w:val="2"/>
                <w:sz w:val="21"/>
                <w:highlight w:val="none"/>
              </w:rPr>
            </w:pPr>
            <w:r>
              <w:rPr>
                <w:rFonts w:hint="eastAsia" w:hAnsi="宋体" w:cs="Courier New"/>
                <w:kern w:val="2"/>
                <w:sz w:val="21"/>
                <w:highlight w:val="none"/>
              </w:rPr>
              <w:t>5000-10000</w:t>
            </w:r>
          </w:p>
        </w:tc>
        <w:tc>
          <w:tcPr>
            <w:tcW w:w="1998" w:type="dxa"/>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0.25%</w:t>
            </w:r>
          </w:p>
        </w:tc>
        <w:tc>
          <w:tcPr>
            <w:tcW w:w="1988" w:type="dxa"/>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0.1%</w:t>
            </w:r>
          </w:p>
        </w:tc>
        <w:tc>
          <w:tcPr>
            <w:tcW w:w="2292" w:type="dxa"/>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2"/>
              <w:spacing w:line="400" w:lineRule="exact"/>
              <w:rPr>
                <w:rFonts w:hAnsi="宋体" w:cs="Courier New"/>
                <w:kern w:val="2"/>
                <w:sz w:val="21"/>
                <w:highlight w:val="none"/>
              </w:rPr>
            </w:pPr>
            <w:r>
              <w:rPr>
                <w:rFonts w:hint="eastAsia" w:hAnsi="宋体" w:cs="Courier New"/>
                <w:kern w:val="2"/>
                <w:sz w:val="21"/>
                <w:highlight w:val="none"/>
              </w:rPr>
              <w:t>10000-100000</w:t>
            </w:r>
          </w:p>
        </w:tc>
        <w:tc>
          <w:tcPr>
            <w:tcW w:w="1998" w:type="dxa"/>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0.05%</w:t>
            </w:r>
          </w:p>
        </w:tc>
        <w:tc>
          <w:tcPr>
            <w:tcW w:w="1988" w:type="dxa"/>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0.05%</w:t>
            </w:r>
          </w:p>
        </w:tc>
        <w:tc>
          <w:tcPr>
            <w:tcW w:w="2292" w:type="dxa"/>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2"/>
              <w:spacing w:line="400" w:lineRule="exact"/>
              <w:rPr>
                <w:rFonts w:hAnsi="宋体" w:cs="Courier New"/>
                <w:kern w:val="2"/>
                <w:sz w:val="21"/>
                <w:highlight w:val="none"/>
              </w:rPr>
            </w:pPr>
            <w:r>
              <w:rPr>
                <w:rFonts w:hint="eastAsia" w:hAnsi="宋体" w:cs="Courier New"/>
                <w:kern w:val="2"/>
                <w:sz w:val="21"/>
                <w:highlight w:val="none"/>
              </w:rPr>
              <w:t>100000以上</w:t>
            </w:r>
          </w:p>
        </w:tc>
        <w:tc>
          <w:tcPr>
            <w:tcW w:w="1998" w:type="dxa"/>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0.01%</w:t>
            </w:r>
          </w:p>
        </w:tc>
        <w:tc>
          <w:tcPr>
            <w:tcW w:w="1988" w:type="dxa"/>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0.01%</w:t>
            </w:r>
          </w:p>
        </w:tc>
        <w:tc>
          <w:tcPr>
            <w:tcW w:w="2292" w:type="dxa"/>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0.01%</w:t>
            </w:r>
          </w:p>
        </w:tc>
      </w:tr>
    </w:tbl>
    <w:p>
      <w:pPr>
        <w:pStyle w:val="22"/>
        <w:spacing w:line="400" w:lineRule="exact"/>
        <w:ind w:firstLine="315" w:firstLineChars="150"/>
        <w:rPr>
          <w:rFonts w:hAnsi="宋体"/>
          <w:highlight w:val="none"/>
        </w:rPr>
      </w:pPr>
      <w:r>
        <w:rPr>
          <w:rFonts w:hint="eastAsia" w:hAnsi="宋体"/>
          <w:sz w:val="21"/>
          <w:highlight w:val="none"/>
        </w:rPr>
        <w:t>注：招标代理服务收费按差额定率累进法计算。</w:t>
      </w:r>
      <w:r>
        <w:rPr>
          <w:rFonts w:hint="eastAsia" w:hAnsi="宋体"/>
          <w:highlight w:val="none"/>
        </w:rPr>
        <w:t>例如：</w:t>
      </w:r>
      <w:r>
        <w:rPr>
          <w:sz w:val="21"/>
          <w:highlight w:val="none"/>
        </w:rPr>
        <w:t>某货物采购代理业务成交金额为600万元，计算采购代理服务费额如下：</w:t>
      </w:r>
    </w:p>
    <w:p>
      <w:pPr>
        <w:pStyle w:val="81"/>
        <w:rPr>
          <w:rFonts w:hint="default" w:asciiTheme="minorEastAsia" w:hAnsiTheme="minorEastAsia" w:eastAsiaTheme="minorEastAsia" w:cstheme="minorEastAsia"/>
          <w:sz w:val="21"/>
          <w:szCs w:val="21"/>
          <w:highlight w:val="none"/>
        </w:rPr>
      </w:pPr>
      <w:r>
        <w:rPr>
          <w:rFonts w:asciiTheme="minorEastAsia" w:hAnsiTheme="minorEastAsia" w:eastAsiaTheme="minorEastAsia" w:cstheme="minorEastAsia"/>
          <w:sz w:val="21"/>
          <w:szCs w:val="21"/>
          <w:highlight w:val="none"/>
        </w:rPr>
        <w:t xml:space="preserve"> 100万元×1.5％＝1.5万元；</w:t>
      </w:r>
    </w:p>
    <w:p>
      <w:pPr>
        <w:pStyle w:val="81"/>
        <w:rPr>
          <w:rFonts w:hint="default" w:asciiTheme="minorEastAsia" w:hAnsiTheme="minorEastAsia" w:eastAsiaTheme="minorEastAsia" w:cstheme="minorEastAsia"/>
          <w:sz w:val="21"/>
          <w:szCs w:val="21"/>
          <w:highlight w:val="none"/>
        </w:rPr>
      </w:pPr>
      <w:r>
        <w:rPr>
          <w:rFonts w:asciiTheme="minorEastAsia" w:hAnsiTheme="minorEastAsia" w:eastAsiaTheme="minorEastAsia" w:cstheme="minorEastAsia"/>
          <w:sz w:val="21"/>
          <w:szCs w:val="21"/>
          <w:highlight w:val="none"/>
        </w:rPr>
        <w:t>（500－100）万元×1.1％＝4.4万元；</w:t>
      </w:r>
    </w:p>
    <w:p>
      <w:pPr>
        <w:pStyle w:val="81"/>
        <w:rPr>
          <w:rFonts w:hint="default" w:asciiTheme="minorEastAsia" w:hAnsiTheme="minorEastAsia" w:eastAsiaTheme="minorEastAsia" w:cstheme="minorEastAsia"/>
          <w:sz w:val="21"/>
          <w:szCs w:val="21"/>
          <w:highlight w:val="none"/>
        </w:rPr>
      </w:pPr>
      <w:r>
        <w:rPr>
          <w:rFonts w:asciiTheme="minorEastAsia" w:hAnsiTheme="minorEastAsia" w:eastAsiaTheme="minorEastAsia" w:cstheme="minorEastAsia"/>
          <w:sz w:val="21"/>
          <w:szCs w:val="21"/>
          <w:highlight w:val="none"/>
        </w:rPr>
        <w:t xml:space="preserve">（600－500）万元×0.8％＝0.8万元； </w:t>
      </w:r>
    </w:p>
    <w:p>
      <w:pPr>
        <w:pStyle w:val="81"/>
        <w:rPr>
          <w:rFonts w:hint="default" w:asciiTheme="minorEastAsia" w:hAnsiTheme="minorEastAsia" w:eastAsiaTheme="minorEastAsia" w:cstheme="minorEastAsia"/>
          <w:sz w:val="21"/>
          <w:szCs w:val="21"/>
          <w:highlight w:val="none"/>
        </w:rPr>
      </w:pPr>
      <w:r>
        <w:rPr>
          <w:rFonts w:asciiTheme="minorEastAsia" w:hAnsiTheme="minorEastAsia" w:eastAsiaTheme="minorEastAsia" w:cstheme="minorEastAsia"/>
          <w:sz w:val="21"/>
          <w:szCs w:val="21"/>
          <w:highlight w:val="none"/>
        </w:rPr>
        <w:t>合计收费＝1.5＋4.4＋0.8＝6.7(万元)</w:t>
      </w:r>
    </w:p>
    <w:p>
      <w:pPr>
        <w:spacing w:line="360" w:lineRule="auto"/>
        <w:rPr>
          <w:rFonts w:ascii="宋体" w:hAnsi="宋体" w:cs="宋体"/>
          <w:szCs w:val="21"/>
          <w:highlight w:val="none"/>
        </w:rPr>
      </w:pPr>
      <w:r>
        <w:rPr>
          <w:rFonts w:hint="eastAsia" w:hAnsi="宋体"/>
          <w:highlight w:val="none"/>
        </w:rPr>
        <w:t>（3）</w:t>
      </w:r>
      <w:r>
        <w:rPr>
          <w:rFonts w:hint="eastAsia" w:ascii="宋体" w:hAnsi="宋体" w:cs="宋体"/>
          <w:szCs w:val="21"/>
          <w:highlight w:val="none"/>
        </w:rPr>
        <w:t>广西鸿业建设工程管理咨询有限公司的委托代理服务费请交至如下账户：</w:t>
      </w:r>
    </w:p>
    <w:p>
      <w:pPr>
        <w:widowControl/>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 xml:space="preserve">    开户名称：广西鸿业建设工程管理咨询有限公司第三分公司</w:t>
      </w:r>
    </w:p>
    <w:p>
      <w:pPr>
        <w:widowControl/>
        <w:spacing w:line="360" w:lineRule="auto"/>
        <w:ind w:firstLine="840" w:firstLineChars="400"/>
        <w:jc w:val="left"/>
        <w:rPr>
          <w:rFonts w:ascii="宋体" w:hAnsi="宋体" w:cs="宋体"/>
          <w:szCs w:val="21"/>
          <w:highlight w:val="none"/>
        </w:rPr>
      </w:pPr>
      <w:r>
        <w:rPr>
          <w:rFonts w:hint="eastAsia" w:ascii="宋体" w:hAnsi="宋体" w:cs="宋体"/>
          <w:szCs w:val="21"/>
          <w:highlight w:val="none"/>
        </w:rPr>
        <w:t>开户银行：广西北部湾银行股份有限公司南宁市琅东支行</w:t>
      </w:r>
    </w:p>
    <w:p>
      <w:pPr>
        <w:widowControl/>
        <w:spacing w:line="360" w:lineRule="auto"/>
        <w:ind w:firstLine="840" w:firstLineChars="400"/>
        <w:jc w:val="left"/>
        <w:rPr>
          <w:rFonts w:ascii="宋体" w:hAnsi="宋体" w:cs="宋体"/>
          <w:szCs w:val="21"/>
          <w:highlight w:val="none"/>
        </w:rPr>
      </w:pPr>
      <w:r>
        <w:rPr>
          <w:rFonts w:hint="eastAsia" w:ascii="宋体" w:hAnsi="宋体" w:cs="宋体"/>
          <w:szCs w:val="21"/>
          <w:highlight w:val="none"/>
        </w:rPr>
        <w:t>银行账号：8001 1224 2500 017</w:t>
      </w:r>
    </w:p>
    <w:p>
      <w:pPr>
        <w:rPr>
          <w:rFonts w:hAnsi="宋体"/>
          <w:highlight w:val="none"/>
        </w:rPr>
      </w:pPr>
      <w:r>
        <w:rPr>
          <w:rFonts w:hint="eastAsia" w:ascii="黑体" w:hAnsi="黑体" w:eastAsia="黑体" w:cs="黑体"/>
          <w:color w:val="000000"/>
          <w:kern w:val="0"/>
          <w:sz w:val="32"/>
          <w:szCs w:val="32"/>
          <w:highlight w:val="none"/>
        </w:rPr>
        <w:br w:type="page"/>
      </w:r>
    </w:p>
    <w:p>
      <w:pPr>
        <w:pStyle w:val="6"/>
        <w:rPr>
          <w:b/>
          <w:bCs/>
          <w:highlight w:val="none"/>
        </w:rPr>
      </w:pPr>
      <w:bookmarkStart w:id="104" w:name="_Toc254970689"/>
      <w:bookmarkStart w:id="105" w:name="_Toc254970548"/>
      <w:r>
        <w:rPr>
          <w:rFonts w:hint="eastAsia"/>
          <w:b/>
          <w:bCs/>
          <w:highlight w:val="none"/>
        </w:rPr>
        <w:t>第四章  评标办法及评分标准</w:t>
      </w:r>
      <w:bookmarkEnd w:id="104"/>
      <w:bookmarkEnd w:id="105"/>
    </w:p>
    <w:bookmarkEnd w:id="0"/>
    <w:bookmarkEnd w:id="1"/>
    <w:p>
      <w:pPr>
        <w:pStyle w:val="22"/>
        <w:spacing w:line="400" w:lineRule="exact"/>
        <w:ind w:firstLine="42" w:firstLineChars="20"/>
        <w:rPr>
          <w:rFonts w:hAnsi="宋体" w:cs="宋体"/>
          <w:b/>
          <w:sz w:val="21"/>
          <w:highlight w:val="none"/>
        </w:rPr>
      </w:pPr>
      <w:bookmarkStart w:id="106" w:name="_Toc1552"/>
      <w:bookmarkStart w:id="107" w:name="_Toc433187409"/>
      <w:bookmarkStart w:id="108" w:name="_Toc254970549"/>
      <w:bookmarkStart w:id="109" w:name="_Toc254970690"/>
      <w:r>
        <w:rPr>
          <w:rFonts w:hint="eastAsia" w:hAnsi="宋体" w:cs="宋体"/>
          <w:b/>
          <w:sz w:val="21"/>
          <w:highlight w:val="none"/>
        </w:rPr>
        <w:t>一、评标原则</w:t>
      </w:r>
    </w:p>
    <w:p>
      <w:pPr>
        <w:pStyle w:val="22"/>
        <w:spacing w:line="400" w:lineRule="exact"/>
        <w:rPr>
          <w:rFonts w:hAnsi="宋体" w:cs="宋体"/>
          <w:bCs/>
          <w:sz w:val="21"/>
          <w:highlight w:val="none"/>
        </w:rPr>
      </w:pPr>
      <w:r>
        <w:rPr>
          <w:rFonts w:hint="eastAsia" w:hAnsi="宋体" w:cs="宋体"/>
          <w:bCs/>
          <w:sz w:val="21"/>
          <w:highlight w:val="none"/>
        </w:rPr>
        <w:t>（一）评委构成：本招标采购项目的评委由采购人代表和政府采购评审专家共5人构成，参加过采购项目前期咨询论证的专家，不得参加该采购项目的评审活动。</w:t>
      </w:r>
    </w:p>
    <w:p>
      <w:pPr>
        <w:pStyle w:val="22"/>
        <w:spacing w:line="400" w:lineRule="exact"/>
        <w:rPr>
          <w:rFonts w:hAnsi="宋体" w:cs="宋体"/>
          <w:sz w:val="21"/>
          <w:highlight w:val="none"/>
        </w:rPr>
      </w:pPr>
      <w:r>
        <w:rPr>
          <w:rFonts w:hint="eastAsia" w:hAnsi="宋体" w:cs="宋体"/>
          <w:bCs/>
          <w:sz w:val="21"/>
          <w:highlight w:val="none"/>
        </w:rPr>
        <w:t>（二）评标依据：评标委员会将以招投标文件为评标依据，对投标人的投标报价、技术服务方案、应急保障服务方案、施工方案、售后服务方案、信誉及业绩等六方面内容按百分制打分。</w:t>
      </w:r>
    </w:p>
    <w:p>
      <w:pPr>
        <w:pStyle w:val="22"/>
        <w:spacing w:line="400" w:lineRule="exact"/>
        <w:rPr>
          <w:rFonts w:hAnsi="宋体" w:cs="宋体"/>
          <w:bCs/>
          <w:sz w:val="21"/>
          <w:highlight w:val="none"/>
        </w:rPr>
      </w:pPr>
      <w:r>
        <w:rPr>
          <w:rFonts w:hint="eastAsia" w:hAnsi="宋体" w:cs="宋体"/>
          <w:bCs/>
          <w:sz w:val="21"/>
          <w:highlight w:val="none"/>
        </w:rPr>
        <w:t>（三）评标方式：以封闭方式进行。</w:t>
      </w:r>
    </w:p>
    <w:p>
      <w:pPr>
        <w:pStyle w:val="22"/>
        <w:spacing w:line="400" w:lineRule="exact"/>
        <w:ind w:firstLine="148" w:firstLineChars="70"/>
        <w:rPr>
          <w:rFonts w:hAnsi="宋体" w:cs="宋体"/>
          <w:b/>
          <w:sz w:val="21"/>
          <w:highlight w:val="none"/>
        </w:rPr>
      </w:pPr>
      <w:r>
        <w:rPr>
          <w:rFonts w:hint="eastAsia" w:hAnsi="宋体" w:cs="宋体"/>
          <w:b/>
          <w:sz w:val="21"/>
          <w:highlight w:val="none"/>
        </w:rPr>
        <w:t>二、评定方法</w:t>
      </w:r>
    </w:p>
    <w:p>
      <w:pPr>
        <w:pStyle w:val="22"/>
        <w:spacing w:line="400" w:lineRule="exact"/>
        <w:rPr>
          <w:rFonts w:hAnsi="宋体" w:cs="宋体"/>
          <w:bCs/>
          <w:sz w:val="21"/>
          <w:highlight w:val="none"/>
        </w:rPr>
      </w:pPr>
      <w:r>
        <w:rPr>
          <w:rFonts w:hint="eastAsia" w:hAnsi="宋体" w:cs="宋体"/>
          <w:bCs/>
          <w:sz w:val="21"/>
          <w:highlight w:val="none"/>
        </w:rPr>
        <w:t>（一）对进入详评的，采用百分制综合评分法。</w:t>
      </w:r>
    </w:p>
    <w:p>
      <w:pPr>
        <w:pStyle w:val="22"/>
        <w:spacing w:line="400" w:lineRule="exact"/>
        <w:rPr>
          <w:rFonts w:hAnsi="宋体" w:cs="宋体"/>
          <w:bCs/>
          <w:sz w:val="21"/>
          <w:highlight w:val="none"/>
        </w:rPr>
      </w:pPr>
      <w:r>
        <w:rPr>
          <w:rFonts w:hint="eastAsia" w:hAnsi="宋体" w:cs="宋体"/>
          <w:bCs/>
          <w:sz w:val="21"/>
          <w:highlight w:val="none"/>
        </w:rPr>
        <w:t>（二）计分办法（按四舍五入取至百分位）：</w:t>
      </w:r>
    </w:p>
    <w:p>
      <w:pPr>
        <w:pStyle w:val="22"/>
        <w:spacing w:line="400" w:lineRule="exact"/>
        <w:rPr>
          <w:rFonts w:hAnsi="宋体" w:cs="宋体"/>
          <w:bCs/>
          <w:sz w:val="21"/>
          <w:highlight w:val="none"/>
        </w:rPr>
      </w:pPr>
      <w:r>
        <w:rPr>
          <w:rFonts w:hint="eastAsia" w:hAnsi="宋体" w:cs="宋体"/>
          <w:bCs/>
          <w:sz w:val="21"/>
          <w:highlight w:val="none"/>
        </w:rPr>
        <w:t>（三）评标程序</w:t>
      </w:r>
    </w:p>
    <w:p>
      <w:pPr>
        <w:pStyle w:val="22"/>
        <w:spacing w:line="400" w:lineRule="exact"/>
        <w:ind w:firstLine="420" w:firstLineChars="200"/>
        <w:rPr>
          <w:rFonts w:hAnsi="宋体" w:cs="宋体"/>
          <w:bCs/>
          <w:sz w:val="21"/>
          <w:highlight w:val="none"/>
        </w:rPr>
      </w:pPr>
      <w:r>
        <w:rPr>
          <w:rFonts w:hint="eastAsia" w:hAnsi="宋体" w:cs="宋体"/>
          <w:bCs/>
          <w:sz w:val="21"/>
          <w:highlight w:val="none"/>
        </w:rPr>
        <w:t>1.符合性审查</w:t>
      </w:r>
    </w:p>
    <w:p>
      <w:pPr>
        <w:pStyle w:val="22"/>
        <w:spacing w:line="400" w:lineRule="exact"/>
        <w:ind w:firstLine="420" w:firstLineChars="200"/>
        <w:rPr>
          <w:rFonts w:hAnsi="宋体" w:cs="宋体"/>
          <w:bCs/>
          <w:sz w:val="21"/>
          <w:highlight w:val="none"/>
        </w:rPr>
      </w:pPr>
      <w:r>
        <w:rPr>
          <w:rFonts w:hint="eastAsia" w:hAnsi="宋体" w:cs="宋体"/>
          <w:bCs/>
          <w:sz w:val="21"/>
          <w:highlight w:val="none"/>
        </w:rPr>
        <w:t>评标委员会应当对符合资格的投标人的投标文件进行投标报价、商务、技术等实质性要求符合性审查，以确定其是否满足招标文件的实质性要求。</w:t>
      </w:r>
    </w:p>
    <w:p>
      <w:pPr>
        <w:pStyle w:val="22"/>
        <w:spacing w:line="400" w:lineRule="exact"/>
        <w:ind w:firstLine="420" w:firstLineChars="200"/>
        <w:rPr>
          <w:rFonts w:hAnsi="宋体" w:cs="宋体"/>
          <w:bCs/>
          <w:sz w:val="21"/>
          <w:highlight w:val="none"/>
        </w:rPr>
      </w:pPr>
      <w:r>
        <w:rPr>
          <w:rFonts w:hint="eastAsia" w:hAnsi="宋体" w:cs="宋体"/>
          <w:bCs/>
          <w:sz w:val="21"/>
          <w:highlight w:val="none"/>
        </w:rPr>
        <w:t>2.符合性审查不通过而导致投标无效的情形</w:t>
      </w:r>
    </w:p>
    <w:p>
      <w:pPr>
        <w:pStyle w:val="22"/>
        <w:spacing w:line="400" w:lineRule="exact"/>
        <w:rPr>
          <w:rFonts w:hAnsi="宋体" w:cs="宋体"/>
          <w:bCs/>
          <w:sz w:val="21"/>
          <w:highlight w:val="none"/>
        </w:rPr>
      </w:pPr>
      <w:r>
        <w:rPr>
          <w:rFonts w:hint="eastAsia" w:hAnsi="宋体" w:cs="宋体"/>
          <w:bCs/>
          <w:sz w:val="21"/>
          <w:highlight w:val="none"/>
        </w:rPr>
        <w:t>投标人的投标文件中存在对招标文件的任何实质性要求和条件的负偏离，其投标将被视为投标无效。</w:t>
      </w:r>
    </w:p>
    <w:p>
      <w:pPr>
        <w:pStyle w:val="22"/>
        <w:spacing w:line="400" w:lineRule="exact"/>
        <w:ind w:firstLine="420" w:firstLineChars="200"/>
        <w:rPr>
          <w:rFonts w:hAnsi="宋体" w:cs="宋体"/>
          <w:bCs/>
          <w:sz w:val="21"/>
          <w:highlight w:val="none"/>
        </w:rPr>
      </w:pPr>
      <w:r>
        <w:rPr>
          <w:rFonts w:hint="eastAsia" w:hAnsi="宋体" w:cs="宋体"/>
          <w:bCs/>
          <w:sz w:val="21"/>
          <w:highlight w:val="none"/>
        </w:rPr>
        <w:t>3.澄清补正</w:t>
      </w:r>
    </w:p>
    <w:p>
      <w:pPr>
        <w:pStyle w:val="22"/>
        <w:spacing w:line="400" w:lineRule="exact"/>
        <w:ind w:firstLine="420" w:firstLineChars="200"/>
        <w:rPr>
          <w:rFonts w:hAnsi="宋体" w:cs="宋体"/>
          <w:bCs/>
          <w:sz w:val="21"/>
          <w:highlight w:val="none"/>
        </w:rPr>
      </w:pPr>
      <w:r>
        <w:rPr>
          <w:rFonts w:hint="eastAsia" w:hAnsi="宋体" w:cs="宋体"/>
          <w:bCs/>
          <w:sz w:val="21"/>
          <w:highlight w:val="none"/>
        </w:rPr>
        <w:t>对投标文件中含义不明确、同类问题表述不一致或者有明显文字和计算错误的内容，评标委员会应当以书面形式要求投标人在规定时间内作出必要的澄清、说明或者纠正。投标人的澄清、说明或者补正应当采用书面形式，并加盖公章，或者由法定代表人（负责人或自然人）或其授权的代表签字。投标人的澄清、说明或者补正不得超出投标文件的范围或者改变投标文件的实质性内容。</w:t>
      </w:r>
    </w:p>
    <w:p>
      <w:pPr>
        <w:pStyle w:val="22"/>
        <w:spacing w:line="400" w:lineRule="exact"/>
        <w:ind w:firstLine="420" w:firstLineChars="200"/>
        <w:rPr>
          <w:rFonts w:hAnsi="宋体" w:cs="宋体"/>
          <w:bCs/>
          <w:sz w:val="21"/>
          <w:highlight w:val="none"/>
        </w:rPr>
      </w:pPr>
      <w:r>
        <w:rPr>
          <w:rFonts w:hint="eastAsia" w:hAnsi="宋体" w:cs="宋体"/>
          <w:bCs/>
          <w:sz w:val="21"/>
          <w:highlight w:val="none"/>
        </w:rPr>
        <w:t>4.比较与评价</w:t>
      </w:r>
    </w:p>
    <w:p>
      <w:pPr>
        <w:pStyle w:val="22"/>
        <w:spacing w:line="400" w:lineRule="exact"/>
        <w:ind w:firstLine="420" w:firstLineChars="200"/>
        <w:rPr>
          <w:rFonts w:hAnsi="宋体" w:cs="宋体"/>
          <w:bCs/>
          <w:sz w:val="21"/>
          <w:highlight w:val="none"/>
        </w:rPr>
      </w:pPr>
      <w:r>
        <w:rPr>
          <w:rFonts w:hint="eastAsia" w:hAnsi="宋体" w:cs="宋体"/>
          <w:bCs/>
          <w:sz w:val="21"/>
          <w:highlight w:val="none"/>
        </w:rPr>
        <w:t>（1）评标委员会按照招标文件中规定的评标方法和评标标准，对符合性审查合格的投标文件进行商务和技术评估，综合比较与评价。</w:t>
      </w:r>
    </w:p>
    <w:p>
      <w:pPr>
        <w:pStyle w:val="22"/>
        <w:spacing w:line="400" w:lineRule="exact"/>
        <w:ind w:firstLine="420" w:firstLineChars="200"/>
        <w:rPr>
          <w:rFonts w:hAnsi="宋体" w:cs="宋体"/>
          <w:bCs/>
          <w:sz w:val="21"/>
          <w:highlight w:val="none"/>
        </w:rPr>
      </w:pPr>
      <w:r>
        <w:rPr>
          <w:rFonts w:hint="eastAsia" w:hAnsi="宋体" w:cs="宋体"/>
          <w:bCs/>
          <w:sz w:val="21"/>
          <w:highlight w:val="none"/>
        </w:rPr>
        <w:t>（2）评标委员会应当独立对每个投标人的投标文件进行评价，并汇总每个投标人的得分。</w:t>
      </w:r>
    </w:p>
    <w:p>
      <w:pPr>
        <w:pStyle w:val="22"/>
        <w:spacing w:line="400" w:lineRule="exact"/>
        <w:rPr>
          <w:rFonts w:hAnsi="宋体" w:cs="宋体"/>
          <w:bCs/>
          <w:sz w:val="21"/>
          <w:highlight w:val="none"/>
        </w:rPr>
      </w:pPr>
      <w:r>
        <w:rPr>
          <w:rFonts w:hint="eastAsia" w:hAnsi="宋体" w:cs="宋体"/>
          <w:bCs/>
          <w:sz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2"/>
        <w:spacing w:line="400" w:lineRule="exact"/>
        <w:ind w:firstLine="420" w:firstLineChars="200"/>
        <w:rPr>
          <w:rFonts w:hAnsi="宋体" w:cs="宋体"/>
          <w:bCs/>
          <w:sz w:val="21"/>
          <w:highlight w:val="none"/>
        </w:rPr>
      </w:pPr>
      <w:r>
        <w:rPr>
          <w:rFonts w:hint="eastAsia" w:hAnsi="宋体" w:cs="宋体"/>
          <w:bCs/>
          <w:sz w:val="21"/>
          <w:highlight w:val="none"/>
        </w:rPr>
        <w:t>（3）评标委员会按照招标文件中规定的评标方法和标准计算各投标人的报价得分。在计算过程中，不得去掉最高报价或最低报价。</w:t>
      </w:r>
    </w:p>
    <w:p>
      <w:pPr>
        <w:pStyle w:val="22"/>
        <w:spacing w:line="400" w:lineRule="exact"/>
        <w:ind w:firstLine="420" w:firstLineChars="200"/>
        <w:rPr>
          <w:rFonts w:hAnsi="宋体" w:cs="宋体"/>
          <w:bCs/>
          <w:sz w:val="21"/>
          <w:highlight w:val="none"/>
        </w:rPr>
      </w:pPr>
      <w:r>
        <w:rPr>
          <w:rFonts w:hint="eastAsia" w:hAnsi="宋体" w:cs="宋体"/>
          <w:bCs/>
          <w:sz w:val="21"/>
          <w:highlight w:val="none"/>
        </w:rPr>
        <w:t>（4）各投标人的得分为所有评委的有效评分的算术平均数。</w:t>
      </w:r>
    </w:p>
    <w:p>
      <w:pPr>
        <w:pStyle w:val="22"/>
        <w:spacing w:line="400" w:lineRule="exact"/>
        <w:ind w:firstLine="420" w:firstLineChars="200"/>
        <w:rPr>
          <w:rFonts w:hAnsi="宋体" w:cs="宋体"/>
          <w:bCs/>
          <w:sz w:val="21"/>
          <w:highlight w:val="none"/>
        </w:rPr>
      </w:pPr>
      <w:r>
        <w:rPr>
          <w:rFonts w:hint="eastAsia" w:hAnsi="宋体" w:cs="宋体"/>
          <w:bCs/>
          <w:sz w:val="21"/>
          <w:highlight w:val="none"/>
        </w:rPr>
        <w:t>（5）评标委员会按照招标文件中的规定推荐中标候选人。</w:t>
      </w:r>
    </w:p>
    <w:p>
      <w:pPr>
        <w:pStyle w:val="22"/>
        <w:spacing w:line="400" w:lineRule="exact"/>
        <w:ind w:firstLine="420" w:firstLineChars="200"/>
        <w:rPr>
          <w:rFonts w:hAnsi="宋体" w:cs="宋体"/>
          <w:bCs/>
          <w:sz w:val="21"/>
          <w:highlight w:val="none"/>
        </w:rPr>
      </w:pPr>
      <w:r>
        <w:rPr>
          <w:rFonts w:hint="eastAsia" w:hAnsi="宋体" w:cs="宋体"/>
          <w:bCs/>
          <w:sz w:val="21"/>
          <w:highlight w:val="none"/>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pStyle w:val="22"/>
        <w:spacing w:line="400" w:lineRule="exact"/>
        <w:ind w:firstLine="420" w:firstLineChars="200"/>
        <w:rPr>
          <w:rFonts w:hAnsi="宋体" w:cs="宋体"/>
          <w:bCs/>
          <w:sz w:val="21"/>
          <w:highlight w:val="none"/>
        </w:rPr>
      </w:pPr>
      <w:r>
        <w:rPr>
          <w:rFonts w:hint="eastAsia" w:hAnsi="宋体" w:cs="宋体"/>
          <w:bCs/>
          <w:sz w:val="21"/>
          <w:highlight w:val="none"/>
        </w:rPr>
        <w:t>5投标文件修正</w:t>
      </w:r>
    </w:p>
    <w:p>
      <w:pPr>
        <w:pStyle w:val="22"/>
        <w:spacing w:line="400" w:lineRule="exact"/>
        <w:ind w:firstLine="420" w:firstLineChars="200"/>
        <w:rPr>
          <w:rFonts w:hAnsi="宋体" w:cs="宋体"/>
          <w:bCs/>
          <w:sz w:val="21"/>
          <w:highlight w:val="none"/>
        </w:rPr>
      </w:pPr>
      <w:r>
        <w:rPr>
          <w:rFonts w:hint="eastAsia" w:hAnsi="宋体" w:cs="宋体"/>
          <w:bCs/>
          <w:sz w:val="21"/>
          <w:highlight w:val="none"/>
        </w:rPr>
        <w:t xml:space="preserve">5.1投标文件报价出现前后不一致的，按照下列规定修正： </w:t>
      </w:r>
    </w:p>
    <w:p>
      <w:pPr>
        <w:pStyle w:val="22"/>
        <w:spacing w:line="400" w:lineRule="exact"/>
        <w:ind w:firstLine="420" w:firstLineChars="200"/>
        <w:rPr>
          <w:rFonts w:hAnsi="宋体" w:cs="宋体"/>
          <w:bCs/>
          <w:sz w:val="21"/>
          <w:highlight w:val="none"/>
        </w:rPr>
      </w:pPr>
      <w:r>
        <w:rPr>
          <w:rFonts w:hint="eastAsia" w:hAnsi="宋体" w:cs="宋体"/>
          <w:bCs/>
          <w:sz w:val="21"/>
          <w:highlight w:val="none"/>
        </w:rPr>
        <w:t>（1）投标文件中开标一览表（报价表）内容与投标文件中相应内容不一致的，以开标一览表（报价表）为准；</w:t>
      </w:r>
    </w:p>
    <w:p>
      <w:pPr>
        <w:pStyle w:val="22"/>
        <w:spacing w:line="400" w:lineRule="exact"/>
        <w:ind w:firstLine="420" w:firstLineChars="200"/>
        <w:rPr>
          <w:rFonts w:hAnsi="宋体" w:cs="宋体"/>
          <w:bCs/>
          <w:sz w:val="21"/>
          <w:highlight w:val="none"/>
        </w:rPr>
      </w:pPr>
      <w:r>
        <w:rPr>
          <w:rFonts w:hint="eastAsia" w:hAnsi="宋体" w:cs="宋体"/>
          <w:bCs/>
          <w:sz w:val="21"/>
          <w:highlight w:val="none"/>
        </w:rPr>
        <w:t>（2）大写金额和小写金额不一致的，以大写金额为准；</w:t>
      </w:r>
    </w:p>
    <w:p>
      <w:pPr>
        <w:pStyle w:val="22"/>
        <w:spacing w:line="400" w:lineRule="exact"/>
        <w:ind w:firstLine="420" w:firstLineChars="200"/>
        <w:rPr>
          <w:rFonts w:hAnsi="宋体" w:cs="宋体"/>
          <w:bCs/>
          <w:sz w:val="21"/>
          <w:highlight w:val="none"/>
        </w:rPr>
      </w:pPr>
      <w:r>
        <w:rPr>
          <w:rFonts w:hint="eastAsia" w:hAnsi="宋体" w:cs="宋体"/>
          <w:bCs/>
          <w:sz w:val="21"/>
          <w:highlight w:val="none"/>
        </w:rPr>
        <w:t>（3）单价金额小数点或者百分比有明显错位的，以开标一览表的总价为准，并修改单价；</w:t>
      </w:r>
    </w:p>
    <w:p>
      <w:pPr>
        <w:pStyle w:val="22"/>
        <w:spacing w:line="400" w:lineRule="exact"/>
        <w:ind w:firstLine="420" w:firstLineChars="200"/>
        <w:rPr>
          <w:rFonts w:hAnsi="宋体" w:cs="宋体"/>
          <w:bCs/>
          <w:sz w:val="21"/>
          <w:highlight w:val="none"/>
        </w:rPr>
      </w:pPr>
      <w:r>
        <w:rPr>
          <w:rFonts w:hint="eastAsia" w:hAnsi="宋体" w:cs="宋体"/>
          <w:bCs/>
          <w:sz w:val="21"/>
          <w:highlight w:val="none"/>
        </w:rPr>
        <w:t>（4）总价金额与按单价汇总金额不一致的，以单价金额计算结果为准。同时出现两种以上不一致的，按照以上（1）-（4）规定的顺序修正。修正后的报价经投标人确认后产生约束力，投标人不确认的，其投标无效。</w:t>
      </w:r>
    </w:p>
    <w:p>
      <w:pPr>
        <w:pStyle w:val="22"/>
        <w:spacing w:line="400" w:lineRule="exact"/>
        <w:ind w:firstLine="420" w:firstLineChars="200"/>
        <w:rPr>
          <w:rFonts w:hAnsi="宋体" w:cs="宋体"/>
          <w:bCs/>
          <w:sz w:val="21"/>
          <w:highlight w:val="none"/>
        </w:rPr>
      </w:pPr>
      <w:r>
        <w:rPr>
          <w:rFonts w:hint="eastAsia" w:hAnsi="宋体" w:cs="宋体"/>
          <w:bCs/>
          <w:sz w:val="21"/>
          <w:highlight w:val="none"/>
        </w:rPr>
        <w:t>5.2经投标人确认修正后的报价若超过采购预算金额，投标人的投标文件作无效投标处理。</w:t>
      </w:r>
    </w:p>
    <w:p>
      <w:pPr>
        <w:pStyle w:val="22"/>
        <w:spacing w:line="400" w:lineRule="exact"/>
        <w:ind w:firstLine="420" w:firstLineChars="200"/>
        <w:rPr>
          <w:rFonts w:hAnsi="宋体" w:cs="宋体"/>
          <w:bCs/>
          <w:sz w:val="21"/>
          <w:highlight w:val="none"/>
        </w:rPr>
      </w:pPr>
      <w:r>
        <w:rPr>
          <w:rFonts w:hint="eastAsia" w:hAnsi="宋体" w:cs="宋体"/>
          <w:bCs/>
          <w:sz w:val="21"/>
          <w:highlight w:val="none"/>
        </w:rPr>
        <w:t>5.3经投标人确认修正后的报价作为签订合同的一个依据，并以此报价计算价格分。</w:t>
      </w:r>
    </w:p>
    <w:p>
      <w:pPr>
        <w:pStyle w:val="22"/>
        <w:spacing w:line="400" w:lineRule="exact"/>
        <w:rPr>
          <w:rFonts w:hAnsi="宋体" w:cs="宋体"/>
          <w:b/>
          <w:sz w:val="21"/>
          <w:highlight w:val="none"/>
        </w:rPr>
      </w:pPr>
      <w:r>
        <w:rPr>
          <w:rFonts w:hint="eastAsia" w:hAnsi="宋体" w:cs="宋体"/>
          <w:b/>
          <w:sz w:val="21"/>
          <w:highlight w:val="none"/>
        </w:rPr>
        <w:t>三、评标标准</w:t>
      </w:r>
    </w:p>
    <w:p>
      <w:pPr>
        <w:pStyle w:val="22"/>
        <w:spacing w:line="400" w:lineRule="exact"/>
        <w:ind w:right="267" w:rightChars="127"/>
        <w:outlineLvl w:val="0"/>
        <w:rPr>
          <w:rFonts w:hAnsi="宋体" w:cs="宋体"/>
          <w:b/>
          <w:sz w:val="21"/>
          <w:highlight w:val="none"/>
        </w:rPr>
      </w:pPr>
      <w:bookmarkStart w:id="110" w:name="_Toc430110277"/>
      <w:bookmarkStart w:id="111" w:name="_Toc430109959"/>
      <w:bookmarkStart w:id="112" w:name="_Toc430110157"/>
      <w:r>
        <w:rPr>
          <w:rFonts w:hint="eastAsia" w:hAnsi="宋体" w:cs="宋体"/>
          <w:b/>
          <w:sz w:val="21"/>
          <w:highlight w:val="none"/>
        </w:rPr>
        <w:t>1.价格分………………………………………………………………………………………………30分</w:t>
      </w:r>
      <w:bookmarkEnd w:id="110"/>
      <w:bookmarkEnd w:id="111"/>
      <w:bookmarkEnd w:id="112"/>
    </w:p>
    <w:p>
      <w:pPr>
        <w:pStyle w:val="22"/>
        <w:spacing w:line="400" w:lineRule="exact"/>
        <w:ind w:firstLine="482" w:firstLineChars="230"/>
        <w:rPr>
          <w:rFonts w:hAnsi="宋体" w:cs="宋体"/>
          <w:sz w:val="21"/>
          <w:highlight w:val="none"/>
        </w:rPr>
      </w:pPr>
      <w:r>
        <w:rPr>
          <w:rFonts w:hint="eastAsia" w:hAnsi="宋体" w:cs="宋体"/>
          <w:sz w:val="21"/>
          <w:highlight w:val="none"/>
        </w:rPr>
        <w:t>（1）投标产品提供企业按《政府采购促进中小企业发展暂行办法》（财库[2011]181号）认定为小型和微型企业的（以投标文件提供的符合规定生产厂家有关证明材料为准），对其投标价给予6%的扣除，扣除后的价格为评标价，即评标价=投标价×（1-6%）；除上述情况外，评标价=投标价。</w:t>
      </w:r>
    </w:p>
    <w:p>
      <w:pPr>
        <w:pStyle w:val="22"/>
        <w:spacing w:line="400" w:lineRule="exact"/>
        <w:ind w:firstLine="482" w:firstLineChars="230"/>
        <w:rPr>
          <w:rFonts w:hAnsi="宋体" w:cs="宋体"/>
          <w:sz w:val="21"/>
          <w:highlight w:val="none"/>
        </w:rPr>
      </w:pPr>
      <w:r>
        <w:rPr>
          <w:rFonts w:hint="eastAsia" w:hAnsi="宋体" w:cs="宋体"/>
          <w:sz w:val="21"/>
          <w:highlight w:val="none"/>
        </w:rPr>
        <w:t>投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22"/>
        <w:snapToGrid w:val="0"/>
        <w:spacing w:line="400" w:lineRule="exact"/>
        <w:ind w:firstLine="3387" w:firstLineChars="1613"/>
        <w:rPr>
          <w:rFonts w:hAnsi="宋体" w:cs="宋体"/>
          <w:sz w:val="21"/>
          <w:highlight w:val="none"/>
        </w:rPr>
      </w:pPr>
      <w:r>
        <w:rPr>
          <w:rFonts w:hint="eastAsia" w:hAnsi="宋体" w:cs="宋体"/>
          <w:sz w:val="21"/>
          <w:highlight w:val="none"/>
        </w:rPr>
        <w:t xml:space="preserve"> 有效投标人最低投标报价金额（元）</w:t>
      </w:r>
    </w:p>
    <w:p>
      <w:pPr>
        <w:pStyle w:val="22"/>
        <w:snapToGrid w:val="0"/>
        <w:spacing w:line="400" w:lineRule="exact"/>
        <w:ind w:firstLine="840" w:firstLineChars="400"/>
        <w:rPr>
          <w:rFonts w:hAnsi="宋体" w:cs="宋体"/>
          <w:sz w:val="21"/>
          <w:highlight w:val="none"/>
        </w:rPr>
      </w:pPr>
      <w:r>
        <w:rPr>
          <w:rFonts w:hAnsi="宋体" w:cs="宋体"/>
          <w:sz w:val="21"/>
          <w:highlight w:val="none"/>
        </w:rPr>
        <mc:AlternateContent>
          <mc:Choice Requires="wps">
            <w:drawing>
              <wp:anchor distT="0" distB="0" distL="114300" distR="114300" simplePos="0" relativeHeight="251662336" behindDoc="0" locked="0" layoutInCell="1" allowOverlap="1">
                <wp:simplePos x="0" y="0"/>
                <wp:positionH relativeFrom="column">
                  <wp:posOffset>2065020</wp:posOffset>
                </wp:positionH>
                <wp:positionV relativeFrom="paragraph">
                  <wp:posOffset>137160</wp:posOffset>
                </wp:positionV>
                <wp:extent cx="2284730" cy="20320"/>
                <wp:effectExtent l="0" t="0" r="20320" b="36830"/>
                <wp:wrapNone/>
                <wp:docPr id="5" name="直线 6"/>
                <wp:cNvGraphicFramePr/>
                <a:graphic xmlns:a="http://schemas.openxmlformats.org/drawingml/2006/main">
                  <a:graphicData uri="http://schemas.microsoft.com/office/word/2010/wordprocessingShape">
                    <wps:wsp>
                      <wps:cNvCnPr/>
                      <wps:spPr>
                        <a:xfrm>
                          <a:off x="0" y="0"/>
                          <a:ext cx="2284730" cy="2032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margin-left:162.6pt;margin-top:10.8pt;height:1.6pt;width:179.9pt;z-index:251662336;mso-width-relative:page;mso-height-relative:page;" filled="f" stroked="t" coordsize="21600,21600" o:gfxdata="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aVTdT2QAAAAkBAAAPAAAAAAAAAAEAIAAAACIAAABkcnMv&#10;ZG93bnJldi54bWxQSwECFAAUAAAACACHTuJAsdH3m8kBAACGAwAADgAAAAAAAAABACAAAAAoAQAA&#10;ZHJzL2Uyb0RvYy54bWxQSwUGAAAAAAYABgBZAQAAYwUAAAAA&#10;">
                <v:fill on="f" focussize="0,0"/>
                <v:stroke weight="1.25pt" color="#000000" joinstyle="round"/>
                <v:imagedata o:title=""/>
                <o:lock v:ext="edit" aspectratio="f"/>
              </v:line>
            </w:pict>
          </mc:Fallback>
        </mc:AlternateContent>
      </w:r>
      <w:r>
        <w:rPr>
          <w:rFonts w:hint="eastAsia" w:hAnsi="宋体" w:cs="宋体"/>
          <w:sz w:val="21"/>
          <w:highlight w:val="none"/>
        </w:rPr>
        <w:t>某有效投标人价格分 =                                      ×30分</w:t>
      </w:r>
    </w:p>
    <w:p>
      <w:pPr>
        <w:pStyle w:val="22"/>
        <w:spacing w:line="400" w:lineRule="exact"/>
        <w:ind w:firstLine="482" w:firstLineChars="230"/>
        <w:rPr>
          <w:rFonts w:hAnsi="宋体" w:cs="宋体"/>
          <w:sz w:val="21"/>
          <w:highlight w:val="none"/>
        </w:rPr>
      </w:pPr>
      <w:r>
        <w:rPr>
          <w:rFonts w:hint="eastAsia" w:hAnsi="宋体" w:cs="宋体"/>
          <w:sz w:val="21"/>
          <w:highlight w:val="none"/>
        </w:rPr>
        <w:t xml:space="preserve">                             某投标人投标报价金额（元）</w:t>
      </w:r>
    </w:p>
    <w:bookmarkEnd w:id="106"/>
    <w:bookmarkEnd w:id="107"/>
    <w:p>
      <w:pPr>
        <w:spacing w:line="360" w:lineRule="auto"/>
        <w:ind w:firstLine="422" w:firstLineChars="200"/>
        <w:rPr>
          <w:rFonts w:ascii="宋体" w:hAnsi="宋体"/>
          <w:szCs w:val="21"/>
          <w:highlight w:val="none"/>
        </w:rPr>
      </w:pPr>
      <w:r>
        <w:rPr>
          <w:rFonts w:hint="eastAsia" w:ascii="宋体" w:hAnsi="宋体"/>
          <w:b/>
          <w:szCs w:val="21"/>
          <w:highlight w:val="none"/>
        </w:rPr>
        <w:t>注：</w:t>
      </w:r>
      <w:r>
        <w:rPr>
          <w:rFonts w:hint="eastAsia" w:ascii="宋体" w:hAnsi="宋体"/>
          <w:szCs w:val="21"/>
          <w:highlight w:val="none"/>
        </w:rPr>
        <w:t>本项目根据市场报价，为了确保采购质量和维护公平的竞争，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投标人必须提供本项目成本分析报告，同时提供（包括但不限于）以下支撑证明材料：①行政机构税务部门开具的拟派项目组人员的《依法缴纳个人所得税或依法免缴个人所得税的凭证(与本次投标所提供社保证明同月份)》；②2017年度～2019年度经具备甲级审计资质的机构出具的审计报告[包括其固定资产成本及折旧、管理成本、人工费成本（银行出具的工资流水证明原件）、技术成本、税收（相关职能部门出具的税收缴纳证明原件）等所有成本及利润复印件（原件现场核查），③提供至少3个类似调查业绩的费用成本组成明细（有合同双方盖章证明复印件、中标公告查询链接、验收证明复印件、报价一览表复印件，原件备查），同时提供第三方造价咨询单位的资质证书、人员从业证书、委托合同复印件（原件备查）。</w:t>
      </w:r>
    </w:p>
    <w:p>
      <w:pPr>
        <w:spacing w:line="360" w:lineRule="auto"/>
        <w:rPr>
          <w:rFonts w:ascii="宋体" w:hAnsi="宋体"/>
          <w:b/>
          <w:szCs w:val="21"/>
          <w:highlight w:val="none"/>
        </w:rPr>
      </w:pPr>
      <w:r>
        <w:rPr>
          <w:rStyle w:val="95"/>
          <w:rFonts w:hint="default"/>
          <w:b/>
          <w:sz w:val="21"/>
          <w:szCs w:val="21"/>
          <w:highlight w:val="none"/>
        </w:rPr>
        <w:t>2、 技术分…………………………………………………………（满分30分）</w:t>
      </w:r>
    </w:p>
    <w:p>
      <w:pPr>
        <w:spacing w:line="360" w:lineRule="auto"/>
        <w:ind w:firstLine="420" w:firstLineChars="200"/>
        <w:rPr>
          <w:rFonts w:ascii="宋体" w:hAnsi="宋体"/>
          <w:b/>
          <w:color w:val="000000"/>
          <w:szCs w:val="21"/>
          <w:highlight w:val="none"/>
        </w:rPr>
      </w:pPr>
      <w:r>
        <w:rPr>
          <w:rStyle w:val="95"/>
          <w:rFonts w:hint="default"/>
          <w:sz w:val="21"/>
          <w:szCs w:val="21"/>
          <w:highlight w:val="none"/>
        </w:rPr>
        <w:t>（1）货物性能分（满分15分）</w:t>
      </w:r>
    </w:p>
    <w:p>
      <w:pPr>
        <w:pStyle w:val="2"/>
        <w:spacing w:before="0" w:after="0" w:line="400" w:lineRule="exact"/>
        <w:ind w:firstLine="345" w:firstLineChars="150"/>
        <w:rPr>
          <w:rFonts w:hint="eastAsia" w:ascii="宋体" w:hAnsi="宋体" w:cs="宋体"/>
          <w:bCs w:val="0"/>
          <w:sz w:val="21"/>
          <w:szCs w:val="21"/>
          <w:highlight w:val="none"/>
        </w:rPr>
      </w:pPr>
      <w:r>
        <w:rPr>
          <w:rFonts w:hint="eastAsia" w:ascii="宋体" w:hAnsi="宋体" w:cs="宋体"/>
          <w:bCs w:val="0"/>
          <w:sz w:val="21"/>
          <w:szCs w:val="21"/>
          <w:highlight w:val="none"/>
        </w:rPr>
        <w:t>需求一览表中标注“★”的技术参数为重要技术指标、功能项，将作为货物性能的评分依据。标注“★”的技术参数均能提供由公安部权威检验机构（检测机构通过CNAS实验室认可或CMA实验室资质认定或公安部下属检测机构）出具的检验报告复印件并加盖单位公章的（标注“★”的内容在投标文件中逐点应答出检验报告具体位置），得满分15分；标注“★”的技术指标、功能项目条款未能提供检验报告或检验报告中无体现的，每存在一项扣3分，直到扣完货物性能分为止，不计负分。</w:t>
      </w:r>
    </w:p>
    <w:p>
      <w:pPr>
        <w:pStyle w:val="2"/>
        <w:spacing w:before="0" w:after="0" w:line="400" w:lineRule="exact"/>
        <w:ind w:firstLine="345" w:firstLineChars="150"/>
        <w:rPr>
          <w:rFonts w:ascii="宋体" w:hAnsi="宋体" w:cs="宋体"/>
          <w:bCs w:val="0"/>
          <w:sz w:val="21"/>
          <w:szCs w:val="21"/>
          <w:highlight w:val="none"/>
        </w:rPr>
      </w:pPr>
      <w:r>
        <w:rPr>
          <w:rFonts w:hint="eastAsia" w:ascii="宋体" w:hAnsi="宋体" w:cs="宋体"/>
          <w:bCs w:val="0"/>
          <w:sz w:val="21"/>
          <w:szCs w:val="21"/>
          <w:highlight w:val="none"/>
        </w:rPr>
        <w:t>（2）项目实施方案分（ 满分</w:t>
      </w:r>
      <w:r>
        <w:rPr>
          <w:rFonts w:ascii="宋体" w:hAnsi="宋体" w:cs="宋体"/>
          <w:bCs w:val="0"/>
          <w:sz w:val="21"/>
          <w:szCs w:val="21"/>
          <w:highlight w:val="none"/>
        </w:rPr>
        <w:t>15</w:t>
      </w:r>
      <w:r>
        <w:rPr>
          <w:rFonts w:hint="eastAsia" w:ascii="宋体" w:hAnsi="宋体" w:cs="宋体"/>
          <w:bCs w:val="0"/>
          <w:sz w:val="21"/>
          <w:szCs w:val="21"/>
          <w:highlight w:val="none"/>
        </w:rPr>
        <w:t>分）</w:t>
      </w:r>
    </w:p>
    <w:p>
      <w:pPr>
        <w:pStyle w:val="2"/>
        <w:spacing w:before="0" w:after="0" w:line="400" w:lineRule="exact"/>
        <w:ind w:firstLine="345" w:firstLineChars="150"/>
        <w:rPr>
          <w:rFonts w:ascii="宋体" w:hAnsi="宋体" w:cs="宋体"/>
          <w:bCs w:val="0"/>
          <w:sz w:val="21"/>
          <w:szCs w:val="21"/>
          <w:highlight w:val="none"/>
        </w:rPr>
      </w:pPr>
      <w:r>
        <w:rPr>
          <w:rFonts w:hint="eastAsia" w:ascii="宋体" w:hAnsi="宋体" w:cs="宋体"/>
          <w:bCs w:val="0"/>
          <w:sz w:val="21"/>
          <w:szCs w:val="21"/>
          <w:highlight w:val="none"/>
        </w:rPr>
        <w:t>由评委在打分前根据投标文件中的保证项目实施的技术力量和人力资源安排、技术服务、技术培训的服务内容和措施、建议的安装、调试、验收方法或方案等所属档次，然后评委在各档次内独立打分。</w:t>
      </w:r>
    </w:p>
    <w:p>
      <w:pPr>
        <w:pStyle w:val="2"/>
        <w:spacing w:before="0" w:after="0" w:line="400" w:lineRule="exact"/>
        <w:ind w:firstLine="345" w:firstLineChars="150"/>
        <w:rPr>
          <w:rFonts w:ascii="宋体" w:hAnsi="宋体" w:cs="宋体"/>
          <w:bCs w:val="0"/>
          <w:sz w:val="21"/>
          <w:szCs w:val="21"/>
          <w:highlight w:val="none"/>
        </w:rPr>
      </w:pPr>
      <w:r>
        <w:rPr>
          <w:rFonts w:hint="eastAsia" w:ascii="宋体" w:hAnsi="宋体" w:cs="宋体"/>
          <w:bCs w:val="0"/>
          <w:sz w:val="21"/>
          <w:szCs w:val="21"/>
          <w:highlight w:val="none"/>
        </w:rPr>
        <w:t>一档：（0.1～</w:t>
      </w:r>
      <w:r>
        <w:rPr>
          <w:rFonts w:ascii="宋体" w:hAnsi="宋体" w:cs="宋体"/>
          <w:bCs w:val="0"/>
          <w:sz w:val="21"/>
          <w:szCs w:val="21"/>
          <w:highlight w:val="none"/>
        </w:rPr>
        <w:t>5</w:t>
      </w:r>
      <w:r>
        <w:rPr>
          <w:rFonts w:hint="eastAsia" w:ascii="宋体" w:hAnsi="宋体" w:cs="宋体"/>
          <w:bCs w:val="0"/>
          <w:sz w:val="21"/>
          <w:szCs w:val="21"/>
          <w:highlight w:val="none"/>
        </w:rPr>
        <w:t>分）项目实施方案简单，保证项目实施的技术力量和人力资源安排基本满足要求，技术服务、技术培训的服务内容和措施同比一般的，进入一档。</w:t>
      </w:r>
    </w:p>
    <w:p>
      <w:pPr>
        <w:pStyle w:val="2"/>
        <w:spacing w:before="0" w:after="0" w:line="400" w:lineRule="exact"/>
        <w:ind w:firstLine="345" w:firstLineChars="150"/>
        <w:rPr>
          <w:rFonts w:ascii="宋体" w:hAnsi="宋体" w:cs="宋体"/>
          <w:bCs w:val="0"/>
          <w:sz w:val="21"/>
          <w:szCs w:val="21"/>
          <w:highlight w:val="none"/>
        </w:rPr>
      </w:pPr>
      <w:r>
        <w:rPr>
          <w:rFonts w:hint="eastAsia" w:ascii="宋体" w:hAnsi="宋体" w:cs="宋体"/>
          <w:bCs w:val="0"/>
          <w:sz w:val="21"/>
          <w:szCs w:val="21"/>
          <w:highlight w:val="none"/>
        </w:rPr>
        <w:t>二档：（</w:t>
      </w:r>
      <w:r>
        <w:rPr>
          <w:rFonts w:ascii="宋体" w:hAnsi="宋体" w:cs="宋体"/>
          <w:bCs w:val="0"/>
          <w:sz w:val="21"/>
          <w:szCs w:val="21"/>
          <w:highlight w:val="none"/>
        </w:rPr>
        <w:t>5</w:t>
      </w:r>
      <w:r>
        <w:rPr>
          <w:rFonts w:hint="eastAsia" w:ascii="宋体" w:hAnsi="宋体" w:cs="宋体"/>
          <w:bCs w:val="0"/>
          <w:sz w:val="21"/>
          <w:szCs w:val="21"/>
          <w:highlight w:val="none"/>
        </w:rPr>
        <w:t>.1～</w:t>
      </w:r>
      <w:r>
        <w:rPr>
          <w:rFonts w:ascii="宋体" w:hAnsi="宋体" w:cs="宋体"/>
          <w:bCs w:val="0"/>
          <w:sz w:val="21"/>
          <w:szCs w:val="21"/>
          <w:highlight w:val="none"/>
        </w:rPr>
        <w:t>10</w:t>
      </w:r>
      <w:r>
        <w:rPr>
          <w:rFonts w:hint="eastAsia" w:ascii="宋体" w:hAnsi="宋体" w:cs="宋体"/>
          <w:bCs w:val="0"/>
          <w:sz w:val="21"/>
          <w:szCs w:val="21"/>
          <w:highlight w:val="none"/>
        </w:rPr>
        <w:t>分）在满足一档基础上，项目实施方案较详细，保证项目实施的技术力量和人力资源安排满足项目实施要求，技术服务x、技术培训的服务内容和措施同比较完善，且为保证安防系统集成及安防工程建设水平，投标人或者投标产品的生产厂商应符合工业和信息化部组织的信息技术服务标准，提供信息技术服务运行维护标准壹级证书的有效证明材料复印件并加盖公章，满足以上相关要求的，进入二档；</w:t>
      </w:r>
    </w:p>
    <w:p>
      <w:pPr>
        <w:pStyle w:val="2"/>
        <w:spacing w:before="0" w:after="0" w:line="400" w:lineRule="exact"/>
        <w:ind w:firstLine="345" w:firstLineChars="150"/>
        <w:rPr>
          <w:rFonts w:ascii="宋体" w:hAnsi="宋体"/>
          <w:szCs w:val="21"/>
          <w:highlight w:val="none"/>
        </w:rPr>
      </w:pPr>
      <w:r>
        <w:rPr>
          <w:rFonts w:hint="eastAsia" w:ascii="宋体" w:hAnsi="宋体" w:cs="宋体"/>
          <w:bCs w:val="0"/>
          <w:sz w:val="21"/>
          <w:szCs w:val="21"/>
          <w:highlight w:val="none"/>
        </w:rPr>
        <w:t>三档：（</w:t>
      </w:r>
      <w:r>
        <w:rPr>
          <w:rFonts w:ascii="宋体" w:hAnsi="宋体" w:cs="宋体"/>
          <w:bCs w:val="0"/>
          <w:sz w:val="21"/>
          <w:szCs w:val="21"/>
          <w:highlight w:val="none"/>
        </w:rPr>
        <w:t>10</w:t>
      </w:r>
      <w:r>
        <w:rPr>
          <w:rFonts w:hint="eastAsia" w:ascii="宋体" w:hAnsi="宋体" w:cs="宋体"/>
          <w:bCs w:val="0"/>
          <w:sz w:val="21"/>
          <w:szCs w:val="21"/>
          <w:highlight w:val="none"/>
        </w:rPr>
        <w:t>.1～</w:t>
      </w:r>
      <w:r>
        <w:rPr>
          <w:rFonts w:ascii="宋体" w:hAnsi="宋体" w:cs="宋体"/>
          <w:bCs w:val="0"/>
          <w:sz w:val="21"/>
          <w:szCs w:val="21"/>
          <w:highlight w:val="none"/>
        </w:rPr>
        <w:t>15</w:t>
      </w:r>
      <w:r>
        <w:rPr>
          <w:rFonts w:hint="eastAsia" w:ascii="宋体" w:hAnsi="宋体" w:cs="宋体"/>
          <w:bCs w:val="0"/>
          <w:sz w:val="21"/>
          <w:szCs w:val="21"/>
          <w:highlight w:val="none"/>
        </w:rPr>
        <w:t>分）在满足二档基础上，项目实施方案详实，方案能清楚的表明对本项目的熟悉程度，技术路线清晰可信，保证项目实施的技术力量和人力资源安排充足，技术服务、技术培训的服务内容和措施完善，建议的安装、调试、验收方法或方案同比更完善有效、更优化、切实可行，且投标人或投标人所投的投标产品厂商具备音视频集成工程企业资质壹级，满足以上相关要求的，进入三档。</w:t>
      </w:r>
    </w:p>
    <w:p>
      <w:pPr>
        <w:spacing w:line="360" w:lineRule="auto"/>
        <w:ind w:firstLine="422" w:firstLineChars="200"/>
        <w:jc w:val="left"/>
        <w:rPr>
          <w:rFonts w:ascii="宋体" w:hAnsi="宋体"/>
          <w:szCs w:val="21"/>
          <w:highlight w:val="none"/>
        </w:rPr>
      </w:pPr>
      <w:r>
        <w:rPr>
          <w:rFonts w:ascii="宋体" w:hAnsi="宋体"/>
          <w:b/>
          <w:szCs w:val="21"/>
          <w:highlight w:val="none"/>
        </w:rPr>
        <w:t>3</w:t>
      </w:r>
      <w:r>
        <w:rPr>
          <w:rFonts w:hint="eastAsia" w:ascii="宋体" w:hAnsi="宋体"/>
          <w:b/>
          <w:szCs w:val="21"/>
          <w:highlight w:val="none"/>
        </w:rPr>
        <w:t>、售后服务分…………………………………………………（满分</w:t>
      </w:r>
      <w:r>
        <w:rPr>
          <w:rFonts w:ascii="宋体" w:hAnsi="宋体"/>
          <w:b/>
          <w:szCs w:val="21"/>
          <w:highlight w:val="none"/>
        </w:rPr>
        <w:t>21</w:t>
      </w:r>
      <w:r>
        <w:rPr>
          <w:rFonts w:hint="eastAsia" w:ascii="宋体" w:hAnsi="宋体"/>
          <w:b/>
          <w:szCs w:val="21"/>
          <w:highlight w:val="none"/>
        </w:rPr>
        <w:t>分）</w:t>
      </w:r>
    </w:p>
    <w:p>
      <w:pPr>
        <w:pStyle w:val="22"/>
        <w:spacing w:line="360" w:lineRule="auto"/>
        <w:ind w:firstLine="420" w:firstLineChars="200"/>
        <w:rPr>
          <w:rFonts w:hAnsi="宋体"/>
          <w:highlight w:val="none"/>
        </w:rPr>
      </w:pPr>
      <w:r>
        <w:rPr>
          <w:rFonts w:hint="eastAsia" w:hAnsi="宋体"/>
          <w:sz w:val="21"/>
          <w:highlight w:val="none"/>
        </w:rPr>
        <w:t>由评委根据招标文件售后服务要求并结合投标人售后服务承诺书内容的完整性、可行性、保质期、到达故障现场时间、故障出现解决方案、免费技术培训方案、保修期外维修方案等由评委集体讨论确定</w:t>
      </w:r>
    </w:p>
    <w:p>
      <w:pPr>
        <w:pStyle w:val="2"/>
        <w:spacing w:before="0" w:after="0" w:line="400" w:lineRule="exact"/>
        <w:ind w:firstLine="345" w:firstLineChars="150"/>
        <w:jc w:val="both"/>
        <w:rPr>
          <w:rFonts w:ascii="宋体" w:hAnsi="宋体" w:cs="宋体"/>
          <w:bCs w:val="0"/>
          <w:sz w:val="21"/>
          <w:szCs w:val="21"/>
          <w:highlight w:val="none"/>
        </w:rPr>
      </w:pPr>
      <w:r>
        <w:rPr>
          <w:rFonts w:hint="eastAsia" w:ascii="宋体" w:hAnsi="宋体" w:cs="宋体"/>
          <w:bCs w:val="0"/>
          <w:sz w:val="21"/>
          <w:szCs w:val="21"/>
          <w:highlight w:val="none"/>
        </w:rPr>
        <w:t>一档（0.1～7分）:提供有服务方案，具有本地市售后维护点，提供营业执照证明；方案包含有项目售后维护、应急保障方案、保密承诺等，且描述了项目维护和应急保障方案的方法以及实现方式，方案可行；投标人在项目地点有本地化服务。</w:t>
      </w:r>
    </w:p>
    <w:p>
      <w:pPr>
        <w:pStyle w:val="2"/>
        <w:spacing w:before="0" w:after="0" w:line="400" w:lineRule="exact"/>
        <w:ind w:firstLine="345" w:firstLineChars="150"/>
        <w:rPr>
          <w:rFonts w:ascii="宋体" w:hAnsi="宋体" w:cs="宋体"/>
          <w:bCs w:val="0"/>
          <w:sz w:val="21"/>
          <w:szCs w:val="21"/>
          <w:highlight w:val="none"/>
        </w:rPr>
      </w:pPr>
      <w:r>
        <w:rPr>
          <w:rFonts w:hint="eastAsia" w:ascii="宋体" w:hAnsi="宋体" w:cs="宋体"/>
          <w:bCs w:val="0"/>
          <w:sz w:val="21"/>
          <w:szCs w:val="21"/>
          <w:highlight w:val="none"/>
        </w:rPr>
        <w:t>二档（7.1～14分）:提供有服务方案，投标人在本地市自有不少于20个售后维护点，提供营业执照证明（属于本法人或负责人）；售后服务方案细致、合理、可行，保障响应措施较有力，服务经验丰富，并提供7×24 售后服务热线，响应时间短，快捷、迅速，方案包含有项目售后维护、保密承诺等，且描述了项目售后维护和应急保障方案的方法以及实现方式、售后服务机构及联系人、技术人员名单等资料详细，服务承诺和保障措施考虑周全完整；投标人在项目地点有本地化服务，提供详细的应急保障方案，且投标人或投标人所投的投标产品厂商应具备较强的履行合同能力和售后保障能力，满足以上相关要求的，进入二档。</w:t>
      </w:r>
    </w:p>
    <w:p>
      <w:pPr>
        <w:pStyle w:val="2"/>
        <w:spacing w:before="0" w:after="0" w:line="400" w:lineRule="exact"/>
        <w:ind w:firstLine="345" w:firstLineChars="150"/>
        <w:rPr>
          <w:rFonts w:ascii="宋体" w:hAnsi="宋体" w:cs="宋体"/>
          <w:bCs w:val="0"/>
          <w:sz w:val="21"/>
          <w:szCs w:val="21"/>
          <w:highlight w:val="none"/>
        </w:rPr>
      </w:pPr>
      <w:r>
        <w:rPr>
          <w:rFonts w:hint="eastAsia" w:ascii="宋体" w:hAnsi="宋体" w:cs="宋体"/>
          <w:bCs w:val="0"/>
          <w:sz w:val="21"/>
          <w:szCs w:val="21"/>
          <w:highlight w:val="none"/>
        </w:rPr>
        <w:t>三档（14.1～21分）:提供有服务方案，投标人在本地市自有不少于35个售后维护点，提供营业执照证明（属于本法人或负责人）；售后服务方案细致、合理、可行，保障响应措施较有力，服务经验丰富，并提供7×24 售后服务热线，响应时间短，快捷、迅速，方案包含有项目售后维护、保密承诺等，且描述了项目售后维护和应急保障方案的方法以及实现方式、售后服务机构及联系人、技术人员名单等资料详细，服务承诺和保障措施考虑周全完整；投标人在项目地点有本地化服务，提供详细的应急保障方案，且投投标人或投标人所投的投标产品厂商具备工业信息安全应急服务支撑单位证书的，提供相关证明复印件并加盖单位公章，满足以上相关要求的，进入三档。</w:t>
      </w:r>
    </w:p>
    <w:p>
      <w:pPr>
        <w:rPr>
          <w:highlight w:val="none"/>
        </w:rPr>
      </w:pPr>
    </w:p>
    <w:p>
      <w:pPr>
        <w:spacing w:line="360" w:lineRule="auto"/>
        <w:ind w:firstLine="422" w:firstLineChars="200"/>
        <w:rPr>
          <w:rFonts w:ascii="宋体" w:hAnsi="宋体"/>
          <w:b/>
          <w:szCs w:val="21"/>
          <w:highlight w:val="none"/>
        </w:rPr>
      </w:pPr>
      <w:r>
        <w:rPr>
          <w:rFonts w:ascii="宋体" w:hAnsi="宋体"/>
          <w:b/>
          <w:szCs w:val="21"/>
          <w:highlight w:val="none"/>
        </w:rPr>
        <w:t>4、综合实力分…………………………………………………（满分16分）</w:t>
      </w:r>
    </w:p>
    <w:p>
      <w:pPr>
        <w:pStyle w:val="22"/>
        <w:spacing w:line="360" w:lineRule="auto"/>
        <w:ind w:firstLine="400" w:firstLineChars="200"/>
        <w:rPr>
          <w:rFonts w:hAnsi="宋体"/>
          <w:highlight w:val="none"/>
        </w:rPr>
      </w:pPr>
      <w:r>
        <w:rPr>
          <w:rFonts w:hint="eastAsia" w:hAnsi="宋体"/>
          <w:highlight w:val="none"/>
        </w:rPr>
        <w:t>（1）投标人或投标人所投的投标产品厂商具备国家工业信息安全漏洞库技术支持组成员单位证书的，提供相关证明复印件并加盖单位公章，得2分。</w:t>
      </w:r>
    </w:p>
    <w:p>
      <w:pPr>
        <w:pStyle w:val="22"/>
        <w:spacing w:line="360" w:lineRule="auto"/>
        <w:ind w:firstLine="400" w:firstLineChars="200"/>
        <w:rPr>
          <w:rFonts w:hAnsi="宋体"/>
          <w:highlight w:val="none"/>
        </w:rPr>
      </w:pPr>
      <w:r>
        <w:rPr>
          <w:rFonts w:hint="eastAsia" w:hAnsi="宋体"/>
          <w:highlight w:val="none"/>
        </w:rPr>
        <w:t>（2）投标人或投标人所投的投标产品厂商具备较强的技术研发实力，能同时具备国家级科学技术进步奖二等奖（或以上）和国家级技术发明奖二等奖（或以上）的，提供相关证明复印件并加盖单位公章，得2分。</w:t>
      </w:r>
    </w:p>
    <w:p>
      <w:pPr>
        <w:pStyle w:val="22"/>
        <w:spacing w:line="360" w:lineRule="auto"/>
        <w:ind w:firstLine="400" w:firstLineChars="200"/>
        <w:rPr>
          <w:rFonts w:hAnsi="宋体"/>
          <w:highlight w:val="none"/>
        </w:rPr>
      </w:pPr>
      <w:r>
        <w:rPr>
          <w:rFonts w:hint="eastAsia" w:hAnsi="宋体"/>
          <w:highlight w:val="none"/>
        </w:rPr>
        <w:t>（3）投标人或投标人所投的投标产品厂商应具备较好的系统集成能力、系统服务能力以及提供关键性技术支撑，能提供省发展和改革委员会印发的国家地方联合工程研究中心证明复印件并加盖单位公章，得2分。</w:t>
      </w:r>
    </w:p>
    <w:p>
      <w:pPr>
        <w:pStyle w:val="22"/>
        <w:spacing w:line="360" w:lineRule="auto"/>
        <w:ind w:firstLine="400" w:firstLineChars="200"/>
        <w:rPr>
          <w:rFonts w:hAnsi="宋体"/>
          <w:highlight w:val="none"/>
        </w:rPr>
      </w:pPr>
      <w:r>
        <w:rPr>
          <w:rFonts w:hint="eastAsia" w:hAnsi="宋体"/>
          <w:highlight w:val="none"/>
        </w:rPr>
        <w:t>（4）投标人或上级机构自2016年以来获得国家科学进步奖，提供中华人民共和国科学技术部官网公布的查询截图证明，特等奖得5分，一等奖得3分，二等奖1分，其他得0分。</w:t>
      </w:r>
    </w:p>
    <w:p>
      <w:pPr>
        <w:pStyle w:val="22"/>
        <w:spacing w:line="360" w:lineRule="auto"/>
        <w:ind w:firstLine="400" w:firstLineChars="200"/>
        <w:rPr>
          <w:rFonts w:hAnsi="宋体"/>
          <w:highlight w:val="none"/>
        </w:rPr>
      </w:pPr>
      <w:r>
        <w:rPr>
          <w:rFonts w:hint="eastAsia" w:hAnsi="宋体"/>
          <w:highlight w:val="none"/>
        </w:rPr>
        <w:t>（5）投标人或投标人上级机构在广西企业联合会发布的2019年广西服务业企业50强排名中，进入前30名得1分，进入前20名得</w:t>
      </w:r>
      <w:r>
        <w:rPr>
          <w:rFonts w:hAnsi="宋体"/>
          <w:highlight w:val="none"/>
        </w:rPr>
        <w:t>2</w:t>
      </w:r>
      <w:r>
        <w:rPr>
          <w:rFonts w:hint="eastAsia" w:hAnsi="宋体"/>
          <w:highlight w:val="none"/>
        </w:rPr>
        <w:t>分，进入前10名得5分（提供查询链接及网页截图加盖投标人公章）。</w:t>
      </w:r>
    </w:p>
    <w:p>
      <w:pPr>
        <w:pStyle w:val="22"/>
        <w:adjustRightInd w:val="0"/>
        <w:snapToGrid w:val="0"/>
        <w:spacing w:line="360" w:lineRule="auto"/>
        <w:ind w:firstLine="422" w:firstLineChars="200"/>
        <w:jc w:val="left"/>
        <w:rPr>
          <w:rFonts w:hAnsi="宋体"/>
          <w:sz w:val="21"/>
          <w:highlight w:val="none"/>
        </w:rPr>
      </w:pPr>
      <w:r>
        <w:rPr>
          <w:rFonts w:hAnsi="宋体"/>
          <w:b/>
          <w:sz w:val="21"/>
          <w:highlight w:val="none"/>
        </w:rPr>
        <w:t>5</w:t>
      </w:r>
      <w:r>
        <w:rPr>
          <w:rFonts w:hint="eastAsia" w:hAnsi="宋体"/>
          <w:b/>
          <w:sz w:val="21"/>
          <w:highlight w:val="none"/>
        </w:rPr>
        <w:t>、政策功能分（节能、环保等）</w:t>
      </w:r>
      <w:r>
        <w:rPr>
          <w:rFonts w:hAnsi="宋体"/>
          <w:b/>
          <w:sz w:val="21"/>
          <w:highlight w:val="none"/>
        </w:rPr>
        <w:t>……………………………</w:t>
      </w:r>
      <w:r>
        <w:rPr>
          <w:rFonts w:hint="eastAsia" w:hAnsi="宋体"/>
          <w:b/>
          <w:sz w:val="21"/>
          <w:highlight w:val="none"/>
        </w:rPr>
        <w:t>（满分3分）</w:t>
      </w:r>
    </w:p>
    <w:p>
      <w:pPr>
        <w:spacing w:line="360" w:lineRule="auto"/>
        <w:ind w:firstLine="384" w:firstLineChars="200"/>
        <w:rPr>
          <w:rFonts w:ascii="宋体" w:hAnsi="宋体"/>
          <w:spacing w:val="-4"/>
          <w:kern w:val="0"/>
          <w:sz w:val="20"/>
          <w:szCs w:val="21"/>
          <w:highlight w:val="none"/>
        </w:rPr>
      </w:pPr>
      <w:r>
        <w:rPr>
          <w:rFonts w:hint="eastAsia" w:ascii="宋体" w:hAnsi="宋体"/>
          <w:spacing w:val="-4"/>
          <w:kern w:val="0"/>
          <w:sz w:val="20"/>
          <w:szCs w:val="21"/>
          <w:highlight w:val="none"/>
        </w:rPr>
        <w:t>（1）投标产品纳入《财政部、发展改革委 、生态环境部 、市场监管总局关于调整优化节能产品环境标志产品政府采购执行机制的通知》（财库〔2019〕9号）中节能产品政府采购品目清单的（适用于非强制采购节能产品，产品提供投标产品所属节能产品认证证书复印件并加盖单位公章），得1分。</w:t>
      </w:r>
    </w:p>
    <w:p>
      <w:pPr>
        <w:spacing w:line="360" w:lineRule="auto"/>
        <w:ind w:firstLine="384" w:firstLineChars="200"/>
        <w:rPr>
          <w:rFonts w:ascii="宋体" w:hAnsi="宋体"/>
          <w:spacing w:val="-4"/>
          <w:kern w:val="0"/>
          <w:sz w:val="20"/>
          <w:szCs w:val="21"/>
          <w:highlight w:val="none"/>
        </w:rPr>
      </w:pPr>
      <w:r>
        <w:rPr>
          <w:rFonts w:hint="eastAsia" w:ascii="宋体" w:hAnsi="宋体"/>
          <w:spacing w:val="-4"/>
          <w:kern w:val="0"/>
          <w:sz w:val="20"/>
          <w:szCs w:val="21"/>
          <w:highlight w:val="none"/>
        </w:rPr>
        <w:t>（2）投标产品纳入《财政部、发展改革委 、生态环境部 、市场监管总局关于调整优化节能产品 环境标志产品政府采购执行机制的通知》（财库〔2019〕9号）中环境标志产品政府采购品目清单的（提供投标产品所属环境标志产品认证证书复印件并加盖单位公章），得1分。</w:t>
      </w:r>
    </w:p>
    <w:p>
      <w:pPr>
        <w:spacing w:line="360" w:lineRule="auto"/>
        <w:ind w:firstLine="384" w:firstLineChars="200"/>
        <w:rPr>
          <w:rFonts w:ascii="宋体" w:hAnsi="宋体"/>
          <w:spacing w:val="-4"/>
          <w:kern w:val="0"/>
          <w:sz w:val="20"/>
          <w:szCs w:val="21"/>
          <w:highlight w:val="none"/>
        </w:rPr>
      </w:pPr>
      <w:r>
        <w:rPr>
          <w:rFonts w:hint="eastAsia" w:ascii="宋体" w:hAnsi="宋体"/>
          <w:spacing w:val="-4"/>
          <w:kern w:val="0"/>
          <w:sz w:val="20"/>
          <w:szCs w:val="21"/>
          <w:highlight w:val="none"/>
        </w:rPr>
        <w:t>（3）采用广西工业产品的金额占本次投标总金额的80%以上（含）的加1分。</w:t>
      </w:r>
    </w:p>
    <w:p>
      <w:pPr>
        <w:pStyle w:val="22"/>
        <w:spacing w:line="360" w:lineRule="auto"/>
        <w:ind w:firstLine="384" w:firstLineChars="200"/>
        <w:rPr>
          <w:rFonts w:hAnsi="宋体"/>
          <w:highlight w:val="none"/>
        </w:rPr>
      </w:pPr>
      <w:r>
        <w:rPr>
          <w:rFonts w:hint="eastAsia" w:hAnsi="宋体"/>
          <w:spacing w:val="-4"/>
          <w:highlight w:val="none"/>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投标总金额的80%以上（含）。</w:t>
      </w:r>
    </w:p>
    <w:p>
      <w:pPr>
        <w:spacing w:line="360" w:lineRule="auto"/>
        <w:ind w:firstLine="422" w:firstLineChars="200"/>
        <w:rPr>
          <w:rFonts w:ascii="宋体" w:hAnsi="宋体"/>
          <w:szCs w:val="21"/>
          <w:highlight w:val="none"/>
        </w:rPr>
      </w:pPr>
      <w:r>
        <w:rPr>
          <w:rFonts w:hint="eastAsia" w:ascii="宋体" w:hAnsi="宋体"/>
          <w:b/>
          <w:szCs w:val="21"/>
          <w:highlight w:val="none"/>
        </w:rPr>
        <w:t>总得分 = 1 + 2 + 3 + 4 + 5</w:t>
      </w:r>
    </w:p>
    <w:p>
      <w:pPr>
        <w:pStyle w:val="22"/>
        <w:spacing w:line="340" w:lineRule="exact"/>
        <w:ind w:firstLine="464" w:firstLineChars="220"/>
        <w:rPr>
          <w:rFonts w:hAnsi="宋体"/>
          <w:b/>
          <w:sz w:val="21"/>
          <w:highlight w:val="none"/>
        </w:rPr>
      </w:pPr>
      <w:r>
        <w:rPr>
          <w:rFonts w:hint="eastAsia" w:hAnsi="宋体"/>
          <w:b/>
          <w:sz w:val="21"/>
          <w:highlight w:val="none"/>
        </w:rPr>
        <w:t>三、中标候选人推荐原则</w:t>
      </w:r>
    </w:p>
    <w:p>
      <w:pPr>
        <w:pStyle w:val="22"/>
        <w:spacing w:before="120" w:after="120" w:line="420" w:lineRule="exact"/>
        <w:ind w:firstLine="422" w:firstLineChars="200"/>
        <w:rPr>
          <w:rFonts w:hAnsi="宋体"/>
          <w:b/>
          <w:sz w:val="21"/>
          <w:highlight w:val="none"/>
        </w:rPr>
      </w:pPr>
      <w:r>
        <w:rPr>
          <w:rFonts w:hint="eastAsia" w:hAnsi="宋体"/>
          <w:b/>
          <w:sz w:val="21"/>
          <w:highlight w:val="none"/>
        </w:rPr>
        <w:t>评标委员会按照评标总得分由高到低顺序排列（投标人得分相同的，按投标报价由低到高顺序排列，得分且投标报价相同的，按技术指标优劣顺序排列）</w:t>
      </w:r>
      <w:r>
        <w:rPr>
          <w:rFonts w:hint="eastAsia" w:hAnsi="宋体"/>
          <w:b/>
          <w:bCs/>
          <w:sz w:val="21"/>
          <w:highlight w:val="none"/>
        </w:rPr>
        <w:t>并推荐3名中标候选人</w:t>
      </w:r>
      <w:r>
        <w:rPr>
          <w:rFonts w:hint="eastAsia" w:hAnsi="宋体"/>
          <w:b/>
          <w:sz w:val="21"/>
          <w:highlight w:val="none"/>
        </w:rPr>
        <w:t>。排名第一的中标候选人被确认为中标人。排名第一的中标人放弃中标、因不可抗力提出不能履行合同，或者招标文件规定应当提交履约保证金而在规定的期限内未能提交的，采购人可以确定排名第二的中标候选人为中标人。其余以此类推。</w:t>
      </w:r>
    </w:p>
    <w:bookmarkEnd w:id="108"/>
    <w:bookmarkEnd w:id="109"/>
    <w:p>
      <w:pPr>
        <w:rPr>
          <w:szCs w:val="21"/>
          <w:highlight w:val="none"/>
        </w:rPr>
      </w:pPr>
    </w:p>
    <w:p>
      <w:pPr>
        <w:rPr>
          <w:szCs w:val="21"/>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rPr>
          <w:highlight w:val="none"/>
        </w:rPr>
      </w:pPr>
    </w:p>
    <w:p>
      <w:pPr>
        <w:rPr>
          <w:highlight w:val="none"/>
        </w:rPr>
      </w:pPr>
    </w:p>
    <w:p>
      <w:pPr>
        <w:rPr>
          <w:b/>
          <w:bCs/>
          <w:highlight w:val="none"/>
        </w:rPr>
      </w:pPr>
    </w:p>
    <w:p>
      <w:pPr>
        <w:pStyle w:val="6"/>
        <w:rPr>
          <w:b/>
          <w:bCs/>
          <w:highlight w:val="none"/>
        </w:rPr>
      </w:pPr>
      <w:r>
        <w:rPr>
          <w:rFonts w:hint="eastAsia"/>
          <w:b/>
          <w:bCs/>
          <w:highlight w:val="none"/>
        </w:rPr>
        <w:t>第五章  政府采购合同及主要条款格式</w:t>
      </w:r>
    </w:p>
    <w:p>
      <w:pPr>
        <w:rPr>
          <w:highlight w:val="none"/>
        </w:rPr>
      </w:pPr>
    </w:p>
    <w:p>
      <w:pPr>
        <w:snapToGrid w:val="0"/>
        <w:spacing w:line="400" w:lineRule="exact"/>
        <w:jc w:val="center"/>
        <w:rPr>
          <w:rFonts w:ascii="宋体" w:hAnsi="宋体" w:cs="宋体"/>
          <w:b/>
          <w:bCs/>
          <w:sz w:val="32"/>
          <w:szCs w:val="32"/>
          <w:highlight w:val="none"/>
        </w:rPr>
      </w:pPr>
      <w:r>
        <w:rPr>
          <w:rFonts w:hint="eastAsia" w:ascii="宋体" w:hAnsi="宋体" w:cs="宋体"/>
          <w:b/>
          <w:bCs/>
          <w:sz w:val="32"/>
          <w:szCs w:val="32"/>
          <w:highlight w:val="none"/>
        </w:rPr>
        <w:t>《广西壮族自治区政府采购合同》</w:t>
      </w:r>
    </w:p>
    <w:p>
      <w:pPr>
        <w:snapToGrid w:val="0"/>
        <w:spacing w:line="400" w:lineRule="exact"/>
        <w:ind w:right="480" w:firstLine="5500" w:firstLineChars="2500"/>
        <w:rPr>
          <w:rFonts w:ascii="宋体" w:hAnsi="宋体" w:cs="宋体"/>
          <w:kern w:val="0"/>
          <w:sz w:val="22"/>
          <w:szCs w:val="22"/>
          <w:highlight w:val="none"/>
        </w:rPr>
      </w:pPr>
    </w:p>
    <w:p>
      <w:pPr>
        <w:snapToGrid w:val="0"/>
        <w:spacing w:line="400" w:lineRule="exact"/>
        <w:ind w:right="480" w:firstLine="5250" w:firstLineChars="2500"/>
        <w:rPr>
          <w:rFonts w:ascii="宋体" w:hAnsi="宋体" w:cs="宋体"/>
          <w:bCs/>
          <w:szCs w:val="21"/>
          <w:highlight w:val="none"/>
          <w:u w:val="single"/>
        </w:rPr>
      </w:pPr>
      <w:r>
        <w:rPr>
          <w:rFonts w:hint="eastAsia" w:ascii="宋体" w:hAnsi="宋体" w:cs="宋体"/>
          <w:bCs/>
          <w:szCs w:val="21"/>
          <w:highlight w:val="none"/>
        </w:rPr>
        <w:t>合同编号：</w:t>
      </w:r>
    </w:p>
    <w:p>
      <w:pPr>
        <w:snapToGrid w:val="0"/>
        <w:spacing w:line="400" w:lineRule="exact"/>
        <w:rPr>
          <w:rFonts w:ascii="宋体" w:hAnsi="宋体" w:cs="宋体"/>
          <w:szCs w:val="21"/>
          <w:highlight w:val="none"/>
          <w:u w:val="single"/>
        </w:rPr>
      </w:pPr>
      <w:r>
        <w:rPr>
          <w:rFonts w:hint="eastAsia" w:ascii="宋体" w:hAnsi="宋体" w:cs="宋体"/>
          <w:szCs w:val="21"/>
          <w:highlight w:val="none"/>
        </w:rPr>
        <w:t>采购单位（甲方）</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r>
        <w:rPr>
          <w:rFonts w:hint="eastAsia" w:ascii="宋体" w:hAnsi="宋体" w:cs="宋体"/>
          <w:spacing w:val="-20"/>
          <w:szCs w:val="21"/>
          <w:highlight w:val="none"/>
        </w:rPr>
        <w:t>采 购 计 划 号</w:t>
      </w:r>
      <w:r>
        <w:rPr>
          <w:rFonts w:hint="eastAsia" w:ascii="宋体" w:hAnsi="宋体" w:cs="宋体"/>
          <w:szCs w:val="21"/>
          <w:highlight w:val="none"/>
          <w:u w:val="single"/>
        </w:rPr>
        <w:t xml:space="preserve">                     </w:t>
      </w:r>
    </w:p>
    <w:p>
      <w:pPr>
        <w:snapToGrid w:val="0"/>
        <w:spacing w:line="400" w:lineRule="exact"/>
        <w:rPr>
          <w:rFonts w:ascii="宋体" w:hAnsi="宋体" w:cs="宋体"/>
          <w:szCs w:val="21"/>
          <w:highlight w:val="none"/>
          <w:u w:val="single"/>
        </w:rPr>
      </w:pPr>
      <w:r>
        <w:rPr>
          <w:rFonts w:hint="eastAsia" w:ascii="宋体" w:hAnsi="宋体" w:cs="宋体"/>
          <w:szCs w:val="21"/>
          <w:highlight w:val="none"/>
        </w:rPr>
        <w:t>供 应 商（乙方）</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r>
        <w:rPr>
          <w:rFonts w:hint="eastAsia" w:ascii="宋体" w:hAnsi="宋体" w:cs="宋体"/>
          <w:spacing w:val="-20"/>
          <w:szCs w:val="21"/>
          <w:highlight w:val="none"/>
        </w:rPr>
        <w:t>招  标  编  号</w:t>
      </w:r>
      <w:r>
        <w:rPr>
          <w:rFonts w:hint="eastAsia" w:ascii="宋体" w:hAnsi="宋体" w:cs="宋体"/>
          <w:szCs w:val="21"/>
          <w:highlight w:val="none"/>
          <w:u w:val="single"/>
        </w:rPr>
        <w:t xml:space="preserve">                     </w:t>
      </w:r>
    </w:p>
    <w:p>
      <w:pPr>
        <w:snapToGrid w:val="0"/>
        <w:spacing w:line="400" w:lineRule="exact"/>
        <w:rPr>
          <w:rFonts w:ascii="宋体" w:hAnsi="宋体" w:cs="宋体"/>
          <w:szCs w:val="21"/>
          <w:highlight w:val="none"/>
          <w:u w:val="single"/>
        </w:rPr>
      </w:pPr>
      <w:r>
        <w:rPr>
          <w:rFonts w:hint="eastAsia" w:ascii="宋体" w:hAnsi="宋体" w:cs="宋体"/>
          <w:szCs w:val="21"/>
          <w:highlight w:val="none"/>
        </w:rPr>
        <w:t xml:space="preserve">签  订  地  点  </w:t>
      </w:r>
      <w:r>
        <w:rPr>
          <w:rFonts w:hint="eastAsia" w:ascii="宋体" w:hAnsi="宋体" w:cs="宋体"/>
          <w:szCs w:val="21"/>
          <w:highlight w:val="none"/>
          <w:u w:val="single"/>
        </w:rPr>
        <w:t xml:space="preserve">                          </w:t>
      </w:r>
      <w:r>
        <w:rPr>
          <w:rFonts w:hint="eastAsia" w:ascii="宋体" w:hAnsi="宋体" w:cs="宋体"/>
          <w:szCs w:val="21"/>
          <w:highlight w:val="none"/>
        </w:rPr>
        <w:t xml:space="preserve">  签 订 时 间</w:t>
      </w:r>
      <w:r>
        <w:rPr>
          <w:rFonts w:hint="eastAsia" w:ascii="宋体" w:hAnsi="宋体" w:cs="宋体"/>
          <w:szCs w:val="21"/>
          <w:highlight w:val="none"/>
          <w:u w:val="single"/>
        </w:rPr>
        <w:t xml:space="preserve">                    </w:t>
      </w:r>
    </w:p>
    <w:p>
      <w:pPr>
        <w:snapToGrid w:val="0"/>
        <w:spacing w:line="400" w:lineRule="exact"/>
        <w:ind w:firstLine="420" w:firstLineChars="200"/>
        <w:rPr>
          <w:rFonts w:ascii="宋体" w:hAnsi="宋体" w:cs="宋体"/>
          <w:szCs w:val="21"/>
          <w:highlight w:val="none"/>
        </w:rPr>
      </w:pP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根据《中华人民共和国政府采购法》、《中华人民共和国合同法》等法律、法规规定，按照招投标文件（采购文件）规定条款和中标（成交）供应商承诺，甲乙双方签订本合同。</w:t>
      </w:r>
    </w:p>
    <w:p>
      <w:pPr>
        <w:snapToGrid w:val="0"/>
        <w:spacing w:line="400" w:lineRule="exact"/>
        <w:ind w:firstLine="422" w:firstLineChars="200"/>
        <w:rPr>
          <w:rFonts w:ascii="宋体" w:hAnsi="宋体" w:cs="宋体"/>
          <w:b/>
          <w:szCs w:val="21"/>
          <w:highlight w:val="none"/>
        </w:rPr>
      </w:pPr>
      <w:r>
        <w:rPr>
          <w:rFonts w:hint="eastAsia" w:ascii="宋体" w:hAnsi="宋体" w:cs="宋体"/>
          <w:b/>
          <w:szCs w:val="21"/>
          <w:highlight w:val="none"/>
        </w:rPr>
        <w:t>第一条　合同标的</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1、供货一览表</w:t>
      </w:r>
    </w:p>
    <w:tbl>
      <w:tblPr>
        <w:tblStyle w:val="35"/>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3"/>
        <w:gridCol w:w="1059"/>
        <w:gridCol w:w="1233"/>
        <w:gridCol w:w="1210"/>
        <w:gridCol w:w="908"/>
        <w:gridCol w:w="668"/>
        <w:gridCol w:w="947"/>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09" w:type="dxa"/>
            <w:vAlign w:val="center"/>
          </w:tcPr>
          <w:p>
            <w:pPr>
              <w:snapToGrid w:val="0"/>
              <w:spacing w:line="400" w:lineRule="exact"/>
              <w:jc w:val="center"/>
              <w:rPr>
                <w:rFonts w:ascii="宋体" w:hAnsi="宋体" w:cs="宋体"/>
                <w:szCs w:val="21"/>
                <w:highlight w:val="none"/>
              </w:rPr>
            </w:pPr>
            <w:r>
              <w:rPr>
                <w:rFonts w:hint="eastAsia" w:ascii="宋体" w:hAnsi="宋体" w:cs="宋体"/>
                <w:szCs w:val="21"/>
                <w:highlight w:val="none"/>
              </w:rPr>
              <w:t>序号</w:t>
            </w:r>
          </w:p>
        </w:tc>
        <w:tc>
          <w:tcPr>
            <w:tcW w:w="1233" w:type="dxa"/>
            <w:vAlign w:val="center"/>
          </w:tcPr>
          <w:p>
            <w:pPr>
              <w:snapToGrid w:val="0"/>
              <w:spacing w:line="400" w:lineRule="exact"/>
              <w:jc w:val="center"/>
              <w:rPr>
                <w:rFonts w:ascii="宋体" w:hAnsi="宋体" w:cs="宋体"/>
                <w:szCs w:val="21"/>
                <w:highlight w:val="none"/>
              </w:rPr>
            </w:pPr>
            <w:r>
              <w:rPr>
                <w:rFonts w:hint="eastAsia" w:ascii="宋体" w:hAnsi="宋体" w:cs="宋体"/>
                <w:szCs w:val="21"/>
                <w:highlight w:val="none"/>
              </w:rPr>
              <w:t>产品名称</w:t>
            </w:r>
          </w:p>
        </w:tc>
        <w:tc>
          <w:tcPr>
            <w:tcW w:w="1059" w:type="dxa"/>
            <w:vAlign w:val="center"/>
          </w:tcPr>
          <w:p>
            <w:pPr>
              <w:snapToGrid w:val="0"/>
              <w:spacing w:line="400" w:lineRule="exact"/>
              <w:jc w:val="center"/>
              <w:rPr>
                <w:rFonts w:ascii="宋体" w:hAnsi="宋体" w:cs="宋体"/>
                <w:szCs w:val="21"/>
                <w:highlight w:val="none"/>
              </w:rPr>
            </w:pPr>
            <w:r>
              <w:rPr>
                <w:rFonts w:hint="eastAsia" w:ascii="宋体" w:hAnsi="宋体" w:cs="宋体"/>
                <w:szCs w:val="21"/>
                <w:highlight w:val="none"/>
              </w:rPr>
              <w:t>商标品牌</w:t>
            </w:r>
          </w:p>
        </w:tc>
        <w:tc>
          <w:tcPr>
            <w:tcW w:w="1233" w:type="dxa"/>
            <w:vAlign w:val="center"/>
          </w:tcPr>
          <w:p>
            <w:pPr>
              <w:snapToGrid w:val="0"/>
              <w:spacing w:line="400" w:lineRule="exact"/>
              <w:jc w:val="center"/>
              <w:rPr>
                <w:rFonts w:ascii="宋体" w:hAnsi="宋体" w:cs="宋体"/>
                <w:szCs w:val="21"/>
                <w:highlight w:val="none"/>
              </w:rPr>
            </w:pPr>
            <w:r>
              <w:rPr>
                <w:rFonts w:hint="eastAsia" w:ascii="宋体" w:hAnsi="宋体" w:cs="宋体"/>
                <w:szCs w:val="21"/>
                <w:highlight w:val="none"/>
              </w:rPr>
              <w:t>规格型号</w:t>
            </w:r>
          </w:p>
        </w:tc>
        <w:tc>
          <w:tcPr>
            <w:tcW w:w="1210" w:type="dxa"/>
            <w:vAlign w:val="center"/>
          </w:tcPr>
          <w:p>
            <w:pPr>
              <w:snapToGrid w:val="0"/>
              <w:spacing w:line="400" w:lineRule="exact"/>
              <w:jc w:val="center"/>
              <w:rPr>
                <w:rFonts w:ascii="宋体" w:hAnsi="宋体" w:cs="宋体"/>
                <w:szCs w:val="21"/>
                <w:highlight w:val="none"/>
              </w:rPr>
            </w:pPr>
            <w:r>
              <w:rPr>
                <w:rFonts w:hint="eastAsia" w:ascii="宋体" w:hAnsi="宋体" w:cs="宋体"/>
                <w:szCs w:val="21"/>
                <w:highlight w:val="none"/>
              </w:rPr>
              <w:t>生产厂家</w:t>
            </w:r>
          </w:p>
        </w:tc>
        <w:tc>
          <w:tcPr>
            <w:tcW w:w="908" w:type="dxa"/>
            <w:vAlign w:val="center"/>
          </w:tcPr>
          <w:p>
            <w:pPr>
              <w:snapToGrid w:val="0"/>
              <w:spacing w:line="400" w:lineRule="exact"/>
              <w:jc w:val="center"/>
              <w:rPr>
                <w:rFonts w:ascii="宋体" w:hAnsi="宋体" w:cs="宋体"/>
                <w:szCs w:val="21"/>
                <w:highlight w:val="none"/>
              </w:rPr>
            </w:pPr>
            <w:r>
              <w:rPr>
                <w:rFonts w:hint="eastAsia" w:ascii="宋体" w:hAnsi="宋体" w:cs="宋体"/>
                <w:szCs w:val="21"/>
                <w:highlight w:val="none"/>
              </w:rPr>
              <w:t>数  量</w:t>
            </w:r>
          </w:p>
        </w:tc>
        <w:tc>
          <w:tcPr>
            <w:tcW w:w="668" w:type="dxa"/>
            <w:vAlign w:val="center"/>
          </w:tcPr>
          <w:p>
            <w:pPr>
              <w:snapToGrid w:val="0"/>
              <w:spacing w:line="400" w:lineRule="exact"/>
              <w:jc w:val="center"/>
              <w:rPr>
                <w:rFonts w:ascii="宋体" w:hAnsi="宋体" w:cs="宋体"/>
                <w:szCs w:val="21"/>
                <w:highlight w:val="none"/>
              </w:rPr>
            </w:pPr>
            <w:r>
              <w:rPr>
                <w:rFonts w:hint="eastAsia" w:ascii="宋体" w:hAnsi="宋体" w:cs="宋体"/>
                <w:szCs w:val="21"/>
                <w:highlight w:val="none"/>
              </w:rPr>
              <w:t>单位</w:t>
            </w:r>
          </w:p>
        </w:tc>
        <w:tc>
          <w:tcPr>
            <w:tcW w:w="947" w:type="dxa"/>
            <w:vAlign w:val="center"/>
          </w:tcPr>
          <w:p>
            <w:pPr>
              <w:snapToGrid w:val="0"/>
              <w:spacing w:line="400" w:lineRule="exact"/>
              <w:jc w:val="center"/>
              <w:rPr>
                <w:rFonts w:ascii="宋体" w:hAnsi="宋体" w:cs="宋体"/>
                <w:szCs w:val="21"/>
                <w:highlight w:val="none"/>
              </w:rPr>
            </w:pPr>
            <w:r>
              <w:rPr>
                <w:rFonts w:hint="eastAsia" w:ascii="宋体" w:hAnsi="宋体" w:cs="宋体"/>
                <w:szCs w:val="21"/>
                <w:highlight w:val="none"/>
              </w:rPr>
              <w:t>单  价</w:t>
            </w:r>
          </w:p>
          <w:p>
            <w:pPr>
              <w:snapToGrid w:val="0"/>
              <w:spacing w:line="400" w:lineRule="exact"/>
              <w:jc w:val="center"/>
              <w:rPr>
                <w:rFonts w:ascii="宋体" w:hAnsi="宋体" w:cs="宋体"/>
                <w:szCs w:val="21"/>
                <w:highlight w:val="none"/>
              </w:rPr>
            </w:pPr>
            <w:r>
              <w:rPr>
                <w:rFonts w:hint="eastAsia" w:ascii="宋体" w:hAnsi="宋体" w:cs="宋体"/>
                <w:szCs w:val="21"/>
                <w:highlight w:val="none"/>
              </w:rPr>
              <w:t>（元）</w:t>
            </w:r>
          </w:p>
        </w:tc>
        <w:tc>
          <w:tcPr>
            <w:tcW w:w="1573" w:type="dxa"/>
            <w:vAlign w:val="center"/>
          </w:tcPr>
          <w:p>
            <w:pPr>
              <w:snapToGrid w:val="0"/>
              <w:spacing w:line="400" w:lineRule="exact"/>
              <w:jc w:val="center"/>
              <w:rPr>
                <w:rFonts w:ascii="宋体" w:hAnsi="宋体" w:cs="宋体"/>
                <w:szCs w:val="21"/>
                <w:highlight w:val="none"/>
              </w:rPr>
            </w:pPr>
            <w:r>
              <w:rPr>
                <w:rFonts w:hint="eastAsia" w:ascii="宋体" w:hAnsi="宋体" w:cs="宋体"/>
                <w:szCs w:val="21"/>
                <w:highlight w:val="none"/>
              </w:rPr>
              <w:t>金  额</w:t>
            </w:r>
          </w:p>
          <w:p>
            <w:pPr>
              <w:snapToGrid w:val="0"/>
              <w:spacing w:line="400" w:lineRule="exact"/>
              <w:jc w:val="center"/>
              <w:rPr>
                <w:rFonts w:ascii="宋体" w:hAnsi="宋体" w:cs="宋体"/>
                <w:szCs w:val="21"/>
                <w:highlight w:val="none"/>
              </w:rPr>
            </w:pPr>
            <w:r>
              <w:rPr>
                <w:rFonts w:hint="eastAsia" w:ascii="宋体" w:hAnsi="宋体" w:cs="宋体"/>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spacing w:line="400" w:lineRule="exact"/>
              <w:jc w:val="center"/>
              <w:rPr>
                <w:rFonts w:ascii="宋体" w:hAnsi="宋体" w:cs="宋体"/>
                <w:szCs w:val="21"/>
                <w:highlight w:val="none"/>
              </w:rPr>
            </w:pPr>
            <w:r>
              <w:rPr>
                <w:rFonts w:hint="eastAsia" w:ascii="宋体" w:hAnsi="宋体" w:cs="宋体"/>
                <w:szCs w:val="21"/>
                <w:highlight w:val="none"/>
              </w:rPr>
              <w:t>1</w:t>
            </w:r>
          </w:p>
        </w:tc>
        <w:tc>
          <w:tcPr>
            <w:tcW w:w="1233" w:type="dxa"/>
            <w:vAlign w:val="center"/>
          </w:tcPr>
          <w:p>
            <w:pPr>
              <w:snapToGrid w:val="0"/>
              <w:spacing w:line="400" w:lineRule="exact"/>
              <w:jc w:val="center"/>
              <w:rPr>
                <w:rFonts w:ascii="宋体" w:hAnsi="宋体" w:cs="宋体"/>
                <w:szCs w:val="21"/>
                <w:highlight w:val="none"/>
              </w:rPr>
            </w:pPr>
          </w:p>
        </w:tc>
        <w:tc>
          <w:tcPr>
            <w:tcW w:w="1059" w:type="dxa"/>
            <w:vAlign w:val="center"/>
          </w:tcPr>
          <w:p>
            <w:pPr>
              <w:snapToGrid w:val="0"/>
              <w:spacing w:line="400" w:lineRule="exact"/>
              <w:jc w:val="center"/>
              <w:rPr>
                <w:rFonts w:ascii="宋体" w:hAnsi="宋体" w:cs="宋体"/>
                <w:szCs w:val="21"/>
                <w:highlight w:val="none"/>
              </w:rPr>
            </w:pPr>
          </w:p>
        </w:tc>
        <w:tc>
          <w:tcPr>
            <w:tcW w:w="1233" w:type="dxa"/>
            <w:vAlign w:val="center"/>
          </w:tcPr>
          <w:p>
            <w:pPr>
              <w:snapToGrid w:val="0"/>
              <w:spacing w:line="400" w:lineRule="exact"/>
              <w:jc w:val="center"/>
              <w:rPr>
                <w:rFonts w:ascii="宋体" w:hAnsi="宋体" w:cs="宋体"/>
                <w:szCs w:val="21"/>
                <w:highlight w:val="none"/>
              </w:rPr>
            </w:pPr>
          </w:p>
        </w:tc>
        <w:tc>
          <w:tcPr>
            <w:tcW w:w="1210" w:type="dxa"/>
          </w:tcPr>
          <w:p>
            <w:pPr>
              <w:snapToGrid w:val="0"/>
              <w:spacing w:line="400" w:lineRule="exact"/>
              <w:jc w:val="center"/>
              <w:rPr>
                <w:rFonts w:ascii="宋体" w:hAnsi="宋体" w:cs="宋体"/>
                <w:szCs w:val="21"/>
                <w:highlight w:val="none"/>
              </w:rPr>
            </w:pPr>
          </w:p>
        </w:tc>
        <w:tc>
          <w:tcPr>
            <w:tcW w:w="908" w:type="dxa"/>
          </w:tcPr>
          <w:p>
            <w:pPr>
              <w:snapToGrid w:val="0"/>
              <w:spacing w:line="400" w:lineRule="exact"/>
              <w:jc w:val="center"/>
              <w:rPr>
                <w:rFonts w:ascii="宋体" w:hAnsi="宋体" w:cs="宋体"/>
                <w:szCs w:val="21"/>
                <w:highlight w:val="none"/>
              </w:rPr>
            </w:pPr>
          </w:p>
        </w:tc>
        <w:tc>
          <w:tcPr>
            <w:tcW w:w="668" w:type="dxa"/>
          </w:tcPr>
          <w:p>
            <w:pPr>
              <w:snapToGrid w:val="0"/>
              <w:spacing w:line="400" w:lineRule="exact"/>
              <w:jc w:val="center"/>
              <w:rPr>
                <w:rFonts w:ascii="宋体" w:hAnsi="宋体" w:cs="宋体"/>
                <w:szCs w:val="21"/>
                <w:highlight w:val="none"/>
              </w:rPr>
            </w:pPr>
          </w:p>
        </w:tc>
        <w:tc>
          <w:tcPr>
            <w:tcW w:w="947" w:type="dxa"/>
            <w:vAlign w:val="center"/>
          </w:tcPr>
          <w:p>
            <w:pPr>
              <w:snapToGrid w:val="0"/>
              <w:spacing w:line="400" w:lineRule="exact"/>
              <w:jc w:val="center"/>
              <w:rPr>
                <w:rFonts w:ascii="宋体" w:hAnsi="宋体" w:cs="宋体"/>
                <w:szCs w:val="21"/>
                <w:highlight w:val="none"/>
              </w:rPr>
            </w:pPr>
          </w:p>
        </w:tc>
        <w:tc>
          <w:tcPr>
            <w:tcW w:w="1573" w:type="dxa"/>
            <w:vAlign w:val="center"/>
          </w:tcPr>
          <w:p>
            <w:pPr>
              <w:snapToGrid w:val="0"/>
              <w:spacing w:line="4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spacing w:line="400" w:lineRule="exact"/>
              <w:jc w:val="center"/>
              <w:rPr>
                <w:rFonts w:ascii="宋体" w:hAnsi="宋体" w:cs="宋体"/>
                <w:szCs w:val="21"/>
                <w:highlight w:val="none"/>
              </w:rPr>
            </w:pPr>
            <w:r>
              <w:rPr>
                <w:rFonts w:hint="eastAsia" w:ascii="宋体" w:hAnsi="宋体" w:cs="宋体"/>
                <w:szCs w:val="21"/>
                <w:highlight w:val="none"/>
              </w:rPr>
              <w:t>2</w:t>
            </w:r>
          </w:p>
        </w:tc>
        <w:tc>
          <w:tcPr>
            <w:tcW w:w="1233" w:type="dxa"/>
            <w:vAlign w:val="center"/>
          </w:tcPr>
          <w:p>
            <w:pPr>
              <w:snapToGrid w:val="0"/>
              <w:spacing w:line="400" w:lineRule="exact"/>
              <w:jc w:val="center"/>
              <w:rPr>
                <w:rFonts w:ascii="宋体" w:hAnsi="宋体" w:cs="宋体"/>
                <w:szCs w:val="21"/>
                <w:highlight w:val="none"/>
              </w:rPr>
            </w:pPr>
          </w:p>
        </w:tc>
        <w:tc>
          <w:tcPr>
            <w:tcW w:w="1059" w:type="dxa"/>
            <w:vAlign w:val="center"/>
          </w:tcPr>
          <w:p>
            <w:pPr>
              <w:snapToGrid w:val="0"/>
              <w:spacing w:line="400" w:lineRule="exact"/>
              <w:jc w:val="center"/>
              <w:rPr>
                <w:rFonts w:ascii="宋体" w:hAnsi="宋体" w:cs="宋体"/>
                <w:szCs w:val="21"/>
                <w:highlight w:val="none"/>
              </w:rPr>
            </w:pPr>
          </w:p>
        </w:tc>
        <w:tc>
          <w:tcPr>
            <w:tcW w:w="1233" w:type="dxa"/>
            <w:vAlign w:val="center"/>
          </w:tcPr>
          <w:p>
            <w:pPr>
              <w:snapToGrid w:val="0"/>
              <w:spacing w:line="400" w:lineRule="exact"/>
              <w:jc w:val="center"/>
              <w:rPr>
                <w:rFonts w:ascii="宋体" w:hAnsi="宋体" w:cs="宋体"/>
                <w:szCs w:val="21"/>
                <w:highlight w:val="none"/>
              </w:rPr>
            </w:pPr>
          </w:p>
        </w:tc>
        <w:tc>
          <w:tcPr>
            <w:tcW w:w="1210" w:type="dxa"/>
          </w:tcPr>
          <w:p>
            <w:pPr>
              <w:snapToGrid w:val="0"/>
              <w:spacing w:line="400" w:lineRule="exact"/>
              <w:jc w:val="center"/>
              <w:rPr>
                <w:rFonts w:ascii="宋体" w:hAnsi="宋体" w:cs="宋体"/>
                <w:szCs w:val="21"/>
                <w:highlight w:val="none"/>
              </w:rPr>
            </w:pPr>
          </w:p>
        </w:tc>
        <w:tc>
          <w:tcPr>
            <w:tcW w:w="908" w:type="dxa"/>
          </w:tcPr>
          <w:p>
            <w:pPr>
              <w:snapToGrid w:val="0"/>
              <w:spacing w:line="400" w:lineRule="exact"/>
              <w:jc w:val="center"/>
              <w:rPr>
                <w:rFonts w:ascii="宋体" w:hAnsi="宋体" w:cs="宋体"/>
                <w:szCs w:val="21"/>
                <w:highlight w:val="none"/>
              </w:rPr>
            </w:pPr>
          </w:p>
        </w:tc>
        <w:tc>
          <w:tcPr>
            <w:tcW w:w="668" w:type="dxa"/>
          </w:tcPr>
          <w:p>
            <w:pPr>
              <w:snapToGrid w:val="0"/>
              <w:spacing w:line="400" w:lineRule="exact"/>
              <w:jc w:val="center"/>
              <w:rPr>
                <w:rFonts w:ascii="宋体" w:hAnsi="宋体" w:cs="宋体"/>
                <w:szCs w:val="21"/>
                <w:highlight w:val="none"/>
              </w:rPr>
            </w:pPr>
          </w:p>
        </w:tc>
        <w:tc>
          <w:tcPr>
            <w:tcW w:w="947" w:type="dxa"/>
            <w:vAlign w:val="center"/>
          </w:tcPr>
          <w:p>
            <w:pPr>
              <w:snapToGrid w:val="0"/>
              <w:spacing w:line="400" w:lineRule="exact"/>
              <w:jc w:val="center"/>
              <w:rPr>
                <w:rFonts w:ascii="宋体" w:hAnsi="宋体" w:cs="宋体"/>
                <w:szCs w:val="21"/>
                <w:highlight w:val="none"/>
              </w:rPr>
            </w:pPr>
          </w:p>
        </w:tc>
        <w:tc>
          <w:tcPr>
            <w:tcW w:w="1573" w:type="dxa"/>
            <w:vAlign w:val="center"/>
          </w:tcPr>
          <w:p>
            <w:pPr>
              <w:snapToGrid w:val="0"/>
              <w:spacing w:line="4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spacing w:line="400" w:lineRule="exact"/>
              <w:jc w:val="center"/>
              <w:rPr>
                <w:rFonts w:ascii="宋体" w:hAnsi="宋体" w:cs="宋体"/>
                <w:szCs w:val="21"/>
                <w:highlight w:val="none"/>
              </w:rPr>
            </w:pPr>
            <w:r>
              <w:rPr>
                <w:rFonts w:hint="eastAsia" w:ascii="宋体" w:hAnsi="宋体" w:cs="宋体"/>
                <w:szCs w:val="21"/>
                <w:highlight w:val="none"/>
              </w:rPr>
              <w:t>3</w:t>
            </w:r>
          </w:p>
        </w:tc>
        <w:tc>
          <w:tcPr>
            <w:tcW w:w="1233" w:type="dxa"/>
            <w:vAlign w:val="center"/>
          </w:tcPr>
          <w:p>
            <w:pPr>
              <w:snapToGrid w:val="0"/>
              <w:spacing w:line="400" w:lineRule="exact"/>
              <w:jc w:val="center"/>
              <w:rPr>
                <w:rFonts w:ascii="宋体" w:hAnsi="宋体" w:cs="宋体"/>
                <w:szCs w:val="21"/>
                <w:highlight w:val="none"/>
              </w:rPr>
            </w:pPr>
          </w:p>
        </w:tc>
        <w:tc>
          <w:tcPr>
            <w:tcW w:w="1059" w:type="dxa"/>
            <w:vAlign w:val="center"/>
          </w:tcPr>
          <w:p>
            <w:pPr>
              <w:snapToGrid w:val="0"/>
              <w:spacing w:line="400" w:lineRule="exact"/>
              <w:jc w:val="center"/>
              <w:rPr>
                <w:rFonts w:ascii="宋体" w:hAnsi="宋体" w:cs="宋体"/>
                <w:szCs w:val="21"/>
                <w:highlight w:val="none"/>
              </w:rPr>
            </w:pPr>
          </w:p>
        </w:tc>
        <w:tc>
          <w:tcPr>
            <w:tcW w:w="1233" w:type="dxa"/>
            <w:vAlign w:val="center"/>
          </w:tcPr>
          <w:p>
            <w:pPr>
              <w:snapToGrid w:val="0"/>
              <w:spacing w:line="400" w:lineRule="exact"/>
              <w:jc w:val="center"/>
              <w:rPr>
                <w:rFonts w:ascii="宋体" w:hAnsi="宋体" w:cs="宋体"/>
                <w:szCs w:val="21"/>
                <w:highlight w:val="none"/>
              </w:rPr>
            </w:pPr>
          </w:p>
        </w:tc>
        <w:tc>
          <w:tcPr>
            <w:tcW w:w="1210" w:type="dxa"/>
          </w:tcPr>
          <w:p>
            <w:pPr>
              <w:snapToGrid w:val="0"/>
              <w:spacing w:line="400" w:lineRule="exact"/>
              <w:jc w:val="center"/>
              <w:rPr>
                <w:rFonts w:ascii="宋体" w:hAnsi="宋体" w:cs="宋体"/>
                <w:szCs w:val="21"/>
                <w:highlight w:val="none"/>
              </w:rPr>
            </w:pPr>
          </w:p>
        </w:tc>
        <w:tc>
          <w:tcPr>
            <w:tcW w:w="908" w:type="dxa"/>
          </w:tcPr>
          <w:p>
            <w:pPr>
              <w:snapToGrid w:val="0"/>
              <w:spacing w:line="400" w:lineRule="exact"/>
              <w:jc w:val="center"/>
              <w:rPr>
                <w:rFonts w:ascii="宋体" w:hAnsi="宋体" w:cs="宋体"/>
                <w:szCs w:val="21"/>
                <w:highlight w:val="none"/>
              </w:rPr>
            </w:pPr>
          </w:p>
        </w:tc>
        <w:tc>
          <w:tcPr>
            <w:tcW w:w="668" w:type="dxa"/>
          </w:tcPr>
          <w:p>
            <w:pPr>
              <w:snapToGrid w:val="0"/>
              <w:spacing w:line="400" w:lineRule="exact"/>
              <w:jc w:val="center"/>
              <w:rPr>
                <w:rFonts w:ascii="宋体" w:hAnsi="宋体" w:cs="宋体"/>
                <w:szCs w:val="21"/>
                <w:highlight w:val="none"/>
              </w:rPr>
            </w:pPr>
          </w:p>
        </w:tc>
        <w:tc>
          <w:tcPr>
            <w:tcW w:w="947" w:type="dxa"/>
            <w:vAlign w:val="center"/>
          </w:tcPr>
          <w:p>
            <w:pPr>
              <w:snapToGrid w:val="0"/>
              <w:spacing w:line="400" w:lineRule="exact"/>
              <w:jc w:val="center"/>
              <w:rPr>
                <w:rFonts w:ascii="宋体" w:hAnsi="宋体" w:cs="宋体"/>
                <w:szCs w:val="21"/>
                <w:highlight w:val="none"/>
              </w:rPr>
            </w:pPr>
          </w:p>
        </w:tc>
        <w:tc>
          <w:tcPr>
            <w:tcW w:w="1573" w:type="dxa"/>
            <w:vAlign w:val="center"/>
          </w:tcPr>
          <w:p>
            <w:pPr>
              <w:snapToGrid w:val="0"/>
              <w:spacing w:line="4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540" w:type="dxa"/>
            <w:gridSpan w:val="9"/>
            <w:vAlign w:val="center"/>
          </w:tcPr>
          <w:p>
            <w:pPr>
              <w:snapToGrid w:val="0"/>
              <w:spacing w:line="400" w:lineRule="exact"/>
              <w:rPr>
                <w:rFonts w:ascii="宋体" w:hAnsi="宋体" w:cs="宋体"/>
                <w:szCs w:val="21"/>
                <w:highlight w:val="none"/>
              </w:rPr>
            </w:pPr>
            <w:r>
              <w:rPr>
                <w:rFonts w:hint="eastAsia" w:ascii="宋体" w:hAnsi="宋体" w:cs="宋体"/>
                <w:szCs w:val="21"/>
                <w:highlight w:val="none"/>
              </w:rPr>
              <w:t>人民币合计金额：</w:t>
            </w:r>
          </w:p>
        </w:tc>
      </w:tr>
    </w:tbl>
    <w:p>
      <w:pPr>
        <w:spacing w:line="300" w:lineRule="exact"/>
        <w:ind w:firstLine="420" w:firstLineChars="200"/>
        <w:jc w:val="left"/>
        <w:rPr>
          <w:rFonts w:ascii="宋体" w:hAnsi="宋体" w:cs="宋体"/>
          <w:szCs w:val="21"/>
          <w:highlight w:val="none"/>
        </w:rPr>
      </w:pPr>
      <w:r>
        <w:rPr>
          <w:rFonts w:hint="eastAsia" w:ascii="宋体" w:hAnsi="宋体" w:cs="宋体"/>
          <w:szCs w:val="21"/>
          <w:highlight w:val="none"/>
        </w:rPr>
        <w:t>2、合同合计金额包含货物、随配附件、备品备件、工具、运抵指定交货地点、现场安装调试的各种费用和售后服务、税金等所有成本费用的总和。但货物价格不包含建设过程中如有产生的行政事业性的赔补费用，现场施工应按市政施工办理，一切相关的行政事业性收费，系统前端供电接入及系统所使用的电费由防城港市公安局防城区分局负责协调解决；如招投标文件对其另有规定的，从其规定。</w:t>
      </w:r>
    </w:p>
    <w:p>
      <w:pPr>
        <w:snapToGrid w:val="0"/>
        <w:spacing w:line="400" w:lineRule="exact"/>
        <w:ind w:firstLine="422" w:firstLineChars="200"/>
        <w:rPr>
          <w:rFonts w:ascii="宋体" w:hAnsi="宋体" w:cs="宋体"/>
          <w:szCs w:val="21"/>
          <w:highlight w:val="none"/>
        </w:rPr>
      </w:pPr>
      <w:r>
        <w:rPr>
          <w:rFonts w:hint="eastAsia" w:ascii="宋体" w:hAnsi="宋体" w:cs="宋体"/>
          <w:b/>
          <w:szCs w:val="21"/>
          <w:highlight w:val="none"/>
        </w:rPr>
        <w:t>第二条　质量保证</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1、乙方所提供的货物型号、技术规格、技术参数等质量必须与招投标文件和承诺相一致。乙方提供的自主创新产品、节能和环保产品必须是列入政府采购清单的产品。</w:t>
      </w:r>
    </w:p>
    <w:p>
      <w:pPr>
        <w:snapToGrid w:val="0"/>
        <w:spacing w:line="400" w:lineRule="exact"/>
        <w:ind w:firstLine="420" w:firstLineChars="200"/>
        <w:rPr>
          <w:rFonts w:ascii="宋体" w:hAnsi="宋体" w:cs="宋体"/>
          <w:szCs w:val="21"/>
          <w:highlight w:val="none"/>
          <w:u w:val="single"/>
        </w:rPr>
      </w:pPr>
      <w:r>
        <w:rPr>
          <w:rFonts w:hint="eastAsia" w:ascii="宋体" w:hAnsi="宋体" w:cs="宋体"/>
          <w:szCs w:val="21"/>
          <w:highlight w:val="none"/>
        </w:rPr>
        <w:t>2、乙方所提供的货物必须是全新、未使用的原装产品，且在正常安装、使用和保养条件下，其使用寿命期内各项指标均达到质量要求。</w:t>
      </w:r>
    </w:p>
    <w:p>
      <w:pPr>
        <w:snapToGrid w:val="0"/>
        <w:spacing w:line="400" w:lineRule="exact"/>
        <w:ind w:firstLine="422" w:firstLineChars="200"/>
        <w:rPr>
          <w:rFonts w:ascii="宋体" w:hAnsi="宋体" w:cs="宋体"/>
          <w:szCs w:val="21"/>
          <w:highlight w:val="none"/>
        </w:rPr>
      </w:pPr>
      <w:r>
        <w:rPr>
          <w:rFonts w:hint="eastAsia" w:ascii="宋体" w:hAnsi="宋体" w:cs="宋体"/>
          <w:b/>
          <w:szCs w:val="21"/>
          <w:highlight w:val="none"/>
        </w:rPr>
        <w:t>第三条　权利保证</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乙方应保证所提供货物在使用时不会侵犯任何第三方的专利权、商标权、工业设计权或其他权利。</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乙方应按招标文件规定的时间向甲方提供使用货物的有关技术资料。</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乙方保证所交付的货物的所有权完全属于乙方且无任何抵押、质押、查封等产权瑕疵。</w:t>
      </w:r>
    </w:p>
    <w:p>
      <w:pPr>
        <w:snapToGrid w:val="0"/>
        <w:spacing w:line="400" w:lineRule="exact"/>
        <w:ind w:firstLine="422" w:firstLineChars="200"/>
        <w:rPr>
          <w:rFonts w:ascii="宋体" w:hAnsi="宋体" w:cs="宋体"/>
          <w:b/>
          <w:szCs w:val="21"/>
          <w:highlight w:val="none"/>
        </w:rPr>
      </w:pPr>
      <w:r>
        <w:rPr>
          <w:rFonts w:hint="eastAsia" w:ascii="宋体" w:hAnsi="宋体" w:cs="宋体"/>
          <w:b/>
          <w:szCs w:val="21"/>
          <w:highlight w:val="none"/>
        </w:rPr>
        <w:t>第四条　包装和运输</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1、乙方提供的货物均应按招投标文件要求的包装材料、包装标准、包装方式进行包装，每一包装单元内应附详细的装箱单和质量合格证。</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2、货物的运输方式：</w:t>
      </w:r>
      <w:r>
        <w:rPr>
          <w:rFonts w:hint="eastAsia" w:ascii="宋体" w:hAnsi="宋体" w:cs="宋体"/>
          <w:szCs w:val="21"/>
          <w:highlight w:val="none"/>
          <w:u w:val="single"/>
        </w:rPr>
        <w:t xml:space="preserve">            </w:t>
      </w:r>
      <w:r>
        <w:rPr>
          <w:rFonts w:hint="eastAsia" w:ascii="宋体" w:hAnsi="宋体" w:cs="宋体"/>
          <w:szCs w:val="21"/>
          <w:highlight w:val="none"/>
        </w:rPr>
        <w:t>。</w:t>
      </w:r>
    </w:p>
    <w:p>
      <w:pPr>
        <w:snapToGrid w:val="0"/>
        <w:spacing w:line="400" w:lineRule="exact"/>
        <w:ind w:firstLine="420" w:firstLineChars="200"/>
        <w:rPr>
          <w:rFonts w:ascii="宋体" w:hAnsi="宋体" w:cs="宋体"/>
          <w:szCs w:val="21"/>
          <w:highlight w:val="none"/>
          <w:u w:val="single"/>
        </w:rPr>
      </w:pPr>
      <w:r>
        <w:rPr>
          <w:rFonts w:hint="eastAsia" w:ascii="宋体" w:hAnsi="宋体" w:cs="宋体"/>
          <w:szCs w:val="21"/>
          <w:highlight w:val="none"/>
        </w:rPr>
        <w:t>3、乙方负责货物运输，货物运输合理损耗及计算方法：</w:t>
      </w:r>
      <w:r>
        <w:rPr>
          <w:rFonts w:hint="eastAsia" w:ascii="宋体" w:hAnsi="宋体" w:cs="宋体"/>
          <w:szCs w:val="21"/>
          <w:highlight w:val="none"/>
          <w:u w:val="single"/>
        </w:rPr>
        <w:t xml:space="preserve">              </w:t>
      </w:r>
      <w:r>
        <w:rPr>
          <w:rFonts w:hint="eastAsia" w:ascii="宋体" w:hAnsi="宋体" w:cs="宋体"/>
          <w:szCs w:val="21"/>
          <w:highlight w:val="none"/>
        </w:rPr>
        <w:t>。</w:t>
      </w:r>
    </w:p>
    <w:p>
      <w:pPr>
        <w:snapToGrid w:val="0"/>
        <w:spacing w:line="400" w:lineRule="exact"/>
        <w:ind w:firstLine="422" w:firstLineChars="200"/>
        <w:rPr>
          <w:rFonts w:ascii="宋体" w:hAnsi="宋体" w:cs="宋体"/>
          <w:szCs w:val="21"/>
          <w:highlight w:val="none"/>
        </w:rPr>
      </w:pPr>
      <w:r>
        <w:rPr>
          <w:rFonts w:hint="eastAsia" w:ascii="宋体" w:hAnsi="宋体" w:cs="宋体"/>
          <w:b/>
          <w:szCs w:val="21"/>
          <w:highlight w:val="none"/>
        </w:rPr>
        <w:t>第五条　交付和验收</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1、交货时间及地点：</w:t>
      </w:r>
      <w:r>
        <w:rPr>
          <w:rFonts w:hint="eastAsia" w:ascii="宋体" w:hAnsi="宋体" w:cs="宋体"/>
          <w:szCs w:val="21"/>
          <w:highlight w:val="none"/>
          <w:u w:val="single"/>
        </w:rPr>
        <w:t xml:space="preserve">                 </w:t>
      </w:r>
      <w:r>
        <w:rPr>
          <w:rFonts w:hint="eastAsia" w:ascii="宋体" w:hAnsi="宋体" w:cs="宋体"/>
          <w:szCs w:val="21"/>
          <w:highlight w:val="none"/>
        </w:rPr>
        <w:t>。</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2、乙方提供不符合招投标文件和本合同规定的货物，甲方有权拒绝接受。</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3、乙方应将所提供货物的装箱清单、用户手册、原厂保修卡、随机资料、工具和备品、备件等交付给甲方，货物属于进口产品的，供货时应同时附上中文使用说明书，如有缺失应及时补齐，否则视为逾期交货。</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4、设备材料到货验收：设备材料在工期内按现场进度、业主要求到货，在安装与实施前，设备材料必须进行到货验收。设备材料到货验收由业主代表（或采购人委托的监理方）、中标单位共同进行，验收时间为按到货时间后二个工作日内。设备材料到货后，如该设备属于投标的设备，如产品品牌、型号不相符，采购方可拒绝接收该系列产品并保留进一步追究中标人法律责任的权利。</w:t>
      </w:r>
    </w:p>
    <w:p>
      <w:pPr>
        <w:snapToGrid w:val="0"/>
        <w:spacing w:line="400" w:lineRule="exact"/>
        <w:ind w:firstLine="420" w:firstLineChars="200"/>
        <w:rPr>
          <w:rFonts w:ascii="宋体" w:hAnsi="宋体" w:cs="宋体"/>
          <w:bCs/>
          <w:kern w:val="0"/>
          <w:sz w:val="22"/>
          <w:highlight w:val="none"/>
        </w:rPr>
      </w:pPr>
      <w:r>
        <w:rPr>
          <w:rFonts w:hint="eastAsia" w:ascii="宋体" w:hAnsi="宋体" w:cs="宋体"/>
          <w:szCs w:val="21"/>
          <w:highlight w:val="none"/>
        </w:rPr>
        <w:t>5、交货安装调试完毕后，由采购人及中标供应商共同组织现场检测、检验，按招</w:t>
      </w:r>
      <w:r>
        <w:rPr>
          <w:rFonts w:hint="eastAsia" w:ascii="宋体" w:hAnsi="宋体" w:cs="宋体"/>
          <w:bCs/>
          <w:kern w:val="0"/>
          <w:sz w:val="22"/>
          <w:highlight w:val="none"/>
        </w:rPr>
        <w:t>标文件要求及国家标准进行验收，验收费用由中标供应商支付。</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6、甲方对验收有异议的，在验收后十个工作日内以书面形式向乙方提出，乙方应自收到甲方书面异议后</w:t>
      </w:r>
      <w:r>
        <w:rPr>
          <w:rFonts w:hint="eastAsia" w:ascii="宋体" w:hAnsi="宋体" w:cs="宋体"/>
          <w:szCs w:val="21"/>
          <w:highlight w:val="none"/>
          <w:u w:val="single"/>
        </w:rPr>
        <w:t xml:space="preserve">       </w:t>
      </w:r>
      <w:r>
        <w:rPr>
          <w:rFonts w:hint="eastAsia" w:ascii="宋体" w:hAnsi="宋体" w:cs="宋体"/>
          <w:szCs w:val="21"/>
          <w:highlight w:val="none"/>
        </w:rPr>
        <w:t>日内及时予以解决。</w:t>
      </w:r>
    </w:p>
    <w:p>
      <w:pPr>
        <w:snapToGrid w:val="0"/>
        <w:spacing w:line="400" w:lineRule="exact"/>
        <w:ind w:firstLine="422" w:firstLineChars="200"/>
        <w:rPr>
          <w:rFonts w:ascii="宋体" w:hAnsi="宋体" w:cs="宋体"/>
          <w:b/>
          <w:szCs w:val="21"/>
          <w:highlight w:val="none"/>
        </w:rPr>
      </w:pPr>
      <w:r>
        <w:rPr>
          <w:rFonts w:hint="eastAsia" w:ascii="宋体" w:hAnsi="宋体" w:cs="宋体"/>
          <w:b/>
          <w:szCs w:val="21"/>
          <w:highlight w:val="none"/>
        </w:rPr>
        <w:t>第六条　安装和培训</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1、甲方应提供必要安装条件（如场地、电源、水源等）。</w:t>
      </w:r>
    </w:p>
    <w:p>
      <w:pPr>
        <w:snapToGrid w:val="0"/>
        <w:spacing w:line="400" w:lineRule="exact"/>
        <w:ind w:firstLine="420" w:firstLineChars="200"/>
        <w:rPr>
          <w:rFonts w:ascii="宋体" w:hAnsi="宋体" w:cs="宋体"/>
          <w:szCs w:val="21"/>
          <w:highlight w:val="none"/>
          <w:u w:val="single"/>
        </w:rPr>
      </w:pPr>
      <w:r>
        <w:rPr>
          <w:rFonts w:hint="eastAsia" w:ascii="宋体" w:hAnsi="宋体" w:cs="宋体"/>
          <w:szCs w:val="21"/>
          <w:highlight w:val="none"/>
        </w:rPr>
        <w:t>2、乙方负责甲方有关人员的培训。培训时间、地点：</w:t>
      </w:r>
      <w:r>
        <w:rPr>
          <w:rFonts w:hint="eastAsia" w:ascii="宋体" w:hAnsi="宋体" w:cs="宋体"/>
          <w:szCs w:val="21"/>
          <w:highlight w:val="none"/>
          <w:u w:val="single"/>
        </w:rPr>
        <w:t xml:space="preserve">                 。</w:t>
      </w:r>
    </w:p>
    <w:p>
      <w:pPr>
        <w:snapToGrid w:val="0"/>
        <w:spacing w:line="400" w:lineRule="exact"/>
        <w:ind w:firstLine="422" w:firstLineChars="200"/>
        <w:rPr>
          <w:rFonts w:ascii="宋体" w:hAnsi="宋体" w:cs="宋体"/>
          <w:b/>
          <w:szCs w:val="21"/>
          <w:highlight w:val="none"/>
        </w:rPr>
      </w:pPr>
      <w:r>
        <w:rPr>
          <w:rFonts w:hint="eastAsia" w:ascii="宋体" w:hAnsi="宋体" w:cs="宋体"/>
          <w:b/>
          <w:szCs w:val="21"/>
          <w:highlight w:val="none"/>
        </w:rPr>
        <w:t>第七条  售后服务、质保期</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1、乙方应按照国家有关法律法规和“三包”规定以及招投标文件和本合同所附的《服务承诺》，为甲方提供售后服务。</w:t>
      </w:r>
    </w:p>
    <w:p>
      <w:pPr>
        <w:snapToGrid w:val="0"/>
        <w:spacing w:line="400" w:lineRule="exact"/>
        <w:ind w:firstLine="420" w:firstLineChars="200"/>
        <w:rPr>
          <w:rFonts w:ascii="宋体" w:hAnsi="宋体" w:cs="宋体"/>
          <w:szCs w:val="21"/>
          <w:highlight w:val="none"/>
          <w:u w:val="single"/>
        </w:rPr>
      </w:pPr>
      <w:r>
        <w:rPr>
          <w:rFonts w:hint="eastAsia" w:ascii="宋体" w:hAnsi="宋体" w:cs="宋体"/>
          <w:szCs w:val="21"/>
          <w:highlight w:val="none"/>
        </w:rPr>
        <w:t>2、货物质保期：</w:t>
      </w:r>
      <w:r>
        <w:rPr>
          <w:rFonts w:hint="eastAsia" w:ascii="宋体" w:hAnsi="宋体" w:cs="宋体"/>
          <w:szCs w:val="21"/>
          <w:highlight w:val="none"/>
          <w:u w:val="single"/>
        </w:rPr>
        <w:t xml:space="preserve">  </w:t>
      </w:r>
      <w:r>
        <w:rPr>
          <w:rFonts w:hint="eastAsia"/>
          <w:highlight w:val="none"/>
          <w:u w:val="single"/>
        </w:rPr>
        <w:t>验收合格之日起  年，货物和设备使用说明规定质保期长于一年的，以该说明为准</w:t>
      </w:r>
      <w:r>
        <w:rPr>
          <w:rFonts w:hint="eastAsia" w:ascii="宋体" w:hAnsi="宋体" w:cs="宋体"/>
          <w:szCs w:val="21"/>
          <w:highlight w:val="none"/>
          <w:u w:val="single"/>
        </w:rPr>
        <w:t xml:space="preserve"> 。</w:t>
      </w:r>
    </w:p>
    <w:p>
      <w:pPr>
        <w:snapToGrid w:val="0"/>
        <w:spacing w:line="400" w:lineRule="exact"/>
        <w:ind w:firstLine="420" w:firstLineChars="200"/>
        <w:rPr>
          <w:rFonts w:ascii="宋体" w:hAnsi="宋体" w:cs="宋体"/>
          <w:szCs w:val="21"/>
          <w:highlight w:val="none"/>
          <w:u w:val="single"/>
        </w:rPr>
      </w:pPr>
      <w:r>
        <w:rPr>
          <w:rFonts w:hint="eastAsia" w:ascii="宋体" w:hAnsi="宋体" w:cs="宋体"/>
          <w:szCs w:val="21"/>
          <w:highlight w:val="none"/>
        </w:rPr>
        <w:t>3、乙方提供的服务承诺和售后服务及保修期责任等其它具体约定事项。（见合同附件）</w:t>
      </w:r>
    </w:p>
    <w:p>
      <w:pPr>
        <w:snapToGrid w:val="0"/>
        <w:spacing w:line="400" w:lineRule="exact"/>
        <w:ind w:firstLine="422" w:firstLineChars="200"/>
        <w:rPr>
          <w:rFonts w:ascii="宋体" w:hAnsi="宋体" w:cs="宋体"/>
          <w:szCs w:val="21"/>
          <w:highlight w:val="none"/>
        </w:rPr>
      </w:pPr>
      <w:r>
        <w:rPr>
          <w:rFonts w:hint="eastAsia" w:ascii="宋体" w:hAnsi="宋体" w:cs="宋体"/>
          <w:b/>
          <w:szCs w:val="21"/>
          <w:highlight w:val="none"/>
        </w:rPr>
        <w:t>第八条　付款方式和保证金</w:t>
      </w:r>
    </w:p>
    <w:p>
      <w:pPr>
        <w:pStyle w:val="22"/>
        <w:snapToGrid w:val="0"/>
        <w:spacing w:line="400" w:lineRule="exact"/>
        <w:ind w:firstLine="420" w:firstLineChars="200"/>
        <w:rPr>
          <w:rFonts w:hAnsi="宋体" w:cs="宋体"/>
          <w:sz w:val="21"/>
          <w:highlight w:val="none"/>
        </w:rPr>
      </w:pPr>
      <w:r>
        <w:rPr>
          <w:rFonts w:hint="eastAsia" w:hAnsi="宋体" w:cs="宋体"/>
          <w:bCs/>
          <w:sz w:val="21"/>
          <w:highlight w:val="none"/>
        </w:rPr>
        <w:t>1、</w:t>
      </w:r>
      <w:r>
        <w:rPr>
          <w:rFonts w:hint="eastAsia" w:hAnsi="宋体" w:cs="宋体"/>
          <w:sz w:val="21"/>
          <w:highlight w:val="none"/>
        </w:rPr>
        <w:t>当采购数量与实际使用数量不一致时，乙方应根据实际使用量供货，合同的最终结算金额按实际使用量乘以成交单价进行计算。</w:t>
      </w:r>
    </w:p>
    <w:p>
      <w:pPr>
        <w:snapToGrid w:val="0"/>
        <w:spacing w:line="400" w:lineRule="exact"/>
        <w:ind w:firstLine="420" w:firstLineChars="200"/>
        <w:rPr>
          <w:rFonts w:ascii="宋体" w:hAnsi="宋体" w:cs="宋体"/>
          <w:szCs w:val="21"/>
          <w:highlight w:val="none"/>
          <w:u w:val="single"/>
        </w:rPr>
      </w:pPr>
      <w:r>
        <w:rPr>
          <w:rFonts w:hint="eastAsia" w:ascii="宋体" w:hAnsi="宋体" w:cs="宋体"/>
          <w:szCs w:val="21"/>
          <w:highlight w:val="none"/>
        </w:rPr>
        <w:t>2、资金性质：</w:t>
      </w:r>
      <w:r>
        <w:rPr>
          <w:rFonts w:hint="eastAsia" w:ascii="宋体" w:hAnsi="宋体" w:cs="宋体"/>
          <w:szCs w:val="21"/>
          <w:highlight w:val="none"/>
          <w:u w:val="single"/>
        </w:rPr>
        <w:t xml:space="preserve">  财政性资金  。</w:t>
      </w:r>
    </w:p>
    <w:p>
      <w:pPr>
        <w:snapToGrid w:val="0"/>
        <w:spacing w:line="400" w:lineRule="exact"/>
        <w:ind w:left="-61" w:leftChars="-29" w:firstLine="514" w:firstLineChars="245"/>
        <w:rPr>
          <w:rFonts w:ascii="宋体" w:hAnsi="宋体" w:cs="宋体"/>
          <w:szCs w:val="21"/>
          <w:highlight w:val="none"/>
          <w:shd w:val="clear" w:color="auto" w:fill="FFFFFF"/>
        </w:rPr>
      </w:pPr>
      <w:r>
        <w:rPr>
          <w:rFonts w:hint="eastAsia" w:ascii="宋体" w:hAnsi="宋体" w:cs="宋体"/>
          <w:szCs w:val="21"/>
          <w:highlight w:val="none"/>
        </w:rPr>
        <w:t>3、付款方式：合同签订之日起5个工作日内，甲方向市财政部门提交合同总金额30%的经费请示，付款时间以市财政部门审核通过的时间为准。系统调试安装验收后5个工作日内，甲方向市财政部门提交合同总金额65%的经费请示，付款时间以市财政部门审核通过的时间为准。留存采购合同价的5%作为质保金。质保期（365天）满，乙方于30天内提出申请，甲方使用部门及验收组出具同意返还工程质保金意见书后，甲方5个工作日内向市财政部门提交合同总金额5%的质保金返还请示，付款时间以市财政部门审核通过的时间为准。</w:t>
      </w:r>
    </w:p>
    <w:p>
      <w:pPr>
        <w:snapToGrid w:val="0"/>
        <w:spacing w:line="400" w:lineRule="exact"/>
        <w:ind w:left="-61" w:leftChars="-29" w:firstLine="517" w:firstLineChars="245"/>
        <w:rPr>
          <w:rFonts w:ascii="宋体" w:hAnsi="宋体" w:cs="宋体"/>
          <w:b/>
          <w:szCs w:val="21"/>
          <w:highlight w:val="none"/>
        </w:rPr>
      </w:pPr>
      <w:r>
        <w:rPr>
          <w:rFonts w:hint="eastAsia" w:ascii="宋体" w:hAnsi="宋体" w:cs="宋体"/>
          <w:b/>
          <w:szCs w:val="21"/>
          <w:highlight w:val="none"/>
        </w:rPr>
        <w:t>第九条　质量保证金</w:t>
      </w:r>
    </w:p>
    <w:p>
      <w:pPr>
        <w:snapToGrid w:val="0"/>
        <w:spacing w:line="400" w:lineRule="exact"/>
        <w:ind w:left="-61" w:firstLine="514"/>
        <w:rPr>
          <w:rFonts w:ascii="宋体" w:hAnsi="宋体" w:cs="宋体"/>
          <w:bCs/>
          <w:szCs w:val="21"/>
          <w:highlight w:val="none"/>
        </w:rPr>
      </w:pPr>
      <w:r>
        <w:rPr>
          <w:rFonts w:hint="eastAsia" w:ascii="宋体" w:hAnsi="宋体" w:cs="宋体"/>
          <w:bCs/>
          <w:szCs w:val="21"/>
          <w:highlight w:val="none"/>
        </w:rPr>
        <w:t>甲方按合同总额</w:t>
      </w:r>
      <w:r>
        <w:rPr>
          <w:rFonts w:hint="eastAsia" w:ascii="宋体" w:hAnsi="宋体" w:cs="宋体"/>
          <w:bCs/>
          <w:szCs w:val="21"/>
          <w:highlight w:val="none"/>
          <w:u w:val="single"/>
        </w:rPr>
        <w:t xml:space="preserve"> </w:t>
      </w:r>
      <w:r>
        <w:rPr>
          <w:rFonts w:hint="eastAsia" w:ascii="宋体" w:hAnsi="宋体" w:cs="宋体"/>
          <w:bCs/>
          <w:szCs w:val="21"/>
          <w:highlight w:val="none"/>
          <w:u w:val="single"/>
          <w:lang w:val="en-US" w:eastAsia="zh-CN"/>
        </w:rPr>
        <w:t>5</w:t>
      </w:r>
      <w:r>
        <w:rPr>
          <w:rFonts w:hint="eastAsia" w:ascii="宋体" w:hAnsi="宋体" w:cs="宋体"/>
          <w:bCs/>
          <w:szCs w:val="21"/>
          <w:highlight w:val="none"/>
          <w:u w:val="single"/>
        </w:rPr>
        <w:t xml:space="preserve">% </w:t>
      </w:r>
      <w:r>
        <w:rPr>
          <w:rFonts w:hint="eastAsia" w:ascii="宋体" w:hAnsi="宋体" w:cs="宋体"/>
          <w:bCs/>
          <w:szCs w:val="21"/>
          <w:highlight w:val="none"/>
        </w:rPr>
        <w:t>预留质量保修金，待质保期满后返还。</w:t>
      </w:r>
    </w:p>
    <w:p>
      <w:pPr>
        <w:snapToGrid w:val="0"/>
        <w:spacing w:line="400" w:lineRule="exact"/>
        <w:ind w:left="-61" w:firstLine="514"/>
        <w:rPr>
          <w:rFonts w:ascii="宋体" w:hAnsi="宋体" w:cs="宋体"/>
          <w:b/>
          <w:szCs w:val="21"/>
          <w:highlight w:val="none"/>
        </w:rPr>
      </w:pPr>
      <w:r>
        <w:rPr>
          <w:rFonts w:hint="eastAsia" w:ascii="宋体" w:hAnsi="宋体" w:cs="宋体"/>
          <w:b/>
          <w:szCs w:val="21"/>
          <w:highlight w:val="none"/>
        </w:rPr>
        <w:t>第十条  税费</w:t>
      </w:r>
    </w:p>
    <w:p>
      <w:pPr>
        <w:snapToGrid w:val="0"/>
        <w:spacing w:line="400" w:lineRule="exact"/>
        <w:ind w:left="-61" w:firstLine="514"/>
        <w:rPr>
          <w:rFonts w:ascii="宋体" w:hAnsi="宋体" w:cs="宋体"/>
          <w:szCs w:val="21"/>
          <w:highlight w:val="none"/>
        </w:rPr>
      </w:pPr>
      <w:r>
        <w:rPr>
          <w:rFonts w:hint="eastAsia" w:ascii="宋体" w:hAnsi="宋体" w:cs="宋体"/>
          <w:szCs w:val="21"/>
          <w:highlight w:val="none"/>
        </w:rPr>
        <w:t>本合同执行中相关的一切税费均由乙方负担。</w:t>
      </w:r>
    </w:p>
    <w:p>
      <w:pPr>
        <w:snapToGrid w:val="0"/>
        <w:spacing w:line="400" w:lineRule="exact"/>
        <w:ind w:left="-61" w:firstLine="514"/>
        <w:rPr>
          <w:rFonts w:ascii="宋体" w:hAnsi="宋体" w:cs="宋体"/>
          <w:szCs w:val="21"/>
          <w:highlight w:val="none"/>
        </w:rPr>
      </w:pPr>
      <w:r>
        <w:rPr>
          <w:rFonts w:hint="eastAsia" w:ascii="宋体" w:hAnsi="宋体" w:cs="宋体"/>
          <w:b/>
          <w:szCs w:val="21"/>
          <w:highlight w:val="none"/>
        </w:rPr>
        <w:t>第十一条  质量保证及售后服务</w:t>
      </w:r>
    </w:p>
    <w:p>
      <w:pPr>
        <w:pStyle w:val="22"/>
        <w:snapToGrid w:val="0"/>
        <w:spacing w:line="400" w:lineRule="exact"/>
        <w:ind w:firstLine="420" w:firstLineChars="200"/>
        <w:rPr>
          <w:rFonts w:hAnsi="宋体" w:cs="宋体"/>
          <w:sz w:val="21"/>
          <w:highlight w:val="none"/>
        </w:rPr>
      </w:pPr>
      <w:r>
        <w:rPr>
          <w:rFonts w:hint="eastAsia" w:hAnsi="宋体" w:cs="宋体"/>
          <w:sz w:val="21"/>
          <w:highlight w:val="none"/>
        </w:rPr>
        <w:t>1. 乙方应按招标文件规定的货物性能、技术要求、质量标准向甲方提供未经使用的全新产品。不符合要求的，根据实际情况，经双方协商，可按以下办法处理：</w:t>
      </w:r>
    </w:p>
    <w:p>
      <w:pPr>
        <w:pStyle w:val="22"/>
        <w:snapToGrid w:val="0"/>
        <w:spacing w:line="400" w:lineRule="exact"/>
        <w:ind w:firstLine="420" w:firstLineChars="200"/>
        <w:rPr>
          <w:rFonts w:hAnsi="宋体" w:cs="宋体"/>
          <w:sz w:val="21"/>
          <w:highlight w:val="none"/>
        </w:rPr>
      </w:pPr>
      <w:r>
        <w:rPr>
          <w:rFonts w:hint="eastAsia" w:hAnsi="宋体" w:cs="宋体"/>
          <w:sz w:val="21"/>
          <w:highlight w:val="none"/>
        </w:rPr>
        <w:t>⑴更换：由乙方承担所发生的全部费用。</w:t>
      </w:r>
    </w:p>
    <w:p>
      <w:pPr>
        <w:pStyle w:val="22"/>
        <w:snapToGrid w:val="0"/>
        <w:spacing w:line="400" w:lineRule="exact"/>
        <w:ind w:firstLine="420"/>
        <w:rPr>
          <w:rFonts w:hAnsi="宋体" w:cs="宋体"/>
          <w:sz w:val="21"/>
          <w:highlight w:val="none"/>
        </w:rPr>
      </w:pPr>
      <w:r>
        <w:rPr>
          <w:rFonts w:hint="eastAsia" w:hAnsi="宋体" w:cs="宋体"/>
          <w:sz w:val="21"/>
          <w:highlight w:val="none"/>
        </w:rPr>
        <w:t>⑵贬值处理：由甲乙双方合议定价。</w:t>
      </w:r>
    </w:p>
    <w:p>
      <w:pPr>
        <w:pStyle w:val="22"/>
        <w:snapToGrid w:val="0"/>
        <w:spacing w:line="400" w:lineRule="exact"/>
        <w:ind w:left="420" w:leftChars="200"/>
        <w:rPr>
          <w:rFonts w:hAnsi="宋体" w:cs="宋体"/>
          <w:sz w:val="21"/>
          <w:highlight w:val="none"/>
        </w:rPr>
      </w:pPr>
      <w:r>
        <w:rPr>
          <w:rFonts w:hint="eastAsia" w:hAnsi="宋体" w:cs="宋体"/>
          <w:sz w:val="21"/>
          <w:highlight w:val="none"/>
        </w:rPr>
        <w:t>⑶退货处理：乙方应退还甲方支付的合同款，同时应承担该货物的直接费用（运输、保险、检验、</w:t>
      </w:r>
    </w:p>
    <w:p>
      <w:pPr>
        <w:pStyle w:val="22"/>
        <w:snapToGrid w:val="0"/>
        <w:spacing w:line="400" w:lineRule="exact"/>
        <w:rPr>
          <w:rFonts w:hAnsi="宋体" w:cs="宋体"/>
          <w:sz w:val="21"/>
          <w:highlight w:val="none"/>
        </w:rPr>
      </w:pPr>
      <w:r>
        <w:rPr>
          <w:rFonts w:hint="eastAsia" w:hAnsi="宋体" w:cs="宋体"/>
          <w:sz w:val="21"/>
          <w:highlight w:val="none"/>
        </w:rPr>
        <w:t>货款利息及银行手续费等）。</w:t>
      </w:r>
    </w:p>
    <w:p>
      <w:pPr>
        <w:pStyle w:val="22"/>
        <w:snapToGrid w:val="0"/>
        <w:spacing w:line="400" w:lineRule="exact"/>
        <w:ind w:firstLine="420" w:firstLineChars="200"/>
        <w:rPr>
          <w:rFonts w:hAnsi="宋体" w:cs="宋体"/>
          <w:sz w:val="21"/>
          <w:highlight w:val="none"/>
        </w:rPr>
      </w:pPr>
      <w:r>
        <w:rPr>
          <w:rFonts w:hint="eastAsia" w:hAnsi="宋体" w:cs="宋体"/>
          <w:sz w:val="21"/>
          <w:highlight w:val="none"/>
        </w:rPr>
        <w:t>2. 如在使用过程中发生质量问题，乙方在接到甲方通知后在</w:t>
      </w:r>
      <w:r>
        <w:rPr>
          <w:rFonts w:hint="eastAsia" w:hAnsi="宋体" w:cs="宋体"/>
          <w:sz w:val="21"/>
          <w:highlight w:val="none"/>
          <w:u w:val="single"/>
        </w:rPr>
        <w:t xml:space="preserve"> 乙方售后服务承诺   </w:t>
      </w:r>
      <w:r>
        <w:rPr>
          <w:rFonts w:hint="eastAsia" w:hAnsi="宋体" w:cs="宋体"/>
          <w:sz w:val="21"/>
          <w:highlight w:val="none"/>
        </w:rPr>
        <w:t>小时内到达甲方现场处理。</w:t>
      </w:r>
    </w:p>
    <w:p>
      <w:pPr>
        <w:pStyle w:val="22"/>
        <w:snapToGrid w:val="0"/>
        <w:spacing w:line="400" w:lineRule="exact"/>
        <w:ind w:firstLine="420" w:firstLineChars="200"/>
        <w:rPr>
          <w:rFonts w:hAnsi="宋体" w:cs="宋体"/>
          <w:sz w:val="21"/>
          <w:highlight w:val="none"/>
        </w:rPr>
      </w:pPr>
      <w:r>
        <w:rPr>
          <w:rFonts w:hint="eastAsia" w:hAnsi="宋体" w:cs="宋体"/>
          <w:sz w:val="21"/>
          <w:highlight w:val="none"/>
        </w:rPr>
        <w:t>3. 在质保期内，乙方应对货物出现的质量及安全问题负责处理解决并承担一切费用。</w:t>
      </w:r>
    </w:p>
    <w:p>
      <w:pPr>
        <w:snapToGrid w:val="0"/>
        <w:spacing w:line="400" w:lineRule="exact"/>
        <w:ind w:left="-61" w:firstLine="514"/>
        <w:rPr>
          <w:rFonts w:ascii="宋体" w:hAnsi="宋体" w:cs="宋体"/>
          <w:szCs w:val="21"/>
          <w:highlight w:val="none"/>
        </w:rPr>
      </w:pPr>
      <w:r>
        <w:rPr>
          <w:rFonts w:hint="eastAsia" w:ascii="宋体" w:hAnsi="宋体" w:cs="宋体"/>
          <w:szCs w:val="21"/>
          <w:highlight w:val="none"/>
        </w:rPr>
        <w:t>4. 上述的货物质保期按</w:t>
      </w:r>
      <w:r>
        <w:rPr>
          <w:rFonts w:hint="eastAsia" w:ascii="宋体" w:hAnsi="宋体" w:cs="宋体"/>
          <w:szCs w:val="21"/>
          <w:highlight w:val="none"/>
          <w:u w:val="single"/>
        </w:rPr>
        <w:t>《商务响应表》承诺</w:t>
      </w:r>
      <w:r>
        <w:rPr>
          <w:rFonts w:hint="eastAsia" w:ascii="宋体" w:hAnsi="宋体" w:cs="宋体"/>
          <w:szCs w:val="21"/>
          <w:highlight w:val="none"/>
        </w:rPr>
        <w:t>，因人为因素出现的故障不在免费保修范围内。超过保修期的机器设备，终身维修，维修时只收部件成本费。</w:t>
      </w:r>
    </w:p>
    <w:p>
      <w:pPr>
        <w:snapToGrid w:val="0"/>
        <w:spacing w:line="400" w:lineRule="exact"/>
        <w:ind w:left="-61" w:firstLine="514"/>
        <w:rPr>
          <w:rFonts w:ascii="宋体" w:hAnsi="宋体" w:cs="宋体"/>
          <w:szCs w:val="21"/>
          <w:highlight w:val="none"/>
        </w:rPr>
      </w:pPr>
      <w:r>
        <w:rPr>
          <w:rFonts w:hint="eastAsia" w:ascii="宋体" w:hAnsi="宋体" w:cs="宋体"/>
          <w:b/>
          <w:szCs w:val="21"/>
          <w:highlight w:val="none"/>
        </w:rPr>
        <w:t>第十二条  调试和验收</w:t>
      </w:r>
    </w:p>
    <w:p>
      <w:pPr>
        <w:pStyle w:val="22"/>
        <w:snapToGrid w:val="0"/>
        <w:spacing w:line="400" w:lineRule="exact"/>
        <w:ind w:firstLine="420" w:firstLineChars="200"/>
        <w:jc w:val="left"/>
        <w:rPr>
          <w:rFonts w:hAnsi="宋体" w:cs="宋体"/>
          <w:sz w:val="21"/>
          <w:highlight w:val="none"/>
        </w:rPr>
      </w:pPr>
      <w:r>
        <w:rPr>
          <w:rFonts w:hint="eastAsia" w:hAnsi="宋体" w:cs="宋体"/>
          <w:sz w:val="21"/>
          <w:highlight w:val="none"/>
        </w:rPr>
        <w:t>1. 甲方对乙方提交的货物依据招标文件上的技术规格要求和国家有关质量标准进行现场初步验收，外观、说明书符合招标文件技术要求的，给予签收，初步验收不合格的不予签收。货到后，甲方应当在到货（安装、调试完）后二个工作日内进行验收。</w:t>
      </w:r>
    </w:p>
    <w:p>
      <w:pPr>
        <w:pStyle w:val="22"/>
        <w:snapToGrid w:val="0"/>
        <w:spacing w:line="400" w:lineRule="exact"/>
        <w:ind w:firstLine="420" w:firstLineChars="200"/>
        <w:rPr>
          <w:rFonts w:hAnsi="宋体" w:cs="宋体"/>
          <w:sz w:val="21"/>
          <w:highlight w:val="none"/>
        </w:rPr>
      </w:pPr>
      <w:r>
        <w:rPr>
          <w:rFonts w:hint="eastAsia" w:hAnsi="宋体" w:cs="宋体"/>
          <w:sz w:val="21"/>
          <w:highlight w:val="none"/>
        </w:rPr>
        <w:t>2. 乙方交货前应对产品作出全面检查和对验收文件进行整理，并列出清单，作为甲方收货验收和使用的技术条件依据，检验的结果应随货物交甲方。</w:t>
      </w:r>
    </w:p>
    <w:p>
      <w:pPr>
        <w:pStyle w:val="22"/>
        <w:snapToGrid w:val="0"/>
        <w:spacing w:line="400" w:lineRule="exact"/>
        <w:ind w:firstLine="420" w:firstLineChars="200"/>
        <w:rPr>
          <w:rFonts w:hAnsi="宋体" w:cs="宋体"/>
          <w:sz w:val="21"/>
          <w:highlight w:val="none"/>
        </w:rPr>
      </w:pPr>
      <w:r>
        <w:rPr>
          <w:rFonts w:hint="eastAsia" w:hAnsi="宋体" w:cs="宋体"/>
          <w:sz w:val="21"/>
          <w:highlight w:val="none"/>
        </w:rPr>
        <w:t>3. 甲方对乙方提供的货物在使用前进行调试时，乙方需负责安装并培训甲方的使用操作人员，并协助甲方一起调试，直到符合技术要求，甲方才做最终验收。</w:t>
      </w:r>
    </w:p>
    <w:p>
      <w:pPr>
        <w:pStyle w:val="22"/>
        <w:snapToGrid w:val="0"/>
        <w:spacing w:line="400" w:lineRule="exact"/>
        <w:ind w:firstLine="420" w:firstLineChars="200"/>
        <w:rPr>
          <w:rFonts w:hAnsi="宋体" w:cs="宋体"/>
          <w:sz w:val="21"/>
          <w:highlight w:val="none"/>
        </w:rPr>
      </w:pPr>
      <w:r>
        <w:rPr>
          <w:rFonts w:hint="eastAsia" w:hAnsi="宋体" w:cs="宋体"/>
          <w:sz w:val="21"/>
          <w:highlight w:val="none"/>
        </w:rPr>
        <w:t>4. 对技术复杂的货物，甲方应请国家认可的专业检测机构参与初步验收及最终验收，并由其出具质量检测报告。</w:t>
      </w:r>
    </w:p>
    <w:p>
      <w:pPr>
        <w:snapToGrid w:val="0"/>
        <w:spacing w:line="400" w:lineRule="exact"/>
        <w:ind w:left="-61" w:firstLine="514"/>
        <w:rPr>
          <w:rFonts w:ascii="宋体" w:hAnsi="宋体" w:cs="宋体"/>
          <w:szCs w:val="21"/>
          <w:highlight w:val="none"/>
        </w:rPr>
      </w:pPr>
      <w:r>
        <w:rPr>
          <w:rFonts w:hint="eastAsia" w:ascii="宋体" w:hAnsi="宋体" w:cs="宋体"/>
          <w:szCs w:val="21"/>
          <w:highlight w:val="none"/>
        </w:rPr>
        <w:t>5. 验收时乙方必须在现场，验收完毕后作出验收结果报告；验收费用由乙方负责。</w:t>
      </w:r>
    </w:p>
    <w:p>
      <w:pPr>
        <w:pStyle w:val="22"/>
        <w:snapToGrid w:val="0"/>
        <w:spacing w:line="400" w:lineRule="exact"/>
        <w:ind w:firstLine="413" w:firstLineChars="196"/>
        <w:rPr>
          <w:rFonts w:hAnsi="宋体" w:cs="宋体"/>
          <w:b/>
          <w:sz w:val="21"/>
          <w:highlight w:val="none"/>
        </w:rPr>
      </w:pPr>
      <w:r>
        <w:rPr>
          <w:rFonts w:hint="eastAsia" w:hAnsi="宋体" w:cs="宋体"/>
          <w:b/>
          <w:sz w:val="21"/>
          <w:highlight w:val="none"/>
        </w:rPr>
        <w:t>第十三条  货物包装、发运及运输</w:t>
      </w:r>
    </w:p>
    <w:p>
      <w:pPr>
        <w:snapToGrid w:val="0"/>
        <w:spacing w:line="400" w:lineRule="exact"/>
        <w:ind w:firstLine="525" w:firstLineChars="250"/>
        <w:rPr>
          <w:rFonts w:ascii="宋体" w:hAnsi="宋体" w:cs="宋体"/>
          <w:szCs w:val="21"/>
          <w:highlight w:val="none"/>
        </w:rPr>
      </w:pPr>
      <w:r>
        <w:rPr>
          <w:rFonts w:hint="eastAsia" w:ascii="宋体" w:hAnsi="宋体" w:cs="宋体"/>
          <w:szCs w:val="21"/>
          <w:highlight w:val="none"/>
        </w:rPr>
        <w:t>1. 乙方应在货物发运前对其进行满足运输距离、防潮、防震、防锈和防破损装卸等要求包装，以保证货物安全运达甲方指定地点。</w:t>
      </w:r>
    </w:p>
    <w:p>
      <w:pPr>
        <w:snapToGrid w:val="0"/>
        <w:spacing w:line="400" w:lineRule="exact"/>
        <w:ind w:firstLine="525" w:firstLineChars="250"/>
        <w:rPr>
          <w:rFonts w:ascii="宋体" w:hAnsi="宋体" w:cs="宋体"/>
          <w:szCs w:val="21"/>
          <w:highlight w:val="none"/>
        </w:rPr>
      </w:pPr>
      <w:r>
        <w:rPr>
          <w:rFonts w:hint="eastAsia" w:ascii="宋体" w:hAnsi="宋体" w:cs="宋体"/>
          <w:szCs w:val="21"/>
          <w:highlight w:val="none"/>
        </w:rPr>
        <w:t>2. 使用说明书（货物属于进口产品的，供货时应同时附上中文使用说明书）、质量检验证明书、随配附件和工具以及清单一并附于货物内。</w:t>
      </w:r>
    </w:p>
    <w:p>
      <w:pPr>
        <w:pStyle w:val="22"/>
        <w:snapToGrid w:val="0"/>
        <w:spacing w:line="400" w:lineRule="exact"/>
        <w:ind w:left="420" w:leftChars="200"/>
        <w:rPr>
          <w:rFonts w:hAnsi="宋体" w:cs="宋体"/>
          <w:sz w:val="21"/>
          <w:highlight w:val="none"/>
        </w:rPr>
      </w:pPr>
      <w:r>
        <w:rPr>
          <w:rFonts w:hint="eastAsia" w:hAnsi="宋体" w:cs="宋体"/>
          <w:sz w:val="21"/>
          <w:highlight w:val="none"/>
        </w:rPr>
        <w:t>3. 乙方在货物发运手续办理完毕后二十四小时内或货到甲方四十八小时前通知甲方，以准备接货。</w:t>
      </w:r>
    </w:p>
    <w:p>
      <w:pPr>
        <w:pStyle w:val="22"/>
        <w:snapToGrid w:val="0"/>
        <w:spacing w:line="400" w:lineRule="exact"/>
        <w:ind w:left="420" w:leftChars="200"/>
        <w:rPr>
          <w:rFonts w:hAnsi="宋体" w:cs="宋体"/>
          <w:sz w:val="21"/>
          <w:highlight w:val="none"/>
        </w:rPr>
      </w:pPr>
      <w:r>
        <w:rPr>
          <w:rFonts w:hint="eastAsia" w:hAnsi="宋体" w:cs="宋体"/>
          <w:sz w:val="21"/>
          <w:highlight w:val="none"/>
        </w:rPr>
        <w:t>4. 货物在</w:t>
      </w:r>
      <w:r>
        <w:rPr>
          <w:rFonts w:hint="eastAsia"/>
          <w:sz w:val="21"/>
          <w:highlight w:val="none"/>
        </w:rPr>
        <w:t>验收合格并交付</w:t>
      </w:r>
      <w:r>
        <w:rPr>
          <w:rFonts w:hint="eastAsia" w:hAnsi="宋体" w:cs="宋体"/>
          <w:sz w:val="21"/>
          <w:highlight w:val="none"/>
        </w:rPr>
        <w:t>甲方前发生的风险均由乙方负责。</w:t>
      </w:r>
    </w:p>
    <w:p>
      <w:pPr>
        <w:snapToGrid w:val="0"/>
        <w:spacing w:line="400" w:lineRule="exact"/>
        <w:ind w:left="-61" w:firstLine="514"/>
        <w:rPr>
          <w:rFonts w:ascii="宋体" w:hAnsi="宋体" w:cs="宋体"/>
          <w:szCs w:val="21"/>
          <w:highlight w:val="none"/>
        </w:rPr>
      </w:pPr>
      <w:r>
        <w:rPr>
          <w:rFonts w:hint="eastAsia" w:ascii="宋体" w:hAnsi="宋体" w:cs="宋体"/>
          <w:szCs w:val="21"/>
          <w:highlight w:val="none"/>
        </w:rPr>
        <w:t>5. 货</w:t>
      </w:r>
      <w:r>
        <w:rPr>
          <w:rFonts w:hint="eastAsia" w:ascii="宋体" w:hAnsi="宋体" w:cs="宋体"/>
          <w:spacing w:val="-8"/>
          <w:szCs w:val="21"/>
          <w:highlight w:val="none"/>
        </w:rPr>
        <w:t>物在规定的交付期限内由乙方送达甲方指定的地点视为交付，乙方同时需通知甲方货物已送达。</w:t>
      </w:r>
    </w:p>
    <w:p>
      <w:pPr>
        <w:snapToGrid w:val="0"/>
        <w:spacing w:line="400" w:lineRule="exact"/>
        <w:ind w:firstLine="422" w:firstLineChars="200"/>
        <w:rPr>
          <w:rFonts w:ascii="宋体" w:hAnsi="宋体" w:cs="宋体"/>
          <w:b/>
          <w:szCs w:val="21"/>
          <w:highlight w:val="none"/>
        </w:rPr>
      </w:pPr>
      <w:r>
        <w:rPr>
          <w:rFonts w:hint="eastAsia" w:ascii="宋体" w:hAnsi="宋体" w:cs="宋体"/>
          <w:b/>
          <w:szCs w:val="21"/>
          <w:highlight w:val="none"/>
        </w:rPr>
        <w:t>第十四条　违约责任</w:t>
      </w:r>
    </w:p>
    <w:p>
      <w:pPr>
        <w:snapToGrid w:val="0"/>
        <w:spacing w:line="400" w:lineRule="exact"/>
        <w:ind w:firstLine="525" w:firstLineChars="250"/>
        <w:rPr>
          <w:rFonts w:ascii="宋体" w:hAnsi="宋体" w:cs="宋体"/>
          <w:szCs w:val="21"/>
          <w:highlight w:val="none"/>
        </w:rPr>
      </w:pPr>
      <w:r>
        <w:rPr>
          <w:rFonts w:hint="eastAsia" w:ascii="宋体" w:hAnsi="宋体" w:cs="宋体"/>
          <w:szCs w:val="21"/>
          <w:highlight w:val="none"/>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400" w:lineRule="exact"/>
        <w:ind w:firstLine="472" w:firstLineChars="225"/>
        <w:rPr>
          <w:rFonts w:ascii="宋体" w:hAnsi="宋体" w:cs="宋体"/>
          <w:szCs w:val="21"/>
          <w:highlight w:val="none"/>
        </w:rPr>
      </w:pPr>
      <w:r>
        <w:rPr>
          <w:rFonts w:hint="eastAsia" w:ascii="宋体" w:hAnsi="宋体" w:cs="宋体"/>
          <w:szCs w:val="21"/>
          <w:highlight w:val="none"/>
        </w:rPr>
        <w:t>2、乙方提供的货物如侵犯了第三方合法权益而引发的任何纠纷或诉讼，均由乙方负责交涉并承担全部责任。</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3、因包装、运输引起的货物损坏，</w:t>
      </w:r>
      <w:r>
        <w:rPr>
          <w:rFonts w:hint="eastAsia"/>
          <w:szCs w:val="21"/>
          <w:highlight w:val="none"/>
        </w:rPr>
        <w:t>乙方应负责换货或退货。</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4、甲方无故延期接收货物、乙方逾期交货的，每天向对方偿付违约货款额</w:t>
      </w:r>
      <w:r>
        <w:rPr>
          <w:rFonts w:hint="eastAsia" w:ascii="宋体" w:hAnsi="宋体" w:cs="宋体"/>
          <w:szCs w:val="21"/>
          <w:highlight w:val="none"/>
          <w:u w:val="single"/>
        </w:rPr>
        <w:t>3‰</w:t>
      </w:r>
      <w:r>
        <w:rPr>
          <w:rFonts w:hint="eastAsia" w:ascii="宋体" w:hAnsi="宋体" w:cs="宋体"/>
          <w:szCs w:val="21"/>
          <w:highlight w:val="none"/>
        </w:rPr>
        <w:t>违约金，但违约金累计不得超过违约货款额</w:t>
      </w:r>
      <w:r>
        <w:rPr>
          <w:rFonts w:hint="eastAsia" w:ascii="宋体" w:hAnsi="宋体" w:cs="宋体"/>
          <w:szCs w:val="21"/>
          <w:highlight w:val="none"/>
          <w:u w:val="single"/>
        </w:rPr>
        <w:t>5%</w:t>
      </w:r>
      <w:r>
        <w:rPr>
          <w:rFonts w:hint="eastAsia" w:ascii="宋体" w:hAnsi="宋体" w:cs="宋体"/>
          <w:szCs w:val="21"/>
          <w:highlight w:val="none"/>
        </w:rPr>
        <w:t>，超过</w:t>
      </w:r>
      <w:r>
        <w:rPr>
          <w:rFonts w:hint="eastAsia" w:ascii="宋体" w:hAnsi="宋体" w:cs="宋体"/>
          <w:szCs w:val="21"/>
          <w:highlight w:val="none"/>
          <w:u w:val="single"/>
        </w:rPr>
        <w:t xml:space="preserve"> 15 </w:t>
      </w:r>
      <w:r>
        <w:rPr>
          <w:rFonts w:hint="eastAsia" w:ascii="宋体" w:hAnsi="宋体" w:cs="宋体"/>
          <w:szCs w:val="21"/>
          <w:highlight w:val="none"/>
        </w:rPr>
        <w:t>天对方有权解除合同，违约方承担因此给对方造成经济损失；甲方延期付货款的，每天向乙方偿付延期货款额</w:t>
      </w:r>
      <w:r>
        <w:rPr>
          <w:rFonts w:hint="eastAsia" w:ascii="宋体" w:hAnsi="宋体" w:cs="宋体"/>
          <w:szCs w:val="21"/>
          <w:highlight w:val="none"/>
          <w:u w:val="single"/>
        </w:rPr>
        <w:t>3‰</w:t>
      </w:r>
      <w:r>
        <w:rPr>
          <w:rFonts w:hint="eastAsia" w:ascii="宋体" w:hAnsi="宋体" w:cs="宋体"/>
          <w:szCs w:val="21"/>
          <w:highlight w:val="none"/>
        </w:rPr>
        <w:t>滞纳金，但滞纳金累计不得超过延期货款额</w:t>
      </w:r>
      <w:r>
        <w:rPr>
          <w:rFonts w:hint="eastAsia" w:ascii="宋体" w:hAnsi="宋体" w:cs="宋体"/>
          <w:szCs w:val="21"/>
          <w:highlight w:val="none"/>
          <w:u w:val="single"/>
        </w:rPr>
        <w:t>5%</w:t>
      </w:r>
      <w:r>
        <w:rPr>
          <w:rFonts w:hint="eastAsia" w:ascii="宋体" w:hAnsi="宋体" w:cs="宋体"/>
          <w:szCs w:val="21"/>
          <w:highlight w:val="none"/>
        </w:rPr>
        <w:t>。</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5、乙方未按本合同和投标文件中规定的服务承诺提供售后服务的，乙方应按本合同合计金额</w:t>
      </w:r>
      <w:r>
        <w:rPr>
          <w:rFonts w:hint="eastAsia" w:ascii="宋体" w:hAnsi="宋体" w:cs="宋体"/>
          <w:szCs w:val="21"/>
          <w:highlight w:val="none"/>
          <w:u w:val="single"/>
        </w:rPr>
        <w:t xml:space="preserve"> 5%</w:t>
      </w:r>
      <w:r>
        <w:rPr>
          <w:rFonts w:hint="eastAsia" w:ascii="宋体" w:hAnsi="宋体" w:cs="宋体"/>
          <w:szCs w:val="21"/>
          <w:highlight w:val="none"/>
        </w:rPr>
        <w:t>向甲方支付违约金。</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6、乙方提供的货物在质量保证期内，因设计、工艺或材料的缺陷和其它质量原因造成的问题，由乙方负责，费用从质量保证金中扣除，不足另补。</w:t>
      </w:r>
    </w:p>
    <w:p>
      <w:pPr>
        <w:snapToGrid w:val="0"/>
        <w:spacing w:line="400" w:lineRule="exact"/>
        <w:ind w:left="-61" w:firstLine="514"/>
        <w:rPr>
          <w:rFonts w:ascii="宋体" w:hAnsi="宋体" w:cs="宋体"/>
          <w:szCs w:val="21"/>
          <w:highlight w:val="none"/>
        </w:rPr>
      </w:pPr>
      <w:r>
        <w:rPr>
          <w:rFonts w:hint="eastAsia" w:ascii="宋体" w:hAnsi="宋体" w:cs="宋体"/>
          <w:szCs w:val="21"/>
          <w:highlight w:val="none"/>
        </w:rPr>
        <w:t>7、其它违约行为按违约货款额5%收取违约金并赔偿经济损失。</w:t>
      </w:r>
    </w:p>
    <w:p>
      <w:pPr>
        <w:pStyle w:val="22"/>
        <w:snapToGrid w:val="0"/>
        <w:spacing w:line="400" w:lineRule="exact"/>
        <w:ind w:firstLine="413" w:firstLineChars="196"/>
        <w:rPr>
          <w:rFonts w:hAnsi="宋体" w:cs="宋体"/>
          <w:b/>
          <w:sz w:val="21"/>
          <w:highlight w:val="none"/>
        </w:rPr>
      </w:pPr>
      <w:r>
        <w:rPr>
          <w:rFonts w:hint="eastAsia" w:hAnsi="宋体" w:cs="宋体"/>
          <w:b/>
          <w:sz w:val="21"/>
          <w:highlight w:val="none"/>
        </w:rPr>
        <w:t>第十五条  不可抗力事件处理</w:t>
      </w:r>
    </w:p>
    <w:p>
      <w:pPr>
        <w:pStyle w:val="22"/>
        <w:snapToGrid w:val="0"/>
        <w:spacing w:line="400" w:lineRule="exact"/>
        <w:ind w:firstLine="420" w:firstLineChars="200"/>
        <w:rPr>
          <w:rFonts w:hAnsi="宋体" w:cs="宋体"/>
          <w:sz w:val="21"/>
          <w:highlight w:val="none"/>
        </w:rPr>
      </w:pPr>
      <w:r>
        <w:rPr>
          <w:rFonts w:hint="eastAsia" w:hAnsi="宋体" w:cs="宋体"/>
          <w:sz w:val="21"/>
          <w:highlight w:val="none"/>
        </w:rPr>
        <w:t>1. 在合同有效期内，任何一方因不可抗力事件导致不能履行合同，则合同履行期可延长，其延长期与不可抗力影响期相同。</w:t>
      </w:r>
    </w:p>
    <w:p>
      <w:pPr>
        <w:pStyle w:val="22"/>
        <w:snapToGrid w:val="0"/>
        <w:spacing w:line="400" w:lineRule="exact"/>
        <w:ind w:firstLine="420" w:firstLineChars="200"/>
        <w:rPr>
          <w:rFonts w:hAnsi="宋体" w:cs="宋体"/>
          <w:sz w:val="21"/>
          <w:highlight w:val="none"/>
        </w:rPr>
      </w:pPr>
      <w:r>
        <w:rPr>
          <w:rFonts w:hint="eastAsia" w:hAnsi="宋体" w:cs="宋体"/>
          <w:sz w:val="21"/>
          <w:highlight w:val="none"/>
        </w:rPr>
        <w:t>2. 不可抗力事件发生后，应立即通知对方，并寄送有关权威机构出具的证明。</w:t>
      </w:r>
    </w:p>
    <w:p>
      <w:pPr>
        <w:snapToGrid w:val="0"/>
        <w:spacing w:line="400" w:lineRule="exact"/>
        <w:ind w:left="-61" w:firstLine="514"/>
        <w:rPr>
          <w:rFonts w:ascii="宋体" w:hAnsi="宋体" w:cs="宋体"/>
          <w:szCs w:val="21"/>
          <w:highlight w:val="none"/>
        </w:rPr>
      </w:pPr>
      <w:r>
        <w:rPr>
          <w:rFonts w:hint="eastAsia" w:ascii="宋体" w:hAnsi="宋体" w:cs="宋体"/>
          <w:szCs w:val="21"/>
          <w:highlight w:val="none"/>
        </w:rPr>
        <w:t>3. 不可抗力事件延续一百二十天以上，双方应通过友好协商，确定是否继续履行合同。</w:t>
      </w:r>
    </w:p>
    <w:p>
      <w:pPr>
        <w:snapToGrid w:val="0"/>
        <w:spacing w:line="400" w:lineRule="exact"/>
        <w:ind w:firstLine="422" w:firstLineChars="200"/>
        <w:rPr>
          <w:rFonts w:ascii="宋体" w:hAnsi="宋体" w:cs="宋体"/>
          <w:szCs w:val="21"/>
          <w:highlight w:val="none"/>
        </w:rPr>
      </w:pPr>
      <w:r>
        <w:rPr>
          <w:rFonts w:hint="eastAsia" w:ascii="宋体" w:hAnsi="宋体" w:cs="宋体"/>
          <w:b/>
          <w:szCs w:val="21"/>
          <w:highlight w:val="none"/>
        </w:rPr>
        <w:t>第十六条  合同争议解决</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1、因货物质量问题发生争议的，应邀请国家认可的质量检测机构对货物质量进行鉴定。货物符合标准的，鉴定费由甲方承担；货物不符合标准的，鉴定费由乙方承担。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2、因履行本合同引起的或与本合同有关的争议，甲乙双方应首先通过友好协商解决，如果协商不能解决，</w:t>
      </w:r>
      <w:r>
        <w:rPr>
          <w:rFonts w:hint="eastAsia"/>
          <w:szCs w:val="21"/>
          <w:highlight w:val="none"/>
        </w:rPr>
        <w:t>可向防城港仲裁委员会提起仲裁。</w:t>
      </w:r>
    </w:p>
    <w:p>
      <w:pPr>
        <w:snapToGrid w:val="0"/>
        <w:spacing w:line="400" w:lineRule="exact"/>
        <w:ind w:left="-61" w:firstLine="514"/>
        <w:rPr>
          <w:rFonts w:ascii="宋体" w:hAnsi="宋体" w:cs="宋体"/>
          <w:szCs w:val="21"/>
          <w:highlight w:val="none"/>
        </w:rPr>
      </w:pPr>
      <w:r>
        <w:rPr>
          <w:rFonts w:hint="eastAsia" w:ascii="宋体" w:hAnsi="宋体" w:cs="宋体"/>
          <w:szCs w:val="21"/>
          <w:highlight w:val="none"/>
        </w:rPr>
        <w:t>3、诉讼或仲裁期间，本合同继续履行。</w:t>
      </w:r>
    </w:p>
    <w:p>
      <w:pPr>
        <w:pStyle w:val="22"/>
        <w:snapToGrid w:val="0"/>
        <w:spacing w:line="400" w:lineRule="exact"/>
        <w:ind w:firstLine="413" w:firstLineChars="196"/>
        <w:rPr>
          <w:rFonts w:hAnsi="宋体" w:cs="宋体"/>
          <w:b/>
          <w:sz w:val="21"/>
          <w:highlight w:val="none"/>
        </w:rPr>
      </w:pPr>
      <w:r>
        <w:rPr>
          <w:rFonts w:hint="eastAsia" w:hAnsi="宋体" w:cs="宋体"/>
          <w:b/>
          <w:sz w:val="21"/>
          <w:highlight w:val="none"/>
        </w:rPr>
        <w:t>第十七条  合同生效及其它</w:t>
      </w:r>
    </w:p>
    <w:p>
      <w:pPr>
        <w:pStyle w:val="22"/>
        <w:snapToGrid w:val="0"/>
        <w:spacing w:line="400" w:lineRule="exact"/>
        <w:ind w:firstLine="420" w:firstLineChars="200"/>
        <w:rPr>
          <w:rFonts w:hAnsi="宋体" w:cs="宋体"/>
          <w:sz w:val="21"/>
          <w:highlight w:val="none"/>
        </w:rPr>
      </w:pPr>
      <w:r>
        <w:rPr>
          <w:rFonts w:hint="eastAsia" w:hAnsi="宋体" w:cs="宋体"/>
          <w:sz w:val="21"/>
          <w:highlight w:val="none"/>
        </w:rPr>
        <w:t>1. 合同经双方法定代表人（负责人）或被授权代表签字并加盖单位公章后生效。</w:t>
      </w:r>
    </w:p>
    <w:p>
      <w:pPr>
        <w:pStyle w:val="22"/>
        <w:snapToGrid w:val="0"/>
        <w:spacing w:line="400" w:lineRule="exact"/>
        <w:ind w:firstLine="420" w:firstLineChars="200"/>
        <w:rPr>
          <w:rFonts w:hAnsi="宋体" w:cs="宋体"/>
          <w:sz w:val="21"/>
          <w:highlight w:val="none"/>
        </w:rPr>
      </w:pPr>
      <w:r>
        <w:rPr>
          <w:rFonts w:hint="eastAsia" w:hAnsi="宋体" w:cs="宋体"/>
          <w:sz w:val="21"/>
          <w:highlight w:val="none"/>
        </w:rPr>
        <w:t>2.合同执行中涉及采购资金和采购内容修改或补充的，须经财政部门审批，并签书面补充协议报财政部门备案，方可作为主合同不可分割的一部分。</w:t>
      </w:r>
    </w:p>
    <w:p>
      <w:pPr>
        <w:pStyle w:val="22"/>
        <w:snapToGrid w:val="0"/>
        <w:spacing w:line="400" w:lineRule="exact"/>
        <w:ind w:left="420" w:leftChars="200"/>
        <w:rPr>
          <w:rFonts w:hAnsi="宋体" w:cs="宋体"/>
          <w:sz w:val="21"/>
          <w:highlight w:val="none"/>
        </w:rPr>
      </w:pPr>
      <w:r>
        <w:rPr>
          <w:rFonts w:hint="eastAsia" w:hAnsi="宋体" w:cs="宋体"/>
          <w:sz w:val="21"/>
          <w:highlight w:val="none"/>
        </w:rPr>
        <w:t>3.本合同未尽事宜，遵照《合同法》有关条文执行。</w:t>
      </w:r>
    </w:p>
    <w:p>
      <w:pPr>
        <w:snapToGrid w:val="0"/>
        <w:spacing w:line="400" w:lineRule="exact"/>
        <w:ind w:firstLine="422" w:firstLineChars="200"/>
        <w:rPr>
          <w:rFonts w:ascii="宋体" w:hAnsi="宋体" w:cs="宋体"/>
          <w:b/>
          <w:szCs w:val="21"/>
          <w:highlight w:val="none"/>
        </w:rPr>
      </w:pPr>
      <w:r>
        <w:rPr>
          <w:rFonts w:hint="eastAsia" w:ascii="宋体" w:hAnsi="宋体" w:cs="宋体"/>
          <w:b/>
          <w:szCs w:val="21"/>
          <w:highlight w:val="none"/>
        </w:rPr>
        <w:t>第十八条　合同的变更、终止与转让</w:t>
      </w:r>
    </w:p>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1、除《中华人民共和国政府采购法》第五十条规定的情形外，本合同一经签订，甲乙双方不得擅自变更、中止或终止。</w:t>
      </w:r>
    </w:p>
    <w:p>
      <w:pPr>
        <w:snapToGrid w:val="0"/>
        <w:spacing w:line="400" w:lineRule="exact"/>
        <w:ind w:left="-61" w:firstLine="514"/>
        <w:rPr>
          <w:rFonts w:ascii="宋体" w:hAnsi="宋体" w:cs="宋体"/>
          <w:szCs w:val="21"/>
          <w:highlight w:val="none"/>
        </w:rPr>
      </w:pPr>
      <w:r>
        <w:rPr>
          <w:rFonts w:hint="eastAsia" w:ascii="宋体" w:hAnsi="宋体" w:cs="宋体"/>
          <w:szCs w:val="21"/>
          <w:highlight w:val="none"/>
        </w:rPr>
        <w:t>2、乙方不得擅自转让（无进口资格的供应商委托进口货物除外）其应履行的合同义务。</w:t>
      </w:r>
    </w:p>
    <w:p>
      <w:pPr>
        <w:snapToGrid w:val="0"/>
        <w:spacing w:line="400" w:lineRule="exact"/>
        <w:ind w:firstLine="422" w:firstLineChars="200"/>
        <w:rPr>
          <w:rFonts w:ascii="宋体" w:hAnsi="宋体" w:cs="宋体"/>
          <w:b/>
          <w:szCs w:val="21"/>
          <w:highlight w:val="none"/>
        </w:rPr>
      </w:pPr>
      <w:r>
        <w:rPr>
          <w:rFonts w:hint="eastAsia" w:ascii="宋体" w:hAnsi="宋体" w:cs="宋体"/>
          <w:b/>
          <w:szCs w:val="21"/>
          <w:highlight w:val="none"/>
        </w:rPr>
        <w:t>第十九条　签订本合同依据</w:t>
      </w:r>
    </w:p>
    <w:p>
      <w:pPr>
        <w:pStyle w:val="22"/>
        <w:snapToGrid w:val="0"/>
        <w:spacing w:line="400" w:lineRule="exact"/>
        <w:ind w:left="420" w:leftChars="200"/>
        <w:rPr>
          <w:rFonts w:hAnsi="宋体" w:cs="宋体"/>
          <w:sz w:val="21"/>
          <w:highlight w:val="none"/>
        </w:rPr>
      </w:pPr>
      <w:r>
        <w:rPr>
          <w:rFonts w:hint="eastAsia" w:hAnsi="宋体" w:cs="宋体"/>
          <w:sz w:val="21"/>
          <w:highlight w:val="none"/>
        </w:rPr>
        <w:t>1、政府采购招标文件；</w:t>
      </w:r>
    </w:p>
    <w:p>
      <w:pPr>
        <w:pStyle w:val="22"/>
        <w:snapToGrid w:val="0"/>
        <w:spacing w:line="400" w:lineRule="exact"/>
        <w:ind w:left="420" w:leftChars="200"/>
        <w:rPr>
          <w:rFonts w:hAnsi="宋体" w:cs="宋体"/>
          <w:sz w:val="21"/>
          <w:highlight w:val="none"/>
        </w:rPr>
      </w:pPr>
      <w:r>
        <w:rPr>
          <w:rFonts w:hint="eastAsia" w:hAnsi="宋体" w:cs="宋体"/>
          <w:sz w:val="21"/>
          <w:highlight w:val="none"/>
        </w:rPr>
        <w:t>2、乙方提供的采购投标（或应答）文件；</w:t>
      </w:r>
    </w:p>
    <w:p>
      <w:pPr>
        <w:pStyle w:val="22"/>
        <w:snapToGrid w:val="0"/>
        <w:spacing w:line="400" w:lineRule="exact"/>
        <w:ind w:left="420" w:leftChars="200"/>
        <w:rPr>
          <w:rFonts w:hAnsi="宋体" w:cs="宋体"/>
          <w:sz w:val="21"/>
          <w:highlight w:val="none"/>
        </w:rPr>
      </w:pPr>
      <w:r>
        <w:rPr>
          <w:rFonts w:hint="eastAsia" w:hAnsi="宋体" w:cs="宋体"/>
          <w:sz w:val="21"/>
          <w:highlight w:val="none"/>
        </w:rPr>
        <w:t>3、投标承诺书；</w:t>
      </w:r>
    </w:p>
    <w:p>
      <w:pPr>
        <w:pStyle w:val="22"/>
        <w:snapToGrid w:val="0"/>
        <w:spacing w:line="400" w:lineRule="exact"/>
        <w:ind w:left="420" w:leftChars="200"/>
        <w:rPr>
          <w:rFonts w:hAnsi="宋体" w:cs="宋体"/>
          <w:b/>
          <w:sz w:val="21"/>
          <w:highlight w:val="none"/>
        </w:rPr>
      </w:pPr>
      <w:r>
        <w:rPr>
          <w:rFonts w:hint="eastAsia" w:hAnsi="宋体" w:cs="宋体"/>
          <w:sz w:val="21"/>
          <w:highlight w:val="none"/>
        </w:rPr>
        <w:t>4、中标或成交通知书。</w:t>
      </w:r>
    </w:p>
    <w:p>
      <w:pPr>
        <w:snapToGrid w:val="0"/>
        <w:spacing w:line="400" w:lineRule="exact"/>
        <w:ind w:firstLine="422" w:firstLineChars="200"/>
        <w:rPr>
          <w:rFonts w:ascii="宋体" w:hAnsi="宋体" w:cs="宋体"/>
          <w:szCs w:val="21"/>
          <w:highlight w:val="none"/>
        </w:rPr>
      </w:pPr>
      <w:r>
        <w:rPr>
          <w:rFonts w:hint="eastAsia" w:ascii="宋体" w:hAnsi="宋体" w:cs="宋体"/>
          <w:b/>
          <w:szCs w:val="21"/>
          <w:highlight w:val="none"/>
        </w:rPr>
        <w:t>第二十条　</w:t>
      </w:r>
      <w:r>
        <w:rPr>
          <w:rFonts w:hint="eastAsia" w:ascii="宋体" w:hAnsi="宋体" w:cs="宋体"/>
          <w:szCs w:val="21"/>
          <w:highlight w:val="none"/>
        </w:rPr>
        <w:t>本合同一式七份，具有同等法律效力，财政部门（政府采购监管部门）、市公共资源交易中心、采购代理机构各一份，甲乙双方各两份（可根据需要另增加），本合同甲乙双方签字盖章后生效。</w:t>
      </w:r>
    </w:p>
    <w:tbl>
      <w:tblPr>
        <w:tblStyle w:val="35"/>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4"/>
        <w:gridCol w:w="4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734" w:type="dxa"/>
            <w:vAlign w:val="center"/>
          </w:tcPr>
          <w:p>
            <w:pPr>
              <w:snapToGrid w:val="0"/>
              <w:spacing w:line="400" w:lineRule="exact"/>
              <w:rPr>
                <w:rFonts w:ascii="宋体" w:hAnsi="宋体" w:cs="宋体"/>
                <w:szCs w:val="21"/>
                <w:highlight w:val="none"/>
              </w:rPr>
            </w:pPr>
            <w:r>
              <w:rPr>
                <w:rFonts w:hint="eastAsia" w:ascii="宋体" w:hAnsi="宋体" w:cs="宋体"/>
                <w:szCs w:val="21"/>
                <w:highlight w:val="none"/>
              </w:rPr>
              <w:t xml:space="preserve">甲方（章）           </w:t>
            </w:r>
          </w:p>
          <w:p>
            <w:pPr>
              <w:snapToGrid w:val="0"/>
              <w:spacing w:line="400" w:lineRule="exact"/>
              <w:rPr>
                <w:rFonts w:ascii="宋体" w:hAnsi="宋体" w:cs="宋体"/>
                <w:szCs w:val="21"/>
                <w:highlight w:val="none"/>
              </w:rPr>
            </w:pPr>
          </w:p>
          <w:p>
            <w:pPr>
              <w:snapToGrid w:val="0"/>
              <w:spacing w:line="400" w:lineRule="exact"/>
              <w:ind w:firstLine="945" w:firstLineChars="450"/>
              <w:jc w:val="right"/>
              <w:rPr>
                <w:rFonts w:ascii="宋体" w:hAnsi="宋体" w:cs="宋体"/>
                <w:szCs w:val="21"/>
                <w:highlight w:val="none"/>
              </w:rPr>
            </w:pPr>
            <w:r>
              <w:rPr>
                <w:rFonts w:hint="eastAsia" w:ascii="宋体" w:hAnsi="宋体" w:cs="宋体"/>
                <w:szCs w:val="21"/>
                <w:highlight w:val="none"/>
              </w:rPr>
              <w:t>年   月   日</w:t>
            </w:r>
          </w:p>
        </w:tc>
        <w:tc>
          <w:tcPr>
            <w:tcW w:w="4734" w:type="dxa"/>
            <w:vAlign w:val="center"/>
          </w:tcPr>
          <w:p>
            <w:pPr>
              <w:snapToGrid w:val="0"/>
              <w:spacing w:line="400" w:lineRule="exact"/>
              <w:rPr>
                <w:rFonts w:ascii="宋体" w:hAnsi="宋体" w:cs="宋体"/>
                <w:szCs w:val="21"/>
                <w:highlight w:val="none"/>
              </w:rPr>
            </w:pPr>
            <w:r>
              <w:rPr>
                <w:rFonts w:hint="eastAsia" w:ascii="宋体" w:hAnsi="宋体" w:cs="宋体"/>
                <w:szCs w:val="21"/>
                <w:highlight w:val="none"/>
              </w:rPr>
              <w:t xml:space="preserve">乙方（章）              </w:t>
            </w:r>
          </w:p>
          <w:p>
            <w:pPr>
              <w:snapToGrid w:val="0"/>
              <w:spacing w:line="400" w:lineRule="exact"/>
              <w:rPr>
                <w:rFonts w:ascii="宋体" w:hAnsi="宋体" w:cs="宋体"/>
                <w:szCs w:val="21"/>
                <w:highlight w:val="none"/>
              </w:rPr>
            </w:pPr>
          </w:p>
          <w:p>
            <w:pPr>
              <w:snapToGrid w:val="0"/>
              <w:spacing w:line="400" w:lineRule="exact"/>
              <w:jc w:val="right"/>
              <w:rPr>
                <w:rFonts w:ascii="宋体" w:hAnsi="宋体" w:cs="宋体"/>
                <w:szCs w:val="21"/>
                <w:highlight w:val="none"/>
              </w:rPr>
            </w:pPr>
            <w:r>
              <w:rPr>
                <w:rFonts w:hint="eastAsia" w:ascii="宋体" w:hAnsi="宋体" w:cs="宋体"/>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734" w:type="dxa"/>
            <w:vAlign w:val="center"/>
          </w:tcPr>
          <w:p>
            <w:pPr>
              <w:snapToGrid w:val="0"/>
              <w:spacing w:line="400" w:lineRule="exact"/>
              <w:rPr>
                <w:rFonts w:ascii="宋体" w:hAnsi="宋体" w:cs="宋体"/>
                <w:szCs w:val="21"/>
                <w:highlight w:val="none"/>
              </w:rPr>
            </w:pPr>
            <w:r>
              <w:rPr>
                <w:rFonts w:hint="eastAsia" w:ascii="宋体" w:hAnsi="宋体" w:cs="宋体"/>
                <w:szCs w:val="21"/>
                <w:highlight w:val="none"/>
              </w:rPr>
              <w:t>单位地址：</w:t>
            </w:r>
          </w:p>
        </w:tc>
        <w:tc>
          <w:tcPr>
            <w:tcW w:w="4734" w:type="dxa"/>
            <w:vAlign w:val="center"/>
          </w:tcPr>
          <w:p>
            <w:pPr>
              <w:snapToGrid w:val="0"/>
              <w:spacing w:line="400" w:lineRule="exact"/>
              <w:rPr>
                <w:rFonts w:ascii="宋体" w:hAnsi="宋体" w:cs="宋体"/>
                <w:szCs w:val="21"/>
                <w:highlight w:val="none"/>
              </w:rPr>
            </w:pPr>
            <w:r>
              <w:rPr>
                <w:rFonts w:hint="eastAsia" w:ascii="宋体" w:hAnsi="宋体" w:cs="宋体"/>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734" w:type="dxa"/>
            <w:vAlign w:val="center"/>
          </w:tcPr>
          <w:p>
            <w:pPr>
              <w:snapToGrid w:val="0"/>
              <w:spacing w:line="400" w:lineRule="exact"/>
              <w:rPr>
                <w:rFonts w:ascii="宋体" w:hAnsi="宋体" w:cs="宋体"/>
                <w:szCs w:val="21"/>
                <w:highlight w:val="none"/>
              </w:rPr>
            </w:pPr>
            <w:r>
              <w:rPr>
                <w:rFonts w:hint="eastAsia" w:ascii="宋体" w:hAnsi="宋体" w:cs="宋体"/>
                <w:szCs w:val="21"/>
                <w:highlight w:val="none"/>
              </w:rPr>
              <w:t>法定代表人（负责人）：</w:t>
            </w:r>
          </w:p>
        </w:tc>
        <w:tc>
          <w:tcPr>
            <w:tcW w:w="4734" w:type="dxa"/>
            <w:vAlign w:val="center"/>
          </w:tcPr>
          <w:p>
            <w:pPr>
              <w:snapToGrid w:val="0"/>
              <w:spacing w:line="400" w:lineRule="exact"/>
              <w:rPr>
                <w:rFonts w:ascii="宋体" w:hAnsi="宋体" w:cs="宋体"/>
                <w:szCs w:val="21"/>
                <w:highlight w:val="none"/>
              </w:rPr>
            </w:pPr>
            <w:r>
              <w:rPr>
                <w:rFonts w:hint="eastAsia" w:ascii="宋体" w:hAnsi="宋体" w:cs="宋体"/>
                <w:szCs w:val="21"/>
                <w:highlight w:val="none"/>
              </w:rPr>
              <w:t>法定代表人（负责人）：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734" w:type="dxa"/>
            <w:vAlign w:val="center"/>
          </w:tcPr>
          <w:p>
            <w:pPr>
              <w:snapToGrid w:val="0"/>
              <w:spacing w:line="400" w:lineRule="exact"/>
              <w:rPr>
                <w:rFonts w:ascii="宋体" w:hAnsi="宋体" w:cs="宋体"/>
                <w:szCs w:val="21"/>
                <w:highlight w:val="none"/>
              </w:rPr>
            </w:pPr>
            <w:r>
              <w:rPr>
                <w:rFonts w:hint="eastAsia" w:ascii="宋体" w:hAnsi="宋体" w:cs="宋体"/>
                <w:szCs w:val="21"/>
                <w:highlight w:val="none"/>
              </w:rPr>
              <w:t>委托代理人：</w:t>
            </w:r>
          </w:p>
        </w:tc>
        <w:tc>
          <w:tcPr>
            <w:tcW w:w="4734" w:type="dxa"/>
            <w:vAlign w:val="center"/>
          </w:tcPr>
          <w:p>
            <w:pPr>
              <w:snapToGrid w:val="0"/>
              <w:spacing w:line="400" w:lineRule="exact"/>
              <w:rPr>
                <w:rFonts w:ascii="宋体" w:hAnsi="宋体" w:cs="宋体"/>
                <w:szCs w:val="21"/>
                <w:highlight w:val="none"/>
              </w:rPr>
            </w:pPr>
            <w:r>
              <w:rPr>
                <w:rFonts w:hint="eastAsia" w:ascii="宋体" w:hAnsi="宋体" w:cs="宋体"/>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734" w:type="dxa"/>
            <w:vAlign w:val="center"/>
          </w:tcPr>
          <w:p>
            <w:pPr>
              <w:snapToGrid w:val="0"/>
              <w:spacing w:line="400" w:lineRule="exact"/>
              <w:rPr>
                <w:rFonts w:ascii="宋体" w:hAnsi="宋体" w:cs="宋体"/>
                <w:szCs w:val="21"/>
                <w:highlight w:val="none"/>
              </w:rPr>
            </w:pPr>
            <w:r>
              <w:rPr>
                <w:rFonts w:hint="eastAsia" w:ascii="宋体" w:hAnsi="宋体" w:cs="宋体"/>
                <w:szCs w:val="21"/>
                <w:highlight w:val="none"/>
              </w:rPr>
              <w:t>电话：</w:t>
            </w:r>
          </w:p>
        </w:tc>
        <w:tc>
          <w:tcPr>
            <w:tcW w:w="4734" w:type="dxa"/>
            <w:vAlign w:val="center"/>
          </w:tcPr>
          <w:p>
            <w:pPr>
              <w:snapToGrid w:val="0"/>
              <w:spacing w:line="400" w:lineRule="exact"/>
              <w:rPr>
                <w:rFonts w:ascii="宋体" w:hAnsi="宋体" w:cs="宋体"/>
                <w:szCs w:val="21"/>
                <w:highlight w:val="none"/>
              </w:rPr>
            </w:pPr>
            <w:r>
              <w:rPr>
                <w:rFonts w:hint="eastAsia" w:ascii="宋体" w:hAnsi="宋体" w:cs="宋体"/>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734" w:type="dxa"/>
            <w:vAlign w:val="center"/>
          </w:tcPr>
          <w:p>
            <w:pPr>
              <w:snapToGrid w:val="0"/>
              <w:spacing w:line="400" w:lineRule="exact"/>
              <w:rPr>
                <w:rFonts w:ascii="宋体" w:hAnsi="宋体" w:cs="宋体"/>
                <w:szCs w:val="21"/>
                <w:highlight w:val="none"/>
              </w:rPr>
            </w:pPr>
            <w:r>
              <w:rPr>
                <w:rFonts w:hint="eastAsia" w:ascii="宋体" w:hAnsi="宋体" w:cs="宋体"/>
                <w:szCs w:val="21"/>
                <w:highlight w:val="none"/>
              </w:rPr>
              <w:t>电子邮箱：</w:t>
            </w:r>
          </w:p>
        </w:tc>
        <w:tc>
          <w:tcPr>
            <w:tcW w:w="4734" w:type="dxa"/>
            <w:vAlign w:val="center"/>
          </w:tcPr>
          <w:p>
            <w:pPr>
              <w:snapToGrid w:val="0"/>
              <w:spacing w:line="400" w:lineRule="exact"/>
              <w:rPr>
                <w:rFonts w:ascii="宋体" w:hAnsi="宋体" w:cs="宋体"/>
                <w:szCs w:val="21"/>
                <w:highlight w:val="none"/>
              </w:rPr>
            </w:pPr>
            <w:r>
              <w:rPr>
                <w:rFonts w:hint="eastAsia" w:ascii="宋体" w:hAnsi="宋体" w:cs="宋体"/>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734" w:type="dxa"/>
            <w:vAlign w:val="center"/>
          </w:tcPr>
          <w:p>
            <w:pPr>
              <w:snapToGrid w:val="0"/>
              <w:spacing w:line="400" w:lineRule="exact"/>
              <w:rPr>
                <w:rFonts w:ascii="宋体" w:hAnsi="宋体" w:cs="宋体"/>
                <w:szCs w:val="21"/>
                <w:highlight w:val="none"/>
              </w:rPr>
            </w:pPr>
            <w:r>
              <w:rPr>
                <w:rFonts w:hint="eastAsia" w:ascii="宋体" w:hAnsi="宋体" w:cs="宋体"/>
                <w:szCs w:val="21"/>
                <w:highlight w:val="none"/>
              </w:rPr>
              <w:t>开户银行：</w:t>
            </w:r>
          </w:p>
        </w:tc>
        <w:tc>
          <w:tcPr>
            <w:tcW w:w="4734" w:type="dxa"/>
            <w:vAlign w:val="center"/>
          </w:tcPr>
          <w:p>
            <w:pPr>
              <w:snapToGrid w:val="0"/>
              <w:spacing w:line="400" w:lineRule="exact"/>
              <w:rPr>
                <w:rFonts w:ascii="宋体" w:hAnsi="宋体" w:cs="宋体"/>
                <w:szCs w:val="21"/>
                <w:highlight w:val="none"/>
              </w:rPr>
            </w:pPr>
            <w:r>
              <w:rPr>
                <w:rFonts w:hint="eastAsia" w:ascii="宋体" w:hAnsi="宋体" w:cs="宋体"/>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734" w:type="dxa"/>
            <w:vAlign w:val="center"/>
          </w:tcPr>
          <w:p>
            <w:pPr>
              <w:snapToGrid w:val="0"/>
              <w:spacing w:line="400" w:lineRule="exact"/>
              <w:rPr>
                <w:rFonts w:ascii="宋体" w:hAnsi="宋体" w:cs="宋体"/>
                <w:szCs w:val="21"/>
                <w:highlight w:val="none"/>
              </w:rPr>
            </w:pPr>
            <w:r>
              <w:rPr>
                <w:rFonts w:hint="eastAsia" w:ascii="宋体" w:hAnsi="宋体" w:cs="宋体"/>
                <w:szCs w:val="21"/>
                <w:highlight w:val="none"/>
              </w:rPr>
              <w:t>账号：</w:t>
            </w:r>
          </w:p>
        </w:tc>
        <w:tc>
          <w:tcPr>
            <w:tcW w:w="4734" w:type="dxa"/>
            <w:vAlign w:val="center"/>
          </w:tcPr>
          <w:p>
            <w:pPr>
              <w:snapToGrid w:val="0"/>
              <w:spacing w:line="400" w:lineRule="exact"/>
              <w:rPr>
                <w:rFonts w:ascii="宋体" w:hAnsi="宋体" w:cs="宋体"/>
                <w:szCs w:val="21"/>
                <w:highlight w:val="none"/>
              </w:rPr>
            </w:pPr>
            <w:r>
              <w:rPr>
                <w:rFonts w:hint="eastAsia" w:ascii="宋体" w:hAnsi="宋体" w:cs="宋体"/>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734" w:type="dxa"/>
            <w:vAlign w:val="center"/>
          </w:tcPr>
          <w:p>
            <w:pPr>
              <w:snapToGrid w:val="0"/>
              <w:spacing w:line="400" w:lineRule="exact"/>
              <w:rPr>
                <w:rFonts w:ascii="宋体" w:hAnsi="宋体" w:cs="宋体"/>
                <w:szCs w:val="21"/>
                <w:highlight w:val="none"/>
              </w:rPr>
            </w:pPr>
            <w:r>
              <w:rPr>
                <w:rFonts w:hint="eastAsia" w:ascii="宋体" w:hAnsi="宋体" w:cs="宋体"/>
                <w:szCs w:val="21"/>
                <w:highlight w:val="none"/>
              </w:rPr>
              <w:t>邮政编码：</w:t>
            </w:r>
          </w:p>
        </w:tc>
        <w:tc>
          <w:tcPr>
            <w:tcW w:w="4734" w:type="dxa"/>
            <w:vAlign w:val="center"/>
          </w:tcPr>
          <w:p>
            <w:pPr>
              <w:snapToGrid w:val="0"/>
              <w:spacing w:line="400" w:lineRule="exact"/>
              <w:rPr>
                <w:rFonts w:ascii="宋体" w:hAnsi="宋体" w:cs="宋体"/>
                <w:szCs w:val="21"/>
                <w:highlight w:val="none"/>
              </w:rPr>
            </w:pPr>
            <w:r>
              <w:rPr>
                <w:rFonts w:hint="eastAsia" w:ascii="宋体" w:hAnsi="宋体" w:cs="宋体"/>
                <w:szCs w:val="21"/>
                <w:highlight w:val="none"/>
              </w:rPr>
              <w:t>邮政编码：</w:t>
            </w:r>
          </w:p>
        </w:tc>
      </w:tr>
    </w:tbl>
    <w:p>
      <w:pPr>
        <w:pStyle w:val="22"/>
        <w:spacing w:line="380" w:lineRule="exact"/>
        <w:rPr>
          <w:rFonts w:hAnsi="宋体" w:cs="宋体"/>
          <w:color w:val="000000"/>
          <w:sz w:val="15"/>
          <w:szCs w:val="15"/>
          <w:highlight w:val="none"/>
        </w:rPr>
      </w:pPr>
      <w:r>
        <w:rPr>
          <w:rFonts w:hint="eastAsia" w:hAnsi="宋体" w:cs="宋体"/>
          <w:b/>
          <w:sz w:val="15"/>
          <w:szCs w:val="15"/>
          <w:highlight w:val="none"/>
        </w:rPr>
        <w:t>此仅为合同书样本，中标单位需根据实际情况和甲方签订相应的合同！</w:t>
      </w:r>
    </w:p>
    <w:p>
      <w:pPr>
        <w:snapToGrid w:val="0"/>
        <w:spacing w:line="360" w:lineRule="auto"/>
        <w:rPr>
          <w:rFonts w:ascii="宋体" w:hAnsi="宋体" w:cs="宋体"/>
          <w:b/>
          <w:sz w:val="28"/>
          <w:szCs w:val="28"/>
          <w:highlight w:val="none"/>
        </w:rPr>
      </w:pPr>
      <w:r>
        <w:rPr>
          <w:rFonts w:hint="eastAsia" w:ascii="宋体" w:hAnsi="宋体" w:cs="宋体"/>
          <w:b/>
          <w:szCs w:val="21"/>
          <w:highlight w:val="none"/>
        </w:rPr>
        <w:br w:type="page"/>
      </w:r>
      <w:r>
        <w:rPr>
          <w:rFonts w:hint="eastAsia" w:ascii="宋体" w:hAnsi="宋体" w:cs="宋体"/>
          <w:b/>
          <w:sz w:val="28"/>
          <w:szCs w:val="28"/>
          <w:highlight w:val="none"/>
        </w:rPr>
        <w:t>合 同 附 件</w:t>
      </w:r>
    </w:p>
    <w:tbl>
      <w:tblPr>
        <w:tblStyle w:val="35"/>
        <w:tblW w:w="9108" w:type="dxa"/>
        <w:tblInd w:w="0" w:type="dxa"/>
        <w:tblLayout w:type="fixed"/>
        <w:tblCellMar>
          <w:top w:w="0" w:type="dxa"/>
          <w:left w:w="108" w:type="dxa"/>
          <w:bottom w:w="0" w:type="dxa"/>
          <w:right w:w="108" w:type="dxa"/>
        </w:tblCellMar>
      </w:tblPr>
      <w:tblGrid>
        <w:gridCol w:w="4554"/>
        <w:gridCol w:w="4554"/>
      </w:tblGrid>
      <w:tr>
        <w:tblPrEx>
          <w:tblCellMar>
            <w:top w:w="0" w:type="dxa"/>
            <w:left w:w="108" w:type="dxa"/>
            <w:bottom w:w="0" w:type="dxa"/>
            <w:right w:w="108" w:type="dxa"/>
          </w:tblCellMar>
        </w:tblPrEx>
        <w:trPr>
          <w:trHeight w:val="1226" w:hRule="atLeast"/>
        </w:trPr>
        <w:tc>
          <w:tcPr>
            <w:tcW w:w="9108" w:type="dxa"/>
            <w:gridSpan w:val="2"/>
            <w:tcBorders>
              <w:top w:val="single" w:color="auto" w:sz="4" w:space="0"/>
              <w:left w:val="single" w:color="auto" w:sz="4" w:space="0"/>
              <w:right w:val="single" w:color="auto" w:sz="4" w:space="0"/>
            </w:tcBorders>
          </w:tcPr>
          <w:p>
            <w:pPr>
              <w:snapToGrid w:val="0"/>
              <w:spacing w:line="400" w:lineRule="exact"/>
              <w:ind w:firstLine="482" w:firstLineChars="200"/>
              <w:rPr>
                <w:rFonts w:ascii="宋体" w:hAnsi="宋体" w:cs="宋体"/>
                <w:b/>
                <w:sz w:val="24"/>
                <w:highlight w:val="none"/>
              </w:rPr>
            </w:pPr>
            <w:r>
              <w:rPr>
                <w:rFonts w:hint="eastAsia" w:ascii="宋体" w:hAnsi="宋体" w:cs="宋体"/>
                <w:b/>
                <w:sz w:val="24"/>
                <w:highlight w:val="none"/>
              </w:rPr>
              <w:t>1、供应商承诺具体事项：</w:t>
            </w:r>
          </w:p>
        </w:tc>
      </w:tr>
      <w:tr>
        <w:tblPrEx>
          <w:tblCellMar>
            <w:top w:w="0" w:type="dxa"/>
            <w:left w:w="108" w:type="dxa"/>
            <w:bottom w:w="0" w:type="dxa"/>
            <w:right w:w="108" w:type="dxa"/>
          </w:tblCellMar>
        </w:tblPrEx>
        <w:trPr>
          <w:trHeight w:val="1228" w:hRule="atLeast"/>
        </w:trPr>
        <w:tc>
          <w:tcPr>
            <w:tcW w:w="9108" w:type="dxa"/>
            <w:gridSpan w:val="2"/>
            <w:tcBorders>
              <w:top w:val="single" w:color="auto" w:sz="4" w:space="0"/>
              <w:left w:val="single" w:color="auto" w:sz="4" w:space="0"/>
              <w:right w:val="single" w:color="auto" w:sz="4" w:space="0"/>
            </w:tcBorders>
          </w:tcPr>
          <w:p>
            <w:pPr>
              <w:snapToGrid w:val="0"/>
              <w:spacing w:line="400" w:lineRule="exact"/>
              <w:ind w:firstLine="482" w:firstLineChars="200"/>
              <w:rPr>
                <w:rFonts w:ascii="宋体" w:hAnsi="宋体" w:cs="宋体"/>
                <w:b/>
                <w:sz w:val="24"/>
                <w:highlight w:val="none"/>
              </w:rPr>
            </w:pPr>
            <w:r>
              <w:rPr>
                <w:rFonts w:hint="eastAsia" w:ascii="宋体" w:hAnsi="宋体" w:cs="宋体"/>
                <w:b/>
                <w:sz w:val="24"/>
                <w:highlight w:val="none"/>
              </w:rPr>
              <w:t>2、售后服务具体事项：</w:t>
            </w:r>
          </w:p>
        </w:tc>
      </w:tr>
      <w:tr>
        <w:tblPrEx>
          <w:tblCellMar>
            <w:top w:w="0" w:type="dxa"/>
            <w:left w:w="108" w:type="dxa"/>
            <w:bottom w:w="0" w:type="dxa"/>
            <w:right w:w="108" w:type="dxa"/>
          </w:tblCellMar>
        </w:tblPrEx>
        <w:trPr>
          <w:trHeight w:val="1088" w:hRule="atLeast"/>
        </w:trPr>
        <w:tc>
          <w:tcPr>
            <w:tcW w:w="9108" w:type="dxa"/>
            <w:gridSpan w:val="2"/>
            <w:tcBorders>
              <w:top w:val="single" w:color="auto" w:sz="4" w:space="0"/>
              <w:left w:val="single" w:color="auto" w:sz="4" w:space="0"/>
              <w:right w:val="single" w:color="auto" w:sz="4" w:space="0"/>
            </w:tcBorders>
          </w:tcPr>
          <w:p>
            <w:pPr>
              <w:snapToGrid w:val="0"/>
              <w:spacing w:line="400" w:lineRule="exact"/>
              <w:ind w:firstLine="482" w:firstLineChars="200"/>
              <w:rPr>
                <w:rFonts w:ascii="宋体" w:hAnsi="宋体" w:cs="宋体"/>
                <w:b/>
                <w:sz w:val="24"/>
                <w:highlight w:val="none"/>
              </w:rPr>
            </w:pPr>
            <w:r>
              <w:rPr>
                <w:rFonts w:hint="eastAsia" w:ascii="宋体" w:hAnsi="宋体" w:cs="宋体"/>
                <w:b/>
                <w:sz w:val="24"/>
                <w:highlight w:val="none"/>
              </w:rPr>
              <w:t>3、保修期责任：</w:t>
            </w:r>
          </w:p>
        </w:tc>
      </w:tr>
      <w:tr>
        <w:tblPrEx>
          <w:tblCellMar>
            <w:top w:w="0" w:type="dxa"/>
            <w:left w:w="108" w:type="dxa"/>
            <w:bottom w:w="0" w:type="dxa"/>
            <w:right w:w="108" w:type="dxa"/>
          </w:tblCellMar>
        </w:tblPrEx>
        <w:trPr>
          <w:trHeight w:val="1360" w:hRule="atLeast"/>
        </w:trPr>
        <w:tc>
          <w:tcPr>
            <w:tcW w:w="9108" w:type="dxa"/>
            <w:gridSpan w:val="2"/>
            <w:tcBorders>
              <w:top w:val="single" w:color="auto" w:sz="4" w:space="0"/>
              <w:left w:val="single" w:color="auto" w:sz="4" w:space="0"/>
              <w:right w:val="single" w:color="auto" w:sz="4" w:space="0"/>
            </w:tcBorders>
          </w:tcPr>
          <w:p>
            <w:pPr>
              <w:snapToGrid w:val="0"/>
              <w:spacing w:line="400" w:lineRule="exact"/>
              <w:ind w:firstLine="482" w:firstLineChars="200"/>
              <w:rPr>
                <w:rFonts w:ascii="宋体" w:hAnsi="宋体" w:cs="宋体"/>
                <w:b/>
                <w:sz w:val="24"/>
                <w:highlight w:val="none"/>
              </w:rPr>
            </w:pPr>
            <w:r>
              <w:rPr>
                <w:rFonts w:hint="eastAsia" w:ascii="宋体" w:hAnsi="宋体" w:cs="宋体"/>
                <w:b/>
                <w:sz w:val="24"/>
                <w:highlight w:val="none"/>
              </w:rPr>
              <w:t>4、其他具体事项：</w:t>
            </w:r>
          </w:p>
        </w:tc>
      </w:tr>
      <w:tr>
        <w:tblPrEx>
          <w:tblCellMar>
            <w:top w:w="0" w:type="dxa"/>
            <w:left w:w="108" w:type="dxa"/>
            <w:bottom w:w="0" w:type="dxa"/>
            <w:right w:w="108" w:type="dxa"/>
          </w:tblCellMar>
        </w:tblPrEx>
        <w:trPr>
          <w:trHeight w:val="1703" w:hRule="atLeast"/>
        </w:trPr>
        <w:tc>
          <w:tcPr>
            <w:tcW w:w="45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2" w:firstLineChars="200"/>
              <w:rPr>
                <w:rFonts w:ascii="宋体" w:hAnsi="宋体" w:cs="宋体"/>
                <w:b/>
                <w:sz w:val="24"/>
                <w:highlight w:val="none"/>
              </w:rPr>
            </w:pPr>
            <w:r>
              <w:rPr>
                <w:rFonts w:hint="eastAsia" w:ascii="宋体" w:hAnsi="宋体" w:cs="宋体"/>
                <w:b/>
                <w:sz w:val="24"/>
                <w:highlight w:val="none"/>
              </w:rPr>
              <w:t>甲方（章）</w:t>
            </w:r>
          </w:p>
          <w:p>
            <w:pPr>
              <w:snapToGrid w:val="0"/>
              <w:spacing w:line="400" w:lineRule="exact"/>
              <w:ind w:firstLine="482" w:firstLineChars="200"/>
              <w:rPr>
                <w:rFonts w:ascii="宋体" w:hAnsi="宋体" w:cs="宋体"/>
                <w:b/>
                <w:sz w:val="24"/>
                <w:highlight w:val="none"/>
              </w:rPr>
            </w:pPr>
          </w:p>
          <w:p>
            <w:pPr>
              <w:snapToGrid w:val="0"/>
              <w:spacing w:line="400" w:lineRule="exact"/>
              <w:rPr>
                <w:rFonts w:ascii="宋体" w:hAnsi="宋体" w:cs="宋体"/>
                <w:b/>
                <w:sz w:val="24"/>
                <w:highlight w:val="none"/>
              </w:rPr>
            </w:pPr>
          </w:p>
          <w:p>
            <w:pPr>
              <w:snapToGrid w:val="0"/>
              <w:spacing w:line="400" w:lineRule="exact"/>
              <w:ind w:firstLine="482" w:firstLineChars="200"/>
              <w:rPr>
                <w:rFonts w:ascii="宋体" w:hAnsi="宋体" w:cs="宋体"/>
                <w:b/>
                <w:sz w:val="24"/>
                <w:highlight w:val="none"/>
              </w:rPr>
            </w:pPr>
            <w:r>
              <w:rPr>
                <w:rFonts w:hint="eastAsia" w:ascii="宋体" w:hAnsi="宋体" w:cs="宋体"/>
                <w:b/>
                <w:sz w:val="24"/>
                <w:highlight w:val="none"/>
              </w:rPr>
              <w:t xml:space="preserve">                 年   月   日 </w:t>
            </w:r>
          </w:p>
        </w:tc>
        <w:tc>
          <w:tcPr>
            <w:tcW w:w="45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2" w:firstLineChars="200"/>
              <w:rPr>
                <w:rFonts w:ascii="宋体" w:hAnsi="宋体" w:cs="宋体"/>
                <w:b/>
                <w:sz w:val="24"/>
                <w:highlight w:val="none"/>
              </w:rPr>
            </w:pPr>
            <w:r>
              <w:rPr>
                <w:rFonts w:hint="eastAsia" w:ascii="宋体" w:hAnsi="宋体" w:cs="宋体"/>
                <w:b/>
                <w:sz w:val="24"/>
                <w:highlight w:val="none"/>
              </w:rPr>
              <w:t>乙方（章）</w:t>
            </w:r>
          </w:p>
          <w:p>
            <w:pPr>
              <w:snapToGrid w:val="0"/>
              <w:spacing w:line="400" w:lineRule="exact"/>
              <w:ind w:firstLine="482" w:firstLineChars="200"/>
              <w:rPr>
                <w:rFonts w:ascii="宋体" w:hAnsi="宋体" w:cs="宋体"/>
                <w:b/>
                <w:sz w:val="24"/>
                <w:highlight w:val="none"/>
              </w:rPr>
            </w:pPr>
          </w:p>
          <w:p>
            <w:pPr>
              <w:snapToGrid w:val="0"/>
              <w:spacing w:line="400" w:lineRule="exact"/>
              <w:rPr>
                <w:rFonts w:ascii="宋体" w:hAnsi="宋体" w:cs="宋体"/>
                <w:b/>
                <w:sz w:val="24"/>
                <w:highlight w:val="none"/>
              </w:rPr>
            </w:pPr>
          </w:p>
          <w:p>
            <w:pPr>
              <w:snapToGrid w:val="0"/>
              <w:spacing w:line="400" w:lineRule="exact"/>
              <w:ind w:firstLine="482" w:firstLineChars="200"/>
              <w:rPr>
                <w:rFonts w:ascii="宋体" w:hAnsi="宋体" w:cs="宋体"/>
                <w:b/>
                <w:sz w:val="24"/>
                <w:highlight w:val="none"/>
              </w:rPr>
            </w:pPr>
            <w:r>
              <w:rPr>
                <w:rFonts w:hint="eastAsia" w:ascii="宋体" w:hAnsi="宋体" w:cs="宋体"/>
                <w:b/>
                <w:sz w:val="24"/>
                <w:highlight w:val="none"/>
              </w:rPr>
              <w:t xml:space="preserve">                年   月   日</w:t>
            </w:r>
          </w:p>
        </w:tc>
      </w:tr>
    </w:tbl>
    <w:p>
      <w:pPr>
        <w:snapToGrid w:val="0"/>
        <w:jc w:val="left"/>
        <w:rPr>
          <w:rFonts w:ascii="宋体" w:hAnsi="宋体" w:cs="宋体"/>
          <w:szCs w:val="21"/>
          <w:highlight w:val="none"/>
        </w:rPr>
      </w:pPr>
      <w:r>
        <w:rPr>
          <w:rFonts w:hint="eastAsia" w:ascii="宋体" w:hAnsi="宋体" w:cs="宋体"/>
          <w:highlight w:val="none"/>
        </w:rPr>
        <w:t xml:space="preserve">  </w:t>
      </w:r>
      <w:r>
        <w:rPr>
          <w:rFonts w:hint="eastAsia" w:ascii="宋体" w:hAnsi="宋体" w:cs="宋体"/>
          <w:szCs w:val="21"/>
          <w:highlight w:val="none"/>
        </w:rPr>
        <w:t xml:space="preserve"> 注：售后服务事项填不下时可另加附页</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r>
        <w:rPr>
          <w:rFonts w:hint="eastAsia"/>
          <w:highlight w:val="none"/>
        </w:rPr>
        <w:br w:type="textWrapping"/>
      </w:r>
      <w:r>
        <w:rPr>
          <w:rFonts w:hint="eastAsia"/>
          <w:highlight w:val="none"/>
        </w:rPr>
        <w:br w:type="textWrapping"/>
      </w:r>
      <w:r>
        <w:rPr>
          <w:rFonts w:hint="eastAsia"/>
          <w:highlight w:val="none"/>
        </w:rPr>
        <w:br w:type="textWrapping"/>
      </w:r>
    </w:p>
    <w:p>
      <w:pPr>
        <w:pStyle w:val="6"/>
        <w:rPr>
          <w:highlight w:val="none"/>
        </w:rPr>
      </w:pPr>
      <w:r>
        <w:rPr>
          <w:rFonts w:hint="eastAsia"/>
          <w:highlight w:val="none"/>
        </w:rPr>
        <w:br w:type="page"/>
      </w:r>
      <w:r>
        <w:rPr>
          <w:rFonts w:hint="eastAsia"/>
          <w:highlight w:val="none"/>
        </w:rPr>
        <w:t>第六章　投标文件格式</w:t>
      </w:r>
    </w:p>
    <w:p>
      <w:pPr>
        <w:jc w:val="center"/>
        <w:rPr>
          <w:rFonts w:ascii="宋体" w:hAnsi="宋体"/>
          <w:szCs w:val="21"/>
          <w:highlight w:val="none"/>
        </w:rPr>
      </w:pPr>
    </w:p>
    <w:p>
      <w:pPr>
        <w:pStyle w:val="22"/>
        <w:spacing w:line="380" w:lineRule="exact"/>
        <w:ind w:firstLine="420"/>
        <w:jc w:val="center"/>
        <w:rPr>
          <w:rFonts w:hAnsi="宋体"/>
          <w:b/>
          <w:highlight w:val="none"/>
        </w:rPr>
      </w:pPr>
    </w:p>
    <w:p>
      <w:pPr>
        <w:snapToGrid w:val="0"/>
        <w:spacing w:before="120" w:beforeLines="50" w:after="50" w:line="440" w:lineRule="exact"/>
        <w:jc w:val="center"/>
        <w:outlineLvl w:val="1"/>
        <w:rPr>
          <w:rFonts w:ascii="宋体" w:hAnsi="宋体"/>
          <w:b/>
          <w:bCs/>
          <w:szCs w:val="21"/>
          <w:highlight w:val="none"/>
        </w:rPr>
      </w:pPr>
      <w:bookmarkStart w:id="113" w:name="_Toc430110180"/>
      <w:bookmarkStart w:id="114" w:name="_Toc254970556"/>
      <w:bookmarkStart w:id="115" w:name="_Toc254970697"/>
      <w:r>
        <w:rPr>
          <w:rFonts w:hint="eastAsia" w:ascii="宋体" w:hAnsi="宋体"/>
          <w:b/>
          <w:bCs/>
          <w:szCs w:val="21"/>
          <w:highlight w:val="none"/>
        </w:rPr>
        <w:t>一、投标文件外层包装封面格式</w:t>
      </w:r>
      <w:bookmarkEnd w:id="113"/>
      <w:bookmarkEnd w:id="114"/>
      <w:bookmarkEnd w:id="115"/>
    </w:p>
    <w:p>
      <w:pPr>
        <w:snapToGrid w:val="0"/>
        <w:spacing w:before="120" w:beforeLines="50" w:after="50" w:line="440" w:lineRule="exact"/>
        <w:rPr>
          <w:rFonts w:ascii="宋体" w:hAnsi="宋体"/>
          <w:b/>
          <w:szCs w:val="21"/>
          <w:highlight w:val="none"/>
        </w:rPr>
      </w:pPr>
      <w:r>
        <w:rPr>
          <w:rFonts w:hint="eastAsia" w:ascii="宋体" w:hAnsi="宋体"/>
          <w:b/>
          <w:szCs w:val="21"/>
          <w:highlight w:val="none"/>
        </w:rPr>
        <w:t>1.所有投标文件的外包装封面格式：</w:t>
      </w:r>
    </w:p>
    <w:p>
      <w:pPr>
        <w:snapToGrid w:val="0"/>
        <w:spacing w:before="120" w:beforeLines="50" w:after="50" w:line="440" w:lineRule="exact"/>
        <w:rPr>
          <w:rFonts w:ascii="宋体" w:hAnsi="宋体"/>
          <w:szCs w:val="21"/>
          <w:highlight w:val="none"/>
        </w:rPr>
      </w:pPr>
    </w:p>
    <w:p>
      <w:pPr>
        <w:snapToGrid w:val="0"/>
        <w:spacing w:before="120" w:beforeLines="50" w:after="50" w:line="440" w:lineRule="exact"/>
        <w:rPr>
          <w:rFonts w:ascii="宋体" w:hAnsi="宋体"/>
          <w:szCs w:val="21"/>
          <w:highlight w:val="none"/>
        </w:rPr>
      </w:pPr>
    </w:p>
    <w:p>
      <w:pPr>
        <w:snapToGrid w:val="0"/>
        <w:spacing w:before="120" w:beforeLines="50" w:after="50" w:line="440" w:lineRule="exact"/>
        <w:jc w:val="center"/>
        <w:rPr>
          <w:rFonts w:ascii="宋体" w:hAnsi="宋体"/>
          <w:bCs/>
          <w:szCs w:val="21"/>
          <w:highlight w:val="none"/>
        </w:rPr>
      </w:pPr>
    </w:p>
    <w:p>
      <w:pPr>
        <w:snapToGrid w:val="0"/>
        <w:spacing w:before="120" w:beforeLines="50" w:after="50" w:line="440" w:lineRule="exact"/>
        <w:jc w:val="center"/>
        <w:rPr>
          <w:rFonts w:ascii="宋体" w:hAnsi="宋体"/>
          <w:b/>
          <w:bCs/>
          <w:szCs w:val="21"/>
          <w:highlight w:val="none"/>
        </w:rPr>
      </w:pPr>
      <w:r>
        <w:rPr>
          <w:rFonts w:hint="eastAsia" w:ascii="宋体" w:hAnsi="宋体"/>
          <w:b/>
          <w:bCs/>
          <w:szCs w:val="21"/>
          <w:highlight w:val="none"/>
        </w:rPr>
        <w:t>投 标 文 件</w:t>
      </w:r>
    </w:p>
    <w:p>
      <w:pPr>
        <w:snapToGrid w:val="0"/>
        <w:spacing w:before="120" w:beforeLines="50" w:after="50" w:line="440" w:lineRule="exact"/>
        <w:rPr>
          <w:rFonts w:ascii="宋体" w:hAnsi="宋体"/>
          <w:bCs/>
          <w:szCs w:val="21"/>
          <w:highlight w:val="none"/>
        </w:rPr>
      </w:pPr>
    </w:p>
    <w:p>
      <w:pPr>
        <w:snapToGrid w:val="0"/>
        <w:spacing w:before="120" w:beforeLines="50" w:after="50" w:line="440" w:lineRule="exact"/>
        <w:ind w:firstLine="630" w:firstLineChars="300"/>
        <w:rPr>
          <w:rFonts w:ascii="宋体" w:hAnsi="宋体"/>
          <w:bCs/>
          <w:szCs w:val="21"/>
          <w:highlight w:val="none"/>
        </w:rPr>
      </w:pPr>
      <w:r>
        <w:rPr>
          <w:rFonts w:hint="eastAsia" w:ascii="宋体" w:hAnsi="宋体"/>
          <w:bCs/>
          <w:szCs w:val="21"/>
          <w:highlight w:val="none"/>
        </w:rPr>
        <w:t xml:space="preserve">项目名称： </w:t>
      </w:r>
    </w:p>
    <w:p>
      <w:pPr>
        <w:snapToGrid w:val="0"/>
        <w:spacing w:before="120" w:beforeLines="50" w:after="50" w:line="440" w:lineRule="exact"/>
        <w:ind w:firstLine="630" w:firstLineChars="300"/>
        <w:rPr>
          <w:rFonts w:ascii="宋体" w:hAnsi="宋体"/>
          <w:bCs/>
          <w:szCs w:val="21"/>
          <w:highlight w:val="none"/>
        </w:rPr>
      </w:pPr>
      <w:r>
        <w:rPr>
          <w:rFonts w:hint="eastAsia" w:ascii="宋体" w:hAnsi="宋体"/>
          <w:bCs/>
          <w:szCs w:val="21"/>
          <w:highlight w:val="none"/>
        </w:rPr>
        <w:t xml:space="preserve">项目编号： </w:t>
      </w:r>
    </w:p>
    <w:p>
      <w:pPr>
        <w:pStyle w:val="8"/>
        <w:snapToGrid w:val="0"/>
        <w:spacing w:before="50" w:after="50" w:line="440" w:lineRule="exact"/>
        <w:ind w:firstLine="630" w:firstLineChars="300"/>
        <w:rPr>
          <w:rFonts w:ascii="宋体" w:hAnsi="宋体"/>
          <w:bCs/>
          <w:szCs w:val="21"/>
          <w:highlight w:val="none"/>
        </w:rPr>
      </w:pPr>
      <w:r>
        <w:rPr>
          <w:rFonts w:hint="eastAsia" w:ascii="宋体" w:hAnsi="宋体"/>
          <w:bCs/>
          <w:szCs w:val="21"/>
          <w:highlight w:val="none"/>
        </w:rPr>
        <w:t>投标文件名称：资格审查文件、商务/技术文件、报价文件</w:t>
      </w:r>
    </w:p>
    <w:p>
      <w:pPr>
        <w:pStyle w:val="8"/>
        <w:snapToGrid w:val="0"/>
        <w:spacing w:before="50" w:after="50" w:line="440" w:lineRule="exact"/>
        <w:ind w:firstLine="630" w:firstLineChars="300"/>
        <w:rPr>
          <w:rFonts w:ascii="宋体" w:hAnsi="宋体"/>
          <w:bCs/>
          <w:szCs w:val="21"/>
          <w:highlight w:val="none"/>
        </w:rPr>
      </w:pPr>
      <w:r>
        <w:rPr>
          <w:rFonts w:hint="eastAsia" w:ascii="宋体" w:hAnsi="宋体"/>
          <w:bCs/>
          <w:szCs w:val="21"/>
          <w:highlight w:val="none"/>
        </w:rPr>
        <w:t>投标人名称：</w:t>
      </w:r>
    </w:p>
    <w:p>
      <w:pPr>
        <w:pStyle w:val="8"/>
        <w:snapToGrid w:val="0"/>
        <w:spacing w:before="50" w:after="50" w:line="440" w:lineRule="exact"/>
        <w:ind w:firstLine="630" w:firstLineChars="300"/>
        <w:rPr>
          <w:rFonts w:ascii="宋体" w:hAnsi="宋体"/>
          <w:bCs/>
          <w:szCs w:val="21"/>
          <w:highlight w:val="none"/>
        </w:rPr>
      </w:pPr>
      <w:r>
        <w:rPr>
          <w:rFonts w:hint="eastAsia" w:ascii="宋体" w:hAnsi="宋体"/>
          <w:bCs/>
          <w:szCs w:val="21"/>
          <w:highlight w:val="none"/>
        </w:rPr>
        <w:t>投标人地址：</w:t>
      </w:r>
    </w:p>
    <w:p>
      <w:pPr>
        <w:pStyle w:val="8"/>
        <w:snapToGrid w:val="0"/>
        <w:spacing w:before="50" w:after="50" w:line="440" w:lineRule="exact"/>
        <w:ind w:firstLine="630" w:firstLineChars="300"/>
        <w:rPr>
          <w:rFonts w:ascii="宋体" w:hAnsi="宋体"/>
          <w:bCs/>
          <w:szCs w:val="21"/>
          <w:highlight w:val="none"/>
        </w:rPr>
      </w:pPr>
      <w:r>
        <w:rPr>
          <w:rFonts w:hint="eastAsia" w:ascii="宋体" w:hAnsi="宋体"/>
          <w:bCs/>
          <w:szCs w:val="21"/>
          <w:highlight w:val="none"/>
        </w:rPr>
        <w:t>在       年  月  日  时  分之前不得启封</w:t>
      </w:r>
    </w:p>
    <w:p>
      <w:pPr>
        <w:pStyle w:val="8"/>
        <w:snapToGrid w:val="0"/>
        <w:spacing w:before="50" w:after="50" w:line="440" w:lineRule="exact"/>
        <w:ind w:firstLine="630" w:firstLineChars="300"/>
        <w:rPr>
          <w:rFonts w:ascii="宋体" w:hAnsi="宋体"/>
          <w:bCs/>
          <w:szCs w:val="21"/>
          <w:highlight w:val="none"/>
        </w:rPr>
      </w:pPr>
      <w:r>
        <w:rPr>
          <w:rFonts w:hint="eastAsia" w:ascii="宋体" w:hAnsi="宋体"/>
          <w:bCs/>
          <w:szCs w:val="21"/>
          <w:highlight w:val="none"/>
        </w:rPr>
        <w:t>开标时启封</w:t>
      </w:r>
    </w:p>
    <w:p>
      <w:pPr>
        <w:snapToGrid w:val="0"/>
        <w:spacing w:before="120" w:beforeLines="50" w:after="50" w:line="440" w:lineRule="exact"/>
        <w:ind w:firstLine="3570" w:firstLineChars="1700"/>
        <w:rPr>
          <w:rFonts w:ascii="宋体" w:hAnsi="宋体"/>
          <w:bCs/>
          <w:szCs w:val="21"/>
          <w:highlight w:val="none"/>
        </w:rPr>
      </w:pPr>
    </w:p>
    <w:p>
      <w:pPr>
        <w:snapToGrid w:val="0"/>
        <w:spacing w:before="120" w:beforeLines="50" w:after="50" w:line="440" w:lineRule="exact"/>
        <w:ind w:firstLine="645"/>
        <w:jc w:val="center"/>
        <w:rPr>
          <w:rFonts w:ascii="宋体" w:hAnsi="宋体"/>
          <w:bCs/>
          <w:szCs w:val="21"/>
          <w:highlight w:val="none"/>
        </w:rPr>
      </w:pPr>
      <w:r>
        <w:rPr>
          <w:rFonts w:hint="eastAsia" w:ascii="宋体" w:hAnsi="宋体"/>
          <w:bCs/>
          <w:szCs w:val="21"/>
          <w:highlight w:val="none"/>
        </w:rPr>
        <w:t xml:space="preserve">                        年   月   日</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napToGrid w:val="0"/>
        <w:spacing w:before="120" w:beforeLines="50" w:after="50" w:line="440" w:lineRule="exact"/>
        <w:jc w:val="center"/>
        <w:outlineLvl w:val="1"/>
        <w:rPr>
          <w:rFonts w:ascii="宋体" w:hAnsi="宋体"/>
          <w:b/>
          <w:bCs/>
          <w:szCs w:val="21"/>
          <w:highlight w:val="none"/>
        </w:rPr>
      </w:pPr>
      <w:bookmarkStart w:id="116" w:name="_Toc254970698"/>
      <w:bookmarkStart w:id="117" w:name="_Toc254970557"/>
      <w:bookmarkStart w:id="118" w:name="_Toc430110181"/>
      <w:r>
        <w:rPr>
          <w:rFonts w:hint="eastAsia" w:ascii="宋体" w:hAnsi="宋体"/>
          <w:b/>
          <w:bCs/>
          <w:szCs w:val="21"/>
          <w:highlight w:val="none"/>
        </w:rPr>
        <w:t>二、资格审查文件格式</w:t>
      </w:r>
      <w:bookmarkEnd w:id="116"/>
      <w:bookmarkEnd w:id="117"/>
      <w:bookmarkEnd w:id="118"/>
    </w:p>
    <w:p>
      <w:pPr>
        <w:snapToGrid w:val="0"/>
        <w:spacing w:before="120" w:beforeLines="50" w:after="50" w:line="440" w:lineRule="exact"/>
        <w:jc w:val="center"/>
        <w:rPr>
          <w:rFonts w:ascii="宋体" w:hAnsi="宋体"/>
          <w:szCs w:val="21"/>
          <w:highlight w:val="none"/>
        </w:rPr>
      </w:pPr>
    </w:p>
    <w:p>
      <w:pPr>
        <w:snapToGrid w:val="0"/>
        <w:spacing w:before="120" w:beforeLines="50" w:after="50" w:line="440" w:lineRule="exact"/>
        <w:rPr>
          <w:rFonts w:ascii="宋体" w:hAnsi="宋体"/>
          <w:b/>
          <w:bCs/>
          <w:szCs w:val="21"/>
          <w:highlight w:val="none"/>
        </w:rPr>
      </w:pPr>
      <w:r>
        <w:rPr>
          <w:rFonts w:hint="eastAsia" w:ascii="宋体" w:hAnsi="宋体"/>
          <w:b/>
          <w:szCs w:val="21"/>
          <w:highlight w:val="none"/>
        </w:rPr>
        <w:t>2.资格审查</w:t>
      </w:r>
      <w:r>
        <w:rPr>
          <w:rFonts w:hint="eastAsia" w:ascii="宋体" w:hAnsi="宋体"/>
          <w:b/>
          <w:bCs/>
          <w:szCs w:val="21"/>
          <w:highlight w:val="none"/>
        </w:rPr>
        <w:t>文件的外包装封面格式：</w:t>
      </w:r>
    </w:p>
    <w:p>
      <w:pPr>
        <w:snapToGrid w:val="0"/>
        <w:spacing w:before="120" w:beforeLines="50" w:after="50" w:line="440" w:lineRule="exact"/>
        <w:rPr>
          <w:rFonts w:ascii="宋体" w:hAnsi="宋体"/>
          <w:bCs/>
          <w:szCs w:val="21"/>
          <w:highlight w:val="none"/>
        </w:rPr>
      </w:pPr>
    </w:p>
    <w:p>
      <w:pPr>
        <w:snapToGrid w:val="0"/>
        <w:spacing w:before="120" w:beforeLines="50" w:after="50" w:line="440" w:lineRule="exact"/>
        <w:jc w:val="center"/>
        <w:rPr>
          <w:rFonts w:ascii="宋体" w:hAnsi="宋体"/>
          <w:b/>
          <w:bCs/>
          <w:szCs w:val="21"/>
          <w:highlight w:val="none"/>
        </w:rPr>
      </w:pPr>
      <w:r>
        <w:rPr>
          <w:rFonts w:hint="eastAsia" w:ascii="宋体" w:hAnsi="宋体"/>
          <w:b/>
          <w:bCs/>
          <w:szCs w:val="21"/>
          <w:highlight w:val="none"/>
        </w:rPr>
        <w:t>资格审查文件</w:t>
      </w:r>
    </w:p>
    <w:p>
      <w:pPr>
        <w:snapToGrid w:val="0"/>
        <w:spacing w:before="120" w:beforeLines="50" w:after="50" w:line="440" w:lineRule="exact"/>
        <w:rPr>
          <w:rFonts w:ascii="宋体" w:hAnsi="宋体"/>
          <w:bCs/>
          <w:szCs w:val="21"/>
          <w:highlight w:val="none"/>
        </w:rPr>
      </w:pPr>
    </w:p>
    <w:p>
      <w:pPr>
        <w:snapToGrid w:val="0"/>
        <w:spacing w:before="120" w:beforeLines="50" w:after="50" w:line="440" w:lineRule="exact"/>
        <w:ind w:firstLine="630" w:firstLineChars="300"/>
        <w:rPr>
          <w:rFonts w:ascii="宋体" w:hAnsi="宋体"/>
          <w:bCs/>
          <w:szCs w:val="21"/>
          <w:highlight w:val="none"/>
        </w:rPr>
      </w:pPr>
      <w:r>
        <w:rPr>
          <w:rFonts w:hint="eastAsia" w:ascii="宋体" w:hAnsi="宋体"/>
          <w:bCs/>
          <w:szCs w:val="21"/>
          <w:highlight w:val="none"/>
        </w:rPr>
        <w:t xml:space="preserve">项目名称： </w:t>
      </w:r>
    </w:p>
    <w:p>
      <w:pPr>
        <w:snapToGrid w:val="0"/>
        <w:spacing w:before="120" w:beforeLines="50" w:after="50" w:line="440" w:lineRule="exact"/>
        <w:ind w:firstLine="630" w:firstLineChars="300"/>
        <w:rPr>
          <w:rFonts w:ascii="宋体" w:hAnsi="宋体"/>
          <w:bCs/>
          <w:szCs w:val="21"/>
          <w:highlight w:val="none"/>
        </w:rPr>
      </w:pPr>
      <w:r>
        <w:rPr>
          <w:rFonts w:hint="eastAsia" w:ascii="宋体" w:hAnsi="宋体"/>
          <w:bCs/>
          <w:szCs w:val="21"/>
          <w:highlight w:val="none"/>
        </w:rPr>
        <w:t xml:space="preserve">项目编号： </w:t>
      </w:r>
    </w:p>
    <w:p>
      <w:pPr>
        <w:snapToGrid w:val="0"/>
        <w:spacing w:before="120" w:beforeLines="50" w:after="50" w:line="440" w:lineRule="exact"/>
        <w:ind w:firstLine="630" w:firstLineChars="300"/>
        <w:rPr>
          <w:rFonts w:ascii="宋体" w:hAnsi="宋体"/>
          <w:bCs/>
          <w:szCs w:val="21"/>
          <w:highlight w:val="none"/>
        </w:rPr>
      </w:pPr>
      <w:r>
        <w:rPr>
          <w:rFonts w:hint="eastAsia" w:ascii="宋体" w:hAnsi="宋体"/>
          <w:bCs/>
          <w:szCs w:val="21"/>
          <w:highlight w:val="none"/>
        </w:rPr>
        <w:t>投标人名称：</w:t>
      </w:r>
    </w:p>
    <w:p>
      <w:pPr>
        <w:snapToGrid w:val="0"/>
        <w:spacing w:before="120" w:beforeLines="50" w:after="50" w:line="440" w:lineRule="exact"/>
        <w:ind w:firstLine="630" w:firstLineChars="300"/>
        <w:rPr>
          <w:rFonts w:ascii="宋体" w:hAnsi="宋体"/>
          <w:bCs/>
          <w:szCs w:val="21"/>
          <w:highlight w:val="none"/>
        </w:rPr>
      </w:pPr>
      <w:r>
        <w:rPr>
          <w:rFonts w:hint="eastAsia" w:ascii="宋体" w:hAnsi="宋体"/>
          <w:bCs/>
          <w:szCs w:val="21"/>
          <w:highlight w:val="none"/>
        </w:rPr>
        <w:t>投标人地址：</w:t>
      </w:r>
    </w:p>
    <w:p>
      <w:pPr>
        <w:snapToGrid w:val="0"/>
        <w:spacing w:before="120" w:beforeLines="50" w:after="50" w:line="440" w:lineRule="exact"/>
        <w:ind w:firstLine="630" w:firstLineChars="300"/>
        <w:rPr>
          <w:rFonts w:ascii="宋体" w:hAnsi="宋体"/>
          <w:bCs/>
          <w:szCs w:val="21"/>
          <w:highlight w:val="none"/>
        </w:rPr>
      </w:pPr>
      <w:r>
        <w:rPr>
          <w:rFonts w:hint="eastAsia" w:ascii="宋体" w:hAnsi="宋体"/>
          <w:bCs/>
          <w:szCs w:val="21"/>
          <w:highlight w:val="none"/>
        </w:rPr>
        <w:t>在      年  月  日  时  分之前不得启封</w:t>
      </w:r>
    </w:p>
    <w:p>
      <w:pPr>
        <w:pStyle w:val="8"/>
        <w:snapToGrid w:val="0"/>
        <w:spacing w:before="50" w:after="50" w:line="440" w:lineRule="exact"/>
        <w:ind w:firstLine="873" w:firstLineChars="416"/>
        <w:rPr>
          <w:rFonts w:ascii="宋体" w:hAnsi="宋体"/>
          <w:szCs w:val="21"/>
          <w:highlight w:val="none"/>
        </w:rPr>
      </w:pPr>
    </w:p>
    <w:p>
      <w:pPr>
        <w:snapToGrid w:val="0"/>
        <w:spacing w:before="120" w:beforeLines="50" w:after="50" w:line="440" w:lineRule="exact"/>
        <w:ind w:firstLine="645"/>
        <w:jc w:val="center"/>
        <w:rPr>
          <w:rFonts w:ascii="宋体" w:hAnsi="宋体"/>
          <w:szCs w:val="21"/>
          <w:highlight w:val="none"/>
        </w:rPr>
      </w:pPr>
      <w:r>
        <w:rPr>
          <w:rFonts w:hint="eastAsia" w:ascii="宋体" w:hAnsi="宋体"/>
          <w:szCs w:val="21"/>
          <w:highlight w:val="none"/>
        </w:rPr>
        <w:t xml:space="preserve">                        年   月   日</w:t>
      </w: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r>
        <w:rPr>
          <w:rFonts w:hint="eastAsia" w:ascii="宋体" w:hAnsi="宋体"/>
          <w:b/>
          <w:szCs w:val="21"/>
          <w:highlight w:val="none"/>
        </w:rPr>
        <w:t xml:space="preserve">3.资格审查文件封面格式： </w:t>
      </w:r>
    </w:p>
    <w:p>
      <w:pPr>
        <w:snapToGrid w:val="0"/>
        <w:spacing w:before="120" w:beforeLines="50" w:after="50" w:line="440" w:lineRule="exact"/>
        <w:rPr>
          <w:rFonts w:ascii="宋体" w:hAnsi="宋体"/>
          <w:bCs/>
          <w:szCs w:val="21"/>
          <w:highlight w:val="none"/>
        </w:rPr>
      </w:pPr>
      <w:r>
        <w:rPr>
          <w:rFonts w:hint="eastAsia" w:ascii="宋体" w:hAnsi="宋体"/>
          <w:szCs w:val="21"/>
          <w:highlight w:val="none"/>
        </w:rPr>
        <w:t xml:space="preserve">                                                             </w:t>
      </w:r>
      <w:r>
        <w:rPr>
          <w:rFonts w:hint="eastAsia" w:ascii="宋体" w:hAnsi="宋体"/>
          <w:bCs/>
          <w:szCs w:val="21"/>
          <w:highlight w:val="none"/>
        </w:rPr>
        <w:t>正本/或副本</w:t>
      </w:r>
    </w:p>
    <w:p>
      <w:pPr>
        <w:snapToGrid w:val="0"/>
        <w:spacing w:before="120" w:beforeLines="50" w:after="50" w:line="440" w:lineRule="exact"/>
        <w:rPr>
          <w:rFonts w:ascii="宋体" w:hAnsi="宋体"/>
          <w:szCs w:val="21"/>
          <w:highlight w:val="none"/>
        </w:rPr>
      </w:pPr>
    </w:p>
    <w:p>
      <w:pPr>
        <w:snapToGrid w:val="0"/>
        <w:spacing w:before="120" w:beforeLines="50" w:after="50" w:line="440" w:lineRule="exact"/>
        <w:jc w:val="center"/>
        <w:rPr>
          <w:rFonts w:ascii="宋体" w:hAnsi="宋体"/>
          <w:b/>
          <w:bCs/>
          <w:szCs w:val="21"/>
          <w:highlight w:val="none"/>
        </w:rPr>
      </w:pPr>
      <w:r>
        <w:rPr>
          <w:rFonts w:hint="eastAsia" w:ascii="宋体" w:hAnsi="宋体"/>
          <w:b/>
          <w:bCs/>
          <w:szCs w:val="21"/>
          <w:highlight w:val="none"/>
        </w:rPr>
        <w:t>资格审查文件</w:t>
      </w:r>
    </w:p>
    <w:p>
      <w:pPr>
        <w:snapToGrid w:val="0"/>
        <w:spacing w:before="120" w:beforeLines="50" w:after="50" w:line="440" w:lineRule="exact"/>
        <w:rPr>
          <w:rFonts w:ascii="宋体" w:hAnsi="宋体"/>
          <w:bCs/>
          <w:szCs w:val="21"/>
          <w:highlight w:val="none"/>
        </w:rPr>
      </w:pPr>
    </w:p>
    <w:p>
      <w:pPr>
        <w:snapToGrid w:val="0"/>
        <w:spacing w:before="120" w:beforeLines="50" w:after="50" w:line="440" w:lineRule="exact"/>
        <w:ind w:firstLine="630" w:firstLineChars="300"/>
        <w:rPr>
          <w:rFonts w:ascii="宋体" w:hAnsi="宋体"/>
          <w:bCs/>
          <w:szCs w:val="21"/>
          <w:highlight w:val="none"/>
        </w:rPr>
      </w:pPr>
      <w:r>
        <w:rPr>
          <w:rFonts w:hint="eastAsia" w:ascii="宋体" w:hAnsi="宋体"/>
          <w:bCs/>
          <w:szCs w:val="21"/>
          <w:highlight w:val="none"/>
        </w:rPr>
        <w:t xml:space="preserve">项目名称： </w:t>
      </w:r>
    </w:p>
    <w:p>
      <w:pPr>
        <w:snapToGrid w:val="0"/>
        <w:spacing w:before="120" w:beforeLines="50" w:after="50" w:line="440" w:lineRule="exact"/>
        <w:ind w:firstLine="630" w:firstLineChars="300"/>
        <w:rPr>
          <w:rFonts w:ascii="宋体" w:hAnsi="宋体"/>
          <w:bCs/>
          <w:szCs w:val="21"/>
          <w:highlight w:val="none"/>
        </w:rPr>
      </w:pPr>
      <w:r>
        <w:rPr>
          <w:rFonts w:hint="eastAsia" w:ascii="宋体" w:hAnsi="宋体"/>
          <w:bCs/>
          <w:szCs w:val="21"/>
          <w:highlight w:val="none"/>
        </w:rPr>
        <w:t xml:space="preserve">项目编号： </w:t>
      </w:r>
    </w:p>
    <w:p>
      <w:pPr>
        <w:snapToGrid w:val="0"/>
        <w:spacing w:before="120" w:beforeLines="50" w:after="50" w:line="440" w:lineRule="exact"/>
        <w:ind w:firstLine="630" w:firstLineChars="300"/>
        <w:rPr>
          <w:rFonts w:ascii="宋体" w:hAnsi="宋体"/>
          <w:bCs/>
          <w:szCs w:val="21"/>
          <w:highlight w:val="none"/>
        </w:rPr>
      </w:pPr>
      <w:r>
        <w:rPr>
          <w:rFonts w:hint="eastAsia" w:ascii="宋体" w:hAnsi="宋体"/>
          <w:bCs/>
          <w:szCs w:val="21"/>
          <w:highlight w:val="none"/>
        </w:rPr>
        <w:t>投标人名称：</w:t>
      </w:r>
    </w:p>
    <w:p>
      <w:pPr>
        <w:snapToGrid w:val="0"/>
        <w:spacing w:before="120" w:beforeLines="50" w:after="50" w:line="440" w:lineRule="exact"/>
        <w:ind w:firstLine="630" w:firstLineChars="300"/>
        <w:rPr>
          <w:rFonts w:ascii="宋体" w:hAnsi="宋体"/>
          <w:bCs/>
          <w:szCs w:val="21"/>
          <w:highlight w:val="none"/>
        </w:rPr>
      </w:pPr>
      <w:r>
        <w:rPr>
          <w:rFonts w:hint="eastAsia" w:ascii="宋体" w:hAnsi="宋体"/>
          <w:bCs/>
          <w:szCs w:val="21"/>
          <w:highlight w:val="none"/>
        </w:rPr>
        <w:t>投标人地址：</w:t>
      </w:r>
    </w:p>
    <w:p>
      <w:pPr>
        <w:pStyle w:val="8"/>
        <w:snapToGrid w:val="0"/>
        <w:spacing w:before="50" w:after="50" w:line="440" w:lineRule="exact"/>
        <w:ind w:firstLine="840" w:firstLineChars="400"/>
        <w:rPr>
          <w:rFonts w:ascii="宋体" w:hAnsi="宋体"/>
          <w:bCs/>
          <w:szCs w:val="21"/>
          <w:highlight w:val="none"/>
        </w:rPr>
      </w:pPr>
    </w:p>
    <w:p>
      <w:pPr>
        <w:pStyle w:val="8"/>
        <w:snapToGrid w:val="0"/>
        <w:spacing w:before="50" w:after="50" w:line="440" w:lineRule="exact"/>
        <w:ind w:firstLine="840" w:firstLineChars="400"/>
        <w:rPr>
          <w:rFonts w:ascii="宋体" w:hAnsi="宋体"/>
          <w:bCs/>
          <w:szCs w:val="21"/>
          <w:highlight w:val="none"/>
        </w:rPr>
      </w:pPr>
    </w:p>
    <w:p>
      <w:pPr>
        <w:pStyle w:val="8"/>
        <w:snapToGrid w:val="0"/>
        <w:spacing w:before="50" w:after="50" w:line="440" w:lineRule="exact"/>
        <w:ind w:firstLine="840" w:firstLineChars="400"/>
        <w:rPr>
          <w:rFonts w:ascii="宋体" w:hAnsi="宋体"/>
          <w:bCs/>
          <w:szCs w:val="21"/>
          <w:highlight w:val="none"/>
        </w:rPr>
      </w:pPr>
    </w:p>
    <w:p>
      <w:pPr>
        <w:snapToGrid w:val="0"/>
        <w:spacing w:before="120" w:beforeLines="50" w:after="50" w:line="440" w:lineRule="exact"/>
        <w:ind w:firstLine="645"/>
        <w:jc w:val="center"/>
        <w:rPr>
          <w:rFonts w:ascii="宋体" w:hAnsi="宋体"/>
          <w:szCs w:val="21"/>
          <w:highlight w:val="none"/>
        </w:rPr>
      </w:pPr>
      <w:r>
        <w:rPr>
          <w:rFonts w:hint="eastAsia" w:ascii="宋体" w:hAnsi="宋体"/>
          <w:szCs w:val="21"/>
          <w:highlight w:val="none"/>
        </w:rPr>
        <w:t xml:space="preserve">                        年  月  日</w:t>
      </w:r>
    </w:p>
    <w:p>
      <w:pPr>
        <w:snapToGrid w:val="0"/>
        <w:spacing w:before="50" w:after="50" w:line="440" w:lineRule="exact"/>
        <w:rPr>
          <w:rFonts w:ascii="宋体" w:hAnsi="宋体"/>
          <w:szCs w:val="21"/>
          <w:highlight w:val="none"/>
        </w:rPr>
      </w:pPr>
    </w:p>
    <w:p>
      <w:pPr>
        <w:snapToGrid w:val="0"/>
        <w:spacing w:before="50" w:after="50" w:line="440" w:lineRule="exact"/>
        <w:rPr>
          <w:rFonts w:ascii="宋体" w:hAnsi="宋体"/>
          <w:szCs w:val="21"/>
          <w:highlight w:val="none"/>
        </w:rPr>
      </w:pPr>
    </w:p>
    <w:p>
      <w:pPr>
        <w:snapToGrid w:val="0"/>
        <w:spacing w:before="50" w:after="50" w:line="440" w:lineRule="exact"/>
        <w:rPr>
          <w:rFonts w:ascii="宋体" w:hAnsi="宋体"/>
          <w:szCs w:val="21"/>
          <w:highlight w:val="none"/>
        </w:rPr>
      </w:pPr>
    </w:p>
    <w:p>
      <w:pPr>
        <w:snapToGrid w:val="0"/>
        <w:spacing w:before="50" w:after="50" w:line="440" w:lineRule="exact"/>
        <w:rPr>
          <w:rFonts w:ascii="宋体" w:hAnsi="宋体"/>
          <w:szCs w:val="21"/>
          <w:highlight w:val="none"/>
        </w:rPr>
      </w:pPr>
    </w:p>
    <w:p>
      <w:pPr>
        <w:snapToGrid w:val="0"/>
        <w:spacing w:before="50" w:after="50" w:line="440" w:lineRule="exact"/>
        <w:rPr>
          <w:rFonts w:ascii="宋体" w:hAnsi="宋体"/>
          <w:szCs w:val="21"/>
          <w:highlight w:val="none"/>
        </w:rPr>
      </w:pPr>
    </w:p>
    <w:p>
      <w:pPr>
        <w:snapToGrid w:val="0"/>
        <w:spacing w:before="50" w:after="50" w:line="440" w:lineRule="exact"/>
        <w:rPr>
          <w:rFonts w:ascii="宋体" w:hAnsi="宋体"/>
          <w:szCs w:val="21"/>
          <w:highlight w:val="none"/>
        </w:rPr>
      </w:pPr>
    </w:p>
    <w:p>
      <w:pPr>
        <w:snapToGrid w:val="0"/>
        <w:spacing w:before="50" w:after="50" w:line="440" w:lineRule="exact"/>
        <w:rPr>
          <w:rFonts w:ascii="宋体" w:hAnsi="宋体"/>
          <w:szCs w:val="21"/>
          <w:highlight w:val="none"/>
        </w:rPr>
      </w:pPr>
    </w:p>
    <w:p>
      <w:pPr>
        <w:snapToGrid w:val="0"/>
        <w:spacing w:before="50" w:after="50" w:line="440" w:lineRule="exact"/>
        <w:rPr>
          <w:rFonts w:ascii="宋体" w:hAnsi="宋体"/>
          <w:szCs w:val="21"/>
          <w:highlight w:val="none"/>
        </w:rPr>
      </w:pPr>
    </w:p>
    <w:p>
      <w:pPr>
        <w:snapToGrid w:val="0"/>
        <w:spacing w:before="50" w:after="50" w:line="440" w:lineRule="exact"/>
        <w:rPr>
          <w:rFonts w:ascii="宋体" w:hAnsi="宋体"/>
          <w:szCs w:val="21"/>
          <w:highlight w:val="none"/>
        </w:rPr>
      </w:pPr>
    </w:p>
    <w:p>
      <w:pPr>
        <w:snapToGrid w:val="0"/>
        <w:spacing w:before="50" w:after="50" w:line="440" w:lineRule="exact"/>
        <w:rPr>
          <w:rFonts w:ascii="宋体" w:hAnsi="宋体"/>
          <w:szCs w:val="21"/>
          <w:highlight w:val="none"/>
        </w:rPr>
      </w:pPr>
    </w:p>
    <w:p>
      <w:pPr>
        <w:snapToGrid w:val="0"/>
        <w:spacing w:before="50" w:after="50" w:line="440" w:lineRule="exact"/>
        <w:rPr>
          <w:rFonts w:ascii="宋体" w:hAnsi="宋体"/>
          <w:szCs w:val="21"/>
          <w:highlight w:val="none"/>
        </w:rPr>
      </w:pPr>
    </w:p>
    <w:p>
      <w:pPr>
        <w:snapToGrid w:val="0"/>
        <w:spacing w:before="50" w:after="50" w:line="440" w:lineRule="exact"/>
        <w:rPr>
          <w:rFonts w:ascii="宋体" w:hAnsi="宋体"/>
          <w:szCs w:val="21"/>
          <w:highlight w:val="none"/>
        </w:rPr>
      </w:pPr>
    </w:p>
    <w:p>
      <w:pPr>
        <w:snapToGrid w:val="0"/>
        <w:spacing w:before="50" w:after="50" w:line="440" w:lineRule="exact"/>
        <w:rPr>
          <w:rFonts w:ascii="宋体" w:hAnsi="宋体"/>
          <w:szCs w:val="21"/>
          <w:highlight w:val="none"/>
        </w:rPr>
      </w:pPr>
    </w:p>
    <w:p>
      <w:pPr>
        <w:snapToGrid w:val="0"/>
        <w:spacing w:before="50" w:after="50" w:line="440" w:lineRule="exact"/>
        <w:rPr>
          <w:rFonts w:ascii="宋体" w:hAnsi="宋体"/>
          <w:szCs w:val="21"/>
          <w:highlight w:val="none"/>
        </w:rPr>
      </w:pPr>
    </w:p>
    <w:p>
      <w:pPr>
        <w:snapToGrid w:val="0"/>
        <w:spacing w:before="50" w:after="50" w:line="440" w:lineRule="exact"/>
        <w:rPr>
          <w:rFonts w:ascii="宋体" w:hAnsi="宋体"/>
          <w:szCs w:val="21"/>
          <w:highlight w:val="none"/>
        </w:rPr>
      </w:pPr>
    </w:p>
    <w:p>
      <w:pPr>
        <w:snapToGrid w:val="0"/>
        <w:spacing w:line="400" w:lineRule="exact"/>
        <w:ind w:firstLine="420" w:firstLineChars="200"/>
        <w:jc w:val="center"/>
        <w:rPr>
          <w:rFonts w:ascii="宋体" w:hAnsi="宋体"/>
          <w:szCs w:val="21"/>
          <w:highlight w:val="none"/>
        </w:rPr>
      </w:pPr>
      <w:r>
        <w:rPr>
          <w:rFonts w:hint="eastAsia" w:ascii="宋体" w:hAnsi="宋体"/>
          <w:szCs w:val="21"/>
          <w:highlight w:val="none"/>
        </w:rPr>
        <w:t>目录</w:t>
      </w:r>
    </w:p>
    <w:p>
      <w:pPr>
        <w:snapToGrid w:val="0"/>
        <w:spacing w:line="400" w:lineRule="exact"/>
        <w:ind w:firstLine="360" w:firstLineChars="200"/>
        <w:jc w:val="right"/>
        <w:rPr>
          <w:rFonts w:ascii="宋体" w:hAnsi="宋体" w:cs="Arial"/>
          <w:bCs/>
          <w:szCs w:val="21"/>
          <w:highlight w:val="none"/>
        </w:rPr>
      </w:pPr>
      <w:r>
        <w:rPr>
          <w:rFonts w:hint="eastAsia" w:ascii="宋体" w:hAnsi="宋体"/>
          <w:sz w:val="18"/>
          <w:szCs w:val="18"/>
          <w:highlight w:val="none"/>
        </w:rPr>
        <w:t>（自行编写页码）</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▲（1）投标声明书 (格式见附件)（必须提供）；</w:t>
      </w:r>
    </w:p>
    <w:p>
      <w:pPr>
        <w:snapToGrid w:val="0"/>
        <w:spacing w:line="340" w:lineRule="exact"/>
        <w:ind w:firstLine="420" w:firstLineChars="200"/>
        <w:jc w:val="left"/>
        <w:rPr>
          <w:rFonts w:ascii="宋体" w:hAnsi="宋体"/>
          <w:szCs w:val="21"/>
          <w:highlight w:val="none"/>
        </w:rPr>
      </w:pPr>
      <w:r>
        <w:rPr>
          <w:rFonts w:hint="eastAsia" w:ascii="宋体" w:hAnsi="宋体"/>
          <w:szCs w:val="21"/>
          <w:highlight w:val="none"/>
        </w:rPr>
        <w:t>▲（2）法定代表人（负责人）完整有效的身份证正反面复印件（必须提供）；</w:t>
      </w:r>
    </w:p>
    <w:p>
      <w:pPr>
        <w:snapToGrid w:val="0"/>
        <w:spacing w:line="340" w:lineRule="exact"/>
        <w:ind w:firstLine="420" w:firstLineChars="200"/>
        <w:jc w:val="left"/>
        <w:rPr>
          <w:rFonts w:ascii="宋体" w:hAnsi="宋体"/>
          <w:szCs w:val="21"/>
          <w:highlight w:val="none"/>
        </w:rPr>
      </w:pPr>
      <w:r>
        <w:rPr>
          <w:rFonts w:hint="eastAsia" w:ascii="宋体" w:hAnsi="宋体"/>
          <w:szCs w:val="21"/>
          <w:highlight w:val="none"/>
        </w:rPr>
        <w:t>▲（3）投标人法定代表人（负责人）授权委托书原件和委托代理人完整有效的身份证正反面复印件（委托代理时必须提供)；</w:t>
      </w:r>
    </w:p>
    <w:p>
      <w:pPr>
        <w:snapToGrid w:val="0"/>
        <w:spacing w:line="400" w:lineRule="exact"/>
        <w:ind w:firstLine="411" w:firstLineChars="196"/>
        <w:jc w:val="left"/>
        <w:rPr>
          <w:rFonts w:ascii="宋体" w:hAnsi="宋体"/>
          <w:szCs w:val="21"/>
          <w:highlight w:val="none"/>
        </w:rPr>
      </w:pPr>
      <w:r>
        <w:rPr>
          <w:rFonts w:hint="eastAsia" w:ascii="宋体" w:hAnsi="宋体"/>
          <w:szCs w:val="21"/>
          <w:highlight w:val="none"/>
        </w:rPr>
        <w:t>▲（4）</w:t>
      </w:r>
      <w:r>
        <w:rPr>
          <w:rFonts w:hint="eastAsia" w:ascii="宋体"/>
          <w:szCs w:val="21"/>
          <w:highlight w:val="none"/>
        </w:rPr>
        <w:t>企业营业执照副本复印件（要求清晰反映经营范围）；（必须提供）</w:t>
      </w:r>
      <w:r>
        <w:rPr>
          <w:rFonts w:hint="eastAsia" w:ascii="宋体" w:hAnsi="宋体"/>
          <w:szCs w:val="21"/>
          <w:highlight w:val="none"/>
        </w:rPr>
        <w:t xml:space="preserve"> </w:t>
      </w:r>
    </w:p>
    <w:p>
      <w:pPr>
        <w:snapToGrid w:val="0"/>
        <w:spacing w:line="400" w:lineRule="exact"/>
        <w:ind w:firstLine="411" w:firstLineChars="196"/>
        <w:jc w:val="left"/>
        <w:rPr>
          <w:rFonts w:ascii="宋体" w:hAnsi="宋体"/>
          <w:szCs w:val="21"/>
          <w:highlight w:val="none"/>
        </w:rPr>
      </w:pPr>
      <w:r>
        <w:rPr>
          <w:rFonts w:hint="eastAsia" w:ascii="宋体" w:hAnsi="宋体"/>
          <w:szCs w:val="21"/>
          <w:highlight w:val="none"/>
        </w:rPr>
        <w:t>▲（5）提供信用中国网站（www.creditchina.gov.cn）“失信被执行人”、“重大税收违法案件当事人名单”及中国政府采购网（www.ccgp.gov.cn）“政府采购严重违法失信行为记录名单”的信用查询记录（必须提供）；</w:t>
      </w:r>
    </w:p>
    <w:p>
      <w:pPr>
        <w:snapToGrid w:val="0"/>
        <w:spacing w:line="400" w:lineRule="exact"/>
        <w:ind w:firstLine="411" w:firstLineChars="196"/>
        <w:jc w:val="left"/>
        <w:rPr>
          <w:rFonts w:ascii="宋体" w:hAnsi="宋体"/>
          <w:szCs w:val="21"/>
          <w:highlight w:val="none"/>
        </w:rPr>
      </w:pPr>
      <w:r>
        <w:rPr>
          <w:rFonts w:hint="eastAsia" w:ascii="宋体" w:hAnsi="宋体"/>
          <w:szCs w:val="21"/>
          <w:highlight w:val="none"/>
        </w:rPr>
        <w:t>▲（6）投标文件递交截止之日前半年内投标人连续三个月依法缴纳税收的凭证复印件。无纳税记录的，应提供投标人所在地税务部门出具的《依法纳税或依法免税证明》复印件（格式自拟，原件备查）；</w:t>
      </w:r>
    </w:p>
    <w:p>
      <w:pPr>
        <w:snapToGrid w:val="0"/>
        <w:spacing w:line="400" w:lineRule="exact"/>
        <w:ind w:firstLine="411" w:firstLineChars="196"/>
        <w:jc w:val="left"/>
        <w:rPr>
          <w:rFonts w:ascii="宋体" w:hAnsi="宋体"/>
          <w:szCs w:val="21"/>
          <w:highlight w:val="none"/>
        </w:rPr>
      </w:pPr>
      <w:r>
        <w:rPr>
          <w:rFonts w:hint="eastAsia" w:ascii="宋体" w:hAnsi="宋体"/>
          <w:szCs w:val="21"/>
          <w:highlight w:val="none"/>
        </w:rPr>
        <w:t>▲（7）投标文件递交截止之日前半年内投标人连续三个月依法缴纳社会保障资金的凭证复印件。无缴费记录的，应提供投标人所在地社保部门出具的《依法缴纳或依法免缴社保费证明》复印件（格式自拟，原件备查）；</w:t>
      </w:r>
    </w:p>
    <w:p>
      <w:pPr>
        <w:snapToGrid w:val="0"/>
        <w:spacing w:line="400" w:lineRule="exact"/>
        <w:ind w:firstLine="411" w:firstLineChars="196"/>
        <w:jc w:val="left"/>
        <w:rPr>
          <w:rFonts w:ascii="宋体" w:hAnsi="宋体"/>
          <w:szCs w:val="21"/>
          <w:highlight w:val="none"/>
        </w:rPr>
      </w:pPr>
      <w:r>
        <w:rPr>
          <w:rFonts w:hint="eastAsia" w:ascii="宋体" w:hAnsi="宋体"/>
          <w:szCs w:val="21"/>
          <w:highlight w:val="none"/>
        </w:rPr>
        <w:t>▲（8）2019年财务状况报告（可以是财务报表或银行资信证明）复印件或有效的第三方具备审计资质的机构出具的审计报告复印件（格式自拟，原件备查）；（新成立不足2年的提供从成立起至今财务状况报告或审计报告）；</w:t>
      </w:r>
    </w:p>
    <w:p>
      <w:pPr>
        <w:snapToGrid w:val="0"/>
        <w:spacing w:line="400" w:lineRule="exact"/>
        <w:ind w:firstLine="210" w:firstLineChars="100"/>
        <w:jc w:val="left"/>
        <w:rPr>
          <w:rFonts w:ascii="宋体" w:hAnsi="宋体"/>
          <w:szCs w:val="21"/>
          <w:highlight w:val="none"/>
        </w:rPr>
      </w:pPr>
      <w:r>
        <w:rPr>
          <w:rFonts w:hint="eastAsia" w:ascii="宋体" w:hAnsi="宋体"/>
          <w:szCs w:val="21"/>
          <w:highlight w:val="none"/>
        </w:rPr>
        <w:t xml:space="preserve">  （9）招标文件要求必须提供的其他材料。</w:t>
      </w:r>
    </w:p>
    <w:p>
      <w:pPr>
        <w:snapToGrid w:val="0"/>
        <w:spacing w:before="50" w:after="120" w:afterLines="50" w:line="440" w:lineRule="exact"/>
        <w:jc w:val="left"/>
        <w:rPr>
          <w:rFonts w:ascii="宋体" w:hAnsi="宋体"/>
          <w:b/>
          <w:szCs w:val="21"/>
          <w:highlight w:val="none"/>
        </w:rPr>
      </w:pPr>
    </w:p>
    <w:p>
      <w:pPr>
        <w:snapToGrid w:val="0"/>
        <w:spacing w:before="50" w:after="120" w:afterLines="50" w:line="440" w:lineRule="exact"/>
        <w:jc w:val="left"/>
        <w:rPr>
          <w:rFonts w:ascii="宋体" w:hAnsi="宋体"/>
          <w:b/>
          <w:szCs w:val="21"/>
          <w:highlight w:val="none"/>
        </w:rPr>
      </w:pPr>
    </w:p>
    <w:p>
      <w:pPr>
        <w:snapToGrid w:val="0"/>
        <w:spacing w:before="50" w:after="120" w:afterLines="50" w:line="400" w:lineRule="exact"/>
        <w:jc w:val="left"/>
        <w:rPr>
          <w:rFonts w:ascii="宋体" w:hAnsi="宋体"/>
          <w:b/>
          <w:szCs w:val="21"/>
          <w:highlight w:val="none"/>
        </w:rPr>
      </w:pPr>
    </w:p>
    <w:p>
      <w:pPr>
        <w:snapToGrid w:val="0"/>
        <w:spacing w:before="50" w:after="120" w:afterLines="50" w:line="400" w:lineRule="exact"/>
        <w:jc w:val="left"/>
        <w:rPr>
          <w:rFonts w:ascii="宋体" w:hAnsi="宋体"/>
          <w:b/>
          <w:szCs w:val="21"/>
          <w:highlight w:val="none"/>
        </w:rPr>
      </w:pPr>
    </w:p>
    <w:p>
      <w:pPr>
        <w:snapToGrid w:val="0"/>
        <w:spacing w:before="50" w:after="120" w:afterLines="50" w:line="400" w:lineRule="exact"/>
        <w:jc w:val="left"/>
        <w:rPr>
          <w:rFonts w:ascii="宋体" w:hAnsi="宋体"/>
          <w:b/>
          <w:szCs w:val="21"/>
          <w:highlight w:val="none"/>
        </w:rPr>
      </w:pPr>
    </w:p>
    <w:p>
      <w:pPr>
        <w:snapToGrid w:val="0"/>
        <w:spacing w:before="50" w:after="120" w:afterLines="50" w:line="400" w:lineRule="exact"/>
        <w:jc w:val="center"/>
        <w:rPr>
          <w:rFonts w:ascii="宋体" w:hAnsi="宋体"/>
          <w:b/>
          <w:szCs w:val="21"/>
          <w:highlight w:val="none"/>
        </w:rPr>
      </w:pPr>
      <w:r>
        <w:rPr>
          <w:rFonts w:hint="eastAsia" w:ascii="宋体" w:hAnsi="宋体"/>
          <w:b/>
          <w:szCs w:val="21"/>
          <w:highlight w:val="none"/>
        </w:rPr>
        <w:br w:type="page"/>
      </w:r>
    </w:p>
    <w:p>
      <w:pPr>
        <w:snapToGrid w:val="0"/>
        <w:spacing w:before="50" w:after="120" w:afterLines="50" w:line="400" w:lineRule="exact"/>
        <w:jc w:val="center"/>
        <w:rPr>
          <w:rFonts w:ascii="宋体" w:hAnsi="宋体"/>
          <w:b/>
          <w:szCs w:val="21"/>
          <w:highlight w:val="none"/>
        </w:rPr>
      </w:pPr>
      <w:r>
        <w:rPr>
          <w:rFonts w:hint="eastAsia" w:ascii="宋体" w:hAnsi="宋体"/>
          <w:b/>
          <w:szCs w:val="21"/>
          <w:highlight w:val="none"/>
        </w:rPr>
        <w:t>（1）投标声明书格式：</w:t>
      </w:r>
    </w:p>
    <w:p>
      <w:pPr>
        <w:snapToGrid w:val="0"/>
        <w:spacing w:before="120" w:beforeLines="50" w:after="50" w:line="360" w:lineRule="exact"/>
        <w:jc w:val="center"/>
        <w:rPr>
          <w:rFonts w:ascii="宋体" w:hAnsi="宋体"/>
          <w:szCs w:val="21"/>
          <w:highlight w:val="none"/>
        </w:rPr>
      </w:pPr>
    </w:p>
    <w:p>
      <w:pPr>
        <w:snapToGrid w:val="0"/>
        <w:spacing w:before="120" w:beforeLines="50" w:after="50" w:line="360" w:lineRule="exact"/>
        <w:rPr>
          <w:rFonts w:ascii="宋体" w:hAnsi="宋体"/>
          <w:szCs w:val="21"/>
          <w:highlight w:val="none"/>
        </w:rPr>
      </w:pPr>
      <w:r>
        <w:rPr>
          <w:rFonts w:hint="eastAsia" w:ascii="宋体" w:hAnsi="宋体"/>
          <w:szCs w:val="21"/>
          <w:highlight w:val="none"/>
        </w:rPr>
        <w:t>致：</w:t>
      </w:r>
      <w:r>
        <w:rPr>
          <w:rFonts w:hint="eastAsia" w:ascii="宋体" w:hAnsi="宋体"/>
          <w:szCs w:val="21"/>
          <w:highlight w:val="none"/>
          <w:u w:val="single"/>
        </w:rPr>
        <w:t xml:space="preserve">              </w:t>
      </w:r>
      <w:r>
        <w:rPr>
          <w:rFonts w:hint="eastAsia" w:ascii="宋体" w:hAnsi="宋体"/>
          <w:szCs w:val="21"/>
          <w:highlight w:val="none"/>
        </w:rPr>
        <w:t>（招标采购单位名称）：</w:t>
      </w:r>
    </w:p>
    <w:p>
      <w:pPr>
        <w:snapToGrid w:val="0"/>
        <w:spacing w:before="120" w:beforeLines="50" w:after="50" w:line="360" w:lineRule="exact"/>
        <w:ind w:firstLine="630" w:firstLineChars="300"/>
        <w:rPr>
          <w:rFonts w:ascii="宋体" w:hAnsi="宋体"/>
          <w:szCs w:val="21"/>
          <w:highlight w:val="none"/>
        </w:rPr>
      </w:pPr>
      <w:r>
        <w:rPr>
          <w:rFonts w:hint="eastAsia" w:ascii="宋体" w:hAnsi="宋体"/>
          <w:szCs w:val="21"/>
          <w:highlight w:val="none"/>
          <w:u w:val="single"/>
        </w:rPr>
        <w:t xml:space="preserve">                </w:t>
      </w:r>
      <w:r>
        <w:rPr>
          <w:rFonts w:hint="eastAsia" w:ascii="宋体" w:hAnsi="宋体"/>
          <w:szCs w:val="21"/>
          <w:highlight w:val="none"/>
        </w:rPr>
        <w:t>（投标人名称）系中华人民共和国合法企业，经营地址</w:t>
      </w:r>
      <w:r>
        <w:rPr>
          <w:rFonts w:hint="eastAsia" w:ascii="宋体" w:hAnsi="宋体"/>
          <w:szCs w:val="21"/>
          <w:highlight w:val="none"/>
          <w:u w:val="single"/>
        </w:rPr>
        <w:t xml:space="preserve">                </w:t>
      </w:r>
      <w:r>
        <w:rPr>
          <w:rFonts w:hint="eastAsia" w:ascii="宋体" w:hAnsi="宋体"/>
          <w:szCs w:val="21"/>
          <w:highlight w:val="none"/>
        </w:rPr>
        <w:t>。</w:t>
      </w:r>
    </w:p>
    <w:p>
      <w:pPr>
        <w:snapToGrid w:val="0"/>
        <w:spacing w:before="120" w:beforeLines="50" w:after="50" w:line="360" w:lineRule="exact"/>
        <w:ind w:firstLine="645"/>
        <w:rPr>
          <w:rFonts w:ascii="宋体" w:hAnsi="宋体"/>
          <w:szCs w:val="21"/>
          <w:highlight w:val="none"/>
        </w:rPr>
      </w:pPr>
      <w:r>
        <w:rPr>
          <w:rFonts w:hint="eastAsia" w:ascii="宋体" w:hAnsi="宋体"/>
          <w:szCs w:val="21"/>
          <w:highlight w:val="none"/>
        </w:rPr>
        <w:t>我</w:t>
      </w:r>
      <w:r>
        <w:rPr>
          <w:rFonts w:hint="eastAsia" w:ascii="宋体" w:hAnsi="宋体"/>
          <w:szCs w:val="21"/>
          <w:highlight w:val="none"/>
          <w:u w:val="single"/>
        </w:rPr>
        <w:t xml:space="preserve">          </w:t>
      </w:r>
      <w:r>
        <w:rPr>
          <w:rFonts w:hint="eastAsia" w:ascii="宋体" w:hAnsi="宋体"/>
          <w:szCs w:val="21"/>
          <w:highlight w:val="none"/>
        </w:rPr>
        <w:t>（姓名）系</w:t>
      </w:r>
      <w:r>
        <w:rPr>
          <w:rFonts w:hint="eastAsia" w:ascii="宋体" w:hAnsi="宋体"/>
          <w:szCs w:val="21"/>
          <w:highlight w:val="none"/>
          <w:u w:val="single"/>
        </w:rPr>
        <w:t xml:space="preserve">             </w:t>
      </w:r>
      <w:r>
        <w:rPr>
          <w:rFonts w:hint="eastAsia" w:ascii="宋体" w:hAnsi="宋体"/>
          <w:szCs w:val="21"/>
          <w:highlight w:val="none"/>
        </w:rPr>
        <w:t>投标人名称）的法定代表人（负责人），我方愿意参加贵方组织的</w:t>
      </w:r>
      <w:r>
        <w:rPr>
          <w:rFonts w:hint="eastAsia" w:ascii="宋体" w:hAnsi="宋体"/>
          <w:szCs w:val="21"/>
          <w:highlight w:val="none"/>
          <w:u w:val="single"/>
        </w:rPr>
        <w:t xml:space="preserve">                      </w:t>
      </w:r>
      <w:r>
        <w:rPr>
          <w:rFonts w:hint="eastAsia" w:ascii="宋体" w:hAnsi="宋体"/>
          <w:szCs w:val="21"/>
          <w:highlight w:val="none"/>
        </w:rPr>
        <w:t>项目的投标，为便于贵方公正、择优地确定中标人及其投标产品和服务，我方就本次投标有关事项郑重声明如下：</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1.我方向贵方提交的所有投标文件、资料都是准确的和真实的。</w:t>
      </w:r>
    </w:p>
    <w:p>
      <w:pPr>
        <w:snapToGrid w:val="0"/>
        <w:spacing w:before="120" w:beforeLines="50" w:line="360" w:lineRule="exact"/>
        <w:ind w:firstLine="420" w:firstLineChars="200"/>
        <w:rPr>
          <w:rFonts w:ascii="宋体" w:hAnsi="宋体"/>
          <w:szCs w:val="21"/>
          <w:highlight w:val="none"/>
        </w:rPr>
      </w:pPr>
      <w:r>
        <w:rPr>
          <w:rFonts w:hint="eastAsia" w:ascii="宋体" w:hAnsi="宋体"/>
          <w:szCs w:val="21"/>
          <w:highlight w:val="none"/>
        </w:rPr>
        <w:t>2.我方不是采购人的附属机构；在获知本项目采购信息后，与采购人聘请的为此项目提供咨询服务的公司及其附属机构没有任何联系。</w:t>
      </w:r>
    </w:p>
    <w:p>
      <w:pPr>
        <w:snapToGrid w:val="0"/>
        <w:spacing w:before="120" w:beforeLines="50" w:line="360" w:lineRule="exact"/>
        <w:ind w:firstLine="420" w:firstLineChars="200"/>
        <w:rPr>
          <w:rFonts w:ascii="宋体" w:hAnsi="宋体"/>
          <w:szCs w:val="21"/>
          <w:highlight w:val="none"/>
        </w:rPr>
      </w:pPr>
      <w:r>
        <w:rPr>
          <w:rFonts w:hint="eastAsia" w:ascii="宋体" w:hAnsi="宋体"/>
          <w:szCs w:val="21"/>
          <w:highlight w:val="none"/>
        </w:rPr>
        <w:t>3.我方诚意提请贵方关注：近期有关该服务产品的服务内容方面的重大决策和事项有：</w:t>
      </w:r>
    </w:p>
    <w:p>
      <w:pPr>
        <w:snapToGrid w:val="0"/>
        <w:spacing w:before="120" w:beforeLines="50" w:line="360" w:lineRule="exact"/>
        <w:ind w:firstLine="420" w:firstLineChars="200"/>
        <w:rPr>
          <w:rFonts w:ascii="宋体" w:hAnsi="宋体"/>
          <w:szCs w:val="21"/>
          <w:highlight w:val="none"/>
          <w:u w:val="single"/>
        </w:rPr>
      </w:pPr>
      <w:r>
        <w:rPr>
          <w:rFonts w:hint="eastAsia" w:ascii="宋体" w:hAnsi="宋体"/>
          <w:szCs w:val="21"/>
          <w:highlight w:val="none"/>
          <w:u w:val="single"/>
        </w:rPr>
        <w:t>　　　　　　　　　　　　　　　　　　　　　　　　　　　</w:t>
      </w:r>
    </w:p>
    <w:p>
      <w:pPr>
        <w:snapToGrid w:val="0"/>
        <w:spacing w:before="120" w:beforeLines="50" w:line="360" w:lineRule="exact"/>
        <w:ind w:firstLine="420" w:firstLineChars="200"/>
        <w:rPr>
          <w:rFonts w:ascii="宋体" w:hAnsi="宋体"/>
          <w:szCs w:val="21"/>
          <w:highlight w:val="none"/>
        </w:rPr>
      </w:pPr>
      <w:r>
        <w:rPr>
          <w:rFonts w:hint="eastAsia" w:ascii="宋体" w:hAnsi="宋体"/>
          <w:szCs w:val="21"/>
          <w:highlight w:val="none"/>
          <w:u w:val="single"/>
        </w:rPr>
        <w:t>　　　　　　　　　　　　　　　　　　　　　　　　　　　</w:t>
      </w:r>
    </w:p>
    <w:p>
      <w:pPr>
        <w:pStyle w:val="19"/>
        <w:snapToGrid w:val="0"/>
        <w:spacing w:line="360" w:lineRule="exact"/>
        <w:ind w:firstLine="420" w:firstLineChars="200"/>
        <w:rPr>
          <w:rFonts w:ascii="宋体" w:hAnsi="宋体" w:eastAsia="宋体"/>
          <w:sz w:val="21"/>
          <w:szCs w:val="21"/>
          <w:highlight w:val="none"/>
        </w:rPr>
      </w:pPr>
      <w:r>
        <w:rPr>
          <w:rFonts w:hint="eastAsia" w:ascii="宋体" w:hAnsi="宋体" w:eastAsia="宋体"/>
          <w:sz w:val="21"/>
          <w:szCs w:val="21"/>
          <w:highlight w:val="none"/>
        </w:rPr>
        <w:t>4.我方及由本人担任法定代表人（负责人）的其他机构最近三年内被通报或者被处罚的违法行为有：</w:t>
      </w:r>
    </w:p>
    <w:p>
      <w:pPr>
        <w:snapToGrid w:val="0"/>
        <w:spacing w:before="120" w:beforeLines="50" w:line="360" w:lineRule="exact"/>
        <w:ind w:firstLine="420" w:firstLineChars="200"/>
        <w:rPr>
          <w:rFonts w:ascii="宋体" w:hAnsi="宋体"/>
          <w:szCs w:val="21"/>
          <w:highlight w:val="none"/>
          <w:u w:val="single"/>
        </w:rPr>
      </w:pPr>
      <w:r>
        <w:rPr>
          <w:rFonts w:hint="eastAsia" w:ascii="宋体" w:hAnsi="宋体"/>
          <w:szCs w:val="21"/>
          <w:highlight w:val="none"/>
          <w:u w:val="single"/>
        </w:rPr>
        <w:t>　　　　　　　　　　　　　　　　　　　　　　　　　　　</w:t>
      </w:r>
    </w:p>
    <w:p>
      <w:pPr>
        <w:snapToGrid w:val="0"/>
        <w:spacing w:before="120" w:beforeLines="50" w:line="360" w:lineRule="exact"/>
        <w:ind w:firstLine="420" w:firstLineChars="200"/>
        <w:rPr>
          <w:rFonts w:ascii="宋体" w:hAnsi="宋体"/>
          <w:szCs w:val="21"/>
          <w:highlight w:val="none"/>
          <w:u w:val="single"/>
        </w:rPr>
      </w:pPr>
      <w:r>
        <w:rPr>
          <w:rFonts w:hint="eastAsia" w:ascii="宋体" w:hAnsi="宋体"/>
          <w:szCs w:val="21"/>
          <w:highlight w:val="none"/>
          <w:u w:val="single"/>
        </w:rPr>
        <w:t>　　　　　　　　　　　　　　　　　　　　　　　　　　　</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5.以上事项如有虚假或隐瞒，我方愿意承担一切后果，并不再寻求任何旨在减轻或免除法律责任的辩解。</w:t>
      </w:r>
    </w:p>
    <w:p>
      <w:pPr>
        <w:pStyle w:val="21"/>
        <w:tabs>
          <w:tab w:val="left" w:pos="939"/>
        </w:tabs>
        <w:snapToGrid w:val="0"/>
        <w:spacing w:line="360" w:lineRule="exact"/>
        <w:ind w:left="716" w:leftChars="150" w:hanging="401" w:hangingChars="191"/>
        <w:rPr>
          <w:rFonts w:ascii="宋体" w:hAnsi="宋体"/>
          <w:sz w:val="21"/>
          <w:szCs w:val="21"/>
          <w:highlight w:val="none"/>
        </w:rPr>
      </w:pPr>
    </w:p>
    <w:p>
      <w:pPr>
        <w:pStyle w:val="86"/>
        <w:snapToGrid w:val="0"/>
        <w:spacing w:before="120" w:beforeLines="50" w:line="360" w:lineRule="exact"/>
        <w:ind w:firstLine="200"/>
        <w:rPr>
          <w:rFonts w:ascii="宋体" w:hAnsi="宋体"/>
          <w:sz w:val="21"/>
          <w:szCs w:val="21"/>
          <w:highlight w:val="none"/>
        </w:rPr>
      </w:pPr>
    </w:p>
    <w:p>
      <w:pPr>
        <w:snapToGrid w:val="0"/>
        <w:spacing w:before="120" w:beforeLines="50" w:line="360" w:lineRule="exact"/>
        <w:ind w:firstLine="3509" w:firstLineChars="1671"/>
        <w:rPr>
          <w:rFonts w:ascii="宋体" w:hAnsi="宋体"/>
          <w:szCs w:val="21"/>
          <w:highlight w:val="none"/>
          <w:u w:val="single"/>
        </w:rPr>
      </w:pPr>
      <w:r>
        <w:rPr>
          <w:rFonts w:hint="eastAsia" w:ascii="宋体" w:hAnsi="宋体"/>
          <w:szCs w:val="21"/>
          <w:highlight w:val="none"/>
        </w:rPr>
        <w:t>法定代表人（负责人）签字：</w:t>
      </w:r>
      <w:r>
        <w:rPr>
          <w:rFonts w:hint="eastAsia" w:ascii="宋体" w:hAnsi="宋体"/>
          <w:szCs w:val="21"/>
          <w:highlight w:val="none"/>
          <w:u w:val="single"/>
        </w:rPr>
        <w:t xml:space="preserve">             </w:t>
      </w:r>
    </w:p>
    <w:p>
      <w:pPr>
        <w:snapToGrid w:val="0"/>
        <w:spacing w:before="120" w:beforeLines="50" w:after="50" w:line="360" w:lineRule="exact"/>
        <w:ind w:firstLine="3570" w:firstLineChars="1700"/>
        <w:rPr>
          <w:rFonts w:ascii="宋体" w:hAnsi="宋体"/>
          <w:szCs w:val="21"/>
          <w:highlight w:val="none"/>
        </w:rPr>
      </w:pPr>
      <w:r>
        <w:rPr>
          <w:rFonts w:hint="eastAsia" w:ascii="宋体" w:hAnsi="宋体"/>
          <w:szCs w:val="21"/>
          <w:highlight w:val="none"/>
        </w:rPr>
        <w:t>投标人公章：</w:t>
      </w:r>
      <w:r>
        <w:rPr>
          <w:rFonts w:hint="eastAsia" w:ascii="宋体" w:hAnsi="宋体"/>
          <w:szCs w:val="21"/>
          <w:highlight w:val="none"/>
          <w:u w:val="single"/>
        </w:rPr>
        <w:t xml:space="preserve">                 </w:t>
      </w:r>
    </w:p>
    <w:p>
      <w:pPr>
        <w:snapToGrid w:val="0"/>
        <w:spacing w:before="120" w:beforeLines="50" w:after="50" w:line="360" w:lineRule="exact"/>
        <w:ind w:firstLine="210" w:firstLineChars="100"/>
        <w:rPr>
          <w:rFonts w:ascii="宋体" w:hAnsi="宋体"/>
          <w:szCs w:val="21"/>
          <w:highlight w:val="none"/>
        </w:rPr>
      </w:pPr>
      <w:r>
        <w:rPr>
          <w:rFonts w:hint="eastAsia" w:ascii="宋体" w:hAnsi="宋体"/>
          <w:szCs w:val="21"/>
          <w:highlight w:val="none"/>
        </w:rPr>
        <w:t xml:space="preserve">                                          年    月    日</w:t>
      </w:r>
    </w:p>
    <w:p>
      <w:pPr>
        <w:snapToGrid w:val="0"/>
        <w:spacing w:before="50" w:after="120" w:afterLines="50" w:line="440" w:lineRule="exact"/>
        <w:jc w:val="left"/>
        <w:rPr>
          <w:rFonts w:ascii="宋体" w:hAnsi="宋体"/>
          <w:b/>
          <w:szCs w:val="21"/>
          <w:highlight w:val="none"/>
        </w:rPr>
      </w:pPr>
    </w:p>
    <w:p>
      <w:pPr>
        <w:snapToGrid w:val="0"/>
        <w:spacing w:before="50" w:after="120" w:afterLines="50" w:line="440" w:lineRule="exact"/>
        <w:jc w:val="left"/>
        <w:rPr>
          <w:rFonts w:ascii="宋体" w:hAnsi="宋体"/>
          <w:b/>
          <w:szCs w:val="21"/>
          <w:highlight w:val="none"/>
        </w:rPr>
      </w:pPr>
    </w:p>
    <w:p>
      <w:pPr>
        <w:snapToGrid w:val="0"/>
        <w:spacing w:before="50" w:after="120" w:afterLines="50" w:line="440" w:lineRule="exact"/>
        <w:jc w:val="left"/>
        <w:rPr>
          <w:rFonts w:ascii="宋体" w:hAnsi="宋体"/>
          <w:b/>
          <w:szCs w:val="21"/>
          <w:highlight w:val="none"/>
        </w:rPr>
      </w:pPr>
    </w:p>
    <w:p>
      <w:pPr>
        <w:snapToGrid w:val="0"/>
        <w:spacing w:before="50" w:after="120" w:afterLines="50" w:line="440" w:lineRule="exact"/>
        <w:jc w:val="left"/>
        <w:rPr>
          <w:rFonts w:ascii="宋体" w:hAnsi="宋体"/>
          <w:b/>
          <w:szCs w:val="21"/>
          <w:highlight w:val="none"/>
        </w:rPr>
      </w:pPr>
    </w:p>
    <w:p>
      <w:pPr>
        <w:snapToGrid w:val="0"/>
        <w:spacing w:before="50" w:after="120" w:afterLines="50" w:line="440" w:lineRule="exact"/>
        <w:jc w:val="left"/>
        <w:rPr>
          <w:rFonts w:ascii="宋体" w:hAnsi="宋体"/>
          <w:b/>
          <w:szCs w:val="21"/>
          <w:highlight w:val="none"/>
        </w:rPr>
      </w:pPr>
    </w:p>
    <w:p>
      <w:pPr>
        <w:rPr>
          <w:rFonts w:ascii="宋体" w:hAnsi="宋体"/>
          <w:b/>
          <w:szCs w:val="21"/>
          <w:highlight w:val="none"/>
        </w:rPr>
      </w:pPr>
      <w:r>
        <w:rPr>
          <w:rFonts w:hint="eastAsia" w:ascii="宋体" w:hAnsi="宋体"/>
          <w:b/>
          <w:szCs w:val="21"/>
          <w:highlight w:val="none"/>
        </w:rPr>
        <w:br w:type="page"/>
      </w:r>
    </w:p>
    <w:p>
      <w:pPr>
        <w:snapToGrid w:val="0"/>
        <w:spacing w:before="50" w:after="120" w:afterLines="50" w:line="440" w:lineRule="exact"/>
        <w:jc w:val="center"/>
        <w:rPr>
          <w:rFonts w:ascii="宋体" w:hAnsi="宋体"/>
          <w:b/>
          <w:szCs w:val="21"/>
          <w:highlight w:val="none"/>
        </w:rPr>
      </w:pPr>
      <w:r>
        <w:rPr>
          <w:rFonts w:hint="eastAsia" w:ascii="宋体" w:hAnsi="宋体"/>
          <w:b/>
          <w:szCs w:val="21"/>
          <w:highlight w:val="none"/>
        </w:rPr>
        <w:t>（2）法定代表人（负责人）完整有效的身份证正反面复印件</w:t>
      </w:r>
    </w:p>
    <w:p>
      <w:pPr>
        <w:snapToGrid w:val="0"/>
        <w:spacing w:before="50" w:after="120" w:afterLines="50" w:line="440" w:lineRule="exact"/>
        <w:jc w:val="center"/>
        <w:rPr>
          <w:rFonts w:ascii="宋体" w:hAnsi="宋体"/>
          <w:b/>
          <w:szCs w:val="21"/>
          <w:highlight w:val="none"/>
        </w:rPr>
      </w:pPr>
    </w:p>
    <w:p>
      <w:pPr>
        <w:snapToGrid w:val="0"/>
        <w:spacing w:before="50" w:after="120" w:afterLines="50" w:line="440" w:lineRule="exact"/>
        <w:jc w:val="center"/>
        <w:rPr>
          <w:rFonts w:ascii="宋体" w:hAnsi="宋体"/>
          <w:b/>
          <w:szCs w:val="21"/>
          <w:highlight w:val="none"/>
        </w:rPr>
      </w:pPr>
    </w:p>
    <w:p>
      <w:pPr>
        <w:snapToGrid w:val="0"/>
        <w:spacing w:before="50" w:after="120" w:afterLines="50" w:line="440" w:lineRule="exact"/>
        <w:jc w:val="left"/>
        <w:rPr>
          <w:rFonts w:ascii="宋体" w:hAnsi="宋体"/>
          <w:b/>
          <w:szCs w:val="21"/>
          <w:highlight w:val="none"/>
        </w:rPr>
      </w:pPr>
      <w:r>
        <w:rPr>
          <w:rFonts w:hint="eastAsia" w:ascii="宋体" w:hAnsi="宋体"/>
          <w:b/>
          <w:szCs w:val="21"/>
          <w:highlight w:val="none"/>
        </w:rPr>
        <w:t>（3）投标人法定代表人（负责人）授权委托书原件和委托代理人完整有效的身份证正反面复印件（委托代理时必须提供)：</w:t>
      </w:r>
    </w:p>
    <w:p>
      <w:pPr>
        <w:snapToGrid w:val="0"/>
        <w:spacing w:before="120" w:beforeLines="50" w:after="50" w:line="440" w:lineRule="exact"/>
        <w:jc w:val="center"/>
        <w:rPr>
          <w:rFonts w:ascii="宋体" w:hAnsi="宋体"/>
          <w:szCs w:val="21"/>
          <w:highlight w:val="none"/>
        </w:rPr>
      </w:pPr>
    </w:p>
    <w:p>
      <w:pPr>
        <w:snapToGrid w:val="0"/>
        <w:spacing w:before="120" w:beforeLines="50" w:after="50" w:line="440" w:lineRule="exact"/>
        <w:jc w:val="center"/>
        <w:rPr>
          <w:rFonts w:ascii="宋体" w:hAnsi="宋体"/>
          <w:b/>
          <w:szCs w:val="21"/>
          <w:highlight w:val="none"/>
        </w:rPr>
      </w:pPr>
      <w:r>
        <w:rPr>
          <w:rFonts w:hint="eastAsia" w:ascii="宋体" w:hAnsi="宋体"/>
          <w:b/>
          <w:szCs w:val="21"/>
          <w:highlight w:val="none"/>
        </w:rPr>
        <w:t>法定代表人（负责人）授权委托书</w:t>
      </w:r>
    </w:p>
    <w:p>
      <w:pPr>
        <w:snapToGrid w:val="0"/>
        <w:spacing w:before="120" w:beforeLines="50" w:after="50" w:line="440" w:lineRule="exact"/>
        <w:rPr>
          <w:rFonts w:ascii="宋体" w:hAnsi="宋体"/>
          <w:bCs/>
          <w:szCs w:val="21"/>
          <w:highlight w:val="none"/>
        </w:rPr>
      </w:pPr>
    </w:p>
    <w:p>
      <w:pPr>
        <w:snapToGrid w:val="0"/>
        <w:spacing w:before="120" w:beforeLines="50" w:after="50" w:line="440" w:lineRule="exact"/>
        <w:rPr>
          <w:rFonts w:ascii="宋体" w:hAnsi="宋体"/>
          <w:b/>
          <w:bCs/>
          <w:szCs w:val="21"/>
          <w:highlight w:val="none"/>
        </w:rPr>
      </w:pPr>
      <w:r>
        <w:rPr>
          <w:rFonts w:hint="eastAsia" w:ascii="宋体" w:hAnsi="宋体"/>
          <w:bCs/>
          <w:szCs w:val="21"/>
          <w:highlight w:val="none"/>
        </w:rPr>
        <w:t>致：</w:t>
      </w:r>
      <w:r>
        <w:rPr>
          <w:rFonts w:hint="eastAsia" w:ascii="宋体" w:hAnsi="宋体"/>
          <w:szCs w:val="21"/>
          <w:highlight w:val="none"/>
          <w:u w:val="single"/>
        </w:rPr>
        <w:t xml:space="preserve">         </w:t>
      </w:r>
      <w:r>
        <w:rPr>
          <w:rFonts w:hint="eastAsia" w:ascii="宋体" w:hAnsi="宋体"/>
          <w:szCs w:val="21"/>
          <w:highlight w:val="none"/>
        </w:rPr>
        <w:t>（招标采购单位名称）</w:t>
      </w:r>
      <w:r>
        <w:rPr>
          <w:rFonts w:hint="eastAsia" w:ascii="宋体" w:hAnsi="宋体"/>
          <w:b/>
          <w:bCs/>
          <w:szCs w:val="21"/>
          <w:highlight w:val="none"/>
        </w:rPr>
        <w:t xml:space="preserve"> </w:t>
      </w:r>
      <w:r>
        <w:rPr>
          <w:rFonts w:hint="eastAsia" w:ascii="宋体" w:hAnsi="宋体"/>
          <w:szCs w:val="21"/>
          <w:highlight w:val="none"/>
        </w:rPr>
        <w:t>：</w:t>
      </w:r>
    </w:p>
    <w:p>
      <w:pPr>
        <w:snapToGrid w:val="0"/>
        <w:spacing w:before="120" w:beforeLines="50" w:after="50" w:line="440" w:lineRule="exact"/>
        <w:ind w:firstLine="630" w:firstLineChars="300"/>
        <w:rPr>
          <w:rFonts w:ascii="宋体" w:hAnsi="宋体"/>
          <w:szCs w:val="21"/>
          <w:highlight w:val="none"/>
        </w:rPr>
      </w:pPr>
      <w:r>
        <w:rPr>
          <w:rFonts w:hint="eastAsia" w:ascii="宋体" w:hAnsi="宋体"/>
          <w:szCs w:val="21"/>
          <w:highlight w:val="none"/>
        </w:rPr>
        <w:t>我</w:t>
      </w:r>
      <w:r>
        <w:rPr>
          <w:rFonts w:hint="eastAsia" w:ascii="宋体" w:hAnsi="宋体"/>
          <w:szCs w:val="21"/>
          <w:highlight w:val="none"/>
          <w:u w:val="single"/>
        </w:rPr>
        <w:t xml:space="preserve">         </w:t>
      </w:r>
      <w:r>
        <w:rPr>
          <w:rFonts w:hint="eastAsia" w:ascii="宋体" w:hAnsi="宋体"/>
          <w:szCs w:val="21"/>
          <w:highlight w:val="none"/>
        </w:rPr>
        <w:t>（姓名）系</w:t>
      </w:r>
      <w:r>
        <w:rPr>
          <w:rFonts w:hint="eastAsia" w:ascii="宋体" w:hAnsi="宋体"/>
          <w:szCs w:val="21"/>
          <w:highlight w:val="none"/>
          <w:u w:val="single"/>
        </w:rPr>
        <w:t xml:space="preserve">        </w:t>
      </w:r>
      <w:r>
        <w:rPr>
          <w:rFonts w:hint="eastAsia" w:ascii="宋体" w:hAnsi="宋体"/>
          <w:szCs w:val="21"/>
          <w:highlight w:val="none"/>
        </w:rPr>
        <w:t xml:space="preserve">（投标人名称）的法定代表人（负责人），现授权委托本单位在职职工 </w:t>
      </w:r>
      <w:r>
        <w:rPr>
          <w:rFonts w:hint="eastAsia" w:ascii="宋体" w:hAnsi="宋体"/>
          <w:szCs w:val="21"/>
          <w:highlight w:val="none"/>
          <w:u w:val="single"/>
        </w:rPr>
        <w:t xml:space="preserve">              </w:t>
      </w:r>
      <w:r>
        <w:rPr>
          <w:rFonts w:hint="eastAsia" w:ascii="宋体" w:hAnsi="宋体"/>
          <w:szCs w:val="21"/>
          <w:highlight w:val="none"/>
        </w:rPr>
        <w:t>（姓名）以我方的名义参加</w:t>
      </w:r>
      <w:r>
        <w:rPr>
          <w:rFonts w:hint="eastAsia" w:ascii="宋体" w:hAnsi="宋体"/>
          <w:szCs w:val="21"/>
          <w:highlight w:val="none"/>
          <w:u w:val="single"/>
        </w:rPr>
        <w:t xml:space="preserve">             </w:t>
      </w:r>
      <w:r>
        <w:rPr>
          <w:rFonts w:hint="eastAsia" w:ascii="宋体" w:hAnsi="宋体"/>
          <w:szCs w:val="21"/>
          <w:highlight w:val="none"/>
        </w:rPr>
        <w:t>项目的投标活动，并代表我方全权办理针对上述项目的投标、开标、评标、签约等具体事务和签署相关文件。</w:t>
      </w:r>
    </w:p>
    <w:p>
      <w:pPr>
        <w:snapToGrid w:val="0"/>
        <w:spacing w:before="120" w:beforeLines="50" w:after="50" w:line="440" w:lineRule="exact"/>
        <w:rPr>
          <w:rFonts w:ascii="宋体" w:hAnsi="宋体"/>
          <w:szCs w:val="21"/>
          <w:highlight w:val="none"/>
        </w:rPr>
      </w:pPr>
      <w:r>
        <w:rPr>
          <w:rFonts w:hint="eastAsia" w:ascii="宋体" w:hAnsi="宋体"/>
          <w:szCs w:val="21"/>
          <w:highlight w:val="none"/>
        </w:rPr>
        <w:t xml:space="preserve">    我方对被授权人的签名事项负全部责任。</w:t>
      </w:r>
    </w:p>
    <w:p>
      <w:pPr>
        <w:snapToGrid w:val="0"/>
        <w:spacing w:before="120" w:beforeLines="50" w:after="50" w:line="440" w:lineRule="exact"/>
        <w:ind w:firstLine="480"/>
        <w:rPr>
          <w:rFonts w:ascii="宋体" w:hAnsi="宋体"/>
          <w:szCs w:val="21"/>
          <w:highlight w:val="none"/>
        </w:rPr>
      </w:pPr>
      <w:r>
        <w:rPr>
          <w:rFonts w:hint="eastAsia" w:ascii="宋体" w:hAnsi="宋体"/>
          <w:szCs w:val="21"/>
          <w:highlight w:val="none"/>
          <w:u w:val="single"/>
        </w:rPr>
        <w:t>在撤销授权的书面通知以前，本授权书一直有效。</w:t>
      </w:r>
      <w:r>
        <w:rPr>
          <w:rFonts w:hint="eastAsia" w:ascii="宋体" w:hAnsi="宋体"/>
          <w:szCs w:val="21"/>
          <w:highlight w:val="none"/>
        </w:rPr>
        <w:t>被授权人在授权书有效期内签署的所有文件不因授权的撤销而失效。</w:t>
      </w:r>
    </w:p>
    <w:p>
      <w:pPr>
        <w:snapToGrid w:val="0"/>
        <w:spacing w:before="120" w:beforeLines="50" w:after="50" w:line="440" w:lineRule="exact"/>
        <w:ind w:firstLine="480"/>
        <w:rPr>
          <w:rFonts w:ascii="宋体" w:hAnsi="宋体"/>
          <w:szCs w:val="21"/>
          <w:highlight w:val="none"/>
        </w:rPr>
      </w:pPr>
      <w:r>
        <w:rPr>
          <w:rFonts w:hint="eastAsia" w:ascii="宋体" w:hAnsi="宋体"/>
          <w:szCs w:val="21"/>
          <w:highlight w:val="none"/>
        </w:rPr>
        <w:t>被授权人无转委托权，特此委托。</w:t>
      </w:r>
    </w:p>
    <w:p>
      <w:pPr>
        <w:snapToGrid w:val="0"/>
        <w:spacing w:before="120" w:beforeLines="50" w:after="50" w:line="440" w:lineRule="exact"/>
        <w:rPr>
          <w:rFonts w:ascii="宋体" w:hAnsi="宋体"/>
          <w:szCs w:val="21"/>
          <w:highlight w:val="none"/>
        </w:rPr>
      </w:pPr>
    </w:p>
    <w:p>
      <w:pPr>
        <w:snapToGrid w:val="0"/>
        <w:spacing w:before="120" w:beforeLines="50" w:after="50" w:line="440" w:lineRule="exact"/>
        <w:rPr>
          <w:rFonts w:ascii="宋体" w:hAnsi="宋体"/>
          <w:szCs w:val="21"/>
          <w:highlight w:val="none"/>
          <w:u w:val="single"/>
        </w:rPr>
      </w:pPr>
      <w:r>
        <w:rPr>
          <w:rFonts w:hint="eastAsia" w:ascii="宋体" w:hAnsi="宋体"/>
          <w:szCs w:val="21"/>
          <w:highlight w:val="none"/>
        </w:rPr>
        <w:t>被授权人签名：</w:t>
      </w:r>
      <w:r>
        <w:rPr>
          <w:rFonts w:hint="eastAsia" w:ascii="宋体" w:hAnsi="宋体"/>
          <w:szCs w:val="21"/>
          <w:highlight w:val="none"/>
          <w:u w:val="single"/>
        </w:rPr>
        <w:t xml:space="preserve">          </w:t>
      </w:r>
      <w:r>
        <w:rPr>
          <w:rFonts w:hint="eastAsia" w:ascii="宋体" w:hAnsi="宋体"/>
          <w:szCs w:val="21"/>
          <w:highlight w:val="none"/>
        </w:rPr>
        <w:t xml:space="preserve">                 法定代表人（负责人）签名：</w:t>
      </w:r>
      <w:r>
        <w:rPr>
          <w:rFonts w:hint="eastAsia" w:ascii="宋体" w:hAnsi="宋体"/>
          <w:szCs w:val="21"/>
          <w:highlight w:val="none"/>
          <w:u w:val="single"/>
        </w:rPr>
        <w:t xml:space="preserve">          </w:t>
      </w:r>
    </w:p>
    <w:p>
      <w:pPr>
        <w:snapToGrid w:val="0"/>
        <w:spacing w:before="120" w:beforeLines="50" w:after="50" w:line="440" w:lineRule="exact"/>
        <w:rPr>
          <w:rFonts w:ascii="宋体" w:hAnsi="宋体"/>
          <w:szCs w:val="21"/>
          <w:highlight w:val="none"/>
        </w:rPr>
      </w:pPr>
      <w:r>
        <w:rPr>
          <w:rFonts w:hint="eastAsia" w:ascii="宋体" w:hAnsi="宋体"/>
          <w:szCs w:val="21"/>
          <w:highlight w:val="none"/>
        </w:rPr>
        <w:t>所在部门职务：</w:t>
      </w:r>
      <w:r>
        <w:rPr>
          <w:rFonts w:hint="eastAsia" w:ascii="宋体" w:hAnsi="宋体"/>
          <w:szCs w:val="21"/>
          <w:highlight w:val="none"/>
          <w:u w:val="single"/>
        </w:rPr>
        <w:t xml:space="preserve">           </w:t>
      </w:r>
      <w:r>
        <w:rPr>
          <w:rFonts w:hint="eastAsia" w:ascii="宋体" w:hAnsi="宋体"/>
          <w:szCs w:val="21"/>
          <w:highlight w:val="none"/>
        </w:rPr>
        <w:t xml:space="preserve">                          职务：</w:t>
      </w:r>
      <w:r>
        <w:rPr>
          <w:rFonts w:hint="eastAsia" w:ascii="宋体" w:hAnsi="宋体"/>
          <w:szCs w:val="21"/>
          <w:highlight w:val="none"/>
          <w:u w:val="single"/>
        </w:rPr>
        <w:t xml:space="preserve">           </w:t>
      </w:r>
    </w:p>
    <w:p>
      <w:pPr>
        <w:snapToGrid w:val="0"/>
        <w:spacing w:before="120" w:beforeLines="50" w:after="50" w:line="440" w:lineRule="exact"/>
        <w:rPr>
          <w:rFonts w:ascii="宋体" w:hAnsi="宋体"/>
          <w:szCs w:val="21"/>
          <w:highlight w:val="none"/>
        </w:rPr>
      </w:pPr>
      <w:r>
        <w:rPr>
          <w:rFonts w:hint="eastAsia" w:ascii="宋体" w:hAnsi="宋体"/>
          <w:szCs w:val="21"/>
          <w:highlight w:val="none"/>
        </w:rPr>
        <w:t>被授权人身份证号码：</w:t>
      </w:r>
      <w:r>
        <w:rPr>
          <w:rFonts w:hint="eastAsia" w:ascii="宋体" w:hAnsi="宋体"/>
          <w:szCs w:val="21"/>
          <w:highlight w:val="none"/>
          <w:u w:val="single"/>
        </w:rPr>
        <w:t xml:space="preserve">                             </w:t>
      </w:r>
      <w:r>
        <w:rPr>
          <w:rFonts w:hint="eastAsia" w:ascii="宋体" w:hAnsi="宋体"/>
          <w:szCs w:val="21"/>
          <w:highlight w:val="none"/>
        </w:rPr>
        <w:t xml:space="preserve"> </w:t>
      </w:r>
    </w:p>
    <w:p>
      <w:pPr>
        <w:snapToGrid w:val="0"/>
        <w:spacing w:before="120" w:beforeLines="50" w:after="50" w:line="440" w:lineRule="exact"/>
        <w:rPr>
          <w:rFonts w:ascii="宋体" w:hAnsi="宋体"/>
          <w:szCs w:val="21"/>
          <w:highlight w:val="none"/>
        </w:rPr>
      </w:pPr>
      <w:r>
        <w:rPr>
          <w:rFonts w:hint="eastAsia" w:ascii="宋体" w:hAnsi="宋体"/>
          <w:szCs w:val="21"/>
          <w:highlight w:val="none"/>
        </w:rPr>
        <w:t xml:space="preserve">                                   </w:t>
      </w:r>
    </w:p>
    <w:p>
      <w:pPr>
        <w:snapToGrid w:val="0"/>
        <w:spacing w:before="120" w:beforeLines="50" w:after="50" w:line="440" w:lineRule="exact"/>
        <w:rPr>
          <w:rFonts w:ascii="宋体" w:hAnsi="宋体"/>
          <w:szCs w:val="21"/>
          <w:highlight w:val="none"/>
        </w:rPr>
      </w:pPr>
    </w:p>
    <w:p>
      <w:pPr>
        <w:snapToGrid w:val="0"/>
        <w:spacing w:before="120" w:beforeLines="50" w:after="50" w:line="440" w:lineRule="exact"/>
        <w:ind w:firstLine="4620" w:firstLineChars="2200"/>
        <w:rPr>
          <w:rFonts w:ascii="宋体" w:hAnsi="宋体"/>
          <w:szCs w:val="21"/>
          <w:highlight w:val="none"/>
        </w:rPr>
      </w:pPr>
      <w:r>
        <w:rPr>
          <w:rFonts w:hint="eastAsia" w:ascii="宋体" w:hAnsi="宋体"/>
          <w:szCs w:val="21"/>
          <w:highlight w:val="none"/>
        </w:rPr>
        <w:t xml:space="preserve">  投标人公章：</w:t>
      </w:r>
      <w:r>
        <w:rPr>
          <w:rFonts w:hint="eastAsia" w:ascii="宋体" w:hAnsi="宋体"/>
          <w:szCs w:val="21"/>
          <w:highlight w:val="none"/>
          <w:u w:val="single"/>
        </w:rPr>
        <w:t xml:space="preserve">             </w:t>
      </w:r>
    </w:p>
    <w:p>
      <w:pPr>
        <w:snapToGrid w:val="0"/>
        <w:spacing w:before="120" w:beforeLines="50" w:after="50" w:line="440" w:lineRule="exact"/>
        <w:jc w:val="center"/>
        <w:rPr>
          <w:rFonts w:ascii="宋体" w:hAnsi="宋体"/>
          <w:szCs w:val="21"/>
          <w:highlight w:val="none"/>
        </w:rPr>
      </w:pPr>
      <w:r>
        <w:rPr>
          <w:rFonts w:hint="eastAsia" w:ascii="宋体" w:hAnsi="宋体"/>
          <w:szCs w:val="21"/>
          <w:highlight w:val="none"/>
        </w:rPr>
        <w:t xml:space="preserve">                                        年    月    日</w:t>
      </w:r>
    </w:p>
    <w:p>
      <w:pPr>
        <w:snapToGrid w:val="0"/>
        <w:spacing w:before="120" w:beforeLines="50" w:after="50" w:line="440" w:lineRule="exact"/>
        <w:rPr>
          <w:rFonts w:ascii="宋体" w:hAnsi="宋体"/>
          <w:szCs w:val="21"/>
          <w:highlight w:val="none"/>
        </w:rPr>
      </w:pPr>
    </w:p>
    <w:p>
      <w:pPr>
        <w:snapToGrid w:val="0"/>
        <w:spacing w:before="120" w:beforeLines="50" w:after="50" w:line="440" w:lineRule="exact"/>
        <w:rPr>
          <w:rFonts w:ascii="宋体" w:hAnsi="宋体"/>
          <w:szCs w:val="21"/>
          <w:highlight w:val="none"/>
        </w:rPr>
      </w:pPr>
    </w:p>
    <w:p>
      <w:pPr>
        <w:snapToGrid w:val="0"/>
        <w:spacing w:line="400" w:lineRule="exact"/>
        <w:ind w:firstLine="413" w:firstLineChars="196"/>
        <w:jc w:val="left"/>
        <w:rPr>
          <w:rFonts w:ascii="宋体" w:hAnsi="宋体"/>
          <w:b/>
          <w:szCs w:val="21"/>
          <w:highlight w:val="none"/>
        </w:rPr>
      </w:pPr>
    </w:p>
    <w:p>
      <w:pPr>
        <w:snapToGrid w:val="0"/>
        <w:spacing w:line="400" w:lineRule="exact"/>
        <w:ind w:firstLine="413" w:firstLineChars="196"/>
        <w:jc w:val="left"/>
        <w:rPr>
          <w:rFonts w:ascii="宋体" w:hAnsi="宋体"/>
          <w:b/>
          <w:bCs/>
          <w:szCs w:val="21"/>
          <w:highlight w:val="none"/>
        </w:rPr>
      </w:pPr>
      <w:r>
        <w:rPr>
          <w:rFonts w:hint="eastAsia" w:ascii="宋体" w:hAnsi="宋体"/>
          <w:b/>
          <w:bCs/>
          <w:szCs w:val="21"/>
          <w:highlight w:val="none"/>
        </w:rPr>
        <w:t>（4）</w:t>
      </w:r>
      <w:r>
        <w:rPr>
          <w:rFonts w:hint="eastAsia" w:ascii="宋体"/>
          <w:b/>
          <w:bCs/>
          <w:szCs w:val="21"/>
          <w:highlight w:val="none"/>
        </w:rPr>
        <w:t>企业营业执照副本复印件（要求清晰反映经营范围）；（必须提供）</w:t>
      </w:r>
      <w:r>
        <w:rPr>
          <w:rFonts w:hint="eastAsia" w:ascii="宋体" w:hAnsi="宋体"/>
          <w:b/>
          <w:bCs/>
          <w:szCs w:val="21"/>
          <w:highlight w:val="none"/>
        </w:rPr>
        <w:t xml:space="preserve"> </w:t>
      </w:r>
    </w:p>
    <w:p>
      <w:pPr>
        <w:snapToGrid w:val="0"/>
        <w:spacing w:line="400" w:lineRule="exact"/>
        <w:ind w:firstLine="413" w:firstLineChars="196"/>
        <w:jc w:val="left"/>
        <w:rPr>
          <w:rFonts w:ascii="宋体" w:hAnsi="宋体"/>
          <w:b/>
          <w:bCs/>
          <w:szCs w:val="21"/>
          <w:highlight w:val="none"/>
        </w:rPr>
      </w:pPr>
    </w:p>
    <w:p>
      <w:pPr>
        <w:snapToGrid w:val="0"/>
        <w:spacing w:line="400" w:lineRule="exact"/>
        <w:jc w:val="left"/>
        <w:rPr>
          <w:rFonts w:ascii="宋体" w:hAnsi="宋体"/>
          <w:b/>
          <w:bCs/>
          <w:szCs w:val="21"/>
          <w:highlight w:val="none"/>
        </w:rPr>
      </w:pPr>
    </w:p>
    <w:p>
      <w:pPr>
        <w:snapToGrid w:val="0"/>
        <w:spacing w:line="400" w:lineRule="exact"/>
        <w:ind w:firstLine="413" w:firstLineChars="196"/>
        <w:jc w:val="left"/>
        <w:rPr>
          <w:rFonts w:ascii="宋体" w:hAnsi="宋体"/>
          <w:b/>
          <w:bCs/>
          <w:szCs w:val="21"/>
          <w:highlight w:val="none"/>
        </w:rPr>
      </w:pPr>
      <w:r>
        <w:rPr>
          <w:rFonts w:hint="eastAsia" w:ascii="宋体" w:hAnsi="宋体"/>
          <w:b/>
          <w:bCs/>
          <w:szCs w:val="21"/>
          <w:highlight w:val="none"/>
        </w:rPr>
        <w:t>（5）提供信用中国网站（www.creditchina.gov.cn）“失信被执行人”、“重大税收违法案件当事人名单”及中国政府采购网（www.ccgp.gov.cn）“政府采购严重违法失信行为记录名单”的信用查询记录（必须提供）；</w:t>
      </w:r>
    </w:p>
    <w:p>
      <w:pPr>
        <w:snapToGrid w:val="0"/>
        <w:spacing w:line="400" w:lineRule="exact"/>
        <w:jc w:val="left"/>
        <w:rPr>
          <w:rFonts w:ascii="宋体" w:hAnsi="宋体"/>
          <w:b/>
          <w:bCs/>
          <w:szCs w:val="21"/>
          <w:highlight w:val="none"/>
        </w:rPr>
      </w:pPr>
    </w:p>
    <w:p>
      <w:pPr>
        <w:snapToGrid w:val="0"/>
        <w:spacing w:line="400" w:lineRule="exact"/>
        <w:ind w:firstLine="422" w:firstLineChars="200"/>
        <w:jc w:val="left"/>
        <w:rPr>
          <w:rFonts w:ascii="宋体" w:hAnsi="宋体"/>
          <w:b/>
          <w:bCs/>
          <w:szCs w:val="21"/>
          <w:highlight w:val="none"/>
        </w:rPr>
      </w:pPr>
    </w:p>
    <w:p>
      <w:pPr>
        <w:snapToGrid w:val="0"/>
        <w:spacing w:before="120" w:beforeLines="50" w:after="50"/>
        <w:ind w:firstLine="422" w:firstLineChars="200"/>
        <w:rPr>
          <w:rFonts w:ascii="宋体" w:hAnsi="宋体"/>
          <w:b/>
          <w:bCs/>
          <w:szCs w:val="21"/>
          <w:highlight w:val="none"/>
        </w:rPr>
      </w:pPr>
      <w:r>
        <w:rPr>
          <w:rFonts w:hint="eastAsia" w:ascii="宋体" w:hAnsi="宋体"/>
          <w:b/>
          <w:bCs/>
          <w:szCs w:val="21"/>
          <w:highlight w:val="none"/>
        </w:rPr>
        <w:t>（6）投标文件递交截止之日前半年内投标人连续三个月依法缴纳税收的凭证复印件。无纳税记录的，应提供投标人所在地税务部门出具的《依法纳税或依法免税证明》复印件（格式自拟，原件备查）；</w:t>
      </w:r>
    </w:p>
    <w:p>
      <w:pPr>
        <w:snapToGrid w:val="0"/>
        <w:spacing w:before="120" w:beforeLines="50" w:after="50"/>
        <w:rPr>
          <w:rFonts w:ascii="宋体" w:hAnsi="宋体"/>
          <w:b/>
          <w:bCs/>
          <w:szCs w:val="21"/>
          <w:highlight w:val="none"/>
        </w:rPr>
      </w:pPr>
    </w:p>
    <w:p>
      <w:pPr>
        <w:snapToGrid w:val="0"/>
        <w:spacing w:before="120" w:beforeLines="50" w:after="50"/>
        <w:rPr>
          <w:rFonts w:ascii="宋体" w:hAnsi="宋体"/>
          <w:b/>
          <w:bCs/>
          <w:szCs w:val="21"/>
          <w:highlight w:val="none"/>
        </w:rPr>
      </w:pPr>
    </w:p>
    <w:p>
      <w:pPr>
        <w:snapToGrid w:val="0"/>
        <w:spacing w:before="120" w:beforeLines="50" w:after="50"/>
        <w:ind w:firstLine="422" w:firstLineChars="200"/>
        <w:rPr>
          <w:rFonts w:ascii="宋体" w:hAnsi="宋体"/>
          <w:b/>
          <w:bCs/>
          <w:szCs w:val="21"/>
          <w:highlight w:val="none"/>
        </w:rPr>
      </w:pPr>
      <w:r>
        <w:rPr>
          <w:rFonts w:hint="eastAsia" w:ascii="宋体" w:hAnsi="宋体"/>
          <w:b/>
          <w:bCs/>
          <w:szCs w:val="21"/>
          <w:highlight w:val="none"/>
        </w:rPr>
        <w:t>（7）投标文件递交截止之日前半年内投标人连续三个月依法缴纳社会保障资金的凭证复印件。无缴费记录的，应提供投标人所在地社保部门出具的《依法缴纳或依法免缴社保费证明》复印件（格式自拟，原件备查）；</w:t>
      </w:r>
    </w:p>
    <w:p>
      <w:pPr>
        <w:snapToGrid w:val="0"/>
        <w:spacing w:before="120" w:beforeLines="50" w:after="50"/>
        <w:rPr>
          <w:rFonts w:ascii="宋体" w:hAnsi="宋体"/>
          <w:b/>
          <w:bCs/>
          <w:szCs w:val="21"/>
          <w:highlight w:val="none"/>
        </w:rPr>
      </w:pPr>
    </w:p>
    <w:p>
      <w:pPr>
        <w:snapToGrid w:val="0"/>
        <w:spacing w:before="120" w:beforeLines="50" w:after="50"/>
        <w:rPr>
          <w:rFonts w:ascii="宋体" w:hAnsi="宋体"/>
          <w:b/>
          <w:bCs/>
          <w:szCs w:val="21"/>
          <w:highlight w:val="none"/>
        </w:rPr>
      </w:pPr>
    </w:p>
    <w:p>
      <w:pPr>
        <w:snapToGrid w:val="0"/>
        <w:spacing w:before="120" w:beforeLines="50" w:after="50"/>
        <w:ind w:firstLine="422" w:firstLineChars="200"/>
        <w:rPr>
          <w:rFonts w:ascii="宋体" w:hAnsi="宋体"/>
          <w:b/>
          <w:bCs/>
          <w:szCs w:val="21"/>
          <w:highlight w:val="none"/>
        </w:rPr>
      </w:pPr>
      <w:r>
        <w:rPr>
          <w:rFonts w:hint="eastAsia" w:ascii="宋体" w:hAnsi="宋体"/>
          <w:b/>
          <w:bCs/>
          <w:szCs w:val="21"/>
          <w:highlight w:val="none"/>
        </w:rPr>
        <w:t>（8）2019年财务状况报告（可以是财务报表或银行资信证明）复印件或有效的第三方具备审计资质的机构出具的审计报告复印件（格式自拟，原件备查）；（新成立不足2年的提供从成立起至今财务状况报告或审计报告）；</w:t>
      </w:r>
    </w:p>
    <w:p>
      <w:pPr>
        <w:snapToGrid w:val="0"/>
        <w:spacing w:before="120" w:beforeLines="50" w:after="50"/>
        <w:rPr>
          <w:rFonts w:ascii="宋体" w:hAnsi="宋体"/>
          <w:b/>
          <w:bCs/>
          <w:szCs w:val="21"/>
          <w:highlight w:val="none"/>
        </w:rPr>
      </w:pPr>
    </w:p>
    <w:p>
      <w:pPr>
        <w:snapToGrid w:val="0"/>
        <w:spacing w:before="120" w:beforeLines="50" w:after="50"/>
        <w:rPr>
          <w:rFonts w:ascii="宋体" w:hAnsi="宋体"/>
          <w:b/>
          <w:bCs/>
          <w:szCs w:val="21"/>
          <w:highlight w:val="none"/>
        </w:rPr>
      </w:pPr>
    </w:p>
    <w:p>
      <w:pPr>
        <w:snapToGrid w:val="0"/>
        <w:spacing w:before="120" w:beforeLines="50" w:after="50"/>
        <w:rPr>
          <w:rFonts w:ascii="宋体" w:hAnsi="宋体"/>
          <w:b/>
          <w:bCs/>
          <w:szCs w:val="21"/>
          <w:highlight w:val="none"/>
        </w:rPr>
      </w:pPr>
    </w:p>
    <w:p>
      <w:pPr>
        <w:snapToGrid w:val="0"/>
        <w:spacing w:before="120" w:beforeLines="50" w:after="50"/>
        <w:rPr>
          <w:rFonts w:ascii="宋体" w:hAnsi="宋体"/>
          <w:b/>
          <w:bCs/>
          <w:szCs w:val="21"/>
          <w:highlight w:val="none"/>
        </w:rPr>
      </w:pPr>
    </w:p>
    <w:p>
      <w:pPr>
        <w:snapToGrid w:val="0"/>
        <w:spacing w:before="120" w:beforeLines="50" w:after="50"/>
        <w:rPr>
          <w:rFonts w:ascii="宋体" w:hAnsi="宋体"/>
          <w:b/>
          <w:bCs/>
          <w:szCs w:val="21"/>
          <w:highlight w:val="none"/>
        </w:rPr>
      </w:pPr>
      <w:r>
        <w:rPr>
          <w:rFonts w:hint="eastAsia" w:ascii="宋体" w:hAnsi="宋体"/>
          <w:b/>
          <w:bCs/>
          <w:szCs w:val="21"/>
          <w:highlight w:val="none"/>
        </w:rPr>
        <w:t xml:space="preserve">   （9）招标文件要求必须提供的其他材料。</w:t>
      </w:r>
    </w:p>
    <w:p>
      <w:pPr>
        <w:autoSpaceDE w:val="0"/>
        <w:autoSpaceDN w:val="0"/>
        <w:snapToGrid w:val="0"/>
        <w:spacing w:before="50" w:after="120" w:afterLines="50"/>
        <w:jc w:val="left"/>
        <w:textAlignment w:val="bottom"/>
        <w:rPr>
          <w:rFonts w:ascii="宋体" w:hAnsi="宋体"/>
          <w:szCs w:val="21"/>
          <w:highlight w:val="none"/>
        </w:rPr>
        <w:sectPr>
          <w:footerReference r:id="rId6" w:type="first"/>
          <w:headerReference r:id="rId3" w:type="default"/>
          <w:footerReference r:id="rId4" w:type="default"/>
          <w:footerReference r:id="rId5" w:type="even"/>
          <w:pgSz w:w="11906" w:h="16838"/>
          <w:pgMar w:top="1134" w:right="1361" w:bottom="1134" w:left="1361" w:header="851" w:footer="992" w:gutter="0"/>
          <w:pgNumType w:start="0"/>
          <w:cols w:space="720" w:num="1"/>
          <w:titlePg/>
          <w:docGrid w:linePitch="312" w:charSpace="0"/>
        </w:sectPr>
      </w:pPr>
    </w:p>
    <w:p>
      <w:pPr>
        <w:snapToGrid w:val="0"/>
        <w:spacing w:before="120" w:beforeLines="50" w:after="50"/>
        <w:jc w:val="center"/>
        <w:rPr>
          <w:rFonts w:ascii="宋体" w:hAnsi="宋体"/>
          <w:b/>
          <w:szCs w:val="21"/>
          <w:highlight w:val="none"/>
        </w:rPr>
      </w:pPr>
      <w:r>
        <w:rPr>
          <w:rFonts w:hint="eastAsia" w:ascii="宋体" w:hAnsi="宋体"/>
          <w:b/>
          <w:szCs w:val="21"/>
          <w:highlight w:val="none"/>
        </w:rPr>
        <w:t>三、商务/技术文件格式</w:t>
      </w:r>
    </w:p>
    <w:p>
      <w:pPr>
        <w:snapToGrid w:val="0"/>
        <w:spacing w:before="120" w:beforeLines="50" w:after="50" w:line="340" w:lineRule="exact"/>
        <w:rPr>
          <w:rFonts w:ascii="宋体" w:hAnsi="宋体"/>
          <w:b/>
          <w:bCs/>
          <w:szCs w:val="21"/>
          <w:highlight w:val="none"/>
        </w:rPr>
      </w:pPr>
      <w:r>
        <w:rPr>
          <w:rFonts w:hint="eastAsia" w:ascii="宋体" w:hAnsi="宋体"/>
          <w:b/>
          <w:bCs/>
          <w:szCs w:val="21"/>
          <w:highlight w:val="none"/>
        </w:rPr>
        <w:t>1.商务/技术文件的外包装封面格式（不可缺）：</w:t>
      </w:r>
    </w:p>
    <w:p>
      <w:pPr>
        <w:snapToGrid w:val="0"/>
        <w:spacing w:before="120" w:beforeLines="50" w:after="50" w:line="340" w:lineRule="exact"/>
        <w:rPr>
          <w:rFonts w:ascii="宋体" w:hAnsi="宋体"/>
          <w:bCs/>
          <w:szCs w:val="21"/>
          <w:highlight w:val="none"/>
        </w:rPr>
      </w:pPr>
    </w:p>
    <w:p>
      <w:pPr>
        <w:snapToGrid w:val="0"/>
        <w:spacing w:before="120" w:beforeLines="50" w:after="50" w:line="340" w:lineRule="exact"/>
        <w:jc w:val="center"/>
        <w:rPr>
          <w:rFonts w:ascii="宋体" w:hAnsi="宋体"/>
          <w:b/>
          <w:bCs/>
          <w:szCs w:val="21"/>
          <w:highlight w:val="none"/>
        </w:rPr>
      </w:pPr>
    </w:p>
    <w:p>
      <w:pPr>
        <w:snapToGrid w:val="0"/>
        <w:spacing w:before="120" w:beforeLines="50" w:after="50" w:line="340" w:lineRule="exact"/>
        <w:jc w:val="center"/>
        <w:rPr>
          <w:rFonts w:ascii="宋体" w:hAnsi="宋体"/>
          <w:b/>
          <w:bCs/>
          <w:szCs w:val="21"/>
          <w:highlight w:val="none"/>
        </w:rPr>
      </w:pPr>
    </w:p>
    <w:p>
      <w:pPr>
        <w:snapToGrid w:val="0"/>
        <w:spacing w:before="120" w:beforeLines="50" w:after="50" w:line="340" w:lineRule="exact"/>
        <w:jc w:val="center"/>
        <w:rPr>
          <w:rFonts w:ascii="宋体" w:hAnsi="宋体"/>
          <w:b/>
          <w:bCs/>
          <w:szCs w:val="21"/>
          <w:highlight w:val="none"/>
        </w:rPr>
      </w:pPr>
      <w:r>
        <w:rPr>
          <w:rFonts w:hint="eastAsia" w:ascii="宋体" w:hAnsi="宋体"/>
          <w:b/>
          <w:szCs w:val="21"/>
          <w:highlight w:val="none"/>
        </w:rPr>
        <w:t>商务/</w:t>
      </w:r>
      <w:r>
        <w:rPr>
          <w:rFonts w:hint="eastAsia" w:ascii="宋体" w:hAnsi="宋体"/>
          <w:b/>
          <w:bCs/>
          <w:szCs w:val="21"/>
          <w:highlight w:val="none"/>
        </w:rPr>
        <w:t>技术文件</w:t>
      </w:r>
    </w:p>
    <w:p>
      <w:pPr>
        <w:snapToGrid w:val="0"/>
        <w:spacing w:before="120" w:beforeLines="50" w:after="50" w:line="340" w:lineRule="exact"/>
        <w:rPr>
          <w:rFonts w:ascii="宋体" w:hAnsi="宋体"/>
          <w:bCs/>
          <w:szCs w:val="21"/>
          <w:highlight w:val="none"/>
        </w:rPr>
      </w:pPr>
    </w:p>
    <w:p>
      <w:pPr>
        <w:snapToGrid w:val="0"/>
        <w:spacing w:before="120" w:beforeLines="50" w:after="50" w:line="340" w:lineRule="exact"/>
        <w:rPr>
          <w:rFonts w:ascii="宋体" w:hAnsi="宋体"/>
          <w:bCs/>
          <w:szCs w:val="21"/>
          <w:highlight w:val="none"/>
        </w:rPr>
      </w:pPr>
    </w:p>
    <w:p>
      <w:pPr>
        <w:snapToGrid w:val="0"/>
        <w:spacing w:before="120" w:beforeLines="50" w:after="50" w:line="340" w:lineRule="exact"/>
        <w:rPr>
          <w:rFonts w:ascii="宋体" w:hAnsi="宋体"/>
          <w:bCs/>
          <w:szCs w:val="21"/>
          <w:highlight w:val="none"/>
        </w:rPr>
      </w:pPr>
    </w:p>
    <w:p>
      <w:pPr>
        <w:snapToGrid w:val="0"/>
        <w:spacing w:before="120" w:beforeLines="50" w:after="50" w:line="340" w:lineRule="exact"/>
        <w:rPr>
          <w:rFonts w:ascii="宋体" w:hAnsi="宋体"/>
          <w:bCs/>
          <w:szCs w:val="21"/>
          <w:highlight w:val="none"/>
        </w:rPr>
      </w:pPr>
    </w:p>
    <w:p>
      <w:pPr>
        <w:snapToGrid w:val="0"/>
        <w:spacing w:before="120" w:beforeLines="50" w:after="50" w:line="340" w:lineRule="exact"/>
        <w:rPr>
          <w:rFonts w:ascii="宋体" w:hAnsi="宋体"/>
          <w:bCs/>
          <w:szCs w:val="21"/>
          <w:highlight w:val="none"/>
        </w:rPr>
      </w:pPr>
    </w:p>
    <w:p>
      <w:pPr>
        <w:snapToGrid w:val="0"/>
        <w:spacing w:before="120" w:beforeLines="50" w:after="50" w:line="340" w:lineRule="exact"/>
        <w:ind w:firstLine="420" w:firstLineChars="200"/>
        <w:rPr>
          <w:rFonts w:ascii="宋体" w:hAnsi="宋体"/>
          <w:bCs/>
          <w:szCs w:val="21"/>
          <w:highlight w:val="none"/>
        </w:rPr>
      </w:pPr>
      <w:r>
        <w:rPr>
          <w:rFonts w:hint="eastAsia" w:ascii="宋体" w:hAnsi="宋体"/>
          <w:bCs/>
          <w:szCs w:val="21"/>
          <w:highlight w:val="none"/>
        </w:rPr>
        <w:t xml:space="preserve">项目名称： </w:t>
      </w:r>
    </w:p>
    <w:p>
      <w:pPr>
        <w:snapToGrid w:val="0"/>
        <w:spacing w:before="120" w:beforeLines="50" w:after="50" w:line="340" w:lineRule="exact"/>
        <w:ind w:firstLine="420" w:firstLineChars="200"/>
        <w:rPr>
          <w:rFonts w:ascii="宋体" w:hAnsi="宋体"/>
          <w:bCs/>
          <w:szCs w:val="21"/>
          <w:highlight w:val="none"/>
        </w:rPr>
      </w:pPr>
      <w:r>
        <w:rPr>
          <w:rFonts w:hint="eastAsia" w:ascii="宋体" w:hAnsi="宋体"/>
          <w:bCs/>
          <w:szCs w:val="21"/>
          <w:highlight w:val="none"/>
        </w:rPr>
        <w:t xml:space="preserve">项目编号： </w:t>
      </w:r>
    </w:p>
    <w:p>
      <w:pPr>
        <w:pStyle w:val="8"/>
        <w:snapToGrid w:val="0"/>
        <w:spacing w:before="50" w:after="50" w:line="340" w:lineRule="exact"/>
        <w:ind w:firstLineChars="200"/>
        <w:rPr>
          <w:rFonts w:ascii="宋体" w:hAnsi="宋体"/>
          <w:bCs/>
          <w:szCs w:val="21"/>
          <w:highlight w:val="none"/>
        </w:rPr>
      </w:pPr>
      <w:r>
        <w:rPr>
          <w:rFonts w:hint="eastAsia" w:ascii="宋体" w:hAnsi="宋体"/>
          <w:bCs/>
          <w:szCs w:val="21"/>
          <w:highlight w:val="none"/>
        </w:rPr>
        <w:t>投标人名称：</w:t>
      </w:r>
    </w:p>
    <w:p>
      <w:pPr>
        <w:pStyle w:val="8"/>
        <w:snapToGrid w:val="0"/>
        <w:spacing w:before="50" w:after="50" w:line="340" w:lineRule="exact"/>
        <w:ind w:firstLineChars="200"/>
        <w:rPr>
          <w:rFonts w:ascii="宋体" w:hAnsi="宋体"/>
          <w:bCs/>
          <w:szCs w:val="21"/>
          <w:highlight w:val="none"/>
        </w:rPr>
      </w:pPr>
      <w:r>
        <w:rPr>
          <w:rFonts w:hint="eastAsia" w:ascii="宋体" w:hAnsi="宋体"/>
          <w:bCs/>
          <w:szCs w:val="21"/>
          <w:highlight w:val="none"/>
        </w:rPr>
        <w:t>投标人地址：</w:t>
      </w:r>
    </w:p>
    <w:p>
      <w:pPr>
        <w:pStyle w:val="8"/>
        <w:snapToGrid w:val="0"/>
        <w:spacing w:before="50" w:after="50" w:line="340" w:lineRule="exact"/>
        <w:ind w:firstLineChars="200"/>
        <w:rPr>
          <w:rFonts w:ascii="宋体" w:hAnsi="宋体"/>
          <w:bCs/>
          <w:szCs w:val="21"/>
          <w:highlight w:val="none"/>
        </w:rPr>
      </w:pPr>
      <w:r>
        <w:rPr>
          <w:rFonts w:hint="eastAsia" w:ascii="宋体" w:hAnsi="宋体"/>
          <w:bCs/>
          <w:szCs w:val="21"/>
          <w:highlight w:val="none"/>
        </w:rPr>
        <w:t>在  年  月  日  时  分之前不得启封</w:t>
      </w:r>
    </w:p>
    <w:p>
      <w:pPr>
        <w:snapToGrid w:val="0"/>
        <w:spacing w:before="120" w:beforeLines="50" w:after="50" w:line="340" w:lineRule="exact"/>
        <w:ind w:firstLine="645"/>
        <w:jc w:val="center"/>
        <w:rPr>
          <w:rFonts w:ascii="宋体" w:hAnsi="宋体"/>
          <w:szCs w:val="21"/>
          <w:highlight w:val="none"/>
        </w:rPr>
      </w:pPr>
    </w:p>
    <w:p>
      <w:pPr>
        <w:snapToGrid w:val="0"/>
        <w:spacing w:before="120" w:beforeLines="50" w:after="50" w:line="340" w:lineRule="exact"/>
        <w:ind w:firstLine="645"/>
        <w:jc w:val="center"/>
        <w:rPr>
          <w:rFonts w:ascii="宋体" w:hAnsi="宋体"/>
          <w:szCs w:val="21"/>
          <w:highlight w:val="none"/>
        </w:rPr>
      </w:pPr>
    </w:p>
    <w:p>
      <w:pPr>
        <w:snapToGrid w:val="0"/>
        <w:spacing w:before="120" w:beforeLines="50" w:after="50" w:line="340" w:lineRule="exact"/>
        <w:ind w:firstLine="645"/>
        <w:jc w:val="center"/>
        <w:rPr>
          <w:rFonts w:ascii="宋体" w:hAnsi="宋体"/>
          <w:szCs w:val="21"/>
          <w:highlight w:val="none"/>
        </w:rPr>
      </w:pPr>
    </w:p>
    <w:p>
      <w:pPr>
        <w:snapToGrid w:val="0"/>
        <w:spacing w:before="120" w:beforeLines="50" w:after="50" w:line="340" w:lineRule="exact"/>
        <w:ind w:firstLine="645"/>
        <w:jc w:val="center"/>
        <w:rPr>
          <w:rFonts w:ascii="宋体" w:hAnsi="宋体"/>
          <w:szCs w:val="21"/>
          <w:highlight w:val="none"/>
        </w:rPr>
      </w:pPr>
    </w:p>
    <w:p>
      <w:pPr>
        <w:snapToGrid w:val="0"/>
        <w:spacing w:before="120" w:beforeLines="50" w:after="50" w:line="340" w:lineRule="exact"/>
        <w:ind w:firstLine="645"/>
        <w:jc w:val="center"/>
        <w:rPr>
          <w:rFonts w:ascii="宋体" w:hAnsi="宋体"/>
          <w:szCs w:val="21"/>
          <w:highlight w:val="none"/>
        </w:rPr>
      </w:pPr>
    </w:p>
    <w:p>
      <w:pPr>
        <w:snapToGrid w:val="0"/>
        <w:spacing w:before="120" w:beforeLines="50" w:after="50" w:line="340" w:lineRule="exact"/>
        <w:ind w:firstLine="645"/>
        <w:jc w:val="center"/>
        <w:rPr>
          <w:rFonts w:ascii="宋体" w:hAnsi="宋体"/>
          <w:szCs w:val="21"/>
          <w:highlight w:val="none"/>
        </w:rPr>
      </w:pPr>
      <w:r>
        <w:rPr>
          <w:rFonts w:hint="eastAsia" w:ascii="宋体" w:hAnsi="宋体"/>
          <w:szCs w:val="21"/>
          <w:highlight w:val="none"/>
        </w:rPr>
        <w:t xml:space="preserve">                        年  月  日</w:t>
      </w:r>
    </w:p>
    <w:p>
      <w:pPr>
        <w:snapToGrid w:val="0"/>
        <w:spacing w:before="120" w:beforeLines="50" w:after="50"/>
        <w:rPr>
          <w:rFonts w:ascii="宋体" w:hAnsi="宋体"/>
          <w:szCs w:val="21"/>
          <w:highlight w:val="none"/>
        </w:rPr>
      </w:pPr>
    </w:p>
    <w:p>
      <w:pPr>
        <w:snapToGrid w:val="0"/>
        <w:spacing w:before="120" w:beforeLines="50" w:after="50" w:line="320" w:lineRule="exact"/>
        <w:rPr>
          <w:rFonts w:ascii="宋体" w:hAnsi="宋体"/>
          <w:b/>
          <w:szCs w:val="21"/>
          <w:highlight w:val="none"/>
        </w:rPr>
      </w:pPr>
    </w:p>
    <w:p>
      <w:pPr>
        <w:snapToGrid w:val="0"/>
        <w:spacing w:before="120" w:beforeLines="50" w:after="50" w:line="320" w:lineRule="exact"/>
        <w:rPr>
          <w:rFonts w:ascii="宋体" w:hAnsi="宋体"/>
          <w:b/>
          <w:szCs w:val="21"/>
          <w:highlight w:val="none"/>
        </w:rPr>
      </w:pPr>
    </w:p>
    <w:p>
      <w:pPr>
        <w:snapToGrid w:val="0"/>
        <w:spacing w:before="120" w:beforeLines="50" w:after="50" w:line="320" w:lineRule="exact"/>
        <w:rPr>
          <w:rFonts w:ascii="宋体" w:hAnsi="宋体"/>
          <w:b/>
          <w:szCs w:val="21"/>
          <w:highlight w:val="none"/>
        </w:rPr>
      </w:pPr>
    </w:p>
    <w:p>
      <w:pPr>
        <w:snapToGrid w:val="0"/>
        <w:spacing w:before="120" w:beforeLines="50" w:after="50" w:line="320" w:lineRule="exact"/>
        <w:rPr>
          <w:rFonts w:ascii="宋体" w:hAnsi="宋体"/>
          <w:b/>
          <w:szCs w:val="21"/>
          <w:highlight w:val="none"/>
        </w:rPr>
      </w:pPr>
    </w:p>
    <w:p>
      <w:pPr>
        <w:snapToGrid w:val="0"/>
        <w:spacing w:before="120" w:beforeLines="50" w:after="50" w:line="320" w:lineRule="exact"/>
        <w:rPr>
          <w:rFonts w:ascii="宋体" w:hAnsi="宋体"/>
          <w:b/>
          <w:szCs w:val="21"/>
          <w:highlight w:val="none"/>
        </w:rPr>
      </w:pPr>
    </w:p>
    <w:p>
      <w:pPr>
        <w:snapToGrid w:val="0"/>
        <w:spacing w:before="120" w:beforeLines="50" w:after="50" w:line="320" w:lineRule="exact"/>
        <w:rPr>
          <w:rFonts w:ascii="宋体" w:hAnsi="宋体"/>
          <w:b/>
          <w:szCs w:val="21"/>
          <w:highlight w:val="none"/>
        </w:rPr>
      </w:pPr>
    </w:p>
    <w:p>
      <w:pPr>
        <w:snapToGrid w:val="0"/>
        <w:spacing w:before="120" w:beforeLines="50" w:after="50" w:line="320" w:lineRule="exact"/>
        <w:rPr>
          <w:rFonts w:ascii="宋体" w:hAnsi="宋体"/>
          <w:b/>
          <w:szCs w:val="21"/>
          <w:highlight w:val="none"/>
        </w:rPr>
      </w:pPr>
    </w:p>
    <w:p>
      <w:pPr>
        <w:snapToGrid w:val="0"/>
        <w:spacing w:before="120" w:beforeLines="50" w:after="50" w:line="320" w:lineRule="exact"/>
        <w:rPr>
          <w:rFonts w:ascii="宋体" w:hAnsi="宋体"/>
          <w:b/>
          <w:szCs w:val="21"/>
          <w:highlight w:val="none"/>
        </w:rPr>
      </w:pPr>
    </w:p>
    <w:p>
      <w:pPr>
        <w:snapToGrid w:val="0"/>
        <w:spacing w:before="120" w:beforeLines="50" w:after="50" w:line="320" w:lineRule="exact"/>
        <w:rPr>
          <w:rFonts w:ascii="宋体" w:hAnsi="宋体"/>
          <w:b/>
          <w:szCs w:val="21"/>
          <w:highlight w:val="none"/>
        </w:rPr>
      </w:pPr>
    </w:p>
    <w:p>
      <w:pPr>
        <w:snapToGrid w:val="0"/>
        <w:spacing w:before="120" w:beforeLines="50" w:after="50" w:line="320" w:lineRule="exact"/>
        <w:rPr>
          <w:rFonts w:ascii="宋体" w:hAnsi="宋体"/>
          <w:b/>
          <w:szCs w:val="21"/>
          <w:highlight w:val="none"/>
        </w:rPr>
      </w:pPr>
    </w:p>
    <w:p>
      <w:pPr>
        <w:snapToGrid w:val="0"/>
        <w:spacing w:before="120" w:beforeLines="50" w:after="50" w:line="320" w:lineRule="exact"/>
        <w:rPr>
          <w:rFonts w:ascii="宋体" w:hAnsi="宋体"/>
          <w:b/>
          <w:szCs w:val="21"/>
          <w:highlight w:val="none"/>
        </w:rPr>
      </w:pPr>
      <w:r>
        <w:rPr>
          <w:rFonts w:hint="eastAsia" w:ascii="宋体" w:hAnsi="宋体"/>
          <w:b/>
          <w:szCs w:val="21"/>
          <w:highlight w:val="none"/>
        </w:rPr>
        <w:t xml:space="preserve">2.商务/技术文件封面格式： </w:t>
      </w:r>
    </w:p>
    <w:p>
      <w:pPr>
        <w:snapToGrid w:val="0"/>
        <w:spacing w:before="120" w:beforeLines="50" w:after="50" w:line="320" w:lineRule="exact"/>
        <w:rPr>
          <w:rFonts w:ascii="宋体" w:hAnsi="宋体"/>
          <w:szCs w:val="21"/>
          <w:highlight w:val="none"/>
        </w:rPr>
      </w:pPr>
    </w:p>
    <w:p>
      <w:pPr>
        <w:snapToGrid w:val="0"/>
        <w:spacing w:before="120" w:beforeLines="50" w:after="50" w:line="320" w:lineRule="exact"/>
        <w:rPr>
          <w:rFonts w:ascii="宋体" w:hAnsi="宋体"/>
          <w:bCs/>
          <w:szCs w:val="21"/>
          <w:highlight w:val="none"/>
        </w:rPr>
      </w:pPr>
      <w:r>
        <w:rPr>
          <w:rFonts w:hint="eastAsia" w:ascii="宋体" w:hAnsi="宋体"/>
          <w:szCs w:val="21"/>
          <w:highlight w:val="none"/>
        </w:rPr>
        <w:t xml:space="preserve">                                                    </w:t>
      </w:r>
      <w:r>
        <w:rPr>
          <w:rFonts w:hint="eastAsia" w:ascii="宋体" w:hAnsi="宋体"/>
          <w:bCs/>
          <w:szCs w:val="21"/>
          <w:highlight w:val="none"/>
        </w:rPr>
        <w:t>正本/或副本</w:t>
      </w:r>
    </w:p>
    <w:p>
      <w:pPr>
        <w:snapToGrid w:val="0"/>
        <w:spacing w:before="120" w:beforeLines="50" w:after="50" w:line="320" w:lineRule="exact"/>
        <w:rPr>
          <w:rFonts w:ascii="宋体" w:hAnsi="宋体"/>
          <w:szCs w:val="21"/>
          <w:highlight w:val="none"/>
        </w:rPr>
      </w:pPr>
    </w:p>
    <w:p>
      <w:pPr>
        <w:snapToGrid w:val="0"/>
        <w:spacing w:before="120" w:beforeLines="50" w:after="50" w:line="320" w:lineRule="exact"/>
        <w:jc w:val="center"/>
        <w:rPr>
          <w:rFonts w:ascii="宋体" w:hAnsi="宋体"/>
          <w:b/>
          <w:bCs/>
          <w:szCs w:val="21"/>
          <w:highlight w:val="none"/>
        </w:rPr>
      </w:pPr>
    </w:p>
    <w:p>
      <w:pPr>
        <w:snapToGrid w:val="0"/>
        <w:spacing w:before="120" w:beforeLines="50" w:after="50" w:line="320" w:lineRule="exact"/>
        <w:jc w:val="center"/>
        <w:rPr>
          <w:rFonts w:ascii="宋体" w:hAnsi="宋体"/>
          <w:b/>
          <w:bCs/>
          <w:szCs w:val="21"/>
          <w:highlight w:val="none"/>
        </w:rPr>
      </w:pPr>
    </w:p>
    <w:p>
      <w:pPr>
        <w:snapToGrid w:val="0"/>
        <w:spacing w:before="120" w:beforeLines="50" w:after="50" w:line="320" w:lineRule="exact"/>
        <w:jc w:val="center"/>
        <w:rPr>
          <w:rFonts w:ascii="宋体" w:hAnsi="宋体"/>
          <w:b/>
          <w:bCs/>
          <w:szCs w:val="21"/>
          <w:highlight w:val="none"/>
        </w:rPr>
      </w:pPr>
      <w:r>
        <w:rPr>
          <w:rFonts w:hint="eastAsia" w:ascii="宋体" w:hAnsi="宋体"/>
          <w:b/>
          <w:szCs w:val="21"/>
          <w:highlight w:val="none"/>
        </w:rPr>
        <w:t>商务/技术</w:t>
      </w:r>
      <w:r>
        <w:rPr>
          <w:rFonts w:hint="eastAsia" w:ascii="宋体" w:hAnsi="宋体"/>
          <w:b/>
          <w:bCs/>
          <w:szCs w:val="21"/>
          <w:highlight w:val="none"/>
        </w:rPr>
        <w:t>文件</w:t>
      </w:r>
    </w:p>
    <w:p>
      <w:pPr>
        <w:snapToGrid w:val="0"/>
        <w:spacing w:before="120" w:beforeLines="50" w:after="50" w:line="320" w:lineRule="exact"/>
        <w:rPr>
          <w:rFonts w:ascii="宋体" w:hAnsi="宋体"/>
          <w:bCs/>
          <w:szCs w:val="21"/>
          <w:highlight w:val="none"/>
        </w:rPr>
      </w:pPr>
    </w:p>
    <w:p>
      <w:pPr>
        <w:snapToGrid w:val="0"/>
        <w:spacing w:before="120" w:beforeLines="50" w:after="50" w:line="320" w:lineRule="exact"/>
        <w:ind w:firstLine="420" w:firstLineChars="200"/>
        <w:rPr>
          <w:rFonts w:ascii="宋体" w:hAnsi="宋体"/>
          <w:bCs/>
          <w:szCs w:val="21"/>
          <w:highlight w:val="none"/>
        </w:rPr>
      </w:pPr>
    </w:p>
    <w:p>
      <w:pPr>
        <w:snapToGrid w:val="0"/>
        <w:spacing w:before="120" w:beforeLines="50" w:after="50" w:line="320" w:lineRule="exact"/>
        <w:ind w:firstLine="420" w:firstLineChars="200"/>
        <w:rPr>
          <w:rFonts w:ascii="宋体" w:hAnsi="宋体"/>
          <w:bCs/>
          <w:szCs w:val="21"/>
          <w:highlight w:val="none"/>
        </w:rPr>
      </w:pPr>
    </w:p>
    <w:p>
      <w:pPr>
        <w:snapToGrid w:val="0"/>
        <w:spacing w:before="120" w:beforeLines="50" w:after="50" w:line="320" w:lineRule="exact"/>
        <w:ind w:firstLine="420" w:firstLineChars="200"/>
        <w:rPr>
          <w:rFonts w:ascii="宋体" w:hAnsi="宋体"/>
          <w:bCs/>
          <w:szCs w:val="21"/>
          <w:highlight w:val="none"/>
        </w:rPr>
      </w:pPr>
      <w:r>
        <w:rPr>
          <w:rFonts w:hint="eastAsia" w:ascii="宋体" w:hAnsi="宋体"/>
          <w:bCs/>
          <w:szCs w:val="21"/>
          <w:highlight w:val="none"/>
        </w:rPr>
        <w:t xml:space="preserve">项目名称： </w:t>
      </w:r>
    </w:p>
    <w:p>
      <w:pPr>
        <w:snapToGrid w:val="0"/>
        <w:spacing w:before="120" w:beforeLines="50" w:after="50" w:line="320" w:lineRule="exact"/>
        <w:ind w:firstLine="420" w:firstLineChars="200"/>
        <w:rPr>
          <w:rFonts w:ascii="宋体" w:hAnsi="宋体"/>
          <w:bCs/>
          <w:szCs w:val="21"/>
          <w:highlight w:val="none"/>
        </w:rPr>
      </w:pPr>
      <w:r>
        <w:rPr>
          <w:rFonts w:hint="eastAsia" w:ascii="宋体" w:hAnsi="宋体"/>
          <w:bCs/>
          <w:szCs w:val="21"/>
          <w:highlight w:val="none"/>
        </w:rPr>
        <w:t>项目编号：</w:t>
      </w:r>
    </w:p>
    <w:p>
      <w:pPr>
        <w:snapToGrid w:val="0"/>
        <w:spacing w:before="120" w:beforeLines="50" w:after="50" w:line="320" w:lineRule="exact"/>
        <w:ind w:firstLine="420" w:firstLineChars="200"/>
        <w:rPr>
          <w:rFonts w:ascii="宋体" w:hAnsi="宋体"/>
          <w:bCs/>
          <w:szCs w:val="21"/>
          <w:highlight w:val="none"/>
        </w:rPr>
      </w:pPr>
      <w:r>
        <w:rPr>
          <w:rFonts w:hint="eastAsia" w:ascii="宋体" w:hAnsi="宋体"/>
          <w:bCs/>
          <w:szCs w:val="21"/>
          <w:highlight w:val="none"/>
        </w:rPr>
        <w:t>投标人名称：</w:t>
      </w:r>
    </w:p>
    <w:p>
      <w:pPr>
        <w:snapToGrid w:val="0"/>
        <w:spacing w:before="120" w:beforeLines="50" w:after="50" w:line="320" w:lineRule="exact"/>
        <w:ind w:firstLine="420" w:firstLineChars="200"/>
        <w:rPr>
          <w:rFonts w:ascii="宋体" w:hAnsi="宋体"/>
          <w:bCs/>
          <w:szCs w:val="21"/>
          <w:highlight w:val="none"/>
        </w:rPr>
      </w:pPr>
      <w:r>
        <w:rPr>
          <w:rFonts w:hint="eastAsia" w:ascii="宋体" w:hAnsi="宋体"/>
          <w:bCs/>
          <w:szCs w:val="21"/>
          <w:highlight w:val="none"/>
        </w:rPr>
        <w:t>投标人地址：</w:t>
      </w:r>
    </w:p>
    <w:p>
      <w:pPr>
        <w:snapToGrid w:val="0"/>
        <w:spacing w:before="120" w:beforeLines="50" w:after="50" w:line="320" w:lineRule="exact"/>
        <w:ind w:firstLine="3570" w:firstLineChars="1700"/>
        <w:rPr>
          <w:rFonts w:ascii="宋体" w:hAnsi="宋体"/>
          <w:szCs w:val="21"/>
          <w:highlight w:val="none"/>
        </w:rPr>
      </w:pPr>
    </w:p>
    <w:p>
      <w:pPr>
        <w:snapToGrid w:val="0"/>
        <w:spacing w:before="120" w:beforeLines="50" w:after="50" w:line="320" w:lineRule="exact"/>
        <w:ind w:firstLine="3570" w:firstLineChars="1700"/>
        <w:rPr>
          <w:rFonts w:ascii="宋体" w:hAnsi="宋体"/>
          <w:szCs w:val="21"/>
          <w:highlight w:val="none"/>
        </w:rPr>
      </w:pPr>
    </w:p>
    <w:p>
      <w:pPr>
        <w:snapToGrid w:val="0"/>
        <w:spacing w:before="120" w:beforeLines="50" w:after="50" w:line="320" w:lineRule="exact"/>
        <w:ind w:firstLine="3570" w:firstLineChars="1700"/>
        <w:rPr>
          <w:rFonts w:ascii="宋体" w:hAnsi="宋体"/>
          <w:szCs w:val="21"/>
          <w:highlight w:val="none"/>
        </w:rPr>
      </w:pPr>
    </w:p>
    <w:p>
      <w:pPr>
        <w:snapToGrid w:val="0"/>
        <w:spacing w:before="120" w:beforeLines="50" w:after="50" w:line="320" w:lineRule="exact"/>
        <w:ind w:firstLine="3570" w:firstLineChars="1700"/>
        <w:rPr>
          <w:rFonts w:ascii="宋体" w:hAnsi="宋体"/>
          <w:szCs w:val="21"/>
          <w:highlight w:val="none"/>
        </w:rPr>
      </w:pPr>
    </w:p>
    <w:p>
      <w:pPr>
        <w:snapToGrid w:val="0"/>
        <w:spacing w:before="120" w:beforeLines="50" w:after="50" w:line="320" w:lineRule="exact"/>
        <w:ind w:firstLine="3570" w:firstLineChars="1700"/>
        <w:rPr>
          <w:rFonts w:ascii="宋体" w:hAnsi="宋体"/>
          <w:szCs w:val="21"/>
          <w:highlight w:val="none"/>
        </w:rPr>
      </w:pPr>
    </w:p>
    <w:p>
      <w:pPr>
        <w:snapToGrid w:val="0"/>
        <w:spacing w:before="120" w:beforeLines="50" w:after="50" w:line="320" w:lineRule="exact"/>
        <w:ind w:firstLine="645"/>
        <w:jc w:val="center"/>
        <w:rPr>
          <w:rFonts w:ascii="宋体" w:hAnsi="宋体"/>
          <w:szCs w:val="21"/>
          <w:highlight w:val="none"/>
        </w:rPr>
      </w:pPr>
      <w:r>
        <w:rPr>
          <w:rFonts w:hint="eastAsia" w:ascii="宋体" w:hAnsi="宋体"/>
          <w:szCs w:val="21"/>
          <w:highlight w:val="none"/>
        </w:rPr>
        <w:t xml:space="preserve">                        年  月  日</w:t>
      </w: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rPr>
          <w:rFonts w:ascii="宋体" w:hAnsi="宋体"/>
          <w:b/>
          <w:szCs w:val="21"/>
          <w:highlight w:val="none"/>
        </w:rPr>
      </w:pPr>
    </w:p>
    <w:p>
      <w:pPr>
        <w:snapToGrid w:val="0"/>
        <w:spacing w:before="50" w:after="50" w:line="440" w:lineRule="exact"/>
        <w:jc w:val="center"/>
        <w:rPr>
          <w:rFonts w:ascii="宋体" w:hAnsi="宋体"/>
          <w:b/>
          <w:bCs/>
          <w:szCs w:val="21"/>
          <w:highlight w:val="none"/>
        </w:rPr>
      </w:pPr>
      <w:r>
        <w:rPr>
          <w:rFonts w:hint="eastAsia" w:ascii="宋体" w:hAnsi="宋体"/>
          <w:b/>
          <w:bCs/>
          <w:szCs w:val="21"/>
          <w:highlight w:val="none"/>
        </w:rPr>
        <w:t>目录</w:t>
      </w:r>
    </w:p>
    <w:p>
      <w:pPr>
        <w:snapToGrid w:val="0"/>
        <w:spacing w:before="50" w:after="50" w:line="440" w:lineRule="exact"/>
        <w:jc w:val="right"/>
        <w:rPr>
          <w:rFonts w:ascii="宋体" w:hAnsi="宋体"/>
          <w:sz w:val="18"/>
          <w:szCs w:val="18"/>
          <w:highlight w:val="none"/>
        </w:rPr>
      </w:pPr>
      <w:r>
        <w:rPr>
          <w:rFonts w:hint="eastAsia" w:ascii="宋体" w:hAnsi="宋体"/>
          <w:sz w:val="18"/>
          <w:szCs w:val="18"/>
          <w:highlight w:val="none"/>
        </w:rPr>
        <w:t>（自行编写页码）</w:t>
      </w:r>
    </w:p>
    <w:p>
      <w:pPr>
        <w:adjustRightInd w:val="0"/>
        <w:snapToGrid w:val="0"/>
        <w:spacing w:line="400" w:lineRule="exact"/>
        <w:ind w:firstLine="411" w:firstLineChars="196"/>
        <w:jc w:val="left"/>
        <w:rPr>
          <w:rFonts w:ascii="宋体" w:hAnsi="宋体"/>
          <w:szCs w:val="21"/>
          <w:highlight w:val="none"/>
        </w:rPr>
      </w:pPr>
      <w:r>
        <w:rPr>
          <w:rFonts w:hint="eastAsia" w:ascii="宋体" w:hAnsi="宋体"/>
          <w:szCs w:val="21"/>
          <w:highlight w:val="none"/>
        </w:rPr>
        <w:t>（1）投标人情况介绍；</w:t>
      </w:r>
    </w:p>
    <w:p>
      <w:pPr>
        <w:snapToGrid w:val="0"/>
        <w:spacing w:line="320" w:lineRule="exact"/>
        <w:ind w:firstLine="210" w:firstLineChars="100"/>
        <w:jc w:val="left"/>
        <w:rPr>
          <w:rFonts w:ascii="宋体" w:hAnsi="宋体"/>
          <w:b/>
          <w:szCs w:val="21"/>
          <w:highlight w:val="none"/>
        </w:rPr>
      </w:pPr>
      <w:r>
        <w:rPr>
          <w:rFonts w:hint="eastAsia" w:ascii="宋体" w:hAnsi="宋体"/>
          <w:szCs w:val="21"/>
          <w:highlight w:val="none"/>
        </w:rPr>
        <w:t>▲（2）商务响应表（格式见附件）；</w:t>
      </w:r>
      <w:r>
        <w:rPr>
          <w:rFonts w:hint="eastAsia" w:ascii="宋体"/>
          <w:szCs w:val="21"/>
          <w:highlight w:val="none"/>
        </w:rPr>
        <w:t>（必须提供）</w:t>
      </w:r>
      <w:r>
        <w:rPr>
          <w:rFonts w:hint="eastAsia" w:ascii="宋体" w:hAnsi="宋体"/>
          <w:szCs w:val="21"/>
          <w:highlight w:val="none"/>
        </w:rPr>
        <w:t xml:space="preserve"> </w:t>
      </w:r>
    </w:p>
    <w:p>
      <w:pPr>
        <w:adjustRightInd w:val="0"/>
        <w:snapToGrid w:val="0"/>
        <w:spacing w:line="400" w:lineRule="exact"/>
        <w:ind w:firstLine="210" w:firstLineChars="100"/>
        <w:jc w:val="left"/>
        <w:rPr>
          <w:rFonts w:ascii="宋体" w:hAnsi="宋体"/>
          <w:b/>
          <w:szCs w:val="21"/>
          <w:highlight w:val="none"/>
        </w:rPr>
      </w:pPr>
      <w:r>
        <w:rPr>
          <w:rFonts w:hint="eastAsia" w:ascii="宋体" w:hAnsi="宋体"/>
          <w:szCs w:val="21"/>
          <w:highlight w:val="none"/>
        </w:rPr>
        <w:t>▲（3）投标人针对本项目的方案（必须包含技术服务方案、施工方案、售后服务方案，自行编写，格式自拟）（必须提供）</w:t>
      </w:r>
    </w:p>
    <w:p>
      <w:pPr>
        <w:adjustRightInd w:val="0"/>
        <w:snapToGrid w:val="0"/>
        <w:spacing w:line="400" w:lineRule="exact"/>
        <w:ind w:firstLine="420" w:firstLineChars="200"/>
        <w:jc w:val="left"/>
        <w:rPr>
          <w:rFonts w:ascii="宋体" w:hAnsi="宋体"/>
          <w:b/>
          <w:szCs w:val="21"/>
          <w:highlight w:val="none"/>
        </w:rPr>
      </w:pPr>
      <w:r>
        <w:rPr>
          <w:rFonts w:hint="eastAsia" w:ascii="宋体" w:hAnsi="宋体"/>
          <w:szCs w:val="21"/>
          <w:highlight w:val="none"/>
        </w:rPr>
        <w:t>（4）2017年1月1日至投标截止时间止投标人承接的同类项目业绩一览表（投标人同类项目实施情况一览表、合同复印件、用户验收报告、用户评价）；</w:t>
      </w:r>
    </w:p>
    <w:p>
      <w:pPr>
        <w:adjustRightInd w:val="0"/>
        <w:snapToGrid w:val="0"/>
        <w:spacing w:line="400" w:lineRule="exact"/>
        <w:ind w:firstLine="210" w:firstLineChars="100"/>
        <w:jc w:val="left"/>
        <w:rPr>
          <w:rFonts w:ascii="宋体" w:hAnsi="宋体"/>
          <w:szCs w:val="21"/>
          <w:highlight w:val="none"/>
        </w:rPr>
      </w:pPr>
      <w:r>
        <w:rPr>
          <w:rFonts w:hint="eastAsia" w:ascii="宋体" w:hAnsi="宋体"/>
          <w:szCs w:val="21"/>
          <w:highlight w:val="none"/>
        </w:rPr>
        <w:t>▲（5）设备配置清单（均不含报价）；</w:t>
      </w:r>
      <w:r>
        <w:rPr>
          <w:rFonts w:hint="eastAsia" w:ascii="宋体"/>
          <w:szCs w:val="21"/>
          <w:highlight w:val="none"/>
        </w:rPr>
        <w:t>（必须提供）</w:t>
      </w:r>
    </w:p>
    <w:p>
      <w:pPr>
        <w:adjustRightInd w:val="0"/>
        <w:snapToGrid w:val="0"/>
        <w:spacing w:line="400" w:lineRule="exact"/>
        <w:ind w:firstLine="210" w:firstLineChars="100"/>
        <w:jc w:val="left"/>
        <w:rPr>
          <w:rFonts w:ascii="宋体" w:hAnsi="宋体"/>
          <w:szCs w:val="21"/>
          <w:highlight w:val="none"/>
        </w:rPr>
      </w:pPr>
      <w:r>
        <w:rPr>
          <w:rFonts w:hint="eastAsia" w:ascii="宋体" w:hAnsi="宋体"/>
          <w:szCs w:val="21"/>
          <w:highlight w:val="none"/>
        </w:rPr>
        <w:t>▲（6）技术响应表；</w:t>
      </w:r>
      <w:r>
        <w:rPr>
          <w:rFonts w:hint="eastAsia" w:ascii="宋体"/>
          <w:szCs w:val="21"/>
          <w:highlight w:val="none"/>
        </w:rPr>
        <w:t>（必须提供）</w:t>
      </w:r>
    </w:p>
    <w:p>
      <w:pPr>
        <w:adjustRightInd w:val="0"/>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（7）项目实施人员一览表；</w:t>
      </w:r>
    </w:p>
    <w:p>
      <w:pPr>
        <w:adjustRightInd w:val="0"/>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（8）投标人需要说明的其他文件和说明。</w:t>
      </w:r>
    </w:p>
    <w:p>
      <w:pPr>
        <w:snapToGrid w:val="0"/>
        <w:spacing w:before="50" w:after="120" w:afterLines="50" w:line="440" w:lineRule="exact"/>
        <w:jc w:val="left"/>
        <w:rPr>
          <w:rFonts w:ascii="宋体" w:hAnsi="宋体"/>
          <w:szCs w:val="21"/>
          <w:highlight w:val="none"/>
        </w:rPr>
      </w:pPr>
    </w:p>
    <w:p>
      <w:pPr>
        <w:snapToGrid w:val="0"/>
        <w:spacing w:before="50" w:after="120" w:afterLines="50" w:line="440" w:lineRule="exact"/>
        <w:jc w:val="left"/>
        <w:rPr>
          <w:rFonts w:ascii="宋体" w:hAnsi="宋体"/>
          <w:szCs w:val="21"/>
          <w:highlight w:val="none"/>
        </w:rPr>
      </w:pPr>
    </w:p>
    <w:p>
      <w:pPr>
        <w:snapToGrid w:val="0"/>
        <w:spacing w:before="50" w:after="120" w:afterLines="50" w:line="440" w:lineRule="exact"/>
        <w:jc w:val="left"/>
        <w:rPr>
          <w:rFonts w:ascii="宋体" w:hAnsi="宋体"/>
          <w:szCs w:val="21"/>
          <w:highlight w:val="none"/>
        </w:rPr>
      </w:pPr>
    </w:p>
    <w:p>
      <w:pPr>
        <w:snapToGrid w:val="0"/>
        <w:spacing w:before="50" w:after="120" w:afterLines="50" w:line="440" w:lineRule="exact"/>
        <w:jc w:val="left"/>
        <w:rPr>
          <w:rFonts w:ascii="宋体" w:hAnsi="宋体"/>
          <w:szCs w:val="21"/>
          <w:highlight w:val="none"/>
        </w:rPr>
      </w:pPr>
    </w:p>
    <w:p>
      <w:pPr>
        <w:snapToGrid w:val="0"/>
        <w:spacing w:before="50" w:after="120" w:afterLines="50" w:line="440" w:lineRule="exact"/>
        <w:jc w:val="left"/>
        <w:rPr>
          <w:rFonts w:ascii="宋体" w:hAnsi="宋体"/>
          <w:szCs w:val="21"/>
          <w:highlight w:val="none"/>
        </w:rPr>
      </w:pPr>
    </w:p>
    <w:p>
      <w:pPr>
        <w:snapToGrid w:val="0"/>
        <w:spacing w:before="50" w:after="120" w:afterLines="50" w:line="440" w:lineRule="exact"/>
        <w:jc w:val="left"/>
        <w:rPr>
          <w:rFonts w:ascii="宋体" w:hAnsi="宋体"/>
          <w:szCs w:val="21"/>
          <w:highlight w:val="none"/>
        </w:rPr>
      </w:pPr>
    </w:p>
    <w:p>
      <w:pPr>
        <w:snapToGrid w:val="0"/>
        <w:spacing w:before="50" w:after="120" w:afterLines="50" w:line="440" w:lineRule="exact"/>
        <w:jc w:val="left"/>
        <w:rPr>
          <w:rFonts w:ascii="宋体" w:hAnsi="宋体"/>
          <w:szCs w:val="21"/>
          <w:highlight w:val="none"/>
        </w:rPr>
      </w:pPr>
    </w:p>
    <w:p>
      <w:pPr>
        <w:snapToGrid w:val="0"/>
        <w:spacing w:before="50" w:after="120" w:afterLines="50" w:line="440" w:lineRule="exact"/>
        <w:jc w:val="left"/>
        <w:rPr>
          <w:rFonts w:ascii="宋体" w:hAnsi="宋体"/>
          <w:szCs w:val="21"/>
          <w:highlight w:val="none"/>
        </w:rPr>
      </w:pPr>
    </w:p>
    <w:p>
      <w:pPr>
        <w:snapToGrid w:val="0"/>
        <w:spacing w:before="50" w:after="120" w:afterLines="50" w:line="440" w:lineRule="exact"/>
        <w:jc w:val="left"/>
        <w:rPr>
          <w:rFonts w:ascii="宋体" w:hAnsi="宋体"/>
          <w:szCs w:val="21"/>
          <w:highlight w:val="none"/>
        </w:rPr>
      </w:pPr>
    </w:p>
    <w:p>
      <w:pPr>
        <w:snapToGrid w:val="0"/>
        <w:spacing w:before="50" w:after="120" w:afterLines="50" w:line="440" w:lineRule="exact"/>
        <w:jc w:val="left"/>
        <w:rPr>
          <w:rFonts w:ascii="宋体" w:hAnsi="宋体"/>
          <w:szCs w:val="21"/>
          <w:highlight w:val="none"/>
        </w:rPr>
      </w:pPr>
    </w:p>
    <w:p>
      <w:pPr>
        <w:snapToGrid w:val="0"/>
        <w:spacing w:before="50" w:after="120" w:afterLines="50" w:line="440" w:lineRule="exact"/>
        <w:jc w:val="left"/>
        <w:rPr>
          <w:rFonts w:ascii="宋体" w:hAnsi="宋体"/>
          <w:szCs w:val="21"/>
          <w:highlight w:val="none"/>
        </w:rPr>
      </w:pPr>
    </w:p>
    <w:p>
      <w:pPr>
        <w:snapToGrid w:val="0"/>
        <w:spacing w:before="50" w:after="120" w:afterLines="50" w:line="440" w:lineRule="exact"/>
        <w:jc w:val="left"/>
        <w:rPr>
          <w:rFonts w:ascii="宋体" w:hAnsi="宋体"/>
          <w:szCs w:val="21"/>
          <w:highlight w:val="none"/>
        </w:rPr>
      </w:pPr>
    </w:p>
    <w:p>
      <w:pPr>
        <w:snapToGrid w:val="0"/>
        <w:spacing w:before="50" w:after="120" w:afterLines="50" w:line="440" w:lineRule="exact"/>
        <w:jc w:val="left"/>
        <w:rPr>
          <w:rFonts w:ascii="宋体" w:hAnsi="宋体"/>
          <w:szCs w:val="21"/>
          <w:highlight w:val="none"/>
        </w:rPr>
      </w:pPr>
    </w:p>
    <w:p>
      <w:pPr>
        <w:snapToGrid w:val="0"/>
        <w:spacing w:before="50" w:after="120" w:afterLines="50" w:line="440" w:lineRule="exact"/>
        <w:jc w:val="left"/>
        <w:rPr>
          <w:rFonts w:ascii="宋体" w:hAnsi="宋体"/>
          <w:szCs w:val="21"/>
          <w:highlight w:val="none"/>
        </w:rPr>
      </w:pPr>
    </w:p>
    <w:p>
      <w:pPr>
        <w:snapToGrid w:val="0"/>
        <w:spacing w:before="50" w:after="120" w:afterLines="50" w:line="440" w:lineRule="exact"/>
        <w:jc w:val="left"/>
        <w:rPr>
          <w:rFonts w:ascii="宋体" w:hAnsi="宋体"/>
          <w:szCs w:val="21"/>
          <w:highlight w:val="none"/>
        </w:rPr>
      </w:pPr>
    </w:p>
    <w:p>
      <w:pPr>
        <w:snapToGrid w:val="0"/>
        <w:spacing w:before="50" w:after="120" w:afterLines="50" w:line="440" w:lineRule="exact"/>
        <w:jc w:val="left"/>
        <w:rPr>
          <w:rFonts w:ascii="宋体" w:hAnsi="宋体"/>
          <w:szCs w:val="21"/>
          <w:highlight w:val="none"/>
        </w:rPr>
      </w:pPr>
    </w:p>
    <w:p>
      <w:pPr>
        <w:snapToGrid w:val="0"/>
        <w:spacing w:before="50" w:after="120" w:afterLines="50" w:line="440" w:lineRule="exact"/>
        <w:jc w:val="left"/>
        <w:rPr>
          <w:rFonts w:ascii="宋体" w:hAnsi="宋体"/>
          <w:szCs w:val="21"/>
          <w:highlight w:val="none"/>
        </w:rPr>
      </w:pPr>
    </w:p>
    <w:p>
      <w:pPr>
        <w:adjustRightInd w:val="0"/>
        <w:snapToGrid w:val="0"/>
        <w:spacing w:line="400" w:lineRule="exact"/>
        <w:ind w:firstLine="413" w:firstLineChars="196"/>
        <w:jc w:val="center"/>
        <w:rPr>
          <w:rFonts w:ascii="宋体" w:hAnsi="宋体"/>
          <w:b/>
          <w:bCs/>
          <w:szCs w:val="21"/>
          <w:highlight w:val="none"/>
        </w:rPr>
      </w:pPr>
      <w:r>
        <w:rPr>
          <w:rFonts w:hint="eastAsia" w:ascii="宋体" w:hAnsi="宋体"/>
          <w:b/>
          <w:bCs/>
          <w:szCs w:val="21"/>
          <w:highlight w:val="none"/>
        </w:rPr>
        <w:t>（1）投标人情况介绍；</w:t>
      </w:r>
    </w:p>
    <w:p>
      <w:pPr>
        <w:snapToGrid w:val="0"/>
        <w:spacing w:line="320" w:lineRule="exact"/>
        <w:ind w:firstLine="210" w:firstLineChars="100"/>
        <w:jc w:val="left"/>
        <w:rPr>
          <w:rFonts w:ascii="宋体" w:hAnsi="宋体"/>
          <w:szCs w:val="21"/>
          <w:highlight w:val="none"/>
        </w:rPr>
      </w:pPr>
    </w:p>
    <w:p>
      <w:pPr>
        <w:snapToGrid w:val="0"/>
        <w:spacing w:line="320" w:lineRule="exact"/>
        <w:ind w:firstLine="210" w:firstLineChars="100"/>
        <w:jc w:val="left"/>
        <w:rPr>
          <w:rFonts w:ascii="宋体" w:hAnsi="宋体"/>
          <w:szCs w:val="21"/>
          <w:highlight w:val="none"/>
        </w:rPr>
      </w:pPr>
    </w:p>
    <w:p>
      <w:pPr>
        <w:snapToGrid w:val="0"/>
        <w:spacing w:line="320" w:lineRule="exact"/>
        <w:ind w:firstLine="210" w:firstLineChars="100"/>
        <w:jc w:val="left"/>
        <w:rPr>
          <w:rFonts w:ascii="宋体" w:hAnsi="宋体"/>
          <w:szCs w:val="21"/>
          <w:highlight w:val="none"/>
        </w:rPr>
      </w:pPr>
    </w:p>
    <w:p>
      <w:pPr>
        <w:snapToGrid w:val="0"/>
        <w:spacing w:line="320" w:lineRule="exact"/>
        <w:jc w:val="center"/>
        <w:rPr>
          <w:rFonts w:ascii="宋体"/>
          <w:b/>
          <w:bCs/>
          <w:szCs w:val="21"/>
          <w:highlight w:val="none"/>
        </w:rPr>
      </w:pPr>
      <w:r>
        <w:rPr>
          <w:rFonts w:hint="eastAsia" w:ascii="宋体" w:hAnsi="宋体"/>
          <w:b/>
          <w:bCs/>
          <w:szCs w:val="21"/>
          <w:highlight w:val="none"/>
        </w:rPr>
        <w:t>（2）商务响应表；</w:t>
      </w:r>
      <w:r>
        <w:rPr>
          <w:rFonts w:hint="eastAsia" w:ascii="宋体"/>
          <w:b/>
          <w:bCs/>
          <w:szCs w:val="21"/>
          <w:highlight w:val="none"/>
        </w:rPr>
        <w:t>（必须提供）</w:t>
      </w:r>
    </w:p>
    <w:p>
      <w:pPr>
        <w:snapToGrid w:val="0"/>
        <w:spacing w:line="320" w:lineRule="exact"/>
        <w:jc w:val="left"/>
        <w:rPr>
          <w:rFonts w:ascii="宋体"/>
          <w:szCs w:val="21"/>
          <w:highlight w:val="none"/>
        </w:rPr>
      </w:pPr>
    </w:p>
    <w:p>
      <w:pPr>
        <w:snapToGrid w:val="0"/>
        <w:spacing w:line="320" w:lineRule="exact"/>
        <w:jc w:val="left"/>
        <w:rPr>
          <w:rFonts w:ascii="宋体"/>
          <w:szCs w:val="21"/>
          <w:highlight w:val="none"/>
        </w:rPr>
      </w:pPr>
    </w:p>
    <w:p>
      <w:pPr>
        <w:snapToGrid w:val="0"/>
        <w:spacing w:before="120" w:beforeLines="50" w:after="50"/>
        <w:jc w:val="left"/>
        <w:rPr>
          <w:rFonts w:ascii="宋体" w:hAnsi="宋体" w:cs="宋体"/>
          <w:b/>
          <w:sz w:val="24"/>
          <w:szCs w:val="20"/>
          <w:highlight w:val="none"/>
        </w:rPr>
      </w:pPr>
      <w:r>
        <w:rPr>
          <w:rFonts w:hint="eastAsia" w:ascii="宋体" w:hAnsi="宋体" w:cs="宋体"/>
          <w:b/>
          <w:sz w:val="24"/>
          <w:highlight w:val="none"/>
        </w:rPr>
        <w:t>商务响应表格式：</w:t>
      </w:r>
    </w:p>
    <w:tbl>
      <w:tblPr>
        <w:tblStyle w:val="35"/>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91"/>
        <w:gridCol w:w="3037"/>
        <w:gridCol w:w="1443"/>
        <w:gridCol w:w="26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39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r>
              <w:rPr>
                <w:rFonts w:hint="eastAsia" w:ascii="宋体" w:hAnsi="宋体" w:cs="宋体"/>
                <w:sz w:val="24"/>
                <w:highlight w:val="none"/>
              </w:rPr>
              <w:t>项目</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r>
              <w:rPr>
                <w:rFonts w:hint="eastAsia" w:ascii="宋体" w:hAnsi="宋体" w:cs="宋体"/>
                <w:sz w:val="24"/>
                <w:highlight w:val="none"/>
              </w:rPr>
              <w:t>招标文件要求</w:t>
            </w:r>
          </w:p>
        </w:tc>
        <w:tc>
          <w:tcPr>
            <w:tcW w:w="1443"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r>
              <w:rPr>
                <w:rFonts w:hint="eastAsia" w:ascii="宋体" w:hAnsi="宋体" w:cs="宋体"/>
                <w:sz w:val="24"/>
                <w:highlight w:val="none"/>
              </w:rPr>
              <w:t>是否响应</w:t>
            </w:r>
          </w:p>
        </w:tc>
        <w:tc>
          <w:tcPr>
            <w:tcW w:w="265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r>
              <w:rPr>
                <w:rFonts w:hint="eastAsia" w:ascii="宋体" w:hAnsi="宋体" w:cs="宋体"/>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highlight w:val="none"/>
              </w:rPr>
            </w:pPr>
            <w:r>
              <w:rPr>
                <w:rFonts w:hint="eastAsia" w:ascii="宋体" w:hAnsi="宋体" w:cs="宋体"/>
                <w:szCs w:val="21"/>
                <w:highlight w:val="none"/>
              </w:rPr>
              <w:t>质保期</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highlight w:val="none"/>
              </w:rPr>
            </w:pPr>
            <w:r>
              <w:rPr>
                <w:rFonts w:hint="eastAsia" w:ascii="宋体" w:hAnsi="宋体" w:cs="宋体"/>
                <w:szCs w:val="21"/>
                <w:highlight w:val="none"/>
              </w:rPr>
              <w:t>投标报价</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highlight w:val="none"/>
              </w:rPr>
            </w:pPr>
            <w:r>
              <w:rPr>
                <w:rFonts w:hint="eastAsia" w:ascii="宋体" w:hAnsi="宋体" w:cs="宋体"/>
                <w:szCs w:val="21"/>
                <w:highlight w:val="none"/>
              </w:rPr>
              <w:t>售后服务及其他要求</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rPr>
                <w:rFonts w:ascii="宋体" w:hAnsi="宋体" w:cs="宋体"/>
                <w:sz w:val="24"/>
                <w:highlight w:val="none"/>
                <w:u w:val="singl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ind w:left="43"/>
              <w:jc w:val="center"/>
              <w:rPr>
                <w:rFonts w:ascii="宋体" w:hAnsi="宋体" w:cs="宋体"/>
                <w:sz w:val="24"/>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ind w:left="43"/>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highlight w:val="none"/>
              </w:rPr>
            </w:pPr>
            <w:r>
              <w:rPr>
                <w:rFonts w:hint="eastAsia" w:ascii="宋体" w:hAnsi="宋体" w:cs="宋体"/>
                <w:szCs w:val="21"/>
                <w:highlight w:val="none"/>
              </w:rPr>
              <w:t>交付是使用期及交货地点</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rPr>
                <w:rFonts w:ascii="宋体" w:hAnsi="宋体" w:cs="宋体"/>
                <w:sz w:val="24"/>
                <w:highlight w:val="non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highlight w:val="none"/>
              </w:rPr>
            </w:pPr>
            <w:r>
              <w:rPr>
                <w:rFonts w:hint="eastAsia" w:ascii="宋体" w:hAnsi="宋体" w:cs="宋体"/>
                <w:szCs w:val="21"/>
                <w:highlight w:val="none"/>
              </w:rPr>
              <w:t>签订合同日期</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highlight w:val="none"/>
              </w:rPr>
            </w:pPr>
            <w:r>
              <w:rPr>
                <w:rFonts w:hint="eastAsia" w:ascii="宋体" w:hAnsi="宋体" w:cs="宋体"/>
                <w:szCs w:val="21"/>
                <w:highlight w:val="none"/>
              </w:rPr>
              <w:t>付款条件</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b/>
                <w:sz w:val="24"/>
                <w:highlight w:val="none"/>
              </w:rPr>
            </w:pPr>
            <w:r>
              <w:rPr>
                <w:rFonts w:hint="eastAsia" w:ascii="宋体" w:hAnsi="宋体" w:cs="宋体"/>
                <w:bCs/>
                <w:szCs w:val="21"/>
                <w:highlight w:val="none"/>
              </w:rPr>
              <w:t>货物验收</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highlight w:val="none"/>
              </w:rPr>
            </w:pPr>
            <w:r>
              <w:rPr>
                <w:rFonts w:hint="eastAsia" w:ascii="宋体" w:hAnsi="宋体" w:cs="宋体"/>
                <w:sz w:val="24"/>
                <w:highlight w:val="none"/>
              </w:rPr>
              <w:t>…</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cs="宋体"/>
                <w:sz w:val="24"/>
                <w:highlight w:val="none"/>
              </w:rPr>
            </w:pPr>
          </w:p>
        </w:tc>
      </w:tr>
    </w:tbl>
    <w:p>
      <w:pPr>
        <w:snapToGrid w:val="0"/>
        <w:spacing w:line="320" w:lineRule="exact"/>
        <w:jc w:val="left"/>
        <w:rPr>
          <w:rFonts w:ascii="宋体"/>
          <w:szCs w:val="21"/>
          <w:highlight w:val="none"/>
        </w:rPr>
      </w:pPr>
    </w:p>
    <w:p>
      <w:pPr>
        <w:snapToGrid w:val="0"/>
        <w:spacing w:line="320" w:lineRule="exact"/>
        <w:jc w:val="left"/>
        <w:rPr>
          <w:rFonts w:ascii="宋体"/>
          <w:szCs w:val="21"/>
          <w:highlight w:val="none"/>
        </w:rPr>
      </w:pPr>
    </w:p>
    <w:p>
      <w:pPr>
        <w:snapToGrid w:val="0"/>
        <w:spacing w:line="320" w:lineRule="exact"/>
        <w:jc w:val="left"/>
        <w:rPr>
          <w:rFonts w:ascii="宋体"/>
          <w:szCs w:val="21"/>
          <w:highlight w:val="none"/>
        </w:rPr>
      </w:pPr>
    </w:p>
    <w:p>
      <w:pPr>
        <w:snapToGrid w:val="0"/>
        <w:spacing w:line="320" w:lineRule="exact"/>
        <w:jc w:val="left"/>
        <w:rPr>
          <w:rFonts w:ascii="宋体" w:hAnsi="宋体"/>
          <w:szCs w:val="21"/>
          <w:highlight w:val="none"/>
        </w:rPr>
      </w:pPr>
      <w:r>
        <w:rPr>
          <w:rFonts w:hint="eastAsia" w:ascii="宋体" w:hAnsi="宋体"/>
          <w:szCs w:val="21"/>
          <w:highlight w:val="none"/>
        </w:rPr>
        <w:t xml:space="preserve"> </w:t>
      </w:r>
    </w:p>
    <w:p>
      <w:pPr>
        <w:snapToGrid w:val="0"/>
        <w:spacing w:line="320" w:lineRule="exact"/>
        <w:jc w:val="left"/>
        <w:rPr>
          <w:rFonts w:ascii="宋体" w:hAnsi="宋体"/>
          <w:szCs w:val="21"/>
          <w:highlight w:val="none"/>
        </w:rPr>
      </w:pPr>
    </w:p>
    <w:p>
      <w:pPr>
        <w:snapToGrid w:val="0"/>
        <w:spacing w:line="440" w:lineRule="exact"/>
        <w:rPr>
          <w:rFonts w:ascii="宋体" w:hAnsi="宋体"/>
          <w:szCs w:val="21"/>
          <w:highlight w:val="none"/>
          <w:u w:val="single"/>
        </w:rPr>
      </w:pPr>
      <w:r>
        <w:rPr>
          <w:rFonts w:hint="eastAsia" w:ascii="宋体" w:hAnsi="宋体"/>
          <w:szCs w:val="21"/>
          <w:highlight w:val="none"/>
        </w:rPr>
        <w:t>法定代表人（负责人）或授权代表签名：</w:t>
      </w:r>
      <w:r>
        <w:rPr>
          <w:rFonts w:hint="eastAsia" w:ascii="宋体" w:hAnsi="宋体"/>
          <w:szCs w:val="21"/>
          <w:highlight w:val="none"/>
          <w:u w:val="single"/>
        </w:rPr>
        <w:t xml:space="preserve">               </w:t>
      </w:r>
    </w:p>
    <w:p>
      <w:pPr>
        <w:snapToGrid w:val="0"/>
        <w:spacing w:line="440" w:lineRule="exact"/>
        <w:jc w:val="left"/>
        <w:rPr>
          <w:rFonts w:ascii="宋体" w:hAnsi="宋体"/>
          <w:szCs w:val="21"/>
          <w:highlight w:val="none"/>
        </w:rPr>
      </w:pPr>
      <w:r>
        <w:rPr>
          <w:rFonts w:hint="eastAsia" w:ascii="宋体" w:hAnsi="宋体"/>
          <w:szCs w:val="21"/>
          <w:highlight w:val="none"/>
        </w:rPr>
        <w:t>投标人盖章：</w:t>
      </w:r>
      <w:r>
        <w:rPr>
          <w:rFonts w:hint="eastAsia" w:ascii="宋体" w:hAnsi="宋体"/>
          <w:szCs w:val="21"/>
          <w:highlight w:val="none"/>
          <w:u w:val="single"/>
        </w:rPr>
        <w:t xml:space="preserve">                 </w:t>
      </w:r>
    </w:p>
    <w:p>
      <w:pPr>
        <w:snapToGrid w:val="0"/>
        <w:spacing w:line="320" w:lineRule="exact"/>
        <w:jc w:val="left"/>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p>
    <w:p>
      <w:pPr>
        <w:snapToGrid w:val="0"/>
        <w:spacing w:line="320" w:lineRule="exact"/>
        <w:jc w:val="left"/>
        <w:rPr>
          <w:rFonts w:ascii="宋体" w:hAnsi="宋体"/>
          <w:szCs w:val="21"/>
          <w:highlight w:val="none"/>
        </w:rPr>
      </w:pPr>
    </w:p>
    <w:p>
      <w:pPr>
        <w:snapToGrid w:val="0"/>
        <w:spacing w:line="320" w:lineRule="exact"/>
        <w:jc w:val="left"/>
        <w:rPr>
          <w:rFonts w:ascii="宋体" w:hAnsi="宋体"/>
          <w:szCs w:val="21"/>
          <w:highlight w:val="none"/>
        </w:rPr>
      </w:pPr>
    </w:p>
    <w:p>
      <w:pPr>
        <w:snapToGrid w:val="0"/>
        <w:spacing w:line="320" w:lineRule="exact"/>
        <w:jc w:val="left"/>
        <w:rPr>
          <w:rFonts w:ascii="宋体" w:hAnsi="宋体"/>
          <w:szCs w:val="21"/>
          <w:highlight w:val="none"/>
        </w:rPr>
      </w:pPr>
    </w:p>
    <w:p>
      <w:pPr>
        <w:snapToGrid w:val="0"/>
        <w:spacing w:line="320" w:lineRule="exact"/>
        <w:jc w:val="left"/>
        <w:rPr>
          <w:rFonts w:ascii="宋体" w:hAnsi="宋体"/>
          <w:szCs w:val="21"/>
          <w:highlight w:val="none"/>
        </w:rPr>
      </w:pPr>
    </w:p>
    <w:p>
      <w:pPr>
        <w:snapToGrid w:val="0"/>
        <w:spacing w:line="320" w:lineRule="exact"/>
        <w:jc w:val="left"/>
        <w:rPr>
          <w:rFonts w:ascii="宋体" w:hAnsi="宋体"/>
          <w:szCs w:val="21"/>
          <w:highlight w:val="none"/>
        </w:rPr>
      </w:pPr>
    </w:p>
    <w:p>
      <w:pPr>
        <w:snapToGrid w:val="0"/>
        <w:spacing w:line="320" w:lineRule="exact"/>
        <w:jc w:val="left"/>
        <w:rPr>
          <w:rFonts w:ascii="宋体" w:hAnsi="宋体"/>
          <w:szCs w:val="21"/>
          <w:highlight w:val="none"/>
        </w:rPr>
      </w:pPr>
    </w:p>
    <w:p>
      <w:pPr>
        <w:snapToGrid w:val="0"/>
        <w:spacing w:line="320" w:lineRule="exact"/>
        <w:jc w:val="left"/>
        <w:rPr>
          <w:rFonts w:ascii="宋体" w:hAnsi="宋体"/>
          <w:szCs w:val="21"/>
          <w:highlight w:val="none"/>
        </w:rPr>
      </w:pPr>
    </w:p>
    <w:p>
      <w:pPr>
        <w:snapToGrid w:val="0"/>
        <w:spacing w:line="320" w:lineRule="exact"/>
        <w:jc w:val="left"/>
        <w:rPr>
          <w:rFonts w:ascii="宋体" w:hAnsi="宋体"/>
          <w:szCs w:val="21"/>
          <w:highlight w:val="none"/>
        </w:rPr>
      </w:pPr>
    </w:p>
    <w:p>
      <w:pPr>
        <w:snapToGrid w:val="0"/>
        <w:spacing w:line="320" w:lineRule="exact"/>
        <w:jc w:val="left"/>
        <w:rPr>
          <w:rFonts w:ascii="宋体" w:hAnsi="宋体"/>
          <w:szCs w:val="21"/>
          <w:highlight w:val="none"/>
        </w:rPr>
      </w:pPr>
    </w:p>
    <w:p>
      <w:pPr>
        <w:adjustRightInd w:val="0"/>
        <w:snapToGrid w:val="0"/>
        <w:spacing w:line="400" w:lineRule="exact"/>
        <w:ind w:firstLine="211" w:firstLineChars="100"/>
        <w:jc w:val="left"/>
        <w:rPr>
          <w:rFonts w:ascii="宋体" w:hAnsi="宋体"/>
          <w:b/>
          <w:bCs/>
          <w:szCs w:val="21"/>
          <w:highlight w:val="none"/>
        </w:rPr>
      </w:pPr>
      <w:r>
        <w:rPr>
          <w:rFonts w:hint="eastAsia" w:ascii="宋体" w:hAnsi="宋体"/>
          <w:b/>
          <w:bCs/>
          <w:szCs w:val="21"/>
          <w:highlight w:val="none"/>
        </w:rPr>
        <w:t>（3）投标人针对本项目的方案（必须包含技术服务方案、工程施工方案、售后服务方案，自行编写，格式自拟）（必须提供）</w:t>
      </w:r>
    </w:p>
    <w:p>
      <w:pPr>
        <w:adjustRightInd w:val="0"/>
        <w:snapToGrid w:val="0"/>
        <w:spacing w:line="400" w:lineRule="exact"/>
        <w:ind w:firstLine="422" w:firstLineChars="200"/>
        <w:jc w:val="left"/>
        <w:rPr>
          <w:rFonts w:ascii="宋体" w:hAnsi="宋体"/>
          <w:b/>
          <w:bCs/>
          <w:szCs w:val="21"/>
          <w:highlight w:val="none"/>
        </w:rPr>
      </w:pPr>
    </w:p>
    <w:p>
      <w:pPr>
        <w:adjustRightInd w:val="0"/>
        <w:snapToGrid w:val="0"/>
        <w:spacing w:line="400" w:lineRule="exact"/>
        <w:ind w:firstLine="422" w:firstLineChars="200"/>
        <w:jc w:val="left"/>
        <w:rPr>
          <w:rFonts w:ascii="宋体" w:hAnsi="宋体"/>
          <w:b/>
          <w:bCs/>
          <w:szCs w:val="21"/>
          <w:highlight w:val="none"/>
        </w:rPr>
      </w:pPr>
    </w:p>
    <w:p>
      <w:pPr>
        <w:adjustRightInd w:val="0"/>
        <w:snapToGrid w:val="0"/>
        <w:spacing w:line="400" w:lineRule="exact"/>
        <w:ind w:firstLine="422" w:firstLineChars="200"/>
        <w:jc w:val="left"/>
        <w:rPr>
          <w:rFonts w:ascii="宋体" w:hAnsi="宋体"/>
          <w:b/>
          <w:bCs/>
          <w:szCs w:val="21"/>
          <w:highlight w:val="none"/>
        </w:rPr>
      </w:pPr>
    </w:p>
    <w:p>
      <w:pPr>
        <w:snapToGrid w:val="0"/>
        <w:spacing w:line="440" w:lineRule="exact"/>
        <w:rPr>
          <w:rFonts w:ascii="宋体" w:hAnsi="宋体"/>
          <w:szCs w:val="21"/>
          <w:highlight w:val="none"/>
          <w:u w:val="single"/>
        </w:rPr>
      </w:pPr>
      <w:r>
        <w:rPr>
          <w:rFonts w:hint="eastAsia" w:ascii="宋体" w:hAnsi="宋体"/>
          <w:szCs w:val="21"/>
          <w:highlight w:val="none"/>
        </w:rPr>
        <w:t>法定代表人（负责人）或授权代表签名：</w:t>
      </w:r>
      <w:r>
        <w:rPr>
          <w:rFonts w:hint="eastAsia" w:ascii="宋体" w:hAnsi="宋体"/>
          <w:szCs w:val="21"/>
          <w:highlight w:val="none"/>
          <w:u w:val="single"/>
        </w:rPr>
        <w:t xml:space="preserve">               </w:t>
      </w:r>
    </w:p>
    <w:p>
      <w:pPr>
        <w:snapToGrid w:val="0"/>
        <w:spacing w:line="440" w:lineRule="exact"/>
        <w:jc w:val="left"/>
        <w:rPr>
          <w:rFonts w:ascii="宋体" w:hAnsi="宋体"/>
          <w:szCs w:val="21"/>
          <w:highlight w:val="none"/>
        </w:rPr>
      </w:pPr>
      <w:r>
        <w:rPr>
          <w:rFonts w:hint="eastAsia" w:ascii="宋体" w:hAnsi="宋体"/>
          <w:szCs w:val="21"/>
          <w:highlight w:val="none"/>
        </w:rPr>
        <w:t>投标人盖章：</w:t>
      </w:r>
      <w:r>
        <w:rPr>
          <w:rFonts w:hint="eastAsia" w:ascii="宋体" w:hAnsi="宋体"/>
          <w:szCs w:val="21"/>
          <w:highlight w:val="none"/>
          <w:u w:val="single"/>
        </w:rPr>
        <w:t xml:space="preserve">                 </w:t>
      </w:r>
    </w:p>
    <w:p>
      <w:pPr>
        <w:adjustRightInd w:val="0"/>
        <w:snapToGrid w:val="0"/>
        <w:spacing w:line="400" w:lineRule="exact"/>
        <w:ind w:firstLine="420" w:firstLineChars="200"/>
        <w:jc w:val="left"/>
        <w:rPr>
          <w:rFonts w:ascii="宋体" w:hAnsi="宋体"/>
          <w:b/>
          <w:bCs/>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p>
    <w:p>
      <w:pPr>
        <w:adjustRightInd w:val="0"/>
        <w:snapToGrid w:val="0"/>
        <w:spacing w:line="400" w:lineRule="exact"/>
        <w:ind w:firstLine="422" w:firstLineChars="200"/>
        <w:jc w:val="left"/>
        <w:rPr>
          <w:rFonts w:ascii="宋体" w:hAnsi="宋体"/>
          <w:b/>
          <w:bCs/>
          <w:szCs w:val="21"/>
          <w:highlight w:val="none"/>
        </w:rPr>
      </w:pPr>
    </w:p>
    <w:p>
      <w:pPr>
        <w:adjustRightInd w:val="0"/>
        <w:snapToGrid w:val="0"/>
        <w:spacing w:line="400" w:lineRule="exact"/>
        <w:ind w:firstLine="422" w:firstLineChars="200"/>
        <w:jc w:val="left"/>
        <w:rPr>
          <w:rFonts w:ascii="宋体" w:hAnsi="宋体"/>
          <w:b/>
          <w:bCs/>
          <w:szCs w:val="21"/>
          <w:highlight w:val="none"/>
        </w:rPr>
      </w:pPr>
    </w:p>
    <w:p>
      <w:pPr>
        <w:adjustRightInd w:val="0"/>
        <w:snapToGrid w:val="0"/>
        <w:spacing w:line="400" w:lineRule="exact"/>
        <w:ind w:firstLine="422" w:firstLineChars="200"/>
        <w:jc w:val="left"/>
        <w:rPr>
          <w:rFonts w:ascii="宋体" w:hAnsi="宋体"/>
          <w:b/>
          <w:bCs/>
          <w:szCs w:val="21"/>
          <w:highlight w:val="none"/>
        </w:rPr>
      </w:pPr>
    </w:p>
    <w:p>
      <w:pPr>
        <w:adjustRightInd w:val="0"/>
        <w:snapToGrid w:val="0"/>
        <w:spacing w:line="400" w:lineRule="exact"/>
        <w:ind w:firstLine="422" w:firstLineChars="200"/>
        <w:jc w:val="left"/>
        <w:rPr>
          <w:rFonts w:ascii="宋体" w:hAnsi="宋体"/>
          <w:b/>
          <w:bCs/>
          <w:szCs w:val="21"/>
          <w:highlight w:val="none"/>
        </w:rPr>
      </w:pPr>
    </w:p>
    <w:p>
      <w:pPr>
        <w:adjustRightInd w:val="0"/>
        <w:snapToGrid w:val="0"/>
        <w:spacing w:line="400" w:lineRule="exact"/>
        <w:ind w:firstLine="422" w:firstLineChars="200"/>
        <w:jc w:val="left"/>
        <w:rPr>
          <w:rFonts w:ascii="宋体" w:hAnsi="宋体"/>
          <w:b/>
          <w:bCs/>
          <w:szCs w:val="21"/>
          <w:highlight w:val="none"/>
        </w:rPr>
      </w:pPr>
    </w:p>
    <w:p>
      <w:pPr>
        <w:adjustRightInd w:val="0"/>
        <w:snapToGrid w:val="0"/>
        <w:spacing w:line="400" w:lineRule="exact"/>
        <w:ind w:firstLine="211" w:firstLineChars="100"/>
        <w:jc w:val="left"/>
        <w:rPr>
          <w:rFonts w:ascii="宋体" w:hAnsi="宋体"/>
          <w:b/>
          <w:bCs/>
          <w:szCs w:val="21"/>
          <w:highlight w:val="none"/>
        </w:rPr>
      </w:pPr>
      <w:r>
        <w:rPr>
          <w:rFonts w:hint="eastAsia" w:ascii="宋体" w:hAnsi="宋体"/>
          <w:b/>
          <w:bCs/>
          <w:szCs w:val="21"/>
          <w:highlight w:val="none"/>
        </w:rPr>
        <w:t>（4）2017年1月1日至投标截止时间止投标人承接的同类项目业绩一览表（投标人同类项目实施情况一览表、合同复印件、用户验收报告、用户评价）；</w:t>
      </w:r>
    </w:p>
    <w:p>
      <w:pPr>
        <w:adjustRightInd w:val="0"/>
        <w:snapToGrid w:val="0"/>
        <w:spacing w:line="400" w:lineRule="exact"/>
        <w:ind w:firstLine="422" w:firstLineChars="200"/>
        <w:jc w:val="left"/>
        <w:rPr>
          <w:rFonts w:ascii="宋体" w:hAnsi="宋体"/>
          <w:b/>
          <w:bCs/>
          <w:szCs w:val="21"/>
          <w:highlight w:val="none"/>
        </w:rPr>
      </w:pPr>
    </w:p>
    <w:tbl>
      <w:tblPr>
        <w:tblStyle w:val="35"/>
        <w:tblW w:w="97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3"/>
        <w:gridCol w:w="2384"/>
        <w:gridCol w:w="753"/>
        <w:gridCol w:w="754"/>
        <w:gridCol w:w="1004"/>
        <w:gridCol w:w="502"/>
        <w:gridCol w:w="502"/>
        <w:gridCol w:w="502"/>
        <w:gridCol w:w="15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9" w:hRule="atLeast"/>
        </w:trPr>
        <w:tc>
          <w:tcPr>
            <w:tcW w:w="183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 w:val="24"/>
                <w:highlight w:val="none"/>
              </w:rPr>
            </w:pPr>
            <w:r>
              <w:rPr>
                <w:rFonts w:hint="eastAsia" w:ascii="宋体" w:hAnsi="宋体" w:cs="宋体"/>
                <w:sz w:val="24"/>
                <w:highlight w:val="none"/>
              </w:rPr>
              <w:t>采购单位名称</w:t>
            </w:r>
          </w:p>
        </w:tc>
        <w:tc>
          <w:tcPr>
            <w:tcW w:w="238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 w:val="24"/>
                <w:highlight w:val="none"/>
              </w:rPr>
            </w:pPr>
            <w:r>
              <w:rPr>
                <w:rFonts w:hint="eastAsia" w:ascii="宋体" w:hAnsi="宋体" w:cs="宋体"/>
                <w:sz w:val="24"/>
                <w:highlight w:val="none"/>
              </w:rPr>
              <w:t>设备或项目名称</w:t>
            </w:r>
          </w:p>
        </w:tc>
        <w:tc>
          <w:tcPr>
            <w:tcW w:w="75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 w:val="24"/>
                <w:highlight w:val="none"/>
              </w:rPr>
            </w:pPr>
            <w:r>
              <w:rPr>
                <w:rFonts w:hint="eastAsia" w:ascii="宋体" w:hAnsi="宋体" w:cs="宋体"/>
                <w:sz w:val="24"/>
                <w:highlight w:val="none"/>
              </w:rPr>
              <w:t>采购</w:t>
            </w:r>
          </w:p>
          <w:p>
            <w:pPr>
              <w:snapToGrid w:val="0"/>
              <w:spacing w:line="240" w:lineRule="exact"/>
              <w:jc w:val="center"/>
              <w:rPr>
                <w:rFonts w:ascii="宋体" w:hAnsi="宋体" w:cs="宋体"/>
                <w:sz w:val="24"/>
                <w:highlight w:val="none"/>
              </w:rPr>
            </w:pPr>
            <w:r>
              <w:rPr>
                <w:rFonts w:hint="eastAsia" w:ascii="宋体" w:hAnsi="宋体" w:cs="宋体"/>
                <w:sz w:val="24"/>
                <w:highlight w:val="none"/>
              </w:rPr>
              <w:t>数量</w:t>
            </w:r>
          </w:p>
        </w:tc>
        <w:tc>
          <w:tcPr>
            <w:tcW w:w="75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 w:val="24"/>
                <w:highlight w:val="none"/>
              </w:rPr>
            </w:pPr>
            <w:r>
              <w:rPr>
                <w:rFonts w:hint="eastAsia" w:ascii="宋体" w:hAnsi="宋体" w:cs="宋体"/>
                <w:sz w:val="24"/>
                <w:highlight w:val="none"/>
              </w:rPr>
              <w:t>单价</w:t>
            </w:r>
          </w:p>
        </w:tc>
        <w:tc>
          <w:tcPr>
            <w:tcW w:w="100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 w:val="24"/>
                <w:highlight w:val="none"/>
              </w:rPr>
            </w:pPr>
            <w:r>
              <w:rPr>
                <w:rFonts w:hint="eastAsia" w:ascii="宋体" w:hAnsi="宋体" w:cs="宋体"/>
                <w:sz w:val="24"/>
                <w:highlight w:val="none"/>
              </w:rPr>
              <w:t>合同</w:t>
            </w:r>
          </w:p>
          <w:p>
            <w:pPr>
              <w:snapToGrid w:val="0"/>
              <w:spacing w:line="240" w:lineRule="exact"/>
              <w:jc w:val="center"/>
              <w:rPr>
                <w:rFonts w:ascii="宋体" w:hAnsi="宋体" w:cs="宋体"/>
                <w:sz w:val="24"/>
                <w:highlight w:val="none"/>
              </w:rPr>
            </w:pPr>
            <w:r>
              <w:rPr>
                <w:rFonts w:hint="eastAsia" w:ascii="宋体" w:hAnsi="宋体" w:cs="宋体"/>
                <w:sz w:val="24"/>
                <w:highlight w:val="none"/>
              </w:rPr>
              <w:t>金额</w:t>
            </w:r>
          </w:p>
          <w:p>
            <w:pPr>
              <w:snapToGrid w:val="0"/>
              <w:spacing w:line="240" w:lineRule="exact"/>
              <w:jc w:val="center"/>
              <w:rPr>
                <w:rFonts w:ascii="宋体" w:hAnsi="宋体" w:cs="宋体"/>
                <w:sz w:val="24"/>
                <w:highlight w:val="none"/>
              </w:rPr>
            </w:pPr>
            <w:r>
              <w:rPr>
                <w:rFonts w:hint="eastAsia" w:ascii="宋体" w:hAnsi="宋体" w:cs="宋体"/>
                <w:sz w:val="24"/>
                <w:highlight w:val="none"/>
              </w:rPr>
              <w:t>（万元）</w:t>
            </w:r>
          </w:p>
        </w:tc>
        <w:tc>
          <w:tcPr>
            <w:tcW w:w="150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 w:val="24"/>
                <w:highlight w:val="none"/>
              </w:rPr>
            </w:pPr>
            <w:r>
              <w:rPr>
                <w:rFonts w:hint="eastAsia" w:ascii="宋体" w:hAnsi="宋体" w:cs="宋体"/>
                <w:sz w:val="24"/>
                <w:highlight w:val="none"/>
              </w:rPr>
              <w:t>附件页码</w:t>
            </w:r>
          </w:p>
        </w:tc>
        <w:tc>
          <w:tcPr>
            <w:tcW w:w="150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 w:val="24"/>
                <w:highlight w:val="none"/>
              </w:rPr>
            </w:pPr>
            <w:r>
              <w:rPr>
                <w:rFonts w:hint="eastAsia" w:ascii="宋体" w:hAnsi="宋体" w:cs="宋体"/>
                <w:sz w:val="24"/>
                <w:highlight w:val="none"/>
              </w:rPr>
              <w:t>采购单位联系人及</w:t>
            </w:r>
          </w:p>
          <w:p>
            <w:pPr>
              <w:snapToGrid w:val="0"/>
              <w:spacing w:line="240" w:lineRule="exact"/>
              <w:jc w:val="center"/>
              <w:rPr>
                <w:rFonts w:ascii="宋体" w:hAnsi="宋体" w:cs="宋体"/>
                <w:sz w:val="24"/>
                <w:highlight w:val="none"/>
              </w:rPr>
            </w:pPr>
            <w:r>
              <w:rPr>
                <w:rFonts w:hint="eastAsia" w:ascii="宋体" w:hAnsi="宋体" w:cs="宋体"/>
                <w:sz w:val="24"/>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8" w:hRule="atLeast"/>
        </w:trPr>
        <w:tc>
          <w:tcPr>
            <w:tcW w:w="1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highlight w:val="none"/>
              </w:rPr>
            </w:pPr>
          </w:p>
        </w:tc>
        <w:tc>
          <w:tcPr>
            <w:tcW w:w="2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highlight w:val="none"/>
              </w:rPr>
            </w:pPr>
          </w:p>
        </w:tc>
        <w:tc>
          <w:tcPr>
            <w:tcW w:w="7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highlight w:val="none"/>
              </w:rPr>
            </w:pPr>
          </w:p>
        </w:tc>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highlight w:val="none"/>
              </w:rPr>
            </w:pPr>
          </w:p>
        </w:tc>
        <w:tc>
          <w:tcPr>
            <w:tcW w:w="1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highlight w:val="none"/>
              </w:rPr>
            </w:pPr>
          </w:p>
        </w:tc>
        <w:tc>
          <w:tcPr>
            <w:tcW w:w="50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 w:val="24"/>
                <w:highlight w:val="none"/>
              </w:rPr>
            </w:pPr>
            <w:r>
              <w:rPr>
                <w:rFonts w:hint="eastAsia" w:ascii="宋体" w:hAnsi="宋体" w:cs="宋体"/>
                <w:sz w:val="24"/>
                <w:highlight w:val="none"/>
              </w:rPr>
              <w:t>合同</w:t>
            </w:r>
          </w:p>
        </w:tc>
        <w:tc>
          <w:tcPr>
            <w:tcW w:w="50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 w:val="24"/>
                <w:highlight w:val="none"/>
              </w:rPr>
            </w:pPr>
            <w:r>
              <w:rPr>
                <w:rFonts w:hint="eastAsia" w:ascii="宋体" w:hAnsi="宋体" w:cs="宋体"/>
                <w:sz w:val="24"/>
                <w:highlight w:val="none"/>
              </w:rPr>
              <w:t>验收报告</w:t>
            </w:r>
          </w:p>
        </w:tc>
        <w:tc>
          <w:tcPr>
            <w:tcW w:w="50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 w:val="24"/>
                <w:highlight w:val="none"/>
              </w:rPr>
            </w:pPr>
            <w:r>
              <w:rPr>
                <w:rFonts w:hint="eastAsia" w:ascii="宋体" w:hAnsi="宋体" w:cs="宋体"/>
                <w:sz w:val="24"/>
                <w:highlight w:val="none"/>
              </w:rPr>
              <w:t>用户评价</w:t>
            </w: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83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sz w:val="24"/>
                <w:highlight w:val="none"/>
              </w:rPr>
            </w:pPr>
          </w:p>
        </w:tc>
        <w:tc>
          <w:tcPr>
            <w:tcW w:w="238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sz w:val="24"/>
                <w:highlight w:val="none"/>
              </w:rPr>
            </w:pPr>
          </w:p>
        </w:tc>
        <w:tc>
          <w:tcPr>
            <w:tcW w:w="75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sz w:val="24"/>
                <w:highlight w:val="none"/>
              </w:rPr>
            </w:pPr>
          </w:p>
        </w:tc>
        <w:tc>
          <w:tcPr>
            <w:tcW w:w="75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sz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sz w:val="24"/>
                <w:highlight w:val="none"/>
              </w:rPr>
            </w:pPr>
          </w:p>
        </w:tc>
        <w:tc>
          <w:tcPr>
            <w:tcW w:w="150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183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238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75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75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150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183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238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75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75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150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183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238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75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75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150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183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238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75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75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c>
          <w:tcPr>
            <w:tcW w:w="150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highlight w:val="none"/>
              </w:rPr>
            </w:pPr>
          </w:p>
        </w:tc>
      </w:tr>
    </w:tbl>
    <w:p>
      <w:pPr>
        <w:pStyle w:val="14"/>
        <w:snapToGrid w:val="0"/>
        <w:rPr>
          <w:rFonts w:ascii="宋体" w:hAnsi="宋体" w:eastAsia="宋体" w:cs="宋体"/>
          <w:sz w:val="24"/>
          <w:szCs w:val="24"/>
          <w:highlight w:val="none"/>
        </w:rPr>
      </w:pPr>
    </w:p>
    <w:p>
      <w:pPr>
        <w:adjustRightInd w:val="0"/>
        <w:snapToGrid w:val="0"/>
        <w:spacing w:line="400" w:lineRule="exact"/>
        <w:ind w:firstLine="211" w:firstLineChars="100"/>
        <w:jc w:val="left"/>
        <w:rPr>
          <w:rFonts w:ascii="宋体" w:hAnsi="宋体"/>
          <w:b/>
          <w:bCs/>
          <w:szCs w:val="21"/>
          <w:highlight w:val="none"/>
        </w:rPr>
      </w:pPr>
    </w:p>
    <w:p>
      <w:pPr>
        <w:adjustRightInd w:val="0"/>
        <w:snapToGrid w:val="0"/>
        <w:spacing w:line="400" w:lineRule="exact"/>
        <w:ind w:firstLine="211" w:firstLineChars="100"/>
        <w:jc w:val="left"/>
        <w:rPr>
          <w:rFonts w:ascii="宋体" w:hAnsi="宋体"/>
          <w:b/>
          <w:bCs/>
          <w:szCs w:val="21"/>
          <w:highlight w:val="none"/>
        </w:rPr>
      </w:pPr>
    </w:p>
    <w:p>
      <w:pPr>
        <w:adjustRightInd w:val="0"/>
        <w:snapToGrid w:val="0"/>
        <w:spacing w:line="400" w:lineRule="exact"/>
        <w:ind w:firstLine="211" w:firstLineChars="100"/>
        <w:jc w:val="left"/>
        <w:rPr>
          <w:rFonts w:ascii="宋体" w:hAnsi="宋体"/>
          <w:b/>
          <w:bCs/>
          <w:szCs w:val="21"/>
          <w:highlight w:val="none"/>
        </w:rPr>
      </w:pPr>
    </w:p>
    <w:p>
      <w:pPr>
        <w:adjustRightInd w:val="0"/>
        <w:snapToGrid w:val="0"/>
        <w:spacing w:line="400" w:lineRule="exact"/>
        <w:ind w:firstLine="211" w:firstLineChars="100"/>
        <w:jc w:val="left"/>
        <w:rPr>
          <w:rFonts w:ascii="宋体" w:hAnsi="宋体"/>
          <w:b/>
          <w:bCs/>
          <w:szCs w:val="21"/>
          <w:highlight w:val="none"/>
        </w:rPr>
      </w:pPr>
    </w:p>
    <w:p>
      <w:pPr>
        <w:adjustRightInd w:val="0"/>
        <w:snapToGrid w:val="0"/>
        <w:spacing w:line="400" w:lineRule="exact"/>
        <w:ind w:firstLine="211" w:firstLineChars="100"/>
        <w:jc w:val="left"/>
        <w:rPr>
          <w:rFonts w:ascii="宋体" w:hAnsi="宋体"/>
          <w:b/>
          <w:bCs/>
          <w:szCs w:val="21"/>
          <w:highlight w:val="none"/>
        </w:rPr>
      </w:pPr>
    </w:p>
    <w:p>
      <w:pPr>
        <w:adjustRightInd w:val="0"/>
        <w:snapToGrid w:val="0"/>
        <w:spacing w:line="400" w:lineRule="exact"/>
        <w:ind w:firstLine="211" w:firstLineChars="100"/>
        <w:jc w:val="left"/>
        <w:rPr>
          <w:rFonts w:ascii="宋体" w:hAnsi="宋体"/>
          <w:b/>
          <w:bCs/>
          <w:szCs w:val="21"/>
          <w:highlight w:val="none"/>
        </w:rPr>
      </w:pPr>
    </w:p>
    <w:p>
      <w:pPr>
        <w:adjustRightInd w:val="0"/>
        <w:snapToGrid w:val="0"/>
        <w:spacing w:line="400" w:lineRule="exact"/>
        <w:ind w:firstLine="211" w:firstLineChars="100"/>
        <w:jc w:val="left"/>
        <w:rPr>
          <w:rFonts w:ascii="宋体"/>
          <w:b/>
          <w:bCs/>
          <w:szCs w:val="21"/>
          <w:highlight w:val="none"/>
        </w:rPr>
      </w:pPr>
      <w:r>
        <w:rPr>
          <w:rFonts w:hint="eastAsia" w:ascii="宋体" w:hAnsi="宋体"/>
          <w:b/>
          <w:bCs/>
          <w:szCs w:val="21"/>
          <w:highlight w:val="none"/>
        </w:rPr>
        <w:t>（5）设备配置清单（均不含报价）；</w:t>
      </w:r>
      <w:r>
        <w:rPr>
          <w:rFonts w:hint="eastAsia" w:ascii="宋体"/>
          <w:b/>
          <w:bCs/>
          <w:szCs w:val="21"/>
          <w:highlight w:val="none"/>
        </w:rPr>
        <w:t>（必须提供）</w:t>
      </w:r>
    </w:p>
    <w:tbl>
      <w:tblPr>
        <w:tblStyle w:val="35"/>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r>
              <w:rPr>
                <w:rFonts w:hint="eastAsia" w:ascii="宋体" w:hAnsi="宋体" w:cs="宋体"/>
                <w:szCs w:val="21"/>
                <w:highlight w:val="none"/>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r>
              <w:rPr>
                <w:rFonts w:hint="eastAsia" w:ascii="宋体" w:hAnsi="宋体" w:cs="宋体"/>
                <w:szCs w:val="21"/>
                <w:highlight w:val="none"/>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r>
              <w:rPr>
                <w:rFonts w:hint="eastAsia" w:ascii="宋体" w:hAnsi="宋体" w:cs="宋体"/>
                <w:szCs w:val="21"/>
                <w:highlight w:val="none"/>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r>
              <w:rPr>
                <w:rFonts w:hint="eastAsia" w:ascii="宋体" w:hAnsi="宋体" w:cs="宋体"/>
                <w:szCs w:val="21"/>
                <w:highlight w:val="none"/>
              </w:rPr>
              <w:t>规格型号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r>
              <w:rPr>
                <w:rFonts w:hint="eastAsia" w:ascii="宋体" w:hAnsi="宋体" w:cs="宋体"/>
                <w:szCs w:val="21"/>
                <w:highlight w:val="none"/>
              </w:rPr>
              <w:t>单位及数量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r>
              <w:rPr>
                <w:rFonts w:hint="eastAsia" w:ascii="宋体" w:hAnsi="宋体" w:cs="宋体"/>
                <w:szCs w:val="21"/>
                <w:highlight w:val="none"/>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r>
              <w:rPr>
                <w:rFonts w:hint="eastAsia" w:ascii="宋体" w:hAnsi="宋体" w:cs="宋体"/>
                <w:szCs w:val="21"/>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highlight w:val="none"/>
              </w:rPr>
            </w:pPr>
          </w:p>
        </w:tc>
      </w:tr>
    </w:tbl>
    <w:p>
      <w:pPr>
        <w:adjustRightInd w:val="0"/>
        <w:snapToGrid w:val="0"/>
        <w:spacing w:line="400" w:lineRule="exact"/>
        <w:ind w:firstLine="211" w:firstLineChars="100"/>
        <w:jc w:val="left"/>
        <w:rPr>
          <w:rFonts w:ascii="宋体"/>
          <w:b/>
          <w:bCs/>
          <w:szCs w:val="21"/>
          <w:highlight w:val="none"/>
        </w:rPr>
      </w:pPr>
    </w:p>
    <w:p>
      <w:pPr>
        <w:pStyle w:val="2"/>
        <w:rPr>
          <w:rFonts w:ascii="宋体"/>
          <w:b/>
          <w:szCs w:val="21"/>
          <w:highlight w:val="none"/>
        </w:rPr>
      </w:pPr>
    </w:p>
    <w:p>
      <w:pPr>
        <w:pStyle w:val="2"/>
        <w:rPr>
          <w:rFonts w:ascii="宋体"/>
          <w:b/>
          <w:szCs w:val="21"/>
          <w:highlight w:val="none"/>
        </w:rPr>
      </w:pPr>
    </w:p>
    <w:p>
      <w:pPr>
        <w:pStyle w:val="2"/>
        <w:rPr>
          <w:rFonts w:ascii="宋体"/>
          <w:b/>
          <w:szCs w:val="21"/>
          <w:highlight w:val="none"/>
        </w:rPr>
      </w:pPr>
    </w:p>
    <w:p>
      <w:pPr>
        <w:snapToGrid w:val="0"/>
        <w:spacing w:line="440" w:lineRule="exact"/>
        <w:rPr>
          <w:rFonts w:ascii="宋体" w:hAnsi="宋体"/>
          <w:szCs w:val="21"/>
          <w:highlight w:val="none"/>
          <w:u w:val="single"/>
        </w:rPr>
      </w:pPr>
      <w:r>
        <w:rPr>
          <w:rFonts w:hint="eastAsia" w:ascii="宋体" w:hAnsi="宋体"/>
          <w:szCs w:val="21"/>
          <w:highlight w:val="none"/>
        </w:rPr>
        <w:t>法定代表人（负责人）或授权代表签名：</w:t>
      </w:r>
      <w:r>
        <w:rPr>
          <w:rFonts w:hint="eastAsia" w:ascii="宋体" w:hAnsi="宋体"/>
          <w:szCs w:val="21"/>
          <w:highlight w:val="none"/>
          <w:u w:val="single"/>
        </w:rPr>
        <w:t xml:space="preserve">               </w:t>
      </w:r>
    </w:p>
    <w:p>
      <w:pPr>
        <w:snapToGrid w:val="0"/>
        <w:spacing w:line="440" w:lineRule="exact"/>
        <w:jc w:val="left"/>
        <w:rPr>
          <w:rFonts w:ascii="宋体" w:hAnsi="宋体"/>
          <w:szCs w:val="21"/>
          <w:highlight w:val="none"/>
        </w:rPr>
      </w:pPr>
      <w:r>
        <w:rPr>
          <w:rFonts w:hint="eastAsia" w:ascii="宋体" w:hAnsi="宋体"/>
          <w:szCs w:val="21"/>
          <w:highlight w:val="none"/>
        </w:rPr>
        <w:t>投标人盖章：</w:t>
      </w:r>
      <w:r>
        <w:rPr>
          <w:rFonts w:hint="eastAsia" w:ascii="宋体" w:hAnsi="宋体"/>
          <w:szCs w:val="21"/>
          <w:highlight w:val="none"/>
          <w:u w:val="single"/>
        </w:rPr>
        <w:t xml:space="preserve">                 </w:t>
      </w:r>
    </w:p>
    <w:p>
      <w:pPr>
        <w:adjustRightInd w:val="0"/>
        <w:snapToGrid w:val="0"/>
        <w:spacing w:line="400" w:lineRule="exact"/>
        <w:ind w:firstLine="420" w:firstLineChars="200"/>
        <w:jc w:val="left"/>
        <w:rPr>
          <w:rFonts w:ascii="宋体" w:hAnsi="宋体"/>
          <w:b/>
          <w:bCs/>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p>
    <w:p>
      <w:pPr>
        <w:adjustRightInd w:val="0"/>
        <w:snapToGrid w:val="0"/>
        <w:spacing w:line="400" w:lineRule="exact"/>
        <w:ind w:firstLine="211" w:firstLineChars="100"/>
        <w:jc w:val="left"/>
        <w:rPr>
          <w:rFonts w:ascii="宋体"/>
          <w:b/>
          <w:bCs/>
          <w:szCs w:val="21"/>
          <w:highlight w:val="none"/>
        </w:rPr>
      </w:pPr>
    </w:p>
    <w:p>
      <w:pPr>
        <w:adjustRightInd w:val="0"/>
        <w:snapToGrid w:val="0"/>
        <w:spacing w:line="400" w:lineRule="exact"/>
        <w:ind w:firstLine="211" w:firstLineChars="100"/>
        <w:jc w:val="left"/>
        <w:rPr>
          <w:rFonts w:ascii="宋体"/>
          <w:b/>
          <w:bCs/>
          <w:szCs w:val="21"/>
          <w:highlight w:val="none"/>
        </w:rPr>
      </w:pPr>
    </w:p>
    <w:p>
      <w:pPr>
        <w:adjustRightInd w:val="0"/>
        <w:snapToGrid w:val="0"/>
        <w:spacing w:line="400" w:lineRule="exact"/>
        <w:ind w:firstLine="211" w:firstLineChars="100"/>
        <w:jc w:val="left"/>
        <w:rPr>
          <w:rFonts w:ascii="宋体" w:hAnsi="宋体"/>
          <w:b/>
          <w:bCs/>
          <w:szCs w:val="21"/>
          <w:highlight w:val="none"/>
        </w:rPr>
      </w:pPr>
      <w:r>
        <w:rPr>
          <w:rFonts w:hint="eastAsia" w:ascii="宋体" w:hAnsi="宋体"/>
          <w:b/>
          <w:bCs/>
          <w:szCs w:val="21"/>
          <w:highlight w:val="none"/>
        </w:rPr>
        <w:t>（6）技术响应表；</w:t>
      </w:r>
      <w:r>
        <w:rPr>
          <w:rFonts w:hint="eastAsia" w:ascii="宋体"/>
          <w:b/>
          <w:bCs/>
          <w:szCs w:val="21"/>
          <w:highlight w:val="none"/>
        </w:rPr>
        <w:t>（必须提供）</w:t>
      </w:r>
    </w:p>
    <w:p>
      <w:pPr>
        <w:snapToGrid w:val="0"/>
        <w:spacing w:before="50" w:after="120" w:afterLines="50"/>
        <w:jc w:val="center"/>
        <w:rPr>
          <w:rFonts w:ascii="宋体" w:hAnsi="宋体"/>
          <w:b/>
          <w:sz w:val="24"/>
          <w:highlight w:val="none"/>
        </w:rPr>
      </w:pPr>
      <w:r>
        <w:rPr>
          <w:rFonts w:hint="eastAsia" w:ascii="宋体" w:hAnsi="宋体"/>
          <w:b/>
          <w:sz w:val="24"/>
          <w:highlight w:val="none"/>
        </w:rPr>
        <w:t>技术响应表（格式）</w:t>
      </w:r>
    </w:p>
    <w:tbl>
      <w:tblPr>
        <w:tblStyle w:val="35"/>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vAlign w:val="center"/>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序号</w:t>
            </w:r>
          </w:p>
        </w:tc>
        <w:tc>
          <w:tcPr>
            <w:tcW w:w="2143" w:type="dxa"/>
            <w:vAlign w:val="center"/>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货物名称</w:t>
            </w:r>
          </w:p>
        </w:tc>
        <w:tc>
          <w:tcPr>
            <w:tcW w:w="1834" w:type="dxa"/>
            <w:vAlign w:val="center"/>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招标要求</w:t>
            </w:r>
          </w:p>
        </w:tc>
        <w:tc>
          <w:tcPr>
            <w:tcW w:w="2181" w:type="dxa"/>
            <w:vAlign w:val="center"/>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投标规格</w:t>
            </w:r>
          </w:p>
        </w:tc>
        <w:tc>
          <w:tcPr>
            <w:tcW w:w="1934" w:type="dxa"/>
            <w:vAlign w:val="center"/>
          </w:tcPr>
          <w:p>
            <w:pPr>
              <w:pStyle w:val="22"/>
              <w:spacing w:line="400" w:lineRule="exact"/>
              <w:jc w:val="center"/>
              <w:rPr>
                <w:rFonts w:hAnsi="宋体" w:cs="Courier New"/>
                <w:kern w:val="2"/>
                <w:sz w:val="21"/>
                <w:highlight w:val="none"/>
              </w:rPr>
            </w:pPr>
            <w:r>
              <w:rPr>
                <w:rFonts w:hint="eastAsia" w:hAnsi="宋体" w:cs="Courier New"/>
                <w:kern w:val="2"/>
                <w:sz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pacing w:line="600" w:lineRule="exact"/>
              <w:jc w:val="center"/>
              <w:rPr>
                <w:rFonts w:hAnsi="宋体" w:cs="Courier New"/>
                <w:kern w:val="2"/>
                <w:sz w:val="21"/>
                <w:highlight w:val="none"/>
              </w:rPr>
            </w:pPr>
          </w:p>
        </w:tc>
        <w:tc>
          <w:tcPr>
            <w:tcW w:w="2143" w:type="dxa"/>
            <w:vAlign w:val="center"/>
          </w:tcPr>
          <w:p>
            <w:pPr>
              <w:pStyle w:val="22"/>
              <w:spacing w:line="600" w:lineRule="exact"/>
              <w:jc w:val="center"/>
              <w:rPr>
                <w:rFonts w:hAnsi="宋体" w:cs="Courier New"/>
                <w:kern w:val="2"/>
                <w:sz w:val="21"/>
                <w:highlight w:val="none"/>
              </w:rPr>
            </w:pPr>
          </w:p>
        </w:tc>
        <w:tc>
          <w:tcPr>
            <w:tcW w:w="1834" w:type="dxa"/>
            <w:vAlign w:val="center"/>
          </w:tcPr>
          <w:p>
            <w:pPr>
              <w:pStyle w:val="22"/>
              <w:spacing w:line="600" w:lineRule="exact"/>
              <w:jc w:val="center"/>
              <w:rPr>
                <w:rFonts w:hAnsi="宋体" w:cs="Courier New"/>
                <w:kern w:val="2"/>
                <w:sz w:val="21"/>
                <w:highlight w:val="none"/>
              </w:rPr>
            </w:pPr>
          </w:p>
        </w:tc>
        <w:tc>
          <w:tcPr>
            <w:tcW w:w="2181" w:type="dxa"/>
            <w:vAlign w:val="center"/>
          </w:tcPr>
          <w:p>
            <w:pPr>
              <w:pStyle w:val="22"/>
              <w:spacing w:line="600" w:lineRule="exact"/>
              <w:jc w:val="center"/>
              <w:rPr>
                <w:rFonts w:hAnsi="宋体" w:cs="Courier New"/>
                <w:kern w:val="2"/>
                <w:sz w:val="21"/>
                <w:highlight w:val="none"/>
              </w:rPr>
            </w:pPr>
          </w:p>
        </w:tc>
        <w:tc>
          <w:tcPr>
            <w:tcW w:w="1934" w:type="dxa"/>
            <w:vAlign w:val="center"/>
          </w:tcPr>
          <w:p>
            <w:pPr>
              <w:pStyle w:val="22"/>
              <w:spacing w:line="600" w:lineRule="exact"/>
              <w:jc w:val="center"/>
              <w:rPr>
                <w:rFonts w:hAnsi="宋体" w:cs="Courier New"/>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pacing w:line="600" w:lineRule="exact"/>
              <w:rPr>
                <w:rFonts w:hAnsi="宋体" w:cs="Courier New"/>
                <w:kern w:val="2"/>
                <w:sz w:val="21"/>
                <w:highlight w:val="none"/>
              </w:rPr>
            </w:pPr>
          </w:p>
        </w:tc>
        <w:tc>
          <w:tcPr>
            <w:tcW w:w="2143" w:type="dxa"/>
          </w:tcPr>
          <w:p>
            <w:pPr>
              <w:pStyle w:val="22"/>
              <w:spacing w:line="600" w:lineRule="exact"/>
              <w:rPr>
                <w:rFonts w:hAnsi="宋体" w:cs="Courier New"/>
                <w:kern w:val="2"/>
                <w:sz w:val="21"/>
                <w:highlight w:val="none"/>
              </w:rPr>
            </w:pPr>
          </w:p>
        </w:tc>
        <w:tc>
          <w:tcPr>
            <w:tcW w:w="1834" w:type="dxa"/>
          </w:tcPr>
          <w:p>
            <w:pPr>
              <w:pStyle w:val="22"/>
              <w:spacing w:line="600" w:lineRule="exact"/>
              <w:rPr>
                <w:rFonts w:hAnsi="宋体" w:cs="Courier New"/>
                <w:kern w:val="2"/>
                <w:sz w:val="21"/>
                <w:highlight w:val="none"/>
              </w:rPr>
            </w:pPr>
          </w:p>
        </w:tc>
        <w:tc>
          <w:tcPr>
            <w:tcW w:w="2181" w:type="dxa"/>
          </w:tcPr>
          <w:p>
            <w:pPr>
              <w:pStyle w:val="22"/>
              <w:spacing w:line="600" w:lineRule="exact"/>
              <w:rPr>
                <w:rFonts w:hAnsi="宋体" w:cs="Courier New"/>
                <w:kern w:val="2"/>
                <w:sz w:val="21"/>
                <w:highlight w:val="none"/>
              </w:rPr>
            </w:pPr>
          </w:p>
        </w:tc>
        <w:tc>
          <w:tcPr>
            <w:tcW w:w="1934" w:type="dxa"/>
          </w:tcPr>
          <w:p>
            <w:pPr>
              <w:pStyle w:val="22"/>
              <w:spacing w:line="600" w:lineRule="exact"/>
              <w:rPr>
                <w:rFonts w:hAnsi="宋体" w:cs="Courier New"/>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pacing w:line="600" w:lineRule="exact"/>
              <w:rPr>
                <w:rFonts w:hAnsi="宋体" w:cs="Courier New"/>
                <w:kern w:val="2"/>
                <w:sz w:val="21"/>
                <w:highlight w:val="none"/>
              </w:rPr>
            </w:pPr>
          </w:p>
        </w:tc>
        <w:tc>
          <w:tcPr>
            <w:tcW w:w="2143" w:type="dxa"/>
          </w:tcPr>
          <w:p>
            <w:pPr>
              <w:pStyle w:val="22"/>
              <w:spacing w:line="600" w:lineRule="exact"/>
              <w:rPr>
                <w:rFonts w:hAnsi="宋体" w:cs="Courier New"/>
                <w:kern w:val="2"/>
                <w:sz w:val="21"/>
                <w:highlight w:val="none"/>
              </w:rPr>
            </w:pPr>
          </w:p>
        </w:tc>
        <w:tc>
          <w:tcPr>
            <w:tcW w:w="1834" w:type="dxa"/>
          </w:tcPr>
          <w:p>
            <w:pPr>
              <w:pStyle w:val="22"/>
              <w:spacing w:line="600" w:lineRule="exact"/>
              <w:rPr>
                <w:rFonts w:hAnsi="宋体" w:cs="Courier New"/>
                <w:kern w:val="2"/>
                <w:sz w:val="21"/>
                <w:highlight w:val="none"/>
              </w:rPr>
            </w:pPr>
          </w:p>
        </w:tc>
        <w:tc>
          <w:tcPr>
            <w:tcW w:w="2181" w:type="dxa"/>
          </w:tcPr>
          <w:p>
            <w:pPr>
              <w:pStyle w:val="22"/>
              <w:spacing w:line="600" w:lineRule="exact"/>
              <w:rPr>
                <w:rFonts w:hAnsi="宋体" w:cs="Courier New"/>
                <w:kern w:val="2"/>
                <w:sz w:val="21"/>
                <w:highlight w:val="none"/>
              </w:rPr>
            </w:pPr>
          </w:p>
        </w:tc>
        <w:tc>
          <w:tcPr>
            <w:tcW w:w="1934" w:type="dxa"/>
          </w:tcPr>
          <w:p>
            <w:pPr>
              <w:pStyle w:val="22"/>
              <w:spacing w:line="600" w:lineRule="exact"/>
              <w:rPr>
                <w:rFonts w:hAnsi="宋体" w:cs="Courier New"/>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pacing w:line="600" w:lineRule="exact"/>
              <w:rPr>
                <w:rFonts w:hAnsi="宋体" w:cs="Courier New"/>
                <w:kern w:val="2"/>
                <w:sz w:val="21"/>
                <w:highlight w:val="none"/>
              </w:rPr>
            </w:pPr>
          </w:p>
        </w:tc>
        <w:tc>
          <w:tcPr>
            <w:tcW w:w="2143" w:type="dxa"/>
          </w:tcPr>
          <w:p>
            <w:pPr>
              <w:pStyle w:val="22"/>
              <w:spacing w:line="600" w:lineRule="exact"/>
              <w:rPr>
                <w:rFonts w:hAnsi="宋体" w:cs="Courier New"/>
                <w:kern w:val="2"/>
                <w:sz w:val="21"/>
                <w:highlight w:val="none"/>
              </w:rPr>
            </w:pPr>
          </w:p>
        </w:tc>
        <w:tc>
          <w:tcPr>
            <w:tcW w:w="1834" w:type="dxa"/>
          </w:tcPr>
          <w:p>
            <w:pPr>
              <w:pStyle w:val="22"/>
              <w:spacing w:line="600" w:lineRule="exact"/>
              <w:rPr>
                <w:rFonts w:hAnsi="宋体" w:cs="Courier New"/>
                <w:kern w:val="2"/>
                <w:sz w:val="21"/>
                <w:highlight w:val="none"/>
              </w:rPr>
            </w:pPr>
          </w:p>
        </w:tc>
        <w:tc>
          <w:tcPr>
            <w:tcW w:w="2181" w:type="dxa"/>
          </w:tcPr>
          <w:p>
            <w:pPr>
              <w:pStyle w:val="22"/>
              <w:spacing w:line="600" w:lineRule="exact"/>
              <w:rPr>
                <w:rFonts w:hAnsi="宋体" w:cs="Courier New"/>
                <w:kern w:val="2"/>
                <w:sz w:val="21"/>
                <w:highlight w:val="none"/>
              </w:rPr>
            </w:pPr>
          </w:p>
        </w:tc>
        <w:tc>
          <w:tcPr>
            <w:tcW w:w="1934" w:type="dxa"/>
          </w:tcPr>
          <w:p>
            <w:pPr>
              <w:pStyle w:val="22"/>
              <w:spacing w:line="600" w:lineRule="exact"/>
              <w:rPr>
                <w:rFonts w:hAnsi="宋体" w:cs="Courier New"/>
                <w:kern w:val="2"/>
                <w:sz w:val="21"/>
                <w:highlight w:val="none"/>
              </w:rPr>
            </w:pPr>
          </w:p>
        </w:tc>
      </w:tr>
    </w:tbl>
    <w:p>
      <w:pPr>
        <w:pStyle w:val="17"/>
        <w:rPr>
          <w:rFonts w:ascii="宋体" w:hAnsi="宋体"/>
          <w:sz w:val="21"/>
          <w:szCs w:val="21"/>
          <w:highlight w:val="none"/>
        </w:rPr>
      </w:pPr>
      <w:r>
        <w:rPr>
          <w:rFonts w:hint="eastAsia" w:ascii="宋体" w:hAnsi="宋体"/>
          <w:sz w:val="21"/>
          <w:szCs w:val="21"/>
          <w:highlight w:val="none"/>
        </w:rPr>
        <w:t>注：投标人应根据投标设备的性能指标、对照招标文件要求在“偏离情况”栏注明“正偏离”、“负偏离”或“无偏离”。</w:t>
      </w:r>
    </w:p>
    <w:p>
      <w:pPr>
        <w:snapToGrid w:val="0"/>
        <w:spacing w:line="440" w:lineRule="exact"/>
        <w:rPr>
          <w:rFonts w:ascii="宋体" w:hAnsi="宋体"/>
          <w:szCs w:val="21"/>
          <w:highlight w:val="none"/>
          <w:u w:val="single"/>
        </w:rPr>
      </w:pPr>
      <w:r>
        <w:rPr>
          <w:rFonts w:hint="eastAsia" w:ascii="宋体" w:hAnsi="宋体"/>
          <w:szCs w:val="21"/>
          <w:highlight w:val="none"/>
        </w:rPr>
        <w:t>法定代表人（负责人）或授权代表签名：</w:t>
      </w:r>
      <w:r>
        <w:rPr>
          <w:rFonts w:hint="eastAsia" w:ascii="宋体" w:hAnsi="宋体"/>
          <w:szCs w:val="21"/>
          <w:highlight w:val="none"/>
          <w:u w:val="single"/>
        </w:rPr>
        <w:t xml:space="preserve">               </w:t>
      </w:r>
    </w:p>
    <w:p>
      <w:pPr>
        <w:snapToGrid w:val="0"/>
        <w:spacing w:line="440" w:lineRule="exact"/>
        <w:jc w:val="left"/>
        <w:rPr>
          <w:rFonts w:ascii="宋体" w:hAnsi="宋体"/>
          <w:szCs w:val="21"/>
          <w:highlight w:val="none"/>
        </w:rPr>
      </w:pPr>
      <w:r>
        <w:rPr>
          <w:rFonts w:hint="eastAsia" w:ascii="宋体" w:hAnsi="宋体"/>
          <w:szCs w:val="21"/>
          <w:highlight w:val="none"/>
        </w:rPr>
        <w:t>投标人盖章：</w:t>
      </w:r>
      <w:r>
        <w:rPr>
          <w:rFonts w:hint="eastAsia" w:ascii="宋体" w:hAnsi="宋体"/>
          <w:szCs w:val="21"/>
          <w:highlight w:val="none"/>
          <w:u w:val="single"/>
        </w:rPr>
        <w:t xml:space="preserve">                 </w:t>
      </w:r>
    </w:p>
    <w:p>
      <w:pPr>
        <w:snapToGrid w:val="0"/>
        <w:spacing w:line="440" w:lineRule="exact"/>
        <w:jc w:val="left"/>
        <w:rPr>
          <w:rFonts w:ascii="宋体" w:hAnsi="宋体"/>
          <w:szCs w:val="21"/>
          <w:highlight w:val="none"/>
          <w:u w:val="single"/>
        </w:rPr>
      </w:pPr>
      <w:r>
        <w:rPr>
          <w:rFonts w:hint="eastAsia" w:ascii="宋体" w:hAnsi="宋体"/>
          <w:szCs w:val="21"/>
          <w:highlight w:val="none"/>
        </w:rPr>
        <w:t>日期：</w:t>
      </w:r>
      <w:r>
        <w:rPr>
          <w:rFonts w:hint="eastAsia" w:ascii="宋体" w:hAnsi="宋体"/>
          <w:szCs w:val="21"/>
          <w:highlight w:val="none"/>
          <w:u w:val="single"/>
        </w:rPr>
        <w:t xml:space="preserve">                       </w:t>
      </w:r>
    </w:p>
    <w:p>
      <w:pPr>
        <w:snapToGrid w:val="0"/>
        <w:spacing w:before="50" w:after="120" w:afterLines="50"/>
        <w:jc w:val="left"/>
        <w:rPr>
          <w:rFonts w:ascii="宋体" w:hAnsi="宋体"/>
          <w:szCs w:val="21"/>
          <w:highlight w:val="none"/>
        </w:rPr>
      </w:pPr>
      <w:r>
        <w:rPr>
          <w:rFonts w:hint="eastAsia" w:ascii="宋体" w:hAnsi="宋体"/>
          <w:szCs w:val="21"/>
          <w:highlight w:val="none"/>
        </w:rPr>
        <w:t>说明：若此表由多页构成，应逐页加盖投标人公章或由法定代表人（负责人）或授权代表签名。</w:t>
      </w:r>
    </w:p>
    <w:p>
      <w:pPr>
        <w:adjustRightInd w:val="0"/>
        <w:snapToGrid w:val="0"/>
        <w:spacing w:line="400" w:lineRule="exact"/>
        <w:jc w:val="left"/>
        <w:rPr>
          <w:rFonts w:ascii="宋体" w:hAnsi="宋体"/>
          <w:szCs w:val="21"/>
          <w:highlight w:val="none"/>
        </w:rPr>
      </w:pPr>
    </w:p>
    <w:p>
      <w:pPr>
        <w:numPr>
          <w:ilvl w:val="0"/>
          <w:numId w:val="6"/>
        </w:numPr>
        <w:adjustRightInd w:val="0"/>
        <w:snapToGrid w:val="0"/>
        <w:spacing w:line="400" w:lineRule="exact"/>
        <w:ind w:firstLine="422" w:firstLineChars="200"/>
        <w:jc w:val="left"/>
        <w:rPr>
          <w:rFonts w:ascii="宋体" w:hAnsi="宋体"/>
          <w:b/>
          <w:bCs/>
          <w:szCs w:val="21"/>
          <w:highlight w:val="none"/>
        </w:rPr>
      </w:pPr>
      <w:r>
        <w:rPr>
          <w:rFonts w:hint="eastAsia" w:ascii="宋体" w:hAnsi="宋体"/>
          <w:b/>
          <w:bCs/>
          <w:szCs w:val="21"/>
          <w:highlight w:val="none"/>
        </w:rPr>
        <w:t>项目实施人员一览表；</w:t>
      </w:r>
    </w:p>
    <w:p>
      <w:pPr>
        <w:adjustRightInd w:val="0"/>
        <w:snapToGrid w:val="0"/>
        <w:spacing w:line="400" w:lineRule="exact"/>
        <w:jc w:val="left"/>
        <w:rPr>
          <w:rFonts w:ascii="宋体" w:hAnsi="宋体"/>
          <w:szCs w:val="21"/>
          <w:highlight w:val="none"/>
        </w:rPr>
      </w:pPr>
    </w:p>
    <w:tbl>
      <w:tblPr>
        <w:tblStyle w:val="35"/>
        <w:tblW w:w="8792"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1"/>
        <w:gridCol w:w="1260"/>
        <w:gridCol w:w="1260"/>
        <w:gridCol w:w="1817"/>
        <w:gridCol w:w="31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szCs w:val="21"/>
                <w:highlight w:val="none"/>
              </w:rPr>
            </w:pPr>
            <w:r>
              <w:rPr>
                <w:rFonts w:hint="eastAsia" w:ascii="宋体" w:hAnsi="宋体"/>
                <w:szCs w:val="21"/>
                <w:highlight w:val="none"/>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szCs w:val="21"/>
                <w:highlight w:val="none"/>
              </w:rPr>
            </w:pPr>
            <w:r>
              <w:rPr>
                <w:rFonts w:hint="eastAsia" w:ascii="宋体" w:hAnsi="宋体"/>
                <w:szCs w:val="21"/>
                <w:highlight w:val="none"/>
              </w:rPr>
              <w:t>职务</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bCs/>
                <w:szCs w:val="21"/>
                <w:highlight w:val="none"/>
              </w:rPr>
            </w:pPr>
            <w:r>
              <w:rPr>
                <w:rFonts w:hint="eastAsia" w:ascii="宋体" w:hAnsi="宋体"/>
                <w:bCs/>
                <w:szCs w:val="21"/>
                <w:highlight w:val="none"/>
              </w:rPr>
              <w:t>专业技术资格</w:t>
            </w:r>
          </w:p>
        </w:tc>
        <w:tc>
          <w:tcPr>
            <w:tcW w:w="181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szCs w:val="21"/>
                <w:highlight w:val="none"/>
              </w:rPr>
            </w:pPr>
            <w:r>
              <w:rPr>
                <w:rFonts w:hint="eastAsia" w:ascii="宋体" w:hAnsi="宋体"/>
                <w:szCs w:val="21"/>
                <w:highlight w:val="none"/>
              </w:rPr>
              <w:t>证书编号</w:t>
            </w: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bCs/>
                <w:szCs w:val="21"/>
                <w:highlight w:val="none"/>
              </w:rPr>
            </w:pPr>
            <w:r>
              <w:rPr>
                <w:rFonts w:hint="eastAsia" w:ascii="宋体" w:hAnsi="宋体"/>
                <w:bCs/>
                <w:szCs w:val="21"/>
                <w:highlight w:val="none"/>
              </w:rPr>
              <w:t>参加本单位工作时间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szCs w:val="21"/>
                <w:highlight w:val="none"/>
              </w:rPr>
            </w:pPr>
          </w:p>
        </w:tc>
        <w:tc>
          <w:tcPr>
            <w:tcW w:w="181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szCs w:val="21"/>
                <w:highlight w:val="none"/>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szCs w:val="21"/>
                <w:highlight w:val="none"/>
              </w:rPr>
            </w:pPr>
          </w:p>
        </w:tc>
        <w:tc>
          <w:tcPr>
            <w:tcW w:w="181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szCs w:val="21"/>
                <w:highlight w:val="none"/>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szCs w:val="21"/>
                <w:highlight w:val="none"/>
              </w:rPr>
            </w:pPr>
          </w:p>
        </w:tc>
        <w:tc>
          <w:tcPr>
            <w:tcW w:w="181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szCs w:val="21"/>
                <w:highlight w:val="none"/>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szCs w:val="21"/>
                <w:highlight w:val="none"/>
              </w:rPr>
            </w:pPr>
          </w:p>
        </w:tc>
      </w:tr>
    </w:tbl>
    <w:p>
      <w:pPr>
        <w:snapToGrid w:val="0"/>
        <w:spacing w:before="50" w:after="120" w:afterLines="50" w:line="440" w:lineRule="exact"/>
        <w:jc w:val="left"/>
        <w:rPr>
          <w:rFonts w:ascii="宋体" w:hAnsi="宋体"/>
          <w:szCs w:val="21"/>
          <w:highlight w:val="none"/>
        </w:rPr>
      </w:pPr>
      <w:r>
        <w:rPr>
          <w:rFonts w:hint="eastAsia" w:ascii="宋体" w:hAnsi="宋体"/>
          <w:szCs w:val="21"/>
          <w:highlight w:val="none"/>
        </w:rPr>
        <w:t>注：在填写时，如本表格不适合投标单位的实际情况，可根据本表格式自行划表填写。</w:t>
      </w:r>
    </w:p>
    <w:p>
      <w:pPr>
        <w:snapToGrid w:val="0"/>
        <w:spacing w:before="50" w:after="50" w:line="320" w:lineRule="exact"/>
        <w:ind w:left="-2" w:right="-817" w:rightChars="-389"/>
        <w:rPr>
          <w:rFonts w:ascii="宋体" w:hAnsi="宋体"/>
          <w:szCs w:val="21"/>
          <w:highlight w:val="none"/>
        </w:rPr>
      </w:pPr>
      <w:r>
        <w:rPr>
          <w:rFonts w:hint="eastAsia" w:ascii="宋体" w:hAnsi="宋体"/>
          <w:szCs w:val="21"/>
          <w:highlight w:val="none"/>
        </w:rPr>
        <w:t>法定代表人（负责人）或授权代表（签字或盖章）：</w:t>
      </w:r>
      <w:r>
        <w:rPr>
          <w:rFonts w:hint="eastAsia" w:ascii="宋体" w:hAnsi="宋体"/>
          <w:szCs w:val="21"/>
          <w:highlight w:val="none"/>
          <w:u w:val="single"/>
        </w:rPr>
        <w:t xml:space="preserve">                    </w:t>
      </w:r>
    </w:p>
    <w:p>
      <w:pPr>
        <w:pStyle w:val="22"/>
        <w:snapToGrid w:val="0"/>
        <w:spacing w:before="295" w:after="295" w:line="400" w:lineRule="exact"/>
        <w:rPr>
          <w:rFonts w:hAnsi="宋体"/>
          <w:sz w:val="21"/>
          <w:highlight w:val="none"/>
        </w:rPr>
      </w:pPr>
      <w:r>
        <w:rPr>
          <w:rFonts w:hint="eastAsia" w:hAnsi="宋体"/>
          <w:sz w:val="21"/>
          <w:highlight w:val="none"/>
        </w:rPr>
        <w:t>投标人名称（公章）：</w:t>
      </w:r>
      <w:r>
        <w:rPr>
          <w:rFonts w:hint="eastAsia" w:hAnsi="宋体"/>
          <w:sz w:val="21"/>
          <w:highlight w:val="none"/>
          <w:u w:val="single"/>
        </w:rPr>
        <w:t xml:space="preserve">                   </w:t>
      </w:r>
    </w:p>
    <w:p>
      <w:pPr>
        <w:pStyle w:val="22"/>
        <w:snapToGrid w:val="0"/>
        <w:spacing w:before="295" w:after="295" w:line="400" w:lineRule="exact"/>
        <w:rPr>
          <w:rFonts w:hAnsi="宋体"/>
          <w:sz w:val="21"/>
          <w:highlight w:val="none"/>
        </w:rPr>
      </w:pPr>
      <w:r>
        <w:rPr>
          <w:rFonts w:hint="eastAsia" w:hAnsi="宋体"/>
          <w:sz w:val="21"/>
          <w:highlight w:val="none"/>
        </w:rPr>
        <w:t>日期：    年   月   日</w:t>
      </w:r>
    </w:p>
    <w:p>
      <w:pPr>
        <w:adjustRightInd w:val="0"/>
        <w:snapToGrid w:val="0"/>
        <w:spacing w:line="400" w:lineRule="exact"/>
        <w:jc w:val="left"/>
        <w:rPr>
          <w:rFonts w:ascii="宋体" w:hAnsi="宋体"/>
          <w:szCs w:val="21"/>
          <w:highlight w:val="none"/>
        </w:rPr>
      </w:pPr>
    </w:p>
    <w:p>
      <w:pPr>
        <w:adjustRightInd w:val="0"/>
        <w:snapToGrid w:val="0"/>
        <w:spacing w:line="400" w:lineRule="exact"/>
        <w:ind w:firstLine="422" w:firstLineChars="200"/>
        <w:jc w:val="left"/>
        <w:rPr>
          <w:rFonts w:ascii="宋体" w:hAnsi="宋体"/>
          <w:b/>
          <w:bCs/>
          <w:szCs w:val="21"/>
          <w:highlight w:val="none"/>
        </w:rPr>
      </w:pPr>
      <w:r>
        <w:rPr>
          <w:rFonts w:hint="eastAsia" w:ascii="宋体" w:hAnsi="宋体"/>
          <w:b/>
          <w:bCs/>
          <w:szCs w:val="21"/>
          <w:highlight w:val="none"/>
        </w:rPr>
        <w:t>（8）投标人需要说明的其他文件和说明。</w:t>
      </w:r>
    </w:p>
    <w:p>
      <w:pPr>
        <w:snapToGrid w:val="0"/>
        <w:spacing w:before="50" w:after="120" w:afterLines="50" w:line="440" w:lineRule="exact"/>
        <w:jc w:val="left"/>
        <w:rPr>
          <w:rFonts w:ascii="宋体" w:hAnsi="宋体"/>
          <w:szCs w:val="21"/>
          <w:highlight w:val="none"/>
        </w:rPr>
      </w:pPr>
    </w:p>
    <w:p>
      <w:pPr>
        <w:snapToGrid w:val="0"/>
        <w:spacing w:before="50" w:after="120" w:afterLines="50"/>
        <w:jc w:val="left"/>
        <w:rPr>
          <w:rFonts w:ascii="宋体" w:hAnsi="宋体"/>
          <w:b/>
          <w:szCs w:val="21"/>
          <w:highlight w:val="none"/>
        </w:rPr>
      </w:pPr>
    </w:p>
    <w:p>
      <w:pPr>
        <w:snapToGrid w:val="0"/>
        <w:spacing w:before="50" w:after="120" w:afterLines="50"/>
        <w:jc w:val="left"/>
        <w:rPr>
          <w:rFonts w:ascii="宋体" w:hAnsi="宋体"/>
          <w:b/>
          <w:szCs w:val="21"/>
          <w:highlight w:val="none"/>
        </w:rPr>
      </w:pPr>
    </w:p>
    <w:p>
      <w:pPr>
        <w:snapToGrid w:val="0"/>
        <w:spacing w:before="50" w:after="120" w:afterLines="50"/>
        <w:jc w:val="left"/>
        <w:rPr>
          <w:rFonts w:ascii="宋体" w:hAnsi="宋体"/>
          <w:b/>
          <w:szCs w:val="21"/>
          <w:highlight w:val="none"/>
        </w:rPr>
      </w:pPr>
    </w:p>
    <w:p>
      <w:pPr>
        <w:snapToGrid w:val="0"/>
        <w:spacing w:before="50" w:after="120" w:afterLines="50"/>
        <w:jc w:val="left"/>
        <w:rPr>
          <w:rFonts w:ascii="宋体" w:hAnsi="宋体"/>
          <w:b/>
          <w:szCs w:val="21"/>
          <w:highlight w:val="none"/>
        </w:rPr>
      </w:pPr>
    </w:p>
    <w:p>
      <w:pPr>
        <w:snapToGrid w:val="0"/>
        <w:spacing w:before="50" w:after="120" w:afterLines="50"/>
        <w:jc w:val="left"/>
        <w:rPr>
          <w:rFonts w:ascii="宋体" w:hAnsi="宋体"/>
          <w:b/>
          <w:szCs w:val="21"/>
          <w:highlight w:val="none"/>
        </w:rPr>
      </w:pPr>
    </w:p>
    <w:p>
      <w:pPr>
        <w:snapToGrid w:val="0"/>
        <w:spacing w:before="50" w:after="120" w:afterLines="50"/>
        <w:jc w:val="left"/>
        <w:rPr>
          <w:rFonts w:ascii="宋体" w:hAnsi="宋体"/>
          <w:b/>
          <w:szCs w:val="21"/>
          <w:highlight w:val="none"/>
        </w:rPr>
      </w:pPr>
    </w:p>
    <w:p>
      <w:pPr>
        <w:snapToGrid w:val="0"/>
        <w:spacing w:before="50" w:after="120" w:afterLines="50"/>
        <w:jc w:val="left"/>
        <w:rPr>
          <w:rFonts w:ascii="宋体" w:hAnsi="宋体"/>
          <w:b/>
          <w:szCs w:val="21"/>
          <w:highlight w:val="none"/>
        </w:rPr>
      </w:pPr>
    </w:p>
    <w:p>
      <w:pPr>
        <w:snapToGrid w:val="0"/>
        <w:spacing w:before="50" w:after="120" w:afterLines="50"/>
        <w:jc w:val="left"/>
        <w:rPr>
          <w:rFonts w:ascii="宋体" w:hAnsi="宋体"/>
          <w:b/>
          <w:szCs w:val="21"/>
          <w:highlight w:val="none"/>
        </w:rPr>
      </w:pPr>
    </w:p>
    <w:p>
      <w:pPr>
        <w:snapToGrid w:val="0"/>
        <w:spacing w:before="50" w:after="120" w:afterLines="50"/>
        <w:jc w:val="left"/>
        <w:rPr>
          <w:rFonts w:ascii="宋体" w:hAnsi="宋体"/>
          <w:b/>
          <w:szCs w:val="21"/>
          <w:highlight w:val="none"/>
        </w:rPr>
      </w:pPr>
    </w:p>
    <w:p>
      <w:pPr>
        <w:snapToGrid w:val="0"/>
        <w:spacing w:before="50" w:after="120" w:afterLines="50"/>
        <w:jc w:val="left"/>
        <w:rPr>
          <w:rFonts w:ascii="宋体" w:hAnsi="宋体"/>
          <w:b/>
          <w:szCs w:val="21"/>
          <w:highlight w:val="none"/>
        </w:rPr>
      </w:pPr>
    </w:p>
    <w:p>
      <w:pPr>
        <w:snapToGrid w:val="0"/>
        <w:spacing w:before="50" w:after="120" w:afterLines="50"/>
        <w:jc w:val="left"/>
        <w:rPr>
          <w:rFonts w:ascii="宋体" w:hAnsi="宋体"/>
          <w:b/>
          <w:szCs w:val="21"/>
          <w:highlight w:val="none"/>
        </w:rPr>
      </w:pPr>
    </w:p>
    <w:p>
      <w:pPr>
        <w:snapToGrid w:val="0"/>
        <w:spacing w:before="50" w:after="120" w:afterLines="50"/>
        <w:jc w:val="left"/>
        <w:rPr>
          <w:rFonts w:ascii="宋体" w:hAnsi="宋体"/>
          <w:b/>
          <w:szCs w:val="21"/>
          <w:highlight w:val="none"/>
        </w:rPr>
      </w:pPr>
    </w:p>
    <w:p>
      <w:pPr>
        <w:snapToGrid w:val="0"/>
        <w:spacing w:before="50" w:after="120" w:afterLines="50"/>
        <w:jc w:val="left"/>
        <w:rPr>
          <w:rFonts w:ascii="宋体" w:hAnsi="宋体"/>
          <w:b/>
          <w:szCs w:val="21"/>
          <w:highlight w:val="none"/>
        </w:rPr>
      </w:pPr>
    </w:p>
    <w:p>
      <w:pPr>
        <w:snapToGrid w:val="0"/>
        <w:spacing w:before="50" w:after="120" w:afterLines="50"/>
        <w:jc w:val="left"/>
        <w:rPr>
          <w:rFonts w:ascii="宋体" w:hAnsi="宋体"/>
          <w:b/>
          <w:szCs w:val="21"/>
          <w:highlight w:val="none"/>
        </w:rPr>
      </w:pPr>
    </w:p>
    <w:p>
      <w:pPr>
        <w:snapToGrid w:val="0"/>
        <w:spacing w:before="50" w:after="120" w:afterLines="50"/>
        <w:jc w:val="left"/>
        <w:rPr>
          <w:rFonts w:ascii="宋体" w:hAnsi="宋体"/>
          <w:b/>
          <w:szCs w:val="21"/>
          <w:highlight w:val="none"/>
        </w:rPr>
      </w:pPr>
    </w:p>
    <w:p>
      <w:pPr>
        <w:snapToGrid w:val="0"/>
        <w:spacing w:before="50" w:after="120" w:afterLines="50"/>
        <w:jc w:val="left"/>
        <w:rPr>
          <w:rFonts w:ascii="宋体" w:hAnsi="宋体"/>
          <w:b/>
          <w:szCs w:val="21"/>
          <w:highlight w:val="none"/>
        </w:rPr>
      </w:pPr>
    </w:p>
    <w:p>
      <w:pPr>
        <w:snapToGrid w:val="0"/>
        <w:spacing w:before="50" w:after="120" w:afterLines="50"/>
        <w:jc w:val="left"/>
        <w:rPr>
          <w:rFonts w:ascii="宋体" w:hAnsi="宋体"/>
          <w:b/>
          <w:szCs w:val="21"/>
          <w:highlight w:val="none"/>
        </w:rPr>
      </w:pPr>
    </w:p>
    <w:p>
      <w:pPr>
        <w:snapToGrid w:val="0"/>
        <w:spacing w:before="50" w:after="120" w:afterLines="50"/>
        <w:jc w:val="left"/>
        <w:rPr>
          <w:rFonts w:ascii="宋体" w:hAnsi="宋体"/>
          <w:b/>
          <w:szCs w:val="21"/>
          <w:highlight w:val="none"/>
        </w:rPr>
      </w:pPr>
    </w:p>
    <w:p>
      <w:pPr>
        <w:snapToGrid w:val="0"/>
        <w:spacing w:before="120" w:beforeLines="50" w:after="50" w:line="400" w:lineRule="exact"/>
        <w:jc w:val="center"/>
        <w:rPr>
          <w:rFonts w:ascii="宋体" w:hAnsi="宋体"/>
          <w:b/>
          <w:szCs w:val="21"/>
          <w:highlight w:val="none"/>
        </w:rPr>
      </w:pPr>
      <w:r>
        <w:rPr>
          <w:rFonts w:hint="eastAsia" w:ascii="宋体" w:hAnsi="宋体"/>
          <w:b/>
          <w:szCs w:val="21"/>
          <w:highlight w:val="none"/>
        </w:rPr>
        <w:t>四、报价文件格式</w:t>
      </w:r>
    </w:p>
    <w:p>
      <w:pPr>
        <w:snapToGrid w:val="0"/>
        <w:spacing w:before="120" w:beforeLines="50" w:after="50" w:line="360" w:lineRule="exact"/>
        <w:rPr>
          <w:rFonts w:ascii="宋体" w:hAnsi="宋体"/>
          <w:b/>
          <w:bCs/>
          <w:szCs w:val="21"/>
          <w:highlight w:val="none"/>
        </w:rPr>
      </w:pPr>
    </w:p>
    <w:p>
      <w:pPr>
        <w:snapToGrid w:val="0"/>
        <w:spacing w:before="120" w:beforeLines="50" w:after="50" w:line="360" w:lineRule="exact"/>
        <w:rPr>
          <w:rFonts w:ascii="宋体" w:hAnsi="宋体"/>
          <w:b/>
          <w:bCs/>
          <w:szCs w:val="21"/>
          <w:highlight w:val="none"/>
        </w:rPr>
      </w:pPr>
    </w:p>
    <w:p>
      <w:pPr>
        <w:snapToGrid w:val="0"/>
        <w:spacing w:before="120" w:beforeLines="50" w:after="50" w:line="360" w:lineRule="exact"/>
        <w:rPr>
          <w:rFonts w:ascii="宋体" w:hAnsi="宋体"/>
          <w:b/>
          <w:bCs/>
          <w:szCs w:val="21"/>
          <w:highlight w:val="none"/>
        </w:rPr>
      </w:pPr>
      <w:r>
        <w:rPr>
          <w:rFonts w:hint="eastAsia" w:ascii="宋体" w:hAnsi="宋体"/>
          <w:b/>
          <w:bCs/>
          <w:szCs w:val="21"/>
          <w:highlight w:val="none"/>
        </w:rPr>
        <w:t>1.报价文件的外包装封面格式（不可缺）：</w:t>
      </w:r>
    </w:p>
    <w:p>
      <w:pPr>
        <w:snapToGrid w:val="0"/>
        <w:spacing w:before="120" w:beforeLines="50" w:after="50" w:line="360" w:lineRule="exact"/>
        <w:jc w:val="center"/>
        <w:rPr>
          <w:rFonts w:ascii="宋体" w:hAnsi="宋体"/>
          <w:bCs/>
          <w:szCs w:val="21"/>
          <w:highlight w:val="none"/>
        </w:rPr>
      </w:pPr>
    </w:p>
    <w:p>
      <w:pPr>
        <w:snapToGrid w:val="0"/>
        <w:spacing w:before="120" w:beforeLines="50" w:after="50" w:line="360" w:lineRule="exact"/>
        <w:jc w:val="center"/>
        <w:rPr>
          <w:rFonts w:ascii="宋体" w:hAnsi="宋体"/>
          <w:bCs/>
          <w:szCs w:val="21"/>
          <w:highlight w:val="none"/>
        </w:rPr>
      </w:pPr>
    </w:p>
    <w:p>
      <w:pPr>
        <w:snapToGrid w:val="0"/>
        <w:spacing w:before="120" w:beforeLines="50" w:after="50" w:line="360" w:lineRule="exact"/>
        <w:jc w:val="center"/>
        <w:rPr>
          <w:rFonts w:ascii="宋体" w:hAnsi="宋体"/>
          <w:bCs/>
          <w:szCs w:val="21"/>
          <w:highlight w:val="none"/>
        </w:rPr>
      </w:pPr>
    </w:p>
    <w:p>
      <w:pPr>
        <w:snapToGrid w:val="0"/>
        <w:spacing w:before="120" w:beforeLines="50" w:after="50" w:line="360" w:lineRule="exact"/>
        <w:jc w:val="center"/>
        <w:rPr>
          <w:rFonts w:ascii="宋体" w:hAnsi="宋体"/>
          <w:bCs/>
          <w:szCs w:val="21"/>
          <w:highlight w:val="none"/>
        </w:rPr>
      </w:pPr>
    </w:p>
    <w:p>
      <w:pPr>
        <w:snapToGrid w:val="0"/>
        <w:spacing w:before="120" w:beforeLines="50" w:after="50" w:line="360" w:lineRule="exact"/>
        <w:jc w:val="center"/>
        <w:rPr>
          <w:rFonts w:ascii="宋体" w:hAnsi="宋体"/>
          <w:bCs/>
          <w:szCs w:val="21"/>
          <w:highlight w:val="none"/>
        </w:rPr>
      </w:pPr>
    </w:p>
    <w:p>
      <w:pPr>
        <w:snapToGrid w:val="0"/>
        <w:spacing w:before="120" w:beforeLines="50" w:after="50" w:line="360" w:lineRule="exact"/>
        <w:jc w:val="center"/>
        <w:rPr>
          <w:rFonts w:ascii="宋体" w:hAnsi="宋体"/>
          <w:bCs/>
          <w:szCs w:val="21"/>
          <w:highlight w:val="none"/>
        </w:rPr>
      </w:pPr>
    </w:p>
    <w:p>
      <w:pPr>
        <w:snapToGrid w:val="0"/>
        <w:spacing w:before="120" w:beforeLines="50" w:after="50" w:line="360" w:lineRule="exact"/>
        <w:jc w:val="center"/>
        <w:rPr>
          <w:rFonts w:ascii="宋体" w:hAnsi="宋体"/>
          <w:bCs/>
          <w:szCs w:val="21"/>
          <w:highlight w:val="none"/>
        </w:rPr>
      </w:pPr>
    </w:p>
    <w:p>
      <w:pPr>
        <w:snapToGrid w:val="0"/>
        <w:spacing w:before="120" w:beforeLines="50" w:after="50" w:line="360" w:lineRule="exact"/>
        <w:jc w:val="center"/>
        <w:rPr>
          <w:rFonts w:ascii="宋体" w:hAnsi="宋体"/>
          <w:b/>
          <w:bCs/>
          <w:szCs w:val="21"/>
          <w:highlight w:val="none"/>
        </w:rPr>
      </w:pPr>
      <w:r>
        <w:rPr>
          <w:rFonts w:hint="eastAsia" w:ascii="宋体" w:hAnsi="宋体"/>
          <w:b/>
          <w:bCs/>
          <w:szCs w:val="21"/>
          <w:highlight w:val="none"/>
        </w:rPr>
        <w:t>报价文件</w:t>
      </w:r>
    </w:p>
    <w:p>
      <w:pPr>
        <w:snapToGrid w:val="0"/>
        <w:spacing w:before="120" w:beforeLines="50" w:after="50" w:line="360" w:lineRule="exact"/>
        <w:rPr>
          <w:rFonts w:ascii="宋体" w:hAnsi="宋体"/>
          <w:bCs/>
          <w:szCs w:val="21"/>
          <w:highlight w:val="none"/>
        </w:rPr>
      </w:pPr>
    </w:p>
    <w:p>
      <w:pPr>
        <w:snapToGrid w:val="0"/>
        <w:spacing w:before="120" w:beforeLines="50" w:after="50" w:line="360" w:lineRule="exact"/>
        <w:rPr>
          <w:rFonts w:ascii="宋体" w:hAnsi="宋体"/>
          <w:bCs/>
          <w:szCs w:val="21"/>
          <w:highlight w:val="none"/>
        </w:rPr>
      </w:pPr>
    </w:p>
    <w:p>
      <w:pPr>
        <w:snapToGrid w:val="0"/>
        <w:spacing w:before="120" w:beforeLines="50" w:after="50" w:line="360" w:lineRule="exact"/>
        <w:rPr>
          <w:rFonts w:ascii="宋体" w:hAnsi="宋体"/>
          <w:bCs/>
          <w:szCs w:val="21"/>
          <w:highlight w:val="none"/>
        </w:rPr>
      </w:pPr>
    </w:p>
    <w:p>
      <w:pPr>
        <w:snapToGrid w:val="0"/>
        <w:spacing w:before="120" w:beforeLines="50" w:after="50" w:line="360" w:lineRule="exact"/>
        <w:rPr>
          <w:rFonts w:ascii="宋体" w:hAnsi="宋体"/>
          <w:bCs/>
          <w:szCs w:val="21"/>
          <w:highlight w:val="none"/>
        </w:rPr>
      </w:pPr>
    </w:p>
    <w:p>
      <w:pPr>
        <w:snapToGrid w:val="0"/>
        <w:spacing w:before="120" w:beforeLines="50" w:after="50" w:line="360" w:lineRule="exact"/>
        <w:rPr>
          <w:rFonts w:ascii="宋体" w:hAnsi="宋体"/>
          <w:bCs/>
          <w:szCs w:val="21"/>
          <w:highlight w:val="none"/>
        </w:rPr>
      </w:pPr>
    </w:p>
    <w:p>
      <w:pPr>
        <w:snapToGrid w:val="0"/>
        <w:spacing w:before="120" w:beforeLines="50" w:after="50" w:line="360" w:lineRule="exact"/>
        <w:rPr>
          <w:rFonts w:ascii="宋体" w:hAnsi="宋体"/>
          <w:bCs/>
          <w:szCs w:val="21"/>
          <w:highlight w:val="none"/>
        </w:rPr>
      </w:pPr>
    </w:p>
    <w:p>
      <w:pPr>
        <w:snapToGrid w:val="0"/>
        <w:spacing w:before="120" w:beforeLines="50" w:after="50" w:line="360" w:lineRule="exact"/>
        <w:rPr>
          <w:rFonts w:ascii="宋体" w:hAnsi="宋体"/>
          <w:bCs/>
          <w:szCs w:val="21"/>
          <w:highlight w:val="none"/>
        </w:rPr>
      </w:pPr>
    </w:p>
    <w:p>
      <w:pPr>
        <w:snapToGrid w:val="0"/>
        <w:spacing w:before="120" w:beforeLines="50" w:after="50" w:line="360" w:lineRule="exact"/>
        <w:ind w:firstLine="630" w:firstLineChars="300"/>
        <w:rPr>
          <w:rFonts w:ascii="宋体" w:hAnsi="宋体"/>
          <w:bCs/>
          <w:szCs w:val="21"/>
          <w:highlight w:val="none"/>
        </w:rPr>
      </w:pPr>
      <w:r>
        <w:rPr>
          <w:rFonts w:hint="eastAsia" w:ascii="宋体" w:hAnsi="宋体"/>
          <w:bCs/>
          <w:szCs w:val="21"/>
          <w:highlight w:val="none"/>
        </w:rPr>
        <w:t xml:space="preserve">项目名称： </w:t>
      </w:r>
    </w:p>
    <w:p>
      <w:pPr>
        <w:snapToGrid w:val="0"/>
        <w:spacing w:before="120" w:beforeLines="50" w:after="50" w:line="360" w:lineRule="exact"/>
        <w:ind w:firstLine="630" w:firstLineChars="300"/>
        <w:rPr>
          <w:rFonts w:ascii="宋体" w:hAnsi="宋体"/>
          <w:bCs/>
          <w:szCs w:val="21"/>
          <w:highlight w:val="none"/>
        </w:rPr>
      </w:pPr>
      <w:r>
        <w:rPr>
          <w:rFonts w:hint="eastAsia" w:ascii="宋体" w:hAnsi="宋体"/>
          <w:bCs/>
          <w:szCs w:val="21"/>
          <w:highlight w:val="none"/>
        </w:rPr>
        <w:t xml:space="preserve">项目编号： </w:t>
      </w:r>
    </w:p>
    <w:p>
      <w:pPr>
        <w:pStyle w:val="8"/>
        <w:snapToGrid w:val="0"/>
        <w:spacing w:before="50" w:after="50" w:line="360" w:lineRule="exact"/>
        <w:ind w:firstLine="630" w:firstLineChars="300"/>
        <w:rPr>
          <w:rFonts w:ascii="宋体" w:hAnsi="宋体"/>
          <w:bCs/>
          <w:szCs w:val="21"/>
          <w:highlight w:val="none"/>
        </w:rPr>
      </w:pPr>
      <w:r>
        <w:rPr>
          <w:rFonts w:hint="eastAsia" w:ascii="宋体" w:hAnsi="宋体"/>
          <w:bCs/>
          <w:szCs w:val="21"/>
          <w:highlight w:val="none"/>
        </w:rPr>
        <w:t>投标人名称：</w:t>
      </w:r>
    </w:p>
    <w:p>
      <w:pPr>
        <w:pStyle w:val="8"/>
        <w:snapToGrid w:val="0"/>
        <w:spacing w:before="50" w:after="50" w:line="360" w:lineRule="exact"/>
        <w:ind w:firstLine="630" w:firstLineChars="300"/>
        <w:rPr>
          <w:rFonts w:ascii="宋体" w:hAnsi="宋体"/>
          <w:bCs/>
          <w:szCs w:val="21"/>
          <w:highlight w:val="none"/>
        </w:rPr>
      </w:pPr>
      <w:r>
        <w:rPr>
          <w:rFonts w:hint="eastAsia" w:ascii="宋体" w:hAnsi="宋体"/>
          <w:bCs/>
          <w:szCs w:val="21"/>
          <w:highlight w:val="none"/>
        </w:rPr>
        <w:t>投标人地址：</w:t>
      </w:r>
    </w:p>
    <w:p>
      <w:pPr>
        <w:pStyle w:val="8"/>
        <w:snapToGrid w:val="0"/>
        <w:spacing w:before="50" w:after="50" w:line="360" w:lineRule="exact"/>
        <w:ind w:firstLine="630" w:firstLineChars="300"/>
        <w:rPr>
          <w:rFonts w:ascii="宋体" w:hAnsi="宋体"/>
          <w:bCs/>
          <w:szCs w:val="21"/>
          <w:highlight w:val="none"/>
        </w:rPr>
      </w:pPr>
      <w:r>
        <w:rPr>
          <w:rFonts w:hint="eastAsia" w:ascii="宋体" w:hAnsi="宋体"/>
          <w:bCs/>
          <w:szCs w:val="21"/>
          <w:highlight w:val="none"/>
        </w:rPr>
        <w:t>在  年  月  日  时  分之前不得启封</w:t>
      </w:r>
    </w:p>
    <w:p>
      <w:pPr>
        <w:pStyle w:val="8"/>
        <w:snapToGrid w:val="0"/>
        <w:spacing w:before="50" w:after="50" w:line="360" w:lineRule="exact"/>
        <w:ind w:firstLine="873" w:firstLineChars="416"/>
        <w:rPr>
          <w:rFonts w:ascii="宋体" w:hAnsi="宋体"/>
          <w:szCs w:val="21"/>
          <w:highlight w:val="none"/>
        </w:rPr>
      </w:pPr>
    </w:p>
    <w:p>
      <w:pPr>
        <w:pStyle w:val="8"/>
        <w:snapToGrid w:val="0"/>
        <w:spacing w:before="50" w:after="50" w:line="360" w:lineRule="exact"/>
        <w:ind w:firstLine="873" w:firstLineChars="416"/>
        <w:rPr>
          <w:rFonts w:ascii="宋体" w:hAnsi="宋体"/>
          <w:szCs w:val="21"/>
          <w:highlight w:val="none"/>
        </w:rPr>
      </w:pPr>
    </w:p>
    <w:p>
      <w:pPr>
        <w:snapToGrid w:val="0"/>
        <w:spacing w:before="120" w:beforeLines="50" w:after="50" w:line="360" w:lineRule="exact"/>
        <w:ind w:firstLine="645"/>
        <w:jc w:val="center"/>
        <w:rPr>
          <w:rFonts w:ascii="宋体" w:hAnsi="宋体"/>
          <w:szCs w:val="21"/>
          <w:highlight w:val="none"/>
        </w:rPr>
      </w:pPr>
      <w:r>
        <w:rPr>
          <w:rFonts w:hint="eastAsia" w:ascii="宋体" w:hAnsi="宋体"/>
          <w:szCs w:val="21"/>
          <w:highlight w:val="none"/>
        </w:rPr>
        <w:t xml:space="preserve">                        年  月  日</w:t>
      </w:r>
    </w:p>
    <w:p>
      <w:pPr>
        <w:snapToGrid w:val="0"/>
        <w:spacing w:before="120" w:beforeLines="50" w:after="50" w:line="360" w:lineRule="exact"/>
        <w:rPr>
          <w:rFonts w:ascii="宋体" w:hAnsi="宋体"/>
          <w:szCs w:val="21"/>
          <w:highlight w:val="none"/>
        </w:rPr>
      </w:pPr>
    </w:p>
    <w:p>
      <w:pPr>
        <w:snapToGrid w:val="0"/>
        <w:spacing w:before="120" w:beforeLines="50" w:after="50" w:line="360" w:lineRule="exact"/>
        <w:rPr>
          <w:rFonts w:ascii="宋体" w:hAnsi="宋体"/>
          <w:szCs w:val="21"/>
          <w:highlight w:val="none"/>
        </w:rPr>
      </w:pPr>
    </w:p>
    <w:p>
      <w:pPr>
        <w:snapToGrid w:val="0"/>
        <w:spacing w:before="120" w:beforeLines="50" w:after="50" w:line="360" w:lineRule="exact"/>
        <w:rPr>
          <w:rFonts w:ascii="宋体" w:hAnsi="宋体"/>
          <w:szCs w:val="21"/>
          <w:highlight w:val="none"/>
        </w:rPr>
      </w:pPr>
    </w:p>
    <w:p>
      <w:pPr>
        <w:snapToGrid w:val="0"/>
        <w:spacing w:before="120" w:beforeLines="50" w:after="50" w:line="360" w:lineRule="exact"/>
        <w:rPr>
          <w:rFonts w:ascii="宋体" w:hAnsi="宋体"/>
          <w:b/>
          <w:szCs w:val="21"/>
          <w:highlight w:val="none"/>
        </w:rPr>
      </w:pPr>
      <w:r>
        <w:rPr>
          <w:rFonts w:hint="eastAsia" w:ascii="宋体" w:hAnsi="宋体"/>
          <w:b/>
          <w:szCs w:val="21"/>
          <w:highlight w:val="none"/>
        </w:rPr>
        <w:t xml:space="preserve">2.报价文件封面格式： </w:t>
      </w:r>
    </w:p>
    <w:p>
      <w:pPr>
        <w:snapToGrid w:val="0"/>
        <w:spacing w:before="120" w:beforeLines="50" w:after="50" w:line="360" w:lineRule="exact"/>
        <w:rPr>
          <w:rFonts w:ascii="宋体" w:hAnsi="宋体"/>
          <w:szCs w:val="21"/>
          <w:highlight w:val="none"/>
        </w:rPr>
      </w:pPr>
    </w:p>
    <w:p>
      <w:pPr>
        <w:snapToGrid w:val="0"/>
        <w:spacing w:before="120" w:beforeLines="50" w:after="50" w:line="360" w:lineRule="exact"/>
        <w:rPr>
          <w:rFonts w:ascii="宋体" w:hAnsi="宋体"/>
          <w:bCs/>
          <w:szCs w:val="21"/>
          <w:highlight w:val="none"/>
        </w:rPr>
      </w:pPr>
      <w:r>
        <w:rPr>
          <w:rFonts w:hint="eastAsia" w:ascii="宋体" w:hAnsi="宋体"/>
          <w:szCs w:val="21"/>
          <w:highlight w:val="none"/>
        </w:rPr>
        <w:t xml:space="preserve">                                                    </w:t>
      </w:r>
      <w:r>
        <w:rPr>
          <w:rFonts w:hint="eastAsia" w:ascii="宋体" w:hAnsi="宋体"/>
          <w:bCs/>
          <w:szCs w:val="21"/>
          <w:highlight w:val="none"/>
        </w:rPr>
        <w:t>正本/或副本</w:t>
      </w:r>
    </w:p>
    <w:p>
      <w:pPr>
        <w:snapToGrid w:val="0"/>
        <w:spacing w:before="120" w:beforeLines="50" w:after="50" w:line="360" w:lineRule="exact"/>
        <w:jc w:val="center"/>
        <w:rPr>
          <w:rFonts w:ascii="宋体" w:hAnsi="宋体"/>
          <w:bCs/>
          <w:szCs w:val="21"/>
          <w:highlight w:val="none"/>
        </w:rPr>
      </w:pPr>
    </w:p>
    <w:p>
      <w:pPr>
        <w:snapToGrid w:val="0"/>
        <w:spacing w:before="120" w:beforeLines="50" w:after="50" w:line="360" w:lineRule="exact"/>
        <w:jc w:val="center"/>
        <w:rPr>
          <w:rFonts w:ascii="宋体" w:hAnsi="宋体"/>
          <w:bCs/>
          <w:szCs w:val="21"/>
          <w:highlight w:val="none"/>
        </w:rPr>
      </w:pPr>
    </w:p>
    <w:p>
      <w:pPr>
        <w:snapToGrid w:val="0"/>
        <w:spacing w:before="120" w:beforeLines="50" w:after="50" w:line="360" w:lineRule="exact"/>
        <w:jc w:val="center"/>
        <w:rPr>
          <w:rFonts w:ascii="宋体" w:hAnsi="宋体"/>
          <w:bCs/>
          <w:szCs w:val="21"/>
          <w:highlight w:val="none"/>
        </w:rPr>
      </w:pPr>
    </w:p>
    <w:p>
      <w:pPr>
        <w:snapToGrid w:val="0"/>
        <w:spacing w:before="120" w:beforeLines="50" w:after="50" w:line="360" w:lineRule="exact"/>
        <w:jc w:val="center"/>
        <w:rPr>
          <w:rFonts w:ascii="宋体" w:hAnsi="宋体"/>
          <w:bCs/>
          <w:szCs w:val="21"/>
          <w:highlight w:val="none"/>
        </w:rPr>
      </w:pPr>
    </w:p>
    <w:p>
      <w:pPr>
        <w:snapToGrid w:val="0"/>
        <w:spacing w:before="120" w:beforeLines="50" w:after="50" w:line="360" w:lineRule="exact"/>
        <w:jc w:val="center"/>
        <w:rPr>
          <w:rFonts w:ascii="宋体" w:hAnsi="宋体"/>
          <w:bCs/>
          <w:szCs w:val="21"/>
          <w:highlight w:val="none"/>
        </w:rPr>
      </w:pPr>
    </w:p>
    <w:p>
      <w:pPr>
        <w:snapToGrid w:val="0"/>
        <w:spacing w:before="120" w:beforeLines="50" w:after="50" w:line="360" w:lineRule="exact"/>
        <w:jc w:val="center"/>
        <w:rPr>
          <w:rFonts w:ascii="宋体" w:hAnsi="宋体"/>
          <w:bCs/>
          <w:szCs w:val="21"/>
          <w:highlight w:val="none"/>
        </w:rPr>
      </w:pPr>
    </w:p>
    <w:p>
      <w:pPr>
        <w:snapToGrid w:val="0"/>
        <w:spacing w:before="120" w:beforeLines="50" w:after="50" w:line="360" w:lineRule="exact"/>
        <w:jc w:val="center"/>
        <w:rPr>
          <w:rFonts w:ascii="宋体" w:hAnsi="宋体"/>
          <w:b/>
          <w:bCs/>
          <w:szCs w:val="21"/>
          <w:highlight w:val="none"/>
        </w:rPr>
      </w:pPr>
      <w:r>
        <w:rPr>
          <w:rFonts w:hint="eastAsia" w:ascii="宋体" w:hAnsi="宋体"/>
          <w:b/>
          <w:bCs/>
          <w:szCs w:val="21"/>
          <w:highlight w:val="none"/>
        </w:rPr>
        <w:t>报价文件</w:t>
      </w:r>
    </w:p>
    <w:p>
      <w:pPr>
        <w:snapToGrid w:val="0"/>
        <w:spacing w:before="120" w:beforeLines="50" w:after="50" w:line="360" w:lineRule="exact"/>
        <w:rPr>
          <w:rFonts w:ascii="宋体" w:hAnsi="宋体"/>
          <w:bCs/>
          <w:szCs w:val="21"/>
          <w:highlight w:val="none"/>
        </w:rPr>
      </w:pPr>
    </w:p>
    <w:p>
      <w:pPr>
        <w:snapToGrid w:val="0"/>
        <w:spacing w:before="120" w:beforeLines="50" w:after="50" w:line="360" w:lineRule="exact"/>
        <w:rPr>
          <w:rFonts w:ascii="宋体" w:hAnsi="宋体"/>
          <w:bCs/>
          <w:szCs w:val="21"/>
          <w:highlight w:val="none"/>
        </w:rPr>
      </w:pPr>
    </w:p>
    <w:p>
      <w:pPr>
        <w:snapToGrid w:val="0"/>
        <w:spacing w:before="120" w:beforeLines="50" w:after="50" w:line="360" w:lineRule="exact"/>
        <w:rPr>
          <w:rFonts w:ascii="宋体" w:hAnsi="宋体"/>
          <w:bCs/>
          <w:szCs w:val="21"/>
          <w:highlight w:val="none"/>
        </w:rPr>
      </w:pPr>
    </w:p>
    <w:p>
      <w:pPr>
        <w:snapToGrid w:val="0"/>
        <w:spacing w:before="120" w:beforeLines="50" w:after="50" w:line="360" w:lineRule="exact"/>
        <w:rPr>
          <w:rFonts w:ascii="宋体" w:hAnsi="宋体"/>
          <w:bCs/>
          <w:szCs w:val="21"/>
          <w:highlight w:val="none"/>
        </w:rPr>
      </w:pPr>
    </w:p>
    <w:p>
      <w:pPr>
        <w:snapToGrid w:val="0"/>
        <w:spacing w:before="120" w:beforeLines="50" w:after="50" w:line="360" w:lineRule="exact"/>
        <w:rPr>
          <w:rFonts w:ascii="宋体" w:hAnsi="宋体"/>
          <w:bCs/>
          <w:szCs w:val="21"/>
          <w:highlight w:val="none"/>
        </w:rPr>
      </w:pPr>
    </w:p>
    <w:p>
      <w:pPr>
        <w:snapToGrid w:val="0"/>
        <w:spacing w:before="120" w:beforeLines="50" w:after="50" w:line="360" w:lineRule="exact"/>
        <w:rPr>
          <w:rFonts w:ascii="宋体" w:hAnsi="宋体"/>
          <w:bCs/>
          <w:szCs w:val="21"/>
          <w:highlight w:val="none"/>
        </w:rPr>
      </w:pPr>
    </w:p>
    <w:p>
      <w:pPr>
        <w:snapToGrid w:val="0"/>
        <w:spacing w:before="120" w:beforeLines="50" w:after="50" w:line="360" w:lineRule="exact"/>
        <w:rPr>
          <w:rFonts w:ascii="宋体" w:hAnsi="宋体"/>
          <w:bCs/>
          <w:szCs w:val="21"/>
          <w:highlight w:val="none"/>
        </w:rPr>
      </w:pPr>
    </w:p>
    <w:p>
      <w:pPr>
        <w:snapToGrid w:val="0"/>
        <w:spacing w:before="120" w:beforeLines="50" w:after="50" w:line="360" w:lineRule="exact"/>
        <w:rPr>
          <w:rFonts w:ascii="宋体" w:hAnsi="宋体"/>
          <w:bCs/>
          <w:szCs w:val="21"/>
          <w:highlight w:val="none"/>
        </w:rPr>
      </w:pPr>
    </w:p>
    <w:p>
      <w:pPr>
        <w:snapToGrid w:val="0"/>
        <w:spacing w:before="120" w:beforeLines="50" w:after="50" w:line="360" w:lineRule="exact"/>
        <w:rPr>
          <w:rFonts w:ascii="宋体" w:hAnsi="宋体"/>
          <w:bCs/>
          <w:szCs w:val="21"/>
          <w:highlight w:val="none"/>
        </w:rPr>
      </w:pPr>
    </w:p>
    <w:p>
      <w:pPr>
        <w:snapToGrid w:val="0"/>
        <w:spacing w:before="120" w:beforeLines="50" w:after="50" w:line="360" w:lineRule="exact"/>
        <w:ind w:firstLine="630" w:firstLineChars="300"/>
        <w:rPr>
          <w:rFonts w:ascii="宋体" w:hAnsi="宋体"/>
          <w:bCs/>
          <w:szCs w:val="21"/>
          <w:highlight w:val="none"/>
        </w:rPr>
      </w:pPr>
      <w:r>
        <w:rPr>
          <w:rFonts w:hint="eastAsia" w:ascii="宋体" w:hAnsi="宋体"/>
          <w:bCs/>
          <w:szCs w:val="21"/>
          <w:highlight w:val="none"/>
        </w:rPr>
        <w:t xml:space="preserve">项目名称： </w:t>
      </w:r>
    </w:p>
    <w:p>
      <w:pPr>
        <w:snapToGrid w:val="0"/>
        <w:spacing w:before="120" w:beforeLines="50" w:after="50" w:line="360" w:lineRule="exact"/>
        <w:ind w:firstLine="630" w:firstLineChars="300"/>
        <w:rPr>
          <w:rFonts w:ascii="宋体" w:hAnsi="宋体"/>
          <w:bCs/>
          <w:szCs w:val="21"/>
          <w:highlight w:val="none"/>
        </w:rPr>
      </w:pPr>
      <w:r>
        <w:rPr>
          <w:rFonts w:hint="eastAsia" w:ascii="宋体" w:hAnsi="宋体"/>
          <w:bCs/>
          <w:szCs w:val="21"/>
          <w:highlight w:val="none"/>
        </w:rPr>
        <w:t xml:space="preserve">项目编号： </w:t>
      </w:r>
    </w:p>
    <w:p>
      <w:pPr>
        <w:snapToGrid w:val="0"/>
        <w:spacing w:before="120" w:beforeLines="50" w:after="50" w:line="360" w:lineRule="exact"/>
        <w:ind w:firstLine="630" w:firstLineChars="300"/>
        <w:rPr>
          <w:rFonts w:ascii="宋体" w:hAnsi="宋体"/>
          <w:bCs/>
          <w:szCs w:val="21"/>
          <w:highlight w:val="none"/>
        </w:rPr>
      </w:pPr>
      <w:r>
        <w:rPr>
          <w:rFonts w:hint="eastAsia" w:ascii="宋体" w:hAnsi="宋体"/>
          <w:bCs/>
          <w:szCs w:val="21"/>
          <w:highlight w:val="none"/>
        </w:rPr>
        <w:t>投标人名称：</w:t>
      </w:r>
    </w:p>
    <w:p>
      <w:pPr>
        <w:snapToGrid w:val="0"/>
        <w:spacing w:before="120" w:beforeLines="50" w:after="50" w:line="360" w:lineRule="exact"/>
        <w:ind w:firstLine="630" w:firstLineChars="300"/>
        <w:rPr>
          <w:rFonts w:ascii="宋体" w:hAnsi="宋体"/>
          <w:bCs/>
          <w:szCs w:val="21"/>
          <w:highlight w:val="none"/>
        </w:rPr>
      </w:pPr>
      <w:r>
        <w:rPr>
          <w:rFonts w:hint="eastAsia"/>
          <w:highlight w:val="none"/>
        </w:rPr>
        <w:t>投标人地址：</w:t>
      </w:r>
    </w:p>
    <w:p>
      <w:pPr>
        <w:snapToGrid w:val="0"/>
        <w:spacing w:before="120" w:beforeLines="50" w:after="50" w:line="360" w:lineRule="exact"/>
        <w:jc w:val="center"/>
        <w:rPr>
          <w:rFonts w:ascii="宋体" w:hAnsi="宋体"/>
          <w:szCs w:val="21"/>
          <w:highlight w:val="none"/>
        </w:rPr>
      </w:pPr>
      <w:r>
        <w:rPr>
          <w:rFonts w:hint="eastAsia" w:ascii="宋体" w:hAnsi="宋体"/>
          <w:szCs w:val="21"/>
          <w:highlight w:val="none"/>
        </w:rPr>
        <w:t xml:space="preserve">                        年  月  日</w:t>
      </w:r>
    </w:p>
    <w:p>
      <w:pPr>
        <w:snapToGrid w:val="0"/>
        <w:spacing w:before="120" w:beforeLines="50" w:after="50" w:line="360" w:lineRule="exact"/>
        <w:jc w:val="center"/>
        <w:rPr>
          <w:rFonts w:ascii="宋体" w:hAnsi="宋体"/>
          <w:szCs w:val="21"/>
          <w:highlight w:val="none"/>
        </w:rPr>
      </w:pPr>
    </w:p>
    <w:p>
      <w:pPr>
        <w:snapToGrid w:val="0"/>
        <w:spacing w:before="120" w:beforeLines="50" w:after="50" w:line="360" w:lineRule="exact"/>
        <w:jc w:val="center"/>
        <w:rPr>
          <w:rFonts w:ascii="宋体" w:hAnsi="宋体"/>
          <w:szCs w:val="21"/>
          <w:highlight w:val="none"/>
        </w:rPr>
      </w:pPr>
    </w:p>
    <w:p>
      <w:pPr>
        <w:snapToGrid w:val="0"/>
        <w:spacing w:before="120" w:beforeLines="50" w:after="50" w:line="360" w:lineRule="exact"/>
        <w:jc w:val="center"/>
        <w:rPr>
          <w:rFonts w:ascii="宋体" w:hAnsi="宋体"/>
          <w:szCs w:val="21"/>
          <w:highlight w:val="none"/>
        </w:rPr>
      </w:pPr>
    </w:p>
    <w:p>
      <w:pPr>
        <w:snapToGrid w:val="0"/>
        <w:spacing w:before="120" w:beforeLines="50" w:after="50" w:line="360" w:lineRule="exact"/>
        <w:jc w:val="center"/>
        <w:rPr>
          <w:rFonts w:ascii="宋体" w:hAnsi="宋体"/>
          <w:szCs w:val="21"/>
          <w:highlight w:val="none"/>
        </w:rPr>
      </w:pPr>
    </w:p>
    <w:p>
      <w:pPr>
        <w:snapToGrid w:val="0"/>
        <w:spacing w:before="120" w:beforeLines="50" w:after="50" w:line="360" w:lineRule="exact"/>
        <w:jc w:val="center"/>
        <w:rPr>
          <w:rFonts w:ascii="宋体" w:hAnsi="宋体"/>
          <w:szCs w:val="21"/>
          <w:highlight w:val="none"/>
        </w:rPr>
      </w:pPr>
    </w:p>
    <w:p>
      <w:pPr>
        <w:snapToGrid w:val="0"/>
        <w:spacing w:before="120" w:beforeLines="50" w:after="50" w:line="400" w:lineRule="exact"/>
        <w:rPr>
          <w:rFonts w:ascii="宋体" w:hAnsi="宋体"/>
          <w:b/>
          <w:szCs w:val="21"/>
          <w:highlight w:val="none"/>
        </w:rPr>
      </w:pPr>
      <w:r>
        <w:rPr>
          <w:rFonts w:hint="eastAsia" w:ascii="宋体" w:hAnsi="宋体"/>
          <w:b/>
          <w:szCs w:val="21"/>
          <w:highlight w:val="none"/>
        </w:rPr>
        <w:t>3.投标函格式：</w:t>
      </w:r>
    </w:p>
    <w:p>
      <w:pPr>
        <w:snapToGrid w:val="0"/>
        <w:spacing w:before="120" w:beforeLines="50" w:after="50" w:line="460" w:lineRule="exact"/>
        <w:jc w:val="center"/>
        <w:rPr>
          <w:rFonts w:ascii="宋体" w:hAnsi="宋体"/>
          <w:b/>
          <w:szCs w:val="21"/>
          <w:highlight w:val="none"/>
        </w:rPr>
      </w:pPr>
      <w:r>
        <w:rPr>
          <w:rFonts w:hint="eastAsia" w:ascii="宋体" w:hAnsi="宋体"/>
          <w:b/>
          <w:szCs w:val="21"/>
          <w:highlight w:val="none"/>
        </w:rPr>
        <w:t>（1）投 标 函</w:t>
      </w:r>
    </w:p>
    <w:p>
      <w:pPr>
        <w:snapToGrid w:val="0"/>
        <w:spacing w:before="120" w:beforeLines="50" w:after="50" w:line="460" w:lineRule="exact"/>
        <w:jc w:val="center"/>
        <w:rPr>
          <w:rFonts w:ascii="宋体" w:hAnsi="宋体"/>
          <w:b/>
          <w:szCs w:val="21"/>
          <w:highlight w:val="none"/>
        </w:rPr>
      </w:pPr>
    </w:p>
    <w:p>
      <w:pPr>
        <w:snapToGrid w:val="0"/>
        <w:spacing w:line="460" w:lineRule="exact"/>
        <w:rPr>
          <w:rFonts w:ascii="宋体" w:hAnsi="宋体"/>
          <w:szCs w:val="21"/>
          <w:highlight w:val="none"/>
        </w:rPr>
      </w:pPr>
      <w:r>
        <w:rPr>
          <w:rFonts w:hint="eastAsia" w:ascii="宋体" w:hAnsi="宋体"/>
          <w:szCs w:val="21"/>
          <w:highlight w:val="none"/>
        </w:rPr>
        <w:t>致：</w:t>
      </w:r>
      <w:r>
        <w:rPr>
          <w:rFonts w:hint="eastAsia" w:ascii="宋体" w:hAnsi="宋体"/>
          <w:szCs w:val="21"/>
          <w:highlight w:val="none"/>
          <w:u w:val="single"/>
        </w:rPr>
        <w:t xml:space="preserve">                </w:t>
      </w:r>
      <w:r>
        <w:rPr>
          <w:rFonts w:hint="eastAsia" w:ascii="宋体" w:hAnsi="宋体"/>
          <w:szCs w:val="21"/>
          <w:highlight w:val="none"/>
        </w:rPr>
        <w:t>（招标采购单位名称）：</w:t>
      </w:r>
    </w:p>
    <w:p>
      <w:pPr>
        <w:snapToGrid w:val="0"/>
        <w:spacing w:line="460" w:lineRule="exact"/>
        <w:ind w:firstLine="480"/>
        <w:rPr>
          <w:rFonts w:ascii="宋体" w:hAnsi="宋体"/>
          <w:szCs w:val="21"/>
          <w:highlight w:val="none"/>
        </w:rPr>
      </w:pPr>
      <w:r>
        <w:rPr>
          <w:rFonts w:hint="eastAsia" w:ascii="宋体" w:hAnsi="宋体"/>
          <w:szCs w:val="21"/>
          <w:highlight w:val="none"/>
        </w:rPr>
        <w:t>根据贵方为</w:t>
      </w:r>
      <w:r>
        <w:rPr>
          <w:rFonts w:hint="eastAsia" w:ascii="宋体" w:hAnsi="宋体"/>
          <w:szCs w:val="21"/>
          <w:highlight w:val="none"/>
          <w:u w:val="single"/>
        </w:rPr>
        <w:t xml:space="preserve">                             </w:t>
      </w:r>
      <w:r>
        <w:rPr>
          <w:rFonts w:hint="eastAsia" w:ascii="宋体" w:hAnsi="宋体"/>
          <w:szCs w:val="21"/>
          <w:highlight w:val="none"/>
        </w:rPr>
        <w:t>项目的招标公告（项目编号：</w:t>
      </w:r>
      <w:r>
        <w:rPr>
          <w:rFonts w:hint="eastAsia" w:ascii="宋体" w:hAnsi="宋体"/>
          <w:szCs w:val="21"/>
          <w:highlight w:val="none"/>
          <w:u w:val="single"/>
        </w:rPr>
        <w:t xml:space="preserve">             </w:t>
      </w:r>
      <w:r>
        <w:rPr>
          <w:rFonts w:hint="eastAsia" w:ascii="宋体" w:hAnsi="宋体"/>
          <w:szCs w:val="21"/>
          <w:highlight w:val="none"/>
        </w:rPr>
        <w:t>），签字代表</w:t>
      </w:r>
      <w:r>
        <w:rPr>
          <w:rFonts w:hint="eastAsia" w:ascii="宋体" w:hAnsi="宋体"/>
          <w:szCs w:val="21"/>
          <w:highlight w:val="none"/>
          <w:u w:val="single"/>
        </w:rPr>
        <w:t xml:space="preserve">              </w:t>
      </w:r>
      <w:r>
        <w:rPr>
          <w:rFonts w:hint="eastAsia" w:ascii="宋体" w:hAnsi="宋体"/>
          <w:szCs w:val="21"/>
          <w:highlight w:val="none"/>
        </w:rPr>
        <w:t>（全名）经正式授权并代表投标人</w:t>
      </w:r>
      <w:r>
        <w:rPr>
          <w:rFonts w:hint="eastAsia" w:ascii="宋体" w:hAnsi="宋体"/>
          <w:szCs w:val="21"/>
          <w:highlight w:val="none"/>
          <w:u w:val="single"/>
        </w:rPr>
        <w:t xml:space="preserve">                          </w:t>
      </w:r>
      <w:r>
        <w:rPr>
          <w:rFonts w:hint="eastAsia" w:ascii="宋体" w:hAnsi="宋体"/>
          <w:szCs w:val="21"/>
          <w:highlight w:val="none"/>
        </w:rPr>
        <w:t>（投标人名称）提交资格审查文件、商务/技术文件、报价文件正本各一份、副本各</w:t>
      </w:r>
      <w:r>
        <w:rPr>
          <w:rFonts w:hint="eastAsia" w:ascii="宋体" w:hAnsi="宋体"/>
          <w:szCs w:val="21"/>
          <w:highlight w:val="none"/>
          <w:u w:val="single"/>
          <w:lang w:val="en-US" w:eastAsia="zh-CN"/>
        </w:rPr>
        <w:t xml:space="preserve">   </w:t>
      </w:r>
      <w:r>
        <w:rPr>
          <w:rFonts w:hint="eastAsia" w:ascii="宋体" w:hAnsi="宋体"/>
          <w:szCs w:val="21"/>
          <w:highlight w:val="none"/>
        </w:rPr>
        <w:t>份。</w:t>
      </w:r>
    </w:p>
    <w:p>
      <w:pPr>
        <w:snapToGrid w:val="0"/>
        <w:spacing w:line="460" w:lineRule="exact"/>
        <w:ind w:firstLine="420" w:firstLineChars="200"/>
        <w:rPr>
          <w:rFonts w:ascii="宋体" w:hAnsi="宋体"/>
          <w:szCs w:val="21"/>
          <w:highlight w:val="none"/>
        </w:rPr>
      </w:pPr>
      <w:r>
        <w:rPr>
          <w:rFonts w:hint="eastAsia" w:ascii="宋体" w:hAnsi="宋体"/>
          <w:szCs w:val="21"/>
          <w:highlight w:val="none"/>
        </w:rPr>
        <w:t>据此函，签字代表宣布同意如下：</w:t>
      </w:r>
    </w:p>
    <w:p>
      <w:pPr>
        <w:snapToGrid w:val="0"/>
        <w:spacing w:line="460" w:lineRule="exact"/>
        <w:ind w:firstLine="420" w:firstLineChars="200"/>
        <w:rPr>
          <w:rFonts w:ascii="宋体" w:hAnsi="宋体"/>
          <w:szCs w:val="21"/>
          <w:highlight w:val="none"/>
        </w:rPr>
      </w:pPr>
      <w:r>
        <w:rPr>
          <w:rFonts w:hint="eastAsia" w:ascii="宋体" w:hAnsi="宋体"/>
          <w:szCs w:val="21"/>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460" w:lineRule="exact"/>
        <w:ind w:firstLine="420" w:firstLineChars="200"/>
        <w:rPr>
          <w:rFonts w:ascii="宋体" w:hAnsi="宋体"/>
          <w:szCs w:val="21"/>
          <w:highlight w:val="none"/>
        </w:rPr>
      </w:pPr>
      <w:r>
        <w:rPr>
          <w:rFonts w:hint="eastAsia" w:ascii="宋体" w:hAnsi="宋体"/>
          <w:szCs w:val="21"/>
          <w:highlight w:val="none"/>
        </w:rPr>
        <w:t>2.投标人在投标之前已经与贵方进行了充分的沟通，完全理解并接受招标文件的各项规定和要求，对招标文件的合理性、合法性不再有异议。</w:t>
      </w:r>
    </w:p>
    <w:p>
      <w:pPr>
        <w:snapToGrid w:val="0"/>
        <w:spacing w:line="460" w:lineRule="exact"/>
        <w:ind w:firstLine="420" w:firstLineChars="200"/>
        <w:rPr>
          <w:rFonts w:ascii="宋体" w:hAnsi="宋体"/>
          <w:szCs w:val="21"/>
          <w:highlight w:val="none"/>
        </w:rPr>
      </w:pPr>
      <w:r>
        <w:rPr>
          <w:rFonts w:hint="eastAsia" w:ascii="宋体" w:hAnsi="宋体"/>
          <w:szCs w:val="21"/>
          <w:highlight w:val="none"/>
        </w:rPr>
        <w:t>3.本投标有效期自开标日起</w:t>
      </w:r>
      <w:r>
        <w:rPr>
          <w:rFonts w:hint="eastAsia" w:ascii="宋体" w:hAnsi="宋体"/>
          <w:szCs w:val="21"/>
          <w:highlight w:val="none"/>
          <w:u w:val="single"/>
        </w:rPr>
        <w:t xml:space="preserve">   天</w:t>
      </w:r>
      <w:r>
        <w:rPr>
          <w:rFonts w:hint="eastAsia" w:ascii="宋体" w:hAnsi="宋体"/>
          <w:szCs w:val="21"/>
          <w:highlight w:val="none"/>
        </w:rPr>
        <w:t>。</w:t>
      </w:r>
    </w:p>
    <w:p>
      <w:pPr>
        <w:snapToGrid w:val="0"/>
        <w:spacing w:line="460" w:lineRule="exact"/>
        <w:ind w:firstLine="420" w:firstLineChars="200"/>
        <w:rPr>
          <w:rFonts w:ascii="宋体" w:hAnsi="宋体"/>
          <w:szCs w:val="21"/>
          <w:highlight w:val="none"/>
        </w:rPr>
      </w:pPr>
      <w:r>
        <w:rPr>
          <w:rFonts w:hint="eastAsia" w:ascii="宋体" w:hAnsi="宋体"/>
          <w:szCs w:val="21"/>
          <w:highlight w:val="none"/>
        </w:rPr>
        <w:t>4.如中标，本投标文件至本项目合同履行完毕止均保持有效，本投标人将按“招标文件”及政府采购法律、法规的规定履行合同责任和义务。</w:t>
      </w:r>
    </w:p>
    <w:p>
      <w:pPr>
        <w:snapToGrid w:val="0"/>
        <w:spacing w:line="460" w:lineRule="exact"/>
        <w:ind w:firstLine="420" w:firstLineChars="200"/>
        <w:rPr>
          <w:rFonts w:ascii="宋体" w:hAnsi="宋体"/>
          <w:szCs w:val="21"/>
          <w:highlight w:val="none"/>
        </w:rPr>
      </w:pPr>
      <w:r>
        <w:rPr>
          <w:rFonts w:hint="eastAsia" w:ascii="宋体" w:hAnsi="宋体"/>
          <w:szCs w:val="21"/>
          <w:highlight w:val="none"/>
        </w:rPr>
        <w:t>5.投标人同意按照贵方要求提供与投标有关的一切数据或资料。</w:t>
      </w:r>
    </w:p>
    <w:p>
      <w:pPr>
        <w:snapToGrid w:val="0"/>
        <w:spacing w:line="460" w:lineRule="exact"/>
        <w:ind w:firstLine="420" w:firstLineChars="200"/>
        <w:rPr>
          <w:rFonts w:ascii="宋体" w:hAnsi="宋体"/>
          <w:szCs w:val="21"/>
          <w:highlight w:val="none"/>
        </w:rPr>
      </w:pPr>
      <w:r>
        <w:rPr>
          <w:rFonts w:hint="eastAsia" w:ascii="宋体" w:hAnsi="宋体"/>
          <w:szCs w:val="21"/>
          <w:highlight w:val="none"/>
        </w:rPr>
        <w:t>6.与本投标有关的一切正式往来信函请寄：</w:t>
      </w:r>
    </w:p>
    <w:p>
      <w:pPr>
        <w:snapToGrid w:val="0"/>
        <w:spacing w:line="460" w:lineRule="exact"/>
        <w:rPr>
          <w:rFonts w:ascii="宋体" w:hAnsi="宋体"/>
          <w:szCs w:val="21"/>
          <w:highlight w:val="none"/>
        </w:rPr>
      </w:pPr>
      <w:r>
        <w:rPr>
          <w:rFonts w:hint="eastAsia" w:ascii="宋体" w:hAnsi="宋体"/>
          <w:szCs w:val="21"/>
          <w:highlight w:val="none"/>
        </w:rPr>
        <w:t>地址：</w:t>
      </w:r>
      <w:r>
        <w:rPr>
          <w:rFonts w:hint="eastAsia" w:ascii="宋体" w:hAnsi="宋体"/>
          <w:szCs w:val="21"/>
          <w:highlight w:val="none"/>
          <w:u w:val="single"/>
        </w:rPr>
        <w:t xml:space="preserve">                      </w:t>
      </w:r>
      <w:r>
        <w:rPr>
          <w:rFonts w:hint="eastAsia" w:ascii="宋体" w:hAnsi="宋体"/>
          <w:szCs w:val="21"/>
          <w:highlight w:val="none"/>
        </w:rPr>
        <w:t>邮编：</w:t>
      </w:r>
      <w:r>
        <w:rPr>
          <w:rFonts w:hint="eastAsia" w:ascii="宋体" w:hAnsi="宋体"/>
          <w:szCs w:val="21"/>
          <w:highlight w:val="none"/>
          <w:u w:val="single"/>
        </w:rPr>
        <w:t xml:space="preserve">         </w:t>
      </w:r>
      <w:r>
        <w:rPr>
          <w:rFonts w:hint="eastAsia" w:ascii="宋体" w:hAnsi="宋体"/>
          <w:szCs w:val="21"/>
          <w:highlight w:val="none"/>
        </w:rPr>
        <w:t xml:space="preserve">  电话：</w:t>
      </w:r>
      <w:r>
        <w:rPr>
          <w:rFonts w:hint="eastAsia" w:ascii="宋体" w:hAnsi="宋体"/>
          <w:szCs w:val="21"/>
          <w:highlight w:val="none"/>
          <w:u w:val="single"/>
        </w:rPr>
        <w:t xml:space="preserve">            </w:t>
      </w:r>
    </w:p>
    <w:p>
      <w:pPr>
        <w:snapToGrid w:val="0"/>
        <w:spacing w:line="460" w:lineRule="exact"/>
        <w:rPr>
          <w:rFonts w:ascii="宋体" w:hAnsi="宋体"/>
          <w:szCs w:val="21"/>
          <w:highlight w:val="none"/>
        </w:rPr>
      </w:pPr>
      <w:r>
        <w:rPr>
          <w:rFonts w:hint="eastAsia" w:ascii="宋体" w:hAnsi="宋体"/>
          <w:szCs w:val="21"/>
          <w:highlight w:val="none"/>
        </w:rPr>
        <w:t>传真：</w:t>
      </w:r>
      <w:r>
        <w:rPr>
          <w:rFonts w:hint="eastAsia" w:ascii="宋体" w:hAnsi="宋体"/>
          <w:szCs w:val="21"/>
          <w:highlight w:val="none"/>
          <w:u w:val="single"/>
        </w:rPr>
        <w:t xml:space="preserve">           </w:t>
      </w:r>
      <w:r>
        <w:rPr>
          <w:rFonts w:hint="eastAsia" w:ascii="宋体" w:hAnsi="宋体"/>
          <w:szCs w:val="21"/>
          <w:highlight w:val="none"/>
        </w:rPr>
        <w:t xml:space="preserve">  投标人代表姓名</w:t>
      </w:r>
      <w:r>
        <w:rPr>
          <w:rFonts w:hint="eastAsia" w:ascii="宋体" w:hAnsi="宋体"/>
          <w:szCs w:val="21"/>
          <w:highlight w:val="none"/>
          <w:u w:val="single"/>
        </w:rPr>
        <w:t xml:space="preserve">         </w:t>
      </w:r>
      <w:r>
        <w:rPr>
          <w:rFonts w:hint="eastAsia" w:ascii="宋体" w:hAnsi="宋体"/>
          <w:szCs w:val="21"/>
          <w:highlight w:val="none"/>
        </w:rPr>
        <w:t xml:space="preserve">  职务：</w:t>
      </w:r>
      <w:r>
        <w:rPr>
          <w:rFonts w:hint="eastAsia" w:ascii="宋体" w:hAnsi="宋体"/>
          <w:szCs w:val="21"/>
          <w:highlight w:val="none"/>
          <w:u w:val="single"/>
        </w:rPr>
        <w:t xml:space="preserve">         </w:t>
      </w:r>
    </w:p>
    <w:p>
      <w:pPr>
        <w:snapToGrid w:val="0"/>
        <w:spacing w:line="460" w:lineRule="exact"/>
        <w:rPr>
          <w:rFonts w:ascii="宋体" w:hAnsi="宋体"/>
          <w:szCs w:val="21"/>
          <w:highlight w:val="none"/>
        </w:rPr>
      </w:pPr>
      <w:r>
        <w:rPr>
          <w:rFonts w:hint="eastAsia" w:ascii="宋体" w:hAnsi="宋体"/>
          <w:szCs w:val="21"/>
          <w:highlight w:val="none"/>
        </w:rPr>
        <w:t>投标人名称(公章)：</w:t>
      </w:r>
      <w:r>
        <w:rPr>
          <w:rFonts w:hint="eastAsia" w:ascii="宋体" w:hAnsi="宋体"/>
          <w:szCs w:val="21"/>
          <w:highlight w:val="none"/>
          <w:u w:val="single"/>
        </w:rPr>
        <w:t xml:space="preserve">                  </w:t>
      </w:r>
    </w:p>
    <w:p>
      <w:pPr>
        <w:snapToGrid w:val="0"/>
        <w:spacing w:line="460" w:lineRule="exact"/>
        <w:rPr>
          <w:rFonts w:ascii="宋体" w:hAnsi="宋体"/>
          <w:szCs w:val="21"/>
          <w:highlight w:val="none"/>
        </w:rPr>
      </w:pPr>
      <w:r>
        <w:rPr>
          <w:rFonts w:hint="eastAsia" w:ascii="宋体" w:hAnsi="宋体"/>
          <w:szCs w:val="21"/>
          <w:highlight w:val="none"/>
        </w:rPr>
        <w:t>开户银行：</w:t>
      </w:r>
      <w:r>
        <w:rPr>
          <w:rFonts w:hint="eastAsia" w:ascii="宋体" w:hAnsi="宋体"/>
          <w:szCs w:val="21"/>
          <w:highlight w:val="none"/>
          <w:u w:val="single"/>
        </w:rPr>
        <w:t xml:space="preserve">                      </w:t>
      </w:r>
      <w:r>
        <w:rPr>
          <w:rFonts w:hint="eastAsia" w:ascii="宋体" w:hAnsi="宋体"/>
          <w:szCs w:val="21"/>
          <w:highlight w:val="none"/>
        </w:rPr>
        <w:t xml:space="preserve">   银行帐号：</w:t>
      </w:r>
      <w:r>
        <w:rPr>
          <w:rFonts w:hint="eastAsia" w:ascii="宋体" w:hAnsi="宋体"/>
          <w:szCs w:val="21"/>
          <w:highlight w:val="none"/>
          <w:u w:val="single"/>
        </w:rPr>
        <w:t xml:space="preserve">                    </w:t>
      </w:r>
      <w:r>
        <w:rPr>
          <w:rFonts w:hint="eastAsia" w:ascii="宋体" w:hAnsi="宋体"/>
          <w:szCs w:val="21"/>
          <w:highlight w:val="none"/>
        </w:rPr>
        <w:t xml:space="preserve"> </w:t>
      </w:r>
    </w:p>
    <w:p>
      <w:pPr>
        <w:snapToGrid w:val="0"/>
        <w:spacing w:line="460" w:lineRule="exact"/>
        <w:rPr>
          <w:rFonts w:ascii="宋体" w:hAnsi="宋体"/>
          <w:szCs w:val="21"/>
          <w:highlight w:val="none"/>
        </w:rPr>
      </w:pPr>
      <w:r>
        <w:rPr>
          <w:rFonts w:hint="eastAsia" w:ascii="宋体" w:hAnsi="宋体"/>
          <w:szCs w:val="21"/>
          <w:highlight w:val="none"/>
        </w:rPr>
        <w:t>法定代表人（负责人）或授权代表（签字或盖章）：</w:t>
      </w:r>
      <w:r>
        <w:rPr>
          <w:rFonts w:hint="eastAsia" w:ascii="宋体" w:hAnsi="宋体"/>
          <w:szCs w:val="21"/>
          <w:highlight w:val="none"/>
          <w:u w:val="single"/>
        </w:rPr>
        <w:t xml:space="preserve">                    </w:t>
      </w:r>
    </w:p>
    <w:p>
      <w:pPr>
        <w:snapToGrid w:val="0"/>
        <w:spacing w:line="460" w:lineRule="exact"/>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pStyle w:val="22"/>
        <w:snapToGrid w:val="0"/>
        <w:spacing w:before="295" w:after="295" w:line="400" w:lineRule="exact"/>
        <w:rPr>
          <w:rFonts w:hAnsi="宋体"/>
          <w:highlight w:val="none"/>
        </w:rPr>
      </w:pPr>
    </w:p>
    <w:p>
      <w:pPr>
        <w:snapToGrid w:val="0"/>
        <w:spacing w:line="460" w:lineRule="exact"/>
        <w:rPr>
          <w:rFonts w:ascii="宋体" w:hAnsi="宋体"/>
          <w:szCs w:val="21"/>
          <w:highlight w:val="none"/>
        </w:rPr>
      </w:pPr>
    </w:p>
    <w:p>
      <w:pPr>
        <w:snapToGrid w:val="0"/>
        <w:spacing w:before="120" w:beforeLines="50" w:after="50" w:line="400" w:lineRule="exact"/>
        <w:rPr>
          <w:rFonts w:ascii="宋体" w:hAnsi="宋体"/>
          <w:b/>
          <w:szCs w:val="21"/>
          <w:highlight w:val="none"/>
        </w:rPr>
      </w:pPr>
      <w:r>
        <w:rPr>
          <w:rFonts w:hint="eastAsia" w:ascii="宋体" w:hAnsi="宋体"/>
          <w:b/>
          <w:szCs w:val="21"/>
          <w:highlight w:val="none"/>
        </w:rPr>
        <w:br w:type="page"/>
      </w:r>
      <w:r>
        <w:rPr>
          <w:rFonts w:hint="eastAsia" w:ascii="宋体" w:hAnsi="宋体"/>
          <w:b/>
          <w:szCs w:val="21"/>
          <w:highlight w:val="none"/>
        </w:rPr>
        <w:t>4.投标报价明细表格式</w:t>
      </w:r>
    </w:p>
    <w:p>
      <w:pPr>
        <w:pStyle w:val="22"/>
        <w:snapToGrid w:val="0"/>
        <w:spacing w:before="295" w:after="295" w:line="400" w:lineRule="exact"/>
        <w:jc w:val="center"/>
        <w:rPr>
          <w:rFonts w:hAnsi="宋体"/>
          <w:b/>
          <w:sz w:val="21"/>
          <w:highlight w:val="none"/>
        </w:rPr>
      </w:pPr>
      <w:r>
        <w:rPr>
          <w:rFonts w:hint="eastAsia" w:hAnsi="宋体"/>
          <w:b/>
          <w:sz w:val="21"/>
          <w:highlight w:val="none"/>
        </w:rPr>
        <w:t>（2）投标报价明细表</w:t>
      </w:r>
    </w:p>
    <w:p>
      <w:pPr>
        <w:pStyle w:val="22"/>
        <w:snapToGrid w:val="0"/>
        <w:spacing w:before="295" w:after="295" w:line="400" w:lineRule="exact"/>
        <w:ind w:firstLine="3570" w:firstLineChars="1700"/>
        <w:rPr>
          <w:rFonts w:hAnsi="宋体"/>
          <w:highlight w:val="none"/>
        </w:rPr>
      </w:pPr>
      <w:r>
        <w:rPr>
          <w:rFonts w:hint="eastAsia" w:hAnsi="宋体"/>
          <w:sz w:val="21"/>
          <w:highlight w:val="none"/>
        </w:rPr>
        <w:t xml:space="preserve">                 金额单位：人民币</w:t>
      </w:r>
      <w:r>
        <w:rPr>
          <w:rFonts w:hint="eastAsia" w:hAnsi="宋体"/>
          <w:highlight w:val="none"/>
        </w:rPr>
        <w:t>（元）</w:t>
      </w:r>
    </w:p>
    <w:tbl>
      <w:tblPr>
        <w:tblStyle w:val="35"/>
        <w:tblW w:w="900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620"/>
        <w:gridCol w:w="2520"/>
        <w:gridCol w:w="8"/>
        <w:gridCol w:w="1612"/>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ascii="宋体" w:hAnsi="宋体"/>
                <w:spacing w:val="20"/>
                <w:szCs w:val="21"/>
                <w:highlight w:val="none"/>
              </w:rPr>
            </w:pPr>
            <w:r>
              <w:rPr>
                <w:rFonts w:hint="eastAsia" w:ascii="宋体" w:hAnsi="宋体"/>
                <w:szCs w:val="21"/>
                <w:highlight w:val="none"/>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ascii="宋体" w:hAnsi="宋体"/>
                <w:szCs w:val="21"/>
                <w:highlight w:val="none"/>
              </w:rPr>
            </w:pPr>
            <w:r>
              <w:rPr>
                <w:rFonts w:hint="eastAsia" w:ascii="宋体" w:hAnsi="宋体"/>
                <w:szCs w:val="21"/>
                <w:highlight w:val="none"/>
              </w:rPr>
              <w:t>货物名称</w:t>
            </w: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ascii="宋体" w:hAnsi="宋体"/>
                <w:szCs w:val="21"/>
                <w:highlight w:val="none"/>
              </w:rPr>
            </w:pPr>
            <w:r>
              <w:rPr>
                <w:rFonts w:hint="eastAsia" w:ascii="宋体" w:hAnsi="宋体"/>
                <w:szCs w:val="21"/>
                <w:highlight w:val="none"/>
              </w:rPr>
              <w:t>技术参数</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ascii="宋体" w:hAnsi="宋体"/>
                <w:szCs w:val="21"/>
                <w:highlight w:val="none"/>
              </w:rPr>
            </w:pPr>
            <w:r>
              <w:rPr>
                <w:rFonts w:hint="eastAsia" w:ascii="宋体" w:hAnsi="宋体"/>
                <w:szCs w:val="21"/>
                <w:highlight w:val="none"/>
              </w:rPr>
              <w:t>单位及数量</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ascii="宋体" w:hAnsi="宋体"/>
                <w:szCs w:val="21"/>
                <w:highlight w:val="none"/>
              </w:rPr>
            </w:pPr>
            <w:r>
              <w:rPr>
                <w:rFonts w:hint="eastAsia" w:ascii="宋体" w:hAnsi="宋体"/>
                <w:szCs w:val="21"/>
                <w:highlight w:val="none"/>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ascii="宋体" w:hAnsi="宋体"/>
                <w:szCs w:val="21"/>
                <w:highlight w:val="none"/>
              </w:rPr>
            </w:pPr>
            <w:r>
              <w:rPr>
                <w:rFonts w:hint="eastAsia" w:ascii="宋体" w:hAnsi="宋体"/>
                <w:szCs w:val="21"/>
                <w:highlight w:val="none"/>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r>
              <w:rPr>
                <w:rFonts w:hint="eastAsia" w:ascii="宋体" w:hAnsi="宋体"/>
                <w:spacing w:val="20"/>
                <w:szCs w:val="21"/>
                <w:highlight w:val="none"/>
              </w:rPr>
              <w:t>1</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c>
          <w:tcPr>
            <w:tcW w:w="25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r>
              <w:rPr>
                <w:rFonts w:hint="eastAsia" w:ascii="宋体" w:hAnsi="宋体"/>
                <w:spacing w:val="20"/>
                <w:szCs w:val="21"/>
                <w:highlight w:val="none"/>
              </w:rPr>
              <w:t>2</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c>
          <w:tcPr>
            <w:tcW w:w="25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r>
              <w:rPr>
                <w:rFonts w:hint="eastAsia" w:ascii="宋体" w:hAnsi="宋体"/>
                <w:spacing w:val="20"/>
                <w:szCs w:val="21"/>
                <w:highlight w:val="none"/>
              </w:rPr>
              <w:t>…</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c>
          <w:tcPr>
            <w:tcW w:w="25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0" w:type="dxa"/>
            <w:gridSpan w:val="7"/>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r>
              <w:rPr>
                <w:rFonts w:hint="eastAsia" w:ascii="宋体" w:hAnsi="宋体"/>
                <w:spacing w:val="20"/>
                <w:szCs w:val="21"/>
                <w:highlight w:val="none"/>
              </w:rPr>
              <w:t>投标费用及利润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c>
          <w:tcPr>
            <w:tcW w:w="4140" w:type="dxa"/>
            <w:gridSpan w:val="2"/>
            <w:tcBorders>
              <w:top w:val="single" w:color="auto" w:sz="4" w:space="0"/>
              <w:left w:val="single" w:color="auto" w:sz="4" w:space="0"/>
              <w:bottom w:val="single" w:color="auto" w:sz="4" w:space="0"/>
              <w:right w:val="single" w:color="auto" w:sz="4" w:space="0"/>
            </w:tcBorders>
          </w:tcPr>
          <w:p>
            <w:pPr>
              <w:pStyle w:val="86"/>
              <w:tabs>
                <w:tab w:val="left" w:pos="1418"/>
              </w:tabs>
              <w:snapToGrid w:val="0"/>
              <w:spacing w:before="50" w:after="50" w:line="400" w:lineRule="exact"/>
              <w:rPr>
                <w:rFonts w:ascii="宋体" w:hAnsi="宋体"/>
                <w:spacing w:val="20"/>
                <w:sz w:val="21"/>
                <w:szCs w:val="21"/>
                <w:highlight w:val="none"/>
              </w:rPr>
            </w:pPr>
            <w:r>
              <w:rPr>
                <w:rFonts w:hint="eastAsia" w:ascii="宋体" w:hAnsi="宋体"/>
                <w:spacing w:val="20"/>
                <w:sz w:val="21"/>
                <w:szCs w:val="21"/>
                <w:highlight w:val="none"/>
              </w:rPr>
              <w:t>标书费、代理费</w:t>
            </w: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c>
          <w:tcPr>
            <w:tcW w:w="4140" w:type="dxa"/>
            <w:gridSpan w:val="2"/>
            <w:tcBorders>
              <w:top w:val="single" w:color="auto" w:sz="4" w:space="0"/>
              <w:left w:val="single" w:color="auto" w:sz="4" w:space="0"/>
              <w:bottom w:val="single" w:color="auto" w:sz="4" w:space="0"/>
              <w:right w:val="single" w:color="auto" w:sz="4" w:space="0"/>
            </w:tcBorders>
          </w:tcPr>
          <w:p>
            <w:pPr>
              <w:pStyle w:val="86"/>
              <w:tabs>
                <w:tab w:val="left" w:pos="1418"/>
              </w:tabs>
              <w:snapToGrid w:val="0"/>
              <w:spacing w:before="50" w:after="50" w:line="400" w:lineRule="exact"/>
              <w:rPr>
                <w:rFonts w:ascii="宋体" w:hAnsi="宋体"/>
                <w:spacing w:val="20"/>
                <w:sz w:val="21"/>
                <w:szCs w:val="21"/>
                <w:highlight w:val="none"/>
              </w:rPr>
            </w:pPr>
            <w:r>
              <w:rPr>
                <w:rFonts w:hint="eastAsia" w:ascii="宋体" w:hAnsi="宋体"/>
                <w:spacing w:val="20"/>
                <w:sz w:val="21"/>
                <w:szCs w:val="21"/>
                <w:highlight w:val="none"/>
              </w:rPr>
              <w:t>其他：</w:t>
            </w: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c>
          <w:tcPr>
            <w:tcW w:w="4148"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rPr>
                <w:rFonts w:ascii="宋体" w:hAnsi="宋体"/>
                <w:spacing w:val="20"/>
                <w:szCs w:val="21"/>
                <w:highlight w:val="none"/>
              </w:rPr>
            </w:pPr>
            <w:r>
              <w:rPr>
                <w:rFonts w:hint="eastAsia" w:ascii="宋体" w:hAnsi="宋体"/>
                <w:spacing w:val="20"/>
                <w:szCs w:val="21"/>
                <w:highlight w:val="none"/>
              </w:rPr>
              <w:t>税费及附加</w:t>
            </w:r>
          </w:p>
        </w:tc>
        <w:tc>
          <w:tcPr>
            <w:tcW w:w="287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ind w:left="8"/>
              <w:rPr>
                <w:rFonts w:ascii="宋体" w:hAnsi="宋体"/>
                <w:spacing w:val="20"/>
                <w:szCs w:val="21"/>
                <w:highlight w:val="none"/>
              </w:rPr>
            </w:pPr>
            <w:r>
              <w:rPr>
                <w:rFonts w:hint="eastAsia" w:ascii="宋体" w:hAnsi="宋体"/>
                <w:spacing w:val="20"/>
                <w:szCs w:val="21"/>
                <w:highlight w:val="none"/>
              </w:rPr>
              <w:t>税费率：</w:t>
            </w:r>
            <w:r>
              <w:rPr>
                <w:rFonts w:hint="eastAsia" w:ascii="宋体" w:hAnsi="宋体"/>
                <w:spacing w:val="20"/>
                <w:szCs w:val="21"/>
                <w:highlight w:val="none"/>
                <w:u w:val="single"/>
              </w:rPr>
              <w:t xml:space="preserve">       </w:t>
            </w:r>
            <w:r>
              <w:rPr>
                <w:rFonts w:hint="eastAsia" w:ascii="宋体" w:hAnsi="宋体"/>
                <w:spacing w:val="20"/>
                <w:szCs w:val="21"/>
                <w:highlight w:val="none"/>
              </w:rPr>
              <w:t>%</w:t>
            </w: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c>
          <w:tcPr>
            <w:tcW w:w="4148"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rPr>
                <w:rFonts w:ascii="宋体" w:hAnsi="宋体"/>
                <w:spacing w:val="20"/>
                <w:szCs w:val="21"/>
                <w:highlight w:val="none"/>
              </w:rPr>
            </w:pPr>
            <w:r>
              <w:rPr>
                <w:rFonts w:hint="eastAsia" w:ascii="宋体" w:hAnsi="宋体"/>
                <w:spacing w:val="20"/>
                <w:szCs w:val="21"/>
                <w:highlight w:val="none"/>
              </w:rPr>
              <w:t>项目毛利</w:t>
            </w:r>
          </w:p>
        </w:tc>
        <w:tc>
          <w:tcPr>
            <w:tcW w:w="287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ind w:left="8"/>
              <w:rPr>
                <w:rFonts w:ascii="宋体" w:hAnsi="宋体"/>
                <w:spacing w:val="20"/>
                <w:szCs w:val="21"/>
                <w:highlight w:val="none"/>
              </w:rPr>
            </w:pPr>
            <w:r>
              <w:rPr>
                <w:rFonts w:hint="eastAsia" w:ascii="宋体" w:hAnsi="宋体"/>
                <w:spacing w:val="20"/>
                <w:szCs w:val="21"/>
                <w:highlight w:val="none"/>
              </w:rPr>
              <w:t>毛利率：</w:t>
            </w:r>
            <w:r>
              <w:rPr>
                <w:rFonts w:hint="eastAsia" w:ascii="宋体" w:hAnsi="宋体"/>
                <w:spacing w:val="20"/>
                <w:szCs w:val="21"/>
                <w:highlight w:val="none"/>
                <w:u w:val="single"/>
              </w:rPr>
              <w:t xml:space="preserve">      </w:t>
            </w:r>
            <w:r>
              <w:rPr>
                <w:rFonts w:hint="eastAsia" w:ascii="宋体" w:hAnsi="宋体"/>
                <w:spacing w:val="20"/>
                <w:szCs w:val="21"/>
                <w:highlight w:val="none"/>
              </w:rPr>
              <w:t>%</w:t>
            </w: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60" w:type="dxa"/>
            <w:gridSpan w:val="6"/>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r>
              <w:rPr>
                <w:rFonts w:hint="eastAsia" w:ascii="宋体" w:hAnsi="宋体"/>
                <w:spacing w:val="20"/>
                <w:szCs w:val="21"/>
                <w:highlight w:val="none"/>
              </w:rPr>
              <w:t>投 标 总  价</w:t>
            </w: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hAnsi="宋体"/>
                <w:spacing w:val="20"/>
                <w:szCs w:val="21"/>
                <w:highlight w:val="none"/>
              </w:rPr>
            </w:pPr>
          </w:p>
        </w:tc>
      </w:tr>
    </w:tbl>
    <w:p>
      <w:pPr>
        <w:tabs>
          <w:tab w:val="left" w:pos="1418"/>
        </w:tabs>
        <w:snapToGrid w:val="0"/>
        <w:spacing w:before="50" w:after="50" w:line="400" w:lineRule="exact"/>
        <w:ind w:left="1418" w:hanging="567"/>
        <w:jc w:val="center"/>
        <w:rPr>
          <w:rFonts w:ascii="宋体" w:hAnsi="宋体"/>
          <w:spacing w:val="20"/>
          <w:szCs w:val="21"/>
          <w:highlight w:val="none"/>
          <w:u w:val="single"/>
        </w:rPr>
      </w:pPr>
    </w:p>
    <w:p>
      <w:pPr>
        <w:snapToGrid w:val="0"/>
        <w:spacing w:before="50" w:after="50" w:line="320" w:lineRule="exact"/>
        <w:ind w:left="-2" w:right="-817" w:rightChars="-389"/>
        <w:rPr>
          <w:rFonts w:ascii="宋体" w:hAnsi="宋体"/>
          <w:szCs w:val="21"/>
          <w:highlight w:val="none"/>
        </w:rPr>
      </w:pPr>
      <w:r>
        <w:rPr>
          <w:rFonts w:hint="eastAsia" w:ascii="宋体" w:hAnsi="宋体"/>
          <w:szCs w:val="21"/>
          <w:highlight w:val="none"/>
        </w:rPr>
        <w:t>法定代表人（负责人）或授权代表（签字或盖章）：</w:t>
      </w:r>
      <w:r>
        <w:rPr>
          <w:rFonts w:hint="eastAsia" w:ascii="宋体" w:hAnsi="宋体"/>
          <w:szCs w:val="21"/>
          <w:highlight w:val="none"/>
          <w:u w:val="single"/>
        </w:rPr>
        <w:t xml:space="preserve">                    </w:t>
      </w:r>
    </w:p>
    <w:p>
      <w:pPr>
        <w:pStyle w:val="22"/>
        <w:snapToGrid w:val="0"/>
        <w:spacing w:before="295" w:after="295" w:line="400" w:lineRule="exact"/>
        <w:rPr>
          <w:rFonts w:hAnsi="宋体"/>
          <w:sz w:val="21"/>
          <w:highlight w:val="none"/>
        </w:rPr>
      </w:pPr>
      <w:r>
        <w:rPr>
          <w:rFonts w:hint="eastAsia" w:hAnsi="宋体"/>
          <w:sz w:val="21"/>
          <w:highlight w:val="none"/>
        </w:rPr>
        <w:t>投标人名称（公章）：</w:t>
      </w:r>
      <w:r>
        <w:rPr>
          <w:rFonts w:hint="eastAsia" w:hAnsi="宋体"/>
          <w:sz w:val="21"/>
          <w:highlight w:val="none"/>
          <w:u w:val="single"/>
        </w:rPr>
        <w:t xml:space="preserve">                   </w:t>
      </w:r>
    </w:p>
    <w:p>
      <w:pPr>
        <w:pStyle w:val="22"/>
        <w:snapToGrid w:val="0"/>
        <w:spacing w:before="295" w:after="295" w:line="400" w:lineRule="exact"/>
        <w:rPr>
          <w:rFonts w:hAnsi="宋体"/>
          <w:sz w:val="21"/>
          <w:highlight w:val="none"/>
        </w:rPr>
      </w:pPr>
      <w:r>
        <w:rPr>
          <w:rFonts w:hint="eastAsia" w:hAnsi="宋体"/>
          <w:sz w:val="21"/>
          <w:highlight w:val="none"/>
        </w:rPr>
        <w:t>日期：</w:t>
      </w:r>
      <w:r>
        <w:rPr>
          <w:rFonts w:hint="eastAsia" w:hAnsi="宋体"/>
          <w:sz w:val="21"/>
          <w:highlight w:val="none"/>
          <w:u w:val="single"/>
        </w:rPr>
        <w:t xml:space="preserve">    </w:t>
      </w:r>
      <w:r>
        <w:rPr>
          <w:rFonts w:hint="eastAsia" w:hAnsi="宋体"/>
          <w:sz w:val="21"/>
          <w:highlight w:val="none"/>
        </w:rPr>
        <w:t>年</w:t>
      </w:r>
      <w:r>
        <w:rPr>
          <w:rFonts w:hint="eastAsia" w:hAnsi="宋体"/>
          <w:sz w:val="21"/>
          <w:highlight w:val="none"/>
          <w:u w:val="single"/>
        </w:rPr>
        <w:t xml:space="preserve">   </w:t>
      </w:r>
      <w:r>
        <w:rPr>
          <w:rFonts w:hint="eastAsia" w:hAnsi="宋体"/>
          <w:sz w:val="21"/>
          <w:highlight w:val="none"/>
        </w:rPr>
        <w:t>月</w:t>
      </w:r>
      <w:r>
        <w:rPr>
          <w:rFonts w:hint="eastAsia" w:hAnsi="宋体"/>
          <w:sz w:val="21"/>
          <w:highlight w:val="none"/>
          <w:u w:val="single"/>
        </w:rPr>
        <w:t xml:space="preserve">   </w:t>
      </w:r>
      <w:r>
        <w:rPr>
          <w:rFonts w:hint="eastAsia" w:hAnsi="宋体"/>
          <w:sz w:val="21"/>
          <w:highlight w:val="none"/>
        </w:rPr>
        <w:t>日</w:t>
      </w:r>
    </w:p>
    <w:p>
      <w:pPr>
        <w:pStyle w:val="22"/>
        <w:snapToGrid w:val="0"/>
        <w:spacing w:before="295" w:after="295" w:line="400" w:lineRule="exact"/>
        <w:rPr>
          <w:rFonts w:hAnsi="宋体"/>
          <w:highlight w:val="none"/>
        </w:rPr>
      </w:pPr>
    </w:p>
    <w:p>
      <w:pPr>
        <w:tabs>
          <w:tab w:val="left" w:pos="3870"/>
          <w:tab w:val="left" w:pos="4085"/>
        </w:tabs>
        <w:snapToGrid w:val="0"/>
        <w:spacing w:line="400" w:lineRule="exact"/>
        <w:ind w:firstLine="632" w:firstLineChars="300"/>
        <w:jc w:val="left"/>
        <w:rPr>
          <w:rFonts w:ascii="宋体" w:hAnsi="宋体"/>
          <w:b/>
          <w:kern w:val="0"/>
          <w:szCs w:val="21"/>
          <w:highlight w:val="none"/>
        </w:rPr>
      </w:pPr>
      <w:r>
        <w:rPr>
          <w:rFonts w:hint="eastAsia" w:ascii="宋体" w:hAnsi="宋体"/>
          <w:b/>
          <w:kern w:val="0"/>
          <w:szCs w:val="21"/>
          <w:highlight w:val="none"/>
        </w:rPr>
        <w:t>（3）投标人针对报价需要说明的其他文件和说明（格式自拟）；</w:t>
      </w:r>
    </w:p>
    <w:p>
      <w:pPr>
        <w:pStyle w:val="22"/>
        <w:snapToGrid w:val="0"/>
        <w:spacing w:before="295" w:after="295" w:line="400" w:lineRule="exact"/>
        <w:rPr>
          <w:rFonts w:hAnsi="宋体"/>
          <w:highlight w:val="none"/>
        </w:rPr>
      </w:pPr>
    </w:p>
    <w:p>
      <w:pPr>
        <w:pStyle w:val="22"/>
        <w:snapToGrid w:val="0"/>
        <w:spacing w:before="295" w:after="295" w:line="400" w:lineRule="exact"/>
        <w:rPr>
          <w:rFonts w:hAnsi="宋体"/>
          <w:highlight w:val="none"/>
        </w:rPr>
      </w:pPr>
    </w:p>
    <w:p>
      <w:pPr>
        <w:snapToGrid w:val="0"/>
        <w:spacing w:before="120" w:beforeLines="50" w:after="50"/>
        <w:rPr>
          <w:rFonts w:ascii="宋体" w:hAnsi="宋体"/>
          <w:b/>
          <w:szCs w:val="21"/>
          <w:highlight w:val="none"/>
        </w:rPr>
      </w:pPr>
    </w:p>
    <w:p>
      <w:pPr>
        <w:snapToGrid w:val="0"/>
        <w:spacing w:before="120" w:beforeLines="50" w:after="50"/>
        <w:rPr>
          <w:rFonts w:ascii="宋体" w:hAnsi="宋体"/>
          <w:b/>
          <w:szCs w:val="21"/>
          <w:highlight w:val="none"/>
        </w:rPr>
      </w:pPr>
    </w:p>
    <w:p>
      <w:pPr>
        <w:snapToGrid w:val="0"/>
        <w:spacing w:before="120" w:beforeLines="50" w:after="50"/>
        <w:rPr>
          <w:rFonts w:ascii="宋体" w:hAnsi="宋体"/>
          <w:b/>
          <w:szCs w:val="21"/>
          <w:highlight w:val="none"/>
        </w:rPr>
      </w:pPr>
    </w:p>
    <w:p>
      <w:pPr>
        <w:snapToGrid w:val="0"/>
        <w:spacing w:before="120" w:beforeLines="50" w:after="50"/>
        <w:rPr>
          <w:rFonts w:ascii="宋体" w:hAnsi="宋体"/>
          <w:b/>
          <w:szCs w:val="21"/>
          <w:highlight w:val="none"/>
        </w:rPr>
      </w:pPr>
    </w:p>
    <w:p>
      <w:pPr>
        <w:snapToGrid w:val="0"/>
        <w:spacing w:before="120" w:beforeLines="50" w:after="50"/>
        <w:rPr>
          <w:rFonts w:ascii="宋体" w:hAnsi="宋体"/>
          <w:b/>
          <w:szCs w:val="21"/>
          <w:highlight w:val="none"/>
        </w:rPr>
      </w:pPr>
    </w:p>
    <w:p>
      <w:pPr>
        <w:snapToGrid w:val="0"/>
        <w:spacing w:before="120" w:beforeLines="50" w:after="50"/>
        <w:rPr>
          <w:rFonts w:ascii="宋体" w:hAnsi="宋体"/>
          <w:b/>
          <w:szCs w:val="21"/>
          <w:highlight w:val="none"/>
        </w:rPr>
      </w:pPr>
      <w:r>
        <w:rPr>
          <w:rFonts w:hint="eastAsia" w:ascii="宋体" w:hAnsi="宋体"/>
          <w:b/>
          <w:szCs w:val="21"/>
          <w:highlight w:val="none"/>
        </w:rPr>
        <w:t>5.开标一览表信封封面格式（可以手写，密封）：</w:t>
      </w:r>
    </w:p>
    <w:p>
      <w:pPr>
        <w:snapToGrid w:val="0"/>
        <w:spacing w:before="50" w:after="50" w:line="380" w:lineRule="exact"/>
        <w:rPr>
          <w:rFonts w:ascii="宋体" w:hAnsi="宋体"/>
          <w:szCs w:val="21"/>
          <w:highlight w:val="none"/>
        </w:rPr>
      </w:pPr>
    </w:p>
    <w:p>
      <w:pPr>
        <w:snapToGrid w:val="0"/>
        <w:spacing w:before="50" w:after="50" w:line="380" w:lineRule="exact"/>
        <w:rPr>
          <w:rFonts w:ascii="宋体" w:hAnsi="宋体"/>
          <w:szCs w:val="21"/>
          <w:highlight w:val="none"/>
          <w:u w:val="single"/>
        </w:rPr>
      </w:pPr>
      <w:r>
        <w:rPr>
          <w:rFonts w:hint="eastAsia" w:ascii="宋体" w:hAnsi="宋体"/>
          <w:szCs w:val="21"/>
          <w:highlight w:val="none"/>
        </w:rPr>
        <w:t>招标编号：</w:t>
      </w:r>
      <w:r>
        <w:rPr>
          <w:rFonts w:hint="eastAsia" w:ascii="宋体" w:hAnsi="宋体"/>
          <w:szCs w:val="21"/>
          <w:highlight w:val="none"/>
          <w:u w:val="single"/>
        </w:rPr>
        <w:t xml:space="preserve">                       </w:t>
      </w:r>
      <w:r>
        <w:rPr>
          <w:rFonts w:hint="eastAsia" w:ascii="宋体" w:hAnsi="宋体"/>
          <w:szCs w:val="21"/>
          <w:highlight w:val="none"/>
        </w:rPr>
        <w:t xml:space="preserve">              标项：</w:t>
      </w:r>
      <w:r>
        <w:rPr>
          <w:rFonts w:hint="eastAsia" w:ascii="宋体" w:hAnsi="宋体"/>
          <w:szCs w:val="21"/>
          <w:highlight w:val="none"/>
          <w:u w:val="single"/>
        </w:rPr>
        <w:t xml:space="preserve">               </w:t>
      </w:r>
    </w:p>
    <w:p>
      <w:pPr>
        <w:snapToGrid w:val="0"/>
        <w:spacing w:before="50" w:after="50" w:line="380" w:lineRule="exact"/>
        <w:rPr>
          <w:rFonts w:ascii="宋体" w:hAnsi="宋体"/>
          <w:szCs w:val="21"/>
          <w:highlight w:val="none"/>
        </w:rPr>
      </w:pPr>
    </w:p>
    <w:p>
      <w:pPr>
        <w:snapToGrid w:val="0"/>
        <w:spacing w:before="50" w:after="50" w:line="380" w:lineRule="exact"/>
        <w:rPr>
          <w:rFonts w:ascii="宋体" w:hAnsi="宋体"/>
          <w:szCs w:val="21"/>
          <w:highlight w:val="none"/>
        </w:rPr>
      </w:pPr>
      <w:r>
        <w:rPr>
          <w:rFonts w:hint="eastAsia" w:ascii="宋体" w:hAnsi="宋体"/>
          <w:szCs w:val="21"/>
          <w:highlight w:val="none"/>
        </w:rPr>
        <w:t>投标人名称：</w:t>
      </w:r>
      <w:r>
        <w:rPr>
          <w:rFonts w:hint="eastAsia" w:ascii="宋体" w:hAnsi="宋体"/>
          <w:szCs w:val="21"/>
          <w:highlight w:val="none"/>
          <w:u w:val="single"/>
        </w:rPr>
        <w:t xml:space="preserve">                     </w:t>
      </w:r>
      <w:r>
        <w:rPr>
          <w:rFonts w:hint="eastAsia" w:ascii="宋体" w:hAnsi="宋体"/>
          <w:szCs w:val="21"/>
          <w:highlight w:val="none"/>
        </w:rPr>
        <w:t xml:space="preserve"> </w:t>
      </w:r>
    </w:p>
    <w:p>
      <w:pPr>
        <w:snapToGrid w:val="0"/>
        <w:spacing w:before="50" w:after="50" w:line="380" w:lineRule="exact"/>
        <w:rPr>
          <w:rFonts w:ascii="宋体" w:hAnsi="宋体"/>
          <w:b/>
          <w:szCs w:val="21"/>
          <w:highlight w:val="none"/>
        </w:rPr>
      </w:pPr>
    </w:p>
    <w:p>
      <w:pPr>
        <w:spacing w:line="380" w:lineRule="exact"/>
        <w:rPr>
          <w:rFonts w:ascii="宋体" w:hAnsi="宋体"/>
          <w:szCs w:val="21"/>
          <w:highlight w:val="none"/>
        </w:rPr>
      </w:pPr>
    </w:p>
    <w:p>
      <w:pPr>
        <w:spacing w:line="380" w:lineRule="exact"/>
        <w:rPr>
          <w:rFonts w:ascii="宋体" w:hAnsi="宋体"/>
          <w:szCs w:val="21"/>
          <w:highlight w:val="none"/>
        </w:rPr>
      </w:pPr>
    </w:p>
    <w:p>
      <w:pPr>
        <w:rPr>
          <w:rFonts w:ascii="宋体" w:hAnsi="宋体"/>
          <w:szCs w:val="21"/>
          <w:highlight w:val="none"/>
        </w:rPr>
      </w:pPr>
    </w:p>
    <w:p>
      <w:pPr>
        <w:snapToGrid w:val="0"/>
        <w:spacing w:before="50" w:after="50"/>
        <w:rPr>
          <w:rFonts w:ascii="宋体" w:hAnsi="宋体"/>
          <w:b/>
          <w:szCs w:val="21"/>
          <w:highlight w:val="none"/>
        </w:rPr>
      </w:pPr>
      <w:r>
        <w:rPr>
          <w:rFonts w:hint="eastAsia" w:ascii="宋体" w:hAnsi="宋体"/>
          <w:b/>
          <w:szCs w:val="21"/>
          <w:highlight w:val="none"/>
        </w:rPr>
        <w:t xml:space="preserve">6.开标一览表 </w:t>
      </w:r>
    </w:p>
    <w:p>
      <w:pPr>
        <w:snapToGrid w:val="0"/>
        <w:spacing w:before="50" w:after="50"/>
        <w:jc w:val="center"/>
        <w:rPr>
          <w:rFonts w:ascii="宋体" w:hAnsi="宋体"/>
          <w:b/>
          <w:szCs w:val="21"/>
          <w:highlight w:val="none"/>
        </w:rPr>
      </w:pPr>
      <w:r>
        <w:rPr>
          <w:rFonts w:hint="eastAsia" w:ascii="宋体" w:hAnsi="宋体"/>
          <w:b/>
          <w:szCs w:val="21"/>
          <w:highlight w:val="none"/>
        </w:rPr>
        <w:t>（4）开标一览表</w:t>
      </w:r>
    </w:p>
    <w:p>
      <w:pPr>
        <w:snapToGrid w:val="0"/>
        <w:spacing w:before="50" w:after="50"/>
        <w:jc w:val="center"/>
        <w:rPr>
          <w:rFonts w:ascii="宋体" w:hAnsi="宋体"/>
          <w:b/>
          <w:szCs w:val="21"/>
          <w:highlight w:val="none"/>
        </w:rPr>
      </w:pPr>
    </w:p>
    <w:p>
      <w:pPr>
        <w:snapToGrid w:val="0"/>
        <w:spacing w:before="50" w:after="50"/>
        <w:rPr>
          <w:rFonts w:ascii="宋体" w:hAnsi="宋体"/>
          <w:szCs w:val="21"/>
          <w:highlight w:val="none"/>
          <w:u w:val="single"/>
        </w:rPr>
      </w:pPr>
      <w:r>
        <w:rPr>
          <w:rFonts w:hint="eastAsia" w:ascii="宋体" w:hAnsi="宋体"/>
          <w:szCs w:val="21"/>
          <w:highlight w:val="none"/>
        </w:rPr>
        <w:t>招标编号：</w:t>
      </w:r>
      <w:r>
        <w:rPr>
          <w:rFonts w:hint="eastAsia" w:ascii="宋体" w:hAnsi="宋体"/>
          <w:szCs w:val="21"/>
          <w:highlight w:val="none"/>
          <w:u w:val="single"/>
        </w:rPr>
        <w:t xml:space="preserve">                  </w:t>
      </w:r>
    </w:p>
    <w:p>
      <w:pPr>
        <w:snapToGrid w:val="0"/>
        <w:spacing w:before="50" w:after="50"/>
        <w:rPr>
          <w:rFonts w:ascii="宋体" w:hAnsi="宋体"/>
          <w:szCs w:val="21"/>
          <w:highlight w:val="none"/>
        </w:rPr>
      </w:pPr>
      <w:r>
        <w:rPr>
          <w:rFonts w:hint="eastAsia" w:ascii="宋体" w:hAnsi="宋体"/>
          <w:szCs w:val="21"/>
          <w:highlight w:val="none"/>
        </w:rPr>
        <w:t>投标人名称：</w:t>
      </w:r>
      <w:r>
        <w:rPr>
          <w:rFonts w:hint="eastAsia" w:ascii="宋体" w:hAnsi="宋体"/>
          <w:szCs w:val="21"/>
          <w:highlight w:val="none"/>
          <w:u w:val="single"/>
        </w:rPr>
        <w:t xml:space="preserve">                              </w:t>
      </w:r>
      <w:r>
        <w:rPr>
          <w:rFonts w:hint="eastAsia" w:ascii="宋体" w:hAnsi="宋体"/>
          <w:szCs w:val="21"/>
          <w:highlight w:val="none"/>
        </w:rPr>
        <w:t xml:space="preserve">             单位：元</w:t>
      </w:r>
    </w:p>
    <w:tbl>
      <w:tblPr>
        <w:tblStyle w:val="35"/>
        <w:tblW w:w="848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7"/>
        <w:gridCol w:w="1430"/>
        <w:gridCol w:w="1249"/>
        <w:gridCol w:w="2923"/>
        <w:gridCol w:w="960"/>
        <w:gridCol w:w="1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highlight w:val="none"/>
              </w:rPr>
            </w:pPr>
            <w:r>
              <w:rPr>
                <w:rFonts w:hint="eastAsia" w:ascii="宋体" w:hAnsi="宋体"/>
                <w:b/>
                <w:szCs w:val="21"/>
                <w:highlight w:val="none"/>
              </w:rPr>
              <w:t>序号</w:t>
            </w:r>
          </w:p>
        </w:tc>
        <w:tc>
          <w:tcPr>
            <w:tcW w:w="14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highlight w:val="none"/>
              </w:rPr>
            </w:pPr>
            <w:r>
              <w:rPr>
                <w:rFonts w:hint="eastAsia" w:ascii="宋体" w:hAnsi="宋体"/>
                <w:b/>
                <w:szCs w:val="21"/>
                <w:highlight w:val="none"/>
              </w:rPr>
              <w:t>货物名称</w:t>
            </w:r>
          </w:p>
        </w:tc>
        <w:tc>
          <w:tcPr>
            <w:tcW w:w="124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highlight w:val="none"/>
              </w:rPr>
            </w:pPr>
            <w:r>
              <w:rPr>
                <w:rFonts w:hint="eastAsia" w:ascii="宋体" w:hAnsi="宋体"/>
                <w:b/>
                <w:szCs w:val="21"/>
                <w:highlight w:val="none"/>
              </w:rPr>
              <w:t>数量/单位</w:t>
            </w:r>
          </w:p>
        </w:tc>
        <w:tc>
          <w:tcPr>
            <w:tcW w:w="29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highlight w:val="none"/>
              </w:rPr>
            </w:pPr>
            <w:r>
              <w:rPr>
                <w:rFonts w:hint="eastAsia" w:ascii="宋体" w:hAnsi="宋体"/>
                <w:b/>
                <w:szCs w:val="21"/>
                <w:highlight w:val="none"/>
              </w:rPr>
              <w:t>技术参数</w:t>
            </w:r>
          </w:p>
        </w:tc>
        <w:tc>
          <w:tcPr>
            <w:tcW w:w="9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highlight w:val="none"/>
              </w:rPr>
            </w:pPr>
            <w:r>
              <w:rPr>
                <w:rFonts w:hint="eastAsia" w:ascii="宋体" w:hAnsi="宋体"/>
                <w:b/>
                <w:szCs w:val="21"/>
                <w:highlight w:val="none"/>
              </w:rPr>
              <w:t>单价</w:t>
            </w:r>
          </w:p>
        </w:tc>
        <w:tc>
          <w:tcPr>
            <w:tcW w:w="11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b/>
                <w:szCs w:val="21"/>
                <w:highlight w:val="none"/>
              </w:rPr>
            </w:pPr>
            <w:r>
              <w:rPr>
                <w:rFonts w:hint="eastAsia" w:ascii="宋体" w:hAnsi="宋体"/>
                <w:b/>
                <w:szCs w:val="21"/>
                <w:highlight w:val="none"/>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Cs w:val="21"/>
                <w:highlight w:val="none"/>
              </w:rPr>
            </w:pPr>
          </w:p>
        </w:tc>
        <w:tc>
          <w:tcPr>
            <w:tcW w:w="1430" w:type="dxa"/>
            <w:tcBorders>
              <w:top w:val="single" w:color="auto" w:sz="4" w:space="0"/>
              <w:left w:val="single" w:color="auto" w:sz="4" w:space="0"/>
              <w:right w:val="single" w:color="auto" w:sz="4" w:space="0"/>
            </w:tcBorders>
            <w:vAlign w:val="center"/>
          </w:tcPr>
          <w:p>
            <w:pPr>
              <w:snapToGrid w:val="0"/>
              <w:spacing w:before="50" w:after="50"/>
              <w:jc w:val="left"/>
              <w:rPr>
                <w:rFonts w:ascii="宋体" w:hAnsi="宋体"/>
                <w:bCs/>
                <w:szCs w:val="21"/>
                <w:highlight w:val="none"/>
              </w:rPr>
            </w:pPr>
          </w:p>
        </w:tc>
        <w:tc>
          <w:tcPr>
            <w:tcW w:w="1249" w:type="dxa"/>
            <w:tcBorders>
              <w:top w:val="single" w:color="auto" w:sz="4" w:space="0"/>
              <w:left w:val="single" w:color="auto" w:sz="4" w:space="0"/>
              <w:right w:val="single" w:color="auto" w:sz="4" w:space="0"/>
            </w:tcBorders>
            <w:vAlign w:val="center"/>
          </w:tcPr>
          <w:p>
            <w:pPr>
              <w:snapToGrid w:val="0"/>
              <w:spacing w:before="50" w:after="50"/>
              <w:jc w:val="center"/>
              <w:rPr>
                <w:rFonts w:ascii="宋体" w:hAnsi="宋体"/>
                <w:szCs w:val="21"/>
                <w:highlight w:val="none"/>
              </w:rPr>
            </w:pPr>
          </w:p>
        </w:tc>
        <w:tc>
          <w:tcPr>
            <w:tcW w:w="2923" w:type="dxa"/>
            <w:tcBorders>
              <w:top w:val="single" w:color="auto" w:sz="4" w:space="0"/>
              <w:left w:val="single" w:color="auto" w:sz="4" w:space="0"/>
              <w:right w:val="single" w:color="auto" w:sz="4" w:space="0"/>
            </w:tcBorders>
            <w:vAlign w:val="center"/>
          </w:tcPr>
          <w:p>
            <w:pPr>
              <w:snapToGrid w:val="0"/>
              <w:spacing w:before="50" w:after="50"/>
              <w:rPr>
                <w:rFonts w:ascii="宋体" w:hAnsi="宋体"/>
                <w:szCs w:val="21"/>
                <w:highlight w:val="none"/>
              </w:rPr>
            </w:pPr>
          </w:p>
        </w:tc>
        <w:tc>
          <w:tcPr>
            <w:tcW w:w="960" w:type="dxa"/>
            <w:tcBorders>
              <w:top w:val="single" w:color="auto" w:sz="4" w:space="0"/>
              <w:left w:val="single" w:color="auto" w:sz="4" w:space="0"/>
              <w:right w:val="single" w:color="auto" w:sz="4" w:space="0"/>
            </w:tcBorders>
            <w:vAlign w:val="center"/>
          </w:tcPr>
          <w:p>
            <w:pPr>
              <w:snapToGrid w:val="0"/>
              <w:spacing w:before="50" w:after="50"/>
              <w:rPr>
                <w:rFonts w:ascii="宋体" w:hAnsi="宋体"/>
                <w:szCs w:val="21"/>
                <w:highlight w:val="none"/>
              </w:rPr>
            </w:pPr>
          </w:p>
        </w:tc>
        <w:tc>
          <w:tcPr>
            <w:tcW w:w="1125" w:type="dxa"/>
            <w:tcBorders>
              <w:top w:val="single" w:color="auto" w:sz="4" w:space="0"/>
              <w:left w:val="single" w:color="auto" w:sz="4" w:space="0"/>
              <w:right w:val="single" w:color="auto" w:sz="4" w:space="0"/>
            </w:tcBorders>
            <w:vAlign w:val="center"/>
          </w:tcPr>
          <w:p>
            <w:pPr>
              <w:snapToGrid w:val="0"/>
              <w:spacing w:before="50" w:after="50"/>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14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Cs w:val="21"/>
                <w:highlight w:val="none"/>
              </w:rPr>
            </w:pPr>
          </w:p>
        </w:tc>
        <w:tc>
          <w:tcPr>
            <w:tcW w:w="124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Cs w:val="21"/>
                <w:highlight w:val="none"/>
              </w:rPr>
            </w:pPr>
          </w:p>
        </w:tc>
        <w:tc>
          <w:tcPr>
            <w:tcW w:w="29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14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Cs w:val="21"/>
                <w:highlight w:val="none"/>
              </w:rPr>
            </w:pPr>
          </w:p>
        </w:tc>
        <w:tc>
          <w:tcPr>
            <w:tcW w:w="124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Cs w:val="21"/>
                <w:highlight w:val="none"/>
              </w:rPr>
            </w:pPr>
          </w:p>
        </w:tc>
        <w:tc>
          <w:tcPr>
            <w:tcW w:w="29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99"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highlight w:val="none"/>
              </w:rPr>
            </w:pPr>
            <w:r>
              <w:rPr>
                <w:rFonts w:hint="eastAsia" w:ascii="宋体" w:hAnsi="宋体"/>
                <w:szCs w:val="21"/>
                <w:highlight w:val="none"/>
              </w:rPr>
              <w:t>投标费用及利润</w:t>
            </w:r>
          </w:p>
        </w:tc>
        <w:tc>
          <w:tcPr>
            <w:tcW w:w="9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84"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szCs w:val="21"/>
                <w:highlight w:val="none"/>
                <w:lang w:eastAsia="zh-CN"/>
              </w:rPr>
            </w:pPr>
            <w:r>
              <w:rPr>
                <w:rFonts w:hint="eastAsia" w:ascii="宋体" w:hAnsi="宋体"/>
                <w:szCs w:val="21"/>
                <w:highlight w:val="none"/>
              </w:rPr>
              <w:t>交付使用期</w:t>
            </w:r>
            <w:r>
              <w:rPr>
                <w:rFonts w:hint="eastAsia" w:ascii="宋体" w:hAnsi="宋体"/>
                <w:szCs w:val="21"/>
                <w:highlight w:val="none"/>
                <w:lang w:eastAsia="zh-CN"/>
              </w:rPr>
              <w:t>：</w:t>
            </w:r>
          </w:p>
          <w:p>
            <w:pPr>
              <w:snapToGrid w:val="0"/>
              <w:spacing w:before="50" w:after="50"/>
              <w:rPr>
                <w:rFonts w:ascii="宋体" w:hAnsi="宋体"/>
                <w:szCs w:val="21"/>
                <w:highlight w:val="none"/>
                <w:u w:val="single"/>
              </w:rPr>
            </w:pPr>
            <w:r>
              <w:rPr>
                <w:rFonts w:hint="eastAsia" w:ascii="宋体" w:hAnsi="宋体"/>
                <w:szCs w:val="21"/>
                <w:highlight w:val="none"/>
              </w:rPr>
              <w:t>合计金额大写：                                ￥</w:t>
            </w:r>
            <w:r>
              <w:rPr>
                <w:rFonts w:hint="eastAsia" w:ascii="宋体" w:hAnsi="宋体"/>
                <w:szCs w:val="21"/>
                <w:highlight w:val="none"/>
                <w:u w:val="single"/>
              </w:rPr>
              <w:t xml:space="preserve">   </w:t>
            </w:r>
          </w:p>
        </w:tc>
      </w:tr>
    </w:tbl>
    <w:p>
      <w:pPr>
        <w:snapToGrid w:val="0"/>
        <w:spacing w:before="50" w:after="50" w:line="320" w:lineRule="exact"/>
        <w:jc w:val="left"/>
        <w:rPr>
          <w:rFonts w:ascii="宋体" w:hAnsi="宋体"/>
          <w:szCs w:val="21"/>
          <w:highlight w:val="none"/>
        </w:rPr>
      </w:pPr>
      <w:r>
        <w:rPr>
          <w:rFonts w:hint="eastAsia" w:ascii="宋体" w:hAnsi="宋体"/>
          <w:szCs w:val="21"/>
          <w:highlight w:val="none"/>
        </w:rPr>
        <w:t>注：1.报价一经涂改，应在涂改处加盖单位公章或者由法定代表人（负责人）或授权委托人签字或盖章，否则其投标作无效标处理。</w:t>
      </w:r>
    </w:p>
    <w:p>
      <w:pPr>
        <w:snapToGrid w:val="0"/>
        <w:spacing w:before="50" w:after="50" w:line="320" w:lineRule="exact"/>
        <w:ind w:firstLine="420" w:firstLineChars="200"/>
        <w:jc w:val="left"/>
        <w:rPr>
          <w:rFonts w:ascii="宋体" w:hAnsi="宋体"/>
          <w:szCs w:val="21"/>
          <w:highlight w:val="none"/>
        </w:rPr>
      </w:pPr>
      <w:r>
        <w:rPr>
          <w:rFonts w:hint="eastAsia" w:ascii="宋体" w:hAnsi="宋体"/>
          <w:szCs w:val="21"/>
          <w:highlight w:val="none"/>
        </w:rPr>
        <w:t>2.投标费用包括项目实施所需的人工费、服务费、购买及制作标书费、税费及其他一切费用。</w:t>
      </w:r>
    </w:p>
    <w:p>
      <w:pPr>
        <w:snapToGrid w:val="0"/>
        <w:spacing w:before="50" w:after="50" w:line="320" w:lineRule="exact"/>
        <w:ind w:firstLine="420" w:firstLineChars="200"/>
        <w:jc w:val="left"/>
        <w:rPr>
          <w:rFonts w:ascii="宋体" w:hAnsi="宋体"/>
          <w:szCs w:val="21"/>
          <w:highlight w:val="none"/>
        </w:rPr>
      </w:pPr>
      <w:r>
        <w:rPr>
          <w:rFonts w:hint="eastAsia" w:ascii="宋体" w:hAnsi="宋体"/>
          <w:szCs w:val="21"/>
          <w:highlight w:val="none"/>
        </w:rPr>
        <w:t>3.以上报价应与“投标报价明细表”中的“投标总价”相一致。</w:t>
      </w:r>
    </w:p>
    <w:p>
      <w:pPr>
        <w:snapToGrid w:val="0"/>
        <w:spacing w:before="50" w:after="50" w:line="320" w:lineRule="exact"/>
        <w:ind w:firstLine="420" w:firstLineChars="200"/>
        <w:rPr>
          <w:rFonts w:ascii="宋体" w:hAnsi="宋体"/>
          <w:szCs w:val="21"/>
          <w:highlight w:val="none"/>
        </w:rPr>
      </w:pPr>
      <w:r>
        <w:rPr>
          <w:rFonts w:hint="eastAsia" w:ascii="宋体" w:hAnsi="宋体"/>
          <w:szCs w:val="21"/>
          <w:highlight w:val="none"/>
        </w:rPr>
        <w:t>4.此表请单独装信封放入投标文件袋，信封封面请注明招标编号、标项、投标人名称及“开标一览表”字样。</w:t>
      </w:r>
    </w:p>
    <w:p>
      <w:pPr>
        <w:snapToGrid w:val="0"/>
        <w:spacing w:before="50" w:after="50" w:line="320" w:lineRule="exact"/>
        <w:ind w:firstLine="420" w:firstLineChars="200"/>
        <w:rPr>
          <w:rFonts w:ascii="宋体" w:hAnsi="宋体"/>
          <w:szCs w:val="21"/>
          <w:highlight w:val="none"/>
        </w:rPr>
      </w:pPr>
    </w:p>
    <w:p>
      <w:pPr>
        <w:snapToGrid w:val="0"/>
        <w:spacing w:before="50" w:after="50" w:line="320" w:lineRule="exact"/>
        <w:ind w:firstLine="420" w:firstLineChars="200"/>
        <w:rPr>
          <w:rFonts w:ascii="宋体" w:hAnsi="宋体"/>
          <w:szCs w:val="21"/>
          <w:highlight w:val="none"/>
        </w:rPr>
      </w:pPr>
    </w:p>
    <w:p>
      <w:pPr>
        <w:snapToGrid w:val="0"/>
        <w:spacing w:before="50" w:after="50" w:line="320" w:lineRule="exact"/>
        <w:ind w:firstLine="420" w:firstLineChars="200"/>
        <w:rPr>
          <w:rFonts w:ascii="宋体" w:hAnsi="宋体"/>
          <w:szCs w:val="21"/>
          <w:highlight w:val="none"/>
        </w:rPr>
      </w:pPr>
    </w:p>
    <w:p>
      <w:pPr>
        <w:snapToGrid w:val="0"/>
        <w:spacing w:before="50" w:after="50" w:line="320" w:lineRule="exact"/>
        <w:ind w:left="-2" w:right="-817" w:rightChars="-389" w:firstLine="2205" w:firstLineChars="1050"/>
        <w:rPr>
          <w:rFonts w:ascii="宋体" w:hAnsi="宋体"/>
          <w:szCs w:val="21"/>
          <w:highlight w:val="none"/>
        </w:rPr>
      </w:pPr>
      <w:r>
        <w:rPr>
          <w:rFonts w:hint="eastAsia" w:ascii="宋体" w:hAnsi="宋体"/>
          <w:szCs w:val="21"/>
          <w:highlight w:val="none"/>
        </w:rPr>
        <w:t>法定代表人（负责人）或授权代表（签字或盖章）：</w:t>
      </w:r>
      <w:r>
        <w:rPr>
          <w:rFonts w:hint="eastAsia" w:ascii="宋体" w:hAnsi="宋体"/>
          <w:szCs w:val="21"/>
          <w:highlight w:val="none"/>
          <w:u w:val="single"/>
        </w:rPr>
        <w:t xml:space="preserve">                    </w:t>
      </w:r>
    </w:p>
    <w:p>
      <w:pPr>
        <w:snapToGrid w:val="0"/>
        <w:spacing w:before="50" w:after="50" w:line="360" w:lineRule="exact"/>
        <w:ind w:right="-817" w:rightChars="-389" w:firstLine="2205" w:firstLineChars="1050"/>
        <w:rPr>
          <w:rFonts w:ascii="宋体" w:hAnsi="宋体"/>
          <w:szCs w:val="21"/>
          <w:highlight w:val="none"/>
        </w:rPr>
      </w:pPr>
      <w:r>
        <w:rPr>
          <w:rFonts w:hint="eastAsia" w:ascii="宋体" w:hAnsi="宋体"/>
          <w:szCs w:val="21"/>
          <w:highlight w:val="none"/>
        </w:rPr>
        <w:t>投标人名称（公章）：</w:t>
      </w:r>
      <w:r>
        <w:rPr>
          <w:rFonts w:hint="eastAsia" w:ascii="宋体" w:hAnsi="宋体"/>
          <w:szCs w:val="21"/>
          <w:highlight w:val="none"/>
          <w:u w:val="single"/>
        </w:rPr>
        <w:t xml:space="preserve">                   </w:t>
      </w:r>
    </w:p>
    <w:p>
      <w:pPr>
        <w:snapToGrid w:val="0"/>
        <w:spacing w:before="50" w:after="50" w:line="360" w:lineRule="exact"/>
        <w:ind w:right="-817" w:rightChars="-389" w:firstLine="2205" w:firstLineChars="1050"/>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snapToGrid w:val="0"/>
        <w:spacing w:before="50" w:after="50"/>
        <w:rPr>
          <w:rFonts w:ascii="宋体" w:hAnsi="宋体"/>
          <w:b/>
          <w:szCs w:val="21"/>
          <w:highlight w:val="none"/>
        </w:rPr>
      </w:pPr>
    </w:p>
    <w:p>
      <w:pPr>
        <w:snapToGrid w:val="0"/>
        <w:spacing w:before="50" w:after="50"/>
        <w:rPr>
          <w:rFonts w:ascii="宋体" w:hAnsi="宋体"/>
          <w:b/>
          <w:szCs w:val="21"/>
          <w:highlight w:val="none"/>
        </w:rPr>
      </w:pPr>
    </w:p>
    <w:p>
      <w:pPr>
        <w:rPr>
          <w:highlight w:val="none"/>
        </w:rPr>
      </w:pPr>
    </w:p>
    <w:p>
      <w:pPr>
        <w:rPr>
          <w:b/>
          <w:bCs/>
          <w:highlight w:val="none"/>
        </w:rPr>
      </w:pPr>
      <w:bookmarkStart w:id="119" w:name="_Toc19686840"/>
      <w:r>
        <w:rPr>
          <w:rFonts w:hint="eastAsia"/>
          <w:b/>
          <w:bCs/>
          <w:highlight w:val="none"/>
        </w:rPr>
        <w:t>7.其他文书、文件格式</w:t>
      </w:r>
      <w:bookmarkEnd w:id="119"/>
    </w:p>
    <w:p>
      <w:pPr>
        <w:snapToGrid w:val="0"/>
        <w:spacing w:before="120" w:beforeLines="50" w:after="50"/>
        <w:jc w:val="center"/>
        <w:rPr>
          <w:rFonts w:ascii="宋体" w:hAnsi="宋体"/>
          <w:b/>
          <w:color w:val="000000"/>
          <w:sz w:val="24"/>
          <w:highlight w:val="none"/>
        </w:rPr>
      </w:pPr>
      <w:r>
        <w:rPr>
          <w:rFonts w:hint="eastAsia" w:ascii="宋体" w:hAnsi="宋体"/>
          <w:b/>
          <w:color w:val="000000"/>
          <w:sz w:val="24"/>
          <w:highlight w:val="none"/>
        </w:rPr>
        <w:t>广西工业产品声明函格式</w:t>
      </w:r>
    </w:p>
    <w:p>
      <w:pPr>
        <w:rPr>
          <w:color w:val="000000"/>
          <w:highlight w:val="none"/>
        </w:rPr>
      </w:pPr>
    </w:p>
    <w:p>
      <w:pPr>
        <w:spacing w:line="588" w:lineRule="exact"/>
        <w:jc w:val="center"/>
        <w:rPr>
          <w:b/>
          <w:color w:val="000000"/>
          <w:sz w:val="36"/>
          <w:szCs w:val="36"/>
          <w:highlight w:val="none"/>
        </w:rPr>
      </w:pPr>
      <w:r>
        <w:rPr>
          <w:rFonts w:hint="eastAsia" w:ascii="仿宋_GB2312" w:eastAsia="仿宋_GB2312"/>
          <w:b/>
          <w:color w:val="000000"/>
          <w:spacing w:val="6"/>
          <w:sz w:val="32"/>
          <w:szCs w:val="32"/>
          <w:highlight w:val="none"/>
        </w:rPr>
        <w:t>广西工业产品声明函</w:t>
      </w:r>
    </w:p>
    <w:p>
      <w:pPr>
        <w:rPr>
          <w:color w:val="000000"/>
          <w:highlight w:val="none"/>
        </w:rPr>
      </w:pPr>
    </w:p>
    <w:p>
      <w:pPr>
        <w:ind w:firstLine="480" w:firstLineChars="200"/>
        <w:rPr>
          <w:rFonts w:ascii="宋体" w:hAnsi="宋体"/>
          <w:color w:val="000000"/>
          <w:sz w:val="24"/>
          <w:highlight w:val="none"/>
        </w:rPr>
      </w:pPr>
      <w:r>
        <w:rPr>
          <w:rFonts w:hint="eastAsia" w:ascii="宋体" w:hAnsi="宋体"/>
          <w:color w:val="000000"/>
          <w:sz w:val="24"/>
          <w:highlight w:val="none"/>
        </w:rPr>
        <w:t>本公司郑重声明，根据《招标采购促进广西工业产品产销对接实施细则》的规定，本公司在本次投标中提供的下述产品为广西工业产品，详情如下：</w:t>
      </w:r>
    </w:p>
    <w:p>
      <w:pPr>
        <w:rPr>
          <w:rFonts w:ascii="宋体" w:hAnsi="宋体"/>
          <w:color w:val="000000"/>
          <w:sz w:val="24"/>
          <w:highlight w:val="none"/>
        </w:rPr>
      </w:pPr>
    </w:p>
    <w:tbl>
      <w:tblPr>
        <w:tblStyle w:val="3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539"/>
        <w:gridCol w:w="1417"/>
        <w:gridCol w:w="709"/>
        <w:gridCol w:w="2268"/>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vAlign w:val="center"/>
          </w:tcPr>
          <w:p>
            <w:pPr>
              <w:jc w:val="center"/>
              <w:rPr>
                <w:rFonts w:ascii="宋体" w:hAnsi="宋体"/>
                <w:color w:val="000000"/>
                <w:sz w:val="24"/>
                <w:highlight w:val="none"/>
              </w:rPr>
            </w:pPr>
            <w:r>
              <w:rPr>
                <w:rFonts w:hint="eastAsia" w:ascii="宋体" w:hAnsi="宋体"/>
                <w:color w:val="000000"/>
                <w:sz w:val="24"/>
                <w:highlight w:val="none"/>
              </w:rPr>
              <w:t>序号</w:t>
            </w:r>
          </w:p>
        </w:tc>
        <w:tc>
          <w:tcPr>
            <w:tcW w:w="1539" w:type="dxa"/>
            <w:vAlign w:val="center"/>
          </w:tcPr>
          <w:p>
            <w:pPr>
              <w:jc w:val="center"/>
              <w:rPr>
                <w:rFonts w:ascii="宋体" w:hAnsi="宋体"/>
                <w:color w:val="000000"/>
                <w:sz w:val="24"/>
                <w:highlight w:val="none"/>
              </w:rPr>
            </w:pPr>
            <w:r>
              <w:rPr>
                <w:rFonts w:hint="eastAsia" w:ascii="宋体" w:hAnsi="宋体"/>
                <w:color w:val="000000"/>
                <w:sz w:val="24"/>
                <w:highlight w:val="none"/>
              </w:rPr>
              <w:t>产品名称</w:t>
            </w:r>
          </w:p>
        </w:tc>
        <w:tc>
          <w:tcPr>
            <w:tcW w:w="1417" w:type="dxa"/>
            <w:vAlign w:val="center"/>
          </w:tcPr>
          <w:p>
            <w:pPr>
              <w:jc w:val="center"/>
              <w:rPr>
                <w:rFonts w:ascii="宋体" w:hAnsi="宋体"/>
                <w:color w:val="000000"/>
                <w:sz w:val="24"/>
                <w:highlight w:val="none"/>
              </w:rPr>
            </w:pPr>
            <w:r>
              <w:rPr>
                <w:rFonts w:hint="eastAsia" w:ascii="宋体" w:hAnsi="宋体"/>
                <w:color w:val="000000"/>
                <w:sz w:val="24"/>
                <w:highlight w:val="none"/>
              </w:rPr>
              <w:t>型号和规格</w:t>
            </w:r>
          </w:p>
        </w:tc>
        <w:tc>
          <w:tcPr>
            <w:tcW w:w="709" w:type="dxa"/>
            <w:vAlign w:val="center"/>
          </w:tcPr>
          <w:p>
            <w:pPr>
              <w:jc w:val="center"/>
              <w:rPr>
                <w:rFonts w:ascii="宋体" w:hAnsi="宋体"/>
                <w:color w:val="000000"/>
                <w:sz w:val="24"/>
                <w:highlight w:val="none"/>
              </w:rPr>
            </w:pPr>
            <w:r>
              <w:rPr>
                <w:rFonts w:hint="eastAsia" w:ascii="宋体" w:hAnsi="宋体"/>
                <w:color w:val="000000"/>
                <w:sz w:val="24"/>
                <w:highlight w:val="none"/>
              </w:rPr>
              <w:t>数量</w:t>
            </w:r>
          </w:p>
        </w:tc>
        <w:tc>
          <w:tcPr>
            <w:tcW w:w="2268" w:type="dxa"/>
            <w:vAlign w:val="center"/>
          </w:tcPr>
          <w:p>
            <w:pPr>
              <w:jc w:val="center"/>
              <w:rPr>
                <w:rFonts w:ascii="宋体" w:hAnsi="宋体"/>
                <w:color w:val="000000"/>
                <w:sz w:val="24"/>
                <w:highlight w:val="none"/>
              </w:rPr>
            </w:pPr>
            <w:r>
              <w:rPr>
                <w:rFonts w:hint="eastAsia" w:ascii="宋体" w:hAnsi="宋体"/>
                <w:color w:val="000000"/>
                <w:sz w:val="24"/>
                <w:highlight w:val="none"/>
              </w:rPr>
              <w:t>制造厂商及原产地</w:t>
            </w:r>
          </w:p>
        </w:tc>
        <w:tc>
          <w:tcPr>
            <w:tcW w:w="992" w:type="dxa"/>
            <w:vAlign w:val="center"/>
          </w:tcPr>
          <w:p>
            <w:pPr>
              <w:jc w:val="center"/>
              <w:rPr>
                <w:rFonts w:ascii="宋体" w:hAnsi="宋体"/>
                <w:color w:val="000000"/>
                <w:sz w:val="24"/>
                <w:highlight w:val="none"/>
              </w:rPr>
            </w:pPr>
            <w:r>
              <w:rPr>
                <w:rFonts w:hint="eastAsia" w:ascii="宋体" w:hAnsi="宋体"/>
                <w:color w:val="000000"/>
                <w:sz w:val="24"/>
                <w:highlight w:val="none"/>
              </w:rPr>
              <w:t>投标价</w:t>
            </w:r>
          </w:p>
        </w:tc>
        <w:tc>
          <w:tcPr>
            <w:tcW w:w="851" w:type="dxa"/>
            <w:vAlign w:val="center"/>
          </w:tcPr>
          <w:p>
            <w:pPr>
              <w:jc w:val="center"/>
              <w:rPr>
                <w:rFonts w:ascii="宋体" w:hAnsi="宋体"/>
                <w:color w:val="000000"/>
                <w:sz w:val="24"/>
                <w:highlight w:val="none"/>
              </w:rPr>
            </w:pPr>
            <w:r>
              <w:rPr>
                <w:rFonts w:hint="eastAsia" w:ascii="宋体" w:hAnsi="宋体"/>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96" w:type="dxa"/>
            <w:vAlign w:val="center"/>
          </w:tcPr>
          <w:p>
            <w:pPr>
              <w:jc w:val="center"/>
              <w:rPr>
                <w:rFonts w:ascii="宋体" w:hAnsi="宋体"/>
                <w:color w:val="000000"/>
                <w:sz w:val="24"/>
                <w:highlight w:val="none"/>
              </w:rPr>
            </w:pPr>
            <w:r>
              <w:rPr>
                <w:rFonts w:hint="eastAsia" w:ascii="宋体" w:hAnsi="宋体"/>
                <w:color w:val="000000"/>
                <w:sz w:val="24"/>
                <w:highlight w:val="none"/>
              </w:rPr>
              <w:t>1</w:t>
            </w:r>
          </w:p>
        </w:tc>
        <w:tc>
          <w:tcPr>
            <w:tcW w:w="1539" w:type="dxa"/>
            <w:vAlign w:val="center"/>
          </w:tcPr>
          <w:p>
            <w:pPr>
              <w:jc w:val="center"/>
              <w:rPr>
                <w:rFonts w:ascii="宋体" w:hAnsi="宋体"/>
                <w:color w:val="000000"/>
                <w:sz w:val="24"/>
                <w:highlight w:val="none"/>
              </w:rPr>
            </w:pPr>
          </w:p>
        </w:tc>
        <w:tc>
          <w:tcPr>
            <w:tcW w:w="1417" w:type="dxa"/>
            <w:vAlign w:val="center"/>
          </w:tcPr>
          <w:p>
            <w:pPr>
              <w:jc w:val="center"/>
              <w:rPr>
                <w:rFonts w:ascii="宋体" w:hAnsi="宋体"/>
                <w:color w:val="000000"/>
                <w:sz w:val="24"/>
                <w:highlight w:val="none"/>
              </w:rPr>
            </w:pPr>
          </w:p>
        </w:tc>
        <w:tc>
          <w:tcPr>
            <w:tcW w:w="709" w:type="dxa"/>
            <w:vAlign w:val="center"/>
          </w:tcPr>
          <w:p>
            <w:pPr>
              <w:jc w:val="center"/>
              <w:rPr>
                <w:rFonts w:ascii="宋体" w:hAnsi="宋体"/>
                <w:color w:val="000000"/>
                <w:sz w:val="24"/>
                <w:highlight w:val="none"/>
              </w:rPr>
            </w:pPr>
          </w:p>
        </w:tc>
        <w:tc>
          <w:tcPr>
            <w:tcW w:w="2268" w:type="dxa"/>
            <w:vAlign w:val="center"/>
          </w:tcPr>
          <w:p>
            <w:pPr>
              <w:jc w:val="center"/>
              <w:rPr>
                <w:rFonts w:ascii="宋体" w:hAnsi="宋体"/>
                <w:color w:val="000000"/>
                <w:sz w:val="24"/>
                <w:highlight w:val="none"/>
              </w:rPr>
            </w:pPr>
          </w:p>
        </w:tc>
        <w:tc>
          <w:tcPr>
            <w:tcW w:w="992" w:type="dxa"/>
            <w:vAlign w:val="center"/>
          </w:tcPr>
          <w:p>
            <w:pPr>
              <w:jc w:val="center"/>
              <w:rPr>
                <w:rFonts w:ascii="宋体" w:hAnsi="宋体"/>
                <w:color w:val="000000"/>
                <w:sz w:val="24"/>
                <w:highlight w:val="none"/>
              </w:rPr>
            </w:pPr>
          </w:p>
        </w:tc>
        <w:tc>
          <w:tcPr>
            <w:tcW w:w="851" w:type="dxa"/>
            <w:vAlign w:val="center"/>
          </w:tcPr>
          <w:p>
            <w:pPr>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96" w:type="dxa"/>
            <w:vAlign w:val="center"/>
          </w:tcPr>
          <w:p>
            <w:pPr>
              <w:jc w:val="center"/>
              <w:rPr>
                <w:rFonts w:ascii="宋体" w:hAnsi="宋体"/>
                <w:color w:val="000000"/>
                <w:sz w:val="24"/>
                <w:highlight w:val="none"/>
              </w:rPr>
            </w:pPr>
            <w:r>
              <w:rPr>
                <w:rFonts w:hint="eastAsia" w:ascii="宋体" w:hAnsi="宋体"/>
                <w:color w:val="000000"/>
                <w:sz w:val="24"/>
                <w:highlight w:val="none"/>
              </w:rPr>
              <w:t>2</w:t>
            </w:r>
          </w:p>
        </w:tc>
        <w:tc>
          <w:tcPr>
            <w:tcW w:w="1539" w:type="dxa"/>
            <w:vAlign w:val="center"/>
          </w:tcPr>
          <w:p>
            <w:pPr>
              <w:jc w:val="center"/>
              <w:rPr>
                <w:rFonts w:ascii="宋体" w:hAnsi="宋体"/>
                <w:color w:val="000000"/>
                <w:sz w:val="24"/>
                <w:highlight w:val="none"/>
              </w:rPr>
            </w:pPr>
          </w:p>
        </w:tc>
        <w:tc>
          <w:tcPr>
            <w:tcW w:w="1417" w:type="dxa"/>
            <w:vAlign w:val="center"/>
          </w:tcPr>
          <w:p>
            <w:pPr>
              <w:jc w:val="center"/>
              <w:rPr>
                <w:rFonts w:ascii="宋体" w:hAnsi="宋体"/>
                <w:color w:val="000000"/>
                <w:sz w:val="24"/>
                <w:highlight w:val="none"/>
              </w:rPr>
            </w:pPr>
          </w:p>
        </w:tc>
        <w:tc>
          <w:tcPr>
            <w:tcW w:w="709" w:type="dxa"/>
            <w:vAlign w:val="center"/>
          </w:tcPr>
          <w:p>
            <w:pPr>
              <w:jc w:val="center"/>
              <w:rPr>
                <w:rFonts w:ascii="宋体" w:hAnsi="宋体"/>
                <w:color w:val="000000"/>
                <w:sz w:val="24"/>
                <w:highlight w:val="none"/>
              </w:rPr>
            </w:pPr>
          </w:p>
        </w:tc>
        <w:tc>
          <w:tcPr>
            <w:tcW w:w="2268" w:type="dxa"/>
            <w:vAlign w:val="center"/>
          </w:tcPr>
          <w:p>
            <w:pPr>
              <w:jc w:val="center"/>
              <w:rPr>
                <w:rFonts w:ascii="宋体" w:hAnsi="宋体"/>
                <w:color w:val="000000"/>
                <w:sz w:val="24"/>
                <w:highlight w:val="none"/>
              </w:rPr>
            </w:pPr>
          </w:p>
        </w:tc>
        <w:tc>
          <w:tcPr>
            <w:tcW w:w="992" w:type="dxa"/>
            <w:vAlign w:val="center"/>
          </w:tcPr>
          <w:p>
            <w:pPr>
              <w:jc w:val="center"/>
              <w:rPr>
                <w:rFonts w:ascii="宋体" w:hAnsi="宋体"/>
                <w:color w:val="000000"/>
                <w:sz w:val="24"/>
                <w:highlight w:val="none"/>
              </w:rPr>
            </w:pPr>
          </w:p>
        </w:tc>
        <w:tc>
          <w:tcPr>
            <w:tcW w:w="851" w:type="dxa"/>
            <w:vAlign w:val="center"/>
          </w:tcPr>
          <w:p>
            <w:pPr>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96" w:type="dxa"/>
            <w:vAlign w:val="center"/>
          </w:tcPr>
          <w:p>
            <w:pPr>
              <w:jc w:val="center"/>
              <w:rPr>
                <w:rFonts w:ascii="宋体" w:hAnsi="宋体"/>
                <w:color w:val="000000"/>
                <w:sz w:val="24"/>
                <w:highlight w:val="none"/>
              </w:rPr>
            </w:pPr>
            <w:r>
              <w:rPr>
                <w:rFonts w:hint="eastAsia" w:ascii="宋体" w:hAnsi="宋体"/>
                <w:color w:val="000000"/>
                <w:sz w:val="24"/>
                <w:highlight w:val="none"/>
              </w:rPr>
              <w:t>……</w:t>
            </w:r>
          </w:p>
        </w:tc>
        <w:tc>
          <w:tcPr>
            <w:tcW w:w="1539" w:type="dxa"/>
            <w:vAlign w:val="center"/>
          </w:tcPr>
          <w:p>
            <w:pPr>
              <w:jc w:val="center"/>
              <w:rPr>
                <w:rFonts w:ascii="宋体" w:hAnsi="宋体"/>
                <w:color w:val="000000"/>
                <w:sz w:val="24"/>
                <w:highlight w:val="none"/>
              </w:rPr>
            </w:pPr>
          </w:p>
        </w:tc>
        <w:tc>
          <w:tcPr>
            <w:tcW w:w="1417" w:type="dxa"/>
            <w:vAlign w:val="center"/>
          </w:tcPr>
          <w:p>
            <w:pPr>
              <w:jc w:val="center"/>
              <w:rPr>
                <w:rFonts w:ascii="宋体" w:hAnsi="宋体"/>
                <w:color w:val="000000"/>
                <w:sz w:val="24"/>
                <w:highlight w:val="none"/>
              </w:rPr>
            </w:pPr>
          </w:p>
        </w:tc>
        <w:tc>
          <w:tcPr>
            <w:tcW w:w="709" w:type="dxa"/>
            <w:vAlign w:val="center"/>
          </w:tcPr>
          <w:p>
            <w:pPr>
              <w:jc w:val="center"/>
              <w:rPr>
                <w:rFonts w:ascii="宋体" w:hAnsi="宋体"/>
                <w:color w:val="000000"/>
                <w:sz w:val="24"/>
                <w:highlight w:val="none"/>
              </w:rPr>
            </w:pPr>
          </w:p>
        </w:tc>
        <w:tc>
          <w:tcPr>
            <w:tcW w:w="2268" w:type="dxa"/>
            <w:vAlign w:val="center"/>
          </w:tcPr>
          <w:p>
            <w:pPr>
              <w:jc w:val="center"/>
              <w:rPr>
                <w:rFonts w:ascii="宋体" w:hAnsi="宋体"/>
                <w:color w:val="000000"/>
                <w:sz w:val="24"/>
                <w:highlight w:val="none"/>
              </w:rPr>
            </w:pPr>
          </w:p>
        </w:tc>
        <w:tc>
          <w:tcPr>
            <w:tcW w:w="992" w:type="dxa"/>
            <w:vAlign w:val="center"/>
          </w:tcPr>
          <w:p>
            <w:pPr>
              <w:jc w:val="center"/>
              <w:rPr>
                <w:rFonts w:ascii="宋体" w:hAnsi="宋体"/>
                <w:color w:val="000000"/>
                <w:sz w:val="24"/>
                <w:highlight w:val="none"/>
              </w:rPr>
            </w:pPr>
          </w:p>
        </w:tc>
        <w:tc>
          <w:tcPr>
            <w:tcW w:w="851" w:type="dxa"/>
            <w:vAlign w:val="center"/>
          </w:tcPr>
          <w:p>
            <w:pPr>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ascii="宋体" w:hAnsi="宋体"/>
                <w:color w:val="000000"/>
                <w:sz w:val="24"/>
                <w:highlight w:val="none"/>
              </w:rPr>
            </w:pPr>
          </w:p>
        </w:tc>
        <w:tc>
          <w:tcPr>
            <w:tcW w:w="1539" w:type="dxa"/>
            <w:vAlign w:val="center"/>
          </w:tcPr>
          <w:p>
            <w:pPr>
              <w:jc w:val="center"/>
              <w:rPr>
                <w:rFonts w:ascii="宋体" w:hAnsi="宋体"/>
                <w:color w:val="000000"/>
                <w:sz w:val="24"/>
                <w:highlight w:val="none"/>
              </w:rPr>
            </w:pPr>
            <w:r>
              <w:rPr>
                <w:rFonts w:hint="eastAsia" w:ascii="宋体" w:hAnsi="宋体"/>
                <w:color w:val="000000"/>
                <w:sz w:val="24"/>
                <w:highlight w:val="none"/>
              </w:rPr>
              <w:t>广西工业产品合计价格：</w:t>
            </w:r>
          </w:p>
        </w:tc>
        <w:tc>
          <w:tcPr>
            <w:tcW w:w="2126" w:type="dxa"/>
            <w:gridSpan w:val="2"/>
            <w:vAlign w:val="center"/>
          </w:tcPr>
          <w:p>
            <w:pPr>
              <w:jc w:val="center"/>
              <w:rPr>
                <w:rFonts w:ascii="宋体" w:hAnsi="宋体"/>
                <w:color w:val="000000"/>
                <w:sz w:val="24"/>
                <w:highlight w:val="none"/>
              </w:rPr>
            </w:pPr>
          </w:p>
        </w:tc>
        <w:tc>
          <w:tcPr>
            <w:tcW w:w="2268" w:type="dxa"/>
            <w:vAlign w:val="center"/>
          </w:tcPr>
          <w:p>
            <w:pPr>
              <w:jc w:val="center"/>
              <w:rPr>
                <w:rFonts w:ascii="宋体" w:hAnsi="宋体"/>
                <w:color w:val="000000"/>
                <w:sz w:val="24"/>
                <w:highlight w:val="none"/>
              </w:rPr>
            </w:pPr>
            <w:r>
              <w:rPr>
                <w:rFonts w:hint="eastAsia" w:ascii="宋体" w:hAnsi="宋体"/>
                <w:color w:val="000000"/>
                <w:sz w:val="24"/>
                <w:highlight w:val="none"/>
              </w:rPr>
              <w:t>占投标总价比例：</w:t>
            </w:r>
          </w:p>
        </w:tc>
        <w:tc>
          <w:tcPr>
            <w:tcW w:w="1843" w:type="dxa"/>
            <w:gridSpan w:val="2"/>
            <w:vAlign w:val="center"/>
          </w:tcPr>
          <w:p>
            <w:pPr>
              <w:jc w:val="center"/>
              <w:rPr>
                <w:rFonts w:ascii="宋体" w:hAnsi="宋体"/>
                <w:color w:val="000000"/>
                <w:sz w:val="24"/>
                <w:highlight w:val="none"/>
              </w:rPr>
            </w:pPr>
          </w:p>
        </w:tc>
      </w:tr>
    </w:tbl>
    <w:p>
      <w:pPr>
        <w:ind w:firstLine="480" w:firstLineChars="200"/>
        <w:rPr>
          <w:rFonts w:ascii="宋体" w:hAnsi="宋体"/>
          <w:color w:val="000000"/>
          <w:sz w:val="24"/>
          <w:highlight w:val="none"/>
        </w:rPr>
      </w:pPr>
      <w:r>
        <w:rPr>
          <w:rFonts w:hint="eastAsia" w:ascii="宋体" w:hAnsi="宋体"/>
          <w:color w:val="000000"/>
          <w:sz w:val="24"/>
          <w:highlight w:val="none"/>
        </w:rPr>
        <w:t>本公司对上述声明的真实性负责。如有虚假，将依法承担相应责任。</w:t>
      </w:r>
    </w:p>
    <w:p>
      <w:pPr>
        <w:ind w:firstLine="480" w:firstLineChars="200"/>
        <w:rPr>
          <w:rFonts w:ascii="宋体" w:hAnsi="宋体"/>
          <w:color w:val="000000"/>
          <w:sz w:val="24"/>
          <w:highlight w:val="none"/>
        </w:rPr>
      </w:pPr>
    </w:p>
    <w:p>
      <w:pPr>
        <w:ind w:firstLine="480" w:firstLineChars="200"/>
        <w:rPr>
          <w:rFonts w:ascii="宋体" w:hAnsi="宋体"/>
          <w:color w:val="000000"/>
          <w:sz w:val="24"/>
          <w:highlight w:val="none"/>
        </w:rPr>
      </w:pPr>
    </w:p>
    <w:p>
      <w:pPr>
        <w:ind w:firstLine="2880" w:firstLineChars="1200"/>
        <w:rPr>
          <w:rFonts w:ascii="宋体" w:hAnsi="宋体"/>
          <w:color w:val="000000"/>
          <w:sz w:val="24"/>
          <w:highlight w:val="none"/>
        </w:rPr>
      </w:pPr>
      <w:r>
        <w:rPr>
          <w:rFonts w:hint="eastAsia" w:ascii="宋体" w:hAnsi="宋体"/>
          <w:color w:val="000000"/>
          <w:sz w:val="24"/>
          <w:highlight w:val="none"/>
        </w:rPr>
        <w:t>投标人盖公章：</w:t>
      </w:r>
    </w:p>
    <w:p>
      <w:pPr>
        <w:ind w:firstLine="1440" w:firstLineChars="600"/>
        <w:rPr>
          <w:rFonts w:ascii="宋体" w:hAnsi="宋体"/>
          <w:color w:val="000000"/>
          <w:sz w:val="24"/>
          <w:highlight w:val="none"/>
        </w:rPr>
      </w:pPr>
      <w:r>
        <w:rPr>
          <w:rFonts w:hint="eastAsia" w:ascii="宋体" w:hAnsi="宋体"/>
          <w:color w:val="000000"/>
          <w:sz w:val="24"/>
          <w:highlight w:val="none"/>
        </w:rPr>
        <w:t xml:space="preserve">法定代表人或委托代理人签字：        </w:t>
      </w:r>
    </w:p>
    <w:p>
      <w:pPr>
        <w:ind w:firstLine="480" w:firstLineChars="200"/>
        <w:rPr>
          <w:rFonts w:ascii="仿宋_GB2312" w:eastAsia="仿宋_GB2312"/>
          <w:color w:val="000000"/>
          <w:sz w:val="28"/>
          <w:szCs w:val="28"/>
          <w:highlight w:val="none"/>
        </w:rPr>
      </w:pPr>
      <w:r>
        <w:rPr>
          <w:rFonts w:hint="eastAsia" w:ascii="宋体" w:hAnsi="宋体"/>
          <w:color w:val="000000"/>
          <w:sz w:val="24"/>
          <w:highlight w:val="none"/>
        </w:rPr>
        <w:t xml:space="preserve">                           日 期：</w:t>
      </w:r>
      <w:r>
        <w:rPr>
          <w:rFonts w:hint="eastAsia" w:ascii="仿宋_GB2312" w:eastAsia="仿宋_GB2312"/>
          <w:color w:val="000000"/>
          <w:sz w:val="28"/>
          <w:szCs w:val="28"/>
          <w:highlight w:val="none"/>
        </w:rPr>
        <w:t xml:space="preserve">        </w:t>
      </w:r>
    </w:p>
    <w:p>
      <w:pPr>
        <w:rPr>
          <w:color w:val="000000"/>
          <w:highlight w:val="none"/>
        </w:rPr>
      </w:pPr>
    </w:p>
    <w:p>
      <w:pPr>
        <w:snapToGrid w:val="0"/>
        <w:spacing w:before="120" w:beforeLines="50" w:after="50"/>
        <w:jc w:val="left"/>
        <w:rPr>
          <w:color w:val="000000"/>
          <w:highlight w:val="none"/>
        </w:rPr>
      </w:pPr>
      <w:r>
        <w:rPr>
          <w:color w:val="000000"/>
          <w:highlight w:val="none"/>
        </w:rPr>
        <w:br w:type="page"/>
      </w:r>
      <w:r>
        <w:rPr>
          <w:rFonts w:hint="eastAsia" w:ascii="宋体" w:hAnsi="宋体"/>
          <w:b/>
          <w:color w:val="000000"/>
          <w:sz w:val="24"/>
          <w:highlight w:val="none"/>
        </w:rPr>
        <w:t xml:space="preserve"> 中小企业声明函格式</w:t>
      </w:r>
    </w:p>
    <w:p>
      <w:pPr>
        <w:rPr>
          <w:color w:val="000000"/>
          <w:highlight w:val="none"/>
        </w:rPr>
      </w:pPr>
    </w:p>
    <w:p>
      <w:pPr>
        <w:spacing w:line="588" w:lineRule="exact"/>
        <w:jc w:val="center"/>
        <w:rPr>
          <w:rFonts w:ascii="仿宋_GB2312" w:eastAsia="仿宋_GB2312"/>
          <w:b/>
          <w:color w:val="000000"/>
          <w:spacing w:val="6"/>
          <w:sz w:val="32"/>
          <w:szCs w:val="32"/>
          <w:highlight w:val="none"/>
        </w:rPr>
      </w:pPr>
      <w:r>
        <w:rPr>
          <w:rFonts w:hint="eastAsia" w:ascii="仿宋_GB2312" w:eastAsia="仿宋_GB2312"/>
          <w:b/>
          <w:color w:val="000000"/>
          <w:spacing w:val="6"/>
          <w:sz w:val="32"/>
          <w:szCs w:val="32"/>
          <w:highlight w:val="none"/>
        </w:rPr>
        <w:t>中小企业声明函</w:t>
      </w:r>
    </w:p>
    <w:p>
      <w:pPr>
        <w:spacing w:line="588" w:lineRule="exact"/>
        <w:rPr>
          <w:rFonts w:ascii="仿宋_GB2312" w:eastAsia="仿宋_GB2312"/>
          <w:b/>
          <w:color w:val="000000"/>
          <w:spacing w:val="6"/>
          <w:sz w:val="30"/>
          <w:szCs w:val="30"/>
          <w:highlight w:val="none"/>
        </w:rPr>
      </w:pPr>
    </w:p>
    <w:p>
      <w:pPr>
        <w:spacing w:line="588" w:lineRule="exact"/>
        <w:ind w:firstLine="504" w:firstLineChars="200"/>
        <w:rPr>
          <w:rFonts w:ascii="宋体" w:hAnsi="宋体"/>
          <w:color w:val="000000"/>
          <w:spacing w:val="6"/>
          <w:sz w:val="24"/>
          <w:highlight w:val="none"/>
        </w:rPr>
      </w:pPr>
      <w:r>
        <w:rPr>
          <w:rFonts w:hint="eastAsia" w:ascii="宋体" w:hAnsi="宋体"/>
          <w:color w:val="000000"/>
          <w:spacing w:val="6"/>
          <w:sz w:val="24"/>
          <w:highlight w:val="none"/>
        </w:rPr>
        <w:t>本公司郑重声明，根据《政府采购促进中小企业发展暂行办法》（财库[2011]181号）的规定，本公司为</w:t>
      </w:r>
      <w:bookmarkStart w:id="120" w:name="OLE_LINK2"/>
      <w:bookmarkStart w:id="121" w:name="OLE_LINK5"/>
      <w:r>
        <w:rPr>
          <w:rFonts w:hint="eastAsia" w:ascii="宋体" w:hAnsi="宋体"/>
          <w:color w:val="000000"/>
          <w:spacing w:val="6"/>
          <w:sz w:val="24"/>
          <w:highlight w:val="none"/>
        </w:rPr>
        <w:t>______（请填写：中型、小型、微型）企业</w:t>
      </w:r>
      <w:bookmarkEnd w:id="120"/>
      <w:bookmarkEnd w:id="121"/>
      <w:r>
        <w:rPr>
          <w:rFonts w:hint="eastAsia" w:ascii="宋体" w:hAnsi="宋体"/>
          <w:color w:val="000000"/>
          <w:spacing w:val="6"/>
          <w:sz w:val="24"/>
          <w:highlight w:val="none"/>
        </w:rPr>
        <w:t>。即本公司同时满足以下条件：</w:t>
      </w:r>
    </w:p>
    <w:p>
      <w:pPr>
        <w:spacing w:line="588" w:lineRule="exact"/>
        <w:ind w:firstLine="504" w:firstLineChars="200"/>
        <w:rPr>
          <w:rFonts w:ascii="宋体" w:hAnsi="宋体"/>
          <w:color w:val="000000"/>
          <w:spacing w:val="6"/>
          <w:sz w:val="24"/>
          <w:highlight w:val="none"/>
        </w:rPr>
      </w:pPr>
      <w:r>
        <w:rPr>
          <w:rFonts w:hint="eastAsia" w:ascii="宋体" w:hAnsi="宋体"/>
          <w:color w:val="000000"/>
          <w:spacing w:val="6"/>
          <w:sz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504" w:firstLineChars="200"/>
        <w:rPr>
          <w:rFonts w:ascii="宋体" w:hAnsi="宋体"/>
          <w:color w:val="000000"/>
          <w:spacing w:val="6"/>
          <w:sz w:val="24"/>
          <w:highlight w:val="none"/>
        </w:rPr>
      </w:pPr>
      <w:r>
        <w:rPr>
          <w:rFonts w:hint="eastAsia" w:ascii="宋体" w:hAnsi="宋体"/>
          <w:color w:val="000000"/>
          <w:spacing w:val="6"/>
          <w:sz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504" w:firstLineChars="200"/>
        <w:rPr>
          <w:rFonts w:ascii="宋体" w:hAnsi="宋体"/>
          <w:color w:val="000000"/>
          <w:spacing w:val="6"/>
          <w:sz w:val="24"/>
          <w:highlight w:val="none"/>
        </w:rPr>
      </w:pPr>
      <w:r>
        <w:rPr>
          <w:rFonts w:hint="eastAsia" w:ascii="宋体" w:hAnsi="宋体"/>
          <w:color w:val="000000"/>
          <w:spacing w:val="6"/>
          <w:sz w:val="24"/>
          <w:highlight w:val="none"/>
        </w:rPr>
        <w:t>本公司对上述声明的真实性负责。如有虚假，将依法承担相应责任。</w:t>
      </w:r>
    </w:p>
    <w:p>
      <w:pPr>
        <w:spacing w:line="588" w:lineRule="exact"/>
        <w:ind w:firstLine="504" w:firstLineChars="200"/>
        <w:rPr>
          <w:rFonts w:ascii="宋体" w:hAnsi="宋体"/>
          <w:color w:val="000000"/>
          <w:spacing w:val="6"/>
          <w:sz w:val="24"/>
          <w:highlight w:val="none"/>
        </w:rPr>
      </w:pPr>
    </w:p>
    <w:p>
      <w:pPr>
        <w:spacing w:line="588" w:lineRule="exact"/>
        <w:ind w:firstLine="504" w:firstLineChars="200"/>
        <w:rPr>
          <w:rFonts w:ascii="宋体" w:hAnsi="宋体"/>
          <w:color w:val="000000"/>
          <w:spacing w:val="6"/>
          <w:sz w:val="24"/>
          <w:highlight w:val="none"/>
        </w:rPr>
      </w:pPr>
    </w:p>
    <w:p>
      <w:pPr>
        <w:tabs>
          <w:tab w:val="left" w:pos="4860"/>
        </w:tabs>
        <w:spacing w:line="588" w:lineRule="exact"/>
        <w:ind w:right="1560" w:firstLine="504" w:firstLineChars="200"/>
        <w:jc w:val="center"/>
        <w:rPr>
          <w:rFonts w:ascii="宋体" w:hAnsi="宋体"/>
          <w:color w:val="000000"/>
          <w:spacing w:val="6"/>
          <w:sz w:val="24"/>
          <w:highlight w:val="none"/>
        </w:rPr>
      </w:pPr>
      <w:r>
        <w:rPr>
          <w:rFonts w:hint="eastAsia" w:ascii="宋体" w:hAnsi="宋体"/>
          <w:color w:val="000000"/>
          <w:spacing w:val="6"/>
          <w:sz w:val="24"/>
          <w:highlight w:val="none"/>
        </w:rPr>
        <w:t xml:space="preserve">               企业名称（盖章）： </w:t>
      </w:r>
    </w:p>
    <w:p>
      <w:pPr>
        <w:rPr>
          <w:rFonts w:ascii="宋体" w:hAnsi="宋体"/>
          <w:color w:val="000000"/>
          <w:sz w:val="24"/>
          <w:highlight w:val="none"/>
        </w:rPr>
      </w:pPr>
      <w:r>
        <w:rPr>
          <w:rFonts w:hint="eastAsia" w:ascii="宋体" w:hAnsi="宋体"/>
          <w:color w:val="000000"/>
          <w:spacing w:val="6"/>
          <w:sz w:val="24"/>
          <w:highlight w:val="none"/>
        </w:rPr>
        <w:t xml:space="preserve">                               日  期：         </w:t>
      </w:r>
    </w:p>
    <w:p>
      <w:pPr>
        <w:rPr>
          <w:rFonts w:ascii="宋体" w:hAnsi="宋体"/>
          <w:color w:val="000000"/>
          <w:sz w:val="24"/>
          <w:highlight w:val="none"/>
        </w:rPr>
      </w:pPr>
    </w:p>
    <w:p>
      <w:pPr>
        <w:rPr>
          <w:rFonts w:ascii="宋体" w:hAnsi="宋体"/>
          <w:color w:val="000000"/>
          <w:sz w:val="24"/>
          <w:highlight w:val="none"/>
        </w:rPr>
      </w:pPr>
    </w:p>
    <w:p>
      <w:pPr>
        <w:rPr>
          <w:color w:val="000000"/>
          <w:highlight w:val="none"/>
        </w:rPr>
      </w:pPr>
      <w:r>
        <w:rPr>
          <w:rFonts w:hint="eastAsia" w:ascii="宋体" w:hAnsi="宋体"/>
          <w:color w:val="000000"/>
          <w:sz w:val="24"/>
          <w:highlight w:val="none"/>
        </w:rPr>
        <w:t>注：请根据自己的真实情况出具《中小企业声明函》。依法享受中小企业优惠政策的，采购人或采购代理机构在公告中标结果时，同时公告其《中小企业声明函》，接受社会监督。</w:t>
      </w:r>
      <w:r>
        <w:rPr>
          <w:color w:val="000000"/>
          <w:highlight w:val="none"/>
        </w:rPr>
        <w:br w:type="page"/>
      </w:r>
    </w:p>
    <w:p>
      <w:pPr>
        <w:snapToGrid w:val="0"/>
        <w:spacing w:before="120" w:beforeLines="50" w:after="50"/>
        <w:ind w:left="142"/>
        <w:jc w:val="left"/>
        <w:rPr>
          <w:rFonts w:ascii="宋体" w:hAnsi="宋体"/>
          <w:b/>
          <w:color w:val="000000"/>
          <w:sz w:val="24"/>
          <w:highlight w:val="none"/>
        </w:rPr>
      </w:pPr>
      <w:r>
        <w:rPr>
          <w:rFonts w:hint="eastAsia" w:ascii="宋体" w:hAnsi="宋体"/>
          <w:b/>
          <w:color w:val="000000"/>
          <w:sz w:val="24"/>
          <w:highlight w:val="none"/>
        </w:rPr>
        <w:t>残疾人福利性单位声明函格式</w:t>
      </w:r>
    </w:p>
    <w:p>
      <w:pPr>
        <w:spacing w:line="588" w:lineRule="exact"/>
        <w:jc w:val="center"/>
        <w:rPr>
          <w:rFonts w:ascii="仿宋_GB2312" w:eastAsia="仿宋_GB2312"/>
          <w:b/>
          <w:color w:val="000000"/>
          <w:spacing w:val="6"/>
          <w:sz w:val="32"/>
          <w:szCs w:val="32"/>
          <w:highlight w:val="none"/>
        </w:rPr>
      </w:pPr>
      <w:bookmarkStart w:id="122" w:name="OLE_LINK14"/>
      <w:bookmarkStart w:id="123" w:name="OLE_LINK13"/>
    </w:p>
    <w:p>
      <w:pPr>
        <w:spacing w:line="588" w:lineRule="exact"/>
        <w:jc w:val="center"/>
        <w:rPr>
          <w:rFonts w:ascii="仿宋_GB2312" w:eastAsia="仿宋_GB2312"/>
          <w:b/>
          <w:color w:val="000000"/>
          <w:spacing w:val="6"/>
          <w:sz w:val="32"/>
          <w:szCs w:val="32"/>
          <w:highlight w:val="none"/>
        </w:rPr>
      </w:pPr>
      <w:r>
        <w:rPr>
          <w:rFonts w:hint="eastAsia" w:ascii="仿宋_GB2312" w:eastAsia="仿宋_GB2312"/>
          <w:b/>
          <w:color w:val="000000"/>
          <w:spacing w:val="6"/>
          <w:sz w:val="32"/>
          <w:szCs w:val="32"/>
          <w:highlight w:val="none"/>
        </w:rPr>
        <w:t>残疾人福利性单位声明函</w:t>
      </w:r>
    </w:p>
    <w:bookmarkEnd w:id="122"/>
    <w:bookmarkEnd w:id="123"/>
    <w:p>
      <w:pPr>
        <w:spacing w:line="588" w:lineRule="exact"/>
        <w:rPr>
          <w:rFonts w:ascii="仿宋_GB2312" w:eastAsia="仿宋_GB2312"/>
          <w:b/>
          <w:color w:val="000000"/>
          <w:spacing w:val="6"/>
          <w:sz w:val="30"/>
          <w:szCs w:val="30"/>
          <w:highlight w:val="none"/>
        </w:rPr>
      </w:pPr>
    </w:p>
    <w:p>
      <w:pPr>
        <w:spacing w:line="588" w:lineRule="exact"/>
        <w:ind w:firstLine="504" w:firstLineChars="200"/>
        <w:rPr>
          <w:rFonts w:ascii="宋体" w:hAnsi="宋体"/>
          <w:color w:val="000000"/>
          <w:spacing w:val="6"/>
          <w:sz w:val="24"/>
          <w:highlight w:val="none"/>
        </w:rPr>
      </w:pPr>
      <w:r>
        <w:rPr>
          <w:rFonts w:hint="eastAsia" w:ascii="宋体" w:hAnsi="宋体"/>
          <w:color w:val="000000"/>
          <w:spacing w:val="6"/>
          <w:sz w:val="24"/>
          <w:highlight w:val="none"/>
        </w:rPr>
        <w:t>本单位郑重声明，根据《财政部 民政部 中国残疾人联合会关于促进残疾人就业政府采购政策的通知》（财库</w:t>
      </w:r>
      <w:r>
        <w:rPr>
          <w:rFonts w:hint="eastAsia" w:ascii="宋体" w:hAnsi="宋体"/>
          <w:color w:val="000000"/>
          <w:sz w:val="24"/>
          <w:highlight w:val="none"/>
        </w:rPr>
        <w:t>〔2017〕 141</w:t>
      </w:r>
      <w:r>
        <w:rPr>
          <w:rFonts w:hint="eastAsia" w:ascii="宋体" w:hAnsi="宋体"/>
          <w:color w:val="000000"/>
          <w:spacing w:val="6"/>
          <w:sz w:val="24"/>
          <w:highlight w:val="none"/>
        </w:rPr>
        <w:t>号）的规定，本单位为符合条件的残疾人福利性单位，且本单位参加______单位的______项目采购活动提供本单位制造的货物（由本单位承担工程/提供服务），或者提供其他残</w:t>
      </w:r>
      <w:r>
        <w:rPr>
          <w:rFonts w:hint="eastAsia" w:ascii="宋体" w:hAnsi="宋体"/>
          <w:color w:val="000000"/>
          <w:spacing w:val="-6"/>
          <w:sz w:val="24"/>
          <w:highlight w:val="none"/>
        </w:rPr>
        <w:t>疾人福利性单位制造的货物（不包括使用非残疾人福利性单位注册商标的货物）。</w:t>
      </w:r>
    </w:p>
    <w:p>
      <w:pPr>
        <w:spacing w:line="588" w:lineRule="exact"/>
        <w:ind w:firstLine="504" w:firstLineChars="200"/>
        <w:rPr>
          <w:rFonts w:ascii="宋体" w:hAnsi="宋体"/>
          <w:color w:val="000000"/>
          <w:spacing w:val="6"/>
          <w:sz w:val="24"/>
          <w:highlight w:val="none"/>
        </w:rPr>
      </w:pPr>
      <w:r>
        <w:rPr>
          <w:rFonts w:hint="eastAsia" w:ascii="宋体" w:hAnsi="宋体"/>
          <w:color w:val="000000"/>
          <w:spacing w:val="6"/>
          <w:sz w:val="24"/>
          <w:highlight w:val="none"/>
        </w:rPr>
        <w:t>本单位对上述声明的真实性负责。如有虚假，将依法承担相应责任。</w:t>
      </w:r>
    </w:p>
    <w:p>
      <w:pPr>
        <w:spacing w:line="588" w:lineRule="exact"/>
        <w:ind w:firstLine="504" w:firstLineChars="200"/>
        <w:rPr>
          <w:rFonts w:ascii="宋体" w:hAnsi="宋体"/>
          <w:color w:val="000000"/>
          <w:spacing w:val="6"/>
          <w:sz w:val="24"/>
          <w:highlight w:val="none"/>
        </w:rPr>
      </w:pPr>
    </w:p>
    <w:p>
      <w:pPr>
        <w:spacing w:line="588" w:lineRule="exact"/>
        <w:ind w:firstLine="504" w:firstLineChars="200"/>
        <w:rPr>
          <w:rFonts w:ascii="宋体" w:hAnsi="宋体"/>
          <w:color w:val="000000"/>
          <w:spacing w:val="6"/>
          <w:sz w:val="24"/>
          <w:highlight w:val="none"/>
        </w:rPr>
      </w:pPr>
    </w:p>
    <w:p>
      <w:pPr>
        <w:tabs>
          <w:tab w:val="left" w:pos="4860"/>
        </w:tabs>
        <w:spacing w:line="588" w:lineRule="exact"/>
        <w:ind w:right="1560" w:firstLine="504" w:firstLineChars="200"/>
        <w:jc w:val="center"/>
        <w:rPr>
          <w:rFonts w:ascii="宋体" w:hAnsi="宋体"/>
          <w:color w:val="000000"/>
          <w:spacing w:val="6"/>
          <w:sz w:val="24"/>
          <w:highlight w:val="none"/>
        </w:rPr>
      </w:pPr>
      <w:r>
        <w:rPr>
          <w:rFonts w:hint="eastAsia" w:ascii="宋体" w:hAnsi="宋体"/>
          <w:color w:val="000000"/>
          <w:spacing w:val="6"/>
          <w:sz w:val="24"/>
          <w:highlight w:val="none"/>
        </w:rPr>
        <w:t>单位名称（盖章）：</w:t>
      </w:r>
    </w:p>
    <w:p>
      <w:pPr>
        <w:tabs>
          <w:tab w:val="left" w:pos="4860"/>
        </w:tabs>
        <w:spacing w:line="588" w:lineRule="exact"/>
        <w:ind w:right="1560" w:firstLine="504" w:firstLineChars="200"/>
        <w:jc w:val="center"/>
        <w:rPr>
          <w:rFonts w:ascii="宋体" w:hAnsi="宋体"/>
          <w:color w:val="000000"/>
          <w:spacing w:val="6"/>
          <w:sz w:val="24"/>
          <w:highlight w:val="none"/>
        </w:rPr>
      </w:pPr>
      <w:r>
        <w:rPr>
          <w:rFonts w:hint="eastAsia" w:ascii="宋体" w:hAnsi="宋体"/>
          <w:color w:val="000000"/>
          <w:spacing w:val="6"/>
          <w:sz w:val="24"/>
          <w:highlight w:val="none"/>
        </w:rPr>
        <w:t>日  期：</w:t>
      </w:r>
    </w:p>
    <w:p>
      <w:pPr>
        <w:rPr>
          <w:rFonts w:ascii="宋体" w:hAnsi="宋体"/>
          <w:color w:val="000000"/>
          <w:sz w:val="24"/>
          <w:highlight w:val="none"/>
        </w:rPr>
      </w:pPr>
    </w:p>
    <w:p>
      <w:pPr>
        <w:rPr>
          <w:rFonts w:ascii="宋体" w:hAnsi="宋体"/>
          <w:color w:val="000000"/>
          <w:sz w:val="24"/>
          <w:highlight w:val="none"/>
        </w:rPr>
      </w:pPr>
    </w:p>
    <w:p>
      <w:pPr>
        <w:rPr>
          <w:rFonts w:ascii="宋体" w:hAnsi="宋体"/>
          <w:color w:val="000000"/>
          <w:sz w:val="24"/>
          <w:highlight w:val="none"/>
        </w:rPr>
      </w:pPr>
    </w:p>
    <w:p>
      <w:pPr>
        <w:rPr>
          <w:rFonts w:ascii="宋体" w:hAnsi="宋体"/>
          <w:color w:val="000000"/>
          <w:sz w:val="24"/>
          <w:highlight w:val="none"/>
        </w:rPr>
      </w:pPr>
      <w:r>
        <w:rPr>
          <w:rFonts w:hint="eastAsia" w:ascii="宋体" w:hAnsi="宋体"/>
          <w:color w:val="000000"/>
          <w:sz w:val="24"/>
          <w:highlight w:val="none"/>
        </w:rPr>
        <w:t>注：请根据自己的真实情况出具《残疾人福利性单位声明函》。依法享受中小企业优惠政策的，采购人或采购代理机构在公告中标结果时，同时公告其《残疾人福利性单位声明函》，接受社会监督。</w:t>
      </w:r>
    </w:p>
    <w:p>
      <w:pPr>
        <w:rPr>
          <w:rFonts w:ascii="宋体" w:hAnsi="宋体"/>
          <w:color w:val="000000"/>
          <w:sz w:val="24"/>
          <w:highlight w:val="none"/>
        </w:rPr>
      </w:pPr>
      <w:r>
        <w:rPr>
          <w:rFonts w:hint="eastAsia" w:ascii="宋体" w:hAnsi="宋体"/>
          <w:color w:val="000000"/>
          <w:sz w:val="24"/>
          <w:highlight w:val="none"/>
        </w:rPr>
        <w:br w:type="page"/>
      </w:r>
    </w:p>
    <w:p>
      <w:pPr>
        <w:widowControl/>
        <w:shd w:val="clear" w:color="auto" w:fill="FFFFFF"/>
        <w:spacing w:line="480" w:lineRule="atLeast"/>
        <w:jc w:val="center"/>
        <w:rPr>
          <w:rFonts w:ascii="仿宋" w:hAnsi="仿宋" w:eastAsia="仿宋" w:cs="宋体"/>
          <w:color w:val="000000"/>
          <w:kern w:val="0"/>
          <w:sz w:val="32"/>
          <w:szCs w:val="32"/>
          <w:highlight w:val="none"/>
        </w:rPr>
      </w:pPr>
      <w:r>
        <w:rPr>
          <w:rFonts w:hint="eastAsia" w:ascii="黑体" w:hAnsi="黑体" w:eastAsia="黑体" w:cs="黑体"/>
          <w:color w:val="000000"/>
          <w:kern w:val="0"/>
          <w:sz w:val="32"/>
          <w:szCs w:val="32"/>
          <w:highlight w:val="none"/>
        </w:rPr>
        <w:t>广西壮族自治区政府采购项目合同验收书</w:t>
      </w:r>
      <w:r>
        <w:rPr>
          <w:rFonts w:hint="eastAsia" w:ascii="仿宋" w:hAnsi="仿宋" w:eastAsia="仿宋" w:cs="宋体"/>
          <w:color w:val="000000"/>
          <w:kern w:val="0"/>
          <w:sz w:val="32"/>
          <w:szCs w:val="32"/>
          <w:highlight w:val="none"/>
        </w:rPr>
        <w:t>（格式）</w:t>
      </w:r>
    </w:p>
    <w:p>
      <w:pPr>
        <w:widowControl/>
        <w:shd w:val="clear" w:color="auto" w:fill="FFFFFF"/>
        <w:spacing w:line="480" w:lineRule="atLeast"/>
        <w:jc w:val="center"/>
        <w:rPr>
          <w:rFonts w:ascii="仿宋" w:hAnsi="仿宋" w:eastAsia="仿宋" w:cs="宋体"/>
          <w:color w:val="000000"/>
          <w:kern w:val="0"/>
          <w:sz w:val="32"/>
          <w:szCs w:val="32"/>
          <w:highlight w:val="none"/>
        </w:rPr>
      </w:pPr>
    </w:p>
    <w:p>
      <w:pPr>
        <w:widowControl/>
        <w:shd w:val="clear" w:color="auto" w:fill="FFFFFF"/>
        <w:snapToGrid w:val="0"/>
        <w:spacing w:line="320" w:lineRule="atLeast"/>
        <w:ind w:firstLine="480"/>
        <w:jc w:val="left"/>
        <w:rPr>
          <w:rFonts w:ascii="宋体" w:hAnsi="宋体" w:cs="宋体"/>
          <w:color w:val="000000"/>
          <w:kern w:val="0"/>
          <w:szCs w:val="21"/>
          <w:highlight w:val="none"/>
        </w:rPr>
      </w:pPr>
      <w:r>
        <w:rPr>
          <w:rFonts w:hint="eastAsia" w:ascii="宋体" w:hAnsi="宋体" w:cs="宋体"/>
          <w:color w:val="000000"/>
          <w:kern w:val="0"/>
          <w:szCs w:val="21"/>
          <w:highlight w:val="none"/>
        </w:rPr>
        <w:t>根据政府采购项目（</w:t>
      </w:r>
      <w:r>
        <w:rPr>
          <w:rFonts w:hint="eastAsia" w:ascii="宋体" w:hAnsi="宋体" w:cs="宋体"/>
          <w:color w:val="000000"/>
          <w:kern w:val="0"/>
          <w:szCs w:val="21"/>
          <w:highlight w:val="none"/>
          <w:u w:val="single"/>
        </w:rPr>
        <w:t>采购合同编号：</w:t>
      </w:r>
      <w:r>
        <w:rPr>
          <w:rFonts w:hint="eastAsia" w:ascii="宋体" w:hAnsi="宋体" w:cs="宋体"/>
          <w:color w:val="000000"/>
          <w:kern w:val="0"/>
          <w:szCs w:val="21"/>
          <w:highlight w:val="none"/>
          <w:u w:val="single"/>
        </w:rPr>
        <w:softHyphen/>
      </w:r>
      <w:r>
        <w:rPr>
          <w:rFonts w:hint="eastAsia" w:ascii="宋体" w:hAnsi="宋体" w:cs="宋体"/>
          <w:color w:val="000000"/>
          <w:kern w:val="0"/>
          <w:szCs w:val="21"/>
          <w:highlight w:val="none"/>
          <w:u w:val="single"/>
        </w:rPr>
        <w:t xml:space="preserve"> </w:t>
      </w:r>
      <w:r>
        <w:rPr>
          <w:rFonts w:hint="eastAsia" w:ascii="宋体" w:hAnsi="宋体" w:cs="宋体"/>
          <w:color w:val="000000"/>
          <w:kern w:val="0"/>
          <w:szCs w:val="21"/>
          <w:highlight w:val="none"/>
        </w:rPr>
        <w:t>）的约定，我单位对（</w:t>
      </w:r>
      <w:r>
        <w:rPr>
          <w:rFonts w:hint="eastAsia" w:ascii="宋体" w:hAnsi="宋体" w:cs="宋体"/>
          <w:color w:val="000000"/>
          <w:kern w:val="0"/>
          <w:szCs w:val="21"/>
          <w:highlight w:val="none"/>
          <w:u w:val="single"/>
        </w:rPr>
        <w:t xml:space="preserve"> 项目名称 </w:t>
      </w:r>
      <w:r>
        <w:rPr>
          <w:rFonts w:hint="eastAsia" w:ascii="宋体" w:hAnsi="宋体" w:cs="宋体"/>
          <w:color w:val="000000"/>
          <w:kern w:val="0"/>
          <w:szCs w:val="21"/>
          <w:highlight w:val="none"/>
        </w:rPr>
        <w:t>） 政府采购项目中标（或成交）供应商（</w:t>
      </w:r>
      <w:r>
        <w:rPr>
          <w:rFonts w:hint="eastAsia" w:ascii="宋体" w:hAnsi="宋体" w:cs="宋体"/>
          <w:color w:val="000000"/>
          <w:kern w:val="0"/>
          <w:szCs w:val="21"/>
          <w:highlight w:val="none"/>
          <w:u w:val="single"/>
        </w:rPr>
        <w:t xml:space="preserve"> 公司名称 </w:t>
      </w:r>
      <w:r>
        <w:rPr>
          <w:rFonts w:hint="eastAsia" w:ascii="宋体" w:hAnsi="宋体" w:cs="宋体"/>
          <w:color w:val="000000"/>
          <w:kern w:val="0"/>
          <w:szCs w:val="21"/>
          <w:highlight w:val="none"/>
        </w:rPr>
        <w:t>） 提供的货物（或工程、服务）进行了验收，验收情况如下：</w:t>
      </w:r>
    </w:p>
    <w:tbl>
      <w:tblPr>
        <w:tblStyle w:val="35"/>
        <w:tblW w:w="9371" w:type="dxa"/>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Verdana" w:hAnsi="Verdana" w:cs="宋体"/>
                <w:color w:val="000000"/>
                <w:kern w:val="0"/>
                <w:szCs w:val="21"/>
                <w:highlight w:val="none"/>
              </w:rPr>
            </w:pPr>
            <w:r>
              <w:rPr>
                <w:rFonts w:ascii="Verdana" w:hAnsi="Verdana" w:cs="宋体"/>
                <w:color w:val="000000"/>
                <w:kern w:val="0"/>
                <w:szCs w:val="21"/>
                <w:highlight w:val="none"/>
              </w:rPr>
              <w:t>验收方式：</w:t>
            </w:r>
          </w:p>
        </w:tc>
        <w:tc>
          <w:tcPr>
            <w:tcW w:w="6119" w:type="dxa"/>
            <w:gridSpan w:val="6"/>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center"/>
              <w:rPr>
                <w:rFonts w:ascii="Verdana" w:hAnsi="Verdana" w:cs="宋体"/>
                <w:color w:val="000000"/>
                <w:kern w:val="0"/>
                <w:szCs w:val="21"/>
                <w:highlight w:val="none"/>
              </w:rPr>
            </w:pPr>
            <w:r>
              <w:rPr>
                <w:rFonts w:ascii="Verdana" w:hAnsi="Verdana" w:cs="宋体"/>
                <w:color w:val="000000"/>
                <w:kern w:val="0"/>
                <w:szCs w:val="21"/>
                <w:highlight w:val="none"/>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000000"/>
                <w:kern w:val="0"/>
                <w:szCs w:val="21"/>
                <w:highlight w:val="none"/>
              </w:rPr>
            </w:pPr>
            <w:r>
              <w:rPr>
                <w:rFonts w:ascii="Verdana" w:hAnsi="Verdana" w:cs="宋体"/>
                <w:color w:val="000000"/>
                <w:kern w:val="0"/>
                <w:szCs w:val="21"/>
                <w:highlight w:val="none"/>
              </w:rPr>
              <w:t>序号</w:t>
            </w:r>
          </w:p>
        </w:tc>
        <w:tc>
          <w:tcPr>
            <w:tcW w:w="1921"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000000"/>
                <w:kern w:val="0"/>
                <w:szCs w:val="21"/>
                <w:highlight w:val="none"/>
              </w:rPr>
            </w:pPr>
            <w:r>
              <w:rPr>
                <w:rFonts w:ascii="Verdana" w:hAnsi="Verdana" w:cs="宋体"/>
                <w:color w:val="000000"/>
                <w:kern w:val="0"/>
                <w:szCs w:val="21"/>
                <w:highlight w:val="none"/>
              </w:rPr>
              <w:t>名 称</w:t>
            </w:r>
          </w:p>
        </w:tc>
        <w:tc>
          <w:tcPr>
            <w:tcW w:w="290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000000"/>
                <w:kern w:val="0"/>
                <w:szCs w:val="21"/>
                <w:highlight w:val="none"/>
              </w:rPr>
            </w:pPr>
            <w:r>
              <w:rPr>
                <w:rFonts w:ascii="Verdana" w:hAnsi="Verdana" w:cs="宋体"/>
                <w:color w:val="000000"/>
                <w:kern w:val="0"/>
                <w:szCs w:val="21"/>
                <w:highlight w:val="none"/>
              </w:rPr>
              <w:t>货物型号规格、标准及配置等（或服务内容、标准）</w:t>
            </w:r>
          </w:p>
        </w:tc>
        <w:tc>
          <w:tcPr>
            <w:tcW w:w="863"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ascii="Verdana" w:hAnsi="Verdana" w:cs="宋体"/>
                <w:color w:val="000000"/>
                <w:kern w:val="0"/>
                <w:szCs w:val="21"/>
                <w:highlight w:val="none"/>
              </w:rPr>
            </w:pPr>
            <w:r>
              <w:rPr>
                <w:rFonts w:ascii="Verdana" w:hAnsi="Verdana" w:cs="宋体"/>
                <w:color w:val="000000"/>
                <w:kern w:val="0"/>
                <w:szCs w:val="21"/>
                <w:highlight w:val="none"/>
              </w:rPr>
              <w:t>数量</w:t>
            </w:r>
          </w:p>
        </w:tc>
        <w:tc>
          <w:tcPr>
            <w:tcW w:w="2354"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000000"/>
                <w:kern w:val="0"/>
                <w:szCs w:val="21"/>
                <w:highlight w:val="none"/>
              </w:rPr>
            </w:pPr>
            <w:r>
              <w:rPr>
                <w:rFonts w:ascii="Verdana" w:hAnsi="Verdana" w:cs="宋体"/>
                <w:color w:val="000000"/>
                <w:kern w:val="0"/>
                <w:szCs w:val="21"/>
                <w:highlight w:val="none"/>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Verdana" w:hAnsi="Verdana" w:cs="宋体"/>
                <w:color w:val="000000"/>
                <w:kern w:val="0"/>
                <w:szCs w:val="21"/>
                <w:highlight w:val="none"/>
              </w:rPr>
            </w:pPr>
            <w:r>
              <w:rPr>
                <w:rFonts w:ascii="Verdana" w:hAnsi="Verdana" w:cs="宋体"/>
                <w:color w:val="000000"/>
                <w:kern w:val="0"/>
                <w:szCs w:val="21"/>
                <w:highlight w:val="none"/>
              </w:rPr>
              <w:t>合 计</w:t>
            </w: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ascii="Verdana" w:hAnsi="Verdana" w:cs="宋体"/>
                <w:color w:val="000000"/>
                <w:kern w:val="0"/>
                <w:szCs w:val="21"/>
                <w:highlight w:val="none"/>
              </w:rPr>
            </w:pPr>
            <w:r>
              <w:rPr>
                <w:rFonts w:ascii="Verdana" w:hAnsi="Verdana" w:cs="宋体"/>
                <w:color w:val="000000"/>
                <w:kern w:val="0"/>
                <w:szCs w:val="21"/>
                <w:highlight w:val="none"/>
              </w:rPr>
              <w:t xml:space="preserve">合计大写金额： </w:t>
            </w:r>
            <w:r>
              <w:rPr>
                <w:rFonts w:hint="eastAsia" w:ascii="Verdana" w:hAnsi="Verdana" w:cs="宋体"/>
                <w:color w:val="000000"/>
                <w:kern w:val="0"/>
                <w:szCs w:val="21"/>
                <w:highlight w:val="none"/>
              </w:rPr>
              <w:t xml:space="preserve">亿 </w:t>
            </w:r>
            <w:r>
              <w:rPr>
                <w:rFonts w:ascii="Verdana" w:hAnsi="Verdana" w:cs="宋体"/>
                <w:color w:val="000000"/>
                <w:kern w:val="0"/>
                <w:szCs w:val="21"/>
                <w:highlight w:val="none"/>
              </w:rPr>
              <w:t>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000000"/>
                <w:kern w:val="0"/>
                <w:szCs w:val="21"/>
                <w:highlight w:val="none"/>
              </w:rPr>
            </w:pPr>
            <w:r>
              <w:rPr>
                <w:rFonts w:ascii="Verdana" w:hAnsi="Verdana" w:cs="宋体"/>
                <w:color w:val="000000"/>
                <w:kern w:val="0"/>
                <w:szCs w:val="21"/>
                <w:highlight w:val="none"/>
              </w:rPr>
              <w:t>实际供货日期</w:t>
            </w: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c>
          <w:tcPr>
            <w:tcW w:w="228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6"/>
              <w:jc w:val="center"/>
              <w:rPr>
                <w:rFonts w:ascii="Verdana" w:hAnsi="Verdana" w:cs="宋体"/>
                <w:color w:val="000000"/>
                <w:kern w:val="0"/>
                <w:szCs w:val="21"/>
                <w:highlight w:val="none"/>
              </w:rPr>
            </w:pPr>
            <w:r>
              <w:rPr>
                <w:rFonts w:ascii="Verdana" w:hAnsi="Verdana" w:cs="宋体"/>
                <w:color w:val="000000"/>
                <w:kern w:val="0"/>
                <w:szCs w:val="21"/>
                <w:highlight w:val="none"/>
              </w:rPr>
              <w:t>合同交货验收日期</w:t>
            </w:r>
          </w:p>
        </w:tc>
        <w:tc>
          <w:tcPr>
            <w:tcW w:w="303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c>
          <w:tcPr>
            <w:tcW w:w="228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c>
          <w:tcPr>
            <w:tcW w:w="303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highlight w:val="none"/>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color w:val="000000"/>
                <w:kern w:val="0"/>
                <w:szCs w:val="21"/>
                <w:highlight w:val="none"/>
              </w:rPr>
            </w:pPr>
            <w:r>
              <w:rPr>
                <w:rFonts w:ascii="Verdana" w:hAnsi="Verdana" w:cs="宋体"/>
                <w:color w:val="000000"/>
                <w:kern w:val="0"/>
                <w:szCs w:val="21"/>
                <w:highlight w:val="none"/>
              </w:rPr>
              <w:t>验收具体内容</w:t>
            </w:r>
          </w:p>
        </w:tc>
        <w:tc>
          <w:tcPr>
            <w:tcW w:w="804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color w:val="000000"/>
                <w:kern w:val="0"/>
                <w:szCs w:val="21"/>
                <w:highlight w:val="none"/>
              </w:rPr>
            </w:pPr>
            <w:r>
              <w:rPr>
                <w:rFonts w:ascii="Verdana" w:hAnsi="Verdana" w:cs="宋体"/>
                <w:color w:val="000000"/>
                <w:kern w:val="0"/>
                <w:szCs w:val="21"/>
                <w:highlight w:val="none"/>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000000"/>
                <w:kern w:val="0"/>
                <w:szCs w:val="21"/>
                <w:highlight w:val="none"/>
              </w:rPr>
            </w:pPr>
            <w:r>
              <w:rPr>
                <w:rFonts w:ascii="Verdana" w:hAnsi="Verdana" w:cs="宋体"/>
                <w:color w:val="000000"/>
                <w:kern w:val="0"/>
                <w:szCs w:val="21"/>
                <w:highlight w:val="none"/>
              </w:rPr>
              <w:t>验收小组意见</w:t>
            </w:r>
          </w:p>
        </w:tc>
        <w:tc>
          <w:tcPr>
            <w:tcW w:w="8040"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Verdana" w:hAnsi="Verdana" w:cs="宋体"/>
                <w:color w:val="000000"/>
                <w:kern w:val="0"/>
                <w:szCs w:val="21"/>
                <w:highlight w:val="none"/>
              </w:rPr>
            </w:pPr>
            <w:r>
              <w:rPr>
                <w:rFonts w:ascii="Verdana" w:hAnsi="Verdana" w:cs="宋体"/>
                <w:color w:val="000000"/>
                <w:kern w:val="0"/>
                <w:szCs w:val="21"/>
                <w:highlight w:val="none"/>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widowControl/>
              <w:jc w:val="left"/>
              <w:rPr>
                <w:rFonts w:ascii="Verdana" w:hAnsi="Verdana" w:cs="宋体"/>
                <w:color w:val="000000"/>
                <w:kern w:val="0"/>
                <w:szCs w:val="21"/>
                <w:highlight w:val="none"/>
              </w:rPr>
            </w:pPr>
          </w:p>
        </w:tc>
        <w:tc>
          <w:tcPr>
            <w:tcW w:w="8040"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96"/>
              <w:jc w:val="left"/>
              <w:rPr>
                <w:rFonts w:ascii="Verdana" w:hAnsi="Verdana" w:cs="宋体"/>
                <w:color w:val="000000"/>
                <w:kern w:val="0"/>
                <w:szCs w:val="21"/>
                <w:highlight w:val="none"/>
              </w:rPr>
            </w:pPr>
            <w:r>
              <w:rPr>
                <w:rFonts w:ascii="Verdana" w:hAnsi="Verdana" w:cs="宋体"/>
                <w:color w:val="000000"/>
                <w:kern w:val="0"/>
                <w:szCs w:val="21"/>
                <w:highlight w:val="none"/>
              </w:rPr>
              <w:t>有异议的意见和说明理由：</w:t>
            </w:r>
          </w:p>
          <w:p>
            <w:pPr>
              <w:widowControl/>
              <w:spacing w:before="100" w:beforeAutospacing="1" w:after="100" w:afterAutospacing="1" w:line="320" w:lineRule="atLeast"/>
              <w:jc w:val="left"/>
              <w:rPr>
                <w:rFonts w:ascii="Verdana" w:hAnsi="Verdana" w:cs="宋体"/>
                <w:color w:val="000000"/>
                <w:kern w:val="0"/>
                <w:szCs w:val="21"/>
                <w:highlight w:val="none"/>
              </w:rPr>
            </w:pPr>
            <w:r>
              <w:rPr>
                <w:rFonts w:ascii="Verdana" w:hAnsi="Verdana" w:cs="宋体"/>
                <w:color w:val="000000"/>
                <w:kern w:val="0"/>
                <w:szCs w:val="21"/>
                <w:highlight w:val="none"/>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000000"/>
                <w:kern w:val="0"/>
                <w:szCs w:val="21"/>
                <w:highlight w:val="none"/>
              </w:rPr>
            </w:pPr>
            <w:r>
              <w:rPr>
                <w:rFonts w:ascii="Verdana" w:hAnsi="Verdana" w:cs="宋体"/>
                <w:color w:val="000000"/>
                <w:kern w:val="0"/>
                <w:szCs w:val="21"/>
                <w:highlight w:val="none"/>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000000"/>
                <w:kern w:val="0"/>
                <w:szCs w:val="21"/>
                <w:highlight w:val="none"/>
              </w:rPr>
            </w:pPr>
            <w:r>
              <w:rPr>
                <w:rFonts w:ascii="Verdana" w:hAnsi="Verdana" w:cs="宋体"/>
                <w:color w:val="000000"/>
                <w:kern w:val="0"/>
                <w:szCs w:val="21"/>
                <w:highlight w:val="none"/>
              </w:rPr>
              <w:t>监督人员或其他相关人员签字：</w:t>
            </w:r>
          </w:p>
          <w:p>
            <w:pPr>
              <w:widowControl/>
              <w:spacing w:before="100" w:beforeAutospacing="1" w:after="100" w:afterAutospacing="1" w:line="320" w:lineRule="atLeast"/>
              <w:ind w:firstLine="74"/>
              <w:jc w:val="left"/>
              <w:rPr>
                <w:rFonts w:ascii="Verdana" w:hAnsi="Verdana" w:cs="宋体"/>
                <w:color w:val="000000"/>
                <w:kern w:val="0"/>
                <w:szCs w:val="21"/>
                <w:highlight w:val="none"/>
              </w:rPr>
            </w:pPr>
            <w:r>
              <w:rPr>
                <w:rFonts w:ascii="Verdana" w:hAnsi="Verdana" w:cs="宋体"/>
                <w:color w:val="000000"/>
                <w:kern w:val="0"/>
                <w:szCs w:val="21"/>
                <w:highlight w:val="none"/>
              </w:rPr>
              <w:t>或受邀机构的意见（盖章）：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20" w:lineRule="atLeast"/>
              <w:ind w:firstLine="74"/>
              <w:jc w:val="left"/>
              <w:rPr>
                <w:rFonts w:ascii="Verdana" w:hAnsi="Verdana" w:cs="宋体"/>
                <w:color w:val="000000"/>
                <w:kern w:val="0"/>
                <w:szCs w:val="21"/>
                <w:highlight w:val="none"/>
              </w:rPr>
            </w:pPr>
            <w:r>
              <w:rPr>
                <w:rFonts w:ascii="Verdana" w:hAnsi="Verdana" w:cs="宋体"/>
                <w:color w:val="000000"/>
                <w:kern w:val="0"/>
                <w:szCs w:val="21"/>
                <w:highlight w:val="none"/>
              </w:rPr>
              <w:t>中标或者成交供应商负责人签字或盖章：</w:t>
            </w:r>
          </w:p>
          <w:p>
            <w:pPr>
              <w:widowControl/>
              <w:spacing w:before="100" w:beforeAutospacing="1" w:after="100" w:afterAutospacing="1" w:line="320" w:lineRule="atLeast"/>
              <w:jc w:val="left"/>
              <w:rPr>
                <w:rFonts w:ascii="Verdana" w:hAnsi="Verdana" w:cs="宋体"/>
                <w:color w:val="000000"/>
                <w:kern w:val="0"/>
                <w:szCs w:val="21"/>
                <w:highlight w:val="none"/>
              </w:rPr>
            </w:pPr>
            <w:r>
              <w:rPr>
                <w:rFonts w:ascii="Verdana" w:hAnsi="Verdana" w:cs="宋体"/>
                <w:color w:val="000000"/>
                <w:kern w:val="0"/>
                <w:szCs w:val="21"/>
                <w:highlight w:val="none"/>
              </w:rPr>
              <w:t>联系电话： 年 月 日</w:t>
            </w:r>
          </w:p>
        </w:tc>
        <w:tc>
          <w:tcPr>
            <w:tcW w:w="5219"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Verdana" w:hAnsi="Verdana" w:cs="宋体"/>
                <w:color w:val="000000"/>
                <w:kern w:val="0"/>
                <w:szCs w:val="21"/>
                <w:highlight w:val="none"/>
              </w:rPr>
            </w:pPr>
            <w:r>
              <w:rPr>
                <w:rFonts w:ascii="Verdana" w:hAnsi="Verdana" w:cs="宋体"/>
                <w:color w:val="000000"/>
                <w:kern w:val="0"/>
                <w:szCs w:val="21"/>
                <w:highlight w:val="none"/>
              </w:rPr>
              <w:t>采购人或受托机构的意见（盖章）：</w:t>
            </w:r>
          </w:p>
          <w:p>
            <w:pPr>
              <w:widowControl/>
              <w:spacing w:before="100" w:beforeAutospacing="1" w:after="100" w:afterAutospacing="1" w:line="320" w:lineRule="atLeast"/>
              <w:jc w:val="left"/>
              <w:rPr>
                <w:rFonts w:ascii="Verdana" w:hAnsi="Verdana" w:cs="宋体"/>
                <w:color w:val="000000"/>
                <w:kern w:val="0"/>
                <w:szCs w:val="21"/>
                <w:highlight w:val="none"/>
              </w:rPr>
            </w:pPr>
            <w:r>
              <w:rPr>
                <w:rFonts w:ascii="Verdana" w:hAnsi="Verdana" w:cs="宋体"/>
                <w:color w:val="000000"/>
                <w:kern w:val="0"/>
                <w:szCs w:val="21"/>
                <w:highlight w:val="none"/>
              </w:rPr>
              <w:t>联系电话： 年 月 日</w:t>
            </w:r>
          </w:p>
        </w:tc>
      </w:tr>
    </w:tbl>
    <w:p>
      <w:pPr>
        <w:jc w:val="left"/>
        <w:rPr>
          <w:rFonts w:hAnsi="宋体"/>
          <w:color w:val="000000"/>
          <w:highlight w:val="none"/>
        </w:rPr>
      </w:pPr>
      <w:r>
        <w:rPr>
          <w:rFonts w:hAnsi="宋体"/>
          <w:color w:val="000000"/>
          <w:highlight w:val="none"/>
        </w:rPr>
        <w:br w:type="page"/>
      </w:r>
      <w:r>
        <w:rPr>
          <w:rFonts w:hint="eastAsia" w:hAnsi="宋体"/>
          <w:color w:val="000000"/>
          <w:highlight w:val="none"/>
        </w:rPr>
        <w:t>附件1：</w:t>
      </w:r>
    </w:p>
    <w:p>
      <w:pPr>
        <w:jc w:val="center"/>
        <w:rPr>
          <w:rFonts w:ascii="黑体" w:hAnsi="黑体" w:eastAsia="黑体"/>
          <w:color w:val="000000"/>
          <w:sz w:val="32"/>
          <w:szCs w:val="32"/>
          <w:highlight w:val="none"/>
        </w:rPr>
      </w:pPr>
      <w:r>
        <w:rPr>
          <w:rFonts w:hint="eastAsia" w:ascii="黑体" w:hAnsi="黑体" w:eastAsia="黑体"/>
          <w:color w:val="000000"/>
          <w:sz w:val="32"/>
          <w:szCs w:val="32"/>
          <w:highlight w:val="none"/>
        </w:rPr>
        <w:t>政府采购项目履约保证金退付意见书（参考）</w:t>
      </w:r>
    </w:p>
    <w:p>
      <w:pPr>
        <w:jc w:val="center"/>
        <w:rPr>
          <w:rFonts w:ascii="黑体" w:hAnsi="黑体" w:eastAsia="黑体"/>
          <w:color w:val="000000"/>
          <w:sz w:val="36"/>
          <w:szCs w:val="36"/>
          <w:highlight w:val="none"/>
        </w:rPr>
      </w:pPr>
    </w:p>
    <w:tbl>
      <w:tblPr>
        <w:tblStyle w:val="35"/>
        <w:tblW w:w="94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vMerge w:val="restart"/>
            <w:vAlign w:val="center"/>
          </w:tcPr>
          <w:p>
            <w:pPr>
              <w:jc w:val="center"/>
              <w:rPr>
                <w:color w:val="000000"/>
                <w:sz w:val="24"/>
                <w:highlight w:val="none"/>
              </w:rPr>
            </w:pPr>
            <w:r>
              <w:rPr>
                <w:rFonts w:hint="eastAsia"/>
                <w:color w:val="000000"/>
                <w:sz w:val="24"/>
                <w:highlight w:val="none"/>
              </w:rPr>
              <w:t>供</w:t>
            </w:r>
          </w:p>
          <w:p>
            <w:pPr>
              <w:jc w:val="center"/>
              <w:rPr>
                <w:color w:val="000000"/>
                <w:sz w:val="24"/>
                <w:highlight w:val="none"/>
              </w:rPr>
            </w:pPr>
            <w:r>
              <w:rPr>
                <w:rFonts w:hint="eastAsia"/>
                <w:color w:val="000000"/>
                <w:sz w:val="24"/>
                <w:highlight w:val="none"/>
              </w:rPr>
              <w:t>应</w:t>
            </w:r>
          </w:p>
          <w:p>
            <w:pPr>
              <w:jc w:val="center"/>
              <w:rPr>
                <w:color w:val="000000"/>
                <w:sz w:val="24"/>
                <w:highlight w:val="none"/>
              </w:rPr>
            </w:pPr>
            <w:r>
              <w:rPr>
                <w:rFonts w:hint="eastAsia"/>
                <w:color w:val="000000"/>
                <w:sz w:val="24"/>
                <w:highlight w:val="none"/>
              </w:rPr>
              <w:t>商</w:t>
            </w:r>
          </w:p>
          <w:p>
            <w:pPr>
              <w:jc w:val="center"/>
              <w:rPr>
                <w:color w:val="000000"/>
                <w:sz w:val="24"/>
                <w:highlight w:val="none"/>
              </w:rPr>
            </w:pPr>
            <w:r>
              <w:rPr>
                <w:rFonts w:hint="eastAsia"/>
                <w:color w:val="000000"/>
                <w:sz w:val="24"/>
                <w:highlight w:val="none"/>
              </w:rPr>
              <w:t>申</w:t>
            </w:r>
          </w:p>
          <w:p>
            <w:pPr>
              <w:jc w:val="center"/>
              <w:rPr>
                <w:color w:val="000000"/>
                <w:sz w:val="24"/>
                <w:highlight w:val="none"/>
              </w:rPr>
            </w:pPr>
            <w:r>
              <w:rPr>
                <w:rFonts w:hint="eastAsia"/>
                <w:color w:val="000000"/>
                <w:sz w:val="24"/>
                <w:highlight w:val="none"/>
              </w:rPr>
              <w:t>请</w:t>
            </w:r>
          </w:p>
        </w:tc>
        <w:tc>
          <w:tcPr>
            <w:tcW w:w="8456" w:type="dxa"/>
            <w:vAlign w:val="center"/>
          </w:tcPr>
          <w:p>
            <w:pPr>
              <w:rPr>
                <w:color w:val="000000"/>
                <w:sz w:val="24"/>
                <w:highlight w:val="none"/>
              </w:rPr>
            </w:pPr>
            <w:r>
              <w:rPr>
                <w:rFonts w:hint="eastAsia"/>
                <w:color w:val="000000"/>
                <w:sz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vAlign w:val="center"/>
          </w:tcPr>
          <w:p>
            <w:pPr>
              <w:rPr>
                <w:color w:val="000000"/>
                <w:sz w:val="24"/>
                <w:highlight w:val="none"/>
              </w:rPr>
            </w:pPr>
          </w:p>
        </w:tc>
        <w:tc>
          <w:tcPr>
            <w:tcW w:w="8456" w:type="dxa"/>
            <w:vAlign w:val="center"/>
          </w:tcPr>
          <w:p>
            <w:pPr>
              <w:rPr>
                <w:color w:val="000000"/>
                <w:sz w:val="24"/>
                <w:highlight w:val="none"/>
              </w:rPr>
            </w:pPr>
            <w:r>
              <w:rPr>
                <w:rFonts w:hint="eastAsia"/>
                <w:color w:val="000000"/>
                <w:sz w:val="24"/>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rPr>
                <w:color w:val="000000"/>
                <w:sz w:val="24"/>
                <w:highlight w:val="none"/>
              </w:rPr>
            </w:pPr>
          </w:p>
        </w:tc>
        <w:tc>
          <w:tcPr>
            <w:tcW w:w="8456" w:type="dxa"/>
          </w:tcPr>
          <w:p>
            <w:pPr>
              <w:rPr>
                <w:color w:val="000000"/>
                <w:sz w:val="24"/>
                <w:highlight w:val="none"/>
              </w:rPr>
            </w:pPr>
            <w:r>
              <w:rPr>
                <w:rFonts w:hint="eastAsia"/>
                <w:color w:val="000000"/>
                <w:sz w:val="24"/>
                <w:highlight w:val="none"/>
              </w:rPr>
              <w:t xml:space="preserve">  </w:t>
            </w:r>
          </w:p>
          <w:p>
            <w:pPr>
              <w:spacing w:line="400" w:lineRule="exact"/>
              <w:ind w:firstLine="480" w:firstLineChars="200"/>
              <w:rPr>
                <w:color w:val="000000"/>
                <w:sz w:val="24"/>
                <w:highlight w:val="none"/>
              </w:rPr>
            </w:pPr>
            <w:r>
              <w:rPr>
                <w:rFonts w:hint="eastAsia"/>
                <w:color w:val="000000"/>
                <w:sz w:val="24"/>
                <w:highlight w:val="none"/>
              </w:rPr>
              <w:t>该项目已于</w:t>
            </w:r>
            <w:r>
              <w:rPr>
                <w:rFonts w:hint="eastAsia"/>
                <w:color w:val="000000"/>
                <w:sz w:val="24"/>
                <w:highlight w:val="none"/>
                <w:u w:val="single"/>
              </w:rPr>
              <w:t xml:space="preserve">       </w:t>
            </w:r>
            <w:r>
              <w:rPr>
                <w:rFonts w:hint="eastAsia"/>
                <w:color w:val="000000"/>
                <w:sz w:val="24"/>
                <w:highlight w:val="none"/>
              </w:rPr>
              <w:t>年</w:t>
            </w:r>
            <w:r>
              <w:rPr>
                <w:rFonts w:hint="eastAsia"/>
                <w:color w:val="000000"/>
                <w:sz w:val="24"/>
                <w:highlight w:val="none"/>
                <w:u w:val="single"/>
              </w:rPr>
              <w:t xml:space="preserve">     </w:t>
            </w:r>
            <w:r>
              <w:rPr>
                <w:rFonts w:hint="eastAsia"/>
                <w:color w:val="000000"/>
                <w:sz w:val="24"/>
                <w:highlight w:val="none"/>
              </w:rPr>
              <w:t>月</w:t>
            </w:r>
            <w:r>
              <w:rPr>
                <w:rFonts w:hint="eastAsia"/>
                <w:color w:val="000000"/>
                <w:sz w:val="24"/>
                <w:highlight w:val="none"/>
                <w:u w:val="single"/>
              </w:rPr>
              <w:t xml:space="preserve">     </w:t>
            </w:r>
            <w:r>
              <w:rPr>
                <w:rFonts w:hint="eastAsia"/>
                <w:color w:val="000000"/>
                <w:sz w:val="24"/>
                <w:highlight w:val="none"/>
              </w:rPr>
              <w:t>日验收并交付使用。根据合同规定，该项目的履约保证金期限于</w:t>
            </w:r>
            <w:r>
              <w:rPr>
                <w:rFonts w:hint="eastAsia"/>
                <w:color w:val="000000"/>
                <w:sz w:val="24"/>
                <w:highlight w:val="none"/>
                <w:u w:val="single"/>
              </w:rPr>
              <w:t xml:space="preserve">         </w:t>
            </w:r>
            <w:r>
              <w:rPr>
                <w:rFonts w:hint="eastAsia"/>
                <w:color w:val="000000"/>
                <w:sz w:val="24"/>
                <w:highlight w:val="none"/>
              </w:rPr>
              <w:t>年</w:t>
            </w:r>
            <w:r>
              <w:rPr>
                <w:rFonts w:hint="eastAsia"/>
                <w:color w:val="000000"/>
                <w:sz w:val="24"/>
                <w:highlight w:val="none"/>
                <w:u w:val="single"/>
              </w:rPr>
              <w:t xml:space="preserve">      </w:t>
            </w:r>
            <w:r>
              <w:rPr>
                <w:rFonts w:hint="eastAsia"/>
                <w:color w:val="000000"/>
                <w:sz w:val="24"/>
                <w:highlight w:val="none"/>
              </w:rPr>
              <w:t>月</w:t>
            </w:r>
            <w:r>
              <w:rPr>
                <w:rFonts w:hint="eastAsia"/>
                <w:color w:val="000000"/>
                <w:sz w:val="24"/>
                <w:highlight w:val="none"/>
                <w:u w:val="single"/>
              </w:rPr>
              <w:t xml:space="preserve">       </w:t>
            </w:r>
            <w:r>
              <w:rPr>
                <w:rFonts w:hint="eastAsia"/>
                <w:color w:val="000000"/>
                <w:sz w:val="24"/>
                <w:highlight w:val="none"/>
              </w:rPr>
              <w:t>日已满，请将履约保证金</w:t>
            </w:r>
          </w:p>
          <w:p>
            <w:pPr>
              <w:spacing w:line="400" w:lineRule="exact"/>
              <w:rPr>
                <w:color w:val="000000"/>
                <w:sz w:val="24"/>
                <w:highlight w:val="none"/>
              </w:rPr>
            </w:pPr>
            <w:r>
              <w:rPr>
                <w:rFonts w:hint="eastAsia"/>
                <w:color w:val="000000"/>
                <w:sz w:val="24"/>
                <w:highlight w:val="none"/>
                <w:u w:val="single"/>
              </w:rPr>
              <w:t xml:space="preserve">                                        </w:t>
            </w:r>
            <w:r>
              <w:rPr>
                <w:rFonts w:hint="eastAsia"/>
                <w:color w:val="000000"/>
                <w:sz w:val="24"/>
                <w:highlight w:val="none"/>
              </w:rPr>
              <w:t>（大写）￥</w:t>
            </w:r>
            <w:r>
              <w:rPr>
                <w:rFonts w:hint="eastAsia"/>
                <w:color w:val="000000"/>
                <w:sz w:val="24"/>
                <w:highlight w:val="none"/>
                <w:u w:val="single"/>
              </w:rPr>
              <w:t xml:space="preserve">          </w:t>
            </w:r>
            <w:r>
              <w:rPr>
                <w:rFonts w:hint="eastAsia"/>
                <w:color w:val="000000"/>
                <w:sz w:val="24"/>
                <w:highlight w:val="none"/>
              </w:rPr>
              <w:t>（小写）退付到达以下帐户。</w:t>
            </w:r>
          </w:p>
          <w:p>
            <w:pPr>
              <w:spacing w:line="400" w:lineRule="exact"/>
              <w:ind w:firstLine="705"/>
              <w:rPr>
                <w:color w:val="000000"/>
                <w:sz w:val="24"/>
                <w:highlight w:val="none"/>
              </w:rPr>
            </w:pPr>
            <w:r>
              <w:rPr>
                <w:rFonts w:hint="eastAsia"/>
                <w:color w:val="000000"/>
                <w:sz w:val="24"/>
                <w:highlight w:val="none"/>
              </w:rPr>
              <w:t>单位名称：</w:t>
            </w:r>
          </w:p>
          <w:p>
            <w:pPr>
              <w:spacing w:line="400" w:lineRule="exact"/>
              <w:ind w:firstLine="705"/>
              <w:rPr>
                <w:color w:val="000000"/>
                <w:sz w:val="24"/>
                <w:highlight w:val="none"/>
              </w:rPr>
            </w:pPr>
            <w:r>
              <w:rPr>
                <w:rFonts w:hint="eastAsia"/>
                <w:color w:val="000000"/>
                <w:sz w:val="24"/>
                <w:highlight w:val="none"/>
              </w:rPr>
              <w:t>开户银行：</w:t>
            </w:r>
          </w:p>
          <w:p>
            <w:pPr>
              <w:spacing w:line="400" w:lineRule="exact"/>
              <w:ind w:firstLine="705"/>
              <w:rPr>
                <w:color w:val="000000"/>
                <w:sz w:val="24"/>
                <w:highlight w:val="none"/>
              </w:rPr>
            </w:pPr>
            <w:r>
              <w:rPr>
                <w:rFonts w:hint="eastAsia"/>
                <w:color w:val="000000"/>
                <w:sz w:val="24"/>
                <w:highlight w:val="none"/>
              </w:rPr>
              <w:t>帐   号：</w:t>
            </w:r>
          </w:p>
          <w:p>
            <w:pPr>
              <w:spacing w:line="400" w:lineRule="exact"/>
              <w:rPr>
                <w:color w:val="000000"/>
                <w:sz w:val="24"/>
                <w:highlight w:val="none"/>
              </w:rPr>
            </w:pPr>
            <w:r>
              <w:rPr>
                <w:rFonts w:hint="eastAsia"/>
                <w:color w:val="000000"/>
                <w:sz w:val="24"/>
                <w:highlight w:val="none"/>
              </w:rPr>
              <w:t>联系人及电话：</w:t>
            </w:r>
          </w:p>
          <w:p>
            <w:pPr>
              <w:spacing w:line="400" w:lineRule="exact"/>
              <w:rPr>
                <w:color w:val="000000"/>
                <w:sz w:val="24"/>
                <w:highlight w:val="none"/>
              </w:rPr>
            </w:pPr>
          </w:p>
          <w:p>
            <w:pPr>
              <w:spacing w:line="520" w:lineRule="exact"/>
              <w:jc w:val="center"/>
              <w:rPr>
                <w:color w:val="000000"/>
                <w:sz w:val="24"/>
                <w:highlight w:val="none"/>
              </w:rPr>
            </w:pPr>
            <w:r>
              <w:rPr>
                <w:rFonts w:hint="eastAsia"/>
                <w:color w:val="000000"/>
                <w:sz w:val="24"/>
                <w:highlight w:val="none"/>
              </w:rPr>
              <w:t xml:space="preserve">         供应商签章：</w:t>
            </w:r>
          </w:p>
          <w:p>
            <w:pPr>
              <w:spacing w:line="520" w:lineRule="exact"/>
              <w:jc w:val="center"/>
              <w:rPr>
                <w:color w:val="000000"/>
                <w:sz w:val="24"/>
                <w:highlight w:val="none"/>
              </w:rPr>
            </w:pPr>
            <w:r>
              <w:rPr>
                <w:rFonts w:hint="eastAsia"/>
                <w:color w:val="000000"/>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1008" w:type="dxa"/>
            <w:vAlign w:val="center"/>
          </w:tcPr>
          <w:p>
            <w:pPr>
              <w:jc w:val="center"/>
              <w:rPr>
                <w:color w:val="000000"/>
                <w:sz w:val="24"/>
                <w:highlight w:val="none"/>
              </w:rPr>
            </w:pPr>
            <w:r>
              <w:rPr>
                <w:rFonts w:hint="eastAsia"/>
                <w:color w:val="000000"/>
                <w:sz w:val="24"/>
                <w:highlight w:val="none"/>
              </w:rPr>
              <w:t>采</w:t>
            </w:r>
          </w:p>
          <w:p>
            <w:pPr>
              <w:jc w:val="center"/>
              <w:rPr>
                <w:color w:val="000000"/>
                <w:sz w:val="24"/>
                <w:highlight w:val="none"/>
              </w:rPr>
            </w:pPr>
            <w:r>
              <w:rPr>
                <w:rFonts w:hint="eastAsia"/>
                <w:color w:val="000000"/>
                <w:sz w:val="24"/>
                <w:highlight w:val="none"/>
              </w:rPr>
              <w:t>购</w:t>
            </w:r>
          </w:p>
          <w:p>
            <w:pPr>
              <w:jc w:val="center"/>
              <w:rPr>
                <w:color w:val="000000"/>
                <w:sz w:val="24"/>
                <w:highlight w:val="none"/>
              </w:rPr>
            </w:pPr>
            <w:r>
              <w:rPr>
                <w:rFonts w:hint="eastAsia"/>
                <w:color w:val="000000"/>
                <w:sz w:val="24"/>
                <w:highlight w:val="none"/>
              </w:rPr>
              <w:t>人</w:t>
            </w:r>
          </w:p>
          <w:p>
            <w:pPr>
              <w:jc w:val="center"/>
              <w:rPr>
                <w:color w:val="000000"/>
                <w:sz w:val="24"/>
                <w:highlight w:val="none"/>
              </w:rPr>
            </w:pPr>
            <w:r>
              <w:rPr>
                <w:rFonts w:hint="eastAsia"/>
                <w:color w:val="000000"/>
                <w:sz w:val="24"/>
                <w:highlight w:val="none"/>
              </w:rPr>
              <w:t>意</w:t>
            </w:r>
          </w:p>
          <w:p>
            <w:pPr>
              <w:jc w:val="center"/>
              <w:rPr>
                <w:color w:val="000000"/>
                <w:sz w:val="24"/>
                <w:highlight w:val="none"/>
              </w:rPr>
            </w:pPr>
            <w:r>
              <w:rPr>
                <w:rFonts w:hint="eastAsia"/>
                <w:color w:val="000000"/>
                <w:sz w:val="24"/>
                <w:highlight w:val="none"/>
              </w:rPr>
              <w:t>见</w:t>
            </w:r>
          </w:p>
        </w:tc>
        <w:tc>
          <w:tcPr>
            <w:tcW w:w="8456" w:type="dxa"/>
          </w:tcPr>
          <w:p>
            <w:pPr>
              <w:rPr>
                <w:color w:val="000000"/>
                <w:sz w:val="24"/>
                <w:highlight w:val="none"/>
              </w:rPr>
            </w:pPr>
          </w:p>
          <w:p>
            <w:pPr>
              <w:rPr>
                <w:color w:val="000000"/>
                <w:sz w:val="24"/>
                <w:highlight w:val="none"/>
              </w:rPr>
            </w:pPr>
            <w:r>
              <w:rPr>
                <w:rFonts w:hint="eastAsia"/>
                <w:color w:val="000000"/>
                <w:sz w:val="24"/>
                <w:highlight w:val="none"/>
              </w:rPr>
              <w:t>退付意见：（是否同意退付履约保证金及退付金额）</w:t>
            </w:r>
          </w:p>
          <w:p>
            <w:pPr>
              <w:rPr>
                <w:color w:val="000000"/>
                <w:sz w:val="24"/>
                <w:highlight w:val="none"/>
              </w:rPr>
            </w:pPr>
          </w:p>
          <w:p>
            <w:pPr>
              <w:rPr>
                <w:color w:val="000000"/>
                <w:sz w:val="24"/>
                <w:highlight w:val="none"/>
              </w:rPr>
            </w:pPr>
          </w:p>
          <w:p>
            <w:pPr>
              <w:rPr>
                <w:color w:val="000000"/>
                <w:sz w:val="24"/>
                <w:highlight w:val="none"/>
              </w:rPr>
            </w:pPr>
          </w:p>
          <w:p>
            <w:pPr>
              <w:rPr>
                <w:color w:val="000000"/>
                <w:sz w:val="24"/>
                <w:highlight w:val="none"/>
              </w:rPr>
            </w:pPr>
          </w:p>
          <w:p>
            <w:pPr>
              <w:rPr>
                <w:color w:val="000000"/>
                <w:sz w:val="24"/>
                <w:highlight w:val="none"/>
              </w:rPr>
            </w:pPr>
          </w:p>
          <w:p>
            <w:pPr>
              <w:rPr>
                <w:color w:val="000000"/>
                <w:sz w:val="24"/>
                <w:highlight w:val="none"/>
              </w:rPr>
            </w:pPr>
          </w:p>
          <w:p>
            <w:pPr>
              <w:rPr>
                <w:color w:val="000000"/>
                <w:sz w:val="24"/>
                <w:highlight w:val="none"/>
              </w:rPr>
            </w:pPr>
          </w:p>
          <w:p>
            <w:pPr>
              <w:spacing w:line="520" w:lineRule="exact"/>
              <w:rPr>
                <w:color w:val="000000"/>
                <w:sz w:val="24"/>
                <w:highlight w:val="none"/>
              </w:rPr>
            </w:pPr>
            <w:r>
              <w:rPr>
                <w:rFonts w:hint="eastAsia"/>
                <w:color w:val="000000"/>
                <w:sz w:val="24"/>
                <w:highlight w:val="none"/>
              </w:rPr>
              <w:t>联系人及电话：                         采购人签章</w:t>
            </w:r>
          </w:p>
          <w:p>
            <w:pPr>
              <w:spacing w:line="520" w:lineRule="exact"/>
              <w:jc w:val="center"/>
              <w:rPr>
                <w:color w:val="000000"/>
                <w:sz w:val="24"/>
                <w:highlight w:val="none"/>
              </w:rPr>
            </w:pPr>
            <w:r>
              <w:rPr>
                <w:rFonts w:hint="eastAsia"/>
                <w:color w:val="000000"/>
                <w:sz w:val="24"/>
                <w:highlight w:val="none"/>
              </w:rPr>
              <w:t xml:space="preserve">                                        年    月     日</w:t>
            </w:r>
          </w:p>
          <w:p>
            <w:pPr>
              <w:spacing w:line="520" w:lineRule="exact"/>
              <w:jc w:val="center"/>
              <w:rPr>
                <w:color w:val="000000"/>
                <w:sz w:val="24"/>
                <w:highlight w:val="none"/>
              </w:rPr>
            </w:pPr>
          </w:p>
        </w:tc>
      </w:tr>
    </w:tbl>
    <w:p>
      <w:pPr>
        <w:pStyle w:val="18"/>
        <w:ind w:left="420" w:leftChars="114" w:hanging="181" w:hangingChars="100"/>
        <w:rPr>
          <w:rFonts w:ascii="宋体"/>
          <w:b/>
          <w:bCs/>
          <w:color w:val="000000"/>
          <w:sz w:val="18"/>
          <w:highlight w:val="none"/>
        </w:rPr>
      </w:pPr>
      <w:r>
        <w:rPr>
          <w:rFonts w:hint="eastAsia" w:ascii="宋体"/>
          <w:b/>
          <w:bCs/>
          <w:color w:val="000000"/>
          <w:sz w:val="18"/>
          <w:highlight w:val="none"/>
        </w:rPr>
        <w:t>注：供应商凭经采购人审批的退付意见书到保证金收取单位办理履约保证金退付事宜。</w:t>
      </w:r>
    </w:p>
    <w:p>
      <w:pPr>
        <w:pStyle w:val="22"/>
        <w:snapToGrid w:val="0"/>
        <w:spacing w:before="120" w:after="120" w:line="400" w:lineRule="exact"/>
        <w:rPr>
          <w:rFonts w:hAnsi="宋体"/>
          <w:highlight w:val="none"/>
        </w:rPr>
      </w:pPr>
    </w:p>
    <w:p>
      <w:pPr>
        <w:pStyle w:val="18"/>
        <w:rPr>
          <w:highlight w:val="none"/>
        </w:rPr>
      </w:pPr>
    </w:p>
    <w:p>
      <w:pPr>
        <w:rPr>
          <w:highlight w:val="none"/>
        </w:rPr>
      </w:pPr>
    </w:p>
    <w:sectPr>
      <w:footerReference r:id="rId8" w:type="first"/>
      <w:footerReference r:id="rId7" w:type="even"/>
      <w:type w:val="nextColumn"/>
      <w:pgSz w:w="11906" w:h="16838"/>
      <w:pgMar w:top="1304" w:right="1418" w:bottom="130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Adobe 仿宋 Std R">
    <w:altName w:val="微软雅黑"/>
    <w:panose1 w:val="00000000000000000000"/>
    <w:charset w:val="86"/>
    <w:family w:val="roman"/>
    <w:pitch w:val="default"/>
    <w:sig w:usb0="00000000" w:usb1="00000000" w:usb2="00000016" w:usb3="00000000" w:csb0="00060007"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39"/>
      </w:rPr>
    </w:pPr>
    <w:r>
      <w:fldChar w:fldCharType="begin"/>
    </w:r>
    <w:r>
      <w:rPr>
        <w:rStyle w:val="39"/>
      </w:rPr>
      <w:instrText xml:space="preserve">PAGE  </w:instrText>
    </w:r>
    <w:r>
      <w:fldChar w:fldCharType="separate"/>
    </w:r>
    <w:r>
      <w:rPr>
        <w:rStyle w:val="39"/>
      </w:rPr>
      <w:t>6</w:t>
    </w:r>
    <w: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39"/>
      </w:rPr>
    </w:pPr>
    <w:r>
      <w:fldChar w:fldCharType="begin"/>
    </w:r>
    <w:r>
      <w:rPr>
        <w:rStyle w:val="39"/>
      </w:rPr>
      <w:instrText xml:space="preserve">PAGE  </w:instrText>
    </w:r>
    <w: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39"/>
      </w:rPr>
    </w:pPr>
    <w:r>
      <w:fldChar w:fldCharType="begin"/>
    </w:r>
    <w:r>
      <w:rPr>
        <w:rStyle w:val="39"/>
      </w:rPr>
      <w:instrText xml:space="preserve">PAGE  </w:instrText>
    </w:r>
    <w:r>
      <w:fldChar w:fldCharType="separate"/>
    </w:r>
    <w:r>
      <w:rPr>
        <w:rStyle w:val="39"/>
      </w:rPr>
      <w:t>28</w:t>
    </w:r>
    <w:r>
      <w:fldChar w:fldCharType="end"/>
    </w:r>
  </w:p>
  <w:p>
    <w:pPr>
      <w:pStyle w:val="2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9"/>
      </w:rPr>
    </w:pPr>
    <w:r>
      <w:fldChar w:fldCharType="begin"/>
    </w:r>
    <w:r>
      <w:rPr>
        <w:rStyle w:val="39"/>
      </w:rPr>
      <w:instrText xml:space="preserve">PAGE  </w:instrText>
    </w:r>
    <w:r>
      <w:fldChar w:fldCharType="separate"/>
    </w:r>
    <w:r>
      <w:rPr>
        <w:rStyle w:val="39"/>
      </w:rPr>
      <w:t>28</w:t>
    </w:r>
    <w:r>
      <w:fldChar w:fldCharType="end"/>
    </w:r>
  </w:p>
  <w:p>
    <w:pPr>
      <w:pStyle w:val="26"/>
      <w:ind w:right="360"/>
      <w:jc w:val="both"/>
    </w:pPr>
    <w:r>
      <w:rPr>
        <w:rFonts w:hint="eastAsia"/>
      </w:rPr>
      <w:t>121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A2A2FA"/>
    <w:multiLevelType w:val="singleLevel"/>
    <w:tmpl w:val="F9A2A2FA"/>
    <w:lvl w:ilvl="0" w:tentative="0">
      <w:start w:val="7"/>
      <w:numFmt w:val="decimal"/>
      <w:suff w:val="nothing"/>
      <w:lvlText w:val="（%1）"/>
      <w:lvlJc w:val="left"/>
    </w:lvl>
  </w:abstractNum>
  <w:abstractNum w:abstractNumId="1">
    <w:nsid w:val="00000015"/>
    <w:multiLevelType w:val="multilevel"/>
    <w:tmpl w:val="00000015"/>
    <w:lvl w:ilvl="0" w:tentative="0">
      <w:start w:val="1"/>
      <w:numFmt w:val="decimal"/>
      <w:suff w:val="space"/>
      <w:lvlText w:val="第%1章"/>
      <w:lvlJc w:val="left"/>
      <w:pPr>
        <w:ind w:left="2977" w:firstLine="0"/>
      </w:pPr>
      <w:rPr>
        <w:rFonts w:hint="eastAsia" w:ascii="Times New Roman" w:hAnsi="Times New Roman" w:cs="Times New Roman"/>
        <w:b/>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decimal"/>
      <w:pStyle w:val="89"/>
      <w:suff w:val="space"/>
      <w:lvlText w:val="%1.%2"/>
      <w:lvlJc w:val="left"/>
      <w:pPr>
        <w:ind w:left="0" w:firstLine="0"/>
      </w:pPr>
      <w:rPr>
        <w:rFonts w:hint="eastAsia" w:ascii="黑体" w:eastAsia="黑体"/>
        <w:b w:val="0"/>
        <w:i w:val="0"/>
      </w:rPr>
    </w:lvl>
    <w:lvl w:ilvl="2" w:tentative="0">
      <w:start w:val="1"/>
      <w:numFmt w:val="decimal"/>
      <w:pStyle w:val="74"/>
      <w:suff w:val="space"/>
      <w:lvlText w:val="%1.%2.%3"/>
      <w:lvlJc w:val="left"/>
      <w:pPr>
        <w:ind w:left="284" w:firstLine="0"/>
      </w:pPr>
      <w:rPr>
        <w:rFonts w:hint="eastAsia" w:ascii="黑体" w:eastAsia="黑体"/>
        <w:b w:val="0"/>
        <w:i w:val="0"/>
      </w:rPr>
    </w:lvl>
    <w:lvl w:ilvl="3" w:tentative="0">
      <w:start w:val="1"/>
      <w:numFmt w:val="decimal"/>
      <w:suff w:val="space"/>
      <w:lvlText w:val="%1.%2.%3.%4"/>
      <w:lvlJc w:val="left"/>
      <w:pPr>
        <w:ind w:left="710" w:firstLine="0"/>
      </w:pPr>
      <w:rPr>
        <w:rFonts w:hint="eastAsia" w:ascii="黑体" w:eastAsia="黑体"/>
        <w:b w:val="0"/>
        <w:i w:val="0"/>
      </w:rPr>
    </w:lvl>
    <w:lvl w:ilvl="4" w:tentative="0">
      <w:start w:val="1"/>
      <w:numFmt w:val="decimal"/>
      <w:suff w:val="space"/>
      <w:lvlText w:val="%1.%2.%3.%4.%5"/>
      <w:lvlJc w:val="left"/>
      <w:pPr>
        <w:ind w:left="1134" w:firstLine="0"/>
      </w:pPr>
      <w:rPr>
        <w:rFonts w:hint="eastAsia" w:ascii="黑体" w:eastAsia="黑体"/>
        <w:b w:val="0"/>
        <w:i w:val="0"/>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1243515D"/>
    <w:multiLevelType w:val="multilevel"/>
    <w:tmpl w:val="1243515D"/>
    <w:lvl w:ilvl="0" w:tentative="0">
      <w:start w:val="1"/>
      <w:numFmt w:val="decimal"/>
      <w:pStyle w:val="20"/>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4">
    <w:nsid w:val="68153940"/>
    <w:multiLevelType w:val="multilevel"/>
    <w:tmpl w:val="68153940"/>
    <w:lvl w:ilvl="0" w:tentative="0">
      <w:start w:val="1"/>
      <w:numFmt w:val="decimal"/>
      <w:lvlText w:val="第%1章"/>
      <w:lvlJc w:val="left"/>
      <w:pPr>
        <w:ind w:left="432" w:hanging="432"/>
      </w:pPr>
      <w:rPr>
        <w:rFonts w:hint="eastAsia" w:eastAsia="Adobe 仿宋 Std R" w:cs="Times New Roman"/>
        <w:b/>
        <w:bCs w:val="0"/>
        <w:i w:val="0"/>
        <w:iCs w:val="0"/>
        <w:caps w:val="0"/>
        <w:smallCaps w:val="0"/>
        <w:strike w:val="0"/>
        <w:dstrike w:val="0"/>
        <w:spacing w:val="0"/>
        <w:position w:val="0"/>
        <w:u w:val="none"/>
        <w:lang w:val="en-US"/>
      </w:rPr>
    </w:lvl>
    <w:lvl w:ilvl="1" w:tentative="0">
      <w:start w:val="1"/>
      <w:numFmt w:val="decimal"/>
      <w:lvlText w:val="%1.%2"/>
      <w:lvlJc w:val="left"/>
      <w:pPr>
        <w:ind w:left="576" w:hanging="576"/>
      </w:pPr>
      <w:rPr>
        <w:rFonts w:hint="eastAsia" w:eastAsia="Adobe 仿宋 Std R"/>
        <w:lang w:val="en-US"/>
      </w:rPr>
    </w:lvl>
    <w:lvl w:ilvl="2" w:tentative="0">
      <w:start w:val="1"/>
      <w:numFmt w:val="decimal"/>
      <w:pStyle w:val="84"/>
      <w:lvlText w:val="%1.%2.%3"/>
      <w:lvlJc w:val="left"/>
      <w:pPr>
        <w:ind w:left="720" w:hanging="720"/>
      </w:pPr>
      <w:rPr>
        <w:rFonts w:hint="eastAsia" w:eastAsia="Adobe 仿宋 Std R"/>
      </w:rPr>
    </w:lvl>
    <w:lvl w:ilvl="3" w:tentative="0">
      <w:start w:val="1"/>
      <w:numFmt w:val="decimal"/>
      <w:pStyle w:val="93"/>
      <w:lvlText w:val="%1.%2.%3.%4"/>
      <w:lvlJc w:val="left"/>
      <w:pPr>
        <w:ind w:left="1006"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eastAsia="Adobe 仿宋 Std R"/>
      </w:rPr>
    </w:lvl>
    <w:lvl w:ilvl="6" w:tentative="0">
      <w:start w:val="1"/>
      <w:numFmt w:val="decimal"/>
      <w:lvlText w:val="%1.%2.%3.%4.%5.%6.%7"/>
      <w:lvlJc w:val="left"/>
      <w:pPr>
        <w:ind w:left="1296" w:hanging="1296"/>
      </w:pPr>
      <w:rPr>
        <w:rFonts w:hint="eastAsia"/>
        <w:lang w:val="en-US"/>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5">
    <w:nsid w:val="763060DB"/>
    <w:multiLevelType w:val="multilevel"/>
    <w:tmpl w:val="763060DB"/>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3"/>
  </w:num>
  <w:num w:numId="2">
    <w:abstractNumId w:val="2"/>
  </w:num>
  <w:num w:numId="3">
    <w:abstractNumId w:val="1"/>
  </w:num>
  <w:num w:numId="4">
    <w:abstractNumId w:val="4"/>
  </w:num>
  <w:num w:numId="5">
    <w:abstractNumId w:val="5"/>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ED"/>
    <w:rsid w:val="00002273"/>
    <w:rsid w:val="0000406F"/>
    <w:rsid w:val="00016A67"/>
    <w:rsid w:val="000240D8"/>
    <w:rsid w:val="00027452"/>
    <w:rsid w:val="00036BF3"/>
    <w:rsid w:val="000425EE"/>
    <w:rsid w:val="00051021"/>
    <w:rsid w:val="00063656"/>
    <w:rsid w:val="0007110D"/>
    <w:rsid w:val="00076CED"/>
    <w:rsid w:val="000A20A8"/>
    <w:rsid w:val="000C01F8"/>
    <w:rsid w:val="000D0C61"/>
    <w:rsid w:val="000E2259"/>
    <w:rsid w:val="000E68DE"/>
    <w:rsid w:val="000F4AF5"/>
    <w:rsid w:val="001051F5"/>
    <w:rsid w:val="001230E5"/>
    <w:rsid w:val="001237CC"/>
    <w:rsid w:val="00127381"/>
    <w:rsid w:val="00141A5D"/>
    <w:rsid w:val="00151F82"/>
    <w:rsid w:val="001563E5"/>
    <w:rsid w:val="00172267"/>
    <w:rsid w:val="00175CEE"/>
    <w:rsid w:val="001835A3"/>
    <w:rsid w:val="00184FFF"/>
    <w:rsid w:val="00186CA4"/>
    <w:rsid w:val="00191672"/>
    <w:rsid w:val="001922C2"/>
    <w:rsid w:val="001B4E8D"/>
    <w:rsid w:val="001C25ED"/>
    <w:rsid w:val="001D0D2D"/>
    <w:rsid w:val="001D558D"/>
    <w:rsid w:val="001E4E23"/>
    <w:rsid w:val="001F229B"/>
    <w:rsid w:val="00200C71"/>
    <w:rsid w:val="0020499B"/>
    <w:rsid w:val="0021323C"/>
    <w:rsid w:val="002167AB"/>
    <w:rsid w:val="002179C1"/>
    <w:rsid w:val="002370C7"/>
    <w:rsid w:val="002537A2"/>
    <w:rsid w:val="00265D46"/>
    <w:rsid w:val="00275AF3"/>
    <w:rsid w:val="00291B73"/>
    <w:rsid w:val="00294715"/>
    <w:rsid w:val="002A13A5"/>
    <w:rsid w:val="002A3596"/>
    <w:rsid w:val="002B2AEB"/>
    <w:rsid w:val="002B6991"/>
    <w:rsid w:val="002B7971"/>
    <w:rsid w:val="002C404A"/>
    <w:rsid w:val="002C6A32"/>
    <w:rsid w:val="002D3B4D"/>
    <w:rsid w:val="002E18DB"/>
    <w:rsid w:val="002E3055"/>
    <w:rsid w:val="002E418E"/>
    <w:rsid w:val="002F2323"/>
    <w:rsid w:val="003037BA"/>
    <w:rsid w:val="00312E80"/>
    <w:rsid w:val="003210AE"/>
    <w:rsid w:val="00323658"/>
    <w:rsid w:val="00325780"/>
    <w:rsid w:val="00333042"/>
    <w:rsid w:val="00333916"/>
    <w:rsid w:val="00336DC1"/>
    <w:rsid w:val="00352BD2"/>
    <w:rsid w:val="00361D60"/>
    <w:rsid w:val="003635DD"/>
    <w:rsid w:val="0038166A"/>
    <w:rsid w:val="003E4CA0"/>
    <w:rsid w:val="0040519A"/>
    <w:rsid w:val="00407D1F"/>
    <w:rsid w:val="00412784"/>
    <w:rsid w:val="00414CE0"/>
    <w:rsid w:val="00417D72"/>
    <w:rsid w:val="00431220"/>
    <w:rsid w:val="00434422"/>
    <w:rsid w:val="0045041C"/>
    <w:rsid w:val="004579DE"/>
    <w:rsid w:val="00465FF1"/>
    <w:rsid w:val="0047080D"/>
    <w:rsid w:val="00474A22"/>
    <w:rsid w:val="00486451"/>
    <w:rsid w:val="004920D2"/>
    <w:rsid w:val="004A0E20"/>
    <w:rsid w:val="004C5283"/>
    <w:rsid w:val="004C7D50"/>
    <w:rsid w:val="004D47A5"/>
    <w:rsid w:val="005102C5"/>
    <w:rsid w:val="00527B9B"/>
    <w:rsid w:val="0056250D"/>
    <w:rsid w:val="00564CE2"/>
    <w:rsid w:val="0057293C"/>
    <w:rsid w:val="00572B5A"/>
    <w:rsid w:val="005A2C76"/>
    <w:rsid w:val="005B1E9F"/>
    <w:rsid w:val="005B5AC4"/>
    <w:rsid w:val="005C1B08"/>
    <w:rsid w:val="005C2DF9"/>
    <w:rsid w:val="005C47E9"/>
    <w:rsid w:val="005D470E"/>
    <w:rsid w:val="00606D62"/>
    <w:rsid w:val="00614AF1"/>
    <w:rsid w:val="00615A04"/>
    <w:rsid w:val="00622920"/>
    <w:rsid w:val="006232D3"/>
    <w:rsid w:val="006250BB"/>
    <w:rsid w:val="0065072E"/>
    <w:rsid w:val="00656FF1"/>
    <w:rsid w:val="00661D4B"/>
    <w:rsid w:val="00665038"/>
    <w:rsid w:val="006665D1"/>
    <w:rsid w:val="00674323"/>
    <w:rsid w:val="00675D33"/>
    <w:rsid w:val="00680E89"/>
    <w:rsid w:val="0069581E"/>
    <w:rsid w:val="006A36BF"/>
    <w:rsid w:val="006B0F7F"/>
    <w:rsid w:val="006C3DA1"/>
    <w:rsid w:val="006C66D1"/>
    <w:rsid w:val="006D049B"/>
    <w:rsid w:val="006D54DB"/>
    <w:rsid w:val="006F0A76"/>
    <w:rsid w:val="00700A33"/>
    <w:rsid w:val="00700B6F"/>
    <w:rsid w:val="007208C9"/>
    <w:rsid w:val="007375B2"/>
    <w:rsid w:val="007432DF"/>
    <w:rsid w:val="0074357E"/>
    <w:rsid w:val="00745455"/>
    <w:rsid w:val="0075377E"/>
    <w:rsid w:val="00753E7D"/>
    <w:rsid w:val="00766CB4"/>
    <w:rsid w:val="00770C5F"/>
    <w:rsid w:val="007829CB"/>
    <w:rsid w:val="00791773"/>
    <w:rsid w:val="007941D7"/>
    <w:rsid w:val="007A28A7"/>
    <w:rsid w:val="007B472C"/>
    <w:rsid w:val="007B5252"/>
    <w:rsid w:val="007E62CE"/>
    <w:rsid w:val="007F39EB"/>
    <w:rsid w:val="008051B6"/>
    <w:rsid w:val="008141B0"/>
    <w:rsid w:val="00816A47"/>
    <w:rsid w:val="00826D1B"/>
    <w:rsid w:val="00835E53"/>
    <w:rsid w:val="00836E3A"/>
    <w:rsid w:val="00841848"/>
    <w:rsid w:val="00842683"/>
    <w:rsid w:val="00846176"/>
    <w:rsid w:val="00857250"/>
    <w:rsid w:val="008630DA"/>
    <w:rsid w:val="00873EC9"/>
    <w:rsid w:val="00894147"/>
    <w:rsid w:val="008B5D29"/>
    <w:rsid w:val="008C3307"/>
    <w:rsid w:val="008D5A79"/>
    <w:rsid w:val="008D6217"/>
    <w:rsid w:val="00913799"/>
    <w:rsid w:val="00933A31"/>
    <w:rsid w:val="00935C7E"/>
    <w:rsid w:val="00944589"/>
    <w:rsid w:val="009501E7"/>
    <w:rsid w:val="00952189"/>
    <w:rsid w:val="00952787"/>
    <w:rsid w:val="0095648C"/>
    <w:rsid w:val="00970038"/>
    <w:rsid w:val="009872D9"/>
    <w:rsid w:val="00994AC4"/>
    <w:rsid w:val="009B509C"/>
    <w:rsid w:val="009C034C"/>
    <w:rsid w:val="009C21E8"/>
    <w:rsid w:val="009C7885"/>
    <w:rsid w:val="009D12FE"/>
    <w:rsid w:val="009D26F7"/>
    <w:rsid w:val="009E3F22"/>
    <w:rsid w:val="00A24CE6"/>
    <w:rsid w:val="00A369E7"/>
    <w:rsid w:val="00A4147A"/>
    <w:rsid w:val="00A53F95"/>
    <w:rsid w:val="00A606B6"/>
    <w:rsid w:val="00A6392C"/>
    <w:rsid w:val="00A6638A"/>
    <w:rsid w:val="00A758B3"/>
    <w:rsid w:val="00A75AA3"/>
    <w:rsid w:val="00AA7CCC"/>
    <w:rsid w:val="00AB4157"/>
    <w:rsid w:val="00AE16B4"/>
    <w:rsid w:val="00AE439A"/>
    <w:rsid w:val="00AF3468"/>
    <w:rsid w:val="00AF39DA"/>
    <w:rsid w:val="00AF6EF3"/>
    <w:rsid w:val="00B147D4"/>
    <w:rsid w:val="00B35362"/>
    <w:rsid w:val="00B525D1"/>
    <w:rsid w:val="00B64FE7"/>
    <w:rsid w:val="00B71B68"/>
    <w:rsid w:val="00B7382C"/>
    <w:rsid w:val="00B80D55"/>
    <w:rsid w:val="00B9299D"/>
    <w:rsid w:val="00BA5E01"/>
    <w:rsid w:val="00BC68C5"/>
    <w:rsid w:val="00BE6DBD"/>
    <w:rsid w:val="00BE7DC9"/>
    <w:rsid w:val="00BF362D"/>
    <w:rsid w:val="00C01EB4"/>
    <w:rsid w:val="00C249C9"/>
    <w:rsid w:val="00C25DEF"/>
    <w:rsid w:val="00C35CF0"/>
    <w:rsid w:val="00C4512D"/>
    <w:rsid w:val="00C54850"/>
    <w:rsid w:val="00C64C01"/>
    <w:rsid w:val="00C70FDE"/>
    <w:rsid w:val="00C820F2"/>
    <w:rsid w:val="00C93D49"/>
    <w:rsid w:val="00C97BC8"/>
    <w:rsid w:val="00C97CBF"/>
    <w:rsid w:val="00CA0A21"/>
    <w:rsid w:val="00CA305E"/>
    <w:rsid w:val="00CA3D47"/>
    <w:rsid w:val="00CC5858"/>
    <w:rsid w:val="00CC75F6"/>
    <w:rsid w:val="00CD2B9F"/>
    <w:rsid w:val="00D045B0"/>
    <w:rsid w:val="00D12886"/>
    <w:rsid w:val="00D133E5"/>
    <w:rsid w:val="00D15780"/>
    <w:rsid w:val="00D30E5C"/>
    <w:rsid w:val="00D32110"/>
    <w:rsid w:val="00D32C1D"/>
    <w:rsid w:val="00D350C6"/>
    <w:rsid w:val="00D42DF2"/>
    <w:rsid w:val="00D554CA"/>
    <w:rsid w:val="00D625EF"/>
    <w:rsid w:val="00D6496D"/>
    <w:rsid w:val="00D85B6B"/>
    <w:rsid w:val="00DD23B1"/>
    <w:rsid w:val="00DD2788"/>
    <w:rsid w:val="00DD512D"/>
    <w:rsid w:val="00DF37C3"/>
    <w:rsid w:val="00DF52DB"/>
    <w:rsid w:val="00DF5EAE"/>
    <w:rsid w:val="00E0388D"/>
    <w:rsid w:val="00E06C20"/>
    <w:rsid w:val="00E06C60"/>
    <w:rsid w:val="00E07E35"/>
    <w:rsid w:val="00E1064A"/>
    <w:rsid w:val="00E159D5"/>
    <w:rsid w:val="00E15BEA"/>
    <w:rsid w:val="00E20B30"/>
    <w:rsid w:val="00E32E03"/>
    <w:rsid w:val="00E40705"/>
    <w:rsid w:val="00E458FD"/>
    <w:rsid w:val="00E7064A"/>
    <w:rsid w:val="00E75650"/>
    <w:rsid w:val="00E831BD"/>
    <w:rsid w:val="00E8652C"/>
    <w:rsid w:val="00EA6606"/>
    <w:rsid w:val="00EC336C"/>
    <w:rsid w:val="00ED0DA7"/>
    <w:rsid w:val="00ED2B9B"/>
    <w:rsid w:val="00EE4AA6"/>
    <w:rsid w:val="00EF5FC2"/>
    <w:rsid w:val="00EF77D7"/>
    <w:rsid w:val="00EF7F4C"/>
    <w:rsid w:val="00F016BB"/>
    <w:rsid w:val="00F278B7"/>
    <w:rsid w:val="00F3078A"/>
    <w:rsid w:val="00F3785F"/>
    <w:rsid w:val="00F52E54"/>
    <w:rsid w:val="00F55239"/>
    <w:rsid w:val="00F5726F"/>
    <w:rsid w:val="00F634CA"/>
    <w:rsid w:val="00F723B4"/>
    <w:rsid w:val="00F76627"/>
    <w:rsid w:val="00F87DC0"/>
    <w:rsid w:val="00FC1614"/>
    <w:rsid w:val="00FD6FDB"/>
    <w:rsid w:val="00FE018A"/>
    <w:rsid w:val="00FE6733"/>
    <w:rsid w:val="00FE67AA"/>
    <w:rsid w:val="00FF3B29"/>
    <w:rsid w:val="0119734C"/>
    <w:rsid w:val="017C2592"/>
    <w:rsid w:val="019175FE"/>
    <w:rsid w:val="01977F38"/>
    <w:rsid w:val="02B61E5C"/>
    <w:rsid w:val="02DE6B88"/>
    <w:rsid w:val="02EA1BB4"/>
    <w:rsid w:val="02ED4179"/>
    <w:rsid w:val="032319D6"/>
    <w:rsid w:val="03837148"/>
    <w:rsid w:val="03B052E4"/>
    <w:rsid w:val="03F04C55"/>
    <w:rsid w:val="04053CDA"/>
    <w:rsid w:val="040F0BD4"/>
    <w:rsid w:val="043D36B4"/>
    <w:rsid w:val="046C2F44"/>
    <w:rsid w:val="04A85921"/>
    <w:rsid w:val="04B30153"/>
    <w:rsid w:val="050C2C39"/>
    <w:rsid w:val="05110E5B"/>
    <w:rsid w:val="055951D7"/>
    <w:rsid w:val="06B55FF7"/>
    <w:rsid w:val="06BD6977"/>
    <w:rsid w:val="06CB1D29"/>
    <w:rsid w:val="06CC743A"/>
    <w:rsid w:val="06E44EC2"/>
    <w:rsid w:val="06F52351"/>
    <w:rsid w:val="07766546"/>
    <w:rsid w:val="077D675D"/>
    <w:rsid w:val="07A56879"/>
    <w:rsid w:val="07AF56D3"/>
    <w:rsid w:val="07E9273F"/>
    <w:rsid w:val="07F449F8"/>
    <w:rsid w:val="07FF353C"/>
    <w:rsid w:val="081B22F6"/>
    <w:rsid w:val="08473349"/>
    <w:rsid w:val="08B93680"/>
    <w:rsid w:val="08CD6108"/>
    <w:rsid w:val="08E81211"/>
    <w:rsid w:val="0902357C"/>
    <w:rsid w:val="091116E2"/>
    <w:rsid w:val="09155C01"/>
    <w:rsid w:val="098C6236"/>
    <w:rsid w:val="0A0E682D"/>
    <w:rsid w:val="0AF5269B"/>
    <w:rsid w:val="0B207BA7"/>
    <w:rsid w:val="0B357BB3"/>
    <w:rsid w:val="0BDF41EF"/>
    <w:rsid w:val="0C011728"/>
    <w:rsid w:val="0C22639B"/>
    <w:rsid w:val="0C340984"/>
    <w:rsid w:val="0C9879EC"/>
    <w:rsid w:val="0C9E1BD9"/>
    <w:rsid w:val="0CB671FE"/>
    <w:rsid w:val="0CE93F48"/>
    <w:rsid w:val="0D014C1C"/>
    <w:rsid w:val="0D8A722A"/>
    <w:rsid w:val="0DA37263"/>
    <w:rsid w:val="0DAF078D"/>
    <w:rsid w:val="0DD512A6"/>
    <w:rsid w:val="0E692DD8"/>
    <w:rsid w:val="0E7E3578"/>
    <w:rsid w:val="0E8F49BE"/>
    <w:rsid w:val="0ED462E4"/>
    <w:rsid w:val="0F2A141D"/>
    <w:rsid w:val="0F396C0F"/>
    <w:rsid w:val="0F3B3B1D"/>
    <w:rsid w:val="0F873930"/>
    <w:rsid w:val="0FEA248F"/>
    <w:rsid w:val="106709A0"/>
    <w:rsid w:val="10D90F35"/>
    <w:rsid w:val="11035E2E"/>
    <w:rsid w:val="111123DE"/>
    <w:rsid w:val="117D5D2A"/>
    <w:rsid w:val="1192414B"/>
    <w:rsid w:val="11951883"/>
    <w:rsid w:val="11A80648"/>
    <w:rsid w:val="12001BE9"/>
    <w:rsid w:val="12095CE0"/>
    <w:rsid w:val="1220726B"/>
    <w:rsid w:val="12852D73"/>
    <w:rsid w:val="12910413"/>
    <w:rsid w:val="12C40817"/>
    <w:rsid w:val="12D508AA"/>
    <w:rsid w:val="139D3A7C"/>
    <w:rsid w:val="13EB49A8"/>
    <w:rsid w:val="14497B07"/>
    <w:rsid w:val="14A61D4E"/>
    <w:rsid w:val="14C56363"/>
    <w:rsid w:val="14CB575C"/>
    <w:rsid w:val="14CC229D"/>
    <w:rsid w:val="14CD1891"/>
    <w:rsid w:val="14EC0469"/>
    <w:rsid w:val="151F3D36"/>
    <w:rsid w:val="155776F8"/>
    <w:rsid w:val="158A6470"/>
    <w:rsid w:val="15A13DF4"/>
    <w:rsid w:val="15CB6CF5"/>
    <w:rsid w:val="15DA41F0"/>
    <w:rsid w:val="15F645FA"/>
    <w:rsid w:val="16652B20"/>
    <w:rsid w:val="16804678"/>
    <w:rsid w:val="16A375DF"/>
    <w:rsid w:val="16D15E34"/>
    <w:rsid w:val="16D5043C"/>
    <w:rsid w:val="16F04FBA"/>
    <w:rsid w:val="17203C5B"/>
    <w:rsid w:val="179870BF"/>
    <w:rsid w:val="17E516BB"/>
    <w:rsid w:val="17ED1DAE"/>
    <w:rsid w:val="180B3788"/>
    <w:rsid w:val="181D5FB2"/>
    <w:rsid w:val="18627784"/>
    <w:rsid w:val="18851E73"/>
    <w:rsid w:val="18CE74C7"/>
    <w:rsid w:val="19260657"/>
    <w:rsid w:val="193B6DA1"/>
    <w:rsid w:val="19731F7A"/>
    <w:rsid w:val="19CA09C4"/>
    <w:rsid w:val="19D979C3"/>
    <w:rsid w:val="1A0A31D8"/>
    <w:rsid w:val="1A0B64A9"/>
    <w:rsid w:val="1A605508"/>
    <w:rsid w:val="1AAB24C4"/>
    <w:rsid w:val="1AAE1B31"/>
    <w:rsid w:val="1AC050FE"/>
    <w:rsid w:val="1AC134F7"/>
    <w:rsid w:val="1ACB76FA"/>
    <w:rsid w:val="1AF06A9C"/>
    <w:rsid w:val="1AFC2F8F"/>
    <w:rsid w:val="1B8E5930"/>
    <w:rsid w:val="1BAC3BF5"/>
    <w:rsid w:val="1BB230E1"/>
    <w:rsid w:val="1BC535F5"/>
    <w:rsid w:val="1BE32867"/>
    <w:rsid w:val="1C6D12F7"/>
    <w:rsid w:val="1C7321DF"/>
    <w:rsid w:val="1CC3797E"/>
    <w:rsid w:val="1D83195F"/>
    <w:rsid w:val="1D9F7DD0"/>
    <w:rsid w:val="1DAF3CE7"/>
    <w:rsid w:val="1DBA180B"/>
    <w:rsid w:val="1E5063C0"/>
    <w:rsid w:val="1E6B3137"/>
    <w:rsid w:val="1EB618B9"/>
    <w:rsid w:val="1EF86DA4"/>
    <w:rsid w:val="1EFF5576"/>
    <w:rsid w:val="1F15051A"/>
    <w:rsid w:val="1F193124"/>
    <w:rsid w:val="1F1B6419"/>
    <w:rsid w:val="1F410928"/>
    <w:rsid w:val="1F60778D"/>
    <w:rsid w:val="1F995BE2"/>
    <w:rsid w:val="1FD75A17"/>
    <w:rsid w:val="20514AF3"/>
    <w:rsid w:val="207C70DE"/>
    <w:rsid w:val="20A76483"/>
    <w:rsid w:val="20B11E7A"/>
    <w:rsid w:val="20BF2A9B"/>
    <w:rsid w:val="211814F3"/>
    <w:rsid w:val="21317C3A"/>
    <w:rsid w:val="214A1A5A"/>
    <w:rsid w:val="2153256B"/>
    <w:rsid w:val="21580E73"/>
    <w:rsid w:val="217F2AC9"/>
    <w:rsid w:val="21CF6C9C"/>
    <w:rsid w:val="22013D2E"/>
    <w:rsid w:val="22407F8B"/>
    <w:rsid w:val="236A3FD1"/>
    <w:rsid w:val="239421BF"/>
    <w:rsid w:val="23EA4A18"/>
    <w:rsid w:val="242D045B"/>
    <w:rsid w:val="243D620E"/>
    <w:rsid w:val="25190615"/>
    <w:rsid w:val="2540577B"/>
    <w:rsid w:val="255E3046"/>
    <w:rsid w:val="2594718E"/>
    <w:rsid w:val="25AB05F3"/>
    <w:rsid w:val="261648D2"/>
    <w:rsid w:val="26361CD5"/>
    <w:rsid w:val="26885F81"/>
    <w:rsid w:val="268F3ADA"/>
    <w:rsid w:val="26A24C78"/>
    <w:rsid w:val="26C3353D"/>
    <w:rsid w:val="26CF1CA7"/>
    <w:rsid w:val="273504A8"/>
    <w:rsid w:val="275D089C"/>
    <w:rsid w:val="27E27542"/>
    <w:rsid w:val="28260757"/>
    <w:rsid w:val="282A7049"/>
    <w:rsid w:val="28781DFF"/>
    <w:rsid w:val="28A169BD"/>
    <w:rsid w:val="28CE7F8C"/>
    <w:rsid w:val="28D878EF"/>
    <w:rsid w:val="28EA3F0C"/>
    <w:rsid w:val="28EF583B"/>
    <w:rsid w:val="28F83F81"/>
    <w:rsid w:val="292A0CE1"/>
    <w:rsid w:val="29B5428D"/>
    <w:rsid w:val="29D5474B"/>
    <w:rsid w:val="2A1B4874"/>
    <w:rsid w:val="2A3700C6"/>
    <w:rsid w:val="2A7E6BD2"/>
    <w:rsid w:val="2A91290B"/>
    <w:rsid w:val="2AD315AB"/>
    <w:rsid w:val="2B1718FD"/>
    <w:rsid w:val="2C133A48"/>
    <w:rsid w:val="2C3D0FDC"/>
    <w:rsid w:val="2C6F4B52"/>
    <w:rsid w:val="2CC444DD"/>
    <w:rsid w:val="2D0254CA"/>
    <w:rsid w:val="2D43119F"/>
    <w:rsid w:val="2D5E128C"/>
    <w:rsid w:val="2D8124DE"/>
    <w:rsid w:val="2D923DC1"/>
    <w:rsid w:val="2DAD524F"/>
    <w:rsid w:val="2DE77E60"/>
    <w:rsid w:val="2DEB4343"/>
    <w:rsid w:val="2DF42BF2"/>
    <w:rsid w:val="2E0F0AAD"/>
    <w:rsid w:val="2E111B60"/>
    <w:rsid w:val="2E4818E5"/>
    <w:rsid w:val="2E6236DD"/>
    <w:rsid w:val="2EAD6CA6"/>
    <w:rsid w:val="2F76515D"/>
    <w:rsid w:val="2FA606FF"/>
    <w:rsid w:val="2FB31916"/>
    <w:rsid w:val="2FBC2A80"/>
    <w:rsid w:val="2FCB10C1"/>
    <w:rsid w:val="2FD24018"/>
    <w:rsid w:val="2FD933F2"/>
    <w:rsid w:val="2FF04C73"/>
    <w:rsid w:val="301A3407"/>
    <w:rsid w:val="305C0679"/>
    <w:rsid w:val="30DC08BD"/>
    <w:rsid w:val="310C3B6A"/>
    <w:rsid w:val="314A4831"/>
    <w:rsid w:val="316438E3"/>
    <w:rsid w:val="319413AB"/>
    <w:rsid w:val="31B97184"/>
    <w:rsid w:val="31EA7C61"/>
    <w:rsid w:val="322E314D"/>
    <w:rsid w:val="323148D4"/>
    <w:rsid w:val="32520EB0"/>
    <w:rsid w:val="325746D9"/>
    <w:rsid w:val="3357756A"/>
    <w:rsid w:val="33645968"/>
    <w:rsid w:val="337E6252"/>
    <w:rsid w:val="33E12305"/>
    <w:rsid w:val="35E93A58"/>
    <w:rsid w:val="367E0119"/>
    <w:rsid w:val="368E77E9"/>
    <w:rsid w:val="36AF317A"/>
    <w:rsid w:val="37C902F6"/>
    <w:rsid w:val="37EB11BA"/>
    <w:rsid w:val="381923E5"/>
    <w:rsid w:val="38902DE2"/>
    <w:rsid w:val="38BF1E1D"/>
    <w:rsid w:val="39261397"/>
    <w:rsid w:val="394E39A8"/>
    <w:rsid w:val="3A042BF1"/>
    <w:rsid w:val="3A51780D"/>
    <w:rsid w:val="3A8D22A6"/>
    <w:rsid w:val="3B0820B1"/>
    <w:rsid w:val="3B624AD7"/>
    <w:rsid w:val="3B6663E3"/>
    <w:rsid w:val="3BA16B8B"/>
    <w:rsid w:val="3BB609A2"/>
    <w:rsid w:val="3BC841EE"/>
    <w:rsid w:val="3BFD6419"/>
    <w:rsid w:val="3C066036"/>
    <w:rsid w:val="3C3E1B1F"/>
    <w:rsid w:val="3C4F40D0"/>
    <w:rsid w:val="3C650444"/>
    <w:rsid w:val="3C690CC6"/>
    <w:rsid w:val="3C9D4AEB"/>
    <w:rsid w:val="3C9E3281"/>
    <w:rsid w:val="3CD4512D"/>
    <w:rsid w:val="3CE31458"/>
    <w:rsid w:val="3D4E0EBA"/>
    <w:rsid w:val="3D790C3F"/>
    <w:rsid w:val="3D866DA2"/>
    <w:rsid w:val="3DC304BB"/>
    <w:rsid w:val="3DC43B7D"/>
    <w:rsid w:val="3DCB6616"/>
    <w:rsid w:val="3DCC4800"/>
    <w:rsid w:val="3DFD0BF5"/>
    <w:rsid w:val="3E0403C0"/>
    <w:rsid w:val="3E770242"/>
    <w:rsid w:val="3EC951CF"/>
    <w:rsid w:val="3EE75C35"/>
    <w:rsid w:val="3F3738BB"/>
    <w:rsid w:val="3F47773C"/>
    <w:rsid w:val="3F505BD3"/>
    <w:rsid w:val="3F7E3435"/>
    <w:rsid w:val="3F9C5609"/>
    <w:rsid w:val="3FE31272"/>
    <w:rsid w:val="405F61DB"/>
    <w:rsid w:val="408641E4"/>
    <w:rsid w:val="40865093"/>
    <w:rsid w:val="40A55EA9"/>
    <w:rsid w:val="40E34516"/>
    <w:rsid w:val="416D0F76"/>
    <w:rsid w:val="41816645"/>
    <w:rsid w:val="41AF0C22"/>
    <w:rsid w:val="41C236CA"/>
    <w:rsid w:val="423B22D1"/>
    <w:rsid w:val="425003DF"/>
    <w:rsid w:val="427D7596"/>
    <w:rsid w:val="42A6354C"/>
    <w:rsid w:val="43045DB7"/>
    <w:rsid w:val="43683B90"/>
    <w:rsid w:val="437A13BD"/>
    <w:rsid w:val="43B17578"/>
    <w:rsid w:val="44796A3A"/>
    <w:rsid w:val="447B3DFA"/>
    <w:rsid w:val="44FF6CF8"/>
    <w:rsid w:val="45667375"/>
    <w:rsid w:val="45D05760"/>
    <w:rsid w:val="460E453A"/>
    <w:rsid w:val="46365757"/>
    <w:rsid w:val="46677FED"/>
    <w:rsid w:val="469D7215"/>
    <w:rsid w:val="469E1E5A"/>
    <w:rsid w:val="46C70BB7"/>
    <w:rsid w:val="46F20697"/>
    <w:rsid w:val="472E621C"/>
    <w:rsid w:val="47D14A04"/>
    <w:rsid w:val="47D747CC"/>
    <w:rsid w:val="47F46AF3"/>
    <w:rsid w:val="480A5D17"/>
    <w:rsid w:val="484D4AC7"/>
    <w:rsid w:val="48721DAB"/>
    <w:rsid w:val="4880019E"/>
    <w:rsid w:val="48851FAD"/>
    <w:rsid w:val="488F5FE5"/>
    <w:rsid w:val="48A40FBC"/>
    <w:rsid w:val="49054DF7"/>
    <w:rsid w:val="490E791D"/>
    <w:rsid w:val="492606C4"/>
    <w:rsid w:val="49AE7B62"/>
    <w:rsid w:val="4A0A0677"/>
    <w:rsid w:val="4A6271B1"/>
    <w:rsid w:val="4AF03F48"/>
    <w:rsid w:val="4B04184C"/>
    <w:rsid w:val="4B043F40"/>
    <w:rsid w:val="4B84110D"/>
    <w:rsid w:val="4BAF4817"/>
    <w:rsid w:val="4BB27F6B"/>
    <w:rsid w:val="4BCB4C63"/>
    <w:rsid w:val="4C261561"/>
    <w:rsid w:val="4C8C2F31"/>
    <w:rsid w:val="4CDC0D9A"/>
    <w:rsid w:val="4D365169"/>
    <w:rsid w:val="4D3F7144"/>
    <w:rsid w:val="4D677F7F"/>
    <w:rsid w:val="4D8E276E"/>
    <w:rsid w:val="4D9F0A87"/>
    <w:rsid w:val="4DF0581D"/>
    <w:rsid w:val="4E545779"/>
    <w:rsid w:val="4E9A79F2"/>
    <w:rsid w:val="4EA3257D"/>
    <w:rsid w:val="4FCB3060"/>
    <w:rsid w:val="4FED2A6F"/>
    <w:rsid w:val="4FFD1FFA"/>
    <w:rsid w:val="50180650"/>
    <w:rsid w:val="50AD52F8"/>
    <w:rsid w:val="50D335E5"/>
    <w:rsid w:val="50EC00EC"/>
    <w:rsid w:val="517501A3"/>
    <w:rsid w:val="51C5598C"/>
    <w:rsid w:val="52157C7A"/>
    <w:rsid w:val="523F3A6F"/>
    <w:rsid w:val="5249142F"/>
    <w:rsid w:val="527E5F8F"/>
    <w:rsid w:val="532E4F4A"/>
    <w:rsid w:val="53515C86"/>
    <w:rsid w:val="53C233F2"/>
    <w:rsid w:val="542267C1"/>
    <w:rsid w:val="54414619"/>
    <w:rsid w:val="54561FA4"/>
    <w:rsid w:val="547827ED"/>
    <w:rsid w:val="547C1BC5"/>
    <w:rsid w:val="54CC5F6E"/>
    <w:rsid w:val="5521451C"/>
    <w:rsid w:val="55230C8F"/>
    <w:rsid w:val="55675E27"/>
    <w:rsid w:val="557600B7"/>
    <w:rsid w:val="558C5D68"/>
    <w:rsid w:val="55BA62BA"/>
    <w:rsid w:val="55C80453"/>
    <w:rsid w:val="55E173D6"/>
    <w:rsid w:val="564C6C5E"/>
    <w:rsid w:val="566C6B53"/>
    <w:rsid w:val="570006C7"/>
    <w:rsid w:val="57404D35"/>
    <w:rsid w:val="57441858"/>
    <w:rsid w:val="57D3604F"/>
    <w:rsid w:val="58017EFD"/>
    <w:rsid w:val="582E3BDE"/>
    <w:rsid w:val="58400AA3"/>
    <w:rsid w:val="584D0A43"/>
    <w:rsid w:val="58AA5211"/>
    <w:rsid w:val="58DA096A"/>
    <w:rsid w:val="5905760B"/>
    <w:rsid w:val="59096205"/>
    <w:rsid w:val="595859E9"/>
    <w:rsid w:val="5A2C4F69"/>
    <w:rsid w:val="5A6056B2"/>
    <w:rsid w:val="5A652FA5"/>
    <w:rsid w:val="5A6821E2"/>
    <w:rsid w:val="5B11668A"/>
    <w:rsid w:val="5B205295"/>
    <w:rsid w:val="5B515E0F"/>
    <w:rsid w:val="5B8A7493"/>
    <w:rsid w:val="5BD946C9"/>
    <w:rsid w:val="5BFF32CE"/>
    <w:rsid w:val="5C54069A"/>
    <w:rsid w:val="5C8962CD"/>
    <w:rsid w:val="5CA62DE1"/>
    <w:rsid w:val="5CC242D5"/>
    <w:rsid w:val="5CEB504F"/>
    <w:rsid w:val="5D2C0676"/>
    <w:rsid w:val="5DBD3C33"/>
    <w:rsid w:val="5E11731A"/>
    <w:rsid w:val="5E1E2371"/>
    <w:rsid w:val="5E9E1942"/>
    <w:rsid w:val="5EA32DE9"/>
    <w:rsid w:val="5ED41206"/>
    <w:rsid w:val="5EDA2C3E"/>
    <w:rsid w:val="5EEE57E6"/>
    <w:rsid w:val="5FF602D0"/>
    <w:rsid w:val="606D7F04"/>
    <w:rsid w:val="606E7BA9"/>
    <w:rsid w:val="60A624C4"/>
    <w:rsid w:val="60B34A5A"/>
    <w:rsid w:val="60C25BFE"/>
    <w:rsid w:val="60D75925"/>
    <w:rsid w:val="613F4FCF"/>
    <w:rsid w:val="61A95924"/>
    <w:rsid w:val="61DC6E5D"/>
    <w:rsid w:val="61F43072"/>
    <w:rsid w:val="621967EB"/>
    <w:rsid w:val="627929CB"/>
    <w:rsid w:val="628B73EA"/>
    <w:rsid w:val="62FB58A2"/>
    <w:rsid w:val="631844AF"/>
    <w:rsid w:val="634031F2"/>
    <w:rsid w:val="63576583"/>
    <w:rsid w:val="636A46FB"/>
    <w:rsid w:val="63D52C35"/>
    <w:rsid w:val="63D856B6"/>
    <w:rsid w:val="64817EE3"/>
    <w:rsid w:val="64892DC1"/>
    <w:rsid w:val="64CA1BB4"/>
    <w:rsid w:val="64E95E0C"/>
    <w:rsid w:val="651E511D"/>
    <w:rsid w:val="65440ED1"/>
    <w:rsid w:val="65AE2A1E"/>
    <w:rsid w:val="65D93D96"/>
    <w:rsid w:val="65F0671D"/>
    <w:rsid w:val="664F0A1D"/>
    <w:rsid w:val="66871035"/>
    <w:rsid w:val="66F403F2"/>
    <w:rsid w:val="670939A7"/>
    <w:rsid w:val="670F41CD"/>
    <w:rsid w:val="67127298"/>
    <w:rsid w:val="672225AD"/>
    <w:rsid w:val="67394A04"/>
    <w:rsid w:val="67602501"/>
    <w:rsid w:val="67636346"/>
    <w:rsid w:val="680C210A"/>
    <w:rsid w:val="68133BAD"/>
    <w:rsid w:val="682F0EB5"/>
    <w:rsid w:val="68833C70"/>
    <w:rsid w:val="688E05D4"/>
    <w:rsid w:val="68AA0CD2"/>
    <w:rsid w:val="68AB0B2E"/>
    <w:rsid w:val="6974143A"/>
    <w:rsid w:val="69DF1DC4"/>
    <w:rsid w:val="6A2F7233"/>
    <w:rsid w:val="6A6E159A"/>
    <w:rsid w:val="6A905FD3"/>
    <w:rsid w:val="6ABC6829"/>
    <w:rsid w:val="6B084BB9"/>
    <w:rsid w:val="6B1A4C57"/>
    <w:rsid w:val="6B1D0576"/>
    <w:rsid w:val="6B6850D8"/>
    <w:rsid w:val="6B7919D9"/>
    <w:rsid w:val="6BDC11E4"/>
    <w:rsid w:val="6BE36BA8"/>
    <w:rsid w:val="6C265AE8"/>
    <w:rsid w:val="6C4B33D0"/>
    <w:rsid w:val="6C4C12DB"/>
    <w:rsid w:val="6C4F3F8D"/>
    <w:rsid w:val="6C7400A9"/>
    <w:rsid w:val="6D2A281F"/>
    <w:rsid w:val="6D5F1EE3"/>
    <w:rsid w:val="6D735228"/>
    <w:rsid w:val="6D777B20"/>
    <w:rsid w:val="6DF86C24"/>
    <w:rsid w:val="6E0637D2"/>
    <w:rsid w:val="6E2A6374"/>
    <w:rsid w:val="6E8721E4"/>
    <w:rsid w:val="6EB370C7"/>
    <w:rsid w:val="6ECB6CCA"/>
    <w:rsid w:val="6ED72B76"/>
    <w:rsid w:val="6F4B42A8"/>
    <w:rsid w:val="6F64641C"/>
    <w:rsid w:val="6F6E6630"/>
    <w:rsid w:val="6FB5195B"/>
    <w:rsid w:val="6FC22D18"/>
    <w:rsid w:val="6FC44DB9"/>
    <w:rsid w:val="700A4320"/>
    <w:rsid w:val="70C20E98"/>
    <w:rsid w:val="70E03F85"/>
    <w:rsid w:val="70E83967"/>
    <w:rsid w:val="70FF6335"/>
    <w:rsid w:val="716C0544"/>
    <w:rsid w:val="71D23344"/>
    <w:rsid w:val="729E4D1C"/>
    <w:rsid w:val="72A7149E"/>
    <w:rsid w:val="72CA7A30"/>
    <w:rsid w:val="7343072A"/>
    <w:rsid w:val="73603795"/>
    <w:rsid w:val="736F62FB"/>
    <w:rsid w:val="738469E4"/>
    <w:rsid w:val="73B312CD"/>
    <w:rsid w:val="73CA351D"/>
    <w:rsid w:val="743108E6"/>
    <w:rsid w:val="743F2C8E"/>
    <w:rsid w:val="74D4517E"/>
    <w:rsid w:val="752B0F92"/>
    <w:rsid w:val="756033EF"/>
    <w:rsid w:val="75707059"/>
    <w:rsid w:val="75AA1480"/>
    <w:rsid w:val="75C31EA5"/>
    <w:rsid w:val="760C1BCE"/>
    <w:rsid w:val="762924C3"/>
    <w:rsid w:val="76432212"/>
    <w:rsid w:val="769A6FEF"/>
    <w:rsid w:val="770C31BE"/>
    <w:rsid w:val="777951F6"/>
    <w:rsid w:val="77895633"/>
    <w:rsid w:val="778C29F4"/>
    <w:rsid w:val="77CE51B5"/>
    <w:rsid w:val="780F324D"/>
    <w:rsid w:val="796107EE"/>
    <w:rsid w:val="797F382B"/>
    <w:rsid w:val="799034EF"/>
    <w:rsid w:val="79AD428D"/>
    <w:rsid w:val="79B14895"/>
    <w:rsid w:val="79F974FB"/>
    <w:rsid w:val="7A4055ED"/>
    <w:rsid w:val="7A7867BC"/>
    <w:rsid w:val="7AAE43AE"/>
    <w:rsid w:val="7AE0076C"/>
    <w:rsid w:val="7B225000"/>
    <w:rsid w:val="7B5718EB"/>
    <w:rsid w:val="7B632886"/>
    <w:rsid w:val="7B6B55EB"/>
    <w:rsid w:val="7B7313DE"/>
    <w:rsid w:val="7B9D4AF2"/>
    <w:rsid w:val="7BB93B9F"/>
    <w:rsid w:val="7C612E07"/>
    <w:rsid w:val="7C9A35FC"/>
    <w:rsid w:val="7CD1303A"/>
    <w:rsid w:val="7D173C1A"/>
    <w:rsid w:val="7D1C0746"/>
    <w:rsid w:val="7E57147C"/>
    <w:rsid w:val="7E6279DC"/>
    <w:rsid w:val="7EBD6085"/>
    <w:rsid w:val="7ECB2B29"/>
    <w:rsid w:val="7F57461E"/>
    <w:rsid w:val="7F76147D"/>
    <w:rsid w:val="7F7D664F"/>
    <w:rsid w:val="7FE77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0"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6"/>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60"/>
    <w:qFormat/>
    <w:uiPriority w:val="0"/>
    <w:pPr>
      <w:keepNext/>
      <w:keepLines/>
      <w:spacing w:before="260" w:after="260" w:line="416" w:lineRule="auto"/>
      <w:outlineLvl w:val="2"/>
    </w:pPr>
    <w:rPr>
      <w:b/>
      <w:bCs/>
      <w:kern w:val="0"/>
      <w:sz w:val="32"/>
      <w:szCs w:val="32"/>
    </w:rPr>
  </w:style>
  <w:style w:type="paragraph" w:styleId="6">
    <w:name w:val="heading 4"/>
    <w:basedOn w:val="1"/>
    <w:next w:val="1"/>
    <w:link w:val="72"/>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7">
    <w:name w:val="heading 5"/>
    <w:basedOn w:val="1"/>
    <w:next w:val="8"/>
    <w:link w:val="50"/>
    <w:qFormat/>
    <w:uiPriority w:val="0"/>
    <w:pPr>
      <w:keepNext/>
      <w:keepLines/>
      <w:numPr>
        <w:ilvl w:val="4"/>
        <w:numId w:val="1"/>
      </w:numPr>
      <w:spacing w:before="280" w:after="290" w:line="376" w:lineRule="auto"/>
      <w:outlineLvl w:val="4"/>
    </w:pPr>
    <w:rPr>
      <w:b/>
      <w:kern w:val="0"/>
      <w:sz w:val="28"/>
    </w:rPr>
  </w:style>
  <w:style w:type="paragraph" w:styleId="9">
    <w:name w:val="heading 6"/>
    <w:basedOn w:val="1"/>
    <w:next w:val="8"/>
    <w:link w:val="58"/>
    <w:qFormat/>
    <w:uiPriority w:val="0"/>
    <w:pPr>
      <w:keepNext/>
      <w:keepLines/>
      <w:numPr>
        <w:ilvl w:val="5"/>
        <w:numId w:val="1"/>
      </w:numPr>
      <w:spacing w:before="240" w:after="64" w:line="320" w:lineRule="auto"/>
      <w:outlineLvl w:val="5"/>
    </w:pPr>
    <w:rPr>
      <w:rFonts w:ascii="Arial" w:hAnsi="Arial" w:eastAsia="黑体"/>
      <w:b/>
      <w:kern w:val="0"/>
      <w:sz w:val="24"/>
    </w:rPr>
  </w:style>
  <w:style w:type="paragraph" w:styleId="10">
    <w:name w:val="heading 7"/>
    <w:basedOn w:val="1"/>
    <w:next w:val="8"/>
    <w:link w:val="51"/>
    <w:qFormat/>
    <w:uiPriority w:val="0"/>
    <w:pPr>
      <w:keepNext/>
      <w:keepLines/>
      <w:numPr>
        <w:ilvl w:val="6"/>
        <w:numId w:val="1"/>
      </w:numPr>
      <w:spacing w:before="240" w:after="64" w:line="320" w:lineRule="auto"/>
      <w:outlineLvl w:val="6"/>
    </w:pPr>
    <w:rPr>
      <w:b/>
      <w:kern w:val="0"/>
      <w:sz w:val="24"/>
    </w:rPr>
  </w:style>
  <w:style w:type="paragraph" w:styleId="11">
    <w:name w:val="heading 8"/>
    <w:basedOn w:val="1"/>
    <w:next w:val="8"/>
    <w:link w:val="70"/>
    <w:qFormat/>
    <w:uiPriority w:val="0"/>
    <w:pPr>
      <w:keepNext/>
      <w:keepLines/>
      <w:numPr>
        <w:ilvl w:val="7"/>
        <w:numId w:val="1"/>
      </w:numPr>
      <w:spacing w:before="240" w:after="64" w:line="320" w:lineRule="auto"/>
      <w:outlineLvl w:val="7"/>
    </w:pPr>
    <w:rPr>
      <w:rFonts w:ascii="Arial" w:hAnsi="Arial" w:eastAsia="黑体"/>
      <w:kern w:val="0"/>
      <w:sz w:val="24"/>
    </w:rPr>
  </w:style>
  <w:style w:type="paragraph" w:styleId="12">
    <w:name w:val="heading 9"/>
    <w:basedOn w:val="1"/>
    <w:next w:val="8"/>
    <w:link w:val="61"/>
    <w:qFormat/>
    <w:uiPriority w:val="0"/>
    <w:pPr>
      <w:keepNext/>
      <w:keepLines/>
      <w:numPr>
        <w:ilvl w:val="8"/>
        <w:numId w:val="1"/>
      </w:numPr>
      <w:spacing w:before="240" w:after="64" w:line="320" w:lineRule="auto"/>
      <w:outlineLvl w:val="8"/>
    </w:pPr>
    <w:rPr>
      <w:rFonts w:ascii="Arial" w:hAnsi="Arial" w:eastAsia="黑体"/>
      <w:kern w:val="0"/>
      <w:sz w:val="20"/>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99"/>
    <w:pPr>
      <w:spacing w:before="25" w:after="25"/>
      <w:jc w:val="left"/>
    </w:pPr>
    <w:rPr>
      <w:bCs/>
      <w:spacing w:val="10"/>
      <w:kern w:val="0"/>
      <w:sz w:val="24"/>
    </w:rPr>
  </w:style>
  <w:style w:type="paragraph" w:styleId="8">
    <w:name w:val="Normal Indent"/>
    <w:basedOn w:val="1"/>
    <w:qFormat/>
    <w:uiPriority w:val="0"/>
    <w:pPr>
      <w:ind w:firstLine="420"/>
    </w:pPr>
    <w:rPr>
      <w:szCs w:val="20"/>
    </w:rPr>
  </w:style>
  <w:style w:type="paragraph" w:styleId="13">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47"/>
    <w:semiHidden/>
    <w:qFormat/>
    <w:uiPriority w:val="0"/>
    <w:pPr>
      <w:shd w:val="clear" w:color="auto" w:fill="000080"/>
      <w:adjustRightInd w:val="0"/>
      <w:spacing w:line="312" w:lineRule="atLeast"/>
      <w:textAlignment w:val="baseline"/>
    </w:pPr>
    <w:rPr>
      <w:kern w:val="0"/>
      <w:sz w:val="20"/>
      <w:szCs w:val="20"/>
    </w:rPr>
  </w:style>
  <w:style w:type="paragraph" w:styleId="16">
    <w:name w:val="annotation text"/>
    <w:basedOn w:val="1"/>
    <w:link w:val="55"/>
    <w:unhideWhenUsed/>
    <w:qFormat/>
    <w:uiPriority w:val="99"/>
    <w:pPr>
      <w:jc w:val="left"/>
    </w:pPr>
    <w:rPr>
      <w:kern w:val="0"/>
      <w:sz w:val="20"/>
    </w:rPr>
  </w:style>
  <w:style w:type="paragraph" w:styleId="17">
    <w:name w:val="Body Text 3"/>
    <w:basedOn w:val="1"/>
    <w:link w:val="46"/>
    <w:qFormat/>
    <w:uiPriority w:val="0"/>
    <w:pPr>
      <w:spacing w:line="500" w:lineRule="exact"/>
    </w:pPr>
    <w:rPr>
      <w:b/>
      <w:bCs/>
      <w:kern w:val="0"/>
      <w:sz w:val="24"/>
    </w:rPr>
  </w:style>
  <w:style w:type="paragraph" w:styleId="18">
    <w:name w:val="Body Text"/>
    <w:basedOn w:val="1"/>
    <w:link w:val="45"/>
    <w:qFormat/>
    <w:uiPriority w:val="0"/>
    <w:pPr>
      <w:spacing w:line="380" w:lineRule="exact"/>
    </w:pPr>
    <w:rPr>
      <w:kern w:val="0"/>
      <w:sz w:val="24"/>
    </w:rPr>
  </w:style>
  <w:style w:type="paragraph" w:styleId="19">
    <w:name w:val="Body Text Indent"/>
    <w:basedOn w:val="1"/>
    <w:link w:val="65"/>
    <w:qFormat/>
    <w:uiPriority w:val="0"/>
    <w:pPr>
      <w:ind w:firstLine="830" w:firstLineChars="352"/>
    </w:pPr>
    <w:rPr>
      <w:rFonts w:ascii="仿宋_GB2312" w:eastAsia="仿宋_GB2312"/>
      <w:kern w:val="0"/>
      <w:sz w:val="32"/>
      <w:szCs w:val="20"/>
    </w:rPr>
  </w:style>
  <w:style w:type="paragraph" w:styleId="20">
    <w:name w:val="List Number 3"/>
    <w:basedOn w:val="1"/>
    <w:qFormat/>
    <w:uiPriority w:val="0"/>
    <w:pPr>
      <w:numPr>
        <w:ilvl w:val="0"/>
        <w:numId w:val="2"/>
      </w:numPr>
      <w:tabs>
        <w:tab w:val="left" w:pos="1200"/>
        <w:tab w:val="clear" w:pos="360"/>
      </w:tabs>
    </w:pPr>
  </w:style>
  <w:style w:type="paragraph" w:styleId="21">
    <w:name w:val="List 2"/>
    <w:basedOn w:val="1"/>
    <w:qFormat/>
    <w:uiPriority w:val="0"/>
    <w:pPr>
      <w:ind w:left="100" w:leftChars="200" w:hanging="200" w:hangingChars="200"/>
    </w:pPr>
    <w:rPr>
      <w:sz w:val="28"/>
    </w:rPr>
  </w:style>
  <w:style w:type="paragraph" w:styleId="22">
    <w:name w:val="Plain Text"/>
    <w:basedOn w:val="1"/>
    <w:next w:val="6"/>
    <w:link w:val="64"/>
    <w:qFormat/>
    <w:uiPriority w:val="0"/>
    <w:rPr>
      <w:rFonts w:ascii="宋体" w:hAnsi="Courier New"/>
      <w:kern w:val="0"/>
      <w:sz w:val="20"/>
      <w:szCs w:val="21"/>
    </w:rPr>
  </w:style>
  <w:style w:type="paragraph" w:styleId="23">
    <w:name w:val="Date"/>
    <w:basedOn w:val="1"/>
    <w:next w:val="1"/>
    <w:link w:val="68"/>
    <w:qFormat/>
    <w:uiPriority w:val="0"/>
    <w:pPr>
      <w:ind w:left="100" w:leftChars="2500"/>
    </w:pPr>
    <w:rPr>
      <w:rFonts w:ascii="宋体" w:hAnsi="Courier New"/>
      <w:kern w:val="0"/>
      <w:sz w:val="20"/>
      <w:szCs w:val="21"/>
    </w:rPr>
  </w:style>
  <w:style w:type="paragraph" w:styleId="24">
    <w:name w:val="Body Text Indent 2"/>
    <w:basedOn w:val="1"/>
    <w:link w:val="67"/>
    <w:qFormat/>
    <w:uiPriority w:val="0"/>
    <w:pPr>
      <w:ind w:firstLine="630"/>
    </w:pPr>
    <w:rPr>
      <w:kern w:val="0"/>
      <w:sz w:val="32"/>
      <w:szCs w:val="20"/>
    </w:rPr>
  </w:style>
  <w:style w:type="paragraph" w:styleId="25">
    <w:name w:val="Balloon Text"/>
    <w:basedOn w:val="1"/>
    <w:link w:val="48"/>
    <w:semiHidden/>
    <w:qFormat/>
    <w:uiPriority w:val="0"/>
    <w:rPr>
      <w:kern w:val="0"/>
      <w:sz w:val="18"/>
      <w:szCs w:val="18"/>
    </w:rPr>
  </w:style>
  <w:style w:type="paragraph" w:styleId="26">
    <w:name w:val="footer"/>
    <w:basedOn w:val="1"/>
    <w:link w:val="44"/>
    <w:unhideWhenUsed/>
    <w:qFormat/>
    <w:uiPriority w:val="99"/>
    <w:pPr>
      <w:tabs>
        <w:tab w:val="center" w:pos="4153"/>
        <w:tab w:val="right" w:pos="8306"/>
      </w:tabs>
      <w:snapToGrid w:val="0"/>
      <w:jc w:val="left"/>
    </w:pPr>
    <w:rPr>
      <w:kern w:val="0"/>
      <w:sz w:val="18"/>
      <w:szCs w:val="18"/>
    </w:rPr>
  </w:style>
  <w:style w:type="paragraph" w:styleId="27">
    <w:name w:val="header"/>
    <w:basedOn w:val="1"/>
    <w:link w:val="6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8">
    <w:name w:val="Body Text Indent 3"/>
    <w:basedOn w:val="1"/>
    <w:link w:val="71"/>
    <w:qFormat/>
    <w:uiPriority w:val="0"/>
    <w:pPr>
      <w:spacing w:after="120"/>
      <w:ind w:left="420" w:leftChars="200"/>
    </w:pPr>
    <w:rPr>
      <w:kern w:val="0"/>
      <w:sz w:val="16"/>
      <w:szCs w:val="16"/>
    </w:rPr>
  </w:style>
  <w:style w:type="paragraph" w:styleId="29">
    <w:name w:val="Body Text 2"/>
    <w:basedOn w:val="1"/>
    <w:link w:val="62"/>
    <w:qFormat/>
    <w:uiPriority w:val="0"/>
    <w:pPr>
      <w:spacing w:after="120" w:line="480" w:lineRule="auto"/>
    </w:pPr>
    <w:rPr>
      <w:kern w:val="0"/>
      <w:sz w:val="20"/>
    </w:rPr>
  </w:style>
  <w:style w:type="paragraph" w:styleId="30">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31">
    <w:name w:val="Normal (Web)"/>
    <w:basedOn w:val="1"/>
    <w:unhideWhenUsed/>
    <w:qFormat/>
    <w:uiPriority w:val="0"/>
    <w:pPr>
      <w:spacing w:before="100" w:beforeAutospacing="1" w:after="100" w:afterAutospacing="1"/>
      <w:jc w:val="left"/>
    </w:pPr>
    <w:rPr>
      <w:kern w:val="0"/>
      <w:sz w:val="24"/>
    </w:rPr>
  </w:style>
  <w:style w:type="paragraph" w:styleId="32">
    <w:name w:val="Title"/>
    <w:basedOn w:val="1"/>
    <w:qFormat/>
    <w:uiPriority w:val="10"/>
    <w:pPr>
      <w:spacing w:before="240" w:after="60"/>
      <w:jc w:val="center"/>
      <w:outlineLvl w:val="0"/>
    </w:pPr>
    <w:rPr>
      <w:rFonts w:ascii="Arial" w:hAnsi="Arial" w:cs="Arial"/>
      <w:b/>
      <w:bCs/>
      <w:sz w:val="32"/>
      <w:szCs w:val="32"/>
    </w:rPr>
  </w:style>
  <w:style w:type="paragraph" w:styleId="33">
    <w:name w:val="annotation subject"/>
    <w:basedOn w:val="16"/>
    <w:next w:val="16"/>
    <w:link w:val="63"/>
    <w:semiHidden/>
    <w:qFormat/>
    <w:uiPriority w:val="0"/>
    <w:rPr>
      <w:b/>
      <w:bCs/>
    </w:rPr>
  </w:style>
  <w:style w:type="paragraph" w:styleId="34">
    <w:name w:val="Body Text First Indent"/>
    <w:basedOn w:val="18"/>
    <w:unhideWhenUsed/>
    <w:qFormat/>
    <w:uiPriority w:val="99"/>
    <w:pPr>
      <w:ind w:firstLine="420" w:firstLineChars="100"/>
    </w:pPr>
  </w:style>
  <w:style w:type="table" w:styleId="36">
    <w:name w:val="Table Grid"/>
    <w:basedOn w:val="3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22"/>
    <w:rPr>
      <w:b/>
      <w:sz w:val="24"/>
      <w:szCs w:val="24"/>
    </w:rPr>
  </w:style>
  <w:style w:type="character" w:styleId="39">
    <w:name w:val="page number"/>
    <w:basedOn w:val="37"/>
    <w:qFormat/>
    <w:uiPriority w:val="0"/>
  </w:style>
  <w:style w:type="character" w:styleId="40">
    <w:name w:val="Emphasis"/>
    <w:qFormat/>
    <w:uiPriority w:val="20"/>
    <w:rPr>
      <w:color w:val="CC0000"/>
      <w:sz w:val="24"/>
      <w:szCs w:val="24"/>
    </w:rPr>
  </w:style>
  <w:style w:type="character" w:styleId="41">
    <w:name w:val="Hyperlink"/>
    <w:unhideWhenUsed/>
    <w:qFormat/>
    <w:uiPriority w:val="99"/>
    <w:rPr>
      <w:color w:val="0000FF"/>
      <w:u w:val="single"/>
    </w:rPr>
  </w:style>
  <w:style w:type="character" w:styleId="42">
    <w:name w:val="annotation reference"/>
    <w:unhideWhenUsed/>
    <w:qFormat/>
    <w:uiPriority w:val="0"/>
    <w:rPr>
      <w:sz w:val="21"/>
      <w:szCs w:val="21"/>
    </w:rPr>
  </w:style>
  <w:style w:type="character" w:styleId="43">
    <w:name w:val="HTML Cite"/>
    <w:unhideWhenUsed/>
    <w:qFormat/>
    <w:uiPriority w:val="99"/>
    <w:rPr>
      <w:sz w:val="24"/>
      <w:szCs w:val="24"/>
    </w:rPr>
  </w:style>
  <w:style w:type="character" w:customStyle="1" w:styleId="44">
    <w:name w:val="页脚 字符"/>
    <w:link w:val="26"/>
    <w:semiHidden/>
    <w:qFormat/>
    <w:uiPriority w:val="99"/>
    <w:rPr>
      <w:sz w:val="18"/>
      <w:szCs w:val="18"/>
    </w:rPr>
  </w:style>
  <w:style w:type="character" w:customStyle="1" w:styleId="45">
    <w:name w:val="正文文本 字符"/>
    <w:link w:val="18"/>
    <w:qFormat/>
    <w:uiPriority w:val="0"/>
    <w:rPr>
      <w:rFonts w:ascii="Times New Roman" w:hAnsi="Times New Roman" w:eastAsia="宋体" w:cs="Times New Roman"/>
      <w:sz w:val="24"/>
      <w:szCs w:val="24"/>
    </w:rPr>
  </w:style>
  <w:style w:type="character" w:customStyle="1" w:styleId="46">
    <w:name w:val="正文文本 3 字符"/>
    <w:link w:val="17"/>
    <w:qFormat/>
    <w:uiPriority w:val="0"/>
    <w:rPr>
      <w:rFonts w:ascii="Times New Roman" w:hAnsi="Times New Roman" w:eastAsia="宋体" w:cs="Times New Roman"/>
      <w:b/>
      <w:bCs/>
      <w:sz w:val="24"/>
      <w:szCs w:val="24"/>
    </w:rPr>
  </w:style>
  <w:style w:type="character" w:customStyle="1" w:styleId="47">
    <w:name w:val="文档结构图 字符"/>
    <w:link w:val="15"/>
    <w:semiHidden/>
    <w:qFormat/>
    <w:uiPriority w:val="0"/>
    <w:rPr>
      <w:rFonts w:ascii="Times New Roman" w:hAnsi="Times New Roman" w:eastAsia="宋体" w:cs="Times New Roman"/>
      <w:kern w:val="0"/>
      <w:szCs w:val="20"/>
      <w:shd w:val="clear" w:color="auto" w:fill="000080"/>
    </w:rPr>
  </w:style>
  <w:style w:type="character" w:customStyle="1" w:styleId="48">
    <w:name w:val="批注框文本 字符"/>
    <w:link w:val="25"/>
    <w:semiHidden/>
    <w:qFormat/>
    <w:uiPriority w:val="0"/>
    <w:rPr>
      <w:rFonts w:ascii="Times New Roman" w:hAnsi="Times New Roman" w:eastAsia="宋体" w:cs="Times New Roman"/>
      <w:sz w:val="18"/>
      <w:szCs w:val="18"/>
    </w:rPr>
  </w:style>
  <w:style w:type="character" w:customStyle="1" w:styleId="49">
    <w:name w:val="HTML 预设格式 字符"/>
    <w:link w:val="30"/>
    <w:qFormat/>
    <w:uiPriority w:val="99"/>
    <w:rPr>
      <w:rFonts w:ascii="黑体" w:hAnsi="Courier New" w:eastAsia="黑体" w:cs="Courier New"/>
      <w:kern w:val="0"/>
      <w:sz w:val="20"/>
      <w:szCs w:val="20"/>
    </w:rPr>
  </w:style>
  <w:style w:type="character" w:customStyle="1" w:styleId="50">
    <w:name w:val="标题 5 字符"/>
    <w:link w:val="7"/>
    <w:qFormat/>
    <w:uiPriority w:val="0"/>
    <w:rPr>
      <w:rFonts w:ascii="Times New Roman" w:hAnsi="Times New Roman" w:eastAsia="宋体" w:cs="Times New Roman"/>
      <w:b/>
      <w:sz w:val="28"/>
      <w:szCs w:val="24"/>
    </w:rPr>
  </w:style>
  <w:style w:type="character" w:customStyle="1" w:styleId="51">
    <w:name w:val="标题 7 字符"/>
    <w:link w:val="10"/>
    <w:qFormat/>
    <w:uiPriority w:val="0"/>
    <w:rPr>
      <w:rFonts w:ascii="Times New Roman" w:hAnsi="Times New Roman" w:eastAsia="宋体" w:cs="Times New Roman"/>
      <w:b/>
      <w:sz w:val="24"/>
      <w:szCs w:val="24"/>
    </w:rPr>
  </w:style>
  <w:style w:type="character" w:customStyle="1" w:styleId="52">
    <w:name w:val="1ji Char"/>
    <w:link w:val="53"/>
    <w:qFormat/>
    <w:uiPriority w:val="0"/>
    <w:rPr>
      <w:rFonts w:ascii="宋体" w:hAnsi="宋体" w:eastAsia="宋体" w:cs="Times New Roman"/>
      <w:b/>
      <w:bCs/>
      <w:kern w:val="44"/>
      <w:sz w:val="36"/>
      <w:szCs w:val="44"/>
    </w:rPr>
  </w:style>
  <w:style w:type="paragraph" w:customStyle="1" w:styleId="53">
    <w:name w:val="1ji"/>
    <w:basedOn w:val="3"/>
    <w:link w:val="52"/>
    <w:qFormat/>
    <w:uiPriority w:val="0"/>
    <w:pPr>
      <w:widowControl/>
      <w:spacing w:before="0" w:after="0" w:line="240" w:lineRule="auto"/>
      <w:jc w:val="center"/>
    </w:pPr>
    <w:rPr>
      <w:rFonts w:ascii="宋体" w:hAnsi="宋体"/>
      <w:sz w:val="36"/>
    </w:rPr>
  </w:style>
  <w:style w:type="character" w:customStyle="1" w:styleId="54">
    <w:name w:val="普通文字 Char Char2"/>
    <w:qFormat/>
    <w:uiPriority w:val="0"/>
    <w:rPr>
      <w:rFonts w:ascii="宋体" w:hAnsi="Courier New" w:eastAsia="宋体"/>
      <w:kern w:val="2"/>
      <w:sz w:val="21"/>
      <w:lang w:val="en-US" w:eastAsia="zh-CN" w:bidi="ar-SA"/>
    </w:rPr>
  </w:style>
  <w:style w:type="character" w:customStyle="1" w:styleId="55">
    <w:name w:val="批注文字 字符"/>
    <w:link w:val="16"/>
    <w:semiHidden/>
    <w:qFormat/>
    <w:uiPriority w:val="99"/>
    <w:rPr>
      <w:rFonts w:ascii="Times New Roman" w:hAnsi="Times New Roman" w:eastAsia="宋体" w:cs="Times New Roman"/>
      <w:szCs w:val="24"/>
    </w:rPr>
  </w:style>
  <w:style w:type="character" w:customStyle="1" w:styleId="56">
    <w:name w:val="样式 正文（缩进） Char"/>
    <w:link w:val="57"/>
    <w:qFormat/>
    <w:uiPriority w:val="0"/>
    <w:rPr>
      <w:rFonts w:ascii="宋体" w:hAnsi="宋体"/>
      <w:szCs w:val="24"/>
    </w:rPr>
  </w:style>
  <w:style w:type="paragraph" w:customStyle="1" w:styleId="57">
    <w:name w:val="样式 正文（缩进）"/>
    <w:basedOn w:val="1"/>
    <w:link w:val="56"/>
    <w:qFormat/>
    <w:uiPriority w:val="0"/>
    <w:pPr>
      <w:ind w:firstLine="480" w:firstLineChars="200"/>
    </w:pPr>
    <w:rPr>
      <w:rFonts w:ascii="宋体" w:hAnsi="宋体"/>
      <w:kern w:val="0"/>
      <w:sz w:val="20"/>
    </w:rPr>
  </w:style>
  <w:style w:type="character" w:customStyle="1" w:styleId="58">
    <w:name w:val="标题 6 字符"/>
    <w:link w:val="9"/>
    <w:qFormat/>
    <w:uiPriority w:val="0"/>
    <w:rPr>
      <w:rFonts w:ascii="Arial" w:hAnsi="Arial" w:eastAsia="黑体" w:cs="Times New Roman"/>
      <w:b/>
      <w:sz w:val="24"/>
      <w:szCs w:val="24"/>
    </w:rPr>
  </w:style>
  <w:style w:type="character" w:customStyle="1" w:styleId="59">
    <w:name w:val="标题 1 字符"/>
    <w:link w:val="3"/>
    <w:qFormat/>
    <w:uiPriority w:val="0"/>
    <w:rPr>
      <w:rFonts w:ascii="Times New Roman" w:hAnsi="Times New Roman" w:eastAsia="宋体" w:cs="Times New Roman"/>
      <w:b/>
      <w:bCs/>
      <w:kern w:val="44"/>
      <w:sz w:val="44"/>
      <w:szCs w:val="44"/>
    </w:rPr>
  </w:style>
  <w:style w:type="character" w:customStyle="1" w:styleId="60">
    <w:name w:val="标题 3 字符"/>
    <w:link w:val="5"/>
    <w:qFormat/>
    <w:uiPriority w:val="0"/>
    <w:rPr>
      <w:rFonts w:ascii="Times New Roman" w:hAnsi="Times New Roman" w:eastAsia="宋体" w:cs="Times New Roman"/>
      <w:b/>
      <w:bCs/>
      <w:sz w:val="32"/>
      <w:szCs w:val="32"/>
    </w:rPr>
  </w:style>
  <w:style w:type="character" w:customStyle="1" w:styleId="61">
    <w:name w:val="标题 9 字符"/>
    <w:link w:val="12"/>
    <w:qFormat/>
    <w:uiPriority w:val="0"/>
    <w:rPr>
      <w:rFonts w:ascii="Arial" w:hAnsi="Arial" w:eastAsia="黑体" w:cs="Times New Roman"/>
      <w:szCs w:val="24"/>
    </w:rPr>
  </w:style>
  <w:style w:type="character" w:customStyle="1" w:styleId="62">
    <w:name w:val="正文文本 2 字符"/>
    <w:link w:val="29"/>
    <w:qFormat/>
    <w:uiPriority w:val="0"/>
    <w:rPr>
      <w:rFonts w:ascii="Times New Roman" w:hAnsi="Times New Roman" w:eastAsia="宋体" w:cs="Times New Roman"/>
      <w:szCs w:val="24"/>
    </w:rPr>
  </w:style>
  <w:style w:type="character" w:customStyle="1" w:styleId="63">
    <w:name w:val="批注主题 字符"/>
    <w:link w:val="33"/>
    <w:semiHidden/>
    <w:qFormat/>
    <w:uiPriority w:val="0"/>
    <w:rPr>
      <w:rFonts w:ascii="Times New Roman" w:hAnsi="Times New Roman" w:eastAsia="宋体" w:cs="Times New Roman"/>
      <w:b/>
      <w:bCs/>
      <w:szCs w:val="24"/>
    </w:rPr>
  </w:style>
  <w:style w:type="character" w:customStyle="1" w:styleId="64">
    <w:name w:val="纯文本 字符1"/>
    <w:link w:val="22"/>
    <w:qFormat/>
    <w:uiPriority w:val="0"/>
    <w:rPr>
      <w:rFonts w:ascii="宋体" w:hAnsi="Courier New" w:eastAsia="宋体" w:cs="Courier New"/>
      <w:szCs w:val="21"/>
    </w:rPr>
  </w:style>
  <w:style w:type="character" w:customStyle="1" w:styleId="65">
    <w:name w:val="正文文本缩进 字符"/>
    <w:link w:val="19"/>
    <w:qFormat/>
    <w:uiPriority w:val="0"/>
    <w:rPr>
      <w:rFonts w:ascii="仿宋_GB2312" w:hAnsi="Times New Roman" w:eastAsia="仿宋_GB2312" w:cs="Times New Roman"/>
      <w:sz w:val="32"/>
      <w:szCs w:val="20"/>
    </w:rPr>
  </w:style>
  <w:style w:type="character" w:customStyle="1" w:styleId="66">
    <w:name w:val="标题 2 字符"/>
    <w:link w:val="4"/>
    <w:qFormat/>
    <w:uiPriority w:val="0"/>
    <w:rPr>
      <w:rFonts w:ascii="Arial" w:hAnsi="Arial" w:eastAsia="黑体" w:cs="Times New Roman"/>
      <w:b/>
      <w:bCs/>
      <w:sz w:val="32"/>
      <w:szCs w:val="32"/>
    </w:rPr>
  </w:style>
  <w:style w:type="character" w:customStyle="1" w:styleId="67">
    <w:name w:val="正文文本缩进 2 字符"/>
    <w:link w:val="24"/>
    <w:qFormat/>
    <w:uiPriority w:val="0"/>
    <w:rPr>
      <w:rFonts w:ascii="Times New Roman" w:hAnsi="Times New Roman" w:eastAsia="宋体" w:cs="Times New Roman"/>
      <w:sz w:val="32"/>
      <w:szCs w:val="20"/>
    </w:rPr>
  </w:style>
  <w:style w:type="character" w:customStyle="1" w:styleId="68">
    <w:name w:val="日期 字符"/>
    <w:link w:val="23"/>
    <w:qFormat/>
    <w:uiPriority w:val="0"/>
    <w:rPr>
      <w:rFonts w:ascii="宋体" w:hAnsi="Courier New" w:eastAsia="宋体" w:cs="Courier New"/>
      <w:szCs w:val="21"/>
    </w:rPr>
  </w:style>
  <w:style w:type="character" w:customStyle="1" w:styleId="69">
    <w:name w:val="页眉 字符"/>
    <w:link w:val="27"/>
    <w:semiHidden/>
    <w:qFormat/>
    <w:uiPriority w:val="99"/>
    <w:rPr>
      <w:sz w:val="18"/>
      <w:szCs w:val="18"/>
    </w:rPr>
  </w:style>
  <w:style w:type="character" w:customStyle="1" w:styleId="70">
    <w:name w:val="标题 8 字符"/>
    <w:link w:val="11"/>
    <w:qFormat/>
    <w:uiPriority w:val="0"/>
    <w:rPr>
      <w:rFonts w:ascii="Arial" w:hAnsi="Arial" w:eastAsia="黑体" w:cs="Times New Roman"/>
      <w:sz w:val="24"/>
      <w:szCs w:val="24"/>
    </w:rPr>
  </w:style>
  <w:style w:type="character" w:customStyle="1" w:styleId="71">
    <w:name w:val="正文文本缩进 3 字符"/>
    <w:link w:val="28"/>
    <w:qFormat/>
    <w:uiPriority w:val="0"/>
    <w:rPr>
      <w:rFonts w:ascii="Times New Roman" w:hAnsi="Times New Roman" w:eastAsia="宋体" w:cs="Times New Roman"/>
      <w:sz w:val="16"/>
      <w:szCs w:val="16"/>
    </w:rPr>
  </w:style>
  <w:style w:type="character" w:customStyle="1" w:styleId="72">
    <w:name w:val="标题 4 字符"/>
    <w:link w:val="6"/>
    <w:qFormat/>
    <w:uiPriority w:val="0"/>
    <w:rPr>
      <w:rFonts w:ascii="Arial" w:hAnsi="Arial" w:eastAsia="黑体" w:cs="Times New Roman"/>
      <w:kern w:val="0"/>
      <w:sz w:val="28"/>
      <w:szCs w:val="20"/>
    </w:rPr>
  </w:style>
  <w:style w:type="character" w:customStyle="1" w:styleId="73">
    <w:name w:val="纯文本 字符"/>
    <w:qFormat/>
    <w:uiPriority w:val="0"/>
    <w:rPr>
      <w:rFonts w:ascii="宋体" w:hAnsi="Courier New" w:eastAsia="宋体" w:cs="Courier New"/>
      <w:szCs w:val="21"/>
    </w:rPr>
  </w:style>
  <w:style w:type="paragraph" w:customStyle="1" w:styleId="74">
    <w:name w:val="GP标题3"/>
    <w:basedOn w:val="75"/>
    <w:next w:val="76"/>
    <w:qFormat/>
    <w:uiPriority w:val="0"/>
    <w:pPr>
      <w:numPr>
        <w:ilvl w:val="2"/>
        <w:numId w:val="3"/>
      </w:numPr>
      <w:spacing w:beforeLines="50" w:afterLines="50" w:line="240" w:lineRule="auto"/>
      <w:outlineLvl w:val="2"/>
    </w:pPr>
    <w:rPr>
      <w:rFonts w:hAnsi="华文细黑"/>
      <w:b/>
      <w:color w:val="000000"/>
      <w:sz w:val="28"/>
    </w:rPr>
  </w:style>
  <w:style w:type="paragraph" w:customStyle="1" w:styleId="75">
    <w:name w:val="GP正文(无首行缩进)"/>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76">
    <w:name w:val="GP正文(首行缩进)"/>
    <w:basedOn w:val="75"/>
    <w:qFormat/>
    <w:uiPriority w:val="0"/>
    <w:pPr>
      <w:ind w:firstLine="200" w:firstLineChars="200"/>
    </w:pPr>
  </w:style>
  <w:style w:type="paragraph" w:customStyle="1" w:styleId="77">
    <w:name w:val="List Paragraph1"/>
    <w:basedOn w:val="1"/>
    <w:qFormat/>
    <w:uiPriority w:val="0"/>
    <w:pPr>
      <w:spacing w:before="100" w:beforeAutospacing="1" w:after="100" w:afterAutospacing="1"/>
      <w:ind w:firstLine="420"/>
    </w:pPr>
  </w:style>
  <w:style w:type="paragraph" w:customStyle="1" w:styleId="78">
    <w:name w:val="列出段落1"/>
    <w:basedOn w:val="1"/>
    <w:qFormat/>
    <w:uiPriority w:val="0"/>
    <w:pPr>
      <w:ind w:firstLine="420"/>
    </w:pPr>
    <w:rPr>
      <w:rFonts w:ascii="Calibri" w:hAnsi="Calibri"/>
    </w:rPr>
  </w:style>
  <w:style w:type="paragraph" w:customStyle="1" w:styleId="79">
    <w:name w:val="L5目录"/>
    <w:basedOn w:val="1"/>
    <w:qFormat/>
    <w:uiPriority w:val="0"/>
    <w:pPr>
      <w:spacing w:line="360" w:lineRule="auto"/>
      <w:ind w:left="1008" w:hanging="1008"/>
      <w:outlineLvl w:val="4"/>
    </w:pPr>
    <w:rPr>
      <w:rFonts w:ascii="Calibri" w:hAnsi="Calibri" w:eastAsia="仿宋_GB2312"/>
      <w:b/>
      <w:kern w:val="0"/>
      <w:sz w:val="28"/>
    </w:rPr>
  </w:style>
  <w:style w:type="paragraph" w:customStyle="1" w:styleId="80">
    <w:name w:val="正文段"/>
    <w:basedOn w:val="1"/>
    <w:qFormat/>
    <w:uiPriority w:val="0"/>
    <w:pPr>
      <w:widowControl/>
      <w:snapToGrid w:val="0"/>
      <w:spacing w:afterLines="50"/>
      <w:ind w:firstLine="200" w:firstLineChars="200"/>
    </w:pPr>
    <w:rPr>
      <w:kern w:val="0"/>
      <w:sz w:val="24"/>
      <w:szCs w:val="20"/>
    </w:rPr>
  </w:style>
  <w:style w:type="paragraph" w:customStyle="1" w:styleId="81">
    <w:name w:val="bb"/>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82">
    <w:name w:val="L6目录1"/>
    <w:basedOn w:val="79"/>
    <w:qFormat/>
    <w:uiPriority w:val="0"/>
    <w:pPr>
      <w:ind w:left="1152" w:hanging="1152"/>
      <w:outlineLvl w:val="5"/>
    </w:pPr>
  </w:style>
  <w:style w:type="paragraph" w:customStyle="1" w:styleId="8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4">
    <w:name w:val="L3目录"/>
    <w:basedOn w:val="78"/>
    <w:qFormat/>
    <w:uiPriority w:val="0"/>
    <w:pPr>
      <w:numPr>
        <w:ilvl w:val="2"/>
        <w:numId w:val="4"/>
      </w:numPr>
      <w:outlineLvl w:val="2"/>
    </w:pPr>
    <w:rPr>
      <w:b/>
      <w:sz w:val="32"/>
    </w:rPr>
  </w:style>
  <w:style w:type="paragraph" w:styleId="85">
    <w:name w:val="List Paragraph"/>
    <w:basedOn w:val="1"/>
    <w:qFormat/>
    <w:uiPriority w:val="34"/>
    <w:pPr>
      <w:ind w:firstLine="420"/>
    </w:pPr>
  </w:style>
  <w:style w:type="paragraph" w:customStyle="1" w:styleId="86">
    <w:name w:val="默认段落字体 Para Char Char Char Char Char Char Char Char Char1 Char Char Char Char"/>
    <w:basedOn w:val="1"/>
    <w:qFormat/>
    <w:uiPriority w:val="0"/>
    <w:rPr>
      <w:rFonts w:ascii="Tahoma" w:hAnsi="Tahoma"/>
      <w:sz w:val="24"/>
      <w:szCs w:val="20"/>
    </w:rPr>
  </w:style>
  <w:style w:type="paragraph" w:customStyle="1" w:styleId="8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88">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89">
    <w:name w:val="GP标题2"/>
    <w:basedOn w:val="75"/>
    <w:next w:val="1"/>
    <w:qFormat/>
    <w:uiPriority w:val="0"/>
    <w:pPr>
      <w:numPr>
        <w:ilvl w:val="1"/>
        <w:numId w:val="3"/>
      </w:numPr>
      <w:spacing w:beforeLines="50" w:afterLines="50"/>
      <w:outlineLvl w:val="1"/>
    </w:pPr>
    <w:rPr>
      <w:rFonts w:ascii="宋体" w:hAnsi="宋体"/>
      <w:b/>
      <w:sz w:val="28"/>
      <w:szCs w:val="28"/>
    </w:rPr>
  </w:style>
  <w:style w:type="paragraph" w:customStyle="1" w:styleId="90">
    <w:name w:val="CM7"/>
    <w:basedOn w:val="87"/>
    <w:next w:val="87"/>
    <w:qFormat/>
    <w:uiPriority w:val="99"/>
    <w:pPr>
      <w:spacing w:line="468" w:lineRule="atLeast"/>
    </w:pPr>
    <w:rPr>
      <w:rFonts w:cs="Times New Roman"/>
      <w:color w:val="auto"/>
    </w:rPr>
  </w:style>
  <w:style w:type="paragraph" w:customStyle="1" w:styleId="91">
    <w:name w:val="列出段落2"/>
    <w:basedOn w:val="1"/>
    <w:qFormat/>
    <w:uiPriority w:val="34"/>
    <w:pPr>
      <w:spacing w:line="360" w:lineRule="auto"/>
      <w:ind w:firstLine="420" w:firstLineChars="200"/>
      <w:jc w:val="left"/>
    </w:pPr>
    <w:rPr>
      <w:rFonts w:eastAsia="仿宋_GB2312"/>
      <w:sz w:val="24"/>
      <w:szCs w:val="21"/>
    </w:rPr>
  </w:style>
  <w:style w:type="paragraph" w:customStyle="1" w:styleId="92">
    <w:name w:val="【正文】"/>
    <w:basedOn w:val="1"/>
    <w:qFormat/>
    <w:uiPriority w:val="0"/>
    <w:pPr>
      <w:spacing w:line="360" w:lineRule="auto"/>
    </w:pPr>
    <w:rPr>
      <w:rFonts w:cs="黑体"/>
      <w:sz w:val="24"/>
    </w:rPr>
  </w:style>
  <w:style w:type="paragraph" w:customStyle="1" w:styleId="93">
    <w:name w:val="L4目录"/>
    <w:basedOn w:val="78"/>
    <w:qFormat/>
    <w:uiPriority w:val="0"/>
    <w:pPr>
      <w:numPr>
        <w:ilvl w:val="3"/>
        <w:numId w:val="4"/>
      </w:numPr>
      <w:outlineLvl w:val="3"/>
    </w:pPr>
    <w:rPr>
      <w:b/>
      <w:sz w:val="30"/>
    </w:rPr>
  </w:style>
  <w:style w:type="paragraph" w:customStyle="1" w:styleId="94">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95">
    <w:name w:val="fontstyle01"/>
    <w:basedOn w:val="37"/>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5800</Words>
  <Characters>33065</Characters>
  <Lines>275</Lines>
  <Paragraphs>77</Paragraphs>
  <TotalTime>0</TotalTime>
  <ScaleCrop>false</ScaleCrop>
  <LinksUpToDate>false</LinksUpToDate>
  <CharactersWithSpaces>38788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2020-06-11T04:21:00Z</dcterms:created>
  <dc:creator>飞鸷</dc:creator>
  <cp:lastModifiedBy>Leligo</cp:lastModifiedBy>
  <cp:lastPrinted>2020-03-23T02:22:00Z</cp:lastPrinted>
  <dcterms:modified xsi:type="dcterms:W3CDTF">2020-07-21T03:14:37Z</dcterms:modified>
  <dc:title>公开招标采购文件</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GSEDS_HWMT_d46a6755">
    <vt:lpwstr>f2456066_mFV0yj84Kyk3OspPmHv/qql3Ouk=_8QYrr1ZNQU9SQbpSlweHzY5UnUjEjReqcE4skJpCYbcwG2Uj45zNRcdXtYb+L5Po6PHghVfPnsgsoRXmL1ucQy91lL/NRQ==_d9869ee9</vt:lpwstr>
  </property>
</Properties>
</file>