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hAnsi="宋体" w:cs="宋体"/>
          <w:b/>
          <w:caps/>
          <w:sz w:val="32"/>
          <w:szCs w:val="32"/>
        </w:rPr>
      </w:pPr>
      <w:r>
        <w:rPr>
          <w:rFonts w:hint="eastAsia" w:hAnsi="宋体" w:cs="宋体"/>
          <w:b/>
          <w:caps/>
          <w:sz w:val="32"/>
          <w:szCs w:val="32"/>
        </w:rPr>
        <w:t xml:space="preserve"> </w:t>
      </w:r>
    </w:p>
    <w:p>
      <w:pPr>
        <w:pStyle w:val="11"/>
        <w:jc w:val="center"/>
        <w:rPr>
          <w:rFonts w:hint="eastAsia" w:hAnsi="宋体" w:cs="宋体"/>
          <w:b/>
          <w:sz w:val="24"/>
          <w:szCs w:val="24"/>
        </w:rPr>
      </w:pPr>
      <w:r>
        <w:rPr>
          <w:rFonts w:hint="eastAsia" w:hAnsi="宋体" w:cs="宋体"/>
          <w:b/>
          <w:caps/>
          <w:sz w:val="32"/>
          <w:szCs w:val="32"/>
        </w:rPr>
        <w:pict>
          <v:shape id="_x0000_i1025" o:spt="136" type="#_x0000_t136" style="height:28.5pt;width:405pt;" fillcolor="#0066CC" filled="t" stroked="t" coordsize="21600,21600">
            <v:path/>
            <v:fill on="t" focussize="0,0"/>
            <v:stroke weight="1.5pt" color="#99CCFF"/>
            <v:imagedata o:title=""/>
            <o:lock v:ext="edit"/>
            <v:textpath on="t" fitpath="t" trim="t" xscale="f" string="广西鸿业建设工程管理咨询有限公司" style="font-family:宋体;font-size:36pt;v-text-align:center;"/>
            <v:shadow on="t" color="#990000"/>
            <w10:wrap type="none"/>
            <w10:anchorlock/>
          </v:shape>
        </w:pict>
      </w:r>
    </w:p>
    <w:p>
      <w:pPr>
        <w:pStyle w:val="11"/>
        <w:spacing w:line="360" w:lineRule="exact"/>
        <w:ind w:firstLine="780" w:firstLineChars="325"/>
        <w:jc w:val="center"/>
        <w:rPr>
          <w:rFonts w:hint="eastAsia" w:hAnsi="宋体" w:cs="宋体"/>
          <w:b/>
          <w:sz w:val="24"/>
          <w:szCs w:val="24"/>
        </w:rPr>
      </w:pPr>
    </w:p>
    <w:p>
      <w:pPr>
        <w:pStyle w:val="11"/>
        <w:spacing w:line="360" w:lineRule="exact"/>
        <w:rPr>
          <w:rFonts w:hint="eastAsia" w:hAnsi="宋体" w:cs="宋体"/>
          <w:b/>
          <w:sz w:val="24"/>
          <w:szCs w:val="24"/>
        </w:rPr>
      </w:pPr>
    </w:p>
    <w:p>
      <w:pPr>
        <w:pStyle w:val="11"/>
        <w:spacing w:line="360" w:lineRule="exact"/>
        <w:rPr>
          <w:rFonts w:hint="eastAsia" w:hAnsi="宋体" w:cs="宋体"/>
          <w:b/>
          <w:sz w:val="24"/>
          <w:szCs w:val="24"/>
        </w:rPr>
      </w:pPr>
    </w:p>
    <w:p>
      <w:pPr>
        <w:pStyle w:val="11"/>
        <w:spacing w:line="360" w:lineRule="exact"/>
        <w:jc w:val="center"/>
        <w:rPr>
          <w:rFonts w:hint="eastAsia" w:hAnsi="宋体" w:cs="宋体"/>
          <w:b/>
          <w:sz w:val="24"/>
          <w:szCs w:val="24"/>
        </w:rPr>
      </w:pPr>
    </w:p>
    <w:p>
      <w:pPr>
        <w:pStyle w:val="11"/>
        <w:jc w:val="center"/>
        <w:rPr>
          <w:rFonts w:hint="eastAsia" w:hAnsi="宋体" w:cs="宋体"/>
          <w:b/>
          <w:sz w:val="84"/>
          <w:szCs w:val="84"/>
        </w:rPr>
      </w:pPr>
      <w:r>
        <w:rPr>
          <w:rFonts w:hint="eastAsia" w:hAnsi="宋体" w:cs="宋体"/>
          <w:b/>
          <w:sz w:val="84"/>
          <w:szCs w:val="84"/>
        </w:rPr>
        <w:t>竞争性谈判采购文件</w:t>
      </w: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360" w:lineRule="exact"/>
        <w:ind w:left="2800" w:firstLine="1980" w:firstLineChars="825"/>
        <w:rPr>
          <w:rFonts w:hint="eastAsia" w:hAnsi="宋体" w:cs="宋体"/>
          <w:b/>
          <w:sz w:val="24"/>
          <w:szCs w:val="24"/>
        </w:rPr>
      </w:pPr>
    </w:p>
    <w:p>
      <w:pPr>
        <w:pStyle w:val="11"/>
        <w:spacing w:line="420" w:lineRule="exact"/>
        <w:ind w:left="2800" w:firstLine="2640" w:firstLineChars="825"/>
        <w:rPr>
          <w:rFonts w:hint="eastAsia" w:hAnsi="宋体" w:cs="宋体"/>
          <w:b/>
          <w:sz w:val="32"/>
          <w:szCs w:val="32"/>
        </w:rPr>
      </w:pPr>
    </w:p>
    <w:p>
      <w:pPr>
        <w:pStyle w:val="11"/>
        <w:spacing w:line="360" w:lineRule="exact"/>
        <w:ind w:firstLine="480" w:firstLineChars="150"/>
        <w:rPr>
          <w:rFonts w:hint="eastAsia" w:hAnsi="宋体" w:cs="宋体"/>
          <w:b/>
          <w:sz w:val="32"/>
          <w:szCs w:val="32"/>
        </w:rPr>
      </w:pPr>
      <w:r>
        <w:rPr>
          <w:rFonts w:hint="eastAsia" w:hAnsi="宋体" w:cs="宋体"/>
          <w:b/>
          <w:sz w:val="32"/>
          <w:szCs w:val="32"/>
        </w:rPr>
        <w:t xml:space="preserve">     项目名称：全自动生化仪一台</w:t>
      </w:r>
    </w:p>
    <w:p>
      <w:pPr>
        <w:pStyle w:val="11"/>
        <w:spacing w:line="360" w:lineRule="exact"/>
        <w:ind w:firstLine="480" w:firstLineChars="150"/>
        <w:rPr>
          <w:rFonts w:hint="eastAsia" w:hAnsi="宋体" w:cs="宋体"/>
          <w:b/>
          <w:sz w:val="32"/>
          <w:szCs w:val="32"/>
        </w:rPr>
      </w:pPr>
    </w:p>
    <w:p>
      <w:pPr>
        <w:pStyle w:val="11"/>
        <w:spacing w:line="360" w:lineRule="exact"/>
        <w:ind w:firstLine="480" w:firstLineChars="150"/>
        <w:rPr>
          <w:rFonts w:hint="eastAsia" w:hAnsi="宋体" w:cs="宋体"/>
          <w:b/>
          <w:sz w:val="32"/>
          <w:szCs w:val="32"/>
        </w:rPr>
      </w:pPr>
      <w:r>
        <w:rPr>
          <w:rFonts w:hint="eastAsia" w:hAnsi="宋体" w:cs="宋体"/>
          <w:b/>
          <w:sz w:val="32"/>
          <w:szCs w:val="32"/>
        </w:rPr>
        <w:t xml:space="preserve">     项目编号：BHZC2020-J1-00092-GXHY</w:t>
      </w: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rPr>
          <w:rFonts w:hint="eastAsia" w:hAnsi="宋体" w:cs="宋体"/>
          <w:sz w:val="24"/>
          <w:szCs w:val="24"/>
        </w:rPr>
      </w:pPr>
    </w:p>
    <w:p>
      <w:pPr>
        <w:pStyle w:val="11"/>
        <w:spacing w:line="360" w:lineRule="exact"/>
        <w:ind w:firstLine="1350" w:firstLineChars="450"/>
        <w:rPr>
          <w:rFonts w:hint="eastAsia" w:hAnsi="宋体" w:cs="宋体"/>
          <w:sz w:val="24"/>
          <w:szCs w:val="24"/>
        </w:rPr>
      </w:pPr>
      <w:r>
        <w:rPr>
          <w:rFonts w:hint="eastAsia" w:hAnsi="宋体" w:cs="宋体"/>
          <w:b/>
          <w:sz w:val="30"/>
          <w:szCs w:val="30"/>
        </w:rPr>
        <w:t>采   购   人：合浦县人民医院</w:t>
      </w:r>
    </w:p>
    <w:p>
      <w:pPr>
        <w:ind w:firstLine="1312" w:firstLineChars="547"/>
        <w:rPr>
          <w:rFonts w:hint="eastAsia" w:ascii="宋体" w:hAnsi="宋体" w:cs="宋体"/>
          <w:b/>
          <w:sz w:val="30"/>
          <w:szCs w:val="30"/>
          <w:u w:val="single"/>
        </w:rPr>
      </w:pPr>
      <w:r>
        <w:rPr>
          <w:rFonts w:hint="eastAsia" w:ascii="宋体" w:hAnsi="宋体" w:cs="宋体"/>
          <w:sz w:val="24"/>
        </w:rPr>
        <w:pict>
          <v:line id="_x0000_s1353" o:spid="_x0000_s1353" o:spt="20" style="position:absolute;left:0pt;flip:y;margin-left:26.25pt;margin-top:2.85pt;height:0.05pt;width:441pt;z-index:251660288;mso-width-relative:page;mso-height-relative:page;" stroked="t" coordsize="21600,21600">
            <v:path arrowok="t"/>
            <v:fill focussize="0,0"/>
            <v:stroke weight="5pt" color="#FF0000" linestyle="thickBetweenThin"/>
            <v:imagedata o:title=""/>
            <o:lock v:ext="edit"/>
          </v:line>
        </w:pict>
      </w:r>
      <w:r>
        <w:rPr>
          <w:rFonts w:hint="eastAsia" w:ascii="宋体" w:hAnsi="宋体" w:cs="宋体"/>
          <w:b/>
          <w:sz w:val="30"/>
          <w:szCs w:val="30"/>
        </w:rPr>
        <w:t>采购代理机构：广西鸿业建设工程管理咨询有限公司</w:t>
      </w:r>
    </w:p>
    <w:p>
      <w:pPr>
        <w:ind w:firstLine="3311" w:firstLineChars="1104"/>
        <w:rPr>
          <w:rFonts w:hint="eastAsia" w:ascii="宋体" w:hAnsi="宋体" w:cs="宋体"/>
          <w:b/>
          <w:sz w:val="30"/>
          <w:szCs w:val="30"/>
        </w:rPr>
      </w:pPr>
      <w:r>
        <w:rPr>
          <w:rFonts w:hint="eastAsia" w:ascii="宋体" w:hAnsi="宋体" w:cs="宋体"/>
          <w:b/>
          <w:sz w:val="30"/>
          <w:szCs w:val="30"/>
        </w:rPr>
        <w:t>2020年12月</w:t>
      </w:r>
    </w:p>
    <w:p>
      <w:pPr>
        <w:rPr>
          <w:rFonts w:hint="eastAsia" w:ascii="宋体" w:hAnsi="宋体" w:cs="宋体"/>
          <w:b/>
          <w:sz w:val="28"/>
          <w:szCs w:val="28"/>
        </w:rPr>
        <w:sectPr>
          <w:headerReference r:id="rId4" w:type="first"/>
          <w:headerReference r:id="rId3" w:type="default"/>
          <w:footerReference r:id="rId5" w:type="default"/>
          <w:pgSz w:w="11906" w:h="16838"/>
          <w:pgMar w:top="851" w:right="895" w:bottom="851" w:left="1131" w:header="454" w:footer="454" w:gutter="0"/>
          <w:pgNumType w:start="0"/>
          <w:cols w:space="720" w:num="1"/>
          <w:titlePg/>
          <w:docGrid w:type="linesAndChars" w:linePitch="331" w:charSpace="0"/>
        </w:sectPr>
      </w:pPr>
    </w:p>
    <w:p>
      <w:pPr>
        <w:spacing w:line="200" w:lineRule="exact"/>
        <w:ind w:right="-413" w:rightChars="-197"/>
        <w:rPr>
          <w:rFonts w:hint="eastAsia" w:ascii="宋体" w:hAnsi="宋体" w:cs="宋体"/>
          <w:b/>
          <w:sz w:val="30"/>
          <w:szCs w:val="30"/>
        </w:rPr>
      </w:pPr>
      <w:r>
        <w:rPr>
          <w:rFonts w:hint="eastAsia" w:ascii="宋体" w:hAnsi="宋体" w:cs="宋体"/>
          <w:b/>
          <w:sz w:val="30"/>
          <w:szCs w:val="30"/>
        </w:rPr>
        <w:br w:type="page"/>
      </w:r>
    </w:p>
    <w:p>
      <w:pPr>
        <w:spacing w:line="440" w:lineRule="exact"/>
        <w:ind w:right="-413" w:rightChars="-197"/>
        <w:jc w:val="center"/>
        <w:rPr>
          <w:rFonts w:hint="eastAsia" w:ascii="宋体" w:hAnsi="宋体" w:cs="宋体"/>
          <w:b/>
          <w:bCs/>
          <w:spacing w:val="10"/>
          <w:kern w:val="0"/>
          <w:sz w:val="28"/>
          <w:szCs w:val="28"/>
        </w:rPr>
      </w:pPr>
      <w:r>
        <w:rPr>
          <w:rFonts w:hint="eastAsia" w:ascii="宋体" w:hAnsi="宋体" w:cs="宋体"/>
          <w:b/>
          <w:bCs/>
          <w:spacing w:val="10"/>
          <w:kern w:val="0"/>
          <w:sz w:val="28"/>
          <w:szCs w:val="28"/>
        </w:rPr>
        <w:t>广西鸿业建设工程管理咨询有限公司全自动生化仪一台</w:t>
      </w:r>
    </w:p>
    <w:p>
      <w:pPr>
        <w:spacing w:line="440" w:lineRule="exact"/>
        <w:ind w:right="-413" w:rightChars="-197"/>
        <w:jc w:val="center"/>
        <w:rPr>
          <w:rFonts w:hint="eastAsia" w:ascii="宋体" w:hAnsi="宋体" w:cs="宋体"/>
          <w:b/>
          <w:bCs/>
          <w:spacing w:val="2"/>
          <w:kern w:val="0"/>
          <w:sz w:val="32"/>
          <w:szCs w:val="32"/>
        </w:rPr>
      </w:pPr>
      <w:r>
        <w:rPr>
          <w:rFonts w:hint="eastAsia" w:ascii="宋体" w:hAnsi="宋体" w:cs="宋体"/>
          <w:b/>
          <w:bCs/>
          <w:spacing w:val="2"/>
          <w:kern w:val="0"/>
          <w:sz w:val="28"/>
          <w:szCs w:val="28"/>
        </w:rPr>
        <w:t>竞争性谈判公告【政采编号：（货物类）2020196】</w:t>
      </w:r>
    </w:p>
    <w:p>
      <w:pPr>
        <w:spacing w:line="200" w:lineRule="exact"/>
        <w:ind w:right="-413" w:rightChars="-197"/>
        <w:jc w:val="center"/>
        <w:rPr>
          <w:rFonts w:hint="eastAsia" w:ascii="宋体" w:hAnsi="宋体" w:cs="宋体"/>
          <w:b/>
          <w:bCs/>
          <w:spacing w:val="2"/>
          <w:kern w:val="0"/>
          <w:sz w:val="32"/>
          <w:szCs w:val="32"/>
        </w:rPr>
      </w:pPr>
    </w:p>
    <w:p>
      <w:pPr>
        <w:spacing w:line="440" w:lineRule="exact"/>
        <w:ind w:firstLine="480" w:firstLineChars="200"/>
        <w:rPr>
          <w:rFonts w:hint="eastAsia" w:ascii="宋体" w:hAnsi="宋体" w:cs="宋体"/>
          <w:sz w:val="24"/>
        </w:rPr>
      </w:pPr>
      <w:r>
        <w:rPr>
          <w:rFonts w:hint="eastAsia" w:ascii="宋体" w:hAnsi="宋体" w:cs="宋体"/>
          <w:sz w:val="24"/>
        </w:rPr>
        <w:t>广西鸿业建设工程管理咨询有限公司受合浦县人民医院委托，根据《中华人民共和国政府采购法》等有关规定，现对全自动生化仪一台进行竞争性谈判，欢迎符合条件的供应商前来参加谈判活动。</w:t>
      </w:r>
    </w:p>
    <w:p>
      <w:pPr>
        <w:spacing w:line="440" w:lineRule="exact"/>
        <w:ind w:firstLine="465"/>
        <w:rPr>
          <w:rFonts w:hint="eastAsia" w:ascii="宋体" w:hAnsi="宋体" w:cs="宋体"/>
          <w:sz w:val="24"/>
        </w:rPr>
      </w:pPr>
      <w:r>
        <w:rPr>
          <w:rFonts w:hint="eastAsia" w:ascii="宋体" w:hAnsi="宋体" w:cs="宋体"/>
          <w:b/>
          <w:sz w:val="24"/>
        </w:rPr>
        <w:t>一、采购项目名称：</w:t>
      </w:r>
      <w:r>
        <w:rPr>
          <w:rFonts w:hint="eastAsia" w:ascii="宋体" w:hAnsi="宋体" w:cs="宋体"/>
          <w:spacing w:val="10"/>
          <w:kern w:val="0"/>
          <w:sz w:val="24"/>
        </w:rPr>
        <w:t>全自动生化仪一台</w:t>
      </w:r>
    </w:p>
    <w:p>
      <w:pPr>
        <w:spacing w:line="440" w:lineRule="exact"/>
        <w:ind w:firstLine="465"/>
        <w:rPr>
          <w:rFonts w:hint="eastAsia" w:ascii="宋体" w:hAnsi="宋体" w:cs="宋体"/>
          <w:b/>
          <w:sz w:val="24"/>
        </w:rPr>
      </w:pPr>
      <w:r>
        <w:rPr>
          <w:rFonts w:hint="eastAsia" w:ascii="宋体" w:hAnsi="宋体" w:cs="宋体"/>
          <w:b/>
          <w:sz w:val="24"/>
        </w:rPr>
        <w:t>二、采购项目编号：</w:t>
      </w:r>
      <w:r>
        <w:rPr>
          <w:rFonts w:hint="eastAsia" w:ascii="宋体" w:hAnsi="宋体" w:cs="宋体"/>
          <w:bCs/>
          <w:sz w:val="24"/>
        </w:rPr>
        <w:t>BHZC2020-J1-00092-GXHY</w:t>
      </w:r>
    </w:p>
    <w:p>
      <w:pPr>
        <w:spacing w:line="440" w:lineRule="exact"/>
        <w:ind w:firstLine="480"/>
        <w:rPr>
          <w:rFonts w:hint="eastAsia" w:ascii="宋体" w:hAnsi="宋体" w:cs="宋体"/>
          <w:bCs/>
          <w:sz w:val="24"/>
        </w:rPr>
      </w:pPr>
      <w:r>
        <w:rPr>
          <w:rFonts w:hint="eastAsia" w:ascii="宋体" w:hAnsi="宋体" w:cs="宋体"/>
          <w:b/>
          <w:sz w:val="24"/>
        </w:rPr>
        <w:t>三、采购项目的名称、数量、简要规格描述或项目基本概况介绍：</w:t>
      </w:r>
      <w:r>
        <w:rPr>
          <w:rFonts w:hint="eastAsia" w:ascii="宋体" w:hAnsi="宋体" w:cs="宋体"/>
          <w:bCs/>
          <w:sz w:val="24"/>
        </w:rPr>
        <w:t>采购全自动生化仪1台，包括供货、安装、调试及后期服务，如需进一步了解详细内容，见竞争性谈判文件。</w:t>
      </w:r>
    </w:p>
    <w:p>
      <w:pPr>
        <w:spacing w:line="440" w:lineRule="exact"/>
        <w:ind w:firstLine="470" w:firstLineChars="196"/>
        <w:rPr>
          <w:rFonts w:hint="eastAsia" w:ascii="宋体" w:hAnsi="宋体" w:cs="宋体"/>
          <w:sz w:val="24"/>
        </w:rPr>
      </w:pPr>
      <w:r>
        <w:rPr>
          <w:rFonts w:hint="eastAsia" w:ascii="宋体" w:hAnsi="宋体" w:cs="宋体"/>
          <w:b/>
          <w:sz w:val="24"/>
        </w:rPr>
        <w:t>四、采购预算金额（人民币）：</w:t>
      </w:r>
      <w:r>
        <w:rPr>
          <w:rFonts w:hint="eastAsia" w:ascii="宋体" w:hAnsi="宋体" w:cs="宋体"/>
          <w:bCs/>
          <w:sz w:val="24"/>
          <w:u w:val="single"/>
        </w:rPr>
        <w:t>玖拾壹万元整（￥910000.00元）</w:t>
      </w:r>
      <w:r>
        <w:rPr>
          <w:rFonts w:hint="eastAsia" w:ascii="宋体" w:hAnsi="宋体" w:cs="宋体"/>
          <w:sz w:val="24"/>
        </w:rPr>
        <w:t xml:space="preserve">。 </w:t>
      </w:r>
    </w:p>
    <w:p>
      <w:pPr>
        <w:spacing w:line="440" w:lineRule="exact"/>
        <w:ind w:firstLine="470" w:firstLineChars="196"/>
        <w:rPr>
          <w:rFonts w:hint="eastAsia" w:ascii="宋体" w:hAnsi="宋体" w:cs="宋体"/>
          <w:bCs/>
          <w:sz w:val="24"/>
        </w:rPr>
      </w:pPr>
      <w:r>
        <w:rPr>
          <w:rFonts w:hint="eastAsia" w:ascii="宋体" w:hAnsi="宋体" w:cs="宋体"/>
          <w:b/>
          <w:sz w:val="24"/>
        </w:rPr>
        <w:t>五、本项目需要落实的政府采购政策：</w:t>
      </w:r>
      <w:r>
        <w:rPr>
          <w:rFonts w:hint="eastAsia" w:ascii="宋体" w:hAnsi="宋体" w:cs="宋体"/>
          <w:bCs/>
          <w:sz w:val="24"/>
        </w:rPr>
        <w:t>《中华人民共和国政府采购法》《中华人民共和国政府采购法实施条例》《政府采购非招标采购方式管理办法》和《政府采购促进中小企业发展暂行办法》等。</w:t>
      </w:r>
    </w:p>
    <w:p>
      <w:pPr>
        <w:spacing w:line="44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六、谈判供应商资格要求：</w:t>
      </w:r>
    </w:p>
    <w:p>
      <w:pPr>
        <w:spacing w:line="440" w:lineRule="exact"/>
        <w:rPr>
          <w:rFonts w:hint="eastAsia" w:ascii="宋体" w:hAnsi="宋体" w:cs="宋体"/>
          <w:sz w:val="24"/>
        </w:rPr>
      </w:pPr>
      <w:r>
        <w:rPr>
          <w:rFonts w:hint="eastAsia" w:ascii="宋体" w:hAnsi="宋体" w:cs="宋体"/>
          <w:sz w:val="24"/>
        </w:rPr>
        <w:t xml:space="preserve">    1.符合《中华人民共和国政府采购法》第二十二条规定</w:t>
      </w:r>
      <w:r>
        <w:rPr>
          <w:rFonts w:hint="eastAsia" w:hAnsi="宋体" w:cs="宋体"/>
          <w:sz w:val="24"/>
        </w:rPr>
        <w:t>；</w:t>
      </w:r>
    </w:p>
    <w:p>
      <w:pPr>
        <w:spacing w:line="440" w:lineRule="exact"/>
        <w:rPr>
          <w:rFonts w:hint="eastAsia" w:ascii="宋体" w:hAnsi="宋体" w:cs="宋体"/>
          <w:sz w:val="24"/>
        </w:rPr>
      </w:pPr>
      <w:r>
        <w:rPr>
          <w:rFonts w:hint="eastAsia" w:ascii="宋体" w:hAnsi="宋体" w:cs="宋体"/>
          <w:sz w:val="24"/>
        </w:rPr>
        <w:t xml:space="preserve">    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40" w:lineRule="exact"/>
        <w:ind w:firstLine="480" w:firstLineChars="200"/>
        <w:rPr>
          <w:rFonts w:hint="eastAsia" w:ascii="宋体" w:hAnsi="宋体" w:cs="宋体"/>
          <w:sz w:val="24"/>
        </w:rPr>
      </w:pPr>
      <w:r>
        <w:rPr>
          <w:rFonts w:hint="eastAsia" w:ascii="宋体" w:hAnsi="宋体" w:cs="宋体"/>
          <w:sz w:val="24"/>
          <w:shd w:val="clear" w:color="auto" w:fill="FFFFFF"/>
        </w:rPr>
        <w:t>3.对在“信用中国”网站(www.creditchina.gov.cn)、中国政府采购网(www.ccgp.gov.cn) 等渠道列入失信被执行人、重大税收违法案件当事人名单、政府采购严重违法失信行为记录名单的供应商，不得参与政府采购活动；</w:t>
      </w:r>
    </w:p>
    <w:p>
      <w:pPr>
        <w:spacing w:line="440" w:lineRule="exact"/>
        <w:ind w:firstLine="480" w:firstLineChars="200"/>
        <w:rPr>
          <w:rFonts w:hint="eastAsia" w:ascii="宋体" w:hAnsi="宋体" w:cs="宋体"/>
          <w:sz w:val="24"/>
        </w:rPr>
      </w:pPr>
      <w:r>
        <w:rPr>
          <w:rFonts w:hint="eastAsia" w:ascii="宋体" w:hAnsi="宋体" w:cs="宋体"/>
          <w:sz w:val="24"/>
        </w:rPr>
        <w:t xml:space="preserve">4.本项目不接受联合体参与竞标。 </w:t>
      </w:r>
    </w:p>
    <w:p>
      <w:pPr>
        <w:spacing w:line="44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七、竞争性谈判文件的获取：</w:t>
      </w:r>
    </w:p>
    <w:p>
      <w:pPr>
        <w:spacing w:line="440" w:lineRule="exact"/>
        <w:rPr>
          <w:rFonts w:hint="eastAsia" w:ascii="宋体" w:hAnsi="宋体" w:cs="宋体"/>
          <w:sz w:val="24"/>
        </w:rPr>
      </w:pPr>
      <w:r>
        <w:rPr>
          <w:rFonts w:hint="eastAsia" w:ascii="宋体" w:hAnsi="宋体" w:cs="宋体"/>
          <w:sz w:val="24"/>
        </w:rPr>
        <w:t xml:space="preserve">    1.时间：2020年12月2日公告发布之时起至2020年12月4日止（北京时间，法定节假日除外 ）。</w:t>
      </w:r>
    </w:p>
    <w:p>
      <w:pPr>
        <w:spacing w:line="440" w:lineRule="exact"/>
        <w:rPr>
          <w:rFonts w:hint="eastAsia" w:ascii="宋体" w:hAnsi="宋体" w:cs="宋体"/>
          <w:sz w:val="24"/>
          <w:u w:val="single"/>
        </w:rPr>
      </w:pPr>
      <w:r>
        <w:rPr>
          <w:rFonts w:hint="eastAsia" w:ascii="宋体" w:hAnsi="宋体" w:cs="宋体"/>
          <w:sz w:val="24"/>
        </w:rPr>
        <w:t xml:space="preserve">    2.地点：</w:t>
      </w:r>
      <w:r>
        <w:rPr>
          <w:rFonts w:hint="eastAsia" w:ascii="宋体" w:hAnsi="宋体" w:cs="宋体"/>
          <w:kern w:val="0"/>
          <w:sz w:val="24"/>
        </w:rPr>
        <w:t>广西政府采购网政采云平台（http://zfcg.gxzf.gov.cn/）；</w:t>
      </w:r>
    </w:p>
    <w:p>
      <w:pPr>
        <w:spacing w:line="440" w:lineRule="exact"/>
        <w:ind w:firstLine="240" w:firstLineChars="100"/>
        <w:rPr>
          <w:rFonts w:hint="eastAsia" w:ascii="宋体" w:hAnsi="宋体" w:cs="宋体"/>
          <w:sz w:val="24"/>
        </w:rPr>
      </w:pPr>
      <w:r>
        <w:rPr>
          <w:rFonts w:hint="eastAsia" w:ascii="宋体" w:hAnsi="宋体" w:cs="宋体"/>
          <w:sz w:val="24"/>
        </w:rPr>
        <w:t xml:space="preserve">  3.方式：供应商登录政采云平台（https://www.zcygov.cn/）在线自行下载采购文件；未注册的供应商可在政采云平台完成注册后再进行文件下载。如在操作过程中遇到问题或需技术支持，请致电政采云客服热线：400-881-7190。</w:t>
      </w:r>
    </w:p>
    <w:p>
      <w:pPr>
        <w:spacing w:line="44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八、响应文件递交截止时间和地点:</w:t>
      </w:r>
    </w:p>
    <w:p>
      <w:pPr>
        <w:spacing w:line="480" w:lineRule="exact"/>
        <w:rPr>
          <w:rFonts w:hint="eastAsia" w:ascii="宋体" w:hAnsi="宋体" w:cs="宋体"/>
          <w:sz w:val="24"/>
        </w:rPr>
      </w:pPr>
      <w:r>
        <w:rPr>
          <w:rFonts w:hint="eastAsia" w:ascii="宋体" w:hAnsi="宋体" w:cs="宋体"/>
          <w:sz w:val="24"/>
        </w:rPr>
        <w:t xml:space="preserve">    谈判供应商应于2020年12月7日09时30分，将响应文件密封提交到广西北海市合浦县廉州镇廉东大道85号穗丰大厦三楼开标厅，逾期送达的将予以拒收。</w:t>
      </w:r>
    </w:p>
    <w:p>
      <w:pPr>
        <w:spacing w:line="480" w:lineRule="exact"/>
        <w:ind w:firstLine="235" w:firstLineChars="98"/>
        <w:rPr>
          <w:rFonts w:hint="eastAsia" w:ascii="宋体" w:hAnsi="宋体" w:cs="宋体"/>
          <w:sz w:val="24"/>
        </w:rPr>
      </w:pPr>
      <w:r>
        <w:rPr>
          <w:rFonts w:hint="eastAsia" w:ascii="宋体" w:hAnsi="宋体" w:cs="宋体"/>
          <w:b/>
          <w:sz w:val="24"/>
        </w:rPr>
        <w:t>九、谈判时间及地点：</w:t>
      </w:r>
      <w:r>
        <w:rPr>
          <w:rFonts w:hint="eastAsia" w:ascii="宋体" w:hAnsi="宋体" w:cs="宋体"/>
          <w:sz w:val="24"/>
        </w:rPr>
        <w:t>2020年12月7日09时30分截止后为谈判小组与谈判供应商谈判时间。地点：广西北海市合浦县廉州镇廉东大道85号穗丰大厦三楼开标厅，参加谈判的法定代表人(负责人)或委托代理人必须持有效证件[法定代表人(负责人)凭身份证或委托代理人凭法人授权委托书原件和身份证原件、企业营业执照副本复印件]依时到达指定地点等候当面谈判。</w:t>
      </w:r>
    </w:p>
    <w:p>
      <w:pPr>
        <w:widowControl/>
        <w:spacing w:line="360" w:lineRule="auto"/>
        <w:ind w:left="-123" w:leftChars="-59" w:right="96" w:rightChars="46" w:firstLine="480" w:firstLineChars="200"/>
        <w:jc w:val="left"/>
        <w:rPr>
          <w:rFonts w:hint="eastAsia" w:ascii="宋体" w:hAnsi="宋体" w:cs="宋体"/>
          <w:kern w:val="0"/>
          <w:sz w:val="24"/>
        </w:rPr>
      </w:pPr>
      <w:r>
        <w:rPr>
          <w:rFonts w:hint="eastAsia" w:ascii="宋体" w:hAnsi="宋体" w:cs="宋体"/>
          <w:b/>
          <w:sz w:val="24"/>
        </w:rPr>
        <w:t>十、</w:t>
      </w:r>
      <w:r>
        <w:rPr>
          <w:rFonts w:hint="eastAsia" w:ascii="宋体" w:hAnsi="宋体" w:cs="宋体"/>
          <w:b/>
          <w:kern w:val="0"/>
          <w:sz w:val="24"/>
        </w:rPr>
        <w:t>网上查询:</w:t>
      </w:r>
      <w:r>
        <w:rPr>
          <w:rFonts w:hint="eastAsia" w:ascii="宋体" w:hAnsi="宋体" w:cs="宋体"/>
          <w:kern w:val="0"/>
          <w:sz w:val="24"/>
        </w:rPr>
        <w:t xml:space="preserve"> </w:t>
      </w:r>
    </w:p>
    <w:p>
      <w:pPr>
        <w:widowControl/>
        <w:snapToGrid w:val="0"/>
        <w:spacing w:line="360" w:lineRule="auto"/>
        <w:ind w:firstLine="480" w:firstLineChars="200"/>
        <w:jc w:val="left"/>
        <w:rPr>
          <w:rFonts w:hint="eastAsia" w:ascii="宋体" w:hAnsi="宋体" w:cs="宋体"/>
          <w:sz w:val="24"/>
        </w:rPr>
      </w:pPr>
      <w:r>
        <w:rPr>
          <w:rFonts w:hint="eastAsia" w:hAnsi="宋体" w:cs="宋体"/>
          <w:kern w:val="0"/>
          <w:sz w:val="24"/>
        </w:rPr>
        <w:t>中国政府采购网</w:t>
      </w:r>
      <w:r>
        <w:rPr>
          <w:rFonts w:hint="eastAsia" w:ascii="宋体" w:hAnsi="宋体" w:cs="宋体"/>
          <w:kern w:val="0"/>
          <w:sz w:val="24"/>
        </w:rPr>
        <w:t>（http://pub.ccgp.gov.cn/loginx/）、广西壮族自治区政府采购网（http://zfcg.gxzf.gov.cn/)。</w:t>
      </w:r>
      <w:r>
        <w:rPr>
          <w:rFonts w:hint="eastAsia" w:ascii="宋体" w:hAnsi="宋体" w:cs="宋体"/>
          <w:sz w:val="24"/>
        </w:rPr>
        <w:t xml:space="preserve"> </w:t>
      </w:r>
    </w:p>
    <w:p>
      <w:pPr>
        <w:spacing w:line="480" w:lineRule="exact"/>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十一、联系事项</w:t>
      </w:r>
      <w:r>
        <w:rPr>
          <w:rFonts w:hint="eastAsia" w:ascii="宋体" w:hAnsi="宋体" w:cs="宋体"/>
          <w:sz w:val="24"/>
        </w:rPr>
        <w:t>：</w:t>
      </w:r>
    </w:p>
    <w:p>
      <w:pPr>
        <w:numPr>
          <w:ilvl w:val="0"/>
          <w:numId w:val="3"/>
        </w:numPr>
        <w:spacing w:line="480" w:lineRule="exact"/>
        <w:ind w:left="990"/>
        <w:rPr>
          <w:rFonts w:hint="eastAsia" w:ascii="宋体" w:hAnsi="宋体" w:cs="宋体"/>
          <w:sz w:val="24"/>
        </w:rPr>
      </w:pPr>
      <w:r>
        <w:rPr>
          <w:rFonts w:hint="eastAsia" w:ascii="宋体" w:hAnsi="宋体" w:cs="宋体"/>
          <w:sz w:val="24"/>
        </w:rPr>
        <w:t>采购人名称：合浦县人民医院</w:t>
      </w:r>
    </w:p>
    <w:p>
      <w:pPr>
        <w:spacing w:line="480" w:lineRule="exact"/>
        <w:ind w:firstLine="120" w:firstLineChars="50"/>
        <w:rPr>
          <w:rFonts w:hint="eastAsia" w:ascii="宋体" w:hAnsi="宋体" w:cs="宋体"/>
          <w:sz w:val="24"/>
        </w:rPr>
      </w:pPr>
      <w:r>
        <w:rPr>
          <w:rFonts w:hint="eastAsia" w:ascii="宋体" w:hAnsi="宋体" w:cs="宋体"/>
          <w:sz w:val="24"/>
        </w:rPr>
        <w:t xml:space="preserve">       地址：合浦县廉州镇定海北路95号    </w:t>
      </w:r>
    </w:p>
    <w:p>
      <w:pPr>
        <w:spacing w:line="480" w:lineRule="exact"/>
        <w:ind w:firstLine="120" w:firstLineChars="50"/>
        <w:rPr>
          <w:rFonts w:hint="eastAsia" w:ascii="宋体" w:hAnsi="宋体" w:cs="宋体"/>
          <w:sz w:val="24"/>
        </w:rPr>
      </w:pPr>
      <w:r>
        <w:rPr>
          <w:rFonts w:hint="eastAsia" w:ascii="宋体" w:hAnsi="宋体" w:cs="宋体"/>
          <w:sz w:val="24"/>
        </w:rPr>
        <w:t xml:space="preserve">       联系人: 郭主任   联系电话:0779-7284218</w:t>
      </w:r>
    </w:p>
    <w:p>
      <w:pPr>
        <w:spacing w:line="480" w:lineRule="exact"/>
        <w:rPr>
          <w:rFonts w:hint="eastAsia" w:ascii="宋体" w:hAnsi="宋体" w:cs="宋体"/>
          <w:sz w:val="24"/>
        </w:rPr>
      </w:pPr>
      <w:r>
        <w:rPr>
          <w:rFonts w:hint="eastAsia" w:ascii="宋体" w:hAnsi="宋体" w:cs="宋体"/>
          <w:sz w:val="24"/>
        </w:rPr>
        <w:t xml:space="preserve">     2.采购代理机构名称：广西鸿业建设工程管理咨询有限公司</w:t>
      </w:r>
    </w:p>
    <w:p>
      <w:pPr>
        <w:spacing w:line="480" w:lineRule="exact"/>
        <w:rPr>
          <w:rFonts w:hint="eastAsia" w:ascii="宋体" w:hAnsi="宋体" w:cs="宋体"/>
          <w:sz w:val="24"/>
        </w:rPr>
      </w:pPr>
      <w:r>
        <w:rPr>
          <w:rFonts w:hint="eastAsia" w:ascii="宋体" w:hAnsi="宋体" w:cs="宋体"/>
          <w:sz w:val="24"/>
        </w:rPr>
        <w:t xml:space="preserve">       地址：广西北海市合浦县廉州镇廉东大道85号穗丰大厦三楼</w:t>
      </w:r>
    </w:p>
    <w:p>
      <w:pPr>
        <w:spacing w:line="480" w:lineRule="exact"/>
        <w:rPr>
          <w:rFonts w:hint="eastAsia" w:ascii="宋体" w:hAnsi="宋体" w:cs="宋体"/>
          <w:sz w:val="24"/>
        </w:rPr>
      </w:pPr>
      <w:r>
        <w:rPr>
          <w:rFonts w:hint="eastAsia" w:ascii="宋体" w:hAnsi="宋体" w:cs="宋体"/>
          <w:sz w:val="24"/>
        </w:rPr>
        <w:t xml:space="preserve">       项目联系人：沈菊   联系电话:0779-2696039</w:t>
      </w:r>
    </w:p>
    <w:p>
      <w:pPr>
        <w:spacing w:line="480" w:lineRule="exact"/>
        <w:ind w:left="630"/>
        <w:rPr>
          <w:rFonts w:hint="eastAsia" w:ascii="宋体" w:hAnsi="宋体" w:cs="宋体"/>
          <w:sz w:val="24"/>
        </w:rPr>
      </w:pPr>
      <w:r>
        <w:rPr>
          <w:rFonts w:hint="eastAsia" w:ascii="宋体" w:hAnsi="宋体" w:cs="宋体"/>
          <w:sz w:val="24"/>
        </w:rPr>
        <w:t>3.监督部门: 合浦县财政局</w:t>
      </w:r>
      <w:r>
        <w:rPr>
          <w:rFonts w:hint="eastAsia" w:hAnsi="宋体" w:cs="宋体"/>
          <w:sz w:val="24"/>
        </w:rPr>
        <w:t>政府采购监督管理部门</w:t>
      </w:r>
      <w:r>
        <w:rPr>
          <w:rFonts w:hint="eastAsia" w:ascii="宋体" w:hAnsi="宋体" w:cs="宋体"/>
          <w:sz w:val="24"/>
        </w:rPr>
        <w:t xml:space="preserve">      电话: 0779-7213187</w:t>
      </w:r>
    </w:p>
    <w:p>
      <w:pPr>
        <w:spacing w:line="480" w:lineRule="exact"/>
        <w:rPr>
          <w:rFonts w:hint="eastAsia" w:ascii="宋体" w:hAnsi="宋体" w:cs="宋体"/>
          <w:sz w:val="24"/>
        </w:rPr>
      </w:pPr>
      <w:r>
        <w:rPr>
          <w:rFonts w:hint="eastAsia" w:ascii="宋体" w:hAnsi="宋体" w:cs="宋体"/>
          <w:sz w:val="24"/>
        </w:rPr>
        <w:t xml:space="preserve">    </w:t>
      </w:r>
    </w:p>
    <w:p>
      <w:pPr>
        <w:spacing w:line="480" w:lineRule="exact"/>
        <w:rPr>
          <w:rFonts w:hint="eastAsia" w:ascii="宋体" w:hAnsi="宋体" w:cs="宋体"/>
          <w:sz w:val="24"/>
        </w:rPr>
      </w:pPr>
      <w:r>
        <w:rPr>
          <w:rFonts w:hint="eastAsia" w:ascii="宋体" w:hAnsi="宋体" w:cs="宋体"/>
          <w:sz w:val="24"/>
        </w:rPr>
        <w:t xml:space="preserve">                    </w:t>
      </w:r>
    </w:p>
    <w:p>
      <w:pPr>
        <w:spacing w:line="320" w:lineRule="exact"/>
        <w:ind w:right="-413" w:rightChars="-197" w:firstLine="720" w:firstLineChars="300"/>
        <w:rPr>
          <w:rFonts w:hint="eastAsia" w:ascii="宋体" w:hAnsi="宋体" w:cs="宋体"/>
          <w:sz w:val="24"/>
        </w:rPr>
      </w:pPr>
      <w:r>
        <w:rPr>
          <w:rFonts w:hint="eastAsia" w:ascii="宋体" w:hAnsi="宋体" w:cs="宋体"/>
          <w:sz w:val="24"/>
        </w:rPr>
        <w:t>采购人（盖章）                     代理机构（盖章）</w:t>
      </w:r>
    </w:p>
    <w:p>
      <w:pPr>
        <w:spacing w:line="320" w:lineRule="exact"/>
        <w:ind w:right="-413" w:rightChars="-197"/>
        <w:rPr>
          <w:rFonts w:hint="eastAsia" w:ascii="宋体" w:hAnsi="宋体" w:cs="宋体"/>
          <w:sz w:val="24"/>
        </w:rPr>
      </w:pPr>
      <w:r>
        <w:rPr>
          <w:rFonts w:hint="eastAsia" w:ascii="宋体" w:hAnsi="宋体" w:cs="宋体"/>
          <w:sz w:val="24"/>
        </w:rPr>
        <w:t xml:space="preserve">      合浦县人民医院                     广西鸿业建设工程管理咨询有限公司</w:t>
      </w:r>
    </w:p>
    <w:p>
      <w:pPr>
        <w:spacing w:line="320" w:lineRule="exact"/>
        <w:ind w:right="-413" w:rightChars="-197"/>
        <w:rPr>
          <w:rFonts w:hint="eastAsia" w:ascii="宋体" w:hAnsi="宋体" w:cs="宋体"/>
          <w:sz w:val="32"/>
          <w:szCs w:val="32"/>
        </w:rPr>
      </w:pPr>
      <w:r>
        <w:rPr>
          <w:rFonts w:hint="eastAsia" w:ascii="宋体" w:hAnsi="宋体" w:cs="宋体"/>
          <w:sz w:val="24"/>
        </w:rPr>
        <w:t xml:space="preserve">    </w:t>
      </w:r>
      <w:r>
        <w:rPr>
          <w:rFonts w:hint="eastAsia" w:ascii="宋体" w:hAnsi="宋体" w:cs="宋体"/>
          <w:color w:val="FF0000"/>
          <w:sz w:val="24"/>
        </w:rPr>
        <w:t xml:space="preserve"> </w:t>
      </w:r>
      <w:r>
        <w:rPr>
          <w:rFonts w:hint="eastAsia" w:ascii="宋体" w:hAnsi="宋体" w:cs="宋体"/>
          <w:sz w:val="24"/>
        </w:rPr>
        <w:t xml:space="preserve"> 2020年12月2日                    2020年12月2日</w:t>
      </w:r>
    </w:p>
    <w:p>
      <w:pPr>
        <w:pStyle w:val="11"/>
        <w:spacing w:line="380" w:lineRule="exact"/>
        <w:jc w:val="center"/>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p>
    <w:p>
      <w:pPr>
        <w:pStyle w:val="11"/>
        <w:spacing w:line="380" w:lineRule="exact"/>
        <w:jc w:val="center"/>
        <w:rPr>
          <w:rFonts w:hint="eastAsia" w:hAnsi="宋体" w:cs="宋体"/>
          <w:b/>
          <w:sz w:val="36"/>
          <w:szCs w:val="36"/>
        </w:rPr>
      </w:pPr>
      <w:r>
        <w:rPr>
          <w:rFonts w:hint="eastAsia" w:hAnsi="宋体" w:cs="宋体"/>
          <w:b/>
          <w:sz w:val="36"/>
          <w:szCs w:val="36"/>
        </w:rPr>
        <w:t>目   录</w:t>
      </w:r>
    </w:p>
    <w:p>
      <w:pPr>
        <w:pStyle w:val="11"/>
        <w:spacing w:line="380" w:lineRule="exact"/>
        <w:jc w:val="center"/>
        <w:rPr>
          <w:rFonts w:hint="eastAsia" w:hAnsi="宋体" w:cs="宋体"/>
          <w:b/>
          <w:sz w:val="36"/>
          <w:szCs w:val="36"/>
        </w:rPr>
      </w:pPr>
    </w:p>
    <w:p>
      <w:pPr>
        <w:pStyle w:val="19"/>
        <w:tabs>
          <w:tab w:val="right" w:leader="dot" w:pos="9660"/>
        </w:tabs>
        <w:spacing w:line="480" w:lineRule="auto"/>
        <w:rPr>
          <w:lang w:val="en-US" w:eastAsia="zh-CN"/>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"_Toc27654" </w:instrText>
      </w:r>
      <w:r>
        <w:fldChar w:fldCharType="separate"/>
      </w:r>
      <w:r>
        <w:rPr>
          <w:rFonts w:hint="eastAsia" w:ascii="宋体" w:hAnsi="宋体" w:cs="宋体"/>
          <w:b/>
          <w:szCs w:val="32"/>
          <w:lang w:val="en-US" w:eastAsia="zh-CN"/>
        </w:rPr>
        <w:t>第一章  竞争性谈判供应商须知及前附表</w:t>
      </w:r>
      <w:r>
        <w:rPr>
          <w:lang w:val="en-US" w:eastAsia="zh-CN"/>
        </w:rPr>
        <w:tab/>
      </w:r>
      <w:r>
        <w:rPr>
          <w:lang w:val="en-US" w:eastAsia="zh-CN"/>
        </w:rPr>
        <w:fldChar w:fldCharType="begin"/>
      </w:r>
      <w:r>
        <w:rPr>
          <w:lang w:val="en-US" w:eastAsia="zh-CN"/>
        </w:rPr>
        <w:instrText xml:space="preserve"> PAGEREF _Toc27654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"_Toc8105" </w:instrText>
      </w:r>
      <w:r>
        <w:fldChar w:fldCharType="separate"/>
      </w:r>
      <w:r>
        <w:rPr>
          <w:rFonts w:hint="eastAsia" w:ascii="宋体" w:hAnsi="宋体" w:cs="宋体"/>
          <w:bCs/>
          <w:szCs w:val="28"/>
          <w:lang w:val="en-US" w:eastAsia="zh-CN"/>
        </w:rPr>
        <w:t>一、总  则</w:t>
      </w:r>
      <w:r>
        <w:rPr>
          <w:lang w:val="en-US" w:eastAsia="zh-CN"/>
        </w:rPr>
        <w:tab/>
      </w:r>
      <w:r>
        <w:rPr>
          <w:lang w:val="en-US" w:eastAsia="zh-CN"/>
        </w:rPr>
        <w:fldChar w:fldCharType="begin"/>
      </w:r>
      <w:r>
        <w:rPr>
          <w:lang w:val="en-US" w:eastAsia="zh-CN"/>
        </w:rPr>
        <w:instrText xml:space="preserve"> PAGEREF _Toc8105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"_Toc12518" </w:instrText>
      </w:r>
      <w:r>
        <w:fldChar w:fldCharType="separate"/>
      </w:r>
      <w:r>
        <w:rPr>
          <w:rFonts w:hint="eastAsia" w:ascii="宋体" w:hAnsi="宋体" w:cs="宋体"/>
          <w:bCs/>
          <w:szCs w:val="28"/>
          <w:lang w:val="en-US" w:eastAsia="zh-CN"/>
        </w:rPr>
        <w:t>二、竞争性谈判采购文件（简称谈判文件）</w:t>
      </w:r>
      <w:r>
        <w:rPr>
          <w:lang w:val="en-US" w:eastAsia="zh-CN"/>
        </w:rPr>
        <w:tab/>
      </w:r>
      <w:r>
        <w:rPr>
          <w:lang w:val="en-US" w:eastAsia="zh-CN"/>
        </w:rPr>
        <w:fldChar w:fldCharType="begin"/>
      </w:r>
      <w:r>
        <w:rPr>
          <w:lang w:val="en-US" w:eastAsia="zh-CN"/>
        </w:rPr>
        <w:instrText xml:space="preserve"> PAGEREF _Toc12518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"_Toc12974" </w:instrText>
      </w:r>
      <w:r>
        <w:fldChar w:fldCharType="separate"/>
      </w:r>
      <w:r>
        <w:rPr>
          <w:rFonts w:hint="eastAsia" w:ascii="宋体" w:hAnsi="宋体" w:cs="宋体"/>
          <w:bCs/>
          <w:szCs w:val="28"/>
          <w:lang w:val="en-US" w:eastAsia="zh-CN"/>
        </w:rPr>
        <w:t>三、谈判响应文件的编制</w:t>
      </w:r>
      <w:r>
        <w:rPr>
          <w:lang w:val="en-US" w:eastAsia="zh-CN"/>
        </w:rPr>
        <w:tab/>
      </w:r>
      <w:r>
        <w:rPr>
          <w:lang w:val="en-US" w:eastAsia="zh-CN"/>
        </w:rPr>
        <w:fldChar w:fldCharType="begin"/>
      </w:r>
      <w:r>
        <w:rPr>
          <w:lang w:val="en-US" w:eastAsia="zh-CN"/>
        </w:rPr>
        <w:instrText xml:space="preserve"> PAGEREF _Toc12974 </w:instrText>
      </w:r>
      <w:r>
        <w:rPr>
          <w:lang w:val="en-US" w:eastAsia="zh-CN"/>
        </w:rPr>
        <w:fldChar w:fldCharType="separate"/>
      </w:r>
      <w:r>
        <w:rPr>
          <w:lang w:val="en-US" w:eastAsia="zh-CN"/>
        </w:rPr>
        <w:t>7</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"_Toc7945" </w:instrText>
      </w:r>
      <w:r>
        <w:fldChar w:fldCharType="separate"/>
      </w:r>
      <w:r>
        <w:rPr>
          <w:rFonts w:hint="eastAsia" w:ascii="宋体" w:hAnsi="宋体" w:cs="宋体"/>
          <w:bCs/>
          <w:szCs w:val="28"/>
          <w:lang w:val="en-US" w:eastAsia="zh-CN"/>
        </w:rPr>
        <w:t>四、谈判响应文件的递交</w:t>
      </w:r>
      <w:r>
        <w:rPr>
          <w:lang w:val="en-US" w:eastAsia="zh-CN"/>
        </w:rPr>
        <w:tab/>
      </w:r>
      <w:r>
        <w:rPr>
          <w:lang w:val="en-US" w:eastAsia="zh-CN"/>
        </w:rPr>
        <w:fldChar w:fldCharType="begin"/>
      </w:r>
      <w:r>
        <w:rPr>
          <w:lang w:val="en-US" w:eastAsia="zh-CN"/>
        </w:rPr>
        <w:instrText xml:space="preserve"> PAGEREF _Toc7945 </w:instrText>
      </w:r>
      <w:r>
        <w:rPr>
          <w:lang w:val="en-US" w:eastAsia="zh-CN"/>
        </w:rPr>
        <w:fldChar w:fldCharType="separate"/>
      </w:r>
      <w:r>
        <w:rPr>
          <w:lang w:val="en-US" w:eastAsia="zh-CN"/>
        </w:rPr>
        <w:t>9</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"_Toc3662" </w:instrText>
      </w:r>
      <w:r>
        <w:fldChar w:fldCharType="separate"/>
      </w:r>
      <w:r>
        <w:rPr>
          <w:rFonts w:hint="eastAsia" w:ascii="宋体" w:hAnsi="宋体" w:cs="宋体"/>
          <w:bCs/>
          <w:szCs w:val="28"/>
          <w:lang w:val="en-US" w:eastAsia="zh-CN"/>
        </w:rPr>
        <w:t>五、竞争性谈判（简称谈判）与谈判文件评审</w:t>
      </w:r>
      <w:r>
        <w:rPr>
          <w:lang w:val="en-US" w:eastAsia="zh-CN"/>
        </w:rPr>
        <w:tab/>
      </w:r>
      <w:r>
        <w:rPr>
          <w:lang w:val="en-US" w:eastAsia="zh-CN"/>
        </w:rPr>
        <w:fldChar w:fldCharType="begin"/>
      </w:r>
      <w:r>
        <w:rPr>
          <w:lang w:val="en-US" w:eastAsia="zh-CN"/>
        </w:rPr>
        <w:instrText xml:space="preserve"> PAGEREF _Toc3662 </w:instrText>
      </w:r>
      <w:r>
        <w:rPr>
          <w:lang w:val="en-US" w:eastAsia="zh-CN"/>
        </w:rPr>
        <w:fldChar w:fldCharType="separate"/>
      </w:r>
      <w:r>
        <w:rPr>
          <w:lang w:val="en-US" w:eastAsia="zh-CN"/>
        </w:rPr>
        <w:t>10</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"_Toc18225" </w:instrText>
      </w:r>
      <w:r>
        <w:fldChar w:fldCharType="separate"/>
      </w:r>
      <w:r>
        <w:rPr>
          <w:rFonts w:hint="eastAsia" w:ascii="宋体" w:hAnsi="宋体" w:cs="宋体"/>
          <w:bCs/>
          <w:szCs w:val="28"/>
          <w:lang w:val="en-US" w:eastAsia="zh-CN"/>
        </w:rPr>
        <w:t>六、签订合同</w:t>
      </w:r>
      <w:r>
        <w:rPr>
          <w:lang w:val="en-US" w:eastAsia="zh-CN"/>
        </w:rPr>
        <w:tab/>
      </w:r>
      <w:r>
        <w:rPr>
          <w:lang w:val="en-US" w:eastAsia="zh-CN"/>
        </w:rPr>
        <w:fldChar w:fldCharType="begin"/>
      </w:r>
      <w:r>
        <w:rPr>
          <w:lang w:val="en-US" w:eastAsia="zh-CN"/>
        </w:rPr>
        <w:instrText xml:space="preserve"> PAGEREF _Toc18225 </w:instrText>
      </w:r>
      <w:r>
        <w:rPr>
          <w:lang w:val="en-US" w:eastAsia="zh-CN"/>
        </w:rPr>
        <w:fldChar w:fldCharType="separate"/>
      </w:r>
      <w:r>
        <w:rPr>
          <w:lang w:val="en-US" w:eastAsia="zh-CN"/>
        </w:rPr>
        <w:t>13</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"_Toc23911" </w:instrText>
      </w:r>
      <w:r>
        <w:fldChar w:fldCharType="separate"/>
      </w:r>
      <w:r>
        <w:rPr>
          <w:rFonts w:hint="eastAsia" w:ascii="宋体" w:hAnsi="宋体" w:cs="宋体"/>
          <w:bCs/>
          <w:szCs w:val="28"/>
          <w:lang w:val="en-US" w:eastAsia="zh-CN"/>
        </w:rPr>
        <w:t>七、其他事项</w:t>
      </w:r>
      <w:r>
        <w:rPr>
          <w:lang w:val="en-US" w:eastAsia="zh-CN"/>
        </w:rPr>
        <w:tab/>
      </w:r>
      <w:r>
        <w:rPr>
          <w:lang w:val="en-US" w:eastAsia="zh-CN"/>
        </w:rPr>
        <w:fldChar w:fldCharType="begin"/>
      </w:r>
      <w:r>
        <w:rPr>
          <w:lang w:val="en-US" w:eastAsia="zh-CN"/>
        </w:rPr>
        <w:instrText xml:space="preserve"> PAGEREF _Toc23911 </w:instrText>
      </w:r>
      <w:r>
        <w:rPr>
          <w:lang w:val="en-US" w:eastAsia="zh-CN"/>
        </w:rPr>
        <w:fldChar w:fldCharType="separate"/>
      </w:r>
      <w:r>
        <w:rPr>
          <w:lang w:val="en-US" w:eastAsia="zh-CN"/>
        </w:rPr>
        <w:t>13</w:t>
      </w:r>
      <w:r>
        <w:rPr>
          <w:lang w:val="en-US" w:eastAsia="zh-CN"/>
        </w:rPr>
        <w:fldChar w:fldCharType="end"/>
      </w:r>
      <w:r>
        <w:rPr>
          <w:lang w:val="en-US" w:eastAsia="zh-CN"/>
        </w:rPr>
        <w:fldChar w:fldCharType="end"/>
      </w:r>
    </w:p>
    <w:p>
      <w:pPr>
        <w:pStyle w:val="19"/>
        <w:tabs>
          <w:tab w:val="right" w:leader="dot" w:pos="9660"/>
        </w:tabs>
        <w:spacing w:line="480" w:lineRule="auto"/>
        <w:rPr>
          <w:b/>
          <w:lang w:val="en-US" w:eastAsia="zh-CN"/>
        </w:rPr>
      </w:pPr>
      <w:r>
        <w:fldChar w:fldCharType="begin"/>
      </w:r>
      <w:r>
        <w:instrText xml:space="preserve"> HYPERLINK \l "_Toc6488" </w:instrText>
      </w:r>
      <w:r>
        <w:fldChar w:fldCharType="separate"/>
      </w:r>
      <w:r>
        <w:rPr>
          <w:rFonts w:hint="eastAsia" w:ascii="宋体" w:hAnsi="宋体" w:cs="宋体"/>
          <w:b/>
          <w:szCs w:val="44"/>
          <w:lang w:val="en-US" w:eastAsia="zh-CN"/>
        </w:rPr>
        <w:t>第二章 货物需求一览表</w:t>
      </w:r>
      <w:r>
        <w:rPr>
          <w:b/>
          <w:lang w:val="en-US" w:eastAsia="zh-CN"/>
        </w:rPr>
        <w:tab/>
      </w:r>
      <w:r>
        <w:rPr>
          <w:b/>
          <w:lang w:val="en-US" w:eastAsia="zh-CN"/>
        </w:rPr>
        <w:fldChar w:fldCharType="begin"/>
      </w:r>
      <w:r>
        <w:rPr>
          <w:b/>
          <w:lang w:val="en-US" w:eastAsia="zh-CN"/>
        </w:rPr>
        <w:instrText xml:space="preserve"> PAGEREF _Toc6488 </w:instrText>
      </w:r>
      <w:r>
        <w:rPr>
          <w:b/>
          <w:lang w:val="en-US" w:eastAsia="zh-CN"/>
        </w:rPr>
        <w:fldChar w:fldCharType="separate"/>
      </w:r>
      <w:r>
        <w:rPr>
          <w:b/>
          <w:lang w:val="en-US" w:eastAsia="zh-CN"/>
        </w:rPr>
        <w:t>14</w:t>
      </w:r>
      <w:r>
        <w:rPr>
          <w:b/>
          <w:lang w:val="en-US" w:eastAsia="zh-CN"/>
        </w:rPr>
        <w:fldChar w:fldCharType="end"/>
      </w:r>
      <w:r>
        <w:rPr>
          <w:b/>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"_Toc26168" </w:instrText>
      </w:r>
      <w:r>
        <w:fldChar w:fldCharType="separate"/>
      </w:r>
      <w:r>
        <w:rPr>
          <w:rFonts w:hint="eastAsia" w:ascii="宋体" w:hAnsi="宋体" w:cs="宋体"/>
          <w:b/>
          <w:szCs w:val="44"/>
          <w:lang w:val="en-US" w:eastAsia="zh-CN"/>
        </w:rPr>
        <w:t>第三章  合同（格式）</w:t>
      </w:r>
      <w:r>
        <w:rPr>
          <w:lang w:val="en-US" w:eastAsia="zh-CN"/>
        </w:rPr>
        <w:tab/>
      </w:r>
      <w:r>
        <w:rPr>
          <w:lang w:val="en-US" w:eastAsia="zh-CN"/>
        </w:rPr>
        <w:fldChar w:fldCharType="begin"/>
      </w:r>
      <w:r>
        <w:rPr>
          <w:lang w:val="en-US" w:eastAsia="zh-CN"/>
        </w:rPr>
        <w:instrText xml:space="preserve"> PAGEREF _Toc26168 </w:instrText>
      </w:r>
      <w:r>
        <w:rPr>
          <w:lang w:val="en-US" w:eastAsia="zh-CN"/>
        </w:rPr>
        <w:fldChar w:fldCharType="separate"/>
      </w:r>
      <w:r>
        <w:rPr>
          <w:lang w:val="en-US" w:eastAsia="zh-CN"/>
        </w:rPr>
        <w:t>19</w:t>
      </w:r>
      <w:r>
        <w:rPr>
          <w:lang w:val="en-US" w:eastAsia="zh-CN"/>
        </w:rPr>
        <w:fldChar w:fldCharType="end"/>
      </w:r>
      <w:r>
        <w:rPr>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"_Toc18478" </w:instrText>
      </w:r>
      <w:r>
        <w:fldChar w:fldCharType="separate"/>
      </w:r>
      <w:r>
        <w:rPr>
          <w:rFonts w:hint="eastAsia" w:ascii="宋体" w:hAnsi="宋体" w:cs="宋体"/>
          <w:b/>
          <w:szCs w:val="44"/>
          <w:lang w:val="en-US" w:eastAsia="zh-CN"/>
        </w:rPr>
        <w:t>第四章  谈判响应文件（格式）</w:t>
      </w:r>
      <w:r>
        <w:rPr>
          <w:lang w:val="en-US" w:eastAsia="zh-CN"/>
        </w:rPr>
        <w:tab/>
      </w:r>
      <w:r>
        <w:rPr>
          <w:lang w:val="en-US" w:eastAsia="zh-CN"/>
        </w:rPr>
        <w:fldChar w:fldCharType="begin"/>
      </w:r>
      <w:r>
        <w:rPr>
          <w:lang w:val="en-US" w:eastAsia="zh-CN"/>
        </w:rPr>
        <w:instrText xml:space="preserve"> PAGEREF _Toc18478 </w:instrText>
      </w:r>
      <w:r>
        <w:rPr>
          <w:lang w:val="en-US" w:eastAsia="zh-CN"/>
        </w:rPr>
        <w:fldChar w:fldCharType="separate"/>
      </w:r>
      <w:r>
        <w:rPr>
          <w:lang w:val="en-US" w:eastAsia="zh-CN"/>
        </w:rPr>
        <w:t>25</w:t>
      </w:r>
      <w:r>
        <w:rPr>
          <w:lang w:val="en-US" w:eastAsia="zh-CN"/>
        </w:rPr>
        <w:fldChar w:fldCharType="end"/>
      </w:r>
      <w:r>
        <w:rPr>
          <w:lang w:val="en-US" w:eastAsia="zh-CN"/>
        </w:rPr>
        <w:fldChar w:fldCharType="end"/>
      </w:r>
    </w:p>
    <w:p>
      <w:pPr>
        <w:pStyle w:val="19"/>
        <w:tabs>
          <w:tab w:val="right" w:leader="dot" w:pos="9660"/>
        </w:tabs>
        <w:spacing w:line="480" w:lineRule="auto"/>
        <w:rPr>
          <w:lang w:val="en-US" w:eastAsia="zh-CN"/>
        </w:rPr>
      </w:pPr>
      <w:r>
        <w:fldChar w:fldCharType="begin"/>
      </w:r>
      <w:r>
        <w:instrText xml:space="preserve"> HYPERLINK \l "_Toc10358" </w:instrText>
      </w:r>
      <w:r>
        <w:fldChar w:fldCharType="separate"/>
      </w:r>
      <w:r>
        <w:rPr>
          <w:rFonts w:hint="eastAsia" w:ascii="宋体" w:hAnsi="宋体" w:cs="宋体"/>
          <w:b/>
          <w:szCs w:val="44"/>
          <w:lang w:val="en-US" w:eastAsia="zh-CN"/>
        </w:rPr>
        <w:t>第五章  评定成交的标准</w:t>
      </w:r>
      <w:r>
        <w:rPr>
          <w:lang w:val="en-US" w:eastAsia="zh-CN"/>
        </w:rPr>
        <w:tab/>
      </w:r>
      <w:r>
        <w:rPr>
          <w:lang w:val="en-US" w:eastAsia="zh-CN"/>
        </w:rPr>
        <w:fldChar w:fldCharType="begin"/>
      </w:r>
      <w:r>
        <w:rPr>
          <w:lang w:val="en-US" w:eastAsia="zh-CN"/>
        </w:rPr>
        <w:instrText xml:space="preserve"> PAGEREF _Toc10358 </w:instrText>
      </w:r>
      <w:r>
        <w:rPr>
          <w:lang w:val="en-US" w:eastAsia="zh-CN"/>
        </w:rPr>
        <w:fldChar w:fldCharType="separate"/>
      </w:r>
      <w:r>
        <w:rPr>
          <w:lang w:val="en-US" w:eastAsia="zh-CN"/>
        </w:rPr>
        <w:t>36</w:t>
      </w:r>
      <w:r>
        <w:rPr>
          <w:lang w:val="en-US" w:eastAsia="zh-CN"/>
        </w:rPr>
        <w:fldChar w:fldCharType="end"/>
      </w:r>
      <w:r>
        <w:rPr>
          <w:lang w:val="en-US" w:eastAsia="zh-CN"/>
        </w:rPr>
        <w:fldChar w:fldCharType="end"/>
      </w:r>
    </w:p>
    <w:p>
      <w:pPr>
        <w:pStyle w:val="10"/>
        <w:tabs>
          <w:tab w:val="right" w:leader="dot" w:pos="9660"/>
        </w:tabs>
        <w:spacing w:line="480" w:lineRule="auto"/>
        <w:rPr>
          <w:lang w:val="en-US" w:eastAsia="zh-CN"/>
        </w:rPr>
      </w:pPr>
      <w:r>
        <w:fldChar w:fldCharType="begin"/>
      </w:r>
      <w:r>
        <w:instrText xml:space="preserve"> HYPERLINK \l "_Toc5455" </w:instrText>
      </w:r>
      <w:r>
        <w:fldChar w:fldCharType="separate"/>
      </w:r>
      <w:r>
        <w:rPr>
          <w:rFonts w:hint="eastAsia" w:hAnsi="宋体" w:cs="宋体"/>
          <w:b/>
          <w:lang w:val="en-US" w:eastAsia="zh-CN"/>
        </w:rPr>
        <w:t>附件一：</w:t>
      </w:r>
      <w:r>
        <w:rPr>
          <w:lang w:val="en-US" w:eastAsia="zh-CN"/>
        </w:rPr>
        <w:tab/>
      </w:r>
      <w:r>
        <w:rPr>
          <w:lang w:val="en-US" w:eastAsia="zh-CN"/>
        </w:rPr>
        <w:fldChar w:fldCharType="begin"/>
      </w:r>
      <w:r>
        <w:rPr>
          <w:lang w:val="en-US" w:eastAsia="zh-CN"/>
        </w:rPr>
        <w:instrText xml:space="preserve"> PAGEREF _Toc5455 </w:instrText>
      </w:r>
      <w:r>
        <w:rPr>
          <w:lang w:val="en-US" w:eastAsia="zh-CN"/>
        </w:rPr>
        <w:fldChar w:fldCharType="separate"/>
      </w:r>
      <w:r>
        <w:rPr>
          <w:lang w:val="en-US" w:eastAsia="zh-CN"/>
        </w:rPr>
        <w:t>37</w:t>
      </w:r>
      <w:r>
        <w:rPr>
          <w:lang w:val="en-US" w:eastAsia="zh-CN"/>
        </w:rPr>
        <w:fldChar w:fldCharType="end"/>
      </w:r>
      <w:r>
        <w:rPr>
          <w:lang w:val="en-US" w:eastAsia="zh-CN"/>
        </w:rPr>
        <w:fldChar w:fldCharType="end"/>
      </w:r>
    </w:p>
    <w:p>
      <w:pPr>
        <w:spacing w:line="480" w:lineRule="auto"/>
        <w:rPr>
          <w:rFonts w:hint="eastAsia" w:ascii="宋体" w:hAnsi="宋体" w:cs="宋体"/>
          <w:b/>
          <w:sz w:val="24"/>
        </w:rPr>
      </w:pPr>
      <w:r>
        <w:rPr>
          <w:rFonts w:hint="eastAsia" w:ascii="宋体" w:hAnsi="宋体" w:cs="宋体"/>
          <w:b/>
        </w:rPr>
        <w:fldChar w:fldCharType="end"/>
      </w:r>
      <w:bookmarkStart w:id="0" w:name="_Toc282534905"/>
      <w:bookmarkStart w:id="1" w:name="_Toc322015346"/>
      <w:bookmarkStart w:id="2" w:name="_Toc182358658"/>
      <w:bookmarkStart w:id="3" w:name="_Toc156106929"/>
      <w:bookmarkStart w:id="4" w:name="_Toc147248396"/>
    </w:p>
    <w:p>
      <w:pPr>
        <w:spacing w:line="360" w:lineRule="auto"/>
        <w:jc w:val="center"/>
        <w:outlineLvl w:val="1"/>
        <w:rPr>
          <w:rFonts w:hint="eastAsia" w:ascii="宋体" w:hAnsi="宋体" w:cs="宋体"/>
          <w:sz w:val="32"/>
          <w:szCs w:val="32"/>
        </w:rPr>
      </w:pPr>
      <w:r>
        <w:rPr>
          <w:rFonts w:hint="eastAsia" w:ascii="宋体" w:hAnsi="宋体" w:cs="宋体"/>
          <w:b/>
          <w:sz w:val="24"/>
        </w:rPr>
        <w:br w:type="page"/>
      </w:r>
      <w:bookmarkStart w:id="5" w:name="_Toc27654"/>
      <w:r>
        <w:rPr>
          <w:rFonts w:hint="eastAsia" w:ascii="宋体" w:hAnsi="宋体" w:cs="宋体"/>
          <w:b/>
          <w:sz w:val="32"/>
          <w:szCs w:val="32"/>
        </w:rPr>
        <w:t>第一章  竞争性谈判供应商须知及前附表</w:t>
      </w:r>
      <w:bookmarkEnd w:id="0"/>
      <w:bookmarkEnd w:id="1"/>
      <w:bookmarkEnd w:id="2"/>
      <w:bookmarkEnd w:id="3"/>
      <w:bookmarkEnd w:id="4"/>
      <w:bookmarkEnd w:id="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71"/>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1" w:type="dxa"/>
            <w:vAlign w:val="center"/>
          </w:tcPr>
          <w:p>
            <w:pPr>
              <w:pStyle w:val="88"/>
              <w:spacing w:line="400" w:lineRule="exact"/>
              <w:jc w:val="center"/>
              <w:rPr>
                <w:rFonts w:hint="eastAsia" w:hAnsi="宋体" w:cs="宋体"/>
                <w:b/>
                <w:sz w:val="24"/>
                <w:szCs w:val="24"/>
              </w:rPr>
            </w:pPr>
            <w:r>
              <w:rPr>
                <w:rFonts w:hint="eastAsia" w:hAnsi="宋体" w:cs="宋体"/>
                <w:b/>
                <w:sz w:val="24"/>
                <w:szCs w:val="24"/>
              </w:rPr>
              <w:t>序号</w:t>
            </w:r>
          </w:p>
        </w:tc>
        <w:tc>
          <w:tcPr>
            <w:tcW w:w="971" w:type="dxa"/>
            <w:vAlign w:val="center"/>
          </w:tcPr>
          <w:p>
            <w:pPr>
              <w:pStyle w:val="88"/>
              <w:spacing w:line="400" w:lineRule="exact"/>
              <w:rPr>
                <w:rFonts w:hint="eastAsia" w:hAnsi="宋体" w:cs="宋体"/>
                <w:b/>
                <w:sz w:val="24"/>
                <w:szCs w:val="24"/>
              </w:rPr>
            </w:pPr>
            <w:r>
              <w:rPr>
                <w:rFonts w:hint="eastAsia" w:hAnsi="宋体" w:cs="宋体"/>
                <w:b/>
                <w:sz w:val="24"/>
                <w:szCs w:val="24"/>
              </w:rPr>
              <w:t>条款号</w:t>
            </w:r>
          </w:p>
        </w:tc>
        <w:tc>
          <w:tcPr>
            <w:tcW w:w="8375" w:type="dxa"/>
            <w:vAlign w:val="center"/>
          </w:tcPr>
          <w:p>
            <w:pPr>
              <w:pStyle w:val="88"/>
              <w:spacing w:line="400" w:lineRule="exact"/>
              <w:jc w:val="center"/>
              <w:rPr>
                <w:rFonts w:hint="eastAsia" w:hAnsi="宋体" w:cs="宋体"/>
                <w:b/>
                <w:sz w:val="24"/>
                <w:szCs w:val="24"/>
              </w:rPr>
            </w:pPr>
            <w:r>
              <w:rPr>
                <w:rFonts w:hint="eastAsia" w:hAnsi="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1</w:t>
            </w:r>
          </w:p>
        </w:tc>
        <w:tc>
          <w:tcPr>
            <w:tcW w:w="971" w:type="dxa"/>
            <w:vAlign w:val="center"/>
          </w:tcPr>
          <w:p>
            <w:pPr>
              <w:pStyle w:val="88"/>
              <w:spacing w:line="400" w:lineRule="exact"/>
              <w:rPr>
                <w:rFonts w:hint="eastAsia" w:hAnsi="宋体" w:cs="宋体"/>
                <w:sz w:val="24"/>
                <w:szCs w:val="24"/>
              </w:rPr>
            </w:pPr>
            <w:r>
              <w:rPr>
                <w:rFonts w:hint="eastAsia" w:hAnsi="宋体" w:cs="宋体"/>
                <w:sz w:val="24"/>
                <w:szCs w:val="24"/>
              </w:rPr>
              <w:t>1.1</w:t>
            </w:r>
          </w:p>
        </w:tc>
        <w:tc>
          <w:tcPr>
            <w:tcW w:w="8375" w:type="dxa"/>
            <w:vAlign w:val="center"/>
          </w:tcPr>
          <w:p>
            <w:pPr>
              <w:spacing w:line="400" w:lineRule="exact"/>
              <w:rPr>
                <w:rFonts w:hint="eastAsia" w:ascii="宋体" w:hAnsi="宋体" w:cs="宋体"/>
                <w:sz w:val="24"/>
              </w:rPr>
            </w:pPr>
            <w:r>
              <w:rPr>
                <w:rFonts w:hint="eastAsia" w:ascii="宋体" w:hAnsi="宋体" w:cs="宋体"/>
                <w:sz w:val="24"/>
              </w:rPr>
              <w:t>项目名称：全自动生化仪一台</w:t>
            </w:r>
          </w:p>
          <w:p>
            <w:pPr>
              <w:spacing w:line="400" w:lineRule="exact"/>
              <w:rPr>
                <w:rFonts w:hint="eastAsia" w:ascii="宋体" w:hAnsi="宋体" w:cs="宋体"/>
                <w:sz w:val="24"/>
              </w:rPr>
            </w:pPr>
            <w:r>
              <w:rPr>
                <w:rFonts w:hint="eastAsia" w:ascii="宋体" w:hAnsi="宋体" w:cs="宋体"/>
                <w:sz w:val="24"/>
              </w:rPr>
              <w:t>项目编号：BHZC2020-J1-00092-GXHY</w:t>
            </w:r>
          </w:p>
          <w:p>
            <w:pPr>
              <w:spacing w:line="400" w:lineRule="exact"/>
              <w:rPr>
                <w:rFonts w:hint="eastAsia" w:ascii="宋体" w:hAnsi="宋体" w:cs="宋体"/>
                <w:sz w:val="24"/>
              </w:rPr>
            </w:pPr>
            <w:r>
              <w:rPr>
                <w:rFonts w:hint="eastAsia" w:ascii="宋体" w:hAnsi="宋体" w:cs="宋体"/>
                <w:sz w:val="24"/>
              </w:rPr>
              <w:t xml:space="preserve">采购内容: </w:t>
            </w:r>
            <w:r>
              <w:rPr>
                <w:rFonts w:hint="eastAsia" w:ascii="宋体" w:hAnsi="宋体" w:cs="宋体"/>
                <w:bCs/>
                <w:sz w:val="24"/>
              </w:rPr>
              <w:t>采购全自动生化仪一台，包括供货、安装、调试及后期服务，如需进一步了解详细内容，见竞争性谈判文件。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2</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2</w:t>
            </w:r>
          </w:p>
        </w:tc>
        <w:tc>
          <w:tcPr>
            <w:tcW w:w="8375" w:type="dxa"/>
            <w:vAlign w:val="center"/>
          </w:tcPr>
          <w:p>
            <w:pPr>
              <w:numPr>
                <w:ilvl w:val="0"/>
                <w:numId w:val="4"/>
              </w:numPr>
              <w:spacing w:line="400" w:lineRule="exact"/>
              <w:rPr>
                <w:rFonts w:hint="eastAsia" w:ascii="宋体" w:hAnsi="宋体" w:cs="宋体"/>
                <w:sz w:val="24"/>
              </w:rPr>
            </w:pPr>
            <w:r>
              <w:rPr>
                <w:rFonts w:hint="eastAsia" w:ascii="宋体" w:hAnsi="宋体" w:cs="宋体"/>
                <w:sz w:val="24"/>
              </w:rPr>
              <w:t>符合《中华人民共和国政府采购法》第二十二条规定</w:t>
            </w:r>
            <w:r>
              <w:rPr>
                <w:rFonts w:hint="eastAsia" w:hAnsi="宋体" w:cs="宋体"/>
                <w:sz w:val="24"/>
              </w:rPr>
              <w:t>；</w:t>
            </w:r>
          </w:p>
          <w:p>
            <w:pPr>
              <w:spacing w:line="400" w:lineRule="exact"/>
              <w:rPr>
                <w:rFonts w:hint="eastAsia" w:ascii="宋体" w:hAnsi="宋体" w:cs="宋体"/>
                <w:sz w:val="24"/>
              </w:rPr>
            </w:pPr>
            <w:r>
              <w:rPr>
                <w:rFonts w:hint="eastAsia" w:ascii="宋体" w:hAnsi="宋体" w:cs="宋体"/>
                <w:sz w:val="24"/>
              </w:rPr>
              <w:t>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00" w:lineRule="exact"/>
              <w:rPr>
                <w:rFonts w:hint="eastAsia" w:ascii="宋体" w:hAnsi="宋体" w:cs="宋体"/>
                <w:sz w:val="24"/>
              </w:rPr>
            </w:pPr>
            <w:r>
              <w:rPr>
                <w:rFonts w:hint="eastAsia" w:ascii="宋体" w:hAnsi="宋体" w:cs="宋体"/>
                <w:sz w:val="24"/>
                <w:shd w:val="clear" w:color="auto" w:fill="FFFFFF"/>
              </w:rPr>
              <w:t>3.对在“信用中国”网站(www.creditchina.gov.cn)、中国政府采购网(www.ccgp.gov.cn) 等渠道列入失信被执行人、重大税收违法案件当事人名单、政府采购严重违法失信行为记录名单的供应商，不得参与政府采购活动；</w:t>
            </w:r>
          </w:p>
          <w:p>
            <w:pPr>
              <w:spacing w:line="400" w:lineRule="exact"/>
              <w:rPr>
                <w:rFonts w:hint="eastAsia" w:ascii="宋体" w:hAnsi="宋体" w:cs="宋体"/>
                <w:sz w:val="24"/>
              </w:rPr>
            </w:pPr>
            <w:r>
              <w:rPr>
                <w:rFonts w:hint="eastAsia" w:ascii="宋体" w:hAnsi="宋体" w:cs="宋体"/>
                <w:sz w:val="24"/>
              </w:rPr>
              <w:t>4.本项目不接受联合体参与竞标。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3</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3.2</w:t>
            </w:r>
          </w:p>
        </w:tc>
        <w:tc>
          <w:tcPr>
            <w:tcW w:w="8375" w:type="dxa"/>
            <w:vAlign w:val="center"/>
          </w:tcPr>
          <w:p>
            <w:pPr>
              <w:spacing w:line="400" w:lineRule="exact"/>
              <w:rPr>
                <w:rFonts w:hint="eastAsia" w:ascii="宋体" w:hAnsi="宋体" w:cs="宋体"/>
                <w:kern w:val="0"/>
                <w:sz w:val="24"/>
              </w:rPr>
            </w:pPr>
            <w:r>
              <w:rPr>
                <w:rFonts w:hint="eastAsia" w:ascii="宋体" w:hAnsi="宋体" w:cs="宋体"/>
                <w:sz w:val="24"/>
              </w:rPr>
              <w:t>采购预算价为：</w:t>
            </w:r>
            <w:r>
              <w:rPr>
                <w:rFonts w:hint="eastAsia" w:ascii="宋体" w:hAnsi="宋体" w:cs="宋体"/>
                <w:b/>
                <w:sz w:val="24"/>
              </w:rPr>
              <w:t>玖拾壹万元整（￥910000.00元）</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4</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10.1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谈判报价：竞争性谈判供应商须就《货物需求一览表》中全部的货物和服务内容作完整唯一报价，否则竞标将被拒绝。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5</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13.1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竞标有效期：提交响应文件截止日期后60天。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6</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14.4</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谈判响应文件：</w:t>
            </w:r>
            <w:r>
              <w:rPr>
                <w:rFonts w:hint="eastAsia" w:hAnsi="宋体" w:cs="宋体"/>
                <w:b/>
                <w:sz w:val="24"/>
                <w:szCs w:val="24"/>
              </w:rPr>
              <w:t>正本一份、副本三份、电子档一份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7</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17</w:t>
            </w:r>
          </w:p>
        </w:tc>
        <w:tc>
          <w:tcPr>
            <w:tcW w:w="8375" w:type="dxa"/>
            <w:vAlign w:val="center"/>
          </w:tcPr>
          <w:p>
            <w:pPr>
              <w:spacing w:line="400" w:lineRule="exact"/>
              <w:ind w:left="-4" w:leftChars="-2" w:firstLine="2" w:firstLineChars="1"/>
              <w:rPr>
                <w:rFonts w:hint="eastAsia" w:ascii="宋体" w:hAnsi="宋体" w:cs="宋体"/>
                <w:sz w:val="24"/>
              </w:rPr>
            </w:pPr>
            <w:r>
              <w:rPr>
                <w:rFonts w:hint="eastAsia" w:ascii="宋体" w:hAnsi="宋体" w:cs="宋体"/>
                <w:sz w:val="24"/>
              </w:rPr>
              <w:t>谈判响应文件递交地点：递交至广西北海市合浦县廉州镇廉东大道85号穗丰大厦三楼开标厅，由广西鸿业建设工程管理咨询有限公司北海市合浦分公司工作人员签收。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1" w:type="dxa"/>
            <w:vAlign w:val="center"/>
          </w:tcPr>
          <w:p>
            <w:pPr>
              <w:pStyle w:val="88"/>
              <w:spacing w:line="400" w:lineRule="exact"/>
              <w:jc w:val="center"/>
              <w:rPr>
                <w:rFonts w:hint="eastAsia" w:hAnsi="宋体" w:cs="宋体"/>
                <w:sz w:val="24"/>
                <w:szCs w:val="24"/>
              </w:rPr>
            </w:pPr>
            <w:r>
              <w:rPr>
                <w:rFonts w:hint="eastAsia" w:hAnsi="宋体" w:cs="宋体"/>
                <w:sz w:val="24"/>
                <w:szCs w:val="24"/>
              </w:rPr>
              <w:t>8</w:t>
            </w:r>
          </w:p>
        </w:tc>
        <w:tc>
          <w:tcPr>
            <w:tcW w:w="971" w:type="dxa"/>
            <w:vAlign w:val="center"/>
          </w:tcPr>
          <w:p>
            <w:pPr>
              <w:pStyle w:val="88"/>
              <w:spacing w:line="400" w:lineRule="exact"/>
              <w:jc w:val="center"/>
              <w:rPr>
                <w:rFonts w:hint="eastAsia" w:hAnsi="宋体" w:cs="宋体"/>
                <w:sz w:val="24"/>
                <w:szCs w:val="24"/>
              </w:rPr>
            </w:pPr>
            <w:r>
              <w:rPr>
                <w:rFonts w:hint="eastAsia" w:hAnsi="宋体" w:cs="宋体"/>
                <w:sz w:val="24"/>
                <w:szCs w:val="24"/>
              </w:rPr>
              <w:t>19.1</w:t>
            </w:r>
          </w:p>
        </w:tc>
        <w:tc>
          <w:tcPr>
            <w:tcW w:w="8375" w:type="dxa"/>
            <w:vAlign w:val="center"/>
          </w:tcPr>
          <w:p>
            <w:pPr>
              <w:pStyle w:val="88"/>
              <w:spacing w:line="400" w:lineRule="exact"/>
              <w:rPr>
                <w:rFonts w:hint="eastAsia" w:hAnsi="宋体" w:cs="宋体"/>
                <w:sz w:val="24"/>
                <w:szCs w:val="24"/>
              </w:rPr>
            </w:pPr>
            <w:r>
              <w:rPr>
                <w:rFonts w:hint="eastAsia" w:hAnsi="宋体" w:cs="宋体"/>
                <w:sz w:val="24"/>
                <w:szCs w:val="24"/>
              </w:rPr>
              <w:t>谈判时间：</w:t>
            </w:r>
            <w:r>
              <w:rPr>
                <w:rFonts w:hint="eastAsia" w:hAnsi="宋体" w:cs="宋体"/>
                <w:sz w:val="24"/>
              </w:rPr>
              <w:t>2020年12月7日</w:t>
            </w:r>
            <w:r>
              <w:rPr>
                <w:rFonts w:hint="eastAsia" w:hAnsi="宋体" w:cs="宋体"/>
                <w:sz w:val="24"/>
                <w:szCs w:val="24"/>
              </w:rPr>
              <w:t>北京时间</w:t>
            </w:r>
            <w:r>
              <w:rPr>
                <w:rFonts w:hint="eastAsia" w:hAnsi="宋体" w:cs="宋体"/>
                <w:sz w:val="24"/>
              </w:rPr>
              <w:t>09时30分</w:t>
            </w:r>
            <w:r>
              <w:rPr>
                <w:rFonts w:hint="eastAsia" w:hAnsi="宋体" w:cs="宋体"/>
                <w:sz w:val="24"/>
                <w:szCs w:val="24"/>
              </w:rPr>
              <w:t>截标后</w:t>
            </w:r>
          </w:p>
          <w:p>
            <w:pPr>
              <w:pStyle w:val="88"/>
              <w:spacing w:line="400" w:lineRule="exact"/>
              <w:rPr>
                <w:rFonts w:hint="eastAsia" w:hAnsi="宋体" w:cs="宋体"/>
                <w:sz w:val="24"/>
                <w:szCs w:val="24"/>
              </w:rPr>
            </w:pPr>
            <w:r>
              <w:rPr>
                <w:rFonts w:hint="eastAsia" w:hAnsi="宋体" w:cs="宋体"/>
                <w:sz w:val="24"/>
                <w:szCs w:val="24"/>
              </w:rPr>
              <w:t>谈判地点：广西北海市合浦县廉州镇廉东大道85号穗丰大厦三楼开标厅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9</w:t>
            </w:r>
          </w:p>
        </w:tc>
        <w:tc>
          <w:tcPr>
            <w:tcW w:w="97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20.3</w:t>
            </w:r>
          </w:p>
        </w:tc>
        <w:tc>
          <w:tcPr>
            <w:tcW w:w="8375" w:type="dxa"/>
            <w:vAlign w:val="center"/>
          </w:tcPr>
          <w:p>
            <w:pPr>
              <w:pStyle w:val="13"/>
              <w:spacing w:line="400" w:lineRule="exact"/>
              <w:ind w:firstLine="0" w:firstLineChars="0"/>
              <w:rPr>
                <w:rFonts w:hint="eastAsia" w:ascii="宋体" w:hAnsi="宋体" w:cs="宋体"/>
                <w:sz w:val="24"/>
              </w:rPr>
            </w:pPr>
            <w:r>
              <w:rPr>
                <w:rFonts w:hint="eastAsia" w:ascii="宋体" w:hAnsi="宋体" w:cs="宋体"/>
                <w:sz w:val="24"/>
              </w:rPr>
              <w:t>谈判文件评审办法：最低评标价法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10</w:t>
            </w:r>
          </w:p>
        </w:tc>
        <w:tc>
          <w:tcPr>
            <w:tcW w:w="97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27</w:t>
            </w:r>
          </w:p>
        </w:tc>
        <w:tc>
          <w:tcPr>
            <w:tcW w:w="8375" w:type="dxa"/>
            <w:vAlign w:val="center"/>
          </w:tcPr>
          <w:p>
            <w:pPr>
              <w:pStyle w:val="13"/>
              <w:spacing w:line="400" w:lineRule="exact"/>
              <w:ind w:firstLine="0" w:firstLineChars="0"/>
              <w:rPr>
                <w:rFonts w:hint="eastAsia" w:ascii="宋体" w:hAnsi="宋体" w:cs="宋体"/>
                <w:sz w:val="24"/>
              </w:rPr>
            </w:pPr>
            <w:r>
              <w:rPr>
                <w:rFonts w:hint="eastAsia" w:ascii="宋体" w:hAnsi="宋体" w:cs="宋体"/>
                <w:sz w:val="24"/>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11</w:t>
            </w:r>
          </w:p>
        </w:tc>
        <w:tc>
          <w:tcPr>
            <w:tcW w:w="971" w:type="dxa"/>
            <w:vAlign w:val="center"/>
          </w:tcPr>
          <w:p>
            <w:pPr>
              <w:spacing w:line="400" w:lineRule="exact"/>
              <w:jc w:val="center"/>
              <w:rPr>
                <w:rFonts w:hint="eastAsia" w:ascii="宋体" w:hAnsi="宋体" w:cs="宋体"/>
                <w:sz w:val="24"/>
              </w:rPr>
            </w:pPr>
            <w:r>
              <w:rPr>
                <w:rFonts w:hint="eastAsia" w:ascii="宋体" w:hAnsi="宋体" w:cs="宋体"/>
                <w:sz w:val="24"/>
              </w:rPr>
              <w:t>28.1</w:t>
            </w:r>
          </w:p>
        </w:tc>
        <w:tc>
          <w:tcPr>
            <w:tcW w:w="8375" w:type="dxa"/>
            <w:vAlign w:val="center"/>
          </w:tcPr>
          <w:p>
            <w:pPr>
              <w:pStyle w:val="11"/>
              <w:spacing w:line="400" w:lineRule="exact"/>
              <w:rPr>
                <w:rFonts w:hint="eastAsia" w:hAnsi="宋体" w:cs="宋体"/>
                <w:sz w:val="24"/>
                <w:szCs w:val="24"/>
              </w:rPr>
            </w:pPr>
            <w:r>
              <w:rPr>
                <w:rFonts w:hint="eastAsia" w:hAnsi="宋体" w:cs="Arial"/>
                <w:sz w:val="24"/>
              </w:rPr>
              <w:t>本项目采购代理服务费由成交供应商在发出成交通知书前，向采购代理机构一次性支付，金额按差额定率累进法计算，100万（含100万）以内按成交价X1.5%计取，。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12</w:t>
            </w:r>
          </w:p>
        </w:tc>
        <w:tc>
          <w:tcPr>
            <w:tcW w:w="971" w:type="dxa"/>
            <w:vAlign w:val="center"/>
          </w:tcPr>
          <w:p>
            <w:pPr>
              <w:spacing w:line="400" w:lineRule="exact"/>
              <w:jc w:val="center"/>
              <w:rPr>
                <w:rFonts w:hint="eastAsia" w:ascii="宋体" w:hAnsi="宋体" w:cs="宋体"/>
                <w:sz w:val="24"/>
              </w:rPr>
            </w:pPr>
            <w:r>
              <w:rPr>
                <w:rFonts w:hint="eastAsia" w:ascii="宋体" w:hAnsi="宋体" w:cs="宋体"/>
                <w:sz w:val="24"/>
              </w:rPr>
              <w:t>28.2</w:t>
            </w:r>
          </w:p>
        </w:tc>
        <w:tc>
          <w:tcPr>
            <w:tcW w:w="8375" w:type="dxa"/>
            <w:vAlign w:val="center"/>
          </w:tcPr>
          <w:p>
            <w:pPr>
              <w:widowControl/>
              <w:spacing w:line="400" w:lineRule="exact"/>
              <w:jc w:val="left"/>
              <w:rPr>
                <w:rFonts w:hint="eastAsia" w:hAnsi="宋体" w:cs="Arial"/>
                <w:sz w:val="24"/>
              </w:rPr>
            </w:pPr>
            <w:r>
              <w:rPr>
                <w:rFonts w:ascii="宋体" w:hAnsi="宋体" w:cs="宋体"/>
                <w:kern w:val="0"/>
                <w:sz w:val="24"/>
              </w:rPr>
              <w:t>根据《关于做好政府采购有关信用主体标识码登记及在政府采购活动中查询使用信用记录有关问题的通知》桂财采〔2016〕37号的通知，在对成交供应商的进行信用查询：</w:t>
            </w:r>
            <w:r>
              <w:rPr>
                <w:rFonts w:ascii="宋体" w:hAnsi="宋体" w:cs="宋体"/>
                <w:kern w:val="0"/>
                <w:sz w:val="24"/>
              </w:rPr>
              <w:br w:type="textWrapping"/>
            </w:r>
            <w:r>
              <w:rPr>
                <w:rFonts w:ascii="宋体" w:hAnsi="宋体" w:cs="宋体"/>
                <w:kern w:val="0"/>
                <w:sz w:val="24"/>
              </w:rPr>
              <w:t>（1）查询渠道：“信用中国”网站(</w:t>
            </w:r>
            <w:r>
              <w:rPr>
                <w:rFonts w:ascii="宋体" w:hAnsi="宋体" w:cs="宋体"/>
                <w:kern w:val="0"/>
                <w:sz w:val="24"/>
              </w:rPr>
              <w:drawing>
                <wp:inline distT="0" distB="0" distL="0" distR="0">
                  <wp:extent cx="190500" cy="142875"/>
                  <wp:effectExtent l="19050" t="0" r="0" b="0"/>
                  <wp:docPr id="2"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www.creditchina.gov.cn)、中国政府采购网(</w:t>
            </w:r>
            <w:r>
              <w:rPr>
                <w:rFonts w:ascii="宋体" w:hAnsi="宋体" w:cs="宋体"/>
                <w:kern w:val="0"/>
                <w:sz w:val="24"/>
              </w:rPr>
              <w:drawing>
                <wp:inline distT="0" distB="0" distL="0" distR="0">
                  <wp:extent cx="190500" cy="142875"/>
                  <wp:effectExtent l="19050" t="0" r="0" b="0"/>
                  <wp:docPr id="3"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www.ccgp.gov.cn)等；</w:t>
            </w:r>
            <w:r>
              <w:rPr>
                <w:rFonts w:ascii="宋体" w:hAnsi="宋体" w:cs="宋体"/>
                <w:kern w:val="0"/>
                <w:sz w:val="24"/>
              </w:rPr>
              <w:br w:type="textWrapping"/>
            </w:r>
            <w:r>
              <w:rPr>
                <w:rFonts w:ascii="宋体" w:hAnsi="宋体" w:cs="宋体"/>
                <w:kern w:val="0"/>
                <w:sz w:val="24"/>
              </w:rPr>
              <w:t>（2）查询截止时点：成交通知书发出前；</w:t>
            </w:r>
            <w:r>
              <w:rPr>
                <w:rFonts w:ascii="宋体" w:hAnsi="宋体" w:cs="宋体"/>
                <w:kern w:val="0"/>
                <w:sz w:val="24"/>
              </w:rPr>
              <w:br w:type="textWrapping"/>
            </w:r>
            <w:r>
              <w:rPr>
                <w:rFonts w:ascii="宋体" w:hAnsi="宋体" w:cs="宋体"/>
                <w:kern w:val="0"/>
                <w:sz w:val="24"/>
              </w:rPr>
              <w:t>（3）信用信息查询记录和证据留存方式：在查询网站中直接打印查询记录，打印材料作为采购活动资料保存。</w:t>
            </w:r>
            <w:r>
              <w:rPr>
                <w:rFonts w:ascii="宋体" w:hAnsi="宋体" w:cs="宋体"/>
                <w:kern w:val="0"/>
                <w:sz w:val="24"/>
              </w:rPr>
              <w:br w:type="textWrapping"/>
            </w:r>
            <w:r>
              <w:rPr>
                <w:rFonts w:ascii="宋体" w:hAnsi="宋体" w:cs="宋体"/>
                <w:kern w:val="0"/>
                <w:sz w:val="24"/>
              </w:rPr>
              <w:t>（4）信用信息使用规则：对在“信用中国”网站(</w:t>
            </w:r>
            <w:r>
              <w:rPr>
                <w:rFonts w:ascii="宋体" w:hAnsi="宋体" w:cs="宋体"/>
                <w:kern w:val="0"/>
                <w:sz w:val="24"/>
              </w:rPr>
              <w:drawing>
                <wp:inline distT="0" distB="0" distL="0" distR="0">
                  <wp:extent cx="190500" cy="142875"/>
                  <wp:effectExtent l="19050" t="0" r="0" b="0"/>
                  <wp:docPr id="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www.creditchina.gov.cn)、中国政府采购网(</w:t>
            </w:r>
            <w:r>
              <w:rPr>
                <w:rFonts w:ascii="宋体" w:hAnsi="宋体" w:cs="宋体"/>
                <w:kern w:val="0"/>
                <w:sz w:val="24"/>
              </w:rPr>
              <w:drawing>
                <wp:inline distT="0" distB="0" distL="0" distR="0">
                  <wp:extent cx="190500" cy="142875"/>
                  <wp:effectExtent l="19050" t="0" r="0" b="0"/>
                  <wp:docPr id="5"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9"/>
                          <pic:cNvPicPr>
                            <a:picLocks noChangeAspect="1" noChangeArrowheads="1"/>
                          </pic:cNvPicPr>
                        </pic:nvPicPr>
                        <pic:blipFill>
                          <a:blip r:embed="rId7"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kern w:val="0"/>
                <w:sz w:val="24"/>
              </w:rPr>
              <w:t>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标报告中谈判小组推荐成交候选供应商排序表确定排名第二的成交候选供应商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51" w:type="dxa"/>
            <w:vAlign w:val="center"/>
          </w:tcPr>
          <w:p>
            <w:pPr>
              <w:pStyle w:val="13"/>
              <w:spacing w:line="400" w:lineRule="exact"/>
              <w:ind w:firstLine="0" w:firstLineChars="0"/>
              <w:jc w:val="center"/>
              <w:rPr>
                <w:rFonts w:hint="eastAsia" w:ascii="宋体" w:hAnsi="宋体" w:cs="宋体"/>
                <w:sz w:val="24"/>
              </w:rPr>
            </w:pPr>
            <w:r>
              <w:rPr>
                <w:rFonts w:hint="eastAsia" w:ascii="宋体" w:hAnsi="宋体" w:cs="宋体"/>
                <w:sz w:val="24"/>
              </w:rPr>
              <w:t>13</w:t>
            </w:r>
          </w:p>
        </w:tc>
        <w:tc>
          <w:tcPr>
            <w:tcW w:w="971" w:type="dxa"/>
            <w:vAlign w:val="center"/>
          </w:tcPr>
          <w:p>
            <w:pPr>
              <w:spacing w:line="400" w:lineRule="exact"/>
              <w:jc w:val="center"/>
              <w:rPr>
                <w:rFonts w:hint="eastAsia" w:ascii="宋体" w:hAnsi="宋体" w:cs="宋体"/>
                <w:sz w:val="24"/>
              </w:rPr>
            </w:pPr>
          </w:p>
        </w:tc>
        <w:tc>
          <w:tcPr>
            <w:tcW w:w="8375" w:type="dxa"/>
            <w:vAlign w:val="center"/>
          </w:tcPr>
          <w:p>
            <w:pPr>
              <w:widowControl/>
              <w:spacing w:line="400" w:lineRule="exact"/>
              <w:jc w:val="left"/>
              <w:rPr>
                <w:rFonts w:hint="eastAsia" w:ascii="宋体" w:hAnsi="宋体" w:cs="宋体"/>
                <w:kern w:val="0"/>
                <w:sz w:val="24"/>
              </w:rPr>
            </w:pPr>
            <w:r>
              <w:rPr>
                <w:rFonts w:hint="eastAsia" w:ascii="宋体" w:hAnsi="宋体" w:cs="宋体"/>
                <w:kern w:val="0"/>
                <w:sz w:val="24"/>
              </w:rPr>
              <w:t>说明：</w:t>
            </w:r>
          </w:p>
          <w:p>
            <w:pPr>
              <w:widowControl/>
              <w:spacing w:line="400" w:lineRule="exact"/>
              <w:ind w:firstLine="360" w:firstLineChars="150"/>
              <w:jc w:val="left"/>
              <w:rPr>
                <w:rFonts w:hint="eastAsia" w:ascii="宋体" w:hAnsi="宋体" w:cs="宋体"/>
                <w:kern w:val="0"/>
                <w:sz w:val="24"/>
              </w:rPr>
            </w:pPr>
            <w:r>
              <w:rPr>
                <w:rFonts w:hint="eastAsia" w:ascii="宋体" w:hAnsi="宋体" w:cs="宋体"/>
                <w:kern w:val="0"/>
                <w:sz w:val="24"/>
              </w:rPr>
              <w:t>竞争性谈判供应商的法定代表人（或负责人）为同一人或者存在直接控股、管理关系的不同供应商，不得参加同一合同项下的政府采购活动。</w:t>
            </w:r>
          </w:p>
          <w:p>
            <w:pPr>
              <w:widowControl/>
              <w:spacing w:line="400" w:lineRule="exact"/>
              <w:ind w:firstLine="360" w:firstLineChars="150"/>
              <w:jc w:val="left"/>
              <w:rPr>
                <w:rFonts w:hint="eastAsia" w:hAnsi="宋体" w:cs="宋体"/>
                <w:kern w:val="0"/>
                <w:sz w:val="24"/>
              </w:rPr>
            </w:pPr>
            <w:r>
              <w:rPr>
                <w:rFonts w:hint="eastAsia" w:ascii="宋体" w:hAnsi="宋体" w:cs="宋体"/>
                <w:kern w:val="0"/>
                <w:sz w:val="24"/>
              </w:rPr>
              <w:t>生产厂商授权给供应商后自己不得参加同一合同项下（分标/分包）的政府采购活动；</w:t>
            </w:r>
            <w:r>
              <w:rPr>
                <w:rFonts w:hint="eastAsia" w:hAnsi="宋体" w:cs="宋体"/>
                <w:kern w:val="0"/>
                <w:sz w:val="24"/>
              </w:rPr>
              <w:t>多家供应商参加竞标，如其中两家或两家以上供应商提供的是同一品牌、同一型号产品的，应当按一个供应商计算。评审时，取其中通过资格审查后的报价最低一家为有效供应商；当报价相同时，则以技术标最优一家为有效供应商；均相同时，由谈判小组集体决定。</w:t>
            </w:r>
          </w:p>
          <w:p>
            <w:pPr>
              <w:widowControl/>
              <w:spacing w:line="400" w:lineRule="exact"/>
              <w:jc w:val="left"/>
              <w:rPr>
                <w:rFonts w:ascii="宋体" w:hAnsi="宋体" w:cs="宋体"/>
                <w:kern w:val="0"/>
                <w:sz w:val="24"/>
              </w:rPr>
            </w:pPr>
            <w:r>
              <w:rPr>
                <w:rFonts w:hint="eastAsia" w:ascii="宋体" w:hAnsi="宋体" w:cs="宋体"/>
                <w:kern w:val="0"/>
                <w:sz w:val="24"/>
              </w:rPr>
              <w:t xml:space="preserve">    除单一来源采购项目外，为本采购项目提供整体设计、规范编制或者项目管理、监理、检测等服务的供应商，不得再参加本采购项目的其他采购活动。</w:t>
            </w:r>
          </w:p>
        </w:tc>
      </w:tr>
    </w:tbl>
    <w:p>
      <w:pPr>
        <w:jc w:val="center"/>
        <w:rPr>
          <w:rFonts w:hint="eastAsia" w:ascii="宋体" w:hAnsi="宋体" w:cs="宋体"/>
          <w:b/>
          <w:sz w:val="30"/>
          <w:szCs w:val="30"/>
        </w:rPr>
      </w:pPr>
      <w:r>
        <w:rPr>
          <w:rFonts w:hint="eastAsia" w:ascii="宋体" w:hAnsi="宋体" w:cs="宋体"/>
        </w:rPr>
        <w:br w:type="page"/>
      </w:r>
      <w:bookmarkStart w:id="6" w:name="_Toc322015348"/>
      <w:r>
        <w:rPr>
          <w:rFonts w:hint="eastAsia" w:ascii="宋体" w:hAnsi="宋体" w:cs="宋体"/>
          <w:b/>
          <w:sz w:val="30"/>
          <w:szCs w:val="30"/>
        </w:rPr>
        <w:t>竞争性谈判供应商须知</w:t>
      </w:r>
      <w:bookmarkEnd w:id="6"/>
      <w:bookmarkStart w:id="7" w:name="_Toc182358660"/>
    </w:p>
    <w:p>
      <w:pPr>
        <w:pStyle w:val="5"/>
        <w:spacing w:before="0" w:after="0" w:line="240" w:lineRule="auto"/>
        <w:jc w:val="center"/>
        <w:rPr>
          <w:rFonts w:hint="eastAsia" w:ascii="宋体" w:hAnsi="宋体" w:cs="宋体"/>
          <w:bCs w:val="0"/>
          <w:sz w:val="28"/>
          <w:szCs w:val="28"/>
        </w:rPr>
      </w:pPr>
      <w:bookmarkStart w:id="8" w:name="_Toc8105"/>
      <w:r>
        <w:rPr>
          <w:rFonts w:hint="eastAsia" w:ascii="宋体" w:hAnsi="宋体" w:cs="宋体"/>
          <w:bCs w:val="0"/>
          <w:sz w:val="28"/>
          <w:szCs w:val="28"/>
        </w:rPr>
        <w:t>一、总  则</w:t>
      </w:r>
      <w:bookmarkEnd w:id="7"/>
      <w:bookmarkEnd w:id="8"/>
    </w:p>
    <w:p>
      <w:pPr>
        <w:spacing w:line="460" w:lineRule="exact"/>
        <w:outlineLvl w:val="3"/>
        <w:rPr>
          <w:rFonts w:hint="eastAsia" w:ascii="宋体" w:hAnsi="宋体" w:cs="宋体"/>
          <w:b/>
          <w:sz w:val="24"/>
        </w:rPr>
      </w:pPr>
      <w:bookmarkStart w:id="9" w:name="_Toc182358661"/>
      <w:bookmarkStart w:id="10" w:name="_Toc322015349"/>
      <w:bookmarkStart w:id="11" w:name="_Toc322074123"/>
      <w:r>
        <w:rPr>
          <w:rFonts w:hint="eastAsia" w:ascii="宋体" w:hAnsi="宋体" w:cs="宋体"/>
          <w:b/>
          <w:sz w:val="24"/>
        </w:rPr>
        <w:t>1.项目名称及编号</w:t>
      </w:r>
      <w:bookmarkEnd w:id="9"/>
      <w:bookmarkEnd w:id="10"/>
      <w:bookmarkEnd w:id="11"/>
    </w:p>
    <w:p>
      <w:pPr>
        <w:spacing w:line="460" w:lineRule="exact"/>
        <w:ind w:firstLine="480" w:firstLineChars="200"/>
        <w:rPr>
          <w:rFonts w:hint="eastAsia" w:ascii="宋体" w:hAnsi="宋体" w:cs="宋体"/>
          <w:sz w:val="24"/>
        </w:rPr>
      </w:pPr>
      <w:r>
        <w:rPr>
          <w:rFonts w:hint="eastAsia" w:ascii="宋体" w:hAnsi="宋体" w:cs="宋体"/>
          <w:sz w:val="24"/>
        </w:rPr>
        <w:t xml:space="preserve">1.1项目名称：全自动生化仪一台 </w:t>
      </w:r>
    </w:p>
    <w:p>
      <w:pPr>
        <w:spacing w:line="460" w:lineRule="exact"/>
        <w:ind w:firstLine="480" w:firstLineChars="200"/>
        <w:rPr>
          <w:rFonts w:hint="eastAsia" w:ascii="宋体" w:hAnsi="宋体" w:cs="宋体"/>
          <w:sz w:val="24"/>
        </w:rPr>
      </w:pPr>
      <w:r>
        <w:rPr>
          <w:rFonts w:hint="eastAsia" w:ascii="宋体" w:hAnsi="宋体" w:cs="宋体"/>
          <w:sz w:val="24"/>
        </w:rPr>
        <w:t>1.2项目编号:</w:t>
      </w:r>
      <w:r>
        <w:rPr>
          <w:rFonts w:hint="eastAsia" w:ascii="宋体" w:hAnsi="宋体" w:cs="宋体"/>
        </w:rPr>
        <w:t xml:space="preserve"> </w:t>
      </w:r>
      <w:r>
        <w:rPr>
          <w:rFonts w:hint="eastAsia" w:ascii="宋体" w:hAnsi="宋体" w:cs="宋体"/>
          <w:sz w:val="24"/>
        </w:rPr>
        <w:t>BHZC2020-J1-00092-GXHY</w:t>
      </w:r>
    </w:p>
    <w:p>
      <w:pPr>
        <w:spacing w:line="460" w:lineRule="exact"/>
        <w:ind w:firstLine="480" w:firstLineChars="200"/>
        <w:rPr>
          <w:rFonts w:hint="eastAsia" w:ascii="宋体" w:hAnsi="宋体" w:cs="宋体"/>
          <w:sz w:val="24"/>
        </w:rPr>
      </w:pPr>
      <w:r>
        <w:rPr>
          <w:rFonts w:hint="eastAsia" w:ascii="宋体" w:hAnsi="宋体" w:cs="宋体"/>
          <w:sz w:val="24"/>
        </w:rPr>
        <w:t>1.3采购内容：</w:t>
      </w:r>
      <w:r>
        <w:rPr>
          <w:rFonts w:hint="eastAsia" w:ascii="宋体" w:hAnsi="宋体" w:cs="宋体"/>
          <w:bCs/>
          <w:sz w:val="24"/>
        </w:rPr>
        <w:t>采购</w:t>
      </w:r>
      <w:r>
        <w:rPr>
          <w:rFonts w:hint="eastAsia" w:ascii="宋体" w:hAnsi="宋体" w:cs="宋体"/>
          <w:sz w:val="24"/>
        </w:rPr>
        <w:t>全自动生化仪一台</w:t>
      </w:r>
      <w:r>
        <w:rPr>
          <w:rFonts w:hint="eastAsia" w:ascii="宋体" w:hAnsi="宋体" w:cs="宋体"/>
          <w:bCs/>
          <w:sz w:val="24"/>
        </w:rPr>
        <w:t>，包括供货、安装、调试及后期服务，如需进一步了解详细内容，见竞争性谈判文件。</w:t>
      </w:r>
    </w:p>
    <w:p>
      <w:pPr>
        <w:spacing w:line="460" w:lineRule="exact"/>
        <w:outlineLvl w:val="3"/>
        <w:rPr>
          <w:rFonts w:hint="eastAsia" w:ascii="宋体" w:hAnsi="宋体" w:cs="宋体"/>
          <w:b/>
          <w:sz w:val="24"/>
        </w:rPr>
      </w:pPr>
      <w:bookmarkStart w:id="12" w:name="_Toc182358662"/>
      <w:bookmarkStart w:id="13" w:name="_Toc322015350"/>
      <w:bookmarkStart w:id="14" w:name="_Toc322074124"/>
      <w:r>
        <w:rPr>
          <w:rFonts w:hint="eastAsia" w:ascii="宋体" w:hAnsi="宋体" w:cs="宋体"/>
          <w:b/>
          <w:sz w:val="24"/>
        </w:rPr>
        <w:t>2.竞争性谈判供应商资格</w:t>
      </w:r>
      <w:bookmarkEnd w:id="12"/>
      <w:bookmarkEnd w:id="13"/>
      <w:bookmarkEnd w:id="14"/>
    </w:p>
    <w:p>
      <w:pPr>
        <w:spacing w:line="440" w:lineRule="exact"/>
        <w:ind w:firstLine="240" w:firstLineChars="100"/>
        <w:rPr>
          <w:rFonts w:hint="eastAsia" w:ascii="宋体" w:hAnsi="宋体" w:cs="宋体"/>
          <w:sz w:val="24"/>
        </w:rPr>
      </w:pPr>
      <w:bookmarkStart w:id="15" w:name="_Toc182358663"/>
      <w:bookmarkStart w:id="16" w:name="_Toc322015351"/>
      <w:bookmarkStart w:id="17" w:name="_Toc322074125"/>
      <w:r>
        <w:rPr>
          <w:rFonts w:hint="eastAsia" w:ascii="宋体" w:hAnsi="宋体" w:cs="宋体"/>
          <w:b/>
          <w:sz w:val="24"/>
        </w:rPr>
        <w:t xml:space="preserve"> </w:t>
      </w:r>
      <w:r>
        <w:rPr>
          <w:rFonts w:hint="eastAsia" w:ascii="宋体" w:hAnsi="宋体" w:cs="宋体"/>
          <w:bCs/>
          <w:sz w:val="24"/>
        </w:rPr>
        <w:t xml:space="preserve"> 2.1</w:t>
      </w:r>
      <w:r>
        <w:rPr>
          <w:rFonts w:hint="eastAsia" w:ascii="宋体" w:hAnsi="宋体" w:cs="宋体"/>
          <w:sz w:val="24"/>
        </w:rPr>
        <w:t>符合《中华人民共和国政府采购法》第二十二条规定</w:t>
      </w:r>
      <w:r>
        <w:rPr>
          <w:rFonts w:hint="eastAsia" w:hAnsi="宋体" w:cs="宋体"/>
          <w:sz w:val="24"/>
        </w:rPr>
        <w:t>；</w:t>
      </w:r>
    </w:p>
    <w:p>
      <w:pPr>
        <w:spacing w:line="440" w:lineRule="exact"/>
        <w:rPr>
          <w:rFonts w:hint="eastAsia" w:ascii="宋体" w:hAnsi="宋体" w:cs="宋体"/>
          <w:sz w:val="24"/>
        </w:rPr>
      </w:pPr>
      <w:r>
        <w:rPr>
          <w:rFonts w:hint="eastAsia" w:ascii="宋体" w:hAnsi="宋体" w:cs="宋体"/>
          <w:sz w:val="24"/>
        </w:rPr>
        <w:t xml:space="preserve">    2.2在国内注册（指按国家有关规定要求注册的）生产或经营本次竞标采购货物的供应商；</w:t>
      </w:r>
      <w:r>
        <w:rPr>
          <w:rFonts w:ascii="Arial" w:hAnsi="Arial" w:cs="Arial"/>
          <w:sz w:val="25"/>
          <w:szCs w:val="25"/>
          <w:shd w:val="clear" w:color="auto" w:fill="FFFFFF"/>
        </w:rPr>
        <w:t>具有履行合同所必需的设备和专业技术能力</w:t>
      </w:r>
      <w:r>
        <w:rPr>
          <w:rFonts w:hint="eastAsia" w:ascii="Arial" w:hAnsi="Arial" w:cs="Arial"/>
          <w:sz w:val="25"/>
          <w:szCs w:val="25"/>
          <w:shd w:val="clear" w:color="auto" w:fill="FFFFFF"/>
        </w:rPr>
        <w:t>；</w:t>
      </w:r>
      <w:r>
        <w:rPr>
          <w:rFonts w:hint="eastAsia" w:ascii="宋体" w:hAnsi="宋体" w:cs="宋体"/>
          <w:sz w:val="24"/>
        </w:rPr>
        <w:t xml:space="preserve"> </w:t>
      </w:r>
    </w:p>
    <w:p>
      <w:pPr>
        <w:spacing w:line="440" w:lineRule="exact"/>
        <w:ind w:firstLine="480" w:firstLineChars="200"/>
        <w:rPr>
          <w:rFonts w:hint="eastAsia" w:ascii="宋体" w:hAnsi="宋体" w:cs="宋体"/>
          <w:sz w:val="24"/>
        </w:rPr>
      </w:pPr>
      <w:r>
        <w:rPr>
          <w:rFonts w:hint="eastAsia" w:ascii="宋体" w:hAnsi="宋体" w:cs="宋体"/>
          <w:sz w:val="24"/>
          <w:shd w:val="clear" w:color="auto" w:fill="FFFFFF"/>
        </w:rPr>
        <w:t>2.3.对在“信用中国”网站(www.creditchina.gov.cn)、中国政府采购网(www.ccgp.gov.cn) 等渠道列入失信被执行人、重大税收违法案件当事人名单、政府采购严重违法失信行为记录名单的供应商，不得参与政府采购活动；</w:t>
      </w:r>
    </w:p>
    <w:p>
      <w:pPr>
        <w:spacing w:line="460" w:lineRule="exact"/>
        <w:ind w:firstLine="480" w:firstLineChars="200"/>
        <w:rPr>
          <w:rFonts w:hint="eastAsia" w:ascii="宋体" w:hAnsi="宋体" w:cs="宋体"/>
          <w:bCs/>
          <w:sz w:val="24"/>
        </w:rPr>
      </w:pPr>
      <w:r>
        <w:rPr>
          <w:rFonts w:hint="eastAsia" w:ascii="宋体" w:hAnsi="宋体" w:cs="宋体"/>
          <w:sz w:val="24"/>
        </w:rPr>
        <w:t>2.4.本项目不接受联合体参与竞标。</w:t>
      </w:r>
      <w:r>
        <w:rPr>
          <w:rFonts w:hint="eastAsia" w:ascii="宋体" w:hAnsi="宋体" w:cs="宋体"/>
          <w:bCs/>
          <w:sz w:val="24"/>
        </w:rPr>
        <w:t>。</w:t>
      </w:r>
    </w:p>
    <w:p>
      <w:pPr>
        <w:spacing w:line="460" w:lineRule="exact"/>
        <w:outlineLvl w:val="3"/>
        <w:rPr>
          <w:rFonts w:hint="eastAsia" w:ascii="宋体" w:hAnsi="宋体" w:cs="宋体"/>
          <w:b/>
          <w:sz w:val="24"/>
        </w:rPr>
      </w:pPr>
      <w:r>
        <w:rPr>
          <w:rFonts w:hint="eastAsia" w:ascii="宋体" w:hAnsi="宋体" w:cs="宋体"/>
          <w:b/>
          <w:sz w:val="24"/>
        </w:rPr>
        <w:t>3.谈判费用</w:t>
      </w:r>
      <w:bookmarkEnd w:id="15"/>
      <w:r>
        <w:rPr>
          <w:rFonts w:hint="eastAsia" w:ascii="宋体" w:hAnsi="宋体" w:cs="宋体"/>
          <w:b/>
          <w:sz w:val="24"/>
        </w:rPr>
        <w:t>和政府采购预算控制价</w:t>
      </w:r>
      <w:bookmarkEnd w:id="16"/>
      <w:bookmarkEnd w:id="17"/>
    </w:p>
    <w:p>
      <w:pPr>
        <w:spacing w:line="460" w:lineRule="exact"/>
        <w:ind w:firstLine="480" w:firstLineChars="200"/>
        <w:rPr>
          <w:rFonts w:hint="eastAsia" w:ascii="宋体" w:hAnsi="宋体" w:cs="宋体"/>
          <w:sz w:val="24"/>
        </w:rPr>
      </w:pPr>
      <w:r>
        <w:rPr>
          <w:rFonts w:hint="eastAsia" w:ascii="宋体" w:hAnsi="宋体" w:cs="宋体"/>
          <w:sz w:val="24"/>
        </w:rPr>
        <w:t>3.1竞争性谈判供应商应自行承担所有与本次竞标有关的全部费用。</w:t>
      </w:r>
    </w:p>
    <w:p>
      <w:pPr>
        <w:spacing w:line="460" w:lineRule="exact"/>
        <w:ind w:firstLine="480" w:firstLineChars="200"/>
        <w:rPr>
          <w:rFonts w:hint="eastAsia" w:ascii="宋体" w:hAnsi="宋体" w:cs="宋体"/>
          <w:sz w:val="24"/>
        </w:rPr>
      </w:pPr>
      <w:r>
        <w:rPr>
          <w:rFonts w:hint="eastAsia" w:ascii="宋体" w:hAnsi="宋体" w:cs="宋体"/>
          <w:sz w:val="24"/>
        </w:rPr>
        <w:t>3.2本次通过审批的政府采购预算价为：</w:t>
      </w:r>
      <w:r>
        <w:rPr>
          <w:rFonts w:hint="eastAsia" w:ascii="宋体" w:hAnsi="宋体" w:cs="宋体"/>
          <w:b/>
          <w:bCs/>
          <w:sz w:val="24"/>
        </w:rPr>
        <w:t>玖拾壹万元整（￥910000.00元）</w:t>
      </w:r>
      <w:r>
        <w:rPr>
          <w:rFonts w:hint="eastAsia" w:ascii="宋体" w:hAnsi="宋体" w:cs="宋体"/>
          <w:b/>
          <w:sz w:val="24"/>
        </w:rPr>
        <w:t>。</w:t>
      </w:r>
    </w:p>
    <w:p>
      <w:pPr>
        <w:pStyle w:val="5"/>
        <w:spacing w:before="240" w:after="120" w:line="460" w:lineRule="exact"/>
        <w:jc w:val="center"/>
        <w:rPr>
          <w:rFonts w:hint="eastAsia" w:ascii="宋体" w:hAnsi="宋体" w:cs="宋体"/>
          <w:bCs w:val="0"/>
          <w:sz w:val="28"/>
          <w:szCs w:val="28"/>
        </w:rPr>
      </w:pPr>
      <w:bookmarkStart w:id="18" w:name="_Toc182358664"/>
      <w:bookmarkStart w:id="19" w:name="_Toc322015352"/>
      <w:bookmarkStart w:id="20" w:name="_Toc12518"/>
      <w:r>
        <w:rPr>
          <w:rFonts w:hint="eastAsia" w:ascii="宋体" w:hAnsi="宋体" w:cs="宋体"/>
          <w:bCs w:val="0"/>
          <w:sz w:val="28"/>
          <w:szCs w:val="28"/>
        </w:rPr>
        <w:t>二、竞争性谈判采购文件（简称谈判文件）</w:t>
      </w:r>
      <w:bookmarkEnd w:id="18"/>
      <w:bookmarkEnd w:id="19"/>
      <w:bookmarkEnd w:id="20"/>
    </w:p>
    <w:p>
      <w:pPr>
        <w:spacing w:line="460" w:lineRule="exact"/>
        <w:ind w:firstLine="480" w:firstLineChars="200"/>
        <w:outlineLvl w:val="3"/>
        <w:rPr>
          <w:rFonts w:hint="eastAsia" w:ascii="宋体" w:hAnsi="宋体" w:cs="宋体"/>
          <w:b/>
          <w:sz w:val="24"/>
        </w:rPr>
      </w:pPr>
      <w:bookmarkStart w:id="21" w:name="_Toc182358665"/>
      <w:bookmarkStart w:id="22" w:name="_Toc322015353"/>
      <w:bookmarkStart w:id="23" w:name="_Toc322074127"/>
      <w:r>
        <w:rPr>
          <w:rFonts w:hint="eastAsia" w:ascii="宋体" w:hAnsi="宋体" w:cs="宋体"/>
          <w:b/>
          <w:sz w:val="24"/>
        </w:rPr>
        <w:t>4.谈判文件的构成</w:t>
      </w:r>
      <w:bookmarkEnd w:id="21"/>
      <w:bookmarkEnd w:id="22"/>
      <w:bookmarkEnd w:id="23"/>
    </w:p>
    <w:p>
      <w:pPr>
        <w:spacing w:line="460" w:lineRule="exact"/>
        <w:ind w:firstLine="480" w:firstLineChars="200"/>
        <w:rPr>
          <w:rFonts w:hint="eastAsia" w:ascii="宋体" w:hAnsi="宋体" w:cs="宋体"/>
          <w:sz w:val="24"/>
        </w:rPr>
      </w:pPr>
      <w:r>
        <w:rPr>
          <w:rFonts w:hint="eastAsia" w:ascii="宋体" w:hAnsi="宋体" w:cs="宋体"/>
          <w:sz w:val="24"/>
        </w:rPr>
        <w:t xml:space="preserve">4.1谈判文件包括： </w:t>
      </w:r>
    </w:p>
    <w:p>
      <w:pPr>
        <w:spacing w:line="460" w:lineRule="exact"/>
        <w:ind w:firstLine="480" w:firstLineChars="200"/>
        <w:rPr>
          <w:rFonts w:hint="eastAsia" w:ascii="宋体" w:hAnsi="宋体" w:cs="宋体"/>
          <w:sz w:val="24"/>
        </w:rPr>
      </w:pPr>
      <w:r>
        <w:rPr>
          <w:rFonts w:hint="eastAsia" w:ascii="宋体" w:hAnsi="宋体" w:cs="宋体"/>
          <w:sz w:val="24"/>
        </w:rPr>
        <w:t>⑴竞标公告；</w:t>
      </w:r>
    </w:p>
    <w:p>
      <w:pPr>
        <w:spacing w:line="460" w:lineRule="exact"/>
        <w:ind w:firstLine="480" w:firstLineChars="200"/>
        <w:rPr>
          <w:rFonts w:hint="eastAsia" w:ascii="宋体" w:hAnsi="宋体" w:cs="宋体"/>
          <w:sz w:val="24"/>
        </w:rPr>
      </w:pPr>
      <w:r>
        <w:rPr>
          <w:rFonts w:hint="eastAsia" w:ascii="宋体" w:hAnsi="宋体" w:cs="宋体"/>
          <w:sz w:val="24"/>
        </w:rPr>
        <w:t>⑵竞争性谈判供应商须知及前附表；</w:t>
      </w:r>
    </w:p>
    <w:p>
      <w:pPr>
        <w:spacing w:line="460" w:lineRule="exact"/>
        <w:ind w:firstLine="480" w:firstLineChars="200"/>
        <w:rPr>
          <w:rFonts w:hint="eastAsia" w:ascii="宋体" w:hAnsi="宋体" w:cs="宋体"/>
          <w:sz w:val="24"/>
        </w:rPr>
      </w:pPr>
      <w:r>
        <w:rPr>
          <w:rFonts w:hint="eastAsia" w:ascii="宋体" w:hAnsi="宋体" w:cs="宋体"/>
          <w:sz w:val="24"/>
        </w:rPr>
        <w:t>⑶货物需求一览表；</w:t>
      </w:r>
    </w:p>
    <w:p>
      <w:pPr>
        <w:spacing w:line="460" w:lineRule="exact"/>
        <w:ind w:firstLine="480" w:firstLineChars="200"/>
        <w:rPr>
          <w:rFonts w:hint="eastAsia" w:ascii="宋体" w:hAnsi="宋体" w:cs="宋体"/>
          <w:sz w:val="24"/>
        </w:rPr>
      </w:pPr>
      <w:r>
        <w:rPr>
          <w:rFonts w:hint="eastAsia" w:ascii="宋体" w:hAnsi="宋体" w:cs="宋体"/>
          <w:sz w:val="24"/>
        </w:rPr>
        <w:t>⑷合同基本条款及合同（格式）；</w:t>
      </w:r>
    </w:p>
    <w:p>
      <w:pPr>
        <w:spacing w:line="460" w:lineRule="exact"/>
        <w:ind w:firstLine="480" w:firstLineChars="200"/>
        <w:rPr>
          <w:rFonts w:hint="eastAsia" w:ascii="宋体" w:hAnsi="宋体" w:cs="宋体"/>
          <w:sz w:val="24"/>
        </w:rPr>
      </w:pPr>
      <w:r>
        <w:rPr>
          <w:rFonts w:hint="eastAsia" w:ascii="宋体" w:hAnsi="宋体" w:cs="宋体"/>
          <w:sz w:val="24"/>
        </w:rPr>
        <w:t>⑸谈判响应文件（格式）；</w:t>
      </w:r>
    </w:p>
    <w:p>
      <w:pPr>
        <w:spacing w:line="460" w:lineRule="exact"/>
        <w:ind w:firstLine="480" w:firstLineChars="200"/>
        <w:rPr>
          <w:rFonts w:hint="eastAsia" w:ascii="宋体" w:hAnsi="宋体" w:cs="宋体"/>
          <w:sz w:val="24"/>
        </w:rPr>
      </w:pPr>
      <w:r>
        <w:rPr>
          <w:rFonts w:hint="eastAsia" w:ascii="宋体" w:hAnsi="宋体" w:cs="宋体"/>
          <w:sz w:val="24"/>
        </w:rPr>
        <w:t>⑹评定成交的标准。</w:t>
      </w:r>
    </w:p>
    <w:p>
      <w:pPr>
        <w:spacing w:line="460" w:lineRule="exact"/>
        <w:ind w:firstLine="480" w:firstLineChars="200"/>
        <w:outlineLvl w:val="3"/>
        <w:rPr>
          <w:rFonts w:hint="eastAsia" w:ascii="宋体" w:hAnsi="宋体" w:cs="宋体"/>
          <w:b/>
          <w:sz w:val="24"/>
        </w:rPr>
      </w:pPr>
      <w:bookmarkStart w:id="24" w:name="_Toc182358666"/>
      <w:bookmarkStart w:id="25" w:name="_Toc322015354"/>
      <w:bookmarkStart w:id="26" w:name="_Toc322074128"/>
      <w:r>
        <w:rPr>
          <w:rFonts w:hint="eastAsia" w:ascii="宋体" w:hAnsi="宋体" w:cs="宋体"/>
          <w:b/>
          <w:sz w:val="24"/>
        </w:rPr>
        <w:t>5.谈判文件的澄清和修改</w:t>
      </w:r>
      <w:bookmarkEnd w:id="24"/>
      <w:bookmarkEnd w:id="25"/>
      <w:bookmarkEnd w:id="26"/>
    </w:p>
    <w:p>
      <w:pPr>
        <w:spacing w:line="460" w:lineRule="exact"/>
        <w:ind w:firstLine="480" w:firstLineChars="200"/>
        <w:rPr>
          <w:rFonts w:hint="eastAsia" w:ascii="宋体" w:hAnsi="宋体" w:cs="宋体"/>
          <w:sz w:val="24"/>
        </w:rPr>
      </w:pPr>
      <w:r>
        <w:rPr>
          <w:rFonts w:hint="eastAsia" w:ascii="宋体" w:hAnsi="宋体" w:cs="宋体"/>
          <w:sz w:val="24"/>
        </w:rPr>
        <w:t>5.1任何要求澄清谈判文件的竞争性谈判供应商，均应在提交响应文件截止日期 3工作日前的正常工作时间以传真等书面形式通知采购代理机构，同时认定其他澄清方式为无效。采购代理机构将以书面形式予以答复。</w:t>
      </w:r>
    </w:p>
    <w:p>
      <w:pPr>
        <w:spacing w:line="460" w:lineRule="exact"/>
        <w:ind w:firstLine="480" w:firstLineChars="200"/>
        <w:rPr>
          <w:rFonts w:hint="eastAsia" w:ascii="宋体" w:hAnsi="宋体" w:cs="宋体"/>
          <w:sz w:val="24"/>
        </w:rPr>
      </w:pPr>
      <w:r>
        <w:rPr>
          <w:rFonts w:hint="eastAsia" w:ascii="宋体" w:hAnsi="宋体" w:cs="宋体"/>
          <w:sz w:val="24"/>
        </w:rPr>
        <w:t>5.2采购代理机构对已发出的谈判文件进行必要澄清或修改的，在谈判文件要求提交谈判响应文件截止时间 3工作日前，在中国</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上发布更正公告，并以书面形式通知所有谈判文件收受人。该澄清或修改的内容为谈判文件的组成部分。</w:t>
      </w:r>
    </w:p>
    <w:p>
      <w:pPr>
        <w:spacing w:line="460" w:lineRule="exact"/>
        <w:ind w:firstLine="480" w:firstLineChars="200"/>
        <w:rPr>
          <w:rFonts w:hint="eastAsia" w:ascii="宋体" w:hAnsi="宋体" w:cs="宋体"/>
          <w:sz w:val="24"/>
        </w:rPr>
      </w:pPr>
      <w:r>
        <w:rPr>
          <w:rFonts w:hint="eastAsia" w:ascii="宋体" w:hAnsi="宋体" w:cs="宋体"/>
          <w:sz w:val="24"/>
        </w:rPr>
        <w:t>5.3 采购代理机构可视具体情况，延长提交响应文件截止时间，采购代理机构至少在谈判文件要求提交谈判响应文件的截止时间3工作日前，将变更时间书面通知所有谈判文件收受人，并在</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发布变更公告。</w:t>
      </w:r>
    </w:p>
    <w:p>
      <w:pPr>
        <w:spacing w:line="460" w:lineRule="exact"/>
        <w:ind w:firstLine="480" w:firstLineChars="200"/>
        <w:rPr>
          <w:rFonts w:hint="eastAsia" w:ascii="宋体" w:hAnsi="宋体" w:cs="宋体"/>
          <w:sz w:val="24"/>
        </w:rPr>
      </w:pPr>
      <w:r>
        <w:rPr>
          <w:rFonts w:hint="eastAsia" w:ascii="宋体" w:hAnsi="宋体" w:cs="宋体"/>
          <w:sz w:val="24"/>
        </w:rPr>
        <w:t>5.4 补充通知报合浦县财政局备案。</w:t>
      </w:r>
    </w:p>
    <w:p>
      <w:pPr>
        <w:pStyle w:val="5"/>
        <w:spacing w:before="240" w:after="120" w:line="460" w:lineRule="exact"/>
        <w:jc w:val="center"/>
        <w:rPr>
          <w:rFonts w:hint="eastAsia" w:ascii="宋体" w:hAnsi="宋体" w:cs="宋体"/>
          <w:bCs w:val="0"/>
          <w:sz w:val="28"/>
          <w:szCs w:val="28"/>
        </w:rPr>
      </w:pPr>
      <w:bookmarkStart w:id="27" w:name="_Toc182358667"/>
      <w:bookmarkStart w:id="28" w:name="_Toc322015355"/>
      <w:bookmarkStart w:id="29" w:name="_Toc12974"/>
      <w:r>
        <w:rPr>
          <w:rFonts w:hint="eastAsia" w:ascii="宋体" w:hAnsi="宋体" w:cs="宋体"/>
          <w:bCs w:val="0"/>
          <w:sz w:val="28"/>
          <w:szCs w:val="28"/>
        </w:rPr>
        <w:t>三、谈判响应文件的编制</w:t>
      </w:r>
      <w:bookmarkEnd w:id="27"/>
      <w:bookmarkEnd w:id="28"/>
      <w:bookmarkEnd w:id="29"/>
    </w:p>
    <w:p>
      <w:pPr>
        <w:spacing w:line="460" w:lineRule="exact"/>
        <w:ind w:firstLine="480" w:firstLineChars="200"/>
        <w:outlineLvl w:val="3"/>
        <w:rPr>
          <w:rFonts w:hint="eastAsia" w:ascii="宋体" w:hAnsi="宋体" w:cs="宋体"/>
          <w:b/>
          <w:sz w:val="24"/>
        </w:rPr>
      </w:pPr>
      <w:bookmarkStart w:id="30" w:name="_Toc182358668"/>
      <w:bookmarkStart w:id="31" w:name="_Toc322015356"/>
      <w:bookmarkStart w:id="32" w:name="_Toc322074130"/>
      <w:r>
        <w:rPr>
          <w:rFonts w:hint="eastAsia" w:ascii="宋体" w:hAnsi="宋体" w:cs="宋体"/>
          <w:b/>
          <w:sz w:val="24"/>
        </w:rPr>
        <w:t>6.谈判响应文件编写的注意事项</w:t>
      </w:r>
      <w:bookmarkEnd w:id="30"/>
      <w:bookmarkEnd w:id="31"/>
      <w:bookmarkEnd w:id="32"/>
    </w:p>
    <w:p>
      <w:pPr>
        <w:spacing w:line="460" w:lineRule="exact"/>
        <w:ind w:firstLine="480" w:firstLineChars="200"/>
        <w:rPr>
          <w:rFonts w:hint="eastAsia" w:ascii="宋体" w:hAnsi="宋体" w:cs="宋体"/>
          <w:sz w:val="24"/>
        </w:rPr>
      </w:pPr>
      <w:r>
        <w:rPr>
          <w:rFonts w:hint="eastAsia" w:ascii="宋体" w:hAnsi="宋体" w:cs="宋体"/>
          <w:sz w:val="24"/>
        </w:rPr>
        <w:t>6.1竞争性谈判供应商应仔细阅读谈判文件，按谈判文件的要求编制谈判响应文件。如果没有按谈判文件要求提交谈判响应文件，没有对谈判文件提出的实质性要求和条件作出响应，该竞标将被拒绝。</w:t>
      </w:r>
    </w:p>
    <w:p>
      <w:pPr>
        <w:spacing w:line="460" w:lineRule="exact"/>
        <w:ind w:firstLine="480" w:firstLineChars="200"/>
        <w:rPr>
          <w:rFonts w:hint="eastAsia" w:ascii="宋体" w:hAnsi="宋体" w:cs="宋体"/>
          <w:sz w:val="24"/>
        </w:rPr>
      </w:pPr>
      <w:r>
        <w:rPr>
          <w:rFonts w:hint="eastAsia" w:ascii="宋体" w:hAnsi="宋体" w:cs="宋体"/>
          <w:sz w:val="24"/>
        </w:rPr>
        <w:t>6.2对谈判文件提出的实质性要求和条件作出响应是指竞争性谈判供应商必须对谈判文件中涉及竞标项目的价格、技术参数及性能配置、数量、售后服务及其它要求、合同主要条款等内容作出响应。</w:t>
      </w:r>
    </w:p>
    <w:p>
      <w:pPr>
        <w:spacing w:line="460" w:lineRule="exact"/>
        <w:ind w:firstLine="480" w:firstLineChars="200"/>
        <w:outlineLvl w:val="3"/>
        <w:rPr>
          <w:rFonts w:hint="eastAsia" w:ascii="宋体" w:hAnsi="宋体" w:cs="宋体"/>
          <w:b/>
          <w:sz w:val="24"/>
        </w:rPr>
      </w:pPr>
      <w:bookmarkStart w:id="33" w:name="_Toc182358669"/>
      <w:bookmarkStart w:id="34" w:name="_Toc322015357"/>
      <w:bookmarkStart w:id="35" w:name="_Toc322074131"/>
      <w:r>
        <w:rPr>
          <w:rFonts w:hint="eastAsia" w:ascii="宋体" w:hAnsi="宋体" w:cs="宋体"/>
          <w:b/>
          <w:sz w:val="24"/>
        </w:rPr>
        <w:t>7.谈判响应文件的文字及计量单位</w:t>
      </w:r>
      <w:bookmarkEnd w:id="33"/>
      <w:bookmarkEnd w:id="34"/>
      <w:bookmarkEnd w:id="35"/>
    </w:p>
    <w:p>
      <w:pPr>
        <w:spacing w:line="460" w:lineRule="exact"/>
        <w:ind w:firstLine="480" w:firstLineChars="200"/>
        <w:rPr>
          <w:rFonts w:hint="eastAsia" w:ascii="宋体" w:hAnsi="宋体" w:cs="宋体"/>
          <w:sz w:val="24"/>
        </w:rPr>
      </w:pPr>
      <w:r>
        <w:rPr>
          <w:rFonts w:hint="eastAsia" w:ascii="宋体" w:hAnsi="宋体" w:cs="宋体"/>
          <w:sz w:val="24"/>
        </w:rPr>
        <w:t xml:space="preserve">7.1竞争性谈判供应商的谈判响应文件以及竞争性谈判供应商与采购代理机构的所有来往的函件统一使用中文（另有规定的除外）。 </w:t>
      </w:r>
    </w:p>
    <w:p>
      <w:pPr>
        <w:spacing w:line="460" w:lineRule="exact"/>
        <w:ind w:firstLine="480" w:firstLineChars="200"/>
        <w:rPr>
          <w:rFonts w:hint="eastAsia" w:ascii="宋体" w:hAnsi="宋体" w:cs="宋体"/>
          <w:sz w:val="24"/>
        </w:rPr>
      </w:pPr>
      <w:r>
        <w:rPr>
          <w:rFonts w:hint="eastAsia" w:ascii="宋体" w:hAnsi="宋体" w:cs="宋体"/>
          <w:sz w:val="24"/>
        </w:rPr>
        <w:t>7.2谈判响应文件使用的计量单位除谈判文件中有特殊规定外，一律使用法定计量单位。</w:t>
      </w:r>
    </w:p>
    <w:p>
      <w:pPr>
        <w:spacing w:line="460" w:lineRule="exact"/>
        <w:ind w:firstLine="480" w:firstLineChars="200"/>
        <w:outlineLvl w:val="3"/>
        <w:rPr>
          <w:rFonts w:hint="eastAsia" w:ascii="宋体" w:hAnsi="宋体" w:cs="宋体"/>
          <w:b/>
          <w:sz w:val="24"/>
        </w:rPr>
      </w:pPr>
      <w:bookmarkStart w:id="36" w:name="_Toc182358670"/>
      <w:bookmarkStart w:id="37" w:name="_Toc322015358"/>
      <w:bookmarkStart w:id="38" w:name="_Toc322074132"/>
      <w:r>
        <w:rPr>
          <w:rFonts w:hint="eastAsia" w:ascii="宋体" w:hAnsi="宋体" w:cs="宋体"/>
          <w:b/>
          <w:sz w:val="24"/>
        </w:rPr>
        <w:t>8.谈判响应文件的构成</w:t>
      </w:r>
      <w:bookmarkEnd w:id="36"/>
      <w:bookmarkEnd w:id="37"/>
      <w:bookmarkEnd w:id="38"/>
    </w:p>
    <w:p>
      <w:pPr>
        <w:spacing w:line="460" w:lineRule="exact"/>
        <w:ind w:firstLine="480" w:firstLineChars="200"/>
        <w:rPr>
          <w:rFonts w:hint="eastAsia" w:ascii="宋体" w:hAnsi="宋体" w:cs="宋体"/>
          <w:sz w:val="24"/>
        </w:rPr>
      </w:pPr>
      <w:r>
        <w:rPr>
          <w:rFonts w:hint="eastAsia" w:ascii="宋体" w:hAnsi="宋体" w:cs="宋体"/>
          <w:sz w:val="24"/>
        </w:rPr>
        <w:t>8.1 谈判响应文件由资格和商务部分、技术部分两部分组成。</w:t>
      </w:r>
    </w:p>
    <w:p>
      <w:pPr>
        <w:spacing w:line="460" w:lineRule="exact"/>
        <w:ind w:firstLine="480" w:firstLineChars="200"/>
        <w:rPr>
          <w:rFonts w:hint="eastAsia" w:ascii="宋体" w:hAnsi="宋体" w:cs="宋体"/>
          <w:sz w:val="24"/>
        </w:rPr>
      </w:pPr>
      <w:r>
        <w:rPr>
          <w:rFonts w:hint="eastAsia" w:ascii="宋体" w:hAnsi="宋体" w:cs="宋体"/>
          <w:sz w:val="24"/>
        </w:rPr>
        <w:t>竞争性谈判供应商编写的且在谈判响应文件递交截止时间前递交的谈判响应文件必须包括下列内容（竞争性谈判供应商必须按下列顺序自编目录及页码装订成册，否则文件失散引起的后果自负）：</w:t>
      </w:r>
    </w:p>
    <w:p>
      <w:pPr>
        <w:spacing w:line="460" w:lineRule="exact"/>
        <w:ind w:firstLine="480" w:firstLineChars="200"/>
        <w:rPr>
          <w:rFonts w:hint="eastAsia" w:ascii="宋体" w:hAnsi="宋体" w:cs="宋体"/>
          <w:b/>
          <w:sz w:val="24"/>
        </w:rPr>
      </w:pPr>
      <w:bookmarkStart w:id="39" w:name="_Toc182358671"/>
      <w:bookmarkStart w:id="40" w:name="_Toc322015359"/>
      <w:r>
        <w:rPr>
          <w:rFonts w:hint="eastAsia" w:ascii="宋体" w:hAnsi="宋体" w:cs="宋体"/>
          <w:b/>
          <w:sz w:val="24"/>
        </w:rPr>
        <w:t>一、资格和商务部分</w:t>
      </w:r>
    </w:p>
    <w:p>
      <w:pPr>
        <w:spacing w:line="460" w:lineRule="exact"/>
        <w:ind w:firstLine="480" w:firstLineChars="200"/>
        <w:rPr>
          <w:rFonts w:hint="eastAsia" w:ascii="宋体" w:hAnsi="宋体" w:cs="宋体"/>
          <w:sz w:val="24"/>
        </w:rPr>
      </w:pPr>
      <w:r>
        <w:rPr>
          <w:rFonts w:hint="eastAsia" w:ascii="宋体" w:hAnsi="宋体" w:cs="宋体"/>
          <w:sz w:val="24"/>
        </w:rPr>
        <w:t>（1）竞标函；</w:t>
      </w:r>
    </w:p>
    <w:p>
      <w:pPr>
        <w:spacing w:line="460" w:lineRule="exact"/>
        <w:ind w:firstLine="480" w:firstLineChars="200"/>
        <w:rPr>
          <w:rFonts w:hint="eastAsia" w:ascii="宋体" w:hAnsi="宋体" w:cs="宋体"/>
          <w:sz w:val="24"/>
        </w:rPr>
      </w:pPr>
      <w:r>
        <w:rPr>
          <w:rFonts w:hint="eastAsia" w:ascii="宋体" w:hAnsi="宋体" w:cs="宋体"/>
          <w:sz w:val="24"/>
        </w:rPr>
        <w:t>（2）谈判报价表；</w:t>
      </w:r>
    </w:p>
    <w:p>
      <w:pPr>
        <w:spacing w:line="460" w:lineRule="exact"/>
        <w:ind w:firstLine="480" w:firstLineChars="200"/>
        <w:rPr>
          <w:rFonts w:hint="eastAsia" w:ascii="宋体" w:hAnsi="宋体" w:cs="宋体"/>
          <w:sz w:val="24"/>
        </w:rPr>
      </w:pPr>
      <w:r>
        <w:rPr>
          <w:rFonts w:hint="eastAsia" w:ascii="宋体" w:hAnsi="宋体" w:cs="宋体"/>
          <w:sz w:val="24"/>
        </w:rPr>
        <w:t>（3）竞争性谈判供应商资格证明文件；</w:t>
      </w:r>
    </w:p>
    <w:p>
      <w:pPr>
        <w:spacing w:line="460" w:lineRule="exact"/>
        <w:ind w:firstLine="480" w:firstLineChars="200"/>
        <w:rPr>
          <w:rFonts w:hint="eastAsia" w:ascii="宋体" w:hAnsi="宋体" w:cs="宋体"/>
          <w:sz w:val="24"/>
        </w:rPr>
      </w:pPr>
      <w:r>
        <w:rPr>
          <w:rFonts w:hint="eastAsia" w:ascii="宋体" w:hAnsi="宋体" w:cs="宋体"/>
          <w:sz w:val="24"/>
        </w:rPr>
        <w:t>（4）售后服务承诺书。</w:t>
      </w:r>
    </w:p>
    <w:p>
      <w:pPr>
        <w:spacing w:line="460" w:lineRule="exact"/>
        <w:ind w:firstLine="480" w:firstLineChars="200"/>
        <w:rPr>
          <w:rFonts w:hint="eastAsia" w:ascii="宋体" w:hAnsi="宋体" w:cs="宋体"/>
          <w:b/>
          <w:sz w:val="24"/>
        </w:rPr>
      </w:pPr>
      <w:r>
        <w:rPr>
          <w:rFonts w:hint="eastAsia" w:ascii="宋体" w:hAnsi="宋体" w:cs="宋体"/>
          <w:b/>
          <w:sz w:val="24"/>
        </w:rPr>
        <w:t>二、技术部分</w:t>
      </w:r>
    </w:p>
    <w:p>
      <w:pPr>
        <w:spacing w:line="460" w:lineRule="exact"/>
        <w:ind w:firstLine="480" w:firstLineChars="200"/>
        <w:rPr>
          <w:rFonts w:hint="eastAsia" w:ascii="宋体" w:hAnsi="宋体" w:cs="宋体"/>
          <w:sz w:val="24"/>
        </w:rPr>
      </w:pPr>
      <w:r>
        <w:rPr>
          <w:rFonts w:hint="eastAsia" w:ascii="宋体" w:hAnsi="宋体" w:cs="宋体"/>
          <w:sz w:val="24"/>
        </w:rPr>
        <w:t>（1）技术规格响应表</w:t>
      </w:r>
    </w:p>
    <w:p>
      <w:pPr>
        <w:spacing w:line="460" w:lineRule="exact"/>
        <w:ind w:firstLine="480" w:firstLineChars="200"/>
        <w:outlineLvl w:val="3"/>
        <w:rPr>
          <w:rFonts w:hint="eastAsia" w:ascii="宋体" w:hAnsi="宋体" w:cs="宋体"/>
          <w:b/>
          <w:sz w:val="24"/>
        </w:rPr>
      </w:pPr>
      <w:bookmarkStart w:id="41" w:name="_Toc322074133"/>
      <w:r>
        <w:rPr>
          <w:rFonts w:hint="eastAsia" w:ascii="宋体" w:hAnsi="宋体" w:cs="宋体"/>
          <w:b/>
          <w:sz w:val="24"/>
        </w:rPr>
        <w:t>9.谈判响应文件格式</w:t>
      </w:r>
      <w:bookmarkEnd w:id="39"/>
      <w:bookmarkEnd w:id="40"/>
      <w:bookmarkEnd w:id="41"/>
    </w:p>
    <w:p>
      <w:pPr>
        <w:spacing w:line="460" w:lineRule="exact"/>
        <w:ind w:firstLine="480" w:firstLineChars="200"/>
        <w:rPr>
          <w:rFonts w:hint="eastAsia" w:ascii="宋体" w:hAnsi="宋体" w:cs="宋体"/>
          <w:sz w:val="24"/>
        </w:rPr>
      </w:pPr>
      <w:r>
        <w:rPr>
          <w:rFonts w:hint="eastAsia" w:ascii="宋体" w:hAnsi="宋体" w:cs="宋体"/>
          <w:sz w:val="24"/>
        </w:rPr>
        <w:t>9.1竞争性谈判供应商应按谈判响应文件提供的竞标函、谈判报价表、技术规格偏离表、售后服务承诺书等格式详细完整地填写各项内容。</w:t>
      </w:r>
    </w:p>
    <w:p>
      <w:pPr>
        <w:spacing w:line="460" w:lineRule="exact"/>
        <w:ind w:firstLine="480" w:firstLineChars="200"/>
        <w:rPr>
          <w:rFonts w:hint="eastAsia" w:ascii="宋体" w:hAnsi="宋体" w:cs="宋体"/>
          <w:sz w:val="24"/>
        </w:rPr>
      </w:pPr>
      <w:r>
        <w:rPr>
          <w:rFonts w:hint="eastAsia" w:ascii="宋体" w:hAnsi="宋体" w:cs="宋体"/>
          <w:sz w:val="24"/>
        </w:rPr>
        <w:t>9.2在谈判报价表中，竞争性谈判供应商应详细标明所提供的货物及部件名称、品牌型号规格、技术参数、配置、产地、生产厂家、数量及产品所执行的标准及标准号等。</w:t>
      </w:r>
    </w:p>
    <w:p>
      <w:pPr>
        <w:spacing w:line="460" w:lineRule="exact"/>
        <w:ind w:firstLine="480" w:firstLineChars="200"/>
        <w:outlineLvl w:val="3"/>
        <w:rPr>
          <w:rFonts w:hint="eastAsia" w:ascii="宋体" w:hAnsi="宋体" w:cs="宋体"/>
          <w:b/>
          <w:sz w:val="24"/>
        </w:rPr>
      </w:pPr>
      <w:bookmarkStart w:id="42" w:name="_Toc182358672"/>
      <w:bookmarkStart w:id="43" w:name="_Toc322015360"/>
      <w:bookmarkStart w:id="44" w:name="_Toc322074134"/>
      <w:r>
        <w:rPr>
          <w:rFonts w:hint="eastAsia" w:ascii="宋体" w:hAnsi="宋体" w:cs="宋体"/>
          <w:b/>
          <w:sz w:val="24"/>
        </w:rPr>
        <w:t>10.谈判报价</w:t>
      </w:r>
      <w:bookmarkEnd w:id="42"/>
      <w:bookmarkEnd w:id="43"/>
      <w:bookmarkEnd w:id="44"/>
    </w:p>
    <w:p>
      <w:pPr>
        <w:spacing w:line="460" w:lineRule="exact"/>
        <w:ind w:firstLine="480" w:firstLineChars="200"/>
        <w:rPr>
          <w:rFonts w:hint="eastAsia" w:ascii="宋体" w:hAnsi="宋体" w:cs="宋体"/>
          <w:sz w:val="24"/>
        </w:rPr>
      </w:pPr>
      <w:r>
        <w:rPr>
          <w:rFonts w:hint="eastAsia" w:ascii="宋体" w:hAnsi="宋体" w:cs="宋体"/>
          <w:sz w:val="24"/>
        </w:rPr>
        <w:t>10.1竞争性谈判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如果因竞争性谈判供应商原因引起的报价失误，并在谈判时被接受，其后果由竞争性谈判供应商自负。</w:t>
      </w:r>
    </w:p>
    <w:p>
      <w:pPr>
        <w:spacing w:line="460" w:lineRule="exact"/>
        <w:ind w:firstLine="480" w:firstLineChars="200"/>
        <w:rPr>
          <w:rFonts w:hint="eastAsia" w:ascii="宋体" w:hAnsi="宋体" w:cs="宋体"/>
          <w:sz w:val="24"/>
        </w:rPr>
      </w:pPr>
      <w:r>
        <w:rPr>
          <w:rFonts w:hint="eastAsia" w:ascii="宋体" w:hAnsi="宋体" w:cs="宋体"/>
          <w:sz w:val="24"/>
        </w:rPr>
        <w:t>10.2竞争性谈判供应商必须对《货物需求一览表》中的所有货物和服务内容作完整唯一报价。</w:t>
      </w:r>
    </w:p>
    <w:p>
      <w:pPr>
        <w:spacing w:line="460" w:lineRule="exact"/>
        <w:ind w:firstLine="480" w:firstLineChars="200"/>
        <w:rPr>
          <w:rFonts w:hint="eastAsia" w:ascii="宋体" w:hAnsi="宋体" w:cs="宋体"/>
          <w:sz w:val="24"/>
        </w:rPr>
      </w:pPr>
      <w:r>
        <w:rPr>
          <w:rFonts w:hint="eastAsia" w:ascii="宋体" w:hAnsi="宋体" w:cs="宋体"/>
          <w:sz w:val="24"/>
        </w:rPr>
        <w:t>10.3 竞争性谈判供应商在最终报价表中所填报的货物内容如存在有漏项的情况且在谈判文件评审时被接受，则将被认定为该遗漏项已包含在最终报价中，成交人在供货时应按谈判文件及最终谈判结果的要求完整提供货物，采购人对其漏报的货物不追加任何货款。</w:t>
      </w:r>
    </w:p>
    <w:p>
      <w:pPr>
        <w:spacing w:line="460" w:lineRule="exact"/>
        <w:ind w:firstLine="480" w:firstLineChars="200"/>
        <w:rPr>
          <w:rFonts w:hint="eastAsia" w:ascii="宋体" w:hAnsi="宋体" w:cs="宋体"/>
          <w:sz w:val="24"/>
        </w:rPr>
      </w:pPr>
      <w:r>
        <w:rPr>
          <w:rFonts w:hint="eastAsia" w:ascii="宋体" w:hAnsi="宋体" w:cs="宋体"/>
          <w:sz w:val="24"/>
        </w:rPr>
        <w:t>10.4谈判报价指货物、安装调试、服务、随配附件、备品备件、工具、货物运抵指定交货地点的各种费用、售后服务、税金及其它所有成本费用的总和。</w:t>
      </w:r>
    </w:p>
    <w:p>
      <w:pPr>
        <w:spacing w:line="460" w:lineRule="exact"/>
        <w:ind w:firstLine="480" w:firstLineChars="200"/>
        <w:outlineLvl w:val="3"/>
        <w:rPr>
          <w:rFonts w:hint="eastAsia" w:ascii="宋体" w:hAnsi="宋体" w:cs="宋体"/>
          <w:b/>
          <w:sz w:val="24"/>
        </w:rPr>
      </w:pPr>
      <w:bookmarkStart w:id="45" w:name="_Toc182358673"/>
      <w:bookmarkStart w:id="46" w:name="_Toc322015361"/>
      <w:bookmarkStart w:id="47" w:name="_Toc322074135"/>
      <w:r>
        <w:rPr>
          <w:rFonts w:hint="eastAsia" w:ascii="宋体" w:hAnsi="宋体" w:cs="宋体"/>
          <w:b/>
          <w:sz w:val="24"/>
        </w:rPr>
        <w:t>11.谈判货币</w:t>
      </w:r>
      <w:bookmarkEnd w:id="45"/>
      <w:bookmarkEnd w:id="46"/>
      <w:bookmarkEnd w:id="47"/>
    </w:p>
    <w:p>
      <w:pPr>
        <w:spacing w:line="460" w:lineRule="exact"/>
        <w:ind w:firstLine="480" w:firstLineChars="200"/>
        <w:rPr>
          <w:rFonts w:hint="eastAsia" w:ascii="宋体" w:hAnsi="宋体" w:cs="宋体"/>
          <w:sz w:val="24"/>
        </w:rPr>
      </w:pPr>
      <w:r>
        <w:rPr>
          <w:rFonts w:hint="eastAsia" w:ascii="宋体" w:hAnsi="宋体" w:cs="宋体"/>
          <w:sz w:val="24"/>
        </w:rPr>
        <w:t>11.1竞标应以人民币报价。</w:t>
      </w:r>
    </w:p>
    <w:p>
      <w:pPr>
        <w:spacing w:line="460" w:lineRule="exact"/>
        <w:ind w:firstLine="480" w:firstLineChars="200"/>
        <w:outlineLvl w:val="3"/>
        <w:rPr>
          <w:rFonts w:hint="eastAsia" w:ascii="宋体" w:hAnsi="宋体" w:cs="宋体"/>
          <w:b/>
          <w:bCs/>
          <w:sz w:val="24"/>
        </w:rPr>
      </w:pPr>
      <w:bookmarkStart w:id="48" w:name="_Toc182358674"/>
      <w:bookmarkStart w:id="49" w:name="_Toc322015362"/>
      <w:bookmarkStart w:id="50" w:name="_Toc322074136"/>
      <w:r>
        <w:rPr>
          <w:rFonts w:hint="eastAsia" w:ascii="宋体" w:hAnsi="宋体" w:cs="宋体"/>
          <w:b/>
          <w:bCs/>
          <w:sz w:val="24"/>
        </w:rPr>
        <w:t>12.竞争性谈判供应商资格证明文件</w:t>
      </w:r>
      <w:bookmarkEnd w:id="48"/>
    </w:p>
    <w:p>
      <w:pPr>
        <w:spacing w:line="460" w:lineRule="exact"/>
        <w:ind w:firstLine="480" w:firstLineChars="200"/>
        <w:rPr>
          <w:rFonts w:hint="eastAsia" w:ascii="宋体" w:hAnsi="宋体" w:cs="宋体"/>
          <w:sz w:val="24"/>
        </w:rPr>
      </w:pPr>
      <w:r>
        <w:rPr>
          <w:rFonts w:hint="eastAsia" w:ascii="宋体" w:hAnsi="宋体" w:cs="宋体"/>
          <w:sz w:val="24"/>
        </w:rPr>
        <w:t>（属复印件的必须清晰可辨并加盖单位公章，否则其将被视为无效竞标）</w:t>
      </w:r>
      <w:bookmarkEnd w:id="49"/>
      <w:bookmarkEnd w:id="50"/>
    </w:p>
    <w:p>
      <w:pPr>
        <w:spacing w:line="460" w:lineRule="exact"/>
        <w:ind w:firstLine="480" w:firstLineChars="200"/>
        <w:rPr>
          <w:rFonts w:hint="eastAsia" w:ascii="宋体" w:hAnsi="宋体" w:cs="宋体"/>
          <w:bCs/>
          <w:sz w:val="24"/>
        </w:rPr>
      </w:pPr>
      <w:bookmarkStart w:id="51" w:name="_Toc182358675"/>
      <w:r>
        <w:rPr>
          <w:rFonts w:hint="eastAsia" w:ascii="宋体" w:hAnsi="宋体" w:cs="宋体"/>
          <w:bCs/>
          <w:sz w:val="24"/>
        </w:rPr>
        <w:t>12.1下述资格证明文件中的（1）-（6）项所要求提交的文件均必须于本项目截标与谈判响应文件同时提交完备。如提供的材料不完备或未按规定加盖单位公章的，将被当作资格审查不合格而取消竞标资格：</w:t>
      </w:r>
    </w:p>
    <w:p>
      <w:pPr>
        <w:numPr>
          <w:ilvl w:val="0"/>
          <w:numId w:val="5"/>
        </w:numPr>
        <w:spacing w:line="460" w:lineRule="exact"/>
        <w:ind w:firstLine="480" w:firstLineChars="200"/>
        <w:rPr>
          <w:rFonts w:hint="eastAsia" w:ascii="宋体" w:hAnsi="宋体" w:cs="宋体"/>
          <w:b/>
          <w:bCs/>
          <w:sz w:val="24"/>
        </w:rPr>
      </w:pPr>
      <w:r>
        <w:rPr>
          <w:rFonts w:hint="eastAsia" w:hAnsi="宋体" w:cs="Arial"/>
          <w:b/>
          <w:bCs/>
          <w:sz w:val="24"/>
        </w:rPr>
        <w:t>有统一社会信用代码的营业执照副本复印件(或企业营业执照副本、组织机构代码证副本、税务登记证副本）（要求清晰反映营业执照有效情况记录和包含本次采购货物的经营范围）</w:t>
      </w:r>
      <w:r>
        <w:rPr>
          <w:rFonts w:hint="eastAsia" w:ascii="宋体" w:hAnsi="宋体" w:cs="宋体"/>
          <w:b/>
          <w:bCs/>
          <w:sz w:val="24"/>
        </w:rPr>
        <w:t>（必须提供，否则其竞标无效）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（2）医疗器械经营（企业）许可证复印件或第二类医疗器械经营备案凭证复印件（必须提供，否则其竞标无效）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（3）完整且能清晰反映身份信息的法定代表人（负责人）身份证明书及其身份证复印件；（必须提供，否则其竞标无效）</w:t>
      </w:r>
    </w:p>
    <w:p>
      <w:pPr>
        <w:spacing w:line="460" w:lineRule="exact"/>
        <w:ind w:firstLine="480"/>
        <w:rPr>
          <w:rFonts w:hint="eastAsia" w:ascii="宋体" w:hAnsi="宋体" w:cs="宋体"/>
          <w:b/>
          <w:bCs/>
          <w:sz w:val="24"/>
        </w:rPr>
      </w:pPr>
      <w:r>
        <w:rPr>
          <w:rFonts w:hint="eastAsia" w:ascii="宋体" w:hAnsi="宋体" w:cs="宋体"/>
          <w:b/>
          <w:bCs/>
          <w:sz w:val="24"/>
        </w:rPr>
        <w:t>（4）法人授权委托书原件和完整且能清晰反映身份信息的委托代理人身份证复印件（委托代理时必须提供，否则将被当作资格审查不合格而取消竞标资格）；</w:t>
      </w:r>
    </w:p>
    <w:p>
      <w:pPr>
        <w:spacing w:line="460" w:lineRule="exact"/>
        <w:ind w:firstLine="480"/>
        <w:rPr>
          <w:rFonts w:hint="eastAsia" w:ascii="宋体" w:hAnsi="宋体" w:cs="宋体"/>
          <w:b/>
          <w:bCs/>
          <w:sz w:val="24"/>
        </w:rPr>
      </w:pPr>
      <w:r>
        <w:rPr>
          <w:rFonts w:hint="eastAsia" w:ascii="宋体" w:hAnsi="宋体" w:cs="宋体"/>
          <w:b/>
          <w:bCs/>
          <w:sz w:val="24"/>
        </w:rPr>
        <w:t>（5）供应商最近半年内连续三个月依法缴纳税费或依法免缴纳税费的证明，无纳税记录的，应提供由报名单位所在地主管国税、地税部门出具的《依法纳税或依法免税证明》。</w:t>
      </w:r>
    </w:p>
    <w:p>
      <w:pPr>
        <w:spacing w:line="460" w:lineRule="exact"/>
        <w:ind w:firstLine="480"/>
        <w:rPr>
          <w:rFonts w:hint="eastAsia" w:ascii="宋体" w:hAnsi="宋体" w:cs="宋体"/>
          <w:b/>
          <w:bCs/>
          <w:sz w:val="24"/>
        </w:rPr>
      </w:pPr>
      <w:r>
        <w:rPr>
          <w:rFonts w:hint="eastAsia" w:ascii="宋体" w:hAnsi="宋体" w:cs="宋体"/>
          <w:b/>
          <w:bCs/>
          <w:sz w:val="24"/>
        </w:rPr>
        <w:t>（6）是否响应货物需求一览表后面售后服务的所有要求；（必须响应，否则其竞标无效）</w:t>
      </w:r>
    </w:p>
    <w:p>
      <w:pPr>
        <w:spacing w:line="480" w:lineRule="exact"/>
        <w:ind w:firstLine="480" w:firstLineChars="200"/>
        <w:rPr>
          <w:rFonts w:hint="eastAsia" w:ascii="宋体" w:hAnsi="宋体" w:cs="宋体"/>
          <w:sz w:val="24"/>
        </w:rPr>
      </w:pPr>
      <w:bookmarkStart w:id="52" w:name="_Toc322015654"/>
      <w:bookmarkStart w:id="53" w:name="_Toc322074137"/>
      <w:bookmarkStart w:id="54" w:name="_Toc322015363"/>
      <w:bookmarkStart w:id="55" w:name="_Toc322015409"/>
      <w:bookmarkStart w:id="56" w:name="_Toc322015556"/>
      <w:r>
        <w:rPr>
          <w:rFonts w:hint="eastAsia" w:ascii="宋体" w:hAnsi="宋体" w:cs="宋体"/>
          <w:sz w:val="24"/>
        </w:rPr>
        <w:t>12.2货物合格和符合谈判文件规定的证明文件，它们可以是（以下均为复印件）：</w:t>
      </w:r>
      <w:bookmarkEnd w:id="52"/>
      <w:bookmarkEnd w:id="53"/>
      <w:bookmarkEnd w:id="54"/>
      <w:bookmarkEnd w:id="55"/>
      <w:bookmarkEnd w:id="56"/>
    </w:p>
    <w:p>
      <w:pPr>
        <w:spacing w:line="480" w:lineRule="exact"/>
        <w:ind w:firstLine="480" w:firstLineChars="200"/>
        <w:rPr>
          <w:rFonts w:hint="eastAsia" w:ascii="宋体" w:hAnsi="宋体" w:cs="宋体"/>
          <w:sz w:val="24"/>
        </w:rPr>
      </w:pPr>
      <w:r>
        <w:rPr>
          <w:rFonts w:hint="eastAsia" w:ascii="宋体" w:hAnsi="宋体" w:cs="宋体"/>
          <w:sz w:val="24"/>
        </w:rPr>
        <w:t>⑴ 营业执照、3C认证、检测报告、生产许可证、经营许可证或产品销售授权书；（若有请提供）</w:t>
      </w:r>
    </w:p>
    <w:p>
      <w:pPr>
        <w:spacing w:line="480" w:lineRule="exact"/>
        <w:ind w:firstLine="480" w:firstLineChars="200"/>
        <w:rPr>
          <w:rFonts w:hint="eastAsia" w:ascii="宋体" w:hAnsi="宋体" w:cs="宋体"/>
          <w:sz w:val="24"/>
        </w:rPr>
      </w:pPr>
      <w:r>
        <w:rPr>
          <w:rFonts w:hint="eastAsia" w:ascii="宋体" w:hAnsi="宋体" w:cs="宋体"/>
          <w:sz w:val="24"/>
        </w:rPr>
        <w:t>⑵ 竞争性谈判供应商认为需要提供的有关资料。</w:t>
      </w:r>
    </w:p>
    <w:bookmarkEnd w:id="51"/>
    <w:p>
      <w:pPr>
        <w:spacing w:line="480" w:lineRule="exact"/>
        <w:ind w:firstLine="480" w:firstLineChars="200"/>
        <w:outlineLvl w:val="3"/>
        <w:rPr>
          <w:rFonts w:hint="eastAsia" w:ascii="宋体" w:hAnsi="宋体" w:cs="宋体"/>
          <w:b/>
          <w:sz w:val="24"/>
        </w:rPr>
      </w:pPr>
      <w:bookmarkStart w:id="57" w:name="_Toc182358676"/>
      <w:bookmarkStart w:id="58" w:name="_Toc322015364"/>
      <w:bookmarkStart w:id="59" w:name="_Toc322074138"/>
      <w:r>
        <w:rPr>
          <w:rFonts w:hint="eastAsia" w:ascii="宋体" w:hAnsi="宋体" w:cs="宋体"/>
          <w:b/>
          <w:sz w:val="24"/>
        </w:rPr>
        <w:t>13.竞标的有效期</w:t>
      </w:r>
      <w:bookmarkEnd w:id="57"/>
      <w:bookmarkEnd w:id="58"/>
      <w:bookmarkEnd w:id="59"/>
    </w:p>
    <w:p>
      <w:pPr>
        <w:spacing w:line="480" w:lineRule="exact"/>
        <w:ind w:firstLine="480" w:firstLineChars="200"/>
        <w:rPr>
          <w:rFonts w:hint="eastAsia" w:ascii="宋体" w:hAnsi="宋体" w:cs="宋体"/>
          <w:sz w:val="24"/>
        </w:rPr>
      </w:pPr>
      <w:r>
        <w:rPr>
          <w:rFonts w:hint="eastAsia" w:ascii="宋体" w:hAnsi="宋体" w:cs="宋体"/>
          <w:sz w:val="24"/>
        </w:rPr>
        <w:t>13.1谈判响应文件从提交响应文件截止日期后60天内有效。</w:t>
      </w:r>
    </w:p>
    <w:p>
      <w:pPr>
        <w:spacing w:line="480" w:lineRule="exact"/>
        <w:ind w:firstLine="480" w:firstLineChars="200"/>
        <w:rPr>
          <w:rFonts w:hint="eastAsia" w:ascii="宋体" w:hAnsi="宋体" w:cs="宋体"/>
          <w:sz w:val="24"/>
        </w:rPr>
      </w:pPr>
      <w:r>
        <w:rPr>
          <w:rFonts w:hint="eastAsia" w:ascii="宋体" w:hAnsi="宋体" w:cs="宋体"/>
          <w:sz w:val="24"/>
        </w:rPr>
        <w:t>13.2在特殊情况下，采购代理机构可与竞争性谈判供应商协商延长谈判响应文件的有效期。</w:t>
      </w:r>
    </w:p>
    <w:p>
      <w:pPr>
        <w:spacing w:line="480" w:lineRule="exact"/>
        <w:ind w:firstLine="480" w:firstLineChars="200"/>
        <w:outlineLvl w:val="3"/>
        <w:rPr>
          <w:rFonts w:hint="eastAsia" w:ascii="宋体" w:hAnsi="宋体" w:cs="宋体"/>
          <w:b/>
          <w:sz w:val="24"/>
        </w:rPr>
      </w:pPr>
      <w:bookmarkStart w:id="60" w:name="_Toc182358677"/>
      <w:bookmarkStart w:id="61" w:name="_Toc322015365"/>
      <w:bookmarkStart w:id="62" w:name="_Toc322074139"/>
      <w:r>
        <w:rPr>
          <w:rFonts w:hint="eastAsia" w:ascii="宋体" w:hAnsi="宋体" w:cs="宋体"/>
          <w:b/>
          <w:sz w:val="24"/>
        </w:rPr>
        <w:t>14.谈判响应文件书写及签名、盖章要求</w:t>
      </w:r>
      <w:bookmarkEnd w:id="60"/>
      <w:bookmarkEnd w:id="61"/>
      <w:bookmarkEnd w:id="62"/>
    </w:p>
    <w:p>
      <w:pPr>
        <w:spacing w:line="480" w:lineRule="exact"/>
        <w:ind w:firstLine="480" w:firstLineChars="200"/>
        <w:rPr>
          <w:rFonts w:hint="eastAsia" w:ascii="宋体" w:hAnsi="宋体" w:cs="宋体"/>
          <w:sz w:val="24"/>
        </w:rPr>
      </w:pPr>
      <w:r>
        <w:rPr>
          <w:rFonts w:hint="eastAsia" w:ascii="宋体" w:hAnsi="宋体" w:cs="宋体"/>
          <w:sz w:val="24"/>
        </w:rPr>
        <w:t>14.1谈判响应文件正本必须用不褪色的墨水工整打印，修改处应有由法定代表人或委托代理人签字和加盖单位公章，否则其竞标无效。（谈判响应文件正本必须每页加盖单位公章，副本可以用正本来复印，但必须重新加盖公章。）</w:t>
      </w:r>
    </w:p>
    <w:p>
      <w:pPr>
        <w:spacing w:line="480" w:lineRule="exact"/>
        <w:ind w:firstLine="480" w:firstLineChars="200"/>
        <w:rPr>
          <w:rFonts w:hint="eastAsia" w:ascii="宋体" w:hAnsi="宋体" w:cs="宋体"/>
          <w:sz w:val="24"/>
        </w:rPr>
      </w:pPr>
      <w:r>
        <w:rPr>
          <w:rFonts w:hint="eastAsia" w:ascii="宋体" w:hAnsi="宋体" w:cs="宋体"/>
          <w:sz w:val="24"/>
        </w:rPr>
        <w:t>14.2字迹潦草、表达不清或未按要求填写的谈判响应文件可能将被认定为无效的竞标。</w:t>
      </w:r>
    </w:p>
    <w:p>
      <w:pPr>
        <w:spacing w:line="480" w:lineRule="exact"/>
        <w:ind w:firstLine="480" w:firstLineChars="200"/>
        <w:rPr>
          <w:rFonts w:hint="eastAsia" w:ascii="宋体" w:hAnsi="宋体" w:cs="宋体"/>
          <w:sz w:val="24"/>
        </w:rPr>
      </w:pPr>
      <w:r>
        <w:rPr>
          <w:rFonts w:hint="eastAsia" w:ascii="宋体" w:hAnsi="宋体" w:cs="宋体"/>
          <w:sz w:val="24"/>
        </w:rPr>
        <w:t>14.3谈判响应文件应由法定代表人或委托代理人在规定签章处逐一签名和盖单位公章，否则其竞标无效。</w:t>
      </w:r>
    </w:p>
    <w:p>
      <w:pPr>
        <w:spacing w:line="480" w:lineRule="exact"/>
        <w:ind w:firstLine="480" w:firstLineChars="200"/>
        <w:rPr>
          <w:rFonts w:hint="eastAsia" w:ascii="宋体" w:hAnsi="宋体" w:cs="宋体"/>
          <w:sz w:val="24"/>
        </w:rPr>
      </w:pPr>
      <w:r>
        <w:rPr>
          <w:rFonts w:hint="eastAsia" w:ascii="宋体" w:hAnsi="宋体" w:cs="宋体"/>
          <w:sz w:val="24"/>
        </w:rPr>
        <w:t>14.4谈判响应文件的份数：</w:t>
      </w:r>
      <w:r>
        <w:rPr>
          <w:rFonts w:hint="eastAsia" w:ascii="宋体" w:hAnsi="宋体" w:cs="宋体"/>
          <w:b/>
          <w:sz w:val="24"/>
          <w:u w:val="single"/>
        </w:rPr>
        <w:t>正本一份，副本三份，电子档一份，共五份</w:t>
      </w:r>
      <w:r>
        <w:rPr>
          <w:rFonts w:hint="eastAsia" w:ascii="宋体" w:hAnsi="宋体" w:cs="宋体"/>
          <w:sz w:val="24"/>
        </w:rPr>
        <w:t>。并在每份文件注明“正本”、“副本”字样，一旦正本和副本不符，以正本为准。</w:t>
      </w:r>
    </w:p>
    <w:p>
      <w:pPr>
        <w:pStyle w:val="5"/>
        <w:spacing w:before="240" w:after="120" w:line="415" w:lineRule="auto"/>
        <w:jc w:val="center"/>
        <w:rPr>
          <w:rFonts w:hint="eastAsia" w:ascii="宋体" w:hAnsi="宋体" w:cs="宋体"/>
          <w:bCs w:val="0"/>
          <w:sz w:val="28"/>
          <w:szCs w:val="28"/>
        </w:rPr>
      </w:pPr>
      <w:bookmarkStart w:id="63" w:name="_Toc182358679"/>
      <w:bookmarkStart w:id="64" w:name="_Toc322015367"/>
      <w:bookmarkStart w:id="65" w:name="_Toc7945"/>
      <w:r>
        <w:rPr>
          <w:rFonts w:hint="eastAsia" w:ascii="宋体" w:hAnsi="宋体" w:cs="宋体"/>
          <w:bCs w:val="0"/>
          <w:sz w:val="28"/>
          <w:szCs w:val="28"/>
        </w:rPr>
        <w:t>四、谈判响应文件的递交</w:t>
      </w:r>
      <w:bookmarkEnd w:id="63"/>
      <w:bookmarkEnd w:id="64"/>
      <w:bookmarkEnd w:id="65"/>
    </w:p>
    <w:p>
      <w:pPr>
        <w:spacing w:line="460" w:lineRule="exact"/>
        <w:ind w:firstLine="480" w:firstLineChars="200"/>
        <w:rPr>
          <w:rFonts w:hint="eastAsia" w:ascii="宋体" w:hAnsi="宋体" w:cs="宋体"/>
          <w:b/>
          <w:sz w:val="24"/>
        </w:rPr>
      </w:pPr>
      <w:bookmarkStart w:id="66" w:name="_Toc182358680"/>
      <w:bookmarkStart w:id="67" w:name="_Toc322015368"/>
      <w:bookmarkStart w:id="68" w:name="_Toc322074142"/>
      <w:r>
        <w:rPr>
          <w:rFonts w:hint="eastAsia" w:ascii="宋体" w:hAnsi="宋体" w:cs="宋体"/>
          <w:b/>
          <w:sz w:val="24"/>
        </w:rPr>
        <w:t>15.谈判响应文件的密封与标记</w:t>
      </w:r>
      <w:bookmarkEnd w:id="66"/>
      <w:bookmarkEnd w:id="67"/>
      <w:bookmarkEnd w:id="68"/>
    </w:p>
    <w:p>
      <w:pPr>
        <w:spacing w:line="460" w:lineRule="exact"/>
        <w:ind w:firstLine="480" w:firstLineChars="200"/>
        <w:rPr>
          <w:rFonts w:hint="eastAsia" w:ascii="宋体" w:hAnsi="宋体" w:cs="宋体"/>
          <w:sz w:val="24"/>
        </w:rPr>
      </w:pPr>
      <w:r>
        <w:rPr>
          <w:rFonts w:hint="eastAsia" w:ascii="宋体" w:hAnsi="宋体" w:cs="宋体"/>
          <w:sz w:val="24"/>
        </w:rPr>
        <w:t>15.1竞争性谈判供应商应将谈判响应文件正、副本分别装订成册，在每个文本封面上标明“正本（副本）”，以及项目名称、项目编号、竞争性谈判供应商名称等内容。</w:t>
      </w:r>
    </w:p>
    <w:p>
      <w:pPr>
        <w:spacing w:line="460" w:lineRule="exact"/>
        <w:ind w:firstLine="480" w:firstLineChars="200"/>
        <w:rPr>
          <w:rFonts w:hint="eastAsia" w:ascii="宋体" w:hAnsi="宋体" w:cs="宋体"/>
          <w:sz w:val="24"/>
        </w:rPr>
      </w:pPr>
      <w:r>
        <w:rPr>
          <w:rFonts w:hint="eastAsia" w:ascii="宋体" w:hAnsi="宋体" w:cs="宋体"/>
          <w:sz w:val="24"/>
        </w:rPr>
        <w:t>15.2竞争性谈判供应商应将谈判响应文件（正本一本，副本三本）一并装入谈判响应文件袋中（谈判响应文件袋样式由竞争性谈判供应商自行提供）加以密封，并在谈判响应文件袋封口处加盖竞争性谈判供应商单位公章，电子档文件单位单独装入一个文件袋中，并在文件袋封口处加盖竞争性谈判供应商单位公章，提交响应文件时应为2个文件袋，一个为纸质版、一个为电子版。</w:t>
      </w:r>
    </w:p>
    <w:p>
      <w:pPr>
        <w:spacing w:line="460" w:lineRule="exact"/>
        <w:ind w:firstLine="480" w:firstLineChars="200"/>
        <w:rPr>
          <w:rFonts w:hint="eastAsia" w:ascii="宋体" w:hAnsi="宋体" w:cs="宋体"/>
          <w:sz w:val="24"/>
        </w:rPr>
      </w:pPr>
      <w:r>
        <w:rPr>
          <w:rFonts w:hint="eastAsia" w:ascii="宋体" w:hAnsi="宋体" w:cs="宋体"/>
          <w:sz w:val="24"/>
        </w:rPr>
        <w:t xml:space="preserve">15.3谈判响应文件袋上应写明： </w:t>
      </w:r>
    </w:p>
    <w:p>
      <w:pPr>
        <w:spacing w:line="460" w:lineRule="exact"/>
        <w:ind w:firstLine="480" w:firstLineChars="200"/>
        <w:rPr>
          <w:rFonts w:hint="eastAsia" w:ascii="宋体" w:hAnsi="宋体" w:cs="宋体"/>
          <w:sz w:val="24"/>
        </w:rPr>
      </w:pPr>
      <w:r>
        <w:rPr>
          <w:rFonts w:hint="eastAsia" w:ascii="宋体" w:hAnsi="宋体" w:cs="宋体"/>
          <w:sz w:val="24"/>
        </w:rPr>
        <w:t xml:space="preserve">⑴ 采购代理机构： 广西鸿业建设工程管理咨询有限公司 </w:t>
      </w:r>
    </w:p>
    <w:p>
      <w:pPr>
        <w:spacing w:line="460" w:lineRule="exact"/>
        <w:ind w:firstLine="480" w:firstLineChars="200"/>
        <w:rPr>
          <w:rFonts w:hint="eastAsia" w:ascii="宋体" w:hAnsi="宋体" w:cs="宋体"/>
          <w:sz w:val="24"/>
        </w:rPr>
      </w:pPr>
      <w:r>
        <w:rPr>
          <w:rFonts w:hint="eastAsia" w:ascii="宋体" w:hAnsi="宋体" w:cs="宋体"/>
          <w:sz w:val="24"/>
        </w:rPr>
        <w:t xml:space="preserve">⑵ 项目名称：                 </w:t>
      </w:r>
    </w:p>
    <w:p>
      <w:pPr>
        <w:spacing w:line="460" w:lineRule="exact"/>
        <w:ind w:firstLine="480" w:firstLineChars="200"/>
        <w:rPr>
          <w:rFonts w:hint="eastAsia" w:ascii="宋体" w:hAnsi="宋体" w:cs="宋体"/>
          <w:sz w:val="24"/>
        </w:rPr>
      </w:pPr>
      <w:r>
        <w:rPr>
          <w:rFonts w:hint="eastAsia" w:ascii="宋体" w:hAnsi="宋体" w:cs="宋体"/>
          <w:sz w:val="24"/>
        </w:rPr>
        <w:t xml:space="preserve">⑶ 项目编号：                 </w:t>
      </w:r>
    </w:p>
    <w:p>
      <w:pPr>
        <w:spacing w:line="460" w:lineRule="exact"/>
        <w:ind w:firstLine="480" w:firstLineChars="200"/>
        <w:rPr>
          <w:rFonts w:hint="eastAsia" w:ascii="宋体" w:hAnsi="宋体" w:cs="宋体"/>
          <w:sz w:val="24"/>
        </w:rPr>
      </w:pPr>
      <w:r>
        <w:rPr>
          <w:rFonts w:hint="eastAsia" w:ascii="宋体" w:hAnsi="宋体" w:cs="宋体"/>
          <w:sz w:val="24"/>
        </w:rPr>
        <w:t xml:space="preserve">⑷ 竞争性谈判供应商单位：                 </w:t>
      </w:r>
    </w:p>
    <w:p>
      <w:pPr>
        <w:spacing w:line="460" w:lineRule="exact"/>
        <w:ind w:firstLine="480" w:firstLineChars="200"/>
        <w:rPr>
          <w:rFonts w:hint="eastAsia" w:ascii="宋体" w:hAnsi="宋体" w:cs="宋体"/>
          <w:sz w:val="24"/>
        </w:rPr>
      </w:pPr>
      <w:r>
        <w:rPr>
          <w:rFonts w:hint="eastAsia" w:ascii="宋体" w:hAnsi="宋体" w:cs="宋体"/>
          <w:sz w:val="24"/>
        </w:rPr>
        <w:t>文件袋上注明“截标时才能启封”或注明“   年   月   日   时  分以前不得拆封”</w:t>
      </w:r>
    </w:p>
    <w:p>
      <w:pPr>
        <w:spacing w:line="460" w:lineRule="exact"/>
        <w:ind w:firstLine="480" w:firstLineChars="200"/>
        <w:rPr>
          <w:rFonts w:hint="eastAsia" w:ascii="宋体" w:hAnsi="宋体" w:cs="宋体"/>
          <w:sz w:val="24"/>
        </w:rPr>
      </w:pPr>
      <w:r>
        <w:rPr>
          <w:rFonts w:hint="eastAsia" w:ascii="宋体" w:hAnsi="宋体" w:cs="宋体"/>
          <w:sz w:val="24"/>
        </w:rPr>
        <w:t>15.4谈判响应文件的密封以谈判响应文件袋无明显缝隙露出袋内文件且封口处有竞标单位盖公章为合格。</w:t>
      </w:r>
    </w:p>
    <w:p>
      <w:pPr>
        <w:spacing w:line="460" w:lineRule="exact"/>
        <w:ind w:firstLine="480" w:firstLineChars="200"/>
        <w:rPr>
          <w:rFonts w:hint="eastAsia" w:ascii="宋体" w:hAnsi="宋体" w:cs="宋体"/>
          <w:sz w:val="24"/>
        </w:rPr>
      </w:pPr>
      <w:r>
        <w:rPr>
          <w:rFonts w:hint="eastAsia" w:ascii="宋体" w:hAnsi="宋体" w:cs="宋体"/>
          <w:sz w:val="24"/>
        </w:rPr>
        <w:t>15.5竞争性谈判供应商在递交谈判响应文件时，未按本须知要求密封、标记的，采购代理机构有权拒收，或交至竞争性谈判小组处进行密封性评审，所产生的后果由竞争性谈判供应商自负。</w:t>
      </w:r>
    </w:p>
    <w:p>
      <w:pPr>
        <w:spacing w:line="460" w:lineRule="exact"/>
        <w:ind w:firstLine="480" w:firstLineChars="200"/>
        <w:outlineLvl w:val="3"/>
        <w:rPr>
          <w:rFonts w:hint="eastAsia" w:ascii="宋体" w:hAnsi="宋体" w:cs="宋体"/>
          <w:b/>
          <w:sz w:val="24"/>
        </w:rPr>
      </w:pPr>
      <w:bookmarkStart w:id="69" w:name="_Toc182358681"/>
      <w:bookmarkStart w:id="70" w:name="_Toc322015369"/>
      <w:bookmarkStart w:id="71" w:name="_Toc322074143"/>
      <w:r>
        <w:rPr>
          <w:rFonts w:hint="eastAsia" w:ascii="宋体" w:hAnsi="宋体" w:cs="宋体"/>
          <w:b/>
          <w:sz w:val="24"/>
        </w:rPr>
        <w:t>16.提交响应文件截止时间</w:t>
      </w:r>
      <w:bookmarkEnd w:id="69"/>
      <w:bookmarkEnd w:id="70"/>
      <w:bookmarkEnd w:id="71"/>
    </w:p>
    <w:p>
      <w:pPr>
        <w:spacing w:line="460" w:lineRule="exact"/>
        <w:ind w:firstLine="480" w:firstLineChars="200"/>
        <w:rPr>
          <w:rFonts w:hint="eastAsia" w:ascii="宋体" w:hAnsi="宋体" w:cs="宋体"/>
          <w:sz w:val="24"/>
        </w:rPr>
      </w:pPr>
      <w:r>
        <w:rPr>
          <w:rFonts w:hint="eastAsia" w:ascii="宋体" w:hAnsi="宋体" w:cs="宋体"/>
          <w:sz w:val="24"/>
        </w:rPr>
        <w:t>16.1谈判响应文件的递交不得迟于本须知前附表第8项规定的截止时间。</w:t>
      </w:r>
    </w:p>
    <w:p>
      <w:pPr>
        <w:spacing w:line="460" w:lineRule="exact"/>
        <w:ind w:firstLine="480" w:firstLineChars="200"/>
        <w:rPr>
          <w:rFonts w:hint="eastAsia" w:ascii="宋体" w:hAnsi="宋体" w:cs="宋体"/>
          <w:sz w:val="24"/>
        </w:rPr>
      </w:pPr>
      <w:r>
        <w:rPr>
          <w:rFonts w:hint="eastAsia" w:ascii="宋体" w:hAnsi="宋体" w:cs="宋体"/>
          <w:sz w:val="24"/>
        </w:rPr>
        <w:t>16.2竞争性谈判供应商必须在规定时间内将谈判响应文件送到本须知前附表第8项规定地点，超过提交响应文件截止时间送达的谈判响应文件为无效文件，采购代理机构将拒收。</w:t>
      </w:r>
    </w:p>
    <w:p>
      <w:pPr>
        <w:spacing w:line="460" w:lineRule="exact"/>
        <w:ind w:firstLine="480" w:firstLineChars="200"/>
        <w:outlineLvl w:val="3"/>
        <w:rPr>
          <w:rFonts w:hint="eastAsia" w:ascii="宋体" w:hAnsi="宋体" w:cs="宋体"/>
          <w:b/>
          <w:sz w:val="24"/>
        </w:rPr>
      </w:pPr>
      <w:bookmarkStart w:id="72" w:name="_Toc147250332"/>
      <w:bookmarkStart w:id="73" w:name="_Toc147250378"/>
      <w:bookmarkStart w:id="74" w:name="_Toc147250534"/>
      <w:bookmarkStart w:id="75" w:name="_Toc182358682"/>
      <w:bookmarkStart w:id="76" w:name="_Toc322015370"/>
      <w:bookmarkStart w:id="77" w:name="_Toc322074144"/>
      <w:r>
        <w:rPr>
          <w:rFonts w:hint="eastAsia" w:ascii="宋体" w:hAnsi="宋体" w:cs="宋体"/>
          <w:b/>
          <w:sz w:val="24"/>
        </w:rPr>
        <w:t>17.谈判响应文件的修改及撤回</w:t>
      </w:r>
      <w:bookmarkEnd w:id="72"/>
      <w:bookmarkEnd w:id="73"/>
      <w:bookmarkEnd w:id="74"/>
      <w:bookmarkEnd w:id="75"/>
      <w:bookmarkEnd w:id="76"/>
      <w:bookmarkEnd w:id="77"/>
    </w:p>
    <w:p>
      <w:pPr>
        <w:spacing w:line="460" w:lineRule="exact"/>
        <w:ind w:firstLine="480" w:firstLineChars="200"/>
        <w:rPr>
          <w:rFonts w:hint="eastAsia" w:ascii="宋体" w:hAnsi="宋体" w:cs="宋体"/>
          <w:sz w:val="24"/>
        </w:rPr>
      </w:pPr>
      <w:r>
        <w:rPr>
          <w:rFonts w:hint="eastAsia" w:ascii="宋体" w:hAnsi="宋体" w:cs="宋体"/>
          <w:sz w:val="24"/>
        </w:rPr>
        <w:t>17.1竞争性谈判供应商在提交响应文件截止时间前，对所递交的谈判响应文件可以进行补充、修改或撤回，竞争性谈判供应商对所递交的补充、修改或撤回需要向采购代理机构出具书面通知。补充、修改的内容为谈判响应文件的组成部分。</w:t>
      </w:r>
    </w:p>
    <w:p>
      <w:pPr>
        <w:spacing w:line="460" w:lineRule="exact"/>
        <w:ind w:firstLine="480" w:firstLineChars="200"/>
        <w:rPr>
          <w:rFonts w:hint="eastAsia" w:ascii="宋体" w:hAnsi="宋体" w:cs="宋体"/>
          <w:sz w:val="24"/>
        </w:rPr>
      </w:pPr>
      <w:r>
        <w:rPr>
          <w:rFonts w:hint="eastAsia" w:ascii="宋体" w:hAnsi="宋体" w:cs="宋体"/>
          <w:sz w:val="24"/>
        </w:rPr>
        <w:t>17.2谈判响应文件的修改和撤回通知应按本须知第17条的规定密封、标记和递交，并在封面上标明“修改”字样。</w:t>
      </w:r>
    </w:p>
    <w:p>
      <w:pPr>
        <w:pStyle w:val="5"/>
        <w:spacing w:before="120" w:after="120" w:line="460" w:lineRule="exact"/>
        <w:jc w:val="center"/>
        <w:rPr>
          <w:rFonts w:hint="eastAsia" w:ascii="宋体" w:hAnsi="宋体" w:cs="宋体"/>
          <w:bCs w:val="0"/>
          <w:sz w:val="28"/>
          <w:szCs w:val="28"/>
        </w:rPr>
      </w:pPr>
      <w:bookmarkStart w:id="78" w:name="_Toc182358683"/>
      <w:bookmarkStart w:id="79" w:name="_Toc322015371"/>
      <w:bookmarkStart w:id="80" w:name="_Toc3662"/>
      <w:r>
        <w:rPr>
          <w:rFonts w:hint="eastAsia" w:ascii="宋体" w:hAnsi="宋体" w:cs="宋体"/>
          <w:bCs w:val="0"/>
          <w:sz w:val="28"/>
          <w:szCs w:val="28"/>
        </w:rPr>
        <w:t>五、竞争性谈判（简称谈判）与谈判文件评审</w:t>
      </w:r>
      <w:bookmarkEnd w:id="78"/>
      <w:bookmarkEnd w:id="79"/>
      <w:bookmarkEnd w:id="80"/>
    </w:p>
    <w:p>
      <w:pPr>
        <w:spacing w:line="460" w:lineRule="exact"/>
        <w:ind w:firstLine="480" w:firstLineChars="200"/>
        <w:outlineLvl w:val="3"/>
        <w:rPr>
          <w:rFonts w:hint="eastAsia" w:ascii="宋体" w:hAnsi="宋体" w:cs="宋体"/>
          <w:b/>
          <w:bCs/>
          <w:sz w:val="24"/>
        </w:rPr>
      </w:pPr>
      <w:bookmarkStart w:id="81" w:name="_Toc182358684"/>
      <w:bookmarkStart w:id="82" w:name="_Toc322015372"/>
      <w:bookmarkStart w:id="83" w:name="_Toc322074146"/>
      <w:r>
        <w:rPr>
          <w:rFonts w:hint="eastAsia" w:ascii="宋体" w:hAnsi="宋体" w:cs="宋体"/>
          <w:b/>
          <w:bCs/>
          <w:sz w:val="24"/>
        </w:rPr>
        <w:t>18.谈判</w:t>
      </w:r>
      <w:bookmarkEnd w:id="81"/>
      <w:bookmarkEnd w:id="82"/>
      <w:bookmarkEnd w:id="83"/>
    </w:p>
    <w:p>
      <w:pPr>
        <w:spacing w:line="460" w:lineRule="exact"/>
        <w:ind w:firstLine="480" w:firstLineChars="200"/>
        <w:rPr>
          <w:rFonts w:hint="eastAsia" w:ascii="宋体" w:hAnsi="宋体" w:cs="宋体"/>
          <w:sz w:val="24"/>
        </w:rPr>
      </w:pPr>
      <w:r>
        <w:rPr>
          <w:rFonts w:hint="eastAsia" w:ascii="宋体" w:hAnsi="宋体" w:cs="宋体"/>
          <w:sz w:val="24"/>
        </w:rPr>
        <w:t>18.1谈判时间及地点: 2020年12月7日北京时间09时30分截标后为与竞争性谈判供应商谈判时间，地点：广西北海市合浦县廉州镇廉东大道85号穗丰大厦三楼开标厅。</w:t>
      </w:r>
    </w:p>
    <w:p>
      <w:pPr>
        <w:spacing w:line="460" w:lineRule="exact"/>
        <w:ind w:firstLine="480" w:firstLineChars="200"/>
        <w:rPr>
          <w:rFonts w:hint="eastAsia" w:ascii="宋体" w:hAnsi="宋体" w:cs="宋体"/>
          <w:sz w:val="24"/>
        </w:rPr>
      </w:pPr>
      <w:r>
        <w:rPr>
          <w:rFonts w:hint="eastAsia" w:ascii="宋体" w:hAnsi="宋体" w:cs="宋体"/>
          <w:sz w:val="24"/>
        </w:rPr>
        <w:t>18.2采购代理机构可根据项目特点组建竞争性谈判小组，竞争性谈判小组成员将由随即抽取的专家、采购人代表共三人以上单数组成，其中专家成员不少于成员总数的三分之二。在整个谈判过程中，竞争性谈判小组将负责对全部谈判响应文件进行审查、谈判及谈判文件评审工作。</w:t>
      </w:r>
    </w:p>
    <w:p>
      <w:pPr>
        <w:spacing w:line="460" w:lineRule="exact"/>
        <w:ind w:firstLine="480" w:firstLineChars="200"/>
        <w:rPr>
          <w:rFonts w:hint="eastAsia" w:ascii="宋体" w:hAnsi="宋体" w:cs="宋体"/>
          <w:sz w:val="24"/>
        </w:rPr>
      </w:pPr>
      <w:r>
        <w:rPr>
          <w:rFonts w:hint="eastAsia" w:ascii="宋体" w:hAnsi="宋体" w:cs="宋体"/>
          <w:sz w:val="24"/>
        </w:rPr>
        <w:t>18.3谈判开始前，竞争性谈判小组定好下列事项：谈判的具体程序，如谈判轮次及每个轮次的谈判重点；拟谈判的内容，包括技术规格参数、价格、服务等，明确竞争性谈判小组应当考虑的具体因素及相关要求等。</w:t>
      </w:r>
    </w:p>
    <w:p>
      <w:pPr>
        <w:spacing w:line="460" w:lineRule="exact"/>
        <w:ind w:firstLine="480" w:firstLineChars="200"/>
        <w:rPr>
          <w:rFonts w:hint="eastAsia" w:ascii="宋体" w:hAnsi="宋体" w:cs="宋体"/>
          <w:sz w:val="24"/>
        </w:rPr>
      </w:pPr>
      <w:r>
        <w:rPr>
          <w:rFonts w:hint="eastAsia" w:ascii="宋体" w:hAnsi="宋体" w:cs="宋体"/>
          <w:sz w:val="24"/>
        </w:rPr>
        <w:t>18.4谈判程序：</w:t>
      </w:r>
    </w:p>
    <w:p>
      <w:pPr>
        <w:spacing w:line="460" w:lineRule="exact"/>
        <w:ind w:firstLine="480" w:firstLineChars="200"/>
        <w:rPr>
          <w:rFonts w:hint="eastAsia" w:ascii="宋体" w:hAnsi="宋体" w:cs="宋体"/>
          <w:sz w:val="24"/>
        </w:rPr>
      </w:pPr>
      <w:r>
        <w:rPr>
          <w:rFonts w:hint="eastAsia" w:ascii="宋体" w:hAnsi="宋体" w:cs="宋体"/>
          <w:sz w:val="24"/>
        </w:rPr>
        <w:t>(1) 竞争性谈判供应商的法定代表人或其授权的受托人必须持证件</w:t>
      </w:r>
      <w:r>
        <w:rPr>
          <w:rFonts w:hint="eastAsia" w:ascii="宋体" w:hAnsi="宋体" w:cs="宋体"/>
          <w:b/>
          <w:sz w:val="24"/>
        </w:rPr>
        <w:t>【法定代表人凭法定代表人资格证明书和身份证（或委托代理人凭法人授权委托书原件和身份证原件）、营业执照副本复印件</w:t>
      </w:r>
      <w:r>
        <w:rPr>
          <w:rFonts w:hint="eastAsia" w:ascii="宋体" w:hAnsi="宋体" w:cs="宋体"/>
          <w:sz w:val="24"/>
        </w:rPr>
        <w:t>】依时到达现场等候参加谈判，并自觉接受核验上述证件。竞争性谈判供应商在规定时间内不参加谈判的，视为竞争性谈判供应商自动放弃竞标。</w:t>
      </w:r>
    </w:p>
    <w:p>
      <w:pPr>
        <w:spacing w:line="460" w:lineRule="exact"/>
        <w:ind w:firstLine="480" w:firstLineChars="200"/>
        <w:rPr>
          <w:rFonts w:hint="eastAsia" w:ascii="宋体" w:hAnsi="宋体" w:cs="宋体"/>
          <w:sz w:val="24"/>
        </w:rPr>
      </w:pPr>
      <w:r>
        <w:rPr>
          <w:rFonts w:hint="eastAsia" w:ascii="宋体" w:hAnsi="宋体" w:cs="宋体"/>
          <w:sz w:val="24"/>
        </w:rPr>
        <w:t>(2)竞争性谈判小组成员作为一个集体与单个竞争性谈判供应商分别进行谈判，谈判的内容包括技术条件、商务性条件及竞争性谈判小组认为需要谈判的内容。当谈判文件有实质性变动的，竞争性谈判小组以书面形式通知所有参加谈判的竞争性谈判供应商。其中涉及价格内容不得要求竞争性谈判供应商在谈判时作口头报价，而应以书面密封形式报价。</w:t>
      </w:r>
    </w:p>
    <w:p>
      <w:pPr>
        <w:spacing w:line="460" w:lineRule="exact"/>
        <w:ind w:firstLine="480" w:firstLineChars="200"/>
        <w:rPr>
          <w:rFonts w:hint="eastAsia" w:ascii="宋体" w:hAnsi="宋体" w:cs="宋体"/>
          <w:sz w:val="24"/>
        </w:rPr>
      </w:pPr>
      <w:r>
        <w:rPr>
          <w:rFonts w:hint="eastAsia" w:ascii="宋体" w:hAnsi="宋体" w:cs="宋体"/>
          <w:sz w:val="24"/>
        </w:rPr>
        <w:t>(3)谈判内容应作记录，并由竞争性谈判供应商及竞争性谈判小组成员签字确认。</w:t>
      </w:r>
    </w:p>
    <w:p>
      <w:pPr>
        <w:spacing w:line="460" w:lineRule="exact"/>
        <w:ind w:firstLine="480" w:firstLineChars="200"/>
        <w:rPr>
          <w:rFonts w:hint="eastAsia" w:ascii="宋体" w:hAnsi="宋体" w:cs="宋体"/>
          <w:sz w:val="24"/>
        </w:rPr>
      </w:pPr>
      <w:r>
        <w:rPr>
          <w:rFonts w:hint="eastAsia" w:ascii="宋体" w:hAnsi="宋体" w:cs="宋体"/>
          <w:sz w:val="24"/>
        </w:rPr>
        <w:t>(4) 谈判结束后，竞争性谈判小组应要求竞争性谈判供应商在规定的时间、地点以书面密封形式递交谈判时要求其就商务和技术条件作出包含补充、修改、承诺、重新报价等内容的应答文件，应答文件必须由竞争性谈判供应商的法定代表人或委托代理人签名或盖单位公章，应答文件构成谈判响应文件的一部分。</w:t>
      </w:r>
    </w:p>
    <w:p>
      <w:pPr>
        <w:spacing w:line="460" w:lineRule="exact"/>
        <w:ind w:firstLine="480" w:firstLineChars="200"/>
        <w:rPr>
          <w:rFonts w:hint="eastAsia" w:ascii="宋体" w:hAnsi="宋体" w:cs="宋体"/>
          <w:sz w:val="24"/>
        </w:rPr>
      </w:pPr>
      <w:r>
        <w:rPr>
          <w:rFonts w:hint="eastAsia" w:ascii="宋体" w:hAnsi="宋体" w:cs="宋体"/>
          <w:sz w:val="24"/>
        </w:rPr>
        <w:t>(5) 竞争性谈判小组对各竞争性谈判供应商递交的应答文件统一开启，并进行评审后，认为有必要再次进行谈判的，可再次与竞争性谈判供应商进行谈判(最多两轮)，直至竞争性谈判小组认为没有必要再进行谈判，谈判方可结束。对最后一轮谈判，竞争性谈判小组应明确告知竞争性谈判供应商，并要求所有竞争性谈判供应商在规定的时间、地点以书面密封形式递交最终的应答文件,</w:t>
      </w:r>
      <w:r>
        <w:rPr>
          <w:rFonts w:hint="eastAsia" w:ascii="宋体" w:hAnsi="宋体" w:cs="宋体"/>
        </w:rPr>
        <w:t xml:space="preserve"> </w:t>
      </w:r>
      <w:r>
        <w:rPr>
          <w:rFonts w:hint="eastAsia" w:ascii="宋体" w:hAnsi="宋体" w:cs="宋体"/>
          <w:sz w:val="24"/>
        </w:rPr>
        <w:t>已提交响应文件的供应商，在提交最后报价之前，可以根据谈判情况退出谈判。</w:t>
      </w:r>
    </w:p>
    <w:p>
      <w:pPr>
        <w:spacing w:line="460" w:lineRule="exact"/>
        <w:ind w:firstLine="480" w:firstLineChars="200"/>
        <w:rPr>
          <w:rFonts w:hint="eastAsia" w:ascii="宋体" w:hAnsi="宋体" w:cs="宋体"/>
          <w:sz w:val="24"/>
        </w:rPr>
      </w:pPr>
      <w:r>
        <w:rPr>
          <w:rFonts w:hint="eastAsia" w:ascii="宋体" w:hAnsi="宋体" w:cs="宋体"/>
          <w:sz w:val="24"/>
        </w:rPr>
        <w:t>⑹ 竞争性谈判供应商的所有报价不得超过采购预算金额，否则竞标无效。</w:t>
      </w:r>
    </w:p>
    <w:p>
      <w:pPr>
        <w:spacing w:line="460" w:lineRule="exact"/>
        <w:ind w:firstLine="480" w:firstLineChars="200"/>
        <w:rPr>
          <w:rFonts w:hint="eastAsia" w:ascii="宋体" w:hAnsi="宋体" w:cs="宋体"/>
          <w:sz w:val="24"/>
        </w:rPr>
      </w:pPr>
      <w:r>
        <w:rPr>
          <w:rFonts w:hint="eastAsia" w:ascii="宋体" w:hAnsi="宋体" w:cs="宋体"/>
          <w:sz w:val="24"/>
        </w:rPr>
        <w:t>18.5 最终谈判结束后，竞争性谈判小组不得再与竞争性谈判供应商进行任何形式的商谈。</w:t>
      </w:r>
    </w:p>
    <w:p>
      <w:pPr>
        <w:spacing w:line="460" w:lineRule="exact"/>
        <w:ind w:firstLine="480" w:firstLineChars="200"/>
        <w:rPr>
          <w:rFonts w:hint="eastAsia" w:ascii="宋体" w:hAnsi="宋体" w:cs="宋体"/>
          <w:sz w:val="24"/>
        </w:rPr>
      </w:pPr>
      <w:r>
        <w:rPr>
          <w:rFonts w:hint="eastAsia" w:ascii="宋体" w:hAnsi="宋体" w:cs="宋体"/>
          <w:sz w:val="24"/>
        </w:rPr>
        <w:t>18.6谈判的任何一方不得透露与谈判有关的其他竞争性谈判供应商的技术资料、价格和其他信息。</w:t>
      </w:r>
    </w:p>
    <w:p>
      <w:pPr>
        <w:spacing w:line="460" w:lineRule="exact"/>
        <w:ind w:firstLine="480" w:firstLineChars="200"/>
        <w:outlineLvl w:val="3"/>
        <w:rPr>
          <w:rFonts w:hint="eastAsia" w:ascii="宋体" w:hAnsi="宋体" w:cs="宋体"/>
          <w:b/>
          <w:sz w:val="24"/>
        </w:rPr>
      </w:pPr>
      <w:bookmarkStart w:id="84" w:name="_Toc182358685"/>
      <w:bookmarkStart w:id="85" w:name="_Toc322015373"/>
      <w:bookmarkStart w:id="86" w:name="_Toc322074147"/>
      <w:r>
        <w:rPr>
          <w:rFonts w:hint="eastAsia" w:ascii="宋体" w:hAnsi="宋体" w:cs="宋体"/>
          <w:b/>
          <w:sz w:val="24"/>
        </w:rPr>
        <w:t>19.谈判文件评审</w:t>
      </w:r>
      <w:bookmarkEnd w:id="84"/>
      <w:bookmarkEnd w:id="85"/>
      <w:bookmarkEnd w:id="86"/>
      <w:r>
        <w:rPr>
          <w:rFonts w:hint="eastAsia" w:ascii="宋体" w:hAnsi="宋体" w:cs="宋体"/>
          <w:b/>
          <w:sz w:val="24"/>
        </w:rPr>
        <w:t xml:space="preserve"> </w:t>
      </w:r>
    </w:p>
    <w:p>
      <w:pPr>
        <w:spacing w:line="460" w:lineRule="exact"/>
        <w:ind w:firstLine="480" w:firstLineChars="200"/>
        <w:rPr>
          <w:rFonts w:hint="eastAsia" w:ascii="宋体" w:hAnsi="宋体" w:cs="宋体"/>
          <w:sz w:val="24"/>
        </w:rPr>
      </w:pPr>
      <w:r>
        <w:rPr>
          <w:rFonts w:hint="eastAsia" w:ascii="宋体" w:hAnsi="宋体" w:cs="宋体"/>
          <w:sz w:val="24"/>
        </w:rPr>
        <w:t>19.1本采购项目的谈判文件评审依据为谈判文件和谈判响应文件。</w:t>
      </w:r>
    </w:p>
    <w:p>
      <w:pPr>
        <w:spacing w:line="460" w:lineRule="exact"/>
        <w:ind w:firstLine="480" w:firstLineChars="200"/>
        <w:rPr>
          <w:rFonts w:hint="eastAsia" w:ascii="宋体" w:hAnsi="宋体" w:cs="宋体"/>
          <w:sz w:val="24"/>
        </w:rPr>
      </w:pPr>
      <w:r>
        <w:rPr>
          <w:rFonts w:hint="eastAsia" w:ascii="宋体" w:hAnsi="宋体" w:cs="宋体"/>
          <w:sz w:val="24"/>
        </w:rPr>
        <w:t>19.2 本项目是以政府采购预算价为最高限价，当竞争性谈判供应商的最终谈判报价超出政府采购预算价时，采购人不能支付的，其竞标无效。</w:t>
      </w:r>
    </w:p>
    <w:p>
      <w:pPr>
        <w:spacing w:line="460" w:lineRule="exact"/>
        <w:ind w:firstLine="480" w:firstLineChars="200"/>
        <w:rPr>
          <w:rFonts w:hint="eastAsia" w:ascii="宋体" w:hAnsi="宋体" w:cs="宋体"/>
          <w:sz w:val="24"/>
        </w:rPr>
      </w:pPr>
      <w:r>
        <w:rPr>
          <w:rFonts w:hint="eastAsia" w:ascii="宋体" w:hAnsi="宋体" w:cs="宋体"/>
          <w:sz w:val="24"/>
        </w:rPr>
        <w:t>19.3本项目采用的谈判文件评审方法为</w:t>
      </w:r>
      <w:r>
        <w:rPr>
          <w:rFonts w:hint="eastAsia" w:ascii="宋体" w:hAnsi="宋体" w:cs="宋体"/>
          <w:b/>
          <w:sz w:val="24"/>
        </w:rPr>
        <w:t>最低评标价法</w:t>
      </w:r>
      <w:r>
        <w:rPr>
          <w:rFonts w:hint="eastAsia" w:ascii="宋体" w:hAnsi="宋体" w:cs="宋体"/>
          <w:sz w:val="24"/>
        </w:rPr>
        <w:t>。竞争性谈判小组成员其成员不得有下列行为：</w:t>
      </w:r>
    </w:p>
    <w:p>
      <w:pPr>
        <w:spacing w:line="400" w:lineRule="exact"/>
        <w:ind w:firstLine="480" w:firstLineChars="200"/>
        <w:rPr>
          <w:rFonts w:hint="eastAsia" w:ascii="宋体" w:hAnsi="宋体" w:cs="宋体"/>
          <w:sz w:val="24"/>
        </w:rPr>
      </w:pPr>
      <w:r>
        <w:rPr>
          <w:rFonts w:hint="eastAsia" w:ascii="宋体" w:hAnsi="宋体" w:cs="宋体"/>
          <w:sz w:val="24"/>
        </w:rPr>
        <w:t>（1）确定参与评标至评标结束前私自接触投标人；</w:t>
      </w:r>
    </w:p>
    <w:p>
      <w:pPr>
        <w:spacing w:line="400" w:lineRule="exact"/>
        <w:ind w:firstLine="480" w:firstLineChars="200"/>
        <w:rPr>
          <w:rFonts w:hint="eastAsia" w:ascii="宋体" w:hAnsi="宋体" w:cs="宋体"/>
          <w:sz w:val="24"/>
        </w:rPr>
      </w:pPr>
      <w:r>
        <w:rPr>
          <w:rFonts w:hint="eastAsia" w:ascii="宋体" w:hAnsi="宋体" w:cs="宋体"/>
          <w:sz w:val="24"/>
        </w:rPr>
        <w:t>（2）接受投标人提出的与投标文件不一致的澄清或者说明，本</w:t>
      </w:r>
      <w:r>
        <w:rPr>
          <w:rFonts w:hint="eastAsia" w:ascii="宋体" w:hAnsi="宋体" w:cs="宋体"/>
          <w:bCs/>
          <w:sz w:val="24"/>
        </w:rPr>
        <w:t>须知</w:t>
      </w:r>
      <w:r>
        <w:rPr>
          <w:rFonts w:hint="eastAsia" w:ascii="宋体" w:hAnsi="宋体" w:cs="宋体"/>
          <w:sz w:val="24"/>
        </w:rPr>
        <w:t>第22条规定的情形除外；</w:t>
      </w:r>
    </w:p>
    <w:p>
      <w:pPr>
        <w:spacing w:line="400" w:lineRule="exact"/>
        <w:ind w:firstLine="480" w:firstLineChars="200"/>
        <w:rPr>
          <w:rFonts w:hint="eastAsia" w:ascii="宋体" w:hAnsi="宋体" w:cs="宋体"/>
          <w:sz w:val="24"/>
        </w:rPr>
      </w:pPr>
      <w:r>
        <w:rPr>
          <w:rFonts w:hint="eastAsia" w:ascii="宋体" w:hAnsi="宋体" w:cs="宋体"/>
          <w:sz w:val="24"/>
        </w:rPr>
        <w:t>（3）违反评标纪律发表倾向性意见或者征询采购人的倾向性意见；</w:t>
      </w:r>
    </w:p>
    <w:p>
      <w:pPr>
        <w:spacing w:line="400" w:lineRule="exact"/>
        <w:ind w:firstLine="480" w:firstLineChars="200"/>
        <w:rPr>
          <w:rFonts w:hint="eastAsia" w:ascii="宋体" w:hAnsi="宋体" w:cs="宋体"/>
          <w:sz w:val="24"/>
        </w:rPr>
      </w:pPr>
      <w:r>
        <w:rPr>
          <w:rFonts w:hint="eastAsia" w:ascii="宋体" w:hAnsi="宋体" w:cs="宋体"/>
          <w:sz w:val="24"/>
        </w:rPr>
        <w:t>（4）对需要专业判断的主观评审因素协商评分；</w:t>
      </w:r>
    </w:p>
    <w:p>
      <w:pPr>
        <w:spacing w:line="400" w:lineRule="exact"/>
        <w:ind w:firstLine="480" w:firstLineChars="200"/>
        <w:rPr>
          <w:rFonts w:hint="eastAsia" w:ascii="宋体" w:hAnsi="宋体" w:cs="宋体"/>
          <w:sz w:val="24"/>
        </w:rPr>
      </w:pPr>
      <w:r>
        <w:rPr>
          <w:rFonts w:hint="eastAsia" w:ascii="宋体" w:hAnsi="宋体" w:cs="宋体"/>
          <w:sz w:val="24"/>
        </w:rPr>
        <w:t>（5）在评标过程中擅离职守，影响评标程序正常进行的；</w:t>
      </w:r>
    </w:p>
    <w:p>
      <w:pPr>
        <w:spacing w:line="400" w:lineRule="exact"/>
        <w:ind w:firstLine="480" w:firstLineChars="200"/>
        <w:rPr>
          <w:rFonts w:hint="eastAsia" w:ascii="宋体" w:hAnsi="宋体" w:cs="宋体"/>
          <w:sz w:val="24"/>
        </w:rPr>
      </w:pPr>
      <w:r>
        <w:rPr>
          <w:rFonts w:hint="eastAsia" w:ascii="宋体" w:hAnsi="宋体" w:cs="宋体"/>
          <w:sz w:val="24"/>
        </w:rPr>
        <w:t>（6）记录、复制或者带走任何评标资料；</w:t>
      </w:r>
    </w:p>
    <w:p>
      <w:pPr>
        <w:spacing w:line="400" w:lineRule="exact"/>
        <w:ind w:firstLine="480" w:firstLineChars="200"/>
        <w:rPr>
          <w:rFonts w:hint="eastAsia" w:ascii="宋体" w:hAnsi="宋体" w:cs="宋体"/>
          <w:sz w:val="24"/>
        </w:rPr>
      </w:pPr>
      <w:r>
        <w:rPr>
          <w:rFonts w:hint="eastAsia" w:ascii="宋体" w:hAnsi="宋体" w:cs="宋体"/>
          <w:sz w:val="24"/>
        </w:rPr>
        <w:t>（7）其他不遵守评标纪律的行为。</w:t>
      </w:r>
    </w:p>
    <w:p>
      <w:pPr>
        <w:spacing w:line="460" w:lineRule="exact"/>
        <w:ind w:firstLine="480" w:firstLineChars="200"/>
        <w:rPr>
          <w:rFonts w:hint="eastAsia" w:ascii="宋体" w:hAnsi="宋体" w:cs="宋体"/>
          <w:sz w:val="24"/>
        </w:rPr>
      </w:pPr>
      <w:r>
        <w:rPr>
          <w:rFonts w:hint="eastAsia" w:ascii="宋体" w:hAnsi="宋体" w:cs="宋体"/>
          <w:sz w:val="24"/>
        </w:rPr>
        <w:t>19.4竞争性谈判供应商在谈判文件评审过程中，所进行的力图影响谈判文件评审结果公正性的活动，将可能导致其成交资格被取消。</w:t>
      </w:r>
    </w:p>
    <w:p>
      <w:pPr>
        <w:spacing w:line="460" w:lineRule="exact"/>
        <w:ind w:firstLine="480" w:firstLineChars="200"/>
        <w:rPr>
          <w:rFonts w:hint="eastAsia" w:ascii="宋体" w:hAnsi="宋体" w:cs="宋体"/>
          <w:b/>
          <w:bCs/>
          <w:sz w:val="24"/>
        </w:rPr>
      </w:pPr>
      <w:bookmarkStart w:id="87" w:name="_Toc182358686"/>
      <w:bookmarkStart w:id="88" w:name="_Toc322015374"/>
      <w:bookmarkStart w:id="89" w:name="_Toc322074148"/>
      <w:r>
        <w:rPr>
          <w:rFonts w:hint="eastAsia" w:ascii="宋体" w:hAnsi="宋体" w:cs="宋体"/>
          <w:b/>
          <w:bCs/>
          <w:sz w:val="24"/>
        </w:rPr>
        <w:t>20.无效的谈判响应文件</w:t>
      </w:r>
      <w:bookmarkEnd w:id="87"/>
      <w:bookmarkEnd w:id="88"/>
      <w:bookmarkEnd w:id="89"/>
    </w:p>
    <w:p>
      <w:pPr>
        <w:spacing w:line="460" w:lineRule="exact"/>
        <w:ind w:firstLine="480" w:firstLineChars="200"/>
        <w:rPr>
          <w:rFonts w:hint="eastAsia" w:ascii="宋体" w:hAnsi="宋体" w:cs="宋体"/>
          <w:sz w:val="24"/>
        </w:rPr>
      </w:pPr>
      <w:r>
        <w:rPr>
          <w:rFonts w:hint="eastAsia" w:ascii="宋体" w:hAnsi="宋体" w:cs="宋体"/>
          <w:sz w:val="24"/>
        </w:rPr>
        <w:t>20.1谈判响应文件如出现下列情况之一，将会在谈判文件评审中按照无效文件处理。</w:t>
      </w:r>
    </w:p>
    <w:p>
      <w:pPr>
        <w:spacing w:line="460" w:lineRule="exact"/>
        <w:ind w:firstLine="480" w:firstLineChars="200"/>
        <w:rPr>
          <w:rFonts w:hint="eastAsia" w:ascii="宋体" w:hAnsi="宋体" w:cs="宋体"/>
          <w:bCs/>
          <w:sz w:val="24"/>
        </w:rPr>
      </w:pPr>
      <w:r>
        <w:rPr>
          <w:rFonts w:hint="eastAsia" w:ascii="宋体" w:hAnsi="宋体" w:cs="宋体"/>
          <w:bCs/>
          <w:sz w:val="24"/>
        </w:rPr>
        <w:t>20.2本须知第8条规定的谈判响应文件有关内容未按本须知第14条规定加盖竞争性谈判供应商印章或未经法定代表人或其委托代理人签字或盖章的；由委托代理人签字或盖章，但未随谈判响应文件一起提交有效的“授权委托书”原件的；</w:t>
      </w:r>
    </w:p>
    <w:p>
      <w:pPr>
        <w:spacing w:line="460" w:lineRule="exact"/>
        <w:ind w:firstLine="480" w:firstLineChars="200"/>
        <w:rPr>
          <w:rFonts w:hint="eastAsia" w:ascii="宋体" w:hAnsi="宋体" w:cs="宋体"/>
          <w:bCs/>
          <w:sz w:val="24"/>
        </w:rPr>
      </w:pPr>
      <w:r>
        <w:rPr>
          <w:rFonts w:hint="eastAsia" w:ascii="宋体" w:hAnsi="宋体" w:cs="宋体"/>
          <w:bCs/>
          <w:sz w:val="24"/>
        </w:rPr>
        <w:t>20.3谈判响应文件未按照本须知第 16条的要求装订、密封和标记的；</w:t>
      </w:r>
    </w:p>
    <w:p>
      <w:pPr>
        <w:spacing w:line="460" w:lineRule="exact"/>
        <w:ind w:firstLine="480" w:firstLineChars="200"/>
        <w:rPr>
          <w:rFonts w:hint="eastAsia" w:ascii="宋体" w:hAnsi="宋体" w:cs="宋体"/>
          <w:bCs/>
          <w:sz w:val="24"/>
        </w:rPr>
      </w:pPr>
      <w:r>
        <w:rPr>
          <w:rFonts w:hint="eastAsia" w:ascii="宋体" w:hAnsi="宋体" w:cs="宋体"/>
          <w:bCs/>
          <w:sz w:val="24"/>
        </w:rPr>
        <w:t>20.4 谈判响应文件的关键内容字迹模糊、辩认不清；</w:t>
      </w:r>
    </w:p>
    <w:p>
      <w:pPr>
        <w:spacing w:line="460" w:lineRule="exact"/>
        <w:ind w:firstLine="480" w:firstLineChars="200"/>
        <w:rPr>
          <w:rFonts w:hint="eastAsia" w:ascii="宋体" w:hAnsi="宋体" w:cs="宋体"/>
          <w:bCs/>
          <w:sz w:val="24"/>
        </w:rPr>
      </w:pPr>
      <w:r>
        <w:rPr>
          <w:rFonts w:hint="eastAsia" w:ascii="宋体" w:hAnsi="宋体" w:cs="宋体"/>
          <w:bCs/>
          <w:sz w:val="24"/>
        </w:rPr>
        <w:t>20.5谈判响应文件内容不真实；</w:t>
      </w:r>
    </w:p>
    <w:p>
      <w:pPr>
        <w:spacing w:line="460" w:lineRule="exact"/>
        <w:ind w:firstLine="480" w:firstLineChars="200"/>
        <w:rPr>
          <w:rFonts w:hint="eastAsia" w:ascii="宋体" w:hAnsi="宋体" w:cs="宋体"/>
          <w:bCs/>
          <w:sz w:val="24"/>
        </w:rPr>
      </w:pPr>
      <w:r>
        <w:rPr>
          <w:rFonts w:hint="eastAsia" w:ascii="宋体" w:hAnsi="宋体" w:cs="宋体"/>
          <w:bCs/>
          <w:sz w:val="24"/>
        </w:rPr>
        <w:t>20.6谈判响应文件实质上没有响应谈判文件的要求；</w:t>
      </w:r>
    </w:p>
    <w:p>
      <w:pPr>
        <w:spacing w:line="460" w:lineRule="exact"/>
        <w:ind w:firstLine="480" w:firstLineChars="200"/>
        <w:rPr>
          <w:rFonts w:hint="eastAsia" w:ascii="宋体" w:hAnsi="宋体" w:cs="宋体"/>
          <w:bCs/>
          <w:sz w:val="24"/>
        </w:rPr>
      </w:pPr>
      <w:r>
        <w:rPr>
          <w:rFonts w:hint="eastAsia" w:ascii="宋体" w:hAnsi="宋体" w:cs="宋体"/>
          <w:bCs/>
          <w:sz w:val="24"/>
        </w:rPr>
        <w:t>20.7未在规定时间内向采购代理机构购买谈判文件的；</w:t>
      </w:r>
    </w:p>
    <w:p>
      <w:pPr>
        <w:spacing w:line="460" w:lineRule="exact"/>
        <w:ind w:firstLine="480" w:firstLineChars="200"/>
        <w:rPr>
          <w:rFonts w:hint="eastAsia" w:ascii="宋体" w:hAnsi="宋体" w:cs="宋体"/>
          <w:bCs/>
          <w:sz w:val="24"/>
        </w:rPr>
      </w:pPr>
      <w:r>
        <w:rPr>
          <w:rFonts w:hint="eastAsia" w:ascii="宋体" w:hAnsi="宋体" w:cs="宋体"/>
          <w:bCs/>
          <w:sz w:val="24"/>
        </w:rPr>
        <w:t>20.8 提交响应文件截止时间以后送达的谈判响应文件。</w:t>
      </w:r>
    </w:p>
    <w:p>
      <w:pPr>
        <w:spacing w:line="400" w:lineRule="exact"/>
        <w:ind w:firstLine="480" w:firstLineChars="200"/>
        <w:rPr>
          <w:rFonts w:hint="eastAsia" w:ascii="宋体" w:hAnsi="宋体" w:cs="宋体"/>
          <w:b/>
          <w:bCs/>
          <w:sz w:val="24"/>
        </w:rPr>
      </w:pPr>
      <w:bookmarkStart w:id="90" w:name="_Toc182358687"/>
      <w:bookmarkStart w:id="91" w:name="_Toc322015375"/>
      <w:bookmarkStart w:id="92" w:name="_Toc322074149"/>
      <w:r>
        <w:rPr>
          <w:rFonts w:hint="eastAsia" w:ascii="宋体" w:hAnsi="宋体" w:cs="宋体"/>
          <w:b/>
          <w:bCs/>
          <w:sz w:val="24"/>
        </w:rPr>
        <w:t>21.澄清</w:t>
      </w:r>
    </w:p>
    <w:p>
      <w:pPr>
        <w:spacing w:line="400" w:lineRule="exact"/>
        <w:ind w:firstLine="480" w:firstLineChars="200"/>
        <w:rPr>
          <w:rFonts w:hint="eastAsia" w:ascii="宋体" w:hAnsi="宋体" w:cs="宋体"/>
          <w:sz w:val="24"/>
        </w:rPr>
      </w:pPr>
      <w:r>
        <w:rPr>
          <w:rFonts w:hint="eastAsia" w:ascii="宋体" w:hAnsi="宋体" w:cs="宋体"/>
          <w:sz w:val="24"/>
        </w:rPr>
        <w:t>21.1对于谈判响应文件中含义不明确、同类问题表述不一致或者有明显文字和计算错误的内容，评标委员会应当以书面形式要求竞争性谈判供应商作出必要的澄清、说明或者补正。</w:t>
      </w:r>
    </w:p>
    <w:p>
      <w:pPr>
        <w:spacing w:line="400" w:lineRule="exact"/>
        <w:rPr>
          <w:rFonts w:hint="eastAsia" w:ascii="宋体" w:hAnsi="宋体" w:cs="宋体"/>
          <w:sz w:val="24"/>
        </w:rPr>
      </w:pPr>
      <w:r>
        <w:rPr>
          <w:rFonts w:hint="eastAsia" w:ascii="宋体" w:hAnsi="宋体" w:cs="宋体"/>
          <w:sz w:val="24"/>
        </w:rPr>
        <w:t>　  21.2竞争性谈判供应商的澄清、说明或者补正应当采用书面形式，并加盖公章，或者由法定代表人或其授权的代表签字。竞争性谈判供应商的澄清、说明或者补正不得超出谈判响应文件的范围或者改变谈判响应文件的实质性内容。</w:t>
      </w:r>
    </w:p>
    <w:p>
      <w:pPr>
        <w:spacing w:line="460" w:lineRule="exact"/>
        <w:ind w:firstLine="480" w:firstLineChars="200"/>
        <w:outlineLvl w:val="3"/>
        <w:rPr>
          <w:rFonts w:hint="eastAsia" w:ascii="宋体" w:hAnsi="宋体" w:cs="宋体"/>
          <w:b/>
          <w:bCs/>
          <w:sz w:val="24"/>
        </w:rPr>
      </w:pPr>
      <w:r>
        <w:rPr>
          <w:rFonts w:hint="eastAsia" w:ascii="宋体" w:hAnsi="宋体" w:cs="宋体"/>
          <w:b/>
          <w:bCs/>
          <w:sz w:val="24"/>
        </w:rPr>
        <w:t>22.废标</w:t>
      </w:r>
      <w:bookmarkEnd w:id="90"/>
      <w:bookmarkEnd w:id="91"/>
      <w:bookmarkEnd w:id="92"/>
    </w:p>
    <w:p>
      <w:pPr>
        <w:spacing w:line="460" w:lineRule="exact"/>
        <w:ind w:firstLine="480" w:firstLineChars="200"/>
        <w:rPr>
          <w:rFonts w:hint="eastAsia" w:ascii="宋体" w:hAnsi="宋体" w:cs="宋体"/>
          <w:bCs/>
          <w:sz w:val="24"/>
        </w:rPr>
      </w:pPr>
      <w:r>
        <w:rPr>
          <w:rFonts w:hint="eastAsia" w:ascii="宋体" w:hAnsi="宋体" w:cs="宋体"/>
          <w:bCs/>
          <w:sz w:val="24"/>
        </w:rPr>
        <w:t>22.1谈判采购项目出现下列情形之一的，将予以废标：</w:t>
      </w:r>
    </w:p>
    <w:p>
      <w:pPr>
        <w:spacing w:line="460" w:lineRule="exact"/>
        <w:ind w:firstLine="480" w:firstLineChars="200"/>
        <w:rPr>
          <w:rFonts w:hint="eastAsia" w:ascii="宋体" w:hAnsi="宋体" w:cs="宋体"/>
          <w:bCs/>
          <w:sz w:val="24"/>
        </w:rPr>
      </w:pPr>
      <w:r>
        <w:rPr>
          <w:rFonts w:hint="eastAsia" w:ascii="宋体" w:hAnsi="宋体" w:cs="宋体"/>
          <w:bCs/>
          <w:sz w:val="24"/>
        </w:rPr>
        <w:t>（1）出现影响采购公正的违法、违规行为的；</w:t>
      </w:r>
    </w:p>
    <w:p>
      <w:pPr>
        <w:spacing w:line="460" w:lineRule="exact"/>
        <w:ind w:firstLine="480" w:firstLineChars="200"/>
        <w:rPr>
          <w:rFonts w:hint="eastAsia" w:ascii="宋体" w:hAnsi="宋体" w:cs="宋体"/>
          <w:bCs/>
          <w:sz w:val="24"/>
        </w:rPr>
      </w:pPr>
      <w:r>
        <w:rPr>
          <w:rFonts w:hint="eastAsia" w:ascii="宋体" w:hAnsi="宋体" w:cs="宋体"/>
          <w:bCs/>
          <w:sz w:val="24"/>
        </w:rPr>
        <w:t>（2）因重大变故，采购任务取消的；</w:t>
      </w:r>
    </w:p>
    <w:p>
      <w:pPr>
        <w:spacing w:line="460" w:lineRule="exact"/>
        <w:ind w:firstLine="480" w:firstLineChars="200"/>
        <w:rPr>
          <w:rFonts w:hint="eastAsia" w:ascii="宋体" w:hAnsi="宋体" w:cs="宋体"/>
          <w:b/>
          <w:sz w:val="24"/>
        </w:rPr>
      </w:pPr>
      <w:r>
        <w:rPr>
          <w:rFonts w:hint="eastAsia" w:ascii="宋体" w:hAnsi="宋体" w:cs="宋体"/>
          <w:bCs/>
          <w:sz w:val="24"/>
        </w:rPr>
        <w:t>（3）符合专业条件的供应商或者对谈判文件作实质响应的供应商不足三家的；</w:t>
      </w:r>
    </w:p>
    <w:p>
      <w:pPr>
        <w:spacing w:line="460" w:lineRule="exact"/>
        <w:ind w:firstLine="480" w:firstLineChars="200"/>
        <w:rPr>
          <w:rFonts w:hint="eastAsia" w:ascii="宋体" w:hAnsi="宋体" w:cs="宋体"/>
          <w:sz w:val="24"/>
        </w:rPr>
      </w:pPr>
      <w:r>
        <w:rPr>
          <w:rFonts w:hint="eastAsia" w:ascii="宋体" w:hAnsi="宋体" w:cs="宋体"/>
          <w:sz w:val="24"/>
        </w:rPr>
        <w:t>22.2废标后，采购代理机构将把废标理由通知所有竞争性谈判供应商。</w:t>
      </w:r>
    </w:p>
    <w:p>
      <w:pPr>
        <w:pStyle w:val="5"/>
        <w:spacing w:before="240" w:after="120" w:line="415" w:lineRule="auto"/>
        <w:jc w:val="center"/>
        <w:rPr>
          <w:rFonts w:hint="eastAsia" w:ascii="宋体" w:hAnsi="宋体" w:cs="宋体"/>
          <w:bCs w:val="0"/>
          <w:sz w:val="28"/>
          <w:szCs w:val="28"/>
        </w:rPr>
      </w:pPr>
      <w:bookmarkStart w:id="93" w:name="_Toc182358688"/>
      <w:bookmarkStart w:id="94" w:name="_Toc322015376"/>
      <w:bookmarkStart w:id="95" w:name="_Toc18225"/>
      <w:r>
        <w:rPr>
          <w:rFonts w:hint="eastAsia" w:ascii="宋体" w:hAnsi="宋体" w:cs="宋体"/>
          <w:bCs w:val="0"/>
          <w:sz w:val="28"/>
          <w:szCs w:val="28"/>
        </w:rPr>
        <w:t>六、签订合同</w:t>
      </w:r>
      <w:bookmarkEnd w:id="93"/>
      <w:bookmarkEnd w:id="94"/>
      <w:bookmarkEnd w:id="95"/>
    </w:p>
    <w:p>
      <w:pPr>
        <w:spacing w:line="460" w:lineRule="exact"/>
        <w:ind w:firstLine="480" w:firstLineChars="200"/>
        <w:outlineLvl w:val="3"/>
        <w:rPr>
          <w:rFonts w:hint="eastAsia" w:ascii="宋体" w:hAnsi="宋体" w:cs="宋体"/>
          <w:b/>
          <w:sz w:val="24"/>
        </w:rPr>
      </w:pPr>
      <w:bookmarkStart w:id="96" w:name="_Toc182358689"/>
      <w:bookmarkStart w:id="97" w:name="_Toc322015377"/>
      <w:bookmarkStart w:id="98" w:name="_Toc322074151"/>
      <w:r>
        <w:rPr>
          <w:rFonts w:hint="eastAsia" w:ascii="宋体" w:hAnsi="宋体" w:cs="宋体"/>
          <w:b/>
          <w:sz w:val="24"/>
        </w:rPr>
        <w:t>23.成交公告</w:t>
      </w:r>
      <w:bookmarkEnd w:id="96"/>
      <w:bookmarkEnd w:id="97"/>
      <w:bookmarkEnd w:id="98"/>
    </w:p>
    <w:p>
      <w:pPr>
        <w:spacing w:line="460" w:lineRule="exact"/>
        <w:ind w:firstLine="480" w:firstLineChars="200"/>
        <w:rPr>
          <w:rFonts w:hint="eastAsia" w:ascii="宋体" w:hAnsi="宋体" w:cs="宋体"/>
          <w:sz w:val="24"/>
        </w:rPr>
      </w:pPr>
      <w:r>
        <w:rPr>
          <w:rFonts w:hint="eastAsia" w:ascii="宋体" w:hAnsi="宋体" w:cs="宋体"/>
          <w:sz w:val="24"/>
        </w:rPr>
        <w:t>23.1 本公司在谈判工作完成2个工作日内将谈判文件评审报告送采购人，采购人按照谈判响应文件评审报告确定的成交候选人为成交供应商。采购人确认后，采购代理机构在的同时在</w:t>
      </w:r>
      <w:r>
        <w:rPr>
          <w:rFonts w:hint="eastAsia" w:hAnsi="宋体" w:cs="宋体"/>
          <w:kern w:val="0"/>
          <w:sz w:val="24"/>
        </w:rPr>
        <w:t>中国政府采购网</w:t>
      </w:r>
      <w:r>
        <w:rPr>
          <w:rFonts w:hint="eastAsia" w:ascii="宋体" w:hAnsi="宋体" w:cs="宋体"/>
          <w:kern w:val="0"/>
          <w:sz w:val="24"/>
        </w:rPr>
        <w:t>（www.ccgp.gov.cn）、广西壮族自治区政府采购网（www.gxzfcg.gov.cn)</w:t>
      </w:r>
      <w:r>
        <w:rPr>
          <w:rFonts w:hint="eastAsia" w:ascii="宋体" w:hAnsi="宋体" w:cs="宋体"/>
          <w:sz w:val="24"/>
        </w:rPr>
        <w:t>上发布成交公告的同时向成交供应商发出成交通知书。</w:t>
      </w:r>
    </w:p>
    <w:p>
      <w:pPr>
        <w:spacing w:line="460" w:lineRule="exact"/>
        <w:ind w:firstLine="480" w:firstLineChars="200"/>
        <w:rPr>
          <w:rFonts w:hint="eastAsia" w:ascii="宋体" w:hAnsi="宋体" w:cs="宋体"/>
          <w:sz w:val="24"/>
        </w:rPr>
      </w:pPr>
      <w:r>
        <w:rPr>
          <w:rFonts w:hint="eastAsia" w:ascii="宋体" w:hAnsi="宋体" w:cs="宋体"/>
          <w:sz w:val="24"/>
        </w:rPr>
        <w:t>23.2竞争性谈判供应商如对成交公告有异议，可以在成交公告发布后届满之日起七个工作日内以书面形式向采购代理机构提出质疑。采购代理机构将在收到竞争性谈判供应商的书面形式质疑后七个工作日内做出答复，但答复的内容不得涉及商业密秘。</w:t>
      </w:r>
    </w:p>
    <w:p>
      <w:pPr>
        <w:spacing w:line="460" w:lineRule="exact"/>
        <w:ind w:firstLine="480" w:firstLineChars="200"/>
        <w:rPr>
          <w:rFonts w:hint="eastAsia" w:ascii="宋体" w:hAnsi="宋体" w:cs="宋体"/>
          <w:sz w:val="24"/>
        </w:rPr>
      </w:pPr>
      <w:r>
        <w:rPr>
          <w:rFonts w:hint="eastAsia" w:ascii="宋体" w:hAnsi="宋体" w:cs="宋体"/>
          <w:sz w:val="24"/>
        </w:rPr>
        <w:t>23.3质疑竞争性谈判供应商必须首先经过质疑程序，在对采购代理机构的答复不满意或者采购代理机构未在规定的时间内做出答复的，可以在答复期满后十五个工作日内书面向同级政府采购监督管理部门投诉。</w:t>
      </w:r>
    </w:p>
    <w:p>
      <w:pPr>
        <w:spacing w:line="460" w:lineRule="exact"/>
        <w:ind w:firstLine="480" w:firstLineChars="200"/>
        <w:outlineLvl w:val="3"/>
        <w:rPr>
          <w:rFonts w:hint="eastAsia" w:ascii="宋体" w:hAnsi="宋体" w:cs="宋体"/>
          <w:b/>
          <w:sz w:val="24"/>
        </w:rPr>
      </w:pPr>
      <w:bookmarkStart w:id="99" w:name="_Toc182358690"/>
      <w:bookmarkStart w:id="100" w:name="_Toc322015378"/>
      <w:bookmarkStart w:id="101" w:name="_Toc322074152"/>
      <w:r>
        <w:rPr>
          <w:rFonts w:hint="eastAsia" w:ascii="宋体" w:hAnsi="宋体" w:cs="宋体"/>
          <w:b/>
          <w:sz w:val="24"/>
        </w:rPr>
        <w:t>24.成交通知</w:t>
      </w:r>
      <w:bookmarkEnd w:id="99"/>
      <w:bookmarkEnd w:id="100"/>
      <w:bookmarkEnd w:id="101"/>
    </w:p>
    <w:p>
      <w:pPr>
        <w:spacing w:line="460" w:lineRule="exact"/>
        <w:ind w:firstLine="480" w:firstLineChars="200"/>
        <w:rPr>
          <w:rFonts w:hint="eastAsia" w:ascii="宋体" w:hAnsi="宋体" w:cs="宋体"/>
          <w:sz w:val="24"/>
        </w:rPr>
      </w:pPr>
      <w:r>
        <w:rPr>
          <w:rFonts w:hint="eastAsia" w:ascii="宋体" w:hAnsi="宋体" w:cs="宋体"/>
          <w:sz w:val="24"/>
        </w:rPr>
        <w:t>24.1本公司不退还谈判响应文件。</w:t>
      </w:r>
    </w:p>
    <w:p>
      <w:pPr>
        <w:spacing w:line="460" w:lineRule="exact"/>
        <w:ind w:firstLine="480" w:firstLineChars="200"/>
        <w:outlineLvl w:val="3"/>
        <w:rPr>
          <w:rFonts w:hint="eastAsia" w:ascii="宋体" w:hAnsi="宋体" w:cs="宋体"/>
          <w:b/>
          <w:sz w:val="24"/>
        </w:rPr>
      </w:pPr>
      <w:bookmarkStart w:id="102" w:name="_Toc147250342"/>
      <w:bookmarkStart w:id="103" w:name="_Toc147250388"/>
      <w:bookmarkStart w:id="104" w:name="_Toc147250544"/>
      <w:bookmarkStart w:id="105" w:name="_Toc182358691"/>
      <w:bookmarkStart w:id="106" w:name="_Toc322015379"/>
      <w:bookmarkStart w:id="107" w:name="_Toc322074153"/>
      <w:r>
        <w:rPr>
          <w:rFonts w:hint="eastAsia" w:ascii="宋体" w:hAnsi="宋体" w:cs="宋体"/>
          <w:b/>
          <w:sz w:val="24"/>
        </w:rPr>
        <w:t>25.合同授予标准</w:t>
      </w:r>
      <w:bookmarkEnd w:id="102"/>
      <w:bookmarkEnd w:id="103"/>
      <w:bookmarkEnd w:id="104"/>
      <w:bookmarkEnd w:id="105"/>
      <w:bookmarkEnd w:id="106"/>
      <w:bookmarkEnd w:id="107"/>
    </w:p>
    <w:p>
      <w:pPr>
        <w:spacing w:line="460" w:lineRule="exact"/>
        <w:ind w:firstLine="480" w:firstLineChars="200"/>
        <w:rPr>
          <w:rFonts w:hint="eastAsia" w:ascii="宋体" w:hAnsi="宋体" w:cs="宋体"/>
          <w:sz w:val="24"/>
        </w:rPr>
      </w:pPr>
      <w:r>
        <w:rPr>
          <w:rFonts w:hint="eastAsia" w:ascii="宋体" w:hAnsi="宋体" w:cs="宋体"/>
          <w:sz w:val="24"/>
        </w:rPr>
        <w:t>25.1合同授予被确定为实质上响应谈判文件要求，谈判文件评审认为具备履行合同能力，谈判文件评审价最低的竞争性谈判供应商。</w:t>
      </w:r>
    </w:p>
    <w:p>
      <w:pPr>
        <w:spacing w:line="460" w:lineRule="exact"/>
        <w:ind w:firstLine="480" w:firstLineChars="200"/>
        <w:rPr>
          <w:rFonts w:hint="eastAsia" w:ascii="宋体" w:hAnsi="宋体" w:cs="宋体"/>
          <w:sz w:val="24"/>
        </w:rPr>
      </w:pPr>
      <w:r>
        <w:rPr>
          <w:rFonts w:hint="eastAsia" w:ascii="宋体" w:hAnsi="宋体" w:cs="宋体"/>
          <w:sz w:val="24"/>
        </w:rPr>
        <w:t>25.2 采购人应按照谈判文件评审报告中推荐的成交候选供应商顺序确定成交供应商。</w:t>
      </w:r>
    </w:p>
    <w:p>
      <w:pPr>
        <w:spacing w:line="460" w:lineRule="exact"/>
        <w:ind w:firstLine="480" w:firstLineChars="200"/>
        <w:rPr>
          <w:rFonts w:hint="eastAsia" w:ascii="宋体" w:hAnsi="宋体" w:cs="宋体"/>
          <w:sz w:val="24"/>
        </w:rPr>
      </w:pPr>
      <w:r>
        <w:rPr>
          <w:rFonts w:hint="eastAsia" w:ascii="宋体" w:hAnsi="宋体" w:cs="宋体"/>
          <w:sz w:val="24"/>
        </w:rPr>
        <w:t>25.3成交供应商因不可抗力或者自身原因不能履行采购合同的，采购人可以与排位在成交供应商之后第一个成交候选供应商签订采购合同，以此类推。</w:t>
      </w:r>
    </w:p>
    <w:p>
      <w:pPr>
        <w:spacing w:line="460" w:lineRule="exact"/>
        <w:ind w:firstLine="480" w:firstLineChars="200"/>
        <w:outlineLvl w:val="3"/>
        <w:rPr>
          <w:rFonts w:hint="eastAsia" w:ascii="宋体" w:hAnsi="宋体" w:cs="宋体"/>
          <w:b/>
          <w:sz w:val="24"/>
        </w:rPr>
      </w:pPr>
      <w:bookmarkStart w:id="108" w:name="_Toc182358692"/>
      <w:bookmarkStart w:id="109" w:name="_Toc322015380"/>
      <w:bookmarkStart w:id="110" w:name="_Toc322074154"/>
      <w:r>
        <w:rPr>
          <w:rFonts w:hint="eastAsia" w:ascii="宋体" w:hAnsi="宋体" w:cs="宋体"/>
          <w:b/>
          <w:sz w:val="24"/>
        </w:rPr>
        <w:t>26.签订合同</w:t>
      </w:r>
      <w:bookmarkEnd w:id="108"/>
      <w:bookmarkEnd w:id="109"/>
      <w:bookmarkEnd w:id="110"/>
    </w:p>
    <w:p>
      <w:pPr>
        <w:spacing w:line="460" w:lineRule="exact"/>
        <w:ind w:firstLine="480" w:firstLineChars="200"/>
        <w:rPr>
          <w:rFonts w:hint="eastAsia" w:ascii="宋体" w:hAnsi="宋体" w:cs="宋体"/>
          <w:sz w:val="24"/>
        </w:rPr>
      </w:pPr>
      <w:r>
        <w:rPr>
          <w:rFonts w:hint="eastAsia" w:ascii="宋体" w:hAnsi="宋体" w:cs="宋体"/>
          <w:sz w:val="24"/>
        </w:rPr>
        <w:t>26.1成交供应商在收到成交通知书后，7个工作日内按成交通知书中规定与买方签订合同。</w:t>
      </w:r>
    </w:p>
    <w:p>
      <w:pPr>
        <w:spacing w:line="460" w:lineRule="exact"/>
        <w:ind w:firstLine="480" w:firstLineChars="200"/>
        <w:rPr>
          <w:rFonts w:hint="eastAsia" w:ascii="宋体" w:hAnsi="宋体" w:cs="宋体"/>
          <w:sz w:val="24"/>
        </w:rPr>
      </w:pPr>
      <w:r>
        <w:rPr>
          <w:rFonts w:hint="eastAsia" w:ascii="宋体" w:hAnsi="宋体" w:cs="宋体"/>
          <w:sz w:val="24"/>
        </w:rPr>
        <w:t>26.2采购代理机构如遇成交供应商违约，有权从成交候选人中确定成交供应商，并组织成交供应商与买方签订合同，或重新组织采购。</w:t>
      </w:r>
    </w:p>
    <w:p>
      <w:pPr>
        <w:spacing w:line="460" w:lineRule="exact"/>
        <w:ind w:firstLine="470" w:firstLineChars="196"/>
        <w:outlineLvl w:val="3"/>
        <w:rPr>
          <w:rFonts w:hint="eastAsia" w:ascii="宋体" w:hAnsi="宋体" w:cs="宋体"/>
          <w:bCs/>
          <w:sz w:val="28"/>
          <w:szCs w:val="28"/>
        </w:rPr>
      </w:pPr>
      <w:bookmarkStart w:id="111" w:name="_Toc182358693"/>
      <w:bookmarkStart w:id="112" w:name="_Toc322015381"/>
      <w:bookmarkStart w:id="113" w:name="_Toc322074155"/>
      <w:r>
        <w:rPr>
          <w:rFonts w:hint="eastAsia" w:ascii="宋体" w:hAnsi="宋体" w:cs="宋体"/>
          <w:b/>
          <w:sz w:val="24"/>
        </w:rPr>
        <w:t>27.履约保证金</w:t>
      </w:r>
      <w:bookmarkEnd w:id="111"/>
      <w:bookmarkEnd w:id="112"/>
      <w:bookmarkEnd w:id="113"/>
      <w:r>
        <w:rPr>
          <w:rFonts w:hint="eastAsia" w:ascii="宋体" w:hAnsi="宋体" w:cs="宋体"/>
          <w:b/>
          <w:sz w:val="24"/>
        </w:rPr>
        <w:t>：无</w:t>
      </w:r>
      <w:bookmarkStart w:id="114" w:name="_Toc182358694"/>
      <w:bookmarkStart w:id="115" w:name="_Toc322015382"/>
      <w:bookmarkStart w:id="116" w:name="_Toc23911"/>
    </w:p>
    <w:p>
      <w:pPr>
        <w:pStyle w:val="5"/>
        <w:spacing w:before="240" w:after="120" w:line="320" w:lineRule="exact"/>
        <w:jc w:val="center"/>
        <w:rPr>
          <w:rFonts w:hint="eastAsia" w:ascii="宋体" w:hAnsi="宋体" w:cs="宋体"/>
          <w:bCs w:val="0"/>
          <w:sz w:val="28"/>
          <w:szCs w:val="28"/>
        </w:rPr>
      </w:pPr>
      <w:r>
        <w:rPr>
          <w:rFonts w:hint="eastAsia" w:ascii="宋体" w:hAnsi="宋体" w:cs="宋体"/>
          <w:bCs w:val="0"/>
          <w:sz w:val="28"/>
          <w:szCs w:val="28"/>
        </w:rPr>
        <w:t>七、其他事项</w:t>
      </w:r>
      <w:bookmarkEnd w:id="114"/>
      <w:bookmarkEnd w:id="115"/>
      <w:bookmarkEnd w:id="116"/>
    </w:p>
    <w:p>
      <w:pPr>
        <w:spacing w:line="460" w:lineRule="exact"/>
        <w:ind w:firstLine="480" w:firstLineChars="200"/>
        <w:outlineLvl w:val="3"/>
        <w:rPr>
          <w:rFonts w:hint="eastAsia" w:ascii="宋体" w:hAnsi="宋体" w:cs="宋体"/>
          <w:b/>
          <w:sz w:val="24"/>
        </w:rPr>
      </w:pPr>
      <w:bookmarkStart w:id="117" w:name="_Toc322074157"/>
      <w:bookmarkStart w:id="118" w:name="_Toc182358695"/>
      <w:bookmarkStart w:id="119" w:name="_Toc322015383"/>
      <w:r>
        <w:rPr>
          <w:rFonts w:hint="eastAsia" w:ascii="宋体" w:hAnsi="宋体" w:cs="宋体"/>
          <w:b/>
          <w:sz w:val="24"/>
        </w:rPr>
        <w:t>28. 采购代理服务费</w:t>
      </w:r>
      <w:bookmarkEnd w:id="117"/>
      <w:bookmarkEnd w:id="118"/>
      <w:bookmarkEnd w:id="119"/>
    </w:p>
    <w:p>
      <w:pPr>
        <w:spacing w:line="460" w:lineRule="exact"/>
        <w:ind w:firstLine="480" w:firstLineChars="200"/>
        <w:rPr>
          <w:rFonts w:hint="eastAsia" w:hAnsi="宋体" w:cs="Arial"/>
          <w:sz w:val="24"/>
        </w:rPr>
      </w:pPr>
      <w:bookmarkStart w:id="120" w:name="_Toc322015675"/>
      <w:bookmarkStart w:id="121" w:name="_Toc322015430"/>
      <w:bookmarkStart w:id="122" w:name="_Toc322015577"/>
      <w:bookmarkStart w:id="123" w:name="_Toc322074158"/>
      <w:bookmarkStart w:id="124" w:name="_Toc322015384"/>
      <w:bookmarkStart w:id="125" w:name="_Toc322074159"/>
      <w:bookmarkStart w:id="126" w:name="_Toc182358696"/>
      <w:bookmarkStart w:id="127" w:name="_Toc322015385"/>
      <w:r>
        <w:rPr>
          <w:rFonts w:hint="eastAsia" w:ascii="宋体" w:hAnsi="宋体" w:cs="宋体"/>
          <w:sz w:val="24"/>
        </w:rPr>
        <w:t>28.</w:t>
      </w:r>
      <w:bookmarkEnd w:id="120"/>
      <w:bookmarkEnd w:id="121"/>
      <w:bookmarkEnd w:id="122"/>
      <w:bookmarkEnd w:id="123"/>
      <w:bookmarkEnd w:id="124"/>
      <w:r>
        <w:rPr>
          <w:rFonts w:hint="eastAsia" w:ascii="宋体" w:hAnsi="宋体" w:cs="宋体"/>
          <w:sz w:val="24"/>
        </w:rPr>
        <w:t>1</w:t>
      </w:r>
      <w:r>
        <w:rPr>
          <w:rFonts w:hint="eastAsia" w:hAnsi="宋体" w:cs="Arial"/>
          <w:sz w:val="24"/>
        </w:rPr>
        <w:t>本项目采购代理服务费由成交供应商在发出成交通知书前，向采购代理机构一次性支付，金额按差额定率累进法计算</w:t>
      </w:r>
      <w:r>
        <w:rPr>
          <w:rFonts w:hint="eastAsia" w:ascii="宋体" w:hAnsi="宋体" w:cs="宋体"/>
          <w:sz w:val="24"/>
        </w:rPr>
        <w:t>，100万（含100万）以内按成交价X1.5%计取</w:t>
      </w:r>
      <w:r>
        <w:rPr>
          <w:rFonts w:hint="eastAsia" w:hAnsi="宋体" w:cs="Arial"/>
          <w:sz w:val="24"/>
        </w:rPr>
        <w:t>。</w:t>
      </w:r>
    </w:p>
    <w:p>
      <w:pPr>
        <w:spacing w:line="460" w:lineRule="exact"/>
        <w:ind w:firstLine="480" w:firstLineChars="200"/>
        <w:rPr>
          <w:rFonts w:hint="eastAsia" w:ascii="宋体" w:hAnsi="宋体" w:cs="宋体"/>
          <w:sz w:val="24"/>
        </w:rPr>
      </w:pPr>
      <w:r>
        <w:rPr>
          <w:rFonts w:hint="eastAsia" w:ascii="宋体" w:hAnsi="宋体" w:cs="宋体"/>
          <w:sz w:val="24"/>
        </w:rPr>
        <w:t>28.2根据</w:t>
      </w:r>
      <w:r>
        <w:rPr>
          <w:rFonts w:hint="eastAsia" w:hAnsi="宋体" w:cs="Arial"/>
          <w:sz w:val="24"/>
        </w:rPr>
        <w:t>《关于做好政府采购有关信用主体标识码登记及在政府采购活动中查询使用信用记录有关问题的通知》桂财采</w:t>
      </w:r>
      <w:r>
        <w:rPr>
          <w:rFonts w:hint="eastAsia" w:ascii="宋体" w:hAnsi="宋体" w:cs="宋体"/>
          <w:sz w:val="24"/>
        </w:rPr>
        <w:t>〔2016〕37号的通知，在对成交供应商的进行信用查询：</w:t>
      </w:r>
    </w:p>
    <w:p>
      <w:pPr>
        <w:spacing w:line="460" w:lineRule="exact"/>
        <w:ind w:firstLine="480" w:firstLineChars="200"/>
        <w:rPr>
          <w:rFonts w:hint="eastAsia" w:ascii="宋体" w:hAnsi="宋体" w:cs="宋体"/>
          <w:sz w:val="24"/>
        </w:rPr>
      </w:pPr>
      <w:r>
        <w:rPr>
          <w:rFonts w:hint="eastAsia" w:ascii="宋体" w:hAnsi="宋体" w:cs="宋体"/>
          <w:sz w:val="24"/>
        </w:rPr>
        <w:t>（1）查询渠道：“信用中国”网站(www.creditchina.gov.cn)、中国政府采购网(www.ccgp.gov.cn)等；</w:t>
      </w:r>
    </w:p>
    <w:p>
      <w:pPr>
        <w:spacing w:line="460" w:lineRule="exact"/>
        <w:ind w:firstLine="480" w:firstLineChars="200"/>
        <w:rPr>
          <w:rFonts w:hint="eastAsia" w:ascii="宋体" w:hAnsi="宋体" w:cs="宋体"/>
          <w:sz w:val="24"/>
        </w:rPr>
      </w:pPr>
      <w:r>
        <w:rPr>
          <w:rFonts w:hint="eastAsia" w:ascii="宋体" w:hAnsi="宋体" w:cs="宋体"/>
          <w:sz w:val="24"/>
        </w:rPr>
        <w:t>（2）查询截止时点：成交通知书发出前；</w:t>
      </w:r>
    </w:p>
    <w:p>
      <w:pPr>
        <w:spacing w:line="460" w:lineRule="exact"/>
        <w:ind w:firstLine="480" w:firstLineChars="200"/>
        <w:rPr>
          <w:rFonts w:hint="eastAsia" w:ascii="宋体" w:hAnsi="宋体" w:cs="宋体"/>
          <w:sz w:val="24"/>
        </w:rPr>
      </w:pPr>
      <w:r>
        <w:rPr>
          <w:rFonts w:hint="eastAsia" w:ascii="宋体" w:hAnsi="宋体" w:cs="宋体"/>
          <w:sz w:val="24"/>
        </w:rPr>
        <w:t>（3）信用信息查询记录和证据留存方式：在查询网站中直接打印查询记录，打印材料作为采购活动资料保存。</w:t>
      </w:r>
    </w:p>
    <w:p>
      <w:pPr>
        <w:spacing w:line="460" w:lineRule="exact"/>
        <w:ind w:firstLine="480" w:firstLineChars="200"/>
        <w:rPr>
          <w:rFonts w:hint="eastAsia" w:hAnsi="宋体" w:cs="Arial"/>
          <w:sz w:val="24"/>
        </w:rPr>
      </w:pPr>
      <w:r>
        <w:rPr>
          <w:rFonts w:hint="eastAsia" w:ascii="宋体" w:hAnsi="宋体" w:cs="宋体"/>
          <w:sz w:val="24"/>
        </w:rPr>
        <w:t>（4）信用</w:t>
      </w:r>
      <w:r>
        <w:rPr>
          <w:rFonts w:hint="eastAsia" w:hAnsi="宋体" w:cs="Arial"/>
          <w:sz w:val="24"/>
        </w:rPr>
        <w:t>信息使用规则：对在“信用中国</w:t>
      </w:r>
      <w:r>
        <w:rPr>
          <w:rFonts w:hint="eastAsia" w:ascii="宋体" w:hAnsi="宋体" w:cs="宋体"/>
          <w:sz w:val="24"/>
        </w:rPr>
        <w:t>”网站(www.creditchina.gov.cn)、中国政府采购网(www.ccgp.gov.cn)等</w:t>
      </w:r>
      <w:r>
        <w:rPr>
          <w:rFonts w:hint="eastAsia" w:hAnsi="宋体" w:cs="Arial"/>
          <w:sz w:val="24"/>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标报告中谈判小组推荐成交候选供应商排序表确定排名第二的成交候选供应商为成交供应商或者重新组织采购。</w:t>
      </w:r>
    </w:p>
    <w:p>
      <w:pPr>
        <w:spacing w:line="460" w:lineRule="exact"/>
        <w:ind w:firstLine="480" w:firstLineChars="200"/>
        <w:outlineLvl w:val="3"/>
        <w:rPr>
          <w:rFonts w:hint="eastAsia" w:ascii="宋体" w:hAnsi="宋体" w:cs="宋体"/>
          <w:b/>
          <w:sz w:val="24"/>
        </w:rPr>
      </w:pPr>
      <w:r>
        <w:rPr>
          <w:rFonts w:hint="eastAsia" w:ascii="宋体" w:hAnsi="宋体" w:cs="宋体"/>
          <w:b/>
          <w:sz w:val="24"/>
        </w:rPr>
        <w:t>29.解释权</w:t>
      </w:r>
      <w:bookmarkEnd w:id="125"/>
      <w:bookmarkEnd w:id="126"/>
      <w:bookmarkEnd w:id="127"/>
    </w:p>
    <w:p>
      <w:pPr>
        <w:pStyle w:val="11"/>
        <w:spacing w:line="460" w:lineRule="exact"/>
        <w:ind w:firstLine="480" w:firstLineChars="200"/>
        <w:rPr>
          <w:rFonts w:hint="eastAsia" w:hAnsi="宋体" w:cs="宋体"/>
          <w:sz w:val="24"/>
          <w:szCs w:val="24"/>
        </w:rPr>
      </w:pPr>
      <w:r>
        <w:rPr>
          <w:rFonts w:hint="eastAsia" w:hAnsi="宋体" w:cs="宋体"/>
          <w:sz w:val="24"/>
          <w:szCs w:val="24"/>
        </w:rPr>
        <w:t>29.1本谈判文件是根据国家有关法律、法规以及政府采购管理有关规定和参照国际惯例编制，解释权属本采购代理机构。</w:t>
      </w:r>
    </w:p>
    <w:p>
      <w:pPr>
        <w:spacing w:line="460" w:lineRule="exact"/>
        <w:ind w:firstLine="480" w:firstLineChars="200"/>
        <w:outlineLvl w:val="3"/>
        <w:rPr>
          <w:rFonts w:hint="eastAsia" w:ascii="宋体" w:hAnsi="宋体" w:cs="宋体"/>
          <w:b/>
          <w:sz w:val="24"/>
        </w:rPr>
      </w:pPr>
      <w:bookmarkStart w:id="128" w:name="_Toc182358697"/>
      <w:bookmarkStart w:id="129" w:name="_Toc322015386"/>
      <w:bookmarkStart w:id="130" w:name="_Toc322074160"/>
      <w:r>
        <w:rPr>
          <w:rFonts w:hint="eastAsia" w:ascii="宋体" w:hAnsi="宋体" w:cs="宋体"/>
          <w:b/>
          <w:sz w:val="24"/>
        </w:rPr>
        <w:t>30.有关事宜</w:t>
      </w:r>
      <w:bookmarkEnd w:id="128"/>
      <w:bookmarkEnd w:id="129"/>
      <w:bookmarkEnd w:id="130"/>
    </w:p>
    <w:p>
      <w:pPr>
        <w:spacing w:line="460" w:lineRule="exact"/>
        <w:ind w:firstLine="480" w:firstLineChars="200"/>
        <w:rPr>
          <w:rFonts w:hint="eastAsia" w:ascii="宋体" w:hAnsi="宋体" w:cs="宋体"/>
          <w:sz w:val="24"/>
        </w:rPr>
      </w:pPr>
      <w:r>
        <w:rPr>
          <w:rFonts w:hint="eastAsia" w:ascii="宋体" w:hAnsi="宋体" w:cs="宋体"/>
          <w:sz w:val="24"/>
        </w:rPr>
        <w:t>30.1所有与本谈判文件有关的函电请按下列通讯地址联系：</w:t>
      </w:r>
    </w:p>
    <w:p>
      <w:pPr>
        <w:pStyle w:val="11"/>
        <w:spacing w:line="460" w:lineRule="exact"/>
        <w:ind w:firstLine="960" w:firstLineChars="400"/>
        <w:rPr>
          <w:rFonts w:hint="eastAsia" w:hAnsi="宋体" w:cs="宋体"/>
          <w:sz w:val="24"/>
          <w:szCs w:val="24"/>
        </w:rPr>
      </w:pPr>
      <w:r>
        <w:rPr>
          <w:rFonts w:hint="eastAsia" w:hAnsi="宋体" w:cs="宋体"/>
          <w:sz w:val="24"/>
          <w:szCs w:val="24"/>
        </w:rPr>
        <w:t>采购代理机构：广西鸿业建设工程管理咨询有限公司</w:t>
      </w:r>
    </w:p>
    <w:p>
      <w:pPr>
        <w:pStyle w:val="11"/>
        <w:spacing w:line="460" w:lineRule="exact"/>
        <w:ind w:firstLine="960" w:firstLineChars="400"/>
        <w:rPr>
          <w:rFonts w:hint="eastAsia" w:hAnsi="宋体" w:cs="宋体"/>
          <w:sz w:val="24"/>
          <w:szCs w:val="24"/>
        </w:rPr>
      </w:pPr>
      <w:r>
        <w:rPr>
          <w:rFonts w:hint="eastAsia" w:hAnsi="宋体" w:cs="宋体"/>
          <w:sz w:val="24"/>
          <w:szCs w:val="24"/>
        </w:rPr>
        <w:t>通讯地址：广西北海市合浦县廉州镇廉东大道85号穗丰大厦三楼</w:t>
      </w:r>
    </w:p>
    <w:p>
      <w:pPr>
        <w:pStyle w:val="11"/>
        <w:spacing w:line="460" w:lineRule="exact"/>
        <w:ind w:firstLine="960" w:firstLineChars="400"/>
        <w:rPr>
          <w:rFonts w:hint="eastAsia" w:hAnsi="宋体" w:cs="宋体"/>
          <w:sz w:val="24"/>
          <w:szCs w:val="24"/>
        </w:rPr>
      </w:pPr>
      <w:r>
        <w:rPr>
          <w:rFonts w:hint="eastAsia" w:hAnsi="宋体" w:cs="宋体"/>
          <w:sz w:val="24"/>
          <w:szCs w:val="24"/>
        </w:rPr>
        <w:t>邮政编码：536100</w:t>
      </w:r>
    </w:p>
    <w:p>
      <w:pPr>
        <w:pStyle w:val="11"/>
        <w:spacing w:line="460" w:lineRule="exact"/>
        <w:ind w:firstLine="960" w:firstLineChars="400"/>
        <w:rPr>
          <w:rFonts w:hint="eastAsia" w:hAnsi="宋体" w:cs="宋体"/>
          <w:sz w:val="24"/>
          <w:szCs w:val="24"/>
        </w:rPr>
      </w:pPr>
      <w:r>
        <w:rPr>
          <w:rFonts w:hint="eastAsia" w:hAnsi="宋体" w:cs="宋体"/>
          <w:sz w:val="24"/>
          <w:szCs w:val="24"/>
        </w:rPr>
        <w:t>电    话：0779-2696039</w:t>
      </w:r>
    </w:p>
    <w:p>
      <w:pPr>
        <w:pStyle w:val="11"/>
        <w:spacing w:line="460" w:lineRule="exact"/>
        <w:ind w:firstLine="960" w:firstLineChars="400"/>
        <w:rPr>
          <w:rFonts w:hint="eastAsia" w:hAnsi="宋体" w:cs="宋体"/>
          <w:sz w:val="24"/>
          <w:szCs w:val="24"/>
        </w:rPr>
      </w:pPr>
      <w:r>
        <w:rPr>
          <w:rFonts w:hint="eastAsia" w:hAnsi="宋体" w:cs="宋体"/>
          <w:sz w:val="24"/>
          <w:szCs w:val="24"/>
        </w:rPr>
        <w:t xml:space="preserve">联 系 人：沈菊 </w:t>
      </w: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pStyle w:val="11"/>
        <w:spacing w:line="460" w:lineRule="exact"/>
        <w:ind w:firstLine="480" w:firstLineChars="200"/>
        <w:rPr>
          <w:rFonts w:hint="eastAsia" w:hAnsi="宋体" w:cs="宋体"/>
          <w:sz w:val="24"/>
          <w:szCs w:val="24"/>
        </w:rPr>
      </w:pPr>
    </w:p>
    <w:p>
      <w:pPr>
        <w:jc w:val="center"/>
        <w:outlineLvl w:val="1"/>
        <w:rPr>
          <w:rFonts w:hint="eastAsia" w:ascii="宋体" w:hAnsi="宋体" w:cs="宋体"/>
          <w:b/>
          <w:sz w:val="32"/>
          <w:szCs w:val="32"/>
        </w:rPr>
      </w:pPr>
      <w:bookmarkStart w:id="131" w:name="_Toc6488"/>
      <w:r>
        <w:rPr>
          <w:rFonts w:hint="eastAsia" w:ascii="宋体" w:hAnsi="宋体" w:cs="宋体"/>
          <w:b/>
          <w:sz w:val="44"/>
          <w:szCs w:val="44"/>
        </w:rPr>
        <w:t>第二章 货物需求一览表</w:t>
      </w:r>
      <w:bookmarkEnd w:id="131"/>
    </w:p>
    <w:p>
      <w:pPr>
        <w:spacing w:line="440" w:lineRule="exact"/>
        <w:ind w:left="589" w:leftChars="225" w:right="96" w:rightChars="46" w:hanging="117" w:hangingChars="49"/>
        <w:rPr>
          <w:rFonts w:hint="eastAsia" w:ascii="宋体" w:hAnsi="宋体" w:cs="宋体"/>
          <w:b/>
          <w:sz w:val="24"/>
        </w:rPr>
      </w:pPr>
      <w:r>
        <w:rPr>
          <w:rFonts w:hint="eastAsia" w:ascii="宋体" w:hAnsi="宋体" w:cs="宋体"/>
          <w:b/>
          <w:sz w:val="24"/>
        </w:rPr>
        <w:t>说明：</w:t>
      </w:r>
    </w:p>
    <w:p>
      <w:pPr>
        <w:spacing w:line="440" w:lineRule="exact"/>
        <w:ind w:left="589" w:leftChars="225" w:right="96" w:rightChars="46" w:hanging="117" w:hangingChars="49"/>
        <w:rPr>
          <w:rFonts w:hint="eastAsia" w:ascii="宋体" w:hAnsi="宋体"/>
          <w:b/>
          <w:bCs/>
          <w:sz w:val="24"/>
        </w:rPr>
      </w:pPr>
      <w:r>
        <w:rPr>
          <w:rFonts w:hint="eastAsia" w:ascii="宋体" w:hAnsi="宋体"/>
          <w:b/>
          <w:bCs/>
          <w:sz w:val="24"/>
        </w:rPr>
        <w:t>1、下表的品牌型号、技术参数仅起参考作用，供应商可选用其他品牌型号替代，但这些</w:t>
      </w:r>
    </w:p>
    <w:p>
      <w:pPr>
        <w:spacing w:line="440" w:lineRule="exact"/>
        <w:ind w:right="96" w:rightChars="46"/>
        <w:rPr>
          <w:rFonts w:hint="eastAsia" w:ascii="宋体" w:hAnsi="宋体"/>
          <w:b/>
          <w:bCs/>
          <w:sz w:val="24"/>
        </w:rPr>
      </w:pPr>
      <w:r>
        <w:rPr>
          <w:rFonts w:hint="eastAsia" w:ascii="宋体" w:hAnsi="宋体"/>
          <w:b/>
          <w:bCs/>
          <w:sz w:val="24"/>
        </w:rPr>
        <w:t>替代的产品要实质上相当于或优于参考品牌型号及其技术参数性能（配置）要求。</w:t>
      </w:r>
    </w:p>
    <w:p>
      <w:pPr>
        <w:spacing w:line="440" w:lineRule="exact"/>
        <w:ind w:right="96" w:rightChars="46" w:firstLine="480" w:firstLineChars="200"/>
        <w:rPr>
          <w:rFonts w:hint="eastAsia" w:ascii="宋体" w:hAnsi="宋体"/>
          <w:b/>
          <w:bCs/>
          <w:sz w:val="24"/>
        </w:rPr>
      </w:pPr>
      <w:r>
        <w:rPr>
          <w:rFonts w:hint="eastAsia" w:ascii="宋体" w:hAnsi="宋体"/>
          <w:b/>
          <w:bCs/>
          <w:sz w:val="24"/>
        </w:rPr>
        <w:t>2、本</w:t>
      </w:r>
      <w:r>
        <w:rPr>
          <w:rFonts w:ascii="宋体" w:hAnsi="宋体"/>
          <w:b/>
          <w:bCs/>
          <w:sz w:val="24"/>
        </w:rPr>
        <w:t>一览表中</w:t>
      </w:r>
      <w:r>
        <w:rPr>
          <w:rFonts w:hint="eastAsia" w:ascii="宋体" w:hAnsi="宋体"/>
          <w:b/>
          <w:bCs/>
          <w:sz w:val="24"/>
        </w:rPr>
        <w:t>参考品牌</w:t>
      </w:r>
      <w:r>
        <w:rPr>
          <w:rFonts w:ascii="宋体" w:hAnsi="宋体"/>
          <w:b/>
          <w:bCs/>
          <w:sz w:val="24"/>
        </w:rPr>
        <w:t>型号及技术参数</w:t>
      </w:r>
      <w:r>
        <w:rPr>
          <w:rFonts w:hint="eastAsia" w:ascii="宋体" w:hAnsi="宋体"/>
          <w:b/>
          <w:bCs/>
          <w:sz w:val="24"/>
        </w:rPr>
        <w:t>性能（配置）</w:t>
      </w:r>
      <w:r>
        <w:rPr>
          <w:rFonts w:ascii="宋体" w:hAnsi="宋体"/>
          <w:b/>
          <w:bCs/>
          <w:sz w:val="24"/>
        </w:rPr>
        <w:t>不明确或有误的，</w:t>
      </w:r>
      <w:r>
        <w:rPr>
          <w:rFonts w:hint="eastAsia" w:ascii="宋体" w:hAnsi="宋体"/>
          <w:b/>
          <w:bCs/>
          <w:sz w:val="24"/>
        </w:rPr>
        <w:t>或供应商选用其他品牌型号替代的，</w:t>
      </w:r>
      <w:r>
        <w:rPr>
          <w:rFonts w:ascii="宋体" w:hAnsi="宋体"/>
          <w:b/>
          <w:bCs/>
          <w:sz w:val="24"/>
        </w:rPr>
        <w:t>请以详细、正确的</w:t>
      </w:r>
      <w:r>
        <w:rPr>
          <w:rFonts w:hint="eastAsia" w:ascii="宋体" w:hAnsi="宋体"/>
          <w:b/>
          <w:bCs/>
          <w:sz w:val="24"/>
        </w:rPr>
        <w:t>品牌型号</w:t>
      </w:r>
      <w:r>
        <w:rPr>
          <w:rFonts w:ascii="宋体" w:hAnsi="宋体"/>
          <w:b/>
          <w:bCs/>
          <w:sz w:val="24"/>
        </w:rPr>
        <w:t>、技术参数</w:t>
      </w:r>
      <w:r>
        <w:rPr>
          <w:rFonts w:hint="eastAsia" w:ascii="宋体" w:hAnsi="宋体"/>
          <w:b/>
          <w:bCs/>
          <w:sz w:val="24"/>
        </w:rPr>
        <w:t>性能（配置）</w:t>
      </w:r>
      <w:r>
        <w:rPr>
          <w:rFonts w:ascii="宋体" w:hAnsi="宋体"/>
          <w:b/>
          <w:bCs/>
          <w:sz w:val="24"/>
        </w:rPr>
        <w:t>填写</w:t>
      </w:r>
      <w:r>
        <w:rPr>
          <w:rFonts w:hint="eastAsia" w:ascii="宋体" w:hAnsi="宋体"/>
          <w:b/>
          <w:bCs/>
          <w:sz w:val="24"/>
        </w:rPr>
        <w:t>竞</w:t>
      </w:r>
      <w:r>
        <w:rPr>
          <w:rFonts w:ascii="宋体" w:hAnsi="宋体"/>
          <w:b/>
          <w:bCs/>
          <w:sz w:val="24"/>
        </w:rPr>
        <w:t>标报价表</w:t>
      </w:r>
      <w:r>
        <w:rPr>
          <w:rFonts w:hint="eastAsia" w:ascii="宋体" w:hAnsi="宋体"/>
          <w:b/>
          <w:bCs/>
          <w:sz w:val="24"/>
        </w:rPr>
        <w:t>和技术规格偏离表</w:t>
      </w:r>
      <w:r>
        <w:rPr>
          <w:rFonts w:ascii="宋体" w:hAnsi="宋体"/>
          <w:b/>
          <w:bCs/>
          <w:sz w:val="24"/>
        </w:rPr>
        <w:t>。</w:t>
      </w:r>
      <w:r>
        <w:rPr>
          <w:rFonts w:hint="eastAsia" w:ascii="宋体" w:hAnsi="宋体"/>
          <w:b/>
          <w:bCs/>
          <w:sz w:val="24"/>
        </w:rPr>
        <w:t>供应商须根据技术参数及性能配置要求提供对应的技术响应偏离表。</w:t>
      </w:r>
    </w:p>
    <w:p>
      <w:pPr>
        <w:spacing w:line="440" w:lineRule="exact"/>
        <w:ind w:right="96" w:rightChars="46" w:firstLine="480" w:firstLineChars="200"/>
        <w:rPr>
          <w:rFonts w:hint="eastAsia" w:ascii="宋体" w:hAnsi="宋体"/>
          <w:b/>
          <w:bCs/>
          <w:sz w:val="24"/>
        </w:rPr>
      </w:pPr>
      <w:r>
        <w:rPr>
          <w:rFonts w:hint="eastAsia" w:ascii="宋体" w:hAnsi="宋体"/>
          <w:b/>
          <w:bCs/>
          <w:sz w:val="24"/>
        </w:rPr>
        <w:t>3、允许偏离的技术、性能指标或者辅助功能项目发生负偏离达3项（含）以上的竞标</w:t>
      </w:r>
      <w:r>
        <w:rPr>
          <w:rFonts w:hint="eastAsia" w:ascii="宋体" w:hAnsi="宋体"/>
          <w:b/>
          <w:bCs/>
          <w:sz w:val="24"/>
        </w:rPr>
        <w:tab/>
      </w:r>
      <w:r>
        <w:rPr>
          <w:rFonts w:hint="eastAsia" w:ascii="宋体" w:hAnsi="宋体"/>
          <w:b/>
          <w:bCs/>
          <w:sz w:val="24"/>
        </w:rPr>
        <w:t>无效。</w:t>
      </w:r>
    </w:p>
    <w:p>
      <w:pPr>
        <w:spacing w:line="440" w:lineRule="exact"/>
        <w:ind w:right="96" w:rightChars="46" w:firstLine="480" w:firstLineChars="200"/>
        <w:rPr>
          <w:rFonts w:hint="eastAsia" w:ascii="宋体" w:hAnsi="宋体"/>
          <w:b/>
          <w:bCs/>
          <w:sz w:val="24"/>
        </w:rPr>
      </w:pPr>
      <w:r>
        <w:rPr>
          <w:rFonts w:hint="eastAsia" w:ascii="宋体" w:hAnsi="宋体"/>
          <w:b/>
          <w:bCs/>
          <w:sz w:val="24"/>
        </w:rPr>
        <w:t>4、标</w:t>
      </w:r>
      <w:r>
        <w:rPr>
          <w:rFonts w:hint="eastAsia" w:ascii="宋体" w:hAnsi="宋体" w:cs="宋体"/>
          <w:sz w:val="24"/>
        </w:rPr>
        <w:t>★</w:t>
      </w:r>
      <w:r>
        <w:rPr>
          <w:rFonts w:hint="eastAsia" w:ascii="宋体" w:hAnsi="宋体"/>
          <w:b/>
          <w:bCs/>
          <w:sz w:val="24"/>
        </w:rPr>
        <w:t>的技术、性能指标或者辅助功能项目必须满足要求，否则竞标无效。</w:t>
      </w:r>
    </w:p>
    <w:p>
      <w:pPr>
        <w:spacing w:afterLines="50" w:line="440" w:lineRule="exact"/>
        <w:ind w:right="96" w:rightChars="46" w:firstLine="480" w:firstLineChars="200"/>
        <w:rPr>
          <w:rFonts w:hint="eastAsia" w:ascii="宋体" w:hAnsi="宋体"/>
          <w:b/>
          <w:bCs/>
          <w:sz w:val="24"/>
        </w:rPr>
      </w:pPr>
      <w:r>
        <w:rPr>
          <w:rFonts w:hint="eastAsia" w:ascii="宋体" w:hAnsi="宋体"/>
          <w:b/>
          <w:bCs/>
          <w:sz w:val="24"/>
        </w:rPr>
        <w:t>5、本项目的政府采购预算为人民币</w:t>
      </w:r>
      <w:r>
        <w:rPr>
          <w:rFonts w:hint="eastAsia" w:ascii="宋体" w:hAnsi="宋体"/>
          <w:b/>
          <w:bCs/>
          <w:sz w:val="24"/>
          <w:u w:val="single"/>
        </w:rPr>
        <w:t>玖拾壹万元整（￥910000.00元）</w:t>
      </w:r>
      <w:r>
        <w:rPr>
          <w:rFonts w:hint="eastAsia" w:ascii="宋体" w:hAnsi="宋体"/>
          <w:b/>
          <w:bCs/>
          <w:sz w:val="24"/>
        </w:rPr>
        <w:t>， 超过上述采购预算的报价将视为作无效竞标。</w:t>
      </w:r>
    </w:p>
    <w:tbl>
      <w:tblPr>
        <w:tblStyle w:val="25"/>
        <w:tblW w:w="0" w:type="auto"/>
        <w:tblInd w:w="327" w:type="dxa"/>
        <w:shd w:val="clear" w:color="auto" w:fill="FFFFFF"/>
        <w:tblLayout w:type="fixed"/>
        <w:tblCellMar>
          <w:top w:w="0" w:type="dxa"/>
          <w:left w:w="0" w:type="dxa"/>
          <w:bottom w:w="0" w:type="dxa"/>
          <w:right w:w="0" w:type="dxa"/>
        </w:tblCellMar>
      </w:tblPr>
      <w:tblGrid>
        <w:gridCol w:w="1417"/>
        <w:gridCol w:w="616"/>
        <w:gridCol w:w="675"/>
        <w:gridCol w:w="5895"/>
        <w:gridCol w:w="734"/>
      </w:tblGrid>
      <w:tr>
        <w:tblPrEx>
          <w:shd w:val="clear" w:color="auto" w:fill="FFFFFF"/>
        </w:tblPrEx>
        <w:trPr>
          <w:trHeight w:val="520" w:hRule="atLeast"/>
        </w:trPr>
        <w:tc>
          <w:tcPr>
            <w:tcW w:w="1417" w:type="dxa"/>
            <w:tcBorders>
              <w:top w:val="single" w:color="auto" w:sz="8" w:space="0"/>
              <w:left w:val="single" w:color="auto" w:sz="4" w:space="0"/>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rPr>
            </w:pPr>
            <w:bookmarkStart w:id="132" w:name="_Toc147248435"/>
            <w:bookmarkStart w:id="133" w:name="_Toc156106970"/>
            <w:bookmarkStart w:id="134" w:name="_Toc182358699"/>
            <w:bookmarkStart w:id="135" w:name="_Toc282534908"/>
            <w:bookmarkStart w:id="136" w:name="_Toc322015388"/>
            <w:r>
              <w:rPr>
                <w:rFonts w:hint="eastAsia" w:ascii="宋体" w:hAnsi="宋体" w:cs="宋体"/>
                <w:b/>
                <w:bCs/>
                <w:sz w:val="24"/>
              </w:rPr>
              <w:t>货物名称</w:t>
            </w:r>
          </w:p>
        </w:tc>
        <w:tc>
          <w:tcPr>
            <w:tcW w:w="616"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数量</w:t>
            </w:r>
          </w:p>
        </w:tc>
        <w:tc>
          <w:tcPr>
            <w:tcW w:w="67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单位</w:t>
            </w:r>
          </w:p>
        </w:tc>
        <w:tc>
          <w:tcPr>
            <w:tcW w:w="589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技术性能参数</w:t>
            </w:r>
          </w:p>
        </w:tc>
        <w:tc>
          <w:tcPr>
            <w:tcW w:w="73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备注</w:t>
            </w:r>
          </w:p>
        </w:tc>
      </w:tr>
      <w:tr>
        <w:tblPrEx>
          <w:shd w:val="clear" w:color="auto" w:fill="FFFFFF"/>
          <w:tblCellMar>
            <w:top w:w="0" w:type="dxa"/>
            <w:left w:w="0" w:type="dxa"/>
            <w:bottom w:w="0" w:type="dxa"/>
            <w:right w:w="0" w:type="dxa"/>
          </w:tblCellMar>
        </w:tblPrEx>
        <w:trPr>
          <w:trHeight w:val="330" w:hRule="atLeast"/>
        </w:trPr>
        <w:tc>
          <w:tcPr>
            <w:tcW w:w="1417" w:type="dxa"/>
            <w:tcBorders>
              <w:top w:val="single" w:color="auto" w:sz="8" w:space="0"/>
              <w:left w:val="single" w:color="auto" w:sz="4" w:space="0"/>
              <w:bottom w:val="single" w:color="auto" w:sz="8" w:space="0"/>
              <w:right w:val="single" w:color="auto" w:sz="4" w:space="0"/>
            </w:tcBorders>
            <w:shd w:val="clear" w:color="auto" w:fill="FFFFFF"/>
            <w:tcMar>
              <w:top w:w="0" w:type="dxa"/>
              <w:left w:w="57" w:type="dxa"/>
              <w:bottom w:w="0" w:type="dxa"/>
              <w:right w:w="57" w:type="dxa"/>
            </w:tcMar>
            <w:vAlign w:val="center"/>
          </w:tcPr>
          <w:p>
            <w:pPr>
              <w:tabs>
                <w:tab w:val="left" w:pos="485"/>
              </w:tabs>
              <w:spacing w:line="360" w:lineRule="exact"/>
              <w:jc w:val="center"/>
              <w:rPr>
                <w:rFonts w:hint="eastAsia" w:ascii="宋体" w:hAnsi="宋体" w:cs="宋体"/>
                <w:b/>
                <w:bCs/>
                <w:szCs w:val="21"/>
              </w:rPr>
            </w:pPr>
            <w:r>
              <w:rPr>
                <w:rFonts w:hint="eastAsia" w:ascii="宋体" w:hAnsi="宋体" w:cs="宋体"/>
                <w:b/>
                <w:bCs/>
                <w:szCs w:val="21"/>
              </w:rPr>
              <w:t>全自动生化仪</w:t>
            </w:r>
          </w:p>
        </w:tc>
        <w:tc>
          <w:tcPr>
            <w:tcW w:w="616" w:type="dxa"/>
            <w:tcBorders>
              <w:top w:val="single" w:color="auto" w:sz="8" w:space="0"/>
              <w:left w:val="single" w:color="auto" w:sz="4" w:space="0"/>
              <w:bottom w:val="single" w:color="auto" w:sz="8" w:space="0"/>
              <w:right w:val="single" w:color="auto" w:sz="8" w:space="0"/>
            </w:tcBorders>
            <w:shd w:val="clear" w:color="auto" w:fill="FFFFFF"/>
            <w:tcMar>
              <w:top w:w="0" w:type="dxa"/>
              <w:left w:w="57" w:type="dxa"/>
              <w:bottom w:w="0" w:type="dxa"/>
              <w:right w:w="57" w:type="dxa"/>
            </w:tcMar>
            <w:vAlign w:val="center"/>
          </w:tcPr>
          <w:p>
            <w:pPr>
              <w:spacing w:line="360" w:lineRule="exact"/>
              <w:jc w:val="center"/>
              <w:rPr>
                <w:rFonts w:hint="eastAsia" w:ascii="宋体" w:hAnsi="宋体" w:cs="宋体"/>
                <w:szCs w:val="21"/>
              </w:rPr>
            </w:pPr>
            <w:r>
              <w:rPr>
                <w:rFonts w:hint="eastAsia" w:ascii="宋体" w:hAnsi="宋体" w:cs="宋体"/>
                <w:szCs w:val="21"/>
              </w:rPr>
              <w:t>1</w:t>
            </w:r>
          </w:p>
        </w:tc>
        <w:tc>
          <w:tcPr>
            <w:tcW w:w="67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spacing w:line="360" w:lineRule="exact"/>
              <w:jc w:val="center"/>
              <w:rPr>
                <w:rFonts w:hint="eastAsia" w:ascii="宋体" w:hAnsi="宋体" w:cs="宋体"/>
                <w:szCs w:val="21"/>
              </w:rPr>
            </w:pPr>
            <w:r>
              <w:rPr>
                <w:rFonts w:hint="eastAsia" w:ascii="宋体" w:hAnsi="宋体" w:cs="宋体"/>
                <w:szCs w:val="21"/>
              </w:rPr>
              <w:t>台</w:t>
            </w:r>
          </w:p>
        </w:tc>
        <w:tc>
          <w:tcPr>
            <w:tcW w:w="589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tcPr>
          <w:p>
            <w:pPr>
              <w:pStyle w:val="101"/>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w:t>
            </w:r>
            <w:r>
              <w:rPr>
                <w:rStyle w:val="33"/>
                <w:rFonts w:hint="eastAsia" w:ascii="-webkit-standard" w:hAnsi="-webkit-standard" w:cs="Helvetica"/>
                <w:color w:val="000000"/>
              </w:rPr>
              <w:t>检测速度</w:t>
            </w:r>
            <w:r>
              <w:rPr>
                <w:rStyle w:val="33"/>
                <w:rFonts w:ascii="-webkit-standard" w:hAnsi="-webkit-standard" w:cs="Helvetica"/>
                <w:color w:val="000000"/>
              </w:rPr>
              <w:t>：纯化学比色法速度400测试/小时</w:t>
            </w:r>
            <w:r>
              <w:rPr>
                <w:rStyle w:val="33"/>
                <w:rFonts w:hint="eastAsia" w:ascii="-webkit-standard" w:hAnsi="-webkit-standard" w:cs="Helvetica"/>
                <w:color w:val="000000"/>
              </w:rPr>
              <w:t>以上</w:t>
            </w:r>
            <w:r>
              <w:rPr>
                <w:rStyle w:val="33"/>
                <w:rFonts w:ascii="-webkit-standard" w:hAnsi="-webkit-standard" w:cs="Helvetica"/>
                <w:color w:val="000000"/>
              </w:rPr>
              <w:t>；</w:t>
            </w:r>
          </w:p>
          <w:p>
            <w:pPr>
              <w:pStyle w:val="102"/>
              <w:spacing w:before="0" w:beforeAutospacing="0" w:after="0" w:afterAutospacing="0" w:line="440" w:lineRule="exact"/>
              <w:rPr>
                <w:rFonts w:ascii="Helvetica" w:hAnsi="Helvetica" w:cs="Helvetica"/>
                <w:color w:val="000000"/>
                <w:sz w:val="21"/>
                <w:szCs w:val="21"/>
              </w:rPr>
            </w:pPr>
            <w:r>
              <w:rPr>
                <w:rStyle w:val="33"/>
                <w:rFonts w:ascii="Calibri" w:hAnsi="Calibri" w:eastAsia="Calibri" w:cs="Calibri"/>
                <w:color w:val="000000"/>
              </w:rPr>
              <w:t>★</w:t>
            </w:r>
            <w:r>
              <w:rPr>
                <w:rStyle w:val="33"/>
                <w:rFonts w:ascii="-webkit-standard" w:hAnsi="-webkit-standard" w:cs="Helvetica"/>
                <w:color w:val="000000"/>
              </w:rPr>
              <w:t>2、样品输送方式：圆盘式进样，实现离机操作的自动化概念，加强对样品的再检与急诊优先灵活性；同时在线分析项目数：≥</w:t>
            </w:r>
            <w:r>
              <w:rPr>
                <w:rStyle w:val="33"/>
                <w:rFonts w:hint="eastAsia" w:ascii="-webkit-standard" w:hAnsi="-webkit-standard" w:cs="Helvetica"/>
                <w:color w:val="000000"/>
              </w:rPr>
              <w:t>36</w:t>
            </w:r>
            <w:r>
              <w:rPr>
                <w:rStyle w:val="33"/>
                <w:rFonts w:ascii="-webkit-standard" w:hAnsi="-webkit-standard" w:cs="Helvetica"/>
                <w:color w:val="000000"/>
              </w:rPr>
              <w:t>项</w:t>
            </w:r>
            <w:r>
              <w:rPr>
                <w:rStyle w:val="33"/>
                <w:rFonts w:hint="eastAsia" w:ascii="-webkit-standard" w:hAnsi="-webkit-standard" w:cs="Helvetica"/>
                <w:color w:val="000000"/>
              </w:rPr>
              <w:t>以上</w:t>
            </w:r>
            <w:r>
              <w:rPr>
                <w:rStyle w:val="33"/>
                <w:rFonts w:ascii="-webkit-standard" w:hAnsi="-webkit-standard" w:cs="Helvetica"/>
                <w:color w:val="000000"/>
              </w:rPr>
              <w:t>。</w:t>
            </w:r>
          </w:p>
          <w:p>
            <w:pPr>
              <w:pStyle w:val="103"/>
              <w:spacing w:before="0" w:beforeAutospacing="0" w:after="0" w:afterAutospacing="0" w:line="440" w:lineRule="exact"/>
              <w:rPr>
                <w:rFonts w:ascii="-webkit-standard" w:hAnsi="-webkit-standard" w:cs="Helvetica"/>
                <w:color w:val="000000"/>
              </w:rPr>
            </w:pPr>
            <w:r>
              <w:rPr>
                <w:rStyle w:val="33"/>
                <w:rFonts w:ascii="Calibri" w:hAnsi="Calibri" w:eastAsia="Calibri" w:cs="Calibri"/>
                <w:color w:val="000000"/>
              </w:rPr>
              <w:t>★</w:t>
            </w:r>
            <w:r>
              <w:rPr>
                <w:rStyle w:val="33"/>
                <w:rFonts w:ascii="-webkit-standard" w:hAnsi="-webkit-standard" w:cs="Helvetica"/>
                <w:color w:val="000000"/>
              </w:rPr>
              <w:t>3、试剂：试剂开放所有通道，试剂瓶规格分别为20ml、70ml可选，可采用1-2种试剂添加方法，试剂用量：20～270ul；每测试试剂最少反应液量≤120微升。</w:t>
            </w:r>
          </w:p>
          <w:p>
            <w:pPr>
              <w:pStyle w:val="101"/>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4、样品量：1.5～35ul（加样精度：0.1ul）。</w:t>
            </w:r>
          </w:p>
          <w:p>
            <w:pPr>
              <w:pStyle w:val="101"/>
              <w:spacing w:before="0" w:beforeAutospacing="0" w:after="0" w:afterAutospacing="0" w:line="440" w:lineRule="exact"/>
              <w:rPr>
                <w:rStyle w:val="33"/>
                <w:rFonts w:hint="eastAsia" w:ascii="-webkit-standard" w:hAnsi="-webkit-standard" w:cs="Helvetica"/>
                <w:color w:val="000000"/>
              </w:rPr>
            </w:pPr>
            <w:r>
              <w:rPr>
                <w:rStyle w:val="33"/>
                <w:rFonts w:ascii="Calibri" w:hAnsi="Calibri" w:eastAsia="Calibri" w:cs="Calibri"/>
                <w:color w:val="000000"/>
              </w:rPr>
              <w:t>★</w:t>
            </w:r>
            <w:r>
              <w:rPr>
                <w:rStyle w:val="33"/>
                <w:rFonts w:ascii="-webkit-standard" w:hAnsi="-webkit-standard" w:cs="Helvetica"/>
                <w:color w:val="000000"/>
              </w:rPr>
              <w:t>5、分光系统：无相差凹面蚀刻光栅</w:t>
            </w:r>
            <w:r>
              <w:rPr>
                <w:rStyle w:val="33"/>
                <w:rFonts w:hint="eastAsia" w:ascii="-webkit-standard" w:hAnsi="-webkit-standard" w:cs="Helvetica"/>
                <w:color w:val="000000"/>
              </w:rPr>
              <w:t>；</w:t>
            </w:r>
            <w:r>
              <w:rPr>
                <w:rStyle w:val="33"/>
                <w:rFonts w:ascii="-webkit-standard" w:hAnsi="-webkit-standard" w:cs="Helvetica"/>
                <w:color w:val="000000"/>
              </w:rPr>
              <w:t>检测波长：340-800nm；≥1</w:t>
            </w:r>
            <w:r>
              <w:rPr>
                <w:rStyle w:val="33"/>
                <w:rFonts w:hint="eastAsia" w:ascii="-webkit-standard" w:hAnsi="-webkit-standard" w:cs="Helvetica"/>
                <w:color w:val="000000"/>
              </w:rPr>
              <w:t>2</w:t>
            </w:r>
            <w:r>
              <w:rPr>
                <w:rStyle w:val="33"/>
                <w:rFonts w:ascii="-webkit-standard" w:hAnsi="-webkit-standard" w:cs="Helvetica"/>
                <w:color w:val="000000"/>
              </w:rPr>
              <w:t>个波长</w:t>
            </w:r>
            <w:r>
              <w:rPr>
                <w:rStyle w:val="33"/>
                <w:rFonts w:hint="eastAsia" w:ascii="-webkit-standard" w:hAnsi="-webkit-standard" w:cs="Helvetica"/>
                <w:color w:val="000000"/>
              </w:rPr>
              <w:t>，必须具备405nm波长；</w:t>
            </w:r>
            <w:r>
              <w:rPr>
                <w:rStyle w:val="33"/>
                <w:rFonts w:ascii="-webkit-standard" w:hAnsi="-webkit-standard" w:cs="Helvetica"/>
                <w:color w:val="000000"/>
              </w:rPr>
              <w:t>吸光度：0～3.0ABS。</w:t>
            </w:r>
          </w:p>
          <w:p>
            <w:pPr>
              <w:pStyle w:val="104"/>
              <w:spacing w:before="0" w:beforeAutospacing="0" w:after="0" w:afterAutospacing="0" w:line="440" w:lineRule="exact"/>
              <w:rPr>
                <w:rFonts w:ascii="Helvetica" w:hAnsi="Helvetica" w:cs="Helvetica"/>
                <w:color w:val="000000"/>
                <w:sz w:val="21"/>
                <w:szCs w:val="21"/>
              </w:rPr>
            </w:pPr>
            <w:r>
              <w:rPr>
                <w:rStyle w:val="33"/>
                <w:rFonts w:ascii="Calibri" w:hAnsi="Calibri" w:eastAsia="Calibri" w:cs="Calibri"/>
                <w:color w:val="000000"/>
              </w:rPr>
              <w:t>★</w:t>
            </w:r>
            <w:r>
              <w:rPr>
                <w:rStyle w:val="33"/>
                <w:rFonts w:ascii="-webkit-standard" w:hAnsi="-webkit-standard" w:cs="Helvetica"/>
                <w:color w:val="000000"/>
              </w:rPr>
              <w:t>6、反应温度：恒温方式采用循环水浴恒温，不需添加任何恒温液体；反应温度为37</w:t>
            </w:r>
            <w:r>
              <w:rPr>
                <w:rStyle w:val="33"/>
                <w:rFonts w:hint="eastAsia"/>
                <w:color w:val="000000"/>
              </w:rPr>
              <w:t>℃</w:t>
            </w:r>
            <w:r>
              <w:rPr>
                <w:rStyle w:val="33"/>
                <w:rFonts w:ascii="Times New Roman" w:hAnsi="Times New Roman" w:cs="Times New Roman"/>
                <w:color w:val="000000"/>
              </w:rPr>
              <w:t>±0.1</w:t>
            </w:r>
            <w:r>
              <w:rPr>
                <w:rStyle w:val="33"/>
                <w:rFonts w:hint="eastAsia"/>
                <w:color w:val="000000"/>
              </w:rPr>
              <w:t>℃</w:t>
            </w:r>
            <w:r>
              <w:rPr>
                <w:rStyle w:val="33"/>
                <w:rFonts w:ascii="-webkit-standard" w:hAnsi="-webkit-standard" w:cs="Helvetica"/>
                <w:color w:val="000000"/>
              </w:rPr>
              <w:t>。</w:t>
            </w:r>
          </w:p>
          <w:p>
            <w:pPr>
              <w:spacing w:line="440" w:lineRule="exact"/>
            </w:pPr>
            <w:r>
              <w:rPr>
                <w:rStyle w:val="33"/>
                <w:rFonts w:ascii="-webkit-standard" w:hAnsi="-webkit-standard" w:cs="Helvetica"/>
                <w:color w:val="000000"/>
              </w:rPr>
              <w:t>7、试剂位：单试剂盘双试剂圈设计，共有试剂位≥7</w:t>
            </w:r>
            <w:r>
              <w:rPr>
                <w:rStyle w:val="33"/>
                <w:rFonts w:hint="eastAsia" w:ascii="-webkit-standard" w:hAnsi="-webkit-standard" w:cs="Helvetica"/>
                <w:color w:val="000000"/>
              </w:rPr>
              <w:t>0</w:t>
            </w:r>
            <w:r>
              <w:rPr>
                <w:rStyle w:val="33"/>
                <w:rFonts w:ascii="-webkit-standard" w:hAnsi="-webkit-standard" w:cs="Helvetica"/>
                <w:color w:val="000000"/>
              </w:rPr>
              <w:t>个</w:t>
            </w:r>
            <w:r>
              <w:rPr>
                <w:rStyle w:val="33"/>
                <w:rFonts w:hint="eastAsia" w:ascii="-webkit-standard" w:hAnsi="-webkit-standard" w:cs="Helvetica"/>
                <w:color w:val="000000"/>
              </w:rPr>
              <w:t>以上</w:t>
            </w:r>
            <w:r>
              <w:rPr>
                <w:rStyle w:val="33"/>
                <w:rFonts w:ascii="-webkit-standard" w:hAnsi="-webkit-standard" w:cs="Helvetica"/>
                <w:color w:val="000000"/>
              </w:rPr>
              <w:t>。</w:t>
            </w:r>
          </w:p>
          <w:p>
            <w:pPr>
              <w:pStyle w:val="101"/>
              <w:spacing w:before="0" w:beforeAutospacing="0" w:after="0" w:afterAutospacing="0" w:line="440" w:lineRule="exact"/>
              <w:rPr>
                <w:rFonts w:ascii="Helvetica" w:hAnsi="Helvetica" w:cs="Helvetica"/>
                <w:color w:val="000000"/>
                <w:sz w:val="21"/>
                <w:szCs w:val="21"/>
              </w:rPr>
            </w:pPr>
            <w:r>
              <w:rPr>
                <w:rStyle w:val="33"/>
                <w:rFonts w:ascii="Calibri" w:hAnsi="Calibri" w:eastAsia="Calibri" w:cs="Calibri"/>
                <w:color w:val="000000"/>
              </w:rPr>
              <w:t>★</w:t>
            </w:r>
            <w:r>
              <w:rPr>
                <w:rStyle w:val="33"/>
                <w:rFonts w:ascii="-webkit-standard" w:hAnsi="-webkit-standard" w:cs="Helvetica"/>
                <w:color w:val="000000"/>
              </w:rPr>
              <w:t>8、反应时间：3、4、5、10分钟等多种反应时间任选，可根据具体项目要求设定，可在方法学上满足不同项目在反应时间上的要求。</w:t>
            </w:r>
          </w:p>
          <w:p>
            <w:pPr>
              <w:pStyle w:val="101"/>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9、搅拌方式：加入试剂后立即搅拌，采用船浆型搅拌棒进行搅拌。</w:t>
            </w:r>
          </w:p>
          <w:p>
            <w:pPr>
              <w:pStyle w:val="101"/>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10、分析方法：≥8种（含1点法、2点终点法、2点速率法、3点法、1点&amp;速率法、速率A法、速率B法）</w:t>
            </w:r>
          </w:p>
          <w:p>
            <w:pPr>
              <w:pStyle w:val="105"/>
              <w:spacing w:before="0" w:beforeAutospacing="0" w:after="0" w:afterAutospacing="0" w:line="440" w:lineRule="exact"/>
              <w:rPr>
                <w:rFonts w:ascii="Helvetica" w:hAnsi="Helvetica" w:cs="Helvetica"/>
                <w:color w:val="000000"/>
                <w:sz w:val="21"/>
                <w:szCs w:val="21"/>
              </w:rPr>
            </w:pPr>
            <w:r>
              <w:rPr>
                <w:rStyle w:val="33"/>
                <w:rFonts w:ascii="Calibri" w:hAnsi="Calibri" w:eastAsia="Calibri" w:cs="Calibri"/>
                <w:color w:val="000000"/>
              </w:rPr>
              <w:t>★</w:t>
            </w:r>
            <w:r>
              <w:rPr>
                <w:rStyle w:val="33"/>
                <w:rFonts w:ascii="-webkit-standard" w:hAnsi="-webkit-standard" w:cs="Helvetica"/>
                <w:color w:val="000000"/>
              </w:rPr>
              <w:t>11、反应杯采用半永久性</w:t>
            </w:r>
            <w:r>
              <w:rPr>
                <w:rStyle w:val="33"/>
                <w:rFonts w:hint="eastAsia" w:ascii="-webkit-standard" w:hAnsi="-webkit-standard" w:cs="Helvetica"/>
                <w:color w:val="000000"/>
              </w:rPr>
              <w:t>硬质UV</w:t>
            </w:r>
            <w:r>
              <w:rPr>
                <w:rStyle w:val="33"/>
                <w:rFonts w:ascii="-webkit-standard" w:hAnsi="-webkit-standard" w:cs="Helvetica"/>
                <w:color w:val="000000"/>
              </w:rPr>
              <w:t>塑料杯，</w:t>
            </w:r>
            <w:r>
              <w:rPr>
                <w:rStyle w:val="33"/>
                <w:rFonts w:hint="eastAsia" w:ascii="-webkit-standard" w:hAnsi="-webkit-standard" w:cs="Helvetica"/>
                <w:color w:val="000000"/>
              </w:rPr>
              <w:t>可反复多次使用，</w:t>
            </w:r>
            <w:r>
              <w:rPr>
                <w:rStyle w:val="33"/>
                <w:rFonts w:ascii="-webkit-standard" w:hAnsi="-webkit-standard" w:cs="Helvetica"/>
                <w:color w:val="000000"/>
              </w:rPr>
              <w:t>有效减少交叉污染。</w:t>
            </w:r>
          </w:p>
          <w:p>
            <w:pPr>
              <w:pStyle w:val="103"/>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12、具有分析结果（监视模式）、光度计检查一览表、报警跟踪、通信跟踪等多种打印报告。</w:t>
            </w:r>
          </w:p>
          <w:p>
            <w:pPr>
              <w:pStyle w:val="105"/>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13、取样针具有自动液面感应功能，可使用采血管、样品杯、微量样品杯上机。</w:t>
            </w:r>
          </w:p>
          <w:p>
            <w:pPr>
              <w:pStyle w:val="101"/>
              <w:spacing w:before="0" w:beforeAutospacing="0" w:after="0" w:afterAutospacing="0" w:line="440" w:lineRule="exact"/>
              <w:rPr>
                <w:rFonts w:ascii="Helvetica" w:hAnsi="Helvetica" w:cs="Helvetica"/>
                <w:color w:val="000000"/>
                <w:sz w:val="21"/>
                <w:szCs w:val="21"/>
              </w:rPr>
            </w:pPr>
            <w:r>
              <w:rPr>
                <w:rStyle w:val="33"/>
                <w:rFonts w:hint="eastAsia" w:ascii="-webkit-standard" w:hAnsi="-webkit-standard" w:cs="Helvetica"/>
                <w:color w:val="000000"/>
              </w:rPr>
              <w:t>1</w:t>
            </w:r>
            <w:r>
              <w:rPr>
                <w:rStyle w:val="33"/>
                <w:rFonts w:ascii="-webkit-standard" w:hAnsi="-webkit-standard" w:cs="Helvetica"/>
                <w:color w:val="000000"/>
              </w:rPr>
              <w:t>4、定标方式：直线、折线、具有单浓度多点定标方式</w:t>
            </w:r>
          </w:p>
          <w:p>
            <w:pPr>
              <w:pStyle w:val="101"/>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15、自动检测和消除标本血清干扰指数（</w:t>
            </w:r>
            <w:bookmarkStart w:id="144" w:name="_GoBack"/>
            <w:bookmarkEnd w:id="144"/>
            <w:r>
              <w:rPr>
                <w:rStyle w:val="33"/>
                <w:rFonts w:ascii="-webkit-standard" w:hAnsi="-webkit-standard" w:cs="Helvetica"/>
                <w:color w:val="000000"/>
              </w:rPr>
              <w:t>溶血、脂血、黄疸）</w:t>
            </w:r>
          </w:p>
          <w:p>
            <w:pPr>
              <w:pStyle w:val="106"/>
              <w:spacing w:before="0" w:beforeAutospacing="0" w:after="0" w:afterAutospacing="0" w:line="440" w:lineRule="exact"/>
              <w:rPr>
                <w:rFonts w:ascii="Helvetica" w:hAnsi="Helvetica" w:cs="Helvetica"/>
                <w:color w:val="000000"/>
                <w:sz w:val="21"/>
                <w:szCs w:val="21"/>
              </w:rPr>
            </w:pPr>
            <w:r>
              <w:rPr>
                <w:rStyle w:val="33"/>
                <w:rFonts w:ascii="-webkit-standard" w:hAnsi="-webkit-standard" w:cs="Helvetica"/>
                <w:color w:val="000000"/>
              </w:rPr>
              <w:t>16、数据接口：标准RS232接口。</w:t>
            </w:r>
          </w:p>
          <w:p>
            <w:pPr>
              <w:pStyle w:val="106"/>
              <w:spacing w:before="0" w:beforeAutospacing="0" w:after="0" w:afterAutospacing="0" w:line="440" w:lineRule="exact"/>
              <w:rPr>
                <w:rStyle w:val="33"/>
                <w:rFonts w:hint="eastAsia" w:ascii="-webkit-standard" w:hAnsi="-webkit-standard" w:cs="Helvetica"/>
                <w:color w:val="000000"/>
              </w:rPr>
            </w:pPr>
            <w:r>
              <w:rPr>
                <w:rStyle w:val="33"/>
                <w:rFonts w:ascii="-webkit-standard" w:hAnsi="-webkit-standard" w:cs="Helvetica"/>
                <w:color w:val="000000"/>
              </w:rPr>
              <w:t>17、电源：接入电源为单相AC220V/50HZ。</w:t>
            </w:r>
          </w:p>
          <w:p>
            <w:pPr>
              <w:pStyle w:val="106"/>
              <w:spacing w:before="0" w:beforeAutospacing="0" w:after="0" w:afterAutospacing="0" w:line="440" w:lineRule="exact"/>
              <w:rPr>
                <w:rStyle w:val="33"/>
                <w:rFonts w:ascii="-webkit-standard" w:hAnsi="-webkit-standard" w:cs="Helvetica"/>
                <w:color w:val="auto"/>
              </w:rPr>
            </w:pPr>
            <w:r>
              <w:rPr>
                <w:rStyle w:val="33"/>
                <w:rFonts w:hint="eastAsia" w:ascii="-webkit-standard" w:hAnsi="-webkit-standard" w:cs="Helvetica"/>
                <w:color w:val="auto"/>
              </w:rPr>
              <w:t>18、配备UPS不间断电源1台，功率≥3KV。</w:t>
            </w:r>
          </w:p>
          <w:p>
            <w:pPr>
              <w:pStyle w:val="106"/>
              <w:spacing w:before="0" w:beforeAutospacing="0" w:after="0" w:afterAutospacing="0" w:line="440" w:lineRule="exact"/>
              <w:rPr>
                <w:rFonts w:hint="eastAsia"/>
                <w:sz w:val="21"/>
                <w:szCs w:val="21"/>
              </w:rPr>
            </w:pPr>
            <w:r>
              <w:rPr>
                <w:rStyle w:val="33"/>
                <w:rFonts w:hint="eastAsia" w:ascii="-webkit-standard" w:hAnsi="-webkit-standard" w:cs="Helvetica"/>
                <w:color w:val="auto"/>
              </w:rPr>
              <w:t>19、中文操作系统。</w:t>
            </w:r>
          </w:p>
        </w:tc>
        <w:tc>
          <w:tcPr>
            <w:tcW w:w="73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tcPr>
          <w:p>
            <w:pPr>
              <w:widowControl/>
              <w:spacing w:line="360" w:lineRule="exact"/>
              <w:jc w:val="left"/>
              <w:rPr>
                <w:rFonts w:hint="eastAsia" w:ascii="宋体" w:hAnsi="宋体" w:cs="宋体"/>
                <w:b/>
                <w:bCs/>
                <w:sz w:val="24"/>
              </w:rPr>
            </w:pPr>
          </w:p>
        </w:tc>
      </w:tr>
    </w:tbl>
    <w:p>
      <w:pPr>
        <w:widowControl/>
        <w:spacing w:line="360" w:lineRule="auto"/>
        <w:jc w:val="left"/>
        <w:rPr>
          <w:rFonts w:hint="eastAsia" w:ascii="宋体" w:hAnsi="宋体" w:cs="宋体"/>
          <w:b/>
          <w:sz w:val="24"/>
        </w:rPr>
      </w:pPr>
    </w:p>
    <w:p>
      <w:pPr>
        <w:widowControl/>
        <w:spacing w:line="360" w:lineRule="auto"/>
        <w:jc w:val="left"/>
        <w:rPr>
          <w:b/>
          <w:sz w:val="24"/>
        </w:rPr>
      </w:pPr>
      <w:r>
        <w:rPr>
          <w:rFonts w:hint="eastAsia" w:ascii="宋体" w:hAnsi="宋体" w:cs="宋体"/>
          <w:b/>
          <w:sz w:val="24"/>
        </w:rPr>
        <w:t>售后服务要求（未响应下述要求的，则视为竞标无效）：</w:t>
      </w:r>
    </w:p>
    <w:p>
      <w:pPr>
        <w:widowControl/>
        <w:spacing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.质保期为1年，若厂家免费质保期超过此年限的，按厂家规定执行，质保期内上门维护服务，并提供终身维护</w:t>
      </w:r>
      <w:r>
        <w:rPr>
          <w:rFonts w:ascii="宋体" w:hAnsi="宋体" w:cs="宋体"/>
          <w:kern w:val="0"/>
          <w:sz w:val="24"/>
        </w:rPr>
        <w:t>。</w:t>
      </w:r>
    </w:p>
    <w:p>
      <w:pPr>
        <w:widowControl/>
        <w:spacing w:line="360" w:lineRule="auto"/>
        <w:ind w:firstLine="480"/>
        <w:jc w:val="left"/>
        <w:rPr>
          <w:rFonts w:hint="eastAsia" w:ascii="宋体" w:hAnsi="宋体" w:cs="宋体"/>
          <w:sz w:val="24"/>
        </w:rPr>
      </w:pPr>
      <w:r>
        <w:rPr>
          <w:rFonts w:hint="eastAsia" w:ascii="宋体" w:hAnsi="宋体" w:cs="宋体"/>
          <w:sz w:val="24"/>
        </w:rPr>
        <w:t>2.培训：验收完成后在安装调试时要进行操作培训。乙方到甲方现场对用户进行现场理论和实际操作培训，培训人数不限，一直到用户可以熟练操作设备为止，提供24小时热线解决问题（提供电话备查）。所有培训费由乙方承担。</w:t>
      </w:r>
    </w:p>
    <w:p>
      <w:pPr>
        <w:widowControl/>
        <w:spacing w:line="360" w:lineRule="auto"/>
        <w:ind w:firstLine="480"/>
        <w:jc w:val="left"/>
        <w:rPr>
          <w:rFonts w:hint="eastAsia" w:ascii="宋体" w:hAnsi="宋体" w:cs="宋体"/>
          <w:sz w:val="24"/>
        </w:rPr>
      </w:pPr>
      <w:r>
        <w:rPr>
          <w:rFonts w:hint="eastAsia" w:ascii="宋体" w:hAnsi="宋体" w:cs="宋体"/>
          <w:sz w:val="24"/>
        </w:rPr>
        <w:t>3.维修响应：在省内设立维修中心，配备2名以上维修工程师，备件充足；供应商在接到用户的维修电话后1小时内响应，4小时做出处理意见，24小时内赶到事故现场，并维修更换有缺陷的货物或部件，若现场不能解决，则由供应商提供一台同种工作效果的设备作为备用机，保证买方不耽误工作。</w:t>
      </w:r>
    </w:p>
    <w:p>
      <w:pPr>
        <w:widowControl/>
        <w:spacing w:line="360" w:lineRule="auto"/>
        <w:ind w:firstLine="480"/>
        <w:jc w:val="left"/>
        <w:rPr>
          <w:rFonts w:hint="eastAsia" w:ascii="宋体" w:hAnsi="宋体" w:cs="宋体"/>
          <w:sz w:val="24"/>
        </w:rPr>
      </w:pPr>
      <w:r>
        <w:rPr>
          <w:rFonts w:hint="eastAsia" w:ascii="宋体" w:hAnsi="宋体" w:cs="宋体"/>
          <w:sz w:val="24"/>
        </w:rPr>
        <w:t>4.送货上门并卸至采购人指定地点，负责售后服务培训；交货及采购人安装调试过程中，中标人应负责安排技术指导，直至达到验收要求。</w:t>
      </w:r>
    </w:p>
    <w:p>
      <w:pPr>
        <w:widowControl/>
        <w:spacing w:line="360" w:lineRule="auto"/>
        <w:ind w:firstLine="480"/>
        <w:jc w:val="left"/>
        <w:rPr>
          <w:rFonts w:hint="eastAsia" w:ascii="宋体" w:hAnsi="宋体" w:cs="宋体"/>
          <w:sz w:val="24"/>
        </w:rPr>
      </w:pPr>
      <w:r>
        <w:rPr>
          <w:rFonts w:hint="eastAsia" w:ascii="宋体" w:hAnsi="宋体" w:cs="宋体"/>
          <w:sz w:val="24"/>
        </w:rPr>
        <w:t>5.货物必须是原厂生产的全新合格产品，产品质量须符合国家相关标准及安全规范。</w:t>
      </w:r>
    </w:p>
    <w:p>
      <w:pPr>
        <w:widowControl/>
        <w:spacing w:line="360" w:lineRule="auto"/>
        <w:ind w:firstLine="480"/>
        <w:jc w:val="left"/>
        <w:rPr>
          <w:rFonts w:hint="eastAsia" w:ascii="宋体" w:hAnsi="宋体" w:cs="宋体"/>
          <w:sz w:val="24"/>
        </w:rPr>
      </w:pPr>
      <w:r>
        <w:rPr>
          <w:rFonts w:hint="eastAsia" w:ascii="宋体" w:hAnsi="宋体" w:cs="宋体"/>
          <w:sz w:val="24"/>
        </w:rPr>
        <w:t>6.乙方交货前应对产品作出全面检查和对验收文件进行整理列出清单，作为甲方收货验收和使用的技术条件依据，检验的结果应随货物交甲方。</w:t>
      </w:r>
    </w:p>
    <w:p>
      <w:pPr>
        <w:widowControl/>
        <w:spacing w:line="360" w:lineRule="auto"/>
        <w:ind w:firstLine="480"/>
        <w:jc w:val="left"/>
        <w:rPr>
          <w:rFonts w:hint="eastAsia" w:ascii="宋体" w:hAnsi="宋体" w:cs="宋体"/>
          <w:sz w:val="24"/>
        </w:rPr>
      </w:pPr>
      <w:r>
        <w:rPr>
          <w:rFonts w:hint="eastAsia" w:ascii="宋体" w:hAnsi="宋体" w:cs="宋体"/>
          <w:sz w:val="24"/>
        </w:rPr>
        <w:t>7.甲方对乙方所交货物依照采购文件上的技术规格要求和国家有关标准进行现场验收，性能达到技术要求的，给予签收。验收不合格的不予签收，后果由乙方负责。</w:t>
      </w:r>
    </w:p>
    <w:p>
      <w:pPr>
        <w:widowControl/>
        <w:spacing w:line="360" w:lineRule="auto"/>
        <w:ind w:firstLine="480"/>
        <w:jc w:val="left"/>
        <w:rPr>
          <w:rFonts w:hint="eastAsia" w:ascii="宋体" w:hAnsi="宋体" w:cs="宋体"/>
          <w:sz w:val="24"/>
        </w:rPr>
      </w:pPr>
      <w:r>
        <w:rPr>
          <w:rFonts w:hint="eastAsia" w:ascii="宋体" w:hAnsi="宋体" w:cs="宋体"/>
          <w:sz w:val="24"/>
        </w:rPr>
        <w:t>8.交货时间：</w:t>
      </w:r>
      <w:r>
        <w:rPr>
          <w:rFonts w:hint="eastAsia" w:hAnsi="宋体" w:cs="宋体"/>
          <w:sz w:val="24"/>
        </w:rPr>
        <w:t>自签订合同之日起</w:t>
      </w:r>
      <w:r>
        <w:rPr>
          <w:rFonts w:hint="eastAsia" w:ascii="宋体" w:hAnsi="宋体" w:cs="宋体"/>
          <w:b/>
          <w:bCs/>
          <w:sz w:val="24"/>
          <w:u w:val="single"/>
        </w:rPr>
        <w:t>20</w:t>
      </w:r>
      <w:r>
        <w:rPr>
          <w:rFonts w:hint="eastAsia" w:hAnsi="宋体" w:cs="宋体"/>
          <w:sz w:val="24"/>
        </w:rPr>
        <w:t>个日历天内</w:t>
      </w:r>
      <w:r>
        <w:rPr>
          <w:rFonts w:hint="eastAsia" w:ascii="宋体" w:hAnsi="宋体" w:cs="宋体"/>
          <w:sz w:val="24"/>
        </w:rPr>
        <w:t>。</w:t>
      </w:r>
      <w:r>
        <w:rPr>
          <w:rFonts w:hint="eastAsia" w:ascii="宋体" w:hAnsi="宋体" w:cs="宋体"/>
          <w:color w:val="FF0000"/>
          <w:sz w:val="24"/>
        </w:rPr>
        <w:t xml:space="preserve">            </w:t>
      </w:r>
      <w:r>
        <w:rPr>
          <w:rFonts w:hint="eastAsia" w:ascii="宋体" w:hAnsi="宋体" w:cs="宋体"/>
          <w:sz w:val="24"/>
        </w:rPr>
        <w:t xml:space="preserve">                                              </w:t>
      </w:r>
    </w:p>
    <w:p>
      <w:pPr>
        <w:widowControl/>
        <w:spacing w:line="360" w:lineRule="auto"/>
        <w:ind w:firstLine="480"/>
        <w:jc w:val="left"/>
        <w:rPr>
          <w:rFonts w:hint="eastAsia" w:ascii="宋体" w:hAnsi="宋体" w:cs="宋体"/>
          <w:sz w:val="24"/>
        </w:rPr>
      </w:pPr>
      <w:r>
        <w:rPr>
          <w:rFonts w:hint="eastAsia" w:ascii="宋体" w:hAnsi="宋体" w:cs="宋体"/>
          <w:sz w:val="24"/>
        </w:rPr>
        <w:t>9.交货地点：合浦县人民医院</w:t>
      </w:r>
    </w:p>
    <w:p>
      <w:pPr>
        <w:widowControl/>
        <w:spacing w:line="360" w:lineRule="auto"/>
        <w:ind w:firstLine="480"/>
        <w:jc w:val="left"/>
        <w:rPr>
          <w:rFonts w:hint="eastAsia" w:ascii="宋体" w:hAnsi="宋体" w:cs="宋体"/>
          <w:sz w:val="24"/>
        </w:rPr>
      </w:pPr>
      <w:r>
        <w:rPr>
          <w:rFonts w:hint="eastAsia" w:ascii="宋体" w:hAnsi="宋体" w:cs="宋体"/>
          <w:sz w:val="24"/>
        </w:rPr>
        <w:t>10.竞争性谈判供应商必须对上述有关要求做出承诺。</w:t>
      </w:r>
    </w:p>
    <w:p>
      <w:pPr>
        <w:widowControl/>
        <w:spacing w:line="360" w:lineRule="auto"/>
        <w:ind w:firstLine="480"/>
        <w:jc w:val="left"/>
        <w:rPr>
          <w:rFonts w:hint="eastAsia" w:ascii="宋体" w:hAnsi="宋体" w:cs="宋体"/>
          <w:sz w:val="24"/>
        </w:rPr>
      </w:pPr>
    </w:p>
    <w:p>
      <w:pPr>
        <w:widowControl/>
        <w:spacing w:line="360" w:lineRule="auto"/>
        <w:ind w:firstLine="480"/>
        <w:jc w:val="left"/>
        <w:rPr>
          <w:rFonts w:hint="eastAsia" w:ascii="宋体" w:hAnsi="宋体" w:cs="宋体"/>
          <w:sz w:val="24"/>
        </w:rPr>
      </w:pPr>
    </w:p>
    <w:p>
      <w:pPr>
        <w:widowControl/>
        <w:spacing w:line="360" w:lineRule="auto"/>
        <w:jc w:val="left"/>
        <w:rPr>
          <w:rFonts w:hint="eastAsia" w:ascii="宋体" w:hAnsi="宋体" w:cs="宋体"/>
          <w:b/>
          <w:bCs/>
          <w:kern w:val="0"/>
          <w:szCs w:val="21"/>
        </w:rPr>
      </w:pPr>
      <w:r>
        <w:rPr>
          <w:rFonts w:hint="eastAsia" w:ascii="宋体" w:hAnsi="宋体" w:cs="宋体"/>
          <w:kern w:val="0"/>
          <w:sz w:val="28"/>
          <w:szCs w:val="28"/>
        </w:rPr>
        <w:br w:type="page"/>
      </w:r>
    </w:p>
    <w:p>
      <w:pPr>
        <w:widowControl/>
        <w:spacing w:line="500" w:lineRule="exact"/>
        <w:jc w:val="center"/>
        <w:outlineLvl w:val="1"/>
        <w:rPr>
          <w:rFonts w:hint="eastAsia" w:ascii="宋体" w:hAnsi="宋体" w:cs="宋体"/>
          <w:b/>
          <w:sz w:val="44"/>
          <w:szCs w:val="44"/>
        </w:rPr>
      </w:pPr>
      <w:bookmarkStart w:id="137" w:name="_Toc26168"/>
    </w:p>
    <w:p>
      <w:pPr>
        <w:widowControl/>
        <w:spacing w:line="500" w:lineRule="exact"/>
        <w:jc w:val="center"/>
        <w:outlineLvl w:val="1"/>
        <w:rPr>
          <w:rFonts w:hint="eastAsia" w:ascii="宋体" w:hAnsi="宋体" w:cs="宋体"/>
          <w:b/>
          <w:bCs/>
          <w:kern w:val="0"/>
          <w:szCs w:val="21"/>
        </w:rPr>
      </w:pPr>
      <w:r>
        <w:rPr>
          <w:rFonts w:hint="eastAsia" w:ascii="宋体" w:hAnsi="宋体" w:cs="宋体"/>
          <w:b/>
          <w:sz w:val="44"/>
          <w:szCs w:val="44"/>
        </w:rPr>
        <w:t>第三章  合同</w:t>
      </w:r>
      <w:bookmarkEnd w:id="132"/>
      <w:bookmarkEnd w:id="133"/>
      <w:bookmarkEnd w:id="134"/>
      <w:bookmarkEnd w:id="135"/>
      <w:bookmarkEnd w:id="136"/>
      <w:r>
        <w:rPr>
          <w:rFonts w:hint="eastAsia" w:ascii="宋体" w:hAnsi="宋体" w:cs="宋体"/>
          <w:b/>
          <w:sz w:val="44"/>
          <w:szCs w:val="44"/>
        </w:rPr>
        <w:t>（格式）</w:t>
      </w:r>
      <w:bookmarkEnd w:id="137"/>
    </w:p>
    <w:p>
      <w:pPr>
        <w:pStyle w:val="11"/>
        <w:spacing w:line="500" w:lineRule="exact"/>
        <w:rPr>
          <w:rFonts w:hint="eastAsia" w:hAnsi="宋体" w:cs="宋体"/>
        </w:rPr>
      </w:pPr>
      <w:r>
        <w:rPr>
          <w:rFonts w:hint="eastAsia" w:hAnsi="宋体" w:cs="宋体"/>
        </w:rPr>
        <w:t xml:space="preserve">                                  </w:t>
      </w:r>
    </w:p>
    <w:p>
      <w:pPr>
        <w:pStyle w:val="11"/>
        <w:spacing w:line="600" w:lineRule="exact"/>
        <w:jc w:val="center"/>
        <w:rPr>
          <w:rFonts w:hint="eastAsia" w:hAnsi="宋体" w:cs="宋体"/>
          <w:sz w:val="36"/>
          <w:szCs w:val="36"/>
        </w:rPr>
      </w:pPr>
      <w:bookmarkStart w:id="138" w:name="_Toc322015389"/>
    </w:p>
    <w:p>
      <w:pPr>
        <w:pStyle w:val="11"/>
        <w:spacing w:line="600" w:lineRule="exact"/>
        <w:jc w:val="center"/>
        <w:rPr>
          <w:rFonts w:hint="eastAsia" w:hAnsi="宋体" w:cs="宋体"/>
          <w:sz w:val="36"/>
          <w:szCs w:val="36"/>
        </w:rPr>
      </w:pPr>
      <w:r>
        <w:rPr>
          <w:rFonts w:hint="eastAsia" w:hAnsi="宋体" w:cs="宋体"/>
          <w:sz w:val="36"/>
          <w:szCs w:val="36"/>
        </w:rPr>
        <w:t>政府采购合同</w:t>
      </w: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600" w:lineRule="exact"/>
        <w:rPr>
          <w:rFonts w:hint="eastAsia" w:hAnsi="宋体" w:cs="宋体"/>
        </w:rPr>
      </w:pP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合同名称：</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合同编号：</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rPr>
          <w:rFonts w:hint="eastAsia" w:hAnsi="宋体" w:cs="宋体"/>
          <w:sz w:val="28"/>
          <w:szCs w:val="28"/>
        </w:rPr>
      </w:pPr>
    </w:p>
    <w:p>
      <w:pPr>
        <w:pStyle w:val="11"/>
        <w:spacing w:line="700" w:lineRule="exact"/>
        <w:ind w:firstLine="1386" w:firstLineChars="495"/>
        <w:rPr>
          <w:rFonts w:hint="eastAsia" w:hAnsi="宋体" w:cs="宋体"/>
          <w:b/>
          <w:sz w:val="28"/>
          <w:szCs w:val="28"/>
        </w:rPr>
      </w:pPr>
      <w:r>
        <w:rPr>
          <w:rFonts w:hint="eastAsia" w:hAnsi="宋体" w:cs="宋体"/>
          <w:b/>
          <w:sz w:val="28"/>
          <w:szCs w:val="28"/>
        </w:rPr>
        <w:t>采购单位（甲方）</w:t>
      </w:r>
    </w:p>
    <w:p>
      <w:pPr>
        <w:pStyle w:val="11"/>
        <w:spacing w:line="700" w:lineRule="exact"/>
        <w:ind w:firstLine="1386" w:firstLineChars="495"/>
        <w:rPr>
          <w:rFonts w:hint="eastAsia" w:hAnsi="宋体" w:cs="宋体"/>
          <w:b/>
          <w:sz w:val="28"/>
          <w:szCs w:val="28"/>
        </w:rPr>
      </w:pPr>
      <w:r>
        <w:rPr>
          <w:rFonts w:hint="eastAsia" w:hAnsi="宋体" w:cs="宋体"/>
          <w:b/>
          <w:sz w:val="28"/>
          <w:szCs w:val="28"/>
        </w:rPr>
        <w:t>供 应 商（乙方）</w:t>
      </w:r>
    </w:p>
    <w:p>
      <w:pPr>
        <w:pStyle w:val="11"/>
        <w:spacing w:line="700" w:lineRule="exact"/>
        <w:rPr>
          <w:rFonts w:hint="eastAsia" w:hAnsi="宋体" w:cs="宋体"/>
          <w:sz w:val="28"/>
          <w:szCs w:val="28"/>
        </w:rPr>
      </w:pPr>
    </w:p>
    <w:p>
      <w:pPr>
        <w:pStyle w:val="11"/>
        <w:spacing w:line="700" w:lineRule="exact"/>
        <w:ind w:firstLine="1386" w:firstLineChars="495"/>
        <w:rPr>
          <w:rFonts w:hint="eastAsia" w:hAnsi="宋体" w:cs="宋体"/>
          <w:b/>
          <w:sz w:val="28"/>
          <w:szCs w:val="28"/>
          <w:u w:val="single"/>
        </w:rPr>
      </w:pPr>
      <w:r>
        <w:rPr>
          <w:rFonts w:hint="eastAsia" w:hAnsi="宋体" w:cs="宋体"/>
          <w:b/>
          <w:sz w:val="28"/>
          <w:szCs w:val="28"/>
        </w:rPr>
        <w:t>签订合同地点：</w:t>
      </w:r>
      <w:r>
        <w:rPr>
          <w:rFonts w:hint="eastAsia" w:hAnsi="宋体" w:cs="宋体"/>
          <w:b/>
          <w:sz w:val="28"/>
          <w:szCs w:val="28"/>
          <w:u w:val="single"/>
        </w:rPr>
        <w:t xml:space="preserve">                        </w:t>
      </w:r>
      <w:r>
        <w:rPr>
          <w:rFonts w:hint="eastAsia" w:hAnsi="宋体" w:cs="宋体"/>
          <w:b/>
          <w:sz w:val="28"/>
          <w:szCs w:val="28"/>
        </w:rPr>
        <w:t xml:space="preserve"> </w:t>
      </w:r>
    </w:p>
    <w:p>
      <w:pPr>
        <w:pStyle w:val="11"/>
        <w:spacing w:line="700" w:lineRule="exact"/>
        <w:ind w:firstLine="1386" w:firstLineChars="495"/>
        <w:rPr>
          <w:rFonts w:hint="eastAsia" w:hAnsi="宋体" w:cs="宋体"/>
          <w:b/>
          <w:sz w:val="28"/>
          <w:szCs w:val="28"/>
        </w:rPr>
      </w:pPr>
      <w:r>
        <w:rPr>
          <w:rFonts w:hint="eastAsia" w:hAnsi="宋体" w:cs="宋体"/>
          <w:b/>
          <w:sz w:val="28"/>
          <w:szCs w:val="28"/>
        </w:rPr>
        <w:t>签订合同时间：</w:t>
      </w:r>
      <w:r>
        <w:rPr>
          <w:rFonts w:hint="eastAsia" w:hAnsi="宋体" w:cs="宋体"/>
          <w:b/>
          <w:sz w:val="28"/>
          <w:szCs w:val="28"/>
          <w:u w:val="single"/>
        </w:rPr>
        <w:t xml:space="preserve">                        </w:t>
      </w:r>
    </w:p>
    <w:p>
      <w:pPr>
        <w:pStyle w:val="11"/>
        <w:jc w:val="center"/>
        <w:rPr>
          <w:rFonts w:hint="eastAsia" w:hAnsi="宋体" w:cs="宋体"/>
        </w:rPr>
      </w:pPr>
    </w:p>
    <w:p>
      <w:pPr>
        <w:pStyle w:val="11"/>
        <w:jc w:val="center"/>
        <w:rPr>
          <w:rFonts w:hint="eastAsia" w:hAnsi="宋体" w:cs="宋体"/>
        </w:rPr>
      </w:pPr>
    </w:p>
    <w:p>
      <w:pPr>
        <w:pStyle w:val="11"/>
        <w:jc w:val="center"/>
        <w:rPr>
          <w:rFonts w:hint="eastAsia" w:hAnsi="宋体" w:cs="宋体"/>
        </w:rPr>
      </w:pPr>
    </w:p>
    <w:p>
      <w:pPr>
        <w:spacing w:line="600" w:lineRule="exact"/>
        <w:rPr>
          <w:rFonts w:hint="eastAsia" w:ascii="宋体" w:hAnsi="宋体" w:cs="宋体"/>
          <w:bCs/>
          <w:sz w:val="36"/>
          <w:szCs w:val="36"/>
        </w:rPr>
      </w:pPr>
    </w:p>
    <w:p>
      <w:pPr>
        <w:spacing w:line="600" w:lineRule="exact"/>
        <w:rPr>
          <w:rFonts w:hint="eastAsia" w:ascii="宋体" w:hAnsi="宋体" w:cs="宋体"/>
          <w:bCs/>
          <w:sz w:val="36"/>
          <w:szCs w:val="36"/>
        </w:rPr>
      </w:pPr>
    </w:p>
    <w:p>
      <w:pPr>
        <w:snapToGrid w:val="0"/>
        <w:spacing w:line="360" w:lineRule="exact"/>
        <w:rPr>
          <w:rFonts w:hint="eastAsia" w:ascii="宋体" w:hAnsi="宋体" w:cs="宋体"/>
          <w:b/>
          <w:bCs/>
          <w:szCs w:val="21"/>
        </w:rPr>
      </w:pPr>
    </w:p>
    <w:p>
      <w:pPr>
        <w:snapToGrid w:val="0"/>
        <w:spacing w:line="360" w:lineRule="exact"/>
        <w:jc w:val="center"/>
        <w:rPr>
          <w:rFonts w:hint="eastAsia" w:ascii="宋体" w:hAnsi="宋体" w:cs="宋体"/>
          <w:b/>
          <w:bCs/>
          <w:sz w:val="36"/>
          <w:szCs w:val="36"/>
        </w:rPr>
      </w:pPr>
      <w:r>
        <w:rPr>
          <w:rFonts w:hint="eastAsia" w:ascii="宋体" w:hAnsi="宋体" w:cs="宋体"/>
          <w:b/>
          <w:bCs/>
          <w:sz w:val="36"/>
          <w:szCs w:val="36"/>
        </w:rPr>
        <w:t>政府采购合同</w:t>
      </w:r>
    </w:p>
    <w:p>
      <w:pPr>
        <w:snapToGrid w:val="0"/>
        <w:spacing w:line="360" w:lineRule="exact"/>
        <w:ind w:right="480" w:firstLine="7140" w:firstLineChars="3400"/>
        <w:rPr>
          <w:rFonts w:hint="eastAsia" w:ascii="宋体" w:hAnsi="宋体" w:cs="宋体"/>
          <w:bCs/>
          <w:szCs w:val="21"/>
          <w:u w:val="single"/>
        </w:rPr>
      </w:pPr>
      <w:r>
        <w:rPr>
          <w:rFonts w:hint="eastAsia" w:ascii="宋体" w:hAnsi="宋体" w:cs="宋体"/>
          <w:bCs/>
          <w:szCs w:val="21"/>
        </w:rPr>
        <w:t>合同编号：</w:t>
      </w:r>
      <w:r>
        <w:rPr>
          <w:rFonts w:hint="eastAsia" w:ascii="宋体" w:hAnsi="宋体" w:cs="宋体"/>
          <w:bCs/>
          <w:szCs w:val="21"/>
          <w:u w:val="single"/>
        </w:rPr>
        <w:t xml:space="preserve">             </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u w:val="single"/>
        </w:rPr>
      </w:pPr>
      <w:r>
        <w:rPr>
          <w:rFonts w:hint="eastAsia" w:ascii="宋体" w:hAnsi="宋体" w:cs="宋体"/>
          <w:szCs w:val="21"/>
        </w:rPr>
        <w:t xml:space="preserve">采购单位（甲方）                                   </w:t>
      </w:r>
      <w:r>
        <w:rPr>
          <w:rFonts w:hint="eastAsia" w:ascii="宋体" w:hAnsi="宋体" w:cs="宋体"/>
          <w:spacing w:val="-20"/>
          <w:szCs w:val="21"/>
        </w:rPr>
        <w:t>采 购 计 划 号</w:t>
      </w:r>
    </w:p>
    <w:p>
      <w:pPr>
        <w:snapToGrid w:val="0"/>
        <w:spacing w:line="360" w:lineRule="exact"/>
        <w:rPr>
          <w:rFonts w:hint="eastAsia" w:ascii="宋体" w:hAnsi="宋体" w:cs="宋体"/>
          <w:szCs w:val="21"/>
          <w:u w:val="single"/>
        </w:rPr>
      </w:pPr>
      <w:r>
        <w:rPr>
          <w:rFonts w:hint="eastAsia" w:ascii="宋体" w:hAnsi="宋体" w:cs="宋体"/>
          <w:szCs w:val="21"/>
        </w:rPr>
        <w:t>供 应 商（乙方）                                   项目名称编号</w:t>
      </w:r>
    </w:p>
    <w:p>
      <w:pPr>
        <w:snapToGrid w:val="0"/>
        <w:spacing w:line="360" w:lineRule="exact"/>
        <w:rPr>
          <w:rFonts w:hint="eastAsia" w:ascii="宋体" w:hAnsi="宋体" w:cs="宋体"/>
          <w:szCs w:val="21"/>
          <w:u w:val="single"/>
        </w:rPr>
      </w:pPr>
      <w:r>
        <w:rPr>
          <w:rFonts w:hint="eastAsia" w:ascii="宋体" w:hAnsi="宋体" w:cs="宋体"/>
          <w:szCs w:val="21"/>
        </w:rPr>
        <w:t>签  订  地  点                                     签 订 时 间</w:t>
      </w:r>
    </w:p>
    <w:p>
      <w:pPr>
        <w:snapToGrid w:val="0"/>
        <w:spacing w:line="360" w:lineRule="exact"/>
        <w:ind w:firstLine="420" w:firstLineChars="200"/>
        <w:rPr>
          <w:rFonts w:hint="eastAsia" w:ascii="宋体" w:hAnsi="宋体" w:cs="宋体"/>
          <w:szCs w:val="21"/>
        </w:rPr>
      </w:pPr>
    </w:p>
    <w:p>
      <w:pPr>
        <w:pStyle w:val="11"/>
        <w:adjustRightInd w:val="0"/>
        <w:snapToGrid w:val="0"/>
        <w:spacing w:line="360" w:lineRule="exact"/>
        <w:ind w:firstLine="412" w:firstLineChars="200"/>
        <w:rPr>
          <w:rFonts w:hint="eastAsia" w:hAnsi="宋体" w:cs="宋体"/>
          <w:spacing w:val="-2"/>
        </w:rPr>
      </w:pPr>
      <w:r>
        <w:rPr>
          <w:rFonts w:hint="eastAsia" w:hAnsi="宋体" w:cs="宋体"/>
          <w:spacing w:val="-2"/>
        </w:rPr>
        <w:t>根据《中华人民共和国政府采购法》、《中华人民共和国合同法》等法律、法规规定，按照招标文件</w:t>
      </w:r>
      <w:r>
        <w:rPr>
          <w:rFonts w:hint="eastAsia" w:hAnsi="宋体" w:cs="宋体"/>
        </w:rPr>
        <w:t>规定条款和成交供应商响应性谈判文件及其承诺，甲乙双方签订本合同。</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第一条　合同标的</w:t>
      </w:r>
    </w:p>
    <w:p>
      <w:pPr>
        <w:adjustRightInd w:val="0"/>
        <w:snapToGrid w:val="0"/>
        <w:spacing w:afterLines="50" w:line="360" w:lineRule="exact"/>
        <w:ind w:firstLine="420" w:firstLineChars="200"/>
        <w:rPr>
          <w:rFonts w:hint="eastAsia" w:ascii="宋体" w:hAnsi="宋体" w:cs="宋体"/>
          <w:szCs w:val="21"/>
        </w:rPr>
      </w:pPr>
      <w:r>
        <w:rPr>
          <w:rFonts w:hint="eastAsia" w:ascii="宋体" w:hAnsi="宋体" w:cs="宋体"/>
          <w:szCs w:val="21"/>
        </w:rPr>
        <w:t>1.供货一览表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序号</w:t>
            </w:r>
          </w:p>
        </w:tc>
        <w:tc>
          <w:tcPr>
            <w:tcW w:w="1252" w:type="dxa"/>
            <w:vAlign w:val="center"/>
          </w:tcPr>
          <w:p>
            <w:pPr>
              <w:adjustRightInd w:val="0"/>
              <w:snapToGrid w:val="0"/>
              <w:jc w:val="center"/>
              <w:rPr>
                <w:rFonts w:hint="eastAsia" w:ascii="宋体" w:hAnsi="宋体" w:cs="宋体"/>
                <w:szCs w:val="21"/>
              </w:rPr>
            </w:pPr>
            <w:r>
              <w:rPr>
                <w:rFonts w:hint="eastAsia" w:ascii="宋体" w:hAnsi="宋体" w:cs="宋体"/>
                <w:szCs w:val="21"/>
              </w:rPr>
              <w:t>产品</w:t>
            </w:r>
          </w:p>
          <w:p>
            <w:pPr>
              <w:adjustRightInd w:val="0"/>
              <w:snapToGrid w:val="0"/>
              <w:jc w:val="center"/>
              <w:rPr>
                <w:rFonts w:hint="eastAsia" w:ascii="宋体" w:hAnsi="宋体" w:cs="宋体"/>
                <w:szCs w:val="21"/>
              </w:rPr>
            </w:pPr>
            <w:r>
              <w:rPr>
                <w:rFonts w:hint="eastAsia" w:ascii="宋体" w:hAnsi="宋体" w:cs="宋体"/>
                <w:szCs w:val="21"/>
              </w:rPr>
              <w:t>名称</w:t>
            </w:r>
          </w:p>
        </w:tc>
        <w:tc>
          <w:tcPr>
            <w:tcW w:w="1042" w:type="dxa"/>
            <w:vAlign w:val="center"/>
          </w:tcPr>
          <w:p>
            <w:pPr>
              <w:adjustRightInd w:val="0"/>
              <w:snapToGrid w:val="0"/>
              <w:jc w:val="center"/>
              <w:rPr>
                <w:rFonts w:hint="eastAsia" w:ascii="宋体" w:hAnsi="宋体" w:cs="宋体"/>
                <w:szCs w:val="21"/>
              </w:rPr>
            </w:pPr>
            <w:r>
              <w:rPr>
                <w:rFonts w:hint="eastAsia" w:ascii="宋体" w:hAnsi="宋体" w:cs="宋体"/>
                <w:szCs w:val="21"/>
              </w:rPr>
              <w:t>商标</w:t>
            </w:r>
          </w:p>
          <w:p>
            <w:pPr>
              <w:adjustRightInd w:val="0"/>
              <w:snapToGrid w:val="0"/>
              <w:jc w:val="center"/>
              <w:rPr>
                <w:rFonts w:hint="eastAsia" w:ascii="宋体" w:hAnsi="宋体" w:cs="宋体"/>
                <w:szCs w:val="21"/>
              </w:rPr>
            </w:pPr>
            <w:r>
              <w:rPr>
                <w:rFonts w:hint="eastAsia" w:ascii="宋体" w:hAnsi="宋体" w:cs="宋体"/>
                <w:szCs w:val="21"/>
              </w:rPr>
              <w:t>品牌</w:t>
            </w:r>
          </w:p>
        </w:tc>
        <w:tc>
          <w:tcPr>
            <w:tcW w:w="1148" w:type="dxa"/>
            <w:vAlign w:val="center"/>
          </w:tcPr>
          <w:p>
            <w:pPr>
              <w:adjustRightInd w:val="0"/>
              <w:snapToGrid w:val="0"/>
              <w:jc w:val="center"/>
              <w:rPr>
                <w:rFonts w:hint="eastAsia" w:ascii="宋体" w:hAnsi="宋体" w:cs="宋体"/>
                <w:szCs w:val="21"/>
              </w:rPr>
            </w:pPr>
            <w:r>
              <w:rPr>
                <w:rFonts w:hint="eastAsia" w:ascii="宋体" w:hAnsi="宋体" w:cs="宋体"/>
                <w:szCs w:val="21"/>
              </w:rPr>
              <w:t>规格</w:t>
            </w:r>
          </w:p>
          <w:p>
            <w:pPr>
              <w:adjustRightInd w:val="0"/>
              <w:snapToGrid w:val="0"/>
              <w:jc w:val="center"/>
              <w:rPr>
                <w:rFonts w:hint="eastAsia" w:ascii="宋体" w:hAnsi="宋体" w:cs="宋体"/>
                <w:szCs w:val="21"/>
              </w:rPr>
            </w:pPr>
            <w:r>
              <w:rPr>
                <w:rFonts w:hint="eastAsia" w:ascii="宋体" w:hAnsi="宋体" w:cs="宋体"/>
                <w:szCs w:val="21"/>
              </w:rPr>
              <w:t>型号</w:t>
            </w:r>
          </w:p>
        </w:tc>
        <w:tc>
          <w:tcPr>
            <w:tcW w:w="1147" w:type="dxa"/>
            <w:vAlign w:val="center"/>
          </w:tcPr>
          <w:p>
            <w:pPr>
              <w:adjustRightInd w:val="0"/>
              <w:snapToGrid w:val="0"/>
              <w:jc w:val="center"/>
              <w:rPr>
                <w:rFonts w:hint="eastAsia" w:ascii="宋体" w:hAnsi="宋体" w:cs="宋体"/>
                <w:szCs w:val="21"/>
              </w:rPr>
            </w:pPr>
            <w:r>
              <w:rPr>
                <w:rFonts w:hint="eastAsia" w:ascii="宋体" w:hAnsi="宋体" w:cs="宋体"/>
                <w:szCs w:val="21"/>
              </w:rPr>
              <w:t>生产</w:t>
            </w:r>
          </w:p>
          <w:p>
            <w:pPr>
              <w:adjustRightInd w:val="0"/>
              <w:snapToGrid w:val="0"/>
              <w:jc w:val="center"/>
              <w:rPr>
                <w:rFonts w:hint="eastAsia" w:ascii="宋体" w:hAnsi="宋体" w:cs="宋体"/>
                <w:szCs w:val="21"/>
              </w:rPr>
            </w:pPr>
            <w:r>
              <w:rPr>
                <w:rFonts w:hint="eastAsia" w:ascii="宋体" w:hAnsi="宋体" w:cs="宋体"/>
                <w:szCs w:val="21"/>
              </w:rPr>
              <w:t>厂家</w:t>
            </w:r>
          </w:p>
        </w:tc>
        <w:tc>
          <w:tcPr>
            <w:tcW w:w="657" w:type="dxa"/>
            <w:vAlign w:val="center"/>
          </w:tcPr>
          <w:p>
            <w:pPr>
              <w:adjustRightInd w:val="0"/>
              <w:snapToGrid w:val="0"/>
              <w:jc w:val="center"/>
              <w:rPr>
                <w:rFonts w:hint="eastAsia" w:ascii="宋体" w:hAnsi="宋体" w:cs="宋体"/>
                <w:szCs w:val="21"/>
              </w:rPr>
            </w:pPr>
            <w:r>
              <w:rPr>
                <w:rFonts w:hint="eastAsia" w:ascii="宋体" w:hAnsi="宋体" w:cs="宋体"/>
                <w:szCs w:val="21"/>
              </w:rPr>
              <w:t>数  量</w:t>
            </w:r>
          </w:p>
        </w:tc>
        <w:tc>
          <w:tcPr>
            <w:tcW w:w="1041" w:type="dxa"/>
            <w:vAlign w:val="center"/>
          </w:tcPr>
          <w:p>
            <w:pPr>
              <w:adjustRightInd w:val="0"/>
              <w:snapToGrid w:val="0"/>
              <w:jc w:val="center"/>
              <w:rPr>
                <w:rFonts w:hint="eastAsia" w:ascii="宋体" w:hAnsi="宋体" w:cs="宋体"/>
                <w:szCs w:val="21"/>
              </w:rPr>
            </w:pPr>
            <w:r>
              <w:rPr>
                <w:rFonts w:hint="eastAsia" w:ascii="宋体" w:hAnsi="宋体" w:cs="宋体"/>
                <w:szCs w:val="21"/>
              </w:rPr>
              <w:t>单位</w:t>
            </w:r>
          </w:p>
        </w:tc>
        <w:tc>
          <w:tcPr>
            <w:tcW w:w="1066" w:type="dxa"/>
            <w:vAlign w:val="center"/>
          </w:tcPr>
          <w:p>
            <w:pPr>
              <w:adjustRightInd w:val="0"/>
              <w:snapToGrid w:val="0"/>
              <w:jc w:val="center"/>
              <w:rPr>
                <w:rFonts w:hint="eastAsia" w:ascii="宋体" w:hAnsi="宋体" w:cs="宋体"/>
                <w:szCs w:val="21"/>
              </w:rPr>
            </w:pPr>
            <w:r>
              <w:rPr>
                <w:rFonts w:hint="eastAsia" w:ascii="宋体" w:hAnsi="宋体" w:cs="宋体"/>
                <w:szCs w:val="21"/>
              </w:rPr>
              <w:t>单  价</w:t>
            </w:r>
          </w:p>
          <w:p>
            <w:pPr>
              <w:adjustRightInd w:val="0"/>
              <w:snapToGrid w:val="0"/>
              <w:jc w:val="center"/>
              <w:rPr>
                <w:rFonts w:hint="eastAsia" w:ascii="宋体" w:hAnsi="宋体" w:cs="宋体"/>
                <w:szCs w:val="21"/>
              </w:rPr>
            </w:pPr>
            <w:r>
              <w:rPr>
                <w:rFonts w:hint="eastAsia" w:ascii="宋体" w:hAnsi="宋体" w:cs="宋体"/>
                <w:szCs w:val="21"/>
              </w:rPr>
              <w:t>（元）</w:t>
            </w:r>
          </w:p>
        </w:tc>
        <w:tc>
          <w:tcPr>
            <w:tcW w:w="1405" w:type="dxa"/>
            <w:vAlign w:val="center"/>
          </w:tcPr>
          <w:p>
            <w:pPr>
              <w:adjustRightInd w:val="0"/>
              <w:snapToGrid w:val="0"/>
              <w:jc w:val="center"/>
              <w:rPr>
                <w:rFonts w:hint="eastAsia" w:ascii="宋体" w:hAnsi="宋体" w:cs="宋体"/>
                <w:szCs w:val="21"/>
              </w:rPr>
            </w:pPr>
            <w:r>
              <w:rPr>
                <w:rFonts w:hint="eastAsia" w:ascii="宋体" w:hAnsi="宋体" w:cs="宋体"/>
                <w:szCs w:val="21"/>
              </w:rPr>
              <w:t>金  额</w:t>
            </w:r>
          </w:p>
          <w:p>
            <w:pPr>
              <w:adjustRightInd w:val="0"/>
              <w:snapToGrid w:val="0"/>
              <w:jc w:val="center"/>
              <w:rPr>
                <w:rFonts w:hint="eastAsia"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1</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2</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pPr>
              <w:adjustRightInd w:val="0"/>
              <w:snapToGrid w:val="0"/>
              <w:jc w:val="center"/>
              <w:rPr>
                <w:rFonts w:hint="eastAsia" w:ascii="宋体" w:hAnsi="宋体" w:cs="宋体"/>
                <w:szCs w:val="21"/>
              </w:rPr>
            </w:pPr>
            <w:r>
              <w:rPr>
                <w:rFonts w:hint="eastAsia" w:ascii="宋体" w:hAnsi="宋体" w:cs="宋体"/>
                <w:szCs w:val="21"/>
              </w:rPr>
              <w:t>3</w:t>
            </w:r>
          </w:p>
        </w:tc>
        <w:tc>
          <w:tcPr>
            <w:tcW w:w="1252" w:type="dxa"/>
            <w:vAlign w:val="center"/>
          </w:tcPr>
          <w:p>
            <w:pPr>
              <w:adjustRightInd w:val="0"/>
              <w:snapToGrid w:val="0"/>
              <w:jc w:val="center"/>
              <w:rPr>
                <w:rFonts w:hint="eastAsia" w:ascii="宋体" w:hAnsi="宋体" w:cs="宋体"/>
                <w:szCs w:val="21"/>
              </w:rPr>
            </w:pPr>
          </w:p>
        </w:tc>
        <w:tc>
          <w:tcPr>
            <w:tcW w:w="1042" w:type="dxa"/>
            <w:vAlign w:val="center"/>
          </w:tcPr>
          <w:p>
            <w:pPr>
              <w:adjustRightInd w:val="0"/>
              <w:snapToGrid w:val="0"/>
              <w:jc w:val="center"/>
              <w:rPr>
                <w:rFonts w:hint="eastAsia" w:ascii="宋体" w:hAnsi="宋体" w:cs="宋体"/>
                <w:szCs w:val="21"/>
              </w:rPr>
            </w:pPr>
          </w:p>
        </w:tc>
        <w:tc>
          <w:tcPr>
            <w:tcW w:w="1148" w:type="dxa"/>
            <w:vAlign w:val="center"/>
          </w:tcPr>
          <w:p>
            <w:pPr>
              <w:adjustRightInd w:val="0"/>
              <w:snapToGrid w:val="0"/>
              <w:jc w:val="center"/>
              <w:rPr>
                <w:rFonts w:hint="eastAsia" w:ascii="宋体" w:hAnsi="宋体" w:cs="宋体"/>
                <w:szCs w:val="21"/>
              </w:rPr>
            </w:pPr>
          </w:p>
        </w:tc>
        <w:tc>
          <w:tcPr>
            <w:tcW w:w="1147" w:type="dxa"/>
          </w:tcPr>
          <w:p>
            <w:pPr>
              <w:adjustRightInd w:val="0"/>
              <w:snapToGrid w:val="0"/>
              <w:jc w:val="center"/>
              <w:rPr>
                <w:rFonts w:hint="eastAsia" w:ascii="宋体" w:hAnsi="宋体" w:cs="宋体"/>
                <w:szCs w:val="21"/>
              </w:rPr>
            </w:pPr>
          </w:p>
        </w:tc>
        <w:tc>
          <w:tcPr>
            <w:tcW w:w="657" w:type="dxa"/>
          </w:tcPr>
          <w:p>
            <w:pPr>
              <w:adjustRightInd w:val="0"/>
              <w:snapToGrid w:val="0"/>
              <w:jc w:val="center"/>
              <w:rPr>
                <w:rFonts w:hint="eastAsia" w:ascii="宋体" w:hAnsi="宋体" w:cs="宋体"/>
                <w:szCs w:val="21"/>
              </w:rPr>
            </w:pPr>
          </w:p>
        </w:tc>
        <w:tc>
          <w:tcPr>
            <w:tcW w:w="1041" w:type="dxa"/>
          </w:tcPr>
          <w:p>
            <w:pPr>
              <w:adjustRightInd w:val="0"/>
              <w:snapToGrid w:val="0"/>
              <w:jc w:val="center"/>
              <w:rPr>
                <w:rFonts w:hint="eastAsia" w:ascii="宋体" w:hAnsi="宋体" w:cs="宋体"/>
                <w:szCs w:val="21"/>
              </w:rPr>
            </w:pPr>
          </w:p>
        </w:tc>
        <w:tc>
          <w:tcPr>
            <w:tcW w:w="1066" w:type="dxa"/>
            <w:vAlign w:val="center"/>
          </w:tcPr>
          <w:p>
            <w:pPr>
              <w:adjustRightInd w:val="0"/>
              <w:snapToGrid w:val="0"/>
              <w:jc w:val="center"/>
              <w:rPr>
                <w:rFonts w:hint="eastAsia" w:ascii="宋体" w:hAnsi="宋体" w:cs="宋体"/>
                <w:szCs w:val="21"/>
              </w:rPr>
            </w:pPr>
          </w:p>
        </w:tc>
        <w:tc>
          <w:tcPr>
            <w:tcW w:w="1405"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pPr>
              <w:adjustRightInd w:val="0"/>
              <w:snapToGrid w:val="0"/>
              <w:rPr>
                <w:rFonts w:hint="eastAsia" w:ascii="宋体" w:hAnsi="宋体" w:cs="宋体"/>
                <w:szCs w:val="21"/>
              </w:rPr>
            </w:pPr>
            <w:r>
              <w:rPr>
                <w:rFonts w:hint="eastAsia" w:ascii="宋体" w:hAnsi="宋体" w:cs="宋体"/>
                <w:szCs w:val="21"/>
              </w:rPr>
              <w:t xml:space="preserve">人民币合计金额（大写）                          （小写）                 </w:t>
            </w:r>
          </w:p>
        </w:tc>
      </w:tr>
    </w:tbl>
    <w:p>
      <w:pPr>
        <w:adjustRightInd w:val="0"/>
        <w:snapToGrid w:val="0"/>
        <w:spacing w:beforeLines="50" w:line="360" w:lineRule="exact"/>
        <w:ind w:right="420" w:firstLine="420" w:firstLineChars="200"/>
        <w:rPr>
          <w:rFonts w:hint="eastAsia" w:ascii="宋体" w:hAnsi="宋体" w:cs="宋体"/>
          <w:szCs w:val="21"/>
        </w:rPr>
      </w:pPr>
      <w:r>
        <w:rPr>
          <w:rFonts w:hint="eastAsia" w:ascii="宋体" w:hAnsi="宋体" w:cs="宋体"/>
          <w:szCs w:val="21"/>
        </w:rPr>
        <w:t>2.合同合计金额包括货物价款，备件、专用工具、安装、调试、检验、技术培训及技术资料和包装、运输等全部费用。如竞争性谈判文件和响应性谈判文件对其另有规定的，从其规定。</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第二条　质量保证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1.乙方所提供的货物型号、技术规格、技术参数等质量必须与竞争性谈判文件和响应性谈判文件和承诺相一致。乙方提供的节能和环保产品必须是列入最新一期政府采购清单的产品。</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2.乙方所提供的货物必须是全新、未使用的原装产品，且在正常安装、使用和保养条件下，其使用寿命期内各项指标均达到质量要求。</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第三条　权力保证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乙方应保证所提供货物在使用时不会侵犯任何第三方的专利权、商标权、工业设计权或其他权利。</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乙方应按招标文件规定的时间向甲方提供使用货物的有关技术资料。</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乙方保证所交付的货物的所有权完全属于乙方且无任何抵押、质押、查封等产权瑕疵。</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第四条　包装和运输</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1.乙方提供的货物均应按竞争性谈判文件和响应性谈判文件要求的包装材料、包装标准、包装方式进行包装，每一包装单元内应附详细的装箱单和质量合格证。</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第五条　交付和验收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1.交货时间：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2.乙方提供不符合竞争性谈判文件和响应性谈判文件文件和本合同规定的货物，甲方有权拒绝接受。</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4.甲方应当在到货（安装、调试完）后七个工作日内进行验收，逾期不验收的，乙方可视同验收合格。验收合格后由甲乙双方签署货物验收单并加盖采购单位公章，甲乙双方各执一份。</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6.甲方对验收有异议的，在验收后五个工作日内以书面形式向乙方提出，乙方应自收到甲方书面异议后日内及时予以解决。</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第六条　安装和培训</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1.甲方应提供必要安装条件（如场地、电源、水源等）。</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2.乙方负责甲方有关人员的培训。培训时间、地点：</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第七条  售后服务、保修期</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1.乙方应按照国家有关法律法规和“三包”规定以及竞争性谈判文件和响应性谈判文件和本合同所附的《服务承诺》，为甲方提供售后服务。</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2.货物保修期；</w:t>
      </w:r>
      <w:r>
        <w:rPr>
          <w:rFonts w:hint="eastAsia" w:ascii="宋体" w:hAnsi="宋体" w:cs="宋体"/>
          <w:szCs w:val="21"/>
          <w:u w:val="single"/>
        </w:rPr>
        <w:t xml:space="preserve">                                          。</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3.乙方提供的服务承诺和售后服务及保修期责任等其它具体约定事项。（见合同附件）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第八条　付款方式和质量保证金</w:t>
      </w:r>
    </w:p>
    <w:p>
      <w:pPr>
        <w:pStyle w:val="11"/>
        <w:adjustRightInd w:val="0"/>
        <w:snapToGrid w:val="0"/>
        <w:spacing w:line="360" w:lineRule="exact"/>
        <w:ind w:firstLine="420" w:firstLineChars="200"/>
        <w:rPr>
          <w:rFonts w:hint="eastAsia" w:hAnsi="宋体" w:cs="宋体"/>
        </w:rPr>
      </w:pPr>
      <w:r>
        <w:rPr>
          <w:rFonts w:hint="eastAsia" w:hAnsi="宋体" w:cs="宋体"/>
          <w:bCs/>
        </w:rPr>
        <w:t>1.</w:t>
      </w:r>
      <w:r>
        <w:rPr>
          <w:rFonts w:hint="eastAsia" w:hAnsi="宋体" w:cs="宋体"/>
        </w:rPr>
        <w:t>当采购数量与实际使用数量不一致时，乙方应根据实际使用量供货，合同的最终结算金额按实际使用量乘以成交单价进行计算。</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2.资金性质：</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360" w:lineRule="exact"/>
        <w:ind w:firstLine="420" w:firstLineChars="200"/>
        <w:rPr>
          <w:rFonts w:hint="eastAsia"/>
        </w:rPr>
      </w:pPr>
      <w:r>
        <w:rPr>
          <w:rFonts w:hint="eastAsia" w:ascii="宋体" w:hAnsi="宋体" w:cs="宋体"/>
        </w:rPr>
        <w:t>3.</w:t>
      </w:r>
      <w:r>
        <w:rPr>
          <w:rFonts w:hint="eastAsia" w:hAnsi="宋体" w:cs="宋体"/>
        </w:rPr>
        <w:t>付款方式：</w:t>
      </w:r>
      <w:r>
        <w:rPr>
          <w:rFonts w:hint="eastAsia"/>
        </w:rPr>
        <w:t>签订合同15日内预付合同总额的75%，待安装调试完毕且验收合格后30日内支付合同总额的25%。</w:t>
      </w:r>
    </w:p>
    <w:p>
      <w:pPr>
        <w:ind w:firstLine="420" w:firstLineChars="200"/>
        <w:rPr>
          <w:rFonts w:hint="eastAsia"/>
          <w:b/>
          <w:bCs/>
        </w:rPr>
      </w:pPr>
      <w:r>
        <w:rPr>
          <w:rFonts w:hint="eastAsia" w:ascii="宋体" w:hAnsi="宋体" w:cs="宋体"/>
          <w:b/>
          <w:bCs/>
          <w:szCs w:val="21"/>
        </w:rPr>
        <w:t>第九条　</w:t>
      </w:r>
      <w:r>
        <w:rPr>
          <w:rFonts w:hint="eastAsia" w:ascii="宋体" w:hAnsi="宋体" w:cs="宋体"/>
          <w:b/>
          <w:bCs/>
          <w:spacing w:val="4"/>
          <w:szCs w:val="21"/>
        </w:rPr>
        <w:t>履约保证金：</w:t>
      </w:r>
    </w:p>
    <w:p>
      <w:pPr>
        <w:ind w:firstLine="420" w:firstLineChars="200"/>
        <w:rPr>
          <w:rFonts w:hint="eastAsia"/>
          <w:b/>
          <w:bCs/>
        </w:rPr>
      </w:pPr>
      <w:r>
        <w:rPr>
          <w:rFonts w:hint="eastAsia"/>
        </w:rPr>
        <w:t>质量保证金由甲方收取，乙方应在货物验收合格无异议后五个工作日内按本合同合计金额5%比例向甲方提交质量保证金，质量保证期过后五个工作日内无息返还；质量保证金因其他原因被扣除，数额不足合同金额的5%的，乙方应及时补足。</w:t>
      </w:r>
    </w:p>
    <w:p>
      <w:pPr>
        <w:adjustRightInd w:val="0"/>
        <w:snapToGrid w:val="0"/>
        <w:spacing w:line="360" w:lineRule="exact"/>
        <w:ind w:firstLine="420" w:firstLineChars="200"/>
        <w:rPr>
          <w:rFonts w:hint="eastAsia" w:ascii="宋体" w:hAnsi="宋体" w:cs="宋体"/>
          <w:b/>
          <w:bCs/>
          <w:szCs w:val="21"/>
        </w:rPr>
      </w:pPr>
      <w:r>
        <w:rPr>
          <w:rFonts w:hint="eastAsia" w:ascii="宋体" w:hAnsi="宋体" w:cs="宋体"/>
          <w:b/>
          <w:bCs/>
          <w:szCs w:val="21"/>
        </w:rPr>
        <w:t>第十条、税费</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第十一条、质量保证及售后服务</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pStyle w:val="11"/>
        <w:adjustRightInd w:val="0"/>
        <w:snapToGrid w:val="0"/>
        <w:spacing w:line="360" w:lineRule="exact"/>
        <w:ind w:firstLine="420" w:firstLineChars="200"/>
        <w:rPr>
          <w:rFonts w:hint="eastAsia" w:hAnsi="宋体" w:cs="宋体"/>
        </w:rPr>
      </w:pPr>
      <w:r>
        <w:rPr>
          <w:rFonts w:hint="eastAsia" w:hAnsi="宋体" w:cs="宋体"/>
        </w:rPr>
        <w:t>⑴更换：由乙方承担所发生的全部费用。</w:t>
      </w:r>
    </w:p>
    <w:p>
      <w:pPr>
        <w:pStyle w:val="11"/>
        <w:adjustRightInd w:val="0"/>
        <w:snapToGrid w:val="0"/>
        <w:spacing w:line="360" w:lineRule="exact"/>
        <w:ind w:firstLine="420" w:firstLineChars="200"/>
        <w:rPr>
          <w:rFonts w:hint="eastAsia" w:hAnsi="宋体" w:cs="宋体"/>
        </w:rPr>
      </w:pPr>
      <w:r>
        <w:rPr>
          <w:rFonts w:hint="eastAsia" w:hAnsi="宋体" w:cs="宋体"/>
        </w:rPr>
        <w:t>⑵贬值处理：由甲乙双方合议定价。</w:t>
      </w:r>
    </w:p>
    <w:p>
      <w:pPr>
        <w:pStyle w:val="11"/>
        <w:adjustRightInd w:val="0"/>
        <w:snapToGrid w:val="0"/>
        <w:spacing w:line="360" w:lineRule="exact"/>
        <w:ind w:left="420" w:leftChars="200"/>
        <w:rPr>
          <w:rFonts w:hint="eastAsia" w:hAnsi="宋体" w:cs="宋体"/>
        </w:rPr>
      </w:pPr>
      <w:r>
        <w:rPr>
          <w:rFonts w:hint="eastAsia" w:hAnsi="宋体" w:cs="宋体"/>
        </w:rPr>
        <w:t>⑶退货处理：乙方应退还甲方支付的合同款，同时应承担该货物的直接费用（运输、保险、检验、</w:t>
      </w:r>
    </w:p>
    <w:p>
      <w:pPr>
        <w:pStyle w:val="11"/>
        <w:adjustRightInd w:val="0"/>
        <w:snapToGrid w:val="0"/>
        <w:spacing w:line="360" w:lineRule="exact"/>
        <w:ind w:firstLine="420" w:firstLineChars="200"/>
        <w:rPr>
          <w:rFonts w:hint="eastAsia" w:hAnsi="宋体" w:cs="宋体"/>
        </w:rPr>
      </w:pPr>
      <w:r>
        <w:rPr>
          <w:rFonts w:hint="eastAsia" w:hAnsi="宋体" w:cs="宋体"/>
        </w:rPr>
        <w:t>货款利息及银行手续费等）。</w:t>
      </w:r>
    </w:p>
    <w:p>
      <w:pPr>
        <w:pStyle w:val="11"/>
        <w:adjustRightInd w:val="0"/>
        <w:snapToGrid w:val="0"/>
        <w:spacing w:line="360" w:lineRule="exact"/>
        <w:ind w:firstLine="420" w:firstLineChars="200"/>
        <w:rPr>
          <w:rFonts w:hint="eastAsia" w:hAnsi="宋体" w:cs="宋体"/>
        </w:rPr>
      </w:pPr>
      <w:r>
        <w:rPr>
          <w:rFonts w:hint="eastAsia" w:hAnsi="宋体" w:cs="宋体"/>
        </w:rPr>
        <w:t>2. 如在使用过程中发生质量问题，乙方在接到甲方通知后在小时内到达甲方现场。</w:t>
      </w:r>
    </w:p>
    <w:p>
      <w:pPr>
        <w:pStyle w:val="11"/>
        <w:adjustRightInd w:val="0"/>
        <w:snapToGrid w:val="0"/>
        <w:spacing w:line="360" w:lineRule="exact"/>
        <w:ind w:firstLine="420" w:firstLineChars="200"/>
        <w:rPr>
          <w:rFonts w:hint="eastAsia" w:hAnsi="宋体" w:cs="宋体"/>
        </w:rPr>
      </w:pPr>
      <w:r>
        <w:rPr>
          <w:rFonts w:hint="eastAsia" w:hAnsi="宋体" w:cs="宋体"/>
        </w:rPr>
        <w:t>3. 在质保期内，乙方应对货物出现的质量及安全问题负责处理解决并承担一切费用。</w:t>
      </w:r>
    </w:p>
    <w:p>
      <w:pPr>
        <w:pStyle w:val="11"/>
        <w:adjustRightInd w:val="0"/>
        <w:snapToGrid w:val="0"/>
        <w:spacing w:line="360" w:lineRule="exact"/>
        <w:ind w:firstLine="420" w:firstLineChars="200"/>
        <w:rPr>
          <w:rFonts w:hint="eastAsia" w:hAnsi="宋体" w:cs="宋体"/>
        </w:rPr>
      </w:pPr>
      <w:r>
        <w:rPr>
          <w:rFonts w:hint="eastAsia" w:hAnsi="宋体" w:cs="宋体"/>
        </w:rPr>
        <w:t>4.上述的货物免费保修期为年，因人为因素出现的故障不在免费保修范围内。超过保修期的机器设备，终生维修，维修时只收部件成本费。</w:t>
      </w:r>
    </w:p>
    <w:p>
      <w:pPr>
        <w:pStyle w:val="11"/>
        <w:adjustRightInd w:val="0"/>
        <w:snapToGrid w:val="0"/>
        <w:spacing w:line="360" w:lineRule="exact"/>
        <w:ind w:firstLine="420" w:firstLineChars="200"/>
        <w:rPr>
          <w:rFonts w:hint="eastAsia" w:hAnsi="宋体" w:cs="宋体"/>
          <w:b/>
        </w:rPr>
      </w:pPr>
      <w:r>
        <w:rPr>
          <w:rFonts w:hint="eastAsia" w:hAnsi="宋体" w:cs="宋体"/>
          <w:b/>
        </w:rPr>
        <w:t>第十二条、调试和验收</w:t>
      </w:r>
    </w:p>
    <w:p>
      <w:pPr>
        <w:pStyle w:val="11"/>
        <w:adjustRightInd w:val="0"/>
        <w:snapToGrid w:val="0"/>
        <w:spacing w:line="360" w:lineRule="exact"/>
        <w:ind w:firstLine="420" w:firstLineChars="200"/>
        <w:jc w:val="left"/>
        <w:rPr>
          <w:rFonts w:hint="eastAsia" w:hAnsi="宋体" w:cs="宋体"/>
        </w:rPr>
      </w:pPr>
      <w:r>
        <w:rPr>
          <w:rFonts w:hint="eastAsia" w:hAnsi="宋体" w:cs="宋体"/>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rPr>
        <w:t>甲方应当在到货（安装、调试完）后七个工作日内进行验收</w:t>
      </w:r>
      <w:r>
        <w:rPr>
          <w:rFonts w:hint="eastAsia" w:hAnsi="宋体" w:cs="宋体"/>
        </w:rPr>
        <w:t>。</w:t>
      </w:r>
    </w:p>
    <w:p>
      <w:pPr>
        <w:pStyle w:val="11"/>
        <w:adjustRightInd w:val="0"/>
        <w:snapToGrid w:val="0"/>
        <w:spacing w:line="360" w:lineRule="exact"/>
        <w:ind w:firstLine="420" w:firstLineChars="200"/>
        <w:rPr>
          <w:rFonts w:hint="eastAsia" w:hAnsi="宋体" w:cs="宋体"/>
        </w:rPr>
      </w:pPr>
      <w:r>
        <w:rPr>
          <w:rFonts w:hint="eastAsia" w:hAnsi="宋体" w:cs="宋体"/>
        </w:rPr>
        <w:t>2. 乙方交货前应对产品作出全面检查和对验收文件进行整理，并列出清单，作为甲方收货验收和使用的技术条件依据，检验的结果应随货物交甲方。</w:t>
      </w:r>
    </w:p>
    <w:p>
      <w:pPr>
        <w:pStyle w:val="11"/>
        <w:adjustRightInd w:val="0"/>
        <w:snapToGrid w:val="0"/>
        <w:spacing w:line="360" w:lineRule="exact"/>
        <w:ind w:firstLine="420" w:firstLineChars="200"/>
        <w:rPr>
          <w:rFonts w:hint="eastAsia" w:hAnsi="宋体" w:cs="宋体"/>
          <w:u w:val="single"/>
        </w:rPr>
      </w:pPr>
      <w:r>
        <w:rPr>
          <w:rFonts w:hint="eastAsia" w:hAnsi="宋体" w:cs="宋体"/>
        </w:rPr>
        <w:t>3. 甲方对乙方提供的货物在使用前进行调试时，乙方需负责安装并培训甲方的使用操作人员，并协助甲方一起调试，直到符合技术要求，甲方才做最终验收。</w:t>
      </w:r>
    </w:p>
    <w:p>
      <w:pPr>
        <w:pStyle w:val="11"/>
        <w:adjustRightInd w:val="0"/>
        <w:snapToGrid w:val="0"/>
        <w:spacing w:line="360" w:lineRule="exact"/>
        <w:ind w:firstLine="420" w:firstLineChars="200"/>
        <w:rPr>
          <w:rFonts w:hint="eastAsia" w:hAnsi="宋体" w:cs="宋体"/>
        </w:rPr>
      </w:pPr>
      <w:r>
        <w:rPr>
          <w:rFonts w:hint="eastAsia" w:hAnsi="宋体" w:cs="宋体"/>
        </w:rPr>
        <w:t>4. 对技术复杂的货物，甲方应请国家认可的专业检测机构参与初步验收及最终验收，并由其出具质量检测报告。</w:t>
      </w:r>
    </w:p>
    <w:p>
      <w:pPr>
        <w:pStyle w:val="11"/>
        <w:adjustRightInd w:val="0"/>
        <w:snapToGrid w:val="0"/>
        <w:spacing w:line="360" w:lineRule="exact"/>
        <w:ind w:firstLine="420" w:firstLineChars="200"/>
        <w:rPr>
          <w:rFonts w:hint="eastAsia" w:hAnsi="宋体" w:cs="宋体"/>
        </w:rPr>
      </w:pPr>
      <w:r>
        <w:rPr>
          <w:rFonts w:hint="eastAsia" w:hAnsi="宋体" w:cs="宋体"/>
        </w:rPr>
        <w:t>5. 验收时乙方必须在现场，验收完毕后作出验收结果报告；验收费用由乙方负责。</w:t>
      </w:r>
    </w:p>
    <w:p>
      <w:pPr>
        <w:pStyle w:val="11"/>
        <w:adjustRightInd w:val="0"/>
        <w:snapToGrid w:val="0"/>
        <w:spacing w:line="360" w:lineRule="exact"/>
        <w:ind w:firstLine="420" w:firstLineChars="200"/>
        <w:rPr>
          <w:rFonts w:hint="eastAsia" w:hAnsi="宋体" w:cs="宋体"/>
          <w:b/>
        </w:rPr>
      </w:pPr>
      <w:r>
        <w:rPr>
          <w:rFonts w:hint="eastAsia" w:hAnsi="宋体" w:cs="宋体"/>
          <w:b/>
        </w:rPr>
        <w:t>第十三条、货物包装、发运及运输</w:t>
      </w:r>
    </w:p>
    <w:p>
      <w:pPr>
        <w:pStyle w:val="11"/>
        <w:adjustRightInd w:val="0"/>
        <w:snapToGrid w:val="0"/>
        <w:spacing w:line="360" w:lineRule="exact"/>
        <w:ind w:firstLine="420" w:firstLineChars="200"/>
        <w:rPr>
          <w:rFonts w:hint="eastAsia" w:hAnsi="宋体" w:cs="宋体"/>
        </w:rPr>
      </w:pPr>
      <w:r>
        <w:rPr>
          <w:rFonts w:hint="eastAsia" w:hAnsi="宋体" w:cs="宋体"/>
        </w:rPr>
        <w:t>1. 乙方应在货物发运前对其进行满足运输距离、防潮、防震、防锈和防破损装卸等要求包装，以保证货物安全运达甲方指定地点。</w:t>
      </w:r>
    </w:p>
    <w:p>
      <w:pPr>
        <w:pStyle w:val="11"/>
        <w:adjustRightInd w:val="0"/>
        <w:snapToGrid w:val="0"/>
        <w:spacing w:line="360" w:lineRule="exact"/>
        <w:ind w:firstLine="420" w:firstLineChars="200"/>
        <w:rPr>
          <w:rFonts w:hint="eastAsia" w:hAnsi="宋体" w:cs="宋体"/>
        </w:rPr>
      </w:pPr>
      <w:r>
        <w:rPr>
          <w:rFonts w:hint="eastAsia" w:hAnsi="宋体" w:cs="宋体"/>
        </w:rPr>
        <w:t>2. 使用说明书、质量检验证明书、随配附件和工具以及清单一并附于货物内。</w:t>
      </w:r>
    </w:p>
    <w:p>
      <w:pPr>
        <w:pStyle w:val="11"/>
        <w:adjustRightInd w:val="0"/>
        <w:snapToGrid w:val="0"/>
        <w:spacing w:line="360" w:lineRule="exact"/>
        <w:ind w:firstLine="420" w:firstLineChars="200"/>
        <w:rPr>
          <w:rFonts w:hint="eastAsia" w:hAnsi="宋体" w:cs="宋体"/>
          <w:spacing w:val="-4"/>
        </w:rPr>
      </w:pPr>
      <w:r>
        <w:rPr>
          <w:rFonts w:hint="eastAsia" w:hAnsi="宋体" w:cs="宋体"/>
        </w:rPr>
        <w:t xml:space="preserve">3. </w:t>
      </w:r>
      <w:r>
        <w:rPr>
          <w:rFonts w:hint="eastAsia" w:hAnsi="宋体" w:cs="宋体"/>
          <w:spacing w:val="-4"/>
        </w:rPr>
        <w:t>乙方在货物发运手续办理完毕后二十四小时内或货到甲方四十八小时前通知甲方，以准备接货。</w:t>
      </w:r>
    </w:p>
    <w:p>
      <w:pPr>
        <w:pStyle w:val="11"/>
        <w:adjustRightInd w:val="0"/>
        <w:snapToGrid w:val="0"/>
        <w:spacing w:line="360" w:lineRule="exact"/>
        <w:ind w:firstLine="420" w:firstLineChars="200"/>
        <w:rPr>
          <w:rFonts w:hint="eastAsia" w:hAnsi="宋体" w:cs="宋体"/>
        </w:rPr>
      </w:pPr>
      <w:r>
        <w:rPr>
          <w:rFonts w:hint="eastAsia" w:hAnsi="宋体" w:cs="宋体"/>
        </w:rPr>
        <w:t>4. 货物在交付甲方前发生的风险均由乙方负责。</w:t>
      </w:r>
    </w:p>
    <w:p>
      <w:pPr>
        <w:pStyle w:val="11"/>
        <w:adjustRightInd w:val="0"/>
        <w:snapToGrid w:val="0"/>
        <w:spacing w:line="360" w:lineRule="exact"/>
        <w:ind w:right="26" w:firstLine="420" w:firstLineChars="200"/>
        <w:rPr>
          <w:rFonts w:hint="eastAsia" w:hAnsi="宋体" w:cs="宋体"/>
          <w:spacing w:val="-8"/>
          <w:szCs w:val="21"/>
        </w:rPr>
      </w:pPr>
      <w:r>
        <w:rPr>
          <w:rFonts w:hint="eastAsia" w:hAnsi="宋体" w:cs="宋体"/>
        </w:rPr>
        <w:t xml:space="preserve">5. </w:t>
      </w:r>
      <w:r>
        <w:rPr>
          <w:rFonts w:hint="eastAsia" w:hAnsi="宋体" w:cs="宋体"/>
          <w:szCs w:val="21"/>
        </w:rPr>
        <w:t>货</w:t>
      </w:r>
      <w:r>
        <w:rPr>
          <w:rFonts w:hint="eastAsia" w:hAnsi="宋体" w:cs="宋体"/>
          <w:spacing w:val="-8"/>
          <w:szCs w:val="21"/>
        </w:rPr>
        <w:t>物在规定的交付期限内由乙方送达甲方指定的地点视为交付，乙方同时需通知甲方货物已送达。</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第十四条　违约责任</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3.因包装、运输引起的货物损坏，按质量不合格处罚。</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4.甲方无故延期接收货物、乙方逾期交货的，每天向对方偿付违约货款额3‰违约金，但违约金累计不得超过违约货款额</w:t>
      </w:r>
      <w:r>
        <w:rPr>
          <w:rFonts w:hint="eastAsia" w:ascii="宋体" w:hAnsi="宋体" w:cs="宋体"/>
          <w:szCs w:val="21"/>
          <w:u w:val="single"/>
        </w:rPr>
        <w:t>5%</w:t>
      </w:r>
      <w:r>
        <w:rPr>
          <w:rFonts w:hint="eastAsia" w:ascii="宋体" w:hAnsi="宋体" w:cs="宋体"/>
          <w:szCs w:val="21"/>
        </w:rPr>
        <w:t>，超过天对方有权解除合同，违约方承担因此给对方造成经济损失；甲方延期付货款的，每天向乙方偿付延期货款额</w:t>
      </w:r>
      <w:r>
        <w:rPr>
          <w:rFonts w:hint="eastAsia" w:ascii="宋体" w:hAnsi="宋体" w:cs="宋体"/>
          <w:szCs w:val="21"/>
          <w:u w:val="single"/>
        </w:rPr>
        <w:t xml:space="preserve">3‰ </w:t>
      </w:r>
      <w:r>
        <w:rPr>
          <w:rFonts w:hint="eastAsia" w:ascii="宋体" w:hAnsi="宋体" w:cs="宋体"/>
          <w:szCs w:val="21"/>
        </w:rPr>
        <w:t>滞纳金，但滞纳金累计不得超过延期货款额</w:t>
      </w:r>
      <w:r>
        <w:rPr>
          <w:rFonts w:hint="eastAsia" w:ascii="宋体" w:hAnsi="宋体" w:cs="宋体"/>
          <w:szCs w:val="21"/>
          <w:u w:val="single"/>
        </w:rPr>
        <w:t>5%</w:t>
      </w:r>
      <w:r>
        <w:rPr>
          <w:rFonts w:hint="eastAsia" w:ascii="宋体" w:hAnsi="宋体" w:cs="宋体"/>
          <w:szCs w:val="21"/>
        </w:rPr>
        <w:t>。</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5.乙方未按本合同和竞争性谈判文件和响应性谈判文件中规定的服务承诺提供售后服务的，乙方应按本合同合计金额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6.乙方提供的货物在质量保证期内，因设计、工艺或材料的缺陷和其它质量原因造成的问题，由乙方负责，费用从质量保证金中扣除，不足另补。</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7.其它违约行为按违约货款额5% 收取违约金并赔偿经济损失。</w:t>
      </w:r>
    </w:p>
    <w:p>
      <w:pPr>
        <w:pStyle w:val="11"/>
        <w:adjustRightInd w:val="0"/>
        <w:snapToGrid w:val="0"/>
        <w:spacing w:line="360" w:lineRule="exact"/>
        <w:ind w:firstLine="420" w:firstLineChars="200"/>
        <w:rPr>
          <w:rFonts w:hint="eastAsia" w:hAnsi="宋体" w:cs="宋体"/>
          <w:b/>
        </w:rPr>
      </w:pPr>
      <w:r>
        <w:rPr>
          <w:rFonts w:hint="eastAsia" w:hAnsi="宋体" w:cs="宋体"/>
          <w:b/>
        </w:rPr>
        <w:t>第十五条、不可抗力事件处理</w:t>
      </w:r>
    </w:p>
    <w:p>
      <w:pPr>
        <w:pStyle w:val="11"/>
        <w:adjustRightInd w:val="0"/>
        <w:snapToGrid w:val="0"/>
        <w:spacing w:line="360" w:lineRule="exact"/>
        <w:ind w:firstLine="420" w:firstLineChars="200"/>
        <w:rPr>
          <w:rFonts w:hint="eastAsia" w:hAnsi="宋体" w:cs="宋体"/>
        </w:rPr>
      </w:pPr>
      <w:r>
        <w:rPr>
          <w:rFonts w:hint="eastAsia" w:hAnsi="宋体" w:cs="宋体"/>
        </w:rPr>
        <w:t>1. 在合同有效期内，任何一方因不可抗力事件导致不能履行合同，则合同履行期可延长，其延长期与不可抗力影响期相同。</w:t>
      </w:r>
    </w:p>
    <w:p>
      <w:pPr>
        <w:pStyle w:val="11"/>
        <w:adjustRightInd w:val="0"/>
        <w:snapToGrid w:val="0"/>
        <w:spacing w:line="360" w:lineRule="exact"/>
        <w:ind w:firstLine="420" w:firstLineChars="200"/>
        <w:rPr>
          <w:rFonts w:hint="eastAsia" w:hAnsi="宋体" w:cs="宋体"/>
        </w:rPr>
      </w:pPr>
      <w:r>
        <w:rPr>
          <w:rFonts w:hint="eastAsia" w:hAnsi="宋体" w:cs="宋体"/>
        </w:rPr>
        <w:t>2. 不可抗力事件发生后，应立即通知对方，并寄送有关权威机构出具的证明。</w:t>
      </w:r>
    </w:p>
    <w:p>
      <w:pPr>
        <w:pStyle w:val="11"/>
        <w:adjustRightInd w:val="0"/>
        <w:snapToGrid w:val="0"/>
        <w:spacing w:line="360" w:lineRule="exact"/>
        <w:ind w:firstLine="420" w:firstLineChars="200"/>
        <w:rPr>
          <w:rFonts w:hint="eastAsia" w:hAnsi="宋体" w:cs="宋体"/>
        </w:rPr>
      </w:pPr>
      <w:r>
        <w:rPr>
          <w:rFonts w:hint="eastAsia" w:hAnsi="宋体" w:cs="宋体"/>
        </w:rPr>
        <w:t>3. 不可抗力事件延续一百二十天以上，双方应通过友好协商，确定是否继续履行合同。</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第十六条  合同争议解决</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2.因履行本合同引起的或与本合同有关的争议，甲乙双方应首先通过友好协商解决，如果协商不能解决，可向甲方所在地的 。</w:t>
      </w:r>
      <w:r>
        <w:rPr>
          <w:rFonts w:hint="eastAsia" w:ascii="宋体" w:hAnsi="宋体" w:cs="宋体"/>
          <w:b/>
          <w:szCs w:val="21"/>
        </w:rPr>
        <w:t>（注：由甲乙双方约定选择向仲裁委员会申请仲裁或者向人民法院提起诉讼的其中一种方式处理合同争议）</w:t>
      </w:r>
      <w:r>
        <w:rPr>
          <w:rFonts w:hint="eastAsia" w:ascii="宋体" w:hAnsi="宋体" w:cs="宋体"/>
          <w:szCs w:val="21"/>
        </w:rPr>
        <w:t>。</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3.仲裁或诉讼期间，本合同继续履行。</w:t>
      </w:r>
    </w:p>
    <w:p>
      <w:pPr>
        <w:pStyle w:val="11"/>
        <w:adjustRightInd w:val="0"/>
        <w:snapToGrid w:val="0"/>
        <w:spacing w:line="360" w:lineRule="exact"/>
        <w:ind w:firstLine="420" w:firstLineChars="200"/>
        <w:rPr>
          <w:rFonts w:hint="eastAsia" w:hAnsi="宋体" w:cs="宋体"/>
          <w:b/>
        </w:rPr>
      </w:pPr>
      <w:r>
        <w:rPr>
          <w:rFonts w:hint="eastAsia" w:hAnsi="宋体" w:cs="宋体"/>
          <w:b/>
        </w:rPr>
        <w:t>第十七条、合同生效及其它</w:t>
      </w:r>
    </w:p>
    <w:p>
      <w:pPr>
        <w:pStyle w:val="11"/>
        <w:adjustRightInd w:val="0"/>
        <w:snapToGrid w:val="0"/>
        <w:spacing w:line="360" w:lineRule="exact"/>
        <w:ind w:firstLine="420" w:firstLineChars="200"/>
        <w:rPr>
          <w:rFonts w:hint="eastAsia" w:hAnsi="宋体" w:cs="宋体"/>
          <w:b/>
        </w:rPr>
      </w:pPr>
      <w:r>
        <w:rPr>
          <w:rFonts w:hint="eastAsia" w:hAnsi="宋体" w:cs="宋体"/>
          <w:b/>
        </w:rPr>
        <w:t>1．合同经双方法定代表人（负责人）或授权代表签字并加盖单位公章后生效。</w:t>
      </w:r>
    </w:p>
    <w:p>
      <w:pPr>
        <w:pStyle w:val="11"/>
        <w:adjustRightInd w:val="0"/>
        <w:snapToGrid w:val="0"/>
        <w:spacing w:line="360" w:lineRule="exact"/>
        <w:ind w:firstLine="420" w:firstLineChars="200"/>
        <w:rPr>
          <w:rFonts w:hint="eastAsia" w:hAnsi="宋体" w:cs="宋体"/>
          <w:b/>
        </w:rPr>
      </w:pPr>
      <w:r>
        <w:rPr>
          <w:rFonts w:hint="eastAsia" w:hAnsi="宋体" w:cs="宋体"/>
          <w:b/>
        </w:rPr>
        <w:t>2．本合同未尽事宜，遵照《合同法》有关条文执行。</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第十八条　合同的变更、终止与转让</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pStyle w:val="11"/>
        <w:adjustRightInd w:val="0"/>
        <w:snapToGrid w:val="0"/>
        <w:spacing w:line="360" w:lineRule="exact"/>
        <w:ind w:firstLine="420" w:firstLineChars="200"/>
        <w:rPr>
          <w:rFonts w:hint="eastAsia" w:hAnsi="宋体" w:cs="宋体"/>
          <w:b/>
        </w:rPr>
      </w:pPr>
      <w:r>
        <w:rPr>
          <w:rFonts w:hint="eastAsia" w:hAnsi="宋体" w:cs="宋体"/>
        </w:rPr>
        <w:t>2.乙方不得擅自转让（无进口资格的供应商委托进口货物除外）其应履行的合同义务。</w:t>
      </w:r>
    </w:p>
    <w:p>
      <w:pPr>
        <w:adjustRightInd w:val="0"/>
        <w:snapToGrid w:val="0"/>
        <w:spacing w:line="360" w:lineRule="exact"/>
        <w:ind w:firstLine="420" w:firstLineChars="200"/>
        <w:rPr>
          <w:rFonts w:hint="eastAsia" w:ascii="宋体" w:hAnsi="宋体" w:cs="宋体"/>
          <w:b/>
          <w:szCs w:val="21"/>
        </w:rPr>
      </w:pPr>
      <w:r>
        <w:rPr>
          <w:rFonts w:hint="eastAsia" w:ascii="宋体" w:hAnsi="宋体" w:cs="宋体"/>
          <w:b/>
          <w:szCs w:val="21"/>
        </w:rPr>
        <w:t>第二十条　签订本合同依据</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1.政府采购竞争性谈判文件；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2.乙方提供的响应性谈判文件；</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3.竞标承诺书；</w:t>
      </w:r>
    </w:p>
    <w:p>
      <w:pPr>
        <w:adjustRightInd w:val="0"/>
        <w:snapToGrid w:val="0"/>
        <w:spacing w:line="360" w:lineRule="exact"/>
        <w:ind w:firstLine="420" w:firstLineChars="200"/>
        <w:rPr>
          <w:rFonts w:hint="eastAsia" w:ascii="宋体" w:hAnsi="宋体" w:cs="宋体"/>
          <w:szCs w:val="21"/>
          <w:u w:val="single"/>
        </w:rPr>
      </w:pPr>
      <w:r>
        <w:rPr>
          <w:rFonts w:hint="eastAsia" w:ascii="宋体" w:hAnsi="宋体" w:cs="宋体"/>
          <w:szCs w:val="21"/>
        </w:rPr>
        <w:t>4.成交通知书。</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b/>
          <w:szCs w:val="21"/>
        </w:rPr>
        <w:t>第二十一条　</w:t>
      </w:r>
      <w:r>
        <w:rPr>
          <w:rFonts w:hint="eastAsia" w:ascii="宋体" w:hAnsi="宋体" w:cs="宋体"/>
          <w:szCs w:val="21"/>
        </w:rPr>
        <w:t>本合同一式四份，具有同等法律效力</w:t>
      </w:r>
      <w:r>
        <w:rPr>
          <w:rFonts w:hint="eastAsia" w:ascii="宋体" w:hAnsi="宋体" w:cs="宋体"/>
          <w:spacing w:val="4"/>
          <w:szCs w:val="21"/>
        </w:rPr>
        <w:t>合浦县财政局（政府采购监督管理科）（或采购人所属财政部门）、采购代理机构</w:t>
      </w:r>
      <w:r>
        <w:rPr>
          <w:rFonts w:hint="eastAsia" w:ascii="宋体" w:hAnsi="宋体" w:cs="宋体"/>
          <w:szCs w:val="21"/>
        </w:rPr>
        <w:t>各一份，甲乙双方各一份（可根据需要另增加）。</w:t>
      </w:r>
    </w:p>
    <w:p>
      <w:pPr>
        <w:adjustRightInd w:val="0"/>
        <w:snapToGrid w:val="0"/>
        <w:rPr>
          <w:rFonts w:hint="eastAsia" w:ascii="宋体" w:hAnsi="宋体" w:cs="宋体"/>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 xml:space="preserve">甲方（章）           </w:t>
            </w:r>
          </w:p>
          <w:p>
            <w:pPr>
              <w:adjustRightInd w:val="0"/>
              <w:snapToGrid w:val="0"/>
              <w:rPr>
                <w:rFonts w:hint="eastAsia" w:ascii="宋体" w:hAnsi="宋体" w:cs="宋体"/>
                <w:szCs w:val="21"/>
              </w:rPr>
            </w:pPr>
          </w:p>
          <w:p>
            <w:pPr>
              <w:adjustRightInd w:val="0"/>
              <w:snapToGrid w:val="0"/>
              <w:ind w:firstLine="945" w:firstLineChars="450"/>
              <w:jc w:val="right"/>
              <w:rPr>
                <w:rFonts w:hint="eastAsia" w:ascii="宋体" w:hAnsi="宋体" w:cs="宋体"/>
                <w:szCs w:val="21"/>
              </w:rPr>
            </w:pPr>
            <w:r>
              <w:rPr>
                <w:rFonts w:hint="eastAsia" w:ascii="宋体" w:hAnsi="宋体" w:cs="宋体"/>
                <w:szCs w:val="21"/>
              </w:rPr>
              <w:t>年   月   日</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 xml:space="preserve">乙方（章）              </w:t>
            </w:r>
          </w:p>
          <w:p>
            <w:pPr>
              <w:adjustRightInd w:val="0"/>
              <w:snapToGrid w:val="0"/>
              <w:rPr>
                <w:rFonts w:hint="eastAsia" w:ascii="宋体" w:hAnsi="宋体" w:cs="宋体"/>
                <w:szCs w:val="21"/>
              </w:rPr>
            </w:pPr>
          </w:p>
          <w:p>
            <w:pPr>
              <w:adjustRightInd w:val="0"/>
              <w:snapToGrid w:val="0"/>
              <w:jc w:val="righ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单位地址：</w:t>
            </w:r>
            <w:r>
              <w:rPr>
                <w:rFonts w:hint="eastAsia" w:ascii="宋体" w:hAnsi="宋体"/>
                <w:szCs w:val="21"/>
              </w:rPr>
              <w:t>合浦县廉州镇定海北海95号</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法定代表人（负责人）：</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委托代理人：</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电话：</w:t>
            </w:r>
            <w:r>
              <w:rPr>
                <w:rFonts w:hint="eastAsia" w:ascii="宋体" w:hAnsi="宋体"/>
                <w:szCs w:val="21"/>
              </w:rPr>
              <w:t>0779-7284218</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电子邮箱：</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开户银行：</w:t>
            </w:r>
            <w:r>
              <w:rPr>
                <w:rFonts w:hint="eastAsia" w:ascii="宋体" w:hAnsi="宋体"/>
                <w:szCs w:val="21"/>
              </w:rPr>
              <w:t>中国银行广西省合浦县支行营业部</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账号：</w:t>
            </w:r>
            <w:r>
              <w:rPr>
                <w:rFonts w:hint="eastAsia" w:ascii="宋体" w:hAnsi="宋体"/>
                <w:szCs w:val="21"/>
              </w:rPr>
              <w:t>622357494213</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pPr>
              <w:adjustRightInd w:val="0"/>
              <w:snapToGrid w:val="0"/>
              <w:rPr>
                <w:rFonts w:hint="eastAsia" w:ascii="宋体" w:hAnsi="宋体" w:cs="宋体"/>
                <w:szCs w:val="21"/>
              </w:rPr>
            </w:pPr>
            <w:r>
              <w:rPr>
                <w:rFonts w:hint="eastAsia" w:ascii="宋体" w:hAnsi="宋体" w:cs="宋体"/>
                <w:szCs w:val="21"/>
              </w:rPr>
              <w:t>邮政编码：</w:t>
            </w:r>
            <w:r>
              <w:rPr>
                <w:rFonts w:hint="eastAsia" w:ascii="宋体" w:hAnsi="宋体"/>
                <w:szCs w:val="21"/>
              </w:rPr>
              <w:t>536100</w:t>
            </w:r>
          </w:p>
        </w:tc>
        <w:tc>
          <w:tcPr>
            <w:tcW w:w="4772" w:type="dxa"/>
            <w:vAlign w:val="center"/>
          </w:tcPr>
          <w:p>
            <w:pPr>
              <w:adjustRightInd w:val="0"/>
              <w:snapToGrid w:val="0"/>
              <w:rPr>
                <w:rFonts w:hint="eastAsia"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9288" w:type="dxa"/>
            <w:gridSpan w:val="2"/>
          </w:tcPr>
          <w:p>
            <w:pPr>
              <w:adjustRightInd w:val="0"/>
              <w:snapToGrid w:val="0"/>
              <w:rPr>
                <w:rFonts w:hint="eastAsia" w:ascii="宋体" w:hAnsi="宋体" w:cs="宋体"/>
                <w:szCs w:val="21"/>
              </w:rPr>
            </w:pPr>
            <w:r>
              <w:rPr>
                <w:rFonts w:hint="eastAsia" w:ascii="宋体" w:hAnsi="宋体" w:cs="宋体"/>
                <w:szCs w:val="21"/>
              </w:rPr>
              <w:t>经办人：</w:t>
            </w:r>
          </w:p>
          <w:p>
            <w:pPr>
              <w:adjustRightInd w:val="0"/>
              <w:snapToGrid w:val="0"/>
              <w:ind w:firstLine="630" w:firstLineChars="300"/>
              <w:jc w:val="right"/>
              <w:rPr>
                <w:rFonts w:hint="eastAsia" w:ascii="宋体" w:hAnsi="宋体" w:cs="宋体"/>
                <w:szCs w:val="21"/>
              </w:rPr>
            </w:pPr>
          </w:p>
          <w:p>
            <w:pPr>
              <w:adjustRightInd w:val="0"/>
              <w:snapToGrid w:val="0"/>
              <w:ind w:firstLine="630" w:firstLineChars="300"/>
              <w:jc w:val="right"/>
              <w:rPr>
                <w:rFonts w:hint="eastAsia" w:ascii="宋体" w:hAnsi="宋体" w:cs="宋体"/>
                <w:szCs w:val="21"/>
              </w:rPr>
            </w:pPr>
            <w:r>
              <w:rPr>
                <w:rFonts w:hint="eastAsia" w:ascii="宋体" w:hAnsi="宋体" w:cs="宋体"/>
                <w:szCs w:val="21"/>
              </w:rPr>
              <w:t>年    月    日</w:t>
            </w:r>
          </w:p>
        </w:tc>
      </w:tr>
    </w:tbl>
    <w:p>
      <w:pPr>
        <w:snapToGrid w:val="0"/>
        <w:spacing w:line="360" w:lineRule="exact"/>
        <w:ind w:left="420" w:hanging="420" w:hangingChars="200"/>
        <w:rPr>
          <w:rFonts w:hint="eastAsia" w:ascii="宋体" w:hAnsi="宋体" w:cs="宋体"/>
          <w:szCs w:val="21"/>
        </w:rPr>
      </w:pPr>
    </w:p>
    <w:p>
      <w:pPr>
        <w:snapToGrid w:val="0"/>
        <w:spacing w:line="360" w:lineRule="exact"/>
        <w:jc w:val="center"/>
        <w:rPr>
          <w:rFonts w:hint="eastAsia" w:ascii="宋体" w:hAnsi="宋体" w:cs="宋体"/>
          <w:b/>
          <w:szCs w:val="21"/>
        </w:rPr>
      </w:pPr>
    </w:p>
    <w:p>
      <w:pPr>
        <w:snapToGrid w:val="0"/>
        <w:spacing w:line="600" w:lineRule="exact"/>
        <w:jc w:val="center"/>
        <w:rPr>
          <w:rFonts w:hint="eastAsia" w:ascii="宋体" w:hAnsi="宋体" w:cs="宋体"/>
          <w:sz w:val="36"/>
          <w:szCs w:val="36"/>
        </w:rPr>
      </w:pPr>
      <w:r>
        <w:rPr>
          <w:rFonts w:hint="eastAsia" w:ascii="宋体" w:hAnsi="宋体" w:cs="宋体"/>
          <w:sz w:val="36"/>
          <w:szCs w:val="36"/>
        </w:rPr>
        <w:br w:type="page"/>
      </w:r>
      <w:r>
        <w:rPr>
          <w:rFonts w:hint="eastAsia" w:ascii="宋体" w:hAnsi="宋体" w:cs="宋体"/>
          <w:sz w:val="36"/>
          <w:szCs w:val="36"/>
        </w:rPr>
        <w:t>合 同 附 件</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b/>
          <w:sz w:val="24"/>
        </w:rPr>
      </w:pPr>
      <w:r>
        <w:rPr>
          <w:rFonts w:hint="eastAsia" w:ascii="宋体" w:hAnsi="宋体" w:cs="宋体"/>
          <w:b/>
          <w:sz w:val="24"/>
        </w:rPr>
        <w:t>一般货物类</w:t>
      </w:r>
    </w:p>
    <w:tbl>
      <w:tblPr>
        <w:tblStyle w:val="25"/>
        <w:tblW w:w="0" w:type="auto"/>
        <w:jc w:val="center"/>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1、供应商承诺具体事项：</w:t>
            </w:r>
          </w:p>
        </w:tc>
      </w:tr>
      <w:tr>
        <w:tblPrEx>
          <w:tblCellMar>
            <w:top w:w="0" w:type="dxa"/>
            <w:left w:w="108" w:type="dxa"/>
            <w:bottom w:w="0" w:type="dxa"/>
            <w:right w:w="108" w:type="dxa"/>
          </w:tblCellMar>
        </w:tblPrEx>
        <w:trPr>
          <w:trHeight w:val="1728"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2、售后服务具体事项：</w:t>
            </w:r>
          </w:p>
        </w:tc>
      </w:tr>
      <w:tr>
        <w:tblPrEx>
          <w:tblCellMar>
            <w:top w:w="0" w:type="dxa"/>
            <w:left w:w="108" w:type="dxa"/>
            <w:bottom w:w="0" w:type="dxa"/>
            <w:right w:w="108" w:type="dxa"/>
          </w:tblCellMar>
        </w:tblPrEx>
        <w:trPr>
          <w:trHeight w:val="1644"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3、保修期责任：</w:t>
            </w:r>
          </w:p>
        </w:tc>
      </w:tr>
      <w:tr>
        <w:tblPrEx>
          <w:tblCellMar>
            <w:top w:w="0" w:type="dxa"/>
            <w:left w:w="108" w:type="dxa"/>
            <w:bottom w:w="0" w:type="dxa"/>
            <w:right w:w="108" w:type="dxa"/>
          </w:tblCellMar>
        </w:tblPrEx>
        <w:trPr>
          <w:trHeight w:val="1810"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hint="eastAsia" w:ascii="宋体" w:hAnsi="宋体" w:cs="宋体"/>
                <w:szCs w:val="21"/>
              </w:rPr>
            </w:pPr>
            <w:r>
              <w:rPr>
                <w:rFonts w:hint="eastAsia" w:ascii="宋体" w:hAnsi="宋体" w:cs="宋体"/>
                <w:szCs w:val="21"/>
              </w:rPr>
              <w:t>4、其他具体事项：</w:t>
            </w:r>
          </w:p>
        </w:tc>
      </w:tr>
      <w:tr>
        <w:tblPrEx>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szCs w:val="21"/>
              </w:rPr>
            </w:pPr>
            <w:r>
              <w:rPr>
                <w:rFonts w:hint="eastAsia" w:ascii="宋体" w:hAnsi="宋体" w:cs="宋体"/>
                <w:szCs w:val="21"/>
              </w:rPr>
              <w:t>甲方（章）</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ind w:firstLine="422"/>
              <w:rPr>
                <w:rFonts w:hint="eastAsia" w:ascii="宋体" w:hAnsi="宋体" w:cs="宋体"/>
                <w:szCs w:val="21"/>
              </w:rPr>
            </w:pPr>
            <w:r>
              <w:rPr>
                <w:rFonts w:hint="eastAsia" w:ascii="宋体" w:hAnsi="宋体" w:cs="宋体"/>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cs="宋体"/>
                <w:szCs w:val="21"/>
              </w:rPr>
            </w:pPr>
            <w:r>
              <w:rPr>
                <w:rFonts w:hint="eastAsia" w:ascii="宋体" w:hAnsi="宋体" w:cs="宋体"/>
                <w:szCs w:val="21"/>
              </w:rPr>
              <w:t>乙方（章）</w:t>
            </w: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rPr>
                <w:rFonts w:hint="eastAsia" w:ascii="宋体" w:hAnsi="宋体" w:cs="宋体"/>
                <w:szCs w:val="21"/>
              </w:rPr>
            </w:pPr>
          </w:p>
          <w:p>
            <w:pPr>
              <w:snapToGrid w:val="0"/>
              <w:spacing w:line="360" w:lineRule="exact"/>
              <w:ind w:firstLine="422"/>
              <w:rPr>
                <w:rFonts w:hint="eastAsia" w:ascii="宋体" w:hAnsi="宋体" w:cs="宋体"/>
                <w:szCs w:val="21"/>
              </w:rPr>
            </w:pPr>
            <w:r>
              <w:rPr>
                <w:rFonts w:hint="eastAsia" w:ascii="宋体" w:hAnsi="宋体" w:cs="宋体"/>
                <w:szCs w:val="21"/>
              </w:rPr>
              <w:t xml:space="preserve">                       年   月   日</w:t>
            </w:r>
          </w:p>
        </w:tc>
      </w:tr>
    </w:tbl>
    <w:p>
      <w:pPr>
        <w:snapToGrid w:val="0"/>
        <w:spacing w:line="360" w:lineRule="exact"/>
        <w:rPr>
          <w:rFonts w:hint="eastAsia" w:ascii="宋体" w:hAnsi="宋体" w:cs="宋体"/>
          <w:szCs w:val="21"/>
        </w:rPr>
      </w:pPr>
      <w:r>
        <w:rPr>
          <w:rFonts w:hint="eastAsia" w:ascii="宋体" w:hAnsi="宋体" w:cs="宋体"/>
          <w:szCs w:val="21"/>
        </w:rPr>
        <w:t xml:space="preserve">  注：售后服务事项填不下时可另加附页</w:t>
      </w:r>
    </w:p>
    <w:p>
      <w:pPr>
        <w:jc w:val="center"/>
        <w:rPr>
          <w:rFonts w:hint="eastAsia" w:ascii="宋体" w:hAnsi="宋体" w:cs="宋体"/>
          <w:b/>
          <w:sz w:val="44"/>
          <w:szCs w:val="44"/>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jc w:val="center"/>
        <w:rPr>
          <w:rFonts w:hint="eastAsia" w:ascii="宋体" w:hAnsi="宋体" w:cs="宋体"/>
          <w:bCs w:val="0"/>
          <w:sz w:val="44"/>
        </w:rPr>
      </w:pPr>
      <w:bookmarkStart w:id="139" w:name="_Toc18478"/>
      <w:r>
        <w:rPr>
          <w:rFonts w:hint="eastAsia" w:ascii="宋体" w:hAnsi="宋体" w:cs="宋体"/>
          <w:b w:val="0"/>
          <w:sz w:val="44"/>
          <w:szCs w:val="44"/>
        </w:rPr>
        <w:t>第四章  谈判响应文件（格式）</w:t>
      </w:r>
      <w:bookmarkEnd w:id="138"/>
      <w:bookmarkEnd w:id="139"/>
    </w:p>
    <w:p>
      <w:pPr>
        <w:pStyle w:val="11"/>
        <w:jc w:val="center"/>
        <w:rPr>
          <w:rFonts w:hint="eastAsia" w:hAnsi="宋体" w:cs="宋体"/>
          <w:sz w:val="36"/>
          <w:szCs w:val="36"/>
        </w:rPr>
      </w:pPr>
    </w:p>
    <w:p>
      <w:pPr>
        <w:pStyle w:val="11"/>
        <w:jc w:val="center"/>
        <w:rPr>
          <w:rFonts w:hint="eastAsia" w:hAnsi="宋体" w:cs="宋体"/>
          <w:sz w:val="36"/>
          <w:szCs w:val="36"/>
        </w:rPr>
      </w:pPr>
    </w:p>
    <w:p>
      <w:pPr>
        <w:pStyle w:val="11"/>
        <w:jc w:val="center"/>
        <w:rPr>
          <w:rFonts w:hint="eastAsia" w:hAnsi="宋体" w:cs="宋体"/>
          <w:sz w:val="36"/>
          <w:szCs w:val="36"/>
        </w:rPr>
      </w:pPr>
      <w:r>
        <w:rPr>
          <w:rFonts w:hint="eastAsia" w:hAnsi="宋体" w:cs="宋体"/>
          <w:sz w:val="36"/>
          <w:szCs w:val="36"/>
        </w:rPr>
        <w:t>（封面格式）</w:t>
      </w:r>
    </w:p>
    <w:p>
      <w:pPr>
        <w:pStyle w:val="11"/>
        <w:jc w:val="center"/>
        <w:rPr>
          <w:rFonts w:hint="eastAsia" w:hAnsi="宋体" w:cs="宋体"/>
          <w:sz w:val="36"/>
          <w:szCs w:val="36"/>
        </w:rPr>
      </w:pPr>
    </w:p>
    <w:p>
      <w:pPr>
        <w:pStyle w:val="11"/>
        <w:ind w:firstLine="2160" w:firstLineChars="600"/>
        <w:rPr>
          <w:rFonts w:hint="eastAsia" w:hAnsi="宋体" w:cs="宋体"/>
          <w:b/>
          <w:sz w:val="36"/>
          <w:szCs w:val="36"/>
        </w:rPr>
      </w:pPr>
      <w:r>
        <w:rPr>
          <w:rFonts w:hint="eastAsia" w:hAnsi="宋体" w:cs="宋体"/>
          <w:sz w:val="36"/>
          <w:szCs w:val="36"/>
        </w:rPr>
        <w:t xml:space="preserve">                           </w:t>
      </w:r>
      <w:r>
        <w:rPr>
          <w:rFonts w:hint="eastAsia" w:hAnsi="宋体" w:cs="宋体"/>
          <w:sz w:val="36"/>
          <w:szCs w:val="36"/>
          <w:u w:val="single"/>
        </w:rPr>
        <w:t xml:space="preserve"> </w:t>
      </w:r>
      <w:r>
        <w:rPr>
          <w:rFonts w:hint="eastAsia" w:hAnsi="宋体" w:cs="宋体"/>
          <w:b/>
          <w:sz w:val="36"/>
          <w:szCs w:val="36"/>
          <w:u w:val="single"/>
        </w:rPr>
        <w:t xml:space="preserve">正/副 </w:t>
      </w:r>
      <w:r>
        <w:rPr>
          <w:rFonts w:hint="eastAsia" w:hAnsi="宋体" w:cs="宋体"/>
          <w:b/>
          <w:sz w:val="36"/>
          <w:szCs w:val="36"/>
        </w:rPr>
        <w:t>本</w:t>
      </w:r>
    </w:p>
    <w:p>
      <w:pPr>
        <w:pStyle w:val="11"/>
        <w:jc w:val="center"/>
        <w:rPr>
          <w:rFonts w:hint="eastAsia" w:hAnsi="宋体" w:cs="宋体"/>
          <w:b/>
          <w:sz w:val="36"/>
          <w:szCs w:val="36"/>
        </w:rPr>
      </w:pPr>
      <w:r>
        <w:rPr>
          <w:rFonts w:hint="eastAsia" w:hAnsi="宋体" w:cs="宋体"/>
          <w:b/>
          <w:sz w:val="36"/>
          <w:szCs w:val="36"/>
        </w:rPr>
        <w:t>××××××（竞争性谈判供应商名称）</w:t>
      </w:r>
    </w:p>
    <w:p>
      <w:pPr>
        <w:pStyle w:val="11"/>
        <w:jc w:val="center"/>
        <w:rPr>
          <w:rFonts w:hint="eastAsia" w:hAnsi="宋体" w:cs="宋体"/>
          <w:sz w:val="36"/>
          <w:szCs w:val="36"/>
        </w:rPr>
      </w:pPr>
    </w:p>
    <w:p>
      <w:pPr>
        <w:pStyle w:val="11"/>
        <w:jc w:val="center"/>
        <w:rPr>
          <w:rFonts w:hint="eastAsia" w:hAnsi="宋体" w:cs="宋体"/>
          <w:sz w:val="36"/>
          <w:szCs w:val="36"/>
        </w:rPr>
      </w:pPr>
    </w:p>
    <w:p>
      <w:pPr>
        <w:pStyle w:val="11"/>
        <w:jc w:val="center"/>
        <w:rPr>
          <w:rFonts w:hint="eastAsia" w:hAnsi="宋体" w:cs="宋体"/>
          <w:b/>
          <w:sz w:val="72"/>
          <w:szCs w:val="72"/>
        </w:rPr>
      </w:pPr>
      <w:r>
        <w:rPr>
          <w:rFonts w:hint="eastAsia" w:hAnsi="宋体" w:cs="宋体"/>
          <w:b/>
          <w:sz w:val="72"/>
          <w:szCs w:val="72"/>
        </w:rPr>
        <w:t>谈判响应文件</w:t>
      </w:r>
    </w:p>
    <w:p>
      <w:pPr>
        <w:pStyle w:val="11"/>
        <w:jc w:val="center"/>
        <w:rPr>
          <w:rFonts w:hint="eastAsia" w:hAnsi="宋体" w:cs="宋体"/>
          <w:sz w:val="36"/>
          <w:szCs w:val="36"/>
        </w:rPr>
      </w:pPr>
    </w:p>
    <w:p>
      <w:pPr>
        <w:pStyle w:val="11"/>
        <w:jc w:val="center"/>
        <w:rPr>
          <w:rFonts w:hint="eastAsia" w:hAnsi="宋体" w:cs="宋体"/>
          <w:sz w:val="36"/>
          <w:szCs w:val="36"/>
        </w:rPr>
      </w:pPr>
    </w:p>
    <w:p>
      <w:pPr>
        <w:pStyle w:val="11"/>
        <w:ind w:firstLine="1500" w:firstLineChars="500"/>
        <w:rPr>
          <w:rFonts w:hint="eastAsia" w:hAnsi="宋体" w:cs="宋体"/>
          <w:b/>
          <w:sz w:val="30"/>
          <w:szCs w:val="30"/>
          <w:u w:val="single"/>
        </w:rPr>
      </w:pPr>
      <w:r>
        <w:rPr>
          <w:rFonts w:hint="eastAsia" w:hAnsi="宋体" w:cs="宋体"/>
          <w:b/>
          <w:sz w:val="30"/>
          <w:szCs w:val="30"/>
        </w:rPr>
        <w:t>项目名称：</w:t>
      </w:r>
      <w:r>
        <w:rPr>
          <w:rFonts w:hint="eastAsia" w:hAnsi="宋体" w:cs="宋体"/>
          <w:b/>
          <w:bCs/>
          <w:sz w:val="30"/>
          <w:szCs w:val="30"/>
          <w:u w:val="single"/>
        </w:rPr>
        <w:t xml:space="preserve">             </w:t>
      </w:r>
      <w:r>
        <w:rPr>
          <w:rFonts w:hint="eastAsia" w:hAnsi="宋体" w:cs="宋体"/>
          <w:b/>
          <w:sz w:val="30"/>
          <w:szCs w:val="30"/>
          <w:u w:val="single"/>
        </w:rPr>
        <w:t xml:space="preserve"> </w:t>
      </w:r>
    </w:p>
    <w:p>
      <w:pPr>
        <w:pStyle w:val="11"/>
        <w:ind w:firstLine="1500" w:firstLineChars="500"/>
        <w:rPr>
          <w:rFonts w:hint="eastAsia" w:hAnsi="宋体" w:cs="宋体"/>
          <w:b/>
          <w:sz w:val="30"/>
          <w:szCs w:val="30"/>
          <w:u w:val="single"/>
        </w:rPr>
      </w:pPr>
      <w:r>
        <w:rPr>
          <w:rFonts w:hint="eastAsia" w:hAnsi="宋体" w:cs="宋体"/>
          <w:b/>
          <w:sz w:val="30"/>
          <w:szCs w:val="30"/>
        </w:rPr>
        <w:t>项目编号：</w:t>
      </w:r>
      <w:r>
        <w:rPr>
          <w:rFonts w:hint="eastAsia" w:hAnsi="宋体" w:cs="宋体"/>
          <w:b/>
          <w:sz w:val="30"/>
          <w:szCs w:val="30"/>
          <w:u w:val="single"/>
        </w:rPr>
        <w:t xml:space="preserve">              </w:t>
      </w:r>
    </w:p>
    <w:p>
      <w:pPr>
        <w:pStyle w:val="11"/>
        <w:ind w:firstLine="2560" w:firstLineChars="800"/>
        <w:rPr>
          <w:rFonts w:hint="eastAsia" w:hAnsi="宋体" w:cs="宋体"/>
          <w:sz w:val="32"/>
          <w:szCs w:val="32"/>
          <w:u w:val="single"/>
        </w:rPr>
      </w:pPr>
    </w:p>
    <w:p>
      <w:pPr>
        <w:pStyle w:val="11"/>
        <w:ind w:firstLine="2560" w:firstLineChars="800"/>
        <w:rPr>
          <w:rFonts w:hint="eastAsia" w:hAnsi="宋体" w:cs="宋体"/>
          <w:sz w:val="32"/>
          <w:szCs w:val="32"/>
          <w:u w:val="single"/>
        </w:rPr>
      </w:pPr>
    </w:p>
    <w:p>
      <w:pPr>
        <w:pStyle w:val="11"/>
        <w:rPr>
          <w:rFonts w:hint="eastAsia" w:hAnsi="宋体" w:cs="宋体"/>
          <w:sz w:val="32"/>
          <w:szCs w:val="32"/>
          <w:u w:val="single"/>
        </w:rPr>
      </w:pPr>
    </w:p>
    <w:p>
      <w:pPr>
        <w:pStyle w:val="11"/>
        <w:ind w:firstLine="480" w:firstLineChars="150"/>
        <w:rPr>
          <w:rFonts w:hint="eastAsia" w:hAnsi="宋体" w:cs="宋体"/>
          <w:sz w:val="32"/>
          <w:szCs w:val="32"/>
          <w:u w:val="single"/>
        </w:rPr>
      </w:pPr>
      <w:r>
        <w:rPr>
          <w:rFonts w:hint="eastAsia" w:hAnsi="宋体" w:cs="宋体"/>
          <w:sz w:val="32"/>
          <w:szCs w:val="32"/>
        </w:rPr>
        <w:t>竞争性谈判供应商：</w:t>
      </w:r>
      <w:r>
        <w:rPr>
          <w:rFonts w:hint="eastAsia" w:hAnsi="宋体" w:cs="宋体"/>
          <w:sz w:val="32"/>
          <w:szCs w:val="32"/>
          <w:u w:val="single"/>
        </w:rPr>
        <w:t xml:space="preserve">              （盖单位公章）     </w:t>
      </w:r>
    </w:p>
    <w:p>
      <w:pPr>
        <w:pStyle w:val="11"/>
        <w:ind w:firstLine="480" w:firstLineChars="150"/>
        <w:rPr>
          <w:rFonts w:hint="eastAsia" w:hAnsi="宋体" w:cs="宋体"/>
          <w:sz w:val="32"/>
          <w:szCs w:val="32"/>
        </w:rPr>
      </w:pPr>
      <w:r>
        <w:rPr>
          <w:rFonts w:hint="eastAsia" w:hAnsi="宋体" w:cs="宋体"/>
          <w:sz w:val="32"/>
          <w:szCs w:val="32"/>
        </w:rPr>
        <w:t>法定代表人或其委托代理人：</w:t>
      </w:r>
      <w:r>
        <w:rPr>
          <w:rFonts w:hint="eastAsia" w:hAnsi="宋体" w:cs="宋体"/>
          <w:sz w:val="32"/>
          <w:szCs w:val="32"/>
          <w:u w:val="single"/>
        </w:rPr>
        <w:t xml:space="preserve">  （签名或盖章）         </w:t>
      </w:r>
    </w:p>
    <w:p>
      <w:pPr>
        <w:pStyle w:val="11"/>
        <w:ind w:firstLine="1760" w:firstLineChars="550"/>
        <w:rPr>
          <w:rFonts w:hint="eastAsia" w:hAnsi="宋体" w:cs="宋体"/>
          <w:sz w:val="32"/>
          <w:szCs w:val="32"/>
        </w:rPr>
      </w:pPr>
      <w:r>
        <w:rPr>
          <w:rFonts w:hint="eastAsia" w:hAnsi="宋体" w:cs="宋体"/>
          <w:sz w:val="32"/>
          <w:szCs w:val="32"/>
        </w:rPr>
        <w:t>日期：</w:t>
      </w:r>
      <w:r>
        <w:rPr>
          <w:rFonts w:hint="eastAsia" w:hAnsi="宋体" w:cs="宋体"/>
          <w:sz w:val="32"/>
          <w:szCs w:val="32"/>
          <w:u w:val="single"/>
        </w:rPr>
        <w:t xml:space="preserve">     </w:t>
      </w:r>
      <w:r>
        <w:rPr>
          <w:rFonts w:hint="eastAsia" w:hAnsi="宋体" w:cs="宋体"/>
          <w:sz w:val="32"/>
          <w:szCs w:val="32"/>
        </w:rPr>
        <w:t>年</w:t>
      </w:r>
      <w:r>
        <w:rPr>
          <w:rFonts w:hint="eastAsia" w:hAnsi="宋体" w:cs="宋体"/>
          <w:sz w:val="32"/>
          <w:szCs w:val="32"/>
          <w:u w:val="single"/>
        </w:rPr>
        <w:t xml:space="preserve">     </w:t>
      </w:r>
      <w:r>
        <w:rPr>
          <w:rFonts w:hint="eastAsia" w:hAnsi="宋体" w:cs="宋体"/>
          <w:sz w:val="32"/>
          <w:szCs w:val="32"/>
        </w:rPr>
        <w:t>月</w:t>
      </w:r>
      <w:r>
        <w:rPr>
          <w:rFonts w:hint="eastAsia" w:hAnsi="宋体" w:cs="宋体"/>
          <w:sz w:val="32"/>
          <w:szCs w:val="32"/>
          <w:u w:val="single"/>
        </w:rPr>
        <w:t xml:space="preserve">     </w:t>
      </w:r>
      <w:r>
        <w:rPr>
          <w:rFonts w:hint="eastAsia" w:hAnsi="宋体" w:cs="宋体"/>
          <w:sz w:val="32"/>
          <w:szCs w:val="32"/>
        </w:rPr>
        <w:t>日</w:t>
      </w: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r>
        <w:rPr>
          <w:rFonts w:hint="eastAsia" w:hAnsi="宋体" w:cs="宋体"/>
          <w:b/>
          <w:sz w:val="32"/>
        </w:rPr>
        <w:t>目   录</w:t>
      </w:r>
    </w:p>
    <w:p>
      <w:pPr>
        <w:pStyle w:val="11"/>
        <w:jc w:val="center"/>
        <w:rPr>
          <w:rFonts w:hint="eastAsia" w:hAnsi="宋体" w:cs="宋体"/>
          <w:b/>
          <w:sz w:val="32"/>
        </w:rPr>
      </w:pPr>
    </w:p>
    <w:p>
      <w:pPr>
        <w:pStyle w:val="11"/>
        <w:ind w:firstLine="1106" w:firstLineChars="395"/>
        <w:jc w:val="left"/>
        <w:rPr>
          <w:rFonts w:hint="eastAsia" w:hAnsi="宋体" w:cs="宋体"/>
          <w:sz w:val="28"/>
          <w:szCs w:val="28"/>
        </w:rPr>
      </w:pPr>
      <w:r>
        <w:rPr>
          <w:rFonts w:hint="eastAsia" w:hAnsi="宋体" w:cs="宋体"/>
          <w:sz w:val="28"/>
          <w:szCs w:val="28"/>
        </w:rPr>
        <w:t>一、资格和商务标部分………………………页码</w:t>
      </w:r>
    </w:p>
    <w:p>
      <w:pPr>
        <w:pStyle w:val="11"/>
        <w:ind w:firstLine="1246" w:firstLineChars="445"/>
        <w:rPr>
          <w:rFonts w:hint="eastAsia" w:hAnsi="宋体" w:cs="宋体"/>
          <w:sz w:val="28"/>
          <w:szCs w:val="28"/>
        </w:rPr>
      </w:pPr>
      <w:r>
        <w:rPr>
          <w:rFonts w:hint="eastAsia" w:hAnsi="宋体" w:cs="宋体"/>
          <w:sz w:val="28"/>
          <w:szCs w:val="28"/>
        </w:rPr>
        <w:t>1、竞标函……………………………………页码</w:t>
      </w:r>
    </w:p>
    <w:p>
      <w:pPr>
        <w:pStyle w:val="11"/>
        <w:ind w:firstLine="1246" w:firstLineChars="445"/>
        <w:rPr>
          <w:rFonts w:hint="eastAsia" w:hAnsi="宋体" w:cs="宋体"/>
          <w:sz w:val="28"/>
          <w:szCs w:val="28"/>
        </w:rPr>
      </w:pPr>
      <w:r>
        <w:rPr>
          <w:rFonts w:hint="eastAsia" w:hAnsi="宋体" w:cs="宋体"/>
          <w:sz w:val="28"/>
          <w:szCs w:val="28"/>
        </w:rPr>
        <w:t>2、谈判报价表………………………………页码</w:t>
      </w:r>
    </w:p>
    <w:p>
      <w:pPr>
        <w:pStyle w:val="11"/>
        <w:ind w:firstLine="1246" w:firstLineChars="445"/>
        <w:rPr>
          <w:rFonts w:hint="eastAsia" w:hAnsi="宋体" w:cs="宋体"/>
          <w:sz w:val="28"/>
          <w:szCs w:val="28"/>
        </w:rPr>
      </w:pPr>
      <w:r>
        <w:rPr>
          <w:rFonts w:hint="eastAsia" w:hAnsi="宋体" w:cs="宋体"/>
          <w:sz w:val="28"/>
          <w:szCs w:val="28"/>
        </w:rPr>
        <w:t>3、竞争性谈判供应商资格证明文件………页码</w:t>
      </w:r>
    </w:p>
    <w:p>
      <w:pPr>
        <w:pStyle w:val="11"/>
        <w:ind w:firstLine="1246" w:firstLineChars="445"/>
        <w:rPr>
          <w:rFonts w:hint="eastAsia" w:hAnsi="宋体" w:cs="宋体"/>
          <w:sz w:val="28"/>
          <w:szCs w:val="28"/>
        </w:rPr>
      </w:pPr>
      <w:r>
        <w:rPr>
          <w:rFonts w:hint="eastAsia" w:hAnsi="宋体" w:cs="宋体"/>
          <w:sz w:val="28"/>
          <w:szCs w:val="28"/>
        </w:rPr>
        <w:t>4、售后服务承诺书…………………………页码</w:t>
      </w:r>
    </w:p>
    <w:p>
      <w:pPr>
        <w:pStyle w:val="11"/>
        <w:ind w:firstLine="1106" w:firstLineChars="395"/>
        <w:rPr>
          <w:rFonts w:hint="eastAsia" w:hAnsi="宋体" w:cs="宋体"/>
          <w:sz w:val="28"/>
          <w:szCs w:val="28"/>
        </w:rPr>
      </w:pPr>
      <w:r>
        <w:rPr>
          <w:rFonts w:hint="eastAsia" w:hAnsi="宋体" w:cs="宋体"/>
          <w:sz w:val="28"/>
          <w:szCs w:val="28"/>
        </w:rPr>
        <w:t>二、技术标部分………………………………页码</w:t>
      </w:r>
    </w:p>
    <w:p>
      <w:pPr>
        <w:pStyle w:val="11"/>
        <w:ind w:firstLine="1246" w:firstLineChars="445"/>
        <w:jc w:val="left"/>
        <w:rPr>
          <w:rFonts w:hint="eastAsia" w:hAnsi="宋体" w:cs="宋体"/>
          <w:sz w:val="28"/>
          <w:szCs w:val="28"/>
        </w:rPr>
      </w:pPr>
      <w:r>
        <w:rPr>
          <w:rFonts w:hint="eastAsia" w:hAnsi="宋体" w:cs="宋体"/>
          <w:sz w:val="28"/>
          <w:szCs w:val="28"/>
        </w:rPr>
        <w:t>1、技术规格响应表…………………………页码</w:t>
      </w:r>
    </w:p>
    <w:p>
      <w:pPr>
        <w:pStyle w:val="11"/>
        <w:rPr>
          <w:rFonts w:hint="eastAsia" w:hAnsi="宋体" w:cs="宋体"/>
          <w:b/>
          <w:sz w:val="32"/>
        </w:rPr>
      </w:pPr>
      <w:r>
        <w:rPr>
          <w:rFonts w:hint="eastAsia" w:hAnsi="宋体" w:cs="宋体"/>
          <w:b/>
          <w:sz w:val="32"/>
        </w:rPr>
        <w:br w:type="page"/>
      </w: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b/>
          <w:sz w:val="32"/>
        </w:rPr>
      </w:pPr>
    </w:p>
    <w:p>
      <w:pPr>
        <w:pStyle w:val="11"/>
        <w:jc w:val="center"/>
        <w:rPr>
          <w:rFonts w:hint="eastAsia" w:hAnsi="宋体" w:cs="宋体"/>
        </w:rPr>
      </w:pPr>
      <w:r>
        <w:rPr>
          <w:rFonts w:hint="eastAsia" w:hAnsi="宋体" w:cs="宋体"/>
          <w:b/>
          <w:sz w:val="32"/>
        </w:rPr>
        <w:t>一、资格和商务标部分</w:t>
      </w:r>
      <w:r>
        <w:rPr>
          <w:rFonts w:hint="eastAsia" w:hAnsi="宋体" w:cs="宋体"/>
          <w:b/>
          <w:sz w:val="32"/>
        </w:rPr>
        <w:br w:type="page"/>
      </w:r>
      <w:r>
        <w:rPr>
          <w:rFonts w:hint="eastAsia" w:hAnsi="宋体" w:cs="宋体"/>
          <w:b/>
          <w:sz w:val="32"/>
        </w:rPr>
        <w:t>1．竞 标 函（格 式）</w:t>
      </w:r>
    </w:p>
    <w:p>
      <w:pPr>
        <w:pStyle w:val="11"/>
        <w:spacing w:line="400" w:lineRule="exact"/>
        <w:rPr>
          <w:rFonts w:hint="eastAsia" w:hAnsi="宋体" w:cs="宋体"/>
          <w:sz w:val="24"/>
          <w:szCs w:val="24"/>
        </w:rPr>
      </w:pPr>
      <w:r>
        <w:rPr>
          <w:rFonts w:hint="eastAsia" w:hAnsi="宋体" w:cs="宋体"/>
          <w:sz w:val="24"/>
          <w:szCs w:val="24"/>
        </w:rPr>
        <w:t xml:space="preserve">致：  </w:t>
      </w:r>
      <w:r>
        <w:rPr>
          <w:rFonts w:hint="eastAsia" w:hAnsi="宋体"/>
          <w:sz w:val="24"/>
          <w:szCs w:val="24"/>
        </w:rPr>
        <w:t>(采购人)</w:t>
      </w:r>
      <w:r>
        <w:rPr>
          <w:rFonts w:hint="eastAsia" w:hAnsi="宋体" w:cs="宋体"/>
          <w:sz w:val="24"/>
          <w:szCs w:val="24"/>
        </w:rPr>
        <w:t xml:space="preserve">  </w:t>
      </w:r>
      <w:r>
        <w:rPr>
          <w:rFonts w:hint="eastAsia" w:hAnsi="宋体"/>
          <w:sz w:val="24"/>
          <w:szCs w:val="24"/>
        </w:rPr>
        <w:t xml:space="preserve"> </w:t>
      </w:r>
    </w:p>
    <w:p>
      <w:pPr>
        <w:pStyle w:val="11"/>
        <w:spacing w:line="400" w:lineRule="exact"/>
        <w:ind w:firstLine="480" w:firstLineChars="200"/>
        <w:rPr>
          <w:rFonts w:hint="eastAsia" w:hAnsi="宋体" w:cs="宋体"/>
          <w:sz w:val="24"/>
          <w:szCs w:val="24"/>
        </w:rPr>
      </w:pPr>
      <w:r>
        <w:rPr>
          <w:rFonts w:hint="eastAsia" w:hAnsi="宋体" w:cs="宋体"/>
          <w:sz w:val="24"/>
          <w:szCs w:val="24"/>
        </w:rPr>
        <w:t>根据贵方</w:t>
      </w:r>
      <w:r>
        <w:rPr>
          <w:rFonts w:hint="eastAsia" w:hAnsi="宋体" w:cs="宋体"/>
          <w:bCs/>
          <w:sz w:val="24"/>
          <w:szCs w:val="24"/>
          <w:u w:val="single"/>
        </w:rPr>
        <w:t xml:space="preserve">   （项目名称）   </w:t>
      </w:r>
      <w:r>
        <w:rPr>
          <w:rFonts w:hint="eastAsia" w:hAnsi="宋体" w:cs="宋体"/>
          <w:sz w:val="24"/>
          <w:szCs w:val="24"/>
        </w:rPr>
        <w:t>项目竞争性谈判采购文件，项目编号：</w:t>
      </w:r>
      <w:r>
        <w:rPr>
          <w:rFonts w:hint="eastAsia" w:hAnsi="宋体" w:cs="宋体"/>
          <w:sz w:val="24"/>
          <w:szCs w:val="24"/>
          <w:u w:val="single"/>
        </w:rPr>
        <w:t xml:space="preserve">           </w:t>
      </w:r>
      <w:r>
        <w:rPr>
          <w:rFonts w:hint="eastAsia" w:hAnsi="宋体" w:cs="宋体"/>
          <w:sz w:val="24"/>
          <w:szCs w:val="24"/>
        </w:rPr>
        <w:t>，正式授权下述签名人</w:t>
      </w:r>
      <w:r>
        <w:rPr>
          <w:rFonts w:hint="eastAsia" w:hAnsi="宋体" w:cs="宋体"/>
          <w:sz w:val="24"/>
          <w:szCs w:val="24"/>
          <w:u w:val="single"/>
        </w:rPr>
        <w:t xml:space="preserve">            </w:t>
      </w:r>
      <w:r>
        <w:rPr>
          <w:rFonts w:hint="eastAsia" w:hAnsi="宋体" w:cs="宋体"/>
          <w:sz w:val="24"/>
          <w:szCs w:val="24"/>
        </w:rPr>
        <w:t>（姓名和职务）代表竞争性谈判供应商</w:t>
      </w:r>
      <w:r>
        <w:rPr>
          <w:rFonts w:hint="eastAsia" w:hAnsi="宋体" w:cs="宋体"/>
          <w:sz w:val="24"/>
          <w:szCs w:val="24"/>
          <w:u w:val="single"/>
        </w:rPr>
        <w:t xml:space="preserve">  （竞争性谈判供应商名称） </w:t>
      </w:r>
      <w:r>
        <w:rPr>
          <w:rFonts w:hint="eastAsia" w:hAnsi="宋体" w:cs="宋体"/>
          <w:sz w:val="24"/>
          <w:szCs w:val="24"/>
        </w:rPr>
        <w:t>，提交下述谈判响应文件正本一份，副本三份，电子档一份。</w:t>
      </w:r>
    </w:p>
    <w:p>
      <w:pPr>
        <w:pStyle w:val="11"/>
        <w:spacing w:line="400" w:lineRule="exact"/>
        <w:ind w:firstLine="420"/>
        <w:rPr>
          <w:rFonts w:hint="eastAsia" w:hAnsi="宋体" w:cs="宋体"/>
          <w:sz w:val="24"/>
          <w:szCs w:val="24"/>
        </w:rPr>
      </w:pPr>
      <w:r>
        <w:rPr>
          <w:rFonts w:hint="eastAsia" w:hAnsi="宋体" w:cs="宋体"/>
          <w:sz w:val="24"/>
          <w:szCs w:val="24"/>
        </w:rPr>
        <w:t>一、资格和商务标部分</w:t>
      </w:r>
    </w:p>
    <w:p>
      <w:pPr>
        <w:pStyle w:val="11"/>
        <w:spacing w:line="400" w:lineRule="exact"/>
        <w:ind w:firstLine="420"/>
        <w:rPr>
          <w:rFonts w:hint="eastAsia" w:hAnsi="宋体" w:cs="宋体"/>
          <w:sz w:val="24"/>
          <w:szCs w:val="24"/>
        </w:rPr>
      </w:pPr>
      <w:r>
        <w:rPr>
          <w:rFonts w:hint="eastAsia" w:hAnsi="宋体" w:cs="宋体"/>
          <w:sz w:val="24"/>
          <w:szCs w:val="24"/>
        </w:rPr>
        <w:t>1、竞标函</w:t>
      </w:r>
    </w:p>
    <w:p>
      <w:pPr>
        <w:pStyle w:val="11"/>
        <w:spacing w:line="400" w:lineRule="exact"/>
        <w:ind w:firstLine="420"/>
        <w:rPr>
          <w:rFonts w:hint="eastAsia" w:hAnsi="宋体" w:cs="宋体"/>
          <w:sz w:val="24"/>
          <w:szCs w:val="24"/>
        </w:rPr>
      </w:pPr>
      <w:r>
        <w:rPr>
          <w:rFonts w:hint="eastAsia" w:hAnsi="宋体" w:cs="宋体"/>
          <w:sz w:val="24"/>
          <w:szCs w:val="24"/>
        </w:rPr>
        <w:t>2、谈判报价表；</w:t>
      </w:r>
    </w:p>
    <w:p>
      <w:pPr>
        <w:pStyle w:val="11"/>
        <w:spacing w:line="400" w:lineRule="exact"/>
        <w:ind w:firstLine="420"/>
        <w:rPr>
          <w:rFonts w:hint="eastAsia" w:hAnsi="宋体" w:cs="宋体"/>
          <w:sz w:val="24"/>
          <w:szCs w:val="24"/>
        </w:rPr>
      </w:pPr>
      <w:r>
        <w:rPr>
          <w:rFonts w:hint="eastAsia" w:hAnsi="宋体" w:cs="宋体"/>
          <w:sz w:val="24"/>
          <w:szCs w:val="24"/>
        </w:rPr>
        <w:t>3、竞争性谈判供应商资格证明文件；</w:t>
      </w:r>
    </w:p>
    <w:p>
      <w:pPr>
        <w:pStyle w:val="11"/>
        <w:spacing w:line="400" w:lineRule="exact"/>
        <w:ind w:firstLine="420"/>
        <w:rPr>
          <w:rFonts w:hint="eastAsia" w:hAnsi="宋体" w:cs="宋体"/>
          <w:sz w:val="24"/>
          <w:szCs w:val="24"/>
        </w:rPr>
      </w:pPr>
      <w:r>
        <w:rPr>
          <w:rFonts w:hint="eastAsia" w:hAnsi="宋体" w:cs="宋体"/>
          <w:sz w:val="24"/>
          <w:szCs w:val="24"/>
        </w:rPr>
        <w:t>4、售后服务承诺书。</w:t>
      </w:r>
    </w:p>
    <w:p>
      <w:pPr>
        <w:pStyle w:val="11"/>
        <w:spacing w:line="400" w:lineRule="exact"/>
        <w:ind w:firstLine="420"/>
        <w:rPr>
          <w:rFonts w:hint="eastAsia" w:hAnsi="宋体" w:cs="宋体"/>
          <w:sz w:val="24"/>
          <w:szCs w:val="24"/>
        </w:rPr>
      </w:pPr>
      <w:r>
        <w:rPr>
          <w:rFonts w:hint="eastAsia" w:hAnsi="宋体" w:cs="宋体"/>
          <w:sz w:val="24"/>
          <w:szCs w:val="24"/>
        </w:rPr>
        <w:t>二、技术标部分</w:t>
      </w:r>
    </w:p>
    <w:p>
      <w:pPr>
        <w:pStyle w:val="11"/>
        <w:spacing w:line="400" w:lineRule="exact"/>
        <w:ind w:firstLine="420"/>
        <w:rPr>
          <w:rFonts w:hint="eastAsia" w:hAnsi="宋体" w:cs="宋体"/>
          <w:sz w:val="24"/>
          <w:szCs w:val="24"/>
        </w:rPr>
      </w:pPr>
      <w:r>
        <w:rPr>
          <w:rFonts w:hint="eastAsia" w:hAnsi="宋体" w:cs="宋体"/>
          <w:sz w:val="24"/>
          <w:szCs w:val="24"/>
        </w:rPr>
        <w:t>1、技术规格响应表</w:t>
      </w:r>
    </w:p>
    <w:p>
      <w:pPr>
        <w:pStyle w:val="11"/>
        <w:spacing w:line="400" w:lineRule="exact"/>
        <w:ind w:firstLine="480" w:firstLineChars="200"/>
        <w:rPr>
          <w:rFonts w:hint="eastAsia" w:hAnsi="宋体" w:cs="宋体"/>
          <w:sz w:val="24"/>
          <w:szCs w:val="24"/>
        </w:rPr>
      </w:pPr>
      <w:r>
        <w:rPr>
          <w:rFonts w:hint="eastAsia" w:hAnsi="宋体" w:cs="宋体"/>
          <w:sz w:val="24"/>
          <w:szCs w:val="24"/>
        </w:rPr>
        <w:t>据此函，签名人兹宣布同意如下：</w:t>
      </w:r>
    </w:p>
    <w:p>
      <w:pPr>
        <w:pStyle w:val="11"/>
        <w:spacing w:line="400" w:lineRule="exact"/>
        <w:ind w:right="44" w:rightChars="21" w:firstLine="480" w:firstLineChars="200"/>
        <w:rPr>
          <w:rFonts w:hint="eastAsia" w:hAnsi="宋体" w:cs="宋体"/>
          <w:kern w:val="10"/>
          <w:sz w:val="24"/>
          <w:szCs w:val="24"/>
        </w:rPr>
      </w:pPr>
      <w:r>
        <w:rPr>
          <w:rFonts w:hint="eastAsia" w:hAnsi="宋体" w:cs="宋体"/>
          <w:sz w:val="24"/>
          <w:szCs w:val="24"/>
        </w:rPr>
        <w:t>⑴按谈判文件货物需求一览表和谈判报价表</w:t>
      </w:r>
      <w:r>
        <w:rPr>
          <w:rFonts w:hint="eastAsia" w:hAnsi="宋体" w:cs="宋体"/>
          <w:kern w:val="10"/>
          <w:sz w:val="24"/>
          <w:szCs w:val="24"/>
        </w:rPr>
        <w:t>，作以下报价：</w:t>
      </w:r>
    </w:p>
    <w:p>
      <w:pPr>
        <w:pStyle w:val="11"/>
        <w:spacing w:line="400" w:lineRule="exact"/>
        <w:ind w:right="44" w:rightChars="21" w:firstLine="480" w:firstLineChars="200"/>
        <w:rPr>
          <w:rFonts w:hint="eastAsia" w:hAnsi="宋体" w:cs="宋体"/>
          <w:sz w:val="24"/>
          <w:szCs w:val="24"/>
        </w:rPr>
      </w:pPr>
      <w:r>
        <w:rPr>
          <w:rFonts w:hint="eastAsia" w:hAnsi="宋体" w:cs="宋体"/>
          <w:kern w:val="10"/>
          <w:sz w:val="24"/>
          <w:szCs w:val="24"/>
        </w:rPr>
        <w:t>总报价</w:t>
      </w:r>
      <w:r>
        <w:rPr>
          <w:rFonts w:hint="eastAsia" w:hAnsi="宋体" w:cs="宋体"/>
          <w:sz w:val="24"/>
          <w:szCs w:val="24"/>
        </w:rPr>
        <w:t>人民币</w:t>
      </w:r>
      <w:r>
        <w:rPr>
          <w:rFonts w:hint="eastAsia" w:hAnsi="宋体" w:cs="宋体"/>
          <w:kern w:val="10"/>
          <w:sz w:val="24"/>
          <w:szCs w:val="24"/>
        </w:rPr>
        <w:t>大写</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元) ，交货时间：自签订合同之日起</w:t>
      </w:r>
      <w:r>
        <w:rPr>
          <w:rFonts w:hint="eastAsia" w:hAnsi="宋体" w:cs="宋体"/>
          <w:sz w:val="24"/>
          <w:szCs w:val="24"/>
          <w:u w:val="single"/>
        </w:rPr>
        <w:t xml:space="preserve">     </w:t>
      </w:r>
      <w:r>
        <w:rPr>
          <w:rFonts w:hint="eastAsia" w:hAnsi="宋体" w:cs="宋体"/>
          <w:sz w:val="24"/>
          <w:szCs w:val="24"/>
        </w:rPr>
        <w:t>个日历天内。</w:t>
      </w:r>
    </w:p>
    <w:p>
      <w:pPr>
        <w:pStyle w:val="11"/>
        <w:spacing w:line="400" w:lineRule="exact"/>
        <w:ind w:firstLine="540" w:firstLineChars="225"/>
        <w:rPr>
          <w:rFonts w:hint="eastAsia" w:hAnsi="宋体" w:cs="宋体"/>
          <w:sz w:val="24"/>
          <w:szCs w:val="24"/>
        </w:rPr>
      </w:pPr>
      <w:r>
        <w:rPr>
          <w:rFonts w:hint="eastAsia" w:hAnsi="宋体" w:cs="宋体"/>
          <w:sz w:val="24"/>
          <w:szCs w:val="24"/>
        </w:rPr>
        <w:t>⑵我们根据谈判文件的规定，承担完成合同的责任和义务。</w:t>
      </w:r>
    </w:p>
    <w:p>
      <w:pPr>
        <w:pStyle w:val="11"/>
        <w:spacing w:line="400" w:lineRule="exact"/>
        <w:ind w:firstLine="540" w:firstLineChars="225"/>
        <w:rPr>
          <w:rFonts w:hint="eastAsia" w:hAnsi="宋体" w:cs="宋体"/>
          <w:sz w:val="24"/>
          <w:szCs w:val="24"/>
        </w:rPr>
      </w:pPr>
      <w:r>
        <w:rPr>
          <w:rFonts w:hint="eastAsia" w:hAnsi="宋体" w:cs="宋体"/>
          <w:sz w:val="24"/>
          <w:szCs w:val="24"/>
        </w:rPr>
        <w:t>⑶我们已详细审查全部谈判文件，包括修改文件（如有的话）和有关附件，将自行承担因对全部谈判文件理解不正确或误解而产生的相应后果。</w:t>
      </w:r>
    </w:p>
    <w:p>
      <w:pPr>
        <w:pStyle w:val="11"/>
        <w:spacing w:line="400" w:lineRule="exact"/>
        <w:ind w:firstLine="540" w:firstLineChars="225"/>
        <w:rPr>
          <w:rFonts w:hint="eastAsia" w:hAnsi="宋体" w:cs="宋体"/>
          <w:sz w:val="24"/>
          <w:szCs w:val="24"/>
        </w:rPr>
      </w:pPr>
      <w:r>
        <w:rPr>
          <w:rFonts w:hint="eastAsia" w:hAnsi="宋体" w:cs="宋体"/>
          <w:sz w:val="24"/>
          <w:szCs w:val="24"/>
        </w:rPr>
        <w:t>⑷我们同意在竞争性谈判供应商须知规定的截标日期起遵循本谈判响应文件，并在竞争性谈判供应商须知第13条规定的竞标有效期满之前均具有约束力，并有可能成交。</w:t>
      </w:r>
    </w:p>
    <w:p>
      <w:pPr>
        <w:pStyle w:val="11"/>
        <w:spacing w:line="400" w:lineRule="exact"/>
        <w:ind w:firstLine="540" w:firstLineChars="225"/>
        <w:rPr>
          <w:rFonts w:hint="eastAsia" w:hAnsi="宋体" w:cs="宋体"/>
          <w:sz w:val="24"/>
          <w:szCs w:val="24"/>
        </w:rPr>
      </w:pPr>
      <w:r>
        <w:rPr>
          <w:rFonts w:hint="eastAsia" w:hAnsi="宋体" w:cs="宋体"/>
          <w:sz w:val="24"/>
          <w:szCs w:val="24"/>
        </w:rPr>
        <w:t>⑸我们同意提供按照贵方可能要求的与本竞标有关的一切数据或资料，完全理解贵方不一定要接受最低的报价或收到的任何竞标。</w:t>
      </w:r>
    </w:p>
    <w:p>
      <w:pPr>
        <w:pStyle w:val="11"/>
        <w:spacing w:line="400" w:lineRule="exact"/>
        <w:ind w:firstLine="420"/>
        <w:rPr>
          <w:rFonts w:hint="eastAsia" w:hAnsi="宋体" w:cs="宋体"/>
          <w:sz w:val="24"/>
          <w:szCs w:val="24"/>
        </w:rPr>
      </w:pPr>
      <w:r>
        <w:rPr>
          <w:rFonts w:hint="eastAsia" w:hAnsi="宋体" w:cs="宋体"/>
          <w:sz w:val="24"/>
          <w:szCs w:val="24"/>
        </w:rPr>
        <w:t>与本竞标有关的正式通讯地址为：</w:t>
      </w:r>
    </w:p>
    <w:p>
      <w:pPr>
        <w:pStyle w:val="11"/>
        <w:spacing w:line="400" w:lineRule="exact"/>
        <w:ind w:firstLine="420"/>
        <w:rPr>
          <w:rFonts w:hint="eastAsia"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邮政编 </w:t>
      </w:r>
      <w:r>
        <w:rPr>
          <w:rFonts w:hint="eastAsia" w:hAnsi="宋体" w:cs="宋体"/>
          <w:sz w:val="24"/>
          <w:szCs w:val="24"/>
          <w:u w:val="single"/>
        </w:rPr>
        <w:t xml:space="preserve">                   </w:t>
      </w:r>
      <w:r>
        <w:rPr>
          <w:rFonts w:hint="eastAsia" w:hAnsi="宋体" w:cs="宋体"/>
          <w:sz w:val="24"/>
          <w:szCs w:val="24"/>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电话、电报、传真或电传：</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u w:val="single"/>
        </w:rPr>
      </w:pPr>
      <w:r>
        <w:rPr>
          <w:rFonts w:hint="eastAsia" w:hAnsi="宋体" w:cs="宋体"/>
          <w:sz w:val="24"/>
          <w:szCs w:val="24"/>
        </w:rPr>
        <w:t>账号：</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spacing w:line="400" w:lineRule="exact"/>
        <w:ind w:firstLine="420"/>
        <w:rPr>
          <w:rFonts w:hint="eastAsia" w:hAnsi="宋体" w:cs="宋体"/>
          <w:sz w:val="24"/>
          <w:szCs w:val="24"/>
        </w:rPr>
      </w:pPr>
      <w:r>
        <w:rPr>
          <w:rFonts w:hint="eastAsia" w:hAnsi="宋体" w:cs="宋体"/>
          <w:sz w:val="24"/>
          <w:szCs w:val="24"/>
        </w:rPr>
        <w:t>日期：</w:t>
      </w:r>
      <w:r>
        <w:rPr>
          <w:rFonts w:hint="eastAsia" w:hAnsi="宋体" w:cs="宋体"/>
          <w:sz w:val="24"/>
          <w:szCs w:val="24"/>
          <w:u w:val="single"/>
        </w:rPr>
        <w:t xml:space="preserve">                                                        </w:t>
      </w: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p>
    <w:p>
      <w:pPr>
        <w:pStyle w:val="11"/>
        <w:spacing w:line="400" w:lineRule="exact"/>
        <w:ind w:firstLine="420"/>
        <w:jc w:val="center"/>
        <w:rPr>
          <w:rFonts w:hint="eastAsia" w:hAnsi="宋体" w:cs="宋体"/>
          <w:b/>
          <w:bCs/>
          <w:sz w:val="30"/>
        </w:rPr>
      </w:pPr>
      <w:r>
        <w:rPr>
          <w:rFonts w:hint="eastAsia" w:hAnsi="宋体" w:cs="宋体"/>
          <w:b/>
          <w:bCs/>
          <w:sz w:val="30"/>
        </w:rPr>
        <w:t>2、谈判报价表（格式）</w:t>
      </w:r>
    </w:p>
    <w:p>
      <w:pPr>
        <w:pStyle w:val="11"/>
        <w:rPr>
          <w:rFonts w:hint="eastAsia" w:hAnsi="宋体" w:cs="宋体"/>
          <w:spacing w:val="-20"/>
          <w:sz w:val="30"/>
          <w:szCs w:val="30"/>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76"/>
        <w:gridCol w:w="904"/>
        <w:gridCol w:w="975"/>
        <w:gridCol w:w="2600"/>
        <w:gridCol w:w="721"/>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项号</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货物名称</w:t>
            </w: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型号/品牌</w:t>
            </w:r>
          </w:p>
        </w:tc>
        <w:tc>
          <w:tcPr>
            <w:tcW w:w="975"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数量</w:t>
            </w:r>
          </w:p>
          <w:p>
            <w:pPr>
              <w:pStyle w:val="11"/>
              <w:jc w:val="center"/>
              <w:rPr>
                <w:rFonts w:hint="eastAsia" w:hAnsi="宋体" w:cs="宋体"/>
              </w:rPr>
            </w:pPr>
          </w:p>
          <w:p>
            <w:pPr>
              <w:pStyle w:val="11"/>
              <w:jc w:val="center"/>
              <w:rPr>
                <w:rFonts w:hint="eastAsia" w:hAnsi="宋体" w:cs="宋体"/>
              </w:rPr>
            </w:pPr>
            <w:r>
              <w:rPr>
                <w:rFonts w:hint="eastAsia" w:hAnsi="宋体" w:cs="宋体"/>
              </w:rPr>
              <w:t>①</w:t>
            </w:r>
          </w:p>
        </w:tc>
        <w:tc>
          <w:tcPr>
            <w:tcW w:w="2600"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sz w:val="24"/>
              </w:rPr>
              <w:t>规格及参数说明</w:t>
            </w:r>
          </w:p>
        </w:tc>
        <w:tc>
          <w:tcPr>
            <w:tcW w:w="721"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单价</w:t>
            </w:r>
          </w:p>
          <w:p>
            <w:pPr>
              <w:pStyle w:val="11"/>
              <w:jc w:val="center"/>
              <w:rPr>
                <w:rFonts w:hint="eastAsia" w:hAnsi="宋体" w:cs="宋体"/>
              </w:rPr>
            </w:pPr>
            <w:r>
              <w:rPr>
                <w:rFonts w:hint="eastAsia" w:hAnsi="宋体" w:cs="宋体"/>
              </w:rPr>
              <w:t>(元)</w:t>
            </w:r>
          </w:p>
          <w:p>
            <w:pPr>
              <w:pStyle w:val="11"/>
              <w:jc w:val="center"/>
              <w:rPr>
                <w:rFonts w:hint="eastAsia" w:hAnsi="宋体" w:cs="宋体"/>
              </w:rPr>
            </w:pPr>
            <w:r>
              <w:rPr>
                <w:rFonts w:hint="eastAsia" w:hAnsi="宋体" w:cs="宋体"/>
              </w:rPr>
              <w:t>②</w:t>
            </w:r>
          </w:p>
        </w:tc>
        <w:tc>
          <w:tcPr>
            <w:tcW w:w="1591"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单项合价</w:t>
            </w:r>
          </w:p>
          <w:p>
            <w:pPr>
              <w:pStyle w:val="11"/>
              <w:jc w:val="center"/>
              <w:rPr>
                <w:rFonts w:hint="eastAsia" w:hAnsi="宋体" w:cs="宋体"/>
              </w:rPr>
            </w:pPr>
            <w:r>
              <w:rPr>
                <w:rFonts w:hint="eastAsia" w:hAnsi="宋体" w:cs="宋体"/>
              </w:rPr>
              <w:t>（元）</w:t>
            </w:r>
          </w:p>
          <w:p>
            <w:pPr>
              <w:pStyle w:val="11"/>
              <w:jc w:val="center"/>
              <w:rPr>
                <w:rFonts w:hint="eastAsia" w:hAnsi="宋体" w:cs="宋体"/>
              </w:rPr>
            </w:pPr>
            <w:r>
              <w:rPr>
                <w:rFonts w:hint="eastAsia" w:hAnsi="宋体" w:cs="宋体"/>
              </w:rPr>
              <w:t>③=①×②</w:t>
            </w:r>
          </w:p>
        </w:tc>
        <w:tc>
          <w:tcPr>
            <w:tcW w:w="667"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1</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2</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3</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N</w:t>
            </w:r>
          </w:p>
        </w:tc>
        <w:tc>
          <w:tcPr>
            <w:tcW w:w="1076"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2600"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721" w:type="dxa"/>
            <w:tcBorders>
              <w:top w:val="single" w:color="auto" w:sz="4" w:space="0"/>
              <w:left w:val="single" w:color="auto" w:sz="4" w:space="0"/>
              <w:bottom w:val="single" w:color="auto" w:sz="4" w:space="0"/>
              <w:right w:val="single" w:color="auto" w:sz="4" w:space="0"/>
            </w:tcBorders>
          </w:tcPr>
          <w:p>
            <w:pPr>
              <w:pStyle w:val="11"/>
              <w:rPr>
                <w:rFonts w:hint="eastAsia" w:hAnsi="宋体" w:cs="宋体"/>
              </w:rPr>
            </w:pPr>
          </w:p>
        </w:tc>
        <w:tc>
          <w:tcPr>
            <w:tcW w:w="1591"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c>
          <w:tcPr>
            <w:tcW w:w="667" w:type="dxa"/>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总报价（人民币大写）：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rPr>
            </w:pPr>
            <w:r>
              <w:rPr>
                <w:rFonts w:hint="eastAsia" w:hAnsi="宋体" w:cs="宋体"/>
              </w:rPr>
              <w:t>交付使用期：自签订合同之日起</w:t>
            </w:r>
            <w:r>
              <w:rPr>
                <w:rFonts w:hint="eastAsia" w:hAnsi="宋体" w:cs="宋体"/>
                <w:u w:val="single"/>
              </w:rPr>
              <w:t xml:space="preserve">     </w:t>
            </w:r>
            <w:r>
              <w:rPr>
                <w:rFonts w:hint="eastAsia" w:hAnsi="宋体" w:cs="宋体"/>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9049" w:type="dxa"/>
            <w:gridSpan w:val="8"/>
            <w:tcBorders>
              <w:top w:val="single" w:color="auto" w:sz="4" w:space="0"/>
              <w:left w:val="single" w:color="auto" w:sz="4" w:space="0"/>
              <w:bottom w:val="single" w:color="auto" w:sz="4" w:space="0"/>
              <w:right w:val="single" w:color="auto" w:sz="4" w:space="0"/>
            </w:tcBorders>
            <w:vAlign w:val="center"/>
          </w:tcPr>
          <w:p>
            <w:pPr>
              <w:pStyle w:val="11"/>
              <w:rPr>
                <w:rFonts w:hint="eastAsia" w:hAnsi="宋体" w:cs="宋体"/>
                <w:b/>
              </w:rPr>
            </w:pPr>
            <w:r>
              <w:rPr>
                <w:rFonts w:hint="eastAsia" w:hAnsi="宋体" w:cs="宋体"/>
                <w:b/>
              </w:rPr>
              <w:t>注：谈判报价包含货物、随配附件、备品备件、工具、运抵指定交货地点、现场安装的各种费用和售后服务、税金及其他所有成本费用的总和。</w:t>
            </w:r>
          </w:p>
        </w:tc>
      </w:tr>
    </w:tbl>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rPr>
          <w:rFonts w:hint="eastAsia" w:hAnsi="宋体" w:cs="宋体"/>
        </w:rPr>
      </w:pPr>
    </w:p>
    <w:p>
      <w:pPr>
        <w:pStyle w:val="11"/>
        <w:jc w:val="center"/>
        <w:rPr>
          <w:rFonts w:hint="eastAsia" w:hAnsi="宋体" w:cs="宋体"/>
        </w:rPr>
      </w:pPr>
    </w:p>
    <w:p>
      <w:pPr>
        <w:pStyle w:val="1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jc w:val="center"/>
        <w:rPr>
          <w:rFonts w:hint="eastAsia" w:hAnsi="宋体" w:cs="宋体"/>
          <w:sz w:val="24"/>
          <w:szCs w:val="24"/>
        </w:rPr>
      </w:pPr>
    </w:p>
    <w:p>
      <w:pPr>
        <w:pStyle w:val="11"/>
        <w:rPr>
          <w:rFonts w:hint="eastAsia" w:hAnsi="宋体" w:cs="宋体"/>
          <w:sz w:val="24"/>
          <w:szCs w:val="24"/>
        </w:rPr>
      </w:pPr>
    </w:p>
    <w:p>
      <w:pPr>
        <w:pStyle w:val="1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jc w:val="center"/>
        <w:rPr>
          <w:rFonts w:hint="eastAsia" w:hAnsi="宋体" w:cs="宋体"/>
          <w:sz w:val="24"/>
          <w:szCs w:val="24"/>
          <w:u w:val="single"/>
        </w:rPr>
      </w:pPr>
    </w:p>
    <w:p>
      <w:pPr>
        <w:pStyle w:val="11"/>
        <w:jc w:val="center"/>
        <w:rPr>
          <w:rFonts w:hint="eastAsia" w:hAnsi="宋体" w:cs="宋体"/>
          <w:sz w:val="24"/>
          <w:szCs w:val="24"/>
          <w:u w:val="single"/>
        </w:rPr>
      </w:pPr>
    </w:p>
    <w:p>
      <w:pPr>
        <w:pStyle w:val="11"/>
        <w:rPr>
          <w:rFonts w:hint="eastAsia" w:hAnsi="宋体" w:cs="宋体"/>
          <w:u w:val="single"/>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u w:val="single"/>
        </w:rPr>
        <w:t xml:space="preserve">               </w:t>
      </w:r>
      <w:r>
        <w:rPr>
          <w:rFonts w:hint="eastAsia" w:hAnsi="宋体" w:cs="宋体"/>
        </w:rPr>
        <w:t xml:space="preserve">　　　                 </w:t>
      </w:r>
    </w:p>
    <w:p>
      <w:pPr>
        <w:pStyle w:val="11"/>
        <w:rPr>
          <w:rFonts w:hint="eastAsia" w:hAnsi="宋体" w:cs="宋体"/>
        </w:rPr>
      </w:pPr>
    </w:p>
    <w:p>
      <w:pPr>
        <w:spacing w:line="540" w:lineRule="exact"/>
        <w:jc w:val="center"/>
        <w:rPr>
          <w:rFonts w:hint="eastAsia" w:ascii="宋体" w:hAnsi="宋体" w:cs="宋体"/>
          <w:b/>
          <w:bCs/>
          <w:sz w:val="30"/>
        </w:rPr>
      </w:pPr>
      <w:r>
        <w:rPr>
          <w:rFonts w:hint="eastAsia" w:ascii="宋体" w:hAnsi="宋体" w:cs="宋体"/>
          <w:b/>
          <w:sz w:val="30"/>
        </w:rPr>
        <w:br w:type="page"/>
      </w:r>
      <w:r>
        <w:rPr>
          <w:rFonts w:hint="eastAsia" w:ascii="宋体" w:hAnsi="宋体" w:cs="宋体"/>
          <w:b/>
          <w:sz w:val="30"/>
        </w:rPr>
        <w:t>3、竞争性谈判供应商资格证明文件</w:t>
      </w:r>
    </w:p>
    <w:p>
      <w:pPr>
        <w:pStyle w:val="11"/>
        <w:spacing w:before="240" w:line="560" w:lineRule="exact"/>
        <w:jc w:val="center"/>
        <w:rPr>
          <w:rFonts w:hint="eastAsia" w:hAnsi="宋体" w:cs="宋体"/>
          <w:b/>
          <w:bCs/>
          <w:sz w:val="24"/>
        </w:rPr>
      </w:pPr>
      <w:r>
        <w:rPr>
          <w:rFonts w:hint="eastAsia" w:hAnsi="宋体" w:cs="宋体"/>
          <w:b/>
          <w:bCs/>
          <w:sz w:val="24"/>
        </w:rPr>
        <w:t>（竞争性谈判供应商按竞争性谈判供应商须知第12条要求提供）</w:t>
      </w:r>
    </w:p>
    <w:p>
      <w:pPr>
        <w:pStyle w:val="11"/>
        <w:spacing w:before="240" w:line="560" w:lineRule="exact"/>
        <w:jc w:val="center"/>
        <w:rPr>
          <w:rFonts w:hint="eastAsia" w:hAnsi="宋体" w:cs="宋体"/>
          <w:b/>
          <w:bCs/>
          <w:sz w:val="24"/>
        </w:rPr>
      </w:pPr>
    </w:p>
    <w:p>
      <w:pPr>
        <w:spacing w:line="460" w:lineRule="exact"/>
        <w:ind w:firstLine="480" w:firstLineChars="200"/>
        <w:rPr>
          <w:rFonts w:hint="eastAsia" w:ascii="宋体" w:hAnsi="宋体" w:cs="宋体"/>
          <w:b/>
          <w:sz w:val="24"/>
        </w:rPr>
      </w:pPr>
      <w:r>
        <w:rPr>
          <w:rFonts w:hint="eastAsia" w:hAnsi="宋体" w:cs="Arial"/>
          <w:b/>
          <w:sz w:val="24"/>
        </w:rPr>
        <w:t>（1）有统一社会信用代码的营业执照副本复印件(或企业营业执照副本、组织机构代码证副本、税务登记证副本）（要求清晰反映营业执照有效情况记录和包含本次采购货物的经营范围）</w:t>
      </w:r>
      <w:r>
        <w:rPr>
          <w:rFonts w:hint="eastAsia" w:ascii="宋体" w:hAnsi="宋体" w:cs="宋体"/>
          <w:b/>
          <w:sz w:val="24"/>
        </w:rPr>
        <w:t>（必须提供，否则其竞标无效）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（2）医疗器械经营（企业）许可证复印件或第二类医疗器械经营备案凭证复印件（必须提供，否则其竞标无效）</w:t>
      </w:r>
    </w:p>
    <w:p>
      <w:pPr>
        <w:spacing w:line="460" w:lineRule="exact"/>
        <w:ind w:firstLine="480" w:firstLineChars="200"/>
        <w:rPr>
          <w:rFonts w:hint="eastAsia" w:ascii="宋体" w:hAnsi="宋体" w:cs="宋体"/>
          <w:b/>
          <w:bCs/>
          <w:sz w:val="24"/>
        </w:rPr>
      </w:pPr>
      <w:r>
        <w:rPr>
          <w:rFonts w:hint="eastAsia" w:ascii="宋体" w:hAnsi="宋体" w:cs="宋体"/>
          <w:b/>
          <w:bCs/>
          <w:sz w:val="24"/>
        </w:rPr>
        <w:t>（3）完整且能清晰反映身份信息的法定代表人（负责人）身份证明书及其身份证复印件；（必须提供，否则其竞标无效）</w:t>
      </w:r>
    </w:p>
    <w:p>
      <w:pPr>
        <w:spacing w:line="460" w:lineRule="exact"/>
        <w:ind w:firstLine="480"/>
        <w:rPr>
          <w:rFonts w:hint="eastAsia" w:ascii="宋体" w:hAnsi="宋体" w:cs="宋体"/>
          <w:b/>
          <w:bCs/>
          <w:sz w:val="24"/>
        </w:rPr>
      </w:pPr>
      <w:r>
        <w:rPr>
          <w:rFonts w:hint="eastAsia" w:ascii="宋体" w:hAnsi="宋体" w:cs="宋体"/>
          <w:b/>
          <w:bCs/>
          <w:sz w:val="24"/>
        </w:rPr>
        <w:t>（4）法人授权委托书原件和完整且能清晰反映身份信息的委托代理人身份证复印件（委托代理时必须提供，否则将被当作资格审查不合格而取消竞标资格）；</w:t>
      </w:r>
    </w:p>
    <w:p>
      <w:pPr>
        <w:spacing w:line="460" w:lineRule="exact"/>
        <w:ind w:firstLine="480"/>
        <w:rPr>
          <w:rFonts w:hint="eastAsia" w:ascii="宋体" w:hAnsi="宋体" w:cs="宋体"/>
          <w:b/>
          <w:bCs/>
          <w:sz w:val="24"/>
        </w:rPr>
      </w:pPr>
      <w:r>
        <w:rPr>
          <w:rFonts w:hint="eastAsia" w:ascii="宋体" w:hAnsi="宋体" w:cs="宋体"/>
          <w:b/>
          <w:bCs/>
          <w:sz w:val="24"/>
        </w:rPr>
        <w:t>（5）供应商最近半年内连续三个月依法缴纳税费或依法免缴纳税费的证明，无纳税记录的，应提供由报名单位所在地主管国税、地税部门出具的《依法纳税或依法免税证明》。</w:t>
      </w:r>
    </w:p>
    <w:p>
      <w:pPr>
        <w:spacing w:line="460" w:lineRule="exact"/>
        <w:ind w:firstLine="480"/>
        <w:rPr>
          <w:rFonts w:hint="eastAsia" w:ascii="宋体" w:hAnsi="宋体" w:cs="宋体"/>
          <w:b/>
          <w:bCs/>
          <w:sz w:val="24"/>
        </w:rPr>
      </w:pPr>
      <w:r>
        <w:rPr>
          <w:rFonts w:hint="eastAsia" w:ascii="宋体" w:hAnsi="宋体" w:cs="宋体"/>
          <w:b/>
          <w:bCs/>
          <w:sz w:val="24"/>
        </w:rPr>
        <w:t>（6）是否响应货物需求一览表后面售后服务的所有要求；（必须响应，否则其竞标无效）</w:t>
      </w:r>
    </w:p>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pPr>
      <w:r>
        <w:rPr>
          <w:rFonts w:hint="eastAsia" w:ascii="宋体" w:hAnsi="宋体" w:cs="宋体"/>
          <w:sz w:val="24"/>
        </w:rPr>
        <w:t>货物合格和符合谈判文件规定的证明文件，它们可以是（以下均为复印件）：</w:t>
      </w:r>
    </w:p>
    <w:p>
      <w:pPr>
        <w:spacing w:line="460" w:lineRule="exact"/>
        <w:rPr>
          <w:rFonts w:hint="eastAsia" w:ascii="宋体" w:hAnsi="宋体" w:cs="宋体"/>
          <w:sz w:val="24"/>
        </w:rPr>
      </w:pPr>
      <w:r>
        <w:rPr>
          <w:rFonts w:hint="eastAsia" w:ascii="宋体" w:hAnsi="宋体" w:cs="宋体"/>
          <w:sz w:val="24"/>
        </w:rPr>
        <w:t xml:space="preserve">    （1）营业执照、3C认证、检测报告、生产许可证、经营许可证或产品销售授权书；（若有请提供）</w:t>
      </w:r>
    </w:p>
    <w:p>
      <w:pPr>
        <w:spacing w:line="460" w:lineRule="exact"/>
        <w:rPr>
          <w:rFonts w:hint="eastAsia" w:ascii="宋体" w:hAnsi="宋体" w:cs="宋体"/>
          <w:sz w:val="24"/>
        </w:rPr>
      </w:pPr>
      <w:r>
        <w:rPr>
          <w:rFonts w:hint="eastAsia" w:ascii="宋体" w:hAnsi="宋体" w:cs="宋体"/>
          <w:sz w:val="24"/>
        </w:rPr>
        <w:t xml:space="preserve">    （2）竞争性谈判供应商认为需要提供的有关资料。</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rPr>
          <w:rFonts w:hint="eastAsia" w:hAnsi="宋体" w:cs="宋体"/>
          <w:b/>
          <w:sz w:val="32"/>
        </w:rPr>
      </w:pPr>
    </w:p>
    <w:p>
      <w:pPr>
        <w:pStyle w:val="11"/>
        <w:spacing w:line="420" w:lineRule="exact"/>
        <w:ind w:firstLine="420"/>
        <w:rPr>
          <w:rFonts w:hint="eastAsia" w:hAnsi="宋体" w:cs="宋体"/>
          <w:b/>
          <w:sz w:val="32"/>
        </w:rPr>
      </w:pPr>
    </w:p>
    <w:p>
      <w:pPr>
        <w:jc w:val="center"/>
        <w:rPr>
          <w:rFonts w:hint="eastAsia"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法定代表人身份证明书及其身份证复印件</w:t>
      </w:r>
    </w:p>
    <w:p>
      <w:pPr>
        <w:pStyle w:val="11"/>
        <w:spacing w:line="320" w:lineRule="exact"/>
        <w:ind w:firstLine="598"/>
        <w:jc w:val="center"/>
        <w:rPr>
          <w:rFonts w:hint="eastAsia" w:hAnsi="宋体" w:cs="宋体"/>
          <w:b/>
          <w:sz w:val="30"/>
          <w:szCs w:val="30"/>
        </w:rPr>
      </w:pPr>
      <w:r>
        <w:rPr>
          <w:rFonts w:hint="eastAsia" w:hAnsi="宋体" w:cs="宋体"/>
          <w:b/>
          <w:sz w:val="30"/>
          <w:szCs w:val="30"/>
        </w:rPr>
        <w:t>法定代表人资格证明书（格式）</w:t>
      </w:r>
    </w:p>
    <w:p>
      <w:pPr>
        <w:pStyle w:val="11"/>
        <w:spacing w:line="370" w:lineRule="exact"/>
        <w:ind w:firstLine="278"/>
        <w:rPr>
          <w:rFonts w:hint="eastAsia" w:hAnsi="宋体" w:cs="宋体"/>
          <w:sz w:val="24"/>
          <w:szCs w:val="24"/>
          <w:u w:val="single"/>
        </w:rPr>
      </w:pPr>
      <w:r>
        <w:rPr>
          <w:rFonts w:hint="eastAsia" w:hAnsi="宋体" w:cs="宋体"/>
          <w:sz w:val="24"/>
          <w:szCs w:val="24"/>
        </w:rPr>
        <w:t>单位名称：</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经济性质：</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地    址：</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11"/>
        <w:spacing w:line="370" w:lineRule="exact"/>
        <w:ind w:firstLine="278"/>
        <w:rPr>
          <w:rFonts w:hint="eastAsia" w:hAnsi="宋体" w:cs="宋体"/>
          <w:sz w:val="24"/>
          <w:szCs w:val="24"/>
          <w:u w:val="single"/>
        </w:rPr>
      </w:pPr>
      <w:r>
        <w:rPr>
          <w:rFonts w:hint="eastAsia" w:hAnsi="宋体" w:cs="宋体"/>
          <w:sz w:val="24"/>
          <w:szCs w:val="24"/>
        </w:rPr>
        <w:t>经营期限：</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1"/>
        <w:spacing w:line="370" w:lineRule="exact"/>
        <w:ind w:firstLine="278"/>
        <w:rPr>
          <w:rFonts w:hint="eastAsia" w:hAnsi="宋体" w:cs="宋体"/>
          <w:sz w:val="24"/>
          <w:szCs w:val="24"/>
        </w:rPr>
      </w:pPr>
      <w:r>
        <w:rPr>
          <w:rFonts w:hint="eastAsia" w:hAnsi="宋体" w:cs="宋体"/>
          <w:sz w:val="24"/>
          <w:szCs w:val="24"/>
        </w:rPr>
        <w:t>系</w:t>
      </w:r>
      <w:r>
        <w:rPr>
          <w:rFonts w:hint="eastAsia" w:hAnsi="宋体" w:cs="宋体"/>
          <w:sz w:val="24"/>
          <w:szCs w:val="24"/>
          <w:u w:val="single"/>
        </w:rPr>
        <w:t xml:space="preserve">        （竞争性谈判供应商单位名称）        </w:t>
      </w:r>
      <w:r>
        <w:rPr>
          <w:rFonts w:hint="eastAsia" w:hAnsi="宋体" w:cs="宋体"/>
          <w:sz w:val="24"/>
          <w:szCs w:val="24"/>
        </w:rPr>
        <w:t>的法定代表人。</w:t>
      </w:r>
    </w:p>
    <w:p>
      <w:pPr>
        <w:pStyle w:val="11"/>
        <w:spacing w:line="370" w:lineRule="exact"/>
        <w:ind w:firstLine="278"/>
        <w:rPr>
          <w:rFonts w:hint="eastAsia" w:hAnsi="宋体" w:cs="宋体"/>
          <w:sz w:val="24"/>
          <w:szCs w:val="24"/>
        </w:rPr>
      </w:pPr>
      <w:r>
        <w:rPr>
          <w:rFonts w:hint="eastAsia" w:hAnsi="宋体" w:cs="宋体"/>
          <w:sz w:val="24"/>
          <w:szCs w:val="24"/>
        </w:rPr>
        <w:t>特此证明。</w:t>
      </w:r>
    </w:p>
    <w:p>
      <w:pPr>
        <w:pStyle w:val="11"/>
        <w:tabs>
          <w:tab w:val="left" w:pos="9476"/>
        </w:tabs>
        <w:spacing w:line="320" w:lineRule="exact"/>
        <w:ind w:right="420" w:firstLine="5280" w:firstLineChars="2200"/>
        <w:rPr>
          <w:rFonts w:hint="eastAsia" w:hAnsi="宋体" w:cs="宋体"/>
          <w:sz w:val="24"/>
          <w:szCs w:val="24"/>
        </w:rPr>
      </w:pPr>
      <w:r>
        <w:rPr>
          <w:rFonts w:hint="eastAsia" w:hAnsi="宋体" w:cs="宋体"/>
          <w:sz w:val="24"/>
          <w:szCs w:val="24"/>
        </w:rPr>
        <w:t>竞争性谈判供应商：（</w:t>
      </w:r>
      <w:r>
        <w:rPr>
          <w:rFonts w:hint="eastAsia" w:hAnsi="宋体" w:cs="宋体"/>
          <w:b/>
          <w:bCs/>
          <w:sz w:val="24"/>
          <w:szCs w:val="24"/>
        </w:rPr>
        <w:t>公章</w:t>
      </w:r>
      <w:r>
        <w:rPr>
          <w:rFonts w:hint="eastAsia" w:hAnsi="宋体" w:cs="宋体"/>
          <w:sz w:val="24"/>
          <w:szCs w:val="24"/>
        </w:rPr>
        <w:t>）</w:t>
      </w:r>
      <w:r>
        <w:rPr>
          <w:rFonts w:hint="eastAsia" w:hAnsi="宋体" w:cs="宋体"/>
          <w:sz w:val="24"/>
          <w:szCs w:val="24"/>
          <w:u w:val="single"/>
        </w:rPr>
        <w:t xml:space="preserve">                </w:t>
      </w:r>
    </w:p>
    <w:p>
      <w:pPr>
        <w:pStyle w:val="11"/>
        <w:spacing w:line="320" w:lineRule="exact"/>
        <w:ind w:firstLine="420"/>
        <w:jc w:val="center"/>
        <w:rPr>
          <w:rFonts w:hint="eastAsia" w:hAnsi="宋体" w:cs="宋体"/>
          <w:sz w:val="24"/>
          <w:szCs w:val="24"/>
          <w:u w:val="single"/>
        </w:rPr>
      </w:pPr>
      <w:r>
        <w:rPr>
          <w:rFonts w:hint="eastAsia" w:hAnsi="宋体" w:cs="宋体"/>
          <w:sz w:val="24"/>
          <w:szCs w:val="24"/>
        </w:rPr>
        <w:t xml:space="preserve">            时  间：</w:t>
      </w:r>
      <w:r>
        <w:rPr>
          <w:rFonts w:hint="eastAsia" w:hAnsi="宋体" w:cs="宋体"/>
          <w:sz w:val="24"/>
          <w:szCs w:val="24"/>
          <w:u w:val="single"/>
        </w:rPr>
        <w:t xml:space="preserve">                       </w:t>
      </w:r>
    </w:p>
    <w:p>
      <w:pPr>
        <w:pStyle w:val="11"/>
        <w:spacing w:line="360" w:lineRule="exact"/>
        <w:rPr>
          <w:rFonts w:hint="eastAsia" w:hAnsi="宋体" w:cs="宋体"/>
        </w:rPr>
      </w:pPr>
      <w:r>
        <w:rPr>
          <w:rFonts w:hint="eastAsia" w:hAnsi="宋体" w:cs="宋体"/>
        </w:rPr>
        <w:t xml:space="preserve">                                                                                                                                                                                        </w:t>
      </w:r>
    </w:p>
    <w:p>
      <w:pPr>
        <w:pStyle w:val="11"/>
        <w:spacing w:line="480" w:lineRule="exact"/>
        <w:rPr>
          <w:rFonts w:hint="eastAsia" w:hAnsi="宋体" w:cs="宋体"/>
        </w:rPr>
      </w:pPr>
      <w:r>
        <w:rPr>
          <w:rFonts w:hint="eastAsia" w:hAnsi="宋体" w:cs="宋体"/>
          <w:sz w:val="20"/>
          <w:lang w:val="en-US" w:eastAsia="zh-CN"/>
        </w:rPr>
        <w:pict>
          <v:rect id="_x0000_s1340" o:spid="_x0000_s1340" o:spt="1" style="position:absolute;left:0pt;margin-left:54pt;margin-top:7.45pt;height:170.1pt;width:255.1pt;z-index:251659264;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w:r>
      <w:r>
        <w:rPr>
          <w:rFonts w:hint="eastAsia" w:hAnsi="宋体" w:cs="宋体"/>
          <w:lang w:val="en-US" w:eastAsia="zh-CN"/>
        </w:rPr>
        <w:pict>
          <v:line id="_x0000_s1338" o:spid="_x0000_s1338" o:spt="20" style="position:absolute;left:0pt;margin-left:0pt;margin-top:0pt;height:0pt;width:483pt;mso-wrap-distance-bottom:0pt;mso-wrap-distance-top:14.2pt;z-index:251658240;mso-width-relative:page;mso-height-relative:page;" coordsize="21600,21600" o:allowincell="f">
            <v:path arrowok="t"/>
            <v:fill focussize="0,0"/>
            <v:stroke/>
            <v:imagedata o:title=""/>
            <o:lock v:ext="edit"/>
            <w10:wrap type="topAndBottom"/>
          </v:line>
        </w:pict>
      </w:r>
      <w:r>
        <w:rPr>
          <w:rFonts w:hint="eastAsia" w:hAnsi="宋体" w:cs="宋体"/>
        </w:rPr>
        <w:t xml:space="preserve">  </w:t>
      </w: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480" w:lineRule="exact"/>
        <w:rPr>
          <w:rFonts w:hint="eastAsia" w:hAnsi="宋体" w:cs="宋体"/>
        </w:rPr>
      </w:pPr>
    </w:p>
    <w:p>
      <w:pPr>
        <w:pStyle w:val="11"/>
        <w:spacing w:line="240" w:lineRule="atLeast"/>
        <w:ind w:firstLine="6300" w:firstLineChars="3000"/>
        <w:rPr>
          <w:rFonts w:hint="eastAsia" w:hAnsi="宋体" w:cs="宋体"/>
        </w:rPr>
      </w:pPr>
    </w:p>
    <w:p>
      <w:pPr>
        <w:pStyle w:val="11"/>
        <w:spacing w:line="48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rPr>
      </w:pPr>
      <w:r>
        <w:rPr>
          <w:rFonts w:hint="eastAsia" w:hAnsi="宋体" w:cs="宋体"/>
          <w:sz w:val="20"/>
          <w:lang w:val="en-US" w:eastAsia="zh-CN"/>
        </w:rPr>
        <w:pict>
          <v:rect id="_x0000_s1339" o:spid="_x0000_s1339" o:spt="1" style="position:absolute;left:0pt;margin-left:54pt;margin-top:3.25pt;height:170.1pt;width:255.1pt;z-index:251658240;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w:r>
    </w:p>
    <w:p>
      <w:pPr>
        <w:pStyle w:val="11"/>
        <w:spacing w:line="240" w:lineRule="exact"/>
        <w:rPr>
          <w:rFonts w:hint="eastAsia" w:hAnsi="宋体" w:cs="宋体"/>
        </w:rPr>
      </w:pPr>
    </w:p>
    <w:p>
      <w:pPr>
        <w:pStyle w:val="11"/>
        <w:spacing w:line="240" w:lineRule="exact"/>
        <w:rPr>
          <w:rFonts w:hint="eastAsia" w:hAnsi="宋体" w:cs="宋体"/>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240" w:lineRule="exact"/>
        <w:rPr>
          <w:rFonts w:hint="eastAsia" w:hAnsi="宋体" w:cs="宋体"/>
          <w:sz w:val="44"/>
        </w:rPr>
      </w:pPr>
    </w:p>
    <w:p>
      <w:pPr>
        <w:jc w:val="center"/>
        <w:rPr>
          <w:rFonts w:hint="eastAsia" w:ascii="宋体" w:hAnsi="宋体" w:cs="宋体"/>
        </w:rPr>
      </w:pPr>
    </w:p>
    <w:p>
      <w:pPr>
        <w:jc w:val="center"/>
        <w:rPr>
          <w:rFonts w:hint="eastAsia" w:ascii="宋体" w:hAnsi="宋体" w:cs="宋体"/>
        </w:rPr>
      </w:pPr>
      <w:r>
        <w:rPr>
          <w:rFonts w:hint="eastAsia" w:ascii="宋体" w:hAnsi="宋体" w:cs="宋体"/>
        </w:rPr>
        <w:t xml:space="preserve">      </w:t>
      </w:r>
    </w:p>
    <w:p>
      <w:pPr>
        <w:jc w:val="center"/>
        <w:rPr>
          <w:rFonts w:hint="eastAsia" w:ascii="宋体" w:hAnsi="宋体" w:cs="宋体"/>
          <w:u w:val="single"/>
        </w:rPr>
      </w:pPr>
      <w:r>
        <w:rPr>
          <w:rFonts w:hint="eastAsia" w:ascii="宋体" w:hAnsi="宋体" w:cs="宋体"/>
        </w:rPr>
        <w:t xml:space="preserve">                               </w:t>
      </w:r>
    </w:p>
    <w:p>
      <w:pPr>
        <w:pStyle w:val="11"/>
        <w:spacing w:line="240" w:lineRule="exact"/>
        <w:rPr>
          <w:rFonts w:hint="eastAsia" w:hAnsi="宋体" w:cs="宋体"/>
          <w:sz w:val="44"/>
        </w:rPr>
      </w:pPr>
    </w:p>
    <w:p>
      <w:pPr>
        <w:pStyle w:val="11"/>
        <w:spacing w:line="240" w:lineRule="atLeast"/>
        <w:ind w:firstLine="5460" w:firstLineChars="2600"/>
        <w:rPr>
          <w:rFonts w:hint="eastAsia" w:hAnsi="宋体" w:cs="宋体"/>
        </w:rPr>
      </w:pPr>
      <w:r>
        <w:rPr>
          <w:rFonts w:hint="eastAsia" w:hAnsi="宋体" w:cs="宋体"/>
        </w:rPr>
        <w:t>基础</w:t>
      </w:r>
      <w:r>
        <w:rPr>
          <w:rFonts w:hint="eastAsia" w:hAnsi="宋体" w:cs="宋体"/>
          <w:sz w:val="24"/>
          <w:szCs w:val="24"/>
        </w:rPr>
        <w:t xml:space="preserve">   </w:t>
      </w:r>
      <w:r>
        <w:rPr>
          <w:rFonts w:hint="eastAsia" w:hAnsi="宋体" w:cs="宋体"/>
          <w:b/>
          <w:sz w:val="24"/>
          <w:szCs w:val="24"/>
        </w:rPr>
        <w:t xml:space="preserve"> 法定代表人</w:t>
      </w:r>
      <w:r>
        <w:rPr>
          <w:rFonts w:hint="eastAsia" w:hAnsi="宋体" w:cs="宋体"/>
          <w:b/>
          <w:bCs/>
          <w:sz w:val="24"/>
          <w:szCs w:val="24"/>
        </w:rPr>
        <w:t>签字：</w:t>
      </w:r>
      <w:r>
        <w:rPr>
          <w:rFonts w:hint="eastAsia" w:hAnsi="宋体" w:cs="宋体"/>
          <w:sz w:val="24"/>
          <w:szCs w:val="24"/>
          <w:u w:val="single"/>
        </w:rPr>
        <w:t xml:space="preserve">          </w:t>
      </w:r>
    </w:p>
    <w:p>
      <w:pPr>
        <w:pStyle w:val="11"/>
        <w:spacing w:line="240" w:lineRule="exact"/>
        <w:rPr>
          <w:rFonts w:hint="eastAsia" w:hAnsi="宋体" w:cs="宋体"/>
          <w:sz w:val="44"/>
        </w:rPr>
      </w:pPr>
    </w:p>
    <w:p>
      <w:pPr>
        <w:pStyle w:val="11"/>
        <w:spacing w:line="240" w:lineRule="exact"/>
        <w:rPr>
          <w:rFonts w:hint="eastAsia" w:hAnsi="宋体" w:cs="宋体"/>
          <w:sz w:val="44"/>
        </w:rPr>
      </w:pPr>
    </w:p>
    <w:p>
      <w:pPr>
        <w:pStyle w:val="11"/>
        <w:spacing w:line="320" w:lineRule="exact"/>
        <w:rPr>
          <w:rFonts w:hint="eastAsia" w:hAnsi="宋体" w:cs="宋体"/>
          <w:sz w:val="24"/>
          <w:szCs w:val="24"/>
        </w:rPr>
      </w:pPr>
      <w:r>
        <w:rPr>
          <w:rFonts w:hint="eastAsia" w:hAnsi="宋体" w:cs="宋体"/>
          <w:sz w:val="24"/>
          <w:szCs w:val="24"/>
        </w:rPr>
        <w:t>说明：</w:t>
      </w:r>
    </w:p>
    <w:p>
      <w:pPr>
        <w:pStyle w:val="11"/>
        <w:numPr>
          <w:ilvl w:val="0"/>
          <w:numId w:val="6"/>
        </w:numPr>
        <w:spacing w:line="320" w:lineRule="exact"/>
        <w:rPr>
          <w:rFonts w:hint="eastAsia" w:hAnsi="宋体" w:cs="宋体"/>
          <w:sz w:val="24"/>
          <w:szCs w:val="24"/>
        </w:rPr>
      </w:pPr>
      <w:r>
        <w:rPr>
          <w:rFonts w:hint="eastAsia" w:hAnsi="宋体" w:cs="宋体"/>
          <w:sz w:val="24"/>
          <w:szCs w:val="24"/>
        </w:rPr>
        <w:t>内容填写要明确，谈判响应文件正本必须为原件，文字要工整清楚，涂改无效。</w:t>
      </w:r>
    </w:p>
    <w:p>
      <w:pPr>
        <w:pStyle w:val="11"/>
        <w:numPr>
          <w:ilvl w:val="0"/>
          <w:numId w:val="6"/>
        </w:numPr>
        <w:spacing w:line="320" w:lineRule="exact"/>
        <w:ind w:left="309" w:firstLine="100" w:firstLineChars="42"/>
        <w:rPr>
          <w:rFonts w:hint="eastAsia" w:hAnsi="宋体" w:cs="宋体"/>
          <w:sz w:val="24"/>
          <w:szCs w:val="24"/>
        </w:rPr>
      </w:pPr>
      <w:r>
        <w:rPr>
          <w:rFonts w:hint="eastAsia" w:hAnsi="宋体" w:cs="宋体"/>
          <w:sz w:val="24"/>
          <w:szCs w:val="24"/>
        </w:rPr>
        <w:t>不得转借、转让。</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560" w:lineRule="exact"/>
        <w:ind w:firstLine="3300" w:firstLineChars="1100"/>
        <w:rPr>
          <w:rFonts w:hint="eastAsia" w:hAnsi="宋体" w:cs="宋体"/>
          <w:b/>
          <w:sz w:val="30"/>
        </w:rPr>
      </w:pPr>
      <w:r>
        <w:rPr>
          <w:rFonts w:hint="eastAsia" w:hAnsi="宋体" w:cs="宋体"/>
          <w:b/>
          <w:sz w:val="30"/>
        </w:rPr>
        <w:t>法人授权委托书（格式）</w:t>
      </w:r>
    </w:p>
    <w:p>
      <w:pPr>
        <w:pStyle w:val="11"/>
        <w:rPr>
          <w:rFonts w:hint="eastAsia" w:hAnsi="宋体" w:cs="宋体"/>
        </w:rPr>
      </w:pPr>
    </w:p>
    <w:p>
      <w:pPr>
        <w:pStyle w:val="11"/>
        <w:rPr>
          <w:rFonts w:hint="eastAsia" w:hAnsi="宋体" w:cs="宋体"/>
        </w:rPr>
      </w:pPr>
    </w:p>
    <w:p>
      <w:pPr>
        <w:pStyle w:val="11"/>
        <w:spacing w:line="480" w:lineRule="exact"/>
        <w:ind w:firstLine="480" w:firstLineChars="200"/>
        <w:jc w:val="left"/>
        <w:rPr>
          <w:rFonts w:hint="eastAsia" w:hAnsi="宋体" w:cs="宋体"/>
          <w:sz w:val="24"/>
          <w:szCs w:val="24"/>
          <w:u w:val="single"/>
        </w:rPr>
      </w:pPr>
      <w:r>
        <w:rPr>
          <w:rFonts w:hint="eastAsia" w:hAnsi="宋体" w:cs="宋体"/>
          <w:sz w:val="24"/>
          <w:szCs w:val="24"/>
        </w:rPr>
        <w:t>兹授权委托</w:t>
      </w:r>
      <w:r>
        <w:rPr>
          <w:rFonts w:hint="eastAsia" w:hAnsi="宋体" w:cs="宋体"/>
          <w:sz w:val="24"/>
          <w:szCs w:val="24"/>
          <w:u w:val="single"/>
        </w:rPr>
        <w:t xml:space="preserve">         </w:t>
      </w:r>
      <w:r>
        <w:rPr>
          <w:rFonts w:hint="eastAsia" w:hAnsi="宋体" w:cs="宋体"/>
          <w:sz w:val="24"/>
          <w:szCs w:val="24"/>
        </w:rPr>
        <w:t>同志为我方参加</w:t>
      </w:r>
      <w:r>
        <w:rPr>
          <w:rFonts w:hint="eastAsia" w:hAnsi="宋体" w:cs="宋体"/>
          <w:sz w:val="24"/>
          <w:szCs w:val="24"/>
          <w:u w:val="single"/>
        </w:rPr>
        <w:t xml:space="preserve">                 </w:t>
      </w:r>
      <w:r>
        <w:rPr>
          <w:rFonts w:hint="eastAsia" w:hAnsi="宋体" w:cs="宋体"/>
          <w:sz w:val="24"/>
          <w:szCs w:val="24"/>
        </w:rPr>
        <w:t>项目竞标（项目编号</w:t>
      </w:r>
      <w:r>
        <w:rPr>
          <w:rFonts w:hint="eastAsia" w:hAnsi="宋体" w:cs="宋体"/>
          <w:sz w:val="24"/>
          <w:szCs w:val="24"/>
          <w:u w:val="single"/>
        </w:rPr>
        <w:t xml:space="preserve">：         </w:t>
      </w:r>
      <w:r>
        <w:rPr>
          <w:rFonts w:hint="eastAsia" w:hAnsi="宋体" w:cs="宋体"/>
          <w:sz w:val="24"/>
          <w:szCs w:val="24"/>
        </w:rPr>
        <w:t>）的竞标代理人，其代理权限为：</w:t>
      </w:r>
      <w:r>
        <w:rPr>
          <w:rFonts w:hint="eastAsia" w:hAnsi="宋体" w:cs="宋体"/>
          <w:sz w:val="24"/>
          <w:szCs w:val="24"/>
          <w:u w:val="single"/>
        </w:rPr>
        <w:t xml:space="preserve">                                                      </w:t>
      </w:r>
    </w:p>
    <w:p>
      <w:pPr>
        <w:pStyle w:val="11"/>
        <w:spacing w:line="480" w:lineRule="exact"/>
        <w:rPr>
          <w:rFonts w:hint="eastAsia" w:hAnsi="宋体" w:cs="宋体"/>
          <w:sz w:val="24"/>
          <w:szCs w:val="24"/>
        </w:rPr>
      </w:pPr>
      <w:r>
        <w:rPr>
          <w:rFonts w:hint="eastAsia" w:hAnsi="宋体" w:cs="宋体"/>
          <w:sz w:val="24"/>
          <w:szCs w:val="24"/>
          <w:u w:val="single"/>
        </w:rPr>
        <w:t xml:space="preserve">                                                                                                                                                                   </w:t>
      </w:r>
      <w:r>
        <w:rPr>
          <w:rFonts w:hint="eastAsia" w:hAnsi="宋体" w:cs="宋体"/>
          <w:sz w:val="24"/>
          <w:szCs w:val="24"/>
        </w:rPr>
        <w:t>。</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代理期限从    年    月   日至    年    月    日止</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委托单位：</w:t>
      </w:r>
      <w:r>
        <w:rPr>
          <w:rFonts w:hint="eastAsia" w:hAnsi="宋体" w:cs="宋体"/>
          <w:sz w:val="24"/>
          <w:szCs w:val="24"/>
          <w:u w:val="single"/>
        </w:rPr>
        <w:t xml:space="preserve">                 （公章）</w:t>
      </w:r>
      <w:r>
        <w:rPr>
          <w:rFonts w:hint="eastAsia" w:hAnsi="宋体" w:cs="宋体"/>
          <w:sz w:val="24"/>
          <w:szCs w:val="24"/>
        </w:rPr>
        <w:t xml:space="preserve">     法定代表人：</w:t>
      </w:r>
      <w:r>
        <w:rPr>
          <w:rFonts w:hint="eastAsia" w:hAnsi="宋体" w:cs="宋体"/>
          <w:sz w:val="24"/>
          <w:szCs w:val="24"/>
          <w:u w:val="single"/>
        </w:rPr>
        <w:t xml:space="preserve">               </w:t>
      </w:r>
      <w:r>
        <w:rPr>
          <w:rFonts w:hint="eastAsia" w:hAnsi="宋体" w:cs="宋体"/>
          <w:sz w:val="24"/>
          <w:szCs w:val="24"/>
        </w:rPr>
        <w:t>（签字）</w:t>
      </w:r>
    </w:p>
    <w:p>
      <w:pPr>
        <w:pStyle w:val="11"/>
        <w:spacing w:line="480" w:lineRule="exact"/>
        <w:ind w:firstLine="420"/>
        <w:rPr>
          <w:rFonts w:hint="eastAsia" w:hAnsi="宋体" w:cs="宋体"/>
          <w:sz w:val="24"/>
          <w:szCs w:val="24"/>
        </w:rPr>
      </w:pPr>
    </w:p>
    <w:p>
      <w:pPr>
        <w:pStyle w:val="11"/>
        <w:spacing w:line="480" w:lineRule="exact"/>
        <w:ind w:firstLine="420"/>
        <w:rPr>
          <w:rFonts w:hint="eastAsia" w:hAnsi="宋体" w:cs="宋体"/>
          <w:sz w:val="24"/>
          <w:szCs w:val="24"/>
        </w:rPr>
      </w:pPr>
      <w:r>
        <w:rPr>
          <w:rFonts w:hint="eastAsia" w:hAnsi="宋体" w:cs="宋体"/>
          <w:sz w:val="24"/>
          <w:szCs w:val="24"/>
        </w:rPr>
        <w:t>签发日期：    年      月     日</w:t>
      </w:r>
    </w:p>
    <w:p>
      <w:pPr>
        <w:pStyle w:val="11"/>
        <w:spacing w:line="480" w:lineRule="exact"/>
        <w:rPr>
          <w:rFonts w:hint="eastAsia" w:hAnsi="宋体" w:cs="宋体"/>
          <w:sz w:val="24"/>
          <w:szCs w:val="24"/>
        </w:rPr>
      </w:pPr>
      <w:r>
        <w:rPr>
          <w:rFonts w:hint="eastAsia" w:hAnsi="宋体" w:cs="宋体"/>
          <w:sz w:val="24"/>
          <w:szCs w:val="24"/>
        </w:rPr>
        <w:t xml:space="preserve">                                                                                                                                                                                        </w:t>
      </w:r>
    </w:p>
    <w:p>
      <w:pPr>
        <w:pStyle w:val="11"/>
        <w:spacing w:line="480" w:lineRule="exact"/>
        <w:rPr>
          <w:rFonts w:hint="eastAsia" w:hAnsi="宋体" w:cs="宋体"/>
          <w:sz w:val="24"/>
          <w:szCs w:val="24"/>
          <w:u w:val="single"/>
        </w:rPr>
      </w:pPr>
      <w:r>
        <w:rPr>
          <w:rFonts w:hint="eastAsia" w:hAnsi="宋体" w:cs="宋体"/>
          <w:sz w:val="24"/>
          <w:szCs w:val="24"/>
          <w:lang w:val="en-US" w:eastAsia="zh-CN"/>
        </w:rPr>
        <w:pict>
          <v:line id="_x0000_s1335" o:spid="_x0000_s1335" o:spt="20" style="position:absolute;left:0pt;margin-left:0pt;margin-top:0pt;height:0pt;width:483pt;mso-wrap-distance-bottom:0pt;mso-wrap-distance-top:14.2pt;z-index:251655168;mso-width-relative:page;mso-height-relative:page;" coordsize="21600,21600" o:allowincell="f">
            <v:path arrowok="t"/>
            <v:fill focussize="0,0"/>
            <v:stroke/>
            <v:imagedata o:title=""/>
            <o:lock v:ext="edit"/>
            <w10:wrap type="topAndBottom"/>
          </v:line>
        </w:pict>
      </w:r>
      <w:r>
        <w:rPr>
          <w:rFonts w:hint="eastAsia" w:hAnsi="宋体" w:cs="宋体"/>
          <w:sz w:val="24"/>
          <w:szCs w:val="24"/>
        </w:rPr>
        <w:t xml:space="preserve">    附：1、代理人工作单位：</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pPr>
        <w:pStyle w:val="11"/>
        <w:spacing w:line="480" w:lineRule="exact"/>
        <w:ind w:firstLine="420"/>
        <w:rPr>
          <w:rFonts w:hint="eastAsia" w:hAnsi="宋体" w:cs="宋体"/>
          <w:sz w:val="24"/>
          <w:szCs w:val="24"/>
        </w:rPr>
      </w:pPr>
      <w:r>
        <w:rPr>
          <w:rFonts w:hint="eastAsia" w:hAnsi="宋体" w:cs="宋体"/>
          <w:sz w:val="24"/>
          <w:szCs w:val="24"/>
        </w:rPr>
        <w:t xml:space="preserve">       身份证号码：</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 xml:space="preserve"> </w:t>
      </w:r>
    </w:p>
    <w:p>
      <w:pPr>
        <w:pStyle w:val="11"/>
        <w:spacing w:line="480" w:lineRule="exact"/>
        <w:rPr>
          <w:rFonts w:hint="eastAsia" w:hAnsi="宋体" w:cs="宋体"/>
          <w:sz w:val="24"/>
          <w:szCs w:val="24"/>
        </w:rPr>
      </w:pPr>
      <w:r>
        <w:rPr>
          <w:rFonts w:hint="eastAsia" w:hAnsi="宋体" w:cs="宋体"/>
          <w:sz w:val="24"/>
          <w:szCs w:val="24"/>
          <w:lang w:val="en-US" w:eastAsia="zh-CN"/>
        </w:rPr>
        <w:pict>
          <v:rect id="_x0000_s1337" o:spid="_x0000_s1337" o:spt="1" style="position:absolute;left:0pt;margin-left:262.65pt;margin-top:23.45pt;height:163.85pt;width:240.65pt;z-index:251657216;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授权委托人身份证复印件</w:t>
                  </w:r>
                </w:p>
                <w:p>
                  <w:pPr>
                    <w:jc w:val="center"/>
                    <w:rPr>
                      <w:rFonts w:hint="eastAsia"/>
                      <w:b/>
                    </w:rPr>
                  </w:pPr>
                  <w:r>
                    <w:rPr>
                      <w:rFonts w:hint="eastAsia"/>
                      <w:b/>
                    </w:rPr>
                    <w:t>（反面）</w:t>
                  </w:r>
                </w:p>
              </w:txbxContent>
            </v:textbox>
          </v:rect>
        </w:pict>
      </w:r>
      <w:r>
        <w:rPr>
          <w:rFonts w:hint="eastAsia" w:hAnsi="宋体" w:cs="宋体"/>
          <w:sz w:val="24"/>
          <w:szCs w:val="24"/>
          <w:lang w:val="en-US" w:eastAsia="zh-CN"/>
        </w:rPr>
        <w:pict>
          <v:rect id="_x0000_s1336" o:spid="_x0000_s1336" o:spt="1" style="position:absolute;left:0pt;margin-left:0pt;margin-top:23.45pt;height:163.8pt;width:240.65pt;z-index:251656192;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授权委托人身份证复印件</w:t>
                  </w:r>
                </w:p>
                <w:p>
                  <w:pPr>
                    <w:jc w:val="center"/>
                    <w:rPr>
                      <w:rFonts w:hint="eastAsia"/>
                      <w:b/>
                    </w:rPr>
                  </w:pPr>
                  <w:r>
                    <w:rPr>
                      <w:rFonts w:hint="eastAsia"/>
                      <w:b/>
                    </w:rPr>
                    <w:t>（正面）</w:t>
                  </w:r>
                </w:p>
              </w:txbxContent>
            </v:textbox>
          </v:rect>
        </w:pict>
      </w: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rPr>
          <w:rFonts w:hint="eastAsia" w:hAnsi="宋体" w:cs="宋体"/>
          <w:sz w:val="24"/>
          <w:szCs w:val="24"/>
        </w:rPr>
      </w:pPr>
    </w:p>
    <w:p>
      <w:pPr>
        <w:pStyle w:val="11"/>
        <w:spacing w:line="480" w:lineRule="exact"/>
        <w:ind w:firstLine="420"/>
        <w:rPr>
          <w:rFonts w:hint="eastAsia" w:hAnsi="宋体" w:cs="宋体"/>
          <w:sz w:val="24"/>
          <w:szCs w:val="24"/>
        </w:rPr>
      </w:pPr>
    </w:p>
    <w:p>
      <w:pPr>
        <w:pStyle w:val="11"/>
        <w:spacing w:line="400" w:lineRule="exact"/>
        <w:rPr>
          <w:rFonts w:hint="eastAsia" w:hAnsi="宋体" w:cs="宋体"/>
          <w:sz w:val="24"/>
          <w:szCs w:val="24"/>
        </w:rPr>
      </w:pPr>
    </w:p>
    <w:p>
      <w:pPr>
        <w:pStyle w:val="11"/>
        <w:spacing w:line="400" w:lineRule="exact"/>
        <w:ind w:firstLine="420"/>
        <w:rPr>
          <w:rFonts w:hint="eastAsia" w:hAnsi="宋体" w:cs="宋体"/>
          <w:sz w:val="24"/>
          <w:szCs w:val="24"/>
        </w:rPr>
      </w:pPr>
      <w:r>
        <w:rPr>
          <w:rFonts w:hint="eastAsia" w:hAnsi="宋体" w:cs="宋体"/>
          <w:sz w:val="24"/>
          <w:szCs w:val="24"/>
        </w:rPr>
        <w:t>说明：</w:t>
      </w: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r>
        <w:rPr>
          <w:rFonts w:hint="eastAsia" w:hAnsi="宋体" w:cs="宋体"/>
          <w:sz w:val="24"/>
          <w:szCs w:val="24"/>
        </w:rPr>
        <w:t>1、法人授权委托书所签发的代理期限必须涵盖代理人所有签名为有效的时间。</w:t>
      </w:r>
    </w:p>
    <w:p>
      <w:pPr>
        <w:pStyle w:val="11"/>
        <w:spacing w:line="400" w:lineRule="exact"/>
        <w:ind w:firstLine="735"/>
        <w:rPr>
          <w:rFonts w:hint="eastAsia" w:hAnsi="宋体" w:cs="宋体"/>
          <w:sz w:val="24"/>
          <w:szCs w:val="24"/>
        </w:rPr>
      </w:pPr>
      <w:r>
        <w:rPr>
          <w:rFonts w:hint="eastAsia" w:hAnsi="宋体" w:cs="宋体"/>
          <w:sz w:val="24"/>
          <w:szCs w:val="24"/>
        </w:rPr>
        <w:t>2、委托书内容填写要明确，文字要工整清楚，涂改无效。</w:t>
      </w:r>
    </w:p>
    <w:p>
      <w:pPr>
        <w:pStyle w:val="11"/>
        <w:spacing w:line="400" w:lineRule="exact"/>
        <w:ind w:firstLine="735"/>
        <w:rPr>
          <w:rFonts w:hint="eastAsia" w:hAnsi="宋体" w:cs="宋体"/>
          <w:sz w:val="24"/>
          <w:szCs w:val="24"/>
        </w:rPr>
      </w:pPr>
      <w:r>
        <w:rPr>
          <w:rFonts w:hint="eastAsia" w:hAnsi="宋体" w:cs="宋体"/>
          <w:sz w:val="24"/>
          <w:szCs w:val="24"/>
        </w:rPr>
        <w:t>3、委托书不得转借、转让，不得买卖。</w:t>
      </w:r>
    </w:p>
    <w:p>
      <w:pPr>
        <w:pStyle w:val="11"/>
        <w:spacing w:line="400" w:lineRule="exact"/>
        <w:ind w:firstLine="735"/>
        <w:rPr>
          <w:rFonts w:hint="eastAsia" w:hAnsi="宋体" w:cs="宋体"/>
          <w:sz w:val="24"/>
          <w:szCs w:val="24"/>
        </w:rPr>
      </w:pPr>
      <w:r>
        <w:rPr>
          <w:rFonts w:hint="eastAsia" w:hAnsi="宋体" w:cs="宋体"/>
          <w:sz w:val="24"/>
          <w:szCs w:val="24"/>
        </w:rPr>
        <w:t>4、代理人根据授权范围，以委托单位的名义签订合同，并将此委托书提交给对方作为合同附件。</w:t>
      </w: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00" w:lineRule="exact"/>
        <w:ind w:firstLine="735"/>
        <w:rPr>
          <w:rFonts w:hint="eastAsia" w:hAnsi="宋体" w:cs="宋体"/>
          <w:sz w:val="24"/>
          <w:szCs w:val="24"/>
        </w:rPr>
      </w:pPr>
    </w:p>
    <w:p>
      <w:pPr>
        <w:pStyle w:val="11"/>
        <w:spacing w:line="420" w:lineRule="exact"/>
        <w:ind w:firstLine="420"/>
        <w:jc w:val="center"/>
        <w:rPr>
          <w:rFonts w:hint="eastAsia" w:hAnsi="宋体" w:cs="宋体"/>
          <w:b/>
          <w:sz w:val="30"/>
        </w:rPr>
      </w:pPr>
      <w:r>
        <w:rPr>
          <w:rFonts w:hint="eastAsia" w:hAnsi="宋体" w:cs="宋体"/>
          <w:b/>
          <w:sz w:val="30"/>
        </w:rPr>
        <w:t>4、售后服务承诺书格式</w:t>
      </w:r>
    </w:p>
    <w:p>
      <w:pPr>
        <w:pStyle w:val="11"/>
        <w:spacing w:before="240"/>
        <w:jc w:val="center"/>
        <w:rPr>
          <w:rFonts w:hint="eastAsia" w:hAnsi="宋体" w:cs="宋体"/>
          <w:b/>
          <w:sz w:val="30"/>
        </w:rPr>
      </w:pPr>
      <w:r>
        <w:rPr>
          <w:rFonts w:hint="eastAsia" w:hAnsi="宋体" w:cs="宋体"/>
        </w:rPr>
        <w:t>（由竞争性谈判供应商按《货物需求一览表》售后服务及要求自行填写）</w:t>
      </w:r>
    </w:p>
    <w:p>
      <w:pPr>
        <w:pStyle w:val="11"/>
        <w:spacing w:before="240"/>
        <w:ind w:firstLine="600" w:firstLineChars="200"/>
        <w:rPr>
          <w:rFonts w:hint="eastAsia" w:hAnsi="宋体" w:cs="宋体"/>
          <w:b/>
          <w:sz w:val="30"/>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ind w:firstLine="410" w:firstLineChars="17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ind w:firstLine="410" w:firstLineChars="171"/>
        <w:jc w:val="center"/>
        <w:rPr>
          <w:rFonts w:hint="eastAsia" w:hAnsi="宋体" w:cs="宋体"/>
          <w:sz w:val="24"/>
          <w:szCs w:val="24"/>
        </w:rPr>
      </w:pPr>
    </w:p>
    <w:p>
      <w:pPr>
        <w:pStyle w:val="11"/>
        <w:ind w:firstLine="410" w:firstLineChars="171"/>
        <w:rPr>
          <w:rFonts w:hint="eastAsia" w:hAnsi="宋体" w:cs="宋体"/>
          <w:sz w:val="24"/>
          <w:szCs w:val="24"/>
        </w:rPr>
      </w:pPr>
    </w:p>
    <w:p>
      <w:pPr>
        <w:pStyle w:val="11"/>
        <w:ind w:firstLine="410" w:firstLineChars="17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rPr>
          <w:rFonts w:hint="eastAsia" w:hAnsi="宋体" w:cs="宋体"/>
          <w:sz w:val="24"/>
          <w:szCs w:val="24"/>
          <w:u w:val="single"/>
        </w:rPr>
      </w:pPr>
    </w:p>
    <w:p>
      <w:pPr>
        <w:pStyle w:val="11"/>
        <w:jc w:val="center"/>
        <w:rPr>
          <w:rFonts w:hint="eastAsia" w:hAnsi="宋体" w:cs="宋体"/>
          <w:sz w:val="24"/>
          <w:szCs w:val="24"/>
          <w:u w:val="single"/>
        </w:rPr>
      </w:pPr>
    </w:p>
    <w:p>
      <w:pPr>
        <w:pStyle w:val="11"/>
        <w:spacing w:line="420" w:lineRule="exact"/>
        <w:ind w:firstLine="420"/>
        <w:rPr>
          <w:rFonts w:hint="eastAsia" w:hAnsi="宋体" w:cs="宋体"/>
          <w:b/>
          <w:sz w:val="32"/>
        </w:rPr>
      </w:pPr>
      <w:r>
        <w:rPr>
          <w:rFonts w:hint="eastAsia" w:hAnsi="宋体" w:cs="宋体"/>
          <w:sz w:val="24"/>
          <w:szCs w:val="24"/>
        </w:rPr>
        <w:t>日期：</w:t>
      </w:r>
      <w:r>
        <w:rPr>
          <w:rFonts w:hint="eastAsia" w:hAnsi="宋体" w:cs="宋体"/>
          <w:sz w:val="24"/>
          <w:szCs w:val="24"/>
          <w:u w:val="single"/>
        </w:rPr>
        <w:t xml:space="preserve">                     　　　            </w:t>
      </w:r>
    </w:p>
    <w:p>
      <w:pPr>
        <w:pStyle w:val="11"/>
        <w:spacing w:line="420" w:lineRule="exact"/>
        <w:ind w:firstLine="420"/>
        <w:rPr>
          <w:rFonts w:hint="eastAsia" w:hAnsi="宋体" w:cs="宋体"/>
          <w:b/>
          <w:sz w:val="32"/>
        </w:rPr>
      </w:pPr>
      <w:r>
        <w:rPr>
          <w:rFonts w:hint="eastAsia" w:hAnsi="宋体" w:cs="宋体"/>
          <w:b/>
          <w:sz w:val="32"/>
        </w:rPr>
        <w:br w:type="page"/>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jc w:val="center"/>
        <w:rPr>
          <w:rFonts w:hint="eastAsia" w:hAnsi="宋体" w:cs="宋体"/>
          <w:b/>
          <w:sz w:val="32"/>
        </w:rPr>
      </w:pPr>
      <w:r>
        <w:rPr>
          <w:rFonts w:hint="eastAsia" w:hAnsi="宋体" w:cs="宋体"/>
          <w:b/>
          <w:sz w:val="32"/>
        </w:rPr>
        <w:t>二、技术标部分</w:t>
      </w: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ind w:firstLine="420"/>
        <w:rPr>
          <w:rFonts w:hint="eastAsia" w:hAnsi="宋体" w:cs="宋体"/>
          <w:b/>
          <w:sz w:val="32"/>
        </w:rPr>
      </w:pPr>
    </w:p>
    <w:p>
      <w:pPr>
        <w:pStyle w:val="11"/>
        <w:spacing w:line="420" w:lineRule="exact"/>
        <w:rPr>
          <w:rFonts w:hint="eastAsia" w:hAnsi="宋体" w:cs="宋体"/>
          <w:b/>
          <w:sz w:val="32"/>
        </w:rPr>
      </w:pPr>
    </w:p>
    <w:p>
      <w:pPr>
        <w:pStyle w:val="11"/>
        <w:numPr>
          <w:ilvl w:val="0"/>
          <w:numId w:val="7"/>
        </w:numPr>
        <w:spacing w:before="240"/>
        <w:jc w:val="center"/>
        <w:rPr>
          <w:rFonts w:hint="eastAsia" w:hAnsi="宋体" w:cs="宋体"/>
          <w:b/>
          <w:sz w:val="30"/>
        </w:rPr>
      </w:pPr>
      <w:r>
        <w:rPr>
          <w:rFonts w:hint="eastAsia" w:hAnsi="宋体" w:cs="宋体"/>
          <w:b/>
          <w:sz w:val="30"/>
        </w:rPr>
        <w:t>技术规格响应表</w:t>
      </w:r>
    </w:p>
    <w:tbl>
      <w:tblPr>
        <w:tblStyle w:val="2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84"/>
        <w:gridCol w:w="2738"/>
        <w:gridCol w:w="281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0" w:type="dxa"/>
          </w:tcPr>
          <w:p>
            <w:pPr>
              <w:pStyle w:val="11"/>
              <w:spacing w:before="240"/>
              <w:rPr>
                <w:rFonts w:hint="eastAsia" w:hAnsi="宋体" w:cs="宋体"/>
                <w:b/>
                <w:bCs/>
              </w:rPr>
            </w:pPr>
            <w:r>
              <w:rPr>
                <w:rFonts w:hint="eastAsia" w:hAnsi="宋体" w:cs="宋体"/>
                <w:b/>
                <w:bCs/>
              </w:rPr>
              <w:t>项号</w:t>
            </w:r>
          </w:p>
        </w:tc>
        <w:tc>
          <w:tcPr>
            <w:tcW w:w="1584" w:type="dxa"/>
          </w:tcPr>
          <w:p>
            <w:pPr>
              <w:pStyle w:val="11"/>
              <w:spacing w:before="240"/>
              <w:jc w:val="center"/>
              <w:rPr>
                <w:rFonts w:hint="eastAsia" w:hAnsi="宋体" w:cs="宋体"/>
                <w:b/>
                <w:bCs/>
              </w:rPr>
            </w:pPr>
            <w:r>
              <w:rPr>
                <w:rFonts w:hint="eastAsia" w:hAnsi="宋体" w:cs="宋体"/>
                <w:b/>
                <w:bCs/>
              </w:rPr>
              <w:t>货物名称</w:t>
            </w:r>
          </w:p>
        </w:tc>
        <w:tc>
          <w:tcPr>
            <w:tcW w:w="2738" w:type="dxa"/>
          </w:tcPr>
          <w:p>
            <w:pPr>
              <w:pStyle w:val="11"/>
              <w:spacing w:before="240"/>
              <w:jc w:val="center"/>
              <w:rPr>
                <w:rFonts w:hint="eastAsia" w:hAnsi="宋体" w:cs="宋体"/>
                <w:b/>
                <w:sz w:val="32"/>
              </w:rPr>
            </w:pPr>
            <w:r>
              <w:rPr>
                <w:rFonts w:hint="eastAsia" w:hAnsi="宋体" w:cs="宋体"/>
                <w:b/>
                <w:bCs/>
              </w:rPr>
              <w:t>采购技术要求</w:t>
            </w:r>
          </w:p>
        </w:tc>
        <w:tc>
          <w:tcPr>
            <w:tcW w:w="2814" w:type="dxa"/>
          </w:tcPr>
          <w:p>
            <w:pPr>
              <w:pStyle w:val="11"/>
              <w:spacing w:before="240"/>
              <w:jc w:val="center"/>
              <w:rPr>
                <w:rFonts w:hint="eastAsia" w:hAnsi="宋体" w:cs="宋体"/>
                <w:b/>
                <w:sz w:val="32"/>
              </w:rPr>
            </w:pPr>
            <w:r>
              <w:rPr>
                <w:rFonts w:hint="eastAsia" w:hAnsi="宋体" w:cs="宋体"/>
                <w:b/>
                <w:bCs/>
              </w:rPr>
              <w:t>竞标技术规格</w:t>
            </w:r>
          </w:p>
        </w:tc>
        <w:tc>
          <w:tcPr>
            <w:tcW w:w="1360" w:type="dxa"/>
          </w:tcPr>
          <w:p>
            <w:pPr>
              <w:pStyle w:val="11"/>
              <w:spacing w:before="240"/>
              <w:jc w:val="center"/>
              <w:rPr>
                <w:rFonts w:hint="eastAsia" w:hAnsi="宋体" w:cs="宋体"/>
                <w:b/>
                <w:bCs/>
              </w:rPr>
            </w:pPr>
            <w:r>
              <w:rPr>
                <w:rFonts w:hint="eastAsia" w:hAnsi="宋体" w:cs="宋体"/>
                <w:b/>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0" w:type="dxa"/>
          </w:tcPr>
          <w:p>
            <w:pPr>
              <w:pStyle w:val="11"/>
              <w:spacing w:before="240"/>
              <w:jc w:val="center"/>
              <w:rPr>
                <w:rFonts w:hint="eastAsia" w:hAnsi="宋体" w:cs="宋体"/>
                <w:b/>
                <w:sz w:val="32"/>
              </w:rPr>
            </w:pPr>
          </w:p>
        </w:tc>
        <w:tc>
          <w:tcPr>
            <w:tcW w:w="1584" w:type="dxa"/>
          </w:tcPr>
          <w:p>
            <w:pPr>
              <w:pStyle w:val="11"/>
              <w:spacing w:before="240"/>
              <w:jc w:val="center"/>
              <w:rPr>
                <w:rFonts w:hint="eastAsia" w:hAnsi="宋体" w:cs="宋体"/>
                <w:b/>
                <w:sz w:val="32"/>
              </w:rPr>
            </w:pPr>
          </w:p>
        </w:tc>
        <w:tc>
          <w:tcPr>
            <w:tcW w:w="2738" w:type="dxa"/>
          </w:tcPr>
          <w:p>
            <w:pPr>
              <w:pStyle w:val="11"/>
              <w:spacing w:before="240"/>
              <w:jc w:val="center"/>
              <w:rPr>
                <w:rFonts w:hint="eastAsia" w:hAnsi="宋体" w:cs="宋体"/>
                <w:b/>
                <w:sz w:val="32"/>
              </w:rPr>
            </w:pPr>
          </w:p>
        </w:tc>
        <w:tc>
          <w:tcPr>
            <w:tcW w:w="2814" w:type="dxa"/>
          </w:tcPr>
          <w:p>
            <w:pPr>
              <w:pStyle w:val="11"/>
              <w:spacing w:before="240"/>
              <w:jc w:val="center"/>
              <w:rPr>
                <w:rFonts w:hint="eastAsia" w:hAnsi="宋体" w:cs="宋体"/>
                <w:b/>
                <w:sz w:val="32"/>
              </w:rPr>
            </w:pPr>
          </w:p>
        </w:tc>
        <w:tc>
          <w:tcPr>
            <w:tcW w:w="1360" w:type="dxa"/>
          </w:tcPr>
          <w:p>
            <w:pPr>
              <w:pStyle w:val="11"/>
              <w:spacing w:before="240"/>
              <w:jc w:val="center"/>
              <w:rPr>
                <w:rFonts w:hint="eastAsia" w:hAnsi="宋体" w:cs="宋体"/>
                <w:b/>
                <w:sz w:val="32"/>
              </w:rPr>
            </w:pPr>
          </w:p>
        </w:tc>
      </w:tr>
    </w:tbl>
    <w:p>
      <w:pPr>
        <w:pStyle w:val="11"/>
        <w:spacing w:before="240"/>
        <w:rPr>
          <w:rFonts w:hint="eastAsia" w:hAnsi="宋体" w:cs="宋体"/>
          <w:b/>
        </w:rPr>
      </w:pPr>
      <w:r>
        <w:rPr>
          <w:rFonts w:hint="eastAsia" w:hAnsi="宋体" w:cs="宋体"/>
          <w:b/>
        </w:rPr>
        <w:t>注：</w:t>
      </w:r>
    </w:p>
    <w:p>
      <w:pPr>
        <w:pStyle w:val="11"/>
        <w:numPr>
          <w:ilvl w:val="0"/>
          <w:numId w:val="8"/>
        </w:numPr>
        <w:spacing w:before="240"/>
        <w:rPr>
          <w:rFonts w:hint="eastAsia" w:hAnsi="宋体" w:cs="宋体"/>
          <w:bCs/>
          <w:sz w:val="24"/>
          <w:szCs w:val="24"/>
        </w:rPr>
      </w:pPr>
      <w:r>
        <w:rPr>
          <w:rFonts w:hint="eastAsia" w:hAnsi="宋体" w:cs="宋体"/>
          <w:bCs/>
          <w:sz w:val="24"/>
          <w:szCs w:val="24"/>
        </w:rPr>
        <w:t>竞标技术规格由竞争性谈判供应商按照谈判文件货物需求一览表对应的技术参数及性能进行填写。</w:t>
      </w:r>
    </w:p>
    <w:p>
      <w:pPr>
        <w:pStyle w:val="11"/>
        <w:numPr>
          <w:ilvl w:val="0"/>
          <w:numId w:val="8"/>
        </w:numPr>
        <w:spacing w:before="240"/>
        <w:rPr>
          <w:rFonts w:hint="eastAsia" w:hAnsi="宋体" w:cs="宋体"/>
          <w:bCs/>
          <w:sz w:val="24"/>
          <w:szCs w:val="24"/>
        </w:rPr>
      </w:pPr>
      <w:r>
        <w:rPr>
          <w:rFonts w:hint="eastAsia" w:hAnsi="宋体" w:cs="宋体"/>
          <w:bCs/>
          <w:sz w:val="24"/>
          <w:szCs w:val="24"/>
        </w:rPr>
        <w:t>此表竞标技术规格与谈判报价表和产品检验报告证书的技术指标不符的，以产品检验报告证书的技术指标为准。</w:t>
      </w:r>
    </w:p>
    <w:p>
      <w:pPr>
        <w:pStyle w:val="11"/>
        <w:numPr>
          <w:ilvl w:val="0"/>
          <w:numId w:val="8"/>
        </w:numPr>
        <w:spacing w:before="240"/>
        <w:rPr>
          <w:rFonts w:hint="eastAsia" w:hAnsi="宋体" w:cs="宋体"/>
          <w:bCs/>
          <w:sz w:val="24"/>
          <w:szCs w:val="24"/>
        </w:rPr>
      </w:pPr>
      <w:r>
        <w:rPr>
          <w:rFonts w:hint="eastAsia" w:hAnsi="宋体" w:cs="宋体"/>
          <w:bCs/>
          <w:sz w:val="24"/>
          <w:szCs w:val="24"/>
        </w:rPr>
        <w:t xml:space="preserve">竞标技术规格与采购技术要求相同的为无偏离，竞标技术规格高于采购技术要求的为正偏离，低于采购技术要求的为负偏离。 </w:t>
      </w:r>
    </w:p>
    <w:p>
      <w:pPr>
        <w:pStyle w:val="11"/>
        <w:rPr>
          <w:rFonts w:hint="eastAsia" w:hAnsi="宋体" w:cs="宋体"/>
          <w:bCs/>
          <w:sz w:val="24"/>
          <w:szCs w:val="24"/>
        </w:rPr>
      </w:pPr>
      <w:r>
        <w:rPr>
          <w:rFonts w:hint="eastAsia" w:hAnsi="宋体" w:cs="宋体"/>
          <w:bCs/>
          <w:sz w:val="24"/>
          <w:szCs w:val="24"/>
        </w:rPr>
        <w:t xml:space="preserve">                        </w:t>
      </w:r>
    </w:p>
    <w:p>
      <w:pPr>
        <w:pStyle w:val="11"/>
        <w:rPr>
          <w:rFonts w:hint="eastAsia" w:hAnsi="宋体" w:cs="宋体"/>
          <w:sz w:val="24"/>
          <w:szCs w:val="24"/>
          <w:u w:val="single"/>
        </w:rPr>
      </w:pPr>
      <w:r>
        <w:rPr>
          <w:rFonts w:hint="eastAsia" w:hAnsi="宋体" w:cs="宋体"/>
          <w:sz w:val="24"/>
          <w:szCs w:val="24"/>
        </w:rPr>
        <w:t>竞争性谈判供应商（盖公章）：</w:t>
      </w:r>
      <w:r>
        <w:rPr>
          <w:rFonts w:hint="eastAsia" w:hAnsi="宋体" w:cs="宋体"/>
          <w:sz w:val="24"/>
          <w:szCs w:val="24"/>
          <w:u w:val="single"/>
        </w:rPr>
        <w:t xml:space="preserve">                　　　　　　　　 </w:t>
      </w:r>
    </w:p>
    <w:p>
      <w:pPr>
        <w:pStyle w:val="11"/>
        <w:rPr>
          <w:rFonts w:hint="eastAsia" w:hAnsi="宋体" w:cs="宋体"/>
          <w:sz w:val="24"/>
          <w:szCs w:val="24"/>
        </w:rPr>
      </w:pPr>
    </w:p>
    <w:p>
      <w:pPr>
        <w:pStyle w:val="11"/>
        <w:rPr>
          <w:rFonts w:hint="eastAsia" w:hAnsi="宋体" w:cs="宋体"/>
          <w:sz w:val="24"/>
          <w:szCs w:val="24"/>
          <w:u w:val="single"/>
        </w:rPr>
      </w:pPr>
      <w:r>
        <w:rPr>
          <w:rFonts w:hint="eastAsia" w:hAnsi="宋体" w:cs="宋体"/>
          <w:sz w:val="24"/>
          <w:szCs w:val="24"/>
        </w:rPr>
        <w:t>法定代表人或委托代理人签名：</w:t>
      </w:r>
      <w:r>
        <w:rPr>
          <w:rFonts w:hint="eastAsia" w:hAnsi="宋体" w:cs="宋体"/>
          <w:sz w:val="24"/>
          <w:szCs w:val="24"/>
          <w:u w:val="single"/>
        </w:rPr>
        <w:t xml:space="preserve">                    　</w:t>
      </w:r>
    </w:p>
    <w:p>
      <w:pPr>
        <w:pStyle w:val="11"/>
        <w:spacing w:before="240"/>
        <w:jc w:val="left"/>
        <w:rPr>
          <w:rFonts w:hint="eastAsia"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p>
    <w:p>
      <w:pPr>
        <w:spacing w:line="360" w:lineRule="exact"/>
        <w:ind w:firstLine="480" w:firstLineChars="200"/>
        <w:rPr>
          <w:rFonts w:hint="eastAsia" w:ascii="宋体" w:hAnsi="宋体" w:cs="宋体"/>
          <w:sz w:val="24"/>
        </w:rPr>
      </w:pPr>
    </w:p>
    <w:p>
      <w:pPr>
        <w:pStyle w:val="2"/>
        <w:jc w:val="center"/>
        <w:rPr>
          <w:rFonts w:hint="eastAsia" w:ascii="宋体" w:hAnsi="宋体" w:cs="宋体"/>
          <w:bCs/>
          <w:sz w:val="44"/>
        </w:rPr>
      </w:pPr>
    </w:p>
    <w:p>
      <w:pPr>
        <w:rPr>
          <w:rFonts w:hint="eastAsia" w:ascii="宋体" w:hAnsi="宋体" w:cs="宋体"/>
        </w:rPr>
      </w:pPr>
    </w:p>
    <w:p>
      <w:pPr>
        <w:pStyle w:val="11"/>
        <w:spacing w:before="240"/>
        <w:rPr>
          <w:rFonts w:hint="eastAsia" w:hAnsi="宋体" w:cs="宋体"/>
          <w:sz w:val="28"/>
          <w:szCs w:val="28"/>
        </w:rPr>
      </w:pPr>
    </w:p>
    <w:p>
      <w:pPr>
        <w:pStyle w:val="3"/>
        <w:jc w:val="center"/>
        <w:rPr>
          <w:rFonts w:hint="eastAsia" w:ascii="宋体" w:hAnsi="宋体" w:cs="宋体"/>
          <w:b w:val="0"/>
          <w:sz w:val="44"/>
          <w:szCs w:val="44"/>
        </w:rPr>
      </w:pPr>
      <w:bookmarkStart w:id="140" w:name="_Toc10358"/>
      <w:r>
        <w:rPr>
          <w:rFonts w:hint="eastAsia" w:ascii="宋体" w:hAnsi="宋体" w:cs="宋体"/>
          <w:b w:val="0"/>
          <w:sz w:val="44"/>
          <w:szCs w:val="44"/>
        </w:rPr>
        <w:t>第五章  评定成交的标准</w:t>
      </w:r>
      <w:bookmarkEnd w:id="140"/>
    </w:p>
    <w:p>
      <w:pPr>
        <w:spacing w:line="360" w:lineRule="auto"/>
        <w:ind w:firstLine="480" w:firstLineChars="200"/>
        <w:rPr>
          <w:rFonts w:hint="eastAsia" w:ascii="宋体" w:hAnsi="宋体" w:cs="宋体"/>
          <w:sz w:val="24"/>
        </w:rPr>
      </w:pPr>
      <w:r>
        <w:rPr>
          <w:rFonts w:hint="eastAsia" w:ascii="宋体" w:hAnsi="宋体" w:cs="宋体"/>
          <w:sz w:val="24"/>
        </w:rPr>
        <w:t>本项目评标方法最低评标价法。</w:t>
      </w:r>
    </w:p>
    <w:p>
      <w:pPr>
        <w:spacing w:line="360" w:lineRule="auto"/>
        <w:ind w:firstLine="470" w:firstLineChars="196"/>
        <w:rPr>
          <w:rFonts w:hint="eastAsia" w:ascii="宋体" w:hAnsi="宋体" w:cs="宋体"/>
          <w:sz w:val="24"/>
        </w:rPr>
      </w:pPr>
      <w:r>
        <w:rPr>
          <w:rFonts w:hint="eastAsia" w:ascii="宋体" w:hAnsi="宋体" w:cs="宋体"/>
          <w:sz w:val="24"/>
        </w:rPr>
        <w:t>谈判小组组成：本采购项目的谈判小组分别由采购人评审代表和采购人依法从广西政采云专家库抽取的专家共三人以上（含三人）单数组成，其中专家人数不少于三分之二。</w:t>
      </w:r>
    </w:p>
    <w:p>
      <w:pPr>
        <w:spacing w:line="360" w:lineRule="auto"/>
        <w:ind w:firstLine="470" w:firstLineChars="196"/>
        <w:rPr>
          <w:rFonts w:hint="eastAsia" w:ascii="宋体" w:hAnsi="宋体" w:cs="宋体"/>
          <w:sz w:val="24"/>
        </w:rPr>
      </w:pPr>
      <w:r>
        <w:rPr>
          <w:rFonts w:hint="eastAsia" w:ascii="宋体" w:hAnsi="宋体" w:cs="宋体"/>
          <w:sz w:val="24"/>
        </w:rPr>
        <w:t>评标依据：谈判小组将以竞争性谈判采购文件、竞争性谈判响应文件为评标依据，对竞标人的竞标文件进行评审和比较。</w:t>
      </w:r>
    </w:p>
    <w:p>
      <w:pPr>
        <w:tabs>
          <w:tab w:val="left" w:pos="4005"/>
        </w:tabs>
        <w:spacing w:line="360" w:lineRule="auto"/>
        <w:ind w:firstLine="470" w:firstLineChars="196"/>
        <w:rPr>
          <w:rFonts w:hint="eastAsia" w:ascii="宋体" w:hAnsi="宋体" w:cs="宋体"/>
          <w:sz w:val="24"/>
        </w:rPr>
      </w:pPr>
      <w:r>
        <w:rPr>
          <w:rFonts w:hint="eastAsia" w:ascii="宋体" w:hAnsi="宋体" w:cs="宋体"/>
          <w:sz w:val="24"/>
        </w:rPr>
        <w:t>评标方式：以封闭方式进行。</w:t>
      </w:r>
    </w:p>
    <w:p>
      <w:pPr>
        <w:spacing w:line="360" w:lineRule="auto"/>
        <w:ind w:firstLine="480" w:firstLineChars="200"/>
        <w:rPr>
          <w:rFonts w:hint="eastAsia" w:ascii="宋体" w:hAnsi="宋体" w:cs="宋体"/>
          <w:sz w:val="24"/>
        </w:rPr>
      </w:pPr>
      <w:r>
        <w:rPr>
          <w:rFonts w:hint="eastAsia" w:ascii="宋体" w:hAnsi="宋体" w:cs="宋体"/>
          <w:sz w:val="24"/>
        </w:rPr>
        <w:t>各项指标的分数计算四舍五入，取小数点后两位。</w:t>
      </w:r>
    </w:p>
    <w:p>
      <w:pPr>
        <w:spacing w:line="360" w:lineRule="auto"/>
        <w:ind w:firstLine="480" w:firstLineChars="200"/>
        <w:rPr>
          <w:rFonts w:hint="eastAsia" w:ascii="宋体" w:hAnsi="宋体" w:cs="宋体"/>
          <w:sz w:val="24"/>
        </w:rPr>
      </w:pPr>
      <w:r>
        <w:rPr>
          <w:rFonts w:hint="eastAsia" w:ascii="宋体" w:hAnsi="宋体" w:cs="宋体"/>
          <w:sz w:val="24"/>
        </w:rPr>
        <w:t>评标应当遵循下列工作程序：</w:t>
      </w:r>
    </w:p>
    <w:p>
      <w:pPr>
        <w:spacing w:line="360" w:lineRule="auto"/>
        <w:ind w:firstLine="480" w:firstLineChars="200"/>
        <w:rPr>
          <w:rFonts w:hint="eastAsia" w:ascii="宋体" w:hAnsi="宋体" w:cs="宋体"/>
          <w:b/>
          <w:bCs/>
          <w:sz w:val="24"/>
        </w:rPr>
      </w:pPr>
      <w:r>
        <w:rPr>
          <w:rFonts w:hint="eastAsia" w:ascii="宋体" w:hAnsi="宋体" w:cs="宋体"/>
          <w:b/>
          <w:bCs/>
          <w:sz w:val="24"/>
        </w:rPr>
        <w:t>一、资格审查</w:t>
      </w:r>
    </w:p>
    <w:p>
      <w:pPr>
        <w:spacing w:line="360" w:lineRule="auto"/>
        <w:ind w:firstLine="480" w:firstLineChars="200"/>
        <w:rPr>
          <w:rFonts w:hint="eastAsia" w:ascii="宋体" w:hAnsi="宋体" w:cs="宋体"/>
          <w:sz w:val="24"/>
        </w:rPr>
      </w:pPr>
      <w:r>
        <w:rPr>
          <w:rFonts w:hint="eastAsia" w:ascii="宋体" w:hAnsi="宋体" w:cs="宋体"/>
          <w:sz w:val="24"/>
        </w:rPr>
        <w:t>谈判小组按本须知第12条款中所列内容对各竞标人的竞争性谈判响应文件进行资格审查，只有通过资格审查的竞标人才能进入下一阶段评审。</w:t>
      </w:r>
    </w:p>
    <w:p>
      <w:pPr>
        <w:spacing w:line="360" w:lineRule="auto"/>
        <w:ind w:firstLine="480" w:firstLineChars="200"/>
        <w:rPr>
          <w:rFonts w:hint="eastAsia" w:ascii="宋体" w:hAnsi="宋体" w:cs="宋体"/>
          <w:sz w:val="24"/>
        </w:rPr>
      </w:pPr>
      <w:r>
        <w:rPr>
          <w:rFonts w:hint="eastAsia" w:ascii="宋体" w:hAnsi="宋体" w:cs="宋体"/>
          <w:b/>
          <w:bCs/>
          <w:sz w:val="24"/>
        </w:rPr>
        <w:t>二、符合性审查</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在谈判之后详细评标之前，谈判小组将首先审查每份竞争性谈判响应文件是否在实质上响应了竞争性谈判采购文件的要求。所谓实质上响应，是指竞争性谈判响应文件应与采购文件的所有实质性条款、条件和要求相符，无显著差异或保留，或者对合同条件中要求的采购人的权利及竞标人的义务造成重大的限制，而纠正这种差异或保留将会对其他实质上响应采购文件要求的竞标人的竞争地位产生不公正的影响。</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b/>
          <w:bCs/>
          <w:sz w:val="24"/>
        </w:rPr>
        <w:t>三、</w:t>
      </w:r>
      <w:r>
        <w:rPr>
          <w:rFonts w:hint="eastAsia" w:ascii="宋体" w:hAnsi="宋体" w:cs="宋体"/>
          <w:sz w:val="24"/>
        </w:rPr>
        <w:t>按照《政府采购促进中小企业发展暂行办法》（财库2011）181号），认定为小型和微型企业的（以响应文件提供的符合规定的有关证明材料为准），对其最后报价给予6%的扣除，扣除后的价格为评审报价，即评审报价=最后报价×（1-6%）；大中型企业与小型、微型企业组成联合体竞标，其中小型、微型企业的协议合同金额占到联合体协议合同总金额30%以上的，联合体竞标价给予2%的扣除，扣除后的价格为评审价，即评审报价=最后报价×（1-2%）；除上述情况外，评审报价=最后报价。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cs="宋体"/>
          <w:b/>
          <w:bCs/>
          <w:sz w:val="24"/>
        </w:rPr>
      </w:pPr>
      <w:r>
        <w:rPr>
          <w:rFonts w:hint="eastAsia" w:ascii="宋体" w:hAnsi="宋体" w:cs="宋体"/>
          <w:b/>
          <w:bCs/>
          <w:sz w:val="24"/>
        </w:rPr>
        <w:t>四、成交供应商推荐原则</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一）在质量和服务均能满足采购文件实质性响应要求的前提下，按评审报价由低到高排列成交候选供应商顺序（评审报价相同时，竞标报价低到高优先、产品质量高低优先的顺序排列），并依照次序确定成交供应商。采购人应当确定谈判小组推荐排名第一的成交候选人为成交人。排名第一的成交候选人放弃成交、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二）谈判小组认为，某供应商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pPr>
        <w:autoSpaceDE w:val="0"/>
        <w:autoSpaceDN w:val="0"/>
        <w:adjustRightInd w:val="0"/>
        <w:spacing w:line="360" w:lineRule="exact"/>
        <w:ind w:firstLine="480" w:firstLineChars="200"/>
        <w:rPr>
          <w:rFonts w:hint="eastAsia" w:ascii="宋体" w:hAnsi="宋体" w:cs="宋体"/>
          <w:sz w:val="24"/>
        </w:rPr>
      </w:pPr>
    </w:p>
    <w:p>
      <w:pPr>
        <w:autoSpaceDE w:val="0"/>
        <w:autoSpaceDN w:val="0"/>
        <w:adjustRightInd w:val="0"/>
        <w:spacing w:line="360" w:lineRule="exact"/>
        <w:ind w:firstLine="480" w:firstLineChars="200"/>
        <w:rPr>
          <w:rFonts w:hint="eastAsia" w:ascii="宋体" w:hAnsi="宋体" w:cs="宋体"/>
          <w:sz w:val="24"/>
        </w:rPr>
      </w:pPr>
    </w:p>
    <w:p>
      <w:pPr>
        <w:pStyle w:val="11"/>
        <w:outlineLvl w:val="2"/>
        <w:rPr>
          <w:rFonts w:hint="eastAsia" w:hAnsi="宋体" w:cs="宋体"/>
          <w:b/>
          <w:sz w:val="24"/>
          <w:szCs w:val="24"/>
        </w:rPr>
      </w:pPr>
      <w:bookmarkStart w:id="141" w:name="_Toc5455"/>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p>
    <w:p>
      <w:pPr>
        <w:pStyle w:val="11"/>
        <w:outlineLvl w:val="2"/>
        <w:rPr>
          <w:rFonts w:hint="eastAsia" w:hAnsi="宋体" w:cs="宋体"/>
          <w:b/>
          <w:sz w:val="24"/>
          <w:szCs w:val="24"/>
        </w:rPr>
      </w:pPr>
      <w:r>
        <w:rPr>
          <w:rFonts w:hint="eastAsia" w:hAnsi="宋体" w:cs="宋体"/>
          <w:b/>
          <w:sz w:val="24"/>
          <w:szCs w:val="24"/>
        </w:rPr>
        <w:t>附件一：</w:t>
      </w:r>
      <w:bookmarkEnd w:id="141"/>
    </w:p>
    <w:p>
      <w:pPr>
        <w:spacing w:line="588" w:lineRule="exact"/>
        <w:jc w:val="center"/>
        <w:rPr>
          <w:rFonts w:hint="eastAsia" w:ascii="宋体" w:hAnsi="宋体" w:cs="宋体"/>
          <w:b/>
          <w:sz w:val="30"/>
          <w:szCs w:val="30"/>
        </w:rPr>
      </w:pPr>
      <w:r>
        <w:rPr>
          <w:rFonts w:hint="eastAsia" w:ascii="宋体" w:hAnsi="宋体" w:cs="宋体"/>
          <w:b/>
          <w:sz w:val="30"/>
          <w:szCs w:val="30"/>
        </w:rPr>
        <w:t>中小企业声明函</w:t>
      </w:r>
    </w:p>
    <w:p>
      <w:pPr>
        <w:spacing w:line="588" w:lineRule="exact"/>
        <w:rPr>
          <w:rFonts w:hint="eastAsia" w:ascii="宋体" w:hAnsi="宋体" w:cs="宋体"/>
          <w:sz w:val="28"/>
          <w:szCs w:val="28"/>
        </w:rPr>
      </w:pPr>
    </w:p>
    <w:p>
      <w:pPr>
        <w:spacing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bookmarkStart w:id="142" w:name="OLE_LINK2"/>
      <w:bookmarkStart w:id="143" w:name="OLE_LINK5"/>
      <w:r>
        <w:rPr>
          <w:rFonts w:hint="eastAsia" w:ascii="宋体" w:hAnsi="宋体" w:cs="宋体"/>
          <w:sz w:val="24"/>
        </w:rPr>
        <w:t>______（请填写：中型、小型、微型）企业</w:t>
      </w:r>
      <w:bookmarkEnd w:id="142"/>
      <w:bookmarkEnd w:id="143"/>
      <w:r>
        <w:rPr>
          <w:rFonts w:hint="eastAsia" w:ascii="宋体" w:hAnsi="宋体" w:cs="宋体"/>
          <w:sz w:val="24"/>
        </w:rPr>
        <w:t>。即，本公司同时满足以下条件：</w:t>
      </w:r>
    </w:p>
    <w:p>
      <w:pPr>
        <w:spacing w:line="360" w:lineRule="auto"/>
        <w:ind w:firstLine="480" w:firstLineChars="200"/>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企业名称（盖章）： </w:t>
      </w:r>
    </w:p>
    <w:p>
      <w:pPr>
        <w:pStyle w:val="11"/>
        <w:rPr>
          <w:rFonts w:hint="eastAsia" w:hAnsi="宋体" w:cs="宋体"/>
          <w:sz w:val="24"/>
          <w:szCs w:val="24"/>
        </w:rPr>
      </w:pPr>
      <w:r>
        <w:rPr>
          <w:rFonts w:hint="eastAsia" w:hAnsi="宋体" w:cs="宋体"/>
          <w:sz w:val="24"/>
          <w:szCs w:val="24"/>
        </w:rPr>
        <w:t xml:space="preserve">                                        日  期：   </w:t>
      </w:r>
    </w:p>
    <w:p>
      <w:pPr>
        <w:pStyle w:val="11"/>
        <w:spacing w:line="420" w:lineRule="exact"/>
        <w:rPr>
          <w:rFonts w:hint="eastAsia" w:hAnsi="宋体" w:cs="宋体"/>
          <w:b/>
          <w:sz w:val="32"/>
        </w:rPr>
      </w:pPr>
    </w:p>
    <w:p>
      <w:pPr>
        <w:spacing w:line="360" w:lineRule="exact"/>
        <w:ind w:firstLine="360"/>
        <w:rPr>
          <w:rFonts w:hint="eastAsia" w:ascii="宋体" w:hAnsi="宋体" w:cs="宋体"/>
          <w:sz w:val="28"/>
          <w:szCs w:val="28"/>
        </w:rPr>
      </w:pPr>
      <w:r>
        <w:rPr>
          <w:rFonts w:hint="eastAsia"/>
          <w:b/>
          <w:szCs w:val="21"/>
        </w:rPr>
        <w:t>备注：《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如年度财务报表、社保证明材料等，投标人非生产厂家时还需提供生产厂家符合上述划分标准的证明材料）。</w:t>
      </w:r>
    </w:p>
    <w:p>
      <w:pPr>
        <w:pStyle w:val="11"/>
        <w:rPr>
          <w:rFonts w:hint="eastAsia" w:hAnsi="宋体" w:cs="宋体"/>
          <w:sz w:val="44"/>
        </w:rPr>
      </w:pPr>
      <w:r>
        <w:rPr>
          <w:rFonts w:hint="eastAsia" w:hAnsi="宋体" w:cs="宋体"/>
          <w:bCs/>
          <w:kern w:val="0"/>
          <w:sz w:val="24"/>
          <w:szCs w:val="24"/>
        </w:rPr>
        <w:t xml:space="preserve"> </w:t>
      </w:r>
    </w:p>
    <w:sectPr>
      <w:pgSz w:w="11906" w:h="16838"/>
      <w:pgMar w:top="851" w:right="895" w:bottom="851" w:left="1131" w:header="454" w:footer="454" w:gutter="0"/>
      <w:pgNumType w:start="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webkit-standard">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37</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hAnsi="宋体" w:cs="宋体"/>
      </w:rPr>
    </w:pPr>
    <w:r>
      <w:rPr>
        <w:rFonts w:hint="eastAsia" w:hAnsi="宋体" w:cs="宋体"/>
      </w:rPr>
      <w:t>项目名称：全自动生化仪一台                                                     项目编号：BHZC2020-J1-00092-GXHY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360"/>
      <w:jc w:val="both"/>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54B"/>
    <w:multiLevelType w:val="multilevel"/>
    <w:tmpl w:val="14BF254B"/>
    <w:lvl w:ilvl="0" w:tentative="0">
      <w:start w:val="1"/>
      <w:numFmt w:val="decimal"/>
      <w:lvlText w:val="%1."/>
      <w:lvlJc w:val="left"/>
      <w:pPr>
        <w:tabs>
          <w:tab w:val="left" w:pos="1005"/>
        </w:tabs>
        <w:ind w:left="1005" w:hanging="360"/>
      </w:pPr>
      <w:rPr>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16F5BCA"/>
    <w:multiLevelType w:val="multilevel"/>
    <w:tmpl w:val="216F5BC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041D9C"/>
    <w:multiLevelType w:val="multilevel"/>
    <w:tmpl w:val="26041D9C"/>
    <w:lvl w:ilvl="0" w:tentative="0">
      <w:start w:val="1"/>
      <w:numFmt w:val="bullet"/>
      <w:pStyle w:val="77"/>
      <w:lvlText w:val=""/>
      <w:lvlJc w:val="left"/>
      <w:pPr>
        <w:ind w:left="900" w:hanging="420"/>
      </w:pPr>
      <w:rPr>
        <w:rFonts w:hint="default" w:ascii="Wingdings" w:hAnsi="Wingdings"/>
        <w:sz w:val="16"/>
      </w:rPr>
    </w:lvl>
    <w:lvl w:ilvl="1" w:tentative="0">
      <w:start w:val="1"/>
      <w:numFmt w:val="bullet"/>
      <w:lvlText w:val=""/>
      <w:lvlJc w:val="left"/>
      <w:pPr>
        <w:ind w:left="1320" w:hanging="420"/>
      </w:pPr>
      <w:rPr>
        <w:rFonts w:ascii="Wingdings" w:hAnsi="Wingdings" w:eastAsia="宋体"/>
      </w:rPr>
    </w:lvl>
    <w:lvl w:ilvl="2" w:tentative="0">
      <w:start w:val="1"/>
      <w:numFmt w:val="bullet"/>
      <w:lvlText w:val=""/>
      <w:lvlJc w:val="left"/>
      <w:pPr>
        <w:ind w:left="1740" w:hanging="420"/>
      </w:pPr>
      <w:rPr>
        <w:rFonts w:ascii="Wingdings" w:hAnsi="Wingdings" w:eastAsia="宋体"/>
      </w:rPr>
    </w:lvl>
    <w:lvl w:ilvl="3" w:tentative="0">
      <w:start w:val="1"/>
      <w:numFmt w:val="bullet"/>
      <w:lvlText w:val=""/>
      <w:lvlJc w:val="left"/>
      <w:pPr>
        <w:ind w:left="2160" w:hanging="420"/>
      </w:pPr>
      <w:rPr>
        <w:rFonts w:ascii="Wingdings" w:hAnsi="Wingdings" w:eastAsia="宋体"/>
      </w:rPr>
    </w:lvl>
    <w:lvl w:ilvl="4" w:tentative="0">
      <w:start w:val="1"/>
      <w:numFmt w:val="bullet"/>
      <w:lvlText w:val=""/>
      <w:lvlJc w:val="left"/>
      <w:pPr>
        <w:ind w:left="2580" w:hanging="420"/>
      </w:pPr>
      <w:rPr>
        <w:rFonts w:ascii="Wingdings" w:hAnsi="Wingdings" w:eastAsia="宋体"/>
      </w:rPr>
    </w:lvl>
    <w:lvl w:ilvl="5" w:tentative="0">
      <w:start w:val="1"/>
      <w:numFmt w:val="bullet"/>
      <w:lvlText w:val=""/>
      <w:lvlJc w:val="left"/>
      <w:pPr>
        <w:ind w:left="3000" w:hanging="420"/>
      </w:pPr>
      <w:rPr>
        <w:rFonts w:ascii="Wingdings" w:hAnsi="Wingdings" w:eastAsia="宋体"/>
      </w:rPr>
    </w:lvl>
    <w:lvl w:ilvl="6" w:tentative="0">
      <w:start w:val="1"/>
      <w:numFmt w:val="bullet"/>
      <w:lvlText w:val=""/>
      <w:lvlJc w:val="left"/>
      <w:pPr>
        <w:ind w:left="3420" w:hanging="420"/>
      </w:pPr>
      <w:rPr>
        <w:rFonts w:ascii="Wingdings" w:hAnsi="Wingdings" w:eastAsia="宋体"/>
      </w:rPr>
    </w:lvl>
    <w:lvl w:ilvl="7" w:tentative="0">
      <w:start w:val="1"/>
      <w:numFmt w:val="bullet"/>
      <w:lvlText w:val=""/>
      <w:lvlJc w:val="left"/>
      <w:pPr>
        <w:ind w:left="3840" w:hanging="420"/>
      </w:pPr>
      <w:rPr>
        <w:rFonts w:ascii="Wingdings" w:hAnsi="Wingdings" w:eastAsia="宋体"/>
      </w:rPr>
    </w:lvl>
    <w:lvl w:ilvl="8" w:tentative="0">
      <w:start w:val="1"/>
      <w:numFmt w:val="bullet"/>
      <w:lvlText w:val=""/>
      <w:lvlJc w:val="left"/>
      <w:pPr>
        <w:ind w:left="4260" w:hanging="420"/>
      </w:pPr>
      <w:rPr>
        <w:rFonts w:ascii="Wingdings" w:hAnsi="Wingdings" w:eastAsia="宋体"/>
      </w:rPr>
    </w:lvl>
  </w:abstractNum>
  <w:abstractNum w:abstractNumId="3">
    <w:nsid w:val="2B615393"/>
    <w:multiLevelType w:val="multilevel"/>
    <w:tmpl w:val="2B615393"/>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D1C4452"/>
    <w:multiLevelType w:val="multilevel"/>
    <w:tmpl w:val="2D1C4452"/>
    <w:lvl w:ilvl="0" w:tentative="0">
      <w:start w:val="1"/>
      <w:numFmt w:val="bullet"/>
      <w:pStyle w:val="6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8BD1488"/>
    <w:multiLevelType w:val="singleLevel"/>
    <w:tmpl w:val="58BD1488"/>
    <w:lvl w:ilvl="0" w:tentative="0">
      <w:start w:val="1"/>
      <w:numFmt w:val="decimal"/>
      <w:suff w:val="nothing"/>
      <w:lvlText w:val="（%1）"/>
      <w:lvlJc w:val="left"/>
    </w:lvl>
  </w:abstractNum>
  <w:abstractNum w:abstractNumId="7">
    <w:nsid w:val="59506302"/>
    <w:multiLevelType w:val="singleLevel"/>
    <w:tmpl w:val="59506302"/>
    <w:lvl w:ilvl="0" w:tentative="0">
      <w:start w:val="1"/>
      <w:numFmt w:val="decimal"/>
      <w:suff w:val="nothing"/>
      <w:lvlText w:val="%1."/>
      <w:lvlJc w:val="left"/>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CA"/>
    <w:rsid w:val="00002226"/>
    <w:rsid w:val="000022EE"/>
    <w:rsid w:val="00002329"/>
    <w:rsid w:val="000025EF"/>
    <w:rsid w:val="00002A20"/>
    <w:rsid w:val="00003082"/>
    <w:rsid w:val="00003684"/>
    <w:rsid w:val="00004BC0"/>
    <w:rsid w:val="000059C9"/>
    <w:rsid w:val="00006824"/>
    <w:rsid w:val="000104C4"/>
    <w:rsid w:val="00010CE4"/>
    <w:rsid w:val="000111C5"/>
    <w:rsid w:val="00011426"/>
    <w:rsid w:val="00012373"/>
    <w:rsid w:val="00013A3B"/>
    <w:rsid w:val="00014397"/>
    <w:rsid w:val="000146C0"/>
    <w:rsid w:val="00014D35"/>
    <w:rsid w:val="00014F7F"/>
    <w:rsid w:val="0001541B"/>
    <w:rsid w:val="00015A3A"/>
    <w:rsid w:val="00016459"/>
    <w:rsid w:val="00016694"/>
    <w:rsid w:val="00016CC2"/>
    <w:rsid w:val="00016D5E"/>
    <w:rsid w:val="00016D7C"/>
    <w:rsid w:val="00016EF5"/>
    <w:rsid w:val="000208A5"/>
    <w:rsid w:val="000208BC"/>
    <w:rsid w:val="0002167D"/>
    <w:rsid w:val="00023A64"/>
    <w:rsid w:val="00024F64"/>
    <w:rsid w:val="000253BD"/>
    <w:rsid w:val="000257DD"/>
    <w:rsid w:val="00025FC9"/>
    <w:rsid w:val="00025FCF"/>
    <w:rsid w:val="00026A57"/>
    <w:rsid w:val="00027050"/>
    <w:rsid w:val="0002757A"/>
    <w:rsid w:val="00030655"/>
    <w:rsid w:val="00030F07"/>
    <w:rsid w:val="00030F9A"/>
    <w:rsid w:val="00031B8F"/>
    <w:rsid w:val="00031F3F"/>
    <w:rsid w:val="000320E9"/>
    <w:rsid w:val="00032967"/>
    <w:rsid w:val="00033B89"/>
    <w:rsid w:val="000341E0"/>
    <w:rsid w:val="00034AA4"/>
    <w:rsid w:val="000364AF"/>
    <w:rsid w:val="0003651E"/>
    <w:rsid w:val="00036A82"/>
    <w:rsid w:val="000371B0"/>
    <w:rsid w:val="000371B7"/>
    <w:rsid w:val="00037D55"/>
    <w:rsid w:val="000400BE"/>
    <w:rsid w:val="00040366"/>
    <w:rsid w:val="0004053E"/>
    <w:rsid w:val="00040B01"/>
    <w:rsid w:val="00041D8E"/>
    <w:rsid w:val="00042003"/>
    <w:rsid w:val="00042240"/>
    <w:rsid w:val="00042AB9"/>
    <w:rsid w:val="00042F56"/>
    <w:rsid w:val="00043827"/>
    <w:rsid w:val="000438F7"/>
    <w:rsid w:val="000439C6"/>
    <w:rsid w:val="000439C7"/>
    <w:rsid w:val="00045887"/>
    <w:rsid w:val="00045C26"/>
    <w:rsid w:val="00046291"/>
    <w:rsid w:val="00046797"/>
    <w:rsid w:val="00050647"/>
    <w:rsid w:val="00050958"/>
    <w:rsid w:val="000511A6"/>
    <w:rsid w:val="0005142A"/>
    <w:rsid w:val="000514ED"/>
    <w:rsid w:val="0005204F"/>
    <w:rsid w:val="0005224A"/>
    <w:rsid w:val="00052DF0"/>
    <w:rsid w:val="000531C5"/>
    <w:rsid w:val="00053334"/>
    <w:rsid w:val="00053993"/>
    <w:rsid w:val="00054B1B"/>
    <w:rsid w:val="000557A3"/>
    <w:rsid w:val="00056113"/>
    <w:rsid w:val="00057515"/>
    <w:rsid w:val="00060EA4"/>
    <w:rsid w:val="00061F60"/>
    <w:rsid w:val="000624DD"/>
    <w:rsid w:val="00062689"/>
    <w:rsid w:val="0006299E"/>
    <w:rsid w:val="00062D6C"/>
    <w:rsid w:val="00062DAE"/>
    <w:rsid w:val="00063146"/>
    <w:rsid w:val="000639B9"/>
    <w:rsid w:val="000642D0"/>
    <w:rsid w:val="000651ED"/>
    <w:rsid w:val="00065AAE"/>
    <w:rsid w:val="00066398"/>
    <w:rsid w:val="0006669E"/>
    <w:rsid w:val="00066A3D"/>
    <w:rsid w:val="000672DD"/>
    <w:rsid w:val="00067B78"/>
    <w:rsid w:val="000701E2"/>
    <w:rsid w:val="00070986"/>
    <w:rsid w:val="00070A11"/>
    <w:rsid w:val="00070B4C"/>
    <w:rsid w:val="00071767"/>
    <w:rsid w:val="00072D84"/>
    <w:rsid w:val="00072EFE"/>
    <w:rsid w:val="000734FE"/>
    <w:rsid w:val="00074123"/>
    <w:rsid w:val="000748A6"/>
    <w:rsid w:val="00077150"/>
    <w:rsid w:val="00080510"/>
    <w:rsid w:val="000821A3"/>
    <w:rsid w:val="0008339D"/>
    <w:rsid w:val="0008369B"/>
    <w:rsid w:val="00084B69"/>
    <w:rsid w:val="00084C8A"/>
    <w:rsid w:val="00084FBC"/>
    <w:rsid w:val="0008558A"/>
    <w:rsid w:val="000859A3"/>
    <w:rsid w:val="00085F20"/>
    <w:rsid w:val="000864C5"/>
    <w:rsid w:val="00086D01"/>
    <w:rsid w:val="00086F48"/>
    <w:rsid w:val="00087489"/>
    <w:rsid w:val="00087F3C"/>
    <w:rsid w:val="0009051F"/>
    <w:rsid w:val="00090C50"/>
    <w:rsid w:val="000913C9"/>
    <w:rsid w:val="0009279E"/>
    <w:rsid w:val="000927D3"/>
    <w:rsid w:val="000934EB"/>
    <w:rsid w:val="000937C8"/>
    <w:rsid w:val="000938D9"/>
    <w:rsid w:val="000940D0"/>
    <w:rsid w:val="00094270"/>
    <w:rsid w:val="000945EC"/>
    <w:rsid w:val="00094FB5"/>
    <w:rsid w:val="00095468"/>
    <w:rsid w:val="00095A63"/>
    <w:rsid w:val="00097D40"/>
    <w:rsid w:val="000A1FB0"/>
    <w:rsid w:val="000A26B0"/>
    <w:rsid w:val="000A2A62"/>
    <w:rsid w:val="000A2A6A"/>
    <w:rsid w:val="000A2AFE"/>
    <w:rsid w:val="000A355F"/>
    <w:rsid w:val="000A413D"/>
    <w:rsid w:val="000A42E8"/>
    <w:rsid w:val="000A4663"/>
    <w:rsid w:val="000A5B32"/>
    <w:rsid w:val="000B08B6"/>
    <w:rsid w:val="000B11B4"/>
    <w:rsid w:val="000B1B69"/>
    <w:rsid w:val="000B2D97"/>
    <w:rsid w:val="000B36BF"/>
    <w:rsid w:val="000B392B"/>
    <w:rsid w:val="000B4D34"/>
    <w:rsid w:val="000B5F35"/>
    <w:rsid w:val="000B6185"/>
    <w:rsid w:val="000B6819"/>
    <w:rsid w:val="000B7DFF"/>
    <w:rsid w:val="000C0802"/>
    <w:rsid w:val="000C1F0E"/>
    <w:rsid w:val="000C29DB"/>
    <w:rsid w:val="000C2A2D"/>
    <w:rsid w:val="000C33F5"/>
    <w:rsid w:val="000C47FB"/>
    <w:rsid w:val="000C5275"/>
    <w:rsid w:val="000C5646"/>
    <w:rsid w:val="000C6075"/>
    <w:rsid w:val="000C6EB7"/>
    <w:rsid w:val="000C7050"/>
    <w:rsid w:val="000D0019"/>
    <w:rsid w:val="000D01CC"/>
    <w:rsid w:val="000D2456"/>
    <w:rsid w:val="000D2AF5"/>
    <w:rsid w:val="000D2F29"/>
    <w:rsid w:val="000D3204"/>
    <w:rsid w:val="000D32F8"/>
    <w:rsid w:val="000D4584"/>
    <w:rsid w:val="000D4CD4"/>
    <w:rsid w:val="000D4E81"/>
    <w:rsid w:val="000D5270"/>
    <w:rsid w:val="000D5E31"/>
    <w:rsid w:val="000D645A"/>
    <w:rsid w:val="000D7001"/>
    <w:rsid w:val="000D76B5"/>
    <w:rsid w:val="000E094C"/>
    <w:rsid w:val="000E1364"/>
    <w:rsid w:val="000E1973"/>
    <w:rsid w:val="000E1B95"/>
    <w:rsid w:val="000E28A5"/>
    <w:rsid w:val="000E2C30"/>
    <w:rsid w:val="000E2C49"/>
    <w:rsid w:val="000E2C58"/>
    <w:rsid w:val="000E2F73"/>
    <w:rsid w:val="000E475F"/>
    <w:rsid w:val="000E7974"/>
    <w:rsid w:val="000F145F"/>
    <w:rsid w:val="000F1F18"/>
    <w:rsid w:val="000F2496"/>
    <w:rsid w:val="000F2A73"/>
    <w:rsid w:val="000F34CC"/>
    <w:rsid w:val="000F48AA"/>
    <w:rsid w:val="000F4E4D"/>
    <w:rsid w:val="000F4FE6"/>
    <w:rsid w:val="000F57B5"/>
    <w:rsid w:val="000F5A5C"/>
    <w:rsid w:val="000F5EBE"/>
    <w:rsid w:val="000F60EC"/>
    <w:rsid w:val="000F616E"/>
    <w:rsid w:val="000F67F2"/>
    <w:rsid w:val="000F68FF"/>
    <w:rsid w:val="000F6E2D"/>
    <w:rsid w:val="000F732F"/>
    <w:rsid w:val="00100E08"/>
    <w:rsid w:val="00101BF1"/>
    <w:rsid w:val="00101C98"/>
    <w:rsid w:val="00101FCD"/>
    <w:rsid w:val="00102895"/>
    <w:rsid w:val="00102AD8"/>
    <w:rsid w:val="00102B7B"/>
    <w:rsid w:val="00102DA1"/>
    <w:rsid w:val="0010442A"/>
    <w:rsid w:val="0010487D"/>
    <w:rsid w:val="001058E1"/>
    <w:rsid w:val="00105F72"/>
    <w:rsid w:val="001069EB"/>
    <w:rsid w:val="00107BF4"/>
    <w:rsid w:val="00107FC5"/>
    <w:rsid w:val="0011099B"/>
    <w:rsid w:val="00110B1A"/>
    <w:rsid w:val="00110E98"/>
    <w:rsid w:val="0011139C"/>
    <w:rsid w:val="00111750"/>
    <w:rsid w:val="0011272D"/>
    <w:rsid w:val="001136AD"/>
    <w:rsid w:val="00114D86"/>
    <w:rsid w:val="00115667"/>
    <w:rsid w:val="0011691F"/>
    <w:rsid w:val="00116D8E"/>
    <w:rsid w:val="00116DEF"/>
    <w:rsid w:val="00117DE4"/>
    <w:rsid w:val="00121925"/>
    <w:rsid w:val="00121D26"/>
    <w:rsid w:val="001222DF"/>
    <w:rsid w:val="00122D56"/>
    <w:rsid w:val="00123214"/>
    <w:rsid w:val="00125006"/>
    <w:rsid w:val="00125052"/>
    <w:rsid w:val="00126069"/>
    <w:rsid w:val="0012677A"/>
    <w:rsid w:val="001267FE"/>
    <w:rsid w:val="00131DF9"/>
    <w:rsid w:val="001322EB"/>
    <w:rsid w:val="0013288C"/>
    <w:rsid w:val="00133F6F"/>
    <w:rsid w:val="00134CBA"/>
    <w:rsid w:val="0013653E"/>
    <w:rsid w:val="00136737"/>
    <w:rsid w:val="00136818"/>
    <w:rsid w:val="001370EF"/>
    <w:rsid w:val="00137C35"/>
    <w:rsid w:val="00140EAD"/>
    <w:rsid w:val="00141366"/>
    <w:rsid w:val="0014200B"/>
    <w:rsid w:val="001429BF"/>
    <w:rsid w:val="00142F31"/>
    <w:rsid w:val="001431EE"/>
    <w:rsid w:val="0014373C"/>
    <w:rsid w:val="00143FE0"/>
    <w:rsid w:val="00144F88"/>
    <w:rsid w:val="0014538F"/>
    <w:rsid w:val="00145521"/>
    <w:rsid w:val="00146924"/>
    <w:rsid w:val="00147415"/>
    <w:rsid w:val="001479B1"/>
    <w:rsid w:val="00150B32"/>
    <w:rsid w:val="0015169D"/>
    <w:rsid w:val="00152764"/>
    <w:rsid w:val="001528C4"/>
    <w:rsid w:val="00152C06"/>
    <w:rsid w:val="00153A87"/>
    <w:rsid w:val="00153AAA"/>
    <w:rsid w:val="00153F5E"/>
    <w:rsid w:val="00154649"/>
    <w:rsid w:val="00154C30"/>
    <w:rsid w:val="001564FC"/>
    <w:rsid w:val="0015726C"/>
    <w:rsid w:val="00157387"/>
    <w:rsid w:val="001604D1"/>
    <w:rsid w:val="001614A7"/>
    <w:rsid w:val="001623B2"/>
    <w:rsid w:val="00162656"/>
    <w:rsid w:val="00163044"/>
    <w:rsid w:val="00163A2E"/>
    <w:rsid w:val="00163DDE"/>
    <w:rsid w:val="00163F82"/>
    <w:rsid w:val="00164617"/>
    <w:rsid w:val="00165C2F"/>
    <w:rsid w:val="00166657"/>
    <w:rsid w:val="00167B70"/>
    <w:rsid w:val="001706EA"/>
    <w:rsid w:val="001717A9"/>
    <w:rsid w:val="00173D4F"/>
    <w:rsid w:val="00173F80"/>
    <w:rsid w:val="001756BD"/>
    <w:rsid w:val="001762B9"/>
    <w:rsid w:val="00177731"/>
    <w:rsid w:val="001803AC"/>
    <w:rsid w:val="001804CF"/>
    <w:rsid w:val="00180D06"/>
    <w:rsid w:val="0018147E"/>
    <w:rsid w:val="0018237C"/>
    <w:rsid w:val="00182497"/>
    <w:rsid w:val="0018402F"/>
    <w:rsid w:val="00184E3D"/>
    <w:rsid w:val="001854A6"/>
    <w:rsid w:val="0018559F"/>
    <w:rsid w:val="001856C6"/>
    <w:rsid w:val="00186606"/>
    <w:rsid w:val="00186A40"/>
    <w:rsid w:val="00186F5C"/>
    <w:rsid w:val="00190111"/>
    <w:rsid w:val="00190401"/>
    <w:rsid w:val="00190FE7"/>
    <w:rsid w:val="0019180B"/>
    <w:rsid w:val="001918A5"/>
    <w:rsid w:val="00191CA4"/>
    <w:rsid w:val="0019206A"/>
    <w:rsid w:val="001921A4"/>
    <w:rsid w:val="001930F8"/>
    <w:rsid w:val="001931D3"/>
    <w:rsid w:val="00193B7E"/>
    <w:rsid w:val="00194212"/>
    <w:rsid w:val="0019479D"/>
    <w:rsid w:val="00194877"/>
    <w:rsid w:val="00195AA6"/>
    <w:rsid w:val="00196905"/>
    <w:rsid w:val="00196B69"/>
    <w:rsid w:val="00196D9F"/>
    <w:rsid w:val="001971E0"/>
    <w:rsid w:val="00197222"/>
    <w:rsid w:val="00197E00"/>
    <w:rsid w:val="001A042B"/>
    <w:rsid w:val="001A0EC4"/>
    <w:rsid w:val="001A2C12"/>
    <w:rsid w:val="001A3922"/>
    <w:rsid w:val="001A3A94"/>
    <w:rsid w:val="001A3B3C"/>
    <w:rsid w:val="001A7019"/>
    <w:rsid w:val="001B0212"/>
    <w:rsid w:val="001B080D"/>
    <w:rsid w:val="001B0938"/>
    <w:rsid w:val="001B0AD0"/>
    <w:rsid w:val="001B0DB2"/>
    <w:rsid w:val="001B15A9"/>
    <w:rsid w:val="001B2411"/>
    <w:rsid w:val="001B2C34"/>
    <w:rsid w:val="001B376D"/>
    <w:rsid w:val="001B40B4"/>
    <w:rsid w:val="001B40C9"/>
    <w:rsid w:val="001B452D"/>
    <w:rsid w:val="001B4E84"/>
    <w:rsid w:val="001B5E38"/>
    <w:rsid w:val="001B6C6E"/>
    <w:rsid w:val="001B7E60"/>
    <w:rsid w:val="001C02A4"/>
    <w:rsid w:val="001C1037"/>
    <w:rsid w:val="001C1B76"/>
    <w:rsid w:val="001C2DBE"/>
    <w:rsid w:val="001C35D3"/>
    <w:rsid w:val="001C36D9"/>
    <w:rsid w:val="001C3AD8"/>
    <w:rsid w:val="001C3B74"/>
    <w:rsid w:val="001C3DEE"/>
    <w:rsid w:val="001C46A8"/>
    <w:rsid w:val="001C4E25"/>
    <w:rsid w:val="001C52FF"/>
    <w:rsid w:val="001C6582"/>
    <w:rsid w:val="001C73A8"/>
    <w:rsid w:val="001C7473"/>
    <w:rsid w:val="001D10B5"/>
    <w:rsid w:val="001D1418"/>
    <w:rsid w:val="001D1FE1"/>
    <w:rsid w:val="001D2974"/>
    <w:rsid w:val="001D2E53"/>
    <w:rsid w:val="001D33C2"/>
    <w:rsid w:val="001D3496"/>
    <w:rsid w:val="001D34A0"/>
    <w:rsid w:val="001D37BC"/>
    <w:rsid w:val="001D3847"/>
    <w:rsid w:val="001D3DC9"/>
    <w:rsid w:val="001D458F"/>
    <w:rsid w:val="001D53D5"/>
    <w:rsid w:val="001D6062"/>
    <w:rsid w:val="001D6CB9"/>
    <w:rsid w:val="001D7278"/>
    <w:rsid w:val="001D762C"/>
    <w:rsid w:val="001E0E5F"/>
    <w:rsid w:val="001E1871"/>
    <w:rsid w:val="001E20F5"/>
    <w:rsid w:val="001E2759"/>
    <w:rsid w:val="001E3290"/>
    <w:rsid w:val="001E3A3C"/>
    <w:rsid w:val="001E43A5"/>
    <w:rsid w:val="001E46AD"/>
    <w:rsid w:val="001E49A0"/>
    <w:rsid w:val="001E69DA"/>
    <w:rsid w:val="001E69F6"/>
    <w:rsid w:val="001E7741"/>
    <w:rsid w:val="001E787E"/>
    <w:rsid w:val="001E7DB1"/>
    <w:rsid w:val="001E7EE5"/>
    <w:rsid w:val="001F0639"/>
    <w:rsid w:val="001F111A"/>
    <w:rsid w:val="001F1908"/>
    <w:rsid w:val="001F1A40"/>
    <w:rsid w:val="001F2DCB"/>
    <w:rsid w:val="001F354B"/>
    <w:rsid w:val="001F3864"/>
    <w:rsid w:val="001F3FCA"/>
    <w:rsid w:val="001F42F6"/>
    <w:rsid w:val="001F430E"/>
    <w:rsid w:val="001F4A39"/>
    <w:rsid w:val="001F5D32"/>
    <w:rsid w:val="001F61DF"/>
    <w:rsid w:val="001F6997"/>
    <w:rsid w:val="001F6EFA"/>
    <w:rsid w:val="001F7DC3"/>
    <w:rsid w:val="00200E23"/>
    <w:rsid w:val="0020127B"/>
    <w:rsid w:val="0020150F"/>
    <w:rsid w:val="0020246E"/>
    <w:rsid w:val="002024BF"/>
    <w:rsid w:val="0020318B"/>
    <w:rsid w:val="00203865"/>
    <w:rsid w:val="002043D4"/>
    <w:rsid w:val="00204C83"/>
    <w:rsid w:val="00204E04"/>
    <w:rsid w:val="002051B5"/>
    <w:rsid w:val="0020619A"/>
    <w:rsid w:val="0020623E"/>
    <w:rsid w:val="00206BF5"/>
    <w:rsid w:val="00206C3D"/>
    <w:rsid w:val="002104C3"/>
    <w:rsid w:val="00210B88"/>
    <w:rsid w:val="00211174"/>
    <w:rsid w:val="002124DF"/>
    <w:rsid w:val="0021265B"/>
    <w:rsid w:val="00212D6D"/>
    <w:rsid w:val="00213017"/>
    <w:rsid w:val="00214A17"/>
    <w:rsid w:val="00214D8F"/>
    <w:rsid w:val="0021563E"/>
    <w:rsid w:val="002156AD"/>
    <w:rsid w:val="00215E7E"/>
    <w:rsid w:val="002165E2"/>
    <w:rsid w:val="0021669D"/>
    <w:rsid w:val="00216B4C"/>
    <w:rsid w:val="00217691"/>
    <w:rsid w:val="002228EC"/>
    <w:rsid w:val="002243E8"/>
    <w:rsid w:val="00224504"/>
    <w:rsid w:val="00225474"/>
    <w:rsid w:val="002257DB"/>
    <w:rsid w:val="0022580C"/>
    <w:rsid w:val="002259E8"/>
    <w:rsid w:val="00225F08"/>
    <w:rsid w:val="002263C4"/>
    <w:rsid w:val="00226466"/>
    <w:rsid w:val="00226FD8"/>
    <w:rsid w:val="00227156"/>
    <w:rsid w:val="00227C5F"/>
    <w:rsid w:val="0023006B"/>
    <w:rsid w:val="00231378"/>
    <w:rsid w:val="0023147D"/>
    <w:rsid w:val="002321DE"/>
    <w:rsid w:val="0023304D"/>
    <w:rsid w:val="00235221"/>
    <w:rsid w:val="00236311"/>
    <w:rsid w:val="00236711"/>
    <w:rsid w:val="002368B9"/>
    <w:rsid w:val="00237805"/>
    <w:rsid w:val="002379DB"/>
    <w:rsid w:val="00237EBA"/>
    <w:rsid w:val="00240474"/>
    <w:rsid w:val="002404F5"/>
    <w:rsid w:val="00240CC4"/>
    <w:rsid w:val="0024138A"/>
    <w:rsid w:val="002419D7"/>
    <w:rsid w:val="00241E34"/>
    <w:rsid w:val="002427DC"/>
    <w:rsid w:val="00242ADE"/>
    <w:rsid w:val="00242B95"/>
    <w:rsid w:val="00242CE2"/>
    <w:rsid w:val="00242E20"/>
    <w:rsid w:val="002435FD"/>
    <w:rsid w:val="00245EA9"/>
    <w:rsid w:val="00245EF0"/>
    <w:rsid w:val="00245F1D"/>
    <w:rsid w:val="00247012"/>
    <w:rsid w:val="00247042"/>
    <w:rsid w:val="002476F4"/>
    <w:rsid w:val="00247A8E"/>
    <w:rsid w:val="00247BDC"/>
    <w:rsid w:val="00250F5D"/>
    <w:rsid w:val="00251DC3"/>
    <w:rsid w:val="00251ECE"/>
    <w:rsid w:val="0025278A"/>
    <w:rsid w:val="00253B6D"/>
    <w:rsid w:val="00253E40"/>
    <w:rsid w:val="00256B7D"/>
    <w:rsid w:val="00257106"/>
    <w:rsid w:val="002573F9"/>
    <w:rsid w:val="00260306"/>
    <w:rsid w:val="00260E13"/>
    <w:rsid w:val="002614AA"/>
    <w:rsid w:val="00263364"/>
    <w:rsid w:val="00263A72"/>
    <w:rsid w:val="00263C0F"/>
    <w:rsid w:val="00264A4B"/>
    <w:rsid w:val="00265024"/>
    <w:rsid w:val="0026610C"/>
    <w:rsid w:val="002667B5"/>
    <w:rsid w:val="0026741B"/>
    <w:rsid w:val="002675AE"/>
    <w:rsid w:val="00271165"/>
    <w:rsid w:val="002716E0"/>
    <w:rsid w:val="00271955"/>
    <w:rsid w:val="00272094"/>
    <w:rsid w:val="002723CA"/>
    <w:rsid w:val="00272D14"/>
    <w:rsid w:val="00272E03"/>
    <w:rsid w:val="0027371A"/>
    <w:rsid w:val="00273D19"/>
    <w:rsid w:val="002746AB"/>
    <w:rsid w:val="00274961"/>
    <w:rsid w:val="00275234"/>
    <w:rsid w:val="002753C2"/>
    <w:rsid w:val="002755EE"/>
    <w:rsid w:val="00275A69"/>
    <w:rsid w:val="00277E3F"/>
    <w:rsid w:val="00280A30"/>
    <w:rsid w:val="0028134C"/>
    <w:rsid w:val="00281941"/>
    <w:rsid w:val="0028238B"/>
    <w:rsid w:val="00282EF0"/>
    <w:rsid w:val="00283862"/>
    <w:rsid w:val="00283C93"/>
    <w:rsid w:val="002846EB"/>
    <w:rsid w:val="00290920"/>
    <w:rsid w:val="002919C4"/>
    <w:rsid w:val="00291D15"/>
    <w:rsid w:val="002920A5"/>
    <w:rsid w:val="002921EA"/>
    <w:rsid w:val="00292868"/>
    <w:rsid w:val="00292A3E"/>
    <w:rsid w:val="00294663"/>
    <w:rsid w:val="0029475C"/>
    <w:rsid w:val="0029512D"/>
    <w:rsid w:val="00295300"/>
    <w:rsid w:val="002953C9"/>
    <w:rsid w:val="002954D6"/>
    <w:rsid w:val="00295952"/>
    <w:rsid w:val="00296288"/>
    <w:rsid w:val="0029629B"/>
    <w:rsid w:val="00297575"/>
    <w:rsid w:val="00297A6F"/>
    <w:rsid w:val="002A0CEC"/>
    <w:rsid w:val="002A158D"/>
    <w:rsid w:val="002A2409"/>
    <w:rsid w:val="002A3017"/>
    <w:rsid w:val="002A3436"/>
    <w:rsid w:val="002A4BBD"/>
    <w:rsid w:val="002A5512"/>
    <w:rsid w:val="002A557A"/>
    <w:rsid w:val="002A56A7"/>
    <w:rsid w:val="002A58D0"/>
    <w:rsid w:val="002A5DBC"/>
    <w:rsid w:val="002A5EC9"/>
    <w:rsid w:val="002A65CE"/>
    <w:rsid w:val="002A66B9"/>
    <w:rsid w:val="002A6C04"/>
    <w:rsid w:val="002A6DAA"/>
    <w:rsid w:val="002A7484"/>
    <w:rsid w:val="002A7570"/>
    <w:rsid w:val="002B00EE"/>
    <w:rsid w:val="002B02AD"/>
    <w:rsid w:val="002B0885"/>
    <w:rsid w:val="002B1D9B"/>
    <w:rsid w:val="002B2189"/>
    <w:rsid w:val="002B25AA"/>
    <w:rsid w:val="002B2CBD"/>
    <w:rsid w:val="002B2EE9"/>
    <w:rsid w:val="002B3775"/>
    <w:rsid w:val="002B37F4"/>
    <w:rsid w:val="002B483B"/>
    <w:rsid w:val="002B5C0E"/>
    <w:rsid w:val="002B6B8D"/>
    <w:rsid w:val="002B6CCD"/>
    <w:rsid w:val="002B7321"/>
    <w:rsid w:val="002B7DE7"/>
    <w:rsid w:val="002C0E57"/>
    <w:rsid w:val="002C10A8"/>
    <w:rsid w:val="002C1BEF"/>
    <w:rsid w:val="002C1C89"/>
    <w:rsid w:val="002C258E"/>
    <w:rsid w:val="002C2865"/>
    <w:rsid w:val="002C2EF5"/>
    <w:rsid w:val="002C3078"/>
    <w:rsid w:val="002C34FE"/>
    <w:rsid w:val="002C37BA"/>
    <w:rsid w:val="002C4532"/>
    <w:rsid w:val="002C5D5D"/>
    <w:rsid w:val="002C69F8"/>
    <w:rsid w:val="002D0A06"/>
    <w:rsid w:val="002D1A00"/>
    <w:rsid w:val="002D1A84"/>
    <w:rsid w:val="002D2A65"/>
    <w:rsid w:val="002D3162"/>
    <w:rsid w:val="002D391D"/>
    <w:rsid w:val="002D3F18"/>
    <w:rsid w:val="002D4BB5"/>
    <w:rsid w:val="002D5781"/>
    <w:rsid w:val="002D625B"/>
    <w:rsid w:val="002D6D00"/>
    <w:rsid w:val="002D7BE0"/>
    <w:rsid w:val="002D7FBD"/>
    <w:rsid w:val="002E0D2B"/>
    <w:rsid w:val="002E18C1"/>
    <w:rsid w:val="002E1D6B"/>
    <w:rsid w:val="002E215A"/>
    <w:rsid w:val="002E21D5"/>
    <w:rsid w:val="002E247D"/>
    <w:rsid w:val="002E2C06"/>
    <w:rsid w:val="002E32CA"/>
    <w:rsid w:val="002E4639"/>
    <w:rsid w:val="002E4B5D"/>
    <w:rsid w:val="002E4B6E"/>
    <w:rsid w:val="002E4BB0"/>
    <w:rsid w:val="002E4D89"/>
    <w:rsid w:val="002E5F4A"/>
    <w:rsid w:val="002E783B"/>
    <w:rsid w:val="002F01A6"/>
    <w:rsid w:val="002F048D"/>
    <w:rsid w:val="002F04C1"/>
    <w:rsid w:val="002F202A"/>
    <w:rsid w:val="002F2FD7"/>
    <w:rsid w:val="002F55B1"/>
    <w:rsid w:val="002F6BDC"/>
    <w:rsid w:val="002F7561"/>
    <w:rsid w:val="002F7F0E"/>
    <w:rsid w:val="003014F7"/>
    <w:rsid w:val="00301D60"/>
    <w:rsid w:val="00301D84"/>
    <w:rsid w:val="00302540"/>
    <w:rsid w:val="00302658"/>
    <w:rsid w:val="00302AE8"/>
    <w:rsid w:val="00302B1A"/>
    <w:rsid w:val="003044EA"/>
    <w:rsid w:val="00305183"/>
    <w:rsid w:val="0030564E"/>
    <w:rsid w:val="0030574D"/>
    <w:rsid w:val="003057D7"/>
    <w:rsid w:val="00305D3A"/>
    <w:rsid w:val="0031068D"/>
    <w:rsid w:val="00310CEE"/>
    <w:rsid w:val="00310F54"/>
    <w:rsid w:val="00311B73"/>
    <w:rsid w:val="00312485"/>
    <w:rsid w:val="00312819"/>
    <w:rsid w:val="00313D52"/>
    <w:rsid w:val="00314489"/>
    <w:rsid w:val="00314B37"/>
    <w:rsid w:val="003150A6"/>
    <w:rsid w:val="0031549A"/>
    <w:rsid w:val="003159DE"/>
    <w:rsid w:val="00316361"/>
    <w:rsid w:val="00317F5A"/>
    <w:rsid w:val="00317FBC"/>
    <w:rsid w:val="00320B41"/>
    <w:rsid w:val="00320CE3"/>
    <w:rsid w:val="003219EB"/>
    <w:rsid w:val="0032235D"/>
    <w:rsid w:val="00323131"/>
    <w:rsid w:val="003247AE"/>
    <w:rsid w:val="00326814"/>
    <w:rsid w:val="00326928"/>
    <w:rsid w:val="003317C8"/>
    <w:rsid w:val="00331E40"/>
    <w:rsid w:val="003326A1"/>
    <w:rsid w:val="00333333"/>
    <w:rsid w:val="00334858"/>
    <w:rsid w:val="003348F1"/>
    <w:rsid w:val="00334CFE"/>
    <w:rsid w:val="003354C8"/>
    <w:rsid w:val="003356C0"/>
    <w:rsid w:val="00335E74"/>
    <w:rsid w:val="003365E8"/>
    <w:rsid w:val="003367D0"/>
    <w:rsid w:val="00337640"/>
    <w:rsid w:val="00337E15"/>
    <w:rsid w:val="0034072E"/>
    <w:rsid w:val="00340A68"/>
    <w:rsid w:val="00341880"/>
    <w:rsid w:val="0034204A"/>
    <w:rsid w:val="003425F7"/>
    <w:rsid w:val="00343151"/>
    <w:rsid w:val="003435E2"/>
    <w:rsid w:val="003446DC"/>
    <w:rsid w:val="003451E1"/>
    <w:rsid w:val="003467F8"/>
    <w:rsid w:val="003472B4"/>
    <w:rsid w:val="00347C7E"/>
    <w:rsid w:val="00350371"/>
    <w:rsid w:val="00350C41"/>
    <w:rsid w:val="00352CDD"/>
    <w:rsid w:val="00353262"/>
    <w:rsid w:val="003533A4"/>
    <w:rsid w:val="00355020"/>
    <w:rsid w:val="00355712"/>
    <w:rsid w:val="00355725"/>
    <w:rsid w:val="0035659A"/>
    <w:rsid w:val="00356A10"/>
    <w:rsid w:val="00357138"/>
    <w:rsid w:val="003575A9"/>
    <w:rsid w:val="00361851"/>
    <w:rsid w:val="00361EB5"/>
    <w:rsid w:val="00362093"/>
    <w:rsid w:val="00362746"/>
    <w:rsid w:val="00362BDF"/>
    <w:rsid w:val="00363595"/>
    <w:rsid w:val="003640E9"/>
    <w:rsid w:val="00364619"/>
    <w:rsid w:val="00365614"/>
    <w:rsid w:val="0036576F"/>
    <w:rsid w:val="00365F21"/>
    <w:rsid w:val="00366016"/>
    <w:rsid w:val="00366FC7"/>
    <w:rsid w:val="00367050"/>
    <w:rsid w:val="00367B61"/>
    <w:rsid w:val="00367B6A"/>
    <w:rsid w:val="00370D9A"/>
    <w:rsid w:val="003720D4"/>
    <w:rsid w:val="003739C6"/>
    <w:rsid w:val="0037546E"/>
    <w:rsid w:val="0037561E"/>
    <w:rsid w:val="0037564B"/>
    <w:rsid w:val="003766B7"/>
    <w:rsid w:val="00377CBA"/>
    <w:rsid w:val="003811F4"/>
    <w:rsid w:val="00381935"/>
    <w:rsid w:val="00381C4B"/>
    <w:rsid w:val="00381C59"/>
    <w:rsid w:val="00382957"/>
    <w:rsid w:val="00383DAE"/>
    <w:rsid w:val="00383F34"/>
    <w:rsid w:val="00384AB1"/>
    <w:rsid w:val="0038505B"/>
    <w:rsid w:val="0038539A"/>
    <w:rsid w:val="00386ADD"/>
    <w:rsid w:val="00387226"/>
    <w:rsid w:val="0038778D"/>
    <w:rsid w:val="00387B3C"/>
    <w:rsid w:val="00390590"/>
    <w:rsid w:val="00390EF7"/>
    <w:rsid w:val="00391222"/>
    <w:rsid w:val="0039344A"/>
    <w:rsid w:val="003937E4"/>
    <w:rsid w:val="00393818"/>
    <w:rsid w:val="003941DD"/>
    <w:rsid w:val="0039550C"/>
    <w:rsid w:val="003A09DC"/>
    <w:rsid w:val="003A10E3"/>
    <w:rsid w:val="003A1D24"/>
    <w:rsid w:val="003A2764"/>
    <w:rsid w:val="003A28E8"/>
    <w:rsid w:val="003A298A"/>
    <w:rsid w:val="003A2B34"/>
    <w:rsid w:val="003A3456"/>
    <w:rsid w:val="003A4F10"/>
    <w:rsid w:val="003A52DD"/>
    <w:rsid w:val="003A533A"/>
    <w:rsid w:val="003A5A21"/>
    <w:rsid w:val="003A62E2"/>
    <w:rsid w:val="003A7186"/>
    <w:rsid w:val="003B0199"/>
    <w:rsid w:val="003B0670"/>
    <w:rsid w:val="003B0AD3"/>
    <w:rsid w:val="003B0C97"/>
    <w:rsid w:val="003B14DB"/>
    <w:rsid w:val="003B1C7E"/>
    <w:rsid w:val="003B2354"/>
    <w:rsid w:val="003B2C36"/>
    <w:rsid w:val="003B37B0"/>
    <w:rsid w:val="003B3CB8"/>
    <w:rsid w:val="003B4539"/>
    <w:rsid w:val="003B6478"/>
    <w:rsid w:val="003B6886"/>
    <w:rsid w:val="003B79F7"/>
    <w:rsid w:val="003C01FA"/>
    <w:rsid w:val="003C0B56"/>
    <w:rsid w:val="003C0E3E"/>
    <w:rsid w:val="003C0E4B"/>
    <w:rsid w:val="003C157E"/>
    <w:rsid w:val="003C1807"/>
    <w:rsid w:val="003C226C"/>
    <w:rsid w:val="003C3015"/>
    <w:rsid w:val="003C3589"/>
    <w:rsid w:val="003C3FC8"/>
    <w:rsid w:val="003C4129"/>
    <w:rsid w:val="003C4341"/>
    <w:rsid w:val="003C4BAB"/>
    <w:rsid w:val="003C749B"/>
    <w:rsid w:val="003C7A1F"/>
    <w:rsid w:val="003C7B8E"/>
    <w:rsid w:val="003D028F"/>
    <w:rsid w:val="003D0667"/>
    <w:rsid w:val="003D0C0F"/>
    <w:rsid w:val="003D0EE5"/>
    <w:rsid w:val="003D2946"/>
    <w:rsid w:val="003D2A27"/>
    <w:rsid w:val="003D36EE"/>
    <w:rsid w:val="003D3A5B"/>
    <w:rsid w:val="003D3A7E"/>
    <w:rsid w:val="003D3E85"/>
    <w:rsid w:val="003D44F3"/>
    <w:rsid w:val="003D4781"/>
    <w:rsid w:val="003D51A3"/>
    <w:rsid w:val="003D58F0"/>
    <w:rsid w:val="003D615C"/>
    <w:rsid w:val="003D6B39"/>
    <w:rsid w:val="003D6B7F"/>
    <w:rsid w:val="003D77F1"/>
    <w:rsid w:val="003E15F7"/>
    <w:rsid w:val="003E28A4"/>
    <w:rsid w:val="003E2988"/>
    <w:rsid w:val="003E2E68"/>
    <w:rsid w:val="003E3127"/>
    <w:rsid w:val="003E34DF"/>
    <w:rsid w:val="003E4595"/>
    <w:rsid w:val="003E5929"/>
    <w:rsid w:val="003E6B47"/>
    <w:rsid w:val="003E6EFB"/>
    <w:rsid w:val="003E6F81"/>
    <w:rsid w:val="003F023F"/>
    <w:rsid w:val="003F246A"/>
    <w:rsid w:val="003F3001"/>
    <w:rsid w:val="003F4BEA"/>
    <w:rsid w:val="003F4E13"/>
    <w:rsid w:val="003F510C"/>
    <w:rsid w:val="003F5C36"/>
    <w:rsid w:val="003F725E"/>
    <w:rsid w:val="00400F5A"/>
    <w:rsid w:val="00400FC1"/>
    <w:rsid w:val="00401752"/>
    <w:rsid w:val="00401C01"/>
    <w:rsid w:val="00401D87"/>
    <w:rsid w:val="00404465"/>
    <w:rsid w:val="004047A3"/>
    <w:rsid w:val="00405243"/>
    <w:rsid w:val="004052B9"/>
    <w:rsid w:val="00407E40"/>
    <w:rsid w:val="00410364"/>
    <w:rsid w:val="004104DC"/>
    <w:rsid w:val="00410CF1"/>
    <w:rsid w:val="00411AE5"/>
    <w:rsid w:val="00411F59"/>
    <w:rsid w:val="004125D9"/>
    <w:rsid w:val="0041276A"/>
    <w:rsid w:val="00412B10"/>
    <w:rsid w:val="00414047"/>
    <w:rsid w:val="0041492C"/>
    <w:rsid w:val="00415591"/>
    <w:rsid w:val="00416315"/>
    <w:rsid w:val="00416636"/>
    <w:rsid w:val="00416E69"/>
    <w:rsid w:val="004171A2"/>
    <w:rsid w:val="004175D8"/>
    <w:rsid w:val="004216D0"/>
    <w:rsid w:val="004219FE"/>
    <w:rsid w:val="00421EA2"/>
    <w:rsid w:val="004248C4"/>
    <w:rsid w:val="004270F9"/>
    <w:rsid w:val="00427258"/>
    <w:rsid w:val="0042777D"/>
    <w:rsid w:val="00430140"/>
    <w:rsid w:val="00430440"/>
    <w:rsid w:val="00430FE8"/>
    <w:rsid w:val="0043254B"/>
    <w:rsid w:val="0043401C"/>
    <w:rsid w:val="004346B9"/>
    <w:rsid w:val="004352AA"/>
    <w:rsid w:val="004362C7"/>
    <w:rsid w:val="00436C0C"/>
    <w:rsid w:val="00436CC4"/>
    <w:rsid w:val="00437F27"/>
    <w:rsid w:val="00440060"/>
    <w:rsid w:val="004406B0"/>
    <w:rsid w:val="0044090B"/>
    <w:rsid w:val="00440E9F"/>
    <w:rsid w:val="00441678"/>
    <w:rsid w:val="00441B94"/>
    <w:rsid w:val="00442B70"/>
    <w:rsid w:val="00443397"/>
    <w:rsid w:val="004433AB"/>
    <w:rsid w:val="00443F3C"/>
    <w:rsid w:val="00444204"/>
    <w:rsid w:val="00445BF0"/>
    <w:rsid w:val="004463F1"/>
    <w:rsid w:val="00447C63"/>
    <w:rsid w:val="004518BE"/>
    <w:rsid w:val="004532B9"/>
    <w:rsid w:val="0045376E"/>
    <w:rsid w:val="0045414C"/>
    <w:rsid w:val="004556A2"/>
    <w:rsid w:val="00455930"/>
    <w:rsid w:val="00455EC3"/>
    <w:rsid w:val="00456C47"/>
    <w:rsid w:val="004574B1"/>
    <w:rsid w:val="004576F9"/>
    <w:rsid w:val="0045781E"/>
    <w:rsid w:val="00457897"/>
    <w:rsid w:val="004579E9"/>
    <w:rsid w:val="00461937"/>
    <w:rsid w:val="00461A80"/>
    <w:rsid w:val="00462B10"/>
    <w:rsid w:val="00462BEF"/>
    <w:rsid w:val="00463668"/>
    <w:rsid w:val="00464053"/>
    <w:rsid w:val="004648B5"/>
    <w:rsid w:val="00464B68"/>
    <w:rsid w:val="004651A4"/>
    <w:rsid w:val="004664D0"/>
    <w:rsid w:val="00466EC4"/>
    <w:rsid w:val="00467542"/>
    <w:rsid w:val="00470DE4"/>
    <w:rsid w:val="0047131F"/>
    <w:rsid w:val="00471562"/>
    <w:rsid w:val="00471A8D"/>
    <w:rsid w:val="00471F8C"/>
    <w:rsid w:val="00472382"/>
    <w:rsid w:val="004726D5"/>
    <w:rsid w:val="00472935"/>
    <w:rsid w:val="00472A78"/>
    <w:rsid w:val="00472B84"/>
    <w:rsid w:val="00473A13"/>
    <w:rsid w:val="00473A22"/>
    <w:rsid w:val="00473B87"/>
    <w:rsid w:val="00473C97"/>
    <w:rsid w:val="004741D9"/>
    <w:rsid w:val="00474479"/>
    <w:rsid w:val="00474AA5"/>
    <w:rsid w:val="004750B2"/>
    <w:rsid w:val="00475112"/>
    <w:rsid w:val="00480028"/>
    <w:rsid w:val="0048042F"/>
    <w:rsid w:val="00480622"/>
    <w:rsid w:val="004812E8"/>
    <w:rsid w:val="004819D8"/>
    <w:rsid w:val="00481E1B"/>
    <w:rsid w:val="00481E5C"/>
    <w:rsid w:val="00482D71"/>
    <w:rsid w:val="00483101"/>
    <w:rsid w:val="004833FD"/>
    <w:rsid w:val="004835D3"/>
    <w:rsid w:val="00483958"/>
    <w:rsid w:val="00483A27"/>
    <w:rsid w:val="00483CAB"/>
    <w:rsid w:val="004849B3"/>
    <w:rsid w:val="00485228"/>
    <w:rsid w:val="0048553B"/>
    <w:rsid w:val="00486127"/>
    <w:rsid w:val="00486852"/>
    <w:rsid w:val="00487458"/>
    <w:rsid w:val="00487AEE"/>
    <w:rsid w:val="00490568"/>
    <w:rsid w:val="0049064F"/>
    <w:rsid w:val="00490708"/>
    <w:rsid w:val="00493EA7"/>
    <w:rsid w:val="00493ED7"/>
    <w:rsid w:val="00494556"/>
    <w:rsid w:val="00494889"/>
    <w:rsid w:val="00495599"/>
    <w:rsid w:val="00495690"/>
    <w:rsid w:val="00495D07"/>
    <w:rsid w:val="0049715C"/>
    <w:rsid w:val="004972CB"/>
    <w:rsid w:val="004973C3"/>
    <w:rsid w:val="00497AB7"/>
    <w:rsid w:val="004A0754"/>
    <w:rsid w:val="004A0A06"/>
    <w:rsid w:val="004A0B3D"/>
    <w:rsid w:val="004A22CE"/>
    <w:rsid w:val="004A3317"/>
    <w:rsid w:val="004A4C98"/>
    <w:rsid w:val="004A53ED"/>
    <w:rsid w:val="004A59C1"/>
    <w:rsid w:val="004A5BB4"/>
    <w:rsid w:val="004A5D2C"/>
    <w:rsid w:val="004A71B0"/>
    <w:rsid w:val="004A7614"/>
    <w:rsid w:val="004A79AB"/>
    <w:rsid w:val="004B0E98"/>
    <w:rsid w:val="004B12FF"/>
    <w:rsid w:val="004B1548"/>
    <w:rsid w:val="004B1E5F"/>
    <w:rsid w:val="004B29FA"/>
    <w:rsid w:val="004B2A4B"/>
    <w:rsid w:val="004B2B94"/>
    <w:rsid w:val="004B2BA0"/>
    <w:rsid w:val="004B3288"/>
    <w:rsid w:val="004B33D7"/>
    <w:rsid w:val="004B4384"/>
    <w:rsid w:val="004B63A9"/>
    <w:rsid w:val="004B6841"/>
    <w:rsid w:val="004B7DAE"/>
    <w:rsid w:val="004C17C0"/>
    <w:rsid w:val="004C185D"/>
    <w:rsid w:val="004C1A49"/>
    <w:rsid w:val="004C1DF1"/>
    <w:rsid w:val="004C1F16"/>
    <w:rsid w:val="004C31A5"/>
    <w:rsid w:val="004C3992"/>
    <w:rsid w:val="004C3E91"/>
    <w:rsid w:val="004C4CC5"/>
    <w:rsid w:val="004C58DD"/>
    <w:rsid w:val="004C596B"/>
    <w:rsid w:val="004C6BC3"/>
    <w:rsid w:val="004C6ED0"/>
    <w:rsid w:val="004C7ADD"/>
    <w:rsid w:val="004C7C40"/>
    <w:rsid w:val="004D0449"/>
    <w:rsid w:val="004D146D"/>
    <w:rsid w:val="004D1DE7"/>
    <w:rsid w:val="004D1F89"/>
    <w:rsid w:val="004D25FA"/>
    <w:rsid w:val="004D2778"/>
    <w:rsid w:val="004D29C4"/>
    <w:rsid w:val="004D2EEB"/>
    <w:rsid w:val="004D2F9B"/>
    <w:rsid w:val="004D3BCC"/>
    <w:rsid w:val="004D4708"/>
    <w:rsid w:val="004E01DF"/>
    <w:rsid w:val="004E01E4"/>
    <w:rsid w:val="004E05E5"/>
    <w:rsid w:val="004E10A6"/>
    <w:rsid w:val="004E2145"/>
    <w:rsid w:val="004E28E8"/>
    <w:rsid w:val="004E293D"/>
    <w:rsid w:val="004E2BBD"/>
    <w:rsid w:val="004E32D1"/>
    <w:rsid w:val="004E3951"/>
    <w:rsid w:val="004E3B34"/>
    <w:rsid w:val="004E3C94"/>
    <w:rsid w:val="004E3CBB"/>
    <w:rsid w:val="004E4217"/>
    <w:rsid w:val="004E4BF3"/>
    <w:rsid w:val="004E6D09"/>
    <w:rsid w:val="004F02AE"/>
    <w:rsid w:val="004F145B"/>
    <w:rsid w:val="004F2426"/>
    <w:rsid w:val="004F327B"/>
    <w:rsid w:val="004F34EC"/>
    <w:rsid w:val="004F3DF5"/>
    <w:rsid w:val="004F4024"/>
    <w:rsid w:val="004F44B6"/>
    <w:rsid w:val="004F4765"/>
    <w:rsid w:val="004F49A1"/>
    <w:rsid w:val="004F574C"/>
    <w:rsid w:val="004F5D1A"/>
    <w:rsid w:val="004F5F31"/>
    <w:rsid w:val="004F5FAB"/>
    <w:rsid w:val="004F6C12"/>
    <w:rsid w:val="004F726C"/>
    <w:rsid w:val="004F729D"/>
    <w:rsid w:val="004F7840"/>
    <w:rsid w:val="004F79AA"/>
    <w:rsid w:val="004F7B4B"/>
    <w:rsid w:val="004F7C84"/>
    <w:rsid w:val="005008CD"/>
    <w:rsid w:val="00500F9E"/>
    <w:rsid w:val="00500FD0"/>
    <w:rsid w:val="005028DF"/>
    <w:rsid w:val="005029CB"/>
    <w:rsid w:val="00503075"/>
    <w:rsid w:val="00503DD1"/>
    <w:rsid w:val="00503DF5"/>
    <w:rsid w:val="00503EFC"/>
    <w:rsid w:val="00504252"/>
    <w:rsid w:val="005060CB"/>
    <w:rsid w:val="005060D9"/>
    <w:rsid w:val="00506408"/>
    <w:rsid w:val="00506BCD"/>
    <w:rsid w:val="00506D6A"/>
    <w:rsid w:val="00507128"/>
    <w:rsid w:val="00510613"/>
    <w:rsid w:val="0051095F"/>
    <w:rsid w:val="0051184C"/>
    <w:rsid w:val="00511E59"/>
    <w:rsid w:val="00512605"/>
    <w:rsid w:val="00512A1C"/>
    <w:rsid w:val="005139DA"/>
    <w:rsid w:val="00513EA2"/>
    <w:rsid w:val="005150EF"/>
    <w:rsid w:val="00515BF1"/>
    <w:rsid w:val="005162AB"/>
    <w:rsid w:val="00516D22"/>
    <w:rsid w:val="00517F69"/>
    <w:rsid w:val="00520408"/>
    <w:rsid w:val="00520B7B"/>
    <w:rsid w:val="00520E0D"/>
    <w:rsid w:val="005218BE"/>
    <w:rsid w:val="00522C2E"/>
    <w:rsid w:val="00523233"/>
    <w:rsid w:val="00523AE7"/>
    <w:rsid w:val="005245DD"/>
    <w:rsid w:val="005248EE"/>
    <w:rsid w:val="00524EBE"/>
    <w:rsid w:val="00524FA9"/>
    <w:rsid w:val="00527411"/>
    <w:rsid w:val="00527636"/>
    <w:rsid w:val="005305AE"/>
    <w:rsid w:val="00531803"/>
    <w:rsid w:val="005330A7"/>
    <w:rsid w:val="005343D4"/>
    <w:rsid w:val="005344DF"/>
    <w:rsid w:val="00534A2F"/>
    <w:rsid w:val="005351EB"/>
    <w:rsid w:val="005365EE"/>
    <w:rsid w:val="00536AD8"/>
    <w:rsid w:val="00537058"/>
    <w:rsid w:val="0053707D"/>
    <w:rsid w:val="0054038B"/>
    <w:rsid w:val="00541794"/>
    <w:rsid w:val="005417B6"/>
    <w:rsid w:val="00542177"/>
    <w:rsid w:val="0054314C"/>
    <w:rsid w:val="00543C8B"/>
    <w:rsid w:val="005442EC"/>
    <w:rsid w:val="005446EA"/>
    <w:rsid w:val="0054496D"/>
    <w:rsid w:val="0054575A"/>
    <w:rsid w:val="005457B4"/>
    <w:rsid w:val="005458E5"/>
    <w:rsid w:val="00545F8E"/>
    <w:rsid w:val="005469DE"/>
    <w:rsid w:val="00547496"/>
    <w:rsid w:val="0054789D"/>
    <w:rsid w:val="00547C49"/>
    <w:rsid w:val="005525C1"/>
    <w:rsid w:val="00552AA5"/>
    <w:rsid w:val="005530DD"/>
    <w:rsid w:val="00553ADA"/>
    <w:rsid w:val="00553D2F"/>
    <w:rsid w:val="00553DCC"/>
    <w:rsid w:val="005542E5"/>
    <w:rsid w:val="00555A29"/>
    <w:rsid w:val="00557027"/>
    <w:rsid w:val="00557327"/>
    <w:rsid w:val="00557FAD"/>
    <w:rsid w:val="0056001C"/>
    <w:rsid w:val="0056207E"/>
    <w:rsid w:val="005631CC"/>
    <w:rsid w:val="00565004"/>
    <w:rsid w:val="005651B2"/>
    <w:rsid w:val="0056573D"/>
    <w:rsid w:val="00565A40"/>
    <w:rsid w:val="00565DA4"/>
    <w:rsid w:val="0056601B"/>
    <w:rsid w:val="00571281"/>
    <w:rsid w:val="0057195E"/>
    <w:rsid w:val="005726B2"/>
    <w:rsid w:val="00572D2D"/>
    <w:rsid w:val="00573038"/>
    <w:rsid w:val="00573F20"/>
    <w:rsid w:val="00574D64"/>
    <w:rsid w:val="00574F7C"/>
    <w:rsid w:val="005756BF"/>
    <w:rsid w:val="005756FA"/>
    <w:rsid w:val="00575C79"/>
    <w:rsid w:val="005767B1"/>
    <w:rsid w:val="00576852"/>
    <w:rsid w:val="00577748"/>
    <w:rsid w:val="00577847"/>
    <w:rsid w:val="0058078C"/>
    <w:rsid w:val="0058108B"/>
    <w:rsid w:val="00581F0F"/>
    <w:rsid w:val="0058213D"/>
    <w:rsid w:val="005821F9"/>
    <w:rsid w:val="005825E4"/>
    <w:rsid w:val="00583015"/>
    <w:rsid w:val="00583043"/>
    <w:rsid w:val="005843FB"/>
    <w:rsid w:val="005845B2"/>
    <w:rsid w:val="00585C7D"/>
    <w:rsid w:val="00585FA4"/>
    <w:rsid w:val="00587077"/>
    <w:rsid w:val="00590A0F"/>
    <w:rsid w:val="00590FD1"/>
    <w:rsid w:val="00591901"/>
    <w:rsid w:val="0059251C"/>
    <w:rsid w:val="0059261E"/>
    <w:rsid w:val="005931D9"/>
    <w:rsid w:val="005943CA"/>
    <w:rsid w:val="00594B43"/>
    <w:rsid w:val="00597648"/>
    <w:rsid w:val="005976C3"/>
    <w:rsid w:val="00597CA0"/>
    <w:rsid w:val="005A1596"/>
    <w:rsid w:val="005A19F7"/>
    <w:rsid w:val="005A1AD3"/>
    <w:rsid w:val="005A1E7B"/>
    <w:rsid w:val="005A47F9"/>
    <w:rsid w:val="005A59A9"/>
    <w:rsid w:val="005A78CD"/>
    <w:rsid w:val="005A7EFF"/>
    <w:rsid w:val="005A7F9F"/>
    <w:rsid w:val="005B01B8"/>
    <w:rsid w:val="005B047E"/>
    <w:rsid w:val="005B08DB"/>
    <w:rsid w:val="005B2535"/>
    <w:rsid w:val="005B2667"/>
    <w:rsid w:val="005B2D87"/>
    <w:rsid w:val="005B46E2"/>
    <w:rsid w:val="005B4C52"/>
    <w:rsid w:val="005B5195"/>
    <w:rsid w:val="005B5A23"/>
    <w:rsid w:val="005B622C"/>
    <w:rsid w:val="005B6BFE"/>
    <w:rsid w:val="005B72F5"/>
    <w:rsid w:val="005B75CD"/>
    <w:rsid w:val="005B768C"/>
    <w:rsid w:val="005C0862"/>
    <w:rsid w:val="005C08CD"/>
    <w:rsid w:val="005C12B4"/>
    <w:rsid w:val="005C19DD"/>
    <w:rsid w:val="005C1C99"/>
    <w:rsid w:val="005C1CBE"/>
    <w:rsid w:val="005C2E67"/>
    <w:rsid w:val="005C365F"/>
    <w:rsid w:val="005C507E"/>
    <w:rsid w:val="005C511F"/>
    <w:rsid w:val="005C5222"/>
    <w:rsid w:val="005C5AA2"/>
    <w:rsid w:val="005C5C02"/>
    <w:rsid w:val="005C63CF"/>
    <w:rsid w:val="005C641B"/>
    <w:rsid w:val="005C73FB"/>
    <w:rsid w:val="005C7AD8"/>
    <w:rsid w:val="005C7ADD"/>
    <w:rsid w:val="005D0EC7"/>
    <w:rsid w:val="005D430B"/>
    <w:rsid w:val="005D480E"/>
    <w:rsid w:val="005D5CFE"/>
    <w:rsid w:val="005D652B"/>
    <w:rsid w:val="005D68C9"/>
    <w:rsid w:val="005D6AB3"/>
    <w:rsid w:val="005D7323"/>
    <w:rsid w:val="005E06ED"/>
    <w:rsid w:val="005E0A22"/>
    <w:rsid w:val="005E0A72"/>
    <w:rsid w:val="005E11D2"/>
    <w:rsid w:val="005E14F1"/>
    <w:rsid w:val="005E159A"/>
    <w:rsid w:val="005E188B"/>
    <w:rsid w:val="005E3C6B"/>
    <w:rsid w:val="005E43E1"/>
    <w:rsid w:val="005E4CEA"/>
    <w:rsid w:val="005E544A"/>
    <w:rsid w:val="005E566B"/>
    <w:rsid w:val="005E6584"/>
    <w:rsid w:val="005E6B28"/>
    <w:rsid w:val="005E6F83"/>
    <w:rsid w:val="005E70B0"/>
    <w:rsid w:val="005F1A81"/>
    <w:rsid w:val="005F1C38"/>
    <w:rsid w:val="005F1D88"/>
    <w:rsid w:val="005F1E6C"/>
    <w:rsid w:val="005F2CE3"/>
    <w:rsid w:val="005F5203"/>
    <w:rsid w:val="005F593F"/>
    <w:rsid w:val="005F650B"/>
    <w:rsid w:val="005F66AD"/>
    <w:rsid w:val="005F75E3"/>
    <w:rsid w:val="005F7BEA"/>
    <w:rsid w:val="005F7DD4"/>
    <w:rsid w:val="0060017F"/>
    <w:rsid w:val="00600DA3"/>
    <w:rsid w:val="00601117"/>
    <w:rsid w:val="006015F6"/>
    <w:rsid w:val="00602393"/>
    <w:rsid w:val="0060279C"/>
    <w:rsid w:val="00602D0F"/>
    <w:rsid w:val="00603312"/>
    <w:rsid w:val="00603375"/>
    <w:rsid w:val="00604390"/>
    <w:rsid w:val="00604750"/>
    <w:rsid w:val="006053D0"/>
    <w:rsid w:val="006053FA"/>
    <w:rsid w:val="00605910"/>
    <w:rsid w:val="00605FE1"/>
    <w:rsid w:val="0060694F"/>
    <w:rsid w:val="00606C47"/>
    <w:rsid w:val="00607B57"/>
    <w:rsid w:val="00607B88"/>
    <w:rsid w:val="00610047"/>
    <w:rsid w:val="006105A1"/>
    <w:rsid w:val="00610843"/>
    <w:rsid w:val="00612044"/>
    <w:rsid w:val="006127E5"/>
    <w:rsid w:val="0061287F"/>
    <w:rsid w:val="006135EE"/>
    <w:rsid w:val="00613B58"/>
    <w:rsid w:val="006148A0"/>
    <w:rsid w:val="00614A24"/>
    <w:rsid w:val="00615162"/>
    <w:rsid w:val="00615AC3"/>
    <w:rsid w:val="00615BD2"/>
    <w:rsid w:val="00615F48"/>
    <w:rsid w:val="00616CB9"/>
    <w:rsid w:val="00621D02"/>
    <w:rsid w:val="00622922"/>
    <w:rsid w:val="006229B2"/>
    <w:rsid w:val="00623964"/>
    <w:rsid w:val="0062470A"/>
    <w:rsid w:val="006249E6"/>
    <w:rsid w:val="00625594"/>
    <w:rsid w:val="00625AC7"/>
    <w:rsid w:val="00625F22"/>
    <w:rsid w:val="00627368"/>
    <w:rsid w:val="006279C5"/>
    <w:rsid w:val="00630399"/>
    <w:rsid w:val="00630C96"/>
    <w:rsid w:val="006310AA"/>
    <w:rsid w:val="0063157F"/>
    <w:rsid w:val="00631A94"/>
    <w:rsid w:val="00633B3B"/>
    <w:rsid w:val="006349F3"/>
    <w:rsid w:val="00634E1A"/>
    <w:rsid w:val="00635B1A"/>
    <w:rsid w:val="00635E27"/>
    <w:rsid w:val="00637ECF"/>
    <w:rsid w:val="00640ED0"/>
    <w:rsid w:val="00641740"/>
    <w:rsid w:val="00642AD6"/>
    <w:rsid w:val="0064474A"/>
    <w:rsid w:val="00644F99"/>
    <w:rsid w:val="00645655"/>
    <w:rsid w:val="00645E40"/>
    <w:rsid w:val="00646BDB"/>
    <w:rsid w:val="00647250"/>
    <w:rsid w:val="00647719"/>
    <w:rsid w:val="0065028C"/>
    <w:rsid w:val="00651302"/>
    <w:rsid w:val="00651832"/>
    <w:rsid w:val="00651B1F"/>
    <w:rsid w:val="006521E3"/>
    <w:rsid w:val="00653FDD"/>
    <w:rsid w:val="0065435A"/>
    <w:rsid w:val="00654DB6"/>
    <w:rsid w:val="0065514E"/>
    <w:rsid w:val="00655A67"/>
    <w:rsid w:val="006567CF"/>
    <w:rsid w:val="00656C2F"/>
    <w:rsid w:val="00656C88"/>
    <w:rsid w:val="00656CCD"/>
    <w:rsid w:val="0065778D"/>
    <w:rsid w:val="00657913"/>
    <w:rsid w:val="00657C4A"/>
    <w:rsid w:val="006600D5"/>
    <w:rsid w:val="00660361"/>
    <w:rsid w:val="00661DEB"/>
    <w:rsid w:val="00662417"/>
    <w:rsid w:val="006628FF"/>
    <w:rsid w:val="00665858"/>
    <w:rsid w:val="0066643C"/>
    <w:rsid w:val="00666482"/>
    <w:rsid w:val="00666D54"/>
    <w:rsid w:val="00670FD3"/>
    <w:rsid w:val="00671551"/>
    <w:rsid w:val="00671A98"/>
    <w:rsid w:val="00671C90"/>
    <w:rsid w:val="00672076"/>
    <w:rsid w:val="00672729"/>
    <w:rsid w:val="006729CF"/>
    <w:rsid w:val="00674CDE"/>
    <w:rsid w:val="00675094"/>
    <w:rsid w:val="00675378"/>
    <w:rsid w:val="0067579B"/>
    <w:rsid w:val="00675E26"/>
    <w:rsid w:val="006763C2"/>
    <w:rsid w:val="0067710E"/>
    <w:rsid w:val="006811B2"/>
    <w:rsid w:val="0068135F"/>
    <w:rsid w:val="006821E8"/>
    <w:rsid w:val="0068356B"/>
    <w:rsid w:val="006836FD"/>
    <w:rsid w:val="00683830"/>
    <w:rsid w:val="006839C0"/>
    <w:rsid w:val="00685579"/>
    <w:rsid w:val="00685C1A"/>
    <w:rsid w:val="00685DF2"/>
    <w:rsid w:val="00686A1D"/>
    <w:rsid w:val="00686E08"/>
    <w:rsid w:val="0068734F"/>
    <w:rsid w:val="00690079"/>
    <w:rsid w:val="0069017C"/>
    <w:rsid w:val="00690AE2"/>
    <w:rsid w:val="00691751"/>
    <w:rsid w:val="0069190E"/>
    <w:rsid w:val="006919EB"/>
    <w:rsid w:val="00692108"/>
    <w:rsid w:val="00692B20"/>
    <w:rsid w:val="00692EE4"/>
    <w:rsid w:val="00693BCA"/>
    <w:rsid w:val="006963FE"/>
    <w:rsid w:val="00696EC0"/>
    <w:rsid w:val="00697C72"/>
    <w:rsid w:val="006A077B"/>
    <w:rsid w:val="006A09BF"/>
    <w:rsid w:val="006A1524"/>
    <w:rsid w:val="006A1575"/>
    <w:rsid w:val="006A15E5"/>
    <w:rsid w:val="006A1C61"/>
    <w:rsid w:val="006A2CEA"/>
    <w:rsid w:val="006A2E0E"/>
    <w:rsid w:val="006A2F7E"/>
    <w:rsid w:val="006A3041"/>
    <w:rsid w:val="006A4299"/>
    <w:rsid w:val="006A58FC"/>
    <w:rsid w:val="006A6092"/>
    <w:rsid w:val="006A61C9"/>
    <w:rsid w:val="006A659D"/>
    <w:rsid w:val="006A770A"/>
    <w:rsid w:val="006B0B8D"/>
    <w:rsid w:val="006B10E7"/>
    <w:rsid w:val="006B12C0"/>
    <w:rsid w:val="006B1566"/>
    <w:rsid w:val="006B17B4"/>
    <w:rsid w:val="006B28D5"/>
    <w:rsid w:val="006B2E8D"/>
    <w:rsid w:val="006B2F0F"/>
    <w:rsid w:val="006B330A"/>
    <w:rsid w:val="006B3BC5"/>
    <w:rsid w:val="006B4506"/>
    <w:rsid w:val="006B69CD"/>
    <w:rsid w:val="006C06E0"/>
    <w:rsid w:val="006C1301"/>
    <w:rsid w:val="006C2372"/>
    <w:rsid w:val="006C444A"/>
    <w:rsid w:val="006C481A"/>
    <w:rsid w:val="006C4BC2"/>
    <w:rsid w:val="006C4C73"/>
    <w:rsid w:val="006C5C3D"/>
    <w:rsid w:val="006C61FE"/>
    <w:rsid w:val="006C67C0"/>
    <w:rsid w:val="006C7239"/>
    <w:rsid w:val="006C7930"/>
    <w:rsid w:val="006C7F11"/>
    <w:rsid w:val="006D0200"/>
    <w:rsid w:val="006D021A"/>
    <w:rsid w:val="006D062F"/>
    <w:rsid w:val="006D11B9"/>
    <w:rsid w:val="006D16EE"/>
    <w:rsid w:val="006D350B"/>
    <w:rsid w:val="006D3B8F"/>
    <w:rsid w:val="006D3EB8"/>
    <w:rsid w:val="006D42EE"/>
    <w:rsid w:val="006D5710"/>
    <w:rsid w:val="006D646B"/>
    <w:rsid w:val="006D6B62"/>
    <w:rsid w:val="006D7A0B"/>
    <w:rsid w:val="006D7A8B"/>
    <w:rsid w:val="006E076D"/>
    <w:rsid w:val="006E08EA"/>
    <w:rsid w:val="006E3F2C"/>
    <w:rsid w:val="006E3F4C"/>
    <w:rsid w:val="006E4C7E"/>
    <w:rsid w:val="006E566B"/>
    <w:rsid w:val="006E59C7"/>
    <w:rsid w:val="006E6290"/>
    <w:rsid w:val="006E6657"/>
    <w:rsid w:val="006E6AC2"/>
    <w:rsid w:val="006E6DB6"/>
    <w:rsid w:val="006E71C8"/>
    <w:rsid w:val="006F00D9"/>
    <w:rsid w:val="006F0A87"/>
    <w:rsid w:val="006F174F"/>
    <w:rsid w:val="006F2486"/>
    <w:rsid w:val="006F2497"/>
    <w:rsid w:val="006F48C8"/>
    <w:rsid w:val="006F49E4"/>
    <w:rsid w:val="006F4A84"/>
    <w:rsid w:val="006F5086"/>
    <w:rsid w:val="006F5566"/>
    <w:rsid w:val="006F630C"/>
    <w:rsid w:val="00700921"/>
    <w:rsid w:val="00701392"/>
    <w:rsid w:val="0070178D"/>
    <w:rsid w:val="00702E74"/>
    <w:rsid w:val="0070300D"/>
    <w:rsid w:val="00703C33"/>
    <w:rsid w:val="007053F7"/>
    <w:rsid w:val="007056C4"/>
    <w:rsid w:val="00705F53"/>
    <w:rsid w:val="00707389"/>
    <w:rsid w:val="007073F2"/>
    <w:rsid w:val="007119ED"/>
    <w:rsid w:val="0071214F"/>
    <w:rsid w:val="00712528"/>
    <w:rsid w:val="00712860"/>
    <w:rsid w:val="00712D7F"/>
    <w:rsid w:val="007151F6"/>
    <w:rsid w:val="0071558C"/>
    <w:rsid w:val="00716D59"/>
    <w:rsid w:val="00722907"/>
    <w:rsid w:val="00723220"/>
    <w:rsid w:val="007234A7"/>
    <w:rsid w:val="00724DC2"/>
    <w:rsid w:val="00725329"/>
    <w:rsid w:val="0072601A"/>
    <w:rsid w:val="0072621A"/>
    <w:rsid w:val="00727361"/>
    <w:rsid w:val="007274F0"/>
    <w:rsid w:val="00727592"/>
    <w:rsid w:val="007301EA"/>
    <w:rsid w:val="007313A4"/>
    <w:rsid w:val="007316DC"/>
    <w:rsid w:val="00732275"/>
    <w:rsid w:val="00734DD8"/>
    <w:rsid w:val="00735A08"/>
    <w:rsid w:val="00735C59"/>
    <w:rsid w:val="00735FC8"/>
    <w:rsid w:val="00736F89"/>
    <w:rsid w:val="00737235"/>
    <w:rsid w:val="00737462"/>
    <w:rsid w:val="00737A8B"/>
    <w:rsid w:val="007409FF"/>
    <w:rsid w:val="0074163A"/>
    <w:rsid w:val="0074190E"/>
    <w:rsid w:val="0074279E"/>
    <w:rsid w:val="00743323"/>
    <w:rsid w:val="00743859"/>
    <w:rsid w:val="00743961"/>
    <w:rsid w:val="00743E04"/>
    <w:rsid w:val="00744498"/>
    <w:rsid w:val="007447F9"/>
    <w:rsid w:val="00744D9A"/>
    <w:rsid w:val="00744DE4"/>
    <w:rsid w:val="007456A4"/>
    <w:rsid w:val="0074719C"/>
    <w:rsid w:val="00747E41"/>
    <w:rsid w:val="00751C0D"/>
    <w:rsid w:val="00751E05"/>
    <w:rsid w:val="0075207F"/>
    <w:rsid w:val="007525D2"/>
    <w:rsid w:val="00752C31"/>
    <w:rsid w:val="00752CB5"/>
    <w:rsid w:val="00752CEC"/>
    <w:rsid w:val="00752EC4"/>
    <w:rsid w:val="00753839"/>
    <w:rsid w:val="0075473F"/>
    <w:rsid w:val="00754762"/>
    <w:rsid w:val="00755976"/>
    <w:rsid w:val="0075794C"/>
    <w:rsid w:val="00757D7A"/>
    <w:rsid w:val="00757DFC"/>
    <w:rsid w:val="007605CF"/>
    <w:rsid w:val="007613DE"/>
    <w:rsid w:val="007617CB"/>
    <w:rsid w:val="0076212C"/>
    <w:rsid w:val="0076233C"/>
    <w:rsid w:val="00763329"/>
    <w:rsid w:val="00763434"/>
    <w:rsid w:val="0076449C"/>
    <w:rsid w:val="00764CCB"/>
    <w:rsid w:val="007655CB"/>
    <w:rsid w:val="007657C6"/>
    <w:rsid w:val="00766332"/>
    <w:rsid w:val="00766AC6"/>
    <w:rsid w:val="00766D1E"/>
    <w:rsid w:val="00767173"/>
    <w:rsid w:val="00767270"/>
    <w:rsid w:val="007705D4"/>
    <w:rsid w:val="007712AF"/>
    <w:rsid w:val="007719FF"/>
    <w:rsid w:val="00773B2B"/>
    <w:rsid w:val="00773BE5"/>
    <w:rsid w:val="0077494F"/>
    <w:rsid w:val="00774B0C"/>
    <w:rsid w:val="0077544D"/>
    <w:rsid w:val="00776185"/>
    <w:rsid w:val="00776590"/>
    <w:rsid w:val="0077690D"/>
    <w:rsid w:val="00776FFF"/>
    <w:rsid w:val="0077757C"/>
    <w:rsid w:val="00777ACA"/>
    <w:rsid w:val="00777BB2"/>
    <w:rsid w:val="00777F1F"/>
    <w:rsid w:val="00780C33"/>
    <w:rsid w:val="007816C2"/>
    <w:rsid w:val="00782342"/>
    <w:rsid w:val="00782DDF"/>
    <w:rsid w:val="00782E17"/>
    <w:rsid w:val="00783A03"/>
    <w:rsid w:val="00783D25"/>
    <w:rsid w:val="00783F91"/>
    <w:rsid w:val="00785F15"/>
    <w:rsid w:val="007866C2"/>
    <w:rsid w:val="0078681A"/>
    <w:rsid w:val="00786ECD"/>
    <w:rsid w:val="00790A25"/>
    <w:rsid w:val="00790B9D"/>
    <w:rsid w:val="007911C9"/>
    <w:rsid w:val="007916E0"/>
    <w:rsid w:val="00791ACE"/>
    <w:rsid w:val="00792EE6"/>
    <w:rsid w:val="007935AA"/>
    <w:rsid w:val="007938B7"/>
    <w:rsid w:val="007947B2"/>
    <w:rsid w:val="00796B79"/>
    <w:rsid w:val="0079761D"/>
    <w:rsid w:val="00797933"/>
    <w:rsid w:val="007A0358"/>
    <w:rsid w:val="007A0D50"/>
    <w:rsid w:val="007A0EC5"/>
    <w:rsid w:val="007A0F63"/>
    <w:rsid w:val="007A14AB"/>
    <w:rsid w:val="007A1539"/>
    <w:rsid w:val="007A1E38"/>
    <w:rsid w:val="007A2128"/>
    <w:rsid w:val="007A2C96"/>
    <w:rsid w:val="007A5148"/>
    <w:rsid w:val="007A5473"/>
    <w:rsid w:val="007A5580"/>
    <w:rsid w:val="007A57FA"/>
    <w:rsid w:val="007A5901"/>
    <w:rsid w:val="007A5ACD"/>
    <w:rsid w:val="007A66B3"/>
    <w:rsid w:val="007A7929"/>
    <w:rsid w:val="007B1C2A"/>
    <w:rsid w:val="007B2277"/>
    <w:rsid w:val="007B230A"/>
    <w:rsid w:val="007B66F7"/>
    <w:rsid w:val="007B7A37"/>
    <w:rsid w:val="007C0915"/>
    <w:rsid w:val="007C0E1E"/>
    <w:rsid w:val="007C118C"/>
    <w:rsid w:val="007C1B70"/>
    <w:rsid w:val="007C285E"/>
    <w:rsid w:val="007C3445"/>
    <w:rsid w:val="007C3450"/>
    <w:rsid w:val="007C365D"/>
    <w:rsid w:val="007C3A79"/>
    <w:rsid w:val="007C58AC"/>
    <w:rsid w:val="007C5CA9"/>
    <w:rsid w:val="007C611B"/>
    <w:rsid w:val="007C6590"/>
    <w:rsid w:val="007C6766"/>
    <w:rsid w:val="007C6CB8"/>
    <w:rsid w:val="007D04E7"/>
    <w:rsid w:val="007D07B4"/>
    <w:rsid w:val="007D144E"/>
    <w:rsid w:val="007D16B9"/>
    <w:rsid w:val="007D2031"/>
    <w:rsid w:val="007D321B"/>
    <w:rsid w:val="007D32DA"/>
    <w:rsid w:val="007D357C"/>
    <w:rsid w:val="007D39FA"/>
    <w:rsid w:val="007D3DA2"/>
    <w:rsid w:val="007D5815"/>
    <w:rsid w:val="007D5B4D"/>
    <w:rsid w:val="007D5E07"/>
    <w:rsid w:val="007D5EED"/>
    <w:rsid w:val="007D67DB"/>
    <w:rsid w:val="007D7159"/>
    <w:rsid w:val="007D78D0"/>
    <w:rsid w:val="007D79CB"/>
    <w:rsid w:val="007D7A23"/>
    <w:rsid w:val="007D7E2B"/>
    <w:rsid w:val="007D7EC2"/>
    <w:rsid w:val="007E00F0"/>
    <w:rsid w:val="007E0F20"/>
    <w:rsid w:val="007E13DC"/>
    <w:rsid w:val="007E1419"/>
    <w:rsid w:val="007E1610"/>
    <w:rsid w:val="007E2DFE"/>
    <w:rsid w:val="007E30F2"/>
    <w:rsid w:val="007E3830"/>
    <w:rsid w:val="007E46EC"/>
    <w:rsid w:val="007E642F"/>
    <w:rsid w:val="007E6515"/>
    <w:rsid w:val="007E651B"/>
    <w:rsid w:val="007E65C8"/>
    <w:rsid w:val="007E666E"/>
    <w:rsid w:val="007E7032"/>
    <w:rsid w:val="007F07C7"/>
    <w:rsid w:val="007F177F"/>
    <w:rsid w:val="007F2E1D"/>
    <w:rsid w:val="007F2EC6"/>
    <w:rsid w:val="007F2F0C"/>
    <w:rsid w:val="007F3404"/>
    <w:rsid w:val="007F4820"/>
    <w:rsid w:val="007F4D73"/>
    <w:rsid w:val="007F53E1"/>
    <w:rsid w:val="007F640D"/>
    <w:rsid w:val="007F6831"/>
    <w:rsid w:val="007F69FF"/>
    <w:rsid w:val="007F6BCC"/>
    <w:rsid w:val="007F6F07"/>
    <w:rsid w:val="007F756C"/>
    <w:rsid w:val="007F7820"/>
    <w:rsid w:val="008001FC"/>
    <w:rsid w:val="00800FED"/>
    <w:rsid w:val="00801819"/>
    <w:rsid w:val="0080222F"/>
    <w:rsid w:val="00802ED1"/>
    <w:rsid w:val="00803EBE"/>
    <w:rsid w:val="00804CE2"/>
    <w:rsid w:val="00804DCC"/>
    <w:rsid w:val="00805861"/>
    <w:rsid w:val="00805D33"/>
    <w:rsid w:val="0080655B"/>
    <w:rsid w:val="00806673"/>
    <w:rsid w:val="00806DAF"/>
    <w:rsid w:val="00810BB6"/>
    <w:rsid w:val="00811343"/>
    <w:rsid w:val="0081272D"/>
    <w:rsid w:val="008135B3"/>
    <w:rsid w:val="008136A8"/>
    <w:rsid w:val="00814948"/>
    <w:rsid w:val="00815089"/>
    <w:rsid w:val="0081555D"/>
    <w:rsid w:val="008157D3"/>
    <w:rsid w:val="0081584C"/>
    <w:rsid w:val="008160B4"/>
    <w:rsid w:val="008162D9"/>
    <w:rsid w:val="008163EE"/>
    <w:rsid w:val="00816C4C"/>
    <w:rsid w:val="00817FF4"/>
    <w:rsid w:val="00820236"/>
    <w:rsid w:val="00820EF5"/>
    <w:rsid w:val="008217B4"/>
    <w:rsid w:val="00821BD8"/>
    <w:rsid w:val="00821CD9"/>
    <w:rsid w:val="00821E38"/>
    <w:rsid w:val="0082214F"/>
    <w:rsid w:val="00822A69"/>
    <w:rsid w:val="00822D16"/>
    <w:rsid w:val="0082337E"/>
    <w:rsid w:val="008239F5"/>
    <w:rsid w:val="008245D2"/>
    <w:rsid w:val="00824F87"/>
    <w:rsid w:val="00825552"/>
    <w:rsid w:val="00826265"/>
    <w:rsid w:val="008267A3"/>
    <w:rsid w:val="00827AE6"/>
    <w:rsid w:val="00830680"/>
    <w:rsid w:val="00830CC7"/>
    <w:rsid w:val="00831E5E"/>
    <w:rsid w:val="00833754"/>
    <w:rsid w:val="00833DAD"/>
    <w:rsid w:val="008345B3"/>
    <w:rsid w:val="00834844"/>
    <w:rsid w:val="00835682"/>
    <w:rsid w:val="00835C42"/>
    <w:rsid w:val="0083611E"/>
    <w:rsid w:val="0083669A"/>
    <w:rsid w:val="00836F03"/>
    <w:rsid w:val="0083737E"/>
    <w:rsid w:val="00837463"/>
    <w:rsid w:val="00840B00"/>
    <w:rsid w:val="00840C9F"/>
    <w:rsid w:val="00840E1B"/>
    <w:rsid w:val="00840F80"/>
    <w:rsid w:val="00841171"/>
    <w:rsid w:val="008415C4"/>
    <w:rsid w:val="00841680"/>
    <w:rsid w:val="008417D0"/>
    <w:rsid w:val="00841815"/>
    <w:rsid w:val="00841D08"/>
    <w:rsid w:val="008420AF"/>
    <w:rsid w:val="00843EAC"/>
    <w:rsid w:val="00844378"/>
    <w:rsid w:val="0084495D"/>
    <w:rsid w:val="0084598D"/>
    <w:rsid w:val="00845C74"/>
    <w:rsid w:val="00845FBB"/>
    <w:rsid w:val="00846921"/>
    <w:rsid w:val="0084740C"/>
    <w:rsid w:val="0085030E"/>
    <w:rsid w:val="008509AC"/>
    <w:rsid w:val="00851F45"/>
    <w:rsid w:val="0085235B"/>
    <w:rsid w:val="008525FD"/>
    <w:rsid w:val="00852B8A"/>
    <w:rsid w:val="00853207"/>
    <w:rsid w:val="00854B0D"/>
    <w:rsid w:val="008554F8"/>
    <w:rsid w:val="0085624F"/>
    <w:rsid w:val="008563B0"/>
    <w:rsid w:val="00856A0B"/>
    <w:rsid w:val="00860006"/>
    <w:rsid w:val="008604D5"/>
    <w:rsid w:val="00860E47"/>
    <w:rsid w:val="00860F92"/>
    <w:rsid w:val="008614EA"/>
    <w:rsid w:val="00862D3D"/>
    <w:rsid w:val="0086409A"/>
    <w:rsid w:val="008642DF"/>
    <w:rsid w:val="00864571"/>
    <w:rsid w:val="00864B16"/>
    <w:rsid w:val="00864F28"/>
    <w:rsid w:val="00865A7E"/>
    <w:rsid w:val="00865C7F"/>
    <w:rsid w:val="00865DA3"/>
    <w:rsid w:val="00872AAF"/>
    <w:rsid w:val="008746F0"/>
    <w:rsid w:val="0087492D"/>
    <w:rsid w:val="00874B16"/>
    <w:rsid w:val="00874F71"/>
    <w:rsid w:val="0087530D"/>
    <w:rsid w:val="00875F22"/>
    <w:rsid w:val="00875F5D"/>
    <w:rsid w:val="00876026"/>
    <w:rsid w:val="00876129"/>
    <w:rsid w:val="008777F1"/>
    <w:rsid w:val="00877D59"/>
    <w:rsid w:val="00880481"/>
    <w:rsid w:val="00880B76"/>
    <w:rsid w:val="0088119E"/>
    <w:rsid w:val="00881288"/>
    <w:rsid w:val="008816C7"/>
    <w:rsid w:val="00882334"/>
    <w:rsid w:val="0088264E"/>
    <w:rsid w:val="008829CE"/>
    <w:rsid w:val="00882BE1"/>
    <w:rsid w:val="00882CBA"/>
    <w:rsid w:val="00882CE5"/>
    <w:rsid w:val="00883554"/>
    <w:rsid w:val="00884076"/>
    <w:rsid w:val="008843C5"/>
    <w:rsid w:val="008849E6"/>
    <w:rsid w:val="00884B59"/>
    <w:rsid w:val="00885C34"/>
    <w:rsid w:val="00885F49"/>
    <w:rsid w:val="0088631A"/>
    <w:rsid w:val="00886322"/>
    <w:rsid w:val="0088680A"/>
    <w:rsid w:val="008878AF"/>
    <w:rsid w:val="00887B72"/>
    <w:rsid w:val="008908A8"/>
    <w:rsid w:val="008913F5"/>
    <w:rsid w:val="00891606"/>
    <w:rsid w:val="00891A39"/>
    <w:rsid w:val="00892716"/>
    <w:rsid w:val="008929DF"/>
    <w:rsid w:val="00892E72"/>
    <w:rsid w:val="00892EAD"/>
    <w:rsid w:val="0089479D"/>
    <w:rsid w:val="0089494D"/>
    <w:rsid w:val="008951A1"/>
    <w:rsid w:val="00895999"/>
    <w:rsid w:val="00896300"/>
    <w:rsid w:val="00896840"/>
    <w:rsid w:val="008974E9"/>
    <w:rsid w:val="00897D75"/>
    <w:rsid w:val="008A016E"/>
    <w:rsid w:val="008A0FD3"/>
    <w:rsid w:val="008A1E33"/>
    <w:rsid w:val="008A2208"/>
    <w:rsid w:val="008A2310"/>
    <w:rsid w:val="008A2764"/>
    <w:rsid w:val="008A45BA"/>
    <w:rsid w:val="008A4615"/>
    <w:rsid w:val="008A5B37"/>
    <w:rsid w:val="008A6007"/>
    <w:rsid w:val="008A6ABB"/>
    <w:rsid w:val="008A70C3"/>
    <w:rsid w:val="008A72DA"/>
    <w:rsid w:val="008B0D44"/>
    <w:rsid w:val="008B10D7"/>
    <w:rsid w:val="008B1324"/>
    <w:rsid w:val="008B24AB"/>
    <w:rsid w:val="008B2A4F"/>
    <w:rsid w:val="008B2EB5"/>
    <w:rsid w:val="008B34E3"/>
    <w:rsid w:val="008B37DC"/>
    <w:rsid w:val="008B3D74"/>
    <w:rsid w:val="008B402F"/>
    <w:rsid w:val="008B5231"/>
    <w:rsid w:val="008B5387"/>
    <w:rsid w:val="008B5952"/>
    <w:rsid w:val="008B5B14"/>
    <w:rsid w:val="008B6AF3"/>
    <w:rsid w:val="008B757A"/>
    <w:rsid w:val="008B7CB1"/>
    <w:rsid w:val="008C0216"/>
    <w:rsid w:val="008C268D"/>
    <w:rsid w:val="008C26FE"/>
    <w:rsid w:val="008C3010"/>
    <w:rsid w:val="008C5432"/>
    <w:rsid w:val="008C5944"/>
    <w:rsid w:val="008C5FA8"/>
    <w:rsid w:val="008C6651"/>
    <w:rsid w:val="008C6C5A"/>
    <w:rsid w:val="008C6CDA"/>
    <w:rsid w:val="008C7788"/>
    <w:rsid w:val="008D0F33"/>
    <w:rsid w:val="008D2093"/>
    <w:rsid w:val="008D251C"/>
    <w:rsid w:val="008D28FC"/>
    <w:rsid w:val="008D2BE8"/>
    <w:rsid w:val="008D3012"/>
    <w:rsid w:val="008D3C15"/>
    <w:rsid w:val="008D3F0F"/>
    <w:rsid w:val="008D4454"/>
    <w:rsid w:val="008D4737"/>
    <w:rsid w:val="008D4D94"/>
    <w:rsid w:val="008D5875"/>
    <w:rsid w:val="008D5DB1"/>
    <w:rsid w:val="008D6C9F"/>
    <w:rsid w:val="008D76FD"/>
    <w:rsid w:val="008E0D47"/>
    <w:rsid w:val="008E18DF"/>
    <w:rsid w:val="008E268B"/>
    <w:rsid w:val="008E28AA"/>
    <w:rsid w:val="008E417F"/>
    <w:rsid w:val="008E418B"/>
    <w:rsid w:val="008E477C"/>
    <w:rsid w:val="008E5153"/>
    <w:rsid w:val="008E58AA"/>
    <w:rsid w:val="008E5D88"/>
    <w:rsid w:val="008E5F90"/>
    <w:rsid w:val="008E60B7"/>
    <w:rsid w:val="008E66AD"/>
    <w:rsid w:val="008E690A"/>
    <w:rsid w:val="008E6AAC"/>
    <w:rsid w:val="008E7177"/>
    <w:rsid w:val="008E7B50"/>
    <w:rsid w:val="008E7D91"/>
    <w:rsid w:val="008F2F7C"/>
    <w:rsid w:val="008F34F1"/>
    <w:rsid w:val="008F3534"/>
    <w:rsid w:val="008F3FBE"/>
    <w:rsid w:val="008F442A"/>
    <w:rsid w:val="008F4596"/>
    <w:rsid w:val="008F4790"/>
    <w:rsid w:val="008F4ADD"/>
    <w:rsid w:val="008F5998"/>
    <w:rsid w:val="008F5C73"/>
    <w:rsid w:val="008F6A89"/>
    <w:rsid w:val="008F6B47"/>
    <w:rsid w:val="008F6BDC"/>
    <w:rsid w:val="008F6E04"/>
    <w:rsid w:val="0090004A"/>
    <w:rsid w:val="00900379"/>
    <w:rsid w:val="00901930"/>
    <w:rsid w:val="009025E0"/>
    <w:rsid w:val="00903BC4"/>
    <w:rsid w:val="0090421B"/>
    <w:rsid w:val="009049B3"/>
    <w:rsid w:val="009059C4"/>
    <w:rsid w:val="00905C68"/>
    <w:rsid w:val="00905C6A"/>
    <w:rsid w:val="009076D3"/>
    <w:rsid w:val="00910650"/>
    <w:rsid w:val="00910952"/>
    <w:rsid w:val="00910D59"/>
    <w:rsid w:val="00910DB6"/>
    <w:rsid w:val="00911400"/>
    <w:rsid w:val="00912695"/>
    <w:rsid w:val="00913EA8"/>
    <w:rsid w:val="009140EE"/>
    <w:rsid w:val="00914B17"/>
    <w:rsid w:val="00914D21"/>
    <w:rsid w:val="00915318"/>
    <w:rsid w:val="00915970"/>
    <w:rsid w:val="00916BAB"/>
    <w:rsid w:val="00916BE9"/>
    <w:rsid w:val="009173B5"/>
    <w:rsid w:val="00917764"/>
    <w:rsid w:val="0092073D"/>
    <w:rsid w:val="00920D7E"/>
    <w:rsid w:val="009215E2"/>
    <w:rsid w:val="00921A67"/>
    <w:rsid w:val="00922085"/>
    <w:rsid w:val="00922B5B"/>
    <w:rsid w:val="00922CFE"/>
    <w:rsid w:val="00924472"/>
    <w:rsid w:val="0092471C"/>
    <w:rsid w:val="00924A29"/>
    <w:rsid w:val="00925744"/>
    <w:rsid w:val="009259DC"/>
    <w:rsid w:val="00925B6E"/>
    <w:rsid w:val="00925B83"/>
    <w:rsid w:val="0092662C"/>
    <w:rsid w:val="0092664B"/>
    <w:rsid w:val="0092666B"/>
    <w:rsid w:val="00926DD7"/>
    <w:rsid w:val="009278FC"/>
    <w:rsid w:val="00927FA6"/>
    <w:rsid w:val="009313DE"/>
    <w:rsid w:val="00932022"/>
    <w:rsid w:val="00932AC3"/>
    <w:rsid w:val="0093342D"/>
    <w:rsid w:val="00933705"/>
    <w:rsid w:val="00933C02"/>
    <w:rsid w:val="00934084"/>
    <w:rsid w:val="00934735"/>
    <w:rsid w:val="00934F00"/>
    <w:rsid w:val="00934F22"/>
    <w:rsid w:val="00934FA3"/>
    <w:rsid w:val="0093502B"/>
    <w:rsid w:val="009354CB"/>
    <w:rsid w:val="0093578E"/>
    <w:rsid w:val="00935915"/>
    <w:rsid w:val="00935AD1"/>
    <w:rsid w:val="00936588"/>
    <w:rsid w:val="00937487"/>
    <w:rsid w:val="00937503"/>
    <w:rsid w:val="00937B78"/>
    <w:rsid w:val="009400F9"/>
    <w:rsid w:val="0094049E"/>
    <w:rsid w:val="009411E6"/>
    <w:rsid w:val="00941706"/>
    <w:rsid w:val="00941B2A"/>
    <w:rsid w:val="00942710"/>
    <w:rsid w:val="00943833"/>
    <w:rsid w:val="00943B80"/>
    <w:rsid w:val="00943C98"/>
    <w:rsid w:val="00944D4F"/>
    <w:rsid w:val="00944F6D"/>
    <w:rsid w:val="0094515A"/>
    <w:rsid w:val="009451D1"/>
    <w:rsid w:val="009454AD"/>
    <w:rsid w:val="00945BDC"/>
    <w:rsid w:val="00945FE2"/>
    <w:rsid w:val="00946442"/>
    <w:rsid w:val="009469BE"/>
    <w:rsid w:val="009503C4"/>
    <w:rsid w:val="009504FB"/>
    <w:rsid w:val="00951032"/>
    <w:rsid w:val="009513B6"/>
    <w:rsid w:val="009514B3"/>
    <w:rsid w:val="00951B88"/>
    <w:rsid w:val="009520B5"/>
    <w:rsid w:val="009532B5"/>
    <w:rsid w:val="00953F8A"/>
    <w:rsid w:val="009546CB"/>
    <w:rsid w:val="0095623A"/>
    <w:rsid w:val="009563DA"/>
    <w:rsid w:val="00956926"/>
    <w:rsid w:val="0095716B"/>
    <w:rsid w:val="00957478"/>
    <w:rsid w:val="009605B1"/>
    <w:rsid w:val="009606CA"/>
    <w:rsid w:val="00960A1E"/>
    <w:rsid w:val="00961CB4"/>
    <w:rsid w:val="00962166"/>
    <w:rsid w:val="00962D49"/>
    <w:rsid w:val="00962ECD"/>
    <w:rsid w:val="00963DDC"/>
    <w:rsid w:val="00964E4D"/>
    <w:rsid w:val="00965FC7"/>
    <w:rsid w:val="00966150"/>
    <w:rsid w:val="00966FFD"/>
    <w:rsid w:val="009670F3"/>
    <w:rsid w:val="00967886"/>
    <w:rsid w:val="0097105A"/>
    <w:rsid w:val="009715C3"/>
    <w:rsid w:val="00971908"/>
    <w:rsid w:val="00971E47"/>
    <w:rsid w:val="0097229A"/>
    <w:rsid w:val="00972AED"/>
    <w:rsid w:val="00973956"/>
    <w:rsid w:val="009748CC"/>
    <w:rsid w:val="00974AD5"/>
    <w:rsid w:val="00974ADE"/>
    <w:rsid w:val="00976344"/>
    <w:rsid w:val="00976C90"/>
    <w:rsid w:val="0097726B"/>
    <w:rsid w:val="00977BA5"/>
    <w:rsid w:val="00977BA7"/>
    <w:rsid w:val="00977BCB"/>
    <w:rsid w:val="009800C7"/>
    <w:rsid w:val="00981173"/>
    <w:rsid w:val="00981772"/>
    <w:rsid w:val="009817C0"/>
    <w:rsid w:val="00981A54"/>
    <w:rsid w:val="00981E0B"/>
    <w:rsid w:val="00981FB6"/>
    <w:rsid w:val="00982E9A"/>
    <w:rsid w:val="00983177"/>
    <w:rsid w:val="00984174"/>
    <w:rsid w:val="009844E0"/>
    <w:rsid w:val="00984584"/>
    <w:rsid w:val="009847F9"/>
    <w:rsid w:val="00985261"/>
    <w:rsid w:val="009856CD"/>
    <w:rsid w:val="0098626E"/>
    <w:rsid w:val="0098710B"/>
    <w:rsid w:val="009871BA"/>
    <w:rsid w:val="00987907"/>
    <w:rsid w:val="0098791D"/>
    <w:rsid w:val="0099054B"/>
    <w:rsid w:val="0099107C"/>
    <w:rsid w:val="0099168C"/>
    <w:rsid w:val="00991B51"/>
    <w:rsid w:val="00991CD1"/>
    <w:rsid w:val="009925CC"/>
    <w:rsid w:val="00992AA1"/>
    <w:rsid w:val="00993582"/>
    <w:rsid w:val="00993F2F"/>
    <w:rsid w:val="00994679"/>
    <w:rsid w:val="0099653C"/>
    <w:rsid w:val="00996BDC"/>
    <w:rsid w:val="0099757D"/>
    <w:rsid w:val="009A0B82"/>
    <w:rsid w:val="009A1B11"/>
    <w:rsid w:val="009A2749"/>
    <w:rsid w:val="009A2D78"/>
    <w:rsid w:val="009A3F28"/>
    <w:rsid w:val="009A44C8"/>
    <w:rsid w:val="009A54F0"/>
    <w:rsid w:val="009A5C64"/>
    <w:rsid w:val="009A615E"/>
    <w:rsid w:val="009A73D9"/>
    <w:rsid w:val="009A7FA4"/>
    <w:rsid w:val="009B0FBA"/>
    <w:rsid w:val="009B1783"/>
    <w:rsid w:val="009B2114"/>
    <w:rsid w:val="009B36C1"/>
    <w:rsid w:val="009B36DC"/>
    <w:rsid w:val="009B4BA8"/>
    <w:rsid w:val="009B59E7"/>
    <w:rsid w:val="009B5ED8"/>
    <w:rsid w:val="009B5EE6"/>
    <w:rsid w:val="009B5F90"/>
    <w:rsid w:val="009B62AD"/>
    <w:rsid w:val="009B6600"/>
    <w:rsid w:val="009B72EE"/>
    <w:rsid w:val="009B73A3"/>
    <w:rsid w:val="009C13F2"/>
    <w:rsid w:val="009C1AB4"/>
    <w:rsid w:val="009C1BE9"/>
    <w:rsid w:val="009C2CAD"/>
    <w:rsid w:val="009C30BF"/>
    <w:rsid w:val="009C3CF7"/>
    <w:rsid w:val="009C3E04"/>
    <w:rsid w:val="009C3F30"/>
    <w:rsid w:val="009C4669"/>
    <w:rsid w:val="009C606E"/>
    <w:rsid w:val="009C658A"/>
    <w:rsid w:val="009C69C9"/>
    <w:rsid w:val="009C6BA5"/>
    <w:rsid w:val="009C7844"/>
    <w:rsid w:val="009C7CFA"/>
    <w:rsid w:val="009C7D97"/>
    <w:rsid w:val="009D0056"/>
    <w:rsid w:val="009D011C"/>
    <w:rsid w:val="009D022B"/>
    <w:rsid w:val="009D0C38"/>
    <w:rsid w:val="009D0E2F"/>
    <w:rsid w:val="009D18EF"/>
    <w:rsid w:val="009D34ED"/>
    <w:rsid w:val="009D4BED"/>
    <w:rsid w:val="009D5FB0"/>
    <w:rsid w:val="009D6B83"/>
    <w:rsid w:val="009D7074"/>
    <w:rsid w:val="009D73D1"/>
    <w:rsid w:val="009D7A99"/>
    <w:rsid w:val="009E2A73"/>
    <w:rsid w:val="009E31DF"/>
    <w:rsid w:val="009E3553"/>
    <w:rsid w:val="009E3CB9"/>
    <w:rsid w:val="009E486B"/>
    <w:rsid w:val="009E4A2B"/>
    <w:rsid w:val="009E5E95"/>
    <w:rsid w:val="009E6338"/>
    <w:rsid w:val="009E6780"/>
    <w:rsid w:val="009E67EE"/>
    <w:rsid w:val="009E6B6C"/>
    <w:rsid w:val="009E77DE"/>
    <w:rsid w:val="009E7FB8"/>
    <w:rsid w:val="009F0365"/>
    <w:rsid w:val="009F044E"/>
    <w:rsid w:val="009F0B04"/>
    <w:rsid w:val="009F0F20"/>
    <w:rsid w:val="009F15CD"/>
    <w:rsid w:val="009F3A75"/>
    <w:rsid w:val="009F4552"/>
    <w:rsid w:val="009F58AA"/>
    <w:rsid w:val="009F5B77"/>
    <w:rsid w:val="009F5F56"/>
    <w:rsid w:val="009F6156"/>
    <w:rsid w:val="009F6197"/>
    <w:rsid w:val="009F63D7"/>
    <w:rsid w:val="009F6A9E"/>
    <w:rsid w:val="009F6BF9"/>
    <w:rsid w:val="00A01043"/>
    <w:rsid w:val="00A011B7"/>
    <w:rsid w:val="00A01414"/>
    <w:rsid w:val="00A01F8A"/>
    <w:rsid w:val="00A02227"/>
    <w:rsid w:val="00A023FC"/>
    <w:rsid w:val="00A027AF"/>
    <w:rsid w:val="00A02840"/>
    <w:rsid w:val="00A03FB8"/>
    <w:rsid w:val="00A04654"/>
    <w:rsid w:val="00A05195"/>
    <w:rsid w:val="00A05E21"/>
    <w:rsid w:val="00A060BC"/>
    <w:rsid w:val="00A063F0"/>
    <w:rsid w:val="00A11224"/>
    <w:rsid w:val="00A125B1"/>
    <w:rsid w:val="00A12802"/>
    <w:rsid w:val="00A13A9B"/>
    <w:rsid w:val="00A14484"/>
    <w:rsid w:val="00A14C8E"/>
    <w:rsid w:val="00A15981"/>
    <w:rsid w:val="00A15AD9"/>
    <w:rsid w:val="00A15D09"/>
    <w:rsid w:val="00A163E4"/>
    <w:rsid w:val="00A20585"/>
    <w:rsid w:val="00A211D3"/>
    <w:rsid w:val="00A21F8C"/>
    <w:rsid w:val="00A23074"/>
    <w:rsid w:val="00A23477"/>
    <w:rsid w:val="00A2361F"/>
    <w:rsid w:val="00A23CA8"/>
    <w:rsid w:val="00A23CF7"/>
    <w:rsid w:val="00A24CC3"/>
    <w:rsid w:val="00A24DAF"/>
    <w:rsid w:val="00A24EE0"/>
    <w:rsid w:val="00A26545"/>
    <w:rsid w:val="00A267E9"/>
    <w:rsid w:val="00A27ED6"/>
    <w:rsid w:val="00A300E3"/>
    <w:rsid w:val="00A30895"/>
    <w:rsid w:val="00A30EFF"/>
    <w:rsid w:val="00A31C58"/>
    <w:rsid w:val="00A31EB0"/>
    <w:rsid w:val="00A32663"/>
    <w:rsid w:val="00A327E7"/>
    <w:rsid w:val="00A340F3"/>
    <w:rsid w:val="00A34441"/>
    <w:rsid w:val="00A347F6"/>
    <w:rsid w:val="00A35223"/>
    <w:rsid w:val="00A354A5"/>
    <w:rsid w:val="00A3550D"/>
    <w:rsid w:val="00A35A01"/>
    <w:rsid w:val="00A35E04"/>
    <w:rsid w:val="00A35E26"/>
    <w:rsid w:val="00A3607C"/>
    <w:rsid w:val="00A37124"/>
    <w:rsid w:val="00A37E2C"/>
    <w:rsid w:val="00A40C49"/>
    <w:rsid w:val="00A41A7F"/>
    <w:rsid w:val="00A421CD"/>
    <w:rsid w:val="00A43296"/>
    <w:rsid w:val="00A43364"/>
    <w:rsid w:val="00A438FB"/>
    <w:rsid w:val="00A45D1A"/>
    <w:rsid w:val="00A4600B"/>
    <w:rsid w:val="00A47AAA"/>
    <w:rsid w:val="00A519CF"/>
    <w:rsid w:val="00A52EFE"/>
    <w:rsid w:val="00A53076"/>
    <w:rsid w:val="00A544CE"/>
    <w:rsid w:val="00A548A4"/>
    <w:rsid w:val="00A56065"/>
    <w:rsid w:val="00A570BA"/>
    <w:rsid w:val="00A57996"/>
    <w:rsid w:val="00A609F7"/>
    <w:rsid w:val="00A61657"/>
    <w:rsid w:val="00A62558"/>
    <w:rsid w:val="00A64315"/>
    <w:rsid w:val="00A644D3"/>
    <w:rsid w:val="00A651FB"/>
    <w:rsid w:val="00A667A3"/>
    <w:rsid w:val="00A6783C"/>
    <w:rsid w:val="00A71D79"/>
    <w:rsid w:val="00A725DF"/>
    <w:rsid w:val="00A73917"/>
    <w:rsid w:val="00A73BC2"/>
    <w:rsid w:val="00A7428E"/>
    <w:rsid w:val="00A74B90"/>
    <w:rsid w:val="00A756AC"/>
    <w:rsid w:val="00A75C6B"/>
    <w:rsid w:val="00A76472"/>
    <w:rsid w:val="00A76BEB"/>
    <w:rsid w:val="00A77534"/>
    <w:rsid w:val="00A77ECF"/>
    <w:rsid w:val="00A808DA"/>
    <w:rsid w:val="00A81262"/>
    <w:rsid w:val="00A8148D"/>
    <w:rsid w:val="00A81C06"/>
    <w:rsid w:val="00A81FA1"/>
    <w:rsid w:val="00A823D4"/>
    <w:rsid w:val="00A829C7"/>
    <w:rsid w:val="00A829CF"/>
    <w:rsid w:val="00A82F65"/>
    <w:rsid w:val="00A83384"/>
    <w:rsid w:val="00A838AE"/>
    <w:rsid w:val="00A84CB4"/>
    <w:rsid w:val="00A84EEC"/>
    <w:rsid w:val="00A85D10"/>
    <w:rsid w:val="00A866A8"/>
    <w:rsid w:val="00A87466"/>
    <w:rsid w:val="00A879A5"/>
    <w:rsid w:val="00A900CD"/>
    <w:rsid w:val="00A90E68"/>
    <w:rsid w:val="00A90F2E"/>
    <w:rsid w:val="00A911A9"/>
    <w:rsid w:val="00A91D4D"/>
    <w:rsid w:val="00A92455"/>
    <w:rsid w:val="00A92786"/>
    <w:rsid w:val="00A928D4"/>
    <w:rsid w:val="00A93209"/>
    <w:rsid w:val="00A935FA"/>
    <w:rsid w:val="00A936CD"/>
    <w:rsid w:val="00A9393E"/>
    <w:rsid w:val="00A93EB4"/>
    <w:rsid w:val="00A94970"/>
    <w:rsid w:val="00A96514"/>
    <w:rsid w:val="00A96EF3"/>
    <w:rsid w:val="00AA0286"/>
    <w:rsid w:val="00AA1A63"/>
    <w:rsid w:val="00AA2EAF"/>
    <w:rsid w:val="00AA2FD3"/>
    <w:rsid w:val="00AA3A7F"/>
    <w:rsid w:val="00AA3C36"/>
    <w:rsid w:val="00AA4E9C"/>
    <w:rsid w:val="00AA51B0"/>
    <w:rsid w:val="00AA67E7"/>
    <w:rsid w:val="00AA6CE0"/>
    <w:rsid w:val="00AA6D33"/>
    <w:rsid w:val="00AA6F56"/>
    <w:rsid w:val="00AA715F"/>
    <w:rsid w:val="00AA7281"/>
    <w:rsid w:val="00AA7CA8"/>
    <w:rsid w:val="00AA7CE0"/>
    <w:rsid w:val="00AA7EFD"/>
    <w:rsid w:val="00AB02F3"/>
    <w:rsid w:val="00AB1E4E"/>
    <w:rsid w:val="00AB2626"/>
    <w:rsid w:val="00AB274E"/>
    <w:rsid w:val="00AB324A"/>
    <w:rsid w:val="00AB6C6C"/>
    <w:rsid w:val="00AB7157"/>
    <w:rsid w:val="00AB75DB"/>
    <w:rsid w:val="00AB777E"/>
    <w:rsid w:val="00AB7EE2"/>
    <w:rsid w:val="00AC30B4"/>
    <w:rsid w:val="00AC3A6D"/>
    <w:rsid w:val="00AC44B6"/>
    <w:rsid w:val="00AC4541"/>
    <w:rsid w:val="00AC45BC"/>
    <w:rsid w:val="00AC4D3F"/>
    <w:rsid w:val="00AC514F"/>
    <w:rsid w:val="00AC51F6"/>
    <w:rsid w:val="00AC57EC"/>
    <w:rsid w:val="00AC61AA"/>
    <w:rsid w:val="00AC61F1"/>
    <w:rsid w:val="00AC6DEE"/>
    <w:rsid w:val="00AC718C"/>
    <w:rsid w:val="00AD14E2"/>
    <w:rsid w:val="00AD1BAC"/>
    <w:rsid w:val="00AD23AE"/>
    <w:rsid w:val="00AD32B0"/>
    <w:rsid w:val="00AD3DF2"/>
    <w:rsid w:val="00AD411D"/>
    <w:rsid w:val="00AD7964"/>
    <w:rsid w:val="00AE0B4A"/>
    <w:rsid w:val="00AE0D9A"/>
    <w:rsid w:val="00AE1ED5"/>
    <w:rsid w:val="00AE2CEB"/>
    <w:rsid w:val="00AE3580"/>
    <w:rsid w:val="00AE417E"/>
    <w:rsid w:val="00AE4EFF"/>
    <w:rsid w:val="00AE4F90"/>
    <w:rsid w:val="00AE5460"/>
    <w:rsid w:val="00AE5AD3"/>
    <w:rsid w:val="00AE5B70"/>
    <w:rsid w:val="00AE5CAA"/>
    <w:rsid w:val="00AE6053"/>
    <w:rsid w:val="00AE60F8"/>
    <w:rsid w:val="00AE69DA"/>
    <w:rsid w:val="00AE6DE8"/>
    <w:rsid w:val="00AE772A"/>
    <w:rsid w:val="00AE7763"/>
    <w:rsid w:val="00AE7F0E"/>
    <w:rsid w:val="00AF033D"/>
    <w:rsid w:val="00AF0FEA"/>
    <w:rsid w:val="00AF150E"/>
    <w:rsid w:val="00AF21E0"/>
    <w:rsid w:val="00AF3740"/>
    <w:rsid w:val="00AF48B0"/>
    <w:rsid w:val="00AF4A10"/>
    <w:rsid w:val="00AF5EB8"/>
    <w:rsid w:val="00AF6E59"/>
    <w:rsid w:val="00AF70A4"/>
    <w:rsid w:val="00AF739B"/>
    <w:rsid w:val="00B0087B"/>
    <w:rsid w:val="00B00D33"/>
    <w:rsid w:val="00B01295"/>
    <w:rsid w:val="00B016FD"/>
    <w:rsid w:val="00B04433"/>
    <w:rsid w:val="00B04A31"/>
    <w:rsid w:val="00B050ED"/>
    <w:rsid w:val="00B052E4"/>
    <w:rsid w:val="00B05409"/>
    <w:rsid w:val="00B0576B"/>
    <w:rsid w:val="00B05BCB"/>
    <w:rsid w:val="00B05C99"/>
    <w:rsid w:val="00B064EB"/>
    <w:rsid w:val="00B06D2C"/>
    <w:rsid w:val="00B0706F"/>
    <w:rsid w:val="00B0716F"/>
    <w:rsid w:val="00B0731E"/>
    <w:rsid w:val="00B07D5B"/>
    <w:rsid w:val="00B1068C"/>
    <w:rsid w:val="00B10FC0"/>
    <w:rsid w:val="00B11120"/>
    <w:rsid w:val="00B12D74"/>
    <w:rsid w:val="00B13419"/>
    <w:rsid w:val="00B135E9"/>
    <w:rsid w:val="00B13B74"/>
    <w:rsid w:val="00B14B12"/>
    <w:rsid w:val="00B15B17"/>
    <w:rsid w:val="00B15DA1"/>
    <w:rsid w:val="00B16D6D"/>
    <w:rsid w:val="00B16EA5"/>
    <w:rsid w:val="00B171CC"/>
    <w:rsid w:val="00B17735"/>
    <w:rsid w:val="00B20047"/>
    <w:rsid w:val="00B23612"/>
    <w:rsid w:val="00B23797"/>
    <w:rsid w:val="00B23C4A"/>
    <w:rsid w:val="00B23DC3"/>
    <w:rsid w:val="00B24DAB"/>
    <w:rsid w:val="00B252CD"/>
    <w:rsid w:val="00B26340"/>
    <w:rsid w:val="00B2657E"/>
    <w:rsid w:val="00B26998"/>
    <w:rsid w:val="00B26B97"/>
    <w:rsid w:val="00B26F33"/>
    <w:rsid w:val="00B27201"/>
    <w:rsid w:val="00B27C5F"/>
    <w:rsid w:val="00B30961"/>
    <w:rsid w:val="00B30D4F"/>
    <w:rsid w:val="00B32E32"/>
    <w:rsid w:val="00B332BD"/>
    <w:rsid w:val="00B333C5"/>
    <w:rsid w:val="00B334FE"/>
    <w:rsid w:val="00B3363E"/>
    <w:rsid w:val="00B34709"/>
    <w:rsid w:val="00B348A7"/>
    <w:rsid w:val="00B357D8"/>
    <w:rsid w:val="00B360A4"/>
    <w:rsid w:val="00B36B15"/>
    <w:rsid w:val="00B37970"/>
    <w:rsid w:val="00B37A99"/>
    <w:rsid w:val="00B4048B"/>
    <w:rsid w:val="00B409EF"/>
    <w:rsid w:val="00B43265"/>
    <w:rsid w:val="00B437A5"/>
    <w:rsid w:val="00B4485B"/>
    <w:rsid w:val="00B45136"/>
    <w:rsid w:val="00B4564A"/>
    <w:rsid w:val="00B4593E"/>
    <w:rsid w:val="00B46D6C"/>
    <w:rsid w:val="00B47849"/>
    <w:rsid w:val="00B5062C"/>
    <w:rsid w:val="00B506F5"/>
    <w:rsid w:val="00B50D54"/>
    <w:rsid w:val="00B52395"/>
    <w:rsid w:val="00B52A24"/>
    <w:rsid w:val="00B52B3B"/>
    <w:rsid w:val="00B52CFD"/>
    <w:rsid w:val="00B53A50"/>
    <w:rsid w:val="00B53B0C"/>
    <w:rsid w:val="00B5430E"/>
    <w:rsid w:val="00B54CB3"/>
    <w:rsid w:val="00B54D13"/>
    <w:rsid w:val="00B55A9B"/>
    <w:rsid w:val="00B56412"/>
    <w:rsid w:val="00B5656E"/>
    <w:rsid w:val="00B56B55"/>
    <w:rsid w:val="00B570D8"/>
    <w:rsid w:val="00B5777E"/>
    <w:rsid w:val="00B579DE"/>
    <w:rsid w:val="00B6026A"/>
    <w:rsid w:val="00B610A3"/>
    <w:rsid w:val="00B61113"/>
    <w:rsid w:val="00B61F29"/>
    <w:rsid w:val="00B61FF4"/>
    <w:rsid w:val="00B637B9"/>
    <w:rsid w:val="00B64E17"/>
    <w:rsid w:val="00B661B6"/>
    <w:rsid w:val="00B66B88"/>
    <w:rsid w:val="00B66D4A"/>
    <w:rsid w:val="00B67088"/>
    <w:rsid w:val="00B671D9"/>
    <w:rsid w:val="00B7016D"/>
    <w:rsid w:val="00B70B15"/>
    <w:rsid w:val="00B71959"/>
    <w:rsid w:val="00B7196F"/>
    <w:rsid w:val="00B73214"/>
    <w:rsid w:val="00B7344A"/>
    <w:rsid w:val="00B740AC"/>
    <w:rsid w:val="00B74FE2"/>
    <w:rsid w:val="00B75829"/>
    <w:rsid w:val="00B766F9"/>
    <w:rsid w:val="00B77C67"/>
    <w:rsid w:val="00B80364"/>
    <w:rsid w:val="00B803B1"/>
    <w:rsid w:val="00B80EC8"/>
    <w:rsid w:val="00B82920"/>
    <w:rsid w:val="00B839E8"/>
    <w:rsid w:val="00B83FBA"/>
    <w:rsid w:val="00B83FDF"/>
    <w:rsid w:val="00B84038"/>
    <w:rsid w:val="00B84296"/>
    <w:rsid w:val="00B84346"/>
    <w:rsid w:val="00B84D40"/>
    <w:rsid w:val="00B85486"/>
    <w:rsid w:val="00B862FA"/>
    <w:rsid w:val="00B864F0"/>
    <w:rsid w:val="00B90746"/>
    <w:rsid w:val="00B9084A"/>
    <w:rsid w:val="00B910B1"/>
    <w:rsid w:val="00B914F8"/>
    <w:rsid w:val="00B91B62"/>
    <w:rsid w:val="00B9324E"/>
    <w:rsid w:val="00B937E4"/>
    <w:rsid w:val="00B942B3"/>
    <w:rsid w:val="00B94C73"/>
    <w:rsid w:val="00B967C5"/>
    <w:rsid w:val="00B96A88"/>
    <w:rsid w:val="00B9728F"/>
    <w:rsid w:val="00B97E10"/>
    <w:rsid w:val="00BA0E26"/>
    <w:rsid w:val="00BA0E7D"/>
    <w:rsid w:val="00BA126B"/>
    <w:rsid w:val="00BA166B"/>
    <w:rsid w:val="00BA19F7"/>
    <w:rsid w:val="00BA2011"/>
    <w:rsid w:val="00BA22C0"/>
    <w:rsid w:val="00BA3CE9"/>
    <w:rsid w:val="00BA3EDE"/>
    <w:rsid w:val="00BA4199"/>
    <w:rsid w:val="00BA4F1F"/>
    <w:rsid w:val="00BA51A8"/>
    <w:rsid w:val="00BA5882"/>
    <w:rsid w:val="00BA5C82"/>
    <w:rsid w:val="00BA6231"/>
    <w:rsid w:val="00BA68B0"/>
    <w:rsid w:val="00BA72D1"/>
    <w:rsid w:val="00BA77B6"/>
    <w:rsid w:val="00BA7CEE"/>
    <w:rsid w:val="00BB03B3"/>
    <w:rsid w:val="00BB0794"/>
    <w:rsid w:val="00BB0EBD"/>
    <w:rsid w:val="00BB121E"/>
    <w:rsid w:val="00BB1266"/>
    <w:rsid w:val="00BB23BA"/>
    <w:rsid w:val="00BB244F"/>
    <w:rsid w:val="00BB2709"/>
    <w:rsid w:val="00BB3474"/>
    <w:rsid w:val="00BB43CE"/>
    <w:rsid w:val="00BB4894"/>
    <w:rsid w:val="00BB4C9F"/>
    <w:rsid w:val="00BB4D4C"/>
    <w:rsid w:val="00BB50FF"/>
    <w:rsid w:val="00BB5300"/>
    <w:rsid w:val="00BB53F3"/>
    <w:rsid w:val="00BB546A"/>
    <w:rsid w:val="00BB65D4"/>
    <w:rsid w:val="00BB67BA"/>
    <w:rsid w:val="00BB76D5"/>
    <w:rsid w:val="00BC0170"/>
    <w:rsid w:val="00BC09E9"/>
    <w:rsid w:val="00BC0A90"/>
    <w:rsid w:val="00BC1263"/>
    <w:rsid w:val="00BC2216"/>
    <w:rsid w:val="00BC29C8"/>
    <w:rsid w:val="00BC33E3"/>
    <w:rsid w:val="00BC380D"/>
    <w:rsid w:val="00BC38EF"/>
    <w:rsid w:val="00BC455F"/>
    <w:rsid w:val="00BC47EB"/>
    <w:rsid w:val="00BC4A7A"/>
    <w:rsid w:val="00BC4FBC"/>
    <w:rsid w:val="00BC5893"/>
    <w:rsid w:val="00BC7750"/>
    <w:rsid w:val="00BD08C9"/>
    <w:rsid w:val="00BD0F06"/>
    <w:rsid w:val="00BD2008"/>
    <w:rsid w:val="00BD20E2"/>
    <w:rsid w:val="00BD21D2"/>
    <w:rsid w:val="00BD3BDB"/>
    <w:rsid w:val="00BD52A8"/>
    <w:rsid w:val="00BD7452"/>
    <w:rsid w:val="00BD7933"/>
    <w:rsid w:val="00BD7B87"/>
    <w:rsid w:val="00BE08A8"/>
    <w:rsid w:val="00BE0A96"/>
    <w:rsid w:val="00BE1343"/>
    <w:rsid w:val="00BE2DF5"/>
    <w:rsid w:val="00BE32EC"/>
    <w:rsid w:val="00BE3B08"/>
    <w:rsid w:val="00BE4218"/>
    <w:rsid w:val="00BE5D9C"/>
    <w:rsid w:val="00BE5EC0"/>
    <w:rsid w:val="00BE628B"/>
    <w:rsid w:val="00BE7B10"/>
    <w:rsid w:val="00BE7BE8"/>
    <w:rsid w:val="00BE7C25"/>
    <w:rsid w:val="00BE7D65"/>
    <w:rsid w:val="00BF008F"/>
    <w:rsid w:val="00BF0991"/>
    <w:rsid w:val="00BF1532"/>
    <w:rsid w:val="00BF1C5C"/>
    <w:rsid w:val="00BF2EF2"/>
    <w:rsid w:val="00BF3152"/>
    <w:rsid w:val="00BF4199"/>
    <w:rsid w:val="00BF49A4"/>
    <w:rsid w:val="00BF4E96"/>
    <w:rsid w:val="00BF56FB"/>
    <w:rsid w:val="00BF5DE3"/>
    <w:rsid w:val="00BF610C"/>
    <w:rsid w:val="00BF6933"/>
    <w:rsid w:val="00BF79A1"/>
    <w:rsid w:val="00C000CF"/>
    <w:rsid w:val="00C00938"/>
    <w:rsid w:val="00C01192"/>
    <w:rsid w:val="00C011CB"/>
    <w:rsid w:val="00C01E61"/>
    <w:rsid w:val="00C03177"/>
    <w:rsid w:val="00C03254"/>
    <w:rsid w:val="00C0329B"/>
    <w:rsid w:val="00C03336"/>
    <w:rsid w:val="00C0371F"/>
    <w:rsid w:val="00C03CBC"/>
    <w:rsid w:val="00C03E08"/>
    <w:rsid w:val="00C041A6"/>
    <w:rsid w:val="00C04E14"/>
    <w:rsid w:val="00C0515A"/>
    <w:rsid w:val="00C05F18"/>
    <w:rsid w:val="00C061E9"/>
    <w:rsid w:val="00C07494"/>
    <w:rsid w:val="00C1004B"/>
    <w:rsid w:val="00C100E1"/>
    <w:rsid w:val="00C12064"/>
    <w:rsid w:val="00C1243B"/>
    <w:rsid w:val="00C125C1"/>
    <w:rsid w:val="00C125F8"/>
    <w:rsid w:val="00C12FC9"/>
    <w:rsid w:val="00C13509"/>
    <w:rsid w:val="00C13937"/>
    <w:rsid w:val="00C13A77"/>
    <w:rsid w:val="00C14998"/>
    <w:rsid w:val="00C14B27"/>
    <w:rsid w:val="00C154BF"/>
    <w:rsid w:val="00C154C9"/>
    <w:rsid w:val="00C15684"/>
    <w:rsid w:val="00C16799"/>
    <w:rsid w:val="00C1684E"/>
    <w:rsid w:val="00C16F0D"/>
    <w:rsid w:val="00C17E15"/>
    <w:rsid w:val="00C20A32"/>
    <w:rsid w:val="00C21E07"/>
    <w:rsid w:val="00C223AB"/>
    <w:rsid w:val="00C227F4"/>
    <w:rsid w:val="00C23188"/>
    <w:rsid w:val="00C2338B"/>
    <w:rsid w:val="00C23F01"/>
    <w:rsid w:val="00C2439B"/>
    <w:rsid w:val="00C24434"/>
    <w:rsid w:val="00C24E62"/>
    <w:rsid w:val="00C2512E"/>
    <w:rsid w:val="00C25361"/>
    <w:rsid w:val="00C26A82"/>
    <w:rsid w:val="00C26BE5"/>
    <w:rsid w:val="00C26D64"/>
    <w:rsid w:val="00C275A1"/>
    <w:rsid w:val="00C27A0E"/>
    <w:rsid w:val="00C300AD"/>
    <w:rsid w:val="00C30C17"/>
    <w:rsid w:val="00C30EA8"/>
    <w:rsid w:val="00C31114"/>
    <w:rsid w:val="00C31F4D"/>
    <w:rsid w:val="00C323DE"/>
    <w:rsid w:val="00C32B6F"/>
    <w:rsid w:val="00C33090"/>
    <w:rsid w:val="00C33181"/>
    <w:rsid w:val="00C33544"/>
    <w:rsid w:val="00C3367D"/>
    <w:rsid w:val="00C3383A"/>
    <w:rsid w:val="00C33C78"/>
    <w:rsid w:val="00C3401A"/>
    <w:rsid w:val="00C342E7"/>
    <w:rsid w:val="00C3477D"/>
    <w:rsid w:val="00C34C9E"/>
    <w:rsid w:val="00C359BC"/>
    <w:rsid w:val="00C36F8B"/>
    <w:rsid w:val="00C37743"/>
    <w:rsid w:val="00C3788B"/>
    <w:rsid w:val="00C40FE6"/>
    <w:rsid w:val="00C425D7"/>
    <w:rsid w:val="00C43BE9"/>
    <w:rsid w:val="00C44EA0"/>
    <w:rsid w:val="00C45109"/>
    <w:rsid w:val="00C4553F"/>
    <w:rsid w:val="00C45B48"/>
    <w:rsid w:val="00C45EFD"/>
    <w:rsid w:val="00C464C1"/>
    <w:rsid w:val="00C47118"/>
    <w:rsid w:val="00C471DA"/>
    <w:rsid w:val="00C4726F"/>
    <w:rsid w:val="00C500F0"/>
    <w:rsid w:val="00C503B4"/>
    <w:rsid w:val="00C50814"/>
    <w:rsid w:val="00C51121"/>
    <w:rsid w:val="00C51AA9"/>
    <w:rsid w:val="00C51FC7"/>
    <w:rsid w:val="00C52E6B"/>
    <w:rsid w:val="00C5388F"/>
    <w:rsid w:val="00C54251"/>
    <w:rsid w:val="00C55B89"/>
    <w:rsid w:val="00C57D15"/>
    <w:rsid w:val="00C61175"/>
    <w:rsid w:val="00C61574"/>
    <w:rsid w:val="00C61CD9"/>
    <w:rsid w:val="00C6216D"/>
    <w:rsid w:val="00C656E7"/>
    <w:rsid w:val="00C657F2"/>
    <w:rsid w:val="00C660B6"/>
    <w:rsid w:val="00C67179"/>
    <w:rsid w:val="00C678B7"/>
    <w:rsid w:val="00C70552"/>
    <w:rsid w:val="00C710B8"/>
    <w:rsid w:val="00C71AAE"/>
    <w:rsid w:val="00C73546"/>
    <w:rsid w:val="00C73FBE"/>
    <w:rsid w:val="00C74E07"/>
    <w:rsid w:val="00C75430"/>
    <w:rsid w:val="00C75FB0"/>
    <w:rsid w:val="00C7680B"/>
    <w:rsid w:val="00C76AE0"/>
    <w:rsid w:val="00C76D5E"/>
    <w:rsid w:val="00C773C7"/>
    <w:rsid w:val="00C803DF"/>
    <w:rsid w:val="00C80B85"/>
    <w:rsid w:val="00C80F64"/>
    <w:rsid w:val="00C81973"/>
    <w:rsid w:val="00C81A8D"/>
    <w:rsid w:val="00C81D21"/>
    <w:rsid w:val="00C81D75"/>
    <w:rsid w:val="00C83DC7"/>
    <w:rsid w:val="00C8496E"/>
    <w:rsid w:val="00C84F61"/>
    <w:rsid w:val="00C84F70"/>
    <w:rsid w:val="00C85EB5"/>
    <w:rsid w:val="00C864E0"/>
    <w:rsid w:val="00C86D9E"/>
    <w:rsid w:val="00C874B6"/>
    <w:rsid w:val="00C87C02"/>
    <w:rsid w:val="00C91A4C"/>
    <w:rsid w:val="00C91D63"/>
    <w:rsid w:val="00C922E9"/>
    <w:rsid w:val="00C92392"/>
    <w:rsid w:val="00C9246C"/>
    <w:rsid w:val="00C949E8"/>
    <w:rsid w:val="00C94AB1"/>
    <w:rsid w:val="00C94EE0"/>
    <w:rsid w:val="00C96178"/>
    <w:rsid w:val="00C96CCC"/>
    <w:rsid w:val="00C97FD1"/>
    <w:rsid w:val="00CA038E"/>
    <w:rsid w:val="00CA0891"/>
    <w:rsid w:val="00CA10A2"/>
    <w:rsid w:val="00CA1229"/>
    <w:rsid w:val="00CA3188"/>
    <w:rsid w:val="00CA349B"/>
    <w:rsid w:val="00CA35DB"/>
    <w:rsid w:val="00CA4392"/>
    <w:rsid w:val="00CA4931"/>
    <w:rsid w:val="00CA5A17"/>
    <w:rsid w:val="00CA5A6F"/>
    <w:rsid w:val="00CA6AD6"/>
    <w:rsid w:val="00CA7965"/>
    <w:rsid w:val="00CA7F5B"/>
    <w:rsid w:val="00CB0160"/>
    <w:rsid w:val="00CB0D83"/>
    <w:rsid w:val="00CB1E3A"/>
    <w:rsid w:val="00CB1F17"/>
    <w:rsid w:val="00CB309B"/>
    <w:rsid w:val="00CB4365"/>
    <w:rsid w:val="00CB50D9"/>
    <w:rsid w:val="00CB5284"/>
    <w:rsid w:val="00CB5307"/>
    <w:rsid w:val="00CB54DA"/>
    <w:rsid w:val="00CB5E15"/>
    <w:rsid w:val="00CB6697"/>
    <w:rsid w:val="00CB7614"/>
    <w:rsid w:val="00CB7CB5"/>
    <w:rsid w:val="00CC0451"/>
    <w:rsid w:val="00CC11D1"/>
    <w:rsid w:val="00CC1847"/>
    <w:rsid w:val="00CC1871"/>
    <w:rsid w:val="00CC2C65"/>
    <w:rsid w:val="00CC39A9"/>
    <w:rsid w:val="00CC44BF"/>
    <w:rsid w:val="00CC45B2"/>
    <w:rsid w:val="00CC4DC5"/>
    <w:rsid w:val="00CC5EA8"/>
    <w:rsid w:val="00CC70C5"/>
    <w:rsid w:val="00CC71EE"/>
    <w:rsid w:val="00CC7465"/>
    <w:rsid w:val="00CC788E"/>
    <w:rsid w:val="00CD0FAB"/>
    <w:rsid w:val="00CD11F8"/>
    <w:rsid w:val="00CD16F8"/>
    <w:rsid w:val="00CD2C2C"/>
    <w:rsid w:val="00CD2F90"/>
    <w:rsid w:val="00CD307F"/>
    <w:rsid w:val="00CD4873"/>
    <w:rsid w:val="00CD5047"/>
    <w:rsid w:val="00CD5BC0"/>
    <w:rsid w:val="00CD64ED"/>
    <w:rsid w:val="00CD7961"/>
    <w:rsid w:val="00CD79AE"/>
    <w:rsid w:val="00CD7E61"/>
    <w:rsid w:val="00CE09C1"/>
    <w:rsid w:val="00CE0A77"/>
    <w:rsid w:val="00CE0EBF"/>
    <w:rsid w:val="00CE1B59"/>
    <w:rsid w:val="00CE2C92"/>
    <w:rsid w:val="00CE49B6"/>
    <w:rsid w:val="00CE4FF6"/>
    <w:rsid w:val="00CE537D"/>
    <w:rsid w:val="00CE565F"/>
    <w:rsid w:val="00CE599B"/>
    <w:rsid w:val="00CE5D3E"/>
    <w:rsid w:val="00CE5DF7"/>
    <w:rsid w:val="00CE6039"/>
    <w:rsid w:val="00CF0C47"/>
    <w:rsid w:val="00CF2201"/>
    <w:rsid w:val="00CF224D"/>
    <w:rsid w:val="00CF2E26"/>
    <w:rsid w:val="00CF3362"/>
    <w:rsid w:val="00CF341E"/>
    <w:rsid w:val="00CF3764"/>
    <w:rsid w:val="00CF40AF"/>
    <w:rsid w:val="00CF51B4"/>
    <w:rsid w:val="00CF5297"/>
    <w:rsid w:val="00CF538B"/>
    <w:rsid w:val="00CF5C20"/>
    <w:rsid w:val="00CF6049"/>
    <w:rsid w:val="00CF651E"/>
    <w:rsid w:val="00CF6B26"/>
    <w:rsid w:val="00CF6CBB"/>
    <w:rsid w:val="00CF7404"/>
    <w:rsid w:val="00CF7926"/>
    <w:rsid w:val="00CF7ADF"/>
    <w:rsid w:val="00CF7F59"/>
    <w:rsid w:val="00D007CC"/>
    <w:rsid w:val="00D01003"/>
    <w:rsid w:val="00D01A99"/>
    <w:rsid w:val="00D02848"/>
    <w:rsid w:val="00D02D8C"/>
    <w:rsid w:val="00D02E9D"/>
    <w:rsid w:val="00D03703"/>
    <w:rsid w:val="00D042F4"/>
    <w:rsid w:val="00D0463E"/>
    <w:rsid w:val="00D0478A"/>
    <w:rsid w:val="00D04B4B"/>
    <w:rsid w:val="00D04B58"/>
    <w:rsid w:val="00D053D5"/>
    <w:rsid w:val="00D07730"/>
    <w:rsid w:val="00D07B10"/>
    <w:rsid w:val="00D07C1B"/>
    <w:rsid w:val="00D07D53"/>
    <w:rsid w:val="00D10B71"/>
    <w:rsid w:val="00D1150A"/>
    <w:rsid w:val="00D11750"/>
    <w:rsid w:val="00D12415"/>
    <w:rsid w:val="00D13DD0"/>
    <w:rsid w:val="00D1510F"/>
    <w:rsid w:val="00D15395"/>
    <w:rsid w:val="00D155C4"/>
    <w:rsid w:val="00D159E8"/>
    <w:rsid w:val="00D16F10"/>
    <w:rsid w:val="00D172B7"/>
    <w:rsid w:val="00D1735E"/>
    <w:rsid w:val="00D201B3"/>
    <w:rsid w:val="00D2221F"/>
    <w:rsid w:val="00D231D2"/>
    <w:rsid w:val="00D2388A"/>
    <w:rsid w:val="00D2491B"/>
    <w:rsid w:val="00D25F32"/>
    <w:rsid w:val="00D25FC8"/>
    <w:rsid w:val="00D262DC"/>
    <w:rsid w:val="00D26CF9"/>
    <w:rsid w:val="00D27D8B"/>
    <w:rsid w:val="00D3046D"/>
    <w:rsid w:val="00D30509"/>
    <w:rsid w:val="00D3069B"/>
    <w:rsid w:val="00D306E2"/>
    <w:rsid w:val="00D317F8"/>
    <w:rsid w:val="00D31870"/>
    <w:rsid w:val="00D32B29"/>
    <w:rsid w:val="00D32FAC"/>
    <w:rsid w:val="00D33321"/>
    <w:rsid w:val="00D33764"/>
    <w:rsid w:val="00D33AFF"/>
    <w:rsid w:val="00D33DC8"/>
    <w:rsid w:val="00D35FB8"/>
    <w:rsid w:val="00D36649"/>
    <w:rsid w:val="00D36715"/>
    <w:rsid w:val="00D36B9A"/>
    <w:rsid w:val="00D370A7"/>
    <w:rsid w:val="00D371F7"/>
    <w:rsid w:val="00D37B42"/>
    <w:rsid w:val="00D37C89"/>
    <w:rsid w:val="00D37EE5"/>
    <w:rsid w:val="00D40366"/>
    <w:rsid w:val="00D4058A"/>
    <w:rsid w:val="00D406B0"/>
    <w:rsid w:val="00D416AD"/>
    <w:rsid w:val="00D42270"/>
    <w:rsid w:val="00D432F2"/>
    <w:rsid w:val="00D4344A"/>
    <w:rsid w:val="00D435D6"/>
    <w:rsid w:val="00D44ECA"/>
    <w:rsid w:val="00D45802"/>
    <w:rsid w:val="00D4609D"/>
    <w:rsid w:val="00D47A64"/>
    <w:rsid w:val="00D502CE"/>
    <w:rsid w:val="00D5044F"/>
    <w:rsid w:val="00D50517"/>
    <w:rsid w:val="00D50740"/>
    <w:rsid w:val="00D50C67"/>
    <w:rsid w:val="00D518C1"/>
    <w:rsid w:val="00D51BAD"/>
    <w:rsid w:val="00D53267"/>
    <w:rsid w:val="00D5345C"/>
    <w:rsid w:val="00D53484"/>
    <w:rsid w:val="00D53694"/>
    <w:rsid w:val="00D53A1B"/>
    <w:rsid w:val="00D55DDD"/>
    <w:rsid w:val="00D564FE"/>
    <w:rsid w:val="00D56D83"/>
    <w:rsid w:val="00D56ECA"/>
    <w:rsid w:val="00D57013"/>
    <w:rsid w:val="00D571A7"/>
    <w:rsid w:val="00D574A0"/>
    <w:rsid w:val="00D5752F"/>
    <w:rsid w:val="00D6015A"/>
    <w:rsid w:val="00D60376"/>
    <w:rsid w:val="00D6054E"/>
    <w:rsid w:val="00D60562"/>
    <w:rsid w:val="00D605A7"/>
    <w:rsid w:val="00D61B61"/>
    <w:rsid w:val="00D61D40"/>
    <w:rsid w:val="00D62570"/>
    <w:rsid w:val="00D626EE"/>
    <w:rsid w:val="00D630BC"/>
    <w:rsid w:val="00D63AF2"/>
    <w:rsid w:val="00D63B4C"/>
    <w:rsid w:val="00D6466E"/>
    <w:rsid w:val="00D65BA0"/>
    <w:rsid w:val="00D66F8E"/>
    <w:rsid w:val="00D67E85"/>
    <w:rsid w:val="00D71AE7"/>
    <w:rsid w:val="00D7230D"/>
    <w:rsid w:val="00D72334"/>
    <w:rsid w:val="00D72886"/>
    <w:rsid w:val="00D72A9D"/>
    <w:rsid w:val="00D730C3"/>
    <w:rsid w:val="00D749DF"/>
    <w:rsid w:val="00D74A15"/>
    <w:rsid w:val="00D752FB"/>
    <w:rsid w:val="00D75585"/>
    <w:rsid w:val="00D77CB1"/>
    <w:rsid w:val="00D8149D"/>
    <w:rsid w:val="00D818F8"/>
    <w:rsid w:val="00D8239F"/>
    <w:rsid w:val="00D8268C"/>
    <w:rsid w:val="00D83F3F"/>
    <w:rsid w:val="00D83FD9"/>
    <w:rsid w:val="00D8549B"/>
    <w:rsid w:val="00D85A6B"/>
    <w:rsid w:val="00D864FD"/>
    <w:rsid w:val="00D8701D"/>
    <w:rsid w:val="00D87822"/>
    <w:rsid w:val="00D87AED"/>
    <w:rsid w:val="00D87D84"/>
    <w:rsid w:val="00D87F13"/>
    <w:rsid w:val="00D90AB2"/>
    <w:rsid w:val="00D90BFC"/>
    <w:rsid w:val="00D915D4"/>
    <w:rsid w:val="00D916F8"/>
    <w:rsid w:val="00D91A03"/>
    <w:rsid w:val="00D91C3F"/>
    <w:rsid w:val="00D939F3"/>
    <w:rsid w:val="00D9419E"/>
    <w:rsid w:val="00D94343"/>
    <w:rsid w:val="00D95489"/>
    <w:rsid w:val="00D95C2C"/>
    <w:rsid w:val="00D95C51"/>
    <w:rsid w:val="00D9605B"/>
    <w:rsid w:val="00D9653F"/>
    <w:rsid w:val="00D96BDE"/>
    <w:rsid w:val="00D97EA2"/>
    <w:rsid w:val="00DA15D0"/>
    <w:rsid w:val="00DA161F"/>
    <w:rsid w:val="00DA1798"/>
    <w:rsid w:val="00DA1A87"/>
    <w:rsid w:val="00DA1CCF"/>
    <w:rsid w:val="00DA28FA"/>
    <w:rsid w:val="00DA2DA8"/>
    <w:rsid w:val="00DA3E4A"/>
    <w:rsid w:val="00DA4436"/>
    <w:rsid w:val="00DA44E3"/>
    <w:rsid w:val="00DA54E7"/>
    <w:rsid w:val="00DA6594"/>
    <w:rsid w:val="00DA6CC5"/>
    <w:rsid w:val="00DA6CDF"/>
    <w:rsid w:val="00DB25BE"/>
    <w:rsid w:val="00DB29D2"/>
    <w:rsid w:val="00DB33D6"/>
    <w:rsid w:val="00DB3438"/>
    <w:rsid w:val="00DB344B"/>
    <w:rsid w:val="00DB3573"/>
    <w:rsid w:val="00DB3CA9"/>
    <w:rsid w:val="00DB458E"/>
    <w:rsid w:val="00DB4719"/>
    <w:rsid w:val="00DB530A"/>
    <w:rsid w:val="00DB6762"/>
    <w:rsid w:val="00DB7205"/>
    <w:rsid w:val="00DB7BB3"/>
    <w:rsid w:val="00DB7ED9"/>
    <w:rsid w:val="00DC2A0A"/>
    <w:rsid w:val="00DC30F8"/>
    <w:rsid w:val="00DC47CE"/>
    <w:rsid w:val="00DC4AE7"/>
    <w:rsid w:val="00DC5110"/>
    <w:rsid w:val="00DC66AF"/>
    <w:rsid w:val="00DC77A9"/>
    <w:rsid w:val="00DC7C04"/>
    <w:rsid w:val="00DC7CAE"/>
    <w:rsid w:val="00DC7EB8"/>
    <w:rsid w:val="00DD01C5"/>
    <w:rsid w:val="00DD0D70"/>
    <w:rsid w:val="00DD0DE9"/>
    <w:rsid w:val="00DD174F"/>
    <w:rsid w:val="00DD1F5D"/>
    <w:rsid w:val="00DD454D"/>
    <w:rsid w:val="00DD4942"/>
    <w:rsid w:val="00DD5061"/>
    <w:rsid w:val="00DD5DCA"/>
    <w:rsid w:val="00DD60AA"/>
    <w:rsid w:val="00DD764F"/>
    <w:rsid w:val="00DD76AE"/>
    <w:rsid w:val="00DD7D8A"/>
    <w:rsid w:val="00DE022D"/>
    <w:rsid w:val="00DE12C5"/>
    <w:rsid w:val="00DE1B5E"/>
    <w:rsid w:val="00DE2065"/>
    <w:rsid w:val="00DE2C8E"/>
    <w:rsid w:val="00DE2D75"/>
    <w:rsid w:val="00DE487B"/>
    <w:rsid w:val="00DE4F6E"/>
    <w:rsid w:val="00DE5B2B"/>
    <w:rsid w:val="00DE6182"/>
    <w:rsid w:val="00DE69DF"/>
    <w:rsid w:val="00DE74BC"/>
    <w:rsid w:val="00DE79EE"/>
    <w:rsid w:val="00DF17C1"/>
    <w:rsid w:val="00DF1B33"/>
    <w:rsid w:val="00DF2387"/>
    <w:rsid w:val="00DF28B9"/>
    <w:rsid w:val="00DF33BF"/>
    <w:rsid w:val="00DF430D"/>
    <w:rsid w:val="00DF4397"/>
    <w:rsid w:val="00DF4836"/>
    <w:rsid w:val="00DF4CDD"/>
    <w:rsid w:val="00DF4F86"/>
    <w:rsid w:val="00DF5160"/>
    <w:rsid w:val="00DF5D14"/>
    <w:rsid w:val="00DF6EC9"/>
    <w:rsid w:val="00DF77A3"/>
    <w:rsid w:val="00DF7965"/>
    <w:rsid w:val="00E00157"/>
    <w:rsid w:val="00E003BE"/>
    <w:rsid w:val="00E01BB4"/>
    <w:rsid w:val="00E03779"/>
    <w:rsid w:val="00E05576"/>
    <w:rsid w:val="00E06126"/>
    <w:rsid w:val="00E06279"/>
    <w:rsid w:val="00E07800"/>
    <w:rsid w:val="00E07D19"/>
    <w:rsid w:val="00E07ECB"/>
    <w:rsid w:val="00E07EEF"/>
    <w:rsid w:val="00E112CB"/>
    <w:rsid w:val="00E1157F"/>
    <w:rsid w:val="00E117DC"/>
    <w:rsid w:val="00E11BF8"/>
    <w:rsid w:val="00E12046"/>
    <w:rsid w:val="00E12447"/>
    <w:rsid w:val="00E12526"/>
    <w:rsid w:val="00E12832"/>
    <w:rsid w:val="00E133C2"/>
    <w:rsid w:val="00E13EB2"/>
    <w:rsid w:val="00E14CE7"/>
    <w:rsid w:val="00E150A2"/>
    <w:rsid w:val="00E15541"/>
    <w:rsid w:val="00E156B3"/>
    <w:rsid w:val="00E15D7E"/>
    <w:rsid w:val="00E17413"/>
    <w:rsid w:val="00E20219"/>
    <w:rsid w:val="00E20B84"/>
    <w:rsid w:val="00E222D2"/>
    <w:rsid w:val="00E22997"/>
    <w:rsid w:val="00E22F2C"/>
    <w:rsid w:val="00E23380"/>
    <w:rsid w:val="00E233E8"/>
    <w:rsid w:val="00E248E1"/>
    <w:rsid w:val="00E24C2B"/>
    <w:rsid w:val="00E2586B"/>
    <w:rsid w:val="00E25C50"/>
    <w:rsid w:val="00E25D09"/>
    <w:rsid w:val="00E267E5"/>
    <w:rsid w:val="00E272A7"/>
    <w:rsid w:val="00E304AE"/>
    <w:rsid w:val="00E322E3"/>
    <w:rsid w:val="00E32437"/>
    <w:rsid w:val="00E325DA"/>
    <w:rsid w:val="00E326C4"/>
    <w:rsid w:val="00E327F0"/>
    <w:rsid w:val="00E32BFA"/>
    <w:rsid w:val="00E33307"/>
    <w:rsid w:val="00E3450D"/>
    <w:rsid w:val="00E34B8F"/>
    <w:rsid w:val="00E3525E"/>
    <w:rsid w:val="00E352A8"/>
    <w:rsid w:val="00E36023"/>
    <w:rsid w:val="00E36DA8"/>
    <w:rsid w:val="00E402A4"/>
    <w:rsid w:val="00E4040F"/>
    <w:rsid w:val="00E40573"/>
    <w:rsid w:val="00E4069D"/>
    <w:rsid w:val="00E409FE"/>
    <w:rsid w:val="00E41BCE"/>
    <w:rsid w:val="00E4201E"/>
    <w:rsid w:val="00E42363"/>
    <w:rsid w:val="00E42C28"/>
    <w:rsid w:val="00E438F8"/>
    <w:rsid w:val="00E43C71"/>
    <w:rsid w:val="00E43C96"/>
    <w:rsid w:val="00E44042"/>
    <w:rsid w:val="00E44842"/>
    <w:rsid w:val="00E45135"/>
    <w:rsid w:val="00E45692"/>
    <w:rsid w:val="00E45A44"/>
    <w:rsid w:val="00E45F36"/>
    <w:rsid w:val="00E465C2"/>
    <w:rsid w:val="00E4751C"/>
    <w:rsid w:val="00E475E9"/>
    <w:rsid w:val="00E519B4"/>
    <w:rsid w:val="00E519C9"/>
    <w:rsid w:val="00E52403"/>
    <w:rsid w:val="00E52A95"/>
    <w:rsid w:val="00E52DFF"/>
    <w:rsid w:val="00E52E52"/>
    <w:rsid w:val="00E530C6"/>
    <w:rsid w:val="00E5311D"/>
    <w:rsid w:val="00E5398B"/>
    <w:rsid w:val="00E53CB8"/>
    <w:rsid w:val="00E543E0"/>
    <w:rsid w:val="00E5470A"/>
    <w:rsid w:val="00E569DB"/>
    <w:rsid w:val="00E5754D"/>
    <w:rsid w:val="00E601B7"/>
    <w:rsid w:val="00E60422"/>
    <w:rsid w:val="00E604D5"/>
    <w:rsid w:val="00E60A78"/>
    <w:rsid w:val="00E60EF8"/>
    <w:rsid w:val="00E61CEC"/>
    <w:rsid w:val="00E628E4"/>
    <w:rsid w:val="00E639F6"/>
    <w:rsid w:val="00E64098"/>
    <w:rsid w:val="00E6413E"/>
    <w:rsid w:val="00E641CF"/>
    <w:rsid w:val="00E642F4"/>
    <w:rsid w:val="00E65285"/>
    <w:rsid w:val="00E65889"/>
    <w:rsid w:val="00E6630D"/>
    <w:rsid w:val="00E6647E"/>
    <w:rsid w:val="00E66730"/>
    <w:rsid w:val="00E66CB3"/>
    <w:rsid w:val="00E66D29"/>
    <w:rsid w:val="00E67447"/>
    <w:rsid w:val="00E6791B"/>
    <w:rsid w:val="00E67C92"/>
    <w:rsid w:val="00E70566"/>
    <w:rsid w:val="00E70BCF"/>
    <w:rsid w:val="00E71288"/>
    <w:rsid w:val="00E71DD9"/>
    <w:rsid w:val="00E725A2"/>
    <w:rsid w:val="00E7291D"/>
    <w:rsid w:val="00E73C58"/>
    <w:rsid w:val="00E73F2B"/>
    <w:rsid w:val="00E748DA"/>
    <w:rsid w:val="00E74AF4"/>
    <w:rsid w:val="00E74DA5"/>
    <w:rsid w:val="00E75422"/>
    <w:rsid w:val="00E756B7"/>
    <w:rsid w:val="00E762F8"/>
    <w:rsid w:val="00E76838"/>
    <w:rsid w:val="00E80501"/>
    <w:rsid w:val="00E81090"/>
    <w:rsid w:val="00E82DE4"/>
    <w:rsid w:val="00E844C0"/>
    <w:rsid w:val="00E8472C"/>
    <w:rsid w:val="00E871C2"/>
    <w:rsid w:val="00E8796E"/>
    <w:rsid w:val="00E87993"/>
    <w:rsid w:val="00E911D4"/>
    <w:rsid w:val="00E923EE"/>
    <w:rsid w:val="00E950DC"/>
    <w:rsid w:val="00E953EF"/>
    <w:rsid w:val="00E95C58"/>
    <w:rsid w:val="00EA02A0"/>
    <w:rsid w:val="00EA06CB"/>
    <w:rsid w:val="00EA2703"/>
    <w:rsid w:val="00EA33AC"/>
    <w:rsid w:val="00EA3764"/>
    <w:rsid w:val="00EA483E"/>
    <w:rsid w:val="00EA5D41"/>
    <w:rsid w:val="00EA6662"/>
    <w:rsid w:val="00EA7037"/>
    <w:rsid w:val="00EA7E5F"/>
    <w:rsid w:val="00EB0388"/>
    <w:rsid w:val="00EB1573"/>
    <w:rsid w:val="00EB223A"/>
    <w:rsid w:val="00EB2294"/>
    <w:rsid w:val="00EB253B"/>
    <w:rsid w:val="00EB2C57"/>
    <w:rsid w:val="00EB35AD"/>
    <w:rsid w:val="00EB4102"/>
    <w:rsid w:val="00EB426C"/>
    <w:rsid w:val="00EB48F1"/>
    <w:rsid w:val="00EB57E0"/>
    <w:rsid w:val="00EB60F5"/>
    <w:rsid w:val="00EB641D"/>
    <w:rsid w:val="00EB644A"/>
    <w:rsid w:val="00EC01D5"/>
    <w:rsid w:val="00EC046F"/>
    <w:rsid w:val="00EC09BB"/>
    <w:rsid w:val="00EC09DE"/>
    <w:rsid w:val="00EC0B00"/>
    <w:rsid w:val="00EC189E"/>
    <w:rsid w:val="00EC2362"/>
    <w:rsid w:val="00EC2870"/>
    <w:rsid w:val="00EC2B96"/>
    <w:rsid w:val="00EC30A3"/>
    <w:rsid w:val="00EC3364"/>
    <w:rsid w:val="00EC4425"/>
    <w:rsid w:val="00EC4612"/>
    <w:rsid w:val="00EC4B37"/>
    <w:rsid w:val="00EC5104"/>
    <w:rsid w:val="00EC5855"/>
    <w:rsid w:val="00EC5B10"/>
    <w:rsid w:val="00EC632A"/>
    <w:rsid w:val="00EC6D8F"/>
    <w:rsid w:val="00EC6FB4"/>
    <w:rsid w:val="00EC7436"/>
    <w:rsid w:val="00EC7FAB"/>
    <w:rsid w:val="00ED0371"/>
    <w:rsid w:val="00ED05E9"/>
    <w:rsid w:val="00ED089D"/>
    <w:rsid w:val="00ED17FC"/>
    <w:rsid w:val="00ED312C"/>
    <w:rsid w:val="00ED4029"/>
    <w:rsid w:val="00ED40B1"/>
    <w:rsid w:val="00ED475B"/>
    <w:rsid w:val="00ED47AF"/>
    <w:rsid w:val="00ED4DA8"/>
    <w:rsid w:val="00ED646D"/>
    <w:rsid w:val="00ED6B21"/>
    <w:rsid w:val="00ED6E9D"/>
    <w:rsid w:val="00ED7A73"/>
    <w:rsid w:val="00ED7C1B"/>
    <w:rsid w:val="00ED7DEC"/>
    <w:rsid w:val="00EE0747"/>
    <w:rsid w:val="00EE0B39"/>
    <w:rsid w:val="00EE11CB"/>
    <w:rsid w:val="00EE18E9"/>
    <w:rsid w:val="00EE1932"/>
    <w:rsid w:val="00EE19E7"/>
    <w:rsid w:val="00EE2380"/>
    <w:rsid w:val="00EE4896"/>
    <w:rsid w:val="00EE5206"/>
    <w:rsid w:val="00EE603B"/>
    <w:rsid w:val="00EE7657"/>
    <w:rsid w:val="00EE78BC"/>
    <w:rsid w:val="00EF0E58"/>
    <w:rsid w:val="00EF1CCB"/>
    <w:rsid w:val="00EF21D2"/>
    <w:rsid w:val="00EF2BEA"/>
    <w:rsid w:val="00EF362B"/>
    <w:rsid w:val="00F0004D"/>
    <w:rsid w:val="00F013E8"/>
    <w:rsid w:val="00F01B30"/>
    <w:rsid w:val="00F02217"/>
    <w:rsid w:val="00F02CE9"/>
    <w:rsid w:val="00F03908"/>
    <w:rsid w:val="00F03B8A"/>
    <w:rsid w:val="00F042DD"/>
    <w:rsid w:val="00F053D9"/>
    <w:rsid w:val="00F058DA"/>
    <w:rsid w:val="00F05E32"/>
    <w:rsid w:val="00F06748"/>
    <w:rsid w:val="00F06FC6"/>
    <w:rsid w:val="00F102B1"/>
    <w:rsid w:val="00F11385"/>
    <w:rsid w:val="00F11A70"/>
    <w:rsid w:val="00F12020"/>
    <w:rsid w:val="00F1209A"/>
    <w:rsid w:val="00F14758"/>
    <w:rsid w:val="00F15173"/>
    <w:rsid w:val="00F1577B"/>
    <w:rsid w:val="00F16AB7"/>
    <w:rsid w:val="00F16F19"/>
    <w:rsid w:val="00F1710B"/>
    <w:rsid w:val="00F17160"/>
    <w:rsid w:val="00F17227"/>
    <w:rsid w:val="00F1766A"/>
    <w:rsid w:val="00F177D9"/>
    <w:rsid w:val="00F17890"/>
    <w:rsid w:val="00F17A54"/>
    <w:rsid w:val="00F20ADD"/>
    <w:rsid w:val="00F20BCF"/>
    <w:rsid w:val="00F21C94"/>
    <w:rsid w:val="00F22356"/>
    <w:rsid w:val="00F228E3"/>
    <w:rsid w:val="00F22951"/>
    <w:rsid w:val="00F22BD6"/>
    <w:rsid w:val="00F22DFB"/>
    <w:rsid w:val="00F23FD8"/>
    <w:rsid w:val="00F2422E"/>
    <w:rsid w:val="00F244B5"/>
    <w:rsid w:val="00F24A19"/>
    <w:rsid w:val="00F24BD0"/>
    <w:rsid w:val="00F24CC8"/>
    <w:rsid w:val="00F250E0"/>
    <w:rsid w:val="00F26A67"/>
    <w:rsid w:val="00F26D15"/>
    <w:rsid w:val="00F2705F"/>
    <w:rsid w:val="00F274FC"/>
    <w:rsid w:val="00F27CCC"/>
    <w:rsid w:val="00F27EFB"/>
    <w:rsid w:val="00F3060C"/>
    <w:rsid w:val="00F306B3"/>
    <w:rsid w:val="00F307E0"/>
    <w:rsid w:val="00F30897"/>
    <w:rsid w:val="00F317E4"/>
    <w:rsid w:val="00F323D0"/>
    <w:rsid w:val="00F32607"/>
    <w:rsid w:val="00F32A6C"/>
    <w:rsid w:val="00F32F43"/>
    <w:rsid w:val="00F33362"/>
    <w:rsid w:val="00F33A55"/>
    <w:rsid w:val="00F353D5"/>
    <w:rsid w:val="00F359BB"/>
    <w:rsid w:val="00F35BB9"/>
    <w:rsid w:val="00F35BFA"/>
    <w:rsid w:val="00F35E6C"/>
    <w:rsid w:val="00F36EDC"/>
    <w:rsid w:val="00F37391"/>
    <w:rsid w:val="00F377D1"/>
    <w:rsid w:val="00F416CF"/>
    <w:rsid w:val="00F41F1D"/>
    <w:rsid w:val="00F421A8"/>
    <w:rsid w:val="00F42300"/>
    <w:rsid w:val="00F4298D"/>
    <w:rsid w:val="00F43254"/>
    <w:rsid w:val="00F4386E"/>
    <w:rsid w:val="00F43A47"/>
    <w:rsid w:val="00F43ED2"/>
    <w:rsid w:val="00F44AF5"/>
    <w:rsid w:val="00F450DD"/>
    <w:rsid w:val="00F45A50"/>
    <w:rsid w:val="00F45AED"/>
    <w:rsid w:val="00F45D21"/>
    <w:rsid w:val="00F46BEC"/>
    <w:rsid w:val="00F47524"/>
    <w:rsid w:val="00F47BE2"/>
    <w:rsid w:val="00F50345"/>
    <w:rsid w:val="00F51E80"/>
    <w:rsid w:val="00F5207E"/>
    <w:rsid w:val="00F53060"/>
    <w:rsid w:val="00F539BB"/>
    <w:rsid w:val="00F54EB5"/>
    <w:rsid w:val="00F55280"/>
    <w:rsid w:val="00F55691"/>
    <w:rsid w:val="00F56616"/>
    <w:rsid w:val="00F56E78"/>
    <w:rsid w:val="00F57BDE"/>
    <w:rsid w:val="00F57F1C"/>
    <w:rsid w:val="00F60C9C"/>
    <w:rsid w:val="00F6182F"/>
    <w:rsid w:val="00F63DCD"/>
    <w:rsid w:val="00F64410"/>
    <w:rsid w:val="00F6452B"/>
    <w:rsid w:val="00F648AF"/>
    <w:rsid w:val="00F649A8"/>
    <w:rsid w:val="00F64CDA"/>
    <w:rsid w:val="00F65670"/>
    <w:rsid w:val="00F66132"/>
    <w:rsid w:val="00F6626D"/>
    <w:rsid w:val="00F67764"/>
    <w:rsid w:val="00F6788F"/>
    <w:rsid w:val="00F70268"/>
    <w:rsid w:val="00F7147D"/>
    <w:rsid w:val="00F737A2"/>
    <w:rsid w:val="00F7408F"/>
    <w:rsid w:val="00F74158"/>
    <w:rsid w:val="00F74664"/>
    <w:rsid w:val="00F7501E"/>
    <w:rsid w:val="00F76180"/>
    <w:rsid w:val="00F762F0"/>
    <w:rsid w:val="00F76567"/>
    <w:rsid w:val="00F77010"/>
    <w:rsid w:val="00F77052"/>
    <w:rsid w:val="00F7705E"/>
    <w:rsid w:val="00F77451"/>
    <w:rsid w:val="00F801A4"/>
    <w:rsid w:val="00F80511"/>
    <w:rsid w:val="00F810E1"/>
    <w:rsid w:val="00F8144A"/>
    <w:rsid w:val="00F81946"/>
    <w:rsid w:val="00F83E63"/>
    <w:rsid w:val="00F848A3"/>
    <w:rsid w:val="00F86AFE"/>
    <w:rsid w:val="00F87AE9"/>
    <w:rsid w:val="00F9035B"/>
    <w:rsid w:val="00F90472"/>
    <w:rsid w:val="00F904E3"/>
    <w:rsid w:val="00F90E1F"/>
    <w:rsid w:val="00F90EFD"/>
    <w:rsid w:val="00F91568"/>
    <w:rsid w:val="00F91E5E"/>
    <w:rsid w:val="00F9299B"/>
    <w:rsid w:val="00F9314E"/>
    <w:rsid w:val="00F93C1E"/>
    <w:rsid w:val="00F9505E"/>
    <w:rsid w:val="00F9582F"/>
    <w:rsid w:val="00F97A2C"/>
    <w:rsid w:val="00FA2898"/>
    <w:rsid w:val="00FA2AFB"/>
    <w:rsid w:val="00FA3339"/>
    <w:rsid w:val="00FA3881"/>
    <w:rsid w:val="00FA3903"/>
    <w:rsid w:val="00FA413E"/>
    <w:rsid w:val="00FA41A0"/>
    <w:rsid w:val="00FA4DEE"/>
    <w:rsid w:val="00FA4F88"/>
    <w:rsid w:val="00FA5279"/>
    <w:rsid w:val="00FA5D12"/>
    <w:rsid w:val="00FA6435"/>
    <w:rsid w:val="00FA64D0"/>
    <w:rsid w:val="00FA662A"/>
    <w:rsid w:val="00FA76CE"/>
    <w:rsid w:val="00FA76FB"/>
    <w:rsid w:val="00FA7EC5"/>
    <w:rsid w:val="00FB06B0"/>
    <w:rsid w:val="00FB08AF"/>
    <w:rsid w:val="00FB0C51"/>
    <w:rsid w:val="00FB0E20"/>
    <w:rsid w:val="00FB213C"/>
    <w:rsid w:val="00FB23D4"/>
    <w:rsid w:val="00FB2570"/>
    <w:rsid w:val="00FB2E41"/>
    <w:rsid w:val="00FB4995"/>
    <w:rsid w:val="00FB4CD5"/>
    <w:rsid w:val="00FB4D38"/>
    <w:rsid w:val="00FB508D"/>
    <w:rsid w:val="00FB5ACB"/>
    <w:rsid w:val="00FB5C3C"/>
    <w:rsid w:val="00FB5CB0"/>
    <w:rsid w:val="00FB6B01"/>
    <w:rsid w:val="00FB6BF8"/>
    <w:rsid w:val="00FC086B"/>
    <w:rsid w:val="00FC0CC4"/>
    <w:rsid w:val="00FC1700"/>
    <w:rsid w:val="00FC2233"/>
    <w:rsid w:val="00FC25E9"/>
    <w:rsid w:val="00FC2826"/>
    <w:rsid w:val="00FC28D9"/>
    <w:rsid w:val="00FC3D6C"/>
    <w:rsid w:val="00FC519A"/>
    <w:rsid w:val="00FC607F"/>
    <w:rsid w:val="00FC64FA"/>
    <w:rsid w:val="00FC672C"/>
    <w:rsid w:val="00FC69EE"/>
    <w:rsid w:val="00FC798E"/>
    <w:rsid w:val="00FC7AEB"/>
    <w:rsid w:val="00FC7BF3"/>
    <w:rsid w:val="00FD0885"/>
    <w:rsid w:val="00FD41B1"/>
    <w:rsid w:val="00FD508B"/>
    <w:rsid w:val="00FD6191"/>
    <w:rsid w:val="00FE026D"/>
    <w:rsid w:val="00FE04A1"/>
    <w:rsid w:val="00FE0516"/>
    <w:rsid w:val="00FE1D78"/>
    <w:rsid w:val="00FE1E11"/>
    <w:rsid w:val="00FE1F86"/>
    <w:rsid w:val="00FE3D90"/>
    <w:rsid w:val="00FE5E53"/>
    <w:rsid w:val="00FE73A9"/>
    <w:rsid w:val="00FE750F"/>
    <w:rsid w:val="00FF06EF"/>
    <w:rsid w:val="00FF0A8D"/>
    <w:rsid w:val="00FF0D6D"/>
    <w:rsid w:val="00FF109A"/>
    <w:rsid w:val="00FF20C0"/>
    <w:rsid w:val="00FF267B"/>
    <w:rsid w:val="00FF2860"/>
    <w:rsid w:val="00FF2AD4"/>
    <w:rsid w:val="00FF2F71"/>
    <w:rsid w:val="00FF30AD"/>
    <w:rsid w:val="00FF3325"/>
    <w:rsid w:val="00FF372B"/>
    <w:rsid w:val="00FF38D3"/>
    <w:rsid w:val="00FF4717"/>
    <w:rsid w:val="00FF54A5"/>
    <w:rsid w:val="00FF6117"/>
    <w:rsid w:val="00FF7439"/>
    <w:rsid w:val="00FF7BED"/>
    <w:rsid w:val="00FF7C0C"/>
    <w:rsid w:val="012B0D5F"/>
    <w:rsid w:val="012F5BAD"/>
    <w:rsid w:val="01AA3A0D"/>
    <w:rsid w:val="01BA4E6D"/>
    <w:rsid w:val="01EA271C"/>
    <w:rsid w:val="027057FB"/>
    <w:rsid w:val="02BB465F"/>
    <w:rsid w:val="02D401F1"/>
    <w:rsid w:val="02E4308E"/>
    <w:rsid w:val="02E73F01"/>
    <w:rsid w:val="03381A1F"/>
    <w:rsid w:val="037679C1"/>
    <w:rsid w:val="03EE7E98"/>
    <w:rsid w:val="042C2193"/>
    <w:rsid w:val="04524672"/>
    <w:rsid w:val="047C7A7A"/>
    <w:rsid w:val="04957AD3"/>
    <w:rsid w:val="04DE132C"/>
    <w:rsid w:val="052C7CA5"/>
    <w:rsid w:val="052F090E"/>
    <w:rsid w:val="05765645"/>
    <w:rsid w:val="06703B3F"/>
    <w:rsid w:val="0673060A"/>
    <w:rsid w:val="067F33BB"/>
    <w:rsid w:val="081E54D1"/>
    <w:rsid w:val="084A75D7"/>
    <w:rsid w:val="087248F1"/>
    <w:rsid w:val="09081CF1"/>
    <w:rsid w:val="09595DFD"/>
    <w:rsid w:val="09907398"/>
    <w:rsid w:val="099E302E"/>
    <w:rsid w:val="09A803DB"/>
    <w:rsid w:val="0A331F66"/>
    <w:rsid w:val="0A963C29"/>
    <w:rsid w:val="0AC20A08"/>
    <w:rsid w:val="0BC00A5A"/>
    <w:rsid w:val="0C3964AF"/>
    <w:rsid w:val="0C6156FE"/>
    <w:rsid w:val="0C6A0D5C"/>
    <w:rsid w:val="0C7F6581"/>
    <w:rsid w:val="0D1050DF"/>
    <w:rsid w:val="0D934DB0"/>
    <w:rsid w:val="0D955296"/>
    <w:rsid w:val="0DCE7C92"/>
    <w:rsid w:val="0DEC11D8"/>
    <w:rsid w:val="0E204787"/>
    <w:rsid w:val="0E573392"/>
    <w:rsid w:val="0E5F0BC9"/>
    <w:rsid w:val="0EB760A7"/>
    <w:rsid w:val="0EF468D7"/>
    <w:rsid w:val="0F491347"/>
    <w:rsid w:val="0F642699"/>
    <w:rsid w:val="1015183B"/>
    <w:rsid w:val="106D649B"/>
    <w:rsid w:val="11417AD3"/>
    <w:rsid w:val="114C2F7E"/>
    <w:rsid w:val="1175117A"/>
    <w:rsid w:val="12001A7D"/>
    <w:rsid w:val="12C42430"/>
    <w:rsid w:val="13DA3B51"/>
    <w:rsid w:val="143555FF"/>
    <w:rsid w:val="14646873"/>
    <w:rsid w:val="146D163B"/>
    <w:rsid w:val="14767532"/>
    <w:rsid w:val="152822AC"/>
    <w:rsid w:val="154B660D"/>
    <w:rsid w:val="155B1CEA"/>
    <w:rsid w:val="157013B5"/>
    <w:rsid w:val="159F6DFD"/>
    <w:rsid w:val="15BA121D"/>
    <w:rsid w:val="15C77894"/>
    <w:rsid w:val="16156C23"/>
    <w:rsid w:val="16493579"/>
    <w:rsid w:val="168E059A"/>
    <w:rsid w:val="16D0511D"/>
    <w:rsid w:val="16FF2DA6"/>
    <w:rsid w:val="17151CFC"/>
    <w:rsid w:val="174209BB"/>
    <w:rsid w:val="17A14EEB"/>
    <w:rsid w:val="17D3475C"/>
    <w:rsid w:val="17FB1939"/>
    <w:rsid w:val="18D5158F"/>
    <w:rsid w:val="196F7870"/>
    <w:rsid w:val="19752253"/>
    <w:rsid w:val="19F76B05"/>
    <w:rsid w:val="1A4B4EBA"/>
    <w:rsid w:val="1B073836"/>
    <w:rsid w:val="1B780BD4"/>
    <w:rsid w:val="1B9F0E7E"/>
    <w:rsid w:val="1BE775DA"/>
    <w:rsid w:val="1CBC61DF"/>
    <w:rsid w:val="1CC92F10"/>
    <w:rsid w:val="1CCE09F3"/>
    <w:rsid w:val="1CD3755F"/>
    <w:rsid w:val="1D05206E"/>
    <w:rsid w:val="1D684E54"/>
    <w:rsid w:val="1D9E68EC"/>
    <w:rsid w:val="1E0C64B1"/>
    <w:rsid w:val="1E1169E3"/>
    <w:rsid w:val="1E7034AB"/>
    <w:rsid w:val="1E874AE0"/>
    <w:rsid w:val="1ED004EA"/>
    <w:rsid w:val="1F3E52BA"/>
    <w:rsid w:val="1F4D5587"/>
    <w:rsid w:val="1FE70007"/>
    <w:rsid w:val="1FFB5222"/>
    <w:rsid w:val="20020DC1"/>
    <w:rsid w:val="20126A79"/>
    <w:rsid w:val="201578B5"/>
    <w:rsid w:val="204970FB"/>
    <w:rsid w:val="20571E82"/>
    <w:rsid w:val="208250B0"/>
    <w:rsid w:val="20E628A8"/>
    <w:rsid w:val="2135689D"/>
    <w:rsid w:val="21775B92"/>
    <w:rsid w:val="218A5AD2"/>
    <w:rsid w:val="219643BA"/>
    <w:rsid w:val="21B935DD"/>
    <w:rsid w:val="21CD61BF"/>
    <w:rsid w:val="21DC3A0A"/>
    <w:rsid w:val="22135908"/>
    <w:rsid w:val="221848CF"/>
    <w:rsid w:val="22320AAA"/>
    <w:rsid w:val="223D7373"/>
    <w:rsid w:val="22565E7A"/>
    <w:rsid w:val="226B0EBC"/>
    <w:rsid w:val="227A50F2"/>
    <w:rsid w:val="22F170CC"/>
    <w:rsid w:val="23004D3A"/>
    <w:rsid w:val="230313C1"/>
    <w:rsid w:val="23042BF0"/>
    <w:rsid w:val="231949E6"/>
    <w:rsid w:val="23F24DDB"/>
    <w:rsid w:val="246B3658"/>
    <w:rsid w:val="24ED693A"/>
    <w:rsid w:val="251A07F4"/>
    <w:rsid w:val="252437CF"/>
    <w:rsid w:val="252C0ABE"/>
    <w:rsid w:val="2541217A"/>
    <w:rsid w:val="256D5C3C"/>
    <w:rsid w:val="25C17A8D"/>
    <w:rsid w:val="25EE2C8D"/>
    <w:rsid w:val="262E022E"/>
    <w:rsid w:val="26950BF2"/>
    <w:rsid w:val="274669DE"/>
    <w:rsid w:val="276802BC"/>
    <w:rsid w:val="27757D85"/>
    <w:rsid w:val="27A67FA4"/>
    <w:rsid w:val="27D453A2"/>
    <w:rsid w:val="27F3596A"/>
    <w:rsid w:val="283B5638"/>
    <w:rsid w:val="28756AF8"/>
    <w:rsid w:val="28857E67"/>
    <w:rsid w:val="29124F00"/>
    <w:rsid w:val="291C28FA"/>
    <w:rsid w:val="294063B6"/>
    <w:rsid w:val="294820A3"/>
    <w:rsid w:val="295E4473"/>
    <w:rsid w:val="29745480"/>
    <w:rsid w:val="2A35440A"/>
    <w:rsid w:val="2A9F0B01"/>
    <w:rsid w:val="2AC4624A"/>
    <w:rsid w:val="2AEC6559"/>
    <w:rsid w:val="2B016B5D"/>
    <w:rsid w:val="2C6C6E4D"/>
    <w:rsid w:val="2C854B3A"/>
    <w:rsid w:val="2CD037E4"/>
    <w:rsid w:val="2CDC5E14"/>
    <w:rsid w:val="2D4F20ED"/>
    <w:rsid w:val="2D617A11"/>
    <w:rsid w:val="2D73001D"/>
    <w:rsid w:val="2D7A0105"/>
    <w:rsid w:val="2DA369FF"/>
    <w:rsid w:val="2E632F7E"/>
    <w:rsid w:val="2E9E2BC3"/>
    <w:rsid w:val="2E9F06DA"/>
    <w:rsid w:val="2F00308A"/>
    <w:rsid w:val="2F2D0114"/>
    <w:rsid w:val="2F4F7791"/>
    <w:rsid w:val="2F75469F"/>
    <w:rsid w:val="301B53ED"/>
    <w:rsid w:val="30611900"/>
    <w:rsid w:val="30706C6A"/>
    <w:rsid w:val="30817057"/>
    <w:rsid w:val="30C634D0"/>
    <w:rsid w:val="30F92412"/>
    <w:rsid w:val="31480DB1"/>
    <w:rsid w:val="315624C9"/>
    <w:rsid w:val="315C4A9C"/>
    <w:rsid w:val="316E5A57"/>
    <w:rsid w:val="31CA659A"/>
    <w:rsid w:val="31D87060"/>
    <w:rsid w:val="31F06DE7"/>
    <w:rsid w:val="323F0EE5"/>
    <w:rsid w:val="326C30F5"/>
    <w:rsid w:val="327847F8"/>
    <w:rsid w:val="32CD0128"/>
    <w:rsid w:val="32D755A0"/>
    <w:rsid w:val="32DC037C"/>
    <w:rsid w:val="33220A03"/>
    <w:rsid w:val="332366DE"/>
    <w:rsid w:val="335128D5"/>
    <w:rsid w:val="33CC33ED"/>
    <w:rsid w:val="33E663D6"/>
    <w:rsid w:val="340A00A2"/>
    <w:rsid w:val="34292D52"/>
    <w:rsid w:val="34527F42"/>
    <w:rsid w:val="348336B4"/>
    <w:rsid w:val="34AC4586"/>
    <w:rsid w:val="34E8351B"/>
    <w:rsid w:val="34E9482F"/>
    <w:rsid w:val="35B377BF"/>
    <w:rsid w:val="35F60FDB"/>
    <w:rsid w:val="36293F63"/>
    <w:rsid w:val="36AC6A64"/>
    <w:rsid w:val="37183D4A"/>
    <w:rsid w:val="37593EDF"/>
    <w:rsid w:val="387129A5"/>
    <w:rsid w:val="38D77698"/>
    <w:rsid w:val="38E25D80"/>
    <w:rsid w:val="3AAF3E46"/>
    <w:rsid w:val="3ADC7FE8"/>
    <w:rsid w:val="3B4F6BE9"/>
    <w:rsid w:val="3BED3032"/>
    <w:rsid w:val="3C027F6F"/>
    <w:rsid w:val="3C1D1532"/>
    <w:rsid w:val="3C2A183D"/>
    <w:rsid w:val="3C374B2A"/>
    <w:rsid w:val="3C9466D1"/>
    <w:rsid w:val="3CA305AD"/>
    <w:rsid w:val="3CCE273D"/>
    <w:rsid w:val="3D1C4C0B"/>
    <w:rsid w:val="3D83480F"/>
    <w:rsid w:val="3E204861"/>
    <w:rsid w:val="3E2676E9"/>
    <w:rsid w:val="3E55566B"/>
    <w:rsid w:val="3E842EA0"/>
    <w:rsid w:val="3EF30AAD"/>
    <w:rsid w:val="3FC23885"/>
    <w:rsid w:val="3FD527A8"/>
    <w:rsid w:val="400848C0"/>
    <w:rsid w:val="4010205A"/>
    <w:rsid w:val="403225A8"/>
    <w:rsid w:val="404F59ED"/>
    <w:rsid w:val="405454C7"/>
    <w:rsid w:val="408557BB"/>
    <w:rsid w:val="40A72878"/>
    <w:rsid w:val="40CD6E39"/>
    <w:rsid w:val="40D50C3E"/>
    <w:rsid w:val="41140FBB"/>
    <w:rsid w:val="41922EB8"/>
    <w:rsid w:val="41B15A5F"/>
    <w:rsid w:val="41E16F6C"/>
    <w:rsid w:val="423B7C0B"/>
    <w:rsid w:val="426313B6"/>
    <w:rsid w:val="42F55F95"/>
    <w:rsid w:val="431F2FDC"/>
    <w:rsid w:val="439441DE"/>
    <w:rsid w:val="44181B6A"/>
    <w:rsid w:val="45297F59"/>
    <w:rsid w:val="45325517"/>
    <w:rsid w:val="453E50FA"/>
    <w:rsid w:val="45402273"/>
    <w:rsid w:val="457708AA"/>
    <w:rsid w:val="45CF6786"/>
    <w:rsid w:val="461E719B"/>
    <w:rsid w:val="46805EE5"/>
    <w:rsid w:val="46951797"/>
    <w:rsid w:val="46E247D3"/>
    <w:rsid w:val="4775167C"/>
    <w:rsid w:val="477B1062"/>
    <w:rsid w:val="47D93A04"/>
    <w:rsid w:val="47EB2D79"/>
    <w:rsid w:val="47FC767F"/>
    <w:rsid w:val="48D23BB8"/>
    <w:rsid w:val="493E1FD5"/>
    <w:rsid w:val="496237FD"/>
    <w:rsid w:val="49862A1E"/>
    <w:rsid w:val="4A120548"/>
    <w:rsid w:val="4A464BF7"/>
    <w:rsid w:val="4A834753"/>
    <w:rsid w:val="4AC827AD"/>
    <w:rsid w:val="4B097538"/>
    <w:rsid w:val="4B213B2F"/>
    <w:rsid w:val="4BC34C93"/>
    <w:rsid w:val="4BEC37D8"/>
    <w:rsid w:val="4BFC1A61"/>
    <w:rsid w:val="4C130FA9"/>
    <w:rsid w:val="4C234FC0"/>
    <w:rsid w:val="4C3127E0"/>
    <w:rsid w:val="4C984A1E"/>
    <w:rsid w:val="4CA1363A"/>
    <w:rsid w:val="4CD54C59"/>
    <w:rsid w:val="4D5B6F77"/>
    <w:rsid w:val="4DC6669C"/>
    <w:rsid w:val="4E690D97"/>
    <w:rsid w:val="4EA6183A"/>
    <w:rsid w:val="4EC92D37"/>
    <w:rsid w:val="4F2B2B65"/>
    <w:rsid w:val="4FB303BD"/>
    <w:rsid w:val="4FE311C1"/>
    <w:rsid w:val="50AF45C1"/>
    <w:rsid w:val="511344C8"/>
    <w:rsid w:val="512F1E37"/>
    <w:rsid w:val="5251391A"/>
    <w:rsid w:val="534C5ED9"/>
    <w:rsid w:val="53E2367C"/>
    <w:rsid w:val="556D4A6A"/>
    <w:rsid w:val="55AF44B1"/>
    <w:rsid w:val="56742A29"/>
    <w:rsid w:val="569539B4"/>
    <w:rsid w:val="56B479FA"/>
    <w:rsid w:val="56DD68CB"/>
    <w:rsid w:val="570614B2"/>
    <w:rsid w:val="5758102C"/>
    <w:rsid w:val="5774599E"/>
    <w:rsid w:val="577568C7"/>
    <w:rsid w:val="5783205E"/>
    <w:rsid w:val="57F14580"/>
    <w:rsid w:val="580F0324"/>
    <w:rsid w:val="589A2E64"/>
    <w:rsid w:val="58A20F8D"/>
    <w:rsid w:val="599551AD"/>
    <w:rsid w:val="599835B5"/>
    <w:rsid w:val="5A891864"/>
    <w:rsid w:val="5B5B04A6"/>
    <w:rsid w:val="5B776FDA"/>
    <w:rsid w:val="5BB46297"/>
    <w:rsid w:val="5BBA5445"/>
    <w:rsid w:val="5C841362"/>
    <w:rsid w:val="5C9139D7"/>
    <w:rsid w:val="5DAD09A4"/>
    <w:rsid w:val="5DCF428E"/>
    <w:rsid w:val="5E3F5473"/>
    <w:rsid w:val="5E44387D"/>
    <w:rsid w:val="5E5D5B50"/>
    <w:rsid w:val="5E5F6873"/>
    <w:rsid w:val="5E9A5BC5"/>
    <w:rsid w:val="5E9B60FD"/>
    <w:rsid w:val="5F4601F2"/>
    <w:rsid w:val="5F776A17"/>
    <w:rsid w:val="5F9E658A"/>
    <w:rsid w:val="5FD9628A"/>
    <w:rsid w:val="60082A02"/>
    <w:rsid w:val="60E70A20"/>
    <w:rsid w:val="6161406F"/>
    <w:rsid w:val="61743FBA"/>
    <w:rsid w:val="61790718"/>
    <w:rsid w:val="61E112EC"/>
    <w:rsid w:val="61EF43AE"/>
    <w:rsid w:val="62A71EC3"/>
    <w:rsid w:val="62F41215"/>
    <w:rsid w:val="6324017F"/>
    <w:rsid w:val="63BA4B3E"/>
    <w:rsid w:val="63E92A07"/>
    <w:rsid w:val="63F35839"/>
    <w:rsid w:val="64051264"/>
    <w:rsid w:val="64232A22"/>
    <w:rsid w:val="64B12614"/>
    <w:rsid w:val="64F43C36"/>
    <w:rsid w:val="65692EC6"/>
    <w:rsid w:val="659049CB"/>
    <w:rsid w:val="65F94653"/>
    <w:rsid w:val="660868B5"/>
    <w:rsid w:val="663D6CCE"/>
    <w:rsid w:val="66EF1B58"/>
    <w:rsid w:val="66F02E66"/>
    <w:rsid w:val="6769733C"/>
    <w:rsid w:val="67DC5FAF"/>
    <w:rsid w:val="67E66E56"/>
    <w:rsid w:val="683B0E2D"/>
    <w:rsid w:val="68465C63"/>
    <w:rsid w:val="684D21A7"/>
    <w:rsid w:val="689934D7"/>
    <w:rsid w:val="68AB1409"/>
    <w:rsid w:val="6919371B"/>
    <w:rsid w:val="691A0B9D"/>
    <w:rsid w:val="693D506F"/>
    <w:rsid w:val="697A71D5"/>
    <w:rsid w:val="69C25C3A"/>
    <w:rsid w:val="69E62D6A"/>
    <w:rsid w:val="6A272DBD"/>
    <w:rsid w:val="6A5B0685"/>
    <w:rsid w:val="6AB5651A"/>
    <w:rsid w:val="6ACD05DA"/>
    <w:rsid w:val="6B1000BD"/>
    <w:rsid w:val="6B3F77C7"/>
    <w:rsid w:val="6BC651EC"/>
    <w:rsid w:val="6BD41E7D"/>
    <w:rsid w:val="6C786450"/>
    <w:rsid w:val="6CCF48B8"/>
    <w:rsid w:val="6D127ADF"/>
    <w:rsid w:val="6D507703"/>
    <w:rsid w:val="6D68550B"/>
    <w:rsid w:val="6D9F104E"/>
    <w:rsid w:val="6DB1251D"/>
    <w:rsid w:val="6DD42854"/>
    <w:rsid w:val="6DD46946"/>
    <w:rsid w:val="6DE27154"/>
    <w:rsid w:val="6E035317"/>
    <w:rsid w:val="6E546107"/>
    <w:rsid w:val="6E6C0903"/>
    <w:rsid w:val="6E82082B"/>
    <w:rsid w:val="6E87034C"/>
    <w:rsid w:val="6EA81657"/>
    <w:rsid w:val="6ECF51E6"/>
    <w:rsid w:val="6F181272"/>
    <w:rsid w:val="6F326D97"/>
    <w:rsid w:val="6F43182B"/>
    <w:rsid w:val="6FE6695E"/>
    <w:rsid w:val="70223496"/>
    <w:rsid w:val="70644560"/>
    <w:rsid w:val="70901F66"/>
    <w:rsid w:val="70B853D3"/>
    <w:rsid w:val="70D93E08"/>
    <w:rsid w:val="70E70EDA"/>
    <w:rsid w:val="7102082A"/>
    <w:rsid w:val="71156472"/>
    <w:rsid w:val="72316FD2"/>
    <w:rsid w:val="729019F2"/>
    <w:rsid w:val="72933BCE"/>
    <w:rsid w:val="72B55D68"/>
    <w:rsid w:val="732C4FFF"/>
    <w:rsid w:val="73856B31"/>
    <w:rsid w:val="739610BC"/>
    <w:rsid w:val="73FF3902"/>
    <w:rsid w:val="740E21A7"/>
    <w:rsid w:val="74245083"/>
    <w:rsid w:val="7458619E"/>
    <w:rsid w:val="746A3EC4"/>
    <w:rsid w:val="747E6CDA"/>
    <w:rsid w:val="74E16A52"/>
    <w:rsid w:val="74F66637"/>
    <w:rsid w:val="75221D4A"/>
    <w:rsid w:val="75675DA9"/>
    <w:rsid w:val="75A27474"/>
    <w:rsid w:val="763A5643"/>
    <w:rsid w:val="76AC0EDC"/>
    <w:rsid w:val="76E36E51"/>
    <w:rsid w:val="778D5A2F"/>
    <w:rsid w:val="77CD19F5"/>
    <w:rsid w:val="78524B55"/>
    <w:rsid w:val="78C740A7"/>
    <w:rsid w:val="78D565EE"/>
    <w:rsid w:val="79190BC8"/>
    <w:rsid w:val="791D39D6"/>
    <w:rsid w:val="796764CF"/>
    <w:rsid w:val="79E857B2"/>
    <w:rsid w:val="79EB30F4"/>
    <w:rsid w:val="79F43266"/>
    <w:rsid w:val="7A1B0B81"/>
    <w:rsid w:val="7A3473A3"/>
    <w:rsid w:val="7A521001"/>
    <w:rsid w:val="7A706EB0"/>
    <w:rsid w:val="7AA97220"/>
    <w:rsid w:val="7AC913AF"/>
    <w:rsid w:val="7AE162B3"/>
    <w:rsid w:val="7B437289"/>
    <w:rsid w:val="7B763415"/>
    <w:rsid w:val="7B8E0380"/>
    <w:rsid w:val="7B964C16"/>
    <w:rsid w:val="7BFD6C13"/>
    <w:rsid w:val="7C0B11B0"/>
    <w:rsid w:val="7C254215"/>
    <w:rsid w:val="7C471A94"/>
    <w:rsid w:val="7CBE02DC"/>
    <w:rsid w:val="7CEB0FC2"/>
    <w:rsid w:val="7D492B9F"/>
    <w:rsid w:val="7D644CFD"/>
    <w:rsid w:val="7D6E2248"/>
    <w:rsid w:val="7E1867F3"/>
    <w:rsid w:val="7E2776AD"/>
    <w:rsid w:val="7E4C2BCF"/>
    <w:rsid w:val="7EB568C9"/>
    <w:rsid w:val="7ECA2252"/>
    <w:rsid w:val="7F42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uiPriority w:val="0"/>
  </w:style>
  <w:style w:type="table" w:default="1" w:styleId="25">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Document Map"/>
    <w:basedOn w:val="1"/>
    <w:semiHidden/>
    <w:uiPriority w:val="0"/>
    <w:pPr>
      <w:shd w:val="clear" w:color="auto" w:fill="000080"/>
    </w:pPr>
  </w:style>
  <w:style w:type="paragraph" w:styleId="7">
    <w:name w:val="annotation text"/>
    <w:basedOn w:val="1"/>
    <w:link w:val="38"/>
    <w:semiHidden/>
    <w:uiPriority w:val="0"/>
    <w:pPr>
      <w:jc w:val="left"/>
    </w:pPr>
  </w:style>
  <w:style w:type="paragraph" w:styleId="8">
    <w:name w:val="Body Text"/>
    <w:basedOn w:val="1"/>
    <w:uiPriority w:val="0"/>
    <w:rPr>
      <w:rFonts w:ascii="金山简黑体" w:hAnsi="Courier New" w:eastAsia="金山简黑体"/>
      <w:b/>
      <w:spacing w:val="-8"/>
      <w:sz w:val="44"/>
      <w:szCs w:val="20"/>
    </w:rPr>
  </w:style>
  <w:style w:type="paragraph" w:styleId="9">
    <w:name w:val="Body Text Indent"/>
    <w:basedOn w:val="1"/>
    <w:uiPriority w:val="0"/>
    <w:pPr>
      <w:spacing w:line="200" w:lineRule="exact"/>
      <w:ind w:firstLine="301"/>
    </w:pPr>
    <w:rPr>
      <w:rFonts w:ascii="宋体" w:hAnsi="Courier New"/>
      <w:spacing w:val="-4"/>
      <w:sz w:val="18"/>
      <w:szCs w:val="20"/>
    </w:rPr>
  </w:style>
  <w:style w:type="paragraph" w:styleId="10">
    <w:name w:val="toc 3"/>
    <w:basedOn w:val="1"/>
    <w:next w:val="1"/>
    <w:semiHidden/>
    <w:uiPriority w:val="0"/>
    <w:pPr>
      <w:ind w:left="840" w:leftChars="400"/>
    </w:pPr>
  </w:style>
  <w:style w:type="paragraph" w:styleId="11">
    <w:name w:val="Plain Text"/>
    <w:basedOn w:val="1"/>
    <w:link w:val="42"/>
    <w:uiPriority w:val="0"/>
    <w:rPr>
      <w:rFonts w:ascii="宋体" w:hAnsi="Courier New"/>
      <w:szCs w:val="20"/>
    </w:rPr>
  </w:style>
  <w:style w:type="paragraph" w:styleId="12">
    <w:name w:val="Date"/>
    <w:basedOn w:val="1"/>
    <w:next w:val="1"/>
    <w:uiPriority w:val="0"/>
    <w:pPr>
      <w:ind w:left="100" w:leftChars="2500"/>
    </w:pPr>
    <w:rPr>
      <w:rFonts w:ascii="宋体" w:hAnsi="Courier New"/>
      <w:bCs/>
      <w:sz w:val="24"/>
      <w:szCs w:val="20"/>
    </w:rPr>
  </w:style>
  <w:style w:type="paragraph" w:styleId="13">
    <w:name w:val="Body Text Indent 2"/>
    <w:basedOn w:val="1"/>
    <w:uiPriority w:val="0"/>
    <w:pPr>
      <w:ind w:firstLine="412" w:firstLineChars="196"/>
    </w:pPr>
  </w:style>
  <w:style w:type="paragraph" w:styleId="14">
    <w:name w:val="Balloon Text"/>
    <w:basedOn w:val="1"/>
    <w:semiHidden/>
    <w:uiPriority w:val="0"/>
    <w:rPr>
      <w:sz w:val="18"/>
      <w:szCs w:val="18"/>
    </w:rPr>
  </w:style>
  <w:style w:type="paragraph" w:styleId="15">
    <w:name w:val="footer"/>
    <w:basedOn w:val="1"/>
    <w:qFormat/>
    <w:uiPriority w:val="0"/>
    <w:pPr>
      <w:tabs>
        <w:tab w:val="center" w:pos="4153"/>
        <w:tab w:val="right" w:pos="8306"/>
      </w:tabs>
      <w:snapToGrid w:val="0"/>
      <w:jc w:val="left"/>
    </w:pPr>
    <w:rPr>
      <w:rFonts w:ascii="宋体" w:hAnsi="Courier New"/>
      <w:sz w:val="18"/>
      <w:szCs w:val="20"/>
    </w:rPr>
  </w:style>
  <w:style w:type="paragraph" w:styleId="16">
    <w:name w:val="header"/>
    <w:basedOn w:val="1"/>
    <w:link w:val="34"/>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7">
    <w:name w:val="toc 1"/>
    <w:basedOn w:val="1"/>
    <w:next w:val="1"/>
    <w:uiPriority w:val="39"/>
    <w:pPr>
      <w:tabs>
        <w:tab w:val="right" w:leader="dot" w:pos="9515"/>
      </w:tabs>
      <w:spacing w:line="360" w:lineRule="auto"/>
    </w:pPr>
    <w:rPr>
      <w:rFonts w:ascii="隶书" w:eastAsia="隶书"/>
      <w:b/>
      <w:kern w:val="44"/>
      <w:sz w:val="36"/>
      <w:szCs w:val="36"/>
      <w:lang w:val="en-US" w:eastAsia="zh-CN"/>
    </w:rPr>
  </w:style>
  <w:style w:type="paragraph" w:styleId="18">
    <w:name w:val="Body Text Indent 3"/>
    <w:basedOn w:val="1"/>
    <w:uiPriority w:val="0"/>
    <w:pPr>
      <w:spacing w:after="120"/>
      <w:ind w:left="420" w:leftChars="200"/>
    </w:pPr>
    <w:rPr>
      <w:sz w:val="16"/>
      <w:szCs w:val="16"/>
    </w:rPr>
  </w:style>
  <w:style w:type="paragraph" w:styleId="19">
    <w:name w:val="toc 2"/>
    <w:basedOn w:val="1"/>
    <w:next w:val="1"/>
    <w:uiPriority w:val="39"/>
    <w:pPr>
      <w:ind w:left="420" w:leftChars="200"/>
    </w:pPr>
  </w:style>
  <w:style w:type="paragraph" w:styleId="20">
    <w:name w:val="toc 9"/>
    <w:basedOn w:val="1"/>
    <w:next w:val="1"/>
    <w:semiHidden/>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semiHidden/>
    <w:uiPriority w:val="0"/>
    <w:pPr>
      <w:spacing w:line="360" w:lineRule="auto"/>
    </w:pPr>
    <w:rPr>
      <w:rFonts w:ascii="宋体" w:hAnsi="宋体"/>
      <w:bCs/>
      <w:szCs w:val="21"/>
    </w:rPr>
  </w:style>
  <w:style w:type="paragraph" w:styleId="23">
    <w:name w:val="annotation subject"/>
    <w:basedOn w:val="7"/>
    <w:next w:val="7"/>
    <w:semiHidden/>
    <w:uiPriority w:val="0"/>
    <w:rPr>
      <w:b/>
      <w:bCs/>
    </w:rPr>
  </w:style>
  <w:style w:type="paragraph" w:styleId="24">
    <w:name w:val="Body Text First Indent"/>
    <w:basedOn w:val="8"/>
    <w:unhideWhenUsed/>
    <w:qFormat/>
    <w:uiPriority w:val="99"/>
    <w:pPr>
      <w:ind w:firstLine="420"/>
    </w:pPr>
    <w:rPr>
      <w:rFonts w:eastAsia="楷体_GB2312"/>
      <w:sz w:val="32"/>
    </w:rPr>
  </w:style>
  <w:style w:type="table" w:styleId="26">
    <w:name w:val="Table Grid"/>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character" w:customStyle="1" w:styleId="33">
    <w:name w:val="bumpedfont15"/>
    <w:basedOn w:val="27"/>
    <w:uiPriority w:val="0"/>
  </w:style>
  <w:style w:type="character" w:customStyle="1" w:styleId="34">
    <w:name w:val="页眉 Char"/>
    <w:link w:val="16"/>
    <w:uiPriority w:val="0"/>
    <w:rPr>
      <w:rFonts w:ascii="宋体" w:hAnsi="Courier New" w:eastAsia="宋体"/>
      <w:kern w:val="2"/>
      <w:sz w:val="18"/>
      <w:lang w:val="en-US" w:eastAsia="zh-CN" w:bidi="ar-SA"/>
    </w:rPr>
  </w:style>
  <w:style w:type="character" w:customStyle="1" w:styleId="35">
    <w:name w:val="text11"/>
    <w:basedOn w:val="27"/>
    <w:qFormat/>
    <w:uiPriority w:val="0"/>
    <w:rPr>
      <w:rFonts w:hint="default" w:ascii="Verdana" w:hAnsi="Verdana"/>
      <w:color w:val="4E4E4E"/>
      <w:sz w:val="18"/>
      <w:szCs w:val="18"/>
    </w:rPr>
  </w:style>
  <w:style w:type="character" w:customStyle="1" w:styleId="36">
    <w:name w:val="def"/>
    <w:basedOn w:val="27"/>
    <w:qFormat/>
    <w:uiPriority w:val="0"/>
    <w:rPr>
      <w:rFonts w:cs="Times New Roman"/>
    </w:rPr>
  </w:style>
  <w:style w:type="character" w:customStyle="1" w:styleId="37">
    <w:name w:val="普通文字 Char Char1"/>
    <w:semiHidden/>
    <w:uiPriority w:val="0"/>
    <w:rPr>
      <w:rFonts w:ascii="宋体" w:hAnsi="Courier New" w:eastAsia="宋体"/>
      <w:kern w:val="2"/>
      <w:sz w:val="21"/>
      <w:lang w:val="en-US" w:eastAsia="zh-CN" w:bidi="ar-SA"/>
    </w:rPr>
  </w:style>
  <w:style w:type="character" w:customStyle="1" w:styleId="38">
    <w:name w:val="批注文字 Char"/>
    <w:link w:val="7"/>
    <w:semiHidden/>
    <w:locked/>
    <w:uiPriority w:val="0"/>
    <w:rPr>
      <w:rFonts w:eastAsia="宋体"/>
      <w:kern w:val="2"/>
      <w:sz w:val="21"/>
      <w:szCs w:val="24"/>
      <w:lang w:val="en-US" w:eastAsia="zh-CN" w:bidi="ar-SA"/>
    </w:rPr>
  </w:style>
  <w:style w:type="character" w:customStyle="1" w:styleId="39">
    <w:name w:val="标题 2 Char"/>
    <w:uiPriority w:val="0"/>
    <w:rPr>
      <w:rFonts w:ascii="Arial" w:hAnsi="Arial" w:eastAsia="宋体"/>
      <w:b/>
      <w:bCs/>
      <w:kern w:val="2"/>
      <w:sz w:val="32"/>
      <w:szCs w:val="28"/>
      <w:lang w:val="en-US" w:eastAsia="zh-CN" w:bidi="ar-SA"/>
    </w:rPr>
  </w:style>
  <w:style w:type="character" w:customStyle="1" w:styleId="40">
    <w:name w:val="apple-converted-space"/>
    <w:basedOn w:val="27"/>
    <w:uiPriority w:val="0"/>
  </w:style>
  <w:style w:type="character" w:customStyle="1" w:styleId="41">
    <w:name w:val="apple-style-span"/>
    <w:basedOn w:val="27"/>
    <w:uiPriority w:val="0"/>
  </w:style>
  <w:style w:type="character" w:customStyle="1" w:styleId="42">
    <w:name w:val="纯文本 Char"/>
    <w:link w:val="11"/>
    <w:uiPriority w:val="0"/>
    <w:rPr>
      <w:rFonts w:ascii="宋体" w:hAnsi="Courier New" w:eastAsia="宋体"/>
      <w:kern w:val="2"/>
      <w:sz w:val="21"/>
      <w:lang w:val="en-US" w:eastAsia="zh-CN" w:bidi="ar-SA"/>
    </w:rPr>
  </w:style>
  <w:style w:type="character" w:customStyle="1" w:styleId="43">
    <w:name w:val="Char Char"/>
    <w:locked/>
    <w:uiPriority w:val="0"/>
    <w:rPr>
      <w:rFonts w:ascii="宋体" w:hAnsi="Courier New" w:eastAsia="宋体"/>
      <w:kern w:val="2"/>
      <w:sz w:val="21"/>
      <w:lang w:val="en-US" w:eastAsia="zh-CN" w:bidi="ar-SA"/>
    </w:rPr>
  </w:style>
  <w:style w:type="paragraph" w:customStyle="1" w:styleId="44">
    <w:name w:val="样式13"/>
    <w:basedOn w:val="1"/>
    <w:uiPriority w:val="0"/>
    <w:pPr>
      <w:tabs>
        <w:tab w:val="left" w:pos="780"/>
      </w:tabs>
      <w:ind w:left="780" w:hanging="360"/>
    </w:pPr>
    <w:rPr>
      <w:b/>
    </w:rPr>
  </w:style>
  <w:style w:type="paragraph" w:customStyle="1" w:styleId="45">
    <w:name w:val="font12"/>
    <w:basedOn w:val="1"/>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46">
    <w:name w:val="样式"/>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47">
    <w:name w:val="3"/>
    <w:basedOn w:val="1"/>
    <w:next w:val="11"/>
    <w:uiPriority w:val="0"/>
    <w:rPr>
      <w:rFonts w:ascii="宋体" w:hAnsi="Courier New"/>
      <w:szCs w:val="20"/>
    </w:rPr>
  </w:style>
  <w:style w:type="paragraph" w:customStyle="1" w:styleId="4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9">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0">
    <w:name w:val="Char1"/>
    <w:basedOn w:val="6"/>
    <w:uiPriority w:val="0"/>
    <w:pPr>
      <w:tabs>
        <w:tab w:val="left" w:pos="0"/>
      </w:tabs>
      <w:ind w:firstLine="200" w:firstLineChars="200"/>
    </w:pPr>
    <w:rPr>
      <w:rFonts w:ascii="Tahoma" w:hAnsi="Tahoma"/>
      <w:sz w:val="24"/>
    </w:rPr>
  </w:style>
  <w:style w:type="paragraph" w:customStyle="1" w:styleId="5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52">
    <w:name w:val="font9"/>
    <w:basedOn w:val="1"/>
    <w:uiPriority w:val="0"/>
    <w:pPr>
      <w:widowControl/>
      <w:spacing w:before="100" w:beforeAutospacing="1" w:after="100" w:afterAutospacing="1"/>
      <w:jc w:val="left"/>
    </w:pPr>
    <w:rPr>
      <w:rFonts w:hint="eastAsia" w:ascii="宋体" w:hAnsi="宋体"/>
      <w:kern w:val="0"/>
      <w:szCs w:val="21"/>
    </w:rPr>
  </w:style>
  <w:style w:type="paragraph" w:customStyle="1" w:styleId="53">
    <w:name w:val="font10"/>
    <w:basedOn w:val="1"/>
    <w:uiPriority w:val="0"/>
    <w:pPr>
      <w:widowControl/>
      <w:spacing w:before="100" w:beforeAutospacing="1" w:after="100" w:afterAutospacing="1"/>
      <w:jc w:val="left"/>
    </w:pPr>
    <w:rPr>
      <w:rFonts w:ascii="Arial" w:hAnsi="Arial" w:cs="Arial"/>
      <w:kern w:val="0"/>
      <w:sz w:val="19"/>
      <w:szCs w:val="19"/>
    </w:rPr>
  </w:style>
  <w:style w:type="paragraph" w:customStyle="1" w:styleId="54">
    <w:name w:val="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55">
    <w:name w:val="样式17"/>
    <w:basedOn w:val="3"/>
    <w:uiPriority w:val="0"/>
    <w:pPr>
      <w:spacing w:before="360" w:after="360" w:line="240" w:lineRule="auto"/>
      <w:ind w:leftChars="200" w:firstLine="922" w:firstLineChars="287"/>
      <w:jc w:val="center"/>
    </w:pPr>
    <w:rPr>
      <w:rFonts w:ascii="宋体" w:eastAsia="宋体"/>
      <w:bCs w:val="0"/>
      <w:szCs w:val="20"/>
    </w:rPr>
  </w:style>
  <w:style w:type="paragraph" w:customStyle="1" w:styleId="56">
    <w:name w:val=" Char Char Char Char Char Char Char Char Char Char Char Char Char Char Char Char"/>
    <w:basedOn w:val="1"/>
    <w:uiPriority w:val="0"/>
    <w:pPr>
      <w:tabs>
        <w:tab w:val="left" w:pos="360"/>
      </w:tabs>
      <w:spacing w:line="360" w:lineRule="auto"/>
      <w:ind w:left="482" w:firstLine="200" w:firstLineChars="200"/>
    </w:pPr>
    <w:rPr>
      <w:rFonts w:ascii="宋体"/>
      <w:sz w:val="24"/>
    </w:rPr>
  </w:style>
  <w:style w:type="paragraph" w:customStyle="1" w:styleId="5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8">
    <w:name w:val="xl27"/>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5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0">
    <w:name w:val="自建样式2"/>
    <w:basedOn w:val="1"/>
    <w:uiPriority w:val="0"/>
    <w:pPr>
      <w:numPr>
        <w:ilvl w:val="0"/>
        <w:numId w:val="1"/>
      </w:numPr>
      <w:tabs>
        <w:tab w:val="left" w:pos="3240"/>
        <w:tab w:val="clear" w:pos="420"/>
      </w:tabs>
      <w:spacing w:line="360" w:lineRule="auto"/>
      <w:ind w:left="0" w:firstLine="0"/>
      <w:jc w:val="left"/>
      <w:outlineLvl w:val="1"/>
    </w:pPr>
    <w:rPr>
      <w:rFonts w:ascii="仿宋_GB2312" w:eastAsia="仿宋_GB2312"/>
      <w:b/>
      <w:bCs/>
      <w:color w:val="000000"/>
      <w:sz w:val="28"/>
      <w:szCs w:val="21"/>
    </w:rPr>
  </w:style>
  <w:style w:type="paragraph" w:customStyle="1" w:styleId="61">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2">
    <w:name w:val="4"/>
    <w:basedOn w:val="1"/>
    <w:next w:val="11"/>
    <w:uiPriority w:val="0"/>
    <w:rPr>
      <w:rFonts w:ascii="宋体" w:hAnsi="Courier New"/>
      <w:szCs w:val="20"/>
    </w:rPr>
  </w:style>
  <w:style w:type="paragraph" w:customStyle="1" w:styleId="63">
    <w:name w:val="font13"/>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64">
    <w:name w:val="Char"/>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
    <w:name w:val="font7"/>
    <w:basedOn w:val="1"/>
    <w:uiPriority w:val="0"/>
    <w:pPr>
      <w:widowControl/>
      <w:spacing w:before="100" w:beforeAutospacing="1" w:after="100" w:afterAutospacing="1"/>
      <w:jc w:val="left"/>
    </w:pPr>
    <w:rPr>
      <w:kern w:val="0"/>
      <w:sz w:val="24"/>
    </w:rPr>
  </w:style>
  <w:style w:type="paragraph" w:customStyle="1" w:styleId="66">
    <w:name w:val="样式5"/>
    <w:basedOn w:val="5"/>
    <w:qFormat/>
    <w:uiPriority w:val="0"/>
    <w:pPr>
      <w:tabs>
        <w:tab w:val="left" w:pos="420"/>
      </w:tabs>
      <w:spacing w:before="240" w:after="120" w:line="240" w:lineRule="auto"/>
      <w:ind w:left="420" w:hanging="420"/>
    </w:pPr>
    <w:rPr>
      <w:rFonts w:ascii="宋体" w:hAnsi="宋体" w:cs="Arial"/>
      <w:bCs w:val="0"/>
      <w:sz w:val="21"/>
      <w:szCs w:val="24"/>
      <w:lang w:val="en-US" w:eastAsia="zh-CN"/>
    </w:rPr>
  </w:style>
  <w:style w:type="paragraph" w:customStyle="1" w:styleId="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68">
    <w:name w:val="默认段落字体 Para Char Char Char Char Char Char Char Char Char Char"/>
    <w:basedOn w:val="1"/>
    <w:qFormat/>
    <w:uiPriority w:val="0"/>
    <w:rPr>
      <w:rFonts w:ascii="Tahoma" w:hAnsi="Tahoma"/>
      <w:sz w:val="24"/>
      <w:u w:val="single"/>
    </w:rPr>
  </w:style>
  <w:style w:type="paragraph" w:customStyle="1" w:styleId="69">
    <w:name w:val="列出段落1"/>
    <w:basedOn w:val="1"/>
    <w:qFormat/>
    <w:uiPriority w:val="34"/>
    <w:pPr>
      <w:ind w:left="720"/>
      <w:contextualSpacing/>
    </w:pPr>
    <w:rPr>
      <w:szCs w:val="20"/>
    </w:rPr>
  </w:style>
  <w:style w:type="paragraph" w:customStyle="1" w:styleId="70">
    <w:name w:val="p0"/>
    <w:basedOn w:val="1"/>
    <w:qFormat/>
    <w:uiPriority w:val="0"/>
    <w:pPr>
      <w:widowControl/>
    </w:pPr>
    <w:rPr>
      <w:rFonts w:cs="宋体"/>
      <w:kern w:val="0"/>
      <w:szCs w:val="21"/>
    </w:rPr>
  </w:style>
  <w:style w:type="paragraph" w:customStyle="1" w:styleId="7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2">
    <w:name w:val="p15"/>
    <w:basedOn w:val="1"/>
    <w:qFormat/>
    <w:uiPriority w:val="0"/>
    <w:pPr>
      <w:widowControl/>
      <w:ind w:firstLine="420"/>
    </w:pPr>
    <w:rPr>
      <w:rFonts w:cs="宋体"/>
      <w:kern w:val="0"/>
      <w:szCs w:val="21"/>
    </w:rPr>
  </w:style>
  <w:style w:type="paragraph" w:customStyle="1" w:styleId="73">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正文段落"/>
    <w:basedOn w:val="1"/>
    <w:qFormat/>
    <w:uiPriority w:val="0"/>
    <w:pPr>
      <w:spacing w:line="300" w:lineRule="auto"/>
      <w:ind w:firstLine="510"/>
    </w:pPr>
    <w:rPr>
      <w:sz w:val="24"/>
      <w:szCs w:val="20"/>
    </w:rPr>
  </w:style>
  <w:style w:type="paragraph" w:customStyle="1" w:styleId="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6">
    <w:name w:val="Char Char Char"/>
    <w:basedOn w:val="1"/>
    <w:uiPriority w:val="0"/>
    <w:rPr>
      <w:rFonts w:ascii="Tahoma" w:hAnsi="Tahoma"/>
      <w:sz w:val="24"/>
      <w:szCs w:val="20"/>
    </w:rPr>
  </w:style>
  <w:style w:type="paragraph" w:customStyle="1" w:styleId="77">
    <w:name w:val="*---"/>
    <w:basedOn w:val="1"/>
    <w:unhideWhenUsed/>
    <w:qFormat/>
    <w:uiPriority w:val="99"/>
    <w:pPr>
      <w:numPr>
        <w:ilvl w:val="0"/>
        <w:numId w:val="2"/>
      </w:numPr>
      <w:shd w:val="clear" w:color="auto" w:fill="FFFFFF"/>
      <w:autoSpaceDE w:val="0"/>
      <w:autoSpaceDN w:val="0"/>
      <w:snapToGrid w:val="0"/>
      <w:spacing w:beforeLines="20" w:afterLines="20"/>
      <w:ind w:left="737" w:hanging="255"/>
    </w:pPr>
    <w:rPr>
      <w:rFonts w:ascii="Arial" w:hAnsi="Arial" w:cs="宋体"/>
      <w:color w:val="000000"/>
      <w:kern w:val="0"/>
      <w:sz w:val="18"/>
      <w:szCs w:val="18"/>
    </w:rPr>
  </w:style>
  <w:style w:type="paragraph" w:customStyle="1" w:styleId="78">
    <w:name w:val=" Char"/>
    <w:basedOn w:val="1"/>
    <w:uiPriority w:val="0"/>
    <w:pPr>
      <w:widowControl/>
      <w:spacing w:after="160" w:line="240" w:lineRule="exact"/>
      <w:jc w:val="left"/>
    </w:pPr>
    <w:rPr>
      <w:rFonts w:ascii="Verdana" w:hAnsi="Verdana"/>
      <w:kern w:val="0"/>
      <w:szCs w:val="20"/>
      <w:lang w:eastAsia="en-US"/>
    </w:rPr>
  </w:style>
  <w:style w:type="paragraph" w:customStyle="1" w:styleId="79">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80">
    <w:name w:val="font11"/>
    <w:basedOn w:val="1"/>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8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2">
    <w:name w:val="List Paragraph"/>
    <w:basedOn w:val="1"/>
    <w:qFormat/>
    <w:uiPriority w:val="0"/>
    <w:pPr>
      <w:ind w:firstLine="420" w:firstLineChars="200"/>
    </w:pPr>
    <w:rPr>
      <w:szCs w:val="22"/>
    </w:rPr>
  </w:style>
  <w:style w:type="paragraph" w:customStyle="1" w:styleId="8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4">
    <w:name w:val="font8"/>
    <w:basedOn w:val="1"/>
    <w:uiPriority w:val="0"/>
    <w:pPr>
      <w:widowControl/>
      <w:spacing w:before="100" w:beforeAutospacing="1" w:after="100" w:afterAutospacing="1"/>
      <w:jc w:val="left"/>
    </w:pPr>
    <w:rPr>
      <w:kern w:val="0"/>
      <w:szCs w:val="21"/>
    </w:rPr>
  </w:style>
  <w:style w:type="paragraph" w:customStyle="1" w:styleId="8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6">
    <w:name w:val="Default Paragraph Font Para Char Char Char Char Char Char"/>
    <w:basedOn w:val="1"/>
    <w:uiPriority w:val="0"/>
    <w:pPr>
      <w:widowControl/>
      <w:spacing w:after="160" w:line="240" w:lineRule="exact"/>
      <w:jc w:val="left"/>
    </w:pPr>
    <w:rPr>
      <w:szCs w:val="20"/>
    </w:rPr>
  </w:style>
  <w:style w:type="paragraph" w:customStyle="1" w:styleId="87">
    <w:name w:val="xl28"/>
    <w:basedOn w:val="1"/>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88">
    <w:name w:val="2"/>
    <w:basedOn w:val="1"/>
    <w:next w:val="11"/>
    <w:uiPriority w:val="0"/>
    <w:rPr>
      <w:rFonts w:ascii="宋体" w:hAnsi="Courier New"/>
      <w:szCs w:val="20"/>
    </w:rPr>
  </w:style>
  <w:style w:type="paragraph" w:customStyle="1" w:styleId="89">
    <w:name w:val="font5"/>
    <w:basedOn w:val="1"/>
    <w:uiPriority w:val="0"/>
    <w:pPr>
      <w:widowControl/>
      <w:spacing w:before="100" w:beforeAutospacing="1" w:after="100" w:afterAutospacing="1"/>
      <w:jc w:val="left"/>
    </w:pPr>
    <w:rPr>
      <w:rFonts w:hint="eastAsia" w:ascii="宋体" w:hAnsi="宋体"/>
      <w:kern w:val="0"/>
      <w:sz w:val="24"/>
    </w:rPr>
  </w:style>
  <w:style w:type="paragraph" w:customStyle="1" w:styleId="90">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1">
    <w:name w:val="样式10"/>
    <w:basedOn w:val="1"/>
    <w:uiPriority w:val="0"/>
    <w:rPr>
      <w:b/>
    </w:rPr>
  </w:style>
  <w:style w:type="paragraph" w:customStyle="1" w:styleId="92">
    <w:name w:val="font14"/>
    <w:basedOn w:val="1"/>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93">
    <w:name w:val="6"/>
    <w:basedOn w:val="1"/>
    <w:next w:val="11"/>
    <w:uiPriority w:val="0"/>
    <w:rPr>
      <w:rFonts w:ascii="宋体" w:hAnsi="Courier New"/>
      <w:szCs w:val="20"/>
    </w:rPr>
  </w:style>
  <w:style w:type="paragraph" w:customStyle="1" w:styleId="94">
    <w:name w:val=" Char Char Char"/>
    <w:basedOn w:val="1"/>
    <w:uiPriority w:val="0"/>
    <w:rPr>
      <w:rFonts w:ascii="Tahoma" w:hAnsi="Tahoma"/>
      <w:sz w:val="24"/>
      <w:szCs w:val="20"/>
    </w:rPr>
  </w:style>
  <w:style w:type="paragraph" w:customStyle="1" w:styleId="95">
    <w:name w:val=" Char Char Char Char Char Char Char"/>
    <w:basedOn w:val="1"/>
    <w:uiPriority w:val="0"/>
  </w:style>
  <w:style w:type="paragraph" w:customStyle="1" w:styleId="96">
    <w:name w:val="1"/>
    <w:basedOn w:val="1"/>
    <w:next w:val="11"/>
    <w:uiPriority w:val="0"/>
    <w:rPr>
      <w:rFonts w:ascii="宋体" w:hAnsi="Courier New"/>
      <w:szCs w:val="20"/>
    </w:rPr>
  </w:style>
  <w:style w:type="paragraph" w:customStyle="1"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xl29"/>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99">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00">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1">
    <w:name w:val="s6"/>
    <w:basedOn w:val="1"/>
    <w:uiPriority w:val="0"/>
    <w:pPr>
      <w:widowControl/>
      <w:spacing w:before="100" w:beforeAutospacing="1" w:after="100" w:afterAutospacing="1"/>
      <w:jc w:val="left"/>
    </w:pPr>
    <w:rPr>
      <w:rFonts w:ascii="宋体" w:hAnsi="宋体" w:cs="宋体"/>
      <w:kern w:val="0"/>
      <w:sz w:val="24"/>
    </w:rPr>
  </w:style>
  <w:style w:type="paragraph" w:customStyle="1" w:styleId="102">
    <w:name w:val="s7"/>
    <w:basedOn w:val="1"/>
    <w:uiPriority w:val="0"/>
    <w:pPr>
      <w:widowControl/>
      <w:spacing w:before="100" w:beforeAutospacing="1" w:after="100" w:afterAutospacing="1"/>
      <w:jc w:val="left"/>
    </w:pPr>
    <w:rPr>
      <w:rFonts w:ascii="宋体" w:hAnsi="宋体" w:cs="宋体"/>
      <w:kern w:val="0"/>
      <w:sz w:val="24"/>
    </w:rPr>
  </w:style>
  <w:style w:type="paragraph" w:customStyle="1" w:styleId="103">
    <w:name w:val="s8"/>
    <w:basedOn w:val="1"/>
    <w:uiPriority w:val="0"/>
    <w:pPr>
      <w:widowControl/>
      <w:spacing w:before="100" w:beforeAutospacing="1" w:after="100" w:afterAutospacing="1"/>
      <w:jc w:val="left"/>
    </w:pPr>
    <w:rPr>
      <w:rFonts w:ascii="宋体" w:hAnsi="宋体" w:cs="宋体"/>
      <w:kern w:val="0"/>
      <w:sz w:val="24"/>
    </w:rPr>
  </w:style>
  <w:style w:type="paragraph" w:customStyle="1" w:styleId="104">
    <w:name w:val="s9"/>
    <w:basedOn w:val="1"/>
    <w:uiPriority w:val="0"/>
    <w:pPr>
      <w:widowControl/>
      <w:spacing w:before="100" w:beforeAutospacing="1" w:after="100" w:afterAutospacing="1"/>
      <w:jc w:val="left"/>
    </w:pPr>
    <w:rPr>
      <w:rFonts w:ascii="宋体" w:hAnsi="宋体" w:cs="宋体"/>
      <w:kern w:val="0"/>
      <w:sz w:val="24"/>
    </w:rPr>
  </w:style>
  <w:style w:type="paragraph" w:customStyle="1" w:styleId="105">
    <w:name w:val="s11"/>
    <w:basedOn w:val="1"/>
    <w:uiPriority w:val="0"/>
    <w:pPr>
      <w:widowControl/>
      <w:spacing w:before="100" w:beforeAutospacing="1" w:after="100" w:afterAutospacing="1"/>
      <w:jc w:val="left"/>
    </w:pPr>
    <w:rPr>
      <w:rFonts w:ascii="宋体" w:hAnsi="宋体" w:cs="宋体"/>
      <w:kern w:val="0"/>
      <w:sz w:val="24"/>
    </w:rPr>
  </w:style>
  <w:style w:type="paragraph" w:customStyle="1" w:styleId="106">
    <w:name w:val="s1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53"/>
    <customShpInfo spid="_x0000_s1340"/>
    <customShpInfo spid="_x0000_s1338"/>
    <customShpInfo spid="_x0000_s1339"/>
    <customShpInfo spid="_x0000_s1335"/>
    <customShpInfo spid="_x0000_s1337"/>
    <customShpInfo spid="_x0000_s13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zbzx</Company>
  <Pages>39</Pages>
  <Words>3752</Words>
  <Characters>21391</Characters>
  <Lines>178</Lines>
  <Paragraphs>50</Paragraphs>
  <TotalTime>1</TotalTime>
  <ScaleCrop>false</ScaleCrop>
  <LinksUpToDate>false</LinksUpToDate>
  <CharactersWithSpaces>25093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2020-12-01T09:56:00Z</dcterms:created>
  <dc:creator>Administrator</dc:creator>
  <cp:lastModifiedBy>NTKO</cp:lastModifiedBy>
  <cp:lastPrinted>2020-06-01T08:32:00Z</cp:lastPrinted>
  <dcterms:modified xsi:type="dcterms:W3CDTF">2020-12-01T10:00:09Z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